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CB9C99" w14:textId="77777777" w:rsidR="00581FA4" w:rsidRDefault="00581FA4" w:rsidP="00581FA4">
      <w:pPr>
        <w:spacing w:line="240" w:lineRule="auto"/>
        <w:rPr>
          <w:rFonts w:cs="Arial"/>
        </w:rPr>
      </w:pPr>
    </w:p>
    <w:p w14:paraId="3A438854" w14:textId="4CFFD128" w:rsidR="00581FA4" w:rsidRPr="005940EC" w:rsidRDefault="0032483C" w:rsidP="00581FA4">
      <w:pPr>
        <w:spacing w:line="240" w:lineRule="auto"/>
        <w:rPr>
          <w:rFonts w:cs="Arial"/>
          <w:b/>
          <w:sz w:val="22"/>
          <w:szCs w:val="22"/>
        </w:rPr>
      </w:pPr>
      <w:r w:rsidRPr="005940EC">
        <w:rPr>
          <w:rFonts w:cs="Arial"/>
          <w:b/>
          <w:sz w:val="22"/>
          <w:szCs w:val="22"/>
        </w:rPr>
        <w:t>CADUCIDAD DE LA ACCIÓN – Acción</w:t>
      </w:r>
      <w:r w:rsidR="005940EC">
        <w:rPr>
          <w:rFonts w:cs="Arial"/>
          <w:b/>
          <w:sz w:val="22"/>
          <w:szCs w:val="22"/>
        </w:rPr>
        <w:t xml:space="preserve"> de controversias</w:t>
      </w:r>
      <w:r w:rsidRPr="005940EC">
        <w:rPr>
          <w:rFonts w:cs="Arial"/>
          <w:b/>
          <w:sz w:val="22"/>
          <w:szCs w:val="22"/>
        </w:rPr>
        <w:t xml:space="preserve"> contractual</w:t>
      </w:r>
      <w:r w:rsidR="005940EC">
        <w:rPr>
          <w:rFonts w:cs="Arial"/>
          <w:b/>
          <w:sz w:val="22"/>
          <w:szCs w:val="22"/>
        </w:rPr>
        <w:t>es</w:t>
      </w:r>
      <w:r w:rsidR="00581FA4" w:rsidRPr="005940EC">
        <w:rPr>
          <w:rFonts w:cs="Arial"/>
          <w:b/>
          <w:sz w:val="22"/>
          <w:szCs w:val="22"/>
        </w:rPr>
        <w:t xml:space="preserve"> – Oportunidad</w:t>
      </w:r>
    </w:p>
    <w:p w14:paraId="4BD1C3D3" w14:textId="77777777" w:rsidR="00581FA4" w:rsidRPr="005940EC" w:rsidRDefault="00581FA4" w:rsidP="00581FA4">
      <w:pPr>
        <w:spacing w:line="240" w:lineRule="auto"/>
        <w:rPr>
          <w:rFonts w:cs="Arial"/>
          <w:sz w:val="22"/>
          <w:szCs w:val="22"/>
        </w:rPr>
      </w:pPr>
    </w:p>
    <w:p w14:paraId="4952502A" w14:textId="77777777" w:rsidR="00581FA4" w:rsidRPr="005940EC" w:rsidRDefault="00581FA4" w:rsidP="00581FA4">
      <w:pPr>
        <w:spacing w:line="240" w:lineRule="auto"/>
        <w:rPr>
          <w:rFonts w:cs="Arial"/>
          <w:sz w:val="22"/>
          <w:szCs w:val="22"/>
        </w:rPr>
      </w:pPr>
      <w:r w:rsidRPr="005940EC">
        <w:rPr>
          <w:rFonts w:cs="Arial"/>
          <w:sz w:val="22"/>
          <w:szCs w:val="22"/>
        </w:rPr>
        <w:t>Se establece que la demanda se interpuso oportunamente, dentro del plazo de cuatro meses para impetrar la acción de nulidad y restablecimiento del derecho, de acuerdo con lo establecido por el artículo 136 del Código Contencioso Administrativo, acerca de la caducidad de la acción, tal como fue modificado por el Decreto 2304 de 1989, el cual se encontró vigente para las fechas citadas.</w:t>
      </w:r>
    </w:p>
    <w:p w14:paraId="75DA4547" w14:textId="77777777" w:rsidR="00581FA4" w:rsidRPr="005940EC" w:rsidRDefault="00581FA4" w:rsidP="00581FA4">
      <w:pPr>
        <w:spacing w:line="240" w:lineRule="auto"/>
        <w:rPr>
          <w:rFonts w:cs="Arial"/>
          <w:sz w:val="22"/>
          <w:szCs w:val="22"/>
        </w:rPr>
      </w:pPr>
    </w:p>
    <w:p w14:paraId="51A0B5D2" w14:textId="77777777" w:rsidR="00581FA4" w:rsidRPr="005940EC" w:rsidRDefault="0032483C" w:rsidP="00581FA4">
      <w:pPr>
        <w:spacing w:line="240" w:lineRule="auto"/>
        <w:rPr>
          <w:rFonts w:cs="Arial"/>
          <w:b/>
          <w:sz w:val="22"/>
          <w:szCs w:val="22"/>
        </w:rPr>
      </w:pPr>
      <w:r w:rsidRPr="005940EC">
        <w:rPr>
          <w:rFonts w:cs="Arial"/>
          <w:b/>
          <w:sz w:val="22"/>
          <w:szCs w:val="22"/>
        </w:rPr>
        <w:t>LEGITIMACIÓ</w:t>
      </w:r>
      <w:r w:rsidR="00581FA4" w:rsidRPr="005940EC">
        <w:rPr>
          <w:rFonts w:cs="Arial"/>
          <w:b/>
          <w:sz w:val="22"/>
          <w:szCs w:val="22"/>
        </w:rPr>
        <w:t xml:space="preserve">N </w:t>
      </w:r>
      <w:r w:rsidRPr="005940EC">
        <w:rPr>
          <w:rFonts w:cs="Arial"/>
          <w:b/>
          <w:sz w:val="22"/>
          <w:szCs w:val="22"/>
        </w:rPr>
        <w:t xml:space="preserve">EN LA CAUSA – Activa – </w:t>
      </w:r>
      <w:r w:rsidR="00581FA4" w:rsidRPr="005940EC">
        <w:rPr>
          <w:rFonts w:cs="Arial"/>
          <w:b/>
          <w:sz w:val="22"/>
          <w:szCs w:val="22"/>
        </w:rPr>
        <w:t xml:space="preserve">Consorcio y Unión temporal – No se necesita vincular individualmente a los integrantes – Capacidad para comparecer procesos judiciales </w:t>
      </w:r>
    </w:p>
    <w:p w14:paraId="1D6C0B0A" w14:textId="77777777" w:rsidR="00581FA4" w:rsidRPr="005940EC" w:rsidRDefault="00581FA4" w:rsidP="00581FA4">
      <w:pPr>
        <w:spacing w:line="240" w:lineRule="auto"/>
        <w:rPr>
          <w:rFonts w:cs="Arial"/>
          <w:sz w:val="22"/>
          <w:szCs w:val="22"/>
        </w:rPr>
      </w:pPr>
    </w:p>
    <w:p w14:paraId="54F038A0" w14:textId="77777777" w:rsidR="00581FA4" w:rsidRPr="005940EC" w:rsidRDefault="00581FA4" w:rsidP="00581FA4">
      <w:pPr>
        <w:spacing w:line="240" w:lineRule="auto"/>
        <w:rPr>
          <w:rFonts w:cs="Arial"/>
          <w:sz w:val="22"/>
          <w:szCs w:val="22"/>
        </w:rPr>
      </w:pPr>
      <w:r w:rsidRPr="005940EC">
        <w:rPr>
          <w:rFonts w:cs="Arial"/>
          <w:sz w:val="22"/>
          <w:szCs w:val="22"/>
        </w:rPr>
        <w:t>El representante legal de Electro Atlántico Ltda. otorgó poder para que, en nombre y representación de la citada sociedad, se iniciara y llevara hasta su culminación la acción de nulidad y restablecimiento del derecho contra la Resolución 442 de 10 de octubre de 1997, proferida por la Alcaldía de Cartago. (…) Se observa que Electro Atlántico Ltda. invocó y acreditó con su demanda la referida unión temporal, por lo cual, siendo esa persona jurídica la representante, se entiende que cumplió con el requisito de obrar por cuenta de la misma. Por ello, observa la Sala que en este estado del proceso, no tiene sentido volver ahora a debatir sobre la debida legitimación de la parte demandante. (…) Se agrega (…), en la sentencia de unificación, que los integrantes del consorcio o la unión temporal podían obrar, también, como litisconsortes necesarios o facultativos del consorcio o la unión temporal, según fuera el caso, es decir, -precisa ahora la Sala- que la participación de los miembros del consorcio o de la unión temporal, en adición a la del representante, solo puede ser exigida como imperativa de acuerdo con el alcance de las pretensiones de la demanda en cada proceso y, si es el caso, de conformidad con el contenido del contrato de consorcio o de unión temporal. (…) Con fundamento en ese certificado se establece que “la sociedad se encuentra liquidada” y que, por tanto, no puede exigirse su citación al proceso como litisconsorte. (…) teniendo en cuenta que Electro Atlántico Ltda. también invocó su condición individual de parte integrante de la Unión Temporal y acreditó la distribución de las actividades entre los miembros de la misma, dichas circunstancias habrán de ser tenidas en cuenta en caso de que proceda la condena, para efectos de individualizar el eventual perjuicio o la medida del restablecimiento de su derecho.</w:t>
      </w:r>
    </w:p>
    <w:p w14:paraId="1EB94298" w14:textId="77777777" w:rsidR="00581FA4" w:rsidRPr="005940EC" w:rsidRDefault="00581FA4" w:rsidP="00581FA4">
      <w:pPr>
        <w:spacing w:line="240" w:lineRule="auto"/>
        <w:rPr>
          <w:rFonts w:cs="Arial"/>
          <w:sz w:val="22"/>
          <w:szCs w:val="22"/>
        </w:rPr>
      </w:pPr>
    </w:p>
    <w:p w14:paraId="443C8D59" w14:textId="77777777" w:rsidR="00581FA4" w:rsidRPr="005940EC" w:rsidRDefault="00581FA4" w:rsidP="00581FA4">
      <w:pPr>
        <w:spacing w:line="240" w:lineRule="auto"/>
        <w:rPr>
          <w:rFonts w:cs="Arial"/>
          <w:b/>
          <w:sz w:val="22"/>
          <w:szCs w:val="22"/>
        </w:rPr>
      </w:pPr>
      <w:r w:rsidRPr="005940EC">
        <w:rPr>
          <w:rFonts w:cs="Arial"/>
          <w:b/>
          <w:sz w:val="22"/>
          <w:szCs w:val="22"/>
        </w:rPr>
        <w:t xml:space="preserve">PROPUESTA ALTERNATIVA – Procedencia – Cumplimiento </w:t>
      </w:r>
      <w:r w:rsidR="0032483C" w:rsidRPr="005940EC">
        <w:rPr>
          <w:rFonts w:cs="Arial"/>
          <w:b/>
          <w:sz w:val="22"/>
          <w:szCs w:val="22"/>
        </w:rPr>
        <w:t>– P</w:t>
      </w:r>
      <w:r w:rsidRPr="005940EC">
        <w:rPr>
          <w:rFonts w:cs="Arial"/>
          <w:b/>
          <w:sz w:val="22"/>
          <w:szCs w:val="22"/>
        </w:rPr>
        <w:t xml:space="preserve">liego de condiciones </w:t>
      </w:r>
    </w:p>
    <w:p w14:paraId="620757C9" w14:textId="77777777" w:rsidR="00581FA4" w:rsidRPr="005940EC" w:rsidRDefault="00581FA4" w:rsidP="00581FA4">
      <w:pPr>
        <w:spacing w:line="240" w:lineRule="auto"/>
        <w:rPr>
          <w:rFonts w:cs="Arial"/>
          <w:sz w:val="22"/>
          <w:szCs w:val="22"/>
        </w:rPr>
      </w:pPr>
    </w:p>
    <w:p w14:paraId="4EBFACA9" w14:textId="77777777" w:rsidR="00581FA4" w:rsidRPr="005940EC" w:rsidRDefault="00581FA4" w:rsidP="00581FA4">
      <w:pPr>
        <w:spacing w:line="240" w:lineRule="auto"/>
        <w:rPr>
          <w:rFonts w:cs="Arial"/>
          <w:sz w:val="22"/>
          <w:szCs w:val="22"/>
        </w:rPr>
      </w:pPr>
      <w:r w:rsidRPr="005940EC">
        <w:rPr>
          <w:rFonts w:cs="Arial"/>
          <w:sz w:val="22"/>
          <w:szCs w:val="22"/>
        </w:rPr>
        <w:t>El numeral 6 del artículo 30 de la Ley 80 de 1993 establece la posibilidad de que los proponentes presenten propuestas alternativas en la licitación pública. (…) Con fundamento en la disposición que se acaba de citar es claro que: i) las propuestas deben cubrir todos los puntos del pliego de condiciones y ii) los proponentes pueden presentar propuestas alternativas y excepciones técnicas siempre y cuando no signifiquen condicionamiento. (…) La jurisprudencia del Consejo de Estado ha desprendido de allí que la denominada propuesta alternativa proviene del proponente y que, para su calificación, requiere de la presentación de una propuesta básica, esto es, ajustada al pliego de condiciones, pues de otra manera no se estaría respetando la exigencia del numeral 6 del artículo 30 de la Ley 80 de 1993.  Bien se observa que el citado numeral plantea que las propuestas deben sujetarse o referirse a lo pedido en el pliego de condiciones.</w:t>
      </w:r>
    </w:p>
    <w:p w14:paraId="2A4FA5CA" w14:textId="77777777" w:rsidR="00581FA4" w:rsidRPr="005940EC" w:rsidRDefault="00581FA4" w:rsidP="00581FA4">
      <w:pPr>
        <w:spacing w:line="240" w:lineRule="auto"/>
        <w:rPr>
          <w:rFonts w:cs="Arial"/>
          <w:sz w:val="22"/>
          <w:szCs w:val="22"/>
        </w:rPr>
      </w:pPr>
    </w:p>
    <w:p w14:paraId="4C97FA6B" w14:textId="77777777" w:rsidR="00581FA4" w:rsidRPr="005940EC" w:rsidRDefault="00581FA4" w:rsidP="00581FA4">
      <w:pPr>
        <w:spacing w:line="240" w:lineRule="auto"/>
        <w:rPr>
          <w:rFonts w:cs="Arial"/>
          <w:b/>
          <w:sz w:val="22"/>
          <w:szCs w:val="22"/>
        </w:rPr>
      </w:pPr>
      <w:r w:rsidRPr="005940EC">
        <w:rPr>
          <w:rFonts w:cs="Arial"/>
          <w:b/>
          <w:sz w:val="22"/>
          <w:szCs w:val="22"/>
        </w:rPr>
        <w:t xml:space="preserve">PROPUESTA ALTERNATIVA – Definición – Marco normativo – Diferencia con excepciones técnicas o económicas </w:t>
      </w:r>
    </w:p>
    <w:p w14:paraId="7D6EB202" w14:textId="77777777" w:rsidR="00581FA4" w:rsidRPr="005940EC" w:rsidRDefault="00581FA4" w:rsidP="00581FA4">
      <w:pPr>
        <w:spacing w:line="240" w:lineRule="auto"/>
        <w:rPr>
          <w:rFonts w:cs="Arial"/>
          <w:b/>
          <w:sz w:val="22"/>
          <w:szCs w:val="22"/>
        </w:rPr>
      </w:pPr>
    </w:p>
    <w:p w14:paraId="1AB00073" w14:textId="77777777" w:rsidR="00581FA4" w:rsidRPr="005940EC" w:rsidRDefault="00581FA4" w:rsidP="00581FA4">
      <w:pPr>
        <w:spacing w:line="240" w:lineRule="auto"/>
        <w:rPr>
          <w:rFonts w:cs="Arial"/>
          <w:sz w:val="22"/>
          <w:szCs w:val="22"/>
        </w:rPr>
      </w:pPr>
      <w:r w:rsidRPr="005940EC">
        <w:rPr>
          <w:rFonts w:cs="Arial"/>
          <w:sz w:val="22"/>
          <w:szCs w:val="22"/>
        </w:rPr>
        <w:t xml:space="preserve">Con apoyo en el numeral 6 del artículo 30 de la Ley 80 de 1993, se puede definir la propuesta alternativa, en contraposición a la propuesta básica, siendo, entonces, la que presenta variantes con respecto a lo requerido en el pliego de condiciones. En el mismo orden de ideas, la propuesta básica es aquella que se ajusta a todas las condiciones del pliego. Así las cosas, dentro de un procedimiento de licitación pública mal podría un proponente obtener la adjudicación con base en una propuesta alternativa, si no acredita, también, una propuesta básica, para efectos de ajustarse a aquello que ha requerido la Administración en el pliego de condiciones. (…) Es importante distinguir entre la propuesta </w:t>
      </w:r>
      <w:r w:rsidRPr="005940EC">
        <w:rPr>
          <w:rFonts w:cs="Arial"/>
          <w:sz w:val="22"/>
          <w:szCs w:val="22"/>
        </w:rPr>
        <w:lastRenderedPageBreak/>
        <w:t>alternativa y las excepciones técnicas o económicas, en cuanto la primera contiene una oferta completa e independiente, mientras que las segundas se presentan a través de un apartamiento parcial de los requisitos, en relación con los elementos técnicos o económicos requeridos en el pliego de condiciones y, por tanto, dentro de la propuesta básica ajustada al pliego, salvo en el elemento ofrecido bajo la respectiva excepción.</w:t>
      </w:r>
    </w:p>
    <w:p w14:paraId="6D0DE9DB" w14:textId="77777777" w:rsidR="00581FA4" w:rsidRPr="005940EC" w:rsidRDefault="00581FA4" w:rsidP="00581FA4">
      <w:pPr>
        <w:spacing w:line="240" w:lineRule="auto"/>
        <w:rPr>
          <w:rFonts w:cs="Arial"/>
          <w:sz w:val="22"/>
          <w:szCs w:val="22"/>
        </w:rPr>
      </w:pPr>
    </w:p>
    <w:p w14:paraId="49D16B99" w14:textId="77777777" w:rsidR="00581FA4" w:rsidRPr="005940EC" w:rsidRDefault="00581FA4" w:rsidP="00581FA4">
      <w:pPr>
        <w:spacing w:line="240" w:lineRule="auto"/>
        <w:rPr>
          <w:rFonts w:cs="Arial"/>
          <w:b/>
          <w:sz w:val="22"/>
          <w:szCs w:val="22"/>
        </w:rPr>
      </w:pPr>
      <w:r w:rsidRPr="005940EC">
        <w:rPr>
          <w:rFonts w:cs="Arial"/>
          <w:b/>
          <w:sz w:val="22"/>
          <w:szCs w:val="22"/>
        </w:rPr>
        <w:t>ACTO DE A</w:t>
      </w:r>
      <w:r w:rsidR="0032483C" w:rsidRPr="005940EC">
        <w:rPr>
          <w:rFonts w:cs="Arial"/>
          <w:b/>
          <w:sz w:val="22"/>
          <w:szCs w:val="22"/>
        </w:rPr>
        <w:t>DJUDICACIÓ</w:t>
      </w:r>
      <w:r w:rsidRPr="005940EC">
        <w:rPr>
          <w:rFonts w:cs="Arial"/>
          <w:b/>
          <w:sz w:val="22"/>
          <w:szCs w:val="22"/>
        </w:rPr>
        <w:t>N – Contrato estatal – Pliego de condiciones - Reglas de interpretación de los contratos</w:t>
      </w:r>
    </w:p>
    <w:p w14:paraId="02199BEF" w14:textId="77777777" w:rsidR="00581FA4" w:rsidRPr="005940EC" w:rsidRDefault="00581FA4" w:rsidP="00581FA4">
      <w:pPr>
        <w:spacing w:line="240" w:lineRule="auto"/>
        <w:rPr>
          <w:rFonts w:cs="Arial"/>
          <w:sz w:val="22"/>
          <w:szCs w:val="22"/>
        </w:rPr>
      </w:pPr>
      <w:r w:rsidRPr="005940EC">
        <w:rPr>
          <w:rFonts w:cs="Arial"/>
          <w:sz w:val="22"/>
          <w:szCs w:val="22"/>
        </w:rPr>
        <w:t xml:space="preserve"> </w:t>
      </w:r>
    </w:p>
    <w:p w14:paraId="2B7FE103" w14:textId="77777777" w:rsidR="00581FA4" w:rsidRPr="005940EC" w:rsidRDefault="00581FA4" w:rsidP="00581FA4">
      <w:pPr>
        <w:spacing w:line="240" w:lineRule="auto"/>
        <w:rPr>
          <w:rFonts w:cs="Arial"/>
          <w:sz w:val="22"/>
          <w:szCs w:val="22"/>
        </w:rPr>
      </w:pPr>
      <w:r w:rsidRPr="005940EC">
        <w:rPr>
          <w:rFonts w:cs="Arial"/>
          <w:sz w:val="22"/>
          <w:szCs w:val="22"/>
        </w:rPr>
        <w:t>La Sala pone de presente que, en los términos de los artículos 23 y 28 de la Ley 80 de 1993, para definir la legalidad del acto de adjudicación del contrato estatal frente a la interpretación del pliego de condiciones, es necesario acudir a “las reglas de interpretación de la contratación, los principios generales del derecho y los particulares del derecho administrativo”; y, también, es imperativo aplicar los criterios legales de interpretación, “los fines y los principios” de que trata la Ley 80 de 1993, “los mandatos de la buena fe y la igualdad y equilibrio entre prestaciones y derechos que caracteriza a los contratos conmutativos”. (…) De acuerdo con esas disposiciones, es procedente estudiar el contenido del pliego de condiciones desde la perspectiva de sus antecedentes administrativos, para entender los fundamentos sobre los cuales se soportó la estructuración de la convocatoria pública e interpretar su contenido bajo esa óptica, claro está, siempre y cuando dichos antecedentes se aprecien ajustados a derecho, puesto que, precisamente, su análisis puede llevar a confirmar o a anular la adjudicación, esto último, por ejemplo, en caso de evidenciar la violación de la ley en el procedimiento de contratación. (…) las reglas de la interpretación de los contratos se deben utilizar, también, en la hermenéutica del pliego de condiciones y en la apreciación del acto de adjudicación del contrato. Lo anterior implica que para interpretar el pliego de condiciones se impone esclarecer la voluntad de las partes, el sentido lógico en que una cláusula puede producir efectos, la naturaleza del contrato al que se refiere el pliego de condiciones, la interpretación sistemática del pliego de condiciones y, en caso de ambigüedad, la interpretación favorable a los proponentes, todo ello de conformidad con las reglas tradicionales que se describen en los artículos 1618 a 1624 del Código Civil, las cuales resultan aplicables a la contratación estatal con apoyo en los artículos 13 y 23 de la Ley 80 de 1993.</w:t>
      </w:r>
    </w:p>
    <w:p w14:paraId="63E80AFA" w14:textId="77777777" w:rsidR="00581FA4" w:rsidRPr="005940EC" w:rsidRDefault="00581FA4" w:rsidP="00581FA4">
      <w:pPr>
        <w:spacing w:line="240" w:lineRule="auto"/>
        <w:rPr>
          <w:rFonts w:cs="Arial"/>
          <w:sz w:val="22"/>
          <w:szCs w:val="22"/>
        </w:rPr>
      </w:pPr>
    </w:p>
    <w:p w14:paraId="57FA1653" w14:textId="77777777" w:rsidR="00581FA4" w:rsidRPr="005940EC" w:rsidRDefault="0032483C" w:rsidP="00581FA4">
      <w:pPr>
        <w:spacing w:line="240" w:lineRule="auto"/>
        <w:rPr>
          <w:rFonts w:cs="Arial"/>
          <w:b/>
          <w:sz w:val="22"/>
          <w:szCs w:val="22"/>
        </w:rPr>
      </w:pPr>
      <w:r w:rsidRPr="005940EC">
        <w:rPr>
          <w:rFonts w:cs="Arial"/>
          <w:b/>
          <w:sz w:val="22"/>
          <w:szCs w:val="22"/>
        </w:rPr>
        <w:t>CALIFICACIÓ</w:t>
      </w:r>
      <w:r w:rsidR="00581FA4" w:rsidRPr="005940EC">
        <w:rPr>
          <w:rFonts w:cs="Arial"/>
          <w:b/>
          <w:sz w:val="22"/>
          <w:szCs w:val="22"/>
        </w:rPr>
        <w:t>N DE PROPUESTAS – Licitación pública – Contrato de concesión alumbrado público – Certificaciones de aseguramiento de calidad de bienes</w:t>
      </w:r>
    </w:p>
    <w:p w14:paraId="30375182" w14:textId="77777777" w:rsidR="00581FA4" w:rsidRPr="005940EC" w:rsidRDefault="00581FA4" w:rsidP="00581FA4">
      <w:pPr>
        <w:spacing w:line="240" w:lineRule="auto"/>
        <w:rPr>
          <w:rFonts w:cs="Arial"/>
          <w:sz w:val="22"/>
          <w:szCs w:val="22"/>
        </w:rPr>
      </w:pPr>
    </w:p>
    <w:p w14:paraId="53F81EED" w14:textId="22175247" w:rsidR="006F4BFB" w:rsidRDefault="00581FA4" w:rsidP="0099709B">
      <w:pPr>
        <w:pStyle w:val="Lista2"/>
        <w:spacing w:line="240" w:lineRule="auto"/>
        <w:ind w:left="0" w:firstLine="0"/>
      </w:pPr>
      <w:r w:rsidRPr="005940EC">
        <w:rPr>
          <w:rFonts w:cs="Arial"/>
          <w:sz w:val="22"/>
          <w:szCs w:val="22"/>
        </w:rPr>
        <w:t>De la lectura del documento de implementación de los sistemas ISO, obrante en el plenario, se extrae que el aseguramiento de la calidad (AC) se refiere a las actividades que una organización realiza para otorgar, a las partes externas (clientes, organismos reguladores) o las partes internas (por ejemplo administración), confianza de que la organización cumplirá constantemente los requisitos relativos a la calidad. (…) Teniendo en cuenta la univocidad del propósito del adendo 3 respecto de la exigencia de las certificaciones de calidad ISO y de las diferentes normas técnicas citadas en el pliego de condiciones y en el adendo 3, la Sala advierte que todas las certificaciones debían ser admitidas en condiciones de igualdad, interpretación que se apoya en la posibilidad legal de definir los factores de selección objetiva, consagrada en el artículo 29 de la Ley 80 de 1993, aunada a que en el caso concreto el municipio buscó no cerrar las propuestas a las especificaciones de un solo proveedor o fabricante y por ende a un solo tipo de las certificaciones que pudieran exhibir las empresas del sector eléctrico. (…) Se concluye que la demandante no logró demostrar que sus acreditaciones de calidad para los componentes que proponía emplear en el cumplimiento del contrato de concesión reunían los requisitos para acceder a los 600 puntos, máximo puntaje del factor técnico por calidad de bienes. (…) Tampoco proceden los argumentos de la demandante en lo que hace relación con la calificación del factor de capacidad financiera y, por ello, se desecha el cargo y la correspondiente pretensión de nulidad del acto de adjudicación que se argumentó como basada en la inclusión del adendo 3, cuestionado en el sub lite.</w:t>
      </w:r>
    </w:p>
    <w:p w14:paraId="70C75445" w14:textId="73BC2191" w:rsidR="006F4BFB" w:rsidRDefault="006F4BFB" w:rsidP="00E06FC2">
      <w:pPr>
        <w:pStyle w:val="Puesto"/>
        <w:rPr>
          <w:sz w:val="24"/>
        </w:rPr>
      </w:pPr>
    </w:p>
    <w:p w14:paraId="1360A539" w14:textId="7DAF44C2" w:rsidR="0099709B" w:rsidRDefault="0099709B" w:rsidP="00E06FC2">
      <w:pPr>
        <w:pStyle w:val="Puesto"/>
        <w:rPr>
          <w:sz w:val="24"/>
        </w:rPr>
      </w:pPr>
    </w:p>
    <w:p w14:paraId="47EDCA80" w14:textId="087E6C71" w:rsidR="0099709B" w:rsidRDefault="0099709B" w:rsidP="00E06FC2">
      <w:pPr>
        <w:pStyle w:val="Puesto"/>
        <w:rPr>
          <w:sz w:val="24"/>
        </w:rPr>
      </w:pPr>
    </w:p>
    <w:p w14:paraId="7512D9A7" w14:textId="77777777" w:rsidR="0099709B" w:rsidRDefault="0099709B" w:rsidP="00E06FC2">
      <w:pPr>
        <w:pStyle w:val="Puesto"/>
        <w:rPr>
          <w:sz w:val="24"/>
        </w:rPr>
      </w:pPr>
      <w:bookmarkStart w:id="0" w:name="_GoBack"/>
      <w:bookmarkEnd w:id="0"/>
    </w:p>
    <w:p w14:paraId="29F8C3AB" w14:textId="77777777" w:rsidR="00C85395" w:rsidRPr="00E06FC2" w:rsidRDefault="00C85395" w:rsidP="00E06FC2">
      <w:pPr>
        <w:pStyle w:val="Puesto"/>
        <w:rPr>
          <w:sz w:val="24"/>
        </w:rPr>
      </w:pPr>
      <w:r w:rsidRPr="00E06FC2">
        <w:rPr>
          <w:sz w:val="24"/>
        </w:rPr>
        <w:lastRenderedPageBreak/>
        <w:t>CONSEJO DE ESTADO</w:t>
      </w:r>
    </w:p>
    <w:p w14:paraId="4777407A" w14:textId="77777777" w:rsidR="00E06FC2" w:rsidRPr="00E06FC2" w:rsidRDefault="00E06FC2" w:rsidP="00E06FC2">
      <w:pPr>
        <w:pStyle w:val="Puesto"/>
        <w:rPr>
          <w:sz w:val="24"/>
        </w:rPr>
      </w:pPr>
    </w:p>
    <w:p w14:paraId="44F15B7E" w14:textId="77777777" w:rsidR="00C85395" w:rsidRPr="00E06FC2" w:rsidRDefault="00C85395" w:rsidP="00E06FC2">
      <w:pPr>
        <w:pStyle w:val="Puesto"/>
        <w:rPr>
          <w:sz w:val="24"/>
        </w:rPr>
      </w:pPr>
      <w:r w:rsidRPr="00E06FC2">
        <w:rPr>
          <w:sz w:val="24"/>
        </w:rPr>
        <w:t>SALA DE LO CONTENCIOSO ADMINISTRATIVO</w:t>
      </w:r>
    </w:p>
    <w:p w14:paraId="7A4FBC13" w14:textId="77777777" w:rsidR="00E06FC2" w:rsidRPr="00E06FC2" w:rsidRDefault="00E06FC2" w:rsidP="00E06FC2">
      <w:pPr>
        <w:pStyle w:val="Puesto"/>
        <w:rPr>
          <w:sz w:val="24"/>
        </w:rPr>
      </w:pPr>
    </w:p>
    <w:p w14:paraId="5FEF13CB" w14:textId="77777777" w:rsidR="00E06FC2" w:rsidRPr="00E06FC2" w:rsidRDefault="000E6697" w:rsidP="00E06FC2">
      <w:pPr>
        <w:pStyle w:val="Puesto"/>
        <w:rPr>
          <w:sz w:val="24"/>
        </w:rPr>
      </w:pPr>
      <w:r w:rsidRPr="00E06FC2">
        <w:rPr>
          <w:sz w:val="24"/>
        </w:rPr>
        <w:t>SECCIÓ</w:t>
      </w:r>
      <w:r w:rsidR="00C85395" w:rsidRPr="00E06FC2">
        <w:rPr>
          <w:sz w:val="24"/>
        </w:rPr>
        <w:t>N TERCERA</w:t>
      </w:r>
    </w:p>
    <w:p w14:paraId="71D74C5A" w14:textId="77777777" w:rsidR="00E06FC2" w:rsidRPr="00E06FC2" w:rsidRDefault="00E06FC2" w:rsidP="00E06FC2">
      <w:pPr>
        <w:pStyle w:val="Puesto"/>
        <w:rPr>
          <w:sz w:val="24"/>
        </w:rPr>
      </w:pPr>
    </w:p>
    <w:p w14:paraId="6B991154" w14:textId="77777777" w:rsidR="00C85395" w:rsidRPr="00E06FC2" w:rsidRDefault="000E6697" w:rsidP="00E06FC2">
      <w:pPr>
        <w:pStyle w:val="Puesto"/>
        <w:rPr>
          <w:sz w:val="24"/>
        </w:rPr>
      </w:pPr>
      <w:r w:rsidRPr="00E06FC2">
        <w:rPr>
          <w:sz w:val="24"/>
        </w:rPr>
        <w:t>SUBSECCIÓ</w:t>
      </w:r>
      <w:r w:rsidR="009479F7" w:rsidRPr="00E06FC2">
        <w:rPr>
          <w:sz w:val="24"/>
        </w:rPr>
        <w:t>N A</w:t>
      </w:r>
    </w:p>
    <w:p w14:paraId="6A3AAE70" w14:textId="77777777" w:rsidR="00C85395" w:rsidRPr="00E06FC2" w:rsidRDefault="00C85395" w:rsidP="00E06FC2">
      <w:pPr>
        <w:pStyle w:val="Encabezado"/>
        <w:spacing w:line="240" w:lineRule="auto"/>
        <w:jc w:val="center"/>
        <w:rPr>
          <w:rFonts w:cs="Arial"/>
          <w:b/>
          <w:szCs w:val="24"/>
          <w:lang w:val="es-CO"/>
        </w:rPr>
      </w:pPr>
    </w:p>
    <w:p w14:paraId="6842E051" w14:textId="77777777" w:rsidR="00C85395" w:rsidRPr="00E06FC2" w:rsidRDefault="00C85395" w:rsidP="00E06FC2">
      <w:pPr>
        <w:pStyle w:val="Encabezado"/>
        <w:spacing w:line="240" w:lineRule="auto"/>
        <w:jc w:val="center"/>
        <w:rPr>
          <w:rFonts w:cs="Arial"/>
          <w:spacing w:val="-3"/>
          <w:szCs w:val="24"/>
          <w:lang w:val="es-CO"/>
        </w:rPr>
      </w:pPr>
      <w:r w:rsidRPr="00E06FC2">
        <w:rPr>
          <w:rFonts w:cs="Arial"/>
          <w:b/>
          <w:szCs w:val="24"/>
          <w:lang w:val="es-CO"/>
        </w:rPr>
        <w:t>Consej</w:t>
      </w:r>
      <w:r w:rsidR="00F556DB" w:rsidRPr="00E06FC2">
        <w:rPr>
          <w:rFonts w:cs="Arial"/>
          <w:b/>
          <w:szCs w:val="24"/>
          <w:lang w:val="es-CO"/>
        </w:rPr>
        <w:t>er</w:t>
      </w:r>
      <w:r w:rsidR="00961FDA" w:rsidRPr="00E06FC2">
        <w:rPr>
          <w:rFonts w:cs="Arial"/>
          <w:b/>
          <w:szCs w:val="24"/>
          <w:lang w:val="es-CO"/>
        </w:rPr>
        <w:t>a</w:t>
      </w:r>
      <w:r w:rsidR="00F556DB" w:rsidRPr="00E06FC2">
        <w:rPr>
          <w:rFonts w:cs="Arial"/>
          <w:b/>
          <w:szCs w:val="24"/>
          <w:lang w:val="es-CO"/>
        </w:rPr>
        <w:t xml:space="preserve"> </w:t>
      </w:r>
      <w:r w:rsidR="00A06AFF" w:rsidRPr="00E06FC2">
        <w:rPr>
          <w:rFonts w:cs="Arial"/>
          <w:b/>
          <w:szCs w:val="24"/>
          <w:lang w:val="es-CO"/>
        </w:rPr>
        <w:t>p</w:t>
      </w:r>
      <w:r w:rsidR="00F556DB" w:rsidRPr="00E06FC2">
        <w:rPr>
          <w:rFonts w:cs="Arial"/>
          <w:b/>
          <w:szCs w:val="24"/>
          <w:lang w:val="es-CO"/>
        </w:rPr>
        <w:t>onente: MA</w:t>
      </w:r>
      <w:r w:rsidR="00961FDA" w:rsidRPr="00E06FC2">
        <w:rPr>
          <w:rFonts w:cs="Arial"/>
          <w:b/>
          <w:szCs w:val="24"/>
          <w:lang w:val="es-CO"/>
        </w:rPr>
        <w:t>RTA NUBIA VELÁSQUEZ RICO</w:t>
      </w:r>
    </w:p>
    <w:p w14:paraId="68A47743" w14:textId="77777777" w:rsidR="00ED77A2" w:rsidRPr="00E06FC2" w:rsidRDefault="00ED77A2" w:rsidP="00E06FC2">
      <w:pPr>
        <w:spacing w:line="240" w:lineRule="auto"/>
        <w:rPr>
          <w:rFonts w:cs="Arial"/>
        </w:rPr>
      </w:pPr>
    </w:p>
    <w:p w14:paraId="08803E81" w14:textId="77777777" w:rsidR="00E06FC2" w:rsidRPr="00E06FC2" w:rsidRDefault="00F21484" w:rsidP="00E06FC2">
      <w:pPr>
        <w:pStyle w:val="Saludo"/>
        <w:spacing w:line="240" w:lineRule="auto"/>
        <w:rPr>
          <w:rFonts w:cs="Arial"/>
        </w:rPr>
      </w:pPr>
      <w:r w:rsidRPr="00E06FC2">
        <w:rPr>
          <w:rFonts w:cs="Arial"/>
        </w:rPr>
        <w:t>B</w:t>
      </w:r>
      <w:r w:rsidR="00025C7D" w:rsidRPr="00E06FC2">
        <w:rPr>
          <w:rFonts w:cs="Arial"/>
        </w:rPr>
        <w:t>ogotá</w:t>
      </w:r>
      <w:r w:rsidR="00E06FC2" w:rsidRPr="00E06FC2">
        <w:rPr>
          <w:rFonts w:cs="Arial"/>
        </w:rPr>
        <w:t>,</w:t>
      </w:r>
      <w:r w:rsidR="00025C7D" w:rsidRPr="00E06FC2">
        <w:rPr>
          <w:rFonts w:cs="Arial"/>
        </w:rPr>
        <w:t xml:space="preserve"> D.C., </w:t>
      </w:r>
      <w:r w:rsidR="00A41881" w:rsidRPr="00E06FC2">
        <w:rPr>
          <w:rFonts w:cs="Arial"/>
        </w:rPr>
        <w:t xml:space="preserve">siete (7) </w:t>
      </w:r>
      <w:r w:rsidR="003D2359" w:rsidRPr="00E06FC2">
        <w:rPr>
          <w:rFonts w:cs="Arial"/>
        </w:rPr>
        <w:t xml:space="preserve">de </w:t>
      </w:r>
      <w:r w:rsidR="00A41881" w:rsidRPr="00E06FC2">
        <w:rPr>
          <w:rFonts w:cs="Arial"/>
        </w:rPr>
        <w:t xml:space="preserve">diciembre </w:t>
      </w:r>
      <w:r w:rsidR="00C6529F" w:rsidRPr="00E06FC2">
        <w:rPr>
          <w:rFonts w:cs="Arial"/>
        </w:rPr>
        <w:t xml:space="preserve">de </w:t>
      </w:r>
      <w:r w:rsidR="003D2359" w:rsidRPr="00E06FC2">
        <w:rPr>
          <w:rFonts w:cs="Arial"/>
        </w:rPr>
        <w:t xml:space="preserve">dos mil </w:t>
      </w:r>
      <w:r w:rsidR="00F773C8" w:rsidRPr="00E06FC2">
        <w:rPr>
          <w:rFonts w:cs="Arial"/>
        </w:rPr>
        <w:t>dieciséis</w:t>
      </w:r>
      <w:r w:rsidR="003D2359" w:rsidRPr="00E06FC2">
        <w:rPr>
          <w:rFonts w:cs="Arial"/>
        </w:rPr>
        <w:t xml:space="preserve"> (201</w:t>
      </w:r>
      <w:r w:rsidR="00F773C8" w:rsidRPr="00E06FC2">
        <w:rPr>
          <w:rFonts w:cs="Arial"/>
        </w:rPr>
        <w:t>6</w:t>
      </w:r>
      <w:r w:rsidR="003D2359" w:rsidRPr="00E06FC2">
        <w:rPr>
          <w:rFonts w:cs="Arial"/>
        </w:rPr>
        <w:t>)</w:t>
      </w:r>
    </w:p>
    <w:p w14:paraId="3AEA8353" w14:textId="77777777" w:rsidR="00E06FC2" w:rsidRPr="00E06FC2" w:rsidRDefault="00E06FC2" w:rsidP="00E06FC2">
      <w:pPr>
        <w:pStyle w:val="Saludo"/>
        <w:spacing w:line="240" w:lineRule="auto"/>
        <w:rPr>
          <w:rFonts w:cs="Arial"/>
        </w:rPr>
      </w:pPr>
    </w:p>
    <w:p w14:paraId="51BCE44A" w14:textId="77777777" w:rsidR="00E06FC2" w:rsidRPr="00E06FC2" w:rsidRDefault="005E72B3" w:rsidP="00E06FC2">
      <w:pPr>
        <w:pStyle w:val="Saludo"/>
        <w:spacing w:line="240" w:lineRule="auto"/>
        <w:rPr>
          <w:rFonts w:cs="Arial"/>
          <w:b/>
        </w:rPr>
      </w:pPr>
      <w:r w:rsidRPr="00E06FC2">
        <w:rPr>
          <w:rFonts w:cs="Arial"/>
          <w:b/>
        </w:rPr>
        <w:t>Radicación</w:t>
      </w:r>
      <w:r w:rsidR="00170856">
        <w:rPr>
          <w:rFonts w:cs="Arial"/>
          <w:b/>
        </w:rPr>
        <w:t xml:space="preserve"> número</w:t>
      </w:r>
      <w:r w:rsidRPr="00E06FC2">
        <w:rPr>
          <w:rFonts w:cs="Arial"/>
          <w:b/>
        </w:rPr>
        <w:t>: 76001</w:t>
      </w:r>
      <w:r w:rsidR="00E06FC2" w:rsidRPr="00E06FC2">
        <w:rPr>
          <w:rFonts w:cs="Arial"/>
          <w:b/>
        </w:rPr>
        <w:t>-</w:t>
      </w:r>
      <w:r w:rsidRPr="00E06FC2">
        <w:rPr>
          <w:rFonts w:cs="Arial"/>
          <w:b/>
        </w:rPr>
        <w:t>23</w:t>
      </w:r>
      <w:r w:rsidR="00E06FC2" w:rsidRPr="00E06FC2">
        <w:rPr>
          <w:rFonts w:cs="Arial"/>
          <w:b/>
        </w:rPr>
        <w:t>-</w:t>
      </w:r>
      <w:r w:rsidRPr="00E06FC2">
        <w:rPr>
          <w:rFonts w:cs="Arial"/>
          <w:b/>
        </w:rPr>
        <w:t>31</w:t>
      </w:r>
      <w:r w:rsidR="00E06FC2" w:rsidRPr="00E06FC2">
        <w:rPr>
          <w:rFonts w:cs="Arial"/>
          <w:b/>
        </w:rPr>
        <w:t>-</w:t>
      </w:r>
      <w:r w:rsidRPr="00E06FC2">
        <w:rPr>
          <w:rFonts w:cs="Arial"/>
          <w:b/>
        </w:rPr>
        <w:t>000</w:t>
      </w:r>
      <w:r w:rsidR="00E06FC2" w:rsidRPr="00E06FC2">
        <w:rPr>
          <w:rFonts w:cs="Arial"/>
          <w:b/>
        </w:rPr>
        <w:t>-</w:t>
      </w:r>
      <w:r w:rsidRPr="00E06FC2">
        <w:rPr>
          <w:rFonts w:cs="Arial"/>
          <w:b/>
        </w:rPr>
        <w:t>1998</w:t>
      </w:r>
      <w:r w:rsidR="00E06FC2" w:rsidRPr="00E06FC2">
        <w:rPr>
          <w:rFonts w:cs="Arial"/>
          <w:b/>
        </w:rPr>
        <w:t>-</w:t>
      </w:r>
      <w:r w:rsidRPr="00E06FC2">
        <w:rPr>
          <w:rFonts w:cs="Arial"/>
          <w:b/>
        </w:rPr>
        <w:t>00091</w:t>
      </w:r>
      <w:r w:rsidR="00E06FC2" w:rsidRPr="00E06FC2">
        <w:rPr>
          <w:rFonts w:cs="Arial"/>
          <w:b/>
        </w:rPr>
        <w:t>-0</w:t>
      </w:r>
      <w:r w:rsidRPr="00E06FC2">
        <w:rPr>
          <w:rFonts w:cs="Arial"/>
          <w:b/>
        </w:rPr>
        <w:t>3(37959)</w:t>
      </w:r>
    </w:p>
    <w:p w14:paraId="568EBC41" w14:textId="77777777" w:rsidR="00E06FC2" w:rsidRPr="00E06FC2" w:rsidRDefault="00E06FC2" w:rsidP="00E06FC2">
      <w:pPr>
        <w:pStyle w:val="Saludo"/>
        <w:spacing w:line="240" w:lineRule="auto"/>
        <w:rPr>
          <w:rFonts w:cs="Arial"/>
          <w:b/>
        </w:rPr>
      </w:pPr>
    </w:p>
    <w:p w14:paraId="3CD8ED7E" w14:textId="77777777" w:rsidR="00E06FC2" w:rsidRPr="00E06FC2" w:rsidRDefault="005E72B3" w:rsidP="00E06FC2">
      <w:pPr>
        <w:pStyle w:val="Saludo"/>
        <w:spacing w:line="240" w:lineRule="auto"/>
        <w:rPr>
          <w:rFonts w:cs="Arial"/>
          <w:b/>
        </w:rPr>
      </w:pPr>
      <w:r w:rsidRPr="00E06FC2">
        <w:rPr>
          <w:rFonts w:cs="Arial"/>
          <w:b/>
        </w:rPr>
        <w:t xml:space="preserve">Actor: </w:t>
      </w:r>
      <w:r w:rsidR="00E06FC2" w:rsidRPr="00E06FC2">
        <w:rPr>
          <w:rFonts w:cs="Arial"/>
          <w:b/>
        </w:rPr>
        <w:t>SOCIEDAD ELECTRO ATLÁNTICO L</w:t>
      </w:r>
      <w:r w:rsidR="0057353C">
        <w:rPr>
          <w:rFonts w:cs="Arial"/>
          <w:b/>
        </w:rPr>
        <w:t>IMI</w:t>
      </w:r>
      <w:r w:rsidR="00E06FC2" w:rsidRPr="00E06FC2">
        <w:rPr>
          <w:rFonts w:cs="Arial"/>
          <w:b/>
        </w:rPr>
        <w:t>T</w:t>
      </w:r>
      <w:r w:rsidR="0057353C">
        <w:rPr>
          <w:rFonts w:cs="Arial"/>
          <w:b/>
        </w:rPr>
        <w:t>A</w:t>
      </w:r>
      <w:r w:rsidR="00E06FC2" w:rsidRPr="00E06FC2">
        <w:rPr>
          <w:rFonts w:cs="Arial"/>
          <w:b/>
        </w:rPr>
        <w:t>DA</w:t>
      </w:r>
    </w:p>
    <w:p w14:paraId="691BD97B" w14:textId="77777777" w:rsidR="00E06FC2" w:rsidRPr="00E06FC2" w:rsidRDefault="00E06FC2" w:rsidP="00E06FC2">
      <w:pPr>
        <w:pStyle w:val="Saludo"/>
        <w:spacing w:line="240" w:lineRule="auto"/>
        <w:rPr>
          <w:rFonts w:cs="Arial"/>
          <w:b/>
        </w:rPr>
      </w:pPr>
    </w:p>
    <w:p w14:paraId="6C73344C" w14:textId="77777777" w:rsidR="00E06FC2" w:rsidRPr="00E06FC2" w:rsidRDefault="005E72B3" w:rsidP="00E06FC2">
      <w:pPr>
        <w:pStyle w:val="Saludo"/>
        <w:spacing w:line="240" w:lineRule="auto"/>
        <w:rPr>
          <w:rFonts w:cs="Arial"/>
          <w:b/>
        </w:rPr>
      </w:pPr>
      <w:r w:rsidRPr="00E06FC2">
        <w:rPr>
          <w:rFonts w:cs="Arial"/>
          <w:b/>
        </w:rPr>
        <w:t xml:space="preserve">Demandado: </w:t>
      </w:r>
      <w:r w:rsidR="00E06FC2" w:rsidRPr="00E06FC2">
        <w:rPr>
          <w:rFonts w:cs="Arial"/>
          <w:b/>
        </w:rPr>
        <w:t>MUNICIPIO DE CARTAGO</w:t>
      </w:r>
    </w:p>
    <w:p w14:paraId="1AAA480A" w14:textId="77777777" w:rsidR="00E06FC2" w:rsidRPr="00E06FC2" w:rsidRDefault="00E06FC2" w:rsidP="00E06FC2">
      <w:pPr>
        <w:pStyle w:val="Saludo"/>
        <w:spacing w:line="240" w:lineRule="auto"/>
        <w:rPr>
          <w:rFonts w:cs="Arial"/>
          <w:b/>
        </w:rPr>
      </w:pPr>
    </w:p>
    <w:p w14:paraId="119A6800" w14:textId="77777777" w:rsidR="00E06FC2" w:rsidRPr="00E06FC2" w:rsidRDefault="00E06FC2" w:rsidP="00E06FC2">
      <w:pPr>
        <w:pStyle w:val="Saludo"/>
        <w:spacing w:line="240" w:lineRule="auto"/>
        <w:rPr>
          <w:rFonts w:cs="Arial"/>
          <w:b/>
        </w:rPr>
      </w:pPr>
    </w:p>
    <w:p w14:paraId="6B947C99" w14:textId="77777777" w:rsidR="00E06FC2" w:rsidRPr="00E06FC2" w:rsidRDefault="00E06FC2" w:rsidP="00E06FC2">
      <w:pPr>
        <w:pStyle w:val="Saludo"/>
        <w:spacing w:line="240" w:lineRule="auto"/>
        <w:rPr>
          <w:rFonts w:cs="Arial"/>
          <w:b/>
        </w:rPr>
      </w:pPr>
    </w:p>
    <w:p w14:paraId="3A7CE70E" w14:textId="77777777" w:rsidR="00E06FC2" w:rsidRPr="00E06FC2" w:rsidRDefault="00E06FC2" w:rsidP="00E06FC2">
      <w:pPr>
        <w:pStyle w:val="Saludo"/>
        <w:spacing w:line="240" w:lineRule="auto"/>
        <w:rPr>
          <w:rFonts w:cs="Arial"/>
          <w:b/>
        </w:rPr>
      </w:pPr>
      <w:r w:rsidRPr="00E06FC2">
        <w:rPr>
          <w:rFonts w:cs="Arial"/>
          <w:b/>
        </w:rPr>
        <w:t>Referencia: APELACIÓN SENTENCIA - ACCIÓN DE NULIDAD Y RESTABLECIMIENTO DEL DERECHO</w:t>
      </w:r>
    </w:p>
    <w:p w14:paraId="64B8C619" w14:textId="77777777" w:rsidR="00E06FC2" w:rsidRPr="00E06FC2" w:rsidRDefault="00E06FC2" w:rsidP="00E06FC2">
      <w:pPr>
        <w:pStyle w:val="Saludo"/>
        <w:spacing w:line="240" w:lineRule="auto"/>
        <w:rPr>
          <w:rFonts w:cs="Arial"/>
          <w:b/>
        </w:rPr>
      </w:pPr>
    </w:p>
    <w:p w14:paraId="1F9487E6" w14:textId="77777777" w:rsidR="00E06FC2" w:rsidRPr="00E06FC2" w:rsidRDefault="00E06FC2" w:rsidP="00E06FC2">
      <w:pPr>
        <w:pStyle w:val="Saludo"/>
        <w:spacing w:line="240" w:lineRule="auto"/>
        <w:rPr>
          <w:rFonts w:cs="Arial"/>
          <w:b/>
        </w:rPr>
      </w:pPr>
    </w:p>
    <w:p w14:paraId="202E3BBA" w14:textId="77777777" w:rsidR="00E06FC2" w:rsidRPr="00E06FC2" w:rsidRDefault="00E06FC2" w:rsidP="00E06FC2">
      <w:pPr>
        <w:pStyle w:val="Saludo"/>
        <w:spacing w:line="240" w:lineRule="auto"/>
        <w:rPr>
          <w:rFonts w:cs="Arial"/>
          <w:b/>
        </w:rPr>
      </w:pPr>
    </w:p>
    <w:p w14:paraId="28B618C0" w14:textId="77777777" w:rsidR="00BA77BD" w:rsidRPr="00E06FC2" w:rsidRDefault="00BA77BD" w:rsidP="00E06FC2">
      <w:pPr>
        <w:pStyle w:val="Saludo"/>
        <w:spacing w:line="240" w:lineRule="auto"/>
        <w:rPr>
          <w:rFonts w:cs="Arial"/>
        </w:rPr>
      </w:pPr>
      <w:r w:rsidRPr="00E06FC2">
        <w:rPr>
          <w:rFonts w:cs="Arial"/>
        </w:rPr>
        <w:t>Temas</w:t>
      </w:r>
      <w:r w:rsidR="005E72B3" w:rsidRPr="00E06FC2">
        <w:rPr>
          <w:rFonts w:cs="Arial"/>
        </w:rPr>
        <w:t>: LICITACIÓN P</w:t>
      </w:r>
      <w:r w:rsidR="00ED3470" w:rsidRPr="00E06FC2">
        <w:rPr>
          <w:rFonts w:cs="Arial"/>
        </w:rPr>
        <w:t>Ú</w:t>
      </w:r>
      <w:r w:rsidR="005E72B3" w:rsidRPr="00E06FC2">
        <w:rPr>
          <w:rFonts w:cs="Arial"/>
        </w:rPr>
        <w:t xml:space="preserve">BLICA </w:t>
      </w:r>
      <w:r w:rsidR="009E5F76" w:rsidRPr="00E06FC2">
        <w:rPr>
          <w:rFonts w:cs="Arial"/>
        </w:rPr>
        <w:t xml:space="preserve">PARA LA CONCESIÓN DE ALUMBRADO PÚBLICO – Propuestas alternativas </w:t>
      </w:r>
      <w:r w:rsidR="00ED3470" w:rsidRPr="00E06FC2">
        <w:rPr>
          <w:rFonts w:cs="Arial"/>
        </w:rPr>
        <w:t xml:space="preserve">/ </w:t>
      </w:r>
      <w:r w:rsidR="009E5F76" w:rsidRPr="00E06FC2">
        <w:rPr>
          <w:rFonts w:cs="Arial"/>
        </w:rPr>
        <w:t xml:space="preserve">PLIEGO DE CONDICIONES Y </w:t>
      </w:r>
      <w:r w:rsidR="00E06FC2">
        <w:rPr>
          <w:rFonts w:cs="Arial"/>
        </w:rPr>
        <w:t>ADENDO</w:t>
      </w:r>
      <w:r w:rsidR="00E06FC2" w:rsidRPr="00E06FC2">
        <w:rPr>
          <w:rFonts w:cs="Arial"/>
        </w:rPr>
        <w:t>S</w:t>
      </w:r>
      <w:r w:rsidR="009E5F76" w:rsidRPr="00E06FC2">
        <w:rPr>
          <w:rFonts w:cs="Arial"/>
        </w:rPr>
        <w:t xml:space="preserve"> – Interpretación con base en los antecedentes administrativos </w:t>
      </w:r>
      <w:r w:rsidR="00ED3470" w:rsidRPr="00E06FC2">
        <w:rPr>
          <w:rFonts w:cs="Arial"/>
        </w:rPr>
        <w:t>/</w:t>
      </w:r>
      <w:r w:rsidR="009E5F76" w:rsidRPr="00E06FC2">
        <w:rPr>
          <w:rFonts w:cs="Arial"/>
        </w:rPr>
        <w:t xml:space="preserve"> N</w:t>
      </w:r>
      <w:r w:rsidR="00ED3470" w:rsidRPr="00E06FC2">
        <w:rPr>
          <w:rFonts w:cs="Arial"/>
        </w:rPr>
        <w:t>ormas</w:t>
      </w:r>
      <w:r w:rsidR="009E5F76" w:rsidRPr="00E06FC2">
        <w:rPr>
          <w:rFonts w:cs="Arial"/>
        </w:rPr>
        <w:t xml:space="preserve"> ISO </w:t>
      </w:r>
      <w:r w:rsidR="00ED3470" w:rsidRPr="00E06FC2">
        <w:rPr>
          <w:rFonts w:cs="Arial"/>
        </w:rPr>
        <w:t>-</w:t>
      </w:r>
      <w:r w:rsidR="009E5F76" w:rsidRPr="00E06FC2">
        <w:rPr>
          <w:rFonts w:cs="Arial"/>
        </w:rPr>
        <w:t xml:space="preserve"> aplicación no obligatoria</w:t>
      </w:r>
    </w:p>
    <w:p w14:paraId="6CE050D8" w14:textId="77777777" w:rsidR="00BA77BD" w:rsidRPr="00E06FC2" w:rsidRDefault="00BA77BD" w:rsidP="00743788">
      <w:pPr>
        <w:widowControl w:val="0"/>
        <w:autoSpaceDE w:val="0"/>
        <w:autoSpaceDN w:val="0"/>
        <w:adjustRightInd w:val="0"/>
        <w:spacing w:line="240" w:lineRule="auto"/>
        <w:ind w:left="2124" w:hanging="2124"/>
        <w:rPr>
          <w:rFonts w:cs="Arial"/>
        </w:rPr>
      </w:pPr>
    </w:p>
    <w:p w14:paraId="748A592A" w14:textId="77777777" w:rsidR="00F21484" w:rsidRPr="00E06FC2" w:rsidRDefault="00F21484" w:rsidP="00743788">
      <w:pPr>
        <w:widowControl w:val="0"/>
        <w:autoSpaceDE w:val="0"/>
        <w:autoSpaceDN w:val="0"/>
        <w:adjustRightInd w:val="0"/>
        <w:rPr>
          <w:rFonts w:cs="Arial"/>
        </w:rPr>
      </w:pPr>
      <w:r w:rsidRPr="00E06FC2">
        <w:rPr>
          <w:rFonts w:cs="Arial"/>
        </w:rPr>
        <w:t xml:space="preserve">Conoce la Sala </w:t>
      </w:r>
      <w:r w:rsidR="00C01FCF" w:rsidRPr="00E06FC2">
        <w:rPr>
          <w:rFonts w:cs="Arial"/>
        </w:rPr>
        <w:t xml:space="preserve">de los </w:t>
      </w:r>
      <w:r w:rsidR="00F53FED" w:rsidRPr="00E06FC2">
        <w:rPr>
          <w:rFonts w:cs="Arial"/>
        </w:rPr>
        <w:t>recurso</w:t>
      </w:r>
      <w:r w:rsidR="00C01FCF" w:rsidRPr="00E06FC2">
        <w:rPr>
          <w:rFonts w:cs="Arial"/>
        </w:rPr>
        <w:t>s</w:t>
      </w:r>
      <w:r w:rsidR="00F53FED" w:rsidRPr="00E06FC2">
        <w:rPr>
          <w:rFonts w:cs="Arial"/>
        </w:rPr>
        <w:t xml:space="preserve"> de apelación presentado</w:t>
      </w:r>
      <w:r w:rsidR="00C01FCF" w:rsidRPr="00E06FC2">
        <w:rPr>
          <w:rFonts w:cs="Arial"/>
        </w:rPr>
        <w:t>s</w:t>
      </w:r>
      <w:r w:rsidR="00021148" w:rsidRPr="00E06FC2">
        <w:rPr>
          <w:rFonts w:cs="Arial"/>
        </w:rPr>
        <w:t xml:space="preserve"> por la parte</w:t>
      </w:r>
      <w:r w:rsidR="00C71714" w:rsidRPr="00E06FC2">
        <w:rPr>
          <w:rFonts w:cs="Arial"/>
        </w:rPr>
        <w:t xml:space="preserve"> </w:t>
      </w:r>
      <w:r w:rsidR="00C01FCF" w:rsidRPr="00E06FC2">
        <w:rPr>
          <w:rFonts w:cs="Arial"/>
        </w:rPr>
        <w:t>actora</w:t>
      </w:r>
      <w:r w:rsidR="00410E5A" w:rsidRPr="00E06FC2">
        <w:rPr>
          <w:rFonts w:cs="Arial"/>
        </w:rPr>
        <w:t xml:space="preserve"> y por cada uno de los integrantes de la parte demandada, </w:t>
      </w:r>
      <w:r w:rsidR="00F53FED" w:rsidRPr="00E06FC2">
        <w:rPr>
          <w:rFonts w:cs="Arial"/>
        </w:rPr>
        <w:t>contra</w:t>
      </w:r>
      <w:r w:rsidR="00E875E6" w:rsidRPr="00E06FC2">
        <w:rPr>
          <w:rFonts w:cs="Arial"/>
        </w:rPr>
        <w:t xml:space="preserve"> la sentencia proferida por </w:t>
      </w:r>
      <w:r w:rsidR="007E4317" w:rsidRPr="00E06FC2">
        <w:rPr>
          <w:rFonts w:cs="Arial"/>
        </w:rPr>
        <w:t>el Tribunal Administrativo de</w:t>
      </w:r>
      <w:r w:rsidR="00BE75BE" w:rsidRPr="00E06FC2">
        <w:rPr>
          <w:rFonts w:cs="Arial"/>
        </w:rPr>
        <w:t>l Valle del Cauca</w:t>
      </w:r>
      <w:r w:rsidR="00346B74" w:rsidRPr="00E06FC2">
        <w:rPr>
          <w:rFonts w:cs="Arial"/>
        </w:rPr>
        <w:t>,</w:t>
      </w:r>
      <w:r w:rsidR="005114BC" w:rsidRPr="00E06FC2">
        <w:rPr>
          <w:rFonts w:cs="Arial"/>
        </w:rPr>
        <w:t xml:space="preserve"> </w:t>
      </w:r>
      <w:r w:rsidR="00E875E6" w:rsidRPr="00E06FC2">
        <w:rPr>
          <w:rFonts w:cs="Arial"/>
        </w:rPr>
        <w:t xml:space="preserve">el </w:t>
      </w:r>
      <w:r w:rsidR="00BE75BE" w:rsidRPr="00E06FC2">
        <w:rPr>
          <w:rFonts w:cs="Arial"/>
        </w:rPr>
        <w:t>31 de agosto de 2009</w:t>
      </w:r>
      <w:r w:rsidRPr="00E06FC2">
        <w:rPr>
          <w:rFonts w:cs="Arial"/>
        </w:rPr>
        <w:t>, mediante la cual se dispuso:</w:t>
      </w:r>
    </w:p>
    <w:p w14:paraId="7A8B9345" w14:textId="77777777" w:rsidR="00C71714" w:rsidRPr="00E06FC2" w:rsidRDefault="00C71714" w:rsidP="00743788">
      <w:pPr>
        <w:pStyle w:val="Textoindependienteprimerasangra2"/>
        <w:ind w:left="0" w:firstLine="0"/>
        <w:jc w:val="left"/>
        <w:rPr>
          <w:rFonts w:cs="Arial"/>
          <w:b/>
          <w:i/>
        </w:rPr>
      </w:pPr>
    </w:p>
    <w:p w14:paraId="579DB760" w14:textId="77777777" w:rsidR="00F773C8" w:rsidRPr="00E06FC2" w:rsidRDefault="00312E2A" w:rsidP="00743788">
      <w:pPr>
        <w:pStyle w:val="Textoindependienteprimerasangra2"/>
        <w:spacing w:line="276" w:lineRule="auto"/>
        <w:ind w:left="567" w:right="567" w:firstLine="0"/>
        <w:rPr>
          <w:rFonts w:cs="Arial"/>
          <w:i/>
        </w:rPr>
      </w:pPr>
      <w:r w:rsidRPr="00E06FC2">
        <w:rPr>
          <w:rFonts w:cs="Arial"/>
          <w:i/>
        </w:rPr>
        <w:t>“</w:t>
      </w:r>
      <w:r w:rsidR="00BE75BE" w:rsidRPr="00E06FC2">
        <w:rPr>
          <w:rFonts w:cs="Arial"/>
          <w:i/>
        </w:rPr>
        <w:t>1) DECLÁRASE no probada la excepción de indebida representación del demandante propuesta por DISELECSA LTDA.</w:t>
      </w:r>
    </w:p>
    <w:p w14:paraId="5890BAB6" w14:textId="77777777" w:rsidR="00BE75BE" w:rsidRPr="00E06FC2" w:rsidRDefault="00BE75BE" w:rsidP="00743788">
      <w:pPr>
        <w:pStyle w:val="Textoindependienteprimerasangra2"/>
        <w:spacing w:line="276" w:lineRule="auto"/>
        <w:ind w:left="567" w:right="567" w:firstLine="0"/>
        <w:rPr>
          <w:rFonts w:cs="Arial"/>
          <w:i/>
        </w:rPr>
      </w:pPr>
    </w:p>
    <w:p w14:paraId="4357B3FB" w14:textId="77777777" w:rsidR="003207EA" w:rsidRPr="00E06FC2" w:rsidRDefault="001A45EE" w:rsidP="00743788">
      <w:pPr>
        <w:pStyle w:val="Textoindependienteprimerasangra2"/>
        <w:spacing w:line="276" w:lineRule="auto"/>
        <w:ind w:left="567" w:right="567" w:firstLine="0"/>
        <w:rPr>
          <w:rFonts w:cs="Arial"/>
          <w:i/>
        </w:rPr>
      </w:pPr>
      <w:r w:rsidRPr="00E06FC2">
        <w:rPr>
          <w:rFonts w:cs="Arial"/>
          <w:i/>
        </w:rPr>
        <w:t>”</w:t>
      </w:r>
      <w:r w:rsidR="00BE75BE" w:rsidRPr="00E06FC2">
        <w:rPr>
          <w:rFonts w:cs="Arial"/>
          <w:i/>
        </w:rPr>
        <w:t>2) DECLÁRASE la nulidad de la Resolución 442 del 10 de octubre de 1997, proferida por el Alcalde Municipal de Cartago Valle, ‘POR MEDIO DE LA CUAL SE ESCOGE LA PROPUESTA MAS FAVORABLE DENTRO DE LA LICITACIÓN PÚBLICA N</w:t>
      </w:r>
      <w:r w:rsidR="00A06AFF" w:rsidRPr="00E06FC2">
        <w:rPr>
          <w:rFonts w:cs="Arial"/>
          <w:i/>
        </w:rPr>
        <w:t>o</w:t>
      </w:r>
      <w:r w:rsidR="00BE75BE" w:rsidRPr="00E06FC2">
        <w:rPr>
          <w:rFonts w:cs="Arial"/>
          <w:i/>
        </w:rPr>
        <w:t>. 001 DE 1997 PARA CONTRATAR POR EL SISTEMA DE CON</w:t>
      </w:r>
      <w:r w:rsidR="00A4420B" w:rsidRPr="00E06FC2">
        <w:rPr>
          <w:rFonts w:cs="Arial"/>
          <w:i/>
        </w:rPr>
        <w:t>CESIÓN, LA PR</w:t>
      </w:r>
      <w:r w:rsidR="003207EA" w:rsidRPr="00E06FC2">
        <w:rPr>
          <w:rFonts w:cs="Arial"/>
          <w:i/>
        </w:rPr>
        <w:t>E</w:t>
      </w:r>
      <w:r w:rsidR="00A4420B" w:rsidRPr="00E06FC2">
        <w:rPr>
          <w:rFonts w:cs="Arial"/>
          <w:i/>
        </w:rPr>
        <w:t>STACIÓN DEL SERVICIO DE ALUMBRADO PÚBLICO EN EL MUNICIPIO DE CARTAGO</w:t>
      </w:r>
      <w:r w:rsidR="003207EA" w:rsidRPr="00E06FC2">
        <w:rPr>
          <w:rFonts w:cs="Arial"/>
          <w:i/>
        </w:rPr>
        <w:t>’</w:t>
      </w:r>
      <w:r w:rsidR="00A4420B" w:rsidRPr="00E06FC2">
        <w:rPr>
          <w:rFonts w:cs="Arial"/>
          <w:i/>
        </w:rPr>
        <w:t>,</w:t>
      </w:r>
      <w:r w:rsidR="003207EA" w:rsidRPr="00E06FC2">
        <w:rPr>
          <w:rFonts w:cs="Arial"/>
          <w:i/>
        </w:rPr>
        <w:t xml:space="preserve"> </w:t>
      </w:r>
      <w:r w:rsidR="00A4420B" w:rsidRPr="00E06FC2">
        <w:rPr>
          <w:rFonts w:cs="Arial"/>
          <w:i/>
        </w:rPr>
        <w:t>en la cual se escogió como propuesta m</w:t>
      </w:r>
      <w:r w:rsidR="003207EA" w:rsidRPr="00E06FC2">
        <w:rPr>
          <w:rFonts w:cs="Arial"/>
          <w:i/>
        </w:rPr>
        <w:t>á</w:t>
      </w:r>
      <w:r w:rsidR="00A4420B" w:rsidRPr="00E06FC2">
        <w:rPr>
          <w:rFonts w:cs="Arial"/>
          <w:i/>
        </w:rPr>
        <w:t>s favorable</w:t>
      </w:r>
      <w:r w:rsidR="003207EA" w:rsidRPr="00E06FC2">
        <w:rPr>
          <w:rFonts w:cs="Arial"/>
          <w:i/>
        </w:rPr>
        <w:t xml:space="preserve"> la suscrita por la Unión Temporal Diselecsa Ltda – Montajes Eléctricos Ltda.</w:t>
      </w:r>
    </w:p>
    <w:p w14:paraId="16A07230" w14:textId="77777777" w:rsidR="001A45EE" w:rsidRPr="00E06FC2" w:rsidRDefault="001A45EE" w:rsidP="00743788">
      <w:pPr>
        <w:pStyle w:val="Textoindependienteprimerasangra2"/>
        <w:spacing w:line="276" w:lineRule="auto"/>
        <w:ind w:left="567" w:right="567" w:firstLine="0"/>
        <w:rPr>
          <w:rFonts w:cs="Arial"/>
          <w:i/>
        </w:rPr>
      </w:pPr>
    </w:p>
    <w:p w14:paraId="24495249" w14:textId="77777777" w:rsidR="003207EA" w:rsidRPr="00E06FC2" w:rsidRDefault="002E2D15" w:rsidP="00743788">
      <w:pPr>
        <w:pStyle w:val="Textoindependienteprimerasangra2"/>
        <w:spacing w:line="276" w:lineRule="auto"/>
        <w:ind w:left="567" w:right="567" w:firstLine="0"/>
        <w:rPr>
          <w:rFonts w:cs="Arial"/>
          <w:i/>
        </w:rPr>
      </w:pPr>
      <w:r w:rsidRPr="00E06FC2">
        <w:rPr>
          <w:rFonts w:cs="Arial"/>
          <w:i/>
        </w:rPr>
        <w:t>“</w:t>
      </w:r>
      <w:r w:rsidR="003207EA" w:rsidRPr="00E06FC2">
        <w:rPr>
          <w:rFonts w:cs="Arial"/>
          <w:i/>
        </w:rPr>
        <w:t>3) Como consecuencia de lo anterior, COND</w:t>
      </w:r>
      <w:r w:rsidR="009F311A" w:rsidRPr="00E06FC2">
        <w:rPr>
          <w:rFonts w:cs="Arial"/>
          <w:i/>
        </w:rPr>
        <w:t>É</w:t>
      </w:r>
      <w:r w:rsidR="003207EA" w:rsidRPr="00E06FC2">
        <w:rPr>
          <w:rFonts w:cs="Arial"/>
          <w:i/>
        </w:rPr>
        <w:t xml:space="preserve">NASE al MUNICIPIO </w:t>
      </w:r>
      <w:r w:rsidR="001E7DC8" w:rsidRPr="00E06FC2">
        <w:rPr>
          <w:rFonts w:cs="Arial"/>
          <w:i/>
        </w:rPr>
        <w:t xml:space="preserve">DE CARTAGO a pagar a la sociedad ELECTRO ATLÁNTICO LTDA., la suma de NOVECIENTOS SESENTA Y OCHO MILLONES QUINIENTOS </w:t>
      </w:r>
      <w:r w:rsidR="001E7DC8" w:rsidRPr="00E06FC2">
        <w:rPr>
          <w:rFonts w:cs="Arial"/>
          <w:i/>
        </w:rPr>
        <w:lastRenderedPageBreak/>
        <w:t>VEINTIOCHO MIL NOVECIENTOS SETENTA Y DOS PESOS C</w:t>
      </w:r>
      <w:r w:rsidR="00A06AFF" w:rsidRPr="00E06FC2">
        <w:rPr>
          <w:rFonts w:cs="Arial"/>
          <w:i/>
        </w:rPr>
        <w:t>O</w:t>
      </w:r>
      <w:r w:rsidR="001E7DC8" w:rsidRPr="00E06FC2">
        <w:rPr>
          <w:rFonts w:cs="Arial"/>
          <w:i/>
        </w:rPr>
        <w:t xml:space="preserve">N CUATRO CENTAVOS M/CTE </w:t>
      </w:r>
      <w:r w:rsidR="00BF1A55" w:rsidRPr="00E06FC2">
        <w:rPr>
          <w:rFonts w:cs="Arial"/>
          <w:i/>
        </w:rPr>
        <w:t>(</w:t>
      </w:r>
      <w:r w:rsidR="001E7DC8" w:rsidRPr="00E06FC2">
        <w:rPr>
          <w:rFonts w:cs="Arial"/>
          <w:i/>
        </w:rPr>
        <w:t>$96</w:t>
      </w:r>
      <w:r w:rsidR="00D47AEA" w:rsidRPr="00E06FC2">
        <w:rPr>
          <w:rFonts w:cs="Arial"/>
          <w:i/>
        </w:rPr>
        <w:t>8</w:t>
      </w:r>
      <w:r w:rsidR="001E7DC8" w:rsidRPr="00E06FC2">
        <w:rPr>
          <w:rFonts w:cs="Arial"/>
          <w:i/>
        </w:rPr>
        <w:t>’528.972,4)</w:t>
      </w:r>
      <w:r w:rsidR="00BF1A55" w:rsidRPr="00E06FC2">
        <w:rPr>
          <w:rFonts w:cs="Arial"/>
          <w:i/>
        </w:rPr>
        <w:t>.</w:t>
      </w:r>
      <w:r w:rsidR="003207EA" w:rsidRPr="00E06FC2">
        <w:rPr>
          <w:rFonts w:cs="Arial"/>
          <w:i/>
        </w:rPr>
        <w:t xml:space="preserve"> </w:t>
      </w:r>
    </w:p>
    <w:p w14:paraId="2BE692DD" w14:textId="77777777" w:rsidR="002E2D15" w:rsidRPr="00E06FC2" w:rsidRDefault="002E2D15" w:rsidP="00743788">
      <w:pPr>
        <w:pStyle w:val="Textoindependienteprimerasangra2"/>
        <w:spacing w:line="276" w:lineRule="auto"/>
        <w:ind w:left="567" w:right="567" w:firstLine="0"/>
        <w:rPr>
          <w:rFonts w:cs="Arial"/>
          <w:i/>
        </w:rPr>
      </w:pPr>
    </w:p>
    <w:p w14:paraId="479CE1AE" w14:textId="77777777" w:rsidR="002E2D15" w:rsidRPr="00E06FC2" w:rsidRDefault="002E2D15" w:rsidP="00743788">
      <w:pPr>
        <w:pStyle w:val="Textoindependienteprimerasangra2"/>
        <w:spacing w:line="276" w:lineRule="auto"/>
        <w:ind w:left="567" w:right="567" w:firstLine="0"/>
        <w:rPr>
          <w:rFonts w:cs="Arial"/>
          <w:i/>
        </w:rPr>
      </w:pPr>
      <w:r w:rsidRPr="00E06FC2">
        <w:rPr>
          <w:rFonts w:cs="Arial"/>
          <w:i/>
        </w:rPr>
        <w:t>“4) La suma de dinero anter</w:t>
      </w:r>
      <w:r w:rsidR="00220B66" w:rsidRPr="00E06FC2">
        <w:rPr>
          <w:rFonts w:cs="Arial"/>
          <w:i/>
        </w:rPr>
        <w:t>i</w:t>
      </w:r>
      <w:r w:rsidRPr="00E06FC2">
        <w:rPr>
          <w:rFonts w:cs="Arial"/>
          <w:i/>
        </w:rPr>
        <w:t>or, devengar</w:t>
      </w:r>
      <w:r w:rsidR="00220B66" w:rsidRPr="00E06FC2">
        <w:rPr>
          <w:rFonts w:cs="Arial"/>
          <w:i/>
        </w:rPr>
        <w:t>á</w:t>
      </w:r>
      <w:r w:rsidRPr="00E06FC2">
        <w:rPr>
          <w:rFonts w:cs="Arial"/>
          <w:i/>
        </w:rPr>
        <w:t xml:space="preserve"> intereses comerciales durante los 30 días siguientes a la ejecutoria de este fallo</w:t>
      </w:r>
      <w:r w:rsidR="00522EF0" w:rsidRPr="00E06FC2">
        <w:rPr>
          <w:rFonts w:cs="Arial"/>
          <w:i/>
        </w:rPr>
        <w:t xml:space="preserve"> y moratorios con posterioridad a este término.</w:t>
      </w:r>
    </w:p>
    <w:p w14:paraId="688AAF4B" w14:textId="77777777" w:rsidR="00522EF0" w:rsidRPr="00E06FC2" w:rsidRDefault="00522EF0" w:rsidP="00743788">
      <w:pPr>
        <w:pStyle w:val="Textoindependienteprimerasangra2"/>
        <w:spacing w:line="276" w:lineRule="auto"/>
        <w:ind w:left="567" w:right="567" w:firstLine="0"/>
        <w:rPr>
          <w:rFonts w:cs="Arial"/>
          <w:i/>
        </w:rPr>
      </w:pPr>
    </w:p>
    <w:p w14:paraId="2B73BD58" w14:textId="77777777" w:rsidR="00522EF0" w:rsidRPr="00E06FC2" w:rsidRDefault="00522EF0" w:rsidP="00743788">
      <w:pPr>
        <w:pStyle w:val="Textoindependienteprimerasangra2"/>
        <w:spacing w:line="276" w:lineRule="auto"/>
        <w:ind w:left="567" w:right="567" w:firstLine="0"/>
        <w:rPr>
          <w:rFonts w:cs="Arial"/>
          <w:i/>
        </w:rPr>
      </w:pPr>
      <w:r w:rsidRPr="00E06FC2">
        <w:rPr>
          <w:rFonts w:cs="Arial"/>
          <w:i/>
        </w:rPr>
        <w:t>“5) D</w:t>
      </w:r>
      <w:r w:rsidR="00574AF6" w:rsidRPr="00E06FC2">
        <w:rPr>
          <w:rFonts w:cs="Arial"/>
          <w:i/>
        </w:rPr>
        <w:t>e</w:t>
      </w:r>
      <w:r w:rsidRPr="00E06FC2">
        <w:rPr>
          <w:rFonts w:cs="Arial"/>
          <w:i/>
        </w:rPr>
        <w:t>se cumplimiento a lo dispuesto en los artículos 176 a 177 del C.C.A.</w:t>
      </w:r>
    </w:p>
    <w:p w14:paraId="12339E6E" w14:textId="77777777" w:rsidR="00522EF0" w:rsidRPr="00E06FC2" w:rsidRDefault="00522EF0" w:rsidP="00743788">
      <w:pPr>
        <w:pStyle w:val="Textoindependienteprimerasangra2"/>
        <w:spacing w:line="276" w:lineRule="auto"/>
        <w:ind w:left="567" w:right="567" w:firstLine="0"/>
        <w:rPr>
          <w:rFonts w:cs="Arial"/>
          <w:i/>
        </w:rPr>
      </w:pPr>
    </w:p>
    <w:p w14:paraId="6151A40C" w14:textId="77777777" w:rsidR="00522EF0" w:rsidRPr="00E06FC2" w:rsidRDefault="00522EF0" w:rsidP="00743788">
      <w:pPr>
        <w:pStyle w:val="Textoindependienteprimerasangra2"/>
        <w:spacing w:line="276" w:lineRule="auto"/>
        <w:ind w:left="567" w:right="567" w:firstLine="0"/>
        <w:rPr>
          <w:rFonts w:cs="Arial"/>
          <w:i/>
        </w:rPr>
      </w:pPr>
      <w:r w:rsidRPr="00E06FC2">
        <w:rPr>
          <w:rFonts w:cs="Arial"/>
          <w:i/>
        </w:rPr>
        <w:t>“6) Niéganse las dem</w:t>
      </w:r>
      <w:r w:rsidR="00220B66" w:rsidRPr="00E06FC2">
        <w:rPr>
          <w:rFonts w:cs="Arial"/>
          <w:i/>
        </w:rPr>
        <w:t>á</w:t>
      </w:r>
      <w:r w:rsidRPr="00E06FC2">
        <w:rPr>
          <w:rFonts w:cs="Arial"/>
          <w:i/>
        </w:rPr>
        <w:t>s pretensiones de la demanda.</w:t>
      </w:r>
    </w:p>
    <w:p w14:paraId="140F4225" w14:textId="77777777" w:rsidR="00522EF0" w:rsidRPr="00E06FC2" w:rsidRDefault="00522EF0" w:rsidP="00743788">
      <w:pPr>
        <w:pStyle w:val="Textoindependienteprimerasangra2"/>
        <w:spacing w:line="276" w:lineRule="auto"/>
        <w:ind w:left="567" w:right="567" w:firstLine="0"/>
        <w:rPr>
          <w:rFonts w:cs="Arial"/>
          <w:i/>
        </w:rPr>
      </w:pPr>
    </w:p>
    <w:p w14:paraId="28693A7E" w14:textId="77777777" w:rsidR="00522EF0" w:rsidRPr="00E06FC2" w:rsidRDefault="00522EF0" w:rsidP="00743788">
      <w:pPr>
        <w:pStyle w:val="Textoindependienteprimerasangra2"/>
        <w:spacing w:line="276" w:lineRule="auto"/>
        <w:ind w:left="567" w:right="567" w:firstLine="0"/>
        <w:rPr>
          <w:rFonts w:cs="Arial"/>
          <w:i/>
        </w:rPr>
      </w:pPr>
      <w:r w:rsidRPr="00E06FC2">
        <w:rPr>
          <w:rFonts w:cs="Arial"/>
          <w:i/>
        </w:rPr>
        <w:t>“7) Si no fuere apelada la presente sentencia</w:t>
      </w:r>
      <w:r w:rsidR="00220B66" w:rsidRPr="00E06FC2">
        <w:rPr>
          <w:rFonts w:cs="Arial"/>
          <w:i/>
        </w:rPr>
        <w:t>, CONS</w:t>
      </w:r>
      <w:r w:rsidR="00A06AFF" w:rsidRPr="00E06FC2">
        <w:rPr>
          <w:rFonts w:cs="Arial"/>
          <w:i/>
        </w:rPr>
        <w:t>Ú</w:t>
      </w:r>
      <w:r w:rsidR="00220B66" w:rsidRPr="00E06FC2">
        <w:rPr>
          <w:rFonts w:cs="Arial"/>
          <w:i/>
        </w:rPr>
        <w:t xml:space="preserve">LTESE con el Superior </w:t>
      </w:r>
      <w:r w:rsidRPr="00E06FC2">
        <w:rPr>
          <w:rFonts w:cs="Arial"/>
          <w:i/>
        </w:rPr>
        <w:t xml:space="preserve"> </w:t>
      </w:r>
      <w:r w:rsidR="00A06C25" w:rsidRPr="00E06FC2">
        <w:rPr>
          <w:rFonts w:cs="Arial"/>
          <w:i/>
        </w:rPr>
        <w:t>(Art 184 del C.C.A.)”.</w:t>
      </w:r>
      <w:r w:rsidRPr="00E06FC2">
        <w:rPr>
          <w:rFonts w:cs="Arial"/>
          <w:i/>
        </w:rPr>
        <w:t xml:space="preserve">  </w:t>
      </w:r>
    </w:p>
    <w:p w14:paraId="67F5BE53" w14:textId="77777777" w:rsidR="0015263D" w:rsidRPr="00E06FC2" w:rsidRDefault="0015263D" w:rsidP="00743788">
      <w:pPr>
        <w:widowControl w:val="0"/>
        <w:autoSpaceDE w:val="0"/>
        <w:autoSpaceDN w:val="0"/>
        <w:adjustRightInd w:val="0"/>
        <w:spacing w:line="240" w:lineRule="auto"/>
        <w:ind w:left="851" w:right="567"/>
        <w:jc w:val="center"/>
        <w:rPr>
          <w:rFonts w:cs="Arial"/>
          <w:b/>
        </w:rPr>
      </w:pPr>
    </w:p>
    <w:p w14:paraId="59936C17" w14:textId="77777777" w:rsidR="00F21484" w:rsidRPr="00E06FC2" w:rsidRDefault="00F21484" w:rsidP="00743788">
      <w:pPr>
        <w:pStyle w:val="Lista"/>
        <w:jc w:val="center"/>
        <w:rPr>
          <w:rFonts w:ascii="Arial" w:hAnsi="Arial" w:cs="Arial"/>
          <w:b/>
        </w:rPr>
      </w:pPr>
      <w:r w:rsidRPr="00E06FC2">
        <w:rPr>
          <w:rFonts w:ascii="Arial" w:hAnsi="Arial" w:cs="Arial"/>
          <w:b/>
        </w:rPr>
        <w:t>I.</w:t>
      </w:r>
      <w:r w:rsidR="00E759BE" w:rsidRPr="00E06FC2">
        <w:rPr>
          <w:rFonts w:ascii="Arial" w:hAnsi="Arial" w:cs="Arial"/>
          <w:b/>
        </w:rPr>
        <w:tab/>
      </w:r>
      <w:r w:rsidRPr="00E06FC2">
        <w:rPr>
          <w:rFonts w:ascii="Arial" w:hAnsi="Arial" w:cs="Arial"/>
          <w:b/>
        </w:rPr>
        <w:t>A N T E C E D E N T E S</w:t>
      </w:r>
    </w:p>
    <w:p w14:paraId="07A68474" w14:textId="77777777" w:rsidR="00F00A7F" w:rsidRPr="00E06FC2" w:rsidRDefault="00F00A7F" w:rsidP="00743788">
      <w:pPr>
        <w:rPr>
          <w:rFonts w:cs="Arial"/>
          <w:b/>
        </w:rPr>
      </w:pPr>
    </w:p>
    <w:p w14:paraId="1A33FE4E" w14:textId="77777777" w:rsidR="00F21484" w:rsidRPr="00E06FC2" w:rsidRDefault="00F21484" w:rsidP="00743788">
      <w:pPr>
        <w:pStyle w:val="Lista2"/>
        <w:ind w:left="0" w:firstLine="0"/>
        <w:rPr>
          <w:rFonts w:cs="Arial"/>
          <w:b/>
        </w:rPr>
      </w:pPr>
      <w:r w:rsidRPr="00E06FC2">
        <w:rPr>
          <w:rFonts w:cs="Arial"/>
          <w:b/>
        </w:rPr>
        <w:t>1.</w:t>
      </w:r>
      <w:r w:rsidR="009D0836" w:rsidRPr="00E06FC2">
        <w:rPr>
          <w:rFonts w:cs="Arial"/>
          <w:b/>
        </w:rPr>
        <w:t xml:space="preserve"> </w:t>
      </w:r>
      <w:r w:rsidRPr="00E06FC2">
        <w:rPr>
          <w:rFonts w:cs="Arial"/>
          <w:b/>
        </w:rPr>
        <w:t>La demanda</w:t>
      </w:r>
    </w:p>
    <w:p w14:paraId="57AFB799" w14:textId="77777777" w:rsidR="00F21484" w:rsidRPr="00E06FC2" w:rsidRDefault="00F21484" w:rsidP="00743788">
      <w:pPr>
        <w:widowControl w:val="0"/>
        <w:autoSpaceDE w:val="0"/>
        <w:autoSpaceDN w:val="0"/>
        <w:adjustRightInd w:val="0"/>
        <w:rPr>
          <w:rFonts w:cs="Arial"/>
        </w:rPr>
      </w:pPr>
    </w:p>
    <w:p w14:paraId="0B234A71" w14:textId="77777777" w:rsidR="003076F9" w:rsidRPr="00E06FC2" w:rsidRDefault="00F21484" w:rsidP="00743788">
      <w:pPr>
        <w:pStyle w:val="Continuarlista2"/>
        <w:ind w:left="0"/>
        <w:rPr>
          <w:rFonts w:cs="Arial"/>
          <w:lang w:val="es-MX"/>
        </w:rPr>
      </w:pPr>
      <w:r w:rsidRPr="00E06FC2">
        <w:rPr>
          <w:rFonts w:cs="Arial"/>
        </w:rPr>
        <w:t>M</w:t>
      </w:r>
      <w:r w:rsidR="00EA0EB1" w:rsidRPr="00E06FC2">
        <w:rPr>
          <w:rFonts w:cs="Arial"/>
        </w:rPr>
        <w:t>ediante demanda presentada</w:t>
      </w:r>
      <w:r w:rsidR="00AA67A0" w:rsidRPr="00E06FC2">
        <w:rPr>
          <w:rFonts w:cs="Arial"/>
        </w:rPr>
        <w:t xml:space="preserve"> </w:t>
      </w:r>
      <w:r w:rsidR="00FD5088" w:rsidRPr="00E06FC2">
        <w:rPr>
          <w:rFonts w:cs="Arial"/>
        </w:rPr>
        <w:t xml:space="preserve">el </w:t>
      </w:r>
      <w:r w:rsidR="00A06C25" w:rsidRPr="00E06FC2">
        <w:rPr>
          <w:rFonts w:cs="Arial"/>
        </w:rPr>
        <w:t xml:space="preserve">9 </w:t>
      </w:r>
      <w:r w:rsidR="00FD5088" w:rsidRPr="00E06FC2">
        <w:rPr>
          <w:rFonts w:cs="Arial"/>
        </w:rPr>
        <w:t xml:space="preserve">de </w:t>
      </w:r>
      <w:r w:rsidR="00A06C25" w:rsidRPr="00E06FC2">
        <w:rPr>
          <w:rFonts w:cs="Arial"/>
        </w:rPr>
        <w:t xml:space="preserve">febrero de 1998, </w:t>
      </w:r>
      <w:r w:rsidR="00F5352D" w:rsidRPr="00E06FC2">
        <w:rPr>
          <w:rFonts w:cs="Arial"/>
        </w:rPr>
        <w:t xml:space="preserve">en ejercicio </w:t>
      </w:r>
      <w:r w:rsidR="00FD5088" w:rsidRPr="00E06FC2">
        <w:rPr>
          <w:rFonts w:cs="Arial"/>
        </w:rPr>
        <w:t xml:space="preserve">de la acción </w:t>
      </w:r>
      <w:r w:rsidR="00E5706F" w:rsidRPr="00E06FC2">
        <w:rPr>
          <w:rFonts w:cs="Arial"/>
        </w:rPr>
        <w:t>de nulidad y restablecimiento del</w:t>
      </w:r>
      <w:r w:rsidR="00FE17F0" w:rsidRPr="00E06FC2">
        <w:rPr>
          <w:rFonts w:cs="Arial"/>
        </w:rPr>
        <w:t xml:space="preserve"> derecho</w:t>
      </w:r>
      <w:r w:rsidR="00021148" w:rsidRPr="00E06FC2">
        <w:rPr>
          <w:rFonts w:cs="Arial"/>
        </w:rPr>
        <w:t xml:space="preserve">, </w:t>
      </w:r>
      <w:r w:rsidR="00C6529F" w:rsidRPr="00E06FC2">
        <w:rPr>
          <w:rFonts w:cs="Arial"/>
        </w:rPr>
        <w:t xml:space="preserve">con </w:t>
      </w:r>
      <w:r w:rsidR="00C61A15" w:rsidRPr="00E06FC2">
        <w:rPr>
          <w:rFonts w:cs="Arial"/>
        </w:rPr>
        <w:t xml:space="preserve">fundamento en </w:t>
      </w:r>
      <w:r w:rsidR="00C6529F" w:rsidRPr="00E06FC2">
        <w:rPr>
          <w:rFonts w:cs="Arial"/>
        </w:rPr>
        <w:t xml:space="preserve">el </w:t>
      </w:r>
      <w:r w:rsidR="007A0264" w:rsidRPr="00E06FC2">
        <w:rPr>
          <w:rFonts w:cs="Arial"/>
        </w:rPr>
        <w:t>artículo 8</w:t>
      </w:r>
      <w:r w:rsidR="00DB669B" w:rsidRPr="00E06FC2">
        <w:rPr>
          <w:rFonts w:cs="Arial"/>
        </w:rPr>
        <w:t>5</w:t>
      </w:r>
      <w:r w:rsidR="007A0264" w:rsidRPr="00E06FC2">
        <w:rPr>
          <w:rFonts w:cs="Arial"/>
        </w:rPr>
        <w:t xml:space="preserve"> del Código Contencioso Administrativo, </w:t>
      </w:r>
      <w:r w:rsidR="00DB669B" w:rsidRPr="00E06FC2">
        <w:rPr>
          <w:rFonts w:cs="Arial"/>
        </w:rPr>
        <w:t>Electro Atlántico Ltda</w:t>
      </w:r>
      <w:r w:rsidR="006B0CCF" w:rsidRPr="00E06FC2">
        <w:rPr>
          <w:rFonts w:cs="Arial"/>
        </w:rPr>
        <w:t>.</w:t>
      </w:r>
      <w:r w:rsidR="00A06AFF" w:rsidRPr="00E06FC2">
        <w:rPr>
          <w:rFonts w:cs="Arial"/>
        </w:rPr>
        <w:t>,</w:t>
      </w:r>
      <w:r w:rsidR="00DB669B" w:rsidRPr="00E06FC2">
        <w:rPr>
          <w:rFonts w:cs="Arial"/>
        </w:rPr>
        <w:t xml:space="preserve"> obrando como integrante de la Unión Temporal </w:t>
      </w:r>
      <w:r w:rsidR="006B0CCF" w:rsidRPr="00E06FC2">
        <w:rPr>
          <w:rFonts w:cs="Arial"/>
        </w:rPr>
        <w:t xml:space="preserve">General Electric Iluminación </w:t>
      </w:r>
      <w:r w:rsidR="00A06AFF" w:rsidRPr="00E06FC2">
        <w:rPr>
          <w:rFonts w:cs="Arial"/>
        </w:rPr>
        <w:t>d</w:t>
      </w:r>
      <w:r w:rsidR="006B0CCF" w:rsidRPr="00E06FC2">
        <w:rPr>
          <w:rFonts w:cs="Arial"/>
        </w:rPr>
        <w:t>e Colombia Ltda</w:t>
      </w:r>
      <w:r w:rsidR="00C7243C" w:rsidRPr="00E06FC2">
        <w:rPr>
          <w:rFonts w:cs="Arial"/>
        </w:rPr>
        <w:t>.</w:t>
      </w:r>
      <w:r w:rsidR="006B0CCF" w:rsidRPr="00E06FC2">
        <w:rPr>
          <w:rFonts w:cs="Arial"/>
        </w:rPr>
        <w:t xml:space="preserve"> (Geico Ltda</w:t>
      </w:r>
      <w:r w:rsidR="00C7243C" w:rsidRPr="00E06FC2">
        <w:rPr>
          <w:rFonts w:cs="Arial"/>
        </w:rPr>
        <w:t>.</w:t>
      </w:r>
      <w:r w:rsidR="006B0CCF" w:rsidRPr="00E06FC2">
        <w:rPr>
          <w:rFonts w:cs="Arial"/>
        </w:rPr>
        <w:t>) – Electro Atlántico Ltda</w:t>
      </w:r>
      <w:r w:rsidR="00C7243C" w:rsidRPr="00E06FC2">
        <w:rPr>
          <w:rFonts w:cs="Arial"/>
        </w:rPr>
        <w:t>.</w:t>
      </w:r>
      <w:r w:rsidR="006B0CCF" w:rsidRPr="00E06FC2">
        <w:rPr>
          <w:rFonts w:cs="Arial"/>
        </w:rPr>
        <w:t xml:space="preserve"> </w:t>
      </w:r>
      <w:r w:rsidRPr="00E06FC2">
        <w:rPr>
          <w:rFonts w:cs="Arial"/>
        </w:rPr>
        <w:t>solicit</w:t>
      </w:r>
      <w:r w:rsidR="00AC64D6" w:rsidRPr="00E06FC2">
        <w:rPr>
          <w:rFonts w:cs="Arial"/>
        </w:rPr>
        <w:t>ó</w:t>
      </w:r>
      <w:r w:rsidRPr="00E06FC2">
        <w:rPr>
          <w:rFonts w:cs="Arial"/>
        </w:rPr>
        <w:t xml:space="preserve"> las siguientes declaraciones y condenas</w:t>
      </w:r>
      <w:r w:rsidR="00F5352D" w:rsidRPr="00E06FC2">
        <w:rPr>
          <w:rFonts w:cs="Arial"/>
        </w:rPr>
        <w:t xml:space="preserve"> contra</w:t>
      </w:r>
      <w:r w:rsidR="004B723D" w:rsidRPr="00E06FC2">
        <w:rPr>
          <w:rFonts w:cs="Arial"/>
        </w:rPr>
        <w:t xml:space="preserve"> </w:t>
      </w:r>
      <w:r w:rsidR="008516F7" w:rsidRPr="00E06FC2">
        <w:rPr>
          <w:rFonts w:cs="Arial"/>
        </w:rPr>
        <w:t>el municipio de Cartago</w:t>
      </w:r>
      <w:r w:rsidR="008D4E6C" w:rsidRPr="00E06FC2">
        <w:rPr>
          <w:rFonts w:cs="Arial"/>
        </w:rPr>
        <w:t xml:space="preserve">: </w:t>
      </w:r>
    </w:p>
    <w:p w14:paraId="63EB8D11" w14:textId="77777777" w:rsidR="00126933" w:rsidRPr="00E06FC2" w:rsidRDefault="00126933" w:rsidP="00743788">
      <w:pPr>
        <w:pStyle w:val="Continuarlista2"/>
        <w:spacing w:line="276" w:lineRule="auto"/>
        <w:ind w:left="567" w:right="567"/>
        <w:rPr>
          <w:rFonts w:cs="Arial"/>
          <w:lang w:val="es-MX"/>
        </w:rPr>
      </w:pPr>
    </w:p>
    <w:p w14:paraId="5E8FB1F8" w14:textId="77777777" w:rsidR="008D4E6C" w:rsidRPr="00E06FC2" w:rsidRDefault="00A15E12" w:rsidP="00743788">
      <w:pPr>
        <w:pStyle w:val="Textoindependienteprimerasangra2"/>
        <w:spacing w:line="276" w:lineRule="auto"/>
        <w:ind w:left="567" w:right="567" w:firstLine="0"/>
        <w:rPr>
          <w:rFonts w:cs="Arial"/>
          <w:i/>
        </w:rPr>
      </w:pPr>
      <w:r w:rsidRPr="00E06FC2">
        <w:rPr>
          <w:rFonts w:cs="Arial"/>
          <w:i/>
        </w:rPr>
        <w:t>“</w:t>
      </w:r>
      <w:r w:rsidR="00CC1E26" w:rsidRPr="00E06FC2">
        <w:rPr>
          <w:rFonts w:cs="Arial"/>
          <w:i/>
        </w:rPr>
        <w:t xml:space="preserve">PRIMERA. Que es nulo el acto administrativo contenido en la resolución 442 de octubre 10 de 1997, proferida por la Alcaldía Mayor del municipio de Cartago, a través del cual se adjudicó la licitación pública No. 001 de 1997 a la Unión Temporal Diselecsa Ltda – Montajes Eléctricos Ltda, en virtud de que para que la </w:t>
      </w:r>
      <w:r w:rsidR="00733E03" w:rsidRPr="00E06FC2">
        <w:rPr>
          <w:rFonts w:cs="Arial"/>
          <w:i/>
        </w:rPr>
        <w:t xml:space="preserve">administración pueda </w:t>
      </w:r>
      <w:r w:rsidR="00F81F90" w:rsidRPr="00E06FC2">
        <w:rPr>
          <w:rFonts w:cs="Arial"/>
          <w:i/>
        </w:rPr>
        <w:t>adjudicar un contrato con base en una propuesta alternativa, es menester que el proponente que presente dicha propuesta alternativa, efectúe también una propuesta básica que se ubique también en el primer lugar en el orden de elegibilidad de acuerdo con las especificaciones contenidas en los pliegos de condiciones de la licitación correspondiente, a fin de no violentar los principios de igualdad, transparencia y selección objetiva.</w:t>
      </w:r>
    </w:p>
    <w:p w14:paraId="49AB6D68" w14:textId="77777777" w:rsidR="00F81F90" w:rsidRPr="00E06FC2" w:rsidRDefault="00F81F90" w:rsidP="00743788">
      <w:pPr>
        <w:pStyle w:val="Textoindependienteprimerasangra2"/>
        <w:spacing w:line="276" w:lineRule="auto"/>
        <w:ind w:left="567" w:right="567" w:firstLine="0"/>
        <w:rPr>
          <w:rFonts w:cs="Arial"/>
          <w:i/>
        </w:rPr>
      </w:pPr>
    </w:p>
    <w:p w14:paraId="5091015A" w14:textId="77777777" w:rsidR="00AD7D4D" w:rsidRPr="00E06FC2" w:rsidRDefault="00F81F90" w:rsidP="00743788">
      <w:pPr>
        <w:pStyle w:val="Textoindependienteprimerasangra2"/>
        <w:spacing w:line="276" w:lineRule="auto"/>
        <w:ind w:left="567" w:right="567" w:firstLine="0"/>
        <w:rPr>
          <w:rFonts w:cs="Arial"/>
          <w:i/>
        </w:rPr>
      </w:pPr>
      <w:r w:rsidRPr="00E06FC2">
        <w:rPr>
          <w:rFonts w:cs="Arial"/>
          <w:i/>
        </w:rPr>
        <w:t>“SEGUNDA</w:t>
      </w:r>
      <w:r w:rsidR="00733E03" w:rsidRPr="00E06FC2">
        <w:rPr>
          <w:rFonts w:cs="Arial"/>
          <w:i/>
        </w:rPr>
        <w:t xml:space="preserve">. Que subsidiariamente se declare nulo el acto administrativo contenido en la resolución 442 de octubre 10 de 1997, proferida por la Alcaldía Municipal de Cartago a través del cual se adjudicó la licitación pública No. 001 de 1997 a la Unión Temporal Diselecsa Ltda – Montajes Eléctricos Ltda, en virtud de que para que la administración pueda adjudicar un contrato con base en una propuesta alternativa, es menester que el proponente que presente dicha propuesta alternativa, efectúe </w:t>
      </w:r>
      <w:r w:rsidR="00733E03" w:rsidRPr="00E06FC2">
        <w:rPr>
          <w:rFonts w:cs="Arial"/>
          <w:i/>
        </w:rPr>
        <w:lastRenderedPageBreak/>
        <w:t>también una propuesta básica</w:t>
      </w:r>
      <w:r w:rsidR="00AD7D4D" w:rsidRPr="00E06FC2">
        <w:rPr>
          <w:rFonts w:cs="Arial"/>
          <w:i/>
        </w:rPr>
        <w:t xml:space="preserve"> que por lo menos cumpla con las especificaciones para la propuesta básica contenidas en los pliegos de condiciones de la licitación correspondiente a fin de no violentar los principios de igualdad, transparencia y selección objetiva.</w:t>
      </w:r>
    </w:p>
    <w:p w14:paraId="65EDB9FA" w14:textId="77777777" w:rsidR="00AD7D4D" w:rsidRPr="00E06FC2" w:rsidRDefault="00AD7D4D" w:rsidP="00743788">
      <w:pPr>
        <w:pStyle w:val="Textoindependienteprimerasangra2"/>
        <w:spacing w:line="276" w:lineRule="auto"/>
        <w:ind w:left="567" w:right="567" w:firstLine="0"/>
        <w:rPr>
          <w:rFonts w:cs="Arial"/>
          <w:i/>
        </w:rPr>
      </w:pPr>
    </w:p>
    <w:p w14:paraId="6C049551" w14:textId="77777777" w:rsidR="00AD7D4D" w:rsidRPr="00E06FC2" w:rsidRDefault="00335084" w:rsidP="00743788">
      <w:pPr>
        <w:pStyle w:val="Textoindependienteprimerasangra2"/>
        <w:spacing w:line="276" w:lineRule="auto"/>
        <w:ind w:left="567" w:right="567" w:firstLine="0"/>
        <w:rPr>
          <w:rFonts w:cs="Arial"/>
          <w:i/>
        </w:rPr>
      </w:pPr>
      <w:r w:rsidRPr="00E06FC2">
        <w:rPr>
          <w:rFonts w:cs="Arial"/>
          <w:i/>
        </w:rPr>
        <w:t>“</w:t>
      </w:r>
      <w:r w:rsidR="00AD7D4D" w:rsidRPr="00E06FC2">
        <w:rPr>
          <w:rFonts w:cs="Arial"/>
          <w:i/>
        </w:rPr>
        <w:t xml:space="preserve">TERCERA. Que subsidiariamente se declare nulo el acto administrativo contenido en la resolución 442 de octubre 10 de 1997, proferida por la Alcaldía Municipal de Cartago a través del cual se adjudicó la licitación pública No. 001 de 1997 a la Unión Temporal Diselecsa Ltda – Montajes Eléctricos Ltda, en virtud de que para que la administración pueda adjudicar un contrato con base en una propuesta alternativa, es menester que el proponente que presente dicha propuesta alternativa, </w:t>
      </w:r>
      <w:r w:rsidR="004E51EF" w:rsidRPr="00E06FC2">
        <w:rPr>
          <w:rFonts w:cs="Arial"/>
          <w:i/>
        </w:rPr>
        <w:t>por lo menos con esta</w:t>
      </w:r>
      <w:r w:rsidR="00DF19D1" w:rsidRPr="00E06FC2">
        <w:rPr>
          <w:rFonts w:cs="Arial"/>
          <w:i/>
        </w:rPr>
        <w:t>,</w:t>
      </w:r>
      <w:r w:rsidR="004E51EF" w:rsidRPr="00E06FC2">
        <w:rPr>
          <w:rFonts w:cs="Arial"/>
          <w:i/>
        </w:rPr>
        <w:t xml:space="preserve"> cumpla con las especificaciones exigidas para las básicas en el pliego de condiciones de la licitación correspondiente, </w:t>
      </w:r>
      <w:r w:rsidR="00AD7D4D" w:rsidRPr="00E06FC2">
        <w:rPr>
          <w:rFonts w:cs="Arial"/>
          <w:i/>
        </w:rPr>
        <w:t>a fin de no violentar los principios de igualdad, transparencia y selección objetiva.</w:t>
      </w:r>
    </w:p>
    <w:p w14:paraId="06E13B0B" w14:textId="77777777" w:rsidR="004E51EF" w:rsidRPr="00E06FC2" w:rsidRDefault="004E51EF" w:rsidP="00743788">
      <w:pPr>
        <w:pStyle w:val="Textoindependienteprimerasangra2"/>
        <w:spacing w:line="276" w:lineRule="auto"/>
        <w:ind w:left="567" w:right="567" w:firstLine="0"/>
        <w:rPr>
          <w:rFonts w:cs="Arial"/>
          <w:i/>
        </w:rPr>
      </w:pPr>
    </w:p>
    <w:p w14:paraId="09A2B6CB" w14:textId="77777777" w:rsidR="004E51EF" w:rsidRPr="00E06FC2" w:rsidRDefault="004E51EF" w:rsidP="00743788">
      <w:pPr>
        <w:pStyle w:val="Textoindependienteprimerasangra2"/>
        <w:spacing w:line="276" w:lineRule="auto"/>
        <w:ind w:left="567" w:right="567" w:firstLine="0"/>
        <w:rPr>
          <w:rFonts w:cs="Arial"/>
          <w:i/>
        </w:rPr>
      </w:pPr>
      <w:r w:rsidRPr="00E06FC2">
        <w:rPr>
          <w:rFonts w:cs="Arial"/>
          <w:i/>
        </w:rPr>
        <w:t>“CUARTA. Que subsidiariamente se declare nulo el acto administrativo contenido en la resolución 442 de octubre 10 de 1997, proferida por la Alcaldía Municipal de Cartago a través del cual se adjudicó la licitación pública No. 001 de 1997 a la Unión Temporal Diselecsa Ltda – Montajes Eléctricos Ltda, en virtud de que la administración</w:t>
      </w:r>
      <w:r w:rsidR="00591B62" w:rsidRPr="00E06FC2">
        <w:rPr>
          <w:rFonts w:cs="Arial"/>
          <w:i/>
        </w:rPr>
        <w:t>, de oficio y arbitrariamente calificó en primer lugar y como alternativa la propuesta hoy aparentemente ganadora, sin haber sido propuesta como altern</w:t>
      </w:r>
      <w:r w:rsidR="000808B5" w:rsidRPr="00E06FC2">
        <w:rPr>
          <w:rFonts w:cs="Arial"/>
          <w:i/>
        </w:rPr>
        <w:t>a</w:t>
      </w:r>
      <w:r w:rsidR="00591B62" w:rsidRPr="00E06FC2">
        <w:rPr>
          <w:rFonts w:cs="Arial"/>
          <w:i/>
        </w:rPr>
        <w:t xml:space="preserve">tiva por su signatario, violentando así </w:t>
      </w:r>
      <w:r w:rsidRPr="00E06FC2">
        <w:rPr>
          <w:rFonts w:cs="Arial"/>
          <w:i/>
        </w:rPr>
        <w:t>los principios de igualdad, transparencia y selección objetiva.</w:t>
      </w:r>
    </w:p>
    <w:p w14:paraId="424B3A26" w14:textId="77777777" w:rsidR="00F81F90" w:rsidRPr="00E06FC2" w:rsidRDefault="00F81F90" w:rsidP="00743788">
      <w:pPr>
        <w:pStyle w:val="Textoindependienteprimerasangra2"/>
        <w:spacing w:line="276" w:lineRule="auto"/>
        <w:ind w:left="567" w:right="567" w:firstLine="0"/>
        <w:rPr>
          <w:rFonts w:cs="Arial"/>
          <w:i/>
        </w:rPr>
      </w:pPr>
    </w:p>
    <w:p w14:paraId="5B02AAAE" w14:textId="77777777" w:rsidR="003F163B" w:rsidRPr="00E06FC2" w:rsidRDefault="00A314F2" w:rsidP="00743788">
      <w:pPr>
        <w:pStyle w:val="Textoindependienteprimerasangra2"/>
        <w:spacing w:line="276" w:lineRule="auto"/>
        <w:ind w:left="567" w:right="567" w:firstLine="0"/>
        <w:rPr>
          <w:rFonts w:cs="Arial"/>
          <w:i/>
        </w:rPr>
      </w:pPr>
      <w:r w:rsidRPr="00E06FC2">
        <w:rPr>
          <w:rFonts w:cs="Arial"/>
          <w:i/>
        </w:rPr>
        <w:t>”</w:t>
      </w:r>
      <w:r w:rsidR="00591B62" w:rsidRPr="00E06FC2">
        <w:rPr>
          <w:rFonts w:cs="Arial"/>
          <w:i/>
        </w:rPr>
        <w:t xml:space="preserve">QUINTA. Que como consecuencia de los pronunciamientos anteriores, se declare que el Municipio de Cartago es responsable de indemnizar todos los daños patrimoniales sufridos por Electro Atlántico Ltda, como integrante de la </w:t>
      </w:r>
      <w:r w:rsidR="003F163B" w:rsidRPr="00E06FC2">
        <w:rPr>
          <w:rFonts w:cs="Arial"/>
          <w:i/>
        </w:rPr>
        <w:t>Unión Temporal GENERAL ELECTRIC ILUMINACIÓN DE COLOMBIA LTDA</w:t>
      </w:r>
      <w:r w:rsidR="00AF0738" w:rsidRPr="00E06FC2">
        <w:rPr>
          <w:rFonts w:cs="Arial"/>
          <w:i/>
        </w:rPr>
        <w:t>.</w:t>
      </w:r>
      <w:r w:rsidR="003F163B" w:rsidRPr="00E06FC2">
        <w:rPr>
          <w:rFonts w:cs="Arial"/>
          <w:i/>
        </w:rPr>
        <w:t xml:space="preserve"> (Geico Ltda</w:t>
      </w:r>
      <w:r w:rsidR="00AF0738" w:rsidRPr="00E06FC2">
        <w:rPr>
          <w:rFonts w:cs="Arial"/>
          <w:i/>
        </w:rPr>
        <w:t>.</w:t>
      </w:r>
      <w:r w:rsidR="003F163B" w:rsidRPr="00E06FC2">
        <w:rPr>
          <w:rFonts w:cs="Arial"/>
          <w:i/>
        </w:rPr>
        <w:t>) – ELECTRO ATLÁNTICO LTDA, y como consecuencia de la adjudicación irregular de la licitación pública 001 de 1997, en la cual dicha Unión Temporal era la ganadora.</w:t>
      </w:r>
    </w:p>
    <w:p w14:paraId="105ABE1D" w14:textId="77777777" w:rsidR="003F163B" w:rsidRPr="00E06FC2" w:rsidRDefault="003F163B" w:rsidP="00743788">
      <w:pPr>
        <w:pStyle w:val="Textoindependienteprimerasangra2"/>
        <w:spacing w:line="276" w:lineRule="auto"/>
        <w:ind w:left="567" w:right="567" w:firstLine="0"/>
        <w:rPr>
          <w:rFonts w:cs="Arial"/>
          <w:i/>
        </w:rPr>
      </w:pPr>
    </w:p>
    <w:p w14:paraId="043C1D67" w14:textId="77777777" w:rsidR="00855A80" w:rsidRPr="00E06FC2" w:rsidRDefault="003F163B" w:rsidP="00743788">
      <w:pPr>
        <w:pStyle w:val="Textoindependienteprimerasangra2"/>
        <w:spacing w:line="276" w:lineRule="auto"/>
        <w:ind w:left="567" w:right="567" w:firstLine="0"/>
        <w:rPr>
          <w:rFonts w:cs="Arial"/>
          <w:i/>
        </w:rPr>
      </w:pPr>
      <w:r w:rsidRPr="00E06FC2">
        <w:rPr>
          <w:rFonts w:cs="Arial"/>
          <w:i/>
        </w:rPr>
        <w:t xml:space="preserve">“SEXTA.- </w:t>
      </w:r>
      <w:r w:rsidR="00855A80" w:rsidRPr="00E06FC2">
        <w:rPr>
          <w:rFonts w:cs="Arial"/>
          <w:i/>
        </w:rPr>
        <w:t>Que como consecuencia, se condene al Municipio de Cartago a pagar a ELECTRO ATLÁNTICO LTDA, los daños causados de la siguiente forma:</w:t>
      </w:r>
    </w:p>
    <w:p w14:paraId="1140BB1B" w14:textId="77777777" w:rsidR="00EC6397" w:rsidRPr="00E06FC2" w:rsidRDefault="00EC6397" w:rsidP="00743788">
      <w:pPr>
        <w:pStyle w:val="Textoindependienteprimerasangra2"/>
        <w:spacing w:line="276" w:lineRule="auto"/>
        <w:ind w:left="567" w:right="567" w:firstLine="0"/>
        <w:rPr>
          <w:rFonts w:cs="Arial"/>
          <w:i/>
        </w:rPr>
      </w:pPr>
    </w:p>
    <w:p w14:paraId="7B56C79B" w14:textId="77777777" w:rsidR="00EC6397" w:rsidRPr="00E06FC2" w:rsidRDefault="00EC6397" w:rsidP="00743788">
      <w:pPr>
        <w:pStyle w:val="Textoindependienteprimerasangra2"/>
        <w:spacing w:line="276" w:lineRule="auto"/>
        <w:ind w:left="567" w:right="567" w:firstLine="0"/>
        <w:rPr>
          <w:rFonts w:cs="Arial"/>
          <w:i/>
        </w:rPr>
      </w:pPr>
      <w:r w:rsidRPr="00E06FC2">
        <w:rPr>
          <w:rFonts w:cs="Arial"/>
          <w:i/>
        </w:rPr>
        <w:t>“El daño emergente</w:t>
      </w:r>
      <w:r w:rsidR="007B76A4" w:rsidRPr="00E06FC2">
        <w:rPr>
          <w:rFonts w:cs="Arial"/>
          <w:i/>
        </w:rPr>
        <w:t>:</w:t>
      </w:r>
    </w:p>
    <w:p w14:paraId="4B348C7B" w14:textId="77777777" w:rsidR="00EC6397" w:rsidRPr="00E06FC2" w:rsidRDefault="00EC6397" w:rsidP="00743788">
      <w:pPr>
        <w:pStyle w:val="Textoindependienteprimerasangra2"/>
        <w:spacing w:line="276" w:lineRule="auto"/>
        <w:ind w:left="567" w:right="567" w:firstLine="0"/>
        <w:rPr>
          <w:rFonts w:cs="Arial"/>
          <w:i/>
        </w:rPr>
      </w:pPr>
    </w:p>
    <w:p w14:paraId="39FE183C" w14:textId="77777777" w:rsidR="00EC6397" w:rsidRPr="00E06FC2" w:rsidRDefault="00EC6397" w:rsidP="00743788">
      <w:pPr>
        <w:pStyle w:val="Textoindependienteprimerasangra2"/>
        <w:spacing w:line="276" w:lineRule="auto"/>
        <w:ind w:left="567" w:right="567" w:firstLine="0"/>
        <w:rPr>
          <w:rFonts w:cs="Arial"/>
          <w:i/>
        </w:rPr>
      </w:pPr>
      <w:r w:rsidRPr="00E06FC2">
        <w:rPr>
          <w:rFonts w:cs="Arial"/>
          <w:i/>
        </w:rPr>
        <w:t>“Consistente en los gastos que mi representada debió realizar para participar en la Licitación Pública No. 001 de 1997.</w:t>
      </w:r>
    </w:p>
    <w:p w14:paraId="63F48F8F" w14:textId="77777777" w:rsidR="00EC6397" w:rsidRPr="00E06FC2" w:rsidRDefault="00EC6397" w:rsidP="00743788">
      <w:pPr>
        <w:pStyle w:val="Textoindependienteprimerasangra2"/>
        <w:spacing w:line="276" w:lineRule="auto"/>
        <w:ind w:left="567" w:right="567" w:firstLine="0"/>
        <w:rPr>
          <w:rFonts w:cs="Arial"/>
          <w:i/>
        </w:rPr>
      </w:pPr>
    </w:p>
    <w:p w14:paraId="38345204" w14:textId="77777777" w:rsidR="00FF4C3A" w:rsidRPr="00E06FC2" w:rsidRDefault="007B76A4" w:rsidP="00743788">
      <w:pPr>
        <w:pStyle w:val="Textoindependienteprimerasangra2"/>
        <w:spacing w:line="276" w:lineRule="auto"/>
        <w:ind w:left="567" w:right="567" w:firstLine="0"/>
        <w:rPr>
          <w:rFonts w:cs="Arial"/>
          <w:i/>
        </w:rPr>
      </w:pPr>
      <w:r w:rsidRPr="00E06FC2">
        <w:rPr>
          <w:rFonts w:cs="Arial"/>
          <w:i/>
        </w:rPr>
        <w:t>“</w:t>
      </w:r>
      <w:r w:rsidR="0075143D" w:rsidRPr="00E06FC2">
        <w:rPr>
          <w:rFonts w:cs="Arial"/>
          <w:i/>
        </w:rPr>
        <w:t>El lucro cesante</w:t>
      </w:r>
      <w:r w:rsidRPr="00E06FC2">
        <w:rPr>
          <w:rFonts w:cs="Arial"/>
          <w:i/>
        </w:rPr>
        <w:t>:</w:t>
      </w:r>
    </w:p>
    <w:p w14:paraId="4A3B40F7" w14:textId="77777777" w:rsidR="0075143D" w:rsidRPr="00E06FC2" w:rsidRDefault="0075143D" w:rsidP="00743788">
      <w:pPr>
        <w:pStyle w:val="Textoindependienteprimerasangra2"/>
        <w:spacing w:line="276" w:lineRule="auto"/>
        <w:ind w:left="567" w:right="567" w:firstLine="0"/>
        <w:rPr>
          <w:rFonts w:cs="Arial"/>
          <w:i/>
        </w:rPr>
      </w:pPr>
    </w:p>
    <w:p w14:paraId="5E381194" w14:textId="77777777" w:rsidR="00464B5C" w:rsidRPr="00E06FC2" w:rsidRDefault="007B76A4" w:rsidP="00743788">
      <w:pPr>
        <w:pStyle w:val="Textoindependienteprimerasangra2"/>
        <w:spacing w:line="276" w:lineRule="auto"/>
        <w:ind w:left="567" w:right="567" w:firstLine="0"/>
        <w:rPr>
          <w:rFonts w:cs="Arial"/>
          <w:i/>
        </w:rPr>
      </w:pPr>
      <w:r w:rsidRPr="00E06FC2">
        <w:rPr>
          <w:rFonts w:cs="Arial"/>
          <w:i/>
        </w:rPr>
        <w:t>“</w:t>
      </w:r>
      <w:r w:rsidR="0075143D" w:rsidRPr="00E06FC2">
        <w:rPr>
          <w:rFonts w:cs="Arial"/>
          <w:i/>
        </w:rPr>
        <w:t>Causado como consecuencia de la adjudicación irregular de la licitación pública 001 de 1997, por la suma equivalente a las utilidades que a valor presente</w:t>
      </w:r>
      <w:r w:rsidR="0052206E" w:rsidRPr="00E06FC2">
        <w:rPr>
          <w:rFonts w:cs="Arial"/>
          <w:i/>
        </w:rPr>
        <w:t xml:space="preserve"> </w:t>
      </w:r>
      <w:r w:rsidR="009E251B" w:rsidRPr="00E06FC2">
        <w:rPr>
          <w:rFonts w:cs="Arial"/>
          <w:i/>
        </w:rPr>
        <w:t>obtendría Electro Atlántico Ltda, dentro de su participación en la Unión Temporal proponente, según estructura financiera y cuadro respectivo</w:t>
      </w:r>
      <w:r w:rsidR="00464B5C" w:rsidRPr="00E06FC2">
        <w:rPr>
          <w:rFonts w:cs="Arial"/>
          <w:i/>
        </w:rPr>
        <w:t xml:space="preserve"> presentado anexo a la oferta correspondiente dentro de la </w:t>
      </w:r>
      <w:r w:rsidR="00464B5C" w:rsidRPr="00E06FC2">
        <w:rPr>
          <w:rFonts w:cs="Arial"/>
          <w:i/>
        </w:rPr>
        <w:lastRenderedPageBreak/>
        <w:t>licitación pública 001 de 1997, o en subsidio el valor que deter</w:t>
      </w:r>
      <w:r w:rsidR="003A26D8" w:rsidRPr="00E06FC2">
        <w:rPr>
          <w:rFonts w:cs="Arial"/>
          <w:i/>
        </w:rPr>
        <w:t>m</w:t>
      </w:r>
      <w:r w:rsidR="00464B5C" w:rsidRPr="00E06FC2">
        <w:rPr>
          <w:rFonts w:cs="Arial"/>
          <w:i/>
        </w:rPr>
        <w:t>inen los peritos en el curso del proceso.</w:t>
      </w:r>
    </w:p>
    <w:p w14:paraId="28075068" w14:textId="77777777" w:rsidR="00464B5C" w:rsidRPr="00E06FC2" w:rsidRDefault="00464B5C" w:rsidP="00743788">
      <w:pPr>
        <w:pStyle w:val="Textoindependienteprimerasangra2"/>
        <w:spacing w:line="276" w:lineRule="auto"/>
        <w:ind w:left="567" w:right="567" w:firstLine="0"/>
        <w:rPr>
          <w:rFonts w:cs="Arial"/>
          <w:i/>
        </w:rPr>
      </w:pPr>
    </w:p>
    <w:p w14:paraId="3BA46000" w14:textId="77777777" w:rsidR="00464B5C" w:rsidRPr="00E06FC2" w:rsidRDefault="007B76A4" w:rsidP="00743788">
      <w:pPr>
        <w:pStyle w:val="Textoindependienteprimerasangra2"/>
        <w:spacing w:line="276" w:lineRule="auto"/>
        <w:ind w:left="567" w:right="567" w:firstLine="0"/>
        <w:rPr>
          <w:rFonts w:cs="Arial"/>
          <w:i/>
        </w:rPr>
      </w:pPr>
      <w:r w:rsidRPr="00E06FC2">
        <w:rPr>
          <w:rFonts w:cs="Arial"/>
          <w:i/>
        </w:rPr>
        <w:t>“</w:t>
      </w:r>
      <w:r w:rsidR="00464B5C" w:rsidRPr="00E06FC2">
        <w:rPr>
          <w:rFonts w:cs="Arial"/>
          <w:i/>
        </w:rPr>
        <w:t>S</w:t>
      </w:r>
      <w:r w:rsidRPr="00E06FC2">
        <w:rPr>
          <w:rFonts w:cs="Arial"/>
          <w:i/>
        </w:rPr>
        <w:t>É</w:t>
      </w:r>
      <w:r w:rsidR="00464B5C" w:rsidRPr="00E06FC2">
        <w:rPr>
          <w:rFonts w:cs="Arial"/>
          <w:i/>
        </w:rPr>
        <w:t xml:space="preserve">PTIMA. Que las sumas correspondientes a la liquidación del daño patrimonial, sean indexadas tomando como base </w:t>
      </w:r>
      <w:r w:rsidR="003A26D8" w:rsidRPr="00E06FC2">
        <w:rPr>
          <w:rFonts w:cs="Arial"/>
          <w:i/>
        </w:rPr>
        <w:t>el índice de precios al consumidor certificado por el DANE, y los intereses legales corrientes, desde la fecha en que se causaron los gastos o se privaron los ingresos, hasta el momento de ejecutoria de la sentencia.</w:t>
      </w:r>
    </w:p>
    <w:p w14:paraId="2C03BF03" w14:textId="77777777" w:rsidR="003A26D8" w:rsidRPr="00E06FC2" w:rsidRDefault="003A26D8" w:rsidP="00743788">
      <w:pPr>
        <w:pStyle w:val="Textoindependienteprimerasangra2"/>
        <w:spacing w:line="276" w:lineRule="auto"/>
        <w:ind w:left="567" w:right="567" w:firstLine="0"/>
        <w:rPr>
          <w:rFonts w:cs="Arial"/>
          <w:i/>
        </w:rPr>
      </w:pPr>
    </w:p>
    <w:p w14:paraId="26C395DB" w14:textId="77777777" w:rsidR="007B76A4" w:rsidRPr="00E06FC2" w:rsidRDefault="007B76A4" w:rsidP="00743788">
      <w:pPr>
        <w:pStyle w:val="Textoindependienteprimerasangra2"/>
        <w:spacing w:line="276" w:lineRule="auto"/>
        <w:ind w:left="567" w:right="567" w:firstLine="0"/>
        <w:rPr>
          <w:rFonts w:cs="Arial"/>
          <w:i/>
        </w:rPr>
      </w:pPr>
      <w:r w:rsidRPr="00E06FC2">
        <w:rPr>
          <w:rFonts w:cs="Arial"/>
          <w:i/>
        </w:rPr>
        <w:t>“</w:t>
      </w:r>
      <w:r w:rsidR="003A26D8" w:rsidRPr="00E06FC2">
        <w:rPr>
          <w:rFonts w:cs="Arial"/>
          <w:i/>
        </w:rPr>
        <w:t xml:space="preserve">OCTAVA. Que el Municipio de Cartago pague a Electro Atlántico Ltda, como integrante de la Unión Temporal proponente, los intereses comerciales remuneratorios que devenguen las sumas señaladas, durante los </w:t>
      </w:r>
      <w:r w:rsidRPr="00E06FC2">
        <w:rPr>
          <w:rFonts w:cs="Arial"/>
          <w:i/>
        </w:rPr>
        <w:t>primeros seis meses, contados a partir de la ejecutoria de la sentencia, hasta el momento del pago efectivo, e intereses moratorios si el pago efectivo excede de este término, de acuerdo con la certificación que para este efecto expida la Superintendencia Bancaria”.</w:t>
      </w:r>
    </w:p>
    <w:p w14:paraId="3858BC24" w14:textId="77777777" w:rsidR="00464B5C" w:rsidRPr="00E06FC2" w:rsidRDefault="00464B5C" w:rsidP="00E06FC2">
      <w:pPr>
        <w:pStyle w:val="Textoindependienteprimerasangra2"/>
        <w:spacing w:line="480" w:lineRule="auto"/>
        <w:ind w:left="567" w:right="567" w:firstLine="0"/>
        <w:rPr>
          <w:rFonts w:cs="Arial"/>
          <w:i/>
        </w:rPr>
      </w:pPr>
    </w:p>
    <w:p w14:paraId="3F3672CA" w14:textId="77777777" w:rsidR="00F21484" w:rsidRPr="00E06FC2" w:rsidRDefault="00F21484" w:rsidP="00743788">
      <w:pPr>
        <w:pStyle w:val="Lista3"/>
        <w:ind w:left="0" w:firstLine="0"/>
        <w:rPr>
          <w:rFonts w:cs="Arial"/>
          <w:b/>
        </w:rPr>
      </w:pPr>
      <w:r w:rsidRPr="00E06FC2">
        <w:rPr>
          <w:rFonts w:cs="Arial"/>
          <w:b/>
        </w:rPr>
        <w:t>2.</w:t>
      </w:r>
      <w:r w:rsidR="009D0836" w:rsidRPr="00E06FC2">
        <w:rPr>
          <w:rFonts w:cs="Arial"/>
          <w:b/>
        </w:rPr>
        <w:t xml:space="preserve"> </w:t>
      </w:r>
      <w:r w:rsidRPr="00E06FC2">
        <w:rPr>
          <w:rFonts w:cs="Arial"/>
          <w:b/>
        </w:rPr>
        <w:t>Los hechos</w:t>
      </w:r>
    </w:p>
    <w:p w14:paraId="26DE94B0" w14:textId="77777777" w:rsidR="005E0015" w:rsidRPr="00E06FC2" w:rsidRDefault="005E0015" w:rsidP="00743788">
      <w:pPr>
        <w:widowControl w:val="0"/>
        <w:autoSpaceDE w:val="0"/>
        <w:autoSpaceDN w:val="0"/>
        <w:adjustRightInd w:val="0"/>
        <w:rPr>
          <w:rFonts w:cs="Arial"/>
          <w:lang w:val="es-MX"/>
        </w:rPr>
      </w:pPr>
    </w:p>
    <w:p w14:paraId="43FAED98" w14:textId="77777777" w:rsidR="00D45ABC" w:rsidRPr="00E06FC2" w:rsidRDefault="00D45ABC" w:rsidP="00743788">
      <w:pPr>
        <w:pStyle w:val="Textoindependiente"/>
        <w:rPr>
          <w:rFonts w:cs="Arial"/>
          <w:szCs w:val="24"/>
        </w:rPr>
      </w:pPr>
      <w:r w:rsidRPr="00E06FC2">
        <w:rPr>
          <w:rFonts w:cs="Arial"/>
          <w:szCs w:val="24"/>
          <w:lang w:val="es-CO"/>
        </w:rPr>
        <w:t>E</w:t>
      </w:r>
      <w:r w:rsidRPr="00E06FC2">
        <w:rPr>
          <w:rFonts w:cs="Arial"/>
          <w:szCs w:val="24"/>
        </w:rPr>
        <w:t>n el escrito de demanda</w:t>
      </w:r>
      <w:r w:rsidR="004E6E35" w:rsidRPr="00E06FC2">
        <w:rPr>
          <w:rFonts w:cs="Arial"/>
          <w:szCs w:val="24"/>
        </w:rPr>
        <w:t>,</w:t>
      </w:r>
      <w:r w:rsidR="00FD5088" w:rsidRPr="00E06FC2">
        <w:rPr>
          <w:rFonts w:cs="Arial"/>
          <w:szCs w:val="24"/>
        </w:rPr>
        <w:t xml:space="preserve"> </w:t>
      </w:r>
      <w:r w:rsidRPr="00E06FC2">
        <w:rPr>
          <w:rFonts w:cs="Arial"/>
          <w:szCs w:val="24"/>
        </w:rPr>
        <w:t>la parte actora narró los siguientes hechos:</w:t>
      </w:r>
    </w:p>
    <w:p w14:paraId="0C79A8E7" w14:textId="77777777" w:rsidR="00F82E49" w:rsidRPr="00E06FC2" w:rsidRDefault="00F82E49" w:rsidP="00743788">
      <w:pPr>
        <w:pStyle w:val="Lista2"/>
        <w:ind w:left="0" w:firstLine="0"/>
        <w:rPr>
          <w:rFonts w:cs="Arial"/>
          <w:b/>
        </w:rPr>
      </w:pPr>
    </w:p>
    <w:p w14:paraId="325160BD" w14:textId="77777777" w:rsidR="002D236C" w:rsidRPr="00E06FC2" w:rsidRDefault="00BD0E94" w:rsidP="00743788">
      <w:pPr>
        <w:pStyle w:val="Lista2"/>
        <w:ind w:left="0" w:firstLine="0"/>
        <w:rPr>
          <w:rFonts w:cs="Arial"/>
        </w:rPr>
      </w:pPr>
      <w:r w:rsidRPr="00E06FC2">
        <w:rPr>
          <w:rFonts w:cs="Arial"/>
          <w:b/>
        </w:rPr>
        <w:t xml:space="preserve">2.1. </w:t>
      </w:r>
      <w:r w:rsidR="00FA3D20" w:rsidRPr="00E06FC2">
        <w:rPr>
          <w:rFonts w:cs="Arial"/>
        </w:rPr>
        <w:t xml:space="preserve">El municipio de Cartago adelantó la Licitación Pública 001 de 1997 </w:t>
      </w:r>
      <w:r w:rsidR="00EF7792" w:rsidRPr="00E06FC2">
        <w:rPr>
          <w:rFonts w:cs="Arial"/>
        </w:rPr>
        <w:t xml:space="preserve">para </w:t>
      </w:r>
      <w:r w:rsidR="00A06AFF" w:rsidRPr="00E06FC2">
        <w:rPr>
          <w:rFonts w:cs="Arial"/>
        </w:rPr>
        <w:t xml:space="preserve">contratar por el sistema de concesión la prestación del servicio de alumbrado público </w:t>
      </w:r>
      <w:r w:rsidR="00BE5B45" w:rsidRPr="00E06FC2">
        <w:rPr>
          <w:rFonts w:cs="Arial"/>
        </w:rPr>
        <w:t>en el referido municipio</w:t>
      </w:r>
      <w:r w:rsidR="000F30E9" w:rsidRPr="00E06FC2">
        <w:rPr>
          <w:rFonts w:cs="Arial"/>
        </w:rPr>
        <w:t xml:space="preserve">, </w:t>
      </w:r>
      <w:r w:rsidR="00574AF6" w:rsidRPr="00E06FC2">
        <w:rPr>
          <w:rFonts w:cs="Arial"/>
        </w:rPr>
        <w:t xml:space="preserve">convocatoria </w:t>
      </w:r>
      <w:r w:rsidR="000F30E9" w:rsidRPr="00E06FC2">
        <w:rPr>
          <w:rFonts w:cs="Arial"/>
        </w:rPr>
        <w:t>dentro de</w:t>
      </w:r>
      <w:r w:rsidR="00D24C25" w:rsidRPr="00E06FC2">
        <w:rPr>
          <w:rFonts w:cs="Arial"/>
        </w:rPr>
        <w:t xml:space="preserve"> la</w:t>
      </w:r>
      <w:r w:rsidR="000F30E9" w:rsidRPr="00E06FC2">
        <w:rPr>
          <w:rFonts w:cs="Arial"/>
        </w:rPr>
        <w:t xml:space="preserve"> cual se presentaron </w:t>
      </w:r>
      <w:r w:rsidR="00D24C25" w:rsidRPr="00E06FC2">
        <w:rPr>
          <w:rFonts w:cs="Arial"/>
        </w:rPr>
        <w:t xml:space="preserve">tres </w:t>
      </w:r>
      <w:r w:rsidR="000F30E9" w:rsidRPr="00E06FC2">
        <w:rPr>
          <w:rFonts w:cs="Arial"/>
        </w:rPr>
        <w:t>propuestas</w:t>
      </w:r>
      <w:r w:rsidR="00D24C25" w:rsidRPr="00E06FC2">
        <w:rPr>
          <w:rFonts w:cs="Arial"/>
        </w:rPr>
        <w:t>, a saber:</w:t>
      </w:r>
      <w:r w:rsidR="000F30E9" w:rsidRPr="00E06FC2">
        <w:rPr>
          <w:rFonts w:cs="Arial"/>
        </w:rPr>
        <w:t xml:space="preserve"> </w:t>
      </w:r>
      <w:r w:rsidR="000F30E9" w:rsidRPr="00E06FC2">
        <w:rPr>
          <w:rFonts w:cs="Arial"/>
          <w:b/>
        </w:rPr>
        <w:t>i)</w:t>
      </w:r>
      <w:r w:rsidR="000F30E9" w:rsidRPr="00E06FC2">
        <w:rPr>
          <w:rFonts w:cs="Arial"/>
        </w:rPr>
        <w:t xml:space="preserve"> Unión Temporal Diselecsa Ltda</w:t>
      </w:r>
      <w:r w:rsidR="00C7243C" w:rsidRPr="00E06FC2">
        <w:rPr>
          <w:rFonts w:cs="Arial"/>
        </w:rPr>
        <w:t>.</w:t>
      </w:r>
      <w:r w:rsidR="000F30E9" w:rsidRPr="00E06FC2">
        <w:rPr>
          <w:rFonts w:cs="Arial"/>
        </w:rPr>
        <w:t xml:space="preserve"> – Montajes Eléctricos </w:t>
      </w:r>
      <w:r w:rsidR="00A06AFF" w:rsidRPr="00E06FC2">
        <w:rPr>
          <w:rFonts w:cs="Arial"/>
        </w:rPr>
        <w:t>L</w:t>
      </w:r>
      <w:r w:rsidR="000F30E9" w:rsidRPr="00E06FC2">
        <w:rPr>
          <w:rFonts w:cs="Arial"/>
        </w:rPr>
        <w:t>tda</w:t>
      </w:r>
      <w:r w:rsidR="00EB0D6A" w:rsidRPr="00E06FC2">
        <w:rPr>
          <w:rStyle w:val="Refdenotaalpie"/>
          <w:rFonts w:cs="Arial"/>
        </w:rPr>
        <w:footnoteReference w:id="1"/>
      </w:r>
      <w:r w:rsidR="000F30E9" w:rsidRPr="00E06FC2">
        <w:rPr>
          <w:rFonts w:cs="Arial"/>
        </w:rPr>
        <w:t xml:space="preserve">, ii) </w:t>
      </w:r>
      <w:r w:rsidR="00D24C25" w:rsidRPr="00E06FC2">
        <w:rPr>
          <w:rFonts w:cs="Arial"/>
        </w:rPr>
        <w:t>Unión Temporal General El</w:t>
      </w:r>
      <w:r w:rsidR="000062F3" w:rsidRPr="00E06FC2">
        <w:rPr>
          <w:rFonts w:cs="Arial"/>
        </w:rPr>
        <w:t>e</w:t>
      </w:r>
      <w:r w:rsidR="00D24C25" w:rsidRPr="00E06FC2">
        <w:rPr>
          <w:rFonts w:cs="Arial"/>
        </w:rPr>
        <w:t>ctric Iluminaci</w:t>
      </w:r>
      <w:r w:rsidR="000062F3" w:rsidRPr="00E06FC2">
        <w:rPr>
          <w:rFonts w:cs="Arial"/>
        </w:rPr>
        <w:t>ón de Colombia (G</w:t>
      </w:r>
      <w:r w:rsidR="00A06AFF" w:rsidRPr="00E06FC2">
        <w:rPr>
          <w:rFonts w:cs="Arial"/>
        </w:rPr>
        <w:t>eico</w:t>
      </w:r>
      <w:r w:rsidR="000062F3" w:rsidRPr="00E06FC2">
        <w:rPr>
          <w:rFonts w:cs="Arial"/>
        </w:rPr>
        <w:t xml:space="preserve"> Ltda</w:t>
      </w:r>
      <w:r w:rsidR="00C7243C" w:rsidRPr="00E06FC2">
        <w:rPr>
          <w:rFonts w:cs="Arial"/>
        </w:rPr>
        <w:t>.</w:t>
      </w:r>
      <w:r w:rsidR="000062F3" w:rsidRPr="00E06FC2">
        <w:rPr>
          <w:rFonts w:cs="Arial"/>
        </w:rPr>
        <w:t>) – Electro Atlántico Ltda</w:t>
      </w:r>
      <w:r w:rsidR="00EB0D6A" w:rsidRPr="00E06FC2">
        <w:rPr>
          <w:rStyle w:val="Refdenotaalpie"/>
          <w:rFonts w:cs="Arial"/>
        </w:rPr>
        <w:footnoteReference w:id="2"/>
      </w:r>
      <w:r w:rsidR="002D236C" w:rsidRPr="00E06FC2">
        <w:rPr>
          <w:rFonts w:cs="Arial"/>
        </w:rPr>
        <w:t>,</w:t>
      </w:r>
      <w:r w:rsidR="000062F3" w:rsidRPr="00E06FC2">
        <w:rPr>
          <w:rFonts w:cs="Arial"/>
        </w:rPr>
        <w:t xml:space="preserve"> y</w:t>
      </w:r>
      <w:r w:rsidR="002D236C" w:rsidRPr="00E06FC2">
        <w:rPr>
          <w:rFonts w:cs="Arial"/>
        </w:rPr>
        <w:t>,</w:t>
      </w:r>
      <w:r w:rsidR="000062F3" w:rsidRPr="00E06FC2">
        <w:rPr>
          <w:rFonts w:cs="Arial"/>
        </w:rPr>
        <w:t xml:space="preserve"> iii) Unión Temporal Roa El</w:t>
      </w:r>
      <w:r w:rsidR="006F3A29" w:rsidRPr="00E06FC2">
        <w:rPr>
          <w:rFonts w:cs="Arial"/>
        </w:rPr>
        <w:t>e</w:t>
      </w:r>
      <w:r w:rsidR="000062F3" w:rsidRPr="00E06FC2">
        <w:rPr>
          <w:rFonts w:cs="Arial"/>
        </w:rPr>
        <w:t>ctric Ltda</w:t>
      </w:r>
      <w:r w:rsidR="00C7243C" w:rsidRPr="00E06FC2">
        <w:rPr>
          <w:rFonts w:cs="Arial"/>
        </w:rPr>
        <w:t>.</w:t>
      </w:r>
      <w:r w:rsidR="00BE5B45" w:rsidRPr="00E06FC2">
        <w:rPr>
          <w:rFonts w:cs="Arial"/>
        </w:rPr>
        <w:t xml:space="preserve"> -</w:t>
      </w:r>
      <w:r w:rsidR="000062F3" w:rsidRPr="00E06FC2">
        <w:rPr>
          <w:rFonts w:cs="Arial"/>
        </w:rPr>
        <w:t xml:space="preserve"> Industrias Eléctricas Schre</w:t>
      </w:r>
      <w:r w:rsidR="002D236C" w:rsidRPr="00E06FC2">
        <w:rPr>
          <w:rFonts w:cs="Arial"/>
        </w:rPr>
        <w:t>der Ltda</w:t>
      </w:r>
      <w:r w:rsidR="00C7243C" w:rsidRPr="00E06FC2">
        <w:rPr>
          <w:rFonts w:cs="Arial"/>
        </w:rPr>
        <w:t>.</w:t>
      </w:r>
      <w:r w:rsidR="002D236C" w:rsidRPr="00E06FC2">
        <w:rPr>
          <w:rFonts w:cs="Arial"/>
        </w:rPr>
        <w:t xml:space="preserve"> – Comercializador Barranquila Ltda</w:t>
      </w:r>
      <w:r w:rsidR="00EB0D6A" w:rsidRPr="00E06FC2">
        <w:rPr>
          <w:rStyle w:val="Refdenotaalpie"/>
          <w:rFonts w:cs="Arial"/>
        </w:rPr>
        <w:footnoteReference w:id="3"/>
      </w:r>
      <w:r w:rsidR="002D236C" w:rsidRPr="00E06FC2">
        <w:rPr>
          <w:rFonts w:cs="Arial"/>
        </w:rPr>
        <w:t>.</w:t>
      </w:r>
    </w:p>
    <w:p w14:paraId="76F8FCB0" w14:textId="77777777" w:rsidR="002D236C" w:rsidRPr="00E06FC2" w:rsidRDefault="002D236C" w:rsidP="00743788">
      <w:pPr>
        <w:pStyle w:val="Lista2"/>
        <w:ind w:left="0" w:firstLine="0"/>
        <w:rPr>
          <w:rFonts w:cs="Arial"/>
          <w:b/>
        </w:rPr>
      </w:pPr>
    </w:p>
    <w:p w14:paraId="4902D776" w14:textId="77777777" w:rsidR="00252968" w:rsidRPr="00E06FC2" w:rsidRDefault="002D236C" w:rsidP="00743788">
      <w:pPr>
        <w:pStyle w:val="Lista2"/>
        <w:ind w:left="0" w:firstLine="0"/>
        <w:rPr>
          <w:rFonts w:cs="Arial"/>
        </w:rPr>
      </w:pPr>
      <w:r w:rsidRPr="00E06FC2">
        <w:rPr>
          <w:rFonts w:cs="Arial"/>
          <w:b/>
        </w:rPr>
        <w:t xml:space="preserve">2.2. </w:t>
      </w:r>
      <w:r w:rsidR="00BD0E94" w:rsidRPr="00E06FC2">
        <w:rPr>
          <w:rFonts w:cs="Arial"/>
        </w:rPr>
        <w:t xml:space="preserve">Mediante Resolución </w:t>
      </w:r>
      <w:r w:rsidR="00D42A07" w:rsidRPr="00E06FC2">
        <w:rPr>
          <w:rFonts w:cs="Arial"/>
        </w:rPr>
        <w:t xml:space="preserve">442 de 10 de octubre de </w:t>
      </w:r>
      <w:r w:rsidR="00BD0E94" w:rsidRPr="00E06FC2">
        <w:rPr>
          <w:rFonts w:cs="Arial"/>
        </w:rPr>
        <w:t>1997</w:t>
      </w:r>
      <w:r w:rsidR="004337C8" w:rsidRPr="00E06FC2">
        <w:rPr>
          <w:rFonts w:cs="Arial"/>
        </w:rPr>
        <w:t>,</w:t>
      </w:r>
      <w:r w:rsidR="00BD0E94" w:rsidRPr="00E06FC2">
        <w:rPr>
          <w:rFonts w:cs="Arial"/>
        </w:rPr>
        <w:t xml:space="preserve"> el municipio d</w:t>
      </w:r>
      <w:r w:rsidRPr="00E06FC2">
        <w:rPr>
          <w:rFonts w:cs="Arial"/>
        </w:rPr>
        <w:t xml:space="preserve">e Cartago seleccionó la propuesta presentada por </w:t>
      </w:r>
      <w:r w:rsidR="00252968" w:rsidRPr="00E06FC2">
        <w:rPr>
          <w:rFonts w:cs="Arial"/>
        </w:rPr>
        <w:t>UT Diselecsa – Montajes Eléctricos</w:t>
      </w:r>
      <w:r w:rsidR="00EB0D6A" w:rsidRPr="00E06FC2">
        <w:rPr>
          <w:rFonts w:cs="Arial"/>
        </w:rPr>
        <w:t>,</w:t>
      </w:r>
      <w:r w:rsidR="00252968" w:rsidRPr="00E06FC2">
        <w:rPr>
          <w:rFonts w:cs="Arial"/>
        </w:rPr>
        <w:t xml:space="preserve"> con fundamento en la </w:t>
      </w:r>
      <w:r w:rsidR="00A06AFF" w:rsidRPr="00E06FC2">
        <w:rPr>
          <w:rFonts w:cs="Arial"/>
        </w:rPr>
        <w:t xml:space="preserve">calificación </w:t>
      </w:r>
      <w:r w:rsidR="00252968" w:rsidRPr="00E06FC2">
        <w:rPr>
          <w:rFonts w:cs="Arial"/>
        </w:rPr>
        <w:t xml:space="preserve">realizada por el </w:t>
      </w:r>
      <w:r w:rsidR="00221316" w:rsidRPr="00E06FC2">
        <w:rPr>
          <w:rFonts w:cs="Arial"/>
        </w:rPr>
        <w:t>c</w:t>
      </w:r>
      <w:r w:rsidR="00B530C9" w:rsidRPr="00E06FC2">
        <w:rPr>
          <w:rFonts w:cs="Arial"/>
        </w:rPr>
        <w:t>omité de evaluación</w:t>
      </w:r>
      <w:r w:rsidR="00252968" w:rsidRPr="00E06FC2">
        <w:rPr>
          <w:rFonts w:cs="Arial"/>
        </w:rPr>
        <w:t xml:space="preserve">. </w:t>
      </w:r>
    </w:p>
    <w:p w14:paraId="0D109686" w14:textId="77777777" w:rsidR="00252968" w:rsidRPr="00E06FC2" w:rsidRDefault="00252968" w:rsidP="00743788">
      <w:pPr>
        <w:pStyle w:val="Lista2"/>
        <w:ind w:left="0" w:firstLine="0"/>
        <w:rPr>
          <w:rFonts w:cs="Arial"/>
          <w:b/>
        </w:rPr>
      </w:pPr>
    </w:p>
    <w:p w14:paraId="506B3F30" w14:textId="77777777" w:rsidR="00574AF6" w:rsidRPr="00E06FC2" w:rsidRDefault="00252968" w:rsidP="00743788">
      <w:pPr>
        <w:pStyle w:val="Lista2"/>
        <w:ind w:left="0" w:firstLine="0"/>
        <w:rPr>
          <w:rFonts w:cs="Arial"/>
        </w:rPr>
      </w:pPr>
      <w:r w:rsidRPr="00E06FC2">
        <w:rPr>
          <w:rFonts w:cs="Arial"/>
          <w:b/>
        </w:rPr>
        <w:t>2.</w:t>
      </w:r>
      <w:r w:rsidR="00F87872" w:rsidRPr="00E06FC2">
        <w:rPr>
          <w:rFonts w:cs="Arial"/>
          <w:b/>
        </w:rPr>
        <w:t>3</w:t>
      </w:r>
      <w:r w:rsidRPr="00E06FC2">
        <w:rPr>
          <w:rFonts w:cs="Arial"/>
          <w:b/>
        </w:rPr>
        <w:t xml:space="preserve"> </w:t>
      </w:r>
      <w:r w:rsidR="00BE5B45" w:rsidRPr="00E06FC2">
        <w:rPr>
          <w:rFonts w:cs="Arial"/>
        </w:rPr>
        <w:t>Según narró la demandante, e</w:t>
      </w:r>
      <w:r w:rsidRPr="00E06FC2">
        <w:rPr>
          <w:rFonts w:cs="Arial"/>
        </w:rPr>
        <w:t xml:space="preserve">l procedimiento de la </w:t>
      </w:r>
      <w:r w:rsidR="00F613A1" w:rsidRPr="00E06FC2">
        <w:rPr>
          <w:rFonts w:cs="Arial"/>
        </w:rPr>
        <w:t>L</w:t>
      </w:r>
      <w:r w:rsidRPr="00E06FC2">
        <w:rPr>
          <w:rFonts w:cs="Arial"/>
        </w:rPr>
        <w:t xml:space="preserve">icitación </w:t>
      </w:r>
      <w:r w:rsidR="00F613A1" w:rsidRPr="00E06FC2">
        <w:rPr>
          <w:rFonts w:cs="Arial"/>
        </w:rPr>
        <w:t>P</w:t>
      </w:r>
      <w:r w:rsidRPr="00E06FC2">
        <w:rPr>
          <w:rFonts w:cs="Arial"/>
        </w:rPr>
        <w:t xml:space="preserve">ública </w:t>
      </w:r>
      <w:r w:rsidR="00A06AFF" w:rsidRPr="00E06FC2">
        <w:rPr>
          <w:rFonts w:cs="Arial"/>
        </w:rPr>
        <w:t xml:space="preserve">001 de 1997 </w:t>
      </w:r>
      <w:r w:rsidRPr="00E06FC2">
        <w:rPr>
          <w:rFonts w:cs="Arial"/>
        </w:rPr>
        <w:t xml:space="preserve">fue irregular, por cuanto se introdujo </w:t>
      </w:r>
      <w:r w:rsidR="00BD032B" w:rsidRPr="00E06FC2">
        <w:rPr>
          <w:rFonts w:cs="Arial"/>
        </w:rPr>
        <w:t xml:space="preserve">el </w:t>
      </w:r>
      <w:r w:rsidR="000E362C" w:rsidRPr="00E06FC2">
        <w:rPr>
          <w:rFonts w:cs="Arial"/>
        </w:rPr>
        <w:t>a</w:t>
      </w:r>
      <w:r w:rsidRPr="00E06FC2">
        <w:rPr>
          <w:rFonts w:cs="Arial"/>
        </w:rPr>
        <w:t>dendo</w:t>
      </w:r>
      <w:r w:rsidR="00A06AFF" w:rsidRPr="00E06FC2">
        <w:rPr>
          <w:rFonts w:cs="Arial"/>
        </w:rPr>
        <w:t xml:space="preserve"> </w:t>
      </w:r>
      <w:r w:rsidR="00BD032B" w:rsidRPr="00E06FC2">
        <w:rPr>
          <w:rFonts w:cs="Arial"/>
        </w:rPr>
        <w:t xml:space="preserve">3, </w:t>
      </w:r>
      <w:r w:rsidRPr="00E06FC2">
        <w:rPr>
          <w:rFonts w:cs="Arial"/>
        </w:rPr>
        <w:t>faltando tres d</w:t>
      </w:r>
      <w:r w:rsidR="00A06AFF" w:rsidRPr="00E06FC2">
        <w:rPr>
          <w:rFonts w:cs="Arial"/>
        </w:rPr>
        <w:t>í</w:t>
      </w:r>
      <w:r w:rsidRPr="00E06FC2">
        <w:rPr>
          <w:rFonts w:cs="Arial"/>
        </w:rPr>
        <w:t>as para el cierre</w:t>
      </w:r>
      <w:r w:rsidR="00C71D1C" w:rsidRPr="00E06FC2">
        <w:rPr>
          <w:rFonts w:cs="Arial"/>
        </w:rPr>
        <w:t>,</w:t>
      </w:r>
      <w:r w:rsidR="00290DAD" w:rsidRPr="00E06FC2">
        <w:rPr>
          <w:rFonts w:cs="Arial"/>
        </w:rPr>
        <w:t xml:space="preserve"> </w:t>
      </w:r>
      <w:r w:rsidRPr="00E06FC2">
        <w:rPr>
          <w:rFonts w:cs="Arial"/>
        </w:rPr>
        <w:t xml:space="preserve">en </w:t>
      </w:r>
      <w:r w:rsidR="00E4530B" w:rsidRPr="00E06FC2">
        <w:rPr>
          <w:rFonts w:cs="Arial"/>
        </w:rPr>
        <w:t>forma extemporánea</w:t>
      </w:r>
      <w:r w:rsidR="00EB0D6A" w:rsidRPr="00E06FC2">
        <w:rPr>
          <w:rFonts w:cs="Arial"/>
        </w:rPr>
        <w:t>. Además</w:t>
      </w:r>
      <w:r w:rsidR="004337C8" w:rsidRPr="00E06FC2">
        <w:rPr>
          <w:rFonts w:cs="Arial"/>
        </w:rPr>
        <w:t>,</w:t>
      </w:r>
      <w:r w:rsidR="00EB0D6A" w:rsidRPr="00E06FC2">
        <w:rPr>
          <w:rFonts w:cs="Arial"/>
        </w:rPr>
        <w:t xml:space="preserve"> en dicho adendo</w:t>
      </w:r>
      <w:r w:rsidRPr="00E06FC2">
        <w:rPr>
          <w:rFonts w:cs="Arial"/>
        </w:rPr>
        <w:t xml:space="preserve"> se permitieron </w:t>
      </w:r>
      <w:r w:rsidR="00D67641" w:rsidRPr="00E06FC2">
        <w:rPr>
          <w:rFonts w:cs="Arial"/>
        </w:rPr>
        <w:t xml:space="preserve">las </w:t>
      </w:r>
      <w:r w:rsidRPr="00E06FC2">
        <w:rPr>
          <w:rFonts w:cs="Arial"/>
        </w:rPr>
        <w:lastRenderedPageBreak/>
        <w:t>propuestas alternativas</w:t>
      </w:r>
      <w:r w:rsidR="00D67641" w:rsidRPr="00E06FC2">
        <w:rPr>
          <w:rFonts w:cs="Arial"/>
        </w:rPr>
        <w:t>,</w:t>
      </w:r>
      <w:r w:rsidRPr="00E06FC2">
        <w:rPr>
          <w:rFonts w:cs="Arial"/>
        </w:rPr>
        <w:t xml:space="preserve"> con </w:t>
      </w:r>
      <w:r w:rsidR="00290DAD" w:rsidRPr="00E06FC2">
        <w:rPr>
          <w:rFonts w:cs="Arial"/>
        </w:rPr>
        <w:t xml:space="preserve">base en criterios </w:t>
      </w:r>
      <w:r w:rsidR="00C71D1C" w:rsidRPr="00E06FC2">
        <w:rPr>
          <w:rFonts w:cs="Arial"/>
        </w:rPr>
        <w:t>subjetivos</w:t>
      </w:r>
      <w:r w:rsidR="00E4530B" w:rsidRPr="00E06FC2">
        <w:rPr>
          <w:rFonts w:cs="Arial"/>
        </w:rPr>
        <w:t xml:space="preserve"> que no habían sido indicados en el pliego de condiciones</w:t>
      </w:r>
      <w:r w:rsidR="00574AF6" w:rsidRPr="00E06FC2">
        <w:rPr>
          <w:rFonts w:cs="Arial"/>
        </w:rPr>
        <w:t>.</w:t>
      </w:r>
    </w:p>
    <w:p w14:paraId="3D63EA3B" w14:textId="77777777" w:rsidR="00F87872" w:rsidRPr="00E06FC2" w:rsidRDefault="00574AF6" w:rsidP="00743788">
      <w:pPr>
        <w:pStyle w:val="Lista2"/>
        <w:ind w:left="0" w:firstLine="0"/>
        <w:rPr>
          <w:rFonts w:cs="Arial"/>
        </w:rPr>
      </w:pPr>
      <w:r w:rsidRPr="00E06FC2">
        <w:rPr>
          <w:rFonts w:cs="Arial"/>
        </w:rPr>
        <w:t xml:space="preserve"> </w:t>
      </w:r>
    </w:p>
    <w:p w14:paraId="3D1DB273" w14:textId="77777777" w:rsidR="00F62C3F" w:rsidRPr="00E06FC2" w:rsidRDefault="001B5CC2" w:rsidP="00743788">
      <w:pPr>
        <w:pStyle w:val="Lista2"/>
        <w:ind w:left="0" w:firstLine="0"/>
        <w:rPr>
          <w:rFonts w:cs="Arial"/>
        </w:rPr>
      </w:pPr>
      <w:r w:rsidRPr="00E06FC2">
        <w:rPr>
          <w:rFonts w:cs="Arial"/>
          <w:b/>
        </w:rPr>
        <w:t>2.</w:t>
      </w:r>
      <w:r w:rsidR="00F87872" w:rsidRPr="00E06FC2">
        <w:rPr>
          <w:rFonts w:cs="Arial"/>
          <w:b/>
        </w:rPr>
        <w:t>4</w:t>
      </w:r>
      <w:r w:rsidRPr="00E06FC2">
        <w:rPr>
          <w:rFonts w:cs="Arial"/>
          <w:b/>
        </w:rPr>
        <w:t xml:space="preserve">. </w:t>
      </w:r>
      <w:r w:rsidR="008F5FA2" w:rsidRPr="00E06FC2">
        <w:rPr>
          <w:rFonts w:cs="Arial"/>
        </w:rPr>
        <w:t xml:space="preserve">La demandante </w:t>
      </w:r>
      <w:r w:rsidR="00F62C3F" w:rsidRPr="00E06FC2">
        <w:rPr>
          <w:rFonts w:cs="Arial"/>
        </w:rPr>
        <w:t>puntualizó que</w:t>
      </w:r>
      <w:r w:rsidR="00942173" w:rsidRPr="00E06FC2">
        <w:rPr>
          <w:rFonts w:cs="Arial"/>
        </w:rPr>
        <w:t>:</w:t>
      </w:r>
      <w:r w:rsidR="00F62C3F" w:rsidRPr="00E06FC2">
        <w:rPr>
          <w:rFonts w:cs="Arial"/>
        </w:rPr>
        <w:t xml:space="preserve"> </w:t>
      </w:r>
      <w:r w:rsidRPr="00E06FC2">
        <w:rPr>
          <w:rFonts w:cs="Arial"/>
          <w:b/>
        </w:rPr>
        <w:t>i)</w:t>
      </w:r>
      <w:r w:rsidRPr="00E06FC2">
        <w:rPr>
          <w:rFonts w:cs="Arial"/>
        </w:rPr>
        <w:t xml:space="preserve"> </w:t>
      </w:r>
      <w:r w:rsidR="008F5FA2" w:rsidRPr="00E06FC2">
        <w:rPr>
          <w:rFonts w:cs="Arial"/>
        </w:rPr>
        <w:t>la UT Disel</w:t>
      </w:r>
      <w:r w:rsidR="00B530C9" w:rsidRPr="00E06FC2">
        <w:rPr>
          <w:rFonts w:cs="Arial"/>
        </w:rPr>
        <w:t>e</w:t>
      </w:r>
      <w:r w:rsidR="008F5FA2" w:rsidRPr="00E06FC2">
        <w:rPr>
          <w:rFonts w:cs="Arial"/>
        </w:rPr>
        <w:t>csa – Montajes Eléctricos no cumplió con las especificaciones en relación con las carcazas, los balastos</w:t>
      </w:r>
      <w:r w:rsidRPr="00E06FC2">
        <w:rPr>
          <w:rFonts w:cs="Arial"/>
        </w:rPr>
        <w:t>, l</w:t>
      </w:r>
      <w:r w:rsidR="008F5FA2" w:rsidRPr="00E06FC2">
        <w:rPr>
          <w:rFonts w:cs="Arial"/>
        </w:rPr>
        <w:t>os reflectores y las bombillas</w:t>
      </w:r>
      <w:r w:rsidRPr="00E06FC2">
        <w:rPr>
          <w:rFonts w:cs="Arial"/>
        </w:rPr>
        <w:t xml:space="preserve">, no obstante lo cual se le asignó </w:t>
      </w:r>
      <w:r w:rsidR="00186195" w:rsidRPr="00E06FC2">
        <w:rPr>
          <w:rFonts w:cs="Arial"/>
        </w:rPr>
        <w:t xml:space="preserve">el </w:t>
      </w:r>
      <w:r w:rsidRPr="00E06FC2">
        <w:rPr>
          <w:rFonts w:cs="Arial"/>
        </w:rPr>
        <w:t xml:space="preserve">puntaje </w:t>
      </w:r>
      <w:r w:rsidR="00186195" w:rsidRPr="00E06FC2">
        <w:rPr>
          <w:rFonts w:cs="Arial"/>
        </w:rPr>
        <w:t>máximo</w:t>
      </w:r>
      <w:r w:rsidRPr="00E06FC2">
        <w:rPr>
          <w:rFonts w:cs="Arial"/>
        </w:rPr>
        <w:t xml:space="preserve"> y </w:t>
      </w:r>
      <w:r w:rsidRPr="00E06FC2">
        <w:rPr>
          <w:rFonts w:cs="Arial"/>
          <w:b/>
        </w:rPr>
        <w:t>ii)</w:t>
      </w:r>
      <w:r w:rsidRPr="00E06FC2">
        <w:rPr>
          <w:rFonts w:cs="Arial"/>
        </w:rPr>
        <w:t xml:space="preserve"> por </w:t>
      </w:r>
      <w:r w:rsidR="00F62C3F" w:rsidRPr="00E06FC2">
        <w:rPr>
          <w:rFonts w:cs="Arial"/>
        </w:rPr>
        <w:t>su parte</w:t>
      </w:r>
      <w:r w:rsidR="00EB0D6A" w:rsidRPr="00E06FC2">
        <w:rPr>
          <w:rFonts w:cs="Arial"/>
        </w:rPr>
        <w:t>,</w:t>
      </w:r>
      <w:r w:rsidR="00F62C3F" w:rsidRPr="00E06FC2">
        <w:rPr>
          <w:rFonts w:cs="Arial"/>
        </w:rPr>
        <w:t xml:space="preserve"> </w:t>
      </w:r>
      <w:r w:rsidR="007918EA" w:rsidRPr="00E06FC2">
        <w:rPr>
          <w:rFonts w:cs="Arial"/>
        </w:rPr>
        <w:t xml:space="preserve">la </w:t>
      </w:r>
      <w:r w:rsidRPr="00E06FC2">
        <w:rPr>
          <w:rFonts w:cs="Arial"/>
        </w:rPr>
        <w:t>U</w:t>
      </w:r>
      <w:r w:rsidR="00F62C3F" w:rsidRPr="00E06FC2">
        <w:rPr>
          <w:rFonts w:cs="Arial"/>
        </w:rPr>
        <w:t>T</w:t>
      </w:r>
      <w:r w:rsidRPr="00E06FC2">
        <w:rPr>
          <w:rFonts w:cs="Arial"/>
        </w:rPr>
        <w:t xml:space="preserve"> Ge</w:t>
      </w:r>
      <w:r w:rsidR="00EB0D6A" w:rsidRPr="00E06FC2">
        <w:rPr>
          <w:rFonts w:cs="Arial"/>
        </w:rPr>
        <w:t xml:space="preserve">neral Electric - </w:t>
      </w:r>
      <w:r w:rsidRPr="00E06FC2">
        <w:rPr>
          <w:rFonts w:cs="Arial"/>
        </w:rPr>
        <w:t xml:space="preserve">Electro Atlántico </w:t>
      </w:r>
      <w:r w:rsidR="007918EA" w:rsidRPr="00E06FC2">
        <w:rPr>
          <w:rFonts w:cs="Arial"/>
        </w:rPr>
        <w:t>cumplió con la</w:t>
      </w:r>
      <w:r w:rsidR="007311A4" w:rsidRPr="00E06FC2">
        <w:rPr>
          <w:rFonts w:cs="Arial"/>
        </w:rPr>
        <w:t>s</w:t>
      </w:r>
      <w:r w:rsidR="007918EA" w:rsidRPr="00E06FC2">
        <w:rPr>
          <w:rFonts w:cs="Arial"/>
        </w:rPr>
        <w:t xml:space="preserve"> </w:t>
      </w:r>
      <w:r w:rsidR="007311A4" w:rsidRPr="00E06FC2">
        <w:rPr>
          <w:rFonts w:cs="Arial"/>
        </w:rPr>
        <w:t xml:space="preserve">especificaciones de </w:t>
      </w:r>
      <w:r w:rsidR="007918EA" w:rsidRPr="00E06FC2">
        <w:rPr>
          <w:rFonts w:cs="Arial"/>
        </w:rPr>
        <w:t>las bombillas</w:t>
      </w:r>
      <w:r w:rsidR="007311A4" w:rsidRPr="00E06FC2">
        <w:rPr>
          <w:rFonts w:cs="Arial"/>
        </w:rPr>
        <w:t xml:space="preserve"> y los arrancadores</w:t>
      </w:r>
      <w:r w:rsidR="007918EA" w:rsidRPr="00E06FC2">
        <w:rPr>
          <w:rFonts w:cs="Arial"/>
        </w:rPr>
        <w:t xml:space="preserve">, </w:t>
      </w:r>
      <w:r w:rsidR="007311A4" w:rsidRPr="00E06FC2">
        <w:rPr>
          <w:rFonts w:cs="Arial"/>
        </w:rPr>
        <w:t xml:space="preserve">pese a lo cual no se le otorgó puntaje en </w:t>
      </w:r>
      <w:r w:rsidR="00EB0D6A" w:rsidRPr="00E06FC2">
        <w:rPr>
          <w:rFonts w:cs="Arial"/>
        </w:rPr>
        <w:t xml:space="preserve">el primer componente </w:t>
      </w:r>
      <w:r w:rsidR="007311A4" w:rsidRPr="00E06FC2">
        <w:rPr>
          <w:rFonts w:cs="Arial"/>
        </w:rPr>
        <w:t xml:space="preserve">y se le redujo en </w:t>
      </w:r>
      <w:r w:rsidR="00EB0D6A" w:rsidRPr="00E06FC2">
        <w:rPr>
          <w:rFonts w:cs="Arial"/>
        </w:rPr>
        <w:t xml:space="preserve">el </w:t>
      </w:r>
      <w:r w:rsidR="007311A4" w:rsidRPr="00E06FC2">
        <w:rPr>
          <w:rFonts w:cs="Arial"/>
        </w:rPr>
        <w:t xml:space="preserve">segundo, puesto que </w:t>
      </w:r>
      <w:r w:rsidR="00EB0D6A" w:rsidRPr="00E06FC2">
        <w:rPr>
          <w:rFonts w:cs="Arial"/>
        </w:rPr>
        <w:t xml:space="preserve">el </w:t>
      </w:r>
      <w:r w:rsidR="00B530C9" w:rsidRPr="00E06FC2">
        <w:rPr>
          <w:rFonts w:cs="Arial"/>
        </w:rPr>
        <w:t xml:space="preserve">comité de evaluación </w:t>
      </w:r>
      <w:r w:rsidR="004B311B" w:rsidRPr="00E06FC2">
        <w:rPr>
          <w:rFonts w:cs="Arial"/>
        </w:rPr>
        <w:t xml:space="preserve">decidió que </w:t>
      </w:r>
      <w:r w:rsidR="00CE2CC6" w:rsidRPr="00E06FC2">
        <w:rPr>
          <w:rFonts w:cs="Arial"/>
        </w:rPr>
        <w:t xml:space="preserve">a esa propuesta </w:t>
      </w:r>
      <w:r w:rsidR="004B311B" w:rsidRPr="00E06FC2">
        <w:rPr>
          <w:rFonts w:cs="Arial"/>
        </w:rPr>
        <w:t>le faltaba la homologación de las especificaciones de</w:t>
      </w:r>
      <w:r w:rsidR="007918EA" w:rsidRPr="00E06FC2">
        <w:rPr>
          <w:rFonts w:cs="Arial"/>
        </w:rPr>
        <w:t>l CIDET</w:t>
      </w:r>
      <w:r w:rsidR="007311A4" w:rsidRPr="00E06FC2">
        <w:rPr>
          <w:rFonts w:cs="Arial"/>
        </w:rPr>
        <w:t xml:space="preserve">, </w:t>
      </w:r>
      <w:r w:rsidR="00934A35" w:rsidRPr="00E06FC2">
        <w:rPr>
          <w:rFonts w:cs="Arial"/>
        </w:rPr>
        <w:t xml:space="preserve">aunque </w:t>
      </w:r>
      <w:r w:rsidR="00F62C3F" w:rsidRPr="00E06FC2">
        <w:rPr>
          <w:rFonts w:cs="Arial"/>
        </w:rPr>
        <w:t xml:space="preserve">el pliego de condiciones </w:t>
      </w:r>
      <w:r w:rsidR="00934A35" w:rsidRPr="00E06FC2">
        <w:rPr>
          <w:rFonts w:cs="Arial"/>
        </w:rPr>
        <w:t xml:space="preserve">no </w:t>
      </w:r>
      <w:r w:rsidR="007311A4" w:rsidRPr="00E06FC2">
        <w:rPr>
          <w:rFonts w:cs="Arial"/>
        </w:rPr>
        <w:t xml:space="preserve">establecía </w:t>
      </w:r>
      <w:r w:rsidR="00CE2CC6" w:rsidRPr="00E06FC2">
        <w:rPr>
          <w:rFonts w:cs="Arial"/>
        </w:rPr>
        <w:t xml:space="preserve">dicho </w:t>
      </w:r>
      <w:r w:rsidR="007311A4" w:rsidRPr="00E06FC2">
        <w:rPr>
          <w:rFonts w:cs="Arial"/>
        </w:rPr>
        <w:t>requisito</w:t>
      </w:r>
      <w:r w:rsidR="00531E43" w:rsidRPr="00E06FC2">
        <w:rPr>
          <w:rFonts w:cs="Arial"/>
        </w:rPr>
        <w:t xml:space="preserve"> para la propuesta básica</w:t>
      </w:r>
      <w:r w:rsidR="00F62C3F" w:rsidRPr="00E06FC2">
        <w:rPr>
          <w:rFonts w:cs="Arial"/>
        </w:rPr>
        <w:t>.</w:t>
      </w:r>
    </w:p>
    <w:p w14:paraId="3753B786" w14:textId="77777777" w:rsidR="00F87872" w:rsidRPr="00E06FC2" w:rsidRDefault="00F87872" w:rsidP="00743788">
      <w:pPr>
        <w:pStyle w:val="Lista2"/>
        <w:ind w:left="0" w:firstLine="0"/>
        <w:rPr>
          <w:rFonts w:cs="Arial"/>
          <w:b/>
        </w:rPr>
      </w:pPr>
    </w:p>
    <w:p w14:paraId="21B4700A" w14:textId="77777777" w:rsidR="00F87872" w:rsidRPr="00E06FC2" w:rsidRDefault="00F87872" w:rsidP="00743788">
      <w:pPr>
        <w:pStyle w:val="Lista2"/>
        <w:ind w:left="0" w:firstLine="0"/>
        <w:rPr>
          <w:rFonts w:cs="Arial"/>
        </w:rPr>
      </w:pPr>
      <w:r w:rsidRPr="00E06FC2">
        <w:rPr>
          <w:rFonts w:cs="Arial"/>
          <w:b/>
        </w:rPr>
        <w:t xml:space="preserve">2.5. </w:t>
      </w:r>
      <w:r w:rsidRPr="00E06FC2">
        <w:rPr>
          <w:rFonts w:cs="Arial"/>
        </w:rPr>
        <w:t xml:space="preserve">Por otra parte, narró la demandante, el </w:t>
      </w:r>
      <w:r w:rsidR="00B530C9" w:rsidRPr="00E06FC2">
        <w:rPr>
          <w:rFonts w:cs="Arial"/>
        </w:rPr>
        <w:t xml:space="preserve">comité de evaluación </w:t>
      </w:r>
      <w:r w:rsidRPr="00E06FC2">
        <w:rPr>
          <w:rFonts w:cs="Arial"/>
          <w:i/>
        </w:rPr>
        <w:t>“arguyó varios juicios de valor”</w:t>
      </w:r>
      <w:r w:rsidRPr="00E06FC2">
        <w:rPr>
          <w:rFonts w:cs="Arial"/>
        </w:rPr>
        <w:t xml:space="preserve"> sobre su propuesta </w:t>
      </w:r>
      <w:r w:rsidRPr="00E06FC2">
        <w:rPr>
          <w:rFonts w:cs="Arial"/>
          <w:i/>
        </w:rPr>
        <w:t>“especialmente de carácter financiero”</w:t>
      </w:r>
      <w:r w:rsidRPr="00E06FC2">
        <w:rPr>
          <w:rFonts w:cs="Arial"/>
        </w:rPr>
        <w:t xml:space="preserve"> los cuales no aparecían como criterio</w:t>
      </w:r>
      <w:r w:rsidR="00CE2CC6" w:rsidRPr="00E06FC2">
        <w:rPr>
          <w:rFonts w:cs="Arial"/>
        </w:rPr>
        <w:t>s</w:t>
      </w:r>
      <w:r w:rsidRPr="00E06FC2">
        <w:rPr>
          <w:rFonts w:cs="Arial"/>
        </w:rPr>
        <w:t xml:space="preserve"> de evaluación.</w:t>
      </w:r>
    </w:p>
    <w:p w14:paraId="223AF9BD" w14:textId="77777777" w:rsidR="00531E43" w:rsidRPr="00E06FC2" w:rsidRDefault="00531E43" w:rsidP="00743788">
      <w:pPr>
        <w:pStyle w:val="Lista2"/>
        <w:ind w:left="0" w:firstLine="0"/>
        <w:rPr>
          <w:rFonts w:cs="Arial"/>
          <w:b/>
        </w:rPr>
      </w:pPr>
    </w:p>
    <w:p w14:paraId="4B8B93C9" w14:textId="77777777" w:rsidR="00531E43" w:rsidRPr="00E06FC2" w:rsidRDefault="004B311B" w:rsidP="00743788">
      <w:pPr>
        <w:pStyle w:val="Lista2"/>
        <w:ind w:left="0" w:firstLine="0"/>
        <w:rPr>
          <w:rFonts w:cs="Arial"/>
        </w:rPr>
      </w:pPr>
      <w:r w:rsidRPr="00E06FC2">
        <w:rPr>
          <w:rFonts w:cs="Arial"/>
          <w:b/>
        </w:rPr>
        <w:t>2.</w:t>
      </w:r>
      <w:r w:rsidR="00F87872" w:rsidRPr="00E06FC2">
        <w:rPr>
          <w:rFonts w:cs="Arial"/>
          <w:b/>
        </w:rPr>
        <w:t>6</w:t>
      </w:r>
      <w:r w:rsidR="00531E43" w:rsidRPr="00E06FC2">
        <w:rPr>
          <w:rFonts w:cs="Arial"/>
          <w:b/>
        </w:rPr>
        <w:t xml:space="preserve">. </w:t>
      </w:r>
      <w:r w:rsidR="00531E43" w:rsidRPr="00E06FC2">
        <w:rPr>
          <w:rFonts w:cs="Arial"/>
        </w:rPr>
        <w:t>En l</w:t>
      </w:r>
      <w:r w:rsidRPr="00E06FC2">
        <w:rPr>
          <w:rFonts w:cs="Arial"/>
        </w:rPr>
        <w:t xml:space="preserve">o que se refiere a la </w:t>
      </w:r>
      <w:r w:rsidR="00531E43" w:rsidRPr="00E06FC2">
        <w:rPr>
          <w:rFonts w:cs="Arial"/>
        </w:rPr>
        <w:t>calificación del factor de capacidad financiera del oferente</w:t>
      </w:r>
      <w:r w:rsidRPr="00E06FC2">
        <w:rPr>
          <w:rFonts w:cs="Arial"/>
        </w:rPr>
        <w:t>,</w:t>
      </w:r>
      <w:r w:rsidR="00531E43" w:rsidRPr="00E06FC2">
        <w:rPr>
          <w:rFonts w:cs="Arial"/>
        </w:rPr>
        <w:t xml:space="preserve"> indicó la demandante que </w:t>
      </w:r>
      <w:r w:rsidRPr="00E06FC2">
        <w:rPr>
          <w:rFonts w:cs="Arial"/>
        </w:rPr>
        <w:t>d</w:t>
      </w:r>
      <w:r w:rsidR="00531E43" w:rsidRPr="00E06FC2">
        <w:rPr>
          <w:rFonts w:cs="Arial"/>
        </w:rPr>
        <w:t xml:space="preserve">e acuerdo con el patrimonio líquido debió ser calificada con el máximo de 100 puntos y no con 97 como curiosamente lo decidió el </w:t>
      </w:r>
      <w:r w:rsidR="00CE2CC6" w:rsidRPr="00E06FC2">
        <w:rPr>
          <w:rFonts w:cs="Arial"/>
        </w:rPr>
        <w:t>c</w:t>
      </w:r>
      <w:r w:rsidR="00531E43" w:rsidRPr="00E06FC2">
        <w:rPr>
          <w:rFonts w:cs="Arial"/>
        </w:rPr>
        <w:t xml:space="preserve">omité de </w:t>
      </w:r>
      <w:r w:rsidR="00CE2CC6" w:rsidRPr="00E06FC2">
        <w:rPr>
          <w:rFonts w:cs="Arial"/>
        </w:rPr>
        <w:t>e</w:t>
      </w:r>
      <w:r w:rsidR="00531E43" w:rsidRPr="00E06FC2">
        <w:rPr>
          <w:rFonts w:cs="Arial"/>
        </w:rPr>
        <w:t>valuación.</w:t>
      </w:r>
    </w:p>
    <w:p w14:paraId="44B174D7" w14:textId="77777777" w:rsidR="00F87872" w:rsidRPr="00E06FC2" w:rsidRDefault="00F87872" w:rsidP="00743788">
      <w:pPr>
        <w:pStyle w:val="Lista2"/>
        <w:ind w:left="0" w:firstLine="0"/>
        <w:rPr>
          <w:rFonts w:cs="Arial"/>
          <w:b/>
        </w:rPr>
      </w:pPr>
    </w:p>
    <w:p w14:paraId="66DC2861" w14:textId="77777777" w:rsidR="003B04C7" w:rsidRPr="00E06FC2" w:rsidRDefault="004B311B" w:rsidP="00743788">
      <w:pPr>
        <w:pStyle w:val="Lista2"/>
        <w:ind w:left="0" w:firstLine="0"/>
        <w:rPr>
          <w:rFonts w:cs="Arial"/>
        </w:rPr>
      </w:pPr>
      <w:r w:rsidRPr="00E06FC2">
        <w:rPr>
          <w:rFonts w:cs="Arial"/>
          <w:b/>
        </w:rPr>
        <w:t>2.</w:t>
      </w:r>
      <w:r w:rsidR="00F87872" w:rsidRPr="00E06FC2">
        <w:rPr>
          <w:rFonts w:cs="Arial"/>
          <w:b/>
        </w:rPr>
        <w:t>7</w:t>
      </w:r>
      <w:r w:rsidR="00942173" w:rsidRPr="00E06FC2">
        <w:rPr>
          <w:rFonts w:cs="Arial"/>
          <w:b/>
        </w:rPr>
        <w:t>.</w:t>
      </w:r>
      <w:r w:rsidR="001B4454" w:rsidRPr="00E06FC2">
        <w:rPr>
          <w:rFonts w:cs="Arial"/>
          <w:b/>
        </w:rPr>
        <w:t xml:space="preserve"> </w:t>
      </w:r>
      <w:r w:rsidR="001B4454" w:rsidRPr="00E06FC2">
        <w:rPr>
          <w:rFonts w:cs="Arial"/>
        </w:rPr>
        <w:t>A juicio de la demandante</w:t>
      </w:r>
      <w:r w:rsidRPr="00E06FC2">
        <w:rPr>
          <w:rFonts w:cs="Arial"/>
        </w:rPr>
        <w:t xml:space="preserve">, </w:t>
      </w:r>
      <w:r w:rsidR="001B4454" w:rsidRPr="00E06FC2">
        <w:rPr>
          <w:rFonts w:cs="Arial"/>
        </w:rPr>
        <w:t>la adjudicación debe ser anulada</w:t>
      </w:r>
      <w:r w:rsidR="00CE2CC6" w:rsidRPr="00E06FC2">
        <w:rPr>
          <w:rFonts w:cs="Arial"/>
        </w:rPr>
        <w:t>,</w:t>
      </w:r>
      <w:r w:rsidR="001B4454" w:rsidRPr="00E06FC2">
        <w:rPr>
          <w:rFonts w:cs="Arial"/>
        </w:rPr>
        <w:t xml:space="preserve"> por cuanto la proponente </w:t>
      </w:r>
      <w:r w:rsidRPr="00E06FC2">
        <w:rPr>
          <w:rFonts w:cs="Arial"/>
        </w:rPr>
        <w:t xml:space="preserve">adjudicataria </w:t>
      </w:r>
      <w:r w:rsidR="001B4454" w:rsidRPr="00E06FC2">
        <w:rPr>
          <w:rFonts w:cs="Arial"/>
        </w:rPr>
        <w:t>no indicó que su propuesta fuera alternativa, no presentó propuesta básica alguna</w:t>
      </w:r>
      <w:r w:rsidR="003B04C7" w:rsidRPr="00E06FC2">
        <w:rPr>
          <w:rFonts w:cs="Arial"/>
        </w:rPr>
        <w:t xml:space="preserve">, no cumplió con las especificaciones exigidas </w:t>
      </w:r>
      <w:r w:rsidR="00EF631D" w:rsidRPr="00E06FC2">
        <w:rPr>
          <w:rFonts w:cs="Arial"/>
        </w:rPr>
        <w:t xml:space="preserve">por el </w:t>
      </w:r>
      <w:r w:rsidR="00005BC3" w:rsidRPr="00E06FC2">
        <w:rPr>
          <w:rFonts w:cs="Arial"/>
        </w:rPr>
        <w:t>p</w:t>
      </w:r>
      <w:r w:rsidR="00EF631D" w:rsidRPr="00E06FC2">
        <w:rPr>
          <w:rFonts w:cs="Arial"/>
        </w:rPr>
        <w:t xml:space="preserve">liego de </w:t>
      </w:r>
      <w:r w:rsidR="00005BC3" w:rsidRPr="00E06FC2">
        <w:rPr>
          <w:rFonts w:cs="Arial"/>
        </w:rPr>
        <w:t>c</w:t>
      </w:r>
      <w:r w:rsidR="00EF631D" w:rsidRPr="00E06FC2">
        <w:rPr>
          <w:rFonts w:cs="Arial"/>
        </w:rPr>
        <w:t xml:space="preserve">ondiciones </w:t>
      </w:r>
      <w:r w:rsidR="003B04C7" w:rsidRPr="00E06FC2">
        <w:rPr>
          <w:rFonts w:cs="Arial"/>
        </w:rPr>
        <w:t>y se seleccionó como ganadora arbitrariamente</w:t>
      </w:r>
      <w:r w:rsidR="00005BC3" w:rsidRPr="00E06FC2">
        <w:rPr>
          <w:rFonts w:cs="Arial"/>
        </w:rPr>
        <w:t xml:space="preserve">. </w:t>
      </w:r>
    </w:p>
    <w:p w14:paraId="27060DFF" w14:textId="77777777" w:rsidR="00150BC8" w:rsidRPr="00E06FC2" w:rsidRDefault="00150BC8" w:rsidP="00743788">
      <w:pPr>
        <w:pStyle w:val="Continuarlista2"/>
        <w:ind w:left="0"/>
        <w:rPr>
          <w:rFonts w:cs="Arial"/>
        </w:rPr>
      </w:pPr>
    </w:p>
    <w:p w14:paraId="2E53B3AC" w14:textId="77777777" w:rsidR="003D178D" w:rsidRPr="00E06FC2" w:rsidRDefault="003D178D" w:rsidP="00743788">
      <w:pPr>
        <w:pStyle w:val="Continuarlista2"/>
        <w:ind w:left="0"/>
        <w:rPr>
          <w:rFonts w:cs="Arial"/>
          <w:b/>
        </w:rPr>
      </w:pPr>
      <w:r w:rsidRPr="00E06FC2">
        <w:rPr>
          <w:rFonts w:cs="Arial"/>
          <w:b/>
        </w:rPr>
        <w:t>3. Concepto de violación</w:t>
      </w:r>
    </w:p>
    <w:p w14:paraId="5C20A4A0" w14:textId="77777777" w:rsidR="000E2AD6" w:rsidRPr="00E06FC2" w:rsidRDefault="000E2AD6" w:rsidP="00743788">
      <w:pPr>
        <w:pStyle w:val="Continuarlista2"/>
        <w:ind w:left="0"/>
        <w:rPr>
          <w:rFonts w:cs="Arial"/>
        </w:rPr>
      </w:pPr>
    </w:p>
    <w:p w14:paraId="6B58717A" w14:textId="77777777" w:rsidR="00005BC3" w:rsidRPr="00E06FC2" w:rsidRDefault="00DB0FC2" w:rsidP="00743788">
      <w:pPr>
        <w:pStyle w:val="Continuarlista2"/>
        <w:ind w:left="0"/>
        <w:rPr>
          <w:rFonts w:cs="Arial"/>
        </w:rPr>
      </w:pPr>
      <w:r w:rsidRPr="00E06FC2">
        <w:rPr>
          <w:rFonts w:cs="Arial"/>
        </w:rPr>
        <w:t xml:space="preserve">La demandante </w:t>
      </w:r>
      <w:r w:rsidR="00CB7C91" w:rsidRPr="00E06FC2">
        <w:rPr>
          <w:rFonts w:cs="Arial"/>
        </w:rPr>
        <w:t xml:space="preserve">invocó </w:t>
      </w:r>
      <w:r w:rsidRPr="00E06FC2">
        <w:rPr>
          <w:rFonts w:cs="Arial"/>
        </w:rPr>
        <w:t>las garantías constitucionales consagradas en los artículos 2, 58 y 90 de la Constitución Política</w:t>
      </w:r>
      <w:r w:rsidR="00917714" w:rsidRPr="00E06FC2">
        <w:rPr>
          <w:rFonts w:cs="Arial"/>
        </w:rPr>
        <w:t>. Precisó</w:t>
      </w:r>
      <w:r w:rsidR="00005BC3" w:rsidRPr="00E06FC2">
        <w:rPr>
          <w:rFonts w:cs="Arial"/>
        </w:rPr>
        <w:t xml:space="preserve">, también, que el acto de adjudicación transgredió </w:t>
      </w:r>
      <w:r w:rsidR="00917714" w:rsidRPr="00E06FC2">
        <w:rPr>
          <w:rFonts w:cs="Arial"/>
        </w:rPr>
        <w:t>los artículos 13, 89 y 209 de la Constitución Política, referidos a la igualdad y al principio de buena fe</w:t>
      </w:r>
      <w:r w:rsidR="004B392A" w:rsidRPr="00E06FC2">
        <w:rPr>
          <w:rFonts w:cs="Arial"/>
        </w:rPr>
        <w:t xml:space="preserve"> y afirmó que su propuesta era la mejor</w:t>
      </w:r>
      <w:r w:rsidR="00917714" w:rsidRPr="00E06FC2">
        <w:rPr>
          <w:rFonts w:cs="Arial"/>
        </w:rPr>
        <w:t xml:space="preserve">. </w:t>
      </w:r>
    </w:p>
    <w:p w14:paraId="3B064FFB" w14:textId="77777777" w:rsidR="00005BC3" w:rsidRPr="00E06FC2" w:rsidRDefault="00005BC3" w:rsidP="00743788">
      <w:pPr>
        <w:pStyle w:val="Continuarlista2"/>
        <w:spacing w:after="0"/>
        <w:ind w:left="0"/>
        <w:rPr>
          <w:rFonts w:cs="Arial"/>
        </w:rPr>
      </w:pPr>
    </w:p>
    <w:p w14:paraId="7C3710FE" w14:textId="77777777" w:rsidR="0031051F" w:rsidRPr="00E06FC2" w:rsidRDefault="00917714" w:rsidP="00743788">
      <w:pPr>
        <w:pStyle w:val="Continuarlista2"/>
        <w:spacing w:after="0"/>
        <w:ind w:left="0"/>
        <w:rPr>
          <w:rFonts w:cs="Arial"/>
        </w:rPr>
      </w:pPr>
      <w:r w:rsidRPr="00E06FC2">
        <w:rPr>
          <w:rFonts w:cs="Arial"/>
        </w:rPr>
        <w:t>Por otra parte</w:t>
      </w:r>
      <w:r w:rsidR="00CE2CC6" w:rsidRPr="00E06FC2">
        <w:rPr>
          <w:rFonts w:cs="Arial"/>
        </w:rPr>
        <w:t>,</w:t>
      </w:r>
      <w:r w:rsidRPr="00E06FC2">
        <w:rPr>
          <w:rFonts w:cs="Arial"/>
        </w:rPr>
        <w:t xml:space="preserve"> relacionó la violaci</w:t>
      </w:r>
      <w:r w:rsidR="005C4144" w:rsidRPr="00E06FC2">
        <w:rPr>
          <w:rFonts w:cs="Arial"/>
        </w:rPr>
        <w:t>ón</w:t>
      </w:r>
      <w:r w:rsidRPr="00E06FC2">
        <w:rPr>
          <w:rFonts w:cs="Arial"/>
        </w:rPr>
        <w:t xml:space="preserve"> de los artículos 23, </w:t>
      </w:r>
      <w:r w:rsidR="00BB1023" w:rsidRPr="00E06FC2">
        <w:rPr>
          <w:rFonts w:cs="Arial"/>
        </w:rPr>
        <w:t>2</w:t>
      </w:r>
      <w:r w:rsidRPr="00E06FC2">
        <w:rPr>
          <w:rFonts w:cs="Arial"/>
        </w:rPr>
        <w:t xml:space="preserve">4, </w:t>
      </w:r>
      <w:r w:rsidR="00BB1023" w:rsidRPr="00E06FC2">
        <w:rPr>
          <w:rFonts w:cs="Arial"/>
        </w:rPr>
        <w:t>2</w:t>
      </w:r>
      <w:r w:rsidRPr="00E06FC2">
        <w:rPr>
          <w:rFonts w:cs="Arial"/>
        </w:rPr>
        <w:t xml:space="preserve">5, 29 y 30 de la Ley 80 de 1993, </w:t>
      </w:r>
      <w:r w:rsidR="00320476" w:rsidRPr="00E06FC2">
        <w:rPr>
          <w:rFonts w:cs="Arial"/>
        </w:rPr>
        <w:t xml:space="preserve">la cual consistió en que </w:t>
      </w:r>
      <w:r w:rsidR="005C4144" w:rsidRPr="00E06FC2">
        <w:rPr>
          <w:rFonts w:cs="Arial"/>
        </w:rPr>
        <w:t xml:space="preserve">la </w:t>
      </w:r>
      <w:r w:rsidR="00005BC3" w:rsidRPr="00E06FC2">
        <w:rPr>
          <w:rFonts w:cs="Arial"/>
        </w:rPr>
        <w:t>A</w:t>
      </w:r>
      <w:r w:rsidR="005C4144" w:rsidRPr="00E06FC2">
        <w:rPr>
          <w:rFonts w:cs="Arial"/>
        </w:rPr>
        <w:t>dministración obró d</w:t>
      </w:r>
      <w:r w:rsidR="0031051F" w:rsidRPr="00E06FC2">
        <w:rPr>
          <w:rFonts w:cs="Arial"/>
        </w:rPr>
        <w:t xml:space="preserve">e </w:t>
      </w:r>
      <w:r w:rsidR="005C4144" w:rsidRPr="00E06FC2">
        <w:rPr>
          <w:rFonts w:cs="Arial"/>
        </w:rPr>
        <w:t>manera arbitraria, al</w:t>
      </w:r>
      <w:r w:rsidR="0031051F" w:rsidRPr="00E06FC2">
        <w:rPr>
          <w:rFonts w:cs="Arial"/>
        </w:rPr>
        <w:t xml:space="preserve"> </w:t>
      </w:r>
      <w:r w:rsidR="005C4144" w:rsidRPr="00E06FC2">
        <w:rPr>
          <w:rFonts w:cs="Arial"/>
        </w:rPr>
        <w:lastRenderedPageBreak/>
        <w:t>permitir la participa</w:t>
      </w:r>
      <w:r w:rsidR="0031051F" w:rsidRPr="00E06FC2">
        <w:rPr>
          <w:rFonts w:cs="Arial"/>
        </w:rPr>
        <w:t xml:space="preserve">ción </w:t>
      </w:r>
      <w:r w:rsidR="005C4144" w:rsidRPr="00E06FC2">
        <w:rPr>
          <w:rFonts w:cs="Arial"/>
        </w:rPr>
        <w:t xml:space="preserve">de una </w:t>
      </w:r>
      <w:r w:rsidR="005C4144" w:rsidRPr="00E06FC2">
        <w:rPr>
          <w:rFonts w:cs="Arial"/>
          <w:i/>
        </w:rPr>
        <w:t>“variedad inf</w:t>
      </w:r>
      <w:r w:rsidR="0031051F" w:rsidRPr="00E06FC2">
        <w:rPr>
          <w:rFonts w:cs="Arial"/>
          <w:i/>
        </w:rPr>
        <w:t>i</w:t>
      </w:r>
      <w:r w:rsidR="005C4144" w:rsidRPr="00E06FC2">
        <w:rPr>
          <w:rFonts w:cs="Arial"/>
          <w:i/>
        </w:rPr>
        <w:t>nita y et</w:t>
      </w:r>
      <w:r w:rsidR="0031051F" w:rsidRPr="00E06FC2">
        <w:rPr>
          <w:rFonts w:cs="Arial"/>
          <w:i/>
        </w:rPr>
        <w:t>é</w:t>
      </w:r>
      <w:r w:rsidR="005C4144" w:rsidRPr="00E06FC2">
        <w:rPr>
          <w:rFonts w:cs="Arial"/>
          <w:i/>
        </w:rPr>
        <w:t>rea de alternativas”</w:t>
      </w:r>
      <w:r w:rsidR="005C4144" w:rsidRPr="00E06FC2">
        <w:rPr>
          <w:rStyle w:val="Refdenotaalpie"/>
          <w:rFonts w:cs="Arial"/>
        </w:rPr>
        <w:footnoteReference w:id="4"/>
      </w:r>
      <w:r w:rsidR="004B311B" w:rsidRPr="00E06FC2">
        <w:rPr>
          <w:rFonts w:cs="Arial"/>
        </w:rPr>
        <w:t>, en violación de los principios de selección objetiva y de transparencia establecidos en la citada ley.</w:t>
      </w:r>
    </w:p>
    <w:p w14:paraId="6793E50B" w14:textId="77777777" w:rsidR="004B311B" w:rsidRPr="00E06FC2" w:rsidRDefault="004B311B" w:rsidP="00743788">
      <w:pPr>
        <w:pStyle w:val="Continuarlista2"/>
        <w:spacing w:after="0"/>
        <w:ind w:left="0"/>
        <w:rPr>
          <w:rFonts w:cs="Arial"/>
        </w:rPr>
      </w:pPr>
    </w:p>
    <w:p w14:paraId="2FC6D21B" w14:textId="77777777" w:rsidR="00F21484" w:rsidRPr="00E06FC2" w:rsidRDefault="0015263D" w:rsidP="00743788">
      <w:pPr>
        <w:pStyle w:val="Lista3"/>
        <w:ind w:left="0" w:firstLine="0"/>
        <w:rPr>
          <w:rFonts w:cs="Arial"/>
          <w:b/>
        </w:rPr>
      </w:pPr>
      <w:r w:rsidRPr="00E06FC2">
        <w:rPr>
          <w:rFonts w:cs="Arial"/>
          <w:b/>
        </w:rPr>
        <w:t>4</w:t>
      </w:r>
      <w:r w:rsidR="00F21484" w:rsidRPr="00E06FC2">
        <w:rPr>
          <w:rFonts w:cs="Arial"/>
          <w:b/>
        </w:rPr>
        <w:t>.</w:t>
      </w:r>
      <w:r w:rsidR="00CE2A56" w:rsidRPr="00E06FC2">
        <w:rPr>
          <w:rFonts w:cs="Arial"/>
          <w:b/>
        </w:rPr>
        <w:t xml:space="preserve"> </w:t>
      </w:r>
      <w:r w:rsidR="00F21484" w:rsidRPr="00E06FC2">
        <w:rPr>
          <w:rFonts w:cs="Arial"/>
          <w:b/>
        </w:rPr>
        <w:t>Actuación procesal</w:t>
      </w:r>
    </w:p>
    <w:p w14:paraId="797719FD" w14:textId="77777777" w:rsidR="004B311B" w:rsidRPr="00E06FC2" w:rsidRDefault="004B311B" w:rsidP="00743788">
      <w:pPr>
        <w:pStyle w:val="Lista3"/>
        <w:ind w:left="0" w:firstLine="0"/>
        <w:rPr>
          <w:rFonts w:cs="Arial"/>
          <w:bCs/>
          <w:iCs/>
        </w:rPr>
      </w:pPr>
    </w:p>
    <w:p w14:paraId="692D0A59" w14:textId="77777777" w:rsidR="00AB2D64" w:rsidRPr="00E06FC2" w:rsidRDefault="0015263D" w:rsidP="00743788">
      <w:pPr>
        <w:pStyle w:val="Lista4"/>
        <w:ind w:left="0" w:firstLine="0"/>
        <w:rPr>
          <w:rFonts w:cs="Arial"/>
        </w:rPr>
      </w:pPr>
      <w:r w:rsidRPr="00E06FC2">
        <w:rPr>
          <w:rFonts w:cs="Arial"/>
          <w:b/>
        </w:rPr>
        <w:t>4</w:t>
      </w:r>
      <w:r w:rsidR="00265D85" w:rsidRPr="00E06FC2">
        <w:rPr>
          <w:rFonts w:cs="Arial"/>
          <w:b/>
        </w:rPr>
        <w:t>.1.</w:t>
      </w:r>
      <w:r w:rsidR="00CE2A56" w:rsidRPr="00E06FC2">
        <w:rPr>
          <w:rFonts w:cs="Arial"/>
          <w:b/>
        </w:rPr>
        <w:t xml:space="preserve"> </w:t>
      </w:r>
      <w:r w:rsidR="0098368A" w:rsidRPr="00E06FC2">
        <w:rPr>
          <w:rFonts w:cs="Arial"/>
        </w:rPr>
        <w:t>E</w:t>
      </w:r>
      <w:r w:rsidR="00F21484" w:rsidRPr="00E06FC2">
        <w:rPr>
          <w:rFonts w:cs="Arial"/>
        </w:rPr>
        <w:t>l Tribunal Administrativo de</w:t>
      </w:r>
      <w:r w:rsidR="00AB2D64" w:rsidRPr="00E06FC2">
        <w:rPr>
          <w:rFonts w:cs="Arial"/>
        </w:rPr>
        <w:t>l Valle del Cauca</w:t>
      </w:r>
      <w:r w:rsidR="004E5BFC" w:rsidRPr="00E06FC2">
        <w:rPr>
          <w:rFonts w:cs="Arial"/>
        </w:rPr>
        <w:t xml:space="preserve"> </w:t>
      </w:r>
      <w:r w:rsidR="006D7845" w:rsidRPr="00E06FC2">
        <w:rPr>
          <w:rFonts w:cs="Arial"/>
        </w:rPr>
        <w:t>ad</w:t>
      </w:r>
      <w:r w:rsidR="00885A4A" w:rsidRPr="00E06FC2">
        <w:rPr>
          <w:rFonts w:cs="Arial"/>
        </w:rPr>
        <w:t xml:space="preserve">mitió la </w:t>
      </w:r>
      <w:r w:rsidR="0098368A" w:rsidRPr="00E06FC2">
        <w:rPr>
          <w:rFonts w:cs="Arial"/>
        </w:rPr>
        <w:t xml:space="preserve">demanda mediante auto de </w:t>
      </w:r>
      <w:r w:rsidR="00AB2D64" w:rsidRPr="00E06FC2">
        <w:rPr>
          <w:rFonts w:cs="Arial"/>
        </w:rPr>
        <w:t xml:space="preserve">3 </w:t>
      </w:r>
      <w:r w:rsidR="00967F73" w:rsidRPr="00E06FC2">
        <w:rPr>
          <w:rFonts w:cs="Arial"/>
        </w:rPr>
        <w:t xml:space="preserve"> de </w:t>
      </w:r>
      <w:r w:rsidR="00AB2D64" w:rsidRPr="00E06FC2">
        <w:rPr>
          <w:rFonts w:cs="Arial"/>
        </w:rPr>
        <w:t>marzo de 1998 y ordenó vincular como tercero interesado a la U</w:t>
      </w:r>
      <w:r w:rsidR="00B67FD4" w:rsidRPr="00E06FC2">
        <w:rPr>
          <w:rFonts w:cs="Arial"/>
        </w:rPr>
        <w:t>T</w:t>
      </w:r>
      <w:r w:rsidR="00AB2D64" w:rsidRPr="00E06FC2">
        <w:rPr>
          <w:rFonts w:cs="Arial"/>
        </w:rPr>
        <w:t xml:space="preserve"> Diselecsa – Montajes Eléctricos</w:t>
      </w:r>
      <w:r w:rsidR="00AB2D64" w:rsidRPr="00E06FC2">
        <w:rPr>
          <w:rStyle w:val="Refdenotaalpie"/>
          <w:rFonts w:cs="Arial"/>
        </w:rPr>
        <w:footnoteReference w:id="5"/>
      </w:r>
      <w:r w:rsidR="004B311B" w:rsidRPr="00E06FC2">
        <w:rPr>
          <w:rFonts w:cs="Arial"/>
        </w:rPr>
        <w:t>, para lo cual se libró el despacho comisorio correspondiente</w:t>
      </w:r>
      <w:r w:rsidR="003572FB" w:rsidRPr="00E06FC2">
        <w:rPr>
          <w:rFonts w:cs="Arial"/>
        </w:rPr>
        <w:t xml:space="preserve"> y, con el auxilio del Tribunal Administrativo de Atlántico, se realizó la notificación a la representante legal suplente de Diselecsa Ltda, en relación con el proveído del 3 de marzo de 1998</w:t>
      </w:r>
      <w:r w:rsidR="00122415" w:rsidRPr="00E06FC2">
        <w:rPr>
          <w:rStyle w:val="Refdenotaalpie"/>
          <w:rFonts w:cs="Arial"/>
        </w:rPr>
        <w:footnoteReference w:id="6"/>
      </w:r>
      <w:r w:rsidR="00AB2D64" w:rsidRPr="00E06FC2">
        <w:rPr>
          <w:rFonts w:cs="Arial"/>
        </w:rPr>
        <w:t>.</w:t>
      </w:r>
    </w:p>
    <w:p w14:paraId="7FF2F9E1" w14:textId="77777777" w:rsidR="00CB0A90" w:rsidRPr="00E06FC2" w:rsidRDefault="00CB0A90" w:rsidP="00743788">
      <w:pPr>
        <w:pStyle w:val="Lista4"/>
        <w:ind w:left="0" w:firstLine="0"/>
        <w:rPr>
          <w:rFonts w:cs="Arial"/>
          <w:b/>
          <w:bCs/>
          <w:iCs/>
        </w:rPr>
      </w:pPr>
    </w:p>
    <w:p w14:paraId="27692F1E" w14:textId="77777777" w:rsidR="00824CCC" w:rsidRPr="00E06FC2" w:rsidRDefault="0015263D" w:rsidP="00743788">
      <w:pPr>
        <w:rPr>
          <w:rFonts w:cs="Arial"/>
          <w:bCs/>
          <w:iCs/>
        </w:rPr>
      </w:pPr>
      <w:r w:rsidRPr="00E06FC2">
        <w:rPr>
          <w:rFonts w:cs="Arial"/>
          <w:b/>
          <w:bCs/>
          <w:iCs/>
        </w:rPr>
        <w:t>4</w:t>
      </w:r>
      <w:r w:rsidR="003E4910" w:rsidRPr="00E06FC2">
        <w:rPr>
          <w:rFonts w:cs="Arial"/>
          <w:b/>
          <w:bCs/>
          <w:iCs/>
        </w:rPr>
        <w:t>.</w:t>
      </w:r>
      <w:r w:rsidR="00A86BF5" w:rsidRPr="00E06FC2">
        <w:rPr>
          <w:rFonts w:cs="Arial"/>
          <w:b/>
          <w:bCs/>
          <w:iCs/>
        </w:rPr>
        <w:t>2</w:t>
      </w:r>
      <w:r w:rsidR="003E4910" w:rsidRPr="00E06FC2">
        <w:rPr>
          <w:rFonts w:cs="Arial"/>
          <w:b/>
          <w:bCs/>
          <w:iCs/>
        </w:rPr>
        <w:t>.</w:t>
      </w:r>
      <w:r w:rsidR="006144E0" w:rsidRPr="00E06FC2">
        <w:rPr>
          <w:rFonts w:cs="Arial"/>
          <w:b/>
          <w:bCs/>
          <w:iCs/>
        </w:rPr>
        <w:t xml:space="preserve"> </w:t>
      </w:r>
      <w:r w:rsidR="00DE5B48" w:rsidRPr="00E06FC2">
        <w:rPr>
          <w:rFonts w:cs="Arial"/>
          <w:bCs/>
          <w:iCs/>
        </w:rPr>
        <w:t xml:space="preserve">El Tribunal </w:t>
      </w:r>
      <w:r w:rsidR="004B311B" w:rsidRPr="00E06FC2">
        <w:rPr>
          <w:rFonts w:cs="Arial"/>
          <w:bCs/>
          <w:iCs/>
        </w:rPr>
        <w:t xml:space="preserve">a quo </w:t>
      </w:r>
      <w:r w:rsidR="00DE5B48" w:rsidRPr="00E06FC2">
        <w:rPr>
          <w:rFonts w:cs="Arial"/>
          <w:bCs/>
          <w:iCs/>
        </w:rPr>
        <w:t xml:space="preserve">decretó las pruebas </w:t>
      </w:r>
      <w:r w:rsidR="001D0D8E" w:rsidRPr="00E06FC2">
        <w:rPr>
          <w:rFonts w:cs="Arial"/>
          <w:bCs/>
          <w:iCs/>
        </w:rPr>
        <w:t>solicitadas</w:t>
      </w:r>
      <w:r w:rsidR="00574163" w:rsidRPr="00E06FC2">
        <w:rPr>
          <w:rFonts w:cs="Arial"/>
          <w:bCs/>
          <w:iCs/>
        </w:rPr>
        <w:t xml:space="preserve"> mediante au</w:t>
      </w:r>
      <w:r w:rsidR="003B10EC" w:rsidRPr="00E06FC2">
        <w:rPr>
          <w:rFonts w:cs="Arial"/>
          <w:bCs/>
          <w:iCs/>
        </w:rPr>
        <w:t xml:space="preserve">to de </w:t>
      </w:r>
      <w:r w:rsidR="00824CCC" w:rsidRPr="00E06FC2">
        <w:rPr>
          <w:rFonts w:cs="Arial"/>
          <w:bCs/>
          <w:iCs/>
        </w:rPr>
        <w:t>24 de marzo de 2000</w:t>
      </w:r>
      <w:r w:rsidR="00824CCC" w:rsidRPr="00E06FC2">
        <w:rPr>
          <w:rStyle w:val="Refdenotaalpie"/>
          <w:rFonts w:cs="Arial"/>
          <w:bCs/>
          <w:iCs/>
        </w:rPr>
        <w:footnoteReference w:id="7"/>
      </w:r>
      <w:r w:rsidR="00824CCC" w:rsidRPr="00E06FC2">
        <w:rPr>
          <w:rFonts w:cs="Arial"/>
          <w:bCs/>
          <w:iCs/>
        </w:rPr>
        <w:t>.</w:t>
      </w:r>
    </w:p>
    <w:p w14:paraId="0941477A" w14:textId="77777777" w:rsidR="004E26F0" w:rsidRPr="00E06FC2" w:rsidRDefault="004E26F0" w:rsidP="00743788">
      <w:pPr>
        <w:rPr>
          <w:rFonts w:cs="Arial"/>
          <w:bCs/>
          <w:iCs/>
        </w:rPr>
      </w:pPr>
    </w:p>
    <w:p w14:paraId="285FC1ED" w14:textId="77777777" w:rsidR="004E26F0" w:rsidRPr="00E06FC2" w:rsidRDefault="004E26F0" w:rsidP="00743788">
      <w:pPr>
        <w:rPr>
          <w:rFonts w:cs="Arial"/>
          <w:bCs/>
          <w:iCs/>
        </w:rPr>
      </w:pPr>
      <w:r w:rsidRPr="00E06FC2">
        <w:rPr>
          <w:rFonts w:cs="Arial"/>
          <w:b/>
          <w:bCs/>
          <w:iCs/>
        </w:rPr>
        <w:t>4.3.</w:t>
      </w:r>
      <w:r w:rsidRPr="00E06FC2">
        <w:rPr>
          <w:rFonts w:cs="Arial"/>
          <w:bCs/>
          <w:iCs/>
        </w:rPr>
        <w:t xml:space="preserve"> En sentencia de 19 de diciembre de 2003, el Tribunal a quo declaró la nulidad de</w:t>
      </w:r>
      <w:r w:rsidR="004B311B" w:rsidRPr="00E06FC2">
        <w:rPr>
          <w:rFonts w:cs="Arial"/>
          <w:bCs/>
          <w:iCs/>
        </w:rPr>
        <w:t xml:space="preserve"> la Resolución 442 de 1997</w:t>
      </w:r>
      <w:r w:rsidRPr="00E06FC2">
        <w:rPr>
          <w:rFonts w:cs="Arial"/>
          <w:bCs/>
          <w:iCs/>
        </w:rPr>
        <w:t xml:space="preserve">. </w:t>
      </w:r>
    </w:p>
    <w:p w14:paraId="7C9F7A2F" w14:textId="77777777" w:rsidR="004E26F0" w:rsidRPr="00E06FC2" w:rsidRDefault="004E26F0" w:rsidP="00743788">
      <w:pPr>
        <w:rPr>
          <w:rFonts w:cs="Arial"/>
          <w:bCs/>
          <w:iCs/>
        </w:rPr>
      </w:pPr>
    </w:p>
    <w:p w14:paraId="0D1F5C28" w14:textId="77777777" w:rsidR="002839AE" w:rsidRPr="00E06FC2" w:rsidRDefault="004E26F0" w:rsidP="00743788">
      <w:pPr>
        <w:rPr>
          <w:rFonts w:cs="Arial"/>
          <w:bCs/>
          <w:iCs/>
        </w:rPr>
      </w:pPr>
      <w:r w:rsidRPr="00E06FC2">
        <w:rPr>
          <w:rFonts w:cs="Arial"/>
          <w:b/>
          <w:bCs/>
          <w:iCs/>
        </w:rPr>
        <w:t>4.4.</w:t>
      </w:r>
      <w:r w:rsidRPr="00E06FC2">
        <w:rPr>
          <w:rFonts w:cs="Arial"/>
          <w:bCs/>
          <w:iCs/>
        </w:rPr>
        <w:t xml:space="preserve"> La sociedad Montajes Eléctricos Ltda</w:t>
      </w:r>
      <w:r w:rsidR="00C7243C" w:rsidRPr="00E06FC2">
        <w:rPr>
          <w:rFonts w:cs="Arial"/>
          <w:bCs/>
          <w:iCs/>
        </w:rPr>
        <w:t>.</w:t>
      </w:r>
      <w:r w:rsidRPr="00E06FC2">
        <w:rPr>
          <w:rFonts w:cs="Arial"/>
          <w:bCs/>
          <w:iCs/>
        </w:rPr>
        <w:t xml:space="preserve"> solicitó declarar la nulidad de todo lo actuado c</w:t>
      </w:r>
      <w:r w:rsidR="002839AE" w:rsidRPr="00E06FC2">
        <w:rPr>
          <w:rFonts w:cs="Arial"/>
          <w:bCs/>
          <w:iCs/>
        </w:rPr>
        <w:t>o</w:t>
      </w:r>
      <w:r w:rsidRPr="00E06FC2">
        <w:rPr>
          <w:rFonts w:cs="Arial"/>
          <w:bCs/>
          <w:iCs/>
        </w:rPr>
        <w:t>n funda</w:t>
      </w:r>
      <w:r w:rsidR="002839AE" w:rsidRPr="00E06FC2">
        <w:rPr>
          <w:rFonts w:cs="Arial"/>
          <w:bCs/>
          <w:iCs/>
        </w:rPr>
        <w:t>mento en que no fue vinculada al proceso como integrante de la UT Diselecsa – Montajes Eléctr</w:t>
      </w:r>
      <w:r w:rsidR="004B311B" w:rsidRPr="00E06FC2">
        <w:rPr>
          <w:rFonts w:cs="Arial"/>
          <w:bCs/>
          <w:iCs/>
        </w:rPr>
        <w:t>i</w:t>
      </w:r>
      <w:r w:rsidR="002839AE" w:rsidRPr="00E06FC2">
        <w:rPr>
          <w:rFonts w:cs="Arial"/>
          <w:bCs/>
          <w:iCs/>
        </w:rPr>
        <w:t>cos.</w:t>
      </w:r>
    </w:p>
    <w:p w14:paraId="071F2069" w14:textId="77777777" w:rsidR="002839AE" w:rsidRPr="00E06FC2" w:rsidRDefault="002839AE" w:rsidP="00743788">
      <w:pPr>
        <w:rPr>
          <w:rFonts w:cs="Arial"/>
          <w:bCs/>
          <w:iCs/>
        </w:rPr>
      </w:pPr>
    </w:p>
    <w:p w14:paraId="502B0042" w14:textId="77777777" w:rsidR="005F134F" w:rsidRPr="00E06FC2" w:rsidRDefault="002839AE" w:rsidP="00743788">
      <w:pPr>
        <w:rPr>
          <w:rFonts w:cs="Arial"/>
          <w:bCs/>
          <w:iCs/>
        </w:rPr>
      </w:pPr>
      <w:r w:rsidRPr="00E06FC2">
        <w:rPr>
          <w:rFonts w:cs="Arial"/>
          <w:b/>
          <w:bCs/>
          <w:iCs/>
        </w:rPr>
        <w:t>4.5.</w:t>
      </w:r>
      <w:r w:rsidRPr="00E06FC2">
        <w:rPr>
          <w:rFonts w:cs="Arial"/>
          <w:bCs/>
          <w:iCs/>
        </w:rPr>
        <w:t xml:space="preserve"> </w:t>
      </w:r>
      <w:r w:rsidR="00D85073" w:rsidRPr="00E06FC2">
        <w:rPr>
          <w:rFonts w:cs="Arial"/>
          <w:bCs/>
          <w:iCs/>
        </w:rPr>
        <w:t xml:space="preserve">Mediante providencia de 7 de diciembre de 2005, corregida </w:t>
      </w:r>
      <w:r w:rsidR="005F134F" w:rsidRPr="00E06FC2">
        <w:rPr>
          <w:rFonts w:cs="Arial"/>
          <w:bCs/>
          <w:iCs/>
        </w:rPr>
        <w:t xml:space="preserve">el </w:t>
      </w:r>
      <w:r w:rsidR="00D85073" w:rsidRPr="00E06FC2">
        <w:rPr>
          <w:rFonts w:cs="Arial"/>
          <w:bCs/>
          <w:iCs/>
        </w:rPr>
        <w:t>11 de mayo de 2006, l</w:t>
      </w:r>
      <w:r w:rsidRPr="00E06FC2">
        <w:rPr>
          <w:rFonts w:cs="Arial"/>
          <w:bCs/>
          <w:iCs/>
        </w:rPr>
        <w:t>a Sección Tercera del Consejo de Estado declaró la nulidad de todo lo actuado a partir del auto admisorio de la demanda</w:t>
      </w:r>
      <w:r w:rsidR="00D85073" w:rsidRPr="00E06FC2">
        <w:rPr>
          <w:rStyle w:val="Refdenotaalpie"/>
          <w:rFonts w:cs="Arial"/>
          <w:bCs/>
          <w:iCs/>
        </w:rPr>
        <w:footnoteReference w:id="8"/>
      </w:r>
      <w:r w:rsidR="00D85073" w:rsidRPr="00E06FC2">
        <w:rPr>
          <w:rFonts w:cs="Arial"/>
          <w:bCs/>
          <w:iCs/>
        </w:rPr>
        <w:t>.</w:t>
      </w:r>
    </w:p>
    <w:p w14:paraId="1CB5D2F3" w14:textId="77777777" w:rsidR="003B10EC" w:rsidRPr="00E06FC2" w:rsidRDefault="003B10EC" w:rsidP="00743788">
      <w:pPr>
        <w:pStyle w:val="Lista2"/>
        <w:ind w:left="0" w:firstLine="0"/>
        <w:rPr>
          <w:rFonts w:cs="Arial"/>
          <w:b/>
        </w:rPr>
      </w:pPr>
    </w:p>
    <w:p w14:paraId="066A6822" w14:textId="77777777" w:rsidR="005F134F" w:rsidRPr="00E06FC2" w:rsidRDefault="005F134F" w:rsidP="00743788">
      <w:pPr>
        <w:pStyle w:val="Lista2"/>
        <w:ind w:left="0" w:firstLine="0"/>
        <w:rPr>
          <w:rFonts w:cs="Arial"/>
        </w:rPr>
      </w:pPr>
      <w:r w:rsidRPr="00E06FC2">
        <w:rPr>
          <w:rFonts w:cs="Arial"/>
          <w:b/>
        </w:rPr>
        <w:t xml:space="preserve">4.6. </w:t>
      </w:r>
      <w:r w:rsidR="00B67FD4" w:rsidRPr="00E06FC2">
        <w:rPr>
          <w:rFonts w:cs="Arial"/>
        </w:rPr>
        <w:t>A través del</w:t>
      </w:r>
      <w:r w:rsidRPr="00E06FC2">
        <w:rPr>
          <w:rFonts w:cs="Arial"/>
        </w:rPr>
        <w:t xml:space="preserve"> escrito radicado el </w:t>
      </w:r>
      <w:r w:rsidR="001A142B" w:rsidRPr="00E06FC2">
        <w:rPr>
          <w:rFonts w:cs="Arial"/>
        </w:rPr>
        <w:t>23 de agosto de 2006, la parte demandante reformó</w:t>
      </w:r>
      <w:r w:rsidR="00E50E51" w:rsidRPr="00E06FC2">
        <w:rPr>
          <w:rFonts w:cs="Arial"/>
        </w:rPr>
        <w:t xml:space="preserve"> </w:t>
      </w:r>
      <w:r w:rsidR="001A142B" w:rsidRPr="00E06FC2">
        <w:rPr>
          <w:rFonts w:cs="Arial"/>
        </w:rPr>
        <w:t xml:space="preserve">la demanda en orden a incluir como demandadas a las sociedades </w:t>
      </w:r>
      <w:r w:rsidR="00E50E51" w:rsidRPr="00E06FC2">
        <w:rPr>
          <w:rFonts w:cs="Arial"/>
        </w:rPr>
        <w:t>Diselecsa</w:t>
      </w:r>
      <w:r w:rsidR="001A142B" w:rsidRPr="00E06FC2">
        <w:rPr>
          <w:rFonts w:cs="Arial"/>
        </w:rPr>
        <w:t xml:space="preserve"> Ltda</w:t>
      </w:r>
      <w:r w:rsidR="00C7243C" w:rsidRPr="00E06FC2">
        <w:rPr>
          <w:rFonts w:cs="Arial"/>
        </w:rPr>
        <w:t>.</w:t>
      </w:r>
      <w:r w:rsidR="001A142B" w:rsidRPr="00E06FC2">
        <w:rPr>
          <w:rFonts w:cs="Arial"/>
        </w:rPr>
        <w:t xml:space="preserve"> y </w:t>
      </w:r>
      <w:r w:rsidR="00E50E51" w:rsidRPr="00E06FC2">
        <w:rPr>
          <w:rFonts w:cs="Arial"/>
        </w:rPr>
        <w:t xml:space="preserve">Montajes Eléctricos </w:t>
      </w:r>
      <w:r w:rsidR="001A142B" w:rsidRPr="00E06FC2">
        <w:rPr>
          <w:rFonts w:cs="Arial"/>
        </w:rPr>
        <w:t>Ltda, en calidad de litis consortes necesarios</w:t>
      </w:r>
      <w:r w:rsidR="001A142B" w:rsidRPr="00E06FC2">
        <w:rPr>
          <w:rStyle w:val="Refdenotaalpie"/>
          <w:rFonts w:cs="Arial"/>
        </w:rPr>
        <w:footnoteReference w:id="9"/>
      </w:r>
      <w:r w:rsidR="00B67FD4" w:rsidRPr="00E06FC2">
        <w:rPr>
          <w:rFonts w:cs="Arial"/>
        </w:rPr>
        <w:t>.</w:t>
      </w:r>
    </w:p>
    <w:p w14:paraId="3B298824" w14:textId="77777777" w:rsidR="00EE1CF2" w:rsidRPr="00E06FC2" w:rsidRDefault="00EE1CF2" w:rsidP="00743788">
      <w:pPr>
        <w:pStyle w:val="Lista2"/>
        <w:ind w:left="0" w:firstLine="0"/>
        <w:rPr>
          <w:rFonts w:cs="Arial"/>
        </w:rPr>
      </w:pPr>
    </w:p>
    <w:p w14:paraId="435891DD" w14:textId="77777777" w:rsidR="00E25F87" w:rsidRPr="00E06FC2" w:rsidRDefault="00EE1CF2" w:rsidP="00743788">
      <w:pPr>
        <w:pStyle w:val="Lista2"/>
        <w:ind w:left="0" w:firstLine="0"/>
        <w:rPr>
          <w:rFonts w:cs="Arial"/>
        </w:rPr>
      </w:pPr>
      <w:r w:rsidRPr="00E06FC2">
        <w:rPr>
          <w:rFonts w:cs="Arial"/>
          <w:b/>
        </w:rPr>
        <w:lastRenderedPageBreak/>
        <w:t>4.7.</w:t>
      </w:r>
      <w:r w:rsidRPr="00E06FC2">
        <w:rPr>
          <w:rFonts w:cs="Arial"/>
        </w:rPr>
        <w:t xml:space="preserve"> </w:t>
      </w:r>
      <w:r w:rsidR="00AE13EA" w:rsidRPr="00E06FC2">
        <w:rPr>
          <w:rFonts w:cs="Arial"/>
        </w:rPr>
        <w:t>Mediante escrito presentado el 27 de febrero de 2007, Diselecsa Ltda</w:t>
      </w:r>
      <w:r w:rsidR="00C7243C" w:rsidRPr="00E06FC2">
        <w:rPr>
          <w:rFonts w:cs="Arial"/>
        </w:rPr>
        <w:t xml:space="preserve">. </w:t>
      </w:r>
      <w:r w:rsidR="00AE13EA" w:rsidRPr="00E06FC2">
        <w:rPr>
          <w:rFonts w:cs="Arial"/>
        </w:rPr>
        <w:t>propuso incidente de nulidad</w:t>
      </w:r>
      <w:r w:rsidR="00265455" w:rsidRPr="00E06FC2">
        <w:rPr>
          <w:rFonts w:cs="Arial"/>
        </w:rPr>
        <w:t xml:space="preserve"> contra el auto que abrió a pruebas el proceso</w:t>
      </w:r>
      <w:r w:rsidR="00AE13EA" w:rsidRPr="00E06FC2">
        <w:rPr>
          <w:rFonts w:cs="Arial"/>
        </w:rPr>
        <w:t>, con fundamento en que la notificación de la demanda se había realizado mediante aviso, sin que se intentara siquiera la notificación personal</w:t>
      </w:r>
      <w:r w:rsidR="00AE13EA" w:rsidRPr="00E06FC2">
        <w:rPr>
          <w:rStyle w:val="Refdenotaalpie"/>
          <w:rFonts w:cs="Arial"/>
        </w:rPr>
        <w:footnoteReference w:id="10"/>
      </w:r>
      <w:r w:rsidR="00AE13EA" w:rsidRPr="00E06FC2">
        <w:rPr>
          <w:rFonts w:cs="Arial"/>
        </w:rPr>
        <w:t>.</w:t>
      </w:r>
    </w:p>
    <w:p w14:paraId="37E09B62" w14:textId="77777777" w:rsidR="00E25F87" w:rsidRPr="00E06FC2" w:rsidRDefault="00E25F87" w:rsidP="00743788">
      <w:pPr>
        <w:pStyle w:val="Lista2"/>
        <w:ind w:left="0" w:firstLine="0"/>
        <w:rPr>
          <w:rFonts w:cs="Arial"/>
        </w:rPr>
      </w:pPr>
    </w:p>
    <w:p w14:paraId="3EB5DF1C" w14:textId="77777777" w:rsidR="00A81244" w:rsidRPr="00E06FC2" w:rsidRDefault="00E25F87" w:rsidP="00743788">
      <w:pPr>
        <w:pStyle w:val="Lista2"/>
        <w:ind w:left="0" w:firstLine="0"/>
        <w:rPr>
          <w:rFonts w:cs="Arial"/>
        </w:rPr>
      </w:pPr>
      <w:r w:rsidRPr="00E06FC2">
        <w:rPr>
          <w:rFonts w:cs="Arial"/>
          <w:b/>
        </w:rPr>
        <w:t>4.8.</w:t>
      </w:r>
      <w:r w:rsidRPr="00E06FC2">
        <w:rPr>
          <w:rFonts w:cs="Arial"/>
        </w:rPr>
        <w:t xml:space="preserve"> </w:t>
      </w:r>
      <w:r w:rsidR="00A81244" w:rsidRPr="00E06FC2">
        <w:rPr>
          <w:rFonts w:cs="Arial"/>
        </w:rPr>
        <w:t>A través de auto de 4 de abril de 2008, e</w:t>
      </w:r>
      <w:r w:rsidRPr="00E06FC2">
        <w:rPr>
          <w:rFonts w:cs="Arial"/>
        </w:rPr>
        <w:t xml:space="preserve">l Tribunal Administrativo del Valle del Cauca </w:t>
      </w:r>
      <w:r w:rsidR="008C6ED4" w:rsidRPr="00E06FC2">
        <w:rPr>
          <w:rFonts w:cs="Arial"/>
        </w:rPr>
        <w:t xml:space="preserve">resolvió en forma desfavorable acerca de </w:t>
      </w:r>
      <w:r w:rsidRPr="00E06FC2">
        <w:rPr>
          <w:rFonts w:cs="Arial"/>
        </w:rPr>
        <w:t xml:space="preserve">la nulidad impetrada </w:t>
      </w:r>
      <w:r w:rsidR="00742F89" w:rsidRPr="00E06FC2">
        <w:rPr>
          <w:rFonts w:cs="Arial"/>
        </w:rPr>
        <w:t xml:space="preserve">y, mediante auto de 3 de septiembre de 2008, en </w:t>
      </w:r>
      <w:r w:rsidR="00CB7C91" w:rsidRPr="00E06FC2">
        <w:rPr>
          <w:rFonts w:cs="Arial"/>
        </w:rPr>
        <w:t xml:space="preserve">el </w:t>
      </w:r>
      <w:r w:rsidR="00742F89" w:rsidRPr="00E06FC2">
        <w:rPr>
          <w:rFonts w:cs="Arial"/>
        </w:rPr>
        <w:t>trámite de apelación ante el Consejo de Estado, se denegó el recurso i</w:t>
      </w:r>
      <w:r w:rsidR="00A81244" w:rsidRPr="00E06FC2">
        <w:rPr>
          <w:rFonts w:cs="Arial"/>
        </w:rPr>
        <w:t>n</w:t>
      </w:r>
      <w:r w:rsidR="00742F89" w:rsidRPr="00E06FC2">
        <w:rPr>
          <w:rFonts w:cs="Arial"/>
        </w:rPr>
        <w:t>terpuesto</w:t>
      </w:r>
      <w:r w:rsidR="00742F89" w:rsidRPr="00E06FC2">
        <w:rPr>
          <w:rStyle w:val="Refdenotaalpie"/>
          <w:rFonts w:cs="Arial"/>
        </w:rPr>
        <w:footnoteReference w:id="11"/>
      </w:r>
      <w:r w:rsidR="00742F89" w:rsidRPr="00E06FC2">
        <w:rPr>
          <w:rFonts w:cs="Arial"/>
        </w:rPr>
        <w:t xml:space="preserve"> </w:t>
      </w:r>
    </w:p>
    <w:p w14:paraId="623D0D36" w14:textId="77777777" w:rsidR="00E50E51" w:rsidRPr="00E06FC2" w:rsidRDefault="00E50E51" w:rsidP="00743788">
      <w:pPr>
        <w:pStyle w:val="Lista2"/>
        <w:ind w:left="0" w:firstLine="0"/>
        <w:rPr>
          <w:rFonts w:cs="Arial"/>
        </w:rPr>
      </w:pPr>
    </w:p>
    <w:p w14:paraId="5B30BADD" w14:textId="77777777" w:rsidR="00F21484" w:rsidRPr="00E06FC2" w:rsidRDefault="0015263D" w:rsidP="00743788">
      <w:pPr>
        <w:pStyle w:val="Lista2"/>
        <w:ind w:left="0" w:firstLine="0"/>
        <w:rPr>
          <w:rFonts w:cs="Arial"/>
          <w:b/>
        </w:rPr>
      </w:pPr>
      <w:r w:rsidRPr="00E06FC2">
        <w:rPr>
          <w:rFonts w:cs="Arial"/>
          <w:b/>
        </w:rPr>
        <w:t>4</w:t>
      </w:r>
      <w:r w:rsidR="0009687C" w:rsidRPr="00E06FC2">
        <w:rPr>
          <w:rFonts w:cs="Arial"/>
          <w:b/>
        </w:rPr>
        <w:t>.</w:t>
      </w:r>
      <w:r w:rsidR="00320476" w:rsidRPr="00E06FC2">
        <w:rPr>
          <w:rFonts w:cs="Arial"/>
          <w:b/>
        </w:rPr>
        <w:t>9</w:t>
      </w:r>
      <w:r w:rsidR="0009687C" w:rsidRPr="00E06FC2">
        <w:rPr>
          <w:rFonts w:cs="Arial"/>
          <w:b/>
        </w:rPr>
        <w:t>.</w:t>
      </w:r>
      <w:r w:rsidR="006144E0" w:rsidRPr="00E06FC2">
        <w:rPr>
          <w:rFonts w:cs="Arial"/>
          <w:b/>
        </w:rPr>
        <w:t xml:space="preserve"> </w:t>
      </w:r>
      <w:r w:rsidR="00F21484" w:rsidRPr="00E06FC2">
        <w:rPr>
          <w:rFonts w:cs="Arial"/>
          <w:b/>
        </w:rPr>
        <w:t>Contestaci</w:t>
      </w:r>
      <w:r w:rsidR="00E50E51" w:rsidRPr="00E06FC2">
        <w:rPr>
          <w:rFonts w:cs="Arial"/>
          <w:b/>
        </w:rPr>
        <w:t xml:space="preserve">ones a la </w:t>
      </w:r>
      <w:r w:rsidR="00F21484" w:rsidRPr="00E06FC2">
        <w:rPr>
          <w:rFonts w:cs="Arial"/>
          <w:b/>
        </w:rPr>
        <w:t>demanda</w:t>
      </w:r>
    </w:p>
    <w:p w14:paraId="777D9FDA" w14:textId="77777777" w:rsidR="00F21484" w:rsidRPr="00E06FC2" w:rsidRDefault="00F21484" w:rsidP="00743788">
      <w:pPr>
        <w:rPr>
          <w:rFonts w:cs="Arial"/>
          <w:b/>
          <w:bCs/>
          <w:iCs/>
        </w:rPr>
      </w:pPr>
    </w:p>
    <w:p w14:paraId="296A59CB" w14:textId="77777777" w:rsidR="00C72263" w:rsidRPr="00E06FC2" w:rsidRDefault="00E50E51" w:rsidP="00743788">
      <w:pPr>
        <w:pStyle w:val="Continuarlista2"/>
        <w:ind w:left="0"/>
        <w:rPr>
          <w:rFonts w:cs="Arial"/>
        </w:rPr>
      </w:pPr>
      <w:r w:rsidRPr="00E06FC2">
        <w:rPr>
          <w:rFonts w:cs="Arial"/>
          <w:b/>
        </w:rPr>
        <w:t>4.</w:t>
      </w:r>
      <w:r w:rsidR="00320476" w:rsidRPr="00E06FC2">
        <w:rPr>
          <w:rFonts w:cs="Arial"/>
          <w:b/>
        </w:rPr>
        <w:t>9</w:t>
      </w:r>
      <w:r w:rsidRPr="00E06FC2">
        <w:rPr>
          <w:rFonts w:cs="Arial"/>
          <w:b/>
        </w:rPr>
        <w:t>.1.</w:t>
      </w:r>
      <w:r w:rsidRPr="00E06FC2">
        <w:rPr>
          <w:rFonts w:cs="Arial"/>
        </w:rPr>
        <w:t xml:space="preserve"> </w:t>
      </w:r>
      <w:r w:rsidR="00435553" w:rsidRPr="00E06FC2">
        <w:rPr>
          <w:rFonts w:cs="Arial"/>
        </w:rPr>
        <w:t xml:space="preserve">En la contestación </w:t>
      </w:r>
      <w:r w:rsidR="00216962" w:rsidRPr="00E06FC2">
        <w:rPr>
          <w:rFonts w:cs="Arial"/>
        </w:rPr>
        <w:t>de</w:t>
      </w:r>
      <w:r w:rsidR="00435553" w:rsidRPr="00E06FC2">
        <w:rPr>
          <w:rFonts w:cs="Arial"/>
        </w:rPr>
        <w:t xml:space="preserve"> la demanda</w:t>
      </w:r>
      <w:r w:rsidR="00CB0A90" w:rsidRPr="00E06FC2">
        <w:rPr>
          <w:rFonts w:cs="Arial"/>
        </w:rPr>
        <w:t xml:space="preserve">, </w:t>
      </w:r>
      <w:r w:rsidR="0080752D" w:rsidRPr="00E06FC2">
        <w:rPr>
          <w:rFonts w:cs="Arial"/>
        </w:rPr>
        <w:t xml:space="preserve">el municipio de Cartago </w:t>
      </w:r>
      <w:r w:rsidR="00585343" w:rsidRPr="00E06FC2">
        <w:rPr>
          <w:rFonts w:cs="Arial"/>
        </w:rPr>
        <w:t xml:space="preserve">se opuso a las pretensiones </w:t>
      </w:r>
      <w:r w:rsidR="008C6ED4" w:rsidRPr="00E06FC2">
        <w:rPr>
          <w:rFonts w:cs="Arial"/>
        </w:rPr>
        <w:t>y, e</w:t>
      </w:r>
      <w:r w:rsidR="00327E7D" w:rsidRPr="00E06FC2">
        <w:rPr>
          <w:rFonts w:cs="Arial"/>
        </w:rPr>
        <w:t>n relación con los hechos</w:t>
      </w:r>
      <w:r w:rsidR="008C6ED4" w:rsidRPr="00E06FC2">
        <w:rPr>
          <w:rFonts w:cs="Arial"/>
        </w:rPr>
        <w:t xml:space="preserve">, </w:t>
      </w:r>
      <w:r w:rsidR="00585343" w:rsidRPr="00E06FC2">
        <w:rPr>
          <w:rFonts w:cs="Arial"/>
        </w:rPr>
        <w:t xml:space="preserve">hizo notar que mediante la </w:t>
      </w:r>
      <w:r w:rsidR="00AB352C" w:rsidRPr="00E06FC2">
        <w:rPr>
          <w:rFonts w:cs="Arial"/>
        </w:rPr>
        <w:t>R</w:t>
      </w:r>
      <w:r w:rsidR="00585343" w:rsidRPr="00E06FC2">
        <w:rPr>
          <w:rFonts w:cs="Arial"/>
        </w:rPr>
        <w:t xml:space="preserve">esolución 419 de 18 de septiembre de 1997, se redujo a </w:t>
      </w:r>
      <w:r w:rsidR="00C72263" w:rsidRPr="00E06FC2">
        <w:rPr>
          <w:rFonts w:cs="Arial"/>
        </w:rPr>
        <w:t xml:space="preserve">cuatro </w:t>
      </w:r>
      <w:r w:rsidR="00585343" w:rsidRPr="00E06FC2">
        <w:rPr>
          <w:rFonts w:cs="Arial"/>
        </w:rPr>
        <w:t>d</w:t>
      </w:r>
      <w:r w:rsidR="00AB352C" w:rsidRPr="00E06FC2">
        <w:rPr>
          <w:rFonts w:cs="Arial"/>
        </w:rPr>
        <w:t xml:space="preserve">ías </w:t>
      </w:r>
      <w:r w:rsidR="00585343" w:rsidRPr="00E06FC2">
        <w:rPr>
          <w:rFonts w:cs="Arial"/>
        </w:rPr>
        <w:t>el término para presentar ob</w:t>
      </w:r>
      <w:r w:rsidR="00012191" w:rsidRPr="00E06FC2">
        <w:rPr>
          <w:rFonts w:cs="Arial"/>
        </w:rPr>
        <w:t>servaciones</w:t>
      </w:r>
      <w:r w:rsidR="008C6ED4" w:rsidRPr="00E06FC2">
        <w:rPr>
          <w:rFonts w:cs="Arial"/>
        </w:rPr>
        <w:t xml:space="preserve">, pese a lo cual, </w:t>
      </w:r>
      <w:r w:rsidR="00C72263" w:rsidRPr="00E06FC2">
        <w:rPr>
          <w:rFonts w:cs="Arial"/>
        </w:rPr>
        <w:t xml:space="preserve">aunque la demandante radicó sus objeciones </w:t>
      </w:r>
      <w:r w:rsidR="008A1E63" w:rsidRPr="00E06FC2">
        <w:rPr>
          <w:rFonts w:cs="Arial"/>
        </w:rPr>
        <w:t xml:space="preserve">en el </w:t>
      </w:r>
      <w:r w:rsidR="00C72263" w:rsidRPr="00E06FC2">
        <w:rPr>
          <w:rFonts w:cs="Arial"/>
        </w:rPr>
        <w:t xml:space="preserve">día quinto, en todo caso el </w:t>
      </w:r>
      <w:r w:rsidR="00012191" w:rsidRPr="00E06FC2">
        <w:rPr>
          <w:rFonts w:cs="Arial"/>
        </w:rPr>
        <w:t xml:space="preserve">municipio </w:t>
      </w:r>
      <w:r w:rsidR="00C72263" w:rsidRPr="00E06FC2">
        <w:rPr>
          <w:rFonts w:cs="Arial"/>
        </w:rPr>
        <w:t>la</w:t>
      </w:r>
      <w:r w:rsidR="008C6ED4" w:rsidRPr="00E06FC2">
        <w:rPr>
          <w:rFonts w:cs="Arial"/>
        </w:rPr>
        <w:t>s</w:t>
      </w:r>
      <w:r w:rsidR="00C72263" w:rsidRPr="00E06FC2">
        <w:rPr>
          <w:rFonts w:cs="Arial"/>
        </w:rPr>
        <w:t xml:space="preserve"> estudió y </w:t>
      </w:r>
      <w:r w:rsidR="008C6ED4" w:rsidRPr="00E06FC2">
        <w:rPr>
          <w:rFonts w:cs="Arial"/>
        </w:rPr>
        <w:t xml:space="preserve">las </w:t>
      </w:r>
      <w:r w:rsidR="00C72263" w:rsidRPr="00E06FC2">
        <w:rPr>
          <w:rFonts w:cs="Arial"/>
        </w:rPr>
        <w:t xml:space="preserve">resolvió </w:t>
      </w:r>
      <w:r w:rsidR="00012191" w:rsidRPr="00E06FC2">
        <w:rPr>
          <w:rFonts w:cs="Arial"/>
        </w:rPr>
        <w:t>oportunamente</w:t>
      </w:r>
      <w:r w:rsidR="00C72263" w:rsidRPr="00E06FC2">
        <w:rPr>
          <w:rFonts w:cs="Arial"/>
        </w:rPr>
        <w:t>.</w:t>
      </w:r>
      <w:r w:rsidR="00327E7D" w:rsidRPr="00E06FC2">
        <w:rPr>
          <w:rFonts w:cs="Arial"/>
        </w:rPr>
        <w:t xml:space="preserve"> </w:t>
      </w:r>
    </w:p>
    <w:p w14:paraId="7003944A" w14:textId="77777777" w:rsidR="00C72263" w:rsidRPr="00E06FC2" w:rsidRDefault="00C72263" w:rsidP="00743788">
      <w:pPr>
        <w:pStyle w:val="Continuarlista2"/>
        <w:ind w:left="0"/>
        <w:rPr>
          <w:rFonts w:cs="Arial"/>
        </w:rPr>
      </w:pPr>
    </w:p>
    <w:p w14:paraId="545CC907" w14:textId="77777777" w:rsidR="00327E7D" w:rsidRPr="00E06FC2" w:rsidRDefault="00C72263" w:rsidP="00743788">
      <w:pPr>
        <w:pStyle w:val="Continuarlista2"/>
        <w:ind w:left="0"/>
        <w:rPr>
          <w:rFonts w:cs="Arial"/>
        </w:rPr>
      </w:pPr>
      <w:r w:rsidRPr="00E06FC2">
        <w:rPr>
          <w:rFonts w:cs="Arial"/>
        </w:rPr>
        <w:t xml:space="preserve">Afirmó que los productos de origen nacional deben sujetarse a las normas ICONTEC, aunque los </w:t>
      </w:r>
      <w:r w:rsidR="008A1E63" w:rsidRPr="00E06FC2">
        <w:rPr>
          <w:rFonts w:cs="Arial"/>
        </w:rPr>
        <w:t>p</w:t>
      </w:r>
      <w:r w:rsidRPr="00E06FC2">
        <w:rPr>
          <w:rFonts w:cs="Arial"/>
        </w:rPr>
        <w:t xml:space="preserve">liegos de </w:t>
      </w:r>
      <w:r w:rsidR="008A1E63" w:rsidRPr="00E06FC2">
        <w:rPr>
          <w:rFonts w:cs="Arial"/>
        </w:rPr>
        <w:t>c</w:t>
      </w:r>
      <w:r w:rsidRPr="00E06FC2">
        <w:rPr>
          <w:rFonts w:cs="Arial"/>
        </w:rPr>
        <w:t xml:space="preserve">ondiciones no lo establezcan. </w:t>
      </w:r>
    </w:p>
    <w:p w14:paraId="0698EBFC" w14:textId="77777777" w:rsidR="00327E7D" w:rsidRPr="00E06FC2" w:rsidRDefault="00327E7D" w:rsidP="00743788">
      <w:pPr>
        <w:pStyle w:val="Continuarlista2"/>
        <w:ind w:left="0"/>
        <w:rPr>
          <w:rFonts w:cs="Arial"/>
        </w:rPr>
      </w:pPr>
    </w:p>
    <w:p w14:paraId="33A1DF3D" w14:textId="77777777" w:rsidR="00D31283" w:rsidRPr="00E06FC2" w:rsidRDefault="008A1E63" w:rsidP="00743788">
      <w:pPr>
        <w:pStyle w:val="Continuarlista2"/>
        <w:ind w:left="0"/>
        <w:rPr>
          <w:rFonts w:cs="Arial"/>
        </w:rPr>
      </w:pPr>
      <w:r w:rsidRPr="00E06FC2">
        <w:rPr>
          <w:rFonts w:cs="Arial"/>
        </w:rPr>
        <w:t xml:space="preserve">El municipio de Cartago </w:t>
      </w:r>
      <w:r w:rsidR="00CB7C91" w:rsidRPr="00E06FC2">
        <w:rPr>
          <w:rFonts w:cs="Arial"/>
        </w:rPr>
        <w:t xml:space="preserve">agregó </w:t>
      </w:r>
      <w:r w:rsidR="00327E7D" w:rsidRPr="00E06FC2">
        <w:rPr>
          <w:rFonts w:cs="Arial"/>
        </w:rPr>
        <w:t xml:space="preserve">que la proponente </w:t>
      </w:r>
      <w:r w:rsidRPr="00E06FC2">
        <w:rPr>
          <w:rFonts w:cs="Arial"/>
        </w:rPr>
        <w:t>-</w:t>
      </w:r>
      <w:r w:rsidR="00327E7D" w:rsidRPr="00E06FC2">
        <w:rPr>
          <w:rFonts w:cs="Arial"/>
        </w:rPr>
        <w:t>ahora demandante</w:t>
      </w:r>
      <w:r w:rsidRPr="00E06FC2">
        <w:rPr>
          <w:rFonts w:cs="Arial"/>
        </w:rPr>
        <w:t>-</w:t>
      </w:r>
      <w:r w:rsidR="00327E7D" w:rsidRPr="00E06FC2">
        <w:rPr>
          <w:rFonts w:cs="Arial"/>
        </w:rPr>
        <w:t xml:space="preserve"> no presentó </w:t>
      </w:r>
      <w:r w:rsidR="00294A5D" w:rsidRPr="00E06FC2">
        <w:rPr>
          <w:rFonts w:cs="Arial"/>
        </w:rPr>
        <w:t>algunas muestras de los productos</w:t>
      </w:r>
      <w:r w:rsidRPr="00E06FC2">
        <w:rPr>
          <w:rFonts w:cs="Arial"/>
        </w:rPr>
        <w:t xml:space="preserve"> y</w:t>
      </w:r>
      <w:r w:rsidR="00294A5D" w:rsidRPr="00E06FC2">
        <w:rPr>
          <w:rFonts w:cs="Arial"/>
        </w:rPr>
        <w:t xml:space="preserve"> no acreditó la homologación de algunos elementos indispensables</w:t>
      </w:r>
      <w:r w:rsidRPr="00E06FC2">
        <w:rPr>
          <w:rFonts w:cs="Arial"/>
        </w:rPr>
        <w:t>. A</w:t>
      </w:r>
      <w:r w:rsidR="00CB7C91" w:rsidRPr="00E06FC2">
        <w:rPr>
          <w:rFonts w:cs="Arial"/>
        </w:rPr>
        <w:t xml:space="preserve">demás, refirió </w:t>
      </w:r>
      <w:r w:rsidR="00294A5D" w:rsidRPr="00E06FC2">
        <w:rPr>
          <w:rFonts w:cs="Arial"/>
        </w:rPr>
        <w:t xml:space="preserve">que </w:t>
      </w:r>
      <w:r w:rsidR="008C6ED4" w:rsidRPr="00E06FC2">
        <w:rPr>
          <w:rFonts w:cs="Arial"/>
        </w:rPr>
        <w:t xml:space="preserve">en </w:t>
      </w:r>
      <w:r w:rsidRPr="00E06FC2">
        <w:rPr>
          <w:rFonts w:cs="Arial"/>
        </w:rPr>
        <w:t>los</w:t>
      </w:r>
      <w:r w:rsidR="008C6ED4" w:rsidRPr="00E06FC2">
        <w:rPr>
          <w:rFonts w:cs="Arial"/>
        </w:rPr>
        <w:t xml:space="preserve"> </w:t>
      </w:r>
      <w:r w:rsidR="00294A5D" w:rsidRPr="00E06FC2">
        <w:rPr>
          <w:rFonts w:cs="Arial"/>
        </w:rPr>
        <w:t xml:space="preserve">informes financieros </w:t>
      </w:r>
      <w:r w:rsidRPr="00E06FC2">
        <w:rPr>
          <w:rFonts w:cs="Arial"/>
        </w:rPr>
        <w:t xml:space="preserve">anexos a la propuesta de la demandante </w:t>
      </w:r>
      <w:r w:rsidR="008C6ED4" w:rsidRPr="00E06FC2">
        <w:rPr>
          <w:rFonts w:cs="Arial"/>
        </w:rPr>
        <w:t xml:space="preserve">se </w:t>
      </w:r>
      <w:r w:rsidR="00294A5D" w:rsidRPr="00E06FC2">
        <w:rPr>
          <w:rFonts w:cs="Arial"/>
        </w:rPr>
        <w:t>omiti</w:t>
      </w:r>
      <w:r w:rsidR="008C6ED4" w:rsidRPr="00E06FC2">
        <w:rPr>
          <w:rFonts w:cs="Arial"/>
        </w:rPr>
        <w:t>ó</w:t>
      </w:r>
      <w:r w:rsidR="00294A5D" w:rsidRPr="00E06FC2">
        <w:rPr>
          <w:rFonts w:cs="Arial"/>
        </w:rPr>
        <w:t xml:space="preserve"> </w:t>
      </w:r>
      <w:r w:rsidR="008C6ED4" w:rsidRPr="00E06FC2">
        <w:rPr>
          <w:rFonts w:cs="Arial"/>
        </w:rPr>
        <w:t xml:space="preserve">información valiosa </w:t>
      </w:r>
      <w:r w:rsidR="00294A5D" w:rsidRPr="00E06FC2">
        <w:rPr>
          <w:rFonts w:cs="Arial"/>
        </w:rPr>
        <w:t>y que</w:t>
      </w:r>
      <w:r w:rsidR="008C6ED4" w:rsidRPr="00E06FC2">
        <w:rPr>
          <w:rFonts w:cs="Arial"/>
        </w:rPr>
        <w:t xml:space="preserve">, por otra parte, </w:t>
      </w:r>
      <w:r w:rsidR="00824CCC" w:rsidRPr="00E06FC2">
        <w:rPr>
          <w:rFonts w:cs="Arial"/>
        </w:rPr>
        <w:t>la propuesta ganadora fue debidamente calificada</w:t>
      </w:r>
      <w:r w:rsidR="00824CCC" w:rsidRPr="00E06FC2">
        <w:rPr>
          <w:rStyle w:val="Refdenotaalpie"/>
          <w:rFonts w:cs="Arial"/>
        </w:rPr>
        <w:footnoteReference w:id="12"/>
      </w:r>
      <w:r w:rsidR="00824CCC" w:rsidRPr="00E06FC2">
        <w:rPr>
          <w:rFonts w:cs="Arial"/>
        </w:rPr>
        <w:t>.</w:t>
      </w:r>
      <w:r w:rsidR="005009AF" w:rsidRPr="00E06FC2">
        <w:rPr>
          <w:rFonts w:cs="Arial"/>
        </w:rPr>
        <w:t xml:space="preserve"> </w:t>
      </w:r>
    </w:p>
    <w:p w14:paraId="63FE05F1" w14:textId="77777777" w:rsidR="008168B7" w:rsidRPr="00E06FC2" w:rsidRDefault="008168B7" w:rsidP="00743788">
      <w:pPr>
        <w:pStyle w:val="Continuarlista2"/>
        <w:ind w:left="0"/>
        <w:rPr>
          <w:rFonts w:cs="Arial"/>
        </w:rPr>
      </w:pPr>
    </w:p>
    <w:p w14:paraId="2336E623" w14:textId="77777777" w:rsidR="00151B8C" w:rsidRPr="00E06FC2" w:rsidRDefault="00E50E51" w:rsidP="00743788">
      <w:pPr>
        <w:pStyle w:val="Continuarlista2"/>
        <w:ind w:left="0"/>
        <w:rPr>
          <w:rFonts w:cs="Arial"/>
        </w:rPr>
      </w:pPr>
      <w:r w:rsidRPr="00E06FC2">
        <w:rPr>
          <w:rFonts w:cs="Arial"/>
        </w:rPr>
        <w:t>En la oportunidad en la que se le corrió traslado de la reforma a la demanda</w:t>
      </w:r>
      <w:r w:rsidR="008C6ED4" w:rsidRPr="00E06FC2">
        <w:rPr>
          <w:rFonts w:cs="Arial"/>
        </w:rPr>
        <w:t>, el municipio de Cartago</w:t>
      </w:r>
      <w:r w:rsidR="00956DDA" w:rsidRPr="00E06FC2">
        <w:rPr>
          <w:rFonts w:cs="Arial"/>
        </w:rPr>
        <w:t xml:space="preserve"> amplió </w:t>
      </w:r>
      <w:r w:rsidR="008A1E63" w:rsidRPr="00E06FC2">
        <w:rPr>
          <w:rFonts w:cs="Arial"/>
        </w:rPr>
        <w:t>sus</w:t>
      </w:r>
      <w:r w:rsidR="00956DDA" w:rsidRPr="00E06FC2">
        <w:rPr>
          <w:rFonts w:cs="Arial"/>
        </w:rPr>
        <w:t xml:space="preserve"> observaciones </w:t>
      </w:r>
      <w:r w:rsidR="008A1E63" w:rsidRPr="00E06FC2">
        <w:rPr>
          <w:rFonts w:cs="Arial"/>
        </w:rPr>
        <w:t xml:space="preserve">acerca de </w:t>
      </w:r>
      <w:r w:rsidR="00956DDA" w:rsidRPr="00E06FC2">
        <w:rPr>
          <w:rFonts w:cs="Arial"/>
        </w:rPr>
        <w:t>las deficiencias de la propuesta presentada por la UT General El</w:t>
      </w:r>
      <w:r w:rsidR="008C6ED4" w:rsidRPr="00E06FC2">
        <w:rPr>
          <w:rFonts w:cs="Arial"/>
        </w:rPr>
        <w:t>e</w:t>
      </w:r>
      <w:r w:rsidR="00956DDA" w:rsidRPr="00E06FC2">
        <w:rPr>
          <w:rFonts w:cs="Arial"/>
        </w:rPr>
        <w:t>ctric – Electro Atlántico</w:t>
      </w:r>
      <w:r w:rsidR="009A68D8" w:rsidRPr="00E06FC2">
        <w:rPr>
          <w:rFonts w:cs="Arial"/>
        </w:rPr>
        <w:t xml:space="preserve"> y reseñ</w:t>
      </w:r>
      <w:r w:rsidR="008C6ED4" w:rsidRPr="00E06FC2">
        <w:rPr>
          <w:rFonts w:cs="Arial"/>
        </w:rPr>
        <w:t>ó</w:t>
      </w:r>
      <w:r w:rsidR="009A68D8" w:rsidRPr="00E06FC2">
        <w:rPr>
          <w:rFonts w:cs="Arial"/>
        </w:rPr>
        <w:t xml:space="preserve"> l</w:t>
      </w:r>
      <w:r w:rsidR="00CB7C91" w:rsidRPr="00E06FC2">
        <w:rPr>
          <w:rFonts w:cs="Arial"/>
        </w:rPr>
        <w:t xml:space="preserve">as debilidades </w:t>
      </w:r>
      <w:r w:rsidR="008C6ED4" w:rsidRPr="00E06FC2">
        <w:rPr>
          <w:rFonts w:cs="Arial"/>
        </w:rPr>
        <w:t xml:space="preserve">del </w:t>
      </w:r>
      <w:r w:rsidR="009A68D8" w:rsidRPr="00E06FC2">
        <w:rPr>
          <w:rFonts w:cs="Arial"/>
        </w:rPr>
        <w:t xml:space="preserve">esquema financiero de </w:t>
      </w:r>
      <w:r w:rsidR="008C6ED4" w:rsidRPr="00E06FC2">
        <w:rPr>
          <w:rFonts w:cs="Arial"/>
        </w:rPr>
        <w:t>esa</w:t>
      </w:r>
      <w:r w:rsidR="009A68D8" w:rsidRPr="00E06FC2">
        <w:rPr>
          <w:rFonts w:cs="Arial"/>
        </w:rPr>
        <w:t xml:space="preserve"> propuesta, </w:t>
      </w:r>
      <w:r w:rsidR="008C6ED4" w:rsidRPr="00E06FC2">
        <w:rPr>
          <w:rFonts w:cs="Arial"/>
        </w:rPr>
        <w:t xml:space="preserve">debido a la </w:t>
      </w:r>
      <w:r w:rsidR="009A68D8" w:rsidRPr="00E06FC2">
        <w:rPr>
          <w:rFonts w:cs="Arial"/>
        </w:rPr>
        <w:t>falta de</w:t>
      </w:r>
      <w:r w:rsidR="00151B8C" w:rsidRPr="00E06FC2">
        <w:rPr>
          <w:rFonts w:cs="Arial"/>
        </w:rPr>
        <w:t xml:space="preserve"> aporte de </w:t>
      </w:r>
      <w:r w:rsidR="00151B8C" w:rsidRPr="00E06FC2">
        <w:rPr>
          <w:rFonts w:cs="Arial"/>
        </w:rPr>
        <w:lastRenderedPageBreak/>
        <w:t>capital de riesgo</w:t>
      </w:r>
      <w:r w:rsidR="008C6ED4" w:rsidRPr="00E06FC2">
        <w:rPr>
          <w:rFonts w:cs="Arial"/>
        </w:rPr>
        <w:t xml:space="preserve"> y </w:t>
      </w:r>
      <w:r w:rsidR="008A1E63" w:rsidRPr="00E06FC2">
        <w:rPr>
          <w:rFonts w:cs="Arial"/>
        </w:rPr>
        <w:t xml:space="preserve">a </w:t>
      </w:r>
      <w:r w:rsidR="009A68D8" w:rsidRPr="00E06FC2">
        <w:rPr>
          <w:rFonts w:cs="Arial"/>
        </w:rPr>
        <w:t>la insuficiencia de la garantía ofrecida</w:t>
      </w:r>
      <w:r w:rsidR="008A1E63" w:rsidRPr="00E06FC2">
        <w:rPr>
          <w:rFonts w:cs="Arial"/>
        </w:rPr>
        <w:t>,</w:t>
      </w:r>
      <w:r w:rsidR="009A68D8" w:rsidRPr="00E06FC2">
        <w:rPr>
          <w:rFonts w:cs="Arial"/>
        </w:rPr>
        <w:t xml:space="preserve"> </w:t>
      </w:r>
      <w:r w:rsidR="008C6ED4" w:rsidRPr="00E06FC2">
        <w:rPr>
          <w:rFonts w:cs="Arial"/>
        </w:rPr>
        <w:t xml:space="preserve">todo ello </w:t>
      </w:r>
      <w:r w:rsidR="00151B8C" w:rsidRPr="00E06FC2">
        <w:rPr>
          <w:rFonts w:cs="Arial"/>
        </w:rPr>
        <w:t xml:space="preserve">de </w:t>
      </w:r>
      <w:r w:rsidR="00B67FD4" w:rsidRPr="00E06FC2">
        <w:rPr>
          <w:rFonts w:cs="Arial"/>
        </w:rPr>
        <w:t xml:space="preserve">conformidad con lo que hizo notar </w:t>
      </w:r>
      <w:r w:rsidR="00151B8C" w:rsidRPr="00E06FC2">
        <w:rPr>
          <w:rFonts w:cs="Arial"/>
        </w:rPr>
        <w:t>el informe de evaluación</w:t>
      </w:r>
      <w:r w:rsidR="00151B8C" w:rsidRPr="00E06FC2">
        <w:rPr>
          <w:rStyle w:val="Refdenotaalpie"/>
          <w:rFonts w:cs="Arial"/>
        </w:rPr>
        <w:footnoteReference w:id="13"/>
      </w:r>
      <w:r w:rsidR="00151B8C" w:rsidRPr="00E06FC2">
        <w:rPr>
          <w:rFonts w:cs="Arial"/>
        </w:rPr>
        <w:t xml:space="preserve">. </w:t>
      </w:r>
    </w:p>
    <w:p w14:paraId="0C27A2A9" w14:textId="77777777" w:rsidR="005F1698" w:rsidRPr="00E06FC2" w:rsidRDefault="005F1698" w:rsidP="00743788">
      <w:pPr>
        <w:pStyle w:val="Continuarlista2"/>
        <w:ind w:left="0"/>
        <w:rPr>
          <w:rFonts w:cs="Arial"/>
        </w:rPr>
      </w:pPr>
    </w:p>
    <w:p w14:paraId="6797EDFB" w14:textId="77777777" w:rsidR="00285E41" w:rsidRPr="00E06FC2" w:rsidRDefault="00AE7F56" w:rsidP="00743788">
      <w:pPr>
        <w:pStyle w:val="Continuarlista2"/>
        <w:ind w:left="0"/>
        <w:rPr>
          <w:rFonts w:cs="Arial"/>
        </w:rPr>
      </w:pPr>
      <w:r w:rsidRPr="00E06FC2">
        <w:rPr>
          <w:rFonts w:cs="Arial"/>
          <w:b/>
        </w:rPr>
        <w:t>4.</w:t>
      </w:r>
      <w:r w:rsidR="00320476" w:rsidRPr="00E06FC2">
        <w:rPr>
          <w:rFonts w:cs="Arial"/>
          <w:b/>
        </w:rPr>
        <w:t>9</w:t>
      </w:r>
      <w:r w:rsidRPr="00E06FC2">
        <w:rPr>
          <w:rFonts w:cs="Arial"/>
          <w:b/>
        </w:rPr>
        <w:t>.2.</w:t>
      </w:r>
      <w:r w:rsidRPr="00E06FC2">
        <w:rPr>
          <w:rFonts w:cs="Arial"/>
        </w:rPr>
        <w:t xml:space="preserve"> </w:t>
      </w:r>
      <w:r w:rsidR="00A91CE8" w:rsidRPr="00E06FC2">
        <w:rPr>
          <w:rFonts w:cs="Arial"/>
        </w:rPr>
        <w:t xml:space="preserve">La sociedad </w:t>
      </w:r>
      <w:r w:rsidRPr="00E06FC2">
        <w:rPr>
          <w:rFonts w:cs="Arial"/>
        </w:rPr>
        <w:t>Diselecsa Ltda, en la contestación a la demanda, propuso la exce</w:t>
      </w:r>
      <w:r w:rsidR="00285E41" w:rsidRPr="00E06FC2">
        <w:rPr>
          <w:rFonts w:cs="Arial"/>
        </w:rPr>
        <w:t>p</w:t>
      </w:r>
      <w:r w:rsidRPr="00E06FC2">
        <w:rPr>
          <w:rFonts w:cs="Arial"/>
        </w:rPr>
        <w:t>ci</w:t>
      </w:r>
      <w:r w:rsidR="008C6ED4" w:rsidRPr="00E06FC2">
        <w:rPr>
          <w:rFonts w:cs="Arial"/>
        </w:rPr>
        <w:t xml:space="preserve">ón </w:t>
      </w:r>
      <w:r w:rsidRPr="00E06FC2">
        <w:rPr>
          <w:rFonts w:cs="Arial"/>
        </w:rPr>
        <w:t>de in</w:t>
      </w:r>
      <w:r w:rsidR="002665D5" w:rsidRPr="00E06FC2">
        <w:rPr>
          <w:rFonts w:cs="Arial"/>
        </w:rPr>
        <w:t>debida representación de la demanda</w:t>
      </w:r>
      <w:r w:rsidR="008C6ED4" w:rsidRPr="00E06FC2">
        <w:rPr>
          <w:rFonts w:cs="Arial"/>
        </w:rPr>
        <w:t>nte,</w:t>
      </w:r>
      <w:r w:rsidR="002665D5" w:rsidRPr="00E06FC2">
        <w:rPr>
          <w:rFonts w:cs="Arial"/>
        </w:rPr>
        <w:t xml:space="preserve"> la cua</w:t>
      </w:r>
      <w:r w:rsidR="008C6ED4" w:rsidRPr="00E06FC2">
        <w:rPr>
          <w:rFonts w:cs="Arial"/>
        </w:rPr>
        <w:t>l</w:t>
      </w:r>
      <w:r w:rsidR="002665D5" w:rsidRPr="00E06FC2">
        <w:rPr>
          <w:rFonts w:cs="Arial"/>
        </w:rPr>
        <w:t xml:space="preserve"> apoyó en que para la fecha en que Electro Atlántico Ltda</w:t>
      </w:r>
      <w:r w:rsidR="00C7243C" w:rsidRPr="00E06FC2">
        <w:rPr>
          <w:rFonts w:cs="Arial"/>
        </w:rPr>
        <w:t>.</w:t>
      </w:r>
      <w:r w:rsidR="002665D5" w:rsidRPr="00E06FC2">
        <w:rPr>
          <w:rFonts w:cs="Arial"/>
        </w:rPr>
        <w:t xml:space="preserve"> otorgó poder, su gerente ya no contaba con las facultades de representación</w:t>
      </w:r>
      <w:r w:rsidR="00285E41" w:rsidRPr="00E06FC2">
        <w:rPr>
          <w:rFonts w:cs="Arial"/>
        </w:rPr>
        <w:t>.</w:t>
      </w:r>
    </w:p>
    <w:p w14:paraId="4A91A60D" w14:textId="77777777" w:rsidR="00285E41" w:rsidRPr="00E06FC2" w:rsidRDefault="00285E41" w:rsidP="00743788">
      <w:pPr>
        <w:pStyle w:val="Continuarlista2"/>
        <w:ind w:left="0"/>
        <w:rPr>
          <w:rFonts w:cs="Arial"/>
        </w:rPr>
      </w:pPr>
    </w:p>
    <w:p w14:paraId="509C21D4" w14:textId="77777777" w:rsidR="00DD7ED7" w:rsidRPr="00E06FC2" w:rsidRDefault="00285E41" w:rsidP="00743788">
      <w:pPr>
        <w:pStyle w:val="Continuarlista2"/>
        <w:ind w:left="0"/>
        <w:rPr>
          <w:rFonts w:cs="Arial"/>
          <w:i/>
        </w:rPr>
      </w:pPr>
      <w:r w:rsidRPr="00E06FC2">
        <w:rPr>
          <w:rFonts w:cs="Arial"/>
        </w:rPr>
        <w:t>En relación con la apreciación de la</w:t>
      </w:r>
      <w:r w:rsidR="000454C0" w:rsidRPr="00E06FC2">
        <w:rPr>
          <w:rFonts w:cs="Arial"/>
        </w:rPr>
        <w:t>s</w:t>
      </w:r>
      <w:r w:rsidRPr="00E06FC2">
        <w:rPr>
          <w:rFonts w:cs="Arial"/>
        </w:rPr>
        <w:t xml:space="preserve"> propuesta</w:t>
      </w:r>
      <w:r w:rsidR="000454C0" w:rsidRPr="00E06FC2">
        <w:rPr>
          <w:rFonts w:cs="Arial"/>
        </w:rPr>
        <w:t xml:space="preserve">s, observó que la </w:t>
      </w:r>
      <w:r w:rsidR="008C6ED4" w:rsidRPr="00E06FC2">
        <w:rPr>
          <w:rFonts w:cs="Arial"/>
        </w:rPr>
        <w:t xml:space="preserve">proponente ahora </w:t>
      </w:r>
      <w:r w:rsidR="000454C0" w:rsidRPr="00E06FC2">
        <w:rPr>
          <w:rFonts w:cs="Arial"/>
        </w:rPr>
        <w:t xml:space="preserve">demandante pudo acogerse al </w:t>
      </w:r>
      <w:r w:rsidR="000E362C" w:rsidRPr="00E06FC2">
        <w:rPr>
          <w:rFonts w:cs="Arial"/>
        </w:rPr>
        <w:t>a</w:t>
      </w:r>
      <w:r w:rsidR="000454C0" w:rsidRPr="00E06FC2">
        <w:rPr>
          <w:rFonts w:cs="Arial"/>
        </w:rPr>
        <w:t xml:space="preserve">dendo 3, como todos los proponentes, </w:t>
      </w:r>
      <w:r w:rsidR="008C6ED4" w:rsidRPr="00E06FC2">
        <w:rPr>
          <w:rFonts w:cs="Arial"/>
        </w:rPr>
        <w:t>caso en el cual “</w:t>
      </w:r>
      <w:r w:rsidR="001D4DD2" w:rsidRPr="00E06FC2">
        <w:rPr>
          <w:rFonts w:cs="Arial"/>
          <w:i/>
        </w:rPr>
        <w:t>Se asignará el mayor puntaje a la propuesta alternativa cuyos suministros posean sello de calidad nacional o extranjero</w:t>
      </w:r>
      <w:r w:rsidR="009509DA" w:rsidRPr="00E06FC2">
        <w:rPr>
          <w:rFonts w:cs="Arial"/>
          <w:i/>
        </w:rPr>
        <w:t>”</w:t>
      </w:r>
      <w:r w:rsidR="00A503C0" w:rsidRPr="00E06FC2">
        <w:rPr>
          <w:rStyle w:val="Refdenotaalpie"/>
          <w:rFonts w:cs="Arial"/>
          <w:i/>
        </w:rPr>
        <w:footnoteReference w:id="14"/>
      </w:r>
      <w:r w:rsidR="008C6ED4" w:rsidRPr="00E06FC2">
        <w:rPr>
          <w:rFonts w:cs="Arial"/>
          <w:i/>
        </w:rPr>
        <w:t>.</w:t>
      </w:r>
    </w:p>
    <w:p w14:paraId="10CAAB71" w14:textId="77777777" w:rsidR="00DD7ED7" w:rsidRPr="00E06FC2" w:rsidRDefault="00DD7ED7" w:rsidP="00743788">
      <w:pPr>
        <w:pStyle w:val="Continuarlista2"/>
        <w:ind w:left="567" w:right="567"/>
        <w:rPr>
          <w:rFonts w:cs="Arial"/>
          <w:i/>
        </w:rPr>
      </w:pPr>
    </w:p>
    <w:p w14:paraId="4A1FD755" w14:textId="77777777" w:rsidR="009509DA" w:rsidRPr="00E06FC2" w:rsidRDefault="009509DA" w:rsidP="00743788">
      <w:pPr>
        <w:pStyle w:val="Continuarlista2"/>
        <w:ind w:left="0"/>
        <w:rPr>
          <w:rFonts w:cs="Arial"/>
        </w:rPr>
      </w:pPr>
      <w:r w:rsidRPr="00E06FC2">
        <w:rPr>
          <w:rFonts w:cs="Arial"/>
          <w:b/>
        </w:rPr>
        <w:t>4.9.3.</w:t>
      </w:r>
      <w:r w:rsidRPr="00E06FC2">
        <w:rPr>
          <w:rFonts w:cs="Arial"/>
        </w:rPr>
        <w:t xml:space="preserve"> </w:t>
      </w:r>
      <w:r w:rsidR="00A91CE8" w:rsidRPr="00E06FC2">
        <w:rPr>
          <w:rFonts w:cs="Arial"/>
        </w:rPr>
        <w:t xml:space="preserve">La sociedad </w:t>
      </w:r>
      <w:r w:rsidR="00A92ADD" w:rsidRPr="00E06FC2">
        <w:rPr>
          <w:rFonts w:cs="Arial"/>
        </w:rPr>
        <w:t>Proyectos</w:t>
      </w:r>
      <w:r w:rsidR="00D829D5" w:rsidRPr="00E06FC2">
        <w:rPr>
          <w:rFonts w:cs="Arial"/>
        </w:rPr>
        <w:t>,</w:t>
      </w:r>
      <w:r w:rsidR="00A92ADD" w:rsidRPr="00E06FC2">
        <w:rPr>
          <w:rFonts w:cs="Arial"/>
        </w:rPr>
        <w:t xml:space="preserve"> Ingeniería</w:t>
      </w:r>
      <w:r w:rsidR="00D829D5" w:rsidRPr="00E06FC2">
        <w:rPr>
          <w:rFonts w:cs="Arial"/>
        </w:rPr>
        <w:t>,</w:t>
      </w:r>
      <w:r w:rsidR="00A92ADD" w:rsidRPr="00E06FC2">
        <w:rPr>
          <w:rFonts w:cs="Arial"/>
        </w:rPr>
        <w:t xml:space="preserve"> Construc</w:t>
      </w:r>
      <w:r w:rsidR="00926BDE" w:rsidRPr="00E06FC2">
        <w:rPr>
          <w:rFonts w:cs="Arial"/>
        </w:rPr>
        <w:t>c</w:t>
      </w:r>
      <w:r w:rsidR="00A92ADD" w:rsidRPr="00E06FC2">
        <w:rPr>
          <w:rFonts w:cs="Arial"/>
        </w:rPr>
        <w:t>iones y Montajes Limitada – sigla PROICOM</w:t>
      </w:r>
      <w:r w:rsidR="008A1E63" w:rsidRPr="00E06FC2">
        <w:rPr>
          <w:rFonts w:cs="Arial"/>
        </w:rPr>
        <w:t>-</w:t>
      </w:r>
      <w:r w:rsidR="00A92ADD" w:rsidRPr="00E06FC2">
        <w:rPr>
          <w:rFonts w:cs="Arial"/>
        </w:rPr>
        <w:t xml:space="preserve"> antes denominad</w:t>
      </w:r>
      <w:r w:rsidR="00A91CE8" w:rsidRPr="00E06FC2">
        <w:rPr>
          <w:rFonts w:cs="Arial"/>
        </w:rPr>
        <w:t>a</w:t>
      </w:r>
      <w:r w:rsidR="00A92ADD" w:rsidRPr="00E06FC2">
        <w:rPr>
          <w:rFonts w:cs="Arial"/>
        </w:rPr>
        <w:t xml:space="preserve"> </w:t>
      </w:r>
      <w:r w:rsidR="0032276B" w:rsidRPr="00E06FC2">
        <w:rPr>
          <w:rFonts w:cs="Arial"/>
        </w:rPr>
        <w:t>Montajes Eléctricos Ltda</w:t>
      </w:r>
      <w:r w:rsidR="00F60FF0" w:rsidRPr="00E06FC2">
        <w:rPr>
          <w:rFonts w:cs="Arial"/>
        </w:rPr>
        <w:t>.</w:t>
      </w:r>
      <w:r w:rsidR="0032276B" w:rsidRPr="00E06FC2">
        <w:rPr>
          <w:rFonts w:cs="Arial"/>
        </w:rPr>
        <w:t xml:space="preserve"> contestó la demanda haciendo notar las deficiencias de la propuesta </w:t>
      </w:r>
      <w:r w:rsidRPr="00E06FC2">
        <w:rPr>
          <w:rFonts w:cs="Arial"/>
        </w:rPr>
        <w:t>presentada por la ahora deman</w:t>
      </w:r>
      <w:r w:rsidR="008A1E63" w:rsidRPr="00E06FC2">
        <w:rPr>
          <w:rFonts w:cs="Arial"/>
        </w:rPr>
        <w:t>dante</w:t>
      </w:r>
      <w:r w:rsidRPr="00E06FC2">
        <w:rPr>
          <w:rFonts w:cs="Arial"/>
        </w:rPr>
        <w:t>, por razón de no haber allegado la declaración de renta de los dos últimos años.</w:t>
      </w:r>
    </w:p>
    <w:p w14:paraId="4294A415" w14:textId="77777777" w:rsidR="0032276B" w:rsidRPr="00E06FC2" w:rsidRDefault="0032276B" w:rsidP="00743788">
      <w:pPr>
        <w:pStyle w:val="Continuarlista2"/>
        <w:ind w:left="0"/>
        <w:rPr>
          <w:rFonts w:cs="Arial"/>
        </w:rPr>
      </w:pPr>
    </w:p>
    <w:p w14:paraId="5B67890D" w14:textId="77777777" w:rsidR="00015BB2" w:rsidRPr="00E06FC2" w:rsidRDefault="0032276B" w:rsidP="00743788">
      <w:pPr>
        <w:pStyle w:val="Continuarlista2"/>
        <w:ind w:left="0"/>
        <w:rPr>
          <w:rFonts w:cs="Arial"/>
        </w:rPr>
      </w:pPr>
      <w:r w:rsidRPr="00E06FC2">
        <w:rPr>
          <w:rFonts w:cs="Arial"/>
        </w:rPr>
        <w:t xml:space="preserve">En las excepciones </w:t>
      </w:r>
      <w:r w:rsidR="00E322A2" w:rsidRPr="00E06FC2">
        <w:rPr>
          <w:rFonts w:cs="Arial"/>
        </w:rPr>
        <w:t xml:space="preserve">de mérito </w:t>
      </w:r>
      <w:r w:rsidR="00BC2506" w:rsidRPr="00E06FC2">
        <w:rPr>
          <w:rFonts w:cs="Arial"/>
        </w:rPr>
        <w:t>observó</w:t>
      </w:r>
      <w:r w:rsidR="009509DA" w:rsidRPr="00E06FC2">
        <w:rPr>
          <w:rFonts w:cs="Arial"/>
        </w:rPr>
        <w:t>,</w:t>
      </w:r>
      <w:r w:rsidR="00E322A2" w:rsidRPr="00E06FC2">
        <w:rPr>
          <w:rFonts w:cs="Arial"/>
        </w:rPr>
        <w:t xml:space="preserve"> en primer lugar, que </w:t>
      </w:r>
      <w:r w:rsidR="00BC2506" w:rsidRPr="00E06FC2">
        <w:rPr>
          <w:rFonts w:cs="Arial"/>
        </w:rPr>
        <w:t>las propuestas se deben evaluar de acuerdo con el pliego de condiciones</w:t>
      </w:r>
      <w:r w:rsidR="006D6CEA" w:rsidRPr="00E06FC2">
        <w:rPr>
          <w:rFonts w:cs="Arial"/>
        </w:rPr>
        <w:t>, es decir</w:t>
      </w:r>
      <w:r w:rsidR="009E28B2" w:rsidRPr="00E06FC2">
        <w:rPr>
          <w:rFonts w:cs="Arial"/>
        </w:rPr>
        <w:t>,</w:t>
      </w:r>
      <w:r w:rsidR="006D6CEA" w:rsidRPr="00E06FC2">
        <w:rPr>
          <w:rFonts w:cs="Arial"/>
        </w:rPr>
        <w:t xml:space="preserve"> que </w:t>
      </w:r>
      <w:r w:rsidR="00BC2506" w:rsidRPr="00E06FC2">
        <w:rPr>
          <w:rFonts w:cs="Arial"/>
        </w:rPr>
        <w:t>si el pliego no exig</w:t>
      </w:r>
      <w:r w:rsidR="00BB15C2" w:rsidRPr="00E06FC2">
        <w:rPr>
          <w:rFonts w:cs="Arial"/>
        </w:rPr>
        <w:t>ió</w:t>
      </w:r>
      <w:r w:rsidR="00BC2506" w:rsidRPr="00E06FC2">
        <w:rPr>
          <w:rFonts w:cs="Arial"/>
        </w:rPr>
        <w:t xml:space="preserve"> la presentación de una propuesta básica </w:t>
      </w:r>
      <w:r w:rsidR="00CB7C91" w:rsidRPr="00E06FC2">
        <w:rPr>
          <w:rFonts w:cs="Arial"/>
        </w:rPr>
        <w:t xml:space="preserve">como requisito </w:t>
      </w:r>
      <w:r w:rsidR="00BC2506" w:rsidRPr="00E06FC2">
        <w:rPr>
          <w:rFonts w:cs="Arial"/>
        </w:rPr>
        <w:t xml:space="preserve">para </w:t>
      </w:r>
      <w:r w:rsidR="006D6CEA" w:rsidRPr="00E06FC2">
        <w:rPr>
          <w:rFonts w:cs="Arial"/>
        </w:rPr>
        <w:t xml:space="preserve">poder presentar una </w:t>
      </w:r>
      <w:r w:rsidR="00BC2506" w:rsidRPr="00E06FC2">
        <w:rPr>
          <w:rFonts w:cs="Arial"/>
        </w:rPr>
        <w:t>propuesta alternativa</w:t>
      </w:r>
      <w:r w:rsidR="006D6CEA" w:rsidRPr="00E06FC2">
        <w:rPr>
          <w:rFonts w:cs="Arial"/>
        </w:rPr>
        <w:t>,</w:t>
      </w:r>
      <w:r w:rsidR="00BC2506" w:rsidRPr="00E06FC2">
        <w:rPr>
          <w:rFonts w:cs="Arial"/>
        </w:rPr>
        <w:t xml:space="preserve"> era permitido </w:t>
      </w:r>
      <w:r w:rsidR="00CB7C91" w:rsidRPr="00E06FC2">
        <w:rPr>
          <w:rFonts w:cs="Arial"/>
        </w:rPr>
        <w:t xml:space="preserve">participar </w:t>
      </w:r>
      <w:r w:rsidR="00BC2506" w:rsidRPr="00E06FC2">
        <w:rPr>
          <w:rFonts w:cs="Arial"/>
        </w:rPr>
        <w:t xml:space="preserve">únicamente </w:t>
      </w:r>
      <w:r w:rsidR="00CB7C91" w:rsidRPr="00E06FC2">
        <w:rPr>
          <w:rFonts w:cs="Arial"/>
        </w:rPr>
        <w:t xml:space="preserve">con </w:t>
      </w:r>
      <w:r w:rsidR="006D6CEA" w:rsidRPr="00E06FC2">
        <w:rPr>
          <w:rFonts w:cs="Arial"/>
        </w:rPr>
        <w:t>una</w:t>
      </w:r>
      <w:r w:rsidR="00BC2506" w:rsidRPr="00E06FC2">
        <w:rPr>
          <w:rFonts w:cs="Arial"/>
        </w:rPr>
        <w:t xml:space="preserve"> propuesta alternativa. </w:t>
      </w:r>
      <w:r w:rsidR="00015BB2" w:rsidRPr="00E06FC2">
        <w:rPr>
          <w:rFonts w:cs="Arial"/>
        </w:rPr>
        <w:t xml:space="preserve">Agregó que </w:t>
      </w:r>
      <w:r w:rsidR="00BC2506" w:rsidRPr="00E06FC2">
        <w:rPr>
          <w:rFonts w:cs="Arial"/>
        </w:rPr>
        <w:t xml:space="preserve">el </w:t>
      </w:r>
      <w:r w:rsidR="000E362C" w:rsidRPr="00E06FC2">
        <w:rPr>
          <w:rFonts w:cs="Arial"/>
        </w:rPr>
        <w:t>a</w:t>
      </w:r>
      <w:r w:rsidR="00BC2506" w:rsidRPr="00E06FC2">
        <w:rPr>
          <w:rFonts w:cs="Arial"/>
        </w:rPr>
        <w:t>dendo 3 fue claro en cuanto a los requisitos de calidad que se de</w:t>
      </w:r>
      <w:r w:rsidR="00653F5E" w:rsidRPr="00E06FC2">
        <w:rPr>
          <w:rFonts w:cs="Arial"/>
        </w:rPr>
        <w:t>bía</w:t>
      </w:r>
      <w:r w:rsidR="00BC2506" w:rsidRPr="00E06FC2">
        <w:rPr>
          <w:rFonts w:cs="Arial"/>
        </w:rPr>
        <w:t>n acreditar</w:t>
      </w:r>
      <w:r w:rsidR="00653F5E" w:rsidRPr="00E06FC2">
        <w:rPr>
          <w:rFonts w:cs="Arial"/>
        </w:rPr>
        <w:t xml:space="preserve"> </w:t>
      </w:r>
      <w:r w:rsidR="006D6CEA" w:rsidRPr="00E06FC2">
        <w:rPr>
          <w:rFonts w:cs="Arial"/>
        </w:rPr>
        <w:t>con l</w:t>
      </w:r>
      <w:r w:rsidR="009509DA" w:rsidRPr="00E06FC2">
        <w:rPr>
          <w:rFonts w:cs="Arial"/>
        </w:rPr>
        <w:t xml:space="preserve">as </w:t>
      </w:r>
      <w:r w:rsidR="00653F5E" w:rsidRPr="00E06FC2">
        <w:rPr>
          <w:rFonts w:cs="Arial"/>
        </w:rPr>
        <w:t xml:space="preserve">especificaciones técnicas </w:t>
      </w:r>
      <w:r w:rsidR="009509DA" w:rsidRPr="00E06FC2">
        <w:rPr>
          <w:rFonts w:cs="Arial"/>
        </w:rPr>
        <w:t xml:space="preserve">homologadas por </w:t>
      </w:r>
      <w:r w:rsidR="00653F5E" w:rsidRPr="00E06FC2">
        <w:rPr>
          <w:rFonts w:cs="Arial"/>
        </w:rPr>
        <w:t xml:space="preserve">CIDET y la norma ISO </w:t>
      </w:r>
      <w:r w:rsidR="00015BB2" w:rsidRPr="00E06FC2">
        <w:rPr>
          <w:rFonts w:cs="Arial"/>
        </w:rPr>
        <w:t>9</w:t>
      </w:r>
      <w:r w:rsidR="00653F5E" w:rsidRPr="00E06FC2">
        <w:rPr>
          <w:rFonts w:cs="Arial"/>
        </w:rPr>
        <w:t>004-1.</w:t>
      </w:r>
      <w:r w:rsidR="00C04959" w:rsidRPr="00E06FC2">
        <w:rPr>
          <w:rFonts w:cs="Arial"/>
        </w:rPr>
        <w:t xml:space="preserve"> Concluyó que </w:t>
      </w:r>
      <w:r w:rsidR="00015BB2" w:rsidRPr="00E06FC2">
        <w:rPr>
          <w:rFonts w:cs="Arial"/>
        </w:rPr>
        <w:t xml:space="preserve">el </w:t>
      </w:r>
      <w:r w:rsidR="000E362C" w:rsidRPr="00E06FC2">
        <w:rPr>
          <w:rFonts w:cs="Arial"/>
        </w:rPr>
        <w:t>a</w:t>
      </w:r>
      <w:r w:rsidR="00015BB2" w:rsidRPr="00E06FC2">
        <w:rPr>
          <w:rFonts w:cs="Arial"/>
        </w:rPr>
        <w:t>dendo 3 hizo parte del pliego de cond</w:t>
      </w:r>
      <w:r w:rsidR="00C04959" w:rsidRPr="00E06FC2">
        <w:rPr>
          <w:rFonts w:cs="Arial"/>
        </w:rPr>
        <w:t>i</w:t>
      </w:r>
      <w:r w:rsidR="00015BB2" w:rsidRPr="00E06FC2">
        <w:rPr>
          <w:rFonts w:cs="Arial"/>
        </w:rPr>
        <w:t xml:space="preserve">ciones y </w:t>
      </w:r>
      <w:r w:rsidR="009509DA" w:rsidRPr="00E06FC2">
        <w:rPr>
          <w:rFonts w:cs="Arial"/>
        </w:rPr>
        <w:t xml:space="preserve">que </w:t>
      </w:r>
      <w:r w:rsidR="00015BB2" w:rsidRPr="00E06FC2">
        <w:rPr>
          <w:rFonts w:cs="Arial"/>
        </w:rPr>
        <w:t>as</w:t>
      </w:r>
      <w:r w:rsidR="00C04959" w:rsidRPr="00E06FC2">
        <w:rPr>
          <w:rFonts w:cs="Arial"/>
        </w:rPr>
        <w:t>í</w:t>
      </w:r>
      <w:r w:rsidR="00015BB2" w:rsidRPr="00E06FC2">
        <w:rPr>
          <w:rFonts w:cs="Arial"/>
        </w:rPr>
        <w:t xml:space="preserve"> debi</w:t>
      </w:r>
      <w:r w:rsidR="00C04959" w:rsidRPr="00E06FC2">
        <w:rPr>
          <w:rFonts w:cs="Arial"/>
        </w:rPr>
        <w:t>ó</w:t>
      </w:r>
      <w:r w:rsidR="00015BB2" w:rsidRPr="00E06FC2">
        <w:rPr>
          <w:rFonts w:cs="Arial"/>
        </w:rPr>
        <w:t xml:space="preserve"> ser considerado.</w:t>
      </w:r>
    </w:p>
    <w:p w14:paraId="2E01A63E" w14:textId="77777777" w:rsidR="00015BB2" w:rsidRPr="00E06FC2" w:rsidRDefault="00015BB2" w:rsidP="00743788">
      <w:pPr>
        <w:pStyle w:val="Continuarlista2"/>
        <w:ind w:left="0"/>
        <w:rPr>
          <w:rFonts w:cs="Arial"/>
        </w:rPr>
      </w:pPr>
    </w:p>
    <w:p w14:paraId="10536F4B" w14:textId="77777777" w:rsidR="00386059" w:rsidRPr="00E06FC2" w:rsidRDefault="00C04959" w:rsidP="00743788">
      <w:pPr>
        <w:pStyle w:val="Continuarlista2"/>
        <w:ind w:left="0"/>
        <w:rPr>
          <w:rFonts w:cs="Arial"/>
        </w:rPr>
      </w:pPr>
      <w:r w:rsidRPr="00E06FC2">
        <w:rPr>
          <w:rFonts w:cs="Arial"/>
        </w:rPr>
        <w:t xml:space="preserve">En </w:t>
      </w:r>
      <w:r w:rsidR="00E322A2" w:rsidRPr="00E06FC2">
        <w:rPr>
          <w:rFonts w:cs="Arial"/>
        </w:rPr>
        <w:t xml:space="preserve">segundo lugar, </w:t>
      </w:r>
      <w:r w:rsidR="006D6CEA" w:rsidRPr="00E06FC2">
        <w:rPr>
          <w:rFonts w:cs="Arial"/>
        </w:rPr>
        <w:t xml:space="preserve">esta </w:t>
      </w:r>
      <w:r w:rsidR="00B67FD4" w:rsidRPr="00E06FC2">
        <w:rPr>
          <w:rFonts w:cs="Arial"/>
        </w:rPr>
        <w:t xml:space="preserve">misma </w:t>
      </w:r>
      <w:r w:rsidR="00BB15C2" w:rsidRPr="00E06FC2">
        <w:rPr>
          <w:rFonts w:cs="Arial"/>
        </w:rPr>
        <w:t>demandada</w:t>
      </w:r>
      <w:r w:rsidR="009509DA" w:rsidRPr="00E06FC2">
        <w:rPr>
          <w:rFonts w:cs="Arial"/>
        </w:rPr>
        <w:t xml:space="preserve"> </w:t>
      </w:r>
      <w:r w:rsidR="00E322A2" w:rsidRPr="00E06FC2">
        <w:rPr>
          <w:rFonts w:cs="Arial"/>
        </w:rPr>
        <w:t xml:space="preserve">presentó como excepción de mérito el incumplimiento de los requisitos de la </w:t>
      </w:r>
      <w:r w:rsidR="009509DA" w:rsidRPr="00E06FC2">
        <w:rPr>
          <w:rFonts w:cs="Arial"/>
        </w:rPr>
        <w:t xml:space="preserve">propuesta </w:t>
      </w:r>
      <w:r w:rsidR="00BB15C2" w:rsidRPr="00E06FC2">
        <w:rPr>
          <w:rFonts w:cs="Arial"/>
        </w:rPr>
        <w:t xml:space="preserve">de </w:t>
      </w:r>
      <w:r w:rsidR="008A1E63" w:rsidRPr="00E06FC2">
        <w:rPr>
          <w:rFonts w:cs="Arial"/>
        </w:rPr>
        <w:t xml:space="preserve">la </w:t>
      </w:r>
      <w:r w:rsidR="00E322A2" w:rsidRPr="00E06FC2">
        <w:rPr>
          <w:rFonts w:cs="Arial"/>
        </w:rPr>
        <w:t>UT General El</w:t>
      </w:r>
      <w:r w:rsidR="00BB15C2" w:rsidRPr="00E06FC2">
        <w:rPr>
          <w:rFonts w:cs="Arial"/>
        </w:rPr>
        <w:t>e</w:t>
      </w:r>
      <w:r w:rsidR="00E322A2" w:rsidRPr="00E06FC2">
        <w:rPr>
          <w:rFonts w:cs="Arial"/>
        </w:rPr>
        <w:t>ctric – Electro Atlántico</w:t>
      </w:r>
      <w:r w:rsidR="00386059" w:rsidRPr="00E06FC2">
        <w:rPr>
          <w:rFonts w:cs="Arial"/>
        </w:rPr>
        <w:t xml:space="preserve">, consideración </w:t>
      </w:r>
      <w:r w:rsidR="00BB15C2" w:rsidRPr="00E06FC2">
        <w:rPr>
          <w:rFonts w:cs="Arial"/>
        </w:rPr>
        <w:t xml:space="preserve">bajo la cual estimó que </w:t>
      </w:r>
      <w:r w:rsidR="006D6CEA" w:rsidRPr="00E06FC2">
        <w:rPr>
          <w:rFonts w:cs="Arial"/>
        </w:rPr>
        <w:t xml:space="preserve">dicha propuesta </w:t>
      </w:r>
      <w:r w:rsidR="009509DA" w:rsidRPr="00E06FC2">
        <w:rPr>
          <w:rFonts w:cs="Arial"/>
        </w:rPr>
        <w:t xml:space="preserve">debió </w:t>
      </w:r>
      <w:r w:rsidR="00386059" w:rsidRPr="00E06FC2">
        <w:rPr>
          <w:rFonts w:cs="Arial"/>
        </w:rPr>
        <w:t xml:space="preserve">ser </w:t>
      </w:r>
      <w:r w:rsidR="00BB15C2" w:rsidRPr="00E06FC2">
        <w:rPr>
          <w:rFonts w:cs="Arial"/>
          <w:i/>
        </w:rPr>
        <w:t>“</w:t>
      </w:r>
      <w:r w:rsidR="00386059" w:rsidRPr="00E06FC2">
        <w:rPr>
          <w:rFonts w:cs="Arial"/>
          <w:i/>
        </w:rPr>
        <w:t>eliminada</w:t>
      </w:r>
      <w:r w:rsidR="00BB15C2" w:rsidRPr="00E06FC2">
        <w:rPr>
          <w:rFonts w:cs="Arial"/>
          <w:i/>
        </w:rPr>
        <w:t>”</w:t>
      </w:r>
      <w:r w:rsidR="00E322A2" w:rsidRPr="00E06FC2">
        <w:rPr>
          <w:rFonts w:cs="Arial"/>
          <w:i/>
        </w:rPr>
        <w:t>.</w:t>
      </w:r>
    </w:p>
    <w:p w14:paraId="6BE150C2" w14:textId="77777777" w:rsidR="00386059" w:rsidRPr="00E06FC2" w:rsidRDefault="00386059" w:rsidP="00743788">
      <w:pPr>
        <w:pStyle w:val="Continuarlista2"/>
        <w:ind w:left="0"/>
        <w:rPr>
          <w:rFonts w:cs="Arial"/>
        </w:rPr>
      </w:pPr>
    </w:p>
    <w:p w14:paraId="3DE40B60" w14:textId="77777777" w:rsidR="00A97408" w:rsidRPr="00E06FC2" w:rsidRDefault="00386059" w:rsidP="00743788">
      <w:pPr>
        <w:pStyle w:val="Continuarlista2"/>
        <w:ind w:left="0"/>
        <w:rPr>
          <w:rFonts w:cs="Arial"/>
        </w:rPr>
      </w:pPr>
      <w:r w:rsidRPr="00E06FC2">
        <w:rPr>
          <w:rFonts w:cs="Arial"/>
        </w:rPr>
        <w:lastRenderedPageBreak/>
        <w:t>En tercer lugar, explic</w:t>
      </w:r>
      <w:r w:rsidR="009509DA" w:rsidRPr="00E06FC2">
        <w:rPr>
          <w:rFonts w:cs="Arial"/>
        </w:rPr>
        <w:t>ó</w:t>
      </w:r>
      <w:r w:rsidRPr="00E06FC2">
        <w:rPr>
          <w:rFonts w:cs="Arial"/>
        </w:rPr>
        <w:t xml:space="preserve"> las deficiencias de la evaluación económica y financiera </w:t>
      </w:r>
      <w:r w:rsidR="00BB15C2" w:rsidRPr="00E06FC2">
        <w:rPr>
          <w:rFonts w:cs="Arial"/>
        </w:rPr>
        <w:t xml:space="preserve">realizada a </w:t>
      </w:r>
      <w:r w:rsidRPr="00E06FC2">
        <w:rPr>
          <w:rFonts w:cs="Arial"/>
        </w:rPr>
        <w:t xml:space="preserve">la propuesta de la </w:t>
      </w:r>
      <w:r w:rsidR="009509DA" w:rsidRPr="00E06FC2">
        <w:rPr>
          <w:rFonts w:cs="Arial"/>
        </w:rPr>
        <w:t xml:space="preserve">UT </w:t>
      </w:r>
      <w:r w:rsidRPr="00E06FC2">
        <w:rPr>
          <w:rFonts w:cs="Arial"/>
        </w:rPr>
        <w:t xml:space="preserve">ahora demandante, toda vez </w:t>
      </w:r>
      <w:r w:rsidR="009E28B2" w:rsidRPr="00E06FC2">
        <w:rPr>
          <w:rFonts w:cs="Arial"/>
        </w:rPr>
        <w:t xml:space="preserve">que </w:t>
      </w:r>
      <w:r w:rsidR="006D6CEA" w:rsidRPr="00E06FC2">
        <w:rPr>
          <w:rFonts w:cs="Arial"/>
        </w:rPr>
        <w:t>e</w:t>
      </w:r>
      <w:r w:rsidR="008A1E63" w:rsidRPr="00E06FC2">
        <w:rPr>
          <w:rFonts w:cs="Arial"/>
        </w:rPr>
        <w:t xml:space="preserve">lla </w:t>
      </w:r>
      <w:r w:rsidRPr="00E06FC2">
        <w:rPr>
          <w:rFonts w:cs="Arial"/>
        </w:rPr>
        <w:t xml:space="preserve">no cumplió con </w:t>
      </w:r>
      <w:r w:rsidR="003A0135" w:rsidRPr="00E06FC2">
        <w:rPr>
          <w:rFonts w:cs="Arial"/>
        </w:rPr>
        <w:t xml:space="preserve">el requisito de </w:t>
      </w:r>
      <w:r w:rsidRPr="00E06FC2">
        <w:rPr>
          <w:rFonts w:cs="Arial"/>
        </w:rPr>
        <w:t>presentar la declaración de renta de los dos últimos años, ni detall</w:t>
      </w:r>
      <w:r w:rsidR="009509DA" w:rsidRPr="00E06FC2">
        <w:rPr>
          <w:rFonts w:cs="Arial"/>
        </w:rPr>
        <w:t>ó</w:t>
      </w:r>
      <w:r w:rsidRPr="00E06FC2">
        <w:rPr>
          <w:rFonts w:cs="Arial"/>
        </w:rPr>
        <w:t xml:space="preserve"> el esquema financiero </w:t>
      </w:r>
      <w:r w:rsidR="009509DA" w:rsidRPr="00E06FC2">
        <w:rPr>
          <w:rFonts w:cs="Arial"/>
        </w:rPr>
        <w:t>requerido</w:t>
      </w:r>
      <w:r w:rsidR="00A97408" w:rsidRPr="00E06FC2">
        <w:rPr>
          <w:rFonts w:cs="Arial"/>
        </w:rPr>
        <w:t xml:space="preserve">, tal como </w:t>
      </w:r>
      <w:r w:rsidR="00CB7C91" w:rsidRPr="00E06FC2">
        <w:rPr>
          <w:rFonts w:cs="Arial"/>
        </w:rPr>
        <w:t>lo</w:t>
      </w:r>
      <w:r w:rsidR="00A97408" w:rsidRPr="00E06FC2">
        <w:rPr>
          <w:rFonts w:cs="Arial"/>
        </w:rPr>
        <w:t xml:space="preserve"> observó el propio </w:t>
      </w:r>
      <w:r w:rsidR="009E28B2" w:rsidRPr="00E06FC2">
        <w:rPr>
          <w:rFonts w:cs="Arial"/>
        </w:rPr>
        <w:t>c</w:t>
      </w:r>
      <w:r w:rsidR="00A97408" w:rsidRPr="00E06FC2">
        <w:rPr>
          <w:rFonts w:cs="Arial"/>
        </w:rPr>
        <w:t xml:space="preserve">omité </w:t>
      </w:r>
      <w:r w:rsidR="009E28B2" w:rsidRPr="00E06FC2">
        <w:rPr>
          <w:rFonts w:cs="Arial"/>
        </w:rPr>
        <w:t>e</w:t>
      </w:r>
      <w:r w:rsidR="00A97408" w:rsidRPr="00E06FC2">
        <w:rPr>
          <w:rFonts w:cs="Arial"/>
        </w:rPr>
        <w:t xml:space="preserve">valuador al calificar </w:t>
      </w:r>
      <w:r w:rsidR="009509DA" w:rsidRPr="00E06FC2">
        <w:rPr>
          <w:rFonts w:cs="Arial"/>
        </w:rPr>
        <w:t>esa</w:t>
      </w:r>
      <w:r w:rsidR="00A97408" w:rsidRPr="00E06FC2">
        <w:rPr>
          <w:rFonts w:cs="Arial"/>
        </w:rPr>
        <w:t xml:space="preserve"> propuesta financiera como </w:t>
      </w:r>
      <w:r w:rsidR="00A97408" w:rsidRPr="00E06FC2">
        <w:rPr>
          <w:rFonts w:cs="Arial"/>
          <w:i/>
        </w:rPr>
        <w:t>“inconsistente”</w:t>
      </w:r>
      <w:r w:rsidR="00A97408" w:rsidRPr="00E06FC2">
        <w:rPr>
          <w:rFonts w:cs="Arial"/>
        </w:rPr>
        <w:t>, mientras que la propuesta de la UT D</w:t>
      </w:r>
      <w:r w:rsidR="009509DA" w:rsidRPr="00E06FC2">
        <w:rPr>
          <w:rFonts w:cs="Arial"/>
        </w:rPr>
        <w:t>i</w:t>
      </w:r>
      <w:r w:rsidR="00A97408" w:rsidRPr="00E06FC2">
        <w:rPr>
          <w:rFonts w:cs="Arial"/>
        </w:rPr>
        <w:t xml:space="preserve">selecsa – Montajes Eléctricos </w:t>
      </w:r>
      <w:r w:rsidR="008A1E63" w:rsidRPr="00E06FC2">
        <w:rPr>
          <w:rFonts w:cs="Arial"/>
        </w:rPr>
        <w:t>la</w:t>
      </w:r>
      <w:r w:rsidR="00A97408" w:rsidRPr="00E06FC2">
        <w:rPr>
          <w:rFonts w:cs="Arial"/>
        </w:rPr>
        <w:t xml:space="preserve"> calificó como </w:t>
      </w:r>
      <w:r w:rsidR="00A97408" w:rsidRPr="00E06FC2">
        <w:rPr>
          <w:rFonts w:cs="Arial"/>
          <w:i/>
        </w:rPr>
        <w:t>“completa”</w:t>
      </w:r>
      <w:r w:rsidR="00A97408" w:rsidRPr="00E06FC2">
        <w:rPr>
          <w:rFonts w:cs="Arial"/>
        </w:rPr>
        <w:t>.</w:t>
      </w:r>
    </w:p>
    <w:p w14:paraId="7095471A" w14:textId="77777777" w:rsidR="009509DA" w:rsidRPr="00E06FC2" w:rsidRDefault="009509DA" w:rsidP="00743788">
      <w:pPr>
        <w:pStyle w:val="Continuarlista2"/>
        <w:ind w:left="0"/>
        <w:rPr>
          <w:rFonts w:cs="Arial"/>
        </w:rPr>
      </w:pPr>
    </w:p>
    <w:p w14:paraId="29D5997F" w14:textId="77777777" w:rsidR="00834430" w:rsidRPr="00E06FC2" w:rsidRDefault="00834430" w:rsidP="00743788">
      <w:pPr>
        <w:pStyle w:val="Lista2"/>
        <w:ind w:left="0" w:firstLine="0"/>
        <w:rPr>
          <w:rFonts w:cs="Arial"/>
        </w:rPr>
      </w:pPr>
      <w:r w:rsidRPr="00E06FC2">
        <w:rPr>
          <w:rFonts w:cs="Arial"/>
        </w:rPr>
        <w:t>Concluyó que</w:t>
      </w:r>
      <w:r w:rsidRPr="00E06FC2">
        <w:rPr>
          <w:rFonts w:cs="Arial"/>
          <w:b/>
        </w:rPr>
        <w:t xml:space="preserve"> </w:t>
      </w:r>
      <w:r w:rsidR="009509DA" w:rsidRPr="00E06FC2">
        <w:rPr>
          <w:rFonts w:cs="Arial"/>
        </w:rPr>
        <w:t>la</w:t>
      </w:r>
      <w:r w:rsidR="009509DA" w:rsidRPr="00E06FC2">
        <w:rPr>
          <w:rFonts w:cs="Arial"/>
          <w:b/>
        </w:rPr>
        <w:t xml:space="preserve"> </w:t>
      </w:r>
      <w:r w:rsidRPr="00E06FC2">
        <w:rPr>
          <w:rFonts w:cs="Arial"/>
        </w:rPr>
        <w:t>UT General El</w:t>
      </w:r>
      <w:r w:rsidR="009509DA" w:rsidRPr="00E06FC2">
        <w:rPr>
          <w:rFonts w:cs="Arial"/>
        </w:rPr>
        <w:t>e</w:t>
      </w:r>
      <w:r w:rsidRPr="00E06FC2">
        <w:rPr>
          <w:rFonts w:cs="Arial"/>
        </w:rPr>
        <w:t>ctric – Electro Atlántico no presentó la mejor propuesta y, por tanto, no podía ser adjudicataria del contrato de concesión</w:t>
      </w:r>
      <w:r w:rsidRPr="00E06FC2">
        <w:rPr>
          <w:rStyle w:val="Refdenotaalpie"/>
          <w:rFonts w:cs="Arial"/>
        </w:rPr>
        <w:footnoteReference w:id="15"/>
      </w:r>
      <w:r w:rsidRPr="00E06FC2">
        <w:rPr>
          <w:rFonts w:cs="Arial"/>
        </w:rPr>
        <w:t>.</w:t>
      </w:r>
    </w:p>
    <w:p w14:paraId="026E6A18" w14:textId="77777777" w:rsidR="00CB7C91" w:rsidRPr="00E06FC2" w:rsidRDefault="00CB7C91" w:rsidP="00743788">
      <w:pPr>
        <w:pStyle w:val="Lista2"/>
        <w:ind w:left="0" w:firstLine="0"/>
        <w:rPr>
          <w:rFonts w:cs="Arial"/>
        </w:rPr>
      </w:pPr>
    </w:p>
    <w:p w14:paraId="60E8BCBC" w14:textId="77777777" w:rsidR="0005011E" w:rsidRPr="00E06FC2" w:rsidRDefault="00F47DFF" w:rsidP="00743788">
      <w:pPr>
        <w:pStyle w:val="Lista2"/>
        <w:ind w:left="0" w:firstLine="0"/>
        <w:rPr>
          <w:rFonts w:cs="Arial"/>
          <w:b/>
        </w:rPr>
      </w:pPr>
      <w:r w:rsidRPr="00E06FC2">
        <w:rPr>
          <w:rFonts w:cs="Arial"/>
          <w:b/>
        </w:rPr>
        <w:t>5</w:t>
      </w:r>
      <w:r w:rsidR="0005011E" w:rsidRPr="00E06FC2">
        <w:rPr>
          <w:rFonts w:cs="Arial"/>
          <w:b/>
        </w:rPr>
        <w:t>. La sentencia impugnada</w:t>
      </w:r>
    </w:p>
    <w:p w14:paraId="5B9D63F8" w14:textId="77777777" w:rsidR="0005011E" w:rsidRPr="00E06FC2" w:rsidRDefault="0005011E" w:rsidP="00743788">
      <w:pPr>
        <w:pStyle w:val="Lista2"/>
        <w:ind w:left="0" w:firstLine="0"/>
        <w:rPr>
          <w:rFonts w:cs="Arial"/>
          <w:b/>
        </w:rPr>
      </w:pPr>
    </w:p>
    <w:p w14:paraId="4011129C" w14:textId="77777777" w:rsidR="00244D8B" w:rsidRPr="00E06FC2" w:rsidRDefault="0005011E" w:rsidP="00743788">
      <w:pPr>
        <w:pStyle w:val="Lista2"/>
        <w:ind w:left="0" w:firstLine="0"/>
        <w:rPr>
          <w:rFonts w:cs="Arial"/>
        </w:rPr>
      </w:pPr>
      <w:r w:rsidRPr="00E06FC2">
        <w:rPr>
          <w:rFonts w:cs="Arial"/>
        </w:rPr>
        <w:t xml:space="preserve">En la sentencia de primera instancia, el Tribunal Administrativo del Valle del Cauca realizó la calificación de las propuestas con apoyo en su análisis de los criterios de evaluación del pliego de condiciones de la Licitación Pública 001 de 1997. </w:t>
      </w:r>
    </w:p>
    <w:p w14:paraId="6A03CBA0" w14:textId="77777777" w:rsidR="00244D8B" w:rsidRPr="00E06FC2" w:rsidRDefault="00244D8B" w:rsidP="00743788">
      <w:pPr>
        <w:pStyle w:val="Lista2"/>
        <w:ind w:left="0" w:firstLine="0"/>
        <w:rPr>
          <w:rFonts w:cs="Arial"/>
        </w:rPr>
      </w:pPr>
    </w:p>
    <w:p w14:paraId="2EA7BAFA" w14:textId="77777777" w:rsidR="00BB15C2" w:rsidRPr="00E06FC2" w:rsidRDefault="0005011E" w:rsidP="00743788">
      <w:pPr>
        <w:pStyle w:val="Lista2"/>
        <w:ind w:left="0" w:firstLine="0"/>
        <w:rPr>
          <w:rFonts w:cs="Arial"/>
        </w:rPr>
      </w:pPr>
      <w:r w:rsidRPr="00E06FC2">
        <w:rPr>
          <w:rFonts w:cs="Arial"/>
        </w:rPr>
        <w:t>Particularmente</w:t>
      </w:r>
      <w:r w:rsidR="009E28B2" w:rsidRPr="00E06FC2">
        <w:rPr>
          <w:rFonts w:cs="Arial"/>
        </w:rPr>
        <w:t>,</w:t>
      </w:r>
      <w:r w:rsidRPr="00E06FC2">
        <w:rPr>
          <w:rFonts w:cs="Arial"/>
        </w:rPr>
        <w:t xml:space="preserve"> se detuvo en las modificaciones que se introdujeron en el </w:t>
      </w:r>
      <w:r w:rsidR="000E362C" w:rsidRPr="00E06FC2">
        <w:rPr>
          <w:rFonts w:cs="Arial"/>
        </w:rPr>
        <w:t>a</w:t>
      </w:r>
      <w:r w:rsidRPr="00E06FC2">
        <w:rPr>
          <w:rFonts w:cs="Arial"/>
        </w:rPr>
        <w:t xml:space="preserve">dendo 3, </w:t>
      </w:r>
      <w:r w:rsidR="00CB0D65" w:rsidRPr="00E06FC2">
        <w:rPr>
          <w:rFonts w:cs="Arial"/>
        </w:rPr>
        <w:t>en relación con la posibilidad de presentar p</w:t>
      </w:r>
      <w:r w:rsidRPr="00E06FC2">
        <w:rPr>
          <w:rFonts w:cs="Arial"/>
        </w:rPr>
        <w:t xml:space="preserve">ropuestas alternativas. </w:t>
      </w:r>
    </w:p>
    <w:p w14:paraId="73BCDA57" w14:textId="77777777" w:rsidR="00BB15C2" w:rsidRPr="00E06FC2" w:rsidRDefault="00BB15C2" w:rsidP="00743788">
      <w:pPr>
        <w:pStyle w:val="Lista2"/>
        <w:ind w:left="0" w:firstLine="0"/>
        <w:rPr>
          <w:rFonts w:cs="Arial"/>
        </w:rPr>
      </w:pPr>
    </w:p>
    <w:p w14:paraId="2F112D6C" w14:textId="77777777" w:rsidR="00BB15C2" w:rsidRPr="00E06FC2" w:rsidRDefault="0005011E" w:rsidP="00743788">
      <w:pPr>
        <w:pStyle w:val="Lista2"/>
        <w:ind w:left="0" w:firstLine="0"/>
        <w:rPr>
          <w:rFonts w:cs="Arial"/>
        </w:rPr>
      </w:pPr>
      <w:r w:rsidRPr="00E06FC2">
        <w:rPr>
          <w:rFonts w:cs="Arial"/>
        </w:rPr>
        <w:t>En esa c</w:t>
      </w:r>
      <w:r w:rsidR="00244D8B" w:rsidRPr="00E06FC2">
        <w:rPr>
          <w:rFonts w:cs="Arial"/>
        </w:rPr>
        <w:t xml:space="preserve">onsideración </w:t>
      </w:r>
      <w:r w:rsidRPr="00E06FC2">
        <w:rPr>
          <w:rFonts w:cs="Arial"/>
        </w:rPr>
        <w:t xml:space="preserve">de </w:t>
      </w:r>
      <w:r w:rsidR="00244D8B" w:rsidRPr="00E06FC2">
        <w:rPr>
          <w:rFonts w:cs="Arial"/>
        </w:rPr>
        <w:t xml:space="preserve">las </w:t>
      </w:r>
      <w:r w:rsidRPr="00E06FC2">
        <w:rPr>
          <w:rFonts w:cs="Arial"/>
        </w:rPr>
        <w:t>propuestas</w:t>
      </w:r>
      <w:r w:rsidR="00244D8B" w:rsidRPr="00E06FC2">
        <w:rPr>
          <w:rFonts w:cs="Arial"/>
        </w:rPr>
        <w:t xml:space="preserve">, realizada </w:t>
      </w:r>
      <w:r w:rsidRPr="00E06FC2">
        <w:rPr>
          <w:rFonts w:cs="Arial"/>
        </w:rPr>
        <w:t>en sede judicial</w:t>
      </w:r>
      <w:r w:rsidR="00244D8B" w:rsidRPr="00E06FC2">
        <w:rPr>
          <w:rFonts w:cs="Arial"/>
        </w:rPr>
        <w:t>,</w:t>
      </w:r>
      <w:r w:rsidRPr="00E06FC2">
        <w:rPr>
          <w:rFonts w:cs="Arial"/>
        </w:rPr>
        <w:t xml:space="preserve"> el Tribunal </w:t>
      </w:r>
      <w:r w:rsidRPr="00E06FC2">
        <w:rPr>
          <w:rFonts w:cs="Arial"/>
          <w:i/>
        </w:rPr>
        <w:t>a quo</w:t>
      </w:r>
      <w:r w:rsidRPr="00E06FC2">
        <w:rPr>
          <w:rFonts w:cs="Arial"/>
        </w:rPr>
        <w:t xml:space="preserve">, interpretó el </w:t>
      </w:r>
      <w:r w:rsidR="000E362C" w:rsidRPr="00E06FC2">
        <w:rPr>
          <w:rFonts w:cs="Arial"/>
        </w:rPr>
        <w:t>a</w:t>
      </w:r>
      <w:r w:rsidRPr="00E06FC2">
        <w:rPr>
          <w:rFonts w:cs="Arial"/>
        </w:rPr>
        <w:t>dendo 3</w:t>
      </w:r>
      <w:r w:rsidR="00244D8B" w:rsidRPr="00E06FC2">
        <w:rPr>
          <w:rFonts w:cs="Arial"/>
        </w:rPr>
        <w:t xml:space="preserve"> y </w:t>
      </w:r>
      <w:r w:rsidR="00BB15C2" w:rsidRPr="00E06FC2">
        <w:rPr>
          <w:rFonts w:cs="Arial"/>
        </w:rPr>
        <w:t xml:space="preserve">se apartó de las calificaciones otorgadas por el </w:t>
      </w:r>
      <w:r w:rsidR="009E28B2" w:rsidRPr="00E06FC2">
        <w:rPr>
          <w:rFonts w:cs="Arial"/>
        </w:rPr>
        <w:t>c</w:t>
      </w:r>
      <w:r w:rsidR="00BB15C2" w:rsidRPr="00E06FC2">
        <w:rPr>
          <w:rFonts w:cs="Arial"/>
        </w:rPr>
        <w:t xml:space="preserve">omité de </w:t>
      </w:r>
      <w:r w:rsidR="009E28B2" w:rsidRPr="00E06FC2">
        <w:rPr>
          <w:rFonts w:cs="Arial"/>
        </w:rPr>
        <w:t>e</w:t>
      </w:r>
      <w:r w:rsidR="00BB15C2" w:rsidRPr="00E06FC2">
        <w:rPr>
          <w:rFonts w:cs="Arial"/>
        </w:rPr>
        <w:t xml:space="preserve">valuación </w:t>
      </w:r>
      <w:r w:rsidR="00CB0D65" w:rsidRPr="00E06FC2">
        <w:rPr>
          <w:rFonts w:cs="Arial"/>
        </w:rPr>
        <w:t xml:space="preserve">en los </w:t>
      </w:r>
      <w:r w:rsidR="00BB15C2" w:rsidRPr="00E06FC2">
        <w:rPr>
          <w:rFonts w:cs="Arial"/>
        </w:rPr>
        <w:t>componente</w:t>
      </w:r>
      <w:r w:rsidR="00CB0D65" w:rsidRPr="00E06FC2">
        <w:rPr>
          <w:rFonts w:cs="Arial"/>
        </w:rPr>
        <w:t>s</w:t>
      </w:r>
      <w:r w:rsidR="00BB15C2" w:rsidRPr="00E06FC2">
        <w:rPr>
          <w:rFonts w:cs="Arial"/>
        </w:rPr>
        <w:t xml:space="preserve"> de</w:t>
      </w:r>
      <w:r w:rsidR="00244D8B" w:rsidRPr="00E06FC2">
        <w:rPr>
          <w:rFonts w:cs="Arial"/>
        </w:rPr>
        <w:t xml:space="preserve">l </w:t>
      </w:r>
      <w:r w:rsidRPr="00E06FC2">
        <w:rPr>
          <w:rFonts w:cs="Arial"/>
        </w:rPr>
        <w:t xml:space="preserve">factor </w:t>
      </w:r>
      <w:r w:rsidR="00BB15C2" w:rsidRPr="00E06FC2">
        <w:rPr>
          <w:rFonts w:cs="Arial"/>
        </w:rPr>
        <w:t xml:space="preserve">de </w:t>
      </w:r>
      <w:r w:rsidR="00244D8B" w:rsidRPr="00E06FC2">
        <w:rPr>
          <w:rFonts w:cs="Arial"/>
        </w:rPr>
        <w:t xml:space="preserve">evaluación correspondiente a la denominada </w:t>
      </w:r>
      <w:r w:rsidRPr="00E06FC2">
        <w:rPr>
          <w:rFonts w:cs="Arial"/>
          <w:i/>
        </w:rPr>
        <w:t>Calidad de Bienes</w:t>
      </w:r>
      <w:r w:rsidRPr="00E06FC2">
        <w:rPr>
          <w:rFonts w:cs="Arial"/>
        </w:rPr>
        <w:t>.</w:t>
      </w:r>
      <w:r w:rsidR="00CB0D65" w:rsidRPr="00E06FC2">
        <w:rPr>
          <w:rFonts w:cs="Arial"/>
        </w:rPr>
        <w:t xml:space="preserve"> Como consecuencia,</w:t>
      </w:r>
      <w:r w:rsidR="00BB15C2" w:rsidRPr="00E06FC2">
        <w:rPr>
          <w:rFonts w:cs="Arial"/>
        </w:rPr>
        <w:t xml:space="preserve"> </w:t>
      </w:r>
      <w:r w:rsidRPr="00E06FC2">
        <w:rPr>
          <w:rFonts w:cs="Arial"/>
        </w:rPr>
        <w:t xml:space="preserve">concluyó que el municipio de Cartago violó el principio de selección objetiva </w:t>
      </w:r>
      <w:r w:rsidR="00BB15C2" w:rsidRPr="00E06FC2">
        <w:rPr>
          <w:rFonts w:cs="Arial"/>
        </w:rPr>
        <w:t xml:space="preserve">consagrado </w:t>
      </w:r>
      <w:r w:rsidRPr="00E06FC2">
        <w:rPr>
          <w:rFonts w:cs="Arial"/>
        </w:rPr>
        <w:t xml:space="preserve">en la </w:t>
      </w:r>
      <w:r w:rsidR="00BB15C2" w:rsidRPr="00E06FC2">
        <w:rPr>
          <w:rFonts w:cs="Arial"/>
        </w:rPr>
        <w:t>L</w:t>
      </w:r>
      <w:r w:rsidRPr="00E06FC2">
        <w:rPr>
          <w:rFonts w:cs="Arial"/>
        </w:rPr>
        <w:t>ey 80 de 1993</w:t>
      </w:r>
      <w:r w:rsidR="00BB15C2" w:rsidRPr="00E06FC2">
        <w:rPr>
          <w:rFonts w:cs="Arial"/>
        </w:rPr>
        <w:t xml:space="preserve">. </w:t>
      </w:r>
    </w:p>
    <w:p w14:paraId="41085EC7" w14:textId="77777777" w:rsidR="00BB15C2" w:rsidRPr="00E06FC2" w:rsidRDefault="00BB15C2" w:rsidP="00743788">
      <w:pPr>
        <w:pStyle w:val="Lista2"/>
        <w:ind w:left="0" w:firstLine="0"/>
        <w:rPr>
          <w:rFonts w:cs="Arial"/>
        </w:rPr>
      </w:pPr>
    </w:p>
    <w:p w14:paraId="7928CA43" w14:textId="77777777" w:rsidR="00CB0D65" w:rsidRPr="00E06FC2" w:rsidRDefault="008A1E63" w:rsidP="00743788">
      <w:pPr>
        <w:pStyle w:val="Lista2"/>
        <w:ind w:left="0" w:firstLine="0"/>
        <w:rPr>
          <w:rFonts w:cs="Arial"/>
        </w:rPr>
      </w:pPr>
      <w:r w:rsidRPr="00E06FC2">
        <w:rPr>
          <w:rFonts w:cs="Arial"/>
        </w:rPr>
        <w:t xml:space="preserve">En ese orden de ideas, </w:t>
      </w:r>
      <w:r w:rsidR="0005011E" w:rsidRPr="00E06FC2">
        <w:rPr>
          <w:rFonts w:cs="Arial"/>
        </w:rPr>
        <w:t xml:space="preserve">estableció que la propuesta de la </w:t>
      </w:r>
      <w:r w:rsidR="00BB15C2" w:rsidRPr="00E06FC2">
        <w:rPr>
          <w:rFonts w:cs="Arial"/>
        </w:rPr>
        <w:t xml:space="preserve">UT </w:t>
      </w:r>
      <w:r w:rsidR="00244D8B" w:rsidRPr="00E06FC2">
        <w:rPr>
          <w:rFonts w:cs="Arial"/>
        </w:rPr>
        <w:t>-</w:t>
      </w:r>
      <w:r w:rsidR="00BB15C2" w:rsidRPr="00E06FC2">
        <w:rPr>
          <w:rFonts w:cs="Arial"/>
        </w:rPr>
        <w:t xml:space="preserve">ahora </w:t>
      </w:r>
      <w:r w:rsidR="0005011E" w:rsidRPr="00E06FC2">
        <w:rPr>
          <w:rFonts w:cs="Arial"/>
        </w:rPr>
        <w:t>demandante</w:t>
      </w:r>
      <w:r w:rsidR="00244D8B" w:rsidRPr="00E06FC2">
        <w:rPr>
          <w:rFonts w:cs="Arial"/>
        </w:rPr>
        <w:t>-</w:t>
      </w:r>
      <w:r w:rsidR="0005011E" w:rsidRPr="00E06FC2">
        <w:rPr>
          <w:rFonts w:cs="Arial"/>
        </w:rPr>
        <w:t xml:space="preserve"> alcanzaba el puntaje más alto</w:t>
      </w:r>
      <w:r w:rsidR="00244D8B" w:rsidRPr="00E06FC2">
        <w:rPr>
          <w:rFonts w:cs="Arial"/>
        </w:rPr>
        <w:t xml:space="preserve">, </w:t>
      </w:r>
      <w:r w:rsidR="00CB0D65" w:rsidRPr="00E06FC2">
        <w:rPr>
          <w:rFonts w:cs="Arial"/>
        </w:rPr>
        <w:t>con 600 puntos sobre el total de 600 asignados al factor de calificación de calidad de bienes.</w:t>
      </w:r>
    </w:p>
    <w:p w14:paraId="2CE4619B" w14:textId="77777777" w:rsidR="0005011E" w:rsidRPr="00E06FC2" w:rsidRDefault="0005011E" w:rsidP="00743788">
      <w:pPr>
        <w:pStyle w:val="Lista2"/>
        <w:ind w:left="0" w:firstLine="0"/>
        <w:rPr>
          <w:rFonts w:cs="Arial"/>
        </w:rPr>
      </w:pPr>
    </w:p>
    <w:p w14:paraId="50813520" w14:textId="77777777" w:rsidR="00CB7C91" w:rsidRPr="00E06FC2" w:rsidRDefault="0005011E" w:rsidP="00743788">
      <w:pPr>
        <w:pStyle w:val="Lista2"/>
        <w:ind w:left="0" w:firstLine="0"/>
        <w:rPr>
          <w:rFonts w:cs="Arial"/>
        </w:rPr>
      </w:pPr>
      <w:r w:rsidRPr="00E06FC2">
        <w:rPr>
          <w:rFonts w:cs="Arial"/>
        </w:rPr>
        <w:t xml:space="preserve">Para fundar su evaluación de las propuestas el Tribunal </w:t>
      </w:r>
      <w:r w:rsidRPr="00E06FC2">
        <w:rPr>
          <w:rFonts w:cs="Arial"/>
          <w:i/>
        </w:rPr>
        <w:t>a quo</w:t>
      </w:r>
      <w:r w:rsidRPr="00E06FC2">
        <w:rPr>
          <w:rFonts w:cs="Arial"/>
        </w:rPr>
        <w:t xml:space="preserve"> interpretó que el </w:t>
      </w:r>
      <w:r w:rsidR="000E362C" w:rsidRPr="00E06FC2">
        <w:rPr>
          <w:rFonts w:cs="Arial"/>
        </w:rPr>
        <w:t>a</w:t>
      </w:r>
      <w:r w:rsidRPr="00E06FC2">
        <w:rPr>
          <w:rFonts w:cs="Arial"/>
        </w:rPr>
        <w:t>dendo 3 solo permitía propuestas alternativas para a</w:t>
      </w:r>
      <w:r w:rsidR="00CB0D65" w:rsidRPr="00E06FC2">
        <w:rPr>
          <w:rFonts w:cs="Arial"/>
        </w:rPr>
        <w:t xml:space="preserve">quellos </w:t>
      </w:r>
      <w:r w:rsidRPr="00E06FC2">
        <w:rPr>
          <w:rFonts w:cs="Arial"/>
        </w:rPr>
        <w:t xml:space="preserve">elementos técnicos </w:t>
      </w:r>
      <w:r w:rsidR="00CB0D65" w:rsidRPr="00E06FC2">
        <w:rPr>
          <w:rFonts w:cs="Arial"/>
        </w:rPr>
        <w:t xml:space="preserve">que fueron </w:t>
      </w:r>
      <w:r w:rsidRPr="00E06FC2">
        <w:rPr>
          <w:rFonts w:cs="Arial"/>
        </w:rPr>
        <w:t xml:space="preserve">específicamente </w:t>
      </w:r>
      <w:r w:rsidR="00BB15C2" w:rsidRPr="00E06FC2">
        <w:rPr>
          <w:rFonts w:cs="Arial"/>
        </w:rPr>
        <w:t xml:space="preserve">citados </w:t>
      </w:r>
      <w:r w:rsidRPr="00E06FC2">
        <w:rPr>
          <w:rFonts w:cs="Arial"/>
        </w:rPr>
        <w:t xml:space="preserve">en el </w:t>
      </w:r>
      <w:r w:rsidR="000C239A" w:rsidRPr="00E06FC2">
        <w:rPr>
          <w:rFonts w:cs="Arial"/>
        </w:rPr>
        <w:t>mismo</w:t>
      </w:r>
      <w:r w:rsidRPr="00E06FC2">
        <w:rPr>
          <w:rFonts w:cs="Arial"/>
        </w:rPr>
        <w:t xml:space="preserve"> adendo y que</w:t>
      </w:r>
      <w:r w:rsidR="006D6CEA" w:rsidRPr="00E06FC2">
        <w:rPr>
          <w:rFonts w:cs="Arial"/>
        </w:rPr>
        <w:t>, por ello,</w:t>
      </w:r>
      <w:r w:rsidRPr="00E06FC2">
        <w:rPr>
          <w:rFonts w:cs="Arial"/>
        </w:rPr>
        <w:t xml:space="preserve"> </w:t>
      </w:r>
      <w:r w:rsidR="00CB0D65" w:rsidRPr="00E06FC2">
        <w:rPr>
          <w:rFonts w:cs="Arial"/>
        </w:rPr>
        <w:t xml:space="preserve">únicamente </w:t>
      </w:r>
      <w:r w:rsidRPr="00E06FC2">
        <w:rPr>
          <w:rFonts w:cs="Arial"/>
        </w:rPr>
        <w:t xml:space="preserve">respecto de </w:t>
      </w:r>
      <w:r w:rsidR="006D6CEA" w:rsidRPr="00E06FC2">
        <w:rPr>
          <w:rFonts w:cs="Arial"/>
        </w:rPr>
        <w:t>esos componentes</w:t>
      </w:r>
      <w:r w:rsidRPr="00E06FC2">
        <w:rPr>
          <w:rFonts w:cs="Arial"/>
        </w:rPr>
        <w:t xml:space="preserve"> era </w:t>
      </w:r>
      <w:r w:rsidR="005B3FAA" w:rsidRPr="00E06FC2">
        <w:rPr>
          <w:rFonts w:cs="Arial"/>
        </w:rPr>
        <w:t>exigible y permitida</w:t>
      </w:r>
      <w:r w:rsidRPr="00E06FC2">
        <w:rPr>
          <w:rFonts w:cs="Arial"/>
        </w:rPr>
        <w:t xml:space="preserve"> la certificación del CIDET y la de cumplimiento de la norma técnica ISO-9004</w:t>
      </w:r>
      <w:r w:rsidR="00244D8B" w:rsidRPr="00E06FC2">
        <w:rPr>
          <w:rFonts w:cs="Arial"/>
        </w:rPr>
        <w:t>.</w:t>
      </w:r>
      <w:r w:rsidR="00BB15C2" w:rsidRPr="00E06FC2">
        <w:rPr>
          <w:rFonts w:cs="Arial"/>
        </w:rPr>
        <w:t xml:space="preserve"> </w:t>
      </w:r>
    </w:p>
    <w:p w14:paraId="07DFE0D9" w14:textId="77777777" w:rsidR="00CB7C91" w:rsidRPr="00E06FC2" w:rsidRDefault="00CB7C91" w:rsidP="00743788">
      <w:pPr>
        <w:pStyle w:val="Lista2"/>
        <w:ind w:left="0" w:firstLine="0"/>
        <w:rPr>
          <w:rFonts w:cs="Arial"/>
        </w:rPr>
      </w:pPr>
    </w:p>
    <w:p w14:paraId="32C19E9A" w14:textId="77777777" w:rsidR="0005011E" w:rsidRPr="00E06FC2" w:rsidRDefault="0005011E" w:rsidP="00743788">
      <w:pPr>
        <w:pStyle w:val="Lista2"/>
        <w:ind w:left="0" w:firstLine="0"/>
        <w:rPr>
          <w:rFonts w:cs="Arial"/>
        </w:rPr>
      </w:pPr>
      <w:r w:rsidRPr="00E06FC2">
        <w:rPr>
          <w:rFonts w:cs="Arial"/>
        </w:rPr>
        <w:t xml:space="preserve">El Tribunal </w:t>
      </w:r>
      <w:r w:rsidRPr="00E06FC2">
        <w:rPr>
          <w:rFonts w:cs="Arial"/>
          <w:i/>
        </w:rPr>
        <w:t>a quo</w:t>
      </w:r>
      <w:r w:rsidRPr="00E06FC2">
        <w:rPr>
          <w:rFonts w:cs="Arial"/>
        </w:rPr>
        <w:t xml:space="preserve"> consideró lo siguiente:</w:t>
      </w:r>
    </w:p>
    <w:p w14:paraId="48EE5582" w14:textId="77777777" w:rsidR="0005011E" w:rsidRPr="00E06FC2" w:rsidRDefault="0005011E" w:rsidP="00743788">
      <w:pPr>
        <w:pStyle w:val="Lista2"/>
        <w:ind w:left="0" w:firstLine="0"/>
        <w:rPr>
          <w:rFonts w:cs="Arial"/>
          <w:b/>
        </w:rPr>
      </w:pPr>
    </w:p>
    <w:p w14:paraId="7A5334B7" w14:textId="77777777" w:rsidR="0005011E" w:rsidRPr="00E06FC2" w:rsidRDefault="0005011E" w:rsidP="00743788">
      <w:pPr>
        <w:pStyle w:val="Lista2"/>
        <w:spacing w:line="276" w:lineRule="auto"/>
        <w:ind w:left="567" w:right="567" w:firstLine="0"/>
        <w:rPr>
          <w:rFonts w:cs="Arial"/>
          <w:i/>
        </w:rPr>
      </w:pPr>
      <w:r w:rsidRPr="00E06FC2">
        <w:rPr>
          <w:rFonts w:cs="Arial"/>
          <w:i/>
        </w:rPr>
        <w:t>“Que de los elementos técnicos específicos que contiene el pliego de condiciones y a los cuales se les asigna puntaje se podían presentar propuestas alternativas para Bombillas, arrancadores, balastos y fotoceldas. En relación con condensadores, soportes, cables, fotocontroles y transformadores en el Pliego de Condiciones no se hace referencia alguna a ellos en el título de especificaciones técnicas (…)</w:t>
      </w:r>
      <w:r w:rsidRPr="00E06FC2">
        <w:rPr>
          <w:rStyle w:val="Refdenotaalpie"/>
          <w:rFonts w:cs="Arial"/>
          <w:i/>
        </w:rPr>
        <w:footnoteReference w:id="16"/>
      </w:r>
      <w:r w:rsidRPr="00E06FC2">
        <w:rPr>
          <w:rFonts w:cs="Arial"/>
          <w:i/>
        </w:rPr>
        <w:t>.</w:t>
      </w:r>
    </w:p>
    <w:p w14:paraId="651A3E2C" w14:textId="77777777" w:rsidR="0005011E" w:rsidRPr="00E06FC2" w:rsidRDefault="0005011E" w:rsidP="00743788">
      <w:pPr>
        <w:pStyle w:val="Lista2"/>
        <w:spacing w:line="276" w:lineRule="auto"/>
        <w:ind w:left="567" w:right="567" w:firstLine="0"/>
        <w:rPr>
          <w:rFonts w:cs="Arial"/>
          <w:i/>
        </w:rPr>
      </w:pPr>
    </w:p>
    <w:p w14:paraId="3AD01B31" w14:textId="77777777" w:rsidR="0005011E" w:rsidRPr="00E06FC2" w:rsidRDefault="0005011E" w:rsidP="00743788">
      <w:pPr>
        <w:pStyle w:val="Lista2"/>
        <w:spacing w:line="276" w:lineRule="auto"/>
        <w:ind w:left="567" w:right="567" w:firstLine="0"/>
        <w:rPr>
          <w:rFonts w:cs="Arial"/>
        </w:rPr>
      </w:pPr>
      <w:r w:rsidRPr="00E06FC2">
        <w:rPr>
          <w:rFonts w:cs="Arial"/>
          <w:i/>
        </w:rPr>
        <w:t>“Ello quiere decir que en cuanto a CARCAZA, REFLECTOR, HERMETICIDAD, REFRACTOR, TORNILLOS Y ACCESORIOS, PINTURA, CONEXIONES Y CAPACITOR, debían presentarse las propuestas conforme el Pliego de Condiciones inicial, pues en el Adendo 3 no se dio la posibilidad de presentar propuestas técnicas alternativas”</w:t>
      </w:r>
      <w:r w:rsidRPr="00E06FC2">
        <w:rPr>
          <w:rStyle w:val="Refdenotaalpie"/>
          <w:rFonts w:cs="Arial"/>
          <w:i/>
        </w:rPr>
        <w:footnoteReference w:id="17"/>
      </w:r>
      <w:r w:rsidRPr="00E06FC2">
        <w:rPr>
          <w:rFonts w:cs="Arial"/>
          <w:i/>
        </w:rPr>
        <w:t xml:space="preserve"> </w:t>
      </w:r>
      <w:r w:rsidRPr="00E06FC2">
        <w:rPr>
          <w:rFonts w:cs="Arial"/>
        </w:rPr>
        <w:t xml:space="preserve">[sobre esos </w:t>
      </w:r>
      <w:r w:rsidR="006D6CEA" w:rsidRPr="00E06FC2">
        <w:rPr>
          <w:rFonts w:cs="Arial"/>
        </w:rPr>
        <w:t xml:space="preserve">artículos o </w:t>
      </w:r>
      <w:r w:rsidR="00FC412F" w:rsidRPr="00E06FC2">
        <w:rPr>
          <w:rFonts w:cs="Arial"/>
        </w:rPr>
        <w:t>componentes</w:t>
      </w:r>
      <w:r w:rsidRPr="00E06FC2">
        <w:rPr>
          <w:rFonts w:cs="Arial"/>
        </w:rPr>
        <w:t>].</w:t>
      </w:r>
    </w:p>
    <w:p w14:paraId="5CAFEE48" w14:textId="77777777" w:rsidR="0005011E" w:rsidRPr="00E06FC2" w:rsidRDefault="0005011E" w:rsidP="00743788">
      <w:pPr>
        <w:pStyle w:val="Lista2"/>
        <w:spacing w:line="276" w:lineRule="auto"/>
        <w:ind w:left="567" w:right="567" w:firstLine="0"/>
        <w:rPr>
          <w:rFonts w:cs="Arial"/>
        </w:rPr>
      </w:pPr>
    </w:p>
    <w:p w14:paraId="645524EF" w14:textId="77777777" w:rsidR="0005011E" w:rsidRPr="00E06FC2" w:rsidRDefault="0005011E" w:rsidP="00743788">
      <w:pPr>
        <w:pStyle w:val="Lista2"/>
        <w:spacing w:line="276" w:lineRule="auto"/>
        <w:ind w:left="567" w:right="567" w:firstLine="0"/>
        <w:rPr>
          <w:rFonts w:cs="Arial"/>
          <w:i/>
        </w:rPr>
      </w:pPr>
      <w:r w:rsidRPr="00E06FC2">
        <w:rPr>
          <w:rFonts w:cs="Arial"/>
          <w:i/>
        </w:rPr>
        <w:t>“(…)</w:t>
      </w:r>
      <w:r w:rsidR="00FC412F" w:rsidRPr="00E06FC2">
        <w:rPr>
          <w:rFonts w:cs="Arial"/>
          <w:i/>
        </w:rPr>
        <w:t>.</w:t>
      </w:r>
    </w:p>
    <w:p w14:paraId="3176CA6E" w14:textId="77777777" w:rsidR="0005011E" w:rsidRPr="00E06FC2" w:rsidRDefault="0005011E" w:rsidP="00743788">
      <w:pPr>
        <w:pStyle w:val="Lista2"/>
        <w:spacing w:line="276" w:lineRule="auto"/>
        <w:ind w:left="567" w:right="567" w:firstLine="0"/>
        <w:rPr>
          <w:rFonts w:cs="Arial"/>
          <w:i/>
        </w:rPr>
      </w:pPr>
    </w:p>
    <w:p w14:paraId="35409D20" w14:textId="77777777" w:rsidR="0005011E" w:rsidRPr="00E06FC2" w:rsidRDefault="0005011E" w:rsidP="00743788">
      <w:pPr>
        <w:pStyle w:val="Lista2"/>
        <w:spacing w:line="276" w:lineRule="auto"/>
        <w:ind w:left="567" w:right="567" w:firstLine="0"/>
        <w:rPr>
          <w:rFonts w:cs="Arial"/>
          <w:i/>
        </w:rPr>
      </w:pPr>
      <w:r w:rsidRPr="00E06FC2">
        <w:rPr>
          <w:rFonts w:cs="Arial"/>
          <w:i/>
        </w:rPr>
        <w:t>La Sala acepta que se podían presentar propuestas técnicas alternativas sin que fuese condición para ello presentar propuesta básica, pero s</w:t>
      </w:r>
      <w:r w:rsidR="00244D8B" w:rsidRPr="00E06FC2">
        <w:rPr>
          <w:rFonts w:cs="Arial"/>
          <w:i/>
        </w:rPr>
        <w:t>e</w:t>
      </w:r>
      <w:r w:rsidRPr="00E06FC2">
        <w:rPr>
          <w:rFonts w:cs="Arial"/>
          <w:i/>
        </w:rPr>
        <w:t xml:space="preserve"> precisa que si la oferta se iba a presentar </w:t>
      </w:r>
      <w:r w:rsidR="00244D8B" w:rsidRPr="00E06FC2">
        <w:rPr>
          <w:rFonts w:cs="Arial"/>
          <w:i/>
        </w:rPr>
        <w:t xml:space="preserve">[con] </w:t>
      </w:r>
      <w:r w:rsidRPr="00E06FC2">
        <w:rPr>
          <w:rFonts w:cs="Arial"/>
          <w:i/>
        </w:rPr>
        <w:t>bienes alternativos a los inicialmente indicados en el Pliego de Condiciones, se debía cumplir con las exigencias contenidas en el Adendo 3</w:t>
      </w:r>
      <w:r w:rsidR="00244D8B" w:rsidRPr="00E06FC2">
        <w:rPr>
          <w:rFonts w:cs="Arial"/>
          <w:i/>
        </w:rPr>
        <w:t>,</w:t>
      </w:r>
      <w:r w:rsidRPr="00E06FC2">
        <w:rPr>
          <w:rFonts w:cs="Arial"/>
          <w:i/>
        </w:rPr>
        <w:t xml:space="preserve"> esto es</w:t>
      </w:r>
      <w:r w:rsidR="00244D8B" w:rsidRPr="00E06FC2">
        <w:rPr>
          <w:rFonts w:cs="Arial"/>
          <w:i/>
        </w:rPr>
        <w:t>,</w:t>
      </w:r>
      <w:r w:rsidRPr="00E06FC2">
        <w:rPr>
          <w:rFonts w:cs="Arial"/>
          <w:i/>
        </w:rPr>
        <w:t xml:space="preserve"> reunir las especificaciones técnicas previstas por el Centro de Investigaciones y Desarrollo Tecnológico CIDET y cumplir en cuanto a calidad con la norma ICONTEC NTC-ISO-9004-1; es claro de la lectura del texto del Adendo 3 que estos requisitos solo se podían exigir de las propuestas alternativas. Por otra parte, si el oferente optaba por presentar su propuesta conforme al Pliego de Condiciones sin las modificaciones efectuadas en el </w:t>
      </w:r>
      <w:r w:rsidR="00244D8B" w:rsidRPr="00E06FC2">
        <w:rPr>
          <w:rFonts w:cs="Arial"/>
          <w:i/>
        </w:rPr>
        <w:t>a</w:t>
      </w:r>
      <w:r w:rsidRPr="00E06FC2">
        <w:rPr>
          <w:rFonts w:cs="Arial"/>
          <w:i/>
        </w:rPr>
        <w:t>dendo 3, no se podía requerir ho</w:t>
      </w:r>
      <w:r w:rsidR="00FC412F" w:rsidRPr="00E06FC2">
        <w:rPr>
          <w:rFonts w:cs="Arial"/>
          <w:i/>
        </w:rPr>
        <w:t>m</w:t>
      </w:r>
      <w:r w:rsidRPr="00E06FC2">
        <w:rPr>
          <w:rFonts w:cs="Arial"/>
          <w:i/>
        </w:rPr>
        <w:t>ologación según documento CIDET ni ICONTEC NTC-ISO-9004-1, pues solo se exigía en el Pliego de Condiciones inicial ICONTEC 9001 y para los balastos homologación de la Empresa de Energía Eléctrica de Bogotá (EE</w:t>
      </w:r>
      <w:r w:rsidR="00CB0D65" w:rsidRPr="00E06FC2">
        <w:rPr>
          <w:rFonts w:cs="Arial"/>
          <w:i/>
        </w:rPr>
        <w:t>E</w:t>
      </w:r>
      <w:r w:rsidRPr="00E06FC2">
        <w:rPr>
          <w:rFonts w:cs="Arial"/>
          <w:i/>
        </w:rPr>
        <w:t>B.) requisitos estos que cumplió cabalmente la propuesta presentada por la UT de la que hacía parte Electro Atlántico, como claramente quedó establecido con antelación”.</w:t>
      </w:r>
      <w:r w:rsidRPr="00E06FC2">
        <w:rPr>
          <w:rStyle w:val="Refdenotaalpie"/>
          <w:rFonts w:cs="Arial"/>
          <w:i/>
        </w:rPr>
        <w:footnoteReference w:id="18"/>
      </w:r>
    </w:p>
    <w:p w14:paraId="0AD8B330" w14:textId="77777777" w:rsidR="0005011E" w:rsidRPr="00E06FC2" w:rsidRDefault="0005011E" w:rsidP="00743788">
      <w:pPr>
        <w:pStyle w:val="Lista2"/>
        <w:spacing w:line="276" w:lineRule="auto"/>
        <w:ind w:left="567" w:right="567" w:firstLine="0"/>
        <w:rPr>
          <w:rFonts w:cs="Arial"/>
          <w:i/>
        </w:rPr>
      </w:pPr>
    </w:p>
    <w:p w14:paraId="365EF4C1" w14:textId="77777777" w:rsidR="0005011E" w:rsidRPr="00E06FC2" w:rsidRDefault="0005011E" w:rsidP="00743788">
      <w:pPr>
        <w:pStyle w:val="Lista2"/>
        <w:spacing w:line="276" w:lineRule="auto"/>
        <w:ind w:left="567" w:right="567" w:firstLine="0"/>
        <w:rPr>
          <w:rFonts w:cs="Arial"/>
          <w:i/>
        </w:rPr>
      </w:pPr>
      <w:r w:rsidRPr="00E06FC2">
        <w:rPr>
          <w:rFonts w:cs="Arial"/>
          <w:i/>
        </w:rPr>
        <w:t>“(…)</w:t>
      </w:r>
      <w:r w:rsidR="00CB0D65" w:rsidRPr="00E06FC2">
        <w:rPr>
          <w:rFonts w:cs="Arial"/>
          <w:i/>
        </w:rPr>
        <w:t>.</w:t>
      </w:r>
    </w:p>
    <w:p w14:paraId="73E0726B" w14:textId="77777777" w:rsidR="0005011E" w:rsidRPr="00E06FC2" w:rsidRDefault="0005011E" w:rsidP="00743788">
      <w:pPr>
        <w:pStyle w:val="Lista2"/>
        <w:spacing w:line="276" w:lineRule="auto"/>
        <w:ind w:left="567" w:right="567" w:firstLine="0"/>
        <w:rPr>
          <w:rFonts w:cs="Arial"/>
          <w:i/>
        </w:rPr>
      </w:pPr>
    </w:p>
    <w:p w14:paraId="049258B4" w14:textId="77777777" w:rsidR="0005011E" w:rsidRPr="00E06FC2" w:rsidRDefault="0005011E" w:rsidP="00743788">
      <w:pPr>
        <w:pStyle w:val="Lista2"/>
        <w:spacing w:line="276" w:lineRule="auto"/>
        <w:ind w:left="567" w:right="567" w:firstLine="0"/>
        <w:rPr>
          <w:rFonts w:cs="Arial"/>
          <w:i/>
        </w:rPr>
      </w:pPr>
      <w:r w:rsidRPr="00E06FC2">
        <w:rPr>
          <w:rFonts w:cs="Arial"/>
          <w:i/>
        </w:rPr>
        <w:t xml:space="preserve">“Por todo lo expuesto con antelación, considera esta Corporación que la evaluación de las propuestas se hizo de manera incorrecta, pues no se </w:t>
      </w:r>
      <w:r w:rsidRPr="00E06FC2">
        <w:rPr>
          <w:rFonts w:cs="Arial"/>
          <w:i/>
        </w:rPr>
        <w:lastRenderedPageBreak/>
        <w:t>ciñó completamente a lo que el Pliego de Condiciones y el Adendo No. 3 estableció</w:t>
      </w:r>
      <w:r w:rsidR="00FC412F" w:rsidRPr="00E06FC2">
        <w:rPr>
          <w:rFonts w:cs="Arial"/>
          <w:i/>
        </w:rPr>
        <w:t xml:space="preserve"> </w:t>
      </w:r>
      <w:r w:rsidR="00FC412F" w:rsidRPr="00E06FC2">
        <w:rPr>
          <w:rFonts w:cs="Arial"/>
        </w:rPr>
        <w:t>[establecieron]</w:t>
      </w:r>
      <w:r w:rsidRPr="00E06FC2">
        <w:rPr>
          <w:rFonts w:cs="Arial"/>
          <w:i/>
        </w:rPr>
        <w:t>, toda vez que a la propuesta de GEICO-ELECTRO</w:t>
      </w:r>
      <w:r w:rsidR="00FC412F" w:rsidRPr="00E06FC2">
        <w:rPr>
          <w:rFonts w:cs="Arial"/>
          <w:i/>
        </w:rPr>
        <w:t xml:space="preserve"> </w:t>
      </w:r>
      <w:r w:rsidRPr="00E06FC2">
        <w:rPr>
          <w:rFonts w:cs="Arial"/>
          <w:i/>
        </w:rPr>
        <w:t>ATLÁNTICO LTDA se [le] exigieron requisitos que solo aplicaban según el Adendo No. 3 a las propuestas técnicas alternativas y por su parte a la UT Diselecsa Ltda – Montajes Eléctricos Ltda., por un lado se le permitió presentar propuesta alternativa para elementos sobre los cuales no se admitían dichas propuestas y por otro lado no se exigió</w:t>
      </w:r>
      <w:r w:rsidR="00FC412F" w:rsidRPr="00E06FC2">
        <w:rPr>
          <w:rFonts w:cs="Arial"/>
          <w:i/>
        </w:rPr>
        <w:t xml:space="preserve"> </w:t>
      </w:r>
      <w:r w:rsidR="00FC412F" w:rsidRPr="00E06FC2">
        <w:rPr>
          <w:rFonts w:cs="Arial"/>
        </w:rPr>
        <w:t>[</w:t>
      </w:r>
      <w:r w:rsidR="00847ABD" w:rsidRPr="00E06FC2">
        <w:rPr>
          <w:rFonts w:cs="Arial"/>
        </w:rPr>
        <w:t xml:space="preserve">se le </w:t>
      </w:r>
      <w:r w:rsidR="00FC412F" w:rsidRPr="00E06FC2">
        <w:rPr>
          <w:rFonts w:cs="Arial"/>
        </w:rPr>
        <w:t>exigieron]</w:t>
      </w:r>
      <w:r w:rsidR="00FC412F" w:rsidRPr="00E06FC2">
        <w:rPr>
          <w:rFonts w:cs="Arial"/>
          <w:i/>
        </w:rPr>
        <w:t xml:space="preserve"> </w:t>
      </w:r>
      <w:r w:rsidRPr="00E06FC2">
        <w:rPr>
          <w:rFonts w:cs="Arial"/>
          <w:i/>
        </w:rPr>
        <w:t>requisitos en cuanto a homologación CIDET e ICONTEC NTC-ISO 9004 frente a las bombillas”</w:t>
      </w:r>
      <w:r w:rsidRPr="00E06FC2">
        <w:rPr>
          <w:rStyle w:val="Refdenotaalpie"/>
          <w:rFonts w:cs="Arial"/>
          <w:i/>
        </w:rPr>
        <w:footnoteReference w:id="19"/>
      </w:r>
      <w:r w:rsidRPr="00E06FC2">
        <w:rPr>
          <w:rFonts w:cs="Arial"/>
          <w:i/>
        </w:rPr>
        <w:t>.</w:t>
      </w:r>
    </w:p>
    <w:p w14:paraId="7D619F2B" w14:textId="77777777" w:rsidR="0005011E" w:rsidRPr="00E06FC2" w:rsidRDefault="0005011E" w:rsidP="00743788">
      <w:pPr>
        <w:pStyle w:val="Lista2"/>
        <w:spacing w:line="276" w:lineRule="auto"/>
        <w:ind w:left="567" w:right="567" w:firstLine="0"/>
        <w:rPr>
          <w:rFonts w:cs="Arial"/>
          <w:i/>
        </w:rPr>
      </w:pPr>
    </w:p>
    <w:p w14:paraId="25243427" w14:textId="77777777" w:rsidR="00BD3950" w:rsidRPr="00E06FC2" w:rsidRDefault="00BD3950" w:rsidP="00743788">
      <w:pPr>
        <w:pStyle w:val="Lista2"/>
        <w:ind w:left="0" w:firstLine="0"/>
        <w:rPr>
          <w:rFonts w:cs="Arial"/>
        </w:rPr>
      </w:pPr>
      <w:r w:rsidRPr="00E06FC2">
        <w:rPr>
          <w:rFonts w:cs="Arial"/>
        </w:rPr>
        <w:t>Como consecuencia, el Tribunal Administrativo del Valle del Cauca accedió a declarar la nulidad del acto de adjudicación del contrato de concesión e impuso una condena al municipio de Cartago, por la suma de $9</w:t>
      </w:r>
      <w:r w:rsidR="00D92581" w:rsidRPr="00E06FC2">
        <w:rPr>
          <w:rFonts w:cs="Arial"/>
        </w:rPr>
        <w:t>6</w:t>
      </w:r>
      <w:r w:rsidRPr="00E06FC2">
        <w:rPr>
          <w:rFonts w:cs="Arial"/>
        </w:rPr>
        <w:t>8’528.972,4</w:t>
      </w:r>
      <w:r w:rsidR="00D92581" w:rsidRPr="00E06FC2">
        <w:rPr>
          <w:rStyle w:val="Refdenotaalpie"/>
          <w:rFonts w:cs="Arial"/>
        </w:rPr>
        <w:footnoteReference w:id="20"/>
      </w:r>
      <w:r w:rsidRPr="00E06FC2">
        <w:rPr>
          <w:rFonts w:cs="Arial"/>
        </w:rPr>
        <w:t>.</w:t>
      </w:r>
    </w:p>
    <w:p w14:paraId="78F175A3" w14:textId="77777777" w:rsidR="00BD3950" w:rsidRPr="00E06FC2" w:rsidRDefault="00BD3950" w:rsidP="00743788">
      <w:pPr>
        <w:pStyle w:val="Lista2"/>
        <w:ind w:left="0" w:firstLine="0"/>
        <w:rPr>
          <w:rFonts w:cs="Arial"/>
          <w:lang w:val="es-MX"/>
        </w:rPr>
      </w:pPr>
    </w:p>
    <w:p w14:paraId="623AD444" w14:textId="77777777" w:rsidR="0005011E" w:rsidRPr="00E06FC2" w:rsidRDefault="00F47DFF" w:rsidP="00743788">
      <w:pPr>
        <w:pStyle w:val="Lista2"/>
        <w:ind w:left="0" w:firstLine="0"/>
        <w:rPr>
          <w:rFonts w:cs="Arial"/>
          <w:b/>
          <w:lang w:val="es-MX"/>
        </w:rPr>
      </w:pPr>
      <w:r w:rsidRPr="00E06FC2">
        <w:rPr>
          <w:rFonts w:cs="Arial"/>
          <w:b/>
          <w:lang w:val="es-MX"/>
        </w:rPr>
        <w:t>6.</w:t>
      </w:r>
      <w:r w:rsidR="0005011E" w:rsidRPr="00E06FC2">
        <w:rPr>
          <w:rFonts w:cs="Arial"/>
          <w:b/>
          <w:lang w:val="es-MX"/>
        </w:rPr>
        <w:t xml:space="preserve"> Los recursos de apelación </w:t>
      </w:r>
    </w:p>
    <w:p w14:paraId="05EE1DD5" w14:textId="77777777" w:rsidR="00962058" w:rsidRPr="00E06FC2" w:rsidRDefault="00962058" w:rsidP="00743788">
      <w:pPr>
        <w:rPr>
          <w:rFonts w:cs="Arial"/>
          <w:bCs/>
          <w:lang w:val="es-MX"/>
        </w:rPr>
      </w:pPr>
    </w:p>
    <w:p w14:paraId="1AFB21CA" w14:textId="77777777" w:rsidR="00962058" w:rsidRPr="00E06FC2" w:rsidRDefault="00962058" w:rsidP="00743788">
      <w:pPr>
        <w:rPr>
          <w:rFonts w:cs="Arial"/>
          <w:bCs/>
          <w:lang w:val="es-MX"/>
        </w:rPr>
      </w:pPr>
      <w:r w:rsidRPr="00E06FC2">
        <w:rPr>
          <w:rFonts w:cs="Arial"/>
          <w:bCs/>
          <w:lang w:val="es-MX"/>
        </w:rPr>
        <w:t xml:space="preserve">Mediante escritos presentados el 10 de noviembre de 2009, </w:t>
      </w:r>
      <w:r w:rsidR="009E28B2" w:rsidRPr="00E06FC2">
        <w:rPr>
          <w:rFonts w:cs="Arial"/>
          <w:bCs/>
          <w:lang w:val="es-MX"/>
        </w:rPr>
        <w:t xml:space="preserve">cada una de </w:t>
      </w:r>
      <w:r w:rsidRPr="00E06FC2">
        <w:rPr>
          <w:rFonts w:cs="Arial"/>
          <w:bCs/>
          <w:lang w:val="es-MX"/>
        </w:rPr>
        <w:t>las partes intervinientes en el proceso interpus</w:t>
      </w:r>
      <w:r w:rsidR="00C15F1A" w:rsidRPr="00E06FC2">
        <w:rPr>
          <w:rFonts w:cs="Arial"/>
          <w:bCs/>
          <w:lang w:val="es-MX"/>
        </w:rPr>
        <w:t>o</w:t>
      </w:r>
      <w:r w:rsidRPr="00E06FC2">
        <w:rPr>
          <w:rFonts w:cs="Arial"/>
          <w:bCs/>
          <w:lang w:val="es-MX"/>
        </w:rPr>
        <w:t xml:space="preserve"> </w:t>
      </w:r>
      <w:r w:rsidR="00C15F1A" w:rsidRPr="00E06FC2">
        <w:rPr>
          <w:rFonts w:cs="Arial"/>
          <w:bCs/>
          <w:lang w:val="es-MX"/>
        </w:rPr>
        <w:t xml:space="preserve">un </w:t>
      </w:r>
      <w:r w:rsidRPr="00E06FC2">
        <w:rPr>
          <w:rFonts w:cs="Arial"/>
          <w:bCs/>
          <w:lang w:val="es-MX"/>
        </w:rPr>
        <w:t xml:space="preserve">recurso de apelación contra la sentencia de primera instancia. </w:t>
      </w:r>
    </w:p>
    <w:p w14:paraId="2F4BF8B5" w14:textId="77777777" w:rsidR="00962058" w:rsidRPr="00E06FC2" w:rsidRDefault="00962058" w:rsidP="00743788">
      <w:pPr>
        <w:rPr>
          <w:rFonts w:cs="Arial"/>
          <w:bCs/>
          <w:lang w:val="es-MX"/>
        </w:rPr>
      </w:pPr>
    </w:p>
    <w:p w14:paraId="109105AF" w14:textId="77777777" w:rsidR="00962058" w:rsidRPr="00E06FC2" w:rsidRDefault="00962058" w:rsidP="00743788">
      <w:pPr>
        <w:rPr>
          <w:rFonts w:cs="Arial"/>
          <w:bCs/>
          <w:lang w:val="es-MX"/>
        </w:rPr>
      </w:pPr>
      <w:r w:rsidRPr="00E06FC2">
        <w:rPr>
          <w:rFonts w:cs="Arial"/>
          <w:bCs/>
          <w:lang w:val="es-MX"/>
        </w:rPr>
        <w:t>En forma oportuna sustentaron los recursos de la siguiente manera:</w:t>
      </w:r>
    </w:p>
    <w:p w14:paraId="2693BA75" w14:textId="77777777" w:rsidR="0005011E" w:rsidRPr="00E06FC2" w:rsidRDefault="0005011E" w:rsidP="00743788">
      <w:pPr>
        <w:rPr>
          <w:rFonts w:cs="Arial"/>
          <w:bCs/>
          <w:lang w:val="es-MX"/>
        </w:rPr>
      </w:pPr>
    </w:p>
    <w:p w14:paraId="0C64D09B" w14:textId="77777777" w:rsidR="0005011E" w:rsidRPr="00E06FC2" w:rsidRDefault="00F47DFF" w:rsidP="00743788">
      <w:pPr>
        <w:rPr>
          <w:rFonts w:cs="Arial"/>
          <w:bCs/>
          <w:lang w:val="es-MX"/>
        </w:rPr>
      </w:pPr>
      <w:r w:rsidRPr="00E06FC2">
        <w:rPr>
          <w:rFonts w:cs="Arial"/>
          <w:b/>
          <w:bCs/>
          <w:lang w:val="es-MX"/>
        </w:rPr>
        <w:t>6.1.</w:t>
      </w:r>
      <w:r w:rsidR="0005011E" w:rsidRPr="00E06FC2">
        <w:rPr>
          <w:rFonts w:cs="Arial"/>
          <w:bCs/>
          <w:lang w:val="es-MX"/>
        </w:rPr>
        <w:t xml:space="preserve"> </w:t>
      </w:r>
      <w:r w:rsidR="00DF62CA" w:rsidRPr="00E06FC2">
        <w:rPr>
          <w:rFonts w:cs="Arial"/>
          <w:b/>
          <w:bCs/>
          <w:lang w:val="es-MX"/>
        </w:rPr>
        <w:t>UT General El</w:t>
      </w:r>
      <w:r w:rsidR="003B1FFE" w:rsidRPr="00E06FC2">
        <w:rPr>
          <w:rFonts w:cs="Arial"/>
          <w:b/>
          <w:bCs/>
          <w:lang w:val="es-MX"/>
        </w:rPr>
        <w:t>e</w:t>
      </w:r>
      <w:r w:rsidR="00DF62CA" w:rsidRPr="00E06FC2">
        <w:rPr>
          <w:rFonts w:cs="Arial"/>
          <w:b/>
          <w:bCs/>
          <w:lang w:val="es-MX"/>
        </w:rPr>
        <w:t xml:space="preserve">ctric – Electro Atlántico, </w:t>
      </w:r>
      <w:r w:rsidR="0005011E" w:rsidRPr="00E06FC2">
        <w:rPr>
          <w:rFonts w:cs="Arial"/>
          <w:b/>
          <w:bCs/>
          <w:lang w:val="es-MX"/>
        </w:rPr>
        <w:t xml:space="preserve">parte </w:t>
      </w:r>
      <w:r w:rsidR="00195B27" w:rsidRPr="00E06FC2">
        <w:rPr>
          <w:rFonts w:cs="Arial"/>
          <w:b/>
          <w:bCs/>
          <w:lang w:val="es-MX"/>
        </w:rPr>
        <w:t xml:space="preserve">actora </w:t>
      </w:r>
      <w:r w:rsidR="00DF62CA" w:rsidRPr="00E06FC2">
        <w:rPr>
          <w:rFonts w:cs="Arial"/>
          <w:b/>
          <w:bCs/>
          <w:lang w:val="es-MX"/>
        </w:rPr>
        <w:t>en el proceso</w:t>
      </w:r>
      <w:r w:rsidR="00DF62CA" w:rsidRPr="00E06FC2">
        <w:rPr>
          <w:rFonts w:cs="Arial"/>
          <w:bCs/>
          <w:lang w:val="es-MX"/>
        </w:rPr>
        <w:t xml:space="preserve">, </w:t>
      </w:r>
      <w:r w:rsidR="0005011E" w:rsidRPr="00E06FC2">
        <w:rPr>
          <w:rFonts w:cs="Arial"/>
          <w:bCs/>
          <w:lang w:val="es-MX"/>
        </w:rPr>
        <w:t>apeló “</w:t>
      </w:r>
      <w:r w:rsidR="0005011E" w:rsidRPr="00E06FC2">
        <w:rPr>
          <w:rFonts w:cs="Arial"/>
          <w:bCs/>
          <w:i/>
          <w:lang w:val="es-MX"/>
        </w:rPr>
        <w:t>en cuanto a la cuantificación de la condena y a los razonamientos tenidos en cuenta para imponerla</w:t>
      </w:r>
      <w:r w:rsidR="0005011E" w:rsidRPr="00E06FC2">
        <w:rPr>
          <w:rFonts w:cs="Arial"/>
          <w:bCs/>
          <w:lang w:val="es-MX"/>
        </w:rPr>
        <w:t>”. Indicó que la “</w:t>
      </w:r>
      <w:r w:rsidR="0005011E" w:rsidRPr="00E06FC2">
        <w:rPr>
          <w:rFonts w:cs="Arial"/>
          <w:bCs/>
          <w:i/>
          <w:lang w:val="es-MX"/>
        </w:rPr>
        <w:t>minimización</w:t>
      </w:r>
      <w:r w:rsidR="0005011E" w:rsidRPr="00E06FC2">
        <w:rPr>
          <w:rFonts w:cs="Arial"/>
          <w:bCs/>
          <w:lang w:val="es-MX"/>
        </w:rPr>
        <w:t>” de la condena al 10% de la utilidad, no tuvo soporte alguno. Aseveró que se encontró probado que Geico Ltda</w:t>
      </w:r>
      <w:r w:rsidR="00F60FF0" w:rsidRPr="00E06FC2">
        <w:rPr>
          <w:rFonts w:cs="Arial"/>
          <w:bCs/>
          <w:lang w:val="es-MX"/>
        </w:rPr>
        <w:t>.</w:t>
      </w:r>
      <w:r w:rsidR="0005011E" w:rsidRPr="00E06FC2">
        <w:rPr>
          <w:rFonts w:cs="Arial"/>
          <w:bCs/>
          <w:lang w:val="es-MX"/>
        </w:rPr>
        <w:t xml:space="preserve"> no participaría en las utilidades de la ejecución de la concesión, por lo cual, argumentó la demandante, mal podía dividirse el monto de la utilidad en orden a establecer la condena. Invocó el derecho a la </w:t>
      </w:r>
      <w:r w:rsidR="0005011E" w:rsidRPr="00E06FC2">
        <w:rPr>
          <w:rFonts w:cs="Arial"/>
          <w:bCs/>
          <w:i/>
          <w:lang w:val="es-MX"/>
        </w:rPr>
        <w:t>“restituttio in integrum”</w:t>
      </w:r>
      <w:r w:rsidR="0005011E" w:rsidRPr="00E06FC2">
        <w:rPr>
          <w:rFonts w:cs="Arial"/>
          <w:bCs/>
          <w:lang w:val="es-MX"/>
        </w:rPr>
        <w:t>, o reparación integral del perjuicio. Consideró que el perjuicio debía tasarse de acuerdo con la estructura financiera de la concesión</w:t>
      </w:r>
      <w:r w:rsidR="00C15F1A" w:rsidRPr="00E06FC2">
        <w:rPr>
          <w:rFonts w:cs="Arial"/>
          <w:bCs/>
          <w:lang w:val="es-MX"/>
        </w:rPr>
        <w:t>,</w:t>
      </w:r>
      <w:r w:rsidR="0005011E" w:rsidRPr="00E06FC2">
        <w:rPr>
          <w:rFonts w:cs="Arial"/>
          <w:bCs/>
          <w:lang w:val="es-MX"/>
        </w:rPr>
        <w:t xml:space="preserve"> de </w:t>
      </w:r>
      <w:r w:rsidR="00272C1F" w:rsidRPr="00E06FC2">
        <w:rPr>
          <w:rFonts w:cs="Arial"/>
          <w:bCs/>
          <w:lang w:val="es-MX"/>
        </w:rPr>
        <w:t xml:space="preserve">conformidad </w:t>
      </w:r>
      <w:r w:rsidR="0005011E" w:rsidRPr="00E06FC2">
        <w:rPr>
          <w:rFonts w:cs="Arial"/>
          <w:bCs/>
          <w:lang w:val="es-MX"/>
        </w:rPr>
        <w:t xml:space="preserve">con lo expuesto en el dictamen pericial, con base en el valor presente neto de las utilidades </w:t>
      </w:r>
      <w:r w:rsidR="00C15F1A" w:rsidRPr="00E06FC2">
        <w:rPr>
          <w:rFonts w:cs="Arial"/>
          <w:bCs/>
          <w:lang w:val="es-MX"/>
        </w:rPr>
        <w:t xml:space="preserve">proyectadas </w:t>
      </w:r>
      <w:r w:rsidR="0005011E" w:rsidRPr="00E06FC2">
        <w:rPr>
          <w:rFonts w:cs="Arial"/>
          <w:bCs/>
          <w:lang w:val="es-MX"/>
        </w:rPr>
        <w:t xml:space="preserve">(VPN). </w:t>
      </w:r>
    </w:p>
    <w:p w14:paraId="12A38355" w14:textId="77777777" w:rsidR="0005011E" w:rsidRPr="00E06FC2" w:rsidRDefault="0005011E" w:rsidP="00743788">
      <w:pPr>
        <w:rPr>
          <w:rFonts w:cs="Arial"/>
          <w:bCs/>
          <w:lang w:val="es-MX"/>
        </w:rPr>
      </w:pPr>
    </w:p>
    <w:p w14:paraId="25F21020" w14:textId="77777777" w:rsidR="004B392A" w:rsidRPr="00E06FC2" w:rsidRDefault="00F47DFF" w:rsidP="00743788">
      <w:pPr>
        <w:rPr>
          <w:rFonts w:cs="Arial"/>
          <w:bCs/>
          <w:lang w:val="es-MX"/>
        </w:rPr>
      </w:pPr>
      <w:r w:rsidRPr="00E06FC2">
        <w:rPr>
          <w:rFonts w:cs="Arial"/>
          <w:b/>
          <w:bCs/>
          <w:lang w:val="es-MX"/>
        </w:rPr>
        <w:t>6</w:t>
      </w:r>
      <w:r w:rsidR="004B392A" w:rsidRPr="00E06FC2">
        <w:rPr>
          <w:rFonts w:cs="Arial"/>
          <w:b/>
          <w:bCs/>
          <w:lang w:val="es-MX"/>
        </w:rPr>
        <w:t>.</w:t>
      </w:r>
      <w:r w:rsidRPr="00E06FC2">
        <w:rPr>
          <w:rFonts w:cs="Arial"/>
          <w:b/>
          <w:bCs/>
          <w:lang w:val="es-MX"/>
        </w:rPr>
        <w:t>2.</w:t>
      </w:r>
      <w:r w:rsidR="004B392A" w:rsidRPr="00E06FC2">
        <w:rPr>
          <w:rFonts w:cs="Arial"/>
          <w:bCs/>
          <w:lang w:val="es-MX"/>
        </w:rPr>
        <w:t xml:space="preserve"> El </w:t>
      </w:r>
      <w:r w:rsidR="004B392A" w:rsidRPr="00E06FC2">
        <w:rPr>
          <w:rFonts w:cs="Arial"/>
          <w:b/>
          <w:bCs/>
          <w:lang w:val="es-MX"/>
        </w:rPr>
        <w:t>municipio de Cartago</w:t>
      </w:r>
      <w:r w:rsidR="004B392A" w:rsidRPr="00E06FC2">
        <w:rPr>
          <w:rFonts w:cs="Arial"/>
          <w:bCs/>
          <w:lang w:val="es-MX"/>
        </w:rPr>
        <w:t xml:space="preserve">, obrando como parte demandada, sustentó su recurso de apelación, empezando por reseñar que los magistrados del Tribunal </w:t>
      </w:r>
      <w:r w:rsidR="004B392A" w:rsidRPr="00E06FC2">
        <w:rPr>
          <w:rFonts w:cs="Arial"/>
          <w:bCs/>
          <w:i/>
          <w:lang w:val="es-MX"/>
        </w:rPr>
        <w:t>a quo</w:t>
      </w:r>
      <w:r w:rsidR="004B392A" w:rsidRPr="00E06FC2">
        <w:rPr>
          <w:rFonts w:cs="Arial"/>
          <w:bCs/>
          <w:lang w:val="es-MX"/>
        </w:rPr>
        <w:t xml:space="preserve"> se atuvieron a un fundamento conceptual idéntico al de la primera sentencia </w:t>
      </w:r>
      <w:r w:rsidR="004B392A" w:rsidRPr="00E06FC2">
        <w:rPr>
          <w:rFonts w:cs="Arial"/>
          <w:bCs/>
          <w:lang w:val="es-MX"/>
        </w:rPr>
        <w:lastRenderedPageBreak/>
        <w:t>que ellos mismos profirieron, pero que fue anulada. Advirtió que el dictamen pericial no se podía aceptar a ciegas y que de acuerdo con la jurisprudencia y la doctrina, el mismo debió ser valorado.</w:t>
      </w:r>
    </w:p>
    <w:p w14:paraId="52615099" w14:textId="77777777" w:rsidR="004B392A" w:rsidRPr="00E06FC2" w:rsidRDefault="004B392A" w:rsidP="00743788">
      <w:pPr>
        <w:rPr>
          <w:rFonts w:cs="Arial"/>
          <w:bCs/>
          <w:lang w:val="es-MX"/>
        </w:rPr>
      </w:pPr>
    </w:p>
    <w:p w14:paraId="7A5DE787" w14:textId="77777777" w:rsidR="004B392A" w:rsidRPr="00E06FC2" w:rsidRDefault="004B392A" w:rsidP="00743788">
      <w:pPr>
        <w:rPr>
          <w:rFonts w:cs="Arial"/>
          <w:bCs/>
          <w:lang w:val="es-MX"/>
        </w:rPr>
      </w:pPr>
      <w:r w:rsidRPr="00E06FC2">
        <w:rPr>
          <w:rFonts w:cs="Arial"/>
          <w:bCs/>
          <w:lang w:val="es-MX"/>
        </w:rPr>
        <w:t xml:space="preserve">Observó que no hubo razonamiento acerca de las diferencias abismales entre el puntaje que asignó el </w:t>
      </w:r>
      <w:r w:rsidR="00C15F1A" w:rsidRPr="00E06FC2">
        <w:rPr>
          <w:rFonts w:cs="Arial"/>
          <w:bCs/>
          <w:lang w:val="es-MX"/>
        </w:rPr>
        <w:t>c</w:t>
      </w:r>
      <w:r w:rsidRPr="00E06FC2">
        <w:rPr>
          <w:rFonts w:cs="Arial"/>
          <w:bCs/>
          <w:lang w:val="es-MX"/>
        </w:rPr>
        <w:t xml:space="preserve">omité </w:t>
      </w:r>
      <w:r w:rsidR="00C15F1A" w:rsidRPr="00E06FC2">
        <w:rPr>
          <w:rFonts w:cs="Arial"/>
          <w:bCs/>
          <w:lang w:val="es-MX"/>
        </w:rPr>
        <w:t>e</w:t>
      </w:r>
      <w:r w:rsidRPr="00E06FC2">
        <w:rPr>
          <w:rFonts w:cs="Arial"/>
          <w:bCs/>
          <w:lang w:val="es-MX"/>
        </w:rPr>
        <w:t xml:space="preserve">valuador y el que indicó el dictamen y acogió la sentencia, </w:t>
      </w:r>
      <w:r w:rsidRPr="00E06FC2">
        <w:rPr>
          <w:rFonts w:cs="Arial"/>
          <w:bCs/>
          <w:i/>
          <w:lang w:val="es-MX"/>
        </w:rPr>
        <w:t>“con ciega adhesi</w:t>
      </w:r>
      <w:r w:rsidR="00926BDE" w:rsidRPr="00E06FC2">
        <w:rPr>
          <w:rFonts w:cs="Arial"/>
          <w:bCs/>
          <w:i/>
          <w:lang w:val="es-MX"/>
        </w:rPr>
        <w:t>ó</w:t>
      </w:r>
      <w:r w:rsidRPr="00E06FC2">
        <w:rPr>
          <w:rFonts w:cs="Arial"/>
          <w:bCs/>
          <w:i/>
          <w:lang w:val="es-MX"/>
        </w:rPr>
        <w:t>n”</w:t>
      </w:r>
      <w:r w:rsidRPr="00E06FC2">
        <w:rPr>
          <w:rFonts w:cs="Arial"/>
          <w:bCs/>
          <w:lang w:val="es-MX"/>
        </w:rPr>
        <w:t>.</w:t>
      </w:r>
    </w:p>
    <w:p w14:paraId="7F882019" w14:textId="77777777" w:rsidR="004B392A" w:rsidRPr="00E06FC2" w:rsidRDefault="004B392A" w:rsidP="00743788">
      <w:pPr>
        <w:ind w:right="567"/>
        <w:rPr>
          <w:rFonts w:cs="Arial"/>
          <w:bCs/>
          <w:lang w:val="es-MX"/>
        </w:rPr>
      </w:pPr>
    </w:p>
    <w:p w14:paraId="24445B3D" w14:textId="77777777" w:rsidR="004B392A" w:rsidRPr="00E06FC2" w:rsidRDefault="004B392A" w:rsidP="00743788">
      <w:pPr>
        <w:rPr>
          <w:rFonts w:cs="Arial"/>
          <w:bCs/>
          <w:lang w:val="es-MX"/>
        </w:rPr>
      </w:pPr>
      <w:r w:rsidRPr="00E06FC2">
        <w:rPr>
          <w:rFonts w:cs="Arial"/>
          <w:bCs/>
          <w:lang w:val="es-MX"/>
        </w:rPr>
        <w:t xml:space="preserve">Indicó que la sentencia es imprecisa en </w:t>
      </w:r>
      <w:r w:rsidR="00C15F1A" w:rsidRPr="00E06FC2">
        <w:rPr>
          <w:rFonts w:cs="Arial"/>
          <w:bCs/>
          <w:lang w:val="es-MX"/>
        </w:rPr>
        <w:t xml:space="preserve">las calificaciones de </w:t>
      </w:r>
      <w:r w:rsidRPr="00E06FC2">
        <w:rPr>
          <w:rFonts w:cs="Arial"/>
          <w:bCs/>
          <w:lang w:val="es-MX"/>
        </w:rPr>
        <w:t xml:space="preserve">la propuesta básica y la alternativa. Estimó claro que el </w:t>
      </w:r>
      <w:r w:rsidR="0016327E" w:rsidRPr="00E06FC2">
        <w:rPr>
          <w:rFonts w:cs="Arial"/>
          <w:bCs/>
          <w:lang w:val="es-MX"/>
        </w:rPr>
        <w:t>a</w:t>
      </w:r>
      <w:r w:rsidRPr="00E06FC2">
        <w:rPr>
          <w:rFonts w:cs="Arial"/>
          <w:bCs/>
          <w:lang w:val="es-MX"/>
        </w:rPr>
        <w:t>dendo 3 permitió presentar productos de origen nacional, de acuerdo con los estándares y las reglas de ICONTEC.</w:t>
      </w:r>
    </w:p>
    <w:p w14:paraId="6D6D0C3F" w14:textId="77777777" w:rsidR="004B392A" w:rsidRPr="00E06FC2" w:rsidRDefault="004B392A" w:rsidP="00743788">
      <w:pPr>
        <w:rPr>
          <w:rFonts w:cs="Arial"/>
          <w:bCs/>
          <w:lang w:val="es-MX"/>
        </w:rPr>
      </w:pPr>
    </w:p>
    <w:p w14:paraId="0B7BCBF8" w14:textId="77777777" w:rsidR="0005011E" w:rsidRPr="00E06FC2" w:rsidRDefault="00F47DFF" w:rsidP="00743788">
      <w:pPr>
        <w:rPr>
          <w:rFonts w:cs="Arial"/>
          <w:bCs/>
          <w:lang w:val="es-MX"/>
        </w:rPr>
      </w:pPr>
      <w:r w:rsidRPr="00E06FC2">
        <w:rPr>
          <w:rFonts w:cs="Arial"/>
          <w:b/>
          <w:bCs/>
          <w:lang w:val="es-MX"/>
        </w:rPr>
        <w:t>6.</w:t>
      </w:r>
      <w:r w:rsidR="004B392A" w:rsidRPr="00E06FC2">
        <w:rPr>
          <w:rFonts w:cs="Arial"/>
          <w:b/>
          <w:bCs/>
          <w:lang w:val="es-MX"/>
        </w:rPr>
        <w:t>3</w:t>
      </w:r>
      <w:r w:rsidR="0005011E" w:rsidRPr="00E06FC2">
        <w:rPr>
          <w:rFonts w:cs="Arial"/>
          <w:b/>
          <w:bCs/>
          <w:lang w:val="es-MX"/>
        </w:rPr>
        <w:t>.</w:t>
      </w:r>
      <w:r w:rsidR="0005011E" w:rsidRPr="00E06FC2">
        <w:rPr>
          <w:rFonts w:cs="Arial"/>
          <w:bCs/>
          <w:lang w:val="es-MX"/>
        </w:rPr>
        <w:t xml:space="preserve"> </w:t>
      </w:r>
      <w:r w:rsidR="0005011E" w:rsidRPr="00E06FC2">
        <w:rPr>
          <w:rFonts w:cs="Arial"/>
          <w:b/>
          <w:bCs/>
          <w:lang w:val="es-MX"/>
        </w:rPr>
        <w:t>D</w:t>
      </w:r>
      <w:r w:rsidR="000C239A" w:rsidRPr="00E06FC2">
        <w:rPr>
          <w:rFonts w:cs="Arial"/>
          <w:b/>
          <w:bCs/>
          <w:lang w:val="es-MX"/>
        </w:rPr>
        <w:t>iselecsa Ltda</w:t>
      </w:r>
      <w:r w:rsidR="00577AA7" w:rsidRPr="00E06FC2">
        <w:rPr>
          <w:rFonts w:cs="Arial"/>
          <w:bCs/>
          <w:lang w:val="es-MX"/>
        </w:rPr>
        <w:t xml:space="preserve">, en la sustentación de su recurso de apelación, </w:t>
      </w:r>
      <w:r w:rsidR="0005011E" w:rsidRPr="00E06FC2">
        <w:rPr>
          <w:rFonts w:cs="Arial"/>
          <w:bCs/>
          <w:lang w:val="es-MX"/>
        </w:rPr>
        <w:t>presentó un recuento de la actuación procesal y manifestó su inconformidad con el fallo, en la siguiente forma</w:t>
      </w:r>
      <w:r w:rsidR="00272C1F" w:rsidRPr="00E06FC2">
        <w:rPr>
          <w:rFonts w:cs="Arial"/>
          <w:bCs/>
          <w:lang w:val="es-MX"/>
        </w:rPr>
        <w:t>:</w:t>
      </w:r>
    </w:p>
    <w:p w14:paraId="274C9EF8" w14:textId="77777777" w:rsidR="0005011E" w:rsidRPr="00E06FC2" w:rsidRDefault="0005011E" w:rsidP="00743788">
      <w:pPr>
        <w:rPr>
          <w:rFonts w:cs="Arial"/>
          <w:bCs/>
          <w:lang w:val="es-MX"/>
        </w:rPr>
      </w:pPr>
    </w:p>
    <w:p w14:paraId="417B5A93" w14:textId="77777777" w:rsidR="0005011E" w:rsidRPr="00E06FC2" w:rsidRDefault="0005011E" w:rsidP="00743788">
      <w:pPr>
        <w:spacing w:line="276" w:lineRule="auto"/>
        <w:ind w:left="567" w:right="567"/>
        <w:rPr>
          <w:rFonts w:cs="Arial"/>
          <w:bCs/>
          <w:i/>
          <w:lang w:val="es-MX"/>
        </w:rPr>
      </w:pPr>
      <w:r w:rsidRPr="00E06FC2">
        <w:rPr>
          <w:rFonts w:cs="Arial"/>
          <w:bCs/>
          <w:i/>
          <w:lang w:val="es-MX"/>
        </w:rPr>
        <w:t>“en primer lugar debo manifestar que la sentencia impugnada fue una reproducción mecánica de la sentencia de fecha 19 de diciembre de 2003, (…) apoyada en la prueba única del dictamen pericial (…). En la práctica no se hizo un análisis de la nueva situación debido a que en el nuevo proceso se recibieron los siguientes testimonios (….)”</w:t>
      </w:r>
      <w:r w:rsidRPr="00E06FC2">
        <w:rPr>
          <w:rStyle w:val="Refdenotaalpie"/>
          <w:rFonts w:cs="Arial"/>
          <w:bCs/>
          <w:i/>
          <w:lang w:val="es-MX"/>
        </w:rPr>
        <w:footnoteReference w:id="21"/>
      </w:r>
      <w:r w:rsidRPr="00E06FC2">
        <w:rPr>
          <w:rFonts w:cs="Arial"/>
          <w:bCs/>
          <w:i/>
          <w:lang w:val="es-MX"/>
        </w:rPr>
        <w:t>.</w:t>
      </w:r>
    </w:p>
    <w:p w14:paraId="344E8202" w14:textId="77777777" w:rsidR="0005011E" w:rsidRPr="00E06FC2" w:rsidRDefault="0005011E" w:rsidP="00743788">
      <w:pPr>
        <w:ind w:left="567" w:right="567"/>
        <w:rPr>
          <w:rFonts w:cs="Arial"/>
          <w:bCs/>
          <w:i/>
          <w:lang w:val="es-MX"/>
        </w:rPr>
      </w:pPr>
      <w:r w:rsidRPr="00E06FC2">
        <w:rPr>
          <w:rFonts w:cs="Arial"/>
          <w:bCs/>
          <w:i/>
          <w:lang w:val="es-MX"/>
        </w:rPr>
        <w:t xml:space="preserve"> </w:t>
      </w:r>
    </w:p>
    <w:p w14:paraId="42DE60F1" w14:textId="77777777" w:rsidR="0005011E" w:rsidRPr="00E06FC2" w:rsidRDefault="0005011E" w:rsidP="00743788">
      <w:pPr>
        <w:rPr>
          <w:rFonts w:cs="Arial"/>
          <w:bCs/>
          <w:lang w:val="es-MX"/>
        </w:rPr>
      </w:pPr>
      <w:r w:rsidRPr="00E06FC2">
        <w:rPr>
          <w:rFonts w:cs="Arial"/>
          <w:bCs/>
          <w:lang w:val="es-MX"/>
        </w:rPr>
        <w:t xml:space="preserve">La </w:t>
      </w:r>
      <w:r w:rsidR="000C239A" w:rsidRPr="00E06FC2">
        <w:rPr>
          <w:rFonts w:cs="Arial"/>
          <w:bCs/>
          <w:lang w:val="es-MX"/>
        </w:rPr>
        <w:t xml:space="preserve">referida </w:t>
      </w:r>
      <w:r w:rsidRPr="00E06FC2">
        <w:rPr>
          <w:rFonts w:cs="Arial"/>
          <w:bCs/>
          <w:lang w:val="es-MX"/>
        </w:rPr>
        <w:t xml:space="preserve">apelante explicó que los testigos informaron en el proceso que para dar cabida a la industria nacional se introdujo el </w:t>
      </w:r>
      <w:r w:rsidR="0016327E" w:rsidRPr="00E06FC2">
        <w:rPr>
          <w:rFonts w:cs="Arial"/>
          <w:bCs/>
          <w:lang w:val="es-MX"/>
        </w:rPr>
        <w:t>a</w:t>
      </w:r>
      <w:r w:rsidRPr="00E06FC2">
        <w:rPr>
          <w:rFonts w:cs="Arial"/>
          <w:bCs/>
          <w:lang w:val="es-MX"/>
        </w:rPr>
        <w:t xml:space="preserve">dendo 3 y que allí se definió que los productos que se utilizarían debían estar homologados </w:t>
      </w:r>
      <w:r w:rsidR="00BD3950" w:rsidRPr="00E06FC2">
        <w:rPr>
          <w:rFonts w:cs="Arial"/>
          <w:bCs/>
          <w:lang w:val="es-MX"/>
        </w:rPr>
        <w:t xml:space="preserve">de acuerdo con las normas del </w:t>
      </w:r>
      <w:r w:rsidRPr="00E06FC2">
        <w:rPr>
          <w:rFonts w:cs="Arial"/>
          <w:bCs/>
          <w:lang w:val="es-MX"/>
        </w:rPr>
        <w:t>CIDET.</w:t>
      </w:r>
    </w:p>
    <w:p w14:paraId="6839CBB3" w14:textId="77777777" w:rsidR="0005011E" w:rsidRPr="00E06FC2" w:rsidRDefault="0005011E" w:rsidP="00743788">
      <w:pPr>
        <w:rPr>
          <w:rFonts w:cs="Arial"/>
          <w:bCs/>
          <w:lang w:val="es-MX"/>
        </w:rPr>
      </w:pPr>
    </w:p>
    <w:p w14:paraId="0C487D2E" w14:textId="77777777" w:rsidR="00400465" w:rsidRPr="00E06FC2" w:rsidRDefault="00577AA7" w:rsidP="00743788">
      <w:pPr>
        <w:rPr>
          <w:rFonts w:cs="Arial"/>
          <w:bCs/>
          <w:lang w:val="es-MX"/>
        </w:rPr>
      </w:pPr>
      <w:r w:rsidRPr="00E06FC2">
        <w:rPr>
          <w:rFonts w:cs="Arial"/>
          <w:b/>
          <w:bCs/>
          <w:lang w:val="es-MX"/>
        </w:rPr>
        <w:t>6.3.1.</w:t>
      </w:r>
      <w:r w:rsidRPr="00E06FC2">
        <w:rPr>
          <w:rFonts w:cs="Arial"/>
          <w:bCs/>
          <w:lang w:val="es-MX"/>
        </w:rPr>
        <w:t xml:space="preserve"> Se hace notar que Diselecsa Ltda</w:t>
      </w:r>
      <w:r w:rsidR="00F60FF0" w:rsidRPr="00E06FC2">
        <w:rPr>
          <w:rFonts w:cs="Arial"/>
          <w:bCs/>
          <w:lang w:val="es-MX"/>
        </w:rPr>
        <w:t>.</w:t>
      </w:r>
      <w:r w:rsidRPr="00E06FC2">
        <w:rPr>
          <w:rFonts w:cs="Arial"/>
          <w:bCs/>
          <w:lang w:val="es-MX"/>
        </w:rPr>
        <w:t xml:space="preserve"> no apeló la decisión contenida en la primera resolutiva de la sentencia de primera instancia, mediante la cual </w:t>
      </w:r>
      <w:r w:rsidR="00596927" w:rsidRPr="00E06FC2">
        <w:rPr>
          <w:rFonts w:cs="Arial"/>
          <w:bCs/>
          <w:lang w:val="es-MX"/>
        </w:rPr>
        <w:t>se declaró no probada la excepción que presentó acerca de la indebida representación del demandante</w:t>
      </w:r>
      <w:r w:rsidR="00596927" w:rsidRPr="00E06FC2">
        <w:rPr>
          <w:rStyle w:val="Refdenotaalpie"/>
          <w:rFonts w:cs="Arial"/>
          <w:bCs/>
          <w:lang w:val="es-MX"/>
        </w:rPr>
        <w:footnoteReference w:id="22"/>
      </w:r>
      <w:r w:rsidR="004D182F" w:rsidRPr="00E06FC2">
        <w:rPr>
          <w:rFonts w:cs="Arial"/>
          <w:bCs/>
          <w:lang w:val="es-MX"/>
        </w:rPr>
        <w:t>.</w:t>
      </w:r>
    </w:p>
    <w:p w14:paraId="53F6F772" w14:textId="77777777" w:rsidR="00357F8E" w:rsidRPr="00E06FC2" w:rsidRDefault="00357F8E" w:rsidP="00743788">
      <w:pPr>
        <w:rPr>
          <w:rFonts w:cs="Arial"/>
          <w:bCs/>
          <w:lang w:val="es-MX"/>
        </w:rPr>
      </w:pPr>
    </w:p>
    <w:p w14:paraId="447FB0EC" w14:textId="77777777" w:rsidR="00400465" w:rsidRPr="00E06FC2" w:rsidRDefault="00357F8E" w:rsidP="00743788">
      <w:pPr>
        <w:ind w:right="567"/>
        <w:rPr>
          <w:rFonts w:cs="Arial"/>
          <w:bCs/>
          <w:lang w:val="es-MX"/>
        </w:rPr>
      </w:pPr>
      <w:r w:rsidRPr="00E06FC2">
        <w:rPr>
          <w:rFonts w:cs="Arial"/>
          <w:b/>
          <w:bCs/>
          <w:lang w:val="es-MX"/>
        </w:rPr>
        <w:t>6.3.2.</w:t>
      </w:r>
      <w:r w:rsidR="00400465" w:rsidRPr="00E06FC2">
        <w:rPr>
          <w:rFonts w:cs="Arial"/>
          <w:bCs/>
          <w:lang w:val="es-MX"/>
        </w:rPr>
        <w:t xml:space="preserve"> </w:t>
      </w:r>
      <w:r w:rsidR="00400465" w:rsidRPr="00E06FC2">
        <w:rPr>
          <w:rFonts w:cs="Arial"/>
          <w:b/>
          <w:bCs/>
          <w:lang w:val="es-MX"/>
        </w:rPr>
        <w:t>Incidente de nulidad en segunda instancia</w:t>
      </w:r>
    </w:p>
    <w:p w14:paraId="71B325C6" w14:textId="77777777" w:rsidR="00400465" w:rsidRPr="00E06FC2" w:rsidRDefault="00400465" w:rsidP="00743788">
      <w:pPr>
        <w:ind w:right="567"/>
        <w:rPr>
          <w:rFonts w:cs="Arial"/>
          <w:bCs/>
          <w:lang w:val="es-MX"/>
        </w:rPr>
      </w:pPr>
    </w:p>
    <w:p w14:paraId="00BD072F" w14:textId="77777777" w:rsidR="00400465" w:rsidRPr="00E06FC2" w:rsidRDefault="00400465" w:rsidP="00743788">
      <w:pPr>
        <w:rPr>
          <w:rFonts w:cs="Arial"/>
          <w:bCs/>
          <w:lang w:val="es-MX"/>
        </w:rPr>
      </w:pPr>
      <w:r w:rsidRPr="00E06FC2">
        <w:rPr>
          <w:rFonts w:cs="Arial"/>
          <w:bCs/>
          <w:lang w:val="es-MX"/>
        </w:rPr>
        <w:lastRenderedPageBreak/>
        <w:t>Por otra parte, Diselecsa Ltda</w:t>
      </w:r>
      <w:r w:rsidR="00F60FF0" w:rsidRPr="00E06FC2">
        <w:rPr>
          <w:rFonts w:cs="Arial"/>
          <w:bCs/>
          <w:lang w:val="es-MX"/>
        </w:rPr>
        <w:t>.</w:t>
      </w:r>
      <w:r w:rsidRPr="00E06FC2">
        <w:rPr>
          <w:rFonts w:cs="Arial"/>
          <w:bCs/>
          <w:lang w:val="es-MX"/>
        </w:rPr>
        <w:t xml:space="preserve"> promovió incidente de nulidad, al considerar que en el proceso se acogió la prueba del dictamen pericial sin la audiencia de las partes, toda vez que en el trámite inicial se había decretado la nulidad de todo lo actuado y que, por tal razón, su vinculación al proceso solo </w:t>
      </w:r>
      <w:r w:rsidR="00357F8E" w:rsidRPr="00E06FC2">
        <w:rPr>
          <w:rFonts w:cs="Arial"/>
          <w:bCs/>
          <w:lang w:val="es-MX"/>
        </w:rPr>
        <w:t>debía tenerse como realizada,</w:t>
      </w:r>
      <w:r w:rsidRPr="00E06FC2">
        <w:rPr>
          <w:rFonts w:cs="Arial"/>
          <w:bCs/>
          <w:lang w:val="es-MX"/>
        </w:rPr>
        <w:t xml:space="preserve"> </w:t>
      </w:r>
      <w:r w:rsidR="00357F8E" w:rsidRPr="00E06FC2">
        <w:rPr>
          <w:rFonts w:cs="Arial"/>
          <w:bCs/>
          <w:lang w:val="es-MX"/>
        </w:rPr>
        <w:t xml:space="preserve">una vez fue </w:t>
      </w:r>
      <w:r w:rsidR="00C0127D" w:rsidRPr="00E06FC2">
        <w:rPr>
          <w:rFonts w:cs="Arial"/>
          <w:bCs/>
          <w:lang w:val="es-MX"/>
        </w:rPr>
        <w:t xml:space="preserve">notificada </w:t>
      </w:r>
      <w:r w:rsidR="00357F8E" w:rsidRPr="00E06FC2">
        <w:rPr>
          <w:rFonts w:cs="Arial"/>
          <w:bCs/>
          <w:lang w:val="es-MX"/>
        </w:rPr>
        <w:t>como consecuencia de la reforma a la demanda.</w:t>
      </w:r>
    </w:p>
    <w:p w14:paraId="6EC93910" w14:textId="77777777" w:rsidR="00400465" w:rsidRPr="00E06FC2" w:rsidRDefault="00400465" w:rsidP="00743788">
      <w:pPr>
        <w:ind w:right="567"/>
        <w:rPr>
          <w:rFonts w:cs="Arial"/>
          <w:bCs/>
          <w:lang w:val="es-MX"/>
        </w:rPr>
      </w:pPr>
    </w:p>
    <w:p w14:paraId="389F1459" w14:textId="77777777" w:rsidR="00400465" w:rsidRPr="00E06FC2" w:rsidRDefault="00400465" w:rsidP="00743788">
      <w:pPr>
        <w:rPr>
          <w:rFonts w:cs="Arial"/>
          <w:bCs/>
          <w:lang w:val="es-MX"/>
        </w:rPr>
      </w:pPr>
      <w:r w:rsidRPr="00E06FC2">
        <w:rPr>
          <w:rFonts w:cs="Arial"/>
          <w:bCs/>
          <w:lang w:val="es-MX"/>
        </w:rPr>
        <w:t>Mediante auto de 10 de junio de 2010</w:t>
      </w:r>
      <w:r w:rsidR="00357F8E" w:rsidRPr="00E06FC2">
        <w:rPr>
          <w:rStyle w:val="Refdenotaalpie"/>
          <w:rFonts w:cs="Arial"/>
          <w:bCs/>
          <w:lang w:val="es-MX"/>
        </w:rPr>
        <w:footnoteReference w:id="23"/>
      </w:r>
      <w:r w:rsidRPr="00E06FC2">
        <w:rPr>
          <w:rFonts w:cs="Arial"/>
          <w:bCs/>
          <w:lang w:val="es-MX"/>
        </w:rPr>
        <w:t xml:space="preserve">, </w:t>
      </w:r>
      <w:r w:rsidR="00577AA7" w:rsidRPr="00E06FC2">
        <w:rPr>
          <w:rFonts w:cs="Arial"/>
          <w:bCs/>
          <w:lang w:val="es-MX"/>
        </w:rPr>
        <w:t xml:space="preserve">en trámite ante el Consejo de Estado </w:t>
      </w:r>
      <w:r w:rsidRPr="00E06FC2">
        <w:rPr>
          <w:rFonts w:cs="Arial"/>
          <w:bCs/>
          <w:lang w:val="es-MX"/>
        </w:rPr>
        <w:t>se desató el incidente de nulidad propuesto por D</w:t>
      </w:r>
      <w:r w:rsidR="00577AA7" w:rsidRPr="00E06FC2">
        <w:rPr>
          <w:rFonts w:cs="Arial"/>
          <w:bCs/>
          <w:lang w:val="es-MX"/>
        </w:rPr>
        <w:t>iselecsa Ltda</w:t>
      </w:r>
      <w:r w:rsidRPr="00E06FC2">
        <w:rPr>
          <w:rFonts w:cs="Arial"/>
          <w:bCs/>
          <w:lang w:val="es-MX"/>
        </w:rPr>
        <w:t>, en forma desfavorable</w:t>
      </w:r>
      <w:r w:rsidR="00E41E96" w:rsidRPr="00E06FC2">
        <w:rPr>
          <w:rFonts w:cs="Arial"/>
          <w:bCs/>
          <w:lang w:val="es-MX"/>
        </w:rPr>
        <w:t>. En el proveído, el Consejero ponente hizo notar que</w:t>
      </w:r>
      <w:r w:rsidRPr="00E06FC2">
        <w:rPr>
          <w:rFonts w:cs="Arial"/>
          <w:bCs/>
          <w:lang w:val="es-MX"/>
        </w:rPr>
        <w:t>, de conformidad con el artículo 146 del C.P.C., la prueba practicada dentro de la actuación que se declara nula conserva su validez con respecto a “</w:t>
      </w:r>
      <w:r w:rsidRPr="00E06FC2">
        <w:rPr>
          <w:rFonts w:cs="Arial"/>
          <w:bCs/>
          <w:i/>
          <w:lang w:val="es-MX"/>
        </w:rPr>
        <w:t>quienes tuvieron oportunidad de contradecirla”</w:t>
      </w:r>
      <w:r w:rsidRPr="00E06FC2">
        <w:rPr>
          <w:rFonts w:cs="Arial"/>
          <w:bCs/>
          <w:lang w:val="es-MX"/>
        </w:rPr>
        <w:t xml:space="preserve"> y que, en este caso, </w:t>
      </w:r>
      <w:r w:rsidR="00577AA7" w:rsidRPr="00E06FC2">
        <w:rPr>
          <w:rFonts w:cs="Arial"/>
          <w:bCs/>
          <w:lang w:val="es-MX"/>
        </w:rPr>
        <w:t xml:space="preserve">el </w:t>
      </w:r>
      <w:r w:rsidRPr="00E06FC2">
        <w:rPr>
          <w:rFonts w:cs="Arial"/>
          <w:bCs/>
          <w:lang w:val="es-MX"/>
        </w:rPr>
        <w:t>derecho de contradicción se respetó en relación con el dictamen pericial, de acuerdo con el artículo 238 del C</w:t>
      </w:r>
      <w:r w:rsidR="00F737EB" w:rsidRPr="00E06FC2">
        <w:rPr>
          <w:rFonts w:cs="Arial"/>
          <w:bCs/>
          <w:lang w:val="es-MX"/>
        </w:rPr>
        <w:t>.</w:t>
      </w:r>
      <w:r w:rsidRPr="00E06FC2">
        <w:rPr>
          <w:rFonts w:cs="Arial"/>
          <w:bCs/>
          <w:lang w:val="es-MX"/>
        </w:rPr>
        <w:t>P.C., toda vez que se corri</w:t>
      </w:r>
      <w:r w:rsidR="00577AA7" w:rsidRPr="00E06FC2">
        <w:rPr>
          <w:rFonts w:cs="Arial"/>
          <w:bCs/>
          <w:lang w:val="es-MX"/>
        </w:rPr>
        <w:t>ó</w:t>
      </w:r>
      <w:r w:rsidRPr="00E06FC2">
        <w:rPr>
          <w:rFonts w:cs="Arial"/>
          <w:bCs/>
          <w:lang w:val="es-MX"/>
        </w:rPr>
        <w:t xml:space="preserve"> traslado del mismo para quienes no habían tenido la oportunidad de contradecir el dictamen en la primera parte de la actuación procesal</w:t>
      </w:r>
      <w:r w:rsidRPr="00E06FC2">
        <w:rPr>
          <w:rStyle w:val="Refdenotaalpie"/>
          <w:rFonts w:cs="Arial"/>
          <w:bCs/>
          <w:lang w:val="es-MX"/>
        </w:rPr>
        <w:footnoteReference w:id="24"/>
      </w:r>
      <w:r w:rsidRPr="00E06FC2">
        <w:rPr>
          <w:rFonts w:cs="Arial"/>
          <w:bCs/>
          <w:lang w:val="es-MX"/>
        </w:rPr>
        <w:t>.</w:t>
      </w:r>
    </w:p>
    <w:p w14:paraId="49DC712C" w14:textId="77777777" w:rsidR="00400465" w:rsidRPr="00E06FC2" w:rsidRDefault="00400465" w:rsidP="00743788">
      <w:pPr>
        <w:rPr>
          <w:rFonts w:cs="Arial"/>
          <w:bCs/>
          <w:lang w:val="es-MX"/>
        </w:rPr>
      </w:pPr>
    </w:p>
    <w:p w14:paraId="28EE92D5" w14:textId="77777777" w:rsidR="0005011E" w:rsidRPr="00E06FC2" w:rsidRDefault="00446571" w:rsidP="00743788">
      <w:pPr>
        <w:rPr>
          <w:rFonts w:cs="Arial"/>
          <w:bCs/>
          <w:lang w:val="es-MX"/>
        </w:rPr>
      </w:pPr>
      <w:r w:rsidRPr="00E06FC2">
        <w:rPr>
          <w:rFonts w:cs="Arial"/>
          <w:b/>
          <w:bCs/>
          <w:lang w:val="es-MX"/>
        </w:rPr>
        <w:t>6</w:t>
      </w:r>
      <w:r w:rsidR="00F47DFF" w:rsidRPr="00E06FC2">
        <w:rPr>
          <w:rFonts w:cs="Arial"/>
          <w:b/>
          <w:bCs/>
          <w:lang w:val="es-MX"/>
        </w:rPr>
        <w:t>.4.</w:t>
      </w:r>
      <w:r w:rsidR="0005011E" w:rsidRPr="00E06FC2">
        <w:rPr>
          <w:rFonts w:cs="Arial"/>
          <w:bCs/>
          <w:i/>
          <w:lang w:val="es-MX"/>
        </w:rPr>
        <w:t xml:space="preserve"> </w:t>
      </w:r>
      <w:r w:rsidR="0005011E" w:rsidRPr="00E06FC2">
        <w:rPr>
          <w:rFonts w:cs="Arial"/>
          <w:bCs/>
          <w:lang w:val="es-MX"/>
        </w:rPr>
        <w:t>Proyectos</w:t>
      </w:r>
      <w:r w:rsidR="00D829D5" w:rsidRPr="00E06FC2">
        <w:rPr>
          <w:rFonts w:cs="Arial"/>
          <w:bCs/>
          <w:lang w:val="es-MX"/>
        </w:rPr>
        <w:t>,</w:t>
      </w:r>
      <w:r w:rsidR="0005011E" w:rsidRPr="00E06FC2">
        <w:rPr>
          <w:rFonts w:cs="Arial"/>
          <w:bCs/>
          <w:lang w:val="es-MX"/>
        </w:rPr>
        <w:t xml:space="preserve"> Ingeniería</w:t>
      </w:r>
      <w:r w:rsidR="00D829D5" w:rsidRPr="00E06FC2">
        <w:rPr>
          <w:rFonts w:cs="Arial"/>
          <w:bCs/>
          <w:lang w:val="es-MX"/>
        </w:rPr>
        <w:t>,</w:t>
      </w:r>
      <w:r w:rsidR="0005011E" w:rsidRPr="00E06FC2">
        <w:rPr>
          <w:rFonts w:cs="Arial"/>
          <w:bCs/>
          <w:lang w:val="es-MX"/>
        </w:rPr>
        <w:t xml:space="preserve"> Construcciones y Montajes Limitada PROICOM Ltda</w:t>
      </w:r>
      <w:r w:rsidR="00F60FF0" w:rsidRPr="00E06FC2">
        <w:rPr>
          <w:rFonts w:cs="Arial"/>
          <w:bCs/>
          <w:lang w:val="es-MX"/>
        </w:rPr>
        <w:t>.</w:t>
      </w:r>
      <w:r w:rsidR="00926BDE" w:rsidRPr="00E06FC2">
        <w:rPr>
          <w:rFonts w:cs="Arial"/>
          <w:bCs/>
          <w:lang w:val="es-MX"/>
        </w:rPr>
        <w:t xml:space="preserve"> </w:t>
      </w:r>
      <w:r w:rsidR="00272C1F" w:rsidRPr="00E06FC2">
        <w:rPr>
          <w:rFonts w:cs="Arial"/>
          <w:bCs/>
          <w:lang w:val="es-MX"/>
        </w:rPr>
        <w:t>-</w:t>
      </w:r>
      <w:r w:rsidR="0005011E" w:rsidRPr="00E06FC2">
        <w:rPr>
          <w:rFonts w:cs="Arial"/>
          <w:bCs/>
          <w:lang w:val="es-MX"/>
        </w:rPr>
        <w:t xml:space="preserve"> antes Montajes Eléctricos L</w:t>
      </w:r>
      <w:r w:rsidR="00F60FF0" w:rsidRPr="00E06FC2">
        <w:rPr>
          <w:rFonts w:cs="Arial"/>
          <w:bCs/>
          <w:lang w:val="es-MX"/>
        </w:rPr>
        <w:t>tda.</w:t>
      </w:r>
      <w:r w:rsidR="006C0058" w:rsidRPr="00E06FC2">
        <w:rPr>
          <w:rFonts w:cs="Arial"/>
          <w:bCs/>
          <w:lang w:val="es-MX"/>
        </w:rPr>
        <w:t>-</w:t>
      </w:r>
      <w:r w:rsidR="0005011E" w:rsidRPr="00E06FC2">
        <w:rPr>
          <w:rFonts w:cs="Arial"/>
          <w:bCs/>
          <w:lang w:val="es-MX"/>
        </w:rPr>
        <w:t xml:space="preserve"> argumentó en el recurso de apelación lo</w:t>
      </w:r>
      <w:r w:rsidR="00577AA7" w:rsidRPr="00E06FC2">
        <w:rPr>
          <w:rFonts w:cs="Arial"/>
          <w:bCs/>
          <w:lang w:val="es-MX"/>
        </w:rPr>
        <w:t>s</w:t>
      </w:r>
      <w:r w:rsidR="0005011E" w:rsidRPr="00E06FC2">
        <w:rPr>
          <w:rFonts w:cs="Arial"/>
          <w:bCs/>
          <w:lang w:val="es-MX"/>
        </w:rPr>
        <w:t xml:space="preserve"> siguiente</w:t>
      </w:r>
      <w:r w:rsidR="00577AA7" w:rsidRPr="00E06FC2">
        <w:rPr>
          <w:rFonts w:cs="Arial"/>
          <w:bCs/>
          <w:lang w:val="es-MX"/>
        </w:rPr>
        <w:t>s puntos</w:t>
      </w:r>
      <w:r w:rsidR="0005011E" w:rsidRPr="00E06FC2">
        <w:rPr>
          <w:rFonts w:cs="Arial"/>
          <w:bCs/>
          <w:lang w:val="es-MX"/>
        </w:rPr>
        <w:t xml:space="preserve">: </w:t>
      </w:r>
    </w:p>
    <w:p w14:paraId="6383B3CB" w14:textId="77777777" w:rsidR="0005011E" w:rsidRPr="00E06FC2" w:rsidRDefault="0005011E" w:rsidP="00743788">
      <w:pPr>
        <w:rPr>
          <w:rFonts w:cs="Arial"/>
          <w:bCs/>
          <w:lang w:val="es-MX"/>
        </w:rPr>
      </w:pPr>
    </w:p>
    <w:p w14:paraId="4E955859" w14:textId="77777777" w:rsidR="00272C1F" w:rsidRPr="00E06FC2" w:rsidRDefault="00F47DFF" w:rsidP="00743788">
      <w:pPr>
        <w:ind w:left="72"/>
        <w:rPr>
          <w:rFonts w:cs="Arial"/>
          <w:bCs/>
          <w:lang w:val="es-MX"/>
        </w:rPr>
      </w:pPr>
      <w:r w:rsidRPr="00E06FC2">
        <w:rPr>
          <w:rFonts w:cs="Arial"/>
          <w:b/>
          <w:bCs/>
          <w:lang w:val="es-MX"/>
        </w:rPr>
        <w:t>6.4.1.</w:t>
      </w:r>
      <w:r w:rsidR="0005011E" w:rsidRPr="00E06FC2">
        <w:rPr>
          <w:rFonts w:cs="Arial"/>
          <w:bCs/>
          <w:lang w:val="es-MX"/>
        </w:rPr>
        <w:t xml:space="preserve"> La inconstitucionalidad de la sentencia por violación de los derechos fundamentales al debido proceso y al acceso a la administración de justicia, lo cual se evidenció con la ausencia de </w:t>
      </w:r>
      <w:r w:rsidR="00272C1F" w:rsidRPr="00E06FC2">
        <w:rPr>
          <w:rFonts w:cs="Arial"/>
          <w:bCs/>
          <w:lang w:val="es-MX"/>
        </w:rPr>
        <w:t xml:space="preserve">un </w:t>
      </w:r>
      <w:r w:rsidR="0005011E" w:rsidRPr="00E06FC2">
        <w:rPr>
          <w:rFonts w:cs="Arial"/>
          <w:bCs/>
          <w:lang w:val="es-MX"/>
        </w:rPr>
        <w:t xml:space="preserve">pronunciamiento sobre las excepciones que </w:t>
      </w:r>
      <w:r w:rsidR="00272C1F" w:rsidRPr="00E06FC2">
        <w:rPr>
          <w:rFonts w:cs="Arial"/>
          <w:bCs/>
          <w:lang w:val="es-MX"/>
        </w:rPr>
        <w:t xml:space="preserve">esta demandada </w:t>
      </w:r>
      <w:r w:rsidR="0005011E" w:rsidRPr="00E06FC2">
        <w:rPr>
          <w:rFonts w:cs="Arial"/>
          <w:bCs/>
          <w:lang w:val="es-MX"/>
        </w:rPr>
        <w:t xml:space="preserve">propuso en su contestación a la demanda. </w:t>
      </w:r>
    </w:p>
    <w:p w14:paraId="526B33DC" w14:textId="77777777" w:rsidR="004B392A" w:rsidRPr="00E06FC2" w:rsidRDefault="004B392A" w:rsidP="00743788">
      <w:pPr>
        <w:ind w:left="72"/>
        <w:rPr>
          <w:rFonts w:cs="Arial"/>
          <w:b/>
          <w:bCs/>
          <w:lang w:val="es-MX"/>
        </w:rPr>
      </w:pPr>
    </w:p>
    <w:p w14:paraId="75B15D7A" w14:textId="77777777" w:rsidR="0005011E" w:rsidRPr="00E06FC2" w:rsidRDefault="00F47DFF" w:rsidP="00743788">
      <w:pPr>
        <w:ind w:left="72"/>
        <w:rPr>
          <w:rFonts w:cs="Arial"/>
          <w:bCs/>
          <w:lang w:val="es-MX"/>
        </w:rPr>
      </w:pPr>
      <w:r w:rsidRPr="00E06FC2">
        <w:rPr>
          <w:rFonts w:cs="Arial"/>
          <w:b/>
          <w:bCs/>
          <w:lang w:val="es-MX"/>
        </w:rPr>
        <w:t>6.4.2.</w:t>
      </w:r>
      <w:r w:rsidR="0005011E" w:rsidRPr="00E06FC2">
        <w:rPr>
          <w:rFonts w:cs="Arial"/>
          <w:b/>
          <w:bCs/>
          <w:lang w:val="es-MX"/>
        </w:rPr>
        <w:t xml:space="preserve"> </w:t>
      </w:r>
      <w:r w:rsidR="0005011E" w:rsidRPr="00E06FC2">
        <w:rPr>
          <w:rFonts w:cs="Arial"/>
          <w:bCs/>
          <w:lang w:val="es-MX"/>
        </w:rPr>
        <w:t xml:space="preserve">La ilegalidad de la sentencia, la cual </w:t>
      </w:r>
      <w:r w:rsidR="005C75E2" w:rsidRPr="00E06FC2">
        <w:rPr>
          <w:rFonts w:cs="Arial"/>
          <w:bCs/>
          <w:lang w:val="es-MX"/>
        </w:rPr>
        <w:t>consistió</w:t>
      </w:r>
      <w:r w:rsidR="0005011E" w:rsidRPr="00E06FC2">
        <w:rPr>
          <w:rFonts w:cs="Arial"/>
          <w:bCs/>
          <w:lang w:val="es-MX"/>
        </w:rPr>
        <w:t xml:space="preserve"> en que el </w:t>
      </w:r>
      <w:r w:rsidR="00272C1F" w:rsidRPr="00E06FC2">
        <w:rPr>
          <w:rFonts w:cs="Arial"/>
          <w:bCs/>
          <w:lang w:val="es-MX"/>
        </w:rPr>
        <w:t xml:space="preserve">Tribunal </w:t>
      </w:r>
      <w:r w:rsidR="0005011E" w:rsidRPr="00E06FC2">
        <w:rPr>
          <w:rFonts w:cs="Arial"/>
          <w:bCs/>
          <w:lang w:val="es-MX"/>
        </w:rPr>
        <w:t xml:space="preserve">de primera instancia </w:t>
      </w:r>
      <w:r w:rsidR="0005011E" w:rsidRPr="00E06FC2">
        <w:rPr>
          <w:rFonts w:cs="Arial"/>
          <w:bCs/>
          <w:i/>
          <w:lang w:val="es-MX"/>
        </w:rPr>
        <w:t>“interpretó el alcance de los pliegos de condiciones y de la adenda No. 3 de manera independiente”</w:t>
      </w:r>
      <w:r w:rsidR="0005011E" w:rsidRPr="00E06FC2">
        <w:rPr>
          <w:rStyle w:val="Refdenotaalpie"/>
          <w:rFonts w:cs="Arial"/>
          <w:bCs/>
          <w:lang w:val="es-MX"/>
        </w:rPr>
        <w:footnoteReference w:id="25"/>
      </w:r>
      <w:r w:rsidR="0005011E" w:rsidRPr="00E06FC2">
        <w:rPr>
          <w:rFonts w:cs="Arial"/>
          <w:bCs/>
          <w:i/>
          <w:lang w:val="es-MX"/>
        </w:rPr>
        <w:t xml:space="preserve"> </w:t>
      </w:r>
      <w:r w:rsidR="0005011E" w:rsidRPr="00E06FC2">
        <w:rPr>
          <w:rFonts w:cs="Arial"/>
          <w:bCs/>
          <w:lang w:val="es-MX"/>
        </w:rPr>
        <w:t xml:space="preserve">y no en forma sistemática e integral, como lo hizo correctamente el </w:t>
      </w:r>
      <w:r w:rsidR="00F737EB" w:rsidRPr="00E06FC2">
        <w:rPr>
          <w:rFonts w:cs="Arial"/>
          <w:bCs/>
          <w:lang w:val="es-MX"/>
        </w:rPr>
        <w:t>c</w:t>
      </w:r>
      <w:r w:rsidR="00B530C9" w:rsidRPr="00E06FC2">
        <w:rPr>
          <w:rFonts w:cs="Arial"/>
          <w:bCs/>
          <w:lang w:val="es-MX"/>
        </w:rPr>
        <w:t>omité de evaluación</w:t>
      </w:r>
      <w:r w:rsidR="0005011E" w:rsidRPr="00E06FC2">
        <w:rPr>
          <w:rFonts w:cs="Arial"/>
          <w:bCs/>
          <w:lang w:val="es-MX"/>
        </w:rPr>
        <w:t xml:space="preserve"> al calificar las propuestas.</w:t>
      </w:r>
    </w:p>
    <w:p w14:paraId="305C1A5E" w14:textId="77777777" w:rsidR="0005011E" w:rsidRPr="00E06FC2" w:rsidRDefault="0005011E" w:rsidP="00743788">
      <w:pPr>
        <w:ind w:left="72"/>
        <w:rPr>
          <w:rFonts w:cs="Arial"/>
          <w:bCs/>
          <w:lang w:val="es-MX"/>
        </w:rPr>
      </w:pPr>
    </w:p>
    <w:p w14:paraId="586C442A" w14:textId="77777777" w:rsidR="00272C1F" w:rsidRPr="00E06FC2" w:rsidRDefault="0005011E" w:rsidP="00743788">
      <w:pPr>
        <w:ind w:left="72"/>
        <w:rPr>
          <w:rFonts w:cs="Arial"/>
          <w:bCs/>
          <w:lang w:val="es-MX"/>
        </w:rPr>
      </w:pPr>
      <w:r w:rsidRPr="00E06FC2">
        <w:rPr>
          <w:rFonts w:cs="Arial"/>
          <w:bCs/>
          <w:lang w:val="es-MX"/>
        </w:rPr>
        <w:t>Agregó que la interpretación que adoptó la sentencia de primera instancia result</w:t>
      </w:r>
      <w:r w:rsidR="00DF4815" w:rsidRPr="00E06FC2">
        <w:rPr>
          <w:rFonts w:cs="Arial"/>
          <w:bCs/>
          <w:lang w:val="es-MX"/>
        </w:rPr>
        <w:t>ó</w:t>
      </w:r>
      <w:r w:rsidRPr="00E06FC2">
        <w:rPr>
          <w:rFonts w:cs="Arial"/>
          <w:bCs/>
          <w:lang w:val="es-MX"/>
        </w:rPr>
        <w:t xml:space="preserve"> discriminatoria de la empresa nacional, además de que se aplicó solo a </w:t>
      </w:r>
      <w:r w:rsidR="00A85F0C" w:rsidRPr="00E06FC2">
        <w:rPr>
          <w:rFonts w:cs="Arial"/>
          <w:bCs/>
          <w:lang w:val="es-MX"/>
        </w:rPr>
        <w:t>algunos</w:t>
      </w:r>
      <w:r w:rsidRPr="00E06FC2">
        <w:rPr>
          <w:rFonts w:cs="Arial"/>
          <w:bCs/>
          <w:lang w:val="es-MX"/>
        </w:rPr>
        <w:t xml:space="preserve"> de los artículos ofrecidos en las propuestas. </w:t>
      </w:r>
    </w:p>
    <w:p w14:paraId="4C7FEC0E" w14:textId="77777777" w:rsidR="00272C1F" w:rsidRPr="00E06FC2" w:rsidRDefault="00272C1F" w:rsidP="00743788">
      <w:pPr>
        <w:ind w:left="72"/>
        <w:rPr>
          <w:rFonts w:cs="Arial"/>
          <w:bCs/>
          <w:lang w:val="es-MX"/>
        </w:rPr>
      </w:pPr>
    </w:p>
    <w:p w14:paraId="628FA508" w14:textId="77777777" w:rsidR="0005011E" w:rsidRPr="00E06FC2" w:rsidRDefault="00272C1F" w:rsidP="00743788">
      <w:pPr>
        <w:ind w:left="72"/>
        <w:rPr>
          <w:rFonts w:cs="Arial"/>
          <w:bCs/>
          <w:lang w:val="es-MX"/>
        </w:rPr>
      </w:pPr>
      <w:r w:rsidRPr="00E06FC2">
        <w:rPr>
          <w:rFonts w:cs="Arial"/>
          <w:bCs/>
          <w:lang w:val="es-MX"/>
        </w:rPr>
        <w:t xml:space="preserve">Sostuvo </w:t>
      </w:r>
      <w:r w:rsidR="0005011E" w:rsidRPr="00E06FC2">
        <w:rPr>
          <w:rFonts w:cs="Arial"/>
          <w:bCs/>
          <w:lang w:val="es-MX"/>
        </w:rPr>
        <w:t xml:space="preserve">que el </w:t>
      </w:r>
      <w:r w:rsidR="0016327E" w:rsidRPr="00E06FC2">
        <w:rPr>
          <w:rFonts w:cs="Arial"/>
          <w:bCs/>
          <w:lang w:val="es-MX"/>
        </w:rPr>
        <w:t>a</w:t>
      </w:r>
      <w:r w:rsidR="0005011E" w:rsidRPr="00E06FC2">
        <w:rPr>
          <w:rFonts w:cs="Arial"/>
          <w:bCs/>
          <w:lang w:val="es-MX"/>
        </w:rPr>
        <w:t>dendo 3 era claro en establecer que los artículos podían acreditar sello extranjero o nacional de calidad y que debían cumplir con las especificaciones del CIDET.</w:t>
      </w:r>
    </w:p>
    <w:p w14:paraId="3BBB1CD7" w14:textId="77777777" w:rsidR="0005011E" w:rsidRPr="00E06FC2" w:rsidRDefault="0005011E" w:rsidP="00743788">
      <w:pPr>
        <w:ind w:left="72"/>
        <w:rPr>
          <w:rFonts w:cs="Arial"/>
          <w:bCs/>
          <w:lang w:val="es-MX"/>
        </w:rPr>
      </w:pPr>
    </w:p>
    <w:p w14:paraId="144E4464" w14:textId="77777777" w:rsidR="0005011E" w:rsidRPr="00E06FC2" w:rsidRDefault="0005011E" w:rsidP="00743788">
      <w:pPr>
        <w:ind w:left="72"/>
        <w:rPr>
          <w:rFonts w:cs="Arial"/>
          <w:bCs/>
          <w:lang w:val="es-MX"/>
        </w:rPr>
      </w:pPr>
      <w:r w:rsidRPr="00E06FC2">
        <w:rPr>
          <w:rFonts w:cs="Arial"/>
          <w:bCs/>
          <w:lang w:val="es-MX"/>
        </w:rPr>
        <w:t xml:space="preserve">En conclusión, la apelante indicó: </w:t>
      </w:r>
    </w:p>
    <w:p w14:paraId="19A27377" w14:textId="77777777" w:rsidR="0005011E" w:rsidRPr="00E06FC2" w:rsidRDefault="0005011E" w:rsidP="00743788">
      <w:pPr>
        <w:spacing w:line="276" w:lineRule="auto"/>
        <w:ind w:left="567" w:right="567"/>
        <w:rPr>
          <w:rFonts w:cs="Arial"/>
          <w:bCs/>
          <w:i/>
          <w:lang w:val="es-MX"/>
        </w:rPr>
      </w:pPr>
    </w:p>
    <w:p w14:paraId="08346C7B" w14:textId="77777777" w:rsidR="0005011E" w:rsidRPr="00E06FC2" w:rsidRDefault="0005011E" w:rsidP="00743788">
      <w:pPr>
        <w:spacing w:line="276" w:lineRule="auto"/>
        <w:ind w:left="567" w:right="567"/>
        <w:rPr>
          <w:rFonts w:cs="Arial"/>
          <w:bCs/>
          <w:i/>
          <w:lang w:val="es-MX"/>
        </w:rPr>
      </w:pPr>
      <w:r w:rsidRPr="00E06FC2">
        <w:rPr>
          <w:rFonts w:cs="Arial"/>
          <w:bCs/>
          <w:i/>
          <w:lang w:val="es-MX"/>
        </w:rPr>
        <w:t>“La alternatividad para la propuesta de materiales no se hizo sectorizada, como pretende hacerlo ver el demandante, por el contrario la opción de presentar propuesta alternativa se destinó a todos los artículos de las luminarias necesarios para la prestación del servicio requerido por el Municipio de Cartago”</w:t>
      </w:r>
      <w:r w:rsidRPr="00E06FC2">
        <w:rPr>
          <w:rStyle w:val="Refdenotaalpie"/>
          <w:rFonts w:cs="Arial"/>
          <w:bCs/>
          <w:i/>
          <w:lang w:val="es-MX"/>
        </w:rPr>
        <w:footnoteReference w:id="26"/>
      </w:r>
      <w:r w:rsidRPr="00E06FC2">
        <w:rPr>
          <w:rFonts w:cs="Arial"/>
          <w:bCs/>
          <w:i/>
          <w:lang w:val="es-MX"/>
        </w:rPr>
        <w:t>.</w:t>
      </w:r>
    </w:p>
    <w:p w14:paraId="5E3272C3" w14:textId="77777777" w:rsidR="0005011E" w:rsidRPr="00E06FC2" w:rsidRDefault="0005011E" w:rsidP="00743788">
      <w:pPr>
        <w:spacing w:line="276" w:lineRule="auto"/>
        <w:ind w:left="567" w:right="567"/>
        <w:rPr>
          <w:rFonts w:cs="Arial"/>
          <w:bCs/>
          <w:i/>
          <w:lang w:val="es-MX"/>
        </w:rPr>
      </w:pPr>
    </w:p>
    <w:p w14:paraId="50699900" w14:textId="77777777" w:rsidR="0005011E" w:rsidRPr="00E06FC2" w:rsidRDefault="00272C1F" w:rsidP="00743788">
      <w:pPr>
        <w:spacing w:line="276" w:lineRule="auto"/>
        <w:ind w:left="567" w:right="567"/>
        <w:rPr>
          <w:rFonts w:cs="Arial"/>
          <w:bCs/>
          <w:i/>
          <w:lang w:val="es-MX"/>
        </w:rPr>
      </w:pPr>
      <w:r w:rsidRPr="00E06FC2">
        <w:rPr>
          <w:rFonts w:cs="Arial"/>
          <w:bCs/>
          <w:i/>
          <w:lang w:val="es-MX"/>
        </w:rPr>
        <w:t>“</w:t>
      </w:r>
      <w:r w:rsidR="0005011E" w:rsidRPr="00E06FC2">
        <w:rPr>
          <w:rFonts w:cs="Arial"/>
          <w:bCs/>
          <w:i/>
          <w:lang w:val="es-MX"/>
        </w:rPr>
        <w:t>(…)</w:t>
      </w:r>
      <w:r w:rsidRPr="00E06FC2">
        <w:rPr>
          <w:rFonts w:cs="Arial"/>
          <w:bCs/>
          <w:i/>
          <w:lang w:val="es-MX"/>
        </w:rPr>
        <w:t>,</w:t>
      </w:r>
    </w:p>
    <w:p w14:paraId="7E1F7FFE" w14:textId="77777777" w:rsidR="0005011E" w:rsidRPr="00E06FC2" w:rsidRDefault="0005011E" w:rsidP="00743788">
      <w:pPr>
        <w:spacing w:line="276" w:lineRule="auto"/>
        <w:ind w:left="567" w:right="567"/>
        <w:rPr>
          <w:rFonts w:cs="Arial"/>
          <w:bCs/>
          <w:i/>
          <w:lang w:val="es-MX"/>
        </w:rPr>
      </w:pPr>
    </w:p>
    <w:p w14:paraId="197E422A" w14:textId="77777777" w:rsidR="0005011E" w:rsidRPr="00E06FC2" w:rsidRDefault="00272C1F" w:rsidP="00743788">
      <w:pPr>
        <w:spacing w:line="276" w:lineRule="auto"/>
        <w:ind w:left="567" w:right="567"/>
        <w:rPr>
          <w:rFonts w:cs="Arial"/>
          <w:bCs/>
          <w:i/>
          <w:lang w:val="es-MX"/>
        </w:rPr>
      </w:pPr>
      <w:r w:rsidRPr="00E06FC2">
        <w:rPr>
          <w:rFonts w:cs="Arial"/>
          <w:bCs/>
          <w:i/>
          <w:lang w:val="es-MX"/>
        </w:rPr>
        <w:t>“</w:t>
      </w:r>
      <w:r w:rsidR="0005011E" w:rsidRPr="00E06FC2">
        <w:rPr>
          <w:rFonts w:cs="Arial"/>
          <w:bCs/>
          <w:i/>
          <w:lang w:val="es-MX"/>
        </w:rPr>
        <w:t>La interpretación hecha por el ‘ad quo’ no respeta los Principios Constitucionales de Participación e Igualdad, es discriminatoria de la empresa nacional al limitar injustificadamente su participación en pocos productos, razón por la cual el ‘ad quem’ debe revocar la sentencia proferida y en su lugar dictar fallo que niegue las pretensiones de la demanda”</w:t>
      </w:r>
      <w:r w:rsidR="0005011E" w:rsidRPr="00E06FC2">
        <w:rPr>
          <w:rStyle w:val="Refdenotaalpie"/>
          <w:rFonts w:cs="Arial"/>
          <w:bCs/>
          <w:i/>
          <w:lang w:val="es-MX"/>
        </w:rPr>
        <w:footnoteReference w:id="27"/>
      </w:r>
      <w:r w:rsidR="0005011E" w:rsidRPr="00E06FC2">
        <w:rPr>
          <w:rFonts w:cs="Arial"/>
          <w:bCs/>
          <w:i/>
          <w:lang w:val="es-MX"/>
        </w:rPr>
        <w:t>.</w:t>
      </w:r>
    </w:p>
    <w:p w14:paraId="1BBD07B9" w14:textId="77777777" w:rsidR="0005011E" w:rsidRPr="00E06FC2" w:rsidRDefault="0005011E" w:rsidP="00743788">
      <w:pPr>
        <w:ind w:right="567"/>
        <w:rPr>
          <w:rFonts w:cs="Arial"/>
          <w:bCs/>
          <w:lang w:val="es-MX"/>
        </w:rPr>
      </w:pPr>
    </w:p>
    <w:p w14:paraId="3DDDFC1B" w14:textId="77777777" w:rsidR="0005011E" w:rsidRPr="00E06FC2" w:rsidRDefault="00F47DFF" w:rsidP="00743788">
      <w:pPr>
        <w:rPr>
          <w:rFonts w:cs="Arial"/>
          <w:bCs/>
          <w:lang w:val="es-MX"/>
        </w:rPr>
      </w:pPr>
      <w:r w:rsidRPr="00E06FC2">
        <w:rPr>
          <w:rFonts w:cs="Arial"/>
          <w:b/>
          <w:bCs/>
          <w:lang w:val="es-MX"/>
        </w:rPr>
        <w:t>6.4.3.</w:t>
      </w:r>
      <w:r w:rsidR="0005011E" w:rsidRPr="00E06FC2">
        <w:rPr>
          <w:rFonts w:cs="Arial"/>
          <w:bCs/>
          <w:lang w:val="es-MX"/>
        </w:rPr>
        <w:t xml:space="preserve"> </w:t>
      </w:r>
      <w:r w:rsidR="00DF4815" w:rsidRPr="00E06FC2">
        <w:rPr>
          <w:rFonts w:cs="Arial"/>
          <w:bCs/>
          <w:lang w:val="es-MX"/>
        </w:rPr>
        <w:t xml:space="preserve">Esta apelante </w:t>
      </w:r>
      <w:r w:rsidR="0005011E" w:rsidRPr="00E06FC2">
        <w:rPr>
          <w:rFonts w:cs="Arial"/>
          <w:bCs/>
          <w:lang w:val="es-MX"/>
        </w:rPr>
        <w:t>invocó</w:t>
      </w:r>
      <w:r w:rsidR="00DF4815" w:rsidRPr="00E06FC2">
        <w:rPr>
          <w:rFonts w:cs="Arial"/>
          <w:bCs/>
          <w:lang w:val="es-MX"/>
        </w:rPr>
        <w:t xml:space="preserve">, también, </w:t>
      </w:r>
      <w:r w:rsidR="0005011E" w:rsidRPr="00E06FC2">
        <w:rPr>
          <w:rFonts w:cs="Arial"/>
          <w:bCs/>
          <w:lang w:val="es-MX"/>
        </w:rPr>
        <w:t xml:space="preserve">las inconsistencias y causales de rechazo </w:t>
      </w:r>
      <w:r w:rsidR="00ED2925" w:rsidRPr="00E06FC2">
        <w:rPr>
          <w:rFonts w:cs="Arial"/>
          <w:bCs/>
          <w:lang w:val="es-MX"/>
        </w:rPr>
        <w:t xml:space="preserve">que afectaron </w:t>
      </w:r>
      <w:r w:rsidR="0005011E" w:rsidRPr="00E06FC2">
        <w:rPr>
          <w:rFonts w:cs="Arial"/>
          <w:bCs/>
          <w:lang w:val="es-MX"/>
        </w:rPr>
        <w:t>la propuesta presentada por la U</w:t>
      </w:r>
      <w:r w:rsidR="00ED2925" w:rsidRPr="00E06FC2">
        <w:rPr>
          <w:rFonts w:cs="Arial"/>
          <w:bCs/>
          <w:lang w:val="es-MX"/>
        </w:rPr>
        <w:t xml:space="preserve">T General Electric – Electro Atlántico. </w:t>
      </w:r>
      <w:r w:rsidR="00DF4815" w:rsidRPr="00E06FC2">
        <w:rPr>
          <w:rFonts w:cs="Arial"/>
          <w:bCs/>
          <w:lang w:val="es-MX"/>
        </w:rPr>
        <w:t>Indicó que, a</w:t>
      </w:r>
      <w:r w:rsidR="0005011E" w:rsidRPr="00E06FC2">
        <w:rPr>
          <w:rFonts w:cs="Arial"/>
          <w:bCs/>
          <w:lang w:val="es-MX"/>
        </w:rPr>
        <w:t xml:space="preserve"> su juicio</w:t>
      </w:r>
      <w:r w:rsidR="00DF4815" w:rsidRPr="00E06FC2">
        <w:rPr>
          <w:rFonts w:cs="Arial"/>
          <w:bCs/>
          <w:lang w:val="es-MX"/>
        </w:rPr>
        <w:t>,</w:t>
      </w:r>
      <w:r w:rsidR="0005011E" w:rsidRPr="00E06FC2">
        <w:rPr>
          <w:rFonts w:cs="Arial"/>
          <w:bCs/>
          <w:lang w:val="es-MX"/>
        </w:rPr>
        <w:t xml:space="preserve"> </w:t>
      </w:r>
      <w:r w:rsidR="002E0413" w:rsidRPr="00E06FC2">
        <w:rPr>
          <w:rFonts w:cs="Arial"/>
          <w:bCs/>
          <w:lang w:val="es-MX"/>
        </w:rPr>
        <w:t xml:space="preserve">el Tribunal </w:t>
      </w:r>
      <w:r w:rsidR="002E0413" w:rsidRPr="00E06FC2">
        <w:rPr>
          <w:rFonts w:cs="Arial"/>
          <w:bCs/>
          <w:i/>
          <w:lang w:val="es-MX"/>
        </w:rPr>
        <w:t>a quo</w:t>
      </w:r>
      <w:r w:rsidR="002E0413" w:rsidRPr="00E06FC2">
        <w:rPr>
          <w:rFonts w:cs="Arial"/>
          <w:bCs/>
          <w:lang w:val="es-MX"/>
        </w:rPr>
        <w:t xml:space="preserve"> </w:t>
      </w:r>
      <w:r w:rsidR="0005011E" w:rsidRPr="00E06FC2">
        <w:rPr>
          <w:rFonts w:cs="Arial"/>
          <w:bCs/>
          <w:lang w:val="es-MX"/>
        </w:rPr>
        <w:t xml:space="preserve">ha debido </w:t>
      </w:r>
      <w:r w:rsidR="00ED2925" w:rsidRPr="00E06FC2">
        <w:rPr>
          <w:rFonts w:cs="Arial"/>
          <w:bCs/>
          <w:lang w:val="es-MX"/>
        </w:rPr>
        <w:t xml:space="preserve">advertir </w:t>
      </w:r>
      <w:r w:rsidR="0005011E" w:rsidRPr="00E06FC2">
        <w:rPr>
          <w:rFonts w:cs="Arial"/>
          <w:bCs/>
          <w:lang w:val="es-MX"/>
        </w:rPr>
        <w:t xml:space="preserve">que </w:t>
      </w:r>
      <w:r w:rsidR="00DF4815" w:rsidRPr="00E06FC2">
        <w:rPr>
          <w:rFonts w:cs="Arial"/>
          <w:bCs/>
          <w:lang w:val="es-MX"/>
        </w:rPr>
        <w:t>la</w:t>
      </w:r>
      <w:r w:rsidR="002E0413" w:rsidRPr="00E06FC2">
        <w:rPr>
          <w:rFonts w:cs="Arial"/>
          <w:bCs/>
          <w:lang w:val="es-MX"/>
        </w:rPr>
        <w:t xml:space="preserve"> unión temporal</w:t>
      </w:r>
      <w:r w:rsidR="00DF4815" w:rsidRPr="00E06FC2">
        <w:rPr>
          <w:rFonts w:cs="Arial"/>
          <w:bCs/>
          <w:lang w:val="es-MX"/>
        </w:rPr>
        <w:t>, ahora demandante,</w:t>
      </w:r>
      <w:r w:rsidR="002E0413" w:rsidRPr="00E06FC2">
        <w:rPr>
          <w:rFonts w:cs="Arial"/>
          <w:bCs/>
          <w:lang w:val="es-MX"/>
        </w:rPr>
        <w:t xml:space="preserve"> </w:t>
      </w:r>
      <w:r w:rsidR="0005011E" w:rsidRPr="00E06FC2">
        <w:rPr>
          <w:rFonts w:cs="Arial"/>
          <w:bCs/>
          <w:lang w:val="es-MX"/>
        </w:rPr>
        <w:t xml:space="preserve">no presentó las muestras de luminarias de 70W y 400W, que no aportó el esquema financiero de la propuesta, ni </w:t>
      </w:r>
      <w:r w:rsidR="00FF081F" w:rsidRPr="00E06FC2">
        <w:rPr>
          <w:rFonts w:cs="Arial"/>
          <w:bCs/>
          <w:lang w:val="es-MX"/>
        </w:rPr>
        <w:t>cumplió con el requisito de a</w:t>
      </w:r>
      <w:r w:rsidR="001C29F2" w:rsidRPr="00E06FC2">
        <w:rPr>
          <w:rFonts w:cs="Arial"/>
          <w:bCs/>
          <w:lang w:val="es-MX"/>
        </w:rPr>
        <w:t>llegar</w:t>
      </w:r>
      <w:r w:rsidR="00FF081F" w:rsidRPr="00E06FC2">
        <w:rPr>
          <w:rFonts w:cs="Arial"/>
          <w:bCs/>
          <w:lang w:val="es-MX"/>
        </w:rPr>
        <w:t xml:space="preserve"> </w:t>
      </w:r>
      <w:r w:rsidR="0005011E" w:rsidRPr="00E06FC2">
        <w:rPr>
          <w:rFonts w:cs="Arial"/>
          <w:bCs/>
          <w:lang w:val="es-MX"/>
        </w:rPr>
        <w:t>la declaración de renta de los dos últimos años.</w:t>
      </w:r>
    </w:p>
    <w:p w14:paraId="081D5E9F" w14:textId="77777777" w:rsidR="0005011E" w:rsidRPr="00E06FC2" w:rsidRDefault="0005011E" w:rsidP="00743788">
      <w:pPr>
        <w:ind w:right="567"/>
        <w:rPr>
          <w:rFonts w:cs="Arial"/>
          <w:bCs/>
          <w:lang w:val="es-MX"/>
        </w:rPr>
      </w:pPr>
    </w:p>
    <w:p w14:paraId="69C39FD3" w14:textId="77777777" w:rsidR="0005011E" w:rsidRPr="00E06FC2" w:rsidRDefault="00926BDE" w:rsidP="00743788">
      <w:pPr>
        <w:rPr>
          <w:rFonts w:cs="Arial"/>
          <w:bCs/>
          <w:lang w:val="es-MX"/>
        </w:rPr>
      </w:pPr>
      <w:r w:rsidRPr="00E06FC2">
        <w:rPr>
          <w:rFonts w:cs="Arial"/>
          <w:bCs/>
          <w:lang w:val="es-MX"/>
        </w:rPr>
        <w:t>Así</w:t>
      </w:r>
      <w:r w:rsidR="0005011E" w:rsidRPr="00E06FC2">
        <w:rPr>
          <w:rFonts w:cs="Arial"/>
          <w:bCs/>
          <w:lang w:val="es-MX"/>
        </w:rPr>
        <w:t xml:space="preserve"> las cosas, advirtió que la sentencia no podía considerar </w:t>
      </w:r>
      <w:r w:rsidR="00ED2925" w:rsidRPr="00E06FC2">
        <w:rPr>
          <w:rFonts w:cs="Arial"/>
          <w:bCs/>
          <w:lang w:val="es-MX"/>
        </w:rPr>
        <w:t>a</w:t>
      </w:r>
      <w:r w:rsidR="0005011E" w:rsidRPr="00E06FC2">
        <w:rPr>
          <w:rFonts w:cs="Arial"/>
          <w:bCs/>
          <w:lang w:val="es-MX"/>
        </w:rPr>
        <w:t xml:space="preserve"> la propuesta de la demandante </w:t>
      </w:r>
      <w:r w:rsidR="00ED2925" w:rsidRPr="00E06FC2">
        <w:rPr>
          <w:rFonts w:cs="Arial"/>
          <w:bCs/>
          <w:lang w:val="es-MX"/>
        </w:rPr>
        <w:t xml:space="preserve">como </w:t>
      </w:r>
      <w:r w:rsidR="0005011E" w:rsidRPr="00E06FC2">
        <w:rPr>
          <w:rFonts w:cs="Arial"/>
          <w:bCs/>
          <w:lang w:val="es-MX"/>
        </w:rPr>
        <w:t xml:space="preserve">la mejor, toda vez </w:t>
      </w:r>
      <w:r w:rsidR="003A00B3" w:rsidRPr="00E06FC2">
        <w:rPr>
          <w:rFonts w:cs="Arial"/>
          <w:bCs/>
          <w:lang w:val="es-MX"/>
        </w:rPr>
        <w:t xml:space="preserve">que </w:t>
      </w:r>
      <w:r w:rsidR="001C29F2" w:rsidRPr="00E06FC2">
        <w:rPr>
          <w:rFonts w:cs="Arial"/>
          <w:bCs/>
          <w:lang w:val="es-MX"/>
        </w:rPr>
        <w:t xml:space="preserve">esa propuesta </w:t>
      </w:r>
      <w:r w:rsidR="0005011E" w:rsidRPr="00E06FC2">
        <w:rPr>
          <w:rFonts w:cs="Arial"/>
          <w:bCs/>
          <w:lang w:val="es-MX"/>
        </w:rPr>
        <w:t xml:space="preserve">nunca debió ser evaluada. </w:t>
      </w:r>
    </w:p>
    <w:p w14:paraId="10D745FC" w14:textId="77777777" w:rsidR="00DF62CA" w:rsidRPr="00E06FC2" w:rsidRDefault="00DF62CA" w:rsidP="00743788">
      <w:pPr>
        <w:rPr>
          <w:rFonts w:cs="Arial"/>
          <w:bCs/>
          <w:lang w:val="es-MX"/>
        </w:rPr>
      </w:pPr>
    </w:p>
    <w:p w14:paraId="2DA49057" w14:textId="77777777" w:rsidR="0005011E" w:rsidRPr="00E06FC2" w:rsidRDefault="0005011E" w:rsidP="00743788">
      <w:pPr>
        <w:rPr>
          <w:rFonts w:cs="Arial"/>
          <w:bCs/>
          <w:lang w:val="es-MX"/>
        </w:rPr>
      </w:pPr>
      <w:r w:rsidRPr="00E06FC2">
        <w:rPr>
          <w:rFonts w:cs="Arial"/>
          <w:bCs/>
          <w:lang w:val="es-MX"/>
        </w:rPr>
        <w:t>Igualmente</w:t>
      </w:r>
      <w:r w:rsidR="001C29F2" w:rsidRPr="00E06FC2">
        <w:rPr>
          <w:rFonts w:cs="Arial"/>
          <w:bCs/>
          <w:lang w:val="es-MX"/>
        </w:rPr>
        <w:t>,</w:t>
      </w:r>
      <w:r w:rsidRPr="00E06FC2">
        <w:rPr>
          <w:rFonts w:cs="Arial"/>
          <w:bCs/>
          <w:lang w:val="es-MX"/>
        </w:rPr>
        <w:t xml:space="preserve"> expuso que </w:t>
      </w:r>
      <w:r w:rsidR="00DF62CA" w:rsidRPr="00E06FC2">
        <w:rPr>
          <w:rFonts w:cs="Arial"/>
          <w:bCs/>
          <w:lang w:val="es-MX"/>
        </w:rPr>
        <w:t xml:space="preserve">en </w:t>
      </w:r>
      <w:r w:rsidRPr="00E06FC2">
        <w:rPr>
          <w:rFonts w:cs="Arial"/>
          <w:bCs/>
          <w:lang w:val="es-MX"/>
        </w:rPr>
        <w:t xml:space="preserve">la </w:t>
      </w:r>
      <w:r w:rsidR="00ED2925" w:rsidRPr="00E06FC2">
        <w:rPr>
          <w:rFonts w:cs="Arial"/>
          <w:bCs/>
          <w:lang w:val="es-MX"/>
        </w:rPr>
        <w:t xml:space="preserve">sentencia </w:t>
      </w:r>
      <w:r w:rsidR="00FF081F" w:rsidRPr="00E06FC2">
        <w:rPr>
          <w:rFonts w:cs="Arial"/>
          <w:bCs/>
          <w:lang w:val="es-MX"/>
        </w:rPr>
        <w:t xml:space="preserve">de primera instancia </w:t>
      </w:r>
      <w:r w:rsidR="00ED2925" w:rsidRPr="00E06FC2">
        <w:rPr>
          <w:rFonts w:cs="Arial"/>
          <w:bCs/>
          <w:lang w:val="es-MX"/>
        </w:rPr>
        <w:t xml:space="preserve">no </w:t>
      </w:r>
      <w:r w:rsidR="00DF62CA" w:rsidRPr="00E06FC2">
        <w:rPr>
          <w:rFonts w:cs="Arial"/>
          <w:bCs/>
          <w:lang w:val="es-MX"/>
        </w:rPr>
        <w:t xml:space="preserve">se </w:t>
      </w:r>
      <w:r w:rsidR="00ED2925" w:rsidRPr="00E06FC2">
        <w:rPr>
          <w:rFonts w:cs="Arial"/>
          <w:bCs/>
          <w:lang w:val="es-MX"/>
        </w:rPr>
        <w:t xml:space="preserve">tuvo </w:t>
      </w:r>
      <w:r w:rsidR="002E0413" w:rsidRPr="00E06FC2">
        <w:rPr>
          <w:rFonts w:cs="Arial"/>
          <w:bCs/>
          <w:lang w:val="es-MX"/>
        </w:rPr>
        <w:t xml:space="preserve">en cuenta </w:t>
      </w:r>
      <w:r w:rsidR="00ED2925" w:rsidRPr="00E06FC2">
        <w:rPr>
          <w:rFonts w:cs="Arial"/>
          <w:bCs/>
          <w:lang w:val="es-MX"/>
        </w:rPr>
        <w:t xml:space="preserve">que la </w:t>
      </w:r>
      <w:r w:rsidRPr="00E06FC2">
        <w:rPr>
          <w:rFonts w:cs="Arial"/>
          <w:bCs/>
          <w:lang w:val="es-MX"/>
        </w:rPr>
        <w:t xml:space="preserve">evaluación económica y financiera </w:t>
      </w:r>
      <w:r w:rsidR="002E0413" w:rsidRPr="00E06FC2">
        <w:rPr>
          <w:rFonts w:cs="Arial"/>
          <w:bCs/>
          <w:lang w:val="es-MX"/>
        </w:rPr>
        <w:t xml:space="preserve">arrojó </w:t>
      </w:r>
      <w:r w:rsidRPr="00E06FC2">
        <w:rPr>
          <w:rFonts w:cs="Arial"/>
          <w:bCs/>
          <w:lang w:val="es-MX"/>
        </w:rPr>
        <w:t xml:space="preserve">una calificación deficiente </w:t>
      </w:r>
      <w:r w:rsidR="002E0413" w:rsidRPr="00E06FC2">
        <w:rPr>
          <w:rFonts w:cs="Arial"/>
          <w:bCs/>
          <w:lang w:val="es-MX"/>
        </w:rPr>
        <w:t xml:space="preserve">para </w:t>
      </w:r>
      <w:r w:rsidRPr="00E06FC2">
        <w:rPr>
          <w:rFonts w:cs="Arial"/>
          <w:bCs/>
          <w:lang w:val="es-MX"/>
        </w:rPr>
        <w:t xml:space="preserve">la propuesta </w:t>
      </w:r>
      <w:r w:rsidR="00DF62CA" w:rsidRPr="00E06FC2">
        <w:rPr>
          <w:rFonts w:cs="Arial"/>
          <w:bCs/>
          <w:lang w:val="es-MX"/>
        </w:rPr>
        <w:t>de la</w:t>
      </w:r>
      <w:r w:rsidRPr="00E06FC2">
        <w:rPr>
          <w:rFonts w:cs="Arial"/>
          <w:bCs/>
          <w:lang w:val="es-MX"/>
        </w:rPr>
        <w:t xml:space="preserve"> demandante</w:t>
      </w:r>
      <w:r w:rsidR="00ED2925" w:rsidRPr="00E06FC2">
        <w:rPr>
          <w:rFonts w:cs="Arial"/>
          <w:bCs/>
          <w:lang w:val="es-MX"/>
        </w:rPr>
        <w:t>, debido</w:t>
      </w:r>
      <w:r w:rsidRPr="00E06FC2">
        <w:rPr>
          <w:rFonts w:cs="Arial"/>
          <w:bCs/>
          <w:lang w:val="es-MX"/>
        </w:rPr>
        <w:t xml:space="preserve"> </w:t>
      </w:r>
      <w:r w:rsidR="00ED2925" w:rsidRPr="00E06FC2">
        <w:rPr>
          <w:rFonts w:cs="Arial"/>
          <w:bCs/>
          <w:lang w:val="es-MX"/>
        </w:rPr>
        <w:t>a</w:t>
      </w:r>
      <w:r w:rsidRPr="00E06FC2">
        <w:rPr>
          <w:rFonts w:cs="Arial"/>
          <w:bCs/>
          <w:lang w:val="es-MX"/>
        </w:rPr>
        <w:t xml:space="preserve"> </w:t>
      </w:r>
      <w:r w:rsidR="00ED2925" w:rsidRPr="00E06FC2">
        <w:rPr>
          <w:rFonts w:cs="Arial"/>
          <w:bCs/>
          <w:lang w:val="es-MX"/>
        </w:rPr>
        <w:t xml:space="preserve">la </w:t>
      </w:r>
      <w:r w:rsidRPr="00E06FC2">
        <w:rPr>
          <w:rFonts w:cs="Arial"/>
          <w:bCs/>
          <w:lang w:val="es-MX"/>
        </w:rPr>
        <w:t>falta de aporte de capital de riesgo</w:t>
      </w:r>
      <w:r w:rsidR="001C29F2" w:rsidRPr="00E06FC2">
        <w:rPr>
          <w:rFonts w:cs="Arial"/>
          <w:bCs/>
          <w:lang w:val="es-MX"/>
        </w:rPr>
        <w:t>;</w:t>
      </w:r>
      <w:r w:rsidRPr="00E06FC2">
        <w:rPr>
          <w:rFonts w:cs="Arial"/>
          <w:bCs/>
          <w:lang w:val="es-MX"/>
        </w:rPr>
        <w:t xml:space="preserve"> </w:t>
      </w:r>
      <w:r w:rsidR="00ED2925" w:rsidRPr="00E06FC2">
        <w:rPr>
          <w:rFonts w:cs="Arial"/>
          <w:bCs/>
          <w:lang w:val="es-MX"/>
        </w:rPr>
        <w:t xml:space="preserve">a </w:t>
      </w:r>
      <w:r w:rsidR="00FF081F" w:rsidRPr="00E06FC2">
        <w:rPr>
          <w:rFonts w:cs="Arial"/>
          <w:bCs/>
          <w:lang w:val="es-MX"/>
        </w:rPr>
        <w:t xml:space="preserve">que </w:t>
      </w:r>
      <w:r w:rsidRPr="00E06FC2">
        <w:rPr>
          <w:rFonts w:cs="Arial"/>
          <w:bCs/>
          <w:lang w:val="es-MX"/>
        </w:rPr>
        <w:t xml:space="preserve">no </w:t>
      </w:r>
      <w:r w:rsidR="00ED2925" w:rsidRPr="00E06FC2">
        <w:rPr>
          <w:rFonts w:cs="Arial"/>
          <w:bCs/>
          <w:lang w:val="es-MX"/>
        </w:rPr>
        <w:t>contempl</w:t>
      </w:r>
      <w:r w:rsidR="00FF081F" w:rsidRPr="00E06FC2">
        <w:rPr>
          <w:rFonts w:cs="Arial"/>
          <w:bCs/>
          <w:lang w:val="es-MX"/>
        </w:rPr>
        <w:t>ó</w:t>
      </w:r>
      <w:r w:rsidR="00ED2925" w:rsidRPr="00E06FC2">
        <w:rPr>
          <w:rFonts w:cs="Arial"/>
          <w:bCs/>
          <w:lang w:val="es-MX"/>
        </w:rPr>
        <w:t xml:space="preserve"> los </w:t>
      </w:r>
      <w:r w:rsidRPr="00E06FC2">
        <w:rPr>
          <w:rFonts w:cs="Arial"/>
          <w:bCs/>
          <w:lang w:val="es-MX"/>
        </w:rPr>
        <w:t>rendimientos financieros</w:t>
      </w:r>
      <w:r w:rsidR="001C29F2" w:rsidRPr="00E06FC2">
        <w:rPr>
          <w:rFonts w:cs="Arial"/>
          <w:bCs/>
          <w:lang w:val="es-MX"/>
        </w:rPr>
        <w:t>;</w:t>
      </w:r>
      <w:r w:rsidRPr="00E06FC2">
        <w:rPr>
          <w:rFonts w:cs="Arial"/>
          <w:bCs/>
          <w:lang w:val="es-MX"/>
        </w:rPr>
        <w:t xml:space="preserve"> no present</w:t>
      </w:r>
      <w:r w:rsidR="001C29F2" w:rsidRPr="00E06FC2">
        <w:rPr>
          <w:rFonts w:cs="Arial"/>
          <w:bCs/>
          <w:lang w:val="es-MX"/>
        </w:rPr>
        <w:t>ó</w:t>
      </w:r>
      <w:r w:rsidRPr="00E06FC2">
        <w:rPr>
          <w:rFonts w:cs="Arial"/>
          <w:bCs/>
          <w:lang w:val="es-MX"/>
        </w:rPr>
        <w:t xml:space="preserve"> las variables utilizadas para la proyección financiera</w:t>
      </w:r>
      <w:r w:rsidR="001C29F2" w:rsidRPr="00E06FC2">
        <w:rPr>
          <w:rFonts w:cs="Arial"/>
          <w:bCs/>
          <w:lang w:val="es-MX"/>
        </w:rPr>
        <w:t>;</w:t>
      </w:r>
      <w:r w:rsidRPr="00E06FC2">
        <w:rPr>
          <w:rFonts w:cs="Arial"/>
          <w:bCs/>
          <w:lang w:val="es-MX"/>
        </w:rPr>
        <w:t xml:space="preserve"> no calcul</w:t>
      </w:r>
      <w:r w:rsidR="00FF081F" w:rsidRPr="00E06FC2">
        <w:rPr>
          <w:rFonts w:cs="Arial"/>
          <w:bCs/>
          <w:lang w:val="es-MX"/>
        </w:rPr>
        <w:t>ó</w:t>
      </w:r>
      <w:r w:rsidRPr="00E06FC2">
        <w:rPr>
          <w:rFonts w:cs="Arial"/>
          <w:bCs/>
          <w:lang w:val="es-MX"/>
        </w:rPr>
        <w:t xml:space="preserve"> el valor presente </w:t>
      </w:r>
      <w:r w:rsidR="00ED2925" w:rsidRPr="00E06FC2">
        <w:rPr>
          <w:rFonts w:cs="Arial"/>
          <w:bCs/>
          <w:lang w:val="es-MX"/>
        </w:rPr>
        <w:t>d</w:t>
      </w:r>
      <w:r w:rsidRPr="00E06FC2">
        <w:rPr>
          <w:rFonts w:cs="Arial"/>
          <w:bCs/>
          <w:lang w:val="es-MX"/>
        </w:rPr>
        <w:t>e</w:t>
      </w:r>
      <w:r w:rsidR="001C29F2" w:rsidRPr="00E06FC2">
        <w:rPr>
          <w:rFonts w:cs="Arial"/>
          <w:bCs/>
          <w:lang w:val="es-MX"/>
        </w:rPr>
        <w:t xml:space="preserve">l rubro de </w:t>
      </w:r>
      <w:r w:rsidRPr="00E06FC2">
        <w:rPr>
          <w:rFonts w:cs="Arial"/>
          <w:bCs/>
          <w:lang w:val="es-MX"/>
        </w:rPr>
        <w:t xml:space="preserve">operación y </w:t>
      </w:r>
      <w:r w:rsidRPr="00E06FC2">
        <w:rPr>
          <w:rFonts w:cs="Arial"/>
          <w:bCs/>
          <w:lang w:val="es-MX"/>
        </w:rPr>
        <w:lastRenderedPageBreak/>
        <w:t>mantenimiento, ni los resultados de los ejercicios, ni la tasa interna de retorno</w:t>
      </w:r>
      <w:r w:rsidR="00DB53A0" w:rsidRPr="00E06FC2">
        <w:rPr>
          <w:rFonts w:cs="Arial"/>
          <w:bCs/>
          <w:lang w:val="es-MX"/>
        </w:rPr>
        <w:t xml:space="preserve"> (TIR)</w:t>
      </w:r>
      <w:r w:rsidR="00FF081F" w:rsidRPr="00E06FC2">
        <w:rPr>
          <w:rFonts w:cs="Arial"/>
          <w:bCs/>
          <w:lang w:val="es-MX"/>
        </w:rPr>
        <w:t>, como se hizo constar en el informe de evaluación</w:t>
      </w:r>
      <w:r w:rsidRPr="00E06FC2">
        <w:rPr>
          <w:rFonts w:cs="Arial"/>
          <w:bCs/>
          <w:lang w:val="es-MX"/>
        </w:rPr>
        <w:t>.</w:t>
      </w:r>
    </w:p>
    <w:p w14:paraId="1D423180" w14:textId="77777777" w:rsidR="0005011E" w:rsidRPr="00E06FC2" w:rsidRDefault="0005011E" w:rsidP="00743788">
      <w:pPr>
        <w:rPr>
          <w:rFonts w:cs="Arial"/>
          <w:bCs/>
          <w:lang w:val="es-MX"/>
        </w:rPr>
      </w:pPr>
    </w:p>
    <w:p w14:paraId="0F71B174" w14:textId="77777777" w:rsidR="0005011E" w:rsidRPr="00E06FC2" w:rsidRDefault="00F47DFF" w:rsidP="00743788">
      <w:pPr>
        <w:rPr>
          <w:rFonts w:cs="Arial"/>
          <w:bCs/>
          <w:lang w:val="es-MX"/>
        </w:rPr>
      </w:pPr>
      <w:r w:rsidRPr="00E06FC2">
        <w:rPr>
          <w:rFonts w:cs="Arial"/>
          <w:b/>
          <w:bCs/>
          <w:lang w:val="es-MX"/>
        </w:rPr>
        <w:t>6.4.4.</w:t>
      </w:r>
      <w:r w:rsidR="0005011E" w:rsidRPr="00E06FC2">
        <w:rPr>
          <w:rFonts w:cs="Arial"/>
          <w:bCs/>
          <w:lang w:val="es-MX"/>
        </w:rPr>
        <w:t xml:space="preserve"> En relación con el cálculo del lucro cesante, argumentó la apelante que la sentencia </w:t>
      </w:r>
      <w:r w:rsidR="00ED2925" w:rsidRPr="00E06FC2">
        <w:rPr>
          <w:rFonts w:cs="Arial"/>
          <w:bCs/>
          <w:lang w:val="es-MX"/>
        </w:rPr>
        <w:t xml:space="preserve">de primera instancia </w:t>
      </w:r>
      <w:r w:rsidR="0005011E" w:rsidRPr="00E06FC2">
        <w:rPr>
          <w:rFonts w:cs="Arial"/>
          <w:bCs/>
          <w:lang w:val="es-MX"/>
        </w:rPr>
        <w:t xml:space="preserve">carece de fundamento probatorio, toda vez que el Tribunal </w:t>
      </w:r>
      <w:r w:rsidR="0005011E" w:rsidRPr="00E06FC2">
        <w:rPr>
          <w:rFonts w:cs="Arial"/>
          <w:bCs/>
          <w:i/>
          <w:lang w:val="es-MX"/>
        </w:rPr>
        <w:t>a quo</w:t>
      </w:r>
      <w:r w:rsidR="0005011E" w:rsidRPr="00E06FC2">
        <w:rPr>
          <w:rFonts w:cs="Arial"/>
          <w:bCs/>
          <w:lang w:val="es-MX"/>
        </w:rPr>
        <w:t xml:space="preserve"> se basó en una simple afirmación de la propuesta en cuanto a la utilidad esperada y que los peritos </w:t>
      </w:r>
      <w:r w:rsidR="00DB53A0" w:rsidRPr="00E06FC2">
        <w:rPr>
          <w:rFonts w:cs="Arial"/>
          <w:bCs/>
          <w:lang w:val="es-MX"/>
        </w:rPr>
        <w:t xml:space="preserve">no analizaron </w:t>
      </w:r>
      <w:r w:rsidR="0005011E" w:rsidRPr="00E06FC2">
        <w:rPr>
          <w:rFonts w:cs="Arial"/>
          <w:bCs/>
          <w:lang w:val="es-MX"/>
        </w:rPr>
        <w:t xml:space="preserve">los informes mensuales de </w:t>
      </w:r>
      <w:r w:rsidR="001762D7" w:rsidRPr="00E06FC2">
        <w:rPr>
          <w:rFonts w:cs="Arial"/>
          <w:bCs/>
          <w:lang w:val="es-MX"/>
        </w:rPr>
        <w:t xml:space="preserve">la </w:t>
      </w:r>
      <w:r w:rsidR="0005011E" w:rsidRPr="00E06FC2">
        <w:rPr>
          <w:rFonts w:cs="Arial"/>
          <w:bCs/>
          <w:lang w:val="es-MX"/>
        </w:rPr>
        <w:t xml:space="preserve">ejecución </w:t>
      </w:r>
      <w:r w:rsidR="001762D7" w:rsidRPr="00E06FC2">
        <w:rPr>
          <w:rFonts w:cs="Arial"/>
          <w:bCs/>
          <w:lang w:val="es-MX"/>
        </w:rPr>
        <w:t xml:space="preserve">real de la concesión, </w:t>
      </w:r>
      <w:r w:rsidR="00ED2925" w:rsidRPr="00E06FC2">
        <w:rPr>
          <w:rFonts w:cs="Arial"/>
          <w:bCs/>
          <w:lang w:val="es-MX"/>
        </w:rPr>
        <w:t xml:space="preserve">presentados para el período comprendido </w:t>
      </w:r>
      <w:r w:rsidR="0005011E" w:rsidRPr="00E06FC2">
        <w:rPr>
          <w:rFonts w:cs="Arial"/>
          <w:bCs/>
          <w:lang w:val="es-MX"/>
        </w:rPr>
        <w:t xml:space="preserve">entre </w:t>
      </w:r>
      <w:r w:rsidR="00ED2925" w:rsidRPr="00E06FC2">
        <w:rPr>
          <w:rFonts w:cs="Arial"/>
          <w:bCs/>
          <w:lang w:val="es-MX"/>
        </w:rPr>
        <w:t xml:space="preserve">el </w:t>
      </w:r>
      <w:r w:rsidR="0005011E" w:rsidRPr="00E06FC2">
        <w:rPr>
          <w:rFonts w:cs="Arial"/>
          <w:bCs/>
          <w:lang w:val="es-MX"/>
        </w:rPr>
        <w:t xml:space="preserve">1º de noviembre de 1997 y </w:t>
      </w:r>
      <w:r w:rsidR="00ED2925" w:rsidRPr="00E06FC2">
        <w:rPr>
          <w:rFonts w:cs="Arial"/>
          <w:bCs/>
          <w:lang w:val="es-MX"/>
        </w:rPr>
        <w:t xml:space="preserve">el </w:t>
      </w:r>
      <w:r w:rsidR="0005011E" w:rsidRPr="00E06FC2">
        <w:rPr>
          <w:rFonts w:cs="Arial"/>
          <w:bCs/>
          <w:lang w:val="es-MX"/>
        </w:rPr>
        <w:t xml:space="preserve">31 de diciembre de 1998, los cuales fueron puestos a </w:t>
      </w:r>
      <w:r w:rsidR="00A5023B" w:rsidRPr="00E06FC2">
        <w:rPr>
          <w:rFonts w:cs="Arial"/>
          <w:bCs/>
          <w:lang w:val="es-MX"/>
        </w:rPr>
        <w:t xml:space="preserve">su </w:t>
      </w:r>
      <w:r w:rsidR="0005011E" w:rsidRPr="00E06FC2">
        <w:rPr>
          <w:rFonts w:cs="Arial"/>
          <w:bCs/>
          <w:lang w:val="es-MX"/>
        </w:rPr>
        <w:t xml:space="preserve">disposición por </w:t>
      </w:r>
      <w:r w:rsidR="00ED2925" w:rsidRPr="00E06FC2">
        <w:rPr>
          <w:rFonts w:cs="Arial"/>
          <w:bCs/>
          <w:lang w:val="es-MX"/>
        </w:rPr>
        <w:t xml:space="preserve">parte de las </w:t>
      </w:r>
      <w:r w:rsidR="0005011E" w:rsidRPr="00E06FC2">
        <w:rPr>
          <w:rFonts w:cs="Arial"/>
          <w:bCs/>
          <w:lang w:val="es-MX"/>
        </w:rPr>
        <w:t>demandada</w:t>
      </w:r>
      <w:r w:rsidR="00ED2925" w:rsidRPr="00E06FC2">
        <w:rPr>
          <w:rFonts w:cs="Arial"/>
          <w:bCs/>
          <w:lang w:val="es-MX"/>
        </w:rPr>
        <w:t>s</w:t>
      </w:r>
      <w:r w:rsidR="0005011E" w:rsidRPr="00E06FC2">
        <w:rPr>
          <w:rFonts w:cs="Arial"/>
          <w:bCs/>
          <w:lang w:val="es-MX"/>
        </w:rPr>
        <w:t xml:space="preserve">. </w:t>
      </w:r>
    </w:p>
    <w:p w14:paraId="17B15A3A" w14:textId="77777777" w:rsidR="0005011E" w:rsidRPr="00E06FC2" w:rsidRDefault="0005011E" w:rsidP="00743788">
      <w:pPr>
        <w:rPr>
          <w:rFonts w:cs="Arial"/>
          <w:bCs/>
          <w:lang w:val="es-MX"/>
        </w:rPr>
      </w:pPr>
    </w:p>
    <w:p w14:paraId="09DF278F" w14:textId="77777777" w:rsidR="0005011E" w:rsidRPr="00E06FC2" w:rsidRDefault="00F47DFF" w:rsidP="00743788">
      <w:pPr>
        <w:rPr>
          <w:rFonts w:cs="Arial"/>
          <w:b/>
          <w:bCs/>
          <w:lang w:val="es-MX"/>
        </w:rPr>
      </w:pPr>
      <w:r w:rsidRPr="00E06FC2">
        <w:rPr>
          <w:rFonts w:cs="Arial"/>
          <w:b/>
          <w:bCs/>
          <w:lang w:val="es-MX"/>
        </w:rPr>
        <w:t>7.</w:t>
      </w:r>
      <w:r w:rsidR="0005011E" w:rsidRPr="00E06FC2">
        <w:rPr>
          <w:rFonts w:cs="Arial"/>
          <w:b/>
          <w:bCs/>
          <w:lang w:val="es-MX"/>
        </w:rPr>
        <w:t xml:space="preserve"> Alegatos de conclusión en segunda instancia</w:t>
      </w:r>
    </w:p>
    <w:p w14:paraId="50FD4D2C" w14:textId="77777777" w:rsidR="0005011E" w:rsidRPr="00E06FC2" w:rsidRDefault="0005011E" w:rsidP="00743788">
      <w:pPr>
        <w:rPr>
          <w:rFonts w:cs="Arial"/>
          <w:bCs/>
          <w:lang w:val="es-MX"/>
        </w:rPr>
      </w:pPr>
    </w:p>
    <w:p w14:paraId="208681FA" w14:textId="77777777" w:rsidR="0005011E" w:rsidRPr="00E06FC2" w:rsidRDefault="0005011E" w:rsidP="00743788">
      <w:pPr>
        <w:rPr>
          <w:rFonts w:cs="Arial"/>
          <w:bCs/>
          <w:lang w:val="es-MX"/>
        </w:rPr>
      </w:pPr>
      <w:r w:rsidRPr="00E06FC2">
        <w:rPr>
          <w:rFonts w:cs="Arial"/>
          <w:bCs/>
          <w:lang w:val="es-MX"/>
        </w:rPr>
        <w:t>En la oportunidad para alegar, la parte actora estimó suficiente la argumentación expuesta en su recurso de apelación y solicitó tenerla en cuenta</w:t>
      </w:r>
      <w:r w:rsidRPr="00E06FC2">
        <w:rPr>
          <w:rStyle w:val="Refdenotaalpie"/>
          <w:rFonts w:cs="Arial"/>
          <w:bCs/>
          <w:lang w:val="es-MX"/>
        </w:rPr>
        <w:footnoteReference w:id="28"/>
      </w:r>
      <w:r w:rsidRPr="00E06FC2">
        <w:rPr>
          <w:rFonts w:cs="Arial"/>
          <w:bCs/>
          <w:lang w:val="es-MX"/>
        </w:rPr>
        <w:t xml:space="preserve">. </w:t>
      </w:r>
    </w:p>
    <w:p w14:paraId="63352A5C" w14:textId="77777777" w:rsidR="0005011E" w:rsidRPr="00E06FC2" w:rsidRDefault="0005011E" w:rsidP="00743788">
      <w:pPr>
        <w:rPr>
          <w:rFonts w:cs="Arial"/>
          <w:bCs/>
          <w:lang w:val="es-MX"/>
        </w:rPr>
      </w:pPr>
    </w:p>
    <w:p w14:paraId="09A703C3" w14:textId="77777777" w:rsidR="0005011E" w:rsidRPr="00E06FC2" w:rsidRDefault="0005011E" w:rsidP="00743788">
      <w:pPr>
        <w:rPr>
          <w:rFonts w:cs="Arial"/>
          <w:bCs/>
          <w:lang w:val="es-MX"/>
        </w:rPr>
      </w:pPr>
      <w:r w:rsidRPr="00E06FC2">
        <w:rPr>
          <w:rFonts w:cs="Arial"/>
          <w:bCs/>
          <w:lang w:val="es-MX"/>
        </w:rPr>
        <w:t>Por su parte, D</w:t>
      </w:r>
      <w:r w:rsidR="002E0413" w:rsidRPr="00E06FC2">
        <w:rPr>
          <w:rFonts w:cs="Arial"/>
          <w:bCs/>
          <w:lang w:val="es-MX"/>
        </w:rPr>
        <w:t>iselecsa Ltda</w:t>
      </w:r>
      <w:r w:rsidRPr="00E06FC2">
        <w:rPr>
          <w:rFonts w:cs="Arial"/>
          <w:bCs/>
          <w:lang w:val="es-MX"/>
        </w:rPr>
        <w:t>, obrando como litisconsorte de la parte demandada, reiteró el recuento cronológico del proceso y argumentó acerca de las irregularidades que a su juicio se presentaron en la prueba pericial, toda vez que primero se le negó una nueva inspección judicial una vez que se vinculó al proceso y</w:t>
      </w:r>
      <w:r w:rsidR="00DB53A0" w:rsidRPr="00E06FC2">
        <w:rPr>
          <w:rFonts w:cs="Arial"/>
          <w:bCs/>
          <w:lang w:val="es-MX"/>
        </w:rPr>
        <w:t>,</w:t>
      </w:r>
      <w:r w:rsidRPr="00E06FC2">
        <w:rPr>
          <w:rFonts w:cs="Arial"/>
          <w:bCs/>
          <w:lang w:val="es-MX"/>
        </w:rPr>
        <w:t xml:space="preserve"> luego, se le dio traslado de una prueba en cuya práctica no había intervenido.</w:t>
      </w:r>
    </w:p>
    <w:p w14:paraId="6747F860" w14:textId="77777777" w:rsidR="0005011E" w:rsidRPr="00E06FC2" w:rsidRDefault="0005011E" w:rsidP="00743788">
      <w:pPr>
        <w:rPr>
          <w:rFonts w:cs="Arial"/>
          <w:bCs/>
          <w:lang w:val="es-MX"/>
        </w:rPr>
      </w:pPr>
    </w:p>
    <w:p w14:paraId="4F105EFB" w14:textId="77777777" w:rsidR="0005011E" w:rsidRPr="00E06FC2" w:rsidRDefault="002E0413" w:rsidP="00743788">
      <w:pPr>
        <w:rPr>
          <w:rFonts w:cs="Arial"/>
          <w:bCs/>
          <w:lang w:val="es-MX"/>
        </w:rPr>
      </w:pPr>
      <w:r w:rsidRPr="00E06FC2">
        <w:rPr>
          <w:rFonts w:cs="Arial"/>
          <w:bCs/>
          <w:lang w:val="es-MX"/>
        </w:rPr>
        <w:t>Montajes El</w:t>
      </w:r>
      <w:r w:rsidR="00A5023B" w:rsidRPr="00E06FC2">
        <w:rPr>
          <w:rFonts w:cs="Arial"/>
          <w:bCs/>
          <w:lang w:val="es-MX"/>
        </w:rPr>
        <w:t>é</w:t>
      </w:r>
      <w:r w:rsidRPr="00E06FC2">
        <w:rPr>
          <w:rFonts w:cs="Arial"/>
          <w:bCs/>
          <w:lang w:val="es-MX"/>
        </w:rPr>
        <w:t>ctricos Ltda,</w:t>
      </w:r>
      <w:r w:rsidR="0005011E" w:rsidRPr="00E06FC2">
        <w:rPr>
          <w:rFonts w:cs="Arial"/>
          <w:bCs/>
          <w:lang w:val="es-MX"/>
        </w:rPr>
        <w:t xml:space="preserve"> igualmente obrando como litisconsorte de la parte demandada, reiteró los argumentos de su apelación, acerca de la inconstitucionalidad e ilegalidad de la sentencia de primera instancia. Además, en cada uno de los puntos detalló las pruebas que, a su juicio, constituyen la demostración de las falencias de la propuesta de la parte actora, en las cuales fund</w:t>
      </w:r>
      <w:r w:rsidRPr="00E06FC2">
        <w:rPr>
          <w:rFonts w:cs="Arial"/>
          <w:bCs/>
          <w:lang w:val="es-MX"/>
        </w:rPr>
        <w:t>ó</w:t>
      </w:r>
      <w:r w:rsidR="0005011E" w:rsidRPr="00E06FC2">
        <w:rPr>
          <w:rFonts w:cs="Arial"/>
          <w:bCs/>
          <w:lang w:val="es-MX"/>
        </w:rPr>
        <w:t xml:space="preserve"> la </w:t>
      </w:r>
      <w:r w:rsidRPr="00E06FC2">
        <w:rPr>
          <w:rFonts w:cs="Arial"/>
          <w:bCs/>
          <w:lang w:val="es-MX"/>
        </w:rPr>
        <w:t xml:space="preserve">petición </w:t>
      </w:r>
      <w:r w:rsidR="0005011E" w:rsidRPr="00E06FC2">
        <w:rPr>
          <w:rFonts w:cs="Arial"/>
          <w:bCs/>
          <w:lang w:val="es-MX"/>
        </w:rPr>
        <w:t>para que la sentencia sea revocada.</w:t>
      </w:r>
    </w:p>
    <w:p w14:paraId="4218906F" w14:textId="77777777" w:rsidR="0005011E" w:rsidRPr="00E06FC2" w:rsidRDefault="0005011E" w:rsidP="00743788">
      <w:pPr>
        <w:rPr>
          <w:rFonts w:cs="Arial"/>
          <w:bCs/>
          <w:lang w:val="es-MX"/>
        </w:rPr>
      </w:pPr>
    </w:p>
    <w:p w14:paraId="4369D694" w14:textId="77777777" w:rsidR="008A5A37" w:rsidRPr="00E06FC2" w:rsidRDefault="00F47DFF" w:rsidP="00743788">
      <w:pPr>
        <w:rPr>
          <w:rFonts w:cs="Arial"/>
          <w:b/>
          <w:bCs/>
          <w:lang w:val="es-MX"/>
        </w:rPr>
      </w:pPr>
      <w:r w:rsidRPr="00E06FC2">
        <w:rPr>
          <w:rFonts w:cs="Arial"/>
          <w:b/>
          <w:bCs/>
          <w:lang w:val="es-MX"/>
        </w:rPr>
        <w:t>8.</w:t>
      </w:r>
      <w:r w:rsidR="0005011E" w:rsidRPr="00E06FC2">
        <w:rPr>
          <w:rFonts w:cs="Arial"/>
          <w:bCs/>
          <w:lang w:val="es-MX"/>
        </w:rPr>
        <w:t xml:space="preserve"> </w:t>
      </w:r>
      <w:r w:rsidR="008A5A37" w:rsidRPr="00E06FC2">
        <w:rPr>
          <w:rFonts w:cs="Arial"/>
          <w:b/>
          <w:bCs/>
          <w:lang w:val="es-MX"/>
        </w:rPr>
        <w:t>Intervención del Ministerio Público</w:t>
      </w:r>
    </w:p>
    <w:p w14:paraId="4E59C6F4" w14:textId="77777777" w:rsidR="008A5A37" w:rsidRPr="00E06FC2" w:rsidRDefault="008A5A37" w:rsidP="00743788">
      <w:pPr>
        <w:rPr>
          <w:rFonts w:cs="Arial"/>
          <w:bCs/>
          <w:lang w:val="es-MX"/>
        </w:rPr>
      </w:pPr>
    </w:p>
    <w:p w14:paraId="65325AA7" w14:textId="77777777" w:rsidR="0005011E" w:rsidRPr="00E06FC2" w:rsidRDefault="0005011E" w:rsidP="00743788">
      <w:pPr>
        <w:rPr>
          <w:rFonts w:cs="Arial"/>
          <w:bCs/>
          <w:lang w:val="es-MX"/>
        </w:rPr>
      </w:pPr>
      <w:r w:rsidRPr="00E06FC2">
        <w:rPr>
          <w:rFonts w:cs="Arial"/>
          <w:bCs/>
          <w:lang w:val="es-MX"/>
        </w:rPr>
        <w:t xml:space="preserve">El </w:t>
      </w:r>
      <w:r w:rsidRPr="00E06FC2">
        <w:rPr>
          <w:rFonts w:cs="Arial"/>
          <w:b/>
          <w:bCs/>
          <w:lang w:val="es-MX"/>
        </w:rPr>
        <w:t>Ministerio Público</w:t>
      </w:r>
      <w:r w:rsidRPr="00E06FC2">
        <w:rPr>
          <w:rFonts w:cs="Arial"/>
          <w:bCs/>
          <w:lang w:val="es-MX"/>
        </w:rPr>
        <w:t xml:space="preserve"> estimó que se debe revocar la sentencia de primera instancia, con fundamento en que la propuesta de la demandante no cumplió con la totalidad de los requerimientos para resultar adjudicataria, </w:t>
      </w:r>
      <w:r w:rsidR="00DF62CA" w:rsidRPr="00E06FC2">
        <w:rPr>
          <w:rFonts w:cs="Arial"/>
          <w:bCs/>
          <w:lang w:val="es-MX"/>
        </w:rPr>
        <w:t xml:space="preserve">es decir, </w:t>
      </w:r>
      <w:r w:rsidRPr="00E06FC2">
        <w:rPr>
          <w:rFonts w:cs="Arial"/>
          <w:bCs/>
          <w:lang w:val="es-MX"/>
        </w:rPr>
        <w:t xml:space="preserve">no demostró que era la mejor. Hizo notar que el dictamen pericial no estudió el cumplimiento de los </w:t>
      </w:r>
      <w:r w:rsidRPr="00E06FC2">
        <w:rPr>
          <w:rFonts w:cs="Arial"/>
          <w:bCs/>
          <w:lang w:val="es-MX"/>
        </w:rPr>
        <w:lastRenderedPageBreak/>
        <w:t xml:space="preserve">requisitos formales y que de haberlo hecho, la propuesta de la demandante habría resultado rechazada. </w:t>
      </w:r>
    </w:p>
    <w:p w14:paraId="57CC949B" w14:textId="77777777" w:rsidR="008A5A37" w:rsidRPr="00E06FC2" w:rsidRDefault="008A5A37" w:rsidP="00743788">
      <w:pPr>
        <w:rPr>
          <w:rFonts w:cs="Arial"/>
          <w:bCs/>
          <w:lang w:val="es-MX"/>
        </w:rPr>
      </w:pPr>
    </w:p>
    <w:p w14:paraId="5E6DD347" w14:textId="77777777" w:rsidR="0005011E" w:rsidRPr="00E06FC2" w:rsidRDefault="0005011E" w:rsidP="00743788">
      <w:pPr>
        <w:rPr>
          <w:rFonts w:cs="Arial"/>
          <w:bCs/>
          <w:lang w:val="es-MX"/>
        </w:rPr>
      </w:pPr>
      <w:r w:rsidRPr="00E06FC2">
        <w:rPr>
          <w:rFonts w:cs="Arial"/>
          <w:bCs/>
          <w:lang w:val="es-MX"/>
        </w:rPr>
        <w:t>Se refirió en concreto a dos requisitos de la propuesta de parte actora que no fueron satisfechos: la presentación de la declaración de renta y la</w:t>
      </w:r>
      <w:r w:rsidR="002E0413" w:rsidRPr="00E06FC2">
        <w:rPr>
          <w:rFonts w:cs="Arial"/>
          <w:bCs/>
          <w:lang w:val="es-MX"/>
        </w:rPr>
        <w:t>s</w:t>
      </w:r>
      <w:r w:rsidRPr="00E06FC2">
        <w:rPr>
          <w:rFonts w:cs="Arial"/>
          <w:bCs/>
          <w:lang w:val="es-MX"/>
        </w:rPr>
        <w:t xml:space="preserve"> garantía</w:t>
      </w:r>
      <w:r w:rsidR="00DF62CA" w:rsidRPr="00E06FC2">
        <w:rPr>
          <w:rFonts w:cs="Arial"/>
          <w:bCs/>
          <w:lang w:val="es-MX"/>
        </w:rPr>
        <w:t>s</w:t>
      </w:r>
      <w:r w:rsidRPr="00E06FC2">
        <w:rPr>
          <w:rFonts w:cs="Arial"/>
          <w:bCs/>
          <w:lang w:val="es-MX"/>
        </w:rPr>
        <w:t xml:space="preserve"> para </w:t>
      </w:r>
      <w:r w:rsidR="002E0413" w:rsidRPr="00E06FC2">
        <w:rPr>
          <w:rFonts w:cs="Arial"/>
          <w:bCs/>
          <w:lang w:val="es-MX"/>
        </w:rPr>
        <w:t xml:space="preserve">realizar </w:t>
      </w:r>
      <w:r w:rsidRPr="00E06FC2">
        <w:rPr>
          <w:rFonts w:cs="Arial"/>
          <w:bCs/>
          <w:lang w:val="es-MX"/>
        </w:rPr>
        <w:t xml:space="preserve">la inversión inicial </w:t>
      </w:r>
      <w:r w:rsidR="002E0413" w:rsidRPr="00E06FC2">
        <w:rPr>
          <w:rFonts w:cs="Arial"/>
          <w:bCs/>
          <w:lang w:val="es-MX"/>
        </w:rPr>
        <w:t xml:space="preserve">requerida para </w:t>
      </w:r>
      <w:r w:rsidRPr="00E06FC2">
        <w:rPr>
          <w:rFonts w:cs="Arial"/>
          <w:bCs/>
          <w:lang w:val="es-MX"/>
        </w:rPr>
        <w:t>el proyecto.</w:t>
      </w:r>
    </w:p>
    <w:p w14:paraId="364F23E2" w14:textId="77777777" w:rsidR="0005011E" w:rsidRPr="00E06FC2" w:rsidRDefault="0005011E" w:rsidP="00743788">
      <w:pPr>
        <w:rPr>
          <w:rFonts w:cs="Arial"/>
          <w:bCs/>
          <w:lang w:val="es-MX"/>
        </w:rPr>
      </w:pPr>
    </w:p>
    <w:p w14:paraId="15206DD2" w14:textId="77777777" w:rsidR="0005011E" w:rsidRPr="00E06FC2" w:rsidRDefault="0005011E" w:rsidP="00743788">
      <w:pPr>
        <w:rPr>
          <w:rFonts w:cs="Arial"/>
          <w:bCs/>
          <w:i/>
          <w:lang w:val="es-MX"/>
        </w:rPr>
      </w:pPr>
      <w:r w:rsidRPr="00E06FC2">
        <w:rPr>
          <w:rFonts w:cs="Arial"/>
          <w:bCs/>
          <w:lang w:val="es-MX"/>
        </w:rPr>
        <w:t xml:space="preserve">El Ministerio Público </w:t>
      </w:r>
      <w:r w:rsidR="008A5A37" w:rsidRPr="00E06FC2">
        <w:rPr>
          <w:rFonts w:cs="Arial"/>
          <w:bCs/>
          <w:lang w:val="es-MX"/>
        </w:rPr>
        <w:t xml:space="preserve">manifestó </w:t>
      </w:r>
      <w:r w:rsidRPr="00E06FC2">
        <w:rPr>
          <w:rFonts w:cs="Arial"/>
          <w:bCs/>
          <w:lang w:val="es-MX"/>
        </w:rPr>
        <w:t xml:space="preserve">su desacuerdo con el aparte de la sentencia </w:t>
      </w:r>
      <w:r w:rsidR="008A5A37" w:rsidRPr="00E06FC2">
        <w:rPr>
          <w:rFonts w:cs="Arial"/>
          <w:bCs/>
          <w:lang w:val="es-MX"/>
        </w:rPr>
        <w:t xml:space="preserve">de primera instancia </w:t>
      </w:r>
      <w:r w:rsidRPr="00E06FC2">
        <w:rPr>
          <w:rFonts w:cs="Arial"/>
          <w:bCs/>
          <w:lang w:val="es-MX"/>
        </w:rPr>
        <w:t xml:space="preserve">en </w:t>
      </w:r>
      <w:r w:rsidR="008A5A37" w:rsidRPr="00E06FC2">
        <w:rPr>
          <w:rFonts w:cs="Arial"/>
          <w:bCs/>
          <w:lang w:val="es-MX"/>
        </w:rPr>
        <w:t>la</w:t>
      </w:r>
      <w:r w:rsidRPr="00E06FC2">
        <w:rPr>
          <w:rFonts w:cs="Arial"/>
          <w:bCs/>
          <w:lang w:val="es-MX"/>
        </w:rPr>
        <w:t xml:space="preserve"> que se aseveró que “</w:t>
      </w:r>
      <w:r w:rsidRPr="00E06FC2">
        <w:rPr>
          <w:rFonts w:cs="Arial"/>
          <w:bCs/>
          <w:i/>
          <w:lang w:val="es-MX"/>
        </w:rPr>
        <w:t xml:space="preserve">si bien esta última afirmación es cierta </w:t>
      </w:r>
      <w:r w:rsidRPr="00E06FC2">
        <w:rPr>
          <w:rFonts w:cs="Arial"/>
          <w:bCs/>
          <w:lang w:val="es-MX"/>
        </w:rPr>
        <w:t>[la falta de garantía]</w:t>
      </w:r>
      <w:r w:rsidRPr="00E06FC2">
        <w:rPr>
          <w:rFonts w:cs="Arial"/>
          <w:bCs/>
          <w:i/>
          <w:lang w:val="es-MX"/>
        </w:rPr>
        <w:t>, no lo es menos que en el Estudio Financiero en las conclusiones no se descarta la propuesta</w:t>
      </w:r>
      <w:r w:rsidR="002A4804" w:rsidRPr="00E06FC2">
        <w:rPr>
          <w:rFonts w:cs="Arial"/>
          <w:bCs/>
          <w:i/>
          <w:lang w:val="es-MX"/>
        </w:rPr>
        <w:t>.</w:t>
      </w:r>
      <w:r w:rsidR="00F56702" w:rsidRPr="00E06FC2">
        <w:rPr>
          <w:rFonts w:cs="Arial"/>
          <w:bCs/>
          <w:i/>
          <w:lang w:val="es-MX"/>
        </w:rPr>
        <w:t xml:space="preserve"> N</w:t>
      </w:r>
      <w:r w:rsidRPr="00E06FC2">
        <w:rPr>
          <w:rFonts w:cs="Arial"/>
          <w:bCs/>
          <w:i/>
          <w:lang w:val="es-MX"/>
        </w:rPr>
        <w:t>o puede pretender la parte demandada excusarse en un requisito que no extrañó la entidad territorial al momento de efectuar la calificación, donde se le calificó con 90 puntos”</w:t>
      </w:r>
      <w:r w:rsidRPr="00E06FC2">
        <w:rPr>
          <w:rStyle w:val="Refdenotaalpie"/>
          <w:rFonts w:cs="Arial"/>
          <w:bCs/>
          <w:i/>
          <w:lang w:val="es-MX"/>
        </w:rPr>
        <w:footnoteReference w:id="29"/>
      </w:r>
      <w:r w:rsidRPr="00E06FC2">
        <w:rPr>
          <w:rFonts w:cs="Arial"/>
          <w:bCs/>
          <w:i/>
          <w:lang w:val="es-MX"/>
        </w:rPr>
        <w:t>.</w:t>
      </w:r>
    </w:p>
    <w:p w14:paraId="1821C72A" w14:textId="77777777" w:rsidR="0005011E" w:rsidRPr="00E06FC2" w:rsidRDefault="0005011E" w:rsidP="00743788">
      <w:pPr>
        <w:pStyle w:val="Lista2"/>
        <w:ind w:left="0" w:firstLine="0"/>
        <w:rPr>
          <w:rFonts w:cs="Arial"/>
        </w:rPr>
      </w:pPr>
    </w:p>
    <w:p w14:paraId="62E260BC" w14:textId="77777777" w:rsidR="00A86BF5" w:rsidRPr="00E06FC2" w:rsidRDefault="00A86BF5" w:rsidP="00743788">
      <w:pPr>
        <w:jc w:val="center"/>
        <w:rPr>
          <w:rFonts w:cs="Arial"/>
          <w:b/>
        </w:rPr>
      </w:pPr>
    </w:p>
    <w:p w14:paraId="21A5FB45" w14:textId="77777777" w:rsidR="00F21484" w:rsidRPr="00E06FC2" w:rsidRDefault="00F21484" w:rsidP="00743788">
      <w:pPr>
        <w:pStyle w:val="Lista"/>
        <w:jc w:val="center"/>
        <w:rPr>
          <w:rFonts w:ascii="Arial" w:hAnsi="Arial" w:cs="Arial"/>
          <w:b/>
        </w:rPr>
      </w:pPr>
      <w:r w:rsidRPr="00E06FC2">
        <w:rPr>
          <w:rFonts w:ascii="Arial" w:hAnsi="Arial" w:cs="Arial"/>
          <w:b/>
        </w:rPr>
        <w:t>II.</w:t>
      </w:r>
      <w:r w:rsidR="00E759BE" w:rsidRPr="00E06FC2">
        <w:rPr>
          <w:rFonts w:ascii="Arial" w:hAnsi="Arial" w:cs="Arial"/>
          <w:b/>
        </w:rPr>
        <w:tab/>
      </w:r>
      <w:r w:rsidRPr="00E06FC2">
        <w:rPr>
          <w:rFonts w:ascii="Arial" w:hAnsi="Arial" w:cs="Arial"/>
          <w:b/>
        </w:rPr>
        <w:t>C O N S I D E R A C I O N E S</w:t>
      </w:r>
    </w:p>
    <w:p w14:paraId="77A539EA" w14:textId="77777777" w:rsidR="00C23021" w:rsidRPr="00E06FC2" w:rsidRDefault="00C23021" w:rsidP="00743788">
      <w:pPr>
        <w:jc w:val="center"/>
        <w:rPr>
          <w:rFonts w:cs="Arial"/>
          <w:b/>
        </w:rPr>
      </w:pPr>
    </w:p>
    <w:p w14:paraId="18ABBA86" w14:textId="77777777" w:rsidR="0052529B" w:rsidRPr="00E06FC2" w:rsidRDefault="0052529B" w:rsidP="00743788">
      <w:pPr>
        <w:spacing w:before="100" w:beforeAutospacing="1" w:after="100" w:afterAutospacing="1"/>
        <w:rPr>
          <w:rFonts w:cs="Arial"/>
        </w:rPr>
      </w:pPr>
      <w:r w:rsidRPr="00E06FC2">
        <w:rPr>
          <w:rFonts w:cs="Arial"/>
        </w:rPr>
        <w:t xml:space="preserve">Para resolver la segunda instancia de la presente </w:t>
      </w:r>
      <w:r w:rsidRPr="00E06FC2">
        <w:rPr>
          <w:rFonts w:cs="Arial"/>
          <w:i/>
        </w:rPr>
        <w:t>litis</w:t>
      </w:r>
      <w:r w:rsidR="00DD3E54" w:rsidRPr="00E06FC2">
        <w:rPr>
          <w:rFonts w:cs="Arial"/>
        </w:rPr>
        <w:t>, se abordará</w:t>
      </w:r>
      <w:r w:rsidRPr="00E06FC2">
        <w:rPr>
          <w:rFonts w:cs="Arial"/>
        </w:rPr>
        <w:t xml:space="preserve">n los siguientes temas: </w:t>
      </w:r>
      <w:r w:rsidR="00445973" w:rsidRPr="00E06FC2">
        <w:rPr>
          <w:rFonts w:cs="Arial"/>
          <w:b/>
        </w:rPr>
        <w:t>1</w:t>
      </w:r>
      <w:r w:rsidR="00A50912" w:rsidRPr="00E06FC2">
        <w:rPr>
          <w:rFonts w:cs="Arial"/>
          <w:b/>
        </w:rPr>
        <w:t>)</w:t>
      </w:r>
      <w:r w:rsidR="00F813EB" w:rsidRPr="00E06FC2">
        <w:rPr>
          <w:rFonts w:cs="Arial"/>
        </w:rPr>
        <w:t xml:space="preserve"> </w:t>
      </w:r>
      <w:r w:rsidR="00446571" w:rsidRPr="00E06FC2">
        <w:rPr>
          <w:rFonts w:cs="Arial"/>
        </w:rPr>
        <w:t xml:space="preserve">la </w:t>
      </w:r>
      <w:r w:rsidR="00BF3EF6" w:rsidRPr="00E06FC2">
        <w:rPr>
          <w:rFonts w:cs="Arial"/>
        </w:rPr>
        <w:t xml:space="preserve">jurisdicción y </w:t>
      </w:r>
      <w:r w:rsidR="00446571" w:rsidRPr="00E06FC2">
        <w:rPr>
          <w:rFonts w:cs="Arial"/>
        </w:rPr>
        <w:t xml:space="preserve">la </w:t>
      </w:r>
      <w:r w:rsidR="00CA1EB0" w:rsidRPr="00E06FC2">
        <w:rPr>
          <w:rFonts w:cs="Arial"/>
        </w:rPr>
        <w:t>c</w:t>
      </w:r>
      <w:r w:rsidR="00DF40B5" w:rsidRPr="00E06FC2">
        <w:rPr>
          <w:rFonts w:cs="Arial"/>
        </w:rPr>
        <w:t xml:space="preserve">ompetencia del Consejo de Estado; </w:t>
      </w:r>
      <w:r w:rsidR="00445973" w:rsidRPr="00E06FC2">
        <w:rPr>
          <w:rFonts w:cs="Arial"/>
          <w:b/>
        </w:rPr>
        <w:t>2</w:t>
      </w:r>
      <w:r w:rsidR="00A50912" w:rsidRPr="00E06FC2">
        <w:rPr>
          <w:rFonts w:cs="Arial"/>
          <w:b/>
        </w:rPr>
        <w:t>)</w:t>
      </w:r>
      <w:r w:rsidR="00E8149C" w:rsidRPr="00E06FC2">
        <w:rPr>
          <w:rFonts w:cs="Arial"/>
        </w:rPr>
        <w:t xml:space="preserve"> </w:t>
      </w:r>
      <w:r w:rsidR="00CA1EB0" w:rsidRPr="00E06FC2">
        <w:rPr>
          <w:rFonts w:cs="Arial"/>
        </w:rPr>
        <w:t>c</w:t>
      </w:r>
      <w:r w:rsidR="00E939A0" w:rsidRPr="00E06FC2">
        <w:rPr>
          <w:rFonts w:cs="Arial"/>
        </w:rPr>
        <w:t xml:space="preserve">aducidad de la acción; </w:t>
      </w:r>
      <w:r w:rsidR="00E939A0" w:rsidRPr="00E06FC2">
        <w:rPr>
          <w:rFonts w:cs="Arial"/>
          <w:b/>
        </w:rPr>
        <w:t>3</w:t>
      </w:r>
      <w:r w:rsidR="002114CA" w:rsidRPr="00E06FC2">
        <w:rPr>
          <w:rFonts w:cs="Arial"/>
          <w:b/>
        </w:rPr>
        <w:t>)</w:t>
      </w:r>
      <w:r w:rsidR="002114CA" w:rsidRPr="00E06FC2">
        <w:rPr>
          <w:rFonts w:cs="Arial"/>
        </w:rPr>
        <w:t xml:space="preserve"> </w:t>
      </w:r>
      <w:r w:rsidR="001A5D20" w:rsidRPr="00E06FC2">
        <w:rPr>
          <w:rFonts w:cs="Arial"/>
        </w:rPr>
        <w:t>legitimación</w:t>
      </w:r>
      <w:r w:rsidR="00BF3EF6" w:rsidRPr="00E06FC2">
        <w:rPr>
          <w:rFonts w:cs="Arial"/>
        </w:rPr>
        <w:t xml:space="preserve"> </w:t>
      </w:r>
      <w:r w:rsidR="00446571" w:rsidRPr="00E06FC2">
        <w:rPr>
          <w:rFonts w:cs="Arial"/>
        </w:rPr>
        <w:t>activa de la unión temporal demandante</w:t>
      </w:r>
      <w:r w:rsidR="009265BB" w:rsidRPr="00E06FC2">
        <w:rPr>
          <w:rFonts w:cs="Arial"/>
        </w:rPr>
        <w:t xml:space="preserve">; </w:t>
      </w:r>
      <w:r w:rsidR="00E939A0" w:rsidRPr="00E06FC2">
        <w:rPr>
          <w:rFonts w:cs="Arial"/>
          <w:b/>
        </w:rPr>
        <w:t>4)</w:t>
      </w:r>
      <w:r w:rsidR="001E5BA6" w:rsidRPr="00E06FC2">
        <w:rPr>
          <w:rFonts w:cs="Arial"/>
          <w:bCs/>
        </w:rPr>
        <w:t xml:space="preserve"> </w:t>
      </w:r>
      <w:r w:rsidR="00B90519" w:rsidRPr="00E06FC2">
        <w:rPr>
          <w:rFonts w:cs="Arial"/>
          <w:bCs/>
        </w:rPr>
        <w:t>c</w:t>
      </w:r>
      <w:r w:rsidR="00B90519" w:rsidRPr="00E06FC2">
        <w:rPr>
          <w:rFonts w:cs="Arial"/>
          <w:lang w:val="es-MX" w:eastAsia="es-MX"/>
        </w:rPr>
        <w:t>onsideraciones acerca de las propuestas alternativas;</w:t>
      </w:r>
      <w:r w:rsidR="00926BDE" w:rsidRPr="00E06FC2">
        <w:rPr>
          <w:rFonts w:cs="Arial"/>
        </w:rPr>
        <w:t xml:space="preserve"> </w:t>
      </w:r>
      <w:r w:rsidR="00926BDE" w:rsidRPr="00E06FC2">
        <w:rPr>
          <w:rFonts w:cs="Arial"/>
          <w:b/>
        </w:rPr>
        <w:t xml:space="preserve">5) </w:t>
      </w:r>
      <w:r w:rsidR="00E8149C" w:rsidRPr="00E06FC2">
        <w:rPr>
          <w:rFonts w:cs="Arial"/>
        </w:rPr>
        <w:t xml:space="preserve">el </w:t>
      </w:r>
      <w:r w:rsidRPr="00E06FC2">
        <w:rPr>
          <w:rFonts w:cs="Arial"/>
        </w:rPr>
        <w:t>caso concreto</w:t>
      </w:r>
      <w:r w:rsidR="00F810DD" w:rsidRPr="00E06FC2">
        <w:rPr>
          <w:rFonts w:cs="Arial"/>
        </w:rPr>
        <w:t xml:space="preserve"> y </w:t>
      </w:r>
      <w:r w:rsidR="00926BDE" w:rsidRPr="00E06FC2">
        <w:rPr>
          <w:rFonts w:cs="Arial"/>
          <w:b/>
        </w:rPr>
        <w:t>6</w:t>
      </w:r>
      <w:r w:rsidR="00FA2EC7" w:rsidRPr="00E06FC2">
        <w:rPr>
          <w:rFonts w:cs="Arial"/>
          <w:b/>
        </w:rPr>
        <w:t>)</w:t>
      </w:r>
      <w:r w:rsidR="00A10418" w:rsidRPr="00E06FC2">
        <w:rPr>
          <w:rFonts w:cs="Arial"/>
        </w:rPr>
        <w:t xml:space="preserve"> </w:t>
      </w:r>
      <w:r w:rsidR="00F810DD" w:rsidRPr="00E06FC2">
        <w:rPr>
          <w:rFonts w:cs="Arial"/>
        </w:rPr>
        <w:t>costas</w:t>
      </w:r>
      <w:r w:rsidRPr="00E06FC2">
        <w:rPr>
          <w:rFonts w:cs="Arial"/>
        </w:rPr>
        <w:t>.</w:t>
      </w:r>
    </w:p>
    <w:p w14:paraId="0F1F6B8B" w14:textId="77777777" w:rsidR="00117C54" w:rsidRPr="00E06FC2" w:rsidRDefault="00CD461C" w:rsidP="00743788">
      <w:pPr>
        <w:rPr>
          <w:rFonts w:cs="Arial"/>
          <w:b/>
          <w:lang w:val="es-CO"/>
        </w:rPr>
      </w:pPr>
      <w:r w:rsidRPr="00E06FC2">
        <w:rPr>
          <w:rFonts w:cs="Arial"/>
          <w:b/>
          <w:lang w:val="es-CO"/>
        </w:rPr>
        <w:t>1</w:t>
      </w:r>
      <w:r w:rsidR="00F971DB" w:rsidRPr="00E06FC2">
        <w:rPr>
          <w:rFonts w:cs="Arial"/>
          <w:b/>
          <w:lang w:val="es-CO"/>
        </w:rPr>
        <w:t>.</w:t>
      </w:r>
      <w:r w:rsidR="002B5EAB" w:rsidRPr="00E06FC2">
        <w:rPr>
          <w:rFonts w:cs="Arial"/>
          <w:b/>
          <w:lang w:val="es-CO"/>
        </w:rPr>
        <w:t xml:space="preserve"> </w:t>
      </w:r>
      <w:r w:rsidR="00551630" w:rsidRPr="00E06FC2">
        <w:rPr>
          <w:rFonts w:cs="Arial"/>
          <w:b/>
          <w:lang w:val="es-CO"/>
        </w:rPr>
        <w:t>La jurisdicción y la c</w:t>
      </w:r>
      <w:r w:rsidR="00C874B4" w:rsidRPr="00E06FC2">
        <w:rPr>
          <w:rFonts w:cs="Arial"/>
          <w:b/>
          <w:lang w:val="es-CO"/>
        </w:rPr>
        <w:t>ompetencia del Consejo de Estado</w:t>
      </w:r>
    </w:p>
    <w:p w14:paraId="436D6433" w14:textId="77777777" w:rsidR="0040589F" w:rsidRPr="00E06FC2" w:rsidRDefault="0040589F" w:rsidP="00743788">
      <w:pPr>
        <w:rPr>
          <w:rFonts w:cs="Arial"/>
          <w:b/>
          <w:lang w:val="es-CO"/>
        </w:rPr>
      </w:pPr>
    </w:p>
    <w:p w14:paraId="56A9D4EA" w14:textId="77777777" w:rsidR="000A5780" w:rsidRPr="00E06FC2" w:rsidRDefault="000A5780" w:rsidP="00743788">
      <w:pPr>
        <w:rPr>
          <w:rFonts w:cs="Arial"/>
          <w:b/>
          <w:lang w:val="es-CO"/>
        </w:rPr>
      </w:pPr>
      <w:r w:rsidRPr="00E06FC2">
        <w:rPr>
          <w:rFonts w:cs="Arial"/>
          <w:b/>
          <w:lang w:val="es-CO"/>
        </w:rPr>
        <w:t xml:space="preserve">1.1. </w:t>
      </w:r>
      <w:r w:rsidR="001057FA" w:rsidRPr="00E06FC2">
        <w:rPr>
          <w:rFonts w:cs="Arial"/>
          <w:b/>
          <w:lang w:val="es-CO"/>
        </w:rPr>
        <w:t>Acción procedente</w:t>
      </w:r>
    </w:p>
    <w:p w14:paraId="4C59ED6C" w14:textId="77777777" w:rsidR="001057FA" w:rsidRPr="00E06FC2" w:rsidRDefault="001057FA" w:rsidP="00743788">
      <w:pPr>
        <w:rPr>
          <w:rFonts w:cs="Arial"/>
          <w:b/>
          <w:lang w:val="es-CO"/>
        </w:rPr>
      </w:pPr>
    </w:p>
    <w:p w14:paraId="30F62EF6" w14:textId="77777777" w:rsidR="0040589F" w:rsidRPr="00E06FC2" w:rsidRDefault="0040589F" w:rsidP="00743788">
      <w:pPr>
        <w:rPr>
          <w:rFonts w:cs="Arial"/>
          <w:lang w:val="es-CO"/>
        </w:rPr>
      </w:pPr>
      <w:r w:rsidRPr="00E06FC2">
        <w:rPr>
          <w:rFonts w:cs="Arial"/>
          <w:lang w:val="es-CO"/>
        </w:rPr>
        <w:t xml:space="preserve">La demanda se presentó el 9 de febrero de 1998, con anterioridad a la modificación </w:t>
      </w:r>
      <w:r w:rsidR="000D2B99" w:rsidRPr="00E06FC2">
        <w:rPr>
          <w:rFonts w:cs="Arial"/>
          <w:lang w:val="es-CO"/>
        </w:rPr>
        <w:t xml:space="preserve">que </w:t>
      </w:r>
      <w:r w:rsidR="00551630" w:rsidRPr="00E06FC2">
        <w:rPr>
          <w:rFonts w:cs="Arial"/>
          <w:lang w:val="es-CO"/>
        </w:rPr>
        <w:t xml:space="preserve">la </w:t>
      </w:r>
      <w:r w:rsidR="000D2B99" w:rsidRPr="00E06FC2">
        <w:rPr>
          <w:rFonts w:cs="Arial"/>
          <w:lang w:val="es-CO"/>
        </w:rPr>
        <w:t>Ley 446 de 1998</w:t>
      </w:r>
      <w:r w:rsidR="000D2B99" w:rsidRPr="00E06FC2">
        <w:rPr>
          <w:rStyle w:val="Refdenotaalpie"/>
          <w:rFonts w:cs="Arial"/>
          <w:lang w:val="es-CO"/>
        </w:rPr>
        <w:footnoteReference w:id="30"/>
      </w:r>
      <w:r w:rsidR="000D2B99" w:rsidRPr="00E06FC2">
        <w:rPr>
          <w:rFonts w:cs="Arial"/>
          <w:lang w:val="es-CO"/>
        </w:rPr>
        <w:t xml:space="preserve"> </w:t>
      </w:r>
      <w:r w:rsidRPr="00E06FC2">
        <w:rPr>
          <w:rFonts w:cs="Arial"/>
          <w:lang w:val="es-CO"/>
        </w:rPr>
        <w:t>introdu</w:t>
      </w:r>
      <w:r w:rsidR="000D2B99" w:rsidRPr="00E06FC2">
        <w:rPr>
          <w:rFonts w:cs="Arial"/>
          <w:lang w:val="es-CO"/>
        </w:rPr>
        <w:t>jo</w:t>
      </w:r>
      <w:r w:rsidRPr="00E06FC2">
        <w:rPr>
          <w:rFonts w:cs="Arial"/>
          <w:lang w:val="es-CO"/>
        </w:rPr>
        <w:t xml:space="preserve"> </w:t>
      </w:r>
      <w:r w:rsidR="000D2B99" w:rsidRPr="00E06FC2">
        <w:rPr>
          <w:rFonts w:cs="Arial"/>
          <w:lang w:val="es-CO"/>
        </w:rPr>
        <w:t xml:space="preserve">al </w:t>
      </w:r>
      <w:r w:rsidR="00551630" w:rsidRPr="00E06FC2">
        <w:rPr>
          <w:rFonts w:cs="Arial"/>
          <w:lang w:val="es-CO"/>
        </w:rPr>
        <w:t xml:space="preserve">artículo 87 del </w:t>
      </w:r>
      <w:r w:rsidR="000D2B99" w:rsidRPr="00E06FC2">
        <w:rPr>
          <w:rFonts w:cs="Arial"/>
          <w:lang w:val="es-CO"/>
        </w:rPr>
        <w:t>Código Contencioso Administrativo</w:t>
      </w:r>
      <w:r w:rsidR="00551630" w:rsidRPr="00E06FC2">
        <w:rPr>
          <w:rFonts w:cs="Arial"/>
          <w:lang w:val="es-CO"/>
        </w:rPr>
        <w:t>,</w:t>
      </w:r>
      <w:r w:rsidR="000D2B99" w:rsidRPr="00E06FC2">
        <w:rPr>
          <w:rFonts w:cs="Arial"/>
          <w:lang w:val="es-CO"/>
        </w:rPr>
        <w:t xml:space="preserve"> </w:t>
      </w:r>
      <w:r w:rsidRPr="00E06FC2">
        <w:rPr>
          <w:rFonts w:cs="Arial"/>
          <w:lang w:val="es-CO"/>
        </w:rPr>
        <w:t>en relación con la acción contractual pasible contra los actos previos o precontractuales.</w:t>
      </w:r>
    </w:p>
    <w:p w14:paraId="6F746E54" w14:textId="77777777" w:rsidR="0040589F" w:rsidRPr="00E06FC2" w:rsidRDefault="0040589F" w:rsidP="00743788">
      <w:pPr>
        <w:rPr>
          <w:rFonts w:cs="Arial"/>
          <w:lang w:val="es-CO"/>
        </w:rPr>
      </w:pPr>
    </w:p>
    <w:p w14:paraId="60B979FC" w14:textId="77777777" w:rsidR="00FD7CAF" w:rsidRPr="00E06FC2" w:rsidRDefault="001E4E7C" w:rsidP="00743788">
      <w:pPr>
        <w:rPr>
          <w:rFonts w:cs="Arial"/>
          <w:lang w:val="es-CO"/>
        </w:rPr>
      </w:pPr>
      <w:r w:rsidRPr="00E06FC2">
        <w:rPr>
          <w:rFonts w:cs="Arial"/>
          <w:lang w:val="es-CO"/>
        </w:rPr>
        <w:lastRenderedPageBreak/>
        <w:t>Por ello, se debe tener en cuenta que la norma</w:t>
      </w:r>
      <w:r w:rsidR="00674757" w:rsidRPr="00E06FC2">
        <w:rPr>
          <w:rFonts w:cs="Arial"/>
          <w:lang w:val="es-CO"/>
        </w:rPr>
        <w:t>tividad aplicable era la contenida en el artículo 77 de la Ley 80 de 1993</w:t>
      </w:r>
      <w:r w:rsidR="00FD7CAF" w:rsidRPr="00E06FC2">
        <w:rPr>
          <w:rStyle w:val="Refdenotaalpie"/>
          <w:rFonts w:cs="Arial"/>
          <w:lang w:val="es-CO"/>
        </w:rPr>
        <w:footnoteReference w:id="31"/>
      </w:r>
      <w:r w:rsidR="00674757" w:rsidRPr="00E06FC2">
        <w:rPr>
          <w:rFonts w:cs="Arial"/>
          <w:lang w:val="es-CO"/>
        </w:rPr>
        <w:t>, en concordancia con el artículo 85 del Código Contencioso Administrativo</w:t>
      </w:r>
      <w:r w:rsidR="00E10E4F" w:rsidRPr="00E06FC2">
        <w:rPr>
          <w:rStyle w:val="Refdenotaalpie"/>
          <w:rFonts w:cs="Arial"/>
          <w:lang w:val="es-CO"/>
        </w:rPr>
        <w:footnoteReference w:id="32"/>
      </w:r>
      <w:r w:rsidR="00674757" w:rsidRPr="00E06FC2">
        <w:rPr>
          <w:rFonts w:cs="Arial"/>
          <w:lang w:val="es-CO"/>
        </w:rPr>
        <w:t xml:space="preserve">, bajo los cuales </w:t>
      </w:r>
      <w:r w:rsidR="00667A2E" w:rsidRPr="00E06FC2">
        <w:rPr>
          <w:rFonts w:cs="Arial"/>
          <w:lang w:val="es-CO"/>
        </w:rPr>
        <w:t xml:space="preserve">la acción procedente para impugnar el acto de adjudicación del contrato </w:t>
      </w:r>
      <w:r w:rsidR="00F917A8" w:rsidRPr="00E06FC2">
        <w:rPr>
          <w:rFonts w:cs="Arial"/>
          <w:lang w:val="es-CO"/>
        </w:rPr>
        <w:t xml:space="preserve">estatal </w:t>
      </w:r>
      <w:r w:rsidR="00667A2E" w:rsidRPr="00E06FC2">
        <w:rPr>
          <w:rFonts w:cs="Arial"/>
          <w:lang w:val="es-CO"/>
        </w:rPr>
        <w:t>era la de nulidad y restablecimiento del derecho, además de que</w:t>
      </w:r>
      <w:r w:rsidR="00F2537A" w:rsidRPr="00E06FC2">
        <w:rPr>
          <w:rFonts w:cs="Arial"/>
          <w:lang w:val="es-CO"/>
        </w:rPr>
        <w:t>,</w:t>
      </w:r>
      <w:r w:rsidR="00667A2E" w:rsidRPr="00E06FC2">
        <w:rPr>
          <w:rFonts w:cs="Arial"/>
          <w:lang w:val="es-CO"/>
        </w:rPr>
        <w:t xml:space="preserve"> </w:t>
      </w:r>
      <w:r w:rsidR="00FD7CAF" w:rsidRPr="00E06FC2">
        <w:rPr>
          <w:rFonts w:cs="Arial"/>
          <w:lang w:val="es-CO"/>
        </w:rPr>
        <w:t>por disposición legal</w:t>
      </w:r>
      <w:r w:rsidR="00F2537A" w:rsidRPr="00E06FC2">
        <w:rPr>
          <w:rFonts w:cs="Arial"/>
          <w:lang w:val="es-CO"/>
        </w:rPr>
        <w:t>,</w:t>
      </w:r>
      <w:r w:rsidR="00FD7CAF" w:rsidRPr="00E06FC2">
        <w:rPr>
          <w:rFonts w:cs="Arial"/>
          <w:lang w:val="es-CO"/>
        </w:rPr>
        <w:t xml:space="preserve"> </w:t>
      </w:r>
      <w:r w:rsidR="00F2537A" w:rsidRPr="00E06FC2">
        <w:rPr>
          <w:rFonts w:cs="Arial"/>
          <w:lang w:val="es-CO"/>
        </w:rPr>
        <w:t xml:space="preserve">en ese supuesto, </w:t>
      </w:r>
      <w:r w:rsidR="00667A2E" w:rsidRPr="00E06FC2">
        <w:rPr>
          <w:rFonts w:cs="Arial"/>
          <w:lang w:val="es-CO"/>
        </w:rPr>
        <w:t>no se requ</w:t>
      </w:r>
      <w:r w:rsidR="00F2537A" w:rsidRPr="00E06FC2">
        <w:rPr>
          <w:rFonts w:cs="Arial"/>
          <w:lang w:val="es-CO"/>
        </w:rPr>
        <w:t>er</w:t>
      </w:r>
      <w:r w:rsidR="001057FA" w:rsidRPr="00E06FC2">
        <w:rPr>
          <w:rFonts w:cs="Arial"/>
          <w:lang w:val="es-CO"/>
        </w:rPr>
        <w:t>í</w:t>
      </w:r>
      <w:r w:rsidR="00F2537A" w:rsidRPr="00E06FC2">
        <w:rPr>
          <w:rFonts w:cs="Arial"/>
          <w:lang w:val="es-CO"/>
        </w:rPr>
        <w:t>a</w:t>
      </w:r>
      <w:r w:rsidR="00667A2E" w:rsidRPr="00E06FC2">
        <w:rPr>
          <w:rFonts w:cs="Arial"/>
          <w:lang w:val="es-CO"/>
        </w:rPr>
        <w:t xml:space="preserve"> demandar </w:t>
      </w:r>
      <w:r w:rsidR="00FD7CAF" w:rsidRPr="00E06FC2">
        <w:rPr>
          <w:rFonts w:cs="Arial"/>
          <w:lang w:val="es-CO"/>
        </w:rPr>
        <w:t>el contrato correspondiente.</w:t>
      </w:r>
    </w:p>
    <w:p w14:paraId="4689A0EC" w14:textId="77777777" w:rsidR="00FD7CAF" w:rsidRPr="00E06FC2" w:rsidRDefault="00FD7CAF" w:rsidP="00743788">
      <w:pPr>
        <w:spacing w:line="240" w:lineRule="auto"/>
        <w:rPr>
          <w:rFonts w:cs="Arial"/>
          <w:bCs/>
        </w:rPr>
      </w:pPr>
    </w:p>
    <w:p w14:paraId="28EF588D" w14:textId="77777777" w:rsidR="000136CE" w:rsidRPr="00E06FC2" w:rsidRDefault="00F83B6B" w:rsidP="00743788">
      <w:pPr>
        <w:rPr>
          <w:rFonts w:cs="Arial"/>
          <w:bCs/>
          <w:i/>
        </w:rPr>
      </w:pPr>
      <w:r w:rsidRPr="00E06FC2">
        <w:rPr>
          <w:rFonts w:cs="Arial"/>
          <w:bCs/>
        </w:rPr>
        <w:t>Además, l</w:t>
      </w:r>
      <w:r w:rsidR="00DF5EF7" w:rsidRPr="00E06FC2">
        <w:rPr>
          <w:rFonts w:cs="Arial"/>
          <w:bCs/>
        </w:rPr>
        <w:t>a jurisdicción y la competencia del Consejo de Estado para conocer de</w:t>
      </w:r>
      <w:r w:rsidR="000D2B99" w:rsidRPr="00E06FC2">
        <w:rPr>
          <w:rFonts w:cs="Arial"/>
          <w:bCs/>
        </w:rPr>
        <w:t xml:space="preserve"> </w:t>
      </w:r>
      <w:r w:rsidR="00A77707" w:rsidRPr="00E06FC2">
        <w:rPr>
          <w:rFonts w:cs="Arial"/>
          <w:bCs/>
        </w:rPr>
        <w:t xml:space="preserve">la acción en el presente proceso </w:t>
      </w:r>
      <w:r w:rsidR="00DF5EF7" w:rsidRPr="00E06FC2">
        <w:rPr>
          <w:rFonts w:cs="Arial"/>
          <w:bCs/>
        </w:rPr>
        <w:t xml:space="preserve">se </w:t>
      </w:r>
      <w:r w:rsidR="000D2B99" w:rsidRPr="00E06FC2">
        <w:rPr>
          <w:rFonts w:cs="Arial"/>
          <w:bCs/>
        </w:rPr>
        <w:t>fund</w:t>
      </w:r>
      <w:r w:rsidR="00551630" w:rsidRPr="00E06FC2">
        <w:rPr>
          <w:rFonts w:cs="Arial"/>
          <w:bCs/>
        </w:rPr>
        <w:t>a</w:t>
      </w:r>
      <w:r w:rsidR="000D2B99" w:rsidRPr="00E06FC2">
        <w:rPr>
          <w:rFonts w:cs="Arial"/>
          <w:bCs/>
        </w:rPr>
        <w:t xml:space="preserve"> </w:t>
      </w:r>
      <w:r w:rsidR="00DF5EF7" w:rsidRPr="00E06FC2">
        <w:rPr>
          <w:rFonts w:cs="Arial"/>
          <w:bCs/>
        </w:rPr>
        <w:t>en los artículos 129 y 133 del Código Contencioso Administrativo</w:t>
      </w:r>
      <w:r w:rsidR="000136CE" w:rsidRPr="00E06FC2">
        <w:rPr>
          <w:rFonts w:cs="Arial"/>
          <w:bCs/>
        </w:rPr>
        <w:t xml:space="preserve">, </w:t>
      </w:r>
      <w:r w:rsidR="001A6B43" w:rsidRPr="00E06FC2">
        <w:rPr>
          <w:rFonts w:cs="Arial"/>
          <w:bCs/>
        </w:rPr>
        <w:t>en concordancia con el artículo 13</w:t>
      </w:r>
      <w:r w:rsidR="000B02BD" w:rsidRPr="00E06FC2">
        <w:rPr>
          <w:rFonts w:cs="Arial"/>
          <w:bCs/>
        </w:rPr>
        <w:t>2</w:t>
      </w:r>
      <w:r w:rsidR="001A6B43" w:rsidRPr="00E06FC2">
        <w:rPr>
          <w:rFonts w:cs="Arial"/>
          <w:bCs/>
        </w:rPr>
        <w:t xml:space="preserve"> ibídem, </w:t>
      </w:r>
      <w:r w:rsidR="000136CE" w:rsidRPr="00E06FC2">
        <w:rPr>
          <w:rFonts w:cs="Arial"/>
          <w:bCs/>
        </w:rPr>
        <w:t xml:space="preserve">los cuales establecen la competencia </w:t>
      </w:r>
      <w:r w:rsidR="00A77707" w:rsidRPr="00E06FC2">
        <w:rPr>
          <w:rFonts w:cs="Arial"/>
          <w:bCs/>
        </w:rPr>
        <w:t xml:space="preserve">del Consejo de Estado </w:t>
      </w:r>
      <w:r w:rsidR="000136CE" w:rsidRPr="00E06FC2">
        <w:rPr>
          <w:rFonts w:cs="Arial"/>
          <w:bCs/>
        </w:rPr>
        <w:t xml:space="preserve">para conocer </w:t>
      </w:r>
      <w:r w:rsidR="000136CE" w:rsidRPr="00E06FC2">
        <w:rPr>
          <w:rFonts w:cs="Arial"/>
          <w:bCs/>
          <w:i/>
        </w:rPr>
        <w:t>“en segunda instancia de las apelaciones de las sentencias dictadas en primera instancia por los Tribunales Administrativos”.</w:t>
      </w:r>
    </w:p>
    <w:p w14:paraId="0124D266" w14:textId="77777777" w:rsidR="00551630" w:rsidRPr="00E06FC2" w:rsidRDefault="00551630" w:rsidP="00743788">
      <w:pPr>
        <w:rPr>
          <w:rFonts w:cs="Arial"/>
          <w:b/>
        </w:rPr>
      </w:pPr>
    </w:p>
    <w:p w14:paraId="7CA836DE" w14:textId="77777777" w:rsidR="00C874B4" w:rsidRPr="00E06FC2" w:rsidRDefault="00483B19" w:rsidP="00743788">
      <w:pPr>
        <w:rPr>
          <w:rFonts w:cs="Arial"/>
          <w:b/>
        </w:rPr>
      </w:pPr>
      <w:r w:rsidRPr="00E06FC2">
        <w:rPr>
          <w:rFonts w:cs="Arial"/>
          <w:b/>
        </w:rPr>
        <w:t xml:space="preserve">1.2. </w:t>
      </w:r>
      <w:r w:rsidR="00C874B4" w:rsidRPr="00E06FC2">
        <w:rPr>
          <w:rFonts w:cs="Arial"/>
          <w:b/>
        </w:rPr>
        <w:t>Cuantía</w:t>
      </w:r>
    </w:p>
    <w:p w14:paraId="5C4DDC1B" w14:textId="77777777" w:rsidR="00551630" w:rsidRPr="00E06FC2" w:rsidRDefault="00551630" w:rsidP="00743788">
      <w:pPr>
        <w:rPr>
          <w:rFonts w:cs="Arial"/>
          <w:b/>
        </w:rPr>
      </w:pPr>
    </w:p>
    <w:p w14:paraId="3201EE1F" w14:textId="77777777" w:rsidR="000C3FDF" w:rsidRPr="00E06FC2" w:rsidRDefault="00311271" w:rsidP="00743788">
      <w:pPr>
        <w:rPr>
          <w:rFonts w:cs="Arial"/>
        </w:rPr>
      </w:pPr>
      <w:r w:rsidRPr="00E06FC2">
        <w:rPr>
          <w:rFonts w:cs="Arial"/>
        </w:rPr>
        <w:t>De conformidad con la demanda, la cuantía en el presente proceso se estim</w:t>
      </w:r>
      <w:r w:rsidR="00F917A8" w:rsidRPr="00E06FC2">
        <w:rPr>
          <w:rFonts w:cs="Arial"/>
        </w:rPr>
        <w:t>ó</w:t>
      </w:r>
      <w:r w:rsidRPr="00E06FC2">
        <w:rPr>
          <w:rFonts w:cs="Arial"/>
        </w:rPr>
        <w:t xml:space="preserve"> en </w:t>
      </w:r>
      <w:r w:rsidR="00AC649E" w:rsidRPr="00E06FC2">
        <w:rPr>
          <w:rFonts w:cs="Arial"/>
        </w:rPr>
        <w:t xml:space="preserve">una suma </w:t>
      </w:r>
      <w:r w:rsidR="0048496C" w:rsidRPr="00E06FC2">
        <w:rPr>
          <w:rFonts w:cs="Arial"/>
        </w:rPr>
        <w:t xml:space="preserve">mayor </w:t>
      </w:r>
      <w:r w:rsidR="00AC649E" w:rsidRPr="00E06FC2">
        <w:rPr>
          <w:rFonts w:cs="Arial"/>
        </w:rPr>
        <w:t xml:space="preserve">a </w:t>
      </w:r>
      <w:r w:rsidRPr="00E06FC2">
        <w:rPr>
          <w:rFonts w:cs="Arial"/>
        </w:rPr>
        <w:t>$4.617</w:t>
      </w:r>
      <w:r w:rsidR="00F02C1A" w:rsidRPr="00E06FC2">
        <w:rPr>
          <w:rFonts w:cs="Arial"/>
        </w:rPr>
        <w:t>’</w:t>
      </w:r>
      <w:r w:rsidRPr="00E06FC2">
        <w:rPr>
          <w:rFonts w:cs="Arial"/>
        </w:rPr>
        <w:t>341.628</w:t>
      </w:r>
      <w:r w:rsidR="00AC649E" w:rsidRPr="00E06FC2">
        <w:rPr>
          <w:rStyle w:val="Refdenotaalpie"/>
          <w:rFonts w:cs="Arial"/>
        </w:rPr>
        <w:footnoteReference w:id="33"/>
      </w:r>
      <w:r w:rsidRPr="00E06FC2">
        <w:rPr>
          <w:rFonts w:cs="Arial"/>
        </w:rPr>
        <w:t xml:space="preserve">, </w:t>
      </w:r>
      <w:r w:rsidR="0079613C" w:rsidRPr="00E06FC2">
        <w:rPr>
          <w:rFonts w:cs="Arial"/>
        </w:rPr>
        <w:t xml:space="preserve">monto </w:t>
      </w:r>
      <w:r w:rsidRPr="00E06FC2">
        <w:rPr>
          <w:rFonts w:cs="Arial"/>
        </w:rPr>
        <w:t>que resulta superior al equivalente a 300 salarios mínimos legales vigentes</w:t>
      </w:r>
      <w:r w:rsidR="00F917A8" w:rsidRPr="00E06FC2">
        <w:rPr>
          <w:rStyle w:val="Refdenotaalpie"/>
          <w:rFonts w:cs="Arial"/>
        </w:rPr>
        <w:footnoteReference w:id="34"/>
      </w:r>
      <w:r w:rsidRPr="00E06FC2">
        <w:rPr>
          <w:rFonts w:cs="Arial"/>
        </w:rPr>
        <w:t>, establecid</w:t>
      </w:r>
      <w:r w:rsidR="0079613C" w:rsidRPr="00E06FC2">
        <w:rPr>
          <w:rFonts w:cs="Arial"/>
        </w:rPr>
        <w:t>o</w:t>
      </w:r>
      <w:r w:rsidRPr="00E06FC2">
        <w:rPr>
          <w:rFonts w:cs="Arial"/>
        </w:rPr>
        <w:t xml:space="preserve"> para que un</w:t>
      </w:r>
      <w:r w:rsidR="00F917A8" w:rsidRPr="00E06FC2">
        <w:rPr>
          <w:rFonts w:cs="Arial"/>
        </w:rPr>
        <w:t xml:space="preserve">a acción de </w:t>
      </w:r>
      <w:r w:rsidRPr="00E06FC2">
        <w:rPr>
          <w:rFonts w:cs="Arial"/>
        </w:rPr>
        <w:t xml:space="preserve">nulidad y restablecimiento del derecho tuviera vocación de doble instancia, de conformidad con el </w:t>
      </w:r>
      <w:r w:rsidR="00184346" w:rsidRPr="00E06FC2">
        <w:rPr>
          <w:rFonts w:cs="Arial"/>
        </w:rPr>
        <w:t>numeral 3 del artículo 132 del Código Contencioso Administrativo</w:t>
      </w:r>
      <w:r w:rsidR="000A5780" w:rsidRPr="00E06FC2">
        <w:rPr>
          <w:rFonts w:cs="Arial"/>
        </w:rPr>
        <w:t xml:space="preserve">, tal como fue modificado </w:t>
      </w:r>
      <w:r w:rsidR="00F83B6B" w:rsidRPr="00E06FC2">
        <w:rPr>
          <w:rFonts w:cs="Arial"/>
        </w:rPr>
        <w:t xml:space="preserve">por </w:t>
      </w:r>
      <w:r w:rsidR="000A5780" w:rsidRPr="00E06FC2">
        <w:rPr>
          <w:rFonts w:cs="Arial"/>
        </w:rPr>
        <w:t xml:space="preserve">la readecuación de competencias prevista por la Ley 954 de 2005, </w:t>
      </w:r>
      <w:r w:rsidR="00184346" w:rsidRPr="00E06FC2">
        <w:rPr>
          <w:rFonts w:cs="Arial"/>
        </w:rPr>
        <w:t xml:space="preserve">teniendo en cuenta que los recursos de apelación se presentaron el </w:t>
      </w:r>
      <w:r w:rsidR="0079613C" w:rsidRPr="00E06FC2">
        <w:rPr>
          <w:rFonts w:cs="Arial"/>
          <w:bCs/>
          <w:lang w:val="es-MX"/>
        </w:rPr>
        <w:t>10 de noviembre de 2009</w:t>
      </w:r>
      <w:r w:rsidR="000A5780" w:rsidRPr="00E06FC2">
        <w:rPr>
          <w:rFonts w:cs="Arial"/>
          <w:bCs/>
          <w:lang w:val="es-MX"/>
        </w:rPr>
        <w:t>.</w:t>
      </w:r>
      <w:r w:rsidR="00184346" w:rsidRPr="00E06FC2">
        <w:rPr>
          <w:rFonts w:cs="Arial"/>
        </w:rPr>
        <w:t xml:space="preserve"> </w:t>
      </w:r>
    </w:p>
    <w:p w14:paraId="0F18EDD6" w14:textId="77777777" w:rsidR="00724307" w:rsidRPr="00E06FC2" w:rsidRDefault="00724307" w:rsidP="00743788">
      <w:pPr>
        <w:rPr>
          <w:rFonts w:cs="Arial"/>
        </w:rPr>
      </w:pPr>
    </w:p>
    <w:p w14:paraId="4A68E4A9" w14:textId="77777777" w:rsidR="00205871" w:rsidRPr="00E06FC2" w:rsidRDefault="00483B19" w:rsidP="00743788">
      <w:pPr>
        <w:spacing w:line="240" w:lineRule="auto"/>
        <w:rPr>
          <w:rFonts w:cs="Arial"/>
          <w:b/>
        </w:rPr>
      </w:pPr>
      <w:r w:rsidRPr="00E06FC2">
        <w:rPr>
          <w:rFonts w:cs="Arial"/>
          <w:b/>
        </w:rPr>
        <w:t>2</w:t>
      </w:r>
      <w:r w:rsidR="00177B46" w:rsidRPr="00E06FC2">
        <w:rPr>
          <w:rFonts w:cs="Arial"/>
          <w:b/>
        </w:rPr>
        <w:t xml:space="preserve">. </w:t>
      </w:r>
      <w:r w:rsidR="006821A8" w:rsidRPr="00E06FC2">
        <w:rPr>
          <w:rFonts w:cs="Arial"/>
          <w:b/>
        </w:rPr>
        <w:t>C</w:t>
      </w:r>
      <w:r w:rsidR="00205871" w:rsidRPr="00E06FC2">
        <w:rPr>
          <w:rFonts w:cs="Arial"/>
          <w:b/>
        </w:rPr>
        <w:t xml:space="preserve">aducidad de la acción contractual </w:t>
      </w:r>
    </w:p>
    <w:p w14:paraId="351910E5" w14:textId="77777777" w:rsidR="00205871" w:rsidRPr="00E06FC2" w:rsidRDefault="00205871" w:rsidP="00743788">
      <w:pPr>
        <w:rPr>
          <w:rFonts w:cs="Arial"/>
          <w:b/>
        </w:rPr>
      </w:pPr>
    </w:p>
    <w:p w14:paraId="1DA9F171" w14:textId="77777777" w:rsidR="00371F85" w:rsidRPr="00E06FC2" w:rsidRDefault="00832BF2" w:rsidP="00743788">
      <w:pPr>
        <w:rPr>
          <w:rFonts w:cs="Arial"/>
        </w:rPr>
      </w:pPr>
      <w:r w:rsidRPr="00E06FC2">
        <w:rPr>
          <w:rFonts w:cs="Arial"/>
        </w:rPr>
        <w:t xml:space="preserve">La Sala verifica que </w:t>
      </w:r>
      <w:r w:rsidR="00F83B6B" w:rsidRPr="00E06FC2">
        <w:rPr>
          <w:rFonts w:cs="Arial"/>
        </w:rPr>
        <w:t xml:space="preserve">en este caso no operó la caducidad de la acción, teniendo en cuenta que </w:t>
      </w:r>
      <w:r w:rsidR="001057FA" w:rsidRPr="00E06FC2">
        <w:rPr>
          <w:rFonts w:cs="Arial"/>
        </w:rPr>
        <w:t xml:space="preserve">el acto acusado se </w:t>
      </w:r>
      <w:r w:rsidR="00A62434" w:rsidRPr="00E06FC2">
        <w:rPr>
          <w:rFonts w:cs="Arial"/>
        </w:rPr>
        <w:t>profirió el 10 de octubre de 1997</w:t>
      </w:r>
      <w:r w:rsidR="004A5DEE" w:rsidRPr="00E06FC2">
        <w:rPr>
          <w:rFonts w:cs="Arial"/>
        </w:rPr>
        <w:t xml:space="preserve">, se </w:t>
      </w:r>
      <w:r w:rsidR="006163C1" w:rsidRPr="00E06FC2">
        <w:rPr>
          <w:rFonts w:cs="Arial"/>
        </w:rPr>
        <w:t xml:space="preserve">entregó copia auténtica </w:t>
      </w:r>
      <w:r w:rsidR="0082447B" w:rsidRPr="00E06FC2">
        <w:rPr>
          <w:rFonts w:cs="Arial"/>
        </w:rPr>
        <w:t xml:space="preserve">del mismo </w:t>
      </w:r>
      <w:r w:rsidR="006163C1" w:rsidRPr="00E06FC2">
        <w:rPr>
          <w:rFonts w:cs="Arial"/>
        </w:rPr>
        <w:t xml:space="preserve">a </w:t>
      </w:r>
      <w:r w:rsidR="004A5DEE" w:rsidRPr="00E06FC2">
        <w:rPr>
          <w:rFonts w:cs="Arial"/>
        </w:rPr>
        <w:t>la parte actora el 6 de noviembre de 1997</w:t>
      </w:r>
      <w:r w:rsidR="004A5DEE" w:rsidRPr="00E06FC2">
        <w:rPr>
          <w:rStyle w:val="Refdenotaalpie"/>
          <w:rFonts w:cs="Arial"/>
        </w:rPr>
        <w:footnoteReference w:id="35"/>
      </w:r>
      <w:r w:rsidR="00A62434" w:rsidRPr="00E06FC2">
        <w:rPr>
          <w:rFonts w:cs="Arial"/>
        </w:rPr>
        <w:t xml:space="preserve"> y </w:t>
      </w:r>
      <w:r w:rsidR="0082447B" w:rsidRPr="00E06FC2">
        <w:rPr>
          <w:rFonts w:cs="Arial"/>
        </w:rPr>
        <w:t xml:space="preserve">la demanda se presentó </w:t>
      </w:r>
      <w:r w:rsidR="00A62434" w:rsidRPr="00E06FC2">
        <w:rPr>
          <w:rFonts w:cs="Arial"/>
        </w:rPr>
        <w:t xml:space="preserve">el 28 de </w:t>
      </w:r>
      <w:r w:rsidR="008D4D0F" w:rsidRPr="00E06FC2">
        <w:rPr>
          <w:rFonts w:cs="Arial"/>
        </w:rPr>
        <w:t>febrero de 1998</w:t>
      </w:r>
      <w:r w:rsidRPr="00E06FC2">
        <w:rPr>
          <w:rFonts w:cs="Arial"/>
        </w:rPr>
        <w:t xml:space="preserve">. </w:t>
      </w:r>
    </w:p>
    <w:p w14:paraId="1BA04422" w14:textId="77777777" w:rsidR="00371F85" w:rsidRPr="00E06FC2" w:rsidRDefault="00371F85" w:rsidP="00743788">
      <w:pPr>
        <w:rPr>
          <w:rFonts w:cs="Arial"/>
        </w:rPr>
      </w:pPr>
    </w:p>
    <w:p w14:paraId="6E629C26" w14:textId="77777777" w:rsidR="000F5AC6" w:rsidRPr="00E06FC2" w:rsidRDefault="00832BF2" w:rsidP="00743788">
      <w:pPr>
        <w:rPr>
          <w:rFonts w:cs="Arial"/>
        </w:rPr>
      </w:pPr>
      <w:r w:rsidRPr="00E06FC2">
        <w:rPr>
          <w:rFonts w:cs="Arial"/>
        </w:rPr>
        <w:t xml:space="preserve">De conformidad con lo anterior, se </w:t>
      </w:r>
      <w:r w:rsidR="008D4D0F" w:rsidRPr="00E06FC2">
        <w:rPr>
          <w:rFonts w:cs="Arial"/>
        </w:rPr>
        <w:t xml:space="preserve">establece que la demanda se </w:t>
      </w:r>
      <w:r w:rsidR="0082447B" w:rsidRPr="00E06FC2">
        <w:rPr>
          <w:rFonts w:cs="Arial"/>
        </w:rPr>
        <w:t xml:space="preserve">interpuso </w:t>
      </w:r>
      <w:r w:rsidR="008D4D0F" w:rsidRPr="00E06FC2">
        <w:rPr>
          <w:rFonts w:cs="Arial"/>
        </w:rPr>
        <w:t xml:space="preserve">oportunamente, dentro del plazo de </w:t>
      </w:r>
      <w:r w:rsidRPr="00E06FC2">
        <w:rPr>
          <w:rFonts w:cs="Arial"/>
        </w:rPr>
        <w:t xml:space="preserve">cuatro </w:t>
      </w:r>
      <w:r w:rsidR="008D4D0F" w:rsidRPr="00E06FC2">
        <w:rPr>
          <w:rFonts w:cs="Arial"/>
        </w:rPr>
        <w:t xml:space="preserve">meses para impetrar la acción de nulidad y restablecimiento del derecho, de acuerdo con lo </w:t>
      </w:r>
      <w:r w:rsidR="00853536" w:rsidRPr="00E06FC2">
        <w:rPr>
          <w:rFonts w:cs="Arial"/>
        </w:rPr>
        <w:t xml:space="preserve">establecido por </w:t>
      </w:r>
      <w:r w:rsidR="008D4D0F" w:rsidRPr="00E06FC2">
        <w:rPr>
          <w:rFonts w:cs="Arial"/>
        </w:rPr>
        <w:t>el artículo 136 del Código Contencioso Administrativo</w:t>
      </w:r>
      <w:r w:rsidR="006163C1" w:rsidRPr="00E06FC2">
        <w:rPr>
          <w:rFonts w:cs="Arial"/>
        </w:rPr>
        <w:t xml:space="preserve">, </w:t>
      </w:r>
      <w:r w:rsidR="00371F85" w:rsidRPr="00E06FC2">
        <w:rPr>
          <w:rFonts w:cs="Arial"/>
        </w:rPr>
        <w:t xml:space="preserve">acerca de la caducidad de la acción, </w:t>
      </w:r>
      <w:r w:rsidR="006163C1" w:rsidRPr="00E06FC2">
        <w:rPr>
          <w:rFonts w:cs="Arial"/>
        </w:rPr>
        <w:t xml:space="preserve">tal como </w:t>
      </w:r>
      <w:r w:rsidR="00F83B6B" w:rsidRPr="00E06FC2">
        <w:rPr>
          <w:rFonts w:cs="Arial"/>
        </w:rPr>
        <w:t xml:space="preserve">fue </w:t>
      </w:r>
      <w:r w:rsidR="006163C1" w:rsidRPr="00E06FC2">
        <w:rPr>
          <w:rFonts w:cs="Arial"/>
        </w:rPr>
        <w:t>modificado por el Decreto 2304 de 1989</w:t>
      </w:r>
      <w:r w:rsidR="0082447B" w:rsidRPr="00E06FC2">
        <w:rPr>
          <w:rFonts w:cs="Arial"/>
        </w:rPr>
        <w:t>,</w:t>
      </w:r>
      <w:r w:rsidR="006163C1" w:rsidRPr="00E06FC2">
        <w:rPr>
          <w:rFonts w:cs="Arial"/>
        </w:rPr>
        <w:t xml:space="preserve"> </w:t>
      </w:r>
      <w:r w:rsidR="0048496C" w:rsidRPr="00E06FC2">
        <w:rPr>
          <w:rFonts w:cs="Arial"/>
        </w:rPr>
        <w:t xml:space="preserve">el cual se encontró </w:t>
      </w:r>
      <w:r w:rsidR="006163C1" w:rsidRPr="00E06FC2">
        <w:rPr>
          <w:rFonts w:cs="Arial"/>
        </w:rPr>
        <w:t>vigente para la</w:t>
      </w:r>
      <w:r w:rsidRPr="00E06FC2">
        <w:rPr>
          <w:rFonts w:cs="Arial"/>
        </w:rPr>
        <w:t>s fechas citadas</w:t>
      </w:r>
      <w:r w:rsidR="00371F85" w:rsidRPr="00E06FC2">
        <w:rPr>
          <w:rStyle w:val="Refdenotaalpie"/>
          <w:rFonts w:cs="Arial"/>
        </w:rPr>
        <w:footnoteReference w:id="36"/>
      </w:r>
      <w:r w:rsidRPr="00E06FC2">
        <w:rPr>
          <w:rFonts w:cs="Arial"/>
        </w:rPr>
        <w:t>.</w:t>
      </w:r>
    </w:p>
    <w:p w14:paraId="580D48CD" w14:textId="77777777" w:rsidR="006163C1" w:rsidRPr="00E06FC2" w:rsidRDefault="006163C1" w:rsidP="00743788">
      <w:pPr>
        <w:rPr>
          <w:rFonts w:cs="Arial"/>
          <w:b/>
        </w:rPr>
      </w:pPr>
    </w:p>
    <w:p w14:paraId="10AEC900" w14:textId="77777777" w:rsidR="005439E4" w:rsidRPr="00E06FC2" w:rsidRDefault="00177B46" w:rsidP="00743788">
      <w:pPr>
        <w:spacing w:line="240" w:lineRule="auto"/>
        <w:rPr>
          <w:rFonts w:cs="Arial"/>
          <w:b/>
          <w:iCs/>
        </w:rPr>
      </w:pPr>
      <w:r w:rsidRPr="00E06FC2">
        <w:rPr>
          <w:rFonts w:cs="Arial"/>
          <w:b/>
        </w:rPr>
        <w:t xml:space="preserve">3. </w:t>
      </w:r>
      <w:r w:rsidR="00AE1135" w:rsidRPr="00E06FC2">
        <w:rPr>
          <w:rFonts w:cs="Arial"/>
          <w:b/>
          <w:iCs/>
        </w:rPr>
        <w:t>Legitimación activa de la unión temporal demandante</w:t>
      </w:r>
      <w:r w:rsidR="005439E4" w:rsidRPr="00E06FC2">
        <w:rPr>
          <w:rFonts w:cs="Arial"/>
          <w:b/>
          <w:iCs/>
        </w:rPr>
        <w:t xml:space="preserve">. No se requiere vincular </w:t>
      </w:r>
      <w:r w:rsidR="00A91CE8" w:rsidRPr="00E06FC2">
        <w:rPr>
          <w:rFonts w:cs="Arial"/>
          <w:b/>
          <w:iCs/>
        </w:rPr>
        <w:t xml:space="preserve">individualmente </w:t>
      </w:r>
      <w:r w:rsidR="005439E4" w:rsidRPr="00E06FC2">
        <w:rPr>
          <w:rFonts w:cs="Arial"/>
          <w:b/>
          <w:iCs/>
        </w:rPr>
        <w:t xml:space="preserve">a los integrantes </w:t>
      </w:r>
      <w:r w:rsidR="00A91CE8" w:rsidRPr="00E06FC2">
        <w:rPr>
          <w:rFonts w:cs="Arial"/>
          <w:b/>
          <w:iCs/>
        </w:rPr>
        <w:t>de la Unión Temporal si</w:t>
      </w:r>
      <w:r w:rsidR="005439E4" w:rsidRPr="00E06FC2">
        <w:rPr>
          <w:rFonts w:cs="Arial"/>
          <w:b/>
          <w:iCs/>
        </w:rPr>
        <w:t xml:space="preserve"> </w:t>
      </w:r>
      <w:r w:rsidR="00A91CE8" w:rsidRPr="00E06FC2">
        <w:rPr>
          <w:rFonts w:cs="Arial"/>
          <w:b/>
          <w:iCs/>
        </w:rPr>
        <w:t xml:space="preserve">la </w:t>
      </w:r>
      <w:r w:rsidR="005439E4" w:rsidRPr="00E06FC2">
        <w:rPr>
          <w:rFonts w:cs="Arial"/>
          <w:b/>
          <w:iCs/>
        </w:rPr>
        <w:t>demand</w:t>
      </w:r>
      <w:r w:rsidR="00A91CE8" w:rsidRPr="00E06FC2">
        <w:rPr>
          <w:rFonts w:cs="Arial"/>
          <w:b/>
          <w:iCs/>
        </w:rPr>
        <w:t>a la presentó</w:t>
      </w:r>
      <w:r w:rsidR="005439E4" w:rsidRPr="00E06FC2">
        <w:rPr>
          <w:rFonts w:cs="Arial"/>
          <w:b/>
          <w:iCs/>
        </w:rPr>
        <w:t xml:space="preserve"> el representante</w:t>
      </w:r>
      <w:r w:rsidR="00F47DFF" w:rsidRPr="00E06FC2">
        <w:rPr>
          <w:rFonts w:cs="Arial"/>
          <w:b/>
          <w:iCs/>
        </w:rPr>
        <w:t xml:space="preserve"> de la misma</w:t>
      </w:r>
      <w:r w:rsidR="005439E4" w:rsidRPr="00E06FC2">
        <w:rPr>
          <w:rFonts w:cs="Arial"/>
          <w:b/>
          <w:iCs/>
        </w:rPr>
        <w:t xml:space="preserve">. Tampoco procede </w:t>
      </w:r>
      <w:r w:rsidR="00F47DFF" w:rsidRPr="00E06FC2">
        <w:rPr>
          <w:rFonts w:cs="Arial"/>
          <w:b/>
          <w:iCs/>
        </w:rPr>
        <w:t xml:space="preserve">notificar </w:t>
      </w:r>
      <w:r w:rsidR="005439E4" w:rsidRPr="00E06FC2">
        <w:rPr>
          <w:rFonts w:cs="Arial"/>
          <w:b/>
          <w:iCs/>
        </w:rPr>
        <w:t xml:space="preserve">a la sociedad </w:t>
      </w:r>
      <w:r w:rsidR="00A91CE8" w:rsidRPr="00E06FC2">
        <w:rPr>
          <w:rFonts w:cs="Arial"/>
          <w:b/>
          <w:iCs/>
        </w:rPr>
        <w:t xml:space="preserve">integrante de la Unión Temporal si aquella </w:t>
      </w:r>
      <w:r w:rsidR="002E0413" w:rsidRPr="00E06FC2">
        <w:rPr>
          <w:rFonts w:cs="Arial"/>
          <w:b/>
          <w:iCs/>
        </w:rPr>
        <w:t xml:space="preserve">ya </w:t>
      </w:r>
      <w:r w:rsidR="00F47DFF" w:rsidRPr="00E06FC2">
        <w:rPr>
          <w:rFonts w:cs="Arial"/>
          <w:b/>
          <w:iCs/>
        </w:rPr>
        <w:t xml:space="preserve">ha </w:t>
      </w:r>
      <w:r w:rsidR="002E0413" w:rsidRPr="00E06FC2">
        <w:rPr>
          <w:rFonts w:cs="Arial"/>
          <w:b/>
          <w:iCs/>
        </w:rPr>
        <w:t xml:space="preserve">sido </w:t>
      </w:r>
      <w:r w:rsidR="005439E4" w:rsidRPr="00E06FC2">
        <w:rPr>
          <w:rFonts w:cs="Arial"/>
          <w:b/>
          <w:iCs/>
        </w:rPr>
        <w:t>liquidada</w:t>
      </w:r>
      <w:r w:rsidR="00A91CE8" w:rsidRPr="00E06FC2">
        <w:rPr>
          <w:rFonts w:cs="Arial"/>
          <w:b/>
          <w:iCs/>
        </w:rPr>
        <w:t>.</w:t>
      </w:r>
      <w:r w:rsidR="005439E4" w:rsidRPr="00E06FC2">
        <w:rPr>
          <w:rFonts w:cs="Arial"/>
          <w:b/>
          <w:iCs/>
        </w:rPr>
        <w:t xml:space="preserve"> </w:t>
      </w:r>
    </w:p>
    <w:p w14:paraId="1C61C764" w14:textId="77777777" w:rsidR="00AE1135" w:rsidRPr="00E06FC2" w:rsidRDefault="00AE1135" w:rsidP="00743788">
      <w:pPr>
        <w:rPr>
          <w:rFonts w:cs="Arial"/>
          <w:iCs/>
        </w:rPr>
      </w:pPr>
    </w:p>
    <w:p w14:paraId="6E2AF841" w14:textId="77777777" w:rsidR="00AE1135" w:rsidRPr="00E06FC2" w:rsidRDefault="00AE1135" w:rsidP="00743788">
      <w:pPr>
        <w:rPr>
          <w:rFonts w:cs="Arial"/>
          <w:iCs/>
        </w:rPr>
      </w:pPr>
      <w:r w:rsidRPr="00E06FC2">
        <w:rPr>
          <w:rFonts w:cs="Arial"/>
          <w:iCs/>
        </w:rPr>
        <w:t>El representante legal de Electro Atlántico Ltda</w:t>
      </w:r>
      <w:r w:rsidR="00F60FF0" w:rsidRPr="00E06FC2">
        <w:rPr>
          <w:rFonts w:cs="Arial"/>
          <w:iCs/>
        </w:rPr>
        <w:t>.</w:t>
      </w:r>
      <w:r w:rsidRPr="00E06FC2">
        <w:rPr>
          <w:rFonts w:cs="Arial"/>
          <w:iCs/>
        </w:rPr>
        <w:t xml:space="preserve"> otorgó poder para que</w:t>
      </w:r>
      <w:r w:rsidR="004D0493" w:rsidRPr="00E06FC2">
        <w:rPr>
          <w:rFonts w:cs="Arial"/>
          <w:iCs/>
        </w:rPr>
        <w:t>,</w:t>
      </w:r>
      <w:r w:rsidRPr="00E06FC2">
        <w:rPr>
          <w:rFonts w:cs="Arial"/>
          <w:iCs/>
        </w:rPr>
        <w:t xml:space="preserve"> en nombre y representación de la citada sociedad</w:t>
      </w:r>
      <w:r w:rsidR="004D0493" w:rsidRPr="00E06FC2">
        <w:rPr>
          <w:rFonts w:cs="Arial"/>
          <w:iCs/>
        </w:rPr>
        <w:t>,</w:t>
      </w:r>
      <w:r w:rsidRPr="00E06FC2">
        <w:rPr>
          <w:rFonts w:cs="Arial"/>
          <w:iCs/>
        </w:rPr>
        <w:t xml:space="preserve"> se iniciara y llevara hasta su culminación la acción de nulidad y restablecimiento del derecho contra la </w:t>
      </w:r>
      <w:r w:rsidR="004D0493" w:rsidRPr="00E06FC2">
        <w:rPr>
          <w:rFonts w:cs="Arial"/>
          <w:iCs/>
        </w:rPr>
        <w:t>R</w:t>
      </w:r>
      <w:r w:rsidRPr="00E06FC2">
        <w:rPr>
          <w:rFonts w:cs="Arial"/>
          <w:iCs/>
        </w:rPr>
        <w:t>esolución 442 de 10 de octubre de 1997</w:t>
      </w:r>
      <w:r w:rsidR="004D0493" w:rsidRPr="00E06FC2">
        <w:rPr>
          <w:rFonts w:cs="Arial"/>
          <w:iCs/>
        </w:rPr>
        <w:t>,</w:t>
      </w:r>
      <w:r w:rsidRPr="00E06FC2">
        <w:rPr>
          <w:rFonts w:cs="Arial"/>
          <w:iCs/>
        </w:rPr>
        <w:t xml:space="preserve"> proferida por la Alcaldía de Cartago.</w:t>
      </w:r>
    </w:p>
    <w:p w14:paraId="0182C6E9" w14:textId="77777777" w:rsidR="00AE1135" w:rsidRPr="00E06FC2" w:rsidRDefault="00AE1135" w:rsidP="00743788">
      <w:pPr>
        <w:rPr>
          <w:rFonts w:cs="Arial"/>
          <w:iCs/>
        </w:rPr>
      </w:pPr>
    </w:p>
    <w:p w14:paraId="11157E56" w14:textId="77777777" w:rsidR="00AE1135" w:rsidRPr="00E06FC2" w:rsidRDefault="00AE1135" w:rsidP="00743788">
      <w:pPr>
        <w:rPr>
          <w:rFonts w:cs="Arial"/>
          <w:i/>
          <w:iCs/>
        </w:rPr>
      </w:pPr>
      <w:r w:rsidRPr="00E06FC2">
        <w:rPr>
          <w:rFonts w:cs="Arial"/>
          <w:iCs/>
        </w:rPr>
        <w:t>En la demanda se identificó como parte demandante a Electro Atl</w:t>
      </w:r>
      <w:r w:rsidR="00A91CE8" w:rsidRPr="00E06FC2">
        <w:rPr>
          <w:rFonts w:cs="Arial"/>
          <w:iCs/>
        </w:rPr>
        <w:t>á</w:t>
      </w:r>
      <w:r w:rsidRPr="00E06FC2">
        <w:rPr>
          <w:rFonts w:cs="Arial"/>
          <w:iCs/>
        </w:rPr>
        <w:t>ntico Ltda</w:t>
      </w:r>
      <w:r w:rsidR="00F60FF0" w:rsidRPr="00E06FC2">
        <w:rPr>
          <w:rFonts w:cs="Arial"/>
          <w:iCs/>
        </w:rPr>
        <w:t>.</w:t>
      </w:r>
      <w:r w:rsidRPr="00E06FC2">
        <w:rPr>
          <w:rFonts w:cs="Arial"/>
          <w:iCs/>
        </w:rPr>
        <w:t xml:space="preserve"> </w:t>
      </w:r>
      <w:r w:rsidRPr="00E06FC2">
        <w:rPr>
          <w:rFonts w:cs="Arial"/>
          <w:i/>
          <w:iCs/>
        </w:rPr>
        <w:t>“como integrante de la Unión Temporal General El</w:t>
      </w:r>
      <w:r w:rsidR="002A4804" w:rsidRPr="00E06FC2">
        <w:rPr>
          <w:rFonts w:cs="Arial"/>
          <w:i/>
          <w:iCs/>
        </w:rPr>
        <w:t>e</w:t>
      </w:r>
      <w:r w:rsidRPr="00E06FC2">
        <w:rPr>
          <w:rFonts w:cs="Arial"/>
          <w:i/>
          <w:iCs/>
        </w:rPr>
        <w:t>ctric Iluminación de Colombia Ltda</w:t>
      </w:r>
      <w:r w:rsidR="00F60FF0" w:rsidRPr="00E06FC2">
        <w:rPr>
          <w:rFonts w:cs="Arial"/>
          <w:i/>
          <w:iCs/>
        </w:rPr>
        <w:t>.</w:t>
      </w:r>
      <w:r w:rsidRPr="00E06FC2">
        <w:rPr>
          <w:rFonts w:cs="Arial"/>
          <w:i/>
          <w:iCs/>
        </w:rPr>
        <w:t xml:space="preserve"> (Geico Ltda</w:t>
      </w:r>
      <w:r w:rsidR="00F60FF0" w:rsidRPr="00E06FC2">
        <w:rPr>
          <w:rFonts w:cs="Arial"/>
          <w:i/>
          <w:iCs/>
        </w:rPr>
        <w:t>.</w:t>
      </w:r>
      <w:r w:rsidRPr="00E06FC2">
        <w:rPr>
          <w:rFonts w:cs="Arial"/>
          <w:i/>
          <w:iCs/>
        </w:rPr>
        <w:t>) –Electro Atlántico Ltda”.</w:t>
      </w:r>
    </w:p>
    <w:p w14:paraId="009C6ABC" w14:textId="77777777" w:rsidR="00AE1135" w:rsidRPr="00E06FC2" w:rsidRDefault="00AE1135" w:rsidP="00743788">
      <w:pPr>
        <w:rPr>
          <w:rFonts w:cs="Arial"/>
          <w:iCs/>
        </w:rPr>
      </w:pPr>
      <w:r w:rsidRPr="00E06FC2">
        <w:rPr>
          <w:rFonts w:cs="Arial"/>
          <w:iCs/>
        </w:rPr>
        <w:t xml:space="preserve"> </w:t>
      </w:r>
    </w:p>
    <w:p w14:paraId="0BB763D6" w14:textId="77777777" w:rsidR="00AE1135" w:rsidRPr="00E06FC2" w:rsidRDefault="00AE1135" w:rsidP="00743788">
      <w:pPr>
        <w:rPr>
          <w:rFonts w:cs="Arial"/>
          <w:iCs/>
        </w:rPr>
      </w:pPr>
      <w:r w:rsidRPr="00E06FC2">
        <w:rPr>
          <w:rFonts w:cs="Arial"/>
          <w:iCs/>
        </w:rPr>
        <w:t xml:space="preserve">La demandante acompañó, como anexo, el </w:t>
      </w:r>
      <w:r w:rsidRPr="00E06FC2">
        <w:rPr>
          <w:rFonts w:cs="Arial"/>
          <w:i/>
          <w:iCs/>
        </w:rPr>
        <w:t xml:space="preserve">“COMPROMISO DE UNIÓN TEMPORAL PARA LA CONCESIÓN DE ALUMBRADO PÚBLICO DEL MUNCIPIO </w:t>
      </w:r>
      <w:r w:rsidRPr="00E06FC2">
        <w:rPr>
          <w:rFonts w:cs="Arial"/>
          <w:i/>
          <w:iCs/>
        </w:rPr>
        <w:lastRenderedPageBreak/>
        <w:t>DE CARTAGO”</w:t>
      </w:r>
      <w:r w:rsidR="00E17038" w:rsidRPr="00E06FC2">
        <w:rPr>
          <w:rStyle w:val="Refdenotaalpie"/>
          <w:rFonts w:cs="Arial"/>
          <w:i/>
          <w:iCs/>
        </w:rPr>
        <w:footnoteReference w:id="37"/>
      </w:r>
      <w:r w:rsidRPr="00E06FC2">
        <w:rPr>
          <w:rFonts w:cs="Arial"/>
          <w:i/>
          <w:iCs/>
        </w:rPr>
        <w:t>,</w:t>
      </w:r>
      <w:r w:rsidRPr="00E06FC2">
        <w:rPr>
          <w:rFonts w:cs="Arial"/>
          <w:iCs/>
        </w:rPr>
        <w:t xml:space="preserve"> suscrito entre Electro Atlántico Ltda</w:t>
      </w:r>
      <w:r w:rsidR="004D0493" w:rsidRPr="00E06FC2">
        <w:rPr>
          <w:rFonts w:cs="Arial"/>
          <w:iCs/>
        </w:rPr>
        <w:t>.</w:t>
      </w:r>
      <w:r w:rsidRPr="00E06FC2">
        <w:rPr>
          <w:rFonts w:cs="Arial"/>
          <w:iCs/>
        </w:rPr>
        <w:t xml:space="preserve"> y Geico Ltda</w:t>
      </w:r>
      <w:r w:rsidR="00B420CC" w:rsidRPr="00E06FC2">
        <w:rPr>
          <w:rFonts w:cs="Arial"/>
          <w:iCs/>
        </w:rPr>
        <w:t>.</w:t>
      </w:r>
      <w:r w:rsidRPr="00E06FC2">
        <w:rPr>
          <w:rFonts w:cs="Arial"/>
          <w:iCs/>
        </w:rPr>
        <w:t xml:space="preserve"> con el objeto de integrar una unión temporal para presentar la oferta dentro la Licitación Pública 001 de 1997, suscribir y ejecutar el contrato correspondiente a la concesión del servicio de alumbrado público en el municipio de Cartago.</w:t>
      </w:r>
    </w:p>
    <w:p w14:paraId="157DC70D" w14:textId="77777777" w:rsidR="00AE1135" w:rsidRPr="00E06FC2" w:rsidRDefault="00AE1135" w:rsidP="00743788">
      <w:pPr>
        <w:rPr>
          <w:rFonts w:cs="Arial"/>
          <w:iCs/>
        </w:rPr>
      </w:pPr>
    </w:p>
    <w:p w14:paraId="1549EAD5" w14:textId="77777777" w:rsidR="00AE1135" w:rsidRPr="00E06FC2" w:rsidRDefault="00AE1135" w:rsidP="00743788">
      <w:pPr>
        <w:rPr>
          <w:rFonts w:cs="Arial"/>
          <w:iCs/>
        </w:rPr>
      </w:pPr>
      <w:r w:rsidRPr="00E06FC2">
        <w:rPr>
          <w:rFonts w:cs="Arial"/>
          <w:iCs/>
        </w:rPr>
        <w:t>En el citado documento se designó como representante de la Unión Temporal  a Electro Atlántico Ltda</w:t>
      </w:r>
      <w:r w:rsidRPr="00E06FC2">
        <w:rPr>
          <w:rStyle w:val="Refdenotaalpie"/>
          <w:rFonts w:cs="Arial"/>
          <w:iCs/>
        </w:rPr>
        <w:footnoteReference w:id="38"/>
      </w:r>
      <w:r w:rsidRPr="00E06FC2">
        <w:rPr>
          <w:rFonts w:cs="Arial"/>
          <w:iCs/>
        </w:rPr>
        <w:t>.</w:t>
      </w:r>
    </w:p>
    <w:p w14:paraId="4FC2AE31" w14:textId="77777777" w:rsidR="00AE1135" w:rsidRPr="00E06FC2" w:rsidRDefault="00AE1135" w:rsidP="00743788">
      <w:pPr>
        <w:rPr>
          <w:rFonts w:cs="Arial"/>
          <w:iCs/>
        </w:rPr>
      </w:pPr>
    </w:p>
    <w:p w14:paraId="7AA16C35" w14:textId="77777777" w:rsidR="00AE1135" w:rsidRPr="00E06FC2" w:rsidRDefault="00AE1135" w:rsidP="00743788">
      <w:pPr>
        <w:rPr>
          <w:rFonts w:cs="Arial"/>
          <w:iCs/>
        </w:rPr>
      </w:pPr>
      <w:r w:rsidRPr="00E06FC2">
        <w:rPr>
          <w:rFonts w:cs="Arial"/>
          <w:iCs/>
        </w:rPr>
        <w:t>En la cláusula tercera del compromiso de unión temporal, sin perjuicio de la solidaridad de las obligaciones, las partes de la unión temporal acordaron la siguiente distribución de actividades:</w:t>
      </w:r>
    </w:p>
    <w:p w14:paraId="1DC1285D" w14:textId="77777777" w:rsidR="00AE1135" w:rsidRPr="00E06FC2" w:rsidRDefault="00AE1135" w:rsidP="00743788">
      <w:pPr>
        <w:rPr>
          <w:rFonts w:cs="Arial"/>
          <w:iCs/>
        </w:rPr>
      </w:pPr>
    </w:p>
    <w:p w14:paraId="16363C0C" w14:textId="77777777" w:rsidR="00AE1135" w:rsidRPr="00E06FC2" w:rsidRDefault="00AE1135" w:rsidP="00743788">
      <w:pPr>
        <w:spacing w:line="276" w:lineRule="auto"/>
        <w:ind w:left="567" w:right="708"/>
        <w:rPr>
          <w:rFonts w:cs="Arial"/>
          <w:i/>
          <w:iCs/>
        </w:rPr>
      </w:pPr>
      <w:r w:rsidRPr="00E06FC2">
        <w:rPr>
          <w:rFonts w:cs="Arial"/>
          <w:i/>
          <w:iCs/>
        </w:rPr>
        <w:t>“TERCERA: Queda expresamente convenido que las personas jurídicas que integramos esta UNIÓN TEMPORAL, responderemos solidaria y mancomunadamente por el cumplimiento total de la propuesta y de la ejecución del contrato (….). Para efectos de la aplicación de las sanciones por incumplimiento de las obligaciones derivadas de la propuesta y del contrato, convenimos que los términos y extensión de nuestra participación es (sic) la siguiente:</w:t>
      </w:r>
    </w:p>
    <w:p w14:paraId="39AA5E0B" w14:textId="77777777" w:rsidR="00AE1135" w:rsidRPr="00E06FC2" w:rsidRDefault="00AE1135" w:rsidP="00743788">
      <w:pPr>
        <w:spacing w:line="276" w:lineRule="auto"/>
        <w:ind w:left="567" w:right="708"/>
        <w:rPr>
          <w:rFonts w:cs="Arial"/>
          <w:i/>
          <w:iCs/>
        </w:rPr>
      </w:pPr>
    </w:p>
    <w:p w14:paraId="57E6A2FD" w14:textId="77777777" w:rsidR="00AE1135" w:rsidRPr="00E06FC2" w:rsidRDefault="00AE1135" w:rsidP="00743788">
      <w:pPr>
        <w:spacing w:line="276" w:lineRule="auto"/>
        <w:ind w:left="567" w:right="708"/>
        <w:rPr>
          <w:rFonts w:cs="Arial"/>
          <w:i/>
          <w:iCs/>
        </w:rPr>
      </w:pPr>
      <w:r w:rsidRPr="00E06FC2">
        <w:rPr>
          <w:rFonts w:cs="Arial"/>
          <w:i/>
          <w:iCs/>
        </w:rPr>
        <w:t>“a) ELECTROATLÁNTICO LTDA realizará la operación y mantenimiento del contrato de concesión durante la vigencia del mismo, suministrará los materiales para el montaje de las luminarias, suministrará los repuestos que se requieran y ejecutará las obras correspondientes al retiro de las luminarias existentes y el montaje de las nuevas y se encargará de la administración de la concesión. b) GEICO realizará el suministro de todas las luminarias así como de la bombillería correspondiente, garantizará el suministro de las luminarias y de la bombillería, durante el término que dure la concesión”</w:t>
      </w:r>
      <w:r w:rsidRPr="00E06FC2">
        <w:rPr>
          <w:rStyle w:val="Refdenotaalpie"/>
          <w:rFonts w:cs="Arial"/>
          <w:i/>
          <w:iCs/>
        </w:rPr>
        <w:footnoteReference w:id="39"/>
      </w:r>
      <w:r w:rsidRPr="00E06FC2">
        <w:rPr>
          <w:rFonts w:cs="Arial"/>
          <w:i/>
          <w:iCs/>
        </w:rPr>
        <w:t xml:space="preserve">. </w:t>
      </w:r>
    </w:p>
    <w:p w14:paraId="46079954" w14:textId="77777777" w:rsidR="00AE1135" w:rsidRPr="00E06FC2" w:rsidRDefault="00AE1135" w:rsidP="00743788">
      <w:pPr>
        <w:rPr>
          <w:rFonts w:cs="Arial"/>
          <w:iCs/>
        </w:rPr>
      </w:pPr>
    </w:p>
    <w:p w14:paraId="2C92080E" w14:textId="77777777" w:rsidR="002A4804" w:rsidRPr="00E06FC2" w:rsidRDefault="00AE1135" w:rsidP="00743788">
      <w:pPr>
        <w:rPr>
          <w:rFonts w:cs="Arial"/>
          <w:iCs/>
        </w:rPr>
      </w:pPr>
      <w:r w:rsidRPr="00E06FC2">
        <w:rPr>
          <w:rFonts w:cs="Arial"/>
          <w:iCs/>
        </w:rPr>
        <w:t>Se observa que Electro Atlántico Ltda</w:t>
      </w:r>
      <w:r w:rsidR="00F60FF0" w:rsidRPr="00E06FC2">
        <w:rPr>
          <w:rFonts w:cs="Arial"/>
          <w:iCs/>
        </w:rPr>
        <w:t>.</w:t>
      </w:r>
      <w:r w:rsidRPr="00E06FC2">
        <w:rPr>
          <w:rFonts w:cs="Arial"/>
          <w:iCs/>
        </w:rPr>
        <w:t xml:space="preserve"> </w:t>
      </w:r>
      <w:r w:rsidR="00105DA6" w:rsidRPr="00E06FC2">
        <w:rPr>
          <w:rFonts w:cs="Arial"/>
          <w:iCs/>
        </w:rPr>
        <w:t xml:space="preserve">invocó </w:t>
      </w:r>
      <w:r w:rsidR="008003E8" w:rsidRPr="00E06FC2">
        <w:rPr>
          <w:rFonts w:cs="Arial"/>
          <w:iCs/>
        </w:rPr>
        <w:t xml:space="preserve">y acreditó con </w:t>
      </w:r>
      <w:r w:rsidR="002E0413" w:rsidRPr="00E06FC2">
        <w:rPr>
          <w:rFonts w:cs="Arial"/>
          <w:iCs/>
        </w:rPr>
        <w:t>su</w:t>
      </w:r>
      <w:r w:rsidRPr="00E06FC2">
        <w:rPr>
          <w:rFonts w:cs="Arial"/>
          <w:iCs/>
        </w:rPr>
        <w:t xml:space="preserve"> demanda la referida unión temporal, </w:t>
      </w:r>
      <w:r w:rsidR="002A4804" w:rsidRPr="00E06FC2">
        <w:rPr>
          <w:rFonts w:cs="Arial"/>
          <w:iCs/>
        </w:rPr>
        <w:t xml:space="preserve">por </w:t>
      </w:r>
      <w:r w:rsidRPr="00E06FC2">
        <w:rPr>
          <w:rFonts w:cs="Arial"/>
          <w:iCs/>
        </w:rPr>
        <w:t>lo cual</w:t>
      </w:r>
      <w:r w:rsidR="002A4804" w:rsidRPr="00E06FC2">
        <w:rPr>
          <w:rFonts w:cs="Arial"/>
          <w:iCs/>
        </w:rPr>
        <w:t>, siendo e</w:t>
      </w:r>
      <w:r w:rsidR="00B41137" w:rsidRPr="00E06FC2">
        <w:rPr>
          <w:rFonts w:cs="Arial"/>
          <w:iCs/>
        </w:rPr>
        <w:t xml:space="preserve">sa persona jurídica </w:t>
      </w:r>
      <w:r w:rsidR="002A4804" w:rsidRPr="00E06FC2">
        <w:rPr>
          <w:rFonts w:cs="Arial"/>
          <w:iCs/>
        </w:rPr>
        <w:t xml:space="preserve">la </w:t>
      </w:r>
      <w:r w:rsidR="00B41137" w:rsidRPr="00E06FC2">
        <w:rPr>
          <w:rFonts w:cs="Arial"/>
          <w:iCs/>
        </w:rPr>
        <w:t>representante</w:t>
      </w:r>
      <w:r w:rsidR="002A4804" w:rsidRPr="00E06FC2">
        <w:rPr>
          <w:rFonts w:cs="Arial"/>
          <w:iCs/>
        </w:rPr>
        <w:t>, se entiende que cumplió con el requisito de obrar por cuenta de la misma. Por ello</w:t>
      </w:r>
      <w:r w:rsidR="005439E4" w:rsidRPr="00E06FC2">
        <w:rPr>
          <w:rFonts w:cs="Arial"/>
          <w:iCs/>
        </w:rPr>
        <w:t xml:space="preserve">, </w:t>
      </w:r>
      <w:r w:rsidR="007E5A3D" w:rsidRPr="00E06FC2">
        <w:rPr>
          <w:rFonts w:cs="Arial"/>
          <w:iCs/>
        </w:rPr>
        <w:t xml:space="preserve">observa la Sala que </w:t>
      </w:r>
      <w:r w:rsidR="005439E4" w:rsidRPr="00E06FC2">
        <w:rPr>
          <w:rFonts w:cs="Arial"/>
          <w:iCs/>
        </w:rPr>
        <w:t xml:space="preserve">en este estado del proceso, </w:t>
      </w:r>
      <w:r w:rsidR="002A4804" w:rsidRPr="00E06FC2">
        <w:rPr>
          <w:rFonts w:cs="Arial"/>
          <w:iCs/>
        </w:rPr>
        <w:t xml:space="preserve">no tiene sentido volver ahora </w:t>
      </w:r>
      <w:r w:rsidR="00B17C38" w:rsidRPr="00E06FC2">
        <w:rPr>
          <w:rFonts w:cs="Arial"/>
          <w:iCs/>
        </w:rPr>
        <w:t xml:space="preserve">a debatir </w:t>
      </w:r>
      <w:r w:rsidR="002A4804" w:rsidRPr="00E06FC2">
        <w:rPr>
          <w:rFonts w:cs="Arial"/>
          <w:iCs/>
        </w:rPr>
        <w:t>sobre la debida legitimación de la parte demandante.</w:t>
      </w:r>
    </w:p>
    <w:p w14:paraId="794BC112" w14:textId="77777777" w:rsidR="00105DA6" w:rsidRPr="00E06FC2" w:rsidRDefault="00105DA6" w:rsidP="00743788">
      <w:pPr>
        <w:rPr>
          <w:rFonts w:cs="Arial"/>
          <w:iCs/>
        </w:rPr>
      </w:pPr>
    </w:p>
    <w:p w14:paraId="6A3AD462" w14:textId="77777777" w:rsidR="00AE1135" w:rsidRPr="00E06FC2" w:rsidRDefault="00AE1135" w:rsidP="00743788">
      <w:pPr>
        <w:rPr>
          <w:rFonts w:cs="Arial"/>
          <w:iCs/>
        </w:rPr>
      </w:pPr>
      <w:r w:rsidRPr="00E06FC2">
        <w:rPr>
          <w:rFonts w:cs="Arial"/>
          <w:iCs/>
        </w:rPr>
        <w:lastRenderedPageBreak/>
        <w:t>Para soportar lo anterior</w:t>
      </w:r>
      <w:r w:rsidR="0088402A" w:rsidRPr="00E06FC2">
        <w:rPr>
          <w:rFonts w:cs="Arial"/>
          <w:iCs/>
        </w:rPr>
        <w:t>,</w:t>
      </w:r>
      <w:r w:rsidRPr="00E06FC2">
        <w:rPr>
          <w:rFonts w:cs="Arial"/>
          <w:iCs/>
        </w:rPr>
        <w:t xml:space="preserve"> se </w:t>
      </w:r>
      <w:r w:rsidR="008003E8" w:rsidRPr="00E06FC2">
        <w:rPr>
          <w:rFonts w:cs="Arial"/>
          <w:iCs/>
        </w:rPr>
        <w:t xml:space="preserve">agrega </w:t>
      </w:r>
      <w:r w:rsidRPr="00E06FC2">
        <w:rPr>
          <w:rFonts w:cs="Arial"/>
          <w:iCs/>
        </w:rPr>
        <w:t xml:space="preserve">que la Sección Tercera del Consejo de Estado unificó la jurisprudencia acerca de la capacidad de los consorcios y uniones temporales para constituirse en parte procesal </w:t>
      </w:r>
      <w:r w:rsidR="002D4C94" w:rsidRPr="00E06FC2">
        <w:rPr>
          <w:rFonts w:cs="Arial"/>
          <w:iCs/>
        </w:rPr>
        <w:t xml:space="preserve">en los términos del artículo 7 de la Ley 80 de 1993, </w:t>
      </w:r>
      <w:r w:rsidRPr="00E06FC2">
        <w:rPr>
          <w:rFonts w:cs="Arial"/>
          <w:iCs/>
        </w:rPr>
        <w:t>mediante la sentencia de la Sala Plena, proferida el 25 de septiembre de 2013</w:t>
      </w:r>
      <w:r w:rsidRPr="00E06FC2">
        <w:rPr>
          <w:rStyle w:val="Refdenotaalpie"/>
          <w:rFonts w:cs="Arial"/>
          <w:iCs/>
        </w:rPr>
        <w:footnoteReference w:id="40"/>
      </w:r>
      <w:r w:rsidR="002A4804" w:rsidRPr="00E06FC2">
        <w:rPr>
          <w:rFonts w:cs="Arial"/>
          <w:iCs/>
        </w:rPr>
        <w:t xml:space="preserve">, providencia en la cual </w:t>
      </w:r>
      <w:r w:rsidRPr="00E06FC2">
        <w:rPr>
          <w:rFonts w:cs="Arial"/>
          <w:iCs/>
        </w:rPr>
        <w:t>observ</w:t>
      </w:r>
      <w:r w:rsidR="0088402A" w:rsidRPr="00E06FC2">
        <w:rPr>
          <w:rFonts w:cs="Arial"/>
          <w:iCs/>
        </w:rPr>
        <w:t>ó</w:t>
      </w:r>
      <w:r w:rsidRPr="00E06FC2">
        <w:rPr>
          <w:rFonts w:cs="Arial"/>
          <w:iCs/>
        </w:rPr>
        <w:t xml:space="preserve"> que, sin perjuicio de reconocer la capacidad de los consorcios y uniones temporales para obrar como demandante o demandado en el ejercicio de las acciones relacionadas con la adjudicación del contrato estatal, también se deb</w:t>
      </w:r>
      <w:r w:rsidR="002A4804" w:rsidRPr="00E06FC2">
        <w:rPr>
          <w:rFonts w:cs="Arial"/>
          <w:iCs/>
        </w:rPr>
        <w:t>e</w:t>
      </w:r>
      <w:r w:rsidRPr="00E06FC2">
        <w:rPr>
          <w:rFonts w:cs="Arial"/>
          <w:iCs/>
        </w:rPr>
        <w:t xml:space="preserve"> aceptar la legitimación de los integrantes del consorcio o de la unión temporal, para comparecer al proceso judicial como parte demandante o demandada. </w:t>
      </w:r>
    </w:p>
    <w:p w14:paraId="6DF2B5C0" w14:textId="77777777" w:rsidR="00AE1135" w:rsidRPr="00E06FC2" w:rsidRDefault="00AE1135" w:rsidP="00743788">
      <w:pPr>
        <w:rPr>
          <w:rFonts w:cs="Arial"/>
          <w:iCs/>
        </w:rPr>
      </w:pPr>
    </w:p>
    <w:p w14:paraId="13337426" w14:textId="77777777" w:rsidR="00AE1135" w:rsidRPr="00E06FC2" w:rsidRDefault="00AE1135" w:rsidP="00743788">
      <w:pPr>
        <w:rPr>
          <w:rFonts w:cs="Arial"/>
          <w:iCs/>
        </w:rPr>
      </w:pPr>
      <w:r w:rsidRPr="00E06FC2">
        <w:rPr>
          <w:rFonts w:cs="Arial"/>
          <w:iCs/>
        </w:rPr>
        <w:t>En igual forma se indicó, en la sentencia de unificación, que los integrantes del consorcio o la unión temporal podían obrar, también, como litisconsortes necesarios o facultativos del consorcio o la unión temporal, según fuera el caso</w:t>
      </w:r>
      <w:r w:rsidR="002A4804" w:rsidRPr="00E06FC2">
        <w:rPr>
          <w:rFonts w:cs="Arial"/>
          <w:iCs/>
        </w:rPr>
        <w:t>, es decir</w:t>
      </w:r>
      <w:r w:rsidR="00B17C38" w:rsidRPr="00E06FC2">
        <w:rPr>
          <w:rFonts w:cs="Arial"/>
          <w:iCs/>
        </w:rPr>
        <w:t xml:space="preserve">, -precisa ahora la Sala- </w:t>
      </w:r>
      <w:r w:rsidR="002D4C94" w:rsidRPr="00E06FC2">
        <w:rPr>
          <w:rFonts w:cs="Arial"/>
          <w:iCs/>
        </w:rPr>
        <w:t xml:space="preserve">que la participación </w:t>
      </w:r>
      <w:r w:rsidR="00A4288B" w:rsidRPr="00E06FC2">
        <w:rPr>
          <w:rFonts w:cs="Arial"/>
          <w:iCs/>
        </w:rPr>
        <w:t>de los miembros del consorcio o de la unión temporal, en adición a la de</w:t>
      </w:r>
      <w:r w:rsidR="00840C75" w:rsidRPr="00E06FC2">
        <w:rPr>
          <w:rFonts w:cs="Arial"/>
          <w:iCs/>
        </w:rPr>
        <w:t>l</w:t>
      </w:r>
      <w:r w:rsidR="00A4288B" w:rsidRPr="00E06FC2">
        <w:rPr>
          <w:rFonts w:cs="Arial"/>
          <w:iCs/>
        </w:rPr>
        <w:t xml:space="preserve"> representante, </w:t>
      </w:r>
      <w:r w:rsidR="002D4C94" w:rsidRPr="00E06FC2">
        <w:rPr>
          <w:rFonts w:cs="Arial"/>
          <w:iCs/>
        </w:rPr>
        <w:t xml:space="preserve">solo puede ser exigida </w:t>
      </w:r>
      <w:r w:rsidR="00A4288B" w:rsidRPr="00E06FC2">
        <w:rPr>
          <w:rFonts w:cs="Arial"/>
          <w:iCs/>
        </w:rPr>
        <w:t xml:space="preserve">como imperativa </w:t>
      </w:r>
      <w:r w:rsidR="002D4C94" w:rsidRPr="00E06FC2">
        <w:rPr>
          <w:rFonts w:cs="Arial"/>
          <w:iCs/>
        </w:rPr>
        <w:t>d</w:t>
      </w:r>
      <w:r w:rsidR="002A4804" w:rsidRPr="00E06FC2">
        <w:rPr>
          <w:rFonts w:cs="Arial"/>
          <w:iCs/>
        </w:rPr>
        <w:t>e</w:t>
      </w:r>
      <w:r w:rsidR="00A4288B" w:rsidRPr="00E06FC2">
        <w:rPr>
          <w:rFonts w:cs="Arial"/>
          <w:iCs/>
        </w:rPr>
        <w:t xml:space="preserve"> acuerdo con</w:t>
      </w:r>
      <w:r w:rsidR="002A4804" w:rsidRPr="00E06FC2">
        <w:rPr>
          <w:rFonts w:cs="Arial"/>
          <w:iCs/>
        </w:rPr>
        <w:t xml:space="preserve"> </w:t>
      </w:r>
      <w:r w:rsidR="00A4288B" w:rsidRPr="00E06FC2">
        <w:rPr>
          <w:rFonts w:cs="Arial"/>
          <w:iCs/>
        </w:rPr>
        <w:t xml:space="preserve">el </w:t>
      </w:r>
      <w:r w:rsidR="002A4804" w:rsidRPr="00E06FC2">
        <w:rPr>
          <w:rFonts w:cs="Arial"/>
          <w:iCs/>
        </w:rPr>
        <w:t xml:space="preserve">alcance </w:t>
      </w:r>
      <w:r w:rsidR="00A4288B" w:rsidRPr="00E06FC2">
        <w:rPr>
          <w:rFonts w:cs="Arial"/>
          <w:iCs/>
        </w:rPr>
        <w:t xml:space="preserve">de </w:t>
      </w:r>
      <w:r w:rsidR="00B17C38" w:rsidRPr="00E06FC2">
        <w:rPr>
          <w:rFonts w:cs="Arial"/>
          <w:iCs/>
        </w:rPr>
        <w:t>las pretensiones de</w:t>
      </w:r>
      <w:r w:rsidR="002A4804" w:rsidRPr="00E06FC2">
        <w:rPr>
          <w:rFonts w:cs="Arial"/>
          <w:iCs/>
        </w:rPr>
        <w:t xml:space="preserve"> la demanda en cada proceso</w:t>
      </w:r>
      <w:r w:rsidR="00714815" w:rsidRPr="00E06FC2">
        <w:rPr>
          <w:rFonts w:cs="Arial"/>
          <w:iCs/>
        </w:rPr>
        <w:t xml:space="preserve"> y, </w:t>
      </w:r>
      <w:r w:rsidR="00840C75" w:rsidRPr="00E06FC2">
        <w:rPr>
          <w:rFonts w:cs="Arial"/>
          <w:iCs/>
        </w:rPr>
        <w:t xml:space="preserve">si es el </w:t>
      </w:r>
      <w:r w:rsidR="00714815" w:rsidRPr="00E06FC2">
        <w:rPr>
          <w:rFonts w:cs="Arial"/>
          <w:iCs/>
        </w:rPr>
        <w:t xml:space="preserve">caso, </w:t>
      </w:r>
      <w:r w:rsidR="00840C75" w:rsidRPr="00E06FC2">
        <w:rPr>
          <w:rFonts w:cs="Arial"/>
          <w:iCs/>
        </w:rPr>
        <w:t xml:space="preserve">de conformidad con </w:t>
      </w:r>
      <w:r w:rsidR="00714815" w:rsidRPr="00E06FC2">
        <w:rPr>
          <w:rFonts w:cs="Arial"/>
          <w:iCs/>
        </w:rPr>
        <w:t>el contenido del contrato de consorcio o de unión temporal</w:t>
      </w:r>
      <w:r w:rsidRPr="00E06FC2">
        <w:rPr>
          <w:rFonts w:cs="Arial"/>
          <w:iCs/>
        </w:rPr>
        <w:t>.</w:t>
      </w:r>
    </w:p>
    <w:p w14:paraId="37FB90C6" w14:textId="77777777" w:rsidR="00AE1135" w:rsidRPr="00E06FC2" w:rsidRDefault="00AE1135" w:rsidP="00743788">
      <w:pPr>
        <w:rPr>
          <w:rFonts w:cs="Arial"/>
          <w:iCs/>
        </w:rPr>
      </w:pPr>
    </w:p>
    <w:p w14:paraId="48EDD3E5" w14:textId="77777777" w:rsidR="00AE1135" w:rsidRPr="00E06FC2" w:rsidRDefault="00AE1135" w:rsidP="00743788">
      <w:pPr>
        <w:rPr>
          <w:rFonts w:cs="Arial"/>
          <w:iCs/>
        </w:rPr>
      </w:pPr>
      <w:r w:rsidRPr="00E06FC2">
        <w:rPr>
          <w:rFonts w:cs="Arial"/>
          <w:iCs/>
        </w:rPr>
        <w:t xml:space="preserve">Para mayor claridad en las consideraciones de la sentencia de unificación se citan los apartes correspondientes: </w:t>
      </w:r>
    </w:p>
    <w:p w14:paraId="66E6DB78" w14:textId="77777777" w:rsidR="00AE1135" w:rsidRPr="00E06FC2" w:rsidRDefault="00AE1135" w:rsidP="00743788">
      <w:pPr>
        <w:jc w:val="center"/>
        <w:rPr>
          <w:rFonts w:cs="Arial"/>
          <w:b/>
          <w:iCs/>
        </w:rPr>
      </w:pPr>
    </w:p>
    <w:p w14:paraId="417E7E49" w14:textId="77777777" w:rsidR="00AE1135" w:rsidRPr="00E06FC2" w:rsidRDefault="00AE1135" w:rsidP="00743788">
      <w:pPr>
        <w:spacing w:line="276" w:lineRule="auto"/>
        <w:ind w:left="567" w:right="708"/>
        <w:rPr>
          <w:rFonts w:cs="Arial"/>
          <w:i/>
          <w:lang w:val="es-CO"/>
        </w:rPr>
      </w:pPr>
      <w:r w:rsidRPr="00E06FC2">
        <w:rPr>
          <w:rFonts w:cs="Arial"/>
          <w:i/>
        </w:rPr>
        <w:t xml:space="preserve">“Finalmente, la Sala estima necesario precisar y enfatizar que la rectificación jurisprudencial que mediante la presente decisión se efectúa en relación con </w:t>
      </w:r>
      <w:r w:rsidRPr="00E06FC2">
        <w:rPr>
          <w:rFonts w:cs="Arial"/>
          <w:i/>
          <w:lang w:val="es-CO"/>
        </w:rPr>
        <w:t xml:space="preserve">la capacidad procesal que les asiste a los consorcios y a las uniones temporales para comparecer como sujetos en los procesos judiciales en los cuales se debaten asuntos relacionados con los derechos o intereses de los que son titulares o que discuten o que de alguna otra manera les conciernen en razón de su </w:t>
      </w:r>
      <w:r w:rsidRPr="00E06FC2">
        <w:rPr>
          <w:rFonts w:cs="Arial"/>
          <w:i/>
          <w:lang w:val="es-CO"/>
        </w:rPr>
        <w:lastRenderedPageBreak/>
        <w:t xml:space="preserve">condición de contratistas de las entidades estatales o de interesados o participantes en los procedimientos de selección contractual, </w:t>
      </w:r>
      <w:r w:rsidRPr="00E06FC2">
        <w:rPr>
          <w:rFonts w:cs="Arial"/>
          <w:i/>
          <w:u w:val="single"/>
          <w:lang w:val="es-CO"/>
        </w:rPr>
        <w:t>de ninguna manera debe considerarse como una cortapisa para que los integrantes de los respectivos consorcios o uniones temporales, individualmente considerados –sean p</w:t>
      </w:r>
      <w:r w:rsidRPr="00E06FC2">
        <w:rPr>
          <w:rFonts w:cs="Arial"/>
          <w:i/>
          <w:u w:val="single"/>
        </w:rPr>
        <w:t>ersonas naturales o jurídicas</w:t>
      </w:r>
      <w:r w:rsidRPr="00E06FC2">
        <w:rPr>
          <w:rFonts w:cs="Arial"/>
          <w:i/>
          <w:u w:val="single"/>
          <w:lang w:val="es-CO"/>
        </w:rPr>
        <w:t>–</w:t>
      </w:r>
      <w:r w:rsidRPr="00E06FC2">
        <w:rPr>
          <w:rFonts w:cs="Arial"/>
          <w:i/>
          <w:u w:val="single"/>
        </w:rPr>
        <w:t xml:space="preserve"> </w:t>
      </w:r>
      <w:r w:rsidRPr="00E06FC2">
        <w:rPr>
          <w:rFonts w:cs="Arial"/>
          <w:i/>
          <w:u w:val="single"/>
          <w:lang w:val="es-CO"/>
        </w:rPr>
        <w:t>puedan comparecer al proceso –en condición de demandante(s) o de demandado(s</w:t>
      </w:r>
      <w:r w:rsidRPr="00E06FC2">
        <w:rPr>
          <w:rFonts w:cs="Arial"/>
          <w:i/>
          <w:lang w:val="es-CO"/>
        </w:rPr>
        <w:t xml:space="preserve">)–.  </w:t>
      </w:r>
    </w:p>
    <w:p w14:paraId="2CBF7B61" w14:textId="77777777" w:rsidR="00AE1135" w:rsidRPr="00E06FC2" w:rsidRDefault="00AE1135" w:rsidP="00743788">
      <w:pPr>
        <w:spacing w:line="276" w:lineRule="auto"/>
        <w:ind w:left="567" w:right="708"/>
        <w:rPr>
          <w:rFonts w:cs="Arial"/>
          <w:i/>
          <w:lang w:val="es-CO"/>
        </w:rPr>
      </w:pPr>
    </w:p>
    <w:p w14:paraId="48ED0F4E" w14:textId="77777777" w:rsidR="00AE1135" w:rsidRPr="00E06FC2" w:rsidRDefault="00AE1135" w:rsidP="00743788">
      <w:pPr>
        <w:spacing w:line="276" w:lineRule="auto"/>
        <w:ind w:left="567" w:right="708"/>
        <w:rPr>
          <w:rFonts w:cs="Arial"/>
          <w:i/>
          <w:lang w:val="es-CO"/>
        </w:rPr>
      </w:pPr>
      <w:r w:rsidRPr="00E06FC2">
        <w:rPr>
          <w:rFonts w:cs="Arial"/>
          <w:i/>
          <w:lang w:val="es-CO"/>
        </w:rPr>
        <w:t>“(…)</w:t>
      </w:r>
      <w:r w:rsidR="00B17C38" w:rsidRPr="00E06FC2">
        <w:rPr>
          <w:rFonts w:cs="Arial"/>
          <w:i/>
          <w:lang w:val="es-CO"/>
        </w:rPr>
        <w:t>.</w:t>
      </w:r>
    </w:p>
    <w:p w14:paraId="4970FFB9" w14:textId="77777777" w:rsidR="00B17C38" w:rsidRPr="00E06FC2" w:rsidRDefault="00B17C38" w:rsidP="00743788">
      <w:pPr>
        <w:spacing w:line="276" w:lineRule="auto"/>
        <w:ind w:left="567" w:right="708"/>
        <w:rPr>
          <w:rFonts w:cs="Arial"/>
          <w:i/>
          <w:lang w:val="es-CO"/>
        </w:rPr>
      </w:pPr>
    </w:p>
    <w:p w14:paraId="0F0F34A0" w14:textId="77777777" w:rsidR="00AE1135" w:rsidRPr="00E06FC2" w:rsidRDefault="00AE1135" w:rsidP="00743788">
      <w:pPr>
        <w:spacing w:line="276" w:lineRule="auto"/>
        <w:ind w:left="567" w:right="708"/>
        <w:rPr>
          <w:rFonts w:cs="Arial"/>
          <w:i/>
        </w:rPr>
      </w:pPr>
      <w:r w:rsidRPr="00E06FC2">
        <w:rPr>
          <w:rFonts w:cs="Arial"/>
          <w:i/>
          <w:lang w:val="es-CO"/>
        </w:rPr>
        <w:t xml:space="preserve">“En consecuencia, a partir del presente proveído se concluye que tanto los consorcios como las uniones temporales sí </w:t>
      </w:r>
      <w:r w:rsidRPr="00E06FC2">
        <w:rPr>
          <w:rFonts w:cs="Arial"/>
          <w:i/>
        </w:rPr>
        <w:t xml:space="preserve">se encuentran legalmente facultados para concurrir, por conducto de su representante, a los procesos judiciales que pudieren tener origen en controversias surgidas del procedimiento administrativo de selección de contratistas o de la celebración y ejecución de los contratos estatales en relación con los cuales tengan algún interés, </w:t>
      </w:r>
      <w:r w:rsidRPr="00E06FC2">
        <w:rPr>
          <w:rFonts w:cs="Arial"/>
          <w:i/>
          <w:u w:val="single"/>
        </w:rPr>
        <w:t>cuestión que de ninguna manera excluye la opción, que naturalmente continúa vigente, de que los integrantes de tales consorcios o uniones temporales también puedan, si así lo deciden y siempre que para ello satisfagan los requisitos y presupuestos exigidos en las normas vigentes para el efecto</w:t>
      </w:r>
      <w:r w:rsidRPr="00E06FC2">
        <w:rPr>
          <w:rFonts w:cs="Arial"/>
          <w:i/>
        </w:rPr>
        <w:t xml:space="preserve">, comparecer a los procesos judiciales –bien como demandantes, bien como demandados, bien como terceros legitimados o incluso en la condición de litisconsortes, facultativos o necesarios, según corresponda–, </w:t>
      </w:r>
      <w:r w:rsidRPr="00E06FC2">
        <w:rPr>
          <w:rFonts w:cs="Arial"/>
          <w:i/>
          <w:u w:val="single"/>
        </w:rPr>
        <w:t>opción que de ser ejercida deberá consultar, como resulta apenas natural, las exigencias relacionadas con la debida integración del contradictorio, por manera que, en aquellos eventos en que varios o uno solo de los integrantes de un consorcio o de una unión temporal concurran a un proceso judicial, en su condición individual e independiente, deberán satisfacerse las reglas que deban aplicarse, según las particularidades de cada caso específico, para que los demás integrantes del correspondiente consorcio o unión temporal deban o puedan ser vinculados en condición de litisconsortes, facultativos o necesarios, según corresponda</w:t>
      </w:r>
      <w:r w:rsidRPr="00E06FC2">
        <w:rPr>
          <w:rFonts w:cs="Arial"/>
          <w:i/>
        </w:rPr>
        <w:t>.</w:t>
      </w:r>
    </w:p>
    <w:p w14:paraId="55629E7D" w14:textId="77777777" w:rsidR="005528E1" w:rsidRPr="00E06FC2" w:rsidRDefault="005528E1" w:rsidP="00743788">
      <w:pPr>
        <w:spacing w:line="276" w:lineRule="auto"/>
        <w:ind w:left="567" w:right="708"/>
        <w:rPr>
          <w:rFonts w:cs="Arial"/>
          <w:i/>
          <w:spacing w:val="-3"/>
        </w:rPr>
      </w:pPr>
    </w:p>
    <w:p w14:paraId="4366FC60" w14:textId="77777777" w:rsidR="00AE1135" w:rsidRPr="00E06FC2" w:rsidRDefault="00AE1135" w:rsidP="00743788">
      <w:pPr>
        <w:spacing w:line="276" w:lineRule="auto"/>
        <w:ind w:left="567" w:right="708"/>
        <w:rPr>
          <w:rFonts w:cs="Arial"/>
          <w:i/>
          <w:spacing w:val="-3"/>
        </w:rPr>
      </w:pPr>
      <w:r w:rsidRPr="00E06FC2">
        <w:rPr>
          <w:rFonts w:cs="Arial"/>
          <w:i/>
          <w:spacing w:val="-3"/>
        </w:rPr>
        <w:t>“(…)</w:t>
      </w:r>
      <w:r w:rsidR="005528E1" w:rsidRPr="00E06FC2">
        <w:rPr>
          <w:rFonts w:cs="Arial"/>
          <w:i/>
          <w:spacing w:val="-3"/>
        </w:rPr>
        <w:t>.</w:t>
      </w:r>
    </w:p>
    <w:p w14:paraId="60ECB5FB" w14:textId="77777777" w:rsidR="005528E1" w:rsidRPr="00E06FC2" w:rsidRDefault="005528E1" w:rsidP="00743788">
      <w:pPr>
        <w:spacing w:line="276" w:lineRule="auto"/>
        <w:ind w:left="567" w:right="708"/>
        <w:rPr>
          <w:rFonts w:cs="Arial"/>
          <w:i/>
          <w:spacing w:val="-3"/>
        </w:rPr>
      </w:pPr>
    </w:p>
    <w:p w14:paraId="740E467B" w14:textId="77777777" w:rsidR="00AE1135" w:rsidRPr="00E06FC2" w:rsidRDefault="00B92D71" w:rsidP="00743788">
      <w:pPr>
        <w:spacing w:line="276" w:lineRule="auto"/>
        <w:ind w:left="567" w:right="708"/>
        <w:rPr>
          <w:rFonts w:cs="Arial"/>
          <w:i/>
          <w:spacing w:val="-3"/>
        </w:rPr>
      </w:pPr>
      <w:r w:rsidRPr="00E06FC2">
        <w:rPr>
          <w:rFonts w:cs="Arial"/>
          <w:i/>
          <w:spacing w:val="-3"/>
        </w:rPr>
        <w:t>“</w:t>
      </w:r>
      <w:r w:rsidR="005528E1" w:rsidRPr="00E06FC2">
        <w:rPr>
          <w:rFonts w:cs="Arial"/>
          <w:i/>
          <w:spacing w:val="-3"/>
        </w:rPr>
        <w:t xml:space="preserve">(…) </w:t>
      </w:r>
      <w:r w:rsidR="00AE1135" w:rsidRPr="00E06FC2">
        <w:rPr>
          <w:rFonts w:cs="Arial"/>
          <w:i/>
          <w:spacing w:val="-3"/>
          <w:u w:val="single"/>
        </w:rPr>
        <w:t xml:space="preserve">lo cierto es que el jurídicamente capacitado para incoar la acción de nulidad y restablecimiento del derecho que dio origen a este proceso y el legitimado –materialmente y de hecho– en la causa es el Consorcio </w:t>
      </w:r>
      <w:r w:rsidR="005528E1" w:rsidRPr="00E06FC2">
        <w:rPr>
          <w:rFonts w:cs="Arial"/>
          <w:i/>
          <w:spacing w:val="-3"/>
          <w:u w:val="single"/>
        </w:rPr>
        <w:t>(…)</w:t>
      </w:r>
      <w:r w:rsidR="00AE1135" w:rsidRPr="00E06FC2">
        <w:rPr>
          <w:rFonts w:cs="Arial"/>
          <w:i/>
          <w:spacing w:val="-3"/>
          <w:u w:val="single"/>
        </w:rPr>
        <w:t>, único sujeto llamado a integrar el extremo activo de la litis, sin que a ella, por todas las razones que se han dejado expuestas, resulte menester convocar a las personas jurídicas integrantes del tantas veces mencionado Consorcio</w:t>
      </w:r>
      <w:r w:rsidR="005528E1" w:rsidRPr="00E06FC2">
        <w:rPr>
          <w:rFonts w:cs="Arial"/>
          <w:i/>
          <w:spacing w:val="-3"/>
        </w:rPr>
        <w:t>”</w:t>
      </w:r>
      <w:r w:rsidR="00AE1135" w:rsidRPr="00E06FC2">
        <w:rPr>
          <w:rFonts w:cs="Arial"/>
          <w:i/>
          <w:spacing w:val="-3"/>
        </w:rPr>
        <w:t xml:space="preserve">. </w:t>
      </w:r>
    </w:p>
    <w:p w14:paraId="62B2D6E4" w14:textId="77777777" w:rsidR="002A4804" w:rsidRPr="00E06FC2" w:rsidRDefault="002A4804" w:rsidP="00743788">
      <w:pPr>
        <w:spacing w:line="276" w:lineRule="auto"/>
        <w:ind w:left="567" w:right="708"/>
        <w:rPr>
          <w:rFonts w:cs="Arial"/>
          <w:i/>
          <w:spacing w:val="-3"/>
        </w:rPr>
      </w:pPr>
    </w:p>
    <w:p w14:paraId="01EACC90" w14:textId="77777777" w:rsidR="002A4804" w:rsidRPr="00E06FC2" w:rsidRDefault="002A4804" w:rsidP="00743788">
      <w:pPr>
        <w:spacing w:line="276" w:lineRule="auto"/>
        <w:ind w:left="567" w:right="708"/>
        <w:rPr>
          <w:rFonts w:cs="Arial"/>
          <w:u w:val="single"/>
          <w:lang w:val="es-CO"/>
        </w:rPr>
      </w:pPr>
      <w:r w:rsidRPr="00E06FC2">
        <w:rPr>
          <w:rFonts w:cs="Arial"/>
          <w:spacing w:val="-3"/>
        </w:rPr>
        <w:t>(La subraya no es del texto).</w:t>
      </w:r>
    </w:p>
    <w:p w14:paraId="27B65AB9" w14:textId="77777777" w:rsidR="005528E1" w:rsidRPr="00E06FC2" w:rsidRDefault="005528E1" w:rsidP="00743788">
      <w:pPr>
        <w:spacing w:line="276" w:lineRule="auto"/>
        <w:rPr>
          <w:rFonts w:cs="Arial"/>
          <w:lang w:val="es-CO"/>
        </w:rPr>
      </w:pPr>
    </w:p>
    <w:p w14:paraId="19C33DB5" w14:textId="77777777" w:rsidR="00AE1135" w:rsidRPr="00E06FC2" w:rsidRDefault="00AE1135" w:rsidP="00743788">
      <w:pPr>
        <w:rPr>
          <w:rFonts w:cs="Arial"/>
          <w:lang w:val="es-CO"/>
        </w:rPr>
      </w:pPr>
      <w:r w:rsidRPr="00E06FC2">
        <w:rPr>
          <w:rFonts w:cs="Arial"/>
          <w:lang w:val="es-CO"/>
        </w:rPr>
        <w:lastRenderedPageBreak/>
        <w:t xml:space="preserve">Por otra parte, </w:t>
      </w:r>
      <w:r w:rsidR="005528E1" w:rsidRPr="00E06FC2">
        <w:rPr>
          <w:rFonts w:cs="Arial"/>
          <w:lang w:val="es-CO"/>
        </w:rPr>
        <w:t xml:space="preserve">en el presente proceso </w:t>
      </w:r>
      <w:r w:rsidRPr="00E06FC2">
        <w:rPr>
          <w:rFonts w:cs="Arial"/>
          <w:lang w:val="es-CO"/>
        </w:rPr>
        <w:t xml:space="preserve">se observa que mediante auto de 14 de agosto de 2015, el Consejero ponente, ordenó poner en conocimiento de Geico </w:t>
      </w:r>
      <w:r w:rsidR="005528E1" w:rsidRPr="00E06FC2">
        <w:rPr>
          <w:rFonts w:cs="Arial"/>
          <w:lang w:val="es-CO"/>
        </w:rPr>
        <w:t>L</w:t>
      </w:r>
      <w:r w:rsidRPr="00E06FC2">
        <w:rPr>
          <w:rFonts w:cs="Arial"/>
          <w:lang w:val="es-CO"/>
        </w:rPr>
        <w:t>tda</w:t>
      </w:r>
      <w:r w:rsidR="00F60FF0" w:rsidRPr="00E06FC2">
        <w:rPr>
          <w:rFonts w:cs="Arial"/>
          <w:lang w:val="es-CO"/>
        </w:rPr>
        <w:t>.</w:t>
      </w:r>
      <w:r w:rsidRPr="00E06FC2">
        <w:rPr>
          <w:rFonts w:cs="Arial"/>
          <w:lang w:val="es-CO"/>
        </w:rPr>
        <w:t xml:space="preserve"> la posible configuración de la causal de nulidad contemplada en el numeral 9 del artículo 140 del Código de Procedimiento Civil, originada en la falta de notificación de quien ha debido ser citado como parte.</w:t>
      </w:r>
    </w:p>
    <w:p w14:paraId="722312B5" w14:textId="77777777" w:rsidR="005528E1" w:rsidRPr="00E06FC2" w:rsidRDefault="005528E1" w:rsidP="00743788">
      <w:pPr>
        <w:rPr>
          <w:rFonts w:cs="Arial"/>
          <w:lang w:val="es-CO"/>
        </w:rPr>
      </w:pPr>
    </w:p>
    <w:p w14:paraId="46918E4F" w14:textId="77777777" w:rsidR="005528E1" w:rsidRPr="00E06FC2" w:rsidRDefault="00AE1135" w:rsidP="00743788">
      <w:pPr>
        <w:rPr>
          <w:rFonts w:cs="Arial"/>
          <w:lang w:val="es-CO"/>
        </w:rPr>
      </w:pPr>
      <w:r w:rsidRPr="00E06FC2">
        <w:rPr>
          <w:rFonts w:cs="Arial"/>
          <w:lang w:val="es-CO"/>
        </w:rPr>
        <w:t>El apoderado de la parte actora informó que esa providencia resultaba inocua, toda vez que Geico Ltda</w:t>
      </w:r>
      <w:r w:rsidR="00F60FF0" w:rsidRPr="00E06FC2">
        <w:rPr>
          <w:rFonts w:cs="Arial"/>
          <w:lang w:val="es-CO"/>
        </w:rPr>
        <w:t>.</w:t>
      </w:r>
      <w:r w:rsidRPr="00E06FC2">
        <w:rPr>
          <w:rFonts w:cs="Arial"/>
          <w:lang w:val="es-CO"/>
        </w:rPr>
        <w:t xml:space="preserve"> ya no existía, tal como lo comprobó con el certificado expedido por la Cámara de Comercio de Bogotá</w:t>
      </w:r>
      <w:r w:rsidR="0088402A" w:rsidRPr="00E06FC2">
        <w:rPr>
          <w:rFonts w:cs="Arial"/>
          <w:lang w:val="es-CO"/>
        </w:rPr>
        <w:t>,</w:t>
      </w:r>
      <w:r w:rsidRPr="00E06FC2">
        <w:rPr>
          <w:rFonts w:cs="Arial"/>
          <w:lang w:val="es-CO"/>
        </w:rPr>
        <w:t xml:space="preserve"> en el cual se encontraba registrada la cuenta final de liquidación de la referida sociedad</w:t>
      </w:r>
      <w:r w:rsidR="008003E8" w:rsidRPr="00E06FC2">
        <w:rPr>
          <w:rFonts w:cs="Arial"/>
          <w:lang w:val="es-CO"/>
        </w:rPr>
        <w:t>,</w:t>
      </w:r>
      <w:r w:rsidRPr="00E06FC2">
        <w:rPr>
          <w:rFonts w:cs="Arial"/>
          <w:lang w:val="es-CO"/>
        </w:rPr>
        <w:t xml:space="preserve"> desde el 22 de noviembre de 2011</w:t>
      </w:r>
      <w:r w:rsidR="005528E1" w:rsidRPr="00E06FC2">
        <w:rPr>
          <w:rFonts w:cs="Arial"/>
          <w:lang w:val="es-CO"/>
        </w:rPr>
        <w:t>.</w:t>
      </w:r>
    </w:p>
    <w:p w14:paraId="590D3D8C" w14:textId="77777777" w:rsidR="005528E1" w:rsidRPr="00E06FC2" w:rsidRDefault="005528E1" w:rsidP="00743788">
      <w:pPr>
        <w:rPr>
          <w:rFonts w:cs="Arial"/>
          <w:lang w:val="es-CO"/>
        </w:rPr>
      </w:pPr>
    </w:p>
    <w:p w14:paraId="6BFEFD52" w14:textId="77777777" w:rsidR="00AE1135" w:rsidRPr="00E06FC2" w:rsidRDefault="005528E1" w:rsidP="00743788">
      <w:pPr>
        <w:rPr>
          <w:rFonts w:cs="Arial"/>
          <w:lang w:val="es-CO"/>
        </w:rPr>
      </w:pPr>
      <w:r w:rsidRPr="00E06FC2">
        <w:rPr>
          <w:rFonts w:cs="Arial"/>
          <w:lang w:val="es-CO"/>
        </w:rPr>
        <w:t>Con fundamento e</w:t>
      </w:r>
      <w:r w:rsidR="00AE1135" w:rsidRPr="00E06FC2">
        <w:rPr>
          <w:rFonts w:cs="Arial"/>
          <w:lang w:val="es-CO"/>
        </w:rPr>
        <w:t xml:space="preserve">n ese certificado se </w:t>
      </w:r>
      <w:r w:rsidRPr="00E06FC2">
        <w:rPr>
          <w:rFonts w:cs="Arial"/>
          <w:lang w:val="es-CO"/>
        </w:rPr>
        <w:t xml:space="preserve">establece </w:t>
      </w:r>
      <w:r w:rsidR="00AE1135" w:rsidRPr="00E06FC2">
        <w:rPr>
          <w:rFonts w:cs="Arial"/>
          <w:lang w:val="es-CO"/>
        </w:rPr>
        <w:t>que “</w:t>
      </w:r>
      <w:r w:rsidR="00B92D71" w:rsidRPr="00E06FC2">
        <w:rPr>
          <w:rFonts w:cs="Arial"/>
          <w:lang w:val="es-CO"/>
        </w:rPr>
        <w:t>[</w:t>
      </w:r>
      <w:r w:rsidR="00AE1135" w:rsidRPr="00E06FC2">
        <w:rPr>
          <w:rFonts w:cs="Arial"/>
          <w:lang w:val="es-CO"/>
        </w:rPr>
        <w:t>L</w:t>
      </w:r>
      <w:r w:rsidR="00B92D71" w:rsidRPr="00E06FC2">
        <w:rPr>
          <w:rFonts w:cs="Arial"/>
          <w:lang w:val="es-CO"/>
        </w:rPr>
        <w:t>]</w:t>
      </w:r>
      <w:r w:rsidR="00B92D71" w:rsidRPr="00E06FC2">
        <w:rPr>
          <w:rFonts w:cs="Arial"/>
          <w:i/>
          <w:lang w:val="es-CO"/>
        </w:rPr>
        <w:t>l</w:t>
      </w:r>
      <w:r w:rsidR="00AE1135" w:rsidRPr="00E06FC2">
        <w:rPr>
          <w:rFonts w:cs="Arial"/>
          <w:i/>
          <w:lang w:val="es-CO"/>
        </w:rPr>
        <w:t>a sociedad se encuentra liquidada</w:t>
      </w:r>
      <w:r w:rsidR="00AE1135" w:rsidRPr="00E06FC2">
        <w:rPr>
          <w:rFonts w:cs="Arial"/>
          <w:lang w:val="es-CO"/>
        </w:rPr>
        <w:t>”</w:t>
      </w:r>
      <w:r w:rsidR="002A4804" w:rsidRPr="00E06FC2">
        <w:rPr>
          <w:rFonts w:cs="Arial"/>
          <w:lang w:val="es-CO"/>
        </w:rPr>
        <w:t xml:space="preserve"> y que, por tanto, no puede exigirse </w:t>
      </w:r>
      <w:r w:rsidR="005439E4" w:rsidRPr="00E06FC2">
        <w:rPr>
          <w:rFonts w:cs="Arial"/>
          <w:lang w:val="es-CO"/>
        </w:rPr>
        <w:t>su</w:t>
      </w:r>
      <w:r w:rsidR="002A4804" w:rsidRPr="00E06FC2">
        <w:rPr>
          <w:rFonts w:cs="Arial"/>
          <w:lang w:val="es-CO"/>
        </w:rPr>
        <w:t xml:space="preserve"> citación </w:t>
      </w:r>
      <w:r w:rsidR="005439E4" w:rsidRPr="00E06FC2">
        <w:rPr>
          <w:rFonts w:cs="Arial"/>
          <w:lang w:val="es-CO"/>
        </w:rPr>
        <w:t xml:space="preserve">al proceso </w:t>
      </w:r>
      <w:r w:rsidR="002A4804" w:rsidRPr="00E06FC2">
        <w:rPr>
          <w:rFonts w:cs="Arial"/>
          <w:lang w:val="es-CO"/>
        </w:rPr>
        <w:t>como litisconsorte</w:t>
      </w:r>
      <w:r w:rsidR="00AE1135" w:rsidRPr="00E06FC2">
        <w:rPr>
          <w:rFonts w:cs="Arial"/>
          <w:lang w:val="es-CO"/>
        </w:rPr>
        <w:t>.</w:t>
      </w:r>
    </w:p>
    <w:p w14:paraId="30492E59" w14:textId="77777777" w:rsidR="005528E1" w:rsidRPr="00E06FC2" w:rsidRDefault="005528E1" w:rsidP="00743788">
      <w:pPr>
        <w:rPr>
          <w:rFonts w:cs="Arial"/>
          <w:lang w:val="es-CO"/>
        </w:rPr>
      </w:pPr>
    </w:p>
    <w:p w14:paraId="0283D40B" w14:textId="77777777" w:rsidR="00003D08" w:rsidRPr="00E06FC2" w:rsidRDefault="00003D08" w:rsidP="00743788">
      <w:pPr>
        <w:rPr>
          <w:rFonts w:cs="Arial"/>
          <w:lang w:val="es-CO"/>
        </w:rPr>
      </w:pPr>
      <w:r w:rsidRPr="00E06FC2">
        <w:rPr>
          <w:rFonts w:cs="Arial"/>
          <w:lang w:val="es-CO"/>
        </w:rPr>
        <w:t>Mediante memorial radicado el 22 de noviembre de 2016, el apoderado de la parte demandante reafirmó que Geico Ltda</w:t>
      </w:r>
      <w:r w:rsidR="002B6A2A" w:rsidRPr="00E06FC2">
        <w:rPr>
          <w:rFonts w:cs="Arial"/>
          <w:lang w:val="es-CO"/>
        </w:rPr>
        <w:t>.</w:t>
      </w:r>
      <w:r w:rsidRPr="00E06FC2">
        <w:rPr>
          <w:rFonts w:cs="Arial"/>
          <w:lang w:val="es-CO"/>
        </w:rPr>
        <w:t xml:space="preserve"> se encuentra liquidada.</w:t>
      </w:r>
    </w:p>
    <w:p w14:paraId="166A56F5" w14:textId="77777777" w:rsidR="00003D08" w:rsidRPr="00E06FC2" w:rsidRDefault="00003D08" w:rsidP="00743788">
      <w:pPr>
        <w:rPr>
          <w:rFonts w:cs="Arial"/>
          <w:lang w:val="es-CO"/>
        </w:rPr>
      </w:pPr>
    </w:p>
    <w:p w14:paraId="0896A7E3" w14:textId="77777777" w:rsidR="008003E8" w:rsidRPr="00E06FC2" w:rsidRDefault="00105DA6" w:rsidP="00743788">
      <w:pPr>
        <w:rPr>
          <w:rFonts w:cs="Arial"/>
          <w:lang w:val="es-CO"/>
        </w:rPr>
      </w:pPr>
      <w:r w:rsidRPr="00E06FC2">
        <w:rPr>
          <w:rFonts w:cs="Arial"/>
          <w:lang w:val="es-CO"/>
        </w:rPr>
        <w:t>De conformidad con lo expuesto</w:t>
      </w:r>
      <w:r w:rsidR="002A75CD" w:rsidRPr="00E06FC2">
        <w:rPr>
          <w:rFonts w:cs="Arial"/>
          <w:lang w:val="es-CO"/>
        </w:rPr>
        <w:t>,</w:t>
      </w:r>
      <w:r w:rsidRPr="00E06FC2">
        <w:rPr>
          <w:rFonts w:cs="Arial"/>
          <w:lang w:val="es-CO"/>
        </w:rPr>
        <w:t xml:space="preserve"> se </w:t>
      </w:r>
      <w:r w:rsidR="00AE1135" w:rsidRPr="00E06FC2">
        <w:rPr>
          <w:rFonts w:cs="Arial"/>
          <w:lang w:val="es-CO"/>
        </w:rPr>
        <w:t>establece que la unión temporal “</w:t>
      </w:r>
      <w:r w:rsidR="00AE1135" w:rsidRPr="00E06FC2">
        <w:rPr>
          <w:rFonts w:cs="Arial"/>
          <w:i/>
          <w:iCs/>
        </w:rPr>
        <w:t>General El</w:t>
      </w:r>
      <w:r w:rsidR="005439E4" w:rsidRPr="00E06FC2">
        <w:rPr>
          <w:rFonts w:cs="Arial"/>
          <w:i/>
          <w:iCs/>
        </w:rPr>
        <w:t>e</w:t>
      </w:r>
      <w:r w:rsidR="00AE1135" w:rsidRPr="00E06FC2">
        <w:rPr>
          <w:rFonts w:cs="Arial"/>
          <w:i/>
          <w:iCs/>
        </w:rPr>
        <w:t>ctric Iluminación de Colombia Ltda</w:t>
      </w:r>
      <w:r w:rsidR="00F60FF0" w:rsidRPr="00E06FC2">
        <w:rPr>
          <w:rFonts w:cs="Arial"/>
          <w:i/>
          <w:iCs/>
        </w:rPr>
        <w:t>.</w:t>
      </w:r>
      <w:r w:rsidR="00AE1135" w:rsidRPr="00E06FC2">
        <w:rPr>
          <w:rFonts w:cs="Arial"/>
          <w:i/>
          <w:iCs/>
        </w:rPr>
        <w:t xml:space="preserve"> (Geico Ltda</w:t>
      </w:r>
      <w:r w:rsidR="00F60FF0" w:rsidRPr="00E06FC2">
        <w:rPr>
          <w:rFonts w:cs="Arial"/>
          <w:i/>
          <w:iCs/>
        </w:rPr>
        <w:t>.</w:t>
      </w:r>
      <w:r w:rsidR="00AE1135" w:rsidRPr="00E06FC2">
        <w:rPr>
          <w:rFonts w:cs="Arial"/>
          <w:i/>
          <w:iCs/>
        </w:rPr>
        <w:t>) –Electro Atlántico Ltda</w:t>
      </w:r>
      <w:r w:rsidR="008277DC" w:rsidRPr="00E06FC2">
        <w:rPr>
          <w:rFonts w:cs="Arial"/>
          <w:i/>
          <w:iCs/>
        </w:rPr>
        <w:t>.</w:t>
      </w:r>
      <w:r w:rsidR="00AE1135" w:rsidRPr="00E06FC2">
        <w:rPr>
          <w:rFonts w:cs="Arial"/>
          <w:lang w:val="es-CO"/>
        </w:rPr>
        <w:t xml:space="preserve"> “ se enc</w:t>
      </w:r>
      <w:r w:rsidR="003C47FD" w:rsidRPr="00E06FC2">
        <w:rPr>
          <w:rFonts w:cs="Arial"/>
          <w:lang w:val="es-CO"/>
        </w:rPr>
        <w:t xml:space="preserve">ontró </w:t>
      </w:r>
      <w:r w:rsidR="00AE1135" w:rsidRPr="00E06FC2">
        <w:rPr>
          <w:rFonts w:cs="Arial"/>
          <w:lang w:val="es-CO"/>
        </w:rPr>
        <w:t xml:space="preserve">debidamente representada en este proceso y que, de acuerdo con la sentencia de unificación, se constituyó en parte idónea para impugnar el acto de adjudicación de que trata </w:t>
      </w:r>
      <w:r w:rsidR="002A4804" w:rsidRPr="00E06FC2">
        <w:rPr>
          <w:rFonts w:cs="Arial"/>
          <w:lang w:val="es-CO"/>
        </w:rPr>
        <w:t>la demanda</w:t>
      </w:r>
      <w:r w:rsidR="00AE1135" w:rsidRPr="00E06FC2">
        <w:rPr>
          <w:rFonts w:cs="Arial"/>
          <w:lang w:val="es-CO"/>
        </w:rPr>
        <w:t xml:space="preserve">, </w:t>
      </w:r>
      <w:r w:rsidRPr="00E06FC2">
        <w:rPr>
          <w:rFonts w:cs="Arial"/>
          <w:lang w:val="es-CO"/>
        </w:rPr>
        <w:t xml:space="preserve">además de que </w:t>
      </w:r>
      <w:r w:rsidR="00AE1135" w:rsidRPr="00E06FC2">
        <w:rPr>
          <w:rFonts w:cs="Arial"/>
          <w:lang w:val="es-CO"/>
        </w:rPr>
        <w:t>no se hace necesari</w:t>
      </w:r>
      <w:r w:rsidRPr="00E06FC2">
        <w:rPr>
          <w:rFonts w:cs="Arial"/>
          <w:lang w:val="es-CO"/>
        </w:rPr>
        <w:t>a</w:t>
      </w:r>
      <w:r w:rsidR="00AE1135" w:rsidRPr="00E06FC2">
        <w:rPr>
          <w:rFonts w:cs="Arial"/>
          <w:lang w:val="es-CO"/>
        </w:rPr>
        <w:t xml:space="preserve"> la comparecencia de Geico Ltda</w:t>
      </w:r>
      <w:r w:rsidR="008277DC" w:rsidRPr="00E06FC2">
        <w:rPr>
          <w:rFonts w:cs="Arial"/>
          <w:lang w:val="es-CO"/>
        </w:rPr>
        <w:t>.</w:t>
      </w:r>
      <w:r w:rsidR="00AE1135" w:rsidRPr="00E06FC2">
        <w:rPr>
          <w:rFonts w:cs="Arial"/>
          <w:lang w:val="es-CO"/>
        </w:rPr>
        <w:t xml:space="preserve"> para coadyuvar la </w:t>
      </w:r>
      <w:r w:rsidR="002A4804" w:rsidRPr="00E06FC2">
        <w:rPr>
          <w:rFonts w:cs="Arial"/>
          <w:lang w:val="es-CO"/>
        </w:rPr>
        <w:t xml:space="preserve">impugnación, </w:t>
      </w:r>
      <w:r w:rsidRPr="00E06FC2">
        <w:rPr>
          <w:rFonts w:cs="Arial"/>
          <w:lang w:val="es-CO"/>
        </w:rPr>
        <w:t xml:space="preserve">en la medida en que </w:t>
      </w:r>
      <w:r w:rsidR="005439E4" w:rsidRPr="00E06FC2">
        <w:rPr>
          <w:rFonts w:cs="Arial"/>
          <w:lang w:val="es-CO"/>
        </w:rPr>
        <w:t>esa</w:t>
      </w:r>
      <w:r w:rsidRPr="00E06FC2">
        <w:rPr>
          <w:rFonts w:cs="Arial"/>
          <w:lang w:val="es-CO"/>
        </w:rPr>
        <w:t xml:space="preserve"> persona jurídica </w:t>
      </w:r>
      <w:r w:rsidR="005439E4" w:rsidRPr="00E06FC2">
        <w:rPr>
          <w:rFonts w:cs="Arial"/>
          <w:lang w:val="es-CO"/>
        </w:rPr>
        <w:t>no existe</w:t>
      </w:r>
      <w:r w:rsidR="008003E8" w:rsidRPr="00E06FC2">
        <w:rPr>
          <w:rFonts w:cs="Arial"/>
          <w:lang w:val="es-CO"/>
        </w:rPr>
        <w:t>.</w:t>
      </w:r>
    </w:p>
    <w:p w14:paraId="16B36065" w14:textId="77777777" w:rsidR="008003E8" w:rsidRPr="00E06FC2" w:rsidRDefault="008003E8" w:rsidP="00743788">
      <w:pPr>
        <w:rPr>
          <w:rFonts w:cs="Arial"/>
          <w:lang w:val="es-CO"/>
        </w:rPr>
      </w:pPr>
    </w:p>
    <w:p w14:paraId="7A85CD9E" w14:textId="77777777" w:rsidR="008003E8" w:rsidRPr="00E06FC2" w:rsidRDefault="008003E8" w:rsidP="00743788">
      <w:pPr>
        <w:rPr>
          <w:rFonts w:cs="Arial"/>
          <w:lang w:val="es-CO"/>
        </w:rPr>
      </w:pPr>
      <w:r w:rsidRPr="00E06FC2">
        <w:rPr>
          <w:rFonts w:cs="Arial"/>
          <w:lang w:val="es-CO"/>
        </w:rPr>
        <w:t xml:space="preserve">Se agrega que </w:t>
      </w:r>
      <w:r w:rsidR="005439E4" w:rsidRPr="00E06FC2">
        <w:rPr>
          <w:rFonts w:cs="Arial"/>
          <w:lang w:val="es-CO"/>
        </w:rPr>
        <w:t>no se evidencian sucesores procesales</w:t>
      </w:r>
      <w:r w:rsidRPr="00E06FC2">
        <w:rPr>
          <w:rFonts w:cs="Arial"/>
          <w:lang w:val="es-CO"/>
        </w:rPr>
        <w:t xml:space="preserve"> </w:t>
      </w:r>
      <w:r w:rsidR="00714815" w:rsidRPr="00E06FC2">
        <w:rPr>
          <w:rFonts w:cs="Arial"/>
          <w:lang w:val="es-CO"/>
        </w:rPr>
        <w:t xml:space="preserve">de Geico Ltda, </w:t>
      </w:r>
      <w:r w:rsidR="005439E4" w:rsidRPr="00E06FC2">
        <w:rPr>
          <w:rFonts w:cs="Arial"/>
          <w:lang w:val="es-CO"/>
        </w:rPr>
        <w:t>sobre activos o derechos pendientes</w:t>
      </w:r>
      <w:r w:rsidR="00B92D71" w:rsidRPr="00E06FC2">
        <w:rPr>
          <w:rFonts w:cs="Arial"/>
          <w:lang w:val="es-CO"/>
        </w:rPr>
        <w:t xml:space="preserve"> en la liquidación</w:t>
      </w:r>
      <w:r w:rsidRPr="00E06FC2">
        <w:rPr>
          <w:rFonts w:cs="Arial"/>
          <w:lang w:val="es-CO"/>
        </w:rPr>
        <w:t xml:space="preserve"> </w:t>
      </w:r>
      <w:r w:rsidR="002A75CD" w:rsidRPr="00E06FC2">
        <w:rPr>
          <w:rFonts w:cs="Arial"/>
          <w:lang w:val="es-CO"/>
        </w:rPr>
        <w:t xml:space="preserve">de </w:t>
      </w:r>
      <w:r w:rsidR="00714815" w:rsidRPr="00E06FC2">
        <w:rPr>
          <w:rFonts w:cs="Arial"/>
          <w:lang w:val="es-CO"/>
        </w:rPr>
        <w:t>la sociedad</w:t>
      </w:r>
      <w:r w:rsidR="002A75CD" w:rsidRPr="00E06FC2">
        <w:rPr>
          <w:rFonts w:cs="Arial"/>
          <w:lang w:val="es-CO"/>
        </w:rPr>
        <w:t xml:space="preserve"> </w:t>
      </w:r>
      <w:r w:rsidRPr="00E06FC2">
        <w:rPr>
          <w:rFonts w:cs="Arial"/>
          <w:lang w:val="es-CO"/>
        </w:rPr>
        <w:t xml:space="preserve">y, por el contrario, se acreditó </w:t>
      </w:r>
      <w:r w:rsidR="005439E4" w:rsidRPr="00E06FC2">
        <w:rPr>
          <w:rFonts w:cs="Arial"/>
          <w:lang w:val="es-CO"/>
        </w:rPr>
        <w:t xml:space="preserve">que la cuenta final de liquidación fue </w:t>
      </w:r>
      <w:r w:rsidRPr="00E06FC2">
        <w:rPr>
          <w:rFonts w:cs="Arial"/>
          <w:lang w:val="es-CO"/>
        </w:rPr>
        <w:t>inscrita en el registro mercantil</w:t>
      </w:r>
      <w:r w:rsidR="005439E4" w:rsidRPr="00E06FC2">
        <w:rPr>
          <w:rFonts w:cs="Arial"/>
          <w:lang w:val="es-CO"/>
        </w:rPr>
        <w:t xml:space="preserve">. </w:t>
      </w:r>
    </w:p>
    <w:p w14:paraId="7A2E18D0" w14:textId="77777777" w:rsidR="008003E8" w:rsidRPr="00E06FC2" w:rsidRDefault="008003E8" w:rsidP="00743788">
      <w:pPr>
        <w:rPr>
          <w:rFonts w:cs="Arial"/>
          <w:lang w:val="es-CO"/>
        </w:rPr>
      </w:pPr>
    </w:p>
    <w:p w14:paraId="557ACB7D" w14:textId="77777777" w:rsidR="00AE1135" w:rsidRPr="00E06FC2" w:rsidRDefault="00105DA6" w:rsidP="00743788">
      <w:pPr>
        <w:rPr>
          <w:rFonts w:cs="Arial"/>
          <w:lang w:val="es-CO"/>
        </w:rPr>
      </w:pPr>
      <w:r w:rsidRPr="00E06FC2">
        <w:rPr>
          <w:rFonts w:cs="Arial"/>
          <w:lang w:val="es-CO"/>
        </w:rPr>
        <w:t>Como c</w:t>
      </w:r>
      <w:r w:rsidR="005439E4" w:rsidRPr="00E06FC2">
        <w:rPr>
          <w:rFonts w:cs="Arial"/>
          <w:lang w:val="es-CO"/>
        </w:rPr>
        <w:t>o</w:t>
      </w:r>
      <w:r w:rsidRPr="00E06FC2">
        <w:rPr>
          <w:rFonts w:cs="Arial"/>
          <w:lang w:val="es-CO"/>
        </w:rPr>
        <w:t xml:space="preserve">nsecuencia, </w:t>
      </w:r>
      <w:r w:rsidR="005439E4" w:rsidRPr="00E06FC2">
        <w:rPr>
          <w:rFonts w:cs="Arial"/>
          <w:lang w:val="es-CO"/>
        </w:rPr>
        <w:t xml:space="preserve">en el presente proceso, </w:t>
      </w:r>
      <w:r w:rsidRPr="00E06FC2">
        <w:rPr>
          <w:rFonts w:cs="Arial"/>
          <w:lang w:val="es-CO"/>
        </w:rPr>
        <w:t xml:space="preserve">la </w:t>
      </w:r>
      <w:r w:rsidR="00AE1135" w:rsidRPr="00E06FC2">
        <w:rPr>
          <w:rFonts w:cs="Arial"/>
          <w:lang w:val="es-CO"/>
        </w:rPr>
        <w:t xml:space="preserve">ausencia </w:t>
      </w:r>
      <w:r w:rsidRPr="00E06FC2">
        <w:rPr>
          <w:rFonts w:cs="Arial"/>
          <w:lang w:val="es-CO"/>
        </w:rPr>
        <w:t>de Geico Ltda</w:t>
      </w:r>
      <w:r w:rsidR="008277DC" w:rsidRPr="00E06FC2">
        <w:rPr>
          <w:rFonts w:cs="Arial"/>
          <w:lang w:val="es-CO"/>
        </w:rPr>
        <w:t>.</w:t>
      </w:r>
      <w:r w:rsidRPr="00E06FC2">
        <w:rPr>
          <w:rFonts w:cs="Arial"/>
          <w:lang w:val="es-CO"/>
        </w:rPr>
        <w:t xml:space="preserve"> no </w:t>
      </w:r>
      <w:r w:rsidR="00AE1135" w:rsidRPr="00E06FC2">
        <w:rPr>
          <w:rFonts w:cs="Arial"/>
          <w:lang w:val="es-CO"/>
        </w:rPr>
        <w:t xml:space="preserve">inhibe </w:t>
      </w:r>
      <w:r w:rsidR="005439E4" w:rsidRPr="00E06FC2">
        <w:rPr>
          <w:rFonts w:cs="Arial"/>
          <w:lang w:val="es-CO"/>
        </w:rPr>
        <w:t xml:space="preserve">la competencia </w:t>
      </w:r>
      <w:r w:rsidR="00AE1135" w:rsidRPr="00E06FC2">
        <w:rPr>
          <w:rFonts w:cs="Arial"/>
          <w:lang w:val="es-CO"/>
        </w:rPr>
        <w:t>para pronunciarse de fondo.</w:t>
      </w:r>
    </w:p>
    <w:p w14:paraId="62DD51DA" w14:textId="77777777" w:rsidR="005528E1" w:rsidRPr="00E06FC2" w:rsidRDefault="005528E1" w:rsidP="00743788">
      <w:pPr>
        <w:rPr>
          <w:rFonts w:cs="Arial"/>
          <w:lang w:val="es-CO"/>
        </w:rPr>
      </w:pPr>
    </w:p>
    <w:p w14:paraId="5F99F10F" w14:textId="77777777" w:rsidR="00AE1135" w:rsidRPr="00E06FC2" w:rsidRDefault="00105DA6" w:rsidP="00743788">
      <w:pPr>
        <w:rPr>
          <w:rFonts w:cs="Arial"/>
          <w:lang w:val="es-CO"/>
        </w:rPr>
      </w:pPr>
      <w:r w:rsidRPr="00E06FC2">
        <w:rPr>
          <w:rFonts w:cs="Arial"/>
          <w:lang w:val="es-CO"/>
        </w:rPr>
        <w:t xml:space="preserve">Sin embargo, </w:t>
      </w:r>
      <w:r w:rsidR="005439E4" w:rsidRPr="00E06FC2">
        <w:rPr>
          <w:rFonts w:cs="Arial"/>
          <w:lang w:val="es-CO"/>
        </w:rPr>
        <w:t>teniendo en cuenta que Electro Atlántico Ltda</w:t>
      </w:r>
      <w:r w:rsidR="008277DC" w:rsidRPr="00E06FC2">
        <w:rPr>
          <w:rFonts w:cs="Arial"/>
          <w:lang w:val="es-CO"/>
        </w:rPr>
        <w:t>.</w:t>
      </w:r>
      <w:r w:rsidR="005439E4" w:rsidRPr="00E06FC2">
        <w:rPr>
          <w:rFonts w:cs="Arial"/>
          <w:lang w:val="es-CO"/>
        </w:rPr>
        <w:t xml:space="preserve"> </w:t>
      </w:r>
      <w:r w:rsidR="008003E8" w:rsidRPr="00E06FC2">
        <w:rPr>
          <w:rFonts w:cs="Arial"/>
          <w:lang w:val="es-CO"/>
        </w:rPr>
        <w:t xml:space="preserve">también </w:t>
      </w:r>
      <w:r w:rsidR="005528E1" w:rsidRPr="00E06FC2">
        <w:rPr>
          <w:rFonts w:cs="Arial"/>
          <w:lang w:val="es-CO"/>
        </w:rPr>
        <w:t xml:space="preserve">invocó su condición individual de parte integrante de la Unión Temporal y acreditó la </w:t>
      </w:r>
      <w:r w:rsidR="005528E1" w:rsidRPr="00E06FC2">
        <w:rPr>
          <w:rFonts w:cs="Arial"/>
          <w:lang w:val="es-CO"/>
        </w:rPr>
        <w:lastRenderedPageBreak/>
        <w:t xml:space="preserve">distribución de </w:t>
      </w:r>
      <w:r w:rsidR="00AE1135" w:rsidRPr="00E06FC2">
        <w:rPr>
          <w:rFonts w:cs="Arial"/>
          <w:lang w:val="es-CO"/>
        </w:rPr>
        <w:t>las actividades entre l</w:t>
      </w:r>
      <w:r w:rsidR="005439E4" w:rsidRPr="00E06FC2">
        <w:rPr>
          <w:rFonts w:cs="Arial"/>
          <w:lang w:val="es-CO"/>
        </w:rPr>
        <w:t xml:space="preserve">os miembros de la </w:t>
      </w:r>
      <w:r w:rsidRPr="00E06FC2">
        <w:rPr>
          <w:rFonts w:cs="Arial"/>
          <w:lang w:val="es-CO"/>
        </w:rPr>
        <w:t>misma</w:t>
      </w:r>
      <w:r w:rsidR="00003D08" w:rsidRPr="00E06FC2">
        <w:rPr>
          <w:rStyle w:val="Refdenotaalpie"/>
          <w:rFonts w:cs="Arial"/>
          <w:lang w:val="es-CO"/>
        </w:rPr>
        <w:footnoteReference w:id="41"/>
      </w:r>
      <w:r w:rsidRPr="00E06FC2">
        <w:rPr>
          <w:rFonts w:cs="Arial"/>
          <w:lang w:val="es-CO"/>
        </w:rPr>
        <w:t xml:space="preserve">, dichas circunstancias </w:t>
      </w:r>
      <w:r w:rsidR="00AE1135" w:rsidRPr="00E06FC2">
        <w:rPr>
          <w:rFonts w:cs="Arial"/>
          <w:lang w:val="es-CO"/>
        </w:rPr>
        <w:t>habrá</w:t>
      </w:r>
      <w:r w:rsidRPr="00E06FC2">
        <w:rPr>
          <w:rFonts w:cs="Arial"/>
          <w:lang w:val="es-CO"/>
        </w:rPr>
        <w:t>n</w:t>
      </w:r>
      <w:r w:rsidR="00AE1135" w:rsidRPr="00E06FC2">
        <w:rPr>
          <w:rFonts w:cs="Arial"/>
          <w:lang w:val="es-CO"/>
        </w:rPr>
        <w:t xml:space="preserve"> de ser tenid</w:t>
      </w:r>
      <w:r w:rsidRPr="00E06FC2">
        <w:rPr>
          <w:rFonts w:cs="Arial"/>
          <w:lang w:val="es-CO"/>
        </w:rPr>
        <w:t>as</w:t>
      </w:r>
      <w:r w:rsidR="00AE1135" w:rsidRPr="00E06FC2">
        <w:rPr>
          <w:rFonts w:cs="Arial"/>
          <w:lang w:val="es-CO"/>
        </w:rPr>
        <w:t xml:space="preserve"> en cuenta en caso de que proceda la condena, para efectos de </w:t>
      </w:r>
      <w:r w:rsidR="005439E4" w:rsidRPr="00E06FC2">
        <w:rPr>
          <w:rFonts w:cs="Arial"/>
          <w:lang w:val="es-CO"/>
        </w:rPr>
        <w:t xml:space="preserve">individualizar </w:t>
      </w:r>
      <w:r w:rsidR="00AE1135" w:rsidRPr="00E06FC2">
        <w:rPr>
          <w:rFonts w:cs="Arial"/>
          <w:lang w:val="es-CO"/>
        </w:rPr>
        <w:t>el eventual perjuicio</w:t>
      </w:r>
      <w:r w:rsidR="005439E4" w:rsidRPr="00E06FC2">
        <w:rPr>
          <w:rFonts w:cs="Arial"/>
          <w:lang w:val="es-CO"/>
        </w:rPr>
        <w:t xml:space="preserve"> o la medida del restablecimiento de</w:t>
      </w:r>
      <w:r w:rsidR="00E32D82" w:rsidRPr="00E06FC2">
        <w:rPr>
          <w:rFonts w:cs="Arial"/>
          <w:lang w:val="es-CO"/>
        </w:rPr>
        <w:t xml:space="preserve"> su</w:t>
      </w:r>
      <w:r w:rsidR="005439E4" w:rsidRPr="00E06FC2">
        <w:rPr>
          <w:rFonts w:cs="Arial"/>
          <w:lang w:val="es-CO"/>
        </w:rPr>
        <w:t xml:space="preserve"> derecho.</w:t>
      </w:r>
    </w:p>
    <w:p w14:paraId="2FC1B6A0" w14:textId="77777777" w:rsidR="00205871" w:rsidRPr="00E06FC2" w:rsidRDefault="00205871" w:rsidP="00743788">
      <w:pPr>
        <w:spacing w:line="240" w:lineRule="auto"/>
        <w:rPr>
          <w:rFonts w:cs="Arial"/>
          <w:b/>
        </w:rPr>
      </w:pPr>
    </w:p>
    <w:p w14:paraId="3587DA5D" w14:textId="77777777" w:rsidR="007F4FD1" w:rsidRPr="00E06FC2" w:rsidRDefault="003B1FFE" w:rsidP="00743788">
      <w:pPr>
        <w:pStyle w:val="Lista2"/>
        <w:ind w:left="0" w:firstLine="0"/>
        <w:rPr>
          <w:rFonts w:cs="Arial"/>
          <w:b/>
        </w:rPr>
      </w:pPr>
      <w:r w:rsidRPr="00E06FC2">
        <w:rPr>
          <w:rFonts w:cs="Arial"/>
          <w:b/>
        </w:rPr>
        <w:t xml:space="preserve">4. </w:t>
      </w:r>
      <w:r w:rsidR="007F4FD1" w:rsidRPr="00E06FC2">
        <w:rPr>
          <w:rFonts w:cs="Arial"/>
          <w:b/>
        </w:rPr>
        <w:t>La</w:t>
      </w:r>
      <w:r w:rsidR="00C903F2" w:rsidRPr="00E06FC2">
        <w:rPr>
          <w:rFonts w:cs="Arial"/>
          <w:b/>
        </w:rPr>
        <w:t>s</w:t>
      </w:r>
      <w:r w:rsidR="007F4FD1" w:rsidRPr="00E06FC2">
        <w:rPr>
          <w:rFonts w:cs="Arial"/>
          <w:b/>
        </w:rPr>
        <w:t xml:space="preserve"> propuestas alternativas dentro de la </w:t>
      </w:r>
      <w:r w:rsidR="00E90840" w:rsidRPr="00E06FC2">
        <w:rPr>
          <w:rFonts w:cs="Arial"/>
          <w:b/>
        </w:rPr>
        <w:t>L</w:t>
      </w:r>
      <w:r w:rsidR="007F4FD1" w:rsidRPr="00E06FC2">
        <w:rPr>
          <w:rFonts w:cs="Arial"/>
          <w:b/>
        </w:rPr>
        <w:t xml:space="preserve">icitación </w:t>
      </w:r>
      <w:r w:rsidR="00E90840" w:rsidRPr="00E06FC2">
        <w:rPr>
          <w:rFonts w:cs="Arial"/>
          <w:b/>
        </w:rPr>
        <w:t>P</w:t>
      </w:r>
      <w:r w:rsidR="007F4FD1" w:rsidRPr="00E06FC2">
        <w:rPr>
          <w:rFonts w:cs="Arial"/>
          <w:b/>
        </w:rPr>
        <w:t>úb</w:t>
      </w:r>
      <w:r w:rsidR="00E32D82" w:rsidRPr="00E06FC2">
        <w:rPr>
          <w:rFonts w:cs="Arial"/>
          <w:b/>
        </w:rPr>
        <w:t>li</w:t>
      </w:r>
      <w:r w:rsidR="007F4FD1" w:rsidRPr="00E06FC2">
        <w:rPr>
          <w:rFonts w:cs="Arial"/>
          <w:b/>
        </w:rPr>
        <w:t>ca</w:t>
      </w:r>
      <w:r w:rsidR="00FF4665" w:rsidRPr="00E06FC2">
        <w:rPr>
          <w:rFonts w:cs="Arial"/>
          <w:b/>
        </w:rPr>
        <w:t xml:space="preserve"> 001 de 1997</w:t>
      </w:r>
    </w:p>
    <w:p w14:paraId="37D0EB24" w14:textId="77777777" w:rsidR="00977AB8" w:rsidRDefault="00977AB8" w:rsidP="00743788">
      <w:pPr>
        <w:spacing w:before="100" w:beforeAutospacing="1" w:after="100" w:afterAutospacing="1" w:line="240" w:lineRule="auto"/>
        <w:rPr>
          <w:rFonts w:cs="Arial"/>
          <w:b/>
          <w:lang w:val="es-MX" w:eastAsia="es-MX"/>
        </w:rPr>
      </w:pPr>
      <w:r w:rsidRPr="00E06FC2">
        <w:rPr>
          <w:rFonts w:cs="Arial"/>
          <w:b/>
          <w:lang w:val="es-MX" w:eastAsia="es-MX"/>
        </w:rPr>
        <w:t xml:space="preserve">4.1. Consideraciones </w:t>
      </w:r>
      <w:r w:rsidR="00B90519" w:rsidRPr="00E06FC2">
        <w:rPr>
          <w:rFonts w:cs="Arial"/>
          <w:b/>
          <w:lang w:val="es-MX" w:eastAsia="es-MX"/>
        </w:rPr>
        <w:t xml:space="preserve">acerca de las propuestas alternativas </w:t>
      </w:r>
      <w:r w:rsidRPr="00E06FC2">
        <w:rPr>
          <w:rFonts w:cs="Arial"/>
          <w:b/>
          <w:lang w:val="es-MX" w:eastAsia="es-MX"/>
        </w:rPr>
        <w:t xml:space="preserve"> </w:t>
      </w:r>
    </w:p>
    <w:p w14:paraId="64D9973F" w14:textId="77777777" w:rsidR="00E06FC2" w:rsidRPr="00E06FC2" w:rsidRDefault="00E06FC2" w:rsidP="00743788">
      <w:pPr>
        <w:spacing w:before="100" w:beforeAutospacing="1" w:after="100" w:afterAutospacing="1" w:line="240" w:lineRule="auto"/>
        <w:rPr>
          <w:rFonts w:cs="Arial"/>
          <w:b/>
          <w:lang w:val="es-MX" w:eastAsia="es-MX"/>
        </w:rPr>
      </w:pPr>
    </w:p>
    <w:p w14:paraId="0A8C3D8E" w14:textId="77777777" w:rsidR="00977AB8" w:rsidRPr="00E06FC2" w:rsidRDefault="00977AB8" w:rsidP="00743788">
      <w:pPr>
        <w:spacing w:before="100" w:beforeAutospacing="1" w:after="100" w:afterAutospacing="1"/>
        <w:rPr>
          <w:rFonts w:cs="Arial"/>
          <w:lang w:val="es-MX" w:eastAsia="es-MX"/>
        </w:rPr>
      </w:pPr>
      <w:r w:rsidRPr="00E06FC2">
        <w:rPr>
          <w:rFonts w:cs="Arial"/>
          <w:lang w:val="es-MX" w:eastAsia="es-MX"/>
        </w:rPr>
        <w:t xml:space="preserve">El numeral 6 del artículo 30 de la Ley 80 de 1993 establece la posibilidad de que los proponentes presenten propuestas alternativas en la licitación pública, en la siguiente forma: </w:t>
      </w:r>
    </w:p>
    <w:p w14:paraId="4122391E" w14:textId="77777777" w:rsidR="00977AB8" w:rsidRDefault="00977AB8" w:rsidP="00743788">
      <w:pPr>
        <w:spacing w:before="100" w:beforeAutospacing="1" w:after="100" w:afterAutospacing="1" w:line="276" w:lineRule="auto"/>
        <w:ind w:left="567" w:right="567"/>
        <w:rPr>
          <w:rFonts w:cs="Arial"/>
          <w:i/>
          <w:lang w:val="es-MX" w:eastAsia="es-MX"/>
        </w:rPr>
      </w:pPr>
      <w:r w:rsidRPr="00E06FC2">
        <w:rPr>
          <w:rFonts w:cs="Arial"/>
          <w:i/>
          <w:lang w:val="es-MX" w:eastAsia="es-MX"/>
        </w:rPr>
        <w:t>"6. Las propuestas deben referirse y sujetarse a todos y cada uno de los puntos contenidos en el pliego de condiciones o términos de referencia. Los proponentes pueden presentar alternativas y excepciones técnicas o económicas siempre y cuando ellas no signifiquen condicionamientos para la adjudicación".</w:t>
      </w:r>
    </w:p>
    <w:p w14:paraId="58F60724" w14:textId="77777777" w:rsidR="00E06FC2" w:rsidRPr="00E06FC2" w:rsidRDefault="00E06FC2" w:rsidP="00E06FC2">
      <w:pPr>
        <w:spacing w:before="100" w:beforeAutospacing="1" w:line="276" w:lineRule="auto"/>
        <w:ind w:left="567" w:right="567"/>
        <w:rPr>
          <w:rFonts w:cs="Arial"/>
          <w:i/>
          <w:lang w:val="es-MX" w:eastAsia="es-MX"/>
        </w:rPr>
      </w:pPr>
    </w:p>
    <w:p w14:paraId="717CE8B6" w14:textId="77777777" w:rsidR="00977AB8" w:rsidRDefault="00977AB8" w:rsidP="00E06FC2">
      <w:pPr>
        <w:spacing w:before="100" w:beforeAutospacing="1"/>
        <w:rPr>
          <w:rFonts w:cs="Arial"/>
          <w:lang w:val="es-MX" w:eastAsia="es-MX"/>
        </w:rPr>
      </w:pPr>
      <w:r w:rsidRPr="00E06FC2">
        <w:rPr>
          <w:rFonts w:cs="Arial"/>
          <w:lang w:val="es-MX" w:eastAsia="es-MX"/>
        </w:rPr>
        <w:t xml:space="preserve">Con fundamento en la disposición que se acaba de citar es claro que: </w:t>
      </w:r>
      <w:r w:rsidRPr="00E06FC2">
        <w:rPr>
          <w:rFonts w:cs="Arial"/>
          <w:b/>
          <w:lang w:val="es-MX" w:eastAsia="es-MX"/>
        </w:rPr>
        <w:t>i)</w:t>
      </w:r>
      <w:r w:rsidRPr="00E06FC2">
        <w:rPr>
          <w:rFonts w:cs="Arial"/>
          <w:lang w:val="es-MX" w:eastAsia="es-MX"/>
        </w:rPr>
        <w:t xml:space="preserve"> las propuestas deben cubrir todos los puntos del pliego de condiciones y </w:t>
      </w:r>
      <w:r w:rsidRPr="00E06FC2">
        <w:rPr>
          <w:rFonts w:cs="Arial"/>
          <w:b/>
          <w:lang w:val="es-MX" w:eastAsia="es-MX"/>
        </w:rPr>
        <w:t>ii)</w:t>
      </w:r>
      <w:r w:rsidRPr="00E06FC2">
        <w:rPr>
          <w:rFonts w:cs="Arial"/>
          <w:lang w:val="es-MX" w:eastAsia="es-MX"/>
        </w:rPr>
        <w:t xml:space="preserve"> los proponentes pueden presentar propuestas alternativas y excepciones técnicas siempre y cuando no signifiquen condicionamiento. </w:t>
      </w:r>
    </w:p>
    <w:p w14:paraId="5FF878E3" w14:textId="77777777" w:rsidR="00E06FC2" w:rsidRPr="00E06FC2" w:rsidRDefault="00E06FC2" w:rsidP="00E06FC2">
      <w:pPr>
        <w:spacing w:before="100" w:beforeAutospacing="1"/>
        <w:rPr>
          <w:rFonts w:cs="Arial"/>
          <w:lang w:val="es-MX" w:eastAsia="es-MX"/>
        </w:rPr>
      </w:pPr>
    </w:p>
    <w:p w14:paraId="5A429686" w14:textId="77777777" w:rsidR="000357C9" w:rsidRDefault="00977AB8" w:rsidP="00743788">
      <w:pPr>
        <w:spacing w:before="100" w:beforeAutospacing="1" w:after="100" w:afterAutospacing="1"/>
        <w:rPr>
          <w:rFonts w:cs="Arial"/>
          <w:lang w:val="es-MX" w:eastAsia="es-MX"/>
        </w:rPr>
      </w:pPr>
      <w:r w:rsidRPr="00E06FC2">
        <w:rPr>
          <w:rFonts w:cs="Arial"/>
          <w:lang w:val="es-MX" w:eastAsia="es-MX"/>
        </w:rPr>
        <w:t>La jurisprudencia del Consejo de Estado ha desprendido de allí que la denominada propuesta alternativa proviene del proponente y que</w:t>
      </w:r>
      <w:r w:rsidR="000F1DED" w:rsidRPr="00E06FC2">
        <w:rPr>
          <w:rFonts w:cs="Arial"/>
          <w:lang w:val="es-MX" w:eastAsia="es-MX"/>
        </w:rPr>
        <w:t xml:space="preserve">, para su calificación, </w:t>
      </w:r>
      <w:r w:rsidRPr="00E06FC2">
        <w:rPr>
          <w:rFonts w:cs="Arial"/>
          <w:lang w:val="es-MX" w:eastAsia="es-MX"/>
        </w:rPr>
        <w:t>requiere de la presentación de un propuesta básica, esto es</w:t>
      </w:r>
      <w:r w:rsidR="001A1ADC" w:rsidRPr="00E06FC2">
        <w:rPr>
          <w:rFonts w:cs="Arial"/>
          <w:lang w:val="es-MX" w:eastAsia="es-MX"/>
        </w:rPr>
        <w:t>,</w:t>
      </w:r>
      <w:r w:rsidRPr="00E06FC2">
        <w:rPr>
          <w:rFonts w:cs="Arial"/>
          <w:lang w:val="es-MX" w:eastAsia="es-MX"/>
        </w:rPr>
        <w:t xml:space="preserve"> ajustada al pliego de condiciones, pues de otra manera no se estaría respetando la exigencia del numeral 6 del artículo 30 de la Ley 80 de 1993. </w:t>
      </w:r>
      <w:r w:rsidR="000357C9" w:rsidRPr="00E06FC2">
        <w:rPr>
          <w:rFonts w:cs="Arial"/>
          <w:lang w:val="es-MX" w:eastAsia="es-MX"/>
        </w:rPr>
        <w:t xml:space="preserve"> Bien se observa que el </w:t>
      </w:r>
      <w:r w:rsidR="00BC056C" w:rsidRPr="00E06FC2">
        <w:rPr>
          <w:rFonts w:cs="Arial"/>
          <w:lang w:val="es-MX" w:eastAsia="es-MX"/>
        </w:rPr>
        <w:t xml:space="preserve">citado </w:t>
      </w:r>
      <w:r w:rsidR="000357C9" w:rsidRPr="00E06FC2">
        <w:rPr>
          <w:rFonts w:cs="Arial"/>
          <w:lang w:val="es-MX" w:eastAsia="es-MX"/>
        </w:rPr>
        <w:t xml:space="preserve">numeral plantea que las propuestas deben sujetarse o referirse a lo pedido en el pliego de condiciones. </w:t>
      </w:r>
    </w:p>
    <w:p w14:paraId="47956866" w14:textId="77777777" w:rsidR="00E06FC2" w:rsidRPr="00E06FC2" w:rsidRDefault="00E06FC2" w:rsidP="00743788">
      <w:pPr>
        <w:spacing w:before="100" w:beforeAutospacing="1" w:after="100" w:afterAutospacing="1"/>
        <w:rPr>
          <w:rFonts w:cs="Arial"/>
          <w:lang w:val="es-MX" w:eastAsia="es-MX"/>
        </w:rPr>
      </w:pPr>
    </w:p>
    <w:p w14:paraId="49D2E31A" w14:textId="77777777" w:rsidR="00977AB8" w:rsidRPr="00E06FC2" w:rsidRDefault="00977AB8" w:rsidP="00743788">
      <w:pPr>
        <w:spacing w:before="100" w:beforeAutospacing="1" w:after="100" w:afterAutospacing="1"/>
        <w:rPr>
          <w:rFonts w:cs="Arial"/>
          <w:lang w:val="es-MX" w:eastAsia="es-MX"/>
        </w:rPr>
      </w:pPr>
      <w:r w:rsidRPr="00E06FC2">
        <w:rPr>
          <w:rFonts w:cs="Arial"/>
          <w:lang w:val="es-MX" w:eastAsia="es-MX"/>
        </w:rPr>
        <w:lastRenderedPageBreak/>
        <w:t xml:space="preserve">La postura de la Sección Tercera del Consejo de Estado, </w:t>
      </w:r>
      <w:r w:rsidR="00AB2EF0" w:rsidRPr="00E06FC2">
        <w:rPr>
          <w:rFonts w:cs="Arial"/>
          <w:lang w:val="es-MX" w:eastAsia="es-MX"/>
        </w:rPr>
        <w:t>que la Sala reafirma en esta oportunidad, en cuanto se refiere a la calificación de las propuestas</w:t>
      </w:r>
      <w:r w:rsidRPr="00E06FC2">
        <w:rPr>
          <w:rFonts w:cs="Arial"/>
          <w:lang w:val="es-MX" w:eastAsia="es-MX"/>
        </w:rPr>
        <w:t>, se expresó así:</w:t>
      </w:r>
    </w:p>
    <w:p w14:paraId="3A5F3250" w14:textId="77777777" w:rsidR="00977AB8" w:rsidRDefault="00977AB8" w:rsidP="00743788">
      <w:pPr>
        <w:spacing w:before="100" w:beforeAutospacing="1" w:after="100" w:afterAutospacing="1" w:line="276" w:lineRule="auto"/>
        <w:ind w:left="567" w:right="567"/>
        <w:rPr>
          <w:rFonts w:cs="Arial"/>
          <w:lang w:val="es-MX" w:eastAsia="es-MX"/>
        </w:rPr>
      </w:pPr>
      <w:r w:rsidRPr="00E06FC2">
        <w:rPr>
          <w:rFonts w:cs="Arial"/>
          <w:i/>
          <w:lang w:val="es-MX" w:eastAsia="es-MX"/>
        </w:rPr>
        <w:t>“En otros términos, la Sala acoge sin ambages el criterio desarrollado por el a quo, en este tópico, al señalar que, en el caso sub examine sólo era posible analizar la viabilidad de una propuesta alternativa siempre y cuando previamente se hubiera adjudicado la propuesta básica del respectivo proponente bajo los criterios de ponderación contenidos en el pliego de condiciones, puesto que, se insiste, la posibilidad que se otorga a las entidades contratantes para admitir que se sometan a consideración variables técnicas o económicas en la ejecución del contrato no puede incidir, en modo alguno, a la hora de la calificación de las propuestas y, por lo tanto, al momento de la adjudicación, salvo que en el pliego existan factores de escogencia objetiva, razonables y transparentes que no alteren los elementos esenciales del proceso de selección</w:t>
      </w:r>
      <w:r w:rsidRPr="00E06FC2">
        <w:rPr>
          <w:rStyle w:val="Refdenotaalpie"/>
          <w:rFonts w:cs="Arial"/>
          <w:i/>
          <w:lang w:val="es-MX" w:eastAsia="es-MX"/>
        </w:rPr>
        <w:footnoteReference w:id="42"/>
      </w:r>
      <w:r w:rsidRPr="00E06FC2">
        <w:rPr>
          <w:rFonts w:cs="Arial"/>
          <w:i/>
          <w:lang w:val="es-MX" w:eastAsia="es-MX"/>
        </w:rPr>
        <w:t>”</w:t>
      </w:r>
      <w:r w:rsidRPr="00E06FC2">
        <w:rPr>
          <w:rFonts w:cs="Arial"/>
          <w:lang w:val="es-MX" w:eastAsia="es-MX"/>
        </w:rPr>
        <w:t>.</w:t>
      </w:r>
    </w:p>
    <w:p w14:paraId="711A070B" w14:textId="77777777" w:rsidR="00E06FC2" w:rsidRPr="00E06FC2" w:rsidRDefault="00E06FC2" w:rsidP="00743788">
      <w:pPr>
        <w:spacing w:before="100" w:beforeAutospacing="1" w:after="100" w:afterAutospacing="1" w:line="276" w:lineRule="auto"/>
        <w:ind w:left="567" w:right="567"/>
        <w:rPr>
          <w:rFonts w:cs="Arial"/>
          <w:lang w:val="es-MX" w:eastAsia="es-MX"/>
        </w:rPr>
      </w:pPr>
    </w:p>
    <w:p w14:paraId="0E8D24FD" w14:textId="77777777" w:rsidR="00977AB8" w:rsidRPr="00E06FC2" w:rsidRDefault="00977AB8" w:rsidP="00743788">
      <w:pPr>
        <w:pStyle w:val="Lista2"/>
        <w:ind w:left="0" w:firstLine="0"/>
        <w:rPr>
          <w:rFonts w:cs="Arial"/>
        </w:rPr>
      </w:pPr>
      <w:r w:rsidRPr="00E06FC2">
        <w:rPr>
          <w:rFonts w:cs="Arial"/>
        </w:rPr>
        <w:t>Con apoyo en el numeral 6 del artículo 30 de la Ley 80 de 1993, se puede definir la propuesta alternativa, en contraposición a la propuesta básica, siendo, entonces, la que presenta variantes con respecto a</w:t>
      </w:r>
      <w:r w:rsidR="00BC056C" w:rsidRPr="00E06FC2">
        <w:rPr>
          <w:rFonts w:cs="Arial"/>
        </w:rPr>
        <w:t xml:space="preserve"> lo requerido en el </w:t>
      </w:r>
      <w:r w:rsidRPr="00E06FC2">
        <w:rPr>
          <w:rFonts w:cs="Arial"/>
        </w:rPr>
        <w:t xml:space="preserve">pliego de condiciones. En el mismo orden de ideas, la propuesta básica es aquella que se ajusta a todas las condiciones del pliego. Así las cosas, dentro de un procedimiento de licitación pública mal podría un proponente </w:t>
      </w:r>
      <w:r w:rsidR="00A07012" w:rsidRPr="00E06FC2">
        <w:rPr>
          <w:rFonts w:cs="Arial"/>
        </w:rPr>
        <w:t xml:space="preserve">obtener la adjudicación con base en </w:t>
      </w:r>
      <w:r w:rsidRPr="00E06FC2">
        <w:rPr>
          <w:rFonts w:cs="Arial"/>
        </w:rPr>
        <w:t>una propuesta alternativa, si no acredita, también, una propuesta básica, para efectos de ajustarse a aquello que ha requerido la Administración en el pliego de condiciones.</w:t>
      </w:r>
    </w:p>
    <w:p w14:paraId="57D0B847" w14:textId="77777777" w:rsidR="00977AB8" w:rsidRPr="00E06FC2" w:rsidRDefault="00977AB8" w:rsidP="00743788">
      <w:pPr>
        <w:pStyle w:val="Lista2"/>
        <w:ind w:left="0" w:firstLine="0"/>
        <w:rPr>
          <w:rFonts w:cs="Arial"/>
        </w:rPr>
      </w:pPr>
      <w:r w:rsidRPr="00E06FC2">
        <w:rPr>
          <w:rFonts w:cs="Arial"/>
        </w:rPr>
        <w:t xml:space="preserve"> </w:t>
      </w:r>
    </w:p>
    <w:p w14:paraId="7D3A68BC" w14:textId="77777777" w:rsidR="00977AB8" w:rsidRPr="00E06FC2" w:rsidRDefault="00977AB8" w:rsidP="00743788">
      <w:pPr>
        <w:pStyle w:val="Lista2"/>
        <w:ind w:left="0" w:firstLine="0"/>
        <w:rPr>
          <w:rFonts w:cs="Arial"/>
        </w:rPr>
      </w:pPr>
      <w:r w:rsidRPr="00E06FC2">
        <w:rPr>
          <w:rFonts w:cs="Arial"/>
        </w:rPr>
        <w:t xml:space="preserve">También </w:t>
      </w:r>
      <w:r w:rsidR="00A07012" w:rsidRPr="00E06FC2">
        <w:rPr>
          <w:rFonts w:cs="Arial"/>
        </w:rPr>
        <w:t xml:space="preserve">es importante </w:t>
      </w:r>
      <w:r w:rsidRPr="00E06FC2">
        <w:rPr>
          <w:rFonts w:cs="Arial"/>
        </w:rPr>
        <w:t xml:space="preserve">distinguir entre la propuesta alternativa y las excepciones técnicas o económicas, en cuanto la primera contiene una oferta completa e independiente, mientras que las segundas se presentan a través de un apartamiento parcial de los requisitos, en relación con los elementos técnicos o económicos requeridos en el pliego de condiciones y, por tanto, dentro de la propuesta básica ajustada al pliego, salvo en el elemento ofrecido bajo la respectiva excepción. </w:t>
      </w:r>
    </w:p>
    <w:p w14:paraId="44D0F88C" w14:textId="77777777" w:rsidR="00977AB8" w:rsidRPr="00E06FC2" w:rsidRDefault="00977AB8" w:rsidP="00743788">
      <w:pPr>
        <w:pStyle w:val="Lista2"/>
        <w:ind w:left="0" w:firstLine="0"/>
        <w:rPr>
          <w:rFonts w:cs="Arial"/>
          <w:b/>
        </w:rPr>
      </w:pPr>
    </w:p>
    <w:p w14:paraId="1FDBDD44" w14:textId="77777777" w:rsidR="000357C9" w:rsidRPr="00E06FC2" w:rsidRDefault="00977AB8" w:rsidP="00743788">
      <w:pPr>
        <w:pStyle w:val="Lista2"/>
        <w:ind w:left="0" w:firstLine="0"/>
        <w:rPr>
          <w:rFonts w:cs="Arial"/>
        </w:rPr>
      </w:pPr>
      <w:r w:rsidRPr="00E06FC2">
        <w:rPr>
          <w:rFonts w:cs="Arial"/>
        </w:rPr>
        <w:lastRenderedPageBreak/>
        <w:t>Por otra parte, bien sea que la posibilidad de la propuesta alternativa se encuentre definida desde el pliego de condiciones o que surja por iniciativa del proponente, de acuerdo con el art</w:t>
      </w:r>
      <w:r w:rsidR="003341F9" w:rsidRPr="00E06FC2">
        <w:rPr>
          <w:rFonts w:cs="Arial"/>
        </w:rPr>
        <w:t>í</w:t>
      </w:r>
      <w:r w:rsidRPr="00E06FC2">
        <w:rPr>
          <w:rFonts w:cs="Arial"/>
        </w:rPr>
        <w:t>culo 30 de la Ley 80 de 1993</w:t>
      </w:r>
      <w:r w:rsidR="001A1ADC" w:rsidRPr="00E06FC2">
        <w:rPr>
          <w:rFonts w:cs="Arial"/>
        </w:rPr>
        <w:t>,</w:t>
      </w:r>
      <w:r w:rsidRPr="00E06FC2">
        <w:rPr>
          <w:rFonts w:cs="Arial"/>
        </w:rPr>
        <w:t xml:space="preserve"> </w:t>
      </w:r>
      <w:r w:rsidR="00AB2EF0" w:rsidRPr="00E06FC2">
        <w:rPr>
          <w:rFonts w:cs="Arial"/>
        </w:rPr>
        <w:t xml:space="preserve">se concluye que </w:t>
      </w:r>
      <w:r w:rsidRPr="00E06FC2">
        <w:rPr>
          <w:rFonts w:cs="Arial"/>
        </w:rPr>
        <w:t>dicha propuesta</w:t>
      </w:r>
      <w:r w:rsidR="00A07012" w:rsidRPr="00E06FC2">
        <w:rPr>
          <w:rFonts w:cs="Arial"/>
        </w:rPr>
        <w:t xml:space="preserve"> – para resultar favorecida con la adjudicación- </w:t>
      </w:r>
      <w:r w:rsidRPr="00E06FC2">
        <w:rPr>
          <w:rFonts w:cs="Arial"/>
        </w:rPr>
        <w:t xml:space="preserve">debe tener un contenido que permita la evaluación dentro de los factores de selección objetiva establecidos en el respectivo pliego de condiciones. </w:t>
      </w:r>
      <w:r w:rsidR="003341F9" w:rsidRPr="00E06FC2">
        <w:rPr>
          <w:rFonts w:cs="Arial"/>
        </w:rPr>
        <w:t xml:space="preserve"> </w:t>
      </w:r>
    </w:p>
    <w:p w14:paraId="50C43B57" w14:textId="77777777" w:rsidR="000357C9" w:rsidRPr="00E06FC2" w:rsidRDefault="000357C9" w:rsidP="00743788">
      <w:pPr>
        <w:pStyle w:val="Lista2"/>
        <w:ind w:left="0" w:firstLine="0"/>
        <w:rPr>
          <w:rFonts w:cs="Arial"/>
        </w:rPr>
      </w:pPr>
    </w:p>
    <w:p w14:paraId="132556F1" w14:textId="77777777" w:rsidR="00977AB8" w:rsidRPr="00E06FC2" w:rsidRDefault="001A1ADC" w:rsidP="00743788">
      <w:pPr>
        <w:pStyle w:val="Lista2"/>
        <w:ind w:left="0" w:firstLine="0"/>
        <w:rPr>
          <w:rFonts w:cs="Arial"/>
        </w:rPr>
      </w:pPr>
      <w:r w:rsidRPr="00E06FC2">
        <w:rPr>
          <w:rFonts w:cs="Arial"/>
        </w:rPr>
        <w:t>S</w:t>
      </w:r>
      <w:r w:rsidR="003341F9" w:rsidRPr="00E06FC2">
        <w:rPr>
          <w:rFonts w:cs="Arial"/>
        </w:rPr>
        <w:t xml:space="preserve">e entiende que una es la limitación en la presentación de la propuesta alternativa y otra es la forma de evaluar la misma. Sobre esto último es </w:t>
      </w:r>
      <w:r w:rsidR="00A309A1" w:rsidRPr="00E06FC2">
        <w:rPr>
          <w:rFonts w:cs="Arial"/>
        </w:rPr>
        <w:t xml:space="preserve">claro que </w:t>
      </w:r>
      <w:r w:rsidR="003341F9" w:rsidRPr="00E06FC2">
        <w:rPr>
          <w:rFonts w:cs="Arial"/>
        </w:rPr>
        <w:t xml:space="preserve">en el caso de las propuestas alternativas, conviene que </w:t>
      </w:r>
      <w:r w:rsidR="00A309A1" w:rsidRPr="00E06FC2">
        <w:rPr>
          <w:rFonts w:cs="Arial"/>
        </w:rPr>
        <w:t xml:space="preserve">en el pliego de condiciones se incorporen </w:t>
      </w:r>
      <w:r w:rsidR="003341F9" w:rsidRPr="00E06FC2">
        <w:rPr>
          <w:rFonts w:cs="Arial"/>
        </w:rPr>
        <w:t xml:space="preserve">reglas de calificación </w:t>
      </w:r>
      <w:r w:rsidR="00A309A1" w:rsidRPr="00E06FC2">
        <w:rPr>
          <w:rFonts w:cs="Arial"/>
        </w:rPr>
        <w:t>sobre los factores alternativos.</w:t>
      </w:r>
      <w:r w:rsidR="003341F9" w:rsidRPr="00E06FC2">
        <w:rPr>
          <w:rFonts w:cs="Arial"/>
        </w:rPr>
        <w:t xml:space="preserve">  </w:t>
      </w:r>
    </w:p>
    <w:p w14:paraId="1A852954" w14:textId="77777777" w:rsidR="00977AB8" w:rsidRPr="00E06FC2" w:rsidRDefault="00977AB8" w:rsidP="00743788">
      <w:pPr>
        <w:pStyle w:val="Lista2"/>
        <w:ind w:left="0" w:firstLine="0"/>
        <w:rPr>
          <w:rFonts w:cs="Arial"/>
        </w:rPr>
      </w:pPr>
    </w:p>
    <w:p w14:paraId="018F43D3" w14:textId="77777777" w:rsidR="00977AB8" w:rsidRPr="00E06FC2" w:rsidRDefault="00977AB8" w:rsidP="00743788">
      <w:pPr>
        <w:pStyle w:val="Lista2"/>
        <w:ind w:left="0" w:firstLine="0"/>
        <w:rPr>
          <w:rFonts w:cs="Arial"/>
        </w:rPr>
      </w:pPr>
      <w:r w:rsidRPr="00E06FC2">
        <w:rPr>
          <w:rFonts w:cs="Arial"/>
        </w:rPr>
        <w:t>De otra manera, si la Administración contratante acogiera una propuesta alternativa con fundamento en criterios de adjudicación no previstos en el pliego de condiciones, se configuraría un acto ilegal, en cuanto resultaría violatorio de los principios de igualdad y de selección objetiva, además de transgredir las reglas de la libre competencia que se encuentran en la base legal obligatoria del procedimiento de licitación pública.</w:t>
      </w:r>
    </w:p>
    <w:p w14:paraId="7029B3FD" w14:textId="77777777" w:rsidR="00977AB8" w:rsidRPr="00E06FC2" w:rsidRDefault="00977AB8" w:rsidP="00743788">
      <w:pPr>
        <w:pStyle w:val="Lista2"/>
        <w:ind w:left="0" w:firstLine="0"/>
        <w:rPr>
          <w:rFonts w:cs="Arial"/>
        </w:rPr>
      </w:pPr>
    </w:p>
    <w:p w14:paraId="0AEAF5EA" w14:textId="77777777" w:rsidR="00977AB8" w:rsidRPr="00E06FC2" w:rsidRDefault="00977AB8" w:rsidP="00743788">
      <w:pPr>
        <w:pStyle w:val="Lista2"/>
        <w:ind w:left="0" w:firstLine="0"/>
        <w:rPr>
          <w:rFonts w:cs="Arial"/>
        </w:rPr>
      </w:pPr>
      <w:r w:rsidRPr="00E06FC2">
        <w:rPr>
          <w:rFonts w:cs="Arial"/>
        </w:rPr>
        <w:t xml:space="preserve">Sin embargo, para el caso concreto, se anticipa desde ahora que en realidad no tuvo lugar el supuesto de </w:t>
      </w:r>
      <w:r w:rsidR="00AD5F45" w:rsidRPr="00E06FC2">
        <w:rPr>
          <w:rFonts w:cs="Arial"/>
        </w:rPr>
        <w:t xml:space="preserve">dos </w:t>
      </w:r>
      <w:r w:rsidRPr="00E06FC2">
        <w:rPr>
          <w:rFonts w:cs="Arial"/>
        </w:rPr>
        <w:t xml:space="preserve">propuestas </w:t>
      </w:r>
      <w:r w:rsidR="00AD5F45" w:rsidRPr="00E06FC2">
        <w:rPr>
          <w:rFonts w:cs="Arial"/>
        </w:rPr>
        <w:t xml:space="preserve">(básica y </w:t>
      </w:r>
      <w:r w:rsidRPr="00E06FC2">
        <w:rPr>
          <w:rFonts w:cs="Arial"/>
        </w:rPr>
        <w:t>alternativa</w:t>
      </w:r>
      <w:r w:rsidR="00AD5F45" w:rsidRPr="00E06FC2">
        <w:rPr>
          <w:rFonts w:cs="Arial"/>
        </w:rPr>
        <w:t>),</w:t>
      </w:r>
      <w:r w:rsidRPr="00E06FC2">
        <w:rPr>
          <w:rFonts w:cs="Arial"/>
        </w:rPr>
        <w:t xml:space="preserve"> contemplado en </w:t>
      </w:r>
      <w:r w:rsidR="00060231" w:rsidRPr="00E06FC2">
        <w:rPr>
          <w:rFonts w:cs="Arial"/>
        </w:rPr>
        <w:t xml:space="preserve">el numeral 6 del artículo 30 de </w:t>
      </w:r>
      <w:r w:rsidRPr="00E06FC2">
        <w:rPr>
          <w:rFonts w:cs="Arial"/>
        </w:rPr>
        <w:t xml:space="preserve">la </w:t>
      </w:r>
      <w:r w:rsidR="00060231" w:rsidRPr="00E06FC2">
        <w:rPr>
          <w:rFonts w:cs="Arial"/>
        </w:rPr>
        <w:t>L</w:t>
      </w:r>
      <w:r w:rsidRPr="00E06FC2">
        <w:rPr>
          <w:rFonts w:cs="Arial"/>
        </w:rPr>
        <w:t>ey 80 de 1993</w:t>
      </w:r>
      <w:r w:rsidR="00537A6B" w:rsidRPr="00E06FC2">
        <w:rPr>
          <w:rFonts w:cs="Arial"/>
        </w:rPr>
        <w:t xml:space="preserve">, sino el de la </w:t>
      </w:r>
      <w:r w:rsidR="00DE6FFC" w:rsidRPr="00E06FC2">
        <w:rPr>
          <w:rFonts w:cs="Arial"/>
        </w:rPr>
        <w:t xml:space="preserve">ampliación </w:t>
      </w:r>
      <w:r w:rsidR="00537A6B" w:rsidRPr="00E06FC2">
        <w:rPr>
          <w:rFonts w:cs="Arial"/>
        </w:rPr>
        <w:t>de las especificaciones que podían proponerse dentro de la propuesta, de acuerdo con el pliego de condiciones</w:t>
      </w:r>
      <w:r w:rsidR="00DE6FFC" w:rsidRPr="00E06FC2">
        <w:rPr>
          <w:rStyle w:val="Refdenotaalpie"/>
          <w:rFonts w:cs="Arial"/>
        </w:rPr>
        <w:footnoteReference w:id="43"/>
      </w:r>
      <w:r w:rsidR="00537A6B" w:rsidRPr="00E06FC2">
        <w:rPr>
          <w:rFonts w:cs="Arial"/>
        </w:rPr>
        <w:t xml:space="preserve">. </w:t>
      </w:r>
    </w:p>
    <w:p w14:paraId="72E8BA8B" w14:textId="77777777" w:rsidR="00977AB8" w:rsidRPr="00E06FC2" w:rsidRDefault="00977AB8" w:rsidP="00743788">
      <w:pPr>
        <w:pStyle w:val="Lista2"/>
        <w:ind w:left="0" w:firstLine="0"/>
        <w:rPr>
          <w:rFonts w:cs="Arial"/>
        </w:rPr>
      </w:pPr>
    </w:p>
    <w:p w14:paraId="65494A99" w14:textId="77777777" w:rsidR="001D2493" w:rsidRPr="00E06FC2" w:rsidRDefault="00977AB8" w:rsidP="00743788">
      <w:pPr>
        <w:pStyle w:val="Lista2"/>
        <w:ind w:left="0" w:firstLine="0"/>
        <w:rPr>
          <w:rFonts w:cs="Arial"/>
        </w:rPr>
      </w:pPr>
      <w:r w:rsidRPr="00E06FC2">
        <w:rPr>
          <w:rFonts w:cs="Arial"/>
        </w:rPr>
        <w:t xml:space="preserve">A juicio de la Sala, </w:t>
      </w:r>
      <w:r w:rsidR="00E0728F" w:rsidRPr="00E06FC2">
        <w:rPr>
          <w:rFonts w:cs="Arial"/>
        </w:rPr>
        <w:t xml:space="preserve">con base en la interpretación de los antecedentes administrativos que se detallará adelante, </w:t>
      </w:r>
      <w:r w:rsidR="00142B14" w:rsidRPr="00E06FC2">
        <w:rPr>
          <w:rFonts w:cs="Arial"/>
        </w:rPr>
        <w:t>aunque el adendo 3 se refirió a las “</w:t>
      </w:r>
      <w:r w:rsidR="00142B14" w:rsidRPr="00E06FC2">
        <w:rPr>
          <w:rFonts w:cs="Arial"/>
          <w:i/>
        </w:rPr>
        <w:t xml:space="preserve">propuestas” </w:t>
      </w:r>
      <w:r w:rsidR="00142B14" w:rsidRPr="00E06FC2">
        <w:rPr>
          <w:rFonts w:cs="Arial"/>
        </w:rPr>
        <w:t xml:space="preserve">alternativas, </w:t>
      </w:r>
      <w:r w:rsidRPr="00E06FC2">
        <w:rPr>
          <w:rFonts w:cs="Arial"/>
        </w:rPr>
        <w:t>frente a lo que dispone el numeral 6 del artículo 30 de la Ley 80 de 1993, se concluye que, en realidad, el referido adendo</w:t>
      </w:r>
      <w:r w:rsidR="00B06E3E" w:rsidRPr="00E06FC2">
        <w:rPr>
          <w:rFonts w:cs="Arial"/>
        </w:rPr>
        <w:t xml:space="preserve"> concretó </w:t>
      </w:r>
      <w:r w:rsidRPr="00E06FC2">
        <w:rPr>
          <w:rFonts w:cs="Arial"/>
        </w:rPr>
        <w:t xml:space="preserve">la posibilidad de proponer distintas alternativas </w:t>
      </w:r>
      <w:r w:rsidR="00221DF6" w:rsidRPr="00E06FC2">
        <w:rPr>
          <w:rFonts w:cs="Arial"/>
        </w:rPr>
        <w:t>en</w:t>
      </w:r>
      <w:r w:rsidRPr="00E06FC2">
        <w:rPr>
          <w:rFonts w:cs="Arial"/>
        </w:rPr>
        <w:t xml:space="preserve"> las especificaciones técnicas de los componentes dentro de la propuesta básica, </w:t>
      </w:r>
      <w:r w:rsidR="00C41866" w:rsidRPr="00E06FC2">
        <w:rPr>
          <w:rFonts w:cs="Arial"/>
        </w:rPr>
        <w:t xml:space="preserve">de manera que </w:t>
      </w:r>
      <w:r w:rsidRPr="00E06FC2">
        <w:rPr>
          <w:rFonts w:cs="Arial"/>
        </w:rPr>
        <w:t xml:space="preserve">con </w:t>
      </w:r>
      <w:r w:rsidR="008D34E5" w:rsidRPr="00E06FC2">
        <w:rPr>
          <w:rFonts w:cs="Arial"/>
        </w:rPr>
        <w:t xml:space="preserve">la propuesta correspondiente, </w:t>
      </w:r>
      <w:r w:rsidRPr="00E06FC2">
        <w:rPr>
          <w:rFonts w:cs="Arial"/>
        </w:rPr>
        <w:t xml:space="preserve">el proponente se ajustaría igualmente a los requisitos del pliego de condiciones. </w:t>
      </w:r>
    </w:p>
    <w:p w14:paraId="47BFC332" w14:textId="77777777" w:rsidR="001D2493" w:rsidRPr="00E06FC2" w:rsidRDefault="001D2493" w:rsidP="00743788">
      <w:pPr>
        <w:pStyle w:val="Lista2"/>
        <w:ind w:left="0" w:firstLine="0"/>
        <w:rPr>
          <w:rFonts w:cs="Arial"/>
        </w:rPr>
      </w:pPr>
    </w:p>
    <w:p w14:paraId="22B0396C" w14:textId="77777777" w:rsidR="0077472E" w:rsidRPr="00E06FC2" w:rsidRDefault="00B06E3E" w:rsidP="00743788">
      <w:pPr>
        <w:pStyle w:val="Lista2"/>
        <w:ind w:left="0" w:firstLine="0"/>
        <w:rPr>
          <w:rFonts w:cs="Arial"/>
        </w:rPr>
      </w:pPr>
      <w:r w:rsidRPr="00E06FC2">
        <w:rPr>
          <w:rFonts w:cs="Arial"/>
        </w:rPr>
        <w:lastRenderedPageBreak/>
        <w:t>Se destaca que el adendo 3 se refirió a</w:t>
      </w:r>
      <w:r w:rsidR="00880B63" w:rsidRPr="00E06FC2">
        <w:rPr>
          <w:rFonts w:cs="Arial"/>
        </w:rPr>
        <w:t>l Capítulo</w:t>
      </w:r>
      <w:r w:rsidRPr="00E06FC2">
        <w:rPr>
          <w:rFonts w:cs="Arial"/>
        </w:rPr>
        <w:t xml:space="preserve"> </w:t>
      </w:r>
      <w:r w:rsidR="00880B63" w:rsidRPr="00E06FC2">
        <w:rPr>
          <w:rFonts w:cs="Arial"/>
        </w:rPr>
        <w:t>VI, página 19</w:t>
      </w:r>
      <w:r w:rsidR="00E61695" w:rsidRPr="00E06FC2">
        <w:rPr>
          <w:rFonts w:cs="Arial"/>
        </w:rPr>
        <w:t xml:space="preserve"> del pliego de condiciones</w:t>
      </w:r>
      <w:r w:rsidR="00880B63" w:rsidRPr="00E06FC2">
        <w:rPr>
          <w:rFonts w:cs="Arial"/>
        </w:rPr>
        <w:t xml:space="preserve">, en el cual se indicó: </w:t>
      </w:r>
    </w:p>
    <w:p w14:paraId="5D97990F" w14:textId="77777777" w:rsidR="0077472E" w:rsidRPr="00E06FC2" w:rsidRDefault="0077472E" w:rsidP="00743788">
      <w:pPr>
        <w:pStyle w:val="Lista2"/>
        <w:ind w:left="0" w:firstLine="0"/>
        <w:rPr>
          <w:rFonts w:cs="Arial"/>
        </w:rPr>
      </w:pPr>
    </w:p>
    <w:p w14:paraId="1BD7B077" w14:textId="77777777" w:rsidR="0077472E" w:rsidRPr="00E06FC2" w:rsidRDefault="00880B63" w:rsidP="00743788">
      <w:pPr>
        <w:pStyle w:val="Lista2"/>
        <w:spacing w:line="276" w:lineRule="auto"/>
        <w:ind w:left="567" w:right="567" w:firstLine="0"/>
        <w:rPr>
          <w:rFonts w:cs="Arial"/>
          <w:b/>
          <w:i/>
        </w:rPr>
      </w:pPr>
      <w:r w:rsidRPr="00E06FC2">
        <w:rPr>
          <w:rFonts w:cs="Arial"/>
          <w:i/>
        </w:rPr>
        <w:t>“El proponente</w:t>
      </w:r>
      <w:r w:rsidR="0077472E" w:rsidRPr="00E06FC2">
        <w:rPr>
          <w:rFonts w:cs="Arial"/>
          <w:i/>
        </w:rPr>
        <w:t xml:space="preserve"> deberá incluir en su oferta, aquellos comentarios que a su juicio sean necesarios para demostrar que su propuesta se ajusta sustancialmente a las condiciones establecidas por el MUNICIPIO DE CARTAGO o en su lugar, una declaración de las diferencias o excepciones </w:t>
      </w:r>
      <w:r w:rsidR="0077472E" w:rsidRPr="00E06FC2">
        <w:rPr>
          <w:rFonts w:cs="Arial"/>
          <w:b/>
          <w:i/>
        </w:rPr>
        <w:t>respecto de dichas especificaciones</w:t>
      </w:r>
      <w:r w:rsidR="0077472E" w:rsidRPr="00E06FC2">
        <w:rPr>
          <w:rFonts w:cs="Arial"/>
          <w:i/>
        </w:rPr>
        <w:t>”</w:t>
      </w:r>
      <w:r w:rsidR="00E61695" w:rsidRPr="00E06FC2">
        <w:rPr>
          <w:rStyle w:val="Refdenotaalpie"/>
          <w:rFonts w:cs="Arial"/>
          <w:i/>
        </w:rPr>
        <w:footnoteReference w:id="44"/>
      </w:r>
      <w:r w:rsidR="0077472E" w:rsidRPr="00E06FC2">
        <w:rPr>
          <w:rFonts w:cs="Arial"/>
          <w:i/>
        </w:rPr>
        <w:t>.</w:t>
      </w:r>
      <w:r w:rsidR="00E61695" w:rsidRPr="00E06FC2">
        <w:rPr>
          <w:rFonts w:cs="Arial"/>
          <w:i/>
        </w:rPr>
        <w:t xml:space="preserve"> (La negrilla no es del texto).</w:t>
      </w:r>
    </w:p>
    <w:p w14:paraId="3C997ACE" w14:textId="77777777" w:rsidR="00977AB8" w:rsidRPr="00E06FC2" w:rsidRDefault="00977AB8" w:rsidP="00743788">
      <w:pPr>
        <w:pStyle w:val="Lista2"/>
        <w:ind w:left="0" w:firstLine="0"/>
        <w:rPr>
          <w:rFonts w:cs="Arial"/>
        </w:rPr>
      </w:pPr>
    </w:p>
    <w:p w14:paraId="670905CD" w14:textId="77777777" w:rsidR="00977AB8" w:rsidRPr="00E06FC2" w:rsidRDefault="00B44823" w:rsidP="00743788">
      <w:pPr>
        <w:pStyle w:val="Lista2"/>
        <w:ind w:left="0" w:firstLine="0"/>
        <w:rPr>
          <w:rFonts w:cs="Arial"/>
        </w:rPr>
      </w:pPr>
      <w:r w:rsidRPr="00E06FC2">
        <w:rPr>
          <w:rFonts w:cs="Arial"/>
        </w:rPr>
        <w:t>En otras palabras, d</w:t>
      </w:r>
      <w:r w:rsidR="00977AB8" w:rsidRPr="00E06FC2">
        <w:rPr>
          <w:rFonts w:cs="Arial"/>
        </w:rPr>
        <w:t xml:space="preserve">e la modificación introducida por el adendo 3 se desprende que el pliego de condiciones </w:t>
      </w:r>
      <w:r w:rsidR="00E61695" w:rsidRPr="00E06FC2">
        <w:rPr>
          <w:rFonts w:cs="Arial"/>
        </w:rPr>
        <w:t xml:space="preserve">reafirmó que se podía </w:t>
      </w:r>
      <w:r w:rsidR="00977AB8" w:rsidRPr="00E06FC2">
        <w:rPr>
          <w:rFonts w:cs="Arial"/>
        </w:rPr>
        <w:t>presentar la propuesta (básica) cumpliendo a través de diversas alternativas en la</w:t>
      </w:r>
      <w:r w:rsidR="003A00B3" w:rsidRPr="00E06FC2">
        <w:rPr>
          <w:rFonts w:cs="Arial"/>
        </w:rPr>
        <w:t>s</w:t>
      </w:r>
      <w:r w:rsidR="00977AB8" w:rsidRPr="00E06FC2">
        <w:rPr>
          <w:rFonts w:cs="Arial"/>
        </w:rPr>
        <w:t xml:space="preserve"> especificaciones de los componentes, bien fueran iguales a l</w:t>
      </w:r>
      <w:r w:rsidR="003A00B3" w:rsidRPr="00E06FC2">
        <w:rPr>
          <w:rFonts w:cs="Arial"/>
        </w:rPr>
        <w:t>a</w:t>
      </w:r>
      <w:r w:rsidR="00977AB8" w:rsidRPr="00E06FC2">
        <w:rPr>
          <w:rFonts w:cs="Arial"/>
        </w:rPr>
        <w:t>s descritas inicialmente o altern</w:t>
      </w:r>
      <w:r w:rsidR="003A00B3" w:rsidRPr="00E06FC2">
        <w:rPr>
          <w:rFonts w:cs="Arial"/>
        </w:rPr>
        <w:t>a</w:t>
      </w:r>
      <w:r w:rsidR="00977AB8" w:rsidRPr="00E06FC2">
        <w:rPr>
          <w:rFonts w:cs="Arial"/>
        </w:rPr>
        <w:t xml:space="preserve">s a ellas, en todo caso ajustándose al pliego de condiciones, tal como había sido adicionado con la </w:t>
      </w:r>
      <w:r w:rsidRPr="00E06FC2">
        <w:rPr>
          <w:rFonts w:cs="Arial"/>
        </w:rPr>
        <w:t xml:space="preserve">respectiva </w:t>
      </w:r>
      <w:r w:rsidR="00977AB8" w:rsidRPr="00E06FC2">
        <w:rPr>
          <w:rFonts w:cs="Arial"/>
        </w:rPr>
        <w:t xml:space="preserve">reforma contenida en el </w:t>
      </w:r>
      <w:r w:rsidRPr="00E06FC2">
        <w:rPr>
          <w:rFonts w:cs="Arial"/>
        </w:rPr>
        <w:t xml:space="preserve">citado </w:t>
      </w:r>
      <w:r w:rsidR="00977AB8" w:rsidRPr="00E06FC2">
        <w:rPr>
          <w:rFonts w:cs="Arial"/>
        </w:rPr>
        <w:t xml:space="preserve">adendo 3. </w:t>
      </w:r>
    </w:p>
    <w:p w14:paraId="603088ED" w14:textId="77777777" w:rsidR="00977AB8" w:rsidRPr="00E06FC2" w:rsidRDefault="00977AB8" w:rsidP="00743788">
      <w:pPr>
        <w:pStyle w:val="Lista2"/>
        <w:ind w:left="0" w:firstLine="0"/>
        <w:rPr>
          <w:rFonts w:cs="Arial"/>
        </w:rPr>
      </w:pPr>
    </w:p>
    <w:p w14:paraId="4101C4D0" w14:textId="77777777" w:rsidR="00977AB8" w:rsidRPr="00E06FC2" w:rsidRDefault="008D34E5" w:rsidP="00743788">
      <w:pPr>
        <w:pStyle w:val="Lista2"/>
        <w:ind w:left="0" w:firstLine="0"/>
        <w:rPr>
          <w:rFonts w:cs="Arial"/>
        </w:rPr>
      </w:pPr>
      <w:r w:rsidRPr="00E06FC2">
        <w:rPr>
          <w:rFonts w:cs="Arial"/>
        </w:rPr>
        <w:t xml:space="preserve">Por otra parte, se advierte que </w:t>
      </w:r>
      <w:r w:rsidR="00977AB8" w:rsidRPr="00E06FC2">
        <w:rPr>
          <w:rFonts w:cs="Arial"/>
        </w:rPr>
        <w:t xml:space="preserve">en la segunda instancia </w:t>
      </w:r>
      <w:r w:rsidR="00F9090E" w:rsidRPr="00E06FC2">
        <w:rPr>
          <w:rFonts w:cs="Arial"/>
        </w:rPr>
        <w:t xml:space="preserve">de este proceso </w:t>
      </w:r>
      <w:r w:rsidR="00977AB8" w:rsidRPr="00E06FC2">
        <w:rPr>
          <w:rFonts w:cs="Arial"/>
        </w:rPr>
        <w:t xml:space="preserve">quedó superada aquella arista de la demanda desde la cual se pretendió cuestionar la </w:t>
      </w:r>
      <w:r w:rsidR="00B44823" w:rsidRPr="00E06FC2">
        <w:rPr>
          <w:rFonts w:cs="Arial"/>
        </w:rPr>
        <w:t xml:space="preserve">calificación </w:t>
      </w:r>
      <w:r w:rsidR="00977AB8" w:rsidRPr="00E06FC2">
        <w:rPr>
          <w:rFonts w:cs="Arial"/>
        </w:rPr>
        <w:t>de una propuesta en la que no se indicó si era alternativa o básica, amén de que en su oportunidad ninguna de las proponentes</w:t>
      </w:r>
      <w:r w:rsidR="001A1ADC" w:rsidRPr="00E06FC2">
        <w:rPr>
          <w:rFonts w:cs="Arial"/>
        </w:rPr>
        <w:t>,</w:t>
      </w:r>
      <w:r w:rsidR="00977AB8" w:rsidRPr="00E06FC2">
        <w:rPr>
          <w:rFonts w:cs="Arial"/>
        </w:rPr>
        <w:t xml:space="preserve"> ahora vinculadas en el proceso, distinguió sobre ello en su respectiva propuesta.</w:t>
      </w:r>
    </w:p>
    <w:p w14:paraId="7BE83BCC" w14:textId="77777777" w:rsidR="00977AB8" w:rsidRPr="00E06FC2" w:rsidRDefault="00977AB8" w:rsidP="00743788">
      <w:pPr>
        <w:pStyle w:val="Lista2"/>
        <w:ind w:left="0" w:firstLine="0"/>
        <w:rPr>
          <w:rFonts w:cs="Arial"/>
        </w:rPr>
      </w:pPr>
      <w:r w:rsidRPr="00E06FC2">
        <w:rPr>
          <w:rFonts w:cs="Arial"/>
        </w:rPr>
        <w:t xml:space="preserve"> </w:t>
      </w:r>
    </w:p>
    <w:p w14:paraId="174AF1F4" w14:textId="77777777" w:rsidR="00977AB8" w:rsidRPr="00E06FC2" w:rsidRDefault="00977AB8" w:rsidP="00743788">
      <w:pPr>
        <w:pStyle w:val="Lista2"/>
        <w:ind w:left="0" w:firstLine="0"/>
        <w:rPr>
          <w:rFonts w:cs="Arial"/>
        </w:rPr>
      </w:pPr>
      <w:r w:rsidRPr="00E06FC2">
        <w:rPr>
          <w:rFonts w:cs="Arial"/>
        </w:rPr>
        <w:t>Así las cosas, en forma concreta, el problema jurídico que se debate en esta oportunidad consiste en determinar la calificación correcta para el factor de calidad de bienes de las propuestas presentadas en la Licitación Pública 001 de 1997.</w:t>
      </w:r>
    </w:p>
    <w:p w14:paraId="3130E666" w14:textId="77777777" w:rsidR="00427439" w:rsidRPr="00E06FC2" w:rsidRDefault="00427439" w:rsidP="00743788">
      <w:pPr>
        <w:pStyle w:val="Lista2"/>
        <w:ind w:left="0" w:firstLine="0"/>
        <w:rPr>
          <w:rFonts w:cs="Arial"/>
        </w:rPr>
      </w:pPr>
    </w:p>
    <w:p w14:paraId="3C0398D8" w14:textId="77777777" w:rsidR="00FA753A" w:rsidRPr="00E06FC2" w:rsidRDefault="005125A5" w:rsidP="00743788">
      <w:pPr>
        <w:pStyle w:val="Lista2"/>
        <w:ind w:left="0" w:firstLine="0"/>
        <w:rPr>
          <w:rFonts w:cs="Arial"/>
        </w:rPr>
      </w:pPr>
      <w:r w:rsidRPr="00E06FC2">
        <w:rPr>
          <w:rFonts w:cs="Arial"/>
        </w:rPr>
        <w:t xml:space="preserve">Finalmente, resulta importante advertir que </w:t>
      </w:r>
      <w:r w:rsidR="00427439" w:rsidRPr="00E06FC2">
        <w:rPr>
          <w:rFonts w:cs="Arial"/>
        </w:rPr>
        <w:t>en torno de la aplicación de las reglas de la Ley 80 de 1993</w:t>
      </w:r>
      <w:r w:rsidRPr="00E06FC2">
        <w:rPr>
          <w:rFonts w:cs="Arial"/>
        </w:rPr>
        <w:t xml:space="preserve">, </w:t>
      </w:r>
      <w:r w:rsidR="00427439" w:rsidRPr="00E06FC2">
        <w:rPr>
          <w:rFonts w:cs="Arial"/>
        </w:rPr>
        <w:t xml:space="preserve">el procedimiento se rigió por el régimen de la contratación estatal, </w:t>
      </w:r>
      <w:r w:rsidR="00FA753A" w:rsidRPr="00E06FC2">
        <w:rPr>
          <w:rFonts w:cs="Arial"/>
        </w:rPr>
        <w:t xml:space="preserve">por cuanto la </w:t>
      </w:r>
      <w:r w:rsidR="00427439" w:rsidRPr="00E06FC2">
        <w:rPr>
          <w:rFonts w:cs="Arial"/>
        </w:rPr>
        <w:t>Ley 143 de 1994, incorporó algunas especificaciones para el contrato de concesión de alumbrado público, pero no sustrajo al municipio de la observancia del régimen contractual de las entidades territoriales</w:t>
      </w:r>
      <w:r w:rsidR="00427439" w:rsidRPr="00E06FC2">
        <w:rPr>
          <w:rStyle w:val="Refdenotaalpie"/>
          <w:rFonts w:cs="Arial"/>
        </w:rPr>
        <w:footnoteReference w:id="45"/>
      </w:r>
      <w:r w:rsidR="00FA753A" w:rsidRPr="00E06FC2">
        <w:rPr>
          <w:rFonts w:cs="Arial"/>
        </w:rPr>
        <w:t xml:space="preserve">, además de que </w:t>
      </w:r>
      <w:r w:rsidR="00FA753A" w:rsidRPr="00E06FC2">
        <w:rPr>
          <w:rFonts w:cs="Arial"/>
        </w:rPr>
        <w:lastRenderedPageBreak/>
        <w:t xml:space="preserve">en este caso la aplicación de la Ley 80 de 1993 fue expresamente invocada en el pliego de condiciones. </w:t>
      </w:r>
    </w:p>
    <w:p w14:paraId="710B5C60" w14:textId="77777777" w:rsidR="00977AB8" w:rsidRPr="00E06FC2" w:rsidRDefault="00977AB8" w:rsidP="00743788">
      <w:pPr>
        <w:pStyle w:val="Lista2"/>
        <w:spacing w:line="240" w:lineRule="auto"/>
        <w:ind w:left="0" w:firstLine="0"/>
        <w:rPr>
          <w:rFonts w:cs="Arial"/>
          <w:b/>
        </w:rPr>
      </w:pPr>
    </w:p>
    <w:p w14:paraId="5BE3BAC5" w14:textId="77777777" w:rsidR="00DB30C8" w:rsidRPr="00E06FC2" w:rsidRDefault="00DB30C8" w:rsidP="00743788">
      <w:pPr>
        <w:pStyle w:val="Lista2"/>
        <w:spacing w:line="240" w:lineRule="auto"/>
        <w:ind w:left="0" w:firstLine="0"/>
        <w:rPr>
          <w:rFonts w:cs="Arial"/>
          <w:b/>
        </w:rPr>
      </w:pPr>
      <w:r w:rsidRPr="00E06FC2">
        <w:rPr>
          <w:rFonts w:cs="Arial"/>
          <w:b/>
        </w:rPr>
        <w:t>4.2. Justificación de las reglas de interpretación que se deben aplicar en el juzgamiento del acto de adjudicación del contrato estatal</w:t>
      </w:r>
    </w:p>
    <w:p w14:paraId="4A8106FC" w14:textId="77777777" w:rsidR="00DB30C8" w:rsidRPr="00E06FC2" w:rsidRDefault="00DB30C8" w:rsidP="00743788">
      <w:pPr>
        <w:pStyle w:val="Lista2"/>
        <w:spacing w:line="240" w:lineRule="auto"/>
        <w:ind w:left="0" w:firstLine="0"/>
        <w:rPr>
          <w:rFonts w:cs="Arial"/>
          <w:b/>
        </w:rPr>
      </w:pPr>
      <w:r w:rsidRPr="00E06FC2">
        <w:rPr>
          <w:rFonts w:cs="Arial"/>
          <w:b/>
        </w:rPr>
        <w:t xml:space="preserve"> </w:t>
      </w:r>
    </w:p>
    <w:p w14:paraId="52F5CF35" w14:textId="77777777" w:rsidR="009B60C9" w:rsidRPr="00E06FC2" w:rsidRDefault="009B16F8" w:rsidP="00743788">
      <w:pPr>
        <w:pStyle w:val="Textonotapie"/>
        <w:rPr>
          <w:rFonts w:cs="Arial"/>
          <w:i/>
          <w:sz w:val="24"/>
          <w:szCs w:val="24"/>
        </w:rPr>
      </w:pPr>
      <w:r w:rsidRPr="00E06FC2">
        <w:rPr>
          <w:rFonts w:cs="Arial"/>
          <w:sz w:val="24"/>
          <w:szCs w:val="24"/>
        </w:rPr>
        <w:t>La Sala pone de presente que</w:t>
      </w:r>
      <w:r w:rsidR="009B60C9" w:rsidRPr="00E06FC2">
        <w:rPr>
          <w:rFonts w:cs="Arial"/>
          <w:sz w:val="24"/>
          <w:szCs w:val="24"/>
        </w:rPr>
        <w:t>,</w:t>
      </w:r>
      <w:r w:rsidRPr="00E06FC2">
        <w:rPr>
          <w:rFonts w:cs="Arial"/>
          <w:sz w:val="24"/>
          <w:szCs w:val="24"/>
        </w:rPr>
        <w:t xml:space="preserve"> </w:t>
      </w:r>
      <w:r w:rsidR="009B60C9" w:rsidRPr="00E06FC2">
        <w:rPr>
          <w:rFonts w:cs="Arial"/>
          <w:sz w:val="24"/>
          <w:szCs w:val="24"/>
        </w:rPr>
        <w:t xml:space="preserve">en los términos de los artículos 23 y 28 de la Ley 80 de 1993, </w:t>
      </w:r>
      <w:r w:rsidRPr="00E06FC2">
        <w:rPr>
          <w:rFonts w:cs="Arial"/>
          <w:sz w:val="24"/>
          <w:szCs w:val="24"/>
        </w:rPr>
        <w:t>para definir la legalidad del acto de adjudicación del contrato estatal</w:t>
      </w:r>
      <w:r w:rsidR="00695259" w:rsidRPr="00E06FC2">
        <w:rPr>
          <w:rFonts w:cs="Arial"/>
          <w:sz w:val="24"/>
          <w:szCs w:val="24"/>
        </w:rPr>
        <w:t xml:space="preserve"> frente a la interpretación del pliego de condiciones</w:t>
      </w:r>
      <w:r w:rsidRPr="00E06FC2">
        <w:rPr>
          <w:rFonts w:cs="Arial"/>
          <w:sz w:val="24"/>
          <w:szCs w:val="24"/>
        </w:rPr>
        <w:t xml:space="preserve">, </w:t>
      </w:r>
      <w:r w:rsidR="00695259" w:rsidRPr="00E06FC2">
        <w:rPr>
          <w:rFonts w:cs="Arial"/>
          <w:sz w:val="24"/>
          <w:szCs w:val="24"/>
        </w:rPr>
        <w:t xml:space="preserve">es </w:t>
      </w:r>
      <w:r w:rsidRPr="00E06FC2">
        <w:rPr>
          <w:rFonts w:cs="Arial"/>
          <w:sz w:val="24"/>
          <w:szCs w:val="24"/>
        </w:rPr>
        <w:t>necesari</w:t>
      </w:r>
      <w:r w:rsidR="00695259" w:rsidRPr="00E06FC2">
        <w:rPr>
          <w:rFonts w:cs="Arial"/>
          <w:sz w:val="24"/>
          <w:szCs w:val="24"/>
        </w:rPr>
        <w:t>o</w:t>
      </w:r>
      <w:r w:rsidRPr="00E06FC2">
        <w:rPr>
          <w:rFonts w:cs="Arial"/>
          <w:sz w:val="24"/>
          <w:szCs w:val="24"/>
        </w:rPr>
        <w:t xml:space="preserve"> acudir a </w:t>
      </w:r>
      <w:r w:rsidR="009B60C9" w:rsidRPr="00E06FC2">
        <w:rPr>
          <w:rFonts w:cs="Arial"/>
          <w:sz w:val="24"/>
          <w:szCs w:val="24"/>
        </w:rPr>
        <w:t>“</w:t>
      </w:r>
      <w:r w:rsidR="009B60C9" w:rsidRPr="00E06FC2">
        <w:rPr>
          <w:rFonts w:cs="Arial"/>
          <w:i/>
          <w:sz w:val="24"/>
          <w:szCs w:val="24"/>
        </w:rPr>
        <w:t xml:space="preserve">las reglas de interpretación de la contratación, los principios generales del derecho y los particulares del derecho administrativo”; </w:t>
      </w:r>
      <w:r w:rsidR="009B60C9" w:rsidRPr="00E06FC2">
        <w:rPr>
          <w:rFonts w:cs="Arial"/>
          <w:sz w:val="24"/>
          <w:szCs w:val="24"/>
        </w:rPr>
        <w:t>y</w:t>
      </w:r>
      <w:r w:rsidR="00695259" w:rsidRPr="00E06FC2">
        <w:rPr>
          <w:rFonts w:cs="Arial"/>
          <w:sz w:val="24"/>
          <w:szCs w:val="24"/>
        </w:rPr>
        <w:t>, también</w:t>
      </w:r>
      <w:r w:rsidR="00DF7B2E" w:rsidRPr="00E06FC2">
        <w:rPr>
          <w:rFonts w:cs="Arial"/>
          <w:sz w:val="24"/>
          <w:szCs w:val="24"/>
        </w:rPr>
        <w:t xml:space="preserve">, </w:t>
      </w:r>
      <w:r w:rsidR="0030064F" w:rsidRPr="00E06FC2">
        <w:rPr>
          <w:rFonts w:cs="Arial"/>
          <w:sz w:val="24"/>
          <w:szCs w:val="24"/>
        </w:rPr>
        <w:t>es imperativo a</w:t>
      </w:r>
      <w:r w:rsidR="00AC34FD" w:rsidRPr="00E06FC2">
        <w:rPr>
          <w:rFonts w:cs="Arial"/>
          <w:sz w:val="24"/>
          <w:szCs w:val="24"/>
        </w:rPr>
        <w:t xml:space="preserve">plicar </w:t>
      </w:r>
      <w:r w:rsidR="0030064F" w:rsidRPr="00E06FC2">
        <w:rPr>
          <w:rFonts w:cs="Arial"/>
          <w:sz w:val="24"/>
          <w:szCs w:val="24"/>
        </w:rPr>
        <w:t xml:space="preserve">los </w:t>
      </w:r>
      <w:r w:rsidR="009B60C9" w:rsidRPr="00E06FC2">
        <w:rPr>
          <w:rFonts w:cs="Arial"/>
          <w:sz w:val="24"/>
          <w:szCs w:val="24"/>
        </w:rPr>
        <w:t>criterios legales de interpretación</w:t>
      </w:r>
      <w:r w:rsidR="0030064F" w:rsidRPr="00E06FC2">
        <w:rPr>
          <w:rFonts w:cs="Arial"/>
          <w:sz w:val="24"/>
          <w:szCs w:val="24"/>
        </w:rPr>
        <w:t xml:space="preserve">, </w:t>
      </w:r>
      <w:r w:rsidR="009B60C9" w:rsidRPr="00E06FC2">
        <w:rPr>
          <w:rFonts w:cs="Arial"/>
          <w:i/>
          <w:sz w:val="24"/>
          <w:szCs w:val="24"/>
        </w:rPr>
        <w:t>“</w:t>
      </w:r>
      <w:r w:rsidRPr="00E06FC2">
        <w:rPr>
          <w:rFonts w:cs="Arial"/>
          <w:i/>
          <w:sz w:val="24"/>
          <w:szCs w:val="24"/>
        </w:rPr>
        <w:t xml:space="preserve">los fines y los principios” </w:t>
      </w:r>
      <w:r w:rsidRPr="00E06FC2">
        <w:rPr>
          <w:rFonts w:cs="Arial"/>
          <w:sz w:val="24"/>
          <w:szCs w:val="24"/>
        </w:rPr>
        <w:t>de que trata la Ley 80 de 1993</w:t>
      </w:r>
      <w:r w:rsidRPr="00E06FC2">
        <w:rPr>
          <w:rFonts w:cs="Arial"/>
          <w:i/>
          <w:sz w:val="24"/>
          <w:szCs w:val="24"/>
        </w:rPr>
        <w:t>, “los mandatos de la buena fe y la igualdad y equilibrio entre prestaciones y derechos que caracteriza a los contratos conmutativos”.</w:t>
      </w:r>
    </w:p>
    <w:p w14:paraId="3B1B000B" w14:textId="77777777" w:rsidR="009B60C9" w:rsidRPr="00E06FC2" w:rsidRDefault="009B60C9" w:rsidP="00743788">
      <w:pPr>
        <w:pStyle w:val="Textonotapie"/>
        <w:rPr>
          <w:rFonts w:cs="Arial"/>
          <w:i/>
          <w:sz w:val="24"/>
          <w:szCs w:val="24"/>
        </w:rPr>
      </w:pPr>
    </w:p>
    <w:p w14:paraId="15DD6D08" w14:textId="77777777" w:rsidR="00906A4F" w:rsidRPr="00E06FC2" w:rsidRDefault="009B60C9" w:rsidP="00743788">
      <w:pPr>
        <w:pStyle w:val="Textonotapie"/>
        <w:rPr>
          <w:rFonts w:cs="Arial"/>
          <w:sz w:val="24"/>
          <w:szCs w:val="24"/>
        </w:rPr>
      </w:pPr>
      <w:r w:rsidRPr="00E06FC2">
        <w:rPr>
          <w:rFonts w:cs="Arial"/>
          <w:sz w:val="24"/>
          <w:szCs w:val="24"/>
        </w:rPr>
        <w:t>De acuerdo con esas disposiciones</w:t>
      </w:r>
      <w:r w:rsidR="006D65D7" w:rsidRPr="00E06FC2">
        <w:rPr>
          <w:rFonts w:cs="Arial"/>
          <w:sz w:val="24"/>
          <w:szCs w:val="24"/>
        </w:rPr>
        <w:t>,</w:t>
      </w:r>
      <w:r w:rsidRPr="00E06FC2">
        <w:rPr>
          <w:rFonts w:cs="Arial"/>
          <w:sz w:val="24"/>
          <w:szCs w:val="24"/>
        </w:rPr>
        <w:t xml:space="preserve"> </w:t>
      </w:r>
      <w:r w:rsidR="0030064F" w:rsidRPr="00E06FC2">
        <w:rPr>
          <w:rFonts w:cs="Arial"/>
          <w:sz w:val="24"/>
          <w:szCs w:val="24"/>
        </w:rPr>
        <w:t xml:space="preserve">es </w:t>
      </w:r>
      <w:r w:rsidRPr="00E06FC2">
        <w:rPr>
          <w:rFonts w:cs="Arial"/>
          <w:sz w:val="24"/>
          <w:szCs w:val="24"/>
        </w:rPr>
        <w:t>procede</w:t>
      </w:r>
      <w:r w:rsidR="0030064F" w:rsidRPr="00E06FC2">
        <w:rPr>
          <w:rFonts w:cs="Arial"/>
          <w:sz w:val="24"/>
          <w:szCs w:val="24"/>
        </w:rPr>
        <w:t xml:space="preserve">nte </w:t>
      </w:r>
      <w:r w:rsidRPr="00E06FC2">
        <w:rPr>
          <w:rFonts w:cs="Arial"/>
          <w:sz w:val="24"/>
          <w:szCs w:val="24"/>
        </w:rPr>
        <w:t>estudiar el contenido del pliego de condiciones desde la perspectiva de sus antecedentes administrativos</w:t>
      </w:r>
      <w:r w:rsidR="00DB30C8" w:rsidRPr="00E06FC2">
        <w:rPr>
          <w:rFonts w:cs="Arial"/>
          <w:sz w:val="24"/>
          <w:szCs w:val="24"/>
        </w:rPr>
        <w:t>,</w:t>
      </w:r>
      <w:r w:rsidR="00DF7B2E" w:rsidRPr="00E06FC2">
        <w:rPr>
          <w:rFonts w:cs="Arial"/>
          <w:sz w:val="24"/>
          <w:szCs w:val="24"/>
        </w:rPr>
        <w:t xml:space="preserve"> para entender los fundamentos sobre los cuales se soportó la estructuración de la convocatoria</w:t>
      </w:r>
      <w:r w:rsidR="0030064F" w:rsidRPr="00E06FC2">
        <w:rPr>
          <w:rFonts w:cs="Arial"/>
          <w:sz w:val="24"/>
          <w:szCs w:val="24"/>
        </w:rPr>
        <w:t xml:space="preserve"> pública</w:t>
      </w:r>
      <w:r w:rsidR="00DF7B2E" w:rsidRPr="00E06FC2">
        <w:rPr>
          <w:rFonts w:cs="Arial"/>
          <w:sz w:val="24"/>
          <w:szCs w:val="24"/>
        </w:rPr>
        <w:t xml:space="preserve"> e interpretar su contenido bajo esa óptica, claro está</w:t>
      </w:r>
      <w:r w:rsidR="00906A4F" w:rsidRPr="00E06FC2">
        <w:rPr>
          <w:rFonts w:cs="Arial"/>
          <w:sz w:val="24"/>
          <w:szCs w:val="24"/>
        </w:rPr>
        <w:t xml:space="preserve">, </w:t>
      </w:r>
      <w:r w:rsidR="00DF7B2E" w:rsidRPr="00E06FC2">
        <w:rPr>
          <w:rFonts w:cs="Arial"/>
          <w:sz w:val="24"/>
          <w:szCs w:val="24"/>
        </w:rPr>
        <w:t xml:space="preserve">siempre y cuando </w:t>
      </w:r>
      <w:r w:rsidR="006D65D7" w:rsidRPr="00E06FC2">
        <w:rPr>
          <w:rFonts w:cs="Arial"/>
          <w:sz w:val="24"/>
          <w:szCs w:val="24"/>
        </w:rPr>
        <w:t xml:space="preserve">dichos </w:t>
      </w:r>
      <w:r w:rsidR="0030064F" w:rsidRPr="00E06FC2">
        <w:rPr>
          <w:rFonts w:cs="Arial"/>
          <w:sz w:val="24"/>
          <w:szCs w:val="24"/>
        </w:rPr>
        <w:t xml:space="preserve">antecedentes se aprecien </w:t>
      </w:r>
      <w:r w:rsidR="00333AA3" w:rsidRPr="00E06FC2">
        <w:rPr>
          <w:rFonts w:cs="Arial"/>
          <w:sz w:val="24"/>
          <w:szCs w:val="24"/>
        </w:rPr>
        <w:t>ajustad</w:t>
      </w:r>
      <w:r w:rsidR="003E1DDB" w:rsidRPr="00E06FC2">
        <w:rPr>
          <w:rFonts w:cs="Arial"/>
          <w:sz w:val="24"/>
          <w:szCs w:val="24"/>
        </w:rPr>
        <w:t>os</w:t>
      </w:r>
      <w:r w:rsidR="00333AA3" w:rsidRPr="00E06FC2">
        <w:rPr>
          <w:rFonts w:cs="Arial"/>
          <w:sz w:val="24"/>
          <w:szCs w:val="24"/>
        </w:rPr>
        <w:t xml:space="preserve"> a derecho</w:t>
      </w:r>
      <w:r w:rsidR="00906A4F" w:rsidRPr="00E06FC2">
        <w:rPr>
          <w:rFonts w:cs="Arial"/>
          <w:sz w:val="24"/>
          <w:szCs w:val="24"/>
        </w:rPr>
        <w:t>, puesto que</w:t>
      </w:r>
      <w:r w:rsidR="002050B1" w:rsidRPr="00E06FC2">
        <w:rPr>
          <w:rFonts w:cs="Arial"/>
          <w:sz w:val="24"/>
          <w:szCs w:val="24"/>
        </w:rPr>
        <w:t>,</w:t>
      </w:r>
      <w:r w:rsidR="00906A4F" w:rsidRPr="00E06FC2">
        <w:rPr>
          <w:rFonts w:cs="Arial"/>
          <w:sz w:val="24"/>
          <w:szCs w:val="24"/>
        </w:rPr>
        <w:t xml:space="preserve"> precisamente</w:t>
      </w:r>
      <w:r w:rsidR="002050B1" w:rsidRPr="00E06FC2">
        <w:rPr>
          <w:rFonts w:cs="Arial"/>
          <w:sz w:val="24"/>
          <w:szCs w:val="24"/>
        </w:rPr>
        <w:t>,</w:t>
      </w:r>
      <w:r w:rsidR="00906A4F" w:rsidRPr="00E06FC2">
        <w:rPr>
          <w:rFonts w:cs="Arial"/>
          <w:sz w:val="24"/>
          <w:szCs w:val="24"/>
        </w:rPr>
        <w:t xml:space="preserve"> </w:t>
      </w:r>
      <w:r w:rsidR="006D65D7" w:rsidRPr="00E06FC2">
        <w:rPr>
          <w:rFonts w:cs="Arial"/>
          <w:sz w:val="24"/>
          <w:szCs w:val="24"/>
        </w:rPr>
        <w:t xml:space="preserve">su </w:t>
      </w:r>
      <w:r w:rsidR="00906A4F" w:rsidRPr="00E06FC2">
        <w:rPr>
          <w:rFonts w:cs="Arial"/>
          <w:sz w:val="24"/>
          <w:szCs w:val="24"/>
        </w:rPr>
        <w:t xml:space="preserve">análisis puede llevar a </w:t>
      </w:r>
      <w:r w:rsidR="002050B1" w:rsidRPr="00E06FC2">
        <w:rPr>
          <w:rFonts w:cs="Arial"/>
          <w:sz w:val="24"/>
          <w:szCs w:val="24"/>
        </w:rPr>
        <w:t>confirmar o a</w:t>
      </w:r>
      <w:r w:rsidR="00906A4F" w:rsidRPr="00E06FC2">
        <w:rPr>
          <w:rFonts w:cs="Arial"/>
          <w:sz w:val="24"/>
          <w:szCs w:val="24"/>
        </w:rPr>
        <w:t xml:space="preserve"> anula</w:t>
      </w:r>
      <w:r w:rsidR="002050B1" w:rsidRPr="00E06FC2">
        <w:rPr>
          <w:rFonts w:cs="Arial"/>
          <w:sz w:val="24"/>
          <w:szCs w:val="24"/>
        </w:rPr>
        <w:t>r</w:t>
      </w:r>
      <w:r w:rsidR="00906A4F" w:rsidRPr="00E06FC2">
        <w:rPr>
          <w:rFonts w:cs="Arial"/>
          <w:sz w:val="24"/>
          <w:szCs w:val="24"/>
        </w:rPr>
        <w:t xml:space="preserve"> la adjudicación</w:t>
      </w:r>
      <w:r w:rsidR="002050B1" w:rsidRPr="00E06FC2">
        <w:rPr>
          <w:rFonts w:cs="Arial"/>
          <w:sz w:val="24"/>
          <w:szCs w:val="24"/>
        </w:rPr>
        <w:t>, esto último</w:t>
      </w:r>
      <w:r w:rsidR="00422606" w:rsidRPr="00E06FC2">
        <w:rPr>
          <w:rFonts w:cs="Arial"/>
          <w:sz w:val="24"/>
          <w:szCs w:val="24"/>
        </w:rPr>
        <w:t>,</w:t>
      </w:r>
      <w:r w:rsidR="002050B1" w:rsidRPr="00E06FC2">
        <w:rPr>
          <w:rFonts w:cs="Arial"/>
          <w:sz w:val="24"/>
          <w:szCs w:val="24"/>
        </w:rPr>
        <w:t xml:space="preserve"> por ejemplo</w:t>
      </w:r>
      <w:r w:rsidR="00422606" w:rsidRPr="00E06FC2">
        <w:rPr>
          <w:rFonts w:cs="Arial"/>
          <w:sz w:val="24"/>
          <w:szCs w:val="24"/>
        </w:rPr>
        <w:t>,</w:t>
      </w:r>
      <w:r w:rsidR="002050B1" w:rsidRPr="00E06FC2">
        <w:rPr>
          <w:rFonts w:cs="Arial"/>
          <w:sz w:val="24"/>
          <w:szCs w:val="24"/>
        </w:rPr>
        <w:t xml:space="preserve"> en caso de evidenciar </w:t>
      </w:r>
      <w:r w:rsidR="00906A4F" w:rsidRPr="00E06FC2">
        <w:rPr>
          <w:rFonts w:cs="Arial"/>
          <w:sz w:val="24"/>
          <w:szCs w:val="24"/>
        </w:rPr>
        <w:t>la violación de la ley en el procedimiento de contratación.</w:t>
      </w:r>
    </w:p>
    <w:p w14:paraId="6AAC86DF" w14:textId="77777777" w:rsidR="009B60C9" w:rsidRPr="00E06FC2" w:rsidRDefault="00DF7B2E" w:rsidP="00743788">
      <w:pPr>
        <w:pStyle w:val="Textonotapie"/>
        <w:rPr>
          <w:rFonts w:cs="Arial"/>
          <w:sz w:val="24"/>
          <w:szCs w:val="24"/>
        </w:rPr>
      </w:pPr>
      <w:r w:rsidRPr="00E06FC2">
        <w:rPr>
          <w:rFonts w:cs="Arial"/>
          <w:sz w:val="24"/>
          <w:szCs w:val="24"/>
        </w:rPr>
        <w:t xml:space="preserve"> </w:t>
      </w:r>
    </w:p>
    <w:p w14:paraId="77BF1756" w14:textId="77777777" w:rsidR="00DB30C8" w:rsidRPr="00E06FC2" w:rsidRDefault="003E1DDB" w:rsidP="00743788">
      <w:pPr>
        <w:pStyle w:val="Lista2"/>
        <w:ind w:left="0" w:firstLine="0"/>
        <w:rPr>
          <w:rFonts w:cs="Arial"/>
        </w:rPr>
      </w:pPr>
      <w:r w:rsidRPr="00E06FC2">
        <w:rPr>
          <w:rFonts w:cs="Arial"/>
        </w:rPr>
        <w:t xml:space="preserve">Se identifica que </w:t>
      </w:r>
      <w:r w:rsidR="00DB30C8" w:rsidRPr="00E06FC2">
        <w:rPr>
          <w:rFonts w:cs="Arial"/>
        </w:rPr>
        <w:t>las reglas de la interpretación de los contratos se deben utilizar</w:t>
      </w:r>
      <w:r w:rsidRPr="00E06FC2">
        <w:rPr>
          <w:rFonts w:cs="Arial"/>
        </w:rPr>
        <w:t>,</w:t>
      </w:r>
      <w:r w:rsidR="00DB30C8" w:rsidRPr="00E06FC2">
        <w:rPr>
          <w:rFonts w:cs="Arial"/>
        </w:rPr>
        <w:t xml:space="preserve"> también</w:t>
      </w:r>
      <w:r w:rsidRPr="00E06FC2">
        <w:rPr>
          <w:rFonts w:cs="Arial"/>
        </w:rPr>
        <w:t>, en</w:t>
      </w:r>
      <w:r w:rsidR="00DB30C8" w:rsidRPr="00E06FC2">
        <w:rPr>
          <w:rFonts w:cs="Arial"/>
        </w:rPr>
        <w:t xml:space="preserve"> la hermenéutica del pliego de condiciones y en la apreciación del acto de adjudicación del contrato</w:t>
      </w:r>
      <w:r w:rsidRPr="00E06FC2">
        <w:rPr>
          <w:rFonts w:cs="Arial"/>
        </w:rPr>
        <w:t xml:space="preserve">. Lo anterior implica que </w:t>
      </w:r>
      <w:r w:rsidR="00EE4B81" w:rsidRPr="00E06FC2">
        <w:rPr>
          <w:rFonts w:cs="Arial"/>
        </w:rPr>
        <w:t xml:space="preserve">para interpretar el pliego de condiciones </w:t>
      </w:r>
      <w:r w:rsidR="00DB30C8" w:rsidRPr="00E06FC2">
        <w:rPr>
          <w:rFonts w:cs="Arial"/>
        </w:rPr>
        <w:t xml:space="preserve">se impone </w:t>
      </w:r>
      <w:r w:rsidR="00B407E9" w:rsidRPr="00E06FC2">
        <w:rPr>
          <w:rFonts w:cs="Arial"/>
        </w:rPr>
        <w:t>esclarecer</w:t>
      </w:r>
      <w:r w:rsidR="00DB30C8" w:rsidRPr="00E06FC2">
        <w:rPr>
          <w:rFonts w:cs="Arial"/>
        </w:rPr>
        <w:t xml:space="preserve"> la voluntad de las partes, el sentido lógico en que una cláusula puede producir efectos, la naturaleza del contrato al que se refiere el pliego de condiciones, la interpretación sistemática del pliego de condiciones y, en caso de ambigüedad, la interpretación favorable a los proponentes, todo ello de conformidad con las reglas </w:t>
      </w:r>
      <w:r w:rsidRPr="00E06FC2">
        <w:rPr>
          <w:rFonts w:cs="Arial"/>
        </w:rPr>
        <w:t xml:space="preserve">tradicionales </w:t>
      </w:r>
      <w:r w:rsidR="00DB30C8" w:rsidRPr="00E06FC2">
        <w:rPr>
          <w:rFonts w:cs="Arial"/>
        </w:rPr>
        <w:t xml:space="preserve">que se describen en los artículos 1618 a 1624 del Código Civil, las cuales resultan aplicables a la contratación estatal con apoyo en </w:t>
      </w:r>
      <w:r w:rsidR="00155A90" w:rsidRPr="00E06FC2">
        <w:rPr>
          <w:rFonts w:cs="Arial"/>
        </w:rPr>
        <w:t xml:space="preserve">los </w:t>
      </w:r>
      <w:r w:rsidR="00DB30C8" w:rsidRPr="00E06FC2">
        <w:rPr>
          <w:rFonts w:cs="Arial"/>
        </w:rPr>
        <w:t>artículo</w:t>
      </w:r>
      <w:r w:rsidR="00155A90" w:rsidRPr="00E06FC2">
        <w:rPr>
          <w:rFonts w:cs="Arial"/>
        </w:rPr>
        <w:t>s 13</w:t>
      </w:r>
      <w:r w:rsidR="00155A90" w:rsidRPr="00E06FC2">
        <w:rPr>
          <w:rStyle w:val="Refdenotaalpie"/>
          <w:rFonts w:cs="Arial"/>
        </w:rPr>
        <w:footnoteReference w:id="46"/>
      </w:r>
      <w:r w:rsidR="00155A90" w:rsidRPr="00E06FC2">
        <w:rPr>
          <w:rFonts w:cs="Arial"/>
        </w:rPr>
        <w:t xml:space="preserve"> y</w:t>
      </w:r>
      <w:r w:rsidR="00DB30C8" w:rsidRPr="00E06FC2">
        <w:rPr>
          <w:rFonts w:cs="Arial"/>
        </w:rPr>
        <w:t xml:space="preserve"> </w:t>
      </w:r>
      <w:r w:rsidR="00D812E1" w:rsidRPr="00E06FC2">
        <w:rPr>
          <w:rFonts w:cs="Arial"/>
        </w:rPr>
        <w:t>2</w:t>
      </w:r>
      <w:r w:rsidR="00DB30C8" w:rsidRPr="00E06FC2">
        <w:rPr>
          <w:rFonts w:cs="Arial"/>
        </w:rPr>
        <w:t>3</w:t>
      </w:r>
      <w:r w:rsidR="00155A90" w:rsidRPr="00E06FC2">
        <w:rPr>
          <w:rStyle w:val="Refdenotaalpie"/>
          <w:rFonts w:cs="Arial"/>
        </w:rPr>
        <w:footnoteReference w:id="47"/>
      </w:r>
      <w:r w:rsidR="00DB30C8" w:rsidRPr="00E06FC2">
        <w:rPr>
          <w:rFonts w:cs="Arial"/>
        </w:rPr>
        <w:t xml:space="preserve"> de la </w:t>
      </w:r>
      <w:r w:rsidR="00D812E1" w:rsidRPr="00E06FC2">
        <w:rPr>
          <w:rFonts w:cs="Arial"/>
        </w:rPr>
        <w:t>L</w:t>
      </w:r>
      <w:r w:rsidR="00DB30C8" w:rsidRPr="00E06FC2">
        <w:rPr>
          <w:rFonts w:cs="Arial"/>
        </w:rPr>
        <w:t xml:space="preserve">ey 80 de 1993. </w:t>
      </w:r>
    </w:p>
    <w:p w14:paraId="78EF47E2" w14:textId="77777777" w:rsidR="00DB30C8" w:rsidRPr="00E06FC2" w:rsidRDefault="00DB30C8" w:rsidP="00743788">
      <w:pPr>
        <w:pStyle w:val="Lista2"/>
        <w:ind w:left="0" w:firstLine="0"/>
        <w:rPr>
          <w:rFonts w:cs="Arial"/>
        </w:rPr>
      </w:pPr>
    </w:p>
    <w:p w14:paraId="0EA59CDE" w14:textId="77777777" w:rsidR="00DB30C8" w:rsidRPr="00E06FC2" w:rsidRDefault="00DB30C8" w:rsidP="00743788">
      <w:pPr>
        <w:pStyle w:val="Lista2"/>
        <w:ind w:left="0" w:firstLine="0"/>
        <w:rPr>
          <w:rFonts w:cs="Arial"/>
        </w:rPr>
      </w:pPr>
      <w:r w:rsidRPr="00E06FC2">
        <w:rPr>
          <w:rFonts w:cs="Arial"/>
        </w:rPr>
        <w:lastRenderedPageBreak/>
        <w:t>En la interpretación de la voluntad de las partes</w:t>
      </w:r>
      <w:r w:rsidR="00456FD6" w:rsidRPr="00E06FC2">
        <w:rPr>
          <w:rFonts w:cs="Arial"/>
        </w:rPr>
        <w:t xml:space="preserve"> y especialmente a la de la parte estatal convocante, </w:t>
      </w:r>
      <w:r w:rsidRPr="00E06FC2">
        <w:rPr>
          <w:rFonts w:cs="Arial"/>
        </w:rPr>
        <w:t xml:space="preserve">es indudable que el Juez debe acudir a los estudios previos, las motivaciones de la apertura de la contratación, los asuntos planteados y resueltos en </w:t>
      </w:r>
      <w:r w:rsidR="00456FD6" w:rsidRPr="00E06FC2">
        <w:rPr>
          <w:rFonts w:cs="Arial"/>
        </w:rPr>
        <w:t xml:space="preserve">el procedimiento de contratación, </w:t>
      </w:r>
      <w:r w:rsidRPr="00E06FC2">
        <w:rPr>
          <w:rFonts w:cs="Arial"/>
        </w:rPr>
        <w:t xml:space="preserve">las aclaraciones al pliego de condiciones, y en su caso, </w:t>
      </w:r>
      <w:r w:rsidR="00547D35" w:rsidRPr="00E06FC2">
        <w:rPr>
          <w:rFonts w:cs="Arial"/>
        </w:rPr>
        <w:t>el análisis debe enfocarse sobre e</w:t>
      </w:r>
      <w:r w:rsidRPr="00E06FC2">
        <w:rPr>
          <w:rFonts w:cs="Arial"/>
        </w:rPr>
        <w:t xml:space="preserve">l estudio de los antecedentes de las modificaciones del </w:t>
      </w:r>
      <w:r w:rsidR="00547D35" w:rsidRPr="00E06FC2">
        <w:rPr>
          <w:rFonts w:cs="Arial"/>
        </w:rPr>
        <w:t>pliego de condiciones.</w:t>
      </w:r>
    </w:p>
    <w:p w14:paraId="027FBC8E" w14:textId="77777777" w:rsidR="00DB30C8" w:rsidRPr="00E06FC2" w:rsidRDefault="00DB30C8" w:rsidP="00743788">
      <w:pPr>
        <w:pStyle w:val="Lista2"/>
        <w:ind w:left="0" w:firstLine="0"/>
        <w:rPr>
          <w:rFonts w:cs="Arial"/>
          <w:b/>
        </w:rPr>
      </w:pPr>
    </w:p>
    <w:p w14:paraId="79714722" w14:textId="77777777" w:rsidR="00DB30C8" w:rsidRPr="00E06FC2" w:rsidRDefault="00DB30C8" w:rsidP="00743788">
      <w:pPr>
        <w:pStyle w:val="Lista2"/>
        <w:ind w:left="0" w:firstLine="0"/>
        <w:rPr>
          <w:rFonts w:cs="Arial"/>
        </w:rPr>
      </w:pPr>
      <w:r w:rsidRPr="00E06FC2">
        <w:rPr>
          <w:rFonts w:cs="Arial"/>
        </w:rPr>
        <w:t xml:space="preserve">Por ello, cuando el juez se apoya exclusivamente en el tenor literal y realiza una interpretación fuera de contexto, sin considerar la totalidad del contenido del pliego de condiciones y sin examinar la congruencia entre sus </w:t>
      </w:r>
      <w:r w:rsidR="00B1465B" w:rsidRPr="00E06FC2">
        <w:rPr>
          <w:rFonts w:cs="Arial"/>
        </w:rPr>
        <w:t xml:space="preserve">antecedentes y sus </w:t>
      </w:r>
      <w:r w:rsidRPr="00E06FC2">
        <w:rPr>
          <w:rFonts w:cs="Arial"/>
        </w:rPr>
        <w:t xml:space="preserve">disposiciones, puede terminar creando unas reglas distintas de las que gobernaban el procedimiento de formación de la voluntad contractual. </w:t>
      </w:r>
    </w:p>
    <w:p w14:paraId="09C2E25C" w14:textId="77777777" w:rsidR="00DB30C8" w:rsidRPr="00E06FC2" w:rsidRDefault="00DB30C8" w:rsidP="00743788">
      <w:pPr>
        <w:pStyle w:val="Lista2"/>
        <w:ind w:left="0" w:firstLine="0"/>
        <w:rPr>
          <w:rFonts w:cs="Arial"/>
        </w:rPr>
      </w:pPr>
    </w:p>
    <w:p w14:paraId="1472A955" w14:textId="77777777" w:rsidR="00DB30C8" w:rsidRPr="00E06FC2" w:rsidRDefault="00DB30C8" w:rsidP="00743788">
      <w:pPr>
        <w:pStyle w:val="Lista2"/>
        <w:spacing w:line="240" w:lineRule="auto"/>
        <w:ind w:left="0" w:firstLine="0"/>
        <w:rPr>
          <w:rFonts w:cs="Arial"/>
          <w:b/>
        </w:rPr>
      </w:pPr>
      <w:r w:rsidRPr="00E06FC2">
        <w:rPr>
          <w:rFonts w:cs="Arial"/>
          <w:b/>
        </w:rPr>
        <w:t xml:space="preserve">4.3. Análisis del pliego de condiciones y del </w:t>
      </w:r>
      <w:r w:rsidR="0016327E" w:rsidRPr="00E06FC2">
        <w:rPr>
          <w:rFonts w:cs="Arial"/>
          <w:b/>
        </w:rPr>
        <w:t>a</w:t>
      </w:r>
      <w:r w:rsidRPr="00E06FC2">
        <w:rPr>
          <w:rFonts w:cs="Arial"/>
          <w:b/>
        </w:rPr>
        <w:t xml:space="preserve">dendo 3 en el aspecto de las </w:t>
      </w:r>
      <w:r w:rsidR="00521F91" w:rsidRPr="00E06FC2">
        <w:rPr>
          <w:rFonts w:cs="Arial"/>
          <w:b/>
        </w:rPr>
        <w:t xml:space="preserve">especificaciones </w:t>
      </w:r>
      <w:r w:rsidRPr="00E06FC2">
        <w:rPr>
          <w:rFonts w:cs="Arial"/>
          <w:b/>
        </w:rPr>
        <w:t>alternativas</w:t>
      </w:r>
      <w:r w:rsidR="00521F91" w:rsidRPr="00E06FC2">
        <w:rPr>
          <w:rFonts w:cs="Arial"/>
          <w:b/>
        </w:rPr>
        <w:t xml:space="preserve"> </w:t>
      </w:r>
    </w:p>
    <w:p w14:paraId="0DD6E76A" w14:textId="77777777" w:rsidR="00DB30C8" w:rsidRPr="00E06FC2" w:rsidRDefault="00DB30C8" w:rsidP="00743788">
      <w:pPr>
        <w:pStyle w:val="Textonotapie"/>
        <w:rPr>
          <w:rFonts w:cs="Arial"/>
          <w:i/>
          <w:sz w:val="24"/>
          <w:szCs w:val="24"/>
        </w:rPr>
      </w:pPr>
    </w:p>
    <w:p w14:paraId="08789691" w14:textId="77777777" w:rsidR="0085096B" w:rsidRPr="00E06FC2" w:rsidRDefault="0085096B" w:rsidP="00743788">
      <w:pPr>
        <w:pStyle w:val="Lista2"/>
        <w:ind w:left="0" w:firstLine="0"/>
        <w:rPr>
          <w:rFonts w:cs="Arial"/>
        </w:rPr>
      </w:pPr>
      <w:r w:rsidRPr="00E06FC2">
        <w:rPr>
          <w:rFonts w:cs="Arial"/>
        </w:rPr>
        <w:t>El C</w:t>
      </w:r>
      <w:r w:rsidR="00D40587" w:rsidRPr="00E06FC2">
        <w:rPr>
          <w:rFonts w:cs="Arial"/>
        </w:rPr>
        <w:t>apítulo</w:t>
      </w:r>
      <w:r w:rsidRPr="00E06FC2">
        <w:rPr>
          <w:rFonts w:cs="Arial"/>
        </w:rPr>
        <w:t xml:space="preserve"> VI, punto 1) del pliego de condiciones</w:t>
      </w:r>
      <w:r w:rsidR="00256B05" w:rsidRPr="00E06FC2">
        <w:rPr>
          <w:rFonts w:cs="Arial"/>
        </w:rPr>
        <w:t xml:space="preserve"> de la Licitación </w:t>
      </w:r>
      <w:r w:rsidR="00D40587" w:rsidRPr="00E06FC2">
        <w:rPr>
          <w:rFonts w:cs="Arial"/>
        </w:rPr>
        <w:t xml:space="preserve">Pública </w:t>
      </w:r>
      <w:r w:rsidR="00256B05" w:rsidRPr="00E06FC2">
        <w:rPr>
          <w:rFonts w:cs="Arial"/>
        </w:rPr>
        <w:t>001 de 1997</w:t>
      </w:r>
      <w:r w:rsidRPr="00E06FC2">
        <w:rPr>
          <w:rFonts w:cs="Arial"/>
        </w:rPr>
        <w:t xml:space="preserve">, permitió </w:t>
      </w:r>
      <w:r w:rsidR="00B77770" w:rsidRPr="00E06FC2">
        <w:rPr>
          <w:rFonts w:cs="Arial"/>
        </w:rPr>
        <w:t xml:space="preserve">que el proponente ofreciera otras </w:t>
      </w:r>
      <w:r w:rsidRPr="00E06FC2">
        <w:rPr>
          <w:rFonts w:cs="Arial"/>
        </w:rPr>
        <w:t>alternativas, así:</w:t>
      </w:r>
    </w:p>
    <w:p w14:paraId="1534EFFA" w14:textId="77777777" w:rsidR="0085096B" w:rsidRPr="00E06FC2" w:rsidRDefault="0085096B" w:rsidP="00743788">
      <w:pPr>
        <w:pStyle w:val="Lista2"/>
        <w:spacing w:line="276" w:lineRule="auto"/>
        <w:ind w:left="567" w:right="567" w:firstLine="0"/>
        <w:rPr>
          <w:rFonts w:cs="Arial"/>
          <w:i/>
        </w:rPr>
      </w:pPr>
    </w:p>
    <w:p w14:paraId="2AE6FF3F" w14:textId="77777777" w:rsidR="0085096B" w:rsidRPr="00E06FC2" w:rsidRDefault="0085096B" w:rsidP="00743788">
      <w:pPr>
        <w:pStyle w:val="Lista2"/>
        <w:spacing w:line="276" w:lineRule="auto"/>
        <w:ind w:left="567" w:right="567" w:firstLine="0"/>
        <w:rPr>
          <w:rFonts w:cs="Arial"/>
          <w:i/>
        </w:rPr>
      </w:pPr>
      <w:r w:rsidRPr="00E06FC2">
        <w:rPr>
          <w:rFonts w:cs="Arial"/>
          <w:i/>
        </w:rPr>
        <w:t>“1.- PREPARACI</w:t>
      </w:r>
      <w:r w:rsidR="00DE610B" w:rsidRPr="00E06FC2">
        <w:rPr>
          <w:rFonts w:cs="Arial"/>
          <w:i/>
        </w:rPr>
        <w:t>Ó</w:t>
      </w:r>
      <w:r w:rsidRPr="00E06FC2">
        <w:rPr>
          <w:rFonts w:cs="Arial"/>
          <w:i/>
        </w:rPr>
        <w:t>N DE LA PROPUESTA.</w:t>
      </w:r>
    </w:p>
    <w:p w14:paraId="7ADADAEA" w14:textId="77777777" w:rsidR="0085096B" w:rsidRPr="00E06FC2" w:rsidRDefault="0085096B" w:rsidP="00743788">
      <w:pPr>
        <w:pStyle w:val="Lista2"/>
        <w:spacing w:line="276" w:lineRule="auto"/>
        <w:ind w:left="567" w:right="567" w:firstLine="0"/>
        <w:rPr>
          <w:rFonts w:cs="Arial"/>
          <w:i/>
        </w:rPr>
      </w:pPr>
    </w:p>
    <w:p w14:paraId="390D4AB4" w14:textId="77777777" w:rsidR="0085096B" w:rsidRPr="00E06FC2" w:rsidRDefault="0085096B" w:rsidP="00743788">
      <w:pPr>
        <w:pStyle w:val="Lista2"/>
        <w:spacing w:line="276" w:lineRule="auto"/>
        <w:ind w:left="567" w:right="567" w:firstLine="0"/>
        <w:rPr>
          <w:rFonts w:cs="Arial"/>
          <w:i/>
        </w:rPr>
      </w:pPr>
      <w:r w:rsidRPr="00E06FC2">
        <w:rPr>
          <w:rFonts w:cs="Arial"/>
          <w:i/>
        </w:rPr>
        <w:t>“La propuesta debe prepararse de acuerdo con los términos, especificaciones y requisitos de estos pliegos y los adendos que se emitan, con los anexos que sean necesarios, según las instrucciones impartidas y las que el proponente estime convenientes.</w:t>
      </w:r>
    </w:p>
    <w:p w14:paraId="4DF7B36E" w14:textId="77777777" w:rsidR="0085096B" w:rsidRPr="00E06FC2" w:rsidRDefault="0085096B" w:rsidP="00743788">
      <w:pPr>
        <w:pStyle w:val="Lista2"/>
        <w:spacing w:line="276" w:lineRule="auto"/>
        <w:ind w:left="567" w:right="567" w:firstLine="0"/>
        <w:rPr>
          <w:rFonts w:cs="Arial"/>
          <w:i/>
        </w:rPr>
      </w:pPr>
    </w:p>
    <w:p w14:paraId="32AB6D36" w14:textId="77777777" w:rsidR="0085096B" w:rsidRPr="00E06FC2" w:rsidRDefault="0085096B" w:rsidP="00743788">
      <w:pPr>
        <w:pStyle w:val="Lista2"/>
        <w:spacing w:line="276" w:lineRule="auto"/>
        <w:ind w:left="567" w:right="567" w:firstLine="0"/>
        <w:rPr>
          <w:rFonts w:cs="Arial"/>
          <w:i/>
        </w:rPr>
      </w:pPr>
      <w:r w:rsidRPr="00E06FC2">
        <w:rPr>
          <w:rFonts w:cs="Arial"/>
          <w:i/>
        </w:rPr>
        <w:t>“El proponente deberá incluir en su oferta, aquellos comentarios que a su juicio sean necesarios para demostrar que su propuesta se ajusta sustancialmente a las condiciones (…).</w:t>
      </w:r>
    </w:p>
    <w:p w14:paraId="758979D2" w14:textId="77777777" w:rsidR="0085096B" w:rsidRPr="00E06FC2" w:rsidRDefault="0085096B" w:rsidP="00743788">
      <w:pPr>
        <w:pStyle w:val="Lista2"/>
        <w:spacing w:line="276" w:lineRule="auto"/>
        <w:ind w:left="567" w:right="567" w:firstLine="0"/>
        <w:rPr>
          <w:rFonts w:cs="Arial"/>
          <w:i/>
        </w:rPr>
      </w:pPr>
    </w:p>
    <w:p w14:paraId="361358E3" w14:textId="77777777" w:rsidR="0085096B" w:rsidRPr="00E06FC2" w:rsidRDefault="0085096B" w:rsidP="00743788">
      <w:pPr>
        <w:pStyle w:val="Lista2"/>
        <w:spacing w:line="276" w:lineRule="auto"/>
        <w:ind w:left="567" w:right="567" w:firstLine="0"/>
        <w:rPr>
          <w:rFonts w:cs="Arial"/>
          <w:i/>
        </w:rPr>
      </w:pPr>
      <w:r w:rsidRPr="00E06FC2">
        <w:rPr>
          <w:rFonts w:cs="Arial"/>
          <w:i/>
        </w:rPr>
        <w:t>“</w:t>
      </w:r>
      <w:r w:rsidRPr="00E06FC2">
        <w:rPr>
          <w:rFonts w:cs="Arial"/>
          <w:b/>
          <w:i/>
        </w:rPr>
        <w:t>El proponente podrá ofrecer otras alternativas, debidamente sustentadas</w:t>
      </w:r>
      <w:r w:rsidRPr="00E06FC2">
        <w:rPr>
          <w:rFonts w:cs="Arial"/>
          <w:i/>
        </w:rPr>
        <w:t>.</w:t>
      </w:r>
    </w:p>
    <w:p w14:paraId="1F45D003" w14:textId="77777777" w:rsidR="0085096B" w:rsidRPr="00E06FC2" w:rsidRDefault="0085096B" w:rsidP="00743788">
      <w:pPr>
        <w:pStyle w:val="Lista2"/>
        <w:spacing w:line="276" w:lineRule="auto"/>
        <w:ind w:left="567" w:right="567" w:firstLine="0"/>
        <w:rPr>
          <w:rFonts w:cs="Arial"/>
          <w:i/>
        </w:rPr>
      </w:pPr>
    </w:p>
    <w:p w14:paraId="5449CADF" w14:textId="77777777" w:rsidR="0085096B" w:rsidRPr="00E06FC2" w:rsidRDefault="0085096B" w:rsidP="00743788">
      <w:pPr>
        <w:pStyle w:val="Lista2"/>
        <w:spacing w:line="276" w:lineRule="auto"/>
        <w:ind w:left="567" w:right="567" w:firstLine="0"/>
        <w:rPr>
          <w:rFonts w:cs="Arial"/>
        </w:rPr>
      </w:pPr>
      <w:r w:rsidRPr="00E06FC2">
        <w:rPr>
          <w:rFonts w:cs="Arial"/>
          <w:i/>
        </w:rPr>
        <w:t>“La propuesta será elaborada por los proponentes diligenciando en su integridad los formularios anexos a este pliego de condiciones”</w:t>
      </w:r>
      <w:r w:rsidRPr="00E06FC2">
        <w:rPr>
          <w:rStyle w:val="Refdenotaalpie"/>
          <w:rFonts w:cs="Arial"/>
          <w:i/>
        </w:rPr>
        <w:footnoteReference w:id="48"/>
      </w:r>
      <w:r w:rsidR="00C306E8" w:rsidRPr="00E06FC2">
        <w:rPr>
          <w:rFonts w:cs="Arial"/>
          <w:i/>
        </w:rPr>
        <w:t xml:space="preserve">. </w:t>
      </w:r>
      <w:r w:rsidR="00C306E8" w:rsidRPr="00E06FC2">
        <w:rPr>
          <w:rFonts w:cs="Arial"/>
        </w:rPr>
        <w:t xml:space="preserve">(La negrilla no es del texto). </w:t>
      </w:r>
    </w:p>
    <w:p w14:paraId="2DF8A74D" w14:textId="77777777" w:rsidR="0085096B" w:rsidRPr="00E06FC2" w:rsidRDefault="0085096B" w:rsidP="00743788">
      <w:pPr>
        <w:pStyle w:val="Lista2"/>
        <w:ind w:left="0" w:firstLine="0"/>
        <w:rPr>
          <w:rFonts w:cs="Arial"/>
        </w:rPr>
      </w:pPr>
    </w:p>
    <w:p w14:paraId="37370A18" w14:textId="77777777" w:rsidR="00256B05" w:rsidRPr="00E06FC2" w:rsidRDefault="0085096B" w:rsidP="00743788">
      <w:pPr>
        <w:pStyle w:val="Lista2"/>
        <w:ind w:left="0" w:firstLine="0"/>
        <w:rPr>
          <w:rFonts w:cs="Arial"/>
        </w:rPr>
      </w:pPr>
      <w:r w:rsidRPr="00E06FC2">
        <w:rPr>
          <w:rFonts w:cs="Arial"/>
        </w:rPr>
        <w:t>De conformidad con el C</w:t>
      </w:r>
      <w:r w:rsidR="00D40587" w:rsidRPr="00E06FC2">
        <w:rPr>
          <w:rFonts w:cs="Arial"/>
        </w:rPr>
        <w:t>apítulo</w:t>
      </w:r>
      <w:r w:rsidRPr="00E06FC2">
        <w:rPr>
          <w:rFonts w:cs="Arial"/>
        </w:rPr>
        <w:t xml:space="preserve"> VI, punto 10, literal A), el criterio de CALIDAD DE BIENES tenía asignado un total de 600 puntos bajo la siguiente regla:</w:t>
      </w:r>
    </w:p>
    <w:p w14:paraId="558AFB62" w14:textId="77777777" w:rsidR="00D40587" w:rsidRPr="00E06FC2" w:rsidRDefault="00D40587" w:rsidP="00743788">
      <w:pPr>
        <w:pStyle w:val="Lista2"/>
        <w:ind w:left="567" w:right="567" w:firstLine="0"/>
        <w:rPr>
          <w:rFonts w:cs="Arial"/>
          <w:i/>
        </w:rPr>
      </w:pPr>
    </w:p>
    <w:p w14:paraId="4FDAAF13" w14:textId="77777777" w:rsidR="0085096B" w:rsidRPr="00E06FC2" w:rsidRDefault="0085096B" w:rsidP="00743788">
      <w:pPr>
        <w:pStyle w:val="Lista2"/>
        <w:spacing w:line="276" w:lineRule="auto"/>
        <w:ind w:left="567" w:right="567" w:firstLine="0"/>
        <w:rPr>
          <w:rFonts w:cs="Arial"/>
          <w:i/>
        </w:rPr>
      </w:pPr>
      <w:r w:rsidRPr="00E06FC2">
        <w:rPr>
          <w:rFonts w:cs="Arial"/>
          <w:i/>
        </w:rPr>
        <w:lastRenderedPageBreak/>
        <w:t>“Se asignará el mayor puntaje a la propuesta que cumpla con todas las especificaciones técnicas consignadas en el Capítulo 2º, numeral 5º del pliego de condiciones, restando, del total asignado, el puntaje correspondiente a cada especificación no cumplida, de acuerdo con la siguiente relación:</w:t>
      </w:r>
    </w:p>
    <w:p w14:paraId="137B48E4" w14:textId="77777777" w:rsidR="0085096B" w:rsidRPr="00E06FC2" w:rsidRDefault="0085096B" w:rsidP="00743788">
      <w:pPr>
        <w:pStyle w:val="Lista2"/>
        <w:spacing w:line="276" w:lineRule="auto"/>
        <w:ind w:left="567" w:right="567" w:firstLine="0"/>
        <w:rPr>
          <w:rFonts w:cs="Arial"/>
          <w:i/>
        </w:rPr>
      </w:pPr>
    </w:p>
    <w:p w14:paraId="7BA81643" w14:textId="77777777" w:rsidR="0085096B" w:rsidRPr="00E06FC2" w:rsidRDefault="0085096B" w:rsidP="00743788">
      <w:pPr>
        <w:pStyle w:val="Lista2"/>
        <w:spacing w:line="276" w:lineRule="auto"/>
        <w:ind w:left="567" w:right="567" w:firstLine="0"/>
        <w:rPr>
          <w:rFonts w:cs="Arial"/>
        </w:rPr>
      </w:pPr>
      <w:r w:rsidRPr="00E06FC2">
        <w:rPr>
          <w:rFonts w:cs="Arial"/>
          <w:i/>
        </w:rPr>
        <w:t>“(…)</w:t>
      </w:r>
      <w:r w:rsidR="00D40587" w:rsidRPr="00E06FC2">
        <w:rPr>
          <w:rFonts w:cs="Arial"/>
          <w:i/>
        </w:rPr>
        <w:t xml:space="preserve">. </w:t>
      </w:r>
      <w:r w:rsidR="00D40587" w:rsidRPr="00E06FC2">
        <w:rPr>
          <w:rFonts w:cs="Arial"/>
        </w:rPr>
        <w:t>[</w:t>
      </w:r>
      <w:r w:rsidRPr="00E06FC2">
        <w:rPr>
          <w:rFonts w:cs="Arial"/>
        </w:rPr>
        <w:t>A continuación se transcribe aquí solo un ítem, a t</w:t>
      </w:r>
      <w:r w:rsidR="00DE610B" w:rsidRPr="00E06FC2">
        <w:rPr>
          <w:rFonts w:cs="Arial"/>
        </w:rPr>
        <w:t>í</w:t>
      </w:r>
      <w:r w:rsidRPr="00E06FC2">
        <w:rPr>
          <w:rFonts w:cs="Arial"/>
        </w:rPr>
        <w:t>tulo de ejemplo</w:t>
      </w:r>
      <w:r w:rsidR="00D40587" w:rsidRPr="00E06FC2">
        <w:rPr>
          <w:rFonts w:cs="Arial"/>
        </w:rPr>
        <w:t>]</w:t>
      </w:r>
      <w:r w:rsidRPr="00E06FC2">
        <w:rPr>
          <w:rFonts w:cs="Arial"/>
        </w:rPr>
        <w:t>.</w:t>
      </w:r>
    </w:p>
    <w:p w14:paraId="7A6AF475" w14:textId="77777777" w:rsidR="0085096B" w:rsidRPr="00E06FC2" w:rsidRDefault="0085096B" w:rsidP="00743788">
      <w:pPr>
        <w:pStyle w:val="Lista2"/>
        <w:spacing w:line="276" w:lineRule="auto"/>
        <w:ind w:left="567" w:right="567" w:firstLine="0"/>
        <w:rPr>
          <w:rFonts w:cs="Arial"/>
          <w:i/>
        </w:rPr>
      </w:pPr>
    </w:p>
    <w:p w14:paraId="743130E6" w14:textId="77777777" w:rsidR="0085096B" w:rsidRPr="00E06FC2" w:rsidRDefault="0085096B" w:rsidP="00743788">
      <w:pPr>
        <w:pStyle w:val="Lista2"/>
        <w:spacing w:line="276" w:lineRule="auto"/>
        <w:ind w:left="567" w:right="567" w:firstLine="0"/>
        <w:rPr>
          <w:rFonts w:cs="Arial"/>
          <w:i/>
        </w:rPr>
      </w:pPr>
      <w:r w:rsidRPr="00E06FC2">
        <w:rPr>
          <w:rFonts w:cs="Arial"/>
          <w:i/>
        </w:rPr>
        <w:t>“d) Puntaje asignado al cumplimiento de las especificaciones técnicas exigidas para las bombillas de la luminaria (Capítulo II, Numeral 5º, literal e)                                                                          .                   50 PUNTOS.</w:t>
      </w:r>
    </w:p>
    <w:p w14:paraId="1E2DE643" w14:textId="77777777" w:rsidR="0085096B" w:rsidRPr="00E06FC2" w:rsidRDefault="0085096B" w:rsidP="00743788">
      <w:pPr>
        <w:pStyle w:val="Lista2"/>
        <w:ind w:left="0" w:firstLine="0"/>
        <w:rPr>
          <w:rFonts w:cs="Arial"/>
        </w:rPr>
      </w:pPr>
    </w:p>
    <w:p w14:paraId="61E751CF" w14:textId="77777777" w:rsidR="00256B05" w:rsidRPr="00E06FC2" w:rsidRDefault="0085096B" w:rsidP="00743788">
      <w:pPr>
        <w:pStyle w:val="Lista2"/>
        <w:ind w:left="0" w:firstLine="0"/>
        <w:rPr>
          <w:rFonts w:cs="Arial"/>
        </w:rPr>
      </w:pPr>
      <w:r w:rsidRPr="00E06FC2">
        <w:rPr>
          <w:rFonts w:cs="Arial"/>
        </w:rPr>
        <w:t>El pliego de condiciones fue objeto de tres adendos</w:t>
      </w:r>
      <w:r w:rsidR="00D40587" w:rsidRPr="00E06FC2">
        <w:rPr>
          <w:rFonts w:cs="Arial"/>
        </w:rPr>
        <w:t>, con el siguiente contenido</w:t>
      </w:r>
      <w:r w:rsidRPr="00E06FC2">
        <w:rPr>
          <w:rFonts w:cs="Arial"/>
        </w:rPr>
        <w:t xml:space="preserve">: </w:t>
      </w:r>
    </w:p>
    <w:p w14:paraId="023A5841" w14:textId="77777777" w:rsidR="00256B05" w:rsidRPr="00E06FC2" w:rsidRDefault="00256B05" w:rsidP="00743788">
      <w:pPr>
        <w:pStyle w:val="Lista2"/>
        <w:ind w:left="0" w:firstLine="0"/>
        <w:rPr>
          <w:rFonts w:cs="Arial"/>
        </w:rPr>
      </w:pPr>
    </w:p>
    <w:p w14:paraId="1358783A" w14:textId="77777777" w:rsidR="0085096B" w:rsidRPr="00E06FC2" w:rsidRDefault="0085096B" w:rsidP="00743788">
      <w:pPr>
        <w:pStyle w:val="Lista2"/>
        <w:ind w:left="0" w:firstLine="0"/>
        <w:rPr>
          <w:rFonts w:cs="Arial"/>
        </w:rPr>
      </w:pPr>
      <w:r w:rsidRPr="00E06FC2">
        <w:rPr>
          <w:rFonts w:cs="Arial"/>
        </w:rPr>
        <w:t xml:space="preserve">El </w:t>
      </w:r>
      <w:r w:rsidR="00D56708" w:rsidRPr="00E06FC2">
        <w:rPr>
          <w:rFonts w:cs="Arial"/>
        </w:rPr>
        <w:t>a</w:t>
      </w:r>
      <w:r w:rsidRPr="00E06FC2">
        <w:rPr>
          <w:rFonts w:cs="Arial"/>
        </w:rPr>
        <w:t xml:space="preserve">dendo 1, se refirió a los factores para la evaluación de las propuestas, fijados así: </w:t>
      </w:r>
      <w:r w:rsidR="00256B05" w:rsidRPr="00E06FC2">
        <w:rPr>
          <w:rFonts w:cs="Arial"/>
          <w:b/>
        </w:rPr>
        <w:t>i)</w:t>
      </w:r>
      <w:r w:rsidR="00256B05" w:rsidRPr="00E06FC2">
        <w:rPr>
          <w:rFonts w:cs="Arial"/>
        </w:rPr>
        <w:t xml:space="preserve"> calidad de bienes: 600 puntos; </w:t>
      </w:r>
      <w:r w:rsidR="00256B05" w:rsidRPr="00E06FC2">
        <w:rPr>
          <w:rFonts w:cs="Arial"/>
          <w:b/>
        </w:rPr>
        <w:t>ii)</w:t>
      </w:r>
      <w:r w:rsidR="00256B05" w:rsidRPr="00E06FC2">
        <w:rPr>
          <w:rFonts w:cs="Arial"/>
        </w:rPr>
        <w:t xml:space="preserve"> precio de bienes: 200 puntos; </w:t>
      </w:r>
      <w:r w:rsidR="00256B05" w:rsidRPr="00E06FC2">
        <w:rPr>
          <w:rFonts w:cs="Arial"/>
          <w:b/>
        </w:rPr>
        <w:t>iii)</w:t>
      </w:r>
      <w:r w:rsidR="00256B05" w:rsidRPr="00E06FC2">
        <w:rPr>
          <w:rFonts w:cs="Arial"/>
        </w:rPr>
        <w:t xml:space="preserve"> experiencia del proponente: 100 puntos; </w:t>
      </w:r>
      <w:r w:rsidR="00256B05" w:rsidRPr="00E06FC2">
        <w:rPr>
          <w:rFonts w:cs="Arial"/>
          <w:b/>
        </w:rPr>
        <w:t>iv)</w:t>
      </w:r>
      <w:r w:rsidR="00256B05" w:rsidRPr="00E06FC2">
        <w:rPr>
          <w:rFonts w:cs="Arial"/>
        </w:rPr>
        <w:t xml:space="preserve"> capacidad financiera del proponente: 100 puntos; </w:t>
      </w:r>
      <w:r w:rsidR="00256B05" w:rsidRPr="00E06FC2">
        <w:rPr>
          <w:rFonts w:cs="Arial"/>
          <w:b/>
        </w:rPr>
        <w:t>v)</w:t>
      </w:r>
      <w:r w:rsidR="00256B05" w:rsidRPr="00E06FC2">
        <w:rPr>
          <w:rFonts w:cs="Arial"/>
        </w:rPr>
        <w:t xml:space="preserve"> total: 1000 puntos.</w:t>
      </w:r>
    </w:p>
    <w:p w14:paraId="44090EE8" w14:textId="77777777" w:rsidR="00256B05" w:rsidRPr="00E06FC2" w:rsidRDefault="00256B05" w:rsidP="00743788">
      <w:pPr>
        <w:pStyle w:val="Lista2"/>
        <w:ind w:left="0" w:firstLine="0"/>
        <w:rPr>
          <w:rFonts w:cs="Arial"/>
        </w:rPr>
      </w:pPr>
    </w:p>
    <w:p w14:paraId="2A8DAFDA" w14:textId="77777777" w:rsidR="0085096B" w:rsidRPr="00E06FC2" w:rsidRDefault="0085096B" w:rsidP="00743788">
      <w:pPr>
        <w:pStyle w:val="Lista2"/>
        <w:ind w:left="0" w:firstLine="0"/>
        <w:rPr>
          <w:rFonts w:cs="Arial"/>
        </w:rPr>
      </w:pPr>
      <w:r w:rsidRPr="00E06FC2">
        <w:rPr>
          <w:rFonts w:cs="Arial"/>
        </w:rPr>
        <w:t xml:space="preserve">El </w:t>
      </w:r>
      <w:r w:rsidR="00D56708" w:rsidRPr="00E06FC2">
        <w:rPr>
          <w:rFonts w:cs="Arial"/>
        </w:rPr>
        <w:t>a</w:t>
      </w:r>
      <w:r w:rsidRPr="00E06FC2">
        <w:rPr>
          <w:rFonts w:cs="Arial"/>
        </w:rPr>
        <w:t xml:space="preserve">dendo 2, </w:t>
      </w:r>
      <w:r w:rsidR="008F29E8" w:rsidRPr="00E06FC2">
        <w:rPr>
          <w:rFonts w:cs="Arial"/>
        </w:rPr>
        <w:t xml:space="preserve">publicado el 23 de septiembre de 1997, </w:t>
      </w:r>
      <w:r w:rsidRPr="00E06FC2">
        <w:rPr>
          <w:rFonts w:cs="Arial"/>
        </w:rPr>
        <w:t>dispuso prorrogar el término para la presentación de las propuestas hasta el 26 de septiembre de 1997, de conformidad con la Resolución 419 de 18 de septiembre de 1997 y, también, estableció que el Departamento Jurídico podría introducir modificaciones a los pliegos hasta cuatro días antes del cierre de la licitación</w:t>
      </w:r>
      <w:r w:rsidRPr="00E06FC2">
        <w:rPr>
          <w:rStyle w:val="Refdenotaalpie"/>
          <w:rFonts w:cs="Arial"/>
        </w:rPr>
        <w:footnoteReference w:id="49"/>
      </w:r>
      <w:r w:rsidRPr="00E06FC2">
        <w:rPr>
          <w:rFonts w:cs="Arial"/>
        </w:rPr>
        <w:t>.</w:t>
      </w:r>
    </w:p>
    <w:p w14:paraId="18A0024F" w14:textId="77777777" w:rsidR="0085096B" w:rsidRPr="00E06FC2" w:rsidRDefault="0085096B" w:rsidP="00743788">
      <w:pPr>
        <w:pStyle w:val="Lista2"/>
        <w:ind w:left="0" w:firstLine="0"/>
        <w:rPr>
          <w:rFonts w:cs="Arial"/>
        </w:rPr>
      </w:pPr>
    </w:p>
    <w:p w14:paraId="4D854872" w14:textId="77777777" w:rsidR="0085096B" w:rsidRPr="00E06FC2" w:rsidRDefault="0085096B" w:rsidP="00743788">
      <w:pPr>
        <w:pStyle w:val="Lista2"/>
        <w:ind w:left="0" w:firstLine="0"/>
        <w:rPr>
          <w:rFonts w:cs="Arial"/>
        </w:rPr>
      </w:pPr>
      <w:r w:rsidRPr="00E06FC2">
        <w:rPr>
          <w:rFonts w:cs="Arial"/>
        </w:rPr>
        <w:t xml:space="preserve">En el </w:t>
      </w:r>
      <w:r w:rsidR="00D56708" w:rsidRPr="00E06FC2">
        <w:rPr>
          <w:rFonts w:cs="Arial"/>
        </w:rPr>
        <w:t>a</w:t>
      </w:r>
      <w:r w:rsidRPr="00E06FC2">
        <w:rPr>
          <w:rFonts w:cs="Arial"/>
        </w:rPr>
        <w:t>dendo 3</w:t>
      </w:r>
      <w:r w:rsidR="007853A0" w:rsidRPr="00E06FC2">
        <w:rPr>
          <w:rFonts w:cs="Arial"/>
        </w:rPr>
        <w:t>,</w:t>
      </w:r>
      <w:r w:rsidRPr="00E06FC2">
        <w:rPr>
          <w:rFonts w:cs="Arial"/>
        </w:rPr>
        <w:t xml:space="preserve"> publicado el </w:t>
      </w:r>
      <w:r w:rsidR="000B19A7" w:rsidRPr="00E06FC2">
        <w:rPr>
          <w:rFonts w:cs="Arial"/>
        </w:rPr>
        <w:t xml:space="preserve">mismo </w:t>
      </w:r>
      <w:r w:rsidRPr="00E06FC2">
        <w:rPr>
          <w:rFonts w:cs="Arial"/>
        </w:rPr>
        <w:t>23 de septiembre de 1997</w:t>
      </w:r>
      <w:r w:rsidRPr="00E06FC2">
        <w:rPr>
          <w:rStyle w:val="Refdenotaalpie"/>
          <w:rFonts w:cs="Arial"/>
        </w:rPr>
        <w:footnoteReference w:id="50"/>
      </w:r>
      <w:r w:rsidR="007853A0" w:rsidRPr="00E06FC2">
        <w:rPr>
          <w:rFonts w:cs="Arial"/>
        </w:rPr>
        <w:t>,</w:t>
      </w:r>
      <w:r w:rsidRPr="00E06FC2">
        <w:rPr>
          <w:rFonts w:cs="Arial"/>
        </w:rPr>
        <w:t xml:space="preserve"> </w:t>
      </w:r>
      <w:r w:rsidR="00DD26F4" w:rsidRPr="00E06FC2">
        <w:rPr>
          <w:rFonts w:cs="Arial"/>
        </w:rPr>
        <w:t xml:space="preserve">desarrolló el punto de las certificaciones de las que denominó </w:t>
      </w:r>
      <w:r w:rsidR="00506D12" w:rsidRPr="00E06FC2">
        <w:rPr>
          <w:rFonts w:cs="Arial"/>
        </w:rPr>
        <w:t>propuestas alternativas</w:t>
      </w:r>
      <w:r w:rsidR="00DD26F4" w:rsidRPr="00E06FC2">
        <w:rPr>
          <w:rFonts w:cs="Arial"/>
        </w:rPr>
        <w:t xml:space="preserve">. Allí amplió o adicionó las certificaciones que resultaban admisibles </w:t>
      </w:r>
      <w:r w:rsidR="00F713A8" w:rsidRPr="00E06FC2">
        <w:rPr>
          <w:rFonts w:cs="Arial"/>
        </w:rPr>
        <w:t xml:space="preserve">para acreditar el cumplimiento de normas técnicas, así: </w:t>
      </w:r>
    </w:p>
    <w:p w14:paraId="0D391CA7" w14:textId="77777777" w:rsidR="00F713A8" w:rsidRPr="00E06FC2" w:rsidRDefault="00F713A8" w:rsidP="00743788">
      <w:pPr>
        <w:pStyle w:val="Lista2"/>
        <w:ind w:left="0" w:firstLine="0"/>
        <w:rPr>
          <w:rFonts w:cs="Arial"/>
        </w:rPr>
      </w:pPr>
    </w:p>
    <w:p w14:paraId="630CE0F9" w14:textId="77777777" w:rsidR="0085096B" w:rsidRPr="00E06FC2" w:rsidRDefault="0085096B" w:rsidP="00743788">
      <w:pPr>
        <w:pStyle w:val="Lista2"/>
        <w:spacing w:line="276" w:lineRule="auto"/>
        <w:ind w:left="567" w:right="567" w:firstLine="0"/>
        <w:rPr>
          <w:rFonts w:cs="Arial"/>
          <w:i/>
        </w:rPr>
      </w:pPr>
      <w:r w:rsidRPr="00E06FC2">
        <w:rPr>
          <w:rFonts w:cs="Arial"/>
          <w:i/>
        </w:rPr>
        <w:t>“2. Que las propuestas alternativas, admitidas por el pliego de condiciones, en la página 19, Capítulo VI, ordinal 1) inciso 3º, deben sujetarse a las siguientes normas técnicas:</w:t>
      </w:r>
    </w:p>
    <w:p w14:paraId="001F940A" w14:textId="77777777" w:rsidR="0085096B" w:rsidRPr="00E06FC2" w:rsidRDefault="0085096B" w:rsidP="00743788">
      <w:pPr>
        <w:pStyle w:val="Lista2"/>
        <w:spacing w:line="276" w:lineRule="auto"/>
        <w:ind w:left="567" w:right="567" w:firstLine="0"/>
        <w:rPr>
          <w:rFonts w:cs="Arial"/>
          <w:i/>
        </w:rPr>
      </w:pPr>
    </w:p>
    <w:p w14:paraId="567F0678" w14:textId="77777777" w:rsidR="0085096B" w:rsidRPr="00E06FC2" w:rsidRDefault="0085096B" w:rsidP="00743788">
      <w:pPr>
        <w:pStyle w:val="Lista2"/>
        <w:spacing w:line="276" w:lineRule="auto"/>
        <w:ind w:left="567" w:right="567" w:firstLine="0"/>
        <w:rPr>
          <w:rFonts w:cs="Arial"/>
          <w:i/>
        </w:rPr>
      </w:pPr>
      <w:r w:rsidRPr="00E06FC2">
        <w:rPr>
          <w:rFonts w:cs="Arial"/>
          <w:i/>
        </w:rPr>
        <w:t>“</w:t>
      </w:r>
      <w:r w:rsidRPr="00E06FC2">
        <w:rPr>
          <w:rFonts w:cs="Arial"/>
          <w:b/>
          <w:i/>
        </w:rPr>
        <w:t>Los trabajos</w:t>
      </w:r>
      <w:r w:rsidRPr="00E06FC2">
        <w:rPr>
          <w:rFonts w:cs="Arial"/>
          <w:i/>
        </w:rPr>
        <w:t xml:space="preserve"> deben efectuarse cumpliendo con la norma ICONTEC 2050.</w:t>
      </w:r>
    </w:p>
    <w:p w14:paraId="62280455" w14:textId="77777777" w:rsidR="0085096B" w:rsidRPr="00E06FC2" w:rsidRDefault="0085096B" w:rsidP="00743788">
      <w:pPr>
        <w:pStyle w:val="Lista2"/>
        <w:spacing w:line="276" w:lineRule="auto"/>
        <w:ind w:left="567" w:right="567" w:firstLine="0"/>
        <w:rPr>
          <w:rFonts w:cs="Arial"/>
          <w:i/>
        </w:rPr>
      </w:pPr>
    </w:p>
    <w:p w14:paraId="343B17D5" w14:textId="77777777" w:rsidR="0085096B" w:rsidRPr="00E06FC2" w:rsidRDefault="0085096B" w:rsidP="00743788">
      <w:pPr>
        <w:pStyle w:val="Lista2"/>
        <w:spacing w:line="276" w:lineRule="auto"/>
        <w:ind w:left="567" w:right="567" w:firstLine="0"/>
        <w:rPr>
          <w:rFonts w:cs="Arial"/>
          <w:i/>
        </w:rPr>
      </w:pPr>
      <w:r w:rsidRPr="00E06FC2">
        <w:rPr>
          <w:rFonts w:cs="Arial"/>
          <w:i/>
        </w:rPr>
        <w:t xml:space="preserve">“Luminarias, bombillos, arrancadores, condensadores, balastos, soportes, cables, fotoceldas, fotocontroles, transformadores y demás </w:t>
      </w:r>
      <w:r w:rsidRPr="00E06FC2">
        <w:rPr>
          <w:rFonts w:cs="Arial"/>
          <w:i/>
        </w:rPr>
        <w:lastRenderedPageBreak/>
        <w:t xml:space="preserve">accesorios, deberán cumplir con las </w:t>
      </w:r>
      <w:r w:rsidRPr="00E06FC2">
        <w:rPr>
          <w:rFonts w:cs="Arial"/>
          <w:b/>
          <w:i/>
        </w:rPr>
        <w:t>especificaciones técnicas</w:t>
      </w:r>
      <w:r w:rsidRPr="00E06FC2">
        <w:rPr>
          <w:rFonts w:cs="Arial"/>
          <w:i/>
        </w:rPr>
        <w:t xml:space="preserve"> previstas por el Centro de Investigaciones y Desarrollo Tecnológico CIDET.</w:t>
      </w:r>
    </w:p>
    <w:p w14:paraId="5A0E0FE2" w14:textId="77777777" w:rsidR="0085096B" w:rsidRPr="00E06FC2" w:rsidRDefault="0085096B" w:rsidP="00743788">
      <w:pPr>
        <w:pStyle w:val="Lista2"/>
        <w:spacing w:line="276" w:lineRule="auto"/>
        <w:ind w:left="567" w:right="567" w:firstLine="0"/>
        <w:rPr>
          <w:rFonts w:cs="Arial"/>
          <w:i/>
        </w:rPr>
      </w:pPr>
    </w:p>
    <w:p w14:paraId="68843235" w14:textId="77777777" w:rsidR="0085096B" w:rsidRPr="00E06FC2" w:rsidRDefault="0085096B" w:rsidP="00743788">
      <w:pPr>
        <w:pStyle w:val="Lista2"/>
        <w:spacing w:line="276" w:lineRule="auto"/>
        <w:ind w:left="567" w:right="567" w:firstLine="0"/>
        <w:rPr>
          <w:rFonts w:cs="Arial"/>
          <w:i/>
        </w:rPr>
      </w:pPr>
      <w:r w:rsidRPr="00E06FC2">
        <w:rPr>
          <w:rFonts w:cs="Arial"/>
          <w:i/>
        </w:rPr>
        <w:t>“</w:t>
      </w:r>
      <w:r w:rsidRPr="00E06FC2">
        <w:rPr>
          <w:rFonts w:cs="Arial"/>
          <w:b/>
          <w:i/>
        </w:rPr>
        <w:t>En calidad</w:t>
      </w:r>
      <w:r w:rsidRPr="00E06FC2">
        <w:rPr>
          <w:rFonts w:cs="Arial"/>
          <w:i/>
        </w:rPr>
        <w:t xml:space="preserve"> deberán cumplir las normas ICONTEC-NTC-ISO-9004</w:t>
      </w:r>
      <w:r w:rsidR="00F713A8" w:rsidRPr="00E06FC2">
        <w:rPr>
          <w:rFonts w:cs="Arial"/>
          <w:i/>
        </w:rPr>
        <w:t>.</w:t>
      </w:r>
    </w:p>
    <w:p w14:paraId="328704AE" w14:textId="77777777" w:rsidR="0085096B" w:rsidRPr="00E06FC2" w:rsidRDefault="0085096B" w:rsidP="00743788">
      <w:pPr>
        <w:pStyle w:val="Lista2"/>
        <w:spacing w:line="276" w:lineRule="auto"/>
        <w:ind w:left="567" w:right="567" w:firstLine="0"/>
        <w:rPr>
          <w:rFonts w:cs="Arial"/>
          <w:i/>
        </w:rPr>
      </w:pPr>
    </w:p>
    <w:p w14:paraId="00CB507F" w14:textId="77777777" w:rsidR="0085096B" w:rsidRPr="00E06FC2" w:rsidRDefault="0085096B" w:rsidP="00743788">
      <w:pPr>
        <w:pStyle w:val="Lista2"/>
        <w:spacing w:line="276" w:lineRule="auto"/>
        <w:ind w:left="567" w:right="567" w:firstLine="0"/>
        <w:rPr>
          <w:rFonts w:cs="Arial"/>
          <w:i/>
        </w:rPr>
      </w:pPr>
      <w:r w:rsidRPr="00E06FC2">
        <w:rPr>
          <w:rFonts w:cs="Arial"/>
          <w:i/>
        </w:rPr>
        <w:t>“</w:t>
      </w:r>
      <w:r w:rsidRPr="00E06FC2">
        <w:rPr>
          <w:rFonts w:cs="Arial"/>
          <w:b/>
          <w:i/>
        </w:rPr>
        <w:t>La construcción y mantenimiento</w:t>
      </w:r>
      <w:r w:rsidRPr="00E06FC2">
        <w:rPr>
          <w:rFonts w:cs="Arial"/>
          <w:i/>
        </w:rPr>
        <w:t xml:space="preserve"> de redes de alumbrado público, se regirán por las normas de la EPSA y en su defecto por las normas de la Empresa de Energía de Bogotá S.A. E.S.P.</w:t>
      </w:r>
    </w:p>
    <w:p w14:paraId="12DBBDFB" w14:textId="77777777" w:rsidR="0085096B" w:rsidRPr="00E06FC2" w:rsidRDefault="0085096B" w:rsidP="00743788">
      <w:pPr>
        <w:pStyle w:val="Lista2"/>
        <w:spacing w:line="276" w:lineRule="auto"/>
        <w:ind w:left="567" w:right="567" w:firstLine="0"/>
        <w:rPr>
          <w:rFonts w:cs="Arial"/>
          <w:i/>
        </w:rPr>
      </w:pPr>
    </w:p>
    <w:p w14:paraId="1313EF40" w14:textId="77777777" w:rsidR="0085096B" w:rsidRPr="00E06FC2" w:rsidRDefault="0085096B" w:rsidP="00743788">
      <w:pPr>
        <w:pStyle w:val="Lista2"/>
        <w:spacing w:line="276" w:lineRule="auto"/>
        <w:ind w:left="567" w:right="567" w:firstLine="0"/>
        <w:rPr>
          <w:rFonts w:cs="Arial"/>
          <w:i/>
        </w:rPr>
      </w:pPr>
      <w:r w:rsidRPr="00E06FC2">
        <w:rPr>
          <w:rFonts w:cs="Arial"/>
          <w:i/>
        </w:rPr>
        <w:t>“3. Calificación de la CALIDAD DE LOS BIENES en las propuestas alternativas.</w:t>
      </w:r>
    </w:p>
    <w:p w14:paraId="7ECE178A" w14:textId="77777777" w:rsidR="0085096B" w:rsidRPr="00E06FC2" w:rsidRDefault="0085096B" w:rsidP="00743788">
      <w:pPr>
        <w:pStyle w:val="Lista2"/>
        <w:spacing w:line="276" w:lineRule="auto"/>
        <w:ind w:left="567" w:right="567" w:firstLine="0"/>
        <w:rPr>
          <w:rFonts w:cs="Arial"/>
          <w:i/>
        </w:rPr>
      </w:pPr>
    </w:p>
    <w:p w14:paraId="436A14E9" w14:textId="77777777" w:rsidR="0085096B" w:rsidRPr="00E06FC2" w:rsidRDefault="0085096B" w:rsidP="00743788">
      <w:pPr>
        <w:pStyle w:val="Lista2"/>
        <w:spacing w:line="276" w:lineRule="auto"/>
        <w:ind w:left="567" w:right="567" w:firstLine="0"/>
        <w:rPr>
          <w:rFonts w:cs="Arial"/>
          <w:b/>
          <w:i/>
        </w:rPr>
      </w:pPr>
      <w:r w:rsidRPr="00E06FC2">
        <w:rPr>
          <w:rFonts w:cs="Arial"/>
          <w:b/>
          <w:i/>
        </w:rPr>
        <w:t>“Total puntaje asignado: 600 puntos.</w:t>
      </w:r>
    </w:p>
    <w:p w14:paraId="57B115F8" w14:textId="77777777" w:rsidR="0085096B" w:rsidRPr="00E06FC2" w:rsidRDefault="0085096B" w:rsidP="00743788">
      <w:pPr>
        <w:pStyle w:val="Lista2"/>
        <w:spacing w:line="276" w:lineRule="auto"/>
        <w:ind w:left="567" w:right="567" w:firstLine="0"/>
        <w:rPr>
          <w:rFonts w:cs="Arial"/>
          <w:b/>
          <w:i/>
        </w:rPr>
      </w:pPr>
    </w:p>
    <w:p w14:paraId="3FA4B771" w14:textId="77777777" w:rsidR="0085096B" w:rsidRPr="00E06FC2" w:rsidRDefault="0085096B" w:rsidP="00743788">
      <w:pPr>
        <w:pStyle w:val="Lista2"/>
        <w:spacing w:line="276" w:lineRule="auto"/>
        <w:ind w:left="567" w:right="567" w:firstLine="0"/>
        <w:rPr>
          <w:rFonts w:cs="Arial"/>
          <w:i/>
        </w:rPr>
      </w:pPr>
      <w:r w:rsidRPr="00E06FC2">
        <w:rPr>
          <w:rFonts w:cs="Arial"/>
          <w:i/>
        </w:rPr>
        <w:t xml:space="preserve">Se asignará el mayor puntaje a la propuesta alternativa </w:t>
      </w:r>
      <w:r w:rsidRPr="00E06FC2">
        <w:rPr>
          <w:rFonts w:cs="Arial"/>
          <w:b/>
          <w:i/>
        </w:rPr>
        <w:t>cuyos suministros</w:t>
      </w:r>
      <w:r w:rsidRPr="00E06FC2">
        <w:rPr>
          <w:rFonts w:cs="Arial"/>
          <w:i/>
        </w:rPr>
        <w:t xml:space="preserve"> posean sello de calidad nacional o extranjero, restando del total asignado el puntaje correspondiente a cada elemento que no la cumpla, </w:t>
      </w:r>
      <w:r w:rsidRPr="00E06FC2">
        <w:rPr>
          <w:rFonts w:cs="Arial"/>
          <w:b/>
          <w:i/>
        </w:rPr>
        <w:t>de acuerdo con la relación y los puntajes previstos en las págs. 27 y 28, del pliego de condiciones</w:t>
      </w:r>
      <w:r w:rsidRPr="00E06FC2">
        <w:rPr>
          <w:rFonts w:cs="Arial"/>
          <w:i/>
        </w:rPr>
        <w:t xml:space="preserve"> (capítulo VII, numeral 10, Literal A, a) a j)”</w:t>
      </w:r>
      <w:r w:rsidRPr="00E06FC2">
        <w:rPr>
          <w:rStyle w:val="Refdenotaalpie"/>
          <w:rFonts w:cs="Arial"/>
          <w:i/>
        </w:rPr>
        <w:footnoteReference w:id="51"/>
      </w:r>
      <w:r w:rsidRPr="00E06FC2">
        <w:rPr>
          <w:rFonts w:cs="Arial"/>
          <w:i/>
        </w:rPr>
        <w:t>.</w:t>
      </w:r>
    </w:p>
    <w:p w14:paraId="2D1E368E" w14:textId="77777777" w:rsidR="0085096B" w:rsidRPr="00E06FC2" w:rsidRDefault="0085096B" w:rsidP="00743788">
      <w:pPr>
        <w:pStyle w:val="Lista2"/>
        <w:spacing w:line="276" w:lineRule="auto"/>
        <w:ind w:left="567" w:right="567" w:firstLine="0"/>
        <w:rPr>
          <w:rFonts w:cs="Arial"/>
          <w:i/>
        </w:rPr>
      </w:pPr>
    </w:p>
    <w:p w14:paraId="7B1FAA84" w14:textId="77777777" w:rsidR="0085096B" w:rsidRPr="00E06FC2" w:rsidRDefault="0085096B" w:rsidP="00743788">
      <w:pPr>
        <w:pStyle w:val="Lista2"/>
        <w:spacing w:line="276" w:lineRule="auto"/>
        <w:ind w:left="567" w:right="567" w:firstLine="0"/>
        <w:rPr>
          <w:rFonts w:cs="Arial"/>
        </w:rPr>
      </w:pPr>
      <w:r w:rsidRPr="00E06FC2">
        <w:rPr>
          <w:rFonts w:cs="Arial"/>
        </w:rPr>
        <w:t>(La negrilla no es del texto</w:t>
      </w:r>
      <w:r w:rsidR="007853A0" w:rsidRPr="00E06FC2">
        <w:rPr>
          <w:rFonts w:cs="Arial"/>
        </w:rPr>
        <w:t>,</w:t>
      </w:r>
      <w:r w:rsidRPr="00E06FC2">
        <w:rPr>
          <w:rFonts w:cs="Arial"/>
        </w:rPr>
        <w:t xml:space="preserve"> se destaca para el propósito de la interpretación).</w:t>
      </w:r>
    </w:p>
    <w:p w14:paraId="08DD8E5B" w14:textId="77777777" w:rsidR="0085096B" w:rsidRPr="00E06FC2" w:rsidRDefault="0085096B" w:rsidP="00743788">
      <w:pPr>
        <w:pStyle w:val="Lista2"/>
        <w:ind w:left="0" w:firstLine="0"/>
        <w:rPr>
          <w:rFonts w:cs="Arial"/>
        </w:rPr>
      </w:pPr>
    </w:p>
    <w:p w14:paraId="36AAEB09" w14:textId="77777777" w:rsidR="0085096B" w:rsidRPr="00E06FC2" w:rsidRDefault="0085096B" w:rsidP="00743788">
      <w:pPr>
        <w:pStyle w:val="Lista2"/>
        <w:ind w:left="0" w:firstLine="0"/>
        <w:rPr>
          <w:rFonts w:cs="Arial"/>
          <w:bCs/>
          <w:lang w:val="es-MX"/>
        </w:rPr>
      </w:pPr>
      <w:r w:rsidRPr="00E06FC2">
        <w:rPr>
          <w:rFonts w:cs="Arial"/>
        </w:rPr>
        <w:t xml:space="preserve">Los puntajes definidos por el pliego de condiciones en el factor de CALIDAD DE BIENES, invocados a su vez en el </w:t>
      </w:r>
      <w:r w:rsidR="0016327E" w:rsidRPr="00E06FC2">
        <w:rPr>
          <w:rFonts w:cs="Arial"/>
        </w:rPr>
        <w:t>a</w:t>
      </w:r>
      <w:r w:rsidRPr="00E06FC2">
        <w:rPr>
          <w:rFonts w:cs="Arial"/>
        </w:rPr>
        <w:t>dendo 3</w:t>
      </w:r>
      <w:r w:rsidR="00C306E8" w:rsidRPr="00E06FC2">
        <w:rPr>
          <w:rFonts w:cs="Arial"/>
        </w:rPr>
        <w:t xml:space="preserve"> mediante la cita de las páginas 27 y 28</w:t>
      </w:r>
      <w:r w:rsidRPr="00E06FC2">
        <w:rPr>
          <w:rFonts w:cs="Arial"/>
        </w:rPr>
        <w:t xml:space="preserve">, eran </w:t>
      </w:r>
      <w:r w:rsidR="00F713A8" w:rsidRPr="00E06FC2">
        <w:rPr>
          <w:rFonts w:cs="Arial"/>
        </w:rPr>
        <w:t xml:space="preserve">iguales para todas las propuestas, </w:t>
      </w:r>
      <w:r w:rsidR="00DF385B" w:rsidRPr="00E06FC2">
        <w:rPr>
          <w:rFonts w:cs="Arial"/>
        </w:rPr>
        <w:t xml:space="preserve">mediante la calificación de los siguientes elementos: </w:t>
      </w:r>
      <w:r w:rsidR="00C306E8" w:rsidRPr="00E06FC2">
        <w:rPr>
          <w:rFonts w:cs="Arial"/>
          <w:bCs/>
          <w:lang w:val="es-MX"/>
        </w:rPr>
        <w:t xml:space="preserve">a) </w:t>
      </w:r>
      <w:r w:rsidR="00DB1759" w:rsidRPr="00E06FC2">
        <w:rPr>
          <w:rFonts w:cs="Arial"/>
          <w:bCs/>
          <w:lang w:val="es-MX"/>
        </w:rPr>
        <w:t>Carcaza:</w:t>
      </w:r>
      <w:r w:rsidR="00C306E8" w:rsidRPr="00E06FC2">
        <w:rPr>
          <w:rFonts w:cs="Arial"/>
          <w:bCs/>
          <w:lang w:val="es-MX"/>
        </w:rPr>
        <w:t xml:space="preserve"> 150 puntos; b) </w:t>
      </w:r>
      <w:r w:rsidR="00DB1759" w:rsidRPr="00E06FC2">
        <w:rPr>
          <w:rFonts w:cs="Arial"/>
          <w:bCs/>
          <w:lang w:val="es-MX"/>
        </w:rPr>
        <w:t>Conjunto Eléctrico de la Luminaria</w:t>
      </w:r>
      <w:r w:rsidR="00256B05" w:rsidRPr="00E06FC2">
        <w:rPr>
          <w:rFonts w:cs="Arial"/>
          <w:bCs/>
          <w:lang w:val="es-MX"/>
        </w:rPr>
        <w:t xml:space="preserve">: </w:t>
      </w:r>
      <w:r w:rsidR="00C306E8" w:rsidRPr="00E06FC2">
        <w:rPr>
          <w:rFonts w:cs="Arial"/>
          <w:bCs/>
          <w:lang w:val="es-MX"/>
        </w:rPr>
        <w:t>BALASTO</w:t>
      </w:r>
      <w:r w:rsidR="00DB1759" w:rsidRPr="00E06FC2">
        <w:rPr>
          <w:rFonts w:cs="Arial"/>
          <w:bCs/>
          <w:lang w:val="es-MX"/>
        </w:rPr>
        <w:t>:</w:t>
      </w:r>
      <w:r w:rsidR="00C306E8" w:rsidRPr="00E06FC2">
        <w:rPr>
          <w:rFonts w:cs="Arial"/>
          <w:bCs/>
          <w:lang w:val="es-MX"/>
        </w:rPr>
        <w:t xml:space="preserve"> 40 puntos, </w:t>
      </w:r>
      <w:r w:rsidR="00DB1759" w:rsidRPr="00E06FC2">
        <w:rPr>
          <w:rFonts w:cs="Arial"/>
          <w:bCs/>
          <w:lang w:val="es-MX"/>
        </w:rPr>
        <w:t>Arrancador:</w:t>
      </w:r>
      <w:r w:rsidR="00C306E8" w:rsidRPr="00E06FC2">
        <w:rPr>
          <w:rFonts w:cs="Arial"/>
          <w:bCs/>
          <w:lang w:val="es-MX"/>
        </w:rPr>
        <w:t xml:space="preserve"> 20 puntos</w:t>
      </w:r>
      <w:r w:rsidR="00DB1759" w:rsidRPr="00E06FC2">
        <w:rPr>
          <w:rFonts w:cs="Arial"/>
          <w:bCs/>
          <w:lang w:val="es-MX"/>
        </w:rPr>
        <w:t xml:space="preserve"> y</w:t>
      </w:r>
      <w:r w:rsidR="00C306E8" w:rsidRPr="00E06FC2">
        <w:rPr>
          <w:rFonts w:cs="Arial"/>
          <w:bCs/>
          <w:lang w:val="es-MX"/>
        </w:rPr>
        <w:t>,</w:t>
      </w:r>
      <w:r w:rsidR="00E94582" w:rsidRPr="00E06FC2">
        <w:rPr>
          <w:rFonts w:cs="Arial"/>
          <w:bCs/>
          <w:lang w:val="es-MX"/>
        </w:rPr>
        <w:t xml:space="preserve"> </w:t>
      </w:r>
      <w:r w:rsidR="00DB1759" w:rsidRPr="00E06FC2">
        <w:rPr>
          <w:rFonts w:cs="Arial"/>
          <w:bCs/>
          <w:lang w:val="es-MX"/>
        </w:rPr>
        <w:t>Capacitor</w:t>
      </w:r>
      <w:r w:rsidR="00C306E8" w:rsidRPr="00E06FC2">
        <w:rPr>
          <w:rFonts w:cs="Arial"/>
          <w:bCs/>
          <w:lang w:val="es-MX"/>
        </w:rPr>
        <w:t xml:space="preserve">: 20 puntos; c) </w:t>
      </w:r>
      <w:r w:rsidR="00DB1759" w:rsidRPr="00E06FC2">
        <w:rPr>
          <w:rFonts w:cs="Arial"/>
          <w:bCs/>
          <w:lang w:val="es-MX"/>
        </w:rPr>
        <w:t>Reflector:</w:t>
      </w:r>
      <w:r w:rsidR="00C306E8" w:rsidRPr="00E06FC2">
        <w:rPr>
          <w:rFonts w:cs="Arial"/>
          <w:bCs/>
          <w:lang w:val="es-MX"/>
        </w:rPr>
        <w:t xml:space="preserve"> 100 puntos; d) </w:t>
      </w:r>
      <w:r w:rsidR="00DB1759" w:rsidRPr="00E06FC2">
        <w:rPr>
          <w:rFonts w:cs="Arial"/>
          <w:bCs/>
          <w:lang w:val="es-MX"/>
        </w:rPr>
        <w:t>Bombillas</w:t>
      </w:r>
      <w:r w:rsidR="00C306E8" w:rsidRPr="00E06FC2">
        <w:rPr>
          <w:rFonts w:cs="Arial"/>
          <w:bCs/>
          <w:lang w:val="es-MX"/>
        </w:rPr>
        <w:t xml:space="preserve"> 50 puntos; ) </w:t>
      </w:r>
      <w:r w:rsidR="00DB1759" w:rsidRPr="00E06FC2">
        <w:rPr>
          <w:rFonts w:cs="Arial"/>
          <w:bCs/>
          <w:lang w:val="es-MX"/>
        </w:rPr>
        <w:t xml:space="preserve">Hermeticidad </w:t>
      </w:r>
      <w:r w:rsidR="00C306E8" w:rsidRPr="00E06FC2">
        <w:rPr>
          <w:rFonts w:cs="Arial"/>
          <w:bCs/>
          <w:lang w:val="es-MX"/>
        </w:rPr>
        <w:t xml:space="preserve">100 puntos; f) </w:t>
      </w:r>
      <w:r w:rsidR="00DB1759" w:rsidRPr="00E06FC2">
        <w:rPr>
          <w:rFonts w:cs="Arial"/>
          <w:bCs/>
          <w:lang w:val="es-MX"/>
        </w:rPr>
        <w:t>Refractor</w:t>
      </w:r>
      <w:r w:rsidR="00C306E8" w:rsidRPr="00E06FC2">
        <w:rPr>
          <w:rFonts w:cs="Arial"/>
          <w:bCs/>
          <w:lang w:val="es-MX"/>
        </w:rPr>
        <w:t xml:space="preserve"> 50 puntos; g) </w:t>
      </w:r>
      <w:r w:rsidR="00DB1759" w:rsidRPr="00E06FC2">
        <w:rPr>
          <w:rFonts w:cs="Arial"/>
          <w:bCs/>
          <w:lang w:val="es-MX"/>
        </w:rPr>
        <w:t xml:space="preserve">Tornillos y Accesorios </w:t>
      </w:r>
      <w:r w:rsidR="00C306E8" w:rsidRPr="00E06FC2">
        <w:rPr>
          <w:rFonts w:cs="Arial"/>
          <w:bCs/>
          <w:lang w:val="es-MX"/>
        </w:rPr>
        <w:t xml:space="preserve">15 puntos; h) </w:t>
      </w:r>
      <w:r w:rsidR="00DB1759" w:rsidRPr="00E06FC2">
        <w:rPr>
          <w:rFonts w:cs="Arial"/>
          <w:bCs/>
          <w:lang w:val="es-MX"/>
        </w:rPr>
        <w:t>Pintura</w:t>
      </w:r>
      <w:r w:rsidR="00C306E8" w:rsidRPr="00E06FC2">
        <w:rPr>
          <w:rFonts w:cs="Arial"/>
          <w:bCs/>
          <w:lang w:val="es-MX"/>
        </w:rPr>
        <w:t xml:space="preserve">  20 puntos; i) </w:t>
      </w:r>
      <w:r w:rsidR="00DB1759" w:rsidRPr="00E06FC2">
        <w:rPr>
          <w:rFonts w:cs="Arial"/>
          <w:bCs/>
          <w:lang w:val="es-MX"/>
        </w:rPr>
        <w:t>Conexiones:</w:t>
      </w:r>
      <w:r w:rsidR="00C306E8" w:rsidRPr="00E06FC2">
        <w:rPr>
          <w:rFonts w:cs="Arial"/>
          <w:bCs/>
          <w:lang w:val="es-MX"/>
        </w:rPr>
        <w:t xml:space="preserve"> 15 puntos; j) </w:t>
      </w:r>
      <w:r w:rsidR="00DB1759" w:rsidRPr="00E06FC2">
        <w:rPr>
          <w:rFonts w:cs="Arial"/>
          <w:bCs/>
          <w:lang w:val="es-MX"/>
        </w:rPr>
        <w:t>Fotocelda</w:t>
      </w:r>
      <w:r w:rsidR="00B13C97" w:rsidRPr="00E06FC2">
        <w:rPr>
          <w:rFonts w:cs="Arial"/>
          <w:bCs/>
          <w:lang w:val="es-MX"/>
        </w:rPr>
        <w:t>:</w:t>
      </w:r>
      <w:r w:rsidR="00DB1759" w:rsidRPr="00E06FC2">
        <w:rPr>
          <w:rFonts w:cs="Arial"/>
          <w:bCs/>
          <w:lang w:val="es-MX"/>
        </w:rPr>
        <w:t xml:space="preserve"> </w:t>
      </w:r>
      <w:r w:rsidR="00C306E8" w:rsidRPr="00E06FC2">
        <w:rPr>
          <w:rFonts w:cs="Arial"/>
          <w:bCs/>
          <w:lang w:val="es-MX"/>
        </w:rPr>
        <w:t>20 puntos</w:t>
      </w:r>
      <w:r w:rsidR="00870751" w:rsidRPr="00E06FC2">
        <w:rPr>
          <w:rFonts w:cs="Arial"/>
          <w:bCs/>
          <w:lang w:val="es-MX"/>
        </w:rPr>
        <w:t>. Como consecuencia</w:t>
      </w:r>
      <w:r w:rsidR="00B13C97" w:rsidRPr="00E06FC2">
        <w:rPr>
          <w:rFonts w:cs="Arial"/>
          <w:bCs/>
          <w:lang w:val="es-MX"/>
        </w:rPr>
        <w:t>,</w:t>
      </w:r>
      <w:r w:rsidR="00870751" w:rsidRPr="00E06FC2">
        <w:rPr>
          <w:rFonts w:cs="Arial"/>
          <w:bCs/>
          <w:lang w:val="es-MX"/>
        </w:rPr>
        <w:t xml:space="preserve"> el puntaje total posible</w:t>
      </w:r>
      <w:r w:rsidR="006C3862" w:rsidRPr="00E06FC2">
        <w:rPr>
          <w:rFonts w:cs="Arial"/>
          <w:bCs/>
          <w:lang w:val="es-MX"/>
        </w:rPr>
        <w:t>, con fundamento en los mismos bienes exigidos para todas las propuestas, e</w:t>
      </w:r>
      <w:r w:rsidR="00870751" w:rsidRPr="00E06FC2">
        <w:rPr>
          <w:rFonts w:cs="Arial"/>
          <w:bCs/>
          <w:lang w:val="es-MX"/>
        </w:rPr>
        <w:t>n este factor</w:t>
      </w:r>
      <w:r w:rsidR="006C3862" w:rsidRPr="00E06FC2">
        <w:rPr>
          <w:rFonts w:cs="Arial"/>
          <w:bCs/>
          <w:lang w:val="es-MX"/>
        </w:rPr>
        <w:t>,</w:t>
      </w:r>
      <w:r w:rsidR="00870751" w:rsidRPr="00E06FC2">
        <w:rPr>
          <w:rFonts w:cs="Arial"/>
          <w:bCs/>
          <w:lang w:val="es-MX"/>
        </w:rPr>
        <w:t xml:space="preserve"> fue de </w:t>
      </w:r>
      <w:r w:rsidR="00C306E8" w:rsidRPr="00E06FC2">
        <w:rPr>
          <w:rFonts w:cs="Arial"/>
          <w:bCs/>
          <w:lang w:val="es-MX"/>
        </w:rPr>
        <w:t>600 puntos.</w:t>
      </w:r>
    </w:p>
    <w:p w14:paraId="56079807" w14:textId="77777777" w:rsidR="00AC2AD8" w:rsidRPr="00E06FC2" w:rsidRDefault="00AC2AD8" w:rsidP="00743788">
      <w:pPr>
        <w:pStyle w:val="Lista2"/>
        <w:ind w:left="0" w:firstLine="0"/>
        <w:rPr>
          <w:rFonts w:cs="Arial"/>
        </w:rPr>
      </w:pPr>
    </w:p>
    <w:p w14:paraId="7C6023A0" w14:textId="77777777" w:rsidR="00441217" w:rsidRPr="00E06FC2" w:rsidRDefault="00B1465B" w:rsidP="00743788">
      <w:pPr>
        <w:pStyle w:val="Lista2"/>
        <w:ind w:left="0" w:firstLine="0"/>
        <w:rPr>
          <w:rFonts w:cs="Arial"/>
        </w:rPr>
      </w:pPr>
      <w:r w:rsidRPr="00E06FC2">
        <w:rPr>
          <w:rFonts w:cs="Arial"/>
        </w:rPr>
        <w:t>En e</w:t>
      </w:r>
      <w:r w:rsidR="000F1153" w:rsidRPr="00E06FC2">
        <w:rPr>
          <w:rFonts w:cs="Arial"/>
        </w:rPr>
        <w:t>l aspecto de las especificaciones de los componentes</w:t>
      </w:r>
      <w:r w:rsidR="00CB20E8" w:rsidRPr="00E06FC2">
        <w:rPr>
          <w:rFonts w:cs="Arial"/>
        </w:rPr>
        <w:t xml:space="preserve"> que se acaban de relacionar</w:t>
      </w:r>
      <w:r w:rsidR="000F1153" w:rsidRPr="00E06FC2">
        <w:rPr>
          <w:rFonts w:cs="Arial"/>
        </w:rPr>
        <w:t xml:space="preserve">, </w:t>
      </w:r>
      <w:r w:rsidRPr="00E06FC2">
        <w:rPr>
          <w:rFonts w:cs="Arial"/>
        </w:rPr>
        <w:t>es importante observar que</w:t>
      </w:r>
      <w:r w:rsidR="00B259B7" w:rsidRPr="00E06FC2">
        <w:rPr>
          <w:rFonts w:cs="Arial"/>
        </w:rPr>
        <w:t>-</w:t>
      </w:r>
      <w:r w:rsidRPr="00E06FC2">
        <w:rPr>
          <w:rFonts w:cs="Arial"/>
        </w:rPr>
        <w:t xml:space="preserve"> </w:t>
      </w:r>
      <w:r w:rsidR="004169D5" w:rsidRPr="00E06FC2">
        <w:rPr>
          <w:rFonts w:cs="Arial"/>
        </w:rPr>
        <w:t xml:space="preserve">de acuerdo con </w:t>
      </w:r>
      <w:r w:rsidR="00D23F56" w:rsidRPr="00E06FC2">
        <w:rPr>
          <w:rFonts w:cs="Arial"/>
        </w:rPr>
        <w:t xml:space="preserve">los </w:t>
      </w:r>
      <w:r w:rsidR="004169D5" w:rsidRPr="00E06FC2">
        <w:rPr>
          <w:rFonts w:cs="Arial"/>
        </w:rPr>
        <w:t xml:space="preserve">documentos que se allegaron como parte de los </w:t>
      </w:r>
      <w:r w:rsidR="00D23F56" w:rsidRPr="00E06FC2">
        <w:rPr>
          <w:rFonts w:cs="Arial"/>
        </w:rPr>
        <w:t>estudios previos</w:t>
      </w:r>
      <w:r w:rsidR="00B259B7" w:rsidRPr="00E06FC2">
        <w:rPr>
          <w:rFonts w:cs="Arial"/>
        </w:rPr>
        <w:t>-</w:t>
      </w:r>
      <w:r w:rsidR="00D23F56" w:rsidRPr="00E06FC2">
        <w:rPr>
          <w:rFonts w:cs="Arial"/>
        </w:rPr>
        <w:t xml:space="preserve"> no existi</w:t>
      </w:r>
      <w:r w:rsidR="00CB20E8" w:rsidRPr="00E06FC2">
        <w:rPr>
          <w:rFonts w:cs="Arial"/>
        </w:rPr>
        <w:t xml:space="preserve">eron </w:t>
      </w:r>
      <w:r w:rsidR="00D23F56" w:rsidRPr="00E06FC2">
        <w:rPr>
          <w:rFonts w:cs="Arial"/>
        </w:rPr>
        <w:t xml:space="preserve">especificaciones </w:t>
      </w:r>
      <w:r w:rsidR="00CB20E8" w:rsidRPr="00E06FC2">
        <w:rPr>
          <w:rFonts w:cs="Arial"/>
        </w:rPr>
        <w:t xml:space="preserve">obligatorias para </w:t>
      </w:r>
      <w:r w:rsidR="00D23F56" w:rsidRPr="00E06FC2">
        <w:rPr>
          <w:rFonts w:cs="Arial"/>
        </w:rPr>
        <w:t>cada componente</w:t>
      </w:r>
      <w:r w:rsidR="006C3862" w:rsidRPr="00E06FC2">
        <w:rPr>
          <w:rFonts w:cs="Arial"/>
        </w:rPr>
        <w:t xml:space="preserve">. </w:t>
      </w:r>
      <w:r w:rsidR="00CB20E8" w:rsidRPr="00E06FC2">
        <w:rPr>
          <w:rFonts w:cs="Arial"/>
        </w:rPr>
        <w:t>D</w:t>
      </w:r>
      <w:r w:rsidR="00D23F56" w:rsidRPr="00E06FC2">
        <w:rPr>
          <w:rFonts w:cs="Arial"/>
        </w:rPr>
        <w:t xml:space="preserve">e </w:t>
      </w:r>
      <w:r w:rsidR="00B259B7" w:rsidRPr="00E06FC2">
        <w:rPr>
          <w:rFonts w:cs="Arial"/>
        </w:rPr>
        <w:t>conformidad</w:t>
      </w:r>
      <w:r w:rsidR="00D23F56" w:rsidRPr="00E06FC2">
        <w:rPr>
          <w:rFonts w:cs="Arial"/>
        </w:rPr>
        <w:t xml:space="preserve"> con los </w:t>
      </w:r>
      <w:r w:rsidR="004169D5" w:rsidRPr="00E06FC2">
        <w:rPr>
          <w:rFonts w:cs="Arial"/>
        </w:rPr>
        <w:t xml:space="preserve">referidos </w:t>
      </w:r>
      <w:r w:rsidR="00D23F56" w:rsidRPr="00E06FC2">
        <w:rPr>
          <w:rFonts w:cs="Arial"/>
        </w:rPr>
        <w:t xml:space="preserve">documentos </w:t>
      </w:r>
      <w:r w:rsidR="00D23F56" w:rsidRPr="00E06FC2">
        <w:rPr>
          <w:rFonts w:cs="Arial"/>
        </w:rPr>
        <w:lastRenderedPageBreak/>
        <w:t xml:space="preserve">se observa que </w:t>
      </w:r>
      <w:r w:rsidR="00260A70" w:rsidRPr="00E06FC2">
        <w:rPr>
          <w:rFonts w:cs="Arial"/>
        </w:rPr>
        <w:t xml:space="preserve">el municipio </w:t>
      </w:r>
      <w:r w:rsidR="00D23F56" w:rsidRPr="00E06FC2">
        <w:rPr>
          <w:rFonts w:cs="Arial"/>
        </w:rPr>
        <w:t xml:space="preserve">siguió </w:t>
      </w:r>
      <w:r w:rsidR="00260A70" w:rsidRPr="00E06FC2">
        <w:rPr>
          <w:rFonts w:cs="Arial"/>
        </w:rPr>
        <w:t xml:space="preserve">la directiva </w:t>
      </w:r>
      <w:r w:rsidR="00BE245A" w:rsidRPr="00E06FC2">
        <w:rPr>
          <w:rFonts w:cs="Arial"/>
        </w:rPr>
        <w:t>ministerial</w:t>
      </w:r>
      <w:r w:rsidR="00130AE8" w:rsidRPr="00E06FC2">
        <w:rPr>
          <w:rStyle w:val="Refdenotaalpie"/>
          <w:rFonts w:cs="Arial"/>
        </w:rPr>
        <w:footnoteReference w:id="52"/>
      </w:r>
      <w:r w:rsidR="00BE245A" w:rsidRPr="00E06FC2">
        <w:rPr>
          <w:rFonts w:cs="Arial"/>
        </w:rPr>
        <w:t xml:space="preserve"> que recomendó la sustitución </w:t>
      </w:r>
      <w:r w:rsidR="00AE6E02" w:rsidRPr="00E06FC2">
        <w:rPr>
          <w:rFonts w:cs="Arial"/>
        </w:rPr>
        <w:t xml:space="preserve">de las bombillas de mercurio </w:t>
      </w:r>
      <w:r w:rsidR="00BE245A" w:rsidRPr="00E06FC2">
        <w:rPr>
          <w:rFonts w:cs="Arial"/>
        </w:rPr>
        <w:t>hacia la tecnología de sodio y</w:t>
      </w:r>
      <w:r w:rsidR="00A94455" w:rsidRPr="00E06FC2">
        <w:rPr>
          <w:rFonts w:cs="Arial"/>
        </w:rPr>
        <w:t>,</w:t>
      </w:r>
      <w:r w:rsidR="00BE245A" w:rsidRPr="00E06FC2">
        <w:rPr>
          <w:rFonts w:cs="Arial"/>
        </w:rPr>
        <w:t xml:space="preserve"> </w:t>
      </w:r>
      <w:r w:rsidR="002B3E92" w:rsidRPr="00E06FC2">
        <w:rPr>
          <w:rFonts w:cs="Arial"/>
        </w:rPr>
        <w:t>también</w:t>
      </w:r>
      <w:r w:rsidR="00904928" w:rsidRPr="00E06FC2">
        <w:rPr>
          <w:rFonts w:cs="Arial"/>
        </w:rPr>
        <w:t>,</w:t>
      </w:r>
      <w:r w:rsidR="002B3E92" w:rsidRPr="00E06FC2">
        <w:rPr>
          <w:rFonts w:cs="Arial"/>
        </w:rPr>
        <w:t xml:space="preserve"> se </w:t>
      </w:r>
      <w:r w:rsidR="00D23F56" w:rsidRPr="00E06FC2">
        <w:rPr>
          <w:rFonts w:cs="Arial"/>
        </w:rPr>
        <w:t>entiende que</w:t>
      </w:r>
      <w:r w:rsidR="00327007" w:rsidRPr="00E06FC2">
        <w:rPr>
          <w:rFonts w:cs="Arial"/>
        </w:rPr>
        <w:t xml:space="preserve"> </w:t>
      </w:r>
      <w:r w:rsidR="002B3E92" w:rsidRPr="00E06FC2">
        <w:rPr>
          <w:rFonts w:cs="Arial"/>
        </w:rPr>
        <w:t>acog</w:t>
      </w:r>
      <w:r w:rsidR="00D23F56" w:rsidRPr="00E06FC2">
        <w:rPr>
          <w:rFonts w:cs="Arial"/>
        </w:rPr>
        <w:t xml:space="preserve">ió </w:t>
      </w:r>
      <w:r w:rsidR="002B3E92" w:rsidRPr="00E06FC2">
        <w:rPr>
          <w:rFonts w:cs="Arial"/>
        </w:rPr>
        <w:t>la Resolución CREG 043</w:t>
      </w:r>
      <w:r w:rsidR="00BE245A" w:rsidRPr="00E06FC2">
        <w:rPr>
          <w:rFonts w:cs="Arial"/>
        </w:rPr>
        <w:t xml:space="preserve"> </w:t>
      </w:r>
      <w:r w:rsidR="002B3E92" w:rsidRPr="00E06FC2">
        <w:rPr>
          <w:rFonts w:cs="Arial"/>
        </w:rPr>
        <w:t>de 1995</w:t>
      </w:r>
      <w:r w:rsidR="002B3E92" w:rsidRPr="00E06FC2">
        <w:rPr>
          <w:rStyle w:val="Refdenotaalpie"/>
          <w:rFonts w:cs="Arial"/>
        </w:rPr>
        <w:footnoteReference w:id="53"/>
      </w:r>
      <w:r w:rsidR="002B3E92" w:rsidRPr="00E06FC2">
        <w:rPr>
          <w:rFonts w:cs="Arial"/>
        </w:rPr>
        <w:t xml:space="preserve">, </w:t>
      </w:r>
      <w:r w:rsidR="00904928" w:rsidRPr="00E06FC2">
        <w:rPr>
          <w:rFonts w:cs="Arial"/>
        </w:rPr>
        <w:t xml:space="preserve">en la cual se estableció que </w:t>
      </w:r>
      <w:r w:rsidR="00441217" w:rsidRPr="00E06FC2">
        <w:rPr>
          <w:rFonts w:cs="Arial"/>
        </w:rPr>
        <w:t xml:space="preserve">los municipios eran los responsables del mantenimiento de los postes, redes “(….) </w:t>
      </w:r>
      <w:r w:rsidR="00441217" w:rsidRPr="00E06FC2">
        <w:rPr>
          <w:rFonts w:cs="Arial"/>
          <w:i/>
        </w:rPr>
        <w:t>luminarias y</w:t>
      </w:r>
      <w:r w:rsidR="00441217" w:rsidRPr="00E06FC2">
        <w:rPr>
          <w:rFonts w:cs="Arial"/>
        </w:rPr>
        <w:t xml:space="preserve"> </w:t>
      </w:r>
      <w:r w:rsidR="000E2FCE" w:rsidRPr="00E06FC2">
        <w:rPr>
          <w:rFonts w:cs="Arial"/>
          <w:i/>
        </w:rPr>
        <w:t>demás elementos destinados a la prestación de servicio de alumbrado público</w:t>
      </w:r>
      <w:r w:rsidR="00CB79ED" w:rsidRPr="00E06FC2">
        <w:rPr>
          <w:rFonts w:cs="Arial"/>
          <w:i/>
        </w:rPr>
        <w:t>”</w:t>
      </w:r>
      <w:r w:rsidR="008B25F9" w:rsidRPr="00E06FC2">
        <w:rPr>
          <w:rFonts w:cs="Arial"/>
          <w:i/>
        </w:rPr>
        <w:t xml:space="preserve">, para lo cual </w:t>
      </w:r>
      <w:r w:rsidR="00CB79ED" w:rsidRPr="00E06FC2">
        <w:rPr>
          <w:rFonts w:cs="Arial"/>
        </w:rPr>
        <w:t xml:space="preserve">podían celebrar contratos o convenios, </w:t>
      </w:r>
      <w:r w:rsidR="00904928" w:rsidRPr="00E06FC2">
        <w:rPr>
          <w:rFonts w:cs="Arial"/>
        </w:rPr>
        <w:t>de conformidad con la aludida resolución</w:t>
      </w:r>
      <w:r w:rsidR="008B25F9" w:rsidRPr="00E06FC2">
        <w:rPr>
          <w:rFonts w:cs="Arial"/>
        </w:rPr>
        <w:t>, siendo imperativo respecto de</w:t>
      </w:r>
      <w:r w:rsidR="00D23F56" w:rsidRPr="00E06FC2">
        <w:rPr>
          <w:rFonts w:cs="Arial"/>
        </w:rPr>
        <w:t xml:space="preserve"> tales </w:t>
      </w:r>
      <w:r w:rsidR="004169D5" w:rsidRPr="00E06FC2">
        <w:rPr>
          <w:rFonts w:cs="Arial"/>
        </w:rPr>
        <w:t>elementos</w:t>
      </w:r>
      <w:r w:rsidR="000E2FCE" w:rsidRPr="00E06FC2">
        <w:rPr>
          <w:rFonts w:cs="Arial"/>
          <w:i/>
        </w:rPr>
        <w:t xml:space="preserve"> </w:t>
      </w:r>
      <w:r w:rsidR="008B25F9" w:rsidRPr="00E06FC2">
        <w:rPr>
          <w:rFonts w:cs="Arial"/>
          <w:i/>
        </w:rPr>
        <w:t>“</w:t>
      </w:r>
      <w:r w:rsidR="000E2FCE" w:rsidRPr="00E06FC2">
        <w:rPr>
          <w:rFonts w:cs="Arial"/>
          <w:i/>
        </w:rPr>
        <w:t xml:space="preserve">tener en cuenta la norma técnica </w:t>
      </w:r>
      <w:r w:rsidR="00441217" w:rsidRPr="00E06FC2">
        <w:rPr>
          <w:rFonts w:cs="Arial"/>
          <w:i/>
        </w:rPr>
        <w:t>colombiana correspondiente”</w:t>
      </w:r>
      <w:r w:rsidR="00900C38" w:rsidRPr="00E06FC2">
        <w:rPr>
          <w:rStyle w:val="Refdenotaalpie"/>
          <w:rFonts w:cs="Arial"/>
          <w:i/>
        </w:rPr>
        <w:footnoteReference w:id="54"/>
      </w:r>
      <w:r w:rsidR="00CB79ED" w:rsidRPr="00E06FC2">
        <w:rPr>
          <w:rFonts w:cs="Arial"/>
          <w:i/>
        </w:rPr>
        <w:t>.</w:t>
      </w:r>
    </w:p>
    <w:p w14:paraId="0F439E39" w14:textId="77777777" w:rsidR="00441217" w:rsidRPr="00E06FC2" w:rsidRDefault="00441217" w:rsidP="00743788">
      <w:pPr>
        <w:pStyle w:val="Lista2"/>
        <w:ind w:left="0" w:firstLine="0"/>
        <w:rPr>
          <w:rFonts w:cs="Arial"/>
        </w:rPr>
      </w:pPr>
    </w:p>
    <w:p w14:paraId="3019B62B" w14:textId="77777777" w:rsidR="00302E95" w:rsidRPr="00E06FC2" w:rsidRDefault="0085096B" w:rsidP="00743788">
      <w:pPr>
        <w:pStyle w:val="Lista2"/>
        <w:ind w:left="0" w:firstLine="0"/>
        <w:rPr>
          <w:rFonts w:cs="Arial"/>
        </w:rPr>
      </w:pPr>
      <w:r w:rsidRPr="00E06FC2">
        <w:rPr>
          <w:rFonts w:cs="Arial"/>
        </w:rPr>
        <w:t>Con fundamento en lo anterior se concluye que la denominada propuesta alternativa</w:t>
      </w:r>
      <w:r w:rsidR="00327007" w:rsidRPr="00E06FC2">
        <w:rPr>
          <w:rFonts w:cs="Arial"/>
        </w:rPr>
        <w:t xml:space="preserve"> dentro de la Licitación Pública 01 de 1997, </w:t>
      </w:r>
      <w:r w:rsidR="00D829D5" w:rsidRPr="00E06FC2">
        <w:rPr>
          <w:rFonts w:cs="Arial"/>
        </w:rPr>
        <w:t xml:space="preserve">en realidad quedó referida a una propuesta básica en </w:t>
      </w:r>
      <w:r w:rsidRPr="00E06FC2">
        <w:rPr>
          <w:rFonts w:cs="Arial"/>
        </w:rPr>
        <w:t xml:space="preserve">la que se </w:t>
      </w:r>
      <w:r w:rsidR="000B19A7" w:rsidRPr="00E06FC2">
        <w:rPr>
          <w:rFonts w:cs="Arial"/>
        </w:rPr>
        <w:t xml:space="preserve">debían </w:t>
      </w:r>
      <w:r w:rsidRPr="00E06FC2">
        <w:rPr>
          <w:rFonts w:cs="Arial"/>
        </w:rPr>
        <w:t>ofrec</w:t>
      </w:r>
      <w:r w:rsidR="00E94582" w:rsidRPr="00E06FC2">
        <w:rPr>
          <w:rFonts w:cs="Arial"/>
        </w:rPr>
        <w:t xml:space="preserve">er </w:t>
      </w:r>
      <w:r w:rsidR="00327007" w:rsidRPr="00E06FC2">
        <w:rPr>
          <w:rFonts w:cs="Arial"/>
        </w:rPr>
        <w:t>todos los elementos re</w:t>
      </w:r>
      <w:r w:rsidR="007105DB" w:rsidRPr="00E06FC2">
        <w:rPr>
          <w:rFonts w:cs="Arial"/>
        </w:rPr>
        <w:t xml:space="preserve">lacionados </w:t>
      </w:r>
      <w:r w:rsidR="00327007" w:rsidRPr="00E06FC2">
        <w:rPr>
          <w:rFonts w:cs="Arial"/>
        </w:rPr>
        <w:t>en el pliego de condiciones</w:t>
      </w:r>
      <w:r w:rsidR="004B0E2B" w:rsidRPr="00E06FC2">
        <w:rPr>
          <w:rFonts w:cs="Arial"/>
        </w:rPr>
        <w:t xml:space="preserve"> </w:t>
      </w:r>
      <w:r w:rsidR="006A3DC4" w:rsidRPr="00E06FC2">
        <w:rPr>
          <w:rFonts w:cs="Arial"/>
        </w:rPr>
        <w:t xml:space="preserve">con indicación de </w:t>
      </w:r>
      <w:r w:rsidR="004B0E2B" w:rsidRPr="00E06FC2">
        <w:rPr>
          <w:rFonts w:cs="Arial"/>
        </w:rPr>
        <w:t xml:space="preserve">las </w:t>
      </w:r>
      <w:r w:rsidRPr="00E06FC2">
        <w:rPr>
          <w:rFonts w:cs="Arial"/>
        </w:rPr>
        <w:t>especificaciones técnicas</w:t>
      </w:r>
      <w:r w:rsidR="00B86688" w:rsidRPr="00E06FC2">
        <w:rPr>
          <w:rFonts w:cs="Arial"/>
        </w:rPr>
        <w:t xml:space="preserve">, </w:t>
      </w:r>
      <w:r w:rsidR="00CB20E8" w:rsidRPr="00E06FC2">
        <w:rPr>
          <w:rFonts w:cs="Arial"/>
        </w:rPr>
        <w:t xml:space="preserve">empero, estas últimas </w:t>
      </w:r>
      <w:r w:rsidR="00AD5B80" w:rsidRPr="00E06FC2">
        <w:rPr>
          <w:rFonts w:cs="Arial"/>
        </w:rPr>
        <w:t xml:space="preserve">no quedaron cerradas a las </w:t>
      </w:r>
      <w:r w:rsidR="00B033E4" w:rsidRPr="00E06FC2">
        <w:rPr>
          <w:rFonts w:cs="Arial"/>
        </w:rPr>
        <w:t xml:space="preserve">que fueron </w:t>
      </w:r>
      <w:r w:rsidR="00AD5B80" w:rsidRPr="00E06FC2">
        <w:rPr>
          <w:rFonts w:cs="Arial"/>
        </w:rPr>
        <w:t>descritas inicialmente</w:t>
      </w:r>
      <w:r w:rsidR="00302E95" w:rsidRPr="00E06FC2">
        <w:rPr>
          <w:rFonts w:cs="Arial"/>
        </w:rPr>
        <w:t xml:space="preserve"> en e</w:t>
      </w:r>
      <w:r w:rsidR="00AD5B80" w:rsidRPr="00E06FC2">
        <w:rPr>
          <w:rFonts w:cs="Arial"/>
        </w:rPr>
        <w:t>l pliego de condiciones</w:t>
      </w:r>
      <w:r w:rsidR="00302E95" w:rsidRPr="00E06FC2">
        <w:rPr>
          <w:rFonts w:cs="Arial"/>
        </w:rPr>
        <w:t xml:space="preserve">. </w:t>
      </w:r>
    </w:p>
    <w:p w14:paraId="656E51B5" w14:textId="77777777" w:rsidR="00302E95" w:rsidRPr="00E06FC2" w:rsidRDefault="00302E95" w:rsidP="00743788">
      <w:pPr>
        <w:pStyle w:val="Lista2"/>
        <w:ind w:left="0" w:firstLine="0"/>
        <w:rPr>
          <w:rFonts w:cs="Arial"/>
        </w:rPr>
      </w:pPr>
    </w:p>
    <w:p w14:paraId="54416E89" w14:textId="77777777" w:rsidR="0085096B" w:rsidRPr="00E06FC2" w:rsidRDefault="00302E95" w:rsidP="00743788">
      <w:pPr>
        <w:pStyle w:val="Lista2"/>
        <w:ind w:left="0" w:firstLine="0"/>
        <w:rPr>
          <w:rFonts w:cs="Arial"/>
        </w:rPr>
      </w:pPr>
      <w:r w:rsidRPr="00E06FC2">
        <w:rPr>
          <w:rFonts w:cs="Arial"/>
        </w:rPr>
        <w:t>E</w:t>
      </w:r>
      <w:r w:rsidR="004B0E2B" w:rsidRPr="00E06FC2">
        <w:rPr>
          <w:rFonts w:cs="Arial"/>
        </w:rPr>
        <w:t>l adendo 3</w:t>
      </w:r>
      <w:r w:rsidR="006A3DC4" w:rsidRPr="00E06FC2">
        <w:rPr>
          <w:rFonts w:cs="Arial"/>
        </w:rPr>
        <w:t xml:space="preserve">, se debe leer en el sentido </w:t>
      </w:r>
      <w:r w:rsidRPr="00E06FC2">
        <w:rPr>
          <w:rFonts w:cs="Arial"/>
        </w:rPr>
        <w:t xml:space="preserve">concordante con </w:t>
      </w:r>
      <w:r w:rsidR="006A3DC4" w:rsidRPr="00E06FC2">
        <w:rPr>
          <w:rFonts w:cs="Arial"/>
        </w:rPr>
        <w:t>l</w:t>
      </w:r>
      <w:r w:rsidR="00E42EAE" w:rsidRPr="00E06FC2">
        <w:rPr>
          <w:rFonts w:cs="Arial"/>
        </w:rPr>
        <w:t>os estudios del Ministerio de Minas y Energía y l</w:t>
      </w:r>
      <w:r w:rsidR="006A3DC4" w:rsidRPr="00E06FC2">
        <w:rPr>
          <w:rFonts w:cs="Arial"/>
        </w:rPr>
        <w:t xml:space="preserve">a Resolución CREG 043 de 1995, </w:t>
      </w:r>
      <w:r w:rsidR="00163343" w:rsidRPr="00E06FC2">
        <w:rPr>
          <w:rFonts w:cs="Arial"/>
        </w:rPr>
        <w:t xml:space="preserve">en el aspecto de las normas técnicas, </w:t>
      </w:r>
      <w:r w:rsidR="006A3DC4" w:rsidRPr="00E06FC2">
        <w:rPr>
          <w:rFonts w:cs="Arial"/>
        </w:rPr>
        <w:t>es decir</w:t>
      </w:r>
      <w:r w:rsidR="00B86688" w:rsidRPr="00E06FC2">
        <w:rPr>
          <w:rFonts w:cs="Arial"/>
        </w:rPr>
        <w:t xml:space="preserve">, dando cabida </w:t>
      </w:r>
      <w:r w:rsidR="006A3DC4" w:rsidRPr="00E06FC2">
        <w:rPr>
          <w:rFonts w:cs="Arial"/>
        </w:rPr>
        <w:t>a</w:t>
      </w:r>
      <w:r w:rsidR="00B033E4" w:rsidRPr="00E06FC2">
        <w:rPr>
          <w:rFonts w:cs="Arial"/>
        </w:rPr>
        <w:t>l requerimiento de ofrecer las nuevas bombillas de sodio, pero permitiendo</w:t>
      </w:r>
      <w:r w:rsidR="00E42EAE" w:rsidRPr="00E06FC2">
        <w:rPr>
          <w:rFonts w:cs="Arial"/>
        </w:rPr>
        <w:t xml:space="preserve">, en toda propuesta, </w:t>
      </w:r>
      <w:r w:rsidR="00B033E4" w:rsidRPr="00E06FC2">
        <w:rPr>
          <w:rFonts w:cs="Arial"/>
        </w:rPr>
        <w:t xml:space="preserve">las </w:t>
      </w:r>
      <w:r w:rsidR="00B86688" w:rsidRPr="00E06FC2">
        <w:rPr>
          <w:rFonts w:cs="Arial"/>
        </w:rPr>
        <w:t xml:space="preserve">diversas </w:t>
      </w:r>
      <w:r w:rsidR="006A3DC4" w:rsidRPr="00E06FC2">
        <w:rPr>
          <w:rFonts w:cs="Arial"/>
        </w:rPr>
        <w:t xml:space="preserve">alternativas </w:t>
      </w:r>
      <w:r w:rsidR="00B04850" w:rsidRPr="00E06FC2">
        <w:rPr>
          <w:rFonts w:cs="Arial"/>
        </w:rPr>
        <w:t>en</w:t>
      </w:r>
      <w:r w:rsidR="00B86688" w:rsidRPr="00E06FC2">
        <w:rPr>
          <w:rFonts w:cs="Arial"/>
        </w:rPr>
        <w:t xml:space="preserve"> las especificaciones</w:t>
      </w:r>
      <w:r w:rsidR="00593C0C" w:rsidRPr="00E06FC2">
        <w:rPr>
          <w:rFonts w:cs="Arial"/>
        </w:rPr>
        <w:t xml:space="preserve">, siempre </w:t>
      </w:r>
      <w:r w:rsidR="006A3DC4" w:rsidRPr="00E06FC2">
        <w:rPr>
          <w:rFonts w:cs="Arial"/>
        </w:rPr>
        <w:t>que cumplieran con las normas técnicas colombianas</w:t>
      </w:r>
      <w:r w:rsidR="00E42EAE" w:rsidRPr="00E06FC2">
        <w:rPr>
          <w:rStyle w:val="Refdenotaalpie"/>
          <w:rFonts w:cs="Arial"/>
        </w:rPr>
        <w:footnoteReference w:id="55"/>
      </w:r>
      <w:r w:rsidR="004B0E2B" w:rsidRPr="00E06FC2">
        <w:rPr>
          <w:rFonts w:cs="Arial"/>
        </w:rPr>
        <w:t xml:space="preserve">. </w:t>
      </w:r>
    </w:p>
    <w:p w14:paraId="6D3A592E" w14:textId="77777777" w:rsidR="004B0E2B" w:rsidRPr="00E06FC2" w:rsidRDefault="004B0E2B" w:rsidP="00743788">
      <w:pPr>
        <w:pStyle w:val="Lista2"/>
        <w:ind w:left="0" w:firstLine="0"/>
        <w:rPr>
          <w:rFonts w:cs="Arial"/>
        </w:rPr>
      </w:pPr>
    </w:p>
    <w:p w14:paraId="727C2AA0" w14:textId="77777777" w:rsidR="008C03FC" w:rsidRPr="00E06FC2" w:rsidRDefault="00B86688" w:rsidP="00743788">
      <w:pPr>
        <w:pStyle w:val="Lista2"/>
        <w:ind w:left="0" w:firstLine="0"/>
        <w:rPr>
          <w:rFonts w:cs="Arial"/>
        </w:rPr>
      </w:pPr>
      <w:r w:rsidRPr="00E06FC2">
        <w:rPr>
          <w:rFonts w:cs="Arial"/>
        </w:rPr>
        <w:t>Por otra parte, s</w:t>
      </w:r>
      <w:r w:rsidR="0085096B" w:rsidRPr="00E06FC2">
        <w:rPr>
          <w:rFonts w:cs="Arial"/>
        </w:rPr>
        <w:t xml:space="preserve">e </w:t>
      </w:r>
      <w:r w:rsidR="00E94582" w:rsidRPr="00E06FC2">
        <w:rPr>
          <w:rFonts w:cs="Arial"/>
        </w:rPr>
        <w:t>advierte que</w:t>
      </w:r>
      <w:r w:rsidR="00B13C97" w:rsidRPr="00E06FC2">
        <w:rPr>
          <w:rFonts w:cs="Arial"/>
        </w:rPr>
        <w:t>,</w:t>
      </w:r>
      <w:r w:rsidR="00E94582" w:rsidRPr="00E06FC2">
        <w:rPr>
          <w:rFonts w:cs="Arial"/>
        </w:rPr>
        <w:t xml:space="preserve"> a diferencia de lo que afirmó la demandante, </w:t>
      </w:r>
      <w:r w:rsidR="0085096B" w:rsidRPr="00E06FC2">
        <w:rPr>
          <w:rFonts w:cs="Arial"/>
        </w:rPr>
        <w:t xml:space="preserve">la </w:t>
      </w:r>
      <w:r w:rsidR="004B0E2B" w:rsidRPr="00E06FC2">
        <w:rPr>
          <w:rFonts w:cs="Arial"/>
        </w:rPr>
        <w:t xml:space="preserve">modificación del adendo 3 </w:t>
      </w:r>
      <w:r w:rsidR="00681E7A" w:rsidRPr="00E06FC2">
        <w:rPr>
          <w:rFonts w:cs="Arial"/>
        </w:rPr>
        <w:t xml:space="preserve">publicada el 23 de septiembre </w:t>
      </w:r>
      <w:r w:rsidR="00915414" w:rsidRPr="00E06FC2">
        <w:rPr>
          <w:rFonts w:cs="Arial"/>
        </w:rPr>
        <w:t xml:space="preserve">de 1997, </w:t>
      </w:r>
      <w:r w:rsidR="00681E7A" w:rsidRPr="00E06FC2">
        <w:rPr>
          <w:rFonts w:cs="Arial"/>
        </w:rPr>
        <w:t xml:space="preserve">al tiempo con el adendo 2, </w:t>
      </w:r>
      <w:r w:rsidR="004B0E2B" w:rsidRPr="00E06FC2">
        <w:rPr>
          <w:rFonts w:cs="Arial"/>
        </w:rPr>
        <w:t xml:space="preserve">no fue extemporánea, </w:t>
      </w:r>
      <w:r w:rsidR="00681E7A" w:rsidRPr="00E06FC2">
        <w:rPr>
          <w:rFonts w:cs="Arial"/>
        </w:rPr>
        <w:t>puesto que se introdujo antes del vencimiento del cierre de la licitación ampliado hasta el 26 de septiembre de 1997.</w:t>
      </w:r>
      <w:r w:rsidR="0085096B" w:rsidRPr="00E06FC2">
        <w:rPr>
          <w:rFonts w:cs="Arial"/>
        </w:rPr>
        <w:t xml:space="preserve"> </w:t>
      </w:r>
    </w:p>
    <w:p w14:paraId="207C3224" w14:textId="77777777" w:rsidR="008C03FC" w:rsidRPr="00E06FC2" w:rsidRDefault="008C03FC" w:rsidP="00743788">
      <w:pPr>
        <w:pStyle w:val="Lista2"/>
        <w:ind w:left="0" w:firstLine="0"/>
        <w:rPr>
          <w:rFonts w:cs="Arial"/>
        </w:rPr>
      </w:pPr>
    </w:p>
    <w:p w14:paraId="579C45D9" w14:textId="77777777" w:rsidR="007E144A" w:rsidRPr="00E06FC2" w:rsidRDefault="005B2CF9" w:rsidP="00743788">
      <w:pPr>
        <w:pStyle w:val="Lista2"/>
        <w:ind w:left="0" w:firstLine="0"/>
        <w:rPr>
          <w:rFonts w:cs="Arial"/>
        </w:rPr>
      </w:pPr>
      <w:r w:rsidRPr="00E06FC2">
        <w:rPr>
          <w:rFonts w:cs="Arial"/>
        </w:rPr>
        <w:lastRenderedPageBreak/>
        <w:t xml:space="preserve">Por tanto, </w:t>
      </w:r>
      <w:r w:rsidR="008C03FC" w:rsidRPr="00E06FC2">
        <w:rPr>
          <w:rFonts w:cs="Arial"/>
        </w:rPr>
        <w:t xml:space="preserve">la Sala </w:t>
      </w:r>
      <w:r w:rsidRPr="00E06FC2">
        <w:rPr>
          <w:rFonts w:cs="Arial"/>
        </w:rPr>
        <w:t xml:space="preserve">considera que no </w:t>
      </w:r>
      <w:r w:rsidR="000B19A7" w:rsidRPr="00E06FC2">
        <w:rPr>
          <w:rFonts w:cs="Arial"/>
        </w:rPr>
        <w:t xml:space="preserve">se probó la </w:t>
      </w:r>
      <w:r w:rsidRPr="00E06FC2">
        <w:rPr>
          <w:rFonts w:cs="Arial"/>
        </w:rPr>
        <w:t xml:space="preserve">falta de transparencia en </w:t>
      </w:r>
      <w:r w:rsidR="00C22162" w:rsidRPr="00E06FC2">
        <w:rPr>
          <w:rFonts w:cs="Arial"/>
        </w:rPr>
        <w:t xml:space="preserve">la expedición del </w:t>
      </w:r>
      <w:r w:rsidR="000B19A7" w:rsidRPr="00E06FC2">
        <w:rPr>
          <w:rFonts w:cs="Arial"/>
        </w:rPr>
        <w:t>a</w:t>
      </w:r>
      <w:r w:rsidRPr="00E06FC2">
        <w:rPr>
          <w:rFonts w:cs="Arial"/>
        </w:rPr>
        <w:t>dendo 3</w:t>
      </w:r>
      <w:r w:rsidR="00C22162" w:rsidRPr="00E06FC2">
        <w:rPr>
          <w:rFonts w:cs="Arial"/>
        </w:rPr>
        <w:t xml:space="preserve">, </w:t>
      </w:r>
      <w:r w:rsidR="008C03FC" w:rsidRPr="00E06FC2">
        <w:rPr>
          <w:rFonts w:cs="Arial"/>
        </w:rPr>
        <w:t xml:space="preserve">el cual </w:t>
      </w:r>
      <w:r w:rsidR="00C22162" w:rsidRPr="00E06FC2">
        <w:rPr>
          <w:rFonts w:cs="Arial"/>
        </w:rPr>
        <w:t xml:space="preserve">vino a desarrollar las </w:t>
      </w:r>
      <w:r w:rsidR="00915414" w:rsidRPr="00E06FC2">
        <w:rPr>
          <w:rFonts w:cs="Arial"/>
        </w:rPr>
        <w:t xml:space="preserve">alternativas en cuanto a las especificaciones y certificaciones admisibles </w:t>
      </w:r>
      <w:r w:rsidR="00100BBF" w:rsidRPr="00E06FC2">
        <w:rPr>
          <w:rFonts w:cs="Arial"/>
        </w:rPr>
        <w:t>de acuerdo con lo que permitía la regulación vigente.</w:t>
      </w:r>
    </w:p>
    <w:p w14:paraId="21308D92" w14:textId="77777777" w:rsidR="007E144A" w:rsidRPr="00E06FC2" w:rsidRDefault="007E144A" w:rsidP="00743788">
      <w:pPr>
        <w:pStyle w:val="Lista2"/>
        <w:ind w:left="0" w:firstLine="0"/>
        <w:rPr>
          <w:rFonts w:cs="Arial"/>
        </w:rPr>
      </w:pPr>
    </w:p>
    <w:p w14:paraId="5EB3D78E" w14:textId="77777777" w:rsidR="00AB05AC" w:rsidRPr="00E06FC2" w:rsidRDefault="007105DB" w:rsidP="00743788">
      <w:pPr>
        <w:pStyle w:val="Lista2"/>
        <w:ind w:left="0" w:firstLine="0"/>
        <w:rPr>
          <w:rFonts w:cs="Arial"/>
        </w:rPr>
      </w:pPr>
      <w:r w:rsidRPr="00E06FC2">
        <w:rPr>
          <w:rFonts w:cs="Arial"/>
        </w:rPr>
        <w:t>Finalmente, s</w:t>
      </w:r>
      <w:r w:rsidR="00100BBF" w:rsidRPr="00E06FC2">
        <w:rPr>
          <w:rFonts w:cs="Arial"/>
        </w:rPr>
        <w:t xml:space="preserve">e observa que el pliego de condiciones </w:t>
      </w:r>
      <w:r w:rsidR="00C22162" w:rsidRPr="00E06FC2">
        <w:rPr>
          <w:rFonts w:cs="Arial"/>
        </w:rPr>
        <w:t xml:space="preserve">advirtió que </w:t>
      </w:r>
      <w:r w:rsidR="00100BBF" w:rsidRPr="00E06FC2">
        <w:rPr>
          <w:rFonts w:cs="Arial"/>
        </w:rPr>
        <w:t xml:space="preserve">las propuestas </w:t>
      </w:r>
      <w:r w:rsidR="00C22162" w:rsidRPr="00E06FC2">
        <w:rPr>
          <w:rFonts w:cs="Arial"/>
        </w:rPr>
        <w:t>se calificarían bajo l</w:t>
      </w:r>
      <w:r w:rsidR="00142FBC" w:rsidRPr="00E06FC2">
        <w:rPr>
          <w:rFonts w:cs="Arial"/>
        </w:rPr>
        <w:t>o</w:t>
      </w:r>
      <w:r w:rsidR="00C22162" w:rsidRPr="00E06FC2">
        <w:rPr>
          <w:rFonts w:cs="Arial"/>
        </w:rPr>
        <w:t>s mismos puntajes</w:t>
      </w:r>
      <w:r w:rsidR="008C03FC" w:rsidRPr="00E06FC2">
        <w:rPr>
          <w:rFonts w:cs="Arial"/>
        </w:rPr>
        <w:t xml:space="preserve"> de selección objetiva </w:t>
      </w:r>
      <w:r w:rsidR="00C22162" w:rsidRPr="00E06FC2">
        <w:rPr>
          <w:rFonts w:cs="Arial"/>
        </w:rPr>
        <w:t>ya establecidos para el factor de calidad de bienes</w:t>
      </w:r>
      <w:r w:rsidR="007E144A" w:rsidRPr="00E06FC2">
        <w:rPr>
          <w:rFonts w:cs="Arial"/>
        </w:rPr>
        <w:t xml:space="preserve">, de manera que no se abre paso la apreciación de la demandante acerca del factor sorpresivo en la introducción del adendo 3. </w:t>
      </w:r>
    </w:p>
    <w:p w14:paraId="3461414C" w14:textId="77777777" w:rsidR="007E144A" w:rsidRPr="00E06FC2" w:rsidRDefault="007E144A" w:rsidP="00743788">
      <w:pPr>
        <w:pStyle w:val="Lista2"/>
        <w:ind w:left="0" w:firstLine="0"/>
        <w:rPr>
          <w:rFonts w:cs="Arial"/>
        </w:rPr>
      </w:pPr>
    </w:p>
    <w:p w14:paraId="1212CADE" w14:textId="77777777" w:rsidR="00822A5C" w:rsidRPr="00E06FC2" w:rsidRDefault="003B1FFE" w:rsidP="00743788">
      <w:pPr>
        <w:pStyle w:val="Lista2"/>
        <w:spacing w:line="240" w:lineRule="auto"/>
        <w:ind w:left="0" w:firstLine="0"/>
        <w:rPr>
          <w:rFonts w:cs="Arial"/>
          <w:b/>
        </w:rPr>
      </w:pPr>
      <w:r w:rsidRPr="00E06FC2">
        <w:rPr>
          <w:rFonts w:cs="Arial"/>
          <w:b/>
        </w:rPr>
        <w:t>4.</w:t>
      </w:r>
      <w:r w:rsidR="00D812E1" w:rsidRPr="00E06FC2">
        <w:rPr>
          <w:rFonts w:cs="Arial"/>
          <w:b/>
        </w:rPr>
        <w:t>4</w:t>
      </w:r>
      <w:r w:rsidRPr="00E06FC2">
        <w:rPr>
          <w:rFonts w:cs="Arial"/>
          <w:b/>
        </w:rPr>
        <w:t>.</w:t>
      </w:r>
      <w:r w:rsidR="00822A5C" w:rsidRPr="00E06FC2">
        <w:rPr>
          <w:rFonts w:cs="Arial"/>
          <w:b/>
        </w:rPr>
        <w:t xml:space="preserve"> Antecedentes administrativos de la Licitación Pública 001 de 1997 –comunicaciones previas a la adopción del Adeno 3 </w:t>
      </w:r>
    </w:p>
    <w:p w14:paraId="75FD5A59" w14:textId="77777777" w:rsidR="00822A5C" w:rsidRPr="00E06FC2" w:rsidRDefault="00822A5C" w:rsidP="00743788">
      <w:pPr>
        <w:pStyle w:val="Lista2"/>
        <w:ind w:left="0" w:firstLine="0"/>
        <w:rPr>
          <w:rFonts w:cs="Arial"/>
          <w:b/>
        </w:rPr>
      </w:pPr>
    </w:p>
    <w:p w14:paraId="137FEEE9" w14:textId="77777777" w:rsidR="00822A5C" w:rsidRPr="00E06FC2" w:rsidRDefault="00822A5C" w:rsidP="00743788">
      <w:pPr>
        <w:pStyle w:val="Lista2"/>
        <w:ind w:left="0" w:firstLine="0"/>
        <w:rPr>
          <w:rFonts w:cs="Arial"/>
        </w:rPr>
      </w:pPr>
      <w:r w:rsidRPr="00E06FC2">
        <w:rPr>
          <w:rFonts w:cs="Arial"/>
        </w:rPr>
        <w:t xml:space="preserve">Se encuentra probado que, en </w:t>
      </w:r>
      <w:r w:rsidR="0086040C" w:rsidRPr="00E06FC2">
        <w:rPr>
          <w:rFonts w:cs="Arial"/>
        </w:rPr>
        <w:t xml:space="preserve">el </w:t>
      </w:r>
      <w:r w:rsidRPr="00E06FC2">
        <w:rPr>
          <w:rFonts w:cs="Arial"/>
        </w:rPr>
        <w:t xml:space="preserve">curso </w:t>
      </w:r>
      <w:r w:rsidR="0086040C" w:rsidRPr="00E06FC2">
        <w:rPr>
          <w:rFonts w:cs="Arial"/>
        </w:rPr>
        <w:t>d</w:t>
      </w:r>
      <w:r w:rsidRPr="00E06FC2">
        <w:rPr>
          <w:rFonts w:cs="Arial"/>
        </w:rPr>
        <w:t>el procedimiento de licitación pública, se suscitó el reparo de un interesado, Industrias Phillips de Colombia S.A., en cuanto a que algunas de las especificaciones de los bienes contenidas en el pliego de condiciones correspondían a productos que no se fabricaban en Colombia. En efecto, indicó Industrias Philips de Colombia S.A.:</w:t>
      </w:r>
    </w:p>
    <w:p w14:paraId="2DFD2DBF" w14:textId="77777777" w:rsidR="00822A5C" w:rsidRPr="00E06FC2" w:rsidRDefault="00822A5C" w:rsidP="00743788">
      <w:pPr>
        <w:pStyle w:val="Lista2"/>
        <w:spacing w:line="276" w:lineRule="auto"/>
        <w:ind w:left="567" w:right="567" w:firstLine="0"/>
        <w:rPr>
          <w:rFonts w:cs="Arial"/>
          <w:i/>
        </w:rPr>
      </w:pPr>
    </w:p>
    <w:p w14:paraId="64D0CEB4" w14:textId="77777777" w:rsidR="00822A5C" w:rsidRPr="00E06FC2" w:rsidRDefault="00822A5C" w:rsidP="00743788">
      <w:pPr>
        <w:pStyle w:val="Lista2"/>
        <w:spacing w:line="276" w:lineRule="auto"/>
        <w:ind w:left="567" w:right="567" w:firstLine="0"/>
        <w:rPr>
          <w:rFonts w:cs="Arial"/>
          <w:i/>
        </w:rPr>
      </w:pPr>
      <w:r w:rsidRPr="00E06FC2">
        <w:rPr>
          <w:rFonts w:cs="Arial"/>
          <w:i/>
        </w:rPr>
        <w:t>“Se han excluido las recomendaciones aprobadas por el SECTOR ELÉCTRICO COLOMBIANO, teniendo en cuenta las especificaciones TÉCNICAS UNIFICADAS indicadas por el CIDET (…).</w:t>
      </w:r>
    </w:p>
    <w:p w14:paraId="3996B2D2" w14:textId="77777777" w:rsidR="00822A5C" w:rsidRPr="00E06FC2" w:rsidRDefault="00822A5C" w:rsidP="00743788">
      <w:pPr>
        <w:pStyle w:val="Lista2"/>
        <w:spacing w:line="276" w:lineRule="auto"/>
        <w:ind w:left="567" w:right="567" w:firstLine="0"/>
        <w:rPr>
          <w:rFonts w:cs="Arial"/>
          <w:i/>
        </w:rPr>
      </w:pPr>
    </w:p>
    <w:p w14:paraId="6556FD8D" w14:textId="77777777" w:rsidR="00822A5C" w:rsidRPr="00E06FC2" w:rsidRDefault="00822A5C" w:rsidP="00743788">
      <w:pPr>
        <w:pStyle w:val="Lista2"/>
        <w:spacing w:line="276" w:lineRule="auto"/>
        <w:ind w:left="567" w:right="567" w:firstLine="0"/>
        <w:rPr>
          <w:rFonts w:cs="Arial"/>
          <w:i/>
        </w:rPr>
      </w:pPr>
      <w:r w:rsidRPr="00E06FC2">
        <w:rPr>
          <w:rFonts w:cs="Arial"/>
          <w:i/>
        </w:rPr>
        <w:t>“(…)</w:t>
      </w:r>
      <w:r w:rsidR="008C03FC" w:rsidRPr="00E06FC2">
        <w:rPr>
          <w:rFonts w:cs="Arial"/>
          <w:i/>
        </w:rPr>
        <w:t>.</w:t>
      </w:r>
    </w:p>
    <w:p w14:paraId="5549ED34" w14:textId="77777777" w:rsidR="00822A5C" w:rsidRPr="00E06FC2" w:rsidRDefault="00822A5C" w:rsidP="00743788">
      <w:pPr>
        <w:pStyle w:val="Lista2"/>
        <w:spacing w:line="276" w:lineRule="auto"/>
        <w:ind w:left="567" w:right="567" w:firstLine="0"/>
        <w:rPr>
          <w:rFonts w:cs="Arial"/>
          <w:i/>
        </w:rPr>
      </w:pPr>
    </w:p>
    <w:p w14:paraId="101DBBB6" w14:textId="77777777" w:rsidR="00822A5C" w:rsidRPr="00E06FC2" w:rsidRDefault="00822A5C" w:rsidP="00743788">
      <w:pPr>
        <w:pStyle w:val="Lista2"/>
        <w:spacing w:line="276" w:lineRule="auto"/>
        <w:ind w:left="567" w:right="567" w:firstLine="0"/>
        <w:rPr>
          <w:rFonts w:cs="Arial"/>
          <w:i/>
        </w:rPr>
      </w:pPr>
      <w:r w:rsidRPr="00E06FC2">
        <w:rPr>
          <w:rFonts w:cs="Arial"/>
          <w:i/>
        </w:rPr>
        <w:t>“Los criterios técnicos exigidos en el pliego de condiciones están claramente dirigidos a favorecer proponentes que tengan esa tecnología, sin dar oportunidad de participación a otros con tecnologías más avanzadas, productos homologados por la ley colombiana o de fabricación nacional con el cumplimiento de todas las normas nacionales e internacionales”.</w:t>
      </w:r>
    </w:p>
    <w:p w14:paraId="5FB6E418" w14:textId="77777777" w:rsidR="0086040C" w:rsidRPr="00E06FC2" w:rsidRDefault="0086040C" w:rsidP="00743788">
      <w:pPr>
        <w:pStyle w:val="Lista2"/>
        <w:spacing w:line="276" w:lineRule="auto"/>
        <w:ind w:left="0" w:right="567" w:firstLine="0"/>
        <w:rPr>
          <w:rFonts w:cs="Arial"/>
          <w:i/>
        </w:rPr>
      </w:pPr>
    </w:p>
    <w:p w14:paraId="065968A7" w14:textId="77777777" w:rsidR="00822A5C" w:rsidRPr="00E06FC2" w:rsidRDefault="0086040C" w:rsidP="00743788">
      <w:pPr>
        <w:pStyle w:val="Lista2"/>
        <w:ind w:left="0" w:firstLine="0"/>
        <w:rPr>
          <w:rFonts w:cs="Arial"/>
        </w:rPr>
      </w:pPr>
      <w:r w:rsidRPr="00E06FC2">
        <w:rPr>
          <w:rFonts w:cs="Arial"/>
        </w:rPr>
        <w:t xml:space="preserve">En esa comunicación se detallaron </w:t>
      </w:r>
      <w:r w:rsidR="00E94582" w:rsidRPr="00E06FC2">
        <w:rPr>
          <w:rFonts w:cs="Arial"/>
        </w:rPr>
        <w:t xml:space="preserve">las especificaciones de </w:t>
      </w:r>
      <w:r w:rsidRPr="00E06FC2">
        <w:rPr>
          <w:rFonts w:cs="Arial"/>
        </w:rPr>
        <w:t xml:space="preserve">cada uno de los componentes </w:t>
      </w:r>
      <w:r w:rsidR="007105DB" w:rsidRPr="00E06FC2">
        <w:rPr>
          <w:rFonts w:cs="Arial"/>
        </w:rPr>
        <w:t xml:space="preserve">según el pliego de condiciones </w:t>
      </w:r>
      <w:r w:rsidRPr="00E06FC2">
        <w:rPr>
          <w:rFonts w:cs="Arial"/>
        </w:rPr>
        <w:t xml:space="preserve">y las restricciones </w:t>
      </w:r>
      <w:r w:rsidR="00E94582" w:rsidRPr="00E06FC2">
        <w:rPr>
          <w:rFonts w:cs="Arial"/>
        </w:rPr>
        <w:t xml:space="preserve">que se derivaban de </w:t>
      </w:r>
      <w:r w:rsidR="005A376B" w:rsidRPr="00E06FC2">
        <w:rPr>
          <w:rFonts w:cs="Arial"/>
        </w:rPr>
        <w:t xml:space="preserve">los requerimientos técnicos descritos en el </w:t>
      </w:r>
      <w:r w:rsidR="007105DB" w:rsidRPr="00E06FC2">
        <w:rPr>
          <w:rFonts w:cs="Arial"/>
        </w:rPr>
        <w:t xml:space="preserve">mismo. </w:t>
      </w:r>
    </w:p>
    <w:p w14:paraId="2F1092C7" w14:textId="77777777" w:rsidR="0086040C" w:rsidRPr="00E06FC2" w:rsidRDefault="0086040C" w:rsidP="00743788">
      <w:pPr>
        <w:pStyle w:val="Lista2"/>
        <w:ind w:left="0" w:right="567" w:firstLine="0"/>
        <w:rPr>
          <w:rFonts w:cs="Arial"/>
          <w:i/>
        </w:rPr>
      </w:pPr>
    </w:p>
    <w:p w14:paraId="29DBBA68" w14:textId="77777777" w:rsidR="00822A5C" w:rsidRPr="00E06FC2" w:rsidRDefault="00822A5C" w:rsidP="00743788">
      <w:pPr>
        <w:pStyle w:val="Lista2"/>
        <w:ind w:left="0" w:firstLine="0"/>
        <w:rPr>
          <w:rFonts w:cs="Arial"/>
        </w:rPr>
      </w:pPr>
      <w:r w:rsidRPr="00E06FC2">
        <w:rPr>
          <w:rFonts w:cs="Arial"/>
        </w:rPr>
        <w:t>En la comunicación 0AM-436 de septiembre 19 de 1997, el municipio de Cartago dio respuesta a las inquietudes de Industrias Philips de Colombia S.A., en el sentido de advertir que las especificaciones de</w:t>
      </w:r>
      <w:r w:rsidR="00923E1F" w:rsidRPr="00E06FC2">
        <w:rPr>
          <w:rFonts w:cs="Arial"/>
        </w:rPr>
        <w:t xml:space="preserve"> los bienes descritas en el </w:t>
      </w:r>
      <w:r w:rsidRPr="00E06FC2">
        <w:rPr>
          <w:rFonts w:cs="Arial"/>
        </w:rPr>
        <w:t xml:space="preserve"> pliego podían ser modificadas por los proponentes, según lo permitía el </w:t>
      </w:r>
      <w:r w:rsidR="00923E1F" w:rsidRPr="00E06FC2">
        <w:rPr>
          <w:rFonts w:cs="Arial"/>
        </w:rPr>
        <w:t xml:space="preserve">mismo </w:t>
      </w:r>
      <w:r w:rsidRPr="00E06FC2">
        <w:rPr>
          <w:rFonts w:cs="Arial"/>
        </w:rPr>
        <w:t xml:space="preserve">pliego de condiciones, desde su texto inicial. El municipio observó: </w:t>
      </w:r>
    </w:p>
    <w:p w14:paraId="6D8AE0A6" w14:textId="77777777" w:rsidR="00822A5C" w:rsidRPr="00E06FC2" w:rsidRDefault="00822A5C" w:rsidP="00743788">
      <w:pPr>
        <w:pStyle w:val="Lista2"/>
        <w:ind w:left="0" w:firstLine="0"/>
        <w:rPr>
          <w:rFonts w:cs="Arial"/>
        </w:rPr>
      </w:pPr>
    </w:p>
    <w:p w14:paraId="03D93B57" w14:textId="77777777" w:rsidR="00822A5C" w:rsidRPr="00E06FC2" w:rsidRDefault="00822A5C" w:rsidP="00743788">
      <w:pPr>
        <w:pStyle w:val="Lista2"/>
        <w:spacing w:line="276" w:lineRule="auto"/>
        <w:ind w:left="567" w:right="567" w:firstLine="0"/>
        <w:rPr>
          <w:rFonts w:cs="Arial"/>
          <w:i/>
        </w:rPr>
      </w:pPr>
      <w:r w:rsidRPr="00E06FC2">
        <w:rPr>
          <w:rFonts w:cs="Arial"/>
          <w:i/>
        </w:rPr>
        <w:t>“No ha buscado la Administración favorecer a ningún proveedor, a pesar de que todos en ejercicio de la libre competencia pretenden colocar sus productos en posición predominante.</w:t>
      </w:r>
    </w:p>
    <w:p w14:paraId="3FC635F9" w14:textId="77777777" w:rsidR="00822A5C" w:rsidRPr="00E06FC2" w:rsidRDefault="00822A5C" w:rsidP="00743788">
      <w:pPr>
        <w:pStyle w:val="Lista2"/>
        <w:spacing w:line="276" w:lineRule="auto"/>
        <w:ind w:left="567" w:right="567" w:firstLine="0"/>
        <w:rPr>
          <w:rFonts w:cs="Arial"/>
          <w:i/>
        </w:rPr>
      </w:pPr>
    </w:p>
    <w:p w14:paraId="3211623B" w14:textId="77777777" w:rsidR="00822A5C" w:rsidRPr="00E06FC2" w:rsidRDefault="00822A5C" w:rsidP="00743788">
      <w:pPr>
        <w:pStyle w:val="Lista2"/>
        <w:spacing w:line="276" w:lineRule="auto"/>
        <w:ind w:left="567" w:right="567" w:firstLine="0"/>
        <w:rPr>
          <w:rFonts w:cs="Arial"/>
          <w:i/>
        </w:rPr>
      </w:pPr>
      <w:r w:rsidRPr="00E06FC2">
        <w:rPr>
          <w:rFonts w:cs="Arial"/>
          <w:i/>
        </w:rPr>
        <w:t>“Es por esto, que en el pliego de condiciones, capítulo VI ordinal primero, inciso 3º, se permite que el proponente ofrezca otras alternativas debidamente sustentadas”</w:t>
      </w:r>
      <w:r w:rsidRPr="00E06FC2">
        <w:rPr>
          <w:rStyle w:val="Refdenotaalpie"/>
          <w:rFonts w:cs="Arial"/>
          <w:i/>
        </w:rPr>
        <w:footnoteReference w:id="56"/>
      </w:r>
      <w:r w:rsidRPr="00E06FC2">
        <w:rPr>
          <w:rFonts w:cs="Arial"/>
          <w:i/>
        </w:rPr>
        <w:t>.</w:t>
      </w:r>
    </w:p>
    <w:p w14:paraId="5FF243EE" w14:textId="77777777" w:rsidR="00822A5C" w:rsidRPr="00E06FC2" w:rsidRDefault="00822A5C" w:rsidP="00743788">
      <w:pPr>
        <w:pStyle w:val="Lista2"/>
        <w:ind w:left="0" w:firstLine="0"/>
        <w:rPr>
          <w:rFonts w:cs="Arial"/>
        </w:rPr>
      </w:pPr>
    </w:p>
    <w:p w14:paraId="6C24DAC6" w14:textId="77777777" w:rsidR="00822A5C" w:rsidRPr="00E06FC2" w:rsidRDefault="00822A5C" w:rsidP="00743788">
      <w:pPr>
        <w:pStyle w:val="Lista2"/>
        <w:ind w:left="0" w:firstLine="0"/>
        <w:rPr>
          <w:rFonts w:cs="Arial"/>
          <w:i/>
        </w:rPr>
      </w:pPr>
      <w:r w:rsidRPr="00E06FC2">
        <w:rPr>
          <w:rFonts w:cs="Arial"/>
        </w:rPr>
        <w:t>Por otra parte, en esa misma oportunidad</w:t>
      </w:r>
      <w:r w:rsidR="0051257A" w:rsidRPr="00E06FC2">
        <w:rPr>
          <w:rFonts w:cs="Arial"/>
        </w:rPr>
        <w:t>,</w:t>
      </w:r>
      <w:r w:rsidRPr="00E06FC2">
        <w:rPr>
          <w:rFonts w:cs="Arial"/>
        </w:rPr>
        <w:t xml:space="preserve"> dentro del procedimiento de licitación pública, la Corporación Centro de Investigación y Desarrollo Tecnológico CIDET presentó ante la Alcaldía de Cartago la comunicación 9000-100 de 19 de septiembre de 1997, en la que se identificó como una corporación encargada de promover el desarrollo tecnológico de las empresas de energía, siendo una de sus principales tareas </w:t>
      </w:r>
      <w:r w:rsidRPr="00E06FC2">
        <w:rPr>
          <w:rFonts w:cs="Arial"/>
          <w:i/>
        </w:rPr>
        <w:t>“procurar que el producto nacional tenga la misma calidad que el producto extranjero, de tal manera que podamos exigir la mejor calidad de nuestros bienes y servicios tal como lo establece la Ley 80 de octubre 28 de 1993”</w:t>
      </w:r>
      <w:r w:rsidRPr="00E06FC2">
        <w:rPr>
          <w:rStyle w:val="Refdenotaalpie"/>
          <w:rFonts w:cs="Arial"/>
          <w:i/>
        </w:rPr>
        <w:footnoteReference w:id="57"/>
      </w:r>
      <w:r w:rsidRPr="00E06FC2">
        <w:rPr>
          <w:rFonts w:cs="Arial"/>
          <w:i/>
        </w:rPr>
        <w:t>.</w:t>
      </w:r>
    </w:p>
    <w:p w14:paraId="5CE9CB8C" w14:textId="77777777" w:rsidR="00822A5C" w:rsidRPr="00E06FC2" w:rsidRDefault="00822A5C" w:rsidP="00743788">
      <w:pPr>
        <w:pStyle w:val="Lista2"/>
        <w:ind w:left="0" w:firstLine="0"/>
        <w:rPr>
          <w:rFonts w:cs="Arial"/>
          <w:i/>
        </w:rPr>
      </w:pPr>
    </w:p>
    <w:p w14:paraId="1032B02D" w14:textId="77777777" w:rsidR="005A376B" w:rsidRPr="00E06FC2" w:rsidRDefault="00822A5C" w:rsidP="00743788">
      <w:pPr>
        <w:pStyle w:val="Lista2"/>
        <w:ind w:left="0" w:firstLine="0"/>
        <w:rPr>
          <w:rFonts w:cs="Arial"/>
        </w:rPr>
      </w:pPr>
      <w:r w:rsidRPr="00E06FC2">
        <w:rPr>
          <w:rFonts w:cs="Arial"/>
        </w:rPr>
        <w:t xml:space="preserve">En </w:t>
      </w:r>
      <w:r w:rsidR="0051257A" w:rsidRPr="00E06FC2">
        <w:rPr>
          <w:rFonts w:cs="Arial"/>
        </w:rPr>
        <w:t xml:space="preserve">la antedicha </w:t>
      </w:r>
      <w:r w:rsidRPr="00E06FC2">
        <w:rPr>
          <w:rFonts w:cs="Arial"/>
        </w:rPr>
        <w:t>comunicación el CIDET expuso</w:t>
      </w:r>
      <w:r w:rsidR="003D5CB2" w:rsidRPr="00E06FC2">
        <w:rPr>
          <w:rFonts w:cs="Arial"/>
        </w:rPr>
        <w:t xml:space="preserve">, en forma concreta, </w:t>
      </w:r>
      <w:r w:rsidRPr="00E06FC2">
        <w:rPr>
          <w:rFonts w:cs="Arial"/>
        </w:rPr>
        <w:t xml:space="preserve">que en la licitación pública se estaba solicitando una carcaza construida con un material y tecnología que no era propia de la industria nacional. </w:t>
      </w:r>
    </w:p>
    <w:p w14:paraId="039D5A8F" w14:textId="77777777" w:rsidR="005A376B" w:rsidRPr="00E06FC2" w:rsidRDefault="005A376B" w:rsidP="00743788">
      <w:pPr>
        <w:pStyle w:val="Lista2"/>
        <w:ind w:left="0" w:firstLine="0"/>
        <w:rPr>
          <w:rFonts w:cs="Arial"/>
        </w:rPr>
      </w:pPr>
    </w:p>
    <w:p w14:paraId="46A7D9DE" w14:textId="77777777" w:rsidR="00E63DDC" w:rsidRPr="00E06FC2" w:rsidRDefault="00822A5C" w:rsidP="00743788">
      <w:pPr>
        <w:pStyle w:val="Lista2"/>
        <w:ind w:left="0" w:firstLine="0"/>
        <w:rPr>
          <w:rFonts w:cs="Arial"/>
        </w:rPr>
      </w:pPr>
      <w:r w:rsidRPr="00E06FC2">
        <w:rPr>
          <w:rFonts w:cs="Arial"/>
        </w:rPr>
        <w:t>Igualmente i</w:t>
      </w:r>
      <w:r w:rsidR="00923E1F" w:rsidRPr="00E06FC2">
        <w:rPr>
          <w:rFonts w:cs="Arial"/>
        </w:rPr>
        <w:t xml:space="preserve">nformó </w:t>
      </w:r>
      <w:r w:rsidR="005A067D" w:rsidRPr="00E06FC2">
        <w:rPr>
          <w:rFonts w:cs="Arial"/>
        </w:rPr>
        <w:t xml:space="preserve">y </w:t>
      </w:r>
      <w:r w:rsidR="005A376B" w:rsidRPr="00E06FC2">
        <w:rPr>
          <w:rFonts w:cs="Arial"/>
        </w:rPr>
        <w:t xml:space="preserve">relacionó </w:t>
      </w:r>
      <w:r w:rsidRPr="00E06FC2">
        <w:rPr>
          <w:rFonts w:cs="Arial"/>
        </w:rPr>
        <w:t xml:space="preserve">los fabricantes </w:t>
      </w:r>
      <w:r w:rsidR="005A376B" w:rsidRPr="00E06FC2">
        <w:rPr>
          <w:rFonts w:cs="Arial"/>
        </w:rPr>
        <w:t xml:space="preserve">autorizados </w:t>
      </w:r>
      <w:r w:rsidRPr="00E06FC2">
        <w:rPr>
          <w:rFonts w:cs="Arial"/>
        </w:rPr>
        <w:t xml:space="preserve">que existían en Colombia </w:t>
      </w:r>
      <w:r w:rsidR="005A067D" w:rsidRPr="00E06FC2">
        <w:rPr>
          <w:rFonts w:cs="Arial"/>
        </w:rPr>
        <w:t xml:space="preserve">para proveer </w:t>
      </w:r>
      <w:r w:rsidR="00AB05AC" w:rsidRPr="00E06FC2">
        <w:rPr>
          <w:rFonts w:cs="Arial"/>
        </w:rPr>
        <w:t xml:space="preserve">productos relacionados </w:t>
      </w:r>
      <w:r w:rsidRPr="00E06FC2">
        <w:rPr>
          <w:rFonts w:cs="Arial"/>
        </w:rPr>
        <w:t>con las luminarias de alumbrado público</w:t>
      </w:r>
      <w:r w:rsidR="005A067D" w:rsidRPr="00E06FC2">
        <w:rPr>
          <w:rFonts w:cs="Arial"/>
        </w:rPr>
        <w:t>.</w:t>
      </w:r>
    </w:p>
    <w:p w14:paraId="305E0326" w14:textId="77777777" w:rsidR="00142FBC" w:rsidRPr="00E06FC2" w:rsidRDefault="00822A5C" w:rsidP="00743788">
      <w:pPr>
        <w:pStyle w:val="Lista2"/>
        <w:ind w:left="0" w:firstLine="0"/>
        <w:rPr>
          <w:rFonts w:cs="Arial"/>
        </w:rPr>
      </w:pPr>
      <w:r w:rsidRPr="00E06FC2">
        <w:rPr>
          <w:rFonts w:cs="Arial"/>
        </w:rPr>
        <w:t xml:space="preserve"> </w:t>
      </w:r>
    </w:p>
    <w:p w14:paraId="21AB990E" w14:textId="77777777" w:rsidR="00822A5C" w:rsidRPr="00E06FC2" w:rsidRDefault="00822A5C" w:rsidP="00743788">
      <w:pPr>
        <w:pStyle w:val="Lista2"/>
        <w:ind w:left="0" w:firstLine="0"/>
        <w:rPr>
          <w:rFonts w:cs="Arial"/>
        </w:rPr>
      </w:pPr>
      <w:r w:rsidRPr="00E06FC2">
        <w:rPr>
          <w:rFonts w:cs="Arial"/>
        </w:rPr>
        <w:t>Por tanto, el CIDET s</w:t>
      </w:r>
      <w:r w:rsidR="005A067D" w:rsidRPr="00E06FC2">
        <w:rPr>
          <w:rFonts w:cs="Arial"/>
        </w:rPr>
        <w:t xml:space="preserve">ugirió </w:t>
      </w:r>
      <w:r w:rsidRPr="00E06FC2">
        <w:rPr>
          <w:rFonts w:cs="Arial"/>
        </w:rPr>
        <w:t xml:space="preserve">al municipio que </w:t>
      </w:r>
      <w:r w:rsidR="003D5CB2" w:rsidRPr="00E06FC2">
        <w:rPr>
          <w:rFonts w:cs="Arial"/>
        </w:rPr>
        <w:t xml:space="preserve">diera por terminada la </w:t>
      </w:r>
      <w:r w:rsidRPr="00E06FC2">
        <w:rPr>
          <w:rFonts w:cs="Arial"/>
        </w:rPr>
        <w:t xml:space="preserve">licitación </w:t>
      </w:r>
      <w:r w:rsidR="003D5CB2" w:rsidRPr="00E06FC2">
        <w:rPr>
          <w:rFonts w:cs="Arial"/>
        </w:rPr>
        <w:t xml:space="preserve">para abrir una nueva </w:t>
      </w:r>
      <w:r w:rsidRPr="00E06FC2">
        <w:rPr>
          <w:rFonts w:cs="Arial"/>
        </w:rPr>
        <w:t>o que</w:t>
      </w:r>
      <w:r w:rsidR="00923E1F" w:rsidRPr="00E06FC2">
        <w:rPr>
          <w:rFonts w:cs="Arial"/>
        </w:rPr>
        <w:t>,</w:t>
      </w:r>
      <w:r w:rsidRPr="00E06FC2">
        <w:rPr>
          <w:rFonts w:cs="Arial"/>
        </w:rPr>
        <w:t xml:space="preserve"> eliminara </w:t>
      </w:r>
      <w:r w:rsidR="00923E1F" w:rsidRPr="00E06FC2">
        <w:rPr>
          <w:rFonts w:cs="Arial"/>
        </w:rPr>
        <w:t>la exigencia restrictiva en relación con las carcazas.</w:t>
      </w:r>
      <w:r w:rsidRPr="00E06FC2">
        <w:rPr>
          <w:rFonts w:cs="Arial"/>
        </w:rPr>
        <w:t xml:space="preserve"> </w:t>
      </w:r>
    </w:p>
    <w:p w14:paraId="4F1B762B" w14:textId="77777777" w:rsidR="00822A5C" w:rsidRPr="00E06FC2" w:rsidRDefault="00822A5C" w:rsidP="00743788">
      <w:pPr>
        <w:pStyle w:val="Lista2"/>
        <w:ind w:left="0" w:firstLine="0"/>
        <w:rPr>
          <w:rFonts w:cs="Arial"/>
        </w:rPr>
      </w:pPr>
    </w:p>
    <w:p w14:paraId="6B911F6B" w14:textId="77777777" w:rsidR="00822A5C" w:rsidRPr="00E06FC2" w:rsidRDefault="00822A5C" w:rsidP="00743788">
      <w:pPr>
        <w:pStyle w:val="Lista2"/>
        <w:ind w:left="0" w:firstLine="0"/>
        <w:rPr>
          <w:rFonts w:cs="Arial"/>
        </w:rPr>
      </w:pPr>
      <w:r w:rsidRPr="00E06FC2">
        <w:rPr>
          <w:rFonts w:cs="Arial"/>
        </w:rPr>
        <w:t xml:space="preserve">Se </w:t>
      </w:r>
      <w:r w:rsidR="0051257A" w:rsidRPr="00E06FC2">
        <w:rPr>
          <w:rFonts w:cs="Arial"/>
        </w:rPr>
        <w:t xml:space="preserve">reitera </w:t>
      </w:r>
      <w:r w:rsidRPr="00E06FC2">
        <w:rPr>
          <w:rFonts w:cs="Arial"/>
        </w:rPr>
        <w:t xml:space="preserve">que el 23 de septiembre de 1997 el municipio de Cartago publicó los </w:t>
      </w:r>
      <w:r w:rsidR="0016327E" w:rsidRPr="00E06FC2">
        <w:rPr>
          <w:rFonts w:cs="Arial"/>
        </w:rPr>
        <w:t>a</w:t>
      </w:r>
      <w:r w:rsidRPr="00E06FC2">
        <w:rPr>
          <w:rFonts w:cs="Arial"/>
        </w:rPr>
        <w:t xml:space="preserve">dendos 2 y 3, en el segundo de los cuales, </w:t>
      </w:r>
      <w:r w:rsidR="00153078" w:rsidRPr="00E06FC2">
        <w:rPr>
          <w:rFonts w:cs="Arial"/>
        </w:rPr>
        <w:t>invocó la posibilidad que tenían los proponentes de presentar alternativas en las especificaciones de los componentes, e introdujo</w:t>
      </w:r>
      <w:r w:rsidR="003D5CB2" w:rsidRPr="00E06FC2">
        <w:rPr>
          <w:rFonts w:cs="Arial"/>
        </w:rPr>
        <w:t xml:space="preserve"> </w:t>
      </w:r>
      <w:r w:rsidR="00153078" w:rsidRPr="00E06FC2">
        <w:rPr>
          <w:rFonts w:cs="Arial"/>
        </w:rPr>
        <w:t xml:space="preserve">para esas propuestas la posibilidad </w:t>
      </w:r>
      <w:r w:rsidRPr="00E06FC2">
        <w:rPr>
          <w:rFonts w:cs="Arial"/>
        </w:rPr>
        <w:t xml:space="preserve">de la homologación </w:t>
      </w:r>
      <w:r w:rsidR="005A376B" w:rsidRPr="00E06FC2">
        <w:rPr>
          <w:rFonts w:cs="Arial"/>
        </w:rPr>
        <w:t xml:space="preserve">de las </w:t>
      </w:r>
      <w:r w:rsidR="00153078" w:rsidRPr="00E06FC2">
        <w:rPr>
          <w:rFonts w:cs="Arial"/>
        </w:rPr>
        <w:t xml:space="preserve">certificaciones sobre las normas </w:t>
      </w:r>
      <w:r w:rsidR="005A376B" w:rsidRPr="00E06FC2">
        <w:rPr>
          <w:rFonts w:cs="Arial"/>
        </w:rPr>
        <w:t xml:space="preserve">técnicas bajo las normas </w:t>
      </w:r>
      <w:r w:rsidRPr="00E06FC2">
        <w:rPr>
          <w:rFonts w:cs="Arial"/>
        </w:rPr>
        <w:t xml:space="preserve">del CIDET y </w:t>
      </w:r>
      <w:r w:rsidR="005A376B" w:rsidRPr="00E06FC2">
        <w:rPr>
          <w:rFonts w:cs="Arial"/>
        </w:rPr>
        <w:t xml:space="preserve">la certificación de calidad de </w:t>
      </w:r>
      <w:r w:rsidRPr="00E06FC2">
        <w:rPr>
          <w:rFonts w:cs="Arial"/>
        </w:rPr>
        <w:t>la norma ISO 9004-1</w:t>
      </w:r>
      <w:r w:rsidR="003D5CB2" w:rsidRPr="00E06FC2">
        <w:rPr>
          <w:rFonts w:cs="Arial"/>
        </w:rPr>
        <w:t>, de acuerdo con los textos ya transcritos en e</w:t>
      </w:r>
      <w:r w:rsidR="005A067D" w:rsidRPr="00E06FC2">
        <w:rPr>
          <w:rFonts w:cs="Arial"/>
        </w:rPr>
        <w:t>s</w:t>
      </w:r>
      <w:r w:rsidR="003D5CB2" w:rsidRPr="00E06FC2">
        <w:rPr>
          <w:rFonts w:cs="Arial"/>
        </w:rPr>
        <w:t>ta providencia</w:t>
      </w:r>
      <w:r w:rsidRPr="00E06FC2">
        <w:rPr>
          <w:rFonts w:cs="Arial"/>
        </w:rPr>
        <w:t>.</w:t>
      </w:r>
    </w:p>
    <w:p w14:paraId="396F36DF" w14:textId="77777777" w:rsidR="007568A3" w:rsidRPr="00E06FC2" w:rsidRDefault="007568A3" w:rsidP="00743788">
      <w:pPr>
        <w:pStyle w:val="Lista2"/>
        <w:ind w:left="0" w:firstLine="0"/>
        <w:rPr>
          <w:rFonts w:cs="Arial"/>
        </w:rPr>
      </w:pPr>
    </w:p>
    <w:p w14:paraId="7A98CB2C" w14:textId="77777777" w:rsidR="005A376B" w:rsidRPr="00E06FC2" w:rsidRDefault="00046708" w:rsidP="00743788">
      <w:pPr>
        <w:pStyle w:val="Lista2"/>
        <w:ind w:left="0" w:firstLine="0"/>
        <w:rPr>
          <w:rFonts w:cs="Arial"/>
        </w:rPr>
      </w:pPr>
      <w:r w:rsidRPr="00E06FC2">
        <w:rPr>
          <w:rFonts w:cs="Arial"/>
        </w:rPr>
        <w:t xml:space="preserve">Por otra parte, </w:t>
      </w:r>
      <w:r w:rsidR="00BD3DA7" w:rsidRPr="00E06FC2">
        <w:rPr>
          <w:rFonts w:cs="Arial"/>
        </w:rPr>
        <w:t xml:space="preserve">en el recuento de los antecedentes administrativos que ilustran la introducción del adendo 3, </w:t>
      </w:r>
      <w:r w:rsidRPr="00E06FC2">
        <w:rPr>
          <w:rFonts w:cs="Arial"/>
        </w:rPr>
        <w:t xml:space="preserve">obra en el expediente, la comunicación de la Viceministra de Desarrollo Económico, </w:t>
      </w:r>
      <w:r w:rsidR="008B44A9" w:rsidRPr="00E06FC2">
        <w:rPr>
          <w:rFonts w:cs="Arial"/>
        </w:rPr>
        <w:t xml:space="preserve">dirigida al Alcalde de Cartago, </w:t>
      </w:r>
      <w:r w:rsidR="007568A3" w:rsidRPr="00E06FC2">
        <w:rPr>
          <w:rFonts w:cs="Arial"/>
        </w:rPr>
        <w:t>recibida por el municipio el 1º de octubre de 1997</w:t>
      </w:r>
      <w:r w:rsidR="00BD3DA7" w:rsidRPr="00E06FC2">
        <w:rPr>
          <w:rFonts w:cs="Arial"/>
        </w:rPr>
        <w:t>,</w:t>
      </w:r>
      <w:r w:rsidR="007568A3" w:rsidRPr="00E06FC2">
        <w:rPr>
          <w:rFonts w:cs="Arial"/>
        </w:rPr>
        <w:t xml:space="preserve"> </w:t>
      </w:r>
      <w:r w:rsidRPr="00E06FC2">
        <w:rPr>
          <w:rFonts w:cs="Arial"/>
        </w:rPr>
        <w:t xml:space="preserve">en la cual </w:t>
      </w:r>
      <w:r w:rsidR="007568A3" w:rsidRPr="00E06FC2">
        <w:rPr>
          <w:rFonts w:cs="Arial"/>
        </w:rPr>
        <w:t xml:space="preserve">se refirió a la carta remitida por el CIDET y </w:t>
      </w:r>
      <w:r w:rsidR="00971189" w:rsidRPr="00E06FC2">
        <w:rPr>
          <w:rFonts w:cs="Arial"/>
        </w:rPr>
        <w:t xml:space="preserve">observó </w:t>
      </w:r>
      <w:r w:rsidR="007568A3" w:rsidRPr="00E06FC2">
        <w:rPr>
          <w:rFonts w:cs="Arial"/>
        </w:rPr>
        <w:t xml:space="preserve">que: </w:t>
      </w:r>
      <w:r w:rsidR="007568A3" w:rsidRPr="00E06FC2">
        <w:rPr>
          <w:rFonts w:cs="Arial"/>
          <w:i/>
        </w:rPr>
        <w:t xml:space="preserve">“sería conveniente aclarar los puntos de la comunicación referida </w:t>
      </w:r>
      <w:r w:rsidR="00971189" w:rsidRPr="00E06FC2">
        <w:rPr>
          <w:rFonts w:cs="Arial"/>
          <w:i/>
        </w:rPr>
        <w:t>y, si usted lo considera, efectuar las modificaciones necesarias para asegurar la participación de la industria nacional en este proyecto”</w:t>
      </w:r>
      <w:r w:rsidR="00971189" w:rsidRPr="00E06FC2">
        <w:rPr>
          <w:rStyle w:val="Refdenotaalpie"/>
          <w:rFonts w:cs="Arial"/>
        </w:rPr>
        <w:footnoteReference w:id="58"/>
      </w:r>
      <w:r w:rsidR="00971189" w:rsidRPr="00E06FC2">
        <w:rPr>
          <w:rFonts w:cs="Arial"/>
        </w:rPr>
        <w:t>.</w:t>
      </w:r>
      <w:r w:rsidR="007568A3" w:rsidRPr="00E06FC2">
        <w:rPr>
          <w:rFonts w:cs="Arial"/>
        </w:rPr>
        <w:t xml:space="preserve"> </w:t>
      </w:r>
    </w:p>
    <w:p w14:paraId="52B73FBC" w14:textId="77777777" w:rsidR="007568A3" w:rsidRPr="00E06FC2" w:rsidRDefault="007568A3" w:rsidP="00743788">
      <w:pPr>
        <w:pStyle w:val="Lista2"/>
        <w:ind w:left="0" w:firstLine="0"/>
        <w:rPr>
          <w:rFonts w:cs="Arial"/>
        </w:rPr>
      </w:pPr>
    </w:p>
    <w:p w14:paraId="5B14E6BD" w14:textId="77777777" w:rsidR="003B1FFE" w:rsidRPr="00E06FC2" w:rsidRDefault="003B1FFE" w:rsidP="00743788">
      <w:pPr>
        <w:pStyle w:val="Lista2"/>
        <w:spacing w:line="240" w:lineRule="auto"/>
        <w:ind w:left="0" w:firstLine="0"/>
        <w:rPr>
          <w:rFonts w:cs="Arial"/>
          <w:b/>
        </w:rPr>
      </w:pPr>
      <w:r w:rsidRPr="00E06FC2">
        <w:rPr>
          <w:rFonts w:cs="Arial"/>
          <w:b/>
        </w:rPr>
        <w:t>4.</w:t>
      </w:r>
      <w:r w:rsidR="00D812E1" w:rsidRPr="00E06FC2">
        <w:rPr>
          <w:rFonts w:cs="Arial"/>
          <w:b/>
        </w:rPr>
        <w:t>5</w:t>
      </w:r>
      <w:r w:rsidRPr="00E06FC2">
        <w:rPr>
          <w:rFonts w:cs="Arial"/>
          <w:b/>
        </w:rPr>
        <w:t>. Análisis de las pruebas acerca de l</w:t>
      </w:r>
      <w:r w:rsidR="0079603E" w:rsidRPr="00E06FC2">
        <w:rPr>
          <w:rFonts w:cs="Arial"/>
          <w:b/>
        </w:rPr>
        <w:t xml:space="preserve">a apreciación de las distintas certificaciones de </w:t>
      </w:r>
      <w:r w:rsidR="005A376B" w:rsidRPr="00E06FC2">
        <w:rPr>
          <w:rFonts w:cs="Arial"/>
          <w:b/>
        </w:rPr>
        <w:t xml:space="preserve">homologación y </w:t>
      </w:r>
      <w:r w:rsidR="0079603E" w:rsidRPr="00E06FC2">
        <w:rPr>
          <w:rFonts w:cs="Arial"/>
          <w:b/>
        </w:rPr>
        <w:t xml:space="preserve">calidad. </w:t>
      </w:r>
    </w:p>
    <w:p w14:paraId="4BE4B986" w14:textId="77777777" w:rsidR="00206E95" w:rsidRPr="00E06FC2" w:rsidRDefault="00206E95" w:rsidP="00743788">
      <w:pPr>
        <w:pStyle w:val="Lista2"/>
        <w:ind w:left="0" w:firstLine="0"/>
        <w:rPr>
          <w:rFonts w:cs="Arial"/>
        </w:rPr>
      </w:pPr>
    </w:p>
    <w:p w14:paraId="20AE33DB" w14:textId="77777777" w:rsidR="00206E95" w:rsidRPr="00E06FC2" w:rsidRDefault="002F4702" w:rsidP="00743788">
      <w:pPr>
        <w:pStyle w:val="Lista2"/>
        <w:ind w:left="0" w:firstLine="0"/>
        <w:rPr>
          <w:rFonts w:cs="Arial"/>
        </w:rPr>
      </w:pPr>
      <w:r w:rsidRPr="00E06FC2">
        <w:rPr>
          <w:rFonts w:cs="Arial"/>
        </w:rPr>
        <w:t>E</w:t>
      </w:r>
      <w:r w:rsidR="00206E95" w:rsidRPr="00E06FC2">
        <w:rPr>
          <w:rFonts w:cs="Arial"/>
        </w:rPr>
        <w:t>n lo que se re</w:t>
      </w:r>
      <w:r w:rsidR="009B0A44" w:rsidRPr="00E06FC2">
        <w:rPr>
          <w:rFonts w:cs="Arial"/>
        </w:rPr>
        <w:t xml:space="preserve">fiere al </w:t>
      </w:r>
      <w:r w:rsidR="00206E95" w:rsidRPr="00E06FC2">
        <w:rPr>
          <w:rFonts w:cs="Arial"/>
        </w:rPr>
        <w:t xml:space="preserve">requisito de la especificación y acreditación de las condiciones técnicas de los </w:t>
      </w:r>
      <w:r w:rsidR="009B0A44" w:rsidRPr="00E06FC2">
        <w:rPr>
          <w:rFonts w:cs="Arial"/>
        </w:rPr>
        <w:t xml:space="preserve">componentes </w:t>
      </w:r>
      <w:r w:rsidR="00206E95" w:rsidRPr="00E06FC2">
        <w:rPr>
          <w:rFonts w:cs="Arial"/>
        </w:rPr>
        <w:t xml:space="preserve">requeridos para la concesión del servicio de alumbrado público, </w:t>
      </w:r>
      <w:r w:rsidRPr="00E06FC2">
        <w:rPr>
          <w:rFonts w:cs="Arial"/>
        </w:rPr>
        <w:t xml:space="preserve">el adendo 3 </w:t>
      </w:r>
      <w:r w:rsidR="00206E95" w:rsidRPr="00E06FC2">
        <w:rPr>
          <w:rFonts w:cs="Arial"/>
        </w:rPr>
        <w:t xml:space="preserve">se aprecia como </w:t>
      </w:r>
      <w:r w:rsidR="0026692F" w:rsidRPr="00E06FC2">
        <w:rPr>
          <w:rFonts w:cs="Arial"/>
        </w:rPr>
        <w:t xml:space="preserve">legalmente permitido </w:t>
      </w:r>
      <w:r w:rsidR="00A94D0C" w:rsidRPr="00E06FC2">
        <w:rPr>
          <w:rFonts w:cs="Arial"/>
        </w:rPr>
        <w:t xml:space="preserve">en su momento, </w:t>
      </w:r>
      <w:r w:rsidR="0026692F" w:rsidRPr="00E06FC2">
        <w:rPr>
          <w:rFonts w:cs="Arial"/>
        </w:rPr>
        <w:t xml:space="preserve">bajo las reglas contenidas en el </w:t>
      </w:r>
      <w:r w:rsidR="00206E95" w:rsidRPr="00E06FC2">
        <w:rPr>
          <w:rFonts w:cs="Arial"/>
        </w:rPr>
        <w:t>art</w:t>
      </w:r>
      <w:r w:rsidR="009B0A44" w:rsidRPr="00E06FC2">
        <w:rPr>
          <w:rFonts w:cs="Arial"/>
        </w:rPr>
        <w:t>í</w:t>
      </w:r>
      <w:r w:rsidR="00206E95" w:rsidRPr="00E06FC2">
        <w:rPr>
          <w:rFonts w:cs="Arial"/>
        </w:rPr>
        <w:t>culo 4 de la Ley 80 de 1993</w:t>
      </w:r>
      <w:r w:rsidR="0026692F" w:rsidRPr="00E06FC2">
        <w:rPr>
          <w:rFonts w:cs="Arial"/>
        </w:rPr>
        <w:t xml:space="preserve">, </w:t>
      </w:r>
      <w:r w:rsidR="00206E95" w:rsidRPr="00E06FC2">
        <w:rPr>
          <w:rFonts w:cs="Arial"/>
        </w:rPr>
        <w:t>el artículo 2 del Decreto Reglamentario 679 de 1994</w:t>
      </w:r>
      <w:r w:rsidR="0026692F" w:rsidRPr="00E06FC2">
        <w:rPr>
          <w:rFonts w:cs="Arial"/>
        </w:rPr>
        <w:t xml:space="preserve"> y el artículo 10 del Decreto 2269 de 1993, </w:t>
      </w:r>
      <w:r w:rsidR="00206E95" w:rsidRPr="00E06FC2">
        <w:rPr>
          <w:rFonts w:cs="Arial"/>
        </w:rPr>
        <w:t xml:space="preserve">vigentes para la época de la Licitación Pública 001 de 1997, </w:t>
      </w:r>
      <w:r w:rsidR="000C584E" w:rsidRPr="00E06FC2">
        <w:rPr>
          <w:rFonts w:cs="Arial"/>
        </w:rPr>
        <w:t xml:space="preserve">a </w:t>
      </w:r>
      <w:r w:rsidR="00206E95" w:rsidRPr="00E06FC2">
        <w:rPr>
          <w:rFonts w:cs="Arial"/>
        </w:rPr>
        <w:t xml:space="preserve">cuyo tenor: </w:t>
      </w:r>
    </w:p>
    <w:p w14:paraId="56081ACB" w14:textId="77777777" w:rsidR="00206E95" w:rsidRPr="00E06FC2" w:rsidRDefault="00206E95" w:rsidP="00743788">
      <w:pPr>
        <w:pStyle w:val="Lista2"/>
        <w:ind w:left="0" w:firstLine="0"/>
        <w:rPr>
          <w:rFonts w:cs="Arial"/>
        </w:rPr>
      </w:pPr>
    </w:p>
    <w:p w14:paraId="0FF8CD78" w14:textId="77777777" w:rsidR="00206E95" w:rsidRPr="00E06FC2" w:rsidRDefault="00206E95" w:rsidP="00743788">
      <w:pPr>
        <w:pStyle w:val="Lista2"/>
        <w:spacing w:line="240" w:lineRule="auto"/>
        <w:ind w:left="567" w:right="567" w:firstLine="0"/>
        <w:rPr>
          <w:rFonts w:cs="Arial"/>
          <w:i/>
          <w:shd w:val="clear" w:color="auto" w:fill="FFFFFF"/>
        </w:rPr>
      </w:pPr>
      <w:r w:rsidRPr="00E06FC2">
        <w:rPr>
          <w:rFonts w:cs="Arial"/>
          <w:bCs/>
          <w:i/>
        </w:rPr>
        <w:t xml:space="preserve">Ley 80 de 1993. “Artículo 4.- </w:t>
      </w:r>
      <w:r w:rsidRPr="00E06FC2">
        <w:rPr>
          <w:rFonts w:cs="Arial"/>
          <w:i/>
          <w:iCs/>
          <w:shd w:val="clear" w:color="auto" w:fill="FFFFFF"/>
        </w:rPr>
        <w:t>De los Derechos y Deberes de las Entidades Estatales</w:t>
      </w:r>
      <w:r w:rsidRPr="00E06FC2">
        <w:rPr>
          <w:rFonts w:cs="Arial"/>
          <w:b/>
          <w:bCs/>
          <w:i/>
          <w:shd w:val="clear" w:color="auto" w:fill="FFFFFF"/>
        </w:rPr>
        <w:t>.</w:t>
      </w:r>
      <w:r w:rsidRPr="00E06FC2">
        <w:rPr>
          <w:rFonts w:cs="Arial"/>
          <w:i/>
        </w:rPr>
        <w:t> </w:t>
      </w:r>
      <w:r w:rsidRPr="00E06FC2">
        <w:rPr>
          <w:rFonts w:cs="Arial"/>
          <w:i/>
          <w:shd w:val="clear" w:color="auto" w:fill="FFFFFF"/>
        </w:rPr>
        <w:t xml:space="preserve">Para la consecución de los fines de que trata el artículo anterior, las entidades estatales: </w:t>
      </w:r>
    </w:p>
    <w:p w14:paraId="56EF2166" w14:textId="77777777" w:rsidR="00206E95" w:rsidRPr="00E06FC2" w:rsidRDefault="00206E95" w:rsidP="00743788">
      <w:pPr>
        <w:pStyle w:val="Lista2"/>
        <w:spacing w:line="240" w:lineRule="auto"/>
        <w:ind w:left="567" w:right="567" w:firstLine="0"/>
        <w:rPr>
          <w:rFonts w:cs="Arial"/>
          <w:i/>
          <w:shd w:val="clear" w:color="auto" w:fill="FFFFFF"/>
        </w:rPr>
      </w:pPr>
    </w:p>
    <w:p w14:paraId="2EE137B9" w14:textId="77777777" w:rsidR="00206E95" w:rsidRPr="00E06FC2" w:rsidRDefault="00206E95" w:rsidP="00743788">
      <w:pPr>
        <w:pStyle w:val="Lista2"/>
        <w:spacing w:line="240" w:lineRule="auto"/>
        <w:ind w:left="567" w:right="567" w:firstLine="0"/>
        <w:rPr>
          <w:rFonts w:cs="Arial"/>
          <w:i/>
          <w:shd w:val="clear" w:color="auto" w:fill="FFFFFF"/>
        </w:rPr>
      </w:pPr>
      <w:r w:rsidRPr="00E06FC2">
        <w:rPr>
          <w:rFonts w:cs="Arial"/>
          <w:i/>
          <w:shd w:val="clear" w:color="auto" w:fill="FFFFFF"/>
        </w:rPr>
        <w:t>“(…).</w:t>
      </w:r>
    </w:p>
    <w:p w14:paraId="11237CBE" w14:textId="77777777" w:rsidR="00206E95" w:rsidRPr="00E06FC2" w:rsidRDefault="00206E95" w:rsidP="00743788">
      <w:pPr>
        <w:pStyle w:val="Lista2"/>
        <w:spacing w:line="240" w:lineRule="auto"/>
        <w:ind w:left="567" w:right="567" w:firstLine="0"/>
        <w:rPr>
          <w:rFonts w:cs="Arial"/>
          <w:i/>
          <w:shd w:val="clear" w:color="auto" w:fill="FFFFFF"/>
        </w:rPr>
      </w:pPr>
    </w:p>
    <w:p w14:paraId="197531E8" w14:textId="77777777" w:rsidR="00206E95" w:rsidRPr="00E06FC2" w:rsidRDefault="00206E95" w:rsidP="00743788">
      <w:pPr>
        <w:pStyle w:val="Lista2"/>
        <w:spacing w:line="240" w:lineRule="auto"/>
        <w:ind w:left="567" w:right="567" w:firstLine="0"/>
        <w:rPr>
          <w:rFonts w:cs="Arial"/>
          <w:b/>
          <w:i/>
        </w:rPr>
      </w:pPr>
      <w:r w:rsidRPr="00E06FC2">
        <w:rPr>
          <w:rFonts w:cs="Arial"/>
          <w:i/>
          <w:shd w:val="clear" w:color="auto" w:fill="FFFFFF"/>
        </w:rPr>
        <w:t>“5o. </w:t>
      </w:r>
      <w:bookmarkStart w:id="2" w:name="4.5"/>
      <w:r w:rsidRPr="00E06FC2">
        <w:rPr>
          <w:rFonts w:cs="Arial"/>
          <w:i/>
          <w:shd w:val="clear" w:color="auto" w:fill="FFFFFF"/>
        </w:rPr>
        <w:t> </w:t>
      </w:r>
      <w:bookmarkEnd w:id="2"/>
      <w:r w:rsidRPr="00E06FC2">
        <w:rPr>
          <w:rFonts w:cs="Arial"/>
          <w:i/>
          <w:shd w:val="clear" w:color="auto" w:fill="FFFFFF"/>
        </w:rPr>
        <w:t>Exigirán que la calidad de los bienes y servicios adquiridos por las entidades estatales se ajuste a los requisitos mínimos previstos en las normas técnicas obligatorias, sin perjuicio de la facultad de exigir que tales bienes o servicios cumplan con las normas técnicas colombianas o, en su defecto, con normas internacionales elaboradas por organismos reconocidos a nivel mundial o con normas extranjeras aceptadas en los acuerdos internacionales suscrito por Colombia”.</w:t>
      </w:r>
    </w:p>
    <w:p w14:paraId="4008638E" w14:textId="77777777" w:rsidR="00206E95" w:rsidRPr="00E06FC2" w:rsidRDefault="00206E95" w:rsidP="00743788">
      <w:pPr>
        <w:pStyle w:val="Lista2"/>
        <w:spacing w:line="240" w:lineRule="auto"/>
        <w:ind w:left="567" w:right="567" w:firstLine="0"/>
        <w:rPr>
          <w:rFonts w:cs="Arial"/>
          <w:b/>
          <w:i/>
        </w:rPr>
      </w:pPr>
    </w:p>
    <w:p w14:paraId="1CE002FF" w14:textId="77777777" w:rsidR="00206E95" w:rsidRPr="00E06FC2" w:rsidRDefault="00206E95" w:rsidP="00743788">
      <w:pPr>
        <w:pStyle w:val="Lista2"/>
        <w:spacing w:line="240" w:lineRule="auto"/>
        <w:ind w:left="567" w:right="567" w:firstLine="0"/>
        <w:rPr>
          <w:rFonts w:cs="Arial"/>
          <w:b/>
        </w:rPr>
      </w:pPr>
      <w:r w:rsidRPr="00E06FC2">
        <w:rPr>
          <w:rFonts w:cs="Arial"/>
          <w:bCs/>
          <w:shd w:val="clear" w:color="auto" w:fill="FFFFFF"/>
        </w:rPr>
        <w:t xml:space="preserve">Decreto 679 de 1994. </w:t>
      </w:r>
      <w:r w:rsidRPr="00E06FC2">
        <w:rPr>
          <w:rFonts w:cs="Arial"/>
          <w:bCs/>
          <w:i/>
          <w:shd w:val="clear" w:color="auto" w:fill="FFFFFF"/>
        </w:rPr>
        <w:t>“Artículo 2.-</w:t>
      </w:r>
      <w:r w:rsidRPr="00E06FC2">
        <w:rPr>
          <w:rFonts w:cs="Arial"/>
          <w:i/>
          <w:iCs/>
          <w:shd w:val="clear" w:color="auto" w:fill="FFFFFF"/>
        </w:rPr>
        <w:t>De la certificación de la calidad de los bienes y servicios</w:t>
      </w:r>
      <w:r w:rsidRPr="00E06FC2">
        <w:rPr>
          <w:rFonts w:cs="Arial"/>
          <w:i/>
          <w:shd w:val="clear" w:color="auto" w:fill="FFFFFF"/>
        </w:rPr>
        <w:t>: Sin perjuicio de que en todo caso los bienes y servicios que adquieran las entidades estatales deban cumplir los requisitos de calidad previstos en el artículo 4, numeral 5 de la Ley 80 de 1993, cuando se trate de contratos cuya cuantía sea o exceda de cien salarios mínimos legales mensuales, la entidad estatal exigirá al proveedor un certificado de conformidad de los bienes y servicios que reciba, expedido de acuerdo con las exigencias contenidas en el Decreto 2269 de 1993”.</w:t>
      </w:r>
    </w:p>
    <w:p w14:paraId="58DFC441" w14:textId="77777777" w:rsidR="00206E95" w:rsidRPr="00E06FC2" w:rsidRDefault="00206E95" w:rsidP="00743788">
      <w:pPr>
        <w:rPr>
          <w:rFonts w:cs="Arial"/>
        </w:rPr>
      </w:pPr>
    </w:p>
    <w:p w14:paraId="1B78E6BB" w14:textId="77777777" w:rsidR="00822A5C" w:rsidRPr="00E06FC2" w:rsidRDefault="000C584E" w:rsidP="00743788">
      <w:pPr>
        <w:pStyle w:val="Lista2"/>
        <w:spacing w:line="276" w:lineRule="auto"/>
        <w:ind w:left="567" w:right="567" w:firstLine="0"/>
        <w:rPr>
          <w:rFonts w:cs="Arial"/>
        </w:rPr>
      </w:pPr>
      <w:r w:rsidRPr="00E06FC2">
        <w:rPr>
          <w:rFonts w:cs="Arial"/>
          <w:bCs/>
          <w:shd w:val="clear" w:color="auto" w:fill="FFFFFF"/>
        </w:rPr>
        <w:lastRenderedPageBreak/>
        <w:t>Decreto 2269 de 1993</w:t>
      </w:r>
      <w:r w:rsidR="00A94D0C" w:rsidRPr="00E06FC2">
        <w:rPr>
          <w:rFonts w:cs="Arial"/>
          <w:bCs/>
          <w:shd w:val="clear" w:color="auto" w:fill="FFFFFF"/>
        </w:rPr>
        <w:t>.</w:t>
      </w:r>
      <w:r w:rsidRPr="00E06FC2">
        <w:rPr>
          <w:rFonts w:cs="Arial"/>
          <w:bCs/>
          <w:i/>
          <w:shd w:val="clear" w:color="auto" w:fill="FFFFFF"/>
        </w:rPr>
        <w:t xml:space="preserve"> </w:t>
      </w:r>
      <w:r w:rsidR="00A94D0C" w:rsidRPr="00E06FC2">
        <w:rPr>
          <w:rFonts w:cs="Arial"/>
          <w:bCs/>
          <w:i/>
          <w:shd w:val="clear" w:color="auto" w:fill="FFFFFF"/>
        </w:rPr>
        <w:t>“</w:t>
      </w:r>
      <w:r w:rsidRPr="00E06FC2">
        <w:rPr>
          <w:rFonts w:cs="Arial"/>
          <w:bCs/>
          <w:i/>
          <w:shd w:val="clear" w:color="auto" w:fill="FFFFFF"/>
        </w:rPr>
        <w:t>Artículo </w:t>
      </w:r>
      <w:bookmarkStart w:id="3" w:name="10"/>
      <w:r w:rsidRPr="00E06FC2">
        <w:rPr>
          <w:rFonts w:cs="Arial"/>
          <w:bCs/>
          <w:i/>
          <w:shd w:val="clear" w:color="auto" w:fill="FFFFFF"/>
        </w:rPr>
        <w:t> </w:t>
      </w:r>
      <w:bookmarkEnd w:id="3"/>
      <w:r w:rsidRPr="00E06FC2">
        <w:rPr>
          <w:rFonts w:cs="Arial"/>
          <w:bCs/>
          <w:i/>
          <w:shd w:val="clear" w:color="auto" w:fill="FFFFFF"/>
        </w:rPr>
        <w:t>10.</w:t>
      </w:r>
      <w:r w:rsidRPr="00E06FC2">
        <w:rPr>
          <w:rFonts w:cs="Arial"/>
          <w:b/>
          <w:bCs/>
          <w:i/>
          <w:shd w:val="clear" w:color="auto" w:fill="FFFFFF"/>
        </w:rPr>
        <w:t> </w:t>
      </w:r>
      <w:r w:rsidRPr="00E06FC2">
        <w:rPr>
          <w:rStyle w:val="apple-converted-space"/>
          <w:rFonts w:cs="Arial"/>
          <w:i/>
          <w:shd w:val="clear" w:color="auto" w:fill="FFFFFF"/>
        </w:rPr>
        <w:t> </w:t>
      </w:r>
      <w:r w:rsidRPr="00E06FC2">
        <w:rPr>
          <w:rFonts w:cs="Arial"/>
          <w:i/>
          <w:shd w:val="clear" w:color="auto" w:fill="FFFFFF"/>
        </w:rPr>
        <w:t xml:space="preserve">Las entidades a las cuales se aplique el estatuto de contratación administrativa deberán exigir en sus adquisiciones el cumplimiento de los reglamentos técnicos y de las normas técnicas obligatorias, a través del Certificado de Conformidad. </w:t>
      </w:r>
      <w:r w:rsidRPr="00E06FC2">
        <w:rPr>
          <w:rFonts w:cs="Arial"/>
          <w:b/>
          <w:i/>
          <w:shd w:val="clear" w:color="auto" w:fill="FFFFFF"/>
        </w:rPr>
        <w:t>Estas entidades podrán, así mismo, utilizar en sus adquisiciones las normas técnicas colombianas de carácter voluntario o en su defecto, las normas internacionales elaboradas por organismos reconocidos a nivel mundial, con el objeto de asegurar la calidad de éstas</w:t>
      </w:r>
      <w:r w:rsidRPr="00E06FC2">
        <w:rPr>
          <w:rFonts w:cs="Arial"/>
          <w:i/>
          <w:shd w:val="clear" w:color="auto" w:fill="FFFFFF"/>
        </w:rPr>
        <w:t>”.</w:t>
      </w:r>
      <w:r w:rsidR="003B1FFE" w:rsidRPr="00E06FC2">
        <w:rPr>
          <w:rFonts w:cs="Arial"/>
        </w:rPr>
        <w:t xml:space="preserve"> </w:t>
      </w:r>
      <w:r w:rsidR="00D56708" w:rsidRPr="00E06FC2">
        <w:rPr>
          <w:rFonts w:cs="Arial"/>
        </w:rPr>
        <w:t>(La negrilla no es del texto).</w:t>
      </w:r>
    </w:p>
    <w:p w14:paraId="083843BE" w14:textId="77777777" w:rsidR="00A94D0C" w:rsidRPr="00E06FC2" w:rsidRDefault="00A94D0C" w:rsidP="00743788">
      <w:pPr>
        <w:pStyle w:val="Lista2"/>
        <w:spacing w:line="276" w:lineRule="auto"/>
        <w:ind w:left="567" w:right="567" w:firstLine="0"/>
        <w:rPr>
          <w:rFonts w:cs="Arial"/>
        </w:rPr>
      </w:pPr>
    </w:p>
    <w:p w14:paraId="718B7F27" w14:textId="77777777" w:rsidR="00822A5C" w:rsidRPr="00E06FC2" w:rsidRDefault="00822A5C" w:rsidP="00743788">
      <w:pPr>
        <w:pStyle w:val="Lista2"/>
        <w:ind w:left="0" w:firstLine="0"/>
        <w:rPr>
          <w:rFonts w:cs="Arial"/>
        </w:rPr>
      </w:pPr>
      <w:r w:rsidRPr="00E06FC2">
        <w:rPr>
          <w:rFonts w:cs="Arial"/>
        </w:rPr>
        <w:t>E</w:t>
      </w:r>
      <w:r w:rsidR="00B52ECE" w:rsidRPr="00E06FC2">
        <w:rPr>
          <w:rFonts w:cs="Arial"/>
        </w:rPr>
        <w:t xml:space="preserve">n el </w:t>
      </w:r>
      <w:r w:rsidRPr="00E06FC2">
        <w:rPr>
          <w:rFonts w:cs="Arial"/>
        </w:rPr>
        <w:t xml:space="preserve">acervo probatorio </w:t>
      </w:r>
      <w:r w:rsidR="008B44A9" w:rsidRPr="00E06FC2">
        <w:rPr>
          <w:rFonts w:cs="Arial"/>
        </w:rPr>
        <w:t xml:space="preserve">de los antecedentes administrativos allegados por el municipio de Cartago, </w:t>
      </w:r>
      <w:r w:rsidRPr="00E06FC2">
        <w:rPr>
          <w:rFonts w:cs="Arial"/>
        </w:rPr>
        <w:t xml:space="preserve">se encuentran los documentos referidos a la homologación del CIDET y a la implementación del sistema ISO, a saber: </w:t>
      </w:r>
      <w:r w:rsidRPr="00E06FC2">
        <w:rPr>
          <w:rFonts w:cs="Arial"/>
          <w:b/>
        </w:rPr>
        <w:t>i)</w:t>
      </w:r>
      <w:r w:rsidRPr="00E06FC2">
        <w:rPr>
          <w:rFonts w:cs="Arial"/>
        </w:rPr>
        <w:t xml:space="preserve"> documento CIDET-D-966 REV 1 expedido por la Corporación Centro de Investigación y Desarrollo Tecnológico CIDET, Medellín, enero de 1997 y </w:t>
      </w:r>
      <w:r w:rsidRPr="00E06FC2">
        <w:rPr>
          <w:rFonts w:cs="Arial"/>
          <w:b/>
        </w:rPr>
        <w:t>ii)</w:t>
      </w:r>
      <w:r w:rsidRPr="00E06FC2">
        <w:rPr>
          <w:rFonts w:cs="Arial"/>
        </w:rPr>
        <w:t xml:space="preserve"> documento denominado “IMPLEMENTACIÓN EFICAZ DE ISO 9000</w:t>
      </w:r>
      <w:r w:rsidRPr="00E06FC2">
        <w:rPr>
          <w:rStyle w:val="Refdenotaalpie"/>
          <w:rFonts w:cs="Arial"/>
        </w:rPr>
        <w:footnoteReference w:id="59"/>
      </w:r>
      <w:r w:rsidRPr="00E06FC2">
        <w:rPr>
          <w:rFonts w:cs="Arial"/>
        </w:rPr>
        <w:t xml:space="preserve">, publicado por el Instituto Colombiano de Normas Técnicas y Certificación ICONTEC </w:t>
      </w:r>
      <w:r w:rsidR="005A376B" w:rsidRPr="00E06FC2">
        <w:rPr>
          <w:rFonts w:cs="Arial"/>
        </w:rPr>
        <w:t xml:space="preserve">aportado </w:t>
      </w:r>
      <w:r w:rsidRPr="00E06FC2">
        <w:rPr>
          <w:rFonts w:cs="Arial"/>
        </w:rPr>
        <w:t xml:space="preserve">en idioma español. </w:t>
      </w:r>
    </w:p>
    <w:p w14:paraId="0F99DEAD" w14:textId="77777777" w:rsidR="00B52ECE" w:rsidRPr="00E06FC2" w:rsidRDefault="00B52ECE" w:rsidP="00743788">
      <w:pPr>
        <w:pStyle w:val="Lista2"/>
        <w:ind w:left="0" w:firstLine="0"/>
        <w:rPr>
          <w:rFonts w:cs="Arial"/>
        </w:rPr>
      </w:pPr>
    </w:p>
    <w:p w14:paraId="1D004EB8" w14:textId="77777777" w:rsidR="001935B0" w:rsidRPr="00E06FC2" w:rsidRDefault="00822A5C" w:rsidP="00743788">
      <w:pPr>
        <w:pStyle w:val="Lista2"/>
        <w:ind w:left="0" w:firstLine="0"/>
        <w:rPr>
          <w:rFonts w:cs="Arial"/>
        </w:rPr>
      </w:pPr>
      <w:r w:rsidRPr="00E06FC2">
        <w:rPr>
          <w:rFonts w:cs="Arial"/>
        </w:rPr>
        <w:t>En los antedichos documentos puede observarse que la Corporación Centro de Investigación y Desarrollo Tecnológico CIDET, establec</w:t>
      </w:r>
      <w:r w:rsidR="001935B0" w:rsidRPr="00E06FC2">
        <w:rPr>
          <w:rFonts w:cs="Arial"/>
        </w:rPr>
        <w:t>ía</w:t>
      </w:r>
      <w:r w:rsidRPr="00E06FC2">
        <w:rPr>
          <w:rFonts w:cs="Arial"/>
        </w:rPr>
        <w:t xml:space="preserve"> los requisitos para la homologación del “</w:t>
      </w:r>
      <w:r w:rsidRPr="00E06FC2">
        <w:rPr>
          <w:rFonts w:cs="Arial"/>
          <w:i/>
        </w:rPr>
        <w:t>servicio de diagnóstico del Sistema de Calidad de una empresa”</w:t>
      </w:r>
      <w:r w:rsidRPr="00E06FC2">
        <w:rPr>
          <w:rFonts w:cs="Arial"/>
        </w:rPr>
        <w:t xml:space="preserve"> del sector eléctrico</w:t>
      </w:r>
      <w:r w:rsidR="001935B0" w:rsidRPr="00E06FC2">
        <w:rPr>
          <w:rFonts w:cs="Arial"/>
        </w:rPr>
        <w:t xml:space="preserve"> y para </w:t>
      </w:r>
      <w:r w:rsidRPr="00E06FC2">
        <w:rPr>
          <w:rFonts w:cs="Arial"/>
        </w:rPr>
        <w:t>“</w:t>
      </w:r>
      <w:r w:rsidRPr="00E06FC2">
        <w:rPr>
          <w:rFonts w:cs="Arial"/>
          <w:i/>
        </w:rPr>
        <w:t>las empresas que lo prestan y los profesionales que lo realizan”</w:t>
      </w:r>
      <w:r w:rsidRPr="00E06FC2">
        <w:rPr>
          <w:rFonts w:cs="Arial"/>
        </w:rPr>
        <w:t xml:space="preserve">. </w:t>
      </w:r>
    </w:p>
    <w:p w14:paraId="2FD8A157" w14:textId="77777777" w:rsidR="001935B0" w:rsidRPr="00E06FC2" w:rsidRDefault="001935B0" w:rsidP="00743788">
      <w:pPr>
        <w:pStyle w:val="Lista2"/>
        <w:ind w:left="0" w:firstLine="0"/>
        <w:rPr>
          <w:rFonts w:cs="Arial"/>
        </w:rPr>
      </w:pPr>
    </w:p>
    <w:p w14:paraId="24B25ECC" w14:textId="77777777" w:rsidR="00B52ECE" w:rsidRPr="00E06FC2" w:rsidRDefault="00D25488" w:rsidP="00743788">
      <w:pPr>
        <w:pStyle w:val="Lista2"/>
        <w:ind w:left="0" w:firstLine="0"/>
        <w:rPr>
          <w:rFonts w:cs="Arial"/>
        </w:rPr>
      </w:pPr>
      <w:r w:rsidRPr="00E06FC2">
        <w:rPr>
          <w:rFonts w:cs="Arial"/>
        </w:rPr>
        <w:t>Por otra parte, d</w:t>
      </w:r>
      <w:r w:rsidR="00822A5C" w:rsidRPr="00E06FC2">
        <w:rPr>
          <w:rFonts w:cs="Arial"/>
        </w:rPr>
        <w:t xml:space="preserve">e la lectura del documento de implementación de los sistemas ISO, </w:t>
      </w:r>
      <w:r w:rsidRPr="00E06FC2">
        <w:rPr>
          <w:rFonts w:cs="Arial"/>
        </w:rPr>
        <w:t xml:space="preserve">obrante en el plenario, </w:t>
      </w:r>
      <w:r w:rsidR="00822A5C" w:rsidRPr="00E06FC2">
        <w:rPr>
          <w:rFonts w:cs="Arial"/>
        </w:rPr>
        <w:t>se extrae que el aseguramiento de la calidad (AC) se refiere a las actividades que una organización realiza para otorgar, a las partes externas (clientes, organismos reguladores) o las partes internas (por ejemplo administración), confianza de que la organización cumplirá constantemente los requisitos relativos a la calidad</w:t>
      </w:r>
      <w:r w:rsidR="00923E1F" w:rsidRPr="00E06FC2">
        <w:rPr>
          <w:rFonts w:cs="Arial"/>
        </w:rPr>
        <w:t xml:space="preserve">. </w:t>
      </w:r>
    </w:p>
    <w:p w14:paraId="69EB89EE" w14:textId="77777777" w:rsidR="00E04B91" w:rsidRPr="00E06FC2" w:rsidRDefault="00E04B91" w:rsidP="00743788">
      <w:pPr>
        <w:pStyle w:val="Lista2"/>
        <w:ind w:left="0" w:firstLine="0"/>
        <w:rPr>
          <w:rFonts w:cs="Arial"/>
        </w:rPr>
      </w:pPr>
    </w:p>
    <w:p w14:paraId="0C1756CA" w14:textId="77777777" w:rsidR="008610D2" w:rsidRPr="00E06FC2" w:rsidRDefault="00A061BE" w:rsidP="00743788">
      <w:pPr>
        <w:pStyle w:val="Lista2"/>
        <w:ind w:left="0" w:firstLine="0"/>
        <w:rPr>
          <w:rFonts w:cs="Arial"/>
        </w:rPr>
      </w:pPr>
      <w:r w:rsidRPr="00E06FC2">
        <w:rPr>
          <w:rFonts w:cs="Arial"/>
        </w:rPr>
        <w:t xml:space="preserve">También </w:t>
      </w:r>
      <w:r w:rsidR="008610D2" w:rsidRPr="00E06FC2">
        <w:rPr>
          <w:rFonts w:cs="Arial"/>
        </w:rPr>
        <w:t>es importante observar el requisito general de calidad que se invoc</w:t>
      </w:r>
      <w:r w:rsidR="00BF4BFF" w:rsidRPr="00E06FC2">
        <w:rPr>
          <w:rFonts w:cs="Arial"/>
        </w:rPr>
        <w:t>ó</w:t>
      </w:r>
      <w:r w:rsidR="008610D2" w:rsidRPr="00E06FC2">
        <w:rPr>
          <w:rFonts w:cs="Arial"/>
        </w:rPr>
        <w:t xml:space="preserve"> en el pliego de condiciones, as</w:t>
      </w:r>
      <w:r w:rsidR="00D607AA" w:rsidRPr="00E06FC2">
        <w:rPr>
          <w:rFonts w:cs="Arial"/>
        </w:rPr>
        <w:t>í</w:t>
      </w:r>
      <w:r w:rsidR="008610D2" w:rsidRPr="00E06FC2">
        <w:rPr>
          <w:rFonts w:cs="Arial"/>
        </w:rPr>
        <w:t xml:space="preserve">: </w:t>
      </w:r>
    </w:p>
    <w:p w14:paraId="7669495D" w14:textId="77777777" w:rsidR="0046709F" w:rsidRPr="00E06FC2" w:rsidRDefault="0046709F" w:rsidP="00743788">
      <w:pPr>
        <w:pStyle w:val="Lista2"/>
        <w:ind w:left="0" w:firstLine="0"/>
        <w:rPr>
          <w:rFonts w:cs="Arial"/>
        </w:rPr>
      </w:pPr>
    </w:p>
    <w:p w14:paraId="403067A7" w14:textId="77777777" w:rsidR="0046709F" w:rsidRPr="00E06FC2" w:rsidRDefault="0046709F" w:rsidP="00743788">
      <w:pPr>
        <w:pStyle w:val="Lista2"/>
        <w:spacing w:line="276" w:lineRule="auto"/>
        <w:ind w:left="567" w:right="567" w:firstLine="0"/>
        <w:rPr>
          <w:rFonts w:cs="Arial"/>
          <w:i/>
        </w:rPr>
      </w:pPr>
      <w:r w:rsidRPr="00E06FC2">
        <w:rPr>
          <w:rFonts w:cs="Arial"/>
          <w:i/>
        </w:rPr>
        <w:t>“3. ESPECIFICACIONES TÉCNICAS PARA EL SUMISTRO DE LAS NUEVAS LUMINARIAS Y SUS ACCESORIOS, PARA EL SERVICIO DE ALUMBRADO PÚBLICO EN EL MUNICIPIO DE CARTAGO.</w:t>
      </w:r>
    </w:p>
    <w:p w14:paraId="1C0536AE" w14:textId="77777777" w:rsidR="0046709F" w:rsidRPr="00E06FC2" w:rsidRDefault="0046709F" w:rsidP="00743788">
      <w:pPr>
        <w:pStyle w:val="Lista2"/>
        <w:spacing w:line="276" w:lineRule="auto"/>
        <w:ind w:left="567" w:right="567" w:firstLine="0"/>
        <w:rPr>
          <w:rFonts w:cs="Arial"/>
          <w:i/>
        </w:rPr>
      </w:pPr>
    </w:p>
    <w:p w14:paraId="0F0F6FDB" w14:textId="77777777" w:rsidR="00956B08" w:rsidRPr="00E06FC2" w:rsidRDefault="0046709F" w:rsidP="00743788">
      <w:pPr>
        <w:pStyle w:val="Lista2"/>
        <w:spacing w:line="276" w:lineRule="auto"/>
        <w:ind w:left="567" w:right="567" w:firstLine="0"/>
        <w:rPr>
          <w:rFonts w:cs="Arial"/>
          <w:i/>
        </w:rPr>
      </w:pPr>
      <w:r w:rsidRPr="00E06FC2">
        <w:rPr>
          <w:rFonts w:cs="Arial"/>
          <w:i/>
        </w:rPr>
        <w:lastRenderedPageBreak/>
        <w:t xml:space="preserve">“Las Luminarias de sodio de 70W, 150W, 250W y 400W y sus accesorios deberán cumplir, como mínimo, con las siguientes especificaciones técnicas y </w:t>
      </w:r>
      <w:r w:rsidRPr="00E06FC2">
        <w:rPr>
          <w:rFonts w:cs="Arial"/>
          <w:b/>
          <w:i/>
        </w:rPr>
        <w:t>el fabricante acreditará certificado ISO 9001</w:t>
      </w:r>
      <w:r w:rsidR="00956B08" w:rsidRPr="00E06FC2">
        <w:rPr>
          <w:rFonts w:cs="Arial"/>
          <w:i/>
        </w:rPr>
        <w:t>”</w:t>
      </w:r>
      <w:r w:rsidRPr="00E06FC2">
        <w:rPr>
          <w:rFonts w:cs="Arial"/>
          <w:i/>
        </w:rPr>
        <w:t>:</w:t>
      </w:r>
      <w:r w:rsidR="00956B08" w:rsidRPr="00E06FC2">
        <w:rPr>
          <w:rFonts w:cs="Arial"/>
          <w:i/>
        </w:rPr>
        <w:t xml:space="preserve"> (La negrilla no es del texto).</w:t>
      </w:r>
    </w:p>
    <w:p w14:paraId="5E42D257" w14:textId="77777777" w:rsidR="003D5CB2" w:rsidRPr="00E06FC2" w:rsidRDefault="00956B08" w:rsidP="00743788">
      <w:pPr>
        <w:pStyle w:val="Lista2"/>
        <w:spacing w:line="276" w:lineRule="auto"/>
        <w:ind w:left="567" w:right="567" w:firstLine="0"/>
        <w:rPr>
          <w:rFonts w:cs="Arial"/>
        </w:rPr>
      </w:pPr>
      <w:r w:rsidRPr="00E06FC2">
        <w:rPr>
          <w:rFonts w:cs="Arial"/>
        </w:rPr>
        <w:t xml:space="preserve"> </w:t>
      </w:r>
    </w:p>
    <w:p w14:paraId="448C2CC5" w14:textId="77777777" w:rsidR="00DD3568" w:rsidRPr="00E06FC2" w:rsidRDefault="00DD3568" w:rsidP="00743788">
      <w:pPr>
        <w:pStyle w:val="Lista2"/>
        <w:ind w:left="0" w:firstLine="0"/>
        <w:rPr>
          <w:rFonts w:cs="Arial"/>
        </w:rPr>
      </w:pPr>
      <w:r w:rsidRPr="00E06FC2">
        <w:rPr>
          <w:rFonts w:cs="Arial"/>
        </w:rPr>
        <w:t>El término luminaria no fue definido en el pliego de condiciones, pero se utilizó de manera genérica</w:t>
      </w:r>
      <w:r w:rsidR="0046709F" w:rsidRPr="00E06FC2">
        <w:rPr>
          <w:rFonts w:cs="Arial"/>
        </w:rPr>
        <w:t xml:space="preserve"> y </w:t>
      </w:r>
      <w:r w:rsidRPr="00E06FC2">
        <w:rPr>
          <w:rFonts w:cs="Arial"/>
        </w:rPr>
        <w:t>comprendió el aparato conformado por todos los componentes para la iluminación propia del alumbrado público</w:t>
      </w:r>
      <w:r w:rsidRPr="00E06FC2">
        <w:rPr>
          <w:rStyle w:val="Refdenotaalpie"/>
          <w:rFonts w:cs="Arial"/>
        </w:rPr>
        <w:footnoteReference w:id="60"/>
      </w:r>
      <w:r w:rsidRPr="00E06FC2">
        <w:rPr>
          <w:rFonts w:cs="Arial"/>
        </w:rPr>
        <w:t xml:space="preserve">, </w:t>
      </w:r>
      <w:r w:rsidR="00515B4E" w:rsidRPr="00E06FC2">
        <w:rPr>
          <w:rFonts w:cs="Arial"/>
        </w:rPr>
        <w:t xml:space="preserve">entendimiento </w:t>
      </w:r>
      <w:r w:rsidRPr="00E06FC2">
        <w:rPr>
          <w:rFonts w:cs="Arial"/>
        </w:rPr>
        <w:t>que se corrobora</w:t>
      </w:r>
      <w:r w:rsidR="008610D2" w:rsidRPr="00E06FC2">
        <w:rPr>
          <w:rFonts w:cs="Arial"/>
        </w:rPr>
        <w:t xml:space="preserve">, con la observación de los </w:t>
      </w:r>
      <w:r w:rsidR="00BF4BFF" w:rsidRPr="00E06FC2">
        <w:rPr>
          <w:rFonts w:cs="Arial"/>
        </w:rPr>
        <w:t xml:space="preserve">distintos </w:t>
      </w:r>
      <w:r w:rsidRPr="00E06FC2">
        <w:rPr>
          <w:rFonts w:cs="Arial"/>
        </w:rPr>
        <w:t>cat</w:t>
      </w:r>
      <w:r w:rsidR="0046709F" w:rsidRPr="00E06FC2">
        <w:rPr>
          <w:rFonts w:cs="Arial"/>
        </w:rPr>
        <w:t>á</w:t>
      </w:r>
      <w:r w:rsidRPr="00E06FC2">
        <w:rPr>
          <w:rFonts w:cs="Arial"/>
        </w:rPr>
        <w:t xml:space="preserve">logos obrantes como anexos de las propuestas. </w:t>
      </w:r>
    </w:p>
    <w:p w14:paraId="509E6140" w14:textId="77777777" w:rsidR="00DD3568" w:rsidRPr="00E06FC2" w:rsidRDefault="00DD3568" w:rsidP="00743788">
      <w:pPr>
        <w:pStyle w:val="Lista2"/>
        <w:ind w:left="0" w:firstLine="0"/>
        <w:rPr>
          <w:rFonts w:cs="Arial"/>
        </w:rPr>
      </w:pPr>
    </w:p>
    <w:p w14:paraId="6705AC5D" w14:textId="77777777" w:rsidR="00AC0245" w:rsidRPr="00E06FC2" w:rsidRDefault="00AC0245" w:rsidP="00743788">
      <w:pPr>
        <w:pStyle w:val="Lista2"/>
        <w:ind w:left="0" w:firstLine="0"/>
        <w:rPr>
          <w:rFonts w:cs="Arial"/>
        </w:rPr>
      </w:pPr>
      <w:r w:rsidRPr="00E06FC2">
        <w:rPr>
          <w:rFonts w:cs="Arial"/>
        </w:rPr>
        <w:t xml:space="preserve">Teniendo en cuenta la univocidad del propósito del adendo 3 respecto de la exigencia de las certificaciones de calidad ISO y de las diferentes normas técnicas citadas en el pliego de condiciones y en el adendo 3, la Sala advierte que todas las certificaciones debían </w:t>
      </w:r>
      <w:r w:rsidR="00E6578B" w:rsidRPr="00E06FC2">
        <w:rPr>
          <w:rFonts w:cs="Arial"/>
        </w:rPr>
        <w:t>ser</w:t>
      </w:r>
      <w:r w:rsidRPr="00E06FC2">
        <w:rPr>
          <w:rFonts w:cs="Arial"/>
        </w:rPr>
        <w:t xml:space="preserve"> admitidas en condiciones de igualdad, interpretación que se apoya en la posibilidad legal de definir los factores de selección objetiva, consagrada en el artículo 29 de la Ley 80 de 1993</w:t>
      </w:r>
      <w:r w:rsidRPr="00E06FC2">
        <w:rPr>
          <w:rStyle w:val="Refdenotaalpie"/>
          <w:rFonts w:cs="Arial"/>
        </w:rPr>
        <w:footnoteReference w:id="61"/>
      </w:r>
      <w:r w:rsidRPr="00E06FC2">
        <w:rPr>
          <w:rFonts w:cs="Arial"/>
        </w:rPr>
        <w:t xml:space="preserve">, aunada a que en el caso concreto el municipio buscó no cerrar las propuestas a las especificaciones de un solo proveedor o fabricante y por ende a un solo tipo de las certificaciones que pudieran exhibir las empresas del sector eléctrico. </w:t>
      </w:r>
    </w:p>
    <w:p w14:paraId="5FB25D00" w14:textId="77777777" w:rsidR="0046709F" w:rsidRPr="00E06FC2" w:rsidRDefault="0046709F" w:rsidP="00743788">
      <w:pPr>
        <w:pStyle w:val="Lista2"/>
        <w:ind w:left="0" w:firstLine="0"/>
        <w:rPr>
          <w:rFonts w:cs="Arial"/>
        </w:rPr>
      </w:pPr>
    </w:p>
    <w:p w14:paraId="58A6B472" w14:textId="77777777" w:rsidR="00BD35D8" w:rsidRPr="00E06FC2" w:rsidRDefault="008610D2" w:rsidP="00743788">
      <w:pPr>
        <w:pStyle w:val="Lista2"/>
        <w:ind w:left="0" w:firstLine="0"/>
        <w:rPr>
          <w:rFonts w:cs="Arial"/>
        </w:rPr>
      </w:pPr>
      <w:r w:rsidRPr="00E06FC2">
        <w:rPr>
          <w:rFonts w:cs="Arial"/>
        </w:rPr>
        <w:t>También</w:t>
      </w:r>
      <w:r w:rsidR="005E13C5" w:rsidRPr="00E06FC2">
        <w:rPr>
          <w:rFonts w:cs="Arial"/>
        </w:rPr>
        <w:t xml:space="preserve"> se debe </w:t>
      </w:r>
      <w:r w:rsidR="00B60EA7" w:rsidRPr="00E06FC2">
        <w:rPr>
          <w:rFonts w:cs="Arial"/>
        </w:rPr>
        <w:t>a</w:t>
      </w:r>
      <w:r w:rsidR="009F5A8A" w:rsidRPr="00E06FC2">
        <w:rPr>
          <w:rFonts w:cs="Arial"/>
        </w:rPr>
        <w:t xml:space="preserve">ceptar </w:t>
      </w:r>
      <w:r w:rsidR="005E13C5" w:rsidRPr="00E06FC2">
        <w:rPr>
          <w:rFonts w:cs="Arial"/>
        </w:rPr>
        <w:t xml:space="preserve">que </w:t>
      </w:r>
      <w:r w:rsidR="00B60EA7" w:rsidRPr="00E06FC2">
        <w:rPr>
          <w:rFonts w:cs="Arial"/>
        </w:rPr>
        <w:t xml:space="preserve">el municipio </w:t>
      </w:r>
      <w:r w:rsidR="00A8400E" w:rsidRPr="00E06FC2">
        <w:rPr>
          <w:rFonts w:cs="Arial"/>
        </w:rPr>
        <w:t xml:space="preserve">optó por </w:t>
      </w:r>
      <w:r w:rsidR="00B60EA7" w:rsidRPr="00E06FC2">
        <w:rPr>
          <w:rFonts w:cs="Arial"/>
        </w:rPr>
        <w:t>acceder a</w:t>
      </w:r>
      <w:r w:rsidR="00A8400E" w:rsidRPr="00E06FC2">
        <w:rPr>
          <w:rFonts w:cs="Arial"/>
        </w:rPr>
        <w:t xml:space="preserve">l criterio de las </w:t>
      </w:r>
      <w:r w:rsidR="009F5A8A" w:rsidRPr="00E06FC2">
        <w:rPr>
          <w:rFonts w:cs="Arial"/>
        </w:rPr>
        <w:t xml:space="preserve">homologaciones del sector eléctrico, </w:t>
      </w:r>
      <w:r w:rsidR="00B60EA7" w:rsidRPr="00E06FC2">
        <w:rPr>
          <w:rFonts w:cs="Arial"/>
        </w:rPr>
        <w:t xml:space="preserve">como una herramienta de equidad, </w:t>
      </w:r>
      <w:r w:rsidR="00A8400E" w:rsidRPr="00E06FC2">
        <w:rPr>
          <w:rFonts w:cs="Arial"/>
        </w:rPr>
        <w:t xml:space="preserve">mas no </w:t>
      </w:r>
      <w:r w:rsidR="00E52A87" w:rsidRPr="00E06FC2">
        <w:rPr>
          <w:rFonts w:cs="Arial"/>
        </w:rPr>
        <w:t xml:space="preserve">para </w:t>
      </w:r>
      <w:r w:rsidR="009F5A8A" w:rsidRPr="00E06FC2">
        <w:rPr>
          <w:rFonts w:cs="Arial"/>
        </w:rPr>
        <w:t>dar prevalencia a determinados proveedores</w:t>
      </w:r>
      <w:r w:rsidR="00E52A87" w:rsidRPr="00E06FC2">
        <w:rPr>
          <w:rFonts w:cs="Arial"/>
        </w:rPr>
        <w:t>, puesto que ese fue el sentido de las observaciones que recibió y</w:t>
      </w:r>
      <w:r w:rsidR="00BA6FCA" w:rsidRPr="00E06FC2">
        <w:rPr>
          <w:rFonts w:cs="Arial"/>
        </w:rPr>
        <w:t>, desde la perspectiva que otorga este plenario,</w:t>
      </w:r>
      <w:r w:rsidR="00E52A87" w:rsidRPr="00E06FC2">
        <w:rPr>
          <w:rFonts w:cs="Arial"/>
        </w:rPr>
        <w:t xml:space="preserve"> se entiende que </w:t>
      </w:r>
      <w:r w:rsidR="00BD35D8" w:rsidRPr="00E06FC2">
        <w:rPr>
          <w:rFonts w:cs="Arial"/>
        </w:rPr>
        <w:t xml:space="preserve">las </w:t>
      </w:r>
      <w:r w:rsidR="00E52A87" w:rsidRPr="00E06FC2">
        <w:rPr>
          <w:rFonts w:cs="Arial"/>
        </w:rPr>
        <w:t>adoptó sin que se aprecie el ánimo de privilegiar o restringir la competencia</w:t>
      </w:r>
      <w:r w:rsidR="009F5A8A" w:rsidRPr="00E06FC2">
        <w:rPr>
          <w:rFonts w:cs="Arial"/>
        </w:rPr>
        <w:t xml:space="preserve">. </w:t>
      </w:r>
    </w:p>
    <w:p w14:paraId="0E656564" w14:textId="77777777" w:rsidR="00BD35D8" w:rsidRPr="00E06FC2" w:rsidRDefault="00BD35D8" w:rsidP="00743788">
      <w:pPr>
        <w:pStyle w:val="Lista2"/>
        <w:ind w:left="0" w:firstLine="0"/>
        <w:rPr>
          <w:rFonts w:cs="Arial"/>
        </w:rPr>
      </w:pPr>
    </w:p>
    <w:p w14:paraId="62EF56FD" w14:textId="77777777" w:rsidR="004D1508" w:rsidRPr="00E06FC2" w:rsidRDefault="004D1508" w:rsidP="00743788">
      <w:pPr>
        <w:pStyle w:val="Lista2"/>
        <w:ind w:left="0" w:firstLine="0"/>
        <w:rPr>
          <w:rFonts w:cs="Arial"/>
        </w:rPr>
      </w:pPr>
      <w:r w:rsidRPr="00E06FC2">
        <w:rPr>
          <w:rFonts w:cs="Arial"/>
        </w:rPr>
        <w:t xml:space="preserve">Esa </w:t>
      </w:r>
      <w:r w:rsidR="00E52A87" w:rsidRPr="00E06FC2">
        <w:rPr>
          <w:rFonts w:cs="Arial"/>
        </w:rPr>
        <w:t xml:space="preserve">conducta </w:t>
      </w:r>
      <w:r w:rsidRPr="00E06FC2">
        <w:rPr>
          <w:rFonts w:cs="Arial"/>
        </w:rPr>
        <w:t>se corresponde con e</w:t>
      </w:r>
      <w:r w:rsidR="00A061BE" w:rsidRPr="00E06FC2">
        <w:rPr>
          <w:rFonts w:cs="Arial"/>
        </w:rPr>
        <w:t>l</w:t>
      </w:r>
      <w:r w:rsidRPr="00E06FC2">
        <w:rPr>
          <w:rFonts w:cs="Arial"/>
        </w:rPr>
        <w:t xml:space="preserve"> cumplimiento de la Ley 80 de 1993, en relación con el principio de selección objetiva, teniendo en cuenta que se aplicaba la misma</w:t>
      </w:r>
      <w:r w:rsidR="000D3B0D" w:rsidRPr="00E06FC2">
        <w:rPr>
          <w:rFonts w:cs="Arial"/>
        </w:rPr>
        <w:t xml:space="preserve"> fórmula </w:t>
      </w:r>
      <w:r w:rsidRPr="00E06FC2">
        <w:rPr>
          <w:rFonts w:cs="Arial"/>
        </w:rPr>
        <w:t>para todas las propuestas, cualquiera que fuera el sistema de certificación</w:t>
      </w:r>
      <w:r w:rsidR="000D3B0D" w:rsidRPr="00E06FC2">
        <w:rPr>
          <w:rFonts w:cs="Arial"/>
        </w:rPr>
        <w:t xml:space="preserve"> </w:t>
      </w:r>
      <w:r w:rsidR="000D3B0D" w:rsidRPr="00E06FC2">
        <w:rPr>
          <w:rFonts w:cs="Arial"/>
        </w:rPr>
        <w:lastRenderedPageBreak/>
        <w:t xml:space="preserve">nacional o extranjero y que todos convergían en otorgar confianza sobre la calidad de los bienes para liberar un puntaje sobre la misma base, con independencia de la norma </w:t>
      </w:r>
      <w:r w:rsidR="00D15C56" w:rsidRPr="00E06FC2">
        <w:rPr>
          <w:rFonts w:cs="Arial"/>
        </w:rPr>
        <w:t xml:space="preserve">de calidad que </w:t>
      </w:r>
      <w:r w:rsidR="00BD35D8" w:rsidRPr="00E06FC2">
        <w:rPr>
          <w:rFonts w:cs="Arial"/>
        </w:rPr>
        <w:t xml:space="preserve">se utilizó </w:t>
      </w:r>
      <w:r w:rsidR="00B666F4" w:rsidRPr="00E06FC2">
        <w:rPr>
          <w:rFonts w:cs="Arial"/>
        </w:rPr>
        <w:t>para acreditar el respectivo factor.</w:t>
      </w:r>
    </w:p>
    <w:p w14:paraId="12E90174" w14:textId="77777777" w:rsidR="00E03217" w:rsidRPr="00E06FC2" w:rsidRDefault="00E03217" w:rsidP="00743788">
      <w:pPr>
        <w:pStyle w:val="Lista2"/>
        <w:ind w:left="0" w:firstLine="0"/>
        <w:rPr>
          <w:rFonts w:cs="Arial"/>
        </w:rPr>
      </w:pPr>
    </w:p>
    <w:p w14:paraId="0FE974F1" w14:textId="77777777" w:rsidR="008D76F4" w:rsidRPr="00E06FC2" w:rsidRDefault="00E03217" w:rsidP="00743788">
      <w:pPr>
        <w:pStyle w:val="Lista2"/>
        <w:ind w:left="0" w:firstLine="0"/>
        <w:rPr>
          <w:rFonts w:cs="Arial"/>
        </w:rPr>
      </w:pPr>
      <w:r w:rsidRPr="00E06FC2">
        <w:rPr>
          <w:rFonts w:cs="Arial"/>
        </w:rPr>
        <w:t>Por último, es bueno corroborar que la interpretación de los antecedentes</w:t>
      </w:r>
      <w:r w:rsidR="00A061BE" w:rsidRPr="00E06FC2">
        <w:rPr>
          <w:rFonts w:cs="Arial"/>
        </w:rPr>
        <w:t xml:space="preserve">, </w:t>
      </w:r>
      <w:r w:rsidR="008D76F4" w:rsidRPr="00E06FC2">
        <w:rPr>
          <w:rFonts w:cs="Arial"/>
        </w:rPr>
        <w:t>se co</w:t>
      </w:r>
      <w:r w:rsidRPr="00E06FC2">
        <w:rPr>
          <w:rFonts w:cs="Arial"/>
        </w:rPr>
        <w:t xml:space="preserve">nfirma </w:t>
      </w:r>
      <w:r w:rsidR="008D76F4" w:rsidRPr="00E06FC2">
        <w:rPr>
          <w:rFonts w:cs="Arial"/>
        </w:rPr>
        <w:t xml:space="preserve">en el proceso </w:t>
      </w:r>
      <w:r w:rsidRPr="00E06FC2">
        <w:rPr>
          <w:rFonts w:cs="Arial"/>
        </w:rPr>
        <w:t>con el dicho de</w:t>
      </w:r>
      <w:r w:rsidR="008D76F4" w:rsidRPr="00E06FC2">
        <w:rPr>
          <w:rFonts w:cs="Arial"/>
        </w:rPr>
        <w:t xml:space="preserve"> Martín Alonso Ortega Victoria, miembro técnico del comité de evaluación, quien rindió testimonio el 24 de octubre del año 2000, oportunidad en la cual </w:t>
      </w:r>
      <w:r w:rsidRPr="00E06FC2">
        <w:rPr>
          <w:rFonts w:cs="Arial"/>
        </w:rPr>
        <w:t xml:space="preserve">el testigo </w:t>
      </w:r>
      <w:r w:rsidR="008D76F4" w:rsidRPr="00E06FC2">
        <w:rPr>
          <w:rFonts w:cs="Arial"/>
        </w:rPr>
        <w:t>expresó:</w:t>
      </w:r>
    </w:p>
    <w:p w14:paraId="0A380511" w14:textId="77777777" w:rsidR="008D76F4" w:rsidRPr="00E06FC2" w:rsidRDefault="008D76F4" w:rsidP="00743788">
      <w:pPr>
        <w:pStyle w:val="Lista2"/>
        <w:ind w:left="567" w:right="567" w:firstLine="0"/>
        <w:rPr>
          <w:rFonts w:cs="Arial"/>
          <w:i/>
        </w:rPr>
      </w:pPr>
    </w:p>
    <w:p w14:paraId="2227038B" w14:textId="77777777" w:rsidR="008D76F4" w:rsidRPr="00E06FC2" w:rsidRDefault="008D76F4" w:rsidP="00743788">
      <w:pPr>
        <w:pStyle w:val="Lista2"/>
        <w:spacing w:line="276" w:lineRule="auto"/>
        <w:ind w:left="567" w:right="567" w:firstLine="0"/>
        <w:rPr>
          <w:rFonts w:cs="Arial"/>
          <w:i/>
        </w:rPr>
      </w:pPr>
      <w:r w:rsidRPr="00E06FC2">
        <w:rPr>
          <w:rFonts w:cs="Arial"/>
          <w:i/>
        </w:rPr>
        <w:t>“(…) inicialmente se exigía un tipo de luminaria y accesorios que no era de producción nacional, esta era la propuesta original por lo cual la Alcaldía municipal en el adendo amplió las características de estas condiciones en la cual podían participar firmas nacionales que cumplieran con la normatividad vigente, y esto se hizo con los mismos proponentes que adquirieron los pliegos antes del cierre de la licitación, y esto fue antes de presentarlos, la licitación o sea que el plazo lo amplió antes de conocer las propuestas de los proponentes (…) por medio del adendo que hizo para la licitación se daba o se dio m</w:t>
      </w:r>
      <w:r w:rsidR="00926BDE" w:rsidRPr="00E06FC2">
        <w:rPr>
          <w:rFonts w:cs="Arial"/>
          <w:i/>
        </w:rPr>
        <w:t>á</w:t>
      </w:r>
      <w:r w:rsidRPr="00E06FC2">
        <w:rPr>
          <w:rFonts w:cs="Arial"/>
          <w:i/>
        </w:rPr>
        <w:t>s cobertura a las condiciones técnicas  (…). Con este adendo se buscó que las condiciones técnicas  exigidas no fuera para un proveedor exclusivo, sino que se permitiera la participación de más proveedores.</w:t>
      </w:r>
      <w:r w:rsidRPr="00E06FC2">
        <w:rPr>
          <w:rStyle w:val="Refdenotaalpie"/>
          <w:rFonts w:cs="Arial"/>
          <w:i/>
        </w:rPr>
        <w:footnoteReference w:id="62"/>
      </w:r>
      <w:r w:rsidRPr="00E06FC2">
        <w:rPr>
          <w:rFonts w:cs="Arial"/>
          <w:i/>
        </w:rPr>
        <w:t>.</w:t>
      </w:r>
    </w:p>
    <w:p w14:paraId="4DBF9EF9" w14:textId="77777777" w:rsidR="008D76F4" w:rsidRPr="00E06FC2" w:rsidRDefault="008D76F4" w:rsidP="00743788">
      <w:pPr>
        <w:pStyle w:val="Lista2"/>
        <w:ind w:left="0" w:firstLine="0"/>
        <w:rPr>
          <w:rFonts w:cs="Arial"/>
        </w:rPr>
      </w:pPr>
    </w:p>
    <w:p w14:paraId="4B428821" w14:textId="77777777" w:rsidR="008D76F4" w:rsidRPr="00E06FC2" w:rsidRDefault="003B1FFE" w:rsidP="00743788">
      <w:pPr>
        <w:pStyle w:val="Lista2"/>
        <w:ind w:left="0" w:firstLine="0"/>
        <w:rPr>
          <w:rFonts w:cs="Arial"/>
          <w:b/>
        </w:rPr>
      </w:pPr>
      <w:r w:rsidRPr="00E06FC2">
        <w:rPr>
          <w:rFonts w:cs="Arial"/>
          <w:b/>
        </w:rPr>
        <w:t>5. El ca</w:t>
      </w:r>
      <w:r w:rsidR="009E1D27" w:rsidRPr="00E06FC2">
        <w:rPr>
          <w:rFonts w:cs="Arial"/>
          <w:b/>
        </w:rPr>
        <w:t>so concreto</w:t>
      </w:r>
    </w:p>
    <w:p w14:paraId="526D3360" w14:textId="77777777" w:rsidR="003B1FFE" w:rsidRPr="00E06FC2" w:rsidRDefault="003B1FFE" w:rsidP="00743788">
      <w:pPr>
        <w:ind w:right="567"/>
        <w:rPr>
          <w:rFonts w:cs="Arial"/>
          <w:bCs/>
          <w:lang w:val="es-MX"/>
        </w:rPr>
      </w:pPr>
    </w:p>
    <w:p w14:paraId="4258DE77" w14:textId="77777777" w:rsidR="00A061BE" w:rsidRPr="00E06FC2" w:rsidRDefault="003B1FFE" w:rsidP="00743788">
      <w:pPr>
        <w:rPr>
          <w:rFonts w:cs="Arial"/>
          <w:b/>
          <w:bCs/>
          <w:lang w:val="es-MX"/>
        </w:rPr>
      </w:pPr>
      <w:r w:rsidRPr="00E06FC2">
        <w:rPr>
          <w:rFonts w:cs="Arial"/>
          <w:b/>
          <w:bCs/>
          <w:lang w:val="es-MX"/>
        </w:rPr>
        <w:t xml:space="preserve">5.1. </w:t>
      </w:r>
      <w:r w:rsidR="00D42279" w:rsidRPr="00E06FC2">
        <w:rPr>
          <w:rFonts w:cs="Arial"/>
          <w:b/>
          <w:bCs/>
          <w:lang w:val="es-MX"/>
        </w:rPr>
        <w:t xml:space="preserve">La </w:t>
      </w:r>
      <w:r w:rsidR="003A13F4" w:rsidRPr="00E06FC2">
        <w:rPr>
          <w:rFonts w:cs="Arial"/>
          <w:b/>
          <w:bCs/>
          <w:lang w:val="es-MX"/>
        </w:rPr>
        <w:t>delimitación de la apelación</w:t>
      </w:r>
    </w:p>
    <w:p w14:paraId="665B46FB" w14:textId="77777777" w:rsidR="003A13F4" w:rsidRPr="00E06FC2" w:rsidRDefault="003A13F4" w:rsidP="00743788">
      <w:pPr>
        <w:ind w:right="567"/>
        <w:rPr>
          <w:rFonts w:cs="Arial"/>
          <w:b/>
          <w:bCs/>
          <w:lang w:val="es-MX"/>
        </w:rPr>
      </w:pPr>
    </w:p>
    <w:p w14:paraId="56BEFD86" w14:textId="77777777" w:rsidR="009C3193" w:rsidRPr="00E06FC2" w:rsidRDefault="005D3263" w:rsidP="00743788">
      <w:pPr>
        <w:rPr>
          <w:rFonts w:cs="Arial"/>
          <w:bCs/>
          <w:lang w:val="es-MX"/>
        </w:rPr>
      </w:pPr>
      <w:r w:rsidRPr="00E06FC2">
        <w:rPr>
          <w:rFonts w:cs="Arial"/>
          <w:bCs/>
          <w:lang w:val="es-MX"/>
        </w:rPr>
        <w:t xml:space="preserve">En atención a que </w:t>
      </w:r>
      <w:r w:rsidR="00D42279" w:rsidRPr="00E06FC2">
        <w:rPr>
          <w:rFonts w:cs="Arial"/>
          <w:bCs/>
          <w:lang w:val="es-MX"/>
        </w:rPr>
        <w:t xml:space="preserve">la </w:t>
      </w:r>
      <w:r w:rsidR="006220E6" w:rsidRPr="00E06FC2">
        <w:rPr>
          <w:rFonts w:cs="Arial"/>
          <w:bCs/>
          <w:lang w:val="es-MX"/>
        </w:rPr>
        <w:t xml:space="preserve">sentencia </w:t>
      </w:r>
      <w:r w:rsidR="009C3193" w:rsidRPr="00E06FC2">
        <w:rPr>
          <w:rFonts w:cs="Arial"/>
          <w:bCs/>
          <w:lang w:val="es-MX"/>
        </w:rPr>
        <w:t xml:space="preserve">de primera instancia </w:t>
      </w:r>
      <w:r w:rsidR="006220E6" w:rsidRPr="00E06FC2">
        <w:rPr>
          <w:rFonts w:cs="Arial"/>
          <w:bCs/>
          <w:lang w:val="es-MX"/>
        </w:rPr>
        <w:t>fue objeto de apelación por todas las partes intervinientes en el proceso</w:t>
      </w:r>
      <w:r w:rsidRPr="00E06FC2">
        <w:rPr>
          <w:rFonts w:cs="Arial"/>
          <w:bCs/>
          <w:lang w:val="es-MX"/>
        </w:rPr>
        <w:t xml:space="preserve">, </w:t>
      </w:r>
      <w:r w:rsidR="009C3193" w:rsidRPr="00E06FC2">
        <w:rPr>
          <w:rFonts w:cs="Arial"/>
          <w:bCs/>
          <w:lang w:val="es-MX"/>
        </w:rPr>
        <w:t xml:space="preserve">la </w:t>
      </w:r>
      <w:r w:rsidR="009C3193" w:rsidRPr="00E06FC2">
        <w:rPr>
          <w:rFonts w:cs="Arial"/>
          <w:bCs/>
          <w:i/>
          <w:lang w:val="es-MX"/>
        </w:rPr>
        <w:t>litis</w:t>
      </w:r>
      <w:r w:rsidR="009C3193" w:rsidRPr="00E06FC2">
        <w:rPr>
          <w:rFonts w:cs="Arial"/>
          <w:bCs/>
          <w:lang w:val="es-MX"/>
        </w:rPr>
        <w:t xml:space="preserve"> en segunda instancia se encuentra abierta sobre </w:t>
      </w:r>
      <w:r w:rsidRPr="00E06FC2">
        <w:rPr>
          <w:rFonts w:cs="Arial"/>
          <w:bCs/>
          <w:lang w:val="es-MX"/>
        </w:rPr>
        <w:t xml:space="preserve">distintos asuntos </w:t>
      </w:r>
      <w:r w:rsidR="009C3193" w:rsidRPr="00E06FC2">
        <w:rPr>
          <w:rFonts w:cs="Arial"/>
          <w:bCs/>
          <w:lang w:val="es-MX"/>
        </w:rPr>
        <w:t xml:space="preserve">contrapuestos. Por ello, conviene hacer claridad acerca de la delimitación de la apelación y el </w:t>
      </w:r>
      <w:r w:rsidR="00D42279" w:rsidRPr="00E06FC2">
        <w:rPr>
          <w:rFonts w:cs="Arial"/>
          <w:bCs/>
          <w:lang w:val="es-MX"/>
        </w:rPr>
        <w:t xml:space="preserve">orden de razonamiento </w:t>
      </w:r>
      <w:r w:rsidR="009C3193" w:rsidRPr="00E06FC2">
        <w:rPr>
          <w:rFonts w:cs="Arial"/>
          <w:bCs/>
          <w:lang w:val="es-MX"/>
        </w:rPr>
        <w:t>que se seguirá para resolver lo que se controvierte.</w:t>
      </w:r>
    </w:p>
    <w:p w14:paraId="7810DE8F" w14:textId="77777777" w:rsidR="009C3193" w:rsidRPr="00E06FC2" w:rsidRDefault="009C3193" w:rsidP="00743788">
      <w:pPr>
        <w:rPr>
          <w:rFonts w:cs="Arial"/>
          <w:bCs/>
          <w:lang w:val="es-MX"/>
        </w:rPr>
      </w:pPr>
    </w:p>
    <w:p w14:paraId="3A370ED5" w14:textId="77777777" w:rsidR="00D42279" w:rsidRPr="00E06FC2" w:rsidRDefault="009C3193" w:rsidP="00743788">
      <w:pPr>
        <w:rPr>
          <w:rFonts w:cs="Arial"/>
          <w:bCs/>
          <w:lang w:val="es-MX"/>
        </w:rPr>
      </w:pPr>
      <w:r w:rsidRPr="00E06FC2">
        <w:rPr>
          <w:rFonts w:cs="Arial"/>
          <w:bCs/>
          <w:lang w:val="es-MX"/>
        </w:rPr>
        <w:t xml:space="preserve">La Sala </w:t>
      </w:r>
      <w:r w:rsidR="00CC037E" w:rsidRPr="00E06FC2">
        <w:rPr>
          <w:rFonts w:cs="Arial"/>
          <w:bCs/>
          <w:lang w:val="es-MX"/>
        </w:rPr>
        <w:t>estudiará</w:t>
      </w:r>
      <w:r w:rsidRPr="00E06FC2">
        <w:rPr>
          <w:rFonts w:cs="Arial"/>
          <w:bCs/>
          <w:lang w:val="es-MX"/>
        </w:rPr>
        <w:t xml:space="preserve"> lo siguiente:</w:t>
      </w:r>
      <w:r w:rsidR="004F57A1" w:rsidRPr="00E06FC2">
        <w:rPr>
          <w:rFonts w:cs="Arial"/>
          <w:bCs/>
          <w:lang w:val="es-MX"/>
        </w:rPr>
        <w:t xml:space="preserve"> </w:t>
      </w:r>
      <w:r w:rsidRPr="00E06FC2">
        <w:rPr>
          <w:rFonts w:cs="Arial"/>
          <w:b/>
          <w:bCs/>
          <w:lang w:val="es-MX"/>
        </w:rPr>
        <w:t>i)</w:t>
      </w:r>
      <w:r w:rsidRPr="00E06FC2">
        <w:rPr>
          <w:rFonts w:cs="Arial"/>
          <w:bCs/>
          <w:lang w:val="es-MX"/>
        </w:rPr>
        <w:t xml:space="preserve"> </w:t>
      </w:r>
      <w:r w:rsidR="00CC037E" w:rsidRPr="00E06FC2">
        <w:rPr>
          <w:rFonts w:cs="Arial"/>
          <w:bCs/>
          <w:lang w:val="es-MX"/>
        </w:rPr>
        <w:t xml:space="preserve">los argumentos presentados en la apelación </w:t>
      </w:r>
      <w:r w:rsidR="00D15C56" w:rsidRPr="00E06FC2">
        <w:rPr>
          <w:rFonts w:cs="Arial"/>
          <w:bCs/>
          <w:lang w:val="es-MX"/>
        </w:rPr>
        <w:t xml:space="preserve">por </w:t>
      </w:r>
      <w:r w:rsidR="00CC037E" w:rsidRPr="00E06FC2">
        <w:rPr>
          <w:rFonts w:cs="Arial"/>
          <w:bCs/>
          <w:lang w:val="es-MX"/>
        </w:rPr>
        <w:t>la parte demandada</w:t>
      </w:r>
      <w:r w:rsidR="00D15C56" w:rsidRPr="00E06FC2">
        <w:rPr>
          <w:rFonts w:cs="Arial"/>
          <w:bCs/>
          <w:lang w:val="es-MX"/>
        </w:rPr>
        <w:t>,</w:t>
      </w:r>
      <w:r w:rsidR="006220E6" w:rsidRPr="00E06FC2">
        <w:rPr>
          <w:rFonts w:cs="Arial"/>
          <w:bCs/>
          <w:lang w:val="es-MX"/>
        </w:rPr>
        <w:t xml:space="preserve"> </w:t>
      </w:r>
      <w:r w:rsidR="00CC037E" w:rsidRPr="00E06FC2">
        <w:rPr>
          <w:rFonts w:cs="Arial"/>
          <w:bCs/>
          <w:lang w:val="es-MX"/>
        </w:rPr>
        <w:t xml:space="preserve">en torno de </w:t>
      </w:r>
      <w:r w:rsidR="00535D5F" w:rsidRPr="00E06FC2">
        <w:rPr>
          <w:rFonts w:cs="Arial"/>
          <w:bCs/>
          <w:lang w:val="es-MX"/>
        </w:rPr>
        <w:t xml:space="preserve">la calificación de </w:t>
      </w:r>
      <w:r w:rsidR="00D42279" w:rsidRPr="00E06FC2">
        <w:rPr>
          <w:rFonts w:cs="Arial"/>
          <w:bCs/>
          <w:lang w:val="es-MX"/>
        </w:rPr>
        <w:t>la</w:t>
      </w:r>
      <w:r w:rsidR="004F57A1" w:rsidRPr="00E06FC2">
        <w:rPr>
          <w:rFonts w:cs="Arial"/>
          <w:bCs/>
          <w:lang w:val="es-MX"/>
        </w:rPr>
        <w:t>s propuestas,</w:t>
      </w:r>
      <w:r w:rsidR="00D42279" w:rsidRPr="00E06FC2">
        <w:rPr>
          <w:rFonts w:cs="Arial"/>
          <w:bCs/>
          <w:lang w:val="es-MX"/>
        </w:rPr>
        <w:t xml:space="preserve"> </w:t>
      </w:r>
      <w:r w:rsidR="006220E6" w:rsidRPr="00E06FC2">
        <w:rPr>
          <w:rFonts w:cs="Arial"/>
          <w:bCs/>
          <w:lang w:val="es-MX"/>
        </w:rPr>
        <w:t>para lo cual se estudiar</w:t>
      </w:r>
      <w:r w:rsidR="00E6578B" w:rsidRPr="00E06FC2">
        <w:rPr>
          <w:rFonts w:cs="Arial"/>
          <w:bCs/>
          <w:lang w:val="es-MX"/>
        </w:rPr>
        <w:t>á</w:t>
      </w:r>
      <w:r w:rsidR="006220E6" w:rsidRPr="00E06FC2">
        <w:rPr>
          <w:rFonts w:cs="Arial"/>
          <w:bCs/>
          <w:lang w:val="es-MX"/>
        </w:rPr>
        <w:t xml:space="preserve">n los puntajes </w:t>
      </w:r>
      <w:r w:rsidR="005D3263" w:rsidRPr="00E06FC2">
        <w:rPr>
          <w:rFonts w:cs="Arial"/>
          <w:bCs/>
          <w:lang w:val="es-MX"/>
        </w:rPr>
        <w:t xml:space="preserve">comparados entre el acta del </w:t>
      </w:r>
      <w:r w:rsidR="00EA41BE" w:rsidRPr="00E06FC2">
        <w:rPr>
          <w:rFonts w:cs="Arial"/>
          <w:bCs/>
          <w:lang w:val="es-MX"/>
        </w:rPr>
        <w:t>c</w:t>
      </w:r>
      <w:r w:rsidR="005D3263" w:rsidRPr="00E06FC2">
        <w:rPr>
          <w:rFonts w:cs="Arial"/>
          <w:bCs/>
          <w:lang w:val="es-MX"/>
        </w:rPr>
        <w:t xml:space="preserve">omité de </w:t>
      </w:r>
      <w:r w:rsidR="00EA41BE" w:rsidRPr="00E06FC2">
        <w:rPr>
          <w:rFonts w:cs="Arial"/>
          <w:bCs/>
          <w:lang w:val="es-MX"/>
        </w:rPr>
        <w:t>e</w:t>
      </w:r>
      <w:r w:rsidR="005D3263" w:rsidRPr="00E06FC2">
        <w:rPr>
          <w:rFonts w:cs="Arial"/>
          <w:bCs/>
          <w:lang w:val="es-MX"/>
        </w:rPr>
        <w:t>valuación</w:t>
      </w:r>
      <w:r w:rsidR="00CC037E" w:rsidRPr="00E06FC2">
        <w:rPr>
          <w:rFonts w:cs="Arial"/>
          <w:bCs/>
          <w:lang w:val="es-MX"/>
        </w:rPr>
        <w:t xml:space="preserve"> de la Licitación Pública 001 de 1997</w:t>
      </w:r>
      <w:r w:rsidR="005D3263" w:rsidRPr="00E06FC2">
        <w:rPr>
          <w:rFonts w:cs="Arial"/>
          <w:bCs/>
          <w:lang w:val="es-MX"/>
        </w:rPr>
        <w:t xml:space="preserve">, el dictamen </w:t>
      </w:r>
      <w:r w:rsidR="00CC037E" w:rsidRPr="00E06FC2">
        <w:rPr>
          <w:rFonts w:cs="Arial"/>
          <w:bCs/>
          <w:lang w:val="es-MX"/>
        </w:rPr>
        <w:t xml:space="preserve">practicado en el proceso </w:t>
      </w:r>
      <w:r w:rsidR="005D3263" w:rsidRPr="00E06FC2">
        <w:rPr>
          <w:rFonts w:cs="Arial"/>
          <w:bCs/>
          <w:lang w:val="es-MX"/>
        </w:rPr>
        <w:t xml:space="preserve">y la </w:t>
      </w:r>
      <w:r w:rsidR="00CC037E" w:rsidRPr="00E06FC2">
        <w:rPr>
          <w:rFonts w:cs="Arial"/>
          <w:bCs/>
          <w:lang w:val="es-MX"/>
        </w:rPr>
        <w:t>decisión adoptada en la sentencia materia de la apelación por parte del extremo demandado</w:t>
      </w:r>
      <w:r w:rsidR="00D42279" w:rsidRPr="00E06FC2">
        <w:rPr>
          <w:rFonts w:cs="Arial"/>
          <w:bCs/>
          <w:lang w:val="es-MX"/>
        </w:rPr>
        <w:t xml:space="preserve">; </w:t>
      </w:r>
      <w:r w:rsidR="00D42279" w:rsidRPr="00E06FC2">
        <w:rPr>
          <w:rFonts w:cs="Arial"/>
          <w:b/>
          <w:bCs/>
          <w:lang w:val="es-MX"/>
        </w:rPr>
        <w:lastRenderedPageBreak/>
        <w:t>ii)</w:t>
      </w:r>
      <w:r w:rsidR="00D42279" w:rsidRPr="00E06FC2">
        <w:rPr>
          <w:rFonts w:cs="Arial"/>
          <w:bCs/>
          <w:lang w:val="es-MX"/>
        </w:rPr>
        <w:t xml:space="preserve"> en caso de que prosperen los argumentos para </w:t>
      </w:r>
      <w:r w:rsidR="005D3263" w:rsidRPr="00E06FC2">
        <w:rPr>
          <w:rFonts w:cs="Arial"/>
          <w:bCs/>
          <w:lang w:val="es-MX"/>
        </w:rPr>
        <w:t xml:space="preserve">revocar la sentencia, la Sala </w:t>
      </w:r>
      <w:r w:rsidR="005158C9" w:rsidRPr="00E06FC2">
        <w:rPr>
          <w:rFonts w:cs="Arial"/>
          <w:bCs/>
          <w:lang w:val="es-MX"/>
        </w:rPr>
        <w:t xml:space="preserve">se regresará </w:t>
      </w:r>
      <w:r w:rsidR="00822FAB" w:rsidRPr="00E06FC2">
        <w:rPr>
          <w:rFonts w:cs="Arial"/>
          <w:bCs/>
          <w:lang w:val="es-MX"/>
        </w:rPr>
        <w:t>a</w:t>
      </w:r>
      <w:r w:rsidR="00D42279" w:rsidRPr="00E06FC2">
        <w:rPr>
          <w:rFonts w:cs="Arial"/>
          <w:bCs/>
          <w:lang w:val="es-MX"/>
        </w:rPr>
        <w:t xml:space="preserve"> estudiar los cargo</w:t>
      </w:r>
      <w:r w:rsidR="004F57A1" w:rsidRPr="00E06FC2">
        <w:rPr>
          <w:rFonts w:cs="Arial"/>
          <w:bCs/>
          <w:lang w:val="es-MX"/>
        </w:rPr>
        <w:t>s presentados en la demanda</w:t>
      </w:r>
      <w:r w:rsidR="00822FAB" w:rsidRPr="00E06FC2">
        <w:rPr>
          <w:rFonts w:cs="Arial"/>
          <w:bCs/>
          <w:lang w:val="es-MX"/>
        </w:rPr>
        <w:t>,</w:t>
      </w:r>
      <w:r w:rsidR="00535D5F" w:rsidRPr="00E06FC2">
        <w:rPr>
          <w:rFonts w:cs="Arial"/>
          <w:bCs/>
          <w:lang w:val="es-MX"/>
        </w:rPr>
        <w:t xml:space="preserve"> </w:t>
      </w:r>
      <w:r w:rsidR="00DF6720" w:rsidRPr="00E06FC2">
        <w:rPr>
          <w:rFonts w:cs="Arial"/>
          <w:bCs/>
          <w:lang w:val="es-MX"/>
        </w:rPr>
        <w:t xml:space="preserve">en </w:t>
      </w:r>
      <w:r w:rsidR="005158C9" w:rsidRPr="00E06FC2">
        <w:rPr>
          <w:rFonts w:cs="Arial"/>
          <w:bCs/>
          <w:lang w:val="es-MX"/>
        </w:rPr>
        <w:t xml:space="preserve">el marco de </w:t>
      </w:r>
      <w:r w:rsidR="00DF6720" w:rsidRPr="00E06FC2">
        <w:rPr>
          <w:rFonts w:cs="Arial"/>
          <w:bCs/>
          <w:lang w:val="es-MX"/>
        </w:rPr>
        <w:t xml:space="preserve">los factores de calificación que la parte actora atacó, </w:t>
      </w:r>
      <w:r w:rsidR="00535D5F" w:rsidRPr="00E06FC2">
        <w:rPr>
          <w:rFonts w:cs="Arial"/>
          <w:bCs/>
          <w:lang w:val="es-MX"/>
        </w:rPr>
        <w:t xml:space="preserve">con el fin de establecer </w:t>
      </w:r>
      <w:r w:rsidR="004F57A1" w:rsidRPr="00E06FC2">
        <w:rPr>
          <w:rFonts w:cs="Arial"/>
          <w:bCs/>
          <w:lang w:val="es-MX"/>
        </w:rPr>
        <w:t xml:space="preserve">si prospera </w:t>
      </w:r>
      <w:r w:rsidR="00535D5F" w:rsidRPr="00E06FC2">
        <w:rPr>
          <w:rFonts w:cs="Arial"/>
          <w:bCs/>
          <w:lang w:val="es-MX"/>
        </w:rPr>
        <w:t>o no l</w:t>
      </w:r>
      <w:r w:rsidR="004F57A1" w:rsidRPr="00E06FC2">
        <w:rPr>
          <w:rFonts w:cs="Arial"/>
          <w:bCs/>
          <w:lang w:val="es-MX"/>
        </w:rPr>
        <w:t xml:space="preserve">a </w:t>
      </w:r>
      <w:r w:rsidR="00A061BE" w:rsidRPr="00E06FC2">
        <w:rPr>
          <w:rFonts w:cs="Arial"/>
          <w:bCs/>
          <w:lang w:val="es-MX"/>
        </w:rPr>
        <w:t xml:space="preserve">pretensión de </w:t>
      </w:r>
      <w:r w:rsidR="004F57A1" w:rsidRPr="00E06FC2">
        <w:rPr>
          <w:rFonts w:cs="Arial"/>
          <w:bCs/>
          <w:lang w:val="es-MX"/>
        </w:rPr>
        <w:t>nulidad del acto de adjudicación</w:t>
      </w:r>
      <w:r w:rsidR="00D42279" w:rsidRPr="00E06FC2">
        <w:rPr>
          <w:rFonts w:cs="Arial"/>
          <w:bCs/>
          <w:lang w:val="es-MX"/>
        </w:rPr>
        <w:t xml:space="preserve">; </w:t>
      </w:r>
      <w:r w:rsidR="00D42279" w:rsidRPr="00E06FC2">
        <w:rPr>
          <w:rFonts w:cs="Arial"/>
          <w:b/>
          <w:bCs/>
          <w:lang w:val="es-MX"/>
        </w:rPr>
        <w:t>iii)</w:t>
      </w:r>
      <w:r w:rsidR="00D42279" w:rsidRPr="00E06FC2">
        <w:rPr>
          <w:rFonts w:cs="Arial"/>
          <w:bCs/>
          <w:lang w:val="es-MX"/>
        </w:rPr>
        <w:t xml:space="preserve"> </w:t>
      </w:r>
      <w:r w:rsidR="005158C9" w:rsidRPr="00E06FC2">
        <w:rPr>
          <w:rFonts w:cs="Arial"/>
          <w:bCs/>
          <w:lang w:val="es-MX"/>
        </w:rPr>
        <w:t>s</w:t>
      </w:r>
      <w:r w:rsidR="00DF6720" w:rsidRPr="00E06FC2">
        <w:rPr>
          <w:rFonts w:cs="Arial"/>
          <w:bCs/>
          <w:lang w:val="es-MX"/>
        </w:rPr>
        <w:t>olo e</w:t>
      </w:r>
      <w:r w:rsidR="00D42279" w:rsidRPr="00E06FC2">
        <w:rPr>
          <w:rFonts w:cs="Arial"/>
          <w:bCs/>
          <w:lang w:val="es-MX"/>
        </w:rPr>
        <w:t xml:space="preserve">n </w:t>
      </w:r>
      <w:r w:rsidR="00535D5F" w:rsidRPr="00E06FC2">
        <w:rPr>
          <w:rFonts w:cs="Arial"/>
          <w:bCs/>
          <w:lang w:val="es-MX"/>
        </w:rPr>
        <w:t xml:space="preserve">el evento de que se </w:t>
      </w:r>
      <w:r w:rsidR="005A0B68" w:rsidRPr="00E06FC2">
        <w:rPr>
          <w:rFonts w:cs="Arial"/>
          <w:bCs/>
          <w:lang w:val="es-MX"/>
        </w:rPr>
        <w:t xml:space="preserve">admita </w:t>
      </w:r>
      <w:r w:rsidR="00535D5F" w:rsidRPr="00E06FC2">
        <w:rPr>
          <w:rFonts w:cs="Arial"/>
          <w:bCs/>
          <w:lang w:val="es-MX"/>
        </w:rPr>
        <w:t xml:space="preserve">la prosperidad de la acción de nulidad </w:t>
      </w:r>
      <w:r w:rsidR="004F57A1" w:rsidRPr="00E06FC2">
        <w:rPr>
          <w:rFonts w:cs="Arial"/>
          <w:bCs/>
          <w:lang w:val="es-MX"/>
        </w:rPr>
        <w:t xml:space="preserve">por razón de las imputaciones de la demanda, </w:t>
      </w:r>
      <w:r w:rsidR="00822FAB" w:rsidRPr="00E06FC2">
        <w:rPr>
          <w:rFonts w:cs="Arial"/>
          <w:bCs/>
          <w:lang w:val="es-MX"/>
        </w:rPr>
        <w:t>corresponderá</w:t>
      </w:r>
      <w:r w:rsidR="00535D5F" w:rsidRPr="00E06FC2">
        <w:rPr>
          <w:rFonts w:cs="Arial"/>
          <w:bCs/>
          <w:lang w:val="es-MX"/>
        </w:rPr>
        <w:t xml:space="preserve"> </w:t>
      </w:r>
      <w:r w:rsidR="00DF6720" w:rsidRPr="00E06FC2">
        <w:rPr>
          <w:rFonts w:cs="Arial"/>
          <w:bCs/>
          <w:lang w:val="es-MX"/>
        </w:rPr>
        <w:t xml:space="preserve">a la Sala </w:t>
      </w:r>
      <w:r w:rsidR="00D42279" w:rsidRPr="00E06FC2">
        <w:rPr>
          <w:rFonts w:cs="Arial"/>
          <w:bCs/>
          <w:lang w:val="es-MX"/>
        </w:rPr>
        <w:t xml:space="preserve">entrar a evaluar </w:t>
      </w:r>
      <w:r w:rsidR="004F57A1" w:rsidRPr="00E06FC2">
        <w:rPr>
          <w:rFonts w:cs="Arial"/>
          <w:bCs/>
          <w:lang w:val="es-MX"/>
        </w:rPr>
        <w:t>si la demandante logró proba</w:t>
      </w:r>
      <w:r w:rsidR="008D52BA" w:rsidRPr="00E06FC2">
        <w:rPr>
          <w:rFonts w:cs="Arial"/>
          <w:bCs/>
          <w:lang w:val="es-MX"/>
        </w:rPr>
        <w:t>r</w:t>
      </w:r>
      <w:r w:rsidR="004F57A1" w:rsidRPr="00E06FC2">
        <w:rPr>
          <w:rFonts w:cs="Arial"/>
          <w:bCs/>
          <w:lang w:val="es-MX"/>
        </w:rPr>
        <w:t xml:space="preserve"> que su propuesta era la mejor</w:t>
      </w:r>
      <w:r w:rsidR="00D42279" w:rsidRPr="00E06FC2">
        <w:rPr>
          <w:rFonts w:cs="Arial"/>
          <w:bCs/>
          <w:lang w:val="es-MX"/>
        </w:rPr>
        <w:t xml:space="preserve">, toda vez que la condena al restablecimiento del derecho </w:t>
      </w:r>
      <w:r w:rsidR="008D52BA" w:rsidRPr="00E06FC2">
        <w:rPr>
          <w:rFonts w:cs="Arial"/>
          <w:bCs/>
          <w:lang w:val="es-MX"/>
        </w:rPr>
        <w:t>depende</w:t>
      </w:r>
      <w:r w:rsidR="005158C9" w:rsidRPr="00E06FC2">
        <w:rPr>
          <w:rFonts w:cs="Arial"/>
          <w:bCs/>
          <w:lang w:val="es-MX"/>
        </w:rPr>
        <w:t>r</w:t>
      </w:r>
      <w:r w:rsidR="005A0B68" w:rsidRPr="00E06FC2">
        <w:rPr>
          <w:rFonts w:cs="Arial"/>
          <w:bCs/>
          <w:lang w:val="es-MX"/>
        </w:rPr>
        <w:t>á</w:t>
      </w:r>
      <w:r w:rsidR="008D52BA" w:rsidRPr="00E06FC2">
        <w:rPr>
          <w:rFonts w:cs="Arial"/>
          <w:bCs/>
          <w:lang w:val="es-MX"/>
        </w:rPr>
        <w:t xml:space="preserve"> de ello. </w:t>
      </w:r>
    </w:p>
    <w:p w14:paraId="6D40D705" w14:textId="77777777" w:rsidR="00D42279" w:rsidRPr="00E06FC2" w:rsidRDefault="00D42279" w:rsidP="00743788">
      <w:pPr>
        <w:rPr>
          <w:rFonts w:cs="Arial"/>
          <w:bCs/>
          <w:lang w:val="es-MX"/>
        </w:rPr>
      </w:pPr>
    </w:p>
    <w:p w14:paraId="6B85CC41" w14:textId="77777777" w:rsidR="008D52BA" w:rsidRPr="00E06FC2" w:rsidRDefault="00D42279" w:rsidP="00743788">
      <w:pPr>
        <w:rPr>
          <w:rFonts w:cs="Arial"/>
          <w:bCs/>
          <w:lang w:val="es-MX"/>
        </w:rPr>
      </w:pPr>
      <w:r w:rsidRPr="00E06FC2">
        <w:rPr>
          <w:rFonts w:cs="Arial"/>
          <w:bCs/>
          <w:lang w:val="es-MX"/>
        </w:rPr>
        <w:t xml:space="preserve">En </w:t>
      </w:r>
      <w:r w:rsidR="005D3263" w:rsidRPr="00E06FC2">
        <w:rPr>
          <w:rFonts w:cs="Arial"/>
          <w:bCs/>
          <w:lang w:val="es-MX"/>
        </w:rPr>
        <w:t xml:space="preserve">cuanto a </w:t>
      </w:r>
      <w:r w:rsidRPr="00E06FC2">
        <w:rPr>
          <w:rFonts w:cs="Arial"/>
          <w:bCs/>
          <w:lang w:val="es-MX"/>
        </w:rPr>
        <w:t>este último punto</w:t>
      </w:r>
      <w:r w:rsidR="00EA41BE" w:rsidRPr="00E06FC2">
        <w:rPr>
          <w:rFonts w:cs="Arial"/>
          <w:bCs/>
          <w:lang w:val="es-MX"/>
        </w:rPr>
        <w:t>,</w:t>
      </w:r>
      <w:r w:rsidRPr="00E06FC2">
        <w:rPr>
          <w:rFonts w:cs="Arial"/>
          <w:bCs/>
          <w:lang w:val="es-MX"/>
        </w:rPr>
        <w:t xml:space="preserve"> la Sala </w:t>
      </w:r>
      <w:r w:rsidR="00535D5F" w:rsidRPr="00E06FC2">
        <w:rPr>
          <w:rFonts w:cs="Arial"/>
          <w:bCs/>
          <w:lang w:val="es-MX"/>
        </w:rPr>
        <w:t xml:space="preserve">comparte el concepto del </w:t>
      </w:r>
      <w:r w:rsidRPr="00E06FC2">
        <w:rPr>
          <w:rFonts w:cs="Arial"/>
          <w:bCs/>
          <w:lang w:val="es-MX"/>
        </w:rPr>
        <w:t xml:space="preserve">Ministerio Público, </w:t>
      </w:r>
      <w:r w:rsidR="008D52BA" w:rsidRPr="00E06FC2">
        <w:rPr>
          <w:rFonts w:cs="Arial"/>
          <w:bCs/>
          <w:lang w:val="es-MX"/>
        </w:rPr>
        <w:t>e</w:t>
      </w:r>
      <w:r w:rsidR="00535D5F" w:rsidRPr="00E06FC2">
        <w:rPr>
          <w:rFonts w:cs="Arial"/>
          <w:bCs/>
          <w:lang w:val="es-MX"/>
        </w:rPr>
        <w:t xml:space="preserve">n el sentido de que </w:t>
      </w:r>
      <w:r w:rsidR="005960FB" w:rsidRPr="00E06FC2">
        <w:rPr>
          <w:rFonts w:cs="Arial"/>
          <w:bCs/>
          <w:lang w:val="es-MX"/>
        </w:rPr>
        <w:t xml:space="preserve">los </w:t>
      </w:r>
      <w:r w:rsidR="008D52BA" w:rsidRPr="00E06FC2">
        <w:rPr>
          <w:rFonts w:cs="Arial"/>
          <w:bCs/>
          <w:lang w:val="es-MX"/>
        </w:rPr>
        <w:t>demandado</w:t>
      </w:r>
      <w:r w:rsidR="005960FB" w:rsidRPr="00E06FC2">
        <w:rPr>
          <w:rFonts w:cs="Arial"/>
          <w:bCs/>
          <w:lang w:val="es-MX"/>
        </w:rPr>
        <w:t>s</w:t>
      </w:r>
      <w:r w:rsidR="008D52BA" w:rsidRPr="00E06FC2">
        <w:rPr>
          <w:rFonts w:cs="Arial"/>
          <w:bCs/>
          <w:lang w:val="es-MX"/>
        </w:rPr>
        <w:t xml:space="preserve"> s</w:t>
      </w:r>
      <w:r w:rsidR="00EA41BE" w:rsidRPr="00E06FC2">
        <w:rPr>
          <w:rFonts w:cs="Arial"/>
          <w:bCs/>
          <w:lang w:val="es-MX"/>
        </w:rPr>
        <w:t>í</w:t>
      </w:r>
      <w:r w:rsidR="008D52BA" w:rsidRPr="00E06FC2">
        <w:rPr>
          <w:rFonts w:cs="Arial"/>
          <w:bCs/>
          <w:lang w:val="es-MX"/>
        </w:rPr>
        <w:t xml:space="preserve"> puede</w:t>
      </w:r>
      <w:r w:rsidR="005960FB" w:rsidRPr="00E06FC2">
        <w:rPr>
          <w:rFonts w:cs="Arial"/>
          <w:bCs/>
          <w:lang w:val="es-MX"/>
        </w:rPr>
        <w:t>n</w:t>
      </w:r>
      <w:r w:rsidR="008D52BA" w:rsidRPr="00E06FC2">
        <w:rPr>
          <w:rFonts w:cs="Arial"/>
          <w:bCs/>
          <w:lang w:val="es-MX"/>
        </w:rPr>
        <w:t xml:space="preserve"> proponer argumentos de defensa que se refieran a factores de calificación distintos de los que acotó la demandante, </w:t>
      </w:r>
      <w:r w:rsidR="005158C9" w:rsidRPr="00E06FC2">
        <w:rPr>
          <w:rFonts w:cs="Arial"/>
          <w:bCs/>
          <w:lang w:val="es-MX"/>
        </w:rPr>
        <w:t xml:space="preserve">en tanto </w:t>
      </w:r>
      <w:r w:rsidR="008D52BA" w:rsidRPr="00E06FC2">
        <w:rPr>
          <w:rFonts w:cs="Arial"/>
          <w:bCs/>
          <w:lang w:val="es-MX"/>
        </w:rPr>
        <w:t xml:space="preserve">ello </w:t>
      </w:r>
      <w:r w:rsidR="00535D5F" w:rsidRPr="00E06FC2">
        <w:rPr>
          <w:rFonts w:cs="Arial"/>
          <w:bCs/>
          <w:lang w:val="es-MX"/>
        </w:rPr>
        <w:t>se orient</w:t>
      </w:r>
      <w:r w:rsidR="005158C9" w:rsidRPr="00E06FC2">
        <w:rPr>
          <w:rFonts w:cs="Arial"/>
          <w:bCs/>
          <w:lang w:val="es-MX"/>
        </w:rPr>
        <w:t>e</w:t>
      </w:r>
      <w:r w:rsidR="00535D5F" w:rsidRPr="00E06FC2">
        <w:rPr>
          <w:rFonts w:cs="Arial"/>
          <w:bCs/>
          <w:lang w:val="es-MX"/>
        </w:rPr>
        <w:t xml:space="preserve"> a rebatir la prueba </w:t>
      </w:r>
      <w:r w:rsidR="008D52BA" w:rsidRPr="00E06FC2">
        <w:rPr>
          <w:rFonts w:cs="Arial"/>
          <w:bCs/>
          <w:lang w:val="es-MX"/>
        </w:rPr>
        <w:t xml:space="preserve">de </w:t>
      </w:r>
      <w:r w:rsidR="00535D5F" w:rsidRPr="00E06FC2">
        <w:rPr>
          <w:rFonts w:cs="Arial"/>
          <w:bCs/>
          <w:lang w:val="es-MX"/>
        </w:rPr>
        <w:t xml:space="preserve">la mejor propuesta y a enervar la pretensión </w:t>
      </w:r>
      <w:r w:rsidR="005960FB" w:rsidRPr="00E06FC2">
        <w:rPr>
          <w:rFonts w:cs="Arial"/>
          <w:bCs/>
          <w:lang w:val="es-MX"/>
        </w:rPr>
        <w:t xml:space="preserve">de la demandante </w:t>
      </w:r>
      <w:r w:rsidR="008D52BA" w:rsidRPr="00E06FC2">
        <w:rPr>
          <w:rFonts w:cs="Arial"/>
          <w:bCs/>
          <w:lang w:val="es-MX"/>
        </w:rPr>
        <w:t>acerca de</w:t>
      </w:r>
      <w:r w:rsidR="00535D5F" w:rsidRPr="00E06FC2">
        <w:rPr>
          <w:rFonts w:cs="Arial"/>
          <w:bCs/>
          <w:lang w:val="es-MX"/>
        </w:rPr>
        <w:t xml:space="preserve"> la reparación, la cual se funda en la </w:t>
      </w:r>
      <w:r w:rsidR="008D52BA" w:rsidRPr="00E06FC2">
        <w:rPr>
          <w:rFonts w:cs="Arial"/>
          <w:bCs/>
          <w:lang w:val="es-MX"/>
        </w:rPr>
        <w:t>privación de</w:t>
      </w:r>
      <w:r w:rsidR="00535D5F" w:rsidRPr="00E06FC2">
        <w:rPr>
          <w:rFonts w:cs="Arial"/>
          <w:bCs/>
          <w:lang w:val="es-MX"/>
        </w:rPr>
        <w:t xml:space="preserve">l </w:t>
      </w:r>
      <w:r w:rsidR="008D52BA" w:rsidRPr="00E06FC2">
        <w:rPr>
          <w:rFonts w:cs="Arial"/>
          <w:bCs/>
          <w:lang w:val="es-MX"/>
        </w:rPr>
        <w:t>derecho a ejecutar el contrato.</w:t>
      </w:r>
    </w:p>
    <w:p w14:paraId="06F9DA1E" w14:textId="77777777" w:rsidR="004118DA" w:rsidRPr="00E06FC2" w:rsidRDefault="004118DA" w:rsidP="00743788">
      <w:pPr>
        <w:rPr>
          <w:rFonts w:cs="Arial"/>
          <w:bCs/>
          <w:lang w:val="es-MX"/>
        </w:rPr>
      </w:pPr>
    </w:p>
    <w:p w14:paraId="3A317828" w14:textId="77777777" w:rsidR="00D42279" w:rsidRPr="00E06FC2" w:rsidRDefault="00DF6720" w:rsidP="00743788">
      <w:pPr>
        <w:rPr>
          <w:rFonts w:cs="Arial"/>
          <w:bCs/>
          <w:lang w:val="es-MX"/>
        </w:rPr>
      </w:pPr>
      <w:r w:rsidRPr="00E06FC2">
        <w:rPr>
          <w:rFonts w:cs="Arial"/>
          <w:bCs/>
          <w:lang w:val="es-MX"/>
        </w:rPr>
        <w:t>En este orden de ideas</w:t>
      </w:r>
      <w:r w:rsidR="00D42279" w:rsidRPr="00E06FC2">
        <w:rPr>
          <w:rFonts w:cs="Arial"/>
          <w:bCs/>
          <w:lang w:val="es-MX"/>
        </w:rPr>
        <w:t xml:space="preserve">, </w:t>
      </w:r>
      <w:r w:rsidR="005960FB" w:rsidRPr="00E06FC2">
        <w:rPr>
          <w:rFonts w:cs="Arial"/>
          <w:bCs/>
          <w:lang w:val="es-MX"/>
        </w:rPr>
        <w:t xml:space="preserve">se estima como congruente dentro del marco de la </w:t>
      </w:r>
      <w:r w:rsidR="00B4053B" w:rsidRPr="00E06FC2">
        <w:rPr>
          <w:rFonts w:cs="Arial"/>
          <w:bCs/>
          <w:lang w:val="es-MX"/>
        </w:rPr>
        <w:t xml:space="preserve">presente </w:t>
      </w:r>
      <w:r w:rsidR="005960FB" w:rsidRPr="00E06FC2">
        <w:rPr>
          <w:rFonts w:cs="Arial"/>
          <w:bCs/>
          <w:lang w:val="es-MX"/>
        </w:rPr>
        <w:t xml:space="preserve">acción de nulidad y restablecimiento del derecho, la </w:t>
      </w:r>
      <w:r w:rsidR="003A13F4" w:rsidRPr="00E06FC2">
        <w:rPr>
          <w:rFonts w:cs="Arial"/>
          <w:bCs/>
          <w:lang w:val="es-MX"/>
        </w:rPr>
        <w:t xml:space="preserve">defensa </w:t>
      </w:r>
      <w:r w:rsidR="004118DA" w:rsidRPr="00E06FC2">
        <w:rPr>
          <w:rFonts w:cs="Arial"/>
          <w:bCs/>
          <w:lang w:val="es-MX"/>
        </w:rPr>
        <w:t xml:space="preserve">de las </w:t>
      </w:r>
      <w:r w:rsidR="005D3263" w:rsidRPr="00E06FC2">
        <w:rPr>
          <w:rFonts w:cs="Arial"/>
          <w:bCs/>
          <w:lang w:val="es-MX"/>
        </w:rPr>
        <w:t xml:space="preserve">entidades </w:t>
      </w:r>
      <w:r w:rsidR="004118DA" w:rsidRPr="00E06FC2">
        <w:rPr>
          <w:rFonts w:cs="Arial"/>
          <w:bCs/>
          <w:lang w:val="es-MX"/>
        </w:rPr>
        <w:t>demanda</w:t>
      </w:r>
      <w:r w:rsidR="00B4053B" w:rsidRPr="00E06FC2">
        <w:rPr>
          <w:rFonts w:cs="Arial"/>
          <w:bCs/>
          <w:lang w:val="es-MX"/>
        </w:rPr>
        <w:t>da</w:t>
      </w:r>
      <w:r w:rsidR="004118DA" w:rsidRPr="00E06FC2">
        <w:rPr>
          <w:rFonts w:cs="Arial"/>
          <w:bCs/>
          <w:lang w:val="es-MX"/>
        </w:rPr>
        <w:t>s</w:t>
      </w:r>
      <w:r w:rsidR="003A13F4" w:rsidRPr="00E06FC2">
        <w:rPr>
          <w:rFonts w:cs="Arial"/>
          <w:bCs/>
          <w:lang w:val="es-MX"/>
        </w:rPr>
        <w:t>, que cobrar</w:t>
      </w:r>
      <w:r w:rsidRPr="00E06FC2">
        <w:rPr>
          <w:rFonts w:cs="Arial"/>
          <w:bCs/>
          <w:lang w:val="es-MX"/>
        </w:rPr>
        <w:t>á</w:t>
      </w:r>
      <w:r w:rsidR="003A13F4" w:rsidRPr="00E06FC2">
        <w:rPr>
          <w:rFonts w:cs="Arial"/>
          <w:bCs/>
          <w:lang w:val="es-MX"/>
        </w:rPr>
        <w:t xml:space="preserve"> </w:t>
      </w:r>
      <w:r w:rsidR="003208DE" w:rsidRPr="00E06FC2">
        <w:rPr>
          <w:rFonts w:cs="Arial"/>
          <w:bCs/>
          <w:lang w:val="es-MX"/>
        </w:rPr>
        <w:t>importancia</w:t>
      </w:r>
      <w:r w:rsidR="003A13F4" w:rsidRPr="00E06FC2">
        <w:rPr>
          <w:rFonts w:cs="Arial"/>
          <w:bCs/>
          <w:lang w:val="es-MX"/>
        </w:rPr>
        <w:t xml:space="preserve"> </w:t>
      </w:r>
      <w:r w:rsidRPr="00E06FC2">
        <w:rPr>
          <w:rFonts w:cs="Arial"/>
          <w:bCs/>
          <w:lang w:val="es-MX"/>
        </w:rPr>
        <w:t xml:space="preserve">solo </w:t>
      </w:r>
      <w:r w:rsidR="005960FB" w:rsidRPr="00E06FC2">
        <w:rPr>
          <w:rFonts w:cs="Arial"/>
          <w:bCs/>
          <w:lang w:val="es-MX"/>
        </w:rPr>
        <w:t xml:space="preserve">en </w:t>
      </w:r>
      <w:r w:rsidRPr="00E06FC2">
        <w:rPr>
          <w:rFonts w:cs="Arial"/>
          <w:bCs/>
          <w:lang w:val="es-MX"/>
        </w:rPr>
        <w:t xml:space="preserve">el </w:t>
      </w:r>
      <w:r w:rsidR="005960FB" w:rsidRPr="00E06FC2">
        <w:rPr>
          <w:rFonts w:cs="Arial"/>
          <w:bCs/>
          <w:lang w:val="es-MX"/>
        </w:rPr>
        <w:t>caso de</w:t>
      </w:r>
      <w:r w:rsidR="003A13F4" w:rsidRPr="00E06FC2">
        <w:rPr>
          <w:rFonts w:cs="Arial"/>
          <w:bCs/>
          <w:lang w:val="es-MX"/>
        </w:rPr>
        <w:t xml:space="preserve"> prosperar los argumentos de la demandante, </w:t>
      </w:r>
      <w:r w:rsidR="00B4053B" w:rsidRPr="00E06FC2">
        <w:rPr>
          <w:rFonts w:cs="Arial"/>
          <w:bCs/>
          <w:lang w:val="es-MX"/>
        </w:rPr>
        <w:t xml:space="preserve">en cuanto dicha defensa se orienta a </w:t>
      </w:r>
      <w:r w:rsidR="003A13F4" w:rsidRPr="00E06FC2">
        <w:rPr>
          <w:rFonts w:cs="Arial"/>
          <w:bCs/>
          <w:lang w:val="es-MX"/>
        </w:rPr>
        <w:t>demostrar</w:t>
      </w:r>
      <w:r w:rsidR="003208DE" w:rsidRPr="00E06FC2">
        <w:rPr>
          <w:rFonts w:cs="Arial"/>
          <w:bCs/>
          <w:lang w:val="es-MX"/>
        </w:rPr>
        <w:t xml:space="preserve"> </w:t>
      </w:r>
      <w:r w:rsidR="005960FB" w:rsidRPr="00E06FC2">
        <w:rPr>
          <w:rFonts w:cs="Arial"/>
          <w:bCs/>
          <w:lang w:val="es-MX"/>
        </w:rPr>
        <w:t>que d</w:t>
      </w:r>
      <w:r w:rsidR="003208DE" w:rsidRPr="00E06FC2">
        <w:rPr>
          <w:rFonts w:cs="Arial"/>
          <w:bCs/>
          <w:lang w:val="es-MX"/>
        </w:rPr>
        <w:t>e acuerdo con el pliego de condiciones</w:t>
      </w:r>
      <w:r w:rsidR="003A13F4" w:rsidRPr="00E06FC2">
        <w:rPr>
          <w:rFonts w:cs="Arial"/>
          <w:bCs/>
          <w:lang w:val="es-MX"/>
        </w:rPr>
        <w:t xml:space="preserve">, </w:t>
      </w:r>
      <w:r w:rsidR="00D42279" w:rsidRPr="00E06FC2">
        <w:rPr>
          <w:rFonts w:cs="Arial"/>
          <w:bCs/>
          <w:lang w:val="es-MX"/>
        </w:rPr>
        <w:t xml:space="preserve">por ejemplo, </w:t>
      </w:r>
      <w:r w:rsidR="003208DE" w:rsidRPr="00E06FC2">
        <w:rPr>
          <w:rFonts w:cs="Arial"/>
          <w:bCs/>
          <w:lang w:val="es-MX"/>
        </w:rPr>
        <w:t>la</w:t>
      </w:r>
      <w:r w:rsidR="00D42279" w:rsidRPr="00E06FC2">
        <w:rPr>
          <w:rFonts w:cs="Arial"/>
          <w:bCs/>
          <w:lang w:val="es-MX"/>
        </w:rPr>
        <w:t xml:space="preserve"> propuesta </w:t>
      </w:r>
      <w:r w:rsidR="003208DE" w:rsidRPr="00E06FC2">
        <w:rPr>
          <w:rFonts w:cs="Arial"/>
          <w:bCs/>
          <w:lang w:val="es-MX"/>
        </w:rPr>
        <w:t xml:space="preserve">de la demandante </w:t>
      </w:r>
      <w:r w:rsidR="00D42279" w:rsidRPr="00E06FC2">
        <w:rPr>
          <w:rFonts w:cs="Arial"/>
          <w:bCs/>
          <w:lang w:val="es-MX"/>
        </w:rPr>
        <w:t>debió ser eliminada por las falencias de los documentos referidos a la estructuración financiera de la concesión</w:t>
      </w:r>
      <w:r w:rsidR="00ED5D67" w:rsidRPr="00E06FC2">
        <w:rPr>
          <w:rStyle w:val="Refdenotaalpie"/>
          <w:rFonts w:cs="Arial"/>
          <w:bCs/>
          <w:lang w:val="es-MX"/>
        </w:rPr>
        <w:footnoteReference w:id="63"/>
      </w:r>
      <w:r w:rsidR="005158C9" w:rsidRPr="00E06FC2">
        <w:rPr>
          <w:rFonts w:cs="Arial"/>
          <w:bCs/>
          <w:lang w:val="es-MX"/>
        </w:rPr>
        <w:t>.</w:t>
      </w:r>
    </w:p>
    <w:p w14:paraId="16DB6668" w14:textId="77777777" w:rsidR="00AF1D33" w:rsidRPr="00E06FC2" w:rsidRDefault="00AF1D33" w:rsidP="00743788">
      <w:pPr>
        <w:ind w:right="567"/>
        <w:rPr>
          <w:rFonts w:cs="Arial"/>
          <w:b/>
          <w:bCs/>
          <w:lang w:val="es-MX"/>
        </w:rPr>
      </w:pPr>
    </w:p>
    <w:p w14:paraId="79F46F61" w14:textId="77777777" w:rsidR="00D42279" w:rsidRPr="00E06FC2" w:rsidRDefault="00A4393E" w:rsidP="00743788">
      <w:pPr>
        <w:spacing w:line="240" w:lineRule="auto"/>
        <w:rPr>
          <w:rFonts w:cs="Arial"/>
          <w:b/>
          <w:bCs/>
          <w:lang w:val="es-MX"/>
        </w:rPr>
      </w:pPr>
      <w:r w:rsidRPr="00E06FC2">
        <w:rPr>
          <w:rFonts w:cs="Arial"/>
          <w:b/>
          <w:bCs/>
          <w:lang w:val="es-MX"/>
        </w:rPr>
        <w:t>5.2.</w:t>
      </w:r>
      <w:r w:rsidR="00D42279" w:rsidRPr="00E06FC2">
        <w:rPr>
          <w:rFonts w:cs="Arial"/>
          <w:b/>
          <w:bCs/>
          <w:lang w:val="es-MX"/>
        </w:rPr>
        <w:t xml:space="preserve"> </w:t>
      </w:r>
      <w:r w:rsidR="00182148" w:rsidRPr="00E06FC2">
        <w:rPr>
          <w:rFonts w:cs="Arial"/>
          <w:b/>
          <w:bCs/>
          <w:lang w:val="es-MX"/>
        </w:rPr>
        <w:t xml:space="preserve">Comparación </w:t>
      </w:r>
      <w:r w:rsidR="000D4BF5" w:rsidRPr="00E06FC2">
        <w:rPr>
          <w:rFonts w:cs="Arial"/>
          <w:b/>
          <w:bCs/>
          <w:lang w:val="es-MX"/>
        </w:rPr>
        <w:t xml:space="preserve">e identificación de </w:t>
      </w:r>
      <w:r w:rsidR="00182148" w:rsidRPr="00E06FC2">
        <w:rPr>
          <w:rFonts w:cs="Arial"/>
          <w:b/>
          <w:bCs/>
          <w:lang w:val="es-MX"/>
        </w:rPr>
        <w:t>d</w:t>
      </w:r>
      <w:r w:rsidR="00AF1D33" w:rsidRPr="00E06FC2">
        <w:rPr>
          <w:rFonts w:cs="Arial"/>
          <w:b/>
          <w:bCs/>
          <w:lang w:val="es-MX"/>
        </w:rPr>
        <w:t>iferencias en el pu</w:t>
      </w:r>
      <w:r w:rsidR="003A13F4" w:rsidRPr="00E06FC2">
        <w:rPr>
          <w:rFonts w:cs="Arial"/>
          <w:b/>
          <w:bCs/>
          <w:lang w:val="es-MX"/>
        </w:rPr>
        <w:t>ntaje asign</w:t>
      </w:r>
      <w:r w:rsidR="003208DE" w:rsidRPr="00E06FC2">
        <w:rPr>
          <w:rFonts w:cs="Arial"/>
          <w:b/>
          <w:bCs/>
          <w:lang w:val="es-MX"/>
        </w:rPr>
        <w:t>a</w:t>
      </w:r>
      <w:r w:rsidR="003A13F4" w:rsidRPr="00E06FC2">
        <w:rPr>
          <w:rFonts w:cs="Arial"/>
          <w:b/>
          <w:bCs/>
          <w:lang w:val="es-MX"/>
        </w:rPr>
        <w:t xml:space="preserve">do </w:t>
      </w:r>
      <w:r w:rsidR="00D42279" w:rsidRPr="00E06FC2">
        <w:rPr>
          <w:rFonts w:cs="Arial"/>
          <w:b/>
          <w:bCs/>
          <w:lang w:val="es-MX"/>
        </w:rPr>
        <w:t xml:space="preserve">en el factor de calidad de bienes </w:t>
      </w:r>
    </w:p>
    <w:p w14:paraId="3161E702" w14:textId="77777777" w:rsidR="00D42279" w:rsidRPr="00E06FC2" w:rsidRDefault="00D42279" w:rsidP="00743788">
      <w:pPr>
        <w:ind w:right="567"/>
        <w:rPr>
          <w:rFonts w:cs="Arial"/>
          <w:bCs/>
          <w:lang w:val="es-MX"/>
        </w:rPr>
      </w:pPr>
    </w:p>
    <w:p w14:paraId="13E7FA7E" w14:textId="77777777" w:rsidR="00D42279" w:rsidRPr="00E06FC2" w:rsidRDefault="00AF1D33" w:rsidP="00743788">
      <w:pPr>
        <w:rPr>
          <w:rFonts w:cs="Arial"/>
          <w:bCs/>
          <w:lang w:val="es-MX"/>
        </w:rPr>
      </w:pPr>
      <w:r w:rsidRPr="00E06FC2">
        <w:rPr>
          <w:rFonts w:cs="Arial"/>
          <w:bCs/>
          <w:lang w:val="es-MX"/>
        </w:rPr>
        <w:t>A</w:t>
      </w:r>
      <w:r w:rsidR="00D42279" w:rsidRPr="00E06FC2">
        <w:rPr>
          <w:rFonts w:cs="Arial"/>
          <w:bCs/>
          <w:lang w:val="es-MX"/>
        </w:rPr>
        <w:t xml:space="preserve"> continuación </w:t>
      </w:r>
      <w:r w:rsidR="003A13F4" w:rsidRPr="00E06FC2">
        <w:rPr>
          <w:rFonts w:cs="Arial"/>
          <w:bCs/>
          <w:lang w:val="es-MX"/>
        </w:rPr>
        <w:t xml:space="preserve">se presenta </w:t>
      </w:r>
      <w:r w:rsidR="00182148" w:rsidRPr="00E06FC2">
        <w:rPr>
          <w:rFonts w:cs="Arial"/>
          <w:bCs/>
          <w:lang w:val="es-MX"/>
        </w:rPr>
        <w:t xml:space="preserve">la comparación de los </w:t>
      </w:r>
      <w:r w:rsidR="00DF6720" w:rsidRPr="00E06FC2">
        <w:rPr>
          <w:rFonts w:cs="Arial"/>
          <w:bCs/>
          <w:lang w:val="es-MX"/>
        </w:rPr>
        <w:t>componentes técnicos</w:t>
      </w:r>
      <w:r w:rsidR="00214BED" w:rsidRPr="00E06FC2">
        <w:rPr>
          <w:rFonts w:cs="Arial"/>
          <w:bCs/>
          <w:lang w:val="es-MX"/>
        </w:rPr>
        <w:t xml:space="preserve"> de las luminarias,</w:t>
      </w:r>
      <w:r w:rsidR="003A13F4" w:rsidRPr="00E06FC2">
        <w:rPr>
          <w:rFonts w:cs="Arial"/>
          <w:bCs/>
          <w:lang w:val="es-MX"/>
        </w:rPr>
        <w:t xml:space="preserve"> </w:t>
      </w:r>
      <w:r w:rsidR="00214BED" w:rsidRPr="00E06FC2">
        <w:rPr>
          <w:rFonts w:cs="Arial"/>
          <w:bCs/>
          <w:lang w:val="es-MX"/>
        </w:rPr>
        <w:t>de acuerdo con el acta</w:t>
      </w:r>
      <w:r w:rsidR="00D42279" w:rsidRPr="00E06FC2">
        <w:rPr>
          <w:rFonts w:cs="Arial"/>
          <w:bCs/>
          <w:lang w:val="es-MX"/>
        </w:rPr>
        <w:t xml:space="preserve"> </w:t>
      </w:r>
      <w:r w:rsidR="00214BED" w:rsidRPr="00E06FC2">
        <w:rPr>
          <w:rFonts w:cs="Arial"/>
          <w:bCs/>
          <w:lang w:val="es-MX"/>
        </w:rPr>
        <w:t>d</w:t>
      </w:r>
      <w:r w:rsidR="00D42279" w:rsidRPr="00E06FC2">
        <w:rPr>
          <w:rFonts w:cs="Arial"/>
          <w:bCs/>
          <w:lang w:val="es-MX"/>
        </w:rPr>
        <w:t xml:space="preserve">el </w:t>
      </w:r>
      <w:r w:rsidR="00B4053B" w:rsidRPr="00E06FC2">
        <w:rPr>
          <w:rFonts w:cs="Arial"/>
          <w:bCs/>
          <w:lang w:val="es-MX"/>
        </w:rPr>
        <w:t>c</w:t>
      </w:r>
      <w:r w:rsidR="00B530C9" w:rsidRPr="00E06FC2">
        <w:rPr>
          <w:rFonts w:cs="Arial"/>
          <w:bCs/>
          <w:lang w:val="es-MX"/>
        </w:rPr>
        <w:t>omité de evaluación</w:t>
      </w:r>
      <w:r w:rsidR="00D42279" w:rsidRPr="00E06FC2">
        <w:rPr>
          <w:rFonts w:cs="Arial"/>
          <w:bCs/>
          <w:lang w:val="es-MX"/>
        </w:rPr>
        <w:t xml:space="preserve">, el dictamen pericial y la sentencia de </w:t>
      </w:r>
      <w:r w:rsidR="00926BDE" w:rsidRPr="00E06FC2">
        <w:rPr>
          <w:rFonts w:cs="Arial"/>
          <w:bCs/>
          <w:lang w:val="es-MX"/>
        </w:rPr>
        <w:t>primera</w:t>
      </w:r>
      <w:r w:rsidR="00D42279" w:rsidRPr="00E06FC2">
        <w:rPr>
          <w:rFonts w:cs="Arial"/>
          <w:bCs/>
          <w:lang w:val="es-MX"/>
        </w:rPr>
        <w:t xml:space="preserve"> instancia. </w:t>
      </w:r>
    </w:p>
    <w:p w14:paraId="4581612E" w14:textId="77777777" w:rsidR="008005BC" w:rsidRPr="00E06FC2" w:rsidRDefault="008005BC" w:rsidP="00743788">
      <w:pPr>
        <w:rPr>
          <w:rFonts w:cs="Arial"/>
          <w:bCs/>
          <w:lang w:val="es-MX"/>
        </w:rPr>
      </w:pPr>
    </w:p>
    <w:p w14:paraId="0F79FE67" w14:textId="77777777" w:rsidR="00D42279" w:rsidRPr="00E06FC2" w:rsidRDefault="00D42279" w:rsidP="00743788">
      <w:pPr>
        <w:ind w:right="567"/>
        <w:rPr>
          <w:rFonts w:cs="Arial"/>
          <w:bCs/>
          <w:lang w:val="es-MX"/>
        </w:rPr>
      </w:pPr>
      <w:r w:rsidRPr="00E06FC2">
        <w:rPr>
          <w:rFonts w:cs="Arial"/>
          <w:bCs/>
          <w:lang w:val="es-MX"/>
        </w:rPr>
        <w:t>UT D</w:t>
      </w:r>
      <w:r w:rsidR="0023115D" w:rsidRPr="00E06FC2">
        <w:rPr>
          <w:rFonts w:cs="Arial"/>
          <w:bCs/>
          <w:lang w:val="es-MX"/>
        </w:rPr>
        <w:t>iselecsa</w:t>
      </w:r>
      <w:r w:rsidRPr="00E06FC2">
        <w:rPr>
          <w:rFonts w:cs="Arial"/>
          <w:bCs/>
          <w:lang w:val="es-MX"/>
        </w:rPr>
        <w:t xml:space="preserve"> – Montajes </w:t>
      </w:r>
      <w:r w:rsidR="0023115D" w:rsidRPr="00E06FC2">
        <w:rPr>
          <w:rFonts w:cs="Arial"/>
          <w:bCs/>
          <w:lang w:val="es-MX"/>
        </w:rPr>
        <w:t>Eléctricos</w:t>
      </w:r>
      <w:r w:rsidRPr="00E06FC2">
        <w:rPr>
          <w:rFonts w:cs="Arial"/>
          <w:bCs/>
          <w:lang w:val="es-MX"/>
        </w:rPr>
        <w:t xml:space="preserve">  </w:t>
      </w:r>
    </w:p>
    <w:p w14:paraId="56215CFB" w14:textId="77777777" w:rsidR="00D42279" w:rsidRPr="00E06FC2" w:rsidRDefault="00D42279" w:rsidP="00743788">
      <w:pPr>
        <w:ind w:right="567"/>
        <w:rPr>
          <w:rFonts w:cs="Arial"/>
          <w:bCs/>
          <w:lang w:val="es-MX"/>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2268"/>
        <w:gridCol w:w="1701"/>
        <w:gridCol w:w="1984"/>
      </w:tblGrid>
      <w:tr w:rsidR="00E06FC2" w:rsidRPr="00E06FC2" w14:paraId="1C74AEE3" w14:textId="77777777" w:rsidTr="007974E8">
        <w:tc>
          <w:tcPr>
            <w:tcW w:w="2660" w:type="dxa"/>
            <w:shd w:val="clear" w:color="auto" w:fill="auto"/>
          </w:tcPr>
          <w:p w14:paraId="58F8DF6D" w14:textId="77777777" w:rsidR="00D42279" w:rsidRPr="007974E8" w:rsidRDefault="00B57F34" w:rsidP="007974E8">
            <w:pPr>
              <w:spacing w:line="276" w:lineRule="auto"/>
              <w:ind w:right="567"/>
              <w:rPr>
                <w:rFonts w:cs="Arial"/>
                <w:bCs/>
                <w:lang w:val="es-MX"/>
              </w:rPr>
            </w:pPr>
            <w:r w:rsidRPr="007974E8">
              <w:rPr>
                <w:rFonts w:cs="Arial"/>
                <w:bCs/>
                <w:lang w:val="es-MX"/>
              </w:rPr>
              <w:lastRenderedPageBreak/>
              <w:t>P</w:t>
            </w:r>
            <w:r w:rsidR="0023115D" w:rsidRPr="007974E8">
              <w:rPr>
                <w:rFonts w:cs="Arial"/>
                <w:bCs/>
                <w:lang w:val="es-MX"/>
              </w:rPr>
              <w:t>untaje máximo a asignar</w:t>
            </w:r>
          </w:p>
        </w:tc>
        <w:tc>
          <w:tcPr>
            <w:tcW w:w="2268" w:type="dxa"/>
            <w:shd w:val="clear" w:color="auto" w:fill="auto"/>
          </w:tcPr>
          <w:p w14:paraId="5EA0350F" w14:textId="77777777" w:rsidR="00D42279" w:rsidRPr="007974E8" w:rsidRDefault="00D42279" w:rsidP="007974E8">
            <w:pPr>
              <w:spacing w:line="276" w:lineRule="auto"/>
              <w:ind w:right="175"/>
              <w:rPr>
                <w:rFonts w:cs="Arial"/>
                <w:bCs/>
                <w:lang w:val="es-MX"/>
              </w:rPr>
            </w:pPr>
            <w:r w:rsidRPr="007974E8">
              <w:rPr>
                <w:rFonts w:cs="Arial"/>
                <w:bCs/>
                <w:lang w:val="es-MX"/>
              </w:rPr>
              <w:t>Comité</w:t>
            </w:r>
          </w:p>
        </w:tc>
        <w:tc>
          <w:tcPr>
            <w:tcW w:w="1701" w:type="dxa"/>
            <w:shd w:val="clear" w:color="auto" w:fill="auto"/>
          </w:tcPr>
          <w:p w14:paraId="43205FD5" w14:textId="77777777" w:rsidR="00D42279" w:rsidRPr="007974E8" w:rsidRDefault="00D42279" w:rsidP="007974E8">
            <w:pPr>
              <w:spacing w:line="276" w:lineRule="auto"/>
              <w:ind w:right="34"/>
              <w:rPr>
                <w:rFonts w:cs="Arial"/>
                <w:bCs/>
                <w:lang w:val="es-MX"/>
              </w:rPr>
            </w:pPr>
            <w:r w:rsidRPr="007974E8">
              <w:rPr>
                <w:rFonts w:cs="Arial"/>
                <w:bCs/>
                <w:lang w:val="es-MX"/>
              </w:rPr>
              <w:t xml:space="preserve">Dictamen </w:t>
            </w:r>
          </w:p>
        </w:tc>
        <w:tc>
          <w:tcPr>
            <w:tcW w:w="1984" w:type="dxa"/>
            <w:shd w:val="clear" w:color="auto" w:fill="auto"/>
          </w:tcPr>
          <w:p w14:paraId="4C0950FC" w14:textId="77777777" w:rsidR="00D42279" w:rsidRPr="007974E8" w:rsidRDefault="00D42279" w:rsidP="007974E8">
            <w:pPr>
              <w:spacing w:line="276" w:lineRule="auto"/>
              <w:ind w:right="567"/>
              <w:rPr>
                <w:rFonts w:cs="Arial"/>
                <w:bCs/>
                <w:lang w:val="es-MX"/>
              </w:rPr>
            </w:pPr>
            <w:r w:rsidRPr="007974E8">
              <w:rPr>
                <w:rFonts w:cs="Arial"/>
                <w:bCs/>
                <w:lang w:val="es-MX"/>
              </w:rPr>
              <w:t>Sentencia</w:t>
            </w:r>
          </w:p>
        </w:tc>
      </w:tr>
      <w:tr w:rsidR="0023115D" w:rsidRPr="00E06FC2" w14:paraId="08FC67CA" w14:textId="77777777" w:rsidTr="007974E8">
        <w:tc>
          <w:tcPr>
            <w:tcW w:w="2660" w:type="dxa"/>
            <w:shd w:val="clear" w:color="auto" w:fill="auto"/>
          </w:tcPr>
          <w:p w14:paraId="4365FE0D" w14:textId="77777777" w:rsidR="0023115D" w:rsidRPr="007974E8" w:rsidRDefault="0023115D" w:rsidP="007974E8">
            <w:pPr>
              <w:spacing w:line="276" w:lineRule="auto"/>
              <w:ind w:right="567"/>
              <w:rPr>
                <w:rFonts w:cs="Arial"/>
                <w:bCs/>
                <w:lang w:val="es-MX"/>
              </w:rPr>
            </w:pPr>
            <w:r w:rsidRPr="007974E8">
              <w:rPr>
                <w:rFonts w:cs="Arial"/>
                <w:bCs/>
                <w:lang w:val="es-MX"/>
              </w:rPr>
              <w:t>600 puntos</w:t>
            </w:r>
          </w:p>
        </w:tc>
        <w:tc>
          <w:tcPr>
            <w:tcW w:w="2268" w:type="dxa"/>
            <w:shd w:val="clear" w:color="auto" w:fill="auto"/>
          </w:tcPr>
          <w:p w14:paraId="3AD00C6B" w14:textId="77777777" w:rsidR="00D42279" w:rsidRPr="007974E8" w:rsidRDefault="00D42279" w:rsidP="007974E8">
            <w:pPr>
              <w:spacing w:line="276" w:lineRule="auto"/>
              <w:ind w:right="567"/>
              <w:rPr>
                <w:rFonts w:cs="Arial"/>
                <w:bCs/>
                <w:lang w:val="es-MX"/>
              </w:rPr>
            </w:pPr>
            <w:r w:rsidRPr="007974E8">
              <w:rPr>
                <w:rFonts w:cs="Arial"/>
                <w:bCs/>
                <w:lang w:val="es-MX"/>
              </w:rPr>
              <w:t>590</w:t>
            </w:r>
          </w:p>
        </w:tc>
        <w:tc>
          <w:tcPr>
            <w:tcW w:w="1701" w:type="dxa"/>
            <w:shd w:val="clear" w:color="auto" w:fill="auto"/>
          </w:tcPr>
          <w:p w14:paraId="5A793A96" w14:textId="77777777" w:rsidR="00D42279" w:rsidRPr="007974E8" w:rsidRDefault="00D42279" w:rsidP="007974E8">
            <w:pPr>
              <w:spacing w:line="276" w:lineRule="auto"/>
              <w:ind w:right="567"/>
              <w:rPr>
                <w:rFonts w:cs="Arial"/>
                <w:bCs/>
                <w:lang w:val="es-MX"/>
              </w:rPr>
            </w:pPr>
            <w:r w:rsidRPr="007974E8">
              <w:rPr>
                <w:rFonts w:cs="Arial"/>
                <w:bCs/>
                <w:lang w:val="es-MX"/>
              </w:rPr>
              <w:t>105</w:t>
            </w:r>
          </w:p>
        </w:tc>
        <w:tc>
          <w:tcPr>
            <w:tcW w:w="1984" w:type="dxa"/>
            <w:shd w:val="clear" w:color="auto" w:fill="auto"/>
          </w:tcPr>
          <w:p w14:paraId="77C984E6" w14:textId="77777777" w:rsidR="00D42279" w:rsidRPr="007974E8" w:rsidRDefault="00D42279" w:rsidP="007974E8">
            <w:pPr>
              <w:spacing w:line="276" w:lineRule="auto"/>
              <w:ind w:right="567"/>
              <w:rPr>
                <w:rFonts w:cs="Arial"/>
                <w:bCs/>
                <w:lang w:val="es-MX"/>
              </w:rPr>
            </w:pPr>
            <w:r w:rsidRPr="007974E8">
              <w:rPr>
                <w:rFonts w:cs="Arial"/>
                <w:bCs/>
                <w:lang w:val="es-MX"/>
              </w:rPr>
              <w:t>135</w:t>
            </w:r>
          </w:p>
        </w:tc>
      </w:tr>
    </w:tbl>
    <w:p w14:paraId="56266A27" w14:textId="77777777" w:rsidR="00D42279" w:rsidRPr="00E06FC2" w:rsidRDefault="00D42279" w:rsidP="00743788">
      <w:pPr>
        <w:spacing w:line="276" w:lineRule="auto"/>
        <w:ind w:right="567"/>
        <w:rPr>
          <w:rFonts w:cs="Arial"/>
          <w:bCs/>
          <w:lang w:val="es-MX"/>
        </w:rPr>
      </w:pPr>
    </w:p>
    <w:p w14:paraId="1AC335BC" w14:textId="77777777" w:rsidR="00D42279" w:rsidRPr="00E06FC2" w:rsidRDefault="003A13F4" w:rsidP="00743788">
      <w:pPr>
        <w:spacing w:line="276" w:lineRule="auto"/>
        <w:ind w:right="567"/>
        <w:rPr>
          <w:rFonts w:cs="Arial"/>
          <w:bCs/>
          <w:lang w:val="es-MX"/>
        </w:rPr>
      </w:pPr>
      <w:r w:rsidRPr="00E06FC2">
        <w:rPr>
          <w:rFonts w:cs="Arial"/>
          <w:bCs/>
          <w:lang w:val="es-MX"/>
        </w:rPr>
        <w:t>UT General Electric – Electro Atlántic</w:t>
      </w:r>
      <w:r w:rsidR="00AF1D33" w:rsidRPr="00E06FC2">
        <w:rPr>
          <w:rFonts w:cs="Arial"/>
          <w:bCs/>
          <w:lang w:val="es-MX"/>
        </w:rPr>
        <w:t>o</w:t>
      </w:r>
    </w:p>
    <w:p w14:paraId="4DF11F6C" w14:textId="77777777" w:rsidR="00D42279" w:rsidRPr="00E06FC2" w:rsidRDefault="00D42279" w:rsidP="00743788">
      <w:pPr>
        <w:spacing w:line="276" w:lineRule="auto"/>
        <w:ind w:right="567" w:hanging="567"/>
        <w:rPr>
          <w:rFonts w:cs="Arial"/>
          <w:bCs/>
          <w:i/>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2318"/>
        <w:gridCol w:w="1667"/>
        <w:gridCol w:w="2126"/>
      </w:tblGrid>
      <w:tr w:rsidR="00E06FC2" w:rsidRPr="00E06FC2" w14:paraId="0F0BFFFF" w14:textId="77777777" w:rsidTr="007974E8">
        <w:tc>
          <w:tcPr>
            <w:tcW w:w="2610" w:type="dxa"/>
            <w:shd w:val="clear" w:color="auto" w:fill="auto"/>
          </w:tcPr>
          <w:p w14:paraId="364F5FEE" w14:textId="77777777" w:rsidR="00D42279" w:rsidRPr="007974E8" w:rsidRDefault="00B57F34" w:rsidP="007974E8">
            <w:pPr>
              <w:spacing w:line="276" w:lineRule="auto"/>
              <w:ind w:right="567"/>
              <w:rPr>
                <w:rFonts w:cs="Arial"/>
                <w:bCs/>
                <w:lang w:val="es-MX"/>
              </w:rPr>
            </w:pPr>
            <w:r w:rsidRPr="007974E8">
              <w:rPr>
                <w:rFonts w:cs="Arial"/>
                <w:bCs/>
                <w:lang w:val="es-MX"/>
              </w:rPr>
              <w:t>Puntaje máximo a asignar</w:t>
            </w:r>
          </w:p>
        </w:tc>
        <w:tc>
          <w:tcPr>
            <w:tcW w:w="2318" w:type="dxa"/>
            <w:shd w:val="clear" w:color="auto" w:fill="auto"/>
          </w:tcPr>
          <w:p w14:paraId="1E20044E" w14:textId="77777777" w:rsidR="00D42279" w:rsidRPr="007974E8" w:rsidRDefault="00D42279" w:rsidP="007974E8">
            <w:pPr>
              <w:spacing w:line="276" w:lineRule="auto"/>
              <w:ind w:right="567"/>
              <w:rPr>
                <w:rFonts w:cs="Arial"/>
                <w:bCs/>
                <w:lang w:val="es-MX"/>
              </w:rPr>
            </w:pPr>
            <w:r w:rsidRPr="007974E8">
              <w:rPr>
                <w:rFonts w:cs="Arial"/>
                <w:bCs/>
                <w:lang w:val="es-MX"/>
              </w:rPr>
              <w:t>Comité</w:t>
            </w:r>
          </w:p>
        </w:tc>
        <w:tc>
          <w:tcPr>
            <w:tcW w:w="1667" w:type="dxa"/>
            <w:shd w:val="clear" w:color="auto" w:fill="auto"/>
          </w:tcPr>
          <w:p w14:paraId="4D51EBD1" w14:textId="77777777" w:rsidR="00D42279" w:rsidRPr="007974E8" w:rsidRDefault="00D42279" w:rsidP="007974E8">
            <w:pPr>
              <w:ind w:right="142"/>
              <w:rPr>
                <w:rFonts w:cs="Arial"/>
                <w:bCs/>
                <w:lang w:val="es-MX"/>
              </w:rPr>
            </w:pPr>
            <w:r w:rsidRPr="007974E8">
              <w:rPr>
                <w:rFonts w:cs="Arial"/>
                <w:bCs/>
                <w:lang w:val="es-MX"/>
              </w:rPr>
              <w:t xml:space="preserve">Dictamen </w:t>
            </w:r>
          </w:p>
        </w:tc>
        <w:tc>
          <w:tcPr>
            <w:tcW w:w="2126" w:type="dxa"/>
            <w:shd w:val="clear" w:color="auto" w:fill="auto"/>
          </w:tcPr>
          <w:p w14:paraId="5AD095B4" w14:textId="77777777" w:rsidR="00D42279" w:rsidRPr="007974E8" w:rsidRDefault="00D42279" w:rsidP="007974E8">
            <w:pPr>
              <w:ind w:right="567"/>
              <w:rPr>
                <w:rFonts w:cs="Arial"/>
                <w:bCs/>
                <w:lang w:val="es-MX"/>
              </w:rPr>
            </w:pPr>
            <w:r w:rsidRPr="007974E8">
              <w:rPr>
                <w:rFonts w:cs="Arial"/>
                <w:bCs/>
                <w:lang w:val="es-MX"/>
              </w:rPr>
              <w:t>Sentencia</w:t>
            </w:r>
          </w:p>
        </w:tc>
      </w:tr>
      <w:tr w:rsidR="00D42279" w:rsidRPr="00E06FC2" w14:paraId="2B151426" w14:textId="77777777" w:rsidTr="007974E8">
        <w:tc>
          <w:tcPr>
            <w:tcW w:w="2610" w:type="dxa"/>
            <w:shd w:val="clear" w:color="auto" w:fill="auto"/>
          </w:tcPr>
          <w:p w14:paraId="5A6898CD" w14:textId="77777777" w:rsidR="00D42279" w:rsidRPr="007974E8" w:rsidRDefault="00D42279" w:rsidP="007974E8">
            <w:pPr>
              <w:spacing w:line="276" w:lineRule="auto"/>
              <w:ind w:right="567"/>
              <w:rPr>
                <w:rFonts w:cs="Arial"/>
                <w:bCs/>
                <w:lang w:val="es-MX"/>
              </w:rPr>
            </w:pPr>
            <w:r w:rsidRPr="007974E8">
              <w:rPr>
                <w:rFonts w:cs="Arial"/>
                <w:bCs/>
                <w:lang w:val="es-MX"/>
              </w:rPr>
              <w:t>TOTAL</w:t>
            </w:r>
          </w:p>
          <w:p w14:paraId="79BACF07" w14:textId="77777777" w:rsidR="0023115D" w:rsidRPr="007974E8" w:rsidRDefault="0023115D" w:rsidP="007974E8">
            <w:pPr>
              <w:spacing w:line="276" w:lineRule="auto"/>
              <w:ind w:right="567"/>
              <w:rPr>
                <w:rFonts w:cs="Arial"/>
                <w:bCs/>
                <w:lang w:val="es-MX"/>
              </w:rPr>
            </w:pPr>
            <w:r w:rsidRPr="007974E8">
              <w:rPr>
                <w:rFonts w:cs="Arial"/>
                <w:bCs/>
                <w:lang w:val="es-MX"/>
              </w:rPr>
              <w:t>600 puntos</w:t>
            </w:r>
          </w:p>
        </w:tc>
        <w:tc>
          <w:tcPr>
            <w:tcW w:w="2318" w:type="dxa"/>
            <w:shd w:val="clear" w:color="auto" w:fill="auto"/>
          </w:tcPr>
          <w:p w14:paraId="0EA54897" w14:textId="77777777" w:rsidR="00D42279" w:rsidRPr="007974E8" w:rsidRDefault="00D42279" w:rsidP="007974E8">
            <w:pPr>
              <w:spacing w:line="276" w:lineRule="auto"/>
              <w:ind w:right="567"/>
              <w:rPr>
                <w:rFonts w:cs="Arial"/>
                <w:bCs/>
                <w:lang w:val="es-MX"/>
              </w:rPr>
            </w:pPr>
            <w:r w:rsidRPr="007974E8">
              <w:rPr>
                <w:rFonts w:cs="Arial"/>
                <w:bCs/>
                <w:lang w:val="es-MX"/>
              </w:rPr>
              <w:t>535</w:t>
            </w:r>
          </w:p>
        </w:tc>
        <w:tc>
          <w:tcPr>
            <w:tcW w:w="1667" w:type="dxa"/>
            <w:shd w:val="clear" w:color="auto" w:fill="auto"/>
          </w:tcPr>
          <w:p w14:paraId="75DE84DF" w14:textId="77777777" w:rsidR="00D42279" w:rsidRPr="007974E8" w:rsidRDefault="00D42279" w:rsidP="007974E8">
            <w:pPr>
              <w:spacing w:line="276" w:lineRule="auto"/>
              <w:ind w:right="567"/>
              <w:rPr>
                <w:rFonts w:cs="Arial"/>
                <w:bCs/>
                <w:lang w:val="es-MX"/>
              </w:rPr>
            </w:pPr>
            <w:r w:rsidRPr="007974E8">
              <w:rPr>
                <w:rFonts w:cs="Arial"/>
                <w:bCs/>
                <w:lang w:val="es-MX"/>
              </w:rPr>
              <w:t>600</w:t>
            </w:r>
          </w:p>
        </w:tc>
        <w:tc>
          <w:tcPr>
            <w:tcW w:w="2126" w:type="dxa"/>
            <w:shd w:val="clear" w:color="auto" w:fill="auto"/>
          </w:tcPr>
          <w:p w14:paraId="749C4BCE" w14:textId="77777777" w:rsidR="00D42279" w:rsidRPr="007974E8" w:rsidRDefault="00D42279" w:rsidP="007974E8">
            <w:pPr>
              <w:spacing w:line="276" w:lineRule="auto"/>
              <w:ind w:right="567"/>
              <w:rPr>
                <w:rFonts w:cs="Arial"/>
                <w:bCs/>
                <w:lang w:val="es-MX"/>
              </w:rPr>
            </w:pPr>
            <w:r w:rsidRPr="007974E8">
              <w:rPr>
                <w:rFonts w:cs="Arial"/>
                <w:bCs/>
                <w:lang w:val="es-MX"/>
              </w:rPr>
              <w:t>600</w:t>
            </w:r>
          </w:p>
        </w:tc>
      </w:tr>
    </w:tbl>
    <w:p w14:paraId="62B2C873" w14:textId="77777777" w:rsidR="00D812E1" w:rsidRPr="00E06FC2" w:rsidRDefault="00D812E1" w:rsidP="00743788">
      <w:pPr>
        <w:rPr>
          <w:rFonts w:cs="Arial"/>
          <w:bCs/>
          <w:lang w:val="es-MX"/>
        </w:rPr>
      </w:pPr>
    </w:p>
    <w:p w14:paraId="7FC0CB06" w14:textId="77777777" w:rsidR="00D42279" w:rsidRPr="00E06FC2" w:rsidRDefault="003F7A67" w:rsidP="00743788">
      <w:pPr>
        <w:rPr>
          <w:rFonts w:cs="Arial"/>
          <w:bCs/>
          <w:lang w:val="es-MX"/>
        </w:rPr>
      </w:pPr>
      <w:r w:rsidRPr="00E06FC2">
        <w:rPr>
          <w:rFonts w:cs="Arial"/>
          <w:bCs/>
          <w:lang w:val="es-MX"/>
        </w:rPr>
        <w:t>Acerca de las diferencias en el puntaje, e</w:t>
      </w:r>
      <w:r w:rsidR="00D42279" w:rsidRPr="00E06FC2">
        <w:rPr>
          <w:rFonts w:cs="Arial"/>
          <w:bCs/>
          <w:lang w:val="es-MX"/>
        </w:rPr>
        <w:t>n forma resumida se observa</w:t>
      </w:r>
      <w:r w:rsidR="00B57F34" w:rsidRPr="00E06FC2">
        <w:rPr>
          <w:rFonts w:cs="Arial"/>
          <w:bCs/>
          <w:lang w:val="es-MX"/>
        </w:rPr>
        <w:t>n</w:t>
      </w:r>
      <w:r w:rsidR="00D42279" w:rsidRPr="00E06FC2">
        <w:rPr>
          <w:rFonts w:cs="Arial"/>
          <w:bCs/>
          <w:lang w:val="es-MX"/>
        </w:rPr>
        <w:t xml:space="preserve"> </w:t>
      </w:r>
      <w:r w:rsidRPr="00E06FC2">
        <w:rPr>
          <w:rFonts w:cs="Arial"/>
          <w:bCs/>
          <w:lang w:val="es-MX"/>
        </w:rPr>
        <w:t xml:space="preserve">las siguientes posturas: </w:t>
      </w:r>
      <w:r w:rsidR="00D42279" w:rsidRPr="00E06FC2">
        <w:rPr>
          <w:rFonts w:cs="Arial"/>
          <w:b/>
          <w:bCs/>
          <w:lang w:val="es-MX"/>
        </w:rPr>
        <w:t>i)</w:t>
      </w:r>
      <w:r w:rsidR="00D42279" w:rsidRPr="00E06FC2">
        <w:rPr>
          <w:rFonts w:cs="Arial"/>
          <w:bCs/>
          <w:lang w:val="es-MX"/>
        </w:rPr>
        <w:t xml:space="preserve"> </w:t>
      </w:r>
      <w:r w:rsidR="00B4053B" w:rsidRPr="00E06FC2">
        <w:rPr>
          <w:rFonts w:cs="Arial"/>
          <w:bCs/>
          <w:lang w:val="es-MX"/>
        </w:rPr>
        <w:t>e</w:t>
      </w:r>
      <w:r w:rsidR="00B57F34" w:rsidRPr="00E06FC2">
        <w:rPr>
          <w:rFonts w:cs="Arial"/>
          <w:bCs/>
          <w:lang w:val="es-MX"/>
        </w:rPr>
        <w:t xml:space="preserve">l </w:t>
      </w:r>
      <w:r w:rsidR="00B4053B" w:rsidRPr="00E06FC2">
        <w:rPr>
          <w:rFonts w:cs="Arial"/>
          <w:bCs/>
          <w:lang w:val="es-MX"/>
        </w:rPr>
        <w:t>c</w:t>
      </w:r>
      <w:r w:rsidR="00D42279" w:rsidRPr="00E06FC2">
        <w:rPr>
          <w:rFonts w:cs="Arial"/>
          <w:bCs/>
          <w:lang w:val="es-MX"/>
        </w:rPr>
        <w:t xml:space="preserve">omité de </w:t>
      </w:r>
      <w:r w:rsidR="00B4053B" w:rsidRPr="00E06FC2">
        <w:rPr>
          <w:rFonts w:cs="Arial"/>
          <w:bCs/>
          <w:lang w:val="es-MX"/>
        </w:rPr>
        <w:t>e</w:t>
      </w:r>
      <w:r w:rsidR="00D42279" w:rsidRPr="00E06FC2">
        <w:rPr>
          <w:rFonts w:cs="Arial"/>
          <w:bCs/>
          <w:lang w:val="es-MX"/>
        </w:rPr>
        <w:t xml:space="preserve">valuación aceptó </w:t>
      </w:r>
      <w:r w:rsidR="00214BED" w:rsidRPr="00E06FC2">
        <w:rPr>
          <w:rFonts w:cs="Arial"/>
          <w:bCs/>
          <w:lang w:val="es-MX"/>
        </w:rPr>
        <w:t>la</w:t>
      </w:r>
      <w:r w:rsidRPr="00E06FC2">
        <w:rPr>
          <w:rFonts w:cs="Arial"/>
          <w:bCs/>
          <w:lang w:val="es-MX"/>
        </w:rPr>
        <w:t>s distintas clases de certificaciones</w:t>
      </w:r>
      <w:r w:rsidR="004150DA" w:rsidRPr="00E06FC2">
        <w:rPr>
          <w:rFonts w:cs="Arial"/>
          <w:bCs/>
          <w:lang w:val="es-MX"/>
        </w:rPr>
        <w:t xml:space="preserve"> y homologaciones</w:t>
      </w:r>
      <w:r w:rsidR="00976F23" w:rsidRPr="00E06FC2">
        <w:rPr>
          <w:rFonts w:cs="Arial"/>
          <w:bCs/>
          <w:lang w:val="es-MX"/>
        </w:rPr>
        <w:t>,</w:t>
      </w:r>
      <w:r w:rsidR="004150DA" w:rsidRPr="00E06FC2">
        <w:rPr>
          <w:rFonts w:cs="Arial"/>
          <w:bCs/>
          <w:lang w:val="es-MX"/>
        </w:rPr>
        <w:t xml:space="preserve"> de acuerdo con los componentes objeto de las mismas</w:t>
      </w:r>
      <w:r w:rsidR="0023115D" w:rsidRPr="00E06FC2">
        <w:rPr>
          <w:rFonts w:cs="Arial"/>
          <w:bCs/>
          <w:lang w:val="es-MX"/>
        </w:rPr>
        <w:t xml:space="preserve"> </w:t>
      </w:r>
      <w:r w:rsidR="00D42279" w:rsidRPr="00E06FC2">
        <w:rPr>
          <w:rFonts w:cs="Arial"/>
          <w:bCs/>
          <w:lang w:val="es-MX"/>
        </w:rPr>
        <w:t>y, también</w:t>
      </w:r>
      <w:r w:rsidR="0023115D" w:rsidRPr="00E06FC2">
        <w:rPr>
          <w:rFonts w:cs="Arial"/>
          <w:bCs/>
          <w:lang w:val="es-MX"/>
        </w:rPr>
        <w:t>,</w:t>
      </w:r>
      <w:r w:rsidR="00D42279" w:rsidRPr="00E06FC2">
        <w:rPr>
          <w:rFonts w:cs="Arial"/>
          <w:bCs/>
          <w:lang w:val="es-MX"/>
        </w:rPr>
        <w:t xml:space="preserve"> </w:t>
      </w:r>
      <w:r w:rsidRPr="00E06FC2">
        <w:rPr>
          <w:rFonts w:cs="Arial"/>
          <w:bCs/>
          <w:lang w:val="es-MX"/>
        </w:rPr>
        <w:t xml:space="preserve">consideró </w:t>
      </w:r>
      <w:r w:rsidR="00D42279" w:rsidRPr="00E06FC2">
        <w:rPr>
          <w:rFonts w:cs="Arial"/>
          <w:bCs/>
          <w:lang w:val="es-MX"/>
        </w:rPr>
        <w:t xml:space="preserve">que algunos </w:t>
      </w:r>
      <w:r w:rsidRPr="00E06FC2">
        <w:rPr>
          <w:rFonts w:cs="Arial"/>
          <w:bCs/>
          <w:lang w:val="es-MX"/>
        </w:rPr>
        <w:t>d</w:t>
      </w:r>
      <w:r w:rsidR="00D42279" w:rsidRPr="00E06FC2">
        <w:rPr>
          <w:rFonts w:cs="Arial"/>
          <w:bCs/>
          <w:lang w:val="es-MX"/>
        </w:rPr>
        <w:t>e</w:t>
      </w:r>
      <w:r w:rsidRPr="00E06FC2">
        <w:rPr>
          <w:rFonts w:cs="Arial"/>
          <w:bCs/>
          <w:lang w:val="es-MX"/>
        </w:rPr>
        <w:t xml:space="preserve"> los componentes </w:t>
      </w:r>
      <w:r w:rsidR="00D42279" w:rsidRPr="00E06FC2">
        <w:rPr>
          <w:rFonts w:cs="Arial"/>
          <w:bCs/>
          <w:lang w:val="es-MX"/>
        </w:rPr>
        <w:t xml:space="preserve">hacían parte de la luminaria, de manera que no requerían certificación distinta de la que se acreditó para </w:t>
      </w:r>
      <w:r w:rsidRPr="00E06FC2">
        <w:rPr>
          <w:rFonts w:cs="Arial"/>
          <w:bCs/>
          <w:lang w:val="es-MX"/>
        </w:rPr>
        <w:t>ella</w:t>
      </w:r>
      <w:r w:rsidR="00D42279" w:rsidRPr="00E06FC2">
        <w:rPr>
          <w:rFonts w:cs="Arial"/>
          <w:bCs/>
          <w:lang w:val="es-MX"/>
        </w:rPr>
        <w:t xml:space="preserve">; </w:t>
      </w:r>
      <w:r w:rsidR="00D42279" w:rsidRPr="00E06FC2">
        <w:rPr>
          <w:rFonts w:cs="Arial"/>
          <w:b/>
          <w:bCs/>
          <w:lang w:val="es-MX"/>
        </w:rPr>
        <w:t>i</w:t>
      </w:r>
      <w:r w:rsidR="00182148" w:rsidRPr="00E06FC2">
        <w:rPr>
          <w:rFonts w:cs="Arial"/>
          <w:b/>
          <w:bCs/>
          <w:lang w:val="es-MX"/>
        </w:rPr>
        <w:t>i</w:t>
      </w:r>
      <w:r w:rsidR="00D42279" w:rsidRPr="00E06FC2">
        <w:rPr>
          <w:rFonts w:cs="Arial"/>
          <w:b/>
          <w:bCs/>
          <w:lang w:val="es-MX"/>
        </w:rPr>
        <w:t>)</w:t>
      </w:r>
      <w:r w:rsidR="00D42279" w:rsidRPr="00E06FC2">
        <w:rPr>
          <w:rFonts w:cs="Arial"/>
          <w:bCs/>
          <w:lang w:val="es-MX"/>
        </w:rPr>
        <w:t xml:space="preserve"> el dictamen no aceptó puntaje para </w:t>
      </w:r>
      <w:r w:rsidRPr="00E06FC2">
        <w:rPr>
          <w:rFonts w:cs="Arial"/>
          <w:bCs/>
          <w:lang w:val="es-MX"/>
        </w:rPr>
        <w:t xml:space="preserve">componente </w:t>
      </w:r>
      <w:r w:rsidR="00D42279" w:rsidRPr="00E06FC2">
        <w:rPr>
          <w:rFonts w:cs="Arial"/>
          <w:bCs/>
          <w:lang w:val="es-MX"/>
        </w:rPr>
        <w:t xml:space="preserve">alguno que presentara variación respecto de las especificaciones del pliego </w:t>
      </w:r>
      <w:r w:rsidR="00214BED" w:rsidRPr="00E06FC2">
        <w:rPr>
          <w:rFonts w:cs="Arial"/>
          <w:bCs/>
          <w:lang w:val="es-MX"/>
        </w:rPr>
        <w:t xml:space="preserve">en el caso de </w:t>
      </w:r>
      <w:r w:rsidRPr="00E06FC2">
        <w:rPr>
          <w:rFonts w:cs="Arial"/>
          <w:bCs/>
          <w:lang w:val="es-MX"/>
        </w:rPr>
        <w:t xml:space="preserve">la propuesta de </w:t>
      </w:r>
      <w:r w:rsidR="00214BED" w:rsidRPr="00E06FC2">
        <w:rPr>
          <w:rFonts w:cs="Arial"/>
          <w:bCs/>
          <w:lang w:val="es-MX"/>
        </w:rPr>
        <w:t xml:space="preserve">UT Diselecsa </w:t>
      </w:r>
      <w:r w:rsidRPr="00E06FC2">
        <w:rPr>
          <w:rFonts w:cs="Arial"/>
          <w:bCs/>
          <w:lang w:val="es-MX"/>
        </w:rPr>
        <w:t>-</w:t>
      </w:r>
      <w:r w:rsidR="00214BED" w:rsidRPr="00E06FC2">
        <w:rPr>
          <w:rFonts w:cs="Arial"/>
          <w:bCs/>
          <w:lang w:val="es-MX"/>
        </w:rPr>
        <w:t xml:space="preserve"> Montajes Eléctricos, </w:t>
      </w:r>
      <w:r w:rsidR="00D42279" w:rsidRPr="00E06FC2">
        <w:rPr>
          <w:rFonts w:cs="Arial"/>
          <w:bCs/>
          <w:lang w:val="es-MX"/>
        </w:rPr>
        <w:t xml:space="preserve">por cuanto consideró que no se indicó si la propuesta era básica o alternativa y, por tanto, asumió que se entendía lo primero. En </w:t>
      </w:r>
      <w:r w:rsidR="00B57F34" w:rsidRPr="00E06FC2">
        <w:rPr>
          <w:rFonts w:cs="Arial"/>
          <w:bCs/>
          <w:lang w:val="es-MX"/>
        </w:rPr>
        <w:t xml:space="preserve">dicho </w:t>
      </w:r>
      <w:r w:rsidR="00D42279" w:rsidRPr="00E06FC2">
        <w:rPr>
          <w:rFonts w:cs="Arial"/>
          <w:bCs/>
          <w:lang w:val="es-MX"/>
        </w:rPr>
        <w:t xml:space="preserve">entendimiento, asignó </w:t>
      </w:r>
      <w:r w:rsidR="00214BED" w:rsidRPr="00E06FC2">
        <w:rPr>
          <w:rFonts w:cs="Arial"/>
          <w:bCs/>
          <w:lang w:val="es-MX"/>
        </w:rPr>
        <w:t xml:space="preserve">a esa propuesta </w:t>
      </w:r>
      <w:r w:rsidR="00D42279" w:rsidRPr="00E06FC2">
        <w:rPr>
          <w:rFonts w:cs="Arial"/>
          <w:bCs/>
          <w:lang w:val="es-MX"/>
        </w:rPr>
        <w:t xml:space="preserve">cero puntos a todo ítem que no tuviera las especificaciones ajustadas al pliego y </w:t>
      </w:r>
      <w:r w:rsidR="00D42279" w:rsidRPr="00E06FC2">
        <w:rPr>
          <w:rFonts w:cs="Arial"/>
          <w:b/>
          <w:bCs/>
          <w:lang w:val="es-MX"/>
        </w:rPr>
        <w:t>iii)</w:t>
      </w:r>
      <w:r w:rsidR="00D42279" w:rsidRPr="00E06FC2">
        <w:rPr>
          <w:rFonts w:cs="Arial"/>
          <w:bCs/>
          <w:lang w:val="es-MX"/>
        </w:rPr>
        <w:t xml:space="preserve"> la sentencia </w:t>
      </w:r>
      <w:r w:rsidR="00B57F34" w:rsidRPr="00E06FC2">
        <w:rPr>
          <w:rFonts w:cs="Arial"/>
          <w:bCs/>
          <w:lang w:val="es-MX"/>
        </w:rPr>
        <w:t xml:space="preserve">de primera instancia consideró que lo correcto era </w:t>
      </w:r>
      <w:r w:rsidR="00D42279" w:rsidRPr="00E06FC2">
        <w:rPr>
          <w:rFonts w:cs="Arial"/>
          <w:bCs/>
          <w:lang w:val="es-MX"/>
        </w:rPr>
        <w:t xml:space="preserve">asignar puntaje a los ítems que presentaban variaciones en las especificaciones –como propuesta alternativa- pero únicamente en relación con los </w:t>
      </w:r>
      <w:r w:rsidR="004150DA" w:rsidRPr="00E06FC2">
        <w:rPr>
          <w:rFonts w:cs="Arial"/>
          <w:bCs/>
          <w:lang w:val="es-MX"/>
        </w:rPr>
        <w:t xml:space="preserve">artículos </w:t>
      </w:r>
      <w:r w:rsidR="00D42279" w:rsidRPr="00E06FC2">
        <w:rPr>
          <w:rFonts w:cs="Arial"/>
          <w:bCs/>
          <w:lang w:val="es-MX"/>
        </w:rPr>
        <w:t xml:space="preserve">expresamente </w:t>
      </w:r>
      <w:r w:rsidR="00CE5495" w:rsidRPr="00E06FC2">
        <w:rPr>
          <w:rFonts w:cs="Arial"/>
          <w:bCs/>
          <w:lang w:val="es-MX"/>
        </w:rPr>
        <w:t xml:space="preserve">relacionados </w:t>
      </w:r>
      <w:r w:rsidR="00D42279" w:rsidRPr="00E06FC2">
        <w:rPr>
          <w:rFonts w:cs="Arial"/>
          <w:bCs/>
          <w:lang w:val="es-MX"/>
        </w:rPr>
        <w:t xml:space="preserve">en el </w:t>
      </w:r>
      <w:r w:rsidR="0016327E" w:rsidRPr="00E06FC2">
        <w:rPr>
          <w:rFonts w:cs="Arial"/>
          <w:bCs/>
          <w:lang w:val="es-MX"/>
        </w:rPr>
        <w:t>a</w:t>
      </w:r>
      <w:r w:rsidR="00D42279" w:rsidRPr="00E06FC2">
        <w:rPr>
          <w:rFonts w:cs="Arial"/>
          <w:bCs/>
          <w:lang w:val="es-MX"/>
        </w:rPr>
        <w:t xml:space="preserve">dendo 3. Además, </w:t>
      </w:r>
      <w:r w:rsidR="00B57F34" w:rsidRPr="00E06FC2">
        <w:rPr>
          <w:rFonts w:cs="Arial"/>
          <w:bCs/>
          <w:lang w:val="es-MX"/>
        </w:rPr>
        <w:t xml:space="preserve">en la sentencia, </w:t>
      </w:r>
      <w:r w:rsidR="0023115D" w:rsidRPr="00E06FC2">
        <w:rPr>
          <w:rFonts w:cs="Arial"/>
          <w:bCs/>
          <w:lang w:val="es-MX"/>
        </w:rPr>
        <w:t xml:space="preserve">el Tribunal a quo </w:t>
      </w:r>
      <w:r w:rsidR="00D42279" w:rsidRPr="00E06FC2">
        <w:rPr>
          <w:rFonts w:cs="Arial"/>
          <w:bCs/>
          <w:lang w:val="es-MX"/>
        </w:rPr>
        <w:t xml:space="preserve">calificó con cero puntos la propuesta alternativa </w:t>
      </w:r>
      <w:r w:rsidR="004118DA" w:rsidRPr="00E06FC2">
        <w:rPr>
          <w:rFonts w:cs="Arial"/>
          <w:bCs/>
          <w:lang w:val="es-MX"/>
        </w:rPr>
        <w:t xml:space="preserve">sobre </w:t>
      </w:r>
      <w:r w:rsidR="00D42279" w:rsidRPr="00E06FC2">
        <w:rPr>
          <w:rFonts w:cs="Arial"/>
          <w:bCs/>
          <w:lang w:val="es-MX"/>
        </w:rPr>
        <w:t xml:space="preserve">aquellos </w:t>
      </w:r>
      <w:r w:rsidR="004118DA" w:rsidRPr="00E06FC2">
        <w:rPr>
          <w:rFonts w:cs="Arial"/>
          <w:bCs/>
          <w:lang w:val="es-MX"/>
        </w:rPr>
        <w:t xml:space="preserve">componentes </w:t>
      </w:r>
      <w:r w:rsidR="00D42279" w:rsidRPr="00E06FC2">
        <w:rPr>
          <w:rFonts w:cs="Arial"/>
          <w:bCs/>
          <w:lang w:val="es-MX"/>
        </w:rPr>
        <w:t>que no tenían constancia expresa de cumplimiento de la norma de calidad ISO 9004</w:t>
      </w:r>
      <w:r w:rsidR="0023115D" w:rsidRPr="00E06FC2">
        <w:rPr>
          <w:rFonts w:cs="Arial"/>
          <w:bCs/>
          <w:lang w:val="es-MX"/>
        </w:rPr>
        <w:t>-1</w:t>
      </w:r>
      <w:r w:rsidR="00D42279" w:rsidRPr="00E06FC2">
        <w:rPr>
          <w:rFonts w:cs="Arial"/>
          <w:bCs/>
          <w:lang w:val="es-MX"/>
        </w:rPr>
        <w:t>,</w:t>
      </w:r>
      <w:r w:rsidR="00CE5495" w:rsidRPr="00E06FC2">
        <w:rPr>
          <w:rFonts w:cs="Arial"/>
          <w:bCs/>
          <w:lang w:val="es-MX"/>
        </w:rPr>
        <w:t xml:space="preserve"> </w:t>
      </w:r>
      <w:r w:rsidR="00D42279" w:rsidRPr="00E06FC2">
        <w:rPr>
          <w:rFonts w:cs="Arial"/>
          <w:bCs/>
          <w:lang w:val="es-MX"/>
        </w:rPr>
        <w:t>sin aceptar la certificación de ISO 9001 sobre los mismos.</w:t>
      </w:r>
    </w:p>
    <w:p w14:paraId="2239B0EC" w14:textId="77777777" w:rsidR="00D42279" w:rsidRPr="00E06FC2" w:rsidRDefault="00D42279" w:rsidP="00743788">
      <w:pPr>
        <w:rPr>
          <w:rFonts w:cs="Arial"/>
          <w:bCs/>
          <w:lang w:val="es-MX"/>
        </w:rPr>
      </w:pPr>
    </w:p>
    <w:p w14:paraId="1A451E6F" w14:textId="77777777" w:rsidR="001132F2" w:rsidRPr="00E06FC2" w:rsidRDefault="00B7730D" w:rsidP="00743788">
      <w:pPr>
        <w:rPr>
          <w:rFonts w:cs="Arial"/>
          <w:bCs/>
          <w:lang w:val="es-MX"/>
        </w:rPr>
      </w:pPr>
      <w:r w:rsidRPr="00E06FC2">
        <w:rPr>
          <w:rFonts w:cs="Arial"/>
          <w:bCs/>
          <w:lang w:val="es-MX"/>
        </w:rPr>
        <w:t xml:space="preserve">El </w:t>
      </w:r>
      <w:r w:rsidRPr="00E06FC2">
        <w:rPr>
          <w:rFonts w:cs="Arial"/>
          <w:b/>
          <w:bCs/>
          <w:lang w:val="es-MX"/>
        </w:rPr>
        <w:t>dictamen</w:t>
      </w:r>
      <w:r w:rsidRPr="00E06FC2">
        <w:rPr>
          <w:rFonts w:cs="Arial"/>
          <w:bCs/>
          <w:lang w:val="es-MX"/>
        </w:rPr>
        <w:t xml:space="preserve"> fue realizado por dos ingenieros electricistas, auxiliares de la justicia inscritos en la lista del Tribunal Administrativo del Valle. En el cuestionario propuesto a los peritos </w:t>
      </w:r>
      <w:r w:rsidR="001132F2" w:rsidRPr="00E06FC2">
        <w:rPr>
          <w:rFonts w:cs="Arial"/>
          <w:bCs/>
          <w:lang w:val="es-MX"/>
        </w:rPr>
        <w:t>se les preguntó, desde su punto de vista técnico, cuál era la propuesta más favorable</w:t>
      </w:r>
      <w:r w:rsidR="00F927E1" w:rsidRPr="00E06FC2">
        <w:rPr>
          <w:rFonts w:cs="Arial"/>
          <w:bCs/>
          <w:lang w:val="es-MX"/>
        </w:rPr>
        <w:t xml:space="preserve">. Igualmente se </w:t>
      </w:r>
      <w:r w:rsidR="001132F2" w:rsidRPr="00E06FC2">
        <w:rPr>
          <w:rFonts w:cs="Arial"/>
          <w:bCs/>
          <w:lang w:val="es-MX"/>
        </w:rPr>
        <w:t>les solicitó elaborar el cuadro de elegibilidad, además de determinar el valor de los perjuicios sufridos por la demandante</w:t>
      </w:r>
      <w:r w:rsidR="00D400F3" w:rsidRPr="00E06FC2">
        <w:rPr>
          <w:rStyle w:val="Refdenotaalpie"/>
          <w:rFonts w:cs="Arial"/>
          <w:bCs/>
          <w:lang w:val="es-MX"/>
        </w:rPr>
        <w:footnoteReference w:id="64"/>
      </w:r>
      <w:r w:rsidR="001132F2" w:rsidRPr="00E06FC2">
        <w:rPr>
          <w:rFonts w:cs="Arial"/>
          <w:bCs/>
          <w:lang w:val="es-MX"/>
        </w:rPr>
        <w:t>.</w:t>
      </w:r>
    </w:p>
    <w:p w14:paraId="68AD53DA" w14:textId="77777777" w:rsidR="009B1CCD" w:rsidRPr="00E06FC2" w:rsidRDefault="009B1CCD" w:rsidP="00743788">
      <w:pPr>
        <w:rPr>
          <w:rFonts w:cs="Arial"/>
          <w:bCs/>
          <w:lang w:val="es-MX"/>
        </w:rPr>
      </w:pPr>
    </w:p>
    <w:p w14:paraId="5C76AFA1" w14:textId="77777777" w:rsidR="004B4D7B" w:rsidRPr="00E06FC2" w:rsidRDefault="009B1CCD" w:rsidP="00743788">
      <w:pPr>
        <w:rPr>
          <w:rFonts w:cs="Arial"/>
          <w:bCs/>
          <w:lang w:val="es-MX"/>
        </w:rPr>
      </w:pPr>
      <w:r w:rsidRPr="00E06FC2">
        <w:rPr>
          <w:rFonts w:cs="Arial"/>
          <w:bCs/>
          <w:lang w:val="es-MX"/>
        </w:rPr>
        <w:t xml:space="preserve">Teniendo en cuenta el pliego de condiciones los peritos </w:t>
      </w:r>
      <w:r w:rsidR="004B4D7B" w:rsidRPr="00E06FC2">
        <w:rPr>
          <w:rFonts w:cs="Arial"/>
          <w:bCs/>
          <w:lang w:val="es-MX"/>
        </w:rPr>
        <w:t>indicaron que:</w:t>
      </w:r>
    </w:p>
    <w:p w14:paraId="503CA0BC" w14:textId="77777777" w:rsidR="004B4D7B" w:rsidRPr="00E06FC2" w:rsidRDefault="004B4D7B" w:rsidP="00743788">
      <w:pPr>
        <w:rPr>
          <w:rFonts w:cs="Arial"/>
          <w:bCs/>
          <w:lang w:val="es-MX"/>
        </w:rPr>
      </w:pPr>
    </w:p>
    <w:p w14:paraId="40EF1FB1" w14:textId="77777777" w:rsidR="00B216CD" w:rsidRPr="00E06FC2" w:rsidRDefault="004B4D7B" w:rsidP="00743788">
      <w:pPr>
        <w:spacing w:line="276" w:lineRule="auto"/>
        <w:ind w:left="567" w:right="567"/>
        <w:rPr>
          <w:rFonts w:cs="Arial"/>
          <w:bCs/>
          <w:lang w:val="es-MX"/>
        </w:rPr>
      </w:pPr>
      <w:r w:rsidRPr="00E06FC2">
        <w:rPr>
          <w:rFonts w:cs="Arial"/>
          <w:bCs/>
          <w:i/>
          <w:lang w:val="es-MX"/>
        </w:rPr>
        <w:t>“Confrontando según el numeral 4 del Capítulo II del pliego de condiciones</w:t>
      </w:r>
      <w:r w:rsidR="00405E41" w:rsidRPr="00E06FC2">
        <w:rPr>
          <w:rStyle w:val="Refdenotaalpie"/>
          <w:rFonts w:cs="Arial"/>
          <w:bCs/>
          <w:i/>
          <w:lang w:val="es-MX"/>
        </w:rPr>
        <w:footnoteReference w:id="65"/>
      </w:r>
      <w:r w:rsidRPr="00E06FC2">
        <w:rPr>
          <w:rFonts w:cs="Arial"/>
          <w:bCs/>
          <w:i/>
          <w:lang w:val="es-MX"/>
        </w:rPr>
        <w:t xml:space="preserve">, cada elemento de la luminaria ofrecida, con lo requerido por la administración, a fin de establecer su adecuación y teniendo en cuenta que la primera </w:t>
      </w:r>
      <w:r w:rsidR="00B216CD" w:rsidRPr="00E06FC2">
        <w:rPr>
          <w:rFonts w:cs="Arial"/>
          <w:bCs/>
          <w:i/>
          <w:lang w:val="es-MX"/>
        </w:rPr>
        <w:t>U</w:t>
      </w:r>
      <w:r w:rsidRPr="00E06FC2">
        <w:rPr>
          <w:rFonts w:cs="Arial"/>
          <w:bCs/>
          <w:i/>
          <w:lang w:val="es-MX"/>
        </w:rPr>
        <w:t xml:space="preserve">nión </w:t>
      </w:r>
      <w:r w:rsidR="00B216CD" w:rsidRPr="00E06FC2">
        <w:rPr>
          <w:rFonts w:cs="Arial"/>
          <w:bCs/>
          <w:i/>
          <w:lang w:val="es-MX"/>
        </w:rPr>
        <w:t>T</w:t>
      </w:r>
      <w:r w:rsidRPr="00E06FC2">
        <w:rPr>
          <w:rFonts w:cs="Arial"/>
          <w:bCs/>
          <w:i/>
          <w:lang w:val="es-MX"/>
        </w:rPr>
        <w:t xml:space="preserve">emporal </w:t>
      </w:r>
      <w:r w:rsidR="00B216CD" w:rsidRPr="00E06FC2">
        <w:rPr>
          <w:rFonts w:cs="Arial"/>
          <w:bCs/>
          <w:i/>
          <w:lang w:val="es-MX"/>
        </w:rPr>
        <w:t xml:space="preserve">presentó una propuesta básica y una alternativa y las dos últimas Uniones </w:t>
      </w:r>
      <w:r w:rsidR="005D5B0C" w:rsidRPr="00E06FC2">
        <w:rPr>
          <w:rFonts w:cs="Arial"/>
          <w:bCs/>
          <w:i/>
          <w:lang w:val="es-MX"/>
        </w:rPr>
        <w:t>T</w:t>
      </w:r>
      <w:r w:rsidR="00B216CD" w:rsidRPr="00E06FC2">
        <w:rPr>
          <w:rFonts w:cs="Arial"/>
          <w:bCs/>
          <w:i/>
          <w:lang w:val="es-MX"/>
        </w:rPr>
        <w:t>emporales presentaron una propuesta que fue calificada como b</w:t>
      </w:r>
      <w:r w:rsidR="005D5B0C" w:rsidRPr="00E06FC2">
        <w:rPr>
          <w:rFonts w:cs="Arial"/>
          <w:bCs/>
          <w:i/>
          <w:lang w:val="es-MX"/>
        </w:rPr>
        <w:t>á</w:t>
      </w:r>
      <w:r w:rsidR="00B216CD" w:rsidRPr="00E06FC2">
        <w:rPr>
          <w:rFonts w:cs="Arial"/>
          <w:bCs/>
          <w:i/>
          <w:lang w:val="es-MX"/>
        </w:rPr>
        <w:t xml:space="preserve">sica, </w:t>
      </w:r>
      <w:r w:rsidR="00B216CD" w:rsidRPr="00E06FC2">
        <w:rPr>
          <w:rFonts w:cs="Arial"/>
          <w:b/>
          <w:bCs/>
          <w:i/>
          <w:lang w:val="es-MX"/>
        </w:rPr>
        <w:t>en atención a</w:t>
      </w:r>
      <w:r w:rsidR="005D5B0C" w:rsidRPr="00E06FC2">
        <w:rPr>
          <w:rFonts w:cs="Arial"/>
          <w:b/>
          <w:bCs/>
          <w:i/>
          <w:lang w:val="es-MX"/>
        </w:rPr>
        <w:t xml:space="preserve"> </w:t>
      </w:r>
      <w:r w:rsidR="00B216CD" w:rsidRPr="00E06FC2">
        <w:rPr>
          <w:rFonts w:cs="Arial"/>
          <w:b/>
          <w:bCs/>
          <w:i/>
          <w:lang w:val="es-MX"/>
        </w:rPr>
        <w:t>presentarse una sola propuesta que fue calificada como básica, en atención a presentarse una sola de cada una y no haberse predeterminado como alternativas</w:t>
      </w:r>
      <w:r w:rsidR="00B216CD" w:rsidRPr="00E06FC2">
        <w:rPr>
          <w:rFonts w:cs="Arial"/>
          <w:bCs/>
          <w:lang w:val="es-MX"/>
        </w:rPr>
        <w:t>”</w:t>
      </w:r>
      <w:r w:rsidR="00B216CD" w:rsidRPr="00E06FC2">
        <w:rPr>
          <w:rStyle w:val="Refdenotaalpie"/>
          <w:rFonts w:cs="Arial"/>
          <w:bCs/>
          <w:lang w:val="es-MX"/>
        </w:rPr>
        <w:footnoteReference w:id="66"/>
      </w:r>
      <w:r w:rsidR="005D5B0C" w:rsidRPr="00E06FC2">
        <w:rPr>
          <w:rFonts w:cs="Arial"/>
          <w:bCs/>
          <w:lang w:val="es-MX"/>
        </w:rPr>
        <w:t>. (La negrilla se destaca para observar el presupuesto del que partió el dictamen).</w:t>
      </w:r>
    </w:p>
    <w:p w14:paraId="309FA983" w14:textId="77777777" w:rsidR="00B216CD" w:rsidRPr="00E06FC2" w:rsidRDefault="00B216CD" w:rsidP="00743788">
      <w:pPr>
        <w:rPr>
          <w:rFonts w:cs="Arial"/>
          <w:bCs/>
          <w:lang w:val="es-MX"/>
        </w:rPr>
      </w:pPr>
    </w:p>
    <w:p w14:paraId="7836C2C1" w14:textId="77777777" w:rsidR="00F927E1" w:rsidRPr="00E06FC2" w:rsidRDefault="00DA1F9C" w:rsidP="00743788">
      <w:pPr>
        <w:rPr>
          <w:rFonts w:cs="Arial"/>
          <w:bCs/>
          <w:lang w:val="es-MX"/>
        </w:rPr>
      </w:pPr>
      <w:r w:rsidRPr="00E06FC2">
        <w:rPr>
          <w:rFonts w:cs="Arial"/>
          <w:bCs/>
          <w:lang w:val="es-MX"/>
        </w:rPr>
        <w:t xml:space="preserve">Con base en </w:t>
      </w:r>
      <w:r w:rsidR="00F927E1" w:rsidRPr="00E06FC2">
        <w:rPr>
          <w:rFonts w:cs="Arial"/>
          <w:bCs/>
          <w:lang w:val="es-MX"/>
        </w:rPr>
        <w:t>la referida consideración</w:t>
      </w:r>
      <w:r w:rsidRPr="00E06FC2">
        <w:rPr>
          <w:rFonts w:cs="Arial"/>
          <w:bCs/>
          <w:lang w:val="es-MX"/>
        </w:rPr>
        <w:t xml:space="preserve">, el dictamen desestimó todo componente con especificaciones distintas a las del texto inicial del pliego de </w:t>
      </w:r>
      <w:r w:rsidR="000C7263" w:rsidRPr="00E06FC2">
        <w:rPr>
          <w:rFonts w:cs="Arial"/>
          <w:bCs/>
          <w:lang w:val="es-MX"/>
        </w:rPr>
        <w:t xml:space="preserve">condiciones. </w:t>
      </w:r>
    </w:p>
    <w:p w14:paraId="67DA60D8" w14:textId="77777777" w:rsidR="00F927E1" w:rsidRPr="00E06FC2" w:rsidRDefault="00F927E1" w:rsidP="00743788">
      <w:pPr>
        <w:rPr>
          <w:rFonts w:cs="Arial"/>
          <w:bCs/>
          <w:lang w:val="es-MX"/>
        </w:rPr>
      </w:pPr>
    </w:p>
    <w:p w14:paraId="3FC22CB0" w14:textId="77777777" w:rsidR="000C7263" w:rsidRPr="00E06FC2" w:rsidRDefault="000C7263" w:rsidP="00743788">
      <w:pPr>
        <w:rPr>
          <w:rFonts w:cs="Arial"/>
          <w:bCs/>
          <w:lang w:val="es-MX"/>
        </w:rPr>
      </w:pPr>
      <w:r w:rsidRPr="00E06FC2">
        <w:rPr>
          <w:rFonts w:cs="Arial"/>
          <w:bCs/>
          <w:lang w:val="es-MX"/>
        </w:rPr>
        <w:t>Así por ejemplo, se muestra una comparación de las calificaciones de la UT Diselecsa – Montajes Eléctricos</w:t>
      </w:r>
    </w:p>
    <w:p w14:paraId="17393D32" w14:textId="77777777" w:rsidR="000C7263" w:rsidRPr="00E06FC2" w:rsidRDefault="000C7263" w:rsidP="00743788">
      <w:pPr>
        <w:rPr>
          <w:rFonts w:cs="Arial"/>
          <w:bCs/>
          <w:lang w:val="es-MX"/>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985"/>
        <w:gridCol w:w="3118"/>
      </w:tblGrid>
      <w:tr w:rsidR="00E06FC2" w:rsidRPr="00E06FC2" w14:paraId="6F3F90C4" w14:textId="77777777" w:rsidTr="007974E8">
        <w:tc>
          <w:tcPr>
            <w:tcW w:w="3402" w:type="dxa"/>
            <w:shd w:val="clear" w:color="auto" w:fill="auto"/>
          </w:tcPr>
          <w:p w14:paraId="09ED782A" w14:textId="77777777" w:rsidR="00631B44" w:rsidRPr="007974E8" w:rsidRDefault="00631B44" w:rsidP="007974E8">
            <w:pPr>
              <w:ind w:right="567"/>
              <w:rPr>
                <w:rFonts w:cs="Arial"/>
                <w:bCs/>
                <w:lang w:val="es-MX"/>
              </w:rPr>
            </w:pPr>
            <w:r w:rsidRPr="007974E8">
              <w:rPr>
                <w:rFonts w:cs="Arial"/>
                <w:bCs/>
                <w:lang w:val="es-MX"/>
              </w:rPr>
              <w:t xml:space="preserve">Articulo/ puntaje máximo a otorgar </w:t>
            </w:r>
          </w:p>
        </w:tc>
        <w:tc>
          <w:tcPr>
            <w:tcW w:w="1985" w:type="dxa"/>
            <w:shd w:val="clear" w:color="auto" w:fill="auto"/>
          </w:tcPr>
          <w:p w14:paraId="7627A44B" w14:textId="77777777" w:rsidR="00631B44" w:rsidRPr="007974E8" w:rsidRDefault="00631B44" w:rsidP="007974E8">
            <w:pPr>
              <w:ind w:right="567"/>
              <w:rPr>
                <w:rFonts w:cs="Arial"/>
                <w:bCs/>
                <w:lang w:val="es-MX"/>
              </w:rPr>
            </w:pPr>
            <w:r w:rsidRPr="007974E8">
              <w:rPr>
                <w:rFonts w:cs="Arial"/>
                <w:bCs/>
                <w:lang w:val="es-MX"/>
              </w:rPr>
              <w:t>Comité</w:t>
            </w:r>
          </w:p>
        </w:tc>
        <w:tc>
          <w:tcPr>
            <w:tcW w:w="3118" w:type="dxa"/>
            <w:shd w:val="clear" w:color="auto" w:fill="auto"/>
          </w:tcPr>
          <w:p w14:paraId="69D6C48F" w14:textId="77777777" w:rsidR="00631B44" w:rsidRPr="007974E8" w:rsidRDefault="00631B44" w:rsidP="007974E8">
            <w:pPr>
              <w:ind w:right="567"/>
              <w:rPr>
                <w:rFonts w:cs="Arial"/>
                <w:bCs/>
                <w:lang w:val="es-MX"/>
              </w:rPr>
            </w:pPr>
            <w:r w:rsidRPr="007974E8">
              <w:rPr>
                <w:rFonts w:cs="Arial"/>
                <w:bCs/>
                <w:lang w:val="es-MX"/>
              </w:rPr>
              <w:t xml:space="preserve">Dictamen </w:t>
            </w:r>
          </w:p>
        </w:tc>
      </w:tr>
      <w:tr w:rsidR="00631B44" w:rsidRPr="00E06FC2" w14:paraId="68B1E7A8" w14:textId="77777777" w:rsidTr="007974E8">
        <w:tc>
          <w:tcPr>
            <w:tcW w:w="3402" w:type="dxa"/>
            <w:shd w:val="clear" w:color="auto" w:fill="auto"/>
          </w:tcPr>
          <w:p w14:paraId="74A1A1D7" w14:textId="77777777" w:rsidR="00631B44" w:rsidRPr="007974E8" w:rsidRDefault="00631B44" w:rsidP="007974E8">
            <w:pPr>
              <w:ind w:right="567"/>
              <w:rPr>
                <w:rFonts w:cs="Arial"/>
                <w:bCs/>
                <w:lang w:val="es-MX"/>
              </w:rPr>
            </w:pPr>
            <w:r w:rsidRPr="007974E8">
              <w:rPr>
                <w:rFonts w:cs="Arial"/>
                <w:bCs/>
                <w:lang w:val="es-MX"/>
              </w:rPr>
              <w:t>CARCAZA 150 puntos</w:t>
            </w:r>
          </w:p>
        </w:tc>
        <w:tc>
          <w:tcPr>
            <w:tcW w:w="1985" w:type="dxa"/>
            <w:shd w:val="clear" w:color="auto" w:fill="auto"/>
          </w:tcPr>
          <w:p w14:paraId="77CAB202" w14:textId="77777777" w:rsidR="00631B44" w:rsidRPr="007974E8" w:rsidRDefault="00631B44" w:rsidP="007974E8">
            <w:pPr>
              <w:ind w:right="567"/>
              <w:rPr>
                <w:rFonts w:cs="Arial"/>
                <w:bCs/>
                <w:lang w:val="es-MX"/>
              </w:rPr>
            </w:pPr>
            <w:r w:rsidRPr="007974E8">
              <w:rPr>
                <w:rFonts w:cs="Arial"/>
                <w:bCs/>
                <w:lang w:val="es-MX"/>
              </w:rPr>
              <w:t>150</w:t>
            </w:r>
          </w:p>
        </w:tc>
        <w:tc>
          <w:tcPr>
            <w:tcW w:w="3118" w:type="dxa"/>
            <w:shd w:val="clear" w:color="auto" w:fill="auto"/>
          </w:tcPr>
          <w:p w14:paraId="361BEF23" w14:textId="77777777" w:rsidR="00631B44" w:rsidRPr="007974E8" w:rsidRDefault="00631B44" w:rsidP="007974E8">
            <w:pPr>
              <w:ind w:right="567"/>
              <w:rPr>
                <w:rFonts w:cs="Arial"/>
                <w:bCs/>
                <w:lang w:val="es-MX"/>
              </w:rPr>
            </w:pPr>
            <w:r w:rsidRPr="007974E8">
              <w:rPr>
                <w:rFonts w:cs="Arial"/>
                <w:bCs/>
                <w:lang w:val="es-MX"/>
              </w:rPr>
              <w:t>0</w:t>
            </w:r>
            <w:r w:rsidRPr="007974E8">
              <w:rPr>
                <w:rStyle w:val="Refdenotaalpie"/>
                <w:rFonts w:cs="Arial"/>
                <w:bCs/>
                <w:lang w:val="es-MX"/>
              </w:rPr>
              <w:footnoteReference w:id="67"/>
            </w:r>
          </w:p>
        </w:tc>
      </w:tr>
    </w:tbl>
    <w:p w14:paraId="0C10FEFC" w14:textId="77777777" w:rsidR="000C7263" w:rsidRPr="00E06FC2" w:rsidRDefault="000C7263" w:rsidP="00743788">
      <w:pPr>
        <w:rPr>
          <w:rFonts w:cs="Arial"/>
          <w:bCs/>
          <w:lang w:val="es-MX"/>
        </w:rPr>
      </w:pPr>
    </w:p>
    <w:p w14:paraId="0312D30E" w14:textId="77777777" w:rsidR="00BC63F1" w:rsidRPr="00E06FC2" w:rsidRDefault="00BC63F1" w:rsidP="00743788">
      <w:pPr>
        <w:rPr>
          <w:rFonts w:cs="Arial"/>
          <w:bCs/>
          <w:lang w:val="es-MX"/>
        </w:rPr>
      </w:pPr>
      <w:r w:rsidRPr="00E06FC2">
        <w:rPr>
          <w:rFonts w:cs="Arial"/>
          <w:bCs/>
          <w:lang w:val="es-MX"/>
        </w:rPr>
        <w:t>En el escrito de aclaraciones al dictamen, los peritos reafirmaron su interpretación de la siguiente manera:</w:t>
      </w:r>
    </w:p>
    <w:p w14:paraId="04377AD5" w14:textId="77777777" w:rsidR="00BC63F1" w:rsidRPr="00E06FC2" w:rsidRDefault="00BC63F1" w:rsidP="00743788">
      <w:pPr>
        <w:rPr>
          <w:rFonts w:cs="Arial"/>
          <w:bCs/>
          <w:lang w:val="es-MX"/>
        </w:rPr>
      </w:pPr>
    </w:p>
    <w:p w14:paraId="5F700071" w14:textId="77777777" w:rsidR="00950F03" w:rsidRPr="00E06FC2" w:rsidRDefault="00BC63F1" w:rsidP="00743788">
      <w:pPr>
        <w:spacing w:line="276" w:lineRule="auto"/>
        <w:ind w:left="567" w:right="567"/>
        <w:rPr>
          <w:rFonts w:cs="Arial"/>
          <w:bCs/>
          <w:i/>
          <w:lang w:val="es-MX"/>
        </w:rPr>
      </w:pPr>
      <w:r w:rsidRPr="00E06FC2">
        <w:rPr>
          <w:rFonts w:cs="Arial"/>
          <w:bCs/>
          <w:i/>
          <w:lang w:val="es-MX"/>
        </w:rPr>
        <w:t>“Como las U.T GEICO LTDA – ELECTRO ATL</w:t>
      </w:r>
      <w:r w:rsidR="0005334A" w:rsidRPr="00E06FC2">
        <w:rPr>
          <w:rFonts w:cs="Arial"/>
          <w:bCs/>
          <w:i/>
          <w:lang w:val="es-MX"/>
        </w:rPr>
        <w:t>Á</w:t>
      </w:r>
      <w:r w:rsidRPr="00E06FC2">
        <w:rPr>
          <w:rFonts w:cs="Arial"/>
          <w:bCs/>
          <w:i/>
          <w:lang w:val="es-MX"/>
        </w:rPr>
        <w:t xml:space="preserve">NTICO LTDA y DISELCSA – MONTAJES ELÉCTRICOS LTDA, presentaron una sola propuesta, sin determinar que se trataba de propuesta </w:t>
      </w:r>
      <w:r w:rsidRPr="00E06FC2">
        <w:rPr>
          <w:rFonts w:cs="Arial"/>
          <w:b/>
          <w:bCs/>
          <w:i/>
          <w:lang w:val="es-MX"/>
        </w:rPr>
        <w:t>ALTERNATIVA</w:t>
      </w:r>
      <w:r w:rsidRPr="00E06FC2">
        <w:rPr>
          <w:rFonts w:cs="Arial"/>
          <w:bCs/>
          <w:i/>
          <w:lang w:val="es-MX"/>
        </w:rPr>
        <w:t>, dicha propuesta</w:t>
      </w:r>
      <w:r w:rsidR="00AE3198" w:rsidRPr="00E06FC2">
        <w:rPr>
          <w:rFonts w:cs="Arial"/>
          <w:bCs/>
          <w:i/>
          <w:lang w:val="es-MX"/>
        </w:rPr>
        <w:t xml:space="preserve"> fue calificada como B</w:t>
      </w:r>
      <w:r w:rsidR="0005334A" w:rsidRPr="00E06FC2">
        <w:rPr>
          <w:rFonts w:cs="Arial"/>
          <w:bCs/>
          <w:i/>
          <w:lang w:val="es-MX"/>
        </w:rPr>
        <w:t>Á</w:t>
      </w:r>
      <w:r w:rsidR="00AE3198" w:rsidRPr="00E06FC2">
        <w:rPr>
          <w:rFonts w:cs="Arial"/>
          <w:bCs/>
          <w:i/>
          <w:lang w:val="es-MX"/>
        </w:rPr>
        <w:t>SICA, y por ende, no se le aplicó en esta Pericia, los ADENDOS 2 y 3, del Pliego de Condiciones, puesto que consideramos que debíamos aplicar el principio de igualdad de los proponentes ante tal documento</w:t>
      </w:r>
      <w:r w:rsidR="00950F03" w:rsidRPr="00E06FC2">
        <w:rPr>
          <w:rFonts w:cs="Arial"/>
          <w:bCs/>
          <w:i/>
          <w:lang w:val="es-MX"/>
        </w:rPr>
        <w:t xml:space="preserve">, y el hecho de presumir que se trataba de </w:t>
      </w:r>
      <w:r w:rsidR="00950F03" w:rsidRPr="00E06FC2">
        <w:rPr>
          <w:rFonts w:cs="Arial"/>
          <w:b/>
          <w:bCs/>
          <w:i/>
          <w:lang w:val="es-MX"/>
        </w:rPr>
        <w:t>ALTERNATIVAS,</w:t>
      </w:r>
      <w:r w:rsidR="00950F03" w:rsidRPr="00E06FC2">
        <w:rPr>
          <w:rFonts w:cs="Arial"/>
          <w:bCs/>
          <w:i/>
          <w:lang w:val="es-MX"/>
        </w:rPr>
        <w:t xml:space="preserve"> podría interpretarse como favorecimiento de los </w:t>
      </w:r>
      <w:r w:rsidR="00950F03" w:rsidRPr="00E06FC2">
        <w:rPr>
          <w:rFonts w:cs="Arial"/>
          <w:bCs/>
          <w:i/>
          <w:lang w:val="es-MX"/>
        </w:rPr>
        <w:lastRenderedPageBreak/>
        <w:t xml:space="preserve">peritos hacia uno, o unos, determinados proponentes que no presentaron como </w:t>
      </w:r>
      <w:r w:rsidR="0005334A" w:rsidRPr="00E06FC2">
        <w:rPr>
          <w:rFonts w:cs="Arial"/>
          <w:b/>
          <w:bCs/>
          <w:i/>
          <w:lang w:val="es-MX"/>
        </w:rPr>
        <w:t>ALTERNATIVA</w:t>
      </w:r>
      <w:r w:rsidR="00950F03" w:rsidRPr="00E06FC2">
        <w:rPr>
          <w:rFonts w:cs="Arial"/>
          <w:bCs/>
          <w:i/>
          <w:lang w:val="es-MX"/>
        </w:rPr>
        <w:t xml:space="preserve"> su propuesta”</w:t>
      </w:r>
      <w:r w:rsidR="00950F03" w:rsidRPr="00E06FC2">
        <w:rPr>
          <w:rStyle w:val="Refdenotaalpie"/>
          <w:rFonts w:cs="Arial"/>
          <w:bCs/>
          <w:i/>
          <w:lang w:val="es-MX"/>
        </w:rPr>
        <w:footnoteReference w:id="68"/>
      </w:r>
      <w:r w:rsidR="00950F03" w:rsidRPr="00E06FC2">
        <w:rPr>
          <w:rFonts w:cs="Arial"/>
          <w:bCs/>
          <w:i/>
          <w:lang w:val="es-MX"/>
        </w:rPr>
        <w:t>.</w:t>
      </w:r>
    </w:p>
    <w:p w14:paraId="66CDCF52" w14:textId="77777777" w:rsidR="00950F03" w:rsidRPr="00E06FC2" w:rsidRDefault="00950F03" w:rsidP="00743788">
      <w:pPr>
        <w:rPr>
          <w:rFonts w:cs="Arial"/>
          <w:bCs/>
          <w:lang w:val="es-MX"/>
        </w:rPr>
      </w:pPr>
    </w:p>
    <w:p w14:paraId="00977D5F" w14:textId="77777777" w:rsidR="00D42279" w:rsidRPr="00E06FC2" w:rsidRDefault="00D42279" w:rsidP="00743788">
      <w:pPr>
        <w:rPr>
          <w:rFonts w:cs="Arial"/>
          <w:bCs/>
          <w:lang w:val="es-MX"/>
        </w:rPr>
      </w:pPr>
      <w:r w:rsidRPr="00E06FC2">
        <w:rPr>
          <w:rFonts w:cs="Arial"/>
          <w:bCs/>
          <w:lang w:val="es-MX"/>
        </w:rPr>
        <w:t xml:space="preserve">La Sala se aparta de las consideraciones del dictamen, toda vez que no </w:t>
      </w:r>
      <w:r w:rsidR="004150DA" w:rsidRPr="00E06FC2">
        <w:rPr>
          <w:rFonts w:cs="Arial"/>
          <w:bCs/>
          <w:lang w:val="es-MX"/>
        </w:rPr>
        <w:t xml:space="preserve">fue </w:t>
      </w:r>
      <w:r w:rsidRPr="00E06FC2">
        <w:rPr>
          <w:rFonts w:cs="Arial"/>
          <w:bCs/>
          <w:lang w:val="es-MX"/>
        </w:rPr>
        <w:t>un requisito del pliego de condiciones que la propuesta indicara si era básica o alternativa. Además, no puede acogerse el dictamen puesto que los peritos partieron del supuesto errado de que no cabía el apartamiento de las especificaciones descritas en el pliego de condiciones por el hecho de no haber enunciado la propuesta como alternativa</w:t>
      </w:r>
      <w:r w:rsidR="00F92646" w:rsidRPr="00E06FC2">
        <w:rPr>
          <w:rFonts w:cs="Arial"/>
          <w:bCs/>
          <w:lang w:val="es-MX"/>
        </w:rPr>
        <w:t xml:space="preserve">. Como consecuencia, en la calificación correspondiente los peritos </w:t>
      </w:r>
      <w:r w:rsidR="004118DA" w:rsidRPr="00E06FC2">
        <w:rPr>
          <w:rFonts w:cs="Arial"/>
          <w:bCs/>
          <w:lang w:val="es-MX"/>
        </w:rPr>
        <w:t xml:space="preserve">dejaron de tener </w:t>
      </w:r>
      <w:r w:rsidR="00F92646" w:rsidRPr="00E06FC2">
        <w:rPr>
          <w:rFonts w:cs="Arial"/>
          <w:bCs/>
          <w:lang w:val="es-MX"/>
        </w:rPr>
        <w:t>en cuenta la cl</w:t>
      </w:r>
      <w:r w:rsidR="0034459A" w:rsidRPr="00E06FC2">
        <w:rPr>
          <w:rFonts w:cs="Arial"/>
          <w:bCs/>
          <w:lang w:val="es-MX"/>
        </w:rPr>
        <w:t>á</w:t>
      </w:r>
      <w:r w:rsidR="00F92646" w:rsidRPr="00E06FC2">
        <w:rPr>
          <w:rFonts w:cs="Arial"/>
          <w:bCs/>
          <w:lang w:val="es-MX"/>
        </w:rPr>
        <w:t>usula del C</w:t>
      </w:r>
      <w:r w:rsidR="004150DA" w:rsidRPr="00E06FC2">
        <w:rPr>
          <w:rFonts w:cs="Arial"/>
          <w:bCs/>
          <w:lang w:val="es-MX"/>
        </w:rPr>
        <w:t xml:space="preserve">apítulo </w:t>
      </w:r>
      <w:r w:rsidR="00F92646" w:rsidRPr="00E06FC2">
        <w:rPr>
          <w:rFonts w:cs="Arial"/>
          <w:bCs/>
          <w:lang w:val="es-MX"/>
        </w:rPr>
        <w:t>VI punto 1)</w:t>
      </w:r>
      <w:r w:rsidR="004150DA" w:rsidRPr="00E06FC2">
        <w:rPr>
          <w:rFonts w:cs="Arial"/>
          <w:bCs/>
          <w:lang w:val="es-MX"/>
        </w:rPr>
        <w:t>,</w:t>
      </w:r>
      <w:r w:rsidR="00F92646" w:rsidRPr="00E06FC2">
        <w:rPr>
          <w:rFonts w:cs="Arial"/>
          <w:bCs/>
          <w:lang w:val="es-MX"/>
        </w:rPr>
        <w:t xml:space="preserve"> acerca de la posibilidad de presentar </w:t>
      </w:r>
      <w:r w:rsidR="00D400F3" w:rsidRPr="00E06FC2">
        <w:rPr>
          <w:rFonts w:cs="Arial"/>
          <w:bCs/>
          <w:lang w:val="es-MX"/>
        </w:rPr>
        <w:t xml:space="preserve">especificaciones </w:t>
      </w:r>
      <w:r w:rsidR="00F92646" w:rsidRPr="00E06FC2">
        <w:rPr>
          <w:rFonts w:cs="Arial"/>
          <w:bCs/>
          <w:lang w:val="es-MX"/>
        </w:rPr>
        <w:t>alternativas</w:t>
      </w:r>
      <w:r w:rsidR="00D400F3" w:rsidRPr="00E06FC2">
        <w:rPr>
          <w:rFonts w:cs="Arial"/>
          <w:bCs/>
          <w:lang w:val="es-MX"/>
        </w:rPr>
        <w:t xml:space="preserve"> y pasaron por alto el contenido del adendo 3</w:t>
      </w:r>
      <w:r w:rsidR="00FC41D2" w:rsidRPr="00E06FC2">
        <w:rPr>
          <w:rFonts w:cs="Arial"/>
          <w:bCs/>
          <w:lang w:val="es-MX"/>
        </w:rPr>
        <w:t xml:space="preserve"> y el sentido de no restringir la participación a las especificaciones inicialmente descritas en el pliego de condiciones</w:t>
      </w:r>
      <w:r w:rsidR="0035036E" w:rsidRPr="00E06FC2">
        <w:rPr>
          <w:rFonts w:cs="Arial"/>
          <w:bCs/>
          <w:lang w:val="es-MX"/>
        </w:rPr>
        <w:t>.</w:t>
      </w:r>
      <w:r w:rsidR="00FC41D2" w:rsidRPr="00E06FC2">
        <w:rPr>
          <w:rFonts w:cs="Arial"/>
          <w:bCs/>
          <w:lang w:val="es-MX"/>
        </w:rPr>
        <w:t xml:space="preserve"> </w:t>
      </w:r>
    </w:p>
    <w:p w14:paraId="4EB14D4C" w14:textId="77777777" w:rsidR="004150DA" w:rsidRPr="00E06FC2" w:rsidRDefault="004150DA" w:rsidP="00743788">
      <w:pPr>
        <w:rPr>
          <w:rFonts w:cs="Arial"/>
          <w:bCs/>
          <w:lang w:val="es-MX"/>
        </w:rPr>
      </w:pPr>
    </w:p>
    <w:p w14:paraId="02EF47C3" w14:textId="77777777" w:rsidR="004150DA" w:rsidRPr="00E06FC2" w:rsidRDefault="0035036E" w:rsidP="00743788">
      <w:pPr>
        <w:rPr>
          <w:rFonts w:cs="Arial"/>
          <w:bCs/>
          <w:lang w:val="es-MX"/>
        </w:rPr>
      </w:pPr>
      <w:r w:rsidRPr="00E06FC2">
        <w:rPr>
          <w:rFonts w:cs="Arial"/>
          <w:bCs/>
          <w:lang w:val="es-MX"/>
        </w:rPr>
        <w:t>Ahora bien, t</w:t>
      </w:r>
      <w:r w:rsidR="00D42279" w:rsidRPr="00E06FC2">
        <w:rPr>
          <w:rFonts w:cs="Arial"/>
          <w:bCs/>
          <w:lang w:val="es-MX"/>
        </w:rPr>
        <w:t xml:space="preserve">ampoco se comparte la interpretación de la sentencia de primera instancia, en cuanto </w:t>
      </w:r>
      <w:r w:rsidRPr="00E06FC2">
        <w:rPr>
          <w:rFonts w:cs="Arial"/>
          <w:bCs/>
          <w:lang w:val="es-MX"/>
        </w:rPr>
        <w:t xml:space="preserve">que las propuestas con alternativas se debían calificar solo respecto de ciertos componentes, puesto que el Tribunal a quo </w:t>
      </w:r>
      <w:r w:rsidR="00D42279" w:rsidRPr="00E06FC2">
        <w:rPr>
          <w:rFonts w:cs="Arial"/>
          <w:bCs/>
          <w:lang w:val="es-MX"/>
        </w:rPr>
        <w:t xml:space="preserve">se </w:t>
      </w:r>
      <w:r w:rsidR="00BF1640" w:rsidRPr="00E06FC2">
        <w:rPr>
          <w:rFonts w:cs="Arial"/>
          <w:bCs/>
          <w:lang w:val="es-MX"/>
        </w:rPr>
        <w:t>apo</w:t>
      </w:r>
      <w:r w:rsidR="00D42279" w:rsidRPr="00E06FC2">
        <w:rPr>
          <w:rFonts w:cs="Arial"/>
          <w:bCs/>
          <w:lang w:val="es-MX"/>
        </w:rPr>
        <w:t xml:space="preserve">yó únicamente en el tenor literal del </w:t>
      </w:r>
      <w:r w:rsidR="00FC41D2" w:rsidRPr="00E06FC2">
        <w:rPr>
          <w:rFonts w:cs="Arial"/>
          <w:bCs/>
          <w:lang w:val="es-MX"/>
        </w:rPr>
        <w:t>a</w:t>
      </w:r>
      <w:r w:rsidR="00D42279" w:rsidRPr="00E06FC2">
        <w:rPr>
          <w:rFonts w:cs="Arial"/>
          <w:bCs/>
          <w:lang w:val="es-MX"/>
        </w:rPr>
        <w:t xml:space="preserve">dendo 3, dejó de </w:t>
      </w:r>
      <w:r w:rsidR="00FC41D2" w:rsidRPr="00E06FC2">
        <w:rPr>
          <w:rFonts w:cs="Arial"/>
          <w:bCs/>
          <w:lang w:val="es-MX"/>
        </w:rPr>
        <w:t xml:space="preserve">considerar el sentido de </w:t>
      </w:r>
      <w:r w:rsidR="00D42279" w:rsidRPr="00E06FC2">
        <w:rPr>
          <w:rFonts w:cs="Arial"/>
          <w:bCs/>
          <w:lang w:val="es-MX"/>
        </w:rPr>
        <w:t xml:space="preserve">los antecedentes del mismo y el </w:t>
      </w:r>
      <w:r w:rsidR="00B50A1D" w:rsidRPr="00E06FC2">
        <w:rPr>
          <w:rFonts w:cs="Arial"/>
          <w:bCs/>
          <w:lang w:val="es-MX"/>
        </w:rPr>
        <w:t xml:space="preserve">texto </w:t>
      </w:r>
      <w:r w:rsidR="00D42279" w:rsidRPr="00E06FC2">
        <w:rPr>
          <w:rFonts w:cs="Arial"/>
          <w:bCs/>
          <w:lang w:val="es-MX"/>
        </w:rPr>
        <w:t xml:space="preserve">integral del pliego de condiciones, </w:t>
      </w:r>
      <w:r w:rsidR="00B50A1D" w:rsidRPr="00E06FC2">
        <w:rPr>
          <w:rFonts w:cs="Arial"/>
          <w:bCs/>
          <w:lang w:val="es-MX"/>
        </w:rPr>
        <w:t>tal como fue modificado a partir del adendo 3. A</w:t>
      </w:r>
      <w:r w:rsidR="00BF1640" w:rsidRPr="00E06FC2">
        <w:rPr>
          <w:rFonts w:cs="Arial"/>
          <w:bCs/>
          <w:lang w:val="es-MX"/>
        </w:rPr>
        <w:t>demás</w:t>
      </w:r>
      <w:r w:rsidRPr="00E06FC2">
        <w:rPr>
          <w:rFonts w:cs="Arial"/>
          <w:bCs/>
          <w:lang w:val="es-MX"/>
        </w:rPr>
        <w:t>,</w:t>
      </w:r>
      <w:r w:rsidR="00BF1640" w:rsidRPr="00E06FC2">
        <w:rPr>
          <w:rFonts w:cs="Arial"/>
          <w:bCs/>
          <w:lang w:val="es-MX"/>
        </w:rPr>
        <w:t xml:space="preserve"> </w:t>
      </w:r>
      <w:r w:rsidR="00B50A1D" w:rsidRPr="00E06FC2">
        <w:rPr>
          <w:rFonts w:cs="Arial"/>
          <w:bCs/>
          <w:lang w:val="es-MX"/>
        </w:rPr>
        <w:t xml:space="preserve">el Tribunal a quo </w:t>
      </w:r>
      <w:r w:rsidR="00D42279" w:rsidRPr="00E06FC2">
        <w:rPr>
          <w:rFonts w:cs="Arial"/>
          <w:bCs/>
          <w:lang w:val="es-MX"/>
        </w:rPr>
        <w:t xml:space="preserve">desconoció que los documentos aportados </w:t>
      </w:r>
      <w:r w:rsidR="00182148" w:rsidRPr="00E06FC2">
        <w:rPr>
          <w:rFonts w:cs="Arial"/>
          <w:bCs/>
          <w:lang w:val="es-MX"/>
        </w:rPr>
        <w:t xml:space="preserve">al proceso </w:t>
      </w:r>
      <w:r w:rsidR="00D42279" w:rsidRPr="00E06FC2">
        <w:rPr>
          <w:rFonts w:cs="Arial"/>
          <w:bCs/>
          <w:lang w:val="es-MX"/>
        </w:rPr>
        <w:t>a t</w:t>
      </w:r>
      <w:r w:rsidR="0034459A" w:rsidRPr="00E06FC2">
        <w:rPr>
          <w:rFonts w:cs="Arial"/>
          <w:bCs/>
          <w:lang w:val="es-MX"/>
        </w:rPr>
        <w:t>í</w:t>
      </w:r>
      <w:r w:rsidR="00D42279" w:rsidRPr="00E06FC2">
        <w:rPr>
          <w:rFonts w:cs="Arial"/>
          <w:bCs/>
          <w:lang w:val="es-MX"/>
        </w:rPr>
        <w:t>tulo de antecedentes administrativo</w:t>
      </w:r>
      <w:r w:rsidR="00F92646" w:rsidRPr="00E06FC2">
        <w:rPr>
          <w:rFonts w:cs="Arial"/>
          <w:bCs/>
          <w:lang w:val="es-MX"/>
        </w:rPr>
        <w:t>s</w:t>
      </w:r>
      <w:r w:rsidR="00D42279" w:rsidRPr="00E06FC2">
        <w:rPr>
          <w:rFonts w:cs="Arial"/>
          <w:bCs/>
          <w:lang w:val="es-MX"/>
        </w:rPr>
        <w:t xml:space="preserve"> evidencia</w:t>
      </w:r>
      <w:r w:rsidR="00F92646" w:rsidRPr="00E06FC2">
        <w:rPr>
          <w:rFonts w:cs="Arial"/>
          <w:bCs/>
          <w:lang w:val="es-MX"/>
        </w:rPr>
        <w:t xml:space="preserve">ron </w:t>
      </w:r>
      <w:r w:rsidR="00D42279" w:rsidRPr="00E06FC2">
        <w:rPr>
          <w:rFonts w:cs="Arial"/>
          <w:bCs/>
          <w:lang w:val="es-MX"/>
        </w:rPr>
        <w:t xml:space="preserve">la relación entre las normas ISO y el </w:t>
      </w:r>
      <w:r w:rsidR="00F92646" w:rsidRPr="00E06FC2">
        <w:rPr>
          <w:rFonts w:cs="Arial"/>
          <w:bCs/>
          <w:lang w:val="es-MX"/>
        </w:rPr>
        <w:t xml:space="preserve">sistema </w:t>
      </w:r>
      <w:r w:rsidR="00D42279" w:rsidRPr="00E06FC2">
        <w:rPr>
          <w:rFonts w:cs="Arial"/>
          <w:bCs/>
          <w:lang w:val="es-MX"/>
        </w:rPr>
        <w:t xml:space="preserve">de homologación </w:t>
      </w:r>
      <w:r w:rsidR="00F92646" w:rsidRPr="00E06FC2">
        <w:rPr>
          <w:rFonts w:cs="Arial"/>
          <w:bCs/>
          <w:lang w:val="es-MX"/>
        </w:rPr>
        <w:t xml:space="preserve">del </w:t>
      </w:r>
      <w:r w:rsidR="00D42279" w:rsidRPr="00E06FC2">
        <w:rPr>
          <w:rFonts w:cs="Arial"/>
          <w:bCs/>
          <w:lang w:val="es-MX"/>
        </w:rPr>
        <w:t>CIDET</w:t>
      </w:r>
      <w:r w:rsidR="00981FB4" w:rsidRPr="00E06FC2">
        <w:rPr>
          <w:rFonts w:cs="Arial"/>
          <w:bCs/>
          <w:lang w:val="es-MX"/>
        </w:rPr>
        <w:t xml:space="preserve"> y que </w:t>
      </w:r>
      <w:r w:rsidR="00214BED" w:rsidRPr="00E06FC2">
        <w:rPr>
          <w:rFonts w:cs="Arial"/>
          <w:bCs/>
          <w:lang w:val="es-MX"/>
        </w:rPr>
        <w:t>ningun</w:t>
      </w:r>
      <w:r w:rsidR="004150DA" w:rsidRPr="00E06FC2">
        <w:rPr>
          <w:rFonts w:cs="Arial"/>
          <w:bCs/>
          <w:lang w:val="es-MX"/>
        </w:rPr>
        <w:t>o</w:t>
      </w:r>
      <w:r w:rsidR="00214BED" w:rsidRPr="00E06FC2">
        <w:rPr>
          <w:rFonts w:cs="Arial"/>
          <w:bCs/>
          <w:lang w:val="es-MX"/>
        </w:rPr>
        <w:t xml:space="preserve"> de </w:t>
      </w:r>
      <w:r w:rsidR="00981FB4" w:rsidRPr="00E06FC2">
        <w:rPr>
          <w:rFonts w:cs="Arial"/>
          <w:bCs/>
          <w:lang w:val="es-MX"/>
        </w:rPr>
        <w:t xml:space="preserve">ellos </w:t>
      </w:r>
      <w:r w:rsidR="00214BED" w:rsidRPr="00E06FC2">
        <w:rPr>
          <w:rFonts w:cs="Arial"/>
          <w:bCs/>
          <w:lang w:val="es-MX"/>
        </w:rPr>
        <w:t xml:space="preserve">contenía un requerimiento técnico obligatorio para los </w:t>
      </w:r>
      <w:r w:rsidR="004150DA" w:rsidRPr="00E06FC2">
        <w:rPr>
          <w:rFonts w:cs="Arial"/>
          <w:bCs/>
          <w:lang w:val="es-MX"/>
        </w:rPr>
        <w:t>componentes del servicio de alumbrado público.</w:t>
      </w:r>
    </w:p>
    <w:p w14:paraId="30A0B90A" w14:textId="77777777" w:rsidR="00D42279" w:rsidRPr="00E06FC2" w:rsidRDefault="00D42279" w:rsidP="00743788">
      <w:pPr>
        <w:rPr>
          <w:rFonts w:cs="Arial"/>
          <w:bCs/>
          <w:lang w:val="es-MX"/>
        </w:rPr>
      </w:pPr>
    </w:p>
    <w:p w14:paraId="20E78D21" w14:textId="77777777" w:rsidR="00981FB4" w:rsidRPr="00E06FC2" w:rsidRDefault="003B1E73" w:rsidP="00743788">
      <w:pPr>
        <w:pStyle w:val="Lista2"/>
        <w:ind w:left="0" w:firstLine="0"/>
        <w:rPr>
          <w:rFonts w:cs="Arial"/>
        </w:rPr>
      </w:pPr>
      <w:r w:rsidRPr="00E06FC2">
        <w:rPr>
          <w:rFonts w:cs="Arial"/>
        </w:rPr>
        <w:t xml:space="preserve">No se puede aceptar la </w:t>
      </w:r>
      <w:r w:rsidR="00093A33" w:rsidRPr="00E06FC2">
        <w:rPr>
          <w:rFonts w:cs="Arial"/>
        </w:rPr>
        <w:t xml:space="preserve">consideración de que </w:t>
      </w:r>
      <w:r w:rsidRPr="00E06FC2">
        <w:rPr>
          <w:rFonts w:cs="Arial"/>
        </w:rPr>
        <w:t xml:space="preserve">la propuesta alternativa no se predicaba de los </w:t>
      </w:r>
      <w:r w:rsidRPr="00E06FC2">
        <w:rPr>
          <w:rFonts w:cs="Arial"/>
          <w:i/>
        </w:rPr>
        <w:t>“demás accesorios”</w:t>
      </w:r>
      <w:r w:rsidRPr="00E06FC2">
        <w:rPr>
          <w:rFonts w:cs="Arial"/>
        </w:rPr>
        <w:t xml:space="preserve">, a los cuales se refirió el </w:t>
      </w:r>
      <w:r w:rsidR="00DC1AA1" w:rsidRPr="00E06FC2">
        <w:rPr>
          <w:rFonts w:cs="Arial"/>
        </w:rPr>
        <w:t>a</w:t>
      </w:r>
      <w:r w:rsidRPr="00E06FC2">
        <w:rPr>
          <w:rFonts w:cs="Arial"/>
        </w:rPr>
        <w:t xml:space="preserve">dendo 3, toda vez que </w:t>
      </w:r>
      <w:r w:rsidR="00093A33" w:rsidRPr="00E06FC2">
        <w:rPr>
          <w:rFonts w:cs="Arial"/>
        </w:rPr>
        <w:t>el término fue acotado en el pliego de condiciones por la descripci</w:t>
      </w:r>
      <w:r w:rsidR="005E634A" w:rsidRPr="00E06FC2">
        <w:rPr>
          <w:rFonts w:cs="Arial"/>
        </w:rPr>
        <w:t>ó</w:t>
      </w:r>
      <w:r w:rsidR="00093A33" w:rsidRPr="00E06FC2">
        <w:rPr>
          <w:rFonts w:cs="Arial"/>
        </w:rPr>
        <w:t xml:space="preserve">n de todos los componentes objeto de puntaje, de manera que no era </w:t>
      </w:r>
      <w:r w:rsidRPr="00E06FC2">
        <w:rPr>
          <w:rFonts w:cs="Arial"/>
        </w:rPr>
        <w:t xml:space="preserve">un concepto </w:t>
      </w:r>
      <w:r w:rsidR="00093A33" w:rsidRPr="00E06FC2">
        <w:rPr>
          <w:rFonts w:cs="Arial"/>
          <w:i/>
        </w:rPr>
        <w:t>“</w:t>
      </w:r>
      <w:r w:rsidRPr="00E06FC2">
        <w:rPr>
          <w:rFonts w:cs="Arial"/>
          <w:i/>
        </w:rPr>
        <w:t>muy genérico</w:t>
      </w:r>
      <w:r w:rsidR="005E634A" w:rsidRPr="00E06FC2">
        <w:rPr>
          <w:rFonts w:cs="Arial"/>
          <w:i/>
        </w:rPr>
        <w:t>”</w:t>
      </w:r>
      <w:r w:rsidRPr="00E06FC2">
        <w:rPr>
          <w:rFonts w:cs="Arial"/>
        </w:rPr>
        <w:t>,</w:t>
      </w:r>
      <w:r w:rsidR="005E634A" w:rsidRPr="00E06FC2">
        <w:rPr>
          <w:rFonts w:cs="Arial"/>
        </w:rPr>
        <w:t xml:space="preserve"> como afirmó la sentencia</w:t>
      </w:r>
      <w:r w:rsidR="00981FB4" w:rsidRPr="00E06FC2">
        <w:rPr>
          <w:rFonts w:cs="Arial"/>
        </w:rPr>
        <w:t xml:space="preserve"> de primera instancia</w:t>
      </w:r>
      <w:r w:rsidR="005E634A" w:rsidRPr="00E06FC2">
        <w:rPr>
          <w:rFonts w:cs="Arial"/>
        </w:rPr>
        <w:t xml:space="preserve">. </w:t>
      </w:r>
    </w:p>
    <w:p w14:paraId="6E1DE2F5" w14:textId="77777777" w:rsidR="00981FB4" w:rsidRPr="00E06FC2" w:rsidRDefault="00981FB4" w:rsidP="00743788">
      <w:pPr>
        <w:pStyle w:val="Lista2"/>
        <w:ind w:left="0" w:firstLine="0"/>
        <w:rPr>
          <w:rFonts w:cs="Arial"/>
        </w:rPr>
      </w:pPr>
    </w:p>
    <w:p w14:paraId="0B98C525" w14:textId="77777777" w:rsidR="00A05B8B" w:rsidRPr="00E06FC2" w:rsidRDefault="000E362C" w:rsidP="00743788">
      <w:pPr>
        <w:pStyle w:val="Lista2"/>
        <w:ind w:left="0" w:firstLine="0"/>
        <w:rPr>
          <w:rFonts w:cs="Arial"/>
        </w:rPr>
      </w:pPr>
      <w:r w:rsidRPr="00E06FC2">
        <w:rPr>
          <w:rFonts w:cs="Arial"/>
        </w:rPr>
        <w:t xml:space="preserve">Tampoco </w:t>
      </w:r>
      <w:r w:rsidR="00A05B8B" w:rsidRPr="00E06FC2">
        <w:rPr>
          <w:rFonts w:cs="Arial"/>
        </w:rPr>
        <w:t xml:space="preserve">se </w:t>
      </w:r>
      <w:r w:rsidR="005E634A" w:rsidRPr="00E06FC2">
        <w:rPr>
          <w:rFonts w:cs="Arial"/>
        </w:rPr>
        <w:t>ac</w:t>
      </w:r>
      <w:r w:rsidR="00E15205" w:rsidRPr="00E06FC2">
        <w:rPr>
          <w:rFonts w:cs="Arial"/>
        </w:rPr>
        <w:t>o</w:t>
      </w:r>
      <w:r w:rsidR="00DC1AA1" w:rsidRPr="00E06FC2">
        <w:rPr>
          <w:rFonts w:cs="Arial"/>
        </w:rPr>
        <w:t xml:space="preserve">mpaña </w:t>
      </w:r>
      <w:r w:rsidR="00E15205" w:rsidRPr="00E06FC2">
        <w:rPr>
          <w:rFonts w:cs="Arial"/>
        </w:rPr>
        <w:t xml:space="preserve">la </w:t>
      </w:r>
      <w:r w:rsidR="005E634A" w:rsidRPr="00E06FC2">
        <w:rPr>
          <w:rFonts w:cs="Arial"/>
        </w:rPr>
        <w:t xml:space="preserve">distinción del alcance entre unos componentes y otros, </w:t>
      </w:r>
      <w:r w:rsidR="00DC1AA1" w:rsidRPr="00E06FC2">
        <w:rPr>
          <w:rFonts w:cs="Arial"/>
        </w:rPr>
        <w:t xml:space="preserve">en la que se fundó el Tribunal </w:t>
      </w:r>
      <w:r w:rsidR="00DC1AA1" w:rsidRPr="00E06FC2">
        <w:rPr>
          <w:rFonts w:cs="Arial"/>
          <w:i/>
        </w:rPr>
        <w:t>a quo</w:t>
      </w:r>
      <w:r w:rsidR="00DC1AA1" w:rsidRPr="00E06FC2">
        <w:rPr>
          <w:rFonts w:cs="Arial"/>
        </w:rPr>
        <w:t xml:space="preserve"> para desestimar el puntaje que les fue asignado a aquellos </w:t>
      </w:r>
      <w:r w:rsidR="00DB2203" w:rsidRPr="00E06FC2">
        <w:rPr>
          <w:rFonts w:cs="Arial"/>
        </w:rPr>
        <w:t xml:space="preserve">componentes </w:t>
      </w:r>
      <w:r w:rsidR="00DC1AA1" w:rsidRPr="00E06FC2">
        <w:rPr>
          <w:rFonts w:cs="Arial"/>
        </w:rPr>
        <w:t xml:space="preserve">que no estaban expresamente mencionados en el adendo, </w:t>
      </w:r>
      <w:r w:rsidR="005E634A" w:rsidRPr="00E06FC2">
        <w:rPr>
          <w:rFonts w:cs="Arial"/>
        </w:rPr>
        <w:lastRenderedPageBreak/>
        <w:t>puesto que p</w:t>
      </w:r>
      <w:r w:rsidR="00E15205" w:rsidRPr="00E06FC2">
        <w:rPr>
          <w:rFonts w:cs="Arial"/>
        </w:rPr>
        <w:t xml:space="preserve">or esa vía el Tribunal </w:t>
      </w:r>
      <w:r w:rsidR="00E15205" w:rsidRPr="00E06FC2">
        <w:rPr>
          <w:rFonts w:cs="Arial"/>
          <w:i/>
        </w:rPr>
        <w:t>a quo</w:t>
      </w:r>
      <w:r w:rsidR="00E15205" w:rsidRPr="00E06FC2">
        <w:rPr>
          <w:rFonts w:cs="Arial"/>
        </w:rPr>
        <w:t xml:space="preserve"> </w:t>
      </w:r>
      <w:r w:rsidR="00A05B8B" w:rsidRPr="00E06FC2">
        <w:rPr>
          <w:rFonts w:cs="Arial"/>
        </w:rPr>
        <w:t xml:space="preserve">interpretó </w:t>
      </w:r>
      <w:r w:rsidR="005E634A" w:rsidRPr="00E06FC2">
        <w:rPr>
          <w:rFonts w:cs="Arial"/>
        </w:rPr>
        <w:t>la expresión “</w:t>
      </w:r>
      <w:r w:rsidR="005E634A" w:rsidRPr="00E06FC2">
        <w:rPr>
          <w:rFonts w:cs="Arial"/>
          <w:i/>
        </w:rPr>
        <w:t>demás accesorios</w:t>
      </w:r>
      <w:r w:rsidR="005E634A" w:rsidRPr="00E06FC2">
        <w:rPr>
          <w:rFonts w:cs="Arial"/>
        </w:rPr>
        <w:t xml:space="preserve">” </w:t>
      </w:r>
      <w:r w:rsidR="00447565" w:rsidRPr="00E06FC2">
        <w:rPr>
          <w:rFonts w:cs="Arial"/>
        </w:rPr>
        <w:t xml:space="preserve">en </w:t>
      </w:r>
      <w:r w:rsidR="007A79B9" w:rsidRPr="00E06FC2">
        <w:rPr>
          <w:rFonts w:cs="Arial"/>
        </w:rPr>
        <w:t>un</w:t>
      </w:r>
      <w:r w:rsidR="00447565" w:rsidRPr="00E06FC2">
        <w:rPr>
          <w:rFonts w:cs="Arial"/>
        </w:rPr>
        <w:t xml:space="preserve"> sentido en que no podía producir efecto</w:t>
      </w:r>
      <w:r w:rsidR="00E90950" w:rsidRPr="00E06FC2">
        <w:rPr>
          <w:rStyle w:val="Refdenotaalpie"/>
          <w:rFonts w:cs="Arial"/>
        </w:rPr>
        <w:footnoteReference w:id="69"/>
      </w:r>
      <w:r w:rsidR="00447565" w:rsidRPr="00E06FC2">
        <w:rPr>
          <w:rFonts w:cs="Arial"/>
        </w:rPr>
        <w:t>, esto es</w:t>
      </w:r>
      <w:r w:rsidR="007A79B9" w:rsidRPr="00E06FC2">
        <w:rPr>
          <w:rFonts w:cs="Arial"/>
        </w:rPr>
        <w:t>,</w:t>
      </w:r>
      <w:r w:rsidR="00447565" w:rsidRPr="00E06FC2">
        <w:rPr>
          <w:rFonts w:cs="Arial"/>
        </w:rPr>
        <w:t xml:space="preserve"> referida a </w:t>
      </w:r>
      <w:r w:rsidR="00E24A60" w:rsidRPr="00E06FC2">
        <w:rPr>
          <w:rFonts w:cs="Arial"/>
        </w:rPr>
        <w:t>conceptos “</w:t>
      </w:r>
      <w:r w:rsidR="003B1E73" w:rsidRPr="00E06FC2">
        <w:rPr>
          <w:rFonts w:cs="Arial"/>
          <w:i/>
        </w:rPr>
        <w:t>tan gaseosos pueden dar lugar a variedad de interpretaciones que restan valor a los principios que rigen la contratación como la transparencia”</w:t>
      </w:r>
      <w:r w:rsidR="003B1E73" w:rsidRPr="00E06FC2">
        <w:rPr>
          <w:rStyle w:val="Refdenotaalpie"/>
          <w:rFonts w:cs="Arial"/>
          <w:i/>
        </w:rPr>
        <w:footnoteReference w:id="70"/>
      </w:r>
      <w:r w:rsidR="003B1E73" w:rsidRPr="00E06FC2">
        <w:rPr>
          <w:rFonts w:cs="Arial"/>
        </w:rPr>
        <w:t>.</w:t>
      </w:r>
      <w:r w:rsidR="00E24A60" w:rsidRPr="00E06FC2">
        <w:rPr>
          <w:rFonts w:cs="Arial"/>
        </w:rPr>
        <w:t xml:space="preserve"> </w:t>
      </w:r>
    </w:p>
    <w:p w14:paraId="7ECFE4E5" w14:textId="77777777" w:rsidR="00A05B8B" w:rsidRPr="00E06FC2" w:rsidRDefault="00A05B8B" w:rsidP="00743788">
      <w:pPr>
        <w:pStyle w:val="Lista2"/>
        <w:ind w:left="0" w:firstLine="0"/>
        <w:rPr>
          <w:rFonts w:cs="Arial"/>
        </w:rPr>
      </w:pPr>
    </w:p>
    <w:p w14:paraId="088D17D6" w14:textId="77777777" w:rsidR="003B1E73" w:rsidRPr="00E06FC2" w:rsidRDefault="00E24A60" w:rsidP="00743788">
      <w:pPr>
        <w:pStyle w:val="Lista2"/>
        <w:ind w:left="0" w:firstLine="0"/>
        <w:rPr>
          <w:rFonts w:cs="Arial"/>
        </w:rPr>
      </w:pPr>
      <w:r w:rsidRPr="00E06FC2">
        <w:rPr>
          <w:rFonts w:cs="Arial"/>
        </w:rPr>
        <w:t xml:space="preserve">Por ello, </w:t>
      </w:r>
      <w:r w:rsidR="00A05B8B" w:rsidRPr="00E06FC2">
        <w:rPr>
          <w:rFonts w:cs="Arial"/>
        </w:rPr>
        <w:t xml:space="preserve">advierte la Sala que </w:t>
      </w:r>
      <w:r w:rsidRPr="00E06FC2">
        <w:rPr>
          <w:rFonts w:cs="Arial"/>
        </w:rPr>
        <w:t xml:space="preserve">los </w:t>
      </w:r>
      <w:r w:rsidR="00A05B8B" w:rsidRPr="00E06FC2">
        <w:rPr>
          <w:rFonts w:cs="Arial"/>
          <w:i/>
        </w:rPr>
        <w:t>“</w:t>
      </w:r>
      <w:r w:rsidRPr="00E06FC2">
        <w:rPr>
          <w:rFonts w:cs="Arial"/>
          <w:i/>
        </w:rPr>
        <w:t>demás accesorios</w:t>
      </w:r>
      <w:r w:rsidR="00A05B8B" w:rsidRPr="00E06FC2">
        <w:rPr>
          <w:rFonts w:cs="Arial"/>
        </w:rPr>
        <w:t>”</w:t>
      </w:r>
      <w:r w:rsidRPr="00E06FC2">
        <w:rPr>
          <w:rFonts w:cs="Arial"/>
        </w:rPr>
        <w:t xml:space="preserve"> </w:t>
      </w:r>
      <w:r w:rsidR="00F8358D" w:rsidRPr="00E06FC2">
        <w:rPr>
          <w:rFonts w:cs="Arial"/>
        </w:rPr>
        <w:t xml:space="preserve">-a los que se refirió el adendo 3- </w:t>
      </w:r>
      <w:r w:rsidRPr="00E06FC2">
        <w:rPr>
          <w:rFonts w:cs="Arial"/>
        </w:rPr>
        <w:t xml:space="preserve">no eran otros que los delimitados en el pliego de condiciones, </w:t>
      </w:r>
      <w:r w:rsidR="007A79B9" w:rsidRPr="00E06FC2">
        <w:rPr>
          <w:rFonts w:cs="Arial"/>
        </w:rPr>
        <w:t xml:space="preserve">respecto de los </w:t>
      </w:r>
      <w:r w:rsidR="00A05B8B" w:rsidRPr="00E06FC2">
        <w:rPr>
          <w:rFonts w:cs="Arial"/>
        </w:rPr>
        <w:t xml:space="preserve">componentes requeridos en el ítem de </w:t>
      </w:r>
      <w:r w:rsidRPr="00E06FC2">
        <w:rPr>
          <w:rFonts w:cs="Arial"/>
        </w:rPr>
        <w:t>especificaciones técnicas</w:t>
      </w:r>
      <w:r w:rsidR="00DB2203" w:rsidRPr="00E06FC2">
        <w:rPr>
          <w:rFonts w:cs="Arial"/>
        </w:rPr>
        <w:t>, mismos que fueron relacionados en el formulario 3 que hizo parte del pliego de condiciones.</w:t>
      </w:r>
      <w:r w:rsidRPr="00E06FC2">
        <w:rPr>
          <w:rFonts w:cs="Arial"/>
        </w:rPr>
        <w:t xml:space="preserve"> </w:t>
      </w:r>
    </w:p>
    <w:p w14:paraId="27D81CEC" w14:textId="77777777" w:rsidR="003B1E73" w:rsidRPr="00E06FC2" w:rsidRDefault="003B1E73" w:rsidP="00743788">
      <w:pPr>
        <w:rPr>
          <w:rFonts w:cs="Arial"/>
          <w:bCs/>
          <w:lang w:val="es-MX"/>
        </w:rPr>
      </w:pPr>
    </w:p>
    <w:p w14:paraId="28DA5BB5" w14:textId="77777777" w:rsidR="00D42279" w:rsidRPr="00E06FC2" w:rsidRDefault="00214BED" w:rsidP="00743788">
      <w:pPr>
        <w:rPr>
          <w:rFonts w:cs="Arial"/>
          <w:bCs/>
          <w:lang w:val="es-MX"/>
        </w:rPr>
      </w:pPr>
      <w:r w:rsidRPr="00E06FC2">
        <w:rPr>
          <w:rFonts w:cs="Arial"/>
          <w:bCs/>
          <w:lang w:val="es-MX"/>
        </w:rPr>
        <w:t>Sin embargo, d</w:t>
      </w:r>
      <w:r w:rsidR="00D42279" w:rsidRPr="00E06FC2">
        <w:rPr>
          <w:rFonts w:cs="Arial"/>
          <w:bCs/>
          <w:lang w:val="es-MX"/>
        </w:rPr>
        <w:t xml:space="preserve">esde la atalaya que proporciona el análisis comparado de las calificaciones otorgadas a las propuestas, se </w:t>
      </w:r>
      <w:r w:rsidR="00C15187" w:rsidRPr="00E06FC2">
        <w:rPr>
          <w:rFonts w:cs="Arial"/>
          <w:bCs/>
          <w:lang w:val="es-MX"/>
        </w:rPr>
        <w:t>desecha</w:t>
      </w:r>
      <w:r w:rsidR="00F92646" w:rsidRPr="00E06FC2">
        <w:rPr>
          <w:rFonts w:cs="Arial"/>
          <w:bCs/>
          <w:lang w:val="es-MX"/>
        </w:rPr>
        <w:t xml:space="preserve"> </w:t>
      </w:r>
      <w:r w:rsidRPr="00E06FC2">
        <w:rPr>
          <w:rFonts w:cs="Arial"/>
          <w:bCs/>
          <w:lang w:val="es-MX"/>
        </w:rPr>
        <w:t>el</w:t>
      </w:r>
      <w:r w:rsidR="00424D0D" w:rsidRPr="00E06FC2">
        <w:rPr>
          <w:rFonts w:cs="Arial"/>
          <w:bCs/>
          <w:lang w:val="es-MX"/>
        </w:rPr>
        <w:t xml:space="preserve"> </w:t>
      </w:r>
      <w:r w:rsidR="00E90950" w:rsidRPr="00E06FC2">
        <w:rPr>
          <w:rFonts w:cs="Arial"/>
          <w:bCs/>
          <w:lang w:val="es-MX"/>
        </w:rPr>
        <w:t xml:space="preserve">reproche </w:t>
      </w:r>
      <w:r w:rsidR="00D42279" w:rsidRPr="00E06FC2">
        <w:rPr>
          <w:rFonts w:cs="Arial"/>
          <w:bCs/>
          <w:lang w:val="es-MX"/>
        </w:rPr>
        <w:t>de</w:t>
      </w:r>
      <w:r w:rsidR="00F92646" w:rsidRPr="00E06FC2">
        <w:rPr>
          <w:rFonts w:cs="Arial"/>
          <w:bCs/>
          <w:lang w:val="es-MX"/>
        </w:rPr>
        <w:t xml:space="preserve"> la parte demandada, </w:t>
      </w:r>
      <w:r w:rsidR="00D42279" w:rsidRPr="00E06FC2">
        <w:rPr>
          <w:rFonts w:cs="Arial"/>
          <w:bCs/>
          <w:lang w:val="es-MX"/>
        </w:rPr>
        <w:t xml:space="preserve">según </w:t>
      </w:r>
      <w:r w:rsidRPr="00E06FC2">
        <w:rPr>
          <w:rFonts w:cs="Arial"/>
          <w:bCs/>
          <w:lang w:val="es-MX"/>
        </w:rPr>
        <w:t>el</w:t>
      </w:r>
      <w:r w:rsidR="00D42279" w:rsidRPr="00E06FC2">
        <w:rPr>
          <w:rFonts w:cs="Arial"/>
          <w:bCs/>
          <w:lang w:val="es-MX"/>
        </w:rPr>
        <w:t xml:space="preserve"> cual el Tribunal </w:t>
      </w:r>
      <w:r w:rsidR="00D42279" w:rsidRPr="00E06FC2">
        <w:rPr>
          <w:rFonts w:cs="Arial"/>
          <w:bCs/>
          <w:i/>
          <w:lang w:val="es-MX"/>
        </w:rPr>
        <w:t>a quo</w:t>
      </w:r>
      <w:r w:rsidR="00D42279" w:rsidRPr="00E06FC2">
        <w:rPr>
          <w:rFonts w:cs="Arial"/>
          <w:bCs/>
          <w:lang w:val="es-MX"/>
        </w:rPr>
        <w:t xml:space="preserve"> se limitó a adoptar el dictamen en forma ciega. Aunque la Sala no comparte el análisis del Tribunal </w:t>
      </w:r>
      <w:r w:rsidR="00CB4AC8" w:rsidRPr="00E06FC2">
        <w:rPr>
          <w:rFonts w:cs="Arial"/>
          <w:bCs/>
          <w:i/>
          <w:lang w:val="es-MX"/>
        </w:rPr>
        <w:t xml:space="preserve">a </w:t>
      </w:r>
      <w:r w:rsidR="00D42279" w:rsidRPr="00E06FC2">
        <w:rPr>
          <w:rFonts w:cs="Arial"/>
          <w:bCs/>
          <w:i/>
          <w:lang w:val="es-MX"/>
        </w:rPr>
        <w:t>quo</w:t>
      </w:r>
      <w:r w:rsidR="00D42279" w:rsidRPr="00E06FC2">
        <w:rPr>
          <w:rFonts w:cs="Arial"/>
          <w:bCs/>
          <w:lang w:val="es-MX"/>
        </w:rPr>
        <w:t xml:space="preserve"> y</w:t>
      </w:r>
      <w:r w:rsidR="00F92646" w:rsidRPr="00E06FC2">
        <w:rPr>
          <w:rFonts w:cs="Arial"/>
          <w:bCs/>
          <w:lang w:val="es-MX"/>
        </w:rPr>
        <w:t xml:space="preserve">, en su lugar, </w:t>
      </w:r>
      <w:r w:rsidR="00D42279" w:rsidRPr="00E06FC2">
        <w:rPr>
          <w:rFonts w:cs="Arial"/>
          <w:bCs/>
          <w:lang w:val="es-MX"/>
        </w:rPr>
        <w:t xml:space="preserve">acoge </w:t>
      </w:r>
      <w:r w:rsidR="00F92646" w:rsidRPr="00E06FC2">
        <w:rPr>
          <w:rFonts w:cs="Arial"/>
          <w:bCs/>
          <w:lang w:val="es-MX"/>
        </w:rPr>
        <w:t xml:space="preserve">algunos de los </w:t>
      </w:r>
      <w:r w:rsidR="00D42279" w:rsidRPr="00E06FC2">
        <w:rPr>
          <w:rFonts w:cs="Arial"/>
          <w:bCs/>
          <w:lang w:val="es-MX"/>
        </w:rPr>
        <w:t>argumentos de l</w:t>
      </w:r>
      <w:r w:rsidR="00F92646" w:rsidRPr="00E06FC2">
        <w:rPr>
          <w:rFonts w:cs="Arial"/>
          <w:bCs/>
          <w:lang w:val="es-MX"/>
        </w:rPr>
        <w:t>o</w:t>
      </w:r>
      <w:r w:rsidR="00D42279" w:rsidRPr="00E06FC2">
        <w:rPr>
          <w:rFonts w:cs="Arial"/>
          <w:bCs/>
          <w:lang w:val="es-MX"/>
        </w:rPr>
        <w:t xml:space="preserve">s demandados, </w:t>
      </w:r>
      <w:r w:rsidR="0012033C" w:rsidRPr="00E06FC2">
        <w:rPr>
          <w:rFonts w:cs="Arial"/>
          <w:bCs/>
          <w:lang w:val="es-MX"/>
        </w:rPr>
        <w:t xml:space="preserve">no pasa por alto que de </w:t>
      </w:r>
      <w:r w:rsidR="00D42279" w:rsidRPr="00E06FC2">
        <w:rPr>
          <w:rFonts w:cs="Arial"/>
          <w:bCs/>
          <w:lang w:val="es-MX"/>
        </w:rPr>
        <w:t xml:space="preserve">la lectura cuidadosa de la providencia se concluye que el Tribunal </w:t>
      </w:r>
      <w:r w:rsidR="00D42279" w:rsidRPr="00E06FC2">
        <w:rPr>
          <w:rFonts w:cs="Arial"/>
          <w:bCs/>
          <w:i/>
          <w:lang w:val="es-MX"/>
        </w:rPr>
        <w:t>a quo</w:t>
      </w:r>
      <w:r w:rsidR="00D42279" w:rsidRPr="00E06FC2">
        <w:rPr>
          <w:rFonts w:cs="Arial"/>
          <w:bCs/>
          <w:lang w:val="es-MX"/>
        </w:rPr>
        <w:t xml:space="preserve"> s</w:t>
      </w:r>
      <w:r w:rsidR="007A79B9" w:rsidRPr="00E06FC2">
        <w:rPr>
          <w:rFonts w:cs="Arial"/>
          <w:bCs/>
          <w:lang w:val="es-MX"/>
        </w:rPr>
        <w:t>í</w:t>
      </w:r>
      <w:r w:rsidR="00D42279" w:rsidRPr="00E06FC2">
        <w:rPr>
          <w:rFonts w:cs="Arial"/>
          <w:bCs/>
          <w:lang w:val="es-MX"/>
        </w:rPr>
        <w:t xml:space="preserve"> realizó un análisis de la</w:t>
      </w:r>
      <w:r w:rsidR="0012033C" w:rsidRPr="00E06FC2">
        <w:rPr>
          <w:rFonts w:cs="Arial"/>
          <w:bCs/>
          <w:lang w:val="es-MX"/>
        </w:rPr>
        <w:t>s</w:t>
      </w:r>
      <w:r w:rsidR="00D42279" w:rsidRPr="00E06FC2">
        <w:rPr>
          <w:rFonts w:cs="Arial"/>
          <w:bCs/>
          <w:lang w:val="es-MX"/>
        </w:rPr>
        <w:t xml:space="preserve"> prueba</w:t>
      </w:r>
      <w:r w:rsidR="0012033C" w:rsidRPr="00E06FC2">
        <w:rPr>
          <w:rFonts w:cs="Arial"/>
          <w:bCs/>
          <w:lang w:val="es-MX"/>
        </w:rPr>
        <w:t>s</w:t>
      </w:r>
      <w:r w:rsidR="00D42279" w:rsidRPr="00E06FC2">
        <w:rPr>
          <w:rFonts w:cs="Arial"/>
          <w:bCs/>
          <w:lang w:val="es-MX"/>
        </w:rPr>
        <w:t xml:space="preserve"> y que se apartó del dictamen </w:t>
      </w:r>
      <w:r w:rsidR="0012033C" w:rsidRPr="00E06FC2">
        <w:rPr>
          <w:rFonts w:cs="Arial"/>
          <w:bCs/>
          <w:lang w:val="es-MX"/>
        </w:rPr>
        <w:t xml:space="preserve">y de los testimonios </w:t>
      </w:r>
      <w:r w:rsidR="00D42279" w:rsidRPr="00E06FC2">
        <w:rPr>
          <w:rFonts w:cs="Arial"/>
          <w:bCs/>
          <w:lang w:val="es-MX"/>
        </w:rPr>
        <w:t xml:space="preserve">en algunos puntos, </w:t>
      </w:r>
      <w:r w:rsidR="0012033C" w:rsidRPr="00E06FC2">
        <w:rPr>
          <w:rFonts w:cs="Arial"/>
          <w:bCs/>
          <w:lang w:val="es-MX"/>
        </w:rPr>
        <w:t xml:space="preserve">desarrollando </w:t>
      </w:r>
      <w:r w:rsidR="00D42279" w:rsidRPr="00E06FC2">
        <w:rPr>
          <w:rFonts w:cs="Arial"/>
          <w:bCs/>
          <w:lang w:val="es-MX"/>
        </w:rPr>
        <w:t>una postura propia</w:t>
      </w:r>
      <w:r w:rsidR="0012033C" w:rsidRPr="00E06FC2">
        <w:rPr>
          <w:rFonts w:cs="Arial"/>
          <w:bCs/>
          <w:lang w:val="es-MX"/>
        </w:rPr>
        <w:t>, con el fin de sustentar su fallo.</w:t>
      </w:r>
    </w:p>
    <w:p w14:paraId="5BFCFDA7" w14:textId="77777777" w:rsidR="008D76F4" w:rsidRPr="00E06FC2" w:rsidRDefault="008D76F4" w:rsidP="00743788">
      <w:pPr>
        <w:pStyle w:val="Lista2"/>
        <w:ind w:left="0" w:firstLine="0"/>
        <w:rPr>
          <w:rFonts w:cs="Arial"/>
          <w:b/>
        </w:rPr>
      </w:pPr>
    </w:p>
    <w:p w14:paraId="139BD3C6" w14:textId="77777777" w:rsidR="00FD451E" w:rsidRPr="00E06FC2" w:rsidRDefault="00FD451E" w:rsidP="00743788">
      <w:pPr>
        <w:pStyle w:val="Lista2"/>
        <w:spacing w:line="240" w:lineRule="auto"/>
        <w:ind w:left="0" w:firstLine="0"/>
        <w:rPr>
          <w:rFonts w:cs="Arial"/>
          <w:b/>
        </w:rPr>
      </w:pPr>
      <w:r w:rsidRPr="00E06FC2">
        <w:rPr>
          <w:rFonts w:cs="Arial"/>
          <w:b/>
        </w:rPr>
        <w:t xml:space="preserve">5.3. </w:t>
      </w:r>
      <w:r w:rsidR="00214BED" w:rsidRPr="00E06FC2">
        <w:rPr>
          <w:rFonts w:cs="Arial"/>
          <w:b/>
        </w:rPr>
        <w:t xml:space="preserve">Calificaciones </w:t>
      </w:r>
      <w:r w:rsidR="001D53E6" w:rsidRPr="00E06FC2">
        <w:rPr>
          <w:rFonts w:cs="Arial"/>
          <w:b/>
        </w:rPr>
        <w:t xml:space="preserve">de la </w:t>
      </w:r>
      <w:r w:rsidRPr="00E06FC2">
        <w:rPr>
          <w:rFonts w:cs="Arial"/>
          <w:b/>
        </w:rPr>
        <w:t>propuesta de UT General Electric – Electro Atlántico</w:t>
      </w:r>
    </w:p>
    <w:p w14:paraId="5C18202E" w14:textId="77777777" w:rsidR="00FD451E" w:rsidRPr="00E06FC2" w:rsidRDefault="00FD451E" w:rsidP="00743788">
      <w:pPr>
        <w:pStyle w:val="Lista2"/>
        <w:ind w:left="0" w:firstLine="0"/>
        <w:rPr>
          <w:rFonts w:cs="Arial"/>
          <w:b/>
        </w:rPr>
      </w:pPr>
    </w:p>
    <w:p w14:paraId="249768F8" w14:textId="77777777" w:rsidR="001D53E6" w:rsidRPr="00E06FC2" w:rsidRDefault="001D53E6" w:rsidP="00743788">
      <w:pPr>
        <w:pStyle w:val="Lista2"/>
        <w:ind w:left="0" w:firstLine="0"/>
        <w:rPr>
          <w:rFonts w:cs="Arial"/>
        </w:rPr>
      </w:pPr>
      <w:r w:rsidRPr="00E06FC2">
        <w:rPr>
          <w:rFonts w:cs="Arial"/>
        </w:rPr>
        <w:t xml:space="preserve">Habiendo establecido la validez de las propuestas alternativas y la admisibilidad de los distintos sistemas para acreditar la calidad de los bienes, el análisis se enfoca ahora en las calificaciones de </w:t>
      </w:r>
      <w:r w:rsidR="00FD451E" w:rsidRPr="00E06FC2">
        <w:rPr>
          <w:rFonts w:cs="Arial"/>
        </w:rPr>
        <w:t xml:space="preserve">aquellos </w:t>
      </w:r>
      <w:r w:rsidR="00706015" w:rsidRPr="00E06FC2">
        <w:rPr>
          <w:rFonts w:cs="Arial"/>
        </w:rPr>
        <w:t>í</w:t>
      </w:r>
      <w:r w:rsidRPr="00E06FC2">
        <w:rPr>
          <w:rFonts w:cs="Arial"/>
        </w:rPr>
        <w:t>tems en los cuales la demandante no logró el máximo puntaje, al que dijo tener derecho en la demanda.</w:t>
      </w:r>
    </w:p>
    <w:p w14:paraId="5FA2A6EB" w14:textId="77777777" w:rsidR="001D53E6" w:rsidRPr="00E06FC2" w:rsidRDefault="001D53E6" w:rsidP="00743788">
      <w:pPr>
        <w:pStyle w:val="Lista2"/>
        <w:ind w:left="0" w:firstLine="0"/>
        <w:rPr>
          <w:rFonts w:cs="Arial"/>
          <w:b/>
        </w:rPr>
      </w:pPr>
    </w:p>
    <w:p w14:paraId="7DEA6161" w14:textId="77777777" w:rsidR="00853ACE" w:rsidRPr="00E06FC2" w:rsidRDefault="00FD451E" w:rsidP="00743788">
      <w:pPr>
        <w:pStyle w:val="Lista2"/>
        <w:ind w:left="0" w:firstLine="0"/>
        <w:rPr>
          <w:rFonts w:cs="Arial"/>
          <w:b/>
        </w:rPr>
      </w:pPr>
      <w:r w:rsidRPr="00E06FC2">
        <w:rPr>
          <w:rFonts w:cs="Arial"/>
          <w:b/>
        </w:rPr>
        <w:t xml:space="preserve">5.3.1. </w:t>
      </w:r>
      <w:r w:rsidR="00853ACE" w:rsidRPr="00E06FC2">
        <w:rPr>
          <w:rFonts w:cs="Arial"/>
          <w:b/>
        </w:rPr>
        <w:t>Bombillas</w:t>
      </w:r>
    </w:p>
    <w:p w14:paraId="23A6C88A" w14:textId="77777777" w:rsidR="001D53E6" w:rsidRPr="00E06FC2" w:rsidRDefault="001D53E6" w:rsidP="00743788">
      <w:pPr>
        <w:pStyle w:val="Lista2"/>
        <w:ind w:left="0" w:firstLine="0"/>
        <w:rPr>
          <w:rFonts w:cs="Arial"/>
        </w:rPr>
      </w:pPr>
    </w:p>
    <w:p w14:paraId="50682B2D" w14:textId="77777777" w:rsidR="00853ACE" w:rsidRPr="00E06FC2" w:rsidRDefault="00853ACE" w:rsidP="00743788">
      <w:pPr>
        <w:pStyle w:val="Lista2"/>
        <w:ind w:left="0" w:firstLine="0"/>
        <w:rPr>
          <w:rFonts w:cs="Arial"/>
        </w:rPr>
      </w:pPr>
      <w:r w:rsidRPr="00E06FC2">
        <w:rPr>
          <w:rFonts w:cs="Arial"/>
        </w:rPr>
        <w:t>El pliego de condiciones estableció en el C</w:t>
      </w:r>
      <w:r w:rsidR="00FD451E" w:rsidRPr="00E06FC2">
        <w:rPr>
          <w:rFonts w:cs="Arial"/>
        </w:rPr>
        <w:t>apítulo</w:t>
      </w:r>
      <w:r w:rsidRPr="00E06FC2">
        <w:rPr>
          <w:rFonts w:cs="Arial"/>
        </w:rPr>
        <w:t xml:space="preserve"> VI, punto 10, literal A), el criterio para calificar el factor de CALIDAD DE BIENES, respecto de cada componente, bajo la siguiente regla:</w:t>
      </w:r>
    </w:p>
    <w:p w14:paraId="474D3D68" w14:textId="77777777" w:rsidR="00853ACE" w:rsidRPr="00E06FC2" w:rsidRDefault="00853ACE" w:rsidP="00743788">
      <w:pPr>
        <w:pStyle w:val="Lista2"/>
        <w:ind w:left="567" w:right="567" w:firstLine="0"/>
        <w:rPr>
          <w:rFonts w:cs="Arial"/>
          <w:i/>
        </w:rPr>
      </w:pPr>
    </w:p>
    <w:p w14:paraId="7939935F" w14:textId="77777777" w:rsidR="00853ACE" w:rsidRPr="00E06FC2" w:rsidRDefault="00853ACE" w:rsidP="00743788">
      <w:pPr>
        <w:pStyle w:val="Lista2"/>
        <w:spacing w:line="276" w:lineRule="auto"/>
        <w:ind w:left="567" w:right="567" w:firstLine="0"/>
        <w:rPr>
          <w:rFonts w:cs="Arial"/>
          <w:i/>
        </w:rPr>
      </w:pPr>
      <w:r w:rsidRPr="00E06FC2">
        <w:rPr>
          <w:rFonts w:cs="Arial"/>
          <w:i/>
        </w:rPr>
        <w:lastRenderedPageBreak/>
        <w:t>“Se asignará el mayor puntaje a la propuesta que cumpla con todas las especificaciones técnicas consignadas en el Capítulo 2º, numeral 5º del pliego de condiciones, restando, del total asignado, el puntaje correspondiente a cada especificación no cumplida, de acuerdo con la siguiente relación:</w:t>
      </w:r>
    </w:p>
    <w:p w14:paraId="30D7A67D" w14:textId="77777777" w:rsidR="00853ACE" w:rsidRPr="00E06FC2" w:rsidRDefault="00853ACE" w:rsidP="00743788">
      <w:pPr>
        <w:pStyle w:val="Lista2"/>
        <w:ind w:left="567" w:right="567" w:firstLine="0"/>
        <w:rPr>
          <w:rFonts w:cs="Arial"/>
          <w:i/>
        </w:rPr>
      </w:pPr>
    </w:p>
    <w:p w14:paraId="5C1AD05E" w14:textId="77777777" w:rsidR="00853ACE" w:rsidRPr="00E06FC2" w:rsidRDefault="00853ACE" w:rsidP="00743788">
      <w:pPr>
        <w:pStyle w:val="Lista2"/>
        <w:spacing w:line="276" w:lineRule="auto"/>
        <w:ind w:left="567" w:right="567" w:firstLine="0"/>
        <w:rPr>
          <w:rFonts w:cs="Arial"/>
          <w:i/>
        </w:rPr>
      </w:pPr>
      <w:r w:rsidRPr="00E06FC2">
        <w:rPr>
          <w:rFonts w:cs="Arial"/>
          <w:i/>
        </w:rPr>
        <w:t>“(…).</w:t>
      </w:r>
    </w:p>
    <w:p w14:paraId="0BB88084" w14:textId="77777777" w:rsidR="00853ACE" w:rsidRPr="00E06FC2" w:rsidRDefault="00853ACE" w:rsidP="00743788">
      <w:pPr>
        <w:pStyle w:val="Lista2"/>
        <w:spacing w:line="276" w:lineRule="auto"/>
        <w:ind w:left="567" w:right="567" w:firstLine="0"/>
        <w:rPr>
          <w:rFonts w:cs="Arial"/>
          <w:i/>
        </w:rPr>
      </w:pPr>
    </w:p>
    <w:p w14:paraId="4026FDAD" w14:textId="77777777" w:rsidR="00853ACE" w:rsidRPr="00E06FC2" w:rsidRDefault="00853ACE" w:rsidP="00743788">
      <w:pPr>
        <w:pStyle w:val="Lista2"/>
        <w:spacing w:line="276" w:lineRule="auto"/>
        <w:ind w:left="567" w:right="567" w:firstLine="0"/>
        <w:rPr>
          <w:rFonts w:cs="Arial"/>
          <w:i/>
        </w:rPr>
      </w:pPr>
      <w:r w:rsidRPr="00E06FC2">
        <w:rPr>
          <w:rFonts w:cs="Arial"/>
          <w:i/>
        </w:rPr>
        <w:t>“d) Puntaje asignado al cumplimiento de las especificaciones técnicas exigidas para las bombillas de la luminaria (Capítulo II, Numeral 5º, literal e)                                                                          .                   50 PUNTOS”.</w:t>
      </w:r>
    </w:p>
    <w:p w14:paraId="32DEB8C1" w14:textId="77777777" w:rsidR="00853ACE" w:rsidRPr="00E06FC2" w:rsidRDefault="00853ACE" w:rsidP="00743788">
      <w:pPr>
        <w:pStyle w:val="Lista2"/>
        <w:ind w:left="0" w:firstLine="0"/>
        <w:rPr>
          <w:rFonts w:cs="Arial"/>
        </w:rPr>
      </w:pPr>
    </w:p>
    <w:p w14:paraId="256294F6" w14:textId="77777777" w:rsidR="00853ACE" w:rsidRPr="00E06FC2" w:rsidRDefault="00853ACE" w:rsidP="00743788">
      <w:pPr>
        <w:pStyle w:val="Lista2"/>
        <w:ind w:left="0" w:firstLine="0"/>
        <w:rPr>
          <w:rFonts w:cs="Arial"/>
        </w:rPr>
      </w:pPr>
      <w:r w:rsidRPr="00E06FC2">
        <w:rPr>
          <w:rFonts w:cs="Arial"/>
        </w:rPr>
        <w:t xml:space="preserve">En la calificación de las bombillas, el </w:t>
      </w:r>
      <w:r w:rsidR="007A79B9" w:rsidRPr="00E06FC2">
        <w:rPr>
          <w:rFonts w:cs="Arial"/>
        </w:rPr>
        <w:t>c</w:t>
      </w:r>
      <w:r w:rsidRPr="00E06FC2">
        <w:rPr>
          <w:rFonts w:cs="Arial"/>
        </w:rPr>
        <w:t xml:space="preserve">omité de evaluación asignó a la UT General Electric – Electro Atlántico un puntaje de </w:t>
      </w:r>
      <w:r w:rsidR="00CB4AC8" w:rsidRPr="00E06FC2">
        <w:rPr>
          <w:rFonts w:cs="Arial"/>
        </w:rPr>
        <w:t>“</w:t>
      </w:r>
      <w:r w:rsidRPr="00E06FC2">
        <w:rPr>
          <w:rFonts w:cs="Arial"/>
          <w:i/>
        </w:rPr>
        <w:t>cero (0) puntos</w:t>
      </w:r>
      <w:r w:rsidR="00CB4AC8" w:rsidRPr="00E06FC2">
        <w:rPr>
          <w:rFonts w:cs="Arial"/>
          <w:i/>
        </w:rPr>
        <w:t>”</w:t>
      </w:r>
      <w:r w:rsidRPr="00E06FC2">
        <w:rPr>
          <w:rFonts w:cs="Arial"/>
          <w:i/>
        </w:rPr>
        <w:t>,</w:t>
      </w:r>
      <w:r w:rsidRPr="00E06FC2">
        <w:rPr>
          <w:rFonts w:cs="Arial"/>
        </w:rPr>
        <w:t xml:space="preserve"> según consta en el acta de evaluación de la Licitación Pública 001 de 1997, con fundamento en la falta de certificado de calidad</w:t>
      </w:r>
      <w:r w:rsidR="00CB4AC8" w:rsidRPr="00E06FC2">
        <w:rPr>
          <w:rFonts w:cs="Arial"/>
        </w:rPr>
        <w:t xml:space="preserve"> con cobertura sobre las bombillas</w:t>
      </w:r>
      <w:r w:rsidR="00694B46" w:rsidRPr="00E06FC2">
        <w:rPr>
          <w:rFonts w:cs="Arial"/>
        </w:rPr>
        <w:t xml:space="preserve"> ofrecidas</w:t>
      </w:r>
      <w:r w:rsidRPr="00E06FC2">
        <w:rPr>
          <w:rFonts w:cs="Arial"/>
        </w:rPr>
        <w:t xml:space="preserve">, de conformidad con la siguiente consideración: </w:t>
      </w:r>
    </w:p>
    <w:p w14:paraId="51F97AD5" w14:textId="77777777" w:rsidR="00853ACE" w:rsidRPr="00E06FC2" w:rsidRDefault="00853ACE" w:rsidP="00743788">
      <w:pPr>
        <w:pStyle w:val="Lista2"/>
        <w:ind w:left="0" w:firstLine="0"/>
        <w:rPr>
          <w:rFonts w:cs="Arial"/>
        </w:rPr>
      </w:pPr>
    </w:p>
    <w:p w14:paraId="6AEA1292" w14:textId="77777777" w:rsidR="00853ACE" w:rsidRPr="00E06FC2" w:rsidRDefault="00853ACE" w:rsidP="00743788">
      <w:pPr>
        <w:pStyle w:val="Lista2"/>
        <w:spacing w:line="276" w:lineRule="auto"/>
        <w:ind w:left="567" w:right="567" w:firstLine="0"/>
        <w:rPr>
          <w:rFonts w:cs="Arial"/>
          <w:i/>
        </w:rPr>
      </w:pPr>
      <w:r w:rsidRPr="00E06FC2">
        <w:rPr>
          <w:rFonts w:cs="Arial"/>
          <w:i/>
        </w:rPr>
        <w:t>“Especifican Marca General El</w:t>
      </w:r>
      <w:r w:rsidR="00926BDE" w:rsidRPr="00E06FC2">
        <w:rPr>
          <w:rFonts w:cs="Arial"/>
          <w:i/>
        </w:rPr>
        <w:t>e</w:t>
      </w:r>
      <w:r w:rsidRPr="00E06FC2">
        <w:rPr>
          <w:rFonts w:cs="Arial"/>
          <w:i/>
        </w:rPr>
        <w:t>ctric o Similares, en el caso de similares no se indica marca alguna por lo cual se analizará la evaluación con la marca General El</w:t>
      </w:r>
      <w:r w:rsidR="00926BDE" w:rsidRPr="00E06FC2">
        <w:rPr>
          <w:rFonts w:cs="Arial"/>
          <w:i/>
        </w:rPr>
        <w:t>e</w:t>
      </w:r>
      <w:r w:rsidRPr="00E06FC2">
        <w:rPr>
          <w:rFonts w:cs="Arial"/>
          <w:i/>
        </w:rPr>
        <w:t>ctric.</w:t>
      </w:r>
    </w:p>
    <w:p w14:paraId="30D75909" w14:textId="77777777" w:rsidR="00853ACE" w:rsidRPr="00E06FC2" w:rsidRDefault="00853ACE" w:rsidP="00743788">
      <w:pPr>
        <w:pStyle w:val="Lista2"/>
        <w:spacing w:line="276" w:lineRule="auto"/>
        <w:ind w:left="567" w:right="567" w:firstLine="0"/>
        <w:rPr>
          <w:rFonts w:cs="Arial"/>
          <w:i/>
        </w:rPr>
      </w:pPr>
    </w:p>
    <w:p w14:paraId="507F7A9F" w14:textId="77777777" w:rsidR="00853ACE" w:rsidRPr="00E06FC2" w:rsidRDefault="00853ACE" w:rsidP="00743788">
      <w:pPr>
        <w:spacing w:line="276" w:lineRule="auto"/>
        <w:ind w:left="567" w:right="567"/>
        <w:rPr>
          <w:rFonts w:cs="Arial"/>
          <w:b/>
          <w:i/>
        </w:rPr>
      </w:pPr>
      <w:r w:rsidRPr="00E06FC2">
        <w:rPr>
          <w:rFonts w:cs="Arial"/>
          <w:i/>
        </w:rPr>
        <w:t xml:space="preserve">“Ofrecen Bombillas de Vapor de sodio de alta presión del tipo Stanby, estas no se encuentran homologadas según documento Cidet, </w:t>
      </w:r>
      <w:r w:rsidRPr="00E06FC2">
        <w:rPr>
          <w:rFonts w:cs="Arial"/>
          <w:b/>
          <w:i/>
        </w:rPr>
        <w:t xml:space="preserve">en la propuesta presentan certificación de EEB (ver </w:t>
      </w:r>
      <w:r w:rsidR="00926BDE" w:rsidRPr="00E06FC2">
        <w:rPr>
          <w:rFonts w:cs="Arial"/>
          <w:b/>
          <w:i/>
        </w:rPr>
        <w:t>pág.</w:t>
      </w:r>
      <w:r w:rsidRPr="00E06FC2">
        <w:rPr>
          <w:rFonts w:cs="Arial"/>
          <w:b/>
          <w:i/>
        </w:rPr>
        <w:t xml:space="preserve"> 000168) pero esta Certificación corresponde a Bombillas de sodio alta</w:t>
      </w:r>
      <w:r w:rsidR="00926BDE" w:rsidRPr="00E06FC2">
        <w:rPr>
          <w:rFonts w:cs="Arial"/>
          <w:b/>
          <w:i/>
        </w:rPr>
        <w:t xml:space="preserve"> </w:t>
      </w:r>
      <w:r w:rsidRPr="00E06FC2">
        <w:rPr>
          <w:rFonts w:cs="Arial"/>
          <w:b/>
          <w:i/>
        </w:rPr>
        <w:t>presión no del tipo standby.</w:t>
      </w:r>
      <w:r w:rsidRPr="00E06FC2">
        <w:rPr>
          <w:rFonts w:cs="Arial"/>
          <w:i/>
        </w:rPr>
        <w:t xml:space="preserve"> </w:t>
      </w:r>
      <w:r w:rsidRPr="00E06FC2">
        <w:rPr>
          <w:rFonts w:cs="Arial"/>
          <w:b/>
          <w:i/>
        </w:rPr>
        <w:t>Los catálogos que presentan no corresponden a las características de la referencia con el certificado de homologación.</w:t>
      </w:r>
    </w:p>
    <w:p w14:paraId="4590031F" w14:textId="77777777" w:rsidR="00853ACE" w:rsidRPr="00E06FC2" w:rsidRDefault="00853ACE" w:rsidP="00743788">
      <w:pPr>
        <w:pStyle w:val="Lista2"/>
        <w:spacing w:line="276" w:lineRule="auto"/>
        <w:ind w:left="567" w:right="567" w:firstLine="0"/>
        <w:rPr>
          <w:rFonts w:cs="Arial"/>
          <w:b/>
          <w:i/>
        </w:rPr>
      </w:pPr>
    </w:p>
    <w:p w14:paraId="40D4A28A" w14:textId="77777777" w:rsidR="00853ACE" w:rsidRPr="00E06FC2" w:rsidRDefault="00853ACE" w:rsidP="00743788">
      <w:pPr>
        <w:pStyle w:val="Lista2"/>
        <w:spacing w:line="276" w:lineRule="auto"/>
        <w:ind w:left="567" w:right="567" w:firstLine="0"/>
        <w:rPr>
          <w:rFonts w:cs="Arial"/>
        </w:rPr>
      </w:pPr>
      <w:r w:rsidRPr="00E06FC2">
        <w:rPr>
          <w:rFonts w:cs="Arial"/>
          <w:i/>
        </w:rPr>
        <w:t>“Por lo anterior no cumple”</w:t>
      </w:r>
      <w:r w:rsidRPr="00E06FC2">
        <w:rPr>
          <w:rStyle w:val="Refdenotaalpie"/>
          <w:rFonts w:cs="Arial"/>
          <w:i/>
        </w:rPr>
        <w:footnoteReference w:id="71"/>
      </w:r>
      <w:r w:rsidRPr="00E06FC2">
        <w:rPr>
          <w:rFonts w:cs="Arial"/>
          <w:i/>
        </w:rPr>
        <w:t xml:space="preserve"> </w:t>
      </w:r>
      <w:r w:rsidRPr="00E06FC2">
        <w:rPr>
          <w:rFonts w:cs="Arial"/>
        </w:rPr>
        <w:t xml:space="preserve">(La negrilla no es del texto). </w:t>
      </w:r>
    </w:p>
    <w:p w14:paraId="386C5FA6" w14:textId="77777777" w:rsidR="00853ACE" w:rsidRPr="00E06FC2" w:rsidRDefault="00853ACE" w:rsidP="00743788">
      <w:pPr>
        <w:pStyle w:val="Lista2"/>
        <w:ind w:left="0" w:firstLine="0"/>
        <w:rPr>
          <w:rFonts w:cs="Arial"/>
        </w:rPr>
      </w:pPr>
    </w:p>
    <w:p w14:paraId="309E4324" w14:textId="77777777" w:rsidR="00853ACE" w:rsidRPr="00E06FC2" w:rsidRDefault="00853ACE" w:rsidP="00743788">
      <w:pPr>
        <w:pStyle w:val="Lista2"/>
        <w:ind w:left="0" w:firstLine="0"/>
        <w:rPr>
          <w:rFonts w:cs="Arial"/>
        </w:rPr>
      </w:pPr>
      <w:r w:rsidRPr="00E06FC2">
        <w:rPr>
          <w:rFonts w:cs="Arial"/>
        </w:rPr>
        <w:t xml:space="preserve">En el dictamen practicado en este proceso se consideró errada la evaluación del </w:t>
      </w:r>
      <w:r w:rsidR="00694B46" w:rsidRPr="00E06FC2">
        <w:rPr>
          <w:rFonts w:cs="Arial"/>
        </w:rPr>
        <w:t>c</w:t>
      </w:r>
      <w:r w:rsidRPr="00E06FC2">
        <w:rPr>
          <w:rFonts w:cs="Arial"/>
        </w:rPr>
        <w:t>omité, toda vez que en concepto de los peritos la propuesta de la UT General Electric – Electro Atlántico</w:t>
      </w:r>
      <w:r w:rsidR="00FD451E" w:rsidRPr="00E06FC2">
        <w:rPr>
          <w:rFonts w:cs="Arial"/>
        </w:rPr>
        <w:t xml:space="preserve">, en el componente de las bombillas, </w:t>
      </w:r>
      <w:r w:rsidRPr="00E06FC2">
        <w:rPr>
          <w:rFonts w:cs="Arial"/>
        </w:rPr>
        <w:t>debió ser calificada con 50 puntos, según explicó el dictamen, así:</w:t>
      </w:r>
    </w:p>
    <w:p w14:paraId="42827BC4" w14:textId="77777777" w:rsidR="00853ACE" w:rsidRPr="00E06FC2" w:rsidRDefault="00853ACE" w:rsidP="00743788">
      <w:pPr>
        <w:pStyle w:val="Lista2"/>
        <w:spacing w:line="276" w:lineRule="auto"/>
        <w:ind w:left="0" w:firstLine="0"/>
        <w:rPr>
          <w:rFonts w:cs="Arial"/>
        </w:rPr>
      </w:pPr>
    </w:p>
    <w:p w14:paraId="22D2F72E" w14:textId="77777777" w:rsidR="00853ACE" w:rsidRPr="00E06FC2" w:rsidRDefault="00853ACE" w:rsidP="00743788">
      <w:pPr>
        <w:pStyle w:val="Lista2"/>
        <w:spacing w:line="276" w:lineRule="auto"/>
        <w:ind w:left="567" w:right="567" w:firstLine="0"/>
        <w:rPr>
          <w:rFonts w:cs="Arial"/>
          <w:i/>
        </w:rPr>
      </w:pPr>
      <w:r w:rsidRPr="00E06FC2">
        <w:rPr>
          <w:rFonts w:cs="Arial"/>
        </w:rPr>
        <w:t>“</w:t>
      </w:r>
      <w:r w:rsidRPr="00E06FC2">
        <w:rPr>
          <w:rFonts w:cs="Arial"/>
          <w:i/>
        </w:rPr>
        <w:t xml:space="preserve">En cuanto </w:t>
      </w:r>
      <w:r w:rsidR="00694B46" w:rsidRPr="00E06FC2">
        <w:rPr>
          <w:rFonts w:cs="Arial"/>
          <w:i/>
        </w:rPr>
        <w:t xml:space="preserve">[a] </w:t>
      </w:r>
      <w:r w:rsidRPr="00E06FC2">
        <w:rPr>
          <w:rFonts w:cs="Arial"/>
          <w:i/>
        </w:rPr>
        <w:t xml:space="preserve">que se trata de bombillas de sodio de alta presión, de doble tubo de descarga paralelos, con vida media superior a 30.000 horas, </w:t>
      </w:r>
      <w:r w:rsidRPr="00E06FC2">
        <w:rPr>
          <w:rFonts w:cs="Arial"/>
          <w:i/>
        </w:rPr>
        <w:lastRenderedPageBreak/>
        <w:t>consideramos que CUMPLEN y por tanto otorgamos 50 puntos Vs los 0 otorgados por el Comité evaluador</w:t>
      </w:r>
      <w:r w:rsidR="00694B46" w:rsidRPr="00E06FC2">
        <w:rPr>
          <w:rFonts w:cs="Arial"/>
          <w:i/>
        </w:rPr>
        <w:t>”</w:t>
      </w:r>
      <w:r w:rsidRPr="00E06FC2">
        <w:rPr>
          <w:rStyle w:val="Refdenotaalpie"/>
          <w:rFonts w:cs="Arial"/>
          <w:i/>
        </w:rPr>
        <w:footnoteReference w:id="72"/>
      </w:r>
      <w:r w:rsidRPr="00E06FC2">
        <w:rPr>
          <w:rFonts w:cs="Arial"/>
          <w:i/>
        </w:rPr>
        <w:t>.</w:t>
      </w:r>
    </w:p>
    <w:p w14:paraId="1261658C" w14:textId="77777777" w:rsidR="00853ACE" w:rsidRPr="00E06FC2" w:rsidRDefault="00853ACE" w:rsidP="00743788">
      <w:pPr>
        <w:pStyle w:val="Lista2"/>
        <w:spacing w:line="276" w:lineRule="auto"/>
        <w:ind w:left="0" w:firstLine="0"/>
        <w:rPr>
          <w:rFonts w:cs="Arial"/>
          <w:b/>
        </w:rPr>
      </w:pPr>
    </w:p>
    <w:p w14:paraId="3D816A6D" w14:textId="77777777" w:rsidR="00853ACE" w:rsidRPr="00E06FC2" w:rsidRDefault="00853ACE" w:rsidP="00743788">
      <w:pPr>
        <w:pStyle w:val="Lista2"/>
        <w:ind w:left="0" w:firstLine="0"/>
        <w:rPr>
          <w:rFonts w:cs="Arial"/>
        </w:rPr>
      </w:pPr>
      <w:r w:rsidRPr="00E06FC2">
        <w:rPr>
          <w:rFonts w:cs="Arial"/>
        </w:rPr>
        <w:t xml:space="preserve">La sentencia de primera instancia acogió las consideraciones del dictamen, de acuerdo con el siguiente razonamiento: </w:t>
      </w:r>
    </w:p>
    <w:p w14:paraId="28DCA4C7" w14:textId="77777777" w:rsidR="00853ACE" w:rsidRPr="00E06FC2" w:rsidRDefault="00853ACE" w:rsidP="00743788">
      <w:pPr>
        <w:pStyle w:val="Lista2"/>
        <w:ind w:left="0" w:firstLine="0"/>
        <w:rPr>
          <w:rFonts w:cs="Arial"/>
          <w:b/>
        </w:rPr>
      </w:pPr>
    </w:p>
    <w:p w14:paraId="33AA1D37" w14:textId="77777777" w:rsidR="00853ACE" w:rsidRPr="00E06FC2" w:rsidRDefault="00853ACE" w:rsidP="00743788">
      <w:pPr>
        <w:pStyle w:val="Lista2"/>
        <w:spacing w:line="276" w:lineRule="auto"/>
        <w:ind w:left="567" w:right="567" w:firstLine="0"/>
        <w:rPr>
          <w:rFonts w:cs="Arial"/>
          <w:i/>
        </w:rPr>
      </w:pPr>
      <w:r w:rsidRPr="00E06FC2">
        <w:rPr>
          <w:rFonts w:cs="Arial"/>
          <w:i/>
        </w:rPr>
        <w:t>“Como la propuesta que se presentó por Electro Atlántico Ltda., se ajustaba a los términos del pliego de condiciones inicial, esto es sin el Adendo 3, no se podía exigir por el municipio de Cartago especificaciones técnicas previstas por el CIDET, ni calidad conforme ICONTEC NTC-ISO-9004-1,  pues entiende la Sala del contenido del Adendo No. 3, como ya se expresó en esta sentencia que estos dos requisitos solo se podían exigir para aquellas propuestas técnicas alternativas, es decir para las que se presentaran sin cumplir los requisitos previstos en el Pliego de Condiciones inicial. El municipio de Cartago en la Evaluación de la Licitación erróneamente descalificó, o dio un puntaje bastante inferior al que correspondía al arrancador y a las bombillas bajo el argumento de que no se encontraban homologadas según documento CIDET. Es importante señalar que en el Pliego de Condiciones se habló respecto de las luminarias que el fabricante debía acreditar certificado ISO 9001 (folios 207 Cdno 2 A) y en efecto este se aportó por Electro Atlántico tal como obra a los folios 1113 y siguientes del cuaderno 2C”</w:t>
      </w:r>
      <w:r w:rsidRPr="00E06FC2">
        <w:rPr>
          <w:rStyle w:val="Refdenotaalpie"/>
          <w:rFonts w:cs="Arial"/>
          <w:i/>
        </w:rPr>
        <w:footnoteReference w:id="73"/>
      </w:r>
      <w:r w:rsidRPr="00E06FC2">
        <w:rPr>
          <w:rFonts w:cs="Arial"/>
          <w:i/>
        </w:rPr>
        <w:t>.</w:t>
      </w:r>
    </w:p>
    <w:p w14:paraId="202FA64B" w14:textId="77777777" w:rsidR="00853ACE" w:rsidRPr="00E06FC2" w:rsidRDefault="00853ACE" w:rsidP="00743788">
      <w:pPr>
        <w:pStyle w:val="Lista2"/>
        <w:ind w:left="567" w:right="567" w:firstLine="0"/>
        <w:rPr>
          <w:rFonts w:cs="Arial"/>
          <w:b/>
        </w:rPr>
      </w:pPr>
    </w:p>
    <w:p w14:paraId="5F0B4085" w14:textId="77777777" w:rsidR="00853ACE" w:rsidRPr="00E06FC2" w:rsidRDefault="00853ACE" w:rsidP="00743788">
      <w:pPr>
        <w:pStyle w:val="Lista2"/>
        <w:ind w:left="0" w:firstLine="0"/>
        <w:rPr>
          <w:rFonts w:cs="Arial"/>
        </w:rPr>
      </w:pPr>
      <w:r w:rsidRPr="00E06FC2">
        <w:rPr>
          <w:rFonts w:cs="Arial"/>
        </w:rPr>
        <w:t xml:space="preserve">A juicio de la Sala la sentencia incurrió en un defecto de apreciación de la prueba, puesto que no se detuvo en </w:t>
      </w:r>
      <w:r w:rsidR="00694B46" w:rsidRPr="00E06FC2">
        <w:rPr>
          <w:rFonts w:cs="Arial"/>
        </w:rPr>
        <w:t xml:space="preserve">debida forma sobre </w:t>
      </w:r>
      <w:r w:rsidRPr="00E06FC2">
        <w:rPr>
          <w:rFonts w:cs="Arial"/>
        </w:rPr>
        <w:t xml:space="preserve">el contenido de las certificaciones sobre las cuales se pronunció el </w:t>
      </w:r>
      <w:r w:rsidR="00694B46" w:rsidRPr="00E06FC2">
        <w:rPr>
          <w:rFonts w:cs="Arial"/>
        </w:rPr>
        <w:t>c</w:t>
      </w:r>
      <w:r w:rsidRPr="00E06FC2">
        <w:rPr>
          <w:rFonts w:cs="Arial"/>
        </w:rPr>
        <w:t>omité y dedujo en forma incorrecta que la negativa a otorgar puntaje obedeció a la exigencia de la certificación específica de CIDET o de la ISO 9004-1</w:t>
      </w:r>
      <w:r w:rsidR="00694B46" w:rsidRPr="00E06FC2">
        <w:rPr>
          <w:rFonts w:cs="Arial"/>
        </w:rPr>
        <w:t>,</w:t>
      </w:r>
      <w:r w:rsidRPr="00E06FC2">
        <w:rPr>
          <w:rFonts w:cs="Arial"/>
        </w:rPr>
        <w:t xml:space="preserve"> con respecto a una propuesta que no calificaba como alternativa. </w:t>
      </w:r>
    </w:p>
    <w:p w14:paraId="4DB70DC6" w14:textId="77777777" w:rsidR="00F8358D" w:rsidRPr="00E06FC2" w:rsidRDefault="00F8358D" w:rsidP="00743788">
      <w:pPr>
        <w:pStyle w:val="Lista2"/>
        <w:ind w:left="0" w:firstLine="0"/>
        <w:rPr>
          <w:rFonts w:cs="Arial"/>
        </w:rPr>
      </w:pPr>
    </w:p>
    <w:p w14:paraId="02984E82" w14:textId="77777777" w:rsidR="00853ACE" w:rsidRPr="00E06FC2" w:rsidRDefault="00853ACE" w:rsidP="00743788">
      <w:pPr>
        <w:pStyle w:val="Lista2"/>
        <w:ind w:left="0" w:firstLine="0"/>
        <w:rPr>
          <w:rFonts w:cs="Arial"/>
        </w:rPr>
      </w:pPr>
      <w:r w:rsidRPr="00E06FC2">
        <w:rPr>
          <w:rFonts w:cs="Arial"/>
        </w:rPr>
        <w:t xml:space="preserve">La apreciación ajustada al contenido del acta consiste en que el </w:t>
      </w:r>
      <w:r w:rsidR="00694B46" w:rsidRPr="00E06FC2">
        <w:rPr>
          <w:rFonts w:cs="Arial"/>
        </w:rPr>
        <w:t>c</w:t>
      </w:r>
      <w:r w:rsidRPr="00E06FC2">
        <w:rPr>
          <w:rFonts w:cs="Arial"/>
        </w:rPr>
        <w:t xml:space="preserve">omité de </w:t>
      </w:r>
      <w:r w:rsidR="00694B46" w:rsidRPr="00E06FC2">
        <w:rPr>
          <w:rFonts w:cs="Arial"/>
        </w:rPr>
        <w:t>e</w:t>
      </w:r>
      <w:r w:rsidRPr="00E06FC2">
        <w:rPr>
          <w:rFonts w:cs="Arial"/>
        </w:rPr>
        <w:t>valuación advirtió que la certificación aportada no era consistente con las especificaciones de l</w:t>
      </w:r>
      <w:r w:rsidR="00C33F30" w:rsidRPr="00E06FC2">
        <w:rPr>
          <w:rFonts w:cs="Arial"/>
        </w:rPr>
        <w:t xml:space="preserve">os bienes </w:t>
      </w:r>
      <w:r w:rsidR="00694B46" w:rsidRPr="00E06FC2">
        <w:rPr>
          <w:rFonts w:cs="Arial"/>
        </w:rPr>
        <w:t xml:space="preserve">ofrecidos </w:t>
      </w:r>
      <w:r w:rsidR="00C33F30" w:rsidRPr="00E06FC2">
        <w:rPr>
          <w:rFonts w:cs="Arial"/>
        </w:rPr>
        <w:t>en l</w:t>
      </w:r>
      <w:r w:rsidRPr="00E06FC2">
        <w:rPr>
          <w:rFonts w:cs="Arial"/>
        </w:rPr>
        <w:t>a misma propuesta</w:t>
      </w:r>
      <w:r w:rsidR="00C33F30" w:rsidRPr="00E06FC2">
        <w:rPr>
          <w:rFonts w:cs="Arial"/>
        </w:rPr>
        <w:t>,</w:t>
      </w:r>
      <w:r w:rsidRPr="00E06FC2">
        <w:rPr>
          <w:rFonts w:cs="Arial"/>
        </w:rPr>
        <w:t xml:space="preserve"> </w:t>
      </w:r>
      <w:r w:rsidR="00FD451E" w:rsidRPr="00E06FC2">
        <w:rPr>
          <w:rFonts w:cs="Arial"/>
        </w:rPr>
        <w:t>ni</w:t>
      </w:r>
      <w:r w:rsidRPr="00E06FC2">
        <w:rPr>
          <w:rFonts w:cs="Arial"/>
        </w:rPr>
        <w:t xml:space="preserve"> con los catálogos allegados. </w:t>
      </w:r>
    </w:p>
    <w:p w14:paraId="28088215" w14:textId="77777777" w:rsidR="00853ACE" w:rsidRPr="00E06FC2" w:rsidRDefault="00853ACE" w:rsidP="00743788">
      <w:pPr>
        <w:pStyle w:val="Lista2"/>
        <w:ind w:left="0" w:firstLine="0"/>
        <w:rPr>
          <w:rFonts w:cs="Arial"/>
          <w:b/>
        </w:rPr>
      </w:pPr>
    </w:p>
    <w:p w14:paraId="69732397" w14:textId="77777777" w:rsidR="00853ACE" w:rsidRPr="00E06FC2" w:rsidRDefault="00853ACE" w:rsidP="00743788">
      <w:pPr>
        <w:pStyle w:val="Lista2"/>
        <w:ind w:left="0" w:firstLine="0"/>
        <w:rPr>
          <w:rFonts w:cs="Arial"/>
        </w:rPr>
      </w:pPr>
      <w:r w:rsidRPr="00E06FC2">
        <w:rPr>
          <w:rFonts w:cs="Arial"/>
        </w:rPr>
        <w:t xml:space="preserve">Para soportar lo anterior, la Sala se detiene a observar cuáles fueron los documentos presentados por la UT General Electric – Electro Atlántico, en </w:t>
      </w:r>
      <w:r w:rsidR="00FD451E" w:rsidRPr="00E06FC2">
        <w:rPr>
          <w:rFonts w:cs="Arial"/>
        </w:rPr>
        <w:t xml:space="preserve">la calificación que </w:t>
      </w:r>
      <w:r w:rsidRPr="00E06FC2">
        <w:rPr>
          <w:rFonts w:cs="Arial"/>
        </w:rPr>
        <w:t xml:space="preserve">se debate: </w:t>
      </w:r>
    </w:p>
    <w:p w14:paraId="01293F09" w14:textId="77777777" w:rsidR="00853ACE" w:rsidRPr="00E06FC2" w:rsidRDefault="00853ACE" w:rsidP="00743788">
      <w:pPr>
        <w:pStyle w:val="Lista2"/>
        <w:ind w:left="0" w:firstLine="0"/>
        <w:rPr>
          <w:rFonts w:cs="Arial"/>
          <w:b/>
        </w:rPr>
      </w:pPr>
    </w:p>
    <w:p w14:paraId="2663F451" w14:textId="77777777" w:rsidR="00853ACE" w:rsidRPr="00E06FC2" w:rsidRDefault="00853ACE" w:rsidP="00743788">
      <w:pPr>
        <w:pStyle w:val="Lista2"/>
        <w:ind w:left="0" w:firstLine="0"/>
        <w:rPr>
          <w:rFonts w:cs="Arial"/>
        </w:rPr>
      </w:pPr>
      <w:r w:rsidRPr="00E06FC2">
        <w:rPr>
          <w:rFonts w:cs="Arial"/>
        </w:rPr>
        <w:lastRenderedPageBreak/>
        <w:t xml:space="preserve">La comunicación 629361 (folio 168 de la propuesta), con fecha ilegible, emitida por el gerente de distribución de la Empresa de Energía de Bogotá, de acuerdo con el resultado de las pruebas IEC 622, para las </w:t>
      </w:r>
      <w:r w:rsidRPr="00E06FC2">
        <w:rPr>
          <w:rFonts w:cs="Arial"/>
          <w:i/>
        </w:rPr>
        <w:t>“Bombillas de vapor de Sodio alta presión”</w:t>
      </w:r>
      <w:r w:rsidRPr="00E06FC2">
        <w:rPr>
          <w:rFonts w:cs="Arial"/>
        </w:rPr>
        <w:t>, “</w:t>
      </w:r>
      <w:r w:rsidRPr="00E06FC2">
        <w:rPr>
          <w:rFonts w:cs="Arial"/>
          <w:i/>
        </w:rPr>
        <w:t>fabricadas por la firma TUSGRAM (Hungría) para la GENERAL ELECTRIC”</w:t>
      </w:r>
      <w:r w:rsidRPr="00E06FC2">
        <w:rPr>
          <w:rFonts w:cs="Arial"/>
        </w:rPr>
        <w:t xml:space="preserve">, la cual contiene una autorización, para las bombillas de 70W, 250W y 400W, con validez de dos años. </w:t>
      </w:r>
    </w:p>
    <w:p w14:paraId="63A09C2B" w14:textId="77777777" w:rsidR="00853ACE" w:rsidRPr="00E06FC2" w:rsidRDefault="00853ACE" w:rsidP="00743788">
      <w:pPr>
        <w:pStyle w:val="Lista2"/>
        <w:ind w:left="0" w:firstLine="0"/>
        <w:rPr>
          <w:rFonts w:cs="Arial"/>
        </w:rPr>
      </w:pPr>
    </w:p>
    <w:p w14:paraId="239413AC" w14:textId="77777777" w:rsidR="00853ACE" w:rsidRPr="00E06FC2" w:rsidRDefault="00853ACE" w:rsidP="00743788">
      <w:pPr>
        <w:pStyle w:val="Lista2"/>
        <w:ind w:left="0" w:firstLine="0"/>
        <w:rPr>
          <w:rFonts w:cs="Arial"/>
        </w:rPr>
      </w:pPr>
      <w:r w:rsidRPr="00E06FC2">
        <w:rPr>
          <w:rFonts w:cs="Arial"/>
        </w:rPr>
        <w:t xml:space="preserve">Es cierto, como lo advirtió el </w:t>
      </w:r>
      <w:r w:rsidR="00051053" w:rsidRPr="00E06FC2">
        <w:rPr>
          <w:rFonts w:cs="Arial"/>
        </w:rPr>
        <w:t>c</w:t>
      </w:r>
      <w:r w:rsidRPr="00E06FC2">
        <w:rPr>
          <w:rFonts w:cs="Arial"/>
        </w:rPr>
        <w:t xml:space="preserve">omité de </w:t>
      </w:r>
      <w:r w:rsidR="00051053" w:rsidRPr="00E06FC2">
        <w:rPr>
          <w:rFonts w:cs="Arial"/>
        </w:rPr>
        <w:t>e</w:t>
      </w:r>
      <w:r w:rsidRPr="00E06FC2">
        <w:rPr>
          <w:rFonts w:cs="Arial"/>
        </w:rPr>
        <w:t>valuación, que en esa comunicación no se indicó que las bombillas objeto de la autorización fueran del tipo standby</w:t>
      </w:r>
      <w:r w:rsidR="00C33F30" w:rsidRPr="00E06FC2">
        <w:rPr>
          <w:rFonts w:cs="Arial"/>
        </w:rPr>
        <w:t>,</w:t>
      </w:r>
      <w:r w:rsidR="00051053" w:rsidRPr="00E06FC2">
        <w:rPr>
          <w:rFonts w:cs="Arial"/>
        </w:rPr>
        <w:t xml:space="preserve"> como lo describió inicialmente el pliego de condiciones</w:t>
      </w:r>
      <w:r w:rsidR="00C33F30" w:rsidRPr="00E06FC2">
        <w:rPr>
          <w:rFonts w:cs="Arial"/>
        </w:rPr>
        <w:t xml:space="preserve"> </w:t>
      </w:r>
      <w:r w:rsidR="00051053" w:rsidRPr="00E06FC2">
        <w:rPr>
          <w:rFonts w:cs="Arial"/>
        </w:rPr>
        <w:t>(</w:t>
      </w:r>
      <w:r w:rsidR="00C33F30" w:rsidRPr="00E06FC2">
        <w:rPr>
          <w:rFonts w:cs="Arial"/>
        </w:rPr>
        <w:t>lo cual hubiera dado lugar a que la propuesta se entendiera como alternativa</w:t>
      </w:r>
      <w:r w:rsidR="00051053" w:rsidRPr="00E06FC2">
        <w:rPr>
          <w:rFonts w:cs="Arial"/>
        </w:rPr>
        <w:t>,</w:t>
      </w:r>
      <w:r w:rsidR="00C33F30" w:rsidRPr="00E06FC2">
        <w:rPr>
          <w:rFonts w:cs="Arial"/>
        </w:rPr>
        <w:t xml:space="preserve"> en e</w:t>
      </w:r>
      <w:r w:rsidR="00051053" w:rsidRPr="00E06FC2">
        <w:rPr>
          <w:rFonts w:cs="Arial"/>
        </w:rPr>
        <w:t xml:space="preserve">l sentido en que la sentencia </w:t>
      </w:r>
      <w:r w:rsidR="00B84A72" w:rsidRPr="00E06FC2">
        <w:rPr>
          <w:rFonts w:cs="Arial"/>
        </w:rPr>
        <w:t xml:space="preserve">acogió </w:t>
      </w:r>
      <w:r w:rsidR="00F8358D" w:rsidRPr="00E06FC2">
        <w:rPr>
          <w:rFonts w:cs="Arial"/>
        </w:rPr>
        <w:t xml:space="preserve">el término de </w:t>
      </w:r>
      <w:r w:rsidR="00B84A72" w:rsidRPr="00E06FC2">
        <w:rPr>
          <w:rFonts w:cs="Arial"/>
        </w:rPr>
        <w:t>las propuestas alternativas)</w:t>
      </w:r>
      <w:r w:rsidR="001D53E6" w:rsidRPr="00E06FC2">
        <w:rPr>
          <w:rFonts w:cs="Arial"/>
        </w:rPr>
        <w:t>.</w:t>
      </w:r>
      <w:r w:rsidRPr="00E06FC2">
        <w:rPr>
          <w:rFonts w:cs="Arial"/>
        </w:rPr>
        <w:t xml:space="preserve"> </w:t>
      </w:r>
      <w:r w:rsidR="00C33F30" w:rsidRPr="00E06FC2">
        <w:rPr>
          <w:rFonts w:cs="Arial"/>
        </w:rPr>
        <w:t>Empero</w:t>
      </w:r>
      <w:r w:rsidR="00F51B91" w:rsidRPr="00E06FC2">
        <w:rPr>
          <w:rFonts w:cs="Arial"/>
        </w:rPr>
        <w:t>,</w:t>
      </w:r>
      <w:r w:rsidR="00C33F30" w:rsidRPr="00E06FC2">
        <w:rPr>
          <w:rFonts w:cs="Arial"/>
        </w:rPr>
        <w:t xml:space="preserve"> s</w:t>
      </w:r>
      <w:r w:rsidRPr="00E06FC2">
        <w:rPr>
          <w:rFonts w:cs="Arial"/>
        </w:rPr>
        <w:t xml:space="preserve">e </w:t>
      </w:r>
      <w:r w:rsidR="00B84A72" w:rsidRPr="00E06FC2">
        <w:rPr>
          <w:rFonts w:cs="Arial"/>
        </w:rPr>
        <w:t xml:space="preserve">destaca </w:t>
      </w:r>
      <w:r w:rsidRPr="00E06FC2">
        <w:rPr>
          <w:rFonts w:cs="Arial"/>
        </w:rPr>
        <w:t xml:space="preserve">que </w:t>
      </w:r>
      <w:r w:rsidR="001D53E6" w:rsidRPr="00E06FC2">
        <w:rPr>
          <w:rFonts w:cs="Arial"/>
        </w:rPr>
        <w:t xml:space="preserve">la comunicación con la cual se pretendió acreditar el cumplimiento para </w:t>
      </w:r>
      <w:r w:rsidR="00B84A72" w:rsidRPr="00E06FC2">
        <w:rPr>
          <w:rFonts w:cs="Arial"/>
        </w:rPr>
        <w:t xml:space="preserve">obtener el </w:t>
      </w:r>
      <w:r w:rsidR="001D53E6" w:rsidRPr="00E06FC2">
        <w:rPr>
          <w:rFonts w:cs="Arial"/>
        </w:rPr>
        <w:t xml:space="preserve">puntaje no comprendió </w:t>
      </w:r>
      <w:r w:rsidRPr="00E06FC2">
        <w:rPr>
          <w:rFonts w:cs="Arial"/>
        </w:rPr>
        <w:t xml:space="preserve">todos los tipos de bombillas referidos en el pliego. </w:t>
      </w:r>
    </w:p>
    <w:p w14:paraId="02C37AD0" w14:textId="77777777" w:rsidR="00853ACE" w:rsidRPr="00E06FC2" w:rsidRDefault="00853ACE" w:rsidP="00743788">
      <w:pPr>
        <w:pStyle w:val="Lista2"/>
        <w:ind w:left="0" w:firstLine="0"/>
        <w:rPr>
          <w:rFonts w:cs="Arial"/>
        </w:rPr>
      </w:pPr>
    </w:p>
    <w:p w14:paraId="204B426D" w14:textId="77777777" w:rsidR="00853ACE" w:rsidRPr="00E06FC2" w:rsidRDefault="00853ACE" w:rsidP="00743788">
      <w:pPr>
        <w:pStyle w:val="Lista2"/>
        <w:ind w:left="0" w:firstLine="0"/>
        <w:rPr>
          <w:rFonts w:cs="Arial"/>
        </w:rPr>
      </w:pPr>
      <w:r w:rsidRPr="00E06FC2">
        <w:rPr>
          <w:rFonts w:cs="Arial"/>
        </w:rPr>
        <w:t>Por otra parte</w:t>
      </w:r>
      <w:r w:rsidR="000B76AF" w:rsidRPr="00E06FC2">
        <w:rPr>
          <w:rFonts w:cs="Arial"/>
        </w:rPr>
        <w:t>,</w:t>
      </w:r>
      <w:r w:rsidRPr="00E06FC2">
        <w:rPr>
          <w:rFonts w:cs="Arial"/>
        </w:rPr>
        <w:t xml:space="preserve"> se observa que en los documentos de la propuesta, a continuación de la citada comunicación se anexaron unas especificaciones en folios con membrete de GE Lighting, sin relación con la autorización emitida por l</w:t>
      </w:r>
      <w:r w:rsidR="00D7632E" w:rsidRPr="00E06FC2">
        <w:rPr>
          <w:rFonts w:cs="Arial"/>
        </w:rPr>
        <w:t>a</w:t>
      </w:r>
      <w:r w:rsidRPr="00E06FC2">
        <w:rPr>
          <w:rFonts w:cs="Arial"/>
        </w:rPr>
        <w:t xml:space="preserve"> Empresa de Energía de Bogotá. Esos folios</w:t>
      </w:r>
      <w:r w:rsidR="00101151" w:rsidRPr="00E06FC2">
        <w:rPr>
          <w:rFonts w:cs="Arial"/>
        </w:rPr>
        <w:t xml:space="preserve">, que el </w:t>
      </w:r>
      <w:r w:rsidR="009558CF" w:rsidRPr="00E06FC2">
        <w:rPr>
          <w:rFonts w:cs="Arial"/>
        </w:rPr>
        <w:t>c</w:t>
      </w:r>
      <w:r w:rsidR="00101151" w:rsidRPr="00E06FC2">
        <w:rPr>
          <w:rFonts w:cs="Arial"/>
        </w:rPr>
        <w:t>omité refiere como catálogos</w:t>
      </w:r>
      <w:r w:rsidR="00D7632E" w:rsidRPr="00E06FC2">
        <w:rPr>
          <w:rFonts w:cs="Arial"/>
        </w:rPr>
        <w:t>,</w:t>
      </w:r>
      <w:r w:rsidRPr="00E06FC2">
        <w:rPr>
          <w:rFonts w:cs="Arial"/>
        </w:rPr>
        <w:t xml:space="preserve"> incluyen los diagramas de las bombillas “Standby Lucatox 70W”, “Standby Clear Tubular 150W”, “Standby Lucatox 250W”, “Standby Lucatox 400W”. Se advierte que constituyen documentos informativos, sin firmas</w:t>
      </w:r>
      <w:r w:rsidR="009558CF" w:rsidRPr="00E06FC2">
        <w:rPr>
          <w:rFonts w:cs="Arial"/>
        </w:rPr>
        <w:t>,</w:t>
      </w:r>
      <w:r w:rsidRPr="00E06FC2">
        <w:rPr>
          <w:rFonts w:cs="Arial"/>
        </w:rPr>
        <w:t xml:space="preserve"> y se encuentran en idioma inglés, sin traducción aportada</w:t>
      </w:r>
      <w:r w:rsidRPr="00E06FC2">
        <w:rPr>
          <w:rStyle w:val="Refdenotaalpie"/>
          <w:rFonts w:cs="Arial"/>
        </w:rPr>
        <w:footnoteReference w:id="74"/>
      </w:r>
      <w:r w:rsidRPr="00E06FC2">
        <w:rPr>
          <w:rFonts w:cs="Arial"/>
        </w:rPr>
        <w:t xml:space="preserve">. </w:t>
      </w:r>
    </w:p>
    <w:p w14:paraId="0240004F" w14:textId="77777777" w:rsidR="00853ACE" w:rsidRPr="00E06FC2" w:rsidRDefault="00853ACE" w:rsidP="00743788">
      <w:pPr>
        <w:pStyle w:val="Lista2"/>
        <w:ind w:left="0" w:firstLine="0"/>
        <w:rPr>
          <w:rFonts w:cs="Arial"/>
        </w:rPr>
      </w:pPr>
    </w:p>
    <w:p w14:paraId="6C587D5C" w14:textId="77777777" w:rsidR="00853ACE" w:rsidRPr="00E06FC2" w:rsidRDefault="00853ACE" w:rsidP="00743788">
      <w:pPr>
        <w:pStyle w:val="Lista2"/>
        <w:ind w:left="0" w:firstLine="0"/>
        <w:rPr>
          <w:rFonts w:cs="Arial"/>
        </w:rPr>
      </w:pPr>
      <w:r w:rsidRPr="00E06FC2">
        <w:rPr>
          <w:rFonts w:cs="Arial"/>
        </w:rPr>
        <w:t xml:space="preserve">La Sala observa, además, que en este proceso dichas fichas </w:t>
      </w:r>
      <w:r w:rsidR="00F8358D" w:rsidRPr="00E06FC2">
        <w:rPr>
          <w:rFonts w:cs="Arial"/>
        </w:rPr>
        <w:t xml:space="preserve">técnicas </w:t>
      </w:r>
      <w:r w:rsidRPr="00E06FC2">
        <w:rPr>
          <w:rFonts w:cs="Arial"/>
        </w:rPr>
        <w:t>no pueden ser apreciadas como prueba del requisito de la certificación</w:t>
      </w:r>
      <w:r w:rsidR="00101151" w:rsidRPr="00E06FC2">
        <w:rPr>
          <w:rFonts w:cs="Arial"/>
        </w:rPr>
        <w:t xml:space="preserve"> de calidad</w:t>
      </w:r>
      <w:r w:rsidRPr="00E06FC2">
        <w:rPr>
          <w:rFonts w:cs="Arial"/>
        </w:rPr>
        <w:t xml:space="preserve">, por las siguientes razones: </w:t>
      </w:r>
      <w:r w:rsidRPr="00E06FC2">
        <w:rPr>
          <w:rFonts w:cs="Arial"/>
          <w:b/>
        </w:rPr>
        <w:t>i)</w:t>
      </w:r>
      <w:r w:rsidRPr="00E06FC2">
        <w:rPr>
          <w:rFonts w:cs="Arial"/>
        </w:rPr>
        <w:t xml:space="preserve"> no son documentos auténticos, en la medida en que no se conoce de quien provienen</w:t>
      </w:r>
      <w:r w:rsidRPr="00E06FC2">
        <w:rPr>
          <w:rStyle w:val="Refdenotaalpie"/>
          <w:rFonts w:cs="Arial"/>
        </w:rPr>
        <w:footnoteReference w:id="75"/>
      </w:r>
      <w:r w:rsidRPr="00E06FC2">
        <w:rPr>
          <w:rFonts w:cs="Arial"/>
        </w:rPr>
        <w:t xml:space="preserve"> y </w:t>
      </w:r>
      <w:r w:rsidRPr="00E06FC2">
        <w:rPr>
          <w:rFonts w:cs="Arial"/>
          <w:b/>
        </w:rPr>
        <w:t>ii)</w:t>
      </w:r>
      <w:r w:rsidRPr="00E06FC2">
        <w:rPr>
          <w:rFonts w:cs="Arial"/>
        </w:rPr>
        <w:t xml:space="preserve"> al parecer, corresponden a los catálogos de bombillas de GE L</w:t>
      </w:r>
      <w:r w:rsidR="00B84A72" w:rsidRPr="00E06FC2">
        <w:rPr>
          <w:rFonts w:cs="Arial"/>
        </w:rPr>
        <w:t>i</w:t>
      </w:r>
      <w:r w:rsidRPr="00E06FC2">
        <w:rPr>
          <w:rFonts w:cs="Arial"/>
        </w:rPr>
        <w:t>ghting, de manera que no puede</w:t>
      </w:r>
      <w:r w:rsidR="00101151" w:rsidRPr="00E06FC2">
        <w:rPr>
          <w:rFonts w:cs="Arial"/>
        </w:rPr>
        <w:t xml:space="preserve">n equipararse a una acreditación de calidad, amén de que no puede establecerse que </w:t>
      </w:r>
      <w:r w:rsidRPr="00E06FC2">
        <w:rPr>
          <w:rFonts w:cs="Arial"/>
        </w:rPr>
        <w:t xml:space="preserve">se refieran al mismo tipo de </w:t>
      </w:r>
      <w:r w:rsidRPr="00E06FC2">
        <w:rPr>
          <w:rFonts w:cs="Arial"/>
        </w:rPr>
        <w:lastRenderedPageBreak/>
        <w:t>bombillas descritas en la autorización expedida por la Empresa de Energía de Bogotá, cuyo fabricante, según la citada autorización, era TUNSGRAM (Hungría).</w:t>
      </w:r>
    </w:p>
    <w:p w14:paraId="19CE2824" w14:textId="77777777" w:rsidR="00853ACE" w:rsidRPr="00E06FC2" w:rsidRDefault="00853ACE" w:rsidP="00743788">
      <w:pPr>
        <w:pStyle w:val="Lista2"/>
        <w:ind w:left="0" w:firstLine="0"/>
        <w:rPr>
          <w:rFonts w:cs="Arial"/>
        </w:rPr>
      </w:pPr>
    </w:p>
    <w:p w14:paraId="14E69EE9" w14:textId="77777777" w:rsidR="00853ACE" w:rsidRPr="00E06FC2" w:rsidRDefault="00853ACE" w:rsidP="00743788">
      <w:pPr>
        <w:pStyle w:val="Lista2"/>
        <w:ind w:left="0" w:firstLine="0"/>
        <w:rPr>
          <w:rFonts w:cs="Arial"/>
        </w:rPr>
      </w:pPr>
      <w:r w:rsidRPr="00E06FC2">
        <w:rPr>
          <w:rFonts w:cs="Arial"/>
        </w:rPr>
        <w:t xml:space="preserve">Se recuerda que el pliego de condiciones, en las especificaciones generales aplicables a la luminaria -y por ende a sus componentes- se refirió a la certificación ISO 9001 expedida para el fabricante, </w:t>
      </w:r>
      <w:r w:rsidR="00D7632E" w:rsidRPr="00E06FC2">
        <w:rPr>
          <w:rFonts w:cs="Arial"/>
        </w:rPr>
        <w:t xml:space="preserve">empero esa certificación </w:t>
      </w:r>
      <w:r w:rsidRPr="00E06FC2">
        <w:rPr>
          <w:rFonts w:cs="Arial"/>
        </w:rPr>
        <w:t xml:space="preserve">tampoco se </w:t>
      </w:r>
      <w:r w:rsidR="00D7632E" w:rsidRPr="00E06FC2">
        <w:rPr>
          <w:rFonts w:cs="Arial"/>
        </w:rPr>
        <w:t xml:space="preserve">presentó </w:t>
      </w:r>
      <w:r w:rsidRPr="00E06FC2">
        <w:rPr>
          <w:rFonts w:cs="Arial"/>
        </w:rPr>
        <w:t xml:space="preserve">en la propuesta que se examina, </w:t>
      </w:r>
      <w:r w:rsidR="00D7632E" w:rsidRPr="00E06FC2">
        <w:rPr>
          <w:rFonts w:cs="Arial"/>
        </w:rPr>
        <w:t>to</w:t>
      </w:r>
      <w:r w:rsidR="000B76AF" w:rsidRPr="00E06FC2">
        <w:rPr>
          <w:rFonts w:cs="Arial"/>
        </w:rPr>
        <w:t>d</w:t>
      </w:r>
      <w:r w:rsidR="00D7632E" w:rsidRPr="00E06FC2">
        <w:rPr>
          <w:rFonts w:cs="Arial"/>
        </w:rPr>
        <w:t xml:space="preserve">a vez que debía ser acreditada </w:t>
      </w:r>
      <w:r w:rsidRPr="00E06FC2">
        <w:rPr>
          <w:rFonts w:cs="Arial"/>
        </w:rPr>
        <w:t>en relación con</w:t>
      </w:r>
      <w:r w:rsidR="00D7632E" w:rsidRPr="00E06FC2">
        <w:rPr>
          <w:rFonts w:cs="Arial"/>
        </w:rPr>
        <w:t xml:space="preserve"> la fabricante, </w:t>
      </w:r>
      <w:r w:rsidRPr="00E06FC2">
        <w:rPr>
          <w:rFonts w:cs="Arial"/>
        </w:rPr>
        <w:t>TUNSGRAM.</w:t>
      </w:r>
    </w:p>
    <w:p w14:paraId="6E6AFC1A" w14:textId="77777777" w:rsidR="00853ACE" w:rsidRPr="00E06FC2" w:rsidRDefault="00853ACE" w:rsidP="00743788">
      <w:pPr>
        <w:pStyle w:val="Lista2"/>
        <w:ind w:left="0" w:firstLine="0"/>
        <w:rPr>
          <w:rFonts w:cs="Arial"/>
        </w:rPr>
      </w:pPr>
      <w:r w:rsidRPr="00E06FC2">
        <w:rPr>
          <w:rFonts w:cs="Arial"/>
        </w:rPr>
        <w:t xml:space="preserve"> </w:t>
      </w:r>
    </w:p>
    <w:p w14:paraId="195658C6" w14:textId="77777777" w:rsidR="00853ACE" w:rsidRPr="00E06FC2" w:rsidRDefault="00853ACE" w:rsidP="00743788">
      <w:pPr>
        <w:pStyle w:val="Lista2"/>
        <w:ind w:left="0" w:firstLine="0"/>
        <w:rPr>
          <w:rFonts w:cs="Arial"/>
        </w:rPr>
      </w:pPr>
      <w:r w:rsidRPr="00E06FC2">
        <w:rPr>
          <w:rFonts w:cs="Arial"/>
        </w:rPr>
        <w:t xml:space="preserve">Se concluye que </w:t>
      </w:r>
      <w:r w:rsidR="00101151" w:rsidRPr="00E06FC2">
        <w:rPr>
          <w:rFonts w:cs="Arial"/>
        </w:rPr>
        <w:t xml:space="preserve">fue correcta la evaluación del </w:t>
      </w:r>
      <w:r w:rsidR="00301C81" w:rsidRPr="00E06FC2">
        <w:rPr>
          <w:rFonts w:cs="Arial"/>
        </w:rPr>
        <w:t>c</w:t>
      </w:r>
      <w:r w:rsidR="00101151" w:rsidRPr="00E06FC2">
        <w:rPr>
          <w:rFonts w:cs="Arial"/>
        </w:rPr>
        <w:t xml:space="preserve">omité, toda vez que </w:t>
      </w:r>
      <w:r w:rsidRPr="00E06FC2">
        <w:rPr>
          <w:rFonts w:cs="Arial"/>
        </w:rPr>
        <w:t>ningun</w:t>
      </w:r>
      <w:r w:rsidR="009E4053" w:rsidRPr="00E06FC2">
        <w:rPr>
          <w:rFonts w:cs="Arial"/>
        </w:rPr>
        <w:t>a</w:t>
      </w:r>
      <w:r w:rsidRPr="00E06FC2">
        <w:rPr>
          <w:rFonts w:cs="Arial"/>
        </w:rPr>
        <w:t xml:space="preserve"> de las opciones de certificación previstas en la Licitación </w:t>
      </w:r>
      <w:r w:rsidR="009E4053" w:rsidRPr="00E06FC2">
        <w:rPr>
          <w:rFonts w:cs="Arial"/>
        </w:rPr>
        <w:t>Pública 0</w:t>
      </w:r>
      <w:r w:rsidRPr="00E06FC2">
        <w:rPr>
          <w:rFonts w:cs="Arial"/>
        </w:rPr>
        <w:t xml:space="preserve">01 de 1997 quedó satisfecha con los documentos aportados </w:t>
      </w:r>
      <w:r w:rsidR="00101151" w:rsidRPr="00E06FC2">
        <w:rPr>
          <w:rFonts w:cs="Arial"/>
        </w:rPr>
        <w:t xml:space="preserve">para </w:t>
      </w:r>
      <w:r w:rsidR="009E4053" w:rsidRPr="00E06FC2">
        <w:rPr>
          <w:rFonts w:cs="Arial"/>
        </w:rPr>
        <w:t xml:space="preserve">dar cobertura al componente de </w:t>
      </w:r>
      <w:r w:rsidR="00101151" w:rsidRPr="00E06FC2">
        <w:rPr>
          <w:rFonts w:cs="Arial"/>
        </w:rPr>
        <w:t>la</w:t>
      </w:r>
      <w:r w:rsidR="009E4053" w:rsidRPr="00E06FC2">
        <w:rPr>
          <w:rFonts w:cs="Arial"/>
        </w:rPr>
        <w:t>s</w:t>
      </w:r>
      <w:r w:rsidR="00101151" w:rsidRPr="00E06FC2">
        <w:rPr>
          <w:rFonts w:cs="Arial"/>
        </w:rPr>
        <w:t xml:space="preserve"> bombillas </w:t>
      </w:r>
      <w:r w:rsidRPr="00E06FC2">
        <w:rPr>
          <w:rFonts w:cs="Arial"/>
        </w:rPr>
        <w:t>en la propuesta de la UT General Electric – Electro Atlántico.</w:t>
      </w:r>
    </w:p>
    <w:p w14:paraId="209869FD" w14:textId="77777777" w:rsidR="00853ACE" w:rsidRPr="00E06FC2" w:rsidRDefault="00853ACE" w:rsidP="00743788">
      <w:pPr>
        <w:pStyle w:val="Lista2"/>
        <w:ind w:left="0" w:firstLine="0"/>
        <w:rPr>
          <w:rFonts w:cs="Arial"/>
          <w:b/>
        </w:rPr>
      </w:pPr>
    </w:p>
    <w:p w14:paraId="1226E262" w14:textId="77777777" w:rsidR="00853ACE" w:rsidRPr="00E06FC2" w:rsidRDefault="00853ACE" w:rsidP="00743788">
      <w:pPr>
        <w:pStyle w:val="Lista2"/>
        <w:ind w:left="0" w:firstLine="0"/>
        <w:rPr>
          <w:rFonts w:cs="Arial"/>
        </w:rPr>
      </w:pPr>
      <w:r w:rsidRPr="00E06FC2">
        <w:rPr>
          <w:rFonts w:cs="Arial"/>
        </w:rPr>
        <w:t xml:space="preserve">Por otra parte, advierte la Sala que el Tribunal </w:t>
      </w:r>
      <w:r w:rsidRPr="00E06FC2">
        <w:rPr>
          <w:rFonts w:cs="Arial"/>
          <w:i/>
        </w:rPr>
        <w:t>a quo</w:t>
      </w:r>
      <w:r w:rsidRPr="00E06FC2">
        <w:rPr>
          <w:rFonts w:cs="Arial"/>
        </w:rPr>
        <w:t xml:space="preserve"> se equivocó en la apreciación de la siguiente prueba:</w:t>
      </w:r>
    </w:p>
    <w:p w14:paraId="78C78A69" w14:textId="77777777" w:rsidR="00853ACE" w:rsidRPr="00E06FC2" w:rsidRDefault="00853ACE" w:rsidP="00743788">
      <w:pPr>
        <w:pStyle w:val="Lista2"/>
        <w:ind w:left="0" w:firstLine="0"/>
        <w:rPr>
          <w:rFonts w:cs="Arial"/>
        </w:rPr>
      </w:pPr>
    </w:p>
    <w:p w14:paraId="1A15E2EC" w14:textId="77777777" w:rsidR="00853ACE" w:rsidRPr="00E06FC2" w:rsidRDefault="00853ACE" w:rsidP="00743788">
      <w:pPr>
        <w:pStyle w:val="Lista2"/>
        <w:spacing w:line="276" w:lineRule="auto"/>
        <w:ind w:left="567" w:right="567" w:firstLine="0"/>
        <w:rPr>
          <w:rFonts w:cs="Arial"/>
          <w:i/>
        </w:rPr>
      </w:pPr>
      <w:r w:rsidRPr="00E06FC2">
        <w:rPr>
          <w:rFonts w:cs="Arial"/>
          <w:i/>
        </w:rPr>
        <w:t xml:space="preserve">“Es importante señalar que en el pliego de condiciones se habló respecto de las luminarias que el fabricante debía acreditar certificado ISO 9001 (folio 207 Cdno 2 A y </w:t>
      </w:r>
      <w:r w:rsidRPr="00E06FC2">
        <w:rPr>
          <w:rFonts w:cs="Arial"/>
          <w:b/>
          <w:i/>
        </w:rPr>
        <w:t>en efecto este se aportó por Electro Atlántico</w:t>
      </w:r>
      <w:r w:rsidRPr="00E06FC2">
        <w:rPr>
          <w:rFonts w:cs="Arial"/>
          <w:i/>
        </w:rPr>
        <w:t xml:space="preserve"> tal como obra a los folios 1113 y siguientes del cuaderno 2C)</w:t>
      </w:r>
      <w:r w:rsidRPr="00E06FC2">
        <w:rPr>
          <w:rStyle w:val="Refdenotaalpie"/>
          <w:rFonts w:cs="Arial"/>
          <w:i/>
        </w:rPr>
        <w:footnoteReference w:id="76"/>
      </w:r>
      <w:r w:rsidRPr="00E06FC2">
        <w:rPr>
          <w:rFonts w:cs="Arial"/>
          <w:i/>
        </w:rPr>
        <w:t xml:space="preserve">.(La negrilla no es del texto). </w:t>
      </w:r>
    </w:p>
    <w:p w14:paraId="54AF261D" w14:textId="77777777" w:rsidR="00853ACE" w:rsidRPr="00E06FC2" w:rsidRDefault="00853ACE" w:rsidP="00743788">
      <w:pPr>
        <w:pStyle w:val="Lista2"/>
        <w:ind w:left="0" w:firstLine="0"/>
        <w:rPr>
          <w:rFonts w:cs="Arial"/>
          <w:b/>
        </w:rPr>
      </w:pPr>
    </w:p>
    <w:p w14:paraId="5E561115" w14:textId="77777777" w:rsidR="00853ACE" w:rsidRPr="00E06FC2" w:rsidRDefault="00853ACE" w:rsidP="00743788">
      <w:pPr>
        <w:pStyle w:val="Lista2"/>
        <w:ind w:left="0" w:firstLine="0"/>
        <w:rPr>
          <w:rFonts w:cs="Arial"/>
        </w:rPr>
      </w:pPr>
      <w:r w:rsidRPr="00E06FC2">
        <w:rPr>
          <w:rFonts w:cs="Arial"/>
        </w:rPr>
        <w:t xml:space="preserve">La anterior afirmación se funda en lo siguiente: </w:t>
      </w:r>
      <w:r w:rsidRPr="00E06FC2">
        <w:rPr>
          <w:rFonts w:cs="Arial"/>
          <w:b/>
        </w:rPr>
        <w:t>i)</w:t>
      </w:r>
      <w:r w:rsidRPr="00E06FC2">
        <w:rPr>
          <w:rFonts w:cs="Arial"/>
        </w:rPr>
        <w:t xml:space="preserve"> </w:t>
      </w:r>
      <w:r w:rsidR="004D0E12" w:rsidRPr="00E06FC2">
        <w:rPr>
          <w:rFonts w:cs="Arial"/>
        </w:rPr>
        <w:t>n</w:t>
      </w:r>
      <w:r w:rsidRPr="00E06FC2">
        <w:rPr>
          <w:rFonts w:cs="Arial"/>
        </w:rPr>
        <w:t>o es cierto que la propuesta de</w:t>
      </w:r>
      <w:r w:rsidR="00101151" w:rsidRPr="00E06FC2">
        <w:rPr>
          <w:rFonts w:cs="Arial"/>
        </w:rPr>
        <w:t xml:space="preserve"> </w:t>
      </w:r>
      <w:r w:rsidRPr="00E06FC2">
        <w:rPr>
          <w:rFonts w:cs="Arial"/>
        </w:rPr>
        <w:t>l</w:t>
      </w:r>
      <w:r w:rsidR="00101151" w:rsidRPr="00E06FC2">
        <w:rPr>
          <w:rFonts w:cs="Arial"/>
        </w:rPr>
        <w:t>a</w:t>
      </w:r>
      <w:r w:rsidRPr="00E06FC2">
        <w:rPr>
          <w:rFonts w:cs="Arial"/>
        </w:rPr>
        <w:t xml:space="preserve"> demandante se hubiera acompañado con un certificado de calidad ISO 9001 por parte de Electro Atlántico, empresa que, en todo caso, no </w:t>
      </w:r>
      <w:r w:rsidR="00101151" w:rsidRPr="00E06FC2">
        <w:rPr>
          <w:rFonts w:cs="Arial"/>
        </w:rPr>
        <w:t>era la</w:t>
      </w:r>
      <w:r w:rsidRPr="00E06FC2">
        <w:rPr>
          <w:rFonts w:cs="Arial"/>
        </w:rPr>
        <w:t xml:space="preserve"> fabricante de las bombillas</w:t>
      </w:r>
      <w:r w:rsidR="00301C81" w:rsidRPr="00E06FC2">
        <w:rPr>
          <w:rFonts w:cs="Arial"/>
        </w:rPr>
        <w:t>;</w:t>
      </w:r>
      <w:r w:rsidRPr="00E06FC2">
        <w:rPr>
          <w:rFonts w:cs="Arial"/>
        </w:rPr>
        <w:t xml:space="preserve"> </w:t>
      </w:r>
      <w:r w:rsidRPr="00E06FC2">
        <w:rPr>
          <w:rFonts w:cs="Arial"/>
          <w:b/>
        </w:rPr>
        <w:t>ii)</w:t>
      </w:r>
      <w:r w:rsidRPr="00E06FC2">
        <w:rPr>
          <w:rFonts w:cs="Arial"/>
        </w:rPr>
        <w:t xml:space="preserve"> </w:t>
      </w:r>
      <w:r w:rsidR="004D0E12" w:rsidRPr="00E06FC2">
        <w:rPr>
          <w:rFonts w:cs="Arial"/>
        </w:rPr>
        <w:t>e</w:t>
      </w:r>
      <w:r w:rsidRPr="00E06FC2">
        <w:rPr>
          <w:rFonts w:cs="Arial"/>
        </w:rPr>
        <w:t>n el folio citado en la sentencia</w:t>
      </w:r>
      <w:r w:rsidR="00301C81" w:rsidRPr="00E06FC2">
        <w:rPr>
          <w:rFonts w:cs="Arial"/>
        </w:rPr>
        <w:t>,</w:t>
      </w:r>
      <w:r w:rsidRPr="00E06FC2">
        <w:rPr>
          <w:rFonts w:cs="Arial"/>
        </w:rPr>
        <w:t xml:space="preserve"> aparece un certificado ISO 9001, emitido por el Vicepresidente de Underwriting Laboratorios INC, para GE Lighting Systems, de Hendersoville, North Carolina, expedido el julio 16 de 1996, con vigencia hasta julio 16 de 1998 y una nota de prensa anexa, al parecer de un boletín de esa empresa, con fecha julio de 1996, comentando los logros de la certificación</w:t>
      </w:r>
      <w:r w:rsidR="00101151" w:rsidRPr="00E06FC2">
        <w:rPr>
          <w:rFonts w:cs="Arial"/>
        </w:rPr>
        <w:t xml:space="preserve"> obtenida</w:t>
      </w:r>
      <w:r w:rsidRPr="00E06FC2">
        <w:rPr>
          <w:rFonts w:cs="Arial"/>
        </w:rPr>
        <w:t xml:space="preserve">, ambos </w:t>
      </w:r>
      <w:r w:rsidR="00101151" w:rsidRPr="00E06FC2">
        <w:rPr>
          <w:rFonts w:cs="Arial"/>
        </w:rPr>
        <w:t xml:space="preserve">documentos </w:t>
      </w:r>
      <w:r w:rsidRPr="00E06FC2">
        <w:rPr>
          <w:rFonts w:cs="Arial"/>
        </w:rPr>
        <w:t xml:space="preserve">en idioma inglés. </w:t>
      </w:r>
    </w:p>
    <w:p w14:paraId="26DA37B6" w14:textId="77777777" w:rsidR="00853ACE" w:rsidRPr="00E06FC2" w:rsidRDefault="00853ACE" w:rsidP="00743788">
      <w:pPr>
        <w:pStyle w:val="Lista2"/>
        <w:ind w:left="0" w:firstLine="0"/>
        <w:rPr>
          <w:rFonts w:cs="Arial"/>
          <w:b/>
        </w:rPr>
      </w:pPr>
    </w:p>
    <w:p w14:paraId="1C97F5DF" w14:textId="77777777" w:rsidR="00853ACE" w:rsidRPr="00E06FC2" w:rsidRDefault="00853ACE" w:rsidP="00743788">
      <w:pPr>
        <w:pStyle w:val="Lista2"/>
        <w:ind w:left="0" w:firstLine="0"/>
        <w:rPr>
          <w:rFonts w:cs="Arial"/>
        </w:rPr>
      </w:pPr>
      <w:r w:rsidRPr="00E06FC2">
        <w:rPr>
          <w:rFonts w:cs="Arial"/>
        </w:rPr>
        <w:t xml:space="preserve">La certificación que se acaba de reseñar no puede tomarse como prueba de cumplimiento de la norma ISO 9001 por parte del fabricante, dentro de la Licitación 001 de 1997, para efectos de la calificación de la propuesta de la UT General Electric </w:t>
      </w:r>
      <w:r w:rsidRPr="00E06FC2">
        <w:rPr>
          <w:rFonts w:cs="Arial"/>
        </w:rPr>
        <w:lastRenderedPageBreak/>
        <w:t>– Electro Atlántico, toda vez que</w:t>
      </w:r>
      <w:r w:rsidR="000D299B" w:rsidRPr="00E06FC2">
        <w:rPr>
          <w:rFonts w:cs="Arial"/>
        </w:rPr>
        <w:t>:</w:t>
      </w:r>
      <w:r w:rsidRPr="00E06FC2">
        <w:rPr>
          <w:rFonts w:cs="Arial"/>
        </w:rPr>
        <w:t xml:space="preserve"> </w:t>
      </w:r>
      <w:r w:rsidRPr="00E06FC2">
        <w:rPr>
          <w:rFonts w:cs="Arial"/>
          <w:b/>
        </w:rPr>
        <w:t>i)</w:t>
      </w:r>
      <w:r w:rsidRPr="00E06FC2">
        <w:rPr>
          <w:rFonts w:cs="Arial"/>
        </w:rPr>
        <w:t xml:space="preserve"> no existe certeza de que su otorgante fuera un laboratorio acreditado para la certificación</w:t>
      </w:r>
      <w:r w:rsidR="00301C81" w:rsidRPr="00E06FC2">
        <w:rPr>
          <w:rFonts w:cs="Arial"/>
        </w:rPr>
        <w:t>;</w:t>
      </w:r>
      <w:r w:rsidRPr="00E06FC2">
        <w:rPr>
          <w:rFonts w:cs="Arial"/>
        </w:rPr>
        <w:t xml:space="preserve"> </w:t>
      </w:r>
      <w:r w:rsidRPr="00E06FC2">
        <w:rPr>
          <w:rFonts w:cs="Arial"/>
          <w:b/>
        </w:rPr>
        <w:t>ii)</w:t>
      </w:r>
      <w:r w:rsidRPr="00E06FC2">
        <w:rPr>
          <w:rFonts w:cs="Arial"/>
        </w:rPr>
        <w:t xml:space="preserve"> no se puede identificar si la organización objeto de la certificación coincidía con la fabricante de las bombillas ofrecidas por la demandante</w:t>
      </w:r>
      <w:r w:rsidR="00301C81" w:rsidRPr="00E06FC2">
        <w:rPr>
          <w:rFonts w:cs="Arial"/>
        </w:rPr>
        <w:t>;</w:t>
      </w:r>
      <w:r w:rsidRPr="00E06FC2">
        <w:rPr>
          <w:rFonts w:cs="Arial"/>
        </w:rPr>
        <w:t xml:space="preserve"> </w:t>
      </w:r>
      <w:r w:rsidRPr="00E06FC2">
        <w:rPr>
          <w:rFonts w:cs="Arial"/>
          <w:b/>
        </w:rPr>
        <w:t>iii)</w:t>
      </w:r>
      <w:r w:rsidRPr="00E06FC2">
        <w:rPr>
          <w:rFonts w:cs="Arial"/>
        </w:rPr>
        <w:t xml:space="preserve"> los documentos aportados carecen de la traducción oficial para que puedan ser apreciados en este proceso y tampoco se consideran auténticos</w:t>
      </w:r>
      <w:r w:rsidR="00301C81" w:rsidRPr="00E06FC2">
        <w:rPr>
          <w:rFonts w:cs="Arial"/>
        </w:rPr>
        <w:t>,</w:t>
      </w:r>
      <w:r w:rsidRPr="00E06FC2">
        <w:rPr>
          <w:rFonts w:cs="Arial"/>
        </w:rPr>
        <w:t xml:space="preserve"> debido a que no cumplieron con la cadena de autenticaciones </w:t>
      </w:r>
      <w:r w:rsidR="005405CD" w:rsidRPr="00E06FC2">
        <w:rPr>
          <w:rFonts w:cs="Arial"/>
        </w:rPr>
        <w:t xml:space="preserve">–que </w:t>
      </w:r>
      <w:r w:rsidR="00882ED2" w:rsidRPr="00E06FC2">
        <w:rPr>
          <w:rFonts w:cs="Arial"/>
        </w:rPr>
        <w:t>es</w:t>
      </w:r>
      <w:r w:rsidR="005405CD" w:rsidRPr="00E06FC2">
        <w:rPr>
          <w:rFonts w:cs="Arial"/>
        </w:rPr>
        <w:t xml:space="preserve"> </w:t>
      </w:r>
      <w:r w:rsidRPr="00E06FC2">
        <w:rPr>
          <w:rFonts w:cs="Arial"/>
        </w:rPr>
        <w:t xml:space="preserve">requerida </w:t>
      </w:r>
      <w:r w:rsidR="005405CD" w:rsidRPr="00E06FC2">
        <w:rPr>
          <w:rFonts w:cs="Arial"/>
        </w:rPr>
        <w:t>en el proceso</w:t>
      </w:r>
      <w:r w:rsidR="00882ED2" w:rsidRPr="00E06FC2">
        <w:rPr>
          <w:rFonts w:cs="Arial"/>
        </w:rPr>
        <w:t>, por tratarse de un documentos</w:t>
      </w:r>
      <w:r w:rsidR="005405CD" w:rsidRPr="00E06FC2">
        <w:rPr>
          <w:rFonts w:cs="Arial"/>
        </w:rPr>
        <w:t xml:space="preserve"> </w:t>
      </w:r>
      <w:r w:rsidR="00882ED2" w:rsidRPr="00E06FC2">
        <w:rPr>
          <w:rFonts w:cs="Arial"/>
        </w:rPr>
        <w:t>otorgado en el exterior</w:t>
      </w:r>
      <w:r w:rsidR="00A6659E" w:rsidRPr="00E06FC2">
        <w:rPr>
          <w:rFonts w:cs="Arial"/>
        </w:rPr>
        <w:t>,</w:t>
      </w:r>
      <w:r w:rsidR="00926BDE" w:rsidRPr="00E06FC2">
        <w:rPr>
          <w:rFonts w:cs="Arial"/>
        </w:rPr>
        <w:t xml:space="preserve"> </w:t>
      </w:r>
      <w:r w:rsidR="00882ED2" w:rsidRPr="00E06FC2">
        <w:rPr>
          <w:rFonts w:cs="Arial"/>
        </w:rPr>
        <w:t xml:space="preserve">en relación con </w:t>
      </w:r>
      <w:r w:rsidRPr="00E06FC2">
        <w:rPr>
          <w:rFonts w:cs="Arial"/>
        </w:rPr>
        <w:t>la firma del traductor oficial- para dar certeza sobre la respectiva prueba</w:t>
      </w:r>
      <w:r w:rsidRPr="00E06FC2">
        <w:rPr>
          <w:rStyle w:val="Refdenotaalpie"/>
          <w:rFonts w:cs="Arial"/>
        </w:rPr>
        <w:footnoteReference w:id="77"/>
      </w:r>
      <w:r w:rsidR="00435F9A" w:rsidRPr="00E06FC2">
        <w:rPr>
          <w:rFonts w:cs="Arial"/>
        </w:rPr>
        <w:t>.</w:t>
      </w:r>
      <w:r w:rsidR="00101151" w:rsidRPr="00E06FC2">
        <w:rPr>
          <w:rFonts w:cs="Arial"/>
        </w:rPr>
        <w:t xml:space="preserve"> Se agrega que el idioma oficial de la propuesta era el español, de acuerdo con el pliego de condiciones de la Licitación 001 de 1997.</w:t>
      </w:r>
    </w:p>
    <w:p w14:paraId="0CC01AB2" w14:textId="77777777" w:rsidR="00853ACE" w:rsidRPr="00E06FC2" w:rsidRDefault="00853ACE" w:rsidP="00743788">
      <w:pPr>
        <w:pStyle w:val="Lista2"/>
        <w:ind w:left="0" w:firstLine="0"/>
        <w:rPr>
          <w:rFonts w:cs="Arial"/>
          <w:b/>
        </w:rPr>
      </w:pPr>
    </w:p>
    <w:p w14:paraId="40CCD85C" w14:textId="77777777" w:rsidR="00853ACE" w:rsidRPr="00E06FC2" w:rsidRDefault="00853ACE" w:rsidP="00743788">
      <w:pPr>
        <w:pStyle w:val="Lista2"/>
        <w:ind w:left="0" w:firstLine="0"/>
        <w:rPr>
          <w:rFonts w:cs="Arial"/>
        </w:rPr>
      </w:pPr>
      <w:r w:rsidRPr="00E06FC2">
        <w:rPr>
          <w:rFonts w:cs="Arial"/>
        </w:rPr>
        <w:t>Por todo lo anterior, la Sala concluye que en este proceso no se probó que la propuesta de UT General Electric – Electro Atlán</w:t>
      </w:r>
      <w:r w:rsidR="00926BDE" w:rsidRPr="00E06FC2">
        <w:rPr>
          <w:rFonts w:cs="Arial"/>
        </w:rPr>
        <w:t>t</w:t>
      </w:r>
      <w:r w:rsidRPr="00E06FC2">
        <w:rPr>
          <w:rFonts w:cs="Arial"/>
        </w:rPr>
        <w:t xml:space="preserve">ico, en cuanto al componente de bombillas, hubiera cumplido con la acreditación en los términos del pliego de condiciones, bajo ninguna de las modalidades permitidas en el mismo, por manera que </w:t>
      </w:r>
      <w:r w:rsidR="00435F9A" w:rsidRPr="00E06FC2">
        <w:rPr>
          <w:rFonts w:cs="Arial"/>
        </w:rPr>
        <w:t xml:space="preserve">no </w:t>
      </w:r>
      <w:r w:rsidRPr="00E06FC2">
        <w:rPr>
          <w:rFonts w:cs="Arial"/>
        </w:rPr>
        <w:t xml:space="preserve">se </w:t>
      </w:r>
      <w:r w:rsidR="00435F9A" w:rsidRPr="00E06FC2">
        <w:rPr>
          <w:rFonts w:cs="Arial"/>
        </w:rPr>
        <w:t xml:space="preserve">logró desvirtuar </w:t>
      </w:r>
      <w:r w:rsidRPr="00E06FC2">
        <w:rPr>
          <w:rFonts w:cs="Arial"/>
        </w:rPr>
        <w:t xml:space="preserve">la calificación de cero puntos otorgada por el </w:t>
      </w:r>
      <w:r w:rsidR="00435F9A" w:rsidRPr="00E06FC2">
        <w:rPr>
          <w:rFonts w:cs="Arial"/>
        </w:rPr>
        <w:t>c</w:t>
      </w:r>
      <w:r w:rsidRPr="00E06FC2">
        <w:rPr>
          <w:rFonts w:cs="Arial"/>
        </w:rPr>
        <w:t xml:space="preserve">omité de </w:t>
      </w:r>
      <w:r w:rsidR="00435F9A" w:rsidRPr="00E06FC2">
        <w:rPr>
          <w:rFonts w:cs="Arial"/>
        </w:rPr>
        <w:t>e</w:t>
      </w:r>
      <w:r w:rsidRPr="00E06FC2">
        <w:rPr>
          <w:rFonts w:cs="Arial"/>
        </w:rPr>
        <w:t xml:space="preserve">valuación dentro de la Licitación </w:t>
      </w:r>
      <w:r w:rsidR="006F4BFB" w:rsidRPr="00E06FC2">
        <w:rPr>
          <w:rFonts w:cs="Arial"/>
        </w:rPr>
        <w:t>Pública</w:t>
      </w:r>
      <w:r w:rsidRPr="00E06FC2">
        <w:rPr>
          <w:rFonts w:cs="Arial"/>
        </w:rPr>
        <w:t xml:space="preserve"> 001 de 1997. </w:t>
      </w:r>
    </w:p>
    <w:p w14:paraId="0D951605" w14:textId="77777777" w:rsidR="00853ACE" w:rsidRPr="00E06FC2" w:rsidRDefault="00853ACE" w:rsidP="00743788">
      <w:pPr>
        <w:pStyle w:val="Lista2"/>
        <w:ind w:left="0" w:firstLine="0"/>
        <w:rPr>
          <w:rFonts w:cs="Arial"/>
          <w:b/>
        </w:rPr>
      </w:pPr>
    </w:p>
    <w:p w14:paraId="2B7A7411" w14:textId="77777777" w:rsidR="00853ACE" w:rsidRPr="00E06FC2" w:rsidRDefault="0053565B" w:rsidP="00743788">
      <w:pPr>
        <w:pStyle w:val="Lista2"/>
        <w:ind w:left="0" w:firstLine="0"/>
        <w:rPr>
          <w:rFonts w:cs="Arial"/>
          <w:b/>
        </w:rPr>
      </w:pPr>
      <w:r w:rsidRPr="00E06FC2">
        <w:rPr>
          <w:rFonts w:cs="Arial"/>
          <w:b/>
        </w:rPr>
        <w:t>5.3.2.</w:t>
      </w:r>
      <w:r w:rsidR="00853ACE" w:rsidRPr="00E06FC2">
        <w:rPr>
          <w:rFonts w:cs="Arial"/>
          <w:b/>
        </w:rPr>
        <w:t xml:space="preserve"> </w:t>
      </w:r>
      <w:r w:rsidR="00FD451E" w:rsidRPr="00E06FC2">
        <w:rPr>
          <w:rFonts w:cs="Arial"/>
          <w:b/>
        </w:rPr>
        <w:t>A</w:t>
      </w:r>
      <w:r w:rsidR="00853ACE" w:rsidRPr="00E06FC2">
        <w:rPr>
          <w:rFonts w:cs="Arial"/>
          <w:b/>
        </w:rPr>
        <w:t>rrancador</w:t>
      </w:r>
    </w:p>
    <w:p w14:paraId="13C37723" w14:textId="77777777" w:rsidR="00853ACE" w:rsidRPr="00E06FC2" w:rsidRDefault="00853ACE" w:rsidP="00743788">
      <w:pPr>
        <w:pStyle w:val="Lista2"/>
        <w:ind w:left="0" w:firstLine="0"/>
        <w:rPr>
          <w:rFonts w:cs="Arial"/>
          <w:b/>
        </w:rPr>
      </w:pPr>
    </w:p>
    <w:p w14:paraId="4CBE2DB7" w14:textId="77777777" w:rsidR="00853ACE" w:rsidRPr="00E06FC2" w:rsidRDefault="00853ACE" w:rsidP="00743788">
      <w:pPr>
        <w:pStyle w:val="Lista2"/>
        <w:ind w:left="0" w:firstLine="0"/>
        <w:rPr>
          <w:rFonts w:cs="Arial"/>
        </w:rPr>
      </w:pPr>
      <w:r w:rsidRPr="00E06FC2">
        <w:rPr>
          <w:rFonts w:cs="Arial"/>
        </w:rPr>
        <w:t xml:space="preserve">De acuerdo con el pliego de condiciones de la Licitación Pública 001 de 1997, las especificaciones del arrancador fueron las siguientes: </w:t>
      </w:r>
    </w:p>
    <w:p w14:paraId="36ECA191" w14:textId="77777777" w:rsidR="00853ACE" w:rsidRPr="00E06FC2" w:rsidRDefault="00853ACE" w:rsidP="00743788">
      <w:pPr>
        <w:pStyle w:val="Lista2"/>
        <w:spacing w:line="276" w:lineRule="auto"/>
        <w:ind w:left="567" w:right="567" w:firstLine="0"/>
        <w:rPr>
          <w:rFonts w:cs="Arial"/>
          <w:i/>
        </w:rPr>
      </w:pPr>
    </w:p>
    <w:p w14:paraId="2EFF1A95" w14:textId="77777777" w:rsidR="00853ACE" w:rsidRPr="00E06FC2" w:rsidRDefault="00853ACE" w:rsidP="00743788">
      <w:pPr>
        <w:pStyle w:val="Lista2"/>
        <w:spacing w:line="276" w:lineRule="auto"/>
        <w:ind w:left="567" w:right="567" w:firstLine="0"/>
        <w:rPr>
          <w:rFonts w:cs="Arial"/>
          <w:i/>
        </w:rPr>
      </w:pPr>
      <w:r w:rsidRPr="00E06FC2">
        <w:rPr>
          <w:rFonts w:cs="Arial"/>
          <w:i/>
        </w:rPr>
        <w:t>“d- ARRANCADOR</w:t>
      </w:r>
    </w:p>
    <w:p w14:paraId="0BAB96FB" w14:textId="77777777" w:rsidR="00853ACE" w:rsidRPr="00E06FC2" w:rsidRDefault="00853ACE" w:rsidP="00743788">
      <w:pPr>
        <w:pStyle w:val="Lista2"/>
        <w:spacing w:line="276" w:lineRule="auto"/>
        <w:ind w:left="567" w:right="567" w:firstLine="0"/>
        <w:rPr>
          <w:rFonts w:cs="Arial"/>
          <w:i/>
        </w:rPr>
      </w:pPr>
    </w:p>
    <w:p w14:paraId="50CBCE49" w14:textId="77777777" w:rsidR="00853ACE" w:rsidRPr="00E06FC2" w:rsidRDefault="00853ACE" w:rsidP="00743788">
      <w:pPr>
        <w:pStyle w:val="Lista2"/>
        <w:spacing w:line="276" w:lineRule="auto"/>
        <w:ind w:left="567" w:right="567" w:firstLine="0"/>
        <w:rPr>
          <w:rFonts w:cs="Arial"/>
          <w:i/>
        </w:rPr>
      </w:pPr>
      <w:r w:rsidRPr="00E06FC2">
        <w:rPr>
          <w:rFonts w:cs="Arial"/>
          <w:i/>
        </w:rPr>
        <w:t xml:space="preserve">“El arrancador usado como complemento del balasto y funcionando con este como un sistema completo, deberá ser de superposición, de triple pulso, diseñado y fabricado e instalado para que funcione con bombillas de cualquier marca existente en el mercado nacional y que cumpla con </w:t>
      </w:r>
      <w:r w:rsidRPr="00E06FC2">
        <w:rPr>
          <w:rFonts w:cs="Arial"/>
          <w:i/>
        </w:rPr>
        <w:lastRenderedPageBreak/>
        <w:t>lo exigido en el literal e) de este anexo</w:t>
      </w:r>
      <w:r w:rsidR="008B33E3" w:rsidRPr="00E06FC2">
        <w:rPr>
          <w:rStyle w:val="Refdenotaalpie"/>
          <w:rFonts w:cs="Arial"/>
          <w:i/>
        </w:rPr>
        <w:footnoteReference w:id="78"/>
      </w:r>
      <w:r w:rsidRPr="00E06FC2">
        <w:rPr>
          <w:rFonts w:cs="Arial"/>
          <w:i/>
        </w:rPr>
        <w:t>. Deberá ser encapsulado y la cáp</w:t>
      </w:r>
      <w:r w:rsidR="008B33E3" w:rsidRPr="00E06FC2">
        <w:rPr>
          <w:rFonts w:cs="Arial"/>
          <w:i/>
        </w:rPr>
        <w:t>s</w:t>
      </w:r>
      <w:r w:rsidRPr="00E06FC2">
        <w:rPr>
          <w:rFonts w:cs="Arial"/>
          <w:i/>
        </w:rPr>
        <w:t>ula debe estar fabricada en un material AUTO- EXTINGUIBLE que no utilice el devanado del balasto para generar los pulsos.</w:t>
      </w:r>
    </w:p>
    <w:p w14:paraId="35B59BB7" w14:textId="77777777" w:rsidR="00853ACE" w:rsidRPr="00E06FC2" w:rsidRDefault="00853ACE" w:rsidP="00743788">
      <w:pPr>
        <w:pStyle w:val="Lista2"/>
        <w:ind w:left="0" w:firstLine="0"/>
        <w:rPr>
          <w:rFonts w:cs="Arial"/>
          <w:b/>
        </w:rPr>
      </w:pPr>
    </w:p>
    <w:p w14:paraId="1323831D" w14:textId="77777777" w:rsidR="00853ACE" w:rsidRPr="00E06FC2" w:rsidRDefault="00853ACE" w:rsidP="00743788">
      <w:pPr>
        <w:pStyle w:val="Lista2"/>
        <w:spacing w:line="276" w:lineRule="auto"/>
        <w:ind w:left="567" w:right="567" w:firstLine="0"/>
        <w:rPr>
          <w:rFonts w:cs="Arial"/>
          <w:i/>
        </w:rPr>
      </w:pPr>
      <w:r w:rsidRPr="00E06FC2">
        <w:rPr>
          <w:rFonts w:cs="Arial"/>
          <w:i/>
        </w:rPr>
        <w:t>“Debe ser de dos (2) terminales tipo paralelo sin utilizar la derivación del balasto”</w:t>
      </w:r>
      <w:r w:rsidRPr="00E06FC2">
        <w:rPr>
          <w:rStyle w:val="Refdenotaalpie"/>
          <w:rFonts w:cs="Arial"/>
          <w:i/>
        </w:rPr>
        <w:footnoteReference w:id="79"/>
      </w:r>
      <w:r w:rsidR="002D7D6C" w:rsidRPr="00E06FC2">
        <w:rPr>
          <w:rFonts w:cs="Arial"/>
          <w:i/>
        </w:rPr>
        <w:t>.</w:t>
      </w:r>
    </w:p>
    <w:p w14:paraId="5469BBE3" w14:textId="77777777" w:rsidR="00853ACE" w:rsidRPr="00E06FC2" w:rsidRDefault="00853ACE" w:rsidP="00743788">
      <w:pPr>
        <w:pStyle w:val="Lista2"/>
        <w:ind w:left="0" w:firstLine="0"/>
        <w:rPr>
          <w:rFonts w:cs="Arial"/>
          <w:b/>
        </w:rPr>
      </w:pPr>
    </w:p>
    <w:p w14:paraId="7759D0D3" w14:textId="77777777" w:rsidR="00853ACE" w:rsidRPr="00E06FC2" w:rsidRDefault="00853ACE" w:rsidP="00743788">
      <w:pPr>
        <w:pStyle w:val="Lista2"/>
        <w:ind w:left="0" w:firstLine="0"/>
        <w:rPr>
          <w:rFonts w:cs="Arial"/>
        </w:rPr>
      </w:pPr>
      <w:r w:rsidRPr="00E06FC2">
        <w:rPr>
          <w:rFonts w:cs="Arial"/>
        </w:rPr>
        <w:t>De acuerdo con la propuesta de la UT General El</w:t>
      </w:r>
      <w:r w:rsidR="00A6659E" w:rsidRPr="00E06FC2">
        <w:rPr>
          <w:rFonts w:cs="Arial"/>
        </w:rPr>
        <w:t>e</w:t>
      </w:r>
      <w:r w:rsidRPr="00E06FC2">
        <w:rPr>
          <w:rFonts w:cs="Arial"/>
        </w:rPr>
        <w:t xml:space="preserve">ctric – Electro Atlántico, se ofreció el arrancador así: </w:t>
      </w:r>
    </w:p>
    <w:p w14:paraId="4BAD14EE" w14:textId="77777777" w:rsidR="00853ACE" w:rsidRPr="00E06FC2" w:rsidRDefault="00853ACE" w:rsidP="00743788">
      <w:pPr>
        <w:pStyle w:val="Lista2"/>
        <w:ind w:left="0" w:firstLine="0"/>
        <w:rPr>
          <w:rFonts w:cs="Arial"/>
          <w:b/>
        </w:rPr>
      </w:pPr>
    </w:p>
    <w:p w14:paraId="4A08C60D" w14:textId="77777777" w:rsidR="00853ACE" w:rsidRPr="00E06FC2" w:rsidRDefault="00853ACE" w:rsidP="00743788">
      <w:pPr>
        <w:pStyle w:val="Lista2"/>
        <w:spacing w:line="276" w:lineRule="auto"/>
        <w:ind w:left="567" w:right="567" w:firstLine="0"/>
        <w:rPr>
          <w:rFonts w:cs="Arial"/>
          <w:i/>
        </w:rPr>
      </w:pPr>
      <w:r w:rsidRPr="00E06FC2">
        <w:rPr>
          <w:rFonts w:cs="Arial"/>
          <w:i/>
        </w:rPr>
        <w:t>“d) ARRANCADOR:</w:t>
      </w:r>
    </w:p>
    <w:p w14:paraId="4DA2C786" w14:textId="77777777" w:rsidR="00853ACE" w:rsidRPr="00E06FC2" w:rsidRDefault="00853ACE" w:rsidP="00743788">
      <w:pPr>
        <w:pStyle w:val="Lista2"/>
        <w:spacing w:line="276" w:lineRule="auto"/>
        <w:ind w:left="567" w:right="567" w:firstLine="0"/>
        <w:rPr>
          <w:rFonts w:cs="Arial"/>
          <w:i/>
        </w:rPr>
      </w:pPr>
    </w:p>
    <w:p w14:paraId="78CD419C" w14:textId="77777777" w:rsidR="00853ACE" w:rsidRPr="00E06FC2" w:rsidRDefault="00853ACE" w:rsidP="00743788">
      <w:pPr>
        <w:pStyle w:val="Lista2"/>
        <w:spacing w:line="276" w:lineRule="auto"/>
        <w:ind w:left="567" w:right="567" w:firstLine="0"/>
        <w:rPr>
          <w:rFonts w:cs="Arial"/>
          <w:i/>
        </w:rPr>
      </w:pPr>
      <w:r w:rsidRPr="00E06FC2">
        <w:rPr>
          <w:rFonts w:cs="Arial"/>
          <w:i/>
        </w:rPr>
        <w:t>“Marca; ERGON o similares, que cumplen con las especificaciones técnicas exigidas.//  70W DE SUPERPOSICIÓN. // 150</w:t>
      </w:r>
      <w:r w:rsidR="007C6EEE" w:rsidRPr="00E06FC2">
        <w:rPr>
          <w:rFonts w:cs="Arial"/>
          <w:i/>
        </w:rPr>
        <w:t>W</w:t>
      </w:r>
      <w:r w:rsidRPr="00E06FC2">
        <w:rPr>
          <w:rFonts w:cs="Arial"/>
          <w:i/>
        </w:rPr>
        <w:t>, 250W y 400W EN PARALELO. // PULSOS. TRIPLE PULSO.//</w:t>
      </w:r>
      <w:r w:rsidR="00323C59" w:rsidRPr="00E06FC2">
        <w:rPr>
          <w:rFonts w:cs="Arial"/>
          <w:i/>
        </w:rPr>
        <w:t xml:space="preserve"> </w:t>
      </w:r>
      <w:r w:rsidRPr="00E06FC2">
        <w:rPr>
          <w:rFonts w:cs="Arial"/>
          <w:i/>
        </w:rPr>
        <w:t>TERMINALES: DOS (2).// AUTO-EXTINGUIBLE. // UNIVERSAL: (Enciende cualquier tipo de bombilla). // EL DE 70W DE SUPERPOSICIÓN.// LOS DE 150W, 250W Y 400W EN PARALELO”</w:t>
      </w:r>
      <w:r w:rsidRPr="00E06FC2">
        <w:rPr>
          <w:rStyle w:val="Refdenotaalpie"/>
          <w:rFonts w:cs="Arial"/>
          <w:i/>
        </w:rPr>
        <w:footnoteReference w:id="80"/>
      </w:r>
      <w:r w:rsidR="00323C59" w:rsidRPr="00E06FC2">
        <w:rPr>
          <w:rFonts w:cs="Arial"/>
          <w:i/>
        </w:rPr>
        <w:t>.</w:t>
      </w:r>
    </w:p>
    <w:p w14:paraId="755AE705" w14:textId="77777777" w:rsidR="00853ACE" w:rsidRPr="00E06FC2" w:rsidRDefault="00853ACE" w:rsidP="00743788">
      <w:pPr>
        <w:pStyle w:val="Lista2"/>
        <w:ind w:left="567" w:right="567" w:firstLine="0"/>
        <w:rPr>
          <w:rFonts w:cs="Arial"/>
          <w:i/>
        </w:rPr>
      </w:pPr>
    </w:p>
    <w:p w14:paraId="3B5D93A4" w14:textId="77777777" w:rsidR="00853ACE" w:rsidRPr="00E06FC2" w:rsidRDefault="00853ACE" w:rsidP="00743788">
      <w:pPr>
        <w:pStyle w:val="Lista2"/>
        <w:ind w:left="0" w:firstLine="0"/>
        <w:rPr>
          <w:rFonts w:cs="Arial"/>
        </w:rPr>
      </w:pPr>
      <w:r w:rsidRPr="00E06FC2">
        <w:rPr>
          <w:rFonts w:cs="Arial"/>
        </w:rPr>
        <w:t xml:space="preserve">De conformidad con el acta del </w:t>
      </w:r>
      <w:r w:rsidR="007C6EEE" w:rsidRPr="00E06FC2">
        <w:rPr>
          <w:rFonts w:cs="Arial"/>
        </w:rPr>
        <w:t>c</w:t>
      </w:r>
      <w:r w:rsidRPr="00E06FC2">
        <w:rPr>
          <w:rFonts w:cs="Arial"/>
        </w:rPr>
        <w:t xml:space="preserve">omité de </w:t>
      </w:r>
      <w:r w:rsidR="007C6EEE" w:rsidRPr="00E06FC2">
        <w:rPr>
          <w:rFonts w:cs="Arial"/>
        </w:rPr>
        <w:t>e</w:t>
      </w:r>
      <w:r w:rsidRPr="00E06FC2">
        <w:rPr>
          <w:rFonts w:cs="Arial"/>
        </w:rPr>
        <w:t>valuación</w:t>
      </w:r>
      <w:r w:rsidR="00323C59" w:rsidRPr="00E06FC2">
        <w:rPr>
          <w:rFonts w:cs="Arial"/>
        </w:rPr>
        <w:t>,</w:t>
      </w:r>
      <w:r w:rsidRPr="00E06FC2">
        <w:rPr>
          <w:rFonts w:cs="Arial"/>
        </w:rPr>
        <w:t xml:space="preserve"> en la calificación del arrancador solo se asignaron 5 de los 20 puntos posibles, toda vez que de los cuatro tipos de arrancador</w:t>
      </w:r>
      <w:r w:rsidR="00323C59" w:rsidRPr="00E06FC2">
        <w:rPr>
          <w:rFonts w:cs="Arial"/>
        </w:rPr>
        <w:t>es</w:t>
      </w:r>
      <w:r w:rsidRPr="00E06FC2">
        <w:rPr>
          <w:rFonts w:cs="Arial"/>
        </w:rPr>
        <w:t xml:space="preserve"> solo uno cumplió con la </w:t>
      </w:r>
      <w:r w:rsidR="00A6659E" w:rsidRPr="00E06FC2">
        <w:rPr>
          <w:rFonts w:cs="Arial"/>
        </w:rPr>
        <w:t>homologación</w:t>
      </w:r>
      <w:r w:rsidRPr="00E06FC2">
        <w:rPr>
          <w:rFonts w:cs="Arial"/>
        </w:rPr>
        <w:t xml:space="preserve">, según se observó, así: </w:t>
      </w:r>
    </w:p>
    <w:p w14:paraId="0FF5D8EB" w14:textId="77777777" w:rsidR="00853ACE" w:rsidRPr="00E06FC2" w:rsidRDefault="00853ACE" w:rsidP="00743788">
      <w:pPr>
        <w:pStyle w:val="Lista2"/>
        <w:ind w:left="567" w:right="567" w:firstLine="0"/>
        <w:rPr>
          <w:rFonts w:cs="Arial"/>
          <w:i/>
        </w:rPr>
      </w:pPr>
    </w:p>
    <w:p w14:paraId="658F56C8" w14:textId="77777777" w:rsidR="00853ACE" w:rsidRPr="00E06FC2" w:rsidRDefault="00853ACE" w:rsidP="00743788">
      <w:pPr>
        <w:pStyle w:val="Lista2"/>
        <w:spacing w:line="276" w:lineRule="auto"/>
        <w:ind w:left="567" w:right="567" w:firstLine="0"/>
        <w:rPr>
          <w:rFonts w:cs="Arial"/>
          <w:i/>
        </w:rPr>
      </w:pPr>
      <w:r w:rsidRPr="00E06FC2">
        <w:rPr>
          <w:rFonts w:cs="Arial"/>
          <w:i/>
        </w:rPr>
        <w:t>“70W de Superposición, no aparece homologado en el listado del documento CIDET, pero se anexa con la propuesta una certificación de homologación (ver pág 000162). Por lo anterior si cumple.</w:t>
      </w:r>
      <w:r w:rsidR="005405CD" w:rsidRPr="00E06FC2">
        <w:rPr>
          <w:rFonts w:cs="Arial"/>
          <w:i/>
        </w:rPr>
        <w:t xml:space="preserve">// </w:t>
      </w:r>
      <w:r w:rsidRPr="00E06FC2">
        <w:rPr>
          <w:rFonts w:cs="Arial"/>
        </w:rPr>
        <w:t>[</w:t>
      </w:r>
      <w:r w:rsidR="005405CD" w:rsidRPr="00E06FC2">
        <w:rPr>
          <w:rFonts w:cs="Arial"/>
        </w:rPr>
        <w:t>El</w:t>
      </w:r>
      <w:r w:rsidRPr="00E06FC2">
        <w:rPr>
          <w:rFonts w:cs="Arial"/>
        </w:rPr>
        <w:t xml:space="preserve"> arrancador de]</w:t>
      </w:r>
      <w:r w:rsidRPr="00E06FC2">
        <w:rPr>
          <w:rFonts w:cs="Arial"/>
          <w:i/>
        </w:rPr>
        <w:t xml:space="preserve"> “150W, 250W y 400W, marca Erg</w:t>
      </w:r>
      <w:r w:rsidR="00926BDE" w:rsidRPr="00E06FC2">
        <w:rPr>
          <w:rFonts w:cs="Arial"/>
          <w:i/>
        </w:rPr>
        <w:t>o</w:t>
      </w:r>
      <w:r w:rsidRPr="00E06FC2">
        <w:rPr>
          <w:rFonts w:cs="Arial"/>
          <w:i/>
        </w:rPr>
        <w:t xml:space="preserve">n no aparece homologado en el Documento CIDET, </w:t>
      </w:r>
      <w:r w:rsidR="007C6EEE" w:rsidRPr="00E06FC2">
        <w:rPr>
          <w:rFonts w:cs="Arial"/>
          <w:i/>
        </w:rPr>
        <w:t>n</w:t>
      </w:r>
      <w:r w:rsidRPr="00E06FC2">
        <w:rPr>
          <w:rFonts w:cs="Arial"/>
          <w:i/>
        </w:rPr>
        <w:t>i se anexa en la propuesta”</w:t>
      </w:r>
      <w:r w:rsidRPr="00E06FC2">
        <w:rPr>
          <w:rStyle w:val="Refdenotaalpie"/>
          <w:rFonts w:cs="Arial"/>
          <w:i/>
        </w:rPr>
        <w:footnoteReference w:id="81"/>
      </w:r>
      <w:r w:rsidR="002D7D6C" w:rsidRPr="00E06FC2">
        <w:rPr>
          <w:rFonts w:cs="Arial"/>
          <w:i/>
        </w:rPr>
        <w:t>.</w:t>
      </w:r>
      <w:r w:rsidRPr="00E06FC2">
        <w:rPr>
          <w:rFonts w:cs="Arial"/>
          <w:i/>
        </w:rPr>
        <w:t xml:space="preserve"> </w:t>
      </w:r>
    </w:p>
    <w:p w14:paraId="47012553" w14:textId="77777777" w:rsidR="00853ACE" w:rsidRPr="00E06FC2" w:rsidRDefault="00853ACE" w:rsidP="00743788">
      <w:pPr>
        <w:pStyle w:val="Lista2"/>
        <w:ind w:left="567" w:right="567" w:firstLine="0"/>
        <w:rPr>
          <w:rFonts w:cs="Arial"/>
          <w:i/>
        </w:rPr>
      </w:pPr>
    </w:p>
    <w:p w14:paraId="1201C5DC" w14:textId="77777777" w:rsidR="00853ACE" w:rsidRPr="00E06FC2" w:rsidRDefault="00853ACE" w:rsidP="00743788">
      <w:pPr>
        <w:pStyle w:val="Lista2"/>
        <w:ind w:left="0" w:firstLine="0"/>
        <w:rPr>
          <w:rFonts w:cs="Arial"/>
        </w:rPr>
      </w:pPr>
      <w:r w:rsidRPr="00E06FC2">
        <w:rPr>
          <w:rFonts w:cs="Arial"/>
        </w:rPr>
        <w:t xml:space="preserve">En el </w:t>
      </w:r>
      <w:r w:rsidR="00FC3787" w:rsidRPr="00E06FC2">
        <w:rPr>
          <w:rFonts w:cs="Arial"/>
        </w:rPr>
        <w:t>d</w:t>
      </w:r>
      <w:r w:rsidRPr="00E06FC2">
        <w:rPr>
          <w:rFonts w:cs="Arial"/>
        </w:rPr>
        <w:t xml:space="preserve">ictamen se indicó que los arrancadores si cumplían, por las mismas razones que allí se observaron en el análisis de la propuesta de UT Roa Electric, de acuerdo con las cuales: </w:t>
      </w:r>
    </w:p>
    <w:p w14:paraId="69104131" w14:textId="77777777" w:rsidR="00853ACE" w:rsidRPr="00E06FC2" w:rsidRDefault="00853ACE" w:rsidP="00743788">
      <w:pPr>
        <w:pStyle w:val="Lista2"/>
        <w:spacing w:line="276" w:lineRule="auto"/>
        <w:ind w:left="0" w:firstLine="0"/>
        <w:rPr>
          <w:rFonts w:cs="Arial"/>
        </w:rPr>
      </w:pPr>
    </w:p>
    <w:p w14:paraId="2FA1DE73" w14:textId="77777777" w:rsidR="00853ACE" w:rsidRPr="00E06FC2" w:rsidRDefault="00853ACE" w:rsidP="00743788">
      <w:pPr>
        <w:pStyle w:val="Lista2"/>
        <w:spacing w:line="276" w:lineRule="auto"/>
        <w:ind w:left="567" w:right="567" w:firstLine="0"/>
        <w:rPr>
          <w:rFonts w:cs="Arial"/>
          <w:i/>
        </w:rPr>
      </w:pPr>
      <w:r w:rsidRPr="00E06FC2">
        <w:rPr>
          <w:rFonts w:cs="Arial"/>
          <w:i/>
        </w:rPr>
        <w:lastRenderedPageBreak/>
        <w:t>“En tanto se trata de un arrancador, de triple pulso para funcionar con cualquier clase de bombilla, con dos terminales de tipo paralelo. sin derivación de balasto, encapsulado en material auto extinguible, consideramos que CUMPLE. (….) y por tanto otorgamos 20 puntos Vs los 20 otorgados por el Comité Evaluador”</w:t>
      </w:r>
      <w:r w:rsidRPr="00E06FC2">
        <w:rPr>
          <w:rStyle w:val="Refdenotaalpie"/>
          <w:rFonts w:cs="Arial"/>
          <w:i/>
        </w:rPr>
        <w:footnoteReference w:id="82"/>
      </w:r>
      <w:r w:rsidRPr="00E06FC2">
        <w:rPr>
          <w:rFonts w:cs="Arial"/>
          <w:i/>
        </w:rPr>
        <w:t>.</w:t>
      </w:r>
    </w:p>
    <w:p w14:paraId="6FDFBFF6" w14:textId="77777777" w:rsidR="00853ACE" w:rsidRPr="00E06FC2" w:rsidRDefault="00853ACE" w:rsidP="00743788">
      <w:pPr>
        <w:pStyle w:val="Lista2"/>
        <w:ind w:left="0" w:firstLine="0"/>
        <w:rPr>
          <w:rFonts w:cs="Arial"/>
          <w:b/>
        </w:rPr>
      </w:pPr>
    </w:p>
    <w:p w14:paraId="75D42691" w14:textId="77777777" w:rsidR="00853ACE" w:rsidRPr="00E06FC2" w:rsidRDefault="00853ACE" w:rsidP="00743788">
      <w:pPr>
        <w:pStyle w:val="Lista2"/>
        <w:ind w:left="0" w:firstLine="0"/>
        <w:rPr>
          <w:rFonts w:cs="Arial"/>
        </w:rPr>
      </w:pPr>
      <w:r w:rsidRPr="00E06FC2">
        <w:rPr>
          <w:rFonts w:cs="Arial"/>
        </w:rPr>
        <w:t xml:space="preserve">Al margen se observa que el dictamen se equivocó en </w:t>
      </w:r>
      <w:r w:rsidR="0042093D" w:rsidRPr="00E06FC2">
        <w:rPr>
          <w:rFonts w:cs="Arial"/>
        </w:rPr>
        <w:t>la referencia a</w:t>
      </w:r>
      <w:r w:rsidRPr="00E06FC2">
        <w:rPr>
          <w:rFonts w:cs="Arial"/>
        </w:rPr>
        <w:t xml:space="preserve">l puntaje </w:t>
      </w:r>
      <w:r w:rsidR="0042093D" w:rsidRPr="00E06FC2">
        <w:rPr>
          <w:rFonts w:cs="Arial"/>
        </w:rPr>
        <w:t xml:space="preserve">del </w:t>
      </w:r>
      <w:r w:rsidRPr="00E06FC2">
        <w:rPr>
          <w:rFonts w:cs="Arial"/>
        </w:rPr>
        <w:t>Comité Evaluador</w:t>
      </w:r>
      <w:r w:rsidR="0042093D" w:rsidRPr="00E06FC2">
        <w:rPr>
          <w:rFonts w:cs="Arial"/>
        </w:rPr>
        <w:t xml:space="preserve">, toda vez que éste </w:t>
      </w:r>
      <w:r w:rsidRPr="00E06FC2">
        <w:rPr>
          <w:rFonts w:cs="Arial"/>
        </w:rPr>
        <w:t xml:space="preserve">asignó 5 puntos y no 20 puntos. </w:t>
      </w:r>
    </w:p>
    <w:p w14:paraId="66D87F96" w14:textId="77777777" w:rsidR="00853ACE" w:rsidRPr="00E06FC2" w:rsidRDefault="00853ACE" w:rsidP="00743788">
      <w:pPr>
        <w:pStyle w:val="Lista2"/>
        <w:ind w:left="0" w:firstLine="0"/>
        <w:rPr>
          <w:rFonts w:cs="Arial"/>
        </w:rPr>
      </w:pPr>
    </w:p>
    <w:p w14:paraId="1AA38186" w14:textId="77777777" w:rsidR="00853ACE" w:rsidRPr="00E06FC2" w:rsidRDefault="00853ACE" w:rsidP="00743788">
      <w:pPr>
        <w:pStyle w:val="Lista2"/>
        <w:ind w:left="0" w:firstLine="0"/>
        <w:rPr>
          <w:rFonts w:cs="Arial"/>
        </w:rPr>
      </w:pPr>
      <w:r w:rsidRPr="00E06FC2">
        <w:rPr>
          <w:rFonts w:cs="Arial"/>
        </w:rPr>
        <w:t xml:space="preserve">Por otra parte, </w:t>
      </w:r>
      <w:r w:rsidR="00A30EBF" w:rsidRPr="00E06FC2">
        <w:rPr>
          <w:rFonts w:cs="Arial"/>
        </w:rPr>
        <w:t xml:space="preserve">se observa que </w:t>
      </w:r>
      <w:r w:rsidRPr="00E06FC2">
        <w:rPr>
          <w:rFonts w:cs="Arial"/>
        </w:rPr>
        <w:t xml:space="preserve">el dictamen no realizó consideraciones acerca de la falta de certificación que había sido advertida por el </w:t>
      </w:r>
      <w:r w:rsidR="00A30EBF" w:rsidRPr="00E06FC2">
        <w:rPr>
          <w:rFonts w:cs="Arial"/>
        </w:rPr>
        <w:t>c</w:t>
      </w:r>
      <w:r w:rsidRPr="00E06FC2">
        <w:rPr>
          <w:rFonts w:cs="Arial"/>
        </w:rPr>
        <w:t xml:space="preserve">omité </w:t>
      </w:r>
      <w:r w:rsidR="00A30EBF" w:rsidRPr="00E06FC2">
        <w:rPr>
          <w:rFonts w:cs="Arial"/>
        </w:rPr>
        <w:t>e</w:t>
      </w:r>
      <w:r w:rsidRPr="00E06FC2">
        <w:rPr>
          <w:rFonts w:cs="Arial"/>
        </w:rPr>
        <w:t>valuador.</w:t>
      </w:r>
    </w:p>
    <w:p w14:paraId="0DACB7F7" w14:textId="77777777" w:rsidR="00853ACE" w:rsidRPr="00E06FC2" w:rsidRDefault="00853ACE" w:rsidP="00743788">
      <w:pPr>
        <w:pStyle w:val="Lista2"/>
        <w:ind w:left="0" w:firstLine="0"/>
        <w:rPr>
          <w:rFonts w:cs="Arial"/>
        </w:rPr>
      </w:pPr>
    </w:p>
    <w:p w14:paraId="361A40BE" w14:textId="77777777" w:rsidR="00853ACE" w:rsidRPr="00E06FC2" w:rsidRDefault="00853ACE" w:rsidP="00743788">
      <w:pPr>
        <w:pStyle w:val="Lista2"/>
        <w:ind w:left="0" w:firstLine="0"/>
        <w:rPr>
          <w:rFonts w:cs="Arial"/>
        </w:rPr>
      </w:pPr>
      <w:r w:rsidRPr="00E06FC2">
        <w:rPr>
          <w:rFonts w:cs="Arial"/>
        </w:rPr>
        <w:t>La sentencia de primera instancia indicó que el menor puntaje asignado a las bombillas y al arrancador obedeció a la falta de homologación a</w:t>
      </w:r>
      <w:r w:rsidR="00A30EBF" w:rsidRPr="00E06FC2">
        <w:rPr>
          <w:rFonts w:cs="Arial"/>
        </w:rPr>
        <w:t xml:space="preserve"> las normas de</w:t>
      </w:r>
      <w:r w:rsidRPr="00E06FC2">
        <w:rPr>
          <w:rFonts w:cs="Arial"/>
        </w:rPr>
        <w:t>l CIDET, la cual consider</w:t>
      </w:r>
      <w:r w:rsidR="0042093D" w:rsidRPr="00E06FC2">
        <w:rPr>
          <w:rFonts w:cs="Arial"/>
        </w:rPr>
        <w:t>ó</w:t>
      </w:r>
      <w:r w:rsidRPr="00E06FC2">
        <w:rPr>
          <w:rFonts w:cs="Arial"/>
        </w:rPr>
        <w:t xml:space="preserve"> exigible solo para las propuestas alternativas</w:t>
      </w:r>
      <w:r w:rsidR="00A30EBF" w:rsidRPr="00E06FC2">
        <w:rPr>
          <w:rFonts w:cs="Arial"/>
        </w:rPr>
        <w:t xml:space="preserve"> </w:t>
      </w:r>
      <w:r w:rsidRPr="00E06FC2">
        <w:rPr>
          <w:rFonts w:cs="Arial"/>
        </w:rPr>
        <w:t>y</w:t>
      </w:r>
      <w:r w:rsidR="00A30EBF" w:rsidRPr="00E06FC2">
        <w:rPr>
          <w:rFonts w:cs="Arial"/>
        </w:rPr>
        <w:t xml:space="preserve">, por otra parte, </w:t>
      </w:r>
      <w:r w:rsidRPr="00E06FC2">
        <w:rPr>
          <w:rFonts w:cs="Arial"/>
        </w:rPr>
        <w:t>afirmó que la prueba de la certificación ISO 9001 del fabricante se encontró acreditada.</w:t>
      </w:r>
    </w:p>
    <w:p w14:paraId="283293D7" w14:textId="77777777" w:rsidR="00853ACE" w:rsidRPr="00E06FC2" w:rsidRDefault="00853ACE" w:rsidP="00743788">
      <w:pPr>
        <w:pStyle w:val="Lista2"/>
        <w:ind w:left="0" w:firstLine="0"/>
        <w:rPr>
          <w:rFonts w:cs="Arial"/>
        </w:rPr>
      </w:pPr>
    </w:p>
    <w:p w14:paraId="375E5847" w14:textId="77777777" w:rsidR="005405CD" w:rsidRPr="00E06FC2" w:rsidRDefault="005405CD" w:rsidP="00743788">
      <w:pPr>
        <w:pStyle w:val="Lista2"/>
        <w:ind w:left="0" w:firstLine="0"/>
        <w:rPr>
          <w:rFonts w:cs="Arial"/>
        </w:rPr>
      </w:pPr>
      <w:r w:rsidRPr="00E06FC2">
        <w:rPr>
          <w:rFonts w:cs="Arial"/>
        </w:rPr>
        <w:t xml:space="preserve">No es correcta la </w:t>
      </w:r>
      <w:r w:rsidR="0042093D" w:rsidRPr="00E06FC2">
        <w:rPr>
          <w:rFonts w:cs="Arial"/>
        </w:rPr>
        <w:t xml:space="preserve">anterior </w:t>
      </w:r>
      <w:r w:rsidRPr="00E06FC2">
        <w:rPr>
          <w:rFonts w:cs="Arial"/>
        </w:rPr>
        <w:t xml:space="preserve">apreciación, puesto que </w:t>
      </w:r>
      <w:r w:rsidR="00376BD3" w:rsidRPr="00E06FC2">
        <w:rPr>
          <w:rFonts w:cs="Arial"/>
        </w:rPr>
        <w:t xml:space="preserve">el comité evaluador </w:t>
      </w:r>
      <w:r w:rsidRPr="00E06FC2">
        <w:rPr>
          <w:rFonts w:cs="Arial"/>
        </w:rPr>
        <w:t>aceptó la comunicación de la Empresa de Energ</w:t>
      </w:r>
      <w:r w:rsidR="00880011" w:rsidRPr="00E06FC2">
        <w:rPr>
          <w:rFonts w:cs="Arial"/>
        </w:rPr>
        <w:t>í</w:t>
      </w:r>
      <w:r w:rsidRPr="00E06FC2">
        <w:rPr>
          <w:rFonts w:cs="Arial"/>
        </w:rPr>
        <w:t>a de Bogotá, que era una de las entidades acreditadas para la homologación bajo las normas del CIDET</w:t>
      </w:r>
      <w:r w:rsidR="00376BD3" w:rsidRPr="00E06FC2">
        <w:rPr>
          <w:rFonts w:cs="Arial"/>
        </w:rPr>
        <w:t xml:space="preserve">. Lo que observó ese comité consistió en que la comunicación solo tenía alcance </w:t>
      </w:r>
      <w:r w:rsidRPr="00E06FC2">
        <w:rPr>
          <w:rFonts w:cs="Arial"/>
        </w:rPr>
        <w:t xml:space="preserve">con respecto al tipo de arrancador referido en la misma, según se observa en el </w:t>
      </w:r>
      <w:r w:rsidR="00376BD3" w:rsidRPr="00E06FC2">
        <w:rPr>
          <w:rFonts w:cs="Arial"/>
        </w:rPr>
        <w:t xml:space="preserve">respectivo </w:t>
      </w:r>
      <w:r w:rsidRPr="00E06FC2">
        <w:rPr>
          <w:rFonts w:cs="Arial"/>
        </w:rPr>
        <w:t>documento</w:t>
      </w:r>
      <w:r w:rsidR="00880011" w:rsidRPr="00E06FC2">
        <w:rPr>
          <w:rFonts w:cs="Arial"/>
        </w:rPr>
        <w:t>:</w:t>
      </w:r>
      <w:r w:rsidRPr="00E06FC2">
        <w:rPr>
          <w:rFonts w:cs="Arial"/>
        </w:rPr>
        <w:t xml:space="preserve"> </w:t>
      </w:r>
    </w:p>
    <w:p w14:paraId="396D65F9" w14:textId="77777777" w:rsidR="005405CD" w:rsidRPr="00E06FC2" w:rsidRDefault="005405CD" w:rsidP="00743788">
      <w:pPr>
        <w:pStyle w:val="Lista2"/>
        <w:ind w:left="0" w:firstLine="0"/>
        <w:rPr>
          <w:rFonts w:cs="Arial"/>
        </w:rPr>
      </w:pPr>
    </w:p>
    <w:p w14:paraId="34EDD48E" w14:textId="77777777" w:rsidR="00853ACE" w:rsidRPr="00E06FC2" w:rsidRDefault="00853ACE" w:rsidP="00743788">
      <w:pPr>
        <w:pStyle w:val="Lista2"/>
        <w:ind w:left="0" w:firstLine="0"/>
        <w:rPr>
          <w:rFonts w:cs="Arial"/>
        </w:rPr>
      </w:pPr>
      <w:r w:rsidRPr="00E06FC2">
        <w:rPr>
          <w:rFonts w:cs="Arial"/>
        </w:rPr>
        <w:t>La comunicación 682310 de 28 de enero de 1997</w:t>
      </w:r>
      <w:r w:rsidR="00000528" w:rsidRPr="00E06FC2">
        <w:rPr>
          <w:rFonts w:cs="Arial"/>
        </w:rPr>
        <w:t>,</w:t>
      </w:r>
      <w:r w:rsidRPr="00E06FC2">
        <w:rPr>
          <w:rFonts w:cs="Arial"/>
        </w:rPr>
        <w:t xml:space="preserve"> suscrita por el gerente de distribución de la Empresa Energía de Bogotá, dirigida a Industrias Ergon S.A. en la cual otorgó autorización para los terminales tipo superposición para </w:t>
      </w:r>
      <w:r w:rsidRPr="00E06FC2">
        <w:rPr>
          <w:rFonts w:cs="Arial"/>
          <w:i/>
        </w:rPr>
        <w:t>“arrancadores de dos terminales tipo paralelo y de tres terminales tipo superposición para bombillas de Na HID de 70W”</w:t>
      </w:r>
      <w:r w:rsidRPr="00E06FC2">
        <w:rPr>
          <w:rFonts w:cs="Arial"/>
        </w:rPr>
        <w:t>. En esta comunicación la referida empresa manifestó que los componentes se ajustaban a los requisitos técnicos exigidos en las normas IEC 662 y 927 y la NTC 3200</w:t>
      </w:r>
      <w:r w:rsidRPr="00E06FC2">
        <w:rPr>
          <w:rStyle w:val="Refdenotaalpie"/>
          <w:rFonts w:cs="Arial"/>
        </w:rPr>
        <w:footnoteReference w:id="83"/>
      </w:r>
      <w:r w:rsidR="00A41881" w:rsidRPr="00E06FC2">
        <w:rPr>
          <w:rFonts w:cs="Arial"/>
        </w:rPr>
        <w:t>.</w:t>
      </w:r>
      <w:r w:rsidRPr="00E06FC2">
        <w:rPr>
          <w:rFonts w:cs="Arial"/>
        </w:rPr>
        <w:t xml:space="preserve"> </w:t>
      </w:r>
    </w:p>
    <w:p w14:paraId="23000FEC" w14:textId="77777777" w:rsidR="00853ACE" w:rsidRPr="00E06FC2" w:rsidRDefault="00853ACE" w:rsidP="00743788">
      <w:pPr>
        <w:pStyle w:val="Lista2"/>
        <w:ind w:left="0" w:firstLine="0"/>
        <w:rPr>
          <w:rFonts w:cs="Arial"/>
        </w:rPr>
      </w:pPr>
    </w:p>
    <w:p w14:paraId="546F9D63" w14:textId="77777777" w:rsidR="00853ACE" w:rsidRPr="00E06FC2" w:rsidRDefault="00853ACE" w:rsidP="00743788">
      <w:pPr>
        <w:pStyle w:val="Lista2"/>
        <w:ind w:left="0" w:firstLine="0"/>
        <w:rPr>
          <w:rFonts w:cs="Arial"/>
        </w:rPr>
      </w:pPr>
      <w:r w:rsidRPr="00E06FC2">
        <w:rPr>
          <w:rFonts w:cs="Arial"/>
        </w:rPr>
        <w:t xml:space="preserve">Tal como observó el </w:t>
      </w:r>
      <w:r w:rsidR="00A30EBF" w:rsidRPr="00E06FC2">
        <w:rPr>
          <w:rFonts w:cs="Arial"/>
        </w:rPr>
        <w:t>c</w:t>
      </w:r>
      <w:r w:rsidRPr="00E06FC2">
        <w:rPr>
          <w:rFonts w:cs="Arial"/>
        </w:rPr>
        <w:t xml:space="preserve">omité de </w:t>
      </w:r>
      <w:r w:rsidR="00A30EBF" w:rsidRPr="00E06FC2">
        <w:rPr>
          <w:rFonts w:cs="Arial"/>
        </w:rPr>
        <w:t>e</w:t>
      </w:r>
      <w:r w:rsidRPr="00E06FC2">
        <w:rPr>
          <w:rFonts w:cs="Arial"/>
        </w:rPr>
        <w:t xml:space="preserve">valuación, esa certificación no cobijó los arrancadores para bombillas de 150W, 250W y 400W, respecto de los cuales en la propuesta de la UT General Electric – Electro Atlántico aparece solamente una ficha </w:t>
      </w:r>
      <w:r w:rsidRPr="00E06FC2">
        <w:rPr>
          <w:rFonts w:cs="Arial"/>
        </w:rPr>
        <w:lastRenderedPageBreak/>
        <w:t>técnica de especificaciones, suscrita por Industria Eléctrica Ergon S.A., la cual no cumpl</w:t>
      </w:r>
      <w:r w:rsidR="00A30EBF" w:rsidRPr="00E06FC2">
        <w:rPr>
          <w:rFonts w:cs="Arial"/>
        </w:rPr>
        <w:t>ió</w:t>
      </w:r>
      <w:r w:rsidRPr="00E06FC2">
        <w:rPr>
          <w:rFonts w:cs="Arial"/>
        </w:rPr>
        <w:t xml:space="preserve"> con el requisito de constituir una certificación de calidad.</w:t>
      </w:r>
    </w:p>
    <w:p w14:paraId="58F5B1D6" w14:textId="77777777" w:rsidR="00853ACE" w:rsidRPr="00E06FC2" w:rsidRDefault="00853ACE" w:rsidP="00743788">
      <w:pPr>
        <w:pStyle w:val="Lista2"/>
        <w:ind w:left="0" w:firstLine="0"/>
        <w:rPr>
          <w:rFonts w:cs="Arial"/>
        </w:rPr>
      </w:pPr>
    </w:p>
    <w:p w14:paraId="64B43488" w14:textId="77777777" w:rsidR="00853ACE" w:rsidRPr="00E06FC2" w:rsidRDefault="00853ACE" w:rsidP="00743788">
      <w:pPr>
        <w:pStyle w:val="Lista2"/>
        <w:ind w:left="0" w:firstLine="0"/>
        <w:rPr>
          <w:rFonts w:cs="Arial"/>
        </w:rPr>
      </w:pPr>
      <w:r w:rsidRPr="00E06FC2">
        <w:rPr>
          <w:rFonts w:cs="Arial"/>
        </w:rPr>
        <w:t>Tampoco cumplió la proponente –ahora demandante- con aportar una certificación de calidad ISO 9001 correspondiente al fabricante, es decir en relación con Industria Eléctrica Ergon S.A.</w:t>
      </w:r>
    </w:p>
    <w:p w14:paraId="705044C8" w14:textId="77777777" w:rsidR="00853ACE" w:rsidRPr="00E06FC2" w:rsidRDefault="00853ACE" w:rsidP="00743788">
      <w:pPr>
        <w:pStyle w:val="Lista2"/>
        <w:ind w:left="0" w:firstLine="0"/>
        <w:rPr>
          <w:rFonts w:cs="Arial"/>
        </w:rPr>
      </w:pPr>
    </w:p>
    <w:p w14:paraId="526BA4C4" w14:textId="77777777" w:rsidR="00853ACE" w:rsidRPr="00E06FC2" w:rsidRDefault="00853ACE" w:rsidP="00743788">
      <w:pPr>
        <w:pStyle w:val="Lista2"/>
        <w:ind w:left="0" w:firstLine="0"/>
        <w:rPr>
          <w:rFonts w:cs="Arial"/>
        </w:rPr>
      </w:pPr>
      <w:r w:rsidRPr="00E06FC2">
        <w:rPr>
          <w:rFonts w:cs="Arial"/>
        </w:rPr>
        <w:t>Por tanto, no se ac</w:t>
      </w:r>
      <w:r w:rsidR="00A30EBF" w:rsidRPr="00E06FC2">
        <w:rPr>
          <w:rFonts w:cs="Arial"/>
        </w:rPr>
        <w:t xml:space="preserve">ompaña </w:t>
      </w:r>
      <w:r w:rsidRPr="00E06FC2">
        <w:rPr>
          <w:rFonts w:cs="Arial"/>
        </w:rPr>
        <w:t>la apreciación de la sentencia de primera instancia, ni la del dictamen</w:t>
      </w:r>
      <w:r w:rsidR="00A30EBF" w:rsidRPr="00E06FC2">
        <w:rPr>
          <w:rFonts w:cs="Arial"/>
        </w:rPr>
        <w:t xml:space="preserve"> pericial</w:t>
      </w:r>
      <w:r w:rsidRPr="00E06FC2">
        <w:rPr>
          <w:rFonts w:cs="Arial"/>
        </w:rPr>
        <w:t>, toda vez que el puntaje asignado a los arrancadores no ha debido ser de 20 puntos como pretendió la demandante.</w:t>
      </w:r>
    </w:p>
    <w:p w14:paraId="069CD3A4" w14:textId="77777777" w:rsidR="00853ACE" w:rsidRPr="00E06FC2" w:rsidRDefault="00853ACE" w:rsidP="00743788">
      <w:pPr>
        <w:pStyle w:val="Lista2"/>
        <w:ind w:left="0" w:firstLine="0"/>
        <w:rPr>
          <w:rFonts w:cs="Arial"/>
        </w:rPr>
      </w:pPr>
      <w:r w:rsidRPr="00E06FC2">
        <w:rPr>
          <w:rFonts w:cs="Arial"/>
        </w:rPr>
        <w:t xml:space="preserve"> </w:t>
      </w:r>
    </w:p>
    <w:p w14:paraId="496FE549" w14:textId="77777777" w:rsidR="00853ACE" w:rsidRPr="00E06FC2" w:rsidRDefault="00853ACE" w:rsidP="00743788">
      <w:pPr>
        <w:pStyle w:val="Lista2"/>
        <w:ind w:left="0" w:firstLine="0"/>
        <w:rPr>
          <w:rFonts w:cs="Arial"/>
        </w:rPr>
      </w:pPr>
      <w:r w:rsidRPr="00E06FC2">
        <w:rPr>
          <w:rFonts w:cs="Arial"/>
        </w:rPr>
        <w:t xml:space="preserve">Se reafirma que solo </w:t>
      </w:r>
      <w:r w:rsidR="00000528" w:rsidRPr="00E06FC2">
        <w:rPr>
          <w:rFonts w:cs="Arial"/>
        </w:rPr>
        <w:t xml:space="preserve">en relación con </w:t>
      </w:r>
      <w:r w:rsidRPr="00E06FC2">
        <w:rPr>
          <w:rFonts w:cs="Arial"/>
        </w:rPr>
        <w:t xml:space="preserve">uno de los tipos de arrancador </w:t>
      </w:r>
      <w:r w:rsidR="009D48A1" w:rsidRPr="00E06FC2">
        <w:rPr>
          <w:rFonts w:cs="Arial"/>
        </w:rPr>
        <w:t xml:space="preserve">se </w:t>
      </w:r>
      <w:r w:rsidRPr="00E06FC2">
        <w:rPr>
          <w:rFonts w:cs="Arial"/>
        </w:rPr>
        <w:t xml:space="preserve">cumplió con la certificación en </w:t>
      </w:r>
      <w:r w:rsidR="00880011" w:rsidRPr="00E06FC2">
        <w:rPr>
          <w:rFonts w:cs="Arial"/>
        </w:rPr>
        <w:t xml:space="preserve">debida </w:t>
      </w:r>
      <w:r w:rsidRPr="00E06FC2">
        <w:rPr>
          <w:rFonts w:cs="Arial"/>
        </w:rPr>
        <w:t xml:space="preserve">forma, bajo una de las modalidades permitidas en el pliego de condiciones y </w:t>
      </w:r>
      <w:r w:rsidR="004D0E12" w:rsidRPr="00E06FC2">
        <w:rPr>
          <w:rFonts w:cs="Arial"/>
        </w:rPr>
        <w:t xml:space="preserve">en </w:t>
      </w:r>
      <w:r w:rsidRPr="00E06FC2">
        <w:rPr>
          <w:rFonts w:cs="Arial"/>
        </w:rPr>
        <w:t xml:space="preserve">su </w:t>
      </w:r>
      <w:r w:rsidR="004D0E12" w:rsidRPr="00E06FC2">
        <w:rPr>
          <w:rFonts w:cs="Arial"/>
        </w:rPr>
        <w:t>a</w:t>
      </w:r>
      <w:r w:rsidRPr="00E06FC2">
        <w:rPr>
          <w:rFonts w:cs="Arial"/>
        </w:rPr>
        <w:t xml:space="preserve">dendo 3, y por ello, </w:t>
      </w:r>
      <w:r w:rsidR="009D48A1" w:rsidRPr="00E06FC2">
        <w:rPr>
          <w:rFonts w:cs="Arial"/>
        </w:rPr>
        <w:t xml:space="preserve">se concluye que en este proceso </w:t>
      </w:r>
      <w:r w:rsidR="004D0E12" w:rsidRPr="00E06FC2">
        <w:rPr>
          <w:rFonts w:cs="Arial"/>
        </w:rPr>
        <w:t xml:space="preserve">no fue desvirtuada </w:t>
      </w:r>
      <w:r w:rsidRPr="00E06FC2">
        <w:rPr>
          <w:rFonts w:cs="Arial"/>
        </w:rPr>
        <w:t xml:space="preserve">la calificación del </w:t>
      </w:r>
      <w:r w:rsidR="00000528" w:rsidRPr="00E06FC2">
        <w:rPr>
          <w:rFonts w:cs="Arial"/>
        </w:rPr>
        <w:t>c</w:t>
      </w:r>
      <w:r w:rsidRPr="00E06FC2">
        <w:rPr>
          <w:rFonts w:cs="Arial"/>
        </w:rPr>
        <w:t xml:space="preserve">omité de </w:t>
      </w:r>
      <w:r w:rsidR="00000528" w:rsidRPr="00E06FC2">
        <w:rPr>
          <w:rFonts w:cs="Arial"/>
        </w:rPr>
        <w:t>e</w:t>
      </w:r>
      <w:r w:rsidRPr="00E06FC2">
        <w:rPr>
          <w:rFonts w:cs="Arial"/>
        </w:rPr>
        <w:t>valuación.</w:t>
      </w:r>
    </w:p>
    <w:p w14:paraId="64BC0FE3" w14:textId="77777777" w:rsidR="00853ACE" w:rsidRPr="00E06FC2" w:rsidRDefault="00853ACE" w:rsidP="00743788">
      <w:pPr>
        <w:pStyle w:val="Lista2"/>
        <w:ind w:left="0" w:firstLine="0"/>
        <w:rPr>
          <w:rFonts w:cs="Arial"/>
        </w:rPr>
      </w:pPr>
    </w:p>
    <w:p w14:paraId="1DBA66A9" w14:textId="77777777" w:rsidR="00853ACE" w:rsidRPr="00E06FC2" w:rsidRDefault="00853ACE" w:rsidP="00743788">
      <w:pPr>
        <w:pStyle w:val="Lista2"/>
        <w:ind w:left="0" w:firstLine="0"/>
        <w:rPr>
          <w:rFonts w:cs="Arial"/>
        </w:rPr>
      </w:pPr>
      <w:r w:rsidRPr="00E06FC2">
        <w:rPr>
          <w:rFonts w:cs="Arial"/>
        </w:rPr>
        <w:t xml:space="preserve">Se reitera aquí que las </w:t>
      </w:r>
      <w:r w:rsidR="004D0E12" w:rsidRPr="00E06FC2">
        <w:rPr>
          <w:rFonts w:cs="Arial"/>
        </w:rPr>
        <w:t xml:space="preserve">consideraciones </w:t>
      </w:r>
      <w:r w:rsidRPr="00E06FC2">
        <w:rPr>
          <w:rFonts w:cs="Arial"/>
        </w:rPr>
        <w:t xml:space="preserve">de la sentencia </w:t>
      </w:r>
      <w:r w:rsidR="00FC3787" w:rsidRPr="00E06FC2">
        <w:rPr>
          <w:rFonts w:cs="Arial"/>
        </w:rPr>
        <w:t xml:space="preserve">de primera instancia </w:t>
      </w:r>
      <w:r w:rsidRPr="00E06FC2">
        <w:rPr>
          <w:rFonts w:cs="Arial"/>
        </w:rPr>
        <w:t xml:space="preserve">se apartan del contenido </w:t>
      </w:r>
      <w:r w:rsidR="009D48A1" w:rsidRPr="00E06FC2">
        <w:rPr>
          <w:rFonts w:cs="Arial"/>
        </w:rPr>
        <w:t xml:space="preserve">y alcance </w:t>
      </w:r>
      <w:r w:rsidR="004D0E12" w:rsidRPr="00E06FC2">
        <w:rPr>
          <w:rFonts w:cs="Arial"/>
        </w:rPr>
        <w:t xml:space="preserve">que ahora se aprecia </w:t>
      </w:r>
      <w:r w:rsidR="009D48A1" w:rsidRPr="00E06FC2">
        <w:rPr>
          <w:rFonts w:cs="Arial"/>
        </w:rPr>
        <w:t xml:space="preserve">en </w:t>
      </w:r>
      <w:r w:rsidRPr="00E06FC2">
        <w:rPr>
          <w:rFonts w:cs="Arial"/>
        </w:rPr>
        <w:t>las certificaciones allegadas con la propuesta.</w:t>
      </w:r>
    </w:p>
    <w:p w14:paraId="13012A27" w14:textId="77777777" w:rsidR="00853ACE" w:rsidRPr="00E06FC2" w:rsidRDefault="00853ACE" w:rsidP="00743788">
      <w:pPr>
        <w:pStyle w:val="Lista2"/>
        <w:ind w:left="0" w:firstLine="0"/>
        <w:rPr>
          <w:rFonts w:cs="Arial"/>
          <w:b/>
        </w:rPr>
      </w:pPr>
    </w:p>
    <w:p w14:paraId="2EBADBF5" w14:textId="77777777" w:rsidR="00853ACE" w:rsidRPr="00E06FC2" w:rsidRDefault="0053565B" w:rsidP="00743788">
      <w:pPr>
        <w:pStyle w:val="Lista2"/>
        <w:ind w:left="0" w:firstLine="0"/>
        <w:rPr>
          <w:rFonts w:cs="Arial"/>
          <w:b/>
        </w:rPr>
      </w:pPr>
      <w:r w:rsidRPr="00E06FC2">
        <w:rPr>
          <w:rFonts w:cs="Arial"/>
          <w:b/>
        </w:rPr>
        <w:t xml:space="preserve">5.3.3. </w:t>
      </w:r>
      <w:r w:rsidR="00853ACE" w:rsidRPr="00E06FC2">
        <w:rPr>
          <w:rFonts w:cs="Arial"/>
          <w:b/>
        </w:rPr>
        <w:t xml:space="preserve">Otros </w:t>
      </w:r>
      <w:r w:rsidR="0058592A" w:rsidRPr="00E06FC2">
        <w:rPr>
          <w:rFonts w:cs="Arial"/>
          <w:b/>
        </w:rPr>
        <w:t xml:space="preserve">componentes de la </w:t>
      </w:r>
      <w:r w:rsidR="00853ACE" w:rsidRPr="00E06FC2">
        <w:rPr>
          <w:rFonts w:cs="Arial"/>
          <w:b/>
        </w:rPr>
        <w:t>calificación</w:t>
      </w:r>
    </w:p>
    <w:p w14:paraId="51950BE9" w14:textId="77777777" w:rsidR="00853ACE" w:rsidRPr="00E06FC2" w:rsidRDefault="00853ACE" w:rsidP="00743788">
      <w:pPr>
        <w:pStyle w:val="Lista2"/>
        <w:ind w:left="0" w:firstLine="0"/>
        <w:rPr>
          <w:rFonts w:cs="Arial"/>
        </w:rPr>
      </w:pPr>
    </w:p>
    <w:p w14:paraId="5DF6D58A" w14:textId="77777777" w:rsidR="00853ACE" w:rsidRPr="00E06FC2" w:rsidRDefault="00853ACE" w:rsidP="00743788">
      <w:pPr>
        <w:pStyle w:val="Lista2"/>
        <w:ind w:left="0" w:firstLine="0"/>
        <w:rPr>
          <w:rFonts w:cs="Arial"/>
        </w:rPr>
      </w:pPr>
      <w:r w:rsidRPr="00E06FC2">
        <w:rPr>
          <w:rFonts w:cs="Arial"/>
        </w:rPr>
        <w:t xml:space="preserve">Teniendo en cuenta que las demás calificaciones otorgadas </w:t>
      </w:r>
      <w:r w:rsidR="0053565B" w:rsidRPr="00E06FC2">
        <w:rPr>
          <w:rFonts w:cs="Arial"/>
        </w:rPr>
        <w:t xml:space="preserve">por el </w:t>
      </w:r>
      <w:r w:rsidR="009D48A1" w:rsidRPr="00E06FC2">
        <w:rPr>
          <w:rFonts w:cs="Arial"/>
        </w:rPr>
        <w:t>c</w:t>
      </w:r>
      <w:r w:rsidR="0053565B" w:rsidRPr="00E06FC2">
        <w:rPr>
          <w:rFonts w:cs="Arial"/>
        </w:rPr>
        <w:t xml:space="preserve">omité de </w:t>
      </w:r>
      <w:r w:rsidR="009D48A1" w:rsidRPr="00E06FC2">
        <w:rPr>
          <w:rFonts w:cs="Arial"/>
        </w:rPr>
        <w:t>e</w:t>
      </w:r>
      <w:r w:rsidR="0053565B" w:rsidRPr="00E06FC2">
        <w:rPr>
          <w:rFonts w:cs="Arial"/>
        </w:rPr>
        <w:t>v</w:t>
      </w:r>
      <w:r w:rsidRPr="00E06FC2">
        <w:rPr>
          <w:rFonts w:cs="Arial"/>
        </w:rPr>
        <w:t>a</w:t>
      </w:r>
      <w:r w:rsidR="0053565B" w:rsidRPr="00E06FC2">
        <w:rPr>
          <w:rFonts w:cs="Arial"/>
        </w:rPr>
        <w:t xml:space="preserve">luación a </w:t>
      </w:r>
      <w:r w:rsidRPr="00E06FC2">
        <w:rPr>
          <w:rFonts w:cs="Arial"/>
        </w:rPr>
        <w:t>la prop</w:t>
      </w:r>
      <w:r w:rsidR="0053565B" w:rsidRPr="00E06FC2">
        <w:rPr>
          <w:rFonts w:cs="Arial"/>
        </w:rPr>
        <w:t>uesta de UT General Electric – Electro Atlántico</w:t>
      </w:r>
      <w:r w:rsidR="009D48A1" w:rsidRPr="00E06FC2">
        <w:rPr>
          <w:rFonts w:cs="Arial"/>
        </w:rPr>
        <w:t>,</w:t>
      </w:r>
      <w:r w:rsidRPr="00E06FC2">
        <w:rPr>
          <w:rFonts w:cs="Arial"/>
        </w:rPr>
        <w:t xml:space="preserve"> en el ítem de calidad de bienes, alcanzaron el máximo puntaje</w:t>
      </w:r>
      <w:r w:rsidR="0053565B" w:rsidRPr="00E06FC2">
        <w:rPr>
          <w:rFonts w:cs="Arial"/>
        </w:rPr>
        <w:t xml:space="preserve"> posible</w:t>
      </w:r>
      <w:r w:rsidRPr="00E06FC2">
        <w:rPr>
          <w:rFonts w:cs="Arial"/>
        </w:rPr>
        <w:t xml:space="preserve">, </w:t>
      </w:r>
      <w:r w:rsidR="0053565B" w:rsidRPr="00E06FC2">
        <w:rPr>
          <w:rFonts w:cs="Arial"/>
        </w:rPr>
        <w:t xml:space="preserve">se entiende que no fueron materia de ataque en la demanda y </w:t>
      </w:r>
      <w:r w:rsidRPr="00E06FC2">
        <w:rPr>
          <w:rFonts w:cs="Arial"/>
        </w:rPr>
        <w:t>no procede revisar su asignación.</w:t>
      </w:r>
    </w:p>
    <w:p w14:paraId="616AFE8D" w14:textId="77777777" w:rsidR="00853ACE" w:rsidRPr="00E06FC2" w:rsidRDefault="00853ACE" w:rsidP="00743788">
      <w:pPr>
        <w:pStyle w:val="Lista2"/>
        <w:ind w:left="0" w:firstLine="0"/>
        <w:rPr>
          <w:rFonts w:cs="Arial"/>
        </w:rPr>
      </w:pPr>
    </w:p>
    <w:p w14:paraId="60B444E2" w14:textId="77777777" w:rsidR="00023D97" w:rsidRPr="00E06FC2" w:rsidRDefault="00023D97" w:rsidP="00743788">
      <w:pPr>
        <w:pStyle w:val="Lista2"/>
        <w:ind w:left="0" w:firstLine="0"/>
        <w:rPr>
          <w:rFonts w:cs="Arial"/>
        </w:rPr>
      </w:pPr>
      <w:r w:rsidRPr="00E06FC2">
        <w:rPr>
          <w:rFonts w:cs="Arial"/>
        </w:rPr>
        <w:t>Como consecuencia</w:t>
      </w:r>
      <w:r w:rsidR="0053565B" w:rsidRPr="00E06FC2">
        <w:rPr>
          <w:rFonts w:cs="Arial"/>
        </w:rPr>
        <w:t xml:space="preserve"> de lo expuesto</w:t>
      </w:r>
      <w:r w:rsidRPr="00E06FC2">
        <w:rPr>
          <w:rFonts w:cs="Arial"/>
        </w:rPr>
        <w:t xml:space="preserve">, </w:t>
      </w:r>
      <w:r w:rsidR="0053565B" w:rsidRPr="00E06FC2">
        <w:rPr>
          <w:rFonts w:cs="Arial"/>
        </w:rPr>
        <w:t xml:space="preserve">se </w:t>
      </w:r>
      <w:r w:rsidR="009D48A1" w:rsidRPr="00E06FC2">
        <w:rPr>
          <w:rFonts w:cs="Arial"/>
        </w:rPr>
        <w:t xml:space="preserve">concluye que </w:t>
      </w:r>
      <w:r w:rsidRPr="00E06FC2">
        <w:rPr>
          <w:rFonts w:cs="Arial"/>
        </w:rPr>
        <w:t>la demandante no logró demostrar que sus acreditaciones de calidad para los componentes que proponía emplear en el cumplimiento del contrato de concesión, reunían los requisitos para acceder a los 600 puntos</w:t>
      </w:r>
      <w:r w:rsidR="0053565B" w:rsidRPr="00E06FC2">
        <w:rPr>
          <w:rFonts w:cs="Arial"/>
        </w:rPr>
        <w:t xml:space="preserve">, máximo puntaje del factor </w:t>
      </w:r>
      <w:r w:rsidRPr="00E06FC2">
        <w:rPr>
          <w:rFonts w:cs="Arial"/>
        </w:rPr>
        <w:t>técnico</w:t>
      </w:r>
      <w:r w:rsidR="0053565B" w:rsidRPr="00E06FC2">
        <w:rPr>
          <w:rFonts w:cs="Arial"/>
        </w:rPr>
        <w:t xml:space="preserve"> por calidad de bienes</w:t>
      </w:r>
      <w:r w:rsidRPr="00E06FC2">
        <w:rPr>
          <w:rFonts w:cs="Arial"/>
        </w:rPr>
        <w:t xml:space="preserve">. </w:t>
      </w:r>
    </w:p>
    <w:p w14:paraId="7EC36DE3" w14:textId="77777777" w:rsidR="00023D97" w:rsidRPr="00E06FC2" w:rsidRDefault="00023D97" w:rsidP="00743788">
      <w:pPr>
        <w:pStyle w:val="Lista2"/>
        <w:ind w:left="0" w:firstLine="0"/>
        <w:rPr>
          <w:rFonts w:cs="Arial"/>
        </w:rPr>
      </w:pPr>
    </w:p>
    <w:p w14:paraId="2A5B8ADD" w14:textId="77777777" w:rsidR="00023D97" w:rsidRPr="00E06FC2" w:rsidRDefault="00023D97" w:rsidP="00743788">
      <w:pPr>
        <w:pStyle w:val="Lista2"/>
        <w:ind w:left="0" w:firstLine="0"/>
        <w:rPr>
          <w:rFonts w:cs="Arial"/>
        </w:rPr>
      </w:pPr>
      <w:r w:rsidRPr="00E06FC2">
        <w:rPr>
          <w:rFonts w:cs="Arial"/>
        </w:rPr>
        <w:t>En conclusión, el puntaje total de 535 puntos sobre 600 en el factor de calidad de bienes</w:t>
      </w:r>
      <w:r w:rsidR="0036692A" w:rsidRPr="00E06FC2">
        <w:rPr>
          <w:rFonts w:cs="Arial"/>
        </w:rPr>
        <w:t xml:space="preserve">, otorgado </w:t>
      </w:r>
      <w:r w:rsidR="00635934" w:rsidRPr="00E06FC2">
        <w:rPr>
          <w:rFonts w:cs="Arial"/>
        </w:rPr>
        <w:t xml:space="preserve">a la propuesta de la ahora demandante </w:t>
      </w:r>
      <w:r w:rsidR="0036692A" w:rsidRPr="00E06FC2">
        <w:rPr>
          <w:rFonts w:cs="Arial"/>
        </w:rPr>
        <w:t xml:space="preserve">por el </w:t>
      </w:r>
      <w:r w:rsidR="008E5E65" w:rsidRPr="00E06FC2">
        <w:rPr>
          <w:rFonts w:cs="Arial"/>
        </w:rPr>
        <w:t>c</w:t>
      </w:r>
      <w:r w:rsidR="0036692A" w:rsidRPr="00E06FC2">
        <w:rPr>
          <w:rFonts w:cs="Arial"/>
        </w:rPr>
        <w:t xml:space="preserve">omité de </w:t>
      </w:r>
      <w:r w:rsidR="008E5E65" w:rsidRPr="00E06FC2">
        <w:rPr>
          <w:rFonts w:cs="Arial"/>
        </w:rPr>
        <w:t>e</w:t>
      </w:r>
      <w:r w:rsidR="0036692A" w:rsidRPr="00E06FC2">
        <w:rPr>
          <w:rFonts w:cs="Arial"/>
        </w:rPr>
        <w:t xml:space="preserve">valuación en la Licitación </w:t>
      </w:r>
      <w:r w:rsidR="00635934" w:rsidRPr="00E06FC2">
        <w:rPr>
          <w:rFonts w:cs="Arial"/>
        </w:rPr>
        <w:t xml:space="preserve">Pública </w:t>
      </w:r>
      <w:r w:rsidR="0036692A" w:rsidRPr="00E06FC2">
        <w:rPr>
          <w:rFonts w:cs="Arial"/>
        </w:rPr>
        <w:t xml:space="preserve">001 de 1997, </w:t>
      </w:r>
      <w:r w:rsidRPr="00E06FC2">
        <w:rPr>
          <w:rFonts w:cs="Arial"/>
        </w:rPr>
        <w:t>no logró ser infirmado</w:t>
      </w:r>
      <w:r w:rsidR="0036692A" w:rsidRPr="00E06FC2">
        <w:rPr>
          <w:rFonts w:cs="Arial"/>
        </w:rPr>
        <w:t xml:space="preserve"> en el presente proceso</w:t>
      </w:r>
      <w:r w:rsidRPr="00E06FC2">
        <w:rPr>
          <w:rFonts w:cs="Arial"/>
        </w:rPr>
        <w:t>.</w:t>
      </w:r>
    </w:p>
    <w:p w14:paraId="14EAFB42" w14:textId="77777777" w:rsidR="00023D97" w:rsidRPr="00E06FC2" w:rsidRDefault="00023D97" w:rsidP="00743788">
      <w:pPr>
        <w:pStyle w:val="Lista2"/>
        <w:ind w:left="0" w:firstLine="0"/>
        <w:rPr>
          <w:rFonts w:cs="Arial"/>
        </w:rPr>
      </w:pPr>
    </w:p>
    <w:p w14:paraId="15B5C495" w14:textId="77777777" w:rsidR="00853ACE" w:rsidRPr="00E06FC2" w:rsidRDefault="00D95C54" w:rsidP="00743788">
      <w:pPr>
        <w:pStyle w:val="Lista2"/>
        <w:ind w:left="0" w:firstLine="0"/>
        <w:rPr>
          <w:rFonts w:cs="Arial"/>
          <w:b/>
        </w:rPr>
      </w:pPr>
      <w:r w:rsidRPr="00E06FC2">
        <w:rPr>
          <w:rFonts w:cs="Arial"/>
          <w:b/>
        </w:rPr>
        <w:t xml:space="preserve">5.4. </w:t>
      </w:r>
      <w:r w:rsidR="00853ACE" w:rsidRPr="00E06FC2">
        <w:rPr>
          <w:rFonts w:cs="Arial"/>
          <w:b/>
        </w:rPr>
        <w:t xml:space="preserve">Certificaciones de calidad </w:t>
      </w:r>
      <w:r w:rsidR="00E834C3" w:rsidRPr="00E06FC2">
        <w:rPr>
          <w:rFonts w:cs="Arial"/>
          <w:b/>
        </w:rPr>
        <w:t xml:space="preserve">aportadas con </w:t>
      </w:r>
      <w:r w:rsidR="00853ACE" w:rsidRPr="00E06FC2">
        <w:rPr>
          <w:rFonts w:cs="Arial"/>
          <w:b/>
        </w:rPr>
        <w:t xml:space="preserve"> la propuesta adjudicataria</w:t>
      </w:r>
    </w:p>
    <w:p w14:paraId="7943450B" w14:textId="77777777" w:rsidR="00853ACE" w:rsidRPr="00E06FC2" w:rsidRDefault="00853ACE" w:rsidP="00743788">
      <w:pPr>
        <w:pStyle w:val="Lista2"/>
        <w:ind w:left="0" w:firstLine="0"/>
        <w:rPr>
          <w:rFonts w:cs="Arial"/>
        </w:rPr>
      </w:pPr>
    </w:p>
    <w:p w14:paraId="24BCAAB0" w14:textId="77777777" w:rsidR="00023D97" w:rsidRPr="00E06FC2" w:rsidRDefault="0058592A" w:rsidP="00743788">
      <w:pPr>
        <w:pStyle w:val="Lista2"/>
        <w:ind w:left="0" w:firstLine="0"/>
        <w:rPr>
          <w:rFonts w:cs="Arial"/>
        </w:rPr>
      </w:pPr>
      <w:r w:rsidRPr="00E06FC2">
        <w:rPr>
          <w:rFonts w:cs="Arial"/>
        </w:rPr>
        <w:t>La</w:t>
      </w:r>
      <w:r w:rsidR="00853ACE" w:rsidRPr="00E06FC2">
        <w:rPr>
          <w:rFonts w:cs="Arial"/>
        </w:rPr>
        <w:t xml:space="preserve"> demanda se enfocó </w:t>
      </w:r>
      <w:r w:rsidR="008E5E65" w:rsidRPr="00E06FC2">
        <w:rPr>
          <w:rFonts w:cs="Arial"/>
        </w:rPr>
        <w:t xml:space="preserve">en </w:t>
      </w:r>
      <w:r w:rsidR="00853ACE" w:rsidRPr="00E06FC2">
        <w:rPr>
          <w:rFonts w:cs="Arial"/>
        </w:rPr>
        <w:t xml:space="preserve">las violaciones supuestamente incurridas en el procedimiento </w:t>
      </w:r>
      <w:r w:rsidR="00882ED2" w:rsidRPr="00E06FC2">
        <w:rPr>
          <w:rFonts w:cs="Arial"/>
        </w:rPr>
        <w:t xml:space="preserve">de </w:t>
      </w:r>
      <w:r w:rsidR="00853ACE" w:rsidRPr="00E06FC2">
        <w:rPr>
          <w:rFonts w:cs="Arial"/>
        </w:rPr>
        <w:t>licita</w:t>
      </w:r>
      <w:r w:rsidR="00882ED2" w:rsidRPr="00E06FC2">
        <w:rPr>
          <w:rFonts w:cs="Arial"/>
        </w:rPr>
        <w:t xml:space="preserve">ción </w:t>
      </w:r>
      <w:r w:rsidR="0036692A" w:rsidRPr="00E06FC2">
        <w:rPr>
          <w:rFonts w:cs="Arial"/>
        </w:rPr>
        <w:t>pública</w:t>
      </w:r>
      <w:r w:rsidR="008E5E65" w:rsidRPr="00E06FC2">
        <w:rPr>
          <w:rFonts w:cs="Arial"/>
        </w:rPr>
        <w:t>,</w:t>
      </w:r>
      <w:r w:rsidR="0036692A" w:rsidRPr="00E06FC2">
        <w:rPr>
          <w:rFonts w:cs="Arial"/>
        </w:rPr>
        <w:t xml:space="preserve"> </w:t>
      </w:r>
      <w:r w:rsidR="00882ED2" w:rsidRPr="00E06FC2">
        <w:rPr>
          <w:rFonts w:cs="Arial"/>
        </w:rPr>
        <w:t>en cuanto a la admisión de la propuesta alternativa</w:t>
      </w:r>
      <w:r w:rsidR="008E5E65" w:rsidRPr="00E06FC2">
        <w:rPr>
          <w:rFonts w:cs="Arial"/>
        </w:rPr>
        <w:t>,</w:t>
      </w:r>
      <w:r w:rsidR="00882ED2" w:rsidRPr="00E06FC2">
        <w:rPr>
          <w:rFonts w:cs="Arial"/>
        </w:rPr>
        <w:t xml:space="preserve"> y </w:t>
      </w:r>
      <w:r w:rsidRPr="00E06FC2">
        <w:rPr>
          <w:rFonts w:cs="Arial"/>
        </w:rPr>
        <w:t xml:space="preserve">atacó </w:t>
      </w:r>
      <w:r w:rsidR="00853ACE" w:rsidRPr="00E06FC2">
        <w:rPr>
          <w:rFonts w:cs="Arial"/>
        </w:rPr>
        <w:t xml:space="preserve">las certificaciones aportadas por la propuesta </w:t>
      </w:r>
      <w:r w:rsidR="0036692A" w:rsidRPr="00E06FC2">
        <w:rPr>
          <w:rFonts w:cs="Arial"/>
        </w:rPr>
        <w:t xml:space="preserve">que resultó </w:t>
      </w:r>
      <w:r w:rsidR="00853ACE" w:rsidRPr="00E06FC2">
        <w:rPr>
          <w:rFonts w:cs="Arial"/>
        </w:rPr>
        <w:t>adjudicataria</w:t>
      </w:r>
      <w:r w:rsidR="008E5E65" w:rsidRPr="00E06FC2">
        <w:rPr>
          <w:rFonts w:cs="Arial"/>
        </w:rPr>
        <w:t>, en tanto, según la actora,</w:t>
      </w:r>
      <w:r w:rsidR="00023D97" w:rsidRPr="00E06FC2">
        <w:rPr>
          <w:rFonts w:cs="Arial"/>
        </w:rPr>
        <w:t xml:space="preserve"> no han debido ser aceptadas con fundamento en que la propuesta alternativa abrió paso a una serie de requisitos etéreos y subjetivos. </w:t>
      </w:r>
      <w:r w:rsidR="00882ED2" w:rsidRPr="00E06FC2">
        <w:rPr>
          <w:rFonts w:cs="Arial"/>
        </w:rPr>
        <w:t xml:space="preserve">Sin embargo, </w:t>
      </w:r>
      <w:r w:rsidR="0018652F" w:rsidRPr="00E06FC2">
        <w:rPr>
          <w:rFonts w:cs="Arial"/>
        </w:rPr>
        <w:t xml:space="preserve">la demandante </w:t>
      </w:r>
      <w:r w:rsidR="00882ED2" w:rsidRPr="00E06FC2">
        <w:rPr>
          <w:rFonts w:cs="Arial"/>
        </w:rPr>
        <w:t xml:space="preserve">no presentó un ataque concreto contra el contenido de las certificaciones </w:t>
      </w:r>
      <w:r w:rsidR="00B0482A" w:rsidRPr="00E06FC2">
        <w:rPr>
          <w:rFonts w:cs="Arial"/>
        </w:rPr>
        <w:t xml:space="preserve">que fueron </w:t>
      </w:r>
      <w:r w:rsidR="00882ED2" w:rsidRPr="00E06FC2">
        <w:rPr>
          <w:rFonts w:cs="Arial"/>
        </w:rPr>
        <w:t>aportadas por la UT Diselecsa – Montajes El</w:t>
      </w:r>
      <w:r w:rsidR="0018652F" w:rsidRPr="00E06FC2">
        <w:rPr>
          <w:rFonts w:cs="Arial"/>
        </w:rPr>
        <w:t>é</w:t>
      </w:r>
      <w:r w:rsidR="00882ED2" w:rsidRPr="00E06FC2">
        <w:rPr>
          <w:rFonts w:cs="Arial"/>
        </w:rPr>
        <w:t xml:space="preserve">ctricos. </w:t>
      </w:r>
    </w:p>
    <w:p w14:paraId="74ECE6CB" w14:textId="77777777" w:rsidR="00023D97" w:rsidRPr="00E06FC2" w:rsidRDefault="00023D97" w:rsidP="00743788">
      <w:pPr>
        <w:pStyle w:val="Lista2"/>
        <w:ind w:left="0" w:firstLine="0"/>
        <w:rPr>
          <w:rFonts w:cs="Arial"/>
        </w:rPr>
      </w:pPr>
    </w:p>
    <w:p w14:paraId="3F5EF72D" w14:textId="77777777" w:rsidR="00853ACE" w:rsidRPr="00E06FC2" w:rsidRDefault="00882ED2" w:rsidP="00743788">
      <w:pPr>
        <w:pStyle w:val="Lista2"/>
        <w:ind w:left="0" w:firstLine="0"/>
        <w:rPr>
          <w:rFonts w:cs="Arial"/>
        </w:rPr>
      </w:pPr>
      <w:r w:rsidRPr="00E06FC2">
        <w:rPr>
          <w:rFonts w:cs="Arial"/>
        </w:rPr>
        <w:t xml:space="preserve">Definida la procedencia de la propuesta </w:t>
      </w:r>
      <w:r w:rsidR="00B0482A" w:rsidRPr="00E06FC2">
        <w:rPr>
          <w:rFonts w:cs="Arial"/>
        </w:rPr>
        <w:t xml:space="preserve">con especificaciones </w:t>
      </w:r>
      <w:r w:rsidRPr="00E06FC2">
        <w:rPr>
          <w:rFonts w:cs="Arial"/>
        </w:rPr>
        <w:t>alternativa</w:t>
      </w:r>
      <w:r w:rsidR="00B0482A" w:rsidRPr="00E06FC2">
        <w:rPr>
          <w:rFonts w:cs="Arial"/>
        </w:rPr>
        <w:t>s o diferentes de las que se habían descrito inicialmente en el pliego</w:t>
      </w:r>
      <w:r w:rsidRPr="00E06FC2">
        <w:rPr>
          <w:rFonts w:cs="Arial"/>
        </w:rPr>
        <w:t xml:space="preserve"> </w:t>
      </w:r>
      <w:r w:rsidR="0036692A" w:rsidRPr="00E06FC2">
        <w:rPr>
          <w:rFonts w:cs="Arial"/>
        </w:rPr>
        <w:t>-</w:t>
      </w:r>
      <w:r w:rsidRPr="00E06FC2">
        <w:rPr>
          <w:rFonts w:cs="Arial"/>
        </w:rPr>
        <w:t>como lo está en este estado de la providencia</w:t>
      </w:r>
      <w:r w:rsidR="0018652F" w:rsidRPr="00E06FC2">
        <w:rPr>
          <w:rFonts w:cs="Arial"/>
        </w:rPr>
        <w:t xml:space="preserve"> con </w:t>
      </w:r>
      <w:r w:rsidR="0036692A" w:rsidRPr="00E06FC2">
        <w:rPr>
          <w:rFonts w:cs="Arial"/>
        </w:rPr>
        <w:t xml:space="preserve">fundamento </w:t>
      </w:r>
      <w:r w:rsidR="0018652F" w:rsidRPr="00E06FC2">
        <w:rPr>
          <w:rFonts w:cs="Arial"/>
        </w:rPr>
        <w:t>en el contenido del pliego de condiciones</w:t>
      </w:r>
      <w:r w:rsidR="00B0482A" w:rsidRPr="00E06FC2">
        <w:rPr>
          <w:rFonts w:cs="Arial"/>
        </w:rPr>
        <w:t xml:space="preserve"> y la modificación del adendo 3,</w:t>
      </w:r>
      <w:r w:rsidR="00635934" w:rsidRPr="00E06FC2">
        <w:rPr>
          <w:rFonts w:cs="Arial"/>
        </w:rPr>
        <w:t xml:space="preserve"> </w:t>
      </w:r>
      <w:r w:rsidR="0036692A" w:rsidRPr="00E06FC2">
        <w:rPr>
          <w:rFonts w:cs="Arial"/>
        </w:rPr>
        <w:t xml:space="preserve">resulta </w:t>
      </w:r>
      <w:r w:rsidR="00023D97" w:rsidRPr="00E06FC2">
        <w:rPr>
          <w:rFonts w:cs="Arial"/>
        </w:rPr>
        <w:t xml:space="preserve">pertinente </w:t>
      </w:r>
      <w:r w:rsidR="00853ACE" w:rsidRPr="00E06FC2">
        <w:rPr>
          <w:rFonts w:cs="Arial"/>
        </w:rPr>
        <w:t xml:space="preserve">observar que el </w:t>
      </w:r>
      <w:r w:rsidR="00B0482A" w:rsidRPr="00E06FC2">
        <w:rPr>
          <w:rFonts w:cs="Arial"/>
        </w:rPr>
        <w:t>c</w:t>
      </w:r>
      <w:r w:rsidR="00853ACE" w:rsidRPr="00E06FC2">
        <w:rPr>
          <w:rFonts w:cs="Arial"/>
        </w:rPr>
        <w:t xml:space="preserve">omité de </w:t>
      </w:r>
      <w:r w:rsidR="00B0482A" w:rsidRPr="00E06FC2">
        <w:rPr>
          <w:rFonts w:cs="Arial"/>
        </w:rPr>
        <w:t>e</w:t>
      </w:r>
      <w:r w:rsidR="00853ACE" w:rsidRPr="00E06FC2">
        <w:rPr>
          <w:rFonts w:cs="Arial"/>
        </w:rPr>
        <w:t xml:space="preserve">valuación le asignó </w:t>
      </w:r>
      <w:r w:rsidR="0058592A" w:rsidRPr="00E06FC2">
        <w:rPr>
          <w:rFonts w:cs="Arial"/>
        </w:rPr>
        <w:t xml:space="preserve">a </w:t>
      </w:r>
      <w:r w:rsidR="00023D97" w:rsidRPr="00E06FC2">
        <w:rPr>
          <w:rFonts w:cs="Arial"/>
        </w:rPr>
        <w:t xml:space="preserve">la propuesta de la UT Diselecsa – Montajes Eléctricos, </w:t>
      </w:r>
      <w:r w:rsidR="00853ACE" w:rsidRPr="00E06FC2">
        <w:rPr>
          <w:rFonts w:cs="Arial"/>
        </w:rPr>
        <w:t>590 puntos de los 600 posibles</w:t>
      </w:r>
      <w:r w:rsidR="0058592A" w:rsidRPr="00E06FC2">
        <w:rPr>
          <w:rFonts w:cs="Arial"/>
        </w:rPr>
        <w:t xml:space="preserve"> en e</w:t>
      </w:r>
      <w:r w:rsidR="00853ACE" w:rsidRPr="00E06FC2">
        <w:rPr>
          <w:rFonts w:cs="Arial"/>
        </w:rPr>
        <w:t xml:space="preserve">l factor de calidad de bienes, </w:t>
      </w:r>
      <w:r w:rsidR="0036692A" w:rsidRPr="00E06FC2">
        <w:rPr>
          <w:rFonts w:cs="Arial"/>
        </w:rPr>
        <w:t xml:space="preserve">el cual </w:t>
      </w:r>
      <w:r w:rsidR="0058592A" w:rsidRPr="00E06FC2">
        <w:rPr>
          <w:rFonts w:cs="Arial"/>
        </w:rPr>
        <w:t xml:space="preserve">estimó </w:t>
      </w:r>
      <w:r w:rsidR="00853ACE" w:rsidRPr="00E06FC2">
        <w:rPr>
          <w:rFonts w:cs="Arial"/>
        </w:rPr>
        <w:t xml:space="preserve">cumplido con base en las siguientes </w:t>
      </w:r>
      <w:r w:rsidR="00DA1EED" w:rsidRPr="00E06FC2">
        <w:rPr>
          <w:rFonts w:cs="Arial"/>
        </w:rPr>
        <w:t xml:space="preserve">certificaciones y </w:t>
      </w:r>
      <w:r w:rsidR="00853ACE" w:rsidRPr="00E06FC2">
        <w:rPr>
          <w:rFonts w:cs="Arial"/>
        </w:rPr>
        <w:t>cartas de homologación</w:t>
      </w:r>
      <w:r w:rsidR="0058592A" w:rsidRPr="00E06FC2">
        <w:rPr>
          <w:rFonts w:cs="Arial"/>
        </w:rPr>
        <w:t xml:space="preserve">, cuyo contenido </w:t>
      </w:r>
      <w:r w:rsidR="00DA1EED" w:rsidRPr="00E06FC2">
        <w:rPr>
          <w:rFonts w:cs="Arial"/>
        </w:rPr>
        <w:t xml:space="preserve">y calificación </w:t>
      </w:r>
      <w:r w:rsidR="0058592A" w:rsidRPr="00E06FC2">
        <w:rPr>
          <w:rFonts w:cs="Arial"/>
        </w:rPr>
        <w:t>no fue desvirtuado en el presente proceso</w:t>
      </w:r>
      <w:r w:rsidR="00853ACE" w:rsidRPr="00E06FC2">
        <w:rPr>
          <w:rFonts w:cs="Arial"/>
        </w:rPr>
        <w:t>:</w:t>
      </w:r>
    </w:p>
    <w:p w14:paraId="393D55E3" w14:textId="77777777" w:rsidR="00853ACE" w:rsidRPr="00E06FC2" w:rsidRDefault="00853ACE" w:rsidP="00743788">
      <w:pPr>
        <w:pStyle w:val="Lista2"/>
        <w:ind w:left="0" w:firstLine="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4677"/>
      </w:tblGrid>
      <w:tr w:rsidR="00E06FC2" w:rsidRPr="00E06FC2" w14:paraId="747BDDAB" w14:textId="77777777" w:rsidTr="007974E8">
        <w:tc>
          <w:tcPr>
            <w:tcW w:w="534" w:type="dxa"/>
            <w:shd w:val="clear" w:color="auto" w:fill="auto"/>
          </w:tcPr>
          <w:p w14:paraId="0114A575" w14:textId="77777777" w:rsidR="00853ACE" w:rsidRPr="007974E8" w:rsidRDefault="00853ACE" w:rsidP="007974E8">
            <w:pPr>
              <w:pStyle w:val="Lista2"/>
              <w:spacing w:line="276" w:lineRule="auto"/>
              <w:ind w:left="0" w:firstLine="0"/>
              <w:rPr>
                <w:rFonts w:cs="Arial"/>
              </w:rPr>
            </w:pPr>
            <w:r w:rsidRPr="007974E8">
              <w:rPr>
                <w:rFonts w:cs="Arial"/>
              </w:rPr>
              <w:t>1</w:t>
            </w:r>
          </w:p>
        </w:tc>
        <w:tc>
          <w:tcPr>
            <w:tcW w:w="3402" w:type="dxa"/>
            <w:shd w:val="clear" w:color="auto" w:fill="auto"/>
          </w:tcPr>
          <w:p w14:paraId="101C31A1" w14:textId="77777777" w:rsidR="00853ACE" w:rsidRPr="007974E8" w:rsidRDefault="00853ACE" w:rsidP="007974E8">
            <w:pPr>
              <w:pStyle w:val="Lista2"/>
              <w:spacing w:line="276" w:lineRule="auto"/>
              <w:ind w:left="0" w:firstLine="0"/>
              <w:rPr>
                <w:rFonts w:cs="Arial"/>
              </w:rPr>
            </w:pPr>
            <w:r w:rsidRPr="007974E8">
              <w:rPr>
                <w:rFonts w:cs="Arial"/>
              </w:rPr>
              <w:t>Certificado de Aseguramiento de Calidad expedido por el Instituto Colombiano de Normas Técnicas ICONTEC a Industrias Philips de Colombia S.A., con vencimiento el 18 de octubre de 1999</w:t>
            </w:r>
            <w:r w:rsidR="0036692A" w:rsidRPr="007974E8">
              <w:rPr>
                <w:rFonts w:cs="Arial"/>
              </w:rPr>
              <w:t>.</w:t>
            </w:r>
          </w:p>
        </w:tc>
        <w:tc>
          <w:tcPr>
            <w:tcW w:w="4677" w:type="dxa"/>
            <w:shd w:val="clear" w:color="auto" w:fill="auto"/>
          </w:tcPr>
          <w:p w14:paraId="24A8A2D7" w14:textId="77777777" w:rsidR="00853ACE" w:rsidRPr="007974E8" w:rsidRDefault="00853ACE" w:rsidP="007974E8">
            <w:pPr>
              <w:pStyle w:val="Lista2"/>
              <w:spacing w:line="276" w:lineRule="auto"/>
              <w:ind w:left="0" w:firstLine="0"/>
              <w:rPr>
                <w:rFonts w:cs="Arial"/>
              </w:rPr>
            </w:pPr>
            <w:r w:rsidRPr="007974E8">
              <w:rPr>
                <w:rFonts w:cs="Arial"/>
              </w:rPr>
              <w:t>Norma NTC ISO 9002/94, aplicable a “producción de lámparas fluore</w:t>
            </w:r>
            <w:r w:rsidR="00B0482A" w:rsidRPr="007974E8">
              <w:rPr>
                <w:rFonts w:cs="Arial"/>
              </w:rPr>
              <w:t>s</w:t>
            </w:r>
            <w:r w:rsidRPr="007974E8">
              <w:rPr>
                <w:rFonts w:cs="Arial"/>
              </w:rPr>
              <w:t>centes, bombillas incande</w:t>
            </w:r>
            <w:r w:rsidR="00B0482A" w:rsidRPr="007974E8">
              <w:rPr>
                <w:rFonts w:cs="Arial"/>
              </w:rPr>
              <w:t>s</w:t>
            </w:r>
            <w:r w:rsidRPr="007974E8">
              <w:rPr>
                <w:rFonts w:cs="Arial"/>
              </w:rPr>
              <w:t>centes”</w:t>
            </w:r>
            <w:r w:rsidRPr="007974E8">
              <w:rPr>
                <w:rStyle w:val="Refdenotaalpie"/>
                <w:rFonts w:cs="Arial"/>
              </w:rPr>
              <w:footnoteReference w:id="84"/>
            </w:r>
            <w:r w:rsidR="0036692A" w:rsidRPr="007974E8">
              <w:rPr>
                <w:rFonts w:cs="Arial"/>
              </w:rPr>
              <w:t>.</w:t>
            </w:r>
          </w:p>
        </w:tc>
      </w:tr>
      <w:tr w:rsidR="00E06FC2" w:rsidRPr="00E06FC2" w14:paraId="05213E93" w14:textId="77777777" w:rsidTr="007974E8">
        <w:tc>
          <w:tcPr>
            <w:tcW w:w="534" w:type="dxa"/>
            <w:shd w:val="clear" w:color="auto" w:fill="auto"/>
          </w:tcPr>
          <w:p w14:paraId="4EF3DD39" w14:textId="77777777" w:rsidR="00853ACE" w:rsidRPr="007974E8" w:rsidRDefault="00853ACE" w:rsidP="007974E8">
            <w:pPr>
              <w:pStyle w:val="Lista2"/>
              <w:spacing w:line="276" w:lineRule="auto"/>
              <w:ind w:left="0" w:firstLine="0"/>
              <w:rPr>
                <w:rFonts w:cs="Arial"/>
              </w:rPr>
            </w:pPr>
            <w:r w:rsidRPr="007974E8">
              <w:rPr>
                <w:rFonts w:cs="Arial"/>
              </w:rPr>
              <w:t>2</w:t>
            </w:r>
          </w:p>
        </w:tc>
        <w:tc>
          <w:tcPr>
            <w:tcW w:w="3402" w:type="dxa"/>
            <w:shd w:val="clear" w:color="auto" w:fill="auto"/>
          </w:tcPr>
          <w:p w14:paraId="7C7AABBF" w14:textId="77777777" w:rsidR="00853ACE" w:rsidRPr="007974E8" w:rsidRDefault="00853ACE" w:rsidP="007974E8">
            <w:pPr>
              <w:pStyle w:val="Lista2"/>
              <w:spacing w:line="276" w:lineRule="auto"/>
              <w:ind w:left="0" w:firstLine="0"/>
              <w:rPr>
                <w:rFonts w:cs="Arial"/>
              </w:rPr>
            </w:pPr>
            <w:r w:rsidRPr="007974E8">
              <w:rPr>
                <w:rFonts w:cs="Arial"/>
              </w:rPr>
              <w:t>Comunicación D23200 de 8 de marzo de 1996, de la Empresa de Energía de Bogotá a Philips</w:t>
            </w:r>
            <w:r w:rsidRPr="007974E8">
              <w:rPr>
                <w:rStyle w:val="Refdenotaalpie"/>
                <w:rFonts w:cs="Arial"/>
              </w:rPr>
              <w:footnoteReference w:id="85"/>
            </w:r>
            <w:r w:rsidR="0036692A" w:rsidRPr="007974E8">
              <w:rPr>
                <w:rFonts w:cs="Arial"/>
              </w:rPr>
              <w:t>,</w:t>
            </w:r>
          </w:p>
        </w:tc>
        <w:tc>
          <w:tcPr>
            <w:tcW w:w="4677" w:type="dxa"/>
            <w:shd w:val="clear" w:color="auto" w:fill="auto"/>
          </w:tcPr>
          <w:p w14:paraId="091BA8A4" w14:textId="77777777" w:rsidR="00853ACE" w:rsidRPr="007974E8" w:rsidRDefault="00853ACE" w:rsidP="007974E8">
            <w:pPr>
              <w:pStyle w:val="Lista2"/>
              <w:spacing w:line="276" w:lineRule="auto"/>
              <w:ind w:left="0" w:firstLine="0"/>
              <w:rPr>
                <w:rFonts w:cs="Arial"/>
              </w:rPr>
            </w:pPr>
            <w:r w:rsidRPr="007974E8">
              <w:rPr>
                <w:rFonts w:cs="Arial"/>
              </w:rPr>
              <w:t xml:space="preserve">Homologación bombillas de sodio fabricadas por la firma Philips en Bélgica y USA, potencia, 1000W, 400W, 250W, 150W y 70W – pruebas norma NTC (IEC662). </w:t>
            </w:r>
            <w:r w:rsidRPr="007974E8">
              <w:rPr>
                <w:rFonts w:cs="Arial"/>
                <w:i/>
              </w:rPr>
              <w:t>“se comprobó que estas se ajustan a los requisitos técnicos exigido por la empresa”.</w:t>
            </w:r>
            <w:r w:rsidRPr="007974E8">
              <w:rPr>
                <w:rFonts w:cs="Arial"/>
              </w:rPr>
              <w:t xml:space="preserve">  </w:t>
            </w:r>
          </w:p>
        </w:tc>
      </w:tr>
      <w:tr w:rsidR="00E06FC2" w:rsidRPr="00E06FC2" w14:paraId="3DDB65F3" w14:textId="77777777" w:rsidTr="007974E8">
        <w:tc>
          <w:tcPr>
            <w:tcW w:w="534" w:type="dxa"/>
            <w:shd w:val="clear" w:color="auto" w:fill="auto"/>
          </w:tcPr>
          <w:p w14:paraId="676A3A35" w14:textId="77777777" w:rsidR="00853ACE" w:rsidRPr="007974E8" w:rsidRDefault="00853ACE" w:rsidP="007974E8">
            <w:pPr>
              <w:pStyle w:val="Lista2"/>
              <w:spacing w:line="276" w:lineRule="auto"/>
              <w:ind w:left="0" w:firstLine="0"/>
              <w:rPr>
                <w:rFonts w:cs="Arial"/>
              </w:rPr>
            </w:pPr>
            <w:r w:rsidRPr="007974E8">
              <w:rPr>
                <w:rFonts w:cs="Arial"/>
              </w:rPr>
              <w:t>3</w:t>
            </w:r>
          </w:p>
        </w:tc>
        <w:tc>
          <w:tcPr>
            <w:tcW w:w="3402" w:type="dxa"/>
            <w:shd w:val="clear" w:color="auto" w:fill="auto"/>
          </w:tcPr>
          <w:p w14:paraId="7147F4EB" w14:textId="77777777" w:rsidR="00853ACE" w:rsidRPr="007974E8" w:rsidRDefault="00853ACE" w:rsidP="007974E8">
            <w:pPr>
              <w:pStyle w:val="Lista2"/>
              <w:spacing w:line="276" w:lineRule="auto"/>
              <w:ind w:left="0" w:firstLine="0"/>
              <w:rPr>
                <w:rFonts w:cs="Arial"/>
              </w:rPr>
            </w:pPr>
            <w:r w:rsidRPr="007974E8">
              <w:rPr>
                <w:rFonts w:cs="Arial"/>
              </w:rPr>
              <w:t xml:space="preserve">Traducción Oficial 293/297 del certificado expedido por </w:t>
            </w:r>
            <w:r w:rsidRPr="007974E8">
              <w:rPr>
                <w:rFonts w:cs="Arial"/>
              </w:rPr>
              <w:lastRenderedPageBreak/>
              <w:t>Philips Lighting Turnhout NV – Bélgica</w:t>
            </w:r>
            <w:r w:rsidR="0036692A" w:rsidRPr="007974E8">
              <w:rPr>
                <w:rFonts w:cs="Arial"/>
              </w:rPr>
              <w:t>.</w:t>
            </w:r>
            <w:r w:rsidRPr="007974E8">
              <w:rPr>
                <w:rFonts w:cs="Arial"/>
              </w:rPr>
              <w:t xml:space="preserve"> </w:t>
            </w:r>
          </w:p>
        </w:tc>
        <w:tc>
          <w:tcPr>
            <w:tcW w:w="4677" w:type="dxa"/>
            <w:shd w:val="clear" w:color="auto" w:fill="auto"/>
          </w:tcPr>
          <w:p w14:paraId="708BCA43" w14:textId="77777777" w:rsidR="00853ACE" w:rsidRPr="007974E8" w:rsidRDefault="00853ACE" w:rsidP="007974E8">
            <w:pPr>
              <w:pStyle w:val="Lista2"/>
              <w:spacing w:line="276" w:lineRule="auto"/>
              <w:ind w:left="0" w:firstLine="0"/>
              <w:rPr>
                <w:rFonts w:cs="Arial"/>
              </w:rPr>
            </w:pPr>
            <w:r w:rsidRPr="007974E8">
              <w:rPr>
                <w:rFonts w:cs="Arial"/>
              </w:rPr>
              <w:lastRenderedPageBreak/>
              <w:t>para el suministro de 1000 bombillas de vapor de alta presión SON T de 70 W o SON T Plus de 70W - E</w:t>
            </w:r>
            <w:r w:rsidRPr="007974E8">
              <w:rPr>
                <w:rStyle w:val="Refdenotaalpie"/>
                <w:rFonts w:cs="Arial"/>
              </w:rPr>
              <w:footnoteReference w:id="86"/>
            </w:r>
            <w:r w:rsidR="0036692A" w:rsidRPr="007974E8">
              <w:rPr>
                <w:rFonts w:cs="Arial"/>
              </w:rPr>
              <w:t>.</w:t>
            </w:r>
          </w:p>
        </w:tc>
      </w:tr>
      <w:tr w:rsidR="00E06FC2" w:rsidRPr="00E06FC2" w14:paraId="040620EA" w14:textId="77777777" w:rsidTr="007974E8">
        <w:tc>
          <w:tcPr>
            <w:tcW w:w="534" w:type="dxa"/>
            <w:shd w:val="clear" w:color="auto" w:fill="auto"/>
          </w:tcPr>
          <w:p w14:paraId="24E2EDA0" w14:textId="77777777" w:rsidR="00853ACE" w:rsidRPr="007974E8" w:rsidRDefault="00853ACE" w:rsidP="007974E8">
            <w:pPr>
              <w:pStyle w:val="Lista2"/>
              <w:spacing w:line="276" w:lineRule="auto"/>
              <w:ind w:left="0" w:firstLine="0"/>
              <w:rPr>
                <w:rFonts w:cs="Arial"/>
              </w:rPr>
            </w:pPr>
            <w:r w:rsidRPr="007974E8">
              <w:rPr>
                <w:rFonts w:cs="Arial"/>
              </w:rPr>
              <w:lastRenderedPageBreak/>
              <w:t>4</w:t>
            </w:r>
          </w:p>
        </w:tc>
        <w:tc>
          <w:tcPr>
            <w:tcW w:w="3402" w:type="dxa"/>
            <w:shd w:val="clear" w:color="auto" w:fill="auto"/>
          </w:tcPr>
          <w:p w14:paraId="30C2DE81" w14:textId="77777777" w:rsidR="00853ACE" w:rsidRPr="007974E8" w:rsidRDefault="00853ACE" w:rsidP="007974E8">
            <w:pPr>
              <w:pStyle w:val="Lista2"/>
              <w:spacing w:line="276" w:lineRule="auto"/>
              <w:ind w:left="0" w:firstLine="0"/>
              <w:rPr>
                <w:rFonts w:cs="Arial"/>
              </w:rPr>
            </w:pPr>
            <w:r w:rsidRPr="007974E8">
              <w:rPr>
                <w:rFonts w:cs="Arial"/>
              </w:rPr>
              <w:t>Comunicación  97031102 Superintendencia de Industria y Comercio dirigida a Philips</w:t>
            </w:r>
            <w:r w:rsidR="0036692A" w:rsidRPr="007974E8">
              <w:rPr>
                <w:rFonts w:cs="Arial"/>
              </w:rPr>
              <w:t>.</w:t>
            </w:r>
          </w:p>
        </w:tc>
        <w:tc>
          <w:tcPr>
            <w:tcW w:w="4677" w:type="dxa"/>
            <w:shd w:val="clear" w:color="auto" w:fill="auto"/>
          </w:tcPr>
          <w:p w14:paraId="3EDECA5D" w14:textId="77777777" w:rsidR="00853ACE" w:rsidRPr="007974E8" w:rsidRDefault="00853ACE" w:rsidP="007974E8">
            <w:pPr>
              <w:pStyle w:val="Lista2"/>
              <w:spacing w:line="276" w:lineRule="auto"/>
              <w:ind w:left="0" w:firstLine="0"/>
              <w:rPr>
                <w:rFonts w:cs="Arial"/>
              </w:rPr>
            </w:pPr>
            <w:r w:rsidRPr="007974E8">
              <w:rPr>
                <w:rFonts w:cs="Arial"/>
                <w:i/>
              </w:rPr>
              <w:t>“las bombillas de vapor de sodio de alta presión no están sometidas al cumplimiento de Norma Técnica Colombiana Obligatoria”. “No se requiere certificado de conformidad de que da cuenta los artículos 7, 8 y 10 del Decreto 2269 de 1993”</w:t>
            </w:r>
            <w:r w:rsidRPr="007974E8">
              <w:rPr>
                <w:rStyle w:val="Refdenotaalpie"/>
                <w:rFonts w:cs="Arial"/>
              </w:rPr>
              <w:footnoteReference w:id="87"/>
            </w:r>
            <w:r w:rsidRPr="007974E8">
              <w:rPr>
                <w:rFonts w:cs="Arial"/>
              </w:rPr>
              <w:t>.</w:t>
            </w:r>
          </w:p>
        </w:tc>
      </w:tr>
      <w:tr w:rsidR="00E06FC2" w:rsidRPr="00E06FC2" w14:paraId="51494C4A" w14:textId="77777777" w:rsidTr="007974E8">
        <w:tc>
          <w:tcPr>
            <w:tcW w:w="534" w:type="dxa"/>
            <w:shd w:val="clear" w:color="auto" w:fill="auto"/>
          </w:tcPr>
          <w:p w14:paraId="7A295D4A" w14:textId="77777777" w:rsidR="00853ACE" w:rsidRPr="007974E8" w:rsidRDefault="00853ACE" w:rsidP="007974E8">
            <w:pPr>
              <w:pStyle w:val="Lista2"/>
              <w:spacing w:line="276" w:lineRule="auto"/>
              <w:ind w:left="0" w:firstLine="0"/>
              <w:rPr>
                <w:rFonts w:cs="Arial"/>
              </w:rPr>
            </w:pPr>
            <w:r w:rsidRPr="007974E8">
              <w:rPr>
                <w:rFonts w:cs="Arial"/>
              </w:rPr>
              <w:t>5</w:t>
            </w:r>
          </w:p>
        </w:tc>
        <w:tc>
          <w:tcPr>
            <w:tcW w:w="3402" w:type="dxa"/>
            <w:shd w:val="clear" w:color="auto" w:fill="auto"/>
          </w:tcPr>
          <w:p w14:paraId="1FECC723" w14:textId="77777777" w:rsidR="00853ACE" w:rsidRPr="007974E8" w:rsidRDefault="00853ACE" w:rsidP="007974E8">
            <w:pPr>
              <w:pStyle w:val="Lista2"/>
              <w:spacing w:line="276" w:lineRule="auto"/>
              <w:ind w:left="0" w:firstLine="0"/>
              <w:rPr>
                <w:rFonts w:cs="Arial"/>
              </w:rPr>
            </w:pPr>
            <w:r w:rsidRPr="007974E8">
              <w:rPr>
                <w:rFonts w:cs="Arial"/>
              </w:rPr>
              <w:t>Comunicaciones 723762, 717006, 687372, 640720, de Empresa de Energía de Bogotá S.A. E.S.P. – dirigida a Industrias Philips S.A</w:t>
            </w:r>
          </w:p>
        </w:tc>
        <w:tc>
          <w:tcPr>
            <w:tcW w:w="4677" w:type="dxa"/>
            <w:shd w:val="clear" w:color="auto" w:fill="auto"/>
          </w:tcPr>
          <w:p w14:paraId="59A048E1" w14:textId="77777777" w:rsidR="00853ACE" w:rsidRPr="007974E8" w:rsidRDefault="00853ACE" w:rsidP="007974E8">
            <w:pPr>
              <w:pStyle w:val="Lista2"/>
              <w:spacing w:line="276" w:lineRule="auto"/>
              <w:ind w:left="0" w:firstLine="0"/>
              <w:rPr>
                <w:rFonts w:cs="Arial"/>
              </w:rPr>
            </w:pPr>
            <w:r w:rsidRPr="007974E8">
              <w:rPr>
                <w:rFonts w:cs="Arial"/>
              </w:rPr>
              <w:t>Luminarias de 70 W, ref SGS y bombillas de sodio 70, 150, 250, 4000 y 1000. “Se encuentran incluidas en la autorización de materiales y equipos homologados por la EEB</w:t>
            </w:r>
            <w:r w:rsidRPr="007974E8">
              <w:rPr>
                <w:rStyle w:val="Refdenotaalpie"/>
                <w:rFonts w:cs="Arial"/>
              </w:rPr>
              <w:footnoteReference w:id="88"/>
            </w:r>
            <w:r w:rsidRPr="007974E8">
              <w:rPr>
                <w:rFonts w:cs="Arial"/>
              </w:rPr>
              <w:t>.</w:t>
            </w:r>
            <w:r w:rsidR="0036692A" w:rsidRPr="007974E8">
              <w:rPr>
                <w:rFonts w:cs="Arial"/>
              </w:rPr>
              <w:t>.</w:t>
            </w:r>
          </w:p>
          <w:p w14:paraId="7518BE4B" w14:textId="77777777" w:rsidR="00853ACE" w:rsidRPr="007974E8" w:rsidRDefault="00853ACE" w:rsidP="007974E8">
            <w:pPr>
              <w:pStyle w:val="Lista2"/>
              <w:spacing w:line="276" w:lineRule="auto"/>
              <w:ind w:left="0" w:firstLine="0"/>
              <w:rPr>
                <w:rFonts w:cs="Arial"/>
              </w:rPr>
            </w:pPr>
          </w:p>
        </w:tc>
      </w:tr>
      <w:tr w:rsidR="00E06FC2" w:rsidRPr="00E06FC2" w14:paraId="78973A53" w14:textId="77777777" w:rsidTr="007974E8">
        <w:tc>
          <w:tcPr>
            <w:tcW w:w="534" w:type="dxa"/>
            <w:shd w:val="clear" w:color="auto" w:fill="auto"/>
          </w:tcPr>
          <w:p w14:paraId="04009545" w14:textId="77777777" w:rsidR="00853ACE" w:rsidRPr="007974E8" w:rsidRDefault="00853ACE" w:rsidP="007974E8">
            <w:pPr>
              <w:pStyle w:val="Lista2"/>
              <w:spacing w:line="276" w:lineRule="auto"/>
              <w:ind w:left="0" w:firstLine="0"/>
              <w:rPr>
                <w:rFonts w:cs="Arial"/>
              </w:rPr>
            </w:pPr>
            <w:r w:rsidRPr="007974E8">
              <w:rPr>
                <w:rFonts w:cs="Arial"/>
              </w:rPr>
              <w:t>6</w:t>
            </w:r>
          </w:p>
        </w:tc>
        <w:tc>
          <w:tcPr>
            <w:tcW w:w="3402" w:type="dxa"/>
            <w:shd w:val="clear" w:color="auto" w:fill="auto"/>
          </w:tcPr>
          <w:p w14:paraId="256B1823" w14:textId="77777777" w:rsidR="00853ACE" w:rsidRPr="007974E8" w:rsidRDefault="00853ACE" w:rsidP="007974E8">
            <w:pPr>
              <w:pStyle w:val="Lista2"/>
              <w:spacing w:line="276" w:lineRule="auto"/>
              <w:ind w:left="0" w:firstLine="0"/>
              <w:rPr>
                <w:rFonts w:cs="Arial"/>
              </w:rPr>
            </w:pPr>
            <w:r w:rsidRPr="007974E8">
              <w:rPr>
                <w:rFonts w:cs="Arial"/>
              </w:rPr>
              <w:t xml:space="preserve">Empresa de Energía a CELSA S.A. (proveedores de luminarias: carcaza, conjunto eléctrico, receptor), </w:t>
            </w:r>
          </w:p>
        </w:tc>
        <w:tc>
          <w:tcPr>
            <w:tcW w:w="4677" w:type="dxa"/>
            <w:shd w:val="clear" w:color="auto" w:fill="auto"/>
          </w:tcPr>
          <w:p w14:paraId="1889C6AB" w14:textId="77777777" w:rsidR="00853ACE" w:rsidRPr="007974E8" w:rsidRDefault="00853ACE" w:rsidP="007974E8">
            <w:pPr>
              <w:pStyle w:val="Lista2"/>
              <w:spacing w:line="276" w:lineRule="auto"/>
              <w:ind w:left="0" w:firstLine="0"/>
              <w:rPr>
                <w:rFonts w:cs="Arial"/>
              </w:rPr>
            </w:pPr>
            <w:r w:rsidRPr="007974E8">
              <w:rPr>
                <w:rFonts w:cs="Arial"/>
              </w:rPr>
              <w:t>Luminarias de 150</w:t>
            </w:r>
            <w:r w:rsidR="00CD4B8A" w:rsidRPr="007974E8">
              <w:rPr>
                <w:rFonts w:cs="Arial"/>
              </w:rPr>
              <w:t>.</w:t>
            </w:r>
            <w:r w:rsidRPr="007974E8">
              <w:rPr>
                <w:rFonts w:cs="Arial"/>
              </w:rPr>
              <w:t xml:space="preserve"> 250 y 400. Realizadas las pruebas NTC 2230, “</w:t>
            </w:r>
            <w:r w:rsidRPr="007974E8">
              <w:rPr>
                <w:rFonts w:cs="Arial"/>
                <w:i/>
              </w:rPr>
              <w:t>Estas se ajustan a los requisitos técnicos exigidos por la empresa</w:t>
            </w:r>
            <w:r w:rsidRPr="007974E8">
              <w:rPr>
                <w:rStyle w:val="Refdenotaalpie"/>
                <w:rFonts w:cs="Arial"/>
                <w:i/>
              </w:rPr>
              <w:footnoteReference w:id="89"/>
            </w:r>
            <w:r w:rsidRPr="007974E8">
              <w:rPr>
                <w:rFonts w:cs="Arial"/>
                <w:i/>
              </w:rPr>
              <w:t>”</w:t>
            </w:r>
            <w:r w:rsidRPr="007974E8">
              <w:rPr>
                <w:rFonts w:cs="Arial"/>
              </w:rPr>
              <w:t>.</w:t>
            </w:r>
          </w:p>
        </w:tc>
      </w:tr>
      <w:tr w:rsidR="00E06FC2" w:rsidRPr="00E06FC2" w14:paraId="322A3AB5" w14:textId="77777777" w:rsidTr="007974E8">
        <w:tc>
          <w:tcPr>
            <w:tcW w:w="534" w:type="dxa"/>
            <w:shd w:val="clear" w:color="auto" w:fill="auto"/>
          </w:tcPr>
          <w:p w14:paraId="5CA588CC" w14:textId="77777777" w:rsidR="00853ACE" w:rsidRPr="007974E8" w:rsidRDefault="00853ACE" w:rsidP="007974E8">
            <w:pPr>
              <w:pStyle w:val="Lista2"/>
              <w:spacing w:line="276" w:lineRule="auto"/>
              <w:ind w:left="0" w:firstLine="0"/>
              <w:rPr>
                <w:rFonts w:cs="Arial"/>
              </w:rPr>
            </w:pPr>
            <w:r w:rsidRPr="007974E8">
              <w:rPr>
                <w:rFonts w:cs="Arial"/>
              </w:rPr>
              <w:t>7</w:t>
            </w:r>
          </w:p>
        </w:tc>
        <w:tc>
          <w:tcPr>
            <w:tcW w:w="3402" w:type="dxa"/>
            <w:shd w:val="clear" w:color="auto" w:fill="auto"/>
          </w:tcPr>
          <w:p w14:paraId="557DE3AF" w14:textId="77777777" w:rsidR="00853ACE" w:rsidRPr="007974E8" w:rsidRDefault="00853ACE" w:rsidP="007974E8">
            <w:pPr>
              <w:pStyle w:val="Lista2"/>
              <w:spacing w:line="276" w:lineRule="auto"/>
              <w:ind w:left="0" w:firstLine="0"/>
              <w:rPr>
                <w:rFonts w:cs="Arial"/>
              </w:rPr>
            </w:pPr>
            <w:r w:rsidRPr="007974E8">
              <w:rPr>
                <w:rFonts w:cs="Arial"/>
              </w:rPr>
              <w:t>Comunicación 639879 de agosto 14 de 1996  Empresas Públicas de Medellín – dirigida a Roy Alpha (proveedores de luminarias).</w:t>
            </w:r>
          </w:p>
        </w:tc>
        <w:tc>
          <w:tcPr>
            <w:tcW w:w="4677" w:type="dxa"/>
            <w:shd w:val="clear" w:color="auto" w:fill="auto"/>
          </w:tcPr>
          <w:p w14:paraId="599487CA" w14:textId="77777777" w:rsidR="00853ACE" w:rsidRPr="007974E8" w:rsidRDefault="00853ACE" w:rsidP="007974E8">
            <w:pPr>
              <w:pStyle w:val="Lista2"/>
              <w:spacing w:line="276" w:lineRule="auto"/>
              <w:ind w:left="0" w:firstLine="0"/>
              <w:rPr>
                <w:rFonts w:cs="Arial"/>
              </w:rPr>
            </w:pPr>
            <w:r w:rsidRPr="007974E8">
              <w:rPr>
                <w:rFonts w:cs="Arial"/>
              </w:rPr>
              <w:t>Luminaria de 70W 208/240 voltios con FCI.</w:t>
            </w:r>
            <w:r w:rsidR="00926BDE" w:rsidRPr="007974E8">
              <w:rPr>
                <w:rFonts w:cs="Arial"/>
              </w:rPr>
              <w:t xml:space="preserve"> </w:t>
            </w:r>
            <w:r w:rsidRPr="007974E8">
              <w:rPr>
                <w:rFonts w:cs="Arial"/>
                <w:i/>
              </w:rPr>
              <w:t>“La luminaria del asunto cumple con los requisitos de las normas ICONTEC para todos y cada uno de sus elementos”</w:t>
            </w:r>
            <w:r w:rsidRPr="007974E8">
              <w:rPr>
                <w:rStyle w:val="Refdenotaalpie"/>
                <w:rFonts w:cs="Arial"/>
                <w:i/>
              </w:rPr>
              <w:footnoteReference w:id="90"/>
            </w:r>
          </w:p>
        </w:tc>
      </w:tr>
      <w:tr w:rsidR="00E06FC2" w:rsidRPr="00E06FC2" w14:paraId="7996CB69" w14:textId="77777777" w:rsidTr="007974E8">
        <w:tc>
          <w:tcPr>
            <w:tcW w:w="534" w:type="dxa"/>
            <w:shd w:val="clear" w:color="auto" w:fill="auto"/>
          </w:tcPr>
          <w:p w14:paraId="191B01EE" w14:textId="77777777" w:rsidR="00853ACE" w:rsidRPr="007974E8" w:rsidRDefault="00853ACE" w:rsidP="007974E8">
            <w:pPr>
              <w:pStyle w:val="Lista2"/>
              <w:spacing w:line="276" w:lineRule="auto"/>
              <w:ind w:left="0" w:firstLine="0"/>
              <w:rPr>
                <w:rFonts w:cs="Arial"/>
              </w:rPr>
            </w:pPr>
            <w:r w:rsidRPr="007974E8">
              <w:rPr>
                <w:rFonts w:cs="Arial"/>
              </w:rPr>
              <w:t>8</w:t>
            </w:r>
          </w:p>
        </w:tc>
        <w:tc>
          <w:tcPr>
            <w:tcW w:w="3402" w:type="dxa"/>
            <w:shd w:val="clear" w:color="auto" w:fill="auto"/>
          </w:tcPr>
          <w:p w14:paraId="3C25C893" w14:textId="77777777" w:rsidR="00853ACE" w:rsidRPr="007974E8" w:rsidRDefault="00853ACE" w:rsidP="007974E8">
            <w:pPr>
              <w:pStyle w:val="Lista2"/>
              <w:spacing w:line="276" w:lineRule="auto"/>
              <w:ind w:left="0" w:firstLine="0"/>
              <w:rPr>
                <w:rFonts w:cs="Arial"/>
              </w:rPr>
            </w:pPr>
            <w:r w:rsidRPr="007974E8">
              <w:rPr>
                <w:rFonts w:cs="Arial"/>
              </w:rPr>
              <w:t>Empresa de Energía de Bogotá, dirigida a Roy Alpha (proveedores de luminarias).</w:t>
            </w:r>
          </w:p>
        </w:tc>
        <w:tc>
          <w:tcPr>
            <w:tcW w:w="4677" w:type="dxa"/>
            <w:shd w:val="clear" w:color="auto" w:fill="auto"/>
          </w:tcPr>
          <w:p w14:paraId="108C8353" w14:textId="77777777" w:rsidR="00853ACE" w:rsidRPr="007974E8" w:rsidRDefault="00853ACE" w:rsidP="007974E8">
            <w:pPr>
              <w:pStyle w:val="Lista2"/>
              <w:spacing w:line="276" w:lineRule="auto"/>
              <w:ind w:left="0" w:firstLine="0"/>
              <w:rPr>
                <w:rFonts w:cs="Arial"/>
              </w:rPr>
            </w:pPr>
            <w:r w:rsidRPr="007974E8">
              <w:rPr>
                <w:rFonts w:cs="Arial"/>
              </w:rPr>
              <w:t xml:space="preserve">Luminaria de 70W. </w:t>
            </w:r>
            <w:r w:rsidRPr="007974E8">
              <w:rPr>
                <w:rFonts w:cs="Arial"/>
                <w:i/>
              </w:rPr>
              <w:t>“Así mismo, les informamos que realizadas las pruebas tipo y de rutina de acuerdo con la norma NTC 2230 se comprobó que estas se ajustan a los requisitos técnicos exigidos por la norma</w:t>
            </w:r>
            <w:r w:rsidR="0036692A" w:rsidRPr="007974E8">
              <w:rPr>
                <w:rFonts w:cs="Arial"/>
                <w:i/>
              </w:rPr>
              <w:t>”</w:t>
            </w:r>
            <w:r w:rsidRPr="007974E8">
              <w:rPr>
                <w:rStyle w:val="Refdenotaalpie"/>
                <w:rFonts w:cs="Arial"/>
              </w:rPr>
              <w:footnoteReference w:id="91"/>
            </w:r>
            <w:r w:rsidR="0036692A" w:rsidRPr="007974E8">
              <w:rPr>
                <w:rFonts w:cs="Arial"/>
              </w:rPr>
              <w:t>.</w:t>
            </w:r>
            <w:r w:rsidRPr="007974E8">
              <w:rPr>
                <w:rFonts w:cs="Arial"/>
              </w:rPr>
              <w:t xml:space="preserve"> </w:t>
            </w:r>
          </w:p>
        </w:tc>
      </w:tr>
      <w:tr w:rsidR="00E06FC2" w:rsidRPr="00E06FC2" w14:paraId="6F62B9B9" w14:textId="77777777" w:rsidTr="007974E8">
        <w:tc>
          <w:tcPr>
            <w:tcW w:w="534" w:type="dxa"/>
            <w:shd w:val="clear" w:color="auto" w:fill="auto"/>
          </w:tcPr>
          <w:p w14:paraId="29066731" w14:textId="77777777" w:rsidR="00853ACE" w:rsidRPr="007974E8" w:rsidRDefault="00853ACE" w:rsidP="007974E8">
            <w:pPr>
              <w:pStyle w:val="Lista2"/>
              <w:spacing w:line="276" w:lineRule="auto"/>
              <w:ind w:left="0" w:firstLine="0"/>
              <w:rPr>
                <w:rFonts w:cs="Arial"/>
              </w:rPr>
            </w:pPr>
            <w:r w:rsidRPr="007974E8">
              <w:rPr>
                <w:rFonts w:cs="Arial"/>
              </w:rPr>
              <w:t>9</w:t>
            </w:r>
          </w:p>
        </w:tc>
        <w:tc>
          <w:tcPr>
            <w:tcW w:w="3402" w:type="dxa"/>
            <w:shd w:val="clear" w:color="auto" w:fill="auto"/>
          </w:tcPr>
          <w:p w14:paraId="75B199F0" w14:textId="77777777" w:rsidR="00853ACE" w:rsidRPr="007974E8" w:rsidRDefault="00853ACE" w:rsidP="007974E8">
            <w:pPr>
              <w:pStyle w:val="Lista2"/>
              <w:spacing w:line="276" w:lineRule="auto"/>
              <w:ind w:left="0" w:firstLine="0"/>
              <w:rPr>
                <w:rFonts w:cs="Arial"/>
              </w:rPr>
            </w:pPr>
            <w:r w:rsidRPr="007974E8">
              <w:rPr>
                <w:rFonts w:cs="Arial"/>
              </w:rPr>
              <w:t>Evaluación del sistema de calidad realizada por Seico Ltda</w:t>
            </w:r>
            <w:r w:rsidR="008277DC" w:rsidRPr="007974E8">
              <w:rPr>
                <w:rFonts w:cs="Arial"/>
              </w:rPr>
              <w:t>.</w:t>
            </w:r>
            <w:r w:rsidRPr="007974E8">
              <w:rPr>
                <w:rFonts w:cs="Arial"/>
              </w:rPr>
              <w:t xml:space="preserve"> a Roy Alpha (proveedores de luminarias)</w:t>
            </w:r>
            <w:r w:rsidR="0036692A" w:rsidRPr="007974E8">
              <w:rPr>
                <w:rFonts w:cs="Arial"/>
              </w:rPr>
              <w:t>.</w:t>
            </w:r>
          </w:p>
        </w:tc>
        <w:tc>
          <w:tcPr>
            <w:tcW w:w="4677" w:type="dxa"/>
            <w:shd w:val="clear" w:color="auto" w:fill="auto"/>
          </w:tcPr>
          <w:p w14:paraId="396B95E8" w14:textId="77777777" w:rsidR="00853ACE" w:rsidRPr="007974E8" w:rsidRDefault="00853ACE" w:rsidP="007974E8">
            <w:pPr>
              <w:pStyle w:val="Lista2"/>
              <w:spacing w:line="276" w:lineRule="auto"/>
              <w:ind w:left="0" w:firstLine="0"/>
              <w:rPr>
                <w:rFonts w:cs="Arial"/>
              </w:rPr>
            </w:pPr>
            <w:r w:rsidRPr="007974E8">
              <w:rPr>
                <w:rFonts w:cs="Arial"/>
              </w:rPr>
              <w:t>Norma NTC IS0 9004-1</w:t>
            </w:r>
            <w:r w:rsidRPr="007974E8">
              <w:rPr>
                <w:rStyle w:val="Refdenotaalpie"/>
                <w:rFonts w:cs="Arial"/>
              </w:rPr>
              <w:footnoteReference w:id="92"/>
            </w:r>
            <w:r w:rsidR="0036692A" w:rsidRPr="007974E8">
              <w:rPr>
                <w:rFonts w:cs="Arial"/>
              </w:rPr>
              <w:t>.</w:t>
            </w:r>
          </w:p>
        </w:tc>
      </w:tr>
      <w:tr w:rsidR="00E06FC2" w:rsidRPr="00E06FC2" w14:paraId="25881139" w14:textId="77777777" w:rsidTr="007974E8">
        <w:tc>
          <w:tcPr>
            <w:tcW w:w="534" w:type="dxa"/>
            <w:shd w:val="clear" w:color="auto" w:fill="auto"/>
          </w:tcPr>
          <w:p w14:paraId="397BE33F" w14:textId="77777777" w:rsidR="00853ACE" w:rsidRPr="007974E8" w:rsidRDefault="00853ACE" w:rsidP="007974E8">
            <w:pPr>
              <w:pStyle w:val="Lista2"/>
              <w:spacing w:line="276" w:lineRule="auto"/>
              <w:ind w:left="0" w:firstLine="0"/>
              <w:rPr>
                <w:rFonts w:cs="Arial"/>
              </w:rPr>
            </w:pPr>
            <w:r w:rsidRPr="007974E8">
              <w:rPr>
                <w:rFonts w:cs="Arial"/>
              </w:rPr>
              <w:t>10</w:t>
            </w:r>
          </w:p>
        </w:tc>
        <w:tc>
          <w:tcPr>
            <w:tcW w:w="3402" w:type="dxa"/>
            <w:shd w:val="clear" w:color="auto" w:fill="auto"/>
          </w:tcPr>
          <w:p w14:paraId="60C9B73C" w14:textId="77777777" w:rsidR="00853ACE" w:rsidRPr="007974E8" w:rsidRDefault="00853ACE" w:rsidP="007974E8">
            <w:pPr>
              <w:pStyle w:val="Lista2"/>
              <w:spacing w:line="276" w:lineRule="auto"/>
              <w:ind w:left="0" w:firstLine="0"/>
              <w:rPr>
                <w:rFonts w:cs="Arial"/>
              </w:rPr>
            </w:pPr>
            <w:r w:rsidRPr="007974E8">
              <w:rPr>
                <w:rFonts w:cs="Arial"/>
              </w:rPr>
              <w:t xml:space="preserve">Comunicación 330 de Empresa de </w:t>
            </w:r>
            <w:r w:rsidR="00926BDE" w:rsidRPr="007974E8">
              <w:rPr>
                <w:rFonts w:cs="Arial"/>
              </w:rPr>
              <w:t>Energía</w:t>
            </w:r>
            <w:r w:rsidRPr="007974E8">
              <w:rPr>
                <w:rFonts w:cs="Arial"/>
              </w:rPr>
              <w:t xml:space="preserve"> de Bogotá a Megalite Ltda</w:t>
            </w:r>
            <w:r w:rsidR="008277DC" w:rsidRPr="007974E8">
              <w:rPr>
                <w:rFonts w:cs="Arial"/>
              </w:rPr>
              <w:t>.</w:t>
            </w:r>
            <w:r w:rsidRPr="007974E8">
              <w:rPr>
                <w:rFonts w:cs="Arial"/>
              </w:rPr>
              <w:t xml:space="preserve"> (proveedor de arrancadores)</w:t>
            </w:r>
            <w:r w:rsidR="0036692A" w:rsidRPr="007974E8">
              <w:rPr>
                <w:rFonts w:cs="Arial"/>
              </w:rPr>
              <w:t>.</w:t>
            </w:r>
          </w:p>
        </w:tc>
        <w:tc>
          <w:tcPr>
            <w:tcW w:w="4677" w:type="dxa"/>
            <w:shd w:val="clear" w:color="auto" w:fill="auto"/>
          </w:tcPr>
          <w:p w14:paraId="35876059" w14:textId="77777777" w:rsidR="00853ACE" w:rsidRPr="007974E8" w:rsidRDefault="00853ACE" w:rsidP="007974E8">
            <w:pPr>
              <w:pStyle w:val="Lista2"/>
              <w:spacing w:line="276" w:lineRule="auto"/>
              <w:ind w:left="0" w:firstLine="0"/>
              <w:rPr>
                <w:rFonts w:cs="Arial"/>
              </w:rPr>
            </w:pPr>
            <w:r w:rsidRPr="007974E8">
              <w:rPr>
                <w:rFonts w:cs="Arial"/>
              </w:rPr>
              <w:t>Homologación arrancadores de terminales. Los arrancadores cumplen con la norma técnica NTC 3200</w:t>
            </w:r>
            <w:r w:rsidRPr="007974E8">
              <w:rPr>
                <w:rStyle w:val="Refdenotaalpie"/>
                <w:rFonts w:cs="Arial"/>
              </w:rPr>
              <w:footnoteReference w:id="93"/>
            </w:r>
            <w:r w:rsidR="0036692A" w:rsidRPr="007974E8">
              <w:rPr>
                <w:rFonts w:cs="Arial"/>
              </w:rPr>
              <w:t>.</w:t>
            </w:r>
            <w:r w:rsidRPr="007974E8">
              <w:rPr>
                <w:rFonts w:cs="Arial"/>
              </w:rPr>
              <w:t xml:space="preserve">  </w:t>
            </w:r>
          </w:p>
        </w:tc>
      </w:tr>
      <w:tr w:rsidR="00E06FC2" w:rsidRPr="00E06FC2" w14:paraId="1B39DDA9" w14:textId="77777777" w:rsidTr="007974E8">
        <w:tc>
          <w:tcPr>
            <w:tcW w:w="534" w:type="dxa"/>
            <w:shd w:val="clear" w:color="auto" w:fill="auto"/>
          </w:tcPr>
          <w:p w14:paraId="700977D8" w14:textId="77777777" w:rsidR="00853ACE" w:rsidRPr="007974E8" w:rsidRDefault="00853ACE" w:rsidP="007974E8">
            <w:pPr>
              <w:pStyle w:val="Lista2"/>
              <w:spacing w:line="276" w:lineRule="auto"/>
              <w:ind w:left="0" w:firstLine="0"/>
              <w:rPr>
                <w:rFonts w:cs="Arial"/>
              </w:rPr>
            </w:pPr>
            <w:r w:rsidRPr="007974E8">
              <w:rPr>
                <w:rFonts w:cs="Arial"/>
              </w:rPr>
              <w:lastRenderedPageBreak/>
              <w:t>11</w:t>
            </w:r>
          </w:p>
        </w:tc>
        <w:tc>
          <w:tcPr>
            <w:tcW w:w="3402" w:type="dxa"/>
            <w:shd w:val="clear" w:color="auto" w:fill="auto"/>
          </w:tcPr>
          <w:p w14:paraId="364785E4" w14:textId="77777777" w:rsidR="00853ACE" w:rsidRPr="007974E8" w:rsidRDefault="00853ACE" w:rsidP="007974E8">
            <w:pPr>
              <w:pStyle w:val="Lista2"/>
              <w:spacing w:line="276" w:lineRule="auto"/>
              <w:ind w:left="0" w:firstLine="0"/>
              <w:rPr>
                <w:rFonts w:cs="Arial"/>
              </w:rPr>
            </w:pPr>
            <w:r w:rsidRPr="007974E8">
              <w:rPr>
                <w:rFonts w:cs="Arial"/>
              </w:rPr>
              <w:t>Certificación de Megalite Ltda</w:t>
            </w:r>
            <w:r w:rsidR="008277DC" w:rsidRPr="007974E8">
              <w:rPr>
                <w:rFonts w:cs="Arial"/>
              </w:rPr>
              <w:t>.</w:t>
            </w:r>
            <w:r w:rsidRPr="007974E8">
              <w:rPr>
                <w:rFonts w:cs="Arial"/>
              </w:rPr>
              <w:t xml:space="preserve"> acerca del cumplimiento de normas ICONTEC y CIDET</w:t>
            </w:r>
            <w:r w:rsidR="0036692A" w:rsidRPr="007974E8">
              <w:rPr>
                <w:rFonts w:cs="Arial"/>
              </w:rPr>
              <w:t>.</w:t>
            </w:r>
          </w:p>
        </w:tc>
        <w:tc>
          <w:tcPr>
            <w:tcW w:w="4677" w:type="dxa"/>
            <w:shd w:val="clear" w:color="auto" w:fill="auto"/>
          </w:tcPr>
          <w:p w14:paraId="70E84F5F" w14:textId="77777777" w:rsidR="00853ACE" w:rsidRPr="007974E8" w:rsidRDefault="00853ACE" w:rsidP="007974E8">
            <w:pPr>
              <w:pStyle w:val="Lista2"/>
              <w:spacing w:line="276" w:lineRule="auto"/>
              <w:ind w:left="0" w:firstLine="0"/>
              <w:rPr>
                <w:rFonts w:cs="Arial"/>
              </w:rPr>
            </w:pPr>
            <w:r w:rsidRPr="007974E8">
              <w:rPr>
                <w:rFonts w:cs="Arial"/>
                <w:i/>
              </w:rPr>
              <w:t>“Certificamos que dichos modelos cumplen con normas ICONTEC, especificaciones según CIDET</w:t>
            </w:r>
            <w:r w:rsidR="00CD4B8A" w:rsidRPr="007974E8">
              <w:rPr>
                <w:rFonts w:cs="Arial"/>
                <w:i/>
              </w:rPr>
              <w:t>”</w:t>
            </w:r>
            <w:r w:rsidRPr="007974E8">
              <w:rPr>
                <w:rStyle w:val="Refdenotaalpie"/>
                <w:rFonts w:cs="Arial"/>
              </w:rPr>
              <w:footnoteReference w:id="94"/>
            </w:r>
            <w:r w:rsidR="0036692A" w:rsidRPr="007974E8">
              <w:rPr>
                <w:rFonts w:cs="Arial"/>
              </w:rPr>
              <w:t>.</w:t>
            </w:r>
          </w:p>
        </w:tc>
      </w:tr>
      <w:tr w:rsidR="00E06FC2" w:rsidRPr="00E06FC2" w14:paraId="6DA18493" w14:textId="77777777" w:rsidTr="007974E8">
        <w:tc>
          <w:tcPr>
            <w:tcW w:w="534" w:type="dxa"/>
            <w:shd w:val="clear" w:color="auto" w:fill="auto"/>
          </w:tcPr>
          <w:p w14:paraId="15F95079" w14:textId="77777777" w:rsidR="00853ACE" w:rsidRPr="007974E8" w:rsidRDefault="00853ACE" w:rsidP="007974E8">
            <w:pPr>
              <w:pStyle w:val="Lista2"/>
              <w:spacing w:line="276" w:lineRule="auto"/>
              <w:ind w:left="0" w:firstLine="0"/>
              <w:rPr>
                <w:rFonts w:cs="Arial"/>
              </w:rPr>
            </w:pPr>
            <w:r w:rsidRPr="007974E8">
              <w:rPr>
                <w:rFonts w:cs="Arial"/>
              </w:rPr>
              <w:t>12</w:t>
            </w:r>
          </w:p>
        </w:tc>
        <w:tc>
          <w:tcPr>
            <w:tcW w:w="3402" w:type="dxa"/>
            <w:shd w:val="clear" w:color="auto" w:fill="auto"/>
          </w:tcPr>
          <w:p w14:paraId="1890EEA7" w14:textId="77777777" w:rsidR="00853ACE" w:rsidRPr="007974E8" w:rsidRDefault="00853ACE" w:rsidP="007974E8">
            <w:pPr>
              <w:pStyle w:val="Lista2"/>
              <w:spacing w:line="276" w:lineRule="auto"/>
              <w:ind w:left="0" w:firstLine="0"/>
              <w:rPr>
                <w:rFonts w:cs="Arial"/>
              </w:rPr>
            </w:pPr>
            <w:r w:rsidRPr="007974E8">
              <w:rPr>
                <w:rFonts w:cs="Arial"/>
              </w:rPr>
              <w:t>Comunicación 332 de Empresa de Energía de Bogotá dirigida a Rymel Ingeniería Eléctrica. (fotocontroladores).</w:t>
            </w:r>
          </w:p>
        </w:tc>
        <w:tc>
          <w:tcPr>
            <w:tcW w:w="4677" w:type="dxa"/>
            <w:shd w:val="clear" w:color="auto" w:fill="auto"/>
          </w:tcPr>
          <w:p w14:paraId="0B203518" w14:textId="77777777" w:rsidR="00853ACE" w:rsidRPr="007974E8" w:rsidRDefault="00853ACE" w:rsidP="007974E8">
            <w:pPr>
              <w:pStyle w:val="Lista2"/>
              <w:spacing w:line="276" w:lineRule="auto"/>
              <w:ind w:left="0" w:firstLine="0"/>
              <w:rPr>
                <w:rFonts w:cs="Arial"/>
              </w:rPr>
            </w:pPr>
            <w:r w:rsidRPr="007974E8">
              <w:rPr>
                <w:rFonts w:cs="Arial"/>
              </w:rPr>
              <w:t>Homologación de bases para fotocontroladores de alumbrado público. Homologación bajo la norma NTC 2470 y ANSI C 136.10</w:t>
            </w:r>
            <w:r w:rsidRPr="007974E8">
              <w:rPr>
                <w:rStyle w:val="Refdenotaalpie"/>
                <w:rFonts w:cs="Arial"/>
              </w:rPr>
              <w:footnoteReference w:id="95"/>
            </w:r>
            <w:r w:rsidR="0036692A" w:rsidRPr="007974E8">
              <w:rPr>
                <w:rFonts w:cs="Arial"/>
              </w:rPr>
              <w:t>.</w:t>
            </w:r>
            <w:r w:rsidRPr="007974E8">
              <w:rPr>
                <w:rFonts w:cs="Arial"/>
              </w:rPr>
              <w:t xml:space="preserve"> </w:t>
            </w:r>
          </w:p>
        </w:tc>
      </w:tr>
      <w:tr w:rsidR="00E06FC2" w:rsidRPr="00E06FC2" w14:paraId="044D5D21" w14:textId="77777777" w:rsidTr="007974E8">
        <w:tc>
          <w:tcPr>
            <w:tcW w:w="534" w:type="dxa"/>
            <w:shd w:val="clear" w:color="auto" w:fill="auto"/>
          </w:tcPr>
          <w:p w14:paraId="6867F7B5" w14:textId="77777777" w:rsidR="00853ACE" w:rsidRPr="007974E8" w:rsidRDefault="00853ACE" w:rsidP="007974E8">
            <w:pPr>
              <w:pStyle w:val="Lista2"/>
              <w:spacing w:line="276" w:lineRule="auto"/>
              <w:ind w:left="0" w:firstLine="0"/>
              <w:rPr>
                <w:rFonts w:cs="Arial"/>
              </w:rPr>
            </w:pPr>
            <w:r w:rsidRPr="007974E8">
              <w:rPr>
                <w:rFonts w:cs="Arial"/>
              </w:rPr>
              <w:t>13</w:t>
            </w:r>
          </w:p>
        </w:tc>
        <w:tc>
          <w:tcPr>
            <w:tcW w:w="3402" w:type="dxa"/>
            <w:shd w:val="clear" w:color="auto" w:fill="auto"/>
          </w:tcPr>
          <w:p w14:paraId="7796C1C7" w14:textId="77777777" w:rsidR="00853ACE" w:rsidRPr="007974E8" w:rsidRDefault="00853ACE" w:rsidP="007974E8">
            <w:pPr>
              <w:pStyle w:val="Lista2"/>
              <w:spacing w:line="276" w:lineRule="auto"/>
              <w:ind w:left="0" w:firstLine="0"/>
              <w:rPr>
                <w:rFonts w:cs="Arial"/>
              </w:rPr>
            </w:pPr>
            <w:r w:rsidRPr="007974E8">
              <w:rPr>
                <w:rFonts w:cs="Arial"/>
              </w:rPr>
              <w:t>Comunicación 96576 de Empresa de Energía Eléctrica a INADISA (proveedor de balastos)</w:t>
            </w:r>
            <w:r w:rsidR="0036692A" w:rsidRPr="007974E8">
              <w:rPr>
                <w:rFonts w:cs="Arial"/>
              </w:rPr>
              <w:t>.</w:t>
            </w:r>
          </w:p>
        </w:tc>
        <w:tc>
          <w:tcPr>
            <w:tcW w:w="4677" w:type="dxa"/>
            <w:shd w:val="clear" w:color="auto" w:fill="auto"/>
          </w:tcPr>
          <w:p w14:paraId="6D94E620" w14:textId="77777777" w:rsidR="00853ACE" w:rsidRPr="007974E8" w:rsidRDefault="00853ACE" w:rsidP="007974E8">
            <w:pPr>
              <w:pStyle w:val="Lista2"/>
              <w:spacing w:line="276" w:lineRule="auto"/>
              <w:ind w:left="0" w:firstLine="0"/>
              <w:rPr>
                <w:rFonts w:cs="Arial"/>
              </w:rPr>
            </w:pPr>
            <w:r w:rsidRPr="007974E8">
              <w:rPr>
                <w:rFonts w:cs="Arial"/>
              </w:rPr>
              <w:t xml:space="preserve">Homologación </w:t>
            </w:r>
            <w:r w:rsidR="00CD4B8A" w:rsidRPr="007974E8">
              <w:rPr>
                <w:rFonts w:cs="Arial"/>
              </w:rPr>
              <w:t xml:space="preserve">de </w:t>
            </w:r>
            <w:r w:rsidRPr="007974E8">
              <w:rPr>
                <w:rFonts w:cs="Arial"/>
              </w:rPr>
              <w:t>balastos para bombillas de sodio de 70 W. Requisitos técnicos NTC 3657, NTC 2118 o IEC 662, 922 y 923 para balastos de alta intensidad de descarga</w:t>
            </w:r>
            <w:r w:rsidRPr="007974E8">
              <w:rPr>
                <w:rStyle w:val="Refdenotaalpie"/>
                <w:rFonts w:cs="Arial"/>
              </w:rPr>
              <w:footnoteReference w:id="96"/>
            </w:r>
            <w:r w:rsidR="0036692A" w:rsidRPr="007974E8">
              <w:rPr>
                <w:rFonts w:cs="Arial"/>
              </w:rPr>
              <w:t>.</w:t>
            </w:r>
          </w:p>
        </w:tc>
      </w:tr>
      <w:tr w:rsidR="00E06FC2" w:rsidRPr="00E06FC2" w14:paraId="6E104549" w14:textId="77777777" w:rsidTr="007974E8">
        <w:tc>
          <w:tcPr>
            <w:tcW w:w="534" w:type="dxa"/>
            <w:shd w:val="clear" w:color="auto" w:fill="auto"/>
          </w:tcPr>
          <w:p w14:paraId="26FA6613" w14:textId="77777777" w:rsidR="00853ACE" w:rsidRPr="007974E8" w:rsidRDefault="00853ACE" w:rsidP="007974E8">
            <w:pPr>
              <w:pStyle w:val="Lista2"/>
              <w:spacing w:line="276" w:lineRule="auto"/>
              <w:ind w:left="0" w:firstLine="0"/>
              <w:rPr>
                <w:rFonts w:cs="Arial"/>
              </w:rPr>
            </w:pPr>
            <w:r w:rsidRPr="007974E8">
              <w:rPr>
                <w:rFonts w:cs="Arial"/>
              </w:rPr>
              <w:t>14</w:t>
            </w:r>
          </w:p>
        </w:tc>
        <w:tc>
          <w:tcPr>
            <w:tcW w:w="3402" w:type="dxa"/>
            <w:shd w:val="clear" w:color="auto" w:fill="auto"/>
          </w:tcPr>
          <w:p w14:paraId="6F2AAB62" w14:textId="77777777" w:rsidR="00853ACE" w:rsidRPr="007974E8" w:rsidRDefault="00853ACE" w:rsidP="007974E8">
            <w:pPr>
              <w:pStyle w:val="Lista2"/>
              <w:spacing w:line="276" w:lineRule="auto"/>
              <w:ind w:left="0" w:firstLine="0"/>
              <w:rPr>
                <w:rFonts w:cs="Arial"/>
              </w:rPr>
            </w:pPr>
            <w:r w:rsidRPr="007974E8">
              <w:rPr>
                <w:rFonts w:cs="Arial"/>
              </w:rPr>
              <w:t>Comunicación 336 Empresa de Energía Eléctrica S.A. dirigida a INADISA (proveedor de balastos)</w:t>
            </w:r>
          </w:p>
        </w:tc>
        <w:tc>
          <w:tcPr>
            <w:tcW w:w="4677" w:type="dxa"/>
            <w:shd w:val="clear" w:color="auto" w:fill="auto"/>
          </w:tcPr>
          <w:p w14:paraId="52FDCF8D" w14:textId="77777777" w:rsidR="00853ACE" w:rsidRPr="007974E8" w:rsidRDefault="00853ACE" w:rsidP="007974E8">
            <w:pPr>
              <w:pStyle w:val="Lista2"/>
              <w:spacing w:line="276" w:lineRule="auto"/>
              <w:ind w:left="0" w:firstLine="0"/>
              <w:rPr>
                <w:rFonts w:cs="Arial"/>
              </w:rPr>
            </w:pPr>
            <w:r w:rsidRPr="007974E8">
              <w:rPr>
                <w:rFonts w:cs="Arial"/>
              </w:rPr>
              <w:t>Homologación balastos para bombillas de sodio 70 W y 150W</w:t>
            </w:r>
            <w:r w:rsidRPr="007974E8">
              <w:rPr>
                <w:rStyle w:val="Refdenotaalpie"/>
                <w:rFonts w:cs="Arial"/>
              </w:rPr>
              <w:footnoteReference w:id="97"/>
            </w:r>
            <w:r w:rsidRPr="007974E8">
              <w:rPr>
                <w:rFonts w:cs="Arial"/>
              </w:rPr>
              <w:t>.</w:t>
            </w:r>
          </w:p>
        </w:tc>
      </w:tr>
      <w:tr w:rsidR="00E06FC2" w:rsidRPr="00E06FC2" w14:paraId="4ED7319D" w14:textId="77777777" w:rsidTr="007974E8">
        <w:tc>
          <w:tcPr>
            <w:tcW w:w="534" w:type="dxa"/>
            <w:shd w:val="clear" w:color="auto" w:fill="auto"/>
          </w:tcPr>
          <w:p w14:paraId="013F0566" w14:textId="77777777" w:rsidR="00853ACE" w:rsidRPr="007974E8" w:rsidRDefault="00853ACE" w:rsidP="007974E8">
            <w:pPr>
              <w:pStyle w:val="Lista2"/>
              <w:spacing w:line="276" w:lineRule="auto"/>
              <w:ind w:left="0" w:firstLine="0"/>
              <w:rPr>
                <w:rFonts w:cs="Arial"/>
              </w:rPr>
            </w:pPr>
            <w:r w:rsidRPr="007974E8">
              <w:rPr>
                <w:rFonts w:cs="Arial"/>
              </w:rPr>
              <w:t>15</w:t>
            </w:r>
          </w:p>
        </w:tc>
        <w:tc>
          <w:tcPr>
            <w:tcW w:w="3402" w:type="dxa"/>
            <w:shd w:val="clear" w:color="auto" w:fill="auto"/>
          </w:tcPr>
          <w:p w14:paraId="69BEC18A" w14:textId="77777777" w:rsidR="00853ACE" w:rsidRPr="007974E8" w:rsidRDefault="00853ACE" w:rsidP="007974E8">
            <w:pPr>
              <w:pStyle w:val="Lista2"/>
              <w:spacing w:line="276" w:lineRule="auto"/>
              <w:ind w:left="0" w:firstLine="0"/>
              <w:rPr>
                <w:rFonts w:cs="Arial"/>
              </w:rPr>
            </w:pPr>
            <w:r w:rsidRPr="007974E8">
              <w:rPr>
                <w:rFonts w:cs="Arial"/>
              </w:rPr>
              <w:t>Comunicación 338 Empresa de Energía Eléctrica S.A. dirigida a Inadisa (proveedor de balastos)</w:t>
            </w:r>
          </w:p>
        </w:tc>
        <w:tc>
          <w:tcPr>
            <w:tcW w:w="4677" w:type="dxa"/>
            <w:shd w:val="clear" w:color="auto" w:fill="auto"/>
          </w:tcPr>
          <w:p w14:paraId="5613C0C5" w14:textId="77777777" w:rsidR="00853ACE" w:rsidRPr="007974E8" w:rsidRDefault="00853ACE" w:rsidP="007974E8">
            <w:pPr>
              <w:pStyle w:val="Lista2"/>
              <w:spacing w:line="276" w:lineRule="auto"/>
              <w:ind w:left="0" w:firstLine="0"/>
              <w:rPr>
                <w:rFonts w:cs="Arial"/>
              </w:rPr>
            </w:pPr>
            <w:r w:rsidRPr="007974E8">
              <w:rPr>
                <w:rFonts w:cs="Arial"/>
              </w:rPr>
              <w:t>Homologación balastos para bombillas de 125, 250 y 400 W – Hg y 250 y 400 W Na tipo reactor. Normas NTC 2117, NTC 2118, NTC 2243</w:t>
            </w:r>
            <w:r w:rsidR="00D95C54" w:rsidRPr="007974E8">
              <w:rPr>
                <w:rFonts w:cs="Arial"/>
              </w:rPr>
              <w:t xml:space="preserve"> </w:t>
            </w:r>
            <w:r w:rsidRPr="007974E8">
              <w:rPr>
                <w:rFonts w:cs="Arial"/>
              </w:rPr>
              <w:t>y las normas IEC 922 O IEC 923 para balastos de alta densidad de carga</w:t>
            </w:r>
            <w:r w:rsidRPr="007974E8">
              <w:rPr>
                <w:rStyle w:val="Refdenotaalpie"/>
                <w:rFonts w:cs="Arial"/>
              </w:rPr>
              <w:footnoteReference w:id="98"/>
            </w:r>
            <w:r w:rsidR="00D95C54" w:rsidRPr="007974E8">
              <w:rPr>
                <w:rFonts w:cs="Arial"/>
              </w:rPr>
              <w:t>.</w:t>
            </w:r>
            <w:r w:rsidRPr="007974E8">
              <w:rPr>
                <w:rFonts w:cs="Arial"/>
              </w:rPr>
              <w:t xml:space="preserve"> </w:t>
            </w:r>
          </w:p>
        </w:tc>
      </w:tr>
      <w:tr w:rsidR="00E06FC2" w:rsidRPr="00E06FC2" w14:paraId="37443945" w14:textId="77777777" w:rsidTr="007974E8">
        <w:tc>
          <w:tcPr>
            <w:tcW w:w="534" w:type="dxa"/>
            <w:shd w:val="clear" w:color="auto" w:fill="auto"/>
          </w:tcPr>
          <w:p w14:paraId="30972B07" w14:textId="77777777" w:rsidR="00853ACE" w:rsidRPr="007974E8" w:rsidRDefault="00853ACE" w:rsidP="007974E8">
            <w:pPr>
              <w:pStyle w:val="Lista2"/>
              <w:spacing w:line="276" w:lineRule="auto"/>
              <w:ind w:left="0" w:firstLine="0"/>
              <w:rPr>
                <w:rFonts w:cs="Arial"/>
              </w:rPr>
            </w:pPr>
            <w:r w:rsidRPr="007974E8">
              <w:rPr>
                <w:rFonts w:cs="Arial"/>
              </w:rPr>
              <w:t>16</w:t>
            </w:r>
          </w:p>
        </w:tc>
        <w:tc>
          <w:tcPr>
            <w:tcW w:w="3402" w:type="dxa"/>
            <w:shd w:val="clear" w:color="auto" w:fill="auto"/>
          </w:tcPr>
          <w:p w14:paraId="325A80F6" w14:textId="77777777" w:rsidR="00853ACE" w:rsidRPr="007974E8" w:rsidRDefault="00853ACE" w:rsidP="007974E8">
            <w:pPr>
              <w:pStyle w:val="Lista2"/>
              <w:spacing w:line="276" w:lineRule="auto"/>
              <w:ind w:left="0" w:firstLine="0"/>
              <w:rPr>
                <w:rFonts w:cs="Arial"/>
              </w:rPr>
            </w:pPr>
            <w:r w:rsidRPr="007974E8">
              <w:rPr>
                <w:rFonts w:cs="Arial"/>
              </w:rPr>
              <w:t xml:space="preserve">Certificación de la capacidad de producción de balastos, expedida por Inadisa (proveedor de balastos) </w:t>
            </w:r>
          </w:p>
        </w:tc>
        <w:tc>
          <w:tcPr>
            <w:tcW w:w="4677" w:type="dxa"/>
            <w:shd w:val="clear" w:color="auto" w:fill="auto"/>
          </w:tcPr>
          <w:p w14:paraId="551239E7" w14:textId="77777777" w:rsidR="00853ACE" w:rsidRPr="007974E8" w:rsidRDefault="00853ACE" w:rsidP="007974E8">
            <w:pPr>
              <w:pStyle w:val="Lista2"/>
              <w:spacing w:line="276" w:lineRule="auto"/>
              <w:ind w:left="0" w:firstLine="0"/>
              <w:rPr>
                <w:rFonts w:cs="Arial"/>
                <w:i/>
              </w:rPr>
            </w:pPr>
            <w:r w:rsidRPr="007974E8">
              <w:rPr>
                <w:rFonts w:cs="Arial"/>
                <w:i/>
              </w:rPr>
              <w:t>“Todos nuestros productos cumplen con las normas ICONTEC, especificaciones según CIDET y requisitos de homologación en la E.E.B.”</w:t>
            </w:r>
            <w:r w:rsidRPr="007974E8">
              <w:rPr>
                <w:rStyle w:val="Refdenotaalpie"/>
                <w:rFonts w:cs="Arial"/>
                <w:i/>
              </w:rPr>
              <w:footnoteReference w:id="99"/>
            </w:r>
            <w:r w:rsidR="00D95C54" w:rsidRPr="007974E8">
              <w:rPr>
                <w:rFonts w:cs="Arial"/>
                <w:i/>
              </w:rPr>
              <w:t>.</w:t>
            </w:r>
          </w:p>
        </w:tc>
      </w:tr>
      <w:tr w:rsidR="00E06FC2" w:rsidRPr="00E06FC2" w14:paraId="292B65B4" w14:textId="77777777" w:rsidTr="007974E8">
        <w:tc>
          <w:tcPr>
            <w:tcW w:w="534" w:type="dxa"/>
            <w:shd w:val="clear" w:color="auto" w:fill="auto"/>
          </w:tcPr>
          <w:p w14:paraId="4F55EA8D" w14:textId="77777777" w:rsidR="00853ACE" w:rsidRPr="007974E8" w:rsidRDefault="00853ACE" w:rsidP="007974E8">
            <w:pPr>
              <w:pStyle w:val="Lista2"/>
              <w:spacing w:line="276" w:lineRule="auto"/>
              <w:ind w:left="0" w:firstLine="0"/>
              <w:rPr>
                <w:rFonts w:cs="Arial"/>
              </w:rPr>
            </w:pPr>
            <w:r w:rsidRPr="007974E8">
              <w:rPr>
                <w:rFonts w:cs="Arial"/>
              </w:rPr>
              <w:t>17</w:t>
            </w:r>
          </w:p>
        </w:tc>
        <w:tc>
          <w:tcPr>
            <w:tcW w:w="3402" w:type="dxa"/>
            <w:shd w:val="clear" w:color="auto" w:fill="auto"/>
          </w:tcPr>
          <w:p w14:paraId="2E13FEF0" w14:textId="77777777" w:rsidR="00853ACE" w:rsidRPr="007974E8" w:rsidRDefault="00853ACE" w:rsidP="007974E8">
            <w:pPr>
              <w:pStyle w:val="Lista2"/>
              <w:spacing w:line="276" w:lineRule="auto"/>
              <w:ind w:left="0" w:firstLine="0"/>
              <w:rPr>
                <w:rFonts w:cs="Arial"/>
              </w:rPr>
            </w:pPr>
            <w:r w:rsidRPr="007974E8">
              <w:rPr>
                <w:rFonts w:cs="Arial"/>
              </w:rPr>
              <w:t>Evaluación del sistema de calidad realizada por Seico Ltda</w:t>
            </w:r>
            <w:r w:rsidR="008277DC" w:rsidRPr="007974E8">
              <w:rPr>
                <w:rFonts w:cs="Arial"/>
              </w:rPr>
              <w:t>.</w:t>
            </w:r>
            <w:r w:rsidRPr="007974E8">
              <w:rPr>
                <w:rFonts w:cs="Arial"/>
              </w:rPr>
              <w:t xml:space="preserve"> a Inadisa</w:t>
            </w:r>
          </w:p>
        </w:tc>
        <w:tc>
          <w:tcPr>
            <w:tcW w:w="4677" w:type="dxa"/>
            <w:shd w:val="clear" w:color="auto" w:fill="auto"/>
          </w:tcPr>
          <w:p w14:paraId="5027FD40" w14:textId="77777777" w:rsidR="00853ACE" w:rsidRPr="007974E8" w:rsidRDefault="00853ACE" w:rsidP="007974E8">
            <w:pPr>
              <w:pStyle w:val="Lista2"/>
              <w:spacing w:line="276" w:lineRule="auto"/>
              <w:ind w:left="0" w:firstLine="0"/>
              <w:rPr>
                <w:rFonts w:cs="Arial"/>
              </w:rPr>
            </w:pPr>
            <w:r w:rsidRPr="007974E8">
              <w:rPr>
                <w:rFonts w:cs="Arial"/>
              </w:rPr>
              <w:t>Norma NTC ISO 9004-1</w:t>
            </w:r>
            <w:r w:rsidRPr="007974E8">
              <w:rPr>
                <w:rStyle w:val="Refdenotaalpie"/>
                <w:rFonts w:cs="Arial"/>
              </w:rPr>
              <w:footnoteReference w:id="100"/>
            </w:r>
            <w:r w:rsidR="00D95C54" w:rsidRPr="007974E8">
              <w:rPr>
                <w:rFonts w:cs="Arial"/>
              </w:rPr>
              <w:t>.</w:t>
            </w:r>
          </w:p>
        </w:tc>
      </w:tr>
      <w:tr w:rsidR="00E06FC2" w:rsidRPr="00E06FC2" w14:paraId="27BA8E2C" w14:textId="77777777" w:rsidTr="007974E8">
        <w:tc>
          <w:tcPr>
            <w:tcW w:w="534" w:type="dxa"/>
            <w:shd w:val="clear" w:color="auto" w:fill="auto"/>
          </w:tcPr>
          <w:p w14:paraId="00E981FC" w14:textId="77777777" w:rsidR="00853ACE" w:rsidRPr="007974E8" w:rsidRDefault="00853ACE" w:rsidP="007974E8">
            <w:pPr>
              <w:pStyle w:val="Lista2"/>
              <w:spacing w:line="276" w:lineRule="auto"/>
              <w:ind w:left="0" w:firstLine="0"/>
              <w:rPr>
                <w:rFonts w:cs="Arial"/>
              </w:rPr>
            </w:pPr>
            <w:r w:rsidRPr="007974E8">
              <w:rPr>
                <w:rFonts w:cs="Arial"/>
              </w:rPr>
              <w:t>18</w:t>
            </w:r>
          </w:p>
        </w:tc>
        <w:tc>
          <w:tcPr>
            <w:tcW w:w="3402" w:type="dxa"/>
            <w:shd w:val="clear" w:color="auto" w:fill="auto"/>
          </w:tcPr>
          <w:p w14:paraId="192C60FD" w14:textId="77777777" w:rsidR="00853ACE" w:rsidRPr="007974E8" w:rsidRDefault="00853ACE" w:rsidP="007974E8">
            <w:pPr>
              <w:pStyle w:val="Lista2"/>
              <w:spacing w:line="276" w:lineRule="auto"/>
              <w:ind w:left="0" w:firstLine="0"/>
              <w:rPr>
                <w:rFonts w:cs="Arial"/>
              </w:rPr>
            </w:pPr>
            <w:r w:rsidRPr="007974E8">
              <w:rPr>
                <w:rFonts w:cs="Arial"/>
              </w:rPr>
              <w:t>Comunicación 560554 y 707292 Empresa de Energía Eléctrica S.A. dirigida a Disproel S.A.</w:t>
            </w:r>
          </w:p>
        </w:tc>
        <w:tc>
          <w:tcPr>
            <w:tcW w:w="4677" w:type="dxa"/>
            <w:shd w:val="clear" w:color="auto" w:fill="auto"/>
          </w:tcPr>
          <w:p w14:paraId="5691857A" w14:textId="77777777" w:rsidR="00853ACE" w:rsidRPr="007974E8" w:rsidRDefault="00853ACE" w:rsidP="007974E8">
            <w:pPr>
              <w:pStyle w:val="Lista2"/>
              <w:spacing w:line="276" w:lineRule="auto"/>
              <w:ind w:left="0" w:firstLine="0"/>
              <w:rPr>
                <w:rFonts w:cs="Arial"/>
              </w:rPr>
            </w:pPr>
            <w:r w:rsidRPr="007974E8">
              <w:rPr>
                <w:rFonts w:cs="Arial"/>
              </w:rPr>
              <w:t>Homologación Condensadores</w:t>
            </w:r>
            <w:r w:rsidR="00522EDD" w:rsidRPr="007974E8">
              <w:rPr>
                <w:rFonts w:cs="Arial"/>
              </w:rPr>
              <w:t>.</w:t>
            </w:r>
            <w:r w:rsidR="00D95C54" w:rsidRPr="007974E8">
              <w:rPr>
                <w:rFonts w:cs="Arial"/>
              </w:rPr>
              <w:t xml:space="preserve"> </w:t>
            </w:r>
            <w:r w:rsidRPr="007974E8">
              <w:rPr>
                <w:rFonts w:cs="Arial"/>
                <w:i/>
              </w:rPr>
              <w:t>“Se autoriza la homologación en luminarias a instalar en el sistema de alumbrado público”</w:t>
            </w:r>
            <w:r w:rsidRPr="007974E8">
              <w:rPr>
                <w:rFonts w:cs="Arial"/>
              </w:rPr>
              <w:t xml:space="preserve"> Norma NTC 2134</w:t>
            </w:r>
            <w:r w:rsidR="00522EDD" w:rsidRPr="007974E8">
              <w:rPr>
                <w:rStyle w:val="Refdenotaalpie"/>
                <w:rFonts w:cs="Arial"/>
              </w:rPr>
              <w:footnoteReference w:id="101"/>
            </w:r>
            <w:r w:rsidR="00522EDD" w:rsidRPr="007974E8">
              <w:rPr>
                <w:rFonts w:cs="Arial"/>
              </w:rPr>
              <w:t>.</w:t>
            </w:r>
          </w:p>
        </w:tc>
      </w:tr>
      <w:tr w:rsidR="00E06FC2" w:rsidRPr="00E06FC2" w14:paraId="795AF297" w14:textId="77777777" w:rsidTr="007974E8">
        <w:tc>
          <w:tcPr>
            <w:tcW w:w="534" w:type="dxa"/>
            <w:shd w:val="clear" w:color="auto" w:fill="auto"/>
          </w:tcPr>
          <w:p w14:paraId="3AECFEE8" w14:textId="77777777" w:rsidR="0058592A" w:rsidRPr="007974E8" w:rsidRDefault="0058592A" w:rsidP="007974E8">
            <w:pPr>
              <w:pStyle w:val="Lista2"/>
              <w:spacing w:line="276" w:lineRule="auto"/>
              <w:ind w:left="0" w:firstLine="0"/>
              <w:rPr>
                <w:rFonts w:cs="Arial"/>
              </w:rPr>
            </w:pPr>
            <w:r w:rsidRPr="007974E8">
              <w:rPr>
                <w:rFonts w:cs="Arial"/>
              </w:rPr>
              <w:t>19</w:t>
            </w:r>
          </w:p>
        </w:tc>
        <w:tc>
          <w:tcPr>
            <w:tcW w:w="3402" w:type="dxa"/>
            <w:shd w:val="clear" w:color="auto" w:fill="auto"/>
          </w:tcPr>
          <w:p w14:paraId="30FBEAB7" w14:textId="77777777" w:rsidR="0058592A" w:rsidRPr="007974E8" w:rsidRDefault="0058592A" w:rsidP="007974E8">
            <w:pPr>
              <w:pStyle w:val="Lista2"/>
              <w:spacing w:line="276" w:lineRule="auto"/>
              <w:ind w:left="0" w:firstLine="0"/>
              <w:rPr>
                <w:rFonts w:cs="Arial"/>
              </w:rPr>
            </w:pPr>
            <w:r w:rsidRPr="007974E8">
              <w:rPr>
                <w:rFonts w:cs="Arial"/>
              </w:rPr>
              <w:t>Certificado ICO</w:t>
            </w:r>
            <w:r w:rsidR="00D95C54" w:rsidRPr="007974E8">
              <w:rPr>
                <w:rFonts w:cs="Arial"/>
              </w:rPr>
              <w:t>N</w:t>
            </w:r>
            <w:r w:rsidRPr="007974E8">
              <w:rPr>
                <w:rFonts w:cs="Arial"/>
              </w:rPr>
              <w:t>TEC expedido a Disproel (proveedor de electrocondensadores).</w:t>
            </w:r>
          </w:p>
        </w:tc>
        <w:tc>
          <w:tcPr>
            <w:tcW w:w="4677" w:type="dxa"/>
            <w:shd w:val="clear" w:color="auto" w:fill="auto"/>
          </w:tcPr>
          <w:p w14:paraId="4B683F8D" w14:textId="77777777" w:rsidR="0058592A" w:rsidRPr="007974E8" w:rsidRDefault="0058592A" w:rsidP="007974E8">
            <w:pPr>
              <w:pStyle w:val="Lista2"/>
              <w:spacing w:line="276" w:lineRule="auto"/>
              <w:ind w:left="0" w:firstLine="0"/>
              <w:rPr>
                <w:rFonts w:cs="Arial"/>
              </w:rPr>
            </w:pPr>
            <w:r w:rsidRPr="007974E8">
              <w:rPr>
                <w:rFonts w:cs="Arial"/>
              </w:rPr>
              <w:t>Electrocondensadores</w:t>
            </w:r>
            <w:r w:rsidRPr="007974E8">
              <w:rPr>
                <w:rStyle w:val="Refdenotaalpie"/>
                <w:rFonts w:cs="Arial"/>
              </w:rPr>
              <w:footnoteReference w:id="102"/>
            </w:r>
            <w:r w:rsidR="00D95C54" w:rsidRPr="007974E8">
              <w:rPr>
                <w:rFonts w:cs="Arial"/>
              </w:rPr>
              <w:t>.</w:t>
            </w:r>
          </w:p>
        </w:tc>
      </w:tr>
      <w:tr w:rsidR="00E06FC2" w:rsidRPr="00E06FC2" w14:paraId="25028CDE" w14:textId="77777777" w:rsidTr="007974E8">
        <w:tc>
          <w:tcPr>
            <w:tcW w:w="534" w:type="dxa"/>
            <w:shd w:val="clear" w:color="auto" w:fill="auto"/>
          </w:tcPr>
          <w:p w14:paraId="31197A0D" w14:textId="77777777" w:rsidR="0058592A" w:rsidRPr="007974E8" w:rsidRDefault="0058592A" w:rsidP="007974E8">
            <w:pPr>
              <w:pStyle w:val="Lista2"/>
              <w:spacing w:line="276" w:lineRule="auto"/>
              <w:ind w:left="0" w:firstLine="0"/>
              <w:rPr>
                <w:rFonts w:cs="Arial"/>
              </w:rPr>
            </w:pPr>
            <w:r w:rsidRPr="007974E8">
              <w:rPr>
                <w:rFonts w:cs="Arial"/>
              </w:rPr>
              <w:lastRenderedPageBreak/>
              <w:t>20</w:t>
            </w:r>
          </w:p>
        </w:tc>
        <w:tc>
          <w:tcPr>
            <w:tcW w:w="3402" w:type="dxa"/>
            <w:shd w:val="clear" w:color="auto" w:fill="auto"/>
          </w:tcPr>
          <w:p w14:paraId="396C0D7B" w14:textId="77777777" w:rsidR="0058592A" w:rsidRPr="007974E8" w:rsidRDefault="0058592A" w:rsidP="007974E8">
            <w:pPr>
              <w:pStyle w:val="Lista2"/>
              <w:spacing w:line="276" w:lineRule="auto"/>
              <w:ind w:left="0" w:firstLine="0"/>
              <w:rPr>
                <w:rFonts w:cs="Arial"/>
              </w:rPr>
            </w:pPr>
            <w:r w:rsidRPr="007974E8">
              <w:rPr>
                <w:rFonts w:cs="Arial"/>
              </w:rPr>
              <w:t>Evaluación del sistema de calidad realizado por Emag a Megalite (proveedor de arrancadores)</w:t>
            </w:r>
          </w:p>
        </w:tc>
        <w:tc>
          <w:tcPr>
            <w:tcW w:w="4677" w:type="dxa"/>
            <w:shd w:val="clear" w:color="auto" w:fill="auto"/>
          </w:tcPr>
          <w:p w14:paraId="014DE97A" w14:textId="77777777" w:rsidR="0058592A" w:rsidRPr="007974E8" w:rsidRDefault="0058592A" w:rsidP="007974E8">
            <w:pPr>
              <w:pStyle w:val="Lista2"/>
              <w:spacing w:line="276" w:lineRule="auto"/>
              <w:ind w:left="0" w:firstLine="0"/>
              <w:rPr>
                <w:rFonts w:cs="Arial"/>
              </w:rPr>
            </w:pPr>
            <w:r w:rsidRPr="007974E8">
              <w:rPr>
                <w:rFonts w:cs="Arial"/>
              </w:rPr>
              <w:t>Norma NTC ISO 9004-1</w:t>
            </w:r>
            <w:r w:rsidRPr="007974E8">
              <w:rPr>
                <w:rStyle w:val="Refdenotaalpie"/>
                <w:rFonts w:cs="Arial"/>
              </w:rPr>
              <w:footnoteReference w:id="103"/>
            </w:r>
            <w:r w:rsidRPr="007974E8">
              <w:rPr>
                <w:rFonts w:cs="Arial"/>
              </w:rPr>
              <w:t xml:space="preserve"> </w:t>
            </w:r>
          </w:p>
        </w:tc>
      </w:tr>
    </w:tbl>
    <w:p w14:paraId="6DE2E62E" w14:textId="77777777" w:rsidR="0058592A" w:rsidRPr="00E06FC2" w:rsidRDefault="0058592A" w:rsidP="00743788">
      <w:pPr>
        <w:pStyle w:val="Lista2"/>
        <w:spacing w:line="276" w:lineRule="auto"/>
        <w:ind w:left="0" w:firstLine="0"/>
        <w:rPr>
          <w:rFonts w:cs="Arial"/>
        </w:rPr>
      </w:pPr>
    </w:p>
    <w:p w14:paraId="34A56DA2" w14:textId="77777777" w:rsidR="00DA1EED" w:rsidRPr="00E06FC2" w:rsidRDefault="00A47B3A" w:rsidP="00743788">
      <w:pPr>
        <w:ind w:right="49"/>
        <w:rPr>
          <w:rFonts w:cs="Arial"/>
        </w:rPr>
      </w:pPr>
      <w:r w:rsidRPr="00E06FC2">
        <w:rPr>
          <w:rFonts w:cs="Arial"/>
        </w:rPr>
        <w:t>Según lo expuesto</w:t>
      </w:r>
      <w:r w:rsidR="00DA1EED" w:rsidRPr="00E06FC2">
        <w:rPr>
          <w:rFonts w:cs="Arial"/>
        </w:rPr>
        <w:t>, la asignación de puntaje de la propuesta ganadora no se basó en elementos etéreos</w:t>
      </w:r>
      <w:r w:rsidR="00882ED2" w:rsidRPr="00E06FC2">
        <w:rPr>
          <w:rFonts w:cs="Arial"/>
        </w:rPr>
        <w:t xml:space="preserve"> o subjetivos como afirmó la demandante</w:t>
      </w:r>
      <w:r w:rsidR="00DA1EED" w:rsidRPr="00E06FC2">
        <w:rPr>
          <w:rFonts w:cs="Arial"/>
        </w:rPr>
        <w:t>. Tampoco se demostró que las certificaciones tuvieran falencias respecto de las exigencias del pliego de condic</w:t>
      </w:r>
      <w:r w:rsidR="001D3710" w:rsidRPr="00E06FC2">
        <w:rPr>
          <w:rFonts w:cs="Arial"/>
        </w:rPr>
        <w:t>i</w:t>
      </w:r>
      <w:r w:rsidR="00DA1EED" w:rsidRPr="00E06FC2">
        <w:rPr>
          <w:rFonts w:cs="Arial"/>
        </w:rPr>
        <w:t>ones y, por el contrario, se aprecia que la propuesta ganadora se preocupó de acreditar las condiciones técnicas de los proveedores cuyos productos ofreció utilizar para el cumplimiento del contrato de concesión.</w:t>
      </w:r>
    </w:p>
    <w:p w14:paraId="496BA5E9" w14:textId="77777777" w:rsidR="00882ED2" w:rsidRPr="00E06FC2" w:rsidRDefault="00882ED2" w:rsidP="00743788">
      <w:pPr>
        <w:ind w:right="49"/>
        <w:rPr>
          <w:rFonts w:cs="Arial"/>
        </w:rPr>
      </w:pPr>
    </w:p>
    <w:p w14:paraId="41C8AF1D" w14:textId="77777777" w:rsidR="00882ED2" w:rsidRPr="00E06FC2" w:rsidRDefault="0063042A" w:rsidP="00743788">
      <w:pPr>
        <w:ind w:right="49"/>
        <w:rPr>
          <w:rFonts w:cs="Arial"/>
        </w:rPr>
      </w:pPr>
      <w:r w:rsidRPr="00E06FC2">
        <w:rPr>
          <w:rFonts w:cs="Arial"/>
        </w:rPr>
        <w:t xml:space="preserve">Por tanto, no hay lugar a modificar el puntaje de 590 puntos sobre 600, asignado a la propuesta </w:t>
      </w:r>
      <w:r w:rsidR="00882ED2" w:rsidRPr="00E06FC2">
        <w:rPr>
          <w:rFonts w:cs="Arial"/>
        </w:rPr>
        <w:t>de la UT Dislecsa – Montajes Eléctricos.</w:t>
      </w:r>
    </w:p>
    <w:p w14:paraId="4AF2D2B6" w14:textId="77777777" w:rsidR="00DA1EED" w:rsidRPr="00E06FC2" w:rsidRDefault="00DA1EED" w:rsidP="00743788">
      <w:pPr>
        <w:ind w:right="49"/>
        <w:rPr>
          <w:rFonts w:cs="Arial"/>
          <w:b/>
        </w:rPr>
      </w:pPr>
    </w:p>
    <w:p w14:paraId="608A6E86" w14:textId="77777777" w:rsidR="00DA1EED" w:rsidRPr="00E06FC2" w:rsidRDefault="00BF0DC3" w:rsidP="00743788">
      <w:pPr>
        <w:spacing w:line="240" w:lineRule="auto"/>
        <w:ind w:right="49"/>
        <w:rPr>
          <w:rFonts w:cs="Arial"/>
          <w:b/>
        </w:rPr>
      </w:pPr>
      <w:r w:rsidRPr="00E06FC2">
        <w:rPr>
          <w:rFonts w:cs="Arial"/>
          <w:b/>
        </w:rPr>
        <w:t>5</w:t>
      </w:r>
      <w:r w:rsidR="002951D3" w:rsidRPr="00E06FC2">
        <w:rPr>
          <w:rFonts w:cs="Arial"/>
          <w:b/>
        </w:rPr>
        <w:t>.</w:t>
      </w:r>
      <w:r w:rsidR="009470DF" w:rsidRPr="00E06FC2">
        <w:rPr>
          <w:rFonts w:cs="Arial"/>
          <w:b/>
        </w:rPr>
        <w:t>5</w:t>
      </w:r>
      <w:r w:rsidR="002951D3" w:rsidRPr="00E06FC2">
        <w:rPr>
          <w:rFonts w:cs="Arial"/>
          <w:b/>
        </w:rPr>
        <w:t>.</w:t>
      </w:r>
      <w:r w:rsidR="003D6731" w:rsidRPr="00E06FC2">
        <w:rPr>
          <w:rFonts w:cs="Arial"/>
          <w:b/>
        </w:rPr>
        <w:t xml:space="preserve"> </w:t>
      </w:r>
      <w:r w:rsidR="00DA1EED" w:rsidRPr="00E06FC2">
        <w:rPr>
          <w:rFonts w:cs="Arial"/>
          <w:b/>
        </w:rPr>
        <w:t>An</w:t>
      </w:r>
      <w:r w:rsidR="00882ED2" w:rsidRPr="00E06FC2">
        <w:rPr>
          <w:rFonts w:cs="Arial"/>
          <w:b/>
        </w:rPr>
        <w:t>á</w:t>
      </w:r>
      <w:r w:rsidR="00DA1EED" w:rsidRPr="00E06FC2">
        <w:rPr>
          <w:rFonts w:cs="Arial"/>
          <w:b/>
        </w:rPr>
        <w:t xml:space="preserve">lisis de la calificación </w:t>
      </w:r>
      <w:r w:rsidR="00522EDD" w:rsidRPr="00E06FC2">
        <w:rPr>
          <w:rFonts w:cs="Arial"/>
          <w:b/>
        </w:rPr>
        <w:t xml:space="preserve">correspondiente </w:t>
      </w:r>
      <w:r w:rsidR="00DA1EED" w:rsidRPr="00E06FC2">
        <w:rPr>
          <w:rFonts w:cs="Arial"/>
          <w:b/>
        </w:rPr>
        <w:t>por el factor de capacidad financiera</w:t>
      </w:r>
    </w:p>
    <w:p w14:paraId="39BF05CA" w14:textId="77777777" w:rsidR="00DA1EED" w:rsidRPr="00E06FC2" w:rsidRDefault="00DA1EED" w:rsidP="00743788">
      <w:pPr>
        <w:ind w:right="49"/>
        <w:rPr>
          <w:rFonts w:cs="Arial"/>
        </w:rPr>
      </w:pPr>
    </w:p>
    <w:p w14:paraId="704DDA91" w14:textId="77777777" w:rsidR="001D3710" w:rsidRPr="00E06FC2" w:rsidRDefault="00DA1EED" w:rsidP="00743788">
      <w:pPr>
        <w:ind w:right="49"/>
        <w:rPr>
          <w:rFonts w:cs="Arial"/>
        </w:rPr>
      </w:pPr>
      <w:r w:rsidRPr="00E06FC2">
        <w:rPr>
          <w:rFonts w:cs="Arial"/>
        </w:rPr>
        <w:t xml:space="preserve">La demandante afirmó que </w:t>
      </w:r>
      <w:r w:rsidR="00882ED2" w:rsidRPr="00E06FC2">
        <w:rPr>
          <w:rFonts w:cs="Arial"/>
        </w:rPr>
        <w:t xml:space="preserve">su propuesta </w:t>
      </w:r>
      <w:r w:rsidRPr="00E06FC2">
        <w:rPr>
          <w:rFonts w:cs="Arial"/>
        </w:rPr>
        <w:t>debió ser calificada con 100 puntos y no con 9</w:t>
      </w:r>
      <w:r w:rsidR="001D3710" w:rsidRPr="00E06FC2">
        <w:rPr>
          <w:rFonts w:cs="Arial"/>
        </w:rPr>
        <w:t>0</w:t>
      </w:r>
      <w:r w:rsidRPr="00E06FC2">
        <w:rPr>
          <w:rFonts w:cs="Arial"/>
        </w:rPr>
        <w:t xml:space="preserve"> en el factor de capacidad financiera</w:t>
      </w:r>
      <w:r w:rsidR="001D3710" w:rsidRPr="00E06FC2">
        <w:rPr>
          <w:rFonts w:cs="Arial"/>
        </w:rPr>
        <w:t>, toda vez que acreditó un patrimonio l</w:t>
      </w:r>
      <w:r w:rsidR="00504663" w:rsidRPr="00E06FC2">
        <w:rPr>
          <w:rFonts w:cs="Arial"/>
        </w:rPr>
        <w:t>í</w:t>
      </w:r>
      <w:r w:rsidR="001D3710" w:rsidRPr="00E06FC2">
        <w:rPr>
          <w:rFonts w:cs="Arial"/>
        </w:rPr>
        <w:t>quido superior a los $1.200</w:t>
      </w:r>
      <w:r w:rsidR="00257E16" w:rsidRPr="00E06FC2">
        <w:rPr>
          <w:rFonts w:cs="Arial"/>
        </w:rPr>
        <w:t>’</w:t>
      </w:r>
      <w:r w:rsidR="001D3710" w:rsidRPr="00E06FC2">
        <w:rPr>
          <w:rFonts w:cs="Arial"/>
        </w:rPr>
        <w:t>000.000.</w:t>
      </w:r>
    </w:p>
    <w:p w14:paraId="75C6D1C0" w14:textId="77777777" w:rsidR="00DA1EED" w:rsidRPr="00E06FC2" w:rsidRDefault="00DA1EED" w:rsidP="00743788">
      <w:pPr>
        <w:ind w:right="49"/>
        <w:rPr>
          <w:rFonts w:cs="Arial"/>
        </w:rPr>
      </w:pPr>
    </w:p>
    <w:p w14:paraId="6769B44D" w14:textId="77777777" w:rsidR="00504663" w:rsidRPr="00E06FC2" w:rsidRDefault="00504663" w:rsidP="00743788">
      <w:pPr>
        <w:ind w:right="49"/>
        <w:rPr>
          <w:rFonts w:cs="Arial"/>
        </w:rPr>
      </w:pPr>
      <w:r w:rsidRPr="00E06FC2">
        <w:rPr>
          <w:rFonts w:cs="Arial"/>
        </w:rPr>
        <w:t xml:space="preserve">Se advierte que el </w:t>
      </w:r>
      <w:r w:rsidR="000E362C" w:rsidRPr="00E06FC2">
        <w:rPr>
          <w:rFonts w:cs="Arial"/>
        </w:rPr>
        <w:t>a</w:t>
      </w:r>
      <w:r w:rsidRPr="00E06FC2">
        <w:rPr>
          <w:rFonts w:cs="Arial"/>
        </w:rPr>
        <w:t xml:space="preserve">dendo 3 incorporó la siguiente modificación al pliego de </w:t>
      </w:r>
    </w:p>
    <w:p w14:paraId="5D36CA0F" w14:textId="77777777" w:rsidR="00504663" w:rsidRPr="00E06FC2" w:rsidRDefault="00504663" w:rsidP="00743788">
      <w:pPr>
        <w:ind w:right="49"/>
        <w:rPr>
          <w:rFonts w:cs="Arial"/>
        </w:rPr>
      </w:pPr>
      <w:r w:rsidRPr="00E06FC2">
        <w:rPr>
          <w:rFonts w:cs="Arial"/>
        </w:rPr>
        <w:t>condiciones de la Licitación Pública 001 de 1997</w:t>
      </w:r>
      <w:r w:rsidR="00236855" w:rsidRPr="00E06FC2">
        <w:rPr>
          <w:rFonts w:cs="Arial"/>
        </w:rPr>
        <w:t>:</w:t>
      </w:r>
    </w:p>
    <w:p w14:paraId="19F2845B" w14:textId="77777777" w:rsidR="00960520" w:rsidRPr="00E06FC2" w:rsidRDefault="00960520" w:rsidP="00743788">
      <w:pPr>
        <w:ind w:left="567" w:right="567"/>
        <w:rPr>
          <w:rFonts w:cs="Arial"/>
          <w:i/>
        </w:rPr>
      </w:pPr>
    </w:p>
    <w:p w14:paraId="07CC67E9" w14:textId="77777777" w:rsidR="00960520" w:rsidRPr="00E06FC2" w:rsidRDefault="00504663" w:rsidP="00743788">
      <w:pPr>
        <w:spacing w:line="276" w:lineRule="auto"/>
        <w:ind w:left="567" w:right="567"/>
        <w:rPr>
          <w:rFonts w:cs="Arial"/>
          <w:i/>
        </w:rPr>
      </w:pPr>
      <w:r w:rsidRPr="00E06FC2">
        <w:rPr>
          <w:rFonts w:cs="Arial"/>
          <w:i/>
        </w:rPr>
        <w:t>“4. Modificar el criterio de calificación correspondiente a la capacidad financiera</w:t>
      </w:r>
      <w:r w:rsidR="00960520" w:rsidRPr="00E06FC2">
        <w:rPr>
          <w:rFonts w:cs="Arial"/>
          <w:i/>
        </w:rPr>
        <w:t xml:space="preserve"> del oferente, la cual se evaluará con base en el patrimonio líquido y los activos”</w:t>
      </w:r>
      <w:r w:rsidR="00960520" w:rsidRPr="00E06FC2">
        <w:rPr>
          <w:rStyle w:val="Refdenotaalpie"/>
          <w:rFonts w:cs="Arial"/>
          <w:i/>
        </w:rPr>
        <w:footnoteReference w:id="104"/>
      </w:r>
      <w:r w:rsidR="00960520" w:rsidRPr="00E06FC2">
        <w:rPr>
          <w:rFonts w:cs="Arial"/>
          <w:i/>
        </w:rPr>
        <w:t>.</w:t>
      </w:r>
    </w:p>
    <w:p w14:paraId="47BB08BF" w14:textId="77777777" w:rsidR="00960520" w:rsidRPr="00E06FC2" w:rsidRDefault="00960520" w:rsidP="00743788">
      <w:pPr>
        <w:ind w:right="49"/>
        <w:rPr>
          <w:rFonts w:cs="Arial"/>
        </w:rPr>
      </w:pPr>
    </w:p>
    <w:p w14:paraId="6D4B5C94" w14:textId="77777777" w:rsidR="0063042A" w:rsidRPr="00E06FC2" w:rsidRDefault="00DA1EED" w:rsidP="00743788">
      <w:pPr>
        <w:ind w:right="49"/>
        <w:rPr>
          <w:rFonts w:cs="Arial"/>
        </w:rPr>
      </w:pPr>
      <w:r w:rsidRPr="00E06FC2">
        <w:rPr>
          <w:rFonts w:cs="Arial"/>
        </w:rPr>
        <w:t xml:space="preserve">De acuerdo con el acta del </w:t>
      </w:r>
      <w:r w:rsidR="00A47B3A" w:rsidRPr="00E06FC2">
        <w:rPr>
          <w:rFonts w:cs="Arial"/>
        </w:rPr>
        <w:t>c</w:t>
      </w:r>
      <w:r w:rsidRPr="00E06FC2">
        <w:rPr>
          <w:rFonts w:cs="Arial"/>
        </w:rPr>
        <w:t xml:space="preserve">omité de </w:t>
      </w:r>
      <w:r w:rsidR="00A47B3A" w:rsidRPr="00E06FC2">
        <w:rPr>
          <w:rFonts w:cs="Arial"/>
        </w:rPr>
        <w:t>e</w:t>
      </w:r>
      <w:r w:rsidRPr="00E06FC2">
        <w:rPr>
          <w:rFonts w:cs="Arial"/>
        </w:rPr>
        <w:t xml:space="preserve">valuación el puntaje </w:t>
      </w:r>
      <w:r w:rsidR="00257E16" w:rsidRPr="00E06FC2">
        <w:rPr>
          <w:rFonts w:cs="Arial"/>
        </w:rPr>
        <w:t xml:space="preserve">por razón de la capacidad financiera </w:t>
      </w:r>
      <w:r w:rsidRPr="00E06FC2">
        <w:rPr>
          <w:rFonts w:cs="Arial"/>
        </w:rPr>
        <w:t xml:space="preserve">se asignó de </w:t>
      </w:r>
      <w:r w:rsidR="0063042A" w:rsidRPr="00E06FC2">
        <w:rPr>
          <w:rFonts w:cs="Arial"/>
        </w:rPr>
        <w:t xml:space="preserve">conformidad </w:t>
      </w:r>
      <w:r w:rsidRPr="00E06FC2">
        <w:rPr>
          <w:rFonts w:cs="Arial"/>
        </w:rPr>
        <w:t xml:space="preserve">con </w:t>
      </w:r>
      <w:r w:rsidR="00257E16" w:rsidRPr="00E06FC2">
        <w:rPr>
          <w:rFonts w:cs="Arial"/>
        </w:rPr>
        <w:t>los valores del patrimonio l</w:t>
      </w:r>
      <w:r w:rsidR="0030007C" w:rsidRPr="00E06FC2">
        <w:rPr>
          <w:rFonts w:cs="Arial"/>
        </w:rPr>
        <w:t>í</w:t>
      </w:r>
      <w:r w:rsidR="00257E16" w:rsidRPr="00E06FC2">
        <w:rPr>
          <w:rFonts w:cs="Arial"/>
        </w:rPr>
        <w:t xml:space="preserve">quido y </w:t>
      </w:r>
      <w:r w:rsidRPr="00E06FC2">
        <w:rPr>
          <w:rFonts w:cs="Arial"/>
        </w:rPr>
        <w:t xml:space="preserve">de </w:t>
      </w:r>
      <w:r w:rsidR="001D3710" w:rsidRPr="00E06FC2">
        <w:rPr>
          <w:rFonts w:cs="Arial"/>
        </w:rPr>
        <w:t xml:space="preserve">los </w:t>
      </w:r>
      <w:r w:rsidRPr="00E06FC2">
        <w:rPr>
          <w:rFonts w:cs="Arial"/>
        </w:rPr>
        <w:t xml:space="preserve">activos, </w:t>
      </w:r>
      <w:r w:rsidR="001D3710" w:rsidRPr="00E06FC2">
        <w:rPr>
          <w:rFonts w:cs="Arial"/>
        </w:rPr>
        <w:t xml:space="preserve">de </w:t>
      </w:r>
      <w:r w:rsidR="00257E16" w:rsidRPr="00E06FC2">
        <w:rPr>
          <w:rFonts w:cs="Arial"/>
        </w:rPr>
        <w:t xml:space="preserve">conformidad </w:t>
      </w:r>
      <w:r w:rsidR="0063042A" w:rsidRPr="00E06FC2">
        <w:rPr>
          <w:rFonts w:cs="Arial"/>
        </w:rPr>
        <w:t xml:space="preserve">con la modificación introducida en el </w:t>
      </w:r>
      <w:r w:rsidR="00A47B3A" w:rsidRPr="00E06FC2">
        <w:rPr>
          <w:rFonts w:cs="Arial"/>
        </w:rPr>
        <w:t>a</w:t>
      </w:r>
      <w:r w:rsidR="0063042A" w:rsidRPr="00E06FC2">
        <w:rPr>
          <w:rFonts w:cs="Arial"/>
        </w:rPr>
        <w:t>dendo 3.</w:t>
      </w:r>
    </w:p>
    <w:p w14:paraId="7F2B87C2" w14:textId="77777777" w:rsidR="0063042A" w:rsidRPr="00E06FC2" w:rsidRDefault="0063042A" w:rsidP="00743788">
      <w:pPr>
        <w:ind w:right="49"/>
        <w:rPr>
          <w:rFonts w:cs="Arial"/>
        </w:rPr>
      </w:pPr>
    </w:p>
    <w:p w14:paraId="44041031" w14:textId="77777777" w:rsidR="0063042A" w:rsidRPr="00E06FC2" w:rsidRDefault="0063042A" w:rsidP="00743788">
      <w:pPr>
        <w:ind w:right="49"/>
        <w:rPr>
          <w:rFonts w:cs="Arial"/>
        </w:rPr>
      </w:pPr>
      <w:r w:rsidRPr="00E06FC2">
        <w:rPr>
          <w:rFonts w:cs="Arial"/>
        </w:rPr>
        <w:t xml:space="preserve">En efecto, el </w:t>
      </w:r>
      <w:r w:rsidR="00A47B3A" w:rsidRPr="00E06FC2">
        <w:rPr>
          <w:rFonts w:cs="Arial"/>
        </w:rPr>
        <w:t>a</w:t>
      </w:r>
      <w:r w:rsidRPr="00E06FC2">
        <w:rPr>
          <w:rFonts w:cs="Arial"/>
        </w:rPr>
        <w:t>dendo 3 dispuso la calificac</w:t>
      </w:r>
      <w:r w:rsidR="00257E16" w:rsidRPr="00E06FC2">
        <w:rPr>
          <w:rFonts w:cs="Arial"/>
        </w:rPr>
        <w:t>i</w:t>
      </w:r>
      <w:r w:rsidRPr="00E06FC2">
        <w:rPr>
          <w:rFonts w:cs="Arial"/>
        </w:rPr>
        <w:t xml:space="preserve">ón de </w:t>
      </w:r>
      <w:r w:rsidR="00257E16" w:rsidRPr="00E06FC2">
        <w:rPr>
          <w:rFonts w:cs="Arial"/>
        </w:rPr>
        <w:t xml:space="preserve">la </w:t>
      </w:r>
      <w:r w:rsidRPr="00E06FC2">
        <w:rPr>
          <w:rFonts w:cs="Arial"/>
        </w:rPr>
        <w:t>c</w:t>
      </w:r>
      <w:r w:rsidR="00257E16" w:rsidRPr="00E06FC2">
        <w:rPr>
          <w:rFonts w:cs="Arial"/>
        </w:rPr>
        <w:t>a</w:t>
      </w:r>
      <w:r w:rsidRPr="00E06FC2">
        <w:rPr>
          <w:rFonts w:cs="Arial"/>
        </w:rPr>
        <w:t xml:space="preserve">pacidad </w:t>
      </w:r>
      <w:r w:rsidR="00A47B3A" w:rsidRPr="00E06FC2">
        <w:rPr>
          <w:rFonts w:cs="Arial"/>
        </w:rPr>
        <w:t xml:space="preserve">financiera </w:t>
      </w:r>
      <w:r w:rsidRPr="00E06FC2">
        <w:rPr>
          <w:rFonts w:cs="Arial"/>
        </w:rPr>
        <w:t>con base en esos dos criterios</w:t>
      </w:r>
      <w:r w:rsidR="00830772" w:rsidRPr="00E06FC2">
        <w:rPr>
          <w:rFonts w:cs="Arial"/>
        </w:rPr>
        <w:t>: el patrimonio líquido y los activos</w:t>
      </w:r>
      <w:r w:rsidRPr="00E06FC2">
        <w:rPr>
          <w:rFonts w:cs="Arial"/>
        </w:rPr>
        <w:t>.</w:t>
      </w:r>
    </w:p>
    <w:p w14:paraId="6AEE053C" w14:textId="77777777" w:rsidR="0063042A" w:rsidRPr="00E06FC2" w:rsidRDefault="0063042A" w:rsidP="00743788">
      <w:pPr>
        <w:ind w:right="49"/>
        <w:rPr>
          <w:rFonts w:cs="Arial"/>
        </w:rPr>
      </w:pPr>
    </w:p>
    <w:p w14:paraId="484BBC0B" w14:textId="77777777" w:rsidR="0063042A" w:rsidRPr="00E06FC2" w:rsidRDefault="0063042A" w:rsidP="00743788">
      <w:pPr>
        <w:ind w:right="49"/>
        <w:rPr>
          <w:rFonts w:cs="Arial"/>
        </w:rPr>
      </w:pPr>
      <w:r w:rsidRPr="00E06FC2">
        <w:rPr>
          <w:rFonts w:cs="Arial"/>
        </w:rPr>
        <w:lastRenderedPageBreak/>
        <w:t xml:space="preserve">Argumentó la demandante que la parte pertinente del </w:t>
      </w:r>
      <w:r w:rsidR="00A47B3A" w:rsidRPr="00E06FC2">
        <w:rPr>
          <w:rFonts w:cs="Arial"/>
        </w:rPr>
        <w:t>a</w:t>
      </w:r>
      <w:r w:rsidRPr="00E06FC2">
        <w:rPr>
          <w:rFonts w:cs="Arial"/>
        </w:rPr>
        <w:t xml:space="preserve">dendo 3 debió </w:t>
      </w:r>
      <w:r w:rsidR="00F66EEC" w:rsidRPr="00E06FC2">
        <w:rPr>
          <w:rFonts w:cs="Arial"/>
        </w:rPr>
        <w:t xml:space="preserve">tenerse </w:t>
      </w:r>
      <w:r w:rsidRPr="00E06FC2">
        <w:rPr>
          <w:rFonts w:cs="Arial"/>
        </w:rPr>
        <w:t>como ineficaz, a tenor de lo establecido en el artículo 24,</w:t>
      </w:r>
      <w:r w:rsidR="00A47B3A" w:rsidRPr="00E06FC2">
        <w:rPr>
          <w:rFonts w:cs="Arial"/>
        </w:rPr>
        <w:t xml:space="preserve"> </w:t>
      </w:r>
      <w:r w:rsidRPr="00E06FC2">
        <w:rPr>
          <w:rFonts w:cs="Arial"/>
        </w:rPr>
        <w:t xml:space="preserve">literales a, b y </w:t>
      </w:r>
      <w:r w:rsidR="00F66EEC" w:rsidRPr="00E06FC2">
        <w:rPr>
          <w:rFonts w:cs="Arial"/>
        </w:rPr>
        <w:t>e</w:t>
      </w:r>
      <w:r w:rsidR="00257E16" w:rsidRPr="00E06FC2">
        <w:rPr>
          <w:rFonts w:cs="Arial"/>
        </w:rPr>
        <w:t xml:space="preserve">, de </w:t>
      </w:r>
      <w:r w:rsidR="00830772" w:rsidRPr="00E06FC2">
        <w:rPr>
          <w:rFonts w:cs="Arial"/>
        </w:rPr>
        <w:t>l</w:t>
      </w:r>
      <w:r w:rsidR="00257E16" w:rsidRPr="00E06FC2">
        <w:rPr>
          <w:rFonts w:cs="Arial"/>
        </w:rPr>
        <w:t>a Ley 80 de 1993. La</w:t>
      </w:r>
      <w:r w:rsidR="00236855" w:rsidRPr="00E06FC2">
        <w:rPr>
          <w:rFonts w:cs="Arial"/>
        </w:rPr>
        <w:t>s</w:t>
      </w:r>
      <w:r w:rsidR="00257E16" w:rsidRPr="00E06FC2">
        <w:rPr>
          <w:rFonts w:cs="Arial"/>
        </w:rPr>
        <w:t xml:space="preserve"> disposiciones invocadas establecen lo siguiente:</w:t>
      </w:r>
    </w:p>
    <w:p w14:paraId="1C79C58B" w14:textId="77777777" w:rsidR="00830772" w:rsidRPr="00E06FC2" w:rsidRDefault="00830772" w:rsidP="00743788">
      <w:pPr>
        <w:pStyle w:val="NormalWeb"/>
        <w:spacing w:before="0" w:beforeAutospacing="0" w:after="0" w:afterAutospacing="0" w:line="240" w:lineRule="auto"/>
        <w:ind w:left="567" w:right="567"/>
        <w:rPr>
          <w:rFonts w:cs="Arial"/>
          <w:i/>
        </w:rPr>
      </w:pPr>
    </w:p>
    <w:p w14:paraId="069C2D48" w14:textId="77777777" w:rsidR="00F66EEC" w:rsidRPr="00E06FC2" w:rsidRDefault="00F66EEC" w:rsidP="00743788">
      <w:pPr>
        <w:pStyle w:val="NormalWeb"/>
        <w:spacing w:before="0" w:beforeAutospacing="0" w:after="0" w:afterAutospacing="0" w:line="276" w:lineRule="auto"/>
        <w:ind w:left="567" w:right="567"/>
        <w:rPr>
          <w:rFonts w:cs="Arial"/>
          <w:i/>
        </w:rPr>
      </w:pPr>
      <w:r w:rsidRPr="00E06FC2">
        <w:rPr>
          <w:rFonts w:cs="Arial"/>
          <w:i/>
        </w:rPr>
        <w:t>“5o.</w:t>
      </w:r>
      <w:bookmarkStart w:id="5" w:name="24.5"/>
      <w:r w:rsidRPr="00E06FC2">
        <w:rPr>
          <w:rFonts w:cs="Arial"/>
          <w:i/>
        </w:rPr>
        <w:t> </w:t>
      </w:r>
      <w:bookmarkEnd w:id="5"/>
      <w:r w:rsidRPr="00E06FC2">
        <w:rPr>
          <w:rFonts w:cs="Arial"/>
          <w:i/>
        </w:rPr>
        <w:t>En los pliegos de condiciones:</w:t>
      </w:r>
    </w:p>
    <w:p w14:paraId="3081D715" w14:textId="77777777" w:rsidR="00257E16" w:rsidRPr="00E06FC2" w:rsidRDefault="00257E16" w:rsidP="00743788">
      <w:pPr>
        <w:spacing w:line="276" w:lineRule="auto"/>
        <w:ind w:left="567" w:right="567"/>
        <w:rPr>
          <w:rFonts w:cs="Arial"/>
          <w:i/>
          <w:shd w:val="clear" w:color="auto" w:fill="FFFFFF"/>
        </w:rPr>
      </w:pPr>
    </w:p>
    <w:p w14:paraId="002515C0" w14:textId="77777777" w:rsidR="00F66EEC" w:rsidRPr="00E06FC2" w:rsidRDefault="00F66EEC" w:rsidP="00743788">
      <w:pPr>
        <w:spacing w:line="276" w:lineRule="auto"/>
        <w:ind w:left="567" w:right="567"/>
        <w:rPr>
          <w:rFonts w:cs="Arial"/>
          <w:b/>
          <w:bCs/>
          <w:i/>
          <w:shd w:val="clear" w:color="auto" w:fill="FFFFFF"/>
        </w:rPr>
      </w:pPr>
      <w:r w:rsidRPr="00E06FC2">
        <w:rPr>
          <w:rFonts w:cs="Arial"/>
          <w:i/>
          <w:shd w:val="clear" w:color="auto" w:fill="FFFFFF"/>
        </w:rPr>
        <w:t>“a) Se indicarán los requisitos objetivos necesarios para participar en el correspondiente proceso de selección.</w:t>
      </w:r>
    </w:p>
    <w:p w14:paraId="29C0276A" w14:textId="77777777" w:rsidR="00257E16" w:rsidRPr="00E06FC2" w:rsidRDefault="00257E16" w:rsidP="00743788">
      <w:pPr>
        <w:pStyle w:val="NormalWeb"/>
        <w:spacing w:before="0" w:beforeAutospacing="0" w:after="0" w:afterAutospacing="0" w:line="276" w:lineRule="auto"/>
        <w:ind w:left="567" w:right="567"/>
        <w:rPr>
          <w:rFonts w:cs="Arial"/>
          <w:i/>
        </w:rPr>
      </w:pPr>
    </w:p>
    <w:p w14:paraId="4BB4DDFB" w14:textId="77777777" w:rsidR="00F66EEC" w:rsidRPr="00E06FC2" w:rsidRDefault="00F66EEC" w:rsidP="00743788">
      <w:pPr>
        <w:pStyle w:val="NormalWeb"/>
        <w:spacing w:before="0" w:beforeAutospacing="0" w:after="0" w:afterAutospacing="0" w:line="276" w:lineRule="auto"/>
        <w:ind w:left="567" w:right="567"/>
        <w:rPr>
          <w:rFonts w:cs="Arial"/>
          <w:i/>
        </w:rPr>
      </w:pPr>
      <w:r w:rsidRPr="00E06FC2">
        <w:rPr>
          <w:rFonts w:cs="Arial"/>
          <w:i/>
        </w:rPr>
        <w:t>“b) Se definirán reglas objetivas, justas, claras y completas que permitan la confección de ofrecimientos de la misma índole, aseguren una escogencia objetiva y eviten las declaratorias de desierta de la licitación. </w:t>
      </w:r>
    </w:p>
    <w:p w14:paraId="74B4D18E" w14:textId="77777777" w:rsidR="00257E16" w:rsidRPr="00E06FC2" w:rsidRDefault="00257E16" w:rsidP="00743788">
      <w:pPr>
        <w:spacing w:line="276" w:lineRule="auto"/>
        <w:ind w:left="567" w:right="567"/>
        <w:rPr>
          <w:rFonts w:cs="Arial"/>
          <w:i/>
          <w:lang w:val="es-MX" w:eastAsia="es-MX"/>
        </w:rPr>
      </w:pPr>
    </w:p>
    <w:p w14:paraId="57D81997" w14:textId="77777777" w:rsidR="00236855" w:rsidRPr="00E06FC2" w:rsidRDefault="00236855" w:rsidP="00743788">
      <w:pPr>
        <w:spacing w:line="276" w:lineRule="auto"/>
        <w:ind w:left="567" w:right="567"/>
        <w:rPr>
          <w:rFonts w:cs="Arial"/>
          <w:i/>
          <w:lang w:val="es-MX" w:eastAsia="es-MX"/>
        </w:rPr>
      </w:pPr>
      <w:r w:rsidRPr="00E06FC2">
        <w:rPr>
          <w:rFonts w:cs="Arial"/>
          <w:i/>
          <w:lang w:val="es-MX" w:eastAsia="es-MX"/>
        </w:rPr>
        <w:t>“(…).</w:t>
      </w:r>
    </w:p>
    <w:p w14:paraId="185A8A01" w14:textId="77777777" w:rsidR="00236855" w:rsidRPr="00E06FC2" w:rsidRDefault="00236855" w:rsidP="00743788">
      <w:pPr>
        <w:spacing w:line="276" w:lineRule="auto"/>
        <w:ind w:left="567" w:right="567"/>
        <w:rPr>
          <w:rFonts w:cs="Arial"/>
          <w:i/>
          <w:lang w:val="es-MX" w:eastAsia="es-MX"/>
        </w:rPr>
      </w:pPr>
    </w:p>
    <w:p w14:paraId="646CFB2A" w14:textId="77777777" w:rsidR="00F66EEC" w:rsidRPr="00E06FC2" w:rsidRDefault="00F66EEC" w:rsidP="00743788">
      <w:pPr>
        <w:spacing w:line="276" w:lineRule="auto"/>
        <w:ind w:left="567" w:right="567"/>
        <w:rPr>
          <w:rFonts w:cs="Arial"/>
          <w:i/>
          <w:lang w:val="es-MX" w:eastAsia="es-MX"/>
        </w:rPr>
      </w:pPr>
      <w:r w:rsidRPr="00E06FC2">
        <w:rPr>
          <w:rFonts w:cs="Arial"/>
          <w:i/>
          <w:lang w:val="es-MX" w:eastAsia="es-MX"/>
        </w:rPr>
        <w:t>“e) Se definirán reglas que no induzcan a error a los proponentes y contratistas y que impidan la formulación de ofrecimientos de extensión ilimitada o que dependan de la voluntad exclusiva de la entidad.</w:t>
      </w:r>
    </w:p>
    <w:p w14:paraId="43EC59F1" w14:textId="77777777" w:rsidR="00257E16" w:rsidRPr="00E06FC2" w:rsidRDefault="00257E16" w:rsidP="00743788">
      <w:pPr>
        <w:spacing w:line="276" w:lineRule="auto"/>
        <w:ind w:left="567" w:right="567"/>
        <w:rPr>
          <w:rFonts w:cs="Arial"/>
          <w:i/>
          <w:lang w:val="es-MX" w:eastAsia="es-MX"/>
        </w:rPr>
      </w:pPr>
    </w:p>
    <w:p w14:paraId="5D434AAA" w14:textId="77777777" w:rsidR="00F66EEC" w:rsidRPr="00E06FC2" w:rsidRDefault="00F66EEC" w:rsidP="00743788">
      <w:pPr>
        <w:spacing w:line="276" w:lineRule="auto"/>
        <w:ind w:left="567" w:right="567"/>
        <w:rPr>
          <w:rFonts w:cs="Arial"/>
          <w:i/>
          <w:lang w:val="es-MX" w:eastAsia="es-MX"/>
        </w:rPr>
      </w:pPr>
      <w:r w:rsidRPr="00E06FC2">
        <w:rPr>
          <w:rFonts w:cs="Arial"/>
          <w:i/>
          <w:lang w:val="es-MX" w:eastAsia="es-MX"/>
        </w:rPr>
        <w:t>“(…)</w:t>
      </w:r>
    </w:p>
    <w:p w14:paraId="79944CF9" w14:textId="77777777" w:rsidR="00257E16" w:rsidRPr="00E06FC2" w:rsidRDefault="00257E16" w:rsidP="00743788">
      <w:pPr>
        <w:spacing w:line="276" w:lineRule="auto"/>
        <w:ind w:left="567" w:right="567"/>
        <w:rPr>
          <w:rFonts w:cs="Arial"/>
          <w:i/>
          <w:lang w:val="es-MX" w:eastAsia="es-MX"/>
        </w:rPr>
      </w:pPr>
    </w:p>
    <w:p w14:paraId="4959D7E7" w14:textId="77777777" w:rsidR="00F66EEC" w:rsidRPr="00E06FC2" w:rsidRDefault="00F66EEC" w:rsidP="00743788">
      <w:pPr>
        <w:spacing w:line="276" w:lineRule="auto"/>
        <w:ind w:left="567" w:right="567"/>
        <w:rPr>
          <w:rFonts w:cs="Arial"/>
          <w:i/>
          <w:lang w:val="es-MX" w:eastAsia="es-MX"/>
        </w:rPr>
      </w:pPr>
      <w:r w:rsidRPr="00E06FC2">
        <w:rPr>
          <w:rFonts w:cs="Arial"/>
          <w:i/>
          <w:lang w:val="es-MX" w:eastAsia="es-MX"/>
        </w:rPr>
        <w:t>“Serán ineficaces de pleno derecho las estipulaciones de los pliegos y de los contratos que contravengan lo dispuesto en este numeral, o dispongan renuncias a reclamaciones por la ocurrencia de los hechos aquí enunciados”.</w:t>
      </w:r>
    </w:p>
    <w:p w14:paraId="16BCA50B" w14:textId="77777777" w:rsidR="00F66EEC" w:rsidRPr="00E06FC2" w:rsidRDefault="00F66EEC" w:rsidP="00743788">
      <w:pPr>
        <w:ind w:right="49"/>
        <w:rPr>
          <w:rFonts w:cs="Arial"/>
          <w:i/>
        </w:rPr>
      </w:pPr>
    </w:p>
    <w:p w14:paraId="5E144E97" w14:textId="77777777" w:rsidR="000B37D5" w:rsidRPr="00E06FC2" w:rsidRDefault="00F66EEC" w:rsidP="00743788">
      <w:pPr>
        <w:ind w:right="49"/>
        <w:rPr>
          <w:rFonts w:cs="Arial"/>
        </w:rPr>
      </w:pPr>
      <w:r w:rsidRPr="00E06FC2">
        <w:rPr>
          <w:rFonts w:cs="Arial"/>
        </w:rPr>
        <w:t xml:space="preserve">En los antecedentes administrativos allegados al proceso no es posible </w:t>
      </w:r>
      <w:r w:rsidR="00257E16" w:rsidRPr="00E06FC2">
        <w:rPr>
          <w:rFonts w:cs="Arial"/>
        </w:rPr>
        <w:t xml:space="preserve">identificar </w:t>
      </w:r>
      <w:r w:rsidRPr="00E06FC2">
        <w:rPr>
          <w:rFonts w:cs="Arial"/>
        </w:rPr>
        <w:t xml:space="preserve">las razones por las </w:t>
      </w:r>
      <w:r w:rsidR="00257E16" w:rsidRPr="00E06FC2">
        <w:rPr>
          <w:rFonts w:cs="Arial"/>
        </w:rPr>
        <w:t xml:space="preserve">que el municipio de Cartago </w:t>
      </w:r>
      <w:r w:rsidRPr="00E06FC2">
        <w:rPr>
          <w:rFonts w:cs="Arial"/>
        </w:rPr>
        <w:t xml:space="preserve">decidió que el puntaje por capacidad financiera se asignaría con base en el </w:t>
      </w:r>
      <w:r w:rsidR="00522EDD" w:rsidRPr="00E06FC2">
        <w:rPr>
          <w:rFonts w:cs="Arial"/>
        </w:rPr>
        <w:t xml:space="preserve">monto del </w:t>
      </w:r>
      <w:r w:rsidRPr="00E06FC2">
        <w:rPr>
          <w:rFonts w:cs="Arial"/>
        </w:rPr>
        <w:t>patrimonio l</w:t>
      </w:r>
      <w:r w:rsidR="00752852" w:rsidRPr="00E06FC2">
        <w:rPr>
          <w:rFonts w:cs="Arial"/>
        </w:rPr>
        <w:t>í</w:t>
      </w:r>
      <w:r w:rsidRPr="00E06FC2">
        <w:rPr>
          <w:rFonts w:cs="Arial"/>
        </w:rPr>
        <w:t>quido</w:t>
      </w:r>
      <w:r w:rsidR="00522EDD" w:rsidRPr="00E06FC2">
        <w:rPr>
          <w:rFonts w:cs="Arial"/>
        </w:rPr>
        <w:t xml:space="preserve"> de los proponentes</w:t>
      </w:r>
      <w:r w:rsidRPr="00E06FC2">
        <w:rPr>
          <w:rFonts w:cs="Arial"/>
        </w:rPr>
        <w:t>. Tampoco se puede establecer</w:t>
      </w:r>
      <w:r w:rsidR="000B37D5" w:rsidRPr="00E06FC2">
        <w:rPr>
          <w:rFonts w:cs="Arial"/>
        </w:rPr>
        <w:t xml:space="preserve"> la razón exacta por la cual el municipio decidió incorporar</w:t>
      </w:r>
      <w:r w:rsidR="00257E16" w:rsidRPr="00E06FC2">
        <w:rPr>
          <w:rFonts w:cs="Arial"/>
        </w:rPr>
        <w:t xml:space="preserve"> en el </w:t>
      </w:r>
      <w:r w:rsidR="00CB04DF" w:rsidRPr="00E06FC2">
        <w:rPr>
          <w:rFonts w:cs="Arial"/>
        </w:rPr>
        <w:t>a</w:t>
      </w:r>
      <w:r w:rsidR="00257E16" w:rsidRPr="00E06FC2">
        <w:rPr>
          <w:rFonts w:cs="Arial"/>
        </w:rPr>
        <w:t>dendo 3</w:t>
      </w:r>
      <w:r w:rsidR="000B37D5" w:rsidRPr="00E06FC2">
        <w:rPr>
          <w:rFonts w:cs="Arial"/>
        </w:rPr>
        <w:t xml:space="preserve">, además, el valor de los activos </w:t>
      </w:r>
      <w:r w:rsidR="001D4C52" w:rsidRPr="00E06FC2">
        <w:rPr>
          <w:rFonts w:cs="Arial"/>
        </w:rPr>
        <w:t xml:space="preserve">dentro del </w:t>
      </w:r>
      <w:r w:rsidR="000B37D5" w:rsidRPr="00E06FC2">
        <w:rPr>
          <w:rFonts w:cs="Arial"/>
        </w:rPr>
        <w:t xml:space="preserve">factor de capacidad financiera. </w:t>
      </w:r>
    </w:p>
    <w:p w14:paraId="4C17EE84" w14:textId="77777777" w:rsidR="00B156FF" w:rsidRPr="00E06FC2" w:rsidRDefault="00B156FF" w:rsidP="00743788">
      <w:pPr>
        <w:ind w:right="49"/>
        <w:rPr>
          <w:rFonts w:cs="Arial"/>
        </w:rPr>
      </w:pPr>
    </w:p>
    <w:p w14:paraId="4D261ADD" w14:textId="77777777" w:rsidR="002C6C38" w:rsidRPr="00E06FC2" w:rsidRDefault="00B156FF" w:rsidP="00743788">
      <w:pPr>
        <w:ind w:right="49"/>
        <w:rPr>
          <w:rFonts w:cs="Arial"/>
        </w:rPr>
      </w:pPr>
      <w:r w:rsidRPr="00E06FC2">
        <w:rPr>
          <w:rFonts w:cs="Arial"/>
        </w:rPr>
        <w:t xml:space="preserve">Es cierto que </w:t>
      </w:r>
      <w:r w:rsidR="00487217" w:rsidRPr="00E06FC2">
        <w:rPr>
          <w:rFonts w:cs="Arial"/>
        </w:rPr>
        <w:t xml:space="preserve">en el informe de evaluación, en </w:t>
      </w:r>
      <w:r w:rsidRPr="00E06FC2">
        <w:rPr>
          <w:rFonts w:cs="Arial"/>
        </w:rPr>
        <w:t>el análisis de la capacidad financiera</w:t>
      </w:r>
      <w:r w:rsidR="00487217" w:rsidRPr="00E06FC2">
        <w:rPr>
          <w:rFonts w:cs="Arial"/>
        </w:rPr>
        <w:t>,</w:t>
      </w:r>
      <w:r w:rsidRPr="00E06FC2">
        <w:rPr>
          <w:rFonts w:cs="Arial"/>
        </w:rPr>
        <w:t xml:space="preserve"> no se</w:t>
      </w:r>
      <w:r w:rsidR="00F671B7" w:rsidRPr="00E06FC2">
        <w:rPr>
          <w:rFonts w:cs="Arial"/>
        </w:rPr>
        <w:t xml:space="preserve"> </w:t>
      </w:r>
      <w:r w:rsidR="00752852" w:rsidRPr="00E06FC2">
        <w:rPr>
          <w:rFonts w:cs="Arial"/>
        </w:rPr>
        <w:t>detalló e</w:t>
      </w:r>
      <w:r w:rsidR="0057301F" w:rsidRPr="00E06FC2">
        <w:rPr>
          <w:rFonts w:cs="Arial"/>
        </w:rPr>
        <w:t>l valor nominal de los activos y del patrimonio líquido</w:t>
      </w:r>
      <w:r w:rsidR="00752852" w:rsidRPr="00E06FC2">
        <w:rPr>
          <w:rFonts w:cs="Arial"/>
        </w:rPr>
        <w:t xml:space="preserve"> que </w:t>
      </w:r>
      <w:r w:rsidR="00CB04DF" w:rsidRPr="00E06FC2">
        <w:rPr>
          <w:rFonts w:cs="Arial"/>
        </w:rPr>
        <w:t xml:space="preserve">se </w:t>
      </w:r>
      <w:r w:rsidR="00752852" w:rsidRPr="00E06FC2">
        <w:rPr>
          <w:rFonts w:cs="Arial"/>
        </w:rPr>
        <w:t>tuvo en cuenta</w:t>
      </w:r>
      <w:r w:rsidR="0057301F" w:rsidRPr="00E06FC2">
        <w:rPr>
          <w:rFonts w:cs="Arial"/>
        </w:rPr>
        <w:t xml:space="preserve">, </w:t>
      </w:r>
      <w:r w:rsidR="00487217" w:rsidRPr="00E06FC2">
        <w:rPr>
          <w:rFonts w:cs="Arial"/>
        </w:rPr>
        <w:t xml:space="preserve">para cada uno de los años objeto de la comparación, </w:t>
      </w:r>
      <w:r w:rsidR="002C6C38" w:rsidRPr="00E06FC2">
        <w:rPr>
          <w:rFonts w:cs="Arial"/>
        </w:rPr>
        <w:t xml:space="preserve">ni aparece discriminado el cuadro de cálculo para soportar el puntaje </w:t>
      </w:r>
      <w:r w:rsidR="00487217" w:rsidRPr="00E06FC2">
        <w:rPr>
          <w:rFonts w:cs="Arial"/>
        </w:rPr>
        <w:t xml:space="preserve">finalmente </w:t>
      </w:r>
      <w:r w:rsidR="002C6C38" w:rsidRPr="00E06FC2">
        <w:rPr>
          <w:rFonts w:cs="Arial"/>
        </w:rPr>
        <w:t>asignado</w:t>
      </w:r>
      <w:r w:rsidR="00487217" w:rsidRPr="00E06FC2">
        <w:rPr>
          <w:rFonts w:cs="Arial"/>
        </w:rPr>
        <w:t xml:space="preserve"> en ese ítem</w:t>
      </w:r>
      <w:r w:rsidR="002C6C38" w:rsidRPr="00E06FC2">
        <w:rPr>
          <w:rFonts w:cs="Arial"/>
        </w:rPr>
        <w:t xml:space="preserve">. </w:t>
      </w:r>
    </w:p>
    <w:p w14:paraId="49E1731E" w14:textId="77777777" w:rsidR="002C6C38" w:rsidRPr="00E06FC2" w:rsidRDefault="002C6C38" w:rsidP="00743788">
      <w:pPr>
        <w:ind w:right="49"/>
        <w:rPr>
          <w:rFonts w:cs="Arial"/>
        </w:rPr>
      </w:pPr>
    </w:p>
    <w:p w14:paraId="690A0FC7" w14:textId="77777777" w:rsidR="004801CC" w:rsidRPr="00E06FC2" w:rsidRDefault="002C6C38" w:rsidP="00743788">
      <w:pPr>
        <w:ind w:right="49"/>
        <w:rPr>
          <w:rFonts w:cs="Arial"/>
        </w:rPr>
      </w:pPr>
      <w:r w:rsidRPr="00E06FC2">
        <w:rPr>
          <w:rFonts w:cs="Arial"/>
        </w:rPr>
        <w:lastRenderedPageBreak/>
        <w:t>S</w:t>
      </w:r>
      <w:r w:rsidR="00E414C6" w:rsidRPr="00E06FC2">
        <w:rPr>
          <w:rFonts w:cs="Arial"/>
        </w:rPr>
        <w:t>in embargo, s</w:t>
      </w:r>
      <w:r w:rsidRPr="00E06FC2">
        <w:rPr>
          <w:rFonts w:cs="Arial"/>
        </w:rPr>
        <w:t xml:space="preserve">e observa que </w:t>
      </w:r>
      <w:r w:rsidR="00CB04DF" w:rsidRPr="00E06FC2">
        <w:rPr>
          <w:rFonts w:cs="Arial"/>
        </w:rPr>
        <w:t xml:space="preserve">en </w:t>
      </w:r>
      <w:r w:rsidR="00AB5A25" w:rsidRPr="00E06FC2">
        <w:rPr>
          <w:rFonts w:cs="Arial"/>
        </w:rPr>
        <w:t>el cuadro resumen</w:t>
      </w:r>
      <w:r w:rsidR="00423B21" w:rsidRPr="00E06FC2">
        <w:rPr>
          <w:rFonts w:cs="Arial"/>
        </w:rPr>
        <w:t xml:space="preserve"> </w:t>
      </w:r>
      <w:r w:rsidR="00CB04DF" w:rsidRPr="00E06FC2">
        <w:rPr>
          <w:rFonts w:cs="Arial"/>
        </w:rPr>
        <w:t xml:space="preserve">–soporte de la calificación- </w:t>
      </w:r>
      <w:r w:rsidR="00423B21" w:rsidRPr="00E06FC2">
        <w:rPr>
          <w:rFonts w:cs="Arial"/>
        </w:rPr>
        <w:t xml:space="preserve">aparece incorporado como anexo del estudio económico, de acuerdo con el </w:t>
      </w:r>
      <w:r w:rsidR="00AB5A25" w:rsidRPr="00E06FC2">
        <w:rPr>
          <w:rFonts w:cs="Arial"/>
        </w:rPr>
        <w:t xml:space="preserve"> informe de evaluación de fecha octubre 3 de 1997</w:t>
      </w:r>
      <w:r w:rsidR="00423B21" w:rsidRPr="00E06FC2">
        <w:rPr>
          <w:rStyle w:val="Refdenotaalpie"/>
          <w:rFonts w:cs="Arial"/>
        </w:rPr>
        <w:footnoteReference w:id="105"/>
      </w:r>
      <w:r w:rsidR="006D5ECA" w:rsidRPr="00E06FC2">
        <w:rPr>
          <w:rFonts w:cs="Arial"/>
        </w:rPr>
        <w:t xml:space="preserve">. </w:t>
      </w:r>
    </w:p>
    <w:p w14:paraId="420C22E1" w14:textId="77777777" w:rsidR="004801CC" w:rsidRPr="00E06FC2" w:rsidRDefault="004801CC" w:rsidP="00743788">
      <w:pPr>
        <w:ind w:right="49"/>
        <w:rPr>
          <w:rFonts w:cs="Arial"/>
        </w:rPr>
      </w:pPr>
    </w:p>
    <w:p w14:paraId="66A2E68E" w14:textId="77777777" w:rsidR="006D5ECA" w:rsidRPr="00E06FC2" w:rsidRDefault="006D5ECA" w:rsidP="00743788">
      <w:pPr>
        <w:ind w:right="49"/>
        <w:rPr>
          <w:rFonts w:cs="Arial"/>
        </w:rPr>
      </w:pPr>
      <w:r w:rsidRPr="00E06FC2">
        <w:rPr>
          <w:rFonts w:cs="Arial"/>
        </w:rPr>
        <w:t xml:space="preserve">Allí se calificó la situación patrimonial y de activos de todas las proponentes con el calificativo de SI (cumple). Empero el mismo cuadro incluyó, otro ítem, </w:t>
      </w:r>
      <w:r w:rsidR="00080385" w:rsidRPr="00E06FC2">
        <w:rPr>
          <w:rFonts w:cs="Arial"/>
        </w:rPr>
        <w:t xml:space="preserve">referido a las cifras de patrimonio y activos, </w:t>
      </w:r>
      <w:r w:rsidRPr="00E06FC2">
        <w:rPr>
          <w:rFonts w:cs="Arial"/>
        </w:rPr>
        <w:t>así:</w:t>
      </w:r>
    </w:p>
    <w:p w14:paraId="1273C71B" w14:textId="77777777" w:rsidR="006D5ECA" w:rsidRPr="00E06FC2" w:rsidRDefault="006D5ECA" w:rsidP="00743788">
      <w:pPr>
        <w:ind w:right="4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2882"/>
        <w:gridCol w:w="2882"/>
      </w:tblGrid>
      <w:tr w:rsidR="00E06FC2" w:rsidRPr="00E06FC2" w14:paraId="68323AE6" w14:textId="77777777" w:rsidTr="007974E8">
        <w:tc>
          <w:tcPr>
            <w:tcW w:w="2881" w:type="dxa"/>
            <w:shd w:val="clear" w:color="auto" w:fill="auto"/>
          </w:tcPr>
          <w:p w14:paraId="7EAA1166" w14:textId="77777777" w:rsidR="00797E7E" w:rsidRPr="007974E8" w:rsidRDefault="00797E7E" w:rsidP="007974E8">
            <w:pPr>
              <w:spacing w:line="276" w:lineRule="auto"/>
              <w:ind w:right="49"/>
              <w:rPr>
                <w:rFonts w:cs="Arial"/>
                <w:i/>
              </w:rPr>
            </w:pPr>
            <w:r w:rsidRPr="007974E8">
              <w:rPr>
                <w:rFonts w:cs="Arial"/>
                <w:i/>
              </w:rPr>
              <w:t>Declaración de Renta</w:t>
            </w:r>
          </w:p>
        </w:tc>
        <w:tc>
          <w:tcPr>
            <w:tcW w:w="2882" w:type="dxa"/>
            <w:shd w:val="clear" w:color="auto" w:fill="auto"/>
          </w:tcPr>
          <w:p w14:paraId="5D6A77E7" w14:textId="77777777" w:rsidR="00A47ED7" w:rsidRPr="007974E8" w:rsidRDefault="004801CC" w:rsidP="007974E8">
            <w:pPr>
              <w:spacing w:line="276" w:lineRule="auto"/>
              <w:ind w:right="49"/>
              <w:rPr>
                <w:rFonts w:cs="Arial"/>
                <w:i/>
              </w:rPr>
            </w:pPr>
            <w:r w:rsidRPr="007974E8">
              <w:rPr>
                <w:rFonts w:cs="Arial"/>
              </w:rPr>
              <w:t>[UT Diselecsa- Montajes Eléctricos]</w:t>
            </w:r>
            <w:r w:rsidRPr="007974E8">
              <w:rPr>
                <w:rFonts w:cs="Arial"/>
                <w:i/>
              </w:rPr>
              <w:t xml:space="preserve"> </w:t>
            </w:r>
          </w:p>
          <w:p w14:paraId="5886D0E1" w14:textId="77777777" w:rsidR="00797E7E" w:rsidRPr="007974E8" w:rsidRDefault="00A47ED7" w:rsidP="007974E8">
            <w:pPr>
              <w:spacing w:line="276" w:lineRule="auto"/>
              <w:ind w:right="49"/>
              <w:rPr>
                <w:rFonts w:cs="Arial"/>
                <w:i/>
              </w:rPr>
            </w:pPr>
            <w:r w:rsidRPr="007974E8">
              <w:rPr>
                <w:rFonts w:cs="Arial"/>
                <w:i/>
              </w:rPr>
              <w:t>“</w:t>
            </w:r>
            <w:r w:rsidR="00797E7E" w:rsidRPr="007974E8">
              <w:rPr>
                <w:rFonts w:cs="Arial"/>
                <w:i/>
              </w:rPr>
              <w:t>Concuerdan patrimonio y activos</w:t>
            </w:r>
            <w:r w:rsidRPr="007974E8">
              <w:rPr>
                <w:rFonts w:cs="Arial"/>
                <w:i/>
              </w:rPr>
              <w:t>”</w:t>
            </w:r>
          </w:p>
        </w:tc>
        <w:tc>
          <w:tcPr>
            <w:tcW w:w="2882" w:type="dxa"/>
            <w:shd w:val="clear" w:color="auto" w:fill="auto"/>
          </w:tcPr>
          <w:p w14:paraId="47081A29" w14:textId="77777777" w:rsidR="00A47ED7" w:rsidRPr="007974E8" w:rsidRDefault="004801CC" w:rsidP="007974E8">
            <w:pPr>
              <w:spacing w:line="276" w:lineRule="auto"/>
              <w:ind w:right="49"/>
              <w:rPr>
                <w:rFonts w:cs="Arial"/>
              </w:rPr>
            </w:pPr>
            <w:r w:rsidRPr="007974E8">
              <w:rPr>
                <w:rFonts w:cs="Arial"/>
                <w:i/>
              </w:rPr>
              <w:t>[</w:t>
            </w:r>
            <w:r w:rsidRPr="007974E8">
              <w:rPr>
                <w:rFonts w:cs="Arial"/>
              </w:rPr>
              <w:t xml:space="preserve">UT </w:t>
            </w:r>
            <w:r w:rsidR="00A47ED7" w:rsidRPr="007974E8">
              <w:rPr>
                <w:rFonts w:cs="Arial"/>
              </w:rPr>
              <w:t>General Eléctric- Electro Atlántico]</w:t>
            </w:r>
          </w:p>
          <w:p w14:paraId="1CE0693E" w14:textId="77777777" w:rsidR="00797E7E" w:rsidRPr="007974E8" w:rsidRDefault="00A47ED7" w:rsidP="007974E8">
            <w:pPr>
              <w:spacing w:line="276" w:lineRule="auto"/>
              <w:ind w:right="49"/>
              <w:rPr>
                <w:rFonts w:cs="Arial"/>
                <w:i/>
              </w:rPr>
            </w:pPr>
            <w:r w:rsidRPr="007974E8">
              <w:rPr>
                <w:rFonts w:cs="Arial"/>
                <w:i/>
              </w:rPr>
              <w:t>“</w:t>
            </w:r>
            <w:r w:rsidR="00797E7E" w:rsidRPr="007974E8">
              <w:rPr>
                <w:rFonts w:cs="Arial"/>
                <w:i/>
              </w:rPr>
              <w:t>Concuerdan Pa</w:t>
            </w:r>
            <w:r w:rsidR="00C94A8E" w:rsidRPr="007974E8">
              <w:rPr>
                <w:rFonts w:cs="Arial"/>
                <w:i/>
              </w:rPr>
              <w:t>t</w:t>
            </w:r>
            <w:r w:rsidR="00797E7E" w:rsidRPr="007974E8">
              <w:rPr>
                <w:rFonts w:cs="Arial"/>
                <w:i/>
              </w:rPr>
              <w:t>rimonio y activos. No presentan declaración año 1995</w:t>
            </w:r>
            <w:r w:rsidR="00255EE3" w:rsidRPr="007974E8">
              <w:rPr>
                <w:rFonts w:cs="Arial"/>
                <w:i/>
              </w:rPr>
              <w:t xml:space="preserve"> [se refiere a Geico Ltda]</w:t>
            </w:r>
          </w:p>
        </w:tc>
      </w:tr>
    </w:tbl>
    <w:p w14:paraId="6A0A7F6A" w14:textId="77777777" w:rsidR="00423B21" w:rsidRPr="00E06FC2" w:rsidRDefault="00423B21" w:rsidP="00743788">
      <w:pPr>
        <w:ind w:right="49"/>
        <w:rPr>
          <w:rFonts w:cs="Arial"/>
          <w:i/>
        </w:rPr>
      </w:pPr>
    </w:p>
    <w:p w14:paraId="2FC6FAFF" w14:textId="77777777" w:rsidR="003D3355" w:rsidRPr="00E06FC2" w:rsidRDefault="00080385" w:rsidP="00743788">
      <w:pPr>
        <w:ind w:right="49"/>
        <w:rPr>
          <w:rFonts w:cs="Arial"/>
        </w:rPr>
      </w:pPr>
      <w:r w:rsidRPr="00E06FC2">
        <w:rPr>
          <w:rFonts w:cs="Arial"/>
        </w:rPr>
        <w:t>S</w:t>
      </w:r>
      <w:r w:rsidR="007735A0" w:rsidRPr="00E06FC2">
        <w:rPr>
          <w:rFonts w:cs="Arial"/>
        </w:rPr>
        <w:t xml:space="preserve">egún </w:t>
      </w:r>
      <w:r w:rsidRPr="00E06FC2">
        <w:rPr>
          <w:rFonts w:cs="Arial"/>
        </w:rPr>
        <w:t xml:space="preserve">se afirmó en la </w:t>
      </w:r>
      <w:r w:rsidR="007735A0" w:rsidRPr="00E06FC2">
        <w:rPr>
          <w:rFonts w:cs="Arial"/>
        </w:rPr>
        <w:t>demanda</w:t>
      </w:r>
      <w:r w:rsidR="00A47ED7" w:rsidRPr="00E06FC2">
        <w:rPr>
          <w:rFonts w:cs="Arial"/>
        </w:rPr>
        <w:t>,</w:t>
      </w:r>
      <w:r w:rsidR="007735A0" w:rsidRPr="00E06FC2">
        <w:rPr>
          <w:rFonts w:cs="Arial"/>
        </w:rPr>
        <w:t xml:space="preserve"> la UT General Electric- Electro Atlántico acreditó un patrimonio líquido por $1.413’532.000.</w:t>
      </w:r>
      <w:r w:rsidR="00D23DE3" w:rsidRPr="00E06FC2">
        <w:rPr>
          <w:rFonts w:cs="Arial"/>
        </w:rPr>
        <w:t xml:space="preserve"> </w:t>
      </w:r>
      <w:r w:rsidR="00AE1C46" w:rsidRPr="00E06FC2">
        <w:rPr>
          <w:rFonts w:cs="Arial"/>
        </w:rPr>
        <w:t xml:space="preserve">Sin embargo, </w:t>
      </w:r>
      <w:r w:rsidR="003D3355" w:rsidRPr="00E06FC2">
        <w:rPr>
          <w:rFonts w:cs="Arial"/>
        </w:rPr>
        <w:t>la demandante no detalló la fuente en la que se apoyó para realizar su cálculo.</w:t>
      </w:r>
    </w:p>
    <w:p w14:paraId="7F97DB47" w14:textId="77777777" w:rsidR="003D3355" w:rsidRPr="00E06FC2" w:rsidRDefault="003D3355" w:rsidP="00743788">
      <w:pPr>
        <w:ind w:right="49"/>
        <w:rPr>
          <w:rFonts w:cs="Arial"/>
        </w:rPr>
      </w:pPr>
    </w:p>
    <w:p w14:paraId="7FC44067" w14:textId="77777777" w:rsidR="004A4508" w:rsidRPr="00E06FC2" w:rsidRDefault="003D3355" w:rsidP="00743788">
      <w:pPr>
        <w:ind w:right="49"/>
        <w:rPr>
          <w:rFonts w:cs="Arial"/>
        </w:rPr>
      </w:pPr>
      <w:r w:rsidRPr="00E06FC2">
        <w:rPr>
          <w:rFonts w:cs="Arial"/>
        </w:rPr>
        <w:t xml:space="preserve">En el análisis de </w:t>
      </w:r>
      <w:r w:rsidR="0045279D" w:rsidRPr="00E06FC2">
        <w:rPr>
          <w:rFonts w:cs="Arial"/>
        </w:rPr>
        <w:t>los documentos anexos a la propuesta s</w:t>
      </w:r>
      <w:r w:rsidR="00D23DE3" w:rsidRPr="00E06FC2">
        <w:rPr>
          <w:rFonts w:cs="Arial"/>
        </w:rPr>
        <w:t xml:space="preserve">e destaca que el dato de patrimonio líquido se encontraba en el renglón </w:t>
      </w:r>
      <w:r w:rsidR="00AE1C46" w:rsidRPr="00E06FC2">
        <w:rPr>
          <w:rFonts w:cs="Arial"/>
        </w:rPr>
        <w:t>nueve</w:t>
      </w:r>
      <w:r w:rsidR="00D23DE3" w:rsidRPr="00E06FC2">
        <w:rPr>
          <w:rFonts w:cs="Arial"/>
        </w:rPr>
        <w:t xml:space="preserve"> del rubro de patrimonio </w:t>
      </w:r>
      <w:r w:rsidR="00080385" w:rsidRPr="00E06FC2">
        <w:rPr>
          <w:rFonts w:cs="Arial"/>
        </w:rPr>
        <w:t xml:space="preserve">contenido en </w:t>
      </w:r>
      <w:r w:rsidR="00D23DE3" w:rsidRPr="00E06FC2">
        <w:rPr>
          <w:rFonts w:cs="Arial"/>
        </w:rPr>
        <w:t>la declaración de renta de cada uno de los integrantes de la unión temporal</w:t>
      </w:r>
      <w:r w:rsidR="00080385" w:rsidRPr="00E06FC2">
        <w:rPr>
          <w:rFonts w:cs="Arial"/>
        </w:rPr>
        <w:t xml:space="preserve">, la cual se solicitó en el pliego de condiciones para los </w:t>
      </w:r>
      <w:r w:rsidRPr="00E06FC2">
        <w:rPr>
          <w:rFonts w:cs="Arial"/>
        </w:rPr>
        <w:t xml:space="preserve">dos últimos </w:t>
      </w:r>
      <w:r w:rsidR="00080385" w:rsidRPr="00E06FC2">
        <w:rPr>
          <w:rFonts w:cs="Arial"/>
        </w:rPr>
        <w:t xml:space="preserve">años </w:t>
      </w:r>
      <w:r w:rsidRPr="00E06FC2">
        <w:rPr>
          <w:rFonts w:cs="Arial"/>
        </w:rPr>
        <w:t>(</w:t>
      </w:r>
      <w:r w:rsidR="00080385" w:rsidRPr="00E06FC2">
        <w:rPr>
          <w:rFonts w:cs="Arial"/>
        </w:rPr>
        <w:t>199</w:t>
      </w:r>
      <w:r w:rsidR="004A4508" w:rsidRPr="00E06FC2">
        <w:rPr>
          <w:rFonts w:cs="Arial"/>
        </w:rPr>
        <w:t>5</w:t>
      </w:r>
      <w:r w:rsidR="00080385" w:rsidRPr="00E06FC2">
        <w:rPr>
          <w:rFonts w:cs="Arial"/>
        </w:rPr>
        <w:t xml:space="preserve"> y </w:t>
      </w:r>
      <w:r w:rsidR="004A4508" w:rsidRPr="00E06FC2">
        <w:rPr>
          <w:rFonts w:cs="Arial"/>
        </w:rPr>
        <w:t>1996</w:t>
      </w:r>
      <w:r w:rsidRPr="00E06FC2">
        <w:rPr>
          <w:rFonts w:cs="Arial"/>
        </w:rPr>
        <w:t>)</w:t>
      </w:r>
      <w:r w:rsidR="004A4508" w:rsidRPr="00E06FC2">
        <w:rPr>
          <w:rFonts w:cs="Arial"/>
        </w:rPr>
        <w:t>.</w:t>
      </w:r>
    </w:p>
    <w:p w14:paraId="26E7BB50" w14:textId="77777777" w:rsidR="004A4508" w:rsidRPr="00E06FC2" w:rsidRDefault="004A4508" w:rsidP="00743788">
      <w:pPr>
        <w:ind w:right="49"/>
        <w:rPr>
          <w:rFonts w:cs="Arial"/>
        </w:rPr>
      </w:pPr>
    </w:p>
    <w:p w14:paraId="2309A456" w14:textId="77777777" w:rsidR="004A4508" w:rsidRPr="00E06FC2" w:rsidRDefault="004A4508" w:rsidP="00743788">
      <w:pPr>
        <w:ind w:right="49"/>
        <w:rPr>
          <w:rFonts w:cs="Arial"/>
        </w:rPr>
      </w:pPr>
      <w:r w:rsidRPr="00E06FC2">
        <w:rPr>
          <w:rFonts w:cs="Arial"/>
        </w:rPr>
        <w:t>T</w:t>
      </w:r>
      <w:r w:rsidR="00AE1C46" w:rsidRPr="00E06FC2">
        <w:rPr>
          <w:rFonts w:cs="Arial"/>
        </w:rPr>
        <w:t>al como</w:t>
      </w:r>
      <w:r w:rsidR="00D23DE3" w:rsidRPr="00E06FC2">
        <w:rPr>
          <w:rFonts w:cs="Arial"/>
        </w:rPr>
        <w:t xml:space="preserve"> lo </w:t>
      </w:r>
      <w:r w:rsidR="00AE1C46" w:rsidRPr="00E06FC2">
        <w:rPr>
          <w:rFonts w:cs="Arial"/>
        </w:rPr>
        <w:t>reseñó el informe de evaluación,</w:t>
      </w:r>
      <w:r w:rsidR="00473A49" w:rsidRPr="00E06FC2">
        <w:rPr>
          <w:rFonts w:cs="Arial"/>
        </w:rPr>
        <w:t xml:space="preserve"> </w:t>
      </w:r>
      <w:r w:rsidR="00D23DE3" w:rsidRPr="00E06FC2">
        <w:rPr>
          <w:rFonts w:cs="Arial"/>
        </w:rPr>
        <w:t>Geico Ltda</w:t>
      </w:r>
      <w:r w:rsidR="008277DC" w:rsidRPr="00E06FC2">
        <w:rPr>
          <w:rFonts w:cs="Arial"/>
        </w:rPr>
        <w:t>.</w:t>
      </w:r>
      <w:r w:rsidR="00D23DE3" w:rsidRPr="00E06FC2">
        <w:rPr>
          <w:rFonts w:cs="Arial"/>
        </w:rPr>
        <w:t xml:space="preserve"> no </w:t>
      </w:r>
      <w:r w:rsidR="00AE1C46" w:rsidRPr="00E06FC2">
        <w:rPr>
          <w:rFonts w:cs="Arial"/>
        </w:rPr>
        <w:t>acreditó la declaración de renta para el año gravable 1995</w:t>
      </w:r>
      <w:r w:rsidR="00910EFA" w:rsidRPr="00E06FC2">
        <w:rPr>
          <w:rFonts w:cs="Arial"/>
        </w:rPr>
        <w:t xml:space="preserve"> y, p</w:t>
      </w:r>
      <w:r w:rsidR="00473A49" w:rsidRPr="00E06FC2">
        <w:rPr>
          <w:rFonts w:cs="Arial"/>
        </w:rPr>
        <w:t xml:space="preserve">or </w:t>
      </w:r>
      <w:r w:rsidR="007718C8" w:rsidRPr="00E06FC2">
        <w:rPr>
          <w:rFonts w:cs="Arial"/>
        </w:rPr>
        <w:t xml:space="preserve">su </w:t>
      </w:r>
      <w:r w:rsidR="00473A49" w:rsidRPr="00E06FC2">
        <w:rPr>
          <w:rFonts w:cs="Arial"/>
        </w:rPr>
        <w:t>parte</w:t>
      </w:r>
      <w:r w:rsidR="00910EFA" w:rsidRPr="00E06FC2">
        <w:rPr>
          <w:rFonts w:cs="Arial"/>
        </w:rPr>
        <w:t>,</w:t>
      </w:r>
      <w:r w:rsidR="00473A49" w:rsidRPr="00E06FC2">
        <w:rPr>
          <w:rFonts w:cs="Arial"/>
        </w:rPr>
        <w:t xml:space="preserve"> </w:t>
      </w:r>
      <w:r w:rsidR="007718C8" w:rsidRPr="00E06FC2">
        <w:rPr>
          <w:rFonts w:cs="Arial"/>
        </w:rPr>
        <w:t>Electro Atlántico Ltda</w:t>
      </w:r>
      <w:r w:rsidR="008277DC" w:rsidRPr="00E06FC2">
        <w:rPr>
          <w:rFonts w:cs="Arial"/>
        </w:rPr>
        <w:t>.</w:t>
      </w:r>
      <w:r w:rsidR="007718C8" w:rsidRPr="00E06FC2">
        <w:rPr>
          <w:rFonts w:cs="Arial"/>
        </w:rPr>
        <w:t xml:space="preserve"> </w:t>
      </w:r>
      <w:r w:rsidR="00473A49" w:rsidRPr="00E06FC2">
        <w:rPr>
          <w:rFonts w:cs="Arial"/>
        </w:rPr>
        <w:t xml:space="preserve">en </w:t>
      </w:r>
      <w:r w:rsidR="007718C8" w:rsidRPr="00E06FC2">
        <w:rPr>
          <w:rFonts w:cs="Arial"/>
        </w:rPr>
        <w:t>su</w:t>
      </w:r>
      <w:r w:rsidR="00473A49" w:rsidRPr="00E06FC2">
        <w:rPr>
          <w:rFonts w:cs="Arial"/>
        </w:rPr>
        <w:t xml:space="preserve"> declaración de renta de</w:t>
      </w:r>
      <w:r w:rsidR="00C762E1" w:rsidRPr="00E06FC2">
        <w:rPr>
          <w:rFonts w:cs="Arial"/>
        </w:rPr>
        <w:t>l mismo período</w:t>
      </w:r>
      <w:r w:rsidR="00473A49" w:rsidRPr="00E06FC2">
        <w:rPr>
          <w:rFonts w:cs="Arial"/>
        </w:rPr>
        <w:t xml:space="preserve"> </w:t>
      </w:r>
      <w:r w:rsidR="008277DC" w:rsidRPr="00E06FC2">
        <w:rPr>
          <w:rFonts w:cs="Arial"/>
        </w:rPr>
        <w:t xml:space="preserve">reportó </w:t>
      </w:r>
      <w:r w:rsidR="00457988" w:rsidRPr="00E06FC2">
        <w:rPr>
          <w:rFonts w:cs="Arial"/>
        </w:rPr>
        <w:t xml:space="preserve">su patrimonio líquido </w:t>
      </w:r>
      <w:r w:rsidR="00473A49" w:rsidRPr="00E06FC2">
        <w:rPr>
          <w:rFonts w:cs="Arial"/>
        </w:rPr>
        <w:t xml:space="preserve">en la suma de </w:t>
      </w:r>
      <w:r w:rsidR="0045279D" w:rsidRPr="00E06FC2">
        <w:rPr>
          <w:rFonts w:cs="Arial"/>
        </w:rPr>
        <w:t>$617’954.000</w:t>
      </w:r>
      <w:r w:rsidR="00D42B17" w:rsidRPr="00E06FC2">
        <w:rPr>
          <w:rStyle w:val="Refdenotaalpie"/>
          <w:rFonts w:cs="Arial"/>
        </w:rPr>
        <w:footnoteReference w:id="106"/>
      </w:r>
      <w:r w:rsidR="0045279D" w:rsidRPr="00E06FC2">
        <w:rPr>
          <w:rFonts w:cs="Arial"/>
        </w:rPr>
        <w:t xml:space="preserve">, cifra que no superó el total </w:t>
      </w:r>
      <w:r w:rsidR="004B5F2F" w:rsidRPr="00E06FC2">
        <w:rPr>
          <w:rFonts w:cs="Arial"/>
        </w:rPr>
        <w:t xml:space="preserve">de los $1.200’.000.000, </w:t>
      </w:r>
      <w:r w:rsidR="00C762E1" w:rsidRPr="00E06FC2">
        <w:rPr>
          <w:rFonts w:cs="Arial"/>
        </w:rPr>
        <w:t>que</w:t>
      </w:r>
      <w:r w:rsidR="00A47ED7" w:rsidRPr="00E06FC2">
        <w:rPr>
          <w:rFonts w:cs="Arial"/>
        </w:rPr>
        <w:t>,</w:t>
      </w:r>
      <w:r w:rsidR="00C762E1" w:rsidRPr="00E06FC2">
        <w:rPr>
          <w:rFonts w:cs="Arial"/>
        </w:rPr>
        <w:t xml:space="preserve"> de acuerdo con el pliego de condiciones</w:t>
      </w:r>
      <w:r w:rsidR="00A47ED7" w:rsidRPr="00E06FC2">
        <w:rPr>
          <w:rFonts w:cs="Arial"/>
        </w:rPr>
        <w:t>,</w:t>
      </w:r>
      <w:r w:rsidR="00C762E1" w:rsidRPr="00E06FC2">
        <w:rPr>
          <w:rFonts w:cs="Arial"/>
        </w:rPr>
        <w:t xml:space="preserve"> se requería acreditar </w:t>
      </w:r>
      <w:r w:rsidR="004B5F2F" w:rsidRPr="00E06FC2">
        <w:rPr>
          <w:rFonts w:cs="Arial"/>
        </w:rPr>
        <w:t>para l</w:t>
      </w:r>
      <w:r w:rsidR="00A47ED7" w:rsidRPr="00E06FC2">
        <w:rPr>
          <w:rFonts w:cs="Arial"/>
        </w:rPr>
        <w:t xml:space="preserve">ograr </w:t>
      </w:r>
      <w:r w:rsidR="004B5F2F" w:rsidRPr="00E06FC2">
        <w:rPr>
          <w:rFonts w:cs="Arial"/>
        </w:rPr>
        <w:t>el total de 100 puntos</w:t>
      </w:r>
      <w:r w:rsidR="00D42B17" w:rsidRPr="00E06FC2">
        <w:rPr>
          <w:rFonts w:cs="Arial"/>
        </w:rPr>
        <w:t xml:space="preserve"> en el factor de capacidad financiera</w:t>
      </w:r>
      <w:r w:rsidRPr="00E06FC2">
        <w:rPr>
          <w:rFonts w:cs="Arial"/>
        </w:rPr>
        <w:t>.</w:t>
      </w:r>
    </w:p>
    <w:p w14:paraId="43F23A87" w14:textId="77777777" w:rsidR="004A4508" w:rsidRPr="00E06FC2" w:rsidRDefault="004A4508" w:rsidP="00743788">
      <w:pPr>
        <w:ind w:right="49"/>
        <w:rPr>
          <w:rFonts w:cs="Arial"/>
        </w:rPr>
      </w:pPr>
    </w:p>
    <w:p w14:paraId="3EBC2B3A" w14:textId="77777777" w:rsidR="00D23DE3" w:rsidRPr="00E06FC2" w:rsidRDefault="004A4508" w:rsidP="00743788">
      <w:pPr>
        <w:ind w:right="49"/>
        <w:rPr>
          <w:rFonts w:cs="Arial"/>
        </w:rPr>
      </w:pPr>
      <w:r w:rsidRPr="00E06FC2">
        <w:rPr>
          <w:rFonts w:cs="Arial"/>
        </w:rPr>
        <w:t>Así las cosas</w:t>
      </w:r>
      <w:r w:rsidR="00910EFA" w:rsidRPr="00E06FC2">
        <w:rPr>
          <w:rFonts w:cs="Arial"/>
        </w:rPr>
        <w:t xml:space="preserve">, aunque </w:t>
      </w:r>
      <w:r w:rsidRPr="00E06FC2">
        <w:rPr>
          <w:rFonts w:cs="Arial"/>
        </w:rPr>
        <w:t xml:space="preserve">la </w:t>
      </w:r>
      <w:r w:rsidR="00A34643" w:rsidRPr="00E06FC2">
        <w:rPr>
          <w:rFonts w:cs="Arial"/>
        </w:rPr>
        <w:t xml:space="preserve">referida </w:t>
      </w:r>
      <w:r w:rsidR="00C762E1" w:rsidRPr="00E06FC2">
        <w:rPr>
          <w:rFonts w:cs="Arial"/>
        </w:rPr>
        <w:t xml:space="preserve">UT </w:t>
      </w:r>
      <w:r w:rsidR="00A34643" w:rsidRPr="00E06FC2">
        <w:rPr>
          <w:rFonts w:cs="Arial"/>
        </w:rPr>
        <w:t xml:space="preserve">–ahora demandante- </w:t>
      </w:r>
      <w:r w:rsidR="00910EFA" w:rsidRPr="00E06FC2">
        <w:rPr>
          <w:rFonts w:cs="Arial"/>
        </w:rPr>
        <w:t>hubier</w:t>
      </w:r>
      <w:r w:rsidRPr="00E06FC2">
        <w:rPr>
          <w:rFonts w:cs="Arial"/>
        </w:rPr>
        <w:t>a</w:t>
      </w:r>
      <w:r w:rsidR="00910EFA" w:rsidRPr="00E06FC2">
        <w:rPr>
          <w:rFonts w:cs="Arial"/>
        </w:rPr>
        <w:t xml:space="preserve"> cumplido con </w:t>
      </w:r>
      <w:r w:rsidR="00F13C2B" w:rsidRPr="00E06FC2">
        <w:rPr>
          <w:rFonts w:cs="Arial"/>
        </w:rPr>
        <w:t xml:space="preserve">acreditar </w:t>
      </w:r>
      <w:r w:rsidR="00910EFA" w:rsidRPr="00E06FC2">
        <w:rPr>
          <w:rFonts w:cs="Arial"/>
        </w:rPr>
        <w:t>el monto</w:t>
      </w:r>
      <w:r w:rsidRPr="00E06FC2">
        <w:rPr>
          <w:rFonts w:cs="Arial"/>
        </w:rPr>
        <w:t xml:space="preserve"> de patrimonio líquido</w:t>
      </w:r>
      <w:r w:rsidR="00910EFA" w:rsidRPr="00E06FC2">
        <w:rPr>
          <w:rFonts w:cs="Arial"/>
        </w:rPr>
        <w:t xml:space="preserve"> requerido </w:t>
      </w:r>
      <w:r w:rsidR="00C762E1" w:rsidRPr="00E06FC2">
        <w:rPr>
          <w:rFonts w:cs="Arial"/>
        </w:rPr>
        <w:t xml:space="preserve">para </w:t>
      </w:r>
      <w:r w:rsidR="00F13C2B" w:rsidRPr="00E06FC2">
        <w:rPr>
          <w:rFonts w:cs="Arial"/>
        </w:rPr>
        <w:t>e</w:t>
      </w:r>
      <w:r w:rsidR="00910EFA" w:rsidRPr="00E06FC2">
        <w:rPr>
          <w:rFonts w:cs="Arial"/>
        </w:rPr>
        <w:t>l año de 1996</w:t>
      </w:r>
      <w:r w:rsidRPr="00E06FC2">
        <w:rPr>
          <w:rFonts w:cs="Arial"/>
        </w:rPr>
        <w:t>, no se le podía asignar el 100% de la puntuación</w:t>
      </w:r>
      <w:r w:rsidR="00F13C2B" w:rsidRPr="00E06FC2">
        <w:rPr>
          <w:rFonts w:cs="Arial"/>
        </w:rPr>
        <w:t xml:space="preserve"> por el factor de capacidad financiera</w:t>
      </w:r>
      <w:r w:rsidR="00B8390F" w:rsidRPr="00E06FC2">
        <w:rPr>
          <w:rFonts w:cs="Arial"/>
        </w:rPr>
        <w:t xml:space="preserve">, de </w:t>
      </w:r>
      <w:r w:rsidR="00B8390F" w:rsidRPr="00E06FC2">
        <w:rPr>
          <w:rFonts w:cs="Arial"/>
        </w:rPr>
        <w:lastRenderedPageBreak/>
        <w:t>donde era válido acudir a una regla de proporcionalidad, en lugar de asignarle cero puntos</w:t>
      </w:r>
      <w:r w:rsidRPr="00E06FC2">
        <w:rPr>
          <w:rFonts w:cs="Arial"/>
        </w:rPr>
        <w:t xml:space="preserve">. </w:t>
      </w:r>
    </w:p>
    <w:p w14:paraId="53D33646" w14:textId="77777777" w:rsidR="0045279D" w:rsidRPr="00E06FC2" w:rsidRDefault="0045279D" w:rsidP="00743788">
      <w:pPr>
        <w:ind w:right="49"/>
        <w:rPr>
          <w:rFonts w:cs="Arial"/>
        </w:rPr>
      </w:pPr>
    </w:p>
    <w:p w14:paraId="68D5EBFA" w14:textId="77777777" w:rsidR="005D260A" w:rsidRPr="00E06FC2" w:rsidRDefault="00D42B17" w:rsidP="00743788">
      <w:pPr>
        <w:ind w:right="49"/>
        <w:rPr>
          <w:rFonts w:cs="Arial"/>
        </w:rPr>
      </w:pPr>
      <w:r w:rsidRPr="00E06FC2">
        <w:rPr>
          <w:rFonts w:cs="Arial"/>
        </w:rPr>
        <w:t xml:space="preserve">La Sala infiere que el dato </w:t>
      </w:r>
      <w:r w:rsidR="00841D01" w:rsidRPr="00E06FC2">
        <w:rPr>
          <w:rFonts w:cs="Arial"/>
        </w:rPr>
        <w:t xml:space="preserve">de patrimonio líquido </w:t>
      </w:r>
      <w:r w:rsidRPr="00E06FC2">
        <w:rPr>
          <w:rFonts w:cs="Arial"/>
        </w:rPr>
        <w:t>se tenía que tomar de la declaración de renta</w:t>
      </w:r>
      <w:r w:rsidR="00910EFA" w:rsidRPr="00E06FC2">
        <w:rPr>
          <w:rFonts w:cs="Arial"/>
        </w:rPr>
        <w:t xml:space="preserve">, la cual </w:t>
      </w:r>
      <w:r w:rsidRPr="00E06FC2">
        <w:rPr>
          <w:rFonts w:cs="Arial"/>
        </w:rPr>
        <w:t xml:space="preserve">contenía el rubro específico de </w:t>
      </w:r>
      <w:r w:rsidRPr="00E06FC2">
        <w:rPr>
          <w:rFonts w:cs="Arial"/>
          <w:i/>
        </w:rPr>
        <w:t>“patrimonio líquido”</w:t>
      </w:r>
      <w:r w:rsidR="00F13C2B" w:rsidRPr="00E06FC2">
        <w:rPr>
          <w:rFonts w:cs="Arial"/>
        </w:rPr>
        <w:t xml:space="preserve">, toda vez </w:t>
      </w:r>
      <w:r w:rsidRPr="00E06FC2">
        <w:rPr>
          <w:rFonts w:cs="Arial"/>
        </w:rPr>
        <w:t>que los estados financieros</w:t>
      </w:r>
      <w:r w:rsidR="002C6C38" w:rsidRPr="00E06FC2">
        <w:rPr>
          <w:rFonts w:cs="Arial"/>
        </w:rPr>
        <w:t xml:space="preserve">, en la forma como fueron presentados, </w:t>
      </w:r>
      <w:r w:rsidR="005D260A" w:rsidRPr="00E06FC2">
        <w:rPr>
          <w:rFonts w:cs="Arial"/>
        </w:rPr>
        <w:t xml:space="preserve">no </w:t>
      </w:r>
      <w:r w:rsidR="00963427" w:rsidRPr="00E06FC2">
        <w:rPr>
          <w:rFonts w:cs="Arial"/>
        </w:rPr>
        <w:t xml:space="preserve">reflejaban </w:t>
      </w:r>
      <w:r w:rsidR="005D260A" w:rsidRPr="00E06FC2">
        <w:rPr>
          <w:rFonts w:cs="Arial"/>
        </w:rPr>
        <w:t xml:space="preserve">ese nivel de detalle y solo acreditaban el </w:t>
      </w:r>
      <w:r w:rsidR="002C6C38" w:rsidRPr="00E06FC2">
        <w:rPr>
          <w:rFonts w:cs="Arial"/>
        </w:rPr>
        <w:t xml:space="preserve">valor del </w:t>
      </w:r>
      <w:r w:rsidR="005D260A" w:rsidRPr="00E06FC2">
        <w:rPr>
          <w:rFonts w:cs="Arial"/>
        </w:rPr>
        <w:t xml:space="preserve">patrimonio (activos menos pasivos). </w:t>
      </w:r>
    </w:p>
    <w:p w14:paraId="71CAB9C6" w14:textId="77777777" w:rsidR="00E414C6" w:rsidRPr="00E06FC2" w:rsidRDefault="00841D01" w:rsidP="00743788">
      <w:pPr>
        <w:ind w:right="49"/>
        <w:rPr>
          <w:rFonts w:cs="Arial"/>
        </w:rPr>
      </w:pPr>
      <w:r w:rsidRPr="00E06FC2">
        <w:rPr>
          <w:rFonts w:cs="Arial"/>
        </w:rPr>
        <w:t>Ahora bien, en relación con los argumentos de la demanda</w:t>
      </w:r>
      <w:r w:rsidR="00A34643" w:rsidRPr="00E06FC2">
        <w:rPr>
          <w:rFonts w:cs="Arial"/>
        </w:rPr>
        <w:t>da</w:t>
      </w:r>
      <w:r w:rsidRPr="00E06FC2">
        <w:rPr>
          <w:rFonts w:cs="Arial"/>
        </w:rPr>
        <w:t>, l</w:t>
      </w:r>
      <w:r w:rsidR="000B37D5" w:rsidRPr="00E06FC2">
        <w:rPr>
          <w:rFonts w:cs="Arial"/>
        </w:rPr>
        <w:t xml:space="preserve">a Sala advierte que la inclusión del dato de los activos, no constituyó un requisito de imposible cumplimiento, por el contrario, configuró un indicador objetivo de comparación, </w:t>
      </w:r>
      <w:r w:rsidR="00605A95" w:rsidRPr="00E06FC2">
        <w:rPr>
          <w:rFonts w:cs="Arial"/>
        </w:rPr>
        <w:t>factible bajo la legislación entonces vigente</w:t>
      </w:r>
      <w:r w:rsidR="00605A95" w:rsidRPr="00E06FC2">
        <w:rPr>
          <w:rStyle w:val="Refdenotaalpie"/>
          <w:rFonts w:cs="Arial"/>
        </w:rPr>
        <w:footnoteReference w:id="107"/>
      </w:r>
      <w:r w:rsidR="00963427" w:rsidRPr="00E06FC2">
        <w:rPr>
          <w:rFonts w:cs="Arial"/>
        </w:rPr>
        <w:t xml:space="preserve">. </w:t>
      </w:r>
    </w:p>
    <w:p w14:paraId="0945C69C" w14:textId="77777777" w:rsidR="00E414C6" w:rsidRPr="00E06FC2" w:rsidRDefault="00E414C6" w:rsidP="00743788">
      <w:pPr>
        <w:ind w:right="49"/>
        <w:rPr>
          <w:rFonts w:cs="Arial"/>
        </w:rPr>
      </w:pPr>
    </w:p>
    <w:p w14:paraId="54E114E1" w14:textId="77777777" w:rsidR="001860B2" w:rsidRPr="00E06FC2" w:rsidRDefault="00963427" w:rsidP="00743788">
      <w:pPr>
        <w:ind w:right="49"/>
        <w:rPr>
          <w:rFonts w:cs="Arial"/>
        </w:rPr>
      </w:pPr>
      <w:r w:rsidRPr="00E06FC2">
        <w:rPr>
          <w:rFonts w:cs="Arial"/>
        </w:rPr>
        <w:t xml:space="preserve">Se agrega que </w:t>
      </w:r>
      <w:r w:rsidR="007648C9" w:rsidRPr="00E06FC2">
        <w:rPr>
          <w:rFonts w:cs="Arial"/>
        </w:rPr>
        <w:t xml:space="preserve">el valor de los activos se introdujo </w:t>
      </w:r>
      <w:r w:rsidR="00605A95" w:rsidRPr="00E06FC2">
        <w:rPr>
          <w:rFonts w:cs="Arial"/>
        </w:rPr>
        <w:t xml:space="preserve">sin modificar </w:t>
      </w:r>
      <w:r w:rsidR="00625752" w:rsidRPr="00E06FC2">
        <w:rPr>
          <w:rFonts w:cs="Arial"/>
        </w:rPr>
        <w:t xml:space="preserve">los </w:t>
      </w:r>
      <w:r w:rsidR="00841D01" w:rsidRPr="00E06FC2">
        <w:rPr>
          <w:rFonts w:cs="Arial"/>
        </w:rPr>
        <w:t xml:space="preserve">soportes que </w:t>
      </w:r>
      <w:r w:rsidR="00EE3ADB" w:rsidRPr="00E06FC2">
        <w:rPr>
          <w:rFonts w:cs="Arial"/>
        </w:rPr>
        <w:t xml:space="preserve">se habían </w:t>
      </w:r>
      <w:r w:rsidR="00605A95" w:rsidRPr="00E06FC2">
        <w:rPr>
          <w:rFonts w:cs="Arial"/>
        </w:rPr>
        <w:t xml:space="preserve">requerido </w:t>
      </w:r>
      <w:r w:rsidR="00625752" w:rsidRPr="00E06FC2">
        <w:rPr>
          <w:rFonts w:cs="Arial"/>
        </w:rPr>
        <w:t xml:space="preserve">para la </w:t>
      </w:r>
      <w:r w:rsidR="00EE3ADB" w:rsidRPr="00E06FC2">
        <w:rPr>
          <w:rFonts w:cs="Arial"/>
        </w:rPr>
        <w:t>determinación del puntaje en el factor de capacidad financiera</w:t>
      </w:r>
      <w:r w:rsidR="00692C06" w:rsidRPr="00E06FC2">
        <w:rPr>
          <w:rStyle w:val="Refdenotaalpie"/>
          <w:rFonts w:cs="Arial"/>
        </w:rPr>
        <w:footnoteReference w:id="108"/>
      </w:r>
      <w:r w:rsidR="007648C9" w:rsidRPr="00E06FC2">
        <w:rPr>
          <w:rFonts w:cs="Arial"/>
        </w:rPr>
        <w:t xml:space="preserve">, de manera que se referían a la capacidad financiera medida con fundamento en la misma información financiera que se determinó como soporte para la calificación desde </w:t>
      </w:r>
      <w:r w:rsidR="001860B2" w:rsidRPr="00E06FC2">
        <w:rPr>
          <w:rFonts w:cs="Arial"/>
        </w:rPr>
        <w:t xml:space="preserve">que se expidió </w:t>
      </w:r>
      <w:r w:rsidR="007648C9" w:rsidRPr="00E06FC2">
        <w:rPr>
          <w:rFonts w:cs="Arial"/>
        </w:rPr>
        <w:t>el pliego de condiciones.</w:t>
      </w:r>
      <w:r w:rsidR="00625752" w:rsidRPr="00E06FC2">
        <w:rPr>
          <w:rFonts w:cs="Arial"/>
        </w:rPr>
        <w:t xml:space="preserve"> </w:t>
      </w:r>
    </w:p>
    <w:p w14:paraId="59EADD25" w14:textId="77777777" w:rsidR="001860B2" w:rsidRPr="00E06FC2" w:rsidRDefault="001860B2" w:rsidP="00743788">
      <w:pPr>
        <w:ind w:right="49"/>
        <w:rPr>
          <w:rFonts w:cs="Arial"/>
        </w:rPr>
      </w:pPr>
    </w:p>
    <w:p w14:paraId="2232B361" w14:textId="77777777" w:rsidR="00EE3ADB" w:rsidRPr="00E06FC2" w:rsidRDefault="00B573DB" w:rsidP="00743788">
      <w:pPr>
        <w:ind w:right="49"/>
        <w:rPr>
          <w:rFonts w:cs="Arial"/>
        </w:rPr>
      </w:pPr>
      <w:r w:rsidRPr="00E06FC2">
        <w:rPr>
          <w:rFonts w:cs="Arial"/>
        </w:rPr>
        <w:t>Igualmente, es</w:t>
      </w:r>
      <w:r w:rsidR="00625752" w:rsidRPr="00E06FC2">
        <w:rPr>
          <w:rFonts w:cs="Arial"/>
        </w:rPr>
        <w:t xml:space="preserve"> claro que </w:t>
      </w:r>
      <w:r w:rsidR="001A5FBF" w:rsidRPr="00E06FC2">
        <w:rPr>
          <w:rFonts w:cs="Arial"/>
        </w:rPr>
        <w:t xml:space="preserve">la exigencia de  </w:t>
      </w:r>
      <w:r w:rsidR="00625752" w:rsidRPr="00E06FC2">
        <w:rPr>
          <w:rFonts w:cs="Arial"/>
        </w:rPr>
        <w:t xml:space="preserve">los estados financieros </w:t>
      </w:r>
      <w:r w:rsidR="001A5FBF" w:rsidRPr="00E06FC2">
        <w:rPr>
          <w:rFonts w:cs="Arial"/>
        </w:rPr>
        <w:t xml:space="preserve">y de </w:t>
      </w:r>
      <w:r w:rsidR="00625752" w:rsidRPr="00E06FC2">
        <w:rPr>
          <w:rFonts w:cs="Arial"/>
        </w:rPr>
        <w:t xml:space="preserve">la declaración de renta </w:t>
      </w:r>
      <w:r w:rsidR="001A5FBF" w:rsidRPr="00E06FC2">
        <w:rPr>
          <w:rFonts w:cs="Arial"/>
        </w:rPr>
        <w:t xml:space="preserve">no constituyen </w:t>
      </w:r>
      <w:r w:rsidR="00625752" w:rsidRPr="00E06FC2">
        <w:rPr>
          <w:rFonts w:cs="Arial"/>
        </w:rPr>
        <w:t>requisitos de imposible cumplimiento.</w:t>
      </w:r>
    </w:p>
    <w:p w14:paraId="0E18490A" w14:textId="77777777" w:rsidR="00841D01" w:rsidRPr="00E06FC2" w:rsidRDefault="00841D01" w:rsidP="00743788">
      <w:pPr>
        <w:ind w:right="49"/>
        <w:rPr>
          <w:rFonts w:cs="Arial"/>
        </w:rPr>
      </w:pPr>
    </w:p>
    <w:p w14:paraId="54B6ABF8" w14:textId="77777777" w:rsidR="00EE3ADB" w:rsidRPr="00E06FC2" w:rsidRDefault="00EE3ADB" w:rsidP="00743788">
      <w:pPr>
        <w:ind w:right="49"/>
        <w:rPr>
          <w:rFonts w:cs="Arial"/>
        </w:rPr>
      </w:pPr>
      <w:r w:rsidRPr="00E06FC2">
        <w:rPr>
          <w:rFonts w:cs="Arial"/>
        </w:rPr>
        <w:t>En e</w:t>
      </w:r>
      <w:r w:rsidR="00932924" w:rsidRPr="00E06FC2">
        <w:rPr>
          <w:rFonts w:cs="Arial"/>
        </w:rPr>
        <w:t xml:space="preserve">l contexto que se ha descrito, </w:t>
      </w:r>
      <w:r w:rsidRPr="00E06FC2">
        <w:rPr>
          <w:rFonts w:cs="Arial"/>
        </w:rPr>
        <w:t xml:space="preserve">no se </w:t>
      </w:r>
      <w:r w:rsidR="00932924" w:rsidRPr="00E06FC2">
        <w:rPr>
          <w:rFonts w:cs="Arial"/>
        </w:rPr>
        <w:t xml:space="preserve">configuran </w:t>
      </w:r>
      <w:r w:rsidRPr="00E06FC2">
        <w:rPr>
          <w:rFonts w:cs="Arial"/>
        </w:rPr>
        <w:t xml:space="preserve">los supuestos del artículo 24 de la Ley 80 de 1993 para entender como ineficaz la </w:t>
      </w:r>
      <w:r w:rsidR="00B573DB" w:rsidRPr="00E06FC2">
        <w:rPr>
          <w:rFonts w:cs="Arial"/>
        </w:rPr>
        <w:t xml:space="preserve">cláusula </w:t>
      </w:r>
      <w:r w:rsidR="00932924" w:rsidRPr="00E06FC2">
        <w:rPr>
          <w:rFonts w:cs="Arial"/>
        </w:rPr>
        <w:t xml:space="preserve">4 </w:t>
      </w:r>
      <w:r w:rsidR="00B573DB" w:rsidRPr="00E06FC2">
        <w:rPr>
          <w:rFonts w:cs="Arial"/>
        </w:rPr>
        <w:t xml:space="preserve">del </w:t>
      </w:r>
      <w:r w:rsidR="00A34643" w:rsidRPr="00E06FC2">
        <w:rPr>
          <w:rFonts w:cs="Arial"/>
        </w:rPr>
        <w:t>a</w:t>
      </w:r>
      <w:r w:rsidR="00B573DB" w:rsidRPr="00E06FC2">
        <w:rPr>
          <w:rFonts w:cs="Arial"/>
        </w:rPr>
        <w:t>dendo 3</w:t>
      </w:r>
      <w:r w:rsidR="00932924" w:rsidRPr="00E06FC2">
        <w:rPr>
          <w:rFonts w:cs="Arial"/>
        </w:rPr>
        <w:t xml:space="preserve">, mediante la cual se </w:t>
      </w:r>
      <w:r w:rsidR="00B573DB" w:rsidRPr="00E06FC2">
        <w:rPr>
          <w:rFonts w:cs="Arial"/>
        </w:rPr>
        <w:t xml:space="preserve">incluyó el dato de los activos en </w:t>
      </w:r>
      <w:r w:rsidRPr="00E06FC2">
        <w:rPr>
          <w:rFonts w:cs="Arial"/>
        </w:rPr>
        <w:t xml:space="preserve">los indicadores de </w:t>
      </w:r>
      <w:r w:rsidR="00932924" w:rsidRPr="00E06FC2">
        <w:rPr>
          <w:rFonts w:cs="Arial"/>
        </w:rPr>
        <w:t xml:space="preserve">la </w:t>
      </w:r>
      <w:r w:rsidRPr="00E06FC2">
        <w:rPr>
          <w:rFonts w:cs="Arial"/>
        </w:rPr>
        <w:t>capacidad financiera</w:t>
      </w:r>
      <w:r w:rsidR="00932924" w:rsidRPr="00E06FC2">
        <w:rPr>
          <w:rFonts w:cs="Arial"/>
        </w:rPr>
        <w:t xml:space="preserve"> como factor de calificación en la Licitación Pública 001 de 1997.</w:t>
      </w:r>
    </w:p>
    <w:p w14:paraId="7EF030CA" w14:textId="77777777" w:rsidR="00EE3ADB" w:rsidRPr="00E06FC2" w:rsidRDefault="00EE3ADB" w:rsidP="00743788">
      <w:pPr>
        <w:ind w:right="49"/>
        <w:rPr>
          <w:rFonts w:cs="Arial"/>
        </w:rPr>
      </w:pPr>
    </w:p>
    <w:p w14:paraId="5F8CC492" w14:textId="77777777" w:rsidR="003D6F6C" w:rsidRPr="00E06FC2" w:rsidRDefault="001F451B" w:rsidP="00743788">
      <w:pPr>
        <w:ind w:right="49"/>
        <w:rPr>
          <w:rFonts w:cs="Arial"/>
        </w:rPr>
      </w:pPr>
      <w:r w:rsidRPr="00E06FC2">
        <w:rPr>
          <w:rFonts w:cs="Arial"/>
        </w:rPr>
        <w:t>Por último</w:t>
      </w:r>
      <w:r w:rsidR="00A34643" w:rsidRPr="00E06FC2">
        <w:rPr>
          <w:rFonts w:cs="Arial"/>
        </w:rPr>
        <w:t>,</w:t>
      </w:r>
      <w:r w:rsidRPr="00E06FC2">
        <w:rPr>
          <w:rFonts w:cs="Arial"/>
        </w:rPr>
        <w:t xml:space="preserve"> puede observarse que no se demostró – ni se argumentó- que </w:t>
      </w:r>
      <w:r w:rsidR="00077FD0" w:rsidRPr="00E06FC2">
        <w:rPr>
          <w:rFonts w:cs="Arial"/>
        </w:rPr>
        <w:t xml:space="preserve">la regla de calificación de los activos </w:t>
      </w:r>
      <w:r w:rsidRPr="00E06FC2">
        <w:rPr>
          <w:rFonts w:cs="Arial"/>
        </w:rPr>
        <w:t>se hubiera introducido para favorecer</w:t>
      </w:r>
      <w:r w:rsidR="00830772" w:rsidRPr="00E06FC2">
        <w:rPr>
          <w:rFonts w:cs="Arial"/>
        </w:rPr>
        <w:t xml:space="preserve"> a la UT que resultó adjudicataria del contrato de concesión.</w:t>
      </w:r>
      <w:r w:rsidR="00077FD0" w:rsidRPr="00E06FC2">
        <w:rPr>
          <w:rFonts w:cs="Arial"/>
        </w:rPr>
        <w:t xml:space="preserve"> </w:t>
      </w:r>
    </w:p>
    <w:p w14:paraId="365DF360" w14:textId="77777777" w:rsidR="003D6F6C" w:rsidRPr="00E06FC2" w:rsidRDefault="003D6F6C" w:rsidP="00743788">
      <w:pPr>
        <w:ind w:right="49"/>
        <w:rPr>
          <w:rFonts w:cs="Arial"/>
        </w:rPr>
      </w:pPr>
    </w:p>
    <w:p w14:paraId="4D4E77A6" w14:textId="77777777" w:rsidR="0007265F" w:rsidRPr="00E06FC2" w:rsidRDefault="00830772" w:rsidP="00743788">
      <w:pPr>
        <w:ind w:right="49"/>
        <w:rPr>
          <w:rFonts w:cs="Arial"/>
        </w:rPr>
      </w:pPr>
      <w:r w:rsidRPr="00E06FC2">
        <w:rPr>
          <w:rFonts w:cs="Arial"/>
        </w:rPr>
        <w:t xml:space="preserve">En ese orden de ideas, </w:t>
      </w:r>
      <w:r w:rsidR="001F451B" w:rsidRPr="00E06FC2">
        <w:rPr>
          <w:rFonts w:cs="Arial"/>
        </w:rPr>
        <w:t xml:space="preserve">la interpretación de la </w:t>
      </w:r>
      <w:r w:rsidR="00077FD0" w:rsidRPr="00E06FC2">
        <w:rPr>
          <w:rFonts w:cs="Arial"/>
        </w:rPr>
        <w:t xml:space="preserve">determinación del puntaje en el factor de capacidad financiera </w:t>
      </w:r>
      <w:r w:rsidR="001F451B" w:rsidRPr="00E06FC2">
        <w:rPr>
          <w:rFonts w:cs="Arial"/>
        </w:rPr>
        <w:t>se debe entender ajustada a los mandatos de la buena fe y de la igualdad en el procedimiento de contratación</w:t>
      </w:r>
      <w:bookmarkStart w:id="6" w:name="28"/>
      <w:r w:rsidR="001860B2" w:rsidRPr="00E06FC2">
        <w:rPr>
          <w:rFonts w:cs="Arial"/>
        </w:rPr>
        <w:t xml:space="preserve">, de acuerdo con lo que </w:t>
      </w:r>
      <w:r w:rsidR="00077FD0" w:rsidRPr="00E06FC2">
        <w:rPr>
          <w:rFonts w:cs="Arial"/>
        </w:rPr>
        <w:t>consagran los artículos 23 y  28 de la Ley 80 de 1993</w:t>
      </w:r>
      <w:r w:rsidR="001F451B" w:rsidRPr="00E06FC2">
        <w:rPr>
          <w:rStyle w:val="Refdenotaalpie"/>
          <w:rFonts w:cs="Arial"/>
        </w:rPr>
        <w:footnoteReference w:id="109"/>
      </w:r>
      <w:r w:rsidR="001F451B" w:rsidRPr="00E06FC2">
        <w:rPr>
          <w:rFonts w:cs="Arial"/>
        </w:rPr>
        <w:t>.</w:t>
      </w:r>
      <w:bookmarkEnd w:id="6"/>
    </w:p>
    <w:p w14:paraId="565109F9" w14:textId="77777777" w:rsidR="00E86370" w:rsidRPr="00E06FC2" w:rsidRDefault="00E86370" w:rsidP="00743788">
      <w:pPr>
        <w:ind w:right="49"/>
        <w:rPr>
          <w:rFonts w:cs="Arial"/>
        </w:rPr>
      </w:pPr>
    </w:p>
    <w:p w14:paraId="7DF87A28" w14:textId="77777777" w:rsidR="00E86370" w:rsidRPr="00E06FC2" w:rsidRDefault="00E86370" w:rsidP="00743788">
      <w:pPr>
        <w:ind w:right="49"/>
        <w:rPr>
          <w:rFonts w:cs="Arial"/>
        </w:rPr>
      </w:pPr>
      <w:r w:rsidRPr="00E06FC2">
        <w:rPr>
          <w:rFonts w:cs="Arial"/>
        </w:rPr>
        <w:t xml:space="preserve">En conclusión, tampoco proceden los argumentos de la demandante en lo que hace relación con la calificación del factor de capacidad financiera y, por ello, se desecha el cargo y la correspondiente pretensión de nulidad del acto de adjudicación que se argumentó como basada en la inclusión del </w:t>
      </w:r>
      <w:r w:rsidR="000E362C" w:rsidRPr="00E06FC2">
        <w:rPr>
          <w:rFonts w:cs="Arial"/>
        </w:rPr>
        <w:t>a</w:t>
      </w:r>
      <w:r w:rsidRPr="00E06FC2">
        <w:rPr>
          <w:rFonts w:cs="Arial"/>
        </w:rPr>
        <w:t xml:space="preserve">dendo 3, cuestionado en el </w:t>
      </w:r>
      <w:r w:rsidRPr="00E06FC2">
        <w:rPr>
          <w:rFonts w:cs="Arial"/>
          <w:i/>
        </w:rPr>
        <w:t>sub lite</w:t>
      </w:r>
      <w:r w:rsidRPr="00E06FC2">
        <w:rPr>
          <w:rFonts w:cs="Arial"/>
        </w:rPr>
        <w:t>.</w:t>
      </w:r>
    </w:p>
    <w:p w14:paraId="40735587" w14:textId="77777777" w:rsidR="001F451B" w:rsidRPr="00E06FC2" w:rsidRDefault="001F451B" w:rsidP="00743788">
      <w:pPr>
        <w:ind w:right="49"/>
        <w:rPr>
          <w:rFonts w:cs="Arial"/>
          <w:lang w:val="es-CO" w:eastAsia="ar-SA"/>
        </w:rPr>
      </w:pPr>
    </w:p>
    <w:p w14:paraId="23A505C5" w14:textId="77777777" w:rsidR="00CF76FD" w:rsidRPr="00E06FC2" w:rsidRDefault="00BF0DC3" w:rsidP="00743788">
      <w:pPr>
        <w:pStyle w:val="Lista2"/>
        <w:ind w:left="0" w:firstLine="0"/>
        <w:rPr>
          <w:rFonts w:cs="Arial"/>
          <w:b/>
        </w:rPr>
      </w:pPr>
      <w:r w:rsidRPr="00E06FC2">
        <w:rPr>
          <w:rFonts w:cs="Arial"/>
          <w:b/>
        </w:rPr>
        <w:t>6</w:t>
      </w:r>
      <w:r w:rsidR="007A7EDE" w:rsidRPr="00E06FC2">
        <w:rPr>
          <w:rFonts w:cs="Arial"/>
          <w:b/>
        </w:rPr>
        <w:t>.</w:t>
      </w:r>
      <w:r w:rsidRPr="00E06FC2">
        <w:rPr>
          <w:rFonts w:cs="Arial"/>
          <w:b/>
        </w:rPr>
        <w:t xml:space="preserve"> </w:t>
      </w:r>
      <w:r w:rsidR="001C6D0F" w:rsidRPr="00E06FC2">
        <w:rPr>
          <w:rFonts w:cs="Arial"/>
          <w:b/>
        </w:rPr>
        <w:t>Costas</w:t>
      </w:r>
    </w:p>
    <w:p w14:paraId="0CDB155C" w14:textId="77777777" w:rsidR="001D3710" w:rsidRPr="00E06FC2" w:rsidRDefault="001D3710" w:rsidP="00743788">
      <w:pPr>
        <w:pStyle w:val="Continuarlista2"/>
        <w:ind w:left="0"/>
        <w:rPr>
          <w:rFonts w:cs="Arial"/>
        </w:rPr>
      </w:pPr>
    </w:p>
    <w:p w14:paraId="4BCF2624" w14:textId="77777777" w:rsidR="00CF76FD" w:rsidRPr="00E06FC2" w:rsidRDefault="00CF76FD" w:rsidP="00743788">
      <w:pPr>
        <w:pStyle w:val="Continuarlista2"/>
        <w:ind w:left="0"/>
        <w:rPr>
          <w:rFonts w:cs="Arial"/>
        </w:rPr>
      </w:pPr>
      <w:r w:rsidRPr="00E06FC2">
        <w:rPr>
          <w:rFonts w:cs="Arial"/>
        </w:rPr>
        <w:t xml:space="preserve">Habida cuenta </w:t>
      </w:r>
      <w:r w:rsidR="00A775A8" w:rsidRPr="00E06FC2">
        <w:rPr>
          <w:rFonts w:cs="Arial"/>
        </w:rPr>
        <w:t xml:space="preserve">de </w:t>
      </w:r>
      <w:r w:rsidRPr="00E06FC2">
        <w:rPr>
          <w:rFonts w:cs="Arial"/>
        </w:rPr>
        <w:t xml:space="preserve">que </w:t>
      </w:r>
      <w:r w:rsidR="003324E4" w:rsidRPr="00E06FC2">
        <w:rPr>
          <w:rFonts w:cs="Arial"/>
        </w:rPr>
        <w:t xml:space="preserve">en el presente proceso aplica el artículo 171 del Código Contencioso Administrativo, el cual </w:t>
      </w:r>
      <w:r w:rsidRPr="00E06FC2">
        <w:rPr>
          <w:rFonts w:cs="Arial"/>
        </w:rPr>
        <w:t xml:space="preserve">indica que sólo hay lugar a la imposición de costas </w:t>
      </w:r>
      <w:r w:rsidR="00A775A8" w:rsidRPr="00E06FC2">
        <w:rPr>
          <w:rFonts w:cs="Arial"/>
        </w:rPr>
        <w:t xml:space="preserve">teniendo en cuenta la conducta asumida por las partes y </w:t>
      </w:r>
      <w:r w:rsidRPr="00E06FC2">
        <w:rPr>
          <w:rFonts w:cs="Arial"/>
        </w:rPr>
        <w:t xml:space="preserve">en el </w:t>
      </w:r>
      <w:r w:rsidRPr="00E06FC2">
        <w:rPr>
          <w:rFonts w:cs="Arial"/>
          <w:i/>
          <w:iCs/>
        </w:rPr>
        <w:t>sub lite</w:t>
      </w:r>
      <w:r w:rsidR="00A775A8" w:rsidRPr="00E06FC2">
        <w:rPr>
          <w:rFonts w:cs="Arial"/>
          <w:i/>
          <w:iCs/>
        </w:rPr>
        <w:t xml:space="preserve"> </w:t>
      </w:r>
      <w:r w:rsidR="00A775A8" w:rsidRPr="00E06FC2">
        <w:rPr>
          <w:rFonts w:cs="Arial"/>
          <w:iCs/>
        </w:rPr>
        <w:t>no se evidencia que alguna haya actuado de esa forma,</w:t>
      </w:r>
      <w:r w:rsidR="00A775A8" w:rsidRPr="00E06FC2">
        <w:rPr>
          <w:rFonts w:cs="Arial"/>
          <w:i/>
          <w:iCs/>
        </w:rPr>
        <w:t xml:space="preserve"> </w:t>
      </w:r>
      <w:r w:rsidR="003324E4" w:rsidRPr="00E06FC2">
        <w:rPr>
          <w:rFonts w:cs="Arial"/>
        </w:rPr>
        <w:t xml:space="preserve">se considera que </w:t>
      </w:r>
      <w:r w:rsidRPr="00E06FC2">
        <w:rPr>
          <w:rFonts w:cs="Arial"/>
        </w:rPr>
        <w:t xml:space="preserve">en el presente asunto no habrá lugar a </w:t>
      </w:r>
      <w:r w:rsidR="003324E4" w:rsidRPr="00E06FC2">
        <w:rPr>
          <w:rFonts w:cs="Arial"/>
        </w:rPr>
        <w:t>condena en costas</w:t>
      </w:r>
      <w:r w:rsidRPr="00E06FC2">
        <w:rPr>
          <w:rFonts w:cs="Arial"/>
        </w:rPr>
        <w:t>.</w:t>
      </w:r>
    </w:p>
    <w:p w14:paraId="64F70400" w14:textId="77777777" w:rsidR="00B35501" w:rsidRPr="00E06FC2" w:rsidRDefault="00B35501" w:rsidP="00743788">
      <w:pPr>
        <w:pStyle w:val="Textoindependiente22"/>
        <w:numPr>
          <w:ilvl w:val="12"/>
          <w:numId w:val="0"/>
        </w:numPr>
        <w:overflowPunct/>
        <w:autoSpaceDE/>
        <w:autoSpaceDN/>
        <w:adjustRightInd/>
        <w:textAlignment w:val="auto"/>
        <w:rPr>
          <w:rFonts w:cs="Arial"/>
          <w:szCs w:val="24"/>
        </w:rPr>
      </w:pPr>
    </w:p>
    <w:p w14:paraId="7361546E" w14:textId="77777777" w:rsidR="002D4371" w:rsidRPr="00E06FC2" w:rsidRDefault="002D4371" w:rsidP="00743788">
      <w:pPr>
        <w:pStyle w:val="Textoindependiente22"/>
        <w:numPr>
          <w:ilvl w:val="12"/>
          <w:numId w:val="0"/>
        </w:numPr>
        <w:overflowPunct/>
        <w:autoSpaceDE/>
        <w:autoSpaceDN/>
        <w:adjustRightInd/>
        <w:textAlignment w:val="auto"/>
        <w:rPr>
          <w:rFonts w:cs="Arial"/>
          <w:szCs w:val="24"/>
        </w:rPr>
      </w:pPr>
      <w:r w:rsidRPr="00E06FC2">
        <w:rPr>
          <w:rFonts w:cs="Arial"/>
          <w:szCs w:val="24"/>
        </w:rPr>
        <w:t>En mérito de lo expuesto, el Consejo de Estado, en Sala de lo Contencioso Administrativo, Sección Tercera,</w:t>
      </w:r>
      <w:r w:rsidR="00AD4DBE" w:rsidRPr="00E06FC2">
        <w:rPr>
          <w:rFonts w:cs="Arial"/>
          <w:szCs w:val="24"/>
        </w:rPr>
        <w:t xml:space="preserve"> Subsección A,</w:t>
      </w:r>
      <w:r w:rsidRPr="00E06FC2">
        <w:rPr>
          <w:rFonts w:cs="Arial"/>
          <w:szCs w:val="24"/>
        </w:rPr>
        <w:t xml:space="preserve"> administrando justicia en nombre de la República de Colombia y por autoridad de la ley,</w:t>
      </w:r>
    </w:p>
    <w:p w14:paraId="77F0F765" w14:textId="77777777" w:rsidR="00ED77A2" w:rsidRPr="00E06FC2" w:rsidRDefault="00ED77A2" w:rsidP="00743788">
      <w:pPr>
        <w:rPr>
          <w:rFonts w:cs="Arial"/>
        </w:rPr>
      </w:pPr>
    </w:p>
    <w:p w14:paraId="724FCC35" w14:textId="77777777" w:rsidR="00EA2611" w:rsidRPr="00E06FC2" w:rsidRDefault="00EA2611" w:rsidP="00743788">
      <w:pPr>
        <w:pStyle w:val="Ttulo5"/>
        <w:rPr>
          <w:rFonts w:cs="Arial"/>
          <w:bCs/>
          <w:sz w:val="24"/>
          <w:szCs w:val="24"/>
        </w:rPr>
      </w:pPr>
      <w:r w:rsidRPr="00E06FC2">
        <w:rPr>
          <w:rFonts w:cs="Arial"/>
          <w:bCs/>
          <w:sz w:val="24"/>
          <w:szCs w:val="24"/>
        </w:rPr>
        <w:t>F A L L A</w:t>
      </w:r>
    </w:p>
    <w:p w14:paraId="7A5A0A75" w14:textId="77777777" w:rsidR="00ED77A2" w:rsidRPr="00E06FC2" w:rsidRDefault="00ED77A2" w:rsidP="00743788">
      <w:pPr>
        <w:widowControl w:val="0"/>
        <w:autoSpaceDE w:val="0"/>
        <w:autoSpaceDN w:val="0"/>
        <w:adjustRightInd w:val="0"/>
        <w:rPr>
          <w:rFonts w:cs="Arial"/>
          <w:b/>
        </w:rPr>
      </w:pPr>
    </w:p>
    <w:p w14:paraId="6B50186C" w14:textId="77777777" w:rsidR="007D23DF" w:rsidRPr="00E06FC2" w:rsidRDefault="00EA2611" w:rsidP="00743788">
      <w:pPr>
        <w:widowControl w:val="0"/>
        <w:autoSpaceDE w:val="0"/>
        <w:autoSpaceDN w:val="0"/>
        <w:adjustRightInd w:val="0"/>
        <w:rPr>
          <w:rFonts w:cs="Arial"/>
        </w:rPr>
      </w:pPr>
      <w:r w:rsidRPr="00E06FC2">
        <w:rPr>
          <w:rFonts w:cs="Arial"/>
          <w:b/>
        </w:rPr>
        <w:t>PRIMERO</w:t>
      </w:r>
      <w:r w:rsidR="00121D61" w:rsidRPr="00E06FC2">
        <w:rPr>
          <w:rFonts w:cs="Arial"/>
          <w:b/>
        </w:rPr>
        <w:t>:</w:t>
      </w:r>
      <w:r w:rsidRPr="00E06FC2">
        <w:rPr>
          <w:rFonts w:cs="Arial"/>
          <w:b/>
        </w:rPr>
        <w:t xml:space="preserve"> </w:t>
      </w:r>
      <w:r w:rsidR="007D23DF" w:rsidRPr="00E06FC2">
        <w:rPr>
          <w:rFonts w:cs="Arial"/>
          <w:b/>
        </w:rPr>
        <w:t xml:space="preserve">REVOCAR </w:t>
      </w:r>
      <w:r w:rsidRPr="00E06FC2">
        <w:rPr>
          <w:rFonts w:cs="Arial"/>
          <w:lang w:val="es-CO"/>
        </w:rPr>
        <w:t xml:space="preserve">la sentencia </w:t>
      </w:r>
      <w:r w:rsidR="00121D61" w:rsidRPr="00E06FC2">
        <w:rPr>
          <w:rFonts w:cs="Arial"/>
          <w:lang w:val="es-CO"/>
        </w:rPr>
        <w:t xml:space="preserve">proferida por el Tribunal Administrativo </w:t>
      </w:r>
      <w:r w:rsidR="007D23DF" w:rsidRPr="00E06FC2">
        <w:rPr>
          <w:rFonts w:cs="Arial"/>
        </w:rPr>
        <w:t>del Valle del Cauca el 31 de agosto de 2009 y, en su lugar</w:t>
      </w:r>
      <w:r w:rsidR="00C903F2" w:rsidRPr="00E06FC2">
        <w:rPr>
          <w:rFonts w:cs="Arial"/>
        </w:rPr>
        <w:t xml:space="preserve">, </w:t>
      </w:r>
      <w:r w:rsidR="007D23DF" w:rsidRPr="00E06FC2">
        <w:rPr>
          <w:rFonts w:cs="Arial"/>
        </w:rPr>
        <w:t>se dispone lo siguiente</w:t>
      </w:r>
      <w:r w:rsidR="003D6F6C" w:rsidRPr="00E06FC2">
        <w:rPr>
          <w:rFonts w:cs="Arial"/>
        </w:rPr>
        <w:t>:</w:t>
      </w:r>
    </w:p>
    <w:p w14:paraId="7AC5D30E" w14:textId="77777777" w:rsidR="003D6F6C" w:rsidRPr="00E06FC2" w:rsidRDefault="003D6F6C" w:rsidP="00743788">
      <w:pPr>
        <w:widowControl w:val="0"/>
        <w:autoSpaceDE w:val="0"/>
        <w:autoSpaceDN w:val="0"/>
        <w:adjustRightInd w:val="0"/>
        <w:rPr>
          <w:rFonts w:cs="Arial"/>
        </w:rPr>
      </w:pPr>
    </w:p>
    <w:p w14:paraId="123EA89D" w14:textId="77777777" w:rsidR="00335084" w:rsidRPr="00E06FC2" w:rsidRDefault="003D6F6C" w:rsidP="00743788">
      <w:pPr>
        <w:widowControl w:val="0"/>
        <w:autoSpaceDE w:val="0"/>
        <w:autoSpaceDN w:val="0"/>
        <w:adjustRightInd w:val="0"/>
        <w:rPr>
          <w:rFonts w:cs="Arial"/>
          <w:lang w:val="es-CO"/>
        </w:rPr>
      </w:pPr>
      <w:r w:rsidRPr="00E06FC2">
        <w:rPr>
          <w:rFonts w:cs="Arial"/>
        </w:rPr>
        <w:t xml:space="preserve">1º. </w:t>
      </w:r>
      <w:r w:rsidR="007D23DF" w:rsidRPr="00E06FC2">
        <w:rPr>
          <w:rFonts w:cs="Arial"/>
        </w:rPr>
        <w:t>D</w:t>
      </w:r>
      <w:r w:rsidR="00CE3D9B" w:rsidRPr="00E06FC2">
        <w:rPr>
          <w:rFonts w:cs="Arial"/>
        </w:rPr>
        <w:t xml:space="preserve">ECLARAR </w:t>
      </w:r>
      <w:r w:rsidR="00335084" w:rsidRPr="00E06FC2">
        <w:rPr>
          <w:rFonts w:cs="Arial"/>
        </w:rPr>
        <w:t>no probada la excepción de INDEBIDA REPRESENTACI</w:t>
      </w:r>
      <w:r w:rsidRPr="00E06FC2">
        <w:rPr>
          <w:rFonts w:cs="Arial"/>
        </w:rPr>
        <w:t>Ó</w:t>
      </w:r>
      <w:r w:rsidR="00335084" w:rsidRPr="00E06FC2">
        <w:rPr>
          <w:rFonts w:cs="Arial"/>
        </w:rPr>
        <w:t xml:space="preserve">N DEL </w:t>
      </w:r>
      <w:r w:rsidR="00335084" w:rsidRPr="00E06FC2">
        <w:rPr>
          <w:rFonts w:cs="Arial"/>
        </w:rPr>
        <w:lastRenderedPageBreak/>
        <w:t>DEMANDANTE propuesta por DISELECSA LTDA.</w:t>
      </w:r>
    </w:p>
    <w:p w14:paraId="08D75180" w14:textId="77777777" w:rsidR="00CE3D9B" w:rsidRPr="00E06FC2" w:rsidRDefault="00CE3D9B" w:rsidP="00743788">
      <w:pPr>
        <w:widowControl w:val="0"/>
        <w:autoSpaceDE w:val="0"/>
        <w:autoSpaceDN w:val="0"/>
        <w:adjustRightInd w:val="0"/>
        <w:rPr>
          <w:rFonts w:cs="Arial"/>
          <w:lang w:val="es-CO"/>
        </w:rPr>
      </w:pPr>
    </w:p>
    <w:p w14:paraId="475E5365" w14:textId="77777777" w:rsidR="007D23DF" w:rsidRPr="00E06FC2" w:rsidRDefault="003D6F6C" w:rsidP="00743788">
      <w:pPr>
        <w:widowControl w:val="0"/>
        <w:autoSpaceDE w:val="0"/>
        <w:autoSpaceDN w:val="0"/>
        <w:adjustRightInd w:val="0"/>
        <w:rPr>
          <w:rFonts w:cs="Arial"/>
          <w:lang w:val="es-CO"/>
        </w:rPr>
      </w:pPr>
      <w:r w:rsidRPr="00E06FC2">
        <w:rPr>
          <w:rFonts w:cs="Arial"/>
        </w:rPr>
        <w:t xml:space="preserve">2º </w:t>
      </w:r>
      <w:r w:rsidR="00CE3D9B" w:rsidRPr="00E06FC2">
        <w:rPr>
          <w:rFonts w:cs="Arial"/>
        </w:rPr>
        <w:t xml:space="preserve">DENEGAR </w:t>
      </w:r>
      <w:r w:rsidR="007D23DF" w:rsidRPr="00E06FC2">
        <w:rPr>
          <w:rFonts w:cs="Arial"/>
        </w:rPr>
        <w:t>las pretensiones de la demanda</w:t>
      </w:r>
      <w:r w:rsidR="00C903F2" w:rsidRPr="00E06FC2">
        <w:rPr>
          <w:rFonts w:cs="Arial"/>
        </w:rPr>
        <w:t>.</w:t>
      </w:r>
    </w:p>
    <w:p w14:paraId="08B236DE" w14:textId="77777777" w:rsidR="00EA2611" w:rsidRPr="00E06FC2" w:rsidRDefault="00EA2611" w:rsidP="00743788">
      <w:pPr>
        <w:widowControl w:val="0"/>
        <w:ind w:left="851"/>
        <w:rPr>
          <w:rFonts w:cs="Arial"/>
        </w:rPr>
      </w:pPr>
    </w:p>
    <w:p w14:paraId="37EF88B6" w14:textId="77777777" w:rsidR="00EA2611" w:rsidRPr="00E06FC2" w:rsidRDefault="004B4921" w:rsidP="00743788">
      <w:pPr>
        <w:widowControl w:val="0"/>
        <w:autoSpaceDE w:val="0"/>
        <w:autoSpaceDN w:val="0"/>
        <w:adjustRightInd w:val="0"/>
        <w:rPr>
          <w:rFonts w:cs="Arial"/>
        </w:rPr>
      </w:pPr>
      <w:r w:rsidRPr="00E06FC2">
        <w:rPr>
          <w:rFonts w:cs="Arial"/>
          <w:b/>
        </w:rPr>
        <w:t>SEGUNDO</w:t>
      </w:r>
      <w:r w:rsidR="00EA2611" w:rsidRPr="00E06FC2">
        <w:rPr>
          <w:rFonts w:cs="Arial"/>
          <w:b/>
        </w:rPr>
        <w:t xml:space="preserve">: </w:t>
      </w:r>
      <w:r w:rsidR="00EA2611" w:rsidRPr="00E06FC2">
        <w:rPr>
          <w:rFonts w:cs="Arial"/>
        </w:rPr>
        <w:t>Sin condena en costas.</w:t>
      </w:r>
    </w:p>
    <w:p w14:paraId="7B5C9271" w14:textId="77777777" w:rsidR="00EA2611" w:rsidRPr="00E06FC2" w:rsidRDefault="00EA2611" w:rsidP="00743788">
      <w:pPr>
        <w:widowControl w:val="0"/>
        <w:autoSpaceDE w:val="0"/>
        <w:autoSpaceDN w:val="0"/>
        <w:adjustRightInd w:val="0"/>
        <w:rPr>
          <w:rFonts w:cs="Arial"/>
        </w:rPr>
      </w:pPr>
    </w:p>
    <w:p w14:paraId="296B0192" w14:textId="77777777" w:rsidR="00EA2611" w:rsidRPr="00E06FC2" w:rsidRDefault="004B4921" w:rsidP="00743788">
      <w:pPr>
        <w:widowControl w:val="0"/>
        <w:autoSpaceDE w:val="0"/>
        <w:autoSpaceDN w:val="0"/>
        <w:adjustRightInd w:val="0"/>
        <w:rPr>
          <w:rFonts w:cs="Arial"/>
        </w:rPr>
      </w:pPr>
      <w:r w:rsidRPr="00E06FC2">
        <w:rPr>
          <w:rFonts w:cs="Arial"/>
          <w:b/>
        </w:rPr>
        <w:t>TERCERO</w:t>
      </w:r>
      <w:r w:rsidR="00EA2611" w:rsidRPr="00E06FC2">
        <w:rPr>
          <w:rFonts w:cs="Arial"/>
          <w:b/>
        </w:rPr>
        <w:t xml:space="preserve">: </w:t>
      </w:r>
      <w:r w:rsidR="00EA2611" w:rsidRPr="00E06FC2">
        <w:rPr>
          <w:rFonts w:cs="Arial"/>
        </w:rPr>
        <w:t>En firme esta providencia, devuélvase el expediente al Tribunal de origen.</w:t>
      </w:r>
    </w:p>
    <w:p w14:paraId="09281615" w14:textId="77777777" w:rsidR="00EA2611" w:rsidRPr="00E06FC2" w:rsidRDefault="00EA2611" w:rsidP="0057353C">
      <w:pPr>
        <w:spacing w:line="240" w:lineRule="auto"/>
        <w:jc w:val="center"/>
        <w:rPr>
          <w:rFonts w:cs="Arial"/>
          <w:b/>
          <w:bCs/>
          <w:noProof/>
        </w:rPr>
      </w:pPr>
    </w:p>
    <w:p w14:paraId="61E3E783" w14:textId="77777777" w:rsidR="00EA2611" w:rsidRPr="00E06FC2" w:rsidRDefault="00EA2611" w:rsidP="0057353C">
      <w:pPr>
        <w:spacing w:line="240" w:lineRule="auto"/>
        <w:jc w:val="center"/>
        <w:rPr>
          <w:rFonts w:cs="Arial"/>
          <w:b/>
          <w:bCs/>
          <w:noProof/>
        </w:rPr>
      </w:pPr>
      <w:r w:rsidRPr="00E06FC2">
        <w:rPr>
          <w:rFonts w:cs="Arial"/>
          <w:b/>
          <w:bCs/>
          <w:noProof/>
        </w:rPr>
        <w:t>CÓPIESE, NOTIFÍQUESE Y CÚMPLASE</w:t>
      </w:r>
    </w:p>
    <w:p w14:paraId="7F357C28" w14:textId="77777777" w:rsidR="00EA2611" w:rsidRPr="00E06FC2" w:rsidRDefault="00EA2611" w:rsidP="0057353C">
      <w:pPr>
        <w:spacing w:line="240" w:lineRule="auto"/>
        <w:jc w:val="center"/>
        <w:rPr>
          <w:rFonts w:cs="Arial"/>
        </w:rPr>
      </w:pPr>
    </w:p>
    <w:p w14:paraId="41E8F621" w14:textId="77777777" w:rsidR="00EA2611" w:rsidRPr="00E06FC2" w:rsidRDefault="00EA2611" w:rsidP="0057353C">
      <w:pPr>
        <w:spacing w:line="240" w:lineRule="auto"/>
        <w:jc w:val="center"/>
        <w:rPr>
          <w:rFonts w:cs="Arial"/>
        </w:rPr>
      </w:pPr>
    </w:p>
    <w:p w14:paraId="21372389" w14:textId="77777777" w:rsidR="00CC4B8A" w:rsidRPr="00E06FC2" w:rsidRDefault="00CC4B8A" w:rsidP="0057353C">
      <w:pPr>
        <w:spacing w:line="240" w:lineRule="auto"/>
        <w:jc w:val="center"/>
        <w:rPr>
          <w:rFonts w:cs="Arial"/>
        </w:rPr>
      </w:pPr>
    </w:p>
    <w:p w14:paraId="5B5B068D" w14:textId="77777777" w:rsidR="00EA2611" w:rsidRPr="00E06FC2" w:rsidRDefault="00EA2611" w:rsidP="0057353C">
      <w:pPr>
        <w:spacing w:line="240" w:lineRule="auto"/>
        <w:jc w:val="center"/>
        <w:rPr>
          <w:rFonts w:cs="Arial"/>
        </w:rPr>
      </w:pPr>
    </w:p>
    <w:p w14:paraId="4E172983" w14:textId="77777777" w:rsidR="0057353C" w:rsidRDefault="001F48D2" w:rsidP="0057353C">
      <w:pPr>
        <w:widowControl w:val="0"/>
        <w:autoSpaceDE w:val="0"/>
        <w:autoSpaceDN w:val="0"/>
        <w:adjustRightInd w:val="0"/>
        <w:spacing w:line="240" w:lineRule="auto"/>
        <w:jc w:val="center"/>
        <w:rPr>
          <w:rFonts w:cs="Arial"/>
          <w:b/>
          <w:lang w:val="es-CO"/>
        </w:rPr>
      </w:pPr>
      <w:r w:rsidRPr="00E06FC2">
        <w:rPr>
          <w:rFonts w:cs="Arial"/>
          <w:b/>
          <w:lang w:val="es-CO"/>
        </w:rPr>
        <w:t>MARTA NU</w:t>
      </w:r>
      <w:r w:rsidR="0057353C">
        <w:rPr>
          <w:rFonts w:cs="Arial"/>
          <w:b/>
          <w:lang w:val="es-CO"/>
        </w:rPr>
        <w:t xml:space="preserve">BIA VELÁSQUEZ RICO </w:t>
      </w:r>
    </w:p>
    <w:p w14:paraId="69A05BB5" w14:textId="77777777" w:rsidR="0057353C" w:rsidRDefault="0057353C" w:rsidP="0057353C">
      <w:pPr>
        <w:widowControl w:val="0"/>
        <w:autoSpaceDE w:val="0"/>
        <w:autoSpaceDN w:val="0"/>
        <w:adjustRightInd w:val="0"/>
        <w:spacing w:line="240" w:lineRule="auto"/>
        <w:jc w:val="center"/>
        <w:rPr>
          <w:rFonts w:cs="Arial"/>
          <w:b/>
          <w:lang w:val="es-CO"/>
        </w:rPr>
      </w:pPr>
    </w:p>
    <w:p w14:paraId="47EB15C8" w14:textId="77777777" w:rsidR="0057353C" w:rsidRDefault="0057353C" w:rsidP="0057353C">
      <w:pPr>
        <w:widowControl w:val="0"/>
        <w:autoSpaceDE w:val="0"/>
        <w:autoSpaceDN w:val="0"/>
        <w:adjustRightInd w:val="0"/>
        <w:spacing w:line="240" w:lineRule="auto"/>
        <w:jc w:val="center"/>
        <w:rPr>
          <w:rFonts w:cs="Arial"/>
          <w:b/>
          <w:lang w:val="es-CO"/>
        </w:rPr>
      </w:pPr>
    </w:p>
    <w:p w14:paraId="20AF6A22" w14:textId="77777777" w:rsidR="0057353C" w:rsidRDefault="0057353C" w:rsidP="0057353C">
      <w:pPr>
        <w:widowControl w:val="0"/>
        <w:autoSpaceDE w:val="0"/>
        <w:autoSpaceDN w:val="0"/>
        <w:adjustRightInd w:val="0"/>
        <w:spacing w:line="240" w:lineRule="auto"/>
        <w:jc w:val="center"/>
        <w:rPr>
          <w:rFonts w:cs="Arial"/>
          <w:b/>
          <w:lang w:val="es-CO"/>
        </w:rPr>
      </w:pPr>
    </w:p>
    <w:p w14:paraId="048750FA" w14:textId="77777777" w:rsidR="0057353C" w:rsidRDefault="0057353C" w:rsidP="0057353C">
      <w:pPr>
        <w:widowControl w:val="0"/>
        <w:autoSpaceDE w:val="0"/>
        <w:autoSpaceDN w:val="0"/>
        <w:adjustRightInd w:val="0"/>
        <w:spacing w:line="240" w:lineRule="auto"/>
        <w:jc w:val="center"/>
        <w:rPr>
          <w:rFonts w:cs="Arial"/>
          <w:b/>
          <w:lang w:val="es-CO"/>
        </w:rPr>
      </w:pPr>
    </w:p>
    <w:p w14:paraId="563A4A41" w14:textId="77777777" w:rsidR="00EA2611" w:rsidRPr="00E06FC2" w:rsidRDefault="00EA2611" w:rsidP="0057353C">
      <w:pPr>
        <w:widowControl w:val="0"/>
        <w:autoSpaceDE w:val="0"/>
        <w:autoSpaceDN w:val="0"/>
        <w:adjustRightInd w:val="0"/>
        <w:spacing w:line="240" w:lineRule="auto"/>
        <w:jc w:val="center"/>
        <w:rPr>
          <w:rFonts w:cs="Arial"/>
          <w:b/>
        </w:rPr>
      </w:pPr>
      <w:r w:rsidRPr="00E06FC2">
        <w:rPr>
          <w:rFonts w:cs="Arial"/>
          <w:b/>
          <w:lang w:val="es-CO"/>
        </w:rPr>
        <w:t>H</w:t>
      </w:r>
      <w:r w:rsidRPr="00E06FC2">
        <w:rPr>
          <w:rFonts w:cs="Arial"/>
          <w:b/>
        </w:rPr>
        <w:t>ERNÁN ANDRADE RINCÓN</w:t>
      </w:r>
    </w:p>
    <w:p w14:paraId="153F8BBD" w14:textId="77777777" w:rsidR="00CC4B8A" w:rsidRDefault="00CC4B8A" w:rsidP="0057353C">
      <w:pPr>
        <w:widowControl w:val="0"/>
        <w:autoSpaceDE w:val="0"/>
        <w:autoSpaceDN w:val="0"/>
        <w:adjustRightInd w:val="0"/>
        <w:spacing w:line="240" w:lineRule="auto"/>
        <w:jc w:val="center"/>
        <w:rPr>
          <w:rFonts w:cs="Arial"/>
          <w:b/>
        </w:rPr>
      </w:pPr>
    </w:p>
    <w:p w14:paraId="41E08942" w14:textId="77777777" w:rsidR="0057353C" w:rsidRDefault="0057353C" w:rsidP="0057353C">
      <w:pPr>
        <w:widowControl w:val="0"/>
        <w:autoSpaceDE w:val="0"/>
        <w:autoSpaceDN w:val="0"/>
        <w:adjustRightInd w:val="0"/>
        <w:spacing w:line="240" w:lineRule="auto"/>
        <w:jc w:val="center"/>
        <w:rPr>
          <w:rFonts w:cs="Arial"/>
          <w:b/>
        </w:rPr>
      </w:pPr>
    </w:p>
    <w:p w14:paraId="5DFE7A46" w14:textId="77777777" w:rsidR="006F4BFB" w:rsidRPr="00E06FC2" w:rsidRDefault="006F4BFB" w:rsidP="0057353C">
      <w:pPr>
        <w:widowControl w:val="0"/>
        <w:autoSpaceDE w:val="0"/>
        <w:autoSpaceDN w:val="0"/>
        <w:adjustRightInd w:val="0"/>
        <w:spacing w:line="240" w:lineRule="auto"/>
        <w:jc w:val="center"/>
        <w:rPr>
          <w:rFonts w:cs="Arial"/>
          <w:b/>
        </w:rPr>
      </w:pPr>
    </w:p>
    <w:p w14:paraId="06A5AC58" w14:textId="77777777" w:rsidR="00EA2611" w:rsidRPr="00E06FC2" w:rsidRDefault="00EA2611" w:rsidP="0057353C">
      <w:pPr>
        <w:widowControl w:val="0"/>
        <w:autoSpaceDE w:val="0"/>
        <w:autoSpaceDN w:val="0"/>
        <w:adjustRightInd w:val="0"/>
        <w:spacing w:line="240" w:lineRule="auto"/>
        <w:jc w:val="center"/>
        <w:rPr>
          <w:rFonts w:cs="Arial"/>
          <w:b/>
        </w:rPr>
      </w:pPr>
    </w:p>
    <w:p w14:paraId="1CD16870" w14:textId="77777777" w:rsidR="00E06FC2" w:rsidRPr="00E06FC2" w:rsidRDefault="00EA2611" w:rsidP="0057353C">
      <w:pPr>
        <w:widowControl w:val="0"/>
        <w:autoSpaceDE w:val="0"/>
        <w:autoSpaceDN w:val="0"/>
        <w:adjustRightInd w:val="0"/>
        <w:spacing w:line="240" w:lineRule="auto"/>
        <w:jc w:val="center"/>
        <w:rPr>
          <w:rFonts w:cs="Arial"/>
          <w:b/>
        </w:rPr>
      </w:pPr>
      <w:r w:rsidRPr="00E06FC2">
        <w:rPr>
          <w:rFonts w:cs="Arial"/>
          <w:b/>
        </w:rPr>
        <w:t>CARLOS ALBERTO ZAMBRANO BARRERA</w:t>
      </w:r>
    </w:p>
    <w:sectPr w:rsidR="00E06FC2" w:rsidRPr="00E06FC2" w:rsidSect="005072A1">
      <w:headerReference w:type="even" r:id="rId11"/>
      <w:footerReference w:type="even" r:id="rId12"/>
      <w:pgSz w:w="12242" w:h="18722" w:code="120"/>
      <w:pgMar w:top="1701" w:right="1701" w:bottom="1701" w:left="1701" w:header="0" w:footer="0"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A55E83" w14:textId="77777777" w:rsidR="009C6942" w:rsidRDefault="009C6942" w:rsidP="00C85395">
      <w:r>
        <w:separator/>
      </w:r>
    </w:p>
  </w:endnote>
  <w:endnote w:type="continuationSeparator" w:id="0">
    <w:p w14:paraId="0B9391AD" w14:textId="77777777" w:rsidR="009C6942" w:rsidRDefault="009C6942" w:rsidP="00C85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NJICAK+Arial">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26A1A" w14:textId="77777777" w:rsidR="004B2BBA" w:rsidRDefault="004B2BBA" w:rsidP="0064345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B1D5059" w14:textId="77777777" w:rsidR="004B2BBA" w:rsidRDefault="004B2BBA" w:rsidP="00643457">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B449C0" w14:textId="77777777" w:rsidR="009C6942" w:rsidRDefault="009C6942" w:rsidP="00C85395">
      <w:r>
        <w:separator/>
      </w:r>
    </w:p>
  </w:footnote>
  <w:footnote w:type="continuationSeparator" w:id="0">
    <w:p w14:paraId="3BD7A6C5" w14:textId="77777777" w:rsidR="009C6942" w:rsidRDefault="009C6942" w:rsidP="00C85395">
      <w:r>
        <w:continuationSeparator/>
      </w:r>
    </w:p>
  </w:footnote>
  <w:footnote w:id="1">
    <w:p w14:paraId="5AD682C8" w14:textId="77777777" w:rsidR="004B2BBA" w:rsidRPr="0057353C" w:rsidRDefault="004B2BBA" w:rsidP="00EB0D6A">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En adelante UT Diselecsa – Montajes Eléctricos.</w:t>
      </w:r>
    </w:p>
  </w:footnote>
  <w:footnote w:id="2">
    <w:p w14:paraId="72641376" w14:textId="77777777" w:rsidR="004B2BBA" w:rsidRPr="0057353C" w:rsidRDefault="004B2BBA">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En adelante UT General Electric – Electro Atlántico.</w:t>
      </w:r>
    </w:p>
  </w:footnote>
  <w:footnote w:id="3">
    <w:p w14:paraId="044B9540" w14:textId="77777777" w:rsidR="004B2BBA" w:rsidRPr="0057353C" w:rsidRDefault="004B2BBA">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 xml:space="preserve">En adelante UT Roa Electric. </w:t>
      </w:r>
    </w:p>
  </w:footnote>
  <w:footnote w:id="4">
    <w:p w14:paraId="62A963A2"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Folio </w:t>
      </w:r>
      <w:r w:rsidRPr="0057353C">
        <w:rPr>
          <w:rFonts w:cs="Arial"/>
          <w:lang w:val="es-CO"/>
        </w:rPr>
        <w:t>35, cuaderno 1.</w:t>
      </w:r>
    </w:p>
  </w:footnote>
  <w:footnote w:id="5">
    <w:p w14:paraId="17601E36"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Folios 41 y 42, cuaderno 1. </w:t>
      </w:r>
    </w:p>
  </w:footnote>
  <w:footnote w:id="6">
    <w:p w14:paraId="5D73C7B8"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102, cuaderno 1.</w:t>
      </w:r>
    </w:p>
  </w:footnote>
  <w:footnote w:id="7">
    <w:p w14:paraId="3DC1D056"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106 a 109, cuaderno 1.</w:t>
      </w:r>
    </w:p>
  </w:footnote>
  <w:footnote w:id="8">
    <w:p w14:paraId="4F623BB2"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262 a 370, cuaderno 1 A.</w:t>
      </w:r>
    </w:p>
  </w:footnote>
  <w:footnote w:id="9">
    <w:p w14:paraId="06990E4F"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Folios 280 y 281, cuaderno 1 A.</w:t>
      </w:r>
    </w:p>
  </w:footnote>
  <w:footnote w:id="10">
    <w:p w14:paraId="38C69CBB"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335 a 345, cuaderno 1 A.</w:t>
      </w:r>
    </w:p>
  </w:footnote>
  <w:footnote w:id="11">
    <w:p w14:paraId="367775F8"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 145, cuaderno de la apelación contra el auto de 4 de abril de 2008. </w:t>
      </w:r>
    </w:p>
  </w:footnote>
  <w:footnote w:id="12">
    <w:p w14:paraId="1FF5823D"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89 a 98 cuaderno 1.</w:t>
      </w:r>
    </w:p>
  </w:footnote>
  <w:footnote w:id="13">
    <w:p w14:paraId="28921B27"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318 a 330, cuaderno 1 A.</w:t>
      </w:r>
    </w:p>
  </w:footnote>
  <w:footnote w:id="14">
    <w:p w14:paraId="08287B77"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99, cuaderno 1 A.</w:t>
      </w:r>
    </w:p>
  </w:footnote>
  <w:footnote w:id="15">
    <w:p w14:paraId="141544F9"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368 a 388, cuaderno 1 A.</w:t>
      </w:r>
    </w:p>
    <w:p w14:paraId="0F03B58A" w14:textId="77777777" w:rsidR="004B2BBA" w:rsidRPr="0057353C" w:rsidRDefault="004B2BBA">
      <w:pPr>
        <w:pStyle w:val="Textonotapie"/>
        <w:rPr>
          <w:rFonts w:cs="Arial"/>
          <w:lang w:val="es-CO"/>
        </w:rPr>
      </w:pPr>
    </w:p>
  </w:footnote>
  <w:footnote w:id="16">
    <w:p w14:paraId="1C5821A3"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Ibídem. </w:t>
      </w:r>
    </w:p>
  </w:footnote>
  <w:footnote w:id="17">
    <w:p w14:paraId="7C0F2E06"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Ibídem.</w:t>
      </w:r>
    </w:p>
  </w:footnote>
  <w:footnote w:id="18">
    <w:p w14:paraId="6D6584C7"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Página 37 de la sentencia, folio 531, cuaderno principal segunda instancia.</w:t>
      </w:r>
    </w:p>
  </w:footnote>
  <w:footnote w:id="19">
    <w:p w14:paraId="6AA3B602"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Páginas 39 y 40 de la sentencia, folios 533 y 534, cuaderno principal segunda instancia.</w:t>
      </w:r>
    </w:p>
  </w:footnote>
  <w:footnote w:id="20">
    <w:p w14:paraId="258A6456"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Página 45 de la sentencia, folio 539, cuaderno principal segunda instancia.</w:t>
      </w:r>
    </w:p>
  </w:footnote>
  <w:footnote w:id="21">
    <w:p w14:paraId="49380983"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Folios 560 a 563, cuaderno principal segunda instancia.</w:t>
      </w:r>
    </w:p>
  </w:footnote>
  <w:footnote w:id="22">
    <w:p w14:paraId="05D1D15E" w14:textId="77777777" w:rsidR="004B2BBA" w:rsidRPr="0057353C" w:rsidRDefault="004B2BBA" w:rsidP="004D182F">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El Tribunal a quo advirtió que el hecho de conceder un poder general no significa que el representante legal pierda las atribuciones que le son propias (página 14, folio 508, cuaderno principal segunda instancia).</w:t>
      </w:r>
    </w:p>
    <w:p w14:paraId="5D59B067" w14:textId="77777777" w:rsidR="004B2BBA" w:rsidRPr="0057353C" w:rsidRDefault="004B2BBA" w:rsidP="004D182F">
      <w:pPr>
        <w:pStyle w:val="Textonotapie"/>
        <w:spacing w:line="240" w:lineRule="auto"/>
        <w:rPr>
          <w:rFonts w:cs="Arial"/>
          <w:lang w:val="es-CO"/>
        </w:rPr>
      </w:pPr>
    </w:p>
  </w:footnote>
  <w:footnote w:id="23">
    <w:p w14:paraId="54D15488"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Consejero ponente, Enrique Gil Botero.</w:t>
      </w:r>
    </w:p>
  </w:footnote>
  <w:footnote w:id="24">
    <w:p w14:paraId="7DA4BB92" w14:textId="77777777" w:rsidR="004B2BBA" w:rsidRPr="0057353C" w:rsidRDefault="004B2BBA" w:rsidP="00400465">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Folios 654 y 655, cuaderno principal.</w:t>
      </w:r>
    </w:p>
  </w:footnote>
  <w:footnote w:id="25">
    <w:p w14:paraId="33BCCBE6"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 604, cuaderno principal.</w:t>
      </w:r>
    </w:p>
  </w:footnote>
  <w:footnote w:id="26">
    <w:p w14:paraId="6CE6F3C5"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 608, cuaderno principal.</w:t>
      </w:r>
    </w:p>
  </w:footnote>
  <w:footnote w:id="27">
    <w:p w14:paraId="7322B5C3"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 608, cuaderno principal.</w:t>
      </w:r>
    </w:p>
  </w:footnote>
  <w:footnote w:id="28">
    <w:p w14:paraId="15A3FAF2"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 624, cuaderno principal.</w:t>
      </w:r>
    </w:p>
  </w:footnote>
  <w:footnote w:id="29">
    <w:p w14:paraId="4EDEC831" w14:textId="77777777" w:rsidR="004B2BBA" w:rsidRPr="0057353C" w:rsidRDefault="004B2BBA" w:rsidP="0005011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Folio 660 vuelto, cuaderno principal, segunda instancia.</w:t>
      </w:r>
    </w:p>
  </w:footnote>
  <w:footnote w:id="30">
    <w:p w14:paraId="53B2D511" w14:textId="77777777" w:rsidR="004B2BBA" w:rsidRPr="0057353C" w:rsidRDefault="004B2BBA" w:rsidP="00AC649E">
      <w:pPr>
        <w:pStyle w:val="Textonotapie"/>
        <w:spacing w:line="240" w:lineRule="auto"/>
        <w:rPr>
          <w:rFonts w:cs="Arial"/>
          <w:lang w:val="es-CO"/>
        </w:rPr>
      </w:pPr>
      <w:r w:rsidRPr="0057353C">
        <w:rPr>
          <w:rStyle w:val="Refdenotaalpie"/>
          <w:rFonts w:cs="Arial"/>
        </w:rPr>
        <w:footnoteRef/>
      </w:r>
      <w:r w:rsidRPr="0057353C">
        <w:rPr>
          <w:rFonts w:cs="Arial"/>
        </w:rPr>
        <w:t xml:space="preserve"> El artículo 32 de la Ley 446 de 1998, que modificó el artículo 87 del CCA, e</w:t>
      </w:r>
      <w:r w:rsidRPr="0057353C">
        <w:rPr>
          <w:rFonts w:cs="Arial"/>
          <w:lang w:val="es-CO"/>
        </w:rPr>
        <w:t>ntró a regir el 8 de julio de 1998.</w:t>
      </w:r>
    </w:p>
    <w:p w14:paraId="0EA4E224" w14:textId="77777777" w:rsidR="004B2BBA" w:rsidRPr="0057353C" w:rsidRDefault="004B2BBA" w:rsidP="00AC649E">
      <w:pPr>
        <w:pStyle w:val="Textonotapie"/>
        <w:spacing w:line="240" w:lineRule="auto"/>
        <w:rPr>
          <w:rFonts w:cs="Arial"/>
          <w:lang w:val="es-CO"/>
        </w:rPr>
      </w:pPr>
    </w:p>
  </w:footnote>
  <w:footnote w:id="31">
    <w:p w14:paraId="6684474F" w14:textId="77777777" w:rsidR="004B2BBA" w:rsidRPr="0057353C" w:rsidRDefault="004B2BBA" w:rsidP="00FD7CAF">
      <w:pPr>
        <w:shd w:val="clear" w:color="auto" w:fill="FFFFFF"/>
        <w:spacing w:line="240" w:lineRule="auto"/>
        <w:rPr>
          <w:rFonts w:cs="Arial"/>
          <w:i/>
          <w:color w:val="000000"/>
          <w:sz w:val="20"/>
          <w:szCs w:val="20"/>
        </w:rPr>
      </w:pPr>
      <w:r w:rsidRPr="0057353C">
        <w:rPr>
          <w:rStyle w:val="Refdenotaalpie"/>
          <w:rFonts w:cs="Arial"/>
        </w:rPr>
        <w:footnoteRef/>
      </w:r>
      <w:r w:rsidRPr="0057353C">
        <w:rPr>
          <w:rFonts w:cs="Arial"/>
        </w:rPr>
        <w:t xml:space="preserve"> </w:t>
      </w:r>
      <w:r w:rsidRPr="0057353C">
        <w:rPr>
          <w:rFonts w:cs="Arial"/>
          <w:sz w:val="20"/>
          <w:szCs w:val="20"/>
        </w:rPr>
        <w:t>Ley 80 de 1993.</w:t>
      </w:r>
      <w:r w:rsidRPr="0057353C">
        <w:rPr>
          <w:rFonts w:cs="Arial"/>
          <w:i/>
          <w:sz w:val="20"/>
          <w:szCs w:val="20"/>
        </w:rPr>
        <w:t xml:space="preserve"> “</w:t>
      </w:r>
      <w:r w:rsidRPr="0057353C">
        <w:rPr>
          <w:rFonts w:cs="Arial"/>
          <w:bCs/>
          <w:i/>
          <w:color w:val="000000"/>
          <w:sz w:val="20"/>
          <w:szCs w:val="20"/>
        </w:rPr>
        <w:t>Artículo </w:t>
      </w:r>
      <w:bookmarkStart w:id="1" w:name="77"/>
      <w:r w:rsidRPr="0057353C">
        <w:rPr>
          <w:rFonts w:cs="Arial"/>
          <w:bCs/>
          <w:i/>
          <w:color w:val="000000"/>
          <w:sz w:val="20"/>
          <w:szCs w:val="20"/>
        </w:rPr>
        <w:t> </w:t>
      </w:r>
      <w:bookmarkEnd w:id="1"/>
      <w:r w:rsidRPr="0057353C">
        <w:rPr>
          <w:rFonts w:cs="Arial"/>
          <w:bCs/>
          <w:i/>
          <w:color w:val="000000"/>
          <w:sz w:val="20"/>
          <w:szCs w:val="20"/>
        </w:rPr>
        <w:t>77º.- </w:t>
      </w:r>
      <w:r w:rsidRPr="0057353C">
        <w:rPr>
          <w:rFonts w:cs="Arial"/>
          <w:i/>
          <w:iCs/>
          <w:color w:val="000000"/>
          <w:sz w:val="20"/>
          <w:szCs w:val="20"/>
        </w:rPr>
        <w:t>De la Normatividad aplicable en las actuaciones administrativas. (…). “</w:t>
      </w:r>
      <w:r w:rsidRPr="0057353C">
        <w:rPr>
          <w:rFonts w:cs="Arial"/>
          <w:i/>
          <w:color w:val="000000"/>
          <w:sz w:val="20"/>
          <w:szCs w:val="20"/>
        </w:rPr>
        <w:t>Los actos administrativos que se produzcan con motivo u ocasión de la actividad contractual sólo serán susceptibles de recurso de reposición y del ejercicio de la acción contractual, de acuerdo con las reglas del Código Contencioso Administrativo.</w:t>
      </w:r>
    </w:p>
    <w:p w14:paraId="7BB07F6E" w14:textId="77777777" w:rsidR="004B2BBA" w:rsidRPr="0057353C" w:rsidRDefault="004B2BBA" w:rsidP="00FD7CAF">
      <w:pPr>
        <w:shd w:val="clear" w:color="auto" w:fill="FFFFFF"/>
        <w:spacing w:line="240" w:lineRule="auto"/>
        <w:rPr>
          <w:rFonts w:cs="Arial"/>
          <w:i/>
          <w:color w:val="000000"/>
          <w:sz w:val="20"/>
          <w:szCs w:val="20"/>
        </w:rPr>
      </w:pPr>
      <w:r w:rsidRPr="0057353C">
        <w:rPr>
          <w:rFonts w:cs="Arial"/>
          <w:bCs/>
          <w:i/>
          <w:color w:val="000000"/>
          <w:sz w:val="20"/>
          <w:szCs w:val="20"/>
        </w:rPr>
        <w:t>“Parágrafo 1º.-</w:t>
      </w:r>
      <w:r w:rsidRPr="0057353C">
        <w:rPr>
          <w:rFonts w:cs="Arial"/>
          <w:i/>
          <w:color w:val="000000"/>
          <w:sz w:val="20"/>
          <w:szCs w:val="20"/>
        </w:rPr>
        <w:t> El acto de adjudicación no tendrá recursos por la vía gubernativa. Este podrá impugnarse mediante el ejercicio de la acción de nulidad y restablecimiento del derecho, según las reglas del Código Contencioso Administrativo.</w:t>
      </w:r>
    </w:p>
    <w:p w14:paraId="3D15A815" w14:textId="77777777" w:rsidR="004B2BBA" w:rsidRPr="0057353C" w:rsidRDefault="004B2BBA" w:rsidP="00FD7CAF">
      <w:pPr>
        <w:shd w:val="clear" w:color="auto" w:fill="FFFFFF"/>
        <w:spacing w:line="240" w:lineRule="auto"/>
        <w:rPr>
          <w:rFonts w:cs="Arial"/>
          <w:i/>
          <w:color w:val="000000"/>
          <w:sz w:val="20"/>
          <w:szCs w:val="20"/>
        </w:rPr>
      </w:pPr>
      <w:r w:rsidRPr="0057353C">
        <w:rPr>
          <w:rFonts w:cs="Arial"/>
          <w:bCs/>
          <w:i/>
          <w:color w:val="000000"/>
          <w:sz w:val="20"/>
          <w:szCs w:val="20"/>
        </w:rPr>
        <w:t>“Parágrafo 2º.-</w:t>
      </w:r>
      <w:r w:rsidRPr="0057353C">
        <w:rPr>
          <w:rFonts w:cs="Arial"/>
          <w:i/>
          <w:color w:val="000000"/>
          <w:sz w:val="20"/>
          <w:szCs w:val="20"/>
        </w:rPr>
        <w:t> Para el ejercicio de las acciones contra los actos administrativos de la actividad contractual no es necesario demandar el contrato que los origina”.</w:t>
      </w:r>
    </w:p>
    <w:p w14:paraId="02DDF0B2" w14:textId="77777777" w:rsidR="004B2BBA" w:rsidRPr="0057353C" w:rsidRDefault="004B2BBA">
      <w:pPr>
        <w:pStyle w:val="Textonotapie"/>
        <w:rPr>
          <w:rFonts w:cs="Arial"/>
          <w:i/>
          <w:lang w:val="es-CO"/>
        </w:rPr>
      </w:pPr>
    </w:p>
  </w:footnote>
  <w:footnote w:id="32">
    <w:p w14:paraId="17677F95" w14:textId="77777777" w:rsidR="004B2BBA" w:rsidRPr="0057353C" w:rsidRDefault="004B2BBA" w:rsidP="00534F3A">
      <w:pPr>
        <w:pStyle w:val="Textonotapie"/>
        <w:spacing w:line="240" w:lineRule="auto"/>
        <w:rPr>
          <w:rFonts w:cs="Arial"/>
          <w:i/>
          <w:color w:val="000000"/>
          <w:shd w:val="clear" w:color="auto" w:fill="FFFFFF"/>
        </w:rPr>
      </w:pPr>
      <w:r w:rsidRPr="0057353C">
        <w:rPr>
          <w:rStyle w:val="Refdenotaalpie"/>
          <w:rFonts w:cs="Arial"/>
        </w:rPr>
        <w:footnoteRef/>
      </w:r>
      <w:r w:rsidRPr="0057353C">
        <w:rPr>
          <w:rFonts w:cs="Arial"/>
        </w:rPr>
        <w:t xml:space="preserve"> </w:t>
      </w:r>
      <w:r w:rsidRPr="0057353C">
        <w:rPr>
          <w:rFonts w:cs="Arial"/>
          <w:i/>
        </w:rPr>
        <w:t xml:space="preserve">Artículo 85 CCA, modificado por el Decreto 2304 de 1989. </w:t>
      </w:r>
      <w:r w:rsidRPr="0057353C">
        <w:rPr>
          <w:rFonts w:cs="Arial"/>
          <w:i/>
          <w:color w:val="000000"/>
          <w:shd w:val="clear" w:color="auto" w:fill="FFFFFF"/>
        </w:rPr>
        <w:t>"Artículo 85. Acción de Nulidad y Restablecimiento del Derecho. Toda persona que se crea lesionada en un derecho amparado en una norma jurídica, podrá pedir que se declare la nulidad del acto administrativo y se le restablezca en su derecho; también podrá solicitar que se le repare el daño. La misma acción tendrá quien pretenda que le modifiquen una obligación fiscal, o de otra clase, o la devolución de lo que pagó indebidamente".</w:t>
      </w:r>
    </w:p>
    <w:p w14:paraId="78964355" w14:textId="77777777" w:rsidR="004B2BBA" w:rsidRPr="0057353C" w:rsidRDefault="004B2BBA" w:rsidP="00534F3A">
      <w:pPr>
        <w:pStyle w:val="Textonotapie"/>
        <w:spacing w:line="240" w:lineRule="auto"/>
        <w:rPr>
          <w:rFonts w:cs="Arial"/>
          <w:i/>
          <w:lang w:val="es-CO"/>
        </w:rPr>
      </w:pPr>
    </w:p>
  </w:footnote>
  <w:footnote w:id="33">
    <w:p w14:paraId="37A1FA4F"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Página 23 de la demanda, folio 39, cuaderno 1. </w:t>
      </w:r>
    </w:p>
  </w:footnote>
  <w:footnote w:id="34">
    <w:p w14:paraId="5C0C67DD" w14:textId="77777777" w:rsidR="004B2BBA" w:rsidRPr="0057353C" w:rsidRDefault="004B2BBA" w:rsidP="00F917A8">
      <w:pPr>
        <w:pStyle w:val="Textonotapie"/>
        <w:spacing w:line="240" w:lineRule="auto"/>
        <w:rPr>
          <w:rFonts w:cs="Arial"/>
          <w:lang w:val="es-CO"/>
        </w:rPr>
      </w:pPr>
      <w:r w:rsidRPr="0057353C">
        <w:rPr>
          <w:rStyle w:val="Refdenotaalpie"/>
          <w:rFonts w:cs="Arial"/>
        </w:rPr>
        <w:footnoteRef/>
      </w:r>
      <w:r w:rsidRPr="0057353C">
        <w:rPr>
          <w:rFonts w:cs="Arial"/>
        </w:rPr>
        <w:t xml:space="preserve"> De acuerdo con el salario mínimo mensual vigente para el año de 1998, en el que se presentó la demanda (</w:t>
      </w:r>
      <w:r w:rsidRPr="0057353C">
        <w:rPr>
          <w:rFonts w:cs="Arial"/>
          <w:lang w:val="es-CO"/>
        </w:rPr>
        <w:t>$203.826 x 300 = $61’147.800).</w:t>
      </w:r>
    </w:p>
    <w:p w14:paraId="62F967D8" w14:textId="77777777" w:rsidR="004B2BBA" w:rsidRPr="0057353C" w:rsidRDefault="004B2BBA" w:rsidP="00F917A8">
      <w:pPr>
        <w:pStyle w:val="Textonotapie"/>
        <w:spacing w:line="240" w:lineRule="auto"/>
        <w:rPr>
          <w:rFonts w:cs="Arial"/>
          <w:lang w:val="es-CO"/>
        </w:rPr>
      </w:pPr>
    </w:p>
  </w:footnote>
  <w:footnote w:id="35">
    <w:p w14:paraId="1511AC27"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1499 del cuaderno 2 D.</w:t>
      </w:r>
    </w:p>
  </w:footnote>
  <w:footnote w:id="36">
    <w:p w14:paraId="6206101C" w14:textId="77777777" w:rsidR="004B2BBA" w:rsidRPr="0057353C" w:rsidRDefault="004B2BBA" w:rsidP="00245D2A">
      <w:pPr>
        <w:shd w:val="clear" w:color="auto" w:fill="FFFFFF"/>
        <w:spacing w:line="240" w:lineRule="auto"/>
        <w:rPr>
          <w:rFonts w:cs="Arial"/>
          <w:i/>
          <w:color w:val="000000"/>
          <w:sz w:val="20"/>
          <w:szCs w:val="20"/>
        </w:rPr>
      </w:pPr>
      <w:r w:rsidRPr="0057353C">
        <w:rPr>
          <w:rStyle w:val="Refdenotaalpie"/>
          <w:rFonts w:cs="Arial"/>
        </w:rPr>
        <w:footnoteRef/>
      </w:r>
      <w:r w:rsidRPr="0057353C">
        <w:rPr>
          <w:rFonts w:cs="Arial"/>
        </w:rPr>
        <w:t xml:space="preserve"> </w:t>
      </w:r>
      <w:r w:rsidRPr="0057353C">
        <w:rPr>
          <w:rFonts w:cs="Arial"/>
          <w:color w:val="000000"/>
          <w:sz w:val="20"/>
          <w:szCs w:val="20"/>
        </w:rPr>
        <w:t>"</w:t>
      </w:r>
      <w:r w:rsidRPr="0057353C">
        <w:rPr>
          <w:rFonts w:cs="Arial"/>
          <w:i/>
          <w:color w:val="000000"/>
          <w:sz w:val="20"/>
          <w:szCs w:val="20"/>
        </w:rPr>
        <w:t>Artículo 136. CADUCIDAD DE LAS ACCIONES. La de nulidad absoluta podrá ejercitarse en cualquier tiempo a partir de la expedición del acto.</w:t>
      </w:r>
    </w:p>
    <w:p w14:paraId="1DA4E800" w14:textId="77777777" w:rsidR="004B2BBA" w:rsidRPr="0057353C" w:rsidRDefault="004B2BBA" w:rsidP="00245D2A">
      <w:pPr>
        <w:shd w:val="clear" w:color="auto" w:fill="FFFFFF"/>
        <w:spacing w:line="240" w:lineRule="auto"/>
        <w:rPr>
          <w:rFonts w:cs="Arial"/>
          <w:i/>
          <w:color w:val="000000"/>
          <w:sz w:val="20"/>
          <w:szCs w:val="20"/>
        </w:rPr>
      </w:pPr>
      <w:r w:rsidRPr="0057353C">
        <w:rPr>
          <w:rFonts w:cs="Arial"/>
          <w:i/>
          <w:color w:val="000000"/>
          <w:sz w:val="20"/>
          <w:szCs w:val="20"/>
        </w:rPr>
        <w:t>“La de restablecimiento del derecho caducará al cabo de cuatro (4) meses, contados a partir del día de la publicación, notificación o ejecución del acto, según el caso. Si el demandante es una entidad pública, la caducidad será de dos (2) años. Si se demanda un acto presunto, el término de caducidad será de cuatro (4) meses, contados a partir del día siguiente a aquel en que se configure el silencio negativo”.</w:t>
      </w:r>
    </w:p>
    <w:p w14:paraId="5A651C11" w14:textId="77777777" w:rsidR="004B2BBA" w:rsidRPr="0057353C" w:rsidRDefault="004B2BBA">
      <w:pPr>
        <w:pStyle w:val="Textonotapie"/>
        <w:rPr>
          <w:rFonts w:cs="Arial"/>
          <w:lang w:val="es-CO"/>
        </w:rPr>
      </w:pPr>
    </w:p>
  </w:footnote>
  <w:footnote w:id="37">
    <w:p w14:paraId="73F2B0BC"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5 a 7, cuaderno 1.</w:t>
      </w:r>
    </w:p>
  </w:footnote>
  <w:footnote w:id="38">
    <w:p w14:paraId="4073001A" w14:textId="77777777" w:rsidR="004B2BBA" w:rsidRPr="0057353C" w:rsidRDefault="004B2BBA" w:rsidP="00AE1135">
      <w:pPr>
        <w:pStyle w:val="Textonotapie"/>
        <w:rPr>
          <w:rFonts w:cs="Arial"/>
          <w:lang w:val="es-CO"/>
        </w:rPr>
      </w:pPr>
      <w:r w:rsidRPr="0057353C">
        <w:rPr>
          <w:rStyle w:val="Refdenotaalpie"/>
          <w:rFonts w:cs="Arial"/>
        </w:rPr>
        <w:footnoteRef/>
      </w:r>
      <w:r w:rsidRPr="0057353C">
        <w:rPr>
          <w:rFonts w:cs="Arial"/>
        </w:rPr>
        <w:t xml:space="preserve"> Cláusula Quinta, f</w:t>
      </w:r>
      <w:r w:rsidRPr="0057353C">
        <w:rPr>
          <w:rFonts w:cs="Arial"/>
          <w:lang w:val="es-CO"/>
        </w:rPr>
        <w:t>olio 5, cuaderno 1.</w:t>
      </w:r>
    </w:p>
  </w:footnote>
  <w:footnote w:id="39">
    <w:p w14:paraId="16D7BD30" w14:textId="77777777" w:rsidR="004B2BBA" w:rsidRPr="0057353C" w:rsidRDefault="004B2BBA" w:rsidP="00AE1135">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4 y 5, cuaderno 8.</w:t>
      </w:r>
    </w:p>
  </w:footnote>
  <w:footnote w:id="40">
    <w:p w14:paraId="6D81A8CF" w14:textId="77777777" w:rsidR="004B2BBA" w:rsidRPr="0057353C" w:rsidRDefault="004B2BBA" w:rsidP="00AE1135">
      <w:pPr>
        <w:spacing w:line="240" w:lineRule="auto"/>
        <w:rPr>
          <w:rFonts w:cs="Arial"/>
          <w:sz w:val="20"/>
          <w:szCs w:val="20"/>
        </w:rPr>
      </w:pPr>
      <w:r w:rsidRPr="0057353C">
        <w:rPr>
          <w:rStyle w:val="Refdenotaalpie"/>
          <w:rFonts w:cs="Arial"/>
          <w:sz w:val="20"/>
          <w:szCs w:val="20"/>
        </w:rPr>
        <w:footnoteRef/>
      </w:r>
      <w:r w:rsidRPr="0057353C">
        <w:rPr>
          <w:rFonts w:cs="Arial"/>
          <w:sz w:val="20"/>
          <w:szCs w:val="20"/>
        </w:rPr>
        <w:t xml:space="preserve"> </w:t>
      </w:r>
      <w:r w:rsidRPr="0057353C">
        <w:rPr>
          <w:rFonts w:cs="Arial"/>
          <w:iCs/>
          <w:sz w:val="20"/>
          <w:szCs w:val="20"/>
        </w:rPr>
        <w:t xml:space="preserve">Consejo de Estado, Sala de lo Contencioso Administrativo, Sala Plena de la Sección Tercera, Consejero ponente: Mauricio Fajardo Gómez, sentencia de 25 de </w:t>
      </w:r>
      <w:r w:rsidRPr="0057353C">
        <w:rPr>
          <w:rFonts w:cs="Arial"/>
          <w:sz w:val="20"/>
          <w:szCs w:val="20"/>
        </w:rPr>
        <w:t>septiembre de 2013, radicación No.:25000232600019971393001 (19.933), actor: Consorcio Glonmarex, demandado: Consejo Superior de la Judicatura –Dirección Ejecutiva de Administración Judicial-Consorcio.</w:t>
      </w:r>
    </w:p>
    <w:p w14:paraId="22360D41" w14:textId="77777777" w:rsidR="004B2BBA" w:rsidRPr="0057353C" w:rsidRDefault="004B2BBA" w:rsidP="00AE1135">
      <w:pPr>
        <w:spacing w:line="240" w:lineRule="auto"/>
        <w:rPr>
          <w:rFonts w:cs="Arial"/>
          <w:sz w:val="20"/>
          <w:szCs w:val="20"/>
        </w:rPr>
      </w:pPr>
    </w:p>
    <w:p w14:paraId="0EA73A6D" w14:textId="77777777" w:rsidR="004B2BBA" w:rsidRPr="0057353C" w:rsidRDefault="004B2BBA" w:rsidP="00AE1135">
      <w:pPr>
        <w:spacing w:line="240" w:lineRule="auto"/>
        <w:rPr>
          <w:rFonts w:cs="Arial"/>
          <w:b/>
          <w:i/>
          <w:sz w:val="20"/>
          <w:szCs w:val="20"/>
        </w:rPr>
      </w:pPr>
      <w:r w:rsidRPr="0057353C">
        <w:rPr>
          <w:rFonts w:cs="Arial"/>
          <w:i/>
          <w:sz w:val="20"/>
          <w:szCs w:val="20"/>
        </w:rPr>
        <w:t>“</w:t>
      </w:r>
      <w:r w:rsidRPr="0057353C">
        <w:rPr>
          <w:rFonts w:cs="Arial"/>
          <w:b/>
          <w:i/>
          <w:sz w:val="20"/>
          <w:szCs w:val="20"/>
        </w:rPr>
        <w:t xml:space="preserve">PRIMERO: UNIFICAR la Jurisprudencia </w:t>
      </w:r>
      <w:r w:rsidRPr="0057353C">
        <w:rPr>
          <w:rFonts w:cs="Arial"/>
          <w:i/>
          <w:sz w:val="20"/>
          <w:szCs w:val="20"/>
        </w:rPr>
        <w:t xml:space="preserve">en relación con </w:t>
      </w:r>
      <w:r w:rsidRPr="0057353C">
        <w:rPr>
          <w:rFonts w:cs="Arial"/>
          <w:i/>
          <w:sz w:val="20"/>
          <w:szCs w:val="20"/>
          <w:lang w:val="es-CO"/>
        </w:rPr>
        <w:t>la capacidad procesal que legalmente les asiste a los consorcios y a las uniones temporales para comparecer como sujetos –en condición de partes, terceros interesados o litisconsortes– en los procesos judiciales en los cuales se debatan asuntos relacionados con los derechos o intereses de los que son titulares o que discuten o que de alguna otra manera les conciernen con ocasión o por causa de la actividad contractual de las entidades estatales”.</w:t>
      </w:r>
    </w:p>
    <w:p w14:paraId="407929D6" w14:textId="77777777" w:rsidR="004B2BBA" w:rsidRPr="0057353C" w:rsidRDefault="004B2BBA" w:rsidP="00AE1135">
      <w:pPr>
        <w:pStyle w:val="Textonotapie"/>
        <w:rPr>
          <w:rFonts w:cs="Arial"/>
          <w:lang w:val="es-CO"/>
        </w:rPr>
      </w:pPr>
    </w:p>
  </w:footnote>
  <w:footnote w:id="41">
    <w:p w14:paraId="0346C01A"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Cláusula tercera, folio 5, cuaderno 1.</w:t>
      </w:r>
    </w:p>
  </w:footnote>
  <w:footnote w:id="42">
    <w:p w14:paraId="4C445241" w14:textId="77777777" w:rsidR="004B2BBA" w:rsidRPr="0057353C" w:rsidRDefault="004B2BBA" w:rsidP="00E06FC2">
      <w:pPr>
        <w:pStyle w:val="NormalWeb"/>
        <w:spacing w:before="0" w:beforeAutospacing="0" w:line="240" w:lineRule="auto"/>
        <w:rPr>
          <w:rFonts w:cs="Arial"/>
        </w:rPr>
      </w:pPr>
      <w:r w:rsidRPr="0057353C">
        <w:rPr>
          <w:rStyle w:val="Refdenotaalpie"/>
          <w:rFonts w:cs="Arial"/>
        </w:rPr>
        <w:footnoteRef/>
      </w:r>
      <w:r w:rsidRPr="0057353C">
        <w:rPr>
          <w:rFonts w:cs="Arial"/>
        </w:rPr>
        <w:t xml:space="preserve"> </w:t>
      </w:r>
      <w:r w:rsidRPr="0057353C">
        <w:rPr>
          <w:rFonts w:cs="Arial"/>
          <w:color w:val="000000"/>
          <w:sz w:val="20"/>
          <w:szCs w:val="20"/>
          <w:lang w:val="es-MX" w:eastAsia="es-MX"/>
        </w:rPr>
        <w:t>Consejo de Estado, Sala de lo Contencioso Administrativo, Sección Tercera, Subsección C, Consejero ponente: Enrique Gil Botero, sentencia de ( )(Sic) de dos mil once (2011), expediente: 961757, número interno: 18.167, Actor: Andina de Construcciones Ltda, demandado: Municipio de Rionegro y otro, proceso: acción de nulidad y restablecimiento del derecho (contractual).</w:t>
      </w:r>
    </w:p>
  </w:footnote>
  <w:footnote w:id="43">
    <w:p w14:paraId="741452EA" w14:textId="77777777" w:rsidR="004B2BBA" w:rsidRPr="0057353C" w:rsidRDefault="004B2BBA" w:rsidP="00142B14">
      <w:pPr>
        <w:pStyle w:val="Lista2"/>
        <w:spacing w:line="276" w:lineRule="auto"/>
        <w:ind w:left="0" w:firstLine="0"/>
        <w:rPr>
          <w:rFonts w:cs="Arial"/>
          <w:sz w:val="20"/>
          <w:szCs w:val="20"/>
        </w:rPr>
      </w:pPr>
      <w:r w:rsidRPr="0057353C">
        <w:rPr>
          <w:rStyle w:val="Refdenotaalpie"/>
          <w:rFonts w:cs="Arial"/>
          <w:sz w:val="20"/>
          <w:szCs w:val="20"/>
        </w:rPr>
        <w:footnoteRef/>
      </w:r>
      <w:r w:rsidRPr="0057353C">
        <w:rPr>
          <w:rFonts w:cs="Arial"/>
          <w:sz w:val="20"/>
          <w:szCs w:val="20"/>
        </w:rPr>
        <w:t xml:space="preserve"> El adendo 3, dispuso en lo pertinente: </w:t>
      </w:r>
      <w:r w:rsidRPr="0057353C">
        <w:rPr>
          <w:rFonts w:cs="Arial"/>
          <w:i/>
          <w:sz w:val="20"/>
          <w:szCs w:val="20"/>
        </w:rPr>
        <w:t xml:space="preserve">“2. Que las propuestas alternativas, </w:t>
      </w:r>
      <w:r w:rsidRPr="0057353C">
        <w:rPr>
          <w:rFonts w:cs="Arial"/>
          <w:b/>
          <w:i/>
          <w:sz w:val="20"/>
          <w:szCs w:val="20"/>
        </w:rPr>
        <w:t>admitidas por el pliego de condiciones</w:t>
      </w:r>
      <w:r w:rsidRPr="0057353C">
        <w:rPr>
          <w:rFonts w:cs="Arial"/>
          <w:i/>
          <w:sz w:val="20"/>
          <w:szCs w:val="20"/>
        </w:rPr>
        <w:t xml:space="preserve">, en la página 19, Capítulo VI, ordinal 1) inciso 3º, </w:t>
      </w:r>
      <w:r w:rsidRPr="0057353C">
        <w:rPr>
          <w:rFonts w:cs="Arial"/>
          <w:b/>
          <w:i/>
          <w:sz w:val="20"/>
          <w:szCs w:val="20"/>
        </w:rPr>
        <w:t>deben sujetarse a las siguientes normas técnicas</w:t>
      </w:r>
      <w:r w:rsidRPr="0057353C">
        <w:rPr>
          <w:rFonts w:cs="Arial"/>
          <w:i/>
          <w:sz w:val="20"/>
          <w:szCs w:val="20"/>
        </w:rPr>
        <w:t>:</w:t>
      </w:r>
      <w:r w:rsidRPr="0057353C">
        <w:rPr>
          <w:rFonts w:cs="Arial"/>
          <w:b/>
          <w:i/>
          <w:sz w:val="20"/>
          <w:szCs w:val="20"/>
        </w:rPr>
        <w:t xml:space="preserve"> </w:t>
      </w:r>
      <w:r w:rsidRPr="0057353C">
        <w:rPr>
          <w:rFonts w:cs="Arial"/>
          <w:i/>
          <w:sz w:val="20"/>
          <w:szCs w:val="20"/>
        </w:rPr>
        <w:t>(…)”. (La negrilla no es del texto). F</w:t>
      </w:r>
      <w:r w:rsidRPr="0057353C">
        <w:rPr>
          <w:rFonts w:cs="Arial"/>
          <w:sz w:val="20"/>
          <w:szCs w:val="20"/>
        </w:rPr>
        <w:t>olio 308, cuaderno 2 A.</w:t>
      </w:r>
    </w:p>
    <w:p w14:paraId="4ABDE0E8" w14:textId="77777777" w:rsidR="004B2BBA" w:rsidRPr="0057353C" w:rsidRDefault="004B2BBA" w:rsidP="00142B14">
      <w:pPr>
        <w:pStyle w:val="Textonotapie"/>
        <w:rPr>
          <w:rFonts w:cs="Arial"/>
          <w:lang w:val="es-CO"/>
        </w:rPr>
      </w:pPr>
    </w:p>
  </w:footnote>
  <w:footnote w:id="44">
    <w:p w14:paraId="7169EE88" w14:textId="77777777" w:rsidR="004B2BBA" w:rsidRPr="0057353C" w:rsidRDefault="004B2BBA" w:rsidP="00142B14">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 220 cuaderno 2 A. </w:t>
      </w:r>
    </w:p>
  </w:footnote>
  <w:footnote w:id="45">
    <w:p w14:paraId="07F0D7D6" w14:textId="77777777" w:rsidR="004B2BBA" w:rsidRPr="0057353C" w:rsidRDefault="004B2BBA" w:rsidP="00427439">
      <w:pPr>
        <w:spacing w:line="240" w:lineRule="auto"/>
        <w:rPr>
          <w:rFonts w:cs="Arial"/>
          <w:sz w:val="20"/>
          <w:szCs w:val="20"/>
        </w:rPr>
      </w:pPr>
      <w:r w:rsidRPr="0057353C">
        <w:rPr>
          <w:rStyle w:val="Refdenotaalpie"/>
          <w:rFonts w:cs="Arial"/>
        </w:rPr>
        <w:footnoteRef/>
      </w:r>
      <w:r w:rsidRPr="0057353C">
        <w:rPr>
          <w:rFonts w:cs="Arial"/>
        </w:rPr>
        <w:t xml:space="preserve"> </w:t>
      </w:r>
      <w:r w:rsidRPr="0057353C">
        <w:rPr>
          <w:rFonts w:cs="Arial"/>
          <w:sz w:val="20"/>
          <w:szCs w:val="20"/>
        </w:rPr>
        <w:t>Consejo de Estado, Sección Tercera, Subsección A, Consejero ponente (E): Hernán Andrade Rincón, sentencia de 12 de febrero de 2015, radicación 44001233100020030065701 (33395), actor Unión Temporal Publienergy Limitada, demandado: Municipio de San Juan del Cesar</w:t>
      </w:r>
      <w:r w:rsidRPr="0057353C">
        <w:rPr>
          <w:rFonts w:cs="Arial"/>
          <w:b/>
          <w:sz w:val="20"/>
          <w:szCs w:val="20"/>
        </w:rPr>
        <w:t xml:space="preserve">, </w:t>
      </w:r>
      <w:r w:rsidRPr="0057353C">
        <w:rPr>
          <w:rFonts w:cs="Arial"/>
          <w:sz w:val="20"/>
          <w:szCs w:val="20"/>
        </w:rPr>
        <w:t xml:space="preserve">acción: contractual. </w:t>
      </w:r>
    </w:p>
    <w:p w14:paraId="3D94ED1B" w14:textId="77777777" w:rsidR="004B2BBA" w:rsidRPr="0057353C" w:rsidRDefault="004B2BBA" w:rsidP="00427439">
      <w:pPr>
        <w:spacing w:line="240" w:lineRule="auto"/>
        <w:rPr>
          <w:rFonts w:cs="Arial"/>
          <w:sz w:val="20"/>
          <w:szCs w:val="20"/>
        </w:rPr>
      </w:pPr>
    </w:p>
    <w:p w14:paraId="1558FFC6" w14:textId="77777777" w:rsidR="004B2BBA" w:rsidRPr="0057353C" w:rsidRDefault="004B2BBA" w:rsidP="00427439">
      <w:pPr>
        <w:spacing w:line="240" w:lineRule="auto"/>
        <w:rPr>
          <w:rFonts w:cs="Arial"/>
          <w:i/>
          <w:sz w:val="20"/>
          <w:szCs w:val="20"/>
        </w:rPr>
      </w:pPr>
      <w:r w:rsidRPr="0057353C">
        <w:rPr>
          <w:rFonts w:cs="Arial"/>
          <w:i/>
          <w:sz w:val="20"/>
          <w:szCs w:val="20"/>
        </w:rPr>
        <w:t xml:space="preserve">“Adicionalmente se observa que la Ley 143 sometió la adjudicación del contrato de concesión a oferta pública, pero en manera alguna se separó el referido contrato de la aplicación de la Ley 80 de 1993, en materia de los principios de la contratación estatal”. </w:t>
      </w:r>
    </w:p>
    <w:p w14:paraId="1259160A" w14:textId="77777777" w:rsidR="004B2BBA" w:rsidRPr="0057353C" w:rsidRDefault="004B2BBA" w:rsidP="00427439">
      <w:pPr>
        <w:pStyle w:val="Textonotapie"/>
        <w:spacing w:line="240" w:lineRule="auto"/>
        <w:rPr>
          <w:rFonts w:cs="Arial"/>
          <w:lang w:val="es-CO"/>
        </w:rPr>
      </w:pPr>
    </w:p>
  </w:footnote>
  <w:footnote w:id="46">
    <w:p w14:paraId="7EAF3F91"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i/>
        </w:rPr>
        <w:t>“</w:t>
      </w:r>
      <w:r w:rsidRPr="0057353C">
        <w:rPr>
          <w:rFonts w:cs="Arial"/>
          <w:i/>
          <w:lang w:val="es-CO"/>
        </w:rPr>
        <w:t>De la normatividad aplicable a los contratos estatales”.</w:t>
      </w:r>
    </w:p>
  </w:footnote>
  <w:footnote w:id="47">
    <w:p w14:paraId="242697E3" w14:textId="77777777" w:rsidR="004B2BBA" w:rsidRPr="0057353C" w:rsidRDefault="004B2BBA">
      <w:pPr>
        <w:pStyle w:val="Textonotapie"/>
        <w:rPr>
          <w:rFonts w:cs="Arial"/>
          <w:i/>
          <w:lang w:val="es-CO"/>
        </w:rPr>
      </w:pPr>
      <w:r w:rsidRPr="0057353C">
        <w:rPr>
          <w:rStyle w:val="Refdenotaalpie"/>
          <w:rFonts w:cs="Arial"/>
        </w:rPr>
        <w:footnoteRef/>
      </w:r>
      <w:r w:rsidRPr="0057353C">
        <w:rPr>
          <w:rFonts w:cs="Arial"/>
        </w:rPr>
        <w:t xml:space="preserve"> </w:t>
      </w:r>
      <w:r w:rsidRPr="0057353C">
        <w:rPr>
          <w:rFonts w:cs="Arial"/>
          <w:i/>
        </w:rPr>
        <w:t>“</w:t>
      </w:r>
      <w:r w:rsidRPr="0057353C">
        <w:rPr>
          <w:rFonts w:cs="Arial"/>
          <w:i/>
          <w:lang w:val="es-CO"/>
        </w:rPr>
        <w:t>De los principios en las actuaciones contractuales de las entidades estatales”.</w:t>
      </w:r>
    </w:p>
  </w:footnote>
  <w:footnote w:id="48">
    <w:p w14:paraId="779D9CD4" w14:textId="77777777" w:rsidR="004B2BBA" w:rsidRPr="0057353C" w:rsidRDefault="004B2BBA" w:rsidP="0085096B">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 220, cuaderno 2 A. </w:t>
      </w:r>
    </w:p>
  </w:footnote>
  <w:footnote w:id="49">
    <w:p w14:paraId="74966826" w14:textId="77777777" w:rsidR="004B2BBA" w:rsidRPr="0057353C" w:rsidRDefault="004B2BBA" w:rsidP="0085096B">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281 y 282, cuaderno 2 A</w:t>
      </w:r>
    </w:p>
  </w:footnote>
  <w:footnote w:id="50">
    <w:p w14:paraId="492672D0" w14:textId="77777777" w:rsidR="004B2BBA" w:rsidRPr="0057353C" w:rsidRDefault="004B2BBA" w:rsidP="0085096B">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308 y 309, cuaderno 2 A</w:t>
      </w:r>
    </w:p>
  </w:footnote>
  <w:footnote w:id="51">
    <w:p w14:paraId="630F7CE3" w14:textId="77777777" w:rsidR="004B2BBA" w:rsidRPr="0057353C" w:rsidRDefault="004B2BBA" w:rsidP="00B13C97">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Se refiere al monto de criterios para la evaluación y adjudicación, en el literal A) contentivo de la calificación por el factor de calidad de bienes, con un total de 600 puntos.</w:t>
      </w:r>
    </w:p>
  </w:footnote>
  <w:footnote w:id="52">
    <w:p w14:paraId="6436FCCF" w14:textId="77777777" w:rsidR="004B2BBA" w:rsidRPr="0057353C" w:rsidRDefault="004B2BBA" w:rsidP="00130AE8">
      <w:pPr>
        <w:pStyle w:val="Textonotapie"/>
        <w:spacing w:line="240" w:lineRule="auto"/>
        <w:rPr>
          <w:rFonts w:cs="Arial"/>
        </w:rPr>
      </w:pPr>
      <w:r w:rsidRPr="0057353C">
        <w:rPr>
          <w:rStyle w:val="Refdenotaalpie"/>
          <w:rFonts w:cs="Arial"/>
        </w:rPr>
        <w:footnoteRef/>
      </w:r>
      <w:r w:rsidRPr="0057353C">
        <w:rPr>
          <w:rFonts w:cs="Arial"/>
        </w:rPr>
        <w:t xml:space="preserve"> El Plan de Reducción del Consumo de Energía Eléctrica en el Alumbrado Público – Directiva Nacional del Ministerio de Minas y Energía y el INEA, expedido en marzo 31 de 1995, en el cual, con base en el estudio de las tecnologías disponibles se consideró que los municipios debían propender por sustituir las bombillas de mercurio por las de sodio, toda vez que el diagnóstico de la situación indicó que “la bombilla de sodio de baja presión tiene las mejores características de eficiencia y costo” y se concluyó que </w:t>
      </w:r>
      <w:r w:rsidRPr="0057353C">
        <w:rPr>
          <w:rFonts w:cs="Arial"/>
          <w:i/>
        </w:rPr>
        <w:t>“el sistema de alumbrado público actual es ineficiente, dada la baja participación de la tecnología del sodio”</w:t>
      </w:r>
      <w:r w:rsidRPr="0057353C">
        <w:rPr>
          <w:rFonts w:cs="Arial"/>
        </w:rPr>
        <w:t xml:space="preserve"> (folios 16 a 28, cuaderno 2).</w:t>
      </w:r>
    </w:p>
    <w:p w14:paraId="2C8D8411" w14:textId="77777777" w:rsidR="004B2BBA" w:rsidRPr="0057353C" w:rsidRDefault="004B2BBA" w:rsidP="00130AE8">
      <w:pPr>
        <w:pStyle w:val="Textonotapie"/>
        <w:spacing w:line="240" w:lineRule="auto"/>
        <w:rPr>
          <w:rFonts w:cs="Arial"/>
          <w:lang w:val="es-CO"/>
        </w:rPr>
      </w:pPr>
    </w:p>
  </w:footnote>
  <w:footnote w:id="53">
    <w:p w14:paraId="4C10451C"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29 a 35, cuaderno 2.</w:t>
      </w:r>
    </w:p>
  </w:footnote>
  <w:footnote w:id="54">
    <w:p w14:paraId="27382135"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Artículo 2, Resolución CREG 043 de 1995, folios 29 a 34, cuaderno 2.</w:t>
      </w:r>
    </w:p>
  </w:footnote>
  <w:footnote w:id="55">
    <w:p w14:paraId="2F5EC685" w14:textId="77777777" w:rsidR="004B2BBA" w:rsidRPr="0057353C" w:rsidRDefault="004B2BBA" w:rsidP="00CB20E8">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En el punto 10 del estudio del Ministerio de Minas y Energía se relacionaron los elementos que tenían normas nacionales de “fabricación, pruebas y diseño”, indicando diversas normas en proceso y ensayos. No se identificó ninguna norma técnica de carácter obligatorio.</w:t>
      </w:r>
    </w:p>
    <w:p w14:paraId="61F2B51B" w14:textId="77777777" w:rsidR="004B2BBA" w:rsidRPr="0057353C" w:rsidRDefault="004B2BBA">
      <w:pPr>
        <w:pStyle w:val="Textonotapie"/>
        <w:rPr>
          <w:rFonts w:cs="Arial"/>
          <w:lang w:val="es-CO"/>
        </w:rPr>
      </w:pPr>
    </w:p>
  </w:footnote>
  <w:footnote w:id="56">
    <w:p w14:paraId="371AB004" w14:textId="77777777" w:rsidR="004B2BBA" w:rsidRPr="0057353C" w:rsidRDefault="004B2BBA" w:rsidP="00822A5C">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314 y 315, cuaderno 2 A.</w:t>
      </w:r>
    </w:p>
  </w:footnote>
  <w:footnote w:id="57">
    <w:p w14:paraId="15DF4FD0" w14:textId="77777777" w:rsidR="004B2BBA" w:rsidRPr="0057353C" w:rsidRDefault="004B2BBA" w:rsidP="00822A5C">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295 a 298, cuaderno 2 A.</w:t>
      </w:r>
    </w:p>
  </w:footnote>
  <w:footnote w:id="58">
    <w:p w14:paraId="3305A78B"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70, cuaderno 3.</w:t>
      </w:r>
    </w:p>
  </w:footnote>
  <w:footnote w:id="59">
    <w:p w14:paraId="7AF9562F" w14:textId="77777777" w:rsidR="004B2BBA" w:rsidRPr="0057353C" w:rsidRDefault="004B2BBA" w:rsidP="00822A5C">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Folios 102 a 148, cuaderno 2.  </w:t>
      </w:r>
    </w:p>
  </w:footnote>
  <w:footnote w:id="60">
    <w:p w14:paraId="4A6C4F58" w14:textId="77777777" w:rsidR="004B2BBA" w:rsidRPr="0057353C" w:rsidRDefault="004B2BBA" w:rsidP="003D5CB2">
      <w:pPr>
        <w:pStyle w:val="Textonotapie"/>
        <w:spacing w:line="240" w:lineRule="auto"/>
        <w:rPr>
          <w:rFonts w:cs="Arial"/>
          <w:lang w:val="es-MX"/>
        </w:rPr>
      </w:pPr>
      <w:r w:rsidRPr="0057353C">
        <w:rPr>
          <w:rStyle w:val="Refdenotaalpie"/>
          <w:rFonts w:cs="Arial"/>
        </w:rPr>
        <w:footnoteRef/>
      </w:r>
      <w:r w:rsidRPr="0057353C">
        <w:rPr>
          <w:rFonts w:cs="Arial"/>
        </w:rPr>
        <w:t xml:space="preserve"> </w:t>
      </w:r>
      <w:r w:rsidRPr="0057353C">
        <w:rPr>
          <w:rFonts w:cs="Arial"/>
          <w:lang w:val="es-MX"/>
        </w:rPr>
        <w:t>Hoy definido en la modificación del  Reglamento Técnico de Iluminación y Alumbrado Público RETILAP, Resolución 4 0122 de 8 de febrero de 2016, la cual reformó la Resolución 18 1331 de 6 de agosto de 2009, expedidas por el Ministerio de Minas y Energía.</w:t>
      </w:r>
    </w:p>
    <w:p w14:paraId="382CCFFD" w14:textId="77777777" w:rsidR="004B2BBA" w:rsidRPr="0057353C" w:rsidRDefault="004B2BBA">
      <w:pPr>
        <w:pStyle w:val="Textonotapie"/>
        <w:rPr>
          <w:rFonts w:cs="Arial"/>
          <w:lang w:val="es-MX"/>
        </w:rPr>
      </w:pPr>
    </w:p>
  </w:footnote>
  <w:footnote w:id="61">
    <w:p w14:paraId="2A3401C4" w14:textId="77777777" w:rsidR="004B2BBA" w:rsidRPr="0057353C" w:rsidRDefault="004B2BBA" w:rsidP="00AC0245">
      <w:pPr>
        <w:pStyle w:val="Textonotapie"/>
        <w:spacing w:line="240" w:lineRule="auto"/>
        <w:rPr>
          <w:rFonts w:cs="Arial"/>
          <w:i/>
          <w:color w:val="000000"/>
          <w:shd w:val="clear" w:color="auto" w:fill="FFFFFF"/>
        </w:rPr>
      </w:pPr>
      <w:r w:rsidRPr="0057353C">
        <w:rPr>
          <w:rStyle w:val="Refdenotaalpie"/>
          <w:rFonts w:cs="Arial"/>
        </w:rPr>
        <w:footnoteRef/>
      </w:r>
      <w:r w:rsidRPr="0057353C">
        <w:rPr>
          <w:rFonts w:cs="Arial"/>
        </w:rPr>
        <w:t xml:space="preserve"> Ley 80 de 1993, Artículo 29 [texto derogado por la Ley 1150 de 2007) (…) </w:t>
      </w:r>
      <w:r w:rsidRPr="0057353C">
        <w:rPr>
          <w:rFonts w:cs="Arial"/>
          <w:i/>
        </w:rPr>
        <w:t>“</w:t>
      </w:r>
      <w:r w:rsidRPr="0057353C">
        <w:rPr>
          <w:rFonts w:cs="Arial"/>
          <w:i/>
          <w:color w:val="000000"/>
          <w:shd w:val="clear" w:color="auto" w:fill="FFFFFF"/>
        </w:rPr>
        <w:t>Ofrecimiento más favorable es aquel que, teniendo en cuenta los factores de escogencia, tales como cumplimiento, experiencia, organización, equipos, plazo, precio y la ponderación precisa, detallada y concreta de los mismos, contenida en los pliegos de condiciones o términos de referencia o en el análisis previo a la suscripción del contrato”.</w:t>
      </w:r>
    </w:p>
    <w:p w14:paraId="2834826A" w14:textId="77777777" w:rsidR="004B2BBA" w:rsidRPr="0057353C" w:rsidRDefault="004B2BBA" w:rsidP="00AC0245">
      <w:pPr>
        <w:pStyle w:val="Textonotapie"/>
        <w:spacing w:line="240" w:lineRule="auto"/>
        <w:rPr>
          <w:rFonts w:cs="Arial"/>
          <w:i/>
          <w:lang w:val="es-MX"/>
        </w:rPr>
      </w:pPr>
      <w:r w:rsidRPr="0057353C">
        <w:rPr>
          <w:rStyle w:val="apple-converted-space"/>
          <w:rFonts w:cs="Arial"/>
          <w:i/>
          <w:color w:val="000000"/>
          <w:sz w:val="27"/>
          <w:szCs w:val="27"/>
          <w:shd w:val="clear" w:color="auto" w:fill="FFFFFF"/>
        </w:rPr>
        <w:t> </w:t>
      </w:r>
    </w:p>
  </w:footnote>
  <w:footnote w:id="62">
    <w:p w14:paraId="017BD78E" w14:textId="77777777" w:rsidR="004B2BBA" w:rsidRPr="0057353C" w:rsidRDefault="004B2BBA" w:rsidP="008D76F4">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Folios 47 y 48, cuaderno 3- </w:t>
      </w:r>
    </w:p>
  </w:footnote>
  <w:footnote w:id="63">
    <w:p w14:paraId="07091B29" w14:textId="77777777" w:rsidR="004B2BBA" w:rsidRPr="0057353C" w:rsidRDefault="004B2BBA" w:rsidP="000E362C">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En el estudio financiero realizado a la propuesta presentada por la UT General Electric – Electro Atlántico se lee: </w:t>
      </w:r>
      <w:r w:rsidRPr="0057353C">
        <w:rPr>
          <w:rFonts w:cs="Arial"/>
          <w:i/>
          <w:lang w:val="es-CO"/>
        </w:rPr>
        <w:t>“Con base a la información se concluye que no es posible determinar la viabilidad financiera del proyecto con la información presentada. // Se recomienda tener cuidado, ya que el (sic) resultaría múltiples inconvenientes para la Administración Municipal aprobar una proyección financiera tan deficiente”.</w:t>
      </w:r>
      <w:r w:rsidRPr="0057353C">
        <w:rPr>
          <w:rFonts w:cs="Arial"/>
          <w:lang w:val="es-CO"/>
        </w:rPr>
        <w:t xml:space="preserve"> (folio 1397 cuaderno 2 D).</w:t>
      </w:r>
    </w:p>
    <w:p w14:paraId="0363ACB2" w14:textId="77777777" w:rsidR="004B2BBA" w:rsidRPr="0057353C" w:rsidRDefault="004B2BBA">
      <w:pPr>
        <w:pStyle w:val="Textonotapie"/>
        <w:rPr>
          <w:rFonts w:cs="Arial"/>
          <w:lang w:val="es-CO"/>
        </w:rPr>
      </w:pPr>
    </w:p>
  </w:footnote>
  <w:footnote w:id="64">
    <w:p w14:paraId="21E4DB81"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2, cuaderno 4.</w:t>
      </w:r>
    </w:p>
  </w:footnote>
  <w:footnote w:id="65">
    <w:p w14:paraId="63C5B3D9" w14:textId="77777777" w:rsidR="004B2BBA" w:rsidRPr="0057353C" w:rsidRDefault="004B2BBA" w:rsidP="00405E41">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ESPECIFICACIONES TÉCNICAS Y CARACTERÍSTICAS GENERALES”, folio 207, cuaderno 2 A. </w:t>
      </w:r>
    </w:p>
    <w:p w14:paraId="32917512" w14:textId="77777777" w:rsidR="004B2BBA" w:rsidRPr="0057353C" w:rsidRDefault="004B2BBA" w:rsidP="00405E41">
      <w:pPr>
        <w:pStyle w:val="Textonotapie"/>
        <w:spacing w:line="240" w:lineRule="auto"/>
        <w:rPr>
          <w:rFonts w:cs="Arial"/>
          <w:lang w:val="es-CO"/>
        </w:rPr>
      </w:pPr>
    </w:p>
  </w:footnote>
  <w:footnote w:id="66">
    <w:p w14:paraId="1144FE9F"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 5, cuaderno 4. </w:t>
      </w:r>
    </w:p>
  </w:footnote>
  <w:footnote w:id="67">
    <w:p w14:paraId="1EE8CD64" w14:textId="77777777" w:rsidR="004B2BBA" w:rsidRPr="0057353C" w:rsidRDefault="004B2BBA" w:rsidP="00970282">
      <w:pPr>
        <w:pStyle w:val="Textonotapie"/>
        <w:spacing w:line="240" w:lineRule="auto"/>
        <w:rPr>
          <w:rFonts w:cs="Arial"/>
          <w:lang w:val="es-CO"/>
        </w:rPr>
      </w:pPr>
      <w:r w:rsidRPr="0057353C">
        <w:rPr>
          <w:rStyle w:val="Refdenotaalpie"/>
          <w:rFonts w:cs="Arial"/>
          <w:i/>
        </w:rPr>
        <w:footnoteRef/>
      </w:r>
      <w:r w:rsidRPr="0057353C">
        <w:rPr>
          <w:rFonts w:cs="Arial"/>
          <w:i/>
        </w:rPr>
        <w:t xml:space="preserve"> </w:t>
      </w:r>
      <w:r w:rsidRPr="0057353C">
        <w:rPr>
          <w:rFonts w:cs="Arial"/>
          <w:i/>
          <w:lang w:val="es-CO"/>
        </w:rPr>
        <w:t>“En tanto la carcaza ofrecida no cumple con el requerimiento de ser en aluminio inyectado, de una sola pieza, puesto que se ofreció  en aluminio fundido y en lámina de aluminio troquelado, consideramos que NO CUMPLE con lo exigido por el pliego de condiciones y por tanto le otorgamos Cero (0) puntos, Vs los 150 puntos otorgados por el comité evaluador</w:t>
      </w:r>
      <w:r w:rsidRPr="0057353C">
        <w:rPr>
          <w:rFonts w:cs="Arial"/>
          <w:lang w:val="es-CO"/>
        </w:rPr>
        <w:t xml:space="preserve">”. (folio 5, cuaderno 4). </w:t>
      </w:r>
    </w:p>
    <w:p w14:paraId="641C2E92" w14:textId="77777777" w:rsidR="004B2BBA" w:rsidRPr="0057353C" w:rsidRDefault="004B2BBA">
      <w:pPr>
        <w:pStyle w:val="Textonotapie"/>
        <w:rPr>
          <w:rFonts w:cs="Arial"/>
          <w:lang w:val="es-CO"/>
        </w:rPr>
      </w:pPr>
    </w:p>
  </w:footnote>
  <w:footnote w:id="68">
    <w:p w14:paraId="28338E8D"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43, cuaderno 4.</w:t>
      </w:r>
    </w:p>
  </w:footnote>
  <w:footnote w:id="69">
    <w:p w14:paraId="5CF08632" w14:textId="77777777" w:rsidR="004B2BBA" w:rsidRPr="0057353C" w:rsidRDefault="004B2BBA" w:rsidP="00E90950">
      <w:pPr>
        <w:pStyle w:val="Textonotapie"/>
        <w:spacing w:line="240" w:lineRule="auto"/>
        <w:rPr>
          <w:rFonts w:cs="Arial"/>
          <w:i/>
          <w:color w:val="000000"/>
          <w:shd w:val="clear" w:color="auto" w:fill="FFFFFF"/>
        </w:rPr>
      </w:pPr>
      <w:r w:rsidRPr="0057353C">
        <w:rPr>
          <w:rStyle w:val="Refdenotaalpie"/>
          <w:rFonts w:cs="Arial"/>
        </w:rPr>
        <w:footnoteRef/>
      </w:r>
      <w:r w:rsidRPr="0057353C">
        <w:rPr>
          <w:rFonts w:cs="Arial"/>
        </w:rPr>
        <w:t xml:space="preserve"> </w:t>
      </w:r>
      <w:r w:rsidRPr="0057353C">
        <w:rPr>
          <w:rFonts w:cs="Arial"/>
          <w:bCs/>
          <w:color w:val="000000"/>
          <w:shd w:val="clear" w:color="auto" w:fill="FFFFFF"/>
        </w:rPr>
        <w:t>Artículo 1620 CC. Preferencia del sentido que produce</w:t>
      </w:r>
      <w:r w:rsidRPr="0057353C">
        <w:rPr>
          <w:rStyle w:val="apple-converted-space"/>
          <w:rFonts w:cs="Arial"/>
          <w:color w:val="000000"/>
          <w:shd w:val="clear" w:color="auto" w:fill="FFFFFF"/>
        </w:rPr>
        <w:t> e</w:t>
      </w:r>
      <w:r w:rsidRPr="0057353C">
        <w:rPr>
          <w:rFonts w:cs="Arial"/>
          <w:color w:val="000000"/>
          <w:shd w:val="clear" w:color="auto" w:fill="FFFFFF"/>
        </w:rPr>
        <w:t>fectos.</w:t>
      </w:r>
      <w:r w:rsidRPr="0057353C">
        <w:rPr>
          <w:rFonts w:cs="Arial"/>
          <w:i/>
          <w:color w:val="000000"/>
          <w:shd w:val="clear" w:color="auto" w:fill="FFFFFF"/>
        </w:rPr>
        <w:t xml:space="preserve"> “El sentido en que una cláusula puede producir algún efecto, deberá preferirse a aquel en que no sea capaz de producir efecto alguno”.</w:t>
      </w:r>
    </w:p>
    <w:p w14:paraId="1259173D" w14:textId="77777777" w:rsidR="004B2BBA" w:rsidRPr="0057353C" w:rsidRDefault="004B2BBA" w:rsidP="00E90950">
      <w:pPr>
        <w:pStyle w:val="Textonotapie"/>
        <w:spacing w:line="240" w:lineRule="auto"/>
        <w:rPr>
          <w:rFonts w:cs="Arial"/>
          <w:lang w:val="es-CO"/>
        </w:rPr>
      </w:pPr>
    </w:p>
  </w:footnote>
  <w:footnote w:id="70">
    <w:p w14:paraId="7EDD4849" w14:textId="77777777" w:rsidR="004B2BBA" w:rsidRPr="0057353C" w:rsidRDefault="004B2BBA" w:rsidP="003B1E73">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Página 32 de la sentencia, folio 526, cuaderno 1.</w:t>
      </w:r>
    </w:p>
  </w:footnote>
  <w:footnote w:id="71">
    <w:p w14:paraId="0A2B2384"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 xml:space="preserve">Folio 57, cuaderno 3. </w:t>
      </w:r>
    </w:p>
  </w:footnote>
  <w:footnote w:id="72">
    <w:p w14:paraId="33FE3055" w14:textId="77777777" w:rsidR="004B2BBA" w:rsidRPr="0057353C" w:rsidRDefault="004B2BBA" w:rsidP="00853AC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Página 7 cuaderno 4.</w:t>
      </w:r>
    </w:p>
  </w:footnote>
  <w:footnote w:id="73">
    <w:p w14:paraId="3990FB41"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527, cuaderno principal segunda instancia.</w:t>
      </w:r>
    </w:p>
  </w:footnote>
  <w:footnote w:id="74">
    <w:p w14:paraId="0A03C64E" w14:textId="77777777" w:rsidR="004B2BBA" w:rsidRPr="0057353C" w:rsidRDefault="004B2BBA" w:rsidP="00F51B91">
      <w:pPr>
        <w:pStyle w:val="NormalWeb"/>
        <w:spacing w:line="240" w:lineRule="auto"/>
        <w:rPr>
          <w:rFonts w:cs="Arial"/>
          <w:sz w:val="20"/>
          <w:szCs w:val="20"/>
          <w:lang w:val="es-CO"/>
        </w:rPr>
      </w:pPr>
      <w:r w:rsidRPr="0057353C">
        <w:rPr>
          <w:rStyle w:val="Refdenotaalpie"/>
          <w:rFonts w:cs="Arial"/>
          <w:i/>
          <w:sz w:val="20"/>
          <w:szCs w:val="20"/>
        </w:rPr>
        <w:footnoteRef/>
      </w:r>
      <w:r w:rsidRPr="0057353C">
        <w:rPr>
          <w:rFonts w:cs="Arial"/>
          <w:i/>
          <w:sz w:val="20"/>
          <w:szCs w:val="20"/>
        </w:rPr>
        <w:t xml:space="preserve"> “</w:t>
      </w:r>
      <w:r w:rsidRPr="0057353C">
        <w:rPr>
          <w:rFonts w:cs="Arial"/>
          <w:bCs/>
          <w:i/>
          <w:color w:val="000000"/>
          <w:sz w:val="20"/>
          <w:szCs w:val="20"/>
          <w:shd w:val="clear" w:color="auto" w:fill="FFFFFF"/>
        </w:rPr>
        <w:t>Artículo 260 C.P.C.</w:t>
      </w:r>
      <w:r w:rsidRPr="0057353C">
        <w:rPr>
          <w:rFonts w:cs="Arial"/>
          <w:b/>
          <w:bCs/>
          <w:i/>
          <w:color w:val="000000"/>
          <w:sz w:val="20"/>
          <w:szCs w:val="20"/>
          <w:shd w:val="clear" w:color="auto" w:fill="FFFFFF"/>
        </w:rPr>
        <w:t xml:space="preserve"> </w:t>
      </w:r>
      <w:r w:rsidRPr="0057353C">
        <w:rPr>
          <w:rFonts w:cs="Arial"/>
          <w:i/>
          <w:color w:val="000000"/>
          <w:sz w:val="20"/>
          <w:szCs w:val="20"/>
        </w:rPr>
        <w:t>Documentos en idioma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w:t>
      </w:r>
    </w:p>
  </w:footnote>
  <w:footnote w:id="75">
    <w:p w14:paraId="4DDB6212" w14:textId="77777777" w:rsidR="004B2BBA" w:rsidRPr="0057353C" w:rsidRDefault="004B2BBA" w:rsidP="00301C81">
      <w:pPr>
        <w:pStyle w:val="NormalWeb"/>
        <w:spacing w:line="240" w:lineRule="auto"/>
        <w:rPr>
          <w:rFonts w:cs="Arial"/>
          <w:lang w:val="es-CO"/>
        </w:rPr>
      </w:pPr>
      <w:r w:rsidRPr="0057353C">
        <w:rPr>
          <w:rStyle w:val="Refdenotaalpie"/>
          <w:rFonts w:cs="Arial"/>
          <w:sz w:val="20"/>
          <w:szCs w:val="20"/>
        </w:rPr>
        <w:footnoteRef/>
      </w:r>
      <w:r w:rsidRPr="0057353C">
        <w:rPr>
          <w:rFonts w:cs="Arial"/>
          <w:sz w:val="20"/>
          <w:szCs w:val="20"/>
        </w:rPr>
        <w:t xml:space="preserve"> “</w:t>
      </w:r>
      <w:r w:rsidRPr="0057353C">
        <w:rPr>
          <w:rFonts w:cs="Arial"/>
          <w:bCs/>
          <w:color w:val="000000"/>
          <w:sz w:val="20"/>
          <w:szCs w:val="20"/>
          <w:shd w:val="clear" w:color="auto" w:fill="FFFFFF"/>
        </w:rPr>
        <w:t>Artículo</w:t>
      </w:r>
      <w:bookmarkStart w:id="4" w:name="undefined"/>
      <w:r w:rsidRPr="0057353C">
        <w:rPr>
          <w:rFonts w:cs="Arial"/>
          <w:bCs/>
          <w:color w:val="000000"/>
          <w:sz w:val="20"/>
          <w:szCs w:val="20"/>
          <w:shd w:val="clear" w:color="auto" w:fill="FFFFFF"/>
        </w:rPr>
        <w:t> </w:t>
      </w:r>
      <w:bookmarkEnd w:id="4"/>
      <w:r w:rsidRPr="0057353C">
        <w:rPr>
          <w:rFonts w:cs="Arial"/>
          <w:bCs/>
          <w:color w:val="000000"/>
          <w:sz w:val="20"/>
          <w:szCs w:val="20"/>
          <w:shd w:val="clear" w:color="auto" w:fill="FFFFFF"/>
        </w:rPr>
        <w:t>252 C.P.C.</w:t>
      </w:r>
      <w:r w:rsidRPr="0057353C">
        <w:rPr>
          <w:rFonts w:cs="Arial"/>
          <w:b/>
          <w:bCs/>
          <w:color w:val="000000"/>
          <w:sz w:val="20"/>
          <w:szCs w:val="20"/>
          <w:shd w:val="clear" w:color="auto" w:fill="FFFFFF"/>
        </w:rPr>
        <w:t xml:space="preserve"> </w:t>
      </w:r>
      <w:r w:rsidRPr="0057353C">
        <w:rPr>
          <w:rFonts w:cs="Arial"/>
          <w:color w:val="000000"/>
          <w:sz w:val="20"/>
          <w:szCs w:val="20"/>
        </w:rPr>
        <w:t>Es auténtico un documento cuando existe certeza sobre la persona que lo ha elaborado, manuscrito o firmado”.</w:t>
      </w:r>
      <w:r w:rsidRPr="0057353C">
        <w:rPr>
          <w:rStyle w:val="apple-converted-space"/>
          <w:rFonts w:cs="Arial"/>
          <w:color w:val="000000"/>
          <w:sz w:val="20"/>
          <w:szCs w:val="20"/>
        </w:rPr>
        <w:t> </w:t>
      </w:r>
    </w:p>
  </w:footnote>
  <w:footnote w:id="76">
    <w:p w14:paraId="744E2E2B" w14:textId="77777777" w:rsidR="004B2BBA" w:rsidRPr="0057353C" w:rsidRDefault="004B2BBA" w:rsidP="00853ACE">
      <w:pPr>
        <w:pStyle w:val="Textonotapie"/>
        <w:rPr>
          <w:rFonts w:cs="Arial"/>
          <w:lang w:val="es-MX"/>
        </w:rPr>
      </w:pPr>
      <w:r w:rsidRPr="0057353C">
        <w:rPr>
          <w:rStyle w:val="Refdenotaalpie"/>
          <w:rFonts w:cs="Arial"/>
        </w:rPr>
        <w:footnoteRef/>
      </w:r>
      <w:r w:rsidRPr="0057353C">
        <w:rPr>
          <w:rFonts w:cs="Arial"/>
        </w:rPr>
        <w:t xml:space="preserve"> </w:t>
      </w:r>
      <w:r w:rsidRPr="0057353C">
        <w:rPr>
          <w:rFonts w:cs="Arial"/>
          <w:lang w:val="es-MX"/>
        </w:rPr>
        <w:t>Página 33 de la sentencia, folio 526, cuaderno principal.</w:t>
      </w:r>
    </w:p>
  </w:footnote>
  <w:footnote w:id="77">
    <w:p w14:paraId="764E1B75" w14:textId="77777777" w:rsidR="004B2BBA" w:rsidRPr="0057353C" w:rsidRDefault="004B2BBA" w:rsidP="009E4053">
      <w:pPr>
        <w:pStyle w:val="NormalWeb"/>
        <w:spacing w:line="240" w:lineRule="auto"/>
        <w:rPr>
          <w:rFonts w:cs="Arial"/>
          <w:lang w:val="es-MX"/>
        </w:rPr>
      </w:pPr>
      <w:r w:rsidRPr="0057353C">
        <w:rPr>
          <w:rStyle w:val="Refdenotaalpie"/>
          <w:rFonts w:cs="Arial"/>
          <w:sz w:val="20"/>
          <w:szCs w:val="20"/>
        </w:rPr>
        <w:footnoteRef/>
      </w:r>
      <w:r w:rsidRPr="0057353C">
        <w:rPr>
          <w:rFonts w:cs="Arial"/>
          <w:sz w:val="20"/>
          <w:szCs w:val="20"/>
        </w:rPr>
        <w:t xml:space="preserve"> </w:t>
      </w:r>
      <w:r w:rsidRPr="0057353C">
        <w:rPr>
          <w:rFonts w:cs="Arial"/>
          <w:i/>
          <w:sz w:val="20"/>
          <w:szCs w:val="20"/>
        </w:rPr>
        <w:t>“</w:t>
      </w:r>
      <w:r w:rsidRPr="0057353C">
        <w:rPr>
          <w:rFonts w:cs="Arial"/>
          <w:bCs/>
          <w:i/>
          <w:color w:val="000000"/>
          <w:sz w:val="20"/>
          <w:szCs w:val="20"/>
          <w:shd w:val="clear" w:color="auto" w:fill="FFFFFF"/>
          <w:lang w:val="es-MX" w:eastAsia="es-MX"/>
        </w:rPr>
        <w:t>Artículo 259 C.P.C.</w:t>
      </w:r>
      <w:r w:rsidRPr="0057353C">
        <w:rPr>
          <w:rFonts w:cs="Arial"/>
          <w:b/>
          <w:bCs/>
          <w:i/>
          <w:color w:val="000000"/>
          <w:sz w:val="20"/>
          <w:szCs w:val="20"/>
          <w:shd w:val="clear" w:color="auto" w:fill="FFFFFF"/>
          <w:lang w:val="es-MX" w:eastAsia="es-MX"/>
        </w:rPr>
        <w:t xml:space="preserve"> </w:t>
      </w:r>
      <w:r w:rsidRPr="0057353C">
        <w:rPr>
          <w:rFonts w:cs="Arial"/>
          <w:i/>
          <w:color w:val="000000"/>
          <w:sz w:val="20"/>
          <w:szCs w:val="20"/>
          <w:lang w:val="es-MX" w:eastAsia="es-MX"/>
        </w:rPr>
        <w:t>Documentos otorgados en el extranjero. Los documentos públicos otorgados en país extranjero por funcionario de éste o con su intervención, deberán presentarse debidamente autenticados por el cónsul o agente diplomático de la República, y en su defecto por el de una nación amiga, lo cual hace presumir que se otorgaron conforme a la ley del respectivo país. La firma del cónsul o agente diplomático se abonará por el Ministerio de Relaciones Exteriores de Colombia, y si se trata de agentes consulares de un país amigo, se autenticará previamente por el funcionario competente del mismo y los de éste por el cónsul colombiano.</w:t>
      </w:r>
      <w:r w:rsidRPr="0057353C">
        <w:rPr>
          <w:rFonts w:cs="Arial"/>
          <w:b/>
          <w:bCs/>
          <w:i/>
          <w:color w:val="000000"/>
          <w:sz w:val="20"/>
          <w:szCs w:val="20"/>
          <w:shd w:val="clear" w:color="auto" w:fill="FFFFFF"/>
        </w:rPr>
        <w:t xml:space="preserve"> </w:t>
      </w:r>
      <w:r w:rsidRPr="0057353C">
        <w:rPr>
          <w:rFonts w:cs="Arial"/>
          <w:bCs/>
          <w:i/>
          <w:color w:val="000000"/>
          <w:sz w:val="20"/>
          <w:szCs w:val="20"/>
          <w:shd w:val="clear" w:color="auto" w:fill="FFFFFF"/>
          <w:lang w:val="es-MX" w:eastAsia="es-MX"/>
        </w:rPr>
        <w:t>Artículo 260 C.P.C</w:t>
      </w:r>
      <w:r w:rsidRPr="0057353C">
        <w:rPr>
          <w:rFonts w:cs="Arial"/>
          <w:b/>
          <w:bCs/>
          <w:i/>
          <w:color w:val="000000"/>
          <w:sz w:val="20"/>
          <w:szCs w:val="20"/>
          <w:shd w:val="clear" w:color="auto" w:fill="FFFFFF"/>
          <w:lang w:val="es-MX" w:eastAsia="es-MX"/>
        </w:rPr>
        <w:t xml:space="preserve"> </w:t>
      </w:r>
      <w:r w:rsidRPr="0057353C">
        <w:rPr>
          <w:rFonts w:cs="Arial"/>
          <w:i/>
          <w:color w:val="000000"/>
          <w:sz w:val="20"/>
          <w:szCs w:val="20"/>
          <w:lang w:val="es-MX" w:eastAsia="es-MX"/>
        </w:rPr>
        <w:t>Documentos en idioma extranjero. Para que los documentos extendidos en idioma distinto del castellano puedan apreciarse como prueba, se requiere que obren en el proceso con su correspondiente traducción efectuada por el Ministerio de Relaciones Exteriores, por un intérprete oficial o por traductor designado por el juez; en los dos primeros casos la traducción y su original podrán ser presentados directamente”.</w:t>
      </w:r>
    </w:p>
  </w:footnote>
  <w:footnote w:id="78">
    <w:p w14:paraId="2D8050D0" w14:textId="77777777" w:rsidR="004B2BBA" w:rsidRPr="0057353C" w:rsidRDefault="004B2BBA" w:rsidP="003005C8">
      <w:pPr>
        <w:pStyle w:val="Textonotapie"/>
        <w:spacing w:line="240" w:lineRule="auto"/>
        <w:rPr>
          <w:rFonts w:cs="Arial"/>
          <w:i/>
          <w:lang w:val="es-CO"/>
        </w:rPr>
      </w:pPr>
      <w:r w:rsidRPr="0057353C">
        <w:rPr>
          <w:rStyle w:val="Refdenotaalpie"/>
          <w:rFonts w:cs="Arial"/>
        </w:rPr>
        <w:footnoteRef/>
      </w:r>
      <w:r w:rsidRPr="0057353C">
        <w:rPr>
          <w:rFonts w:cs="Arial"/>
        </w:rPr>
        <w:t xml:space="preserve"> </w:t>
      </w:r>
      <w:r w:rsidRPr="0057353C">
        <w:rPr>
          <w:rFonts w:cs="Arial"/>
          <w:lang w:val="es-CO"/>
        </w:rPr>
        <w:t>“</w:t>
      </w:r>
      <w:r w:rsidRPr="0057353C">
        <w:rPr>
          <w:rFonts w:cs="Arial"/>
          <w:i/>
          <w:lang w:val="es-CO"/>
        </w:rPr>
        <w:t xml:space="preserve">e.- BOMBILLAS. </w:t>
      </w:r>
    </w:p>
    <w:p w14:paraId="2EA91866" w14:textId="77777777" w:rsidR="004B2BBA" w:rsidRPr="0057353C" w:rsidRDefault="004B2BBA" w:rsidP="003005C8">
      <w:pPr>
        <w:pStyle w:val="Textonotapie"/>
        <w:spacing w:line="240" w:lineRule="auto"/>
        <w:rPr>
          <w:rFonts w:cs="Arial"/>
          <w:lang w:val="es-CO"/>
        </w:rPr>
      </w:pPr>
      <w:r w:rsidRPr="0057353C">
        <w:rPr>
          <w:rFonts w:cs="Arial"/>
          <w:i/>
          <w:lang w:val="es-CO"/>
        </w:rPr>
        <w:t xml:space="preserve">Las bombillas deben ser de vapor de sodio de alta presión, del tipo </w:t>
      </w:r>
      <w:r w:rsidRPr="0057353C">
        <w:rPr>
          <w:rFonts w:cs="Arial"/>
          <w:b/>
          <w:i/>
          <w:lang w:val="es-CO"/>
        </w:rPr>
        <w:t>Standby</w:t>
      </w:r>
      <w:r w:rsidRPr="0057353C">
        <w:rPr>
          <w:rFonts w:cs="Arial"/>
          <w:i/>
          <w:lang w:val="es-CO"/>
        </w:rPr>
        <w:t>, de doble tubo de descarga, contados en paralelo al otro, La vida media debe ser superior a 30.000 horas, aptas para funcionar con balastos tipo compatibles con las normas IEC 922 Y 923”.</w:t>
      </w:r>
      <w:r w:rsidRPr="0057353C">
        <w:rPr>
          <w:rFonts w:cs="Arial"/>
          <w:lang w:val="es-CO"/>
        </w:rPr>
        <w:t xml:space="preserve"> (Folio 209, cuaderno 2 A).</w:t>
      </w:r>
    </w:p>
    <w:p w14:paraId="2819DCEB" w14:textId="77777777" w:rsidR="004B2BBA" w:rsidRPr="0057353C" w:rsidRDefault="004B2BBA" w:rsidP="003005C8">
      <w:pPr>
        <w:pStyle w:val="Textonotapie"/>
        <w:spacing w:line="240" w:lineRule="auto"/>
        <w:rPr>
          <w:rFonts w:cs="Arial"/>
          <w:lang w:val="es-CO"/>
        </w:rPr>
      </w:pPr>
    </w:p>
  </w:footnote>
  <w:footnote w:id="79">
    <w:p w14:paraId="033CF160"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209, cuaderno 2 A.</w:t>
      </w:r>
    </w:p>
  </w:footnote>
  <w:footnote w:id="80">
    <w:p w14:paraId="5404A6B9"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1007, cuaderno 2C.</w:t>
      </w:r>
    </w:p>
  </w:footnote>
  <w:footnote w:id="81">
    <w:p w14:paraId="517CDF8D"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57, cuaderno 3</w:t>
      </w:r>
    </w:p>
  </w:footnote>
  <w:footnote w:id="82">
    <w:p w14:paraId="3E98F49F"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6 y 7, cuaderno 4.</w:t>
      </w:r>
    </w:p>
  </w:footnote>
  <w:footnote w:id="83">
    <w:p w14:paraId="0CED4DC8" w14:textId="77777777" w:rsidR="004B2BBA" w:rsidRPr="0057353C" w:rsidRDefault="004B2BBA" w:rsidP="00853ACE">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1155 y 1156, cuaderno 2 C.</w:t>
      </w:r>
    </w:p>
  </w:footnote>
  <w:footnote w:id="84">
    <w:p w14:paraId="06CDB937"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623, cuaderno 4 C.</w:t>
      </w:r>
    </w:p>
    <w:p w14:paraId="1D47385E" w14:textId="77777777" w:rsidR="004B2BBA" w:rsidRPr="0057353C" w:rsidRDefault="004B2BBA" w:rsidP="00522EDD">
      <w:pPr>
        <w:pStyle w:val="Textonotapie"/>
        <w:spacing w:line="240" w:lineRule="auto"/>
        <w:rPr>
          <w:rFonts w:cs="Arial"/>
          <w:lang w:val="es-CO"/>
        </w:rPr>
      </w:pPr>
    </w:p>
  </w:footnote>
  <w:footnote w:id="85">
    <w:p w14:paraId="504A2944" w14:textId="77777777" w:rsidR="004B2BBA" w:rsidRPr="0057353C" w:rsidRDefault="004B2BBA" w:rsidP="00522EDD">
      <w:pPr>
        <w:pStyle w:val="Textonotapie"/>
        <w:spacing w:line="240" w:lineRule="auto"/>
        <w:rPr>
          <w:rFonts w:cs="Arial"/>
        </w:rPr>
      </w:pPr>
      <w:r w:rsidRPr="0057353C">
        <w:rPr>
          <w:rStyle w:val="Refdenotaalpie"/>
          <w:rFonts w:cs="Arial"/>
        </w:rPr>
        <w:footnoteRef/>
      </w:r>
      <w:r w:rsidRPr="0057353C">
        <w:rPr>
          <w:rFonts w:cs="Arial"/>
        </w:rPr>
        <w:t xml:space="preserve"> Se adjuntan otras certificaciones ISO de Industrias Philips expedidas en Venezuela y Chile – relacionadas con la capacidad de producción.</w:t>
      </w:r>
    </w:p>
  </w:footnote>
  <w:footnote w:id="86">
    <w:p w14:paraId="481DFB9B"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942, cuaderno 2 C.</w:t>
      </w:r>
    </w:p>
  </w:footnote>
  <w:footnote w:id="87">
    <w:p w14:paraId="414A4459"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941, cuaderno 2 C.</w:t>
      </w:r>
    </w:p>
  </w:footnote>
  <w:footnote w:id="88">
    <w:p w14:paraId="592CD868"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923, cuaderno 2 C.</w:t>
      </w:r>
    </w:p>
  </w:footnote>
  <w:footnote w:id="89">
    <w:p w14:paraId="2876F1F6"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910 a 912, cuaderno 2 C.</w:t>
      </w:r>
    </w:p>
  </w:footnote>
  <w:footnote w:id="90">
    <w:p w14:paraId="762D3E95"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920, cuaderno 2 C</w:t>
      </w:r>
    </w:p>
  </w:footnote>
  <w:footnote w:id="91">
    <w:p w14:paraId="40C6E0A0"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921 y  922, cuaderno 2 C.</w:t>
      </w:r>
    </w:p>
  </w:footnote>
  <w:footnote w:id="92">
    <w:p w14:paraId="28A435C4"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628, cuaderno 2 C</w:t>
      </w:r>
    </w:p>
  </w:footnote>
  <w:footnote w:id="93">
    <w:p w14:paraId="3EAF594D"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929, cuaderno 2 C.</w:t>
      </w:r>
    </w:p>
  </w:footnote>
  <w:footnote w:id="94">
    <w:p w14:paraId="6801A22E"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599, cuaderno 2 C.</w:t>
      </w:r>
    </w:p>
  </w:footnote>
  <w:footnote w:id="95">
    <w:p w14:paraId="21B7BC4B"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931 y 932, cuaderno 2 C.</w:t>
      </w:r>
    </w:p>
  </w:footnote>
  <w:footnote w:id="96">
    <w:p w14:paraId="20BF4D35"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933 y 934, cuaderno 2 C.</w:t>
      </w:r>
    </w:p>
  </w:footnote>
  <w:footnote w:id="97">
    <w:p w14:paraId="6601BA6D"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Folios 935 y 936, cuaderno 2 C.</w:t>
      </w:r>
    </w:p>
  </w:footnote>
  <w:footnote w:id="98">
    <w:p w14:paraId="6B59CF12"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937, cuaderno 2 C.</w:t>
      </w:r>
    </w:p>
  </w:footnote>
  <w:footnote w:id="99">
    <w:p w14:paraId="6F69DFD2"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596, cuaderno 2 C.</w:t>
      </w:r>
    </w:p>
  </w:footnote>
  <w:footnote w:id="100">
    <w:p w14:paraId="4BBC65E9"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639, cuaderno 2 C.</w:t>
      </w:r>
    </w:p>
  </w:footnote>
  <w:footnote w:id="101">
    <w:p w14:paraId="159E87C5"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Folio 943 y 944, cuaderno 2 C.</w:t>
      </w:r>
    </w:p>
  </w:footnote>
  <w:footnote w:id="102">
    <w:p w14:paraId="7DCB4829"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627, cuaderno 2 C.</w:t>
      </w:r>
    </w:p>
  </w:footnote>
  <w:footnote w:id="103">
    <w:p w14:paraId="7A9C448D" w14:textId="77777777" w:rsidR="004B2BBA" w:rsidRPr="0057353C" w:rsidRDefault="004B2BBA" w:rsidP="00522EDD">
      <w:pPr>
        <w:pStyle w:val="Textonotapie"/>
        <w:spacing w:line="240" w:lineRule="auto"/>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629, cuaderno 2 C.</w:t>
      </w:r>
    </w:p>
  </w:footnote>
  <w:footnote w:id="104">
    <w:p w14:paraId="57FED892"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308, cuaderno 2 A.</w:t>
      </w:r>
    </w:p>
  </w:footnote>
  <w:footnote w:id="105">
    <w:p w14:paraId="66C742E9"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1401, cuaderno 2 D.</w:t>
      </w:r>
    </w:p>
  </w:footnote>
  <w:footnote w:id="106">
    <w:p w14:paraId="055ED7BD"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Folio 1103, cuaderno 2 C.</w:t>
      </w:r>
    </w:p>
  </w:footnote>
  <w:footnote w:id="107">
    <w:p w14:paraId="22872123" w14:textId="77777777" w:rsidR="004B2BBA" w:rsidRPr="0057353C" w:rsidRDefault="004B2BBA">
      <w:pPr>
        <w:pStyle w:val="Textonotapie"/>
        <w:rPr>
          <w:rFonts w:cs="Arial"/>
          <w:lang w:val="es-CO"/>
        </w:rPr>
      </w:pPr>
      <w:r w:rsidRPr="0057353C">
        <w:rPr>
          <w:rStyle w:val="Refdenotaalpie"/>
          <w:rFonts w:cs="Arial"/>
        </w:rPr>
        <w:footnoteRef/>
      </w:r>
      <w:r w:rsidRPr="0057353C">
        <w:rPr>
          <w:rFonts w:cs="Arial"/>
        </w:rPr>
        <w:t xml:space="preserve"> </w:t>
      </w:r>
      <w:r w:rsidRPr="0057353C">
        <w:rPr>
          <w:rFonts w:cs="Arial"/>
          <w:lang w:val="es-CO"/>
        </w:rPr>
        <w:t>Los hechos en este proceso son anteriores a la expedición de la  Ley 1150 de 2007.</w:t>
      </w:r>
    </w:p>
  </w:footnote>
  <w:footnote w:id="108">
    <w:p w14:paraId="350F0D63" w14:textId="77777777" w:rsidR="004B2BBA" w:rsidRPr="0057353C" w:rsidRDefault="004B2BBA" w:rsidP="004A7A28">
      <w:pPr>
        <w:pStyle w:val="Textonotapie"/>
        <w:spacing w:line="240" w:lineRule="auto"/>
        <w:rPr>
          <w:rFonts w:cs="Arial"/>
          <w:lang w:val="es-MX"/>
        </w:rPr>
      </w:pPr>
      <w:r w:rsidRPr="0057353C">
        <w:rPr>
          <w:rStyle w:val="Refdenotaalpie"/>
          <w:rFonts w:cs="Arial"/>
        </w:rPr>
        <w:footnoteRef/>
      </w:r>
      <w:r w:rsidRPr="0057353C">
        <w:rPr>
          <w:rFonts w:cs="Arial"/>
        </w:rPr>
        <w:t xml:space="preserve"> </w:t>
      </w:r>
      <w:r w:rsidRPr="0057353C">
        <w:rPr>
          <w:rFonts w:cs="Arial"/>
          <w:lang w:val="es-MX"/>
        </w:rPr>
        <w:t>Para la época de la Licitación Pública 001 de 1997 no se había expedido el artículo 4 del Decreto 2170 de 2002, luego anulado; ni tampoco existía la disposición contenida en el artículo 5 de Ley 1150 de 2007, bajo la cual: “</w:t>
      </w:r>
      <w:r w:rsidRPr="0057353C">
        <w:rPr>
          <w:rFonts w:cs="Arial"/>
          <w:i/>
          <w:color w:val="000000"/>
          <w:shd w:val="clear" w:color="auto" w:fill="FFFFFF"/>
        </w:rPr>
        <w:t>La capacidad jurídica y las condiciones de experiencia, capacidad financiera y de organización de los proponentes</w:t>
      </w:r>
      <w:r w:rsidRPr="0057353C">
        <w:rPr>
          <w:rStyle w:val="apple-converted-space"/>
          <w:rFonts w:cs="Arial"/>
          <w:i/>
          <w:color w:val="000000"/>
          <w:shd w:val="clear" w:color="auto" w:fill="FFFFFF"/>
        </w:rPr>
        <w:t> </w:t>
      </w:r>
      <w:r w:rsidRPr="0057353C">
        <w:rPr>
          <w:rFonts w:cs="Arial"/>
          <w:i/>
          <w:color w:val="000000"/>
          <w:shd w:val="clear" w:color="auto" w:fill="FFFFFF"/>
        </w:rPr>
        <w:t>serán objeto de verificación de cumplimiento como requisitos habilitantes para la participación en el proceso de selección</w:t>
      </w:r>
      <w:r w:rsidRPr="0057353C">
        <w:rPr>
          <w:rStyle w:val="apple-converted-space"/>
          <w:rFonts w:cs="Arial"/>
          <w:i/>
          <w:color w:val="000000"/>
          <w:shd w:val="clear" w:color="auto" w:fill="FFFFFF"/>
        </w:rPr>
        <w:t> </w:t>
      </w:r>
      <w:r w:rsidRPr="0057353C">
        <w:rPr>
          <w:rFonts w:cs="Arial"/>
          <w:i/>
          <w:color w:val="000000"/>
          <w:shd w:val="clear" w:color="auto" w:fill="FFFFFF"/>
        </w:rPr>
        <w:t>y no otorgarán puntaje”.</w:t>
      </w:r>
      <w:r w:rsidRPr="0057353C">
        <w:rPr>
          <w:rFonts w:cs="Arial"/>
          <w:color w:val="000000"/>
          <w:shd w:val="clear" w:color="auto" w:fill="FFFFFF"/>
        </w:rPr>
        <w:t xml:space="preserve"> </w:t>
      </w:r>
      <w:r w:rsidRPr="0057353C">
        <w:rPr>
          <w:rFonts w:cs="Arial"/>
          <w:lang w:val="es-MX"/>
        </w:rPr>
        <w:t xml:space="preserve">En el estado de la legislación vigente para la fecha en que se adjudicó el contrato </w:t>
      </w:r>
      <w:r w:rsidRPr="0057353C">
        <w:rPr>
          <w:rFonts w:cs="Arial"/>
          <w:i/>
          <w:lang w:val="es-MX"/>
        </w:rPr>
        <w:t>sub lite,</w:t>
      </w:r>
      <w:r w:rsidRPr="0057353C">
        <w:rPr>
          <w:rFonts w:cs="Arial"/>
          <w:lang w:val="es-MX"/>
        </w:rPr>
        <w:t xml:space="preserve"> no se restringía la libertad de configuración del pliego de condiciones, en cuanto a la posibilidad de asignar puntaje a los requisitos de capacidad financiera, al amparo de la descripción no taxativa de los factores de selección objetiva que contenía el artículo 29 de la Ley 80 de 1993, posteriormente derogado por la Ley 1150 de 2007.</w:t>
      </w:r>
    </w:p>
    <w:p w14:paraId="1D81685B" w14:textId="77777777" w:rsidR="004B2BBA" w:rsidRPr="0057353C" w:rsidRDefault="004B2BBA" w:rsidP="004A7A28">
      <w:pPr>
        <w:pStyle w:val="Textonotapie"/>
        <w:spacing w:line="240" w:lineRule="auto"/>
        <w:rPr>
          <w:rFonts w:cs="Arial"/>
          <w:lang w:val="es-MX"/>
        </w:rPr>
      </w:pPr>
    </w:p>
  </w:footnote>
  <w:footnote w:id="109">
    <w:p w14:paraId="088D394A" w14:textId="77777777" w:rsidR="004B2BBA" w:rsidRPr="0057353C" w:rsidRDefault="004B2BBA" w:rsidP="00077FD0">
      <w:pPr>
        <w:pStyle w:val="Textonotapie"/>
        <w:spacing w:line="240" w:lineRule="auto"/>
        <w:rPr>
          <w:rFonts w:cs="Arial"/>
          <w:i/>
        </w:rPr>
      </w:pPr>
      <w:r w:rsidRPr="0057353C">
        <w:rPr>
          <w:rStyle w:val="Refdenotaalpie"/>
          <w:rFonts w:cs="Arial"/>
        </w:rPr>
        <w:footnoteRef/>
      </w:r>
      <w:r w:rsidRPr="0057353C">
        <w:rPr>
          <w:rFonts w:cs="Arial"/>
        </w:rPr>
        <w:t xml:space="preserve"> </w:t>
      </w:r>
      <w:bookmarkStart w:id="7" w:name="23"/>
      <w:r w:rsidRPr="0057353C">
        <w:rPr>
          <w:rFonts w:cs="Arial"/>
        </w:rPr>
        <w:t>“</w:t>
      </w:r>
      <w:r w:rsidRPr="0057353C">
        <w:rPr>
          <w:rFonts w:cs="Arial"/>
          <w:bCs/>
          <w:i/>
        </w:rPr>
        <w:t>Artículo 23. De los Principios en las Actuaciones Contractuales de las Entidades Estatales.</w:t>
      </w:r>
      <w:bookmarkEnd w:id="7"/>
      <w:r w:rsidRPr="0057353C">
        <w:rPr>
          <w:rStyle w:val="apple-converted-space"/>
          <w:rFonts w:cs="Arial"/>
          <w:i/>
        </w:rPr>
        <w:t> </w:t>
      </w:r>
      <w:r w:rsidRPr="0057353C">
        <w:rPr>
          <w:rFonts w:cs="Arial"/>
          <w:i/>
        </w:rPr>
        <w:t>Las actuaciones de quienes intervengan en la contratación estatal se desarrollarán con arreglo a los principios de transparencia, economía y responsabilidad y de conformidad con los postulados que rigen la función administrativa. Igualmente, se aplicarán en las mismas las normas que regulan la conducta de los servidores públicos, las reglas de interpretación de la contratación, los principios generales del derecho y los particulares del derecho administrativo”.</w:t>
      </w:r>
    </w:p>
    <w:p w14:paraId="2CDB7146" w14:textId="77777777" w:rsidR="004B2BBA" w:rsidRPr="0057353C" w:rsidRDefault="004B2BBA" w:rsidP="00077FD0">
      <w:pPr>
        <w:pStyle w:val="Textonotapie"/>
        <w:spacing w:line="240" w:lineRule="auto"/>
        <w:rPr>
          <w:rFonts w:cs="Arial"/>
          <w:i/>
        </w:rPr>
      </w:pPr>
    </w:p>
    <w:p w14:paraId="79955667" w14:textId="77777777" w:rsidR="004B2BBA" w:rsidRPr="0057353C" w:rsidRDefault="004B2BBA" w:rsidP="00077FD0">
      <w:pPr>
        <w:pStyle w:val="Textonotapie"/>
        <w:spacing w:line="240" w:lineRule="auto"/>
        <w:rPr>
          <w:rFonts w:cs="Arial"/>
          <w:lang w:val="es-MX"/>
        </w:rPr>
      </w:pPr>
      <w:r w:rsidRPr="0057353C">
        <w:rPr>
          <w:rFonts w:cs="Arial"/>
          <w:bCs/>
          <w:i/>
        </w:rPr>
        <w:t>“Artículo 28. De la Interpretación de las reglas contractuales.</w:t>
      </w:r>
      <w:r w:rsidRPr="0057353C">
        <w:rPr>
          <w:rStyle w:val="apple-converted-space"/>
          <w:rFonts w:cs="Arial"/>
          <w:i/>
        </w:rPr>
        <w:t> </w:t>
      </w:r>
      <w:r w:rsidRPr="0057353C">
        <w:rPr>
          <w:rFonts w:cs="Arial"/>
          <w:i/>
        </w:rPr>
        <w:t>En la interpretación de las normas sobre contratos estatales,</w:t>
      </w:r>
      <w:r w:rsidRPr="0057353C">
        <w:rPr>
          <w:rStyle w:val="apple-converted-space"/>
          <w:rFonts w:cs="Arial"/>
          <w:i/>
        </w:rPr>
        <w:t> </w:t>
      </w:r>
      <w:r w:rsidRPr="0057353C">
        <w:rPr>
          <w:rFonts w:cs="Arial"/>
          <w:i/>
        </w:rPr>
        <w:t>relativas a procedimientos de selección y escogencia de contratistas</w:t>
      </w:r>
      <w:r w:rsidRPr="0057353C">
        <w:rPr>
          <w:rStyle w:val="apple-converted-space"/>
          <w:rFonts w:cs="Arial"/>
          <w:i/>
        </w:rPr>
        <w:t> </w:t>
      </w:r>
      <w:r w:rsidRPr="0057353C">
        <w:rPr>
          <w:rFonts w:cs="Arial"/>
          <w:i/>
        </w:rPr>
        <w:t>y en la de las cláusulas y estipulaciones de los contratos, se tendrá en consideración los fines y los principios de que trata esta ley, los mandatos de la buena fe y la igualdad y equilibrio entre prestaciones y derechos que caracteriza a los contratos conmutativo”.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83486" w14:textId="77777777" w:rsidR="004B2BBA" w:rsidRDefault="004B2BBA" w:rsidP="00643457">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0A3C0D6" w14:textId="77777777" w:rsidR="004B2BBA" w:rsidRDefault="004B2BBA" w:rsidP="00643457">
    <w:pPr>
      <w:pStyle w:val="Encabezado"/>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547"/>
    <w:multiLevelType w:val="hybridMultilevel"/>
    <w:tmpl w:val="7EA89656"/>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590" w:hanging="360"/>
      </w:pPr>
      <w:rPr>
        <w:rFonts w:ascii="Courier New" w:hAnsi="Courier New" w:cs="Courier New" w:hint="default"/>
      </w:rPr>
    </w:lvl>
    <w:lvl w:ilvl="2" w:tplc="0C0A0005" w:tentative="1">
      <w:start w:val="1"/>
      <w:numFmt w:val="bullet"/>
      <w:lvlText w:val=""/>
      <w:lvlJc w:val="left"/>
      <w:pPr>
        <w:ind w:left="2310" w:hanging="360"/>
      </w:pPr>
      <w:rPr>
        <w:rFonts w:ascii="Wingdings" w:hAnsi="Wingdings" w:hint="default"/>
      </w:rPr>
    </w:lvl>
    <w:lvl w:ilvl="3" w:tplc="0C0A0001" w:tentative="1">
      <w:start w:val="1"/>
      <w:numFmt w:val="bullet"/>
      <w:lvlText w:val=""/>
      <w:lvlJc w:val="left"/>
      <w:pPr>
        <w:ind w:left="3030" w:hanging="360"/>
      </w:pPr>
      <w:rPr>
        <w:rFonts w:ascii="Symbol" w:hAnsi="Symbol" w:hint="default"/>
      </w:rPr>
    </w:lvl>
    <w:lvl w:ilvl="4" w:tplc="0C0A0003" w:tentative="1">
      <w:start w:val="1"/>
      <w:numFmt w:val="bullet"/>
      <w:lvlText w:val="o"/>
      <w:lvlJc w:val="left"/>
      <w:pPr>
        <w:ind w:left="3750" w:hanging="360"/>
      </w:pPr>
      <w:rPr>
        <w:rFonts w:ascii="Courier New" w:hAnsi="Courier New" w:cs="Courier New" w:hint="default"/>
      </w:rPr>
    </w:lvl>
    <w:lvl w:ilvl="5" w:tplc="0C0A0005" w:tentative="1">
      <w:start w:val="1"/>
      <w:numFmt w:val="bullet"/>
      <w:lvlText w:val=""/>
      <w:lvlJc w:val="left"/>
      <w:pPr>
        <w:ind w:left="4470" w:hanging="360"/>
      </w:pPr>
      <w:rPr>
        <w:rFonts w:ascii="Wingdings" w:hAnsi="Wingdings" w:hint="default"/>
      </w:rPr>
    </w:lvl>
    <w:lvl w:ilvl="6" w:tplc="0C0A0001" w:tentative="1">
      <w:start w:val="1"/>
      <w:numFmt w:val="bullet"/>
      <w:lvlText w:val=""/>
      <w:lvlJc w:val="left"/>
      <w:pPr>
        <w:ind w:left="5190" w:hanging="360"/>
      </w:pPr>
      <w:rPr>
        <w:rFonts w:ascii="Symbol" w:hAnsi="Symbol" w:hint="default"/>
      </w:rPr>
    </w:lvl>
    <w:lvl w:ilvl="7" w:tplc="0C0A0003" w:tentative="1">
      <w:start w:val="1"/>
      <w:numFmt w:val="bullet"/>
      <w:lvlText w:val="o"/>
      <w:lvlJc w:val="left"/>
      <w:pPr>
        <w:ind w:left="5910" w:hanging="360"/>
      </w:pPr>
      <w:rPr>
        <w:rFonts w:ascii="Courier New" w:hAnsi="Courier New" w:cs="Courier New" w:hint="default"/>
      </w:rPr>
    </w:lvl>
    <w:lvl w:ilvl="8" w:tplc="0C0A0005" w:tentative="1">
      <w:start w:val="1"/>
      <w:numFmt w:val="bullet"/>
      <w:lvlText w:val=""/>
      <w:lvlJc w:val="left"/>
      <w:pPr>
        <w:ind w:left="6630" w:hanging="360"/>
      </w:pPr>
      <w:rPr>
        <w:rFonts w:ascii="Wingdings" w:hAnsi="Wingdings" w:hint="default"/>
      </w:rPr>
    </w:lvl>
  </w:abstractNum>
  <w:abstractNum w:abstractNumId="1" w15:restartNumberingAfterBreak="0">
    <w:nsid w:val="06947C2B"/>
    <w:multiLevelType w:val="hybridMultilevel"/>
    <w:tmpl w:val="B95C995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7737DCE"/>
    <w:multiLevelType w:val="hybridMultilevel"/>
    <w:tmpl w:val="5972CD9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 w15:restartNumberingAfterBreak="0">
    <w:nsid w:val="0C281A55"/>
    <w:multiLevelType w:val="hybridMultilevel"/>
    <w:tmpl w:val="BB6E18A4"/>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4" w15:restartNumberingAfterBreak="0">
    <w:nsid w:val="15451D36"/>
    <w:multiLevelType w:val="hybridMultilevel"/>
    <w:tmpl w:val="C9DCBB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3F724E"/>
    <w:multiLevelType w:val="hybridMultilevel"/>
    <w:tmpl w:val="0BB8EEF4"/>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15:restartNumberingAfterBreak="0">
    <w:nsid w:val="18582982"/>
    <w:multiLevelType w:val="hybridMultilevel"/>
    <w:tmpl w:val="3D9C1894"/>
    <w:lvl w:ilvl="0" w:tplc="0C0A0001">
      <w:start w:val="1"/>
      <w:numFmt w:val="bullet"/>
      <w:lvlText w:val=""/>
      <w:lvlJc w:val="left"/>
      <w:pPr>
        <w:ind w:left="2007" w:hanging="360"/>
      </w:pPr>
      <w:rPr>
        <w:rFonts w:ascii="Symbol" w:hAnsi="Symbol" w:hint="default"/>
      </w:rPr>
    </w:lvl>
    <w:lvl w:ilvl="1" w:tplc="0C0A0003" w:tentative="1">
      <w:start w:val="1"/>
      <w:numFmt w:val="bullet"/>
      <w:lvlText w:val="o"/>
      <w:lvlJc w:val="left"/>
      <w:pPr>
        <w:ind w:left="2727" w:hanging="360"/>
      </w:pPr>
      <w:rPr>
        <w:rFonts w:ascii="Courier New" w:hAnsi="Courier New" w:cs="Courier New" w:hint="default"/>
      </w:rPr>
    </w:lvl>
    <w:lvl w:ilvl="2" w:tplc="0C0A0005" w:tentative="1">
      <w:start w:val="1"/>
      <w:numFmt w:val="bullet"/>
      <w:lvlText w:val=""/>
      <w:lvlJc w:val="left"/>
      <w:pPr>
        <w:ind w:left="3447" w:hanging="360"/>
      </w:pPr>
      <w:rPr>
        <w:rFonts w:ascii="Wingdings" w:hAnsi="Wingdings" w:hint="default"/>
      </w:rPr>
    </w:lvl>
    <w:lvl w:ilvl="3" w:tplc="0C0A0001" w:tentative="1">
      <w:start w:val="1"/>
      <w:numFmt w:val="bullet"/>
      <w:lvlText w:val=""/>
      <w:lvlJc w:val="left"/>
      <w:pPr>
        <w:ind w:left="4167" w:hanging="360"/>
      </w:pPr>
      <w:rPr>
        <w:rFonts w:ascii="Symbol" w:hAnsi="Symbol" w:hint="default"/>
      </w:rPr>
    </w:lvl>
    <w:lvl w:ilvl="4" w:tplc="0C0A0003" w:tentative="1">
      <w:start w:val="1"/>
      <w:numFmt w:val="bullet"/>
      <w:lvlText w:val="o"/>
      <w:lvlJc w:val="left"/>
      <w:pPr>
        <w:ind w:left="4887" w:hanging="360"/>
      </w:pPr>
      <w:rPr>
        <w:rFonts w:ascii="Courier New" w:hAnsi="Courier New" w:cs="Courier New" w:hint="default"/>
      </w:rPr>
    </w:lvl>
    <w:lvl w:ilvl="5" w:tplc="0C0A0005" w:tentative="1">
      <w:start w:val="1"/>
      <w:numFmt w:val="bullet"/>
      <w:lvlText w:val=""/>
      <w:lvlJc w:val="left"/>
      <w:pPr>
        <w:ind w:left="5607" w:hanging="360"/>
      </w:pPr>
      <w:rPr>
        <w:rFonts w:ascii="Wingdings" w:hAnsi="Wingdings" w:hint="default"/>
      </w:rPr>
    </w:lvl>
    <w:lvl w:ilvl="6" w:tplc="0C0A0001" w:tentative="1">
      <w:start w:val="1"/>
      <w:numFmt w:val="bullet"/>
      <w:lvlText w:val=""/>
      <w:lvlJc w:val="left"/>
      <w:pPr>
        <w:ind w:left="6327" w:hanging="360"/>
      </w:pPr>
      <w:rPr>
        <w:rFonts w:ascii="Symbol" w:hAnsi="Symbol" w:hint="default"/>
      </w:rPr>
    </w:lvl>
    <w:lvl w:ilvl="7" w:tplc="0C0A0003" w:tentative="1">
      <w:start w:val="1"/>
      <w:numFmt w:val="bullet"/>
      <w:lvlText w:val="o"/>
      <w:lvlJc w:val="left"/>
      <w:pPr>
        <w:ind w:left="7047" w:hanging="360"/>
      </w:pPr>
      <w:rPr>
        <w:rFonts w:ascii="Courier New" w:hAnsi="Courier New" w:cs="Courier New" w:hint="default"/>
      </w:rPr>
    </w:lvl>
    <w:lvl w:ilvl="8" w:tplc="0C0A0005" w:tentative="1">
      <w:start w:val="1"/>
      <w:numFmt w:val="bullet"/>
      <w:lvlText w:val=""/>
      <w:lvlJc w:val="left"/>
      <w:pPr>
        <w:ind w:left="7767" w:hanging="360"/>
      </w:pPr>
      <w:rPr>
        <w:rFonts w:ascii="Wingdings" w:hAnsi="Wingdings" w:hint="default"/>
      </w:rPr>
    </w:lvl>
  </w:abstractNum>
  <w:abstractNum w:abstractNumId="7" w15:restartNumberingAfterBreak="0">
    <w:nsid w:val="19ED53C0"/>
    <w:multiLevelType w:val="multilevel"/>
    <w:tmpl w:val="C9066EBC"/>
    <w:lvl w:ilvl="0">
      <w:start w:val="1"/>
      <w:numFmt w:val="decimal"/>
      <w:lvlText w:val="%1."/>
      <w:lvlJc w:val="left"/>
      <w:pPr>
        <w:ind w:left="720" w:hanging="360"/>
      </w:pPr>
      <w:rPr>
        <w:rFonts w:cs="Arial"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D89442E"/>
    <w:multiLevelType w:val="hybridMultilevel"/>
    <w:tmpl w:val="9D34530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261E49"/>
    <w:multiLevelType w:val="hybridMultilevel"/>
    <w:tmpl w:val="75D4C5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7645DF7"/>
    <w:multiLevelType w:val="hybridMultilevel"/>
    <w:tmpl w:val="1AD0F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7C906FD"/>
    <w:multiLevelType w:val="hybridMultilevel"/>
    <w:tmpl w:val="7EB4414A"/>
    <w:lvl w:ilvl="0" w:tplc="9C504814">
      <w:start w:val="1"/>
      <w:numFmt w:val="lowerRoman"/>
      <w:lvlText w:val="%1)"/>
      <w:lvlJc w:val="left"/>
      <w:pPr>
        <w:ind w:left="1143" w:hanging="720"/>
      </w:pPr>
      <w:rPr>
        <w:rFonts w:hint="default"/>
        <w:b/>
      </w:rPr>
    </w:lvl>
    <w:lvl w:ilvl="1" w:tplc="0C0A0019" w:tentative="1">
      <w:start w:val="1"/>
      <w:numFmt w:val="lowerLetter"/>
      <w:lvlText w:val="%2."/>
      <w:lvlJc w:val="left"/>
      <w:pPr>
        <w:ind w:left="1503" w:hanging="360"/>
      </w:pPr>
    </w:lvl>
    <w:lvl w:ilvl="2" w:tplc="0C0A001B" w:tentative="1">
      <w:start w:val="1"/>
      <w:numFmt w:val="lowerRoman"/>
      <w:lvlText w:val="%3."/>
      <w:lvlJc w:val="right"/>
      <w:pPr>
        <w:ind w:left="2223" w:hanging="180"/>
      </w:pPr>
    </w:lvl>
    <w:lvl w:ilvl="3" w:tplc="0C0A000F" w:tentative="1">
      <w:start w:val="1"/>
      <w:numFmt w:val="decimal"/>
      <w:lvlText w:val="%4."/>
      <w:lvlJc w:val="left"/>
      <w:pPr>
        <w:ind w:left="2943" w:hanging="360"/>
      </w:pPr>
    </w:lvl>
    <w:lvl w:ilvl="4" w:tplc="0C0A0019" w:tentative="1">
      <w:start w:val="1"/>
      <w:numFmt w:val="lowerLetter"/>
      <w:lvlText w:val="%5."/>
      <w:lvlJc w:val="left"/>
      <w:pPr>
        <w:ind w:left="3663" w:hanging="360"/>
      </w:pPr>
    </w:lvl>
    <w:lvl w:ilvl="5" w:tplc="0C0A001B" w:tentative="1">
      <w:start w:val="1"/>
      <w:numFmt w:val="lowerRoman"/>
      <w:lvlText w:val="%6."/>
      <w:lvlJc w:val="right"/>
      <w:pPr>
        <w:ind w:left="4383" w:hanging="180"/>
      </w:pPr>
    </w:lvl>
    <w:lvl w:ilvl="6" w:tplc="0C0A000F" w:tentative="1">
      <w:start w:val="1"/>
      <w:numFmt w:val="decimal"/>
      <w:lvlText w:val="%7."/>
      <w:lvlJc w:val="left"/>
      <w:pPr>
        <w:ind w:left="5103" w:hanging="360"/>
      </w:pPr>
    </w:lvl>
    <w:lvl w:ilvl="7" w:tplc="0C0A0019" w:tentative="1">
      <w:start w:val="1"/>
      <w:numFmt w:val="lowerLetter"/>
      <w:lvlText w:val="%8."/>
      <w:lvlJc w:val="left"/>
      <w:pPr>
        <w:ind w:left="5823" w:hanging="360"/>
      </w:pPr>
    </w:lvl>
    <w:lvl w:ilvl="8" w:tplc="0C0A001B" w:tentative="1">
      <w:start w:val="1"/>
      <w:numFmt w:val="lowerRoman"/>
      <w:lvlText w:val="%9."/>
      <w:lvlJc w:val="right"/>
      <w:pPr>
        <w:ind w:left="6543" w:hanging="180"/>
      </w:pPr>
    </w:lvl>
  </w:abstractNum>
  <w:abstractNum w:abstractNumId="12" w15:restartNumberingAfterBreak="0">
    <w:nsid w:val="28447A58"/>
    <w:multiLevelType w:val="hybridMultilevel"/>
    <w:tmpl w:val="C040F5C0"/>
    <w:lvl w:ilvl="0" w:tplc="0C0A000F">
      <w:start w:val="1"/>
      <w:numFmt w:val="decimal"/>
      <w:lvlText w:val="%1."/>
      <w:lvlJc w:val="left"/>
      <w:pPr>
        <w:ind w:left="1003" w:hanging="360"/>
      </w:pPr>
    </w:lvl>
    <w:lvl w:ilvl="1" w:tplc="0C0A0019" w:tentative="1">
      <w:start w:val="1"/>
      <w:numFmt w:val="lowerLetter"/>
      <w:lvlText w:val="%2."/>
      <w:lvlJc w:val="left"/>
      <w:pPr>
        <w:ind w:left="1723" w:hanging="360"/>
      </w:pPr>
    </w:lvl>
    <w:lvl w:ilvl="2" w:tplc="0C0A001B" w:tentative="1">
      <w:start w:val="1"/>
      <w:numFmt w:val="lowerRoman"/>
      <w:lvlText w:val="%3."/>
      <w:lvlJc w:val="right"/>
      <w:pPr>
        <w:ind w:left="2443" w:hanging="180"/>
      </w:pPr>
    </w:lvl>
    <w:lvl w:ilvl="3" w:tplc="0C0A000F" w:tentative="1">
      <w:start w:val="1"/>
      <w:numFmt w:val="decimal"/>
      <w:lvlText w:val="%4."/>
      <w:lvlJc w:val="left"/>
      <w:pPr>
        <w:ind w:left="3163" w:hanging="360"/>
      </w:pPr>
    </w:lvl>
    <w:lvl w:ilvl="4" w:tplc="0C0A0019" w:tentative="1">
      <w:start w:val="1"/>
      <w:numFmt w:val="lowerLetter"/>
      <w:lvlText w:val="%5."/>
      <w:lvlJc w:val="left"/>
      <w:pPr>
        <w:ind w:left="3883" w:hanging="360"/>
      </w:pPr>
    </w:lvl>
    <w:lvl w:ilvl="5" w:tplc="0C0A001B" w:tentative="1">
      <w:start w:val="1"/>
      <w:numFmt w:val="lowerRoman"/>
      <w:lvlText w:val="%6."/>
      <w:lvlJc w:val="right"/>
      <w:pPr>
        <w:ind w:left="4603" w:hanging="180"/>
      </w:pPr>
    </w:lvl>
    <w:lvl w:ilvl="6" w:tplc="0C0A000F" w:tentative="1">
      <w:start w:val="1"/>
      <w:numFmt w:val="decimal"/>
      <w:lvlText w:val="%7."/>
      <w:lvlJc w:val="left"/>
      <w:pPr>
        <w:ind w:left="5323" w:hanging="360"/>
      </w:pPr>
    </w:lvl>
    <w:lvl w:ilvl="7" w:tplc="0C0A0019" w:tentative="1">
      <w:start w:val="1"/>
      <w:numFmt w:val="lowerLetter"/>
      <w:lvlText w:val="%8."/>
      <w:lvlJc w:val="left"/>
      <w:pPr>
        <w:ind w:left="6043" w:hanging="360"/>
      </w:pPr>
    </w:lvl>
    <w:lvl w:ilvl="8" w:tplc="0C0A001B" w:tentative="1">
      <w:start w:val="1"/>
      <w:numFmt w:val="lowerRoman"/>
      <w:lvlText w:val="%9."/>
      <w:lvlJc w:val="right"/>
      <w:pPr>
        <w:ind w:left="6763" w:hanging="180"/>
      </w:pPr>
    </w:lvl>
  </w:abstractNum>
  <w:abstractNum w:abstractNumId="13" w15:restartNumberingAfterBreak="0">
    <w:nsid w:val="293E771A"/>
    <w:multiLevelType w:val="hybridMultilevel"/>
    <w:tmpl w:val="D92CFBF6"/>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4" w15:restartNumberingAfterBreak="0">
    <w:nsid w:val="2BC30EEC"/>
    <w:multiLevelType w:val="hybridMultilevel"/>
    <w:tmpl w:val="DAC205D0"/>
    <w:lvl w:ilvl="0" w:tplc="0C0A0001">
      <w:start w:val="1"/>
      <w:numFmt w:val="bullet"/>
      <w:lvlText w:val=""/>
      <w:lvlJc w:val="left"/>
      <w:pPr>
        <w:ind w:left="780" w:hanging="720"/>
      </w:pPr>
      <w:rPr>
        <w:rFonts w:ascii="Symbol" w:hAnsi="Symbol" w:hint="default"/>
        <w:b/>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5" w15:restartNumberingAfterBreak="0">
    <w:nsid w:val="2C1D0756"/>
    <w:multiLevelType w:val="hybridMultilevel"/>
    <w:tmpl w:val="70C8476C"/>
    <w:lvl w:ilvl="0" w:tplc="7076E286">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7E3314"/>
    <w:multiLevelType w:val="hybridMultilevel"/>
    <w:tmpl w:val="893EB3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8D17B47"/>
    <w:multiLevelType w:val="hybridMultilevel"/>
    <w:tmpl w:val="93BAAAF8"/>
    <w:lvl w:ilvl="0" w:tplc="9364FE8C">
      <w:start w:val="1"/>
      <w:numFmt w:val="lowerLetter"/>
      <w:lvlText w:val="%1)"/>
      <w:lvlJc w:val="left"/>
      <w:pPr>
        <w:ind w:left="1070" w:hanging="360"/>
      </w:pPr>
      <w:rPr>
        <w:rFonts w:hint="default"/>
        <w:b/>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15:restartNumberingAfterBreak="0">
    <w:nsid w:val="3BA44302"/>
    <w:multiLevelType w:val="multilevel"/>
    <w:tmpl w:val="DFA2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785D89"/>
    <w:multiLevelType w:val="hybridMultilevel"/>
    <w:tmpl w:val="4E22FE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3E283DC0"/>
    <w:multiLevelType w:val="hybridMultilevel"/>
    <w:tmpl w:val="41E8CDC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21" w15:restartNumberingAfterBreak="0">
    <w:nsid w:val="4A596EEA"/>
    <w:multiLevelType w:val="hybridMultilevel"/>
    <w:tmpl w:val="AABA10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890B2A"/>
    <w:multiLevelType w:val="hybridMultilevel"/>
    <w:tmpl w:val="F4BA21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F45CF7"/>
    <w:multiLevelType w:val="hybridMultilevel"/>
    <w:tmpl w:val="00981258"/>
    <w:lvl w:ilvl="0" w:tplc="30C2EBC0">
      <w:start w:val="1"/>
      <w:numFmt w:val="decimal"/>
      <w:lvlText w:val="%1."/>
      <w:lvlJc w:val="left"/>
      <w:pPr>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4" w15:restartNumberingAfterBreak="0">
    <w:nsid w:val="59EC70A7"/>
    <w:multiLevelType w:val="hybridMultilevel"/>
    <w:tmpl w:val="A3F45E50"/>
    <w:lvl w:ilvl="0" w:tplc="9C504814">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BE0615D"/>
    <w:multiLevelType w:val="hybridMultilevel"/>
    <w:tmpl w:val="DAA0C6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08238BE"/>
    <w:multiLevelType w:val="hybridMultilevel"/>
    <w:tmpl w:val="EA64874A"/>
    <w:lvl w:ilvl="0" w:tplc="C1C2AEA8">
      <w:start w:val="1"/>
      <w:numFmt w:val="low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7027534"/>
    <w:multiLevelType w:val="hybridMultilevel"/>
    <w:tmpl w:val="1ABE5F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2987FE7"/>
    <w:multiLevelType w:val="hybridMultilevel"/>
    <w:tmpl w:val="D65AE218"/>
    <w:lvl w:ilvl="0" w:tplc="726C084E">
      <w:start w:val="1"/>
      <w:numFmt w:val="decimal"/>
      <w:lvlText w:val="%1."/>
      <w:lvlJc w:val="left"/>
      <w:pPr>
        <w:ind w:left="720" w:hanging="360"/>
      </w:pPr>
      <w:rPr>
        <w:rFonts w:cs="Aria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BD9070F"/>
    <w:multiLevelType w:val="multilevel"/>
    <w:tmpl w:val="32A433B4"/>
    <w:lvl w:ilvl="0">
      <w:start w:val="4"/>
      <w:numFmt w:val="decimal"/>
      <w:lvlText w:val="%1."/>
      <w:lvlJc w:val="left"/>
      <w:pPr>
        <w:ind w:left="390" w:hanging="390"/>
      </w:pPr>
      <w:rPr>
        <w:sz w:val="24"/>
      </w:rPr>
    </w:lvl>
    <w:lvl w:ilvl="1">
      <w:start w:val="6"/>
      <w:numFmt w:val="decimal"/>
      <w:lvlText w:val="%1.%2."/>
      <w:lvlJc w:val="left"/>
      <w:pPr>
        <w:ind w:left="1004" w:hanging="720"/>
      </w:pPr>
      <w:rPr>
        <w:b/>
        <w:sz w:val="24"/>
      </w:rPr>
    </w:lvl>
    <w:lvl w:ilvl="2">
      <w:start w:val="1"/>
      <w:numFmt w:val="decimal"/>
      <w:lvlText w:val="%1.%2.%3."/>
      <w:lvlJc w:val="left"/>
      <w:pPr>
        <w:ind w:left="1288" w:hanging="720"/>
      </w:pPr>
      <w:rPr>
        <w:b/>
        <w:sz w:val="24"/>
      </w:rPr>
    </w:lvl>
    <w:lvl w:ilvl="3">
      <w:start w:val="1"/>
      <w:numFmt w:val="decimal"/>
      <w:lvlText w:val="%1.%2.%3.%4."/>
      <w:lvlJc w:val="left"/>
      <w:pPr>
        <w:ind w:left="1932" w:hanging="1080"/>
      </w:pPr>
      <w:rPr>
        <w:sz w:val="24"/>
      </w:rPr>
    </w:lvl>
    <w:lvl w:ilvl="4">
      <w:start w:val="1"/>
      <w:numFmt w:val="decimal"/>
      <w:lvlText w:val="%1.%2.%3.%4.%5."/>
      <w:lvlJc w:val="left"/>
      <w:pPr>
        <w:ind w:left="2216" w:hanging="1080"/>
      </w:pPr>
      <w:rPr>
        <w:sz w:val="24"/>
      </w:rPr>
    </w:lvl>
    <w:lvl w:ilvl="5">
      <w:start w:val="1"/>
      <w:numFmt w:val="decimal"/>
      <w:lvlText w:val="%1.%2.%3.%4.%5.%6."/>
      <w:lvlJc w:val="left"/>
      <w:pPr>
        <w:ind w:left="2860" w:hanging="1440"/>
      </w:pPr>
      <w:rPr>
        <w:sz w:val="24"/>
      </w:rPr>
    </w:lvl>
    <w:lvl w:ilvl="6">
      <w:start w:val="1"/>
      <w:numFmt w:val="decimal"/>
      <w:lvlText w:val="%1.%2.%3.%4.%5.%6.%7."/>
      <w:lvlJc w:val="left"/>
      <w:pPr>
        <w:ind w:left="3144" w:hanging="1440"/>
      </w:pPr>
      <w:rPr>
        <w:sz w:val="24"/>
      </w:rPr>
    </w:lvl>
    <w:lvl w:ilvl="7">
      <w:start w:val="1"/>
      <w:numFmt w:val="decimal"/>
      <w:lvlText w:val="%1.%2.%3.%4.%5.%6.%7.%8."/>
      <w:lvlJc w:val="left"/>
      <w:pPr>
        <w:ind w:left="3788" w:hanging="1800"/>
      </w:pPr>
      <w:rPr>
        <w:sz w:val="24"/>
      </w:rPr>
    </w:lvl>
    <w:lvl w:ilvl="8">
      <w:start w:val="1"/>
      <w:numFmt w:val="decimal"/>
      <w:lvlText w:val="%1.%2.%3.%4.%5.%6.%7.%8.%9."/>
      <w:lvlJc w:val="left"/>
      <w:pPr>
        <w:ind w:left="4072" w:hanging="1800"/>
      </w:pPr>
      <w:rPr>
        <w:sz w:val="24"/>
      </w:rPr>
    </w:lvl>
  </w:abstractNum>
  <w:num w:numId="1">
    <w:abstractNumId w:val="15"/>
  </w:num>
  <w:num w:numId="2">
    <w:abstractNumId w:val="26"/>
  </w:num>
  <w:num w:numId="3">
    <w:abstractNumId w:val="24"/>
  </w:num>
  <w:num w:numId="4">
    <w:abstractNumId w:val="11"/>
  </w:num>
  <w:num w:numId="5">
    <w:abstractNumId w:val="14"/>
  </w:num>
  <w:num w:numId="6">
    <w:abstractNumId w:val="4"/>
  </w:num>
  <w:num w:numId="7">
    <w:abstractNumId w:val="25"/>
  </w:num>
  <w:num w:numId="8">
    <w:abstractNumId w:val="5"/>
  </w:num>
  <w:num w:numId="9">
    <w:abstractNumId w:val="29"/>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8"/>
  </w:num>
  <w:num w:numId="12">
    <w:abstractNumId w:val="9"/>
  </w:num>
  <w:num w:numId="13">
    <w:abstractNumId w:val="5"/>
  </w:num>
  <w:num w:numId="14">
    <w:abstractNumId w:val="23"/>
  </w:num>
  <w:num w:numId="15">
    <w:abstractNumId w:val="3"/>
  </w:num>
  <w:num w:numId="16">
    <w:abstractNumId w:val="12"/>
  </w:num>
  <w:num w:numId="17">
    <w:abstractNumId w:val="7"/>
  </w:num>
  <w:num w:numId="18">
    <w:abstractNumId w:val="16"/>
  </w:num>
  <w:num w:numId="19">
    <w:abstractNumId w:val="22"/>
  </w:num>
  <w:num w:numId="20">
    <w:abstractNumId w:val="27"/>
  </w:num>
  <w:num w:numId="21">
    <w:abstractNumId w:val="19"/>
  </w:num>
  <w:num w:numId="22">
    <w:abstractNumId w:val="1"/>
  </w:num>
  <w:num w:numId="23">
    <w:abstractNumId w:val="20"/>
  </w:num>
  <w:num w:numId="24">
    <w:abstractNumId w:val="2"/>
  </w:num>
  <w:num w:numId="25">
    <w:abstractNumId w:val="6"/>
  </w:num>
  <w:num w:numId="26">
    <w:abstractNumId w:val="8"/>
  </w:num>
  <w:num w:numId="27">
    <w:abstractNumId w:val="17"/>
  </w:num>
  <w:num w:numId="28">
    <w:abstractNumId w:val="13"/>
  </w:num>
  <w:num w:numId="29">
    <w:abstractNumId w:val="10"/>
  </w:num>
  <w:num w:numId="30">
    <w:abstractNumId w:val="0"/>
  </w:num>
  <w:num w:numId="31">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gutterAtTop/>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395"/>
    <w:rsid w:val="000000F7"/>
    <w:rsid w:val="000004FE"/>
    <w:rsid w:val="00000528"/>
    <w:rsid w:val="00000610"/>
    <w:rsid w:val="0000071A"/>
    <w:rsid w:val="0000092F"/>
    <w:rsid w:val="00000F07"/>
    <w:rsid w:val="000012E0"/>
    <w:rsid w:val="00001679"/>
    <w:rsid w:val="0000193E"/>
    <w:rsid w:val="00001C09"/>
    <w:rsid w:val="00001C23"/>
    <w:rsid w:val="00001F90"/>
    <w:rsid w:val="00002764"/>
    <w:rsid w:val="00002E38"/>
    <w:rsid w:val="00003330"/>
    <w:rsid w:val="00003649"/>
    <w:rsid w:val="000036B8"/>
    <w:rsid w:val="000039FF"/>
    <w:rsid w:val="00003C47"/>
    <w:rsid w:val="00003D08"/>
    <w:rsid w:val="000041F0"/>
    <w:rsid w:val="00004616"/>
    <w:rsid w:val="000049E1"/>
    <w:rsid w:val="0000511F"/>
    <w:rsid w:val="00005BC3"/>
    <w:rsid w:val="000062F3"/>
    <w:rsid w:val="00006466"/>
    <w:rsid w:val="00006BE4"/>
    <w:rsid w:val="000072F1"/>
    <w:rsid w:val="00007C4A"/>
    <w:rsid w:val="00007CAE"/>
    <w:rsid w:val="00010098"/>
    <w:rsid w:val="00010466"/>
    <w:rsid w:val="000104E1"/>
    <w:rsid w:val="0001067B"/>
    <w:rsid w:val="000107A5"/>
    <w:rsid w:val="00010DB5"/>
    <w:rsid w:val="00012191"/>
    <w:rsid w:val="00012DB3"/>
    <w:rsid w:val="00013063"/>
    <w:rsid w:val="00013615"/>
    <w:rsid w:val="000136CE"/>
    <w:rsid w:val="00013C26"/>
    <w:rsid w:val="00013E02"/>
    <w:rsid w:val="00013EC4"/>
    <w:rsid w:val="00014013"/>
    <w:rsid w:val="00014595"/>
    <w:rsid w:val="000148A2"/>
    <w:rsid w:val="0001495C"/>
    <w:rsid w:val="000150BD"/>
    <w:rsid w:val="000151C6"/>
    <w:rsid w:val="000152A8"/>
    <w:rsid w:val="0001539B"/>
    <w:rsid w:val="0001540B"/>
    <w:rsid w:val="000155C2"/>
    <w:rsid w:val="00015BB2"/>
    <w:rsid w:val="00015C11"/>
    <w:rsid w:val="00016B27"/>
    <w:rsid w:val="00016B62"/>
    <w:rsid w:val="0001706A"/>
    <w:rsid w:val="000170A9"/>
    <w:rsid w:val="00017F4B"/>
    <w:rsid w:val="000203FE"/>
    <w:rsid w:val="00020AE9"/>
    <w:rsid w:val="00020F82"/>
    <w:rsid w:val="00021148"/>
    <w:rsid w:val="00021342"/>
    <w:rsid w:val="00021942"/>
    <w:rsid w:val="00021A58"/>
    <w:rsid w:val="000223BC"/>
    <w:rsid w:val="0002287B"/>
    <w:rsid w:val="0002326F"/>
    <w:rsid w:val="000232F7"/>
    <w:rsid w:val="0002353C"/>
    <w:rsid w:val="00023675"/>
    <w:rsid w:val="00023933"/>
    <w:rsid w:val="00023D97"/>
    <w:rsid w:val="00024457"/>
    <w:rsid w:val="000247CD"/>
    <w:rsid w:val="0002571A"/>
    <w:rsid w:val="00025A21"/>
    <w:rsid w:val="00025C0C"/>
    <w:rsid w:val="00025C7D"/>
    <w:rsid w:val="000260FB"/>
    <w:rsid w:val="000262BF"/>
    <w:rsid w:val="000263A9"/>
    <w:rsid w:val="000264FE"/>
    <w:rsid w:val="000265C0"/>
    <w:rsid w:val="00027837"/>
    <w:rsid w:val="0002797A"/>
    <w:rsid w:val="00027A49"/>
    <w:rsid w:val="0003004D"/>
    <w:rsid w:val="00030283"/>
    <w:rsid w:val="000302C0"/>
    <w:rsid w:val="00030B1A"/>
    <w:rsid w:val="00030C95"/>
    <w:rsid w:val="00031536"/>
    <w:rsid w:val="00031646"/>
    <w:rsid w:val="0003177A"/>
    <w:rsid w:val="00031F50"/>
    <w:rsid w:val="000320EB"/>
    <w:rsid w:val="000321D5"/>
    <w:rsid w:val="000323EA"/>
    <w:rsid w:val="00032C85"/>
    <w:rsid w:val="0003316F"/>
    <w:rsid w:val="00033185"/>
    <w:rsid w:val="000335CC"/>
    <w:rsid w:val="00033A87"/>
    <w:rsid w:val="00033E47"/>
    <w:rsid w:val="00033E59"/>
    <w:rsid w:val="00034270"/>
    <w:rsid w:val="00034796"/>
    <w:rsid w:val="000353CD"/>
    <w:rsid w:val="000357C9"/>
    <w:rsid w:val="00035DEC"/>
    <w:rsid w:val="0003632B"/>
    <w:rsid w:val="0003635B"/>
    <w:rsid w:val="000363FD"/>
    <w:rsid w:val="00036F1E"/>
    <w:rsid w:val="000400F3"/>
    <w:rsid w:val="00040808"/>
    <w:rsid w:val="00040A0A"/>
    <w:rsid w:val="00041150"/>
    <w:rsid w:val="00041167"/>
    <w:rsid w:val="000411C9"/>
    <w:rsid w:val="00041BC1"/>
    <w:rsid w:val="00041D8F"/>
    <w:rsid w:val="00042364"/>
    <w:rsid w:val="0004266C"/>
    <w:rsid w:val="00042AFC"/>
    <w:rsid w:val="000439A7"/>
    <w:rsid w:val="00043C20"/>
    <w:rsid w:val="000442CE"/>
    <w:rsid w:val="00044360"/>
    <w:rsid w:val="00044ABB"/>
    <w:rsid w:val="00044F75"/>
    <w:rsid w:val="0004539B"/>
    <w:rsid w:val="000454C0"/>
    <w:rsid w:val="00045C62"/>
    <w:rsid w:val="00045C63"/>
    <w:rsid w:val="00045DCF"/>
    <w:rsid w:val="00045FCB"/>
    <w:rsid w:val="000460C4"/>
    <w:rsid w:val="0004636C"/>
    <w:rsid w:val="00046708"/>
    <w:rsid w:val="0004675A"/>
    <w:rsid w:val="00047466"/>
    <w:rsid w:val="00047AFA"/>
    <w:rsid w:val="0005011E"/>
    <w:rsid w:val="00050A3E"/>
    <w:rsid w:val="00050CA0"/>
    <w:rsid w:val="00050E71"/>
    <w:rsid w:val="00050EC2"/>
    <w:rsid w:val="00051050"/>
    <w:rsid w:val="00051053"/>
    <w:rsid w:val="0005134F"/>
    <w:rsid w:val="0005135E"/>
    <w:rsid w:val="000519A7"/>
    <w:rsid w:val="00051B2B"/>
    <w:rsid w:val="000527C6"/>
    <w:rsid w:val="00052B55"/>
    <w:rsid w:val="00053041"/>
    <w:rsid w:val="0005334A"/>
    <w:rsid w:val="00053778"/>
    <w:rsid w:val="00054130"/>
    <w:rsid w:val="0005420C"/>
    <w:rsid w:val="00054863"/>
    <w:rsid w:val="00054E45"/>
    <w:rsid w:val="00055411"/>
    <w:rsid w:val="00055A2C"/>
    <w:rsid w:val="00056023"/>
    <w:rsid w:val="00056F8F"/>
    <w:rsid w:val="00056FF4"/>
    <w:rsid w:val="000570EE"/>
    <w:rsid w:val="0005739B"/>
    <w:rsid w:val="00057514"/>
    <w:rsid w:val="000600D4"/>
    <w:rsid w:val="00060231"/>
    <w:rsid w:val="0006047E"/>
    <w:rsid w:val="0006071E"/>
    <w:rsid w:val="00060962"/>
    <w:rsid w:val="00060A10"/>
    <w:rsid w:val="00060D51"/>
    <w:rsid w:val="00061160"/>
    <w:rsid w:val="00061169"/>
    <w:rsid w:val="00061758"/>
    <w:rsid w:val="000619AB"/>
    <w:rsid w:val="00062A8C"/>
    <w:rsid w:val="00062AE2"/>
    <w:rsid w:val="00062EC8"/>
    <w:rsid w:val="0006314A"/>
    <w:rsid w:val="00063601"/>
    <w:rsid w:val="00063833"/>
    <w:rsid w:val="00063FDB"/>
    <w:rsid w:val="00064173"/>
    <w:rsid w:val="000641E1"/>
    <w:rsid w:val="00064582"/>
    <w:rsid w:val="0006488A"/>
    <w:rsid w:val="00064D83"/>
    <w:rsid w:val="00064FE5"/>
    <w:rsid w:val="000657C5"/>
    <w:rsid w:val="00065E78"/>
    <w:rsid w:val="00066448"/>
    <w:rsid w:val="000701BA"/>
    <w:rsid w:val="000705E6"/>
    <w:rsid w:val="000708AE"/>
    <w:rsid w:val="00070FC0"/>
    <w:rsid w:val="00071336"/>
    <w:rsid w:val="00071BC7"/>
    <w:rsid w:val="00071DAB"/>
    <w:rsid w:val="000722F8"/>
    <w:rsid w:val="0007265F"/>
    <w:rsid w:val="00073360"/>
    <w:rsid w:val="0007367B"/>
    <w:rsid w:val="000739F5"/>
    <w:rsid w:val="00073C49"/>
    <w:rsid w:val="00073DB3"/>
    <w:rsid w:val="000745CE"/>
    <w:rsid w:val="00074770"/>
    <w:rsid w:val="00074C0F"/>
    <w:rsid w:val="00074C56"/>
    <w:rsid w:val="0007558A"/>
    <w:rsid w:val="0007560E"/>
    <w:rsid w:val="00075779"/>
    <w:rsid w:val="00075DF6"/>
    <w:rsid w:val="0007608D"/>
    <w:rsid w:val="00076631"/>
    <w:rsid w:val="0007667D"/>
    <w:rsid w:val="00076AFF"/>
    <w:rsid w:val="000774D0"/>
    <w:rsid w:val="000775AE"/>
    <w:rsid w:val="0007792C"/>
    <w:rsid w:val="00077B4B"/>
    <w:rsid w:val="00077B7D"/>
    <w:rsid w:val="00077DF1"/>
    <w:rsid w:val="00077E42"/>
    <w:rsid w:val="00077F0F"/>
    <w:rsid w:val="00077FD0"/>
    <w:rsid w:val="00080157"/>
    <w:rsid w:val="00080385"/>
    <w:rsid w:val="0008074F"/>
    <w:rsid w:val="000808B5"/>
    <w:rsid w:val="000813E9"/>
    <w:rsid w:val="00081E4F"/>
    <w:rsid w:val="00081F74"/>
    <w:rsid w:val="00082852"/>
    <w:rsid w:val="00082B17"/>
    <w:rsid w:val="00082D93"/>
    <w:rsid w:val="00082FB7"/>
    <w:rsid w:val="0008343C"/>
    <w:rsid w:val="00083AEA"/>
    <w:rsid w:val="00083BB5"/>
    <w:rsid w:val="00083C1D"/>
    <w:rsid w:val="00084000"/>
    <w:rsid w:val="000843C9"/>
    <w:rsid w:val="00084419"/>
    <w:rsid w:val="0008441D"/>
    <w:rsid w:val="00084943"/>
    <w:rsid w:val="0008509A"/>
    <w:rsid w:val="00085283"/>
    <w:rsid w:val="00085297"/>
    <w:rsid w:val="00085443"/>
    <w:rsid w:val="000865D7"/>
    <w:rsid w:val="00086ABF"/>
    <w:rsid w:val="00086D58"/>
    <w:rsid w:val="0008752D"/>
    <w:rsid w:val="0008798C"/>
    <w:rsid w:val="00087A3E"/>
    <w:rsid w:val="00087B20"/>
    <w:rsid w:val="00087B3A"/>
    <w:rsid w:val="00087C29"/>
    <w:rsid w:val="0009017C"/>
    <w:rsid w:val="000902CC"/>
    <w:rsid w:val="000903DB"/>
    <w:rsid w:val="0009054D"/>
    <w:rsid w:val="00090865"/>
    <w:rsid w:val="00090A63"/>
    <w:rsid w:val="00090C49"/>
    <w:rsid w:val="00090F3F"/>
    <w:rsid w:val="00091462"/>
    <w:rsid w:val="000923E9"/>
    <w:rsid w:val="00092A06"/>
    <w:rsid w:val="00093234"/>
    <w:rsid w:val="000935A8"/>
    <w:rsid w:val="00093655"/>
    <w:rsid w:val="00093953"/>
    <w:rsid w:val="00093A33"/>
    <w:rsid w:val="00093CE2"/>
    <w:rsid w:val="00093FAE"/>
    <w:rsid w:val="0009429B"/>
    <w:rsid w:val="000946D8"/>
    <w:rsid w:val="00094990"/>
    <w:rsid w:val="000949AA"/>
    <w:rsid w:val="000954D9"/>
    <w:rsid w:val="000958F8"/>
    <w:rsid w:val="00095A51"/>
    <w:rsid w:val="00095DC4"/>
    <w:rsid w:val="00095DE2"/>
    <w:rsid w:val="00096035"/>
    <w:rsid w:val="0009606A"/>
    <w:rsid w:val="0009634B"/>
    <w:rsid w:val="000964A2"/>
    <w:rsid w:val="0009687C"/>
    <w:rsid w:val="00097392"/>
    <w:rsid w:val="00097454"/>
    <w:rsid w:val="00097E28"/>
    <w:rsid w:val="00097FFE"/>
    <w:rsid w:val="000A024C"/>
    <w:rsid w:val="000A0632"/>
    <w:rsid w:val="000A10EB"/>
    <w:rsid w:val="000A15C5"/>
    <w:rsid w:val="000A1C44"/>
    <w:rsid w:val="000A2287"/>
    <w:rsid w:val="000A263C"/>
    <w:rsid w:val="000A2EF8"/>
    <w:rsid w:val="000A2F71"/>
    <w:rsid w:val="000A2F9E"/>
    <w:rsid w:val="000A3282"/>
    <w:rsid w:val="000A344C"/>
    <w:rsid w:val="000A3D13"/>
    <w:rsid w:val="000A3F4D"/>
    <w:rsid w:val="000A43A4"/>
    <w:rsid w:val="000A4AC6"/>
    <w:rsid w:val="000A551F"/>
    <w:rsid w:val="000A5780"/>
    <w:rsid w:val="000A5AB6"/>
    <w:rsid w:val="000A5CC8"/>
    <w:rsid w:val="000A5F64"/>
    <w:rsid w:val="000A6106"/>
    <w:rsid w:val="000A6819"/>
    <w:rsid w:val="000A6E70"/>
    <w:rsid w:val="000A700C"/>
    <w:rsid w:val="000A7800"/>
    <w:rsid w:val="000A79D1"/>
    <w:rsid w:val="000A7F66"/>
    <w:rsid w:val="000B00FB"/>
    <w:rsid w:val="000B02BD"/>
    <w:rsid w:val="000B0BFA"/>
    <w:rsid w:val="000B1216"/>
    <w:rsid w:val="000B194A"/>
    <w:rsid w:val="000B19A7"/>
    <w:rsid w:val="000B1BC1"/>
    <w:rsid w:val="000B1E8C"/>
    <w:rsid w:val="000B2B5A"/>
    <w:rsid w:val="000B3002"/>
    <w:rsid w:val="000B3773"/>
    <w:rsid w:val="000B37D5"/>
    <w:rsid w:val="000B380C"/>
    <w:rsid w:val="000B393A"/>
    <w:rsid w:val="000B3DED"/>
    <w:rsid w:val="000B42EC"/>
    <w:rsid w:val="000B4594"/>
    <w:rsid w:val="000B45E5"/>
    <w:rsid w:val="000B48A9"/>
    <w:rsid w:val="000B4DCE"/>
    <w:rsid w:val="000B4DDE"/>
    <w:rsid w:val="000B572D"/>
    <w:rsid w:val="000B5AC9"/>
    <w:rsid w:val="000B5B53"/>
    <w:rsid w:val="000B5BD6"/>
    <w:rsid w:val="000B5D70"/>
    <w:rsid w:val="000B5DB0"/>
    <w:rsid w:val="000B5F09"/>
    <w:rsid w:val="000B60B3"/>
    <w:rsid w:val="000B6230"/>
    <w:rsid w:val="000B6431"/>
    <w:rsid w:val="000B697D"/>
    <w:rsid w:val="000B6FE1"/>
    <w:rsid w:val="000B76AF"/>
    <w:rsid w:val="000B7705"/>
    <w:rsid w:val="000B7709"/>
    <w:rsid w:val="000B771B"/>
    <w:rsid w:val="000C0124"/>
    <w:rsid w:val="000C0E6F"/>
    <w:rsid w:val="000C160D"/>
    <w:rsid w:val="000C1611"/>
    <w:rsid w:val="000C189E"/>
    <w:rsid w:val="000C1CDB"/>
    <w:rsid w:val="000C1EB8"/>
    <w:rsid w:val="000C2328"/>
    <w:rsid w:val="000C239A"/>
    <w:rsid w:val="000C26D8"/>
    <w:rsid w:val="000C2852"/>
    <w:rsid w:val="000C29B5"/>
    <w:rsid w:val="000C3490"/>
    <w:rsid w:val="000C3C31"/>
    <w:rsid w:val="000C3FDF"/>
    <w:rsid w:val="000C4289"/>
    <w:rsid w:val="000C4728"/>
    <w:rsid w:val="000C4C7A"/>
    <w:rsid w:val="000C55C9"/>
    <w:rsid w:val="000C584E"/>
    <w:rsid w:val="000C62FD"/>
    <w:rsid w:val="000C6608"/>
    <w:rsid w:val="000C6624"/>
    <w:rsid w:val="000C695F"/>
    <w:rsid w:val="000C7086"/>
    <w:rsid w:val="000C7263"/>
    <w:rsid w:val="000C74FA"/>
    <w:rsid w:val="000C7A5D"/>
    <w:rsid w:val="000C7AAF"/>
    <w:rsid w:val="000C7D37"/>
    <w:rsid w:val="000C7F42"/>
    <w:rsid w:val="000C7FA2"/>
    <w:rsid w:val="000D094E"/>
    <w:rsid w:val="000D099B"/>
    <w:rsid w:val="000D0AB6"/>
    <w:rsid w:val="000D0BCC"/>
    <w:rsid w:val="000D12CC"/>
    <w:rsid w:val="000D13B1"/>
    <w:rsid w:val="000D1F94"/>
    <w:rsid w:val="000D24AB"/>
    <w:rsid w:val="000D25BF"/>
    <w:rsid w:val="000D27BB"/>
    <w:rsid w:val="000D299B"/>
    <w:rsid w:val="000D2B99"/>
    <w:rsid w:val="000D2D7B"/>
    <w:rsid w:val="000D2E0D"/>
    <w:rsid w:val="000D30CA"/>
    <w:rsid w:val="000D32C3"/>
    <w:rsid w:val="000D331B"/>
    <w:rsid w:val="000D36F4"/>
    <w:rsid w:val="000D3769"/>
    <w:rsid w:val="000D3852"/>
    <w:rsid w:val="000D39E6"/>
    <w:rsid w:val="000D3B0D"/>
    <w:rsid w:val="000D3DED"/>
    <w:rsid w:val="000D44D5"/>
    <w:rsid w:val="000D47FA"/>
    <w:rsid w:val="000D4BF5"/>
    <w:rsid w:val="000D4DED"/>
    <w:rsid w:val="000D501B"/>
    <w:rsid w:val="000D5033"/>
    <w:rsid w:val="000D6865"/>
    <w:rsid w:val="000D69A6"/>
    <w:rsid w:val="000D7488"/>
    <w:rsid w:val="000D7509"/>
    <w:rsid w:val="000D799C"/>
    <w:rsid w:val="000E0D85"/>
    <w:rsid w:val="000E17DE"/>
    <w:rsid w:val="000E1A1B"/>
    <w:rsid w:val="000E1F75"/>
    <w:rsid w:val="000E20DD"/>
    <w:rsid w:val="000E2AD6"/>
    <w:rsid w:val="000E2CB1"/>
    <w:rsid w:val="000E2CF7"/>
    <w:rsid w:val="000E2FCE"/>
    <w:rsid w:val="000E325E"/>
    <w:rsid w:val="000E3283"/>
    <w:rsid w:val="000E334F"/>
    <w:rsid w:val="000E353A"/>
    <w:rsid w:val="000E35AE"/>
    <w:rsid w:val="000E362C"/>
    <w:rsid w:val="000E363C"/>
    <w:rsid w:val="000E3BA3"/>
    <w:rsid w:val="000E3FCB"/>
    <w:rsid w:val="000E41A9"/>
    <w:rsid w:val="000E4216"/>
    <w:rsid w:val="000E426D"/>
    <w:rsid w:val="000E4364"/>
    <w:rsid w:val="000E4683"/>
    <w:rsid w:val="000E4DCC"/>
    <w:rsid w:val="000E4E92"/>
    <w:rsid w:val="000E52CC"/>
    <w:rsid w:val="000E61D2"/>
    <w:rsid w:val="000E6697"/>
    <w:rsid w:val="000E6AEE"/>
    <w:rsid w:val="000E6C2F"/>
    <w:rsid w:val="000E76A0"/>
    <w:rsid w:val="000E7986"/>
    <w:rsid w:val="000F03E0"/>
    <w:rsid w:val="000F05E1"/>
    <w:rsid w:val="000F0C2F"/>
    <w:rsid w:val="000F0C94"/>
    <w:rsid w:val="000F1153"/>
    <w:rsid w:val="000F180A"/>
    <w:rsid w:val="000F1DED"/>
    <w:rsid w:val="000F22FF"/>
    <w:rsid w:val="000F265A"/>
    <w:rsid w:val="000F26E1"/>
    <w:rsid w:val="000F2F49"/>
    <w:rsid w:val="000F3037"/>
    <w:rsid w:val="000F30E9"/>
    <w:rsid w:val="000F3104"/>
    <w:rsid w:val="000F34A9"/>
    <w:rsid w:val="000F3716"/>
    <w:rsid w:val="000F3BDF"/>
    <w:rsid w:val="000F3DF5"/>
    <w:rsid w:val="000F48E0"/>
    <w:rsid w:val="000F494D"/>
    <w:rsid w:val="000F55D2"/>
    <w:rsid w:val="000F59B3"/>
    <w:rsid w:val="000F5AC6"/>
    <w:rsid w:val="000F5B4E"/>
    <w:rsid w:val="000F61E7"/>
    <w:rsid w:val="000F6382"/>
    <w:rsid w:val="000F65E7"/>
    <w:rsid w:val="000F7158"/>
    <w:rsid w:val="000F7BB7"/>
    <w:rsid w:val="000F7F26"/>
    <w:rsid w:val="001002CF"/>
    <w:rsid w:val="00100AD0"/>
    <w:rsid w:val="00100AD9"/>
    <w:rsid w:val="00100BBF"/>
    <w:rsid w:val="00100C07"/>
    <w:rsid w:val="00100E68"/>
    <w:rsid w:val="00101151"/>
    <w:rsid w:val="001011E1"/>
    <w:rsid w:val="001011E7"/>
    <w:rsid w:val="0010130B"/>
    <w:rsid w:val="00101519"/>
    <w:rsid w:val="00101534"/>
    <w:rsid w:val="0010169B"/>
    <w:rsid w:val="001017D8"/>
    <w:rsid w:val="00101FD2"/>
    <w:rsid w:val="0010218A"/>
    <w:rsid w:val="00102224"/>
    <w:rsid w:val="00102685"/>
    <w:rsid w:val="00102D36"/>
    <w:rsid w:val="0010300A"/>
    <w:rsid w:val="001031B3"/>
    <w:rsid w:val="001031B7"/>
    <w:rsid w:val="001036A6"/>
    <w:rsid w:val="00103A87"/>
    <w:rsid w:val="00103DD6"/>
    <w:rsid w:val="00103E88"/>
    <w:rsid w:val="00103ED3"/>
    <w:rsid w:val="00103EEF"/>
    <w:rsid w:val="0010407F"/>
    <w:rsid w:val="001048BA"/>
    <w:rsid w:val="0010497F"/>
    <w:rsid w:val="00104C98"/>
    <w:rsid w:val="00104DE5"/>
    <w:rsid w:val="0010526A"/>
    <w:rsid w:val="001055E6"/>
    <w:rsid w:val="001057FA"/>
    <w:rsid w:val="0010587D"/>
    <w:rsid w:val="00105AB1"/>
    <w:rsid w:val="00105C2B"/>
    <w:rsid w:val="00105DA6"/>
    <w:rsid w:val="00106711"/>
    <w:rsid w:val="00106B05"/>
    <w:rsid w:val="00106CCD"/>
    <w:rsid w:val="0010721D"/>
    <w:rsid w:val="001072BE"/>
    <w:rsid w:val="00107852"/>
    <w:rsid w:val="00107FB9"/>
    <w:rsid w:val="0011056D"/>
    <w:rsid w:val="00110674"/>
    <w:rsid w:val="00110AF3"/>
    <w:rsid w:val="00110C75"/>
    <w:rsid w:val="0011113C"/>
    <w:rsid w:val="00111357"/>
    <w:rsid w:val="001116E5"/>
    <w:rsid w:val="001118A8"/>
    <w:rsid w:val="00111F1F"/>
    <w:rsid w:val="0011227D"/>
    <w:rsid w:val="001126A8"/>
    <w:rsid w:val="001127A4"/>
    <w:rsid w:val="001128E0"/>
    <w:rsid w:val="001128FC"/>
    <w:rsid w:val="001132F2"/>
    <w:rsid w:val="0011390B"/>
    <w:rsid w:val="00113E4F"/>
    <w:rsid w:val="00113F61"/>
    <w:rsid w:val="001141DE"/>
    <w:rsid w:val="00114348"/>
    <w:rsid w:val="001143E9"/>
    <w:rsid w:val="0011467E"/>
    <w:rsid w:val="001146DB"/>
    <w:rsid w:val="00114BD0"/>
    <w:rsid w:val="00114CA2"/>
    <w:rsid w:val="00115037"/>
    <w:rsid w:val="00115723"/>
    <w:rsid w:val="001158A2"/>
    <w:rsid w:val="001160A0"/>
    <w:rsid w:val="0011628F"/>
    <w:rsid w:val="00116504"/>
    <w:rsid w:val="001168FB"/>
    <w:rsid w:val="00116C60"/>
    <w:rsid w:val="00116CBD"/>
    <w:rsid w:val="00117245"/>
    <w:rsid w:val="0011743F"/>
    <w:rsid w:val="00117A4A"/>
    <w:rsid w:val="00117B56"/>
    <w:rsid w:val="00117B6F"/>
    <w:rsid w:val="00117C54"/>
    <w:rsid w:val="00117F62"/>
    <w:rsid w:val="00120138"/>
    <w:rsid w:val="001201FB"/>
    <w:rsid w:val="00120249"/>
    <w:rsid w:val="0012033C"/>
    <w:rsid w:val="0012045C"/>
    <w:rsid w:val="001204EE"/>
    <w:rsid w:val="001206FC"/>
    <w:rsid w:val="00120A14"/>
    <w:rsid w:val="00120E8F"/>
    <w:rsid w:val="00120EA7"/>
    <w:rsid w:val="00120EDB"/>
    <w:rsid w:val="00120F4B"/>
    <w:rsid w:val="001210CE"/>
    <w:rsid w:val="0012136D"/>
    <w:rsid w:val="001216ED"/>
    <w:rsid w:val="00121D61"/>
    <w:rsid w:val="00122415"/>
    <w:rsid w:val="00122629"/>
    <w:rsid w:val="001229B1"/>
    <w:rsid w:val="00122FBE"/>
    <w:rsid w:val="00123510"/>
    <w:rsid w:val="001235E1"/>
    <w:rsid w:val="001239DC"/>
    <w:rsid w:val="00123C45"/>
    <w:rsid w:val="00123D2C"/>
    <w:rsid w:val="00123E03"/>
    <w:rsid w:val="00124221"/>
    <w:rsid w:val="0012473C"/>
    <w:rsid w:val="00124B07"/>
    <w:rsid w:val="00124BCC"/>
    <w:rsid w:val="001250FD"/>
    <w:rsid w:val="00125331"/>
    <w:rsid w:val="00125551"/>
    <w:rsid w:val="0012558D"/>
    <w:rsid w:val="00125C69"/>
    <w:rsid w:val="001263EB"/>
    <w:rsid w:val="00126409"/>
    <w:rsid w:val="001267B7"/>
    <w:rsid w:val="0012681B"/>
    <w:rsid w:val="00126933"/>
    <w:rsid w:val="00126EFE"/>
    <w:rsid w:val="00127103"/>
    <w:rsid w:val="001273CB"/>
    <w:rsid w:val="00127748"/>
    <w:rsid w:val="00127B3D"/>
    <w:rsid w:val="00127E59"/>
    <w:rsid w:val="001302AE"/>
    <w:rsid w:val="001306FC"/>
    <w:rsid w:val="00130AE8"/>
    <w:rsid w:val="00130EAA"/>
    <w:rsid w:val="00130FC6"/>
    <w:rsid w:val="00131311"/>
    <w:rsid w:val="0013144C"/>
    <w:rsid w:val="0013154C"/>
    <w:rsid w:val="001316F1"/>
    <w:rsid w:val="0013204A"/>
    <w:rsid w:val="00132875"/>
    <w:rsid w:val="001329D5"/>
    <w:rsid w:val="00132A98"/>
    <w:rsid w:val="00132BAD"/>
    <w:rsid w:val="0013334F"/>
    <w:rsid w:val="00133490"/>
    <w:rsid w:val="00133CDB"/>
    <w:rsid w:val="00134B7A"/>
    <w:rsid w:val="00135BE4"/>
    <w:rsid w:val="00135CC1"/>
    <w:rsid w:val="00135EF2"/>
    <w:rsid w:val="001361E1"/>
    <w:rsid w:val="00136487"/>
    <w:rsid w:val="001365E1"/>
    <w:rsid w:val="0013679B"/>
    <w:rsid w:val="0013687B"/>
    <w:rsid w:val="00136A61"/>
    <w:rsid w:val="00136E3C"/>
    <w:rsid w:val="001371BA"/>
    <w:rsid w:val="0013754B"/>
    <w:rsid w:val="00137C26"/>
    <w:rsid w:val="00140307"/>
    <w:rsid w:val="0014059F"/>
    <w:rsid w:val="001407A0"/>
    <w:rsid w:val="001409DD"/>
    <w:rsid w:val="00140D45"/>
    <w:rsid w:val="00141037"/>
    <w:rsid w:val="001414A3"/>
    <w:rsid w:val="001415A6"/>
    <w:rsid w:val="001416DF"/>
    <w:rsid w:val="00142212"/>
    <w:rsid w:val="0014233F"/>
    <w:rsid w:val="00142B14"/>
    <w:rsid w:val="00142FBC"/>
    <w:rsid w:val="00143396"/>
    <w:rsid w:val="00143B6E"/>
    <w:rsid w:val="00143CB4"/>
    <w:rsid w:val="00143D0D"/>
    <w:rsid w:val="00143DEC"/>
    <w:rsid w:val="00143E4D"/>
    <w:rsid w:val="00143E64"/>
    <w:rsid w:val="001449DF"/>
    <w:rsid w:val="00144D5C"/>
    <w:rsid w:val="00145AB1"/>
    <w:rsid w:val="00146202"/>
    <w:rsid w:val="0014688F"/>
    <w:rsid w:val="00146993"/>
    <w:rsid w:val="00146AFC"/>
    <w:rsid w:val="00146C5F"/>
    <w:rsid w:val="00147456"/>
    <w:rsid w:val="00147CA9"/>
    <w:rsid w:val="00147F6D"/>
    <w:rsid w:val="00147F79"/>
    <w:rsid w:val="0015002B"/>
    <w:rsid w:val="00150215"/>
    <w:rsid w:val="001502AE"/>
    <w:rsid w:val="001504CA"/>
    <w:rsid w:val="00150B9F"/>
    <w:rsid w:val="00150BC8"/>
    <w:rsid w:val="00150D74"/>
    <w:rsid w:val="00150FB5"/>
    <w:rsid w:val="00151664"/>
    <w:rsid w:val="00151B8C"/>
    <w:rsid w:val="00152115"/>
    <w:rsid w:val="001524DF"/>
    <w:rsid w:val="0015263D"/>
    <w:rsid w:val="00152DDD"/>
    <w:rsid w:val="00152F97"/>
    <w:rsid w:val="00153078"/>
    <w:rsid w:val="00153240"/>
    <w:rsid w:val="001535AA"/>
    <w:rsid w:val="001539DF"/>
    <w:rsid w:val="00153A2E"/>
    <w:rsid w:val="00153B22"/>
    <w:rsid w:val="00153CED"/>
    <w:rsid w:val="001540C2"/>
    <w:rsid w:val="00154172"/>
    <w:rsid w:val="0015437A"/>
    <w:rsid w:val="00154F12"/>
    <w:rsid w:val="00155915"/>
    <w:rsid w:val="00155A90"/>
    <w:rsid w:val="00155D82"/>
    <w:rsid w:val="0015683C"/>
    <w:rsid w:val="00156D10"/>
    <w:rsid w:val="001571FF"/>
    <w:rsid w:val="0015721D"/>
    <w:rsid w:val="00157224"/>
    <w:rsid w:val="0015741E"/>
    <w:rsid w:val="001579E6"/>
    <w:rsid w:val="00157AEB"/>
    <w:rsid w:val="00157F93"/>
    <w:rsid w:val="00160378"/>
    <w:rsid w:val="001603D6"/>
    <w:rsid w:val="00161891"/>
    <w:rsid w:val="00161AF9"/>
    <w:rsid w:val="0016213E"/>
    <w:rsid w:val="001621B3"/>
    <w:rsid w:val="00162248"/>
    <w:rsid w:val="001629CA"/>
    <w:rsid w:val="00162B64"/>
    <w:rsid w:val="0016305C"/>
    <w:rsid w:val="001631E3"/>
    <w:rsid w:val="0016327E"/>
    <w:rsid w:val="00163343"/>
    <w:rsid w:val="0016353A"/>
    <w:rsid w:val="00163E82"/>
    <w:rsid w:val="00163FD6"/>
    <w:rsid w:val="0016412E"/>
    <w:rsid w:val="001642C0"/>
    <w:rsid w:val="001642D5"/>
    <w:rsid w:val="00164819"/>
    <w:rsid w:val="00164C0A"/>
    <w:rsid w:val="00164F12"/>
    <w:rsid w:val="00165085"/>
    <w:rsid w:val="00165A48"/>
    <w:rsid w:val="00166260"/>
    <w:rsid w:val="0016681E"/>
    <w:rsid w:val="00167243"/>
    <w:rsid w:val="001674C0"/>
    <w:rsid w:val="0016750F"/>
    <w:rsid w:val="00167F39"/>
    <w:rsid w:val="001702DD"/>
    <w:rsid w:val="00170494"/>
    <w:rsid w:val="00170856"/>
    <w:rsid w:val="00170BDE"/>
    <w:rsid w:val="001711CC"/>
    <w:rsid w:val="0017137C"/>
    <w:rsid w:val="00171503"/>
    <w:rsid w:val="001718D9"/>
    <w:rsid w:val="00171AD6"/>
    <w:rsid w:val="00171E82"/>
    <w:rsid w:val="00171F50"/>
    <w:rsid w:val="001721EC"/>
    <w:rsid w:val="00172414"/>
    <w:rsid w:val="00172746"/>
    <w:rsid w:val="00172979"/>
    <w:rsid w:val="00172F16"/>
    <w:rsid w:val="00173A1D"/>
    <w:rsid w:val="00173DD1"/>
    <w:rsid w:val="00174312"/>
    <w:rsid w:val="001749C7"/>
    <w:rsid w:val="00175220"/>
    <w:rsid w:val="0017535F"/>
    <w:rsid w:val="001753C3"/>
    <w:rsid w:val="001758E1"/>
    <w:rsid w:val="00175A7E"/>
    <w:rsid w:val="00175E8E"/>
    <w:rsid w:val="00176100"/>
    <w:rsid w:val="001762D7"/>
    <w:rsid w:val="00176402"/>
    <w:rsid w:val="00176469"/>
    <w:rsid w:val="001767F3"/>
    <w:rsid w:val="00176B30"/>
    <w:rsid w:val="00176E12"/>
    <w:rsid w:val="00177780"/>
    <w:rsid w:val="00177B46"/>
    <w:rsid w:val="00177DB2"/>
    <w:rsid w:val="0018002C"/>
    <w:rsid w:val="00180EA4"/>
    <w:rsid w:val="00181451"/>
    <w:rsid w:val="00181F73"/>
    <w:rsid w:val="00181F94"/>
    <w:rsid w:val="00182148"/>
    <w:rsid w:val="00182253"/>
    <w:rsid w:val="001826B1"/>
    <w:rsid w:val="00182860"/>
    <w:rsid w:val="00182930"/>
    <w:rsid w:val="00182E44"/>
    <w:rsid w:val="0018328F"/>
    <w:rsid w:val="00183325"/>
    <w:rsid w:val="00183754"/>
    <w:rsid w:val="00183B36"/>
    <w:rsid w:val="00183B89"/>
    <w:rsid w:val="001840AD"/>
    <w:rsid w:val="00184268"/>
    <w:rsid w:val="00184346"/>
    <w:rsid w:val="00184384"/>
    <w:rsid w:val="001843EA"/>
    <w:rsid w:val="00184BCB"/>
    <w:rsid w:val="00184F7D"/>
    <w:rsid w:val="001852A9"/>
    <w:rsid w:val="00185455"/>
    <w:rsid w:val="00185DF2"/>
    <w:rsid w:val="001860B2"/>
    <w:rsid w:val="00186195"/>
    <w:rsid w:val="0018652F"/>
    <w:rsid w:val="00186AC5"/>
    <w:rsid w:val="00186F26"/>
    <w:rsid w:val="00186F53"/>
    <w:rsid w:val="00186FCD"/>
    <w:rsid w:val="00187208"/>
    <w:rsid w:val="0018721E"/>
    <w:rsid w:val="00187254"/>
    <w:rsid w:val="0018754D"/>
    <w:rsid w:val="00187564"/>
    <w:rsid w:val="001900B1"/>
    <w:rsid w:val="001905C0"/>
    <w:rsid w:val="00190B67"/>
    <w:rsid w:val="00190BBE"/>
    <w:rsid w:val="00190BDA"/>
    <w:rsid w:val="00191092"/>
    <w:rsid w:val="00191284"/>
    <w:rsid w:val="00191329"/>
    <w:rsid w:val="00191445"/>
    <w:rsid w:val="00191712"/>
    <w:rsid w:val="0019190A"/>
    <w:rsid w:val="00191C4E"/>
    <w:rsid w:val="00192133"/>
    <w:rsid w:val="0019265A"/>
    <w:rsid w:val="0019288C"/>
    <w:rsid w:val="00192934"/>
    <w:rsid w:val="001931C4"/>
    <w:rsid w:val="001935B0"/>
    <w:rsid w:val="00193652"/>
    <w:rsid w:val="001937A3"/>
    <w:rsid w:val="001943D0"/>
    <w:rsid w:val="001946DE"/>
    <w:rsid w:val="00194AAF"/>
    <w:rsid w:val="001957C6"/>
    <w:rsid w:val="001957C8"/>
    <w:rsid w:val="00195920"/>
    <w:rsid w:val="001959D7"/>
    <w:rsid w:val="00195B27"/>
    <w:rsid w:val="00195D85"/>
    <w:rsid w:val="00195F15"/>
    <w:rsid w:val="00196B97"/>
    <w:rsid w:val="00196EE5"/>
    <w:rsid w:val="00197000"/>
    <w:rsid w:val="0019721F"/>
    <w:rsid w:val="00197FE9"/>
    <w:rsid w:val="001A0DD9"/>
    <w:rsid w:val="001A142B"/>
    <w:rsid w:val="001A1538"/>
    <w:rsid w:val="001A1942"/>
    <w:rsid w:val="001A1ADC"/>
    <w:rsid w:val="001A2665"/>
    <w:rsid w:val="001A317E"/>
    <w:rsid w:val="001A3250"/>
    <w:rsid w:val="001A332C"/>
    <w:rsid w:val="001A3504"/>
    <w:rsid w:val="001A3F9A"/>
    <w:rsid w:val="001A4082"/>
    <w:rsid w:val="001A41AC"/>
    <w:rsid w:val="001A45EE"/>
    <w:rsid w:val="001A52B2"/>
    <w:rsid w:val="001A5C66"/>
    <w:rsid w:val="001A5D20"/>
    <w:rsid w:val="001A5FBF"/>
    <w:rsid w:val="001A604A"/>
    <w:rsid w:val="001A6B43"/>
    <w:rsid w:val="001A73A4"/>
    <w:rsid w:val="001A77F6"/>
    <w:rsid w:val="001B08DC"/>
    <w:rsid w:val="001B09CA"/>
    <w:rsid w:val="001B0A4D"/>
    <w:rsid w:val="001B0F84"/>
    <w:rsid w:val="001B1497"/>
    <w:rsid w:val="001B15F6"/>
    <w:rsid w:val="001B1C4A"/>
    <w:rsid w:val="001B1D26"/>
    <w:rsid w:val="001B22E6"/>
    <w:rsid w:val="001B26A4"/>
    <w:rsid w:val="001B26CD"/>
    <w:rsid w:val="001B28D2"/>
    <w:rsid w:val="001B2F11"/>
    <w:rsid w:val="001B3038"/>
    <w:rsid w:val="001B332A"/>
    <w:rsid w:val="001B3436"/>
    <w:rsid w:val="001B36E3"/>
    <w:rsid w:val="001B3D0C"/>
    <w:rsid w:val="001B3F63"/>
    <w:rsid w:val="001B4454"/>
    <w:rsid w:val="001B4C5E"/>
    <w:rsid w:val="001B5156"/>
    <w:rsid w:val="001B523A"/>
    <w:rsid w:val="001B54C5"/>
    <w:rsid w:val="001B5CC2"/>
    <w:rsid w:val="001B5E36"/>
    <w:rsid w:val="001B60FB"/>
    <w:rsid w:val="001B6109"/>
    <w:rsid w:val="001B6A1E"/>
    <w:rsid w:val="001B7012"/>
    <w:rsid w:val="001B7AEB"/>
    <w:rsid w:val="001C08EB"/>
    <w:rsid w:val="001C0F3C"/>
    <w:rsid w:val="001C10C6"/>
    <w:rsid w:val="001C11DD"/>
    <w:rsid w:val="001C1419"/>
    <w:rsid w:val="001C1747"/>
    <w:rsid w:val="001C181C"/>
    <w:rsid w:val="001C1BD5"/>
    <w:rsid w:val="001C29F2"/>
    <w:rsid w:val="001C2A4B"/>
    <w:rsid w:val="001C2C4F"/>
    <w:rsid w:val="001C2C99"/>
    <w:rsid w:val="001C3642"/>
    <w:rsid w:val="001C3851"/>
    <w:rsid w:val="001C47A1"/>
    <w:rsid w:val="001C4863"/>
    <w:rsid w:val="001C5898"/>
    <w:rsid w:val="001C59EF"/>
    <w:rsid w:val="001C5E87"/>
    <w:rsid w:val="001C6080"/>
    <w:rsid w:val="001C69E1"/>
    <w:rsid w:val="001C6D0F"/>
    <w:rsid w:val="001C7217"/>
    <w:rsid w:val="001C795F"/>
    <w:rsid w:val="001D01DA"/>
    <w:rsid w:val="001D01E0"/>
    <w:rsid w:val="001D04B3"/>
    <w:rsid w:val="001D07EF"/>
    <w:rsid w:val="001D0D8E"/>
    <w:rsid w:val="001D10FB"/>
    <w:rsid w:val="001D11D4"/>
    <w:rsid w:val="001D176C"/>
    <w:rsid w:val="001D1D8A"/>
    <w:rsid w:val="001D1E1B"/>
    <w:rsid w:val="001D22F7"/>
    <w:rsid w:val="001D2493"/>
    <w:rsid w:val="001D29F0"/>
    <w:rsid w:val="001D2F1E"/>
    <w:rsid w:val="001D370C"/>
    <w:rsid w:val="001D3710"/>
    <w:rsid w:val="001D3841"/>
    <w:rsid w:val="001D3A14"/>
    <w:rsid w:val="001D3DEB"/>
    <w:rsid w:val="001D3EBA"/>
    <w:rsid w:val="001D45B7"/>
    <w:rsid w:val="001D469F"/>
    <w:rsid w:val="001D4C52"/>
    <w:rsid w:val="001D4DD2"/>
    <w:rsid w:val="001D4F2A"/>
    <w:rsid w:val="001D52E5"/>
    <w:rsid w:val="001D53E6"/>
    <w:rsid w:val="001D5BBA"/>
    <w:rsid w:val="001D6366"/>
    <w:rsid w:val="001D6B91"/>
    <w:rsid w:val="001D6FE4"/>
    <w:rsid w:val="001D735C"/>
    <w:rsid w:val="001D7A68"/>
    <w:rsid w:val="001D7B51"/>
    <w:rsid w:val="001E0457"/>
    <w:rsid w:val="001E056A"/>
    <w:rsid w:val="001E0757"/>
    <w:rsid w:val="001E13FB"/>
    <w:rsid w:val="001E26A9"/>
    <w:rsid w:val="001E29A2"/>
    <w:rsid w:val="001E2A0B"/>
    <w:rsid w:val="001E2CCD"/>
    <w:rsid w:val="001E32C6"/>
    <w:rsid w:val="001E3B25"/>
    <w:rsid w:val="001E4055"/>
    <w:rsid w:val="001E4547"/>
    <w:rsid w:val="001E4E7C"/>
    <w:rsid w:val="001E4FCD"/>
    <w:rsid w:val="001E5619"/>
    <w:rsid w:val="001E5708"/>
    <w:rsid w:val="001E57FC"/>
    <w:rsid w:val="001E5BA6"/>
    <w:rsid w:val="001E5E54"/>
    <w:rsid w:val="001E643F"/>
    <w:rsid w:val="001E6A84"/>
    <w:rsid w:val="001E7059"/>
    <w:rsid w:val="001E7166"/>
    <w:rsid w:val="001E71EC"/>
    <w:rsid w:val="001E730E"/>
    <w:rsid w:val="001E739D"/>
    <w:rsid w:val="001E742E"/>
    <w:rsid w:val="001E7632"/>
    <w:rsid w:val="001E78C1"/>
    <w:rsid w:val="001E7A1C"/>
    <w:rsid w:val="001E7B8F"/>
    <w:rsid w:val="001E7DC8"/>
    <w:rsid w:val="001E7E8B"/>
    <w:rsid w:val="001E7F63"/>
    <w:rsid w:val="001F0064"/>
    <w:rsid w:val="001F02F1"/>
    <w:rsid w:val="001F0525"/>
    <w:rsid w:val="001F05AB"/>
    <w:rsid w:val="001F0996"/>
    <w:rsid w:val="001F09F2"/>
    <w:rsid w:val="001F0D0F"/>
    <w:rsid w:val="001F0F10"/>
    <w:rsid w:val="001F1071"/>
    <w:rsid w:val="001F17DB"/>
    <w:rsid w:val="001F1B6A"/>
    <w:rsid w:val="001F1C7B"/>
    <w:rsid w:val="001F278D"/>
    <w:rsid w:val="001F2F0C"/>
    <w:rsid w:val="001F2F82"/>
    <w:rsid w:val="001F3870"/>
    <w:rsid w:val="001F3B44"/>
    <w:rsid w:val="001F451B"/>
    <w:rsid w:val="001F4664"/>
    <w:rsid w:val="001F48D2"/>
    <w:rsid w:val="001F495C"/>
    <w:rsid w:val="001F4A51"/>
    <w:rsid w:val="001F4BD7"/>
    <w:rsid w:val="001F5566"/>
    <w:rsid w:val="001F57DC"/>
    <w:rsid w:val="001F597A"/>
    <w:rsid w:val="001F5AA1"/>
    <w:rsid w:val="001F6597"/>
    <w:rsid w:val="001F6B09"/>
    <w:rsid w:val="001F72C1"/>
    <w:rsid w:val="001F75A8"/>
    <w:rsid w:val="002001B2"/>
    <w:rsid w:val="0020045A"/>
    <w:rsid w:val="00200792"/>
    <w:rsid w:val="00200C9E"/>
    <w:rsid w:val="00200D1D"/>
    <w:rsid w:val="0020130B"/>
    <w:rsid w:val="00201352"/>
    <w:rsid w:val="0020160A"/>
    <w:rsid w:val="00201AF5"/>
    <w:rsid w:val="00201B92"/>
    <w:rsid w:val="00202244"/>
    <w:rsid w:val="002025B2"/>
    <w:rsid w:val="002028B9"/>
    <w:rsid w:val="00202E63"/>
    <w:rsid w:val="00202E7C"/>
    <w:rsid w:val="002031E2"/>
    <w:rsid w:val="00203279"/>
    <w:rsid w:val="002034FF"/>
    <w:rsid w:val="002037DD"/>
    <w:rsid w:val="00204316"/>
    <w:rsid w:val="00204534"/>
    <w:rsid w:val="00204628"/>
    <w:rsid w:val="0020506A"/>
    <w:rsid w:val="002050B1"/>
    <w:rsid w:val="00205400"/>
    <w:rsid w:val="0020578A"/>
    <w:rsid w:val="00205871"/>
    <w:rsid w:val="00205B0C"/>
    <w:rsid w:val="00205D5C"/>
    <w:rsid w:val="00206350"/>
    <w:rsid w:val="00206E95"/>
    <w:rsid w:val="00207084"/>
    <w:rsid w:val="002076BE"/>
    <w:rsid w:val="002106E1"/>
    <w:rsid w:val="00210801"/>
    <w:rsid w:val="00210A27"/>
    <w:rsid w:val="0021125D"/>
    <w:rsid w:val="002114CA"/>
    <w:rsid w:val="002116A2"/>
    <w:rsid w:val="0021195E"/>
    <w:rsid w:val="00212A33"/>
    <w:rsid w:val="00212D7A"/>
    <w:rsid w:val="002135E6"/>
    <w:rsid w:val="00213686"/>
    <w:rsid w:val="00213F54"/>
    <w:rsid w:val="00214B0C"/>
    <w:rsid w:val="00214BED"/>
    <w:rsid w:val="00215026"/>
    <w:rsid w:val="00215250"/>
    <w:rsid w:val="0021540C"/>
    <w:rsid w:val="0021593F"/>
    <w:rsid w:val="002163F4"/>
    <w:rsid w:val="002168EA"/>
    <w:rsid w:val="00216962"/>
    <w:rsid w:val="00216E20"/>
    <w:rsid w:val="00217BA1"/>
    <w:rsid w:val="0022009C"/>
    <w:rsid w:val="002200AD"/>
    <w:rsid w:val="002203AE"/>
    <w:rsid w:val="002204A4"/>
    <w:rsid w:val="00220976"/>
    <w:rsid w:val="00220B66"/>
    <w:rsid w:val="00220BA7"/>
    <w:rsid w:val="00220DE1"/>
    <w:rsid w:val="00221316"/>
    <w:rsid w:val="00221732"/>
    <w:rsid w:val="00221A92"/>
    <w:rsid w:val="00221DCA"/>
    <w:rsid w:val="00221DF6"/>
    <w:rsid w:val="00221E02"/>
    <w:rsid w:val="002227B4"/>
    <w:rsid w:val="00223036"/>
    <w:rsid w:val="00223AB3"/>
    <w:rsid w:val="00223F9C"/>
    <w:rsid w:val="00224546"/>
    <w:rsid w:val="00225217"/>
    <w:rsid w:val="0022528E"/>
    <w:rsid w:val="002255C6"/>
    <w:rsid w:val="002256F7"/>
    <w:rsid w:val="002261AE"/>
    <w:rsid w:val="00226410"/>
    <w:rsid w:val="002265BE"/>
    <w:rsid w:val="002266BC"/>
    <w:rsid w:val="00226776"/>
    <w:rsid w:val="00226AF5"/>
    <w:rsid w:val="00226B31"/>
    <w:rsid w:val="002272ED"/>
    <w:rsid w:val="002275C2"/>
    <w:rsid w:val="002276F5"/>
    <w:rsid w:val="002277E4"/>
    <w:rsid w:val="00227C2C"/>
    <w:rsid w:val="00227DAF"/>
    <w:rsid w:val="002302F7"/>
    <w:rsid w:val="002302F9"/>
    <w:rsid w:val="0023051E"/>
    <w:rsid w:val="002307B9"/>
    <w:rsid w:val="0023115D"/>
    <w:rsid w:val="00231315"/>
    <w:rsid w:val="00231799"/>
    <w:rsid w:val="0023220D"/>
    <w:rsid w:val="002324A0"/>
    <w:rsid w:val="0023287D"/>
    <w:rsid w:val="002329C2"/>
    <w:rsid w:val="00232BD9"/>
    <w:rsid w:val="00232DE0"/>
    <w:rsid w:val="0023311E"/>
    <w:rsid w:val="002332F2"/>
    <w:rsid w:val="00233346"/>
    <w:rsid w:val="00233A07"/>
    <w:rsid w:val="002342B7"/>
    <w:rsid w:val="00234489"/>
    <w:rsid w:val="00234644"/>
    <w:rsid w:val="002348DC"/>
    <w:rsid w:val="00235167"/>
    <w:rsid w:val="00235279"/>
    <w:rsid w:val="0023538B"/>
    <w:rsid w:val="0023539B"/>
    <w:rsid w:val="0023565E"/>
    <w:rsid w:val="0023580A"/>
    <w:rsid w:val="00235F3E"/>
    <w:rsid w:val="00236353"/>
    <w:rsid w:val="00236684"/>
    <w:rsid w:val="00236855"/>
    <w:rsid w:val="002369BE"/>
    <w:rsid w:val="00236B13"/>
    <w:rsid w:val="00236B7D"/>
    <w:rsid w:val="00237896"/>
    <w:rsid w:val="002403DB"/>
    <w:rsid w:val="0024050D"/>
    <w:rsid w:val="002406D6"/>
    <w:rsid w:val="00240752"/>
    <w:rsid w:val="002407A6"/>
    <w:rsid w:val="00240870"/>
    <w:rsid w:val="00240DAF"/>
    <w:rsid w:val="00240E5A"/>
    <w:rsid w:val="00241255"/>
    <w:rsid w:val="0024164C"/>
    <w:rsid w:val="0024168A"/>
    <w:rsid w:val="0024190F"/>
    <w:rsid w:val="002420FF"/>
    <w:rsid w:val="002423FD"/>
    <w:rsid w:val="002424FE"/>
    <w:rsid w:val="002426F4"/>
    <w:rsid w:val="00242D65"/>
    <w:rsid w:val="00243105"/>
    <w:rsid w:val="002432E8"/>
    <w:rsid w:val="002436C7"/>
    <w:rsid w:val="00243C72"/>
    <w:rsid w:val="00243F2B"/>
    <w:rsid w:val="002446B5"/>
    <w:rsid w:val="00244D8B"/>
    <w:rsid w:val="00245C45"/>
    <w:rsid w:val="00245D2A"/>
    <w:rsid w:val="00245DAE"/>
    <w:rsid w:val="0024630C"/>
    <w:rsid w:val="00246749"/>
    <w:rsid w:val="00246BDB"/>
    <w:rsid w:val="00247FE6"/>
    <w:rsid w:val="00250035"/>
    <w:rsid w:val="002504A7"/>
    <w:rsid w:val="0025072E"/>
    <w:rsid w:val="002507D5"/>
    <w:rsid w:val="00250D86"/>
    <w:rsid w:val="00251132"/>
    <w:rsid w:val="00251351"/>
    <w:rsid w:val="00251826"/>
    <w:rsid w:val="00251B6D"/>
    <w:rsid w:val="00251DAB"/>
    <w:rsid w:val="002522C2"/>
    <w:rsid w:val="00252527"/>
    <w:rsid w:val="00252968"/>
    <w:rsid w:val="00252B5E"/>
    <w:rsid w:val="00252BA5"/>
    <w:rsid w:val="00252BC4"/>
    <w:rsid w:val="0025303C"/>
    <w:rsid w:val="002532CD"/>
    <w:rsid w:val="002537E4"/>
    <w:rsid w:val="00253A56"/>
    <w:rsid w:val="00253AB7"/>
    <w:rsid w:val="0025419D"/>
    <w:rsid w:val="00254286"/>
    <w:rsid w:val="002542F6"/>
    <w:rsid w:val="00254A92"/>
    <w:rsid w:val="00254BB6"/>
    <w:rsid w:val="00254FF7"/>
    <w:rsid w:val="002552CF"/>
    <w:rsid w:val="0025532D"/>
    <w:rsid w:val="002558C1"/>
    <w:rsid w:val="00255ED6"/>
    <w:rsid w:val="00255EE3"/>
    <w:rsid w:val="0025686C"/>
    <w:rsid w:val="00256B05"/>
    <w:rsid w:val="00256BC5"/>
    <w:rsid w:val="002571B8"/>
    <w:rsid w:val="00257805"/>
    <w:rsid w:val="00257B4D"/>
    <w:rsid w:val="00257CD1"/>
    <w:rsid w:val="00257CDE"/>
    <w:rsid w:val="00257E16"/>
    <w:rsid w:val="00257E22"/>
    <w:rsid w:val="00257F1A"/>
    <w:rsid w:val="00260A70"/>
    <w:rsid w:val="00260EC7"/>
    <w:rsid w:val="00262450"/>
    <w:rsid w:val="002625B1"/>
    <w:rsid w:val="0026267C"/>
    <w:rsid w:val="002629D6"/>
    <w:rsid w:val="00262C70"/>
    <w:rsid w:val="00262FB9"/>
    <w:rsid w:val="00263455"/>
    <w:rsid w:val="002636B7"/>
    <w:rsid w:val="002639F9"/>
    <w:rsid w:val="00263CBC"/>
    <w:rsid w:val="00263F56"/>
    <w:rsid w:val="00263F5E"/>
    <w:rsid w:val="00263FA2"/>
    <w:rsid w:val="002643F7"/>
    <w:rsid w:val="0026475B"/>
    <w:rsid w:val="002647C3"/>
    <w:rsid w:val="00264DF5"/>
    <w:rsid w:val="002652D6"/>
    <w:rsid w:val="00265455"/>
    <w:rsid w:val="0026563D"/>
    <w:rsid w:val="002657BA"/>
    <w:rsid w:val="00265AB0"/>
    <w:rsid w:val="00265D85"/>
    <w:rsid w:val="00266100"/>
    <w:rsid w:val="002661CD"/>
    <w:rsid w:val="0026623F"/>
    <w:rsid w:val="00266472"/>
    <w:rsid w:val="002665D5"/>
    <w:rsid w:val="002665F3"/>
    <w:rsid w:val="0026692F"/>
    <w:rsid w:val="00266A3D"/>
    <w:rsid w:val="00266CB6"/>
    <w:rsid w:val="00267437"/>
    <w:rsid w:val="0027012B"/>
    <w:rsid w:val="0027040D"/>
    <w:rsid w:val="00270A3D"/>
    <w:rsid w:val="00271675"/>
    <w:rsid w:val="00271AC8"/>
    <w:rsid w:val="0027215F"/>
    <w:rsid w:val="00272594"/>
    <w:rsid w:val="002728AF"/>
    <w:rsid w:val="00272A2D"/>
    <w:rsid w:val="00272C1F"/>
    <w:rsid w:val="00273A64"/>
    <w:rsid w:val="00273C8B"/>
    <w:rsid w:val="00273EC6"/>
    <w:rsid w:val="00274A86"/>
    <w:rsid w:val="00274BD0"/>
    <w:rsid w:val="00275125"/>
    <w:rsid w:val="002752EE"/>
    <w:rsid w:val="002753DC"/>
    <w:rsid w:val="002756BE"/>
    <w:rsid w:val="00275819"/>
    <w:rsid w:val="00275A30"/>
    <w:rsid w:val="00275A73"/>
    <w:rsid w:val="00275E16"/>
    <w:rsid w:val="00276074"/>
    <w:rsid w:val="002767D6"/>
    <w:rsid w:val="00277145"/>
    <w:rsid w:val="002800AE"/>
    <w:rsid w:val="00280108"/>
    <w:rsid w:val="002801A0"/>
    <w:rsid w:val="002801F9"/>
    <w:rsid w:val="002804FA"/>
    <w:rsid w:val="00280A5B"/>
    <w:rsid w:val="00280BBE"/>
    <w:rsid w:val="00280C95"/>
    <w:rsid w:val="00280F23"/>
    <w:rsid w:val="00281262"/>
    <w:rsid w:val="002812AE"/>
    <w:rsid w:val="002812FE"/>
    <w:rsid w:val="00281CE6"/>
    <w:rsid w:val="00281FE6"/>
    <w:rsid w:val="00283192"/>
    <w:rsid w:val="00283254"/>
    <w:rsid w:val="002839AE"/>
    <w:rsid w:val="00283A2B"/>
    <w:rsid w:val="00284571"/>
    <w:rsid w:val="0028487F"/>
    <w:rsid w:val="00284B77"/>
    <w:rsid w:val="00284E7D"/>
    <w:rsid w:val="00285144"/>
    <w:rsid w:val="00285331"/>
    <w:rsid w:val="002854DE"/>
    <w:rsid w:val="0028580D"/>
    <w:rsid w:val="00285A0C"/>
    <w:rsid w:val="00285BA7"/>
    <w:rsid w:val="00285E41"/>
    <w:rsid w:val="002862F4"/>
    <w:rsid w:val="0028651C"/>
    <w:rsid w:val="00286525"/>
    <w:rsid w:val="00286DC0"/>
    <w:rsid w:val="002878B7"/>
    <w:rsid w:val="00290523"/>
    <w:rsid w:val="00290AE9"/>
    <w:rsid w:val="00290C4F"/>
    <w:rsid w:val="00290DAD"/>
    <w:rsid w:val="00290EAA"/>
    <w:rsid w:val="002912B8"/>
    <w:rsid w:val="00291C94"/>
    <w:rsid w:val="00292500"/>
    <w:rsid w:val="00292C17"/>
    <w:rsid w:val="00292E39"/>
    <w:rsid w:val="00293449"/>
    <w:rsid w:val="00293488"/>
    <w:rsid w:val="00293661"/>
    <w:rsid w:val="00293EA2"/>
    <w:rsid w:val="00294062"/>
    <w:rsid w:val="0029411C"/>
    <w:rsid w:val="002949F2"/>
    <w:rsid w:val="00294A5D"/>
    <w:rsid w:val="002951D3"/>
    <w:rsid w:val="002956BD"/>
    <w:rsid w:val="00295DBC"/>
    <w:rsid w:val="00295FFC"/>
    <w:rsid w:val="002966C1"/>
    <w:rsid w:val="0029712D"/>
    <w:rsid w:val="0029732D"/>
    <w:rsid w:val="0029772C"/>
    <w:rsid w:val="002977A9"/>
    <w:rsid w:val="00297F59"/>
    <w:rsid w:val="00297F73"/>
    <w:rsid w:val="00297FF0"/>
    <w:rsid w:val="002A014F"/>
    <w:rsid w:val="002A094E"/>
    <w:rsid w:val="002A0D0B"/>
    <w:rsid w:val="002A0DC8"/>
    <w:rsid w:val="002A0F75"/>
    <w:rsid w:val="002A10CB"/>
    <w:rsid w:val="002A1626"/>
    <w:rsid w:val="002A1A21"/>
    <w:rsid w:val="002A1E9F"/>
    <w:rsid w:val="002A20E0"/>
    <w:rsid w:val="002A2123"/>
    <w:rsid w:val="002A216E"/>
    <w:rsid w:val="002A249C"/>
    <w:rsid w:val="002A3299"/>
    <w:rsid w:val="002A351A"/>
    <w:rsid w:val="002A39E7"/>
    <w:rsid w:val="002A40F4"/>
    <w:rsid w:val="002A452D"/>
    <w:rsid w:val="002A477D"/>
    <w:rsid w:val="002A4804"/>
    <w:rsid w:val="002A496D"/>
    <w:rsid w:val="002A4AED"/>
    <w:rsid w:val="002A4C62"/>
    <w:rsid w:val="002A5DA1"/>
    <w:rsid w:val="002A5DA2"/>
    <w:rsid w:val="002A5F66"/>
    <w:rsid w:val="002A5FB0"/>
    <w:rsid w:val="002A6236"/>
    <w:rsid w:val="002A6841"/>
    <w:rsid w:val="002A69BD"/>
    <w:rsid w:val="002A6D09"/>
    <w:rsid w:val="002A7168"/>
    <w:rsid w:val="002A747D"/>
    <w:rsid w:val="002A75CD"/>
    <w:rsid w:val="002A76A7"/>
    <w:rsid w:val="002A78D6"/>
    <w:rsid w:val="002A7AB1"/>
    <w:rsid w:val="002A7E8A"/>
    <w:rsid w:val="002A7F9B"/>
    <w:rsid w:val="002B042F"/>
    <w:rsid w:val="002B0CBE"/>
    <w:rsid w:val="002B0D30"/>
    <w:rsid w:val="002B13A9"/>
    <w:rsid w:val="002B142B"/>
    <w:rsid w:val="002B1792"/>
    <w:rsid w:val="002B18FC"/>
    <w:rsid w:val="002B212D"/>
    <w:rsid w:val="002B2D32"/>
    <w:rsid w:val="002B2E2B"/>
    <w:rsid w:val="002B32EC"/>
    <w:rsid w:val="002B35E5"/>
    <w:rsid w:val="002B3E92"/>
    <w:rsid w:val="002B4081"/>
    <w:rsid w:val="002B42E0"/>
    <w:rsid w:val="002B4FE1"/>
    <w:rsid w:val="002B5548"/>
    <w:rsid w:val="002B5767"/>
    <w:rsid w:val="002B58EC"/>
    <w:rsid w:val="002B5979"/>
    <w:rsid w:val="002B5AF6"/>
    <w:rsid w:val="002B5B51"/>
    <w:rsid w:val="002B5EAB"/>
    <w:rsid w:val="002B5F3D"/>
    <w:rsid w:val="002B6248"/>
    <w:rsid w:val="002B64D4"/>
    <w:rsid w:val="002B6536"/>
    <w:rsid w:val="002B6579"/>
    <w:rsid w:val="002B6A2A"/>
    <w:rsid w:val="002B6A76"/>
    <w:rsid w:val="002B6A96"/>
    <w:rsid w:val="002B6B08"/>
    <w:rsid w:val="002B749B"/>
    <w:rsid w:val="002B7668"/>
    <w:rsid w:val="002B7E65"/>
    <w:rsid w:val="002B7F95"/>
    <w:rsid w:val="002C0328"/>
    <w:rsid w:val="002C0CA0"/>
    <w:rsid w:val="002C109F"/>
    <w:rsid w:val="002C11EE"/>
    <w:rsid w:val="002C1221"/>
    <w:rsid w:val="002C1DCF"/>
    <w:rsid w:val="002C24E6"/>
    <w:rsid w:val="002C254E"/>
    <w:rsid w:val="002C256F"/>
    <w:rsid w:val="002C284C"/>
    <w:rsid w:val="002C30EE"/>
    <w:rsid w:val="002C329E"/>
    <w:rsid w:val="002C336C"/>
    <w:rsid w:val="002C35E4"/>
    <w:rsid w:val="002C37C1"/>
    <w:rsid w:val="002C3C8F"/>
    <w:rsid w:val="002C3F82"/>
    <w:rsid w:val="002C428D"/>
    <w:rsid w:val="002C45D0"/>
    <w:rsid w:val="002C4749"/>
    <w:rsid w:val="002C492B"/>
    <w:rsid w:val="002C4B26"/>
    <w:rsid w:val="002C4DFB"/>
    <w:rsid w:val="002C4E93"/>
    <w:rsid w:val="002C4FD7"/>
    <w:rsid w:val="002C4FE8"/>
    <w:rsid w:val="002C520F"/>
    <w:rsid w:val="002C5418"/>
    <w:rsid w:val="002C544D"/>
    <w:rsid w:val="002C5DA3"/>
    <w:rsid w:val="002C6C38"/>
    <w:rsid w:val="002C6EA1"/>
    <w:rsid w:val="002C75F0"/>
    <w:rsid w:val="002C774C"/>
    <w:rsid w:val="002C798C"/>
    <w:rsid w:val="002C7C7E"/>
    <w:rsid w:val="002C7C95"/>
    <w:rsid w:val="002C7E38"/>
    <w:rsid w:val="002D06C7"/>
    <w:rsid w:val="002D0DAD"/>
    <w:rsid w:val="002D0DB5"/>
    <w:rsid w:val="002D1D9B"/>
    <w:rsid w:val="002D236C"/>
    <w:rsid w:val="002D2A78"/>
    <w:rsid w:val="002D31E4"/>
    <w:rsid w:val="002D339F"/>
    <w:rsid w:val="002D41DE"/>
    <w:rsid w:val="002D423B"/>
    <w:rsid w:val="002D4371"/>
    <w:rsid w:val="002D494C"/>
    <w:rsid w:val="002D4C94"/>
    <w:rsid w:val="002D55BA"/>
    <w:rsid w:val="002D5E88"/>
    <w:rsid w:val="002D6703"/>
    <w:rsid w:val="002D6D54"/>
    <w:rsid w:val="002D6EAA"/>
    <w:rsid w:val="002D7265"/>
    <w:rsid w:val="002D7D6C"/>
    <w:rsid w:val="002E012E"/>
    <w:rsid w:val="002E0228"/>
    <w:rsid w:val="002E0413"/>
    <w:rsid w:val="002E07A2"/>
    <w:rsid w:val="002E08CD"/>
    <w:rsid w:val="002E0E48"/>
    <w:rsid w:val="002E133B"/>
    <w:rsid w:val="002E22D0"/>
    <w:rsid w:val="002E23F5"/>
    <w:rsid w:val="002E2418"/>
    <w:rsid w:val="002E2935"/>
    <w:rsid w:val="002E29BD"/>
    <w:rsid w:val="002E2D15"/>
    <w:rsid w:val="002E3228"/>
    <w:rsid w:val="002E37B1"/>
    <w:rsid w:val="002E43E0"/>
    <w:rsid w:val="002E454F"/>
    <w:rsid w:val="002E50D4"/>
    <w:rsid w:val="002E52D3"/>
    <w:rsid w:val="002E5983"/>
    <w:rsid w:val="002E5CBD"/>
    <w:rsid w:val="002E6029"/>
    <w:rsid w:val="002E6392"/>
    <w:rsid w:val="002E64C5"/>
    <w:rsid w:val="002E68CF"/>
    <w:rsid w:val="002E6DFF"/>
    <w:rsid w:val="002E6F6B"/>
    <w:rsid w:val="002E7086"/>
    <w:rsid w:val="002E784C"/>
    <w:rsid w:val="002E798D"/>
    <w:rsid w:val="002F04F2"/>
    <w:rsid w:val="002F07A8"/>
    <w:rsid w:val="002F07B2"/>
    <w:rsid w:val="002F0AFA"/>
    <w:rsid w:val="002F0F27"/>
    <w:rsid w:val="002F10B7"/>
    <w:rsid w:val="002F1EE5"/>
    <w:rsid w:val="002F2165"/>
    <w:rsid w:val="002F2CB7"/>
    <w:rsid w:val="002F2D8B"/>
    <w:rsid w:val="002F2EDC"/>
    <w:rsid w:val="002F2F89"/>
    <w:rsid w:val="002F34A7"/>
    <w:rsid w:val="002F3D1B"/>
    <w:rsid w:val="002F42B5"/>
    <w:rsid w:val="002F4702"/>
    <w:rsid w:val="002F4A61"/>
    <w:rsid w:val="002F4A73"/>
    <w:rsid w:val="002F513A"/>
    <w:rsid w:val="002F5868"/>
    <w:rsid w:val="002F59D3"/>
    <w:rsid w:val="002F5A66"/>
    <w:rsid w:val="002F6165"/>
    <w:rsid w:val="002F61F3"/>
    <w:rsid w:val="002F6362"/>
    <w:rsid w:val="002F6FA4"/>
    <w:rsid w:val="002F720A"/>
    <w:rsid w:val="002F7320"/>
    <w:rsid w:val="002F79A2"/>
    <w:rsid w:val="002F79B0"/>
    <w:rsid w:val="002F7A71"/>
    <w:rsid w:val="002F7D0C"/>
    <w:rsid w:val="0030007C"/>
    <w:rsid w:val="003002F1"/>
    <w:rsid w:val="003005C8"/>
    <w:rsid w:val="0030064F"/>
    <w:rsid w:val="003006D5"/>
    <w:rsid w:val="00300761"/>
    <w:rsid w:val="00300893"/>
    <w:rsid w:val="003013CA"/>
    <w:rsid w:val="003013DC"/>
    <w:rsid w:val="00301814"/>
    <w:rsid w:val="00301A21"/>
    <w:rsid w:val="00301C81"/>
    <w:rsid w:val="00302139"/>
    <w:rsid w:val="003021D8"/>
    <w:rsid w:val="00302582"/>
    <w:rsid w:val="003028EA"/>
    <w:rsid w:val="00302A0B"/>
    <w:rsid w:val="00302A9A"/>
    <w:rsid w:val="00302BC7"/>
    <w:rsid w:val="00302CA8"/>
    <w:rsid w:val="00302E4A"/>
    <w:rsid w:val="00302E6C"/>
    <w:rsid w:val="00302E95"/>
    <w:rsid w:val="00303092"/>
    <w:rsid w:val="003034A0"/>
    <w:rsid w:val="00303592"/>
    <w:rsid w:val="003036CF"/>
    <w:rsid w:val="003036E6"/>
    <w:rsid w:val="00303965"/>
    <w:rsid w:val="003039D9"/>
    <w:rsid w:val="00303E1A"/>
    <w:rsid w:val="0030485C"/>
    <w:rsid w:val="00304F03"/>
    <w:rsid w:val="00304FB2"/>
    <w:rsid w:val="00305567"/>
    <w:rsid w:val="00305689"/>
    <w:rsid w:val="003057D3"/>
    <w:rsid w:val="003058B0"/>
    <w:rsid w:val="003067FF"/>
    <w:rsid w:val="0030684A"/>
    <w:rsid w:val="0030685B"/>
    <w:rsid w:val="0030696C"/>
    <w:rsid w:val="003073E8"/>
    <w:rsid w:val="00307674"/>
    <w:rsid w:val="003076F9"/>
    <w:rsid w:val="00307DC8"/>
    <w:rsid w:val="00307FCC"/>
    <w:rsid w:val="0031051F"/>
    <w:rsid w:val="00311271"/>
    <w:rsid w:val="003117AC"/>
    <w:rsid w:val="003117BE"/>
    <w:rsid w:val="003117FE"/>
    <w:rsid w:val="00312187"/>
    <w:rsid w:val="0031298C"/>
    <w:rsid w:val="00312A7A"/>
    <w:rsid w:val="00312D07"/>
    <w:rsid w:val="00312E2A"/>
    <w:rsid w:val="00313735"/>
    <w:rsid w:val="00313DA5"/>
    <w:rsid w:val="00313EC4"/>
    <w:rsid w:val="00314376"/>
    <w:rsid w:val="00314C04"/>
    <w:rsid w:val="00314C3A"/>
    <w:rsid w:val="00314D45"/>
    <w:rsid w:val="00315316"/>
    <w:rsid w:val="003155F2"/>
    <w:rsid w:val="00315645"/>
    <w:rsid w:val="00315CBF"/>
    <w:rsid w:val="0031657D"/>
    <w:rsid w:val="00316628"/>
    <w:rsid w:val="00316713"/>
    <w:rsid w:val="00317346"/>
    <w:rsid w:val="003200BE"/>
    <w:rsid w:val="00320451"/>
    <w:rsid w:val="00320476"/>
    <w:rsid w:val="003207EA"/>
    <w:rsid w:val="00320862"/>
    <w:rsid w:val="003208DE"/>
    <w:rsid w:val="00320998"/>
    <w:rsid w:val="00320A42"/>
    <w:rsid w:val="00321512"/>
    <w:rsid w:val="00321DB8"/>
    <w:rsid w:val="00322199"/>
    <w:rsid w:val="003225A7"/>
    <w:rsid w:val="0032276B"/>
    <w:rsid w:val="00322EB1"/>
    <w:rsid w:val="00322F6B"/>
    <w:rsid w:val="00323032"/>
    <w:rsid w:val="003231D6"/>
    <w:rsid w:val="00323369"/>
    <w:rsid w:val="00323492"/>
    <w:rsid w:val="00323C59"/>
    <w:rsid w:val="00323DE4"/>
    <w:rsid w:val="0032483C"/>
    <w:rsid w:val="00324961"/>
    <w:rsid w:val="0032511B"/>
    <w:rsid w:val="003255C6"/>
    <w:rsid w:val="003256DB"/>
    <w:rsid w:val="00325EE5"/>
    <w:rsid w:val="003263A9"/>
    <w:rsid w:val="003269EA"/>
    <w:rsid w:val="00326B68"/>
    <w:rsid w:val="00326BF6"/>
    <w:rsid w:val="00327007"/>
    <w:rsid w:val="0032714E"/>
    <w:rsid w:val="00327181"/>
    <w:rsid w:val="003274AC"/>
    <w:rsid w:val="00327E2F"/>
    <w:rsid w:val="00327E7D"/>
    <w:rsid w:val="003300B2"/>
    <w:rsid w:val="00330134"/>
    <w:rsid w:val="003301C9"/>
    <w:rsid w:val="003301CF"/>
    <w:rsid w:val="003301D9"/>
    <w:rsid w:val="003306B0"/>
    <w:rsid w:val="0033132A"/>
    <w:rsid w:val="003315CD"/>
    <w:rsid w:val="003320FA"/>
    <w:rsid w:val="003324E4"/>
    <w:rsid w:val="00332CAF"/>
    <w:rsid w:val="00332D87"/>
    <w:rsid w:val="00332DCC"/>
    <w:rsid w:val="0033319E"/>
    <w:rsid w:val="00333536"/>
    <w:rsid w:val="0033354E"/>
    <w:rsid w:val="003335B9"/>
    <w:rsid w:val="0033399D"/>
    <w:rsid w:val="00333AA3"/>
    <w:rsid w:val="00333EDE"/>
    <w:rsid w:val="003340F2"/>
    <w:rsid w:val="003341F9"/>
    <w:rsid w:val="00334E06"/>
    <w:rsid w:val="00334E6C"/>
    <w:rsid w:val="00334F5C"/>
    <w:rsid w:val="00335084"/>
    <w:rsid w:val="0033510A"/>
    <w:rsid w:val="003353E9"/>
    <w:rsid w:val="00335B9F"/>
    <w:rsid w:val="00335FED"/>
    <w:rsid w:val="0033603F"/>
    <w:rsid w:val="003360F4"/>
    <w:rsid w:val="00336183"/>
    <w:rsid w:val="00336A59"/>
    <w:rsid w:val="00336C78"/>
    <w:rsid w:val="00336F21"/>
    <w:rsid w:val="00336F89"/>
    <w:rsid w:val="0033755D"/>
    <w:rsid w:val="00337B19"/>
    <w:rsid w:val="00340286"/>
    <w:rsid w:val="00340754"/>
    <w:rsid w:val="00340CAB"/>
    <w:rsid w:val="0034161F"/>
    <w:rsid w:val="0034197D"/>
    <w:rsid w:val="00341A9C"/>
    <w:rsid w:val="00341BC4"/>
    <w:rsid w:val="00341DA2"/>
    <w:rsid w:val="00341EFB"/>
    <w:rsid w:val="00341FAC"/>
    <w:rsid w:val="00342356"/>
    <w:rsid w:val="0034274C"/>
    <w:rsid w:val="00342976"/>
    <w:rsid w:val="00342D98"/>
    <w:rsid w:val="0034305A"/>
    <w:rsid w:val="00343824"/>
    <w:rsid w:val="00343C66"/>
    <w:rsid w:val="003441BC"/>
    <w:rsid w:val="0034459A"/>
    <w:rsid w:val="00344797"/>
    <w:rsid w:val="00344AF4"/>
    <w:rsid w:val="00344BA0"/>
    <w:rsid w:val="0034598C"/>
    <w:rsid w:val="003460F6"/>
    <w:rsid w:val="003462E7"/>
    <w:rsid w:val="00346464"/>
    <w:rsid w:val="0034695C"/>
    <w:rsid w:val="00346B74"/>
    <w:rsid w:val="00346E8A"/>
    <w:rsid w:val="00346F7D"/>
    <w:rsid w:val="00346FF5"/>
    <w:rsid w:val="0034765D"/>
    <w:rsid w:val="003501D4"/>
    <w:rsid w:val="00350314"/>
    <w:rsid w:val="0035036E"/>
    <w:rsid w:val="00350430"/>
    <w:rsid w:val="0035060B"/>
    <w:rsid w:val="0035084D"/>
    <w:rsid w:val="003509F2"/>
    <w:rsid w:val="00350D2D"/>
    <w:rsid w:val="00350E83"/>
    <w:rsid w:val="00350FAB"/>
    <w:rsid w:val="00351577"/>
    <w:rsid w:val="003518DB"/>
    <w:rsid w:val="0035202F"/>
    <w:rsid w:val="0035212A"/>
    <w:rsid w:val="00352389"/>
    <w:rsid w:val="003525BA"/>
    <w:rsid w:val="003525C9"/>
    <w:rsid w:val="003526AF"/>
    <w:rsid w:val="003527DF"/>
    <w:rsid w:val="00353572"/>
    <w:rsid w:val="00353DE5"/>
    <w:rsid w:val="00353E99"/>
    <w:rsid w:val="003540F3"/>
    <w:rsid w:val="00354389"/>
    <w:rsid w:val="003550AA"/>
    <w:rsid w:val="00355664"/>
    <w:rsid w:val="0035574F"/>
    <w:rsid w:val="003557A8"/>
    <w:rsid w:val="003557AC"/>
    <w:rsid w:val="0035706D"/>
    <w:rsid w:val="00357082"/>
    <w:rsid w:val="003572FB"/>
    <w:rsid w:val="003576E2"/>
    <w:rsid w:val="00357777"/>
    <w:rsid w:val="003578A6"/>
    <w:rsid w:val="00357AC2"/>
    <w:rsid w:val="00357F8E"/>
    <w:rsid w:val="0036009F"/>
    <w:rsid w:val="0036024B"/>
    <w:rsid w:val="003607B3"/>
    <w:rsid w:val="00360DDE"/>
    <w:rsid w:val="003615A0"/>
    <w:rsid w:val="0036194C"/>
    <w:rsid w:val="00361F13"/>
    <w:rsid w:val="0036264B"/>
    <w:rsid w:val="00362735"/>
    <w:rsid w:val="00362925"/>
    <w:rsid w:val="003636A7"/>
    <w:rsid w:val="003636F5"/>
    <w:rsid w:val="00364520"/>
    <w:rsid w:val="0036502C"/>
    <w:rsid w:val="0036514F"/>
    <w:rsid w:val="003651FD"/>
    <w:rsid w:val="0036544F"/>
    <w:rsid w:val="003654DD"/>
    <w:rsid w:val="00365A37"/>
    <w:rsid w:val="00365E02"/>
    <w:rsid w:val="00366431"/>
    <w:rsid w:val="0036692A"/>
    <w:rsid w:val="00366AB8"/>
    <w:rsid w:val="00366DEC"/>
    <w:rsid w:val="0036705C"/>
    <w:rsid w:val="00367535"/>
    <w:rsid w:val="00367B03"/>
    <w:rsid w:val="00370132"/>
    <w:rsid w:val="003708C7"/>
    <w:rsid w:val="00370C14"/>
    <w:rsid w:val="00371089"/>
    <w:rsid w:val="0037159A"/>
    <w:rsid w:val="00371CA4"/>
    <w:rsid w:val="00371F85"/>
    <w:rsid w:val="00372635"/>
    <w:rsid w:val="003728AB"/>
    <w:rsid w:val="003728FC"/>
    <w:rsid w:val="00372D1F"/>
    <w:rsid w:val="003732B9"/>
    <w:rsid w:val="0037352E"/>
    <w:rsid w:val="00373820"/>
    <w:rsid w:val="00373F22"/>
    <w:rsid w:val="00374161"/>
    <w:rsid w:val="0037467B"/>
    <w:rsid w:val="00374689"/>
    <w:rsid w:val="003749C4"/>
    <w:rsid w:val="00374A34"/>
    <w:rsid w:val="003756FA"/>
    <w:rsid w:val="00375BCB"/>
    <w:rsid w:val="00376B13"/>
    <w:rsid w:val="00376BD3"/>
    <w:rsid w:val="00376F4A"/>
    <w:rsid w:val="003773AC"/>
    <w:rsid w:val="003773C4"/>
    <w:rsid w:val="00377656"/>
    <w:rsid w:val="00377B26"/>
    <w:rsid w:val="003802C8"/>
    <w:rsid w:val="00380430"/>
    <w:rsid w:val="0038069C"/>
    <w:rsid w:val="00380755"/>
    <w:rsid w:val="003815D5"/>
    <w:rsid w:val="00381878"/>
    <w:rsid w:val="003818DC"/>
    <w:rsid w:val="00381AD6"/>
    <w:rsid w:val="00381CA6"/>
    <w:rsid w:val="003821E2"/>
    <w:rsid w:val="003827BD"/>
    <w:rsid w:val="003829B7"/>
    <w:rsid w:val="003829E8"/>
    <w:rsid w:val="00383012"/>
    <w:rsid w:val="00383080"/>
    <w:rsid w:val="003834BA"/>
    <w:rsid w:val="003835F9"/>
    <w:rsid w:val="00383C34"/>
    <w:rsid w:val="00384468"/>
    <w:rsid w:val="003846CB"/>
    <w:rsid w:val="00384B85"/>
    <w:rsid w:val="00384C72"/>
    <w:rsid w:val="00385448"/>
    <w:rsid w:val="00385741"/>
    <w:rsid w:val="0038585C"/>
    <w:rsid w:val="003858FC"/>
    <w:rsid w:val="00385A78"/>
    <w:rsid w:val="00385E41"/>
    <w:rsid w:val="00385E4A"/>
    <w:rsid w:val="00385F63"/>
    <w:rsid w:val="00386006"/>
    <w:rsid w:val="00386059"/>
    <w:rsid w:val="003865B6"/>
    <w:rsid w:val="00386991"/>
    <w:rsid w:val="00386A3E"/>
    <w:rsid w:val="00386CE1"/>
    <w:rsid w:val="00387033"/>
    <w:rsid w:val="00387114"/>
    <w:rsid w:val="00387367"/>
    <w:rsid w:val="00387748"/>
    <w:rsid w:val="00387937"/>
    <w:rsid w:val="0039006A"/>
    <w:rsid w:val="00390304"/>
    <w:rsid w:val="00390CE7"/>
    <w:rsid w:val="00391B14"/>
    <w:rsid w:val="00391B76"/>
    <w:rsid w:val="00391EDE"/>
    <w:rsid w:val="0039201C"/>
    <w:rsid w:val="00392CA5"/>
    <w:rsid w:val="00392CF9"/>
    <w:rsid w:val="00393040"/>
    <w:rsid w:val="00393203"/>
    <w:rsid w:val="003939D6"/>
    <w:rsid w:val="00393B17"/>
    <w:rsid w:val="00393F35"/>
    <w:rsid w:val="00394284"/>
    <w:rsid w:val="00394839"/>
    <w:rsid w:val="00395CBD"/>
    <w:rsid w:val="003961BA"/>
    <w:rsid w:val="00396226"/>
    <w:rsid w:val="00396CFF"/>
    <w:rsid w:val="00396D0A"/>
    <w:rsid w:val="00396D6A"/>
    <w:rsid w:val="00396E27"/>
    <w:rsid w:val="00396F5E"/>
    <w:rsid w:val="0039742E"/>
    <w:rsid w:val="00397D10"/>
    <w:rsid w:val="00397EAC"/>
    <w:rsid w:val="00397F26"/>
    <w:rsid w:val="00397F52"/>
    <w:rsid w:val="003A00AA"/>
    <w:rsid w:val="003A00B3"/>
    <w:rsid w:val="003A0135"/>
    <w:rsid w:val="003A06A2"/>
    <w:rsid w:val="003A0767"/>
    <w:rsid w:val="003A0C0C"/>
    <w:rsid w:val="003A13F4"/>
    <w:rsid w:val="003A1EA2"/>
    <w:rsid w:val="003A26D8"/>
    <w:rsid w:val="003A2786"/>
    <w:rsid w:val="003A2C38"/>
    <w:rsid w:val="003A2C6A"/>
    <w:rsid w:val="003A2D52"/>
    <w:rsid w:val="003A3003"/>
    <w:rsid w:val="003A3104"/>
    <w:rsid w:val="003A3111"/>
    <w:rsid w:val="003A3408"/>
    <w:rsid w:val="003A36EB"/>
    <w:rsid w:val="003A3955"/>
    <w:rsid w:val="003A4362"/>
    <w:rsid w:val="003A4979"/>
    <w:rsid w:val="003A54A2"/>
    <w:rsid w:val="003A559E"/>
    <w:rsid w:val="003A66C0"/>
    <w:rsid w:val="003A6933"/>
    <w:rsid w:val="003A6C61"/>
    <w:rsid w:val="003A7311"/>
    <w:rsid w:val="003A745F"/>
    <w:rsid w:val="003A746B"/>
    <w:rsid w:val="003A76A2"/>
    <w:rsid w:val="003B00EE"/>
    <w:rsid w:val="003B01C0"/>
    <w:rsid w:val="003B04C7"/>
    <w:rsid w:val="003B0D5D"/>
    <w:rsid w:val="003B1033"/>
    <w:rsid w:val="003B10EC"/>
    <w:rsid w:val="003B1291"/>
    <w:rsid w:val="003B1347"/>
    <w:rsid w:val="003B148D"/>
    <w:rsid w:val="003B1977"/>
    <w:rsid w:val="003B1C58"/>
    <w:rsid w:val="003B1E73"/>
    <w:rsid w:val="003B1FFE"/>
    <w:rsid w:val="003B26B8"/>
    <w:rsid w:val="003B2738"/>
    <w:rsid w:val="003B2A11"/>
    <w:rsid w:val="003B2A8F"/>
    <w:rsid w:val="003B2E34"/>
    <w:rsid w:val="003B34A9"/>
    <w:rsid w:val="003B3931"/>
    <w:rsid w:val="003B3F95"/>
    <w:rsid w:val="003B42B5"/>
    <w:rsid w:val="003B4B46"/>
    <w:rsid w:val="003B4F61"/>
    <w:rsid w:val="003B60A8"/>
    <w:rsid w:val="003B61E5"/>
    <w:rsid w:val="003B669A"/>
    <w:rsid w:val="003B67FC"/>
    <w:rsid w:val="003B7984"/>
    <w:rsid w:val="003B7AC4"/>
    <w:rsid w:val="003B7B8A"/>
    <w:rsid w:val="003C00AD"/>
    <w:rsid w:val="003C02F8"/>
    <w:rsid w:val="003C057F"/>
    <w:rsid w:val="003C0A9F"/>
    <w:rsid w:val="003C13A4"/>
    <w:rsid w:val="003C1975"/>
    <w:rsid w:val="003C1C06"/>
    <w:rsid w:val="003C1CCD"/>
    <w:rsid w:val="003C1FB0"/>
    <w:rsid w:val="003C2299"/>
    <w:rsid w:val="003C2546"/>
    <w:rsid w:val="003C2652"/>
    <w:rsid w:val="003C2B0F"/>
    <w:rsid w:val="003C2C8E"/>
    <w:rsid w:val="003C2E5E"/>
    <w:rsid w:val="003C2FD0"/>
    <w:rsid w:val="003C32EF"/>
    <w:rsid w:val="003C3C76"/>
    <w:rsid w:val="003C400E"/>
    <w:rsid w:val="003C40F2"/>
    <w:rsid w:val="003C4224"/>
    <w:rsid w:val="003C4435"/>
    <w:rsid w:val="003C47FD"/>
    <w:rsid w:val="003C49BF"/>
    <w:rsid w:val="003C4ABB"/>
    <w:rsid w:val="003C519C"/>
    <w:rsid w:val="003C584C"/>
    <w:rsid w:val="003C5A32"/>
    <w:rsid w:val="003C6067"/>
    <w:rsid w:val="003C6089"/>
    <w:rsid w:val="003C632F"/>
    <w:rsid w:val="003C63FD"/>
    <w:rsid w:val="003C6495"/>
    <w:rsid w:val="003C69EF"/>
    <w:rsid w:val="003C6AE4"/>
    <w:rsid w:val="003C6D0A"/>
    <w:rsid w:val="003C6F0A"/>
    <w:rsid w:val="003D07F9"/>
    <w:rsid w:val="003D08D1"/>
    <w:rsid w:val="003D15F7"/>
    <w:rsid w:val="003D178D"/>
    <w:rsid w:val="003D182D"/>
    <w:rsid w:val="003D1863"/>
    <w:rsid w:val="003D1CAD"/>
    <w:rsid w:val="003D1E49"/>
    <w:rsid w:val="003D1F91"/>
    <w:rsid w:val="003D2359"/>
    <w:rsid w:val="003D279C"/>
    <w:rsid w:val="003D283B"/>
    <w:rsid w:val="003D28BE"/>
    <w:rsid w:val="003D2FD5"/>
    <w:rsid w:val="003D3074"/>
    <w:rsid w:val="003D3355"/>
    <w:rsid w:val="003D3385"/>
    <w:rsid w:val="003D3670"/>
    <w:rsid w:val="003D36B0"/>
    <w:rsid w:val="003D3945"/>
    <w:rsid w:val="003D39F8"/>
    <w:rsid w:val="003D3AB4"/>
    <w:rsid w:val="003D3B07"/>
    <w:rsid w:val="003D3C09"/>
    <w:rsid w:val="003D4403"/>
    <w:rsid w:val="003D5398"/>
    <w:rsid w:val="003D5599"/>
    <w:rsid w:val="003D5654"/>
    <w:rsid w:val="003D5CB2"/>
    <w:rsid w:val="003D5E15"/>
    <w:rsid w:val="003D5F05"/>
    <w:rsid w:val="003D61BE"/>
    <w:rsid w:val="003D6258"/>
    <w:rsid w:val="003D6383"/>
    <w:rsid w:val="003D6625"/>
    <w:rsid w:val="003D6731"/>
    <w:rsid w:val="003D682A"/>
    <w:rsid w:val="003D69A1"/>
    <w:rsid w:val="003D6F6C"/>
    <w:rsid w:val="003D7C66"/>
    <w:rsid w:val="003D7F77"/>
    <w:rsid w:val="003E027E"/>
    <w:rsid w:val="003E02DC"/>
    <w:rsid w:val="003E0421"/>
    <w:rsid w:val="003E05AF"/>
    <w:rsid w:val="003E0B80"/>
    <w:rsid w:val="003E0CD2"/>
    <w:rsid w:val="003E0E40"/>
    <w:rsid w:val="003E1DDB"/>
    <w:rsid w:val="003E1E71"/>
    <w:rsid w:val="003E209B"/>
    <w:rsid w:val="003E25A3"/>
    <w:rsid w:val="003E2ADF"/>
    <w:rsid w:val="003E2FA8"/>
    <w:rsid w:val="003E3029"/>
    <w:rsid w:val="003E31D4"/>
    <w:rsid w:val="003E343D"/>
    <w:rsid w:val="003E37A2"/>
    <w:rsid w:val="003E38F6"/>
    <w:rsid w:val="003E3D5C"/>
    <w:rsid w:val="003E44B8"/>
    <w:rsid w:val="003E4910"/>
    <w:rsid w:val="003E51BD"/>
    <w:rsid w:val="003E55F2"/>
    <w:rsid w:val="003E5890"/>
    <w:rsid w:val="003E598A"/>
    <w:rsid w:val="003E5D5F"/>
    <w:rsid w:val="003E5EE1"/>
    <w:rsid w:val="003E609D"/>
    <w:rsid w:val="003E60F8"/>
    <w:rsid w:val="003E60FC"/>
    <w:rsid w:val="003E637A"/>
    <w:rsid w:val="003E661E"/>
    <w:rsid w:val="003E66EA"/>
    <w:rsid w:val="003E6CE9"/>
    <w:rsid w:val="003E73B5"/>
    <w:rsid w:val="003E768F"/>
    <w:rsid w:val="003E7C5E"/>
    <w:rsid w:val="003F02C4"/>
    <w:rsid w:val="003F0457"/>
    <w:rsid w:val="003F0746"/>
    <w:rsid w:val="003F0E64"/>
    <w:rsid w:val="003F104A"/>
    <w:rsid w:val="003F163B"/>
    <w:rsid w:val="003F2028"/>
    <w:rsid w:val="003F2208"/>
    <w:rsid w:val="003F22B5"/>
    <w:rsid w:val="003F2643"/>
    <w:rsid w:val="003F2F8B"/>
    <w:rsid w:val="003F33DB"/>
    <w:rsid w:val="003F45A4"/>
    <w:rsid w:val="003F505D"/>
    <w:rsid w:val="003F5602"/>
    <w:rsid w:val="003F56B8"/>
    <w:rsid w:val="003F5D88"/>
    <w:rsid w:val="003F5DA9"/>
    <w:rsid w:val="003F6130"/>
    <w:rsid w:val="003F63C9"/>
    <w:rsid w:val="003F69DD"/>
    <w:rsid w:val="003F6DBB"/>
    <w:rsid w:val="003F78B7"/>
    <w:rsid w:val="003F7A67"/>
    <w:rsid w:val="003F7BB3"/>
    <w:rsid w:val="004003C1"/>
    <w:rsid w:val="00400465"/>
    <w:rsid w:val="00400836"/>
    <w:rsid w:val="00400B67"/>
    <w:rsid w:val="00401E91"/>
    <w:rsid w:val="004028FC"/>
    <w:rsid w:val="00402D19"/>
    <w:rsid w:val="00402DE6"/>
    <w:rsid w:val="00402E8C"/>
    <w:rsid w:val="00402F72"/>
    <w:rsid w:val="0040329A"/>
    <w:rsid w:val="004033DC"/>
    <w:rsid w:val="00403752"/>
    <w:rsid w:val="004039DF"/>
    <w:rsid w:val="00403D69"/>
    <w:rsid w:val="00403E0A"/>
    <w:rsid w:val="00403E43"/>
    <w:rsid w:val="004041CA"/>
    <w:rsid w:val="0040433E"/>
    <w:rsid w:val="00404542"/>
    <w:rsid w:val="00404A45"/>
    <w:rsid w:val="00404B3E"/>
    <w:rsid w:val="00404EC6"/>
    <w:rsid w:val="00405244"/>
    <w:rsid w:val="004052A3"/>
    <w:rsid w:val="0040545B"/>
    <w:rsid w:val="00405499"/>
    <w:rsid w:val="0040564C"/>
    <w:rsid w:val="004056BB"/>
    <w:rsid w:val="0040589F"/>
    <w:rsid w:val="00405A0B"/>
    <w:rsid w:val="00405C53"/>
    <w:rsid w:val="00405E41"/>
    <w:rsid w:val="0040605D"/>
    <w:rsid w:val="00406883"/>
    <w:rsid w:val="00406B37"/>
    <w:rsid w:val="004071F0"/>
    <w:rsid w:val="0040728D"/>
    <w:rsid w:val="00407346"/>
    <w:rsid w:val="00407934"/>
    <w:rsid w:val="00407E75"/>
    <w:rsid w:val="00407EA2"/>
    <w:rsid w:val="004105D1"/>
    <w:rsid w:val="00410D24"/>
    <w:rsid w:val="00410E5A"/>
    <w:rsid w:val="004111B9"/>
    <w:rsid w:val="004118DA"/>
    <w:rsid w:val="00411BD1"/>
    <w:rsid w:val="00411D06"/>
    <w:rsid w:val="00412182"/>
    <w:rsid w:val="004128E3"/>
    <w:rsid w:val="004129E2"/>
    <w:rsid w:val="00414361"/>
    <w:rsid w:val="00414521"/>
    <w:rsid w:val="004145B2"/>
    <w:rsid w:val="00414640"/>
    <w:rsid w:val="00414DAB"/>
    <w:rsid w:val="004150DA"/>
    <w:rsid w:val="00415FE3"/>
    <w:rsid w:val="004164D9"/>
    <w:rsid w:val="00416729"/>
    <w:rsid w:val="004169D5"/>
    <w:rsid w:val="00416B59"/>
    <w:rsid w:val="00416BC1"/>
    <w:rsid w:val="00416FA1"/>
    <w:rsid w:val="00416FBB"/>
    <w:rsid w:val="00417396"/>
    <w:rsid w:val="004175E4"/>
    <w:rsid w:val="004177F3"/>
    <w:rsid w:val="00420024"/>
    <w:rsid w:val="004204F5"/>
    <w:rsid w:val="00420581"/>
    <w:rsid w:val="0042093D"/>
    <w:rsid w:val="00420A36"/>
    <w:rsid w:val="00420EE2"/>
    <w:rsid w:val="004210D7"/>
    <w:rsid w:val="0042116F"/>
    <w:rsid w:val="0042193F"/>
    <w:rsid w:val="004219B0"/>
    <w:rsid w:val="00421DAF"/>
    <w:rsid w:val="00421EA7"/>
    <w:rsid w:val="00422545"/>
    <w:rsid w:val="00422606"/>
    <w:rsid w:val="004226E0"/>
    <w:rsid w:val="00422752"/>
    <w:rsid w:val="00422B0C"/>
    <w:rsid w:val="00422CD1"/>
    <w:rsid w:val="00422D28"/>
    <w:rsid w:val="004236A8"/>
    <w:rsid w:val="004239F6"/>
    <w:rsid w:val="00423B21"/>
    <w:rsid w:val="00423DF6"/>
    <w:rsid w:val="00423EC8"/>
    <w:rsid w:val="00424634"/>
    <w:rsid w:val="00424D0D"/>
    <w:rsid w:val="004250D8"/>
    <w:rsid w:val="0042541A"/>
    <w:rsid w:val="004254CB"/>
    <w:rsid w:val="004259E2"/>
    <w:rsid w:val="00425FB1"/>
    <w:rsid w:val="00426165"/>
    <w:rsid w:val="0042654B"/>
    <w:rsid w:val="004269CA"/>
    <w:rsid w:val="00426AC4"/>
    <w:rsid w:val="00426D1C"/>
    <w:rsid w:val="00426E70"/>
    <w:rsid w:val="00427439"/>
    <w:rsid w:val="00427509"/>
    <w:rsid w:val="00427A4A"/>
    <w:rsid w:val="004300C8"/>
    <w:rsid w:val="00430650"/>
    <w:rsid w:val="00430A90"/>
    <w:rsid w:val="004318E7"/>
    <w:rsid w:val="00431A3B"/>
    <w:rsid w:val="00431DC9"/>
    <w:rsid w:val="004323C6"/>
    <w:rsid w:val="0043250D"/>
    <w:rsid w:val="0043258F"/>
    <w:rsid w:val="00432602"/>
    <w:rsid w:val="00432816"/>
    <w:rsid w:val="00432DEA"/>
    <w:rsid w:val="0043338F"/>
    <w:rsid w:val="004333F8"/>
    <w:rsid w:val="004337C8"/>
    <w:rsid w:val="004337E4"/>
    <w:rsid w:val="004337F0"/>
    <w:rsid w:val="0043399D"/>
    <w:rsid w:val="00433FD9"/>
    <w:rsid w:val="0043453E"/>
    <w:rsid w:val="004345D5"/>
    <w:rsid w:val="00434DE1"/>
    <w:rsid w:val="00434FB7"/>
    <w:rsid w:val="00435553"/>
    <w:rsid w:val="004356CF"/>
    <w:rsid w:val="00435C78"/>
    <w:rsid w:val="00435F9A"/>
    <w:rsid w:val="00436400"/>
    <w:rsid w:val="004378B3"/>
    <w:rsid w:val="00437958"/>
    <w:rsid w:val="00440786"/>
    <w:rsid w:val="004407B2"/>
    <w:rsid w:val="004408BD"/>
    <w:rsid w:val="00440D49"/>
    <w:rsid w:val="00441125"/>
    <w:rsid w:val="00441217"/>
    <w:rsid w:val="00441A8C"/>
    <w:rsid w:val="00441C05"/>
    <w:rsid w:val="00441C82"/>
    <w:rsid w:val="00442344"/>
    <w:rsid w:val="00442483"/>
    <w:rsid w:val="004425FA"/>
    <w:rsid w:val="00443966"/>
    <w:rsid w:val="00443B39"/>
    <w:rsid w:val="00443CF5"/>
    <w:rsid w:val="004442A0"/>
    <w:rsid w:val="004449A2"/>
    <w:rsid w:val="00445009"/>
    <w:rsid w:val="0044564D"/>
    <w:rsid w:val="00445973"/>
    <w:rsid w:val="00445A76"/>
    <w:rsid w:val="00445DF3"/>
    <w:rsid w:val="00445E0C"/>
    <w:rsid w:val="004462F0"/>
    <w:rsid w:val="0044654D"/>
    <w:rsid w:val="00446571"/>
    <w:rsid w:val="0044672C"/>
    <w:rsid w:val="00446834"/>
    <w:rsid w:val="00446E91"/>
    <w:rsid w:val="00446F74"/>
    <w:rsid w:val="004474F8"/>
    <w:rsid w:val="00447565"/>
    <w:rsid w:val="00447922"/>
    <w:rsid w:val="004479A4"/>
    <w:rsid w:val="004479AF"/>
    <w:rsid w:val="004502E7"/>
    <w:rsid w:val="0045050A"/>
    <w:rsid w:val="00450A50"/>
    <w:rsid w:val="0045101C"/>
    <w:rsid w:val="00451469"/>
    <w:rsid w:val="00452085"/>
    <w:rsid w:val="00452461"/>
    <w:rsid w:val="0045279D"/>
    <w:rsid w:val="00452CCF"/>
    <w:rsid w:val="004532D7"/>
    <w:rsid w:val="004533EA"/>
    <w:rsid w:val="0045365B"/>
    <w:rsid w:val="004537FA"/>
    <w:rsid w:val="00453BEE"/>
    <w:rsid w:val="00454A42"/>
    <w:rsid w:val="00456344"/>
    <w:rsid w:val="0045671B"/>
    <w:rsid w:val="00456969"/>
    <w:rsid w:val="00456E50"/>
    <w:rsid w:val="00456F43"/>
    <w:rsid w:val="00456FD6"/>
    <w:rsid w:val="00457612"/>
    <w:rsid w:val="0045779F"/>
    <w:rsid w:val="00457988"/>
    <w:rsid w:val="00457AD3"/>
    <w:rsid w:val="00460860"/>
    <w:rsid w:val="00460A20"/>
    <w:rsid w:val="00460D69"/>
    <w:rsid w:val="004610E9"/>
    <w:rsid w:val="0046111E"/>
    <w:rsid w:val="00461162"/>
    <w:rsid w:val="00461308"/>
    <w:rsid w:val="00461326"/>
    <w:rsid w:val="00461893"/>
    <w:rsid w:val="00461F2A"/>
    <w:rsid w:val="00461F8B"/>
    <w:rsid w:val="0046266B"/>
    <w:rsid w:val="00462B0A"/>
    <w:rsid w:val="0046340E"/>
    <w:rsid w:val="004645BE"/>
    <w:rsid w:val="00464B5C"/>
    <w:rsid w:val="00464C91"/>
    <w:rsid w:val="00464E7A"/>
    <w:rsid w:val="00464FDC"/>
    <w:rsid w:val="00464FFC"/>
    <w:rsid w:val="0046527B"/>
    <w:rsid w:val="00465D91"/>
    <w:rsid w:val="0046630C"/>
    <w:rsid w:val="00466B86"/>
    <w:rsid w:val="00466C21"/>
    <w:rsid w:val="00466D73"/>
    <w:rsid w:val="0046709F"/>
    <w:rsid w:val="004672FB"/>
    <w:rsid w:val="00467A8C"/>
    <w:rsid w:val="00467BCD"/>
    <w:rsid w:val="004707A9"/>
    <w:rsid w:val="00471353"/>
    <w:rsid w:val="004713A8"/>
    <w:rsid w:val="0047153F"/>
    <w:rsid w:val="00471727"/>
    <w:rsid w:val="0047180E"/>
    <w:rsid w:val="004718F8"/>
    <w:rsid w:val="00471959"/>
    <w:rsid w:val="00471D30"/>
    <w:rsid w:val="00471FF3"/>
    <w:rsid w:val="00472310"/>
    <w:rsid w:val="00472C38"/>
    <w:rsid w:val="00472EB7"/>
    <w:rsid w:val="00473008"/>
    <w:rsid w:val="004731B8"/>
    <w:rsid w:val="00473353"/>
    <w:rsid w:val="00473431"/>
    <w:rsid w:val="00473596"/>
    <w:rsid w:val="00473617"/>
    <w:rsid w:val="00473A49"/>
    <w:rsid w:val="00473CC9"/>
    <w:rsid w:val="00473F85"/>
    <w:rsid w:val="0047431E"/>
    <w:rsid w:val="00474381"/>
    <w:rsid w:val="00474545"/>
    <w:rsid w:val="00474858"/>
    <w:rsid w:val="00474CBA"/>
    <w:rsid w:val="0047541B"/>
    <w:rsid w:val="004757C0"/>
    <w:rsid w:val="00475823"/>
    <w:rsid w:val="00475FE0"/>
    <w:rsid w:val="004760FF"/>
    <w:rsid w:val="0047617F"/>
    <w:rsid w:val="00476915"/>
    <w:rsid w:val="00477472"/>
    <w:rsid w:val="00477595"/>
    <w:rsid w:val="004800C2"/>
    <w:rsid w:val="004801CC"/>
    <w:rsid w:val="0048042B"/>
    <w:rsid w:val="00480828"/>
    <w:rsid w:val="0048082C"/>
    <w:rsid w:val="004808DE"/>
    <w:rsid w:val="00481155"/>
    <w:rsid w:val="00481E5E"/>
    <w:rsid w:val="00481EDD"/>
    <w:rsid w:val="004821C2"/>
    <w:rsid w:val="00482642"/>
    <w:rsid w:val="00482EFA"/>
    <w:rsid w:val="004832D9"/>
    <w:rsid w:val="00483B19"/>
    <w:rsid w:val="00483DE5"/>
    <w:rsid w:val="00483E29"/>
    <w:rsid w:val="00483F76"/>
    <w:rsid w:val="00484746"/>
    <w:rsid w:val="0048477B"/>
    <w:rsid w:val="0048496C"/>
    <w:rsid w:val="00484ECA"/>
    <w:rsid w:val="00484F35"/>
    <w:rsid w:val="00485139"/>
    <w:rsid w:val="004852EB"/>
    <w:rsid w:val="004854D4"/>
    <w:rsid w:val="004857EA"/>
    <w:rsid w:val="0048581E"/>
    <w:rsid w:val="00485832"/>
    <w:rsid w:val="004858D1"/>
    <w:rsid w:val="00485CB0"/>
    <w:rsid w:val="004860AE"/>
    <w:rsid w:val="0048662D"/>
    <w:rsid w:val="00486729"/>
    <w:rsid w:val="0048692D"/>
    <w:rsid w:val="00486DBD"/>
    <w:rsid w:val="00487217"/>
    <w:rsid w:val="0048739B"/>
    <w:rsid w:val="0048739F"/>
    <w:rsid w:val="00490589"/>
    <w:rsid w:val="004909A1"/>
    <w:rsid w:val="004913FE"/>
    <w:rsid w:val="0049176E"/>
    <w:rsid w:val="004918D7"/>
    <w:rsid w:val="004921C4"/>
    <w:rsid w:val="0049385E"/>
    <w:rsid w:val="00493A1E"/>
    <w:rsid w:val="00493C80"/>
    <w:rsid w:val="00494029"/>
    <w:rsid w:val="00494813"/>
    <w:rsid w:val="00495722"/>
    <w:rsid w:val="004959E1"/>
    <w:rsid w:val="00495BAC"/>
    <w:rsid w:val="004960F5"/>
    <w:rsid w:val="0049624D"/>
    <w:rsid w:val="00496A3C"/>
    <w:rsid w:val="00496BC1"/>
    <w:rsid w:val="00496DDF"/>
    <w:rsid w:val="004970DB"/>
    <w:rsid w:val="004970DC"/>
    <w:rsid w:val="00497EB1"/>
    <w:rsid w:val="004A0066"/>
    <w:rsid w:val="004A1FAE"/>
    <w:rsid w:val="004A30D9"/>
    <w:rsid w:val="004A3226"/>
    <w:rsid w:val="004A3DFF"/>
    <w:rsid w:val="004A3E8A"/>
    <w:rsid w:val="004A43F5"/>
    <w:rsid w:val="004A4508"/>
    <w:rsid w:val="004A46AC"/>
    <w:rsid w:val="004A4896"/>
    <w:rsid w:val="004A4973"/>
    <w:rsid w:val="004A49A0"/>
    <w:rsid w:val="004A50B6"/>
    <w:rsid w:val="004A5DEE"/>
    <w:rsid w:val="004A5E7D"/>
    <w:rsid w:val="004A6623"/>
    <w:rsid w:val="004A67AB"/>
    <w:rsid w:val="004A6802"/>
    <w:rsid w:val="004A6EE8"/>
    <w:rsid w:val="004A71EC"/>
    <w:rsid w:val="004A7A28"/>
    <w:rsid w:val="004A7E65"/>
    <w:rsid w:val="004B00CD"/>
    <w:rsid w:val="004B05FC"/>
    <w:rsid w:val="004B0AEE"/>
    <w:rsid w:val="004B0CD5"/>
    <w:rsid w:val="004B0CDF"/>
    <w:rsid w:val="004B0E2B"/>
    <w:rsid w:val="004B10D9"/>
    <w:rsid w:val="004B195F"/>
    <w:rsid w:val="004B19DD"/>
    <w:rsid w:val="004B19FB"/>
    <w:rsid w:val="004B1C4D"/>
    <w:rsid w:val="004B1FE9"/>
    <w:rsid w:val="004B25F6"/>
    <w:rsid w:val="004B287C"/>
    <w:rsid w:val="004B2BBA"/>
    <w:rsid w:val="004B2E84"/>
    <w:rsid w:val="004B311B"/>
    <w:rsid w:val="004B392A"/>
    <w:rsid w:val="004B3A33"/>
    <w:rsid w:val="004B3F63"/>
    <w:rsid w:val="004B41DF"/>
    <w:rsid w:val="004B41F5"/>
    <w:rsid w:val="004B47B4"/>
    <w:rsid w:val="004B4921"/>
    <w:rsid w:val="004B4D7B"/>
    <w:rsid w:val="004B4ED7"/>
    <w:rsid w:val="004B5048"/>
    <w:rsid w:val="004B5834"/>
    <w:rsid w:val="004B596A"/>
    <w:rsid w:val="004B5BD1"/>
    <w:rsid w:val="004B5C0F"/>
    <w:rsid w:val="004B5DD7"/>
    <w:rsid w:val="004B5F2F"/>
    <w:rsid w:val="004B6191"/>
    <w:rsid w:val="004B717B"/>
    <w:rsid w:val="004B723D"/>
    <w:rsid w:val="004B729C"/>
    <w:rsid w:val="004B75E0"/>
    <w:rsid w:val="004B7968"/>
    <w:rsid w:val="004C06E9"/>
    <w:rsid w:val="004C0766"/>
    <w:rsid w:val="004C098C"/>
    <w:rsid w:val="004C0EF0"/>
    <w:rsid w:val="004C13F7"/>
    <w:rsid w:val="004C1F31"/>
    <w:rsid w:val="004C21CC"/>
    <w:rsid w:val="004C2E8C"/>
    <w:rsid w:val="004C3F58"/>
    <w:rsid w:val="004C4383"/>
    <w:rsid w:val="004C47A3"/>
    <w:rsid w:val="004C5078"/>
    <w:rsid w:val="004C5447"/>
    <w:rsid w:val="004C5AD5"/>
    <w:rsid w:val="004C5FF5"/>
    <w:rsid w:val="004C61C6"/>
    <w:rsid w:val="004C64BB"/>
    <w:rsid w:val="004C683D"/>
    <w:rsid w:val="004C6C95"/>
    <w:rsid w:val="004C6EED"/>
    <w:rsid w:val="004C704B"/>
    <w:rsid w:val="004C71B7"/>
    <w:rsid w:val="004C72AE"/>
    <w:rsid w:val="004C73F1"/>
    <w:rsid w:val="004C762D"/>
    <w:rsid w:val="004C7E06"/>
    <w:rsid w:val="004C7F19"/>
    <w:rsid w:val="004D0153"/>
    <w:rsid w:val="004D038A"/>
    <w:rsid w:val="004D0493"/>
    <w:rsid w:val="004D07CD"/>
    <w:rsid w:val="004D0CFF"/>
    <w:rsid w:val="004D0E12"/>
    <w:rsid w:val="004D101F"/>
    <w:rsid w:val="004D113B"/>
    <w:rsid w:val="004D13EE"/>
    <w:rsid w:val="004D1508"/>
    <w:rsid w:val="004D182F"/>
    <w:rsid w:val="004D1AD5"/>
    <w:rsid w:val="004D1B24"/>
    <w:rsid w:val="004D1E96"/>
    <w:rsid w:val="004D2045"/>
    <w:rsid w:val="004D2855"/>
    <w:rsid w:val="004D2BAE"/>
    <w:rsid w:val="004D3300"/>
    <w:rsid w:val="004D36D2"/>
    <w:rsid w:val="004D3965"/>
    <w:rsid w:val="004D3A1C"/>
    <w:rsid w:val="004D3D4B"/>
    <w:rsid w:val="004D3E47"/>
    <w:rsid w:val="004D3F1C"/>
    <w:rsid w:val="004D440D"/>
    <w:rsid w:val="004D460E"/>
    <w:rsid w:val="004D4F8B"/>
    <w:rsid w:val="004D5238"/>
    <w:rsid w:val="004D54F8"/>
    <w:rsid w:val="004D5589"/>
    <w:rsid w:val="004D56AA"/>
    <w:rsid w:val="004D6118"/>
    <w:rsid w:val="004D6498"/>
    <w:rsid w:val="004D7779"/>
    <w:rsid w:val="004D7BE9"/>
    <w:rsid w:val="004E0042"/>
    <w:rsid w:val="004E041F"/>
    <w:rsid w:val="004E0476"/>
    <w:rsid w:val="004E0AF9"/>
    <w:rsid w:val="004E0FC2"/>
    <w:rsid w:val="004E136C"/>
    <w:rsid w:val="004E138D"/>
    <w:rsid w:val="004E1694"/>
    <w:rsid w:val="004E1A86"/>
    <w:rsid w:val="004E1FF5"/>
    <w:rsid w:val="004E20E1"/>
    <w:rsid w:val="004E26F0"/>
    <w:rsid w:val="004E2853"/>
    <w:rsid w:val="004E3C01"/>
    <w:rsid w:val="004E3C71"/>
    <w:rsid w:val="004E3D35"/>
    <w:rsid w:val="004E4393"/>
    <w:rsid w:val="004E43BE"/>
    <w:rsid w:val="004E4416"/>
    <w:rsid w:val="004E47BA"/>
    <w:rsid w:val="004E47ED"/>
    <w:rsid w:val="004E4943"/>
    <w:rsid w:val="004E4A38"/>
    <w:rsid w:val="004E5006"/>
    <w:rsid w:val="004E51EF"/>
    <w:rsid w:val="004E53A4"/>
    <w:rsid w:val="004E5838"/>
    <w:rsid w:val="004E5BC2"/>
    <w:rsid w:val="004E5BFC"/>
    <w:rsid w:val="004E5C0A"/>
    <w:rsid w:val="004E5D24"/>
    <w:rsid w:val="004E5E3B"/>
    <w:rsid w:val="004E5E98"/>
    <w:rsid w:val="004E64F3"/>
    <w:rsid w:val="004E6704"/>
    <w:rsid w:val="004E6C4A"/>
    <w:rsid w:val="004E6E35"/>
    <w:rsid w:val="004E6FE1"/>
    <w:rsid w:val="004E703B"/>
    <w:rsid w:val="004E73A8"/>
    <w:rsid w:val="004E76A4"/>
    <w:rsid w:val="004E7C85"/>
    <w:rsid w:val="004F0657"/>
    <w:rsid w:val="004F0988"/>
    <w:rsid w:val="004F1469"/>
    <w:rsid w:val="004F24C0"/>
    <w:rsid w:val="004F2953"/>
    <w:rsid w:val="004F2CEA"/>
    <w:rsid w:val="004F30EB"/>
    <w:rsid w:val="004F3227"/>
    <w:rsid w:val="004F3296"/>
    <w:rsid w:val="004F381C"/>
    <w:rsid w:val="004F3C9F"/>
    <w:rsid w:val="004F3CAB"/>
    <w:rsid w:val="004F3F46"/>
    <w:rsid w:val="004F404D"/>
    <w:rsid w:val="004F4DE2"/>
    <w:rsid w:val="004F4EDB"/>
    <w:rsid w:val="004F57A1"/>
    <w:rsid w:val="004F585B"/>
    <w:rsid w:val="004F5AB7"/>
    <w:rsid w:val="004F5BF0"/>
    <w:rsid w:val="004F5F0D"/>
    <w:rsid w:val="004F5FC7"/>
    <w:rsid w:val="004F64C2"/>
    <w:rsid w:val="004F64ED"/>
    <w:rsid w:val="004F6644"/>
    <w:rsid w:val="004F6C7A"/>
    <w:rsid w:val="004F703F"/>
    <w:rsid w:val="004F7174"/>
    <w:rsid w:val="004F7530"/>
    <w:rsid w:val="004F7BA8"/>
    <w:rsid w:val="004F7CCD"/>
    <w:rsid w:val="005009AF"/>
    <w:rsid w:val="005016BD"/>
    <w:rsid w:val="00501E0D"/>
    <w:rsid w:val="005020E5"/>
    <w:rsid w:val="00502232"/>
    <w:rsid w:val="0050266A"/>
    <w:rsid w:val="005026E3"/>
    <w:rsid w:val="00502800"/>
    <w:rsid w:val="00502C21"/>
    <w:rsid w:val="00502CE5"/>
    <w:rsid w:val="00502D19"/>
    <w:rsid w:val="0050351D"/>
    <w:rsid w:val="00503B1A"/>
    <w:rsid w:val="00503E4D"/>
    <w:rsid w:val="005043FD"/>
    <w:rsid w:val="00504663"/>
    <w:rsid w:val="0050480C"/>
    <w:rsid w:val="00505206"/>
    <w:rsid w:val="005054AD"/>
    <w:rsid w:val="00505DD5"/>
    <w:rsid w:val="00505E80"/>
    <w:rsid w:val="0050635E"/>
    <w:rsid w:val="005064F7"/>
    <w:rsid w:val="005065F1"/>
    <w:rsid w:val="00506A0A"/>
    <w:rsid w:val="00506AFC"/>
    <w:rsid w:val="00506C39"/>
    <w:rsid w:val="00506D12"/>
    <w:rsid w:val="00506DDD"/>
    <w:rsid w:val="005072A1"/>
    <w:rsid w:val="00507C18"/>
    <w:rsid w:val="0051097A"/>
    <w:rsid w:val="00510B76"/>
    <w:rsid w:val="00510C80"/>
    <w:rsid w:val="005110F0"/>
    <w:rsid w:val="005114BC"/>
    <w:rsid w:val="00511522"/>
    <w:rsid w:val="005116D5"/>
    <w:rsid w:val="00511CA4"/>
    <w:rsid w:val="00511F18"/>
    <w:rsid w:val="005121E3"/>
    <w:rsid w:val="0051229D"/>
    <w:rsid w:val="0051257A"/>
    <w:rsid w:val="005125A5"/>
    <w:rsid w:val="00512605"/>
    <w:rsid w:val="00512666"/>
    <w:rsid w:val="00512715"/>
    <w:rsid w:val="00512B04"/>
    <w:rsid w:val="00513A11"/>
    <w:rsid w:val="0051426B"/>
    <w:rsid w:val="0051448B"/>
    <w:rsid w:val="00514901"/>
    <w:rsid w:val="00514ABC"/>
    <w:rsid w:val="00514E96"/>
    <w:rsid w:val="00514EF4"/>
    <w:rsid w:val="0051505B"/>
    <w:rsid w:val="005158C9"/>
    <w:rsid w:val="00515B4E"/>
    <w:rsid w:val="00515BB9"/>
    <w:rsid w:val="00515C6F"/>
    <w:rsid w:val="00515D8E"/>
    <w:rsid w:val="0051656F"/>
    <w:rsid w:val="00516799"/>
    <w:rsid w:val="005171E3"/>
    <w:rsid w:val="005173D2"/>
    <w:rsid w:val="005174D1"/>
    <w:rsid w:val="005179C9"/>
    <w:rsid w:val="00517FC4"/>
    <w:rsid w:val="00520076"/>
    <w:rsid w:val="00520B31"/>
    <w:rsid w:val="00521475"/>
    <w:rsid w:val="00521F91"/>
    <w:rsid w:val="0052206E"/>
    <w:rsid w:val="005220B2"/>
    <w:rsid w:val="005220F8"/>
    <w:rsid w:val="005221BC"/>
    <w:rsid w:val="0052220F"/>
    <w:rsid w:val="005228E8"/>
    <w:rsid w:val="005229F9"/>
    <w:rsid w:val="00522D29"/>
    <w:rsid w:val="00522E69"/>
    <w:rsid w:val="00522E81"/>
    <w:rsid w:val="00522EDD"/>
    <w:rsid w:val="00522EF0"/>
    <w:rsid w:val="00522F45"/>
    <w:rsid w:val="0052386F"/>
    <w:rsid w:val="00523B2D"/>
    <w:rsid w:val="005243F4"/>
    <w:rsid w:val="00524545"/>
    <w:rsid w:val="00524928"/>
    <w:rsid w:val="005249C6"/>
    <w:rsid w:val="005249F9"/>
    <w:rsid w:val="00524A73"/>
    <w:rsid w:val="00524DAF"/>
    <w:rsid w:val="00524FA6"/>
    <w:rsid w:val="0052500E"/>
    <w:rsid w:val="0052509D"/>
    <w:rsid w:val="0052529B"/>
    <w:rsid w:val="00525395"/>
    <w:rsid w:val="00525794"/>
    <w:rsid w:val="005258BD"/>
    <w:rsid w:val="0052591F"/>
    <w:rsid w:val="00525A5F"/>
    <w:rsid w:val="00526286"/>
    <w:rsid w:val="0052692F"/>
    <w:rsid w:val="005269B3"/>
    <w:rsid w:val="005269B7"/>
    <w:rsid w:val="00526BB8"/>
    <w:rsid w:val="00526E68"/>
    <w:rsid w:val="0052717D"/>
    <w:rsid w:val="00527221"/>
    <w:rsid w:val="0052735B"/>
    <w:rsid w:val="00527382"/>
    <w:rsid w:val="005273C1"/>
    <w:rsid w:val="00527B79"/>
    <w:rsid w:val="00527BF9"/>
    <w:rsid w:val="00527D66"/>
    <w:rsid w:val="00527EC6"/>
    <w:rsid w:val="00527EE6"/>
    <w:rsid w:val="00527F03"/>
    <w:rsid w:val="00527F13"/>
    <w:rsid w:val="00527F5A"/>
    <w:rsid w:val="00530285"/>
    <w:rsid w:val="00530D4B"/>
    <w:rsid w:val="00530E44"/>
    <w:rsid w:val="0053176B"/>
    <w:rsid w:val="00531AC9"/>
    <w:rsid w:val="00531B91"/>
    <w:rsid w:val="00531E43"/>
    <w:rsid w:val="00532390"/>
    <w:rsid w:val="0053257C"/>
    <w:rsid w:val="0053285C"/>
    <w:rsid w:val="00532936"/>
    <w:rsid w:val="00532B4A"/>
    <w:rsid w:val="005333B8"/>
    <w:rsid w:val="00533A58"/>
    <w:rsid w:val="00534978"/>
    <w:rsid w:val="005349B2"/>
    <w:rsid w:val="00534A88"/>
    <w:rsid w:val="00534D4A"/>
    <w:rsid w:val="00534F3A"/>
    <w:rsid w:val="0053534C"/>
    <w:rsid w:val="0053565B"/>
    <w:rsid w:val="005357BA"/>
    <w:rsid w:val="00535D5F"/>
    <w:rsid w:val="00536950"/>
    <w:rsid w:val="005369BF"/>
    <w:rsid w:val="00536E00"/>
    <w:rsid w:val="005371F7"/>
    <w:rsid w:val="005377F2"/>
    <w:rsid w:val="005378C7"/>
    <w:rsid w:val="00537A6B"/>
    <w:rsid w:val="00537E80"/>
    <w:rsid w:val="005405BF"/>
    <w:rsid w:val="005405CD"/>
    <w:rsid w:val="00540610"/>
    <w:rsid w:val="00540739"/>
    <w:rsid w:val="0054082A"/>
    <w:rsid w:val="00540B98"/>
    <w:rsid w:val="00540E9D"/>
    <w:rsid w:val="00541B1F"/>
    <w:rsid w:val="0054244D"/>
    <w:rsid w:val="00542950"/>
    <w:rsid w:val="00542A89"/>
    <w:rsid w:val="005431B3"/>
    <w:rsid w:val="0054354F"/>
    <w:rsid w:val="00543619"/>
    <w:rsid w:val="00543624"/>
    <w:rsid w:val="005439E4"/>
    <w:rsid w:val="00543CB5"/>
    <w:rsid w:val="00544273"/>
    <w:rsid w:val="0054431B"/>
    <w:rsid w:val="005445E9"/>
    <w:rsid w:val="00544750"/>
    <w:rsid w:val="00544DA9"/>
    <w:rsid w:val="00545091"/>
    <w:rsid w:val="00545CC1"/>
    <w:rsid w:val="00545E71"/>
    <w:rsid w:val="00545EEB"/>
    <w:rsid w:val="005463BF"/>
    <w:rsid w:val="0054678C"/>
    <w:rsid w:val="00546B5E"/>
    <w:rsid w:val="005472AF"/>
    <w:rsid w:val="005472FC"/>
    <w:rsid w:val="0054734B"/>
    <w:rsid w:val="005478C9"/>
    <w:rsid w:val="005478D9"/>
    <w:rsid w:val="0054793A"/>
    <w:rsid w:val="00547A0D"/>
    <w:rsid w:val="00547D35"/>
    <w:rsid w:val="0055034E"/>
    <w:rsid w:val="00550CED"/>
    <w:rsid w:val="005514B5"/>
    <w:rsid w:val="00551580"/>
    <w:rsid w:val="00551630"/>
    <w:rsid w:val="00551649"/>
    <w:rsid w:val="00551A24"/>
    <w:rsid w:val="00552016"/>
    <w:rsid w:val="005528E1"/>
    <w:rsid w:val="00552C81"/>
    <w:rsid w:val="00552EDD"/>
    <w:rsid w:val="005533D8"/>
    <w:rsid w:val="005535E3"/>
    <w:rsid w:val="00553608"/>
    <w:rsid w:val="00554026"/>
    <w:rsid w:val="00554A38"/>
    <w:rsid w:val="00555051"/>
    <w:rsid w:val="0055519F"/>
    <w:rsid w:val="005551EE"/>
    <w:rsid w:val="0055594C"/>
    <w:rsid w:val="00555A1F"/>
    <w:rsid w:val="00556047"/>
    <w:rsid w:val="005561EB"/>
    <w:rsid w:val="00556858"/>
    <w:rsid w:val="00556E36"/>
    <w:rsid w:val="00557D18"/>
    <w:rsid w:val="00560485"/>
    <w:rsid w:val="00560568"/>
    <w:rsid w:val="00560595"/>
    <w:rsid w:val="00560606"/>
    <w:rsid w:val="00560701"/>
    <w:rsid w:val="00560E4B"/>
    <w:rsid w:val="00561378"/>
    <w:rsid w:val="00561947"/>
    <w:rsid w:val="00561B8A"/>
    <w:rsid w:val="00561E71"/>
    <w:rsid w:val="00561E93"/>
    <w:rsid w:val="00562528"/>
    <w:rsid w:val="00562674"/>
    <w:rsid w:val="00562E55"/>
    <w:rsid w:val="00563351"/>
    <w:rsid w:val="00563446"/>
    <w:rsid w:val="0056352B"/>
    <w:rsid w:val="00564ACF"/>
    <w:rsid w:val="00564DB8"/>
    <w:rsid w:val="00564E67"/>
    <w:rsid w:val="00565175"/>
    <w:rsid w:val="00565312"/>
    <w:rsid w:val="005654F4"/>
    <w:rsid w:val="00566293"/>
    <w:rsid w:val="00566E31"/>
    <w:rsid w:val="00566FCB"/>
    <w:rsid w:val="00567342"/>
    <w:rsid w:val="00567504"/>
    <w:rsid w:val="0056773E"/>
    <w:rsid w:val="00567871"/>
    <w:rsid w:val="00567C87"/>
    <w:rsid w:val="00567DA6"/>
    <w:rsid w:val="00570A0C"/>
    <w:rsid w:val="005711BE"/>
    <w:rsid w:val="005714EE"/>
    <w:rsid w:val="005715D5"/>
    <w:rsid w:val="00571D58"/>
    <w:rsid w:val="00571E3C"/>
    <w:rsid w:val="00572248"/>
    <w:rsid w:val="00572585"/>
    <w:rsid w:val="0057263C"/>
    <w:rsid w:val="00572AE3"/>
    <w:rsid w:val="00572C0C"/>
    <w:rsid w:val="00572CA4"/>
    <w:rsid w:val="0057301F"/>
    <w:rsid w:val="0057326B"/>
    <w:rsid w:val="0057353C"/>
    <w:rsid w:val="005740EE"/>
    <w:rsid w:val="00574163"/>
    <w:rsid w:val="00574271"/>
    <w:rsid w:val="0057430B"/>
    <w:rsid w:val="0057439C"/>
    <w:rsid w:val="0057449A"/>
    <w:rsid w:val="005746D6"/>
    <w:rsid w:val="00574990"/>
    <w:rsid w:val="00574995"/>
    <w:rsid w:val="00574AF6"/>
    <w:rsid w:val="00574EA9"/>
    <w:rsid w:val="00575954"/>
    <w:rsid w:val="00575A4C"/>
    <w:rsid w:val="00575AC1"/>
    <w:rsid w:val="0057611F"/>
    <w:rsid w:val="0057634F"/>
    <w:rsid w:val="0057694D"/>
    <w:rsid w:val="00576952"/>
    <w:rsid w:val="00576CB9"/>
    <w:rsid w:val="00577651"/>
    <w:rsid w:val="00577653"/>
    <w:rsid w:val="005777E9"/>
    <w:rsid w:val="00577AA7"/>
    <w:rsid w:val="005807EC"/>
    <w:rsid w:val="00580D0D"/>
    <w:rsid w:val="0058113D"/>
    <w:rsid w:val="00581454"/>
    <w:rsid w:val="00581563"/>
    <w:rsid w:val="00581F99"/>
    <w:rsid w:val="00581FA4"/>
    <w:rsid w:val="0058216F"/>
    <w:rsid w:val="005821CB"/>
    <w:rsid w:val="00583180"/>
    <w:rsid w:val="00583231"/>
    <w:rsid w:val="00583697"/>
    <w:rsid w:val="00583744"/>
    <w:rsid w:val="00584341"/>
    <w:rsid w:val="00584FB8"/>
    <w:rsid w:val="00585343"/>
    <w:rsid w:val="00585561"/>
    <w:rsid w:val="0058592A"/>
    <w:rsid w:val="005859F0"/>
    <w:rsid w:val="00585B61"/>
    <w:rsid w:val="00586FD6"/>
    <w:rsid w:val="005870BD"/>
    <w:rsid w:val="005870E7"/>
    <w:rsid w:val="0058758F"/>
    <w:rsid w:val="00587CE9"/>
    <w:rsid w:val="00587EAB"/>
    <w:rsid w:val="005902AE"/>
    <w:rsid w:val="005906DD"/>
    <w:rsid w:val="00590BB9"/>
    <w:rsid w:val="00590BBB"/>
    <w:rsid w:val="00590C87"/>
    <w:rsid w:val="00590DF3"/>
    <w:rsid w:val="00590FB6"/>
    <w:rsid w:val="00591908"/>
    <w:rsid w:val="00591B62"/>
    <w:rsid w:val="00591F1F"/>
    <w:rsid w:val="00591F55"/>
    <w:rsid w:val="00592028"/>
    <w:rsid w:val="00592036"/>
    <w:rsid w:val="0059261F"/>
    <w:rsid w:val="00592980"/>
    <w:rsid w:val="00592BAD"/>
    <w:rsid w:val="00593096"/>
    <w:rsid w:val="00593208"/>
    <w:rsid w:val="0059365F"/>
    <w:rsid w:val="00593C0C"/>
    <w:rsid w:val="00593EA3"/>
    <w:rsid w:val="005940EC"/>
    <w:rsid w:val="00594448"/>
    <w:rsid w:val="00594872"/>
    <w:rsid w:val="00594A0E"/>
    <w:rsid w:val="00595E09"/>
    <w:rsid w:val="005960FB"/>
    <w:rsid w:val="005963F7"/>
    <w:rsid w:val="00596927"/>
    <w:rsid w:val="005969DB"/>
    <w:rsid w:val="00596E02"/>
    <w:rsid w:val="005975A2"/>
    <w:rsid w:val="00597628"/>
    <w:rsid w:val="005977CF"/>
    <w:rsid w:val="005A01F7"/>
    <w:rsid w:val="005A036C"/>
    <w:rsid w:val="005A067D"/>
    <w:rsid w:val="005A074A"/>
    <w:rsid w:val="005A08D2"/>
    <w:rsid w:val="005A0AA4"/>
    <w:rsid w:val="005A0B68"/>
    <w:rsid w:val="005A0F8E"/>
    <w:rsid w:val="005A11EF"/>
    <w:rsid w:val="005A179D"/>
    <w:rsid w:val="005A1CD6"/>
    <w:rsid w:val="005A29A0"/>
    <w:rsid w:val="005A2BFC"/>
    <w:rsid w:val="005A376B"/>
    <w:rsid w:val="005A3C81"/>
    <w:rsid w:val="005A3E3C"/>
    <w:rsid w:val="005A4225"/>
    <w:rsid w:val="005A4E9A"/>
    <w:rsid w:val="005A514A"/>
    <w:rsid w:val="005A5197"/>
    <w:rsid w:val="005A5C5C"/>
    <w:rsid w:val="005A6612"/>
    <w:rsid w:val="005A670B"/>
    <w:rsid w:val="005A6716"/>
    <w:rsid w:val="005A6895"/>
    <w:rsid w:val="005A6C56"/>
    <w:rsid w:val="005A75E6"/>
    <w:rsid w:val="005A7732"/>
    <w:rsid w:val="005A7828"/>
    <w:rsid w:val="005A7A7A"/>
    <w:rsid w:val="005B071D"/>
    <w:rsid w:val="005B0C6C"/>
    <w:rsid w:val="005B0D46"/>
    <w:rsid w:val="005B0F94"/>
    <w:rsid w:val="005B1816"/>
    <w:rsid w:val="005B1882"/>
    <w:rsid w:val="005B1962"/>
    <w:rsid w:val="005B1AE1"/>
    <w:rsid w:val="005B1C11"/>
    <w:rsid w:val="005B1F35"/>
    <w:rsid w:val="005B1F6E"/>
    <w:rsid w:val="005B2046"/>
    <w:rsid w:val="005B2077"/>
    <w:rsid w:val="005B217E"/>
    <w:rsid w:val="005B24D5"/>
    <w:rsid w:val="005B2597"/>
    <w:rsid w:val="005B2687"/>
    <w:rsid w:val="005B2892"/>
    <w:rsid w:val="005B2B9F"/>
    <w:rsid w:val="005B2CF9"/>
    <w:rsid w:val="005B313E"/>
    <w:rsid w:val="005B328B"/>
    <w:rsid w:val="005B35BA"/>
    <w:rsid w:val="005B3B75"/>
    <w:rsid w:val="005B3C70"/>
    <w:rsid w:val="005B3D81"/>
    <w:rsid w:val="005B3FAA"/>
    <w:rsid w:val="005B4413"/>
    <w:rsid w:val="005B441D"/>
    <w:rsid w:val="005B4D2B"/>
    <w:rsid w:val="005B5013"/>
    <w:rsid w:val="005B532B"/>
    <w:rsid w:val="005B5750"/>
    <w:rsid w:val="005B5A36"/>
    <w:rsid w:val="005B5A37"/>
    <w:rsid w:val="005B5A71"/>
    <w:rsid w:val="005B5C3F"/>
    <w:rsid w:val="005B5CC8"/>
    <w:rsid w:val="005B5F01"/>
    <w:rsid w:val="005B5FDA"/>
    <w:rsid w:val="005B6291"/>
    <w:rsid w:val="005B6425"/>
    <w:rsid w:val="005B65F0"/>
    <w:rsid w:val="005B6AB5"/>
    <w:rsid w:val="005B6B5B"/>
    <w:rsid w:val="005B76F2"/>
    <w:rsid w:val="005B7A0E"/>
    <w:rsid w:val="005B7B3B"/>
    <w:rsid w:val="005B7B41"/>
    <w:rsid w:val="005C03E7"/>
    <w:rsid w:val="005C0C13"/>
    <w:rsid w:val="005C109F"/>
    <w:rsid w:val="005C11E3"/>
    <w:rsid w:val="005C14D2"/>
    <w:rsid w:val="005C1602"/>
    <w:rsid w:val="005C1722"/>
    <w:rsid w:val="005C1921"/>
    <w:rsid w:val="005C197B"/>
    <w:rsid w:val="005C1AC2"/>
    <w:rsid w:val="005C1C12"/>
    <w:rsid w:val="005C1DED"/>
    <w:rsid w:val="005C2766"/>
    <w:rsid w:val="005C29DE"/>
    <w:rsid w:val="005C2CDA"/>
    <w:rsid w:val="005C2EC1"/>
    <w:rsid w:val="005C306B"/>
    <w:rsid w:val="005C32C4"/>
    <w:rsid w:val="005C3887"/>
    <w:rsid w:val="005C38AE"/>
    <w:rsid w:val="005C4144"/>
    <w:rsid w:val="005C4420"/>
    <w:rsid w:val="005C4608"/>
    <w:rsid w:val="005C4930"/>
    <w:rsid w:val="005C55BE"/>
    <w:rsid w:val="005C5750"/>
    <w:rsid w:val="005C5B55"/>
    <w:rsid w:val="005C5C10"/>
    <w:rsid w:val="005C5F45"/>
    <w:rsid w:val="005C5F78"/>
    <w:rsid w:val="005C66E5"/>
    <w:rsid w:val="005C68CB"/>
    <w:rsid w:val="005C69F3"/>
    <w:rsid w:val="005C6A33"/>
    <w:rsid w:val="005C6C9C"/>
    <w:rsid w:val="005C6CB3"/>
    <w:rsid w:val="005C704D"/>
    <w:rsid w:val="005C707E"/>
    <w:rsid w:val="005C70F2"/>
    <w:rsid w:val="005C75E2"/>
    <w:rsid w:val="005C7722"/>
    <w:rsid w:val="005D011C"/>
    <w:rsid w:val="005D05CB"/>
    <w:rsid w:val="005D16E2"/>
    <w:rsid w:val="005D1F62"/>
    <w:rsid w:val="005D2211"/>
    <w:rsid w:val="005D2567"/>
    <w:rsid w:val="005D260A"/>
    <w:rsid w:val="005D287C"/>
    <w:rsid w:val="005D3263"/>
    <w:rsid w:val="005D4085"/>
    <w:rsid w:val="005D4305"/>
    <w:rsid w:val="005D4B0D"/>
    <w:rsid w:val="005D4F00"/>
    <w:rsid w:val="005D5B0C"/>
    <w:rsid w:val="005D5D8C"/>
    <w:rsid w:val="005D6C55"/>
    <w:rsid w:val="005D6EBE"/>
    <w:rsid w:val="005D6F26"/>
    <w:rsid w:val="005D791C"/>
    <w:rsid w:val="005D7CD4"/>
    <w:rsid w:val="005E0015"/>
    <w:rsid w:val="005E04D2"/>
    <w:rsid w:val="005E09F5"/>
    <w:rsid w:val="005E13C5"/>
    <w:rsid w:val="005E1592"/>
    <w:rsid w:val="005E15F5"/>
    <w:rsid w:val="005E1B87"/>
    <w:rsid w:val="005E1FDA"/>
    <w:rsid w:val="005E249F"/>
    <w:rsid w:val="005E299B"/>
    <w:rsid w:val="005E33C9"/>
    <w:rsid w:val="005E3769"/>
    <w:rsid w:val="005E376E"/>
    <w:rsid w:val="005E37AB"/>
    <w:rsid w:val="005E39B4"/>
    <w:rsid w:val="005E3BB9"/>
    <w:rsid w:val="005E3C01"/>
    <w:rsid w:val="005E3E37"/>
    <w:rsid w:val="005E3E56"/>
    <w:rsid w:val="005E409B"/>
    <w:rsid w:val="005E41C8"/>
    <w:rsid w:val="005E446A"/>
    <w:rsid w:val="005E5103"/>
    <w:rsid w:val="005E5199"/>
    <w:rsid w:val="005E559D"/>
    <w:rsid w:val="005E5647"/>
    <w:rsid w:val="005E595C"/>
    <w:rsid w:val="005E5BDE"/>
    <w:rsid w:val="005E5F3F"/>
    <w:rsid w:val="005E612E"/>
    <w:rsid w:val="005E616B"/>
    <w:rsid w:val="005E634A"/>
    <w:rsid w:val="005E634C"/>
    <w:rsid w:val="005E65FE"/>
    <w:rsid w:val="005E69F5"/>
    <w:rsid w:val="005E6A6B"/>
    <w:rsid w:val="005E6C38"/>
    <w:rsid w:val="005E6D56"/>
    <w:rsid w:val="005E6EA6"/>
    <w:rsid w:val="005E6FD2"/>
    <w:rsid w:val="005E709B"/>
    <w:rsid w:val="005E71B2"/>
    <w:rsid w:val="005E72B3"/>
    <w:rsid w:val="005E7744"/>
    <w:rsid w:val="005E7CB8"/>
    <w:rsid w:val="005E7EDF"/>
    <w:rsid w:val="005F0023"/>
    <w:rsid w:val="005F02F3"/>
    <w:rsid w:val="005F099D"/>
    <w:rsid w:val="005F134F"/>
    <w:rsid w:val="005F1698"/>
    <w:rsid w:val="005F1773"/>
    <w:rsid w:val="005F1E5F"/>
    <w:rsid w:val="005F20C7"/>
    <w:rsid w:val="005F24ED"/>
    <w:rsid w:val="005F2B2F"/>
    <w:rsid w:val="005F2C0A"/>
    <w:rsid w:val="005F2DB8"/>
    <w:rsid w:val="005F3065"/>
    <w:rsid w:val="005F30DA"/>
    <w:rsid w:val="005F3562"/>
    <w:rsid w:val="005F36CB"/>
    <w:rsid w:val="005F37E5"/>
    <w:rsid w:val="005F4984"/>
    <w:rsid w:val="005F4BD5"/>
    <w:rsid w:val="005F4C89"/>
    <w:rsid w:val="005F4F50"/>
    <w:rsid w:val="005F508F"/>
    <w:rsid w:val="005F585A"/>
    <w:rsid w:val="005F6058"/>
    <w:rsid w:val="005F64B0"/>
    <w:rsid w:val="005F69EA"/>
    <w:rsid w:val="005F729F"/>
    <w:rsid w:val="005F791C"/>
    <w:rsid w:val="005F7D19"/>
    <w:rsid w:val="005F7F46"/>
    <w:rsid w:val="006001C2"/>
    <w:rsid w:val="006003F3"/>
    <w:rsid w:val="0060086E"/>
    <w:rsid w:val="00600CD4"/>
    <w:rsid w:val="0060188E"/>
    <w:rsid w:val="00601A76"/>
    <w:rsid w:val="00601BB2"/>
    <w:rsid w:val="00601D05"/>
    <w:rsid w:val="00601D07"/>
    <w:rsid w:val="00601DF5"/>
    <w:rsid w:val="00602070"/>
    <w:rsid w:val="006022A8"/>
    <w:rsid w:val="006023A5"/>
    <w:rsid w:val="006023AA"/>
    <w:rsid w:val="00602F73"/>
    <w:rsid w:val="0060326B"/>
    <w:rsid w:val="00603688"/>
    <w:rsid w:val="006039AB"/>
    <w:rsid w:val="00603D67"/>
    <w:rsid w:val="00604478"/>
    <w:rsid w:val="00604539"/>
    <w:rsid w:val="00604A77"/>
    <w:rsid w:val="00604BC9"/>
    <w:rsid w:val="006052B9"/>
    <w:rsid w:val="00605319"/>
    <w:rsid w:val="006053FF"/>
    <w:rsid w:val="006054E1"/>
    <w:rsid w:val="00605564"/>
    <w:rsid w:val="0060558C"/>
    <w:rsid w:val="0060597F"/>
    <w:rsid w:val="00605A95"/>
    <w:rsid w:val="006069D8"/>
    <w:rsid w:val="00606B72"/>
    <w:rsid w:val="00606E77"/>
    <w:rsid w:val="006073D0"/>
    <w:rsid w:val="00607E59"/>
    <w:rsid w:val="00607E85"/>
    <w:rsid w:val="00610094"/>
    <w:rsid w:val="006103A9"/>
    <w:rsid w:val="00610487"/>
    <w:rsid w:val="0061051E"/>
    <w:rsid w:val="0061152A"/>
    <w:rsid w:val="006118F7"/>
    <w:rsid w:val="00611AA3"/>
    <w:rsid w:val="00611E8C"/>
    <w:rsid w:val="006134F7"/>
    <w:rsid w:val="00613C19"/>
    <w:rsid w:val="006144E0"/>
    <w:rsid w:val="006145CA"/>
    <w:rsid w:val="006149DF"/>
    <w:rsid w:val="00614CED"/>
    <w:rsid w:val="00614E7A"/>
    <w:rsid w:val="00615081"/>
    <w:rsid w:val="00615298"/>
    <w:rsid w:val="00615805"/>
    <w:rsid w:val="00615AB4"/>
    <w:rsid w:val="00616060"/>
    <w:rsid w:val="006163C1"/>
    <w:rsid w:val="00616542"/>
    <w:rsid w:val="00616A1C"/>
    <w:rsid w:val="00616F53"/>
    <w:rsid w:val="00617159"/>
    <w:rsid w:val="0062005A"/>
    <w:rsid w:val="00620092"/>
    <w:rsid w:val="00620150"/>
    <w:rsid w:val="00620307"/>
    <w:rsid w:val="00620366"/>
    <w:rsid w:val="0062046F"/>
    <w:rsid w:val="00620933"/>
    <w:rsid w:val="00620A51"/>
    <w:rsid w:val="00620AA4"/>
    <w:rsid w:val="00620CE4"/>
    <w:rsid w:val="00620DC9"/>
    <w:rsid w:val="006213A7"/>
    <w:rsid w:val="0062143C"/>
    <w:rsid w:val="006217F3"/>
    <w:rsid w:val="00621C7A"/>
    <w:rsid w:val="006220E6"/>
    <w:rsid w:val="006221C6"/>
    <w:rsid w:val="00622891"/>
    <w:rsid w:val="0062320A"/>
    <w:rsid w:val="006238BB"/>
    <w:rsid w:val="00624545"/>
    <w:rsid w:val="00624830"/>
    <w:rsid w:val="006248E0"/>
    <w:rsid w:val="00624B00"/>
    <w:rsid w:val="00624D3B"/>
    <w:rsid w:val="00624E1F"/>
    <w:rsid w:val="006252DC"/>
    <w:rsid w:val="00625752"/>
    <w:rsid w:val="0062588A"/>
    <w:rsid w:val="00625BA7"/>
    <w:rsid w:val="00625EBB"/>
    <w:rsid w:val="00625ED9"/>
    <w:rsid w:val="00626059"/>
    <w:rsid w:val="006270DA"/>
    <w:rsid w:val="00627269"/>
    <w:rsid w:val="00627659"/>
    <w:rsid w:val="00627D80"/>
    <w:rsid w:val="00627FA8"/>
    <w:rsid w:val="0063042A"/>
    <w:rsid w:val="0063059B"/>
    <w:rsid w:val="006311A7"/>
    <w:rsid w:val="006316A4"/>
    <w:rsid w:val="00631A8A"/>
    <w:rsid w:val="00631B44"/>
    <w:rsid w:val="0063210E"/>
    <w:rsid w:val="006323F5"/>
    <w:rsid w:val="006324D8"/>
    <w:rsid w:val="00632580"/>
    <w:rsid w:val="00632F00"/>
    <w:rsid w:val="00632F04"/>
    <w:rsid w:val="0063301E"/>
    <w:rsid w:val="00633813"/>
    <w:rsid w:val="006338C3"/>
    <w:rsid w:val="00633AF1"/>
    <w:rsid w:val="006344E5"/>
    <w:rsid w:val="0063497A"/>
    <w:rsid w:val="00634C6E"/>
    <w:rsid w:val="00635934"/>
    <w:rsid w:val="00635AA9"/>
    <w:rsid w:val="00635B65"/>
    <w:rsid w:val="00635F72"/>
    <w:rsid w:val="006364B2"/>
    <w:rsid w:val="006369B3"/>
    <w:rsid w:val="00636ABD"/>
    <w:rsid w:val="0063714C"/>
    <w:rsid w:val="00637A6B"/>
    <w:rsid w:val="00637CEB"/>
    <w:rsid w:val="006404A2"/>
    <w:rsid w:val="00640D79"/>
    <w:rsid w:val="006413E7"/>
    <w:rsid w:val="00641421"/>
    <w:rsid w:val="00641545"/>
    <w:rsid w:val="00641A19"/>
    <w:rsid w:val="00642114"/>
    <w:rsid w:val="0064263D"/>
    <w:rsid w:val="0064307B"/>
    <w:rsid w:val="00643457"/>
    <w:rsid w:val="006438D5"/>
    <w:rsid w:val="00643971"/>
    <w:rsid w:val="00643A63"/>
    <w:rsid w:val="00644A66"/>
    <w:rsid w:val="00644D3A"/>
    <w:rsid w:val="0064591E"/>
    <w:rsid w:val="00645B24"/>
    <w:rsid w:val="00645CD9"/>
    <w:rsid w:val="00645DDE"/>
    <w:rsid w:val="00646187"/>
    <w:rsid w:val="006467ED"/>
    <w:rsid w:val="0064722C"/>
    <w:rsid w:val="006477F8"/>
    <w:rsid w:val="00647B34"/>
    <w:rsid w:val="00647CF0"/>
    <w:rsid w:val="00647D8B"/>
    <w:rsid w:val="00647EB7"/>
    <w:rsid w:val="00647FFE"/>
    <w:rsid w:val="00650CFF"/>
    <w:rsid w:val="00650DE7"/>
    <w:rsid w:val="006510BB"/>
    <w:rsid w:val="006513B2"/>
    <w:rsid w:val="006515AE"/>
    <w:rsid w:val="00651B45"/>
    <w:rsid w:val="00651D72"/>
    <w:rsid w:val="006520F6"/>
    <w:rsid w:val="006523E9"/>
    <w:rsid w:val="00652676"/>
    <w:rsid w:val="00652E25"/>
    <w:rsid w:val="006531EA"/>
    <w:rsid w:val="00653209"/>
    <w:rsid w:val="00653664"/>
    <w:rsid w:val="006538E5"/>
    <w:rsid w:val="00653BB1"/>
    <w:rsid w:val="00653E55"/>
    <w:rsid w:val="00653F5E"/>
    <w:rsid w:val="00654256"/>
    <w:rsid w:val="0065433E"/>
    <w:rsid w:val="006547DA"/>
    <w:rsid w:val="00654EC5"/>
    <w:rsid w:val="006553F7"/>
    <w:rsid w:val="0065605F"/>
    <w:rsid w:val="0065649E"/>
    <w:rsid w:val="00656E06"/>
    <w:rsid w:val="00656FFD"/>
    <w:rsid w:val="006572DC"/>
    <w:rsid w:val="00657413"/>
    <w:rsid w:val="00657650"/>
    <w:rsid w:val="00657A30"/>
    <w:rsid w:val="00657FA9"/>
    <w:rsid w:val="00660B62"/>
    <w:rsid w:val="00660BF0"/>
    <w:rsid w:val="00660C52"/>
    <w:rsid w:val="00660F40"/>
    <w:rsid w:val="00661C22"/>
    <w:rsid w:val="0066224C"/>
    <w:rsid w:val="00663011"/>
    <w:rsid w:val="00663695"/>
    <w:rsid w:val="0066395B"/>
    <w:rsid w:val="0066396D"/>
    <w:rsid w:val="00663A5A"/>
    <w:rsid w:val="00663ECF"/>
    <w:rsid w:val="00663F07"/>
    <w:rsid w:val="00664055"/>
    <w:rsid w:val="00664786"/>
    <w:rsid w:val="00664B5A"/>
    <w:rsid w:val="00664DEB"/>
    <w:rsid w:val="00664E85"/>
    <w:rsid w:val="006655CA"/>
    <w:rsid w:val="006658C6"/>
    <w:rsid w:val="00665ADB"/>
    <w:rsid w:val="006665F1"/>
    <w:rsid w:val="006678F3"/>
    <w:rsid w:val="00667994"/>
    <w:rsid w:val="00667A2E"/>
    <w:rsid w:val="00667B47"/>
    <w:rsid w:val="00670171"/>
    <w:rsid w:val="006710F9"/>
    <w:rsid w:val="0067260F"/>
    <w:rsid w:val="00672648"/>
    <w:rsid w:val="00673979"/>
    <w:rsid w:val="00673BC7"/>
    <w:rsid w:val="00673DDA"/>
    <w:rsid w:val="00674359"/>
    <w:rsid w:val="00674694"/>
    <w:rsid w:val="006746FD"/>
    <w:rsid w:val="00674757"/>
    <w:rsid w:val="00674826"/>
    <w:rsid w:val="00675B44"/>
    <w:rsid w:val="00675C10"/>
    <w:rsid w:val="00675C90"/>
    <w:rsid w:val="00675D8B"/>
    <w:rsid w:val="006763BD"/>
    <w:rsid w:val="006767A8"/>
    <w:rsid w:val="00676950"/>
    <w:rsid w:val="00676AB0"/>
    <w:rsid w:val="00676AFC"/>
    <w:rsid w:val="00676BA7"/>
    <w:rsid w:val="006776D6"/>
    <w:rsid w:val="00677F25"/>
    <w:rsid w:val="006802F8"/>
    <w:rsid w:val="00680380"/>
    <w:rsid w:val="00680831"/>
    <w:rsid w:val="00680ABE"/>
    <w:rsid w:val="00680ECB"/>
    <w:rsid w:val="00681758"/>
    <w:rsid w:val="0068178A"/>
    <w:rsid w:val="00681CC8"/>
    <w:rsid w:val="00681CD6"/>
    <w:rsid w:val="00681D34"/>
    <w:rsid w:val="00681E7A"/>
    <w:rsid w:val="00681F1B"/>
    <w:rsid w:val="00682115"/>
    <w:rsid w:val="006821A8"/>
    <w:rsid w:val="00682333"/>
    <w:rsid w:val="006823D2"/>
    <w:rsid w:val="006823ED"/>
    <w:rsid w:val="006823F8"/>
    <w:rsid w:val="006827AB"/>
    <w:rsid w:val="00682CCB"/>
    <w:rsid w:val="00683108"/>
    <w:rsid w:val="00683214"/>
    <w:rsid w:val="006832DE"/>
    <w:rsid w:val="00683B49"/>
    <w:rsid w:val="00684135"/>
    <w:rsid w:val="00684570"/>
    <w:rsid w:val="00684D74"/>
    <w:rsid w:val="006851D6"/>
    <w:rsid w:val="006863DF"/>
    <w:rsid w:val="0068765F"/>
    <w:rsid w:val="006879FC"/>
    <w:rsid w:val="00687CC8"/>
    <w:rsid w:val="00687EEB"/>
    <w:rsid w:val="00690057"/>
    <w:rsid w:val="006903F6"/>
    <w:rsid w:val="0069071B"/>
    <w:rsid w:val="00690A75"/>
    <w:rsid w:val="00691568"/>
    <w:rsid w:val="00691682"/>
    <w:rsid w:val="00691816"/>
    <w:rsid w:val="00692C06"/>
    <w:rsid w:val="00693480"/>
    <w:rsid w:val="006934D4"/>
    <w:rsid w:val="006938D2"/>
    <w:rsid w:val="00693A93"/>
    <w:rsid w:val="0069453B"/>
    <w:rsid w:val="0069499B"/>
    <w:rsid w:val="006949D3"/>
    <w:rsid w:val="00694AB8"/>
    <w:rsid w:val="00694B46"/>
    <w:rsid w:val="00694CAE"/>
    <w:rsid w:val="00694F08"/>
    <w:rsid w:val="00694F89"/>
    <w:rsid w:val="00695259"/>
    <w:rsid w:val="00695400"/>
    <w:rsid w:val="00695838"/>
    <w:rsid w:val="0069636C"/>
    <w:rsid w:val="00696370"/>
    <w:rsid w:val="00696703"/>
    <w:rsid w:val="006969CD"/>
    <w:rsid w:val="00696D73"/>
    <w:rsid w:val="00697225"/>
    <w:rsid w:val="006A087D"/>
    <w:rsid w:val="006A0B8D"/>
    <w:rsid w:val="006A117B"/>
    <w:rsid w:val="006A1297"/>
    <w:rsid w:val="006A153D"/>
    <w:rsid w:val="006A16C1"/>
    <w:rsid w:val="006A17E4"/>
    <w:rsid w:val="006A189C"/>
    <w:rsid w:val="006A18A3"/>
    <w:rsid w:val="006A18B8"/>
    <w:rsid w:val="006A1A9C"/>
    <w:rsid w:val="006A1D4A"/>
    <w:rsid w:val="006A219F"/>
    <w:rsid w:val="006A24A2"/>
    <w:rsid w:val="006A2B1E"/>
    <w:rsid w:val="006A2E97"/>
    <w:rsid w:val="006A2FAC"/>
    <w:rsid w:val="006A32F8"/>
    <w:rsid w:val="006A3823"/>
    <w:rsid w:val="006A3DC4"/>
    <w:rsid w:val="006A452A"/>
    <w:rsid w:val="006A4887"/>
    <w:rsid w:val="006A49F1"/>
    <w:rsid w:val="006A4B3F"/>
    <w:rsid w:val="006A4D70"/>
    <w:rsid w:val="006A551E"/>
    <w:rsid w:val="006A5712"/>
    <w:rsid w:val="006A5A57"/>
    <w:rsid w:val="006A5AF6"/>
    <w:rsid w:val="006A5B9E"/>
    <w:rsid w:val="006A6101"/>
    <w:rsid w:val="006A6B66"/>
    <w:rsid w:val="006A7F33"/>
    <w:rsid w:val="006B0164"/>
    <w:rsid w:val="006B0A2A"/>
    <w:rsid w:val="006B0BA6"/>
    <w:rsid w:val="006B0CCF"/>
    <w:rsid w:val="006B153B"/>
    <w:rsid w:val="006B1903"/>
    <w:rsid w:val="006B1989"/>
    <w:rsid w:val="006B1AD7"/>
    <w:rsid w:val="006B2004"/>
    <w:rsid w:val="006B26B6"/>
    <w:rsid w:val="006B26C4"/>
    <w:rsid w:val="006B289F"/>
    <w:rsid w:val="006B2C66"/>
    <w:rsid w:val="006B325D"/>
    <w:rsid w:val="006B3552"/>
    <w:rsid w:val="006B391C"/>
    <w:rsid w:val="006B3AFC"/>
    <w:rsid w:val="006B40F4"/>
    <w:rsid w:val="006B44F9"/>
    <w:rsid w:val="006B4607"/>
    <w:rsid w:val="006B4BD9"/>
    <w:rsid w:val="006B4FD9"/>
    <w:rsid w:val="006B54A1"/>
    <w:rsid w:val="006B5B35"/>
    <w:rsid w:val="006B6234"/>
    <w:rsid w:val="006B6D7D"/>
    <w:rsid w:val="006B7495"/>
    <w:rsid w:val="006B7ADE"/>
    <w:rsid w:val="006C0058"/>
    <w:rsid w:val="006C04E3"/>
    <w:rsid w:val="006C0521"/>
    <w:rsid w:val="006C0CCC"/>
    <w:rsid w:val="006C1380"/>
    <w:rsid w:val="006C14B2"/>
    <w:rsid w:val="006C1AAC"/>
    <w:rsid w:val="006C1F59"/>
    <w:rsid w:val="006C2416"/>
    <w:rsid w:val="006C2515"/>
    <w:rsid w:val="006C3426"/>
    <w:rsid w:val="006C3862"/>
    <w:rsid w:val="006C3ED3"/>
    <w:rsid w:val="006C4372"/>
    <w:rsid w:val="006C4508"/>
    <w:rsid w:val="006C4B97"/>
    <w:rsid w:val="006C5039"/>
    <w:rsid w:val="006C567E"/>
    <w:rsid w:val="006C59A7"/>
    <w:rsid w:val="006C5B24"/>
    <w:rsid w:val="006C5C74"/>
    <w:rsid w:val="006C643A"/>
    <w:rsid w:val="006C655B"/>
    <w:rsid w:val="006C6C09"/>
    <w:rsid w:val="006C6E74"/>
    <w:rsid w:val="006C71F5"/>
    <w:rsid w:val="006C73BC"/>
    <w:rsid w:val="006C7407"/>
    <w:rsid w:val="006C7447"/>
    <w:rsid w:val="006C74F9"/>
    <w:rsid w:val="006C7652"/>
    <w:rsid w:val="006C780F"/>
    <w:rsid w:val="006C7E46"/>
    <w:rsid w:val="006C7EDE"/>
    <w:rsid w:val="006C7FCE"/>
    <w:rsid w:val="006D16F5"/>
    <w:rsid w:val="006D1826"/>
    <w:rsid w:val="006D1F96"/>
    <w:rsid w:val="006D211D"/>
    <w:rsid w:val="006D2492"/>
    <w:rsid w:val="006D2A89"/>
    <w:rsid w:val="006D2C28"/>
    <w:rsid w:val="006D2E8D"/>
    <w:rsid w:val="006D34C9"/>
    <w:rsid w:val="006D38BE"/>
    <w:rsid w:val="006D38E6"/>
    <w:rsid w:val="006D3F6C"/>
    <w:rsid w:val="006D42F4"/>
    <w:rsid w:val="006D5136"/>
    <w:rsid w:val="006D5C59"/>
    <w:rsid w:val="006D5ECA"/>
    <w:rsid w:val="006D6562"/>
    <w:rsid w:val="006D65D7"/>
    <w:rsid w:val="006D6665"/>
    <w:rsid w:val="006D68B9"/>
    <w:rsid w:val="006D69DF"/>
    <w:rsid w:val="006D6CEA"/>
    <w:rsid w:val="006D736A"/>
    <w:rsid w:val="006D765F"/>
    <w:rsid w:val="006D7845"/>
    <w:rsid w:val="006E051B"/>
    <w:rsid w:val="006E07DA"/>
    <w:rsid w:val="006E0F9A"/>
    <w:rsid w:val="006E1484"/>
    <w:rsid w:val="006E1781"/>
    <w:rsid w:val="006E195D"/>
    <w:rsid w:val="006E1DB3"/>
    <w:rsid w:val="006E1F2D"/>
    <w:rsid w:val="006E2650"/>
    <w:rsid w:val="006E2E02"/>
    <w:rsid w:val="006E2E13"/>
    <w:rsid w:val="006E3350"/>
    <w:rsid w:val="006E33B0"/>
    <w:rsid w:val="006E36DB"/>
    <w:rsid w:val="006E3D11"/>
    <w:rsid w:val="006E405D"/>
    <w:rsid w:val="006E4368"/>
    <w:rsid w:val="006E4369"/>
    <w:rsid w:val="006E4440"/>
    <w:rsid w:val="006E4C15"/>
    <w:rsid w:val="006E4D62"/>
    <w:rsid w:val="006E5912"/>
    <w:rsid w:val="006E607D"/>
    <w:rsid w:val="006E6102"/>
    <w:rsid w:val="006E632C"/>
    <w:rsid w:val="006E6580"/>
    <w:rsid w:val="006E68DA"/>
    <w:rsid w:val="006E6A31"/>
    <w:rsid w:val="006E6FD2"/>
    <w:rsid w:val="006E7440"/>
    <w:rsid w:val="006E7F5D"/>
    <w:rsid w:val="006F0203"/>
    <w:rsid w:val="006F04AE"/>
    <w:rsid w:val="006F0954"/>
    <w:rsid w:val="006F14E8"/>
    <w:rsid w:val="006F16CD"/>
    <w:rsid w:val="006F17E1"/>
    <w:rsid w:val="006F1E5F"/>
    <w:rsid w:val="006F27C6"/>
    <w:rsid w:val="006F2810"/>
    <w:rsid w:val="006F37A1"/>
    <w:rsid w:val="006F3A29"/>
    <w:rsid w:val="006F3EC8"/>
    <w:rsid w:val="006F40A8"/>
    <w:rsid w:val="006F4820"/>
    <w:rsid w:val="006F4BFB"/>
    <w:rsid w:val="006F4DA6"/>
    <w:rsid w:val="006F522F"/>
    <w:rsid w:val="006F5355"/>
    <w:rsid w:val="006F5381"/>
    <w:rsid w:val="006F58F6"/>
    <w:rsid w:val="006F5977"/>
    <w:rsid w:val="006F5DD1"/>
    <w:rsid w:val="006F62FC"/>
    <w:rsid w:val="006F7412"/>
    <w:rsid w:val="006F74E5"/>
    <w:rsid w:val="006F77AD"/>
    <w:rsid w:val="006F79EE"/>
    <w:rsid w:val="006F7C9B"/>
    <w:rsid w:val="006F7FB9"/>
    <w:rsid w:val="007001D5"/>
    <w:rsid w:val="007006F1"/>
    <w:rsid w:val="00700A70"/>
    <w:rsid w:val="00700DD4"/>
    <w:rsid w:val="0070148B"/>
    <w:rsid w:val="007016B4"/>
    <w:rsid w:val="00701E8E"/>
    <w:rsid w:val="00702A93"/>
    <w:rsid w:val="0070398D"/>
    <w:rsid w:val="00703CAF"/>
    <w:rsid w:val="00703E2D"/>
    <w:rsid w:val="0070454C"/>
    <w:rsid w:val="0070474A"/>
    <w:rsid w:val="0070527E"/>
    <w:rsid w:val="00705999"/>
    <w:rsid w:val="00705C19"/>
    <w:rsid w:val="00706015"/>
    <w:rsid w:val="00706032"/>
    <w:rsid w:val="007062CE"/>
    <w:rsid w:val="00706366"/>
    <w:rsid w:val="00706368"/>
    <w:rsid w:val="00706ACD"/>
    <w:rsid w:val="00706DCB"/>
    <w:rsid w:val="00707220"/>
    <w:rsid w:val="007105DB"/>
    <w:rsid w:val="00711019"/>
    <w:rsid w:val="0071114E"/>
    <w:rsid w:val="0071123B"/>
    <w:rsid w:val="0071145C"/>
    <w:rsid w:val="0071176E"/>
    <w:rsid w:val="0071193A"/>
    <w:rsid w:val="00711CAF"/>
    <w:rsid w:val="00711FFC"/>
    <w:rsid w:val="007126A5"/>
    <w:rsid w:val="007127A5"/>
    <w:rsid w:val="007134A1"/>
    <w:rsid w:val="00713968"/>
    <w:rsid w:val="0071457A"/>
    <w:rsid w:val="00714706"/>
    <w:rsid w:val="0071472C"/>
    <w:rsid w:val="00714813"/>
    <w:rsid w:val="00714815"/>
    <w:rsid w:val="00714EC6"/>
    <w:rsid w:val="007159AB"/>
    <w:rsid w:val="007159CB"/>
    <w:rsid w:val="00715B46"/>
    <w:rsid w:val="00715DD7"/>
    <w:rsid w:val="00716F1D"/>
    <w:rsid w:val="0071715E"/>
    <w:rsid w:val="00717688"/>
    <w:rsid w:val="00717B6E"/>
    <w:rsid w:val="00717C78"/>
    <w:rsid w:val="00720FDC"/>
    <w:rsid w:val="00721684"/>
    <w:rsid w:val="00721762"/>
    <w:rsid w:val="007219EE"/>
    <w:rsid w:val="00721A74"/>
    <w:rsid w:val="007222BC"/>
    <w:rsid w:val="007229B8"/>
    <w:rsid w:val="00723389"/>
    <w:rsid w:val="00723C2E"/>
    <w:rsid w:val="00723EF9"/>
    <w:rsid w:val="00724307"/>
    <w:rsid w:val="007247C9"/>
    <w:rsid w:val="00724A7D"/>
    <w:rsid w:val="007255DF"/>
    <w:rsid w:val="0072567B"/>
    <w:rsid w:val="0072570E"/>
    <w:rsid w:val="00726172"/>
    <w:rsid w:val="00726753"/>
    <w:rsid w:val="00726F87"/>
    <w:rsid w:val="00727197"/>
    <w:rsid w:val="00727390"/>
    <w:rsid w:val="0072777D"/>
    <w:rsid w:val="00727CD1"/>
    <w:rsid w:val="00727D4D"/>
    <w:rsid w:val="0073012B"/>
    <w:rsid w:val="00730301"/>
    <w:rsid w:val="00730462"/>
    <w:rsid w:val="0073051A"/>
    <w:rsid w:val="00730702"/>
    <w:rsid w:val="00730B7E"/>
    <w:rsid w:val="00730C38"/>
    <w:rsid w:val="00730C5B"/>
    <w:rsid w:val="007311A4"/>
    <w:rsid w:val="007315ED"/>
    <w:rsid w:val="00731653"/>
    <w:rsid w:val="007318E5"/>
    <w:rsid w:val="00731AB5"/>
    <w:rsid w:val="0073288C"/>
    <w:rsid w:val="00732BA4"/>
    <w:rsid w:val="00732FC2"/>
    <w:rsid w:val="007337C5"/>
    <w:rsid w:val="00733A59"/>
    <w:rsid w:val="00733E03"/>
    <w:rsid w:val="0073400F"/>
    <w:rsid w:val="00734265"/>
    <w:rsid w:val="007343D8"/>
    <w:rsid w:val="00735103"/>
    <w:rsid w:val="0073556E"/>
    <w:rsid w:val="0073558C"/>
    <w:rsid w:val="0073584C"/>
    <w:rsid w:val="00736498"/>
    <w:rsid w:val="00736587"/>
    <w:rsid w:val="007366F1"/>
    <w:rsid w:val="00736AC2"/>
    <w:rsid w:val="00736DA1"/>
    <w:rsid w:val="00737BFA"/>
    <w:rsid w:val="00737ED0"/>
    <w:rsid w:val="0074095D"/>
    <w:rsid w:val="00740A52"/>
    <w:rsid w:val="00740D0A"/>
    <w:rsid w:val="00740D86"/>
    <w:rsid w:val="00741091"/>
    <w:rsid w:val="007416D9"/>
    <w:rsid w:val="00741D9F"/>
    <w:rsid w:val="00741FFD"/>
    <w:rsid w:val="0074242A"/>
    <w:rsid w:val="0074248D"/>
    <w:rsid w:val="00742E08"/>
    <w:rsid w:val="00742E7C"/>
    <w:rsid w:val="00742F89"/>
    <w:rsid w:val="00742FD6"/>
    <w:rsid w:val="0074337C"/>
    <w:rsid w:val="00743788"/>
    <w:rsid w:val="007441D6"/>
    <w:rsid w:val="00744274"/>
    <w:rsid w:val="007442CA"/>
    <w:rsid w:val="007443B4"/>
    <w:rsid w:val="0074461B"/>
    <w:rsid w:val="007448FB"/>
    <w:rsid w:val="0074490E"/>
    <w:rsid w:val="00744930"/>
    <w:rsid w:val="00744C18"/>
    <w:rsid w:val="00744E0E"/>
    <w:rsid w:val="00745108"/>
    <w:rsid w:val="007454FE"/>
    <w:rsid w:val="00745C76"/>
    <w:rsid w:val="00745E7A"/>
    <w:rsid w:val="0074692B"/>
    <w:rsid w:val="00746EE0"/>
    <w:rsid w:val="00746FD4"/>
    <w:rsid w:val="00747761"/>
    <w:rsid w:val="00747CB1"/>
    <w:rsid w:val="00750679"/>
    <w:rsid w:val="0075073C"/>
    <w:rsid w:val="00750828"/>
    <w:rsid w:val="00750AEA"/>
    <w:rsid w:val="00750E67"/>
    <w:rsid w:val="00750EDC"/>
    <w:rsid w:val="0075143D"/>
    <w:rsid w:val="007516F6"/>
    <w:rsid w:val="00751B7F"/>
    <w:rsid w:val="00751D35"/>
    <w:rsid w:val="007523D5"/>
    <w:rsid w:val="00752852"/>
    <w:rsid w:val="007528AF"/>
    <w:rsid w:val="00752B49"/>
    <w:rsid w:val="00752D2C"/>
    <w:rsid w:val="00752DAB"/>
    <w:rsid w:val="007544F4"/>
    <w:rsid w:val="00754862"/>
    <w:rsid w:val="00755022"/>
    <w:rsid w:val="00755183"/>
    <w:rsid w:val="0075571C"/>
    <w:rsid w:val="007559B0"/>
    <w:rsid w:val="00755B2D"/>
    <w:rsid w:val="007562A9"/>
    <w:rsid w:val="007562E9"/>
    <w:rsid w:val="00756491"/>
    <w:rsid w:val="00756698"/>
    <w:rsid w:val="007568A3"/>
    <w:rsid w:val="00756ABC"/>
    <w:rsid w:val="007577F5"/>
    <w:rsid w:val="00757A5E"/>
    <w:rsid w:val="0076011B"/>
    <w:rsid w:val="00760D2F"/>
    <w:rsid w:val="00761999"/>
    <w:rsid w:val="00761A7B"/>
    <w:rsid w:val="00761C0D"/>
    <w:rsid w:val="00761CCC"/>
    <w:rsid w:val="00761D13"/>
    <w:rsid w:val="00762220"/>
    <w:rsid w:val="00762490"/>
    <w:rsid w:val="00762768"/>
    <w:rsid w:val="007629A8"/>
    <w:rsid w:val="00762B2D"/>
    <w:rsid w:val="00763010"/>
    <w:rsid w:val="00763814"/>
    <w:rsid w:val="0076476E"/>
    <w:rsid w:val="007648C9"/>
    <w:rsid w:val="007648D0"/>
    <w:rsid w:val="007652ED"/>
    <w:rsid w:val="0076533F"/>
    <w:rsid w:val="00765470"/>
    <w:rsid w:val="00765689"/>
    <w:rsid w:val="00765A1A"/>
    <w:rsid w:val="00765CF4"/>
    <w:rsid w:val="00765D51"/>
    <w:rsid w:val="00765F6E"/>
    <w:rsid w:val="007662A6"/>
    <w:rsid w:val="00766B81"/>
    <w:rsid w:val="00766BC4"/>
    <w:rsid w:val="00767231"/>
    <w:rsid w:val="00767925"/>
    <w:rsid w:val="00767BD1"/>
    <w:rsid w:val="007707C5"/>
    <w:rsid w:val="00770A92"/>
    <w:rsid w:val="00770DC0"/>
    <w:rsid w:val="00770F0B"/>
    <w:rsid w:val="00770F3C"/>
    <w:rsid w:val="00771331"/>
    <w:rsid w:val="007718C8"/>
    <w:rsid w:val="00771917"/>
    <w:rsid w:val="007722F4"/>
    <w:rsid w:val="0077258E"/>
    <w:rsid w:val="0077299C"/>
    <w:rsid w:val="00772AC2"/>
    <w:rsid w:val="007735A0"/>
    <w:rsid w:val="00773817"/>
    <w:rsid w:val="00773856"/>
    <w:rsid w:val="00773FFD"/>
    <w:rsid w:val="0077434A"/>
    <w:rsid w:val="0077472E"/>
    <w:rsid w:val="00774802"/>
    <w:rsid w:val="00774869"/>
    <w:rsid w:val="00775A4F"/>
    <w:rsid w:val="00775B45"/>
    <w:rsid w:val="00775E12"/>
    <w:rsid w:val="00776037"/>
    <w:rsid w:val="007762A6"/>
    <w:rsid w:val="007767A1"/>
    <w:rsid w:val="007768D1"/>
    <w:rsid w:val="00777040"/>
    <w:rsid w:val="007772AA"/>
    <w:rsid w:val="00777C6E"/>
    <w:rsid w:val="00777EA9"/>
    <w:rsid w:val="0078021A"/>
    <w:rsid w:val="0078049E"/>
    <w:rsid w:val="00780BE8"/>
    <w:rsid w:val="00780C72"/>
    <w:rsid w:val="00781015"/>
    <w:rsid w:val="0078251C"/>
    <w:rsid w:val="00782D13"/>
    <w:rsid w:val="00782F6C"/>
    <w:rsid w:val="00783065"/>
    <w:rsid w:val="00783488"/>
    <w:rsid w:val="007834A4"/>
    <w:rsid w:val="007838A3"/>
    <w:rsid w:val="00783A58"/>
    <w:rsid w:val="00783E4E"/>
    <w:rsid w:val="0078400A"/>
    <w:rsid w:val="0078427A"/>
    <w:rsid w:val="0078435F"/>
    <w:rsid w:val="00784CEE"/>
    <w:rsid w:val="00784D65"/>
    <w:rsid w:val="00784EB4"/>
    <w:rsid w:val="007850B1"/>
    <w:rsid w:val="007853A0"/>
    <w:rsid w:val="007854B9"/>
    <w:rsid w:val="00785567"/>
    <w:rsid w:val="007857A3"/>
    <w:rsid w:val="00785909"/>
    <w:rsid w:val="00785CCB"/>
    <w:rsid w:val="00785F06"/>
    <w:rsid w:val="007861E1"/>
    <w:rsid w:val="007862DD"/>
    <w:rsid w:val="007868E9"/>
    <w:rsid w:val="007870C8"/>
    <w:rsid w:val="007871AB"/>
    <w:rsid w:val="00787431"/>
    <w:rsid w:val="007875D0"/>
    <w:rsid w:val="00787B6C"/>
    <w:rsid w:val="00790169"/>
    <w:rsid w:val="0079020B"/>
    <w:rsid w:val="007908A3"/>
    <w:rsid w:val="00790B7A"/>
    <w:rsid w:val="00790EA6"/>
    <w:rsid w:val="00790F8F"/>
    <w:rsid w:val="00791076"/>
    <w:rsid w:val="007911BA"/>
    <w:rsid w:val="007914E0"/>
    <w:rsid w:val="00791549"/>
    <w:rsid w:val="007916D1"/>
    <w:rsid w:val="00791729"/>
    <w:rsid w:val="007918EA"/>
    <w:rsid w:val="007921EA"/>
    <w:rsid w:val="007922C7"/>
    <w:rsid w:val="007922EE"/>
    <w:rsid w:val="0079266A"/>
    <w:rsid w:val="007928B4"/>
    <w:rsid w:val="00792B5B"/>
    <w:rsid w:val="00792CC3"/>
    <w:rsid w:val="00792E5B"/>
    <w:rsid w:val="00793575"/>
    <w:rsid w:val="007939DB"/>
    <w:rsid w:val="00793A09"/>
    <w:rsid w:val="007940F3"/>
    <w:rsid w:val="007940F7"/>
    <w:rsid w:val="0079451E"/>
    <w:rsid w:val="00794AED"/>
    <w:rsid w:val="00794D4E"/>
    <w:rsid w:val="0079526E"/>
    <w:rsid w:val="00795348"/>
    <w:rsid w:val="00795C54"/>
    <w:rsid w:val="00795CC2"/>
    <w:rsid w:val="0079603E"/>
    <w:rsid w:val="0079613C"/>
    <w:rsid w:val="007962B6"/>
    <w:rsid w:val="007968FD"/>
    <w:rsid w:val="00796E33"/>
    <w:rsid w:val="0079706D"/>
    <w:rsid w:val="0079739C"/>
    <w:rsid w:val="007974E8"/>
    <w:rsid w:val="007975D2"/>
    <w:rsid w:val="00797C17"/>
    <w:rsid w:val="00797C49"/>
    <w:rsid w:val="00797DE5"/>
    <w:rsid w:val="00797E7E"/>
    <w:rsid w:val="00797FD7"/>
    <w:rsid w:val="007A0180"/>
    <w:rsid w:val="007A0224"/>
    <w:rsid w:val="007A0264"/>
    <w:rsid w:val="007A030C"/>
    <w:rsid w:val="007A05B9"/>
    <w:rsid w:val="007A16C4"/>
    <w:rsid w:val="007A1B12"/>
    <w:rsid w:val="007A1E1B"/>
    <w:rsid w:val="007A1E98"/>
    <w:rsid w:val="007A1EF9"/>
    <w:rsid w:val="007A1F63"/>
    <w:rsid w:val="007A20F9"/>
    <w:rsid w:val="007A2358"/>
    <w:rsid w:val="007A23BF"/>
    <w:rsid w:val="007A2462"/>
    <w:rsid w:val="007A25B2"/>
    <w:rsid w:val="007A274B"/>
    <w:rsid w:val="007A2D1A"/>
    <w:rsid w:val="007A330C"/>
    <w:rsid w:val="007A332C"/>
    <w:rsid w:val="007A33E0"/>
    <w:rsid w:val="007A3A2E"/>
    <w:rsid w:val="007A3A6A"/>
    <w:rsid w:val="007A3CEA"/>
    <w:rsid w:val="007A3D46"/>
    <w:rsid w:val="007A3F48"/>
    <w:rsid w:val="007A45A5"/>
    <w:rsid w:val="007A50E1"/>
    <w:rsid w:val="007A5126"/>
    <w:rsid w:val="007A52C2"/>
    <w:rsid w:val="007A53D8"/>
    <w:rsid w:val="007A5E1A"/>
    <w:rsid w:val="007A62C9"/>
    <w:rsid w:val="007A65B3"/>
    <w:rsid w:val="007A6BA3"/>
    <w:rsid w:val="007A6C8D"/>
    <w:rsid w:val="007A6CB2"/>
    <w:rsid w:val="007A79B9"/>
    <w:rsid w:val="007A7C17"/>
    <w:rsid w:val="007A7EDE"/>
    <w:rsid w:val="007A7FCD"/>
    <w:rsid w:val="007B0A94"/>
    <w:rsid w:val="007B0B28"/>
    <w:rsid w:val="007B0D07"/>
    <w:rsid w:val="007B0FB0"/>
    <w:rsid w:val="007B0FEB"/>
    <w:rsid w:val="007B141B"/>
    <w:rsid w:val="007B196B"/>
    <w:rsid w:val="007B1CB3"/>
    <w:rsid w:val="007B2008"/>
    <w:rsid w:val="007B2316"/>
    <w:rsid w:val="007B25B2"/>
    <w:rsid w:val="007B3311"/>
    <w:rsid w:val="007B338C"/>
    <w:rsid w:val="007B352B"/>
    <w:rsid w:val="007B39DB"/>
    <w:rsid w:val="007B3B39"/>
    <w:rsid w:val="007B3B61"/>
    <w:rsid w:val="007B3B9E"/>
    <w:rsid w:val="007B3E04"/>
    <w:rsid w:val="007B3EBC"/>
    <w:rsid w:val="007B3F68"/>
    <w:rsid w:val="007B413E"/>
    <w:rsid w:val="007B4785"/>
    <w:rsid w:val="007B4837"/>
    <w:rsid w:val="007B4C4F"/>
    <w:rsid w:val="007B525E"/>
    <w:rsid w:val="007B55BC"/>
    <w:rsid w:val="007B58D0"/>
    <w:rsid w:val="007B5F41"/>
    <w:rsid w:val="007B61B8"/>
    <w:rsid w:val="007B61EE"/>
    <w:rsid w:val="007B6331"/>
    <w:rsid w:val="007B669A"/>
    <w:rsid w:val="007B6A27"/>
    <w:rsid w:val="007B6AC3"/>
    <w:rsid w:val="007B6B69"/>
    <w:rsid w:val="007B7145"/>
    <w:rsid w:val="007B73F9"/>
    <w:rsid w:val="007B76A4"/>
    <w:rsid w:val="007B77F8"/>
    <w:rsid w:val="007B78D4"/>
    <w:rsid w:val="007C00F2"/>
    <w:rsid w:val="007C045B"/>
    <w:rsid w:val="007C0518"/>
    <w:rsid w:val="007C074E"/>
    <w:rsid w:val="007C08EF"/>
    <w:rsid w:val="007C0A00"/>
    <w:rsid w:val="007C0D5A"/>
    <w:rsid w:val="007C100E"/>
    <w:rsid w:val="007C11A3"/>
    <w:rsid w:val="007C1332"/>
    <w:rsid w:val="007C1398"/>
    <w:rsid w:val="007C161F"/>
    <w:rsid w:val="007C166F"/>
    <w:rsid w:val="007C1D05"/>
    <w:rsid w:val="007C2207"/>
    <w:rsid w:val="007C22F1"/>
    <w:rsid w:val="007C2AB4"/>
    <w:rsid w:val="007C3395"/>
    <w:rsid w:val="007C3B64"/>
    <w:rsid w:val="007C40F2"/>
    <w:rsid w:val="007C45A5"/>
    <w:rsid w:val="007C49BB"/>
    <w:rsid w:val="007C4C0C"/>
    <w:rsid w:val="007C4C39"/>
    <w:rsid w:val="007C5623"/>
    <w:rsid w:val="007C65FE"/>
    <w:rsid w:val="007C6828"/>
    <w:rsid w:val="007C6CD4"/>
    <w:rsid w:val="007C6EEE"/>
    <w:rsid w:val="007D039D"/>
    <w:rsid w:val="007D0B01"/>
    <w:rsid w:val="007D0B11"/>
    <w:rsid w:val="007D120D"/>
    <w:rsid w:val="007D1531"/>
    <w:rsid w:val="007D153F"/>
    <w:rsid w:val="007D1CAC"/>
    <w:rsid w:val="007D1D04"/>
    <w:rsid w:val="007D2083"/>
    <w:rsid w:val="007D2271"/>
    <w:rsid w:val="007D2366"/>
    <w:rsid w:val="007D23DF"/>
    <w:rsid w:val="007D2BE5"/>
    <w:rsid w:val="007D2C3D"/>
    <w:rsid w:val="007D2F34"/>
    <w:rsid w:val="007D3637"/>
    <w:rsid w:val="007D382F"/>
    <w:rsid w:val="007D3847"/>
    <w:rsid w:val="007D4DE2"/>
    <w:rsid w:val="007D4EDB"/>
    <w:rsid w:val="007D5364"/>
    <w:rsid w:val="007D54DA"/>
    <w:rsid w:val="007D560E"/>
    <w:rsid w:val="007D56CB"/>
    <w:rsid w:val="007D5BB3"/>
    <w:rsid w:val="007D5C60"/>
    <w:rsid w:val="007D6C82"/>
    <w:rsid w:val="007D6D4D"/>
    <w:rsid w:val="007D70F9"/>
    <w:rsid w:val="007E00AA"/>
    <w:rsid w:val="007E06D5"/>
    <w:rsid w:val="007E0B27"/>
    <w:rsid w:val="007E0B49"/>
    <w:rsid w:val="007E12D5"/>
    <w:rsid w:val="007E144A"/>
    <w:rsid w:val="007E1719"/>
    <w:rsid w:val="007E184C"/>
    <w:rsid w:val="007E1A71"/>
    <w:rsid w:val="007E1E5F"/>
    <w:rsid w:val="007E2258"/>
    <w:rsid w:val="007E2762"/>
    <w:rsid w:val="007E2FA5"/>
    <w:rsid w:val="007E319A"/>
    <w:rsid w:val="007E3252"/>
    <w:rsid w:val="007E3929"/>
    <w:rsid w:val="007E40B3"/>
    <w:rsid w:val="007E4317"/>
    <w:rsid w:val="007E46A8"/>
    <w:rsid w:val="007E475A"/>
    <w:rsid w:val="007E5A3D"/>
    <w:rsid w:val="007E5C7E"/>
    <w:rsid w:val="007E604B"/>
    <w:rsid w:val="007E62B0"/>
    <w:rsid w:val="007E6394"/>
    <w:rsid w:val="007E6851"/>
    <w:rsid w:val="007E68B4"/>
    <w:rsid w:val="007E7249"/>
    <w:rsid w:val="007E7366"/>
    <w:rsid w:val="007E73F6"/>
    <w:rsid w:val="007E7418"/>
    <w:rsid w:val="007E7783"/>
    <w:rsid w:val="007E79BC"/>
    <w:rsid w:val="007F0011"/>
    <w:rsid w:val="007F0702"/>
    <w:rsid w:val="007F0D0D"/>
    <w:rsid w:val="007F1365"/>
    <w:rsid w:val="007F168A"/>
    <w:rsid w:val="007F176C"/>
    <w:rsid w:val="007F23EA"/>
    <w:rsid w:val="007F25A5"/>
    <w:rsid w:val="007F2A4A"/>
    <w:rsid w:val="007F2A7C"/>
    <w:rsid w:val="007F3124"/>
    <w:rsid w:val="007F365E"/>
    <w:rsid w:val="007F4119"/>
    <w:rsid w:val="007F4473"/>
    <w:rsid w:val="007F46A1"/>
    <w:rsid w:val="007F48D6"/>
    <w:rsid w:val="007F4ADC"/>
    <w:rsid w:val="007F4B78"/>
    <w:rsid w:val="007F4F24"/>
    <w:rsid w:val="007F4FD1"/>
    <w:rsid w:val="007F585B"/>
    <w:rsid w:val="007F600F"/>
    <w:rsid w:val="007F6217"/>
    <w:rsid w:val="007F62C3"/>
    <w:rsid w:val="007F65FB"/>
    <w:rsid w:val="007F673E"/>
    <w:rsid w:val="007F6848"/>
    <w:rsid w:val="007F6B32"/>
    <w:rsid w:val="007F6C11"/>
    <w:rsid w:val="007F6D4B"/>
    <w:rsid w:val="007F6FA6"/>
    <w:rsid w:val="007F723B"/>
    <w:rsid w:val="007F7ACF"/>
    <w:rsid w:val="007F7B1F"/>
    <w:rsid w:val="00800305"/>
    <w:rsid w:val="008003E8"/>
    <w:rsid w:val="008005BC"/>
    <w:rsid w:val="008006F9"/>
    <w:rsid w:val="00800A70"/>
    <w:rsid w:val="00801036"/>
    <w:rsid w:val="00801243"/>
    <w:rsid w:val="0080151B"/>
    <w:rsid w:val="00801B70"/>
    <w:rsid w:val="00801E41"/>
    <w:rsid w:val="00802DAC"/>
    <w:rsid w:val="00803680"/>
    <w:rsid w:val="00803683"/>
    <w:rsid w:val="00803FFA"/>
    <w:rsid w:val="0080449C"/>
    <w:rsid w:val="0080485B"/>
    <w:rsid w:val="0080489D"/>
    <w:rsid w:val="00804D16"/>
    <w:rsid w:val="00805203"/>
    <w:rsid w:val="0080540F"/>
    <w:rsid w:val="00805448"/>
    <w:rsid w:val="00805481"/>
    <w:rsid w:val="00805812"/>
    <w:rsid w:val="00805893"/>
    <w:rsid w:val="00805D43"/>
    <w:rsid w:val="0080602D"/>
    <w:rsid w:val="0080697B"/>
    <w:rsid w:val="008069D9"/>
    <w:rsid w:val="00806A6C"/>
    <w:rsid w:val="00806C74"/>
    <w:rsid w:val="00807029"/>
    <w:rsid w:val="008073FF"/>
    <w:rsid w:val="0080752D"/>
    <w:rsid w:val="00807646"/>
    <w:rsid w:val="00810424"/>
    <w:rsid w:val="00810624"/>
    <w:rsid w:val="00810E49"/>
    <w:rsid w:val="00811580"/>
    <w:rsid w:val="008115B7"/>
    <w:rsid w:val="00811715"/>
    <w:rsid w:val="008117D3"/>
    <w:rsid w:val="0081188A"/>
    <w:rsid w:val="00811A7E"/>
    <w:rsid w:val="00811ECF"/>
    <w:rsid w:val="0081205A"/>
    <w:rsid w:val="00812B35"/>
    <w:rsid w:val="00812BCB"/>
    <w:rsid w:val="00812D0F"/>
    <w:rsid w:val="00813165"/>
    <w:rsid w:val="0081321A"/>
    <w:rsid w:val="00813380"/>
    <w:rsid w:val="00813484"/>
    <w:rsid w:val="00813619"/>
    <w:rsid w:val="00813BFC"/>
    <w:rsid w:val="008145BA"/>
    <w:rsid w:val="00814D65"/>
    <w:rsid w:val="00814E8B"/>
    <w:rsid w:val="008154D6"/>
    <w:rsid w:val="00815E22"/>
    <w:rsid w:val="0081633F"/>
    <w:rsid w:val="008168B7"/>
    <w:rsid w:val="008168C7"/>
    <w:rsid w:val="00816EE6"/>
    <w:rsid w:val="008170EC"/>
    <w:rsid w:val="0081729C"/>
    <w:rsid w:val="00817476"/>
    <w:rsid w:val="00817C73"/>
    <w:rsid w:val="00817E6C"/>
    <w:rsid w:val="00820D8C"/>
    <w:rsid w:val="00821C07"/>
    <w:rsid w:val="00821F60"/>
    <w:rsid w:val="00822994"/>
    <w:rsid w:val="00822A5C"/>
    <w:rsid w:val="00822B54"/>
    <w:rsid w:val="00822FAB"/>
    <w:rsid w:val="008236E5"/>
    <w:rsid w:val="00824396"/>
    <w:rsid w:val="0082447B"/>
    <w:rsid w:val="008248B0"/>
    <w:rsid w:val="00824A74"/>
    <w:rsid w:val="00824CCC"/>
    <w:rsid w:val="00825475"/>
    <w:rsid w:val="00825A26"/>
    <w:rsid w:val="00825E83"/>
    <w:rsid w:val="00826E95"/>
    <w:rsid w:val="00826FBD"/>
    <w:rsid w:val="0082732F"/>
    <w:rsid w:val="008277DC"/>
    <w:rsid w:val="00827899"/>
    <w:rsid w:val="008278D4"/>
    <w:rsid w:val="00827A08"/>
    <w:rsid w:val="00827BA1"/>
    <w:rsid w:val="00827D03"/>
    <w:rsid w:val="00827D28"/>
    <w:rsid w:val="008301C1"/>
    <w:rsid w:val="008301DB"/>
    <w:rsid w:val="0083024A"/>
    <w:rsid w:val="00830772"/>
    <w:rsid w:val="008308C4"/>
    <w:rsid w:val="00830A58"/>
    <w:rsid w:val="008321AA"/>
    <w:rsid w:val="0083229F"/>
    <w:rsid w:val="008325B6"/>
    <w:rsid w:val="00832BF2"/>
    <w:rsid w:val="00833220"/>
    <w:rsid w:val="00833361"/>
    <w:rsid w:val="00833809"/>
    <w:rsid w:val="00833BE6"/>
    <w:rsid w:val="008341D9"/>
    <w:rsid w:val="00834430"/>
    <w:rsid w:val="00834598"/>
    <w:rsid w:val="008348D0"/>
    <w:rsid w:val="00834BF3"/>
    <w:rsid w:val="00835228"/>
    <w:rsid w:val="00835586"/>
    <w:rsid w:val="008355A8"/>
    <w:rsid w:val="0083566A"/>
    <w:rsid w:val="00835921"/>
    <w:rsid w:val="00835BF2"/>
    <w:rsid w:val="00835C93"/>
    <w:rsid w:val="00835DC2"/>
    <w:rsid w:val="008361FD"/>
    <w:rsid w:val="00836578"/>
    <w:rsid w:val="00836CC1"/>
    <w:rsid w:val="00836CD7"/>
    <w:rsid w:val="00837A87"/>
    <w:rsid w:val="00840160"/>
    <w:rsid w:val="008405BB"/>
    <w:rsid w:val="0084083E"/>
    <w:rsid w:val="00840A0D"/>
    <w:rsid w:val="00840AAD"/>
    <w:rsid w:val="00840C75"/>
    <w:rsid w:val="00840E3E"/>
    <w:rsid w:val="00841482"/>
    <w:rsid w:val="008417EC"/>
    <w:rsid w:val="00841922"/>
    <w:rsid w:val="00841C3D"/>
    <w:rsid w:val="00841CBB"/>
    <w:rsid w:val="00841D01"/>
    <w:rsid w:val="008420A7"/>
    <w:rsid w:val="00842BF1"/>
    <w:rsid w:val="00843058"/>
    <w:rsid w:val="0084329E"/>
    <w:rsid w:val="008435B1"/>
    <w:rsid w:val="008435EC"/>
    <w:rsid w:val="008438A7"/>
    <w:rsid w:val="00844258"/>
    <w:rsid w:val="0084426A"/>
    <w:rsid w:val="00844897"/>
    <w:rsid w:val="00844AAA"/>
    <w:rsid w:val="00844FAA"/>
    <w:rsid w:val="0084523B"/>
    <w:rsid w:val="0084555D"/>
    <w:rsid w:val="00845CB5"/>
    <w:rsid w:val="008462BA"/>
    <w:rsid w:val="0084646F"/>
    <w:rsid w:val="00847056"/>
    <w:rsid w:val="0084720E"/>
    <w:rsid w:val="00847ABD"/>
    <w:rsid w:val="00847D60"/>
    <w:rsid w:val="00850264"/>
    <w:rsid w:val="00850648"/>
    <w:rsid w:val="008506F9"/>
    <w:rsid w:val="0085096B"/>
    <w:rsid w:val="00850C11"/>
    <w:rsid w:val="00850FF1"/>
    <w:rsid w:val="008512EE"/>
    <w:rsid w:val="008516F7"/>
    <w:rsid w:val="008517EF"/>
    <w:rsid w:val="008518B0"/>
    <w:rsid w:val="008519C5"/>
    <w:rsid w:val="00851D0D"/>
    <w:rsid w:val="00851E28"/>
    <w:rsid w:val="00852782"/>
    <w:rsid w:val="00853002"/>
    <w:rsid w:val="00853536"/>
    <w:rsid w:val="00853716"/>
    <w:rsid w:val="00853961"/>
    <w:rsid w:val="008539F4"/>
    <w:rsid w:val="00853ACE"/>
    <w:rsid w:val="00853C94"/>
    <w:rsid w:val="00853CCA"/>
    <w:rsid w:val="00853D66"/>
    <w:rsid w:val="0085432E"/>
    <w:rsid w:val="008543E8"/>
    <w:rsid w:val="00854DBC"/>
    <w:rsid w:val="00855254"/>
    <w:rsid w:val="008556A8"/>
    <w:rsid w:val="00855A80"/>
    <w:rsid w:val="00855C1B"/>
    <w:rsid w:val="00855F32"/>
    <w:rsid w:val="00856441"/>
    <w:rsid w:val="00856570"/>
    <w:rsid w:val="00856CB6"/>
    <w:rsid w:val="00856EB8"/>
    <w:rsid w:val="00856F57"/>
    <w:rsid w:val="00857758"/>
    <w:rsid w:val="00857811"/>
    <w:rsid w:val="00857CB7"/>
    <w:rsid w:val="0086040C"/>
    <w:rsid w:val="00860496"/>
    <w:rsid w:val="0086055D"/>
    <w:rsid w:val="008609D2"/>
    <w:rsid w:val="00860D5A"/>
    <w:rsid w:val="00860FF7"/>
    <w:rsid w:val="008610D2"/>
    <w:rsid w:val="008620D8"/>
    <w:rsid w:val="00863552"/>
    <w:rsid w:val="008635C4"/>
    <w:rsid w:val="008638CF"/>
    <w:rsid w:val="00863C73"/>
    <w:rsid w:val="00863D08"/>
    <w:rsid w:val="00863DF4"/>
    <w:rsid w:val="008641C7"/>
    <w:rsid w:val="00864467"/>
    <w:rsid w:val="00864789"/>
    <w:rsid w:val="00864AE3"/>
    <w:rsid w:val="0086611F"/>
    <w:rsid w:val="0086649B"/>
    <w:rsid w:val="00866680"/>
    <w:rsid w:val="00867C00"/>
    <w:rsid w:val="00867F1A"/>
    <w:rsid w:val="008702C8"/>
    <w:rsid w:val="0087045C"/>
    <w:rsid w:val="008704AE"/>
    <w:rsid w:val="00870516"/>
    <w:rsid w:val="008705C5"/>
    <w:rsid w:val="00870751"/>
    <w:rsid w:val="00870ED8"/>
    <w:rsid w:val="00871F2E"/>
    <w:rsid w:val="00872095"/>
    <w:rsid w:val="008720D3"/>
    <w:rsid w:val="00872C1B"/>
    <w:rsid w:val="00873151"/>
    <w:rsid w:val="008733E6"/>
    <w:rsid w:val="008741C3"/>
    <w:rsid w:val="0087471D"/>
    <w:rsid w:val="00874796"/>
    <w:rsid w:val="008747D7"/>
    <w:rsid w:val="008747EC"/>
    <w:rsid w:val="008752D2"/>
    <w:rsid w:val="00875F93"/>
    <w:rsid w:val="00876570"/>
    <w:rsid w:val="008768A4"/>
    <w:rsid w:val="00876917"/>
    <w:rsid w:val="00876C7F"/>
    <w:rsid w:val="00876D61"/>
    <w:rsid w:val="00876F7E"/>
    <w:rsid w:val="0087708A"/>
    <w:rsid w:val="00877443"/>
    <w:rsid w:val="008779FC"/>
    <w:rsid w:val="00877EFB"/>
    <w:rsid w:val="00880011"/>
    <w:rsid w:val="0088008C"/>
    <w:rsid w:val="00880B1C"/>
    <w:rsid w:val="00880B63"/>
    <w:rsid w:val="00880EA2"/>
    <w:rsid w:val="00882012"/>
    <w:rsid w:val="0088207B"/>
    <w:rsid w:val="00882136"/>
    <w:rsid w:val="008828BD"/>
    <w:rsid w:val="00882D51"/>
    <w:rsid w:val="00882DA6"/>
    <w:rsid w:val="00882ED2"/>
    <w:rsid w:val="00883990"/>
    <w:rsid w:val="00883CE1"/>
    <w:rsid w:val="0088402A"/>
    <w:rsid w:val="0088424B"/>
    <w:rsid w:val="0088444B"/>
    <w:rsid w:val="008848C7"/>
    <w:rsid w:val="00884A23"/>
    <w:rsid w:val="00884C5B"/>
    <w:rsid w:val="008856FC"/>
    <w:rsid w:val="00885781"/>
    <w:rsid w:val="00885A4A"/>
    <w:rsid w:val="00885AE0"/>
    <w:rsid w:val="00885B39"/>
    <w:rsid w:val="00885D27"/>
    <w:rsid w:val="00885FCF"/>
    <w:rsid w:val="00886064"/>
    <w:rsid w:val="008862A5"/>
    <w:rsid w:val="0088648E"/>
    <w:rsid w:val="00886542"/>
    <w:rsid w:val="008867DF"/>
    <w:rsid w:val="008869FA"/>
    <w:rsid w:val="0088721D"/>
    <w:rsid w:val="008873E2"/>
    <w:rsid w:val="00887429"/>
    <w:rsid w:val="0088761C"/>
    <w:rsid w:val="00887B80"/>
    <w:rsid w:val="00887FEB"/>
    <w:rsid w:val="008901DA"/>
    <w:rsid w:val="008906ED"/>
    <w:rsid w:val="008910E0"/>
    <w:rsid w:val="0089123E"/>
    <w:rsid w:val="008917EA"/>
    <w:rsid w:val="00891D37"/>
    <w:rsid w:val="0089281D"/>
    <w:rsid w:val="00892A84"/>
    <w:rsid w:val="00892C9A"/>
    <w:rsid w:val="00893914"/>
    <w:rsid w:val="0089424A"/>
    <w:rsid w:val="008943CD"/>
    <w:rsid w:val="00894759"/>
    <w:rsid w:val="00894B32"/>
    <w:rsid w:val="00894BFE"/>
    <w:rsid w:val="00894E5B"/>
    <w:rsid w:val="008951E1"/>
    <w:rsid w:val="008954B2"/>
    <w:rsid w:val="00895977"/>
    <w:rsid w:val="00895B24"/>
    <w:rsid w:val="00895B30"/>
    <w:rsid w:val="00895F3B"/>
    <w:rsid w:val="0089648F"/>
    <w:rsid w:val="0089671B"/>
    <w:rsid w:val="00896C68"/>
    <w:rsid w:val="008A0308"/>
    <w:rsid w:val="008A048D"/>
    <w:rsid w:val="008A0B0A"/>
    <w:rsid w:val="008A0EAA"/>
    <w:rsid w:val="008A0EDF"/>
    <w:rsid w:val="008A0FC6"/>
    <w:rsid w:val="008A1200"/>
    <w:rsid w:val="008A1E63"/>
    <w:rsid w:val="008A229A"/>
    <w:rsid w:val="008A23F4"/>
    <w:rsid w:val="008A24D8"/>
    <w:rsid w:val="008A2556"/>
    <w:rsid w:val="008A25F0"/>
    <w:rsid w:val="008A2C14"/>
    <w:rsid w:val="008A2F0A"/>
    <w:rsid w:val="008A31B0"/>
    <w:rsid w:val="008A328B"/>
    <w:rsid w:val="008A36C0"/>
    <w:rsid w:val="008A3C56"/>
    <w:rsid w:val="008A4461"/>
    <w:rsid w:val="008A4AD4"/>
    <w:rsid w:val="008A4CB2"/>
    <w:rsid w:val="008A4D34"/>
    <w:rsid w:val="008A4DFC"/>
    <w:rsid w:val="008A5271"/>
    <w:rsid w:val="008A528A"/>
    <w:rsid w:val="008A5647"/>
    <w:rsid w:val="008A5A37"/>
    <w:rsid w:val="008A5A9E"/>
    <w:rsid w:val="008A5EA8"/>
    <w:rsid w:val="008A68B0"/>
    <w:rsid w:val="008A6964"/>
    <w:rsid w:val="008A6AA0"/>
    <w:rsid w:val="008A6C60"/>
    <w:rsid w:val="008A6EC1"/>
    <w:rsid w:val="008A7852"/>
    <w:rsid w:val="008A7A7F"/>
    <w:rsid w:val="008A7D2A"/>
    <w:rsid w:val="008B0331"/>
    <w:rsid w:val="008B03BA"/>
    <w:rsid w:val="008B05A7"/>
    <w:rsid w:val="008B0B7D"/>
    <w:rsid w:val="008B0D97"/>
    <w:rsid w:val="008B0E4F"/>
    <w:rsid w:val="008B1989"/>
    <w:rsid w:val="008B1ED3"/>
    <w:rsid w:val="008B25F9"/>
    <w:rsid w:val="008B277D"/>
    <w:rsid w:val="008B2827"/>
    <w:rsid w:val="008B2B9E"/>
    <w:rsid w:val="008B2DC1"/>
    <w:rsid w:val="008B2EC5"/>
    <w:rsid w:val="008B33A5"/>
    <w:rsid w:val="008B33E3"/>
    <w:rsid w:val="008B35EC"/>
    <w:rsid w:val="008B3602"/>
    <w:rsid w:val="008B3807"/>
    <w:rsid w:val="008B3C30"/>
    <w:rsid w:val="008B4033"/>
    <w:rsid w:val="008B4051"/>
    <w:rsid w:val="008B42D3"/>
    <w:rsid w:val="008B44A9"/>
    <w:rsid w:val="008B4888"/>
    <w:rsid w:val="008B48B5"/>
    <w:rsid w:val="008B48EF"/>
    <w:rsid w:val="008B51B2"/>
    <w:rsid w:val="008B525F"/>
    <w:rsid w:val="008B5FF9"/>
    <w:rsid w:val="008B6206"/>
    <w:rsid w:val="008B6838"/>
    <w:rsid w:val="008B692B"/>
    <w:rsid w:val="008B6A19"/>
    <w:rsid w:val="008B6D1E"/>
    <w:rsid w:val="008B743E"/>
    <w:rsid w:val="008B75B2"/>
    <w:rsid w:val="008B7E4C"/>
    <w:rsid w:val="008B7FC2"/>
    <w:rsid w:val="008C0045"/>
    <w:rsid w:val="008C03FC"/>
    <w:rsid w:val="008C05B1"/>
    <w:rsid w:val="008C08B2"/>
    <w:rsid w:val="008C0BE7"/>
    <w:rsid w:val="008C0C6B"/>
    <w:rsid w:val="008C10E6"/>
    <w:rsid w:val="008C1B95"/>
    <w:rsid w:val="008C2107"/>
    <w:rsid w:val="008C254A"/>
    <w:rsid w:val="008C26B1"/>
    <w:rsid w:val="008C2B22"/>
    <w:rsid w:val="008C3414"/>
    <w:rsid w:val="008C3726"/>
    <w:rsid w:val="008C4479"/>
    <w:rsid w:val="008C466B"/>
    <w:rsid w:val="008C4ABA"/>
    <w:rsid w:val="008C4D1C"/>
    <w:rsid w:val="008C4F9A"/>
    <w:rsid w:val="008C567A"/>
    <w:rsid w:val="008C59AA"/>
    <w:rsid w:val="008C5A2F"/>
    <w:rsid w:val="008C5F24"/>
    <w:rsid w:val="008C6693"/>
    <w:rsid w:val="008C699A"/>
    <w:rsid w:val="008C6B82"/>
    <w:rsid w:val="008C6ED4"/>
    <w:rsid w:val="008C6F2F"/>
    <w:rsid w:val="008C6F5B"/>
    <w:rsid w:val="008C70F4"/>
    <w:rsid w:val="008C7909"/>
    <w:rsid w:val="008C7968"/>
    <w:rsid w:val="008C7A70"/>
    <w:rsid w:val="008C7AB1"/>
    <w:rsid w:val="008D0A63"/>
    <w:rsid w:val="008D0EFE"/>
    <w:rsid w:val="008D11B7"/>
    <w:rsid w:val="008D142B"/>
    <w:rsid w:val="008D18E6"/>
    <w:rsid w:val="008D1A5C"/>
    <w:rsid w:val="008D1D9A"/>
    <w:rsid w:val="008D1E1D"/>
    <w:rsid w:val="008D2212"/>
    <w:rsid w:val="008D25A6"/>
    <w:rsid w:val="008D2C95"/>
    <w:rsid w:val="008D32BE"/>
    <w:rsid w:val="008D32F6"/>
    <w:rsid w:val="008D34C2"/>
    <w:rsid w:val="008D34E5"/>
    <w:rsid w:val="008D3A9E"/>
    <w:rsid w:val="008D3C0E"/>
    <w:rsid w:val="008D3E15"/>
    <w:rsid w:val="008D3E55"/>
    <w:rsid w:val="008D3E7B"/>
    <w:rsid w:val="008D3E99"/>
    <w:rsid w:val="008D450A"/>
    <w:rsid w:val="008D4656"/>
    <w:rsid w:val="008D487E"/>
    <w:rsid w:val="008D48AC"/>
    <w:rsid w:val="008D4A87"/>
    <w:rsid w:val="008D4AE7"/>
    <w:rsid w:val="008D4B96"/>
    <w:rsid w:val="008D4C96"/>
    <w:rsid w:val="008D4D0F"/>
    <w:rsid w:val="008D4E6C"/>
    <w:rsid w:val="008D4F01"/>
    <w:rsid w:val="008D5203"/>
    <w:rsid w:val="008D52BA"/>
    <w:rsid w:val="008D54BE"/>
    <w:rsid w:val="008D58C8"/>
    <w:rsid w:val="008D5EE5"/>
    <w:rsid w:val="008D60C7"/>
    <w:rsid w:val="008D6267"/>
    <w:rsid w:val="008D6471"/>
    <w:rsid w:val="008D6F18"/>
    <w:rsid w:val="008D76F4"/>
    <w:rsid w:val="008D777A"/>
    <w:rsid w:val="008D7B69"/>
    <w:rsid w:val="008D7ED7"/>
    <w:rsid w:val="008E063F"/>
    <w:rsid w:val="008E08FB"/>
    <w:rsid w:val="008E098E"/>
    <w:rsid w:val="008E0995"/>
    <w:rsid w:val="008E0BAF"/>
    <w:rsid w:val="008E0CFD"/>
    <w:rsid w:val="008E1105"/>
    <w:rsid w:val="008E1B41"/>
    <w:rsid w:val="008E1BA8"/>
    <w:rsid w:val="008E1BD8"/>
    <w:rsid w:val="008E3204"/>
    <w:rsid w:val="008E32A4"/>
    <w:rsid w:val="008E34CE"/>
    <w:rsid w:val="008E3518"/>
    <w:rsid w:val="008E3BC5"/>
    <w:rsid w:val="008E4153"/>
    <w:rsid w:val="008E419B"/>
    <w:rsid w:val="008E5331"/>
    <w:rsid w:val="008E55E9"/>
    <w:rsid w:val="008E56F2"/>
    <w:rsid w:val="008E57E9"/>
    <w:rsid w:val="008E595B"/>
    <w:rsid w:val="008E5E65"/>
    <w:rsid w:val="008E60D9"/>
    <w:rsid w:val="008E619B"/>
    <w:rsid w:val="008E6253"/>
    <w:rsid w:val="008E66E5"/>
    <w:rsid w:val="008E6ED1"/>
    <w:rsid w:val="008E711E"/>
    <w:rsid w:val="008E7D7B"/>
    <w:rsid w:val="008F09A8"/>
    <w:rsid w:val="008F0E1A"/>
    <w:rsid w:val="008F0FD4"/>
    <w:rsid w:val="008F1280"/>
    <w:rsid w:val="008F12D8"/>
    <w:rsid w:val="008F12E3"/>
    <w:rsid w:val="008F164B"/>
    <w:rsid w:val="008F1A6E"/>
    <w:rsid w:val="008F1D9F"/>
    <w:rsid w:val="008F2333"/>
    <w:rsid w:val="008F234F"/>
    <w:rsid w:val="008F2644"/>
    <w:rsid w:val="008F2813"/>
    <w:rsid w:val="008F292E"/>
    <w:rsid w:val="008F2935"/>
    <w:rsid w:val="008F29E8"/>
    <w:rsid w:val="008F2E5B"/>
    <w:rsid w:val="008F2EA9"/>
    <w:rsid w:val="008F310F"/>
    <w:rsid w:val="008F3904"/>
    <w:rsid w:val="008F3AB8"/>
    <w:rsid w:val="008F47A3"/>
    <w:rsid w:val="008F4D08"/>
    <w:rsid w:val="008F504C"/>
    <w:rsid w:val="008F54DE"/>
    <w:rsid w:val="008F5638"/>
    <w:rsid w:val="008F56CB"/>
    <w:rsid w:val="008F58C6"/>
    <w:rsid w:val="008F5E45"/>
    <w:rsid w:val="008F5E92"/>
    <w:rsid w:val="008F5FA2"/>
    <w:rsid w:val="008F60AA"/>
    <w:rsid w:val="008F60E4"/>
    <w:rsid w:val="008F635E"/>
    <w:rsid w:val="008F6952"/>
    <w:rsid w:val="008F69E6"/>
    <w:rsid w:val="008F6A1B"/>
    <w:rsid w:val="008F6A39"/>
    <w:rsid w:val="008F6EB6"/>
    <w:rsid w:val="008F7B3D"/>
    <w:rsid w:val="008F7D30"/>
    <w:rsid w:val="009002EC"/>
    <w:rsid w:val="009006DC"/>
    <w:rsid w:val="009008AE"/>
    <w:rsid w:val="00900913"/>
    <w:rsid w:val="00900A8E"/>
    <w:rsid w:val="00900C38"/>
    <w:rsid w:val="00900C39"/>
    <w:rsid w:val="0090155D"/>
    <w:rsid w:val="0090169C"/>
    <w:rsid w:val="00901945"/>
    <w:rsid w:val="00901A1D"/>
    <w:rsid w:val="00901A4D"/>
    <w:rsid w:val="00901D16"/>
    <w:rsid w:val="0090258A"/>
    <w:rsid w:val="009025AF"/>
    <w:rsid w:val="00902696"/>
    <w:rsid w:val="009034F0"/>
    <w:rsid w:val="00903537"/>
    <w:rsid w:val="00903784"/>
    <w:rsid w:val="00903827"/>
    <w:rsid w:val="00903974"/>
    <w:rsid w:val="00903A0B"/>
    <w:rsid w:val="00904101"/>
    <w:rsid w:val="00904910"/>
    <w:rsid w:val="00904928"/>
    <w:rsid w:val="00904BBC"/>
    <w:rsid w:val="00904CF0"/>
    <w:rsid w:val="00904DCD"/>
    <w:rsid w:val="00905C28"/>
    <w:rsid w:val="009060C9"/>
    <w:rsid w:val="0090634D"/>
    <w:rsid w:val="00906A4F"/>
    <w:rsid w:val="00906B25"/>
    <w:rsid w:val="00906FBE"/>
    <w:rsid w:val="0090701A"/>
    <w:rsid w:val="009070F3"/>
    <w:rsid w:val="0090782C"/>
    <w:rsid w:val="00907985"/>
    <w:rsid w:val="00910107"/>
    <w:rsid w:val="0091034A"/>
    <w:rsid w:val="0091089B"/>
    <w:rsid w:val="009109C6"/>
    <w:rsid w:val="00910EFA"/>
    <w:rsid w:val="00911192"/>
    <w:rsid w:val="0091143C"/>
    <w:rsid w:val="009115C4"/>
    <w:rsid w:val="009115DD"/>
    <w:rsid w:val="0091197C"/>
    <w:rsid w:val="009121AF"/>
    <w:rsid w:val="00912B35"/>
    <w:rsid w:val="00912DAE"/>
    <w:rsid w:val="009138AB"/>
    <w:rsid w:val="00914197"/>
    <w:rsid w:val="009142F1"/>
    <w:rsid w:val="009151D3"/>
    <w:rsid w:val="00915414"/>
    <w:rsid w:val="009155CE"/>
    <w:rsid w:val="00915866"/>
    <w:rsid w:val="0091597B"/>
    <w:rsid w:val="00915AC0"/>
    <w:rsid w:val="00916031"/>
    <w:rsid w:val="009163AD"/>
    <w:rsid w:val="00916999"/>
    <w:rsid w:val="009169FB"/>
    <w:rsid w:val="00916B68"/>
    <w:rsid w:val="00916DA1"/>
    <w:rsid w:val="00917351"/>
    <w:rsid w:val="00917714"/>
    <w:rsid w:val="00917941"/>
    <w:rsid w:val="00917F35"/>
    <w:rsid w:val="00917FFC"/>
    <w:rsid w:val="0092007C"/>
    <w:rsid w:val="00920284"/>
    <w:rsid w:val="009202DD"/>
    <w:rsid w:val="00920A2C"/>
    <w:rsid w:val="00920C00"/>
    <w:rsid w:val="00920ED7"/>
    <w:rsid w:val="00920FA7"/>
    <w:rsid w:val="00921097"/>
    <w:rsid w:val="0092109D"/>
    <w:rsid w:val="00921432"/>
    <w:rsid w:val="00921946"/>
    <w:rsid w:val="00921A9E"/>
    <w:rsid w:val="00921CED"/>
    <w:rsid w:val="00921D4C"/>
    <w:rsid w:val="0092225E"/>
    <w:rsid w:val="00922ADD"/>
    <w:rsid w:val="00922BB7"/>
    <w:rsid w:val="0092314A"/>
    <w:rsid w:val="0092372A"/>
    <w:rsid w:val="00923DFA"/>
    <w:rsid w:val="00923E1F"/>
    <w:rsid w:val="00923E80"/>
    <w:rsid w:val="00923F62"/>
    <w:rsid w:val="00924384"/>
    <w:rsid w:val="00924A16"/>
    <w:rsid w:val="00924B50"/>
    <w:rsid w:val="00924F9C"/>
    <w:rsid w:val="00925488"/>
    <w:rsid w:val="009255A4"/>
    <w:rsid w:val="00925D8E"/>
    <w:rsid w:val="009260F9"/>
    <w:rsid w:val="009262C6"/>
    <w:rsid w:val="009262CC"/>
    <w:rsid w:val="00926354"/>
    <w:rsid w:val="00926557"/>
    <w:rsid w:val="009265BB"/>
    <w:rsid w:val="00926BDE"/>
    <w:rsid w:val="00926E65"/>
    <w:rsid w:val="00926F25"/>
    <w:rsid w:val="00926F4F"/>
    <w:rsid w:val="0092719F"/>
    <w:rsid w:val="00927BE0"/>
    <w:rsid w:val="00927FD1"/>
    <w:rsid w:val="00930497"/>
    <w:rsid w:val="00930629"/>
    <w:rsid w:val="00930E3E"/>
    <w:rsid w:val="009312C3"/>
    <w:rsid w:val="009313E3"/>
    <w:rsid w:val="00931AF9"/>
    <w:rsid w:val="00932800"/>
    <w:rsid w:val="00932924"/>
    <w:rsid w:val="009329AA"/>
    <w:rsid w:val="00932BA8"/>
    <w:rsid w:val="009337C1"/>
    <w:rsid w:val="009339E5"/>
    <w:rsid w:val="00933DFA"/>
    <w:rsid w:val="00933F29"/>
    <w:rsid w:val="0093445F"/>
    <w:rsid w:val="0093460D"/>
    <w:rsid w:val="0093471F"/>
    <w:rsid w:val="009347F4"/>
    <w:rsid w:val="00934A35"/>
    <w:rsid w:val="00934B6A"/>
    <w:rsid w:val="00934C7B"/>
    <w:rsid w:val="00934F95"/>
    <w:rsid w:val="0093535C"/>
    <w:rsid w:val="009356DD"/>
    <w:rsid w:val="00935892"/>
    <w:rsid w:val="00935F7A"/>
    <w:rsid w:val="009364EB"/>
    <w:rsid w:val="009374F0"/>
    <w:rsid w:val="0093786C"/>
    <w:rsid w:val="00937CC0"/>
    <w:rsid w:val="00940022"/>
    <w:rsid w:val="009406C7"/>
    <w:rsid w:val="009407FD"/>
    <w:rsid w:val="00940C0D"/>
    <w:rsid w:val="00941962"/>
    <w:rsid w:val="00941B33"/>
    <w:rsid w:val="00941C3F"/>
    <w:rsid w:val="00941EF0"/>
    <w:rsid w:val="00942173"/>
    <w:rsid w:val="00942482"/>
    <w:rsid w:val="009424FB"/>
    <w:rsid w:val="009426F3"/>
    <w:rsid w:val="00942703"/>
    <w:rsid w:val="00942AD4"/>
    <w:rsid w:val="00942FDF"/>
    <w:rsid w:val="00943181"/>
    <w:rsid w:val="00943601"/>
    <w:rsid w:val="009437FA"/>
    <w:rsid w:val="0094382E"/>
    <w:rsid w:val="009438EE"/>
    <w:rsid w:val="00943EDA"/>
    <w:rsid w:val="00944723"/>
    <w:rsid w:val="0094487E"/>
    <w:rsid w:val="00944AB1"/>
    <w:rsid w:val="00944E95"/>
    <w:rsid w:val="009450B2"/>
    <w:rsid w:val="0094555B"/>
    <w:rsid w:val="009465C9"/>
    <w:rsid w:val="00946A3B"/>
    <w:rsid w:val="00946B9D"/>
    <w:rsid w:val="009470DF"/>
    <w:rsid w:val="00947571"/>
    <w:rsid w:val="009477AC"/>
    <w:rsid w:val="009479F7"/>
    <w:rsid w:val="00947A9D"/>
    <w:rsid w:val="0095076D"/>
    <w:rsid w:val="00950963"/>
    <w:rsid w:val="009509DA"/>
    <w:rsid w:val="00950C9B"/>
    <w:rsid w:val="00950CD5"/>
    <w:rsid w:val="00950F03"/>
    <w:rsid w:val="00951388"/>
    <w:rsid w:val="00951472"/>
    <w:rsid w:val="0095216D"/>
    <w:rsid w:val="00952896"/>
    <w:rsid w:val="009529D7"/>
    <w:rsid w:val="00952A71"/>
    <w:rsid w:val="00953F45"/>
    <w:rsid w:val="009540A3"/>
    <w:rsid w:val="009542D6"/>
    <w:rsid w:val="00954957"/>
    <w:rsid w:val="00954A4F"/>
    <w:rsid w:val="009552CC"/>
    <w:rsid w:val="009558CF"/>
    <w:rsid w:val="009559C8"/>
    <w:rsid w:val="00955C3B"/>
    <w:rsid w:val="00955CBA"/>
    <w:rsid w:val="0095656E"/>
    <w:rsid w:val="009565FA"/>
    <w:rsid w:val="00956B08"/>
    <w:rsid w:val="00956CBA"/>
    <w:rsid w:val="00956DDA"/>
    <w:rsid w:val="0095733D"/>
    <w:rsid w:val="009574C8"/>
    <w:rsid w:val="009578AD"/>
    <w:rsid w:val="00957AE8"/>
    <w:rsid w:val="00957F2A"/>
    <w:rsid w:val="00957F3C"/>
    <w:rsid w:val="00960012"/>
    <w:rsid w:val="0096023D"/>
    <w:rsid w:val="00960520"/>
    <w:rsid w:val="00960A76"/>
    <w:rsid w:val="00960C6A"/>
    <w:rsid w:val="00960EB0"/>
    <w:rsid w:val="00960F3F"/>
    <w:rsid w:val="009611CD"/>
    <w:rsid w:val="009612E9"/>
    <w:rsid w:val="009615E3"/>
    <w:rsid w:val="009618FE"/>
    <w:rsid w:val="00961FDA"/>
    <w:rsid w:val="00962058"/>
    <w:rsid w:val="009622A6"/>
    <w:rsid w:val="00962520"/>
    <w:rsid w:val="009629A7"/>
    <w:rsid w:val="00962CA5"/>
    <w:rsid w:val="00962E12"/>
    <w:rsid w:val="00963207"/>
    <w:rsid w:val="00963427"/>
    <w:rsid w:val="00963AF0"/>
    <w:rsid w:val="00963C7C"/>
    <w:rsid w:val="00964CC2"/>
    <w:rsid w:val="00964D70"/>
    <w:rsid w:val="009657C2"/>
    <w:rsid w:val="009667FE"/>
    <w:rsid w:val="009669C2"/>
    <w:rsid w:val="00966D8C"/>
    <w:rsid w:val="00966FF0"/>
    <w:rsid w:val="00967BE7"/>
    <w:rsid w:val="00967D70"/>
    <w:rsid w:val="00967F30"/>
    <w:rsid w:val="00967F73"/>
    <w:rsid w:val="00967FE3"/>
    <w:rsid w:val="0097018E"/>
    <w:rsid w:val="00970282"/>
    <w:rsid w:val="0097047A"/>
    <w:rsid w:val="00970766"/>
    <w:rsid w:val="00970B58"/>
    <w:rsid w:val="0097111B"/>
    <w:rsid w:val="00971189"/>
    <w:rsid w:val="00971435"/>
    <w:rsid w:val="0097179D"/>
    <w:rsid w:val="00971B5A"/>
    <w:rsid w:val="00972368"/>
    <w:rsid w:val="009723C6"/>
    <w:rsid w:val="00972BB4"/>
    <w:rsid w:val="00972CD9"/>
    <w:rsid w:val="00972F57"/>
    <w:rsid w:val="0097306E"/>
    <w:rsid w:val="0097306F"/>
    <w:rsid w:val="0097308F"/>
    <w:rsid w:val="0097355E"/>
    <w:rsid w:val="0097390C"/>
    <w:rsid w:val="00973AE0"/>
    <w:rsid w:val="00973D06"/>
    <w:rsid w:val="00973DE9"/>
    <w:rsid w:val="0097409A"/>
    <w:rsid w:val="0097492B"/>
    <w:rsid w:val="00974DF7"/>
    <w:rsid w:val="00974E68"/>
    <w:rsid w:val="009755CF"/>
    <w:rsid w:val="00975741"/>
    <w:rsid w:val="009757B8"/>
    <w:rsid w:val="00975976"/>
    <w:rsid w:val="0097630E"/>
    <w:rsid w:val="00976BF6"/>
    <w:rsid w:val="00976C76"/>
    <w:rsid w:val="00976F23"/>
    <w:rsid w:val="00976F90"/>
    <w:rsid w:val="00977524"/>
    <w:rsid w:val="00977710"/>
    <w:rsid w:val="00977AB8"/>
    <w:rsid w:val="00977BF2"/>
    <w:rsid w:val="00980747"/>
    <w:rsid w:val="00980D7C"/>
    <w:rsid w:val="009812F7"/>
    <w:rsid w:val="009818C5"/>
    <w:rsid w:val="0098196E"/>
    <w:rsid w:val="00981C4D"/>
    <w:rsid w:val="00981FB4"/>
    <w:rsid w:val="009823E2"/>
    <w:rsid w:val="00982615"/>
    <w:rsid w:val="00982634"/>
    <w:rsid w:val="00982BCC"/>
    <w:rsid w:val="0098368A"/>
    <w:rsid w:val="009848AA"/>
    <w:rsid w:val="00984C54"/>
    <w:rsid w:val="00984F29"/>
    <w:rsid w:val="00985270"/>
    <w:rsid w:val="00985377"/>
    <w:rsid w:val="009858FF"/>
    <w:rsid w:val="0098592E"/>
    <w:rsid w:val="00985A33"/>
    <w:rsid w:val="00985DA9"/>
    <w:rsid w:val="009861C4"/>
    <w:rsid w:val="0098623F"/>
    <w:rsid w:val="009866CB"/>
    <w:rsid w:val="00986B73"/>
    <w:rsid w:val="00986FF0"/>
    <w:rsid w:val="009874E5"/>
    <w:rsid w:val="0098786B"/>
    <w:rsid w:val="00987881"/>
    <w:rsid w:val="00987AEE"/>
    <w:rsid w:val="00987CAD"/>
    <w:rsid w:val="0099063B"/>
    <w:rsid w:val="00990B32"/>
    <w:rsid w:val="0099102F"/>
    <w:rsid w:val="0099126E"/>
    <w:rsid w:val="0099188D"/>
    <w:rsid w:val="009918D1"/>
    <w:rsid w:val="00992273"/>
    <w:rsid w:val="00992ACA"/>
    <w:rsid w:val="00992F4A"/>
    <w:rsid w:val="0099301C"/>
    <w:rsid w:val="0099367F"/>
    <w:rsid w:val="009936F4"/>
    <w:rsid w:val="00993C18"/>
    <w:rsid w:val="00994761"/>
    <w:rsid w:val="00994968"/>
    <w:rsid w:val="00994A15"/>
    <w:rsid w:val="00994AD0"/>
    <w:rsid w:val="009951F0"/>
    <w:rsid w:val="009952E5"/>
    <w:rsid w:val="009954FD"/>
    <w:rsid w:val="00995B43"/>
    <w:rsid w:val="00995D4B"/>
    <w:rsid w:val="0099612A"/>
    <w:rsid w:val="0099682D"/>
    <w:rsid w:val="0099709B"/>
    <w:rsid w:val="00997BF7"/>
    <w:rsid w:val="00997C6B"/>
    <w:rsid w:val="00997C92"/>
    <w:rsid w:val="00997FE1"/>
    <w:rsid w:val="009A0012"/>
    <w:rsid w:val="009A02B4"/>
    <w:rsid w:val="009A05E8"/>
    <w:rsid w:val="009A090D"/>
    <w:rsid w:val="009A15C9"/>
    <w:rsid w:val="009A1CF9"/>
    <w:rsid w:val="009A2401"/>
    <w:rsid w:val="009A25E1"/>
    <w:rsid w:val="009A26E2"/>
    <w:rsid w:val="009A274F"/>
    <w:rsid w:val="009A280B"/>
    <w:rsid w:val="009A30FA"/>
    <w:rsid w:val="009A3250"/>
    <w:rsid w:val="009A366D"/>
    <w:rsid w:val="009A367E"/>
    <w:rsid w:val="009A3FFD"/>
    <w:rsid w:val="009A41D3"/>
    <w:rsid w:val="009A479F"/>
    <w:rsid w:val="009A4DB0"/>
    <w:rsid w:val="009A4E28"/>
    <w:rsid w:val="009A4E46"/>
    <w:rsid w:val="009A5AD2"/>
    <w:rsid w:val="009A5B50"/>
    <w:rsid w:val="009A60E5"/>
    <w:rsid w:val="009A663B"/>
    <w:rsid w:val="009A68D8"/>
    <w:rsid w:val="009A6A46"/>
    <w:rsid w:val="009A6B54"/>
    <w:rsid w:val="009A6B91"/>
    <w:rsid w:val="009A6D72"/>
    <w:rsid w:val="009A70E8"/>
    <w:rsid w:val="009A7138"/>
    <w:rsid w:val="009A7257"/>
    <w:rsid w:val="009A7A0D"/>
    <w:rsid w:val="009B055A"/>
    <w:rsid w:val="009B0743"/>
    <w:rsid w:val="009B0814"/>
    <w:rsid w:val="009B0A44"/>
    <w:rsid w:val="009B106F"/>
    <w:rsid w:val="009B142D"/>
    <w:rsid w:val="009B16F8"/>
    <w:rsid w:val="009B1B3F"/>
    <w:rsid w:val="009B1CCD"/>
    <w:rsid w:val="009B2364"/>
    <w:rsid w:val="009B28F6"/>
    <w:rsid w:val="009B356F"/>
    <w:rsid w:val="009B49FC"/>
    <w:rsid w:val="009B4B03"/>
    <w:rsid w:val="009B4F08"/>
    <w:rsid w:val="009B5FAF"/>
    <w:rsid w:val="009B60C9"/>
    <w:rsid w:val="009B618F"/>
    <w:rsid w:val="009B67D1"/>
    <w:rsid w:val="009B681A"/>
    <w:rsid w:val="009B70C0"/>
    <w:rsid w:val="009B75F0"/>
    <w:rsid w:val="009B7D53"/>
    <w:rsid w:val="009C0180"/>
    <w:rsid w:val="009C026B"/>
    <w:rsid w:val="009C0387"/>
    <w:rsid w:val="009C0630"/>
    <w:rsid w:val="009C0915"/>
    <w:rsid w:val="009C0AA3"/>
    <w:rsid w:val="009C142F"/>
    <w:rsid w:val="009C16DA"/>
    <w:rsid w:val="009C1707"/>
    <w:rsid w:val="009C18B9"/>
    <w:rsid w:val="009C1C05"/>
    <w:rsid w:val="009C3193"/>
    <w:rsid w:val="009C31BA"/>
    <w:rsid w:val="009C34C8"/>
    <w:rsid w:val="009C36D7"/>
    <w:rsid w:val="009C3722"/>
    <w:rsid w:val="009C4EC5"/>
    <w:rsid w:val="009C5061"/>
    <w:rsid w:val="009C5B27"/>
    <w:rsid w:val="009C5EFF"/>
    <w:rsid w:val="009C611F"/>
    <w:rsid w:val="009C640F"/>
    <w:rsid w:val="009C6942"/>
    <w:rsid w:val="009C6F6E"/>
    <w:rsid w:val="009C7477"/>
    <w:rsid w:val="009C7E1A"/>
    <w:rsid w:val="009D05EB"/>
    <w:rsid w:val="009D06B4"/>
    <w:rsid w:val="009D0836"/>
    <w:rsid w:val="009D0F27"/>
    <w:rsid w:val="009D0F31"/>
    <w:rsid w:val="009D102B"/>
    <w:rsid w:val="009D14E8"/>
    <w:rsid w:val="009D1633"/>
    <w:rsid w:val="009D1818"/>
    <w:rsid w:val="009D19F8"/>
    <w:rsid w:val="009D1A98"/>
    <w:rsid w:val="009D205B"/>
    <w:rsid w:val="009D2947"/>
    <w:rsid w:val="009D2A60"/>
    <w:rsid w:val="009D2CB7"/>
    <w:rsid w:val="009D2EBA"/>
    <w:rsid w:val="009D35D3"/>
    <w:rsid w:val="009D4524"/>
    <w:rsid w:val="009D46D5"/>
    <w:rsid w:val="009D48A1"/>
    <w:rsid w:val="009D4AD8"/>
    <w:rsid w:val="009D5817"/>
    <w:rsid w:val="009D5A8F"/>
    <w:rsid w:val="009D5BFD"/>
    <w:rsid w:val="009D66A1"/>
    <w:rsid w:val="009D6830"/>
    <w:rsid w:val="009D6B05"/>
    <w:rsid w:val="009D7414"/>
    <w:rsid w:val="009D7836"/>
    <w:rsid w:val="009D7E34"/>
    <w:rsid w:val="009E1B0A"/>
    <w:rsid w:val="009E1D27"/>
    <w:rsid w:val="009E1E3C"/>
    <w:rsid w:val="009E24F0"/>
    <w:rsid w:val="009E251B"/>
    <w:rsid w:val="009E252F"/>
    <w:rsid w:val="009E28B2"/>
    <w:rsid w:val="009E2A37"/>
    <w:rsid w:val="009E2CF8"/>
    <w:rsid w:val="009E2FD2"/>
    <w:rsid w:val="009E32C2"/>
    <w:rsid w:val="009E358C"/>
    <w:rsid w:val="009E3A7D"/>
    <w:rsid w:val="009E3AD1"/>
    <w:rsid w:val="009E3B49"/>
    <w:rsid w:val="009E3E34"/>
    <w:rsid w:val="009E4053"/>
    <w:rsid w:val="009E4AE3"/>
    <w:rsid w:val="009E4B5C"/>
    <w:rsid w:val="009E4DE0"/>
    <w:rsid w:val="009E4E38"/>
    <w:rsid w:val="009E516A"/>
    <w:rsid w:val="009E57B9"/>
    <w:rsid w:val="009E5B2F"/>
    <w:rsid w:val="009E5C74"/>
    <w:rsid w:val="009E5F76"/>
    <w:rsid w:val="009E6653"/>
    <w:rsid w:val="009E69FC"/>
    <w:rsid w:val="009E6EEE"/>
    <w:rsid w:val="009E76DA"/>
    <w:rsid w:val="009E7A62"/>
    <w:rsid w:val="009E7F7F"/>
    <w:rsid w:val="009F03DD"/>
    <w:rsid w:val="009F072F"/>
    <w:rsid w:val="009F0786"/>
    <w:rsid w:val="009F1CBA"/>
    <w:rsid w:val="009F267C"/>
    <w:rsid w:val="009F28D6"/>
    <w:rsid w:val="009F2BFE"/>
    <w:rsid w:val="009F2C0B"/>
    <w:rsid w:val="009F2CDD"/>
    <w:rsid w:val="009F2E3F"/>
    <w:rsid w:val="009F2E8D"/>
    <w:rsid w:val="009F311A"/>
    <w:rsid w:val="009F3122"/>
    <w:rsid w:val="009F3D3D"/>
    <w:rsid w:val="009F4549"/>
    <w:rsid w:val="009F48DE"/>
    <w:rsid w:val="009F4A80"/>
    <w:rsid w:val="009F4EB9"/>
    <w:rsid w:val="009F5339"/>
    <w:rsid w:val="009F54C7"/>
    <w:rsid w:val="009F5A4E"/>
    <w:rsid w:val="009F5A8A"/>
    <w:rsid w:val="009F5AC5"/>
    <w:rsid w:val="009F6209"/>
    <w:rsid w:val="009F73AA"/>
    <w:rsid w:val="009F7E65"/>
    <w:rsid w:val="00A0081B"/>
    <w:rsid w:val="00A00A3E"/>
    <w:rsid w:val="00A00B72"/>
    <w:rsid w:val="00A00FDA"/>
    <w:rsid w:val="00A01FF6"/>
    <w:rsid w:val="00A02C85"/>
    <w:rsid w:val="00A02D0F"/>
    <w:rsid w:val="00A02E32"/>
    <w:rsid w:val="00A03090"/>
    <w:rsid w:val="00A03260"/>
    <w:rsid w:val="00A033DF"/>
    <w:rsid w:val="00A039B9"/>
    <w:rsid w:val="00A041D8"/>
    <w:rsid w:val="00A0486E"/>
    <w:rsid w:val="00A05239"/>
    <w:rsid w:val="00A055DD"/>
    <w:rsid w:val="00A05B8B"/>
    <w:rsid w:val="00A060E1"/>
    <w:rsid w:val="00A061BE"/>
    <w:rsid w:val="00A06475"/>
    <w:rsid w:val="00A064AC"/>
    <w:rsid w:val="00A06AFF"/>
    <w:rsid w:val="00A06C25"/>
    <w:rsid w:val="00A06D06"/>
    <w:rsid w:val="00A07012"/>
    <w:rsid w:val="00A077CA"/>
    <w:rsid w:val="00A07D52"/>
    <w:rsid w:val="00A07E5A"/>
    <w:rsid w:val="00A10418"/>
    <w:rsid w:val="00A106E3"/>
    <w:rsid w:val="00A107FF"/>
    <w:rsid w:val="00A10ACC"/>
    <w:rsid w:val="00A10CCB"/>
    <w:rsid w:val="00A11170"/>
    <w:rsid w:val="00A1166E"/>
    <w:rsid w:val="00A11693"/>
    <w:rsid w:val="00A11A69"/>
    <w:rsid w:val="00A123F8"/>
    <w:rsid w:val="00A12A47"/>
    <w:rsid w:val="00A12D9B"/>
    <w:rsid w:val="00A12DA4"/>
    <w:rsid w:val="00A12E02"/>
    <w:rsid w:val="00A12E7E"/>
    <w:rsid w:val="00A12EE5"/>
    <w:rsid w:val="00A13124"/>
    <w:rsid w:val="00A13148"/>
    <w:rsid w:val="00A13193"/>
    <w:rsid w:val="00A13381"/>
    <w:rsid w:val="00A1338F"/>
    <w:rsid w:val="00A13566"/>
    <w:rsid w:val="00A13E15"/>
    <w:rsid w:val="00A13FC8"/>
    <w:rsid w:val="00A14173"/>
    <w:rsid w:val="00A145C9"/>
    <w:rsid w:val="00A14748"/>
    <w:rsid w:val="00A14892"/>
    <w:rsid w:val="00A15E12"/>
    <w:rsid w:val="00A15F2E"/>
    <w:rsid w:val="00A16119"/>
    <w:rsid w:val="00A16135"/>
    <w:rsid w:val="00A17099"/>
    <w:rsid w:val="00A171BD"/>
    <w:rsid w:val="00A174C2"/>
    <w:rsid w:val="00A17572"/>
    <w:rsid w:val="00A17826"/>
    <w:rsid w:val="00A179CD"/>
    <w:rsid w:val="00A17B1D"/>
    <w:rsid w:val="00A17E98"/>
    <w:rsid w:val="00A20048"/>
    <w:rsid w:val="00A2053E"/>
    <w:rsid w:val="00A20D95"/>
    <w:rsid w:val="00A21AAA"/>
    <w:rsid w:val="00A22349"/>
    <w:rsid w:val="00A225D4"/>
    <w:rsid w:val="00A23031"/>
    <w:rsid w:val="00A23139"/>
    <w:rsid w:val="00A2362C"/>
    <w:rsid w:val="00A23BF7"/>
    <w:rsid w:val="00A23F79"/>
    <w:rsid w:val="00A2423A"/>
    <w:rsid w:val="00A24972"/>
    <w:rsid w:val="00A254E9"/>
    <w:rsid w:val="00A25554"/>
    <w:rsid w:val="00A258C2"/>
    <w:rsid w:val="00A25B5A"/>
    <w:rsid w:val="00A25D2C"/>
    <w:rsid w:val="00A25E83"/>
    <w:rsid w:val="00A26CA2"/>
    <w:rsid w:val="00A2701E"/>
    <w:rsid w:val="00A272E8"/>
    <w:rsid w:val="00A27D06"/>
    <w:rsid w:val="00A3018E"/>
    <w:rsid w:val="00A30302"/>
    <w:rsid w:val="00A30444"/>
    <w:rsid w:val="00A307E4"/>
    <w:rsid w:val="00A309A1"/>
    <w:rsid w:val="00A30CE5"/>
    <w:rsid w:val="00A30D83"/>
    <w:rsid w:val="00A30E64"/>
    <w:rsid w:val="00A30EBF"/>
    <w:rsid w:val="00A314F2"/>
    <w:rsid w:val="00A31522"/>
    <w:rsid w:val="00A3159F"/>
    <w:rsid w:val="00A31E85"/>
    <w:rsid w:val="00A31F9E"/>
    <w:rsid w:val="00A320A4"/>
    <w:rsid w:val="00A32199"/>
    <w:rsid w:val="00A323E8"/>
    <w:rsid w:val="00A324BD"/>
    <w:rsid w:val="00A32AF1"/>
    <w:rsid w:val="00A32E09"/>
    <w:rsid w:val="00A32F64"/>
    <w:rsid w:val="00A3352B"/>
    <w:rsid w:val="00A34416"/>
    <w:rsid w:val="00A34598"/>
    <w:rsid w:val="00A34643"/>
    <w:rsid w:val="00A34A3A"/>
    <w:rsid w:val="00A351BB"/>
    <w:rsid w:val="00A3557E"/>
    <w:rsid w:val="00A355EF"/>
    <w:rsid w:val="00A35806"/>
    <w:rsid w:val="00A358B3"/>
    <w:rsid w:val="00A35A8B"/>
    <w:rsid w:val="00A35D46"/>
    <w:rsid w:val="00A36078"/>
    <w:rsid w:val="00A3609B"/>
    <w:rsid w:val="00A36486"/>
    <w:rsid w:val="00A364B8"/>
    <w:rsid w:val="00A36875"/>
    <w:rsid w:val="00A36B05"/>
    <w:rsid w:val="00A36C9D"/>
    <w:rsid w:val="00A36D2E"/>
    <w:rsid w:val="00A37132"/>
    <w:rsid w:val="00A377EA"/>
    <w:rsid w:val="00A37B80"/>
    <w:rsid w:val="00A37CCE"/>
    <w:rsid w:val="00A37F6F"/>
    <w:rsid w:val="00A40346"/>
    <w:rsid w:val="00A40377"/>
    <w:rsid w:val="00A403E0"/>
    <w:rsid w:val="00A406A3"/>
    <w:rsid w:val="00A40A9B"/>
    <w:rsid w:val="00A40C92"/>
    <w:rsid w:val="00A40D65"/>
    <w:rsid w:val="00A41881"/>
    <w:rsid w:val="00A41AE7"/>
    <w:rsid w:val="00A41C82"/>
    <w:rsid w:val="00A420D8"/>
    <w:rsid w:val="00A4288B"/>
    <w:rsid w:val="00A42A42"/>
    <w:rsid w:val="00A42BD7"/>
    <w:rsid w:val="00A42E16"/>
    <w:rsid w:val="00A43131"/>
    <w:rsid w:val="00A4346C"/>
    <w:rsid w:val="00A43895"/>
    <w:rsid w:val="00A43898"/>
    <w:rsid w:val="00A4393E"/>
    <w:rsid w:val="00A43BAA"/>
    <w:rsid w:val="00A44123"/>
    <w:rsid w:val="00A4420B"/>
    <w:rsid w:val="00A44AAE"/>
    <w:rsid w:val="00A44F2D"/>
    <w:rsid w:val="00A453E0"/>
    <w:rsid w:val="00A45A78"/>
    <w:rsid w:val="00A45AD1"/>
    <w:rsid w:val="00A46604"/>
    <w:rsid w:val="00A46799"/>
    <w:rsid w:val="00A46C4C"/>
    <w:rsid w:val="00A47866"/>
    <w:rsid w:val="00A47B3A"/>
    <w:rsid w:val="00A47BD8"/>
    <w:rsid w:val="00A47D03"/>
    <w:rsid w:val="00A47ED7"/>
    <w:rsid w:val="00A5023B"/>
    <w:rsid w:val="00A503C0"/>
    <w:rsid w:val="00A505AE"/>
    <w:rsid w:val="00A506E6"/>
    <w:rsid w:val="00A50912"/>
    <w:rsid w:val="00A509DC"/>
    <w:rsid w:val="00A50BE3"/>
    <w:rsid w:val="00A50DE1"/>
    <w:rsid w:val="00A50F0F"/>
    <w:rsid w:val="00A51173"/>
    <w:rsid w:val="00A5146E"/>
    <w:rsid w:val="00A5152B"/>
    <w:rsid w:val="00A51FF4"/>
    <w:rsid w:val="00A5298C"/>
    <w:rsid w:val="00A52BEA"/>
    <w:rsid w:val="00A5328C"/>
    <w:rsid w:val="00A538C9"/>
    <w:rsid w:val="00A539C4"/>
    <w:rsid w:val="00A53A4D"/>
    <w:rsid w:val="00A53CBA"/>
    <w:rsid w:val="00A53E3D"/>
    <w:rsid w:val="00A543A1"/>
    <w:rsid w:val="00A54640"/>
    <w:rsid w:val="00A54A81"/>
    <w:rsid w:val="00A54CAE"/>
    <w:rsid w:val="00A54CD2"/>
    <w:rsid w:val="00A554A9"/>
    <w:rsid w:val="00A5586C"/>
    <w:rsid w:val="00A55A6A"/>
    <w:rsid w:val="00A560A5"/>
    <w:rsid w:val="00A561A0"/>
    <w:rsid w:val="00A569FA"/>
    <w:rsid w:val="00A56EDB"/>
    <w:rsid w:val="00A60268"/>
    <w:rsid w:val="00A602C9"/>
    <w:rsid w:val="00A60701"/>
    <w:rsid w:val="00A60BDE"/>
    <w:rsid w:val="00A61006"/>
    <w:rsid w:val="00A61337"/>
    <w:rsid w:val="00A6139A"/>
    <w:rsid w:val="00A617A9"/>
    <w:rsid w:val="00A6196E"/>
    <w:rsid w:val="00A61BD7"/>
    <w:rsid w:val="00A61CD5"/>
    <w:rsid w:val="00A621F0"/>
    <w:rsid w:val="00A6239D"/>
    <w:rsid w:val="00A62434"/>
    <w:rsid w:val="00A6255C"/>
    <w:rsid w:val="00A625EB"/>
    <w:rsid w:val="00A6278E"/>
    <w:rsid w:val="00A62EFC"/>
    <w:rsid w:val="00A62F38"/>
    <w:rsid w:val="00A63096"/>
    <w:rsid w:val="00A630E2"/>
    <w:rsid w:val="00A633B8"/>
    <w:rsid w:val="00A63529"/>
    <w:rsid w:val="00A64343"/>
    <w:rsid w:val="00A6464B"/>
    <w:rsid w:val="00A6470E"/>
    <w:rsid w:val="00A649DB"/>
    <w:rsid w:val="00A64ADC"/>
    <w:rsid w:val="00A651AB"/>
    <w:rsid w:val="00A65403"/>
    <w:rsid w:val="00A65794"/>
    <w:rsid w:val="00A65BC9"/>
    <w:rsid w:val="00A6603F"/>
    <w:rsid w:val="00A6616D"/>
    <w:rsid w:val="00A66577"/>
    <w:rsid w:val="00A6659E"/>
    <w:rsid w:val="00A665F2"/>
    <w:rsid w:val="00A667D7"/>
    <w:rsid w:val="00A67C23"/>
    <w:rsid w:val="00A67CC1"/>
    <w:rsid w:val="00A67D52"/>
    <w:rsid w:val="00A7090B"/>
    <w:rsid w:val="00A70D48"/>
    <w:rsid w:val="00A71D26"/>
    <w:rsid w:val="00A71E5F"/>
    <w:rsid w:val="00A72247"/>
    <w:rsid w:val="00A72430"/>
    <w:rsid w:val="00A72AA6"/>
    <w:rsid w:val="00A72AE0"/>
    <w:rsid w:val="00A7341D"/>
    <w:rsid w:val="00A73EB1"/>
    <w:rsid w:val="00A74653"/>
    <w:rsid w:val="00A748D8"/>
    <w:rsid w:val="00A750BA"/>
    <w:rsid w:val="00A752CE"/>
    <w:rsid w:val="00A757C5"/>
    <w:rsid w:val="00A75A8B"/>
    <w:rsid w:val="00A766C4"/>
    <w:rsid w:val="00A7690B"/>
    <w:rsid w:val="00A76941"/>
    <w:rsid w:val="00A76D29"/>
    <w:rsid w:val="00A76DF1"/>
    <w:rsid w:val="00A775A8"/>
    <w:rsid w:val="00A77707"/>
    <w:rsid w:val="00A778A1"/>
    <w:rsid w:val="00A779D0"/>
    <w:rsid w:val="00A80747"/>
    <w:rsid w:val="00A807F2"/>
    <w:rsid w:val="00A80990"/>
    <w:rsid w:val="00A81244"/>
    <w:rsid w:val="00A8135A"/>
    <w:rsid w:val="00A81980"/>
    <w:rsid w:val="00A824C5"/>
    <w:rsid w:val="00A827B7"/>
    <w:rsid w:val="00A8299E"/>
    <w:rsid w:val="00A829D5"/>
    <w:rsid w:val="00A82A0C"/>
    <w:rsid w:val="00A82CA2"/>
    <w:rsid w:val="00A82D4A"/>
    <w:rsid w:val="00A8319E"/>
    <w:rsid w:val="00A83524"/>
    <w:rsid w:val="00A838FB"/>
    <w:rsid w:val="00A83A98"/>
    <w:rsid w:val="00A83C1F"/>
    <w:rsid w:val="00A8400E"/>
    <w:rsid w:val="00A84290"/>
    <w:rsid w:val="00A84B26"/>
    <w:rsid w:val="00A854D3"/>
    <w:rsid w:val="00A8559A"/>
    <w:rsid w:val="00A85719"/>
    <w:rsid w:val="00A85854"/>
    <w:rsid w:val="00A85F0C"/>
    <w:rsid w:val="00A86BF5"/>
    <w:rsid w:val="00A86EC0"/>
    <w:rsid w:val="00A87E2B"/>
    <w:rsid w:val="00A90448"/>
    <w:rsid w:val="00A905B6"/>
    <w:rsid w:val="00A9096C"/>
    <w:rsid w:val="00A90AF3"/>
    <w:rsid w:val="00A90F95"/>
    <w:rsid w:val="00A912B5"/>
    <w:rsid w:val="00A914F8"/>
    <w:rsid w:val="00A91826"/>
    <w:rsid w:val="00A9183E"/>
    <w:rsid w:val="00A919D8"/>
    <w:rsid w:val="00A91A0D"/>
    <w:rsid w:val="00A91CE8"/>
    <w:rsid w:val="00A92499"/>
    <w:rsid w:val="00A925E9"/>
    <w:rsid w:val="00A92ADD"/>
    <w:rsid w:val="00A93797"/>
    <w:rsid w:val="00A94114"/>
    <w:rsid w:val="00A9440E"/>
    <w:rsid w:val="00A94455"/>
    <w:rsid w:val="00A947C9"/>
    <w:rsid w:val="00A948B2"/>
    <w:rsid w:val="00A94B57"/>
    <w:rsid w:val="00A94D0C"/>
    <w:rsid w:val="00A95647"/>
    <w:rsid w:val="00A95991"/>
    <w:rsid w:val="00A95C65"/>
    <w:rsid w:val="00A96685"/>
    <w:rsid w:val="00A967BA"/>
    <w:rsid w:val="00A969FB"/>
    <w:rsid w:val="00A97408"/>
    <w:rsid w:val="00A97615"/>
    <w:rsid w:val="00A97A96"/>
    <w:rsid w:val="00A97BEB"/>
    <w:rsid w:val="00A97E70"/>
    <w:rsid w:val="00A97FBD"/>
    <w:rsid w:val="00AA0C81"/>
    <w:rsid w:val="00AA0DBD"/>
    <w:rsid w:val="00AA0F1C"/>
    <w:rsid w:val="00AA1149"/>
    <w:rsid w:val="00AA14D3"/>
    <w:rsid w:val="00AA1F14"/>
    <w:rsid w:val="00AA2041"/>
    <w:rsid w:val="00AA2407"/>
    <w:rsid w:val="00AA2EC8"/>
    <w:rsid w:val="00AA3457"/>
    <w:rsid w:val="00AA39D8"/>
    <w:rsid w:val="00AA3B8F"/>
    <w:rsid w:val="00AA3D05"/>
    <w:rsid w:val="00AA3EBA"/>
    <w:rsid w:val="00AA3F85"/>
    <w:rsid w:val="00AA45BF"/>
    <w:rsid w:val="00AA4748"/>
    <w:rsid w:val="00AA4ACC"/>
    <w:rsid w:val="00AA4B9B"/>
    <w:rsid w:val="00AA5074"/>
    <w:rsid w:val="00AA5342"/>
    <w:rsid w:val="00AA54F5"/>
    <w:rsid w:val="00AA550A"/>
    <w:rsid w:val="00AA5972"/>
    <w:rsid w:val="00AA5C99"/>
    <w:rsid w:val="00AA5D97"/>
    <w:rsid w:val="00AA65E3"/>
    <w:rsid w:val="00AA66F1"/>
    <w:rsid w:val="00AA67A0"/>
    <w:rsid w:val="00AA6803"/>
    <w:rsid w:val="00AA6A25"/>
    <w:rsid w:val="00AA6BD2"/>
    <w:rsid w:val="00AA6CC3"/>
    <w:rsid w:val="00AA6E65"/>
    <w:rsid w:val="00AA7201"/>
    <w:rsid w:val="00AA79E6"/>
    <w:rsid w:val="00AA7A75"/>
    <w:rsid w:val="00AA7BB0"/>
    <w:rsid w:val="00AA7ECA"/>
    <w:rsid w:val="00AB00B4"/>
    <w:rsid w:val="00AB0384"/>
    <w:rsid w:val="00AB05AC"/>
    <w:rsid w:val="00AB0E1C"/>
    <w:rsid w:val="00AB0E50"/>
    <w:rsid w:val="00AB1027"/>
    <w:rsid w:val="00AB1262"/>
    <w:rsid w:val="00AB1C78"/>
    <w:rsid w:val="00AB1F51"/>
    <w:rsid w:val="00AB2C4D"/>
    <w:rsid w:val="00AB2D64"/>
    <w:rsid w:val="00AB2EF0"/>
    <w:rsid w:val="00AB2F1E"/>
    <w:rsid w:val="00AB3522"/>
    <w:rsid w:val="00AB352C"/>
    <w:rsid w:val="00AB35D0"/>
    <w:rsid w:val="00AB36AE"/>
    <w:rsid w:val="00AB372B"/>
    <w:rsid w:val="00AB3BF4"/>
    <w:rsid w:val="00AB4F52"/>
    <w:rsid w:val="00AB5445"/>
    <w:rsid w:val="00AB5614"/>
    <w:rsid w:val="00AB56D7"/>
    <w:rsid w:val="00AB5854"/>
    <w:rsid w:val="00AB5A25"/>
    <w:rsid w:val="00AB5A67"/>
    <w:rsid w:val="00AB61C3"/>
    <w:rsid w:val="00AB65AD"/>
    <w:rsid w:val="00AB6C88"/>
    <w:rsid w:val="00AB6D47"/>
    <w:rsid w:val="00AB70EE"/>
    <w:rsid w:val="00AB7942"/>
    <w:rsid w:val="00AB7E4C"/>
    <w:rsid w:val="00AC00F6"/>
    <w:rsid w:val="00AC0245"/>
    <w:rsid w:val="00AC0260"/>
    <w:rsid w:val="00AC061A"/>
    <w:rsid w:val="00AC0866"/>
    <w:rsid w:val="00AC0B0D"/>
    <w:rsid w:val="00AC0D50"/>
    <w:rsid w:val="00AC0F8A"/>
    <w:rsid w:val="00AC13BB"/>
    <w:rsid w:val="00AC13D3"/>
    <w:rsid w:val="00AC1829"/>
    <w:rsid w:val="00AC1D7F"/>
    <w:rsid w:val="00AC1EC3"/>
    <w:rsid w:val="00AC28CC"/>
    <w:rsid w:val="00AC2AD8"/>
    <w:rsid w:val="00AC2D68"/>
    <w:rsid w:val="00AC30A1"/>
    <w:rsid w:val="00AC317C"/>
    <w:rsid w:val="00AC34FD"/>
    <w:rsid w:val="00AC3586"/>
    <w:rsid w:val="00AC3891"/>
    <w:rsid w:val="00AC3900"/>
    <w:rsid w:val="00AC3AAE"/>
    <w:rsid w:val="00AC3C21"/>
    <w:rsid w:val="00AC45B0"/>
    <w:rsid w:val="00AC4903"/>
    <w:rsid w:val="00AC4A22"/>
    <w:rsid w:val="00AC4A9F"/>
    <w:rsid w:val="00AC4AD3"/>
    <w:rsid w:val="00AC4DBF"/>
    <w:rsid w:val="00AC52BC"/>
    <w:rsid w:val="00AC54BF"/>
    <w:rsid w:val="00AC596F"/>
    <w:rsid w:val="00AC5ADC"/>
    <w:rsid w:val="00AC5F8D"/>
    <w:rsid w:val="00AC6209"/>
    <w:rsid w:val="00AC649E"/>
    <w:rsid w:val="00AC64D6"/>
    <w:rsid w:val="00AC6513"/>
    <w:rsid w:val="00AC6645"/>
    <w:rsid w:val="00AC6AD1"/>
    <w:rsid w:val="00AC6E15"/>
    <w:rsid w:val="00AC6F9A"/>
    <w:rsid w:val="00AC706E"/>
    <w:rsid w:val="00AC7142"/>
    <w:rsid w:val="00AC78E6"/>
    <w:rsid w:val="00AD0935"/>
    <w:rsid w:val="00AD102F"/>
    <w:rsid w:val="00AD12E8"/>
    <w:rsid w:val="00AD151B"/>
    <w:rsid w:val="00AD193B"/>
    <w:rsid w:val="00AD1B13"/>
    <w:rsid w:val="00AD20DF"/>
    <w:rsid w:val="00AD2296"/>
    <w:rsid w:val="00AD2B5A"/>
    <w:rsid w:val="00AD3D58"/>
    <w:rsid w:val="00AD3FD1"/>
    <w:rsid w:val="00AD40C5"/>
    <w:rsid w:val="00AD47D8"/>
    <w:rsid w:val="00AD4D82"/>
    <w:rsid w:val="00AD4DBE"/>
    <w:rsid w:val="00AD519B"/>
    <w:rsid w:val="00AD5294"/>
    <w:rsid w:val="00AD56E2"/>
    <w:rsid w:val="00AD5890"/>
    <w:rsid w:val="00AD5A9D"/>
    <w:rsid w:val="00AD5B80"/>
    <w:rsid w:val="00AD5BC5"/>
    <w:rsid w:val="00AD5D74"/>
    <w:rsid w:val="00AD5DB8"/>
    <w:rsid w:val="00AD5F45"/>
    <w:rsid w:val="00AD6196"/>
    <w:rsid w:val="00AD63D0"/>
    <w:rsid w:val="00AD688F"/>
    <w:rsid w:val="00AD693C"/>
    <w:rsid w:val="00AD69F4"/>
    <w:rsid w:val="00AD6E13"/>
    <w:rsid w:val="00AD76CA"/>
    <w:rsid w:val="00AD7D4D"/>
    <w:rsid w:val="00AD7E95"/>
    <w:rsid w:val="00AD7EEC"/>
    <w:rsid w:val="00AE01EC"/>
    <w:rsid w:val="00AE065C"/>
    <w:rsid w:val="00AE0CC9"/>
    <w:rsid w:val="00AE1135"/>
    <w:rsid w:val="00AE13EA"/>
    <w:rsid w:val="00AE1B40"/>
    <w:rsid w:val="00AE1C46"/>
    <w:rsid w:val="00AE1C9F"/>
    <w:rsid w:val="00AE2327"/>
    <w:rsid w:val="00AE2348"/>
    <w:rsid w:val="00AE2715"/>
    <w:rsid w:val="00AE2760"/>
    <w:rsid w:val="00AE2BEE"/>
    <w:rsid w:val="00AE2E18"/>
    <w:rsid w:val="00AE3198"/>
    <w:rsid w:val="00AE3873"/>
    <w:rsid w:val="00AE3D24"/>
    <w:rsid w:val="00AE3F2A"/>
    <w:rsid w:val="00AE4417"/>
    <w:rsid w:val="00AE4421"/>
    <w:rsid w:val="00AE51B8"/>
    <w:rsid w:val="00AE5355"/>
    <w:rsid w:val="00AE5573"/>
    <w:rsid w:val="00AE569D"/>
    <w:rsid w:val="00AE572F"/>
    <w:rsid w:val="00AE577A"/>
    <w:rsid w:val="00AE5C4E"/>
    <w:rsid w:val="00AE67EC"/>
    <w:rsid w:val="00AE6B4A"/>
    <w:rsid w:val="00AE6BD2"/>
    <w:rsid w:val="00AE6E02"/>
    <w:rsid w:val="00AE7DDA"/>
    <w:rsid w:val="00AE7F56"/>
    <w:rsid w:val="00AE7F8F"/>
    <w:rsid w:val="00AF02AA"/>
    <w:rsid w:val="00AF034F"/>
    <w:rsid w:val="00AF0738"/>
    <w:rsid w:val="00AF0CE7"/>
    <w:rsid w:val="00AF0F34"/>
    <w:rsid w:val="00AF13F9"/>
    <w:rsid w:val="00AF146F"/>
    <w:rsid w:val="00AF1889"/>
    <w:rsid w:val="00AF1CD2"/>
    <w:rsid w:val="00AF1D33"/>
    <w:rsid w:val="00AF1E7A"/>
    <w:rsid w:val="00AF1F91"/>
    <w:rsid w:val="00AF2437"/>
    <w:rsid w:val="00AF2A92"/>
    <w:rsid w:val="00AF2AC4"/>
    <w:rsid w:val="00AF2F71"/>
    <w:rsid w:val="00AF3116"/>
    <w:rsid w:val="00AF3479"/>
    <w:rsid w:val="00AF3CA2"/>
    <w:rsid w:val="00AF3EFE"/>
    <w:rsid w:val="00AF4007"/>
    <w:rsid w:val="00AF406E"/>
    <w:rsid w:val="00AF4274"/>
    <w:rsid w:val="00AF5550"/>
    <w:rsid w:val="00AF5755"/>
    <w:rsid w:val="00AF5B68"/>
    <w:rsid w:val="00AF5E48"/>
    <w:rsid w:val="00AF714C"/>
    <w:rsid w:val="00AF788F"/>
    <w:rsid w:val="00AF795C"/>
    <w:rsid w:val="00AF7F51"/>
    <w:rsid w:val="00B00134"/>
    <w:rsid w:val="00B002F3"/>
    <w:rsid w:val="00B01C90"/>
    <w:rsid w:val="00B01D31"/>
    <w:rsid w:val="00B02021"/>
    <w:rsid w:val="00B02311"/>
    <w:rsid w:val="00B0281D"/>
    <w:rsid w:val="00B02BC3"/>
    <w:rsid w:val="00B02E35"/>
    <w:rsid w:val="00B02F5B"/>
    <w:rsid w:val="00B033E4"/>
    <w:rsid w:val="00B0344E"/>
    <w:rsid w:val="00B03B8C"/>
    <w:rsid w:val="00B03C88"/>
    <w:rsid w:val="00B04115"/>
    <w:rsid w:val="00B04421"/>
    <w:rsid w:val="00B045B4"/>
    <w:rsid w:val="00B046B4"/>
    <w:rsid w:val="00B0482A"/>
    <w:rsid w:val="00B04850"/>
    <w:rsid w:val="00B048F0"/>
    <w:rsid w:val="00B04A7A"/>
    <w:rsid w:val="00B04EFB"/>
    <w:rsid w:val="00B04FF9"/>
    <w:rsid w:val="00B0539B"/>
    <w:rsid w:val="00B05577"/>
    <w:rsid w:val="00B059DA"/>
    <w:rsid w:val="00B059F7"/>
    <w:rsid w:val="00B05C9D"/>
    <w:rsid w:val="00B05DB5"/>
    <w:rsid w:val="00B06D49"/>
    <w:rsid w:val="00B06E3E"/>
    <w:rsid w:val="00B06F4A"/>
    <w:rsid w:val="00B07261"/>
    <w:rsid w:val="00B07467"/>
    <w:rsid w:val="00B10427"/>
    <w:rsid w:val="00B11D3F"/>
    <w:rsid w:val="00B11FD2"/>
    <w:rsid w:val="00B126F7"/>
    <w:rsid w:val="00B13C97"/>
    <w:rsid w:val="00B140CE"/>
    <w:rsid w:val="00B143A4"/>
    <w:rsid w:val="00B14550"/>
    <w:rsid w:val="00B1465B"/>
    <w:rsid w:val="00B147C3"/>
    <w:rsid w:val="00B156FF"/>
    <w:rsid w:val="00B15876"/>
    <w:rsid w:val="00B15A06"/>
    <w:rsid w:val="00B1616D"/>
    <w:rsid w:val="00B16211"/>
    <w:rsid w:val="00B1659A"/>
    <w:rsid w:val="00B16996"/>
    <w:rsid w:val="00B16A9B"/>
    <w:rsid w:val="00B16B17"/>
    <w:rsid w:val="00B172A3"/>
    <w:rsid w:val="00B1733A"/>
    <w:rsid w:val="00B1759E"/>
    <w:rsid w:val="00B176B8"/>
    <w:rsid w:val="00B1784C"/>
    <w:rsid w:val="00B179AF"/>
    <w:rsid w:val="00B17A8A"/>
    <w:rsid w:val="00B17BA2"/>
    <w:rsid w:val="00B17C38"/>
    <w:rsid w:val="00B17CF4"/>
    <w:rsid w:val="00B17DF6"/>
    <w:rsid w:val="00B17E7F"/>
    <w:rsid w:val="00B20BE0"/>
    <w:rsid w:val="00B21067"/>
    <w:rsid w:val="00B21262"/>
    <w:rsid w:val="00B216CD"/>
    <w:rsid w:val="00B21DA9"/>
    <w:rsid w:val="00B21F22"/>
    <w:rsid w:val="00B226C2"/>
    <w:rsid w:val="00B2270A"/>
    <w:rsid w:val="00B233BE"/>
    <w:rsid w:val="00B233E6"/>
    <w:rsid w:val="00B23617"/>
    <w:rsid w:val="00B24C4A"/>
    <w:rsid w:val="00B25162"/>
    <w:rsid w:val="00B25426"/>
    <w:rsid w:val="00B259B7"/>
    <w:rsid w:val="00B25AA2"/>
    <w:rsid w:val="00B25B82"/>
    <w:rsid w:val="00B25C9D"/>
    <w:rsid w:val="00B25CEE"/>
    <w:rsid w:val="00B2612E"/>
    <w:rsid w:val="00B26427"/>
    <w:rsid w:val="00B27308"/>
    <w:rsid w:val="00B27352"/>
    <w:rsid w:val="00B2768F"/>
    <w:rsid w:val="00B27AFF"/>
    <w:rsid w:val="00B27DD6"/>
    <w:rsid w:val="00B304E2"/>
    <w:rsid w:val="00B30861"/>
    <w:rsid w:val="00B311AF"/>
    <w:rsid w:val="00B31754"/>
    <w:rsid w:val="00B319C9"/>
    <w:rsid w:val="00B31FC9"/>
    <w:rsid w:val="00B32235"/>
    <w:rsid w:val="00B3260B"/>
    <w:rsid w:val="00B328A1"/>
    <w:rsid w:val="00B32AEA"/>
    <w:rsid w:val="00B3328F"/>
    <w:rsid w:val="00B3387E"/>
    <w:rsid w:val="00B3415C"/>
    <w:rsid w:val="00B347B3"/>
    <w:rsid w:val="00B34845"/>
    <w:rsid w:val="00B34EF4"/>
    <w:rsid w:val="00B351C7"/>
    <w:rsid w:val="00B35501"/>
    <w:rsid w:val="00B359AD"/>
    <w:rsid w:val="00B36710"/>
    <w:rsid w:val="00B3790F"/>
    <w:rsid w:val="00B37950"/>
    <w:rsid w:val="00B37B58"/>
    <w:rsid w:val="00B37E14"/>
    <w:rsid w:val="00B37F29"/>
    <w:rsid w:val="00B400DF"/>
    <w:rsid w:val="00B4013E"/>
    <w:rsid w:val="00B4026E"/>
    <w:rsid w:val="00B4053B"/>
    <w:rsid w:val="00B407E9"/>
    <w:rsid w:val="00B40F37"/>
    <w:rsid w:val="00B41137"/>
    <w:rsid w:val="00B4124B"/>
    <w:rsid w:val="00B41B04"/>
    <w:rsid w:val="00B41BD2"/>
    <w:rsid w:val="00B41C3B"/>
    <w:rsid w:val="00B41DFB"/>
    <w:rsid w:val="00B4203C"/>
    <w:rsid w:val="00B420BB"/>
    <w:rsid w:val="00B420CC"/>
    <w:rsid w:val="00B423C0"/>
    <w:rsid w:val="00B42BD9"/>
    <w:rsid w:val="00B4362D"/>
    <w:rsid w:val="00B43686"/>
    <w:rsid w:val="00B43B84"/>
    <w:rsid w:val="00B44823"/>
    <w:rsid w:val="00B448E8"/>
    <w:rsid w:val="00B44C49"/>
    <w:rsid w:val="00B44C79"/>
    <w:rsid w:val="00B44CC4"/>
    <w:rsid w:val="00B44DCD"/>
    <w:rsid w:val="00B44F4A"/>
    <w:rsid w:val="00B45A78"/>
    <w:rsid w:val="00B45A7C"/>
    <w:rsid w:val="00B45B16"/>
    <w:rsid w:val="00B45E14"/>
    <w:rsid w:val="00B46415"/>
    <w:rsid w:val="00B464AF"/>
    <w:rsid w:val="00B46A48"/>
    <w:rsid w:val="00B46BCE"/>
    <w:rsid w:val="00B46D5B"/>
    <w:rsid w:val="00B46F88"/>
    <w:rsid w:val="00B4705D"/>
    <w:rsid w:val="00B478D7"/>
    <w:rsid w:val="00B47BD8"/>
    <w:rsid w:val="00B500CE"/>
    <w:rsid w:val="00B5026B"/>
    <w:rsid w:val="00B50380"/>
    <w:rsid w:val="00B50A1D"/>
    <w:rsid w:val="00B51305"/>
    <w:rsid w:val="00B51BE5"/>
    <w:rsid w:val="00B51DE9"/>
    <w:rsid w:val="00B51E5E"/>
    <w:rsid w:val="00B51F48"/>
    <w:rsid w:val="00B520BD"/>
    <w:rsid w:val="00B524B6"/>
    <w:rsid w:val="00B5287C"/>
    <w:rsid w:val="00B52A45"/>
    <w:rsid w:val="00B52C93"/>
    <w:rsid w:val="00B52ECE"/>
    <w:rsid w:val="00B530C9"/>
    <w:rsid w:val="00B53BF7"/>
    <w:rsid w:val="00B53EBD"/>
    <w:rsid w:val="00B5401D"/>
    <w:rsid w:val="00B54024"/>
    <w:rsid w:val="00B54151"/>
    <w:rsid w:val="00B547B3"/>
    <w:rsid w:val="00B54C28"/>
    <w:rsid w:val="00B54E6E"/>
    <w:rsid w:val="00B55D75"/>
    <w:rsid w:val="00B55DBF"/>
    <w:rsid w:val="00B56259"/>
    <w:rsid w:val="00B5719A"/>
    <w:rsid w:val="00B5728B"/>
    <w:rsid w:val="00B573DB"/>
    <w:rsid w:val="00B57479"/>
    <w:rsid w:val="00B57CE2"/>
    <w:rsid w:val="00B57CF0"/>
    <w:rsid w:val="00B57E79"/>
    <w:rsid w:val="00B57F34"/>
    <w:rsid w:val="00B57F84"/>
    <w:rsid w:val="00B57FEA"/>
    <w:rsid w:val="00B6061D"/>
    <w:rsid w:val="00B60EA7"/>
    <w:rsid w:val="00B615B5"/>
    <w:rsid w:val="00B616D6"/>
    <w:rsid w:val="00B61842"/>
    <w:rsid w:val="00B62153"/>
    <w:rsid w:val="00B62654"/>
    <w:rsid w:val="00B63089"/>
    <w:rsid w:val="00B63212"/>
    <w:rsid w:val="00B6390D"/>
    <w:rsid w:val="00B63E67"/>
    <w:rsid w:val="00B63ED8"/>
    <w:rsid w:val="00B641EB"/>
    <w:rsid w:val="00B6487A"/>
    <w:rsid w:val="00B64A51"/>
    <w:rsid w:val="00B64B92"/>
    <w:rsid w:val="00B64CDC"/>
    <w:rsid w:val="00B653D9"/>
    <w:rsid w:val="00B654C1"/>
    <w:rsid w:val="00B655B4"/>
    <w:rsid w:val="00B66073"/>
    <w:rsid w:val="00B660B2"/>
    <w:rsid w:val="00B6640B"/>
    <w:rsid w:val="00B66643"/>
    <w:rsid w:val="00B666F4"/>
    <w:rsid w:val="00B66BCD"/>
    <w:rsid w:val="00B66C39"/>
    <w:rsid w:val="00B6765D"/>
    <w:rsid w:val="00B6797E"/>
    <w:rsid w:val="00B679EC"/>
    <w:rsid w:val="00B67BA1"/>
    <w:rsid w:val="00B67DA1"/>
    <w:rsid w:val="00B67E7D"/>
    <w:rsid w:val="00B67FD4"/>
    <w:rsid w:val="00B70411"/>
    <w:rsid w:val="00B7045F"/>
    <w:rsid w:val="00B705A4"/>
    <w:rsid w:val="00B70D13"/>
    <w:rsid w:val="00B70EF5"/>
    <w:rsid w:val="00B71715"/>
    <w:rsid w:val="00B7171D"/>
    <w:rsid w:val="00B71782"/>
    <w:rsid w:val="00B71DE5"/>
    <w:rsid w:val="00B71FD7"/>
    <w:rsid w:val="00B721AF"/>
    <w:rsid w:val="00B72305"/>
    <w:rsid w:val="00B726B9"/>
    <w:rsid w:val="00B72994"/>
    <w:rsid w:val="00B72E37"/>
    <w:rsid w:val="00B72F3B"/>
    <w:rsid w:val="00B7326B"/>
    <w:rsid w:val="00B73A31"/>
    <w:rsid w:val="00B73A7F"/>
    <w:rsid w:val="00B73E86"/>
    <w:rsid w:val="00B740C1"/>
    <w:rsid w:val="00B742B6"/>
    <w:rsid w:val="00B743E6"/>
    <w:rsid w:val="00B750D9"/>
    <w:rsid w:val="00B7516E"/>
    <w:rsid w:val="00B7529B"/>
    <w:rsid w:val="00B75542"/>
    <w:rsid w:val="00B7591D"/>
    <w:rsid w:val="00B75959"/>
    <w:rsid w:val="00B75ACC"/>
    <w:rsid w:val="00B7607C"/>
    <w:rsid w:val="00B7652D"/>
    <w:rsid w:val="00B765D2"/>
    <w:rsid w:val="00B77076"/>
    <w:rsid w:val="00B7730D"/>
    <w:rsid w:val="00B77319"/>
    <w:rsid w:val="00B774A4"/>
    <w:rsid w:val="00B77770"/>
    <w:rsid w:val="00B777B6"/>
    <w:rsid w:val="00B77ABA"/>
    <w:rsid w:val="00B77B8C"/>
    <w:rsid w:val="00B77BEC"/>
    <w:rsid w:val="00B80502"/>
    <w:rsid w:val="00B80C34"/>
    <w:rsid w:val="00B80C36"/>
    <w:rsid w:val="00B80C45"/>
    <w:rsid w:val="00B80EBF"/>
    <w:rsid w:val="00B811A4"/>
    <w:rsid w:val="00B81580"/>
    <w:rsid w:val="00B817BF"/>
    <w:rsid w:val="00B81C84"/>
    <w:rsid w:val="00B81D4B"/>
    <w:rsid w:val="00B820EB"/>
    <w:rsid w:val="00B82202"/>
    <w:rsid w:val="00B825EC"/>
    <w:rsid w:val="00B82A0F"/>
    <w:rsid w:val="00B82FEE"/>
    <w:rsid w:val="00B831C4"/>
    <w:rsid w:val="00B833A2"/>
    <w:rsid w:val="00B83402"/>
    <w:rsid w:val="00B8384A"/>
    <w:rsid w:val="00B8390F"/>
    <w:rsid w:val="00B839C8"/>
    <w:rsid w:val="00B83D14"/>
    <w:rsid w:val="00B83DC2"/>
    <w:rsid w:val="00B84360"/>
    <w:rsid w:val="00B84583"/>
    <w:rsid w:val="00B845B8"/>
    <w:rsid w:val="00B84659"/>
    <w:rsid w:val="00B8484F"/>
    <w:rsid w:val="00B84A72"/>
    <w:rsid w:val="00B84B45"/>
    <w:rsid w:val="00B850E1"/>
    <w:rsid w:val="00B85AA4"/>
    <w:rsid w:val="00B85E43"/>
    <w:rsid w:val="00B85E58"/>
    <w:rsid w:val="00B863EE"/>
    <w:rsid w:val="00B86688"/>
    <w:rsid w:val="00B868B1"/>
    <w:rsid w:val="00B86B46"/>
    <w:rsid w:val="00B86E4C"/>
    <w:rsid w:val="00B87216"/>
    <w:rsid w:val="00B87333"/>
    <w:rsid w:val="00B8777B"/>
    <w:rsid w:val="00B87F7D"/>
    <w:rsid w:val="00B90519"/>
    <w:rsid w:val="00B90C87"/>
    <w:rsid w:val="00B9114E"/>
    <w:rsid w:val="00B9131E"/>
    <w:rsid w:val="00B9133C"/>
    <w:rsid w:val="00B91D63"/>
    <w:rsid w:val="00B920A3"/>
    <w:rsid w:val="00B922D1"/>
    <w:rsid w:val="00B92D71"/>
    <w:rsid w:val="00B92F3A"/>
    <w:rsid w:val="00B930ED"/>
    <w:rsid w:val="00B931E1"/>
    <w:rsid w:val="00B93952"/>
    <w:rsid w:val="00B93A00"/>
    <w:rsid w:val="00B93E2B"/>
    <w:rsid w:val="00B94232"/>
    <w:rsid w:val="00B94739"/>
    <w:rsid w:val="00B947B7"/>
    <w:rsid w:val="00B94D63"/>
    <w:rsid w:val="00B9508B"/>
    <w:rsid w:val="00B9511A"/>
    <w:rsid w:val="00B9521D"/>
    <w:rsid w:val="00B96484"/>
    <w:rsid w:val="00B96F3A"/>
    <w:rsid w:val="00B97448"/>
    <w:rsid w:val="00B97AB8"/>
    <w:rsid w:val="00BA0048"/>
    <w:rsid w:val="00BA0296"/>
    <w:rsid w:val="00BA0AB0"/>
    <w:rsid w:val="00BA0E2A"/>
    <w:rsid w:val="00BA1990"/>
    <w:rsid w:val="00BA1DB2"/>
    <w:rsid w:val="00BA1FFF"/>
    <w:rsid w:val="00BA218C"/>
    <w:rsid w:val="00BA289C"/>
    <w:rsid w:val="00BA2A50"/>
    <w:rsid w:val="00BA307F"/>
    <w:rsid w:val="00BA3B30"/>
    <w:rsid w:val="00BA3B3F"/>
    <w:rsid w:val="00BA3C1A"/>
    <w:rsid w:val="00BA3F93"/>
    <w:rsid w:val="00BA49ED"/>
    <w:rsid w:val="00BA4BFF"/>
    <w:rsid w:val="00BA4C89"/>
    <w:rsid w:val="00BA5444"/>
    <w:rsid w:val="00BA54B5"/>
    <w:rsid w:val="00BA5890"/>
    <w:rsid w:val="00BA5CF6"/>
    <w:rsid w:val="00BA6144"/>
    <w:rsid w:val="00BA6887"/>
    <w:rsid w:val="00BA6C9E"/>
    <w:rsid w:val="00BA6D32"/>
    <w:rsid w:val="00BA6EF7"/>
    <w:rsid w:val="00BA6F01"/>
    <w:rsid w:val="00BA6FCA"/>
    <w:rsid w:val="00BA77BD"/>
    <w:rsid w:val="00BA7A72"/>
    <w:rsid w:val="00BB0521"/>
    <w:rsid w:val="00BB077B"/>
    <w:rsid w:val="00BB089A"/>
    <w:rsid w:val="00BB092C"/>
    <w:rsid w:val="00BB0995"/>
    <w:rsid w:val="00BB0DF2"/>
    <w:rsid w:val="00BB0FF0"/>
    <w:rsid w:val="00BB1023"/>
    <w:rsid w:val="00BB13AB"/>
    <w:rsid w:val="00BB15C2"/>
    <w:rsid w:val="00BB3075"/>
    <w:rsid w:val="00BB3146"/>
    <w:rsid w:val="00BB34E9"/>
    <w:rsid w:val="00BB37A1"/>
    <w:rsid w:val="00BB3E9F"/>
    <w:rsid w:val="00BB4205"/>
    <w:rsid w:val="00BB42FE"/>
    <w:rsid w:val="00BB445B"/>
    <w:rsid w:val="00BB45F0"/>
    <w:rsid w:val="00BB4639"/>
    <w:rsid w:val="00BB4DB9"/>
    <w:rsid w:val="00BB505A"/>
    <w:rsid w:val="00BB5AC0"/>
    <w:rsid w:val="00BB5DE0"/>
    <w:rsid w:val="00BB600E"/>
    <w:rsid w:val="00BB64AD"/>
    <w:rsid w:val="00BB659C"/>
    <w:rsid w:val="00BB6697"/>
    <w:rsid w:val="00BB67AC"/>
    <w:rsid w:val="00BB6985"/>
    <w:rsid w:val="00BB7A0B"/>
    <w:rsid w:val="00BC0091"/>
    <w:rsid w:val="00BC0312"/>
    <w:rsid w:val="00BC056C"/>
    <w:rsid w:val="00BC0B50"/>
    <w:rsid w:val="00BC0CF7"/>
    <w:rsid w:val="00BC0EC4"/>
    <w:rsid w:val="00BC1110"/>
    <w:rsid w:val="00BC1A46"/>
    <w:rsid w:val="00BC1B68"/>
    <w:rsid w:val="00BC2103"/>
    <w:rsid w:val="00BC2506"/>
    <w:rsid w:val="00BC2930"/>
    <w:rsid w:val="00BC296E"/>
    <w:rsid w:val="00BC2B8B"/>
    <w:rsid w:val="00BC2BC7"/>
    <w:rsid w:val="00BC300F"/>
    <w:rsid w:val="00BC37C0"/>
    <w:rsid w:val="00BC4149"/>
    <w:rsid w:val="00BC429F"/>
    <w:rsid w:val="00BC443E"/>
    <w:rsid w:val="00BC44A5"/>
    <w:rsid w:val="00BC4576"/>
    <w:rsid w:val="00BC46B5"/>
    <w:rsid w:val="00BC4EF6"/>
    <w:rsid w:val="00BC5092"/>
    <w:rsid w:val="00BC5493"/>
    <w:rsid w:val="00BC597A"/>
    <w:rsid w:val="00BC63F1"/>
    <w:rsid w:val="00BC6D07"/>
    <w:rsid w:val="00BC72BA"/>
    <w:rsid w:val="00BC759A"/>
    <w:rsid w:val="00BC78EC"/>
    <w:rsid w:val="00BC7A07"/>
    <w:rsid w:val="00BC7D56"/>
    <w:rsid w:val="00BD024A"/>
    <w:rsid w:val="00BD032B"/>
    <w:rsid w:val="00BD09B8"/>
    <w:rsid w:val="00BD0E94"/>
    <w:rsid w:val="00BD0FE7"/>
    <w:rsid w:val="00BD1216"/>
    <w:rsid w:val="00BD1570"/>
    <w:rsid w:val="00BD1E53"/>
    <w:rsid w:val="00BD2142"/>
    <w:rsid w:val="00BD2270"/>
    <w:rsid w:val="00BD23F5"/>
    <w:rsid w:val="00BD2873"/>
    <w:rsid w:val="00BD2892"/>
    <w:rsid w:val="00BD2B77"/>
    <w:rsid w:val="00BD2C79"/>
    <w:rsid w:val="00BD35D8"/>
    <w:rsid w:val="00BD3675"/>
    <w:rsid w:val="00BD3729"/>
    <w:rsid w:val="00BD3950"/>
    <w:rsid w:val="00BD3A1C"/>
    <w:rsid w:val="00BD3DA7"/>
    <w:rsid w:val="00BD4730"/>
    <w:rsid w:val="00BD485E"/>
    <w:rsid w:val="00BD4C06"/>
    <w:rsid w:val="00BD534F"/>
    <w:rsid w:val="00BD5491"/>
    <w:rsid w:val="00BD562C"/>
    <w:rsid w:val="00BD56C8"/>
    <w:rsid w:val="00BD56D1"/>
    <w:rsid w:val="00BD57D3"/>
    <w:rsid w:val="00BD6F70"/>
    <w:rsid w:val="00BD748C"/>
    <w:rsid w:val="00BD75A8"/>
    <w:rsid w:val="00BD782D"/>
    <w:rsid w:val="00BD7876"/>
    <w:rsid w:val="00BD7995"/>
    <w:rsid w:val="00BD7C53"/>
    <w:rsid w:val="00BE0084"/>
    <w:rsid w:val="00BE04D3"/>
    <w:rsid w:val="00BE0B5E"/>
    <w:rsid w:val="00BE0E48"/>
    <w:rsid w:val="00BE103E"/>
    <w:rsid w:val="00BE171D"/>
    <w:rsid w:val="00BE1CD9"/>
    <w:rsid w:val="00BE1D6E"/>
    <w:rsid w:val="00BE245A"/>
    <w:rsid w:val="00BE2759"/>
    <w:rsid w:val="00BE2EDE"/>
    <w:rsid w:val="00BE3091"/>
    <w:rsid w:val="00BE33C6"/>
    <w:rsid w:val="00BE362C"/>
    <w:rsid w:val="00BE364C"/>
    <w:rsid w:val="00BE38AA"/>
    <w:rsid w:val="00BE3F1E"/>
    <w:rsid w:val="00BE4740"/>
    <w:rsid w:val="00BE4E64"/>
    <w:rsid w:val="00BE5AA2"/>
    <w:rsid w:val="00BE5AF0"/>
    <w:rsid w:val="00BE5B45"/>
    <w:rsid w:val="00BE67C2"/>
    <w:rsid w:val="00BE68EB"/>
    <w:rsid w:val="00BE6FE8"/>
    <w:rsid w:val="00BE73D1"/>
    <w:rsid w:val="00BE75BE"/>
    <w:rsid w:val="00BE78E3"/>
    <w:rsid w:val="00BE793C"/>
    <w:rsid w:val="00BE7AA6"/>
    <w:rsid w:val="00BE7FA3"/>
    <w:rsid w:val="00BF00C8"/>
    <w:rsid w:val="00BF0435"/>
    <w:rsid w:val="00BF0B5E"/>
    <w:rsid w:val="00BF0B91"/>
    <w:rsid w:val="00BF0DC3"/>
    <w:rsid w:val="00BF0F57"/>
    <w:rsid w:val="00BF1182"/>
    <w:rsid w:val="00BF1502"/>
    <w:rsid w:val="00BF1640"/>
    <w:rsid w:val="00BF1A55"/>
    <w:rsid w:val="00BF1F0C"/>
    <w:rsid w:val="00BF2197"/>
    <w:rsid w:val="00BF2334"/>
    <w:rsid w:val="00BF2842"/>
    <w:rsid w:val="00BF2925"/>
    <w:rsid w:val="00BF349C"/>
    <w:rsid w:val="00BF3E21"/>
    <w:rsid w:val="00BF3EEF"/>
    <w:rsid w:val="00BF3EF6"/>
    <w:rsid w:val="00BF44E8"/>
    <w:rsid w:val="00BF45D7"/>
    <w:rsid w:val="00BF464C"/>
    <w:rsid w:val="00BF4852"/>
    <w:rsid w:val="00BF4903"/>
    <w:rsid w:val="00BF4AA1"/>
    <w:rsid w:val="00BF4BFF"/>
    <w:rsid w:val="00BF5C59"/>
    <w:rsid w:val="00BF5F44"/>
    <w:rsid w:val="00BF603B"/>
    <w:rsid w:val="00BF6A77"/>
    <w:rsid w:val="00BF6E64"/>
    <w:rsid w:val="00BF70C1"/>
    <w:rsid w:val="00BF7197"/>
    <w:rsid w:val="00BF72A8"/>
    <w:rsid w:val="00BF72CB"/>
    <w:rsid w:val="00BF7A62"/>
    <w:rsid w:val="00C00FEE"/>
    <w:rsid w:val="00C0127D"/>
    <w:rsid w:val="00C016CC"/>
    <w:rsid w:val="00C017AE"/>
    <w:rsid w:val="00C01FCF"/>
    <w:rsid w:val="00C021DE"/>
    <w:rsid w:val="00C02379"/>
    <w:rsid w:val="00C023DA"/>
    <w:rsid w:val="00C0262D"/>
    <w:rsid w:val="00C0290E"/>
    <w:rsid w:val="00C02C88"/>
    <w:rsid w:val="00C02FC8"/>
    <w:rsid w:val="00C0389F"/>
    <w:rsid w:val="00C0407D"/>
    <w:rsid w:val="00C045C1"/>
    <w:rsid w:val="00C045C9"/>
    <w:rsid w:val="00C04959"/>
    <w:rsid w:val="00C04A89"/>
    <w:rsid w:val="00C04C22"/>
    <w:rsid w:val="00C04C98"/>
    <w:rsid w:val="00C05477"/>
    <w:rsid w:val="00C05573"/>
    <w:rsid w:val="00C05661"/>
    <w:rsid w:val="00C05758"/>
    <w:rsid w:val="00C05C0E"/>
    <w:rsid w:val="00C060E8"/>
    <w:rsid w:val="00C06160"/>
    <w:rsid w:val="00C06543"/>
    <w:rsid w:val="00C06B28"/>
    <w:rsid w:val="00C06D84"/>
    <w:rsid w:val="00C06E43"/>
    <w:rsid w:val="00C07133"/>
    <w:rsid w:val="00C07D73"/>
    <w:rsid w:val="00C1059A"/>
    <w:rsid w:val="00C105B8"/>
    <w:rsid w:val="00C105CE"/>
    <w:rsid w:val="00C109CA"/>
    <w:rsid w:val="00C10C2D"/>
    <w:rsid w:val="00C11444"/>
    <w:rsid w:val="00C11C72"/>
    <w:rsid w:val="00C12134"/>
    <w:rsid w:val="00C123DD"/>
    <w:rsid w:val="00C1240F"/>
    <w:rsid w:val="00C12A41"/>
    <w:rsid w:val="00C12F78"/>
    <w:rsid w:val="00C13016"/>
    <w:rsid w:val="00C13236"/>
    <w:rsid w:val="00C139F1"/>
    <w:rsid w:val="00C13F37"/>
    <w:rsid w:val="00C1429E"/>
    <w:rsid w:val="00C1443F"/>
    <w:rsid w:val="00C1495C"/>
    <w:rsid w:val="00C14D22"/>
    <w:rsid w:val="00C15187"/>
    <w:rsid w:val="00C15267"/>
    <w:rsid w:val="00C15596"/>
    <w:rsid w:val="00C156FE"/>
    <w:rsid w:val="00C1583F"/>
    <w:rsid w:val="00C15F1A"/>
    <w:rsid w:val="00C16260"/>
    <w:rsid w:val="00C1672E"/>
    <w:rsid w:val="00C170B1"/>
    <w:rsid w:val="00C171E0"/>
    <w:rsid w:val="00C171FE"/>
    <w:rsid w:val="00C172D3"/>
    <w:rsid w:val="00C172E5"/>
    <w:rsid w:val="00C174F0"/>
    <w:rsid w:val="00C176ED"/>
    <w:rsid w:val="00C17DB5"/>
    <w:rsid w:val="00C17E0A"/>
    <w:rsid w:val="00C200BD"/>
    <w:rsid w:val="00C20128"/>
    <w:rsid w:val="00C22027"/>
    <w:rsid w:val="00C22162"/>
    <w:rsid w:val="00C23021"/>
    <w:rsid w:val="00C233A9"/>
    <w:rsid w:val="00C238AC"/>
    <w:rsid w:val="00C24356"/>
    <w:rsid w:val="00C24B43"/>
    <w:rsid w:val="00C24B97"/>
    <w:rsid w:val="00C255E7"/>
    <w:rsid w:val="00C258A1"/>
    <w:rsid w:val="00C25AAF"/>
    <w:rsid w:val="00C25CA1"/>
    <w:rsid w:val="00C25DA7"/>
    <w:rsid w:val="00C26B8F"/>
    <w:rsid w:val="00C26EE6"/>
    <w:rsid w:val="00C26F45"/>
    <w:rsid w:val="00C27311"/>
    <w:rsid w:val="00C27317"/>
    <w:rsid w:val="00C27542"/>
    <w:rsid w:val="00C276AA"/>
    <w:rsid w:val="00C27BBA"/>
    <w:rsid w:val="00C27FE7"/>
    <w:rsid w:val="00C30211"/>
    <w:rsid w:val="00C306E8"/>
    <w:rsid w:val="00C30B0F"/>
    <w:rsid w:val="00C30D32"/>
    <w:rsid w:val="00C30DF3"/>
    <w:rsid w:val="00C30F98"/>
    <w:rsid w:val="00C3135C"/>
    <w:rsid w:val="00C31B32"/>
    <w:rsid w:val="00C327FD"/>
    <w:rsid w:val="00C32B00"/>
    <w:rsid w:val="00C32FD1"/>
    <w:rsid w:val="00C32FF8"/>
    <w:rsid w:val="00C332A3"/>
    <w:rsid w:val="00C33526"/>
    <w:rsid w:val="00C335DF"/>
    <w:rsid w:val="00C33699"/>
    <w:rsid w:val="00C33E0C"/>
    <w:rsid w:val="00C33EA3"/>
    <w:rsid w:val="00C33F30"/>
    <w:rsid w:val="00C34C23"/>
    <w:rsid w:val="00C355F6"/>
    <w:rsid w:val="00C35BFE"/>
    <w:rsid w:val="00C36356"/>
    <w:rsid w:val="00C369B5"/>
    <w:rsid w:val="00C36DC0"/>
    <w:rsid w:val="00C374F4"/>
    <w:rsid w:val="00C376BD"/>
    <w:rsid w:val="00C37AFE"/>
    <w:rsid w:val="00C37D8D"/>
    <w:rsid w:val="00C37EB2"/>
    <w:rsid w:val="00C37F5A"/>
    <w:rsid w:val="00C401B2"/>
    <w:rsid w:val="00C406F3"/>
    <w:rsid w:val="00C407D1"/>
    <w:rsid w:val="00C410B6"/>
    <w:rsid w:val="00C4119D"/>
    <w:rsid w:val="00C4122A"/>
    <w:rsid w:val="00C41866"/>
    <w:rsid w:val="00C41F98"/>
    <w:rsid w:val="00C4201E"/>
    <w:rsid w:val="00C42A9F"/>
    <w:rsid w:val="00C42B8C"/>
    <w:rsid w:val="00C42C21"/>
    <w:rsid w:val="00C43112"/>
    <w:rsid w:val="00C432A4"/>
    <w:rsid w:val="00C43CE6"/>
    <w:rsid w:val="00C44863"/>
    <w:rsid w:val="00C44CEC"/>
    <w:rsid w:val="00C45201"/>
    <w:rsid w:val="00C4545D"/>
    <w:rsid w:val="00C45896"/>
    <w:rsid w:val="00C459A8"/>
    <w:rsid w:val="00C45B1A"/>
    <w:rsid w:val="00C46280"/>
    <w:rsid w:val="00C46289"/>
    <w:rsid w:val="00C46532"/>
    <w:rsid w:val="00C467A0"/>
    <w:rsid w:val="00C46879"/>
    <w:rsid w:val="00C469D5"/>
    <w:rsid w:val="00C46F8D"/>
    <w:rsid w:val="00C471B1"/>
    <w:rsid w:val="00C47D02"/>
    <w:rsid w:val="00C50162"/>
    <w:rsid w:val="00C50236"/>
    <w:rsid w:val="00C508FC"/>
    <w:rsid w:val="00C519DF"/>
    <w:rsid w:val="00C51AF1"/>
    <w:rsid w:val="00C51D12"/>
    <w:rsid w:val="00C51DEE"/>
    <w:rsid w:val="00C521E3"/>
    <w:rsid w:val="00C52422"/>
    <w:rsid w:val="00C52776"/>
    <w:rsid w:val="00C53418"/>
    <w:rsid w:val="00C53C60"/>
    <w:rsid w:val="00C54127"/>
    <w:rsid w:val="00C543BD"/>
    <w:rsid w:val="00C54422"/>
    <w:rsid w:val="00C548D8"/>
    <w:rsid w:val="00C54A56"/>
    <w:rsid w:val="00C550FC"/>
    <w:rsid w:val="00C552FF"/>
    <w:rsid w:val="00C558D2"/>
    <w:rsid w:val="00C567F2"/>
    <w:rsid w:val="00C56CEC"/>
    <w:rsid w:val="00C56CF1"/>
    <w:rsid w:val="00C56D81"/>
    <w:rsid w:val="00C56E5E"/>
    <w:rsid w:val="00C56FC0"/>
    <w:rsid w:val="00C575C0"/>
    <w:rsid w:val="00C6113E"/>
    <w:rsid w:val="00C61251"/>
    <w:rsid w:val="00C61390"/>
    <w:rsid w:val="00C6186F"/>
    <w:rsid w:val="00C61876"/>
    <w:rsid w:val="00C618EE"/>
    <w:rsid w:val="00C61936"/>
    <w:rsid w:val="00C61956"/>
    <w:rsid w:val="00C61A15"/>
    <w:rsid w:val="00C61A9C"/>
    <w:rsid w:val="00C61E82"/>
    <w:rsid w:val="00C6209C"/>
    <w:rsid w:val="00C622D5"/>
    <w:rsid w:val="00C6249C"/>
    <w:rsid w:val="00C62536"/>
    <w:rsid w:val="00C625D4"/>
    <w:rsid w:val="00C62A62"/>
    <w:rsid w:val="00C62D6E"/>
    <w:rsid w:val="00C62E57"/>
    <w:rsid w:val="00C62EE4"/>
    <w:rsid w:val="00C63945"/>
    <w:rsid w:val="00C6499D"/>
    <w:rsid w:val="00C64B59"/>
    <w:rsid w:val="00C651FF"/>
    <w:rsid w:val="00C6529F"/>
    <w:rsid w:val="00C65D72"/>
    <w:rsid w:val="00C65F0E"/>
    <w:rsid w:val="00C65F4B"/>
    <w:rsid w:val="00C66202"/>
    <w:rsid w:val="00C664F9"/>
    <w:rsid w:val="00C6667B"/>
    <w:rsid w:val="00C6668E"/>
    <w:rsid w:val="00C667BC"/>
    <w:rsid w:val="00C66849"/>
    <w:rsid w:val="00C66FE0"/>
    <w:rsid w:val="00C671ED"/>
    <w:rsid w:val="00C675FB"/>
    <w:rsid w:val="00C67648"/>
    <w:rsid w:val="00C67C03"/>
    <w:rsid w:val="00C709A4"/>
    <w:rsid w:val="00C70C9D"/>
    <w:rsid w:val="00C70EA8"/>
    <w:rsid w:val="00C7107A"/>
    <w:rsid w:val="00C715F0"/>
    <w:rsid w:val="00C71714"/>
    <w:rsid w:val="00C717A1"/>
    <w:rsid w:val="00C71D1C"/>
    <w:rsid w:val="00C72263"/>
    <w:rsid w:val="00C72423"/>
    <w:rsid w:val="00C7243C"/>
    <w:rsid w:val="00C7256E"/>
    <w:rsid w:val="00C72910"/>
    <w:rsid w:val="00C72A55"/>
    <w:rsid w:val="00C72C1A"/>
    <w:rsid w:val="00C73353"/>
    <w:rsid w:val="00C7355D"/>
    <w:rsid w:val="00C739B9"/>
    <w:rsid w:val="00C7441B"/>
    <w:rsid w:val="00C74B22"/>
    <w:rsid w:val="00C74CEF"/>
    <w:rsid w:val="00C75319"/>
    <w:rsid w:val="00C7569E"/>
    <w:rsid w:val="00C7611A"/>
    <w:rsid w:val="00C762E1"/>
    <w:rsid w:val="00C7651D"/>
    <w:rsid w:val="00C776B6"/>
    <w:rsid w:val="00C77886"/>
    <w:rsid w:val="00C77C5F"/>
    <w:rsid w:val="00C8016B"/>
    <w:rsid w:val="00C807DD"/>
    <w:rsid w:val="00C80C3F"/>
    <w:rsid w:val="00C80C44"/>
    <w:rsid w:val="00C80D13"/>
    <w:rsid w:val="00C80FF8"/>
    <w:rsid w:val="00C810AB"/>
    <w:rsid w:val="00C818DA"/>
    <w:rsid w:val="00C81C86"/>
    <w:rsid w:val="00C81F08"/>
    <w:rsid w:val="00C8342C"/>
    <w:rsid w:val="00C84061"/>
    <w:rsid w:val="00C8432B"/>
    <w:rsid w:val="00C845ED"/>
    <w:rsid w:val="00C84D90"/>
    <w:rsid w:val="00C850E1"/>
    <w:rsid w:val="00C8524F"/>
    <w:rsid w:val="00C85395"/>
    <w:rsid w:val="00C854AB"/>
    <w:rsid w:val="00C8608C"/>
    <w:rsid w:val="00C86543"/>
    <w:rsid w:val="00C86844"/>
    <w:rsid w:val="00C86BAC"/>
    <w:rsid w:val="00C874B4"/>
    <w:rsid w:val="00C8781B"/>
    <w:rsid w:val="00C87887"/>
    <w:rsid w:val="00C87E5D"/>
    <w:rsid w:val="00C902A2"/>
    <w:rsid w:val="00C90332"/>
    <w:rsid w:val="00C903F2"/>
    <w:rsid w:val="00C90583"/>
    <w:rsid w:val="00C906B5"/>
    <w:rsid w:val="00C90C3E"/>
    <w:rsid w:val="00C91C0F"/>
    <w:rsid w:val="00C920A2"/>
    <w:rsid w:val="00C924F0"/>
    <w:rsid w:val="00C924F2"/>
    <w:rsid w:val="00C9336F"/>
    <w:rsid w:val="00C93DFD"/>
    <w:rsid w:val="00C940F8"/>
    <w:rsid w:val="00C94172"/>
    <w:rsid w:val="00C945C7"/>
    <w:rsid w:val="00C94A8E"/>
    <w:rsid w:val="00C94C1D"/>
    <w:rsid w:val="00C94CE6"/>
    <w:rsid w:val="00C94CF4"/>
    <w:rsid w:val="00C9568F"/>
    <w:rsid w:val="00C958BE"/>
    <w:rsid w:val="00C95BB6"/>
    <w:rsid w:val="00C95DB1"/>
    <w:rsid w:val="00C95F1E"/>
    <w:rsid w:val="00C95F45"/>
    <w:rsid w:val="00C96836"/>
    <w:rsid w:val="00C969E0"/>
    <w:rsid w:val="00C96B5E"/>
    <w:rsid w:val="00C96C6A"/>
    <w:rsid w:val="00C96CBC"/>
    <w:rsid w:val="00C971B9"/>
    <w:rsid w:val="00C9721A"/>
    <w:rsid w:val="00C97AE8"/>
    <w:rsid w:val="00CA00D2"/>
    <w:rsid w:val="00CA09CD"/>
    <w:rsid w:val="00CA0BB8"/>
    <w:rsid w:val="00CA0CF7"/>
    <w:rsid w:val="00CA1C2A"/>
    <w:rsid w:val="00CA1EB0"/>
    <w:rsid w:val="00CA2196"/>
    <w:rsid w:val="00CA2227"/>
    <w:rsid w:val="00CA2580"/>
    <w:rsid w:val="00CA2F00"/>
    <w:rsid w:val="00CA3381"/>
    <w:rsid w:val="00CA3469"/>
    <w:rsid w:val="00CA380B"/>
    <w:rsid w:val="00CA397A"/>
    <w:rsid w:val="00CA3D73"/>
    <w:rsid w:val="00CA3E4C"/>
    <w:rsid w:val="00CA4181"/>
    <w:rsid w:val="00CA462B"/>
    <w:rsid w:val="00CA4DFF"/>
    <w:rsid w:val="00CA505D"/>
    <w:rsid w:val="00CA5188"/>
    <w:rsid w:val="00CA5487"/>
    <w:rsid w:val="00CA6044"/>
    <w:rsid w:val="00CA7654"/>
    <w:rsid w:val="00CA7A16"/>
    <w:rsid w:val="00CA7A52"/>
    <w:rsid w:val="00CB02BC"/>
    <w:rsid w:val="00CB04DF"/>
    <w:rsid w:val="00CB0A90"/>
    <w:rsid w:val="00CB0D65"/>
    <w:rsid w:val="00CB1066"/>
    <w:rsid w:val="00CB15FD"/>
    <w:rsid w:val="00CB164C"/>
    <w:rsid w:val="00CB20E8"/>
    <w:rsid w:val="00CB2251"/>
    <w:rsid w:val="00CB2794"/>
    <w:rsid w:val="00CB2C7B"/>
    <w:rsid w:val="00CB3478"/>
    <w:rsid w:val="00CB370D"/>
    <w:rsid w:val="00CB3C74"/>
    <w:rsid w:val="00CB43BD"/>
    <w:rsid w:val="00CB4AC8"/>
    <w:rsid w:val="00CB4F0E"/>
    <w:rsid w:val="00CB4F9F"/>
    <w:rsid w:val="00CB5348"/>
    <w:rsid w:val="00CB5E7A"/>
    <w:rsid w:val="00CB6523"/>
    <w:rsid w:val="00CB6638"/>
    <w:rsid w:val="00CB6E1D"/>
    <w:rsid w:val="00CB6F60"/>
    <w:rsid w:val="00CB7169"/>
    <w:rsid w:val="00CB79ED"/>
    <w:rsid w:val="00CB7C91"/>
    <w:rsid w:val="00CC013C"/>
    <w:rsid w:val="00CC037E"/>
    <w:rsid w:val="00CC0855"/>
    <w:rsid w:val="00CC0F02"/>
    <w:rsid w:val="00CC19FA"/>
    <w:rsid w:val="00CC1E26"/>
    <w:rsid w:val="00CC1EFA"/>
    <w:rsid w:val="00CC2127"/>
    <w:rsid w:val="00CC2563"/>
    <w:rsid w:val="00CC2D1C"/>
    <w:rsid w:val="00CC3933"/>
    <w:rsid w:val="00CC3AE2"/>
    <w:rsid w:val="00CC3C4B"/>
    <w:rsid w:val="00CC3D6E"/>
    <w:rsid w:val="00CC3F6F"/>
    <w:rsid w:val="00CC4910"/>
    <w:rsid w:val="00CC4B8A"/>
    <w:rsid w:val="00CC510B"/>
    <w:rsid w:val="00CC53EF"/>
    <w:rsid w:val="00CC5486"/>
    <w:rsid w:val="00CC5F0E"/>
    <w:rsid w:val="00CC64E7"/>
    <w:rsid w:val="00CC676D"/>
    <w:rsid w:val="00CC6901"/>
    <w:rsid w:val="00CC6C05"/>
    <w:rsid w:val="00CC72CE"/>
    <w:rsid w:val="00CC76E3"/>
    <w:rsid w:val="00CC7A01"/>
    <w:rsid w:val="00CC7A5F"/>
    <w:rsid w:val="00CC7DEB"/>
    <w:rsid w:val="00CD07B8"/>
    <w:rsid w:val="00CD0932"/>
    <w:rsid w:val="00CD1359"/>
    <w:rsid w:val="00CD1708"/>
    <w:rsid w:val="00CD1892"/>
    <w:rsid w:val="00CD1F03"/>
    <w:rsid w:val="00CD200A"/>
    <w:rsid w:val="00CD21AF"/>
    <w:rsid w:val="00CD256B"/>
    <w:rsid w:val="00CD2724"/>
    <w:rsid w:val="00CD27CC"/>
    <w:rsid w:val="00CD292E"/>
    <w:rsid w:val="00CD2FE9"/>
    <w:rsid w:val="00CD336C"/>
    <w:rsid w:val="00CD4030"/>
    <w:rsid w:val="00CD419C"/>
    <w:rsid w:val="00CD461C"/>
    <w:rsid w:val="00CD4680"/>
    <w:rsid w:val="00CD4798"/>
    <w:rsid w:val="00CD49AC"/>
    <w:rsid w:val="00CD4ABF"/>
    <w:rsid w:val="00CD4B41"/>
    <w:rsid w:val="00CD4B8A"/>
    <w:rsid w:val="00CD4F4C"/>
    <w:rsid w:val="00CD5693"/>
    <w:rsid w:val="00CD5B28"/>
    <w:rsid w:val="00CD5F12"/>
    <w:rsid w:val="00CD6154"/>
    <w:rsid w:val="00CD620F"/>
    <w:rsid w:val="00CD6721"/>
    <w:rsid w:val="00CD69C8"/>
    <w:rsid w:val="00CD6AEC"/>
    <w:rsid w:val="00CD6CFD"/>
    <w:rsid w:val="00CD6D0A"/>
    <w:rsid w:val="00CD7D57"/>
    <w:rsid w:val="00CD7F20"/>
    <w:rsid w:val="00CE1568"/>
    <w:rsid w:val="00CE1600"/>
    <w:rsid w:val="00CE1711"/>
    <w:rsid w:val="00CE1F6C"/>
    <w:rsid w:val="00CE279E"/>
    <w:rsid w:val="00CE28D6"/>
    <w:rsid w:val="00CE2A05"/>
    <w:rsid w:val="00CE2A56"/>
    <w:rsid w:val="00CE2CC6"/>
    <w:rsid w:val="00CE32D6"/>
    <w:rsid w:val="00CE393F"/>
    <w:rsid w:val="00CE3A70"/>
    <w:rsid w:val="00CE3D31"/>
    <w:rsid w:val="00CE3D9B"/>
    <w:rsid w:val="00CE403B"/>
    <w:rsid w:val="00CE45BA"/>
    <w:rsid w:val="00CE5189"/>
    <w:rsid w:val="00CE53C4"/>
    <w:rsid w:val="00CE5495"/>
    <w:rsid w:val="00CE54E0"/>
    <w:rsid w:val="00CE54E1"/>
    <w:rsid w:val="00CE5782"/>
    <w:rsid w:val="00CE58FA"/>
    <w:rsid w:val="00CE59CD"/>
    <w:rsid w:val="00CE5F51"/>
    <w:rsid w:val="00CE5FDA"/>
    <w:rsid w:val="00CE66C8"/>
    <w:rsid w:val="00CE76FA"/>
    <w:rsid w:val="00CE7847"/>
    <w:rsid w:val="00CE7889"/>
    <w:rsid w:val="00CE7941"/>
    <w:rsid w:val="00CE7A6D"/>
    <w:rsid w:val="00CE7EAC"/>
    <w:rsid w:val="00CF0047"/>
    <w:rsid w:val="00CF0303"/>
    <w:rsid w:val="00CF046D"/>
    <w:rsid w:val="00CF0675"/>
    <w:rsid w:val="00CF06B3"/>
    <w:rsid w:val="00CF101F"/>
    <w:rsid w:val="00CF11BE"/>
    <w:rsid w:val="00CF1310"/>
    <w:rsid w:val="00CF16F5"/>
    <w:rsid w:val="00CF1943"/>
    <w:rsid w:val="00CF2B2B"/>
    <w:rsid w:val="00CF3030"/>
    <w:rsid w:val="00CF31DA"/>
    <w:rsid w:val="00CF3B2E"/>
    <w:rsid w:val="00CF42B4"/>
    <w:rsid w:val="00CF4384"/>
    <w:rsid w:val="00CF4478"/>
    <w:rsid w:val="00CF44F9"/>
    <w:rsid w:val="00CF4AE5"/>
    <w:rsid w:val="00CF4B33"/>
    <w:rsid w:val="00CF4BD5"/>
    <w:rsid w:val="00CF4EB6"/>
    <w:rsid w:val="00CF517A"/>
    <w:rsid w:val="00CF56BC"/>
    <w:rsid w:val="00CF5DE2"/>
    <w:rsid w:val="00CF65F3"/>
    <w:rsid w:val="00CF6B59"/>
    <w:rsid w:val="00CF76FD"/>
    <w:rsid w:val="00CF7E2C"/>
    <w:rsid w:val="00D001C4"/>
    <w:rsid w:val="00D0045E"/>
    <w:rsid w:val="00D00478"/>
    <w:rsid w:val="00D005C3"/>
    <w:rsid w:val="00D00911"/>
    <w:rsid w:val="00D00A78"/>
    <w:rsid w:val="00D01151"/>
    <w:rsid w:val="00D012B4"/>
    <w:rsid w:val="00D01476"/>
    <w:rsid w:val="00D01627"/>
    <w:rsid w:val="00D01665"/>
    <w:rsid w:val="00D01C27"/>
    <w:rsid w:val="00D02898"/>
    <w:rsid w:val="00D02C74"/>
    <w:rsid w:val="00D03C09"/>
    <w:rsid w:val="00D03D3D"/>
    <w:rsid w:val="00D046C3"/>
    <w:rsid w:val="00D05AEF"/>
    <w:rsid w:val="00D05B72"/>
    <w:rsid w:val="00D06201"/>
    <w:rsid w:val="00D063AC"/>
    <w:rsid w:val="00D0645D"/>
    <w:rsid w:val="00D06746"/>
    <w:rsid w:val="00D06A78"/>
    <w:rsid w:val="00D06A91"/>
    <w:rsid w:val="00D06FC3"/>
    <w:rsid w:val="00D071B2"/>
    <w:rsid w:val="00D07561"/>
    <w:rsid w:val="00D078F9"/>
    <w:rsid w:val="00D07950"/>
    <w:rsid w:val="00D07DB4"/>
    <w:rsid w:val="00D07ED3"/>
    <w:rsid w:val="00D10258"/>
    <w:rsid w:val="00D104E0"/>
    <w:rsid w:val="00D10530"/>
    <w:rsid w:val="00D10A24"/>
    <w:rsid w:val="00D10D1B"/>
    <w:rsid w:val="00D119CF"/>
    <w:rsid w:val="00D11B39"/>
    <w:rsid w:val="00D11C4E"/>
    <w:rsid w:val="00D11C84"/>
    <w:rsid w:val="00D12059"/>
    <w:rsid w:val="00D1209D"/>
    <w:rsid w:val="00D125E5"/>
    <w:rsid w:val="00D12C2C"/>
    <w:rsid w:val="00D1308D"/>
    <w:rsid w:val="00D137FD"/>
    <w:rsid w:val="00D1408D"/>
    <w:rsid w:val="00D14239"/>
    <w:rsid w:val="00D148D4"/>
    <w:rsid w:val="00D14E0D"/>
    <w:rsid w:val="00D152B5"/>
    <w:rsid w:val="00D156EE"/>
    <w:rsid w:val="00D15C56"/>
    <w:rsid w:val="00D15D58"/>
    <w:rsid w:val="00D15F59"/>
    <w:rsid w:val="00D15FCB"/>
    <w:rsid w:val="00D165F4"/>
    <w:rsid w:val="00D16940"/>
    <w:rsid w:val="00D178D3"/>
    <w:rsid w:val="00D17B48"/>
    <w:rsid w:val="00D202A8"/>
    <w:rsid w:val="00D206FC"/>
    <w:rsid w:val="00D2092D"/>
    <w:rsid w:val="00D20DE3"/>
    <w:rsid w:val="00D210C6"/>
    <w:rsid w:val="00D2125C"/>
    <w:rsid w:val="00D21845"/>
    <w:rsid w:val="00D21D1F"/>
    <w:rsid w:val="00D2248D"/>
    <w:rsid w:val="00D22F0C"/>
    <w:rsid w:val="00D23163"/>
    <w:rsid w:val="00D233FD"/>
    <w:rsid w:val="00D235D3"/>
    <w:rsid w:val="00D23DE3"/>
    <w:rsid w:val="00D23F56"/>
    <w:rsid w:val="00D240BC"/>
    <w:rsid w:val="00D247B7"/>
    <w:rsid w:val="00D24ADA"/>
    <w:rsid w:val="00D24C25"/>
    <w:rsid w:val="00D2506C"/>
    <w:rsid w:val="00D25462"/>
    <w:rsid w:val="00D25488"/>
    <w:rsid w:val="00D25B08"/>
    <w:rsid w:val="00D2611B"/>
    <w:rsid w:val="00D26AFB"/>
    <w:rsid w:val="00D26C56"/>
    <w:rsid w:val="00D26EB7"/>
    <w:rsid w:val="00D276E8"/>
    <w:rsid w:val="00D2787E"/>
    <w:rsid w:val="00D27BB0"/>
    <w:rsid w:val="00D27D5D"/>
    <w:rsid w:val="00D302C2"/>
    <w:rsid w:val="00D3031D"/>
    <w:rsid w:val="00D30407"/>
    <w:rsid w:val="00D30C3C"/>
    <w:rsid w:val="00D30CFE"/>
    <w:rsid w:val="00D30E08"/>
    <w:rsid w:val="00D31283"/>
    <w:rsid w:val="00D31DA6"/>
    <w:rsid w:val="00D322AB"/>
    <w:rsid w:val="00D327E7"/>
    <w:rsid w:val="00D3288A"/>
    <w:rsid w:val="00D3299A"/>
    <w:rsid w:val="00D32D41"/>
    <w:rsid w:val="00D33234"/>
    <w:rsid w:val="00D336DB"/>
    <w:rsid w:val="00D339F2"/>
    <w:rsid w:val="00D33E6C"/>
    <w:rsid w:val="00D34301"/>
    <w:rsid w:val="00D34338"/>
    <w:rsid w:val="00D3477B"/>
    <w:rsid w:val="00D35476"/>
    <w:rsid w:val="00D355E3"/>
    <w:rsid w:val="00D35BB7"/>
    <w:rsid w:val="00D360A8"/>
    <w:rsid w:val="00D3620E"/>
    <w:rsid w:val="00D363DE"/>
    <w:rsid w:val="00D3653D"/>
    <w:rsid w:val="00D36E6C"/>
    <w:rsid w:val="00D371DF"/>
    <w:rsid w:val="00D37741"/>
    <w:rsid w:val="00D400F3"/>
    <w:rsid w:val="00D4011A"/>
    <w:rsid w:val="00D404CD"/>
    <w:rsid w:val="00D40587"/>
    <w:rsid w:val="00D4101C"/>
    <w:rsid w:val="00D41218"/>
    <w:rsid w:val="00D4138D"/>
    <w:rsid w:val="00D414E8"/>
    <w:rsid w:val="00D41B85"/>
    <w:rsid w:val="00D41EBD"/>
    <w:rsid w:val="00D42279"/>
    <w:rsid w:val="00D42A07"/>
    <w:rsid w:val="00D42B17"/>
    <w:rsid w:val="00D42F40"/>
    <w:rsid w:val="00D43162"/>
    <w:rsid w:val="00D4343B"/>
    <w:rsid w:val="00D43617"/>
    <w:rsid w:val="00D43652"/>
    <w:rsid w:val="00D436A4"/>
    <w:rsid w:val="00D43935"/>
    <w:rsid w:val="00D43AE4"/>
    <w:rsid w:val="00D44056"/>
    <w:rsid w:val="00D440B4"/>
    <w:rsid w:val="00D44207"/>
    <w:rsid w:val="00D44948"/>
    <w:rsid w:val="00D44B87"/>
    <w:rsid w:val="00D45019"/>
    <w:rsid w:val="00D4522C"/>
    <w:rsid w:val="00D45595"/>
    <w:rsid w:val="00D4562D"/>
    <w:rsid w:val="00D45945"/>
    <w:rsid w:val="00D45ABC"/>
    <w:rsid w:val="00D45B0F"/>
    <w:rsid w:val="00D45B65"/>
    <w:rsid w:val="00D461BC"/>
    <w:rsid w:val="00D46289"/>
    <w:rsid w:val="00D46743"/>
    <w:rsid w:val="00D46AA4"/>
    <w:rsid w:val="00D4761B"/>
    <w:rsid w:val="00D47AEA"/>
    <w:rsid w:val="00D47BF1"/>
    <w:rsid w:val="00D504AB"/>
    <w:rsid w:val="00D50682"/>
    <w:rsid w:val="00D50970"/>
    <w:rsid w:val="00D509DE"/>
    <w:rsid w:val="00D50A49"/>
    <w:rsid w:val="00D51386"/>
    <w:rsid w:val="00D51749"/>
    <w:rsid w:val="00D5184E"/>
    <w:rsid w:val="00D51ABC"/>
    <w:rsid w:val="00D51E0B"/>
    <w:rsid w:val="00D522A8"/>
    <w:rsid w:val="00D52632"/>
    <w:rsid w:val="00D526FA"/>
    <w:rsid w:val="00D52987"/>
    <w:rsid w:val="00D52FE5"/>
    <w:rsid w:val="00D53410"/>
    <w:rsid w:val="00D53CDB"/>
    <w:rsid w:val="00D53DA3"/>
    <w:rsid w:val="00D53F1B"/>
    <w:rsid w:val="00D53F42"/>
    <w:rsid w:val="00D54136"/>
    <w:rsid w:val="00D54835"/>
    <w:rsid w:val="00D54BD4"/>
    <w:rsid w:val="00D550F9"/>
    <w:rsid w:val="00D55D06"/>
    <w:rsid w:val="00D56298"/>
    <w:rsid w:val="00D563A2"/>
    <w:rsid w:val="00D56708"/>
    <w:rsid w:val="00D56892"/>
    <w:rsid w:val="00D577DF"/>
    <w:rsid w:val="00D57D66"/>
    <w:rsid w:val="00D607AA"/>
    <w:rsid w:val="00D607B7"/>
    <w:rsid w:val="00D60AA7"/>
    <w:rsid w:val="00D60B38"/>
    <w:rsid w:val="00D60BAA"/>
    <w:rsid w:val="00D61385"/>
    <w:rsid w:val="00D61640"/>
    <w:rsid w:val="00D61715"/>
    <w:rsid w:val="00D61788"/>
    <w:rsid w:val="00D61865"/>
    <w:rsid w:val="00D61896"/>
    <w:rsid w:val="00D61CBC"/>
    <w:rsid w:val="00D623A4"/>
    <w:rsid w:val="00D62C09"/>
    <w:rsid w:val="00D634CB"/>
    <w:rsid w:val="00D63FD6"/>
    <w:rsid w:val="00D6417B"/>
    <w:rsid w:val="00D641E6"/>
    <w:rsid w:val="00D6465C"/>
    <w:rsid w:val="00D64D84"/>
    <w:rsid w:val="00D651A9"/>
    <w:rsid w:val="00D65406"/>
    <w:rsid w:val="00D65A6E"/>
    <w:rsid w:val="00D65BDF"/>
    <w:rsid w:val="00D6606D"/>
    <w:rsid w:val="00D667AD"/>
    <w:rsid w:val="00D66BE9"/>
    <w:rsid w:val="00D67045"/>
    <w:rsid w:val="00D6723F"/>
    <w:rsid w:val="00D672F0"/>
    <w:rsid w:val="00D67590"/>
    <w:rsid w:val="00D67641"/>
    <w:rsid w:val="00D6786E"/>
    <w:rsid w:val="00D67ADD"/>
    <w:rsid w:val="00D67DE1"/>
    <w:rsid w:val="00D704CB"/>
    <w:rsid w:val="00D70853"/>
    <w:rsid w:val="00D708D0"/>
    <w:rsid w:val="00D71401"/>
    <w:rsid w:val="00D716C7"/>
    <w:rsid w:val="00D71990"/>
    <w:rsid w:val="00D71AE5"/>
    <w:rsid w:val="00D71CBC"/>
    <w:rsid w:val="00D71DCE"/>
    <w:rsid w:val="00D72008"/>
    <w:rsid w:val="00D72256"/>
    <w:rsid w:val="00D72315"/>
    <w:rsid w:val="00D72533"/>
    <w:rsid w:val="00D72ABD"/>
    <w:rsid w:val="00D72BED"/>
    <w:rsid w:val="00D72C2C"/>
    <w:rsid w:val="00D732FE"/>
    <w:rsid w:val="00D73570"/>
    <w:rsid w:val="00D7418D"/>
    <w:rsid w:val="00D7442C"/>
    <w:rsid w:val="00D74834"/>
    <w:rsid w:val="00D7502B"/>
    <w:rsid w:val="00D75292"/>
    <w:rsid w:val="00D7552B"/>
    <w:rsid w:val="00D75582"/>
    <w:rsid w:val="00D756ED"/>
    <w:rsid w:val="00D7589B"/>
    <w:rsid w:val="00D75AC2"/>
    <w:rsid w:val="00D76116"/>
    <w:rsid w:val="00D7632E"/>
    <w:rsid w:val="00D76432"/>
    <w:rsid w:val="00D766A4"/>
    <w:rsid w:val="00D7671E"/>
    <w:rsid w:val="00D76A3E"/>
    <w:rsid w:val="00D804A5"/>
    <w:rsid w:val="00D80FB9"/>
    <w:rsid w:val="00D8115A"/>
    <w:rsid w:val="00D811FB"/>
    <w:rsid w:val="00D81276"/>
    <w:rsid w:val="00D812E1"/>
    <w:rsid w:val="00D8136A"/>
    <w:rsid w:val="00D81807"/>
    <w:rsid w:val="00D81D81"/>
    <w:rsid w:val="00D81DA1"/>
    <w:rsid w:val="00D81EFA"/>
    <w:rsid w:val="00D82486"/>
    <w:rsid w:val="00D82818"/>
    <w:rsid w:val="00D829D5"/>
    <w:rsid w:val="00D83148"/>
    <w:rsid w:val="00D833DE"/>
    <w:rsid w:val="00D83725"/>
    <w:rsid w:val="00D8398F"/>
    <w:rsid w:val="00D83DAE"/>
    <w:rsid w:val="00D83FF9"/>
    <w:rsid w:val="00D84432"/>
    <w:rsid w:val="00D84D60"/>
    <w:rsid w:val="00D85073"/>
    <w:rsid w:val="00D85337"/>
    <w:rsid w:val="00D853ED"/>
    <w:rsid w:val="00D85E16"/>
    <w:rsid w:val="00D86386"/>
    <w:rsid w:val="00D864A6"/>
    <w:rsid w:val="00D86577"/>
    <w:rsid w:val="00D86AC9"/>
    <w:rsid w:val="00D86C93"/>
    <w:rsid w:val="00D8702A"/>
    <w:rsid w:val="00D87078"/>
    <w:rsid w:val="00D87088"/>
    <w:rsid w:val="00D87459"/>
    <w:rsid w:val="00D8769A"/>
    <w:rsid w:val="00D876CD"/>
    <w:rsid w:val="00D87934"/>
    <w:rsid w:val="00D87B9E"/>
    <w:rsid w:val="00D90494"/>
    <w:rsid w:val="00D90567"/>
    <w:rsid w:val="00D907EF"/>
    <w:rsid w:val="00D90834"/>
    <w:rsid w:val="00D90C09"/>
    <w:rsid w:val="00D90C29"/>
    <w:rsid w:val="00D90CE7"/>
    <w:rsid w:val="00D90EAA"/>
    <w:rsid w:val="00D91189"/>
    <w:rsid w:val="00D92581"/>
    <w:rsid w:val="00D925AA"/>
    <w:rsid w:val="00D92AA2"/>
    <w:rsid w:val="00D92DB9"/>
    <w:rsid w:val="00D92F1A"/>
    <w:rsid w:val="00D92F40"/>
    <w:rsid w:val="00D93D7D"/>
    <w:rsid w:val="00D941F0"/>
    <w:rsid w:val="00D943A4"/>
    <w:rsid w:val="00D94C0B"/>
    <w:rsid w:val="00D95034"/>
    <w:rsid w:val="00D952A6"/>
    <w:rsid w:val="00D953F3"/>
    <w:rsid w:val="00D955D9"/>
    <w:rsid w:val="00D9568F"/>
    <w:rsid w:val="00D95ADE"/>
    <w:rsid w:val="00D95B78"/>
    <w:rsid w:val="00D95C54"/>
    <w:rsid w:val="00D95C59"/>
    <w:rsid w:val="00D97394"/>
    <w:rsid w:val="00D973ED"/>
    <w:rsid w:val="00D975E1"/>
    <w:rsid w:val="00D977DE"/>
    <w:rsid w:val="00D97B9D"/>
    <w:rsid w:val="00DA0016"/>
    <w:rsid w:val="00DA08B5"/>
    <w:rsid w:val="00DA0CC8"/>
    <w:rsid w:val="00DA1C9A"/>
    <w:rsid w:val="00DA1EED"/>
    <w:rsid w:val="00DA1F03"/>
    <w:rsid w:val="00DA1F7D"/>
    <w:rsid w:val="00DA1F9C"/>
    <w:rsid w:val="00DA25D3"/>
    <w:rsid w:val="00DA2AB1"/>
    <w:rsid w:val="00DA3495"/>
    <w:rsid w:val="00DA3D5F"/>
    <w:rsid w:val="00DA4013"/>
    <w:rsid w:val="00DA437F"/>
    <w:rsid w:val="00DA4F55"/>
    <w:rsid w:val="00DA5276"/>
    <w:rsid w:val="00DA53A8"/>
    <w:rsid w:val="00DA543E"/>
    <w:rsid w:val="00DA568E"/>
    <w:rsid w:val="00DA5699"/>
    <w:rsid w:val="00DA5A1B"/>
    <w:rsid w:val="00DA5AB6"/>
    <w:rsid w:val="00DA5B39"/>
    <w:rsid w:val="00DA5CDE"/>
    <w:rsid w:val="00DA5EEC"/>
    <w:rsid w:val="00DA653E"/>
    <w:rsid w:val="00DA6564"/>
    <w:rsid w:val="00DA6659"/>
    <w:rsid w:val="00DA6E96"/>
    <w:rsid w:val="00DA7530"/>
    <w:rsid w:val="00DA758D"/>
    <w:rsid w:val="00DA7754"/>
    <w:rsid w:val="00DA7979"/>
    <w:rsid w:val="00DA7ED2"/>
    <w:rsid w:val="00DB015D"/>
    <w:rsid w:val="00DB02E5"/>
    <w:rsid w:val="00DB030A"/>
    <w:rsid w:val="00DB057F"/>
    <w:rsid w:val="00DB0A6B"/>
    <w:rsid w:val="00DB0B04"/>
    <w:rsid w:val="00DB0F5E"/>
    <w:rsid w:val="00DB0FC2"/>
    <w:rsid w:val="00DB141E"/>
    <w:rsid w:val="00DB1759"/>
    <w:rsid w:val="00DB1A74"/>
    <w:rsid w:val="00DB1AE7"/>
    <w:rsid w:val="00DB1E3C"/>
    <w:rsid w:val="00DB1E93"/>
    <w:rsid w:val="00DB2098"/>
    <w:rsid w:val="00DB2154"/>
    <w:rsid w:val="00DB2203"/>
    <w:rsid w:val="00DB27AE"/>
    <w:rsid w:val="00DB2A33"/>
    <w:rsid w:val="00DB2C9A"/>
    <w:rsid w:val="00DB2E06"/>
    <w:rsid w:val="00DB2FB5"/>
    <w:rsid w:val="00DB2FCD"/>
    <w:rsid w:val="00DB30C8"/>
    <w:rsid w:val="00DB35BB"/>
    <w:rsid w:val="00DB37C6"/>
    <w:rsid w:val="00DB3C15"/>
    <w:rsid w:val="00DB3D89"/>
    <w:rsid w:val="00DB40D0"/>
    <w:rsid w:val="00DB4D94"/>
    <w:rsid w:val="00DB50AC"/>
    <w:rsid w:val="00DB53A0"/>
    <w:rsid w:val="00DB54DF"/>
    <w:rsid w:val="00DB5589"/>
    <w:rsid w:val="00DB560F"/>
    <w:rsid w:val="00DB6019"/>
    <w:rsid w:val="00DB617F"/>
    <w:rsid w:val="00DB669B"/>
    <w:rsid w:val="00DB6FAF"/>
    <w:rsid w:val="00DB78BD"/>
    <w:rsid w:val="00DC049D"/>
    <w:rsid w:val="00DC0933"/>
    <w:rsid w:val="00DC0A97"/>
    <w:rsid w:val="00DC0B94"/>
    <w:rsid w:val="00DC14DC"/>
    <w:rsid w:val="00DC1726"/>
    <w:rsid w:val="00DC1AA1"/>
    <w:rsid w:val="00DC2515"/>
    <w:rsid w:val="00DC2528"/>
    <w:rsid w:val="00DC26B4"/>
    <w:rsid w:val="00DC2BC6"/>
    <w:rsid w:val="00DC2EB9"/>
    <w:rsid w:val="00DC2FA5"/>
    <w:rsid w:val="00DC3205"/>
    <w:rsid w:val="00DC3235"/>
    <w:rsid w:val="00DC3346"/>
    <w:rsid w:val="00DC3377"/>
    <w:rsid w:val="00DC34AF"/>
    <w:rsid w:val="00DC3519"/>
    <w:rsid w:val="00DC385D"/>
    <w:rsid w:val="00DC3A6B"/>
    <w:rsid w:val="00DC3DA6"/>
    <w:rsid w:val="00DC403D"/>
    <w:rsid w:val="00DC4882"/>
    <w:rsid w:val="00DC5324"/>
    <w:rsid w:val="00DC5743"/>
    <w:rsid w:val="00DC575B"/>
    <w:rsid w:val="00DC5892"/>
    <w:rsid w:val="00DC6072"/>
    <w:rsid w:val="00DC61A4"/>
    <w:rsid w:val="00DC641E"/>
    <w:rsid w:val="00DC6C2C"/>
    <w:rsid w:val="00DC6D48"/>
    <w:rsid w:val="00DC76D7"/>
    <w:rsid w:val="00DD00A3"/>
    <w:rsid w:val="00DD070A"/>
    <w:rsid w:val="00DD086F"/>
    <w:rsid w:val="00DD13F7"/>
    <w:rsid w:val="00DD1F00"/>
    <w:rsid w:val="00DD214C"/>
    <w:rsid w:val="00DD26F4"/>
    <w:rsid w:val="00DD2969"/>
    <w:rsid w:val="00DD2A87"/>
    <w:rsid w:val="00DD2B15"/>
    <w:rsid w:val="00DD2B4D"/>
    <w:rsid w:val="00DD2D30"/>
    <w:rsid w:val="00DD2EBC"/>
    <w:rsid w:val="00DD2F37"/>
    <w:rsid w:val="00DD3568"/>
    <w:rsid w:val="00DD3D85"/>
    <w:rsid w:val="00DD3E54"/>
    <w:rsid w:val="00DD42B7"/>
    <w:rsid w:val="00DD4F20"/>
    <w:rsid w:val="00DD550A"/>
    <w:rsid w:val="00DD560C"/>
    <w:rsid w:val="00DD5F9B"/>
    <w:rsid w:val="00DD5FF5"/>
    <w:rsid w:val="00DD60ED"/>
    <w:rsid w:val="00DD693C"/>
    <w:rsid w:val="00DD6B36"/>
    <w:rsid w:val="00DD723B"/>
    <w:rsid w:val="00DD72AC"/>
    <w:rsid w:val="00DD7335"/>
    <w:rsid w:val="00DD7E7E"/>
    <w:rsid w:val="00DD7ED7"/>
    <w:rsid w:val="00DE0B15"/>
    <w:rsid w:val="00DE0BE8"/>
    <w:rsid w:val="00DE0CAD"/>
    <w:rsid w:val="00DE0E8A"/>
    <w:rsid w:val="00DE119E"/>
    <w:rsid w:val="00DE181C"/>
    <w:rsid w:val="00DE1BF2"/>
    <w:rsid w:val="00DE27C1"/>
    <w:rsid w:val="00DE287B"/>
    <w:rsid w:val="00DE2CAE"/>
    <w:rsid w:val="00DE2D15"/>
    <w:rsid w:val="00DE318B"/>
    <w:rsid w:val="00DE31B4"/>
    <w:rsid w:val="00DE3502"/>
    <w:rsid w:val="00DE3878"/>
    <w:rsid w:val="00DE3E88"/>
    <w:rsid w:val="00DE3F88"/>
    <w:rsid w:val="00DE3FE7"/>
    <w:rsid w:val="00DE42B2"/>
    <w:rsid w:val="00DE4951"/>
    <w:rsid w:val="00DE4B7C"/>
    <w:rsid w:val="00DE544D"/>
    <w:rsid w:val="00DE59B3"/>
    <w:rsid w:val="00DE5B48"/>
    <w:rsid w:val="00DE610B"/>
    <w:rsid w:val="00DE6FFC"/>
    <w:rsid w:val="00DE70B7"/>
    <w:rsid w:val="00DF0788"/>
    <w:rsid w:val="00DF08E4"/>
    <w:rsid w:val="00DF09F9"/>
    <w:rsid w:val="00DF0D46"/>
    <w:rsid w:val="00DF1365"/>
    <w:rsid w:val="00DF16E7"/>
    <w:rsid w:val="00DF19D1"/>
    <w:rsid w:val="00DF2193"/>
    <w:rsid w:val="00DF2492"/>
    <w:rsid w:val="00DF2B16"/>
    <w:rsid w:val="00DF2B9E"/>
    <w:rsid w:val="00DF2D10"/>
    <w:rsid w:val="00DF2E47"/>
    <w:rsid w:val="00DF3006"/>
    <w:rsid w:val="00DF385B"/>
    <w:rsid w:val="00DF4031"/>
    <w:rsid w:val="00DF40B5"/>
    <w:rsid w:val="00DF4815"/>
    <w:rsid w:val="00DF4F51"/>
    <w:rsid w:val="00DF5EF7"/>
    <w:rsid w:val="00DF62CA"/>
    <w:rsid w:val="00DF6720"/>
    <w:rsid w:val="00DF6A3E"/>
    <w:rsid w:val="00DF6AE8"/>
    <w:rsid w:val="00DF6BD5"/>
    <w:rsid w:val="00DF6CE0"/>
    <w:rsid w:val="00DF6E80"/>
    <w:rsid w:val="00DF7507"/>
    <w:rsid w:val="00DF7B2E"/>
    <w:rsid w:val="00DF7CDA"/>
    <w:rsid w:val="00E00AAD"/>
    <w:rsid w:val="00E00E90"/>
    <w:rsid w:val="00E01743"/>
    <w:rsid w:val="00E01B74"/>
    <w:rsid w:val="00E020C0"/>
    <w:rsid w:val="00E021CF"/>
    <w:rsid w:val="00E024F1"/>
    <w:rsid w:val="00E02AED"/>
    <w:rsid w:val="00E02BC7"/>
    <w:rsid w:val="00E02D0E"/>
    <w:rsid w:val="00E03217"/>
    <w:rsid w:val="00E0345B"/>
    <w:rsid w:val="00E040C1"/>
    <w:rsid w:val="00E04144"/>
    <w:rsid w:val="00E04B6C"/>
    <w:rsid w:val="00E04B91"/>
    <w:rsid w:val="00E04BE8"/>
    <w:rsid w:val="00E04D00"/>
    <w:rsid w:val="00E05181"/>
    <w:rsid w:val="00E051C2"/>
    <w:rsid w:val="00E056CD"/>
    <w:rsid w:val="00E057C8"/>
    <w:rsid w:val="00E06381"/>
    <w:rsid w:val="00E068AD"/>
    <w:rsid w:val="00E06C03"/>
    <w:rsid w:val="00E06C1E"/>
    <w:rsid w:val="00E06E5B"/>
    <w:rsid w:val="00E06EAC"/>
    <w:rsid w:val="00E06FC2"/>
    <w:rsid w:val="00E0728F"/>
    <w:rsid w:val="00E07A4A"/>
    <w:rsid w:val="00E07AF6"/>
    <w:rsid w:val="00E07D1C"/>
    <w:rsid w:val="00E100E3"/>
    <w:rsid w:val="00E10167"/>
    <w:rsid w:val="00E101F3"/>
    <w:rsid w:val="00E10394"/>
    <w:rsid w:val="00E10B40"/>
    <w:rsid w:val="00E10E4F"/>
    <w:rsid w:val="00E10F44"/>
    <w:rsid w:val="00E10FBA"/>
    <w:rsid w:val="00E11007"/>
    <w:rsid w:val="00E11055"/>
    <w:rsid w:val="00E1119E"/>
    <w:rsid w:val="00E112F7"/>
    <w:rsid w:val="00E11493"/>
    <w:rsid w:val="00E117EB"/>
    <w:rsid w:val="00E119E1"/>
    <w:rsid w:val="00E11A33"/>
    <w:rsid w:val="00E123F0"/>
    <w:rsid w:val="00E12FAB"/>
    <w:rsid w:val="00E1395F"/>
    <w:rsid w:val="00E13B2F"/>
    <w:rsid w:val="00E13E5F"/>
    <w:rsid w:val="00E14129"/>
    <w:rsid w:val="00E14279"/>
    <w:rsid w:val="00E14476"/>
    <w:rsid w:val="00E14586"/>
    <w:rsid w:val="00E14794"/>
    <w:rsid w:val="00E15205"/>
    <w:rsid w:val="00E15D1E"/>
    <w:rsid w:val="00E16378"/>
    <w:rsid w:val="00E16538"/>
    <w:rsid w:val="00E165DE"/>
    <w:rsid w:val="00E16CB1"/>
    <w:rsid w:val="00E17038"/>
    <w:rsid w:val="00E177C8"/>
    <w:rsid w:val="00E177E0"/>
    <w:rsid w:val="00E17BAF"/>
    <w:rsid w:val="00E17D49"/>
    <w:rsid w:val="00E2028F"/>
    <w:rsid w:val="00E20C99"/>
    <w:rsid w:val="00E20D8A"/>
    <w:rsid w:val="00E20E19"/>
    <w:rsid w:val="00E211A4"/>
    <w:rsid w:val="00E215D8"/>
    <w:rsid w:val="00E218CA"/>
    <w:rsid w:val="00E21C1C"/>
    <w:rsid w:val="00E220FF"/>
    <w:rsid w:val="00E2211A"/>
    <w:rsid w:val="00E22527"/>
    <w:rsid w:val="00E22747"/>
    <w:rsid w:val="00E22900"/>
    <w:rsid w:val="00E23508"/>
    <w:rsid w:val="00E236C4"/>
    <w:rsid w:val="00E23B48"/>
    <w:rsid w:val="00E23CA9"/>
    <w:rsid w:val="00E24157"/>
    <w:rsid w:val="00E24226"/>
    <w:rsid w:val="00E24A60"/>
    <w:rsid w:val="00E24F0F"/>
    <w:rsid w:val="00E259AD"/>
    <w:rsid w:val="00E259C5"/>
    <w:rsid w:val="00E25B48"/>
    <w:rsid w:val="00E25F87"/>
    <w:rsid w:val="00E25FAA"/>
    <w:rsid w:val="00E26ACE"/>
    <w:rsid w:val="00E27368"/>
    <w:rsid w:val="00E27608"/>
    <w:rsid w:val="00E27753"/>
    <w:rsid w:val="00E27898"/>
    <w:rsid w:val="00E27A87"/>
    <w:rsid w:val="00E3006A"/>
    <w:rsid w:val="00E302BB"/>
    <w:rsid w:val="00E30587"/>
    <w:rsid w:val="00E30D6E"/>
    <w:rsid w:val="00E30E09"/>
    <w:rsid w:val="00E31A21"/>
    <w:rsid w:val="00E31EBB"/>
    <w:rsid w:val="00E322A2"/>
    <w:rsid w:val="00E323E2"/>
    <w:rsid w:val="00E3287D"/>
    <w:rsid w:val="00E32C35"/>
    <w:rsid w:val="00E32D82"/>
    <w:rsid w:val="00E33045"/>
    <w:rsid w:val="00E33373"/>
    <w:rsid w:val="00E336F7"/>
    <w:rsid w:val="00E33973"/>
    <w:rsid w:val="00E33A83"/>
    <w:rsid w:val="00E33E42"/>
    <w:rsid w:val="00E3413B"/>
    <w:rsid w:val="00E3471B"/>
    <w:rsid w:val="00E3491A"/>
    <w:rsid w:val="00E34AED"/>
    <w:rsid w:val="00E34C5B"/>
    <w:rsid w:val="00E35615"/>
    <w:rsid w:val="00E36512"/>
    <w:rsid w:val="00E36658"/>
    <w:rsid w:val="00E36BBC"/>
    <w:rsid w:val="00E3705B"/>
    <w:rsid w:val="00E371BB"/>
    <w:rsid w:val="00E37594"/>
    <w:rsid w:val="00E375A5"/>
    <w:rsid w:val="00E37792"/>
    <w:rsid w:val="00E37867"/>
    <w:rsid w:val="00E37F26"/>
    <w:rsid w:val="00E37F9A"/>
    <w:rsid w:val="00E4087C"/>
    <w:rsid w:val="00E4093D"/>
    <w:rsid w:val="00E40E31"/>
    <w:rsid w:val="00E414C6"/>
    <w:rsid w:val="00E4166F"/>
    <w:rsid w:val="00E41DE5"/>
    <w:rsid w:val="00E41E96"/>
    <w:rsid w:val="00E4299E"/>
    <w:rsid w:val="00E42C70"/>
    <w:rsid w:val="00E42E43"/>
    <w:rsid w:val="00E42EAE"/>
    <w:rsid w:val="00E430D1"/>
    <w:rsid w:val="00E4322A"/>
    <w:rsid w:val="00E4385F"/>
    <w:rsid w:val="00E44544"/>
    <w:rsid w:val="00E44F0C"/>
    <w:rsid w:val="00E44FDC"/>
    <w:rsid w:val="00E4530B"/>
    <w:rsid w:val="00E45325"/>
    <w:rsid w:val="00E4592D"/>
    <w:rsid w:val="00E45C87"/>
    <w:rsid w:val="00E46700"/>
    <w:rsid w:val="00E46712"/>
    <w:rsid w:val="00E4688F"/>
    <w:rsid w:val="00E46DD5"/>
    <w:rsid w:val="00E477FD"/>
    <w:rsid w:val="00E47DD3"/>
    <w:rsid w:val="00E5008F"/>
    <w:rsid w:val="00E50557"/>
    <w:rsid w:val="00E50E51"/>
    <w:rsid w:val="00E513C9"/>
    <w:rsid w:val="00E51E1B"/>
    <w:rsid w:val="00E522AC"/>
    <w:rsid w:val="00E5296F"/>
    <w:rsid w:val="00E52A87"/>
    <w:rsid w:val="00E52FF9"/>
    <w:rsid w:val="00E53545"/>
    <w:rsid w:val="00E5414A"/>
    <w:rsid w:val="00E54450"/>
    <w:rsid w:val="00E54FE9"/>
    <w:rsid w:val="00E550ED"/>
    <w:rsid w:val="00E5513B"/>
    <w:rsid w:val="00E5521E"/>
    <w:rsid w:val="00E55444"/>
    <w:rsid w:val="00E55A8C"/>
    <w:rsid w:val="00E55D2D"/>
    <w:rsid w:val="00E56228"/>
    <w:rsid w:val="00E562B6"/>
    <w:rsid w:val="00E566F4"/>
    <w:rsid w:val="00E566FD"/>
    <w:rsid w:val="00E569C8"/>
    <w:rsid w:val="00E56FFE"/>
    <w:rsid w:val="00E5706F"/>
    <w:rsid w:val="00E57389"/>
    <w:rsid w:val="00E5753C"/>
    <w:rsid w:val="00E576C6"/>
    <w:rsid w:val="00E60461"/>
    <w:rsid w:val="00E60487"/>
    <w:rsid w:val="00E60858"/>
    <w:rsid w:val="00E608E5"/>
    <w:rsid w:val="00E60A81"/>
    <w:rsid w:val="00E61695"/>
    <w:rsid w:val="00E61BB2"/>
    <w:rsid w:val="00E61BC7"/>
    <w:rsid w:val="00E62142"/>
    <w:rsid w:val="00E6222F"/>
    <w:rsid w:val="00E625DE"/>
    <w:rsid w:val="00E632C0"/>
    <w:rsid w:val="00E635C6"/>
    <w:rsid w:val="00E63C7E"/>
    <w:rsid w:val="00E63DDC"/>
    <w:rsid w:val="00E63E80"/>
    <w:rsid w:val="00E640F3"/>
    <w:rsid w:val="00E64255"/>
    <w:rsid w:val="00E643ED"/>
    <w:rsid w:val="00E64588"/>
    <w:rsid w:val="00E64FC2"/>
    <w:rsid w:val="00E651A8"/>
    <w:rsid w:val="00E655C5"/>
    <w:rsid w:val="00E6578B"/>
    <w:rsid w:val="00E65D30"/>
    <w:rsid w:val="00E65DB0"/>
    <w:rsid w:val="00E65EB4"/>
    <w:rsid w:val="00E66299"/>
    <w:rsid w:val="00E66673"/>
    <w:rsid w:val="00E67280"/>
    <w:rsid w:val="00E67570"/>
    <w:rsid w:val="00E678C9"/>
    <w:rsid w:val="00E67B35"/>
    <w:rsid w:val="00E70030"/>
    <w:rsid w:val="00E70484"/>
    <w:rsid w:val="00E7091E"/>
    <w:rsid w:val="00E710F5"/>
    <w:rsid w:val="00E71131"/>
    <w:rsid w:val="00E714FD"/>
    <w:rsid w:val="00E717F8"/>
    <w:rsid w:val="00E718E0"/>
    <w:rsid w:val="00E71F35"/>
    <w:rsid w:val="00E7236A"/>
    <w:rsid w:val="00E72584"/>
    <w:rsid w:val="00E728C4"/>
    <w:rsid w:val="00E730A9"/>
    <w:rsid w:val="00E73832"/>
    <w:rsid w:val="00E7398E"/>
    <w:rsid w:val="00E73DEA"/>
    <w:rsid w:val="00E73F52"/>
    <w:rsid w:val="00E74526"/>
    <w:rsid w:val="00E75283"/>
    <w:rsid w:val="00E752C9"/>
    <w:rsid w:val="00E7531A"/>
    <w:rsid w:val="00E7557C"/>
    <w:rsid w:val="00E75909"/>
    <w:rsid w:val="00E759BE"/>
    <w:rsid w:val="00E75E82"/>
    <w:rsid w:val="00E75FEB"/>
    <w:rsid w:val="00E76184"/>
    <w:rsid w:val="00E76553"/>
    <w:rsid w:val="00E76615"/>
    <w:rsid w:val="00E77A8B"/>
    <w:rsid w:val="00E8039D"/>
    <w:rsid w:val="00E804C6"/>
    <w:rsid w:val="00E8061F"/>
    <w:rsid w:val="00E8149C"/>
    <w:rsid w:val="00E8161D"/>
    <w:rsid w:val="00E8227B"/>
    <w:rsid w:val="00E827B5"/>
    <w:rsid w:val="00E8348B"/>
    <w:rsid w:val="00E834C3"/>
    <w:rsid w:val="00E83B39"/>
    <w:rsid w:val="00E83B61"/>
    <w:rsid w:val="00E83EB7"/>
    <w:rsid w:val="00E8408B"/>
    <w:rsid w:val="00E84152"/>
    <w:rsid w:val="00E84FE1"/>
    <w:rsid w:val="00E8504A"/>
    <w:rsid w:val="00E850F6"/>
    <w:rsid w:val="00E857BF"/>
    <w:rsid w:val="00E85BF2"/>
    <w:rsid w:val="00E85EC3"/>
    <w:rsid w:val="00E862D7"/>
    <w:rsid w:val="00E86370"/>
    <w:rsid w:val="00E863A9"/>
    <w:rsid w:val="00E86E9C"/>
    <w:rsid w:val="00E86F81"/>
    <w:rsid w:val="00E87356"/>
    <w:rsid w:val="00E8751A"/>
    <w:rsid w:val="00E875E6"/>
    <w:rsid w:val="00E87794"/>
    <w:rsid w:val="00E8782F"/>
    <w:rsid w:val="00E87FAE"/>
    <w:rsid w:val="00E90115"/>
    <w:rsid w:val="00E90234"/>
    <w:rsid w:val="00E90537"/>
    <w:rsid w:val="00E90730"/>
    <w:rsid w:val="00E90840"/>
    <w:rsid w:val="00E90950"/>
    <w:rsid w:val="00E91945"/>
    <w:rsid w:val="00E91D83"/>
    <w:rsid w:val="00E921E7"/>
    <w:rsid w:val="00E9260B"/>
    <w:rsid w:val="00E928A7"/>
    <w:rsid w:val="00E92D40"/>
    <w:rsid w:val="00E92FB4"/>
    <w:rsid w:val="00E9353C"/>
    <w:rsid w:val="00E936F5"/>
    <w:rsid w:val="00E939A0"/>
    <w:rsid w:val="00E93D8F"/>
    <w:rsid w:val="00E93DCC"/>
    <w:rsid w:val="00E93FA0"/>
    <w:rsid w:val="00E9418D"/>
    <w:rsid w:val="00E94469"/>
    <w:rsid w:val="00E94582"/>
    <w:rsid w:val="00E946C3"/>
    <w:rsid w:val="00E94B00"/>
    <w:rsid w:val="00E94F4E"/>
    <w:rsid w:val="00E956A1"/>
    <w:rsid w:val="00E95A5F"/>
    <w:rsid w:val="00E95DD2"/>
    <w:rsid w:val="00E96569"/>
    <w:rsid w:val="00E966F5"/>
    <w:rsid w:val="00E96ACF"/>
    <w:rsid w:val="00E9722C"/>
    <w:rsid w:val="00E97D54"/>
    <w:rsid w:val="00EA038B"/>
    <w:rsid w:val="00EA0A6D"/>
    <w:rsid w:val="00EA0EB1"/>
    <w:rsid w:val="00EA148C"/>
    <w:rsid w:val="00EA17A5"/>
    <w:rsid w:val="00EA19C4"/>
    <w:rsid w:val="00EA1F23"/>
    <w:rsid w:val="00EA24BE"/>
    <w:rsid w:val="00EA2611"/>
    <w:rsid w:val="00EA285A"/>
    <w:rsid w:val="00EA29FD"/>
    <w:rsid w:val="00EA2A08"/>
    <w:rsid w:val="00EA2F02"/>
    <w:rsid w:val="00EA3113"/>
    <w:rsid w:val="00EA33E0"/>
    <w:rsid w:val="00EA363B"/>
    <w:rsid w:val="00EA3960"/>
    <w:rsid w:val="00EA3A5A"/>
    <w:rsid w:val="00EA41BE"/>
    <w:rsid w:val="00EA4226"/>
    <w:rsid w:val="00EA4236"/>
    <w:rsid w:val="00EA4ADC"/>
    <w:rsid w:val="00EA4B61"/>
    <w:rsid w:val="00EA4B84"/>
    <w:rsid w:val="00EA4FA9"/>
    <w:rsid w:val="00EA501B"/>
    <w:rsid w:val="00EA5228"/>
    <w:rsid w:val="00EA52C7"/>
    <w:rsid w:val="00EA5882"/>
    <w:rsid w:val="00EA5953"/>
    <w:rsid w:val="00EA68D8"/>
    <w:rsid w:val="00EA6A98"/>
    <w:rsid w:val="00EB0334"/>
    <w:rsid w:val="00EB0D6A"/>
    <w:rsid w:val="00EB11A6"/>
    <w:rsid w:val="00EB1443"/>
    <w:rsid w:val="00EB17F1"/>
    <w:rsid w:val="00EB1ACE"/>
    <w:rsid w:val="00EB1B3E"/>
    <w:rsid w:val="00EB20F5"/>
    <w:rsid w:val="00EB24C5"/>
    <w:rsid w:val="00EB2710"/>
    <w:rsid w:val="00EB2BA9"/>
    <w:rsid w:val="00EB2C46"/>
    <w:rsid w:val="00EB3DC9"/>
    <w:rsid w:val="00EB448B"/>
    <w:rsid w:val="00EB4510"/>
    <w:rsid w:val="00EB5972"/>
    <w:rsid w:val="00EB5D4C"/>
    <w:rsid w:val="00EB7265"/>
    <w:rsid w:val="00EB736A"/>
    <w:rsid w:val="00EC0C4A"/>
    <w:rsid w:val="00EC0E87"/>
    <w:rsid w:val="00EC187C"/>
    <w:rsid w:val="00EC1F2F"/>
    <w:rsid w:val="00EC226E"/>
    <w:rsid w:val="00EC26FC"/>
    <w:rsid w:val="00EC294E"/>
    <w:rsid w:val="00EC3479"/>
    <w:rsid w:val="00EC36AC"/>
    <w:rsid w:val="00EC37E2"/>
    <w:rsid w:val="00EC382A"/>
    <w:rsid w:val="00EC39A6"/>
    <w:rsid w:val="00EC3A0F"/>
    <w:rsid w:val="00EC4168"/>
    <w:rsid w:val="00EC4212"/>
    <w:rsid w:val="00EC43C5"/>
    <w:rsid w:val="00EC45F7"/>
    <w:rsid w:val="00EC4986"/>
    <w:rsid w:val="00EC4DEB"/>
    <w:rsid w:val="00EC4F17"/>
    <w:rsid w:val="00EC504A"/>
    <w:rsid w:val="00EC5083"/>
    <w:rsid w:val="00EC60DD"/>
    <w:rsid w:val="00EC6397"/>
    <w:rsid w:val="00EC6AEA"/>
    <w:rsid w:val="00EC70C7"/>
    <w:rsid w:val="00EC729E"/>
    <w:rsid w:val="00EC72E4"/>
    <w:rsid w:val="00EC75B4"/>
    <w:rsid w:val="00ED0160"/>
    <w:rsid w:val="00ED03AF"/>
    <w:rsid w:val="00ED03BB"/>
    <w:rsid w:val="00ED05B8"/>
    <w:rsid w:val="00ED06D7"/>
    <w:rsid w:val="00ED08EF"/>
    <w:rsid w:val="00ED0E1D"/>
    <w:rsid w:val="00ED13A5"/>
    <w:rsid w:val="00ED13AC"/>
    <w:rsid w:val="00ED13FC"/>
    <w:rsid w:val="00ED1571"/>
    <w:rsid w:val="00ED164D"/>
    <w:rsid w:val="00ED1A31"/>
    <w:rsid w:val="00ED1C06"/>
    <w:rsid w:val="00ED1D82"/>
    <w:rsid w:val="00ED1D86"/>
    <w:rsid w:val="00ED1DF3"/>
    <w:rsid w:val="00ED2925"/>
    <w:rsid w:val="00ED2BFA"/>
    <w:rsid w:val="00ED2FDA"/>
    <w:rsid w:val="00ED31C7"/>
    <w:rsid w:val="00ED3470"/>
    <w:rsid w:val="00ED3AD9"/>
    <w:rsid w:val="00ED3C21"/>
    <w:rsid w:val="00ED3D80"/>
    <w:rsid w:val="00ED3EDA"/>
    <w:rsid w:val="00ED4051"/>
    <w:rsid w:val="00ED433B"/>
    <w:rsid w:val="00ED4F33"/>
    <w:rsid w:val="00ED5008"/>
    <w:rsid w:val="00ED552B"/>
    <w:rsid w:val="00ED5723"/>
    <w:rsid w:val="00ED5C2C"/>
    <w:rsid w:val="00ED5D67"/>
    <w:rsid w:val="00ED5FB4"/>
    <w:rsid w:val="00ED68FD"/>
    <w:rsid w:val="00ED6957"/>
    <w:rsid w:val="00ED69E3"/>
    <w:rsid w:val="00ED6BEF"/>
    <w:rsid w:val="00ED6D3F"/>
    <w:rsid w:val="00ED7518"/>
    <w:rsid w:val="00ED776E"/>
    <w:rsid w:val="00ED77A2"/>
    <w:rsid w:val="00EE02C7"/>
    <w:rsid w:val="00EE051F"/>
    <w:rsid w:val="00EE0C88"/>
    <w:rsid w:val="00EE0CAA"/>
    <w:rsid w:val="00EE1096"/>
    <w:rsid w:val="00EE14D8"/>
    <w:rsid w:val="00EE16D3"/>
    <w:rsid w:val="00EE1CF2"/>
    <w:rsid w:val="00EE20F3"/>
    <w:rsid w:val="00EE2533"/>
    <w:rsid w:val="00EE2B7E"/>
    <w:rsid w:val="00EE2C4F"/>
    <w:rsid w:val="00EE368E"/>
    <w:rsid w:val="00EE38A0"/>
    <w:rsid w:val="00EE391B"/>
    <w:rsid w:val="00EE3AB2"/>
    <w:rsid w:val="00EE3ADB"/>
    <w:rsid w:val="00EE4344"/>
    <w:rsid w:val="00EE457B"/>
    <w:rsid w:val="00EE491E"/>
    <w:rsid w:val="00EE4B81"/>
    <w:rsid w:val="00EE4EFD"/>
    <w:rsid w:val="00EE4F79"/>
    <w:rsid w:val="00EE509E"/>
    <w:rsid w:val="00EE5194"/>
    <w:rsid w:val="00EE5424"/>
    <w:rsid w:val="00EE5652"/>
    <w:rsid w:val="00EE5A01"/>
    <w:rsid w:val="00EE5FBB"/>
    <w:rsid w:val="00EE6122"/>
    <w:rsid w:val="00EE63FD"/>
    <w:rsid w:val="00EE6461"/>
    <w:rsid w:val="00EE651A"/>
    <w:rsid w:val="00EE66BA"/>
    <w:rsid w:val="00EE6CCA"/>
    <w:rsid w:val="00EE6DC1"/>
    <w:rsid w:val="00EE703A"/>
    <w:rsid w:val="00EE7F14"/>
    <w:rsid w:val="00EF0138"/>
    <w:rsid w:val="00EF0198"/>
    <w:rsid w:val="00EF0E69"/>
    <w:rsid w:val="00EF149D"/>
    <w:rsid w:val="00EF15AD"/>
    <w:rsid w:val="00EF17A5"/>
    <w:rsid w:val="00EF1B22"/>
    <w:rsid w:val="00EF1F43"/>
    <w:rsid w:val="00EF34A8"/>
    <w:rsid w:val="00EF35AA"/>
    <w:rsid w:val="00EF39AB"/>
    <w:rsid w:val="00EF3D8B"/>
    <w:rsid w:val="00EF3DBE"/>
    <w:rsid w:val="00EF3E6E"/>
    <w:rsid w:val="00EF425B"/>
    <w:rsid w:val="00EF43C5"/>
    <w:rsid w:val="00EF4751"/>
    <w:rsid w:val="00EF47F3"/>
    <w:rsid w:val="00EF4C02"/>
    <w:rsid w:val="00EF4CD0"/>
    <w:rsid w:val="00EF50EF"/>
    <w:rsid w:val="00EF5281"/>
    <w:rsid w:val="00EF5640"/>
    <w:rsid w:val="00EF5BD3"/>
    <w:rsid w:val="00EF631D"/>
    <w:rsid w:val="00EF6B09"/>
    <w:rsid w:val="00EF6B94"/>
    <w:rsid w:val="00EF6D5A"/>
    <w:rsid w:val="00EF7318"/>
    <w:rsid w:val="00EF7344"/>
    <w:rsid w:val="00EF7472"/>
    <w:rsid w:val="00EF7792"/>
    <w:rsid w:val="00EF7D3F"/>
    <w:rsid w:val="00EF7F59"/>
    <w:rsid w:val="00F0011A"/>
    <w:rsid w:val="00F0028F"/>
    <w:rsid w:val="00F006C6"/>
    <w:rsid w:val="00F00732"/>
    <w:rsid w:val="00F00A7F"/>
    <w:rsid w:val="00F00B55"/>
    <w:rsid w:val="00F00C50"/>
    <w:rsid w:val="00F00D63"/>
    <w:rsid w:val="00F0138F"/>
    <w:rsid w:val="00F017AA"/>
    <w:rsid w:val="00F0181F"/>
    <w:rsid w:val="00F0183B"/>
    <w:rsid w:val="00F019AD"/>
    <w:rsid w:val="00F019E6"/>
    <w:rsid w:val="00F01D8C"/>
    <w:rsid w:val="00F01E81"/>
    <w:rsid w:val="00F020AB"/>
    <w:rsid w:val="00F027C1"/>
    <w:rsid w:val="00F02C1A"/>
    <w:rsid w:val="00F02D08"/>
    <w:rsid w:val="00F03153"/>
    <w:rsid w:val="00F0358D"/>
    <w:rsid w:val="00F03793"/>
    <w:rsid w:val="00F03CC3"/>
    <w:rsid w:val="00F03DC2"/>
    <w:rsid w:val="00F042D3"/>
    <w:rsid w:val="00F0440E"/>
    <w:rsid w:val="00F04777"/>
    <w:rsid w:val="00F04AC0"/>
    <w:rsid w:val="00F04BDF"/>
    <w:rsid w:val="00F050CE"/>
    <w:rsid w:val="00F0537B"/>
    <w:rsid w:val="00F0537E"/>
    <w:rsid w:val="00F064D2"/>
    <w:rsid w:val="00F06557"/>
    <w:rsid w:val="00F06733"/>
    <w:rsid w:val="00F06BDE"/>
    <w:rsid w:val="00F06E54"/>
    <w:rsid w:val="00F0748C"/>
    <w:rsid w:val="00F075C0"/>
    <w:rsid w:val="00F07B71"/>
    <w:rsid w:val="00F07D2B"/>
    <w:rsid w:val="00F07E24"/>
    <w:rsid w:val="00F07E68"/>
    <w:rsid w:val="00F100BC"/>
    <w:rsid w:val="00F10421"/>
    <w:rsid w:val="00F105AD"/>
    <w:rsid w:val="00F106A9"/>
    <w:rsid w:val="00F10920"/>
    <w:rsid w:val="00F10E82"/>
    <w:rsid w:val="00F10F16"/>
    <w:rsid w:val="00F112C3"/>
    <w:rsid w:val="00F11F08"/>
    <w:rsid w:val="00F12140"/>
    <w:rsid w:val="00F12230"/>
    <w:rsid w:val="00F125A4"/>
    <w:rsid w:val="00F12724"/>
    <w:rsid w:val="00F1276E"/>
    <w:rsid w:val="00F127C6"/>
    <w:rsid w:val="00F130A4"/>
    <w:rsid w:val="00F133CD"/>
    <w:rsid w:val="00F13892"/>
    <w:rsid w:val="00F1391E"/>
    <w:rsid w:val="00F13974"/>
    <w:rsid w:val="00F13A73"/>
    <w:rsid w:val="00F13C2B"/>
    <w:rsid w:val="00F13C84"/>
    <w:rsid w:val="00F1409C"/>
    <w:rsid w:val="00F14D29"/>
    <w:rsid w:val="00F1524D"/>
    <w:rsid w:val="00F1588C"/>
    <w:rsid w:val="00F15D91"/>
    <w:rsid w:val="00F15DBF"/>
    <w:rsid w:val="00F15FE0"/>
    <w:rsid w:val="00F160F3"/>
    <w:rsid w:val="00F16231"/>
    <w:rsid w:val="00F163C4"/>
    <w:rsid w:val="00F16740"/>
    <w:rsid w:val="00F16CBC"/>
    <w:rsid w:val="00F17792"/>
    <w:rsid w:val="00F17A93"/>
    <w:rsid w:val="00F17CD8"/>
    <w:rsid w:val="00F17D5C"/>
    <w:rsid w:val="00F17D87"/>
    <w:rsid w:val="00F17F85"/>
    <w:rsid w:val="00F202D1"/>
    <w:rsid w:val="00F20760"/>
    <w:rsid w:val="00F2082B"/>
    <w:rsid w:val="00F20860"/>
    <w:rsid w:val="00F20C1B"/>
    <w:rsid w:val="00F21177"/>
    <w:rsid w:val="00F212BB"/>
    <w:rsid w:val="00F21484"/>
    <w:rsid w:val="00F21667"/>
    <w:rsid w:val="00F216BA"/>
    <w:rsid w:val="00F21757"/>
    <w:rsid w:val="00F21CFE"/>
    <w:rsid w:val="00F21D7B"/>
    <w:rsid w:val="00F2220C"/>
    <w:rsid w:val="00F227B1"/>
    <w:rsid w:val="00F235BA"/>
    <w:rsid w:val="00F2376B"/>
    <w:rsid w:val="00F23D20"/>
    <w:rsid w:val="00F24105"/>
    <w:rsid w:val="00F247A1"/>
    <w:rsid w:val="00F24A0B"/>
    <w:rsid w:val="00F24C92"/>
    <w:rsid w:val="00F24E6A"/>
    <w:rsid w:val="00F2537A"/>
    <w:rsid w:val="00F25AAA"/>
    <w:rsid w:val="00F25C04"/>
    <w:rsid w:val="00F25EFD"/>
    <w:rsid w:val="00F261F1"/>
    <w:rsid w:val="00F26482"/>
    <w:rsid w:val="00F26DE6"/>
    <w:rsid w:val="00F27068"/>
    <w:rsid w:val="00F271CC"/>
    <w:rsid w:val="00F27562"/>
    <w:rsid w:val="00F276CB"/>
    <w:rsid w:val="00F27936"/>
    <w:rsid w:val="00F27F36"/>
    <w:rsid w:val="00F30437"/>
    <w:rsid w:val="00F30966"/>
    <w:rsid w:val="00F31596"/>
    <w:rsid w:val="00F316E4"/>
    <w:rsid w:val="00F31D39"/>
    <w:rsid w:val="00F31F35"/>
    <w:rsid w:val="00F320B2"/>
    <w:rsid w:val="00F3214C"/>
    <w:rsid w:val="00F3287D"/>
    <w:rsid w:val="00F3295C"/>
    <w:rsid w:val="00F32A10"/>
    <w:rsid w:val="00F32C88"/>
    <w:rsid w:val="00F32ED0"/>
    <w:rsid w:val="00F3349F"/>
    <w:rsid w:val="00F336CC"/>
    <w:rsid w:val="00F3388E"/>
    <w:rsid w:val="00F3448A"/>
    <w:rsid w:val="00F346AC"/>
    <w:rsid w:val="00F3489D"/>
    <w:rsid w:val="00F34DCB"/>
    <w:rsid w:val="00F350B2"/>
    <w:rsid w:val="00F3517E"/>
    <w:rsid w:val="00F356E9"/>
    <w:rsid w:val="00F35810"/>
    <w:rsid w:val="00F3656B"/>
    <w:rsid w:val="00F365AE"/>
    <w:rsid w:val="00F367C4"/>
    <w:rsid w:val="00F36A64"/>
    <w:rsid w:val="00F36AC1"/>
    <w:rsid w:val="00F36CC0"/>
    <w:rsid w:val="00F36CF8"/>
    <w:rsid w:val="00F370AF"/>
    <w:rsid w:val="00F372CE"/>
    <w:rsid w:val="00F37490"/>
    <w:rsid w:val="00F3764A"/>
    <w:rsid w:val="00F377CB"/>
    <w:rsid w:val="00F404F0"/>
    <w:rsid w:val="00F4086D"/>
    <w:rsid w:val="00F40A82"/>
    <w:rsid w:val="00F40EEA"/>
    <w:rsid w:val="00F40F57"/>
    <w:rsid w:val="00F410D0"/>
    <w:rsid w:val="00F4191C"/>
    <w:rsid w:val="00F41F98"/>
    <w:rsid w:val="00F42111"/>
    <w:rsid w:val="00F4278D"/>
    <w:rsid w:val="00F4293C"/>
    <w:rsid w:val="00F437B5"/>
    <w:rsid w:val="00F43902"/>
    <w:rsid w:val="00F43908"/>
    <w:rsid w:val="00F43A2F"/>
    <w:rsid w:val="00F43A74"/>
    <w:rsid w:val="00F44032"/>
    <w:rsid w:val="00F44CCB"/>
    <w:rsid w:val="00F452CC"/>
    <w:rsid w:val="00F45493"/>
    <w:rsid w:val="00F455B6"/>
    <w:rsid w:val="00F45B67"/>
    <w:rsid w:val="00F45E63"/>
    <w:rsid w:val="00F461C3"/>
    <w:rsid w:val="00F4727F"/>
    <w:rsid w:val="00F47C1E"/>
    <w:rsid w:val="00F47CB8"/>
    <w:rsid w:val="00F47DFF"/>
    <w:rsid w:val="00F47EA4"/>
    <w:rsid w:val="00F50042"/>
    <w:rsid w:val="00F50461"/>
    <w:rsid w:val="00F5087A"/>
    <w:rsid w:val="00F50D0C"/>
    <w:rsid w:val="00F50F0B"/>
    <w:rsid w:val="00F51372"/>
    <w:rsid w:val="00F51ABB"/>
    <w:rsid w:val="00F51B41"/>
    <w:rsid w:val="00F51B91"/>
    <w:rsid w:val="00F51D8E"/>
    <w:rsid w:val="00F5263D"/>
    <w:rsid w:val="00F528EA"/>
    <w:rsid w:val="00F52A53"/>
    <w:rsid w:val="00F5300D"/>
    <w:rsid w:val="00F53188"/>
    <w:rsid w:val="00F533BE"/>
    <w:rsid w:val="00F53424"/>
    <w:rsid w:val="00F53523"/>
    <w:rsid w:val="00F5352D"/>
    <w:rsid w:val="00F539BF"/>
    <w:rsid w:val="00F53CD4"/>
    <w:rsid w:val="00F53D8C"/>
    <w:rsid w:val="00F53E65"/>
    <w:rsid w:val="00F53FED"/>
    <w:rsid w:val="00F545D5"/>
    <w:rsid w:val="00F5477F"/>
    <w:rsid w:val="00F54C7E"/>
    <w:rsid w:val="00F556DB"/>
    <w:rsid w:val="00F55E0B"/>
    <w:rsid w:val="00F560FD"/>
    <w:rsid w:val="00F5645B"/>
    <w:rsid w:val="00F56702"/>
    <w:rsid w:val="00F5672A"/>
    <w:rsid w:val="00F568A1"/>
    <w:rsid w:val="00F56BF1"/>
    <w:rsid w:val="00F57323"/>
    <w:rsid w:val="00F57787"/>
    <w:rsid w:val="00F57796"/>
    <w:rsid w:val="00F57CAA"/>
    <w:rsid w:val="00F608C6"/>
    <w:rsid w:val="00F60EA8"/>
    <w:rsid w:val="00F60FF0"/>
    <w:rsid w:val="00F613A1"/>
    <w:rsid w:val="00F616C1"/>
    <w:rsid w:val="00F618AC"/>
    <w:rsid w:val="00F622A1"/>
    <w:rsid w:val="00F622DF"/>
    <w:rsid w:val="00F62432"/>
    <w:rsid w:val="00F6275A"/>
    <w:rsid w:val="00F6299C"/>
    <w:rsid w:val="00F62A9B"/>
    <w:rsid w:val="00F62C3F"/>
    <w:rsid w:val="00F62CED"/>
    <w:rsid w:val="00F6324B"/>
    <w:rsid w:val="00F63BC6"/>
    <w:rsid w:val="00F63FE9"/>
    <w:rsid w:val="00F64138"/>
    <w:rsid w:val="00F64DDC"/>
    <w:rsid w:val="00F65244"/>
    <w:rsid w:val="00F65597"/>
    <w:rsid w:val="00F657AC"/>
    <w:rsid w:val="00F65A6F"/>
    <w:rsid w:val="00F65BAF"/>
    <w:rsid w:val="00F66497"/>
    <w:rsid w:val="00F665CB"/>
    <w:rsid w:val="00F6695C"/>
    <w:rsid w:val="00F66979"/>
    <w:rsid w:val="00F66A85"/>
    <w:rsid w:val="00F66B64"/>
    <w:rsid w:val="00F66EEC"/>
    <w:rsid w:val="00F66F21"/>
    <w:rsid w:val="00F671B7"/>
    <w:rsid w:val="00F67419"/>
    <w:rsid w:val="00F67997"/>
    <w:rsid w:val="00F70261"/>
    <w:rsid w:val="00F702E5"/>
    <w:rsid w:val="00F70AB5"/>
    <w:rsid w:val="00F7117C"/>
    <w:rsid w:val="00F713A8"/>
    <w:rsid w:val="00F71487"/>
    <w:rsid w:val="00F72007"/>
    <w:rsid w:val="00F72021"/>
    <w:rsid w:val="00F72534"/>
    <w:rsid w:val="00F72CF3"/>
    <w:rsid w:val="00F72E18"/>
    <w:rsid w:val="00F73538"/>
    <w:rsid w:val="00F737EB"/>
    <w:rsid w:val="00F73E3D"/>
    <w:rsid w:val="00F73EFB"/>
    <w:rsid w:val="00F7404D"/>
    <w:rsid w:val="00F740D2"/>
    <w:rsid w:val="00F7425C"/>
    <w:rsid w:val="00F74577"/>
    <w:rsid w:val="00F74F73"/>
    <w:rsid w:val="00F75052"/>
    <w:rsid w:val="00F754BD"/>
    <w:rsid w:val="00F7554C"/>
    <w:rsid w:val="00F76319"/>
    <w:rsid w:val="00F7684E"/>
    <w:rsid w:val="00F76F69"/>
    <w:rsid w:val="00F773C8"/>
    <w:rsid w:val="00F774B1"/>
    <w:rsid w:val="00F779C8"/>
    <w:rsid w:val="00F77A8A"/>
    <w:rsid w:val="00F77DCC"/>
    <w:rsid w:val="00F80CF2"/>
    <w:rsid w:val="00F80D7F"/>
    <w:rsid w:val="00F810DD"/>
    <w:rsid w:val="00F813EB"/>
    <w:rsid w:val="00F8153A"/>
    <w:rsid w:val="00F81556"/>
    <w:rsid w:val="00F81EB2"/>
    <w:rsid w:val="00F81F90"/>
    <w:rsid w:val="00F82E49"/>
    <w:rsid w:val="00F82F8C"/>
    <w:rsid w:val="00F832F1"/>
    <w:rsid w:val="00F8358D"/>
    <w:rsid w:val="00F83B6B"/>
    <w:rsid w:val="00F83C8D"/>
    <w:rsid w:val="00F84576"/>
    <w:rsid w:val="00F84FA4"/>
    <w:rsid w:val="00F8520D"/>
    <w:rsid w:val="00F855A8"/>
    <w:rsid w:val="00F85977"/>
    <w:rsid w:val="00F85D97"/>
    <w:rsid w:val="00F85E78"/>
    <w:rsid w:val="00F86316"/>
    <w:rsid w:val="00F8684A"/>
    <w:rsid w:val="00F868AF"/>
    <w:rsid w:val="00F86C23"/>
    <w:rsid w:val="00F87022"/>
    <w:rsid w:val="00F87343"/>
    <w:rsid w:val="00F87383"/>
    <w:rsid w:val="00F873DC"/>
    <w:rsid w:val="00F87872"/>
    <w:rsid w:val="00F901AB"/>
    <w:rsid w:val="00F90790"/>
    <w:rsid w:val="00F9090E"/>
    <w:rsid w:val="00F90BF5"/>
    <w:rsid w:val="00F90F19"/>
    <w:rsid w:val="00F917A8"/>
    <w:rsid w:val="00F91B00"/>
    <w:rsid w:val="00F91E45"/>
    <w:rsid w:val="00F92084"/>
    <w:rsid w:val="00F9256F"/>
    <w:rsid w:val="00F92646"/>
    <w:rsid w:val="00F927E1"/>
    <w:rsid w:val="00F92E6B"/>
    <w:rsid w:val="00F93B15"/>
    <w:rsid w:val="00F9477C"/>
    <w:rsid w:val="00F9493E"/>
    <w:rsid w:val="00F949E7"/>
    <w:rsid w:val="00F94F23"/>
    <w:rsid w:val="00F95131"/>
    <w:rsid w:val="00F9527D"/>
    <w:rsid w:val="00F95428"/>
    <w:rsid w:val="00F954B0"/>
    <w:rsid w:val="00F95753"/>
    <w:rsid w:val="00F95905"/>
    <w:rsid w:val="00F95CC7"/>
    <w:rsid w:val="00F961D3"/>
    <w:rsid w:val="00F962E8"/>
    <w:rsid w:val="00F96559"/>
    <w:rsid w:val="00F968C8"/>
    <w:rsid w:val="00F96959"/>
    <w:rsid w:val="00F970D8"/>
    <w:rsid w:val="00F971DB"/>
    <w:rsid w:val="00F971E0"/>
    <w:rsid w:val="00F9723E"/>
    <w:rsid w:val="00F9788F"/>
    <w:rsid w:val="00F97DD3"/>
    <w:rsid w:val="00F97DEF"/>
    <w:rsid w:val="00F97E23"/>
    <w:rsid w:val="00F97F79"/>
    <w:rsid w:val="00FA0870"/>
    <w:rsid w:val="00FA0B13"/>
    <w:rsid w:val="00FA1C42"/>
    <w:rsid w:val="00FA1C68"/>
    <w:rsid w:val="00FA1CE9"/>
    <w:rsid w:val="00FA1E79"/>
    <w:rsid w:val="00FA223B"/>
    <w:rsid w:val="00FA24CE"/>
    <w:rsid w:val="00FA2556"/>
    <w:rsid w:val="00FA2625"/>
    <w:rsid w:val="00FA288C"/>
    <w:rsid w:val="00FA2A08"/>
    <w:rsid w:val="00FA2EC7"/>
    <w:rsid w:val="00FA303C"/>
    <w:rsid w:val="00FA3445"/>
    <w:rsid w:val="00FA36BA"/>
    <w:rsid w:val="00FA3D20"/>
    <w:rsid w:val="00FA3FB6"/>
    <w:rsid w:val="00FA4048"/>
    <w:rsid w:val="00FA5011"/>
    <w:rsid w:val="00FA545F"/>
    <w:rsid w:val="00FA56A2"/>
    <w:rsid w:val="00FA57B9"/>
    <w:rsid w:val="00FA587B"/>
    <w:rsid w:val="00FA5A5D"/>
    <w:rsid w:val="00FA5B5A"/>
    <w:rsid w:val="00FA5F69"/>
    <w:rsid w:val="00FA66BD"/>
    <w:rsid w:val="00FA66F1"/>
    <w:rsid w:val="00FA6EC9"/>
    <w:rsid w:val="00FA6EE8"/>
    <w:rsid w:val="00FA6FA5"/>
    <w:rsid w:val="00FA727B"/>
    <w:rsid w:val="00FA753A"/>
    <w:rsid w:val="00FA7C43"/>
    <w:rsid w:val="00FB040D"/>
    <w:rsid w:val="00FB0549"/>
    <w:rsid w:val="00FB05AE"/>
    <w:rsid w:val="00FB08F3"/>
    <w:rsid w:val="00FB095D"/>
    <w:rsid w:val="00FB0D60"/>
    <w:rsid w:val="00FB1191"/>
    <w:rsid w:val="00FB127E"/>
    <w:rsid w:val="00FB18CA"/>
    <w:rsid w:val="00FB1A9B"/>
    <w:rsid w:val="00FB1D17"/>
    <w:rsid w:val="00FB20DC"/>
    <w:rsid w:val="00FB20F4"/>
    <w:rsid w:val="00FB23C7"/>
    <w:rsid w:val="00FB2E10"/>
    <w:rsid w:val="00FB31B3"/>
    <w:rsid w:val="00FB336A"/>
    <w:rsid w:val="00FB3520"/>
    <w:rsid w:val="00FB3DAE"/>
    <w:rsid w:val="00FB3DB2"/>
    <w:rsid w:val="00FB4187"/>
    <w:rsid w:val="00FB4240"/>
    <w:rsid w:val="00FB4554"/>
    <w:rsid w:val="00FB48F3"/>
    <w:rsid w:val="00FB4A17"/>
    <w:rsid w:val="00FB4B10"/>
    <w:rsid w:val="00FB4C64"/>
    <w:rsid w:val="00FB4D57"/>
    <w:rsid w:val="00FB4DC5"/>
    <w:rsid w:val="00FB4E50"/>
    <w:rsid w:val="00FB5003"/>
    <w:rsid w:val="00FB53C9"/>
    <w:rsid w:val="00FB5841"/>
    <w:rsid w:val="00FB6952"/>
    <w:rsid w:val="00FB699F"/>
    <w:rsid w:val="00FB6AD8"/>
    <w:rsid w:val="00FB70DB"/>
    <w:rsid w:val="00FB73E5"/>
    <w:rsid w:val="00FB7445"/>
    <w:rsid w:val="00FB7447"/>
    <w:rsid w:val="00FB75BC"/>
    <w:rsid w:val="00FB7AAF"/>
    <w:rsid w:val="00FB7EDC"/>
    <w:rsid w:val="00FC1205"/>
    <w:rsid w:val="00FC1928"/>
    <w:rsid w:val="00FC192D"/>
    <w:rsid w:val="00FC1C91"/>
    <w:rsid w:val="00FC2817"/>
    <w:rsid w:val="00FC2EE7"/>
    <w:rsid w:val="00FC3574"/>
    <w:rsid w:val="00FC3787"/>
    <w:rsid w:val="00FC3ADF"/>
    <w:rsid w:val="00FC3D85"/>
    <w:rsid w:val="00FC3E97"/>
    <w:rsid w:val="00FC3F76"/>
    <w:rsid w:val="00FC3FBF"/>
    <w:rsid w:val="00FC412F"/>
    <w:rsid w:val="00FC41D2"/>
    <w:rsid w:val="00FC4D3E"/>
    <w:rsid w:val="00FC4DDA"/>
    <w:rsid w:val="00FC534C"/>
    <w:rsid w:val="00FC5C11"/>
    <w:rsid w:val="00FC603D"/>
    <w:rsid w:val="00FC6E28"/>
    <w:rsid w:val="00FC7178"/>
    <w:rsid w:val="00FC7867"/>
    <w:rsid w:val="00FC7E2A"/>
    <w:rsid w:val="00FC7F88"/>
    <w:rsid w:val="00FD0148"/>
    <w:rsid w:val="00FD0168"/>
    <w:rsid w:val="00FD0598"/>
    <w:rsid w:val="00FD062D"/>
    <w:rsid w:val="00FD0A3A"/>
    <w:rsid w:val="00FD0B27"/>
    <w:rsid w:val="00FD11E5"/>
    <w:rsid w:val="00FD14B4"/>
    <w:rsid w:val="00FD15F4"/>
    <w:rsid w:val="00FD1E8D"/>
    <w:rsid w:val="00FD249A"/>
    <w:rsid w:val="00FD2CC7"/>
    <w:rsid w:val="00FD324B"/>
    <w:rsid w:val="00FD3455"/>
    <w:rsid w:val="00FD3858"/>
    <w:rsid w:val="00FD3A95"/>
    <w:rsid w:val="00FD3DDB"/>
    <w:rsid w:val="00FD4223"/>
    <w:rsid w:val="00FD44FB"/>
    <w:rsid w:val="00FD451E"/>
    <w:rsid w:val="00FD478D"/>
    <w:rsid w:val="00FD47A4"/>
    <w:rsid w:val="00FD5088"/>
    <w:rsid w:val="00FD50B8"/>
    <w:rsid w:val="00FD568E"/>
    <w:rsid w:val="00FD5B49"/>
    <w:rsid w:val="00FD674D"/>
    <w:rsid w:val="00FD6AD6"/>
    <w:rsid w:val="00FD6D41"/>
    <w:rsid w:val="00FD6E92"/>
    <w:rsid w:val="00FD7189"/>
    <w:rsid w:val="00FD72EE"/>
    <w:rsid w:val="00FD76C4"/>
    <w:rsid w:val="00FD7C79"/>
    <w:rsid w:val="00FD7CAF"/>
    <w:rsid w:val="00FE0C8A"/>
    <w:rsid w:val="00FE17F0"/>
    <w:rsid w:val="00FE22D4"/>
    <w:rsid w:val="00FE22E6"/>
    <w:rsid w:val="00FE2BAB"/>
    <w:rsid w:val="00FE2C5B"/>
    <w:rsid w:val="00FE2DFE"/>
    <w:rsid w:val="00FE3128"/>
    <w:rsid w:val="00FE3C33"/>
    <w:rsid w:val="00FE3E93"/>
    <w:rsid w:val="00FE42DF"/>
    <w:rsid w:val="00FE490F"/>
    <w:rsid w:val="00FE494F"/>
    <w:rsid w:val="00FE5761"/>
    <w:rsid w:val="00FE5EA8"/>
    <w:rsid w:val="00FE60A8"/>
    <w:rsid w:val="00FE6103"/>
    <w:rsid w:val="00FE618D"/>
    <w:rsid w:val="00FE648A"/>
    <w:rsid w:val="00FE64F0"/>
    <w:rsid w:val="00FE6757"/>
    <w:rsid w:val="00FE698D"/>
    <w:rsid w:val="00FE737F"/>
    <w:rsid w:val="00FF068E"/>
    <w:rsid w:val="00FF081F"/>
    <w:rsid w:val="00FF0BE2"/>
    <w:rsid w:val="00FF0C0B"/>
    <w:rsid w:val="00FF0F68"/>
    <w:rsid w:val="00FF131E"/>
    <w:rsid w:val="00FF14B2"/>
    <w:rsid w:val="00FF15EF"/>
    <w:rsid w:val="00FF1634"/>
    <w:rsid w:val="00FF1985"/>
    <w:rsid w:val="00FF1E67"/>
    <w:rsid w:val="00FF1F63"/>
    <w:rsid w:val="00FF276D"/>
    <w:rsid w:val="00FF27DC"/>
    <w:rsid w:val="00FF27E5"/>
    <w:rsid w:val="00FF2EFB"/>
    <w:rsid w:val="00FF3250"/>
    <w:rsid w:val="00FF3328"/>
    <w:rsid w:val="00FF3426"/>
    <w:rsid w:val="00FF34C4"/>
    <w:rsid w:val="00FF3AA9"/>
    <w:rsid w:val="00FF3F99"/>
    <w:rsid w:val="00FF4665"/>
    <w:rsid w:val="00FF474C"/>
    <w:rsid w:val="00FF49F4"/>
    <w:rsid w:val="00FF4C3A"/>
    <w:rsid w:val="00FF4E9A"/>
    <w:rsid w:val="00FF5232"/>
    <w:rsid w:val="00FF550D"/>
    <w:rsid w:val="00FF573E"/>
    <w:rsid w:val="00FF5A26"/>
    <w:rsid w:val="00FF5AD7"/>
    <w:rsid w:val="00FF652A"/>
    <w:rsid w:val="00FF659D"/>
    <w:rsid w:val="00FF66F1"/>
    <w:rsid w:val="00FF6ABB"/>
    <w:rsid w:val="00FF6B04"/>
    <w:rsid w:val="00FF6E1E"/>
    <w:rsid w:val="00FF7440"/>
    <w:rsid w:val="00FF7979"/>
    <w:rsid w:val="00FF79EA"/>
    <w:rsid w:val="00FF7AD8"/>
    <w:rsid w:val="00FF7C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B2A0361"/>
  <w15:docId w15:val="{EB4709B3-6F69-4249-A072-1C8C5886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uiPriority="9" w:qFormat="1"/>
    <w:lsdException w:name="heading 6" w:uiPriority="0"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519"/>
    <w:pPr>
      <w:spacing w:line="360" w:lineRule="auto"/>
      <w:jc w:val="both"/>
    </w:pPr>
    <w:rPr>
      <w:rFonts w:ascii="Arial" w:hAnsi="Arial" w:cs="Times New Roman"/>
      <w:sz w:val="24"/>
      <w:szCs w:val="24"/>
      <w:lang w:val="es-ES" w:eastAsia="es-ES"/>
    </w:rPr>
  </w:style>
  <w:style w:type="paragraph" w:styleId="Ttulo1">
    <w:name w:val="heading 1"/>
    <w:basedOn w:val="Normal"/>
    <w:next w:val="Normal"/>
    <w:link w:val="Ttulo1Car"/>
    <w:uiPriority w:val="9"/>
    <w:qFormat/>
    <w:rsid w:val="00C85395"/>
    <w:pPr>
      <w:keepNext/>
      <w:spacing w:before="240" w:after="60"/>
      <w:outlineLvl w:val="0"/>
    </w:pPr>
    <w:rPr>
      <w:rFonts w:ascii="Cambria" w:hAnsi="Cambria"/>
      <w:b/>
      <w:kern w:val="32"/>
      <w:sz w:val="32"/>
      <w:szCs w:val="20"/>
    </w:rPr>
  </w:style>
  <w:style w:type="paragraph" w:styleId="Ttulo3">
    <w:name w:val="heading 3"/>
    <w:basedOn w:val="Normal"/>
    <w:next w:val="Normal"/>
    <w:link w:val="Ttulo3Car"/>
    <w:uiPriority w:val="9"/>
    <w:qFormat/>
    <w:rsid w:val="00C85395"/>
    <w:pPr>
      <w:keepNext/>
      <w:spacing w:before="240" w:after="60"/>
      <w:outlineLvl w:val="2"/>
    </w:pPr>
    <w:rPr>
      <w:b/>
      <w:sz w:val="26"/>
      <w:szCs w:val="20"/>
    </w:rPr>
  </w:style>
  <w:style w:type="paragraph" w:styleId="Ttulo5">
    <w:name w:val="heading 5"/>
    <w:basedOn w:val="Normal"/>
    <w:next w:val="Normal"/>
    <w:link w:val="Ttulo5Car"/>
    <w:uiPriority w:val="9"/>
    <w:qFormat/>
    <w:rsid w:val="00C85395"/>
    <w:pPr>
      <w:keepNext/>
      <w:jc w:val="center"/>
      <w:outlineLvl w:val="4"/>
    </w:pPr>
    <w:rPr>
      <w:b/>
      <w:sz w:val="20"/>
      <w:szCs w:val="20"/>
    </w:rPr>
  </w:style>
  <w:style w:type="paragraph" w:styleId="Ttulo6">
    <w:name w:val="heading 6"/>
    <w:basedOn w:val="Normal"/>
    <w:next w:val="Normal"/>
    <w:link w:val="Ttulo6Car"/>
    <w:uiPriority w:val="9"/>
    <w:qFormat/>
    <w:rsid w:val="00C85395"/>
    <w:pPr>
      <w:spacing w:before="240" w:after="60"/>
      <w:outlineLvl w:val="5"/>
    </w:pPr>
    <w:rPr>
      <w:rFonts w:ascii="Calibri" w:hAnsi="Calibri"/>
      <w:b/>
      <w:sz w:val="20"/>
      <w:szCs w:val="20"/>
    </w:rPr>
  </w:style>
  <w:style w:type="paragraph" w:styleId="Ttulo7">
    <w:name w:val="heading 7"/>
    <w:basedOn w:val="Normal"/>
    <w:next w:val="Normal"/>
    <w:link w:val="Ttulo7Car"/>
    <w:uiPriority w:val="9"/>
    <w:qFormat/>
    <w:rsid w:val="00C85395"/>
    <w:pPr>
      <w:spacing w:before="240" w:after="60"/>
      <w:outlineLvl w:val="6"/>
    </w:pPr>
    <w:rPr>
      <w:szCs w:val="20"/>
    </w:rPr>
  </w:style>
  <w:style w:type="paragraph" w:styleId="Ttulo9">
    <w:name w:val="heading 9"/>
    <w:basedOn w:val="Normal"/>
    <w:next w:val="Normal"/>
    <w:link w:val="Ttulo9Car"/>
    <w:uiPriority w:val="9"/>
    <w:qFormat/>
    <w:rsid w:val="00C85395"/>
    <w:pPr>
      <w:spacing w:before="240" w:after="60"/>
      <w:outlineLvl w:val="8"/>
    </w:pPr>
    <w:rPr>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C85395"/>
    <w:rPr>
      <w:rFonts w:ascii="Cambria" w:hAnsi="Cambria"/>
      <w:b/>
      <w:kern w:val="32"/>
      <w:sz w:val="32"/>
      <w:lang w:eastAsia="es-ES"/>
    </w:rPr>
  </w:style>
  <w:style w:type="character" w:customStyle="1" w:styleId="Ttulo3Car">
    <w:name w:val="Título 3 Car"/>
    <w:link w:val="Ttulo3"/>
    <w:uiPriority w:val="9"/>
    <w:locked/>
    <w:rsid w:val="00C85395"/>
    <w:rPr>
      <w:rFonts w:ascii="Arial" w:hAnsi="Arial"/>
      <w:b/>
      <w:sz w:val="26"/>
      <w:lang w:eastAsia="es-ES"/>
    </w:rPr>
  </w:style>
  <w:style w:type="character" w:customStyle="1" w:styleId="Ttulo5Car">
    <w:name w:val="Título 5 Car"/>
    <w:link w:val="Ttulo5"/>
    <w:uiPriority w:val="9"/>
    <w:locked/>
    <w:rsid w:val="00C85395"/>
    <w:rPr>
      <w:rFonts w:ascii="Arial" w:hAnsi="Arial"/>
      <w:b/>
      <w:lang w:eastAsia="es-ES"/>
    </w:rPr>
  </w:style>
  <w:style w:type="character" w:customStyle="1" w:styleId="Ttulo6Car">
    <w:name w:val="Título 6 Car"/>
    <w:link w:val="Ttulo6"/>
    <w:uiPriority w:val="9"/>
    <w:locked/>
    <w:rsid w:val="00C85395"/>
    <w:rPr>
      <w:rFonts w:ascii="Calibri" w:hAnsi="Calibri"/>
      <w:b/>
      <w:lang w:eastAsia="es-ES"/>
    </w:rPr>
  </w:style>
  <w:style w:type="character" w:customStyle="1" w:styleId="Ttulo7Car">
    <w:name w:val="Título 7 Car"/>
    <w:link w:val="Ttulo7"/>
    <w:uiPriority w:val="9"/>
    <w:locked/>
    <w:rsid w:val="00C85395"/>
    <w:rPr>
      <w:rFonts w:ascii="Arial" w:hAnsi="Arial"/>
      <w:sz w:val="24"/>
      <w:lang w:eastAsia="es-ES"/>
    </w:rPr>
  </w:style>
  <w:style w:type="character" w:customStyle="1" w:styleId="Ttulo9Car">
    <w:name w:val="Título 9 Car"/>
    <w:link w:val="Ttulo9"/>
    <w:uiPriority w:val="9"/>
    <w:locked/>
    <w:rsid w:val="00C85395"/>
    <w:rPr>
      <w:rFonts w:ascii="Arial" w:hAnsi="Arial"/>
      <w:lang w:eastAsia="es-ES"/>
    </w:rPr>
  </w:style>
  <w:style w:type="paragraph" w:styleId="Textoindependiente2">
    <w:name w:val="Body Text 2"/>
    <w:basedOn w:val="Normal"/>
    <w:link w:val="Textoindependiente2Car"/>
    <w:uiPriority w:val="99"/>
    <w:semiHidden/>
    <w:rsid w:val="00C85395"/>
    <w:pPr>
      <w:spacing w:after="120"/>
      <w:ind w:left="283"/>
    </w:pPr>
    <w:rPr>
      <w:szCs w:val="20"/>
    </w:rPr>
  </w:style>
  <w:style w:type="character" w:customStyle="1" w:styleId="Textoindependiente2Car">
    <w:name w:val="Texto independiente 2 Car"/>
    <w:link w:val="Textoindependiente2"/>
    <w:uiPriority w:val="99"/>
    <w:semiHidden/>
    <w:locked/>
    <w:rsid w:val="00C85395"/>
    <w:rPr>
      <w:rFonts w:ascii="Arial" w:hAnsi="Arial"/>
      <w:sz w:val="24"/>
      <w:lang w:eastAsia="es-ES"/>
    </w:rPr>
  </w:style>
  <w:style w:type="paragraph" w:customStyle="1" w:styleId="Textoindependiente21">
    <w:name w:val="Texto independiente 21"/>
    <w:basedOn w:val="Normal"/>
    <w:rsid w:val="00C85395"/>
    <w:pPr>
      <w:tabs>
        <w:tab w:val="left" w:pos="3969"/>
      </w:tabs>
      <w:overflowPunct w:val="0"/>
      <w:autoSpaceDE w:val="0"/>
      <w:autoSpaceDN w:val="0"/>
      <w:adjustRightInd w:val="0"/>
      <w:textAlignment w:val="baseline"/>
    </w:pPr>
    <w:rPr>
      <w:rFonts w:cs="Arial"/>
      <w:i/>
      <w:iCs/>
      <w:sz w:val="26"/>
      <w:szCs w:val="26"/>
      <w:lang w:val="es-ES_tradnl"/>
    </w:rPr>
  </w:style>
  <w:style w:type="character" w:styleId="Refdenotaalpie">
    <w:name w:val="footnote reference"/>
    <w:aliases w:val="Ref. de nota al pie 2,Pie de Página,FC,Texto de nota al pie,referencia nota al pie,Nota de pie,Texto nota al pie,Appel note de bas de page,Footnotes refss,Footnote number,BVI fnr,f,4_G,16 Point,Superscript 6 Point,Texto de nota al pi"/>
    <w:uiPriority w:val="99"/>
    <w:rsid w:val="00C85395"/>
    <w:rPr>
      <w:vertAlign w:val="superscript"/>
    </w:rPr>
  </w:style>
  <w:style w:type="paragraph" w:styleId="Textoindependiente">
    <w:name w:val="Body Text"/>
    <w:aliases w:val="Texto independiente Car Car Car"/>
    <w:basedOn w:val="Normal"/>
    <w:link w:val="TextoindependienteCar"/>
    <w:rsid w:val="00C85395"/>
    <w:pPr>
      <w:autoSpaceDE w:val="0"/>
      <w:autoSpaceDN w:val="0"/>
      <w:adjustRightInd w:val="0"/>
    </w:pPr>
    <w:rPr>
      <w:szCs w:val="20"/>
      <w:lang w:val="es-ES_tradnl"/>
    </w:rPr>
  </w:style>
  <w:style w:type="paragraph" w:styleId="NormalWeb">
    <w:name w:val="Normal (Web)"/>
    <w:basedOn w:val="Normal"/>
    <w:uiPriority w:val="99"/>
    <w:rsid w:val="00C85395"/>
    <w:pPr>
      <w:spacing w:before="100" w:beforeAutospacing="1" w:after="100" w:afterAutospacing="1"/>
    </w:pPr>
  </w:style>
  <w:style w:type="paragraph" w:styleId="Textoindependiente3">
    <w:name w:val="Body Text 3"/>
    <w:basedOn w:val="Normal"/>
    <w:link w:val="Textoindependiente3Car"/>
    <w:uiPriority w:val="99"/>
    <w:rsid w:val="00F0748C"/>
    <w:pPr>
      <w:overflowPunct w:val="0"/>
      <w:autoSpaceDE w:val="0"/>
      <w:autoSpaceDN w:val="0"/>
      <w:adjustRightInd w:val="0"/>
      <w:textAlignment w:val="baseline"/>
    </w:pPr>
    <w:rPr>
      <w:sz w:val="20"/>
      <w:szCs w:val="20"/>
    </w:rPr>
  </w:style>
  <w:style w:type="character" w:customStyle="1" w:styleId="Textoindependiente3Car">
    <w:name w:val="Texto independiente 3 Car"/>
    <w:link w:val="Textoindependiente3"/>
    <w:uiPriority w:val="99"/>
    <w:locked/>
    <w:rsid w:val="00C85395"/>
    <w:rPr>
      <w:rFonts w:ascii="Arial" w:hAnsi="Arial"/>
      <w:lang w:eastAsia="es-ES"/>
    </w:rPr>
  </w:style>
  <w:style w:type="character" w:customStyle="1" w:styleId="TextonotapieCar">
    <w:name w:val="Texto nota pie Car"/>
    <w:aliases w:val="Footnote Text Char Char Char Char Char Car,Footnote Text Char Char Char Char Car,Ref. de nota al pie1 Car,FA Fu Car,Footnote Text Cha Car,Footnote Text Char Char Char Car,FA Fußnotentext Car,FA Fuﬂnotentext Car,texto de nota al p Car"/>
    <w:link w:val="Textonotapie"/>
    <w:uiPriority w:val="99"/>
    <w:locked/>
    <w:rsid w:val="00C85395"/>
    <w:rPr>
      <w:rFonts w:ascii="Arial" w:hAnsi="Arial"/>
      <w:sz w:val="20"/>
      <w:lang w:eastAsia="es-ES"/>
    </w:rPr>
  </w:style>
  <w:style w:type="paragraph" w:styleId="Textonotapie">
    <w:name w:val="footnote text"/>
    <w:aliases w:val="Footnote Text Char Char Char Char Char,Footnote Text Char Char Char Char,Ref. de nota al pie1,FA Fu,Footnote Text Cha,Footnote Text Char Char Char,FA Fußnotentext,FA Fuﬂnotentext,Footnote Text Char Char,texto de nota al p,Footnote referen"/>
    <w:basedOn w:val="Normal"/>
    <w:link w:val="TextonotapieCar"/>
    <w:uiPriority w:val="99"/>
    <w:qFormat/>
    <w:rsid w:val="00C85395"/>
    <w:rPr>
      <w:sz w:val="20"/>
      <w:szCs w:val="20"/>
    </w:rPr>
  </w:style>
  <w:style w:type="character" w:customStyle="1" w:styleId="TextonotapieCar1">
    <w:name w:val="Texto nota pie Car1"/>
    <w:aliases w:val="Footnote Text Char Char Char Char Char Car1,Footnote Text Char Char Char Char Car1,Ref. de nota al pie1 Car1,FA Fu Car1,Footnote Text Cha Car1,Footnote Text Char Char Char Car1,FA Fußnotentext Car1,FA Fuﬂnotentext Car1"/>
    <w:uiPriority w:val="99"/>
    <w:rsid w:val="00D7442C"/>
    <w:rPr>
      <w:rFonts w:ascii="Arial" w:hAnsi="Arial" w:cs="Times New Roman"/>
      <w:lang w:val="es-ES" w:eastAsia="es-ES"/>
    </w:rPr>
  </w:style>
  <w:style w:type="character" w:customStyle="1" w:styleId="TextonotapieCar12">
    <w:name w:val="Texto nota pie Car12"/>
    <w:aliases w:val="Footnote Text Char Char Char Char Char Car12,Footnote Text Char Char Char Char Car12,Ref. de nota al pie1 Car11,FA Fu Car12,Footnote Text Cha Car12,Footnote Text Char Char Char Car12,FA Fußnotentext Car12,FA Fuﬂnotentext Car11"/>
    <w:uiPriority w:val="99"/>
    <w:semiHidden/>
    <w:rsid w:val="00D7442C"/>
    <w:rPr>
      <w:rFonts w:ascii="Arial" w:hAnsi="Arial"/>
    </w:rPr>
  </w:style>
  <w:style w:type="paragraph" w:styleId="Encabezado">
    <w:name w:val="header"/>
    <w:basedOn w:val="Normal"/>
    <w:link w:val="EncabezadoCar"/>
    <w:uiPriority w:val="99"/>
    <w:rsid w:val="00C85395"/>
    <w:pPr>
      <w:tabs>
        <w:tab w:val="center" w:pos="4419"/>
        <w:tab w:val="right" w:pos="8838"/>
      </w:tabs>
      <w:overflowPunct w:val="0"/>
      <w:autoSpaceDE w:val="0"/>
      <w:autoSpaceDN w:val="0"/>
      <w:adjustRightInd w:val="0"/>
      <w:textAlignment w:val="baseline"/>
    </w:pPr>
    <w:rPr>
      <w:szCs w:val="20"/>
      <w:lang w:val="es-ES_tradnl"/>
    </w:rPr>
  </w:style>
  <w:style w:type="character" w:customStyle="1" w:styleId="EncabezadoCar">
    <w:name w:val="Encabezado Car"/>
    <w:link w:val="Encabezado"/>
    <w:uiPriority w:val="99"/>
    <w:locked/>
    <w:rsid w:val="00C85395"/>
    <w:rPr>
      <w:rFonts w:ascii="Arial" w:hAnsi="Arial"/>
      <w:sz w:val="24"/>
      <w:lang w:val="es-ES_tradnl" w:eastAsia="es-ES"/>
    </w:rPr>
  </w:style>
  <w:style w:type="character" w:customStyle="1" w:styleId="TextoindependienteCar">
    <w:name w:val="Texto independiente Car"/>
    <w:aliases w:val="Texto independiente Car Car Car Car2"/>
    <w:link w:val="Textoindependiente"/>
    <w:locked/>
    <w:rsid w:val="00C85395"/>
    <w:rPr>
      <w:rFonts w:ascii="Arial" w:hAnsi="Arial"/>
      <w:sz w:val="24"/>
      <w:lang w:val="es-ES_tradnl" w:eastAsia="es-ES"/>
    </w:rPr>
  </w:style>
  <w:style w:type="paragraph" w:styleId="Piedepgina">
    <w:name w:val="footer"/>
    <w:basedOn w:val="Normal"/>
    <w:link w:val="PiedepginaCar"/>
    <w:rsid w:val="00C85395"/>
    <w:pPr>
      <w:tabs>
        <w:tab w:val="center" w:pos="4252"/>
        <w:tab w:val="right" w:pos="8504"/>
      </w:tabs>
    </w:pPr>
    <w:rPr>
      <w:szCs w:val="20"/>
    </w:rPr>
  </w:style>
  <w:style w:type="character" w:customStyle="1" w:styleId="PiedepginaCar">
    <w:name w:val="Pie de página Car"/>
    <w:link w:val="Piedepgina"/>
    <w:locked/>
    <w:rsid w:val="00C85395"/>
    <w:rPr>
      <w:rFonts w:ascii="Arial" w:hAnsi="Arial"/>
      <w:sz w:val="24"/>
      <w:lang w:eastAsia="es-ES"/>
    </w:rPr>
  </w:style>
  <w:style w:type="character" w:styleId="Nmerodepgina">
    <w:name w:val="page number"/>
    <w:rsid w:val="00C85395"/>
  </w:style>
  <w:style w:type="paragraph" w:styleId="Textodebloque">
    <w:name w:val="Block Text"/>
    <w:basedOn w:val="Normal"/>
    <w:rsid w:val="00C85395"/>
    <w:pPr>
      <w:tabs>
        <w:tab w:val="left" w:pos="288"/>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s>
      <w:ind w:left="1083" w:right="567"/>
    </w:pPr>
    <w:rPr>
      <w:rFonts w:ascii="Century Gothic" w:hAnsi="Century Gothic" w:cs="Century Gothic"/>
      <w:sz w:val="22"/>
      <w:szCs w:val="22"/>
    </w:rPr>
  </w:style>
  <w:style w:type="paragraph" w:customStyle="1" w:styleId="Estilo">
    <w:name w:val="Estilo"/>
    <w:rsid w:val="00C85395"/>
    <w:pPr>
      <w:widowControl w:val="0"/>
      <w:autoSpaceDE w:val="0"/>
      <w:autoSpaceDN w:val="0"/>
      <w:adjustRightInd w:val="0"/>
      <w:spacing w:line="360" w:lineRule="auto"/>
      <w:jc w:val="both"/>
    </w:pPr>
    <w:rPr>
      <w:rFonts w:ascii="Arial" w:hAnsi="Arial" w:cs="Arial"/>
      <w:sz w:val="24"/>
      <w:szCs w:val="24"/>
      <w:lang w:val="es-ES" w:eastAsia="es-ES"/>
    </w:rPr>
  </w:style>
  <w:style w:type="paragraph" w:customStyle="1" w:styleId="Textoindependiente22">
    <w:name w:val="Texto independiente 22"/>
    <w:basedOn w:val="Normal"/>
    <w:rsid w:val="00C85395"/>
    <w:pPr>
      <w:overflowPunct w:val="0"/>
      <w:autoSpaceDE w:val="0"/>
      <w:autoSpaceDN w:val="0"/>
      <w:adjustRightInd w:val="0"/>
      <w:ind w:firstLine="1418"/>
      <w:textAlignment w:val="baseline"/>
    </w:pPr>
    <w:rPr>
      <w:szCs w:val="20"/>
    </w:rPr>
  </w:style>
  <w:style w:type="paragraph" w:customStyle="1" w:styleId="CUERPO">
    <w:name w:val="CUERPO"/>
    <w:rsid w:val="00C85395"/>
    <w:pPr>
      <w:spacing w:before="144" w:after="144" w:line="360" w:lineRule="auto"/>
      <w:ind w:firstLine="360"/>
      <w:jc w:val="both"/>
    </w:pPr>
    <w:rPr>
      <w:rFonts w:ascii="Arial" w:hAnsi="Arial" w:cs="Times New Roman"/>
    </w:rPr>
  </w:style>
  <w:style w:type="paragraph" w:customStyle="1" w:styleId="Textodebloque1">
    <w:name w:val="Texto de bloque1"/>
    <w:basedOn w:val="Normal"/>
    <w:qFormat/>
    <w:rsid w:val="00C85395"/>
    <w:pPr>
      <w:overflowPunct w:val="0"/>
      <w:autoSpaceDE w:val="0"/>
      <w:autoSpaceDN w:val="0"/>
      <w:adjustRightInd w:val="0"/>
      <w:ind w:left="851" w:right="851" w:firstLine="567"/>
      <w:textAlignment w:val="baseline"/>
    </w:pPr>
    <w:rPr>
      <w:rFonts w:ascii="Century Gothic" w:hAnsi="Century Gothic" w:cs="Arial"/>
      <w:sz w:val="22"/>
    </w:rPr>
  </w:style>
  <w:style w:type="paragraph" w:customStyle="1" w:styleId="Sangra3detindependiente1">
    <w:name w:val="Sangría 3 de t. independiente1"/>
    <w:basedOn w:val="Normal"/>
    <w:rsid w:val="00C85395"/>
    <w:pPr>
      <w:overflowPunct w:val="0"/>
      <w:autoSpaceDE w:val="0"/>
      <w:autoSpaceDN w:val="0"/>
      <w:adjustRightInd w:val="0"/>
      <w:ind w:firstLine="540"/>
      <w:textAlignment w:val="baseline"/>
    </w:pPr>
    <w:rPr>
      <w:b/>
      <w:szCs w:val="20"/>
    </w:rPr>
  </w:style>
  <w:style w:type="paragraph" w:customStyle="1" w:styleId="BodyText21">
    <w:name w:val="Body Text 21"/>
    <w:basedOn w:val="Normal"/>
    <w:rsid w:val="00C85395"/>
    <w:pPr>
      <w:overflowPunct w:val="0"/>
      <w:autoSpaceDE w:val="0"/>
      <w:autoSpaceDN w:val="0"/>
      <w:adjustRightInd w:val="0"/>
      <w:ind w:left="1418"/>
      <w:textAlignment w:val="baseline"/>
    </w:pPr>
    <w:rPr>
      <w:szCs w:val="20"/>
    </w:rPr>
  </w:style>
  <w:style w:type="paragraph" w:styleId="Sangra3detindependiente">
    <w:name w:val="Body Text Indent 3"/>
    <w:basedOn w:val="Normal"/>
    <w:link w:val="Sangra3detindependienteCar"/>
    <w:uiPriority w:val="99"/>
    <w:rsid w:val="00C85395"/>
    <w:pPr>
      <w:overflowPunct w:val="0"/>
      <w:autoSpaceDE w:val="0"/>
      <w:autoSpaceDN w:val="0"/>
      <w:adjustRightInd w:val="0"/>
      <w:spacing w:after="120"/>
      <w:ind w:left="283"/>
      <w:textAlignment w:val="baseline"/>
    </w:pPr>
    <w:rPr>
      <w:sz w:val="16"/>
      <w:szCs w:val="20"/>
    </w:rPr>
  </w:style>
  <w:style w:type="character" w:customStyle="1" w:styleId="Sangra3detindependienteCar">
    <w:name w:val="Sangría 3 de t. independiente Car"/>
    <w:link w:val="Sangra3detindependiente"/>
    <w:uiPriority w:val="99"/>
    <w:locked/>
    <w:rsid w:val="00C85395"/>
    <w:rPr>
      <w:rFonts w:ascii="Arial" w:hAnsi="Arial"/>
      <w:sz w:val="16"/>
      <w:lang w:eastAsia="es-ES"/>
    </w:rPr>
  </w:style>
  <w:style w:type="paragraph" w:customStyle="1" w:styleId="Textonormal">
    <w:name w:val="Texto normal"/>
    <w:basedOn w:val="Normal"/>
    <w:rsid w:val="00C85395"/>
    <w:pPr>
      <w:spacing w:line="360" w:lineRule="atLeast"/>
    </w:pPr>
    <w:rPr>
      <w:szCs w:val="20"/>
    </w:rPr>
  </w:style>
  <w:style w:type="paragraph" w:customStyle="1" w:styleId="tesis">
    <w:name w:val="tesis"/>
    <w:basedOn w:val="Cuerpotexto"/>
    <w:rsid w:val="00C85395"/>
    <w:pPr>
      <w:spacing w:before="0" w:after="170"/>
      <w:ind w:left="567" w:right="0" w:firstLine="0"/>
    </w:pPr>
    <w:rPr>
      <w:b/>
      <w:color w:val="auto"/>
    </w:rPr>
  </w:style>
  <w:style w:type="paragraph" w:customStyle="1" w:styleId="Cuerpotexto">
    <w:name w:val="Cuerpo texto"/>
    <w:rsid w:val="00C85395"/>
    <w:pPr>
      <w:overflowPunct w:val="0"/>
      <w:autoSpaceDE w:val="0"/>
      <w:autoSpaceDN w:val="0"/>
      <w:adjustRightInd w:val="0"/>
      <w:spacing w:before="1" w:after="171" w:line="360" w:lineRule="auto"/>
      <w:ind w:left="1" w:right="1" w:firstLine="397"/>
      <w:jc w:val="both"/>
      <w:textAlignment w:val="baseline"/>
    </w:pPr>
    <w:rPr>
      <w:rFonts w:ascii="Times New Roman" w:hAnsi="Times New Roman" w:cs="Times New Roman"/>
      <w:color w:val="000000"/>
      <w:sz w:val="22"/>
      <w:lang w:val="es-ES_tradnl" w:eastAsia="es-ES"/>
    </w:rPr>
  </w:style>
  <w:style w:type="character" w:customStyle="1" w:styleId="TextonotapieCarCarCar">
    <w:name w:val="Texto nota pie Car Car Car"/>
    <w:aliases w:val="Texto nota pie Car1 Car Car"/>
    <w:rsid w:val="00C85395"/>
    <w:rPr>
      <w:lang w:val="es-CO" w:eastAsia="es-ES"/>
    </w:rPr>
  </w:style>
  <w:style w:type="paragraph" w:styleId="Textonotaalfinal">
    <w:name w:val="endnote text"/>
    <w:basedOn w:val="Normal"/>
    <w:link w:val="TextonotaalfinalCar"/>
    <w:uiPriority w:val="99"/>
    <w:unhideWhenUsed/>
    <w:rsid w:val="00C85395"/>
    <w:rPr>
      <w:sz w:val="20"/>
      <w:szCs w:val="20"/>
    </w:rPr>
  </w:style>
  <w:style w:type="character" w:customStyle="1" w:styleId="TextonotaalfinalCar">
    <w:name w:val="Texto nota al final Car"/>
    <w:link w:val="Textonotaalfinal"/>
    <w:uiPriority w:val="99"/>
    <w:locked/>
    <w:rsid w:val="00C85395"/>
    <w:rPr>
      <w:rFonts w:ascii="Arial" w:hAnsi="Arial"/>
      <w:sz w:val="20"/>
      <w:lang w:eastAsia="es-ES"/>
    </w:rPr>
  </w:style>
  <w:style w:type="paragraph" w:customStyle="1" w:styleId="BodyText22">
    <w:name w:val="Body Text 22"/>
    <w:basedOn w:val="Normal"/>
    <w:rsid w:val="00C85395"/>
    <w:pPr>
      <w:autoSpaceDE w:val="0"/>
      <w:autoSpaceDN w:val="0"/>
      <w:adjustRightInd w:val="0"/>
      <w:ind w:firstLine="708"/>
    </w:pPr>
    <w:rPr>
      <w:rFonts w:ascii="Century Gothic" w:hAnsi="Century Gothic"/>
      <w:sz w:val="22"/>
      <w:szCs w:val="22"/>
    </w:rPr>
  </w:style>
  <w:style w:type="character" w:customStyle="1" w:styleId="TextoindependienteCarCarCarCar">
    <w:name w:val="Texto independiente Car Car Car Car"/>
    <w:aliases w:val="Texto independiente Car Car Car1"/>
    <w:rsid w:val="00C85395"/>
    <w:rPr>
      <w:rFonts w:ascii="Arial" w:hAnsi="Arial"/>
      <w:sz w:val="24"/>
      <w:lang w:val="es-ES_tradnl" w:eastAsia="es-ES"/>
    </w:rPr>
  </w:style>
  <w:style w:type="character" w:styleId="Hipervnculo">
    <w:name w:val="Hyperlink"/>
    <w:uiPriority w:val="99"/>
    <w:rsid w:val="00C85395"/>
    <w:rPr>
      <w:rFonts w:ascii="Arial" w:hAnsi="Arial"/>
      <w:color w:val="auto"/>
      <w:sz w:val="18"/>
      <w:u w:val="none"/>
      <w:effect w:val="none"/>
    </w:rPr>
  </w:style>
  <w:style w:type="character" w:customStyle="1" w:styleId="CarCar10">
    <w:name w:val="Car Car10"/>
    <w:rsid w:val="00C85395"/>
    <w:rPr>
      <w:rFonts w:ascii="Arial" w:hAnsi="Arial"/>
      <w:b/>
      <w:sz w:val="26"/>
      <w:lang w:eastAsia="es-ES"/>
    </w:rPr>
  </w:style>
  <w:style w:type="paragraph" w:customStyle="1" w:styleId="BodyText28">
    <w:name w:val="Body Text 28"/>
    <w:basedOn w:val="Normal"/>
    <w:rsid w:val="00C85395"/>
    <w:pPr>
      <w:widowControl w:val="0"/>
      <w:tabs>
        <w:tab w:val="left" w:pos="0"/>
        <w:tab w:val="left" w:pos="708"/>
        <w:tab w:val="left" w:pos="1416"/>
        <w:tab w:val="left" w:pos="2124"/>
        <w:tab w:val="left" w:pos="2832"/>
        <w:tab w:val="left" w:pos="3540"/>
        <w:tab w:val="left" w:pos="4956"/>
        <w:tab w:val="left" w:pos="5664"/>
        <w:tab w:val="left" w:pos="6372"/>
        <w:tab w:val="left" w:pos="7080"/>
        <w:tab w:val="left" w:pos="7788"/>
        <w:tab w:val="left" w:pos="8496"/>
      </w:tabs>
      <w:suppressAutoHyphens/>
      <w:overflowPunct w:val="0"/>
      <w:autoSpaceDE w:val="0"/>
      <w:autoSpaceDN w:val="0"/>
      <w:adjustRightInd w:val="0"/>
      <w:textAlignment w:val="baseline"/>
    </w:pPr>
    <w:rPr>
      <w:spacing w:val="-2"/>
      <w:sz w:val="22"/>
      <w:szCs w:val="20"/>
      <w:lang w:val="es-CO"/>
    </w:rPr>
  </w:style>
  <w:style w:type="character" w:customStyle="1" w:styleId="TextoindependienteCarCarCarCarCar">
    <w:name w:val="Texto independiente Car Car Car Car Car"/>
    <w:rsid w:val="00C85395"/>
    <w:rPr>
      <w:rFonts w:ascii="Arial" w:hAnsi="Arial"/>
      <w:sz w:val="24"/>
      <w:lang w:val="es-ES_tradnl" w:eastAsia="es-ES"/>
    </w:rPr>
  </w:style>
  <w:style w:type="character" w:customStyle="1" w:styleId="CarCar11">
    <w:name w:val="Car Car11"/>
    <w:rsid w:val="00C85395"/>
    <w:rPr>
      <w:rFonts w:ascii="Arial" w:hAnsi="Arial"/>
      <w:b/>
      <w:sz w:val="26"/>
      <w:lang w:val="es-ES" w:eastAsia="es-ES"/>
    </w:rPr>
  </w:style>
  <w:style w:type="paragraph" w:styleId="Sangradetextonormal">
    <w:name w:val="Body Text Indent"/>
    <w:basedOn w:val="Normal"/>
    <w:link w:val="SangradetextonormalCar"/>
    <w:uiPriority w:val="99"/>
    <w:rsid w:val="00C85395"/>
    <w:pPr>
      <w:spacing w:after="120"/>
      <w:ind w:left="283"/>
    </w:pPr>
    <w:rPr>
      <w:rFonts w:ascii="Times New Roman" w:hAnsi="Times New Roman"/>
      <w:szCs w:val="20"/>
    </w:rPr>
  </w:style>
  <w:style w:type="character" w:customStyle="1" w:styleId="SangradetextonormalCar">
    <w:name w:val="Sangría de texto normal Car"/>
    <w:link w:val="Sangradetextonormal"/>
    <w:uiPriority w:val="99"/>
    <w:locked/>
    <w:rsid w:val="00C85395"/>
    <w:rPr>
      <w:rFonts w:ascii="Times New Roman" w:hAnsi="Times New Roman"/>
      <w:sz w:val="24"/>
      <w:lang w:eastAsia="es-ES"/>
    </w:rPr>
  </w:style>
  <w:style w:type="paragraph" w:styleId="Sangra2detindependiente">
    <w:name w:val="Body Text Indent 2"/>
    <w:basedOn w:val="Normal"/>
    <w:link w:val="Sangra2detindependienteCar"/>
    <w:uiPriority w:val="99"/>
    <w:rsid w:val="00C85395"/>
    <w:pPr>
      <w:spacing w:after="120" w:line="480" w:lineRule="auto"/>
      <w:ind w:left="283"/>
    </w:pPr>
    <w:rPr>
      <w:rFonts w:ascii="Times New Roman" w:hAnsi="Times New Roman"/>
      <w:szCs w:val="20"/>
    </w:rPr>
  </w:style>
  <w:style w:type="character" w:customStyle="1" w:styleId="Sangra2detindependienteCar">
    <w:name w:val="Sangría 2 de t. independiente Car"/>
    <w:link w:val="Sangra2detindependiente"/>
    <w:uiPriority w:val="99"/>
    <w:locked/>
    <w:rsid w:val="00C85395"/>
    <w:rPr>
      <w:rFonts w:ascii="Times New Roman" w:hAnsi="Times New Roman"/>
      <w:sz w:val="24"/>
      <w:lang w:eastAsia="es-ES"/>
    </w:rPr>
  </w:style>
  <w:style w:type="paragraph" w:customStyle="1" w:styleId="Sangra3detindependiente11">
    <w:name w:val="Sangría 3 de t. independiente11"/>
    <w:basedOn w:val="Normal"/>
    <w:rsid w:val="00C85395"/>
    <w:pPr>
      <w:overflowPunct w:val="0"/>
      <w:autoSpaceDE w:val="0"/>
      <w:autoSpaceDN w:val="0"/>
      <w:adjustRightInd w:val="0"/>
      <w:ind w:firstLine="709"/>
      <w:textAlignment w:val="baseline"/>
    </w:pPr>
    <w:rPr>
      <w:szCs w:val="20"/>
    </w:rPr>
  </w:style>
  <w:style w:type="paragraph" w:customStyle="1" w:styleId="Sangra2detindependiente1">
    <w:name w:val="Sangría 2 de t. independiente1"/>
    <w:basedOn w:val="Normal"/>
    <w:rsid w:val="00C85395"/>
    <w:pPr>
      <w:overflowPunct w:val="0"/>
      <w:autoSpaceDE w:val="0"/>
      <w:autoSpaceDN w:val="0"/>
      <w:adjustRightInd w:val="0"/>
      <w:ind w:left="1418"/>
      <w:textAlignment w:val="baseline"/>
    </w:pPr>
    <w:rPr>
      <w:szCs w:val="20"/>
    </w:rPr>
  </w:style>
  <w:style w:type="paragraph" w:customStyle="1" w:styleId="03Cuerpo">
    <w:name w:val="03Cuerpo"/>
    <w:rsid w:val="00C85395"/>
    <w:pPr>
      <w:autoSpaceDE w:val="0"/>
      <w:autoSpaceDN w:val="0"/>
      <w:spacing w:line="240" w:lineRule="atLeast"/>
      <w:ind w:firstLine="454"/>
      <w:jc w:val="both"/>
    </w:pPr>
    <w:rPr>
      <w:rFonts w:ascii="Book Antiqua" w:hAnsi="Book Antiqua" w:cs="Book Antiqua"/>
      <w:sz w:val="22"/>
      <w:szCs w:val="22"/>
      <w:lang w:val="es-ES_tradnl" w:eastAsia="es-ES"/>
    </w:rPr>
  </w:style>
  <w:style w:type="paragraph" w:styleId="Sangranormal">
    <w:name w:val="Normal Indent"/>
    <w:basedOn w:val="Normal"/>
    <w:uiPriority w:val="99"/>
    <w:rsid w:val="00C85395"/>
    <w:pPr>
      <w:widowControl w:val="0"/>
      <w:adjustRightInd w:val="0"/>
      <w:spacing w:line="360" w:lineRule="atLeast"/>
      <w:ind w:left="708"/>
      <w:textAlignment w:val="baseline"/>
    </w:pPr>
    <w:rPr>
      <w:rFonts w:ascii="Times New Roman" w:hAnsi="Times New Roman"/>
    </w:rPr>
  </w:style>
  <w:style w:type="paragraph" w:styleId="Lista">
    <w:name w:val="List"/>
    <w:basedOn w:val="Normal"/>
    <w:uiPriority w:val="99"/>
    <w:rsid w:val="00C85395"/>
    <w:pPr>
      <w:widowControl w:val="0"/>
      <w:adjustRightInd w:val="0"/>
      <w:spacing w:line="360" w:lineRule="atLeast"/>
      <w:ind w:left="283" w:hanging="283"/>
      <w:textAlignment w:val="baseline"/>
    </w:pPr>
    <w:rPr>
      <w:rFonts w:ascii="Times New Roman" w:hAnsi="Times New Roman"/>
    </w:rPr>
  </w:style>
  <w:style w:type="paragraph" w:styleId="Continuarlista">
    <w:name w:val="List Continue"/>
    <w:basedOn w:val="Normal"/>
    <w:uiPriority w:val="99"/>
    <w:rsid w:val="00C85395"/>
    <w:pPr>
      <w:widowControl w:val="0"/>
      <w:adjustRightInd w:val="0"/>
      <w:spacing w:after="120" w:line="360" w:lineRule="atLeast"/>
      <w:ind w:left="283"/>
      <w:textAlignment w:val="baseline"/>
    </w:pPr>
    <w:rPr>
      <w:rFonts w:ascii="Times New Roman" w:hAnsi="Times New Roman"/>
    </w:rPr>
  </w:style>
  <w:style w:type="character" w:styleId="Hipervnculovisitado">
    <w:name w:val="FollowedHyperlink"/>
    <w:uiPriority w:val="99"/>
    <w:rsid w:val="00C85395"/>
    <w:rPr>
      <w:color w:val="800080"/>
      <w:u w:val="single"/>
    </w:rPr>
  </w:style>
  <w:style w:type="character" w:customStyle="1" w:styleId="CarCar13">
    <w:name w:val="Car Car13"/>
    <w:rsid w:val="00C85395"/>
    <w:rPr>
      <w:rFonts w:ascii="Arial" w:hAnsi="Arial"/>
      <w:sz w:val="24"/>
      <w:lang w:val="es-ES_tradnl" w:eastAsia="es-ES"/>
    </w:rPr>
  </w:style>
  <w:style w:type="paragraph" w:customStyle="1" w:styleId="07Resaltado">
    <w:name w:val="07Resaltado"/>
    <w:basedOn w:val="Normal"/>
    <w:rsid w:val="00C85395"/>
    <w:pPr>
      <w:overflowPunct w:val="0"/>
      <w:autoSpaceDE w:val="0"/>
      <w:autoSpaceDN w:val="0"/>
      <w:adjustRightInd w:val="0"/>
      <w:spacing w:line="240" w:lineRule="atLeast"/>
      <w:ind w:left="454" w:right="454"/>
      <w:textAlignment w:val="baseline"/>
    </w:pPr>
    <w:rPr>
      <w:rFonts w:ascii="Book Antiqua" w:hAnsi="Book Antiqua"/>
      <w:i/>
      <w:sz w:val="22"/>
      <w:szCs w:val="20"/>
      <w:lang w:val="es-ES_tradnl"/>
    </w:rPr>
  </w:style>
  <w:style w:type="paragraph" w:styleId="Prrafodelista">
    <w:name w:val="List Paragraph"/>
    <w:basedOn w:val="Normal"/>
    <w:uiPriority w:val="34"/>
    <w:qFormat/>
    <w:rsid w:val="00C85395"/>
    <w:pPr>
      <w:ind w:left="708"/>
    </w:pPr>
  </w:style>
  <w:style w:type="character" w:customStyle="1" w:styleId="TextoindependienteCarCarCarCar1">
    <w:name w:val="Texto independiente Car Car Car Car1"/>
    <w:aliases w:val="Texto independiente Car Car Car2"/>
    <w:rsid w:val="007D56CB"/>
    <w:rPr>
      <w:rFonts w:ascii="Arial" w:hAnsi="Arial"/>
      <w:sz w:val="24"/>
      <w:lang w:val="es-ES_tradnl" w:eastAsia="es-ES"/>
    </w:rPr>
  </w:style>
  <w:style w:type="paragraph" w:styleId="Textosinformato">
    <w:name w:val="Plain Text"/>
    <w:basedOn w:val="Normal"/>
    <w:link w:val="TextosinformatoCar"/>
    <w:uiPriority w:val="99"/>
    <w:rsid w:val="006E5912"/>
    <w:rPr>
      <w:rFonts w:ascii="Courier New" w:hAnsi="Courier New"/>
      <w:sz w:val="20"/>
      <w:szCs w:val="20"/>
    </w:rPr>
  </w:style>
  <w:style w:type="character" w:customStyle="1" w:styleId="TextosinformatoCar">
    <w:name w:val="Texto sin formato Car"/>
    <w:link w:val="Textosinformato"/>
    <w:uiPriority w:val="99"/>
    <w:semiHidden/>
    <w:locked/>
    <w:rsid w:val="00D7442C"/>
    <w:rPr>
      <w:rFonts w:ascii="Courier New" w:hAnsi="Courier New"/>
      <w:lang w:val="es-ES" w:eastAsia="es-ES"/>
    </w:rPr>
  </w:style>
  <w:style w:type="character" w:customStyle="1" w:styleId="TextonotapieCar11">
    <w:name w:val="Texto nota pie Car11"/>
    <w:aliases w:val="Texto nota pie Car Car,Footnote Text Char Char Char Char Char Car11,Footnote Text Char Char Char Char Car11,Footnote reference Car1,FA Fu Car11,Footnote Text Cha Car11,Footnote Text Char Char Char Car11,FA Fußnotentext Car11"/>
    <w:rsid w:val="00F21484"/>
    <w:rPr>
      <w:lang w:val="es-ES" w:eastAsia="es-ES"/>
    </w:rPr>
  </w:style>
  <w:style w:type="table" w:styleId="Tablaconcuadrcula">
    <w:name w:val="Table Grid"/>
    <w:basedOn w:val="Tablanormal"/>
    <w:uiPriority w:val="59"/>
    <w:rsid w:val="000D27B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EE14D8"/>
    <w:pPr>
      <w:spacing w:line="240" w:lineRule="auto"/>
    </w:pPr>
    <w:rPr>
      <w:rFonts w:ascii="Tahoma" w:hAnsi="Tahoma"/>
      <w:sz w:val="16"/>
      <w:szCs w:val="20"/>
    </w:rPr>
  </w:style>
  <w:style w:type="character" w:customStyle="1" w:styleId="TextodegloboCar">
    <w:name w:val="Texto de globo Car"/>
    <w:link w:val="Textodeglobo"/>
    <w:uiPriority w:val="99"/>
    <w:semiHidden/>
    <w:locked/>
    <w:rsid w:val="00EE14D8"/>
    <w:rPr>
      <w:rFonts w:ascii="Tahoma" w:hAnsi="Tahoma"/>
      <w:sz w:val="16"/>
      <w:lang w:val="es-ES" w:eastAsia="es-ES"/>
    </w:rPr>
  </w:style>
  <w:style w:type="paragraph" w:customStyle="1" w:styleId="Style11">
    <w:name w:val="Style11"/>
    <w:basedOn w:val="Normal"/>
    <w:rsid w:val="00D56298"/>
    <w:pPr>
      <w:widowControl w:val="0"/>
      <w:autoSpaceDE w:val="0"/>
      <w:autoSpaceDN w:val="0"/>
      <w:adjustRightInd w:val="0"/>
      <w:spacing w:line="230" w:lineRule="exact"/>
      <w:ind w:firstLine="264"/>
    </w:pPr>
  </w:style>
  <w:style w:type="character" w:customStyle="1" w:styleId="FontStyle92">
    <w:name w:val="Font Style92"/>
    <w:rsid w:val="00D56298"/>
    <w:rPr>
      <w:rFonts w:ascii="Times New Roman" w:hAnsi="Times New Roman"/>
      <w:sz w:val="18"/>
    </w:rPr>
  </w:style>
  <w:style w:type="paragraph" w:customStyle="1" w:styleId="Textodebloque2">
    <w:name w:val="Texto de bloque2"/>
    <w:basedOn w:val="Normal"/>
    <w:rsid w:val="00182253"/>
    <w:pPr>
      <w:overflowPunct w:val="0"/>
      <w:autoSpaceDE w:val="0"/>
      <w:autoSpaceDN w:val="0"/>
      <w:adjustRightInd w:val="0"/>
      <w:spacing w:line="240" w:lineRule="auto"/>
      <w:ind w:left="576" w:right="576"/>
      <w:textAlignment w:val="baseline"/>
    </w:pPr>
    <w:rPr>
      <w:i/>
      <w:sz w:val="20"/>
      <w:szCs w:val="20"/>
      <w:lang w:val="es-ES_tradnl"/>
    </w:rPr>
  </w:style>
  <w:style w:type="paragraph" w:customStyle="1" w:styleId="Sangra2detindependiente2">
    <w:name w:val="Sangría 2 de t. independiente2"/>
    <w:basedOn w:val="Normal"/>
    <w:rsid w:val="00CF76FD"/>
    <w:pPr>
      <w:overflowPunct w:val="0"/>
      <w:autoSpaceDE w:val="0"/>
      <w:autoSpaceDN w:val="0"/>
      <w:adjustRightInd w:val="0"/>
      <w:spacing w:line="240" w:lineRule="auto"/>
      <w:ind w:left="1418"/>
      <w:textAlignment w:val="baseline"/>
    </w:pPr>
    <w:rPr>
      <w:szCs w:val="20"/>
    </w:rPr>
  </w:style>
  <w:style w:type="character" w:customStyle="1" w:styleId="textonavy1">
    <w:name w:val="texto_navy1"/>
    <w:rsid w:val="004800C2"/>
    <w:rPr>
      <w:color w:val="000080"/>
    </w:rPr>
  </w:style>
  <w:style w:type="paragraph" w:customStyle="1" w:styleId="Enconsecueencia">
    <w:name w:val="En consecueencia"/>
    <w:basedOn w:val="Normal"/>
    <w:rsid w:val="001C6080"/>
    <w:pPr>
      <w:tabs>
        <w:tab w:val="left" w:pos="1276"/>
      </w:tabs>
      <w:spacing w:line="240" w:lineRule="auto"/>
    </w:pPr>
    <w:rPr>
      <w:sz w:val="22"/>
      <w:szCs w:val="20"/>
      <w:lang w:val="es-ES_tradnl"/>
    </w:rPr>
  </w:style>
  <w:style w:type="paragraph" w:customStyle="1" w:styleId="Ed">
    <w:name w:val="Ed"/>
    <w:basedOn w:val="Normal"/>
    <w:rsid w:val="00F00B55"/>
    <w:pPr>
      <w:overflowPunct w:val="0"/>
      <w:autoSpaceDE w:val="0"/>
      <w:autoSpaceDN w:val="0"/>
      <w:adjustRightInd w:val="0"/>
      <w:spacing w:line="480" w:lineRule="auto"/>
      <w:textAlignment w:val="baseline"/>
    </w:pPr>
    <w:rPr>
      <w:szCs w:val="20"/>
      <w:lang w:val="es-ES_tradnl" w:eastAsia="es-CO"/>
    </w:rPr>
  </w:style>
  <w:style w:type="character" w:styleId="Textoennegrita">
    <w:name w:val="Strong"/>
    <w:uiPriority w:val="22"/>
    <w:qFormat/>
    <w:rsid w:val="00915AC0"/>
    <w:rPr>
      <w:b/>
    </w:rPr>
  </w:style>
  <w:style w:type="character" w:customStyle="1" w:styleId="apple-converted-space">
    <w:name w:val="apple-converted-space"/>
    <w:rsid w:val="00CD1359"/>
  </w:style>
  <w:style w:type="paragraph" w:customStyle="1" w:styleId="Default">
    <w:name w:val="Default"/>
    <w:rsid w:val="00117B6F"/>
    <w:pPr>
      <w:autoSpaceDE w:val="0"/>
      <w:autoSpaceDN w:val="0"/>
      <w:adjustRightInd w:val="0"/>
    </w:pPr>
    <w:rPr>
      <w:rFonts w:ascii="NJICAK+Arial" w:hAnsi="NJICAK+Arial" w:cs="NJICAK+Arial"/>
      <w:color w:val="000000"/>
      <w:sz w:val="24"/>
      <w:szCs w:val="24"/>
      <w:lang w:val="es-CO" w:eastAsia="es-CO"/>
    </w:rPr>
  </w:style>
  <w:style w:type="character" w:customStyle="1" w:styleId="t132">
    <w:name w:val="t132"/>
    <w:basedOn w:val="Fuentedeprrafopredeter"/>
    <w:rsid w:val="00D95B78"/>
  </w:style>
  <w:style w:type="character" w:customStyle="1" w:styleId="toctoggle">
    <w:name w:val="toctoggle"/>
    <w:basedOn w:val="Fuentedeprrafopredeter"/>
    <w:rsid w:val="00D95B78"/>
  </w:style>
  <w:style w:type="character" w:customStyle="1" w:styleId="t125">
    <w:name w:val="t125"/>
    <w:basedOn w:val="Fuentedeprrafopredeter"/>
    <w:rsid w:val="00F25C04"/>
  </w:style>
  <w:style w:type="paragraph" w:customStyle="1" w:styleId="parrafo-division">
    <w:name w:val="parrafo-division"/>
    <w:basedOn w:val="Normal"/>
    <w:rsid w:val="00747CB1"/>
    <w:pPr>
      <w:spacing w:before="100" w:beforeAutospacing="1" w:after="100" w:afterAutospacing="1" w:line="240" w:lineRule="auto"/>
      <w:jc w:val="left"/>
    </w:pPr>
    <w:rPr>
      <w:rFonts w:ascii="Times New Roman" w:hAnsi="Times New Roman"/>
    </w:rPr>
  </w:style>
  <w:style w:type="character" w:customStyle="1" w:styleId="textonavy">
    <w:name w:val="texto_navy"/>
    <w:basedOn w:val="Fuentedeprrafopredeter"/>
    <w:rsid w:val="00850264"/>
  </w:style>
  <w:style w:type="paragraph" w:customStyle="1" w:styleId="Textoindependiente23">
    <w:name w:val="Texto independiente 23"/>
    <w:basedOn w:val="Normal"/>
    <w:rsid w:val="000F05E1"/>
    <w:pPr>
      <w:overflowPunct w:val="0"/>
      <w:autoSpaceDE w:val="0"/>
      <w:autoSpaceDN w:val="0"/>
      <w:adjustRightInd w:val="0"/>
      <w:ind w:firstLine="1418"/>
      <w:textAlignment w:val="baseline"/>
    </w:pPr>
    <w:rPr>
      <w:szCs w:val="20"/>
      <w:lang w:val="es-CO"/>
    </w:rPr>
  </w:style>
  <w:style w:type="paragraph" w:customStyle="1" w:styleId="Textoindependiente24">
    <w:name w:val="Texto independiente 24"/>
    <w:basedOn w:val="Normal"/>
    <w:rsid w:val="00C81F08"/>
    <w:pPr>
      <w:overflowPunct w:val="0"/>
      <w:autoSpaceDE w:val="0"/>
      <w:autoSpaceDN w:val="0"/>
      <w:adjustRightInd w:val="0"/>
      <w:spacing w:line="480" w:lineRule="auto"/>
      <w:textAlignment w:val="baseline"/>
    </w:pPr>
    <w:rPr>
      <w:szCs w:val="20"/>
    </w:rPr>
  </w:style>
  <w:style w:type="paragraph" w:customStyle="1" w:styleId="Puesto">
    <w:name w:val="Puesto"/>
    <w:basedOn w:val="Normal"/>
    <w:link w:val="PuestoCar"/>
    <w:qFormat/>
    <w:rsid w:val="00D210C6"/>
    <w:pPr>
      <w:spacing w:line="240" w:lineRule="auto"/>
      <w:jc w:val="center"/>
    </w:pPr>
    <w:rPr>
      <w:rFonts w:eastAsia="Batang" w:cs="Arial"/>
      <w:b/>
      <w:bCs/>
      <w:sz w:val="22"/>
      <w:lang w:val="es-ES_tradnl"/>
    </w:rPr>
  </w:style>
  <w:style w:type="character" w:customStyle="1" w:styleId="PuestoCar">
    <w:name w:val="Puesto Car"/>
    <w:link w:val="Puesto"/>
    <w:rsid w:val="00D210C6"/>
    <w:rPr>
      <w:rFonts w:ascii="Arial" w:eastAsia="Batang" w:hAnsi="Arial" w:cs="Arial"/>
      <w:b/>
      <w:bCs/>
      <w:sz w:val="22"/>
      <w:szCs w:val="24"/>
      <w:lang w:val="es-ES_tradnl"/>
    </w:rPr>
  </w:style>
  <w:style w:type="paragraph" w:customStyle="1" w:styleId="Textoindependiente25">
    <w:name w:val="Texto independiente 25"/>
    <w:basedOn w:val="Normal"/>
    <w:rsid w:val="001235E1"/>
    <w:pPr>
      <w:overflowPunct w:val="0"/>
      <w:autoSpaceDE w:val="0"/>
      <w:autoSpaceDN w:val="0"/>
      <w:adjustRightInd w:val="0"/>
      <w:ind w:firstLine="710"/>
      <w:textAlignment w:val="baseline"/>
    </w:pPr>
    <w:rPr>
      <w:szCs w:val="20"/>
      <w:lang w:val="es-CO"/>
    </w:rPr>
  </w:style>
  <w:style w:type="paragraph" w:customStyle="1" w:styleId="textocaja">
    <w:name w:val="textocaja"/>
    <w:basedOn w:val="Normal"/>
    <w:rsid w:val="00C61876"/>
    <w:pPr>
      <w:spacing w:before="100" w:beforeAutospacing="1" w:after="100" w:afterAutospacing="1" w:line="240" w:lineRule="auto"/>
      <w:jc w:val="left"/>
    </w:pPr>
    <w:rPr>
      <w:rFonts w:ascii="Times New Roman" w:hAnsi="Times New Roman"/>
    </w:rPr>
  </w:style>
  <w:style w:type="paragraph" w:customStyle="1" w:styleId="Textoindependiente26">
    <w:name w:val="Texto independiente 26"/>
    <w:basedOn w:val="Normal"/>
    <w:rsid w:val="008462BA"/>
    <w:pPr>
      <w:overflowPunct w:val="0"/>
      <w:autoSpaceDE w:val="0"/>
      <w:autoSpaceDN w:val="0"/>
      <w:adjustRightInd w:val="0"/>
      <w:spacing w:line="240" w:lineRule="auto"/>
      <w:jc w:val="left"/>
      <w:textAlignment w:val="baseline"/>
    </w:pPr>
    <w:rPr>
      <w:i/>
      <w:sz w:val="22"/>
      <w:szCs w:val="20"/>
      <w:lang w:val="es-CO"/>
    </w:rPr>
  </w:style>
  <w:style w:type="paragraph" w:styleId="Lista2">
    <w:name w:val="List 2"/>
    <w:basedOn w:val="Normal"/>
    <w:uiPriority w:val="99"/>
    <w:unhideWhenUsed/>
    <w:rsid w:val="00E759BE"/>
    <w:pPr>
      <w:ind w:left="566" w:hanging="283"/>
      <w:contextualSpacing/>
    </w:pPr>
  </w:style>
  <w:style w:type="paragraph" w:styleId="Lista3">
    <w:name w:val="List 3"/>
    <w:basedOn w:val="Normal"/>
    <w:uiPriority w:val="99"/>
    <w:unhideWhenUsed/>
    <w:rsid w:val="00E759BE"/>
    <w:pPr>
      <w:ind w:left="849" w:hanging="283"/>
      <w:contextualSpacing/>
    </w:pPr>
  </w:style>
  <w:style w:type="paragraph" w:styleId="Lista4">
    <w:name w:val="List 4"/>
    <w:basedOn w:val="Normal"/>
    <w:uiPriority w:val="99"/>
    <w:unhideWhenUsed/>
    <w:rsid w:val="00E759BE"/>
    <w:pPr>
      <w:ind w:left="1132" w:hanging="283"/>
      <w:contextualSpacing/>
    </w:pPr>
  </w:style>
  <w:style w:type="paragraph" w:styleId="Lista5">
    <w:name w:val="List 5"/>
    <w:basedOn w:val="Normal"/>
    <w:uiPriority w:val="99"/>
    <w:unhideWhenUsed/>
    <w:rsid w:val="00E759BE"/>
    <w:pPr>
      <w:ind w:left="1415" w:hanging="283"/>
      <w:contextualSpacing/>
    </w:pPr>
  </w:style>
  <w:style w:type="paragraph" w:styleId="Saludo">
    <w:name w:val="Salutation"/>
    <w:basedOn w:val="Normal"/>
    <w:next w:val="Normal"/>
    <w:link w:val="SaludoCar"/>
    <w:uiPriority w:val="99"/>
    <w:unhideWhenUsed/>
    <w:rsid w:val="00E759BE"/>
  </w:style>
  <w:style w:type="character" w:customStyle="1" w:styleId="SaludoCar">
    <w:name w:val="Saludo Car"/>
    <w:link w:val="Saludo"/>
    <w:uiPriority w:val="99"/>
    <w:rsid w:val="00E759BE"/>
    <w:rPr>
      <w:rFonts w:ascii="Arial" w:hAnsi="Arial" w:cs="Times New Roman"/>
      <w:sz w:val="24"/>
      <w:szCs w:val="24"/>
    </w:rPr>
  </w:style>
  <w:style w:type="paragraph" w:styleId="Continuarlista2">
    <w:name w:val="List Continue 2"/>
    <w:basedOn w:val="Normal"/>
    <w:uiPriority w:val="99"/>
    <w:unhideWhenUsed/>
    <w:rsid w:val="00E759BE"/>
    <w:pPr>
      <w:spacing w:after="120"/>
      <w:ind w:left="566"/>
      <w:contextualSpacing/>
    </w:pPr>
  </w:style>
  <w:style w:type="paragraph" w:styleId="Continuarlista3">
    <w:name w:val="List Continue 3"/>
    <w:basedOn w:val="Normal"/>
    <w:uiPriority w:val="99"/>
    <w:unhideWhenUsed/>
    <w:rsid w:val="00E759BE"/>
    <w:pPr>
      <w:spacing w:after="120"/>
      <w:ind w:left="849"/>
      <w:contextualSpacing/>
    </w:pPr>
  </w:style>
  <w:style w:type="paragraph" w:styleId="Textoindependienteprimerasangra2">
    <w:name w:val="Body Text First Indent 2"/>
    <w:basedOn w:val="Sangradetextonormal"/>
    <w:link w:val="Textoindependienteprimerasangra2Car"/>
    <w:uiPriority w:val="99"/>
    <w:unhideWhenUsed/>
    <w:rsid w:val="00E759BE"/>
    <w:pPr>
      <w:spacing w:after="0"/>
      <w:ind w:left="360" w:firstLine="360"/>
    </w:pPr>
    <w:rPr>
      <w:rFonts w:ascii="Arial" w:hAnsi="Arial"/>
      <w:szCs w:val="24"/>
    </w:rPr>
  </w:style>
  <w:style w:type="character" w:customStyle="1" w:styleId="Textoindependienteprimerasangra2Car">
    <w:name w:val="Texto independiente primera sangría 2 Car"/>
    <w:link w:val="Textoindependienteprimerasangra2"/>
    <w:uiPriority w:val="99"/>
    <w:rsid w:val="00E759BE"/>
    <w:rPr>
      <w:rFonts w:ascii="Arial" w:hAnsi="Arial" w:cs="Times New Roman"/>
      <w:sz w:val="24"/>
      <w:szCs w:val="24"/>
      <w:lang w:eastAsia="es-ES"/>
    </w:rPr>
  </w:style>
  <w:style w:type="paragraph" w:customStyle="1" w:styleId="Cuadrculamedia1-nfasis21">
    <w:name w:val="Cuadrícula media 1 - Énfasis 21"/>
    <w:basedOn w:val="Normal"/>
    <w:qFormat/>
    <w:rsid w:val="00A307E4"/>
    <w:pPr>
      <w:spacing w:line="240" w:lineRule="auto"/>
      <w:ind w:left="851" w:right="851"/>
      <w:contextualSpacing/>
    </w:pPr>
    <w:rPr>
      <w:rFonts w:ascii="Century Gothic" w:eastAsia="Calibri" w:hAnsi="Century Gothic"/>
      <w:sz w:val="22"/>
      <w:szCs w:val="22"/>
      <w:lang w:val="es-ES_tradnl" w:eastAsia="en-US"/>
    </w:rPr>
  </w:style>
  <w:style w:type="paragraph" w:customStyle="1" w:styleId="western">
    <w:name w:val="western"/>
    <w:basedOn w:val="Normal"/>
    <w:rsid w:val="006A1D4A"/>
    <w:pPr>
      <w:spacing w:before="100" w:beforeAutospacing="1" w:after="100" w:afterAutospacing="1" w:line="240" w:lineRule="auto"/>
      <w:jc w:val="left"/>
    </w:pPr>
    <w:rPr>
      <w:rFonts w:ascii="Times New Roman" w:hAnsi="Times New Roman"/>
    </w:rPr>
  </w:style>
  <w:style w:type="character" w:styleId="Refdenotaalfinal">
    <w:name w:val="endnote reference"/>
    <w:uiPriority w:val="99"/>
    <w:semiHidden/>
    <w:unhideWhenUsed/>
    <w:rsid w:val="00AE2715"/>
    <w:rPr>
      <w:vertAlign w:val="superscript"/>
    </w:rPr>
  </w:style>
  <w:style w:type="character" w:styleId="nfasis">
    <w:name w:val="Emphasis"/>
    <w:uiPriority w:val="20"/>
    <w:qFormat/>
    <w:rsid w:val="00AF1F91"/>
    <w:rPr>
      <w:i/>
      <w:iCs/>
    </w:rPr>
  </w:style>
  <w:style w:type="character" w:customStyle="1" w:styleId="auto-style27">
    <w:name w:val="auto-style27"/>
    <w:basedOn w:val="Fuentedeprrafopredeter"/>
    <w:rsid w:val="00C72910"/>
  </w:style>
  <w:style w:type="paragraph" w:styleId="Descripcin">
    <w:name w:val="caption"/>
    <w:basedOn w:val="Normal"/>
    <w:next w:val="Normal"/>
    <w:qFormat/>
    <w:rsid w:val="00822A5C"/>
    <w:pPr>
      <w:overflowPunct w:val="0"/>
      <w:autoSpaceDE w:val="0"/>
      <w:autoSpaceDN w:val="0"/>
      <w:adjustRightInd w:val="0"/>
      <w:spacing w:line="240" w:lineRule="auto"/>
      <w:jc w:val="right"/>
      <w:textAlignment w:val="baseline"/>
    </w:pPr>
    <w:rPr>
      <w:rFonts w:ascii="Verdana" w:hAnsi="Verdana"/>
      <w:b/>
      <w:sz w:val="28"/>
      <w:szCs w:val="20"/>
      <w:lang w:val="es-ES_tradnl"/>
    </w:rPr>
  </w:style>
  <w:style w:type="character" w:customStyle="1" w:styleId="baj">
    <w:name w:val="b_aj"/>
    <w:basedOn w:val="Fuentedeprrafopredeter"/>
    <w:rsid w:val="005B26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6344">
      <w:bodyDiv w:val="1"/>
      <w:marLeft w:val="0"/>
      <w:marRight w:val="0"/>
      <w:marTop w:val="0"/>
      <w:marBottom w:val="0"/>
      <w:divBdr>
        <w:top w:val="none" w:sz="0" w:space="0" w:color="auto"/>
        <w:left w:val="none" w:sz="0" w:space="0" w:color="auto"/>
        <w:bottom w:val="none" w:sz="0" w:space="0" w:color="auto"/>
        <w:right w:val="none" w:sz="0" w:space="0" w:color="auto"/>
      </w:divBdr>
      <w:divsChild>
        <w:div w:id="353653285">
          <w:marLeft w:val="0"/>
          <w:marRight w:val="0"/>
          <w:marTop w:val="0"/>
          <w:marBottom w:val="0"/>
          <w:divBdr>
            <w:top w:val="none" w:sz="0" w:space="0" w:color="auto"/>
            <w:left w:val="none" w:sz="0" w:space="0" w:color="auto"/>
            <w:bottom w:val="none" w:sz="0" w:space="0" w:color="auto"/>
            <w:right w:val="none" w:sz="0" w:space="0" w:color="auto"/>
          </w:divBdr>
          <w:divsChild>
            <w:div w:id="51762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386">
      <w:bodyDiv w:val="1"/>
      <w:marLeft w:val="0"/>
      <w:marRight w:val="0"/>
      <w:marTop w:val="0"/>
      <w:marBottom w:val="0"/>
      <w:divBdr>
        <w:top w:val="none" w:sz="0" w:space="0" w:color="auto"/>
        <w:left w:val="none" w:sz="0" w:space="0" w:color="auto"/>
        <w:bottom w:val="none" w:sz="0" w:space="0" w:color="auto"/>
        <w:right w:val="none" w:sz="0" w:space="0" w:color="auto"/>
      </w:divBdr>
    </w:div>
    <w:div w:id="238834487">
      <w:bodyDiv w:val="1"/>
      <w:marLeft w:val="0"/>
      <w:marRight w:val="0"/>
      <w:marTop w:val="0"/>
      <w:marBottom w:val="0"/>
      <w:divBdr>
        <w:top w:val="none" w:sz="0" w:space="0" w:color="auto"/>
        <w:left w:val="none" w:sz="0" w:space="0" w:color="auto"/>
        <w:bottom w:val="none" w:sz="0" w:space="0" w:color="auto"/>
        <w:right w:val="none" w:sz="0" w:space="0" w:color="auto"/>
      </w:divBdr>
    </w:div>
    <w:div w:id="262806578">
      <w:bodyDiv w:val="1"/>
      <w:marLeft w:val="0"/>
      <w:marRight w:val="0"/>
      <w:marTop w:val="0"/>
      <w:marBottom w:val="0"/>
      <w:divBdr>
        <w:top w:val="none" w:sz="0" w:space="0" w:color="auto"/>
        <w:left w:val="none" w:sz="0" w:space="0" w:color="auto"/>
        <w:bottom w:val="none" w:sz="0" w:space="0" w:color="auto"/>
        <w:right w:val="none" w:sz="0" w:space="0" w:color="auto"/>
      </w:divBdr>
    </w:div>
    <w:div w:id="264268354">
      <w:bodyDiv w:val="1"/>
      <w:marLeft w:val="0"/>
      <w:marRight w:val="0"/>
      <w:marTop w:val="0"/>
      <w:marBottom w:val="0"/>
      <w:divBdr>
        <w:top w:val="none" w:sz="0" w:space="0" w:color="auto"/>
        <w:left w:val="none" w:sz="0" w:space="0" w:color="auto"/>
        <w:bottom w:val="none" w:sz="0" w:space="0" w:color="auto"/>
        <w:right w:val="none" w:sz="0" w:space="0" w:color="auto"/>
      </w:divBdr>
    </w:div>
    <w:div w:id="286012431">
      <w:bodyDiv w:val="1"/>
      <w:marLeft w:val="0"/>
      <w:marRight w:val="0"/>
      <w:marTop w:val="0"/>
      <w:marBottom w:val="0"/>
      <w:divBdr>
        <w:top w:val="none" w:sz="0" w:space="0" w:color="auto"/>
        <w:left w:val="none" w:sz="0" w:space="0" w:color="auto"/>
        <w:bottom w:val="none" w:sz="0" w:space="0" w:color="auto"/>
        <w:right w:val="none" w:sz="0" w:space="0" w:color="auto"/>
      </w:divBdr>
      <w:divsChild>
        <w:div w:id="1122305107">
          <w:marLeft w:val="0"/>
          <w:marRight w:val="0"/>
          <w:marTop w:val="300"/>
          <w:marBottom w:val="300"/>
          <w:divBdr>
            <w:top w:val="none" w:sz="0" w:space="0" w:color="auto"/>
            <w:left w:val="none" w:sz="0" w:space="0" w:color="auto"/>
            <w:bottom w:val="none" w:sz="0" w:space="0" w:color="auto"/>
            <w:right w:val="none" w:sz="0" w:space="0" w:color="auto"/>
          </w:divBdr>
        </w:div>
        <w:div w:id="1204555232">
          <w:marLeft w:val="0"/>
          <w:marRight w:val="0"/>
          <w:marTop w:val="300"/>
          <w:marBottom w:val="300"/>
          <w:divBdr>
            <w:top w:val="none" w:sz="0" w:space="0" w:color="auto"/>
            <w:left w:val="none" w:sz="0" w:space="0" w:color="auto"/>
            <w:bottom w:val="none" w:sz="0" w:space="0" w:color="auto"/>
            <w:right w:val="none" w:sz="0" w:space="0" w:color="auto"/>
          </w:divBdr>
        </w:div>
        <w:div w:id="1283614969">
          <w:marLeft w:val="0"/>
          <w:marRight w:val="0"/>
          <w:marTop w:val="0"/>
          <w:marBottom w:val="150"/>
          <w:divBdr>
            <w:top w:val="none" w:sz="0" w:space="0" w:color="auto"/>
            <w:left w:val="none" w:sz="0" w:space="0" w:color="auto"/>
            <w:bottom w:val="none" w:sz="0" w:space="0" w:color="auto"/>
            <w:right w:val="none" w:sz="0" w:space="0" w:color="auto"/>
          </w:divBdr>
        </w:div>
        <w:div w:id="1772973511">
          <w:marLeft w:val="0"/>
          <w:marRight w:val="0"/>
          <w:marTop w:val="0"/>
          <w:marBottom w:val="150"/>
          <w:divBdr>
            <w:top w:val="none" w:sz="0" w:space="0" w:color="auto"/>
            <w:left w:val="none" w:sz="0" w:space="0" w:color="auto"/>
            <w:bottom w:val="none" w:sz="0" w:space="0" w:color="auto"/>
            <w:right w:val="none" w:sz="0" w:space="0" w:color="auto"/>
          </w:divBdr>
        </w:div>
      </w:divsChild>
    </w:div>
    <w:div w:id="306863218">
      <w:bodyDiv w:val="1"/>
      <w:marLeft w:val="0"/>
      <w:marRight w:val="0"/>
      <w:marTop w:val="0"/>
      <w:marBottom w:val="0"/>
      <w:divBdr>
        <w:top w:val="none" w:sz="0" w:space="0" w:color="auto"/>
        <w:left w:val="none" w:sz="0" w:space="0" w:color="auto"/>
        <w:bottom w:val="none" w:sz="0" w:space="0" w:color="auto"/>
        <w:right w:val="none" w:sz="0" w:space="0" w:color="auto"/>
      </w:divBdr>
    </w:div>
    <w:div w:id="352539975">
      <w:bodyDiv w:val="1"/>
      <w:marLeft w:val="0"/>
      <w:marRight w:val="0"/>
      <w:marTop w:val="0"/>
      <w:marBottom w:val="0"/>
      <w:divBdr>
        <w:top w:val="none" w:sz="0" w:space="0" w:color="auto"/>
        <w:left w:val="none" w:sz="0" w:space="0" w:color="auto"/>
        <w:bottom w:val="none" w:sz="0" w:space="0" w:color="auto"/>
        <w:right w:val="none" w:sz="0" w:space="0" w:color="auto"/>
      </w:divBdr>
    </w:div>
    <w:div w:id="353195991">
      <w:bodyDiv w:val="1"/>
      <w:marLeft w:val="0"/>
      <w:marRight w:val="0"/>
      <w:marTop w:val="0"/>
      <w:marBottom w:val="0"/>
      <w:divBdr>
        <w:top w:val="none" w:sz="0" w:space="0" w:color="auto"/>
        <w:left w:val="none" w:sz="0" w:space="0" w:color="auto"/>
        <w:bottom w:val="none" w:sz="0" w:space="0" w:color="auto"/>
        <w:right w:val="none" w:sz="0" w:space="0" w:color="auto"/>
      </w:divBdr>
      <w:divsChild>
        <w:div w:id="637879158">
          <w:marLeft w:val="0"/>
          <w:marRight w:val="0"/>
          <w:marTop w:val="0"/>
          <w:marBottom w:val="0"/>
          <w:divBdr>
            <w:top w:val="none" w:sz="0" w:space="0" w:color="auto"/>
            <w:left w:val="none" w:sz="0" w:space="0" w:color="auto"/>
            <w:bottom w:val="none" w:sz="0" w:space="0" w:color="auto"/>
            <w:right w:val="none" w:sz="0" w:space="0" w:color="auto"/>
          </w:divBdr>
          <w:divsChild>
            <w:div w:id="979075062">
              <w:marLeft w:val="0"/>
              <w:marRight w:val="0"/>
              <w:marTop w:val="0"/>
              <w:marBottom w:val="0"/>
              <w:divBdr>
                <w:top w:val="single" w:sz="6" w:space="0" w:color="666666"/>
                <w:left w:val="single" w:sz="6" w:space="0" w:color="666666"/>
                <w:bottom w:val="single" w:sz="6" w:space="0" w:color="666666"/>
                <w:right w:val="single" w:sz="6" w:space="0" w:color="666666"/>
              </w:divBdr>
            </w:div>
          </w:divsChild>
        </w:div>
        <w:div w:id="922761311">
          <w:marLeft w:val="0"/>
          <w:marRight w:val="0"/>
          <w:marTop w:val="0"/>
          <w:marBottom w:val="0"/>
          <w:divBdr>
            <w:top w:val="none" w:sz="0" w:space="0" w:color="auto"/>
            <w:left w:val="none" w:sz="0" w:space="0" w:color="auto"/>
            <w:bottom w:val="none" w:sz="0" w:space="0" w:color="auto"/>
            <w:right w:val="none" w:sz="0" w:space="0" w:color="auto"/>
          </w:divBdr>
          <w:divsChild>
            <w:div w:id="56310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9744">
      <w:bodyDiv w:val="1"/>
      <w:marLeft w:val="0"/>
      <w:marRight w:val="0"/>
      <w:marTop w:val="0"/>
      <w:marBottom w:val="0"/>
      <w:divBdr>
        <w:top w:val="none" w:sz="0" w:space="0" w:color="auto"/>
        <w:left w:val="none" w:sz="0" w:space="0" w:color="auto"/>
        <w:bottom w:val="none" w:sz="0" w:space="0" w:color="auto"/>
        <w:right w:val="none" w:sz="0" w:space="0" w:color="auto"/>
      </w:divBdr>
    </w:div>
    <w:div w:id="450173775">
      <w:bodyDiv w:val="1"/>
      <w:marLeft w:val="0"/>
      <w:marRight w:val="0"/>
      <w:marTop w:val="0"/>
      <w:marBottom w:val="0"/>
      <w:divBdr>
        <w:top w:val="none" w:sz="0" w:space="0" w:color="auto"/>
        <w:left w:val="none" w:sz="0" w:space="0" w:color="auto"/>
        <w:bottom w:val="none" w:sz="0" w:space="0" w:color="auto"/>
        <w:right w:val="none" w:sz="0" w:space="0" w:color="auto"/>
      </w:divBdr>
    </w:div>
    <w:div w:id="477918723">
      <w:bodyDiv w:val="1"/>
      <w:marLeft w:val="0"/>
      <w:marRight w:val="0"/>
      <w:marTop w:val="0"/>
      <w:marBottom w:val="0"/>
      <w:divBdr>
        <w:top w:val="none" w:sz="0" w:space="0" w:color="auto"/>
        <w:left w:val="none" w:sz="0" w:space="0" w:color="auto"/>
        <w:bottom w:val="none" w:sz="0" w:space="0" w:color="auto"/>
        <w:right w:val="none" w:sz="0" w:space="0" w:color="auto"/>
      </w:divBdr>
    </w:div>
    <w:div w:id="506096148">
      <w:bodyDiv w:val="1"/>
      <w:marLeft w:val="0"/>
      <w:marRight w:val="0"/>
      <w:marTop w:val="0"/>
      <w:marBottom w:val="0"/>
      <w:divBdr>
        <w:top w:val="none" w:sz="0" w:space="0" w:color="auto"/>
        <w:left w:val="none" w:sz="0" w:space="0" w:color="auto"/>
        <w:bottom w:val="none" w:sz="0" w:space="0" w:color="auto"/>
        <w:right w:val="none" w:sz="0" w:space="0" w:color="auto"/>
      </w:divBdr>
    </w:div>
    <w:div w:id="530609917">
      <w:bodyDiv w:val="1"/>
      <w:marLeft w:val="0"/>
      <w:marRight w:val="0"/>
      <w:marTop w:val="0"/>
      <w:marBottom w:val="0"/>
      <w:divBdr>
        <w:top w:val="none" w:sz="0" w:space="0" w:color="auto"/>
        <w:left w:val="none" w:sz="0" w:space="0" w:color="auto"/>
        <w:bottom w:val="none" w:sz="0" w:space="0" w:color="auto"/>
        <w:right w:val="none" w:sz="0" w:space="0" w:color="auto"/>
      </w:divBdr>
      <w:divsChild>
        <w:div w:id="2045863400">
          <w:marLeft w:val="0"/>
          <w:marRight w:val="0"/>
          <w:marTop w:val="0"/>
          <w:marBottom w:val="0"/>
          <w:divBdr>
            <w:top w:val="none" w:sz="0" w:space="0" w:color="auto"/>
            <w:left w:val="none" w:sz="0" w:space="0" w:color="auto"/>
            <w:bottom w:val="none" w:sz="0" w:space="0" w:color="auto"/>
            <w:right w:val="none" w:sz="0" w:space="0" w:color="auto"/>
          </w:divBdr>
          <w:divsChild>
            <w:div w:id="109027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149914">
      <w:bodyDiv w:val="1"/>
      <w:marLeft w:val="0"/>
      <w:marRight w:val="0"/>
      <w:marTop w:val="0"/>
      <w:marBottom w:val="0"/>
      <w:divBdr>
        <w:top w:val="none" w:sz="0" w:space="0" w:color="auto"/>
        <w:left w:val="none" w:sz="0" w:space="0" w:color="auto"/>
        <w:bottom w:val="none" w:sz="0" w:space="0" w:color="auto"/>
        <w:right w:val="none" w:sz="0" w:space="0" w:color="auto"/>
      </w:divBdr>
    </w:div>
    <w:div w:id="673531706">
      <w:bodyDiv w:val="1"/>
      <w:marLeft w:val="0"/>
      <w:marRight w:val="0"/>
      <w:marTop w:val="0"/>
      <w:marBottom w:val="0"/>
      <w:divBdr>
        <w:top w:val="none" w:sz="0" w:space="0" w:color="auto"/>
        <w:left w:val="none" w:sz="0" w:space="0" w:color="auto"/>
        <w:bottom w:val="none" w:sz="0" w:space="0" w:color="auto"/>
        <w:right w:val="none" w:sz="0" w:space="0" w:color="auto"/>
      </w:divBdr>
    </w:div>
    <w:div w:id="721712255">
      <w:bodyDiv w:val="1"/>
      <w:marLeft w:val="0"/>
      <w:marRight w:val="0"/>
      <w:marTop w:val="0"/>
      <w:marBottom w:val="0"/>
      <w:divBdr>
        <w:top w:val="none" w:sz="0" w:space="0" w:color="auto"/>
        <w:left w:val="none" w:sz="0" w:space="0" w:color="auto"/>
        <w:bottom w:val="none" w:sz="0" w:space="0" w:color="auto"/>
        <w:right w:val="none" w:sz="0" w:space="0" w:color="auto"/>
      </w:divBdr>
    </w:div>
    <w:div w:id="803810476">
      <w:bodyDiv w:val="1"/>
      <w:marLeft w:val="0"/>
      <w:marRight w:val="0"/>
      <w:marTop w:val="0"/>
      <w:marBottom w:val="0"/>
      <w:divBdr>
        <w:top w:val="none" w:sz="0" w:space="0" w:color="auto"/>
        <w:left w:val="none" w:sz="0" w:space="0" w:color="auto"/>
        <w:bottom w:val="none" w:sz="0" w:space="0" w:color="auto"/>
        <w:right w:val="none" w:sz="0" w:space="0" w:color="auto"/>
      </w:divBdr>
    </w:div>
    <w:div w:id="805052469">
      <w:bodyDiv w:val="1"/>
      <w:marLeft w:val="0"/>
      <w:marRight w:val="0"/>
      <w:marTop w:val="0"/>
      <w:marBottom w:val="0"/>
      <w:divBdr>
        <w:top w:val="none" w:sz="0" w:space="0" w:color="auto"/>
        <w:left w:val="none" w:sz="0" w:space="0" w:color="auto"/>
        <w:bottom w:val="none" w:sz="0" w:space="0" w:color="auto"/>
        <w:right w:val="none" w:sz="0" w:space="0" w:color="auto"/>
      </w:divBdr>
    </w:div>
    <w:div w:id="805512102">
      <w:bodyDiv w:val="1"/>
      <w:marLeft w:val="0"/>
      <w:marRight w:val="0"/>
      <w:marTop w:val="0"/>
      <w:marBottom w:val="0"/>
      <w:divBdr>
        <w:top w:val="none" w:sz="0" w:space="0" w:color="auto"/>
        <w:left w:val="none" w:sz="0" w:space="0" w:color="auto"/>
        <w:bottom w:val="none" w:sz="0" w:space="0" w:color="auto"/>
        <w:right w:val="none" w:sz="0" w:space="0" w:color="auto"/>
      </w:divBdr>
      <w:divsChild>
        <w:div w:id="156045468">
          <w:marLeft w:val="0"/>
          <w:marRight w:val="0"/>
          <w:marTop w:val="0"/>
          <w:marBottom w:val="150"/>
          <w:divBdr>
            <w:top w:val="none" w:sz="0" w:space="0" w:color="auto"/>
            <w:left w:val="none" w:sz="0" w:space="0" w:color="auto"/>
            <w:bottom w:val="none" w:sz="0" w:space="0" w:color="auto"/>
            <w:right w:val="none" w:sz="0" w:space="0" w:color="auto"/>
          </w:divBdr>
        </w:div>
        <w:div w:id="1511214518">
          <w:marLeft w:val="0"/>
          <w:marRight w:val="0"/>
          <w:marTop w:val="0"/>
          <w:marBottom w:val="150"/>
          <w:divBdr>
            <w:top w:val="none" w:sz="0" w:space="0" w:color="auto"/>
            <w:left w:val="none" w:sz="0" w:space="0" w:color="auto"/>
            <w:bottom w:val="none" w:sz="0" w:space="0" w:color="auto"/>
            <w:right w:val="none" w:sz="0" w:space="0" w:color="auto"/>
          </w:divBdr>
        </w:div>
        <w:div w:id="1525558565">
          <w:marLeft w:val="0"/>
          <w:marRight w:val="0"/>
          <w:marTop w:val="0"/>
          <w:marBottom w:val="150"/>
          <w:divBdr>
            <w:top w:val="none" w:sz="0" w:space="0" w:color="auto"/>
            <w:left w:val="none" w:sz="0" w:space="0" w:color="auto"/>
            <w:bottom w:val="none" w:sz="0" w:space="0" w:color="auto"/>
            <w:right w:val="none" w:sz="0" w:space="0" w:color="auto"/>
          </w:divBdr>
        </w:div>
      </w:divsChild>
    </w:div>
    <w:div w:id="869994694">
      <w:bodyDiv w:val="1"/>
      <w:marLeft w:val="0"/>
      <w:marRight w:val="0"/>
      <w:marTop w:val="0"/>
      <w:marBottom w:val="0"/>
      <w:divBdr>
        <w:top w:val="none" w:sz="0" w:space="0" w:color="auto"/>
        <w:left w:val="none" w:sz="0" w:space="0" w:color="auto"/>
        <w:bottom w:val="none" w:sz="0" w:space="0" w:color="auto"/>
        <w:right w:val="none" w:sz="0" w:space="0" w:color="auto"/>
      </w:divBdr>
    </w:div>
    <w:div w:id="911816426">
      <w:bodyDiv w:val="1"/>
      <w:marLeft w:val="0"/>
      <w:marRight w:val="0"/>
      <w:marTop w:val="0"/>
      <w:marBottom w:val="0"/>
      <w:divBdr>
        <w:top w:val="none" w:sz="0" w:space="0" w:color="auto"/>
        <w:left w:val="none" w:sz="0" w:space="0" w:color="auto"/>
        <w:bottom w:val="none" w:sz="0" w:space="0" w:color="auto"/>
        <w:right w:val="none" w:sz="0" w:space="0" w:color="auto"/>
      </w:divBdr>
    </w:div>
    <w:div w:id="929582115">
      <w:bodyDiv w:val="1"/>
      <w:marLeft w:val="0"/>
      <w:marRight w:val="0"/>
      <w:marTop w:val="0"/>
      <w:marBottom w:val="0"/>
      <w:divBdr>
        <w:top w:val="none" w:sz="0" w:space="0" w:color="auto"/>
        <w:left w:val="none" w:sz="0" w:space="0" w:color="auto"/>
        <w:bottom w:val="none" w:sz="0" w:space="0" w:color="auto"/>
        <w:right w:val="none" w:sz="0" w:space="0" w:color="auto"/>
      </w:divBdr>
    </w:div>
    <w:div w:id="940726732">
      <w:marLeft w:val="0"/>
      <w:marRight w:val="0"/>
      <w:marTop w:val="0"/>
      <w:marBottom w:val="0"/>
      <w:divBdr>
        <w:top w:val="none" w:sz="0" w:space="0" w:color="auto"/>
        <w:left w:val="none" w:sz="0" w:space="0" w:color="auto"/>
        <w:bottom w:val="none" w:sz="0" w:space="0" w:color="auto"/>
        <w:right w:val="none" w:sz="0" w:space="0" w:color="auto"/>
      </w:divBdr>
    </w:div>
    <w:div w:id="940726733">
      <w:marLeft w:val="150"/>
      <w:marRight w:val="150"/>
      <w:marTop w:val="150"/>
      <w:marBottom w:val="150"/>
      <w:divBdr>
        <w:top w:val="none" w:sz="0" w:space="0" w:color="auto"/>
        <w:left w:val="none" w:sz="0" w:space="0" w:color="auto"/>
        <w:bottom w:val="none" w:sz="0" w:space="0" w:color="auto"/>
        <w:right w:val="none" w:sz="0" w:space="0" w:color="auto"/>
      </w:divBdr>
      <w:divsChild>
        <w:div w:id="940726737">
          <w:marLeft w:val="0"/>
          <w:marRight w:val="0"/>
          <w:marTop w:val="0"/>
          <w:marBottom w:val="0"/>
          <w:divBdr>
            <w:top w:val="none" w:sz="0" w:space="0" w:color="auto"/>
            <w:left w:val="none" w:sz="0" w:space="0" w:color="auto"/>
            <w:bottom w:val="none" w:sz="0" w:space="0" w:color="auto"/>
            <w:right w:val="none" w:sz="0" w:space="0" w:color="auto"/>
          </w:divBdr>
        </w:div>
        <w:div w:id="940726743">
          <w:marLeft w:val="0"/>
          <w:marRight w:val="0"/>
          <w:marTop w:val="0"/>
          <w:marBottom w:val="0"/>
          <w:divBdr>
            <w:top w:val="none" w:sz="0" w:space="0" w:color="auto"/>
            <w:left w:val="none" w:sz="0" w:space="0" w:color="auto"/>
            <w:bottom w:val="none" w:sz="0" w:space="0" w:color="auto"/>
            <w:right w:val="none" w:sz="0" w:space="0" w:color="auto"/>
          </w:divBdr>
        </w:div>
        <w:div w:id="940726744">
          <w:marLeft w:val="0"/>
          <w:marRight w:val="0"/>
          <w:marTop w:val="0"/>
          <w:marBottom w:val="0"/>
          <w:divBdr>
            <w:top w:val="none" w:sz="0" w:space="0" w:color="auto"/>
            <w:left w:val="none" w:sz="0" w:space="0" w:color="auto"/>
            <w:bottom w:val="none" w:sz="0" w:space="0" w:color="auto"/>
            <w:right w:val="none" w:sz="0" w:space="0" w:color="auto"/>
          </w:divBdr>
        </w:div>
        <w:div w:id="940726749">
          <w:marLeft w:val="0"/>
          <w:marRight w:val="0"/>
          <w:marTop w:val="0"/>
          <w:marBottom w:val="0"/>
          <w:divBdr>
            <w:top w:val="none" w:sz="0" w:space="0" w:color="auto"/>
            <w:left w:val="none" w:sz="0" w:space="0" w:color="auto"/>
            <w:bottom w:val="none" w:sz="0" w:space="0" w:color="auto"/>
            <w:right w:val="none" w:sz="0" w:space="0" w:color="auto"/>
          </w:divBdr>
        </w:div>
        <w:div w:id="940726751">
          <w:marLeft w:val="0"/>
          <w:marRight w:val="0"/>
          <w:marTop w:val="0"/>
          <w:marBottom w:val="0"/>
          <w:divBdr>
            <w:top w:val="none" w:sz="0" w:space="0" w:color="auto"/>
            <w:left w:val="none" w:sz="0" w:space="0" w:color="auto"/>
            <w:bottom w:val="none" w:sz="0" w:space="0" w:color="auto"/>
            <w:right w:val="none" w:sz="0" w:space="0" w:color="auto"/>
          </w:divBdr>
        </w:div>
        <w:div w:id="940726753">
          <w:marLeft w:val="0"/>
          <w:marRight w:val="0"/>
          <w:marTop w:val="0"/>
          <w:marBottom w:val="0"/>
          <w:divBdr>
            <w:top w:val="none" w:sz="0" w:space="0" w:color="auto"/>
            <w:left w:val="none" w:sz="0" w:space="0" w:color="auto"/>
            <w:bottom w:val="none" w:sz="0" w:space="0" w:color="auto"/>
            <w:right w:val="none" w:sz="0" w:space="0" w:color="auto"/>
          </w:divBdr>
        </w:div>
        <w:div w:id="940726756">
          <w:marLeft w:val="0"/>
          <w:marRight w:val="0"/>
          <w:marTop w:val="0"/>
          <w:marBottom w:val="0"/>
          <w:divBdr>
            <w:top w:val="none" w:sz="0" w:space="0" w:color="auto"/>
            <w:left w:val="none" w:sz="0" w:space="0" w:color="auto"/>
            <w:bottom w:val="none" w:sz="0" w:space="0" w:color="auto"/>
            <w:right w:val="none" w:sz="0" w:space="0" w:color="auto"/>
          </w:divBdr>
        </w:div>
      </w:divsChild>
    </w:div>
    <w:div w:id="940726735">
      <w:marLeft w:val="0"/>
      <w:marRight w:val="0"/>
      <w:marTop w:val="0"/>
      <w:marBottom w:val="0"/>
      <w:divBdr>
        <w:top w:val="none" w:sz="0" w:space="0" w:color="auto"/>
        <w:left w:val="none" w:sz="0" w:space="0" w:color="auto"/>
        <w:bottom w:val="none" w:sz="0" w:space="0" w:color="auto"/>
        <w:right w:val="none" w:sz="0" w:space="0" w:color="auto"/>
      </w:divBdr>
      <w:divsChild>
        <w:div w:id="940726742">
          <w:marLeft w:val="0"/>
          <w:marRight w:val="0"/>
          <w:marTop w:val="0"/>
          <w:marBottom w:val="0"/>
          <w:divBdr>
            <w:top w:val="none" w:sz="0" w:space="0" w:color="auto"/>
            <w:left w:val="none" w:sz="0" w:space="0" w:color="auto"/>
            <w:bottom w:val="none" w:sz="0" w:space="0" w:color="auto"/>
            <w:right w:val="none" w:sz="0" w:space="0" w:color="auto"/>
          </w:divBdr>
          <w:divsChild>
            <w:div w:id="940726734">
              <w:marLeft w:val="0"/>
              <w:marRight w:val="0"/>
              <w:marTop w:val="0"/>
              <w:marBottom w:val="0"/>
              <w:divBdr>
                <w:top w:val="none" w:sz="0" w:space="0" w:color="auto"/>
                <w:left w:val="none" w:sz="0" w:space="0" w:color="auto"/>
                <w:bottom w:val="none" w:sz="0" w:space="0" w:color="auto"/>
                <w:right w:val="none" w:sz="0" w:space="0" w:color="auto"/>
              </w:divBdr>
              <w:divsChild>
                <w:div w:id="94072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36">
      <w:marLeft w:val="0"/>
      <w:marRight w:val="0"/>
      <w:marTop w:val="0"/>
      <w:marBottom w:val="0"/>
      <w:divBdr>
        <w:top w:val="none" w:sz="0" w:space="0" w:color="auto"/>
        <w:left w:val="none" w:sz="0" w:space="0" w:color="auto"/>
        <w:bottom w:val="none" w:sz="0" w:space="0" w:color="auto"/>
        <w:right w:val="none" w:sz="0" w:space="0" w:color="auto"/>
      </w:divBdr>
    </w:div>
    <w:div w:id="940726738">
      <w:marLeft w:val="0"/>
      <w:marRight w:val="0"/>
      <w:marTop w:val="0"/>
      <w:marBottom w:val="0"/>
      <w:divBdr>
        <w:top w:val="none" w:sz="0" w:space="0" w:color="auto"/>
        <w:left w:val="none" w:sz="0" w:space="0" w:color="auto"/>
        <w:bottom w:val="none" w:sz="0" w:space="0" w:color="auto"/>
        <w:right w:val="none" w:sz="0" w:space="0" w:color="auto"/>
      </w:divBdr>
    </w:div>
    <w:div w:id="940726739">
      <w:marLeft w:val="0"/>
      <w:marRight w:val="0"/>
      <w:marTop w:val="0"/>
      <w:marBottom w:val="0"/>
      <w:divBdr>
        <w:top w:val="none" w:sz="0" w:space="0" w:color="auto"/>
        <w:left w:val="none" w:sz="0" w:space="0" w:color="auto"/>
        <w:bottom w:val="none" w:sz="0" w:space="0" w:color="auto"/>
        <w:right w:val="none" w:sz="0" w:space="0" w:color="auto"/>
      </w:divBdr>
    </w:div>
    <w:div w:id="940726741">
      <w:marLeft w:val="0"/>
      <w:marRight w:val="0"/>
      <w:marTop w:val="0"/>
      <w:marBottom w:val="0"/>
      <w:divBdr>
        <w:top w:val="none" w:sz="0" w:space="0" w:color="auto"/>
        <w:left w:val="none" w:sz="0" w:space="0" w:color="auto"/>
        <w:bottom w:val="none" w:sz="0" w:space="0" w:color="auto"/>
        <w:right w:val="none" w:sz="0" w:space="0" w:color="auto"/>
      </w:divBdr>
    </w:div>
    <w:div w:id="940726746">
      <w:marLeft w:val="0"/>
      <w:marRight w:val="0"/>
      <w:marTop w:val="0"/>
      <w:marBottom w:val="0"/>
      <w:divBdr>
        <w:top w:val="none" w:sz="0" w:space="0" w:color="auto"/>
        <w:left w:val="none" w:sz="0" w:space="0" w:color="auto"/>
        <w:bottom w:val="none" w:sz="0" w:space="0" w:color="auto"/>
        <w:right w:val="none" w:sz="0" w:space="0" w:color="auto"/>
      </w:divBdr>
    </w:div>
    <w:div w:id="940726747">
      <w:marLeft w:val="0"/>
      <w:marRight w:val="0"/>
      <w:marTop w:val="0"/>
      <w:marBottom w:val="0"/>
      <w:divBdr>
        <w:top w:val="none" w:sz="0" w:space="0" w:color="auto"/>
        <w:left w:val="none" w:sz="0" w:space="0" w:color="auto"/>
        <w:bottom w:val="none" w:sz="0" w:space="0" w:color="auto"/>
        <w:right w:val="none" w:sz="0" w:space="0" w:color="auto"/>
      </w:divBdr>
    </w:div>
    <w:div w:id="940726748">
      <w:marLeft w:val="0"/>
      <w:marRight w:val="0"/>
      <w:marTop w:val="0"/>
      <w:marBottom w:val="0"/>
      <w:divBdr>
        <w:top w:val="none" w:sz="0" w:space="0" w:color="auto"/>
        <w:left w:val="none" w:sz="0" w:space="0" w:color="auto"/>
        <w:bottom w:val="none" w:sz="0" w:space="0" w:color="auto"/>
        <w:right w:val="none" w:sz="0" w:space="0" w:color="auto"/>
      </w:divBdr>
    </w:div>
    <w:div w:id="940726750">
      <w:marLeft w:val="0"/>
      <w:marRight w:val="0"/>
      <w:marTop w:val="0"/>
      <w:marBottom w:val="0"/>
      <w:divBdr>
        <w:top w:val="none" w:sz="0" w:space="0" w:color="auto"/>
        <w:left w:val="none" w:sz="0" w:space="0" w:color="auto"/>
        <w:bottom w:val="none" w:sz="0" w:space="0" w:color="auto"/>
        <w:right w:val="none" w:sz="0" w:space="0" w:color="auto"/>
      </w:divBdr>
    </w:div>
    <w:div w:id="940726752">
      <w:marLeft w:val="0"/>
      <w:marRight w:val="0"/>
      <w:marTop w:val="0"/>
      <w:marBottom w:val="0"/>
      <w:divBdr>
        <w:top w:val="none" w:sz="0" w:space="0" w:color="auto"/>
        <w:left w:val="none" w:sz="0" w:space="0" w:color="auto"/>
        <w:bottom w:val="none" w:sz="0" w:space="0" w:color="auto"/>
        <w:right w:val="none" w:sz="0" w:space="0" w:color="auto"/>
      </w:divBdr>
      <w:divsChild>
        <w:div w:id="940726740">
          <w:marLeft w:val="0"/>
          <w:marRight w:val="0"/>
          <w:marTop w:val="0"/>
          <w:marBottom w:val="0"/>
          <w:divBdr>
            <w:top w:val="none" w:sz="0" w:space="0" w:color="auto"/>
            <w:left w:val="none" w:sz="0" w:space="0" w:color="auto"/>
            <w:bottom w:val="none" w:sz="0" w:space="0" w:color="auto"/>
            <w:right w:val="none" w:sz="0" w:space="0" w:color="auto"/>
          </w:divBdr>
          <w:divsChild>
            <w:div w:id="940726755">
              <w:marLeft w:val="0"/>
              <w:marRight w:val="0"/>
              <w:marTop w:val="0"/>
              <w:marBottom w:val="0"/>
              <w:divBdr>
                <w:top w:val="none" w:sz="0" w:space="0" w:color="auto"/>
                <w:left w:val="none" w:sz="0" w:space="0" w:color="auto"/>
                <w:bottom w:val="none" w:sz="0" w:space="0" w:color="auto"/>
                <w:right w:val="none" w:sz="0" w:space="0" w:color="auto"/>
              </w:divBdr>
              <w:divsChild>
                <w:div w:id="94072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726754">
      <w:marLeft w:val="0"/>
      <w:marRight w:val="0"/>
      <w:marTop w:val="0"/>
      <w:marBottom w:val="0"/>
      <w:divBdr>
        <w:top w:val="none" w:sz="0" w:space="0" w:color="auto"/>
        <w:left w:val="none" w:sz="0" w:space="0" w:color="auto"/>
        <w:bottom w:val="none" w:sz="0" w:space="0" w:color="auto"/>
        <w:right w:val="none" w:sz="0" w:space="0" w:color="auto"/>
      </w:divBdr>
    </w:div>
    <w:div w:id="940726758">
      <w:marLeft w:val="0"/>
      <w:marRight w:val="0"/>
      <w:marTop w:val="0"/>
      <w:marBottom w:val="0"/>
      <w:divBdr>
        <w:top w:val="none" w:sz="0" w:space="0" w:color="auto"/>
        <w:left w:val="none" w:sz="0" w:space="0" w:color="auto"/>
        <w:bottom w:val="none" w:sz="0" w:space="0" w:color="auto"/>
        <w:right w:val="none" w:sz="0" w:space="0" w:color="auto"/>
      </w:divBdr>
    </w:div>
    <w:div w:id="940726778">
      <w:marLeft w:val="0"/>
      <w:marRight w:val="0"/>
      <w:marTop w:val="0"/>
      <w:marBottom w:val="0"/>
      <w:divBdr>
        <w:top w:val="none" w:sz="0" w:space="0" w:color="auto"/>
        <w:left w:val="none" w:sz="0" w:space="0" w:color="auto"/>
        <w:bottom w:val="none" w:sz="0" w:space="0" w:color="auto"/>
        <w:right w:val="none" w:sz="0" w:space="0" w:color="auto"/>
      </w:divBdr>
    </w:div>
    <w:div w:id="940726779">
      <w:marLeft w:val="0"/>
      <w:marRight w:val="0"/>
      <w:marTop w:val="0"/>
      <w:marBottom w:val="0"/>
      <w:divBdr>
        <w:top w:val="none" w:sz="0" w:space="0" w:color="auto"/>
        <w:left w:val="none" w:sz="0" w:space="0" w:color="auto"/>
        <w:bottom w:val="none" w:sz="0" w:space="0" w:color="auto"/>
        <w:right w:val="none" w:sz="0" w:space="0" w:color="auto"/>
      </w:divBdr>
      <w:divsChild>
        <w:div w:id="940726795">
          <w:marLeft w:val="0"/>
          <w:marRight w:val="0"/>
          <w:marTop w:val="0"/>
          <w:marBottom w:val="0"/>
          <w:divBdr>
            <w:top w:val="none" w:sz="0" w:space="0" w:color="auto"/>
            <w:left w:val="none" w:sz="0" w:space="0" w:color="auto"/>
            <w:bottom w:val="none" w:sz="0" w:space="0" w:color="auto"/>
            <w:right w:val="none" w:sz="0" w:space="0" w:color="auto"/>
          </w:divBdr>
          <w:divsChild>
            <w:div w:id="94072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726785">
      <w:marLeft w:val="0"/>
      <w:marRight w:val="0"/>
      <w:marTop w:val="0"/>
      <w:marBottom w:val="0"/>
      <w:divBdr>
        <w:top w:val="none" w:sz="0" w:space="0" w:color="auto"/>
        <w:left w:val="none" w:sz="0" w:space="0" w:color="auto"/>
        <w:bottom w:val="none" w:sz="0" w:space="0" w:color="auto"/>
        <w:right w:val="none" w:sz="0" w:space="0" w:color="auto"/>
      </w:divBdr>
      <w:divsChild>
        <w:div w:id="940726784">
          <w:marLeft w:val="0"/>
          <w:marRight w:val="0"/>
          <w:marTop w:val="0"/>
          <w:marBottom w:val="0"/>
          <w:divBdr>
            <w:top w:val="none" w:sz="0" w:space="0" w:color="auto"/>
            <w:left w:val="none" w:sz="0" w:space="0" w:color="auto"/>
            <w:bottom w:val="none" w:sz="0" w:space="0" w:color="auto"/>
            <w:right w:val="none" w:sz="0" w:space="0" w:color="auto"/>
          </w:divBdr>
          <w:divsChild>
            <w:div w:id="940726759">
              <w:marLeft w:val="0"/>
              <w:marRight w:val="0"/>
              <w:marTop w:val="0"/>
              <w:marBottom w:val="0"/>
              <w:divBdr>
                <w:top w:val="none" w:sz="0" w:space="0" w:color="auto"/>
                <w:left w:val="none" w:sz="0" w:space="0" w:color="auto"/>
                <w:bottom w:val="none" w:sz="0" w:space="0" w:color="auto"/>
                <w:right w:val="none" w:sz="0" w:space="0" w:color="auto"/>
              </w:divBdr>
              <w:divsChild>
                <w:div w:id="940726773">
                  <w:marLeft w:val="0"/>
                  <w:marRight w:val="0"/>
                  <w:marTop w:val="0"/>
                  <w:marBottom w:val="0"/>
                  <w:divBdr>
                    <w:top w:val="none" w:sz="0" w:space="0" w:color="auto"/>
                    <w:left w:val="none" w:sz="0" w:space="0" w:color="auto"/>
                    <w:bottom w:val="none" w:sz="0" w:space="0" w:color="auto"/>
                    <w:right w:val="none" w:sz="0" w:space="0" w:color="auto"/>
                  </w:divBdr>
                  <w:divsChild>
                    <w:div w:id="940726788">
                      <w:marLeft w:val="0"/>
                      <w:marRight w:val="0"/>
                      <w:marTop w:val="0"/>
                      <w:marBottom w:val="0"/>
                      <w:divBdr>
                        <w:top w:val="none" w:sz="0" w:space="0" w:color="auto"/>
                        <w:left w:val="none" w:sz="0" w:space="0" w:color="auto"/>
                        <w:bottom w:val="none" w:sz="0" w:space="0" w:color="auto"/>
                        <w:right w:val="none" w:sz="0" w:space="0" w:color="auto"/>
                      </w:divBdr>
                      <w:divsChild>
                        <w:div w:id="940726787">
                          <w:marLeft w:val="0"/>
                          <w:marRight w:val="0"/>
                          <w:marTop w:val="0"/>
                          <w:marBottom w:val="0"/>
                          <w:divBdr>
                            <w:top w:val="none" w:sz="0" w:space="0" w:color="auto"/>
                            <w:left w:val="none" w:sz="0" w:space="0" w:color="auto"/>
                            <w:bottom w:val="none" w:sz="0" w:space="0" w:color="auto"/>
                            <w:right w:val="none" w:sz="0" w:space="0" w:color="auto"/>
                          </w:divBdr>
                          <w:divsChild>
                            <w:div w:id="940726790">
                              <w:marLeft w:val="0"/>
                              <w:marRight w:val="0"/>
                              <w:marTop w:val="0"/>
                              <w:marBottom w:val="0"/>
                              <w:divBdr>
                                <w:top w:val="none" w:sz="0" w:space="0" w:color="auto"/>
                                <w:left w:val="none" w:sz="0" w:space="0" w:color="auto"/>
                                <w:bottom w:val="none" w:sz="0" w:space="0" w:color="auto"/>
                                <w:right w:val="none" w:sz="0" w:space="0" w:color="auto"/>
                              </w:divBdr>
                              <w:divsChild>
                                <w:div w:id="940726781">
                                  <w:marLeft w:val="0"/>
                                  <w:marRight w:val="0"/>
                                  <w:marTop w:val="0"/>
                                  <w:marBottom w:val="0"/>
                                  <w:divBdr>
                                    <w:top w:val="none" w:sz="0" w:space="0" w:color="auto"/>
                                    <w:left w:val="none" w:sz="0" w:space="0" w:color="auto"/>
                                    <w:bottom w:val="none" w:sz="0" w:space="0" w:color="auto"/>
                                    <w:right w:val="none" w:sz="0" w:space="0" w:color="auto"/>
                                  </w:divBdr>
                                  <w:divsChild>
                                    <w:div w:id="940726760">
                                      <w:marLeft w:val="0"/>
                                      <w:marRight w:val="0"/>
                                      <w:marTop w:val="0"/>
                                      <w:marBottom w:val="0"/>
                                      <w:divBdr>
                                        <w:top w:val="none" w:sz="0" w:space="0" w:color="auto"/>
                                        <w:left w:val="none" w:sz="0" w:space="0" w:color="auto"/>
                                        <w:bottom w:val="none" w:sz="0" w:space="0" w:color="auto"/>
                                        <w:right w:val="none" w:sz="0" w:space="0" w:color="auto"/>
                                      </w:divBdr>
                                      <w:divsChild>
                                        <w:div w:id="940726729">
                                          <w:marLeft w:val="0"/>
                                          <w:marRight w:val="0"/>
                                          <w:marTop w:val="0"/>
                                          <w:marBottom w:val="0"/>
                                          <w:divBdr>
                                            <w:top w:val="none" w:sz="0" w:space="0" w:color="auto"/>
                                            <w:left w:val="none" w:sz="0" w:space="0" w:color="auto"/>
                                            <w:bottom w:val="none" w:sz="0" w:space="0" w:color="auto"/>
                                            <w:right w:val="none" w:sz="0" w:space="0" w:color="auto"/>
                                          </w:divBdr>
                                          <w:divsChild>
                                            <w:div w:id="940726725">
                                              <w:marLeft w:val="0"/>
                                              <w:marRight w:val="0"/>
                                              <w:marTop w:val="0"/>
                                              <w:marBottom w:val="0"/>
                                              <w:divBdr>
                                                <w:top w:val="none" w:sz="0" w:space="0" w:color="auto"/>
                                                <w:left w:val="none" w:sz="0" w:space="0" w:color="auto"/>
                                                <w:bottom w:val="none" w:sz="0" w:space="0" w:color="auto"/>
                                                <w:right w:val="none" w:sz="0" w:space="0" w:color="auto"/>
                                              </w:divBdr>
                                              <w:divsChild>
                                                <w:div w:id="940726724">
                                                  <w:marLeft w:val="0"/>
                                                  <w:marRight w:val="0"/>
                                                  <w:marTop w:val="0"/>
                                                  <w:marBottom w:val="0"/>
                                                  <w:divBdr>
                                                    <w:top w:val="none" w:sz="0" w:space="0" w:color="auto"/>
                                                    <w:left w:val="none" w:sz="0" w:space="0" w:color="auto"/>
                                                    <w:bottom w:val="none" w:sz="0" w:space="0" w:color="auto"/>
                                                    <w:right w:val="none" w:sz="0" w:space="0" w:color="auto"/>
                                                  </w:divBdr>
                                                  <w:divsChild>
                                                    <w:div w:id="940726765">
                                                      <w:marLeft w:val="0"/>
                                                      <w:marRight w:val="0"/>
                                                      <w:marTop w:val="0"/>
                                                      <w:marBottom w:val="0"/>
                                                      <w:divBdr>
                                                        <w:top w:val="none" w:sz="0" w:space="0" w:color="auto"/>
                                                        <w:left w:val="none" w:sz="0" w:space="0" w:color="auto"/>
                                                        <w:bottom w:val="none" w:sz="0" w:space="0" w:color="auto"/>
                                                        <w:right w:val="none" w:sz="0" w:space="0" w:color="auto"/>
                                                      </w:divBdr>
                                                      <w:divsChild>
                                                        <w:div w:id="940726726">
                                                          <w:marLeft w:val="0"/>
                                                          <w:marRight w:val="0"/>
                                                          <w:marTop w:val="0"/>
                                                          <w:marBottom w:val="0"/>
                                                          <w:divBdr>
                                                            <w:top w:val="none" w:sz="0" w:space="0" w:color="auto"/>
                                                            <w:left w:val="none" w:sz="0" w:space="0" w:color="auto"/>
                                                            <w:bottom w:val="none" w:sz="0" w:space="0" w:color="auto"/>
                                                            <w:right w:val="none" w:sz="0" w:space="0" w:color="auto"/>
                                                          </w:divBdr>
                                                        </w:div>
                                                        <w:div w:id="940726727">
                                                          <w:marLeft w:val="0"/>
                                                          <w:marRight w:val="0"/>
                                                          <w:marTop w:val="0"/>
                                                          <w:marBottom w:val="0"/>
                                                          <w:divBdr>
                                                            <w:top w:val="none" w:sz="0" w:space="0" w:color="auto"/>
                                                            <w:left w:val="none" w:sz="0" w:space="0" w:color="auto"/>
                                                            <w:bottom w:val="none" w:sz="0" w:space="0" w:color="auto"/>
                                                            <w:right w:val="none" w:sz="0" w:space="0" w:color="auto"/>
                                                          </w:divBdr>
                                                        </w:div>
                                                        <w:div w:id="940726728">
                                                          <w:marLeft w:val="0"/>
                                                          <w:marRight w:val="0"/>
                                                          <w:marTop w:val="0"/>
                                                          <w:marBottom w:val="0"/>
                                                          <w:divBdr>
                                                            <w:top w:val="none" w:sz="0" w:space="0" w:color="auto"/>
                                                            <w:left w:val="none" w:sz="0" w:space="0" w:color="auto"/>
                                                            <w:bottom w:val="none" w:sz="0" w:space="0" w:color="auto"/>
                                                            <w:right w:val="none" w:sz="0" w:space="0" w:color="auto"/>
                                                          </w:divBdr>
                                                        </w:div>
                                                        <w:div w:id="940726730">
                                                          <w:marLeft w:val="0"/>
                                                          <w:marRight w:val="0"/>
                                                          <w:marTop w:val="0"/>
                                                          <w:marBottom w:val="0"/>
                                                          <w:divBdr>
                                                            <w:top w:val="none" w:sz="0" w:space="0" w:color="auto"/>
                                                            <w:left w:val="none" w:sz="0" w:space="0" w:color="auto"/>
                                                            <w:bottom w:val="none" w:sz="0" w:space="0" w:color="auto"/>
                                                            <w:right w:val="none" w:sz="0" w:space="0" w:color="auto"/>
                                                          </w:divBdr>
                                                        </w:div>
                                                        <w:div w:id="940726731">
                                                          <w:marLeft w:val="0"/>
                                                          <w:marRight w:val="0"/>
                                                          <w:marTop w:val="0"/>
                                                          <w:marBottom w:val="0"/>
                                                          <w:divBdr>
                                                            <w:top w:val="none" w:sz="0" w:space="0" w:color="auto"/>
                                                            <w:left w:val="none" w:sz="0" w:space="0" w:color="auto"/>
                                                            <w:bottom w:val="none" w:sz="0" w:space="0" w:color="auto"/>
                                                            <w:right w:val="none" w:sz="0" w:space="0" w:color="auto"/>
                                                          </w:divBdr>
                                                        </w:div>
                                                        <w:div w:id="940726761">
                                                          <w:marLeft w:val="0"/>
                                                          <w:marRight w:val="0"/>
                                                          <w:marTop w:val="0"/>
                                                          <w:marBottom w:val="0"/>
                                                          <w:divBdr>
                                                            <w:top w:val="none" w:sz="0" w:space="0" w:color="auto"/>
                                                            <w:left w:val="none" w:sz="0" w:space="0" w:color="auto"/>
                                                            <w:bottom w:val="none" w:sz="0" w:space="0" w:color="auto"/>
                                                            <w:right w:val="none" w:sz="0" w:space="0" w:color="auto"/>
                                                          </w:divBdr>
                                                        </w:div>
                                                        <w:div w:id="940726762">
                                                          <w:marLeft w:val="0"/>
                                                          <w:marRight w:val="0"/>
                                                          <w:marTop w:val="0"/>
                                                          <w:marBottom w:val="0"/>
                                                          <w:divBdr>
                                                            <w:top w:val="none" w:sz="0" w:space="0" w:color="auto"/>
                                                            <w:left w:val="none" w:sz="0" w:space="0" w:color="auto"/>
                                                            <w:bottom w:val="none" w:sz="0" w:space="0" w:color="auto"/>
                                                            <w:right w:val="none" w:sz="0" w:space="0" w:color="auto"/>
                                                          </w:divBdr>
                                                        </w:div>
                                                        <w:div w:id="940726763">
                                                          <w:marLeft w:val="0"/>
                                                          <w:marRight w:val="0"/>
                                                          <w:marTop w:val="0"/>
                                                          <w:marBottom w:val="0"/>
                                                          <w:divBdr>
                                                            <w:top w:val="none" w:sz="0" w:space="0" w:color="auto"/>
                                                            <w:left w:val="none" w:sz="0" w:space="0" w:color="auto"/>
                                                            <w:bottom w:val="none" w:sz="0" w:space="0" w:color="auto"/>
                                                            <w:right w:val="none" w:sz="0" w:space="0" w:color="auto"/>
                                                          </w:divBdr>
                                                        </w:div>
                                                        <w:div w:id="940726764">
                                                          <w:marLeft w:val="0"/>
                                                          <w:marRight w:val="0"/>
                                                          <w:marTop w:val="0"/>
                                                          <w:marBottom w:val="0"/>
                                                          <w:divBdr>
                                                            <w:top w:val="none" w:sz="0" w:space="0" w:color="auto"/>
                                                            <w:left w:val="none" w:sz="0" w:space="0" w:color="auto"/>
                                                            <w:bottom w:val="none" w:sz="0" w:space="0" w:color="auto"/>
                                                            <w:right w:val="none" w:sz="0" w:space="0" w:color="auto"/>
                                                          </w:divBdr>
                                                        </w:div>
                                                        <w:div w:id="940726766">
                                                          <w:marLeft w:val="0"/>
                                                          <w:marRight w:val="0"/>
                                                          <w:marTop w:val="0"/>
                                                          <w:marBottom w:val="0"/>
                                                          <w:divBdr>
                                                            <w:top w:val="none" w:sz="0" w:space="0" w:color="auto"/>
                                                            <w:left w:val="none" w:sz="0" w:space="0" w:color="auto"/>
                                                            <w:bottom w:val="none" w:sz="0" w:space="0" w:color="auto"/>
                                                            <w:right w:val="none" w:sz="0" w:space="0" w:color="auto"/>
                                                          </w:divBdr>
                                                        </w:div>
                                                        <w:div w:id="940726767">
                                                          <w:marLeft w:val="0"/>
                                                          <w:marRight w:val="0"/>
                                                          <w:marTop w:val="0"/>
                                                          <w:marBottom w:val="0"/>
                                                          <w:divBdr>
                                                            <w:top w:val="none" w:sz="0" w:space="0" w:color="auto"/>
                                                            <w:left w:val="none" w:sz="0" w:space="0" w:color="auto"/>
                                                            <w:bottom w:val="none" w:sz="0" w:space="0" w:color="auto"/>
                                                            <w:right w:val="none" w:sz="0" w:space="0" w:color="auto"/>
                                                          </w:divBdr>
                                                        </w:div>
                                                        <w:div w:id="940726768">
                                                          <w:marLeft w:val="0"/>
                                                          <w:marRight w:val="0"/>
                                                          <w:marTop w:val="0"/>
                                                          <w:marBottom w:val="0"/>
                                                          <w:divBdr>
                                                            <w:top w:val="none" w:sz="0" w:space="0" w:color="auto"/>
                                                            <w:left w:val="none" w:sz="0" w:space="0" w:color="auto"/>
                                                            <w:bottom w:val="none" w:sz="0" w:space="0" w:color="auto"/>
                                                            <w:right w:val="none" w:sz="0" w:space="0" w:color="auto"/>
                                                          </w:divBdr>
                                                        </w:div>
                                                        <w:div w:id="940726769">
                                                          <w:marLeft w:val="0"/>
                                                          <w:marRight w:val="0"/>
                                                          <w:marTop w:val="0"/>
                                                          <w:marBottom w:val="0"/>
                                                          <w:divBdr>
                                                            <w:top w:val="none" w:sz="0" w:space="0" w:color="auto"/>
                                                            <w:left w:val="none" w:sz="0" w:space="0" w:color="auto"/>
                                                            <w:bottom w:val="none" w:sz="0" w:space="0" w:color="auto"/>
                                                            <w:right w:val="none" w:sz="0" w:space="0" w:color="auto"/>
                                                          </w:divBdr>
                                                        </w:div>
                                                        <w:div w:id="940726770">
                                                          <w:marLeft w:val="0"/>
                                                          <w:marRight w:val="0"/>
                                                          <w:marTop w:val="0"/>
                                                          <w:marBottom w:val="0"/>
                                                          <w:divBdr>
                                                            <w:top w:val="none" w:sz="0" w:space="0" w:color="auto"/>
                                                            <w:left w:val="none" w:sz="0" w:space="0" w:color="auto"/>
                                                            <w:bottom w:val="none" w:sz="0" w:space="0" w:color="auto"/>
                                                            <w:right w:val="none" w:sz="0" w:space="0" w:color="auto"/>
                                                          </w:divBdr>
                                                        </w:div>
                                                        <w:div w:id="940726772">
                                                          <w:marLeft w:val="0"/>
                                                          <w:marRight w:val="0"/>
                                                          <w:marTop w:val="0"/>
                                                          <w:marBottom w:val="0"/>
                                                          <w:divBdr>
                                                            <w:top w:val="none" w:sz="0" w:space="0" w:color="auto"/>
                                                            <w:left w:val="none" w:sz="0" w:space="0" w:color="auto"/>
                                                            <w:bottom w:val="none" w:sz="0" w:space="0" w:color="auto"/>
                                                            <w:right w:val="none" w:sz="0" w:space="0" w:color="auto"/>
                                                          </w:divBdr>
                                                        </w:div>
                                                        <w:div w:id="940726774">
                                                          <w:marLeft w:val="0"/>
                                                          <w:marRight w:val="0"/>
                                                          <w:marTop w:val="0"/>
                                                          <w:marBottom w:val="0"/>
                                                          <w:divBdr>
                                                            <w:top w:val="none" w:sz="0" w:space="0" w:color="auto"/>
                                                            <w:left w:val="none" w:sz="0" w:space="0" w:color="auto"/>
                                                            <w:bottom w:val="none" w:sz="0" w:space="0" w:color="auto"/>
                                                            <w:right w:val="none" w:sz="0" w:space="0" w:color="auto"/>
                                                          </w:divBdr>
                                                        </w:div>
                                                        <w:div w:id="940726775">
                                                          <w:marLeft w:val="0"/>
                                                          <w:marRight w:val="0"/>
                                                          <w:marTop w:val="0"/>
                                                          <w:marBottom w:val="0"/>
                                                          <w:divBdr>
                                                            <w:top w:val="none" w:sz="0" w:space="0" w:color="auto"/>
                                                            <w:left w:val="none" w:sz="0" w:space="0" w:color="auto"/>
                                                            <w:bottom w:val="none" w:sz="0" w:space="0" w:color="auto"/>
                                                            <w:right w:val="none" w:sz="0" w:space="0" w:color="auto"/>
                                                          </w:divBdr>
                                                        </w:div>
                                                        <w:div w:id="940726776">
                                                          <w:marLeft w:val="0"/>
                                                          <w:marRight w:val="0"/>
                                                          <w:marTop w:val="0"/>
                                                          <w:marBottom w:val="0"/>
                                                          <w:divBdr>
                                                            <w:top w:val="none" w:sz="0" w:space="0" w:color="auto"/>
                                                            <w:left w:val="none" w:sz="0" w:space="0" w:color="auto"/>
                                                            <w:bottom w:val="none" w:sz="0" w:space="0" w:color="auto"/>
                                                            <w:right w:val="none" w:sz="0" w:space="0" w:color="auto"/>
                                                          </w:divBdr>
                                                        </w:div>
                                                        <w:div w:id="940726777">
                                                          <w:marLeft w:val="0"/>
                                                          <w:marRight w:val="0"/>
                                                          <w:marTop w:val="0"/>
                                                          <w:marBottom w:val="0"/>
                                                          <w:divBdr>
                                                            <w:top w:val="none" w:sz="0" w:space="0" w:color="auto"/>
                                                            <w:left w:val="none" w:sz="0" w:space="0" w:color="auto"/>
                                                            <w:bottom w:val="none" w:sz="0" w:space="0" w:color="auto"/>
                                                            <w:right w:val="none" w:sz="0" w:space="0" w:color="auto"/>
                                                          </w:divBdr>
                                                        </w:div>
                                                        <w:div w:id="940726780">
                                                          <w:marLeft w:val="0"/>
                                                          <w:marRight w:val="0"/>
                                                          <w:marTop w:val="0"/>
                                                          <w:marBottom w:val="0"/>
                                                          <w:divBdr>
                                                            <w:top w:val="none" w:sz="0" w:space="0" w:color="auto"/>
                                                            <w:left w:val="none" w:sz="0" w:space="0" w:color="auto"/>
                                                            <w:bottom w:val="none" w:sz="0" w:space="0" w:color="auto"/>
                                                            <w:right w:val="none" w:sz="0" w:space="0" w:color="auto"/>
                                                          </w:divBdr>
                                                        </w:div>
                                                        <w:div w:id="940726782">
                                                          <w:marLeft w:val="0"/>
                                                          <w:marRight w:val="0"/>
                                                          <w:marTop w:val="0"/>
                                                          <w:marBottom w:val="0"/>
                                                          <w:divBdr>
                                                            <w:top w:val="none" w:sz="0" w:space="0" w:color="auto"/>
                                                            <w:left w:val="none" w:sz="0" w:space="0" w:color="auto"/>
                                                            <w:bottom w:val="none" w:sz="0" w:space="0" w:color="auto"/>
                                                            <w:right w:val="none" w:sz="0" w:space="0" w:color="auto"/>
                                                          </w:divBdr>
                                                        </w:div>
                                                        <w:div w:id="940726783">
                                                          <w:marLeft w:val="0"/>
                                                          <w:marRight w:val="0"/>
                                                          <w:marTop w:val="0"/>
                                                          <w:marBottom w:val="0"/>
                                                          <w:divBdr>
                                                            <w:top w:val="none" w:sz="0" w:space="0" w:color="auto"/>
                                                            <w:left w:val="none" w:sz="0" w:space="0" w:color="auto"/>
                                                            <w:bottom w:val="none" w:sz="0" w:space="0" w:color="auto"/>
                                                            <w:right w:val="none" w:sz="0" w:space="0" w:color="auto"/>
                                                          </w:divBdr>
                                                        </w:div>
                                                        <w:div w:id="940726786">
                                                          <w:marLeft w:val="0"/>
                                                          <w:marRight w:val="0"/>
                                                          <w:marTop w:val="0"/>
                                                          <w:marBottom w:val="0"/>
                                                          <w:divBdr>
                                                            <w:top w:val="none" w:sz="0" w:space="0" w:color="auto"/>
                                                            <w:left w:val="none" w:sz="0" w:space="0" w:color="auto"/>
                                                            <w:bottom w:val="none" w:sz="0" w:space="0" w:color="auto"/>
                                                            <w:right w:val="none" w:sz="0" w:space="0" w:color="auto"/>
                                                          </w:divBdr>
                                                        </w:div>
                                                        <w:div w:id="940726789">
                                                          <w:marLeft w:val="0"/>
                                                          <w:marRight w:val="0"/>
                                                          <w:marTop w:val="0"/>
                                                          <w:marBottom w:val="0"/>
                                                          <w:divBdr>
                                                            <w:top w:val="none" w:sz="0" w:space="0" w:color="auto"/>
                                                            <w:left w:val="none" w:sz="0" w:space="0" w:color="auto"/>
                                                            <w:bottom w:val="none" w:sz="0" w:space="0" w:color="auto"/>
                                                            <w:right w:val="none" w:sz="0" w:space="0" w:color="auto"/>
                                                          </w:divBdr>
                                                        </w:div>
                                                        <w:div w:id="940726791">
                                                          <w:marLeft w:val="0"/>
                                                          <w:marRight w:val="0"/>
                                                          <w:marTop w:val="0"/>
                                                          <w:marBottom w:val="0"/>
                                                          <w:divBdr>
                                                            <w:top w:val="none" w:sz="0" w:space="0" w:color="auto"/>
                                                            <w:left w:val="none" w:sz="0" w:space="0" w:color="auto"/>
                                                            <w:bottom w:val="none" w:sz="0" w:space="0" w:color="auto"/>
                                                            <w:right w:val="none" w:sz="0" w:space="0" w:color="auto"/>
                                                          </w:divBdr>
                                                        </w:div>
                                                        <w:div w:id="940726792">
                                                          <w:marLeft w:val="0"/>
                                                          <w:marRight w:val="0"/>
                                                          <w:marTop w:val="0"/>
                                                          <w:marBottom w:val="0"/>
                                                          <w:divBdr>
                                                            <w:top w:val="none" w:sz="0" w:space="0" w:color="auto"/>
                                                            <w:left w:val="none" w:sz="0" w:space="0" w:color="auto"/>
                                                            <w:bottom w:val="none" w:sz="0" w:space="0" w:color="auto"/>
                                                            <w:right w:val="none" w:sz="0" w:space="0" w:color="auto"/>
                                                          </w:divBdr>
                                                        </w:div>
                                                        <w:div w:id="940726793">
                                                          <w:marLeft w:val="0"/>
                                                          <w:marRight w:val="0"/>
                                                          <w:marTop w:val="0"/>
                                                          <w:marBottom w:val="0"/>
                                                          <w:divBdr>
                                                            <w:top w:val="none" w:sz="0" w:space="0" w:color="auto"/>
                                                            <w:left w:val="none" w:sz="0" w:space="0" w:color="auto"/>
                                                            <w:bottom w:val="none" w:sz="0" w:space="0" w:color="auto"/>
                                                            <w:right w:val="none" w:sz="0" w:space="0" w:color="auto"/>
                                                          </w:divBdr>
                                                        </w:div>
                                                        <w:div w:id="940726794">
                                                          <w:marLeft w:val="0"/>
                                                          <w:marRight w:val="0"/>
                                                          <w:marTop w:val="0"/>
                                                          <w:marBottom w:val="0"/>
                                                          <w:divBdr>
                                                            <w:top w:val="none" w:sz="0" w:space="0" w:color="auto"/>
                                                            <w:left w:val="none" w:sz="0" w:space="0" w:color="auto"/>
                                                            <w:bottom w:val="none" w:sz="0" w:space="0" w:color="auto"/>
                                                            <w:right w:val="none" w:sz="0" w:space="0" w:color="auto"/>
                                                          </w:divBdr>
                                                        </w:div>
                                                        <w:div w:id="940726796">
                                                          <w:marLeft w:val="0"/>
                                                          <w:marRight w:val="0"/>
                                                          <w:marTop w:val="0"/>
                                                          <w:marBottom w:val="0"/>
                                                          <w:divBdr>
                                                            <w:top w:val="none" w:sz="0" w:space="0" w:color="auto"/>
                                                            <w:left w:val="none" w:sz="0" w:space="0" w:color="auto"/>
                                                            <w:bottom w:val="none" w:sz="0" w:space="0" w:color="auto"/>
                                                            <w:right w:val="none" w:sz="0" w:space="0" w:color="auto"/>
                                                          </w:divBdr>
                                                        </w:div>
                                                        <w:div w:id="940726797">
                                                          <w:marLeft w:val="0"/>
                                                          <w:marRight w:val="0"/>
                                                          <w:marTop w:val="0"/>
                                                          <w:marBottom w:val="0"/>
                                                          <w:divBdr>
                                                            <w:top w:val="none" w:sz="0" w:space="0" w:color="auto"/>
                                                            <w:left w:val="none" w:sz="0" w:space="0" w:color="auto"/>
                                                            <w:bottom w:val="none" w:sz="0" w:space="0" w:color="auto"/>
                                                            <w:right w:val="none" w:sz="0" w:space="0" w:color="auto"/>
                                                          </w:divBdr>
                                                        </w:div>
                                                        <w:div w:id="940726798">
                                                          <w:marLeft w:val="0"/>
                                                          <w:marRight w:val="0"/>
                                                          <w:marTop w:val="0"/>
                                                          <w:marBottom w:val="0"/>
                                                          <w:divBdr>
                                                            <w:top w:val="none" w:sz="0" w:space="0" w:color="auto"/>
                                                            <w:left w:val="none" w:sz="0" w:space="0" w:color="auto"/>
                                                            <w:bottom w:val="none" w:sz="0" w:space="0" w:color="auto"/>
                                                            <w:right w:val="none" w:sz="0" w:space="0" w:color="auto"/>
                                                          </w:divBdr>
                                                        </w:div>
                                                        <w:div w:id="940726799">
                                                          <w:marLeft w:val="0"/>
                                                          <w:marRight w:val="0"/>
                                                          <w:marTop w:val="0"/>
                                                          <w:marBottom w:val="0"/>
                                                          <w:divBdr>
                                                            <w:top w:val="none" w:sz="0" w:space="0" w:color="auto"/>
                                                            <w:left w:val="none" w:sz="0" w:space="0" w:color="auto"/>
                                                            <w:bottom w:val="none" w:sz="0" w:space="0" w:color="auto"/>
                                                            <w:right w:val="none" w:sz="0" w:space="0" w:color="auto"/>
                                                          </w:divBdr>
                                                        </w:div>
                                                        <w:div w:id="940726800">
                                                          <w:marLeft w:val="0"/>
                                                          <w:marRight w:val="0"/>
                                                          <w:marTop w:val="0"/>
                                                          <w:marBottom w:val="0"/>
                                                          <w:divBdr>
                                                            <w:top w:val="none" w:sz="0" w:space="0" w:color="auto"/>
                                                            <w:left w:val="none" w:sz="0" w:space="0" w:color="auto"/>
                                                            <w:bottom w:val="none" w:sz="0" w:space="0" w:color="auto"/>
                                                            <w:right w:val="none" w:sz="0" w:space="0" w:color="auto"/>
                                                          </w:divBdr>
                                                        </w:div>
                                                        <w:div w:id="940726801">
                                                          <w:marLeft w:val="0"/>
                                                          <w:marRight w:val="0"/>
                                                          <w:marTop w:val="0"/>
                                                          <w:marBottom w:val="0"/>
                                                          <w:divBdr>
                                                            <w:top w:val="none" w:sz="0" w:space="0" w:color="auto"/>
                                                            <w:left w:val="none" w:sz="0" w:space="0" w:color="auto"/>
                                                            <w:bottom w:val="none" w:sz="0" w:space="0" w:color="auto"/>
                                                            <w:right w:val="none" w:sz="0" w:space="0" w:color="auto"/>
                                                          </w:divBdr>
                                                        </w:div>
                                                        <w:div w:id="940726802">
                                                          <w:marLeft w:val="0"/>
                                                          <w:marRight w:val="0"/>
                                                          <w:marTop w:val="0"/>
                                                          <w:marBottom w:val="0"/>
                                                          <w:divBdr>
                                                            <w:top w:val="none" w:sz="0" w:space="0" w:color="auto"/>
                                                            <w:left w:val="none" w:sz="0" w:space="0" w:color="auto"/>
                                                            <w:bottom w:val="none" w:sz="0" w:space="0" w:color="auto"/>
                                                            <w:right w:val="none" w:sz="0" w:space="0" w:color="auto"/>
                                                          </w:divBdr>
                                                        </w:div>
                                                        <w:div w:id="9407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8161">
      <w:bodyDiv w:val="1"/>
      <w:marLeft w:val="0"/>
      <w:marRight w:val="0"/>
      <w:marTop w:val="0"/>
      <w:marBottom w:val="0"/>
      <w:divBdr>
        <w:top w:val="none" w:sz="0" w:space="0" w:color="auto"/>
        <w:left w:val="none" w:sz="0" w:space="0" w:color="auto"/>
        <w:bottom w:val="none" w:sz="0" w:space="0" w:color="auto"/>
        <w:right w:val="none" w:sz="0" w:space="0" w:color="auto"/>
      </w:divBdr>
    </w:div>
    <w:div w:id="1062607031">
      <w:bodyDiv w:val="1"/>
      <w:marLeft w:val="0"/>
      <w:marRight w:val="0"/>
      <w:marTop w:val="0"/>
      <w:marBottom w:val="0"/>
      <w:divBdr>
        <w:top w:val="none" w:sz="0" w:space="0" w:color="auto"/>
        <w:left w:val="none" w:sz="0" w:space="0" w:color="auto"/>
        <w:bottom w:val="none" w:sz="0" w:space="0" w:color="auto"/>
        <w:right w:val="none" w:sz="0" w:space="0" w:color="auto"/>
      </w:divBdr>
    </w:div>
    <w:div w:id="1071973567">
      <w:bodyDiv w:val="1"/>
      <w:marLeft w:val="0"/>
      <w:marRight w:val="0"/>
      <w:marTop w:val="0"/>
      <w:marBottom w:val="0"/>
      <w:divBdr>
        <w:top w:val="none" w:sz="0" w:space="0" w:color="auto"/>
        <w:left w:val="none" w:sz="0" w:space="0" w:color="auto"/>
        <w:bottom w:val="none" w:sz="0" w:space="0" w:color="auto"/>
        <w:right w:val="none" w:sz="0" w:space="0" w:color="auto"/>
      </w:divBdr>
    </w:div>
    <w:div w:id="1111321302">
      <w:bodyDiv w:val="1"/>
      <w:marLeft w:val="0"/>
      <w:marRight w:val="0"/>
      <w:marTop w:val="0"/>
      <w:marBottom w:val="0"/>
      <w:divBdr>
        <w:top w:val="none" w:sz="0" w:space="0" w:color="auto"/>
        <w:left w:val="none" w:sz="0" w:space="0" w:color="auto"/>
        <w:bottom w:val="none" w:sz="0" w:space="0" w:color="auto"/>
        <w:right w:val="none" w:sz="0" w:space="0" w:color="auto"/>
      </w:divBdr>
    </w:div>
    <w:div w:id="1115520544">
      <w:bodyDiv w:val="1"/>
      <w:marLeft w:val="0"/>
      <w:marRight w:val="0"/>
      <w:marTop w:val="0"/>
      <w:marBottom w:val="0"/>
      <w:divBdr>
        <w:top w:val="none" w:sz="0" w:space="0" w:color="auto"/>
        <w:left w:val="none" w:sz="0" w:space="0" w:color="auto"/>
        <w:bottom w:val="none" w:sz="0" w:space="0" w:color="auto"/>
        <w:right w:val="none" w:sz="0" w:space="0" w:color="auto"/>
      </w:divBdr>
    </w:div>
    <w:div w:id="1141852157">
      <w:bodyDiv w:val="1"/>
      <w:marLeft w:val="0"/>
      <w:marRight w:val="0"/>
      <w:marTop w:val="0"/>
      <w:marBottom w:val="0"/>
      <w:divBdr>
        <w:top w:val="none" w:sz="0" w:space="0" w:color="auto"/>
        <w:left w:val="none" w:sz="0" w:space="0" w:color="auto"/>
        <w:bottom w:val="none" w:sz="0" w:space="0" w:color="auto"/>
        <w:right w:val="none" w:sz="0" w:space="0" w:color="auto"/>
      </w:divBdr>
    </w:div>
    <w:div w:id="1232160553">
      <w:bodyDiv w:val="1"/>
      <w:marLeft w:val="0"/>
      <w:marRight w:val="0"/>
      <w:marTop w:val="0"/>
      <w:marBottom w:val="0"/>
      <w:divBdr>
        <w:top w:val="none" w:sz="0" w:space="0" w:color="auto"/>
        <w:left w:val="none" w:sz="0" w:space="0" w:color="auto"/>
        <w:bottom w:val="none" w:sz="0" w:space="0" w:color="auto"/>
        <w:right w:val="none" w:sz="0" w:space="0" w:color="auto"/>
      </w:divBdr>
    </w:div>
    <w:div w:id="1305161266">
      <w:bodyDiv w:val="1"/>
      <w:marLeft w:val="0"/>
      <w:marRight w:val="0"/>
      <w:marTop w:val="0"/>
      <w:marBottom w:val="0"/>
      <w:divBdr>
        <w:top w:val="none" w:sz="0" w:space="0" w:color="auto"/>
        <w:left w:val="none" w:sz="0" w:space="0" w:color="auto"/>
        <w:bottom w:val="none" w:sz="0" w:space="0" w:color="auto"/>
        <w:right w:val="none" w:sz="0" w:space="0" w:color="auto"/>
      </w:divBdr>
    </w:div>
    <w:div w:id="1406955147">
      <w:bodyDiv w:val="1"/>
      <w:marLeft w:val="0"/>
      <w:marRight w:val="0"/>
      <w:marTop w:val="0"/>
      <w:marBottom w:val="0"/>
      <w:divBdr>
        <w:top w:val="none" w:sz="0" w:space="0" w:color="auto"/>
        <w:left w:val="none" w:sz="0" w:space="0" w:color="auto"/>
        <w:bottom w:val="none" w:sz="0" w:space="0" w:color="auto"/>
        <w:right w:val="none" w:sz="0" w:space="0" w:color="auto"/>
      </w:divBdr>
    </w:div>
    <w:div w:id="1418751971">
      <w:bodyDiv w:val="1"/>
      <w:marLeft w:val="0"/>
      <w:marRight w:val="0"/>
      <w:marTop w:val="0"/>
      <w:marBottom w:val="0"/>
      <w:divBdr>
        <w:top w:val="none" w:sz="0" w:space="0" w:color="auto"/>
        <w:left w:val="none" w:sz="0" w:space="0" w:color="auto"/>
        <w:bottom w:val="none" w:sz="0" w:space="0" w:color="auto"/>
        <w:right w:val="none" w:sz="0" w:space="0" w:color="auto"/>
      </w:divBdr>
    </w:div>
    <w:div w:id="1429934891">
      <w:bodyDiv w:val="1"/>
      <w:marLeft w:val="0"/>
      <w:marRight w:val="0"/>
      <w:marTop w:val="0"/>
      <w:marBottom w:val="0"/>
      <w:divBdr>
        <w:top w:val="none" w:sz="0" w:space="0" w:color="auto"/>
        <w:left w:val="none" w:sz="0" w:space="0" w:color="auto"/>
        <w:bottom w:val="none" w:sz="0" w:space="0" w:color="auto"/>
        <w:right w:val="none" w:sz="0" w:space="0" w:color="auto"/>
      </w:divBdr>
    </w:div>
    <w:div w:id="1431701508">
      <w:bodyDiv w:val="1"/>
      <w:marLeft w:val="0"/>
      <w:marRight w:val="0"/>
      <w:marTop w:val="0"/>
      <w:marBottom w:val="0"/>
      <w:divBdr>
        <w:top w:val="none" w:sz="0" w:space="0" w:color="auto"/>
        <w:left w:val="none" w:sz="0" w:space="0" w:color="auto"/>
        <w:bottom w:val="none" w:sz="0" w:space="0" w:color="auto"/>
        <w:right w:val="none" w:sz="0" w:space="0" w:color="auto"/>
      </w:divBdr>
    </w:div>
    <w:div w:id="1443764315">
      <w:bodyDiv w:val="1"/>
      <w:marLeft w:val="0"/>
      <w:marRight w:val="0"/>
      <w:marTop w:val="0"/>
      <w:marBottom w:val="0"/>
      <w:divBdr>
        <w:top w:val="none" w:sz="0" w:space="0" w:color="auto"/>
        <w:left w:val="none" w:sz="0" w:space="0" w:color="auto"/>
        <w:bottom w:val="none" w:sz="0" w:space="0" w:color="auto"/>
        <w:right w:val="none" w:sz="0" w:space="0" w:color="auto"/>
      </w:divBdr>
    </w:div>
    <w:div w:id="1509059072">
      <w:bodyDiv w:val="1"/>
      <w:marLeft w:val="0"/>
      <w:marRight w:val="0"/>
      <w:marTop w:val="0"/>
      <w:marBottom w:val="0"/>
      <w:divBdr>
        <w:top w:val="none" w:sz="0" w:space="0" w:color="auto"/>
        <w:left w:val="none" w:sz="0" w:space="0" w:color="auto"/>
        <w:bottom w:val="none" w:sz="0" w:space="0" w:color="auto"/>
        <w:right w:val="none" w:sz="0" w:space="0" w:color="auto"/>
      </w:divBdr>
    </w:div>
    <w:div w:id="1541161054">
      <w:bodyDiv w:val="1"/>
      <w:marLeft w:val="0"/>
      <w:marRight w:val="0"/>
      <w:marTop w:val="0"/>
      <w:marBottom w:val="0"/>
      <w:divBdr>
        <w:top w:val="none" w:sz="0" w:space="0" w:color="auto"/>
        <w:left w:val="none" w:sz="0" w:space="0" w:color="auto"/>
        <w:bottom w:val="none" w:sz="0" w:space="0" w:color="auto"/>
        <w:right w:val="none" w:sz="0" w:space="0" w:color="auto"/>
      </w:divBdr>
      <w:divsChild>
        <w:div w:id="1336373549">
          <w:marLeft w:val="0"/>
          <w:marRight w:val="0"/>
          <w:marTop w:val="0"/>
          <w:marBottom w:val="0"/>
          <w:divBdr>
            <w:top w:val="none" w:sz="0" w:space="0" w:color="auto"/>
            <w:left w:val="none" w:sz="0" w:space="0" w:color="auto"/>
            <w:bottom w:val="none" w:sz="0" w:space="0" w:color="auto"/>
            <w:right w:val="none" w:sz="0" w:space="0" w:color="auto"/>
          </w:divBdr>
          <w:divsChild>
            <w:div w:id="550115458">
              <w:marLeft w:val="0"/>
              <w:marRight w:val="0"/>
              <w:marTop w:val="0"/>
              <w:marBottom w:val="0"/>
              <w:divBdr>
                <w:top w:val="none" w:sz="0" w:space="0" w:color="auto"/>
                <w:left w:val="none" w:sz="0" w:space="0" w:color="auto"/>
                <w:bottom w:val="none" w:sz="0" w:space="0" w:color="auto"/>
                <w:right w:val="none" w:sz="0" w:space="0" w:color="auto"/>
              </w:divBdr>
            </w:div>
          </w:divsChild>
        </w:div>
        <w:div w:id="1965841447">
          <w:marLeft w:val="0"/>
          <w:marRight w:val="0"/>
          <w:marTop w:val="0"/>
          <w:marBottom w:val="0"/>
          <w:divBdr>
            <w:top w:val="none" w:sz="0" w:space="0" w:color="auto"/>
            <w:left w:val="none" w:sz="0" w:space="0" w:color="auto"/>
            <w:bottom w:val="none" w:sz="0" w:space="0" w:color="auto"/>
            <w:right w:val="none" w:sz="0" w:space="0" w:color="auto"/>
          </w:divBdr>
          <w:divsChild>
            <w:div w:id="283269650">
              <w:marLeft w:val="0"/>
              <w:marRight w:val="0"/>
              <w:marTop w:val="0"/>
              <w:marBottom w:val="0"/>
              <w:divBdr>
                <w:top w:val="single" w:sz="4" w:space="0" w:color="666666"/>
                <w:left w:val="single" w:sz="4" w:space="0" w:color="666666"/>
                <w:bottom w:val="single" w:sz="4" w:space="0" w:color="666666"/>
                <w:right w:val="single" w:sz="4" w:space="0" w:color="666666"/>
              </w:divBdr>
            </w:div>
          </w:divsChild>
        </w:div>
      </w:divsChild>
    </w:div>
    <w:div w:id="1584530496">
      <w:bodyDiv w:val="1"/>
      <w:marLeft w:val="0"/>
      <w:marRight w:val="0"/>
      <w:marTop w:val="0"/>
      <w:marBottom w:val="0"/>
      <w:divBdr>
        <w:top w:val="none" w:sz="0" w:space="0" w:color="auto"/>
        <w:left w:val="none" w:sz="0" w:space="0" w:color="auto"/>
        <w:bottom w:val="none" w:sz="0" w:space="0" w:color="auto"/>
        <w:right w:val="none" w:sz="0" w:space="0" w:color="auto"/>
      </w:divBdr>
    </w:div>
    <w:div w:id="1593080909">
      <w:bodyDiv w:val="1"/>
      <w:marLeft w:val="0"/>
      <w:marRight w:val="0"/>
      <w:marTop w:val="0"/>
      <w:marBottom w:val="0"/>
      <w:divBdr>
        <w:top w:val="none" w:sz="0" w:space="0" w:color="auto"/>
        <w:left w:val="none" w:sz="0" w:space="0" w:color="auto"/>
        <w:bottom w:val="none" w:sz="0" w:space="0" w:color="auto"/>
        <w:right w:val="none" w:sz="0" w:space="0" w:color="auto"/>
      </w:divBdr>
    </w:div>
    <w:div w:id="1604996715">
      <w:bodyDiv w:val="1"/>
      <w:marLeft w:val="0"/>
      <w:marRight w:val="0"/>
      <w:marTop w:val="0"/>
      <w:marBottom w:val="0"/>
      <w:divBdr>
        <w:top w:val="none" w:sz="0" w:space="0" w:color="auto"/>
        <w:left w:val="none" w:sz="0" w:space="0" w:color="auto"/>
        <w:bottom w:val="none" w:sz="0" w:space="0" w:color="auto"/>
        <w:right w:val="none" w:sz="0" w:space="0" w:color="auto"/>
      </w:divBdr>
    </w:div>
    <w:div w:id="1614090461">
      <w:bodyDiv w:val="1"/>
      <w:marLeft w:val="0"/>
      <w:marRight w:val="0"/>
      <w:marTop w:val="0"/>
      <w:marBottom w:val="0"/>
      <w:divBdr>
        <w:top w:val="none" w:sz="0" w:space="0" w:color="auto"/>
        <w:left w:val="none" w:sz="0" w:space="0" w:color="auto"/>
        <w:bottom w:val="none" w:sz="0" w:space="0" w:color="auto"/>
        <w:right w:val="none" w:sz="0" w:space="0" w:color="auto"/>
      </w:divBdr>
    </w:div>
    <w:div w:id="1667127492">
      <w:bodyDiv w:val="1"/>
      <w:marLeft w:val="0"/>
      <w:marRight w:val="0"/>
      <w:marTop w:val="0"/>
      <w:marBottom w:val="0"/>
      <w:divBdr>
        <w:top w:val="none" w:sz="0" w:space="0" w:color="auto"/>
        <w:left w:val="none" w:sz="0" w:space="0" w:color="auto"/>
        <w:bottom w:val="none" w:sz="0" w:space="0" w:color="auto"/>
        <w:right w:val="none" w:sz="0" w:space="0" w:color="auto"/>
      </w:divBdr>
    </w:div>
    <w:div w:id="1678268436">
      <w:bodyDiv w:val="1"/>
      <w:marLeft w:val="0"/>
      <w:marRight w:val="0"/>
      <w:marTop w:val="0"/>
      <w:marBottom w:val="0"/>
      <w:divBdr>
        <w:top w:val="none" w:sz="0" w:space="0" w:color="auto"/>
        <w:left w:val="none" w:sz="0" w:space="0" w:color="auto"/>
        <w:bottom w:val="none" w:sz="0" w:space="0" w:color="auto"/>
        <w:right w:val="none" w:sz="0" w:space="0" w:color="auto"/>
      </w:divBdr>
    </w:div>
    <w:div w:id="1682929845">
      <w:bodyDiv w:val="1"/>
      <w:marLeft w:val="0"/>
      <w:marRight w:val="0"/>
      <w:marTop w:val="0"/>
      <w:marBottom w:val="0"/>
      <w:divBdr>
        <w:top w:val="none" w:sz="0" w:space="0" w:color="auto"/>
        <w:left w:val="none" w:sz="0" w:space="0" w:color="auto"/>
        <w:bottom w:val="none" w:sz="0" w:space="0" w:color="auto"/>
        <w:right w:val="none" w:sz="0" w:space="0" w:color="auto"/>
      </w:divBdr>
    </w:div>
    <w:div w:id="1710760959">
      <w:bodyDiv w:val="1"/>
      <w:marLeft w:val="0"/>
      <w:marRight w:val="0"/>
      <w:marTop w:val="0"/>
      <w:marBottom w:val="0"/>
      <w:divBdr>
        <w:top w:val="none" w:sz="0" w:space="0" w:color="auto"/>
        <w:left w:val="none" w:sz="0" w:space="0" w:color="auto"/>
        <w:bottom w:val="none" w:sz="0" w:space="0" w:color="auto"/>
        <w:right w:val="none" w:sz="0" w:space="0" w:color="auto"/>
      </w:divBdr>
    </w:div>
    <w:div w:id="1720322706">
      <w:bodyDiv w:val="1"/>
      <w:marLeft w:val="0"/>
      <w:marRight w:val="0"/>
      <w:marTop w:val="0"/>
      <w:marBottom w:val="0"/>
      <w:divBdr>
        <w:top w:val="none" w:sz="0" w:space="0" w:color="auto"/>
        <w:left w:val="none" w:sz="0" w:space="0" w:color="auto"/>
        <w:bottom w:val="none" w:sz="0" w:space="0" w:color="auto"/>
        <w:right w:val="none" w:sz="0" w:space="0" w:color="auto"/>
      </w:divBdr>
    </w:div>
    <w:div w:id="1766878599">
      <w:bodyDiv w:val="1"/>
      <w:marLeft w:val="0"/>
      <w:marRight w:val="0"/>
      <w:marTop w:val="0"/>
      <w:marBottom w:val="0"/>
      <w:divBdr>
        <w:top w:val="none" w:sz="0" w:space="0" w:color="auto"/>
        <w:left w:val="none" w:sz="0" w:space="0" w:color="auto"/>
        <w:bottom w:val="none" w:sz="0" w:space="0" w:color="auto"/>
        <w:right w:val="none" w:sz="0" w:space="0" w:color="auto"/>
      </w:divBdr>
    </w:div>
    <w:div w:id="1780832622">
      <w:bodyDiv w:val="1"/>
      <w:marLeft w:val="0"/>
      <w:marRight w:val="0"/>
      <w:marTop w:val="0"/>
      <w:marBottom w:val="0"/>
      <w:divBdr>
        <w:top w:val="none" w:sz="0" w:space="0" w:color="auto"/>
        <w:left w:val="none" w:sz="0" w:space="0" w:color="auto"/>
        <w:bottom w:val="none" w:sz="0" w:space="0" w:color="auto"/>
        <w:right w:val="none" w:sz="0" w:space="0" w:color="auto"/>
      </w:divBdr>
    </w:div>
    <w:div w:id="1830515931">
      <w:bodyDiv w:val="1"/>
      <w:marLeft w:val="0"/>
      <w:marRight w:val="0"/>
      <w:marTop w:val="0"/>
      <w:marBottom w:val="0"/>
      <w:divBdr>
        <w:top w:val="none" w:sz="0" w:space="0" w:color="auto"/>
        <w:left w:val="none" w:sz="0" w:space="0" w:color="auto"/>
        <w:bottom w:val="none" w:sz="0" w:space="0" w:color="auto"/>
        <w:right w:val="none" w:sz="0" w:space="0" w:color="auto"/>
      </w:divBdr>
    </w:div>
    <w:div w:id="1845781936">
      <w:bodyDiv w:val="1"/>
      <w:marLeft w:val="0"/>
      <w:marRight w:val="0"/>
      <w:marTop w:val="0"/>
      <w:marBottom w:val="0"/>
      <w:divBdr>
        <w:top w:val="none" w:sz="0" w:space="0" w:color="auto"/>
        <w:left w:val="none" w:sz="0" w:space="0" w:color="auto"/>
        <w:bottom w:val="none" w:sz="0" w:space="0" w:color="auto"/>
        <w:right w:val="none" w:sz="0" w:space="0" w:color="auto"/>
      </w:divBdr>
    </w:div>
    <w:div w:id="1883134409">
      <w:bodyDiv w:val="1"/>
      <w:marLeft w:val="0"/>
      <w:marRight w:val="0"/>
      <w:marTop w:val="0"/>
      <w:marBottom w:val="0"/>
      <w:divBdr>
        <w:top w:val="none" w:sz="0" w:space="0" w:color="auto"/>
        <w:left w:val="none" w:sz="0" w:space="0" w:color="auto"/>
        <w:bottom w:val="none" w:sz="0" w:space="0" w:color="auto"/>
        <w:right w:val="none" w:sz="0" w:space="0" w:color="auto"/>
      </w:divBdr>
    </w:div>
    <w:div w:id="1929925056">
      <w:bodyDiv w:val="1"/>
      <w:marLeft w:val="0"/>
      <w:marRight w:val="0"/>
      <w:marTop w:val="0"/>
      <w:marBottom w:val="0"/>
      <w:divBdr>
        <w:top w:val="none" w:sz="0" w:space="0" w:color="auto"/>
        <w:left w:val="none" w:sz="0" w:space="0" w:color="auto"/>
        <w:bottom w:val="none" w:sz="0" w:space="0" w:color="auto"/>
        <w:right w:val="none" w:sz="0" w:space="0" w:color="auto"/>
      </w:divBdr>
    </w:div>
    <w:div w:id="1956642875">
      <w:bodyDiv w:val="1"/>
      <w:marLeft w:val="0"/>
      <w:marRight w:val="0"/>
      <w:marTop w:val="0"/>
      <w:marBottom w:val="0"/>
      <w:divBdr>
        <w:top w:val="none" w:sz="0" w:space="0" w:color="auto"/>
        <w:left w:val="none" w:sz="0" w:space="0" w:color="auto"/>
        <w:bottom w:val="none" w:sz="0" w:space="0" w:color="auto"/>
        <w:right w:val="none" w:sz="0" w:space="0" w:color="auto"/>
      </w:divBdr>
    </w:div>
    <w:div w:id="1984197253">
      <w:bodyDiv w:val="1"/>
      <w:marLeft w:val="0"/>
      <w:marRight w:val="0"/>
      <w:marTop w:val="0"/>
      <w:marBottom w:val="0"/>
      <w:divBdr>
        <w:top w:val="none" w:sz="0" w:space="0" w:color="auto"/>
        <w:left w:val="none" w:sz="0" w:space="0" w:color="auto"/>
        <w:bottom w:val="none" w:sz="0" w:space="0" w:color="auto"/>
        <w:right w:val="none" w:sz="0" w:space="0" w:color="auto"/>
      </w:divBdr>
    </w:div>
    <w:div w:id="2023508164">
      <w:bodyDiv w:val="1"/>
      <w:marLeft w:val="0"/>
      <w:marRight w:val="0"/>
      <w:marTop w:val="0"/>
      <w:marBottom w:val="0"/>
      <w:divBdr>
        <w:top w:val="none" w:sz="0" w:space="0" w:color="auto"/>
        <w:left w:val="none" w:sz="0" w:space="0" w:color="auto"/>
        <w:bottom w:val="none" w:sz="0" w:space="0" w:color="auto"/>
        <w:right w:val="none" w:sz="0" w:space="0" w:color="auto"/>
      </w:divBdr>
    </w:div>
    <w:div w:id="2051875067">
      <w:bodyDiv w:val="1"/>
      <w:marLeft w:val="0"/>
      <w:marRight w:val="0"/>
      <w:marTop w:val="0"/>
      <w:marBottom w:val="0"/>
      <w:divBdr>
        <w:top w:val="none" w:sz="0" w:space="0" w:color="auto"/>
        <w:left w:val="none" w:sz="0" w:space="0" w:color="auto"/>
        <w:bottom w:val="none" w:sz="0" w:space="0" w:color="auto"/>
        <w:right w:val="none" w:sz="0" w:space="0" w:color="auto"/>
      </w:divBdr>
    </w:div>
    <w:div w:id="2111851986">
      <w:bodyDiv w:val="1"/>
      <w:marLeft w:val="0"/>
      <w:marRight w:val="0"/>
      <w:marTop w:val="0"/>
      <w:marBottom w:val="0"/>
      <w:divBdr>
        <w:top w:val="none" w:sz="0" w:space="0" w:color="auto"/>
        <w:left w:val="none" w:sz="0" w:space="0" w:color="auto"/>
        <w:bottom w:val="none" w:sz="0" w:space="0" w:color="auto"/>
        <w:right w:val="none" w:sz="0" w:space="0" w:color="auto"/>
      </w:divBdr>
    </w:div>
    <w:div w:id="2118132632">
      <w:bodyDiv w:val="1"/>
      <w:marLeft w:val="0"/>
      <w:marRight w:val="0"/>
      <w:marTop w:val="0"/>
      <w:marBottom w:val="0"/>
      <w:divBdr>
        <w:top w:val="none" w:sz="0" w:space="0" w:color="auto"/>
        <w:left w:val="none" w:sz="0" w:space="0" w:color="auto"/>
        <w:bottom w:val="none" w:sz="0" w:space="0" w:color="auto"/>
        <w:right w:val="none" w:sz="0" w:space="0" w:color="auto"/>
      </w:divBdr>
    </w:div>
    <w:div w:id="214697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DA8F6-21AE-4B6D-B8EE-AFD0164D06AF}">
  <ds:schemaRefs>
    <ds:schemaRef ds:uri="http://schemas.microsoft.com/office/2006/metadata/properties"/>
    <ds:schemaRef ds:uri="http://schemas.microsoft.com/office/infopath/2007/PartnerControls"/>
    <ds:schemaRef ds:uri="9d85dbaf-23eb-4e57-a637-93dcacc8b1a1"/>
  </ds:schemaRefs>
</ds:datastoreItem>
</file>

<file path=customXml/itemProps2.xml><?xml version="1.0" encoding="utf-8"?>
<ds:datastoreItem xmlns:ds="http://schemas.openxmlformats.org/officeDocument/2006/customXml" ds:itemID="{6F1B3F46-4AFB-46DA-8D8F-E3C358B30270}">
  <ds:schemaRefs>
    <ds:schemaRef ds:uri="http://schemas.microsoft.com/sharepoint/v3/contenttype/forms"/>
  </ds:schemaRefs>
</ds:datastoreItem>
</file>

<file path=customXml/itemProps3.xml><?xml version="1.0" encoding="utf-8"?>
<ds:datastoreItem xmlns:ds="http://schemas.openxmlformats.org/officeDocument/2006/customXml" ds:itemID="{CDEB7482-F9A0-40BE-8A86-EE33FD96CC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F2962A-38F3-40FD-9A4A-21B1D748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18385</Words>
  <Characters>104800</Characters>
  <Application>Microsoft Office Word</Application>
  <DocSecurity>0</DocSecurity>
  <Lines>873</Lines>
  <Paragraphs>245</Paragraphs>
  <ScaleCrop>false</ScaleCrop>
  <HeadingPairs>
    <vt:vector size="2" baseType="variant">
      <vt:variant>
        <vt:lpstr>Título</vt:lpstr>
      </vt:variant>
      <vt:variant>
        <vt:i4>1</vt:i4>
      </vt:variant>
    </vt:vector>
  </HeadingPairs>
  <TitlesOfParts>
    <vt:vector size="1" baseType="lpstr">
      <vt:lpstr>CONSEJO DE ESTADO</vt:lpstr>
    </vt:vector>
  </TitlesOfParts>
  <Company>Toshiba</Company>
  <LinksUpToDate>false</LinksUpToDate>
  <CharactersWithSpaces>122940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CONSEJO DE ESTADO</dc:title>
  <dc:subject/>
  <dc:creator>Usuario Autorizado</dc:creator>
  <cp:keywords/>
  <cp:lastModifiedBy>Silvia</cp:lastModifiedBy>
  <cp:revision>3</cp:revision>
  <cp:lastPrinted>2016-12-07T20:32:00Z</cp:lastPrinted>
  <dcterms:created xsi:type="dcterms:W3CDTF">2020-07-01T15:22:00Z</dcterms:created>
  <dcterms:modified xsi:type="dcterms:W3CDTF">2020-07-01T15:22:00Z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