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9194F6" w14:textId="60193CA4" w:rsidR="00E73FF1" w:rsidRPr="00A52E2E" w:rsidRDefault="00E73FF1" w:rsidP="00E73FF1">
      <w:pPr>
        <w:spacing w:line="240" w:lineRule="auto"/>
        <w:rPr>
          <w:b/>
          <w:color w:val="000000"/>
          <w:sz w:val="22"/>
          <w:szCs w:val="22"/>
          <w:lang w:val="es-CO"/>
        </w:rPr>
      </w:pPr>
      <w:r w:rsidRPr="00A52E2E">
        <w:rPr>
          <w:b/>
          <w:color w:val="000000"/>
          <w:sz w:val="22"/>
          <w:szCs w:val="22"/>
          <w:lang w:val="es-CO"/>
        </w:rPr>
        <w:t xml:space="preserve">ACTO DE ADJUDICACIÓN – Oportunidad para impugnar el acto de adjudicación – Diferencia de la normativa anterior y la que está vigente </w:t>
      </w:r>
    </w:p>
    <w:p w14:paraId="3C0C59F0" w14:textId="77777777" w:rsidR="00E73FF1" w:rsidRPr="00A52E2E" w:rsidRDefault="00E73FF1" w:rsidP="00E73FF1">
      <w:pPr>
        <w:spacing w:line="240" w:lineRule="auto"/>
        <w:rPr>
          <w:b/>
          <w:color w:val="000000"/>
          <w:sz w:val="22"/>
          <w:szCs w:val="22"/>
          <w:lang w:val="es-CO"/>
        </w:rPr>
      </w:pPr>
    </w:p>
    <w:p w14:paraId="40E32B59" w14:textId="77777777" w:rsidR="00E73FF1" w:rsidRPr="00A52E2E" w:rsidRDefault="00E73FF1" w:rsidP="00E73FF1">
      <w:pPr>
        <w:spacing w:line="240" w:lineRule="auto"/>
        <w:rPr>
          <w:color w:val="000000"/>
          <w:sz w:val="22"/>
          <w:szCs w:val="22"/>
          <w:lang w:val="es-CO"/>
        </w:rPr>
      </w:pPr>
      <w:r w:rsidRPr="00A52E2E">
        <w:rPr>
          <w:color w:val="000000"/>
          <w:sz w:val="22"/>
          <w:szCs w:val="22"/>
          <w:lang w:val="es-CO"/>
        </w:rPr>
        <w:t>Frente a la normativa aplicable a las actuaciones administrativas (…) De conformidad con los términos de la anterior norma, el acto de adjudicación era impugnable mediante la acción de nulidad y restablecimiento del derecho regulada en el Código Contencioso Administrativo, mientras que los demás actos, que hacen parte de los que se producen con ocasión de la actividad contractual, sólo serían controlables mediante la acción de controversias contractuales, con las limitaciones que ello implicaba. No obstante, para la época de presentación de la demanda , el artículo 87 de dicho Código, que establecía la acción de controversias contractuales, modificado por el artículo 32 de la Ley 446 de 1998 (…) De acuerdo con esta disposición, los actos administrativos previos, es decir, aquellos proferidos por la Administración con anterioridad al perfeccionamiento del contrato y durante la etapa precontractual, podían  ser demandados en forma independiente, mediante la interposición de la demanda en el ejercicio de la acción de nulidad o la de nulidad y restablecimiento del derecho, según el caso, es decir, dependiendo de si la finalidad que se perseguía era únicamente la preservación del ordenamiento jurídico objetivamente considerado, caso en el cual procedería la primera, o si se buscaba el restablecimiento de un derecho vulnerado por el respectivo acto, evento que debía reclamarse mediante la segunda, dentro del término de caducidad de 30 días para ambas acciones. Al respecto, la jurisprudencia ha precisado que el acto administrativo de adjudicación no es susceptible de ser demandado en ejercicio de la acción de simple nulidad y que solo puede ser impugnado en ejercicio de la acción de nulidad y restablecimiento del derecho por quien demuestre un interés legítimo –los oferentes no favorecidos y la entidad licitante-, toda vez que la escogencia de la acción no está librada al arbitrio del demandante, sino que obedece al interés perseguido en el juicio y a los efectos de la sentencia, lo que comporta su consonancia con los hechos y las pretensiones aducidos en la demanda, por cuanto no es razonable pensar que el legislador haya previsto dos o más acciones para enjuiciar una misma actuación de la Administración, como tampoco que cualquiera fuere la ejercida resultare igual. (…)</w:t>
      </w:r>
    </w:p>
    <w:p w14:paraId="6602C308" w14:textId="77777777" w:rsidR="00E73FF1" w:rsidRPr="00A52E2E" w:rsidRDefault="00E73FF1" w:rsidP="00E73FF1">
      <w:pPr>
        <w:spacing w:line="240" w:lineRule="auto"/>
        <w:rPr>
          <w:color w:val="000000"/>
          <w:sz w:val="22"/>
          <w:szCs w:val="22"/>
          <w:lang w:val="es-CO"/>
        </w:rPr>
      </w:pPr>
    </w:p>
    <w:p w14:paraId="1300F19C" w14:textId="0478EBBF" w:rsidR="00E73FF1" w:rsidRPr="00A52E2E" w:rsidRDefault="00E73FF1" w:rsidP="00E73FF1">
      <w:pPr>
        <w:spacing w:line="240" w:lineRule="auto"/>
        <w:rPr>
          <w:b/>
          <w:color w:val="000000"/>
          <w:sz w:val="22"/>
          <w:szCs w:val="22"/>
          <w:lang w:val="es-CO"/>
        </w:rPr>
      </w:pPr>
      <w:r w:rsidRPr="00A52E2E">
        <w:rPr>
          <w:b/>
          <w:color w:val="000000"/>
          <w:sz w:val="22"/>
          <w:szCs w:val="22"/>
          <w:lang w:val="es-CO"/>
        </w:rPr>
        <w:t xml:space="preserve">DEMANDA ACTO DE </w:t>
      </w:r>
      <w:r w:rsidR="00F342D3" w:rsidRPr="00A52E2E">
        <w:rPr>
          <w:b/>
          <w:color w:val="000000"/>
          <w:sz w:val="22"/>
          <w:szCs w:val="22"/>
          <w:lang w:val="es-CO"/>
        </w:rPr>
        <w:t>ADJUDICACIÓN</w:t>
      </w:r>
      <w:r w:rsidRPr="00A52E2E">
        <w:rPr>
          <w:b/>
          <w:color w:val="000000"/>
          <w:sz w:val="22"/>
          <w:szCs w:val="22"/>
          <w:lang w:val="es-CO"/>
        </w:rPr>
        <w:t xml:space="preserve"> – </w:t>
      </w:r>
      <w:r w:rsidR="00F342D3" w:rsidRPr="00A52E2E">
        <w:rPr>
          <w:b/>
          <w:color w:val="000000"/>
          <w:sz w:val="22"/>
          <w:szCs w:val="22"/>
          <w:lang w:val="es-CO"/>
        </w:rPr>
        <w:t>Acción</w:t>
      </w:r>
      <w:r w:rsidRPr="00A52E2E">
        <w:rPr>
          <w:b/>
          <w:color w:val="000000"/>
          <w:sz w:val="22"/>
          <w:szCs w:val="22"/>
          <w:lang w:val="es-CO"/>
        </w:rPr>
        <w:t xml:space="preserve"> procedente – Actos administrativos precontractuales – </w:t>
      </w:r>
      <w:r w:rsidR="00F342D3" w:rsidRPr="00A52E2E">
        <w:rPr>
          <w:b/>
          <w:color w:val="000000"/>
          <w:sz w:val="22"/>
          <w:szCs w:val="22"/>
          <w:lang w:val="es-CO"/>
        </w:rPr>
        <w:t xml:space="preserve">Controversias </w:t>
      </w:r>
      <w:r w:rsidRPr="00A52E2E">
        <w:rPr>
          <w:b/>
          <w:color w:val="000000"/>
          <w:sz w:val="22"/>
          <w:szCs w:val="22"/>
          <w:lang w:val="es-CO"/>
        </w:rPr>
        <w:t>contractual</w:t>
      </w:r>
      <w:r w:rsidR="00F342D3" w:rsidRPr="00A52E2E">
        <w:rPr>
          <w:b/>
          <w:color w:val="000000"/>
          <w:sz w:val="22"/>
          <w:szCs w:val="22"/>
          <w:lang w:val="es-CO"/>
        </w:rPr>
        <w:t>es</w:t>
      </w:r>
    </w:p>
    <w:p w14:paraId="2641B023" w14:textId="77777777" w:rsidR="00E73FF1" w:rsidRPr="00A52E2E" w:rsidRDefault="00E73FF1" w:rsidP="00E73FF1">
      <w:pPr>
        <w:spacing w:line="240" w:lineRule="auto"/>
        <w:rPr>
          <w:color w:val="000000"/>
          <w:sz w:val="22"/>
          <w:szCs w:val="22"/>
          <w:lang w:val="es-CO"/>
        </w:rPr>
      </w:pPr>
    </w:p>
    <w:p w14:paraId="410EE69D" w14:textId="7E85FBE5" w:rsidR="00E73FF1" w:rsidRPr="00A52E2E" w:rsidRDefault="00695FC3" w:rsidP="00E73FF1">
      <w:pPr>
        <w:spacing w:line="240" w:lineRule="auto"/>
        <w:rPr>
          <w:color w:val="000000"/>
          <w:sz w:val="22"/>
          <w:szCs w:val="22"/>
          <w:lang w:val="es-CO"/>
        </w:rPr>
      </w:pPr>
      <w:r w:rsidRPr="00A52E2E">
        <w:rPr>
          <w:color w:val="000000"/>
          <w:sz w:val="22"/>
          <w:szCs w:val="22"/>
          <w:lang w:val="es-CO"/>
        </w:rPr>
        <w:t>U</w:t>
      </w:r>
      <w:r w:rsidR="00E73FF1" w:rsidRPr="00A52E2E">
        <w:rPr>
          <w:color w:val="000000"/>
          <w:sz w:val="22"/>
          <w:szCs w:val="22"/>
          <w:lang w:val="es-CO"/>
        </w:rPr>
        <w:t xml:space="preserve">na vez suscrito el contrato, la validez de los actos precontractuales solo se podrá cuestionar mediante el ejercicio de la acción contractual, que se deberá ejercer en contra del contrato suscrito, alegando su nulidad absoluta como consecuencia de la nulidad del respectivo acto precontractual. (…) Es decir que, como dice la norma, la ilegalidad de este último, una vez suscrito el negocio jurídico, solo se podrá alegar como causal de nulidad absoluta del mismo, lo que implica necesariamente el ejercicio de la acción contractual y la imposibilidad, en tal caso, de impugnar independientemente el acto previo. Lo anterior, también significa que así no hayan transcurrido los 30 días a los que alude la norma como término de caducidad de las acciones de nulidad y de nulidad y restablecimiento del derecho, si se suscribe el contrato dentro de dicho término, también resultará imposible el ejercicio de las referidas acciones, por cuanto en tal evento solo será posible cuestionar su validez, como causal de nulidad absoluta del contrato suscrito, mediante el ejercicio en su contra de la acción contractual. La Corte Constitucional declaró la exequibilidad de las expresiones “una vez celebrado este” y “solamente”, contenidas en el inciso segundo del artículo 87 del C.C.A , bajo el entendido de que la intención del legislador no fue otra que la de impedir,  precisamente, que una vez suscrito el contrato adjudicado, pudieran cuestionarse los actos previos en forma independiente, con el fin de garantizar la eficacia de la actividad contractual y de preservar la estabilidad de las decisiones administrativas, brindando seguridad a sus actuaciones y a los contratos suscritos. La Corte consideró que en la referida norma se estableció un término de caducidad corto y se fijó un límite a la separabilidad de los actos previos, marcado por la suscripción del contrato, pues a partir de la misma, los actos administrativos precontractuales “se hacen inseparables para efectos de su control judicial, de tal manera que sólo pueden atacarse a través de la acción de nulidad absoluta del contrato”, lo cual, afirmó, constituye un límite que pretende dar agilidad al proceso licitatorio y estabilidad a las etapas que se surten en el mismo. En conclusión, en vigencia del cambio introducido por la Ley 446 de 1998 es viable cuestionar la legalidad </w:t>
      </w:r>
      <w:r w:rsidR="00E73FF1" w:rsidRPr="00A52E2E">
        <w:rPr>
          <w:color w:val="000000"/>
          <w:sz w:val="22"/>
          <w:szCs w:val="22"/>
          <w:lang w:val="es-CO"/>
        </w:rPr>
        <w:lastRenderedPageBreak/>
        <w:t>de un acto separable del contrato estatal como el de adjudicación durante los 30 días siguientes a su notificación o comunicación, pero en el caso en el que en dicho lapso se suscriba el contrato pertinente, la presunta ilegalidad de esas decisiones debe ser alegada como sustento de la solicitud de declaración de nulidad del negocio jurídico resultante.</w:t>
      </w:r>
    </w:p>
    <w:p w14:paraId="73B1DBD7" w14:textId="77777777" w:rsidR="00E73FF1" w:rsidRPr="00A52E2E" w:rsidRDefault="00E73FF1" w:rsidP="00E73FF1">
      <w:pPr>
        <w:spacing w:line="240" w:lineRule="auto"/>
        <w:rPr>
          <w:color w:val="000000"/>
          <w:sz w:val="22"/>
          <w:szCs w:val="22"/>
          <w:lang w:val="es-CO"/>
        </w:rPr>
      </w:pPr>
    </w:p>
    <w:p w14:paraId="094BB9E6" w14:textId="3DA963FB" w:rsidR="00E73FF1" w:rsidRPr="00A52E2E" w:rsidRDefault="00E73FF1" w:rsidP="00E73FF1">
      <w:pPr>
        <w:spacing w:line="240" w:lineRule="auto"/>
        <w:rPr>
          <w:b/>
          <w:color w:val="000000"/>
          <w:sz w:val="22"/>
          <w:szCs w:val="22"/>
          <w:lang w:val="es-CO"/>
        </w:rPr>
      </w:pPr>
      <w:r w:rsidRPr="00A52E2E">
        <w:rPr>
          <w:b/>
          <w:color w:val="000000"/>
          <w:sz w:val="22"/>
          <w:szCs w:val="22"/>
          <w:lang w:val="es-CO"/>
        </w:rPr>
        <w:t xml:space="preserve">IMPROCEDENCIA DE LA </w:t>
      </w:r>
      <w:r w:rsidR="00DB4B4D" w:rsidRPr="00A52E2E">
        <w:rPr>
          <w:b/>
          <w:color w:val="000000"/>
          <w:sz w:val="22"/>
          <w:szCs w:val="22"/>
          <w:lang w:val="es-CO"/>
        </w:rPr>
        <w:t>ACCIÓN</w:t>
      </w:r>
      <w:r w:rsidRPr="00A52E2E">
        <w:rPr>
          <w:b/>
          <w:color w:val="000000"/>
          <w:sz w:val="22"/>
          <w:szCs w:val="22"/>
          <w:lang w:val="es-CO"/>
        </w:rPr>
        <w:t xml:space="preserve"> –</w:t>
      </w:r>
      <w:r w:rsidR="00C2694E" w:rsidRPr="00A52E2E">
        <w:rPr>
          <w:b/>
          <w:color w:val="000000"/>
          <w:sz w:val="22"/>
          <w:szCs w:val="22"/>
          <w:lang w:val="es-CO"/>
        </w:rPr>
        <w:t xml:space="preserve"> </w:t>
      </w:r>
      <w:r w:rsidRPr="00A52E2E">
        <w:rPr>
          <w:b/>
          <w:color w:val="000000"/>
          <w:sz w:val="22"/>
          <w:szCs w:val="22"/>
          <w:lang w:val="es-CO"/>
        </w:rPr>
        <w:t xml:space="preserve">Nulidad y restablecimiento del derecho – </w:t>
      </w:r>
      <w:r w:rsidR="00DB4B4D" w:rsidRPr="00A52E2E">
        <w:rPr>
          <w:b/>
          <w:color w:val="000000"/>
          <w:sz w:val="22"/>
          <w:szCs w:val="22"/>
          <w:lang w:val="es-CO"/>
        </w:rPr>
        <w:t>Acción procedente a</w:t>
      </w:r>
      <w:r w:rsidRPr="00A52E2E">
        <w:rPr>
          <w:b/>
          <w:color w:val="000000"/>
          <w:sz w:val="22"/>
          <w:szCs w:val="22"/>
          <w:lang w:val="es-CO"/>
        </w:rPr>
        <w:t>ntes de suscrib</w:t>
      </w:r>
      <w:bookmarkStart w:id="0" w:name="_GoBack"/>
      <w:bookmarkEnd w:id="0"/>
      <w:r w:rsidRPr="00A52E2E">
        <w:rPr>
          <w:b/>
          <w:color w:val="000000"/>
          <w:sz w:val="22"/>
          <w:szCs w:val="22"/>
          <w:lang w:val="es-CO"/>
        </w:rPr>
        <w:t>ir el contrato –</w:t>
      </w:r>
      <w:r w:rsidR="00DB4B4D" w:rsidRPr="00A52E2E">
        <w:rPr>
          <w:b/>
          <w:color w:val="000000"/>
          <w:sz w:val="22"/>
          <w:szCs w:val="22"/>
          <w:lang w:val="es-CO"/>
        </w:rPr>
        <w:t xml:space="preserve"> </w:t>
      </w:r>
      <w:r w:rsidRPr="00A52E2E">
        <w:rPr>
          <w:b/>
          <w:color w:val="000000"/>
          <w:sz w:val="22"/>
          <w:szCs w:val="22"/>
          <w:lang w:val="es-CO"/>
        </w:rPr>
        <w:t xml:space="preserve">Controversias contractuales </w:t>
      </w:r>
      <w:r w:rsidR="00DB4B4D" w:rsidRPr="00A52E2E">
        <w:rPr>
          <w:b/>
          <w:color w:val="000000"/>
          <w:sz w:val="22"/>
          <w:szCs w:val="22"/>
          <w:lang w:val="es-CO"/>
        </w:rPr>
        <w:t>–</w:t>
      </w:r>
      <w:r w:rsidRPr="00A52E2E">
        <w:rPr>
          <w:b/>
          <w:color w:val="000000"/>
          <w:sz w:val="22"/>
          <w:szCs w:val="22"/>
          <w:lang w:val="es-CO"/>
        </w:rPr>
        <w:t xml:space="preserve"> </w:t>
      </w:r>
      <w:r w:rsidR="00DB4B4D" w:rsidRPr="00A52E2E">
        <w:rPr>
          <w:b/>
          <w:color w:val="000000"/>
          <w:sz w:val="22"/>
          <w:szCs w:val="22"/>
          <w:lang w:val="es-CO"/>
        </w:rPr>
        <w:t>Acción procedente l</w:t>
      </w:r>
      <w:r w:rsidRPr="00A52E2E">
        <w:rPr>
          <w:b/>
          <w:color w:val="000000"/>
          <w:sz w:val="22"/>
          <w:szCs w:val="22"/>
          <w:lang w:val="es-CO"/>
        </w:rPr>
        <w:t>uego de firmado el contrato</w:t>
      </w:r>
    </w:p>
    <w:p w14:paraId="39276A85" w14:textId="77777777" w:rsidR="00E73FF1" w:rsidRPr="00A52E2E" w:rsidRDefault="00E73FF1" w:rsidP="00E73FF1">
      <w:pPr>
        <w:spacing w:line="240" w:lineRule="auto"/>
        <w:rPr>
          <w:color w:val="000000"/>
          <w:sz w:val="22"/>
          <w:szCs w:val="22"/>
          <w:lang w:val="es-CO"/>
        </w:rPr>
      </w:pPr>
    </w:p>
    <w:p w14:paraId="641EC3D9" w14:textId="134A25F7" w:rsidR="00E70E70" w:rsidRDefault="00E73FF1" w:rsidP="00A52E2E">
      <w:pPr>
        <w:spacing w:line="240" w:lineRule="auto"/>
        <w:rPr>
          <w:color w:val="000000"/>
          <w:sz w:val="22"/>
          <w:szCs w:val="22"/>
          <w:lang w:val="es-CO"/>
        </w:rPr>
      </w:pPr>
      <w:r w:rsidRPr="00A52E2E">
        <w:rPr>
          <w:color w:val="000000"/>
          <w:sz w:val="22"/>
          <w:szCs w:val="22"/>
          <w:lang w:val="es-CO"/>
        </w:rPr>
        <w:t>En el presente caso, como ya se vio, la parte actora tuvo conocimiento de la adjudicación de la Licitación Pública n.º 004 de 1999 el 8 de marzo de 2000, el Contrato n.º FLA-016-2000 se suscribió el 29 de marzo siguiente y la demanda se presentó el 10 de abril de 2000, esto es,  cuando se presentó la demanda, en ejercicio de la acción de nulidad y restablecimiento del derecho, en contra del acto administrativo de adjudicación, ya se había firmado el negocio jurídico adjudicado, por lo cual resulta evidente que la acción incoada no era la adecuada, puesto que, a la luz de las anteriores consideraciones, si el proponente inconforme con la decisión pretendía cuestionar su validez y obtener el restablecimiento del derecho vulnerado, frente a la existencia del contrato debidamente perfeccionado resultaba imperioso el ejercicio de la acción contractual para alegar como causal de nulidad absoluta del negocio jurídico, la ilegalidad del acto previo, cuya nulidad también se debía pedir en la demanda. En otros términos, pese a que la actora afirmó bajo juramento que no se le notificó el acto de adjudicación, sí se le comunicó y del escrito de la demanda se puede inferir que no le era ajena la posibilidad de la suscripción del contrato, no solo porque tuvo conocimiento del referido acto desde el 8 de marzo de 2000, sino porque solicitó la copia del negocio jurídico que habría podido suscribirse con ocasión de dicha adjudicación. Bajo esa misma línea, es dable afirmar que no le era imprevisible al actor tener certeza de la suscripción del contrato, al ser una disposición legal la publicación del mismo en la gaceta oficial de la entidad, de conformidad con lo establecido en el artículo 41 parágrafo 3 de la Ley 80 de 1993. (…) Por consiguiente, aunque en principio la competencia de esta Sala se encuentra limitada por los argumentos esgrimidos en el recurso de alzada, aunado a la imposibilidad de empeorar la situación del apelante único, dicha regla general admite algunas excepciones que, de configurarse, deberán ser decretadas por el juez de la instancia superior, aun cuando no hubieren sido objeto de pronunciamiento por parte del juez a quo o no hayan sido propuestas por las partes.</w:t>
      </w:r>
    </w:p>
    <w:p w14:paraId="1E9F3D0A" w14:textId="77777777" w:rsidR="00A52E2E" w:rsidRPr="00A52E2E" w:rsidRDefault="00A52E2E" w:rsidP="00A52E2E">
      <w:pPr>
        <w:spacing w:line="240" w:lineRule="auto"/>
        <w:rPr>
          <w:b/>
          <w:color w:val="000000"/>
          <w:sz w:val="22"/>
          <w:szCs w:val="22"/>
          <w:lang w:val="es-CO"/>
        </w:rPr>
      </w:pPr>
    </w:p>
    <w:p w14:paraId="0B4C3826" w14:textId="77777777" w:rsidR="00E73FF1" w:rsidRPr="0085042B" w:rsidRDefault="00E73FF1" w:rsidP="00E73FF1">
      <w:pPr>
        <w:spacing w:line="240" w:lineRule="auto"/>
        <w:rPr>
          <w:b/>
          <w:bCs/>
          <w:color w:val="000000"/>
          <w:lang w:val="es-ES" w:eastAsia="es-ES"/>
        </w:rPr>
      </w:pPr>
    </w:p>
    <w:p w14:paraId="0612B4E4" w14:textId="77777777" w:rsidR="00E73FF1" w:rsidRPr="0085042B" w:rsidRDefault="00E73FF1" w:rsidP="00E73FF1">
      <w:pPr>
        <w:widowControl w:val="0"/>
        <w:suppressAutoHyphens w:val="0"/>
        <w:overflowPunct/>
        <w:autoSpaceDE/>
        <w:spacing w:line="240" w:lineRule="auto"/>
        <w:jc w:val="center"/>
        <w:textAlignment w:val="auto"/>
        <w:rPr>
          <w:b/>
          <w:bCs/>
          <w:color w:val="000000"/>
          <w:lang w:val="es-ES" w:eastAsia="es-ES"/>
        </w:rPr>
      </w:pPr>
      <w:r w:rsidRPr="0085042B">
        <w:rPr>
          <w:b/>
          <w:bCs/>
          <w:color w:val="000000"/>
          <w:lang w:val="es-ES" w:eastAsia="es-ES"/>
        </w:rPr>
        <w:t>CONSEJO DE ESTADO</w:t>
      </w:r>
    </w:p>
    <w:p w14:paraId="16B25351" w14:textId="77777777" w:rsidR="00E73FF1" w:rsidRPr="0085042B" w:rsidRDefault="00E73FF1" w:rsidP="00E73FF1">
      <w:pPr>
        <w:widowControl w:val="0"/>
        <w:suppressAutoHyphens w:val="0"/>
        <w:overflowPunct/>
        <w:autoSpaceDE/>
        <w:spacing w:line="240" w:lineRule="auto"/>
        <w:jc w:val="center"/>
        <w:textAlignment w:val="auto"/>
        <w:rPr>
          <w:b/>
          <w:bCs/>
          <w:color w:val="000000"/>
          <w:lang w:val="es-ES" w:eastAsia="es-ES"/>
        </w:rPr>
      </w:pPr>
    </w:p>
    <w:p w14:paraId="5232FEA6" w14:textId="77777777" w:rsidR="00E73FF1" w:rsidRPr="0085042B" w:rsidRDefault="00E73FF1" w:rsidP="00E73FF1">
      <w:pPr>
        <w:widowControl w:val="0"/>
        <w:suppressAutoHyphens w:val="0"/>
        <w:overflowPunct/>
        <w:autoSpaceDE/>
        <w:spacing w:line="240" w:lineRule="auto"/>
        <w:jc w:val="center"/>
        <w:textAlignment w:val="auto"/>
        <w:rPr>
          <w:rFonts w:eastAsia="Calibri"/>
          <w:b/>
          <w:bCs/>
          <w:color w:val="000000"/>
          <w:lang w:val="es-ES" w:eastAsia="en-US"/>
        </w:rPr>
      </w:pPr>
      <w:r w:rsidRPr="0085042B">
        <w:rPr>
          <w:rFonts w:eastAsia="Calibri"/>
          <w:b/>
          <w:bCs/>
          <w:color w:val="000000"/>
          <w:lang w:val="es-ES" w:eastAsia="en-US"/>
        </w:rPr>
        <w:t>SALA DE LO CONTENCIOSO ADMINISTRATIVO</w:t>
      </w:r>
    </w:p>
    <w:p w14:paraId="0960174D" w14:textId="77777777" w:rsidR="00E73FF1" w:rsidRPr="0085042B" w:rsidRDefault="00E73FF1" w:rsidP="00E73FF1">
      <w:pPr>
        <w:widowControl w:val="0"/>
        <w:suppressAutoHyphens w:val="0"/>
        <w:overflowPunct/>
        <w:autoSpaceDE/>
        <w:spacing w:line="240" w:lineRule="auto"/>
        <w:jc w:val="center"/>
        <w:textAlignment w:val="auto"/>
        <w:rPr>
          <w:rFonts w:eastAsia="Calibri"/>
          <w:b/>
          <w:bCs/>
          <w:color w:val="000000"/>
          <w:lang w:val="es-ES" w:eastAsia="en-US"/>
        </w:rPr>
      </w:pPr>
    </w:p>
    <w:p w14:paraId="466A9527" w14:textId="77777777" w:rsidR="00E73FF1" w:rsidRPr="0085042B" w:rsidRDefault="00E73FF1" w:rsidP="00E73FF1">
      <w:pPr>
        <w:widowControl w:val="0"/>
        <w:suppressAutoHyphens w:val="0"/>
        <w:overflowPunct/>
        <w:autoSpaceDE/>
        <w:spacing w:line="240" w:lineRule="auto"/>
        <w:jc w:val="center"/>
        <w:textAlignment w:val="auto"/>
        <w:outlineLvl w:val="0"/>
        <w:rPr>
          <w:b/>
          <w:bCs/>
          <w:color w:val="000000"/>
          <w:lang w:val="es-ES" w:eastAsia="es-ES"/>
        </w:rPr>
      </w:pPr>
      <w:r w:rsidRPr="0085042B">
        <w:rPr>
          <w:b/>
          <w:bCs/>
          <w:color w:val="000000"/>
          <w:lang w:val="es-ES" w:eastAsia="es-ES"/>
        </w:rPr>
        <w:t>SECCIÓN TERCERA</w:t>
      </w:r>
    </w:p>
    <w:p w14:paraId="01E8CB25" w14:textId="77777777" w:rsidR="00E73FF1" w:rsidRPr="0085042B" w:rsidRDefault="00E73FF1" w:rsidP="00E73FF1">
      <w:pPr>
        <w:widowControl w:val="0"/>
        <w:suppressAutoHyphens w:val="0"/>
        <w:overflowPunct/>
        <w:autoSpaceDE/>
        <w:spacing w:line="240" w:lineRule="auto"/>
        <w:jc w:val="center"/>
        <w:textAlignment w:val="auto"/>
        <w:outlineLvl w:val="0"/>
        <w:rPr>
          <w:b/>
          <w:bCs/>
          <w:color w:val="000000"/>
          <w:lang w:val="es-ES" w:eastAsia="es-ES"/>
        </w:rPr>
      </w:pPr>
    </w:p>
    <w:p w14:paraId="5AC5F2FA" w14:textId="77777777" w:rsidR="00E73FF1" w:rsidRPr="0085042B" w:rsidRDefault="00E73FF1" w:rsidP="00E73FF1">
      <w:pPr>
        <w:widowControl w:val="0"/>
        <w:suppressAutoHyphens w:val="0"/>
        <w:overflowPunct/>
        <w:autoSpaceDE/>
        <w:spacing w:line="240" w:lineRule="auto"/>
        <w:jc w:val="center"/>
        <w:textAlignment w:val="auto"/>
        <w:outlineLvl w:val="0"/>
        <w:rPr>
          <w:b/>
          <w:bCs/>
          <w:color w:val="000000"/>
          <w:lang w:val="es-ES" w:eastAsia="es-ES"/>
        </w:rPr>
      </w:pPr>
      <w:r w:rsidRPr="0085042B">
        <w:rPr>
          <w:b/>
          <w:bCs/>
          <w:color w:val="000000"/>
          <w:lang w:val="es-ES" w:eastAsia="es-ES"/>
        </w:rPr>
        <w:t>SUBSECCIÓN B</w:t>
      </w:r>
    </w:p>
    <w:p w14:paraId="770744EC" w14:textId="77777777" w:rsidR="00E73FF1" w:rsidRPr="0085042B" w:rsidRDefault="00E73FF1" w:rsidP="00E73FF1">
      <w:pPr>
        <w:widowControl w:val="0"/>
        <w:suppressAutoHyphens w:val="0"/>
        <w:overflowPunct/>
        <w:autoSpaceDE/>
        <w:spacing w:line="240" w:lineRule="auto"/>
        <w:jc w:val="center"/>
        <w:textAlignment w:val="auto"/>
        <w:rPr>
          <w:b/>
          <w:bCs/>
          <w:color w:val="000000"/>
          <w:lang w:val="es-ES" w:eastAsia="es-ES"/>
        </w:rPr>
      </w:pPr>
    </w:p>
    <w:p w14:paraId="6CEC1C59" w14:textId="77777777" w:rsidR="00E73FF1" w:rsidRPr="0085042B" w:rsidRDefault="00E73FF1" w:rsidP="00E73FF1">
      <w:pPr>
        <w:suppressAutoHyphens w:val="0"/>
        <w:overflowPunct/>
        <w:autoSpaceDE/>
        <w:spacing w:line="240" w:lineRule="auto"/>
        <w:jc w:val="center"/>
        <w:textAlignment w:val="auto"/>
        <w:rPr>
          <w:rFonts w:eastAsia="Calibri"/>
          <w:b/>
          <w:color w:val="000000"/>
          <w:lang w:val="es-ES" w:eastAsia="en-US"/>
        </w:rPr>
      </w:pPr>
      <w:r w:rsidRPr="0085042B">
        <w:rPr>
          <w:rFonts w:eastAsia="Calibri"/>
          <w:b/>
          <w:color w:val="000000"/>
          <w:lang w:val="es-ES" w:eastAsia="en-US"/>
        </w:rPr>
        <w:t>Consejero ponente: MARTA NUBIA VELÁSQUEZ RICO (E)</w:t>
      </w:r>
    </w:p>
    <w:p w14:paraId="39088409" w14:textId="77777777" w:rsidR="00E73FF1" w:rsidRPr="0085042B" w:rsidRDefault="00E73FF1" w:rsidP="00E73FF1">
      <w:pPr>
        <w:tabs>
          <w:tab w:val="left" w:pos="180"/>
          <w:tab w:val="left" w:pos="8640"/>
        </w:tabs>
        <w:spacing w:line="240" w:lineRule="auto"/>
        <w:rPr>
          <w:color w:val="000000"/>
          <w:lang w:val="es-CO"/>
        </w:rPr>
      </w:pPr>
    </w:p>
    <w:p w14:paraId="16BE10EF" w14:textId="77777777" w:rsidR="00E73FF1" w:rsidRPr="0085042B" w:rsidRDefault="00E73FF1" w:rsidP="00E73FF1">
      <w:pPr>
        <w:tabs>
          <w:tab w:val="left" w:pos="180"/>
          <w:tab w:val="left" w:pos="8640"/>
        </w:tabs>
        <w:spacing w:line="240" w:lineRule="auto"/>
        <w:rPr>
          <w:color w:val="000000"/>
        </w:rPr>
      </w:pPr>
      <w:r w:rsidRPr="0085042B">
        <w:rPr>
          <w:color w:val="000000"/>
        </w:rPr>
        <w:t>Bogotá D.C., dieciocho (18) de octubre de dos mil dieciocho (2018).</w:t>
      </w:r>
    </w:p>
    <w:p w14:paraId="149C5521" w14:textId="77777777" w:rsidR="00E73FF1" w:rsidRPr="0085042B" w:rsidRDefault="00E73FF1" w:rsidP="00E73FF1">
      <w:pPr>
        <w:tabs>
          <w:tab w:val="left" w:pos="180"/>
          <w:tab w:val="left" w:pos="8640"/>
        </w:tabs>
        <w:spacing w:line="240" w:lineRule="auto"/>
        <w:rPr>
          <w:color w:val="000000"/>
        </w:rPr>
      </w:pPr>
    </w:p>
    <w:p w14:paraId="4C7A7E39" w14:textId="77777777" w:rsidR="00E73FF1" w:rsidRPr="0085042B" w:rsidRDefault="00E73FF1" w:rsidP="00E73FF1">
      <w:pPr>
        <w:spacing w:line="240" w:lineRule="auto"/>
        <w:rPr>
          <w:b/>
          <w:color w:val="000000"/>
          <w:lang w:val="es-CO"/>
        </w:rPr>
      </w:pPr>
      <w:r w:rsidRPr="0085042B">
        <w:rPr>
          <w:b/>
          <w:color w:val="000000"/>
          <w:lang w:val="es-CO"/>
        </w:rPr>
        <w:t>Radicación número: 05001-23-31-000-2000-01944-01(43072)</w:t>
      </w:r>
    </w:p>
    <w:p w14:paraId="12492322" w14:textId="77777777" w:rsidR="00E73FF1" w:rsidRPr="0085042B" w:rsidRDefault="00E73FF1" w:rsidP="00E73FF1">
      <w:pPr>
        <w:spacing w:line="240" w:lineRule="auto"/>
        <w:rPr>
          <w:b/>
          <w:color w:val="000000"/>
          <w:lang w:val="es-CO"/>
        </w:rPr>
      </w:pPr>
    </w:p>
    <w:p w14:paraId="1AD57B56" w14:textId="77777777" w:rsidR="00E73FF1" w:rsidRPr="0085042B" w:rsidRDefault="00E73FF1" w:rsidP="00E73FF1">
      <w:pPr>
        <w:spacing w:line="240" w:lineRule="auto"/>
        <w:rPr>
          <w:b/>
          <w:color w:val="000000"/>
          <w:lang w:val="es-MX"/>
        </w:rPr>
      </w:pPr>
      <w:r w:rsidRPr="0085042B">
        <w:rPr>
          <w:b/>
          <w:color w:val="000000"/>
          <w:lang w:val="es-CO"/>
        </w:rPr>
        <w:t xml:space="preserve">Actor: </w:t>
      </w:r>
      <w:r w:rsidRPr="0085042B">
        <w:rPr>
          <w:b/>
          <w:color w:val="000000"/>
          <w:lang w:val="es-MX"/>
        </w:rPr>
        <w:t>SOUTH AMERICAN INVESTMENT LATIN INC. Y OTROS</w:t>
      </w:r>
    </w:p>
    <w:p w14:paraId="0AE95DA0" w14:textId="77777777" w:rsidR="00E73FF1" w:rsidRPr="0085042B" w:rsidRDefault="00E73FF1" w:rsidP="00E73FF1">
      <w:pPr>
        <w:spacing w:line="240" w:lineRule="auto"/>
        <w:rPr>
          <w:b/>
          <w:color w:val="000000"/>
          <w:lang w:val="es-MX"/>
        </w:rPr>
      </w:pPr>
    </w:p>
    <w:p w14:paraId="35B96C43" w14:textId="77777777" w:rsidR="00E73FF1" w:rsidRPr="0085042B" w:rsidRDefault="00E73FF1" w:rsidP="00E73FF1">
      <w:pPr>
        <w:spacing w:line="240" w:lineRule="auto"/>
        <w:rPr>
          <w:b/>
          <w:color w:val="000000"/>
          <w:lang w:val="es-MX"/>
        </w:rPr>
      </w:pPr>
      <w:r w:rsidRPr="0085042B">
        <w:rPr>
          <w:b/>
          <w:color w:val="000000"/>
          <w:lang w:val="es-ES"/>
        </w:rPr>
        <w:t xml:space="preserve">Demandado: </w:t>
      </w:r>
      <w:r w:rsidRPr="0085042B">
        <w:rPr>
          <w:b/>
          <w:color w:val="000000"/>
          <w:lang w:val="es-MX"/>
        </w:rPr>
        <w:t>DEPARTAMENTO DE ANTIOQUIA</w:t>
      </w:r>
    </w:p>
    <w:p w14:paraId="257B1577" w14:textId="77777777" w:rsidR="00E73FF1" w:rsidRPr="0085042B" w:rsidRDefault="00E73FF1" w:rsidP="00E73FF1">
      <w:pPr>
        <w:spacing w:line="240" w:lineRule="auto"/>
        <w:rPr>
          <w:b/>
          <w:color w:val="000000"/>
          <w:lang w:val="es-MX"/>
        </w:rPr>
      </w:pPr>
    </w:p>
    <w:p w14:paraId="7DF348DF" w14:textId="77777777" w:rsidR="00E73FF1" w:rsidRPr="0085042B" w:rsidRDefault="00E73FF1" w:rsidP="00E73FF1">
      <w:pPr>
        <w:spacing w:line="240" w:lineRule="auto"/>
        <w:rPr>
          <w:b/>
          <w:color w:val="000000"/>
          <w:lang w:val="es-MX"/>
        </w:rPr>
      </w:pPr>
    </w:p>
    <w:p w14:paraId="793FA09F" w14:textId="77777777" w:rsidR="00E73FF1" w:rsidRPr="0085042B" w:rsidRDefault="00E73FF1" w:rsidP="00E73FF1">
      <w:pPr>
        <w:spacing w:line="240" w:lineRule="auto"/>
        <w:rPr>
          <w:b/>
          <w:color w:val="000000"/>
          <w:lang w:val="es-CO"/>
        </w:rPr>
      </w:pPr>
      <w:r w:rsidRPr="0085042B">
        <w:rPr>
          <w:b/>
          <w:color w:val="000000"/>
          <w:lang w:val="es-CO"/>
        </w:rPr>
        <w:t>Referencia: ACCIÓN DE NULIDAD Y RESTABLECIMIENTO DEL DERECHO (APELACIÓN SENTENCIA)</w:t>
      </w:r>
    </w:p>
    <w:p w14:paraId="1901FFA8" w14:textId="77777777" w:rsidR="00E73FF1" w:rsidRPr="0085042B" w:rsidRDefault="00E73FF1" w:rsidP="00E73FF1">
      <w:pPr>
        <w:spacing w:line="240" w:lineRule="auto"/>
        <w:rPr>
          <w:b/>
          <w:color w:val="000000"/>
          <w:lang w:val="es-CO"/>
        </w:rPr>
      </w:pPr>
    </w:p>
    <w:p w14:paraId="7CB9884D" w14:textId="77777777" w:rsidR="00E73FF1" w:rsidRPr="0085042B" w:rsidRDefault="00E73FF1" w:rsidP="00E73FF1">
      <w:pPr>
        <w:spacing w:line="240" w:lineRule="auto"/>
        <w:rPr>
          <w:color w:val="000000"/>
          <w:lang w:val="es-CO"/>
        </w:rPr>
      </w:pPr>
    </w:p>
    <w:p w14:paraId="74AEDB9E" w14:textId="77777777" w:rsidR="00E73FF1" w:rsidRPr="0085042B" w:rsidRDefault="00E73FF1" w:rsidP="00E73FF1">
      <w:pPr>
        <w:spacing w:line="240" w:lineRule="auto"/>
        <w:rPr>
          <w:color w:val="000000"/>
          <w:lang w:val="es-CO"/>
        </w:rPr>
      </w:pPr>
    </w:p>
    <w:p w14:paraId="732C4118" w14:textId="77777777" w:rsidR="00E73FF1" w:rsidRPr="0085042B" w:rsidRDefault="00E73FF1" w:rsidP="00E73FF1">
      <w:pPr>
        <w:pStyle w:val="Textoindependiente"/>
        <w:rPr>
          <w:i/>
          <w:color w:val="000000"/>
          <w:lang w:val="es-CO"/>
        </w:rPr>
      </w:pPr>
      <w:r w:rsidRPr="0085042B">
        <w:rPr>
          <w:i/>
          <w:color w:val="000000"/>
          <w:lang w:val="es-CO"/>
        </w:rPr>
        <w:t>Tema: NULIDAD Y RESTABLECIMIENTO DEL DERECHO- nulidad del acto de adjudicación / INEPTITUD DE LA DEMANDA – configurada por indebida escogencia de la acción/FALLO INHIBITORIO.</w:t>
      </w:r>
    </w:p>
    <w:p w14:paraId="03CA29F0" w14:textId="77777777" w:rsidR="00E73FF1" w:rsidRPr="0085042B" w:rsidRDefault="00E73FF1" w:rsidP="00E73FF1">
      <w:pPr>
        <w:pStyle w:val="Textoindependiente"/>
        <w:rPr>
          <w:color w:val="000000"/>
          <w:lang w:val="es-CO"/>
        </w:rPr>
      </w:pPr>
    </w:p>
    <w:p w14:paraId="7DB7852B" w14:textId="77777777" w:rsidR="00E73FF1" w:rsidRPr="0085042B" w:rsidRDefault="00E73FF1" w:rsidP="00E73FF1">
      <w:pPr>
        <w:pStyle w:val="Textoindependiente"/>
        <w:rPr>
          <w:color w:val="000000"/>
          <w:lang w:val="es-ES" w:eastAsia="es-ES"/>
        </w:rPr>
      </w:pPr>
      <w:r w:rsidRPr="0085042B">
        <w:rPr>
          <w:color w:val="000000"/>
          <w:lang w:val="es-CO"/>
        </w:rPr>
        <w:t>La Sala resuelve el recurso de apelación presentado por la demandante contra la sentencia del 13 de octubre de 2011, proferida por el Tribunal Administrativo de Antioquia, Sala Quinta de Decisión, mediante la cual se negaron las pretensiones de la demanda</w:t>
      </w:r>
      <w:r w:rsidRPr="0085042B">
        <w:rPr>
          <w:color w:val="000000"/>
          <w:lang w:val="es-ES" w:eastAsia="es-ES"/>
        </w:rPr>
        <w:t>.</w:t>
      </w:r>
    </w:p>
    <w:p w14:paraId="047CD08A" w14:textId="77777777" w:rsidR="00E73FF1" w:rsidRPr="0085042B" w:rsidRDefault="00E73FF1" w:rsidP="00E73FF1">
      <w:pPr>
        <w:pStyle w:val="Ttulo1"/>
        <w:jc w:val="center"/>
        <w:rPr>
          <w:rFonts w:ascii="Arial" w:hAnsi="Arial" w:cs="Arial"/>
          <w:color w:val="000000"/>
          <w:sz w:val="24"/>
          <w:szCs w:val="24"/>
          <w:lang w:val="es-CO"/>
        </w:rPr>
      </w:pPr>
      <w:r w:rsidRPr="0085042B">
        <w:rPr>
          <w:rFonts w:ascii="Arial" w:hAnsi="Arial" w:cs="Arial"/>
          <w:color w:val="000000"/>
          <w:sz w:val="24"/>
          <w:szCs w:val="24"/>
          <w:lang w:val="es-CO"/>
        </w:rPr>
        <w:t>SÍNTESIS DEL CASO</w:t>
      </w:r>
    </w:p>
    <w:p w14:paraId="4358F2CF" w14:textId="77777777" w:rsidR="00E73FF1" w:rsidRPr="0085042B" w:rsidRDefault="00E73FF1" w:rsidP="00E73FF1">
      <w:pPr>
        <w:rPr>
          <w:color w:val="000000"/>
          <w:lang w:val="es-CO"/>
        </w:rPr>
      </w:pPr>
    </w:p>
    <w:p w14:paraId="4667BD46" w14:textId="77777777" w:rsidR="00E73FF1" w:rsidRPr="0085042B" w:rsidRDefault="00E73FF1" w:rsidP="00E73FF1">
      <w:pPr>
        <w:rPr>
          <w:color w:val="000000"/>
          <w:lang w:val="es-ES" w:eastAsia="es-ES"/>
        </w:rPr>
      </w:pPr>
      <w:r w:rsidRPr="0085042B">
        <w:rPr>
          <w:color w:val="000000"/>
          <w:lang w:val="es-CO"/>
        </w:rPr>
        <w:t>La parte actora, en ejercicio de la acción de nulidad y restablecimiento del derecho, presentó demanda en contra de la</w:t>
      </w:r>
      <w:r w:rsidRPr="0085042B">
        <w:rPr>
          <w:color w:val="000000"/>
          <w:lang w:val="es-ES" w:eastAsia="es-ES"/>
        </w:rPr>
        <w:t xml:space="preserve"> Resolución n.º 1811 del 23 de febrero de 2000, proferida por el departamento de Antioquia, por medio de la cual se adjudicó a la Unión Temporal Dromayor Pereira S.A. y Héctor Villa Osorio el contrato de distribución de los productos de la Fábrica de Licores y Alcoholes de Antioquia en el departamento de Bolívar por un período de cuatro (4) años. Para la fecha de presentación de la demanda, el contrato ya había sido firmado.</w:t>
      </w:r>
    </w:p>
    <w:p w14:paraId="14D50A9D" w14:textId="77777777" w:rsidR="00E73FF1" w:rsidRPr="0085042B" w:rsidRDefault="00E73FF1" w:rsidP="00E73FF1">
      <w:pPr>
        <w:pStyle w:val="Ttulo1"/>
        <w:jc w:val="center"/>
        <w:rPr>
          <w:rFonts w:ascii="Arial" w:hAnsi="Arial" w:cs="Arial"/>
          <w:color w:val="000000"/>
          <w:sz w:val="24"/>
          <w:szCs w:val="24"/>
          <w:lang w:val="es-CO"/>
        </w:rPr>
      </w:pPr>
      <w:r w:rsidRPr="0085042B">
        <w:rPr>
          <w:rFonts w:ascii="Arial" w:hAnsi="Arial" w:cs="Arial"/>
          <w:color w:val="000000"/>
          <w:sz w:val="24"/>
          <w:szCs w:val="24"/>
          <w:lang w:val="es-CO"/>
        </w:rPr>
        <w:t>ANTECEDENTES</w:t>
      </w:r>
    </w:p>
    <w:p w14:paraId="4C04D6E4" w14:textId="77777777" w:rsidR="00E73FF1" w:rsidRPr="0085042B" w:rsidRDefault="00E73FF1" w:rsidP="00E73FF1">
      <w:pPr>
        <w:pStyle w:val="Ttulo2"/>
        <w:numPr>
          <w:ilvl w:val="0"/>
          <w:numId w:val="6"/>
        </w:numPr>
        <w:rPr>
          <w:rFonts w:ascii="Arial" w:hAnsi="Arial" w:cs="Arial"/>
          <w:i w:val="0"/>
          <w:color w:val="000000"/>
          <w:sz w:val="24"/>
          <w:szCs w:val="24"/>
        </w:rPr>
      </w:pPr>
      <w:r w:rsidRPr="0085042B">
        <w:rPr>
          <w:rFonts w:ascii="Arial" w:hAnsi="Arial" w:cs="Arial"/>
          <w:i w:val="0"/>
          <w:color w:val="000000"/>
          <w:sz w:val="24"/>
          <w:szCs w:val="24"/>
        </w:rPr>
        <w:t>Lo que se pretende</w:t>
      </w:r>
    </w:p>
    <w:p w14:paraId="70B4C8F5" w14:textId="77777777" w:rsidR="00E73FF1" w:rsidRPr="0085042B" w:rsidRDefault="00E73FF1" w:rsidP="00E73FF1">
      <w:pPr>
        <w:rPr>
          <w:color w:val="000000"/>
        </w:rPr>
      </w:pPr>
    </w:p>
    <w:p w14:paraId="628E60EE" w14:textId="77777777" w:rsidR="00E73FF1" w:rsidRPr="0085042B" w:rsidRDefault="00E73FF1" w:rsidP="00E73FF1">
      <w:pPr>
        <w:widowControl w:val="0"/>
        <w:rPr>
          <w:color w:val="000000"/>
          <w:lang w:val="es-CO"/>
        </w:rPr>
      </w:pPr>
      <w:r w:rsidRPr="0085042B">
        <w:rPr>
          <w:color w:val="000000"/>
        </w:rPr>
        <w:t>Mediante escrito presentado el 10 de abril de 2000</w:t>
      </w:r>
      <w:r w:rsidRPr="0085042B">
        <w:rPr>
          <w:rStyle w:val="Refdenotaalpie"/>
          <w:color w:val="000000"/>
        </w:rPr>
        <w:footnoteReference w:id="1"/>
      </w:r>
      <w:r w:rsidRPr="0085042B">
        <w:rPr>
          <w:color w:val="000000"/>
        </w:rPr>
        <w:t>, las sociedades South American Investment Latin Inc., Amaury Martelo y Cía. Ltda. y Proincap S.A., como integrantes del Consorcio Licocartagena, a través de apoderado, presentaron oportunamente demanda en ejercicio de la acción de nulidad y restablecimiento del derecho contra el departamento de Antioquia-Fábrica de Licores y Alcoholes de Antioquia, con el fin de que se hicieran las siguientes declaraciones y condenas (se transcribe de forma literal, incluso con posibles errores):</w:t>
      </w:r>
      <w:r w:rsidRPr="0085042B">
        <w:rPr>
          <w:color w:val="000000"/>
          <w:lang w:val="es-CO"/>
        </w:rPr>
        <w:t xml:space="preserve"> </w:t>
      </w:r>
    </w:p>
    <w:p w14:paraId="0B29631B" w14:textId="77777777" w:rsidR="00E73FF1" w:rsidRPr="0085042B" w:rsidRDefault="00E73FF1" w:rsidP="00E73FF1">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rPr>
      </w:pPr>
    </w:p>
    <w:p w14:paraId="4DCBB1B7" w14:textId="77777777" w:rsidR="00E73FF1" w:rsidRPr="0085042B" w:rsidRDefault="00E73FF1" w:rsidP="00E73FF1">
      <w:pPr>
        <w:pStyle w:val="Sinespaciado"/>
        <w:ind w:left="567" w:right="567"/>
        <w:jc w:val="both"/>
        <w:rPr>
          <w:rFonts w:ascii="Arial" w:hAnsi="Arial" w:cs="Arial"/>
          <w:i/>
          <w:color w:val="000000"/>
          <w:szCs w:val="24"/>
        </w:rPr>
      </w:pPr>
      <w:r w:rsidRPr="0085042B">
        <w:rPr>
          <w:rFonts w:ascii="Arial" w:hAnsi="Arial" w:cs="Arial"/>
          <w:i/>
          <w:color w:val="000000"/>
          <w:szCs w:val="24"/>
        </w:rPr>
        <w:t>“</w:t>
      </w:r>
      <w:r w:rsidRPr="0085042B">
        <w:rPr>
          <w:rFonts w:ascii="Arial" w:hAnsi="Arial" w:cs="Arial"/>
          <w:b/>
          <w:i/>
          <w:color w:val="000000"/>
          <w:szCs w:val="24"/>
        </w:rPr>
        <w:t>PRIMERA:</w:t>
      </w:r>
      <w:r w:rsidRPr="0085042B">
        <w:rPr>
          <w:rFonts w:ascii="Arial" w:hAnsi="Arial" w:cs="Arial"/>
          <w:i/>
          <w:color w:val="000000"/>
          <w:szCs w:val="24"/>
        </w:rPr>
        <w:t xml:space="preserve"> Que se declare la nulidad de la Resolución n.º 1811 del 23 de febrero del año 2.000, por medio de la cual se adjudica el contrato para la distribución durante cuatro (4) años de los productos de la Fábrica de Licores y Alcoholes de Antioquia en el Departamento de Bolívar, de acuerdo con la Licitación n.º 004 de 1999.</w:t>
      </w:r>
    </w:p>
    <w:p w14:paraId="1A6D8815" w14:textId="77777777" w:rsidR="00E73FF1" w:rsidRPr="0085042B" w:rsidRDefault="00E73FF1" w:rsidP="00E73FF1">
      <w:pPr>
        <w:pStyle w:val="Sinespaciado"/>
        <w:ind w:left="567" w:right="567"/>
        <w:jc w:val="both"/>
        <w:rPr>
          <w:rFonts w:ascii="Arial" w:hAnsi="Arial" w:cs="Arial"/>
          <w:i/>
          <w:color w:val="000000"/>
          <w:szCs w:val="24"/>
        </w:rPr>
      </w:pPr>
    </w:p>
    <w:p w14:paraId="770A55DB" w14:textId="77777777" w:rsidR="00E73FF1" w:rsidRPr="0085042B" w:rsidRDefault="00E73FF1" w:rsidP="00E73FF1">
      <w:pPr>
        <w:pStyle w:val="Sinespaciado"/>
        <w:ind w:left="567" w:right="567"/>
        <w:jc w:val="both"/>
        <w:rPr>
          <w:rFonts w:ascii="Arial" w:hAnsi="Arial" w:cs="Arial"/>
          <w:i/>
          <w:color w:val="000000"/>
          <w:szCs w:val="24"/>
        </w:rPr>
      </w:pPr>
      <w:r w:rsidRPr="0085042B">
        <w:rPr>
          <w:rFonts w:ascii="Arial" w:hAnsi="Arial" w:cs="Arial"/>
          <w:i/>
          <w:color w:val="000000"/>
          <w:szCs w:val="24"/>
        </w:rPr>
        <w:lastRenderedPageBreak/>
        <w:t>“</w:t>
      </w:r>
      <w:r w:rsidRPr="0085042B">
        <w:rPr>
          <w:rFonts w:ascii="Arial" w:hAnsi="Arial" w:cs="Arial"/>
          <w:b/>
          <w:i/>
          <w:color w:val="000000"/>
          <w:szCs w:val="24"/>
        </w:rPr>
        <w:t>SEGUNDA:</w:t>
      </w:r>
      <w:r w:rsidRPr="0085042B">
        <w:rPr>
          <w:rFonts w:ascii="Arial" w:hAnsi="Arial" w:cs="Arial"/>
          <w:i/>
          <w:color w:val="000000"/>
          <w:szCs w:val="24"/>
        </w:rPr>
        <w:t xml:space="preserve"> Que en consecuencia se restablezca el Derecho de las Sociedades Demandantes, y se condene al Departamento de Antioquia-Fábrica de Licores y Alcoholes de Antioquia a pagar a dichas Sociedades en calidad de integrantes del </w:t>
      </w:r>
      <w:r w:rsidRPr="0085042B">
        <w:rPr>
          <w:rFonts w:ascii="Arial" w:hAnsi="Arial" w:cs="Arial"/>
          <w:b/>
          <w:i/>
          <w:color w:val="000000"/>
          <w:szCs w:val="24"/>
        </w:rPr>
        <w:t>CONSORCIO LICOCARTAGENA</w:t>
      </w:r>
      <w:r w:rsidRPr="0085042B">
        <w:rPr>
          <w:rFonts w:ascii="Arial" w:hAnsi="Arial" w:cs="Arial"/>
          <w:i/>
          <w:color w:val="000000"/>
          <w:szCs w:val="24"/>
        </w:rPr>
        <w:t xml:space="preserve">, la suma equivalente a </w:t>
      </w:r>
      <w:r w:rsidRPr="0085042B">
        <w:rPr>
          <w:rFonts w:ascii="Arial" w:hAnsi="Arial" w:cs="Arial"/>
          <w:b/>
          <w:i/>
          <w:color w:val="000000"/>
          <w:szCs w:val="24"/>
        </w:rPr>
        <w:t>CINCO MIL MILLONES DE PESOS ($5.000.000.000,oo)</w:t>
      </w:r>
      <w:r w:rsidRPr="0085042B">
        <w:rPr>
          <w:rFonts w:ascii="Arial" w:hAnsi="Arial" w:cs="Arial"/>
          <w:i/>
          <w:color w:val="000000"/>
          <w:szCs w:val="24"/>
        </w:rPr>
        <w:t xml:space="preserve"> correspondiente a las utilidades que hubieran obtenido dichas Sociedades si se les hubiera adjudicado el Contrato, o la suma mayor o menor que resulte probada en el proceso, ya que la propuesta presentada por dicho Consorcio era la mejor para la administración (vocación de adjudicación) y que no existía causa legal para adjudicarle dicha distribución en el Departamento de Bolívar a la Unión Temporal Dromayor Pereira S.A. y Héctor Villa Osorio.</w:t>
      </w:r>
    </w:p>
    <w:p w14:paraId="628CB6A8" w14:textId="77777777" w:rsidR="00E73FF1" w:rsidRPr="0085042B" w:rsidRDefault="00E73FF1" w:rsidP="00E73FF1">
      <w:pPr>
        <w:pStyle w:val="Sinespaciado"/>
        <w:ind w:left="567" w:right="567"/>
        <w:jc w:val="both"/>
        <w:rPr>
          <w:rFonts w:ascii="Arial" w:hAnsi="Arial" w:cs="Arial"/>
          <w:i/>
          <w:color w:val="000000"/>
          <w:szCs w:val="24"/>
        </w:rPr>
      </w:pPr>
    </w:p>
    <w:p w14:paraId="4B482DDC" w14:textId="77777777" w:rsidR="00E73FF1" w:rsidRPr="0085042B" w:rsidRDefault="00E73FF1" w:rsidP="00E73FF1">
      <w:pPr>
        <w:pStyle w:val="Sinespaciado"/>
        <w:ind w:left="567" w:right="567"/>
        <w:jc w:val="both"/>
        <w:rPr>
          <w:rFonts w:ascii="Arial" w:hAnsi="Arial" w:cs="Arial"/>
          <w:i/>
          <w:color w:val="000000"/>
          <w:szCs w:val="24"/>
        </w:rPr>
      </w:pPr>
      <w:r w:rsidRPr="0085042B">
        <w:rPr>
          <w:rFonts w:ascii="Arial" w:hAnsi="Arial" w:cs="Arial"/>
          <w:i/>
          <w:color w:val="000000"/>
          <w:szCs w:val="24"/>
        </w:rPr>
        <w:t>“</w:t>
      </w:r>
      <w:r w:rsidRPr="0085042B">
        <w:rPr>
          <w:rFonts w:ascii="Arial" w:hAnsi="Arial" w:cs="Arial"/>
          <w:b/>
          <w:i/>
          <w:color w:val="000000"/>
          <w:szCs w:val="24"/>
        </w:rPr>
        <w:t>TERCERA:</w:t>
      </w:r>
      <w:r w:rsidRPr="0085042B">
        <w:rPr>
          <w:rFonts w:ascii="Arial" w:hAnsi="Arial" w:cs="Arial"/>
          <w:i/>
          <w:color w:val="000000"/>
          <w:szCs w:val="24"/>
        </w:rPr>
        <w:t xml:space="preserve"> Que se condene a la Entidad Demandada a reconocer sobre la suma mencionada en la cláusula anterior los intereses moratorios comerciales correspondientes y subsidiariamente los intereses civiles más la corrección monetaria.</w:t>
      </w:r>
    </w:p>
    <w:p w14:paraId="2B14412B" w14:textId="77777777" w:rsidR="00E73FF1" w:rsidRPr="0085042B" w:rsidRDefault="00E73FF1" w:rsidP="00E73FF1">
      <w:pPr>
        <w:pStyle w:val="Sinespaciado"/>
        <w:ind w:left="567" w:right="567"/>
        <w:jc w:val="both"/>
        <w:rPr>
          <w:rFonts w:ascii="Arial" w:hAnsi="Arial" w:cs="Arial"/>
          <w:b/>
          <w:i/>
          <w:color w:val="000000"/>
          <w:szCs w:val="24"/>
        </w:rPr>
      </w:pPr>
    </w:p>
    <w:p w14:paraId="4314C5D8" w14:textId="77777777" w:rsidR="00E73FF1" w:rsidRPr="0085042B" w:rsidRDefault="00E73FF1" w:rsidP="00E73FF1">
      <w:pPr>
        <w:pStyle w:val="Sinespaciado"/>
        <w:ind w:left="567" w:right="567"/>
        <w:jc w:val="both"/>
        <w:rPr>
          <w:rFonts w:ascii="Arial" w:hAnsi="Arial" w:cs="Arial"/>
          <w:i/>
          <w:color w:val="000000"/>
          <w:szCs w:val="24"/>
        </w:rPr>
      </w:pPr>
      <w:r w:rsidRPr="0085042B">
        <w:rPr>
          <w:rFonts w:ascii="Arial" w:hAnsi="Arial" w:cs="Arial"/>
          <w:i/>
          <w:color w:val="000000"/>
          <w:szCs w:val="24"/>
        </w:rPr>
        <w:t>“</w:t>
      </w:r>
      <w:r w:rsidRPr="0085042B">
        <w:rPr>
          <w:rFonts w:ascii="Arial" w:hAnsi="Arial" w:cs="Arial"/>
          <w:b/>
          <w:i/>
          <w:color w:val="000000"/>
          <w:szCs w:val="24"/>
        </w:rPr>
        <w:t>CUARTA:</w:t>
      </w:r>
      <w:r w:rsidRPr="0085042B">
        <w:rPr>
          <w:rFonts w:ascii="Arial" w:hAnsi="Arial" w:cs="Arial"/>
          <w:i/>
          <w:color w:val="000000"/>
          <w:szCs w:val="24"/>
        </w:rPr>
        <w:t xml:space="preserve"> Que se condene a la Entidad demandada a pagar cualquier otra suma que resulte probada en el proceso y que constituya un perjuicio derivado de la no adjudicación del contrato mencionado para la distribución de productos de la Fábrica de Licores y Alcoholes de Antioquia en el Departamento de Bolívar.</w:t>
      </w:r>
    </w:p>
    <w:p w14:paraId="0EF6C44A" w14:textId="77777777" w:rsidR="00E73FF1" w:rsidRPr="0085042B" w:rsidRDefault="00E73FF1" w:rsidP="00E73FF1">
      <w:pPr>
        <w:pStyle w:val="Sinespaciado"/>
        <w:ind w:left="567" w:right="567"/>
        <w:jc w:val="both"/>
        <w:rPr>
          <w:rFonts w:ascii="Arial" w:hAnsi="Arial" w:cs="Arial"/>
          <w:b/>
          <w:i/>
          <w:color w:val="000000"/>
          <w:szCs w:val="24"/>
        </w:rPr>
      </w:pPr>
    </w:p>
    <w:p w14:paraId="2BD5160A" w14:textId="77777777" w:rsidR="00E73FF1" w:rsidRPr="0085042B" w:rsidRDefault="00E73FF1" w:rsidP="00E73FF1">
      <w:pPr>
        <w:pStyle w:val="Sinespaciado"/>
        <w:ind w:left="567" w:right="567"/>
        <w:jc w:val="both"/>
        <w:rPr>
          <w:rFonts w:ascii="Arial" w:hAnsi="Arial" w:cs="Arial"/>
          <w:i/>
          <w:color w:val="000000"/>
          <w:szCs w:val="24"/>
        </w:rPr>
      </w:pPr>
      <w:r w:rsidRPr="0085042B">
        <w:rPr>
          <w:rFonts w:ascii="Arial" w:hAnsi="Arial" w:cs="Arial"/>
          <w:i/>
          <w:color w:val="000000"/>
          <w:szCs w:val="24"/>
        </w:rPr>
        <w:t>“</w:t>
      </w:r>
      <w:r w:rsidRPr="0085042B">
        <w:rPr>
          <w:rFonts w:ascii="Arial" w:hAnsi="Arial" w:cs="Arial"/>
          <w:b/>
          <w:i/>
          <w:color w:val="000000"/>
          <w:szCs w:val="24"/>
        </w:rPr>
        <w:t>QUINTA:</w:t>
      </w:r>
      <w:r w:rsidRPr="0085042B">
        <w:rPr>
          <w:rFonts w:ascii="Arial" w:hAnsi="Arial" w:cs="Arial"/>
          <w:i/>
          <w:color w:val="000000"/>
          <w:szCs w:val="24"/>
        </w:rPr>
        <w:t xml:space="preserve"> Que se condene en costas a la Entidad demandada.</w:t>
      </w:r>
    </w:p>
    <w:p w14:paraId="28BB383A" w14:textId="77777777" w:rsidR="00E73FF1" w:rsidRPr="0085042B" w:rsidRDefault="00E73FF1" w:rsidP="00E73FF1">
      <w:pPr>
        <w:pStyle w:val="Sinespaciado"/>
        <w:ind w:left="567" w:right="567"/>
        <w:jc w:val="both"/>
        <w:rPr>
          <w:rFonts w:ascii="Arial" w:hAnsi="Arial" w:cs="Arial"/>
          <w:i/>
          <w:color w:val="000000"/>
          <w:szCs w:val="24"/>
        </w:rPr>
      </w:pPr>
    </w:p>
    <w:p w14:paraId="3168E48F" w14:textId="77777777" w:rsidR="00E73FF1" w:rsidRPr="0085042B" w:rsidRDefault="00E73FF1" w:rsidP="00E73FF1">
      <w:pPr>
        <w:pStyle w:val="Sinespaciado"/>
        <w:ind w:left="567" w:right="567"/>
        <w:jc w:val="both"/>
        <w:rPr>
          <w:rFonts w:ascii="Arial" w:hAnsi="Arial" w:cs="Arial"/>
          <w:i/>
          <w:color w:val="000000"/>
          <w:sz w:val="24"/>
          <w:szCs w:val="24"/>
        </w:rPr>
      </w:pPr>
      <w:r w:rsidRPr="0085042B">
        <w:rPr>
          <w:rFonts w:ascii="Arial" w:hAnsi="Arial" w:cs="Arial"/>
          <w:i/>
          <w:color w:val="000000"/>
          <w:szCs w:val="24"/>
        </w:rPr>
        <w:t>“</w:t>
      </w:r>
      <w:r w:rsidRPr="0085042B">
        <w:rPr>
          <w:rFonts w:ascii="Arial" w:hAnsi="Arial" w:cs="Arial"/>
          <w:b/>
          <w:i/>
          <w:color w:val="000000"/>
          <w:szCs w:val="24"/>
        </w:rPr>
        <w:t>SEXTA:</w:t>
      </w:r>
      <w:r w:rsidRPr="0085042B">
        <w:rPr>
          <w:rFonts w:ascii="Arial" w:hAnsi="Arial" w:cs="Arial"/>
          <w:i/>
          <w:color w:val="000000"/>
          <w:szCs w:val="24"/>
        </w:rPr>
        <w:t xml:space="preserve"> Que en la sentencia se tenga en cuenta lo dispuesto en el último inciso del artículo 177 del Código Contencioso Administrativo”.</w:t>
      </w:r>
    </w:p>
    <w:p w14:paraId="20151379" w14:textId="77777777" w:rsidR="00E73FF1" w:rsidRPr="0085042B" w:rsidRDefault="00E73FF1" w:rsidP="00E73FF1">
      <w:pPr>
        <w:pStyle w:val="Sinespaciado"/>
        <w:ind w:left="567" w:right="505"/>
        <w:jc w:val="both"/>
        <w:rPr>
          <w:rFonts w:ascii="Arial" w:hAnsi="Arial" w:cs="Arial"/>
          <w:i/>
          <w:color w:val="000000"/>
          <w:sz w:val="24"/>
          <w:szCs w:val="24"/>
        </w:rPr>
      </w:pPr>
    </w:p>
    <w:p w14:paraId="6398D468" w14:textId="77777777" w:rsidR="00E73FF1" w:rsidRPr="0085042B" w:rsidRDefault="00E73FF1" w:rsidP="00E73FF1">
      <w:pPr>
        <w:pStyle w:val="Sinespaciado"/>
        <w:ind w:left="567" w:right="505"/>
        <w:jc w:val="both"/>
        <w:rPr>
          <w:rFonts w:ascii="Arial" w:hAnsi="Arial" w:cs="Arial"/>
          <w:i/>
          <w:color w:val="000000"/>
          <w:sz w:val="24"/>
          <w:szCs w:val="24"/>
        </w:rPr>
      </w:pPr>
    </w:p>
    <w:p w14:paraId="7919969C" w14:textId="77777777" w:rsidR="00E73FF1" w:rsidRPr="0085042B" w:rsidRDefault="00E73FF1" w:rsidP="00E73FF1">
      <w:pPr>
        <w:pStyle w:val="Prrafodelista"/>
        <w:widowControl w:val="0"/>
        <w:spacing w:line="360" w:lineRule="auto"/>
        <w:ind w:left="0"/>
        <w:jc w:val="both"/>
        <w:rPr>
          <w:color w:val="000000"/>
          <w:lang w:val="es-CO"/>
        </w:rPr>
      </w:pPr>
      <w:r w:rsidRPr="0085042B">
        <w:rPr>
          <w:color w:val="000000"/>
          <w:lang w:val="es-CO"/>
        </w:rPr>
        <w:t>La actora presentó como fundamentos fácticos de sus pretensiones los siguientes:</w:t>
      </w:r>
    </w:p>
    <w:p w14:paraId="65B3D009" w14:textId="77777777" w:rsidR="00E73FF1" w:rsidRPr="0085042B" w:rsidRDefault="00E73FF1" w:rsidP="00E73FF1">
      <w:pPr>
        <w:widowControl w:val="0"/>
        <w:rPr>
          <w:color w:val="000000"/>
          <w:lang w:val="es-CO"/>
        </w:rPr>
      </w:pPr>
    </w:p>
    <w:p w14:paraId="3E40E2BB" w14:textId="77777777" w:rsidR="00E73FF1" w:rsidRPr="0085042B" w:rsidRDefault="00E73FF1" w:rsidP="00E73FF1">
      <w:pPr>
        <w:widowControl w:val="0"/>
        <w:rPr>
          <w:color w:val="000000"/>
          <w:lang w:val="es-ES" w:eastAsia="es-ES"/>
        </w:rPr>
      </w:pPr>
      <w:r w:rsidRPr="0085042B">
        <w:rPr>
          <w:color w:val="000000"/>
          <w:lang w:val="es-ES" w:eastAsia="es-ES"/>
        </w:rPr>
        <w:t>El gobernador del departamento de Antioquia expidió la Resolución n.º 8811 del 5 de octubre de 1999, en la que ordenó la apertura de la Licitación Pública n.º 004 de 1999, con el objeto de contratar la distribución de los productos de la Fábrica de Licores y Alcoholes de Antioquia en el departamento de Bolívar durante cuatro (4) años.</w:t>
      </w:r>
    </w:p>
    <w:p w14:paraId="5A46E444" w14:textId="77777777" w:rsidR="00E73FF1" w:rsidRPr="0085042B" w:rsidRDefault="00E73FF1" w:rsidP="00E73FF1">
      <w:pPr>
        <w:widowControl w:val="0"/>
        <w:rPr>
          <w:color w:val="000000"/>
          <w:lang w:val="es-ES" w:eastAsia="es-ES"/>
        </w:rPr>
      </w:pPr>
    </w:p>
    <w:p w14:paraId="6CAFF7B7" w14:textId="77777777" w:rsidR="00E73FF1" w:rsidRPr="0085042B" w:rsidRDefault="00E73FF1" w:rsidP="00E73FF1">
      <w:pPr>
        <w:widowControl w:val="0"/>
        <w:rPr>
          <w:color w:val="000000"/>
          <w:lang w:val="es-ES" w:eastAsia="es-ES"/>
        </w:rPr>
      </w:pPr>
      <w:r w:rsidRPr="0085042B">
        <w:rPr>
          <w:color w:val="000000"/>
          <w:lang w:val="es-ES" w:eastAsia="es-ES"/>
        </w:rPr>
        <w:t>El Consorcio Licocartagena además de otros, presentaron oportunamente ofertas en la referida licitación y, una vez realizados los estudios jurídicos, técnicos y financieros correspondientes, el departamento de Antioquia-Fábrica de Licores y Alcoholes de Antioquia efectuó la evaluación inicial de las propuestas, de la que se obtuvo el siguiente orden de elegibilidad:</w:t>
      </w:r>
    </w:p>
    <w:p w14:paraId="35BF20B7" w14:textId="77777777" w:rsidR="00E73FF1" w:rsidRPr="0085042B" w:rsidRDefault="00E73FF1" w:rsidP="00E73FF1">
      <w:pPr>
        <w:widowControl w:val="0"/>
        <w:rPr>
          <w:color w:val="000000"/>
          <w:lang w:val="es-ES" w:eastAsia="es-ES"/>
        </w:rPr>
      </w:pPr>
    </w:p>
    <w:p w14:paraId="0056E26D" w14:textId="77777777" w:rsidR="00E73FF1" w:rsidRPr="0085042B" w:rsidRDefault="00E73FF1" w:rsidP="00E73FF1">
      <w:pPr>
        <w:pStyle w:val="Sinespaciado"/>
        <w:numPr>
          <w:ilvl w:val="0"/>
          <w:numId w:val="4"/>
        </w:numPr>
        <w:spacing w:line="360" w:lineRule="auto"/>
        <w:ind w:left="357" w:hanging="357"/>
        <w:jc w:val="both"/>
        <w:rPr>
          <w:rFonts w:ascii="Arial" w:hAnsi="Arial" w:cs="Arial"/>
          <w:color w:val="000000"/>
          <w:sz w:val="24"/>
          <w:szCs w:val="24"/>
        </w:rPr>
      </w:pPr>
      <w:r w:rsidRPr="0085042B">
        <w:rPr>
          <w:rFonts w:ascii="Arial" w:hAnsi="Arial" w:cs="Arial"/>
          <w:color w:val="000000"/>
          <w:sz w:val="24"/>
          <w:szCs w:val="24"/>
        </w:rPr>
        <w:t>Consorcio Licocartagena</w:t>
      </w:r>
      <w:r w:rsidRPr="0085042B">
        <w:rPr>
          <w:rFonts w:ascii="Arial" w:hAnsi="Arial" w:cs="Arial"/>
          <w:color w:val="000000"/>
          <w:sz w:val="24"/>
          <w:szCs w:val="24"/>
        </w:rPr>
        <w:tab/>
      </w:r>
      <w:r w:rsidRPr="0085042B">
        <w:rPr>
          <w:rFonts w:ascii="Arial" w:hAnsi="Arial" w:cs="Arial"/>
          <w:color w:val="000000"/>
          <w:sz w:val="24"/>
          <w:szCs w:val="24"/>
        </w:rPr>
        <w:tab/>
        <w:t>96.65 puntos, en el</w:t>
      </w:r>
      <w:r w:rsidRPr="0085042B">
        <w:rPr>
          <w:rFonts w:ascii="Arial" w:hAnsi="Arial" w:cs="Arial"/>
          <w:color w:val="000000"/>
          <w:sz w:val="24"/>
          <w:szCs w:val="24"/>
        </w:rPr>
        <w:tab/>
        <w:t>primer puesto.</w:t>
      </w:r>
    </w:p>
    <w:p w14:paraId="20393030" w14:textId="77777777" w:rsidR="00E73FF1" w:rsidRPr="0085042B" w:rsidRDefault="00E73FF1" w:rsidP="00E73FF1">
      <w:pPr>
        <w:pStyle w:val="Sinespaciado"/>
        <w:numPr>
          <w:ilvl w:val="0"/>
          <w:numId w:val="4"/>
        </w:numPr>
        <w:spacing w:line="360" w:lineRule="auto"/>
        <w:ind w:left="357" w:hanging="357"/>
        <w:jc w:val="both"/>
        <w:rPr>
          <w:rFonts w:ascii="Arial" w:hAnsi="Arial" w:cs="Arial"/>
          <w:color w:val="000000"/>
          <w:sz w:val="24"/>
          <w:szCs w:val="24"/>
        </w:rPr>
      </w:pPr>
      <w:r w:rsidRPr="0085042B">
        <w:rPr>
          <w:rFonts w:ascii="Arial" w:hAnsi="Arial" w:cs="Arial"/>
          <w:color w:val="000000"/>
          <w:sz w:val="24"/>
          <w:szCs w:val="24"/>
        </w:rPr>
        <w:t xml:space="preserve">Unión Temporal Dromayor </w:t>
      </w:r>
    </w:p>
    <w:p w14:paraId="4CFA6AF1" w14:textId="77777777" w:rsidR="00E73FF1" w:rsidRPr="0085042B" w:rsidRDefault="00E73FF1" w:rsidP="00E73FF1">
      <w:pPr>
        <w:pStyle w:val="Sinespaciado"/>
        <w:spacing w:line="360" w:lineRule="auto"/>
        <w:ind w:left="357"/>
        <w:jc w:val="both"/>
        <w:rPr>
          <w:rFonts w:ascii="Arial" w:hAnsi="Arial" w:cs="Arial"/>
          <w:color w:val="000000"/>
          <w:sz w:val="24"/>
          <w:szCs w:val="24"/>
        </w:rPr>
      </w:pPr>
      <w:r w:rsidRPr="0085042B">
        <w:rPr>
          <w:rFonts w:ascii="Arial" w:hAnsi="Arial" w:cs="Arial"/>
          <w:color w:val="000000"/>
          <w:sz w:val="24"/>
          <w:szCs w:val="24"/>
        </w:rPr>
        <w:t>Pereira S.A. y Héctor Villa Osorio</w:t>
      </w:r>
      <w:r w:rsidRPr="0085042B">
        <w:rPr>
          <w:rFonts w:ascii="Arial" w:hAnsi="Arial" w:cs="Arial"/>
          <w:color w:val="000000"/>
          <w:sz w:val="24"/>
          <w:szCs w:val="24"/>
        </w:rPr>
        <w:tab/>
        <w:t>96.42 puntos, en el segundo puesto.</w:t>
      </w:r>
    </w:p>
    <w:p w14:paraId="3DE58F0B" w14:textId="77777777" w:rsidR="00E73FF1" w:rsidRPr="0085042B" w:rsidRDefault="00E73FF1" w:rsidP="00E73FF1">
      <w:pPr>
        <w:pStyle w:val="Sinespaciado"/>
        <w:numPr>
          <w:ilvl w:val="0"/>
          <w:numId w:val="4"/>
        </w:numPr>
        <w:spacing w:line="360" w:lineRule="auto"/>
        <w:ind w:left="357" w:hanging="357"/>
        <w:jc w:val="both"/>
        <w:rPr>
          <w:rFonts w:ascii="Arial" w:hAnsi="Arial" w:cs="Arial"/>
          <w:color w:val="000000"/>
          <w:sz w:val="24"/>
          <w:szCs w:val="24"/>
        </w:rPr>
      </w:pPr>
      <w:r w:rsidRPr="0085042B">
        <w:rPr>
          <w:rFonts w:ascii="Arial" w:hAnsi="Arial" w:cs="Arial"/>
          <w:color w:val="000000"/>
          <w:sz w:val="24"/>
          <w:szCs w:val="24"/>
        </w:rPr>
        <w:t>Unión Temporal Megalicores</w:t>
      </w:r>
      <w:r w:rsidRPr="0085042B">
        <w:rPr>
          <w:rFonts w:ascii="Arial" w:hAnsi="Arial" w:cs="Arial"/>
          <w:color w:val="000000"/>
          <w:sz w:val="24"/>
          <w:szCs w:val="24"/>
        </w:rPr>
        <w:tab/>
      </w:r>
      <w:r w:rsidRPr="0085042B">
        <w:rPr>
          <w:rFonts w:ascii="Arial" w:hAnsi="Arial" w:cs="Arial"/>
          <w:color w:val="000000"/>
          <w:sz w:val="24"/>
          <w:szCs w:val="24"/>
        </w:rPr>
        <w:tab/>
        <w:t>80.12 puntos, en el</w:t>
      </w:r>
      <w:r w:rsidRPr="0085042B">
        <w:rPr>
          <w:rFonts w:ascii="Arial" w:hAnsi="Arial" w:cs="Arial"/>
          <w:color w:val="000000"/>
          <w:sz w:val="24"/>
          <w:szCs w:val="24"/>
        </w:rPr>
        <w:tab/>
        <w:t>tercer puesto.</w:t>
      </w:r>
    </w:p>
    <w:p w14:paraId="2AAD7DA0" w14:textId="77777777" w:rsidR="00E73FF1" w:rsidRPr="0085042B" w:rsidRDefault="00E73FF1" w:rsidP="00E73FF1">
      <w:pPr>
        <w:widowControl w:val="0"/>
        <w:rPr>
          <w:color w:val="000000"/>
          <w:lang w:val="es-ES" w:eastAsia="es-ES"/>
        </w:rPr>
      </w:pPr>
    </w:p>
    <w:p w14:paraId="5CB93ACA" w14:textId="77777777" w:rsidR="00E73FF1" w:rsidRPr="0085042B" w:rsidRDefault="00E73FF1" w:rsidP="00E73FF1">
      <w:pPr>
        <w:widowControl w:val="0"/>
        <w:rPr>
          <w:color w:val="000000"/>
          <w:lang w:val="es-ES" w:eastAsia="es-ES"/>
        </w:rPr>
      </w:pPr>
      <w:r w:rsidRPr="0085042B">
        <w:rPr>
          <w:color w:val="000000"/>
          <w:lang w:val="es-ES" w:eastAsia="es-ES"/>
        </w:rPr>
        <w:lastRenderedPageBreak/>
        <w:t>Dentro de la oportunidad en la cual la evaluación estuvo a disposición de los proponentes, se presentaron diversas observaciones, incluidas algunas que buscaban el rechazo de la oferta presentada por el Consorcio Licocartagena.</w:t>
      </w:r>
    </w:p>
    <w:p w14:paraId="49114527" w14:textId="77777777" w:rsidR="00E73FF1" w:rsidRPr="0085042B" w:rsidRDefault="00E73FF1" w:rsidP="00E73FF1">
      <w:pPr>
        <w:widowControl w:val="0"/>
        <w:rPr>
          <w:color w:val="000000"/>
          <w:lang w:val="es-ES" w:eastAsia="es-ES"/>
        </w:rPr>
      </w:pPr>
    </w:p>
    <w:p w14:paraId="3696C6FB" w14:textId="77777777" w:rsidR="00E73FF1" w:rsidRPr="0085042B" w:rsidRDefault="00E73FF1" w:rsidP="00E73FF1">
      <w:pPr>
        <w:widowControl w:val="0"/>
        <w:rPr>
          <w:color w:val="000000"/>
          <w:lang w:val="es-ES" w:eastAsia="es-ES"/>
        </w:rPr>
      </w:pPr>
      <w:r w:rsidRPr="0085042B">
        <w:rPr>
          <w:color w:val="000000"/>
          <w:lang w:val="es-ES" w:eastAsia="es-ES"/>
        </w:rPr>
        <w:t>La entidad resolvió algunas de las observaciones en la resolución de adjudicación del contrato y rechazó por improcedentes las formuladas contra el Consorcio Licocartagena, salvo la objeción presentada por la Unión Temporal Dromayor Pereira S.A. y Héctor Villa Osorio, en la cual solicitó que se tuviera en cuenta que el mencionado consorcio no cumplía con lo exigido en el pliego de condiciones en cuanto a la capacidad financiera, al considerar que no se ajustaba a los requisitos exigidos en el artículo 488 del Código de Comercio y los artículos 34 y 41 de la Ley 222 de 1995, respecto de la publicidad de los estados financieros.</w:t>
      </w:r>
    </w:p>
    <w:p w14:paraId="515C4E8B" w14:textId="77777777" w:rsidR="00E73FF1" w:rsidRPr="0085042B" w:rsidRDefault="00E73FF1" w:rsidP="00E73FF1">
      <w:pPr>
        <w:widowControl w:val="0"/>
        <w:rPr>
          <w:color w:val="000000"/>
          <w:lang w:val="es-ES" w:eastAsia="es-ES"/>
        </w:rPr>
      </w:pPr>
    </w:p>
    <w:p w14:paraId="5D3E0FA6" w14:textId="77777777" w:rsidR="00E73FF1" w:rsidRPr="0085042B" w:rsidRDefault="00E73FF1" w:rsidP="00E73FF1">
      <w:pPr>
        <w:widowControl w:val="0"/>
        <w:rPr>
          <w:color w:val="000000"/>
          <w:lang w:val="es-ES" w:eastAsia="es-ES"/>
        </w:rPr>
      </w:pPr>
      <w:r w:rsidRPr="0085042B">
        <w:rPr>
          <w:color w:val="000000"/>
          <w:lang w:val="es-ES" w:eastAsia="es-ES"/>
        </w:rPr>
        <w:t>Sumado a lo anterior, la actora afirmó que la entidad guardó silencio frente a varias observaciones, entre esas, la presentada por el Consorcio Licocartagena respecto del objeto social de la sociedad Dromayor Pereira S.A, integrante de la Unión Temporal Dromayor Pereira S.A. y Héctor Villa Osorio, el cual no estaba relacionado con la distribución de licores.</w:t>
      </w:r>
    </w:p>
    <w:p w14:paraId="30EB3563" w14:textId="77777777" w:rsidR="00E73FF1" w:rsidRPr="0085042B" w:rsidRDefault="00E73FF1" w:rsidP="00E73FF1">
      <w:pPr>
        <w:widowControl w:val="0"/>
        <w:rPr>
          <w:color w:val="000000"/>
          <w:lang w:val="es-ES" w:eastAsia="es-ES"/>
        </w:rPr>
      </w:pPr>
    </w:p>
    <w:p w14:paraId="4A6BE7E3" w14:textId="77777777" w:rsidR="00E73FF1" w:rsidRPr="0085042B" w:rsidRDefault="00E73FF1" w:rsidP="00E73FF1">
      <w:pPr>
        <w:widowControl w:val="0"/>
        <w:rPr>
          <w:color w:val="000000"/>
          <w:lang w:val="es-ES" w:eastAsia="es-ES"/>
        </w:rPr>
      </w:pPr>
      <w:r w:rsidRPr="0085042B">
        <w:rPr>
          <w:color w:val="000000"/>
          <w:lang w:val="es-ES" w:eastAsia="es-ES"/>
        </w:rPr>
        <w:t>La Fábrica de Licores y Alcoholes del departamento de Antioquia, al verificar que las sociedades South American Investment Latin Inc. y la sociedad Proincap S.A. -dos de las integrantes del Consorcio Licocartagena-  no habían depositado sus estados financieros en la respectiva Cámara de Comercio, ni en la Superintendencia de Sociedades para la fecha de presentación de la propuesta, siendo esta una obligación legal, modificó la evaluación financiera inicial asignándole cero puntos en capacidad financiera al Consorcio Licocartagena.</w:t>
      </w:r>
    </w:p>
    <w:p w14:paraId="28ABCFE6" w14:textId="77777777" w:rsidR="00E73FF1" w:rsidRPr="0085042B" w:rsidRDefault="00E73FF1" w:rsidP="00E73FF1">
      <w:pPr>
        <w:widowControl w:val="0"/>
        <w:rPr>
          <w:color w:val="000000"/>
          <w:lang w:val="es-ES" w:eastAsia="es-ES"/>
        </w:rPr>
      </w:pPr>
    </w:p>
    <w:p w14:paraId="62537BA0" w14:textId="77777777" w:rsidR="00E73FF1" w:rsidRPr="0085042B" w:rsidRDefault="00E73FF1" w:rsidP="00E73FF1">
      <w:pPr>
        <w:widowControl w:val="0"/>
        <w:rPr>
          <w:color w:val="000000"/>
          <w:lang w:val="es-ES" w:eastAsia="es-ES"/>
        </w:rPr>
      </w:pPr>
      <w:r w:rsidRPr="0085042B">
        <w:rPr>
          <w:color w:val="000000"/>
          <w:lang w:val="es-ES" w:eastAsia="es-ES"/>
        </w:rPr>
        <w:t>La actora consideró que dicha modificación atentaba contra el ordenamiento jurídico, puesto que la ley para la validez de los estados financieros sólo exigía que estuvieran debidamente certificados, sin necesidad de registrar el balance general en la Cámara de Comercio o en la Superintendencia de Sociedades, el cual es un requisito meramente formal que, en el caso concreto, no fue requerido en el pliego de condiciones de la Licitación Pública n.º 044 de 1999. En ese orden de ideas, señaló que la Administración no debió disminuir su puntaje basado en reglas distintas a las contenidas en el referido pliego.</w:t>
      </w:r>
    </w:p>
    <w:p w14:paraId="37BA977F" w14:textId="77777777" w:rsidR="00E73FF1" w:rsidRPr="0085042B" w:rsidRDefault="00E73FF1" w:rsidP="00E73FF1">
      <w:pPr>
        <w:widowControl w:val="0"/>
        <w:rPr>
          <w:color w:val="000000"/>
          <w:lang w:val="es-ES" w:eastAsia="es-ES"/>
        </w:rPr>
      </w:pPr>
    </w:p>
    <w:p w14:paraId="0C52ABF8" w14:textId="77777777" w:rsidR="00E73FF1" w:rsidRPr="0085042B" w:rsidRDefault="00E73FF1" w:rsidP="00E73FF1">
      <w:pPr>
        <w:widowControl w:val="0"/>
        <w:rPr>
          <w:color w:val="000000"/>
          <w:lang w:val="es-ES" w:eastAsia="es-ES"/>
        </w:rPr>
      </w:pPr>
      <w:r w:rsidRPr="0085042B">
        <w:rPr>
          <w:color w:val="000000"/>
          <w:lang w:val="es-ES" w:eastAsia="es-ES"/>
        </w:rPr>
        <w:t xml:space="preserve">De otro lado, señaló que la resolución de adjudicación fue notificada a la sociedad </w:t>
      </w:r>
      <w:r w:rsidRPr="0085042B">
        <w:rPr>
          <w:color w:val="000000"/>
          <w:lang w:val="es-ES" w:eastAsia="es-ES"/>
        </w:rPr>
        <w:lastRenderedPageBreak/>
        <w:t>favorecida el 25 de febrero de 2000, sin enviar comunicación alguna a los proponentes no favorecidos. Adujo que el Consorcio Licocartagena solo tuvo conocimiento de esta el 8 de marzo de 2000, fecha en la cual la Fábrica de Licores y Alcoholes de Antioquia dio respuesta a una petición elevada por el aquí demandante.</w:t>
      </w:r>
    </w:p>
    <w:p w14:paraId="5A9C11D9" w14:textId="77777777" w:rsidR="00E73FF1" w:rsidRPr="0085042B" w:rsidRDefault="00E73FF1" w:rsidP="00E73FF1">
      <w:pPr>
        <w:widowControl w:val="0"/>
        <w:rPr>
          <w:color w:val="000000"/>
          <w:lang w:val="es-ES" w:eastAsia="es-ES"/>
        </w:rPr>
      </w:pPr>
    </w:p>
    <w:p w14:paraId="306599FC" w14:textId="77777777" w:rsidR="00E73FF1" w:rsidRPr="0085042B" w:rsidRDefault="00E73FF1" w:rsidP="00E73FF1">
      <w:pPr>
        <w:widowControl w:val="0"/>
        <w:rPr>
          <w:color w:val="000000"/>
          <w:lang w:val="es-ES" w:eastAsia="es-ES"/>
        </w:rPr>
      </w:pPr>
      <w:r w:rsidRPr="0085042B">
        <w:rPr>
          <w:color w:val="000000"/>
          <w:lang w:val="es-ES" w:eastAsia="es-ES"/>
        </w:rPr>
        <w:t>Finalmente, la parte actora indicó que la resolución controvertida incurrió en violación de los artículos 6, 13 y 29 de la Constitución Política, los artículos 3, 23, 24, 25, 26, 28, 29 y 30 de la Ley 80 de 1993, los artículos 99 y 898 del Código de Comercio y la Ley 43 de 1990, por la disminución que se hizo del puntaje asignado a su capacidad financiera, bajo el argumento de que no depositó los estados financieros de las sociedades que lo integraban en la Cámara de Comercio o en la Superintendencia de Sociedades, toda vez que dicha circunstancia no tenía ninguna relevancia en el proceso licitatorio, porque no era un requisito contenido en el pliego de condiciones.</w:t>
      </w:r>
    </w:p>
    <w:p w14:paraId="44D11E74" w14:textId="77777777" w:rsidR="00E73FF1" w:rsidRPr="0085042B" w:rsidRDefault="00E73FF1" w:rsidP="00E73FF1">
      <w:pPr>
        <w:pStyle w:val="Ttulo2"/>
        <w:rPr>
          <w:rFonts w:ascii="Arial" w:hAnsi="Arial" w:cs="Arial"/>
          <w:i w:val="0"/>
          <w:color w:val="000000"/>
          <w:sz w:val="24"/>
          <w:szCs w:val="24"/>
        </w:rPr>
      </w:pPr>
      <w:r w:rsidRPr="0085042B">
        <w:rPr>
          <w:rFonts w:ascii="Arial" w:hAnsi="Arial" w:cs="Arial"/>
          <w:i w:val="0"/>
          <w:color w:val="000000"/>
          <w:sz w:val="24"/>
          <w:szCs w:val="24"/>
        </w:rPr>
        <w:t xml:space="preserve">II. Trámite procesal </w:t>
      </w:r>
    </w:p>
    <w:p w14:paraId="258A340A" w14:textId="77777777" w:rsidR="00E73FF1" w:rsidRPr="0085042B" w:rsidRDefault="00E73FF1" w:rsidP="00E73FF1">
      <w:pPr>
        <w:rPr>
          <w:color w:val="000000"/>
          <w:lang w:val="es-CO"/>
        </w:rPr>
      </w:pPr>
    </w:p>
    <w:p w14:paraId="41FB2CB0" w14:textId="77777777" w:rsidR="00E73FF1" w:rsidRPr="0085042B" w:rsidRDefault="00E73FF1" w:rsidP="00E73FF1">
      <w:pPr>
        <w:rPr>
          <w:color w:val="000000"/>
          <w:lang w:val="es-CO"/>
        </w:rPr>
      </w:pPr>
      <w:r w:rsidRPr="0085042B">
        <w:rPr>
          <w:color w:val="000000"/>
          <w:lang w:val="es-CO"/>
        </w:rPr>
        <w:t>El 28 de julio de 2000, el Tribunal Administrativo de Antioquia, previo a resolver sobre la admisión de la demanda, concedió un término de cinco días al Consorcio Licocartagena para que aportara constancias de notificación personal de la resolución demandada</w:t>
      </w:r>
      <w:r w:rsidRPr="0085042B">
        <w:rPr>
          <w:rStyle w:val="Refdenotaalpie"/>
          <w:color w:val="000000"/>
          <w:lang w:val="es-CO"/>
        </w:rPr>
        <w:footnoteReference w:id="2"/>
      </w:r>
      <w:r w:rsidRPr="0085042B">
        <w:rPr>
          <w:color w:val="000000"/>
          <w:lang w:val="es-CO"/>
        </w:rPr>
        <w:t>.</w:t>
      </w:r>
    </w:p>
    <w:p w14:paraId="5BEE3999" w14:textId="77777777" w:rsidR="00E73FF1" w:rsidRPr="0085042B" w:rsidRDefault="00E73FF1" w:rsidP="00E73FF1">
      <w:pPr>
        <w:rPr>
          <w:color w:val="000000"/>
          <w:lang w:val="es-CO"/>
        </w:rPr>
      </w:pPr>
    </w:p>
    <w:p w14:paraId="5D247E5E" w14:textId="77777777" w:rsidR="00E73FF1" w:rsidRPr="0085042B" w:rsidRDefault="00E73FF1" w:rsidP="00E73FF1">
      <w:pPr>
        <w:rPr>
          <w:color w:val="000000"/>
          <w:lang w:val="es-CO"/>
        </w:rPr>
      </w:pPr>
      <w:r w:rsidRPr="0085042B">
        <w:rPr>
          <w:color w:val="000000"/>
          <w:lang w:val="es-CO"/>
        </w:rPr>
        <w:t>Contra la anterior decisión, la actora presentó recurso de reposición, esgrimiendo que, por no ser el proponente favorecido, la resolución de adjudicación no le debía ser notificada personalmente sino comunicada, de conformidad con lo dispuesto en el inciso 11 del artículo 30 de la Ley 80 de 1993; señaló que por no haberse librado las comunicaciones pertinentes a los demás proponentes de la licitación pública n.º 044 de 1999, nunca tuvieron conocimiento de estas, por lo que se veían en la imposibilidad de aportar lo requerido</w:t>
      </w:r>
      <w:r w:rsidRPr="0085042B">
        <w:rPr>
          <w:rStyle w:val="Refdenotaalpie"/>
          <w:color w:val="000000"/>
          <w:lang w:val="es-CO"/>
        </w:rPr>
        <w:footnoteReference w:id="3"/>
      </w:r>
      <w:r w:rsidRPr="0085042B">
        <w:rPr>
          <w:color w:val="000000"/>
          <w:lang w:val="es-CO"/>
        </w:rPr>
        <w:t>.</w:t>
      </w:r>
    </w:p>
    <w:p w14:paraId="5C10C98B" w14:textId="77777777" w:rsidR="00E73FF1" w:rsidRPr="0085042B" w:rsidRDefault="00E73FF1" w:rsidP="00E73FF1">
      <w:pPr>
        <w:rPr>
          <w:color w:val="000000"/>
          <w:lang w:val="es-CO"/>
        </w:rPr>
      </w:pPr>
    </w:p>
    <w:p w14:paraId="0B10BAD5" w14:textId="77777777" w:rsidR="00E73FF1" w:rsidRPr="0085042B" w:rsidRDefault="00E73FF1" w:rsidP="00E73FF1">
      <w:pPr>
        <w:rPr>
          <w:color w:val="000000"/>
          <w:lang w:val="es-CO"/>
        </w:rPr>
      </w:pPr>
      <w:r w:rsidRPr="0085042B">
        <w:rPr>
          <w:color w:val="000000"/>
          <w:lang w:val="es-CO"/>
        </w:rPr>
        <w:t xml:space="preserve">Mediante auto notificado el 8 de noviembre de la misma anualidad, el </w:t>
      </w:r>
      <w:r w:rsidRPr="0085042B">
        <w:rPr>
          <w:i/>
          <w:color w:val="000000"/>
          <w:lang w:val="es-CO"/>
        </w:rPr>
        <w:t>a quo</w:t>
      </w:r>
      <w:r w:rsidRPr="0085042B">
        <w:rPr>
          <w:color w:val="000000"/>
          <w:lang w:val="es-CO"/>
        </w:rPr>
        <w:t xml:space="preserve"> repuso la decisión, al considerar que le asistía razón a la demandante y, en su lugar, libró exhortos a la Fábrica de Licores y Alcoholes de Antioquia para que allegara los documentos solicitados en la demanda, así como copia auténtica de las constancias </w:t>
      </w:r>
      <w:r w:rsidRPr="0085042B">
        <w:rPr>
          <w:color w:val="000000"/>
          <w:lang w:val="es-CO"/>
        </w:rPr>
        <w:lastRenderedPageBreak/>
        <w:t>de comunicaciones remitidas a las sociedades integrantes del Consorcio Licocartagena</w:t>
      </w:r>
      <w:r w:rsidRPr="0085042B">
        <w:rPr>
          <w:rStyle w:val="Refdenotaalpie"/>
          <w:color w:val="000000"/>
          <w:lang w:val="es-CO"/>
        </w:rPr>
        <w:footnoteReference w:id="4"/>
      </w:r>
      <w:r w:rsidRPr="0085042B">
        <w:rPr>
          <w:color w:val="000000"/>
          <w:lang w:val="es-CO"/>
        </w:rPr>
        <w:t>.</w:t>
      </w:r>
    </w:p>
    <w:p w14:paraId="1BDC2EFC" w14:textId="77777777" w:rsidR="00E73FF1" w:rsidRPr="0085042B" w:rsidRDefault="00E73FF1" w:rsidP="00E73FF1">
      <w:pPr>
        <w:rPr>
          <w:color w:val="000000"/>
          <w:lang w:val="es-CO"/>
        </w:rPr>
      </w:pPr>
    </w:p>
    <w:p w14:paraId="69033676" w14:textId="77777777" w:rsidR="00E73FF1" w:rsidRPr="0085042B" w:rsidRDefault="00E73FF1" w:rsidP="00E73FF1">
      <w:pPr>
        <w:rPr>
          <w:color w:val="000000"/>
          <w:lang w:val="es-CO"/>
        </w:rPr>
      </w:pPr>
      <w:r w:rsidRPr="0085042B">
        <w:rPr>
          <w:color w:val="000000"/>
          <w:lang w:val="es-CO"/>
        </w:rPr>
        <w:t>El 19 de enero de 2001, la Fábrica de Licores y Alcoholes de Antioquia solicitó al tribunal que informara a la demandante que debía comunicarse con la Dirección Jurídica de dicha entidad para sufragar el costo de la documentación requerida</w:t>
      </w:r>
      <w:r w:rsidRPr="0085042B">
        <w:rPr>
          <w:rStyle w:val="Refdenotaalpie"/>
          <w:color w:val="000000"/>
          <w:lang w:val="es-CO"/>
        </w:rPr>
        <w:footnoteReference w:id="5"/>
      </w:r>
      <w:r w:rsidRPr="0085042B">
        <w:rPr>
          <w:color w:val="000000"/>
          <w:lang w:val="es-CO"/>
        </w:rPr>
        <w:t>. Posteriormente, el 21 de agosto de 2001</w:t>
      </w:r>
      <w:r w:rsidRPr="0085042B">
        <w:rPr>
          <w:rStyle w:val="Refdenotaalpie"/>
          <w:color w:val="000000"/>
          <w:lang w:val="es-CO"/>
        </w:rPr>
        <w:footnoteReference w:id="6"/>
      </w:r>
      <w:r w:rsidRPr="0085042B">
        <w:rPr>
          <w:color w:val="000000"/>
          <w:lang w:val="es-CO"/>
        </w:rPr>
        <w:t>, la actora allegó al expediente copias auténticas de la resolución demandada</w:t>
      </w:r>
      <w:r w:rsidRPr="0085042B">
        <w:rPr>
          <w:rStyle w:val="Refdenotaalpie"/>
          <w:color w:val="000000"/>
          <w:lang w:val="es-CO"/>
        </w:rPr>
        <w:footnoteReference w:id="7"/>
      </w:r>
      <w:r w:rsidRPr="0085042B">
        <w:rPr>
          <w:color w:val="000000"/>
          <w:lang w:val="es-CO"/>
        </w:rPr>
        <w:t>, de las comunicaciones de la adjudicación a los proponentes no favorecidos con la adjudicación</w:t>
      </w:r>
      <w:r w:rsidRPr="0085042B">
        <w:rPr>
          <w:rStyle w:val="Refdenotaalpie"/>
          <w:color w:val="000000"/>
          <w:lang w:val="es-CO"/>
        </w:rPr>
        <w:footnoteReference w:id="8"/>
      </w:r>
      <w:r w:rsidRPr="0085042B">
        <w:rPr>
          <w:color w:val="000000"/>
          <w:lang w:val="es-CO"/>
        </w:rPr>
        <w:t xml:space="preserve"> y del contrato n.º FLA 016-2000 firmado con el proponente adjudicatario de la Licitación Pública n.º 044 de 1999 el 29 de marzo de 2000</w:t>
      </w:r>
      <w:r w:rsidRPr="0085042B">
        <w:rPr>
          <w:rStyle w:val="Refdenotaalpie"/>
          <w:color w:val="000000"/>
          <w:lang w:val="es-CO"/>
        </w:rPr>
        <w:footnoteReference w:id="9"/>
      </w:r>
      <w:r w:rsidRPr="0085042B">
        <w:rPr>
          <w:color w:val="000000"/>
          <w:lang w:val="es-CO"/>
        </w:rPr>
        <w:t>.</w:t>
      </w:r>
    </w:p>
    <w:p w14:paraId="3B4D408F" w14:textId="77777777" w:rsidR="00E73FF1" w:rsidRPr="0085042B" w:rsidRDefault="00E73FF1" w:rsidP="00E73FF1">
      <w:pPr>
        <w:rPr>
          <w:color w:val="000000"/>
          <w:lang w:val="es-CO"/>
        </w:rPr>
      </w:pPr>
    </w:p>
    <w:p w14:paraId="1DB272D0" w14:textId="77777777" w:rsidR="00E73FF1" w:rsidRPr="0085042B" w:rsidRDefault="00E73FF1" w:rsidP="00E73FF1">
      <w:pPr>
        <w:rPr>
          <w:color w:val="000000"/>
          <w:lang w:val="es-CO"/>
        </w:rPr>
      </w:pPr>
      <w:r w:rsidRPr="0085042B">
        <w:rPr>
          <w:color w:val="000000"/>
          <w:lang w:val="es-CO"/>
        </w:rPr>
        <w:t>El 1 de octubre de 2001, el Tribunal Administrativo de Antioquia admitió la demanda de nulidad y restablecimiento del derecho presentada contra el departamento de Antioquia-Fábrica de Licores y Alcoholes de Antioquia</w:t>
      </w:r>
      <w:r w:rsidRPr="0085042B">
        <w:rPr>
          <w:rStyle w:val="Refdenotaalpie"/>
          <w:color w:val="000000"/>
          <w:lang w:val="es-CO"/>
        </w:rPr>
        <w:footnoteReference w:id="10"/>
      </w:r>
      <w:r w:rsidRPr="0085042B">
        <w:rPr>
          <w:color w:val="000000"/>
          <w:lang w:val="es-CO"/>
        </w:rPr>
        <w:t>. Dicho auto fue notificado al Ministerio Público el 8 de octubre de 2001 y al Departamento de Antioquia el 30 de octubre de la misma anualidad</w:t>
      </w:r>
      <w:r w:rsidRPr="0085042B">
        <w:rPr>
          <w:rStyle w:val="Refdenotaalpie"/>
          <w:color w:val="000000"/>
          <w:lang w:val="es-CO"/>
        </w:rPr>
        <w:footnoteReference w:id="11"/>
      </w:r>
      <w:r w:rsidRPr="0085042B">
        <w:rPr>
          <w:color w:val="000000"/>
          <w:lang w:val="es-CO"/>
        </w:rPr>
        <w:t>.</w:t>
      </w:r>
    </w:p>
    <w:p w14:paraId="61EB4644" w14:textId="77777777" w:rsidR="00E73FF1" w:rsidRPr="0085042B" w:rsidRDefault="00E73FF1" w:rsidP="00E73FF1">
      <w:pPr>
        <w:rPr>
          <w:color w:val="000000"/>
          <w:lang w:val="es-CO"/>
        </w:rPr>
      </w:pPr>
    </w:p>
    <w:p w14:paraId="19F37B18" w14:textId="77777777" w:rsidR="00E73FF1" w:rsidRPr="0085042B" w:rsidRDefault="00E73FF1" w:rsidP="00E73FF1">
      <w:pPr>
        <w:rPr>
          <w:color w:val="000000"/>
          <w:lang w:val="es-CO"/>
        </w:rPr>
      </w:pPr>
      <w:r w:rsidRPr="0085042B">
        <w:rPr>
          <w:color w:val="000000"/>
          <w:lang w:val="es-CO"/>
        </w:rPr>
        <w:t>El 25 de febrero de 2002, se adicionó el auto admisorio con el fin de vincular al proceso a la sociedad Dromayor Pereira S.A. y a Héctor Villa Osorio en calidad de terceros</w:t>
      </w:r>
      <w:r w:rsidRPr="0085042B">
        <w:rPr>
          <w:rStyle w:val="Refdenotaalpie"/>
          <w:color w:val="000000"/>
          <w:lang w:val="es-CO"/>
        </w:rPr>
        <w:footnoteReference w:id="12"/>
      </w:r>
      <w:r w:rsidRPr="0085042B">
        <w:rPr>
          <w:color w:val="000000"/>
          <w:lang w:val="es-CO"/>
        </w:rPr>
        <w:t>, por ser los beneficiarios de la adjudicación del contrato de distribución de los productos de la Fábrica de Licores y Alcoholes de Antioquia, durante cuatro años en el departamento de Bolívar</w:t>
      </w:r>
      <w:r w:rsidRPr="0085042B">
        <w:rPr>
          <w:rStyle w:val="Refdenotaalpie"/>
          <w:color w:val="000000"/>
          <w:lang w:val="es-CO"/>
        </w:rPr>
        <w:footnoteReference w:id="13"/>
      </w:r>
      <w:r w:rsidRPr="0085042B">
        <w:rPr>
          <w:color w:val="000000"/>
          <w:lang w:val="es-CO"/>
        </w:rPr>
        <w:t xml:space="preserve">. </w:t>
      </w:r>
      <w:r w:rsidRPr="0085042B">
        <w:rPr>
          <w:color w:val="000000"/>
          <w:lang w:val="es-ES"/>
        </w:rPr>
        <w:t>La demanda se contestó en los términos que se resumen a continuación:</w:t>
      </w:r>
    </w:p>
    <w:p w14:paraId="2CC5F9C6" w14:textId="77777777" w:rsidR="00E73FF1" w:rsidRPr="0085042B" w:rsidRDefault="00E73FF1" w:rsidP="00E73FF1">
      <w:pPr>
        <w:rPr>
          <w:color w:val="000000"/>
          <w:lang w:val="es-CO"/>
        </w:rPr>
      </w:pPr>
    </w:p>
    <w:p w14:paraId="420BE14B" w14:textId="77777777" w:rsidR="00E73FF1" w:rsidRPr="0085042B" w:rsidRDefault="00E73FF1" w:rsidP="00E73FF1">
      <w:pPr>
        <w:rPr>
          <w:color w:val="000000"/>
          <w:lang w:val="es-CO"/>
        </w:rPr>
      </w:pPr>
      <w:r w:rsidRPr="0085042B">
        <w:rPr>
          <w:color w:val="000000"/>
          <w:lang w:val="es-CO"/>
        </w:rPr>
        <w:t xml:space="preserve">El departamento de Antioquia se opuso a las pretensiones de la demanda, esgrimiendo que la propuesta presentada por el Consorcio Licocartagena no cumplió los requisitos legales ni los exigidos en el pliego de condiciones en lo que </w:t>
      </w:r>
      <w:r w:rsidRPr="0085042B">
        <w:rPr>
          <w:color w:val="000000"/>
          <w:lang w:val="es-CO"/>
        </w:rPr>
        <w:lastRenderedPageBreak/>
        <w:t>respecta a la capacidad financiera, ya que no se ajustaba al artículo 488 del Código de Comercio ni a los artículos 34 y 41 de la ley 222 de 1995.</w:t>
      </w:r>
    </w:p>
    <w:p w14:paraId="5CCED535" w14:textId="77777777" w:rsidR="00E73FF1" w:rsidRPr="0085042B" w:rsidRDefault="00E73FF1" w:rsidP="00E73FF1">
      <w:pPr>
        <w:rPr>
          <w:color w:val="000000"/>
          <w:lang w:val="es-CO"/>
        </w:rPr>
      </w:pPr>
    </w:p>
    <w:p w14:paraId="05D63FBA" w14:textId="77777777" w:rsidR="00E73FF1" w:rsidRPr="0085042B" w:rsidRDefault="00E73FF1" w:rsidP="00E73FF1">
      <w:pPr>
        <w:rPr>
          <w:color w:val="000000"/>
          <w:lang w:val="es-CO"/>
        </w:rPr>
      </w:pPr>
      <w:r w:rsidRPr="0085042B">
        <w:rPr>
          <w:color w:val="000000"/>
          <w:lang w:val="es-CO"/>
        </w:rPr>
        <w:t>Adicionalmente, manifestó que la resolución impugnada sí le fue comunicada al representante legal del Consorcio Licocartagena, mediante oficio del 28 de febrero de 2000. Propuso como excepción la de “</w:t>
      </w:r>
      <w:r w:rsidRPr="0085042B">
        <w:rPr>
          <w:b/>
          <w:i/>
          <w:color w:val="000000"/>
          <w:lang w:val="es-CO"/>
        </w:rPr>
        <w:t>FALTA DE CAUSA PARA PEDIR</w:t>
      </w:r>
      <w:r w:rsidRPr="0085042B">
        <w:rPr>
          <w:i/>
          <w:color w:val="000000"/>
          <w:lang w:val="es-CO"/>
        </w:rPr>
        <w:t>”</w:t>
      </w:r>
      <w:r w:rsidRPr="0085042B">
        <w:rPr>
          <w:color w:val="000000"/>
          <w:lang w:val="es-CO"/>
        </w:rPr>
        <w:t xml:space="preserve"> por considerar que la resolución n.º 1811 del 23 de febrero de 2000 era legal, de conformidad con el ordenamiento jurídico colombiano. Finalmente, solicitó que los hechos alegados en la demanda se probaran</w:t>
      </w:r>
      <w:r w:rsidRPr="0085042B">
        <w:rPr>
          <w:rStyle w:val="Refdenotaalpie"/>
          <w:color w:val="000000"/>
          <w:lang w:val="es-CO"/>
        </w:rPr>
        <w:footnoteReference w:id="14"/>
      </w:r>
      <w:r w:rsidRPr="0085042B">
        <w:rPr>
          <w:color w:val="000000"/>
          <w:lang w:val="es-CO"/>
        </w:rPr>
        <w:t>.</w:t>
      </w:r>
    </w:p>
    <w:p w14:paraId="07578483" w14:textId="77777777" w:rsidR="00E73FF1" w:rsidRPr="0085042B" w:rsidRDefault="00E73FF1" w:rsidP="00E73FF1">
      <w:pPr>
        <w:rPr>
          <w:color w:val="000000"/>
          <w:lang w:val="es-CO"/>
        </w:rPr>
      </w:pPr>
    </w:p>
    <w:p w14:paraId="43834312" w14:textId="77777777" w:rsidR="00E73FF1" w:rsidRPr="0085042B" w:rsidRDefault="00E73FF1" w:rsidP="00E73FF1">
      <w:pPr>
        <w:rPr>
          <w:color w:val="000000"/>
          <w:lang w:val="es-CO"/>
        </w:rPr>
      </w:pPr>
      <w:r w:rsidRPr="0085042B">
        <w:rPr>
          <w:color w:val="000000"/>
          <w:lang w:val="es-CO"/>
        </w:rPr>
        <w:t>La unión temporal conformada por la sociedad Dromayor Pereira S.A. y Héctor Villa Osorio, se opuso a la totalidad de las pretensiones y propuso como excepción la de “</w:t>
      </w:r>
      <w:r w:rsidRPr="0085042B">
        <w:rPr>
          <w:b/>
          <w:i/>
          <w:color w:val="000000"/>
          <w:lang w:val="es-CO"/>
        </w:rPr>
        <w:t>FALTA DE LEGITIMACIÓN POR PASIVA</w:t>
      </w:r>
      <w:r w:rsidRPr="0085042B">
        <w:rPr>
          <w:i/>
          <w:color w:val="000000"/>
          <w:lang w:val="es-CO"/>
        </w:rPr>
        <w:t>”</w:t>
      </w:r>
      <w:r w:rsidRPr="0085042B">
        <w:rPr>
          <w:color w:val="000000"/>
          <w:lang w:val="es-CO"/>
        </w:rPr>
        <w:t>, por considerar que su vinculación como tercero era inoficiosa, toda vez que mediante resolución n.º 9244 del 21 de noviembre de 2000, el departamento de Antioquia autorizó la cesión del contrato n.º FLA-016-2000 a la firma Licores del Caribe S.A.-Licocaribe S.A.-, por lo que estos últimos serían los reales ejecutantes del contrato</w:t>
      </w:r>
      <w:r w:rsidRPr="0085042B">
        <w:rPr>
          <w:rStyle w:val="Refdenotaalpie"/>
          <w:color w:val="000000"/>
          <w:lang w:val="es-CO"/>
        </w:rPr>
        <w:footnoteReference w:id="15"/>
      </w:r>
      <w:r w:rsidRPr="0085042B">
        <w:rPr>
          <w:color w:val="000000"/>
          <w:lang w:val="es-CO"/>
        </w:rPr>
        <w:t>.</w:t>
      </w:r>
    </w:p>
    <w:p w14:paraId="1DB0ED32" w14:textId="77777777" w:rsidR="00E73FF1" w:rsidRPr="0085042B" w:rsidRDefault="00E73FF1" w:rsidP="00E73FF1">
      <w:pPr>
        <w:rPr>
          <w:color w:val="000000"/>
          <w:lang w:val="es-CO"/>
        </w:rPr>
      </w:pPr>
    </w:p>
    <w:p w14:paraId="278860F8" w14:textId="77777777" w:rsidR="00E73FF1" w:rsidRPr="0085042B" w:rsidRDefault="00E73FF1" w:rsidP="00E73FF1">
      <w:pPr>
        <w:rPr>
          <w:color w:val="000000"/>
          <w:lang w:val="es-CO"/>
        </w:rPr>
      </w:pPr>
      <w:r w:rsidRPr="0085042B">
        <w:rPr>
          <w:color w:val="000000"/>
          <w:lang w:val="es-CO"/>
        </w:rPr>
        <w:t xml:space="preserve">Siguiendo con el trámite procesal correspondiente, el </w:t>
      </w:r>
      <w:r w:rsidRPr="0085042B">
        <w:rPr>
          <w:i/>
          <w:color w:val="000000"/>
          <w:lang w:val="es-CO"/>
        </w:rPr>
        <w:t>a quo</w:t>
      </w:r>
      <w:r w:rsidRPr="0085042B">
        <w:rPr>
          <w:color w:val="000000"/>
          <w:lang w:val="es-CO"/>
        </w:rPr>
        <w:t xml:space="preserve"> dio apertura al período probatorio y decretó como medios de prueba los solicitados en la demanda y en sus contestaciones</w:t>
      </w:r>
      <w:r w:rsidRPr="0085042B">
        <w:rPr>
          <w:rStyle w:val="Refdenotaalpie"/>
          <w:color w:val="000000"/>
          <w:lang w:val="es-CO"/>
        </w:rPr>
        <w:footnoteReference w:id="16"/>
      </w:r>
      <w:r w:rsidRPr="0085042B">
        <w:rPr>
          <w:color w:val="000000"/>
          <w:lang w:val="es-CO"/>
        </w:rPr>
        <w:t>.</w:t>
      </w:r>
    </w:p>
    <w:p w14:paraId="35FCE0B6" w14:textId="77777777" w:rsidR="00E73FF1" w:rsidRPr="0085042B" w:rsidRDefault="00E73FF1" w:rsidP="00E73FF1">
      <w:pPr>
        <w:rPr>
          <w:color w:val="000000"/>
          <w:lang w:val="es-CO"/>
        </w:rPr>
      </w:pPr>
    </w:p>
    <w:p w14:paraId="41457F0F" w14:textId="77777777" w:rsidR="00E73FF1" w:rsidRPr="0085042B" w:rsidRDefault="00E73FF1" w:rsidP="00E73FF1">
      <w:pPr>
        <w:rPr>
          <w:color w:val="000000"/>
          <w:lang w:val="es-CO"/>
        </w:rPr>
      </w:pPr>
      <w:r w:rsidRPr="0085042B">
        <w:rPr>
          <w:color w:val="000000"/>
          <w:lang w:val="es-CO"/>
        </w:rPr>
        <w:t>Concluida la etapa probatoria, el tribunal corrió traslado a las partes para alegar de conclusión</w:t>
      </w:r>
      <w:r w:rsidRPr="0085042B">
        <w:rPr>
          <w:rStyle w:val="Refdenotaalpie"/>
          <w:color w:val="000000"/>
          <w:lang w:val="es-CO"/>
        </w:rPr>
        <w:footnoteReference w:id="17"/>
      </w:r>
      <w:r w:rsidRPr="0085042B">
        <w:rPr>
          <w:color w:val="000000"/>
          <w:lang w:val="es-CO"/>
        </w:rPr>
        <w:t>, oportunidad en la que el departamento de Antioquia y el Consorcio Licocartagena reiteraron sus argumentos iniciales, respectivamente</w:t>
      </w:r>
      <w:r w:rsidRPr="0085042B">
        <w:rPr>
          <w:rStyle w:val="Refdenotaalpie"/>
          <w:color w:val="000000"/>
          <w:lang w:val="es-CO"/>
        </w:rPr>
        <w:footnoteReference w:id="18"/>
      </w:r>
      <w:r w:rsidRPr="0085042B">
        <w:rPr>
          <w:color w:val="000000"/>
          <w:lang w:val="es-CO"/>
        </w:rPr>
        <w:t>. El Ministerio Público guardó silencio.</w:t>
      </w:r>
    </w:p>
    <w:p w14:paraId="22282D3B" w14:textId="77777777" w:rsidR="00E73FF1" w:rsidRPr="0085042B" w:rsidRDefault="00E73FF1" w:rsidP="00E73FF1">
      <w:pPr>
        <w:rPr>
          <w:color w:val="000000"/>
          <w:lang w:val="es-CO"/>
        </w:rPr>
      </w:pPr>
    </w:p>
    <w:p w14:paraId="7A5BEE8C" w14:textId="77777777" w:rsidR="00E73FF1" w:rsidRPr="0085042B" w:rsidRDefault="00E73FF1" w:rsidP="00E73FF1">
      <w:pPr>
        <w:rPr>
          <w:color w:val="000000"/>
          <w:lang w:val="es-CO"/>
        </w:rPr>
      </w:pPr>
      <w:r w:rsidRPr="0085042B">
        <w:rPr>
          <w:color w:val="000000"/>
          <w:lang w:val="es-CO"/>
        </w:rPr>
        <w:t xml:space="preserve">El 13 de octubre de 2011, el Tribunal Administrativo de Antioquia profirió </w:t>
      </w:r>
      <w:r w:rsidRPr="0085042B">
        <w:rPr>
          <w:b/>
          <w:bCs/>
          <w:color w:val="000000"/>
          <w:lang w:val="es-CO"/>
        </w:rPr>
        <w:t>sentencia</w:t>
      </w:r>
      <w:r w:rsidRPr="0085042B">
        <w:rPr>
          <w:color w:val="000000"/>
          <w:lang w:val="es-CO"/>
        </w:rPr>
        <w:t xml:space="preserve"> </w:t>
      </w:r>
      <w:r w:rsidRPr="0085042B">
        <w:rPr>
          <w:b/>
          <w:color w:val="000000"/>
          <w:lang w:val="es-CO"/>
        </w:rPr>
        <w:t>de primera instancia</w:t>
      </w:r>
      <w:r w:rsidRPr="0085042B">
        <w:rPr>
          <w:rStyle w:val="Refdenotaalpie"/>
          <w:rFonts w:cs="Arial"/>
          <w:color w:val="000000"/>
          <w:lang w:val="es-CO"/>
        </w:rPr>
        <w:footnoteReference w:id="19"/>
      </w:r>
      <w:r w:rsidRPr="0085042B">
        <w:rPr>
          <w:color w:val="000000"/>
          <w:lang w:val="es-CO"/>
        </w:rPr>
        <w:t>, en la que declaró no probadas las excepciones propuestas y negó las pretensiones de la demanda.</w:t>
      </w:r>
    </w:p>
    <w:p w14:paraId="33DB60F4" w14:textId="77777777" w:rsidR="00E73FF1" w:rsidRPr="0085042B" w:rsidRDefault="00E73FF1" w:rsidP="00E73FF1">
      <w:pPr>
        <w:rPr>
          <w:color w:val="000000"/>
          <w:lang w:val="es-CO"/>
        </w:rPr>
      </w:pPr>
    </w:p>
    <w:p w14:paraId="0223404B" w14:textId="77777777" w:rsidR="00E73FF1" w:rsidRPr="0085042B" w:rsidRDefault="00E73FF1" w:rsidP="00E73FF1">
      <w:pPr>
        <w:rPr>
          <w:color w:val="000000"/>
          <w:lang w:val="es-CO"/>
        </w:rPr>
      </w:pPr>
      <w:r w:rsidRPr="0085042B">
        <w:rPr>
          <w:color w:val="000000"/>
          <w:lang w:val="es-CO"/>
        </w:rPr>
        <w:t>El Tribunal Administrativo de Antioquia</w:t>
      </w:r>
      <w:r w:rsidRPr="0085042B">
        <w:rPr>
          <w:i/>
          <w:color w:val="000000"/>
          <w:lang w:val="es-CO"/>
        </w:rPr>
        <w:t xml:space="preserve"> </w:t>
      </w:r>
      <w:r w:rsidRPr="0085042B">
        <w:rPr>
          <w:color w:val="000000"/>
          <w:lang w:val="es-CO"/>
        </w:rPr>
        <w:t>se pronunció de oficio sobre la falta de legitimación en la causa por activa frente al Consorcio Licocartagena y señaló que no estaba llamada a prosperar, por cuanto el acto administrativo demandado le fue adverso a la parte actora al haberse adjudicado el contrato de distribución a otro proponente. Asimismo, declaró no probada la excepción de falta de legitimación en la causa por pasiva con relación a la Unión Temporal Dromayor Pereira S.A. y Héctor Villa Osorio, toda vez que, de presentarse una eventual condena contra la entidad demandada, la contratista podría verse afectada.</w:t>
      </w:r>
    </w:p>
    <w:p w14:paraId="1D6633F2" w14:textId="77777777" w:rsidR="00E73FF1" w:rsidRPr="0085042B" w:rsidRDefault="00E73FF1" w:rsidP="00E73FF1">
      <w:pPr>
        <w:rPr>
          <w:color w:val="000000"/>
          <w:lang w:val="es-CO"/>
        </w:rPr>
      </w:pPr>
    </w:p>
    <w:p w14:paraId="74E39551" w14:textId="77777777" w:rsidR="00E73FF1" w:rsidRPr="0085042B" w:rsidRDefault="00E73FF1" w:rsidP="00E73FF1">
      <w:pPr>
        <w:rPr>
          <w:color w:val="000000"/>
          <w:lang w:val="es-CO"/>
        </w:rPr>
      </w:pPr>
      <w:r w:rsidRPr="0085042B">
        <w:rPr>
          <w:color w:val="000000"/>
          <w:lang w:val="es-CO"/>
        </w:rPr>
        <w:t xml:space="preserve">En lo que respecta a las pretensiones de la demanda, el </w:t>
      </w:r>
      <w:r w:rsidRPr="0085042B">
        <w:rPr>
          <w:i/>
          <w:color w:val="000000"/>
          <w:lang w:val="es-CO"/>
        </w:rPr>
        <w:t>a quo</w:t>
      </w:r>
      <w:r w:rsidRPr="0085042B">
        <w:rPr>
          <w:color w:val="000000"/>
          <w:lang w:val="es-CO"/>
        </w:rPr>
        <w:t xml:space="preserve"> señaló que no se aportó el pliego de condiciones al plenario, ni las ofertas de los proponentes, por lo que no se podían determinar los requisitos necesarios para la calificación de la capacidad financiera de cada una de ellas y tampoco era posible determinar que los demandantes hubiesen cumplido los requerimientos exigidos dentro del proceso licitatorio.</w:t>
      </w:r>
    </w:p>
    <w:p w14:paraId="59E4436E" w14:textId="77777777" w:rsidR="00E73FF1" w:rsidRPr="0085042B" w:rsidRDefault="00E73FF1" w:rsidP="00E73FF1">
      <w:pPr>
        <w:rPr>
          <w:color w:val="000000"/>
          <w:lang w:val="es-CO"/>
        </w:rPr>
      </w:pPr>
    </w:p>
    <w:p w14:paraId="24FBA84E" w14:textId="77777777" w:rsidR="00E73FF1" w:rsidRPr="0085042B" w:rsidRDefault="00E73FF1" w:rsidP="00E73FF1">
      <w:pPr>
        <w:rPr>
          <w:color w:val="000000"/>
          <w:lang w:val="es-CO"/>
        </w:rPr>
      </w:pPr>
      <w:r w:rsidRPr="0085042B">
        <w:rPr>
          <w:color w:val="000000"/>
          <w:lang w:val="es-CO"/>
        </w:rPr>
        <w:t xml:space="preserve">Sin embargo, el Tribunal </w:t>
      </w:r>
      <w:r w:rsidRPr="0085042B">
        <w:rPr>
          <w:i/>
          <w:color w:val="000000"/>
          <w:lang w:val="es-CO"/>
        </w:rPr>
        <w:t>a quo</w:t>
      </w:r>
      <w:r w:rsidRPr="0085042B">
        <w:rPr>
          <w:color w:val="000000"/>
          <w:lang w:val="es-CO"/>
        </w:rPr>
        <w:t xml:space="preserve"> consideró que de los artículos 34 y 41 de la Ley 222 de 1995</w:t>
      </w:r>
      <w:r w:rsidRPr="0085042B">
        <w:rPr>
          <w:rStyle w:val="Refdenotaalpie"/>
          <w:rFonts w:cs="Arial"/>
          <w:color w:val="000000"/>
          <w:lang w:val="es-CO"/>
        </w:rPr>
        <w:footnoteReference w:id="20"/>
      </w:r>
      <w:r w:rsidRPr="0085042B">
        <w:rPr>
          <w:color w:val="000000"/>
          <w:lang w:val="es-CO"/>
        </w:rPr>
        <w:t xml:space="preserve">, alegados en la defensa por la demandada, se desprendía la exigencia </w:t>
      </w:r>
      <w:r w:rsidRPr="0085042B">
        <w:rPr>
          <w:color w:val="000000"/>
          <w:lang w:val="es-CO"/>
        </w:rPr>
        <w:lastRenderedPageBreak/>
        <w:t>de la publicidad de los estados financieros, en virtud del principio de transparencia en la información de las condiciones financieras de toda sociedad y, pese a que su omisión no era óbice para la comparación de las propuestas en el marco de un proceso licitatorio, como bien lo manifestó la parte actora, sí constituía un mecanismo de publicidad y transparencia de sus gestiones económicas, por lo que todos los proponentes debían ceñirse, no solo a los requerimientos del pliego de condiciones, sino también a los exigidos por las normas constitucionales y legales vigentes.</w:t>
      </w:r>
    </w:p>
    <w:p w14:paraId="65748DE7" w14:textId="77777777" w:rsidR="00E73FF1" w:rsidRPr="0085042B" w:rsidRDefault="00E73FF1" w:rsidP="00E73FF1">
      <w:pPr>
        <w:rPr>
          <w:color w:val="000000"/>
          <w:lang w:val="es-CO"/>
        </w:rPr>
      </w:pPr>
    </w:p>
    <w:p w14:paraId="4374C164" w14:textId="77777777" w:rsidR="00E73FF1" w:rsidRPr="0085042B" w:rsidRDefault="00E73FF1" w:rsidP="00E73FF1">
      <w:pPr>
        <w:rPr>
          <w:color w:val="000000"/>
          <w:lang w:val="es-CO"/>
        </w:rPr>
      </w:pPr>
      <w:r w:rsidRPr="0085042B">
        <w:rPr>
          <w:color w:val="000000"/>
          <w:lang w:val="es-CO"/>
        </w:rPr>
        <w:t>Inconforme con la decisión anterior, la actora interpuso oportunamente recurso de apelación</w:t>
      </w:r>
      <w:r w:rsidRPr="0085042B">
        <w:rPr>
          <w:rStyle w:val="Refdenotaalpie"/>
          <w:color w:val="000000"/>
          <w:lang w:val="es-CO"/>
        </w:rPr>
        <w:footnoteReference w:id="21"/>
      </w:r>
      <w:r w:rsidRPr="0085042B">
        <w:rPr>
          <w:color w:val="000000"/>
          <w:lang w:val="es-CO"/>
        </w:rPr>
        <w:t xml:space="preserve"> el cual fue sustentado de la siguiente forma: </w:t>
      </w:r>
    </w:p>
    <w:p w14:paraId="712BF76F" w14:textId="77777777" w:rsidR="00E73FF1" w:rsidRPr="0085042B" w:rsidRDefault="00E73FF1" w:rsidP="00E73FF1">
      <w:pPr>
        <w:rPr>
          <w:color w:val="000000"/>
          <w:lang w:val="es-CO"/>
        </w:rPr>
      </w:pPr>
    </w:p>
    <w:p w14:paraId="3EC062EC" w14:textId="77777777" w:rsidR="00E73FF1" w:rsidRPr="0085042B" w:rsidRDefault="00E73FF1" w:rsidP="00E73FF1">
      <w:pPr>
        <w:rPr>
          <w:color w:val="000000"/>
          <w:lang w:val="es-CO"/>
        </w:rPr>
      </w:pPr>
      <w:r w:rsidRPr="0085042B">
        <w:rPr>
          <w:color w:val="000000"/>
          <w:lang w:val="es-CO"/>
        </w:rPr>
        <w:t xml:space="preserve">Adujo que el </w:t>
      </w:r>
      <w:r w:rsidRPr="0085042B">
        <w:rPr>
          <w:i/>
          <w:color w:val="000000"/>
          <w:lang w:val="es-CO"/>
        </w:rPr>
        <w:t xml:space="preserve">a quo </w:t>
      </w:r>
      <w:r w:rsidRPr="0085042B">
        <w:rPr>
          <w:color w:val="000000"/>
          <w:lang w:val="es-CO"/>
        </w:rPr>
        <w:t>motivó la providencia impugnada en la valoración de un requisito meramente formal, como es el depósito de los estados financieros en la respectiva Cámara de Comercio o en la Superintendencia de Sociedades, desconociendo con ello el valor legal de la certificación sobre los mismos.</w:t>
      </w:r>
    </w:p>
    <w:p w14:paraId="759FCC7A" w14:textId="77777777" w:rsidR="00E73FF1" w:rsidRPr="0085042B" w:rsidRDefault="00E73FF1" w:rsidP="00E73FF1">
      <w:pPr>
        <w:rPr>
          <w:color w:val="000000"/>
          <w:lang w:val="es-CO"/>
        </w:rPr>
      </w:pPr>
    </w:p>
    <w:p w14:paraId="0E744EDF" w14:textId="77777777" w:rsidR="00E73FF1" w:rsidRPr="0085042B" w:rsidRDefault="00E73FF1" w:rsidP="00E73FF1">
      <w:pPr>
        <w:rPr>
          <w:color w:val="000000"/>
          <w:lang w:val="es-CO"/>
        </w:rPr>
      </w:pPr>
      <w:r w:rsidRPr="0085042B">
        <w:rPr>
          <w:color w:val="000000"/>
          <w:lang w:val="es-CO"/>
        </w:rPr>
        <w:t>Resaltó que, por tratarse de una omisión formal que no repercutía en el alcance de la propuesta, esta última no debía ser rechazada, máxime cuando, en su criterio, se encontraba demostrado que era la mejor para la Administración, por lo que su rechazo comportaba una violación a los principios de proporcionalidad, economía y selección objetiva.</w:t>
      </w:r>
    </w:p>
    <w:p w14:paraId="1F027FE1" w14:textId="77777777" w:rsidR="00E73FF1" w:rsidRPr="0085042B" w:rsidRDefault="00E73FF1" w:rsidP="00E73FF1">
      <w:pPr>
        <w:rPr>
          <w:color w:val="000000"/>
          <w:lang w:val="es-CO"/>
        </w:rPr>
      </w:pPr>
    </w:p>
    <w:p w14:paraId="3DF09D6D" w14:textId="77777777" w:rsidR="00E73FF1" w:rsidRPr="0085042B" w:rsidRDefault="00E73FF1" w:rsidP="00E73FF1">
      <w:pPr>
        <w:rPr>
          <w:color w:val="000000"/>
          <w:lang w:val="es-CO"/>
        </w:rPr>
      </w:pPr>
      <w:r w:rsidRPr="0085042B">
        <w:rPr>
          <w:color w:val="000000"/>
          <w:lang w:val="es-CO"/>
        </w:rPr>
        <w:t xml:space="preserve">Señaló que el </w:t>
      </w:r>
      <w:r w:rsidRPr="0085042B">
        <w:rPr>
          <w:i/>
          <w:color w:val="000000"/>
          <w:lang w:val="es-CO"/>
        </w:rPr>
        <w:t>a quo</w:t>
      </w:r>
      <w:r w:rsidRPr="0085042B">
        <w:rPr>
          <w:color w:val="000000"/>
          <w:lang w:val="es-CO"/>
        </w:rPr>
        <w:t xml:space="preserve"> incurrió en error al considerar la falta de registro de sus estados financieros ante la Cámara de Comercio como una violación al principio de transparencia y publicidad, toda vez que los mismos se encontraban a disposición de la entidad pública demandada y de la totalidad de los participantes de la referida licitación, quienes formularon las observaciones que a bien tuvieron dentro de la etapa correspondiente.</w:t>
      </w:r>
    </w:p>
    <w:p w14:paraId="52D42B66" w14:textId="77777777" w:rsidR="00E73FF1" w:rsidRPr="0085042B" w:rsidRDefault="00E73FF1" w:rsidP="00E73FF1">
      <w:pPr>
        <w:rPr>
          <w:color w:val="000000"/>
          <w:lang w:val="es-CO"/>
        </w:rPr>
      </w:pPr>
    </w:p>
    <w:p w14:paraId="3091C8DD" w14:textId="77777777" w:rsidR="00E73FF1" w:rsidRPr="0085042B" w:rsidRDefault="00E73FF1" w:rsidP="00E73FF1">
      <w:pPr>
        <w:rPr>
          <w:color w:val="000000"/>
          <w:lang w:val="es-CO"/>
        </w:rPr>
      </w:pPr>
      <w:r w:rsidRPr="0085042B">
        <w:rPr>
          <w:color w:val="000000"/>
          <w:lang w:val="es-CO"/>
        </w:rPr>
        <w:t>Asimismo, sostuvo que sus estados financieros se ajustaban a los requerimientos del pliego de condiciones, por cuanto en este último solo se exigía que dichos estados fueran debidamente certificados, tal y como fueron presentados en su oferta.</w:t>
      </w:r>
    </w:p>
    <w:p w14:paraId="63D393D6" w14:textId="77777777" w:rsidR="00E73FF1" w:rsidRPr="0085042B" w:rsidRDefault="00E73FF1" w:rsidP="00E73FF1">
      <w:pPr>
        <w:rPr>
          <w:color w:val="000000"/>
          <w:lang w:val="es-CO"/>
        </w:rPr>
      </w:pPr>
    </w:p>
    <w:p w14:paraId="46DB5282" w14:textId="77777777" w:rsidR="00E73FF1" w:rsidRPr="0085042B" w:rsidRDefault="00E73FF1" w:rsidP="00E73FF1">
      <w:pPr>
        <w:rPr>
          <w:color w:val="000000"/>
          <w:lang w:val="es-CO"/>
        </w:rPr>
      </w:pPr>
      <w:r w:rsidRPr="0085042B">
        <w:rPr>
          <w:color w:val="000000"/>
          <w:lang w:val="es-CO"/>
        </w:rPr>
        <w:lastRenderedPageBreak/>
        <w:t xml:space="preserve">Finalmente, solicitó que se revocara la decisión de primera instancia y se concedieran las pretensiones de la demanda. </w:t>
      </w:r>
    </w:p>
    <w:p w14:paraId="66F90FEE" w14:textId="77777777" w:rsidR="00E73FF1" w:rsidRPr="0085042B" w:rsidRDefault="00E73FF1" w:rsidP="00E73FF1">
      <w:pPr>
        <w:rPr>
          <w:color w:val="000000"/>
          <w:lang w:val="es-CO"/>
        </w:rPr>
      </w:pPr>
    </w:p>
    <w:p w14:paraId="7BE4FAF8" w14:textId="77777777" w:rsidR="00E73FF1" w:rsidRPr="0085042B" w:rsidRDefault="00E73FF1" w:rsidP="00E73FF1">
      <w:pPr>
        <w:rPr>
          <w:color w:val="000000"/>
          <w:lang w:val="es-CO"/>
        </w:rPr>
      </w:pPr>
      <w:r w:rsidRPr="0085042B">
        <w:rPr>
          <w:color w:val="000000"/>
          <w:lang w:val="es-CO"/>
        </w:rPr>
        <w:t>Luego de que se admitiera el recurso</w:t>
      </w:r>
      <w:r w:rsidRPr="0085042B">
        <w:rPr>
          <w:rStyle w:val="Refdenotaalpie"/>
          <w:color w:val="000000"/>
          <w:lang w:val="es-CO"/>
        </w:rPr>
        <w:footnoteReference w:id="22"/>
      </w:r>
      <w:r w:rsidRPr="0085042B">
        <w:rPr>
          <w:color w:val="000000"/>
          <w:lang w:val="es-CO"/>
        </w:rPr>
        <w:t xml:space="preserve">, se corrió traslado a las partes para </w:t>
      </w:r>
      <w:r w:rsidRPr="0085042B">
        <w:rPr>
          <w:b/>
          <w:color w:val="000000"/>
          <w:lang w:val="es-CO"/>
        </w:rPr>
        <w:t>alegar de conclusión</w:t>
      </w:r>
      <w:r w:rsidRPr="0085042B">
        <w:rPr>
          <w:rStyle w:val="Refdenotaalpie"/>
          <w:color w:val="000000"/>
          <w:lang w:val="es-CO"/>
        </w:rPr>
        <w:footnoteReference w:id="23"/>
      </w:r>
      <w:r w:rsidRPr="0085042B">
        <w:rPr>
          <w:color w:val="000000"/>
          <w:lang w:val="es-CO"/>
        </w:rPr>
        <w:t>, oportunidad en la que Dromayor Pereira S.A. y la parte actora reiteraron sus argumentos</w:t>
      </w:r>
      <w:r w:rsidRPr="0085042B">
        <w:rPr>
          <w:rStyle w:val="Refdenotaalpie"/>
          <w:color w:val="000000"/>
          <w:lang w:val="es-CO"/>
        </w:rPr>
        <w:footnoteReference w:id="24"/>
      </w:r>
      <w:r w:rsidRPr="0085042B">
        <w:rPr>
          <w:color w:val="000000"/>
          <w:lang w:val="es-CO"/>
        </w:rPr>
        <w:t>. El señor Héctor Villa Osorio guardó silencio.</w:t>
      </w:r>
    </w:p>
    <w:p w14:paraId="1A7CF04F" w14:textId="77777777" w:rsidR="00E73FF1" w:rsidRPr="0085042B" w:rsidRDefault="00E73FF1" w:rsidP="00E73FF1">
      <w:pPr>
        <w:rPr>
          <w:color w:val="000000"/>
          <w:lang w:val="es-CO"/>
        </w:rPr>
      </w:pPr>
    </w:p>
    <w:p w14:paraId="461BD60C" w14:textId="77777777" w:rsidR="00E73FF1" w:rsidRPr="0085042B" w:rsidRDefault="00E73FF1" w:rsidP="00E73FF1">
      <w:pPr>
        <w:rPr>
          <w:color w:val="000000"/>
          <w:lang w:val="es-CO"/>
        </w:rPr>
      </w:pPr>
      <w:r w:rsidRPr="0085042B">
        <w:rPr>
          <w:color w:val="000000"/>
          <w:lang w:val="es-CO"/>
        </w:rPr>
        <w:t>El Ministerio Público solicitó revocar la sentencia de primera instancia y, en su lugar, proferir fallo inhibitorio, al considerar que se encontraba probada la excepción de inepta demanda por indebida escogencia de la acción, toda vez que, para la fecha de presentación de la demanda ya se había suscrito el contrato objeto de la Licitación Pública, cuya adjudicación estaba en discusión</w:t>
      </w:r>
      <w:r w:rsidRPr="0085042B">
        <w:rPr>
          <w:rStyle w:val="Refdenotaalpie"/>
          <w:color w:val="000000"/>
          <w:lang w:val="es-CO"/>
        </w:rPr>
        <w:footnoteReference w:id="25"/>
      </w:r>
      <w:r w:rsidRPr="0085042B">
        <w:rPr>
          <w:color w:val="000000"/>
          <w:lang w:val="es-CO"/>
        </w:rPr>
        <w:t>.</w:t>
      </w:r>
    </w:p>
    <w:p w14:paraId="34EF71E9" w14:textId="77777777" w:rsidR="00E73FF1" w:rsidRPr="0085042B" w:rsidRDefault="00E73FF1" w:rsidP="00E73FF1">
      <w:pPr>
        <w:rPr>
          <w:color w:val="000000"/>
          <w:lang w:val="es-CO"/>
        </w:rPr>
      </w:pPr>
    </w:p>
    <w:p w14:paraId="60F1D288" w14:textId="77777777" w:rsidR="00E73FF1" w:rsidRPr="0085042B" w:rsidRDefault="00E73FF1" w:rsidP="00E73FF1">
      <w:pPr>
        <w:pStyle w:val="Ttulo1"/>
        <w:jc w:val="center"/>
        <w:rPr>
          <w:rFonts w:ascii="Arial" w:hAnsi="Arial" w:cs="Arial"/>
          <w:color w:val="000000"/>
          <w:sz w:val="24"/>
          <w:szCs w:val="24"/>
          <w:lang w:val="es-CO"/>
        </w:rPr>
      </w:pPr>
      <w:r w:rsidRPr="0085042B">
        <w:rPr>
          <w:rFonts w:ascii="Arial" w:hAnsi="Arial" w:cs="Arial"/>
          <w:color w:val="000000"/>
          <w:sz w:val="24"/>
          <w:szCs w:val="24"/>
          <w:lang w:val="es-CO"/>
        </w:rPr>
        <w:t>CONSIDERACIONES</w:t>
      </w:r>
    </w:p>
    <w:p w14:paraId="382691E9" w14:textId="77777777" w:rsidR="00E73FF1" w:rsidRPr="0085042B" w:rsidRDefault="00E73FF1" w:rsidP="00E73FF1">
      <w:pPr>
        <w:pStyle w:val="Ttulo2"/>
        <w:rPr>
          <w:rFonts w:ascii="Arial" w:hAnsi="Arial" w:cs="Arial"/>
          <w:i w:val="0"/>
          <w:color w:val="000000"/>
          <w:sz w:val="24"/>
          <w:szCs w:val="24"/>
        </w:rPr>
      </w:pPr>
      <w:r w:rsidRPr="0085042B">
        <w:rPr>
          <w:rFonts w:ascii="Arial" w:hAnsi="Arial" w:cs="Arial"/>
          <w:i w:val="0"/>
          <w:color w:val="000000"/>
          <w:sz w:val="24"/>
          <w:szCs w:val="24"/>
        </w:rPr>
        <w:t>I. Competencia</w:t>
      </w:r>
    </w:p>
    <w:p w14:paraId="3AB85DB4" w14:textId="77777777" w:rsidR="00E73FF1" w:rsidRPr="0085042B" w:rsidRDefault="00E73FF1" w:rsidP="00E73FF1">
      <w:pPr>
        <w:spacing w:line="240" w:lineRule="auto"/>
        <w:rPr>
          <w:color w:val="000000"/>
          <w:lang w:val="es-CO"/>
        </w:rPr>
      </w:pPr>
    </w:p>
    <w:p w14:paraId="4DEF95DC" w14:textId="77777777" w:rsidR="00E73FF1" w:rsidRPr="0085042B" w:rsidRDefault="00E73FF1" w:rsidP="00E73FF1">
      <w:pPr>
        <w:rPr>
          <w:color w:val="000000"/>
        </w:rPr>
      </w:pPr>
      <w:r w:rsidRPr="0085042B">
        <w:rPr>
          <w:color w:val="000000"/>
        </w:rPr>
        <w:t xml:space="preserve">El Consejo de Estado es competente para conocer del presente asunto en virtud del recurso de apelación interpuesto por la parte actora en un proceso iniciado en ejercicio de la acción de nulidad y restablecimiento del derecho con vocación de segunda instancia ante esta Corporación, dado que, de conformidad con lo dispuesto por el artículo 132  y en el artículo 265 del Código Contencioso Administrativo -modificado por el artículo 4º del Decreto 597 de 1988- aplicables en el </w:t>
      </w:r>
      <w:r w:rsidRPr="0085042B">
        <w:rPr>
          <w:i/>
          <w:iCs/>
          <w:color w:val="000000"/>
        </w:rPr>
        <w:t>sub examine</w:t>
      </w:r>
      <w:r w:rsidRPr="0085042B">
        <w:rPr>
          <w:color w:val="000000"/>
        </w:rPr>
        <w:t xml:space="preserve">, la cuantía exigida en el año 2000 para que un asunto de esta naturaleza fuera conocido en primera instancia por los tribunales administrativos, era de $ 6’037.000 y en el presente caso la actora estimó la cuantía de sus pretensiones en la suma de $ 1.000’000.000,oo, por concepto de la utilidad dejada de percibir, al no ser la adjudicataria de la </w:t>
      </w:r>
      <w:r w:rsidRPr="0085042B">
        <w:rPr>
          <w:color w:val="000000"/>
          <w:lang w:val="es-ES" w:eastAsia="es-ES"/>
        </w:rPr>
        <w:t>Licitación Pública n.º 004 de 1999, razón por la cual, supera el monto exigido para el efecto</w:t>
      </w:r>
      <w:r w:rsidRPr="0085042B">
        <w:rPr>
          <w:rStyle w:val="Refdenotaalpie"/>
          <w:color w:val="000000"/>
          <w:lang w:val="es-ES" w:eastAsia="es-ES"/>
        </w:rPr>
        <w:footnoteReference w:id="26"/>
      </w:r>
      <w:r w:rsidRPr="0085042B">
        <w:rPr>
          <w:color w:val="000000"/>
          <w:lang w:val="es-ES" w:eastAsia="es-ES"/>
        </w:rPr>
        <w:t>.</w:t>
      </w:r>
    </w:p>
    <w:p w14:paraId="7B550018" w14:textId="77777777" w:rsidR="00E73FF1" w:rsidRPr="0085042B" w:rsidRDefault="00E73FF1" w:rsidP="00E73FF1">
      <w:pPr>
        <w:rPr>
          <w:color w:val="000000"/>
        </w:rPr>
      </w:pPr>
    </w:p>
    <w:p w14:paraId="06F19D7F" w14:textId="77777777" w:rsidR="00E73FF1" w:rsidRPr="0085042B" w:rsidRDefault="00E73FF1" w:rsidP="00E73FF1">
      <w:pPr>
        <w:rPr>
          <w:color w:val="000000"/>
        </w:rPr>
      </w:pPr>
      <w:r w:rsidRPr="0085042B">
        <w:rPr>
          <w:color w:val="000000"/>
        </w:rPr>
        <w:t xml:space="preserve">Conviene precisar que habida cuenta de que el recurso de apelación fue interpuesto únicamente por la demandante, la Sala se limitará a pronunciarse respecto del objeto de dicho medio de impugnación, de conformidad con lo dispuesto por el </w:t>
      </w:r>
      <w:r w:rsidRPr="0085042B">
        <w:rPr>
          <w:color w:val="000000"/>
        </w:rPr>
        <w:lastRenderedPageBreak/>
        <w:t>artículo 357 del C.P.C.</w:t>
      </w:r>
      <w:r w:rsidRPr="0085042B">
        <w:rPr>
          <w:rStyle w:val="Refdenotaalpie"/>
          <w:rFonts w:cs="Arial"/>
          <w:color w:val="000000"/>
        </w:rPr>
        <w:footnoteReference w:id="27"/>
      </w:r>
      <w:r w:rsidRPr="0085042B">
        <w:rPr>
          <w:color w:val="000000"/>
        </w:rPr>
        <w:t>, a menos de que resulte necesario abordar las excepciones previstas por la jurisprudencia de esta Corporación</w:t>
      </w:r>
      <w:r w:rsidRPr="0085042B">
        <w:rPr>
          <w:rStyle w:val="Refdenotaalpie"/>
          <w:rFonts w:cs="Arial"/>
          <w:color w:val="000000"/>
        </w:rPr>
        <w:footnoteReference w:id="28"/>
      </w:r>
      <w:r w:rsidRPr="0085042B">
        <w:rPr>
          <w:color w:val="000000"/>
        </w:rPr>
        <w:t>.</w:t>
      </w:r>
    </w:p>
    <w:p w14:paraId="7E33BF84" w14:textId="77777777" w:rsidR="00E73FF1" w:rsidRPr="0085042B" w:rsidRDefault="00E73FF1" w:rsidP="00E73FF1">
      <w:pPr>
        <w:rPr>
          <w:color w:val="000000"/>
        </w:rPr>
      </w:pPr>
    </w:p>
    <w:p w14:paraId="22471581" w14:textId="77777777" w:rsidR="00E73FF1" w:rsidRPr="0085042B" w:rsidRDefault="00E73FF1" w:rsidP="00E73FF1">
      <w:pPr>
        <w:pStyle w:val="Ttulo2"/>
        <w:rPr>
          <w:rFonts w:ascii="Arial" w:hAnsi="Arial" w:cs="Arial"/>
          <w:i w:val="0"/>
          <w:color w:val="000000"/>
          <w:sz w:val="24"/>
          <w:szCs w:val="24"/>
          <w:lang w:val="es-CO"/>
        </w:rPr>
      </w:pPr>
      <w:r w:rsidRPr="0085042B">
        <w:rPr>
          <w:rFonts w:ascii="Arial" w:hAnsi="Arial" w:cs="Arial"/>
          <w:i w:val="0"/>
          <w:color w:val="000000"/>
          <w:sz w:val="24"/>
          <w:szCs w:val="24"/>
          <w:lang w:val="es-CO"/>
        </w:rPr>
        <w:t>II. Hechos probados</w:t>
      </w:r>
    </w:p>
    <w:p w14:paraId="1C10B4BB" w14:textId="77777777" w:rsidR="00E73FF1" w:rsidRPr="0085042B" w:rsidRDefault="00E73FF1" w:rsidP="00E73FF1">
      <w:pPr>
        <w:rPr>
          <w:color w:val="000000"/>
          <w:lang w:val="es-CO"/>
        </w:rPr>
      </w:pPr>
    </w:p>
    <w:p w14:paraId="47F22C9F" w14:textId="77777777" w:rsidR="00E73FF1" w:rsidRPr="0085042B" w:rsidRDefault="00E73FF1" w:rsidP="00E73FF1">
      <w:pPr>
        <w:rPr>
          <w:color w:val="000000"/>
          <w:lang w:val="es-MX"/>
        </w:rPr>
      </w:pPr>
      <w:r w:rsidRPr="0085042B">
        <w:rPr>
          <w:bCs/>
          <w:color w:val="000000"/>
        </w:rPr>
        <w:t>Serán tenidos en cuenta los documentos allegados oportunamente por la parte actora, los remitidos por la entidad pública demandada y la sociedad adjudicataria, así como los dictámenes periciales decretados y practicados dentro de las oportunidades procesales del presente asunto</w:t>
      </w:r>
      <w:r w:rsidRPr="0085042B">
        <w:rPr>
          <w:rStyle w:val="Refdenotaalpie"/>
          <w:rFonts w:cs="Arial"/>
          <w:color w:val="000000"/>
          <w:lang w:val="es-MX"/>
        </w:rPr>
        <w:footnoteReference w:id="29"/>
      </w:r>
      <w:r w:rsidRPr="0085042B">
        <w:rPr>
          <w:color w:val="000000"/>
          <w:lang w:val="es-MX"/>
        </w:rPr>
        <w:t>.</w:t>
      </w:r>
    </w:p>
    <w:p w14:paraId="30A69C91" w14:textId="77777777" w:rsidR="00E73FF1" w:rsidRPr="0085042B" w:rsidRDefault="00E73FF1" w:rsidP="00E73FF1">
      <w:pPr>
        <w:rPr>
          <w:color w:val="000000"/>
          <w:lang w:val="es-MX"/>
        </w:rPr>
      </w:pPr>
    </w:p>
    <w:p w14:paraId="02D12120" w14:textId="77777777" w:rsidR="00E73FF1" w:rsidRPr="0085042B" w:rsidRDefault="00E73FF1" w:rsidP="00E73FF1">
      <w:pPr>
        <w:rPr>
          <w:color w:val="000000"/>
          <w:lang w:val="es-CO"/>
        </w:rPr>
      </w:pPr>
      <w:r w:rsidRPr="0085042B">
        <w:rPr>
          <w:color w:val="000000"/>
          <w:lang w:val="es-CO"/>
        </w:rPr>
        <w:t xml:space="preserve">De conformidad con lo anterior, se tienen por probados los siguientes hechos particularmente relevantes: </w:t>
      </w:r>
    </w:p>
    <w:p w14:paraId="2BF06FD0" w14:textId="77777777" w:rsidR="00E73FF1" w:rsidRPr="0085042B" w:rsidRDefault="00E73FF1" w:rsidP="00E73FF1">
      <w:pPr>
        <w:rPr>
          <w:color w:val="000000"/>
          <w:lang w:val="es-CO"/>
        </w:rPr>
      </w:pPr>
    </w:p>
    <w:p w14:paraId="41FE5854" w14:textId="77777777" w:rsidR="00E73FF1" w:rsidRPr="0085042B" w:rsidRDefault="00E73FF1" w:rsidP="00E73FF1">
      <w:pPr>
        <w:rPr>
          <w:color w:val="000000"/>
          <w:lang w:val="es-CO"/>
        </w:rPr>
      </w:pPr>
      <w:r w:rsidRPr="0085042B">
        <w:rPr>
          <w:color w:val="000000"/>
          <w:lang w:val="es-CO"/>
        </w:rPr>
        <w:t>El 5 de octubre de 1999, mediante resolución n.º 8811, el departamento de Antioquia dio apertura a la licitación pública n.º 004 de 1999, con el objeto de contratar la distribución de los productos de la Fábrica de Licores y Alcoholes de Antioquia en el departamento de Bolívar por un periodo de cuatro años</w:t>
      </w:r>
      <w:r w:rsidRPr="0085042B">
        <w:rPr>
          <w:rStyle w:val="Refdenotaalpie"/>
          <w:color w:val="000000"/>
          <w:lang w:val="es-CO"/>
        </w:rPr>
        <w:footnoteReference w:id="30"/>
      </w:r>
      <w:r w:rsidRPr="0085042B">
        <w:rPr>
          <w:color w:val="000000"/>
          <w:lang w:val="es-CO"/>
        </w:rPr>
        <w:t>.</w:t>
      </w:r>
    </w:p>
    <w:p w14:paraId="558F7039" w14:textId="77777777" w:rsidR="00E73FF1" w:rsidRPr="0085042B" w:rsidRDefault="00E73FF1" w:rsidP="00E73FF1">
      <w:pPr>
        <w:rPr>
          <w:color w:val="000000"/>
          <w:lang w:val="es-CO"/>
        </w:rPr>
      </w:pPr>
    </w:p>
    <w:p w14:paraId="7AD10F26" w14:textId="77777777" w:rsidR="00E73FF1" w:rsidRPr="0085042B" w:rsidRDefault="00E73FF1" w:rsidP="00E73FF1">
      <w:pPr>
        <w:rPr>
          <w:color w:val="000000"/>
          <w:lang w:val="es-CO"/>
        </w:rPr>
      </w:pPr>
      <w:r w:rsidRPr="0085042B">
        <w:rPr>
          <w:color w:val="000000"/>
          <w:lang w:val="es-CO"/>
        </w:rPr>
        <w:t>En la referida licitación se presentaron 6 proponentes, a saber: i) Unión Temporal Megalicores; ii) Unión Temporal Alianza; iii) Unión Temporal Dromayor Pereira S.A.; iv) Unión Temporal Tropical de Licores UT; v) el Consorcio Licocartagena y vi) Dissantamaría S.A.</w:t>
      </w:r>
      <w:r w:rsidRPr="0085042B">
        <w:rPr>
          <w:rStyle w:val="Refdenotaalpie"/>
          <w:color w:val="000000"/>
          <w:lang w:val="es-CO"/>
        </w:rPr>
        <w:footnoteReference w:id="31"/>
      </w:r>
      <w:r w:rsidRPr="0085042B">
        <w:rPr>
          <w:color w:val="000000"/>
          <w:lang w:val="es-CO"/>
        </w:rPr>
        <w:t>.</w:t>
      </w:r>
    </w:p>
    <w:p w14:paraId="413F19D8" w14:textId="77777777" w:rsidR="00E73FF1" w:rsidRPr="0085042B" w:rsidRDefault="00E73FF1" w:rsidP="00E73FF1">
      <w:pPr>
        <w:rPr>
          <w:color w:val="000000"/>
          <w:lang w:val="es-CO"/>
        </w:rPr>
      </w:pPr>
    </w:p>
    <w:p w14:paraId="2CCF42D2" w14:textId="77777777" w:rsidR="00E73FF1" w:rsidRPr="0085042B" w:rsidRDefault="00E73FF1" w:rsidP="00E73FF1">
      <w:pPr>
        <w:rPr>
          <w:color w:val="000000"/>
          <w:lang w:val="es-CO"/>
        </w:rPr>
      </w:pPr>
      <w:r w:rsidRPr="0085042B">
        <w:rPr>
          <w:color w:val="000000"/>
          <w:lang w:val="es-CO"/>
        </w:rPr>
        <w:lastRenderedPageBreak/>
        <w:t>Mediante Resolución n.º 1811 del 23 de febrero de 2000, el gobernador de Antioquia adjudicó la Licitación Pública n.º 004 de 1999 a la Unión Temporal Dromayor Pereira S.A. y Héctor Villa Osorio por valor total de $5.860’624.000,00</w:t>
      </w:r>
      <w:r w:rsidRPr="0085042B">
        <w:rPr>
          <w:rStyle w:val="Refdenotaalpie"/>
          <w:color w:val="000000"/>
          <w:lang w:val="es-CO"/>
        </w:rPr>
        <w:footnoteReference w:id="32"/>
      </w:r>
      <w:r w:rsidRPr="0085042B">
        <w:rPr>
          <w:color w:val="000000"/>
          <w:lang w:val="es-CO"/>
        </w:rPr>
        <w:t>.</w:t>
      </w:r>
    </w:p>
    <w:p w14:paraId="2643337B" w14:textId="77777777" w:rsidR="00E73FF1" w:rsidRPr="0085042B" w:rsidRDefault="00E73FF1" w:rsidP="00E73FF1">
      <w:pPr>
        <w:rPr>
          <w:color w:val="000000"/>
          <w:lang w:val="es-CO"/>
        </w:rPr>
      </w:pPr>
    </w:p>
    <w:p w14:paraId="7B1AAA34" w14:textId="77777777" w:rsidR="00E73FF1" w:rsidRPr="0085042B" w:rsidRDefault="00E73FF1" w:rsidP="00E73FF1">
      <w:pPr>
        <w:rPr>
          <w:color w:val="000000"/>
          <w:lang w:val="es-CO"/>
        </w:rPr>
      </w:pPr>
      <w:r w:rsidRPr="0085042B">
        <w:rPr>
          <w:color w:val="000000"/>
          <w:lang w:val="es-CO"/>
        </w:rPr>
        <w:t>El 8 de marzo de 2000, el Consorcio Licocartagena, como proponente no favorecido, tuvo conocimiento del acto de adjudicación -oficio n.º 00002587 del 8 de marzo de 2000- suscrito por el director de apoyo jurídico de la Fábrica de Licores de Antioquia, que fue aportado con la demanda</w:t>
      </w:r>
      <w:r w:rsidRPr="0085042B">
        <w:rPr>
          <w:rStyle w:val="Refdenotaalpie"/>
          <w:color w:val="000000"/>
          <w:lang w:val="es-CO"/>
        </w:rPr>
        <w:footnoteReference w:id="33"/>
      </w:r>
      <w:r w:rsidRPr="0085042B">
        <w:rPr>
          <w:color w:val="000000"/>
          <w:lang w:val="es-CO"/>
        </w:rPr>
        <w:t>.</w:t>
      </w:r>
    </w:p>
    <w:p w14:paraId="490099C1" w14:textId="77777777" w:rsidR="00E73FF1" w:rsidRPr="0085042B" w:rsidRDefault="00E73FF1" w:rsidP="00E73FF1">
      <w:pPr>
        <w:rPr>
          <w:color w:val="000000"/>
          <w:lang w:val="es-CO"/>
        </w:rPr>
      </w:pPr>
    </w:p>
    <w:p w14:paraId="37176D89" w14:textId="77777777" w:rsidR="00E73FF1" w:rsidRPr="0085042B" w:rsidRDefault="00E73FF1" w:rsidP="00E73FF1">
      <w:pPr>
        <w:rPr>
          <w:color w:val="000000"/>
          <w:lang w:val="es-CO"/>
        </w:rPr>
      </w:pPr>
      <w:r w:rsidRPr="0085042B">
        <w:rPr>
          <w:color w:val="000000"/>
          <w:lang w:val="es-CO"/>
        </w:rPr>
        <w:t>Por consiguiente, el 29 de marzo de 2000, el gobernador del departamento de Antioquia y el representante legal de la Unión Temporal Dromayor Pereira S.A. y Héctor Villa Osorio suscribieron el contrato de distribución de los productos de la Fábrica de Licores y Alcoholes de Antioquia en el departamento de Bolívar n.º FLA-016-2000</w:t>
      </w:r>
      <w:r w:rsidRPr="0085042B">
        <w:rPr>
          <w:rStyle w:val="Refdenotaalpie"/>
          <w:color w:val="000000"/>
          <w:lang w:val="es-CO"/>
        </w:rPr>
        <w:footnoteReference w:id="34"/>
      </w:r>
      <w:r w:rsidRPr="0085042B">
        <w:rPr>
          <w:color w:val="000000"/>
          <w:lang w:val="es-CO"/>
        </w:rPr>
        <w:t>.</w:t>
      </w:r>
    </w:p>
    <w:p w14:paraId="18D1F43E" w14:textId="77777777" w:rsidR="00E73FF1" w:rsidRPr="0085042B" w:rsidRDefault="00E73FF1" w:rsidP="00E73FF1">
      <w:pPr>
        <w:rPr>
          <w:color w:val="000000"/>
          <w:lang w:val="es-CO"/>
        </w:rPr>
      </w:pPr>
    </w:p>
    <w:p w14:paraId="4993AF56" w14:textId="77777777" w:rsidR="00E73FF1" w:rsidRPr="0085042B" w:rsidRDefault="00E73FF1" w:rsidP="00E73FF1">
      <w:pPr>
        <w:pStyle w:val="Ttulo2"/>
        <w:rPr>
          <w:rFonts w:ascii="Arial" w:hAnsi="Arial" w:cs="Arial"/>
          <w:i w:val="0"/>
          <w:color w:val="000000"/>
          <w:sz w:val="24"/>
          <w:szCs w:val="24"/>
          <w:lang w:val="es-CO"/>
        </w:rPr>
      </w:pPr>
      <w:r w:rsidRPr="0085042B">
        <w:rPr>
          <w:rFonts w:ascii="Arial" w:hAnsi="Arial" w:cs="Arial"/>
          <w:i w:val="0"/>
          <w:color w:val="000000"/>
          <w:sz w:val="24"/>
          <w:szCs w:val="24"/>
          <w:lang w:val="es-CO"/>
        </w:rPr>
        <w:t>III. Problema jurídico</w:t>
      </w:r>
    </w:p>
    <w:p w14:paraId="41BA54A7" w14:textId="77777777" w:rsidR="00E73FF1" w:rsidRPr="0085042B" w:rsidRDefault="00E73FF1" w:rsidP="00E73FF1">
      <w:pPr>
        <w:rPr>
          <w:color w:val="000000"/>
          <w:lang w:val="es-CO"/>
        </w:rPr>
      </w:pPr>
    </w:p>
    <w:p w14:paraId="244E5F6A" w14:textId="77777777" w:rsidR="00E73FF1" w:rsidRPr="0085042B" w:rsidRDefault="00E73FF1" w:rsidP="00E73FF1">
      <w:pPr>
        <w:rPr>
          <w:color w:val="000000"/>
          <w:lang w:val="es-CO"/>
        </w:rPr>
      </w:pPr>
      <w:r w:rsidRPr="0085042B">
        <w:rPr>
          <w:color w:val="000000"/>
          <w:lang w:val="es-CO"/>
        </w:rPr>
        <w:t xml:space="preserve">La Sala deberá establecer si en el presente caso se ejerció la acción adecuada o si, en su lugar, se encuentra configurada la ineptitud sustantiva de la demanda por indebida escogencia de la acción ante la suscripción del Contrato n.º FLA-016-2000 de forma previa a la presentación de la acción la referencia. </w:t>
      </w:r>
    </w:p>
    <w:p w14:paraId="6DAF29B1" w14:textId="77777777" w:rsidR="00E73FF1" w:rsidRPr="0085042B" w:rsidRDefault="00E73FF1" w:rsidP="00E73FF1">
      <w:pPr>
        <w:rPr>
          <w:color w:val="000000"/>
          <w:lang w:val="es-CO"/>
        </w:rPr>
      </w:pPr>
    </w:p>
    <w:p w14:paraId="73DF5060" w14:textId="77777777" w:rsidR="00E73FF1" w:rsidRPr="0085042B" w:rsidRDefault="00E73FF1" w:rsidP="00E73FF1">
      <w:pPr>
        <w:rPr>
          <w:color w:val="000000"/>
          <w:lang w:val="es-CO"/>
        </w:rPr>
      </w:pPr>
      <w:r w:rsidRPr="0085042B">
        <w:rPr>
          <w:color w:val="000000"/>
          <w:lang w:val="es-CO"/>
        </w:rPr>
        <w:t xml:space="preserve">Una vez resuelto lo anterior, en el evento de verificar la procedencia de la acción de nulidad y restablecimiento del derecho para el caso </w:t>
      </w:r>
      <w:r w:rsidRPr="0085042B">
        <w:rPr>
          <w:i/>
          <w:color w:val="000000"/>
          <w:lang w:val="es-CO"/>
        </w:rPr>
        <w:t>sub examine</w:t>
      </w:r>
      <w:r w:rsidRPr="0085042B">
        <w:rPr>
          <w:color w:val="000000"/>
          <w:lang w:val="es-CO"/>
        </w:rPr>
        <w:t>, la Sala estudiará lo concerniente a la legalidad de la resolución n.º 1811 del 23 de febrero de 2000, por medio de la cual se adjudicó la Licitación Pública n.º 044 de 1999.</w:t>
      </w:r>
    </w:p>
    <w:p w14:paraId="591B746D" w14:textId="77777777" w:rsidR="00E73FF1" w:rsidRPr="0085042B" w:rsidRDefault="00E73FF1" w:rsidP="00E73FF1">
      <w:pPr>
        <w:pStyle w:val="Ttulo2"/>
        <w:rPr>
          <w:rFonts w:ascii="Arial" w:hAnsi="Arial" w:cs="Arial"/>
          <w:i w:val="0"/>
          <w:color w:val="000000"/>
          <w:sz w:val="24"/>
          <w:szCs w:val="24"/>
          <w:lang w:val="es-CO"/>
        </w:rPr>
      </w:pPr>
      <w:r w:rsidRPr="0085042B">
        <w:rPr>
          <w:rFonts w:ascii="Arial" w:hAnsi="Arial" w:cs="Arial"/>
          <w:i w:val="0"/>
          <w:color w:val="000000"/>
          <w:sz w:val="24"/>
          <w:szCs w:val="24"/>
          <w:lang w:val="es-CO"/>
        </w:rPr>
        <w:t>IV. Análisis de la Sala</w:t>
      </w:r>
    </w:p>
    <w:p w14:paraId="0D4E55B0" w14:textId="77777777" w:rsidR="00E73FF1" w:rsidRPr="0085042B" w:rsidRDefault="00E73FF1" w:rsidP="00E73FF1">
      <w:pPr>
        <w:rPr>
          <w:color w:val="000000"/>
          <w:lang w:val="es-CO"/>
        </w:rPr>
      </w:pPr>
    </w:p>
    <w:p w14:paraId="1139FD7C" w14:textId="77777777" w:rsidR="00E73FF1" w:rsidRPr="0085042B" w:rsidRDefault="00E73FF1" w:rsidP="00E73FF1">
      <w:pPr>
        <w:rPr>
          <w:color w:val="000000"/>
          <w:lang w:val="es-MX"/>
        </w:rPr>
      </w:pPr>
      <w:r w:rsidRPr="0085042B">
        <w:rPr>
          <w:color w:val="000000"/>
        </w:rPr>
        <w:t xml:space="preserve">La demanda que dio origen al proceso fue presentada el 10 de abril de 2000, en ejercicio de la acción de nulidad y restablecimiento del derecho, en contra de la Resolución n.º 1811 del 23 de febrero de 2000, por medio de la cual se adjudicó la licitación pública </w:t>
      </w:r>
      <w:r w:rsidRPr="0085042B">
        <w:rPr>
          <w:color w:val="000000"/>
          <w:lang w:val="es-MX"/>
        </w:rPr>
        <w:t>n.</w:t>
      </w:r>
      <w:r w:rsidRPr="0085042B">
        <w:rPr>
          <w:color w:val="000000"/>
          <w:vertAlign w:val="superscript"/>
          <w:lang w:val="es-MX"/>
        </w:rPr>
        <w:t>o</w:t>
      </w:r>
      <w:r w:rsidRPr="0085042B">
        <w:rPr>
          <w:color w:val="000000"/>
          <w:lang w:val="es-MX"/>
        </w:rPr>
        <w:t xml:space="preserve"> 044 de 2000.</w:t>
      </w:r>
    </w:p>
    <w:p w14:paraId="78BE2887" w14:textId="77777777" w:rsidR="00E73FF1" w:rsidRPr="0085042B" w:rsidRDefault="00E73FF1" w:rsidP="00E73FF1">
      <w:pPr>
        <w:rPr>
          <w:color w:val="000000"/>
          <w:lang w:val="es-MX"/>
        </w:rPr>
      </w:pPr>
    </w:p>
    <w:p w14:paraId="3225C2DF" w14:textId="77777777" w:rsidR="00E73FF1" w:rsidRPr="0085042B" w:rsidRDefault="00E73FF1" w:rsidP="00E73FF1">
      <w:pPr>
        <w:rPr>
          <w:color w:val="000000"/>
          <w:lang w:val="es-MX"/>
        </w:rPr>
      </w:pPr>
      <w:r w:rsidRPr="0085042B">
        <w:rPr>
          <w:color w:val="000000"/>
          <w:lang w:val="es-MX"/>
        </w:rPr>
        <w:t xml:space="preserve">Frente a la normativa aplicable a las actuaciones administrativas, el artículo 77 de la Ley 80 de 1993, estableció lo siguiente: </w:t>
      </w:r>
    </w:p>
    <w:p w14:paraId="6DB1BA5A" w14:textId="77777777" w:rsidR="00E73FF1" w:rsidRPr="0085042B" w:rsidRDefault="00E73FF1" w:rsidP="00E73FF1">
      <w:pPr>
        <w:rPr>
          <w:color w:val="000000"/>
          <w:lang w:val="es-MX"/>
        </w:rPr>
      </w:pPr>
    </w:p>
    <w:p w14:paraId="56470AA0" w14:textId="77777777" w:rsidR="00E73FF1" w:rsidRPr="0085042B" w:rsidRDefault="00E73FF1" w:rsidP="00E73FF1">
      <w:pPr>
        <w:pStyle w:val="Sinespaciado"/>
        <w:ind w:left="567" w:right="567"/>
        <w:jc w:val="both"/>
        <w:rPr>
          <w:rFonts w:ascii="Arial" w:hAnsi="Arial" w:cs="Arial"/>
          <w:i/>
          <w:color w:val="000000"/>
          <w:szCs w:val="24"/>
        </w:rPr>
      </w:pPr>
      <w:r w:rsidRPr="0085042B">
        <w:rPr>
          <w:rFonts w:ascii="Arial" w:hAnsi="Arial" w:cs="Arial"/>
          <w:i/>
          <w:color w:val="000000"/>
          <w:szCs w:val="24"/>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7E6F86BF" w14:textId="77777777" w:rsidR="00E73FF1" w:rsidRPr="0085042B" w:rsidRDefault="00E73FF1" w:rsidP="00E73FF1">
      <w:pPr>
        <w:pStyle w:val="Sinespaciado"/>
        <w:ind w:left="567" w:right="567"/>
        <w:jc w:val="both"/>
        <w:rPr>
          <w:rFonts w:ascii="Arial" w:hAnsi="Arial" w:cs="Arial"/>
          <w:i/>
          <w:color w:val="000000"/>
          <w:szCs w:val="24"/>
        </w:rPr>
      </w:pPr>
    </w:p>
    <w:p w14:paraId="17913970" w14:textId="77777777" w:rsidR="00E73FF1" w:rsidRPr="0085042B" w:rsidRDefault="00E73FF1" w:rsidP="00E73FF1">
      <w:pPr>
        <w:pStyle w:val="Sinespaciado"/>
        <w:ind w:left="567" w:right="567"/>
        <w:jc w:val="both"/>
        <w:rPr>
          <w:rFonts w:ascii="Arial" w:hAnsi="Arial" w:cs="Arial"/>
          <w:i/>
          <w:color w:val="000000"/>
          <w:szCs w:val="24"/>
        </w:rPr>
      </w:pPr>
      <w:r w:rsidRPr="0085042B">
        <w:rPr>
          <w:rFonts w:ascii="Arial" w:hAnsi="Arial" w:cs="Arial"/>
          <w:i/>
          <w:color w:val="000000"/>
          <w:szCs w:val="24"/>
        </w:rPr>
        <w:t>“PARAGRAFO 1o. El acto de adjudicación no tendrá recursos por la vía gubernativa. Este podrá impugnarse mediante el ejercicio de la acción de nulidad y restablecimiento del derecho, según las reglas del Código Contencioso Administrativo.</w:t>
      </w:r>
    </w:p>
    <w:p w14:paraId="39552E77" w14:textId="77777777" w:rsidR="00E73FF1" w:rsidRPr="0085042B" w:rsidRDefault="00E73FF1" w:rsidP="00E73FF1">
      <w:pPr>
        <w:pStyle w:val="Sinespaciado"/>
        <w:ind w:left="567" w:right="567"/>
        <w:jc w:val="both"/>
        <w:rPr>
          <w:rFonts w:ascii="Arial" w:hAnsi="Arial" w:cs="Arial"/>
          <w:i/>
          <w:color w:val="000000"/>
          <w:szCs w:val="24"/>
        </w:rPr>
      </w:pPr>
    </w:p>
    <w:p w14:paraId="13E46E97" w14:textId="77777777" w:rsidR="00E73FF1" w:rsidRPr="0085042B" w:rsidRDefault="00E73FF1" w:rsidP="00E73FF1">
      <w:pPr>
        <w:pStyle w:val="Sinespaciado"/>
        <w:ind w:left="567" w:right="567"/>
        <w:jc w:val="both"/>
        <w:rPr>
          <w:rFonts w:ascii="Arial" w:hAnsi="Arial" w:cs="Arial"/>
          <w:color w:val="000000"/>
          <w:szCs w:val="24"/>
        </w:rPr>
      </w:pPr>
      <w:r w:rsidRPr="0085042B">
        <w:rPr>
          <w:rFonts w:ascii="Arial" w:hAnsi="Arial" w:cs="Arial"/>
          <w:i/>
          <w:color w:val="000000"/>
          <w:szCs w:val="24"/>
        </w:rPr>
        <w:t>“PARAGRAFO 2o. Para el ejercicio de las acciones contra los actos administrativos de la actividad contractual no es necesario demandar el contrato que los origina”</w:t>
      </w:r>
      <w:r w:rsidRPr="0085042B">
        <w:rPr>
          <w:rFonts w:ascii="Arial" w:hAnsi="Arial" w:cs="Arial"/>
          <w:color w:val="000000"/>
          <w:szCs w:val="24"/>
        </w:rPr>
        <w:t xml:space="preserve">. </w:t>
      </w:r>
    </w:p>
    <w:p w14:paraId="3D7344C9" w14:textId="77777777" w:rsidR="00E73FF1" w:rsidRPr="0085042B" w:rsidRDefault="00E73FF1" w:rsidP="00E73FF1">
      <w:pPr>
        <w:rPr>
          <w:color w:val="000000"/>
          <w:lang w:val="es-MX"/>
        </w:rPr>
      </w:pPr>
    </w:p>
    <w:p w14:paraId="0A22BA20" w14:textId="77777777" w:rsidR="00E73FF1" w:rsidRPr="0085042B" w:rsidRDefault="00E73FF1" w:rsidP="00E73FF1">
      <w:pPr>
        <w:rPr>
          <w:color w:val="000000"/>
          <w:lang w:val="es-MX"/>
        </w:rPr>
      </w:pPr>
      <w:r w:rsidRPr="0085042B">
        <w:rPr>
          <w:color w:val="000000"/>
        </w:rPr>
        <w:t>De conformidad con los términos de la anterior norma, el acto de adjudicación era impugnable mediante la acción de nulidad y restablecimiento del derecho regulada en el Código Contencioso Administrativo, mientras que los demás actos, que hacen parte de los que se producen con ocasión de la actividad contractual, sólo serían controlables mediante la acción de controversias contractuales, con las limitaciones que ello implicaba.</w:t>
      </w:r>
    </w:p>
    <w:p w14:paraId="714B0EB3" w14:textId="77777777" w:rsidR="00E73FF1" w:rsidRPr="0085042B" w:rsidRDefault="00E73FF1" w:rsidP="00E73FF1">
      <w:pPr>
        <w:rPr>
          <w:color w:val="000000"/>
          <w:lang w:val="es-MX"/>
        </w:rPr>
      </w:pPr>
    </w:p>
    <w:p w14:paraId="677FE841" w14:textId="77777777" w:rsidR="00E73FF1" w:rsidRPr="0085042B" w:rsidRDefault="00E73FF1" w:rsidP="00E73FF1">
      <w:pPr>
        <w:rPr>
          <w:color w:val="000000"/>
          <w:lang w:val="es-MX"/>
        </w:rPr>
      </w:pPr>
      <w:r w:rsidRPr="0085042B">
        <w:rPr>
          <w:color w:val="000000"/>
          <w:lang w:val="es-MX"/>
        </w:rPr>
        <w:t>No obstante, para la época de presentación de la demanda</w:t>
      </w:r>
      <w:r w:rsidRPr="0085042B">
        <w:rPr>
          <w:rStyle w:val="Refdenotaalpie"/>
          <w:rFonts w:cs="Arial"/>
          <w:color w:val="000000"/>
          <w:lang w:val="es-MX"/>
        </w:rPr>
        <w:footnoteReference w:id="35"/>
      </w:r>
      <w:r w:rsidRPr="0085042B">
        <w:rPr>
          <w:color w:val="000000"/>
          <w:lang w:val="es-MX"/>
        </w:rPr>
        <w:t>, el artículo 87 de dicho Código, que establecía la acción de controversias contractuales, modificado por el artículo 32 de la Ley 446 de 1998, disponía en su segundo inciso lo siguiente:</w:t>
      </w:r>
    </w:p>
    <w:p w14:paraId="30FDEFF0" w14:textId="77777777" w:rsidR="00E73FF1" w:rsidRPr="0085042B" w:rsidRDefault="00E73FF1" w:rsidP="00E73FF1">
      <w:pPr>
        <w:ind w:left="851" w:right="851"/>
        <w:rPr>
          <w:i/>
          <w:color w:val="000000"/>
          <w:lang w:val="es-MX"/>
        </w:rPr>
      </w:pPr>
    </w:p>
    <w:p w14:paraId="18EA9A5D" w14:textId="77777777" w:rsidR="00E73FF1" w:rsidRPr="0085042B" w:rsidRDefault="00E73FF1" w:rsidP="00E73FF1">
      <w:pPr>
        <w:spacing w:line="240" w:lineRule="auto"/>
        <w:ind w:left="567" w:right="567"/>
        <w:rPr>
          <w:color w:val="000000"/>
          <w:sz w:val="22"/>
        </w:rPr>
      </w:pPr>
      <w:r w:rsidRPr="0085042B">
        <w:rPr>
          <w:i/>
          <w:color w:val="000000"/>
          <w:sz w:val="22"/>
          <w:lang w:val="es-MX"/>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 </w:t>
      </w:r>
      <w:r w:rsidRPr="0085042B">
        <w:rPr>
          <w:color w:val="000000"/>
          <w:sz w:val="22"/>
        </w:rPr>
        <w:t xml:space="preserve"> </w:t>
      </w:r>
    </w:p>
    <w:p w14:paraId="7B30A2E5" w14:textId="77777777" w:rsidR="00E73FF1" w:rsidRPr="0085042B" w:rsidRDefault="00E73FF1" w:rsidP="00E73FF1">
      <w:pPr>
        <w:rPr>
          <w:color w:val="000000"/>
          <w:lang w:val="es-MX"/>
        </w:rPr>
      </w:pPr>
    </w:p>
    <w:p w14:paraId="13E6257A" w14:textId="77777777" w:rsidR="00E73FF1" w:rsidRPr="0085042B" w:rsidRDefault="00E73FF1" w:rsidP="00E73FF1">
      <w:pPr>
        <w:rPr>
          <w:color w:val="000000"/>
          <w:lang w:val="es-MX"/>
        </w:rPr>
      </w:pPr>
      <w:r w:rsidRPr="0085042B">
        <w:rPr>
          <w:color w:val="000000"/>
          <w:lang w:val="es-MX"/>
        </w:rPr>
        <w:t xml:space="preserve">De acuerdo con esta disposición, los actos administrativos previos, es decir, aquellos proferidos por la Administración con anterioridad al perfeccionamiento del </w:t>
      </w:r>
      <w:r w:rsidRPr="0085042B">
        <w:rPr>
          <w:color w:val="000000"/>
          <w:lang w:val="es-MX"/>
        </w:rPr>
        <w:lastRenderedPageBreak/>
        <w:t>contrato y durante la etapa precontractual, podían  ser demandados en forma independiente, mediante la interposición de la demanda en el ejercicio de la acción de nulidad o la de nulidad y restablecimiento del derecho, según el caso, es decir, dependiendo de si la finalidad que se perseguía era únicamente la preservación del ordenamiento jurídico objetivamente considerado, caso en el cual procedería la primera, o si se buscaba el restablecimiento de un derecho vulnerado por el respectivo acto, evento que debía reclamarse mediante la segunda, dentro del término de caducidad de 30 días para ambas acciones.</w:t>
      </w:r>
    </w:p>
    <w:p w14:paraId="7F387D94" w14:textId="77777777" w:rsidR="00E73FF1" w:rsidRPr="0085042B" w:rsidRDefault="00E73FF1" w:rsidP="00E73FF1">
      <w:pPr>
        <w:rPr>
          <w:color w:val="000000"/>
          <w:lang w:val="es-MX"/>
        </w:rPr>
      </w:pPr>
    </w:p>
    <w:p w14:paraId="353682D0" w14:textId="77777777" w:rsidR="00E73FF1" w:rsidRPr="0085042B" w:rsidRDefault="00E73FF1" w:rsidP="00E73FF1">
      <w:pPr>
        <w:rPr>
          <w:color w:val="000000"/>
          <w:lang w:val="es-MX"/>
        </w:rPr>
      </w:pPr>
      <w:r w:rsidRPr="0085042B">
        <w:rPr>
          <w:color w:val="000000"/>
        </w:rPr>
        <w:t xml:space="preserve">Al respecto, la jurisprudencia ha precisado que el acto administrativo de adjudicación no es susceptible de ser demandado en ejercicio de la acción de simple nulidad y que solo puede ser impugnado en ejercicio de la acción de nulidad y restablecimiento del derecho por quien demuestre un interés legítimo –los oferentes no favorecidos y la entidad licitante-, </w:t>
      </w:r>
      <w:r w:rsidRPr="0085042B">
        <w:rPr>
          <w:rStyle w:val="nfasis"/>
          <w:i w:val="0"/>
          <w:color w:val="000000"/>
        </w:rPr>
        <w:t xml:space="preserve">toda vez que </w:t>
      </w:r>
      <w:r w:rsidRPr="0085042B">
        <w:rPr>
          <w:rStyle w:val="nfasis"/>
          <w:rFonts w:eastAsia="Calibri"/>
          <w:i w:val="0"/>
          <w:color w:val="000000"/>
        </w:rPr>
        <w:t xml:space="preserve">la escogencia de la acción no está librada al arbitrio del demandante, sino que obedece al interés perseguido en el juicio y a los efectos de la sentencia, lo que comporta su consonancia con los hechos y las pretensiones aducidos en la demanda, </w:t>
      </w:r>
      <w:r w:rsidRPr="0085042B">
        <w:rPr>
          <w:rStyle w:val="nfasis"/>
          <w:i w:val="0"/>
          <w:color w:val="000000"/>
        </w:rPr>
        <w:t xml:space="preserve">por cuanto </w:t>
      </w:r>
      <w:r w:rsidRPr="0085042B">
        <w:rPr>
          <w:rStyle w:val="nfasis"/>
          <w:rFonts w:eastAsia="Calibri"/>
          <w:i w:val="0"/>
          <w:color w:val="000000"/>
        </w:rPr>
        <w:t xml:space="preserve">no es razonable pensar que </w:t>
      </w:r>
      <w:r w:rsidRPr="0085042B">
        <w:rPr>
          <w:color w:val="000000"/>
          <w:lang w:val="es-CO"/>
        </w:rPr>
        <w:t>el legislador haya previsto dos o más acciones para enjuiciar una misma actuación de la Administración, como tampoco que cualquiera fuere la ejercida resultare igual</w:t>
      </w:r>
      <w:r w:rsidRPr="0085042B">
        <w:rPr>
          <w:rStyle w:val="Refdenotaalpie"/>
          <w:rFonts w:cs="Arial"/>
          <w:color w:val="000000"/>
          <w:lang w:val="es-CO"/>
        </w:rPr>
        <w:footnoteReference w:id="36"/>
      </w:r>
      <w:r w:rsidRPr="0085042B">
        <w:rPr>
          <w:color w:val="000000"/>
          <w:lang w:val="es-CO"/>
        </w:rPr>
        <w:t>.</w:t>
      </w:r>
    </w:p>
    <w:p w14:paraId="07453CB5" w14:textId="77777777" w:rsidR="00E73FF1" w:rsidRPr="0085042B" w:rsidRDefault="00E73FF1" w:rsidP="00E73FF1">
      <w:pPr>
        <w:rPr>
          <w:color w:val="000000"/>
          <w:lang w:val="es-MX"/>
        </w:rPr>
      </w:pPr>
    </w:p>
    <w:p w14:paraId="0636A8C0" w14:textId="77777777" w:rsidR="00E73FF1" w:rsidRPr="0085042B" w:rsidRDefault="00E73FF1" w:rsidP="00E73FF1">
      <w:pPr>
        <w:rPr>
          <w:color w:val="000000"/>
          <w:lang w:val="es-MX"/>
        </w:rPr>
      </w:pPr>
      <w:r w:rsidRPr="0085042B">
        <w:rPr>
          <w:color w:val="000000"/>
          <w:lang w:val="es-MX"/>
        </w:rPr>
        <w:t xml:space="preserve">No obstante, de la norma también se desprende con toda claridad que, una vez suscrito el contrato, la validez de los actos precontractuales solo se podrá cuestionar mediante el ejercicio de la acción contractual, que se deberá ejercer en contra del contrato suscrito, alegando su nulidad absoluta como consecuencia de la nulidad del respectivo acto precontractual. Es decir que, como dice la norma, la ilegalidad de este último, una vez suscrito el negocio jurídico, solo se podrá alegar como causal de nulidad absoluta del mismo, lo que implica necesariamente el ejercicio de la acción contractual y la imposibilidad, en tal caso, de impugnar independientemente el acto previo. </w:t>
      </w:r>
    </w:p>
    <w:p w14:paraId="79F47BAE" w14:textId="77777777" w:rsidR="00E73FF1" w:rsidRPr="0085042B" w:rsidRDefault="00E73FF1" w:rsidP="00E73FF1">
      <w:pPr>
        <w:rPr>
          <w:color w:val="000000"/>
          <w:lang w:val="es-MX"/>
        </w:rPr>
      </w:pPr>
    </w:p>
    <w:p w14:paraId="3339A950" w14:textId="77777777" w:rsidR="00E73FF1" w:rsidRPr="0085042B" w:rsidRDefault="00E73FF1" w:rsidP="00E73FF1">
      <w:pPr>
        <w:rPr>
          <w:color w:val="000000"/>
          <w:lang w:val="es-MX"/>
        </w:rPr>
      </w:pPr>
      <w:r w:rsidRPr="0085042B">
        <w:rPr>
          <w:color w:val="000000"/>
          <w:lang w:val="es-MX"/>
        </w:rPr>
        <w:t xml:space="preserve">Lo anterior, también significa que así no hayan transcurrido los 30 días a los que alude la norma como término de caducidad de las acciones de nulidad y de nulidad y restablecimiento del derecho, si se suscribe el contrato dentro de dicho término, </w:t>
      </w:r>
      <w:r w:rsidRPr="0085042B">
        <w:rPr>
          <w:color w:val="000000"/>
          <w:lang w:val="es-MX"/>
        </w:rPr>
        <w:lastRenderedPageBreak/>
        <w:t xml:space="preserve">también resultará imposible el ejercicio de las referidas acciones, por cuanto en tal evento solo será posible cuestionar su validez, como causal de nulidad absoluta del contrato suscrito, mediante el ejercicio en su contra de la acción contractual. </w:t>
      </w:r>
    </w:p>
    <w:p w14:paraId="46213981" w14:textId="77777777" w:rsidR="00E73FF1" w:rsidRPr="0085042B" w:rsidRDefault="00E73FF1" w:rsidP="00E73FF1">
      <w:pPr>
        <w:rPr>
          <w:color w:val="000000"/>
          <w:lang w:val="es-MX"/>
        </w:rPr>
      </w:pPr>
    </w:p>
    <w:p w14:paraId="03A7E2BB" w14:textId="77777777" w:rsidR="00E73FF1" w:rsidRPr="0085042B" w:rsidRDefault="00E73FF1" w:rsidP="00E73FF1">
      <w:pPr>
        <w:pStyle w:val="Textoindependiente31"/>
        <w:rPr>
          <w:rFonts w:cs="Arial"/>
          <w:sz w:val="24"/>
          <w:szCs w:val="24"/>
          <w:u w:val="none"/>
        </w:rPr>
      </w:pPr>
      <w:r w:rsidRPr="0085042B">
        <w:rPr>
          <w:rFonts w:cs="Arial"/>
          <w:sz w:val="24"/>
          <w:szCs w:val="24"/>
          <w:u w:val="none"/>
          <w:lang w:val="es-MX"/>
        </w:rPr>
        <w:t xml:space="preserve">La Corte Constitucional declaró la exequibilidad de las expresiones </w:t>
      </w:r>
      <w:r w:rsidRPr="0085042B">
        <w:rPr>
          <w:rFonts w:cs="Arial"/>
          <w:i/>
          <w:sz w:val="24"/>
          <w:szCs w:val="24"/>
          <w:u w:val="none"/>
          <w:lang w:val="es-MX"/>
        </w:rPr>
        <w:t>“</w:t>
      </w:r>
      <w:r w:rsidRPr="0085042B">
        <w:rPr>
          <w:rFonts w:cs="Arial"/>
          <w:i/>
          <w:sz w:val="24"/>
          <w:szCs w:val="24"/>
          <w:u w:val="none"/>
        </w:rPr>
        <w:t>una vez celebrado este”</w:t>
      </w:r>
      <w:r w:rsidRPr="0085042B">
        <w:rPr>
          <w:rFonts w:cs="Arial"/>
          <w:sz w:val="24"/>
          <w:szCs w:val="24"/>
          <w:u w:val="none"/>
        </w:rPr>
        <w:t xml:space="preserve"> y </w:t>
      </w:r>
      <w:r w:rsidRPr="0085042B">
        <w:rPr>
          <w:rFonts w:cs="Arial"/>
          <w:i/>
          <w:sz w:val="24"/>
          <w:szCs w:val="24"/>
          <w:u w:val="none"/>
        </w:rPr>
        <w:t xml:space="preserve">“solamente”, </w:t>
      </w:r>
      <w:r w:rsidRPr="0085042B">
        <w:rPr>
          <w:rFonts w:cs="Arial"/>
          <w:sz w:val="24"/>
          <w:szCs w:val="24"/>
          <w:u w:val="none"/>
        </w:rPr>
        <w:t>contenidas en el inciso segundo del artículo 87 del C.C.A</w:t>
      </w:r>
      <w:r w:rsidRPr="0085042B">
        <w:rPr>
          <w:rStyle w:val="Refdenotaalpie"/>
          <w:rFonts w:cs="Arial"/>
          <w:sz w:val="24"/>
          <w:szCs w:val="24"/>
          <w:u w:val="none"/>
        </w:rPr>
        <w:footnoteReference w:id="37"/>
      </w:r>
      <w:r w:rsidRPr="0085042B">
        <w:rPr>
          <w:rFonts w:cs="Arial"/>
          <w:sz w:val="24"/>
          <w:szCs w:val="24"/>
          <w:u w:val="none"/>
        </w:rPr>
        <w:t xml:space="preserve">, bajo el entendido de que la intención del legislador no fue otra que la de impedir,  precisamente, que una vez suscrito el contrato adjudicado, pudieran cuestionarse los actos previos en forma independiente, con el fin de garantizar la eficacia de la actividad contractual y de preservar la estabilidad de las decisiones administrativas, brindando seguridad a sus actuaciones y a los contratos suscritos. </w:t>
      </w:r>
    </w:p>
    <w:p w14:paraId="5AB1E3BE" w14:textId="77777777" w:rsidR="00E73FF1" w:rsidRPr="0085042B" w:rsidRDefault="00E73FF1" w:rsidP="00E73FF1">
      <w:pPr>
        <w:pStyle w:val="Textoindependiente31"/>
        <w:rPr>
          <w:rFonts w:cs="Arial"/>
          <w:sz w:val="24"/>
          <w:szCs w:val="24"/>
          <w:u w:val="none"/>
        </w:rPr>
      </w:pPr>
    </w:p>
    <w:p w14:paraId="757AD89F" w14:textId="77777777" w:rsidR="00E73FF1" w:rsidRPr="0085042B" w:rsidRDefault="00E73FF1" w:rsidP="00E73FF1">
      <w:pPr>
        <w:pStyle w:val="Textoindependiente31"/>
        <w:rPr>
          <w:rFonts w:cs="Arial"/>
          <w:sz w:val="24"/>
          <w:szCs w:val="24"/>
          <w:u w:val="none"/>
          <w:lang w:val="es-CO"/>
        </w:rPr>
      </w:pPr>
      <w:r w:rsidRPr="0085042B">
        <w:rPr>
          <w:rFonts w:cs="Arial"/>
          <w:sz w:val="24"/>
          <w:szCs w:val="24"/>
          <w:u w:val="none"/>
        </w:rPr>
        <w:t xml:space="preserve">La Corte consideró que en la referida norma se estableció un término de caducidad corto y se fijó un límite a la separabilidad de los actos previos, marcado por la suscripción del contrato, pues a partir de la misma, los actos administrativos precontractuales </w:t>
      </w:r>
      <w:r w:rsidRPr="0085042B">
        <w:rPr>
          <w:rFonts w:cs="Arial"/>
          <w:i/>
          <w:sz w:val="24"/>
          <w:szCs w:val="24"/>
          <w:u w:val="none"/>
        </w:rPr>
        <w:t>“</w:t>
      </w:r>
      <w:r w:rsidRPr="0085042B">
        <w:rPr>
          <w:rFonts w:cs="Arial"/>
          <w:i/>
          <w:sz w:val="24"/>
          <w:szCs w:val="24"/>
          <w:u w:val="none"/>
          <w:lang w:val="es-CO"/>
        </w:rPr>
        <w:t xml:space="preserve">se hacen inseparables para efectos de su control judicial, de tal manera que sólo pueden atacarse a través de la acción de nulidad absoluta del contrato”, </w:t>
      </w:r>
      <w:r w:rsidRPr="0085042B">
        <w:rPr>
          <w:rFonts w:cs="Arial"/>
          <w:sz w:val="24"/>
          <w:szCs w:val="24"/>
          <w:u w:val="none"/>
          <w:lang w:val="es-CO"/>
        </w:rPr>
        <w:t>lo cual, afirmó, constituye un límite que pretende dar agilidad al proceso licitatorio y estabilidad a las etapas que se surten en el mismo, finalidad que se dificulta si tales actos se someten a plazos de caducidad más largos y/o a la acción de nulidad carente de esta clase de término para demandar. De igual manera, para la Corte estas limitaciones contribuyen a la firmeza del contrato administrativo, pues una vez suscrito lo defienden de todo tipo de demandas provenientes de terceros sin interés directo y ajenos a la relación contractual.</w:t>
      </w:r>
    </w:p>
    <w:p w14:paraId="04D53B7C" w14:textId="77777777" w:rsidR="00E73FF1" w:rsidRPr="0085042B" w:rsidRDefault="00E73FF1" w:rsidP="00E73FF1">
      <w:pPr>
        <w:pStyle w:val="Textoindependiente31"/>
        <w:rPr>
          <w:rFonts w:cs="Arial"/>
          <w:sz w:val="24"/>
          <w:szCs w:val="24"/>
          <w:u w:val="none"/>
          <w:lang w:val="es-CO"/>
        </w:rPr>
      </w:pPr>
    </w:p>
    <w:p w14:paraId="0357B0EF" w14:textId="77777777" w:rsidR="00E73FF1" w:rsidRPr="0085042B" w:rsidRDefault="00E73FF1" w:rsidP="00E73FF1">
      <w:pPr>
        <w:pStyle w:val="Textoindependiente31"/>
        <w:rPr>
          <w:rFonts w:cs="Arial"/>
          <w:sz w:val="24"/>
          <w:szCs w:val="24"/>
          <w:u w:val="none"/>
          <w:lang w:val="es-CO"/>
        </w:rPr>
      </w:pPr>
      <w:r w:rsidRPr="0085042B">
        <w:rPr>
          <w:rFonts w:cs="Arial"/>
          <w:sz w:val="24"/>
          <w:szCs w:val="24"/>
          <w:u w:val="none"/>
          <w:lang w:val="es-CO"/>
        </w:rPr>
        <w:t xml:space="preserve">No obstante, considera la Corte que el contenido de la disposición en estudio no se traduce en la desprotección de los derechos de terceros interesados, quienes pueden demandar dentro del plazo de los 30 días a los que se refiere la norma, ni del interés general, pues este, una vez suscrito el contrato, puede defenderse mediante el ejercicio de la acción contractual para pedir su nulidad absoluta, que puede ser alegada por las partes, por el agente del ministerio público, por cualquier persona que acredite un interés directo o declarada de oficio. </w:t>
      </w:r>
    </w:p>
    <w:p w14:paraId="562B6CBB" w14:textId="77777777" w:rsidR="00E73FF1" w:rsidRPr="0085042B" w:rsidRDefault="00E73FF1" w:rsidP="00E73FF1">
      <w:pPr>
        <w:pStyle w:val="Textoindependiente31"/>
        <w:rPr>
          <w:rFonts w:cs="Arial"/>
          <w:sz w:val="24"/>
          <w:szCs w:val="24"/>
          <w:u w:val="none"/>
          <w:lang w:val="es-CO"/>
        </w:rPr>
      </w:pPr>
    </w:p>
    <w:p w14:paraId="5AF72CB5" w14:textId="77777777" w:rsidR="00E73FF1" w:rsidRPr="0085042B" w:rsidRDefault="00E73FF1" w:rsidP="00E73FF1">
      <w:pPr>
        <w:tabs>
          <w:tab w:val="left" w:pos="360"/>
        </w:tabs>
        <w:suppressAutoHyphens w:val="0"/>
        <w:overflowPunct/>
        <w:autoSpaceDE/>
        <w:textAlignment w:val="auto"/>
        <w:rPr>
          <w:color w:val="000000"/>
          <w:shd w:val="clear" w:color="auto" w:fill="FFFFFF"/>
        </w:rPr>
      </w:pPr>
      <w:r w:rsidRPr="0085042B">
        <w:rPr>
          <w:color w:val="000000"/>
          <w:shd w:val="clear" w:color="auto" w:fill="FFFFFF"/>
        </w:rPr>
        <w:lastRenderedPageBreak/>
        <w:t>En conclusión, en vigencia del cambio introducido por la Ley 446 de 1998 es viable cuestionar la legalidad de un acto separable del contrato estatal como el de adjudicación durante los 30 días siguientes a su notificación o comunicación, pero en el caso en el que en dicho lapso se suscriba el contrato pertinente, la presunta ilegalidad de esas decisiones debe ser alegada como sustento de la solicitud de declaración de nulidad del negocio jurídico resultante.</w:t>
      </w:r>
    </w:p>
    <w:p w14:paraId="577AEF5F" w14:textId="77777777" w:rsidR="00E73FF1" w:rsidRPr="0085042B" w:rsidRDefault="00E73FF1" w:rsidP="00E73FF1">
      <w:pPr>
        <w:tabs>
          <w:tab w:val="left" w:pos="360"/>
        </w:tabs>
        <w:suppressAutoHyphens w:val="0"/>
        <w:overflowPunct/>
        <w:autoSpaceDE/>
        <w:textAlignment w:val="auto"/>
        <w:rPr>
          <w:color w:val="000000"/>
          <w:shd w:val="clear" w:color="auto" w:fill="FFFFFF"/>
        </w:rPr>
      </w:pPr>
    </w:p>
    <w:p w14:paraId="223E04A0" w14:textId="77777777" w:rsidR="00E73FF1" w:rsidRPr="0085042B" w:rsidRDefault="00E73FF1" w:rsidP="00E73FF1">
      <w:pPr>
        <w:tabs>
          <w:tab w:val="left" w:pos="360"/>
        </w:tabs>
        <w:suppressAutoHyphens w:val="0"/>
        <w:overflowPunct/>
        <w:autoSpaceDE/>
        <w:textAlignment w:val="auto"/>
        <w:rPr>
          <w:color w:val="000000"/>
          <w:shd w:val="clear" w:color="auto" w:fill="FFFFFF"/>
        </w:rPr>
      </w:pPr>
      <w:r w:rsidRPr="0085042B">
        <w:rPr>
          <w:color w:val="000000"/>
          <w:shd w:val="clear" w:color="auto" w:fill="FFFFFF"/>
        </w:rPr>
        <w:t>Adicionalmente, esto encuentra sustento, en el numeral 4 del artículo 44 de la Ley 80 de 1993, que previó como una de las causales de nulidad absoluta del contrato que “</w:t>
      </w:r>
      <w:r w:rsidRPr="0085042B">
        <w:rPr>
          <w:i/>
          <w:color w:val="000000"/>
          <w:shd w:val="clear" w:color="auto" w:fill="FFFFFF"/>
        </w:rPr>
        <w:t>se declaren nulos los actos administrativos en que se fundamente</w:t>
      </w:r>
      <w:r w:rsidRPr="0085042B">
        <w:rPr>
          <w:color w:val="000000"/>
          <w:shd w:val="clear" w:color="auto" w:fill="FFFFFF"/>
        </w:rPr>
        <w:t xml:space="preserve">”. La señalada posición ha sido sostenida por esta Sección en repetidas ocasiones, en los siguientes términos </w:t>
      </w:r>
      <w:r w:rsidRPr="0085042B">
        <w:rPr>
          <w:color w:val="000000"/>
        </w:rPr>
        <w:t>(se transcribe de forma literal, incluso con posibles errores)</w:t>
      </w:r>
      <w:r w:rsidRPr="0085042B">
        <w:rPr>
          <w:color w:val="000000"/>
          <w:shd w:val="clear" w:color="auto" w:fill="FFFFFF"/>
        </w:rPr>
        <w:t>:</w:t>
      </w:r>
    </w:p>
    <w:p w14:paraId="4044444B" w14:textId="77777777" w:rsidR="00E73FF1" w:rsidRPr="0085042B" w:rsidRDefault="00E73FF1" w:rsidP="00E73FF1">
      <w:pPr>
        <w:tabs>
          <w:tab w:val="left" w:pos="360"/>
        </w:tabs>
        <w:suppressAutoHyphens w:val="0"/>
        <w:overflowPunct/>
        <w:autoSpaceDE/>
        <w:textAlignment w:val="auto"/>
        <w:rPr>
          <w:color w:val="000000"/>
          <w:shd w:val="clear" w:color="auto" w:fill="FFFFFF"/>
        </w:rPr>
      </w:pPr>
    </w:p>
    <w:p w14:paraId="15FCC6BE" w14:textId="77777777" w:rsidR="00E73FF1" w:rsidRPr="0085042B" w:rsidRDefault="00E73FF1" w:rsidP="00E73FF1">
      <w:pPr>
        <w:spacing w:line="240" w:lineRule="auto"/>
        <w:ind w:left="567" w:right="567"/>
        <w:rPr>
          <w:i/>
          <w:color w:val="000000"/>
          <w:sz w:val="22"/>
        </w:rPr>
      </w:pPr>
      <w:r w:rsidRPr="0085042B">
        <w:rPr>
          <w:i/>
          <w:color w:val="000000"/>
          <w:sz w:val="22"/>
        </w:rPr>
        <w:t>“En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p>
    <w:p w14:paraId="1D61242B" w14:textId="77777777" w:rsidR="00E73FF1" w:rsidRPr="0085042B" w:rsidRDefault="00E73FF1" w:rsidP="00E73FF1">
      <w:pPr>
        <w:spacing w:line="240" w:lineRule="auto"/>
        <w:ind w:left="567" w:right="567"/>
        <w:rPr>
          <w:i/>
          <w:color w:val="000000"/>
          <w:sz w:val="22"/>
        </w:rPr>
      </w:pPr>
    </w:p>
    <w:p w14:paraId="32B5417D" w14:textId="77777777" w:rsidR="00E73FF1" w:rsidRPr="0085042B" w:rsidRDefault="00E73FF1" w:rsidP="00E73FF1">
      <w:pPr>
        <w:spacing w:line="240" w:lineRule="auto"/>
        <w:ind w:left="567" w:right="567"/>
        <w:rPr>
          <w:i/>
          <w:color w:val="000000"/>
          <w:sz w:val="22"/>
        </w:rPr>
      </w:pPr>
      <w:r w:rsidRPr="0085042B">
        <w:rPr>
          <w:i/>
          <w:color w:val="000000"/>
          <w:sz w:val="22"/>
        </w:rPr>
        <w:t>“1º. En ejercicio de la acción de simple nulidad dentro de los 30 días siguientes a su comunicación, notificación o publicación, siempre que no se hubiere celebrado el correspondiente contrato;</w:t>
      </w:r>
    </w:p>
    <w:p w14:paraId="6E9E3744" w14:textId="77777777" w:rsidR="00E73FF1" w:rsidRPr="0085042B" w:rsidRDefault="00E73FF1" w:rsidP="00E73FF1">
      <w:pPr>
        <w:spacing w:line="240" w:lineRule="auto"/>
        <w:ind w:left="567" w:right="567"/>
        <w:rPr>
          <w:i/>
          <w:color w:val="000000"/>
          <w:sz w:val="22"/>
        </w:rPr>
      </w:pPr>
    </w:p>
    <w:p w14:paraId="46BB2A42" w14:textId="77777777" w:rsidR="00E73FF1" w:rsidRPr="0085042B" w:rsidRDefault="00E73FF1" w:rsidP="00E73FF1">
      <w:pPr>
        <w:spacing w:line="240" w:lineRule="auto"/>
        <w:ind w:left="567" w:right="567"/>
        <w:rPr>
          <w:i/>
          <w:color w:val="000000"/>
          <w:sz w:val="22"/>
        </w:rPr>
      </w:pPr>
      <w:r w:rsidRPr="0085042B">
        <w:rPr>
          <w:i/>
          <w:color w:val="000000"/>
          <w:sz w:val="22"/>
        </w:rPr>
        <w:t>“2º. En ejercicio de la acción de nulidad y restablecimiento del derecho, dentro de los 30 días siguientes a su comunicación, notificación o publicación, siempre que no se hubiere celebrado el correspondiente contrato;</w:t>
      </w:r>
    </w:p>
    <w:p w14:paraId="1550F7E0" w14:textId="77777777" w:rsidR="00E73FF1" w:rsidRPr="0085042B" w:rsidRDefault="00E73FF1" w:rsidP="00E73FF1">
      <w:pPr>
        <w:spacing w:line="240" w:lineRule="auto"/>
        <w:ind w:left="567" w:right="567"/>
        <w:rPr>
          <w:i/>
          <w:color w:val="000000"/>
          <w:sz w:val="22"/>
        </w:rPr>
      </w:pPr>
    </w:p>
    <w:p w14:paraId="5E42144E" w14:textId="77777777" w:rsidR="00E73FF1" w:rsidRPr="0085042B" w:rsidRDefault="00E73FF1" w:rsidP="00E73FF1">
      <w:pPr>
        <w:spacing w:line="240" w:lineRule="auto"/>
        <w:ind w:left="567" w:right="567"/>
        <w:rPr>
          <w:i/>
          <w:color w:val="000000"/>
          <w:sz w:val="22"/>
        </w:rPr>
      </w:pPr>
      <w:r w:rsidRPr="0085042B">
        <w:rPr>
          <w:i/>
          <w:color w:val="000000"/>
          <w:sz w:val="22"/>
        </w:rPr>
        <w:t>“3º. En ejercicio de la acción contractual, la cual supone la celebración previa del correspondiente contrato adjudicado y sólo como causal de nulidad del mismo, dentro de los dos años siguientes a tal celebración.</w:t>
      </w:r>
    </w:p>
    <w:p w14:paraId="2811DC90" w14:textId="77777777" w:rsidR="00E73FF1" w:rsidRPr="0085042B" w:rsidRDefault="00E73FF1" w:rsidP="00E73FF1">
      <w:pPr>
        <w:spacing w:line="240" w:lineRule="auto"/>
        <w:ind w:left="567" w:right="567"/>
        <w:rPr>
          <w:i/>
          <w:color w:val="000000"/>
          <w:sz w:val="22"/>
        </w:rPr>
      </w:pPr>
    </w:p>
    <w:p w14:paraId="50474D30" w14:textId="77777777" w:rsidR="00E73FF1" w:rsidRPr="0085042B" w:rsidRDefault="00E73FF1" w:rsidP="00E73FF1">
      <w:pPr>
        <w:spacing w:line="240" w:lineRule="auto"/>
        <w:ind w:left="567" w:right="567"/>
        <w:rPr>
          <w:i/>
          <w:color w:val="000000"/>
          <w:sz w:val="22"/>
        </w:rPr>
      </w:pPr>
      <w:r w:rsidRPr="0085042B">
        <w:rPr>
          <w:i/>
          <w:color w:val="000000"/>
          <w:sz w:val="22"/>
        </w:rPr>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deberá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14:paraId="5A691236" w14:textId="77777777" w:rsidR="00E73FF1" w:rsidRPr="0085042B" w:rsidRDefault="00E73FF1" w:rsidP="00E73FF1">
      <w:pPr>
        <w:tabs>
          <w:tab w:val="left" w:pos="360"/>
        </w:tabs>
        <w:spacing w:line="240" w:lineRule="auto"/>
        <w:ind w:left="567" w:right="567"/>
        <w:rPr>
          <w:color w:val="000000"/>
          <w:shd w:val="clear" w:color="auto" w:fill="FFFFFF"/>
        </w:rPr>
      </w:pPr>
      <w:r w:rsidRPr="0085042B">
        <w:rPr>
          <w:i/>
          <w:color w:val="000000"/>
          <w:sz w:val="22"/>
        </w:rPr>
        <w:t xml:space="preserve">Contrario sensu, es decir, 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partir de la nulidad del acto precontractual, que también deberá pretenderse, lo cierto es que en este caso no podrá ya elevarse pretensión patrimonial alguna, puesto que habrá caducado la acción de nulidad y restablecimiento del derecho que se habría </w:t>
      </w:r>
      <w:r w:rsidRPr="0085042B">
        <w:rPr>
          <w:i/>
          <w:color w:val="000000"/>
          <w:sz w:val="22"/>
        </w:rPr>
        <w:lastRenderedPageBreak/>
        <w:t>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w:t>
      </w:r>
      <w:r w:rsidRPr="0085042B">
        <w:rPr>
          <w:rStyle w:val="Refdenotaalpie"/>
          <w:rFonts w:cs="Arial"/>
          <w:color w:val="000000"/>
          <w:sz w:val="22"/>
          <w:shd w:val="clear" w:color="auto" w:fill="FFFFFF"/>
        </w:rPr>
        <w:footnoteReference w:id="38"/>
      </w:r>
      <w:r w:rsidRPr="0085042B">
        <w:rPr>
          <w:i/>
          <w:color w:val="000000"/>
          <w:sz w:val="22"/>
        </w:rPr>
        <w:t>.</w:t>
      </w:r>
    </w:p>
    <w:p w14:paraId="0BEC916A" w14:textId="77777777" w:rsidR="00E73FF1" w:rsidRPr="0085042B" w:rsidRDefault="00E73FF1" w:rsidP="00E73FF1">
      <w:pPr>
        <w:spacing w:line="240" w:lineRule="auto"/>
        <w:ind w:left="567" w:right="567"/>
        <w:rPr>
          <w:i/>
          <w:color w:val="000000"/>
          <w:lang w:val="es-MX"/>
        </w:rPr>
      </w:pPr>
    </w:p>
    <w:p w14:paraId="0D934349" w14:textId="77777777" w:rsidR="00E73FF1" w:rsidRPr="0085042B" w:rsidRDefault="00E73FF1" w:rsidP="00E73FF1">
      <w:pPr>
        <w:rPr>
          <w:color w:val="000000"/>
          <w:lang w:val="es-MX"/>
        </w:rPr>
      </w:pPr>
      <w:r w:rsidRPr="0085042B">
        <w:rPr>
          <w:color w:val="000000"/>
          <w:lang w:val="es-MX"/>
        </w:rPr>
        <w:t>En el presente caso, como ya se vio, la parte actora tuvo conocimiento de la adjudicación de la Licitación Pública n.º 004 de 1999 el 8 de marzo de 2000, el Contrato n.º FLA-016-2000 se suscribió el 29 de marzo siguiente y la demanda se presentó el 10 de abril de 2000, esto es,  cuando se presentó la demanda, en ejercicio de la acción de nulidad y restablecimiento del derecho, en contra del acto administrativo de adjudicación, ya se había firmado el negocio jurídico adjudicado, por lo cual resulta evidente que la acción incoada no era la adecuada, puesto que, a la luz de las anteriores consideraciones, si el proponente inconforme con la decisión pretendía cuestionar su validez y obtener el restablecimiento del derecho vulnerado, frente a la existencia del contrato debidamente perfeccionado resultaba imperioso el ejercicio de la acción contractual para alegar como causal de nulidad absoluta del negocio jurídico, la ilegalidad del acto previo, cuya nulidad también se debía pedir en la demanda.</w:t>
      </w:r>
    </w:p>
    <w:p w14:paraId="65890EB3" w14:textId="77777777" w:rsidR="00E73FF1" w:rsidRPr="0085042B" w:rsidRDefault="00E73FF1" w:rsidP="00E73FF1">
      <w:pPr>
        <w:rPr>
          <w:color w:val="000000"/>
          <w:lang w:val="es-MX"/>
        </w:rPr>
      </w:pPr>
    </w:p>
    <w:p w14:paraId="5605D84B" w14:textId="77777777" w:rsidR="00E73FF1" w:rsidRPr="0085042B" w:rsidRDefault="00E73FF1" w:rsidP="00E73FF1">
      <w:pPr>
        <w:rPr>
          <w:color w:val="000000"/>
          <w:lang w:val="es-MX"/>
        </w:rPr>
      </w:pPr>
      <w:r w:rsidRPr="0085042B">
        <w:rPr>
          <w:color w:val="000000"/>
          <w:lang w:val="es-MX"/>
        </w:rPr>
        <w:t xml:space="preserve">En otros términos, pese a que la actora afirmó bajo juramento que no se le notificó el acto de adjudicación, sí se le comunicó y del escrito de la demanda se puede inferir que no le era ajena la posibilidad de la suscripción del contrato, no solo porque tuvo conocimiento del referido acto desde el 8 de marzo de 2000, sino porque solicitó la copia del negocio jurídico que habría podido suscribirse con ocasión de dicha adjudicación. </w:t>
      </w:r>
    </w:p>
    <w:p w14:paraId="3947AB55" w14:textId="77777777" w:rsidR="00E73FF1" w:rsidRPr="0085042B" w:rsidRDefault="00E73FF1" w:rsidP="00E73FF1">
      <w:pPr>
        <w:rPr>
          <w:color w:val="000000"/>
          <w:lang w:val="es-MX"/>
        </w:rPr>
      </w:pPr>
    </w:p>
    <w:p w14:paraId="0D84BFE9" w14:textId="77777777" w:rsidR="00E73FF1" w:rsidRPr="0085042B" w:rsidRDefault="00E73FF1" w:rsidP="00E73FF1">
      <w:pPr>
        <w:rPr>
          <w:color w:val="000000"/>
          <w:lang w:val="es-CO"/>
        </w:rPr>
      </w:pPr>
      <w:r w:rsidRPr="0085042B">
        <w:rPr>
          <w:color w:val="000000"/>
          <w:lang w:val="es-MX"/>
        </w:rPr>
        <w:t>En efecto, dentro del acápite de solicitudes previas del libelo demandatorio se solicitó que con el auto admisorio de la demanda se requiriera a la Fábrica de Licores y Alcoholes de Antioquia con el fin de que remitiera copia auténtica de todos los antecedentes y documentos relacionados con la Licitación Pública n.º 004 de 1999, “</w:t>
      </w:r>
      <w:r w:rsidRPr="0085042B">
        <w:rPr>
          <w:i/>
          <w:color w:val="000000"/>
          <w:lang w:val="es-MX"/>
        </w:rPr>
        <w:t>incluyendo el contrato celebrado”</w:t>
      </w:r>
      <w:r w:rsidRPr="0085042B">
        <w:rPr>
          <w:color w:val="000000"/>
          <w:lang w:val="es-MX"/>
        </w:rPr>
        <w:t>, solicitud reiterada en el capítulo de pruebas del mismo escrito</w:t>
      </w:r>
      <w:r w:rsidRPr="0085042B">
        <w:rPr>
          <w:rStyle w:val="Refdenotaalpie"/>
          <w:color w:val="000000"/>
          <w:lang w:val="es-MX"/>
        </w:rPr>
        <w:footnoteReference w:id="39"/>
      </w:r>
      <w:r w:rsidRPr="0085042B">
        <w:rPr>
          <w:color w:val="000000"/>
          <w:lang w:val="es-MX"/>
        </w:rPr>
        <w:t xml:space="preserve">, sumado al hecho de que, con ocasión del auto inadmisorio proferido por el </w:t>
      </w:r>
      <w:r w:rsidRPr="0085042B">
        <w:rPr>
          <w:i/>
          <w:color w:val="000000"/>
          <w:lang w:val="es-MX"/>
        </w:rPr>
        <w:t xml:space="preserve">a quo, </w:t>
      </w:r>
      <w:r w:rsidRPr="0085042B">
        <w:rPr>
          <w:color w:val="000000"/>
          <w:lang w:val="es-MX"/>
        </w:rPr>
        <w:t xml:space="preserve">la parte actora aportó copia auténtica del contrato </w:t>
      </w:r>
      <w:r w:rsidRPr="0085042B">
        <w:rPr>
          <w:color w:val="000000"/>
          <w:lang w:val="es-MX"/>
        </w:rPr>
        <w:lastRenderedPageBreak/>
        <w:t>n.º FLA 016-2000, suscrito entre la entidad demandada y la Unión Temporal Dromayor Pereira S.A. y Héctor Villa Osorio</w:t>
      </w:r>
      <w:r w:rsidRPr="0085042B">
        <w:rPr>
          <w:rStyle w:val="Refdenotaalpie"/>
          <w:color w:val="000000"/>
          <w:lang w:val="es-MX"/>
        </w:rPr>
        <w:footnoteReference w:id="40"/>
      </w:r>
      <w:r w:rsidRPr="0085042B">
        <w:rPr>
          <w:color w:val="000000"/>
          <w:lang w:val="es-MX"/>
        </w:rPr>
        <w:t>.</w:t>
      </w:r>
    </w:p>
    <w:p w14:paraId="38C313EE" w14:textId="77777777" w:rsidR="00E73FF1" w:rsidRPr="0085042B" w:rsidRDefault="00E73FF1" w:rsidP="00E73FF1">
      <w:pPr>
        <w:rPr>
          <w:color w:val="000000"/>
          <w:lang w:val="es-MX"/>
        </w:rPr>
      </w:pPr>
    </w:p>
    <w:p w14:paraId="2EE05379" w14:textId="77777777" w:rsidR="00E73FF1" w:rsidRPr="0085042B" w:rsidRDefault="00E73FF1" w:rsidP="00E73FF1">
      <w:pPr>
        <w:rPr>
          <w:color w:val="000000"/>
          <w:lang w:val="es-CO"/>
        </w:rPr>
      </w:pPr>
      <w:r w:rsidRPr="0085042B">
        <w:rPr>
          <w:color w:val="000000"/>
          <w:lang w:val="es-CO"/>
        </w:rPr>
        <w:t xml:space="preserve">Es del caso precisar que, aún en el evento de que se tuviera por comunicada la adjudicación el 10 de abril de 2000, fecha en la que se hizo la presentación de la demanda, en el </w:t>
      </w:r>
      <w:r w:rsidRPr="0085042B">
        <w:rPr>
          <w:i/>
          <w:color w:val="000000"/>
          <w:lang w:val="es-CO"/>
        </w:rPr>
        <w:t>sub judice</w:t>
      </w:r>
      <w:r w:rsidRPr="0085042B">
        <w:rPr>
          <w:color w:val="000000"/>
          <w:lang w:val="es-CO"/>
        </w:rPr>
        <w:t xml:space="preserve"> no está en discusión la oportunidad de la acción incoada sino la vía procesal adecuada, por cuanto era previsible que para esa fecha ya se hubiera suscrito el contrato, dado el momento en que la parte actora tuvo conocimiento del acto -8 de marzo de 2000- y sus propias afirmaciones de acuerdo con las cuales solicitó copia del negocio jurídico.</w:t>
      </w:r>
    </w:p>
    <w:p w14:paraId="6EEF23C5" w14:textId="77777777" w:rsidR="00E73FF1" w:rsidRPr="0085042B" w:rsidRDefault="00E73FF1" w:rsidP="00E73FF1">
      <w:pPr>
        <w:rPr>
          <w:color w:val="000000"/>
          <w:lang w:val="es-CO"/>
        </w:rPr>
      </w:pPr>
    </w:p>
    <w:p w14:paraId="673C1C19" w14:textId="77777777" w:rsidR="00E73FF1" w:rsidRPr="0085042B" w:rsidRDefault="00E73FF1" w:rsidP="00E73FF1">
      <w:pPr>
        <w:rPr>
          <w:color w:val="000000"/>
          <w:lang w:val="es-CO"/>
        </w:rPr>
      </w:pPr>
      <w:r w:rsidRPr="0085042B">
        <w:rPr>
          <w:color w:val="000000"/>
          <w:lang w:val="es-CO"/>
        </w:rPr>
        <w:t>Bajo esa misma línea, es dable afirmar que no le era imprevisible al actor tener certeza de la suscripción del contrato, al ser una disposición legal la publicación del mismo en la gaceta oficial de la entidad, de conformidad con lo establecido en el artículo 41 parágrafo 3 de la Ley 80 de 1993, vigente para la época en que se adelantó la licitación pública que originó la controversia</w:t>
      </w:r>
      <w:r w:rsidRPr="0085042B">
        <w:rPr>
          <w:rStyle w:val="Refdenotaalpie"/>
          <w:rFonts w:cs="Arial"/>
          <w:color w:val="000000"/>
          <w:lang w:val="es-CO"/>
        </w:rPr>
        <w:footnoteReference w:id="41"/>
      </w:r>
      <w:r w:rsidRPr="0085042B">
        <w:rPr>
          <w:color w:val="000000"/>
          <w:lang w:val="es-CO"/>
        </w:rPr>
        <w:t>, en consonancia con el artículo 24 del Decreto 679 de 1994</w:t>
      </w:r>
      <w:r w:rsidRPr="0085042B">
        <w:rPr>
          <w:rStyle w:val="Refdenotaalpie"/>
          <w:rFonts w:cs="Arial"/>
          <w:color w:val="000000"/>
          <w:lang w:val="es-CO"/>
        </w:rPr>
        <w:footnoteReference w:id="42"/>
      </w:r>
      <w:r w:rsidRPr="0085042B">
        <w:rPr>
          <w:color w:val="000000"/>
          <w:lang w:val="es-CO"/>
        </w:rPr>
        <w:t>.</w:t>
      </w:r>
    </w:p>
    <w:p w14:paraId="080EDBB4" w14:textId="77777777" w:rsidR="00E73FF1" w:rsidRPr="0085042B" w:rsidRDefault="00E73FF1" w:rsidP="00E73FF1">
      <w:pPr>
        <w:rPr>
          <w:color w:val="000000"/>
          <w:lang w:val="es-CO"/>
        </w:rPr>
      </w:pPr>
    </w:p>
    <w:p w14:paraId="3D0F3C17" w14:textId="77777777" w:rsidR="00E73FF1" w:rsidRPr="0085042B" w:rsidRDefault="00E73FF1" w:rsidP="00E73FF1">
      <w:pPr>
        <w:rPr>
          <w:color w:val="000000"/>
          <w:lang w:val="es-CO"/>
        </w:rPr>
      </w:pPr>
      <w:r w:rsidRPr="0085042B">
        <w:rPr>
          <w:color w:val="000000"/>
          <w:lang w:val="es-CO"/>
        </w:rPr>
        <w:t>De igual forma, observa la Sala que el inciso 9 del artículo 30 de la Ley 80 de 1993 dispuso:</w:t>
      </w:r>
    </w:p>
    <w:p w14:paraId="0C8124F0" w14:textId="77777777" w:rsidR="00E73FF1" w:rsidRPr="0085042B" w:rsidRDefault="00E73FF1" w:rsidP="00E73FF1">
      <w:pPr>
        <w:rPr>
          <w:color w:val="000000"/>
          <w:lang w:val="es-CO"/>
        </w:rPr>
      </w:pPr>
    </w:p>
    <w:p w14:paraId="5172B1DA" w14:textId="77777777" w:rsidR="00E73FF1" w:rsidRPr="0085042B" w:rsidRDefault="00E73FF1" w:rsidP="00E73FF1">
      <w:pPr>
        <w:spacing w:line="240" w:lineRule="auto"/>
        <w:ind w:left="567" w:right="567"/>
        <w:rPr>
          <w:i/>
          <w:iCs/>
          <w:color w:val="000000"/>
          <w:sz w:val="22"/>
          <w:lang w:val="es-CO"/>
        </w:rPr>
      </w:pPr>
      <w:r w:rsidRPr="0085042B">
        <w:rPr>
          <w:i/>
          <w:iCs/>
          <w:color w:val="000000"/>
          <w:sz w:val="22"/>
          <w:lang w:val="es-CO"/>
        </w:rPr>
        <w:t>“(…) 9. Los plazos para efectuar la adjudicación y para la firma del contrato se señalarán en los pliegos de condiciones o términos de referencia, teniendo en cuenta su naturaleza, objeto y cuantía.</w:t>
      </w:r>
    </w:p>
    <w:p w14:paraId="381DC78C" w14:textId="77777777" w:rsidR="00E73FF1" w:rsidRPr="0085042B" w:rsidRDefault="00E73FF1" w:rsidP="00E73FF1">
      <w:pPr>
        <w:spacing w:line="240" w:lineRule="auto"/>
        <w:ind w:left="567" w:right="567"/>
        <w:rPr>
          <w:i/>
          <w:iCs/>
          <w:color w:val="000000"/>
          <w:sz w:val="22"/>
          <w:lang w:val="es-CO"/>
        </w:rPr>
      </w:pPr>
    </w:p>
    <w:p w14:paraId="697D070B" w14:textId="77777777" w:rsidR="00E73FF1" w:rsidRPr="0085042B" w:rsidRDefault="00E73FF1" w:rsidP="00E73FF1">
      <w:pPr>
        <w:spacing w:line="240" w:lineRule="auto"/>
        <w:ind w:left="567" w:right="567"/>
        <w:rPr>
          <w:color w:val="000000"/>
          <w:sz w:val="22"/>
          <w:lang w:val="es-CO"/>
        </w:rPr>
      </w:pPr>
      <w:r w:rsidRPr="0085042B">
        <w:rPr>
          <w:i/>
          <w:iCs/>
          <w:color w:val="000000"/>
          <w:sz w:val="22"/>
          <w:lang w:val="es-CO"/>
        </w:rPr>
        <w:t>“El jefe o representante de la entidad podrá prorrogar dichos plazos antes de su vencimiento y por un término total no mayor a la mitad del inicialmente fijado, siempre que las necesidades de la administración así lo exijan. (…)”.</w:t>
      </w:r>
    </w:p>
    <w:p w14:paraId="7C84323E" w14:textId="77777777" w:rsidR="00E73FF1" w:rsidRPr="0085042B" w:rsidRDefault="00E73FF1" w:rsidP="00E73FF1">
      <w:pPr>
        <w:rPr>
          <w:color w:val="000000"/>
          <w:lang w:val="es-CO"/>
        </w:rPr>
      </w:pPr>
    </w:p>
    <w:p w14:paraId="76888163" w14:textId="77777777" w:rsidR="00E73FF1" w:rsidRPr="0085042B" w:rsidRDefault="00E73FF1" w:rsidP="00E73FF1">
      <w:pPr>
        <w:rPr>
          <w:color w:val="000000"/>
          <w:lang w:val="es-CO"/>
        </w:rPr>
      </w:pPr>
      <w:r w:rsidRPr="0085042B">
        <w:rPr>
          <w:color w:val="000000"/>
          <w:lang w:val="es-CO"/>
        </w:rPr>
        <w:t xml:space="preserve">Por lo anterior, es claro que, todos los participantes de un proceso licitatorio tienen conocimiento de las fechas en que se surtirán cada una de las etapas que lo componen, inclusive la fecha establecida para la firma del contrato, por cuanto se </w:t>
      </w:r>
      <w:r w:rsidRPr="0085042B">
        <w:rPr>
          <w:color w:val="000000"/>
          <w:lang w:val="es-CO"/>
        </w:rPr>
        <w:lastRenderedPageBreak/>
        <w:t>encuentran anunciadas en el respectivo pliego de condiciones que, en este caso, no fue aportado al proceso.</w:t>
      </w:r>
    </w:p>
    <w:p w14:paraId="6DD89F62" w14:textId="77777777" w:rsidR="00E73FF1" w:rsidRPr="0085042B" w:rsidRDefault="00E73FF1" w:rsidP="00E73FF1">
      <w:pPr>
        <w:rPr>
          <w:color w:val="000000"/>
          <w:lang w:val="es-CO"/>
        </w:rPr>
      </w:pPr>
    </w:p>
    <w:p w14:paraId="2A676C83" w14:textId="77777777" w:rsidR="00E73FF1" w:rsidRPr="0085042B" w:rsidRDefault="00E73FF1" w:rsidP="00E73FF1">
      <w:pPr>
        <w:rPr>
          <w:color w:val="000000"/>
          <w:lang w:val="es-CO"/>
        </w:rPr>
      </w:pPr>
      <w:r w:rsidRPr="0085042B">
        <w:rPr>
          <w:color w:val="000000"/>
          <w:lang w:val="es-CO"/>
        </w:rPr>
        <w:t>Sobre el conocimiento de la fecha en la que deberá suscribirse el contrato, la Corte Constitucional indicó</w:t>
      </w:r>
      <w:r w:rsidRPr="0085042B">
        <w:rPr>
          <w:rStyle w:val="Refdenotaalpie"/>
          <w:rFonts w:cs="Arial"/>
          <w:i/>
          <w:color w:val="000000"/>
          <w:lang w:val="es-CO"/>
        </w:rPr>
        <w:footnoteReference w:id="43"/>
      </w:r>
      <w:r w:rsidRPr="0085042B">
        <w:rPr>
          <w:color w:val="000000"/>
          <w:lang w:val="es-CO"/>
        </w:rPr>
        <w:t xml:space="preserve"> </w:t>
      </w:r>
      <w:r w:rsidRPr="0085042B">
        <w:rPr>
          <w:color w:val="000000"/>
        </w:rPr>
        <w:t>(se transcribe de forma literal, incluso con posibles errores)</w:t>
      </w:r>
      <w:r w:rsidRPr="0085042B">
        <w:rPr>
          <w:color w:val="000000"/>
          <w:lang w:val="es-CO"/>
        </w:rPr>
        <w:t>:</w:t>
      </w:r>
    </w:p>
    <w:p w14:paraId="5CBAA572" w14:textId="77777777" w:rsidR="00E73FF1" w:rsidRPr="0085042B" w:rsidRDefault="00E73FF1" w:rsidP="00E73FF1">
      <w:pPr>
        <w:rPr>
          <w:color w:val="000000"/>
          <w:lang w:val="es-CO"/>
        </w:rPr>
      </w:pPr>
    </w:p>
    <w:p w14:paraId="7F69E7AB" w14:textId="77777777" w:rsidR="00E73FF1" w:rsidRPr="0085042B" w:rsidRDefault="00E73FF1" w:rsidP="00E73FF1">
      <w:pPr>
        <w:spacing w:line="240" w:lineRule="auto"/>
        <w:ind w:left="567" w:right="567"/>
        <w:rPr>
          <w:i/>
          <w:color w:val="000000"/>
          <w:sz w:val="22"/>
          <w:lang w:val="es-CO"/>
        </w:rPr>
      </w:pPr>
      <w:r w:rsidRPr="0085042B">
        <w:rPr>
          <w:i/>
          <w:color w:val="000000"/>
          <w:sz w:val="22"/>
          <w:lang w:val="es-CO"/>
        </w:rPr>
        <w:t xml:space="preserve">“La fecha de celebración del contrato ha de estar claramente establecida en los términos de referencia, que son de público conocimiento por mandato del artículo 24 de la Ley 80 de 1993, y cualquier prórroga introducida por el jefe o representante de la entidad contratante habrá de efectuarse mediante acto administrativo sujeto al principio de publicidad que ha de guiar la actividad administrativa por mandato constitucional (art. 209, C.P.). </w:t>
      </w:r>
    </w:p>
    <w:p w14:paraId="1CE9827C" w14:textId="77777777" w:rsidR="00E73FF1" w:rsidRPr="0085042B" w:rsidRDefault="00E73FF1" w:rsidP="00E73FF1">
      <w:pPr>
        <w:spacing w:line="240" w:lineRule="auto"/>
        <w:ind w:left="567" w:right="567"/>
        <w:rPr>
          <w:i/>
          <w:color w:val="000000"/>
          <w:sz w:val="22"/>
          <w:lang w:val="es-CO"/>
        </w:rPr>
      </w:pPr>
    </w:p>
    <w:p w14:paraId="453F9029" w14:textId="77777777" w:rsidR="00E73FF1" w:rsidRPr="0085042B" w:rsidRDefault="00E73FF1" w:rsidP="00E73FF1">
      <w:pPr>
        <w:spacing w:line="240" w:lineRule="auto"/>
        <w:ind w:left="567" w:right="567"/>
        <w:rPr>
          <w:i/>
          <w:color w:val="000000"/>
          <w:sz w:val="22"/>
          <w:lang w:val="es-CO"/>
        </w:rPr>
      </w:pPr>
      <w:r w:rsidRPr="0085042B">
        <w:rPr>
          <w:i/>
          <w:color w:val="000000"/>
          <w:sz w:val="22"/>
          <w:lang w:val="es-CO"/>
        </w:rPr>
        <w:t>“Ahora bien, considera la Corte que la disposición en comento impone una carga procesal mínima a los interesados en ejercer la acción de nulidad o nulidad y restablecimiento del derecho contra los actos precontractuales, a saber, la de estar debida y oportunamente informados, por medio de los canales públicos establecidos en la ley, sobre la fecha en que según los pliegos de condiciones, términos de referencia o actos administrativos pertinentes habrá de suscribirse el contrato administrativo correspondiente. Se trata de una carga que no resulta manifiestamente desproporcionada ni irrazonable, y que -se reitera- es de fácil cumplimiento, por la naturaleza pública tanto de los pliegos de condiciones y términos de referencia como de los actos administrativos mediante los cuales se introduzcan modificaciones a la fecha de celebración del contrato inicialmente prevista (art. 24, Ley 80 de 1993).</w:t>
      </w:r>
    </w:p>
    <w:p w14:paraId="328A48D1" w14:textId="77777777" w:rsidR="00E73FF1" w:rsidRPr="0085042B" w:rsidRDefault="00E73FF1" w:rsidP="00E73FF1">
      <w:pPr>
        <w:spacing w:line="240" w:lineRule="auto"/>
        <w:ind w:left="567" w:right="567"/>
        <w:rPr>
          <w:i/>
          <w:color w:val="000000"/>
          <w:sz w:val="22"/>
          <w:lang w:val="es-CO"/>
        </w:rPr>
      </w:pPr>
    </w:p>
    <w:p w14:paraId="7E183E2F" w14:textId="77777777" w:rsidR="00E73FF1" w:rsidRPr="0085042B" w:rsidRDefault="00E73FF1" w:rsidP="00E73FF1">
      <w:pPr>
        <w:spacing w:line="240" w:lineRule="auto"/>
        <w:ind w:left="567" w:right="567"/>
        <w:rPr>
          <w:color w:val="000000"/>
          <w:sz w:val="22"/>
          <w:lang w:val="es-CO"/>
        </w:rPr>
      </w:pPr>
      <w:r w:rsidRPr="0085042B">
        <w:rPr>
          <w:i/>
          <w:color w:val="000000"/>
          <w:sz w:val="22"/>
          <w:lang w:val="es-CO"/>
        </w:rPr>
        <w:t>“(…) No sobra reiterar que, en cualquier caso, los interesados que se sientan afectados por los actos precontractuales podrán acudir, para la defensa de sus derechos después de la celebración del contrato, a la vía procesal de la acción contractual (…)”.</w:t>
      </w:r>
    </w:p>
    <w:p w14:paraId="03167D20" w14:textId="77777777" w:rsidR="00E73FF1" w:rsidRPr="0085042B" w:rsidRDefault="00E73FF1" w:rsidP="00E73FF1">
      <w:pPr>
        <w:rPr>
          <w:color w:val="000000"/>
        </w:rPr>
      </w:pPr>
    </w:p>
    <w:p w14:paraId="10CAE568" w14:textId="77777777" w:rsidR="00E73FF1" w:rsidRPr="0085042B" w:rsidRDefault="00E73FF1" w:rsidP="00E73FF1">
      <w:pPr>
        <w:rPr>
          <w:color w:val="000000"/>
        </w:rPr>
      </w:pPr>
      <w:r w:rsidRPr="0085042B">
        <w:rPr>
          <w:color w:val="000000"/>
        </w:rPr>
        <w:t>De acuerdo con lo expuesto, tal como lo manifestó el agente del Ministerio Público en su concepto, dado que para la fecha de presentación de la demanda ya se había suscrito el contrato objeto de la adjudicación cuya legalidad cuestiona la actora, la demanda debió presentarse en ejercicio de la acción contractual, toda vez que así lo dispuso la ley y al haberlo hecho a través de la acción de nulidad y restablecimiento del derecho, incurrió en ineptitud sustantiva de la demanda.</w:t>
      </w:r>
    </w:p>
    <w:p w14:paraId="52CF83C6" w14:textId="77777777" w:rsidR="00E73FF1" w:rsidRPr="0085042B" w:rsidRDefault="00E73FF1" w:rsidP="00E73FF1">
      <w:pPr>
        <w:rPr>
          <w:color w:val="000000"/>
        </w:rPr>
      </w:pPr>
    </w:p>
    <w:p w14:paraId="7DFF2E39" w14:textId="77777777" w:rsidR="00E73FF1" w:rsidRPr="0085042B" w:rsidRDefault="00E73FF1" w:rsidP="00E73FF1">
      <w:pPr>
        <w:rPr>
          <w:color w:val="000000"/>
          <w:shd w:val="clear" w:color="auto" w:fill="FFFFFF"/>
        </w:rPr>
      </w:pPr>
      <w:r w:rsidRPr="0085042B">
        <w:rPr>
          <w:color w:val="000000"/>
          <w:shd w:val="clear" w:color="auto" w:fill="FFFFFF"/>
        </w:rPr>
        <w:t>Lo anterior, en consideración a que en el libelo introductorio no se elevó la pretensión de nulidad absoluta de ese negocio jurídico, al punto que dicho contrato no fue demandado de ninguna forma, determinación de inhibición a la que esta Sala ha llegado en otras ocasiones frente a casos similares</w:t>
      </w:r>
      <w:r w:rsidRPr="0085042B">
        <w:rPr>
          <w:rStyle w:val="Refdenotaalpie"/>
          <w:rFonts w:cs="Arial"/>
          <w:color w:val="000000"/>
          <w:shd w:val="clear" w:color="auto" w:fill="FFFFFF"/>
        </w:rPr>
        <w:footnoteReference w:id="44"/>
      </w:r>
      <w:r w:rsidRPr="0085042B">
        <w:rPr>
          <w:color w:val="000000"/>
          <w:shd w:val="clear" w:color="auto" w:fill="FFFFFF"/>
        </w:rPr>
        <w:t>.</w:t>
      </w:r>
    </w:p>
    <w:p w14:paraId="419D451B" w14:textId="77777777" w:rsidR="00E73FF1" w:rsidRPr="0085042B" w:rsidRDefault="00E73FF1" w:rsidP="00E73FF1">
      <w:pPr>
        <w:rPr>
          <w:color w:val="000000"/>
        </w:rPr>
      </w:pPr>
    </w:p>
    <w:p w14:paraId="4970F526" w14:textId="77777777" w:rsidR="00E73FF1" w:rsidRPr="0085042B" w:rsidRDefault="00E73FF1" w:rsidP="00E73FF1">
      <w:pPr>
        <w:rPr>
          <w:color w:val="000000"/>
        </w:rPr>
      </w:pPr>
      <w:r w:rsidRPr="0085042B">
        <w:rPr>
          <w:color w:val="000000"/>
        </w:rPr>
        <w:t xml:space="preserve">Por consiguiente, aunque en principio la competencia de esta Sala se encuentra limitada por los argumentos esgrimidos en el recurso de alzada, aunado a la imposibilidad de empeorar la situación del apelante único, dicha regla general admite algunas excepciones que, de configurarse, deberán ser decretadas por el juez de la instancia superior, aun cuando no hubieren sido objeto de pronunciamiento por parte del juez </w:t>
      </w:r>
      <w:r w:rsidRPr="0085042B">
        <w:rPr>
          <w:i/>
          <w:color w:val="000000"/>
        </w:rPr>
        <w:t>a quo</w:t>
      </w:r>
      <w:r w:rsidRPr="0085042B">
        <w:rPr>
          <w:color w:val="000000"/>
        </w:rPr>
        <w:t xml:space="preserve"> o no hayan sido propuestas por las partes. Así lo ha señalado la Sala Plena de esta Sección, al disponer</w:t>
      </w:r>
      <w:r w:rsidRPr="0085042B">
        <w:rPr>
          <w:rStyle w:val="Refdenotaalpie"/>
          <w:rFonts w:cs="Arial"/>
          <w:iCs/>
          <w:color w:val="000000"/>
        </w:rPr>
        <w:footnoteReference w:id="45"/>
      </w:r>
      <w:r w:rsidRPr="0085042B">
        <w:rPr>
          <w:color w:val="000000"/>
        </w:rPr>
        <w:t xml:space="preserve"> (se transcribe de forma literal, incluso con posibles errores):</w:t>
      </w:r>
    </w:p>
    <w:p w14:paraId="0D799291" w14:textId="77777777" w:rsidR="00E73FF1" w:rsidRPr="0085042B" w:rsidRDefault="00E73FF1" w:rsidP="00E73FF1">
      <w:pPr>
        <w:rPr>
          <w:color w:val="000000"/>
        </w:rPr>
      </w:pPr>
    </w:p>
    <w:p w14:paraId="0BF87D66" w14:textId="77777777" w:rsidR="00E73FF1" w:rsidRPr="0085042B" w:rsidRDefault="00E73FF1" w:rsidP="00E73FF1">
      <w:pPr>
        <w:pStyle w:val="Textonotapie"/>
        <w:spacing w:line="240" w:lineRule="auto"/>
        <w:ind w:left="567" w:right="567"/>
        <w:rPr>
          <w:rStyle w:val="apple-style-span"/>
          <w:rFonts w:cs="Arial"/>
          <w:i/>
          <w:color w:val="000000"/>
          <w:sz w:val="22"/>
        </w:rPr>
      </w:pPr>
      <w:r w:rsidRPr="0085042B">
        <w:rPr>
          <w:rStyle w:val="apple-style-span"/>
          <w:rFonts w:cs="Arial"/>
          <w:i/>
          <w:color w:val="000000"/>
          <w:sz w:val="22"/>
        </w:rPr>
        <w:t xml:space="preserve">“En relación con la regla general mencionada, según la cual aquellos temas no propuestos en el recurso de alzada estarían llamados a excluirse del conocimiento del juez </w:t>
      </w:r>
      <w:r w:rsidRPr="0085042B">
        <w:rPr>
          <w:rStyle w:val="apple-style-span"/>
          <w:rFonts w:cs="Arial"/>
          <w:i/>
          <w:iCs/>
          <w:color w:val="000000"/>
          <w:sz w:val="22"/>
        </w:rPr>
        <w:t>ad quem,</w:t>
      </w:r>
      <w:r w:rsidRPr="0085042B">
        <w:rPr>
          <w:rStyle w:val="apple-style-span"/>
          <w:rFonts w:cs="Arial"/>
          <w:i/>
          <w:color w:val="000000"/>
          <w:sz w:val="22"/>
        </w:rPr>
        <w:t xml:space="preserve"> conviene precisar que dicha regla general admite algunas excepciones autorizadas por la Constitución Política o por la ley, de las cuales, a título puramente ilustrativo, se encuentran aquellos temas procesales que, de configurarse, el juez de la causa deberá decretarlos de manera oficiosa, no obstante que no hubieren sido propuestos por la parte impugnante como fundamento de su inconformidad para con la decisión censurada.</w:t>
      </w:r>
    </w:p>
    <w:p w14:paraId="56EF78C9" w14:textId="77777777" w:rsidR="00E73FF1" w:rsidRPr="0085042B" w:rsidRDefault="00E73FF1" w:rsidP="00E73FF1">
      <w:pPr>
        <w:pStyle w:val="Textonotapie"/>
        <w:spacing w:line="240" w:lineRule="auto"/>
        <w:ind w:left="567" w:right="567"/>
        <w:rPr>
          <w:rStyle w:val="apple-style-span"/>
          <w:rFonts w:cs="Arial"/>
          <w:i/>
          <w:color w:val="000000"/>
          <w:sz w:val="22"/>
        </w:rPr>
      </w:pPr>
    </w:p>
    <w:p w14:paraId="3BF9A2D8" w14:textId="77777777" w:rsidR="00E73FF1" w:rsidRPr="0085042B" w:rsidRDefault="00E73FF1" w:rsidP="00E73FF1">
      <w:pPr>
        <w:pStyle w:val="Textonotapie"/>
        <w:spacing w:line="240" w:lineRule="auto"/>
        <w:ind w:left="567" w:right="567"/>
        <w:rPr>
          <w:rStyle w:val="apple-style-span"/>
          <w:rFonts w:cs="Arial"/>
          <w:color w:val="000000"/>
          <w:sz w:val="22"/>
        </w:rPr>
      </w:pPr>
      <w:r w:rsidRPr="0085042B">
        <w:rPr>
          <w:rStyle w:val="apple-style-span"/>
          <w:rFonts w:cs="Arial"/>
          <w:i/>
          <w:color w:val="000000"/>
          <w:sz w:val="22"/>
        </w:rPr>
        <w:t xml:space="preserve">“En efecto, la Sección Tercera del Consejo de Estado en múltiples decisiones ha determinado la operancia del fenómeno jurídico procesal de la caducidad de la acción ejercida, así como también ha encontrado acreditada la existencia de la falta de legitimación en la causa –por activa o por pasiva– e incluso </w:t>
      </w:r>
      <w:r w:rsidRPr="0085042B">
        <w:rPr>
          <w:rStyle w:val="apple-style-span"/>
          <w:rFonts w:cs="Arial"/>
          <w:b/>
          <w:i/>
          <w:color w:val="000000"/>
          <w:sz w:val="22"/>
        </w:rPr>
        <w:t xml:space="preserve">la ineptitud sustantiva de la demanda, </w:t>
      </w:r>
      <w:r w:rsidRPr="0085042B">
        <w:rPr>
          <w:rStyle w:val="apple-style-span"/>
          <w:rFonts w:cs="Arial"/>
          <w:i/>
          <w:color w:val="000000"/>
          <w:sz w:val="22"/>
        </w:rPr>
        <w:t>casos</w:t>
      </w:r>
      <w:r w:rsidRPr="0085042B">
        <w:rPr>
          <w:i/>
          <w:color w:val="000000"/>
          <w:sz w:val="22"/>
        </w:rPr>
        <w:t xml:space="preserve"> </w:t>
      </w:r>
      <w:r w:rsidRPr="0085042B">
        <w:rPr>
          <w:rStyle w:val="apple-style-span"/>
          <w:rFonts w:cs="Arial"/>
          <w:i/>
          <w:color w:val="000000"/>
          <w:sz w:val="22"/>
        </w:rPr>
        <w:t xml:space="preserve">en los cuales ha denegado las pretensiones de la demanda o se ha inhibido de fallar, según el caso, con independencia de si tales presupuestos o aspectos hubieren sido, o no, advertidos por el juez de primera instancia o por alguno de los sujetos procesales, incluido, claro está, aquel que hubiere impugnado la providencia del juez </w:t>
      </w:r>
      <w:r w:rsidRPr="0085042B">
        <w:rPr>
          <w:rStyle w:val="apple-style-span"/>
          <w:rFonts w:cs="Arial"/>
          <w:i/>
          <w:iCs/>
          <w:color w:val="000000"/>
          <w:sz w:val="22"/>
        </w:rPr>
        <w:t>a quo”.</w:t>
      </w:r>
      <w:r w:rsidRPr="0085042B">
        <w:rPr>
          <w:rStyle w:val="apple-style-span"/>
          <w:rFonts w:cs="Arial"/>
          <w:iCs/>
          <w:color w:val="000000"/>
          <w:sz w:val="22"/>
        </w:rPr>
        <w:t xml:space="preserve"> (negrilla de la Sala)</w:t>
      </w:r>
    </w:p>
    <w:p w14:paraId="72E8FA8D" w14:textId="77777777" w:rsidR="00E73FF1" w:rsidRPr="0085042B" w:rsidRDefault="00E73FF1" w:rsidP="00E73FF1">
      <w:pPr>
        <w:rPr>
          <w:color w:val="000000"/>
        </w:rPr>
      </w:pPr>
    </w:p>
    <w:p w14:paraId="6EE0FB5D" w14:textId="77777777" w:rsidR="00E73FF1" w:rsidRPr="0085042B" w:rsidRDefault="00E73FF1" w:rsidP="00E73FF1">
      <w:pPr>
        <w:pStyle w:val="Textoindependiente2"/>
        <w:rPr>
          <w:color w:val="000000"/>
        </w:rPr>
      </w:pPr>
      <w:r w:rsidRPr="0085042B">
        <w:rPr>
          <w:color w:val="000000"/>
          <w:lang w:eastAsia="ar-SA"/>
        </w:rPr>
        <w:t xml:space="preserve">Así las cosas, esta Sala revocará la sentencia de primera instancia </w:t>
      </w:r>
      <w:r w:rsidRPr="0085042B">
        <w:rPr>
          <w:color w:val="000000"/>
        </w:rPr>
        <w:t>para inhibirse de fallar por indebida escogencia de la acción, toda vez que la demanda en forma constituye presupuesto de una sentencia de mérito y, por tanto, impide realizar un pronunciamiento de fondo.</w:t>
      </w:r>
    </w:p>
    <w:p w14:paraId="481820A3" w14:textId="77777777" w:rsidR="00E73FF1" w:rsidRPr="0085042B" w:rsidRDefault="00E73FF1" w:rsidP="00E73FF1">
      <w:pPr>
        <w:pStyle w:val="Textoindependiente2"/>
        <w:rPr>
          <w:color w:val="000000"/>
        </w:rPr>
      </w:pPr>
    </w:p>
    <w:p w14:paraId="60A8DECF" w14:textId="77777777" w:rsidR="00E73FF1" w:rsidRPr="0085042B" w:rsidRDefault="00E73FF1" w:rsidP="00E73FF1">
      <w:pPr>
        <w:pStyle w:val="Textoindependiente2"/>
        <w:rPr>
          <w:color w:val="000000"/>
        </w:rPr>
      </w:pPr>
      <w:r w:rsidRPr="0085042B">
        <w:rPr>
          <w:color w:val="000000"/>
        </w:rPr>
        <w:lastRenderedPageBreak/>
        <w:t>En mérito de lo expuesto, el Consejo de Estado, en Sala de lo Contencioso Administrativo, Sección Tercera, Subsección B, administrando justicia en nombre de la República de Colombia y por autoridad de la ley,</w:t>
      </w:r>
    </w:p>
    <w:p w14:paraId="4978A3FC" w14:textId="77777777" w:rsidR="00E73FF1" w:rsidRPr="0085042B" w:rsidRDefault="00E73FF1" w:rsidP="00E73FF1">
      <w:pPr>
        <w:pStyle w:val="Ttulo1"/>
        <w:jc w:val="center"/>
        <w:rPr>
          <w:rFonts w:ascii="Arial" w:hAnsi="Arial" w:cs="Arial"/>
          <w:color w:val="000000"/>
          <w:sz w:val="24"/>
          <w:szCs w:val="24"/>
        </w:rPr>
      </w:pPr>
      <w:r w:rsidRPr="0085042B">
        <w:rPr>
          <w:rFonts w:ascii="Arial" w:hAnsi="Arial" w:cs="Arial"/>
          <w:color w:val="000000"/>
          <w:sz w:val="24"/>
          <w:szCs w:val="24"/>
        </w:rPr>
        <w:t>FALLA</w:t>
      </w:r>
    </w:p>
    <w:p w14:paraId="3437CCE5" w14:textId="77777777" w:rsidR="00E73FF1" w:rsidRPr="0085042B" w:rsidRDefault="00E73FF1" w:rsidP="00E73FF1">
      <w:pPr>
        <w:rPr>
          <w:color w:val="000000"/>
        </w:rPr>
      </w:pPr>
    </w:p>
    <w:p w14:paraId="5BBC3891" w14:textId="77777777" w:rsidR="00E73FF1" w:rsidRPr="0085042B" w:rsidRDefault="00E73FF1" w:rsidP="00E73FF1">
      <w:pPr>
        <w:widowControl w:val="0"/>
        <w:rPr>
          <w:color w:val="000000"/>
        </w:rPr>
      </w:pPr>
      <w:r w:rsidRPr="0085042B">
        <w:rPr>
          <w:b/>
          <w:color w:val="000000"/>
          <w:lang w:val="es-CO"/>
        </w:rPr>
        <w:t xml:space="preserve">REVOCAR </w:t>
      </w:r>
      <w:r w:rsidRPr="0085042B">
        <w:rPr>
          <w:color w:val="000000"/>
          <w:lang w:val="es-CO"/>
        </w:rPr>
        <w:t xml:space="preserve">la sentencia </w:t>
      </w:r>
      <w:r w:rsidRPr="0085042B">
        <w:rPr>
          <w:color w:val="000000"/>
        </w:rPr>
        <w:t>del 13 de octubre de 2011, proferida por el Tribunal Administrativo de Antioquia y en su lugar:</w:t>
      </w:r>
    </w:p>
    <w:p w14:paraId="5ED30889" w14:textId="77777777" w:rsidR="00E73FF1" w:rsidRPr="0085042B" w:rsidRDefault="00E73FF1" w:rsidP="00E73FF1">
      <w:pPr>
        <w:widowControl w:val="0"/>
        <w:jc w:val="center"/>
        <w:rPr>
          <w:color w:val="000000"/>
        </w:rPr>
      </w:pPr>
    </w:p>
    <w:p w14:paraId="60FB6541" w14:textId="77777777" w:rsidR="00E73FF1" w:rsidRPr="0085042B" w:rsidRDefault="00E73FF1" w:rsidP="00E73FF1">
      <w:pPr>
        <w:pStyle w:val="Textoindependiente21"/>
        <w:spacing w:line="360" w:lineRule="auto"/>
        <w:ind w:right="50"/>
        <w:rPr>
          <w:rFonts w:cs="Arial"/>
          <w:color w:val="000000"/>
          <w:szCs w:val="24"/>
        </w:rPr>
      </w:pPr>
      <w:r w:rsidRPr="0085042B">
        <w:rPr>
          <w:rFonts w:cs="Arial"/>
          <w:b/>
          <w:color w:val="000000"/>
          <w:szCs w:val="24"/>
        </w:rPr>
        <w:t>PRIMERO: INHIBIRSE</w:t>
      </w:r>
      <w:r w:rsidRPr="0085042B">
        <w:rPr>
          <w:rFonts w:cs="Arial"/>
          <w:color w:val="000000"/>
          <w:szCs w:val="24"/>
        </w:rPr>
        <w:t xml:space="preserve"> la Sala para resolver de fondo el asunto sometido a su conocimiento por ineptitud sustancial de la demanda.</w:t>
      </w:r>
    </w:p>
    <w:p w14:paraId="276867A0" w14:textId="77777777" w:rsidR="00E73FF1" w:rsidRPr="0085042B" w:rsidRDefault="00E73FF1" w:rsidP="00E73FF1">
      <w:pPr>
        <w:widowControl w:val="0"/>
        <w:rPr>
          <w:color w:val="000000"/>
        </w:rPr>
      </w:pPr>
    </w:p>
    <w:p w14:paraId="6B5C2603" w14:textId="77777777" w:rsidR="00E73FF1" w:rsidRPr="0085042B" w:rsidRDefault="00E73FF1" w:rsidP="00E73FF1">
      <w:pPr>
        <w:widowControl w:val="0"/>
        <w:rPr>
          <w:color w:val="000000"/>
        </w:rPr>
      </w:pPr>
      <w:r w:rsidRPr="0085042B">
        <w:rPr>
          <w:b/>
          <w:color w:val="000000"/>
          <w:lang w:val="es-CO"/>
        </w:rPr>
        <w:t>SEGUNDO:</w:t>
      </w:r>
      <w:r w:rsidRPr="0085042B">
        <w:rPr>
          <w:color w:val="000000"/>
          <w:lang w:val="es-CO"/>
        </w:rPr>
        <w:t xml:space="preserve"> </w:t>
      </w:r>
      <w:r w:rsidRPr="0085042B">
        <w:rPr>
          <w:color w:val="000000"/>
        </w:rPr>
        <w:t xml:space="preserve">En firme esta providencia, </w:t>
      </w:r>
      <w:r w:rsidRPr="0085042B">
        <w:rPr>
          <w:b/>
          <w:color w:val="000000"/>
        </w:rPr>
        <w:t xml:space="preserve">REMITIR </w:t>
      </w:r>
      <w:r w:rsidRPr="0085042B">
        <w:rPr>
          <w:color w:val="000000"/>
        </w:rPr>
        <w:t>la actuación al Tribunal de origen para lo de su cargo.</w:t>
      </w:r>
    </w:p>
    <w:p w14:paraId="492B2678" w14:textId="77777777" w:rsidR="00E73FF1" w:rsidRPr="0085042B" w:rsidRDefault="00E73FF1" w:rsidP="00E73FF1">
      <w:pPr>
        <w:spacing w:line="240" w:lineRule="auto"/>
        <w:rPr>
          <w:color w:val="000000"/>
          <w:lang w:val="es-CO"/>
        </w:rPr>
      </w:pPr>
    </w:p>
    <w:p w14:paraId="176F9A4B" w14:textId="77777777" w:rsidR="00E73FF1" w:rsidRPr="0085042B" w:rsidRDefault="00E73FF1" w:rsidP="00E73FF1">
      <w:pPr>
        <w:spacing w:line="240" w:lineRule="auto"/>
        <w:rPr>
          <w:color w:val="000000"/>
          <w:lang w:val="es-CO"/>
        </w:rPr>
      </w:pPr>
    </w:p>
    <w:p w14:paraId="2F7EFAC6" w14:textId="77777777" w:rsidR="00E73FF1" w:rsidRPr="0085042B" w:rsidRDefault="00E73FF1" w:rsidP="00E73FF1">
      <w:pPr>
        <w:spacing w:line="240" w:lineRule="auto"/>
        <w:jc w:val="center"/>
        <w:rPr>
          <w:b/>
          <w:bCs/>
          <w:color w:val="000000"/>
          <w:lang w:val="es-CO"/>
        </w:rPr>
      </w:pPr>
      <w:r w:rsidRPr="0085042B">
        <w:rPr>
          <w:b/>
          <w:bCs/>
          <w:color w:val="000000"/>
          <w:lang w:val="es-CO"/>
        </w:rPr>
        <w:t>CÓPIESE, NOTIFÍQUESE y CÚMPLASE.</w:t>
      </w:r>
    </w:p>
    <w:p w14:paraId="35675B5E" w14:textId="77777777" w:rsidR="00E73FF1" w:rsidRPr="0085042B" w:rsidRDefault="00E73FF1" w:rsidP="00E73FF1">
      <w:pPr>
        <w:spacing w:line="240" w:lineRule="auto"/>
        <w:jc w:val="center"/>
        <w:rPr>
          <w:color w:val="000000"/>
          <w:lang w:val="es-CO"/>
        </w:rPr>
      </w:pPr>
    </w:p>
    <w:p w14:paraId="5928EC08" w14:textId="77777777" w:rsidR="00E73FF1" w:rsidRPr="0085042B" w:rsidRDefault="00E73FF1" w:rsidP="00E73FF1">
      <w:pPr>
        <w:spacing w:line="240" w:lineRule="auto"/>
        <w:jc w:val="center"/>
        <w:rPr>
          <w:color w:val="000000"/>
          <w:lang w:val="es-CO"/>
        </w:rPr>
      </w:pPr>
    </w:p>
    <w:p w14:paraId="11F3C24E" w14:textId="77777777" w:rsidR="00E73FF1" w:rsidRPr="0085042B" w:rsidRDefault="00E73FF1" w:rsidP="00E73FF1">
      <w:pPr>
        <w:spacing w:line="240" w:lineRule="auto"/>
        <w:jc w:val="center"/>
        <w:rPr>
          <w:color w:val="000000"/>
          <w:lang w:val="es-CO"/>
        </w:rPr>
      </w:pPr>
    </w:p>
    <w:p w14:paraId="4F71E42E" w14:textId="77777777" w:rsidR="00E73FF1" w:rsidRPr="0085042B" w:rsidRDefault="00E73FF1" w:rsidP="00E73FF1">
      <w:pPr>
        <w:spacing w:line="240" w:lineRule="auto"/>
        <w:jc w:val="center"/>
        <w:rPr>
          <w:color w:val="000000"/>
          <w:lang w:val="es-CO"/>
        </w:rPr>
      </w:pPr>
    </w:p>
    <w:p w14:paraId="5F4B9B3D" w14:textId="77777777" w:rsidR="00E73FF1" w:rsidRPr="0085042B" w:rsidRDefault="00E73FF1" w:rsidP="00E73FF1">
      <w:pPr>
        <w:spacing w:line="240" w:lineRule="auto"/>
        <w:jc w:val="center"/>
        <w:rPr>
          <w:color w:val="000000"/>
          <w:lang w:val="es-CO"/>
        </w:rPr>
      </w:pPr>
      <w:r w:rsidRPr="0085042B">
        <w:rPr>
          <w:b/>
          <w:bCs/>
          <w:color w:val="000000"/>
        </w:rPr>
        <w:t>MARIA ADRIANA MARÍN</w:t>
      </w:r>
    </w:p>
    <w:p w14:paraId="728F6DE4" w14:textId="77777777" w:rsidR="00E73FF1" w:rsidRPr="0085042B" w:rsidRDefault="00E73FF1" w:rsidP="00E73FF1">
      <w:pPr>
        <w:spacing w:line="240" w:lineRule="auto"/>
        <w:jc w:val="center"/>
        <w:rPr>
          <w:color w:val="000000"/>
          <w:lang w:val="es-CO"/>
        </w:rPr>
      </w:pPr>
    </w:p>
    <w:p w14:paraId="0377B1E7" w14:textId="77777777" w:rsidR="00E73FF1" w:rsidRPr="0085042B" w:rsidRDefault="00E73FF1" w:rsidP="00E73FF1">
      <w:pPr>
        <w:spacing w:line="240" w:lineRule="auto"/>
        <w:jc w:val="center"/>
        <w:rPr>
          <w:color w:val="000000"/>
          <w:lang w:val="es-CO"/>
        </w:rPr>
      </w:pPr>
    </w:p>
    <w:p w14:paraId="21F097F4" w14:textId="77777777" w:rsidR="00E73FF1" w:rsidRPr="0085042B" w:rsidRDefault="00E73FF1" w:rsidP="00E73FF1">
      <w:pPr>
        <w:spacing w:line="240" w:lineRule="auto"/>
        <w:jc w:val="center"/>
        <w:rPr>
          <w:color w:val="000000"/>
          <w:lang w:val="es-CO"/>
        </w:rPr>
      </w:pPr>
    </w:p>
    <w:p w14:paraId="2602257D" w14:textId="77777777" w:rsidR="00E73FF1" w:rsidRPr="0085042B" w:rsidRDefault="00E73FF1" w:rsidP="00E73FF1">
      <w:pPr>
        <w:spacing w:line="240" w:lineRule="auto"/>
        <w:jc w:val="center"/>
        <w:rPr>
          <w:color w:val="000000"/>
          <w:lang w:val="es-CO"/>
        </w:rPr>
      </w:pPr>
    </w:p>
    <w:p w14:paraId="3B64E894" w14:textId="77777777" w:rsidR="00E73FF1" w:rsidRPr="0085042B" w:rsidRDefault="00E73FF1" w:rsidP="00E73FF1">
      <w:pPr>
        <w:spacing w:line="240" w:lineRule="auto"/>
        <w:jc w:val="center"/>
        <w:rPr>
          <w:b/>
          <w:bCs/>
          <w:color w:val="000000"/>
        </w:rPr>
      </w:pPr>
      <w:r w:rsidRPr="0085042B">
        <w:rPr>
          <w:b/>
          <w:bCs/>
          <w:color w:val="000000"/>
        </w:rPr>
        <w:t>RAMIRO PAZOS GUERRERO</w:t>
      </w:r>
    </w:p>
    <w:p w14:paraId="293B4A23" w14:textId="77777777" w:rsidR="00E73FF1" w:rsidRPr="0085042B" w:rsidRDefault="00E73FF1" w:rsidP="00E73FF1">
      <w:pPr>
        <w:spacing w:line="240" w:lineRule="auto"/>
        <w:jc w:val="center"/>
        <w:rPr>
          <w:b/>
          <w:bCs/>
          <w:color w:val="000000"/>
        </w:rPr>
      </w:pPr>
    </w:p>
    <w:p w14:paraId="6297E86B" w14:textId="77777777" w:rsidR="00E73FF1" w:rsidRPr="0085042B" w:rsidRDefault="00E73FF1" w:rsidP="00E73FF1">
      <w:pPr>
        <w:spacing w:line="240" w:lineRule="auto"/>
        <w:jc w:val="center"/>
        <w:rPr>
          <w:b/>
          <w:bCs/>
          <w:color w:val="000000"/>
        </w:rPr>
      </w:pPr>
    </w:p>
    <w:p w14:paraId="78BC4A8D" w14:textId="77777777" w:rsidR="00E73FF1" w:rsidRPr="0085042B" w:rsidRDefault="00E73FF1" w:rsidP="00E73FF1">
      <w:pPr>
        <w:spacing w:line="240" w:lineRule="auto"/>
        <w:jc w:val="center"/>
        <w:rPr>
          <w:b/>
          <w:bCs/>
          <w:color w:val="000000"/>
        </w:rPr>
      </w:pPr>
    </w:p>
    <w:p w14:paraId="6A8502D3" w14:textId="77777777" w:rsidR="00E73FF1" w:rsidRPr="0085042B" w:rsidRDefault="00E73FF1" w:rsidP="00E73FF1">
      <w:pPr>
        <w:spacing w:line="240" w:lineRule="auto"/>
        <w:jc w:val="center"/>
        <w:rPr>
          <w:b/>
          <w:bCs/>
          <w:color w:val="000000"/>
        </w:rPr>
      </w:pPr>
    </w:p>
    <w:p w14:paraId="0BCA3F62" w14:textId="77777777" w:rsidR="00E73FF1" w:rsidRPr="0085042B" w:rsidRDefault="00E73FF1" w:rsidP="00E73FF1">
      <w:pPr>
        <w:spacing w:line="240" w:lineRule="auto"/>
        <w:jc w:val="center"/>
        <w:rPr>
          <w:b/>
          <w:bCs/>
          <w:color w:val="000000"/>
        </w:rPr>
      </w:pPr>
      <w:r w:rsidRPr="0085042B">
        <w:rPr>
          <w:b/>
          <w:bCs/>
          <w:color w:val="000000"/>
        </w:rPr>
        <w:t>MARTA NUBIA VELASQUEZ RICO</w:t>
      </w:r>
    </w:p>
    <w:p w14:paraId="25F1FE52" w14:textId="51CA4CA3" w:rsidR="007B0C23" w:rsidRPr="00E73FF1" w:rsidRDefault="007B0C23" w:rsidP="00E73FF1"/>
    <w:sectPr w:rsidR="007B0C23" w:rsidRPr="00E73FF1" w:rsidSect="002D0110">
      <w:headerReference w:type="first" r:id="rId11"/>
      <w:pgSz w:w="12242" w:h="18722" w:code="123"/>
      <w:pgMar w:top="1701" w:right="1701" w:bottom="170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3B27F" w14:textId="77777777" w:rsidR="004D421D" w:rsidRDefault="004D421D">
      <w:r>
        <w:separator/>
      </w:r>
    </w:p>
  </w:endnote>
  <w:endnote w:type="continuationSeparator" w:id="0">
    <w:p w14:paraId="60F71DCC" w14:textId="77777777" w:rsidR="004D421D" w:rsidRDefault="004D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5E725" w14:textId="77777777" w:rsidR="004D421D" w:rsidRDefault="004D421D">
      <w:r>
        <w:separator/>
      </w:r>
    </w:p>
  </w:footnote>
  <w:footnote w:type="continuationSeparator" w:id="0">
    <w:p w14:paraId="4D808976" w14:textId="77777777" w:rsidR="004D421D" w:rsidRDefault="004D421D">
      <w:r>
        <w:continuationSeparator/>
      </w:r>
    </w:p>
  </w:footnote>
  <w:footnote w:id="1">
    <w:p w14:paraId="68EE4733"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43-69 del cuaderno de primera instancia.</w:t>
      </w:r>
    </w:p>
  </w:footnote>
  <w:footnote w:id="2">
    <w:p w14:paraId="182E5D00" w14:textId="77777777" w:rsidR="00E73FF1" w:rsidRPr="00D262EF" w:rsidRDefault="00E73FF1" w:rsidP="00E73FF1">
      <w:pPr>
        <w:pStyle w:val="Textonotapie"/>
        <w:spacing w:line="240" w:lineRule="auto"/>
        <w:rPr>
          <w:sz w:val="20"/>
          <w:szCs w:val="20"/>
        </w:rPr>
      </w:pPr>
      <w:r w:rsidRPr="00D262EF">
        <w:rPr>
          <w:rStyle w:val="Refdenotaalpie"/>
          <w:sz w:val="20"/>
          <w:szCs w:val="20"/>
        </w:rPr>
        <w:footnoteRef/>
      </w:r>
      <w:r w:rsidRPr="00D262EF">
        <w:rPr>
          <w:sz w:val="20"/>
          <w:szCs w:val="20"/>
        </w:rPr>
        <w:t xml:space="preserve"> Folio 71 del cuaderno de primera instancia.</w:t>
      </w:r>
    </w:p>
  </w:footnote>
  <w:footnote w:id="3">
    <w:p w14:paraId="45B28AF0"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72-74 del cuaderno de primera instancia.</w:t>
      </w:r>
    </w:p>
  </w:footnote>
  <w:footnote w:id="4">
    <w:p w14:paraId="6D88ED08"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77 del cuaderno de primera instancia.</w:t>
      </w:r>
    </w:p>
  </w:footnote>
  <w:footnote w:id="5">
    <w:p w14:paraId="38FA2F90"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78 del cuaderno de primera instancia.</w:t>
      </w:r>
    </w:p>
  </w:footnote>
  <w:footnote w:id="6">
    <w:p w14:paraId="70FF7144"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89 del cuaderno de primera instancia.</w:t>
      </w:r>
    </w:p>
  </w:footnote>
  <w:footnote w:id="7">
    <w:p w14:paraId="12A92243"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91-117 del cuaderno de primera instancia.</w:t>
      </w:r>
    </w:p>
  </w:footnote>
  <w:footnote w:id="8">
    <w:p w14:paraId="7D940ED2"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118-122 del cuaderno de primera instancia.</w:t>
      </w:r>
    </w:p>
  </w:footnote>
  <w:footnote w:id="9">
    <w:p w14:paraId="34098E1E"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123-143 del cuaderno de primera instancia.</w:t>
      </w:r>
    </w:p>
  </w:footnote>
  <w:footnote w:id="10">
    <w:p w14:paraId="6D9DEA3D"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144 del cuaderno de primera instancia.</w:t>
      </w:r>
    </w:p>
  </w:footnote>
  <w:footnote w:id="11">
    <w:p w14:paraId="5E302217" w14:textId="77777777" w:rsidR="00E73FF1" w:rsidRPr="00D262EF" w:rsidRDefault="00E73FF1" w:rsidP="00E73FF1">
      <w:pPr>
        <w:pStyle w:val="Textonotapie"/>
        <w:spacing w:line="240" w:lineRule="auto"/>
        <w:rPr>
          <w:sz w:val="20"/>
          <w:szCs w:val="20"/>
        </w:rPr>
      </w:pPr>
      <w:r w:rsidRPr="00D262EF">
        <w:rPr>
          <w:rStyle w:val="Refdenotaalpie"/>
          <w:sz w:val="20"/>
          <w:szCs w:val="20"/>
        </w:rPr>
        <w:footnoteRef/>
      </w:r>
      <w:r w:rsidRPr="00D262EF">
        <w:rPr>
          <w:sz w:val="20"/>
          <w:szCs w:val="20"/>
        </w:rPr>
        <w:t xml:space="preserve"> Folio 144 del cuaderno de primera instancia. </w:t>
      </w:r>
    </w:p>
  </w:footnote>
  <w:footnote w:id="12">
    <w:p w14:paraId="7798B6FA" w14:textId="77777777" w:rsidR="00E73FF1" w:rsidRPr="00D262EF" w:rsidRDefault="00E73FF1" w:rsidP="00E73FF1">
      <w:pPr>
        <w:pStyle w:val="Textonotapie"/>
        <w:spacing w:line="240" w:lineRule="auto"/>
        <w:rPr>
          <w:sz w:val="20"/>
          <w:szCs w:val="20"/>
        </w:rPr>
      </w:pPr>
      <w:r w:rsidRPr="00D262EF">
        <w:rPr>
          <w:rStyle w:val="Refdenotaalpie"/>
          <w:sz w:val="20"/>
          <w:szCs w:val="20"/>
        </w:rPr>
        <w:footnoteRef/>
      </w:r>
      <w:r w:rsidRPr="00D262EF">
        <w:rPr>
          <w:sz w:val="20"/>
          <w:szCs w:val="20"/>
        </w:rPr>
        <w:t xml:space="preserve"> En el escrito de la demanda se solicitó su vinculación como tercero y mediante auto del 25 de febrero de 2002, el tribunal cumplió con dicho requerimiento. No obstante, se advierte que en el fallo de primera instancia se les dio el trato de llamados en garantía.</w:t>
      </w:r>
    </w:p>
  </w:footnote>
  <w:footnote w:id="13">
    <w:p w14:paraId="38B080DE"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184 del cuaderno de primera instancia.</w:t>
      </w:r>
    </w:p>
  </w:footnote>
  <w:footnote w:id="14">
    <w:p w14:paraId="664C9BCA"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148-170 del cuaderno de primera instancia.</w:t>
      </w:r>
    </w:p>
  </w:footnote>
  <w:footnote w:id="15">
    <w:p w14:paraId="240177BD"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204-211 y 241-248 del cuaderno de primera instancia.</w:t>
      </w:r>
    </w:p>
  </w:footnote>
  <w:footnote w:id="16">
    <w:p w14:paraId="675B61F4"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259 del cuaderno de primera instancia.</w:t>
      </w:r>
    </w:p>
  </w:footnote>
  <w:footnote w:id="17">
    <w:p w14:paraId="37C9B4BE"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615 del cuaderno de primera instancia.</w:t>
      </w:r>
    </w:p>
  </w:footnote>
  <w:footnote w:id="18">
    <w:p w14:paraId="5027B477"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616-620 y 621-658 del cuaderno de primera instancia.</w:t>
      </w:r>
    </w:p>
  </w:footnote>
  <w:footnote w:id="19">
    <w:p w14:paraId="1E431219" w14:textId="77777777" w:rsidR="00E73FF1" w:rsidRPr="00D262EF" w:rsidRDefault="00E73FF1" w:rsidP="00E73FF1">
      <w:pPr>
        <w:spacing w:line="240" w:lineRule="auto"/>
        <w:rPr>
          <w:sz w:val="20"/>
          <w:szCs w:val="20"/>
        </w:rPr>
      </w:pPr>
      <w:r w:rsidRPr="00D262EF">
        <w:rPr>
          <w:rStyle w:val="Refdenotaalpie"/>
          <w:rFonts w:cs="Arial"/>
          <w:sz w:val="20"/>
          <w:szCs w:val="20"/>
        </w:rPr>
        <w:footnoteRef/>
      </w:r>
      <w:r w:rsidRPr="00D262EF">
        <w:rPr>
          <w:i/>
          <w:sz w:val="20"/>
          <w:szCs w:val="20"/>
        </w:rPr>
        <w:t xml:space="preserve"> </w:t>
      </w:r>
      <w:r w:rsidRPr="00D262EF">
        <w:rPr>
          <w:sz w:val="20"/>
          <w:szCs w:val="20"/>
          <w:lang w:val="es-CO"/>
        </w:rPr>
        <w:t xml:space="preserve">Folios 688-696 del cuaderno principal. </w:t>
      </w:r>
      <w:r w:rsidRPr="00D262EF">
        <w:rPr>
          <w:sz w:val="20"/>
          <w:szCs w:val="20"/>
        </w:rPr>
        <w:t>En la parte resolutiva de la decisión se consignó (f. 696, c. ppal.):</w:t>
      </w:r>
      <w:r w:rsidRPr="00D262EF">
        <w:rPr>
          <w:i/>
          <w:sz w:val="20"/>
          <w:szCs w:val="20"/>
        </w:rPr>
        <w:t xml:space="preserve"> “</w:t>
      </w:r>
      <w:r w:rsidRPr="00D262EF">
        <w:rPr>
          <w:b/>
          <w:i/>
          <w:sz w:val="20"/>
          <w:szCs w:val="20"/>
          <w:lang w:val="es-CO"/>
        </w:rPr>
        <w:t xml:space="preserve">PRIMERO.- </w:t>
      </w:r>
      <w:r w:rsidRPr="00D262EF">
        <w:rPr>
          <w:i/>
          <w:sz w:val="20"/>
          <w:szCs w:val="20"/>
          <w:lang w:val="es-CO"/>
        </w:rPr>
        <w:t xml:space="preserve">Declárese no probadas las excepciones de falta de legitimación en la causa por activa y la falta de legitimación por pasiva del llamado en garantía </w:t>
      </w:r>
      <w:r w:rsidRPr="00D262EF">
        <w:rPr>
          <w:sz w:val="20"/>
          <w:szCs w:val="20"/>
          <w:lang w:val="es-CO"/>
        </w:rPr>
        <w:t>(sic)</w:t>
      </w:r>
      <w:r w:rsidRPr="00D262EF">
        <w:rPr>
          <w:i/>
          <w:sz w:val="20"/>
          <w:szCs w:val="20"/>
          <w:lang w:val="es-CO"/>
        </w:rPr>
        <w:t xml:space="preserve">. // </w:t>
      </w:r>
      <w:r w:rsidRPr="00D262EF">
        <w:rPr>
          <w:b/>
          <w:i/>
          <w:sz w:val="20"/>
          <w:szCs w:val="20"/>
          <w:lang w:val="es-CO"/>
        </w:rPr>
        <w:t xml:space="preserve">SEGUNDO.- </w:t>
      </w:r>
      <w:r w:rsidRPr="00D262EF">
        <w:rPr>
          <w:i/>
          <w:sz w:val="20"/>
          <w:szCs w:val="20"/>
          <w:lang w:val="es-CO"/>
        </w:rPr>
        <w:t xml:space="preserve">Niéguense las pretensiones de la demanda. // </w:t>
      </w:r>
      <w:r w:rsidRPr="00D262EF">
        <w:rPr>
          <w:b/>
          <w:i/>
          <w:sz w:val="20"/>
          <w:szCs w:val="20"/>
          <w:lang w:val="es-CO"/>
        </w:rPr>
        <w:t xml:space="preserve">TERCERO.- </w:t>
      </w:r>
      <w:r w:rsidRPr="00D262EF">
        <w:rPr>
          <w:i/>
          <w:sz w:val="20"/>
          <w:szCs w:val="20"/>
          <w:lang w:val="es-CO"/>
        </w:rPr>
        <w:t>De acuerdo con la conducta procesal de las partes y conforme al artículo 171 del Código Contencioso Administrativo, modificado por el artículo 55 de la Ley 446 de 1998, no se condena en costas(…)</w:t>
      </w:r>
      <w:r w:rsidRPr="00D262EF">
        <w:rPr>
          <w:sz w:val="20"/>
          <w:szCs w:val="20"/>
          <w:lang w:val="es-CO"/>
        </w:rPr>
        <w:t>”.</w:t>
      </w:r>
    </w:p>
  </w:footnote>
  <w:footnote w:id="20">
    <w:p w14:paraId="0E1A0CE5" w14:textId="77777777" w:rsidR="00E73FF1" w:rsidRPr="00D262EF" w:rsidRDefault="00E73FF1" w:rsidP="00E73FF1">
      <w:pPr>
        <w:spacing w:line="240" w:lineRule="auto"/>
        <w:rPr>
          <w:i/>
          <w:sz w:val="20"/>
          <w:szCs w:val="20"/>
        </w:rPr>
      </w:pPr>
      <w:r w:rsidRPr="00D262EF">
        <w:rPr>
          <w:rStyle w:val="Refdenotaalpie"/>
          <w:rFonts w:cs="Arial"/>
          <w:i/>
          <w:sz w:val="20"/>
          <w:szCs w:val="20"/>
        </w:rPr>
        <w:footnoteRef/>
      </w:r>
      <w:r w:rsidRPr="00D262EF">
        <w:rPr>
          <w:i/>
          <w:sz w:val="20"/>
          <w:szCs w:val="20"/>
        </w:rPr>
        <w:t xml:space="preserve"> “Art.34: </w:t>
      </w:r>
      <w:bookmarkStart w:id="1" w:name="34"/>
      <w:r w:rsidRPr="00D262EF">
        <w:rPr>
          <w:bCs/>
          <w:i/>
          <w:sz w:val="20"/>
          <w:szCs w:val="20"/>
        </w:rPr>
        <w:t>Obligación de preparar y difundir estados financieros.</w:t>
      </w:r>
      <w:bookmarkEnd w:id="1"/>
      <w:r w:rsidRPr="00D262EF">
        <w:rPr>
          <w:b/>
          <w:bCs/>
          <w:sz w:val="20"/>
          <w:szCs w:val="20"/>
        </w:rPr>
        <w:t xml:space="preserve"> </w:t>
      </w:r>
      <w:r w:rsidRPr="00D262EF">
        <w:rPr>
          <w:i/>
          <w:sz w:val="20"/>
          <w:szCs w:val="20"/>
        </w:rPr>
        <w:t>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existiera.</w:t>
      </w:r>
    </w:p>
    <w:p w14:paraId="186D6F6E" w14:textId="77777777" w:rsidR="00E73FF1" w:rsidRPr="00D262EF" w:rsidRDefault="00E73FF1" w:rsidP="00E73FF1">
      <w:pPr>
        <w:spacing w:line="240" w:lineRule="auto"/>
        <w:rPr>
          <w:i/>
          <w:sz w:val="20"/>
          <w:szCs w:val="20"/>
        </w:rPr>
      </w:pPr>
      <w:r w:rsidRPr="00D262EF">
        <w:rPr>
          <w:i/>
          <w:sz w:val="20"/>
          <w:szCs w:val="20"/>
        </w:rPr>
        <w:t>El Gobierno Nacional podrá establecer casos en los cuales, en atención al volumen de los activos o de ingresos sea admisible la preparación y difusión de estados financieros de propósito general abreviados.</w:t>
      </w:r>
    </w:p>
    <w:p w14:paraId="39589851" w14:textId="77777777" w:rsidR="00E73FF1" w:rsidRPr="00D262EF" w:rsidRDefault="00E73FF1" w:rsidP="00E73FF1">
      <w:pPr>
        <w:spacing w:line="240" w:lineRule="auto"/>
        <w:rPr>
          <w:i/>
          <w:sz w:val="20"/>
          <w:szCs w:val="20"/>
        </w:rPr>
      </w:pPr>
    </w:p>
    <w:p w14:paraId="16D82E99" w14:textId="77777777" w:rsidR="00E73FF1" w:rsidRPr="00D262EF" w:rsidRDefault="00E73FF1" w:rsidP="00E73FF1">
      <w:pPr>
        <w:spacing w:line="240" w:lineRule="auto"/>
        <w:rPr>
          <w:i/>
          <w:sz w:val="20"/>
          <w:szCs w:val="20"/>
        </w:rPr>
      </w:pPr>
      <w:r w:rsidRPr="00D262EF">
        <w:rPr>
          <w:i/>
          <w:sz w:val="20"/>
          <w:szCs w:val="20"/>
        </w:rPr>
        <w:t>“Las entidades gubernamentales que ejerzan inspección, vigilancia o control, podrán exigir la preparación y difusión de estados financieros de períodos intermedios. Estos estados serán idóneos para todos los efectos, salvo para la distribución de utilidades.</w:t>
      </w:r>
    </w:p>
    <w:p w14:paraId="7E806EE2" w14:textId="77777777" w:rsidR="00E73FF1" w:rsidRPr="00D262EF" w:rsidRDefault="00E73FF1" w:rsidP="00E73FF1">
      <w:pPr>
        <w:spacing w:line="240" w:lineRule="auto"/>
        <w:rPr>
          <w:i/>
          <w:sz w:val="20"/>
          <w:szCs w:val="20"/>
        </w:rPr>
      </w:pPr>
      <w:bookmarkStart w:id="2" w:name="41"/>
    </w:p>
    <w:p w14:paraId="202AC2FF" w14:textId="77777777" w:rsidR="00E73FF1" w:rsidRPr="00D262EF" w:rsidRDefault="00E73FF1" w:rsidP="00E73FF1">
      <w:pPr>
        <w:spacing w:line="240" w:lineRule="auto"/>
        <w:rPr>
          <w:i/>
          <w:sz w:val="20"/>
          <w:szCs w:val="20"/>
        </w:rPr>
      </w:pPr>
      <w:r w:rsidRPr="00D262EF">
        <w:rPr>
          <w:i/>
          <w:sz w:val="20"/>
          <w:szCs w:val="20"/>
        </w:rPr>
        <w:t>“A</w:t>
      </w:r>
      <w:bookmarkEnd w:id="2"/>
      <w:r w:rsidRPr="00D262EF">
        <w:rPr>
          <w:i/>
          <w:sz w:val="20"/>
          <w:szCs w:val="20"/>
        </w:rPr>
        <w:t>rt. 41:</w:t>
      </w:r>
      <w:r w:rsidRPr="00D262EF">
        <w:rPr>
          <w:bCs/>
          <w:i/>
          <w:sz w:val="20"/>
          <w:szCs w:val="20"/>
        </w:rPr>
        <w:t xml:space="preserve"> Publicidad de los estados financieros.</w:t>
      </w:r>
      <w:r w:rsidRPr="00D262EF">
        <w:rPr>
          <w:sz w:val="20"/>
          <w:szCs w:val="20"/>
        </w:rPr>
        <w:t> </w:t>
      </w:r>
      <w:r w:rsidRPr="00D262EF">
        <w:rPr>
          <w:i/>
          <w:sz w:val="20"/>
          <w:szCs w:val="20"/>
        </w:rPr>
        <w:t xml:space="preserve"> Dentro del mes siguiente a la fecha en la cual sean aprobados, se depositará copia de los estados financieros de propósito general, junto con sus notas y el dictamen correspondiente, si lo hubiere, en la Cámara de Comercio del domicilio social. Esta expedirá copia de tales documentos a quienes lo soliciten y paguen los costos correspondientes.</w:t>
      </w:r>
    </w:p>
    <w:p w14:paraId="238783E2" w14:textId="77777777" w:rsidR="00E73FF1" w:rsidRPr="00D262EF" w:rsidRDefault="00E73FF1" w:rsidP="00E73FF1">
      <w:pPr>
        <w:spacing w:line="240" w:lineRule="auto"/>
        <w:rPr>
          <w:i/>
          <w:sz w:val="20"/>
          <w:szCs w:val="20"/>
        </w:rPr>
      </w:pPr>
      <w:r w:rsidRPr="00D262EF">
        <w:rPr>
          <w:i/>
          <w:sz w:val="20"/>
          <w:szCs w:val="20"/>
        </w:rPr>
        <w:t>Sin embargo, las entidades gubernamentales que ejerzan la inspección, vigilancia o control podrán establecer casos en los cuales no se exija depósito o se requiera un medio de publicidad adicional. También podrán ordenar la publicidad de los estados financieros intermedios.</w:t>
      </w:r>
    </w:p>
    <w:p w14:paraId="20DB4760" w14:textId="77777777" w:rsidR="00E73FF1" w:rsidRPr="00D262EF" w:rsidRDefault="00E73FF1" w:rsidP="00E73FF1">
      <w:pPr>
        <w:spacing w:line="240" w:lineRule="auto"/>
        <w:rPr>
          <w:i/>
          <w:sz w:val="20"/>
          <w:szCs w:val="20"/>
        </w:rPr>
      </w:pPr>
    </w:p>
    <w:p w14:paraId="174DF24A" w14:textId="77777777" w:rsidR="00E73FF1" w:rsidRPr="00D262EF" w:rsidRDefault="00E73FF1" w:rsidP="00E73FF1">
      <w:pPr>
        <w:spacing w:line="240" w:lineRule="auto"/>
        <w:rPr>
          <w:i/>
          <w:sz w:val="20"/>
          <w:szCs w:val="20"/>
        </w:rPr>
      </w:pPr>
      <w:r w:rsidRPr="00D262EF">
        <w:rPr>
          <w:i/>
          <w:sz w:val="20"/>
          <w:szCs w:val="20"/>
        </w:rPr>
        <w:t>“La Cámara de Comercio deberá conservar, por cualquier medio, los documentos mencionados en este artículo por el término de cinco años.</w:t>
      </w:r>
    </w:p>
    <w:p w14:paraId="2454AE24" w14:textId="77777777" w:rsidR="00E73FF1" w:rsidRPr="00D262EF" w:rsidRDefault="00E73FF1" w:rsidP="00E73FF1">
      <w:pPr>
        <w:spacing w:line="240" w:lineRule="auto"/>
        <w:rPr>
          <w:i/>
          <w:sz w:val="20"/>
          <w:szCs w:val="20"/>
        </w:rPr>
      </w:pPr>
      <w:r w:rsidRPr="00D262EF">
        <w:rPr>
          <w:i/>
          <w:sz w:val="20"/>
          <w:szCs w:val="20"/>
        </w:rPr>
        <w:t>Cuando los estados financieros se depositen en Ia Superintendencia de Sociedades, no tendrán que ser depositados en las cámaras de comercio. La Superintendencia de Sociedades asegurará los mecanismos necesarios para garantizar el acceso a Ia información que no tenga carácter reservado. La Cámara de Comercio deberá conservar, por cualquier medio, los documentos mencionados en este artículo por el término de cinco años”.</w:t>
      </w:r>
    </w:p>
    <w:p w14:paraId="5FA969D3" w14:textId="77777777" w:rsidR="00E73FF1" w:rsidRPr="00D262EF" w:rsidRDefault="00E73FF1" w:rsidP="00E73FF1">
      <w:pPr>
        <w:pStyle w:val="Textonotapie"/>
        <w:spacing w:line="240" w:lineRule="auto"/>
        <w:rPr>
          <w:sz w:val="20"/>
          <w:szCs w:val="20"/>
        </w:rPr>
      </w:pPr>
    </w:p>
  </w:footnote>
  <w:footnote w:id="21">
    <w:p w14:paraId="014DC030"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698-701 del cuaderno del Consejo de Estado.</w:t>
      </w:r>
    </w:p>
  </w:footnote>
  <w:footnote w:id="22">
    <w:p w14:paraId="1ED2A092"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708 del cuaderno del Consejo de Estado.</w:t>
      </w:r>
    </w:p>
  </w:footnote>
  <w:footnote w:id="23">
    <w:p w14:paraId="1166BE2F"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710 del cuaderno del Consejo de Estado</w:t>
      </w:r>
    </w:p>
  </w:footnote>
  <w:footnote w:id="24">
    <w:p w14:paraId="2D9AD872"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712-713, 714-728 del cuaderno del Consejo de Estado.</w:t>
      </w:r>
    </w:p>
  </w:footnote>
  <w:footnote w:id="25">
    <w:p w14:paraId="286E548F"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712-728 del cuaderno del Consejo de Estado.</w:t>
      </w:r>
    </w:p>
  </w:footnote>
  <w:footnote w:id="26">
    <w:p w14:paraId="2BAECA8E"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 67 del cuaderno de primera instancia.</w:t>
      </w:r>
    </w:p>
  </w:footnote>
  <w:footnote w:id="27">
    <w:p w14:paraId="6B9D6830"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w:t>
      </w:r>
      <w:r w:rsidRPr="00D262EF">
        <w:rPr>
          <w:i/>
          <w:sz w:val="20"/>
          <w:szCs w:val="20"/>
        </w:rPr>
        <w:t>“La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Sin embargo, cuando ambas partes hayan apelado o la que no apeló hubiere adherido al recurso, el superior resolverá sin limitaciones”</w:t>
      </w:r>
      <w:r w:rsidRPr="00D262EF">
        <w:rPr>
          <w:sz w:val="20"/>
          <w:szCs w:val="20"/>
        </w:rPr>
        <w:t xml:space="preserve">. </w:t>
      </w:r>
    </w:p>
  </w:footnote>
  <w:footnote w:id="28">
    <w:p w14:paraId="10B2DD48"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Sobre el alcance de la competencia del juez en segunda instancia frente a un único recurso de apelación, consultar: Consejo de Estado, Sala Plena de la Sección Tercera, sentencia del 9 de febrero de 2012, exp. </w:t>
      </w:r>
      <w:r w:rsidRPr="00D262EF">
        <w:rPr>
          <w:bCs/>
          <w:sz w:val="20"/>
          <w:szCs w:val="20"/>
        </w:rPr>
        <w:t>05001-23-26-000-1994-02321-01 (20104), C.P. Ruth Stella Correa Palacio.</w:t>
      </w:r>
    </w:p>
  </w:footnote>
  <w:footnote w:id="29">
    <w:p w14:paraId="38DFDB50"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La Sala valorará los documentos presentados en copia simple, según lo dispuesto por la Sala Plena de la Sección Tercera del Consejo de Estado en sentencia de unificación jurisprudencial del 28 de agosto de 2013, expediente </w:t>
      </w:r>
      <w:smartTag w:uri="urn:schemas-microsoft-com:office:smarttags" w:element="metricconverter">
        <w:smartTagPr>
          <w:attr w:name="ProductID" w:val="25022, C"/>
        </w:smartTagPr>
        <w:r w:rsidRPr="00D262EF">
          <w:rPr>
            <w:sz w:val="20"/>
            <w:szCs w:val="20"/>
          </w:rPr>
          <w:t>25022, C</w:t>
        </w:r>
      </w:smartTag>
      <w:r w:rsidRPr="00D262EF">
        <w:rPr>
          <w:sz w:val="20"/>
          <w:szCs w:val="20"/>
        </w:rPr>
        <w:t xml:space="preserve">.P. Enrique Gil Botero, en la cual se estableció que las copias simples serían valoradas </w:t>
      </w:r>
      <w:r w:rsidRPr="00D262EF">
        <w:rPr>
          <w:i/>
          <w:sz w:val="20"/>
          <w:szCs w:val="20"/>
        </w:rPr>
        <w:t xml:space="preserve">“(…) </w:t>
      </w:r>
      <w:r w:rsidRPr="00D262EF">
        <w:rPr>
          <w:sz w:val="20"/>
          <w:szCs w:val="20"/>
        </w:rPr>
        <w:t xml:space="preserve">en </w:t>
      </w:r>
      <w:r w:rsidRPr="00D262EF">
        <w:rPr>
          <w:i/>
          <w:sz w:val="20"/>
          <w:szCs w:val="20"/>
        </w:rPr>
        <w:t>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w:t>
      </w:r>
    </w:p>
    <w:p w14:paraId="7EED62D3" w14:textId="77777777" w:rsidR="00E73FF1" w:rsidRPr="00D262EF" w:rsidRDefault="00E73FF1" w:rsidP="00E73FF1">
      <w:pPr>
        <w:pStyle w:val="Textonotapie"/>
        <w:spacing w:line="240" w:lineRule="auto"/>
        <w:rPr>
          <w:sz w:val="20"/>
          <w:szCs w:val="20"/>
        </w:rPr>
      </w:pPr>
    </w:p>
  </w:footnote>
  <w:footnote w:id="30">
    <w:p w14:paraId="73F545E4"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Resolución de adjudicación n.º 1811 del 23 de febrero de 2000, visible a folios 91-117 del cuaderno de primera instancia.</w:t>
      </w:r>
    </w:p>
  </w:footnote>
  <w:footnote w:id="31">
    <w:p w14:paraId="238724CE" w14:textId="77777777" w:rsidR="00E73FF1" w:rsidRPr="00D262EF" w:rsidRDefault="00E73FF1" w:rsidP="00E73FF1">
      <w:pPr>
        <w:spacing w:line="240" w:lineRule="auto"/>
        <w:rPr>
          <w:sz w:val="20"/>
          <w:szCs w:val="20"/>
          <w:lang w:val="es-CO"/>
        </w:rPr>
      </w:pPr>
      <w:r w:rsidRPr="00D262EF">
        <w:rPr>
          <w:rStyle w:val="Refdenotaalpie"/>
          <w:rFonts w:cs="Arial"/>
          <w:sz w:val="20"/>
          <w:szCs w:val="20"/>
        </w:rPr>
        <w:footnoteRef/>
      </w:r>
      <w:r w:rsidRPr="00D262EF">
        <w:rPr>
          <w:sz w:val="20"/>
          <w:szCs w:val="20"/>
        </w:rPr>
        <w:t xml:space="preserve"> </w:t>
      </w:r>
      <w:r w:rsidRPr="00D262EF">
        <w:rPr>
          <w:sz w:val="20"/>
          <w:szCs w:val="20"/>
          <w:lang w:val="es-CO"/>
        </w:rPr>
        <w:t>Folio 91 del cuaderno de primera instancia.</w:t>
      </w:r>
    </w:p>
  </w:footnote>
  <w:footnote w:id="32">
    <w:p w14:paraId="129BB8BF"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91-117 del cuaderno de primera instancia.</w:t>
      </w:r>
    </w:p>
  </w:footnote>
  <w:footnote w:id="33">
    <w:p w14:paraId="7B0B3CEB"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Folios 14, 51 y 73 del cuaderno de primera instancia.</w:t>
      </w:r>
    </w:p>
  </w:footnote>
  <w:footnote w:id="34">
    <w:p w14:paraId="792CF2C9" w14:textId="77777777" w:rsidR="00E73FF1" w:rsidRPr="00D262EF" w:rsidRDefault="00E73FF1" w:rsidP="00E73FF1">
      <w:pPr>
        <w:spacing w:line="240" w:lineRule="auto"/>
        <w:rPr>
          <w:sz w:val="20"/>
          <w:szCs w:val="20"/>
          <w:lang w:val="es-CO"/>
        </w:rPr>
      </w:pPr>
      <w:r w:rsidRPr="00D262EF">
        <w:rPr>
          <w:rStyle w:val="Refdenotaalpie"/>
          <w:rFonts w:cs="Arial"/>
          <w:sz w:val="20"/>
          <w:szCs w:val="20"/>
        </w:rPr>
        <w:footnoteRef/>
      </w:r>
      <w:r w:rsidRPr="00D262EF">
        <w:rPr>
          <w:sz w:val="20"/>
          <w:szCs w:val="20"/>
        </w:rPr>
        <w:t xml:space="preserve"> </w:t>
      </w:r>
      <w:r w:rsidRPr="00D262EF">
        <w:rPr>
          <w:sz w:val="20"/>
          <w:szCs w:val="20"/>
          <w:lang w:val="es-CO"/>
        </w:rPr>
        <w:t>Copia auténtica del referido contrato, visible a folios 123-143 del cuaderno de primera instancia.</w:t>
      </w:r>
    </w:p>
    <w:p w14:paraId="4C6B0D1E" w14:textId="77777777" w:rsidR="00E73FF1" w:rsidRPr="00D262EF" w:rsidRDefault="00E73FF1" w:rsidP="00E73FF1">
      <w:pPr>
        <w:pStyle w:val="Textonotapie"/>
        <w:spacing w:line="240" w:lineRule="auto"/>
        <w:rPr>
          <w:sz w:val="20"/>
          <w:szCs w:val="20"/>
        </w:rPr>
      </w:pPr>
    </w:p>
  </w:footnote>
  <w:footnote w:id="35">
    <w:p w14:paraId="41E31ABB"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El artículo 87 del Código Contencioso Administrativo –Decreto 01 de 1984-, modificado por el artículo 32 de la Ley 446 de 1998 estuvo vigente para las </w:t>
      </w:r>
      <w:r w:rsidRPr="00382C77">
        <w:rPr>
          <w:sz w:val="20"/>
          <w:szCs w:val="20"/>
          <w:highlight w:val="lightGray"/>
        </w:rPr>
        <w:t>demandas presentadas</w:t>
      </w:r>
      <w:r w:rsidRPr="00D262EF">
        <w:rPr>
          <w:sz w:val="20"/>
          <w:szCs w:val="20"/>
        </w:rPr>
        <w:t xml:space="preserve"> a partir del 8 de julio de 1998, que empezó a regir la Ley 446, y hasta el 2 de julio de 2012, fecha de entrada en vigencia del nuevo Código de Procedimiento Administrativo y de lo Contencioso Administrativo C.P.A.C.A., el cual, de acuerdo con lo establecido en su artículo 308, no aplica a las actuaciones administrativas, demandas y procesos en curso.</w:t>
      </w:r>
    </w:p>
  </w:footnote>
  <w:footnote w:id="36">
    <w:p w14:paraId="408541D0"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Consejo de Estado, Sala de lo Contencioso Administrativo, Sección Tercera, sentencia del 30 de abril de 2012, expediente 21571, Subsección B, C.P. Stella Conto Díaz del Castillo. En este mismo sentido ver: sentencia del 13 de junio de 2011, exp. 19336, C.P. Ruth Stella Correa Palacio</w:t>
      </w:r>
    </w:p>
  </w:footnote>
  <w:footnote w:id="37">
    <w:p w14:paraId="533AA626"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Corte Constitucional, sentencia C-1048 del 4 de octubre de 2001, M.P. Marco Gerardo Monroy Cabra. </w:t>
      </w:r>
    </w:p>
  </w:footnote>
  <w:footnote w:id="38">
    <w:p w14:paraId="0C04D4A1"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w:t>
      </w:r>
      <w:r w:rsidRPr="00D262EF">
        <w:rPr>
          <w:bCs/>
          <w:sz w:val="20"/>
          <w:szCs w:val="20"/>
        </w:rPr>
        <w:t>Consejo de Estado, Sección Tercera, sentencia del 4 de febrero de 2010, exp. 16540, C.P. (e) Mauricio Fajardo Gómez</w:t>
      </w:r>
      <w:r w:rsidRPr="00D262EF">
        <w:rPr>
          <w:sz w:val="20"/>
          <w:szCs w:val="20"/>
        </w:rPr>
        <w:t>. En el mismo sentido ver: Consejo de Estado, Sección Tercera, sentencia del 13 de junio del 2011, expediente 19936, CP. Ruth Stella Correa Palacio; Subsección B, sentencias del 28 de septiembre de 2015, exp. 32749, y del 5 de marzo de 2015, exp. 30695, ambas con ponencia de C.P. Danilo Rojas Betancourth.</w:t>
      </w:r>
    </w:p>
  </w:footnote>
  <w:footnote w:id="39">
    <w:p w14:paraId="305DC948"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w:t>
      </w:r>
      <w:r w:rsidRPr="00D262EF">
        <w:rPr>
          <w:sz w:val="20"/>
          <w:szCs w:val="20"/>
          <w:lang w:val="es-MX"/>
        </w:rPr>
        <w:t>Folios 64 y 65 del cuaderno de primera instancia.</w:t>
      </w:r>
    </w:p>
  </w:footnote>
  <w:footnote w:id="40">
    <w:p w14:paraId="18FF89C1"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w:t>
      </w:r>
      <w:r w:rsidRPr="00D262EF">
        <w:rPr>
          <w:sz w:val="20"/>
          <w:szCs w:val="20"/>
          <w:lang w:val="es-MX"/>
        </w:rPr>
        <w:t>Folios 89, 123-143 del cuaderno de primera instancia.</w:t>
      </w:r>
    </w:p>
  </w:footnote>
  <w:footnote w:id="41">
    <w:p w14:paraId="1E54663D" w14:textId="77777777" w:rsidR="00E73FF1" w:rsidRPr="00D262EF" w:rsidRDefault="00E73FF1" w:rsidP="00E73FF1">
      <w:pPr>
        <w:pStyle w:val="Textonotapie"/>
        <w:spacing w:line="240" w:lineRule="auto"/>
        <w:rPr>
          <w:i/>
          <w:sz w:val="20"/>
          <w:szCs w:val="20"/>
        </w:rPr>
      </w:pPr>
      <w:r w:rsidRPr="00D262EF">
        <w:rPr>
          <w:rStyle w:val="Refdenotaalpie"/>
          <w:rFonts w:cs="Arial"/>
          <w:sz w:val="20"/>
          <w:szCs w:val="20"/>
        </w:rPr>
        <w:footnoteRef/>
      </w:r>
      <w:r w:rsidRPr="00D262EF">
        <w:rPr>
          <w:sz w:val="20"/>
          <w:szCs w:val="20"/>
        </w:rPr>
        <w:t xml:space="preserve"> </w:t>
      </w:r>
      <w:r w:rsidRPr="00D262EF">
        <w:rPr>
          <w:b/>
          <w:bCs/>
          <w:i/>
          <w:sz w:val="20"/>
          <w:szCs w:val="20"/>
        </w:rPr>
        <w:t>ARTÍCULO 41. DEL PERFECCIONAMIENTO DEL CONTRATO.</w:t>
      </w:r>
      <w:r w:rsidRPr="00D262EF">
        <w:rPr>
          <w:i/>
          <w:sz w:val="20"/>
          <w:szCs w:val="20"/>
        </w:rPr>
        <w:t> Los contratos del Estado se perfeccionan cuando se logre acuerdo sobre el objeto y la contraprestación y éste se eleve a escrito. (…) PARÁGRAFO 3</w:t>
      </w:r>
      <w:r w:rsidRPr="00D262EF">
        <w:rPr>
          <w:sz w:val="20"/>
          <w:szCs w:val="20"/>
        </w:rPr>
        <w:t xml:space="preserve">. </w:t>
      </w:r>
      <w:r w:rsidRPr="00D262EF">
        <w:rPr>
          <w:i/>
          <w:sz w:val="20"/>
          <w:szCs w:val="20"/>
          <w:shd w:val="clear" w:color="auto" w:fill="FFFFFF"/>
        </w:rPr>
        <w:t>Salvo lo previsto en el parágrafo anterior perfeccionado el contrato, se solicitará su publicación en el Diario Oficial o Gaceta Oficial correspondiente a la respectiva entidad territorial, o a falta de dicho medio, por algún mecanismo determinado en forma general por la autoridad administrativa territorial, que permita a los habitantes conocer su contenido. Cuando se utilice un medio de divulgación oficial, este requisito se entiende cumplido con el pago de los derechos correspondientes.</w:t>
      </w:r>
    </w:p>
  </w:footnote>
  <w:footnote w:id="42">
    <w:p w14:paraId="26E303AF" w14:textId="77777777" w:rsidR="00E73FF1" w:rsidRPr="00D262EF" w:rsidRDefault="00E73FF1" w:rsidP="00E73FF1">
      <w:pPr>
        <w:pStyle w:val="Textonotapie"/>
        <w:spacing w:line="240" w:lineRule="auto"/>
        <w:rPr>
          <w:i/>
          <w:sz w:val="20"/>
          <w:szCs w:val="20"/>
        </w:rPr>
      </w:pPr>
      <w:r w:rsidRPr="00D262EF">
        <w:rPr>
          <w:rStyle w:val="Refdenotaalpie"/>
          <w:rFonts w:cs="Arial"/>
          <w:sz w:val="20"/>
          <w:szCs w:val="20"/>
        </w:rPr>
        <w:footnoteRef/>
      </w:r>
      <w:r w:rsidRPr="00D262EF">
        <w:rPr>
          <w:sz w:val="20"/>
          <w:szCs w:val="20"/>
        </w:rPr>
        <w:t xml:space="preserve"> </w:t>
      </w:r>
      <w:r w:rsidRPr="00D262EF">
        <w:rPr>
          <w:bCs/>
          <w:i/>
          <w:sz w:val="20"/>
          <w:szCs w:val="20"/>
          <w:shd w:val="clear" w:color="auto" w:fill="FFFFFF"/>
        </w:rPr>
        <w:t>Artículo 24</w:t>
      </w:r>
      <w:r w:rsidRPr="00D262EF">
        <w:rPr>
          <w:i/>
          <w:sz w:val="20"/>
          <w:szCs w:val="20"/>
          <w:shd w:val="clear" w:color="auto" w:fill="FFFFFF"/>
        </w:rPr>
        <w:t>°.- </w:t>
      </w:r>
      <w:r w:rsidRPr="00D262EF">
        <w:rPr>
          <w:i/>
          <w:iCs/>
          <w:sz w:val="20"/>
          <w:szCs w:val="20"/>
          <w:shd w:val="clear" w:color="auto" w:fill="FFFFFF"/>
        </w:rPr>
        <w:t>De la publicación de los contratos</w:t>
      </w:r>
      <w:r w:rsidRPr="00D262EF">
        <w:rPr>
          <w:i/>
          <w:sz w:val="20"/>
          <w:szCs w:val="20"/>
          <w:shd w:val="clear" w:color="auto" w:fill="FFFFFF"/>
        </w:rPr>
        <w:t>. Deberán publicarse en la forma prevista en el parágrafo 3° del artículo 41 de la Ley 80 de 1993, los contratos que deben tener formalidades plenas de acuerdo con el artículo 39 de la misma ley.</w:t>
      </w:r>
    </w:p>
  </w:footnote>
  <w:footnote w:id="43">
    <w:p w14:paraId="6E111C06" w14:textId="77777777" w:rsidR="00E73FF1" w:rsidRPr="00D262EF" w:rsidRDefault="00E73FF1" w:rsidP="00E73FF1">
      <w:pPr>
        <w:pStyle w:val="Textonotapie"/>
        <w:spacing w:line="240" w:lineRule="auto"/>
        <w:rPr>
          <w:sz w:val="20"/>
          <w:szCs w:val="20"/>
          <w:lang w:val="pt-BR"/>
        </w:rPr>
      </w:pPr>
      <w:r w:rsidRPr="00D262EF">
        <w:rPr>
          <w:rStyle w:val="Refdenotaalpie"/>
          <w:rFonts w:cs="Arial"/>
          <w:sz w:val="20"/>
          <w:szCs w:val="20"/>
        </w:rPr>
        <w:footnoteRef/>
      </w:r>
      <w:r w:rsidRPr="00D262EF">
        <w:rPr>
          <w:sz w:val="20"/>
          <w:szCs w:val="20"/>
          <w:lang w:val="pt-BR"/>
        </w:rPr>
        <w:t xml:space="preserve"> Corte Constitucional, sentencia C-712 de 2005, M.P. Manuel José Cepeda Espinosa.</w:t>
      </w:r>
    </w:p>
  </w:footnote>
  <w:footnote w:id="44">
    <w:p w14:paraId="216D0F03" w14:textId="77777777" w:rsidR="00E73FF1" w:rsidRPr="00D262EF" w:rsidRDefault="00E73FF1" w:rsidP="00E73FF1">
      <w:pPr>
        <w:spacing w:line="240" w:lineRule="auto"/>
        <w:rPr>
          <w:sz w:val="20"/>
          <w:szCs w:val="20"/>
          <w:lang w:val="es-ES"/>
        </w:rPr>
      </w:pPr>
      <w:r w:rsidRPr="00D262EF">
        <w:rPr>
          <w:rStyle w:val="Refdenotaalpie"/>
          <w:rFonts w:cs="Arial"/>
          <w:sz w:val="20"/>
          <w:szCs w:val="20"/>
        </w:rPr>
        <w:footnoteRef/>
      </w:r>
      <w:r w:rsidRPr="00D262EF">
        <w:rPr>
          <w:sz w:val="20"/>
          <w:szCs w:val="20"/>
        </w:rPr>
        <w:t xml:space="preserve"> “</w:t>
      </w:r>
      <w:r w:rsidRPr="00D262EF">
        <w:rPr>
          <w:i/>
          <w:sz w:val="20"/>
          <w:szCs w:val="20"/>
          <w:shd w:val="clear" w:color="auto" w:fill="FFFFFF"/>
        </w:rPr>
        <w:t>25. En el caso particular, la Sala advierte que ninguna de las pretensiones de la demanda se encaminó a obtener la declaración de nulidad del contrato  de concesión n.º 198 de 1999, que se suscribió el 15 de diciembre de 1999, es decir, antes del vencimiento de los 30 días de que trata el artículo 87 del Código Contencioso Administrativo y ciertamente antes de la presentación de la demanda el 26 de enero del 2000, y que se deriva del acto administrativo de adjudicación en el que se habrían producido la totalidad de irregularidades que se alegan como fundamento jurídico del libelo (ver supra párr. 1).//26. Por lo tanto, la Sala encuentra justificada la decisión de primera instancia de declarar la ineptitud sustancial de la demanda por la falta de un requisito procedimental de cardinal importancia en la vocación de prosperidad de la acción ejercida, y por ende confirmará esa determinación</w:t>
      </w:r>
      <w:r w:rsidRPr="00D262EF">
        <w:rPr>
          <w:sz w:val="20"/>
          <w:szCs w:val="20"/>
          <w:shd w:val="clear" w:color="auto" w:fill="FFFFFF"/>
        </w:rPr>
        <w:t xml:space="preserve">”. Consejo de Estado, Sección Tercera, Subsección B, sentencia del 5 de marzo de 2015, exp. </w:t>
      </w:r>
      <w:r w:rsidRPr="00D262EF">
        <w:rPr>
          <w:sz w:val="20"/>
          <w:szCs w:val="20"/>
          <w:lang w:val="es-CO"/>
        </w:rPr>
        <w:t>30695, C.P. Danilo Rojas Betancourth. Igualmente, consultar: Consejo de Estado, Sección Tercera, Subsección A, sentencia del 27 de mayo de 2015, exp. 36978, C.P. (e) Hernán Andrade Rincón, y Subsección C, sentencia del 29 de abril de 2015, exp. 29924, C.P. Olga Mélida Valle de De la Hoz.</w:t>
      </w:r>
    </w:p>
  </w:footnote>
  <w:footnote w:id="45">
    <w:p w14:paraId="6FE5B13E" w14:textId="77777777" w:rsidR="00E73FF1" w:rsidRPr="00D262EF" w:rsidRDefault="00E73FF1" w:rsidP="00E73FF1">
      <w:pPr>
        <w:pStyle w:val="Textonotapie"/>
        <w:spacing w:line="240" w:lineRule="auto"/>
        <w:rPr>
          <w:sz w:val="20"/>
          <w:szCs w:val="20"/>
        </w:rPr>
      </w:pPr>
      <w:r w:rsidRPr="00D262EF">
        <w:rPr>
          <w:rStyle w:val="Refdenotaalpie"/>
          <w:rFonts w:cs="Arial"/>
          <w:sz w:val="20"/>
          <w:szCs w:val="20"/>
        </w:rPr>
        <w:footnoteRef/>
      </w:r>
      <w:r w:rsidRPr="00D262EF">
        <w:rPr>
          <w:sz w:val="20"/>
          <w:szCs w:val="20"/>
        </w:rPr>
        <w:t xml:space="preserve"> Consejo de Estado, Sala de lo Contencioso Administrativo, Sección Tercera, sentencia del 9 de febrero de 2012, exp. 21060, C.P. Mauricio Fajardo Gómez.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BFB4" w14:textId="77777777" w:rsidR="00CD1EA9" w:rsidRDefault="0088008A">
    <w:pPr>
      <w:jc w:val="center"/>
      <w:rPr>
        <w:b/>
        <w:bCs/>
      </w:rPr>
    </w:pPr>
    <w:r>
      <w:rPr>
        <w:noProof/>
        <w:lang w:val="en-US" w:eastAsia="en-US"/>
      </w:rPr>
      <w:drawing>
        <wp:anchor distT="0" distB="0" distL="114935" distR="114935" simplePos="0" relativeHeight="251657728" behindDoc="0" locked="0" layoutInCell="1" allowOverlap="1" wp14:anchorId="15D503AD" wp14:editId="27FAB6BA">
          <wp:simplePos x="0" y="0"/>
          <wp:positionH relativeFrom="page">
            <wp:posOffset>708025</wp:posOffset>
          </wp:positionH>
          <wp:positionV relativeFrom="paragraph">
            <wp:posOffset>-80645</wp:posOffset>
          </wp:positionV>
          <wp:extent cx="1160145" cy="1120775"/>
          <wp:effectExtent l="0" t="0" r="0" b="0"/>
          <wp:wrapSquare wrapText="larges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120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8042FC8" w14:textId="77777777" w:rsidR="00CD1EA9" w:rsidRDefault="00CD1EA9">
    <w:pPr>
      <w:jc w:val="center"/>
      <w:rPr>
        <w:b/>
        <w:bCs/>
      </w:rPr>
    </w:pPr>
  </w:p>
  <w:p w14:paraId="53AA123A" w14:textId="77777777" w:rsidR="00CD1EA9" w:rsidRDefault="00CD1EA9">
    <w:pPr>
      <w:jc w:val="center"/>
      <w:rPr>
        <w:b/>
        <w:bCs/>
      </w:rPr>
    </w:pPr>
  </w:p>
  <w:p w14:paraId="3E8A1D9A" w14:textId="77777777" w:rsidR="00CD1EA9" w:rsidRDefault="00CD1EA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437F30E8"/>
    <w:multiLevelType w:val="hybridMultilevel"/>
    <w:tmpl w:val="D654CD3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6E92A85"/>
    <w:multiLevelType w:val="hybridMultilevel"/>
    <w:tmpl w:val="949A7778"/>
    <w:lvl w:ilvl="0" w:tplc="6E4E243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4133AC"/>
    <w:multiLevelType w:val="multilevel"/>
    <w:tmpl w:val="7EF6282A"/>
    <w:lvl w:ilvl="0">
      <w:start w:val="9"/>
      <w:numFmt w:val="decimal"/>
      <w:lvlText w:val="%1"/>
      <w:lvlJc w:val="left"/>
      <w:pPr>
        <w:ind w:left="555" w:hanging="55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C4C475F"/>
    <w:multiLevelType w:val="hybridMultilevel"/>
    <w:tmpl w:val="BB8ECE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0"/>
  </w:num>
  <w:num w:numId="5">
    <w:abstractNumId w:val="9"/>
  </w:num>
  <w:num w:numId="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42"/>
    <w:rsid w:val="000003A5"/>
    <w:rsid w:val="000003FF"/>
    <w:rsid w:val="00000641"/>
    <w:rsid w:val="00000764"/>
    <w:rsid w:val="00000A04"/>
    <w:rsid w:val="00000BFD"/>
    <w:rsid w:val="00000D71"/>
    <w:rsid w:val="00001509"/>
    <w:rsid w:val="00001561"/>
    <w:rsid w:val="0000190A"/>
    <w:rsid w:val="00001A05"/>
    <w:rsid w:val="00001A22"/>
    <w:rsid w:val="00001A86"/>
    <w:rsid w:val="000021AD"/>
    <w:rsid w:val="0000256A"/>
    <w:rsid w:val="000028E4"/>
    <w:rsid w:val="00002A68"/>
    <w:rsid w:val="000030E1"/>
    <w:rsid w:val="00003B75"/>
    <w:rsid w:val="00003E62"/>
    <w:rsid w:val="00003F28"/>
    <w:rsid w:val="000046C1"/>
    <w:rsid w:val="00004E42"/>
    <w:rsid w:val="00004E58"/>
    <w:rsid w:val="000053C0"/>
    <w:rsid w:val="00005724"/>
    <w:rsid w:val="00006A19"/>
    <w:rsid w:val="00006A73"/>
    <w:rsid w:val="00006DDE"/>
    <w:rsid w:val="0000710A"/>
    <w:rsid w:val="00007337"/>
    <w:rsid w:val="000074F4"/>
    <w:rsid w:val="00007713"/>
    <w:rsid w:val="00010B2D"/>
    <w:rsid w:val="00010C96"/>
    <w:rsid w:val="000114F8"/>
    <w:rsid w:val="00011D94"/>
    <w:rsid w:val="00011EAC"/>
    <w:rsid w:val="00011EC9"/>
    <w:rsid w:val="000121EE"/>
    <w:rsid w:val="000123A6"/>
    <w:rsid w:val="00012DE3"/>
    <w:rsid w:val="000130D9"/>
    <w:rsid w:val="00013112"/>
    <w:rsid w:val="00013B4B"/>
    <w:rsid w:val="000143CE"/>
    <w:rsid w:val="00014662"/>
    <w:rsid w:val="00014B38"/>
    <w:rsid w:val="00014FEF"/>
    <w:rsid w:val="00014FF2"/>
    <w:rsid w:val="00015376"/>
    <w:rsid w:val="000154D9"/>
    <w:rsid w:val="00015658"/>
    <w:rsid w:val="00015A6F"/>
    <w:rsid w:val="00015DB1"/>
    <w:rsid w:val="00015E56"/>
    <w:rsid w:val="00016869"/>
    <w:rsid w:val="00016A65"/>
    <w:rsid w:val="00016F45"/>
    <w:rsid w:val="0001763B"/>
    <w:rsid w:val="0001773D"/>
    <w:rsid w:val="00017C0E"/>
    <w:rsid w:val="00017E08"/>
    <w:rsid w:val="0002002A"/>
    <w:rsid w:val="000200DC"/>
    <w:rsid w:val="00020403"/>
    <w:rsid w:val="000206BE"/>
    <w:rsid w:val="000207EB"/>
    <w:rsid w:val="000207F8"/>
    <w:rsid w:val="000208ED"/>
    <w:rsid w:val="00020AD4"/>
    <w:rsid w:val="00020ED5"/>
    <w:rsid w:val="000217B8"/>
    <w:rsid w:val="000218C6"/>
    <w:rsid w:val="00021992"/>
    <w:rsid w:val="00021BF8"/>
    <w:rsid w:val="00021DBA"/>
    <w:rsid w:val="00022391"/>
    <w:rsid w:val="00022494"/>
    <w:rsid w:val="00022819"/>
    <w:rsid w:val="000229BD"/>
    <w:rsid w:val="00022C43"/>
    <w:rsid w:val="00022CD4"/>
    <w:rsid w:val="00023645"/>
    <w:rsid w:val="00023B3C"/>
    <w:rsid w:val="00023BF3"/>
    <w:rsid w:val="00023D36"/>
    <w:rsid w:val="00023DA4"/>
    <w:rsid w:val="00024053"/>
    <w:rsid w:val="000241A0"/>
    <w:rsid w:val="000241D8"/>
    <w:rsid w:val="000242C1"/>
    <w:rsid w:val="00024532"/>
    <w:rsid w:val="0002499E"/>
    <w:rsid w:val="00024ED6"/>
    <w:rsid w:val="0002577C"/>
    <w:rsid w:val="00025A62"/>
    <w:rsid w:val="00025A7B"/>
    <w:rsid w:val="00025F40"/>
    <w:rsid w:val="000260D4"/>
    <w:rsid w:val="000261D8"/>
    <w:rsid w:val="00026435"/>
    <w:rsid w:val="0002677E"/>
    <w:rsid w:val="00026FF5"/>
    <w:rsid w:val="000273DE"/>
    <w:rsid w:val="00027FD5"/>
    <w:rsid w:val="0003037C"/>
    <w:rsid w:val="000303E6"/>
    <w:rsid w:val="000304AA"/>
    <w:rsid w:val="000307CB"/>
    <w:rsid w:val="00030813"/>
    <w:rsid w:val="00030894"/>
    <w:rsid w:val="00030907"/>
    <w:rsid w:val="000309CF"/>
    <w:rsid w:val="00030D2B"/>
    <w:rsid w:val="00030D8D"/>
    <w:rsid w:val="00030EE5"/>
    <w:rsid w:val="00031480"/>
    <w:rsid w:val="0003176B"/>
    <w:rsid w:val="00031CED"/>
    <w:rsid w:val="00032142"/>
    <w:rsid w:val="00032364"/>
    <w:rsid w:val="000323D0"/>
    <w:rsid w:val="00032916"/>
    <w:rsid w:val="00032B92"/>
    <w:rsid w:val="00032BEE"/>
    <w:rsid w:val="00032DA0"/>
    <w:rsid w:val="000332F2"/>
    <w:rsid w:val="0003332B"/>
    <w:rsid w:val="000335E7"/>
    <w:rsid w:val="00033654"/>
    <w:rsid w:val="00033707"/>
    <w:rsid w:val="00033740"/>
    <w:rsid w:val="00033A9D"/>
    <w:rsid w:val="00033AB8"/>
    <w:rsid w:val="00034080"/>
    <w:rsid w:val="00034DEA"/>
    <w:rsid w:val="00034E21"/>
    <w:rsid w:val="00035926"/>
    <w:rsid w:val="00035B5D"/>
    <w:rsid w:val="00035C71"/>
    <w:rsid w:val="00035F21"/>
    <w:rsid w:val="00036006"/>
    <w:rsid w:val="000368C6"/>
    <w:rsid w:val="00036D63"/>
    <w:rsid w:val="000376DA"/>
    <w:rsid w:val="000378F1"/>
    <w:rsid w:val="00037AE1"/>
    <w:rsid w:val="00037B29"/>
    <w:rsid w:val="00037BFB"/>
    <w:rsid w:val="00037C53"/>
    <w:rsid w:val="00037FAA"/>
    <w:rsid w:val="00040740"/>
    <w:rsid w:val="000407A3"/>
    <w:rsid w:val="000408BA"/>
    <w:rsid w:val="00041892"/>
    <w:rsid w:val="00041A1A"/>
    <w:rsid w:val="00041F4C"/>
    <w:rsid w:val="00042945"/>
    <w:rsid w:val="00042A98"/>
    <w:rsid w:val="00043118"/>
    <w:rsid w:val="00043127"/>
    <w:rsid w:val="000431AD"/>
    <w:rsid w:val="00043247"/>
    <w:rsid w:val="000433E4"/>
    <w:rsid w:val="00043763"/>
    <w:rsid w:val="000437CD"/>
    <w:rsid w:val="00043BA6"/>
    <w:rsid w:val="00043DD0"/>
    <w:rsid w:val="00043FA0"/>
    <w:rsid w:val="0004420C"/>
    <w:rsid w:val="00044255"/>
    <w:rsid w:val="00044271"/>
    <w:rsid w:val="0004472E"/>
    <w:rsid w:val="00044C21"/>
    <w:rsid w:val="00045428"/>
    <w:rsid w:val="000456B6"/>
    <w:rsid w:val="000456D5"/>
    <w:rsid w:val="000458C2"/>
    <w:rsid w:val="00045EDC"/>
    <w:rsid w:val="000465B0"/>
    <w:rsid w:val="000467DF"/>
    <w:rsid w:val="000470C9"/>
    <w:rsid w:val="00047228"/>
    <w:rsid w:val="00047AC9"/>
    <w:rsid w:val="0005008B"/>
    <w:rsid w:val="00050251"/>
    <w:rsid w:val="00050461"/>
    <w:rsid w:val="000506DF"/>
    <w:rsid w:val="0005074A"/>
    <w:rsid w:val="00050B91"/>
    <w:rsid w:val="00050C43"/>
    <w:rsid w:val="00050D88"/>
    <w:rsid w:val="00050FB9"/>
    <w:rsid w:val="000513E0"/>
    <w:rsid w:val="0005146D"/>
    <w:rsid w:val="000516E0"/>
    <w:rsid w:val="000518AF"/>
    <w:rsid w:val="000518EA"/>
    <w:rsid w:val="0005196B"/>
    <w:rsid w:val="00051B99"/>
    <w:rsid w:val="000523E5"/>
    <w:rsid w:val="000525C1"/>
    <w:rsid w:val="00052738"/>
    <w:rsid w:val="00052B4B"/>
    <w:rsid w:val="00052F15"/>
    <w:rsid w:val="000537B1"/>
    <w:rsid w:val="00053B53"/>
    <w:rsid w:val="00053CDB"/>
    <w:rsid w:val="0005493F"/>
    <w:rsid w:val="000552C5"/>
    <w:rsid w:val="000552DD"/>
    <w:rsid w:val="00055787"/>
    <w:rsid w:val="00055A0A"/>
    <w:rsid w:val="00055E20"/>
    <w:rsid w:val="00055FF4"/>
    <w:rsid w:val="00056390"/>
    <w:rsid w:val="00056799"/>
    <w:rsid w:val="00056D95"/>
    <w:rsid w:val="00056FE7"/>
    <w:rsid w:val="0005703C"/>
    <w:rsid w:val="00057433"/>
    <w:rsid w:val="00057F55"/>
    <w:rsid w:val="0006021E"/>
    <w:rsid w:val="0006035E"/>
    <w:rsid w:val="0006050B"/>
    <w:rsid w:val="000609CA"/>
    <w:rsid w:val="00060B62"/>
    <w:rsid w:val="00060CBD"/>
    <w:rsid w:val="00061042"/>
    <w:rsid w:val="00061582"/>
    <w:rsid w:val="00061640"/>
    <w:rsid w:val="00061C4E"/>
    <w:rsid w:val="0006256F"/>
    <w:rsid w:val="00062AC4"/>
    <w:rsid w:val="00062D9E"/>
    <w:rsid w:val="00062E41"/>
    <w:rsid w:val="00062ECC"/>
    <w:rsid w:val="00063761"/>
    <w:rsid w:val="00063DD5"/>
    <w:rsid w:val="00064119"/>
    <w:rsid w:val="000645A6"/>
    <w:rsid w:val="00064632"/>
    <w:rsid w:val="000649C8"/>
    <w:rsid w:val="00064D2E"/>
    <w:rsid w:val="00064EE3"/>
    <w:rsid w:val="00064FA8"/>
    <w:rsid w:val="00065322"/>
    <w:rsid w:val="00065455"/>
    <w:rsid w:val="0006572B"/>
    <w:rsid w:val="000657A8"/>
    <w:rsid w:val="000659F3"/>
    <w:rsid w:val="00066139"/>
    <w:rsid w:val="0006675C"/>
    <w:rsid w:val="00066813"/>
    <w:rsid w:val="00066855"/>
    <w:rsid w:val="00066E04"/>
    <w:rsid w:val="00067441"/>
    <w:rsid w:val="0006767F"/>
    <w:rsid w:val="000679A9"/>
    <w:rsid w:val="00067E11"/>
    <w:rsid w:val="000701A2"/>
    <w:rsid w:val="00070818"/>
    <w:rsid w:val="00070CA4"/>
    <w:rsid w:val="00070D3D"/>
    <w:rsid w:val="00070FA5"/>
    <w:rsid w:val="00071A12"/>
    <w:rsid w:val="00072553"/>
    <w:rsid w:val="000736AF"/>
    <w:rsid w:val="00074230"/>
    <w:rsid w:val="00074A84"/>
    <w:rsid w:val="00075203"/>
    <w:rsid w:val="00075223"/>
    <w:rsid w:val="000757BB"/>
    <w:rsid w:val="0007627A"/>
    <w:rsid w:val="0007663B"/>
    <w:rsid w:val="00076764"/>
    <w:rsid w:val="000773EA"/>
    <w:rsid w:val="000774FE"/>
    <w:rsid w:val="000777AA"/>
    <w:rsid w:val="00077943"/>
    <w:rsid w:val="00080220"/>
    <w:rsid w:val="000805BC"/>
    <w:rsid w:val="00080820"/>
    <w:rsid w:val="00080CE4"/>
    <w:rsid w:val="00080CEA"/>
    <w:rsid w:val="00080EF2"/>
    <w:rsid w:val="00080F4A"/>
    <w:rsid w:val="000810F9"/>
    <w:rsid w:val="000811A7"/>
    <w:rsid w:val="0008136A"/>
    <w:rsid w:val="000816FB"/>
    <w:rsid w:val="00081704"/>
    <w:rsid w:val="000819E8"/>
    <w:rsid w:val="00081A8F"/>
    <w:rsid w:val="0008222B"/>
    <w:rsid w:val="0008223F"/>
    <w:rsid w:val="00082886"/>
    <w:rsid w:val="00082D65"/>
    <w:rsid w:val="000830BB"/>
    <w:rsid w:val="00083485"/>
    <w:rsid w:val="00083D14"/>
    <w:rsid w:val="00084308"/>
    <w:rsid w:val="0008469E"/>
    <w:rsid w:val="00084816"/>
    <w:rsid w:val="000848D7"/>
    <w:rsid w:val="000850FE"/>
    <w:rsid w:val="00085685"/>
    <w:rsid w:val="000857E6"/>
    <w:rsid w:val="0008588D"/>
    <w:rsid w:val="00085948"/>
    <w:rsid w:val="00085C04"/>
    <w:rsid w:val="00085D93"/>
    <w:rsid w:val="00086B51"/>
    <w:rsid w:val="00086B9A"/>
    <w:rsid w:val="00086E18"/>
    <w:rsid w:val="000870C3"/>
    <w:rsid w:val="00087500"/>
    <w:rsid w:val="00087E9F"/>
    <w:rsid w:val="00090145"/>
    <w:rsid w:val="000908AA"/>
    <w:rsid w:val="0009095D"/>
    <w:rsid w:val="00090A17"/>
    <w:rsid w:val="00090C95"/>
    <w:rsid w:val="00090E2A"/>
    <w:rsid w:val="00091586"/>
    <w:rsid w:val="00091896"/>
    <w:rsid w:val="0009191D"/>
    <w:rsid w:val="00091B13"/>
    <w:rsid w:val="00091DC4"/>
    <w:rsid w:val="000920E8"/>
    <w:rsid w:val="0009220C"/>
    <w:rsid w:val="00092BB9"/>
    <w:rsid w:val="00092F34"/>
    <w:rsid w:val="0009310C"/>
    <w:rsid w:val="00093230"/>
    <w:rsid w:val="00093A65"/>
    <w:rsid w:val="00093ACB"/>
    <w:rsid w:val="00093AEA"/>
    <w:rsid w:val="00093B9D"/>
    <w:rsid w:val="00093E4D"/>
    <w:rsid w:val="00094067"/>
    <w:rsid w:val="00094080"/>
    <w:rsid w:val="00094623"/>
    <w:rsid w:val="00094BE7"/>
    <w:rsid w:val="00094D23"/>
    <w:rsid w:val="00094D70"/>
    <w:rsid w:val="000953F2"/>
    <w:rsid w:val="000954FD"/>
    <w:rsid w:val="00095AB3"/>
    <w:rsid w:val="00095CD1"/>
    <w:rsid w:val="00095DC0"/>
    <w:rsid w:val="00096027"/>
    <w:rsid w:val="00096426"/>
    <w:rsid w:val="00096637"/>
    <w:rsid w:val="0009685F"/>
    <w:rsid w:val="0009697D"/>
    <w:rsid w:val="00096D7A"/>
    <w:rsid w:val="000970B1"/>
    <w:rsid w:val="0009740C"/>
    <w:rsid w:val="00097525"/>
    <w:rsid w:val="0009752E"/>
    <w:rsid w:val="00097828"/>
    <w:rsid w:val="0009787C"/>
    <w:rsid w:val="0009793C"/>
    <w:rsid w:val="00097DF4"/>
    <w:rsid w:val="000A005F"/>
    <w:rsid w:val="000A021F"/>
    <w:rsid w:val="000A031D"/>
    <w:rsid w:val="000A06D3"/>
    <w:rsid w:val="000A07A4"/>
    <w:rsid w:val="000A0A3C"/>
    <w:rsid w:val="000A0E0D"/>
    <w:rsid w:val="000A100B"/>
    <w:rsid w:val="000A1228"/>
    <w:rsid w:val="000A13B7"/>
    <w:rsid w:val="000A1616"/>
    <w:rsid w:val="000A1A99"/>
    <w:rsid w:val="000A1AA9"/>
    <w:rsid w:val="000A2095"/>
    <w:rsid w:val="000A2431"/>
    <w:rsid w:val="000A288A"/>
    <w:rsid w:val="000A2AF7"/>
    <w:rsid w:val="000A2BC3"/>
    <w:rsid w:val="000A2EE9"/>
    <w:rsid w:val="000A3C8E"/>
    <w:rsid w:val="000A3D03"/>
    <w:rsid w:val="000A3D29"/>
    <w:rsid w:val="000A41A2"/>
    <w:rsid w:val="000A441A"/>
    <w:rsid w:val="000A511F"/>
    <w:rsid w:val="000A517F"/>
    <w:rsid w:val="000A5248"/>
    <w:rsid w:val="000A629A"/>
    <w:rsid w:val="000A68DE"/>
    <w:rsid w:val="000A69A9"/>
    <w:rsid w:val="000A6B67"/>
    <w:rsid w:val="000A6C88"/>
    <w:rsid w:val="000A70E2"/>
    <w:rsid w:val="000A7463"/>
    <w:rsid w:val="000A7838"/>
    <w:rsid w:val="000A79D7"/>
    <w:rsid w:val="000A7C90"/>
    <w:rsid w:val="000A7DAF"/>
    <w:rsid w:val="000B042F"/>
    <w:rsid w:val="000B04DA"/>
    <w:rsid w:val="000B075E"/>
    <w:rsid w:val="000B0C20"/>
    <w:rsid w:val="000B10C0"/>
    <w:rsid w:val="000B1136"/>
    <w:rsid w:val="000B16C3"/>
    <w:rsid w:val="000B192F"/>
    <w:rsid w:val="000B199A"/>
    <w:rsid w:val="000B1F3B"/>
    <w:rsid w:val="000B2294"/>
    <w:rsid w:val="000B2BE7"/>
    <w:rsid w:val="000B2FD4"/>
    <w:rsid w:val="000B3275"/>
    <w:rsid w:val="000B3373"/>
    <w:rsid w:val="000B34A5"/>
    <w:rsid w:val="000B3EC6"/>
    <w:rsid w:val="000B409A"/>
    <w:rsid w:val="000B41F3"/>
    <w:rsid w:val="000B453C"/>
    <w:rsid w:val="000B4AF3"/>
    <w:rsid w:val="000B4CAA"/>
    <w:rsid w:val="000B569D"/>
    <w:rsid w:val="000B578A"/>
    <w:rsid w:val="000B5832"/>
    <w:rsid w:val="000B5C80"/>
    <w:rsid w:val="000B5D69"/>
    <w:rsid w:val="000B62CB"/>
    <w:rsid w:val="000B64C0"/>
    <w:rsid w:val="000B666C"/>
    <w:rsid w:val="000B671C"/>
    <w:rsid w:val="000B6FFE"/>
    <w:rsid w:val="000B7190"/>
    <w:rsid w:val="000B7417"/>
    <w:rsid w:val="000B745C"/>
    <w:rsid w:val="000B7770"/>
    <w:rsid w:val="000B7B76"/>
    <w:rsid w:val="000B7DC5"/>
    <w:rsid w:val="000C00E0"/>
    <w:rsid w:val="000C0B96"/>
    <w:rsid w:val="000C13C2"/>
    <w:rsid w:val="000C16E1"/>
    <w:rsid w:val="000C21FE"/>
    <w:rsid w:val="000C22AE"/>
    <w:rsid w:val="000C2314"/>
    <w:rsid w:val="000C233E"/>
    <w:rsid w:val="000C23DF"/>
    <w:rsid w:val="000C24E8"/>
    <w:rsid w:val="000C2EBD"/>
    <w:rsid w:val="000C2F7F"/>
    <w:rsid w:val="000C2FE3"/>
    <w:rsid w:val="000C354D"/>
    <w:rsid w:val="000C373E"/>
    <w:rsid w:val="000C385A"/>
    <w:rsid w:val="000C3AAB"/>
    <w:rsid w:val="000C3CBB"/>
    <w:rsid w:val="000C3CFF"/>
    <w:rsid w:val="000C3D09"/>
    <w:rsid w:val="000C41A0"/>
    <w:rsid w:val="000C440A"/>
    <w:rsid w:val="000C4569"/>
    <w:rsid w:val="000C468A"/>
    <w:rsid w:val="000C4742"/>
    <w:rsid w:val="000C5778"/>
    <w:rsid w:val="000C580A"/>
    <w:rsid w:val="000C5AF2"/>
    <w:rsid w:val="000C6BD6"/>
    <w:rsid w:val="000C6D9E"/>
    <w:rsid w:val="000C7A54"/>
    <w:rsid w:val="000C7B2F"/>
    <w:rsid w:val="000C7CE0"/>
    <w:rsid w:val="000D00C1"/>
    <w:rsid w:val="000D0125"/>
    <w:rsid w:val="000D016F"/>
    <w:rsid w:val="000D01C7"/>
    <w:rsid w:val="000D0864"/>
    <w:rsid w:val="000D09AE"/>
    <w:rsid w:val="000D0B50"/>
    <w:rsid w:val="000D0DEA"/>
    <w:rsid w:val="000D0F17"/>
    <w:rsid w:val="000D11DE"/>
    <w:rsid w:val="000D1B12"/>
    <w:rsid w:val="000D1E2E"/>
    <w:rsid w:val="000D2171"/>
    <w:rsid w:val="000D23AE"/>
    <w:rsid w:val="000D28F4"/>
    <w:rsid w:val="000D29AA"/>
    <w:rsid w:val="000D2EA5"/>
    <w:rsid w:val="000D3441"/>
    <w:rsid w:val="000D382F"/>
    <w:rsid w:val="000D38CF"/>
    <w:rsid w:val="000D3BC1"/>
    <w:rsid w:val="000D3D80"/>
    <w:rsid w:val="000D4200"/>
    <w:rsid w:val="000D447D"/>
    <w:rsid w:val="000D4CC6"/>
    <w:rsid w:val="000D51F2"/>
    <w:rsid w:val="000D57FF"/>
    <w:rsid w:val="000D5BEF"/>
    <w:rsid w:val="000D5F81"/>
    <w:rsid w:val="000D60E9"/>
    <w:rsid w:val="000D61EC"/>
    <w:rsid w:val="000D638E"/>
    <w:rsid w:val="000D651E"/>
    <w:rsid w:val="000D6990"/>
    <w:rsid w:val="000D6A8A"/>
    <w:rsid w:val="000D6AEE"/>
    <w:rsid w:val="000D6AF2"/>
    <w:rsid w:val="000D6C2E"/>
    <w:rsid w:val="000D79E2"/>
    <w:rsid w:val="000D7C73"/>
    <w:rsid w:val="000D7F83"/>
    <w:rsid w:val="000E050F"/>
    <w:rsid w:val="000E07D2"/>
    <w:rsid w:val="000E0CE0"/>
    <w:rsid w:val="000E0D1D"/>
    <w:rsid w:val="000E1632"/>
    <w:rsid w:val="000E1668"/>
    <w:rsid w:val="000E187E"/>
    <w:rsid w:val="000E1BED"/>
    <w:rsid w:val="000E1CC1"/>
    <w:rsid w:val="000E1D8C"/>
    <w:rsid w:val="000E23F8"/>
    <w:rsid w:val="000E2869"/>
    <w:rsid w:val="000E2BE9"/>
    <w:rsid w:val="000E2C65"/>
    <w:rsid w:val="000E2CDF"/>
    <w:rsid w:val="000E3361"/>
    <w:rsid w:val="000E38CC"/>
    <w:rsid w:val="000E3947"/>
    <w:rsid w:val="000E3C61"/>
    <w:rsid w:val="000E40D9"/>
    <w:rsid w:val="000E4369"/>
    <w:rsid w:val="000E440E"/>
    <w:rsid w:val="000E5121"/>
    <w:rsid w:val="000E5A23"/>
    <w:rsid w:val="000E5DA7"/>
    <w:rsid w:val="000E5ED1"/>
    <w:rsid w:val="000E683B"/>
    <w:rsid w:val="000E78BE"/>
    <w:rsid w:val="000E7AE5"/>
    <w:rsid w:val="000E7C14"/>
    <w:rsid w:val="000E7E31"/>
    <w:rsid w:val="000F07F8"/>
    <w:rsid w:val="000F0A5B"/>
    <w:rsid w:val="000F0CE4"/>
    <w:rsid w:val="000F0D89"/>
    <w:rsid w:val="000F1621"/>
    <w:rsid w:val="000F16A7"/>
    <w:rsid w:val="000F17E1"/>
    <w:rsid w:val="000F18A1"/>
    <w:rsid w:val="000F1A00"/>
    <w:rsid w:val="000F1CCF"/>
    <w:rsid w:val="000F1F7B"/>
    <w:rsid w:val="000F202C"/>
    <w:rsid w:val="000F23E8"/>
    <w:rsid w:val="000F25C8"/>
    <w:rsid w:val="000F2811"/>
    <w:rsid w:val="000F28C8"/>
    <w:rsid w:val="000F2913"/>
    <w:rsid w:val="000F2AED"/>
    <w:rsid w:val="000F2E83"/>
    <w:rsid w:val="000F3005"/>
    <w:rsid w:val="000F3A9F"/>
    <w:rsid w:val="000F3CDC"/>
    <w:rsid w:val="000F3D0B"/>
    <w:rsid w:val="000F4288"/>
    <w:rsid w:val="000F4569"/>
    <w:rsid w:val="000F49B3"/>
    <w:rsid w:val="000F556B"/>
    <w:rsid w:val="000F5EB6"/>
    <w:rsid w:val="000F66C7"/>
    <w:rsid w:val="000F66EB"/>
    <w:rsid w:val="000F67E6"/>
    <w:rsid w:val="000F6AF1"/>
    <w:rsid w:val="000F6C8E"/>
    <w:rsid w:val="000F6EEF"/>
    <w:rsid w:val="000F7535"/>
    <w:rsid w:val="000F779A"/>
    <w:rsid w:val="000F77BC"/>
    <w:rsid w:val="000F78C6"/>
    <w:rsid w:val="000F7ED3"/>
    <w:rsid w:val="00100453"/>
    <w:rsid w:val="00100466"/>
    <w:rsid w:val="0010069D"/>
    <w:rsid w:val="001009F1"/>
    <w:rsid w:val="00101732"/>
    <w:rsid w:val="00101E87"/>
    <w:rsid w:val="00101EAF"/>
    <w:rsid w:val="00101F13"/>
    <w:rsid w:val="00102070"/>
    <w:rsid w:val="00102214"/>
    <w:rsid w:val="00102955"/>
    <w:rsid w:val="00102BBB"/>
    <w:rsid w:val="00103078"/>
    <w:rsid w:val="00103158"/>
    <w:rsid w:val="001033FF"/>
    <w:rsid w:val="00103687"/>
    <w:rsid w:val="001037E2"/>
    <w:rsid w:val="00103F24"/>
    <w:rsid w:val="001053C0"/>
    <w:rsid w:val="001054AF"/>
    <w:rsid w:val="00105E6E"/>
    <w:rsid w:val="00105ECE"/>
    <w:rsid w:val="001062F7"/>
    <w:rsid w:val="0010676E"/>
    <w:rsid w:val="00106F15"/>
    <w:rsid w:val="00107004"/>
    <w:rsid w:val="00107560"/>
    <w:rsid w:val="001078CE"/>
    <w:rsid w:val="00107A5F"/>
    <w:rsid w:val="00110319"/>
    <w:rsid w:val="0011094C"/>
    <w:rsid w:val="00110E48"/>
    <w:rsid w:val="00110F90"/>
    <w:rsid w:val="00111209"/>
    <w:rsid w:val="001113FF"/>
    <w:rsid w:val="001115E9"/>
    <w:rsid w:val="00111885"/>
    <w:rsid w:val="001118D4"/>
    <w:rsid w:val="00111C3F"/>
    <w:rsid w:val="00111C75"/>
    <w:rsid w:val="00111D6A"/>
    <w:rsid w:val="00111EFE"/>
    <w:rsid w:val="001123FA"/>
    <w:rsid w:val="0011247A"/>
    <w:rsid w:val="001124D7"/>
    <w:rsid w:val="00112521"/>
    <w:rsid w:val="00112565"/>
    <w:rsid w:val="00112B4F"/>
    <w:rsid w:val="00112E80"/>
    <w:rsid w:val="00112E88"/>
    <w:rsid w:val="00112F02"/>
    <w:rsid w:val="0011314C"/>
    <w:rsid w:val="00113479"/>
    <w:rsid w:val="00113624"/>
    <w:rsid w:val="00113C84"/>
    <w:rsid w:val="00113FE4"/>
    <w:rsid w:val="001144A8"/>
    <w:rsid w:val="001147E2"/>
    <w:rsid w:val="00114AA6"/>
    <w:rsid w:val="00114E33"/>
    <w:rsid w:val="001150B1"/>
    <w:rsid w:val="00115172"/>
    <w:rsid w:val="001151A8"/>
    <w:rsid w:val="00115402"/>
    <w:rsid w:val="001155A1"/>
    <w:rsid w:val="00116238"/>
    <w:rsid w:val="00116355"/>
    <w:rsid w:val="0011660E"/>
    <w:rsid w:val="00116718"/>
    <w:rsid w:val="00116C08"/>
    <w:rsid w:val="001173CE"/>
    <w:rsid w:val="001174C6"/>
    <w:rsid w:val="00117826"/>
    <w:rsid w:val="00117C07"/>
    <w:rsid w:val="00117C42"/>
    <w:rsid w:val="00117D1C"/>
    <w:rsid w:val="00120E30"/>
    <w:rsid w:val="001215FA"/>
    <w:rsid w:val="001216AC"/>
    <w:rsid w:val="001217B9"/>
    <w:rsid w:val="00121BAD"/>
    <w:rsid w:val="0012236F"/>
    <w:rsid w:val="00122472"/>
    <w:rsid w:val="00122C4F"/>
    <w:rsid w:val="00123085"/>
    <w:rsid w:val="001234B6"/>
    <w:rsid w:val="001236BB"/>
    <w:rsid w:val="0012383E"/>
    <w:rsid w:val="00123967"/>
    <w:rsid w:val="00123B67"/>
    <w:rsid w:val="00123C93"/>
    <w:rsid w:val="00123D11"/>
    <w:rsid w:val="00123EDB"/>
    <w:rsid w:val="00124470"/>
    <w:rsid w:val="00124613"/>
    <w:rsid w:val="001247FB"/>
    <w:rsid w:val="00124D89"/>
    <w:rsid w:val="00125059"/>
    <w:rsid w:val="00126136"/>
    <w:rsid w:val="001267B0"/>
    <w:rsid w:val="00126896"/>
    <w:rsid w:val="001269AB"/>
    <w:rsid w:val="00126E13"/>
    <w:rsid w:val="00127548"/>
    <w:rsid w:val="00127655"/>
    <w:rsid w:val="001276FC"/>
    <w:rsid w:val="00127FF5"/>
    <w:rsid w:val="0013014D"/>
    <w:rsid w:val="001305A4"/>
    <w:rsid w:val="0013064B"/>
    <w:rsid w:val="001308B0"/>
    <w:rsid w:val="00130AC9"/>
    <w:rsid w:val="00130F72"/>
    <w:rsid w:val="00131B44"/>
    <w:rsid w:val="00131D1E"/>
    <w:rsid w:val="00131DBB"/>
    <w:rsid w:val="00131F3F"/>
    <w:rsid w:val="00131FD7"/>
    <w:rsid w:val="00132169"/>
    <w:rsid w:val="001325CC"/>
    <w:rsid w:val="00132883"/>
    <w:rsid w:val="001332FD"/>
    <w:rsid w:val="00133978"/>
    <w:rsid w:val="00134369"/>
    <w:rsid w:val="001344DF"/>
    <w:rsid w:val="00134931"/>
    <w:rsid w:val="00134A2E"/>
    <w:rsid w:val="00134AC2"/>
    <w:rsid w:val="0013538A"/>
    <w:rsid w:val="00136A2D"/>
    <w:rsid w:val="00136C62"/>
    <w:rsid w:val="0013729B"/>
    <w:rsid w:val="00137321"/>
    <w:rsid w:val="00137DDE"/>
    <w:rsid w:val="0014009E"/>
    <w:rsid w:val="00140277"/>
    <w:rsid w:val="00140AC3"/>
    <w:rsid w:val="00140B3E"/>
    <w:rsid w:val="00140CCF"/>
    <w:rsid w:val="00140D20"/>
    <w:rsid w:val="00140F13"/>
    <w:rsid w:val="001411DD"/>
    <w:rsid w:val="00141256"/>
    <w:rsid w:val="0014129B"/>
    <w:rsid w:val="001416AB"/>
    <w:rsid w:val="00141C43"/>
    <w:rsid w:val="00141CF1"/>
    <w:rsid w:val="00141CFD"/>
    <w:rsid w:val="001424AD"/>
    <w:rsid w:val="001424D0"/>
    <w:rsid w:val="0014254C"/>
    <w:rsid w:val="001425AB"/>
    <w:rsid w:val="00142854"/>
    <w:rsid w:val="00142C4E"/>
    <w:rsid w:val="00142DF9"/>
    <w:rsid w:val="00142F06"/>
    <w:rsid w:val="00142FAD"/>
    <w:rsid w:val="00143319"/>
    <w:rsid w:val="001433C4"/>
    <w:rsid w:val="001435A5"/>
    <w:rsid w:val="00143673"/>
    <w:rsid w:val="00143B22"/>
    <w:rsid w:val="00143D7C"/>
    <w:rsid w:val="00144990"/>
    <w:rsid w:val="001449E1"/>
    <w:rsid w:val="00145508"/>
    <w:rsid w:val="00145CB4"/>
    <w:rsid w:val="00146356"/>
    <w:rsid w:val="0014673F"/>
    <w:rsid w:val="00146822"/>
    <w:rsid w:val="00146DF1"/>
    <w:rsid w:val="00146F34"/>
    <w:rsid w:val="0014705A"/>
    <w:rsid w:val="00147371"/>
    <w:rsid w:val="001474C9"/>
    <w:rsid w:val="00147B99"/>
    <w:rsid w:val="00147DBC"/>
    <w:rsid w:val="00147FD9"/>
    <w:rsid w:val="00150090"/>
    <w:rsid w:val="00151033"/>
    <w:rsid w:val="0015167E"/>
    <w:rsid w:val="001517DC"/>
    <w:rsid w:val="001519CD"/>
    <w:rsid w:val="00151B2E"/>
    <w:rsid w:val="00152307"/>
    <w:rsid w:val="0015247C"/>
    <w:rsid w:val="0015248B"/>
    <w:rsid w:val="0015266C"/>
    <w:rsid w:val="001527F7"/>
    <w:rsid w:val="00152C91"/>
    <w:rsid w:val="00152CD9"/>
    <w:rsid w:val="00152EDE"/>
    <w:rsid w:val="0015312D"/>
    <w:rsid w:val="00153141"/>
    <w:rsid w:val="001533A8"/>
    <w:rsid w:val="0015371E"/>
    <w:rsid w:val="00153DA2"/>
    <w:rsid w:val="00153F2C"/>
    <w:rsid w:val="0015416E"/>
    <w:rsid w:val="00154595"/>
    <w:rsid w:val="00154CC9"/>
    <w:rsid w:val="00155360"/>
    <w:rsid w:val="0015536C"/>
    <w:rsid w:val="001553E7"/>
    <w:rsid w:val="00155D3D"/>
    <w:rsid w:val="00155E58"/>
    <w:rsid w:val="001565E6"/>
    <w:rsid w:val="001566C1"/>
    <w:rsid w:val="00156875"/>
    <w:rsid w:val="001568F7"/>
    <w:rsid w:val="00156CF1"/>
    <w:rsid w:val="00156FCC"/>
    <w:rsid w:val="00157251"/>
    <w:rsid w:val="00157F74"/>
    <w:rsid w:val="001601E1"/>
    <w:rsid w:val="001603CB"/>
    <w:rsid w:val="001603F8"/>
    <w:rsid w:val="001607A9"/>
    <w:rsid w:val="00160E03"/>
    <w:rsid w:val="001610FA"/>
    <w:rsid w:val="00161150"/>
    <w:rsid w:val="0016191F"/>
    <w:rsid w:val="00161BB5"/>
    <w:rsid w:val="00162973"/>
    <w:rsid w:val="00162E18"/>
    <w:rsid w:val="0016315A"/>
    <w:rsid w:val="001633D6"/>
    <w:rsid w:val="0016383F"/>
    <w:rsid w:val="00164105"/>
    <w:rsid w:val="001641EB"/>
    <w:rsid w:val="00164297"/>
    <w:rsid w:val="001642C9"/>
    <w:rsid w:val="001648A2"/>
    <w:rsid w:val="00164E06"/>
    <w:rsid w:val="001652F4"/>
    <w:rsid w:val="001655CB"/>
    <w:rsid w:val="00165D60"/>
    <w:rsid w:val="00165D7C"/>
    <w:rsid w:val="00166598"/>
    <w:rsid w:val="001669B3"/>
    <w:rsid w:val="00166A56"/>
    <w:rsid w:val="00166B2A"/>
    <w:rsid w:val="0016722E"/>
    <w:rsid w:val="001675F7"/>
    <w:rsid w:val="00167765"/>
    <w:rsid w:val="00167797"/>
    <w:rsid w:val="00167A4D"/>
    <w:rsid w:val="00167D7E"/>
    <w:rsid w:val="00167E17"/>
    <w:rsid w:val="00170067"/>
    <w:rsid w:val="0017008A"/>
    <w:rsid w:val="0017023D"/>
    <w:rsid w:val="00170434"/>
    <w:rsid w:val="00170699"/>
    <w:rsid w:val="001706CB"/>
    <w:rsid w:val="00171BD9"/>
    <w:rsid w:val="00171D6E"/>
    <w:rsid w:val="00171EE3"/>
    <w:rsid w:val="00172667"/>
    <w:rsid w:val="001727C3"/>
    <w:rsid w:val="00172832"/>
    <w:rsid w:val="0017291D"/>
    <w:rsid w:val="00172BCF"/>
    <w:rsid w:val="00173051"/>
    <w:rsid w:val="001731D9"/>
    <w:rsid w:val="001732BF"/>
    <w:rsid w:val="00173430"/>
    <w:rsid w:val="001734AC"/>
    <w:rsid w:val="001734C9"/>
    <w:rsid w:val="0017373E"/>
    <w:rsid w:val="0017389A"/>
    <w:rsid w:val="00173B96"/>
    <w:rsid w:val="00173E30"/>
    <w:rsid w:val="00174135"/>
    <w:rsid w:val="00174428"/>
    <w:rsid w:val="0017466B"/>
    <w:rsid w:val="00174A1D"/>
    <w:rsid w:val="00174B4F"/>
    <w:rsid w:val="00174C70"/>
    <w:rsid w:val="00174D6E"/>
    <w:rsid w:val="0017511E"/>
    <w:rsid w:val="0017521A"/>
    <w:rsid w:val="0017537F"/>
    <w:rsid w:val="0017543F"/>
    <w:rsid w:val="001755CB"/>
    <w:rsid w:val="00175A46"/>
    <w:rsid w:val="00175B22"/>
    <w:rsid w:val="00175D79"/>
    <w:rsid w:val="00176073"/>
    <w:rsid w:val="0017628C"/>
    <w:rsid w:val="00176637"/>
    <w:rsid w:val="001772DA"/>
    <w:rsid w:val="001774F2"/>
    <w:rsid w:val="00177903"/>
    <w:rsid w:val="00177AF3"/>
    <w:rsid w:val="00180085"/>
    <w:rsid w:val="001800A6"/>
    <w:rsid w:val="001802CF"/>
    <w:rsid w:val="00180918"/>
    <w:rsid w:val="00180921"/>
    <w:rsid w:val="00180A41"/>
    <w:rsid w:val="00180F55"/>
    <w:rsid w:val="0018145F"/>
    <w:rsid w:val="001815AF"/>
    <w:rsid w:val="001818ED"/>
    <w:rsid w:val="001818F4"/>
    <w:rsid w:val="001820D4"/>
    <w:rsid w:val="001824FC"/>
    <w:rsid w:val="0018291A"/>
    <w:rsid w:val="00182AAF"/>
    <w:rsid w:val="00182C19"/>
    <w:rsid w:val="0018358A"/>
    <w:rsid w:val="001835DE"/>
    <w:rsid w:val="00183DF3"/>
    <w:rsid w:val="001843C0"/>
    <w:rsid w:val="001843F9"/>
    <w:rsid w:val="00184476"/>
    <w:rsid w:val="0018459B"/>
    <w:rsid w:val="00184789"/>
    <w:rsid w:val="00184F7D"/>
    <w:rsid w:val="00185444"/>
    <w:rsid w:val="00185712"/>
    <w:rsid w:val="00185A31"/>
    <w:rsid w:val="00185B8E"/>
    <w:rsid w:val="00185BC7"/>
    <w:rsid w:val="001863FD"/>
    <w:rsid w:val="001865D9"/>
    <w:rsid w:val="00186B1D"/>
    <w:rsid w:val="00186B6C"/>
    <w:rsid w:val="00186D63"/>
    <w:rsid w:val="00186DD4"/>
    <w:rsid w:val="00187EEA"/>
    <w:rsid w:val="001900E3"/>
    <w:rsid w:val="00190163"/>
    <w:rsid w:val="0019044B"/>
    <w:rsid w:val="001909F5"/>
    <w:rsid w:val="00190CD1"/>
    <w:rsid w:val="00190DF5"/>
    <w:rsid w:val="00190E60"/>
    <w:rsid w:val="00191371"/>
    <w:rsid w:val="00191D88"/>
    <w:rsid w:val="001923D3"/>
    <w:rsid w:val="001924A9"/>
    <w:rsid w:val="00192593"/>
    <w:rsid w:val="00192907"/>
    <w:rsid w:val="00192B28"/>
    <w:rsid w:val="00192C64"/>
    <w:rsid w:val="00193035"/>
    <w:rsid w:val="00193183"/>
    <w:rsid w:val="00193512"/>
    <w:rsid w:val="00193821"/>
    <w:rsid w:val="00193842"/>
    <w:rsid w:val="00193883"/>
    <w:rsid w:val="00193C18"/>
    <w:rsid w:val="00193E73"/>
    <w:rsid w:val="00193E90"/>
    <w:rsid w:val="00193EE4"/>
    <w:rsid w:val="001945FF"/>
    <w:rsid w:val="00194804"/>
    <w:rsid w:val="001948F5"/>
    <w:rsid w:val="00194AD7"/>
    <w:rsid w:val="00194F99"/>
    <w:rsid w:val="0019510E"/>
    <w:rsid w:val="00195154"/>
    <w:rsid w:val="00195413"/>
    <w:rsid w:val="00195554"/>
    <w:rsid w:val="001959DC"/>
    <w:rsid w:val="00195D5D"/>
    <w:rsid w:val="0019669C"/>
    <w:rsid w:val="00196907"/>
    <w:rsid w:val="00196BBB"/>
    <w:rsid w:val="001970F4"/>
    <w:rsid w:val="001973D3"/>
    <w:rsid w:val="0019764A"/>
    <w:rsid w:val="001976E5"/>
    <w:rsid w:val="00197EC0"/>
    <w:rsid w:val="001A00B4"/>
    <w:rsid w:val="001A02EA"/>
    <w:rsid w:val="001A042A"/>
    <w:rsid w:val="001A0660"/>
    <w:rsid w:val="001A0999"/>
    <w:rsid w:val="001A0A32"/>
    <w:rsid w:val="001A0EE3"/>
    <w:rsid w:val="001A17F4"/>
    <w:rsid w:val="001A196F"/>
    <w:rsid w:val="001A1AD4"/>
    <w:rsid w:val="001A1ED0"/>
    <w:rsid w:val="001A21E9"/>
    <w:rsid w:val="001A2605"/>
    <w:rsid w:val="001A3EFB"/>
    <w:rsid w:val="001A420E"/>
    <w:rsid w:val="001A458E"/>
    <w:rsid w:val="001A4620"/>
    <w:rsid w:val="001A4812"/>
    <w:rsid w:val="001A482A"/>
    <w:rsid w:val="001A4BD1"/>
    <w:rsid w:val="001A4F4F"/>
    <w:rsid w:val="001A51EA"/>
    <w:rsid w:val="001A551D"/>
    <w:rsid w:val="001A5660"/>
    <w:rsid w:val="001A57A7"/>
    <w:rsid w:val="001A5932"/>
    <w:rsid w:val="001A605C"/>
    <w:rsid w:val="001A63B3"/>
    <w:rsid w:val="001A64C3"/>
    <w:rsid w:val="001A686C"/>
    <w:rsid w:val="001A6CBD"/>
    <w:rsid w:val="001A7571"/>
    <w:rsid w:val="001A75D2"/>
    <w:rsid w:val="001A7E70"/>
    <w:rsid w:val="001A7FA1"/>
    <w:rsid w:val="001B02B7"/>
    <w:rsid w:val="001B0308"/>
    <w:rsid w:val="001B0378"/>
    <w:rsid w:val="001B06F6"/>
    <w:rsid w:val="001B0A7B"/>
    <w:rsid w:val="001B0BBC"/>
    <w:rsid w:val="001B10F7"/>
    <w:rsid w:val="001B1406"/>
    <w:rsid w:val="001B144B"/>
    <w:rsid w:val="001B1980"/>
    <w:rsid w:val="001B2083"/>
    <w:rsid w:val="001B221F"/>
    <w:rsid w:val="001B28C2"/>
    <w:rsid w:val="001B2A83"/>
    <w:rsid w:val="001B390E"/>
    <w:rsid w:val="001B3CA7"/>
    <w:rsid w:val="001B3FCA"/>
    <w:rsid w:val="001B4199"/>
    <w:rsid w:val="001B4396"/>
    <w:rsid w:val="001B4755"/>
    <w:rsid w:val="001B5063"/>
    <w:rsid w:val="001B50A7"/>
    <w:rsid w:val="001B50B4"/>
    <w:rsid w:val="001B539E"/>
    <w:rsid w:val="001B54B6"/>
    <w:rsid w:val="001B57CE"/>
    <w:rsid w:val="001B5A21"/>
    <w:rsid w:val="001B5C76"/>
    <w:rsid w:val="001B61C2"/>
    <w:rsid w:val="001B63A9"/>
    <w:rsid w:val="001B66DD"/>
    <w:rsid w:val="001B68F9"/>
    <w:rsid w:val="001B6DC3"/>
    <w:rsid w:val="001B7018"/>
    <w:rsid w:val="001B724F"/>
    <w:rsid w:val="001B744D"/>
    <w:rsid w:val="001B79E5"/>
    <w:rsid w:val="001B7F13"/>
    <w:rsid w:val="001C09E1"/>
    <w:rsid w:val="001C121E"/>
    <w:rsid w:val="001C13EF"/>
    <w:rsid w:val="001C141C"/>
    <w:rsid w:val="001C1979"/>
    <w:rsid w:val="001C205B"/>
    <w:rsid w:val="001C24C3"/>
    <w:rsid w:val="001C2605"/>
    <w:rsid w:val="001C2759"/>
    <w:rsid w:val="001C2B3B"/>
    <w:rsid w:val="001C2B7C"/>
    <w:rsid w:val="001C2EDB"/>
    <w:rsid w:val="001C2FED"/>
    <w:rsid w:val="001C3220"/>
    <w:rsid w:val="001C3619"/>
    <w:rsid w:val="001C38FB"/>
    <w:rsid w:val="001C39A5"/>
    <w:rsid w:val="001C4288"/>
    <w:rsid w:val="001C44E7"/>
    <w:rsid w:val="001C4695"/>
    <w:rsid w:val="001C4790"/>
    <w:rsid w:val="001C4852"/>
    <w:rsid w:val="001C4E27"/>
    <w:rsid w:val="001C50F8"/>
    <w:rsid w:val="001C51E6"/>
    <w:rsid w:val="001C51E9"/>
    <w:rsid w:val="001C575B"/>
    <w:rsid w:val="001C5AE9"/>
    <w:rsid w:val="001C5B11"/>
    <w:rsid w:val="001C6373"/>
    <w:rsid w:val="001C6436"/>
    <w:rsid w:val="001C6D03"/>
    <w:rsid w:val="001C6D1B"/>
    <w:rsid w:val="001C705C"/>
    <w:rsid w:val="001C7291"/>
    <w:rsid w:val="001C74D0"/>
    <w:rsid w:val="001C76E0"/>
    <w:rsid w:val="001C774F"/>
    <w:rsid w:val="001C77CE"/>
    <w:rsid w:val="001C792D"/>
    <w:rsid w:val="001D020E"/>
    <w:rsid w:val="001D0460"/>
    <w:rsid w:val="001D0AA0"/>
    <w:rsid w:val="001D0AC6"/>
    <w:rsid w:val="001D11A0"/>
    <w:rsid w:val="001D1CF6"/>
    <w:rsid w:val="001D1E01"/>
    <w:rsid w:val="001D1EF4"/>
    <w:rsid w:val="001D24B6"/>
    <w:rsid w:val="001D2558"/>
    <w:rsid w:val="001D26E5"/>
    <w:rsid w:val="001D2779"/>
    <w:rsid w:val="001D2838"/>
    <w:rsid w:val="001D291D"/>
    <w:rsid w:val="001D2BB2"/>
    <w:rsid w:val="001D2BFB"/>
    <w:rsid w:val="001D2EE6"/>
    <w:rsid w:val="001D314A"/>
    <w:rsid w:val="001D3333"/>
    <w:rsid w:val="001D341F"/>
    <w:rsid w:val="001D3ABC"/>
    <w:rsid w:val="001D3C54"/>
    <w:rsid w:val="001D4057"/>
    <w:rsid w:val="001D4312"/>
    <w:rsid w:val="001D4448"/>
    <w:rsid w:val="001D44FD"/>
    <w:rsid w:val="001D4702"/>
    <w:rsid w:val="001D4BED"/>
    <w:rsid w:val="001D506D"/>
    <w:rsid w:val="001D5071"/>
    <w:rsid w:val="001D5FA0"/>
    <w:rsid w:val="001D5FD9"/>
    <w:rsid w:val="001D6478"/>
    <w:rsid w:val="001D6765"/>
    <w:rsid w:val="001D6C10"/>
    <w:rsid w:val="001D76BF"/>
    <w:rsid w:val="001D7913"/>
    <w:rsid w:val="001D7A89"/>
    <w:rsid w:val="001D7B46"/>
    <w:rsid w:val="001D7CDC"/>
    <w:rsid w:val="001E07EC"/>
    <w:rsid w:val="001E0A75"/>
    <w:rsid w:val="001E0D81"/>
    <w:rsid w:val="001E1442"/>
    <w:rsid w:val="001E1446"/>
    <w:rsid w:val="001E1BF5"/>
    <w:rsid w:val="001E25E8"/>
    <w:rsid w:val="001E2817"/>
    <w:rsid w:val="001E2A14"/>
    <w:rsid w:val="001E2BE2"/>
    <w:rsid w:val="001E35FB"/>
    <w:rsid w:val="001E36CF"/>
    <w:rsid w:val="001E3787"/>
    <w:rsid w:val="001E3E5E"/>
    <w:rsid w:val="001E3F75"/>
    <w:rsid w:val="001E4418"/>
    <w:rsid w:val="001E4A1D"/>
    <w:rsid w:val="001E4C74"/>
    <w:rsid w:val="001E4F48"/>
    <w:rsid w:val="001E530B"/>
    <w:rsid w:val="001E5BCB"/>
    <w:rsid w:val="001E5D9C"/>
    <w:rsid w:val="001E5DE6"/>
    <w:rsid w:val="001E5EB1"/>
    <w:rsid w:val="001E651C"/>
    <w:rsid w:val="001E65B0"/>
    <w:rsid w:val="001E65D1"/>
    <w:rsid w:val="001E670F"/>
    <w:rsid w:val="001E6AE9"/>
    <w:rsid w:val="001E6BDC"/>
    <w:rsid w:val="001E6DA7"/>
    <w:rsid w:val="001E71B8"/>
    <w:rsid w:val="001E7441"/>
    <w:rsid w:val="001E7696"/>
    <w:rsid w:val="001E76CA"/>
    <w:rsid w:val="001E7852"/>
    <w:rsid w:val="001E79FA"/>
    <w:rsid w:val="001E7D23"/>
    <w:rsid w:val="001E7F6C"/>
    <w:rsid w:val="001F00E0"/>
    <w:rsid w:val="001F013D"/>
    <w:rsid w:val="001F013E"/>
    <w:rsid w:val="001F0E99"/>
    <w:rsid w:val="001F1B15"/>
    <w:rsid w:val="001F1EFD"/>
    <w:rsid w:val="001F2195"/>
    <w:rsid w:val="001F21E1"/>
    <w:rsid w:val="001F280A"/>
    <w:rsid w:val="001F28C1"/>
    <w:rsid w:val="001F2931"/>
    <w:rsid w:val="001F3E65"/>
    <w:rsid w:val="001F40DC"/>
    <w:rsid w:val="001F4646"/>
    <w:rsid w:val="001F470E"/>
    <w:rsid w:val="001F4A80"/>
    <w:rsid w:val="001F4E07"/>
    <w:rsid w:val="001F5126"/>
    <w:rsid w:val="001F5421"/>
    <w:rsid w:val="001F5F5F"/>
    <w:rsid w:val="001F663B"/>
    <w:rsid w:val="001F66CF"/>
    <w:rsid w:val="001F6870"/>
    <w:rsid w:val="001F68C6"/>
    <w:rsid w:val="001F6AB7"/>
    <w:rsid w:val="001F6C54"/>
    <w:rsid w:val="001F7109"/>
    <w:rsid w:val="001F74B3"/>
    <w:rsid w:val="001F7F7A"/>
    <w:rsid w:val="002003DB"/>
    <w:rsid w:val="00200502"/>
    <w:rsid w:val="002005AA"/>
    <w:rsid w:val="00200E77"/>
    <w:rsid w:val="00201228"/>
    <w:rsid w:val="0020180C"/>
    <w:rsid w:val="0020190E"/>
    <w:rsid w:val="00201B28"/>
    <w:rsid w:val="00201CB0"/>
    <w:rsid w:val="00201EC6"/>
    <w:rsid w:val="0020211C"/>
    <w:rsid w:val="002022F8"/>
    <w:rsid w:val="00202D14"/>
    <w:rsid w:val="00202F3C"/>
    <w:rsid w:val="00203633"/>
    <w:rsid w:val="002037FC"/>
    <w:rsid w:val="00203CF0"/>
    <w:rsid w:val="0020405D"/>
    <w:rsid w:val="00204504"/>
    <w:rsid w:val="00204EB2"/>
    <w:rsid w:val="002050B2"/>
    <w:rsid w:val="0020533F"/>
    <w:rsid w:val="00205FE6"/>
    <w:rsid w:val="002063AA"/>
    <w:rsid w:val="00206A8B"/>
    <w:rsid w:val="0020733E"/>
    <w:rsid w:val="00207343"/>
    <w:rsid w:val="00207692"/>
    <w:rsid w:val="0021072C"/>
    <w:rsid w:val="002108D3"/>
    <w:rsid w:val="0021176D"/>
    <w:rsid w:val="00211A28"/>
    <w:rsid w:val="00211BFC"/>
    <w:rsid w:val="00211DDE"/>
    <w:rsid w:val="0021215B"/>
    <w:rsid w:val="00212182"/>
    <w:rsid w:val="00212569"/>
    <w:rsid w:val="0021269B"/>
    <w:rsid w:val="00212D9B"/>
    <w:rsid w:val="002132A7"/>
    <w:rsid w:val="00213725"/>
    <w:rsid w:val="002137BF"/>
    <w:rsid w:val="002137C3"/>
    <w:rsid w:val="00213C36"/>
    <w:rsid w:val="00213CBF"/>
    <w:rsid w:val="0021442D"/>
    <w:rsid w:val="00214726"/>
    <w:rsid w:val="00214B05"/>
    <w:rsid w:val="0021586B"/>
    <w:rsid w:val="00215B8C"/>
    <w:rsid w:val="00215C27"/>
    <w:rsid w:val="00216E67"/>
    <w:rsid w:val="002170D6"/>
    <w:rsid w:val="00217131"/>
    <w:rsid w:val="00217175"/>
    <w:rsid w:val="00220068"/>
    <w:rsid w:val="00220089"/>
    <w:rsid w:val="002200DD"/>
    <w:rsid w:val="002203CD"/>
    <w:rsid w:val="00220441"/>
    <w:rsid w:val="0022062D"/>
    <w:rsid w:val="00220715"/>
    <w:rsid w:val="00220A28"/>
    <w:rsid w:val="00220BB8"/>
    <w:rsid w:val="00220C41"/>
    <w:rsid w:val="002215AB"/>
    <w:rsid w:val="00221C9C"/>
    <w:rsid w:val="00221D2B"/>
    <w:rsid w:val="00222188"/>
    <w:rsid w:val="002221B7"/>
    <w:rsid w:val="00222433"/>
    <w:rsid w:val="00222EDA"/>
    <w:rsid w:val="0022314F"/>
    <w:rsid w:val="0022322C"/>
    <w:rsid w:val="002235D3"/>
    <w:rsid w:val="002235ED"/>
    <w:rsid w:val="00223929"/>
    <w:rsid w:val="00223933"/>
    <w:rsid w:val="00223DB0"/>
    <w:rsid w:val="002242CD"/>
    <w:rsid w:val="00224395"/>
    <w:rsid w:val="00224449"/>
    <w:rsid w:val="002244D2"/>
    <w:rsid w:val="00224AAB"/>
    <w:rsid w:val="00224C5D"/>
    <w:rsid w:val="00224D7E"/>
    <w:rsid w:val="002252D3"/>
    <w:rsid w:val="00225436"/>
    <w:rsid w:val="00225845"/>
    <w:rsid w:val="002259E8"/>
    <w:rsid w:val="00225ED4"/>
    <w:rsid w:val="0022616A"/>
    <w:rsid w:val="00226614"/>
    <w:rsid w:val="00226680"/>
    <w:rsid w:val="00226747"/>
    <w:rsid w:val="0022678F"/>
    <w:rsid w:val="00226998"/>
    <w:rsid w:val="00227165"/>
    <w:rsid w:val="00227511"/>
    <w:rsid w:val="0022768A"/>
    <w:rsid w:val="00227766"/>
    <w:rsid w:val="00227917"/>
    <w:rsid w:val="0022792F"/>
    <w:rsid w:val="00230012"/>
    <w:rsid w:val="00230899"/>
    <w:rsid w:val="0023115B"/>
    <w:rsid w:val="002312AC"/>
    <w:rsid w:val="00231BF4"/>
    <w:rsid w:val="00231E0A"/>
    <w:rsid w:val="00232529"/>
    <w:rsid w:val="0023262D"/>
    <w:rsid w:val="00232D14"/>
    <w:rsid w:val="00232F27"/>
    <w:rsid w:val="002330F0"/>
    <w:rsid w:val="002337DA"/>
    <w:rsid w:val="00233AD9"/>
    <w:rsid w:val="00233CBF"/>
    <w:rsid w:val="002347A9"/>
    <w:rsid w:val="002352BB"/>
    <w:rsid w:val="00235590"/>
    <w:rsid w:val="00235804"/>
    <w:rsid w:val="0023599D"/>
    <w:rsid w:val="00235B6B"/>
    <w:rsid w:val="00235D6A"/>
    <w:rsid w:val="0023603C"/>
    <w:rsid w:val="0023614E"/>
    <w:rsid w:val="0023639F"/>
    <w:rsid w:val="002364E8"/>
    <w:rsid w:val="00236794"/>
    <w:rsid w:val="00236864"/>
    <w:rsid w:val="00236C69"/>
    <w:rsid w:val="00236E6A"/>
    <w:rsid w:val="0023705E"/>
    <w:rsid w:val="002375B8"/>
    <w:rsid w:val="002377A4"/>
    <w:rsid w:val="002378A2"/>
    <w:rsid w:val="00237974"/>
    <w:rsid w:val="00237AE5"/>
    <w:rsid w:val="00237ED2"/>
    <w:rsid w:val="00240230"/>
    <w:rsid w:val="002402BB"/>
    <w:rsid w:val="00240C72"/>
    <w:rsid w:val="00240FDA"/>
    <w:rsid w:val="0024123D"/>
    <w:rsid w:val="00242201"/>
    <w:rsid w:val="00242337"/>
    <w:rsid w:val="0024271F"/>
    <w:rsid w:val="00242C88"/>
    <w:rsid w:val="00242F90"/>
    <w:rsid w:val="00243008"/>
    <w:rsid w:val="002438A9"/>
    <w:rsid w:val="00243AAE"/>
    <w:rsid w:val="00243BD6"/>
    <w:rsid w:val="00243CB9"/>
    <w:rsid w:val="00243CCC"/>
    <w:rsid w:val="00243E60"/>
    <w:rsid w:val="0024428D"/>
    <w:rsid w:val="00244444"/>
    <w:rsid w:val="00244490"/>
    <w:rsid w:val="00244507"/>
    <w:rsid w:val="002446D0"/>
    <w:rsid w:val="0024478E"/>
    <w:rsid w:val="00244B51"/>
    <w:rsid w:val="00244D44"/>
    <w:rsid w:val="0024526D"/>
    <w:rsid w:val="002462F1"/>
    <w:rsid w:val="002469F5"/>
    <w:rsid w:val="00246BA1"/>
    <w:rsid w:val="00246D1A"/>
    <w:rsid w:val="00247606"/>
    <w:rsid w:val="002479D0"/>
    <w:rsid w:val="00247EE0"/>
    <w:rsid w:val="00247FF4"/>
    <w:rsid w:val="002507C7"/>
    <w:rsid w:val="0025101B"/>
    <w:rsid w:val="00251199"/>
    <w:rsid w:val="002511BE"/>
    <w:rsid w:val="00251518"/>
    <w:rsid w:val="0025189C"/>
    <w:rsid w:val="00251E49"/>
    <w:rsid w:val="00252B87"/>
    <w:rsid w:val="00252CF3"/>
    <w:rsid w:val="00252D13"/>
    <w:rsid w:val="00252FBA"/>
    <w:rsid w:val="00253751"/>
    <w:rsid w:val="00253900"/>
    <w:rsid w:val="00253BDE"/>
    <w:rsid w:val="00254267"/>
    <w:rsid w:val="00254AC3"/>
    <w:rsid w:val="00254B14"/>
    <w:rsid w:val="00254EBA"/>
    <w:rsid w:val="00255134"/>
    <w:rsid w:val="00255545"/>
    <w:rsid w:val="00255E4F"/>
    <w:rsid w:val="00256415"/>
    <w:rsid w:val="002568CB"/>
    <w:rsid w:val="00256AAF"/>
    <w:rsid w:val="00256E9D"/>
    <w:rsid w:val="0025739F"/>
    <w:rsid w:val="00257DD0"/>
    <w:rsid w:val="00260038"/>
    <w:rsid w:val="002604F1"/>
    <w:rsid w:val="002616E4"/>
    <w:rsid w:val="002616F9"/>
    <w:rsid w:val="00261776"/>
    <w:rsid w:val="00261D70"/>
    <w:rsid w:val="00261E4B"/>
    <w:rsid w:val="00261F86"/>
    <w:rsid w:val="00262951"/>
    <w:rsid w:val="00262F96"/>
    <w:rsid w:val="002639A5"/>
    <w:rsid w:val="00263BF7"/>
    <w:rsid w:val="00263CF7"/>
    <w:rsid w:val="00263D22"/>
    <w:rsid w:val="002642D3"/>
    <w:rsid w:val="002644EF"/>
    <w:rsid w:val="00264B83"/>
    <w:rsid w:val="00264DA4"/>
    <w:rsid w:val="002658B7"/>
    <w:rsid w:val="00265915"/>
    <w:rsid w:val="002659A1"/>
    <w:rsid w:val="00265A1E"/>
    <w:rsid w:val="00265AEA"/>
    <w:rsid w:val="00265DF7"/>
    <w:rsid w:val="002661B9"/>
    <w:rsid w:val="00266ADB"/>
    <w:rsid w:val="00266D74"/>
    <w:rsid w:val="00266D87"/>
    <w:rsid w:val="00267392"/>
    <w:rsid w:val="00267435"/>
    <w:rsid w:val="00267A01"/>
    <w:rsid w:val="00267DF2"/>
    <w:rsid w:val="00267E47"/>
    <w:rsid w:val="00270015"/>
    <w:rsid w:val="00270BC2"/>
    <w:rsid w:val="00270C5D"/>
    <w:rsid w:val="00270CB0"/>
    <w:rsid w:val="00270F40"/>
    <w:rsid w:val="002713F9"/>
    <w:rsid w:val="00271A51"/>
    <w:rsid w:val="00271A55"/>
    <w:rsid w:val="00271DF0"/>
    <w:rsid w:val="00271E49"/>
    <w:rsid w:val="0027203D"/>
    <w:rsid w:val="002723BE"/>
    <w:rsid w:val="002728E2"/>
    <w:rsid w:val="002728EE"/>
    <w:rsid w:val="00272B79"/>
    <w:rsid w:val="00272D1E"/>
    <w:rsid w:val="00273601"/>
    <w:rsid w:val="00273D55"/>
    <w:rsid w:val="00273E70"/>
    <w:rsid w:val="00274382"/>
    <w:rsid w:val="0027477A"/>
    <w:rsid w:val="00274B0A"/>
    <w:rsid w:val="0027508B"/>
    <w:rsid w:val="00275B8C"/>
    <w:rsid w:val="00275D06"/>
    <w:rsid w:val="00275D70"/>
    <w:rsid w:val="00275F8D"/>
    <w:rsid w:val="002762A4"/>
    <w:rsid w:val="00276420"/>
    <w:rsid w:val="00277602"/>
    <w:rsid w:val="00277E52"/>
    <w:rsid w:val="00277F98"/>
    <w:rsid w:val="002800BF"/>
    <w:rsid w:val="002800F5"/>
    <w:rsid w:val="002805B6"/>
    <w:rsid w:val="002806A7"/>
    <w:rsid w:val="002808D3"/>
    <w:rsid w:val="00280ABD"/>
    <w:rsid w:val="00280E37"/>
    <w:rsid w:val="00281002"/>
    <w:rsid w:val="00281019"/>
    <w:rsid w:val="002818EA"/>
    <w:rsid w:val="0028193A"/>
    <w:rsid w:val="00282064"/>
    <w:rsid w:val="00282289"/>
    <w:rsid w:val="002824E1"/>
    <w:rsid w:val="0028255F"/>
    <w:rsid w:val="002828F1"/>
    <w:rsid w:val="00282983"/>
    <w:rsid w:val="00282D87"/>
    <w:rsid w:val="00283775"/>
    <w:rsid w:val="00283E67"/>
    <w:rsid w:val="0028475A"/>
    <w:rsid w:val="002849BA"/>
    <w:rsid w:val="00284C55"/>
    <w:rsid w:val="00285058"/>
    <w:rsid w:val="002851CC"/>
    <w:rsid w:val="0028520D"/>
    <w:rsid w:val="00285523"/>
    <w:rsid w:val="002855E8"/>
    <w:rsid w:val="00285D76"/>
    <w:rsid w:val="00286312"/>
    <w:rsid w:val="002867A9"/>
    <w:rsid w:val="00286C0A"/>
    <w:rsid w:val="00286DD6"/>
    <w:rsid w:val="0028706D"/>
    <w:rsid w:val="002875C4"/>
    <w:rsid w:val="00287725"/>
    <w:rsid w:val="002879D2"/>
    <w:rsid w:val="00287CE4"/>
    <w:rsid w:val="00287D98"/>
    <w:rsid w:val="002904B4"/>
    <w:rsid w:val="002905F1"/>
    <w:rsid w:val="00290BFF"/>
    <w:rsid w:val="00290CC0"/>
    <w:rsid w:val="00290D5D"/>
    <w:rsid w:val="00291217"/>
    <w:rsid w:val="00291334"/>
    <w:rsid w:val="002914F9"/>
    <w:rsid w:val="002915CA"/>
    <w:rsid w:val="00291704"/>
    <w:rsid w:val="00291895"/>
    <w:rsid w:val="002926E9"/>
    <w:rsid w:val="002927A8"/>
    <w:rsid w:val="00293167"/>
    <w:rsid w:val="002934A7"/>
    <w:rsid w:val="00293676"/>
    <w:rsid w:val="002937B9"/>
    <w:rsid w:val="00293888"/>
    <w:rsid w:val="00293F5A"/>
    <w:rsid w:val="00293F92"/>
    <w:rsid w:val="00294497"/>
    <w:rsid w:val="002946D3"/>
    <w:rsid w:val="00294D61"/>
    <w:rsid w:val="00294F36"/>
    <w:rsid w:val="00295044"/>
    <w:rsid w:val="0029586A"/>
    <w:rsid w:val="00295E3B"/>
    <w:rsid w:val="0029635B"/>
    <w:rsid w:val="00296665"/>
    <w:rsid w:val="00296AD4"/>
    <w:rsid w:val="00296C6B"/>
    <w:rsid w:val="00296D7D"/>
    <w:rsid w:val="002977E9"/>
    <w:rsid w:val="002978BE"/>
    <w:rsid w:val="00297C76"/>
    <w:rsid w:val="00297F9D"/>
    <w:rsid w:val="002A0649"/>
    <w:rsid w:val="002A0EA3"/>
    <w:rsid w:val="002A160E"/>
    <w:rsid w:val="002A2291"/>
    <w:rsid w:val="002A2BC5"/>
    <w:rsid w:val="002A2D93"/>
    <w:rsid w:val="002A2FCF"/>
    <w:rsid w:val="002A30C3"/>
    <w:rsid w:val="002A36F3"/>
    <w:rsid w:val="002A4323"/>
    <w:rsid w:val="002A451D"/>
    <w:rsid w:val="002A4C26"/>
    <w:rsid w:val="002A50CC"/>
    <w:rsid w:val="002A51F7"/>
    <w:rsid w:val="002A52C4"/>
    <w:rsid w:val="002A53D7"/>
    <w:rsid w:val="002A543A"/>
    <w:rsid w:val="002A562E"/>
    <w:rsid w:val="002A5786"/>
    <w:rsid w:val="002A58E9"/>
    <w:rsid w:val="002A59F1"/>
    <w:rsid w:val="002A5AD5"/>
    <w:rsid w:val="002A624D"/>
    <w:rsid w:val="002A628D"/>
    <w:rsid w:val="002A6AA6"/>
    <w:rsid w:val="002A6AF2"/>
    <w:rsid w:val="002A6B9E"/>
    <w:rsid w:val="002A6CCF"/>
    <w:rsid w:val="002A79D3"/>
    <w:rsid w:val="002B001D"/>
    <w:rsid w:val="002B049A"/>
    <w:rsid w:val="002B0B6B"/>
    <w:rsid w:val="002B0C1B"/>
    <w:rsid w:val="002B0F87"/>
    <w:rsid w:val="002B127A"/>
    <w:rsid w:val="002B150A"/>
    <w:rsid w:val="002B17E7"/>
    <w:rsid w:val="002B17EC"/>
    <w:rsid w:val="002B1A1D"/>
    <w:rsid w:val="002B1D2F"/>
    <w:rsid w:val="002B1FBE"/>
    <w:rsid w:val="002B227C"/>
    <w:rsid w:val="002B25B3"/>
    <w:rsid w:val="002B2859"/>
    <w:rsid w:val="002B3CF1"/>
    <w:rsid w:val="002B3E5F"/>
    <w:rsid w:val="002B476A"/>
    <w:rsid w:val="002B4FF5"/>
    <w:rsid w:val="002B502A"/>
    <w:rsid w:val="002B520E"/>
    <w:rsid w:val="002B5516"/>
    <w:rsid w:val="002B56E7"/>
    <w:rsid w:val="002B57C0"/>
    <w:rsid w:val="002B5C58"/>
    <w:rsid w:val="002B6395"/>
    <w:rsid w:val="002B6E68"/>
    <w:rsid w:val="002B729C"/>
    <w:rsid w:val="002B752B"/>
    <w:rsid w:val="002B75F3"/>
    <w:rsid w:val="002B760D"/>
    <w:rsid w:val="002B7638"/>
    <w:rsid w:val="002B7AD8"/>
    <w:rsid w:val="002B7F54"/>
    <w:rsid w:val="002C02F5"/>
    <w:rsid w:val="002C032E"/>
    <w:rsid w:val="002C03F4"/>
    <w:rsid w:val="002C054E"/>
    <w:rsid w:val="002C0603"/>
    <w:rsid w:val="002C0669"/>
    <w:rsid w:val="002C0674"/>
    <w:rsid w:val="002C08D2"/>
    <w:rsid w:val="002C0AA3"/>
    <w:rsid w:val="002C0C4A"/>
    <w:rsid w:val="002C0D8A"/>
    <w:rsid w:val="002C0FF0"/>
    <w:rsid w:val="002C114A"/>
    <w:rsid w:val="002C19C3"/>
    <w:rsid w:val="002C1CCF"/>
    <w:rsid w:val="002C1D6B"/>
    <w:rsid w:val="002C246C"/>
    <w:rsid w:val="002C2AE6"/>
    <w:rsid w:val="002C32CE"/>
    <w:rsid w:val="002C3C3C"/>
    <w:rsid w:val="002C3C69"/>
    <w:rsid w:val="002C4B3D"/>
    <w:rsid w:val="002C5CF2"/>
    <w:rsid w:val="002C5FA1"/>
    <w:rsid w:val="002C6505"/>
    <w:rsid w:val="002C6B80"/>
    <w:rsid w:val="002C6CA0"/>
    <w:rsid w:val="002C6CC6"/>
    <w:rsid w:val="002C6E1C"/>
    <w:rsid w:val="002C6F6E"/>
    <w:rsid w:val="002C738B"/>
    <w:rsid w:val="002C74E1"/>
    <w:rsid w:val="002C7558"/>
    <w:rsid w:val="002C7BEC"/>
    <w:rsid w:val="002C7C62"/>
    <w:rsid w:val="002C7E90"/>
    <w:rsid w:val="002D0110"/>
    <w:rsid w:val="002D03FF"/>
    <w:rsid w:val="002D0707"/>
    <w:rsid w:val="002D1064"/>
    <w:rsid w:val="002D12D1"/>
    <w:rsid w:val="002D15D4"/>
    <w:rsid w:val="002D1607"/>
    <w:rsid w:val="002D162D"/>
    <w:rsid w:val="002D1AFE"/>
    <w:rsid w:val="002D24C4"/>
    <w:rsid w:val="002D27C6"/>
    <w:rsid w:val="002D28AB"/>
    <w:rsid w:val="002D341F"/>
    <w:rsid w:val="002D37A5"/>
    <w:rsid w:val="002D3B53"/>
    <w:rsid w:val="002D3E90"/>
    <w:rsid w:val="002D41EF"/>
    <w:rsid w:val="002D4369"/>
    <w:rsid w:val="002D4753"/>
    <w:rsid w:val="002D5640"/>
    <w:rsid w:val="002D5DDE"/>
    <w:rsid w:val="002D5E9E"/>
    <w:rsid w:val="002D5F22"/>
    <w:rsid w:val="002D66C4"/>
    <w:rsid w:val="002D6B25"/>
    <w:rsid w:val="002D70BE"/>
    <w:rsid w:val="002D7258"/>
    <w:rsid w:val="002D72E2"/>
    <w:rsid w:val="002D7467"/>
    <w:rsid w:val="002D77B1"/>
    <w:rsid w:val="002D78D5"/>
    <w:rsid w:val="002D7A41"/>
    <w:rsid w:val="002E0000"/>
    <w:rsid w:val="002E013D"/>
    <w:rsid w:val="002E03F5"/>
    <w:rsid w:val="002E04A4"/>
    <w:rsid w:val="002E04E7"/>
    <w:rsid w:val="002E0536"/>
    <w:rsid w:val="002E10BE"/>
    <w:rsid w:val="002E10CA"/>
    <w:rsid w:val="002E115A"/>
    <w:rsid w:val="002E1289"/>
    <w:rsid w:val="002E1DFD"/>
    <w:rsid w:val="002E20A4"/>
    <w:rsid w:val="002E2273"/>
    <w:rsid w:val="002E250C"/>
    <w:rsid w:val="002E2ABF"/>
    <w:rsid w:val="002E2BE1"/>
    <w:rsid w:val="002E2CB7"/>
    <w:rsid w:val="002E3678"/>
    <w:rsid w:val="002E3AA4"/>
    <w:rsid w:val="002E3CCD"/>
    <w:rsid w:val="002E4175"/>
    <w:rsid w:val="002E46DB"/>
    <w:rsid w:val="002E4BC1"/>
    <w:rsid w:val="002E532A"/>
    <w:rsid w:val="002E545B"/>
    <w:rsid w:val="002E5A1C"/>
    <w:rsid w:val="002E5B60"/>
    <w:rsid w:val="002E5BA9"/>
    <w:rsid w:val="002E5FEC"/>
    <w:rsid w:val="002E6639"/>
    <w:rsid w:val="002E68D6"/>
    <w:rsid w:val="002E6990"/>
    <w:rsid w:val="002E6B63"/>
    <w:rsid w:val="002E6C26"/>
    <w:rsid w:val="002E6E92"/>
    <w:rsid w:val="002E6F3B"/>
    <w:rsid w:val="002E7081"/>
    <w:rsid w:val="002E7318"/>
    <w:rsid w:val="002E794F"/>
    <w:rsid w:val="002E7982"/>
    <w:rsid w:val="002E79A3"/>
    <w:rsid w:val="002E7D0D"/>
    <w:rsid w:val="002F03E8"/>
    <w:rsid w:val="002F0825"/>
    <w:rsid w:val="002F0C57"/>
    <w:rsid w:val="002F0D69"/>
    <w:rsid w:val="002F0DAF"/>
    <w:rsid w:val="002F109D"/>
    <w:rsid w:val="002F112A"/>
    <w:rsid w:val="002F1278"/>
    <w:rsid w:val="002F1780"/>
    <w:rsid w:val="002F18B4"/>
    <w:rsid w:val="002F1933"/>
    <w:rsid w:val="002F1943"/>
    <w:rsid w:val="002F1B96"/>
    <w:rsid w:val="002F2572"/>
    <w:rsid w:val="002F25C9"/>
    <w:rsid w:val="002F2667"/>
    <w:rsid w:val="002F2797"/>
    <w:rsid w:val="002F2AC6"/>
    <w:rsid w:val="002F2D44"/>
    <w:rsid w:val="002F3081"/>
    <w:rsid w:val="002F31DE"/>
    <w:rsid w:val="002F3332"/>
    <w:rsid w:val="002F369F"/>
    <w:rsid w:val="002F38F6"/>
    <w:rsid w:val="002F3F04"/>
    <w:rsid w:val="002F491F"/>
    <w:rsid w:val="002F49D2"/>
    <w:rsid w:val="002F4A8C"/>
    <w:rsid w:val="002F4F09"/>
    <w:rsid w:val="002F523D"/>
    <w:rsid w:val="002F5ED4"/>
    <w:rsid w:val="002F6370"/>
    <w:rsid w:val="002F66DB"/>
    <w:rsid w:val="002F6748"/>
    <w:rsid w:val="002F6C40"/>
    <w:rsid w:val="002F718B"/>
    <w:rsid w:val="002F71B2"/>
    <w:rsid w:val="002F7274"/>
    <w:rsid w:val="002F738F"/>
    <w:rsid w:val="002F783C"/>
    <w:rsid w:val="002F7885"/>
    <w:rsid w:val="002F7BC5"/>
    <w:rsid w:val="002F7FCE"/>
    <w:rsid w:val="00300522"/>
    <w:rsid w:val="0030098E"/>
    <w:rsid w:val="00300ECB"/>
    <w:rsid w:val="0030100A"/>
    <w:rsid w:val="003014E3"/>
    <w:rsid w:val="0030167A"/>
    <w:rsid w:val="00301739"/>
    <w:rsid w:val="00301779"/>
    <w:rsid w:val="0030198B"/>
    <w:rsid w:val="003019FD"/>
    <w:rsid w:val="00302AE8"/>
    <w:rsid w:val="00302F2B"/>
    <w:rsid w:val="003030B2"/>
    <w:rsid w:val="00303313"/>
    <w:rsid w:val="00303520"/>
    <w:rsid w:val="0030387C"/>
    <w:rsid w:val="003038DF"/>
    <w:rsid w:val="00303968"/>
    <w:rsid w:val="00303C98"/>
    <w:rsid w:val="0030460E"/>
    <w:rsid w:val="00304C91"/>
    <w:rsid w:val="00304CBE"/>
    <w:rsid w:val="003050FD"/>
    <w:rsid w:val="00305124"/>
    <w:rsid w:val="0030593E"/>
    <w:rsid w:val="0030599B"/>
    <w:rsid w:val="003059F9"/>
    <w:rsid w:val="00305A09"/>
    <w:rsid w:val="00305C3E"/>
    <w:rsid w:val="00305C4B"/>
    <w:rsid w:val="00306013"/>
    <w:rsid w:val="0030605A"/>
    <w:rsid w:val="0030687B"/>
    <w:rsid w:val="003068DE"/>
    <w:rsid w:val="00306B3F"/>
    <w:rsid w:val="003076D0"/>
    <w:rsid w:val="00307D67"/>
    <w:rsid w:val="00310272"/>
    <w:rsid w:val="00310395"/>
    <w:rsid w:val="003103B6"/>
    <w:rsid w:val="003107BB"/>
    <w:rsid w:val="00310923"/>
    <w:rsid w:val="003113C7"/>
    <w:rsid w:val="00311598"/>
    <w:rsid w:val="003118A3"/>
    <w:rsid w:val="00311D90"/>
    <w:rsid w:val="0031248A"/>
    <w:rsid w:val="00313264"/>
    <w:rsid w:val="003134AD"/>
    <w:rsid w:val="003136E5"/>
    <w:rsid w:val="00313D17"/>
    <w:rsid w:val="00313D76"/>
    <w:rsid w:val="0031439C"/>
    <w:rsid w:val="0031447D"/>
    <w:rsid w:val="00314811"/>
    <w:rsid w:val="00314863"/>
    <w:rsid w:val="00314AA3"/>
    <w:rsid w:val="00314FC3"/>
    <w:rsid w:val="00315075"/>
    <w:rsid w:val="003153F5"/>
    <w:rsid w:val="00315432"/>
    <w:rsid w:val="00315816"/>
    <w:rsid w:val="0031592B"/>
    <w:rsid w:val="00315955"/>
    <w:rsid w:val="00315C8E"/>
    <w:rsid w:val="0031605D"/>
    <w:rsid w:val="00316085"/>
    <w:rsid w:val="0031674B"/>
    <w:rsid w:val="00316E94"/>
    <w:rsid w:val="00317198"/>
    <w:rsid w:val="00317D21"/>
    <w:rsid w:val="003201E6"/>
    <w:rsid w:val="0032024E"/>
    <w:rsid w:val="00320305"/>
    <w:rsid w:val="00320EAC"/>
    <w:rsid w:val="00321003"/>
    <w:rsid w:val="00321417"/>
    <w:rsid w:val="00321D90"/>
    <w:rsid w:val="00321F14"/>
    <w:rsid w:val="0032235A"/>
    <w:rsid w:val="00322A2D"/>
    <w:rsid w:val="00322F6B"/>
    <w:rsid w:val="00323212"/>
    <w:rsid w:val="00323A44"/>
    <w:rsid w:val="00323D51"/>
    <w:rsid w:val="00323D7E"/>
    <w:rsid w:val="00323E31"/>
    <w:rsid w:val="00324259"/>
    <w:rsid w:val="00324561"/>
    <w:rsid w:val="003246D1"/>
    <w:rsid w:val="0032490D"/>
    <w:rsid w:val="00324D91"/>
    <w:rsid w:val="00325099"/>
    <w:rsid w:val="00325103"/>
    <w:rsid w:val="0032574A"/>
    <w:rsid w:val="00325C08"/>
    <w:rsid w:val="00325E9A"/>
    <w:rsid w:val="00326662"/>
    <w:rsid w:val="00327127"/>
    <w:rsid w:val="003271A4"/>
    <w:rsid w:val="00327B42"/>
    <w:rsid w:val="00327E0E"/>
    <w:rsid w:val="00327F6D"/>
    <w:rsid w:val="00330129"/>
    <w:rsid w:val="003308C8"/>
    <w:rsid w:val="003308CA"/>
    <w:rsid w:val="0033091B"/>
    <w:rsid w:val="00330A8B"/>
    <w:rsid w:val="00330C01"/>
    <w:rsid w:val="0033103D"/>
    <w:rsid w:val="003311F9"/>
    <w:rsid w:val="00331446"/>
    <w:rsid w:val="003315C1"/>
    <w:rsid w:val="003316AB"/>
    <w:rsid w:val="00331DF0"/>
    <w:rsid w:val="003323A1"/>
    <w:rsid w:val="003324F2"/>
    <w:rsid w:val="00332742"/>
    <w:rsid w:val="0033314D"/>
    <w:rsid w:val="00333223"/>
    <w:rsid w:val="0033346F"/>
    <w:rsid w:val="00333C5E"/>
    <w:rsid w:val="00333FAC"/>
    <w:rsid w:val="0033474D"/>
    <w:rsid w:val="00334C39"/>
    <w:rsid w:val="0033520B"/>
    <w:rsid w:val="003352CE"/>
    <w:rsid w:val="003354A4"/>
    <w:rsid w:val="0033558A"/>
    <w:rsid w:val="00335657"/>
    <w:rsid w:val="00335AF9"/>
    <w:rsid w:val="00335B3F"/>
    <w:rsid w:val="00335D2D"/>
    <w:rsid w:val="00335EB6"/>
    <w:rsid w:val="00336082"/>
    <w:rsid w:val="00336379"/>
    <w:rsid w:val="0033639A"/>
    <w:rsid w:val="003363DB"/>
    <w:rsid w:val="003373C1"/>
    <w:rsid w:val="00337791"/>
    <w:rsid w:val="003377AF"/>
    <w:rsid w:val="00337A04"/>
    <w:rsid w:val="00337B32"/>
    <w:rsid w:val="00337DA1"/>
    <w:rsid w:val="00337EC5"/>
    <w:rsid w:val="00340016"/>
    <w:rsid w:val="00340235"/>
    <w:rsid w:val="00340347"/>
    <w:rsid w:val="003408EC"/>
    <w:rsid w:val="00340980"/>
    <w:rsid w:val="00340C47"/>
    <w:rsid w:val="00340CFD"/>
    <w:rsid w:val="00340E70"/>
    <w:rsid w:val="0034157A"/>
    <w:rsid w:val="00341DBA"/>
    <w:rsid w:val="00341FE0"/>
    <w:rsid w:val="003422BD"/>
    <w:rsid w:val="003423AF"/>
    <w:rsid w:val="0034242D"/>
    <w:rsid w:val="0034250B"/>
    <w:rsid w:val="0034268A"/>
    <w:rsid w:val="00342C3D"/>
    <w:rsid w:val="00343073"/>
    <w:rsid w:val="0034321E"/>
    <w:rsid w:val="00343702"/>
    <w:rsid w:val="00343B0A"/>
    <w:rsid w:val="00343DA6"/>
    <w:rsid w:val="00344390"/>
    <w:rsid w:val="0034476D"/>
    <w:rsid w:val="0034485A"/>
    <w:rsid w:val="00344CB9"/>
    <w:rsid w:val="0034515A"/>
    <w:rsid w:val="0034551B"/>
    <w:rsid w:val="00345968"/>
    <w:rsid w:val="00345A54"/>
    <w:rsid w:val="00345CF6"/>
    <w:rsid w:val="00345EED"/>
    <w:rsid w:val="003460B2"/>
    <w:rsid w:val="00346392"/>
    <w:rsid w:val="00346555"/>
    <w:rsid w:val="00346C1F"/>
    <w:rsid w:val="00346D83"/>
    <w:rsid w:val="00346E9D"/>
    <w:rsid w:val="00347261"/>
    <w:rsid w:val="003472B2"/>
    <w:rsid w:val="003475C5"/>
    <w:rsid w:val="00347776"/>
    <w:rsid w:val="00347A4B"/>
    <w:rsid w:val="00347DE5"/>
    <w:rsid w:val="003501DD"/>
    <w:rsid w:val="00350427"/>
    <w:rsid w:val="00350774"/>
    <w:rsid w:val="00350BA5"/>
    <w:rsid w:val="00350C69"/>
    <w:rsid w:val="0035129F"/>
    <w:rsid w:val="003514A0"/>
    <w:rsid w:val="0035150B"/>
    <w:rsid w:val="00352237"/>
    <w:rsid w:val="0035263B"/>
    <w:rsid w:val="0035274F"/>
    <w:rsid w:val="003527E9"/>
    <w:rsid w:val="00352862"/>
    <w:rsid w:val="00352B79"/>
    <w:rsid w:val="00353196"/>
    <w:rsid w:val="0035332F"/>
    <w:rsid w:val="00353438"/>
    <w:rsid w:val="003538DD"/>
    <w:rsid w:val="00353A3B"/>
    <w:rsid w:val="00353B6A"/>
    <w:rsid w:val="00353C52"/>
    <w:rsid w:val="003540A1"/>
    <w:rsid w:val="00354B76"/>
    <w:rsid w:val="00354F4F"/>
    <w:rsid w:val="00354F9E"/>
    <w:rsid w:val="0035568B"/>
    <w:rsid w:val="00355C3C"/>
    <w:rsid w:val="00356119"/>
    <w:rsid w:val="003568DD"/>
    <w:rsid w:val="003571AD"/>
    <w:rsid w:val="003573B8"/>
    <w:rsid w:val="003573CD"/>
    <w:rsid w:val="00357EA9"/>
    <w:rsid w:val="00360109"/>
    <w:rsid w:val="003603AC"/>
    <w:rsid w:val="00360510"/>
    <w:rsid w:val="00360A48"/>
    <w:rsid w:val="00360FBB"/>
    <w:rsid w:val="003611B3"/>
    <w:rsid w:val="0036127F"/>
    <w:rsid w:val="003614C7"/>
    <w:rsid w:val="00361C31"/>
    <w:rsid w:val="00361D29"/>
    <w:rsid w:val="003627B0"/>
    <w:rsid w:val="00362AEA"/>
    <w:rsid w:val="00362BD5"/>
    <w:rsid w:val="00362E9A"/>
    <w:rsid w:val="00363D4D"/>
    <w:rsid w:val="00364138"/>
    <w:rsid w:val="0036451B"/>
    <w:rsid w:val="00364ADB"/>
    <w:rsid w:val="00364D44"/>
    <w:rsid w:val="00364EE3"/>
    <w:rsid w:val="003660C3"/>
    <w:rsid w:val="003660F9"/>
    <w:rsid w:val="0036612E"/>
    <w:rsid w:val="00366AB1"/>
    <w:rsid w:val="00366C59"/>
    <w:rsid w:val="00366D63"/>
    <w:rsid w:val="00366EF1"/>
    <w:rsid w:val="0036766F"/>
    <w:rsid w:val="003677D8"/>
    <w:rsid w:val="00370A39"/>
    <w:rsid w:val="00370AE5"/>
    <w:rsid w:val="00370C53"/>
    <w:rsid w:val="00370F31"/>
    <w:rsid w:val="00370FC1"/>
    <w:rsid w:val="00371930"/>
    <w:rsid w:val="00371975"/>
    <w:rsid w:val="00371AEF"/>
    <w:rsid w:val="00371DCF"/>
    <w:rsid w:val="00372D79"/>
    <w:rsid w:val="00372F81"/>
    <w:rsid w:val="0037375C"/>
    <w:rsid w:val="00373C6D"/>
    <w:rsid w:val="00373D60"/>
    <w:rsid w:val="00373DAE"/>
    <w:rsid w:val="00373F99"/>
    <w:rsid w:val="0037444C"/>
    <w:rsid w:val="00374A1B"/>
    <w:rsid w:val="00374BD3"/>
    <w:rsid w:val="00375161"/>
    <w:rsid w:val="00375713"/>
    <w:rsid w:val="00375794"/>
    <w:rsid w:val="00375FCB"/>
    <w:rsid w:val="00376285"/>
    <w:rsid w:val="00376569"/>
    <w:rsid w:val="00376BB2"/>
    <w:rsid w:val="003770AA"/>
    <w:rsid w:val="0037724C"/>
    <w:rsid w:val="00377DCA"/>
    <w:rsid w:val="00377FE5"/>
    <w:rsid w:val="003803EF"/>
    <w:rsid w:val="0038045B"/>
    <w:rsid w:val="0038096D"/>
    <w:rsid w:val="00380B22"/>
    <w:rsid w:val="00380B3F"/>
    <w:rsid w:val="00381190"/>
    <w:rsid w:val="003811E8"/>
    <w:rsid w:val="003812E1"/>
    <w:rsid w:val="00381418"/>
    <w:rsid w:val="00381618"/>
    <w:rsid w:val="00381CFD"/>
    <w:rsid w:val="00381F55"/>
    <w:rsid w:val="003822FC"/>
    <w:rsid w:val="0038255A"/>
    <w:rsid w:val="0038288A"/>
    <w:rsid w:val="00382C37"/>
    <w:rsid w:val="00382C77"/>
    <w:rsid w:val="00383C8D"/>
    <w:rsid w:val="00383CE3"/>
    <w:rsid w:val="00383DF8"/>
    <w:rsid w:val="00384243"/>
    <w:rsid w:val="00384488"/>
    <w:rsid w:val="00384825"/>
    <w:rsid w:val="00384979"/>
    <w:rsid w:val="00384AFB"/>
    <w:rsid w:val="003853D4"/>
    <w:rsid w:val="003856B9"/>
    <w:rsid w:val="00385ABF"/>
    <w:rsid w:val="00385B00"/>
    <w:rsid w:val="00385D79"/>
    <w:rsid w:val="0038622A"/>
    <w:rsid w:val="003862E1"/>
    <w:rsid w:val="0038704B"/>
    <w:rsid w:val="003875A7"/>
    <w:rsid w:val="0038792B"/>
    <w:rsid w:val="00387CFE"/>
    <w:rsid w:val="003901A3"/>
    <w:rsid w:val="00390375"/>
    <w:rsid w:val="0039053B"/>
    <w:rsid w:val="00390BDB"/>
    <w:rsid w:val="00391125"/>
    <w:rsid w:val="00391250"/>
    <w:rsid w:val="003916A4"/>
    <w:rsid w:val="003918A6"/>
    <w:rsid w:val="00391954"/>
    <w:rsid w:val="003919EF"/>
    <w:rsid w:val="00391A53"/>
    <w:rsid w:val="00391C73"/>
    <w:rsid w:val="00391EA3"/>
    <w:rsid w:val="0039250F"/>
    <w:rsid w:val="00392817"/>
    <w:rsid w:val="00392826"/>
    <w:rsid w:val="003928DB"/>
    <w:rsid w:val="00392AEF"/>
    <w:rsid w:val="00392B29"/>
    <w:rsid w:val="00392E78"/>
    <w:rsid w:val="003931C1"/>
    <w:rsid w:val="00393390"/>
    <w:rsid w:val="00393847"/>
    <w:rsid w:val="0039385D"/>
    <w:rsid w:val="0039396A"/>
    <w:rsid w:val="00393E0D"/>
    <w:rsid w:val="00393E55"/>
    <w:rsid w:val="00394020"/>
    <w:rsid w:val="00394938"/>
    <w:rsid w:val="00394DA5"/>
    <w:rsid w:val="0039566B"/>
    <w:rsid w:val="0039584D"/>
    <w:rsid w:val="00396790"/>
    <w:rsid w:val="003967A9"/>
    <w:rsid w:val="00396E51"/>
    <w:rsid w:val="003971BD"/>
    <w:rsid w:val="003976A5"/>
    <w:rsid w:val="00397D14"/>
    <w:rsid w:val="003A004B"/>
    <w:rsid w:val="003A0075"/>
    <w:rsid w:val="003A03BF"/>
    <w:rsid w:val="003A0AD5"/>
    <w:rsid w:val="003A0B50"/>
    <w:rsid w:val="003A12F9"/>
    <w:rsid w:val="003A13FF"/>
    <w:rsid w:val="003A1475"/>
    <w:rsid w:val="003A1819"/>
    <w:rsid w:val="003A1C36"/>
    <w:rsid w:val="003A1C67"/>
    <w:rsid w:val="003A20FC"/>
    <w:rsid w:val="003A2110"/>
    <w:rsid w:val="003A2221"/>
    <w:rsid w:val="003A2C43"/>
    <w:rsid w:val="003A2E8B"/>
    <w:rsid w:val="003A3415"/>
    <w:rsid w:val="003A3781"/>
    <w:rsid w:val="003A3A1C"/>
    <w:rsid w:val="003A3B45"/>
    <w:rsid w:val="003A3EEB"/>
    <w:rsid w:val="003A4873"/>
    <w:rsid w:val="003A4AB2"/>
    <w:rsid w:val="003A4FCA"/>
    <w:rsid w:val="003A50F1"/>
    <w:rsid w:val="003A5422"/>
    <w:rsid w:val="003A55A7"/>
    <w:rsid w:val="003A58F5"/>
    <w:rsid w:val="003A5A48"/>
    <w:rsid w:val="003A5C7E"/>
    <w:rsid w:val="003A5FA5"/>
    <w:rsid w:val="003A609B"/>
    <w:rsid w:val="003A6632"/>
    <w:rsid w:val="003A68A8"/>
    <w:rsid w:val="003A6BB5"/>
    <w:rsid w:val="003A6E8C"/>
    <w:rsid w:val="003A7045"/>
    <w:rsid w:val="003A70DD"/>
    <w:rsid w:val="003A7124"/>
    <w:rsid w:val="003A753C"/>
    <w:rsid w:val="003A7560"/>
    <w:rsid w:val="003A7869"/>
    <w:rsid w:val="003A79BD"/>
    <w:rsid w:val="003A7C1D"/>
    <w:rsid w:val="003A7C89"/>
    <w:rsid w:val="003B0089"/>
    <w:rsid w:val="003B0174"/>
    <w:rsid w:val="003B026D"/>
    <w:rsid w:val="003B057C"/>
    <w:rsid w:val="003B0E66"/>
    <w:rsid w:val="003B0E95"/>
    <w:rsid w:val="003B0EF6"/>
    <w:rsid w:val="003B0F6E"/>
    <w:rsid w:val="003B102D"/>
    <w:rsid w:val="003B191A"/>
    <w:rsid w:val="003B1F2D"/>
    <w:rsid w:val="003B2046"/>
    <w:rsid w:val="003B21BE"/>
    <w:rsid w:val="003B22A6"/>
    <w:rsid w:val="003B2433"/>
    <w:rsid w:val="003B2989"/>
    <w:rsid w:val="003B298C"/>
    <w:rsid w:val="003B3761"/>
    <w:rsid w:val="003B3D80"/>
    <w:rsid w:val="003B42CF"/>
    <w:rsid w:val="003B4326"/>
    <w:rsid w:val="003B47E6"/>
    <w:rsid w:val="003B499F"/>
    <w:rsid w:val="003B4CDD"/>
    <w:rsid w:val="003B50B9"/>
    <w:rsid w:val="003B5C67"/>
    <w:rsid w:val="003B74B0"/>
    <w:rsid w:val="003B764C"/>
    <w:rsid w:val="003B7960"/>
    <w:rsid w:val="003B7B3B"/>
    <w:rsid w:val="003B7C7F"/>
    <w:rsid w:val="003C0122"/>
    <w:rsid w:val="003C0320"/>
    <w:rsid w:val="003C037D"/>
    <w:rsid w:val="003C0BAC"/>
    <w:rsid w:val="003C0D0F"/>
    <w:rsid w:val="003C12A9"/>
    <w:rsid w:val="003C16E8"/>
    <w:rsid w:val="003C1FFB"/>
    <w:rsid w:val="003C25CB"/>
    <w:rsid w:val="003C2C16"/>
    <w:rsid w:val="003C34A8"/>
    <w:rsid w:val="003C34E0"/>
    <w:rsid w:val="003C3CAE"/>
    <w:rsid w:val="003C3D6C"/>
    <w:rsid w:val="003C412A"/>
    <w:rsid w:val="003C4626"/>
    <w:rsid w:val="003C5256"/>
    <w:rsid w:val="003C5B32"/>
    <w:rsid w:val="003C5BE4"/>
    <w:rsid w:val="003C6152"/>
    <w:rsid w:val="003C61A3"/>
    <w:rsid w:val="003C621B"/>
    <w:rsid w:val="003C6417"/>
    <w:rsid w:val="003C65D7"/>
    <w:rsid w:val="003C6606"/>
    <w:rsid w:val="003C694A"/>
    <w:rsid w:val="003C6958"/>
    <w:rsid w:val="003C69D1"/>
    <w:rsid w:val="003C6B13"/>
    <w:rsid w:val="003C6D64"/>
    <w:rsid w:val="003C6DEE"/>
    <w:rsid w:val="003C7004"/>
    <w:rsid w:val="003C723E"/>
    <w:rsid w:val="003C7A97"/>
    <w:rsid w:val="003D0219"/>
    <w:rsid w:val="003D083C"/>
    <w:rsid w:val="003D0D9C"/>
    <w:rsid w:val="003D0E07"/>
    <w:rsid w:val="003D0F6B"/>
    <w:rsid w:val="003D10F0"/>
    <w:rsid w:val="003D1191"/>
    <w:rsid w:val="003D14CD"/>
    <w:rsid w:val="003D1798"/>
    <w:rsid w:val="003D1846"/>
    <w:rsid w:val="003D19F0"/>
    <w:rsid w:val="003D2212"/>
    <w:rsid w:val="003D2B5E"/>
    <w:rsid w:val="003D2DDA"/>
    <w:rsid w:val="003D2EE2"/>
    <w:rsid w:val="003D2F34"/>
    <w:rsid w:val="003D2F40"/>
    <w:rsid w:val="003D34E8"/>
    <w:rsid w:val="003D3C8F"/>
    <w:rsid w:val="003D40AE"/>
    <w:rsid w:val="003D4287"/>
    <w:rsid w:val="003D4950"/>
    <w:rsid w:val="003D4CF3"/>
    <w:rsid w:val="003D4D81"/>
    <w:rsid w:val="003D4D84"/>
    <w:rsid w:val="003D52A3"/>
    <w:rsid w:val="003D5FE1"/>
    <w:rsid w:val="003D603E"/>
    <w:rsid w:val="003D613E"/>
    <w:rsid w:val="003D61DC"/>
    <w:rsid w:val="003D6510"/>
    <w:rsid w:val="003D65C2"/>
    <w:rsid w:val="003D67CB"/>
    <w:rsid w:val="003D68D9"/>
    <w:rsid w:val="003D72A6"/>
    <w:rsid w:val="003D759F"/>
    <w:rsid w:val="003D77B0"/>
    <w:rsid w:val="003D7B22"/>
    <w:rsid w:val="003E0088"/>
    <w:rsid w:val="003E05A0"/>
    <w:rsid w:val="003E08D4"/>
    <w:rsid w:val="003E08DF"/>
    <w:rsid w:val="003E0940"/>
    <w:rsid w:val="003E0F54"/>
    <w:rsid w:val="003E1121"/>
    <w:rsid w:val="003E12E4"/>
    <w:rsid w:val="003E180B"/>
    <w:rsid w:val="003E21AE"/>
    <w:rsid w:val="003E225F"/>
    <w:rsid w:val="003E2AF4"/>
    <w:rsid w:val="003E2B5B"/>
    <w:rsid w:val="003E2B62"/>
    <w:rsid w:val="003E2CED"/>
    <w:rsid w:val="003E3050"/>
    <w:rsid w:val="003E33D3"/>
    <w:rsid w:val="003E34A1"/>
    <w:rsid w:val="003E34F6"/>
    <w:rsid w:val="003E3941"/>
    <w:rsid w:val="003E3C37"/>
    <w:rsid w:val="003E3D5B"/>
    <w:rsid w:val="003E3E2A"/>
    <w:rsid w:val="003E3FCF"/>
    <w:rsid w:val="003E42DF"/>
    <w:rsid w:val="003E474A"/>
    <w:rsid w:val="003E4ACA"/>
    <w:rsid w:val="003E4CAE"/>
    <w:rsid w:val="003E52FF"/>
    <w:rsid w:val="003E539E"/>
    <w:rsid w:val="003E55E1"/>
    <w:rsid w:val="003E571A"/>
    <w:rsid w:val="003E5AF6"/>
    <w:rsid w:val="003E62B7"/>
    <w:rsid w:val="003E656A"/>
    <w:rsid w:val="003E65AE"/>
    <w:rsid w:val="003E6973"/>
    <w:rsid w:val="003E6A68"/>
    <w:rsid w:val="003E6DB5"/>
    <w:rsid w:val="003E6DED"/>
    <w:rsid w:val="003E7338"/>
    <w:rsid w:val="003E7B16"/>
    <w:rsid w:val="003E7EE2"/>
    <w:rsid w:val="003F03DE"/>
    <w:rsid w:val="003F0964"/>
    <w:rsid w:val="003F0E07"/>
    <w:rsid w:val="003F10F2"/>
    <w:rsid w:val="003F1BC3"/>
    <w:rsid w:val="003F1D72"/>
    <w:rsid w:val="003F2016"/>
    <w:rsid w:val="003F2078"/>
    <w:rsid w:val="003F2E69"/>
    <w:rsid w:val="003F3197"/>
    <w:rsid w:val="003F36A9"/>
    <w:rsid w:val="003F3810"/>
    <w:rsid w:val="003F436D"/>
    <w:rsid w:val="003F46CA"/>
    <w:rsid w:val="003F4D56"/>
    <w:rsid w:val="003F5370"/>
    <w:rsid w:val="003F58C2"/>
    <w:rsid w:val="003F6113"/>
    <w:rsid w:val="003F64C4"/>
    <w:rsid w:val="003F668C"/>
    <w:rsid w:val="003F685F"/>
    <w:rsid w:val="003F6BB8"/>
    <w:rsid w:val="003F6DB3"/>
    <w:rsid w:val="003F70B2"/>
    <w:rsid w:val="003F7DD0"/>
    <w:rsid w:val="00400068"/>
    <w:rsid w:val="004006E5"/>
    <w:rsid w:val="0040081C"/>
    <w:rsid w:val="00400A04"/>
    <w:rsid w:val="00400FE9"/>
    <w:rsid w:val="004012E1"/>
    <w:rsid w:val="0040131C"/>
    <w:rsid w:val="00401DB6"/>
    <w:rsid w:val="00401E6C"/>
    <w:rsid w:val="00401FDC"/>
    <w:rsid w:val="004020B2"/>
    <w:rsid w:val="004020E3"/>
    <w:rsid w:val="004021C9"/>
    <w:rsid w:val="004021E4"/>
    <w:rsid w:val="0040250C"/>
    <w:rsid w:val="004025AB"/>
    <w:rsid w:val="004029C4"/>
    <w:rsid w:val="00402F22"/>
    <w:rsid w:val="00403382"/>
    <w:rsid w:val="004035A2"/>
    <w:rsid w:val="00403EE1"/>
    <w:rsid w:val="00404414"/>
    <w:rsid w:val="00404477"/>
    <w:rsid w:val="004044B0"/>
    <w:rsid w:val="00404687"/>
    <w:rsid w:val="00404A7E"/>
    <w:rsid w:val="00404DBD"/>
    <w:rsid w:val="004052CF"/>
    <w:rsid w:val="00405D74"/>
    <w:rsid w:val="00406D71"/>
    <w:rsid w:val="00407106"/>
    <w:rsid w:val="004075EB"/>
    <w:rsid w:val="00407731"/>
    <w:rsid w:val="00407E23"/>
    <w:rsid w:val="0041043E"/>
    <w:rsid w:val="00410CB5"/>
    <w:rsid w:val="00410D34"/>
    <w:rsid w:val="00411351"/>
    <w:rsid w:val="00411828"/>
    <w:rsid w:val="00411900"/>
    <w:rsid w:val="004119EE"/>
    <w:rsid w:val="00411DF7"/>
    <w:rsid w:val="00412141"/>
    <w:rsid w:val="00412519"/>
    <w:rsid w:val="0041253A"/>
    <w:rsid w:val="004128AF"/>
    <w:rsid w:val="00412C47"/>
    <w:rsid w:val="0041317A"/>
    <w:rsid w:val="0041323C"/>
    <w:rsid w:val="004137A9"/>
    <w:rsid w:val="00413E60"/>
    <w:rsid w:val="004147B0"/>
    <w:rsid w:val="004149A1"/>
    <w:rsid w:val="004152E5"/>
    <w:rsid w:val="00415535"/>
    <w:rsid w:val="00416282"/>
    <w:rsid w:val="00416533"/>
    <w:rsid w:val="0041683B"/>
    <w:rsid w:val="00417032"/>
    <w:rsid w:val="0041749F"/>
    <w:rsid w:val="004179ED"/>
    <w:rsid w:val="00417FD8"/>
    <w:rsid w:val="0042022E"/>
    <w:rsid w:val="004208F7"/>
    <w:rsid w:val="00420B8B"/>
    <w:rsid w:val="00420BFA"/>
    <w:rsid w:val="00420C79"/>
    <w:rsid w:val="00420E51"/>
    <w:rsid w:val="00420EAC"/>
    <w:rsid w:val="00421160"/>
    <w:rsid w:val="0042126E"/>
    <w:rsid w:val="00421D69"/>
    <w:rsid w:val="004228A8"/>
    <w:rsid w:val="00422CB0"/>
    <w:rsid w:val="00422E2E"/>
    <w:rsid w:val="00423136"/>
    <w:rsid w:val="004233D7"/>
    <w:rsid w:val="00423479"/>
    <w:rsid w:val="0042382F"/>
    <w:rsid w:val="00423A98"/>
    <w:rsid w:val="00423B00"/>
    <w:rsid w:val="00423C62"/>
    <w:rsid w:val="00423D6E"/>
    <w:rsid w:val="00424077"/>
    <w:rsid w:val="00424181"/>
    <w:rsid w:val="004245D3"/>
    <w:rsid w:val="00424BEF"/>
    <w:rsid w:val="00424CF9"/>
    <w:rsid w:val="004253A4"/>
    <w:rsid w:val="004255AA"/>
    <w:rsid w:val="00426001"/>
    <w:rsid w:val="004261B0"/>
    <w:rsid w:val="0042621D"/>
    <w:rsid w:val="0042660E"/>
    <w:rsid w:val="00426841"/>
    <w:rsid w:val="004269E2"/>
    <w:rsid w:val="00426C21"/>
    <w:rsid w:val="004272BE"/>
    <w:rsid w:val="00427312"/>
    <w:rsid w:val="0042750F"/>
    <w:rsid w:val="00427CA7"/>
    <w:rsid w:val="00427D21"/>
    <w:rsid w:val="00430428"/>
    <w:rsid w:val="004304F7"/>
    <w:rsid w:val="004307BD"/>
    <w:rsid w:val="00430C19"/>
    <w:rsid w:val="00430FCA"/>
    <w:rsid w:val="0043108A"/>
    <w:rsid w:val="00431980"/>
    <w:rsid w:val="00431C16"/>
    <w:rsid w:val="00433013"/>
    <w:rsid w:val="00433324"/>
    <w:rsid w:val="004339DB"/>
    <w:rsid w:val="00433F5B"/>
    <w:rsid w:val="004340F6"/>
    <w:rsid w:val="00434114"/>
    <w:rsid w:val="00434124"/>
    <w:rsid w:val="004346BC"/>
    <w:rsid w:val="004349D3"/>
    <w:rsid w:val="00434EF7"/>
    <w:rsid w:val="0043577B"/>
    <w:rsid w:val="00436248"/>
    <w:rsid w:val="004364CE"/>
    <w:rsid w:val="00436698"/>
    <w:rsid w:val="00437896"/>
    <w:rsid w:val="00437CA9"/>
    <w:rsid w:val="00437F09"/>
    <w:rsid w:val="00437F0B"/>
    <w:rsid w:val="0044014B"/>
    <w:rsid w:val="004402CD"/>
    <w:rsid w:val="00440820"/>
    <w:rsid w:val="00440E87"/>
    <w:rsid w:val="00441297"/>
    <w:rsid w:val="00441F5D"/>
    <w:rsid w:val="0044217A"/>
    <w:rsid w:val="004429BB"/>
    <w:rsid w:val="00442D15"/>
    <w:rsid w:val="00442E9E"/>
    <w:rsid w:val="00442FE7"/>
    <w:rsid w:val="004434D4"/>
    <w:rsid w:val="004435E9"/>
    <w:rsid w:val="004436A1"/>
    <w:rsid w:val="004439EA"/>
    <w:rsid w:val="00443EC2"/>
    <w:rsid w:val="004447C8"/>
    <w:rsid w:val="00444914"/>
    <w:rsid w:val="00444965"/>
    <w:rsid w:val="00444D23"/>
    <w:rsid w:val="00444DAD"/>
    <w:rsid w:val="00444DE5"/>
    <w:rsid w:val="00444ED0"/>
    <w:rsid w:val="004452D3"/>
    <w:rsid w:val="00445D12"/>
    <w:rsid w:val="004462FF"/>
    <w:rsid w:val="00446405"/>
    <w:rsid w:val="00446AC4"/>
    <w:rsid w:val="00446D37"/>
    <w:rsid w:val="00447478"/>
    <w:rsid w:val="00447756"/>
    <w:rsid w:val="004477C9"/>
    <w:rsid w:val="00447B2F"/>
    <w:rsid w:val="004500CE"/>
    <w:rsid w:val="00450431"/>
    <w:rsid w:val="00451CF7"/>
    <w:rsid w:val="00451FDD"/>
    <w:rsid w:val="004520AA"/>
    <w:rsid w:val="00452650"/>
    <w:rsid w:val="004528DB"/>
    <w:rsid w:val="004528F9"/>
    <w:rsid w:val="00452C14"/>
    <w:rsid w:val="00452FF0"/>
    <w:rsid w:val="0045322F"/>
    <w:rsid w:val="00453496"/>
    <w:rsid w:val="00453657"/>
    <w:rsid w:val="0045375F"/>
    <w:rsid w:val="00453BB2"/>
    <w:rsid w:val="00453EA6"/>
    <w:rsid w:val="00453FE9"/>
    <w:rsid w:val="0045409B"/>
    <w:rsid w:val="0045425C"/>
    <w:rsid w:val="004542A0"/>
    <w:rsid w:val="004545E5"/>
    <w:rsid w:val="00454665"/>
    <w:rsid w:val="00454927"/>
    <w:rsid w:val="00455708"/>
    <w:rsid w:val="004557BD"/>
    <w:rsid w:val="004557DA"/>
    <w:rsid w:val="00455B0B"/>
    <w:rsid w:val="00455DF7"/>
    <w:rsid w:val="0045600E"/>
    <w:rsid w:val="004565C2"/>
    <w:rsid w:val="004568BF"/>
    <w:rsid w:val="00456B7E"/>
    <w:rsid w:val="00456C2A"/>
    <w:rsid w:val="00456DB6"/>
    <w:rsid w:val="0045758C"/>
    <w:rsid w:val="00457669"/>
    <w:rsid w:val="00460051"/>
    <w:rsid w:val="00460C20"/>
    <w:rsid w:val="00460C82"/>
    <w:rsid w:val="004610A3"/>
    <w:rsid w:val="0046160E"/>
    <w:rsid w:val="0046164F"/>
    <w:rsid w:val="0046189A"/>
    <w:rsid w:val="00461BAD"/>
    <w:rsid w:val="00461C6D"/>
    <w:rsid w:val="00461D55"/>
    <w:rsid w:val="0046257D"/>
    <w:rsid w:val="004626D3"/>
    <w:rsid w:val="00462763"/>
    <w:rsid w:val="00462BD7"/>
    <w:rsid w:val="00462BE5"/>
    <w:rsid w:val="00462BED"/>
    <w:rsid w:val="00462DCB"/>
    <w:rsid w:val="00462FD2"/>
    <w:rsid w:val="00463094"/>
    <w:rsid w:val="0046309E"/>
    <w:rsid w:val="00463536"/>
    <w:rsid w:val="004641D7"/>
    <w:rsid w:val="00464A54"/>
    <w:rsid w:val="00464DA4"/>
    <w:rsid w:val="00464DFC"/>
    <w:rsid w:val="00464E18"/>
    <w:rsid w:val="00465020"/>
    <w:rsid w:val="00465246"/>
    <w:rsid w:val="0046536B"/>
    <w:rsid w:val="00465518"/>
    <w:rsid w:val="00465E72"/>
    <w:rsid w:val="0046640E"/>
    <w:rsid w:val="004664CA"/>
    <w:rsid w:val="00466EA8"/>
    <w:rsid w:val="004671B9"/>
    <w:rsid w:val="004672B6"/>
    <w:rsid w:val="004673E8"/>
    <w:rsid w:val="004675E7"/>
    <w:rsid w:val="00467615"/>
    <w:rsid w:val="004676AC"/>
    <w:rsid w:val="004677D8"/>
    <w:rsid w:val="004705E4"/>
    <w:rsid w:val="0047096D"/>
    <w:rsid w:val="00470C07"/>
    <w:rsid w:val="004710B2"/>
    <w:rsid w:val="00471277"/>
    <w:rsid w:val="0047139E"/>
    <w:rsid w:val="004713A3"/>
    <w:rsid w:val="0047150B"/>
    <w:rsid w:val="004716F0"/>
    <w:rsid w:val="004717A8"/>
    <w:rsid w:val="00472011"/>
    <w:rsid w:val="004721E3"/>
    <w:rsid w:val="004727A8"/>
    <w:rsid w:val="00472808"/>
    <w:rsid w:val="00472AFF"/>
    <w:rsid w:val="00472BA6"/>
    <w:rsid w:val="0047327C"/>
    <w:rsid w:val="00473615"/>
    <w:rsid w:val="00473E08"/>
    <w:rsid w:val="00473E33"/>
    <w:rsid w:val="0047481D"/>
    <w:rsid w:val="00474BB4"/>
    <w:rsid w:val="00474BDD"/>
    <w:rsid w:val="00474CCC"/>
    <w:rsid w:val="00474FA5"/>
    <w:rsid w:val="004750DA"/>
    <w:rsid w:val="00475206"/>
    <w:rsid w:val="004752B2"/>
    <w:rsid w:val="00475649"/>
    <w:rsid w:val="004759C6"/>
    <w:rsid w:val="00475A4F"/>
    <w:rsid w:val="00475C16"/>
    <w:rsid w:val="00475C63"/>
    <w:rsid w:val="0047601E"/>
    <w:rsid w:val="004760E1"/>
    <w:rsid w:val="00476373"/>
    <w:rsid w:val="00476AC9"/>
    <w:rsid w:val="00476C76"/>
    <w:rsid w:val="00476D54"/>
    <w:rsid w:val="00476FCD"/>
    <w:rsid w:val="00477101"/>
    <w:rsid w:val="004774E2"/>
    <w:rsid w:val="00477575"/>
    <w:rsid w:val="00477863"/>
    <w:rsid w:val="0047788A"/>
    <w:rsid w:val="004778DE"/>
    <w:rsid w:val="00480717"/>
    <w:rsid w:val="0048073F"/>
    <w:rsid w:val="0048098B"/>
    <w:rsid w:val="00480A6E"/>
    <w:rsid w:val="00480F65"/>
    <w:rsid w:val="004815F9"/>
    <w:rsid w:val="00481627"/>
    <w:rsid w:val="00481ADB"/>
    <w:rsid w:val="00481C27"/>
    <w:rsid w:val="004821DF"/>
    <w:rsid w:val="004822AE"/>
    <w:rsid w:val="0048277A"/>
    <w:rsid w:val="0048292E"/>
    <w:rsid w:val="00482A30"/>
    <w:rsid w:val="00482DB4"/>
    <w:rsid w:val="00482FCD"/>
    <w:rsid w:val="00483484"/>
    <w:rsid w:val="0048381B"/>
    <w:rsid w:val="00483A88"/>
    <w:rsid w:val="00483CC8"/>
    <w:rsid w:val="00483D70"/>
    <w:rsid w:val="00483DDC"/>
    <w:rsid w:val="00483EB0"/>
    <w:rsid w:val="004842D4"/>
    <w:rsid w:val="00484498"/>
    <w:rsid w:val="004845F4"/>
    <w:rsid w:val="00485F3D"/>
    <w:rsid w:val="0048678E"/>
    <w:rsid w:val="00486B5A"/>
    <w:rsid w:val="00486C16"/>
    <w:rsid w:val="0048734A"/>
    <w:rsid w:val="00487386"/>
    <w:rsid w:val="00487880"/>
    <w:rsid w:val="004879F5"/>
    <w:rsid w:val="00490225"/>
    <w:rsid w:val="00490301"/>
    <w:rsid w:val="00490481"/>
    <w:rsid w:val="00490831"/>
    <w:rsid w:val="004912EA"/>
    <w:rsid w:val="00491797"/>
    <w:rsid w:val="004917B0"/>
    <w:rsid w:val="00491876"/>
    <w:rsid w:val="00491997"/>
    <w:rsid w:val="00491D21"/>
    <w:rsid w:val="004920E7"/>
    <w:rsid w:val="0049279F"/>
    <w:rsid w:val="004929D2"/>
    <w:rsid w:val="00492DD7"/>
    <w:rsid w:val="00493221"/>
    <w:rsid w:val="0049323E"/>
    <w:rsid w:val="0049344D"/>
    <w:rsid w:val="00493610"/>
    <w:rsid w:val="004936C6"/>
    <w:rsid w:val="004940AF"/>
    <w:rsid w:val="004945D9"/>
    <w:rsid w:val="004949C8"/>
    <w:rsid w:val="00494A16"/>
    <w:rsid w:val="0049514F"/>
    <w:rsid w:val="004955BA"/>
    <w:rsid w:val="004956D8"/>
    <w:rsid w:val="004957B1"/>
    <w:rsid w:val="0049589B"/>
    <w:rsid w:val="00495B49"/>
    <w:rsid w:val="00495CEA"/>
    <w:rsid w:val="00495E68"/>
    <w:rsid w:val="00496397"/>
    <w:rsid w:val="0049686E"/>
    <w:rsid w:val="004970F7"/>
    <w:rsid w:val="004975CE"/>
    <w:rsid w:val="004977C9"/>
    <w:rsid w:val="00497CB8"/>
    <w:rsid w:val="00497FB5"/>
    <w:rsid w:val="004A05C9"/>
    <w:rsid w:val="004A06FD"/>
    <w:rsid w:val="004A0EBA"/>
    <w:rsid w:val="004A1A88"/>
    <w:rsid w:val="004A1C23"/>
    <w:rsid w:val="004A1D10"/>
    <w:rsid w:val="004A1D32"/>
    <w:rsid w:val="004A1D73"/>
    <w:rsid w:val="004A1E5F"/>
    <w:rsid w:val="004A2062"/>
    <w:rsid w:val="004A20E5"/>
    <w:rsid w:val="004A2133"/>
    <w:rsid w:val="004A220E"/>
    <w:rsid w:val="004A27B7"/>
    <w:rsid w:val="004A29D5"/>
    <w:rsid w:val="004A2C05"/>
    <w:rsid w:val="004A2D21"/>
    <w:rsid w:val="004A302A"/>
    <w:rsid w:val="004A359F"/>
    <w:rsid w:val="004A409A"/>
    <w:rsid w:val="004A40BF"/>
    <w:rsid w:val="004A4394"/>
    <w:rsid w:val="004A44CB"/>
    <w:rsid w:val="004A4730"/>
    <w:rsid w:val="004A4831"/>
    <w:rsid w:val="004A54B1"/>
    <w:rsid w:val="004A58E9"/>
    <w:rsid w:val="004A5A01"/>
    <w:rsid w:val="004A5FFA"/>
    <w:rsid w:val="004A6418"/>
    <w:rsid w:val="004A655D"/>
    <w:rsid w:val="004A69F8"/>
    <w:rsid w:val="004A7021"/>
    <w:rsid w:val="004A7145"/>
    <w:rsid w:val="004A7291"/>
    <w:rsid w:val="004A74B5"/>
    <w:rsid w:val="004A7D1D"/>
    <w:rsid w:val="004B026E"/>
    <w:rsid w:val="004B0480"/>
    <w:rsid w:val="004B05DA"/>
    <w:rsid w:val="004B089F"/>
    <w:rsid w:val="004B08CA"/>
    <w:rsid w:val="004B0C66"/>
    <w:rsid w:val="004B13CB"/>
    <w:rsid w:val="004B1429"/>
    <w:rsid w:val="004B15C6"/>
    <w:rsid w:val="004B1621"/>
    <w:rsid w:val="004B1EB7"/>
    <w:rsid w:val="004B21B7"/>
    <w:rsid w:val="004B2485"/>
    <w:rsid w:val="004B2679"/>
    <w:rsid w:val="004B295C"/>
    <w:rsid w:val="004B2E8E"/>
    <w:rsid w:val="004B40BD"/>
    <w:rsid w:val="004B5616"/>
    <w:rsid w:val="004B56A4"/>
    <w:rsid w:val="004B5952"/>
    <w:rsid w:val="004B5B1D"/>
    <w:rsid w:val="004B67E9"/>
    <w:rsid w:val="004B6950"/>
    <w:rsid w:val="004B695B"/>
    <w:rsid w:val="004B7112"/>
    <w:rsid w:val="004B71E7"/>
    <w:rsid w:val="004B7372"/>
    <w:rsid w:val="004B7599"/>
    <w:rsid w:val="004B7734"/>
    <w:rsid w:val="004B7B2C"/>
    <w:rsid w:val="004B7DE6"/>
    <w:rsid w:val="004C00C5"/>
    <w:rsid w:val="004C0C49"/>
    <w:rsid w:val="004C0DBA"/>
    <w:rsid w:val="004C1324"/>
    <w:rsid w:val="004C1420"/>
    <w:rsid w:val="004C15B6"/>
    <w:rsid w:val="004C1863"/>
    <w:rsid w:val="004C18C2"/>
    <w:rsid w:val="004C1A64"/>
    <w:rsid w:val="004C1B6F"/>
    <w:rsid w:val="004C1BB7"/>
    <w:rsid w:val="004C1E35"/>
    <w:rsid w:val="004C1F57"/>
    <w:rsid w:val="004C1F5F"/>
    <w:rsid w:val="004C207B"/>
    <w:rsid w:val="004C2145"/>
    <w:rsid w:val="004C2438"/>
    <w:rsid w:val="004C244F"/>
    <w:rsid w:val="004C2547"/>
    <w:rsid w:val="004C267C"/>
    <w:rsid w:val="004C29B1"/>
    <w:rsid w:val="004C2AE2"/>
    <w:rsid w:val="004C2CC8"/>
    <w:rsid w:val="004C2D3C"/>
    <w:rsid w:val="004C3D96"/>
    <w:rsid w:val="004C3DC6"/>
    <w:rsid w:val="004C3E31"/>
    <w:rsid w:val="004C3F0F"/>
    <w:rsid w:val="004C45BC"/>
    <w:rsid w:val="004C4757"/>
    <w:rsid w:val="004C4A4C"/>
    <w:rsid w:val="004C4ED1"/>
    <w:rsid w:val="004C50D3"/>
    <w:rsid w:val="004C5317"/>
    <w:rsid w:val="004C5AA5"/>
    <w:rsid w:val="004C5CFA"/>
    <w:rsid w:val="004C5D1B"/>
    <w:rsid w:val="004C5D5E"/>
    <w:rsid w:val="004C5E3D"/>
    <w:rsid w:val="004C6997"/>
    <w:rsid w:val="004C6ABD"/>
    <w:rsid w:val="004C6E45"/>
    <w:rsid w:val="004C6F68"/>
    <w:rsid w:val="004C71CB"/>
    <w:rsid w:val="004C7E5C"/>
    <w:rsid w:val="004D0335"/>
    <w:rsid w:val="004D0466"/>
    <w:rsid w:val="004D0737"/>
    <w:rsid w:val="004D0995"/>
    <w:rsid w:val="004D0AE5"/>
    <w:rsid w:val="004D1130"/>
    <w:rsid w:val="004D17DA"/>
    <w:rsid w:val="004D1BC9"/>
    <w:rsid w:val="004D24CA"/>
    <w:rsid w:val="004D2590"/>
    <w:rsid w:val="004D27DA"/>
    <w:rsid w:val="004D2C77"/>
    <w:rsid w:val="004D2FC5"/>
    <w:rsid w:val="004D32E9"/>
    <w:rsid w:val="004D3855"/>
    <w:rsid w:val="004D3A4B"/>
    <w:rsid w:val="004D3A6B"/>
    <w:rsid w:val="004D3AC7"/>
    <w:rsid w:val="004D3C4C"/>
    <w:rsid w:val="004D421D"/>
    <w:rsid w:val="004D42DE"/>
    <w:rsid w:val="004D4934"/>
    <w:rsid w:val="004D4AA5"/>
    <w:rsid w:val="004D4C01"/>
    <w:rsid w:val="004D4C2D"/>
    <w:rsid w:val="004D4D3D"/>
    <w:rsid w:val="004D4D77"/>
    <w:rsid w:val="004D50F2"/>
    <w:rsid w:val="004D5AB1"/>
    <w:rsid w:val="004D60F9"/>
    <w:rsid w:val="004D634D"/>
    <w:rsid w:val="004D65CA"/>
    <w:rsid w:val="004D6928"/>
    <w:rsid w:val="004D6BA2"/>
    <w:rsid w:val="004D6E62"/>
    <w:rsid w:val="004D7769"/>
    <w:rsid w:val="004D779D"/>
    <w:rsid w:val="004D7C4C"/>
    <w:rsid w:val="004E044B"/>
    <w:rsid w:val="004E059C"/>
    <w:rsid w:val="004E08A5"/>
    <w:rsid w:val="004E093E"/>
    <w:rsid w:val="004E0ABC"/>
    <w:rsid w:val="004E0FF6"/>
    <w:rsid w:val="004E124A"/>
    <w:rsid w:val="004E1383"/>
    <w:rsid w:val="004E140E"/>
    <w:rsid w:val="004E1C39"/>
    <w:rsid w:val="004E1E01"/>
    <w:rsid w:val="004E23D7"/>
    <w:rsid w:val="004E26E9"/>
    <w:rsid w:val="004E275D"/>
    <w:rsid w:val="004E2CD7"/>
    <w:rsid w:val="004E2F47"/>
    <w:rsid w:val="004E317C"/>
    <w:rsid w:val="004E36C4"/>
    <w:rsid w:val="004E3792"/>
    <w:rsid w:val="004E3D54"/>
    <w:rsid w:val="004E43A8"/>
    <w:rsid w:val="004E4870"/>
    <w:rsid w:val="004E49A5"/>
    <w:rsid w:val="004E4E8F"/>
    <w:rsid w:val="004E4FAA"/>
    <w:rsid w:val="004E506F"/>
    <w:rsid w:val="004E5355"/>
    <w:rsid w:val="004E53CE"/>
    <w:rsid w:val="004E57DE"/>
    <w:rsid w:val="004E5839"/>
    <w:rsid w:val="004E58CE"/>
    <w:rsid w:val="004E5B06"/>
    <w:rsid w:val="004E5B93"/>
    <w:rsid w:val="004E6009"/>
    <w:rsid w:val="004E6088"/>
    <w:rsid w:val="004E6300"/>
    <w:rsid w:val="004E63D7"/>
    <w:rsid w:val="004E6A5E"/>
    <w:rsid w:val="004E70FD"/>
    <w:rsid w:val="004E76A3"/>
    <w:rsid w:val="004E78A2"/>
    <w:rsid w:val="004E7C3F"/>
    <w:rsid w:val="004E7F2A"/>
    <w:rsid w:val="004F030E"/>
    <w:rsid w:val="004F0723"/>
    <w:rsid w:val="004F0933"/>
    <w:rsid w:val="004F0D68"/>
    <w:rsid w:val="004F0E1A"/>
    <w:rsid w:val="004F1289"/>
    <w:rsid w:val="004F1360"/>
    <w:rsid w:val="004F1973"/>
    <w:rsid w:val="004F1B06"/>
    <w:rsid w:val="004F1BF7"/>
    <w:rsid w:val="004F20E9"/>
    <w:rsid w:val="004F283F"/>
    <w:rsid w:val="004F29FF"/>
    <w:rsid w:val="004F2F23"/>
    <w:rsid w:val="004F3469"/>
    <w:rsid w:val="004F348B"/>
    <w:rsid w:val="004F37CC"/>
    <w:rsid w:val="004F3953"/>
    <w:rsid w:val="004F421B"/>
    <w:rsid w:val="004F4AA1"/>
    <w:rsid w:val="004F4FEB"/>
    <w:rsid w:val="004F5137"/>
    <w:rsid w:val="004F5D36"/>
    <w:rsid w:val="004F6C58"/>
    <w:rsid w:val="004F6C9A"/>
    <w:rsid w:val="004F6CA5"/>
    <w:rsid w:val="004F7088"/>
    <w:rsid w:val="004F77C0"/>
    <w:rsid w:val="004F785E"/>
    <w:rsid w:val="004F7F5A"/>
    <w:rsid w:val="005000B4"/>
    <w:rsid w:val="005001DD"/>
    <w:rsid w:val="0050035F"/>
    <w:rsid w:val="0050051D"/>
    <w:rsid w:val="005009EB"/>
    <w:rsid w:val="00501841"/>
    <w:rsid w:val="00501B77"/>
    <w:rsid w:val="00502194"/>
    <w:rsid w:val="00502583"/>
    <w:rsid w:val="00502CBB"/>
    <w:rsid w:val="00502DBF"/>
    <w:rsid w:val="00502E54"/>
    <w:rsid w:val="00503327"/>
    <w:rsid w:val="005034BC"/>
    <w:rsid w:val="00503E61"/>
    <w:rsid w:val="00504085"/>
    <w:rsid w:val="005042FD"/>
    <w:rsid w:val="0050448D"/>
    <w:rsid w:val="00504813"/>
    <w:rsid w:val="0050502B"/>
    <w:rsid w:val="0050511D"/>
    <w:rsid w:val="00505580"/>
    <w:rsid w:val="00505795"/>
    <w:rsid w:val="00505867"/>
    <w:rsid w:val="0050657D"/>
    <w:rsid w:val="0050697A"/>
    <w:rsid w:val="00506A25"/>
    <w:rsid w:val="00506A5D"/>
    <w:rsid w:val="00506ADB"/>
    <w:rsid w:val="00506C73"/>
    <w:rsid w:val="00506D70"/>
    <w:rsid w:val="00506F67"/>
    <w:rsid w:val="0050721D"/>
    <w:rsid w:val="0050735F"/>
    <w:rsid w:val="005076CC"/>
    <w:rsid w:val="005079D1"/>
    <w:rsid w:val="00507A66"/>
    <w:rsid w:val="00507B8B"/>
    <w:rsid w:val="00507D7D"/>
    <w:rsid w:val="0051004A"/>
    <w:rsid w:val="0051067D"/>
    <w:rsid w:val="00510685"/>
    <w:rsid w:val="00510DB7"/>
    <w:rsid w:val="00511BA8"/>
    <w:rsid w:val="00511EDE"/>
    <w:rsid w:val="00511FA4"/>
    <w:rsid w:val="00511FF1"/>
    <w:rsid w:val="00512517"/>
    <w:rsid w:val="00512836"/>
    <w:rsid w:val="0051302F"/>
    <w:rsid w:val="005131EF"/>
    <w:rsid w:val="0051327E"/>
    <w:rsid w:val="0051335A"/>
    <w:rsid w:val="00513607"/>
    <w:rsid w:val="00513672"/>
    <w:rsid w:val="00513DF7"/>
    <w:rsid w:val="00514BFB"/>
    <w:rsid w:val="00514D4B"/>
    <w:rsid w:val="00514F5B"/>
    <w:rsid w:val="005150F7"/>
    <w:rsid w:val="005152FC"/>
    <w:rsid w:val="005154DA"/>
    <w:rsid w:val="005157F7"/>
    <w:rsid w:val="0051588A"/>
    <w:rsid w:val="00515AD7"/>
    <w:rsid w:val="0051600F"/>
    <w:rsid w:val="005161FB"/>
    <w:rsid w:val="005202FA"/>
    <w:rsid w:val="00520A14"/>
    <w:rsid w:val="00520EF2"/>
    <w:rsid w:val="0052125A"/>
    <w:rsid w:val="00522ACA"/>
    <w:rsid w:val="00522ACD"/>
    <w:rsid w:val="00522B22"/>
    <w:rsid w:val="0052328B"/>
    <w:rsid w:val="00523401"/>
    <w:rsid w:val="005234F6"/>
    <w:rsid w:val="0052375D"/>
    <w:rsid w:val="0052440D"/>
    <w:rsid w:val="005246A4"/>
    <w:rsid w:val="005246EE"/>
    <w:rsid w:val="005247AE"/>
    <w:rsid w:val="00524DAD"/>
    <w:rsid w:val="00524ED6"/>
    <w:rsid w:val="0052564E"/>
    <w:rsid w:val="00525843"/>
    <w:rsid w:val="00525928"/>
    <w:rsid w:val="005259FB"/>
    <w:rsid w:val="00526378"/>
    <w:rsid w:val="005263A2"/>
    <w:rsid w:val="0052696E"/>
    <w:rsid w:val="00526A0F"/>
    <w:rsid w:val="00526ED0"/>
    <w:rsid w:val="005278F7"/>
    <w:rsid w:val="00527E30"/>
    <w:rsid w:val="00527FFD"/>
    <w:rsid w:val="0053057A"/>
    <w:rsid w:val="00530856"/>
    <w:rsid w:val="0053092C"/>
    <w:rsid w:val="00530B54"/>
    <w:rsid w:val="00530CFF"/>
    <w:rsid w:val="00530DB3"/>
    <w:rsid w:val="005313FB"/>
    <w:rsid w:val="0053181C"/>
    <w:rsid w:val="005319CE"/>
    <w:rsid w:val="00531D2C"/>
    <w:rsid w:val="00531DA2"/>
    <w:rsid w:val="005320FC"/>
    <w:rsid w:val="005329EF"/>
    <w:rsid w:val="00532ED1"/>
    <w:rsid w:val="00532F03"/>
    <w:rsid w:val="005330D1"/>
    <w:rsid w:val="00533487"/>
    <w:rsid w:val="00533762"/>
    <w:rsid w:val="0053389F"/>
    <w:rsid w:val="005339AC"/>
    <w:rsid w:val="00533B89"/>
    <w:rsid w:val="00533F7B"/>
    <w:rsid w:val="00534491"/>
    <w:rsid w:val="005345E5"/>
    <w:rsid w:val="005346C4"/>
    <w:rsid w:val="00534828"/>
    <w:rsid w:val="0053498F"/>
    <w:rsid w:val="00534E67"/>
    <w:rsid w:val="0053510D"/>
    <w:rsid w:val="0053520C"/>
    <w:rsid w:val="005354CC"/>
    <w:rsid w:val="0053552A"/>
    <w:rsid w:val="00535936"/>
    <w:rsid w:val="005368AE"/>
    <w:rsid w:val="00536DB9"/>
    <w:rsid w:val="0053723C"/>
    <w:rsid w:val="00537369"/>
    <w:rsid w:val="00537D59"/>
    <w:rsid w:val="0054013F"/>
    <w:rsid w:val="005401B2"/>
    <w:rsid w:val="00540520"/>
    <w:rsid w:val="0054076E"/>
    <w:rsid w:val="00540D60"/>
    <w:rsid w:val="00540F19"/>
    <w:rsid w:val="0054119D"/>
    <w:rsid w:val="005416B3"/>
    <w:rsid w:val="0054196A"/>
    <w:rsid w:val="00541C21"/>
    <w:rsid w:val="00541C8B"/>
    <w:rsid w:val="00541E40"/>
    <w:rsid w:val="00541E6D"/>
    <w:rsid w:val="00541F67"/>
    <w:rsid w:val="00542343"/>
    <w:rsid w:val="005429BA"/>
    <w:rsid w:val="00543438"/>
    <w:rsid w:val="005434CA"/>
    <w:rsid w:val="005435C7"/>
    <w:rsid w:val="005436B3"/>
    <w:rsid w:val="00543C0B"/>
    <w:rsid w:val="00543F1B"/>
    <w:rsid w:val="00543F44"/>
    <w:rsid w:val="00543FA0"/>
    <w:rsid w:val="005441B3"/>
    <w:rsid w:val="00544787"/>
    <w:rsid w:val="00544AEF"/>
    <w:rsid w:val="0054500A"/>
    <w:rsid w:val="00545113"/>
    <w:rsid w:val="00545419"/>
    <w:rsid w:val="00545550"/>
    <w:rsid w:val="00545B06"/>
    <w:rsid w:val="00545BEE"/>
    <w:rsid w:val="00545D96"/>
    <w:rsid w:val="00545FCC"/>
    <w:rsid w:val="005462AE"/>
    <w:rsid w:val="00546366"/>
    <w:rsid w:val="0054659B"/>
    <w:rsid w:val="00546E26"/>
    <w:rsid w:val="00546F2D"/>
    <w:rsid w:val="0054702C"/>
    <w:rsid w:val="0054742E"/>
    <w:rsid w:val="00547C89"/>
    <w:rsid w:val="00547F38"/>
    <w:rsid w:val="0055053D"/>
    <w:rsid w:val="0055099A"/>
    <w:rsid w:val="00550FFA"/>
    <w:rsid w:val="00551691"/>
    <w:rsid w:val="005516C8"/>
    <w:rsid w:val="0055170C"/>
    <w:rsid w:val="00551888"/>
    <w:rsid w:val="00551891"/>
    <w:rsid w:val="00552167"/>
    <w:rsid w:val="00552C2D"/>
    <w:rsid w:val="00552E66"/>
    <w:rsid w:val="005534A6"/>
    <w:rsid w:val="00553565"/>
    <w:rsid w:val="00553AB9"/>
    <w:rsid w:val="00554238"/>
    <w:rsid w:val="00554407"/>
    <w:rsid w:val="00554665"/>
    <w:rsid w:val="00554813"/>
    <w:rsid w:val="00554986"/>
    <w:rsid w:val="00554FC4"/>
    <w:rsid w:val="005555F4"/>
    <w:rsid w:val="00555A65"/>
    <w:rsid w:val="00555D4E"/>
    <w:rsid w:val="00555EDF"/>
    <w:rsid w:val="00556770"/>
    <w:rsid w:val="00556B55"/>
    <w:rsid w:val="00556F26"/>
    <w:rsid w:val="00557658"/>
    <w:rsid w:val="00557910"/>
    <w:rsid w:val="005579E9"/>
    <w:rsid w:val="00557AE2"/>
    <w:rsid w:val="00557E65"/>
    <w:rsid w:val="00560163"/>
    <w:rsid w:val="00560624"/>
    <w:rsid w:val="005606FB"/>
    <w:rsid w:val="0056075B"/>
    <w:rsid w:val="00560E2E"/>
    <w:rsid w:val="00561491"/>
    <w:rsid w:val="005615C1"/>
    <w:rsid w:val="0056181D"/>
    <w:rsid w:val="00562259"/>
    <w:rsid w:val="0056303D"/>
    <w:rsid w:val="005633F6"/>
    <w:rsid w:val="0056348E"/>
    <w:rsid w:val="00563773"/>
    <w:rsid w:val="00563A4F"/>
    <w:rsid w:val="00564435"/>
    <w:rsid w:val="005647BB"/>
    <w:rsid w:val="00564B00"/>
    <w:rsid w:val="00564E0E"/>
    <w:rsid w:val="00564F7C"/>
    <w:rsid w:val="005656D8"/>
    <w:rsid w:val="0056592B"/>
    <w:rsid w:val="005659AE"/>
    <w:rsid w:val="00565AC3"/>
    <w:rsid w:val="00565DA4"/>
    <w:rsid w:val="0056662B"/>
    <w:rsid w:val="00566ACB"/>
    <w:rsid w:val="00566BF8"/>
    <w:rsid w:val="00566CCA"/>
    <w:rsid w:val="00567AC0"/>
    <w:rsid w:val="00567EB7"/>
    <w:rsid w:val="005701AD"/>
    <w:rsid w:val="005704C8"/>
    <w:rsid w:val="00570615"/>
    <w:rsid w:val="005706BA"/>
    <w:rsid w:val="005706DD"/>
    <w:rsid w:val="005707B0"/>
    <w:rsid w:val="00570D20"/>
    <w:rsid w:val="005714C2"/>
    <w:rsid w:val="00571B54"/>
    <w:rsid w:val="00571BF9"/>
    <w:rsid w:val="00571F48"/>
    <w:rsid w:val="005722C5"/>
    <w:rsid w:val="005733D9"/>
    <w:rsid w:val="00573662"/>
    <w:rsid w:val="0057370A"/>
    <w:rsid w:val="00574616"/>
    <w:rsid w:val="00574727"/>
    <w:rsid w:val="0057472E"/>
    <w:rsid w:val="00575565"/>
    <w:rsid w:val="00575CDC"/>
    <w:rsid w:val="00575DC7"/>
    <w:rsid w:val="00575EF5"/>
    <w:rsid w:val="00576AB9"/>
    <w:rsid w:val="00576E09"/>
    <w:rsid w:val="00577022"/>
    <w:rsid w:val="005770E7"/>
    <w:rsid w:val="00577136"/>
    <w:rsid w:val="0057722F"/>
    <w:rsid w:val="0057728D"/>
    <w:rsid w:val="00577A3A"/>
    <w:rsid w:val="00577C7E"/>
    <w:rsid w:val="00577D2E"/>
    <w:rsid w:val="00577D4F"/>
    <w:rsid w:val="00580718"/>
    <w:rsid w:val="005808B9"/>
    <w:rsid w:val="00580B65"/>
    <w:rsid w:val="00581122"/>
    <w:rsid w:val="005821EA"/>
    <w:rsid w:val="00582200"/>
    <w:rsid w:val="005826D6"/>
    <w:rsid w:val="00582904"/>
    <w:rsid w:val="00582946"/>
    <w:rsid w:val="005829D9"/>
    <w:rsid w:val="0058302D"/>
    <w:rsid w:val="00583274"/>
    <w:rsid w:val="0058383B"/>
    <w:rsid w:val="00583A00"/>
    <w:rsid w:val="00583F29"/>
    <w:rsid w:val="00583F6A"/>
    <w:rsid w:val="00583FF1"/>
    <w:rsid w:val="0058402E"/>
    <w:rsid w:val="0058450B"/>
    <w:rsid w:val="00584AAA"/>
    <w:rsid w:val="00585B42"/>
    <w:rsid w:val="00585C5A"/>
    <w:rsid w:val="00585E6C"/>
    <w:rsid w:val="005861AB"/>
    <w:rsid w:val="0058643F"/>
    <w:rsid w:val="00586817"/>
    <w:rsid w:val="00586A5D"/>
    <w:rsid w:val="00586C51"/>
    <w:rsid w:val="00586C54"/>
    <w:rsid w:val="00587333"/>
    <w:rsid w:val="005875EB"/>
    <w:rsid w:val="00587B52"/>
    <w:rsid w:val="00587BC3"/>
    <w:rsid w:val="00587F0F"/>
    <w:rsid w:val="005900AD"/>
    <w:rsid w:val="0059039C"/>
    <w:rsid w:val="005911B3"/>
    <w:rsid w:val="0059138E"/>
    <w:rsid w:val="005917EB"/>
    <w:rsid w:val="0059190F"/>
    <w:rsid w:val="00591C6C"/>
    <w:rsid w:val="00591F6B"/>
    <w:rsid w:val="00592886"/>
    <w:rsid w:val="00592944"/>
    <w:rsid w:val="00592967"/>
    <w:rsid w:val="00592C4D"/>
    <w:rsid w:val="00593567"/>
    <w:rsid w:val="00593588"/>
    <w:rsid w:val="005937F5"/>
    <w:rsid w:val="00593EFA"/>
    <w:rsid w:val="005944B0"/>
    <w:rsid w:val="0059458D"/>
    <w:rsid w:val="00594910"/>
    <w:rsid w:val="00594A04"/>
    <w:rsid w:val="00594BD8"/>
    <w:rsid w:val="00595169"/>
    <w:rsid w:val="00595570"/>
    <w:rsid w:val="0059571E"/>
    <w:rsid w:val="00595B92"/>
    <w:rsid w:val="00596087"/>
    <w:rsid w:val="00596274"/>
    <w:rsid w:val="0059649A"/>
    <w:rsid w:val="005969F3"/>
    <w:rsid w:val="00596C63"/>
    <w:rsid w:val="00597383"/>
    <w:rsid w:val="005974FE"/>
    <w:rsid w:val="00597B61"/>
    <w:rsid w:val="005A0934"/>
    <w:rsid w:val="005A0A99"/>
    <w:rsid w:val="005A0AD1"/>
    <w:rsid w:val="005A0B2B"/>
    <w:rsid w:val="005A0B87"/>
    <w:rsid w:val="005A0BFB"/>
    <w:rsid w:val="005A0DE0"/>
    <w:rsid w:val="005A149E"/>
    <w:rsid w:val="005A1609"/>
    <w:rsid w:val="005A1668"/>
    <w:rsid w:val="005A171B"/>
    <w:rsid w:val="005A1799"/>
    <w:rsid w:val="005A1BF9"/>
    <w:rsid w:val="005A1D7D"/>
    <w:rsid w:val="005A231B"/>
    <w:rsid w:val="005A2329"/>
    <w:rsid w:val="005A239B"/>
    <w:rsid w:val="005A278E"/>
    <w:rsid w:val="005A29A4"/>
    <w:rsid w:val="005A2E5B"/>
    <w:rsid w:val="005A3321"/>
    <w:rsid w:val="005A35D7"/>
    <w:rsid w:val="005A39D5"/>
    <w:rsid w:val="005A44B4"/>
    <w:rsid w:val="005A45AA"/>
    <w:rsid w:val="005A47D1"/>
    <w:rsid w:val="005A47D5"/>
    <w:rsid w:val="005A49F2"/>
    <w:rsid w:val="005A500C"/>
    <w:rsid w:val="005A53F5"/>
    <w:rsid w:val="005A5402"/>
    <w:rsid w:val="005A549B"/>
    <w:rsid w:val="005A5844"/>
    <w:rsid w:val="005A59F5"/>
    <w:rsid w:val="005A5B46"/>
    <w:rsid w:val="005A5EAF"/>
    <w:rsid w:val="005A60C7"/>
    <w:rsid w:val="005A6333"/>
    <w:rsid w:val="005A6579"/>
    <w:rsid w:val="005A67A8"/>
    <w:rsid w:val="005A6C11"/>
    <w:rsid w:val="005A7494"/>
    <w:rsid w:val="005A77BB"/>
    <w:rsid w:val="005A7922"/>
    <w:rsid w:val="005B04E2"/>
    <w:rsid w:val="005B05BB"/>
    <w:rsid w:val="005B0753"/>
    <w:rsid w:val="005B0BAE"/>
    <w:rsid w:val="005B0D31"/>
    <w:rsid w:val="005B1534"/>
    <w:rsid w:val="005B1778"/>
    <w:rsid w:val="005B2025"/>
    <w:rsid w:val="005B2030"/>
    <w:rsid w:val="005B20A4"/>
    <w:rsid w:val="005B2733"/>
    <w:rsid w:val="005B2760"/>
    <w:rsid w:val="005B2995"/>
    <w:rsid w:val="005B2CA6"/>
    <w:rsid w:val="005B2F6F"/>
    <w:rsid w:val="005B35BF"/>
    <w:rsid w:val="005B3848"/>
    <w:rsid w:val="005B4866"/>
    <w:rsid w:val="005B511C"/>
    <w:rsid w:val="005B5189"/>
    <w:rsid w:val="005B54B3"/>
    <w:rsid w:val="005B553F"/>
    <w:rsid w:val="005B5980"/>
    <w:rsid w:val="005B5B63"/>
    <w:rsid w:val="005B6030"/>
    <w:rsid w:val="005B66DD"/>
    <w:rsid w:val="005B6CEF"/>
    <w:rsid w:val="005B6E4F"/>
    <w:rsid w:val="005B7160"/>
    <w:rsid w:val="005B766D"/>
    <w:rsid w:val="005B7790"/>
    <w:rsid w:val="005B78CE"/>
    <w:rsid w:val="005B7915"/>
    <w:rsid w:val="005B7AA2"/>
    <w:rsid w:val="005C0532"/>
    <w:rsid w:val="005C071E"/>
    <w:rsid w:val="005C0FE1"/>
    <w:rsid w:val="005C10EA"/>
    <w:rsid w:val="005C16AE"/>
    <w:rsid w:val="005C176E"/>
    <w:rsid w:val="005C1780"/>
    <w:rsid w:val="005C18B3"/>
    <w:rsid w:val="005C1B56"/>
    <w:rsid w:val="005C1D79"/>
    <w:rsid w:val="005C1F3F"/>
    <w:rsid w:val="005C1F78"/>
    <w:rsid w:val="005C215C"/>
    <w:rsid w:val="005C266F"/>
    <w:rsid w:val="005C27AE"/>
    <w:rsid w:val="005C29AB"/>
    <w:rsid w:val="005C2A32"/>
    <w:rsid w:val="005C329A"/>
    <w:rsid w:val="005C3542"/>
    <w:rsid w:val="005C375F"/>
    <w:rsid w:val="005C3973"/>
    <w:rsid w:val="005C3C42"/>
    <w:rsid w:val="005C3C6F"/>
    <w:rsid w:val="005C3CAB"/>
    <w:rsid w:val="005C3D88"/>
    <w:rsid w:val="005C4073"/>
    <w:rsid w:val="005C4709"/>
    <w:rsid w:val="005C5412"/>
    <w:rsid w:val="005C55A5"/>
    <w:rsid w:val="005C5728"/>
    <w:rsid w:val="005C599F"/>
    <w:rsid w:val="005C59C8"/>
    <w:rsid w:val="005C5A9C"/>
    <w:rsid w:val="005C5AE1"/>
    <w:rsid w:val="005C6012"/>
    <w:rsid w:val="005C6230"/>
    <w:rsid w:val="005C6890"/>
    <w:rsid w:val="005C6899"/>
    <w:rsid w:val="005C6C29"/>
    <w:rsid w:val="005C6C9F"/>
    <w:rsid w:val="005C6E9F"/>
    <w:rsid w:val="005C718B"/>
    <w:rsid w:val="005C74BD"/>
    <w:rsid w:val="005C773C"/>
    <w:rsid w:val="005C796B"/>
    <w:rsid w:val="005C7AF3"/>
    <w:rsid w:val="005C7BF9"/>
    <w:rsid w:val="005C7CFE"/>
    <w:rsid w:val="005C7FFD"/>
    <w:rsid w:val="005D00C4"/>
    <w:rsid w:val="005D0161"/>
    <w:rsid w:val="005D0225"/>
    <w:rsid w:val="005D03A6"/>
    <w:rsid w:val="005D0547"/>
    <w:rsid w:val="005D0798"/>
    <w:rsid w:val="005D08B5"/>
    <w:rsid w:val="005D0C9C"/>
    <w:rsid w:val="005D0F38"/>
    <w:rsid w:val="005D0F8E"/>
    <w:rsid w:val="005D1475"/>
    <w:rsid w:val="005D1C7C"/>
    <w:rsid w:val="005D20EE"/>
    <w:rsid w:val="005D2154"/>
    <w:rsid w:val="005D2155"/>
    <w:rsid w:val="005D23E1"/>
    <w:rsid w:val="005D274E"/>
    <w:rsid w:val="005D30A4"/>
    <w:rsid w:val="005D32DE"/>
    <w:rsid w:val="005D3455"/>
    <w:rsid w:val="005D36D7"/>
    <w:rsid w:val="005D37D6"/>
    <w:rsid w:val="005D3A74"/>
    <w:rsid w:val="005D3EE4"/>
    <w:rsid w:val="005D4114"/>
    <w:rsid w:val="005D424D"/>
    <w:rsid w:val="005D4B6B"/>
    <w:rsid w:val="005D527A"/>
    <w:rsid w:val="005D5437"/>
    <w:rsid w:val="005D5600"/>
    <w:rsid w:val="005D5A12"/>
    <w:rsid w:val="005D5BA1"/>
    <w:rsid w:val="005D61FE"/>
    <w:rsid w:val="005D6894"/>
    <w:rsid w:val="005D68BC"/>
    <w:rsid w:val="005D6B81"/>
    <w:rsid w:val="005D6C2F"/>
    <w:rsid w:val="005D6E6D"/>
    <w:rsid w:val="005D6FA2"/>
    <w:rsid w:val="005D6FBA"/>
    <w:rsid w:val="005D7071"/>
    <w:rsid w:val="005D7858"/>
    <w:rsid w:val="005D7BB0"/>
    <w:rsid w:val="005D7E29"/>
    <w:rsid w:val="005E0146"/>
    <w:rsid w:val="005E08F8"/>
    <w:rsid w:val="005E0975"/>
    <w:rsid w:val="005E0DE6"/>
    <w:rsid w:val="005E0E67"/>
    <w:rsid w:val="005E10F5"/>
    <w:rsid w:val="005E11C0"/>
    <w:rsid w:val="005E1A88"/>
    <w:rsid w:val="005E1D22"/>
    <w:rsid w:val="005E2324"/>
    <w:rsid w:val="005E2353"/>
    <w:rsid w:val="005E2BA3"/>
    <w:rsid w:val="005E3328"/>
    <w:rsid w:val="005E34AA"/>
    <w:rsid w:val="005E396E"/>
    <w:rsid w:val="005E3EA7"/>
    <w:rsid w:val="005E4251"/>
    <w:rsid w:val="005E493C"/>
    <w:rsid w:val="005E4BFA"/>
    <w:rsid w:val="005E4F23"/>
    <w:rsid w:val="005E5194"/>
    <w:rsid w:val="005E53B3"/>
    <w:rsid w:val="005E55EB"/>
    <w:rsid w:val="005E58DB"/>
    <w:rsid w:val="005E5A04"/>
    <w:rsid w:val="005E608B"/>
    <w:rsid w:val="005E62FB"/>
    <w:rsid w:val="005E65B8"/>
    <w:rsid w:val="005E68F7"/>
    <w:rsid w:val="005E6BD6"/>
    <w:rsid w:val="005E6CC7"/>
    <w:rsid w:val="005E730A"/>
    <w:rsid w:val="005E7472"/>
    <w:rsid w:val="005E7BC4"/>
    <w:rsid w:val="005E7D69"/>
    <w:rsid w:val="005F010B"/>
    <w:rsid w:val="005F0135"/>
    <w:rsid w:val="005F0618"/>
    <w:rsid w:val="005F07C8"/>
    <w:rsid w:val="005F0B01"/>
    <w:rsid w:val="005F0BA3"/>
    <w:rsid w:val="005F0CCB"/>
    <w:rsid w:val="005F1187"/>
    <w:rsid w:val="005F160B"/>
    <w:rsid w:val="005F196B"/>
    <w:rsid w:val="005F1BE5"/>
    <w:rsid w:val="005F1C68"/>
    <w:rsid w:val="005F2242"/>
    <w:rsid w:val="005F23F8"/>
    <w:rsid w:val="005F299A"/>
    <w:rsid w:val="005F2B59"/>
    <w:rsid w:val="005F30F1"/>
    <w:rsid w:val="005F3E5D"/>
    <w:rsid w:val="005F49E8"/>
    <w:rsid w:val="005F4B4A"/>
    <w:rsid w:val="005F4CD2"/>
    <w:rsid w:val="005F52CD"/>
    <w:rsid w:val="005F5ECA"/>
    <w:rsid w:val="005F646D"/>
    <w:rsid w:val="005F65D5"/>
    <w:rsid w:val="005F6823"/>
    <w:rsid w:val="005F6B53"/>
    <w:rsid w:val="005F6BB7"/>
    <w:rsid w:val="005F6D79"/>
    <w:rsid w:val="005F6E7B"/>
    <w:rsid w:val="005F6F22"/>
    <w:rsid w:val="005F71C9"/>
    <w:rsid w:val="005F7355"/>
    <w:rsid w:val="005F7952"/>
    <w:rsid w:val="005F7CA8"/>
    <w:rsid w:val="005F7EC8"/>
    <w:rsid w:val="005F7F65"/>
    <w:rsid w:val="006009D4"/>
    <w:rsid w:val="00601086"/>
    <w:rsid w:val="006010CD"/>
    <w:rsid w:val="00601155"/>
    <w:rsid w:val="00601A03"/>
    <w:rsid w:val="00601E3B"/>
    <w:rsid w:val="0060293A"/>
    <w:rsid w:val="00602AA6"/>
    <w:rsid w:val="00602D3E"/>
    <w:rsid w:val="00602FD0"/>
    <w:rsid w:val="00603987"/>
    <w:rsid w:val="00603A03"/>
    <w:rsid w:val="00603C9F"/>
    <w:rsid w:val="00603F04"/>
    <w:rsid w:val="006047E3"/>
    <w:rsid w:val="0060574D"/>
    <w:rsid w:val="00605997"/>
    <w:rsid w:val="00605A0A"/>
    <w:rsid w:val="00605A7F"/>
    <w:rsid w:val="006062ED"/>
    <w:rsid w:val="00606966"/>
    <w:rsid w:val="00606AE8"/>
    <w:rsid w:val="00607394"/>
    <w:rsid w:val="0060739B"/>
    <w:rsid w:val="00607639"/>
    <w:rsid w:val="00607818"/>
    <w:rsid w:val="00607BD2"/>
    <w:rsid w:val="00607DD7"/>
    <w:rsid w:val="006103CA"/>
    <w:rsid w:val="00610488"/>
    <w:rsid w:val="0061077F"/>
    <w:rsid w:val="00610798"/>
    <w:rsid w:val="0061092D"/>
    <w:rsid w:val="00610935"/>
    <w:rsid w:val="006109DA"/>
    <w:rsid w:val="00610EE5"/>
    <w:rsid w:val="00610F0D"/>
    <w:rsid w:val="00611D92"/>
    <w:rsid w:val="00612463"/>
    <w:rsid w:val="006128BD"/>
    <w:rsid w:val="00612E80"/>
    <w:rsid w:val="0061319B"/>
    <w:rsid w:val="00613598"/>
    <w:rsid w:val="00613690"/>
    <w:rsid w:val="00613758"/>
    <w:rsid w:val="00613AB0"/>
    <w:rsid w:val="00613DD6"/>
    <w:rsid w:val="006147CE"/>
    <w:rsid w:val="006147D6"/>
    <w:rsid w:val="0061481D"/>
    <w:rsid w:val="00614829"/>
    <w:rsid w:val="00615189"/>
    <w:rsid w:val="00615AF4"/>
    <w:rsid w:val="00615FFA"/>
    <w:rsid w:val="00616D40"/>
    <w:rsid w:val="00616E34"/>
    <w:rsid w:val="006172F9"/>
    <w:rsid w:val="006177BA"/>
    <w:rsid w:val="006179FC"/>
    <w:rsid w:val="00617AF9"/>
    <w:rsid w:val="00617B98"/>
    <w:rsid w:val="00617CE7"/>
    <w:rsid w:val="00620122"/>
    <w:rsid w:val="0062055B"/>
    <w:rsid w:val="006206C7"/>
    <w:rsid w:val="00620D25"/>
    <w:rsid w:val="0062105A"/>
    <w:rsid w:val="00621124"/>
    <w:rsid w:val="0062146D"/>
    <w:rsid w:val="00621AEB"/>
    <w:rsid w:val="00621E43"/>
    <w:rsid w:val="00622363"/>
    <w:rsid w:val="0062278E"/>
    <w:rsid w:val="0062290B"/>
    <w:rsid w:val="00622941"/>
    <w:rsid w:val="0062294A"/>
    <w:rsid w:val="00622B9F"/>
    <w:rsid w:val="00622F8C"/>
    <w:rsid w:val="0062304C"/>
    <w:rsid w:val="0062376F"/>
    <w:rsid w:val="0062383F"/>
    <w:rsid w:val="00623858"/>
    <w:rsid w:val="006238B6"/>
    <w:rsid w:val="00623929"/>
    <w:rsid w:val="00623BC6"/>
    <w:rsid w:val="00623C07"/>
    <w:rsid w:val="00623E04"/>
    <w:rsid w:val="006242FA"/>
    <w:rsid w:val="00624516"/>
    <w:rsid w:val="0062491F"/>
    <w:rsid w:val="00624A7D"/>
    <w:rsid w:val="00624FC0"/>
    <w:rsid w:val="006252D8"/>
    <w:rsid w:val="00625336"/>
    <w:rsid w:val="00625DA8"/>
    <w:rsid w:val="00625E5F"/>
    <w:rsid w:val="006260B9"/>
    <w:rsid w:val="00626852"/>
    <w:rsid w:val="0062685A"/>
    <w:rsid w:val="00626BA3"/>
    <w:rsid w:val="00626BFE"/>
    <w:rsid w:val="00626DCC"/>
    <w:rsid w:val="00626F95"/>
    <w:rsid w:val="00627145"/>
    <w:rsid w:val="006271D0"/>
    <w:rsid w:val="006277D0"/>
    <w:rsid w:val="00627915"/>
    <w:rsid w:val="00630789"/>
    <w:rsid w:val="00630CF0"/>
    <w:rsid w:val="006311FC"/>
    <w:rsid w:val="00631382"/>
    <w:rsid w:val="0063156F"/>
    <w:rsid w:val="00631871"/>
    <w:rsid w:val="006322D0"/>
    <w:rsid w:val="0063235D"/>
    <w:rsid w:val="00632B3E"/>
    <w:rsid w:val="00632F14"/>
    <w:rsid w:val="006334C1"/>
    <w:rsid w:val="00633802"/>
    <w:rsid w:val="006338F1"/>
    <w:rsid w:val="00633AF6"/>
    <w:rsid w:val="00633E71"/>
    <w:rsid w:val="00633E85"/>
    <w:rsid w:val="00633F79"/>
    <w:rsid w:val="006343D2"/>
    <w:rsid w:val="0063465F"/>
    <w:rsid w:val="0063473B"/>
    <w:rsid w:val="006349F4"/>
    <w:rsid w:val="00634A89"/>
    <w:rsid w:val="00634B2E"/>
    <w:rsid w:val="006355DB"/>
    <w:rsid w:val="006355EA"/>
    <w:rsid w:val="0063568E"/>
    <w:rsid w:val="00635A47"/>
    <w:rsid w:val="00635DDA"/>
    <w:rsid w:val="00636176"/>
    <w:rsid w:val="00636386"/>
    <w:rsid w:val="006364B4"/>
    <w:rsid w:val="0063657A"/>
    <w:rsid w:val="00636B89"/>
    <w:rsid w:val="00636F78"/>
    <w:rsid w:val="00636F8C"/>
    <w:rsid w:val="00637280"/>
    <w:rsid w:val="00637556"/>
    <w:rsid w:val="0063768F"/>
    <w:rsid w:val="006403C9"/>
    <w:rsid w:val="0064061D"/>
    <w:rsid w:val="00640F76"/>
    <w:rsid w:val="006417C5"/>
    <w:rsid w:val="00641B48"/>
    <w:rsid w:val="00642447"/>
    <w:rsid w:val="00642A4B"/>
    <w:rsid w:val="00642C92"/>
    <w:rsid w:val="00642EC6"/>
    <w:rsid w:val="00642F14"/>
    <w:rsid w:val="0064350C"/>
    <w:rsid w:val="0064365F"/>
    <w:rsid w:val="00643CD2"/>
    <w:rsid w:val="00643F2B"/>
    <w:rsid w:val="00644185"/>
    <w:rsid w:val="00644591"/>
    <w:rsid w:val="006448A6"/>
    <w:rsid w:val="00644D8E"/>
    <w:rsid w:val="00645060"/>
    <w:rsid w:val="006460E8"/>
    <w:rsid w:val="006462AA"/>
    <w:rsid w:val="00646503"/>
    <w:rsid w:val="0064662D"/>
    <w:rsid w:val="0064676B"/>
    <w:rsid w:val="00646D27"/>
    <w:rsid w:val="00647239"/>
    <w:rsid w:val="00647E24"/>
    <w:rsid w:val="006501D3"/>
    <w:rsid w:val="00650532"/>
    <w:rsid w:val="0065189C"/>
    <w:rsid w:val="00651996"/>
    <w:rsid w:val="006522B5"/>
    <w:rsid w:val="006522EA"/>
    <w:rsid w:val="00652984"/>
    <w:rsid w:val="00652A25"/>
    <w:rsid w:val="00652E61"/>
    <w:rsid w:val="00652EDA"/>
    <w:rsid w:val="00653015"/>
    <w:rsid w:val="006532C3"/>
    <w:rsid w:val="00653F88"/>
    <w:rsid w:val="00654107"/>
    <w:rsid w:val="006541B3"/>
    <w:rsid w:val="00654360"/>
    <w:rsid w:val="00654491"/>
    <w:rsid w:val="006546C1"/>
    <w:rsid w:val="0065482F"/>
    <w:rsid w:val="006549B6"/>
    <w:rsid w:val="00654A05"/>
    <w:rsid w:val="006550C1"/>
    <w:rsid w:val="0065517A"/>
    <w:rsid w:val="0065528C"/>
    <w:rsid w:val="00655495"/>
    <w:rsid w:val="0065561B"/>
    <w:rsid w:val="00655F4A"/>
    <w:rsid w:val="0065607C"/>
    <w:rsid w:val="0065643C"/>
    <w:rsid w:val="00656631"/>
    <w:rsid w:val="006569A3"/>
    <w:rsid w:val="006569CC"/>
    <w:rsid w:val="006575A9"/>
    <w:rsid w:val="006575D0"/>
    <w:rsid w:val="0065763D"/>
    <w:rsid w:val="00657EEC"/>
    <w:rsid w:val="006601B4"/>
    <w:rsid w:val="00660320"/>
    <w:rsid w:val="006608C1"/>
    <w:rsid w:val="0066101D"/>
    <w:rsid w:val="00661332"/>
    <w:rsid w:val="0066139A"/>
    <w:rsid w:val="00661A3C"/>
    <w:rsid w:val="00661B0A"/>
    <w:rsid w:val="00662258"/>
    <w:rsid w:val="00662414"/>
    <w:rsid w:val="00662429"/>
    <w:rsid w:val="0066279D"/>
    <w:rsid w:val="00662E36"/>
    <w:rsid w:val="00662EC2"/>
    <w:rsid w:val="00663065"/>
    <w:rsid w:val="006630B2"/>
    <w:rsid w:val="0066347C"/>
    <w:rsid w:val="00663915"/>
    <w:rsid w:val="0066394C"/>
    <w:rsid w:val="00663CC2"/>
    <w:rsid w:val="00663E9C"/>
    <w:rsid w:val="0066494B"/>
    <w:rsid w:val="00664A0E"/>
    <w:rsid w:val="00664EE1"/>
    <w:rsid w:val="00664FF6"/>
    <w:rsid w:val="00665601"/>
    <w:rsid w:val="006656D9"/>
    <w:rsid w:val="00665CAD"/>
    <w:rsid w:val="00665CC8"/>
    <w:rsid w:val="00665F88"/>
    <w:rsid w:val="006660BE"/>
    <w:rsid w:val="00666608"/>
    <w:rsid w:val="00667247"/>
    <w:rsid w:val="006674D8"/>
    <w:rsid w:val="00667F69"/>
    <w:rsid w:val="00670090"/>
    <w:rsid w:val="006703B6"/>
    <w:rsid w:val="0067040B"/>
    <w:rsid w:val="00670636"/>
    <w:rsid w:val="00670747"/>
    <w:rsid w:val="00670E6E"/>
    <w:rsid w:val="00671784"/>
    <w:rsid w:val="006721F1"/>
    <w:rsid w:val="0067265A"/>
    <w:rsid w:val="00672870"/>
    <w:rsid w:val="00672FD2"/>
    <w:rsid w:val="00673A3C"/>
    <w:rsid w:val="00673AC1"/>
    <w:rsid w:val="00673CCB"/>
    <w:rsid w:val="00674017"/>
    <w:rsid w:val="006745DE"/>
    <w:rsid w:val="00675221"/>
    <w:rsid w:val="00675B36"/>
    <w:rsid w:val="0067607C"/>
    <w:rsid w:val="006764DA"/>
    <w:rsid w:val="00676979"/>
    <w:rsid w:val="00676D30"/>
    <w:rsid w:val="006775C5"/>
    <w:rsid w:val="00680C6F"/>
    <w:rsid w:val="006814CE"/>
    <w:rsid w:val="00681738"/>
    <w:rsid w:val="00681E6C"/>
    <w:rsid w:val="006820E9"/>
    <w:rsid w:val="00682407"/>
    <w:rsid w:val="006825E9"/>
    <w:rsid w:val="00682D65"/>
    <w:rsid w:val="006835C5"/>
    <w:rsid w:val="006835EB"/>
    <w:rsid w:val="00683786"/>
    <w:rsid w:val="0068380B"/>
    <w:rsid w:val="00683862"/>
    <w:rsid w:val="00683A13"/>
    <w:rsid w:val="00683CDD"/>
    <w:rsid w:val="00683FFC"/>
    <w:rsid w:val="0068409F"/>
    <w:rsid w:val="00684B3B"/>
    <w:rsid w:val="00684D8C"/>
    <w:rsid w:val="00685594"/>
    <w:rsid w:val="006858CE"/>
    <w:rsid w:val="00685C08"/>
    <w:rsid w:val="0068603A"/>
    <w:rsid w:val="00686049"/>
    <w:rsid w:val="00686066"/>
    <w:rsid w:val="00686590"/>
    <w:rsid w:val="00686683"/>
    <w:rsid w:val="0068694A"/>
    <w:rsid w:val="00686A50"/>
    <w:rsid w:val="00686BBC"/>
    <w:rsid w:val="00686CD2"/>
    <w:rsid w:val="0068700D"/>
    <w:rsid w:val="00687173"/>
    <w:rsid w:val="006874CC"/>
    <w:rsid w:val="00687743"/>
    <w:rsid w:val="00687BD8"/>
    <w:rsid w:val="00687D54"/>
    <w:rsid w:val="00687E87"/>
    <w:rsid w:val="006906B7"/>
    <w:rsid w:val="006906C8"/>
    <w:rsid w:val="00690D7E"/>
    <w:rsid w:val="00690E5C"/>
    <w:rsid w:val="006913E6"/>
    <w:rsid w:val="00691409"/>
    <w:rsid w:val="0069184B"/>
    <w:rsid w:val="00691998"/>
    <w:rsid w:val="00691BD4"/>
    <w:rsid w:val="00691D22"/>
    <w:rsid w:val="006920F2"/>
    <w:rsid w:val="006922AE"/>
    <w:rsid w:val="006923F9"/>
    <w:rsid w:val="00692E26"/>
    <w:rsid w:val="00693241"/>
    <w:rsid w:val="00693370"/>
    <w:rsid w:val="006933A6"/>
    <w:rsid w:val="0069387A"/>
    <w:rsid w:val="00693CDA"/>
    <w:rsid w:val="00694329"/>
    <w:rsid w:val="0069465B"/>
    <w:rsid w:val="00694680"/>
    <w:rsid w:val="00694728"/>
    <w:rsid w:val="006947B5"/>
    <w:rsid w:val="0069484B"/>
    <w:rsid w:val="00694CC2"/>
    <w:rsid w:val="00694D3A"/>
    <w:rsid w:val="00694EDA"/>
    <w:rsid w:val="00695AAA"/>
    <w:rsid w:val="00695AF7"/>
    <w:rsid w:val="00695FC3"/>
    <w:rsid w:val="006962FD"/>
    <w:rsid w:val="0069699B"/>
    <w:rsid w:val="00696A5E"/>
    <w:rsid w:val="00696CEA"/>
    <w:rsid w:val="00697350"/>
    <w:rsid w:val="006974F6"/>
    <w:rsid w:val="0069780F"/>
    <w:rsid w:val="00697A72"/>
    <w:rsid w:val="006A02E8"/>
    <w:rsid w:val="006A03E0"/>
    <w:rsid w:val="006A063C"/>
    <w:rsid w:val="006A067A"/>
    <w:rsid w:val="006A08F0"/>
    <w:rsid w:val="006A0DEC"/>
    <w:rsid w:val="006A0F25"/>
    <w:rsid w:val="006A137A"/>
    <w:rsid w:val="006A1417"/>
    <w:rsid w:val="006A14C8"/>
    <w:rsid w:val="006A19B1"/>
    <w:rsid w:val="006A21E8"/>
    <w:rsid w:val="006A226E"/>
    <w:rsid w:val="006A28E4"/>
    <w:rsid w:val="006A2E3D"/>
    <w:rsid w:val="006A330B"/>
    <w:rsid w:val="006A332E"/>
    <w:rsid w:val="006A3344"/>
    <w:rsid w:val="006A353A"/>
    <w:rsid w:val="006A3583"/>
    <w:rsid w:val="006A3C4A"/>
    <w:rsid w:val="006A3EFF"/>
    <w:rsid w:val="006A3FE9"/>
    <w:rsid w:val="006A3FFF"/>
    <w:rsid w:val="006A4125"/>
    <w:rsid w:val="006A476A"/>
    <w:rsid w:val="006A49F1"/>
    <w:rsid w:val="006A5268"/>
    <w:rsid w:val="006A5BEF"/>
    <w:rsid w:val="006A5D7D"/>
    <w:rsid w:val="006A5EF1"/>
    <w:rsid w:val="006A6311"/>
    <w:rsid w:val="006A64A8"/>
    <w:rsid w:val="006A6C1A"/>
    <w:rsid w:val="006A6D60"/>
    <w:rsid w:val="006A6F82"/>
    <w:rsid w:val="006A701A"/>
    <w:rsid w:val="006A710A"/>
    <w:rsid w:val="006A7234"/>
    <w:rsid w:val="006A74DB"/>
    <w:rsid w:val="006A78F1"/>
    <w:rsid w:val="006A7D41"/>
    <w:rsid w:val="006A7DCE"/>
    <w:rsid w:val="006B03E3"/>
    <w:rsid w:val="006B0901"/>
    <w:rsid w:val="006B0C72"/>
    <w:rsid w:val="006B11FA"/>
    <w:rsid w:val="006B1F91"/>
    <w:rsid w:val="006B21C5"/>
    <w:rsid w:val="006B2C16"/>
    <w:rsid w:val="006B374C"/>
    <w:rsid w:val="006B377E"/>
    <w:rsid w:val="006B38EA"/>
    <w:rsid w:val="006B3C05"/>
    <w:rsid w:val="006B3EBC"/>
    <w:rsid w:val="006B3ED1"/>
    <w:rsid w:val="006B406D"/>
    <w:rsid w:val="006B40F8"/>
    <w:rsid w:val="006B41A4"/>
    <w:rsid w:val="006B4260"/>
    <w:rsid w:val="006B443A"/>
    <w:rsid w:val="006B4DA3"/>
    <w:rsid w:val="006B5240"/>
    <w:rsid w:val="006B55DF"/>
    <w:rsid w:val="006B56C6"/>
    <w:rsid w:val="006B5CAA"/>
    <w:rsid w:val="006B658C"/>
    <w:rsid w:val="006B672C"/>
    <w:rsid w:val="006B67F8"/>
    <w:rsid w:val="006B6853"/>
    <w:rsid w:val="006B6D56"/>
    <w:rsid w:val="006B737D"/>
    <w:rsid w:val="006B73A8"/>
    <w:rsid w:val="006B7976"/>
    <w:rsid w:val="006B7A40"/>
    <w:rsid w:val="006B7ED0"/>
    <w:rsid w:val="006C0660"/>
    <w:rsid w:val="006C0813"/>
    <w:rsid w:val="006C1080"/>
    <w:rsid w:val="006C12DB"/>
    <w:rsid w:val="006C1607"/>
    <w:rsid w:val="006C1863"/>
    <w:rsid w:val="006C1BC0"/>
    <w:rsid w:val="006C1C2E"/>
    <w:rsid w:val="006C1EBE"/>
    <w:rsid w:val="006C1ED6"/>
    <w:rsid w:val="006C22F8"/>
    <w:rsid w:val="006C271A"/>
    <w:rsid w:val="006C311A"/>
    <w:rsid w:val="006C3500"/>
    <w:rsid w:val="006C3CAF"/>
    <w:rsid w:val="006C3CCC"/>
    <w:rsid w:val="006C3F24"/>
    <w:rsid w:val="006C41EF"/>
    <w:rsid w:val="006C43D6"/>
    <w:rsid w:val="006C43FF"/>
    <w:rsid w:val="006C4441"/>
    <w:rsid w:val="006C44ED"/>
    <w:rsid w:val="006C469F"/>
    <w:rsid w:val="006C4802"/>
    <w:rsid w:val="006C48F0"/>
    <w:rsid w:val="006C499F"/>
    <w:rsid w:val="006C4E73"/>
    <w:rsid w:val="006C58EA"/>
    <w:rsid w:val="006C5D59"/>
    <w:rsid w:val="006C5F9E"/>
    <w:rsid w:val="006C649D"/>
    <w:rsid w:val="006C6983"/>
    <w:rsid w:val="006C6AB2"/>
    <w:rsid w:val="006C6BC3"/>
    <w:rsid w:val="006C71A9"/>
    <w:rsid w:val="006C7895"/>
    <w:rsid w:val="006C7F43"/>
    <w:rsid w:val="006D01F9"/>
    <w:rsid w:val="006D0390"/>
    <w:rsid w:val="006D05D1"/>
    <w:rsid w:val="006D063C"/>
    <w:rsid w:val="006D097B"/>
    <w:rsid w:val="006D1153"/>
    <w:rsid w:val="006D168C"/>
    <w:rsid w:val="006D191C"/>
    <w:rsid w:val="006D20D5"/>
    <w:rsid w:val="006D20FC"/>
    <w:rsid w:val="006D210C"/>
    <w:rsid w:val="006D2633"/>
    <w:rsid w:val="006D2F5F"/>
    <w:rsid w:val="006D3289"/>
    <w:rsid w:val="006D36B4"/>
    <w:rsid w:val="006D38B0"/>
    <w:rsid w:val="006D3D7A"/>
    <w:rsid w:val="006D3F9C"/>
    <w:rsid w:val="006D415F"/>
    <w:rsid w:val="006D4377"/>
    <w:rsid w:val="006D4C33"/>
    <w:rsid w:val="006D4F78"/>
    <w:rsid w:val="006D4F7F"/>
    <w:rsid w:val="006D519D"/>
    <w:rsid w:val="006D5237"/>
    <w:rsid w:val="006D5AC4"/>
    <w:rsid w:val="006D5E00"/>
    <w:rsid w:val="006D6078"/>
    <w:rsid w:val="006D64BA"/>
    <w:rsid w:val="006D6788"/>
    <w:rsid w:val="006D6A99"/>
    <w:rsid w:val="006D6FD6"/>
    <w:rsid w:val="006D731E"/>
    <w:rsid w:val="006D73C1"/>
    <w:rsid w:val="006D756C"/>
    <w:rsid w:val="006D7B56"/>
    <w:rsid w:val="006D7C37"/>
    <w:rsid w:val="006D7F46"/>
    <w:rsid w:val="006E013F"/>
    <w:rsid w:val="006E0177"/>
    <w:rsid w:val="006E0527"/>
    <w:rsid w:val="006E0DFE"/>
    <w:rsid w:val="006E132B"/>
    <w:rsid w:val="006E1433"/>
    <w:rsid w:val="006E1ACA"/>
    <w:rsid w:val="006E1B54"/>
    <w:rsid w:val="006E1E11"/>
    <w:rsid w:val="006E1FF5"/>
    <w:rsid w:val="006E2867"/>
    <w:rsid w:val="006E28F8"/>
    <w:rsid w:val="006E2F22"/>
    <w:rsid w:val="006E367C"/>
    <w:rsid w:val="006E3691"/>
    <w:rsid w:val="006E3A1C"/>
    <w:rsid w:val="006E3C45"/>
    <w:rsid w:val="006E3E78"/>
    <w:rsid w:val="006E41CE"/>
    <w:rsid w:val="006E45F6"/>
    <w:rsid w:val="006E4662"/>
    <w:rsid w:val="006E4A8E"/>
    <w:rsid w:val="006E5084"/>
    <w:rsid w:val="006E51A5"/>
    <w:rsid w:val="006E52EA"/>
    <w:rsid w:val="006E5308"/>
    <w:rsid w:val="006E5646"/>
    <w:rsid w:val="006E5D9E"/>
    <w:rsid w:val="006E613A"/>
    <w:rsid w:val="006E6261"/>
    <w:rsid w:val="006E63EE"/>
    <w:rsid w:val="006E64D8"/>
    <w:rsid w:val="006E676A"/>
    <w:rsid w:val="006E6C9F"/>
    <w:rsid w:val="006E6F7A"/>
    <w:rsid w:val="006E71EC"/>
    <w:rsid w:val="006E77A7"/>
    <w:rsid w:val="006E7C35"/>
    <w:rsid w:val="006F07F0"/>
    <w:rsid w:val="006F098F"/>
    <w:rsid w:val="006F0B39"/>
    <w:rsid w:val="006F0C3D"/>
    <w:rsid w:val="006F0F71"/>
    <w:rsid w:val="006F1066"/>
    <w:rsid w:val="006F16C7"/>
    <w:rsid w:val="006F1D01"/>
    <w:rsid w:val="006F20BB"/>
    <w:rsid w:val="006F222C"/>
    <w:rsid w:val="006F232F"/>
    <w:rsid w:val="006F2493"/>
    <w:rsid w:val="006F2773"/>
    <w:rsid w:val="006F286A"/>
    <w:rsid w:val="006F345B"/>
    <w:rsid w:val="006F3621"/>
    <w:rsid w:val="006F3778"/>
    <w:rsid w:val="006F38DF"/>
    <w:rsid w:val="006F3E5B"/>
    <w:rsid w:val="006F3FE1"/>
    <w:rsid w:val="006F4000"/>
    <w:rsid w:val="006F400D"/>
    <w:rsid w:val="006F42F5"/>
    <w:rsid w:val="006F4379"/>
    <w:rsid w:val="006F4A17"/>
    <w:rsid w:val="006F4AA0"/>
    <w:rsid w:val="006F4BD1"/>
    <w:rsid w:val="006F4E0D"/>
    <w:rsid w:val="006F5515"/>
    <w:rsid w:val="006F5830"/>
    <w:rsid w:val="006F598B"/>
    <w:rsid w:val="006F5997"/>
    <w:rsid w:val="006F5EF4"/>
    <w:rsid w:val="006F706E"/>
    <w:rsid w:val="006F75A4"/>
    <w:rsid w:val="006F75FC"/>
    <w:rsid w:val="006F76C5"/>
    <w:rsid w:val="006F78E6"/>
    <w:rsid w:val="006F7966"/>
    <w:rsid w:val="006F7999"/>
    <w:rsid w:val="006F7DB7"/>
    <w:rsid w:val="006F7E92"/>
    <w:rsid w:val="00700550"/>
    <w:rsid w:val="00700861"/>
    <w:rsid w:val="00700B35"/>
    <w:rsid w:val="00700DBB"/>
    <w:rsid w:val="00701134"/>
    <w:rsid w:val="007016BE"/>
    <w:rsid w:val="00701A88"/>
    <w:rsid w:val="00701BFB"/>
    <w:rsid w:val="00701FD0"/>
    <w:rsid w:val="007024D2"/>
    <w:rsid w:val="00702BFF"/>
    <w:rsid w:val="00702C3D"/>
    <w:rsid w:val="00702CE9"/>
    <w:rsid w:val="00703569"/>
    <w:rsid w:val="007037AC"/>
    <w:rsid w:val="00703829"/>
    <w:rsid w:val="00703C71"/>
    <w:rsid w:val="00703EFB"/>
    <w:rsid w:val="00704071"/>
    <w:rsid w:val="007043BC"/>
    <w:rsid w:val="00704723"/>
    <w:rsid w:val="007047BE"/>
    <w:rsid w:val="00704FE9"/>
    <w:rsid w:val="007059B3"/>
    <w:rsid w:val="00705D64"/>
    <w:rsid w:val="00705E79"/>
    <w:rsid w:val="00705FA7"/>
    <w:rsid w:val="00706146"/>
    <w:rsid w:val="00706410"/>
    <w:rsid w:val="00706D8E"/>
    <w:rsid w:val="00706DB8"/>
    <w:rsid w:val="00707AB2"/>
    <w:rsid w:val="0071070D"/>
    <w:rsid w:val="00710B4E"/>
    <w:rsid w:val="0071107C"/>
    <w:rsid w:val="0071120E"/>
    <w:rsid w:val="0071129A"/>
    <w:rsid w:val="007116B0"/>
    <w:rsid w:val="00711940"/>
    <w:rsid w:val="00711EA9"/>
    <w:rsid w:val="00712245"/>
    <w:rsid w:val="00712644"/>
    <w:rsid w:val="0071287E"/>
    <w:rsid w:val="00712AEE"/>
    <w:rsid w:val="00712CB9"/>
    <w:rsid w:val="00712D3B"/>
    <w:rsid w:val="0071324E"/>
    <w:rsid w:val="0071356B"/>
    <w:rsid w:val="007135FF"/>
    <w:rsid w:val="00713E4D"/>
    <w:rsid w:val="0071427C"/>
    <w:rsid w:val="0071431C"/>
    <w:rsid w:val="007146A9"/>
    <w:rsid w:val="00714942"/>
    <w:rsid w:val="00714BF1"/>
    <w:rsid w:val="00714CAE"/>
    <w:rsid w:val="00714D2D"/>
    <w:rsid w:val="00714DB6"/>
    <w:rsid w:val="007152F6"/>
    <w:rsid w:val="007153BD"/>
    <w:rsid w:val="00715591"/>
    <w:rsid w:val="0071565A"/>
    <w:rsid w:val="007158DC"/>
    <w:rsid w:val="00715D6B"/>
    <w:rsid w:val="00715E2D"/>
    <w:rsid w:val="00715F31"/>
    <w:rsid w:val="007162CC"/>
    <w:rsid w:val="007163BC"/>
    <w:rsid w:val="007167FA"/>
    <w:rsid w:val="00716892"/>
    <w:rsid w:val="00717210"/>
    <w:rsid w:val="00717883"/>
    <w:rsid w:val="00717E2E"/>
    <w:rsid w:val="00720269"/>
    <w:rsid w:val="00720495"/>
    <w:rsid w:val="007206E1"/>
    <w:rsid w:val="007208D5"/>
    <w:rsid w:val="00720AC2"/>
    <w:rsid w:val="00720AD7"/>
    <w:rsid w:val="00720BA4"/>
    <w:rsid w:val="00721627"/>
    <w:rsid w:val="00721C19"/>
    <w:rsid w:val="007228F5"/>
    <w:rsid w:val="007228FF"/>
    <w:rsid w:val="00722A46"/>
    <w:rsid w:val="00722E2B"/>
    <w:rsid w:val="00722E59"/>
    <w:rsid w:val="00723196"/>
    <w:rsid w:val="007233F0"/>
    <w:rsid w:val="0072352E"/>
    <w:rsid w:val="00723BEC"/>
    <w:rsid w:val="00723E5A"/>
    <w:rsid w:val="007244CB"/>
    <w:rsid w:val="00724786"/>
    <w:rsid w:val="00724C92"/>
    <w:rsid w:val="00724DEE"/>
    <w:rsid w:val="00724E2E"/>
    <w:rsid w:val="00725466"/>
    <w:rsid w:val="00725EB3"/>
    <w:rsid w:val="007269CC"/>
    <w:rsid w:val="00727145"/>
    <w:rsid w:val="007273D9"/>
    <w:rsid w:val="00727478"/>
    <w:rsid w:val="0072763D"/>
    <w:rsid w:val="0073003A"/>
    <w:rsid w:val="007300DD"/>
    <w:rsid w:val="0073014B"/>
    <w:rsid w:val="00730AD4"/>
    <w:rsid w:val="007311A6"/>
    <w:rsid w:val="00731313"/>
    <w:rsid w:val="00731F5D"/>
    <w:rsid w:val="0073246D"/>
    <w:rsid w:val="0073284F"/>
    <w:rsid w:val="00732C09"/>
    <w:rsid w:val="00732D84"/>
    <w:rsid w:val="0073368E"/>
    <w:rsid w:val="00733885"/>
    <w:rsid w:val="00733C73"/>
    <w:rsid w:val="00733D01"/>
    <w:rsid w:val="00734271"/>
    <w:rsid w:val="0073451F"/>
    <w:rsid w:val="0073493A"/>
    <w:rsid w:val="00734BAC"/>
    <w:rsid w:val="00734CE1"/>
    <w:rsid w:val="00734D7D"/>
    <w:rsid w:val="00734F2B"/>
    <w:rsid w:val="007364A7"/>
    <w:rsid w:val="00737335"/>
    <w:rsid w:val="00737980"/>
    <w:rsid w:val="00737D01"/>
    <w:rsid w:val="00740240"/>
    <w:rsid w:val="007404E2"/>
    <w:rsid w:val="00740699"/>
    <w:rsid w:val="007408FF"/>
    <w:rsid w:val="00740B9C"/>
    <w:rsid w:val="00741009"/>
    <w:rsid w:val="00741169"/>
    <w:rsid w:val="00741669"/>
    <w:rsid w:val="007424AE"/>
    <w:rsid w:val="00742599"/>
    <w:rsid w:val="007426CD"/>
    <w:rsid w:val="007427F8"/>
    <w:rsid w:val="00742D39"/>
    <w:rsid w:val="00743395"/>
    <w:rsid w:val="00743679"/>
    <w:rsid w:val="007438DD"/>
    <w:rsid w:val="0074410D"/>
    <w:rsid w:val="00744267"/>
    <w:rsid w:val="00744AB5"/>
    <w:rsid w:val="00744BD1"/>
    <w:rsid w:val="007450AC"/>
    <w:rsid w:val="00745367"/>
    <w:rsid w:val="00745636"/>
    <w:rsid w:val="00745AB8"/>
    <w:rsid w:val="00745B50"/>
    <w:rsid w:val="00745C91"/>
    <w:rsid w:val="00745CDB"/>
    <w:rsid w:val="00745E85"/>
    <w:rsid w:val="00745FD2"/>
    <w:rsid w:val="0074663C"/>
    <w:rsid w:val="00746701"/>
    <w:rsid w:val="00746838"/>
    <w:rsid w:val="00746A19"/>
    <w:rsid w:val="00746B54"/>
    <w:rsid w:val="00746C84"/>
    <w:rsid w:val="00746E7F"/>
    <w:rsid w:val="00747BDC"/>
    <w:rsid w:val="00747DFC"/>
    <w:rsid w:val="00750251"/>
    <w:rsid w:val="00750527"/>
    <w:rsid w:val="00750842"/>
    <w:rsid w:val="007509F0"/>
    <w:rsid w:val="00750D1D"/>
    <w:rsid w:val="00750F34"/>
    <w:rsid w:val="007515D4"/>
    <w:rsid w:val="00751B3D"/>
    <w:rsid w:val="00751D29"/>
    <w:rsid w:val="00752585"/>
    <w:rsid w:val="00753197"/>
    <w:rsid w:val="00753365"/>
    <w:rsid w:val="0075345A"/>
    <w:rsid w:val="00753BE5"/>
    <w:rsid w:val="00753BFD"/>
    <w:rsid w:val="0075422F"/>
    <w:rsid w:val="00754823"/>
    <w:rsid w:val="00755150"/>
    <w:rsid w:val="00755584"/>
    <w:rsid w:val="0075567E"/>
    <w:rsid w:val="00755A17"/>
    <w:rsid w:val="00755EA6"/>
    <w:rsid w:val="00755FAB"/>
    <w:rsid w:val="00756418"/>
    <w:rsid w:val="00756960"/>
    <w:rsid w:val="00756E76"/>
    <w:rsid w:val="00756FAD"/>
    <w:rsid w:val="007571EC"/>
    <w:rsid w:val="00757387"/>
    <w:rsid w:val="00757763"/>
    <w:rsid w:val="00757B85"/>
    <w:rsid w:val="00757F14"/>
    <w:rsid w:val="00757FC9"/>
    <w:rsid w:val="007600F3"/>
    <w:rsid w:val="007601B3"/>
    <w:rsid w:val="0076029F"/>
    <w:rsid w:val="007612C5"/>
    <w:rsid w:val="00761EDC"/>
    <w:rsid w:val="00761FE7"/>
    <w:rsid w:val="0076247F"/>
    <w:rsid w:val="007628C9"/>
    <w:rsid w:val="00762AA2"/>
    <w:rsid w:val="00763444"/>
    <w:rsid w:val="007635EC"/>
    <w:rsid w:val="00763756"/>
    <w:rsid w:val="00763B66"/>
    <w:rsid w:val="00763D00"/>
    <w:rsid w:val="00764084"/>
    <w:rsid w:val="007641D7"/>
    <w:rsid w:val="00764894"/>
    <w:rsid w:val="00764C4E"/>
    <w:rsid w:val="00764E13"/>
    <w:rsid w:val="00764FA0"/>
    <w:rsid w:val="00765239"/>
    <w:rsid w:val="0076544C"/>
    <w:rsid w:val="00766601"/>
    <w:rsid w:val="007666E7"/>
    <w:rsid w:val="00767130"/>
    <w:rsid w:val="0076719A"/>
    <w:rsid w:val="0076742C"/>
    <w:rsid w:val="00767445"/>
    <w:rsid w:val="0076761F"/>
    <w:rsid w:val="007677A9"/>
    <w:rsid w:val="00767C52"/>
    <w:rsid w:val="0077032F"/>
    <w:rsid w:val="0077054F"/>
    <w:rsid w:val="007708FA"/>
    <w:rsid w:val="00770A69"/>
    <w:rsid w:val="00770B2C"/>
    <w:rsid w:val="0077118B"/>
    <w:rsid w:val="0077139F"/>
    <w:rsid w:val="007726A6"/>
    <w:rsid w:val="00772AEE"/>
    <w:rsid w:val="00772CE8"/>
    <w:rsid w:val="00772D04"/>
    <w:rsid w:val="00772E06"/>
    <w:rsid w:val="00773702"/>
    <w:rsid w:val="00773732"/>
    <w:rsid w:val="0077384F"/>
    <w:rsid w:val="0077386C"/>
    <w:rsid w:val="00773C34"/>
    <w:rsid w:val="00773D20"/>
    <w:rsid w:val="00773EAC"/>
    <w:rsid w:val="00774050"/>
    <w:rsid w:val="00774151"/>
    <w:rsid w:val="0077536C"/>
    <w:rsid w:val="00775951"/>
    <w:rsid w:val="00775B99"/>
    <w:rsid w:val="00775D17"/>
    <w:rsid w:val="00775D70"/>
    <w:rsid w:val="00775EAB"/>
    <w:rsid w:val="00775F6C"/>
    <w:rsid w:val="0077613C"/>
    <w:rsid w:val="007761EE"/>
    <w:rsid w:val="007768F7"/>
    <w:rsid w:val="00776FC1"/>
    <w:rsid w:val="007774A7"/>
    <w:rsid w:val="007800BF"/>
    <w:rsid w:val="0078081E"/>
    <w:rsid w:val="00780A9D"/>
    <w:rsid w:val="00780D98"/>
    <w:rsid w:val="00781287"/>
    <w:rsid w:val="007817A7"/>
    <w:rsid w:val="007817C2"/>
    <w:rsid w:val="0078197A"/>
    <w:rsid w:val="00782627"/>
    <w:rsid w:val="007828DB"/>
    <w:rsid w:val="00782B73"/>
    <w:rsid w:val="00782F22"/>
    <w:rsid w:val="00783441"/>
    <w:rsid w:val="0078394D"/>
    <w:rsid w:val="00783DA6"/>
    <w:rsid w:val="00783DE8"/>
    <w:rsid w:val="0078450B"/>
    <w:rsid w:val="007849A1"/>
    <w:rsid w:val="00784CFF"/>
    <w:rsid w:val="00785503"/>
    <w:rsid w:val="007859C3"/>
    <w:rsid w:val="0078600D"/>
    <w:rsid w:val="007861B0"/>
    <w:rsid w:val="00786872"/>
    <w:rsid w:val="00786E59"/>
    <w:rsid w:val="007874C6"/>
    <w:rsid w:val="00787AF4"/>
    <w:rsid w:val="00787FFE"/>
    <w:rsid w:val="007905C5"/>
    <w:rsid w:val="007905E3"/>
    <w:rsid w:val="00790BB2"/>
    <w:rsid w:val="00790CBE"/>
    <w:rsid w:val="00790DD9"/>
    <w:rsid w:val="00790EC1"/>
    <w:rsid w:val="007912F6"/>
    <w:rsid w:val="007913A6"/>
    <w:rsid w:val="0079176E"/>
    <w:rsid w:val="007917D9"/>
    <w:rsid w:val="00791820"/>
    <w:rsid w:val="00791910"/>
    <w:rsid w:val="00791947"/>
    <w:rsid w:val="00791C98"/>
    <w:rsid w:val="0079275C"/>
    <w:rsid w:val="00792810"/>
    <w:rsid w:val="007928EB"/>
    <w:rsid w:val="00792BFF"/>
    <w:rsid w:val="00792D2C"/>
    <w:rsid w:val="00792F01"/>
    <w:rsid w:val="007933D4"/>
    <w:rsid w:val="00793E58"/>
    <w:rsid w:val="007941B8"/>
    <w:rsid w:val="007944BB"/>
    <w:rsid w:val="007946C7"/>
    <w:rsid w:val="0079471A"/>
    <w:rsid w:val="00794728"/>
    <w:rsid w:val="00794A13"/>
    <w:rsid w:val="00794B7E"/>
    <w:rsid w:val="00794FCA"/>
    <w:rsid w:val="00795085"/>
    <w:rsid w:val="00795270"/>
    <w:rsid w:val="007954FB"/>
    <w:rsid w:val="00795517"/>
    <w:rsid w:val="00795747"/>
    <w:rsid w:val="0079586A"/>
    <w:rsid w:val="00795AE6"/>
    <w:rsid w:val="00795B4B"/>
    <w:rsid w:val="007964E0"/>
    <w:rsid w:val="00796E4E"/>
    <w:rsid w:val="00797087"/>
    <w:rsid w:val="0079723A"/>
    <w:rsid w:val="0079728E"/>
    <w:rsid w:val="0079752F"/>
    <w:rsid w:val="00797595"/>
    <w:rsid w:val="007977F5"/>
    <w:rsid w:val="007978C9"/>
    <w:rsid w:val="00797CB9"/>
    <w:rsid w:val="00797E6C"/>
    <w:rsid w:val="00797ECA"/>
    <w:rsid w:val="007A0294"/>
    <w:rsid w:val="007A0773"/>
    <w:rsid w:val="007A0C90"/>
    <w:rsid w:val="007A0ECA"/>
    <w:rsid w:val="007A104A"/>
    <w:rsid w:val="007A145C"/>
    <w:rsid w:val="007A1CBE"/>
    <w:rsid w:val="007A1D04"/>
    <w:rsid w:val="007A1FC4"/>
    <w:rsid w:val="007A29C7"/>
    <w:rsid w:val="007A2E5F"/>
    <w:rsid w:val="007A3123"/>
    <w:rsid w:val="007A31F5"/>
    <w:rsid w:val="007A3570"/>
    <w:rsid w:val="007A35CE"/>
    <w:rsid w:val="007A43A3"/>
    <w:rsid w:val="007A4AA5"/>
    <w:rsid w:val="007A4AE9"/>
    <w:rsid w:val="007A4CFC"/>
    <w:rsid w:val="007A4F18"/>
    <w:rsid w:val="007A5A36"/>
    <w:rsid w:val="007A5CBE"/>
    <w:rsid w:val="007A62AF"/>
    <w:rsid w:val="007A66F8"/>
    <w:rsid w:val="007A6AEA"/>
    <w:rsid w:val="007A6EBF"/>
    <w:rsid w:val="007A752A"/>
    <w:rsid w:val="007A7F24"/>
    <w:rsid w:val="007B0766"/>
    <w:rsid w:val="007B0C23"/>
    <w:rsid w:val="007B0C2E"/>
    <w:rsid w:val="007B12AA"/>
    <w:rsid w:val="007B1AB5"/>
    <w:rsid w:val="007B1CC6"/>
    <w:rsid w:val="007B24E9"/>
    <w:rsid w:val="007B2D2F"/>
    <w:rsid w:val="007B2DAD"/>
    <w:rsid w:val="007B325A"/>
    <w:rsid w:val="007B32A3"/>
    <w:rsid w:val="007B3477"/>
    <w:rsid w:val="007B3B5A"/>
    <w:rsid w:val="007B3CCD"/>
    <w:rsid w:val="007B4618"/>
    <w:rsid w:val="007B4EAF"/>
    <w:rsid w:val="007B510F"/>
    <w:rsid w:val="007B52A9"/>
    <w:rsid w:val="007B5874"/>
    <w:rsid w:val="007B5882"/>
    <w:rsid w:val="007B5925"/>
    <w:rsid w:val="007B5FA2"/>
    <w:rsid w:val="007B607D"/>
    <w:rsid w:val="007B60D3"/>
    <w:rsid w:val="007B6102"/>
    <w:rsid w:val="007B61BC"/>
    <w:rsid w:val="007B6371"/>
    <w:rsid w:val="007B6951"/>
    <w:rsid w:val="007B7107"/>
    <w:rsid w:val="007B7250"/>
    <w:rsid w:val="007B72C7"/>
    <w:rsid w:val="007B73F1"/>
    <w:rsid w:val="007B7434"/>
    <w:rsid w:val="007B77DC"/>
    <w:rsid w:val="007C03C3"/>
    <w:rsid w:val="007C0846"/>
    <w:rsid w:val="007C084E"/>
    <w:rsid w:val="007C0A34"/>
    <w:rsid w:val="007C0B59"/>
    <w:rsid w:val="007C0B7C"/>
    <w:rsid w:val="007C12B6"/>
    <w:rsid w:val="007C134B"/>
    <w:rsid w:val="007C1725"/>
    <w:rsid w:val="007C1779"/>
    <w:rsid w:val="007C19FC"/>
    <w:rsid w:val="007C1C3E"/>
    <w:rsid w:val="007C1E78"/>
    <w:rsid w:val="007C20CD"/>
    <w:rsid w:val="007C20DA"/>
    <w:rsid w:val="007C20E6"/>
    <w:rsid w:val="007C2559"/>
    <w:rsid w:val="007C272B"/>
    <w:rsid w:val="007C2976"/>
    <w:rsid w:val="007C2989"/>
    <w:rsid w:val="007C2AB6"/>
    <w:rsid w:val="007C3B36"/>
    <w:rsid w:val="007C3B38"/>
    <w:rsid w:val="007C3B9E"/>
    <w:rsid w:val="007C40C0"/>
    <w:rsid w:val="007C4844"/>
    <w:rsid w:val="007C4974"/>
    <w:rsid w:val="007C4A2D"/>
    <w:rsid w:val="007C4A80"/>
    <w:rsid w:val="007C4B9C"/>
    <w:rsid w:val="007C6015"/>
    <w:rsid w:val="007C69A5"/>
    <w:rsid w:val="007C6F15"/>
    <w:rsid w:val="007C6F38"/>
    <w:rsid w:val="007C7409"/>
    <w:rsid w:val="007C75D7"/>
    <w:rsid w:val="007C7C45"/>
    <w:rsid w:val="007D0358"/>
    <w:rsid w:val="007D08A9"/>
    <w:rsid w:val="007D0C40"/>
    <w:rsid w:val="007D101C"/>
    <w:rsid w:val="007D1688"/>
    <w:rsid w:val="007D1DE9"/>
    <w:rsid w:val="007D20C3"/>
    <w:rsid w:val="007D20FF"/>
    <w:rsid w:val="007D24E1"/>
    <w:rsid w:val="007D2753"/>
    <w:rsid w:val="007D29C3"/>
    <w:rsid w:val="007D2A97"/>
    <w:rsid w:val="007D3099"/>
    <w:rsid w:val="007D31AE"/>
    <w:rsid w:val="007D3509"/>
    <w:rsid w:val="007D3ACE"/>
    <w:rsid w:val="007D3B2A"/>
    <w:rsid w:val="007D3F36"/>
    <w:rsid w:val="007D40CB"/>
    <w:rsid w:val="007D4BBF"/>
    <w:rsid w:val="007D4E53"/>
    <w:rsid w:val="007D536B"/>
    <w:rsid w:val="007D552F"/>
    <w:rsid w:val="007D5692"/>
    <w:rsid w:val="007D5712"/>
    <w:rsid w:val="007D5886"/>
    <w:rsid w:val="007D5CF3"/>
    <w:rsid w:val="007D618D"/>
    <w:rsid w:val="007D6537"/>
    <w:rsid w:val="007D6952"/>
    <w:rsid w:val="007D6AA3"/>
    <w:rsid w:val="007D6AD8"/>
    <w:rsid w:val="007D6C0D"/>
    <w:rsid w:val="007D6DFD"/>
    <w:rsid w:val="007D6E93"/>
    <w:rsid w:val="007D70D6"/>
    <w:rsid w:val="007D7356"/>
    <w:rsid w:val="007D7470"/>
    <w:rsid w:val="007D7586"/>
    <w:rsid w:val="007D7F1C"/>
    <w:rsid w:val="007E0A0A"/>
    <w:rsid w:val="007E0F89"/>
    <w:rsid w:val="007E1E2B"/>
    <w:rsid w:val="007E20C4"/>
    <w:rsid w:val="007E24D2"/>
    <w:rsid w:val="007E29F3"/>
    <w:rsid w:val="007E2A5D"/>
    <w:rsid w:val="007E2BC4"/>
    <w:rsid w:val="007E2FA3"/>
    <w:rsid w:val="007E2FB2"/>
    <w:rsid w:val="007E30FB"/>
    <w:rsid w:val="007E3348"/>
    <w:rsid w:val="007E3779"/>
    <w:rsid w:val="007E481A"/>
    <w:rsid w:val="007E4884"/>
    <w:rsid w:val="007E4A8C"/>
    <w:rsid w:val="007E4F0E"/>
    <w:rsid w:val="007E514B"/>
    <w:rsid w:val="007E535F"/>
    <w:rsid w:val="007E5904"/>
    <w:rsid w:val="007E5A08"/>
    <w:rsid w:val="007E5C11"/>
    <w:rsid w:val="007E5C12"/>
    <w:rsid w:val="007E5D81"/>
    <w:rsid w:val="007E6278"/>
    <w:rsid w:val="007E67C2"/>
    <w:rsid w:val="007E67E1"/>
    <w:rsid w:val="007E6C5B"/>
    <w:rsid w:val="007E7364"/>
    <w:rsid w:val="007E73C3"/>
    <w:rsid w:val="007E7442"/>
    <w:rsid w:val="007E762F"/>
    <w:rsid w:val="007E763C"/>
    <w:rsid w:val="007E7BE0"/>
    <w:rsid w:val="007E7F3B"/>
    <w:rsid w:val="007F0072"/>
    <w:rsid w:val="007F02CF"/>
    <w:rsid w:val="007F06A2"/>
    <w:rsid w:val="007F0A3D"/>
    <w:rsid w:val="007F110B"/>
    <w:rsid w:val="007F11A4"/>
    <w:rsid w:val="007F12F8"/>
    <w:rsid w:val="007F163A"/>
    <w:rsid w:val="007F1A31"/>
    <w:rsid w:val="007F2118"/>
    <w:rsid w:val="007F2302"/>
    <w:rsid w:val="007F2F87"/>
    <w:rsid w:val="007F30D5"/>
    <w:rsid w:val="007F30EC"/>
    <w:rsid w:val="007F31BF"/>
    <w:rsid w:val="007F3C10"/>
    <w:rsid w:val="007F3CEC"/>
    <w:rsid w:val="007F42C2"/>
    <w:rsid w:val="007F4A48"/>
    <w:rsid w:val="007F4ABF"/>
    <w:rsid w:val="007F4BDD"/>
    <w:rsid w:val="007F5666"/>
    <w:rsid w:val="007F5D31"/>
    <w:rsid w:val="007F5EE2"/>
    <w:rsid w:val="007F614B"/>
    <w:rsid w:val="007F61F7"/>
    <w:rsid w:val="007F6475"/>
    <w:rsid w:val="007F6B9F"/>
    <w:rsid w:val="007F6F11"/>
    <w:rsid w:val="007F714F"/>
    <w:rsid w:val="007F7244"/>
    <w:rsid w:val="007F74A8"/>
    <w:rsid w:val="007F75E9"/>
    <w:rsid w:val="007F7704"/>
    <w:rsid w:val="007F7851"/>
    <w:rsid w:val="007F7B73"/>
    <w:rsid w:val="007F7D4A"/>
    <w:rsid w:val="007F7E8D"/>
    <w:rsid w:val="0080017D"/>
    <w:rsid w:val="00800331"/>
    <w:rsid w:val="00800572"/>
    <w:rsid w:val="00800837"/>
    <w:rsid w:val="00800869"/>
    <w:rsid w:val="00800BA2"/>
    <w:rsid w:val="00800D81"/>
    <w:rsid w:val="0080100A"/>
    <w:rsid w:val="00801297"/>
    <w:rsid w:val="0080140B"/>
    <w:rsid w:val="008014EF"/>
    <w:rsid w:val="00801B3C"/>
    <w:rsid w:val="00801E33"/>
    <w:rsid w:val="00802057"/>
    <w:rsid w:val="00802320"/>
    <w:rsid w:val="00802912"/>
    <w:rsid w:val="00802AC9"/>
    <w:rsid w:val="00802B59"/>
    <w:rsid w:val="00802D40"/>
    <w:rsid w:val="00802F39"/>
    <w:rsid w:val="00802FFA"/>
    <w:rsid w:val="0080305F"/>
    <w:rsid w:val="0080311A"/>
    <w:rsid w:val="00803983"/>
    <w:rsid w:val="00803994"/>
    <w:rsid w:val="00803B00"/>
    <w:rsid w:val="00803FA4"/>
    <w:rsid w:val="0080412E"/>
    <w:rsid w:val="00804326"/>
    <w:rsid w:val="0080439A"/>
    <w:rsid w:val="0080461C"/>
    <w:rsid w:val="00804AFF"/>
    <w:rsid w:val="00804FF9"/>
    <w:rsid w:val="008051C0"/>
    <w:rsid w:val="008052BC"/>
    <w:rsid w:val="00806369"/>
    <w:rsid w:val="008063CF"/>
    <w:rsid w:val="00806511"/>
    <w:rsid w:val="00806F9F"/>
    <w:rsid w:val="00807605"/>
    <w:rsid w:val="0080760D"/>
    <w:rsid w:val="0080764C"/>
    <w:rsid w:val="008079D7"/>
    <w:rsid w:val="008100B9"/>
    <w:rsid w:val="00810476"/>
    <w:rsid w:val="0081053E"/>
    <w:rsid w:val="008106FC"/>
    <w:rsid w:val="00810A7C"/>
    <w:rsid w:val="00811201"/>
    <w:rsid w:val="00811417"/>
    <w:rsid w:val="008116C0"/>
    <w:rsid w:val="00811B34"/>
    <w:rsid w:val="00811B62"/>
    <w:rsid w:val="008123D4"/>
    <w:rsid w:val="00812745"/>
    <w:rsid w:val="00812FFB"/>
    <w:rsid w:val="0081433A"/>
    <w:rsid w:val="00814900"/>
    <w:rsid w:val="008153FF"/>
    <w:rsid w:val="0081613E"/>
    <w:rsid w:val="00816329"/>
    <w:rsid w:val="00816593"/>
    <w:rsid w:val="008167C5"/>
    <w:rsid w:val="00816C9A"/>
    <w:rsid w:val="00816E2D"/>
    <w:rsid w:val="008173ED"/>
    <w:rsid w:val="00817656"/>
    <w:rsid w:val="0081777D"/>
    <w:rsid w:val="00817872"/>
    <w:rsid w:val="008178CB"/>
    <w:rsid w:val="00817900"/>
    <w:rsid w:val="00817AFB"/>
    <w:rsid w:val="00820076"/>
    <w:rsid w:val="008200C3"/>
    <w:rsid w:val="008200E4"/>
    <w:rsid w:val="00820268"/>
    <w:rsid w:val="0082034D"/>
    <w:rsid w:val="00820413"/>
    <w:rsid w:val="00820421"/>
    <w:rsid w:val="008206CC"/>
    <w:rsid w:val="0082098B"/>
    <w:rsid w:val="00820A13"/>
    <w:rsid w:val="00820DC4"/>
    <w:rsid w:val="00820FEB"/>
    <w:rsid w:val="008213F7"/>
    <w:rsid w:val="00821469"/>
    <w:rsid w:val="0082175B"/>
    <w:rsid w:val="00821CDE"/>
    <w:rsid w:val="00821DF1"/>
    <w:rsid w:val="00822083"/>
    <w:rsid w:val="008220A8"/>
    <w:rsid w:val="0082308D"/>
    <w:rsid w:val="008233F4"/>
    <w:rsid w:val="0082354F"/>
    <w:rsid w:val="008244B3"/>
    <w:rsid w:val="008244EC"/>
    <w:rsid w:val="00824574"/>
    <w:rsid w:val="0082484C"/>
    <w:rsid w:val="00824D0B"/>
    <w:rsid w:val="00824EDF"/>
    <w:rsid w:val="008252D7"/>
    <w:rsid w:val="00825706"/>
    <w:rsid w:val="00826036"/>
    <w:rsid w:val="00826D51"/>
    <w:rsid w:val="008271A1"/>
    <w:rsid w:val="00827226"/>
    <w:rsid w:val="0082779C"/>
    <w:rsid w:val="008278DC"/>
    <w:rsid w:val="0083082A"/>
    <w:rsid w:val="00830AD2"/>
    <w:rsid w:val="00830D1D"/>
    <w:rsid w:val="00831092"/>
    <w:rsid w:val="008310D8"/>
    <w:rsid w:val="0083136B"/>
    <w:rsid w:val="0083173B"/>
    <w:rsid w:val="008317BA"/>
    <w:rsid w:val="008317DF"/>
    <w:rsid w:val="0083191A"/>
    <w:rsid w:val="00832068"/>
    <w:rsid w:val="0083240C"/>
    <w:rsid w:val="00832914"/>
    <w:rsid w:val="00832977"/>
    <w:rsid w:val="00832AEE"/>
    <w:rsid w:val="00832AFD"/>
    <w:rsid w:val="00832EE5"/>
    <w:rsid w:val="0083317B"/>
    <w:rsid w:val="008336B4"/>
    <w:rsid w:val="008336C3"/>
    <w:rsid w:val="00833AF8"/>
    <w:rsid w:val="00833CF6"/>
    <w:rsid w:val="00833D65"/>
    <w:rsid w:val="00833F5F"/>
    <w:rsid w:val="008345F3"/>
    <w:rsid w:val="0083476D"/>
    <w:rsid w:val="00834A92"/>
    <w:rsid w:val="00834F36"/>
    <w:rsid w:val="00835283"/>
    <w:rsid w:val="008354E4"/>
    <w:rsid w:val="00835575"/>
    <w:rsid w:val="008358AB"/>
    <w:rsid w:val="00835C53"/>
    <w:rsid w:val="00835D81"/>
    <w:rsid w:val="00835DCC"/>
    <w:rsid w:val="008360A0"/>
    <w:rsid w:val="008363A4"/>
    <w:rsid w:val="00836773"/>
    <w:rsid w:val="008376A0"/>
    <w:rsid w:val="008376D1"/>
    <w:rsid w:val="00837A0D"/>
    <w:rsid w:val="00837B3C"/>
    <w:rsid w:val="00837F16"/>
    <w:rsid w:val="00840087"/>
    <w:rsid w:val="00840349"/>
    <w:rsid w:val="00841448"/>
    <w:rsid w:val="008415B8"/>
    <w:rsid w:val="00841FBF"/>
    <w:rsid w:val="00842351"/>
    <w:rsid w:val="0084236A"/>
    <w:rsid w:val="008425AC"/>
    <w:rsid w:val="00842788"/>
    <w:rsid w:val="00842BA4"/>
    <w:rsid w:val="00842EE0"/>
    <w:rsid w:val="008430AF"/>
    <w:rsid w:val="0084312B"/>
    <w:rsid w:val="00843504"/>
    <w:rsid w:val="00843DD7"/>
    <w:rsid w:val="008440DC"/>
    <w:rsid w:val="00844256"/>
    <w:rsid w:val="00844266"/>
    <w:rsid w:val="008442C2"/>
    <w:rsid w:val="00844418"/>
    <w:rsid w:val="008445E8"/>
    <w:rsid w:val="00844719"/>
    <w:rsid w:val="0084484E"/>
    <w:rsid w:val="00844AF8"/>
    <w:rsid w:val="00845646"/>
    <w:rsid w:val="00845AFD"/>
    <w:rsid w:val="008462EF"/>
    <w:rsid w:val="0084633B"/>
    <w:rsid w:val="008465BE"/>
    <w:rsid w:val="008468B1"/>
    <w:rsid w:val="00846BE7"/>
    <w:rsid w:val="00846D5B"/>
    <w:rsid w:val="00846ED4"/>
    <w:rsid w:val="00847771"/>
    <w:rsid w:val="00847938"/>
    <w:rsid w:val="00847EC7"/>
    <w:rsid w:val="00850188"/>
    <w:rsid w:val="0085042B"/>
    <w:rsid w:val="00850902"/>
    <w:rsid w:val="008509CB"/>
    <w:rsid w:val="00850A8B"/>
    <w:rsid w:val="00850F12"/>
    <w:rsid w:val="00850FF6"/>
    <w:rsid w:val="00851123"/>
    <w:rsid w:val="00851689"/>
    <w:rsid w:val="00851F94"/>
    <w:rsid w:val="00852201"/>
    <w:rsid w:val="00853402"/>
    <w:rsid w:val="00853F3A"/>
    <w:rsid w:val="0085439A"/>
    <w:rsid w:val="008546AB"/>
    <w:rsid w:val="0085470B"/>
    <w:rsid w:val="008547A0"/>
    <w:rsid w:val="008548C6"/>
    <w:rsid w:val="00854C66"/>
    <w:rsid w:val="00854CA9"/>
    <w:rsid w:val="00854D13"/>
    <w:rsid w:val="00855168"/>
    <w:rsid w:val="0085528D"/>
    <w:rsid w:val="0085533C"/>
    <w:rsid w:val="008554EE"/>
    <w:rsid w:val="00855D0B"/>
    <w:rsid w:val="0085646D"/>
    <w:rsid w:val="00856527"/>
    <w:rsid w:val="00856A1E"/>
    <w:rsid w:val="00856D36"/>
    <w:rsid w:val="00856E66"/>
    <w:rsid w:val="00857454"/>
    <w:rsid w:val="00857A55"/>
    <w:rsid w:val="00857B81"/>
    <w:rsid w:val="00857BB2"/>
    <w:rsid w:val="0086039B"/>
    <w:rsid w:val="008604FF"/>
    <w:rsid w:val="008609A6"/>
    <w:rsid w:val="00860A45"/>
    <w:rsid w:val="00860C49"/>
    <w:rsid w:val="00860EC0"/>
    <w:rsid w:val="00861374"/>
    <w:rsid w:val="00861889"/>
    <w:rsid w:val="00861898"/>
    <w:rsid w:val="008621B1"/>
    <w:rsid w:val="0086227F"/>
    <w:rsid w:val="008624E0"/>
    <w:rsid w:val="00862614"/>
    <w:rsid w:val="008631B5"/>
    <w:rsid w:val="00863AA8"/>
    <w:rsid w:val="00863D42"/>
    <w:rsid w:val="00863ECD"/>
    <w:rsid w:val="00863FA3"/>
    <w:rsid w:val="0086406E"/>
    <w:rsid w:val="0086420B"/>
    <w:rsid w:val="00864292"/>
    <w:rsid w:val="00864314"/>
    <w:rsid w:val="00864387"/>
    <w:rsid w:val="008644A0"/>
    <w:rsid w:val="00864855"/>
    <w:rsid w:val="00864FD8"/>
    <w:rsid w:val="0086515C"/>
    <w:rsid w:val="008652BE"/>
    <w:rsid w:val="008653E2"/>
    <w:rsid w:val="008655F3"/>
    <w:rsid w:val="00865835"/>
    <w:rsid w:val="00865AAF"/>
    <w:rsid w:val="00865BA7"/>
    <w:rsid w:val="00866D61"/>
    <w:rsid w:val="0086707C"/>
    <w:rsid w:val="008672AC"/>
    <w:rsid w:val="00867789"/>
    <w:rsid w:val="00867A9D"/>
    <w:rsid w:val="00867CA9"/>
    <w:rsid w:val="00867E10"/>
    <w:rsid w:val="00867E3F"/>
    <w:rsid w:val="0087025F"/>
    <w:rsid w:val="00870294"/>
    <w:rsid w:val="0087094C"/>
    <w:rsid w:val="00870D15"/>
    <w:rsid w:val="008710B5"/>
    <w:rsid w:val="00871E1B"/>
    <w:rsid w:val="00871F85"/>
    <w:rsid w:val="008720B4"/>
    <w:rsid w:val="00872217"/>
    <w:rsid w:val="00872A1D"/>
    <w:rsid w:val="00872AD7"/>
    <w:rsid w:val="00872DC4"/>
    <w:rsid w:val="00873086"/>
    <w:rsid w:val="008730DE"/>
    <w:rsid w:val="008734A2"/>
    <w:rsid w:val="0087355B"/>
    <w:rsid w:val="0087370D"/>
    <w:rsid w:val="00873D03"/>
    <w:rsid w:val="0087419A"/>
    <w:rsid w:val="0087456F"/>
    <w:rsid w:val="00874974"/>
    <w:rsid w:val="008752A7"/>
    <w:rsid w:val="008753DD"/>
    <w:rsid w:val="00876037"/>
    <w:rsid w:val="00876482"/>
    <w:rsid w:val="008767A4"/>
    <w:rsid w:val="00876F36"/>
    <w:rsid w:val="00877355"/>
    <w:rsid w:val="008773C0"/>
    <w:rsid w:val="00877475"/>
    <w:rsid w:val="0087763D"/>
    <w:rsid w:val="0088008A"/>
    <w:rsid w:val="0088023C"/>
    <w:rsid w:val="008806DA"/>
    <w:rsid w:val="00880704"/>
    <w:rsid w:val="00880ACC"/>
    <w:rsid w:val="00880EB3"/>
    <w:rsid w:val="00881A5A"/>
    <w:rsid w:val="00881C85"/>
    <w:rsid w:val="0088200D"/>
    <w:rsid w:val="00882234"/>
    <w:rsid w:val="00882594"/>
    <w:rsid w:val="008825DC"/>
    <w:rsid w:val="00882622"/>
    <w:rsid w:val="00882CCA"/>
    <w:rsid w:val="008835FB"/>
    <w:rsid w:val="0088391C"/>
    <w:rsid w:val="0088431C"/>
    <w:rsid w:val="00884324"/>
    <w:rsid w:val="00884542"/>
    <w:rsid w:val="008847BD"/>
    <w:rsid w:val="00884F48"/>
    <w:rsid w:val="0088537B"/>
    <w:rsid w:val="008854DC"/>
    <w:rsid w:val="00885C3C"/>
    <w:rsid w:val="00885F78"/>
    <w:rsid w:val="00885FE1"/>
    <w:rsid w:val="0088604B"/>
    <w:rsid w:val="008860D1"/>
    <w:rsid w:val="008867A5"/>
    <w:rsid w:val="00886AFF"/>
    <w:rsid w:val="00886F26"/>
    <w:rsid w:val="008871C1"/>
    <w:rsid w:val="008871CA"/>
    <w:rsid w:val="0088772E"/>
    <w:rsid w:val="00887E61"/>
    <w:rsid w:val="00890030"/>
    <w:rsid w:val="0089010E"/>
    <w:rsid w:val="00890498"/>
    <w:rsid w:val="0089105F"/>
    <w:rsid w:val="00891076"/>
    <w:rsid w:val="008913DA"/>
    <w:rsid w:val="008918E0"/>
    <w:rsid w:val="00891964"/>
    <w:rsid w:val="00891C28"/>
    <w:rsid w:val="00891DE2"/>
    <w:rsid w:val="0089218F"/>
    <w:rsid w:val="008925C5"/>
    <w:rsid w:val="0089263F"/>
    <w:rsid w:val="0089288E"/>
    <w:rsid w:val="008928F0"/>
    <w:rsid w:val="00892A64"/>
    <w:rsid w:val="00892BDE"/>
    <w:rsid w:val="0089309B"/>
    <w:rsid w:val="008932B5"/>
    <w:rsid w:val="00893B35"/>
    <w:rsid w:val="00894365"/>
    <w:rsid w:val="008946E8"/>
    <w:rsid w:val="00894717"/>
    <w:rsid w:val="00894E7E"/>
    <w:rsid w:val="008953FC"/>
    <w:rsid w:val="0089576E"/>
    <w:rsid w:val="00895B33"/>
    <w:rsid w:val="00895BBA"/>
    <w:rsid w:val="00895CA9"/>
    <w:rsid w:val="00896290"/>
    <w:rsid w:val="0089656C"/>
    <w:rsid w:val="008967D0"/>
    <w:rsid w:val="00897309"/>
    <w:rsid w:val="008977E8"/>
    <w:rsid w:val="00897B4E"/>
    <w:rsid w:val="00897D45"/>
    <w:rsid w:val="008A0152"/>
    <w:rsid w:val="008A07E5"/>
    <w:rsid w:val="008A08CD"/>
    <w:rsid w:val="008A106C"/>
    <w:rsid w:val="008A14AA"/>
    <w:rsid w:val="008A151E"/>
    <w:rsid w:val="008A19CA"/>
    <w:rsid w:val="008A1E2F"/>
    <w:rsid w:val="008A1E99"/>
    <w:rsid w:val="008A2071"/>
    <w:rsid w:val="008A22B2"/>
    <w:rsid w:val="008A25DB"/>
    <w:rsid w:val="008A2D47"/>
    <w:rsid w:val="008A2EAA"/>
    <w:rsid w:val="008A3CFB"/>
    <w:rsid w:val="008A3DD8"/>
    <w:rsid w:val="008A3F08"/>
    <w:rsid w:val="008A40BF"/>
    <w:rsid w:val="008A4152"/>
    <w:rsid w:val="008A4170"/>
    <w:rsid w:val="008A4302"/>
    <w:rsid w:val="008A5127"/>
    <w:rsid w:val="008A5451"/>
    <w:rsid w:val="008A55C4"/>
    <w:rsid w:val="008A5894"/>
    <w:rsid w:val="008A5C96"/>
    <w:rsid w:val="008A5F8F"/>
    <w:rsid w:val="008A610F"/>
    <w:rsid w:val="008A6152"/>
    <w:rsid w:val="008A6255"/>
    <w:rsid w:val="008A6607"/>
    <w:rsid w:val="008A6616"/>
    <w:rsid w:val="008A66F6"/>
    <w:rsid w:val="008A6BE8"/>
    <w:rsid w:val="008A71AB"/>
    <w:rsid w:val="008A7380"/>
    <w:rsid w:val="008A742A"/>
    <w:rsid w:val="008A7551"/>
    <w:rsid w:val="008A7DF1"/>
    <w:rsid w:val="008B0560"/>
    <w:rsid w:val="008B056E"/>
    <w:rsid w:val="008B0708"/>
    <w:rsid w:val="008B0A16"/>
    <w:rsid w:val="008B0BE4"/>
    <w:rsid w:val="008B0E79"/>
    <w:rsid w:val="008B1373"/>
    <w:rsid w:val="008B1412"/>
    <w:rsid w:val="008B185E"/>
    <w:rsid w:val="008B1994"/>
    <w:rsid w:val="008B1B12"/>
    <w:rsid w:val="008B1EBC"/>
    <w:rsid w:val="008B20DF"/>
    <w:rsid w:val="008B2408"/>
    <w:rsid w:val="008B25AC"/>
    <w:rsid w:val="008B2C13"/>
    <w:rsid w:val="008B2C3D"/>
    <w:rsid w:val="008B3176"/>
    <w:rsid w:val="008B37AB"/>
    <w:rsid w:val="008B38F2"/>
    <w:rsid w:val="008B40A6"/>
    <w:rsid w:val="008B40D3"/>
    <w:rsid w:val="008B43D9"/>
    <w:rsid w:val="008B43F3"/>
    <w:rsid w:val="008B4508"/>
    <w:rsid w:val="008B49C5"/>
    <w:rsid w:val="008B4DDD"/>
    <w:rsid w:val="008B52FF"/>
    <w:rsid w:val="008B543B"/>
    <w:rsid w:val="008B54DF"/>
    <w:rsid w:val="008B5534"/>
    <w:rsid w:val="008B560F"/>
    <w:rsid w:val="008B5B8B"/>
    <w:rsid w:val="008B5D3C"/>
    <w:rsid w:val="008B5E8B"/>
    <w:rsid w:val="008B6039"/>
    <w:rsid w:val="008B61EC"/>
    <w:rsid w:val="008B69A6"/>
    <w:rsid w:val="008B7157"/>
    <w:rsid w:val="008B73D5"/>
    <w:rsid w:val="008B7CFE"/>
    <w:rsid w:val="008B7FA0"/>
    <w:rsid w:val="008C0025"/>
    <w:rsid w:val="008C04B6"/>
    <w:rsid w:val="008C06F5"/>
    <w:rsid w:val="008C0982"/>
    <w:rsid w:val="008C09BF"/>
    <w:rsid w:val="008C0BBE"/>
    <w:rsid w:val="008C0D12"/>
    <w:rsid w:val="008C12FC"/>
    <w:rsid w:val="008C130A"/>
    <w:rsid w:val="008C138D"/>
    <w:rsid w:val="008C1455"/>
    <w:rsid w:val="008C15E2"/>
    <w:rsid w:val="008C1CD7"/>
    <w:rsid w:val="008C29C0"/>
    <w:rsid w:val="008C2E91"/>
    <w:rsid w:val="008C3140"/>
    <w:rsid w:val="008C3194"/>
    <w:rsid w:val="008C33BC"/>
    <w:rsid w:val="008C3744"/>
    <w:rsid w:val="008C37CD"/>
    <w:rsid w:val="008C3874"/>
    <w:rsid w:val="008C3D40"/>
    <w:rsid w:val="008C4025"/>
    <w:rsid w:val="008C50A7"/>
    <w:rsid w:val="008C52CD"/>
    <w:rsid w:val="008C533F"/>
    <w:rsid w:val="008C57E3"/>
    <w:rsid w:val="008C5D66"/>
    <w:rsid w:val="008C5FEE"/>
    <w:rsid w:val="008C5FFB"/>
    <w:rsid w:val="008C61C8"/>
    <w:rsid w:val="008C62F3"/>
    <w:rsid w:val="008C6384"/>
    <w:rsid w:val="008C6425"/>
    <w:rsid w:val="008C650A"/>
    <w:rsid w:val="008C7261"/>
    <w:rsid w:val="008C79B4"/>
    <w:rsid w:val="008C7A79"/>
    <w:rsid w:val="008C7CD2"/>
    <w:rsid w:val="008C7CF0"/>
    <w:rsid w:val="008C7F1D"/>
    <w:rsid w:val="008D041A"/>
    <w:rsid w:val="008D0636"/>
    <w:rsid w:val="008D0DC1"/>
    <w:rsid w:val="008D104B"/>
    <w:rsid w:val="008D1137"/>
    <w:rsid w:val="008D1591"/>
    <w:rsid w:val="008D167C"/>
    <w:rsid w:val="008D1BA6"/>
    <w:rsid w:val="008D1E15"/>
    <w:rsid w:val="008D1E95"/>
    <w:rsid w:val="008D230E"/>
    <w:rsid w:val="008D2585"/>
    <w:rsid w:val="008D2591"/>
    <w:rsid w:val="008D3252"/>
    <w:rsid w:val="008D3534"/>
    <w:rsid w:val="008D39CF"/>
    <w:rsid w:val="008D3A18"/>
    <w:rsid w:val="008D3C83"/>
    <w:rsid w:val="008D402E"/>
    <w:rsid w:val="008D40BC"/>
    <w:rsid w:val="008D436B"/>
    <w:rsid w:val="008D43CB"/>
    <w:rsid w:val="008D467A"/>
    <w:rsid w:val="008D488B"/>
    <w:rsid w:val="008D4DDA"/>
    <w:rsid w:val="008D4EDD"/>
    <w:rsid w:val="008D4F14"/>
    <w:rsid w:val="008D4F29"/>
    <w:rsid w:val="008D5408"/>
    <w:rsid w:val="008D574C"/>
    <w:rsid w:val="008D5799"/>
    <w:rsid w:val="008D5E57"/>
    <w:rsid w:val="008D6512"/>
    <w:rsid w:val="008D65AC"/>
    <w:rsid w:val="008D6DE2"/>
    <w:rsid w:val="008D6E2E"/>
    <w:rsid w:val="008D7213"/>
    <w:rsid w:val="008D7399"/>
    <w:rsid w:val="008D745E"/>
    <w:rsid w:val="008D772E"/>
    <w:rsid w:val="008D7793"/>
    <w:rsid w:val="008D7E3B"/>
    <w:rsid w:val="008D7EF7"/>
    <w:rsid w:val="008E0022"/>
    <w:rsid w:val="008E0365"/>
    <w:rsid w:val="008E03EE"/>
    <w:rsid w:val="008E048E"/>
    <w:rsid w:val="008E081B"/>
    <w:rsid w:val="008E0AE1"/>
    <w:rsid w:val="008E0B3B"/>
    <w:rsid w:val="008E0DB9"/>
    <w:rsid w:val="008E0E61"/>
    <w:rsid w:val="008E13C7"/>
    <w:rsid w:val="008E1847"/>
    <w:rsid w:val="008E190F"/>
    <w:rsid w:val="008E1A09"/>
    <w:rsid w:val="008E1A12"/>
    <w:rsid w:val="008E219D"/>
    <w:rsid w:val="008E238B"/>
    <w:rsid w:val="008E2612"/>
    <w:rsid w:val="008E2922"/>
    <w:rsid w:val="008E2AEF"/>
    <w:rsid w:val="008E35D9"/>
    <w:rsid w:val="008E361B"/>
    <w:rsid w:val="008E3ECE"/>
    <w:rsid w:val="008E410C"/>
    <w:rsid w:val="008E42F3"/>
    <w:rsid w:val="008E43D6"/>
    <w:rsid w:val="008E4762"/>
    <w:rsid w:val="008E4AB2"/>
    <w:rsid w:val="008E4EE9"/>
    <w:rsid w:val="008E583E"/>
    <w:rsid w:val="008E5A45"/>
    <w:rsid w:val="008E64BE"/>
    <w:rsid w:val="008E6E4C"/>
    <w:rsid w:val="008E6FE8"/>
    <w:rsid w:val="008E7331"/>
    <w:rsid w:val="008E73DE"/>
    <w:rsid w:val="008E7BA4"/>
    <w:rsid w:val="008F0028"/>
    <w:rsid w:val="008F011E"/>
    <w:rsid w:val="008F085F"/>
    <w:rsid w:val="008F08FE"/>
    <w:rsid w:val="008F0909"/>
    <w:rsid w:val="008F095C"/>
    <w:rsid w:val="008F0AFA"/>
    <w:rsid w:val="008F0BE9"/>
    <w:rsid w:val="008F0F5F"/>
    <w:rsid w:val="008F1B25"/>
    <w:rsid w:val="008F1C21"/>
    <w:rsid w:val="008F23F2"/>
    <w:rsid w:val="008F24FB"/>
    <w:rsid w:val="008F2503"/>
    <w:rsid w:val="008F29BE"/>
    <w:rsid w:val="008F2F86"/>
    <w:rsid w:val="008F32B3"/>
    <w:rsid w:val="008F348C"/>
    <w:rsid w:val="008F374E"/>
    <w:rsid w:val="008F3AE3"/>
    <w:rsid w:val="008F4D43"/>
    <w:rsid w:val="008F5296"/>
    <w:rsid w:val="008F5315"/>
    <w:rsid w:val="008F59B6"/>
    <w:rsid w:val="008F5B78"/>
    <w:rsid w:val="008F5FD5"/>
    <w:rsid w:val="008F5FE5"/>
    <w:rsid w:val="008F60D9"/>
    <w:rsid w:val="008F633B"/>
    <w:rsid w:val="008F66C3"/>
    <w:rsid w:val="008F6E65"/>
    <w:rsid w:val="008F703B"/>
    <w:rsid w:val="008F7056"/>
    <w:rsid w:val="008F7116"/>
    <w:rsid w:val="008F7C73"/>
    <w:rsid w:val="008F7FB9"/>
    <w:rsid w:val="00900567"/>
    <w:rsid w:val="00900710"/>
    <w:rsid w:val="00901122"/>
    <w:rsid w:val="00901692"/>
    <w:rsid w:val="00902133"/>
    <w:rsid w:val="009022C5"/>
    <w:rsid w:val="009025E1"/>
    <w:rsid w:val="00902EC1"/>
    <w:rsid w:val="009033DB"/>
    <w:rsid w:val="009035B5"/>
    <w:rsid w:val="00903BB4"/>
    <w:rsid w:val="00904293"/>
    <w:rsid w:val="00904294"/>
    <w:rsid w:val="009048F1"/>
    <w:rsid w:val="00904A7C"/>
    <w:rsid w:val="00904B45"/>
    <w:rsid w:val="00904CFC"/>
    <w:rsid w:val="00904FFD"/>
    <w:rsid w:val="009053FE"/>
    <w:rsid w:val="0090558C"/>
    <w:rsid w:val="00905A32"/>
    <w:rsid w:val="00905C34"/>
    <w:rsid w:val="00905C98"/>
    <w:rsid w:val="00906594"/>
    <w:rsid w:val="00906778"/>
    <w:rsid w:val="00906A0F"/>
    <w:rsid w:val="00907234"/>
    <w:rsid w:val="0090791B"/>
    <w:rsid w:val="009079C2"/>
    <w:rsid w:val="00907C9D"/>
    <w:rsid w:val="00907DB9"/>
    <w:rsid w:val="00907FCB"/>
    <w:rsid w:val="00910071"/>
    <w:rsid w:val="009104BC"/>
    <w:rsid w:val="00910F9E"/>
    <w:rsid w:val="0091159D"/>
    <w:rsid w:val="009116F8"/>
    <w:rsid w:val="00911D34"/>
    <w:rsid w:val="00912235"/>
    <w:rsid w:val="009124EE"/>
    <w:rsid w:val="00912B7A"/>
    <w:rsid w:val="00912CD3"/>
    <w:rsid w:val="00912F3E"/>
    <w:rsid w:val="00912FB4"/>
    <w:rsid w:val="009137FF"/>
    <w:rsid w:val="009138C3"/>
    <w:rsid w:val="0091395D"/>
    <w:rsid w:val="00914FB5"/>
    <w:rsid w:val="009156BC"/>
    <w:rsid w:val="00915906"/>
    <w:rsid w:val="00915D67"/>
    <w:rsid w:val="00915E36"/>
    <w:rsid w:val="009160BE"/>
    <w:rsid w:val="009168F4"/>
    <w:rsid w:val="00916E09"/>
    <w:rsid w:val="0091717D"/>
    <w:rsid w:val="00917BC6"/>
    <w:rsid w:val="00917D26"/>
    <w:rsid w:val="00917DCD"/>
    <w:rsid w:val="00917FA3"/>
    <w:rsid w:val="009203A6"/>
    <w:rsid w:val="009204F3"/>
    <w:rsid w:val="009209C2"/>
    <w:rsid w:val="00920C09"/>
    <w:rsid w:val="00920F36"/>
    <w:rsid w:val="00921284"/>
    <w:rsid w:val="00921327"/>
    <w:rsid w:val="009216F9"/>
    <w:rsid w:val="0092177B"/>
    <w:rsid w:val="0092177D"/>
    <w:rsid w:val="0092248E"/>
    <w:rsid w:val="009238BE"/>
    <w:rsid w:val="00923AC3"/>
    <w:rsid w:val="00923D03"/>
    <w:rsid w:val="00923D63"/>
    <w:rsid w:val="009241C3"/>
    <w:rsid w:val="009241C8"/>
    <w:rsid w:val="0092434B"/>
    <w:rsid w:val="00924754"/>
    <w:rsid w:val="00924781"/>
    <w:rsid w:val="00924A69"/>
    <w:rsid w:val="00924D0F"/>
    <w:rsid w:val="00925B39"/>
    <w:rsid w:val="00925D71"/>
    <w:rsid w:val="009260D1"/>
    <w:rsid w:val="0092685D"/>
    <w:rsid w:val="00926C94"/>
    <w:rsid w:val="0092737F"/>
    <w:rsid w:val="0092779D"/>
    <w:rsid w:val="00927AD5"/>
    <w:rsid w:val="00927CB5"/>
    <w:rsid w:val="00927D03"/>
    <w:rsid w:val="00927D94"/>
    <w:rsid w:val="00930057"/>
    <w:rsid w:val="009301E1"/>
    <w:rsid w:val="009304C2"/>
    <w:rsid w:val="009306D5"/>
    <w:rsid w:val="00930E4C"/>
    <w:rsid w:val="00931934"/>
    <w:rsid w:val="00932363"/>
    <w:rsid w:val="009325ED"/>
    <w:rsid w:val="00932654"/>
    <w:rsid w:val="00932841"/>
    <w:rsid w:val="00932845"/>
    <w:rsid w:val="00932D8D"/>
    <w:rsid w:val="00932E54"/>
    <w:rsid w:val="009331CF"/>
    <w:rsid w:val="00933868"/>
    <w:rsid w:val="009346BD"/>
    <w:rsid w:val="0093493A"/>
    <w:rsid w:val="00934A9E"/>
    <w:rsid w:val="00934EA0"/>
    <w:rsid w:val="009356BF"/>
    <w:rsid w:val="00935889"/>
    <w:rsid w:val="0093590E"/>
    <w:rsid w:val="00935A15"/>
    <w:rsid w:val="00935C0E"/>
    <w:rsid w:val="00935D17"/>
    <w:rsid w:val="00935D56"/>
    <w:rsid w:val="00936722"/>
    <w:rsid w:val="00936951"/>
    <w:rsid w:val="00936E5C"/>
    <w:rsid w:val="00936FF6"/>
    <w:rsid w:val="009370DE"/>
    <w:rsid w:val="0093717F"/>
    <w:rsid w:val="00937306"/>
    <w:rsid w:val="00937321"/>
    <w:rsid w:val="00937328"/>
    <w:rsid w:val="0093742A"/>
    <w:rsid w:val="0093789D"/>
    <w:rsid w:val="00937B11"/>
    <w:rsid w:val="00940C6E"/>
    <w:rsid w:val="00941B14"/>
    <w:rsid w:val="00941EB7"/>
    <w:rsid w:val="00941FE3"/>
    <w:rsid w:val="00942318"/>
    <w:rsid w:val="00942451"/>
    <w:rsid w:val="009429A5"/>
    <w:rsid w:val="009429DA"/>
    <w:rsid w:val="009435AC"/>
    <w:rsid w:val="00943A87"/>
    <w:rsid w:val="00943AF8"/>
    <w:rsid w:val="00943BD0"/>
    <w:rsid w:val="00943CEF"/>
    <w:rsid w:val="00943F82"/>
    <w:rsid w:val="0094414B"/>
    <w:rsid w:val="00945335"/>
    <w:rsid w:val="00945CC7"/>
    <w:rsid w:val="00945DFE"/>
    <w:rsid w:val="00945E33"/>
    <w:rsid w:val="00945E87"/>
    <w:rsid w:val="009461AB"/>
    <w:rsid w:val="00946257"/>
    <w:rsid w:val="009462FF"/>
    <w:rsid w:val="009463C6"/>
    <w:rsid w:val="0094653F"/>
    <w:rsid w:val="00947F38"/>
    <w:rsid w:val="00947F6A"/>
    <w:rsid w:val="00950C8E"/>
    <w:rsid w:val="00951234"/>
    <w:rsid w:val="00951290"/>
    <w:rsid w:val="00951813"/>
    <w:rsid w:val="00952270"/>
    <w:rsid w:val="00952355"/>
    <w:rsid w:val="00952B28"/>
    <w:rsid w:val="00952B5D"/>
    <w:rsid w:val="00952BA6"/>
    <w:rsid w:val="00952C39"/>
    <w:rsid w:val="009536FD"/>
    <w:rsid w:val="009537D5"/>
    <w:rsid w:val="00953BBD"/>
    <w:rsid w:val="00953EA9"/>
    <w:rsid w:val="00953F5D"/>
    <w:rsid w:val="00953FDB"/>
    <w:rsid w:val="00954062"/>
    <w:rsid w:val="00955BA8"/>
    <w:rsid w:val="00955CCA"/>
    <w:rsid w:val="0095616E"/>
    <w:rsid w:val="00956E96"/>
    <w:rsid w:val="009573F5"/>
    <w:rsid w:val="00957815"/>
    <w:rsid w:val="00957852"/>
    <w:rsid w:val="009578F9"/>
    <w:rsid w:val="009579E7"/>
    <w:rsid w:val="00957E09"/>
    <w:rsid w:val="009602C4"/>
    <w:rsid w:val="009603D8"/>
    <w:rsid w:val="00960482"/>
    <w:rsid w:val="00960505"/>
    <w:rsid w:val="00960832"/>
    <w:rsid w:val="00960D0B"/>
    <w:rsid w:val="00960EE8"/>
    <w:rsid w:val="00960FF8"/>
    <w:rsid w:val="009610AB"/>
    <w:rsid w:val="00961620"/>
    <w:rsid w:val="0096195E"/>
    <w:rsid w:val="00961F87"/>
    <w:rsid w:val="009621D7"/>
    <w:rsid w:val="00962480"/>
    <w:rsid w:val="009624AA"/>
    <w:rsid w:val="0096299D"/>
    <w:rsid w:val="00962C53"/>
    <w:rsid w:val="00963004"/>
    <w:rsid w:val="009632D3"/>
    <w:rsid w:val="0096335B"/>
    <w:rsid w:val="00963454"/>
    <w:rsid w:val="0096372F"/>
    <w:rsid w:val="009637A1"/>
    <w:rsid w:val="00964648"/>
    <w:rsid w:val="009648C6"/>
    <w:rsid w:val="009648CA"/>
    <w:rsid w:val="00964AB5"/>
    <w:rsid w:val="00964EA0"/>
    <w:rsid w:val="00964F43"/>
    <w:rsid w:val="0096501C"/>
    <w:rsid w:val="009651D4"/>
    <w:rsid w:val="00965477"/>
    <w:rsid w:val="00965692"/>
    <w:rsid w:val="00965C6A"/>
    <w:rsid w:val="00966107"/>
    <w:rsid w:val="0096629A"/>
    <w:rsid w:val="0096638C"/>
    <w:rsid w:val="009665FB"/>
    <w:rsid w:val="0096662F"/>
    <w:rsid w:val="00966796"/>
    <w:rsid w:val="00966912"/>
    <w:rsid w:val="00966C1C"/>
    <w:rsid w:val="00967869"/>
    <w:rsid w:val="0096792B"/>
    <w:rsid w:val="00967AEB"/>
    <w:rsid w:val="00967BC2"/>
    <w:rsid w:val="00970331"/>
    <w:rsid w:val="00970539"/>
    <w:rsid w:val="00970841"/>
    <w:rsid w:val="009712AE"/>
    <w:rsid w:val="009717AA"/>
    <w:rsid w:val="0097195F"/>
    <w:rsid w:val="00971AF2"/>
    <w:rsid w:val="0097213E"/>
    <w:rsid w:val="00972421"/>
    <w:rsid w:val="009725E8"/>
    <w:rsid w:val="00972D3F"/>
    <w:rsid w:val="009730D1"/>
    <w:rsid w:val="00973120"/>
    <w:rsid w:val="00973140"/>
    <w:rsid w:val="009734CB"/>
    <w:rsid w:val="009741C3"/>
    <w:rsid w:val="0097490C"/>
    <w:rsid w:val="00974ABC"/>
    <w:rsid w:val="00974B03"/>
    <w:rsid w:val="00974D52"/>
    <w:rsid w:val="00974FEA"/>
    <w:rsid w:val="009752B4"/>
    <w:rsid w:val="009752C2"/>
    <w:rsid w:val="00975454"/>
    <w:rsid w:val="00975732"/>
    <w:rsid w:val="0097575A"/>
    <w:rsid w:val="00975887"/>
    <w:rsid w:val="00975D0E"/>
    <w:rsid w:val="00975DBC"/>
    <w:rsid w:val="00976064"/>
    <w:rsid w:val="009764CC"/>
    <w:rsid w:val="0097695A"/>
    <w:rsid w:val="00976BF1"/>
    <w:rsid w:val="00976E51"/>
    <w:rsid w:val="00976E54"/>
    <w:rsid w:val="00977381"/>
    <w:rsid w:val="00977625"/>
    <w:rsid w:val="009777FF"/>
    <w:rsid w:val="0097799F"/>
    <w:rsid w:val="009779A3"/>
    <w:rsid w:val="00977D61"/>
    <w:rsid w:val="0098025E"/>
    <w:rsid w:val="009806EF"/>
    <w:rsid w:val="009807E8"/>
    <w:rsid w:val="009808CC"/>
    <w:rsid w:val="00980C2C"/>
    <w:rsid w:val="009810D9"/>
    <w:rsid w:val="009817CD"/>
    <w:rsid w:val="00981BE4"/>
    <w:rsid w:val="009822B7"/>
    <w:rsid w:val="0098249E"/>
    <w:rsid w:val="0098277A"/>
    <w:rsid w:val="00982B23"/>
    <w:rsid w:val="00982FDC"/>
    <w:rsid w:val="0098331C"/>
    <w:rsid w:val="009838B6"/>
    <w:rsid w:val="00983ADC"/>
    <w:rsid w:val="00983B08"/>
    <w:rsid w:val="00983DCB"/>
    <w:rsid w:val="0098405A"/>
    <w:rsid w:val="00984084"/>
    <w:rsid w:val="00984390"/>
    <w:rsid w:val="0098477B"/>
    <w:rsid w:val="00984B4A"/>
    <w:rsid w:val="009850A5"/>
    <w:rsid w:val="00985141"/>
    <w:rsid w:val="00985510"/>
    <w:rsid w:val="00985591"/>
    <w:rsid w:val="00985601"/>
    <w:rsid w:val="00985EAF"/>
    <w:rsid w:val="00986C41"/>
    <w:rsid w:val="00986CE9"/>
    <w:rsid w:val="00986D2D"/>
    <w:rsid w:val="00986DF4"/>
    <w:rsid w:val="00986E4D"/>
    <w:rsid w:val="009877D0"/>
    <w:rsid w:val="00987B2D"/>
    <w:rsid w:val="00987C82"/>
    <w:rsid w:val="00987DF8"/>
    <w:rsid w:val="00987FDB"/>
    <w:rsid w:val="00990242"/>
    <w:rsid w:val="00990850"/>
    <w:rsid w:val="00990946"/>
    <w:rsid w:val="00990BBB"/>
    <w:rsid w:val="00990CAE"/>
    <w:rsid w:val="00990DD2"/>
    <w:rsid w:val="0099157D"/>
    <w:rsid w:val="009917D9"/>
    <w:rsid w:val="0099182F"/>
    <w:rsid w:val="009928A2"/>
    <w:rsid w:val="0099337A"/>
    <w:rsid w:val="0099343B"/>
    <w:rsid w:val="00993933"/>
    <w:rsid w:val="00993D9C"/>
    <w:rsid w:val="00994508"/>
    <w:rsid w:val="009950BC"/>
    <w:rsid w:val="009950BF"/>
    <w:rsid w:val="0099513C"/>
    <w:rsid w:val="009957CE"/>
    <w:rsid w:val="00995854"/>
    <w:rsid w:val="00995896"/>
    <w:rsid w:val="00995A5C"/>
    <w:rsid w:val="00995AEF"/>
    <w:rsid w:val="00995D01"/>
    <w:rsid w:val="00996076"/>
    <w:rsid w:val="009962FA"/>
    <w:rsid w:val="009967DD"/>
    <w:rsid w:val="0099680E"/>
    <w:rsid w:val="00996857"/>
    <w:rsid w:val="00996CFF"/>
    <w:rsid w:val="00996DA0"/>
    <w:rsid w:val="00996DF4"/>
    <w:rsid w:val="00997948"/>
    <w:rsid w:val="009979AC"/>
    <w:rsid w:val="00997AE4"/>
    <w:rsid w:val="00997BEF"/>
    <w:rsid w:val="00997F58"/>
    <w:rsid w:val="009A06F1"/>
    <w:rsid w:val="009A1386"/>
    <w:rsid w:val="009A1A79"/>
    <w:rsid w:val="009A2876"/>
    <w:rsid w:val="009A29FE"/>
    <w:rsid w:val="009A2DC7"/>
    <w:rsid w:val="009A2E7A"/>
    <w:rsid w:val="009A3017"/>
    <w:rsid w:val="009A3172"/>
    <w:rsid w:val="009A3677"/>
    <w:rsid w:val="009A42C0"/>
    <w:rsid w:val="009A43FE"/>
    <w:rsid w:val="009A46A6"/>
    <w:rsid w:val="009A47A1"/>
    <w:rsid w:val="009A49E2"/>
    <w:rsid w:val="009A49FB"/>
    <w:rsid w:val="009A4C20"/>
    <w:rsid w:val="009A4F05"/>
    <w:rsid w:val="009A530E"/>
    <w:rsid w:val="009A5397"/>
    <w:rsid w:val="009A5A5A"/>
    <w:rsid w:val="009A5AE1"/>
    <w:rsid w:val="009A5C00"/>
    <w:rsid w:val="009A6F40"/>
    <w:rsid w:val="009A7498"/>
    <w:rsid w:val="009A7E7A"/>
    <w:rsid w:val="009B05A8"/>
    <w:rsid w:val="009B0B9A"/>
    <w:rsid w:val="009B0CC4"/>
    <w:rsid w:val="009B0E32"/>
    <w:rsid w:val="009B0E3A"/>
    <w:rsid w:val="009B0F27"/>
    <w:rsid w:val="009B1055"/>
    <w:rsid w:val="009B218C"/>
    <w:rsid w:val="009B27A8"/>
    <w:rsid w:val="009B2AA0"/>
    <w:rsid w:val="009B2C30"/>
    <w:rsid w:val="009B31A6"/>
    <w:rsid w:val="009B31D4"/>
    <w:rsid w:val="009B36BD"/>
    <w:rsid w:val="009B390F"/>
    <w:rsid w:val="009B4094"/>
    <w:rsid w:val="009B41AB"/>
    <w:rsid w:val="009B41BD"/>
    <w:rsid w:val="009B4578"/>
    <w:rsid w:val="009B4993"/>
    <w:rsid w:val="009B4CDB"/>
    <w:rsid w:val="009B4D9F"/>
    <w:rsid w:val="009B5146"/>
    <w:rsid w:val="009B52B6"/>
    <w:rsid w:val="009B5362"/>
    <w:rsid w:val="009B58FE"/>
    <w:rsid w:val="009B5DA3"/>
    <w:rsid w:val="009B5EAC"/>
    <w:rsid w:val="009B5EC8"/>
    <w:rsid w:val="009B5F8C"/>
    <w:rsid w:val="009B6003"/>
    <w:rsid w:val="009B661D"/>
    <w:rsid w:val="009B6883"/>
    <w:rsid w:val="009B6D10"/>
    <w:rsid w:val="009B6EA7"/>
    <w:rsid w:val="009B6F3E"/>
    <w:rsid w:val="009B7049"/>
    <w:rsid w:val="009B7632"/>
    <w:rsid w:val="009B76FA"/>
    <w:rsid w:val="009B7BB6"/>
    <w:rsid w:val="009B7E21"/>
    <w:rsid w:val="009C0361"/>
    <w:rsid w:val="009C0907"/>
    <w:rsid w:val="009C093F"/>
    <w:rsid w:val="009C0DD5"/>
    <w:rsid w:val="009C122E"/>
    <w:rsid w:val="009C1525"/>
    <w:rsid w:val="009C167F"/>
    <w:rsid w:val="009C19D5"/>
    <w:rsid w:val="009C1E86"/>
    <w:rsid w:val="009C2239"/>
    <w:rsid w:val="009C264C"/>
    <w:rsid w:val="009C2AFE"/>
    <w:rsid w:val="009C2D42"/>
    <w:rsid w:val="009C31E0"/>
    <w:rsid w:val="009C3368"/>
    <w:rsid w:val="009C36D4"/>
    <w:rsid w:val="009C3B4A"/>
    <w:rsid w:val="009C3E5E"/>
    <w:rsid w:val="009C400F"/>
    <w:rsid w:val="009C44F0"/>
    <w:rsid w:val="009C4605"/>
    <w:rsid w:val="009C4841"/>
    <w:rsid w:val="009C4FDF"/>
    <w:rsid w:val="009C52C9"/>
    <w:rsid w:val="009C5313"/>
    <w:rsid w:val="009C5921"/>
    <w:rsid w:val="009C5A7B"/>
    <w:rsid w:val="009C63B8"/>
    <w:rsid w:val="009C7024"/>
    <w:rsid w:val="009C723B"/>
    <w:rsid w:val="009C74DC"/>
    <w:rsid w:val="009C7634"/>
    <w:rsid w:val="009C7E25"/>
    <w:rsid w:val="009C7F41"/>
    <w:rsid w:val="009C7F7E"/>
    <w:rsid w:val="009D0000"/>
    <w:rsid w:val="009D01DE"/>
    <w:rsid w:val="009D0AD2"/>
    <w:rsid w:val="009D0BD8"/>
    <w:rsid w:val="009D0C70"/>
    <w:rsid w:val="009D1389"/>
    <w:rsid w:val="009D1A7F"/>
    <w:rsid w:val="009D1BFB"/>
    <w:rsid w:val="009D1E5D"/>
    <w:rsid w:val="009D2093"/>
    <w:rsid w:val="009D23E1"/>
    <w:rsid w:val="009D35FC"/>
    <w:rsid w:val="009D3DCE"/>
    <w:rsid w:val="009D3F44"/>
    <w:rsid w:val="009D3FCF"/>
    <w:rsid w:val="009D4089"/>
    <w:rsid w:val="009D4742"/>
    <w:rsid w:val="009D4A80"/>
    <w:rsid w:val="009D4FFE"/>
    <w:rsid w:val="009D51C8"/>
    <w:rsid w:val="009D588A"/>
    <w:rsid w:val="009D5D53"/>
    <w:rsid w:val="009D6928"/>
    <w:rsid w:val="009D6AB3"/>
    <w:rsid w:val="009D6C9B"/>
    <w:rsid w:val="009D7109"/>
    <w:rsid w:val="009D73A8"/>
    <w:rsid w:val="009D7459"/>
    <w:rsid w:val="009D7537"/>
    <w:rsid w:val="009D76F6"/>
    <w:rsid w:val="009D78DE"/>
    <w:rsid w:val="009D7A18"/>
    <w:rsid w:val="009E0299"/>
    <w:rsid w:val="009E0404"/>
    <w:rsid w:val="009E04E9"/>
    <w:rsid w:val="009E07A3"/>
    <w:rsid w:val="009E09B8"/>
    <w:rsid w:val="009E0C32"/>
    <w:rsid w:val="009E0CDD"/>
    <w:rsid w:val="009E0EA3"/>
    <w:rsid w:val="009E12F0"/>
    <w:rsid w:val="009E1AD3"/>
    <w:rsid w:val="009E2282"/>
    <w:rsid w:val="009E29BA"/>
    <w:rsid w:val="009E2D9E"/>
    <w:rsid w:val="009E31C8"/>
    <w:rsid w:val="009E3AA4"/>
    <w:rsid w:val="009E3D06"/>
    <w:rsid w:val="009E3F49"/>
    <w:rsid w:val="009E415A"/>
    <w:rsid w:val="009E4345"/>
    <w:rsid w:val="009E4460"/>
    <w:rsid w:val="009E46B0"/>
    <w:rsid w:val="009E4B11"/>
    <w:rsid w:val="009E4BFC"/>
    <w:rsid w:val="009E4D66"/>
    <w:rsid w:val="009E53D3"/>
    <w:rsid w:val="009E5A2E"/>
    <w:rsid w:val="009E60EC"/>
    <w:rsid w:val="009E64C0"/>
    <w:rsid w:val="009E6D5B"/>
    <w:rsid w:val="009E724B"/>
    <w:rsid w:val="009E7732"/>
    <w:rsid w:val="009E77E2"/>
    <w:rsid w:val="009E7D29"/>
    <w:rsid w:val="009E7D64"/>
    <w:rsid w:val="009F0104"/>
    <w:rsid w:val="009F02A8"/>
    <w:rsid w:val="009F0444"/>
    <w:rsid w:val="009F06C8"/>
    <w:rsid w:val="009F0B21"/>
    <w:rsid w:val="009F0D35"/>
    <w:rsid w:val="009F104D"/>
    <w:rsid w:val="009F1701"/>
    <w:rsid w:val="009F171A"/>
    <w:rsid w:val="009F1813"/>
    <w:rsid w:val="009F1E93"/>
    <w:rsid w:val="009F1FD6"/>
    <w:rsid w:val="009F21D0"/>
    <w:rsid w:val="009F25F3"/>
    <w:rsid w:val="009F2813"/>
    <w:rsid w:val="009F2835"/>
    <w:rsid w:val="009F2A09"/>
    <w:rsid w:val="009F2F88"/>
    <w:rsid w:val="009F3180"/>
    <w:rsid w:val="009F33D3"/>
    <w:rsid w:val="009F3500"/>
    <w:rsid w:val="009F3767"/>
    <w:rsid w:val="009F3C5D"/>
    <w:rsid w:val="009F3CC0"/>
    <w:rsid w:val="009F43A4"/>
    <w:rsid w:val="009F4BBE"/>
    <w:rsid w:val="009F4F1B"/>
    <w:rsid w:val="009F5B1D"/>
    <w:rsid w:val="009F5BB4"/>
    <w:rsid w:val="009F5C71"/>
    <w:rsid w:val="009F60F1"/>
    <w:rsid w:val="009F6475"/>
    <w:rsid w:val="009F6527"/>
    <w:rsid w:val="009F66D0"/>
    <w:rsid w:val="009F66FA"/>
    <w:rsid w:val="009F68A3"/>
    <w:rsid w:val="009F6B57"/>
    <w:rsid w:val="009F6E87"/>
    <w:rsid w:val="009F7171"/>
    <w:rsid w:val="009F72FE"/>
    <w:rsid w:val="009F7596"/>
    <w:rsid w:val="009F7778"/>
    <w:rsid w:val="009F7ADB"/>
    <w:rsid w:val="009F7C60"/>
    <w:rsid w:val="00A0008F"/>
    <w:rsid w:val="00A00459"/>
    <w:rsid w:val="00A00802"/>
    <w:rsid w:val="00A00893"/>
    <w:rsid w:val="00A0098C"/>
    <w:rsid w:val="00A00A94"/>
    <w:rsid w:val="00A01146"/>
    <w:rsid w:val="00A01443"/>
    <w:rsid w:val="00A0159D"/>
    <w:rsid w:val="00A0187E"/>
    <w:rsid w:val="00A01D34"/>
    <w:rsid w:val="00A01E64"/>
    <w:rsid w:val="00A02017"/>
    <w:rsid w:val="00A02057"/>
    <w:rsid w:val="00A0207F"/>
    <w:rsid w:val="00A02281"/>
    <w:rsid w:val="00A02285"/>
    <w:rsid w:val="00A02468"/>
    <w:rsid w:val="00A034DD"/>
    <w:rsid w:val="00A037FB"/>
    <w:rsid w:val="00A03929"/>
    <w:rsid w:val="00A039A1"/>
    <w:rsid w:val="00A03A16"/>
    <w:rsid w:val="00A04091"/>
    <w:rsid w:val="00A041DF"/>
    <w:rsid w:val="00A042A2"/>
    <w:rsid w:val="00A043CB"/>
    <w:rsid w:val="00A0493E"/>
    <w:rsid w:val="00A04C37"/>
    <w:rsid w:val="00A05130"/>
    <w:rsid w:val="00A05C11"/>
    <w:rsid w:val="00A05CBF"/>
    <w:rsid w:val="00A05D8D"/>
    <w:rsid w:val="00A05E6C"/>
    <w:rsid w:val="00A06343"/>
    <w:rsid w:val="00A06745"/>
    <w:rsid w:val="00A06985"/>
    <w:rsid w:val="00A06FCD"/>
    <w:rsid w:val="00A0723A"/>
    <w:rsid w:val="00A073B6"/>
    <w:rsid w:val="00A07727"/>
    <w:rsid w:val="00A07763"/>
    <w:rsid w:val="00A07B89"/>
    <w:rsid w:val="00A07CB1"/>
    <w:rsid w:val="00A07DE9"/>
    <w:rsid w:val="00A100DD"/>
    <w:rsid w:val="00A10566"/>
    <w:rsid w:val="00A1105A"/>
    <w:rsid w:val="00A1155B"/>
    <w:rsid w:val="00A11A7E"/>
    <w:rsid w:val="00A12488"/>
    <w:rsid w:val="00A12F89"/>
    <w:rsid w:val="00A131F4"/>
    <w:rsid w:val="00A13345"/>
    <w:rsid w:val="00A137FA"/>
    <w:rsid w:val="00A1395E"/>
    <w:rsid w:val="00A1396F"/>
    <w:rsid w:val="00A13B3B"/>
    <w:rsid w:val="00A142E4"/>
    <w:rsid w:val="00A14927"/>
    <w:rsid w:val="00A14963"/>
    <w:rsid w:val="00A149CE"/>
    <w:rsid w:val="00A14C58"/>
    <w:rsid w:val="00A151BC"/>
    <w:rsid w:val="00A152BE"/>
    <w:rsid w:val="00A15598"/>
    <w:rsid w:val="00A16437"/>
    <w:rsid w:val="00A164C0"/>
    <w:rsid w:val="00A164D3"/>
    <w:rsid w:val="00A165BE"/>
    <w:rsid w:val="00A16E11"/>
    <w:rsid w:val="00A17092"/>
    <w:rsid w:val="00A178AC"/>
    <w:rsid w:val="00A17B63"/>
    <w:rsid w:val="00A20400"/>
    <w:rsid w:val="00A20567"/>
    <w:rsid w:val="00A20928"/>
    <w:rsid w:val="00A20BF7"/>
    <w:rsid w:val="00A20D18"/>
    <w:rsid w:val="00A20DAD"/>
    <w:rsid w:val="00A214B5"/>
    <w:rsid w:val="00A216E6"/>
    <w:rsid w:val="00A2181A"/>
    <w:rsid w:val="00A2188A"/>
    <w:rsid w:val="00A21D03"/>
    <w:rsid w:val="00A21DC1"/>
    <w:rsid w:val="00A21FE6"/>
    <w:rsid w:val="00A22165"/>
    <w:rsid w:val="00A22361"/>
    <w:rsid w:val="00A224C5"/>
    <w:rsid w:val="00A22CCA"/>
    <w:rsid w:val="00A22F7C"/>
    <w:rsid w:val="00A22FEF"/>
    <w:rsid w:val="00A231D5"/>
    <w:rsid w:val="00A23344"/>
    <w:rsid w:val="00A23424"/>
    <w:rsid w:val="00A2354E"/>
    <w:rsid w:val="00A23C68"/>
    <w:rsid w:val="00A23F36"/>
    <w:rsid w:val="00A241CA"/>
    <w:rsid w:val="00A24758"/>
    <w:rsid w:val="00A2481F"/>
    <w:rsid w:val="00A24A70"/>
    <w:rsid w:val="00A250C1"/>
    <w:rsid w:val="00A2537B"/>
    <w:rsid w:val="00A25395"/>
    <w:rsid w:val="00A25418"/>
    <w:rsid w:val="00A25830"/>
    <w:rsid w:val="00A25BEC"/>
    <w:rsid w:val="00A261D4"/>
    <w:rsid w:val="00A261DC"/>
    <w:rsid w:val="00A26AE9"/>
    <w:rsid w:val="00A2775E"/>
    <w:rsid w:val="00A27A22"/>
    <w:rsid w:val="00A27D33"/>
    <w:rsid w:val="00A27EC3"/>
    <w:rsid w:val="00A30491"/>
    <w:rsid w:val="00A306ED"/>
    <w:rsid w:val="00A30C6A"/>
    <w:rsid w:val="00A3109A"/>
    <w:rsid w:val="00A3173A"/>
    <w:rsid w:val="00A31978"/>
    <w:rsid w:val="00A31D4B"/>
    <w:rsid w:val="00A31E55"/>
    <w:rsid w:val="00A32A8F"/>
    <w:rsid w:val="00A3335D"/>
    <w:rsid w:val="00A33467"/>
    <w:rsid w:val="00A33643"/>
    <w:rsid w:val="00A33EE7"/>
    <w:rsid w:val="00A3433D"/>
    <w:rsid w:val="00A3482D"/>
    <w:rsid w:val="00A349D3"/>
    <w:rsid w:val="00A34CC3"/>
    <w:rsid w:val="00A34DD1"/>
    <w:rsid w:val="00A3509C"/>
    <w:rsid w:val="00A358E8"/>
    <w:rsid w:val="00A35A03"/>
    <w:rsid w:val="00A35C29"/>
    <w:rsid w:val="00A35CC5"/>
    <w:rsid w:val="00A35CEF"/>
    <w:rsid w:val="00A35D95"/>
    <w:rsid w:val="00A35DC7"/>
    <w:rsid w:val="00A35FBB"/>
    <w:rsid w:val="00A36386"/>
    <w:rsid w:val="00A367AF"/>
    <w:rsid w:val="00A36B01"/>
    <w:rsid w:val="00A37222"/>
    <w:rsid w:val="00A375EB"/>
    <w:rsid w:val="00A378E7"/>
    <w:rsid w:val="00A37F03"/>
    <w:rsid w:val="00A37F24"/>
    <w:rsid w:val="00A400E6"/>
    <w:rsid w:val="00A400FD"/>
    <w:rsid w:val="00A401D3"/>
    <w:rsid w:val="00A403D2"/>
    <w:rsid w:val="00A40A32"/>
    <w:rsid w:val="00A40E1C"/>
    <w:rsid w:val="00A41242"/>
    <w:rsid w:val="00A413E7"/>
    <w:rsid w:val="00A416EA"/>
    <w:rsid w:val="00A41B7A"/>
    <w:rsid w:val="00A41EFF"/>
    <w:rsid w:val="00A42811"/>
    <w:rsid w:val="00A42D36"/>
    <w:rsid w:val="00A436E6"/>
    <w:rsid w:val="00A43CDB"/>
    <w:rsid w:val="00A4412F"/>
    <w:rsid w:val="00A44A15"/>
    <w:rsid w:val="00A44C08"/>
    <w:rsid w:val="00A45381"/>
    <w:rsid w:val="00A4541A"/>
    <w:rsid w:val="00A4545D"/>
    <w:rsid w:val="00A457CC"/>
    <w:rsid w:val="00A459BA"/>
    <w:rsid w:val="00A4631F"/>
    <w:rsid w:val="00A465FF"/>
    <w:rsid w:val="00A46884"/>
    <w:rsid w:val="00A4693A"/>
    <w:rsid w:val="00A47030"/>
    <w:rsid w:val="00A4714D"/>
    <w:rsid w:val="00A472EF"/>
    <w:rsid w:val="00A47832"/>
    <w:rsid w:val="00A47F97"/>
    <w:rsid w:val="00A506CA"/>
    <w:rsid w:val="00A50DCD"/>
    <w:rsid w:val="00A50F29"/>
    <w:rsid w:val="00A51259"/>
    <w:rsid w:val="00A514AD"/>
    <w:rsid w:val="00A51AA3"/>
    <w:rsid w:val="00A520A5"/>
    <w:rsid w:val="00A5227F"/>
    <w:rsid w:val="00A523C3"/>
    <w:rsid w:val="00A52B02"/>
    <w:rsid w:val="00A52E2E"/>
    <w:rsid w:val="00A53575"/>
    <w:rsid w:val="00A53CEE"/>
    <w:rsid w:val="00A54403"/>
    <w:rsid w:val="00A54762"/>
    <w:rsid w:val="00A54940"/>
    <w:rsid w:val="00A549B0"/>
    <w:rsid w:val="00A54C04"/>
    <w:rsid w:val="00A54F30"/>
    <w:rsid w:val="00A55216"/>
    <w:rsid w:val="00A55654"/>
    <w:rsid w:val="00A556E1"/>
    <w:rsid w:val="00A55722"/>
    <w:rsid w:val="00A5588D"/>
    <w:rsid w:val="00A55B55"/>
    <w:rsid w:val="00A55E8C"/>
    <w:rsid w:val="00A56527"/>
    <w:rsid w:val="00A5796A"/>
    <w:rsid w:val="00A57CC4"/>
    <w:rsid w:val="00A57DCD"/>
    <w:rsid w:val="00A57F5A"/>
    <w:rsid w:val="00A6018C"/>
    <w:rsid w:val="00A601FE"/>
    <w:rsid w:val="00A602B3"/>
    <w:rsid w:val="00A6043A"/>
    <w:rsid w:val="00A604C9"/>
    <w:rsid w:val="00A605D3"/>
    <w:rsid w:val="00A60643"/>
    <w:rsid w:val="00A60678"/>
    <w:rsid w:val="00A607FD"/>
    <w:rsid w:val="00A60A41"/>
    <w:rsid w:val="00A60AD2"/>
    <w:rsid w:val="00A60FDB"/>
    <w:rsid w:val="00A61071"/>
    <w:rsid w:val="00A611F6"/>
    <w:rsid w:val="00A61431"/>
    <w:rsid w:val="00A6143D"/>
    <w:rsid w:val="00A61446"/>
    <w:rsid w:val="00A61883"/>
    <w:rsid w:val="00A620E2"/>
    <w:rsid w:val="00A622A3"/>
    <w:rsid w:val="00A62640"/>
    <w:rsid w:val="00A629AC"/>
    <w:rsid w:val="00A62B6D"/>
    <w:rsid w:val="00A62C3D"/>
    <w:rsid w:val="00A63331"/>
    <w:rsid w:val="00A63D3C"/>
    <w:rsid w:val="00A641D8"/>
    <w:rsid w:val="00A643CD"/>
    <w:rsid w:val="00A6446E"/>
    <w:rsid w:val="00A64745"/>
    <w:rsid w:val="00A64876"/>
    <w:rsid w:val="00A64BC1"/>
    <w:rsid w:val="00A6509A"/>
    <w:rsid w:val="00A65A7E"/>
    <w:rsid w:val="00A65BE8"/>
    <w:rsid w:val="00A65EA1"/>
    <w:rsid w:val="00A65F2B"/>
    <w:rsid w:val="00A66216"/>
    <w:rsid w:val="00A6628C"/>
    <w:rsid w:val="00A66633"/>
    <w:rsid w:val="00A66850"/>
    <w:rsid w:val="00A66B13"/>
    <w:rsid w:val="00A66ED6"/>
    <w:rsid w:val="00A67156"/>
    <w:rsid w:val="00A67354"/>
    <w:rsid w:val="00A67360"/>
    <w:rsid w:val="00A6754A"/>
    <w:rsid w:val="00A67572"/>
    <w:rsid w:val="00A67944"/>
    <w:rsid w:val="00A67B84"/>
    <w:rsid w:val="00A701F5"/>
    <w:rsid w:val="00A7035E"/>
    <w:rsid w:val="00A70577"/>
    <w:rsid w:val="00A705AB"/>
    <w:rsid w:val="00A70DA9"/>
    <w:rsid w:val="00A710D6"/>
    <w:rsid w:val="00A712F2"/>
    <w:rsid w:val="00A71619"/>
    <w:rsid w:val="00A719E5"/>
    <w:rsid w:val="00A71AA7"/>
    <w:rsid w:val="00A71D27"/>
    <w:rsid w:val="00A71F15"/>
    <w:rsid w:val="00A720DF"/>
    <w:rsid w:val="00A72138"/>
    <w:rsid w:val="00A72B11"/>
    <w:rsid w:val="00A72B38"/>
    <w:rsid w:val="00A72F3A"/>
    <w:rsid w:val="00A73057"/>
    <w:rsid w:val="00A73496"/>
    <w:rsid w:val="00A735BF"/>
    <w:rsid w:val="00A739DD"/>
    <w:rsid w:val="00A73A5E"/>
    <w:rsid w:val="00A73BED"/>
    <w:rsid w:val="00A741DC"/>
    <w:rsid w:val="00A74445"/>
    <w:rsid w:val="00A745D8"/>
    <w:rsid w:val="00A7542B"/>
    <w:rsid w:val="00A7552D"/>
    <w:rsid w:val="00A75551"/>
    <w:rsid w:val="00A75BBC"/>
    <w:rsid w:val="00A75E4C"/>
    <w:rsid w:val="00A7604A"/>
    <w:rsid w:val="00A76104"/>
    <w:rsid w:val="00A761DA"/>
    <w:rsid w:val="00A76464"/>
    <w:rsid w:val="00A765D6"/>
    <w:rsid w:val="00A7678F"/>
    <w:rsid w:val="00A7695A"/>
    <w:rsid w:val="00A76ACB"/>
    <w:rsid w:val="00A76EEA"/>
    <w:rsid w:val="00A76FD4"/>
    <w:rsid w:val="00A772EC"/>
    <w:rsid w:val="00A77801"/>
    <w:rsid w:val="00A77954"/>
    <w:rsid w:val="00A80337"/>
    <w:rsid w:val="00A8037E"/>
    <w:rsid w:val="00A80479"/>
    <w:rsid w:val="00A80558"/>
    <w:rsid w:val="00A80672"/>
    <w:rsid w:val="00A807B2"/>
    <w:rsid w:val="00A80AA9"/>
    <w:rsid w:val="00A80D73"/>
    <w:rsid w:val="00A81165"/>
    <w:rsid w:val="00A8122D"/>
    <w:rsid w:val="00A8126C"/>
    <w:rsid w:val="00A81336"/>
    <w:rsid w:val="00A81534"/>
    <w:rsid w:val="00A8188F"/>
    <w:rsid w:val="00A81AC0"/>
    <w:rsid w:val="00A81DC9"/>
    <w:rsid w:val="00A81EC4"/>
    <w:rsid w:val="00A81FB3"/>
    <w:rsid w:val="00A82101"/>
    <w:rsid w:val="00A822E2"/>
    <w:rsid w:val="00A823CA"/>
    <w:rsid w:val="00A823FD"/>
    <w:rsid w:val="00A828B5"/>
    <w:rsid w:val="00A82A18"/>
    <w:rsid w:val="00A82D82"/>
    <w:rsid w:val="00A82FE9"/>
    <w:rsid w:val="00A832A8"/>
    <w:rsid w:val="00A834CB"/>
    <w:rsid w:val="00A8358D"/>
    <w:rsid w:val="00A8406B"/>
    <w:rsid w:val="00A846E5"/>
    <w:rsid w:val="00A847F9"/>
    <w:rsid w:val="00A84AC6"/>
    <w:rsid w:val="00A851AD"/>
    <w:rsid w:val="00A853B1"/>
    <w:rsid w:val="00A856DE"/>
    <w:rsid w:val="00A8575D"/>
    <w:rsid w:val="00A858A4"/>
    <w:rsid w:val="00A85E88"/>
    <w:rsid w:val="00A86642"/>
    <w:rsid w:val="00A86D1D"/>
    <w:rsid w:val="00A86FFF"/>
    <w:rsid w:val="00A874E8"/>
    <w:rsid w:val="00A876FD"/>
    <w:rsid w:val="00A8777E"/>
    <w:rsid w:val="00A878F3"/>
    <w:rsid w:val="00A87950"/>
    <w:rsid w:val="00A87971"/>
    <w:rsid w:val="00A87ED0"/>
    <w:rsid w:val="00A87F30"/>
    <w:rsid w:val="00A909FC"/>
    <w:rsid w:val="00A90A55"/>
    <w:rsid w:val="00A911F9"/>
    <w:rsid w:val="00A91445"/>
    <w:rsid w:val="00A91E27"/>
    <w:rsid w:val="00A91FEA"/>
    <w:rsid w:val="00A92122"/>
    <w:rsid w:val="00A9214B"/>
    <w:rsid w:val="00A92288"/>
    <w:rsid w:val="00A9251F"/>
    <w:rsid w:val="00A926DD"/>
    <w:rsid w:val="00A927B7"/>
    <w:rsid w:val="00A927DC"/>
    <w:rsid w:val="00A92B7D"/>
    <w:rsid w:val="00A92CDE"/>
    <w:rsid w:val="00A92D04"/>
    <w:rsid w:val="00A92D31"/>
    <w:rsid w:val="00A931D3"/>
    <w:rsid w:val="00A934BB"/>
    <w:rsid w:val="00A9379D"/>
    <w:rsid w:val="00A937C6"/>
    <w:rsid w:val="00A944CE"/>
    <w:rsid w:val="00A94691"/>
    <w:rsid w:val="00A94970"/>
    <w:rsid w:val="00A94FF5"/>
    <w:rsid w:val="00A950A7"/>
    <w:rsid w:val="00A9510B"/>
    <w:rsid w:val="00A95522"/>
    <w:rsid w:val="00A959A9"/>
    <w:rsid w:val="00A959EE"/>
    <w:rsid w:val="00A95C95"/>
    <w:rsid w:val="00A9623E"/>
    <w:rsid w:val="00A96B71"/>
    <w:rsid w:val="00A971F0"/>
    <w:rsid w:val="00A97364"/>
    <w:rsid w:val="00A97CB6"/>
    <w:rsid w:val="00A97D69"/>
    <w:rsid w:val="00AA0061"/>
    <w:rsid w:val="00AA009E"/>
    <w:rsid w:val="00AA0107"/>
    <w:rsid w:val="00AA04DE"/>
    <w:rsid w:val="00AA0504"/>
    <w:rsid w:val="00AA06C9"/>
    <w:rsid w:val="00AA09A1"/>
    <w:rsid w:val="00AA0C56"/>
    <w:rsid w:val="00AA1548"/>
    <w:rsid w:val="00AA17E7"/>
    <w:rsid w:val="00AA1B48"/>
    <w:rsid w:val="00AA1BEB"/>
    <w:rsid w:val="00AA1D65"/>
    <w:rsid w:val="00AA1F1C"/>
    <w:rsid w:val="00AA2393"/>
    <w:rsid w:val="00AA24B3"/>
    <w:rsid w:val="00AA2667"/>
    <w:rsid w:val="00AA2901"/>
    <w:rsid w:val="00AA29BC"/>
    <w:rsid w:val="00AA2BD6"/>
    <w:rsid w:val="00AA2F89"/>
    <w:rsid w:val="00AA30B8"/>
    <w:rsid w:val="00AA3222"/>
    <w:rsid w:val="00AA3400"/>
    <w:rsid w:val="00AA34D8"/>
    <w:rsid w:val="00AA3744"/>
    <w:rsid w:val="00AA3854"/>
    <w:rsid w:val="00AA3EC6"/>
    <w:rsid w:val="00AA410B"/>
    <w:rsid w:val="00AA4156"/>
    <w:rsid w:val="00AA422A"/>
    <w:rsid w:val="00AA469F"/>
    <w:rsid w:val="00AA4A6B"/>
    <w:rsid w:val="00AA4DE5"/>
    <w:rsid w:val="00AA5324"/>
    <w:rsid w:val="00AA5538"/>
    <w:rsid w:val="00AA61D4"/>
    <w:rsid w:val="00AA6339"/>
    <w:rsid w:val="00AA6AC0"/>
    <w:rsid w:val="00AA6BE8"/>
    <w:rsid w:val="00AA6F48"/>
    <w:rsid w:val="00AA6FD6"/>
    <w:rsid w:val="00AA74F4"/>
    <w:rsid w:val="00AA7676"/>
    <w:rsid w:val="00AA7C90"/>
    <w:rsid w:val="00AA7D4C"/>
    <w:rsid w:val="00AA7F86"/>
    <w:rsid w:val="00AA7FAF"/>
    <w:rsid w:val="00AB0080"/>
    <w:rsid w:val="00AB00AD"/>
    <w:rsid w:val="00AB041D"/>
    <w:rsid w:val="00AB05E4"/>
    <w:rsid w:val="00AB094B"/>
    <w:rsid w:val="00AB0A93"/>
    <w:rsid w:val="00AB0C3B"/>
    <w:rsid w:val="00AB0E82"/>
    <w:rsid w:val="00AB119A"/>
    <w:rsid w:val="00AB11BA"/>
    <w:rsid w:val="00AB1220"/>
    <w:rsid w:val="00AB12A3"/>
    <w:rsid w:val="00AB2114"/>
    <w:rsid w:val="00AB21DF"/>
    <w:rsid w:val="00AB2418"/>
    <w:rsid w:val="00AB2B1E"/>
    <w:rsid w:val="00AB2C04"/>
    <w:rsid w:val="00AB2C72"/>
    <w:rsid w:val="00AB3261"/>
    <w:rsid w:val="00AB3262"/>
    <w:rsid w:val="00AB32AE"/>
    <w:rsid w:val="00AB354A"/>
    <w:rsid w:val="00AB36C5"/>
    <w:rsid w:val="00AB4049"/>
    <w:rsid w:val="00AB4310"/>
    <w:rsid w:val="00AB44B0"/>
    <w:rsid w:val="00AB44D0"/>
    <w:rsid w:val="00AB5365"/>
    <w:rsid w:val="00AB5777"/>
    <w:rsid w:val="00AB5B3E"/>
    <w:rsid w:val="00AB5C99"/>
    <w:rsid w:val="00AB5F06"/>
    <w:rsid w:val="00AB640C"/>
    <w:rsid w:val="00AB66FB"/>
    <w:rsid w:val="00AB6999"/>
    <w:rsid w:val="00AB6E96"/>
    <w:rsid w:val="00AB750A"/>
    <w:rsid w:val="00AB7629"/>
    <w:rsid w:val="00AB76E2"/>
    <w:rsid w:val="00AB7829"/>
    <w:rsid w:val="00AB7892"/>
    <w:rsid w:val="00AB7A17"/>
    <w:rsid w:val="00AB7EEB"/>
    <w:rsid w:val="00AC051D"/>
    <w:rsid w:val="00AC06BF"/>
    <w:rsid w:val="00AC0884"/>
    <w:rsid w:val="00AC0889"/>
    <w:rsid w:val="00AC09DE"/>
    <w:rsid w:val="00AC0D0A"/>
    <w:rsid w:val="00AC0E7E"/>
    <w:rsid w:val="00AC0EAE"/>
    <w:rsid w:val="00AC0F68"/>
    <w:rsid w:val="00AC14F5"/>
    <w:rsid w:val="00AC16EC"/>
    <w:rsid w:val="00AC1A24"/>
    <w:rsid w:val="00AC1C61"/>
    <w:rsid w:val="00AC1F2E"/>
    <w:rsid w:val="00AC2310"/>
    <w:rsid w:val="00AC2362"/>
    <w:rsid w:val="00AC246A"/>
    <w:rsid w:val="00AC286F"/>
    <w:rsid w:val="00AC2F74"/>
    <w:rsid w:val="00AC3091"/>
    <w:rsid w:val="00AC327E"/>
    <w:rsid w:val="00AC329D"/>
    <w:rsid w:val="00AC3365"/>
    <w:rsid w:val="00AC33B7"/>
    <w:rsid w:val="00AC35DC"/>
    <w:rsid w:val="00AC37EE"/>
    <w:rsid w:val="00AC3AC8"/>
    <w:rsid w:val="00AC3BAC"/>
    <w:rsid w:val="00AC3DFA"/>
    <w:rsid w:val="00AC3FF6"/>
    <w:rsid w:val="00AC4BBC"/>
    <w:rsid w:val="00AC4F46"/>
    <w:rsid w:val="00AC4FC2"/>
    <w:rsid w:val="00AC549D"/>
    <w:rsid w:val="00AC574D"/>
    <w:rsid w:val="00AC5888"/>
    <w:rsid w:val="00AC597D"/>
    <w:rsid w:val="00AC59F7"/>
    <w:rsid w:val="00AC5A07"/>
    <w:rsid w:val="00AC5CC8"/>
    <w:rsid w:val="00AC5D15"/>
    <w:rsid w:val="00AC5DD3"/>
    <w:rsid w:val="00AC6302"/>
    <w:rsid w:val="00AC6A9A"/>
    <w:rsid w:val="00AC6D5B"/>
    <w:rsid w:val="00AC6EBA"/>
    <w:rsid w:val="00AC70A8"/>
    <w:rsid w:val="00AC712B"/>
    <w:rsid w:val="00AC7358"/>
    <w:rsid w:val="00AC7385"/>
    <w:rsid w:val="00AC7859"/>
    <w:rsid w:val="00AC78D6"/>
    <w:rsid w:val="00AC7E27"/>
    <w:rsid w:val="00AD038C"/>
    <w:rsid w:val="00AD03F4"/>
    <w:rsid w:val="00AD09D4"/>
    <w:rsid w:val="00AD0AF8"/>
    <w:rsid w:val="00AD161E"/>
    <w:rsid w:val="00AD18B3"/>
    <w:rsid w:val="00AD1E80"/>
    <w:rsid w:val="00AD1F34"/>
    <w:rsid w:val="00AD25D4"/>
    <w:rsid w:val="00AD2842"/>
    <w:rsid w:val="00AD2960"/>
    <w:rsid w:val="00AD2D1D"/>
    <w:rsid w:val="00AD3883"/>
    <w:rsid w:val="00AD3B34"/>
    <w:rsid w:val="00AD4858"/>
    <w:rsid w:val="00AD4A4C"/>
    <w:rsid w:val="00AD4CB1"/>
    <w:rsid w:val="00AD5042"/>
    <w:rsid w:val="00AD51E6"/>
    <w:rsid w:val="00AD52B8"/>
    <w:rsid w:val="00AD5A40"/>
    <w:rsid w:val="00AD5E8B"/>
    <w:rsid w:val="00AD5F45"/>
    <w:rsid w:val="00AD5F7F"/>
    <w:rsid w:val="00AD6129"/>
    <w:rsid w:val="00AD64B6"/>
    <w:rsid w:val="00AD66A4"/>
    <w:rsid w:val="00AD6A2C"/>
    <w:rsid w:val="00AD6D37"/>
    <w:rsid w:val="00AD6DA4"/>
    <w:rsid w:val="00AD6F1F"/>
    <w:rsid w:val="00AD70A8"/>
    <w:rsid w:val="00AD71A6"/>
    <w:rsid w:val="00AD71C7"/>
    <w:rsid w:val="00AD73B7"/>
    <w:rsid w:val="00AD73D9"/>
    <w:rsid w:val="00AD74B5"/>
    <w:rsid w:val="00AD7B28"/>
    <w:rsid w:val="00AE0254"/>
    <w:rsid w:val="00AE06F9"/>
    <w:rsid w:val="00AE08B9"/>
    <w:rsid w:val="00AE098B"/>
    <w:rsid w:val="00AE0D3E"/>
    <w:rsid w:val="00AE0DBD"/>
    <w:rsid w:val="00AE0F12"/>
    <w:rsid w:val="00AE12B0"/>
    <w:rsid w:val="00AE1833"/>
    <w:rsid w:val="00AE1D16"/>
    <w:rsid w:val="00AE1EC0"/>
    <w:rsid w:val="00AE1F07"/>
    <w:rsid w:val="00AE1FD5"/>
    <w:rsid w:val="00AE2064"/>
    <w:rsid w:val="00AE2363"/>
    <w:rsid w:val="00AE2504"/>
    <w:rsid w:val="00AE2641"/>
    <w:rsid w:val="00AE2C4B"/>
    <w:rsid w:val="00AE2DCE"/>
    <w:rsid w:val="00AE2F49"/>
    <w:rsid w:val="00AE3328"/>
    <w:rsid w:val="00AE37A2"/>
    <w:rsid w:val="00AE3805"/>
    <w:rsid w:val="00AE3A0A"/>
    <w:rsid w:val="00AE3B02"/>
    <w:rsid w:val="00AE3D83"/>
    <w:rsid w:val="00AE3F6E"/>
    <w:rsid w:val="00AE3F8A"/>
    <w:rsid w:val="00AE40A9"/>
    <w:rsid w:val="00AE4308"/>
    <w:rsid w:val="00AE4648"/>
    <w:rsid w:val="00AE46F2"/>
    <w:rsid w:val="00AE4B0E"/>
    <w:rsid w:val="00AE4B5D"/>
    <w:rsid w:val="00AE4C15"/>
    <w:rsid w:val="00AE4D5D"/>
    <w:rsid w:val="00AE4DB4"/>
    <w:rsid w:val="00AE5255"/>
    <w:rsid w:val="00AE5601"/>
    <w:rsid w:val="00AE62BA"/>
    <w:rsid w:val="00AE6B18"/>
    <w:rsid w:val="00AE6B98"/>
    <w:rsid w:val="00AE6C59"/>
    <w:rsid w:val="00AE751D"/>
    <w:rsid w:val="00AE7A7D"/>
    <w:rsid w:val="00AF05B4"/>
    <w:rsid w:val="00AF0BFB"/>
    <w:rsid w:val="00AF0DC9"/>
    <w:rsid w:val="00AF1958"/>
    <w:rsid w:val="00AF1F06"/>
    <w:rsid w:val="00AF1FEA"/>
    <w:rsid w:val="00AF233F"/>
    <w:rsid w:val="00AF23C2"/>
    <w:rsid w:val="00AF3B3C"/>
    <w:rsid w:val="00AF3B72"/>
    <w:rsid w:val="00AF3DB5"/>
    <w:rsid w:val="00AF40E8"/>
    <w:rsid w:val="00AF4844"/>
    <w:rsid w:val="00AF4B75"/>
    <w:rsid w:val="00AF5029"/>
    <w:rsid w:val="00AF50F7"/>
    <w:rsid w:val="00AF517F"/>
    <w:rsid w:val="00AF5263"/>
    <w:rsid w:val="00AF5663"/>
    <w:rsid w:val="00AF5707"/>
    <w:rsid w:val="00AF5FDE"/>
    <w:rsid w:val="00AF605B"/>
    <w:rsid w:val="00AF6231"/>
    <w:rsid w:val="00AF62E6"/>
    <w:rsid w:val="00AF66C1"/>
    <w:rsid w:val="00AF6CA3"/>
    <w:rsid w:val="00AF6D0A"/>
    <w:rsid w:val="00AF6F6C"/>
    <w:rsid w:val="00AF7142"/>
    <w:rsid w:val="00AF7517"/>
    <w:rsid w:val="00AF7598"/>
    <w:rsid w:val="00AF7B71"/>
    <w:rsid w:val="00AF7FF4"/>
    <w:rsid w:val="00B0056B"/>
    <w:rsid w:val="00B00754"/>
    <w:rsid w:val="00B00AC2"/>
    <w:rsid w:val="00B00BD0"/>
    <w:rsid w:val="00B00D70"/>
    <w:rsid w:val="00B012AE"/>
    <w:rsid w:val="00B01690"/>
    <w:rsid w:val="00B0169D"/>
    <w:rsid w:val="00B01FD1"/>
    <w:rsid w:val="00B01FD9"/>
    <w:rsid w:val="00B020FA"/>
    <w:rsid w:val="00B02676"/>
    <w:rsid w:val="00B029B4"/>
    <w:rsid w:val="00B02FBD"/>
    <w:rsid w:val="00B033BD"/>
    <w:rsid w:val="00B03614"/>
    <w:rsid w:val="00B03869"/>
    <w:rsid w:val="00B03B24"/>
    <w:rsid w:val="00B03FB5"/>
    <w:rsid w:val="00B043EB"/>
    <w:rsid w:val="00B0449E"/>
    <w:rsid w:val="00B045D8"/>
    <w:rsid w:val="00B046B3"/>
    <w:rsid w:val="00B04F96"/>
    <w:rsid w:val="00B06F53"/>
    <w:rsid w:val="00B0747F"/>
    <w:rsid w:val="00B0749E"/>
    <w:rsid w:val="00B1000C"/>
    <w:rsid w:val="00B101C5"/>
    <w:rsid w:val="00B1068E"/>
    <w:rsid w:val="00B10B19"/>
    <w:rsid w:val="00B10CFC"/>
    <w:rsid w:val="00B10E92"/>
    <w:rsid w:val="00B111A4"/>
    <w:rsid w:val="00B1144B"/>
    <w:rsid w:val="00B11487"/>
    <w:rsid w:val="00B11CBE"/>
    <w:rsid w:val="00B11D03"/>
    <w:rsid w:val="00B11D80"/>
    <w:rsid w:val="00B12335"/>
    <w:rsid w:val="00B129F1"/>
    <w:rsid w:val="00B12CEB"/>
    <w:rsid w:val="00B12D2B"/>
    <w:rsid w:val="00B12EC0"/>
    <w:rsid w:val="00B12EC4"/>
    <w:rsid w:val="00B1306B"/>
    <w:rsid w:val="00B13095"/>
    <w:rsid w:val="00B13205"/>
    <w:rsid w:val="00B13561"/>
    <w:rsid w:val="00B138B7"/>
    <w:rsid w:val="00B13B54"/>
    <w:rsid w:val="00B13E08"/>
    <w:rsid w:val="00B13F0D"/>
    <w:rsid w:val="00B13F80"/>
    <w:rsid w:val="00B13FF4"/>
    <w:rsid w:val="00B1416B"/>
    <w:rsid w:val="00B142A3"/>
    <w:rsid w:val="00B14491"/>
    <w:rsid w:val="00B144F2"/>
    <w:rsid w:val="00B15A9C"/>
    <w:rsid w:val="00B15EE4"/>
    <w:rsid w:val="00B16048"/>
    <w:rsid w:val="00B163CE"/>
    <w:rsid w:val="00B164C6"/>
    <w:rsid w:val="00B1651D"/>
    <w:rsid w:val="00B16697"/>
    <w:rsid w:val="00B167BC"/>
    <w:rsid w:val="00B17469"/>
    <w:rsid w:val="00B17844"/>
    <w:rsid w:val="00B17AD4"/>
    <w:rsid w:val="00B17C7E"/>
    <w:rsid w:val="00B17D3B"/>
    <w:rsid w:val="00B17E81"/>
    <w:rsid w:val="00B20243"/>
    <w:rsid w:val="00B20615"/>
    <w:rsid w:val="00B20698"/>
    <w:rsid w:val="00B20824"/>
    <w:rsid w:val="00B20A3D"/>
    <w:rsid w:val="00B20B33"/>
    <w:rsid w:val="00B20FEA"/>
    <w:rsid w:val="00B212BA"/>
    <w:rsid w:val="00B214D2"/>
    <w:rsid w:val="00B216A7"/>
    <w:rsid w:val="00B21E97"/>
    <w:rsid w:val="00B227E2"/>
    <w:rsid w:val="00B22AE4"/>
    <w:rsid w:val="00B22BA7"/>
    <w:rsid w:val="00B230B4"/>
    <w:rsid w:val="00B23A09"/>
    <w:rsid w:val="00B23F98"/>
    <w:rsid w:val="00B2443E"/>
    <w:rsid w:val="00B24566"/>
    <w:rsid w:val="00B247D5"/>
    <w:rsid w:val="00B24A41"/>
    <w:rsid w:val="00B24EF0"/>
    <w:rsid w:val="00B25644"/>
    <w:rsid w:val="00B2598D"/>
    <w:rsid w:val="00B25F7B"/>
    <w:rsid w:val="00B26098"/>
    <w:rsid w:val="00B26818"/>
    <w:rsid w:val="00B26B79"/>
    <w:rsid w:val="00B26BB8"/>
    <w:rsid w:val="00B26C4C"/>
    <w:rsid w:val="00B27040"/>
    <w:rsid w:val="00B2737D"/>
    <w:rsid w:val="00B27538"/>
    <w:rsid w:val="00B275B6"/>
    <w:rsid w:val="00B27D0C"/>
    <w:rsid w:val="00B3046E"/>
    <w:rsid w:val="00B3090E"/>
    <w:rsid w:val="00B30A51"/>
    <w:rsid w:val="00B3145A"/>
    <w:rsid w:val="00B3215E"/>
    <w:rsid w:val="00B325CF"/>
    <w:rsid w:val="00B3272F"/>
    <w:rsid w:val="00B32E69"/>
    <w:rsid w:val="00B32E6C"/>
    <w:rsid w:val="00B32EA4"/>
    <w:rsid w:val="00B33274"/>
    <w:rsid w:val="00B334FD"/>
    <w:rsid w:val="00B33655"/>
    <w:rsid w:val="00B33705"/>
    <w:rsid w:val="00B33711"/>
    <w:rsid w:val="00B337F1"/>
    <w:rsid w:val="00B339BF"/>
    <w:rsid w:val="00B3404F"/>
    <w:rsid w:val="00B34C93"/>
    <w:rsid w:val="00B34FD7"/>
    <w:rsid w:val="00B3517B"/>
    <w:rsid w:val="00B3589C"/>
    <w:rsid w:val="00B3590B"/>
    <w:rsid w:val="00B35910"/>
    <w:rsid w:val="00B35D71"/>
    <w:rsid w:val="00B36101"/>
    <w:rsid w:val="00B36645"/>
    <w:rsid w:val="00B3676A"/>
    <w:rsid w:val="00B3676C"/>
    <w:rsid w:val="00B36A7D"/>
    <w:rsid w:val="00B36EB9"/>
    <w:rsid w:val="00B37D96"/>
    <w:rsid w:val="00B37F0C"/>
    <w:rsid w:val="00B37F47"/>
    <w:rsid w:val="00B40311"/>
    <w:rsid w:val="00B40480"/>
    <w:rsid w:val="00B406D2"/>
    <w:rsid w:val="00B40A9E"/>
    <w:rsid w:val="00B40D39"/>
    <w:rsid w:val="00B4114F"/>
    <w:rsid w:val="00B41310"/>
    <w:rsid w:val="00B4139C"/>
    <w:rsid w:val="00B413A8"/>
    <w:rsid w:val="00B414C6"/>
    <w:rsid w:val="00B41640"/>
    <w:rsid w:val="00B418B7"/>
    <w:rsid w:val="00B41A7C"/>
    <w:rsid w:val="00B4257B"/>
    <w:rsid w:val="00B425E3"/>
    <w:rsid w:val="00B42850"/>
    <w:rsid w:val="00B42856"/>
    <w:rsid w:val="00B429C8"/>
    <w:rsid w:val="00B42BE7"/>
    <w:rsid w:val="00B43236"/>
    <w:rsid w:val="00B43325"/>
    <w:rsid w:val="00B43570"/>
    <w:rsid w:val="00B43F25"/>
    <w:rsid w:val="00B44A7E"/>
    <w:rsid w:val="00B44CA6"/>
    <w:rsid w:val="00B45130"/>
    <w:rsid w:val="00B45489"/>
    <w:rsid w:val="00B45673"/>
    <w:rsid w:val="00B459E4"/>
    <w:rsid w:val="00B45C63"/>
    <w:rsid w:val="00B45C6D"/>
    <w:rsid w:val="00B462C3"/>
    <w:rsid w:val="00B4671F"/>
    <w:rsid w:val="00B46ADA"/>
    <w:rsid w:val="00B46BB4"/>
    <w:rsid w:val="00B46CA9"/>
    <w:rsid w:val="00B46D68"/>
    <w:rsid w:val="00B46F2C"/>
    <w:rsid w:val="00B475A7"/>
    <w:rsid w:val="00B476B9"/>
    <w:rsid w:val="00B476FF"/>
    <w:rsid w:val="00B47B27"/>
    <w:rsid w:val="00B47D3D"/>
    <w:rsid w:val="00B502B7"/>
    <w:rsid w:val="00B50A33"/>
    <w:rsid w:val="00B513BD"/>
    <w:rsid w:val="00B5171E"/>
    <w:rsid w:val="00B51FB5"/>
    <w:rsid w:val="00B5217D"/>
    <w:rsid w:val="00B521E9"/>
    <w:rsid w:val="00B523C9"/>
    <w:rsid w:val="00B5254A"/>
    <w:rsid w:val="00B52666"/>
    <w:rsid w:val="00B52BAF"/>
    <w:rsid w:val="00B52E2E"/>
    <w:rsid w:val="00B531CB"/>
    <w:rsid w:val="00B53562"/>
    <w:rsid w:val="00B5379A"/>
    <w:rsid w:val="00B53D93"/>
    <w:rsid w:val="00B53EE0"/>
    <w:rsid w:val="00B5421E"/>
    <w:rsid w:val="00B549C3"/>
    <w:rsid w:val="00B54B27"/>
    <w:rsid w:val="00B550F9"/>
    <w:rsid w:val="00B55519"/>
    <w:rsid w:val="00B55606"/>
    <w:rsid w:val="00B55DC4"/>
    <w:rsid w:val="00B560E4"/>
    <w:rsid w:val="00B5654C"/>
    <w:rsid w:val="00B56B68"/>
    <w:rsid w:val="00B57147"/>
    <w:rsid w:val="00B5776B"/>
    <w:rsid w:val="00B57B0E"/>
    <w:rsid w:val="00B57DD3"/>
    <w:rsid w:val="00B604CB"/>
    <w:rsid w:val="00B60ACE"/>
    <w:rsid w:val="00B60CB5"/>
    <w:rsid w:val="00B60EED"/>
    <w:rsid w:val="00B61294"/>
    <w:rsid w:val="00B61771"/>
    <w:rsid w:val="00B619EF"/>
    <w:rsid w:val="00B61BEB"/>
    <w:rsid w:val="00B61D61"/>
    <w:rsid w:val="00B6234C"/>
    <w:rsid w:val="00B62787"/>
    <w:rsid w:val="00B6295E"/>
    <w:rsid w:val="00B62BA1"/>
    <w:rsid w:val="00B62D50"/>
    <w:rsid w:val="00B62DCF"/>
    <w:rsid w:val="00B62E06"/>
    <w:rsid w:val="00B63415"/>
    <w:rsid w:val="00B63630"/>
    <w:rsid w:val="00B63B23"/>
    <w:rsid w:val="00B641D2"/>
    <w:rsid w:val="00B64316"/>
    <w:rsid w:val="00B6439F"/>
    <w:rsid w:val="00B644D9"/>
    <w:rsid w:val="00B64825"/>
    <w:rsid w:val="00B6488C"/>
    <w:rsid w:val="00B6493D"/>
    <w:rsid w:val="00B65075"/>
    <w:rsid w:val="00B6527B"/>
    <w:rsid w:val="00B656D8"/>
    <w:rsid w:val="00B65872"/>
    <w:rsid w:val="00B65BC2"/>
    <w:rsid w:val="00B65C0C"/>
    <w:rsid w:val="00B65F52"/>
    <w:rsid w:val="00B662C0"/>
    <w:rsid w:val="00B671EC"/>
    <w:rsid w:val="00B6722F"/>
    <w:rsid w:val="00B6732C"/>
    <w:rsid w:val="00B67D01"/>
    <w:rsid w:val="00B67D46"/>
    <w:rsid w:val="00B704B4"/>
    <w:rsid w:val="00B707AB"/>
    <w:rsid w:val="00B708E1"/>
    <w:rsid w:val="00B7090D"/>
    <w:rsid w:val="00B70A48"/>
    <w:rsid w:val="00B70A8D"/>
    <w:rsid w:val="00B70B49"/>
    <w:rsid w:val="00B70C5F"/>
    <w:rsid w:val="00B70D09"/>
    <w:rsid w:val="00B71074"/>
    <w:rsid w:val="00B7110D"/>
    <w:rsid w:val="00B714CA"/>
    <w:rsid w:val="00B716EF"/>
    <w:rsid w:val="00B71A76"/>
    <w:rsid w:val="00B71D78"/>
    <w:rsid w:val="00B72044"/>
    <w:rsid w:val="00B7282E"/>
    <w:rsid w:val="00B72987"/>
    <w:rsid w:val="00B72CDA"/>
    <w:rsid w:val="00B72D81"/>
    <w:rsid w:val="00B736E4"/>
    <w:rsid w:val="00B73C72"/>
    <w:rsid w:val="00B74716"/>
    <w:rsid w:val="00B749BE"/>
    <w:rsid w:val="00B74B11"/>
    <w:rsid w:val="00B74F01"/>
    <w:rsid w:val="00B7519B"/>
    <w:rsid w:val="00B75767"/>
    <w:rsid w:val="00B75C44"/>
    <w:rsid w:val="00B75D13"/>
    <w:rsid w:val="00B75EAB"/>
    <w:rsid w:val="00B75F1B"/>
    <w:rsid w:val="00B761EE"/>
    <w:rsid w:val="00B7693D"/>
    <w:rsid w:val="00B76BA8"/>
    <w:rsid w:val="00B76CD2"/>
    <w:rsid w:val="00B7770F"/>
    <w:rsid w:val="00B77790"/>
    <w:rsid w:val="00B77834"/>
    <w:rsid w:val="00B77893"/>
    <w:rsid w:val="00B77FC0"/>
    <w:rsid w:val="00B800C8"/>
    <w:rsid w:val="00B80704"/>
    <w:rsid w:val="00B8089E"/>
    <w:rsid w:val="00B809B1"/>
    <w:rsid w:val="00B80B5E"/>
    <w:rsid w:val="00B80E06"/>
    <w:rsid w:val="00B80E2A"/>
    <w:rsid w:val="00B80E90"/>
    <w:rsid w:val="00B81162"/>
    <w:rsid w:val="00B81707"/>
    <w:rsid w:val="00B81EEC"/>
    <w:rsid w:val="00B820D6"/>
    <w:rsid w:val="00B823A4"/>
    <w:rsid w:val="00B82910"/>
    <w:rsid w:val="00B82958"/>
    <w:rsid w:val="00B8347D"/>
    <w:rsid w:val="00B83668"/>
    <w:rsid w:val="00B83709"/>
    <w:rsid w:val="00B8373E"/>
    <w:rsid w:val="00B8397D"/>
    <w:rsid w:val="00B83CB5"/>
    <w:rsid w:val="00B83D8E"/>
    <w:rsid w:val="00B83E69"/>
    <w:rsid w:val="00B8414A"/>
    <w:rsid w:val="00B8422B"/>
    <w:rsid w:val="00B8475E"/>
    <w:rsid w:val="00B84CF7"/>
    <w:rsid w:val="00B84D35"/>
    <w:rsid w:val="00B84E55"/>
    <w:rsid w:val="00B854E0"/>
    <w:rsid w:val="00B85F69"/>
    <w:rsid w:val="00B8602B"/>
    <w:rsid w:val="00B860A7"/>
    <w:rsid w:val="00B8696A"/>
    <w:rsid w:val="00B8719B"/>
    <w:rsid w:val="00B878B1"/>
    <w:rsid w:val="00B8793E"/>
    <w:rsid w:val="00B87DD0"/>
    <w:rsid w:val="00B87F67"/>
    <w:rsid w:val="00B900BF"/>
    <w:rsid w:val="00B906C0"/>
    <w:rsid w:val="00B90C89"/>
    <w:rsid w:val="00B91010"/>
    <w:rsid w:val="00B9109E"/>
    <w:rsid w:val="00B910A2"/>
    <w:rsid w:val="00B91306"/>
    <w:rsid w:val="00B91AB5"/>
    <w:rsid w:val="00B91F7D"/>
    <w:rsid w:val="00B92045"/>
    <w:rsid w:val="00B92660"/>
    <w:rsid w:val="00B928DB"/>
    <w:rsid w:val="00B929C6"/>
    <w:rsid w:val="00B929D3"/>
    <w:rsid w:val="00B92EF0"/>
    <w:rsid w:val="00B931C0"/>
    <w:rsid w:val="00B933AA"/>
    <w:rsid w:val="00B944EC"/>
    <w:rsid w:val="00B9451F"/>
    <w:rsid w:val="00B9488D"/>
    <w:rsid w:val="00B949B0"/>
    <w:rsid w:val="00B949B2"/>
    <w:rsid w:val="00B94FB1"/>
    <w:rsid w:val="00B95100"/>
    <w:rsid w:val="00B9512F"/>
    <w:rsid w:val="00B9567C"/>
    <w:rsid w:val="00B9575E"/>
    <w:rsid w:val="00B95965"/>
    <w:rsid w:val="00B9607D"/>
    <w:rsid w:val="00B960A0"/>
    <w:rsid w:val="00B960B6"/>
    <w:rsid w:val="00B96241"/>
    <w:rsid w:val="00B966B9"/>
    <w:rsid w:val="00B9673C"/>
    <w:rsid w:val="00B97212"/>
    <w:rsid w:val="00B9762D"/>
    <w:rsid w:val="00B976FE"/>
    <w:rsid w:val="00B97B3B"/>
    <w:rsid w:val="00B97C7E"/>
    <w:rsid w:val="00B97E91"/>
    <w:rsid w:val="00BA01FE"/>
    <w:rsid w:val="00BA0281"/>
    <w:rsid w:val="00BA033D"/>
    <w:rsid w:val="00BA03A8"/>
    <w:rsid w:val="00BA03F9"/>
    <w:rsid w:val="00BA0C9F"/>
    <w:rsid w:val="00BA1B1A"/>
    <w:rsid w:val="00BA1FC9"/>
    <w:rsid w:val="00BA2018"/>
    <w:rsid w:val="00BA20CD"/>
    <w:rsid w:val="00BA242F"/>
    <w:rsid w:val="00BA2592"/>
    <w:rsid w:val="00BA2A01"/>
    <w:rsid w:val="00BA2EDD"/>
    <w:rsid w:val="00BA3CAF"/>
    <w:rsid w:val="00BA4075"/>
    <w:rsid w:val="00BA409D"/>
    <w:rsid w:val="00BA42F1"/>
    <w:rsid w:val="00BA4356"/>
    <w:rsid w:val="00BA45C1"/>
    <w:rsid w:val="00BA4B5C"/>
    <w:rsid w:val="00BA4C6E"/>
    <w:rsid w:val="00BA5E72"/>
    <w:rsid w:val="00BA61B0"/>
    <w:rsid w:val="00BA67BB"/>
    <w:rsid w:val="00BA6ACC"/>
    <w:rsid w:val="00BA6B9E"/>
    <w:rsid w:val="00BA6FFB"/>
    <w:rsid w:val="00BA701B"/>
    <w:rsid w:val="00BA7165"/>
    <w:rsid w:val="00BA71D0"/>
    <w:rsid w:val="00BA76A3"/>
    <w:rsid w:val="00BA79AA"/>
    <w:rsid w:val="00BA7E64"/>
    <w:rsid w:val="00BA7F72"/>
    <w:rsid w:val="00BB0413"/>
    <w:rsid w:val="00BB04BC"/>
    <w:rsid w:val="00BB05DF"/>
    <w:rsid w:val="00BB0601"/>
    <w:rsid w:val="00BB07DD"/>
    <w:rsid w:val="00BB0CFC"/>
    <w:rsid w:val="00BB0F38"/>
    <w:rsid w:val="00BB1061"/>
    <w:rsid w:val="00BB113A"/>
    <w:rsid w:val="00BB123F"/>
    <w:rsid w:val="00BB139F"/>
    <w:rsid w:val="00BB1E9B"/>
    <w:rsid w:val="00BB2370"/>
    <w:rsid w:val="00BB2649"/>
    <w:rsid w:val="00BB2C40"/>
    <w:rsid w:val="00BB2CFB"/>
    <w:rsid w:val="00BB346E"/>
    <w:rsid w:val="00BB35E6"/>
    <w:rsid w:val="00BB3A0F"/>
    <w:rsid w:val="00BB3B21"/>
    <w:rsid w:val="00BB44FB"/>
    <w:rsid w:val="00BB4933"/>
    <w:rsid w:val="00BB5080"/>
    <w:rsid w:val="00BB54F8"/>
    <w:rsid w:val="00BB5A03"/>
    <w:rsid w:val="00BB5B2A"/>
    <w:rsid w:val="00BB5D2F"/>
    <w:rsid w:val="00BB5F41"/>
    <w:rsid w:val="00BB6251"/>
    <w:rsid w:val="00BB6601"/>
    <w:rsid w:val="00BB6A90"/>
    <w:rsid w:val="00BB6EE9"/>
    <w:rsid w:val="00BB7578"/>
    <w:rsid w:val="00BB77DC"/>
    <w:rsid w:val="00BB7C4C"/>
    <w:rsid w:val="00BB7DF2"/>
    <w:rsid w:val="00BC03E0"/>
    <w:rsid w:val="00BC07DF"/>
    <w:rsid w:val="00BC0A05"/>
    <w:rsid w:val="00BC0C1E"/>
    <w:rsid w:val="00BC17C6"/>
    <w:rsid w:val="00BC18A1"/>
    <w:rsid w:val="00BC1B31"/>
    <w:rsid w:val="00BC1EB8"/>
    <w:rsid w:val="00BC2145"/>
    <w:rsid w:val="00BC2603"/>
    <w:rsid w:val="00BC3123"/>
    <w:rsid w:val="00BC413E"/>
    <w:rsid w:val="00BC4208"/>
    <w:rsid w:val="00BC44EA"/>
    <w:rsid w:val="00BC45C0"/>
    <w:rsid w:val="00BC4ABA"/>
    <w:rsid w:val="00BC4DD3"/>
    <w:rsid w:val="00BC5FF7"/>
    <w:rsid w:val="00BC6288"/>
    <w:rsid w:val="00BC628C"/>
    <w:rsid w:val="00BC645F"/>
    <w:rsid w:val="00BC6495"/>
    <w:rsid w:val="00BC6555"/>
    <w:rsid w:val="00BC667E"/>
    <w:rsid w:val="00BC68FB"/>
    <w:rsid w:val="00BC6AA9"/>
    <w:rsid w:val="00BC73E8"/>
    <w:rsid w:val="00BC74BE"/>
    <w:rsid w:val="00BC792F"/>
    <w:rsid w:val="00BC7A32"/>
    <w:rsid w:val="00BC7AA3"/>
    <w:rsid w:val="00BC7D5F"/>
    <w:rsid w:val="00BC7D90"/>
    <w:rsid w:val="00BC7E02"/>
    <w:rsid w:val="00BD03B5"/>
    <w:rsid w:val="00BD0958"/>
    <w:rsid w:val="00BD0D78"/>
    <w:rsid w:val="00BD13A5"/>
    <w:rsid w:val="00BD14D5"/>
    <w:rsid w:val="00BD165D"/>
    <w:rsid w:val="00BD16AA"/>
    <w:rsid w:val="00BD1A37"/>
    <w:rsid w:val="00BD1A7C"/>
    <w:rsid w:val="00BD1B88"/>
    <w:rsid w:val="00BD2389"/>
    <w:rsid w:val="00BD2A91"/>
    <w:rsid w:val="00BD2A99"/>
    <w:rsid w:val="00BD2E60"/>
    <w:rsid w:val="00BD321F"/>
    <w:rsid w:val="00BD32A2"/>
    <w:rsid w:val="00BD3CDC"/>
    <w:rsid w:val="00BD4203"/>
    <w:rsid w:val="00BD4250"/>
    <w:rsid w:val="00BD42F7"/>
    <w:rsid w:val="00BD4324"/>
    <w:rsid w:val="00BD4552"/>
    <w:rsid w:val="00BD4706"/>
    <w:rsid w:val="00BD4EA2"/>
    <w:rsid w:val="00BD4F10"/>
    <w:rsid w:val="00BD518B"/>
    <w:rsid w:val="00BD52DA"/>
    <w:rsid w:val="00BD56E9"/>
    <w:rsid w:val="00BD5C49"/>
    <w:rsid w:val="00BD5D20"/>
    <w:rsid w:val="00BD60E1"/>
    <w:rsid w:val="00BD6841"/>
    <w:rsid w:val="00BD6B8C"/>
    <w:rsid w:val="00BD6BBD"/>
    <w:rsid w:val="00BD6DDC"/>
    <w:rsid w:val="00BD757C"/>
    <w:rsid w:val="00BD7728"/>
    <w:rsid w:val="00BD78BD"/>
    <w:rsid w:val="00BD7FBE"/>
    <w:rsid w:val="00BD7FCA"/>
    <w:rsid w:val="00BE019F"/>
    <w:rsid w:val="00BE0436"/>
    <w:rsid w:val="00BE04E8"/>
    <w:rsid w:val="00BE0917"/>
    <w:rsid w:val="00BE10A5"/>
    <w:rsid w:val="00BE12B5"/>
    <w:rsid w:val="00BE13B2"/>
    <w:rsid w:val="00BE1697"/>
    <w:rsid w:val="00BE169A"/>
    <w:rsid w:val="00BE179C"/>
    <w:rsid w:val="00BE1A73"/>
    <w:rsid w:val="00BE1DD3"/>
    <w:rsid w:val="00BE237B"/>
    <w:rsid w:val="00BE2567"/>
    <w:rsid w:val="00BE27D0"/>
    <w:rsid w:val="00BE2C91"/>
    <w:rsid w:val="00BE316E"/>
    <w:rsid w:val="00BE3710"/>
    <w:rsid w:val="00BE3719"/>
    <w:rsid w:val="00BE3745"/>
    <w:rsid w:val="00BE3888"/>
    <w:rsid w:val="00BE3890"/>
    <w:rsid w:val="00BE3C45"/>
    <w:rsid w:val="00BE4097"/>
    <w:rsid w:val="00BE4401"/>
    <w:rsid w:val="00BE484B"/>
    <w:rsid w:val="00BE4B5A"/>
    <w:rsid w:val="00BE4D18"/>
    <w:rsid w:val="00BE4D87"/>
    <w:rsid w:val="00BE4DEC"/>
    <w:rsid w:val="00BE4F4B"/>
    <w:rsid w:val="00BE4FBC"/>
    <w:rsid w:val="00BE52E1"/>
    <w:rsid w:val="00BE57CA"/>
    <w:rsid w:val="00BE58A5"/>
    <w:rsid w:val="00BE5B65"/>
    <w:rsid w:val="00BE5D7F"/>
    <w:rsid w:val="00BE5EB7"/>
    <w:rsid w:val="00BE6737"/>
    <w:rsid w:val="00BE67AF"/>
    <w:rsid w:val="00BE6C8D"/>
    <w:rsid w:val="00BE7807"/>
    <w:rsid w:val="00BE7AF1"/>
    <w:rsid w:val="00BF02B0"/>
    <w:rsid w:val="00BF0381"/>
    <w:rsid w:val="00BF098C"/>
    <w:rsid w:val="00BF1142"/>
    <w:rsid w:val="00BF1B56"/>
    <w:rsid w:val="00BF1E4A"/>
    <w:rsid w:val="00BF1EF7"/>
    <w:rsid w:val="00BF20B1"/>
    <w:rsid w:val="00BF2154"/>
    <w:rsid w:val="00BF2261"/>
    <w:rsid w:val="00BF2509"/>
    <w:rsid w:val="00BF2811"/>
    <w:rsid w:val="00BF2C0F"/>
    <w:rsid w:val="00BF323D"/>
    <w:rsid w:val="00BF3833"/>
    <w:rsid w:val="00BF3856"/>
    <w:rsid w:val="00BF3D2D"/>
    <w:rsid w:val="00BF3E32"/>
    <w:rsid w:val="00BF42DD"/>
    <w:rsid w:val="00BF4446"/>
    <w:rsid w:val="00BF479E"/>
    <w:rsid w:val="00BF4B0B"/>
    <w:rsid w:val="00BF4D4B"/>
    <w:rsid w:val="00BF4DD5"/>
    <w:rsid w:val="00BF4E66"/>
    <w:rsid w:val="00BF5124"/>
    <w:rsid w:val="00BF51A4"/>
    <w:rsid w:val="00BF51C0"/>
    <w:rsid w:val="00BF5719"/>
    <w:rsid w:val="00BF574E"/>
    <w:rsid w:val="00BF57B9"/>
    <w:rsid w:val="00BF5A2E"/>
    <w:rsid w:val="00BF5A65"/>
    <w:rsid w:val="00BF6377"/>
    <w:rsid w:val="00BF65CD"/>
    <w:rsid w:val="00BF6765"/>
    <w:rsid w:val="00BF67AC"/>
    <w:rsid w:val="00BF6A5C"/>
    <w:rsid w:val="00BF6A9A"/>
    <w:rsid w:val="00BF6B38"/>
    <w:rsid w:val="00BF6CD7"/>
    <w:rsid w:val="00BF6D97"/>
    <w:rsid w:val="00BF6EB1"/>
    <w:rsid w:val="00BF709F"/>
    <w:rsid w:val="00BF73E9"/>
    <w:rsid w:val="00BF7589"/>
    <w:rsid w:val="00BF7F7B"/>
    <w:rsid w:val="00C00554"/>
    <w:rsid w:val="00C00663"/>
    <w:rsid w:val="00C00F13"/>
    <w:rsid w:val="00C00F58"/>
    <w:rsid w:val="00C015CE"/>
    <w:rsid w:val="00C01A2D"/>
    <w:rsid w:val="00C0208D"/>
    <w:rsid w:val="00C0240A"/>
    <w:rsid w:val="00C02540"/>
    <w:rsid w:val="00C027CC"/>
    <w:rsid w:val="00C02A17"/>
    <w:rsid w:val="00C02E98"/>
    <w:rsid w:val="00C03398"/>
    <w:rsid w:val="00C03681"/>
    <w:rsid w:val="00C03966"/>
    <w:rsid w:val="00C04075"/>
    <w:rsid w:val="00C04B7B"/>
    <w:rsid w:val="00C05322"/>
    <w:rsid w:val="00C056C4"/>
    <w:rsid w:val="00C06860"/>
    <w:rsid w:val="00C0688C"/>
    <w:rsid w:val="00C06B41"/>
    <w:rsid w:val="00C06F58"/>
    <w:rsid w:val="00C0709F"/>
    <w:rsid w:val="00C0727B"/>
    <w:rsid w:val="00C077DD"/>
    <w:rsid w:val="00C07EB6"/>
    <w:rsid w:val="00C1095D"/>
    <w:rsid w:val="00C10DAD"/>
    <w:rsid w:val="00C10DC3"/>
    <w:rsid w:val="00C10DD4"/>
    <w:rsid w:val="00C110A8"/>
    <w:rsid w:val="00C113A5"/>
    <w:rsid w:val="00C11740"/>
    <w:rsid w:val="00C11AC8"/>
    <w:rsid w:val="00C11BAA"/>
    <w:rsid w:val="00C11F9C"/>
    <w:rsid w:val="00C12B44"/>
    <w:rsid w:val="00C131C5"/>
    <w:rsid w:val="00C13431"/>
    <w:rsid w:val="00C1370A"/>
    <w:rsid w:val="00C13823"/>
    <w:rsid w:val="00C13AA9"/>
    <w:rsid w:val="00C13ED0"/>
    <w:rsid w:val="00C1441A"/>
    <w:rsid w:val="00C14652"/>
    <w:rsid w:val="00C148EB"/>
    <w:rsid w:val="00C14910"/>
    <w:rsid w:val="00C151F8"/>
    <w:rsid w:val="00C15300"/>
    <w:rsid w:val="00C15716"/>
    <w:rsid w:val="00C15888"/>
    <w:rsid w:val="00C15993"/>
    <w:rsid w:val="00C1599B"/>
    <w:rsid w:val="00C15A80"/>
    <w:rsid w:val="00C15B21"/>
    <w:rsid w:val="00C15B36"/>
    <w:rsid w:val="00C15FA2"/>
    <w:rsid w:val="00C1615F"/>
    <w:rsid w:val="00C16387"/>
    <w:rsid w:val="00C163D1"/>
    <w:rsid w:val="00C1642C"/>
    <w:rsid w:val="00C16AAB"/>
    <w:rsid w:val="00C16D2A"/>
    <w:rsid w:val="00C1707D"/>
    <w:rsid w:val="00C172C4"/>
    <w:rsid w:val="00C172F1"/>
    <w:rsid w:val="00C17389"/>
    <w:rsid w:val="00C17BD3"/>
    <w:rsid w:val="00C17CFF"/>
    <w:rsid w:val="00C2026B"/>
    <w:rsid w:val="00C20C99"/>
    <w:rsid w:val="00C20CCF"/>
    <w:rsid w:val="00C20D22"/>
    <w:rsid w:val="00C20DE6"/>
    <w:rsid w:val="00C2150B"/>
    <w:rsid w:val="00C21517"/>
    <w:rsid w:val="00C215F4"/>
    <w:rsid w:val="00C21615"/>
    <w:rsid w:val="00C216A7"/>
    <w:rsid w:val="00C217E0"/>
    <w:rsid w:val="00C2216E"/>
    <w:rsid w:val="00C222D5"/>
    <w:rsid w:val="00C22DA2"/>
    <w:rsid w:val="00C22F7E"/>
    <w:rsid w:val="00C23311"/>
    <w:rsid w:val="00C23749"/>
    <w:rsid w:val="00C23A6E"/>
    <w:rsid w:val="00C23B88"/>
    <w:rsid w:val="00C23CCB"/>
    <w:rsid w:val="00C245DE"/>
    <w:rsid w:val="00C24FC5"/>
    <w:rsid w:val="00C257DA"/>
    <w:rsid w:val="00C25969"/>
    <w:rsid w:val="00C26013"/>
    <w:rsid w:val="00C260FA"/>
    <w:rsid w:val="00C261AE"/>
    <w:rsid w:val="00C261F2"/>
    <w:rsid w:val="00C264B4"/>
    <w:rsid w:val="00C26934"/>
    <w:rsid w:val="00C2694E"/>
    <w:rsid w:val="00C26FC5"/>
    <w:rsid w:val="00C2787C"/>
    <w:rsid w:val="00C27A44"/>
    <w:rsid w:val="00C30032"/>
    <w:rsid w:val="00C30650"/>
    <w:rsid w:val="00C30F4A"/>
    <w:rsid w:val="00C31297"/>
    <w:rsid w:val="00C31299"/>
    <w:rsid w:val="00C31360"/>
    <w:rsid w:val="00C31381"/>
    <w:rsid w:val="00C3150B"/>
    <w:rsid w:val="00C317B3"/>
    <w:rsid w:val="00C31BF0"/>
    <w:rsid w:val="00C31D10"/>
    <w:rsid w:val="00C3201E"/>
    <w:rsid w:val="00C32533"/>
    <w:rsid w:val="00C32669"/>
    <w:rsid w:val="00C3275D"/>
    <w:rsid w:val="00C32915"/>
    <w:rsid w:val="00C329DA"/>
    <w:rsid w:val="00C32A37"/>
    <w:rsid w:val="00C331B8"/>
    <w:rsid w:val="00C337B7"/>
    <w:rsid w:val="00C3392E"/>
    <w:rsid w:val="00C33995"/>
    <w:rsid w:val="00C33EC7"/>
    <w:rsid w:val="00C33EDD"/>
    <w:rsid w:val="00C33F8A"/>
    <w:rsid w:val="00C34152"/>
    <w:rsid w:val="00C34755"/>
    <w:rsid w:val="00C347D7"/>
    <w:rsid w:val="00C3486E"/>
    <w:rsid w:val="00C34925"/>
    <w:rsid w:val="00C34C91"/>
    <w:rsid w:val="00C35374"/>
    <w:rsid w:val="00C357C4"/>
    <w:rsid w:val="00C35987"/>
    <w:rsid w:val="00C35E0E"/>
    <w:rsid w:val="00C35EBD"/>
    <w:rsid w:val="00C3680D"/>
    <w:rsid w:val="00C37647"/>
    <w:rsid w:val="00C3797F"/>
    <w:rsid w:val="00C37DEE"/>
    <w:rsid w:val="00C40082"/>
    <w:rsid w:val="00C4014B"/>
    <w:rsid w:val="00C40177"/>
    <w:rsid w:val="00C409AF"/>
    <w:rsid w:val="00C40B4D"/>
    <w:rsid w:val="00C40D7A"/>
    <w:rsid w:val="00C40DAB"/>
    <w:rsid w:val="00C40DCD"/>
    <w:rsid w:val="00C40F72"/>
    <w:rsid w:val="00C4108D"/>
    <w:rsid w:val="00C4121C"/>
    <w:rsid w:val="00C41867"/>
    <w:rsid w:val="00C41AEB"/>
    <w:rsid w:val="00C41DCB"/>
    <w:rsid w:val="00C42265"/>
    <w:rsid w:val="00C423F1"/>
    <w:rsid w:val="00C42627"/>
    <w:rsid w:val="00C42A8F"/>
    <w:rsid w:val="00C42D24"/>
    <w:rsid w:val="00C42F79"/>
    <w:rsid w:val="00C43062"/>
    <w:rsid w:val="00C43201"/>
    <w:rsid w:val="00C4333A"/>
    <w:rsid w:val="00C433C5"/>
    <w:rsid w:val="00C43506"/>
    <w:rsid w:val="00C438B5"/>
    <w:rsid w:val="00C43947"/>
    <w:rsid w:val="00C43ABC"/>
    <w:rsid w:val="00C43C13"/>
    <w:rsid w:val="00C43D49"/>
    <w:rsid w:val="00C44209"/>
    <w:rsid w:val="00C44696"/>
    <w:rsid w:val="00C44EDD"/>
    <w:rsid w:val="00C4507C"/>
    <w:rsid w:val="00C4516A"/>
    <w:rsid w:val="00C453C1"/>
    <w:rsid w:val="00C45591"/>
    <w:rsid w:val="00C457FD"/>
    <w:rsid w:val="00C45988"/>
    <w:rsid w:val="00C45A5E"/>
    <w:rsid w:val="00C45B08"/>
    <w:rsid w:val="00C462CF"/>
    <w:rsid w:val="00C466A1"/>
    <w:rsid w:val="00C46895"/>
    <w:rsid w:val="00C468BE"/>
    <w:rsid w:val="00C46C2B"/>
    <w:rsid w:val="00C46E50"/>
    <w:rsid w:val="00C46E60"/>
    <w:rsid w:val="00C47891"/>
    <w:rsid w:val="00C47CE8"/>
    <w:rsid w:val="00C47D04"/>
    <w:rsid w:val="00C50B36"/>
    <w:rsid w:val="00C51113"/>
    <w:rsid w:val="00C51175"/>
    <w:rsid w:val="00C51193"/>
    <w:rsid w:val="00C514B8"/>
    <w:rsid w:val="00C515CF"/>
    <w:rsid w:val="00C517D4"/>
    <w:rsid w:val="00C51C18"/>
    <w:rsid w:val="00C51CE8"/>
    <w:rsid w:val="00C520D9"/>
    <w:rsid w:val="00C52675"/>
    <w:rsid w:val="00C52827"/>
    <w:rsid w:val="00C528A1"/>
    <w:rsid w:val="00C528B8"/>
    <w:rsid w:val="00C52A46"/>
    <w:rsid w:val="00C52AF9"/>
    <w:rsid w:val="00C52C50"/>
    <w:rsid w:val="00C52C54"/>
    <w:rsid w:val="00C52E19"/>
    <w:rsid w:val="00C53082"/>
    <w:rsid w:val="00C5311F"/>
    <w:rsid w:val="00C532C3"/>
    <w:rsid w:val="00C53563"/>
    <w:rsid w:val="00C53572"/>
    <w:rsid w:val="00C538FF"/>
    <w:rsid w:val="00C53940"/>
    <w:rsid w:val="00C53D88"/>
    <w:rsid w:val="00C53EA7"/>
    <w:rsid w:val="00C54411"/>
    <w:rsid w:val="00C54622"/>
    <w:rsid w:val="00C54799"/>
    <w:rsid w:val="00C54CC5"/>
    <w:rsid w:val="00C55698"/>
    <w:rsid w:val="00C55AAC"/>
    <w:rsid w:val="00C55D24"/>
    <w:rsid w:val="00C56065"/>
    <w:rsid w:val="00C56373"/>
    <w:rsid w:val="00C563A3"/>
    <w:rsid w:val="00C56730"/>
    <w:rsid w:val="00C56758"/>
    <w:rsid w:val="00C56AB3"/>
    <w:rsid w:val="00C56D9C"/>
    <w:rsid w:val="00C57149"/>
    <w:rsid w:val="00C575DE"/>
    <w:rsid w:val="00C6029C"/>
    <w:rsid w:val="00C602EF"/>
    <w:rsid w:val="00C604F9"/>
    <w:rsid w:val="00C609C0"/>
    <w:rsid w:val="00C60DE7"/>
    <w:rsid w:val="00C60F00"/>
    <w:rsid w:val="00C60F85"/>
    <w:rsid w:val="00C61048"/>
    <w:rsid w:val="00C61351"/>
    <w:rsid w:val="00C613AC"/>
    <w:rsid w:val="00C61661"/>
    <w:rsid w:val="00C616BE"/>
    <w:rsid w:val="00C61A0B"/>
    <w:rsid w:val="00C61B2F"/>
    <w:rsid w:val="00C61DB9"/>
    <w:rsid w:val="00C630BE"/>
    <w:rsid w:val="00C639CD"/>
    <w:rsid w:val="00C63BCF"/>
    <w:rsid w:val="00C63C78"/>
    <w:rsid w:val="00C63D5B"/>
    <w:rsid w:val="00C64815"/>
    <w:rsid w:val="00C64841"/>
    <w:rsid w:val="00C64AE4"/>
    <w:rsid w:val="00C64F63"/>
    <w:rsid w:val="00C65170"/>
    <w:rsid w:val="00C655A4"/>
    <w:rsid w:val="00C65772"/>
    <w:rsid w:val="00C65B3A"/>
    <w:rsid w:val="00C65CDD"/>
    <w:rsid w:val="00C65E17"/>
    <w:rsid w:val="00C65EBE"/>
    <w:rsid w:val="00C6646F"/>
    <w:rsid w:val="00C66DA5"/>
    <w:rsid w:val="00C66DC0"/>
    <w:rsid w:val="00C66E1C"/>
    <w:rsid w:val="00C66E2A"/>
    <w:rsid w:val="00C67092"/>
    <w:rsid w:val="00C67205"/>
    <w:rsid w:val="00C67472"/>
    <w:rsid w:val="00C6747E"/>
    <w:rsid w:val="00C67775"/>
    <w:rsid w:val="00C67DC1"/>
    <w:rsid w:val="00C67E18"/>
    <w:rsid w:val="00C7018F"/>
    <w:rsid w:val="00C70556"/>
    <w:rsid w:val="00C70915"/>
    <w:rsid w:val="00C709ED"/>
    <w:rsid w:val="00C70A6B"/>
    <w:rsid w:val="00C70B92"/>
    <w:rsid w:val="00C70BAB"/>
    <w:rsid w:val="00C713F9"/>
    <w:rsid w:val="00C7143A"/>
    <w:rsid w:val="00C71458"/>
    <w:rsid w:val="00C7158D"/>
    <w:rsid w:val="00C71771"/>
    <w:rsid w:val="00C71832"/>
    <w:rsid w:val="00C71EB6"/>
    <w:rsid w:val="00C723C6"/>
    <w:rsid w:val="00C72628"/>
    <w:rsid w:val="00C72967"/>
    <w:rsid w:val="00C7311E"/>
    <w:rsid w:val="00C73196"/>
    <w:rsid w:val="00C741F6"/>
    <w:rsid w:val="00C744E2"/>
    <w:rsid w:val="00C74617"/>
    <w:rsid w:val="00C747BF"/>
    <w:rsid w:val="00C74CA8"/>
    <w:rsid w:val="00C74DCB"/>
    <w:rsid w:val="00C7520C"/>
    <w:rsid w:val="00C75236"/>
    <w:rsid w:val="00C75484"/>
    <w:rsid w:val="00C75531"/>
    <w:rsid w:val="00C75B06"/>
    <w:rsid w:val="00C75B7D"/>
    <w:rsid w:val="00C75E98"/>
    <w:rsid w:val="00C7641C"/>
    <w:rsid w:val="00C76E7E"/>
    <w:rsid w:val="00C77071"/>
    <w:rsid w:val="00C7710B"/>
    <w:rsid w:val="00C77196"/>
    <w:rsid w:val="00C7743C"/>
    <w:rsid w:val="00C77816"/>
    <w:rsid w:val="00C77A6E"/>
    <w:rsid w:val="00C8038A"/>
    <w:rsid w:val="00C805D9"/>
    <w:rsid w:val="00C805FE"/>
    <w:rsid w:val="00C80B68"/>
    <w:rsid w:val="00C80C77"/>
    <w:rsid w:val="00C80E0F"/>
    <w:rsid w:val="00C80F50"/>
    <w:rsid w:val="00C81011"/>
    <w:rsid w:val="00C8118F"/>
    <w:rsid w:val="00C8143A"/>
    <w:rsid w:val="00C8156F"/>
    <w:rsid w:val="00C815FA"/>
    <w:rsid w:val="00C8162C"/>
    <w:rsid w:val="00C81B30"/>
    <w:rsid w:val="00C81B54"/>
    <w:rsid w:val="00C81DB8"/>
    <w:rsid w:val="00C829E9"/>
    <w:rsid w:val="00C829EE"/>
    <w:rsid w:val="00C83036"/>
    <w:rsid w:val="00C830EA"/>
    <w:rsid w:val="00C8386D"/>
    <w:rsid w:val="00C83F60"/>
    <w:rsid w:val="00C8473B"/>
    <w:rsid w:val="00C85087"/>
    <w:rsid w:val="00C85361"/>
    <w:rsid w:val="00C8538A"/>
    <w:rsid w:val="00C854C0"/>
    <w:rsid w:val="00C8550D"/>
    <w:rsid w:val="00C855F7"/>
    <w:rsid w:val="00C858B2"/>
    <w:rsid w:val="00C85C06"/>
    <w:rsid w:val="00C85EAF"/>
    <w:rsid w:val="00C85F71"/>
    <w:rsid w:val="00C8631E"/>
    <w:rsid w:val="00C86850"/>
    <w:rsid w:val="00C868B0"/>
    <w:rsid w:val="00C8690C"/>
    <w:rsid w:val="00C86ABE"/>
    <w:rsid w:val="00C86B73"/>
    <w:rsid w:val="00C87086"/>
    <w:rsid w:val="00C87195"/>
    <w:rsid w:val="00C874CA"/>
    <w:rsid w:val="00C8753B"/>
    <w:rsid w:val="00C87B9D"/>
    <w:rsid w:val="00C87C75"/>
    <w:rsid w:val="00C90325"/>
    <w:rsid w:val="00C904E0"/>
    <w:rsid w:val="00C90C57"/>
    <w:rsid w:val="00C90EDA"/>
    <w:rsid w:val="00C910F2"/>
    <w:rsid w:val="00C911D1"/>
    <w:rsid w:val="00C91807"/>
    <w:rsid w:val="00C9198D"/>
    <w:rsid w:val="00C91AB7"/>
    <w:rsid w:val="00C91D2D"/>
    <w:rsid w:val="00C91DFD"/>
    <w:rsid w:val="00C922CA"/>
    <w:rsid w:val="00C925AB"/>
    <w:rsid w:val="00C926CC"/>
    <w:rsid w:val="00C9274C"/>
    <w:rsid w:val="00C92BB8"/>
    <w:rsid w:val="00C92CC2"/>
    <w:rsid w:val="00C931DA"/>
    <w:rsid w:val="00C93295"/>
    <w:rsid w:val="00C932F3"/>
    <w:rsid w:val="00C93AB1"/>
    <w:rsid w:val="00C93BEE"/>
    <w:rsid w:val="00C94108"/>
    <w:rsid w:val="00C9433F"/>
    <w:rsid w:val="00C94700"/>
    <w:rsid w:val="00C9494D"/>
    <w:rsid w:val="00C94C07"/>
    <w:rsid w:val="00C9548F"/>
    <w:rsid w:val="00C9582E"/>
    <w:rsid w:val="00C95859"/>
    <w:rsid w:val="00C95A8E"/>
    <w:rsid w:val="00C95FDC"/>
    <w:rsid w:val="00C963E5"/>
    <w:rsid w:val="00C96967"/>
    <w:rsid w:val="00C969D9"/>
    <w:rsid w:val="00C96A56"/>
    <w:rsid w:val="00C96B74"/>
    <w:rsid w:val="00C9770A"/>
    <w:rsid w:val="00C97746"/>
    <w:rsid w:val="00C977DF"/>
    <w:rsid w:val="00C97C4D"/>
    <w:rsid w:val="00C97E04"/>
    <w:rsid w:val="00C97F1D"/>
    <w:rsid w:val="00C97F1E"/>
    <w:rsid w:val="00CA023B"/>
    <w:rsid w:val="00CA03AE"/>
    <w:rsid w:val="00CA0449"/>
    <w:rsid w:val="00CA0B7D"/>
    <w:rsid w:val="00CA11C8"/>
    <w:rsid w:val="00CA1403"/>
    <w:rsid w:val="00CA17EB"/>
    <w:rsid w:val="00CA1A55"/>
    <w:rsid w:val="00CA1CB3"/>
    <w:rsid w:val="00CA207F"/>
    <w:rsid w:val="00CA20EE"/>
    <w:rsid w:val="00CA25A3"/>
    <w:rsid w:val="00CA2600"/>
    <w:rsid w:val="00CA26BA"/>
    <w:rsid w:val="00CA3136"/>
    <w:rsid w:val="00CA3222"/>
    <w:rsid w:val="00CA3486"/>
    <w:rsid w:val="00CA3629"/>
    <w:rsid w:val="00CA3743"/>
    <w:rsid w:val="00CA3864"/>
    <w:rsid w:val="00CA3B75"/>
    <w:rsid w:val="00CA3E55"/>
    <w:rsid w:val="00CA400D"/>
    <w:rsid w:val="00CA48CF"/>
    <w:rsid w:val="00CA49A0"/>
    <w:rsid w:val="00CA49F0"/>
    <w:rsid w:val="00CA4E6D"/>
    <w:rsid w:val="00CA594B"/>
    <w:rsid w:val="00CA597E"/>
    <w:rsid w:val="00CA5BAD"/>
    <w:rsid w:val="00CA6255"/>
    <w:rsid w:val="00CA6D5C"/>
    <w:rsid w:val="00CA723A"/>
    <w:rsid w:val="00CA73ED"/>
    <w:rsid w:val="00CA75A9"/>
    <w:rsid w:val="00CA75F1"/>
    <w:rsid w:val="00CA7D54"/>
    <w:rsid w:val="00CA7EC4"/>
    <w:rsid w:val="00CA7F4F"/>
    <w:rsid w:val="00CB0432"/>
    <w:rsid w:val="00CB1415"/>
    <w:rsid w:val="00CB1651"/>
    <w:rsid w:val="00CB18DE"/>
    <w:rsid w:val="00CB1BCE"/>
    <w:rsid w:val="00CB1F43"/>
    <w:rsid w:val="00CB23BE"/>
    <w:rsid w:val="00CB2566"/>
    <w:rsid w:val="00CB2A77"/>
    <w:rsid w:val="00CB2C4E"/>
    <w:rsid w:val="00CB2E03"/>
    <w:rsid w:val="00CB2E0E"/>
    <w:rsid w:val="00CB3211"/>
    <w:rsid w:val="00CB419C"/>
    <w:rsid w:val="00CB450B"/>
    <w:rsid w:val="00CB46E9"/>
    <w:rsid w:val="00CB46EC"/>
    <w:rsid w:val="00CB47C2"/>
    <w:rsid w:val="00CB4877"/>
    <w:rsid w:val="00CB4B1A"/>
    <w:rsid w:val="00CB5026"/>
    <w:rsid w:val="00CB51EF"/>
    <w:rsid w:val="00CB5B31"/>
    <w:rsid w:val="00CB5D8E"/>
    <w:rsid w:val="00CB5E0A"/>
    <w:rsid w:val="00CB5E41"/>
    <w:rsid w:val="00CB67F4"/>
    <w:rsid w:val="00CB6CA9"/>
    <w:rsid w:val="00CB7252"/>
    <w:rsid w:val="00CB7957"/>
    <w:rsid w:val="00CB79E7"/>
    <w:rsid w:val="00CB7F11"/>
    <w:rsid w:val="00CC0029"/>
    <w:rsid w:val="00CC02C9"/>
    <w:rsid w:val="00CC0338"/>
    <w:rsid w:val="00CC0390"/>
    <w:rsid w:val="00CC1293"/>
    <w:rsid w:val="00CC1E85"/>
    <w:rsid w:val="00CC2D44"/>
    <w:rsid w:val="00CC2F03"/>
    <w:rsid w:val="00CC3237"/>
    <w:rsid w:val="00CC34E5"/>
    <w:rsid w:val="00CC3A07"/>
    <w:rsid w:val="00CC3BD8"/>
    <w:rsid w:val="00CC3BDC"/>
    <w:rsid w:val="00CC3C61"/>
    <w:rsid w:val="00CC3C7D"/>
    <w:rsid w:val="00CC3F6D"/>
    <w:rsid w:val="00CC425D"/>
    <w:rsid w:val="00CC4264"/>
    <w:rsid w:val="00CC52A4"/>
    <w:rsid w:val="00CC5319"/>
    <w:rsid w:val="00CC5D66"/>
    <w:rsid w:val="00CC6556"/>
    <w:rsid w:val="00CC6688"/>
    <w:rsid w:val="00CC680E"/>
    <w:rsid w:val="00CC6B58"/>
    <w:rsid w:val="00CC73F4"/>
    <w:rsid w:val="00CC78B3"/>
    <w:rsid w:val="00CC7CE5"/>
    <w:rsid w:val="00CD02D9"/>
    <w:rsid w:val="00CD04FE"/>
    <w:rsid w:val="00CD0809"/>
    <w:rsid w:val="00CD0969"/>
    <w:rsid w:val="00CD0D85"/>
    <w:rsid w:val="00CD0DE0"/>
    <w:rsid w:val="00CD105C"/>
    <w:rsid w:val="00CD1E12"/>
    <w:rsid w:val="00CD1EA9"/>
    <w:rsid w:val="00CD1F5F"/>
    <w:rsid w:val="00CD1FF2"/>
    <w:rsid w:val="00CD21FD"/>
    <w:rsid w:val="00CD234B"/>
    <w:rsid w:val="00CD24E9"/>
    <w:rsid w:val="00CD2974"/>
    <w:rsid w:val="00CD2CA3"/>
    <w:rsid w:val="00CD2CB4"/>
    <w:rsid w:val="00CD2F7C"/>
    <w:rsid w:val="00CD31BB"/>
    <w:rsid w:val="00CD34DE"/>
    <w:rsid w:val="00CD3A05"/>
    <w:rsid w:val="00CD4161"/>
    <w:rsid w:val="00CD4519"/>
    <w:rsid w:val="00CD4AAA"/>
    <w:rsid w:val="00CD4AB5"/>
    <w:rsid w:val="00CD593D"/>
    <w:rsid w:val="00CD5A8E"/>
    <w:rsid w:val="00CD5B3A"/>
    <w:rsid w:val="00CD5D34"/>
    <w:rsid w:val="00CD60E3"/>
    <w:rsid w:val="00CD6217"/>
    <w:rsid w:val="00CD672C"/>
    <w:rsid w:val="00CD7684"/>
    <w:rsid w:val="00CD783C"/>
    <w:rsid w:val="00CD7A82"/>
    <w:rsid w:val="00CD7DC9"/>
    <w:rsid w:val="00CD7F51"/>
    <w:rsid w:val="00CE0128"/>
    <w:rsid w:val="00CE0324"/>
    <w:rsid w:val="00CE0CB7"/>
    <w:rsid w:val="00CE0F33"/>
    <w:rsid w:val="00CE151F"/>
    <w:rsid w:val="00CE1557"/>
    <w:rsid w:val="00CE19FE"/>
    <w:rsid w:val="00CE1EA8"/>
    <w:rsid w:val="00CE2804"/>
    <w:rsid w:val="00CE2B6A"/>
    <w:rsid w:val="00CE30E4"/>
    <w:rsid w:val="00CE3103"/>
    <w:rsid w:val="00CE3288"/>
    <w:rsid w:val="00CE3519"/>
    <w:rsid w:val="00CE3594"/>
    <w:rsid w:val="00CE362D"/>
    <w:rsid w:val="00CE36D0"/>
    <w:rsid w:val="00CE3706"/>
    <w:rsid w:val="00CE37AD"/>
    <w:rsid w:val="00CE3D75"/>
    <w:rsid w:val="00CE3E42"/>
    <w:rsid w:val="00CE3F4B"/>
    <w:rsid w:val="00CE4016"/>
    <w:rsid w:val="00CE4560"/>
    <w:rsid w:val="00CE4A52"/>
    <w:rsid w:val="00CE53DC"/>
    <w:rsid w:val="00CE5780"/>
    <w:rsid w:val="00CE59A7"/>
    <w:rsid w:val="00CE5A9D"/>
    <w:rsid w:val="00CE5DB3"/>
    <w:rsid w:val="00CE637D"/>
    <w:rsid w:val="00CE64E3"/>
    <w:rsid w:val="00CE653D"/>
    <w:rsid w:val="00CE657E"/>
    <w:rsid w:val="00CE6615"/>
    <w:rsid w:val="00CE6867"/>
    <w:rsid w:val="00CE691D"/>
    <w:rsid w:val="00CE6C26"/>
    <w:rsid w:val="00CE70E3"/>
    <w:rsid w:val="00CE73CD"/>
    <w:rsid w:val="00CE7A4C"/>
    <w:rsid w:val="00CE7B08"/>
    <w:rsid w:val="00CE7E10"/>
    <w:rsid w:val="00CE7FBC"/>
    <w:rsid w:val="00CF0383"/>
    <w:rsid w:val="00CF03CC"/>
    <w:rsid w:val="00CF06BF"/>
    <w:rsid w:val="00CF0B69"/>
    <w:rsid w:val="00CF0BAB"/>
    <w:rsid w:val="00CF0F42"/>
    <w:rsid w:val="00CF178D"/>
    <w:rsid w:val="00CF29B2"/>
    <w:rsid w:val="00CF2C1C"/>
    <w:rsid w:val="00CF30AF"/>
    <w:rsid w:val="00CF32A9"/>
    <w:rsid w:val="00CF3781"/>
    <w:rsid w:val="00CF39B9"/>
    <w:rsid w:val="00CF3C1B"/>
    <w:rsid w:val="00CF3E07"/>
    <w:rsid w:val="00CF4070"/>
    <w:rsid w:val="00CF41A1"/>
    <w:rsid w:val="00CF439F"/>
    <w:rsid w:val="00CF4567"/>
    <w:rsid w:val="00CF45B3"/>
    <w:rsid w:val="00CF49CC"/>
    <w:rsid w:val="00CF521E"/>
    <w:rsid w:val="00CF5834"/>
    <w:rsid w:val="00CF5A65"/>
    <w:rsid w:val="00CF5AC8"/>
    <w:rsid w:val="00CF5DCD"/>
    <w:rsid w:val="00CF5DF6"/>
    <w:rsid w:val="00CF5E8D"/>
    <w:rsid w:val="00CF5F94"/>
    <w:rsid w:val="00CF605E"/>
    <w:rsid w:val="00CF666D"/>
    <w:rsid w:val="00CF6702"/>
    <w:rsid w:val="00CF67CA"/>
    <w:rsid w:val="00CF6C74"/>
    <w:rsid w:val="00CF6E7B"/>
    <w:rsid w:val="00CF7262"/>
    <w:rsid w:val="00CF7941"/>
    <w:rsid w:val="00CF7C56"/>
    <w:rsid w:val="00CF7D3B"/>
    <w:rsid w:val="00D00048"/>
    <w:rsid w:val="00D0004D"/>
    <w:rsid w:val="00D000A2"/>
    <w:rsid w:val="00D0053B"/>
    <w:rsid w:val="00D00D08"/>
    <w:rsid w:val="00D0104F"/>
    <w:rsid w:val="00D0105E"/>
    <w:rsid w:val="00D011D5"/>
    <w:rsid w:val="00D012B7"/>
    <w:rsid w:val="00D012C6"/>
    <w:rsid w:val="00D0164D"/>
    <w:rsid w:val="00D01B41"/>
    <w:rsid w:val="00D01BA4"/>
    <w:rsid w:val="00D022DE"/>
    <w:rsid w:val="00D027C4"/>
    <w:rsid w:val="00D02848"/>
    <w:rsid w:val="00D02889"/>
    <w:rsid w:val="00D02BB7"/>
    <w:rsid w:val="00D02DEE"/>
    <w:rsid w:val="00D02F10"/>
    <w:rsid w:val="00D0330C"/>
    <w:rsid w:val="00D0335C"/>
    <w:rsid w:val="00D03576"/>
    <w:rsid w:val="00D03732"/>
    <w:rsid w:val="00D038E4"/>
    <w:rsid w:val="00D03A21"/>
    <w:rsid w:val="00D03F8A"/>
    <w:rsid w:val="00D040CE"/>
    <w:rsid w:val="00D042D4"/>
    <w:rsid w:val="00D04576"/>
    <w:rsid w:val="00D047D8"/>
    <w:rsid w:val="00D048B8"/>
    <w:rsid w:val="00D04A11"/>
    <w:rsid w:val="00D0509D"/>
    <w:rsid w:val="00D05394"/>
    <w:rsid w:val="00D0567F"/>
    <w:rsid w:val="00D05680"/>
    <w:rsid w:val="00D05875"/>
    <w:rsid w:val="00D05BB5"/>
    <w:rsid w:val="00D05D0E"/>
    <w:rsid w:val="00D060FD"/>
    <w:rsid w:val="00D06416"/>
    <w:rsid w:val="00D0657F"/>
    <w:rsid w:val="00D06792"/>
    <w:rsid w:val="00D06DE1"/>
    <w:rsid w:val="00D06F5A"/>
    <w:rsid w:val="00D0723C"/>
    <w:rsid w:val="00D07832"/>
    <w:rsid w:val="00D07A80"/>
    <w:rsid w:val="00D10260"/>
    <w:rsid w:val="00D10696"/>
    <w:rsid w:val="00D108F3"/>
    <w:rsid w:val="00D10E83"/>
    <w:rsid w:val="00D11246"/>
    <w:rsid w:val="00D11856"/>
    <w:rsid w:val="00D1191A"/>
    <w:rsid w:val="00D11AFE"/>
    <w:rsid w:val="00D11C6A"/>
    <w:rsid w:val="00D122B0"/>
    <w:rsid w:val="00D12327"/>
    <w:rsid w:val="00D1236F"/>
    <w:rsid w:val="00D124D1"/>
    <w:rsid w:val="00D127FF"/>
    <w:rsid w:val="00D12855"/>
    <w:rsid w:val="00D13030"/>
    <w:rsid w:val="00D13070"/>
    <w:rsid w:val="00D132A0"/>
    <w:rsid w:val="00D14CB6"/>
    <w:rsid w:val="00D15125"/>
    <w:rsid w:val="00D153BB"/>
    <w:rsid w:val="00D153F8"/>
    <w:rsid w:val="00D15509"/>
    <w:rsid w:val="00D1581B"/>
    <w:rsid w:val="00D15947"/>
    <w:rsid w:val="00D15F2F"/>
    <w:rsid w:val="00D160EA"/>
    <w:rsid w:val="00D16DDF"/>
    <w:rsid w:val="00D17339"/>
    <w:rsid w:val="00D173FE"/>
    <w:rsid w:val="00D207CD"/>
    <w:rsid w:val="00D20B96"/>
    <w:rsid w:val="00D20D70"/>
    <w:rsid w:val="00D21086"/>
    <w:rsid w:val="00D21608"/>
    <w:rsid w:val="00D2164E"/>
    <w:rsid w:val="00D22873"/>
    <w:rsid w:val="00D229FC"/>
    <w:rsid w:val="00D22A42"/>
    <w:rsid w:val="00D22B29"/>
    <w:rsid w:val="00D2321E"/>
    <w:rsid w:val="00D2389A"/>
    <w:rsid w:val="00D23D44"/>
    <w:rsid w:val="00D2407D"/>
    <w:rsid w:val="00D2419A"/>
    <w:rsid w:val="00D24673"/>
    <w:rsid w:val="00D247E6"/>
    <w:rsid w:val="00D24996"/>
    <w:rsid w:val="00D24A41"/>
    <w:rsid w:val="00D24E9F"/>
    <w:rsid w:val="00D2524B"/>
    <w:rsid w:val="00D25C9B"/>
    <w:rsid w:val="00D2619B"/>
    <w:rsid w:val="00D262EF"/>
    <w:rsid w:val="00D263BA"/>
    <w:rsid w:val="00D26B3D"/>
    <w:rsid w:val="00D26C1C"/>
    <w:rsid w:val="00D26D69"/>
    <w:rsid w:val="00D26EA0"/>
    <w:rsid w:val="00D270A9"/>
    <w:rsid w:val="00D27410"/>
    <w:rsid w:val="00D2752D"/>
    <w:rsid w:val="00D278A9"/>
    <w:rsid w:val="00D27B22"/>
    <w:rsid w:val="00D30233"/>
    <w:rsid w:val="00D308E6"/>
    <w:rsid w:val="00D30FE2"/>
    <w:rsid w:val="00D3120E"/>
    <w:rsid w:val="00D31B9A"/>
    <w:rsid w:val="00D31EA0"/>
    <w:rsid w:val="00D32BF6"/>
    <w:rsid w:val="00D32BF8"/>
    <w:rsid w:val="00D32D70"/>
    <w:rsid w:val="00D33174"/>
    <w:rsid w:val="00D331B9"/>
    <w:rsid w:val="00D337B3"/>
    <w:rsid w:val="00D33908"/>
    <w:rsid w:val="00D33D9F"/>
    <w:rsid w:val="00D34C79"/>
    <w:rsid w:val="00D35116"/>
    <w:rsid w:val="00D3591D"/>
    <w:rsid w:val="00D35A51"/>
    <w:rsid w:val="00D35D59"/>
    <w:rsid w:val="00D36044"/>
    <w:rsid w:val="00D364D0"/>
    <w:rsid w:val="00D364F1"/>
    <w:rsid w:val="00D36BF5"/>
    <w:rsid w:val="00D36ED2"/>
    <w:rsid w:val="00D3714D"/>
    <w:rsid w:val="00D3723D"/>
    <w:rsid w:val="00D372C7"/>
    <w:rsid w:val="00D375AB"/>
    <w:rsid w:val="00D37E8E"/>
    <w:rsid w:val="00D40166"/>
    <w:rsid w:val="00D4021A"/>
    <w:rsid w:val="00D402B5"/>
    <w:rsid w:val="00D40339"/>
    <w:rsid w:val="00D404B2"/>
    <w:rsid w:val="00D4083B"/>
    <w:rsid w:val="00D408CA"/>
    <w:rsid w:val="00D40E6F"/>
    <w:rsid w:val="00D410ED"/>
    <w:rsid w:val="00D4159E"/>
    <w:rsid w:val="00D4195C"/>
    <w:rsid w:val="00D41B6B"/>
    <w:rsid w:val="00D41CC3"/>
    <w:rsid w:val="00D41E88"/>
    <w:rsid w:val="00D425DF"/>
    <w:rsid w:val="00D425EA"/>
    <w:rsid w:val="00D42663"/>
    <w:rsid w:val="00D426D9"/>
    <w:rsid w:val="00D4273D"/>
    <w:rsid w:val="00D429D6"/>
    <w:rsid w:val="00D42E60"/>
    <w:rsid w:val="00D430FD"/>
    <w:rsid w:val="00D43381"/>
    <w:rsid w:val="00D435C1"/>
    <w:rsid w:val="00D43EF2"/>
    <w:rsid w:val="00D4452D"/>
    <w:rsid w:val="00D44916"/>
    <w:rsid w:val="00D44AD2"/>
    <w:rsid w:val="00D4509B"/>
    <w:rsid w:val="00D45317"/>
    <w:rsid w:val="00D456B3"/>
    <w:rsid w:val="00D45A56"/>
    <w:rsid w:val="00D45DA0"/>
    <w:rsid w:val="00D45DA8"/>
    <w:rsid w:val="00D45E1B"/>
    <w:rsid w:val="00D45FE0"/>
    <w:rsid w:val="00D46FFB"/>
    <w:rsid w:val="00D475E7"/>
    <w:rsid w:val="00D47614"/>
    <w:rsid w:val="00D47AE9"/>
    <w:rsid w:val="00D47D0E"/>
    <w:rsid w:val="00D47D3E"/>
    <w:rsid w:val="00D505F9"/>
    <w:rsid w:val="00D508D4"/>
    <w:rsid w:val="00D50D4B"/>
    <w:rsid w:val="00D51494"/>
    <w:rsid w:val="00D51531"/>
    <w:rsid w:val="00D515D9"/>
    <w:rsid w:val="00D51765"/>
    <w:rsid w:val="00D51D3D"/>
    <w:rsid w:val="00D51E18"/>
    <w:rsid w:val="00D52064"/>
    <w:rsid w:val="00D5208B"/>
    <w:rsid w:val="00D5215D"/>
    <w:rsid w:val="00D521AA"/>
    <w:rsid w:val="00D526B7"/>
    <w:rsid w:val="00D52752"/>
    <w:rsid w:val="00D52A92"/>
    <w:rsid w:val="00D52ADD"/>
    <w:rsid w:val="00D52B5C"/>
    <w:rsid w:val="00D52C90"/>
    <w:rsid w:val="00D52DC6"/>
    <w:rsid w:val="00D53120"/>
    <w:rsid w:val="00D533C4"/>
    <w:rsid w:val="00D53750"/>
    <w:rsid w:val="00D53EAF"/>
    <w:rsid w:val="00D545CF"/>
    <w:rsid w:val="00D546F2"/>
    <w:rsid w:val="00D547BD"/>
    <w:rsid w:val="00D549CA"/>
    <w:rsid w:val="00D5547E"/>
    <w:rsid w:val="00D5568D"/>
    <w:rsid w:val="00D5583C"/>
    <w:rsid w:val="00D55DCF"/>
    <w:rsid w:val="00D55E4F"/>
    <w:rsid w:val="00D5659F"/>
    <w:rsid w:val="00D567EC"/>
    <w:rsid w:val="00D573BE"/>
    <w:rsid w:val="00D573FE"/>
    <w:rsid w:val="00D5746C"/>
    <w:rsid w:val="00D578FD"/>
    <w:rsid w:val="00D57AEF"/>
    <w:rsid w:val="00D60225"/>
    <w:rsid w:val="00D60445"/>
    <w:rsid w:val="00D60913"/>
    <w:rsid w:val="00D60FD1"/>
    <w:rsid w:val="00D61384"/>
    <w:rsid w:val="00D61F5E"/>
    <w:rsid w:val="00D623B2"/>
    <w:rsid w:val="00D624E2"/>
    <w:rsid w:val="00D62689"/>
    <w:rsid w:val="00D6286B"/>
    <w:rsid w:val="00D62A33"/>
    <w:rsid w:val="00D62AF3"/>
    <w:rsid w:val="00D631DE"/>
    <w:rsid w:val="00D63502"/>
    <w:rsid w:val="00D63893"/>
    <w:rsid w:val="00D63AA9"/>
    <w:rsid w:val="00D63D4A"/>
    <w:rsid w:val="00D63DFC"/>
    <w:rsid w:val="00D63E89"/>
    <w:rsid w:val="00D64491"/>
    <w:rsid w:val="00D646B2"/>
    <w:rsid w:val="00D647E5"/>
    <w:rsid w:val="00D64D9E"/>
    <w:rsid w:val="00D64E65"/>
    <w:rsid w:val="00D64E98"/>
    <w:rsid w:val="00D660D9"/>
    <w:rsid w:val="00D664FB"/>
    <w:rsid w:val="00D6670F"/>
    <w:rsid w:val="00D6675A"/>
    <w:rsid w:val="00D66773"/>
    <w:rsid w:val="00D66AE1"/>
    <w:rsid w:val="00D66B7B"/>
    <w:rsid w:val="00D66BA8"/>
    <w:rsid w:val="00D66E1F"/>
    <w:rsid w:val="00D66FD1"/>
    <w:rsid w:val="00D67020"/>
    <w:rsid w:val="00D67025"/>
    <w:rsid w:val="00D675F7"/>
    <w:rsid w:val="00D67C28"/>
    <w:rsid w:val="00D705EF"/>
    <w:rsid w:val="00D70747"/>
    <w:rsid w:val="00D71142"/>
    <w:rsid w:val="00D717F2"/>
    <w:rsid w:val="00D71B6E"/>
    <w:rsid w:val="00D72687"/>
    <w:rsid w:val="00D727F1"/>
    <w:rsid w:val="00D72876"/>
    <w:rsid w:val="00D7289E"/>
    <w:rsid w:val="00D72CC6"/>
    <w:rsid w:val="00D72EBB"/>
    <w:rsid w:val="00D731C0"/>
    <w:rsid w:val="00D73719"/>
    <w:rsid w:val="00D73F7B"/>
    <w:rsid w:val="00D742CB"/>
    <w:rsid w:val="00D7483A"/>
    <w:rsid w:val="00D74CC6"/>
    <w:rsid w:val="00D75B46"/>
    <w:rsid w:val="00D75BF0"/>
    <w:rsid w:val="00D75DA3"/>
    <w:rsid w:val="00D75DA4"/>
    <w:rsid w:val="00D75FDB"/>
    <w:rsid w:val="00D7611C"/>
    <w:rsid w:val="00D76429"/>
    <w:rsid w:val="00D767F4"/>
    <w:rsid w:val="00D7685C"/>
    <w:rsid w:val="00D7691A"/>
    <w:rsid w:val="00D7692C"/>
    <w:rsid w:val="00D76B4C"/>
    <w:rsid w:val="00D76DBC"/>
    <w:rsid w:val="00D7781B"/>
    <w:rsid w:val="00D77A45"/>
    <w:rsid w:val="00D77D67"/>
    <w:rsid w:val="00D77E77"/>
    <w:rsid w:val="00D80038"/>
    <w:rsid w:val="00D801E1"/>
    <w:rsid w:val="00D80433"/>
    <w:rsid w:val="00D804B3"/>
    <w:rsid w:val="00D8059A"/>
    <w:rsid w:val="00D806DF"/>
    <w:rsid w:val="00D80B97"/>
    <w:rsid w:val="00D8102D"/>
    <w:rsid w:val="00D8123E"/>
    <w:rsid w:val="00D81422"/>
    <w:rsid w:val="00D81B27"/>
    <w:rsid w:val="00D81D1E"/>
    <w:rsid w:val="00D8238C"/>
    <w:rsid w:val="00D8264B"/>
    <w:rsid w:val="00D827D8"/>
    <w:rsid w:val="00D82AE6"/>
    <w:rsid w:val="00D82B7C"/>
    <w:rsid w:val="00D83104"/>
    <w:rsid w:val="00D8337A"/>
    <w:rsid w:val="00D833CA"/>
    <w:rsid w:val="00D83EB6"/>
    <w:rsid w:val="00D83FE2"/>
    <w:rsid w:val="00D8480B"/>
    <w:rsid w:val="00D84B43"/>
    <w:rsid w:val="00D85017"/>
    <w:rsid w:val="00D851BA"/>
    <w:rsid w:val="00D8538C"/>
    <w:rsid w:val="00D85CAD"/>
    <w:rsid w:val="00D85D8C"/>
    <w:rsid w:val="00D85F02"/>
    <w:rsid w:val="00D8610E"/>
    <w:rsid w:val="00D861F5"/>
    <w:rsid w:val="00D864A6"/>
    <w:rsid w:val="00D86621"/>
    <w:rsid w:val="00D86913"/>
    <w:rsid w:val="00D869BA"/>
    <w:rsid w:val="00D86B9D"/>
    <w:rsid w:val="00D86CC2"/>
    <w:rsid w:val="00D87169"/>
    <w:rsid w:val="00D871D8"/>
    <w:rsid w:val="00D878CB"/>
    <w:rsid w:val="00D9013D"/>
    <w:rsid w:val="00D90187"/>
    <w:rsid w:val="00D90350"/>
    <w:rsid w:val="00D903F4"/>
    <w:rsid w:val="00D905D3"/>
    <w:rsid w:val="00D90D5C"/>
    <w:rsid w:val="00D91482"/>
    <w:rsid w:val="00D91717"/>
    <w:rsid w:val="00D917A6"/>
    <w:rsid w:val="00D91CF1"/>
    <w:rsid w:val="00D91F72"/>
    <w:rsid w:val="00D92138"/>
    <w:rsid w:val="00D92639"/>
    <w:rsid w:val="00D92A42"/>
    <w:rsid w:val="00D92DF2"/>
    <w:rsid w:val="00D93539"/>
    <w:rsid w:val="00D9356A"/>
    <w:rsid w:val="00D9392C"/>
    <w:rsid w:val="00D93AC8"/>
    <w:rsid w:val="00D93AF2"/>
    <w:rsid w:val="00D93DA6"/>
    <w:rsid w:val="00D94431"/>
    <w:rsid w:val="00D94AFB"/>
    <w:rsid w:val="00D94B5F"/>
    <w:rsid w:val="00D9525A"/>
    <w:rsid w:val="00D95511"/>
    <w:rsid w:val="00D9553A"/>
    <w:rsid w:val="00D9558A"/>
    <w:rsid w:val="00D956D0"/>
    <w:rsid w:val="00D9591F"/>
    <w:rsid w:val="00D95E0D"/>
    <w:rsid w:val="00D968E2"/>
    <w:rsid w:val="00D9735F"/>
    <w:rsid w:val="00D97380"/>
    <w:rsid w:val="00D97530"/>
    <w:rsid w:val="00D97B1F"/>
    <w:rsid w:val="00D97F20"/>
    <w:rsid w:val="00DA0409"/>
    <w:rsid w:val="00DA0968"/>
    <w:rsid w:val="00DA0E69"/>
    <w:rsid w:val="00DA13B9"/>
    <w:rsid w:val="00DA1412"/>
    <w:rsid w:val="00DA25E6"/>
    <w:rsid w:val="00DA26DE"/>
    <w:rsid w:val="00DA2D55"/>
    <w:rsid w:val="00DA2F89"/>
    <w:rsid w:val="00DA3789"/>
    <w:rsid w:val="00DA389E"/>
    <w:rsid w:val="00DA3DC2"/>
    <w:rsid w:val="00DA42B2"/>
    <w:rsid w:val="00DA43EB"/>
    <w:rsid w:val="00DA467C"/>
    <w:rsid w:val="00DA46A4"/>
    <w:rsid w:val="00DA4DF5"/>
    <w:rsid w:val="00DA4F8C"/>
    <w:rsid w:val="00DA50AD"/>
    <w:rsid w:val="00DA5530"/>
    <w:rsid w:val="00DA57FA"/>
    <w:rsid w:val="00DA5FB1"/>
    <w:rsid w:val="00DA60E3"/>
    <w:rsid w:val="00DA61D8"/>
    <w:rsid w:val="00DA6530"/>
    <w:rsid w:val="00DA689A"/>
    <w:rsid w:val="00DA6A52"/>
    <w:rsid w:val="00DA6BBD"/>
    <w:rsid w:val="00DA70D3"/>
    <w:rsid w:val="00DA737F"/>
    <w:rsid w:val="00DA74F6"/>
    <w:rsid w:val="00DA74FF"/>
    <w:rsid w:val="00DA7964"/>
    <w:rsid w:val="00DA7CDF"/>
    <w:rsid w:val="00DA7D4E"/>
    <w:rsid w:val="00DA7E34"/>
    <w:rsid w:val="00DB09E7"/>
    <w:rsid w:val="00DB0E1A"/>
    <w:rsid w:val="00DB0EEA"/>
    <w:rsid w:val="00DB0F3A"/>
    <w:rsid w:val="00DB1247"/>
    <w:rsid w:val="00DB134D"/>
    <w:rsid w:val="00DB19D2"/>
    <w:rsid w:val="00DB1F91"/>
    <w:rsid w:val="00DB289D"/>
    <w:rsid w:val="00DB2BCF"/>
    <w:rsid w:val="00DB2C23"/>
    <w:rsid w:val="00DB3304"/>
    <w:rsid w:val="00DB349E"/>
    <w:rsid w:val="00DB35D8"/>
    <w:rsid w:val="00DB3B4C"/>
    <w:rsid w:val="00DB4130"/>
    <w:rsid w:val="00DB4397"/>
    <w:rsid w:val="00DB4468"/>
    <w:rsid w:val="00DB4A1E"/>
    <w:rsid w:val="00DB4B4D"/>
    <w:rsid w:val="00DB52FD"/>
    <w:rsid w:val="00DB53D2"/>
    <w:rsid w:val="00DB549D"/>
    <w:rsid w:val="00DB54C7"/>
    <w:rsid w:val="00DB5505"/>
    <w:rsid w:val="00DB57C1"/>
    <w:rsid w:val="00DB5A9B"/>
    <w:rsid w:val="00DB5BF8"/>
    <w:rsid w:val="00DB5C2C"/>
    <w:rsid w:val="00DB5DE2"/>
    <w:rsid w:val="00DB63CC"/>
    <w:rsid w:val="00DB6866"/>
    <w:rsid w:val="00DB6A67"/>
    <w:rsid w:val="00DB6C3D"/>
    <w:rsid w:val="00DB7202"/>
    <w:rsid w:val="00DB7217"/>
    <w:rsid w:val="00DB7860"/>
    <w:rsid w:val="00DB7862"/>
    <w:rsid w:val="00DB7999"/>
    <w:rsid w:val="00DB7E33"/>
    <w:rsid w:val="00DB7FF9"/>
    <w:rsid w:val="00DC02AD"/>
    <w:rsid w:val="00DC02F2"/>
    <w:rsid w:val="00DC038A"/>
    <w:rsid w:val="00DC0684"/>
    <w:rsid w:val="00DC07AD"/>
    <w:rsid w:val="00DC0870"/>
    <w:rsid w:val="00DC0933"/>
    <w:rsid w:val="00DC0C42"/>
    <w:rsid w:val="00DC1025"/>
    <w:rsid w:val="00DC1CE2"/>
    <w:rsid w:val="00DC1F94"/>
    <w:rsid w:val="00DC2609"/>
    <w:rsid w:val="00DC2780"/>
    <w:rsid w:val="00DC29D2"/>
    <w:rsid w:val="00DC2B87"/>
    <w:rsid w:val="00DC2DAD"/>
    <w:rsid w:val="00DC2FC0"/>
    <w:rsid w:val="00DC342A"/>
    <w:rsid w:val="00DC3674"/>
    <w:rsid w:val="00DC38AE"/>
    <w:rsid w:val="00DC3D46"/>
    <w:rsid w:val="00DC43D7"/>
    <w:rsid w:val="00DC4825"/>
    <w:rsid w:val="00DC48FF"/>
    <w:rsid w:val="00DC4AC3"/>
    <w:rsid w:val="00DC4B0A"/>
    <w:rsid w:val="00DC4B19"/>
    <w:rsid w:val="00DC4C9E"/>
    <w:rsid w:val="00DC4F2D"/>
    <w:rsid w:val="00DC5333"/>
    <w:rsid w:val="00DC5707"/>
    <w:rsid w:val="00DC5732"/>
    <w:rsid w:val="00DC5778"/>
    <w:rsid w:val="00DC57F6"/>
    <w:rsid w:val="00DC5E08"/>
    <w:rsid w:val="00DC5FF6"/>
    <w:rsid w:val="00DC62B3"/>
    <w:rsid w:val="00DC6499"/>
    <w:rsid w:val="00DC66C8"/>
    <w:rsid w:val="00DC67FD"/>
    <w:rsid w:val="00DC681A"/>
    <w:rsid w:val="00DC6A67"/>
    <w:rsid w:val="00DC6BD4"/>
    <w:rsid w:val="00DC75CF"/>
    <w:rsid w:val="00DC76E8"/>
    <w:rsid w:val="00DD026A"/>
    <w:rsid w:val="00DD05E5"/>
    <w:rsid w:val="00DD071B"/>
    <w:rsid w:val="00DD0781"/>
    <w:rsid w:val="00DD14D9"/>
    <w:rsid w:val="00DD1724"/>
    <w:rsid w:val="00DD1A2E"/>
    <w:rsid w:val="00DD1AD9"/>
    <w:rsid w:val="00DD2196"/>
    <w:rsid w:val="00DD233F"/>
    <w:rsid w:val="00DD2408"/>
    <w:rsid w:val="00DD2441"/>
    <w:rsid w:val="00DD2461"/>
    <w:rsid w:val="00DD26C7"/>
    <w:rsid w:val="00DD27AE"/>
    <w:rsid w:val="00DD28DB"/>
    <w:rsid w:val="00DD293F"/>
    <w:rsid w:val="00DD2950"/>
    <w:rsid w:val="00DD2BCA"/>
    <w:rsid w:val="00DD31A1"/>
    <w:rsid w:val="00DD36AC"/>
    <w:rsid w:val="00DD3856"/>
    <w:rsid w:val="00DD3925"/>
    <w:rsid w:val="00DD395E"/>
    <w:rsid w:val="00DD3972"/>
    <w:rsid w:val="00DD404E"/>
    <w:rsid w:val="00DD43C0"/>
    <w:rsid w:val="00DD45AF"/>
    <w:rsid w:val="00DD46F8"/>
    <w:rsid w:val="00DD482B"/>
    <w:rsid w:val="00DD4C8D"/>
    <w:rsid w:val="00DD61F6"/>
    <w:rsid w:val="00DD6E0F"/>
    <w:rsid w:val="00DD6EB7"/>
    <w:rsid w:val="00DD7145"/>
    <w:rsid w:val="00DD7670"/>
    <w:rsid w:val="00DD780E"/>
    <w:rsid w:val="00DD7A08"/>
    <w:rsid w:val="00DD7DDF"/>
    <w:rsid w:val="00DE021D"/>
    <w:rsid w:val="00DE0298"/>
    <w:rsid w:val="00DE05B8"/>
    <w:rsid w:val="00DE0763"/>
    <w:rsid w:val="00DE081D"/>
    <w:rsid w:val="00DE0921"/>
    <w:rsid w:val="00DE117E"/>
    <w:rsid w:val="00DE158D"/>
    <w:rsid w:val="00DE1839"/>
    <w:rsid w:val="00DE18BE"/>
    <w:rsid w:val="00DE190D"/>
    <w:rsid w:val="00DE1A9C"/>
    <w:rsid w:val="00DE20C4"/>
    <w:rsid w:val="00DE28F2"/>
    <w:rsid w:val="00DE2ADF"/>
    <w:rsid w:val="00DE2B8D"/>
    <w:rsid w:val="00DE30C8"/>
    <w:rsid w:val="00DE31C7"/>
    <w:rsid w:val="00DE37B5"/>
    <w:rsid w:val="00DE39F6"/>
    <w:rsid w:val="00DE3AD8"/>
    <w:rsid w:val="00DE3D84"/>
    <w:rsid w:val="00DE422C"/>
    <w:rsid w:val="00DE42A1"/>
    <w:rsid w:val="00DE42A8"/>
    <w:rsid w:val="00DE4643"/>
    <w:rsid w:val="00DE4AAA"/>
    <w:rsid w:val="00DE4B27"/>
    <w:rsid w:val="00DE4B3C"/>
    <w:rsid w:val="00DE4EB2"/>
    <w:rsid w:val="00DE575A"/>
    <w:rsid w:val="00DE596C"/>
    <w:rsid w:val="00DE5C73"/>
    <w:rsid w:val="00DE630D"/>
    <w:rsid w:val="00DE660C"/>
    <w:rsid w:val="00DE7D3B"/>
    <w:rsid w:val="00DF03EE"/>
    <w:rsid w:val="00DF05E0"/>
    <w:rsid w:val="00DF0AE0"/>
    <w:rsid w:val="00DF0E43"/>
    <w:rsid w:val="00DF0E6D"/>
    <w:rsid w:val="00DF0F49"/>
    <w:rsid w:val="00DF1468"/>
    <w:rsid w:val="00DF149F"/>
    <w:rsid w:val="00DF187F"/>
    <w:rsid w:val="00DF19CD"/>
    <w:rsid w:val="00DF22F9"/>
    <w:rsid w:val="00DF23A5"/>
    <w:rsid w:val="00DF23BE"/>
    <w:rsid w:val="00DF255A"/>
    <w:rsid w:val="00DF2785"/>
    <w:rsid w:val="00DF2D92"/>
    <w:rsid w:val="00DF2E3F"/>
    <w:rsid w:val="00DF2E61"/>
    <w:rsid w:val="00DF320B"/>
    <w:rsid w:val="00DF341A"/>
    <w:rsid w:val="00DF3FF7"/>
    <w:rsid w:val="00DF4236"/>
    <w:rsid w:val="00DF4EBC"/>
    <w:rsid w:val="00DF50B5"/>
    <w:rsid w:val="00DF5170"/>
    <w:rsid w:val="00DF5594"/>
    <w:rsid w:val="00DF58CA"/>
    <w:rsid w:val="00DF59FB"/>
    <w:rsid w:val="00DF5C82"/>
    <w:rsid w:val="00DF5DF0"/>
    <w:rsid w:val="00DF605D"/>
    <w:rsid w:val="00DF6796"/>
    <w:rsid w:val="00DF6830"/>
    <w:rsid w:val="00DF6E83"/>
    <w:rsid w:val="00DF711B"/>
    <w:rsid w:val="00DF7357"/>
    <w:rsid w:val="00DF7369"/>
    <w:rsid w:val="00DF75F7"/>
    <w:rsid w:val="00DF7FFA"/>
    <w:rsid w:val="00E00513"/>
    <w:rsid w:val="00E0066E"/>
    <w:rsid w:val="00E0094D"/>
    <w:rsid w:val="00E00CE4"/>
    <w:rsid w:val="00E01199"/>
    <w:rsid w:val="00E01281"/>
    <w:rsid w:val="00E01570"/>
    <w:rsid w:val="00E015B2"/>
    <w:rsid w:val="00E01656"/>
    <w:rsid w:val="00E01A53"/>
    <w:rsid w:val="00E02B59"/>
    <w:rsid w:val="00E02BBC"/>
    <w:rsid w:val="00E02C88"/>
    <w:rsid w:val="00E02D19"/>
    <w:rsid w:val="00E02D57"/>
    <w:rsid w:val="00E0301D"/>
    <w:rsid w:val="00E03372"/>
    <w:rsid w:val="00E03D84"/>
    <w:rsid w:val="00E03FBC"/>
    <w:rsid w:val="00E041EB"/>
    <w:rsid w:val="00E04AB9"/>
    <w:rsid w:val="00E04D29"/>
    <w:rsid w:val="00E04F68"/>
    <w:rsid w:val="00E0517C"/>
    <w:rsid w:val="00E05515"/>
    <w:rsid w:val="00E05C4D"/>
    <w:rsid w:val="00E05DB2"/>
    <w:rsid w:val="00E065F9"/>
    <w:rsid w:val="00E066F0"/>
    <w:rsid w:val="00E06F59"/>
    <w:rsid w:val="00E0755B"/>
    <w:rsid w:val="00E07FF2"/>
    <w:rsid w:val="00E10624"/>
    <w:rsid w:val="00E106E7"/>
    <w:rsid w:val="00E10792"/>
    <w:rsid w:val="00E107E4"/>
    <w:rsid w:val="00E10EAE"/>
    <w:rsid w:val="00E1104C"/>
    <w:rsid w:val="00E11087"/>
    <w:rsid w:val="00E1137D"/>
    <w:rsid w:val="00E11879"/>
    <w:rsid w:val="00E119EA"/>
    <w:rsid w:val="00E11D54"/>
    <w:rsid w:val="00E12029"/>
    <w:rsid w:val="00E1247D"/>
    <w:rsid w:val="00E1259C"/>
    <w:rsid w:val="00E1265F"/>
    <w:rsid w:val="00E12B25"/>
    <w:rsid w:val="00E12B3F"/>
    <w:rsid w:val="00E12D1B"/>
    <w:rsid w:val="00E12D6D"/>
    <w:rsid w:val="00E12DEA"/>
    <w:rsid w:val="00E14749"/>
    <w:rsid w:val="00E149CD"/>
    <w:rsid w:val="00E14ACE"/>
    <w:rsid w:val="00E14FF9"/>
    <w:rsid w:val="00E15162"/>
    <w:rsid w:val="00E15B58"/>
    <w:rsid w:val="00E15ED8"/>
    <w:rsid w:val="00E162A5"/>
    <w:rsid w:val="00E16363"/>
    <w:rsid w:val="00E16410"/>
    <w:rsid w:val="00E1645A"/>
    <w:rsid w:val="00E16499"/>
    <w:rsid w:val="00E164DC"/>
    <w:rsid w:val="00E165D4"/>
    <w:rsid w:val="00E16C7C"/>
    <w:rsid w:val="00E16F18"/>
    <w:rsid w:val="00E170FC"/>
    <w:rsid w:val="00E1737C"/>
    <w:rsid w:val="00E173A1"/>
    <w:rsid w:val="00E17CEF"/>
    <w:rsid w:val="00E17D5E"/>
    <w:rsid w:val="00E17EB3"/>
    <w:rsid w:val="00E200B0"/>
    <w:rsid w:val="00E201E4"/>
    <w:rsid w:val="00E2030A"/>
    <w:rsid w:val="00E20B48"/>
    <w:rsid w:val="00E21049"/>
    <w:rsid w:val="00E21381"/>
    <w:rsid w:val="00E21451"/>
    <w:rsid w:val="00E21728"/>
    <w:rsid w:val="00E218C4"/>
    <w:rsid w:val="00E219AB"/>
    <w:rsid w:val="00E21D6D"/>
    <w:rsid w:val="00E22344"/>
    <w:rsid w:val="00E22937"/>
    <w:rsid w:val="00E22D57"/>
    <w:rsid w:val="00E236E4"/>
    <w:rsid w:val="00E239C3"/>
    <w:rsid w:val="00E23DAB"/>
    <w:rsid w:val="00E24266"/>
    <w:rsid w:val="00E24372"/>
    <w:rsid w:val="00E24385"/>
    <w:rsid w:val="00E24EE0"/>
    <w:rsid w:val="00E24F1F"/>
    <w:rsid w:val="00E25453"/>
    <w:rsid w:val="00E2547D"/>
    <w:rsid w:val="00E25A96"/>
    <w:rsid w:val="00E25AD7"/>
    <w:rsid w:val="00E2614E"/>
    <w:rsid w:val="00E26375"/>
    <w:rsid w:val="00E26537"/>
    <w:rsid w:val="00E266C1"/>
    <w:rsid w:val="00E2689B"/>
    <w:rsid w:val="00E26B62"/>
    <w:rsid w:val="00E272ED"/>
    <w:rsid w:val="00E2735C"/>
    <w:rsid w:val="00E273B4"/>
    <w:rsid w:val="00E2775D"/>
    <w:rsid w:val="00E277B8"/>
    <w:rsid w:val="00E30589"/>
    <w:rsid w:val="00E308D7"/>
    <w:rsid w:val="00E30D2D"/>
    <w:rsid w:val="00E310CD"/>
    <w:rsid w:val="00E310F9"/>
    <w:rsid w:val="00E31BE4"/>
    <w:rsid w:val="00E31F58"/>
    <w:rsid w:val="00E31FAE"/>
    <w:rsid w:val="00E32155"/>
    <w:rsid w:val="00E322AE"/>
    <w:rsid w:val="00E3235A"/>
    <w:rsid w:val="00E326DE"/>
    <w:rsid w:val="00E327D3"/>
    <w:rsid w:val="00E3281E"/>
    <w:rsid w:val="00E328DF"/>
    <w:rsid w:val="00E329B3"/>
    <w:rsid w:val="00E32A5C"/>
    <w:rsid w:val="00E32AC5"/>
    <w:rsid w:val="00E32BE1"/>
    <w:rsid w:val="00E32CF0"/>
    <w:rsid w:val="00E331E5"/>
    <w:rsid w:val="00E336E2"/>
    <w:rsid w:val="00E337EA"/>
    <w:rsid w:val="00E33903"/>
    <w:rsid w:val="00E3442A"/>
    <w:rsid w:val="00E34A31"/>
    <w:rsid w:val="00E34A99"/>
    <w:rsid w:val="00E34CB8"/>
    <w:rsid w:val="00E34D6B"/>
    <w:rsid w:val="00E3542F"/>
    <w:rsid w:val="00E35584"/>
    <w:rsid w:val="00E357C2"/>
    <w:rsid w:val="00E3599F"/>
    <w:rsid w:val="00E36104"/>
    <w:rsid w:val="00E3629B"/>
    <w:rsid w:val="00E364DB"/>
    <w:rsid w:val="00E36790"/>
    <w:rsid w:val="00E37484"/>
    <w:rsid w:val="00E37825"/>
    <w:rsid w:val="00E37A19"/>
    <w:rsid w:val="00E37B27"/>
    <w:rsid w:val="00E37C47"/>
    <w:rsid w:val="00E37F9F"/>
    <w:rsid w:val="00E40228"/>
    <w:rsid w:val="00E40D3D"/>
    <w:rsid w:val="00E412E3"/>
    <w:rsid w:val="00E41799"/>
    <w:rsid w:val="00E419F3"/>
    <w:rsid w:val="00E41A2B"/>
    <w:rsid w:val="00E41DD5"/>
    <w:rsid w:val="00E41FD6"/>
    <w:rsid w:val="00E41FD9"/>
    <w:rsid w:val="00E42001"/>
    <w:rsid w:val="00E420F5"/>
    <w:rsid w:val="00E4229D"/>
    <w:rsid w:val="00E424DF"/>
    <w:rsid w:val="00E42860"/>
    <w:rsid w:val="00E429F8"/>
    <w:rsid w:val="00E430F3"/>
    <w:rsid w:val="00E4313E"/>
    <w:rsid w:val="00E43223"/>
    <w:rsid w:val="00E438B7"/>
    <w:rsid w:val="00E4424A"/>
    <w:rsid w:val="00E44B9F"/>
    <w:rsid w:val="00E44CC6"/>
    <w:rsid w:val="00E45E49"/>
    <w:rsid w:val="00E45F00"/>
    <w:rsid w:val="00E45F25"/>
    <w:rsid w:val="00E46148"/>
    <w:rsid w:val="00E4633E"/>
    <w:rsid w:val="00E463AC"/>
    <w:rsid w:val="00E46EEC"/>
    <w:rsid w:val="00E471D2"/>
    <w:rsid w:val="00E47509"/>
    <w:rsid w:val="00E47BB4"/>
    <w:rsid w:val="00E500C5"/>
    <w:rsid w:val="00E50370"/>
    <w:rsid w:val="00E50594"/>
    <w:rsid w:val="00E5070A"/>
    <w:rsid w:val="00E50BF0"/>
    <w:rsid w:val="00E50C0B"/>
    <w:rsid w:val="00E50F2D"/>
    <w:rsid w:val="00E51068"/>
    <w:rsid w:val="00E51178"/>
    <w:rsid w:val="00E51A90"/>
    <w:rsid w:val="00E51F01"/>
    <w:rsid w:val="00E5202C"/>
    <w:rsid w:val="00E52470"/>
    <w:rsid w:val="00E5252E"/>
    <w:rsid w:val="00E52648"/>
    <w:rsid w:val="00E52735"/>
    <w:rsid w:val="00E52828"/>
    <w:rsid w:val="00E52851"/>
    <w:rsid w:val="00E5285E"/>
    <w:rsid w:val="00E52EA3"/>
    <w:rsid w:val="00E53213"/>
    <w:rsid w:val="00E535DD"/>
    <w:rsid w:val="00E53666"/>
    <w:rsid w:val="00E53AAD"/>
    <w:rsid w:val="00E53BAB"/>
    <w:rsid w:val="00E53C89"/>
    <w:rsid w:val="00E53CF0"/>
    <w:rsid w:val="00E53E64"/>
    <w:rsid w:val="00E543FD"/>
    <w:rsid w:val="00E54480"/>
    <w:rsid w:val="00E544A2"/>
    <w:rsid w:val="00E5482F"/>
    <w:rsid w:val="00E54A4F"/>
    <w:rsid w:val="00E54ED2"/>
    <w:rsid w:val="00E54F6F"/>
    <w:rsid w:val="00E54FD3"/>
    <w:rsid w:val="00E5507C"/>
    <w:rsid w:val="00E55264"/>
    <w:rsid w:val="00E5527B"/>
    <w:rsid w:val="00E5535B"/>
    <w:rsid w:val="00E5543A"/>
    <w:rsid w:val="00E555F0"/>
    <w:rsid w:val="00E55B98"/>
    <w:rsid w:val="00E55DC5"/>
    <w:rsid w:val="00E56414"/>
    <w:rsid w:val="00E56669"/>
    <w:rsid w:val="00E56C31"/>
    <w:rsid w:val="00E56CCD"/>
    <w:rsid w:val="00E57852"/>
    <w:rsid w:val="00E6003C"/>
    <w:rsid w:val="00E60063"/>
    <w:rsid w:val="00E605AF"/>
    <w:rsid w:val="00E605E6"/>
    <w:rsid w:val="00E60730"/>
    <w:rsid w:val="00E6091C"/>
    <w:rsid w:val="00E6092B"/>
    <w:rsid w:val="00E60C31"/>
    <w:rsid w:val="00E60E21"/>
    <w:rsid w:val="00E60F8E"/>
    <w:rsid w:val="00E61350"/>
    <w:rsid w:val="00E617EE"/>
    <w:rsid w:val="00E618F6"/>
    <w:rsid w:val="00E61FE1"/>
    <w:rsid w:val="00E6216C"/>
    <w:rsid w:val="00E62280"/>
    <w:rsid w:val="00E62385"/>
    <w:rsid w:val="00E62F10"/>
    <w:rsid w:val="00E6314E"/>
    <w:rsid w:val="00E63196"/>
    <w:rsid w:val="00E63286"/>
    <w:rsid w:val="00E632EC"/>
    <w:rsid w:val="00E63453"/>
    <w:rsid w:val="00E6356C"/>
    <w:rsid w:val="00E6360F"/>
    <w:rsid w:val="00E63786"/>
    <w:rsid w:val="00E637FB"/>
    <w:rsid w:val="00E63F65"/>
    <w:rsid w:val="00E63F96"/>
    <w:rsid w:val="00E64662"/>
    <w:rsid w:val="00E64A8E"/>
    <w:rsid w:val="00E64D63"/>
    <w:rsid w:val="00E65677"/>
    <w:rsid w:val="00E65682"/>
    <w:rsid w:val="00E65CB6"/>
    <w:rsid w:val="00E65D10"/>
    <w:rsid w:val="00E65F2B"/>
    <w:rsid w:val="00E666F7"/>
    <w:rsid w:val="00E668A3"/>
    <w:rsid w:val="00E66EE2"/>
    <w:rsid w:val="00E6769E"/>
    <w:rsid w:val="00E67CF6"/>
    <w:rsid w:val="00E67DE8"/>
    <w:rsid w:val="00E706A7"/>
    <w:rsid w:val="00E70B77"/>
    <w:rsid w:val="00E70E70"/>
    <w:rsid w:val="00E70EC0"/>
    <w:rsid w:val="00E70FB4"/>
    <w:rsid w:val="00E71298"/>
    <w:rsid w:val="00E712DE"/>
    <w:rsid w:val="00E714BC"/>
    <w:rsid w:val="00E71EA2"/>
    <w:rsid w:val="00E721B2"/>
    <w:rsid w:val="00E7241D"/>
    <w:rsid w:val="00E724CC"/>
    <w:rsid w:val="00E728F4"/>
    <w:rsid w:val="00E72D32"/>
    <w:rsid w:val="00E7381F"/>
    <w:rsid w:val="00E73A6F"/>
    <w:rsid w:val="00E73ADC"/>
    <w:rsid w:val="00E73DC4"/>
    <w:rsid w:val="00E73E13"/>
    <w:rsid w:val="00E73FF1"/>
    <w:rsid w:val="00E741D5"/>
    <w:rsid w:val="00E7434D"/>
    <w:rsid w:val="00E74770"/>
    <w:rsid w:val="00E750B3"/>
    <w:rsid w:val="00E752AB"/>
    <w:rsid w:val="00E7559F"/>
    <w:rsid w:val="00E7566B"/>
    <w:rsid w:val="00E75DA5"/>
    <w:rsid w:val="00E75F15"/>
    <w:rsid w:val="00E75F91"/>
    <w:rsid w:val="00E768C6"/>
    <w:rsid w:val="00E769FE"/>
    <w:rsid w:val="00E76D93"/>
    <w:rsid w:val="00E7705F"/>
    <w:rsid w:val="00E77125"/>
    <w:rsid w:val="00E7774B"/>
    <w:rsid w:val="00E77905"/>
    <w:rsid w:val="00E77CD8"/>
    <w:rsid w:val="00E80202"/>
    <w:rsid w:val="00E807E3"/>
    <w:rsid w:val="00E81DFD"/>
    <w:rsid w:val="00E820E3"/>
    <w:rsid w:val="00E82B97"/>
    <w:rsid w:val="00E82C04"/>
    <w:rsid w:val="00E82F5A"/>
    <w:rsid w:val="00E83030"/>
    <w:rsid w:val="00E8304B"/>
    <w:rsid w:val="00E835CB"/>
    <w:rsid w:val="00E838B7"/>
    <w:rsid w:val="00E839FF"/>
    <w:rsid w:val="00E83D38"/>
    <w:rsid w:val="00E83DD5"/>
    <w:rsid w:val="00E83F41"/>
    <w:rsid w:val="00E844D8"/>
    <w:rsid w:val="00E84D58"/>
    <w:rsid w:val="00E85036"/>
    <w:rsid w:val="00E853CD"/>
    <w:rsid w:val="00E85419"/>
    <w:rsid w:val="00E85C68"/>
    <w:rsid w:val="00E85C7E"/>
    <w:rsid w:val="00E860B7"/>
    <w:rsid w:val="00E861EB"/>
    <w:rsid w:val="00E86812"/>
    <w:rsid w:val="00E86E38"/>
    <w:rsid w:val="00E87258"/>
    <w:rsid w:val="00E878DF"/>
    <w:rsid w:val="00E878F4"/>
    <w:rsid w:val="00E87A92"/>
    <w:rsid w:val="00E87BBE"/>
    <w:rsid w:val="00E900B2"/>
    <w:rsid w:val="00E90971"/>
    <w:rsid w:val="00E90B01"/>
    <w:rsid w:val="00E90D96"/>
    <w:rsid w:val="00E90DAD"/>
    <w:rsid w:val="00E90EA2"/>
    <w:rsid w:val="00E918F3"/>
    <w:rsid w:val="00E91C7E"/>
    <w:rsid w:val="00E91D37"/>
    <w:rsid w:val="00E91F44"/>
    <w:rsid w:val="00E92482"/>
    <w:rsid w:val="00E925A8"/>
    <w:rsid w:val="00E92B69"/>
    <w:rsid w:val="00E92E67"/>
    <w:rsid w:val="00E93021"/>
    <w:rsid w:val="00E9339C"/>
    <w:rsid w:val="00E9377C"/>
    <w:rsid w:val="00E93888"/>
    <w:rsid w:val="00E93963"/>
    <w:rsid w:val="00E93A77"/>
    <w:rsid w:val="00E93AC2"/>
    <w:rsid w:val="00E93BC7"/>
    <w:rsid w:val="00E94491"/>
    <w:rsid w:val="00E94BE2"/>
    <w:rsid w:val="00E950EE"/>
    <w:rsid w:val="00E9527C"/>
    <w:rsid w:val="00E952A6"/>
    <w:rsid w:val="00E955BA"/>
    <w:rsid w:val="00E95FF0"/>
    <w:rsid w:val="00E96ADB"/>
    <w:rsid w:val="00E96B4F"/>
    <w:rsid w:val="00E96BE3"/>
    <w:rsid w:val="00E96FF4"/>
    <w:rsid w:val="00E970BA"/>
    <w:rsid w:val="00E97475"/>
    <w:rsid w:val="00E974F0"/>
    <w:rsid w:val="00EA016E"/>
    <w:rsid w:val="00EA022F"/>
    <w:rsid w:val="00EA04B0"/>
    <w:rsid w:val="00EA08C6"/>
    <w:rsid w:val="00EA0AD4"/>
    <w:rsid w:val="00EA167A"/>
    <w:rsid w:val="00EA1A22"/>
    <w:rsid w:val="00EA2292"/>
    <w:rsid w:val="00EA22DC"/>
    <w:rsid w:val="00EA2E58"/>
    <w:rsid w:val="00EA3059"/>
    <w:rsid w:val="00EA3225"/>
    <w:rsid w:val="00EA32A4"/>
    <w:rsid w:val="00EA3602"/>
    <w:rsid w:val="00EA3971"/>
    <w:rsid w:val="00EA3FE4"/>
    <w:rsid w:val="00EA4985"/>
    <w:rsid w:val="00EA4DC0"/>
    <w:rsid w:val="00EA4DCB"/>
    <w:rsid w:val="00EA51EC"/>
    <w:rsid w:val="00EA55D4"/>
    <w:rsid w:val="00EA5AA4"/>
    <w:rsid w:val="00EA65F0"/>
    <w:rsid w:val="00EB00DB"/>
    <w:rsid w:val="00EB0381"/>
    <w:rsid w:val="00EB03A9"/>
    <w:rsid w:val="00EB0EC1"/>
    <w:rsid w:val="00EB14AE"/>
    <w:rsid w:val="00EB174B"/>
    <w:rsid w:val="00EB2B3A"/>
    <w:rsid w:val="00EB348E"/>
    <w:rsid w:val="00EB34E2"/>
    <w:rsid w:val="00EB3D23"/>
    <w:rsid w:val="00EB3DF8"/>
    <w:rsid w:val="00EB3E13"/>
    <w:rsid w:val="00EB3F30"/>
    <w:rsid w:val="00EB4049"/>
    <w:rsid w:val="00EB43A1"/>
    <w:rsid w:val="00EB47B1"/>
    <w:rsid w:val="00EB498A"/>
    <w:rsid w:val="00EB4DEA"/>
    <w:rsid w:val="00EB6209"/>
    <w:rsid w:val="00EB641B"/>
    <w:rsid w:val="00EB7384"/>
    <w:rsid w:val="00EB7C8A"/>
    <w:rsid w:val="00EC0086"/>
    <w:rsid w:val="00EC038D"/>
    <w:rsid w:val="00EC043C"/>
    <w:rsid w:val="00EC1275"/>
    <w:rsid w:val="00EC142E"/>
    <w:rsid w:val="00EC1558"/>
    <w:rsid w:val="00EC26B0"/>
    <w:rsid w:val="00EC2EBB"/>
    <w:rsid w:val="00EC2FF1"/>
    <w:rsid w:val="00EC3168"/>
    <w:rsid w:val="00EC35C8"/>
    <w:rsid w:val="00EC3A33"/>
    <w:rsid w:val="00EC3B98"/>
    <w:rsid w:val="00EC3C09"/>
    <w:rsid w:val="00EC3E5B"/>
    <w:rsid w:val="00EC3EAA"/>
    <w:rsid w:val="00EC40A6"/>
    <w:rsid w:val="00EC46B2"/>
    <w:rsid w:val="00EC4811"/>
    <w:rsid w:val="00EC4A7E"/>
    <w:rsid w:val="00EC4CED"/>
    <w:rsid w:val="00EC4D2C"/>
    <w:rsid w:val="00EC52BD"/>
    <w:rsid w:val="00EC52DE"/>
    <w:rsid w:val="00EC539D"/>
    <w:rsid w:val="00EC569C"/>
    <w:rsid w:val="00EC57E1"/>
    <w:rsid w:val="00EC59C2"/>
    <w:rsid w:val="00EC5E24"/>
    <w:rsid w:val="00EC5EE5"/>
    <w:rsid w:val="00EC62E0"/>
    <w:rsid w:val="00EC65B7"/>
    <w:rsid w:val="00EC65E4"/>
    <w:rsid w:val="00EC6DF7"/>
    <w:rsid w:val="00EC6DFB"/>
    <w:rsid w:val="00EC6FA9"/>
    <w:rsid w:val="00EC75BF"/>
    <w:rsid w:val="00EC77D6"/>
    <w:rsid w:val="00EC77F4"/>
    <w:rsid w:val="00EC78EE"/>
    <w:rsid w:val="00EC7B64"/>
    <w:rsid w:val="00EC7F6E"/>
    <w:rsid w:val="00ED0652"/>
    <w:rsid w:val="00ED09AC"/>
    <w:rsid w:val="00ED0D68"/>
    <w:rsid w:val="00ED0E1B"/>
    <w:rsid w:val="00ED10F5"/>
    <w:rsid w:val="00ED146A"/>
    <w:rsid w:val="00ED1749"/>
    <w:rsid w:val="00ED1A72"/>
    <w:rsid w:val="00ED1E65"/>
    <w:rsid w:val="00ED208B"/>
    <w:rsid w:val="00ED251A"/>
    <w:rsid w:val="00ED2BBB"/>
    <w:rsid w:val="00ED2BFD"/>
    <w:rsid w:val="00ED2E3F"/>
    <w:rsid w:val="00ED3736"/>
    <w:rsid w:val="00ED473A"/>
    <w:rsid w:val="00ED4AA8"/>
    <w:rsid w:val="00ED4B66"/>
    <w:rsid w:val="00ED557B"/>
    <w:rsid w:val="00ED5839"/>
    <w:rsid w:val="00ED59C2"/>
    <w:rsid w:val="00ED5A51"/>
    <w:rsid w:val="00ED6DE4"/>
    <w:rsid w:val="00ED6FB8"/>
    <w:rsid w:val="00ED7033"/>
    <w:rsid w:val="00ED70EF"/>
    <w:rsid w:val="00ED732C"/>
    <w:rsid w:val="00ED73C7"/>
    <w:rsid w:val="00ED7473"/>
    <w:rsid w:val="00ED7ECC"/>
    <w:rsid w:val="00EE007A"/>
    <w:rsid w:val="00EE0137"/>
    <w:rsid w:val="00EE03EF"/>
    <w:rsid w:val="00EE0468"/>
    <w:rsid w:val="00EE0616"/>
    <w:rsid w:val="00EE0621"/>
    <w:rsid w:val="00EE0699"/>
    <w:rsid w:val="00EE0AEE"/>
    <w:rsid w:val="00EE0CB7"/>
    <w:rsid w:val="00EE0FA7"/>
    <w:rsid w:val="00EE1108"/>
    <w:rsid w:val="00EE1226"/>
    <w:rsid w:val="00EE15D5"/>
    <w:rsid w:val="00EE1A5D"/>
    <w:rsid w:val="00EE1AAC"/>
    <w:rsid w:val="00EE1C2B"/>
    <w:rsid w:val="00EE22B7"/>
    <w:rsid w:val="00EE23F1"/>
    <w:rsid w:val="00EE243C"/>
    <w:rsid w:val="00EE285B"/>
    <w:rsid w:val="00EE2ED3"/>
    <w:rsid w:val="00EE2F94"/>
    <w:rsid w:val="00EE3998"/>
    <w:rsid w:val="00EE399F"/>
    <w:rsid w:val="00EE3E0D"/>
    <w:rsid w:val="00EE3FBA"/>
    <w:rsid w:val="00EE3FF5"/>
    <w:rsid w:val="00EE4160"/>
    <w:rsid w:val="00EE491F"/>
    <w:rsid w:val="00EE4AB2"/>
    <w:rsid w:val="00EE4B91"/>
    <w:rsid w:val="00EE4C2F"/>
    <w:rsid w:val="00EE5B8C"/>
    <w:rsid w:val="00EE60ED"/>
    <w:rsid w:val="00EE626B"/>
    <w:rsid w:val="00EE6A69"/>
    <w:rsid w:val="00EE7278"/>
    <w:rsid w:val="00EE7506"/>
    <w:rsid w:val="00EE7CAE"/>
    <w:rsid w:val="00EE7E2A"/>
    <w:rsid w:val="00EF0D19"/>
    <w:rsid w:val="00EF0DF7"/>
    <w:rsid w:val="00EF182D"/>
    <w:rsid w:val="00EF1886"/>
    <w:rsid w:val="00EF1888"/>
    <w:rsid w:val="00EF1D0C"/>
    <w:rsid w:val="00EF2082"/>
    <w:rsid w:val="00EF2A4F"/>
    <w:rsid w:val="00EF31EB"/>
    <w:rsid w:val="00EF359E"/>
    <w:rsid w:val="00EF3C7A"/>
    <w:rsid w:val="00EF3FC2"/>
    <w:rsid w:val="00EF403F"/>
    <w:rsid w:val="00EF40AB"/>
    <w:rsid w:val="00EF4877"/>
    <w:rsid w:val="00EF48D5"/>
    <w:rsid w:val="00EF5019"/>
    <w:rsid w:val="00EF552E"/>
    <w:rsid w:val="00EF5543"/>
    <w:rsid w:val="00EF564E"/>
    <w:rsid w:val="00EF5B23"/>
    <w:rsid w:val="00EF638B"/>
    <w:rsid w:val="00EF63A4"/>
    <w:rsid w:val="00EF67F2"/>
    <w:rsid w:val="00EF6B88"/>
    <w:rsid w:val="00EF7002"/>
    <w:rsid w:val="00F00A33"/>
    <w:rsid w:val="00F00AF7"/>
    <w:rsid w:val="00F00E79"/>
    <w:rsid w:val="00F00FC9"/>
    <w:rsid w:val="00F0118F"/>
    <w:rsid w:val="00F01296"/>
    <w:rsid w:val="00F01E4A"/>
    <w:rsid w:val="00F02294"/>
    <w:rsid w:val="00F023C1"/>
    <w:rsid w:val="00F0251C"/>
    <w:rsid w:val="00F0251E"/>
    <w:rsid w:val="00F0271E"/>
    <w:rsid w:val="00F0285A"/>
    <w:rsid w:val="00F02D02"/>
    <w:rsid w:val="00F03372"/>
    <w:rsid w:val="00F039CE"/>
    <w:rsid w:val="00F04383"/>
    <w:rsid w:val="00F044D6"/>
    <w:rsid w:val="00F04506"/>
    <w:rsid w:val="00F047B0"/>
    <w:rsid w:val="00F0492D"/>
    <w:rsid w:val="00F04F7E"/>
    <w:rsid w:val="00F051D2"/>
    <w:rsid w:val="00F054AB"/>
    <w:rsid w:val="00F055EF"/>
    <w:rsid w:val="00F05B0E"/>
    <w:rsid w:val="00F05B4D"/>
    <w:rsid w:val="00F05C81"/>
    <w:rsid w:val="00F0626C"/>
    <w:rsid w:val="00F0666B"/>
    <w:rsid w:val="00F06969"/>
    <w:rsid w:val="00F06A50"/>
    <w:rsid w:val="00F06F2B"/>
    <w:rsid w:val="00F07025"/>
    <w:rsid w:val="00F072A2"/>
    <w:rsid w:val="00F07468"/>
    <w:rsid w:val="00F0762C"/>
    <w:rsid w:val="00F10334"/>
    <w:rsid w:val="00F10483"/>
    <w:rsid w:val="00F10514"/>
    <w:rsid w:val="00F10F00"/>
    <w:rsid w:val="00F11449"/>
    <w:rsid w:val="00F116B4"/>
    <w:rsid w:val="00F1187F"/>
    <w:rsid w:val="00F1219F"/>
    <w:rsid w:val="00F121E2"/>
    <w:rsid w:val="00F1221D"/>
    <w:rsid w:val="00F123F5"/>
    <w:rsid w:val="00F12703"/>
    <w:rsid w:val="00F12C23"/>
    <w:rsid w:val="00F12CB4"/>
    <w:rsid w:val="00F12D0C"/>
    <w:rsid w:val="00F1395C"/>
    <w:rsid w:val="00F13A64"/>
    <w:rsid w:val="00F13CCE"/>
    <w:rsid w:val="00F13EAC"/>
    <w:rsid w:val="00F1426A"/>
    <w:rsid w:val="00F14277"/>
    <w:rsid w:val="00F142CC"/>
    <w:rsid w:val="00F143EF"/>
    <w:rsid w:val="00F15163"/>
    <w:rsid w:val="00F151B6"/>
    <w:rsid w:val="00F1543D"/>
    <w:rsid w:val="00F157FE"/>
    <w:rsid w:val="00F15C98"/>
    <w:rsid w:val="00F15D08"/>
    <w:rsid w:val="00F15D17"/>
    <w:rsid w:val="00F15D55"/>
    <w:rsid w:val="00F15FBB"/>
    <w:rsid w:val="00F16466"/>
    <w:rsid w:val="00F16879"/>
    <w:rsid w:val="00F16A69"/>
    <w:rsid w:val="00F16B4A"/>
    <w:rsid w:val="00F16E9C"/>
    <w:rsid w:val="00F16F5B"/>
    <w:rsid w:val="00F17122"/>
    <w:rsid w:val="00F2023F"/>
    <w:rsid w:val="00F2070C"/>
    <w:rsid w:val="00F20749"/>
    <w:rsid w:val="00F208FA"/>
    <w:rsid w:val="00F20D07"/>
    <w:rsid w:val="00F20D77"/>
    <w:rsid w:val="00F20F9A"/>
    <w:rsid w:val="00F2142C"/>
    <w:rsid w:val="00F21551"/>
    <w:rsid w:val="00F21826"/>
    <w:rsid w:val="00F21CEA"/>
    <w:rsid w:val="00F22252"/>
    <w:rsid w:val="00F22310"/>
    <w:rsid w:val="00F223AA"/>
    <w:rsid w:val="00F22E1F"/>
    <w:rsid w:val="00F22E61"/>
    <w:rsid w:val="00F23814"/>
    <w:rsid w:val="00F239BC"/>
    <w:rsid w:val="00F23DD3"/>
    <w:rsid w:val="00F248E7"/>
    <w:rsid w:val="00F24935"/>
    <w:rsid w:val="00F24B35"/>
    <w:rsid w:val="00F24B47"/>
    <w:rsid w:val="00F24E01"/>
    <w:rsid w:val="00F250D3"/>
    <w:rsid w:val="00F25779"/>
    <w:rsid w:val="00F2591C"/>
    <w:rsid w:val="00F259CE"/>
    <w:rsid w:val="00F25CD3"/>
    <w:rsid w:val="00F25F92"/>
    <w:rsid w:val="00F2602E"/>
    <w:rsid w:val="00F26264"/>
    <w:rsid w:val="00F26469"/>
    <w:rsid w:val="00F26669"/>
    <w:rsid w:val="00F268B7"/>
    <w:rsid w:val="00F26D4A"/>
    <w:rsid w:val="00F27129"/>
    <w:rsid w:val="00F27720"/>
    <w:rsid w:val="00F27736"/>
    <w:rsid w:val="00F27792"/>
    <w:rsid w:val="00F27EA7"/>
    <w:rsid w:val="00F27EB0"/>
    <w:rsid w:val="00F3001D"/>
    <w:rsid w:val="00F300DF"/>
    <w:rsid w:val="00F3019E"/>
    <w:rsid w:val="00F30B73"/>
    <w:rsid w:val="00F31100"/>
    <w:rsid w:val="00F3188C"/>
    <w:rsid w:val="00F32174"/>
    <w:rsid w:val="00F32AB2"/>
    <w:rsid w:val="00F32BEB"/>
    <w:rsid w:val="00F33175"/>
    <w:rsid w:val="00F3366F"/>
    <w:rsid w:val="00F339FF"/>
    <w:rsid w:val="00F33A83"/>
    <w:rsid w:val="00F341F8"/>
    <w:rsid w:val="00F342D3"/>
    <w:rsid w:val="00F3454C"/>
    <w:rsid w:val="00F34C00"/>
    <w:rsid w:val="00F3502E"/>
    <w:rsid w:val="00F352EA"/>
    <w:rsid w:val="00F35ACC"/>
    <w:rsid w:val="00F35D40"/>
    <w:rsid w:val="00F35DE6"/>
    <w:rsid w:val="00F36053"/>
    <w:rsid w:val="00F36181"/>
    <w:rsid w:val="00F36244"/>
    <w:rsid w:val="00F36581"/>
    <w:rsid w:val="00F36619"/>
    <w:rsid w:val="00F36849"/>
    <w:rsid w:val="00F36F5C"/>
    <w:rsid w:val="00F370C4"/>
    <w:rsid w:val="00F37D2B"/>
    <w:rsid w:val="00F40077"/>
    <w:rsid w:val="00F401C0"/>
    <w:rsid w:val="00F40250"/>
    <w:rsid w:val="00F405AE"/>
    <w:rsid w:val="00F40716"/>
    <w:rsid w:val="00F40ADD"/>
    <w:rsid w:val="00F40DBF"/>
    <w:rsid w:val="00F41119"/>
    <w:rsid w:val="00F4111B"/>
    <w:rsid w:val="00F411D1"/>
    <w:rsid w:val="00F4170F"/>
    <w:rsid w:val="00F41778"/>
    <w:rsid w:val="00F41F95"/>
    <w:rsid w:val="00F425A0"/>
    <w:rsid w:val="00F42CAD"/>
    <w:rsid w:val="00F42F5D"/>
    <w:rsid w:val="00F43500"/>
    <w:rsid w:val="00F436E5"/>
    <w:rsid w:val="00F43852"/>
    <w:rsid w:val="00F43EB0"/>
    <w:rsid w:val="00F44131"/>
    <w:rsid w:val="00F443FF"/>
    <w:rsid w:val="00F44558"/>
    <w:rsid w:val="00F4471A"/>
    <w:rsid w:val="00F44806"/>
    <w:rsid w:val="00F450A5"/>
    <w:rsid w:val="00F452DA"/>
    <w:rsid w:val="00F45336"/>
    <w:rsid w:val="00F454E6"/>
    <w:rsid w:val="00F45D08"/>
    <w:rsid w:val="00F4615C"/>
    <w:rsid w:val="00F461E4"/>
    <w:rsid w:val="00F46941"/>
    <w:rsid w:val="00F46B12"/>
    <w:rsid w:val="00F46B72"/>
    <w:rsid w:val="00F473AC"/>
    <w:rsid w:val="00F47632"/>
    <w:rsid w:val="00F47731"/>
    <w:rsid w:val="00F47B5B"/>
    <w:rsid w:val="00F47CF2"/>
    <w:rsid w:val="00F47D49"/>
    <w:rsid w:val="00F50012"/>
    <w:rsid w:val="00F502BE"/>
    <w:rsid w:val="00F50756"/>
    <w:rsid w:val="00F50A79"/>
    <w:rsid w:val="00F50E81"/>
    <w:rsid w:val="00F5107D"/>
    <w:rsid w:val="00F51181"/>
    <w:rsid w:val="00F5127A"/>
    <w:rsid w:val="00F5127E"/>
    <w:rsid w:val="00F513B5"/>
    <w:rsid w:val="00F51400"/>
    <w:rsid w:val="00F514D8"/>
    <w:rsid w:val="00F516E8"/>
    <w:rsid w:val="00F51822"/>
    <w:rsid w:val="00F519C9"/>
    <w:rsid w:val="00F51C06"/>
    <w:rsid w:val="00F51ECF"/>
    <w:rsid w:val="00F520C0"/>
    <w:rsid w:val="00F52363"/>
    <w:rsid w:val="00F52569"/>
    <w:rsid w:val="00F52B1C"/>
    <w:rsid w:val="00F52BB3"/>
    <w:rsid w:val="00F53578"/>
    <w:rsid w:val="00F53953"/>
    <w:rsid w:val="00F53FB0"/>
    <w:rsid w:val="00F54265"/>
    <w:rsid w:val="00F54553"/>
    <w:rsid w:val="00F54A22"/>
    <w:rsid w:val="00F55317"/>
    <w:rsid w:val="00F55514"/>
    <w:rsid w:val="00F55692"/>
    <w:rsid w:val="00F55FCF"/>
    <w:rsid w:val="00F5617D"/>
    <w:rsid w:val="00F56295"/>
    <w:rsid w:val="00F56ACE"/>
    <w:rsid w:val="00F57129"/>
    <w:rsid w:val="00F57427"/>
    <w:rsid w:val="00F577DC"/>
    <w:rsid w:val="00F57C26"/>
    <w:rsid w:val="00F57E89"/>
    <w:rsid w:val="00F57EF1"/>
    <w:rsid w:val="00F60872"/>
    <w:rsid w:val="00F60E2C"/>
    <w:rsid w:val="00F611B9"/>
    <w:rsid w:val="00F612CF"/>
    <w:rsid w:val="00F6145B"/>
    <w:rsid w:val="00F6148C"/>
    <w:rsid w:val="00F6185B"/>
    <w:rsid w:val="00F61E61"/>
    <w:rsid w:val="00F61E78"/>
    <w:rsid w:val="00F62507"/>
    <w:rsid w:val="00F62A65"/>
    <w:rsid w:val="00F62AEE"/>
    <w:rsid w:val="00F62D0C"/>
    <w:rsid w:val="00F62E01"/>
    <w:rsid w:val="00F62E26"/>
    <w:rsid w:val="00F62F67"/>
    <w:rsid w:val="00F62FBD"/>
    <w:rsid w:val="00F63582"/>
    <w:rsid w:val="00F63AA4"/>
    <w:rsid w:val="00F63CD2"/>
    <w:rsid w:val="00F64A75"/>
    <w:rsid w:val="00F64EA6"/>
    <w:rsid w:val="00F64EAD"/>
    <w:rsid w:val="00F64EBA"/>
    <w:rsid w:val="00F64F2C"/>
    <w:rsid w:val="00F653F5"/>
    <w:rsid w:val="00F65405"/>
    <w:rsid w:val="00F65443"/>
    <w:rsid w:val="00F65841"/>
    <w:rsid w:val="00F65A7C"/>
    <w:rsid w:val="00F65BA3"/>
    <w:rsid w:val="00F65BA5"/>
    <w:rsid w:val="00F66091"/>
    <w:rsid w:val="00F663B9"/>
    <w:rsid w:val="00F663DB"/>
    <w:rsid w:val="00F664F1"/>
    <w:rsid w:val="00F672EA"/>
    <w:rsid w:val="00F6775F"/>
    <w:rsid w:val="00F67809"/>
    <w:rsid w:val="00F67B4E"/>
    <w:rsid w:val="00F67F21"/>
    <w:rsid w:val="00F7007E"/>
    <w:rsid w:val="00F7070B"/>
    <w:rsid w:val="00F707D2"/>
    <w:rsid w:val="00F7081B"/>
    <w:rsid w:val="00F7093B"/>
    <w:rsid w:val="00F71019"/>
    <w:rsid w:val="00F71220"/>
    <w:rsid w:val="00F7143D"/>
    <w:rsid w:val="00F720EA"/>
    <w:rsid w:val="00F724FA"/>
    <w:rsid w:val="00F72735"/>
    <w:rsid w:val="00F728ED"/>
    <w:rsid w:val="00F7292D"/>
    <w:rsid w:val="00F72A72"/>
    <w:rsid w:val="00F72CC4"/>
    <w:rsid w:val="00F73141"/>
    <w:rsid w:val="00F73AB6"/>
    <w:rsid w:val="00F73AFE"/>
    <w:rsid w:val="00F73BCA"/>
    <w:rsid w:val="00F74442"/>
    <w:rsid w:val="00F74699"/>
    <w:rsid w:val="00F7473E"/>
    <w:rsid w:val="00F7536C"/>
    <w:rsid w:val="00F75519"/>
    <w:rsid w:val="00F755C8"/>
    <w:rsid w:val="00F755E2"/>
    <w:rsid w:val="00F7567F"/>
    <w:rsid w:val="00F75737"/>
    <w:rsid w:val="00F75747"/>
    <w:rsid w:val="00F75844"/>
    <w:rsid w:val="00F759EF"/>
    <w:rsid w:val="00F75A39"/>
    <w:rsid w:val="00F75C83"/>
    <w:rsid w:val="00F75F90"/>
    <w:rsid w:val="00F7622D"/>
    <w:rsid w:val="00F76D13"/>
    <w:rsid w:val="00F76DAE"/>
    <w:rsid w:val="00F76F5D"/>
    <w:rsid w:val="00F77045"/>
    <w:rsid w:val="00F773CF"/>
    <w:rsid w:val="00F77500"/>
    <w:rsid w:val="00F77576"/>
    <w:rsid w:val="00F77737"/>
    <w:rsid w:val="00F77B35"/>
    <w:rsid w:val="00F801D6"/>
    <w:rsid w:val="00F803A8"/>
    <w:rsid w:val="00F80611"/>
    <w:rsid w:val="00F8061F"/>
    <w:rsid w:val="00F80727"/>
    <w:rsid w:val="00F80E92"/>
    <w:rsid w:val="00F80FE7"/>
    <w:rsid w:val="00F81E39"/>
    <w:rsid w:val="00F821F1"/>
    <w:rsid w:val="00F82E39"/>
    <w:rsid w:val="00F82E7D"/>
    <w:rsid w:val="00F82E93"/>
    <w:rsid w:val="00F8312F"/>
    <w:rsid w:val="00F8327B"/>
    <w:rsid w:val="00F8380D"/>
    <w:rsid w:val="00F83B2A"/>
    <w:rsid w:val="00F8404C"/>
    <w:rsid w:val="00F8408E"/>
    <w:rsid w:val="00F842D6"/>
    <w:rsid w:val="00F84B1C"/>
    <w:rsid w:val="00F84BD6"/>
    <w:rsid w:val="00F84DD9"/>
    <w:rsid w:val="00F84F00"/>
    <w:rsid w:val="00F85251"/>
    <w:rsid w:val="00F85254"/>
    <w:rsid w:val="00F85737"/>
    <w:rsid w:val="00F85FB1"/>
    <w:rsid w:val="00F85FF6"/>
    <w:rsid w:val="00F861C0"/>
    <w:rsid w:val="00F86515"/>
    <w:rsid w:val="00F86671"/>
    <w:rsid w:val="00F86845"/>
    <w:rsid w:val="00F86E39"/>
    <w:rsid w:val="00F8727F"/>
    <w:rsid w:val="00F874E6"/>
    <w:rsid w:val="00F9012B"/>
    <w:rsid w:val="00F90138"/>
    <w:rsid w:val="00F9088A"/>
    <w:rsid w:val="00F90C33"/>
    <w:rsid w:val="00F90FA2"/>
    <w:rsid w:val="00F9122C"/>
    <w:rsid w:val="00F913D6"/>
    <w:rsid w:val="00F9196F"/>
    <w:rsid w:val="00F91C1B"/>
    <w:rsid w:val="00F91F1F"/>
    <w:rsid w:val="00F927A0"/>
    <w:rsid w:val="00F92B53"/>
    <w:rsid w:val="00F92FF9"/>
    <w:rsid w:val="00F9326C"/>
    <w:rsid w:val="00F9355C"/>
    <w:rsid w:val="00F93941"/>
    <w:rsid w:val="00F93A46"/>
    <w:rsid w:val="00F93A9B"/>
    <w:rsid w:val="00F93BEA"/>
    <w:rsid w:val="00F93E29"/>
    <w:rsid w:val="00F94133"/>
    <w:rsid w:val="00F94314"/>
    <w:rsid w:val="00F94367"/>
    <w:rsid w:val="00F947A6"/>
    <w:rsid w:val="00F94D55"/>
    <w:rsid w:val="00F94F71"/>
    <w:rsid w:val="00F95731"/>
    <w:rsid w:val="00F95BED"/>
    <w:rsid w:val="00F95C16"/>
    <w:rsid w:val="00F95C2C"/>
    <w:rsid w:val="00F96106"/>
    <w:rsid w:val="00F9631E"/>
    <w:rsid w:val="00F968B4"/>
    <w:rsid w:val="00F96D16"/>
    <w:rsid w:val="00F96D54"/>
    <w:rsid w:val="00F97490"/>
    <w:rsid w:val="00F97729"/>
    <w:rsid w:val="00F97A53"/>
    <w:rsid w:val="00F97FE7"/>
    <w:rsid w:val="00FA00F8"/>
    <w:rsid w:val="00FA0145"/>
    <w:rsid w:val="00FA05BE"/>
    <w:rsid w:val="00FA0606"/>
    <w:rsid w:val="00FA062F"/>
    <w:rsid w:val="00FA10CC"/>
    <w:rsid w:val="00FA118E"/>
    <w:rsid w:val="00FA127D"/>
    <w:rsid w:val="00FA1528"/>
    <w:rsid w:val="00FA18D5"/>
    <w:rsid w:val="00FA1926"/>
    <w:rsid w:val="00FA1A5B"/>
    <w:rsid w:val="00FA1D9B"/>
    <w:rsid w:val="00FA1E11"/>
    <w:rsid w:val="00FA2064"/>
    <w:rsid w:val="00FA2369"/>
    <w:rsid w:val="00FA2BBE"/>
    <w:rsid w:val="00FA44FA"/>
    <w:rsid w:val="00FA4A56"/>
    <w:rsid w:val="00FA4C9B"/>
    <w:rsid w:val="00FA5199"/>
    <w:rsid w:val="00FA5394"/>
    <w:rsid w:val="00FA53C3"/>
    <w:rsid w:val="00FA5D2E"/>
    <w:rsid w:val="00FA5E5A"/>
    <w:rsid w:val="00FA5ECF"/>
    <w:rsid w:val="00FA6A35"/>
    <w:rsid w:val="00FA7008"/>
    <w:rsid w:val="00FA7106"/>
    <w:rsid w:val="00FA729B"/>
    <w:rsid w:val="00FA74FB"/>
    <w:rsid w:val="00FA7568"/>
    <w:rsid w:val="00FA7AF4"/>
    <w:rsid w:val="00FA7C8E"/>
    <w:rsid w:val="00FB030A"/>
    <w:rsid w:val="00FB0314"/>
    <w:rsid w:val="00FB1069"/>
    <w:rsid w:val="00FB1C3F"/>
    <w:rsid w:val="00FB1D68"/>
    <w:rsid w:val="00FB2074"/>
    <w:rsid w:val="00FB2125"/>
    <w:rsid w:val="00FB218A"/>
    <w:rsid w:val="00FB2CC6"/>
    <w:rsid w:val="00FB3189"/>
    <w:rsid w:val="00FB33FE"/>
    <w:rsid w:val="00FB35F1"/>
    <w:rsid w:val="00FB374C"/>
    <w:rsid w:val="00FB380E"/>
    <w:rsid w:val="00FB381C"/>
    <w:rsid w:val="00FB3ACA"/>
    <w:rsid w:val="00FB3DA1"/>
    <w:rsid w:val="00FB3EE2"/>
    <w:rsid w:val="00FB46D9"/>
    <w:rsid w:val="00FB4B3C"/>
    <w:rsid w:val="00FB5201"/>
    <w:rsid w:val="00FB52C6"/>
    <w:rsid w:val="00FB55CB"/>
    <w:rsid w:val="00FB5702"/>
    <w:rsid w:val="00FB5A36"/>
    <w:rsid w:val="00FB70A0"/>
    <w:rsid w:val="00FB70D9"/>
    <w:rsid w:val="00FB7236"/>
    <w:rsid w:val="00FB745B"/>
    <w:rsid w:val="00FB74B0"/>
    <w:rsid w:val="00FB770B"/>
    <w:rsid w:val="00FB7ACC"/>
    <w:rsid w:val="00FB7B55"/>
    <w:rsid w:val="00FB7D13"/>
    <w:rsid w:val="00FB7E1D"/>
    <w:rsid w:val="00FC022B"/>
    <w:rsid w:val="00FC0352"/>
    <w:rsid w:val="00FC04C0"/>
    <w:rsid w:val="00FC0696"/>
    <w:rsid w:val="00FC0699"/>
    <w:rsid w:val="00FC0751"/>
    <w:rsid w:val="00FC0BF7"/>
    <w:rsid w:val="00FC0E1C"/>
    <w:rsid w:val="00FC137D"/>
    <w:rsid w:val="00FC16DA"/>
    <w:rsid w:val="00FC1866"/>
    <w:rsid w:val="00FC1C2A"/>
    <w:rsid w:val="00FC1E91"/>
    <w:rsid w:val="00FC1FA2"/>
    <w:rsid w:val="00FC2735"/>
    <w:rsid w:val="00FC33DC"/>
    <w:rsid w:val="00FC34A7"/>
    <w:rsid w:val="00FC38BD"/>
    <w:rsid w:val="00FC3962"/>
    <w:rsid w:val="00FC3997"/>
    <w:rsid w:val="00FC3EC5"/>
    <w:rsid w:val="00FC40E9"/>
    <w:rsid w:val="00FC43DB"/>
    <w:rsid w:val="00FC46E6"/>
    <w:rsid w:val="00FC4AE3"/>
    <w:rsid w:val="00FC51E3"/>
    <w:rsid w:val="00FC526D"/>
    <w:rsid w:val="00FC546C"/>
    <w:rsid w:val="00FC5C95"/>
    <w:rsid w:val="00FC6013"/>
    <w:rsid w:val="00FC6DBC"/>
    <w:rsid w:val="00FC6E77"/>
    <w:rsid w:val="00FC74D8"/>
    <w:rsid w:val="00FC78B0"/>
    <w:rsid w:val="00FC78EC"/>
    <w:rsid w:val="00FC7CFD"/>
    <w:rsid w:val="00FD04C5"/>
    <w:rsid w:val="00FD0696"/>
    <w:rsid w:val="00FD0801"/>
    <w:rsid w:val="00FD092D"/>
    <w:rsid w:val="00FD0C42"/>
    <w:rsid w:val="00FD0F9C"/>
    <w:rsid w:val="00FD1135"/>
    <w:rsid w:val="00FD15D0"/>
    <w:rsid w:val="00FD1D03"/>
    <w:rsid w:val="00FD1E99"/>
    <w:rsid w:val="00FD2B48"/>
    <w:rsid w:val="00FD2DF5"/>
    <w:rsid w:val="00FD30C7"/>
    <w:rsid w:val="00FD33A2"/>
    <w:rsid w:val="00FD349B"/>
    <w:rsid w:val="00FD363D"/>
    <w:rsid w:val="00FD472E"/>
    <w:rsid w:val="00FD49B1"/>
    <w:rsid w:val="00FD4C9F"/>
    <w:rsid w:val="00FD4E14"/>
    <w:rsid w:val="00FD5119"/>
    <w:rsid w:val="00FD541A"/>
    <w:rsid w:val="00FD57B0"/>
    <w:rsid w:val="00FD5BD9"/>
    <w:rsid w:val="00FD5C83"/>
    <w:rsid w:val="00FD61F3"/>
    <w:rsid w:val="00FD6498"/>
    <w:rsid w:val="00FD663B"/>
    <w:rsid w:val="00FD67DB"/>
    <w:rsid w:val="00FD6E30"/>
    <w:rsid w:val="00FD6F84"/>
    <w:rsid w:val="00FD703A"/>
    <w:rsid w:val="00FD73D7"/>
    <w:rsid w:val="00FD77B2"/>
    <w:rsid w:val="00FD7879"/>
    <w:rsid w:val="00FD79CC"/>
    <w:rsid w:val="00FD7A1B"/>
    <w:rsid w:val="00FD7CAE"/>
    <w:rsid w:val="00FD7E31"/>
    <w:rsid w:val="00FE030A"/>
    <w:rsid w:val="00FE031C"/>
    <w:rsid w:val="00FE066D"/>
    <w:rsid w:val="00FE12DF"/>
    <w:rsid w:val="00FE155D"/>
    <w:rsid w:val="00FE1628"/>
    <w:rsid w:val="00FE174D"/>
    <w:rsid w:val="00FE1808"/>
    <w:rsid w:val="00FE1CCB"/>
    <w:rsid w:val="00FE1FCE"/>
    <w:rsid w:val="00FE218A"/>
    <w:rsid w:val="00FE2210"/>
    <w:rsid w:val="00FE232A"/>
    <w:rsid w:val="00FE267C"/>
    <w:rsid w:val="00FE26CA"/>
    <w:rsid w:val="00FE2A48"/>
    <w:rsid w:val="00FE2CBC"/>
    <w:rsid w:val="00FE34F5"/>
    <w:rsid w:val="00FE3C06"/>
    <w:rsid w:val="00FE4104"/>
    <w:rsid w:val="00FE46CF"/>
    <w:rsid w:val="00FE488A"/>
    <w:rsid w:val="00FE4BDE"/>
    <w:rsid w:val="00FE4EAE"/>
    <w:rsid w:val="00FE4EB3"/>
    <w:rsid w:val="00FE5014"/>
    <w:rsid w:val="00FE5527"/>
    <w:rsid w:val="00FE5D3A"/>
    <w:rsid w:val="00FE6114"/>
    <w:rsid w:val="00FE643D"/>
    <w:rsid w:val="00FE6665"/>
    <w:rsid w:val="00FE6C05"/>
    <w:rsid w:val="00FE7879"/>
    <w:rsid w:val="00FE7A95"/>
    <w:rsid w:val="00FE7E8F"/>
    <w:rsid w:val="00FE7F1D"/>
    <w:rsid w:val="00FF067D"/>
    <w:rsid w:val="00FF06C1"/>
    <w:rsid w:val="00FF07F3"/>
    <w:rsid w:val="00FF0A28"/>
    <w:rsid w:val="00FF0ACD"/>
    <w:rsid w:val="00FF109C"/>
    <w:rsid w:val="00FF1952"/>
    <w:rsid w:val="00FF1C36"/>
    <w:rsid w:val="00FF2103"/>
    <w:rsid w:val="00FF2BBB"/>
    <w:rsid w:val="00FF32BB"/>
    <w:rsid w:val="00FF397B"/>
    <w:rsid w:val="00FF3DDF"/>
    <w:rsid w:val="00FF3F5D"/>
    <w:rsid w:val="00FF3FEC"/>
    <w:rsid w:val="00FF40DB"/>
    <w:rsid w:val="00FF4434"/>
    <w:rsid w:val="00FF470E"/>
    <w:rsid w:val="00FF480C"/>
    <w:rsid w:val="00FF481E"/>
    <w:rsid w:val="00FF48B5"/>
    <w:rsid w:val="00FF4C06"/>
    <w:rsid w:val="00FF51AC"/>
    <w:rsid w:val="00FF560D"/>
    <w:rsid w:val="00FF573B"/>
    <w:rsid w:val="00FF59C6"/>
    <w:rsid w:val="00FF5B3C"/>
    <w:rsid w:val="00FF5CEC"/>
    <w:rsid w:val="00FF6006"/>
    <w:rsid w:val="00FF6235"/>
    <w:rsid w:val="00FF6A63"/>
    <w:rsid w:val="00FF6ABE"/>
    <w:rsid w:val="00FF6B0E"/>
    <w:rsid w:val="00FF72CA"/>
    <w:rsid w:val="00FF77B0"/>
    <w:rsid w:val="00FF7850"/>
    <w:rsid w:val="00FF7A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2D42EF"/>
  <w14:defaultImageDpi w14:val="0"/>
  <w15:docId w15:val="{89D4F601-771B-4165-864C-87A4EF0A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74D"/>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
    <w:qFormat/>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
    <w:unhideWhenUsed/>
    <w:qFormat/>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080EF2"/>
    <w:pPr>
      <w:keepNext/>
      <w:spacing w:before="240" w:after="60"/>
      <w:outlineLvl w:val="2"/>
    </w:pPr>
    <w:rPr>
      <w:b/>
      <w:bCs/>
      <w:sz w:val="26"/>
      <w:szCs w:val="26"/>
    </w:rPr>
  </w:style>
  <w:style w:type="paragraph" w:styleId="Ttulo4">
    <w:name w:val="heading 4"/>
    <w:basedOn w:val="Normal"/>
    <w:next w:val="Normal"/>
    <w:link w:val="Ttulo4Car"/>
    <w:uiPriority w:val="99"/>
    <w:qFormat/>
    <w:locked/>
    <w:rsid w:val="00D9735F"/>
    <w:pPr>
      <w:keepNext/>
      <w:spacing w:before="240" w:after="60"/>
      <w:outlineLvl w:val="3"/>
    </w:pPr>
    <w:rPr>
      <w:b/>
      <w:bCs/>
      <w:sz w:val="28"/>
      <w:szCs w:val="28"/>
    </w:rPr>
  </w:style>
  <w:style w:type="paragraph" w:styleId="Ttulo5">
    <w:name w:val="heading 5"/>
    <w:basedOn w:val="Normal"/>
    <w:next w:val="Normal"/>
    <w:link w:val="Ttulo5Car"/>
    <w:uiPriority w:val="99"/>
    <w:qFormat/>
    <w:pPr>
      <w:keepNext/>
      <w:tabs>
        <w:tab w:val="left" w:pos="0"/>
      </w:tabs>
      <w:jc w:val="center"/>
      <w:outlineLvl w:val="4"/>
    </w:pPr>
    <w:rPr>
      <w:b/>
      <w:bCs/>
      <w:lang w:val="es-ES"/>
    </w:rPr>
  </w:style>
  <w:style w:type="paragraph" w:styleId="Ttulo6">
    <w:name w:val="heading 6"/>
    <w:basedOn w:val="Normal"/>
    <w:next w:val="Normal"/>
    <w:link w:val="Ttulo6Car"/>
    <w:uiPriority w:val="9"/>
    <w:unhideWhenUsed/>
    <w:qFormat/>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
    <w:unhideWhenUsed/>
    <w:qFormat/>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4557BD"/>
    <w:rPr>
      <w:rFonts w:ascii="Cambria" w:eastAsia="Times New Roman" w:hAnsi="Cambria" w:cs="Times New Roman"/>
      <w:b/>
      <w:bCs/>
      <w:kern w:val="32"/>
      <w:sz w:val="32"/>
      <w:szCs w:val="32"/>
      <w:lang w:val="es-ES_tradnl" w:eastAsia="ar-SA" w:bidi="ar-SA"/>
    </w:rPr>
  </w:style>
  <w:style w:type="character" w:customStyle="1" w:styleId="Ttulo2Car">
    <w:name w:val="Título 2 Car"/>
    <w:link w:val="Ttulo2"/>
    <w:uiPriority w:val="9"/>
    <w:locked/>
    <w:rsid w:val="004557BD"/>
    <w:rPr>
      <w:rFonts w:ascii="Cambria" w:eastAsia="Times New Roman" w:hAnsi="Cambria" w:cs="Times New Roman"/>
      <w:b/>
      <w:bCs/>
      <w:i/>
      <w:iCs/>
      <w:sz w:val="28"/>
      <w:szCs w:val="28"/>
      <w:lang w:val="es-ES_tradnl" w:eastAsia="ar-SA" w:bidi="ar-SA"/>
    </w:rPr>
  </w:style>
  <w:style w:type="character" w:customStyle="1" w:styleId="Ttulo3Car">
    <w:name w:val="Título 3 Car"/>
    <w:link w:val="Ttulo3"/>
    <w:uiPriority w:val="99"/>
    <w:semiHidden/>
    <w:locked/>
    <w:rPr>
      <w:rFonts w:ascii="Cambria" w:hAnsi="Cambria" w:cs="Cambria"/>
      <w:b/>
      <w:bCs/>
      <w:sz w:val="26"/>
      <w:szCs w:val="26"/>
      <w:lang w:val="es-ES_tradnl" w:eastAsia="ar-SA" w:bidi="ar-SA"/>
    </w:rPr>
  </w:style>
  <w:style w:type="character" w:customStyle="1" w:styleId="Ttulo4Car">
    <w:name w:val="Título 4 Car"/>
    <w:link w:val="Ttulo4"/>
    <w:uiPriority w:val="99"/>
    <w:semiHidden/>
    <w:locked/>
    <w:rPr>
      <w:rFonts w:ascii="Calibri" w:hAnsi="Calibri" w:cs="Calibri"/>
      <w:b/>
      <w:bCs/>
      <w:sz w:val="28"/>
      <w:szCs w:val="28"/>
      <w:lang w:val="es-ES_tradnl" w:eastAsia="ar-SA" w:bidi="ar-SA"/>
    </w:rPr>
  </w:style>
  <w:style w:type="character" w:customStyle="1" w:styleId="Ttulo5Car">
    <w:name w:val="Título 5 Car"/>
    <w:link w:val="Ttulo5"/>
    <w:uiPriority w:val="99"/>
    <w:semiHidden/>
    <w:locked/>
    <w:rPr>
      <w:rFonts w:ascii="Calibri" w:hAnsi="Calibri" w:cs="Calibri"/>
      <w:b/>
      <w:bCs/>
      <w:i/>
      <w:iCs/>
      <w:sz w:val="26"/>
      <w:szCs w:val="26"/>
      <w:lang w:val="es-ES_tradnl" w:eastAsia="ar-SA" w:bidi="ar-SA"/>
    </w:rPr>
  </w:style>
  <w:style w:type="character" w:customStyle="1" w:styleId="Ttulo6Car">
    <w:name w:val="Título 6 Car"/>
    <w:link w:val="Ttulo6"/>
    <w:uiPriority w:val="9"/>
    <w:locked/>
    <w:rsid w:val="004557BD"/>
    <w:rPr>
      <w:rFonts w:ascii="Calibri" w:eastAsia="Times New Roman" w:hAnsi="Calibri" w:cs="Times New Roman"/>
      <w:b/>
      <w:bCs/>
      <w:lang w:val="es-ES_tradnl" w:eastAsia="ar-SA" w:bidi="ar-SA"/>
    </w:rPr>
  </w:style>
  <w:style w:type="character" w:customStyle="1" w:styleId="Ttulo7Car">
    <w:name w:val="Título 7 Car"/>
    <w:link w:val="Ttulo7"/>
    <w:uiPriority w:val="9"/>
    <w:locked/>
    <w:rsid w:val="004557BD"/>
    <w:rPr>
      <w:rFonts w:ascii="Calibri" w:eastAsia="Times New Roman" w:hAnsi="Calibri" w:cs="Times New Roman"/>
      <w:sz w:val="24"/>
      <w:szCs w:val="24"/>
      <w:lang w:val="es-ES_tradnl" w:eastAsia="ar-SA" w:bidi="ar-SA"/>
    </w:rPr>
  </w:style>
  <w:style w:type="character" w:customStyle="1" w:styleId="WW8Num1z0">
    <w:name w:val="WW8Num1z0"/>
    <w:uiPriority w:val="99"/>
    <w:rPr>
      <w:rFonts w:ascii="Arial" w:hAnsi="Arial"/>
    </w:rPr>
  </w:style>
  <w:style w:type="character" w:customStyle="1" w:styleId="WW8Num2z0">
    <w:name w:val="WW8Num2z0"/>
    <w:uiPriority w:val="99"/>
    <w:rPr>
      <w:rFonts w:ascii="Arial" w:hAnsi="Arial"/>
    </w:rPr>
  </w:style>
  <w:style w:type="character" w:customStyle="1" w:styleId="Fuentedeprrafopredeter3">
    <w:name w:val="Fuente de párrafo predeter.3"/>
    <w:uiPriority w:val="99"/>
  </w:style>
  <w:style w:type="character" w:customStyle="1" w:styleId="Absatz-Standardschriftart">
    <w:name w:val="Absatz-Standardschriftart"/>
    <w:uiPriority w:val="99"/>
  </w:style>
  <w:style w:type="character" w:customStyle="1" w:styleId="WW8Num3z0">
    <w:name w:val="WW8Num3z0"/>
    <w:uiPriority w:val="99"/>
    <w:rPr>
      <w:rFonts w:ascii="Symbol" w:hAnsi="Symbol"/>
      <w:sz w:val="18"/>
    </w:rPr>
  </w:style>
  <w:style w:type="character" w:customStyle="1" w:styleId="WW8Num5z0">
    <w:name w:val="WW8Num5z0"/>
    <w:uiPriority w:val="99"/>
    <w:rPr>
      <w:rFonts w:ascii="Arial" w:hAnsi="Aria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Fuentedeprrafopredeter2">
    <w:name w:val="Fuente de párrafo predeter.2"/>
    <w:uiPriority w:val="99"/>
  </w:style>
  <w:style w:type="character" w:customStyle="1" w:styleId="WW8Num4z0">
    <w:name w:val="WW8Num4z0"/>
    <w:uiPriority w:val="99"/>
    <w:rPr>
      <w:rFonts w:ascii="Symbol" w:hAnsi="Symbol"/>
    </w:rPr>
  </w:style>
  <w:style w:type="character" w:customStyle="1" w:styleId="Fuentedeprrafopredeter1">
    <w:name w:val="Fuente de párrafo predeter.1"/>
    <w:uiPriority w:val="99"/>
  </w:style>
  <w:style w:type="character" w:styleId="Nmerodepgina">
    <w:name w:val="page number"/>
    <w:uiPriority w:val="99"/>
    <w:rPr>
      <w:rFonts w:cs="Times New Roman"/>
    </w:rPr>
  </w:style>
  <w:style w:type="character" w:customStyle="1" w:styleId="Smbolodenotaalpie">
    <w:name w:val="Símbolo de nota al pie"/>
    <w:uiPriority w:val="99"/>
    <w:rPr>
      <w:vertAlign w:val="superscript"/>
    </w:rPr>
  </w:style>
  <w:style w:type="character" w:styleId="Hipervnculo">
    <w:name w:val="Hyperlink"/>
    <w:uiPriority w:val="99"/>
    <w:rPr>
      <w:rFonts w:cs="Times New Roman"/>
      <w:color w:val="0000FF"/>
      <w:u w:val="single"/>
    </w:rPr>
  </w:style>
  <w:style w:type="character" w:customStyle="1" w:styleId="Refdenotaalpie1">
    <w:name w:val="Ref. de nota al pie1"/>
    <w:uiPriority w:val="99"/>
    <w:rPr>
      <w:vertAlign w:val="superscript"/>
    </w:rPr>
  </w:style>
  <w:style w:type="character" w:customStyle="1" w:styleId="Refdenotaalpie2">
    <w:name w:val="Ref. de nota al pie2"/>
    <w:uiPriority w:val="99"/>
    <w:rPr>
      <w:vertAlign w:val="superscript"/>
    </w:rPr>
  </w:style>
  <w:style w:type="character" w:customStyle="1" w:styleId="Refdenotaalpie3">
    <w:name w:val="Ref. de nota al pie3"/>
    <w:uiPriority w:val="99"/>
    <w:rPr>
      <w:vertAlign w:val="superscript"/>
    </w:rPr>
  </w:style>
  <w:style w:type="character" w:customStyle="1" w:styleId="Refdenotaalpie4">
    <w:name w:val="Ref. de nota al pie4"/>
    <w:uiPriority w:val="99"/>
    <w:rPr>
      <w:vertAlign w:val="superscript"/>
    </w:rPr>
  </w:style>
  <w:style w:type="character" w:customStyle="1" w:styleId="Vietas">
    <w:name w:val="Viñetas"/>
    <w:uiPriority w:val="99"/>
    <w:rPr>
      <w:rFonts w:ascii="StarSymbol" w:eastAsia="StarSymbol" w:hAnsi="StarSymbol"/>
      <w:sz w:val="18"/>
    </w:rPr>
  </w:style>
  <w:style w:type="character" w:customStyle="1" w:styleId="Smbolodenotafinal">
    <w:name w:val="Símbolo de nota final"/>
    <w:uiPriority w:val="99"/>
    <w:rPr>
      <w:vertAlign w:val="superscript"/>
    </w:rPr>
  </w:style>
  <w:style w:type="character" w:customStyle="1" w:styleId="WW-Smbolodenotafinal">
    <w:name w:val="WW-Símbolo de nota final"/>
    <w:uiPriority w:val="99"/>
  </w:style>
  <w:style w:type="character" w:customStyle="1" w:styleId="Refdenotaalpie5">
    <w:name w:val="Ref. de nota al pie5"/>
    <w:uiPriority w:val="99"/>
    <w:rPr>
      <w:vertAlign w:val="superscript"/>
    </w:rPr>
  </w:style>
  <w:style w:type="character" w:customStyle="1" w:styleId="Carcterdenumeracin">
    <w:name w:val="Carácter de numeración"/>
    <w:uiPriority w:val="99"/>
  </w:style>
  <w:style w:type="character" w:customStyle="1" w:styleId="Refdenotaalfinal1">
    <w:name w:val="Ref. de nota al final1"/>
    <w:uiPriority w:val="99"/>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Pr>
      <w:rFonts w:cs="Times New Roman"/>
      <w:vertAlign w:val="superscript"/>
    </w:rPr>
  </w:style>
  <w:style w:type="character" w:styleId="Refdenotaalfinal">
    <w:name w:val="endnote reference"/>
    <w:uiPriority w:val="99"/>
    <w:semiHidden/>
    <w:rPr>
      <w:rFonts w:cs="Times New Roman"/>
      <w:vertAlign w:val="superscript"/>
    </w:rPr>
  </w:style>
  <w:style w:type="paragraph" w:customStyle="1" w:styleId="Encabezado3">
    <w:name w:val="Encabezado3"/>
    <w:basedOn w:val="Normal"/>
    <w:next w:val="Textoindependiente"/>
    <w:uiPriority w:val="99"/>
    <w:pPr>
      <w:keepNext/>
      <w:spacing w:before="240" w:after="120"/>
    </w:pPr>
    <w:rPr>
      <w:rFonts w:eastAsia="MS Mincho"/>
      <w:sz w:val="28"/>
      <w:szCs w:val="28"/>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locked/>
    <w:rPr>
      <w:rFonts w:ascii="Arial" w:hAnsi="Arial" w:cs="Arial"/>
      <w:sz w:val="24"/>
      <w:szCs w:val="24"/>
      <w:lang w:val="es-ES_tradnl" w:eastAsia="ar-SA" w:bidi="ar-SA"/>
    </w:rPr>
  </w:style>
  <w:style w:type="paragraph" w:styleId="Lista">
    <w:name w:val="List"/>
    <w:basedOn w:val="Textoindependiente"/>
    <w:uiPriority w:val="99"/>
  </w:style>
  <w:style w:type="paragraph" w:customStyle="1" w:styleId="Etiqueta">
    <w:name w:val="Etiqueta"/>
    <w:basedOn w:val="Normal"/>
    <w:uiPriority w:val="99"/>
    <w:pPr>
      <w:suppressLineNumbers/>
      <w:spacing w:before="120" w:after="120"/>
    </w:pPr>
    <w:rPr>
      <w:i/>
      <w:iCs/>
    </w:rPr>
  </w:style>
  <w:style w:type="paragraph" w:customStyle="1" w:styleId="ndice">
    <w:name w:val="Índice"/>
    <w:basedOn w:val="Normal"/>
    <w:uiPriority w:val="99"/>
    <w:pPr>
      <w:suppressLineNumbers/>
    </w:pPr>
  </w:style>
  <w:style w:type="paragraph" w:customStyle="1" w:styleId="Encabezado2">
    <w:name w:val="Encabezado2"/>
    <w:basedOn w:val="Normal"/>
    <w:next w:val="Textoindependiente"/>
    <w:uiPriority w:val="99"/>
    <w:pPr>
      <w:keepNext/>
      <w:spacing w:before="240" w:after="120"/>
    </w:pPr>
    <w:rPr>
      <w:rFonts w:eastAsia="MS Mincho"/>
      <w:sz w:val="28"/>
      <w:szCs w:val="28"/>
    </w:rPr>
  </w:style>
  <w:style w:type="paragraph" w:customStyle="1" w:styleId="Encabezado1">
    <w:name w:val="Encabezado1"/>
    <w:basedOn w:val="Normal"/>
    <w:next w:val="Textoindependiente"/>
    <w:uiPriority w:val="99"/>
    <w:pPr>
      <w:keepNext/>
      <w:spacing w:before="240" w:after="120"/>
    </w:pPr>
    <w:rPr>
      <w:rFonts w:eastAsia="MS Mincho"/>
      <w:sz w:val="28"/>
      <w:szCs w:val="28"/>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locked/>
    <w:rPr>
      <w:rFonts w:ascii="Arial" w:hAnsi="Arial" w:cs="Arial"/>
      <w:sz w:val="24"/>
      <w:szCs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locked/>
    <w:rPr>
      <w:rFonts w:ascii="Arial" w:hAnsi="Arial" w:cs="Arial"/>
      <w:sz w:val="24"/>
      <w:szCs w:val="24"/>
      <w:lang w:val="es-ES_tradnl" w:eastAsia="ar-SA" w:bidi="ar-SA"/>
    </w:rPr>
  </w:style>
  <w:style w:type="paragraph" w:styleId="Textonotapie">
    <w:name w:val="footnote text"/>
    <w:aliases w:val="Footnote Text Char Char Char Char Char,Footnote Text Char Char Char Char,Ref. de nota al pie11,FA Fu,Footnote Text Cha,Footnote Text Char Char Char,FA Fußnotentext,FA Fuﬂnotentext,Texto nota pie Car,Footnote Text Char Char,FA Fu?notentext"/>
    <w:basedOn w:val="Normal"/>
    <w:link w:val="TextonotapieCar1"/>
    <w:qFormat/>
    <w:rPr>
      <w:lang w:val="es-CO"/>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A00893"/>
    <w:rPr>
      <w:rFonts w:ascii="Arial" w:hAnsi="Arial" w:cs="Arial"/>
      <w:sz w:val="24"/>
      <w:szCs w:val="24"/>
      <w:lang w:val="es-CO"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sid w:val="006F706E"/>
    <w:rPr>
      <w:rFonts w:ascii="Arial" w:hAnsi="Arial" w:cs="Arial"/>
      <w:sz w:val="24"/>
      <w:szCs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Pr>
      <w:rFonts w:ascii="Arial" w:hAnsi="Arial" w:cs="Arial"/>
      <w:sz w:val="24"/>
      <w:szCs w:val="24"/>
      <w:lang w:val="es-ES_tradnl" w:eastAsia="ar-SA" w:bidi="ar-SA"/>
    </w:rPr>
  </w:style>
  <w:style w:type="paragraph" w:styleId="Textodebloque">
    <w:name w:val="Block Text"/>
    <w:basedOn w:val="Normal"/>
    <w:link w:val="TextodebloqueCar"/>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265915"/>
    <w:rPr>
      <w:vertAlign w:val="superscript"/>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Pr>
      <w:rFonts w:ascii="Arial" w:hAnsi="Arial" w:cs="Arial"/>
      <w:sz w:val="24"/>
      <w:szCs w:val="24"/>
      <w:lang w:val="es-ES_tradnl" w:eastAsia="ar-SA" w:bidi="ar-SA"/>
    </w:rPr>
  </w:style>
  <w:style w:type="paragraph" w:customStyle="1" w:styleId="BodyText21">
    <w:name w:val="Body Text 21"/>
    <w:basedOn w:val="Normal"/>
    <w:link w:val="BodyText21Car"/>
    <w:uiPriority w:val="99"/>
    <w:rsid w:val="00C8118F"/>
    <w:pPr>
      <w:suppressAutoHyphens w:val="0"/>
      <w:autoSpaceDN w:val="0"/>
      <w:adjustRightInd w:val="0"/>
      <w:spacing w:line="480" w:lineRule="auto"/>
    </w:pPr>
    <w:rPr>
      <w:lang w:eastAsia="es-ES"/>
    </w:rPr>
  </w:style>
  <w:style w:type="paragraph" w:styleId="Prrafodelista">
    <w:name w:val="List Paragraph"/>
    <w:basedOn w:val="Normal"/>
    <w:qFormat/>
    <w:rsid w:val="002A2BC5"/>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szCs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Pr>
      <w:rFonts w:ascii="Arial" w:hAnsi="Arial" w:cs="Arial"/>
      <w:sz w:val="16"/>
      <w:szCs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szCs w:val="22"/>
      <w:lang w:val="es-ES_tradnl" w:eastAsia="es-ES"/>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Pr>
      <w:rFonts w:ascii="Arial" w:hAnsi="Arial" w:cs="Arial"/>
      <w:sz w:val="16"/>
      <w:szCs w:val="16"/>
      <w:lang w:val="es-ES_tradnl" w:eastAsia="ar-SA" w:bidi="ar-SA"/>
    </w:rPr>
  </w:style>
  <w:style w:type="character" w:customStyle="1" w:styleId="textonavy">
    <w:name w:val="texto_navy"/>
    <w:uiPriority w:val="99"/>
    <w:rsid w:val="00A56527"/>
    <w:rPr>
      <w:rFonts w:cs="Times New Roman"/>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unhideWhenUsed/>
    <w:rsid w:val="004557BD"/>
    <w:pPr>
      <w:ind w:left="566" w:hanging="283"/>
      <w:contextualSpacing/>
    </w:pPr>
  </w:style>
  <w:style w:type="paragraph" w:styleId="Lista3">
    <w:name w:val="List 3"/>
    <w:basedOn w:val="Normal"/>
    <w:uiPriority w:val="99"/>
    <w:unhideWhenUsed/>
    <w:rsid w:val="004557BD"/>
    <w:pPr>
      <w:ind w:left="849" w:hanging="283"/>
      <w:contextualSpacing/>
    </w:pPr>
  </w:style>
  <w:style w:type="paragraph" w:styleId="Lista4">
    <w:name w:val="List 4"/>
    <w:basedOn w:val="Normal"/>
    <w:uiPriority w:val="99"/>
    <w:unhideWhenUsed/>
    <w:rsid w:val="004557BD"/>
    <w:pPr>
      <w:ind w:left="1132" w:hanging="283"/>
      <w:contextualSpacing/>
    </w:pPr>
  </w:style>
  <w:style w:type="paragraph" w:styleId="Listaconvietas2">
    <w:name w:val="List Bullet 2"/>
    <w:basedOn w:val="Normal"/>
    <w:uiPriority w:val="99"/>
    <w:unhideWhenUsed/>
    <w:rsid w:val="004557BD"/>
    <w:pPr>
      <w:numPr>
        <w:numId w:val="1"/>
      </w:numPr>
      <w:contextualSpacing/>
    </w:pPr>
  </w:style>
  <w:style w:type="paragraph" w:styleId="Listaconvietas3">
    <w:name w:val="List Bullet 3"/>
    <w:basedOn w:val="Normal"/>
    <w:uiPriority w:val="99"/>
    <w:unhideWhenUsed/>
    <w:rsid w:val="004557BD"/>
    <w:pPr>
      <w:numPr>
        <w:numId w:val="2"/>
      </w:numPr>
      <w:contextualSpacing/>
    </w:pPr>
  </w:style>
  <w:style w:type="paragraph" w:styleId="Continuarlista">
    <w:name w:val="List Continue"/>
    <w:basedOn w:val="Normal"/>
    <w:uiPriority w:val="99"/>
    <w:unhideWhenUsed/>
    <w:rsid w:val="004557BD"/>
    <w:pPr>
      <w:spacing w:after="120"/>
      <w:ind w:left="283"/>
      <w:contextualSpacing/>
    </w:pPr>
  </w:style>
  <w:style w:type="paragraph" w:styleId="Continuarlista2">
    <w:name w:val="List Continue 2"/>
    <w:basedOn w:val="Normal"/>
    <w:uiPriority w:val="99"/>
    <w:unhideWhenUsed/>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rPr>
      <w:rFonts w:ascii="Arial" w:hAnsi="Arial" w:cs="Arial"/>
      <w:sz w:val="24"/>
      <w:szCs w:val="24"/>
      <w:lang w:val="es-ES_tradnl" w:eastAsia="ar-SA" w:bidi="ar-SA"/>
    </w:rPr>
  </w:style>
  <w:style w:type="paragraph" w:styleId="Textoindependienteprimerasangra2">
    <w:name w:val="Body Text First Indent 2"/>
    <w:basedOn w:val="Sangradetextonormal"/>
    <w:link w:val="Textoindependienteprimerasangra2Car"/>
    <w:uiPriority w:val="99"/>
    <w:unhideWhenUsed/>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locked/>
    <w:rsid w:val="004557BD"/>
    <w:rPr>
      <w:rFonts w:ascii="Arial" w:hAnsi="Arial" w:cs="Arial"/>
      <w:sz w:val="24"/>
      <w:szCs w:val="24"/>
      <w:lang w:val="es-ES_tradnl" w:eastAsia="ar-SA" w:bidi="ar-SA"/>
    </w:rPr>
  </w:style>
  <w:style w:type="paragraph" w:customStyle="1" w:styleId="BodyText22">
    <w:name w:val="Body Text 22"/>
    <w:basedOn w:val="Normal"/>
    <w:rsid w:val="000A2095"/>
    <w:pPr>
      <w:suppressAutoHyphens w:val="0"/>
      <w:autoSpaceDN w:val="0"/>
      <w:adjustRightInd w:val="0"/>
      <w:ind w:firstLine="709"/>
      <w:textAlignment w:val="auto"/>
    </w:pPr>
    <w:rPr>
      <w:rFonts w:ascii="Century Gothic" w:hAnsi="Century Gothic" w:cs="Times New Roman"/>
      <w:kern w:val="28"/>
      <w:sz w:val="22"/>
      <w:szCs w:val="20"/>
      <w:lang w:eastAsia="es-ES"/>
    </w:rPr>
  </w:style>
  <w:style w:type="character" w:customStyle="1" w:styleId="Bodytext">
    <w:name w:val="Body text_"/>
    <w:link w:val="Textoindependiente1"/>
    <w:locked/>
    <w:rsid w:val="00495B49"/>
    <w:rPr>
      <w:rFonts w:ascii="Arial" w:eastAsia="Arial" w:hAnsi="Arial" w:cs="Arial"/>
      <w:shd w:val="clear" w:color="auto" w:fill="FFFFFF"/>
    </w:rPr>
  </w:style>
  <w:style w:type="paragraph" w:customStyle="1" w:styleId="Textoindependiente1">
    <w:name w:val="Texto independiente1"/>
    <w:basedOn w:val="Normal"/>
    <w:link w:val="Bodytext"/>
    <w:rsid w:val="00495B49"/>
    <w:pPr>
      <w:shd w:val="clear" w:color="auto" w:fill="FFFFFF"/>
      <w:suppressAutoHyphens w:val="0"/>
      <w:overflowPunct/>
      <w:autoSpaceDE/>
      <w:spacing w:after="360" w:line="408" w:lineRule="exact"/>
      <w:textAlignment w:val="auto"/>
    </w:pPr>
    <w:rPr>
      <w:rFonts w:eastAsia="Arial"/>
      <w:sz w:val="22"/>
      <w:szCs w:val="22"/>
      <w:lang w:val="es-CO" w:eastAsia="es-CO"/>
    </w:rPr>
  </w:style>
  <w:style w:type="table" w:styleId="Tablaconcuadrcula">
    <w:name w:val="Table Grid"/>
    <w:basedOn w:val="Tablanormal"/>
    <w:locked/>
    <w:rsid w:val="0042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5E4BFA"/>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character" w:customStyle="1" w:styleId="baj">
    <w:name w:val="b_aj"/>
    <w:basedOn w:val="Fuentedeprrafopredeter"/>
    <w:rsid w:val="005E4BFA"/>
  </w:style>
  <w:style w:type="character" w:styleId="Textoennegrita">
    <w:name w:val="Strong"/>
    <w:uiPriority w:val="22"/>
    <w:qFormat/>
    <w:locked/>
    <w:rsid w:val="002A4C26"/>
    <w:rPr>
      <w:b/>
      <w:bCs/>
    </w:rPr>
  </w:style>
  <w:style w:type="character" w:styleId="nfasis">
    <w:name w:val="Emphasis"/>
    <w:qFormat/>
    <w:locked/>
    <w:rsid w:val="006B737D"/>
    <w:rPr>
      <w:i/>
      <w:iCs/>
    </w:rPr>
  </w:style>
  <w:style w:type="paragraph" w:customStyle="1" w:styleId="Puesto">
    <w:name w:val="Puesto"/>
    <w:basedOn w:val="Normal"/>
    <w:link w:val="PuestoCar"/>
    <w:qFormat/>
    <w:locked/>
    <w:rsid w:val="00C71771"/>
    <w:pPr>
      <w:suppressAutoHyphens w:val="0"/>
      <w:overflowPunct/>
      <w:autoSpaceDE/>
      <w:jc w:val="center"/>
      <w:textAlignment w:val="auto"/>
    </w:pPr>
    <w:rPr>
      <w:rFonts w:cs="Times New Roman"/>
      <w:b/>
      <w:szCs w:val="20"/>
      <w:lang w:val="es-ES" w:eastAsia="es-ES"/>
    </w:rPr>
  </w:style>
  <w:style w:type="character" w:customStyle="1" w:styleId="PuestoCar">
    <w:name w:val="Puesto Car"/>
    <w:link w:val="Puesto"/>
    <w:rsid w:val="00C71771"/>
    <w:rPr>
      <w:rFonts w:ascii="Arial" w:hAnsi="Arial"/>
      <w:b/>
      <w:sz w:val="24"/>
      <w:szCs w:val="20"/>
      <w:lang w:val="es-ES" w:eastAsia="es-ES"/>
    </w:rPr>
  </w:style>
  <w:style w:type="paragraph" w:styleId="Subttulo">
    <w:name w:val="Subtitle"/>
    <w:basedOn w:val="Normal"/>
    <w:link w:val="SubttuloCar"/>
    <w:qFormat/>
    <w:locked/>
    <w:rsid w:val="00C71771"/>
    <w:pPr>
      <w:suppressAutoHyphens w:val="0"/>
      <w:overflowPunct/>
      <w:autoSpaceDE/>
      <w:jc w:val="center"/>
      <w:textAlignment w:val="auto"/>
    </w:pPr>
    <w:rPr>
      <w:b/>
      <w:iCs/>
      <w:lang w:val="es-ES" w:eastAsia="es-ES"/>
    </w:rPr>
  </w:style>
  <w:style w:type="character" w:customStyle="1" w:styleId="SubttuloCar">
    <w:name w:val="Subtítulo Car"/>
    <w:link w:val="Subttulo"/>
    <w:rsid w:val="00C71771"/>
    <w:rPr>
      <w:rFonts w:ascii="Arial" w:hAnsi="Arial" w:cs="Arial"/>
      <w:b/>
      <w:iCs/>
      <w:sz w:val="24"/>
      <w:szCs w:val="24"/>
      <w:lang w:val="es-ES" w:eastAsia="es-ES"/>
    </w:rPr>
  </w:style>
  <w:style w:type="paragraph" w:customStyle="1" w:styleId="Textoindependiente21">
    <w:name w:val="Texto independiente 21"/>
    <w:basedOn w:val="Normal"/>
    <w:rsid w:val="00C71771"/>
    <w:pPr>
      <w:suppressAutoHyphens w:val="0"/>
      <w:overflowPunct/>
      <w:autoSpaceDE/>
      <w:spacing w:line="240" w:lineRule="auto"/>
      <w:textAlignment w:val="auto"/>
    </w:pPr>
    <w:rPr>
      <w:rFonts w:cs="Times New Roman"/>
      <w:szCs w:val="20"/>
      <w:lang w:val="es-CO" w:eastAsia="es-ES"/>
    </w:rPr>
  </w:style>
  <w:style w:type="character" w:customStyle="1" w:styleId="rojo1">
    <w:name w:val="rojo1"/>
    <w:rsid w:val="00337B32"/>
    <w:rPr>
      <w:rFonts w:ascii="Verdana" w:hAnsi="Verdana"/>
      <w:b/>
      <w:color w:val="auto"/>
      <w:sz w:val="21"/>
      <w:u w:val="none"/>
    </w:rPr>
  </w:style>
  <w:style w:type="character" w:customStyle="1" w:styleId="parrafos1">
    <w:name w:val="parrafos1"/>
    <w:rsid w:val="00337B32"/>
    <w:rPr>
      <w:rFonts w:ascii="Verdana" w:hAnsi="Verdana"/>
      <w:color w:val="000000"/>
      <w:sz w:val="19"/>
      <w:u w:val="none"/>
    </w:rPr>
  </w:style>
  <w:style w:type="character" w:customStyle="1" w:styleId="textonavy1">
    <w:name w:val="texto_navy1"/>
    <w:rsid w:val="000A441A"/>
    <w:rPr>
      <w:color w:val="000080"/>
    </w:rPr>
  </w:style>
  <w:style w:type="character" w:customStyle="1" w:styleId="SinespaciadoCar">
    <w:name w:val="Sin espaciado Car"/>
    <w:link w:val="Sinespaciado"/>
    <w:locked/>
    <w:rsid w:val="000A441A"/>
    <w:rPr>
      <w:rFonts w:ascii="Calibri" w:eastAsia="Calibri" w:hAnsi="Calibri"/>
      <w:lang w:val="es-ES" w:eastAsia="en-US"/>
    </w:rPr>
  </w:style>
  <w:style w:type="paragraph" w:styleId="Sinespaciado">
    <w:name w:val="No Spacing"/>
    <w:link w:val="SinespaciadoCar"/>
    <w:qFormat/>
    <w:rsid w:val="000A441A"/>
    <w:rPr>
      <w:rFonts w:ascii="Calibri" w:eastAsia="Calibri" w:hAnsi="Calibri"/>
      <w:sz w:val="22"/>
      <w:szCs w:val="22"/>
      <w:lang w:val="es-ES" w:eastAsia="en-US"/>
    </w:rPr>
  </w:style>
  <w:style w:type="character" w:customStyle="1" w:styleId="TextonotapieCarCarCar2">
    <w:name w:val="Texto nota pie Car Car Car2"/>
    <w:aliases w:val="Texto nota pie Car1 Car Car Car1,Texto nota pie Car Car Car Car1,Footnote Text Char Char Char Char Char Car1,Footnote Text Char Char Char Char Car1,Footnote reference Car1,FA Fu Car1,Footnote Text Cha Car1"/>
    <w:locked/>
    <w:rsid w:val="009D1BFB"/>
    <w:rPr>
      <w:lang w:val="es-ES" w:eastAsia="x-none"/>
    </w:rPr>
  </w:style>
  <w:style w:type="paragraph" w:customStyle="1" w:styleId="Textoindependiente22">
    <w:name w:val="Texto independiente 22"/>
    <w:basedOn w:val="Normal"/>
    <w:rsid w:val="00E87BBE"/>
    <w:pPr>
      <w:suppressAutoHyphens w:val="0"/>
      <w:overflowPunct/>
      <w:autoSpaceDE/>
      <w:textAlignment w:val="auto"/>
    </w:pPr>
    <w:rPr>
      <w:rFonts w:cs="Times New Roman"/>
      <w:spacing w:val="-3"/>
      <w:sz w:val="22"/>
      <w:szCs w:val="20"/>
      <w:lang w:eastAsia="es-ES"/>
    </w:rPr>
  </w:style>
  <w:style w:type="character" w:customStyle="1" w:styleId="BodyText21Car">
    <w:name w:val="Body Text 21 Car"/>
    <w:link w:val="BodyText21"/>
    <w:uiPriority w:val="99"/>
    <w:locked/>
    <w:rsid w:val="00A66850"/>
    <w:rPr>
      <w:rFonts w:ascii="Arial" w:hAnsi="Arial" w:cs="Arial"/>
      <w:sz w:val="24"/>
      <w:szCs w:val="24"/>
      <w:lang w:val="es-ES_tradnl" w:eastAsia="es-ES"/>
    </w:rPr>
  </w:style>
  <w:style w:type="paragraph" w:customStyle="1" w:styleId="Piedepagina">
    <w:name w:val="Pie de pagina"/>
    <w:basedOn w:val="Normal"/>
    <w:link w:val="PiedepaginaCar"/>
    <w:rsid w:val="00A66B13"/>
    <w:pPr>
      <w:suppressAutoHyphens w:val="0"/>
      <w:autoSpaceDN w:val="0"/>
      <w:adjustRightInd w:val="0"/>
      <w:spacing w:line="240" w:lineRule="auto"/>
      <w:textAlignment w:val="auto"/>
    </w:pPr>
    <w:rPr>
      <w:rFonts w:cs="Times New Roman"/>
      <w:sz w:val="20"/>
      <w:szCs w:val="20"/>
      <w:lang w:eastAsia="es-ES"/>
    </w:rPr>
  </w:style>
  <w:style w:type="character" w:customStyle="1" w:styleId="PiedepaginaCar">
    <w:name w:val="Pie de pagina Car"/>
    <w:link w:val="Piedepagina"/>
    <w:rsid w:val="00A66B13"/>
    <w:rPr>
      <w:rFonts w:ascii="Arial" w:hAnsi="Arial"/>
      <w:sz w:val="20"/>
      <w:szCs w:val="20"/>
      <w:lang w:val="es-ES_tradnl" w:eastAsia="es-ES"/>
    </w:rPr>
  </w:style>
  <w:style w:type="paragraph" w:customStyle="1" w:styleId="Textodebloque1">
    <w:name w:val="Texto de bloque1"/>
    <w:basedOn w:val="Normal"/>
    <w:link w:val="BlockTextCar"/>
    <w:rsid w:val="00A66B13"/>
    <w:pPr>
      <w:suppressAutoHyphens w:val="0"/>
      <w:autoSpaceDN w:val="0"/>
      <w:adjustRightInd w:val="0"/>
      <w:spacing w:line="240" w:lineRule="auto"/>
      <w:ind w:left="720" w:firstLine="706"/>
    </w:pPr>
    <w:rPr>
      <w:rFonts w:ascii="Times New Roman" w:hAnsi="Times New Roman" w:cs="Times New Roman"/>
      <w:i/>
      <w:szCs w:val="20"/>
      <w:lang w:val="es-ES" w:eastAsia="es-ES"/>
    </w:rPr>
  </w:style>
  <w:style w:type="paragraph" w:customStyle="1" w:styleId="Refdenotaalpei">
    <w:name w:val="Ref. de nota al pei"/>
    <w:basedOn w:val="Piedepgina"/>
    <w:link w:val="RefdenotaalpeiCar"/>
    <w:rsid w:val="00A66B13"/>
    <w:pPr>
      <w:suppressAutoHyphens w:val="0"/>
      <w:autoSpaceDN w:val="0"/>
      <w:adjustRightInd w:val="0"/>
      <w:spacing w:line="240" w:lineRule="auto"/>
    </w:pPr>
    <w:rPr>
      <w:rFonts w:cs="Times New Roman"/>
      <w:sz w:val="16"/>
      <w:szCs w:val="20"/>
      <w:vertAlign w:val="superscript"/>
      <w:lang w:eastAsia="es-ES"/>
    </w:rPr>
  </w:style>
  <w:style w:type="character" w:customStyle="1" w:styleId="RefdenotaalpeiCar">
    <w:name w:val="Ref. de nota al pei Car"/>
    <w:link w:val="Refdenotaalpei"/>
    <w:rsid w:val="00A66B13"/>
    <w:rPr>
      <w:rFonts w:ascii="Arial" w:hAnsi="Arial"/>
      <w:sz w:val="16"/>
      <w:szCs w:val="20"/>
      <w:vertAlign w:val="superscript"/>
      <w:lang w:val="es-ES_tradnl" w:eastAsia="es-ES"/>
    </w:rPr>
  </w:style>
  <w:style w:type="character" w:customStyle="1" w:styleId="BlockTextCar">
    <w:name w:val="Block Text Car"/>
    <w:link w:val="Textodebloque1"/>
    <w:rsid w:val="00A66B13"/>
    <w:rPr>
      <w:i/>
      <w:sz w:val="24"/>
      <w:szCs w:val="20"/>
      <w:lang w:val="es-ES" w:eastAsia="es-ES"/>
    </w:rPr>
  </w:style>
  <w:style w:type="paragraph" w:styleId="HTMLconformatoprevio">
    <w:name w:val="HTML Preformatted"/>
    <w:basedOn w:val="Normal"/>
    <w:link w:val="HTMLconformatoprevioCar"/>
    <w:uiPriority w:val="99"/>
    <w:unhideWhenUsed/>
    <w:rsid w:val="0026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spacing w:line="240" w:lineRule="auto"/>
      <w:jc w:val="left"/>
      <w:textAlignment w:val="auto"/>
    </w:pPr>
    <w:rPr>
      <w:rFonts w:ascii="Courier New" w:hAnsi="Courier New" w:cs="Courier New"/>
      <w:sz w:val="20"/>
      <w:szCs w:val="20"/>
      <w:lang w:val="es-ES" w:eastAsia="es-ES"/>
    </w:rPr>
  </w:style>
  <w:style w:type="character" w:customStyle="1" w:styleId="HTMLconformatoprevioCar">
    <w:name w:val="HTML con formato previo Car"/>
    <w:link w:val="HTMLconformatoprevio"/>
    <w:uiPriority w:val="99"/>
    <w:rsid w:val="002659A1"/>
    <w:rPr>
      <w:rFonts w:ascii="Courier New" w:hAnsi="Courier New" w:cs="Courier New"/>
      <w:sz w:val="20"/>
      <w:szCs w:val="20"/>
      <w:lang w:val="es-ES" w:eastAsia="es-ES"/>
    </w:rPr>
  </w:style>
  <w:style w:type="character" w:styleId="Refdecomentario">
    <w:name w:val="annotation reference"/>
    <w:uiPriority w:val="99"/>
    <w:rsid w:val="00CF5E8D"/>
    <w:rPr>
      <w:sz w:val="16"/>
      <w:szCs w:val="16"/>
    </w:rPr>
  </w:style>
  <w:style w:type="paragraph" w:styleId="Textocomentario">
    <w:name w:val="annotation text"/>
    <w:basedOn w:val="Normal"/>
    <w:link w:val="TextocomentarioCar"/>
    <w:uiPriority w:val="99"/>
    <w:rsid w:val="00CF5E8D"/>
    <w:pPr>
      <w:spacing w:line="240" w:lineRule="auto"/>
    </w:pPr>
    <w:rPr>
      <w:sz w:val="20"/>
      <w:szCs w:val="20"/>
    </w:rPr>
  </w:style>
  <w:style w:type="character" w:customStyle="1" w:styleId="TextocomentarioCar">
    <w:name w:val="Texto comentario Car"/>
    <w:link w:val="Textocomentario"/>
    <w:uiPriority w:val="99"/>
    <w:rsid w:val="00CF5E8D"/>
    <w:rPr>
      <w:rFonts w:ascii="Arial" w:hAnsi="Arial" w:cs="Arial"/>
      <w:sz w:val="20"/>
      <w:szCs w:val="20"/>
      <w:lang w:val="es-ES_tradnl" w:eastAsia="ar-SA"/>
    </w:rPr>
  </w:style>
  <w:style w:type="paragraph" w:styleId="Asuntodelcomentario">
    <w:name w:val="annotation subject"/>
    <w:basedOn w:val="Textocomentario"/>
    <w:next w:val="Textocomentario"/>
    <w:link w:val="AsuntodelcomentarioCar"/>
    <w:uiPriority w:val="99"/>
    <w:rsid w:val="00CF5E8D"/>
    <w:rPr>
      <w:b/>
      <w:bCs/>
    </w:rPr>
  </w:style>
  <w:style w:type="character" w:customStyle="1" w:styleId="AsuntodelcomentarioCar">
    <w:name w:val="Asunto del comentario Car"/>
    <w:link w:val="Asuntodelcomentario"/>
    <w:uiPriority w:val="99"/>
    <w:rsid w:val="00CF5E8D"/>
    <w:rPr>
      <w:rFonts w:ascii="Arial" w:hAnsi="Arial" w:cs="Arial"/>
      <w:b/>
      <w:bCs/>
      <w:sz w:val="20"/>
      <w:szCs w:val="20"/>
      <w:lang w:val="es-ES_tradnl" w:eastAsia="ar-SA"/>
    </w:rPr>
  </w:style>
  <w:style w:type="paragraph" w:customStyle="1" w:styleId="Textoindependiente31">
    <w:name w:val="Texto independiente 31"/>
    <w:basedOn w:val="Normal"/>
    <w:rsid w:val="00556B55"/>
    <w:pPr>
      <w:suppressAutoHyphens w:val="0"/>
      <w:autoSpaceDN w:val="0"/>
      <w:adjustRightInd w:val="0"/>
    </w:pPr>
    <w:rPr>
      <w:rFonts w:cs="Times New Roman"/>
      <w:color w:val="000000"/>
      <w:sz w:val="20"/>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870">
      <w:bodyDiv w:val="1"/>
      <w:marLeft w:val="0"/>
      <w:marRight w:val="0"/>
      <w:marTop w:val="0"/>
      <w:marBottom w:val="0"/>
      <w:divBdr>
        <w:top w:val="none" w:sz="0" w:space="0" w:color="auto"/>
        <w:left w:val="none" w:sz="0" w:space="0" w:color="auto"/>
        <w:bottom w:val="none" w:sz="0" w:space="0" w:color="auto"/>
        <w:right w:val="none" w:sz="0" w:space="0" w:color="auto"/>
      </w:divBdr>
    </w:div>
    <w:div w:id="29916808">
      <w:bodyDiv w:val="1"/>
      <w:marLeft w:val="0"/>
      <w:marRight w:val="0"/>
      <w:marTop w:val="0"/>
      <w:marBottom w:val="0"/>
      <w:divBdr>
        <w:top w:val="none" w:sz="0" w:space="0" w:color="auto"/>
        <w:left w:val="none" w:sz="0" w:space="0" w:color="auto"/>
        <w:bottom w:val="none" w:sz="0" w:space="0" w:color="auto"/>
        <w:right w:val="none" w:sz="0" w:space="0" w:color="auto"/>
      </w:divBdr>
    </w:div>
    <w:div w:id="56247368">
      <w:bodyDiv w:val="1"/>
      <w:marLeft w:val="0"/>
      <w:marRight w:val="0"/>
      <w:marTop w:val="0"/>
      <w:marBottom w:val="0"/>
      <w:divBdr>
        <w:top w:val="none" w:sz="0" w:space="0" w:color="auto"/>
        <w:left w:val="none" w:sz="0" w:space="0" w:color="auto"/>
        <w:bottom w:val="none" w:sz="0" w:space="0" w:color="auto"/>
        <w:right w:val="none" w:sz="0" w:space="0" w:color="auto"/>
      </w:divBdr>
    </w:div>
    <w:div w:id="59908382">
      <w:bodyDiv w:val="1"/>
      <w:marLeft w:val="0"/>
      <w:marRight w:val="0"/>
      <w:marTop w:val="0"/>
      <w:marBottom w:val="0"/>
      <w:divBdr>
        <w:top w:val="none" w:sz="0" w:space="0" w:color="auto"/>
        <w:left w:val="none" w:sz="0" w:space="0" w:color="auto"/>
        <w:bottom w:val="none" w:sz="0" w:space="0" w:color="auto"/>
        <w:right w:val="none" w:sz="0" w:space="0" w:color="auto"/>
      </w:divBdr>
    </w:div>
    <w:div w:id="79720257">
      <w:bodyDiv w:val="1"/>
      <w:marLeft w:val="0"/>
      <w:marRight w:val="0"/>
      <w:marTop w:val="0"/>
      <w:marBottom w:val="0"/>
      <w:divBdr>
        <w:top w:val="none" w:sz="0" w:space="0" w:color="auto"/>
        <w:left w:val="none" w:sz="0" w:space="0" w:color="auto"/>
        <w:bottom w:val="none" w:sz="0" w:space="0" w:color="auto"/>
        <w:right w:val="none" w:sz="0" w:space="0" w:color="auto"/>
      </w:divBdr>
    </w:div>
    <w:div w:id="81266073">
      <w:bodyDiv w:val="1"/>
      <w:marLeft w:val="0"/>
      <w:marRight w:val="0"/>
      <w:marTop w:val="0"/>
      <w:marBottom w:val="0"/>
      <w:divBdr>
        <w:top w:val="none" w:sz="0" w:space="0" w:color="auto"/>
        <w:left w:val="none" w:sz="0" w:space="0" w:color="auto"/>
        <w:bottom w:val="none" w:sz="0" w:space="0" w:color="auto"/>
        <w:right w:val="none" w:sz="0" w:space="0" w:color="auto"/>
      </w:divBdr>
    </w:div>
    <w:div w:id="93017429">
      <w:bodyDiv w:val="1"/>
      <w:marLeft w:val="0"/>
      <w:marRight w:val="0"/>
      <w:marTop w:val="0"/>
      <w:marBottom w:val="0"/>
      <w:divBdr>
        <w:top w:val="none" w:sz="0" w:space="0" w:color="auto"/>
        <w:left w:val="none" w:sz="0" w:space="0" w:color="auto"/>
        <w:bottom w:val="none" w:sz="0" w:space="0" w:color="auto"/>
        <w:right w:val="none" w:sz="0" w:space="0" w:color="auto"/>
      </w:divBdr>
    </w:div>
    <w:div w:id="115998866">
      <w:bodyDiv w:val="1"/>
      <w:marLeft w:val="0"/>
      <w:marRight w:val="0"/>
      <w:marTop w:val="0"/>
      <w:marBottom w:val="0"/>
      <w:divBdr>
        <w:top w:val="none" w:sz="0" w:space="0" w:color="auto"/>
        <w:left w:val="none" w:sz="0" w:space="0" w:color="auto"/>
        <w:bottom w:val="none" w:sz="0" w:space="0" w:color="auto"/>
        <w:right w:val="none" w:sz="0" w:space="0" w:color="auto"/>
      </w:divBdr>
    </w:div>
    <w:div w:id="157578631">
      <w:bodyDiv w:val="1"/>
      <w:marLeft w:val="0"/>
      <w:marRight w:val="0"/>
      <w:marTop w:val="0"/>
      <w:marBottom w:val="0"/>
      <w:divBdr>
        <w:top w:val="none" w:sz="0" w:space="0" w:color="auto"/>
        <w:left w:val="none" w:sz="0" w:space="0" w:color="auto"/>
        <w:bottom w:val="none" w:sz="0" w:space="0" w:color="auto"/>
        <w:right w:val="none" w:sz="0" w:space="0" w:color="auto"/>
      </w:divBdr>
    </w:div>
    <w:div w:id="210774977">
      <w:bodyDiv w:val="1"/>
      <w:marLeft w:val="0"/>
      <w:marRight w:val="0"/>
      <w:marTop w:val="0"/>
      <w:marBottom w:val="0"/>
      <w:divBdr>
        <w:top w:val="none" w:sz="0" w:space="0" w:color="auto"/>
        <w:left w:val="none" w:sz="0" w:space="0" w:color="auto"/>
        <w:bottom w:val="none" w:sz="0" w:space="0" w:color="auto"/>
        <w:right w:val="none" w:sz="0" w:space="0" w:color="auto"/>
      </w:divBdr>
    </w:div>
    <w:div w:id="217517615">
      <w:bodyDiv w:val="1"/>
      <w:marLeft w:val="0"/>
      <w:marRight w:val="0"/>
      <w:marTop w:val="0"/>
      <w:marBottom w:val="0"/>
      <w:divBdr>
        <w:top w:val="none" w:sz="0" w:space="0" w:color="auto"/>
        <w:left w:val="none" w:sz="0" w:space="0" w:color="auto"/>
        <w:bottom w:val="none" w:sz="0" w:space="0" w:color="auto"/>
        <w:right w:val="none" w:sz="0" w:space="0" w:color="auto"/>
      </w:divBdr>
    </w:div>
    <w:div w:id="228925242">
      <w:bodyDiv w:val="1"/>
      <w:marLeft w:val="0"/>
      <w:marRight w:val="0"/>
      <w:marTop w:val="0"/>
      <w:marBottom w:val="0"/>
      <w:divBdr>
        <w:top w:val="none" w:sz="0" w:space="0" w:color="auto"/>
        <w:left w:val="none" w:sz="0" w:space="0" w:color="auto"/>
        <w:bottom w:val="none" w:sz="0" w:space="0" w:color="auto"/>
        <w:right w:val="none" w:sz="0" w:space="0" w:color="auto"/>
      </w:divBdr>
    </w:div>
    <w:div w:id="230818168">
      <w:bodyDiv w:val="1"/>
      <w:marLeft w:val="0"/>
      <w:marRight w:val="0"/>
      <w:marTop w:val="0"/>
      <w:marBottom w:val="0"/>
      <w:divBdr>
        <w:top w:val="none" w:sz="0" w:space="0" w:color="auto"/>
        <w:left w:val="none" w:sz="0" w:space="0" w:color="auto"/>
        <w:bottom w:val="none" w:sz="0" w:space="0" w:color="auto"/>
        <w:right w:val="none" w:sz="0" w:space="0" w:color="auto"/>
      </w:divBdr>
    </w:div>
    <w:div w:id="244384870">
      <w:bodyDiv w:val="1"/>
      <w:marLeft w:val="0"/>
      <w:marRight w:val="0"/>
      <w:marTop w:val="0"/>
      <w:marBottom w:val="0"/>
      <w:divBdr>
        <w:top w:val="none" w:sz="0" w:space="0" w:color="auto"/>
        <w:left w:val="none" w:sz="0" w:space="0" w:color="auto"/>
        <w:bottom w:val="none" w:sz="0" w:space="0" w:color="auto"/>
        <w:right w:val="none" w:sz="0" w:space="0" w:color="auto"/>
      </w:divBdr>
    </w:div>
    <w:div w:id="245304388">
      <w:bodyDiv w:val="1"/>
      <w:marLeft w:val="0"/>
      <w:marRight w:val="0"/>
      <w:marTop w:val="0"/>
      <w:marBottom w:val="0"/>
      <w:divBdr>
        <w:top w:val="none" w:sz="0" w:space="0" w:color="auto"/>
        <w:left w:val="none" w:sz="0" w:space="0" w:color="auto"/>
        <w:bottom w:val="none" w:sz="0" w:space="0" w:color="auto"/>
        <w:right w:val="none" w:sz="0" w:space="0" w:color="auto"/>
      </w:divBdr>
    </w:div>
    <w:div w:id="267548451">
      <w:bodyDiv w:val="1"/>
      <w:marLeft w:val="0"/>
      <w:marRight w:val="0"/>
      <w:marTop w:val="0"/>
      <w:marBottom w:val="0"/>
      <w:divBdr>
        <w:top w:val="none" w:sz="0" w:space="0" w:color="auto"/>
        <w:left w:val="none" w:sz="0" w:space="0" w:color="auto"/>
        <w:bottom w:val="none" w:sz="0" w:space="0" w:color="auto"/>
        <w:right w:val="none" w:sz="0" w:space="0" w:color="auto"/>
      </w:divBdr>
    </w:div>
    <w:div w:id="281349194">
      <w:bodyDiv w:val="1"/>
      <w:marLeft w:val="0"/>
      <w:marRight w:val="0"/>
      <w:marTop w:val="0"/>
      <w:marBottom w:val="0"/>
      <w:divBdr>
        <w:top w:val="none" w:sz="0" w:space="0" w:color="auto"/>
        <w:left w:val="none" w:sz="0" w:space="0" w:color="auto"/>
        <w:bottom w:val="none" w:sz="0" w:space="0" w:color="auto"/>
        <w:right w:val="none" w:sz="0" w:space="0" w:color="auto"/>
      </w:divBdr>
    </w:div>
    <w:div w:id="292685588">
      <w:bodyDiv w:val="1"/>
      <w:marLeft w:val="0"/>
      <w:marRight w:val="0"/>
      <w:marTop w:val="0"/>
      <w:marBottom w:val="0"/>
      <w:divBdr>
        <w:top w:val="none" w:sz="0" w:space="0" w:color="auto"/>
        <w:left w:val="none" w:sz="0" w:space="0" w:color="auto"/>
        <w:bottom w:val="none" w:sz="0" w:space="0" w:color="auto"/>
        <w:right w:val="none" w:sz="0" w:space="0" w:color="auto"/>
      </w:divBdr>
    </w:div>
    <w:div w:id="293366340">
      <w:bodyDiv w:val="1"/>
      <w:marLeft w:val="0"/>
      <w:marRight w:val="0"/>
      <w:marTop w:val="0"/>
      <w:marBottom w:val="0"/>
      <w:divBdr>
        <w:top w:val="none" w:sz="0" w:space="0" w:color="auto"/>
        <w:left w:val="none" w:sz="0" w:space="0" w:color="auto"/>
        <w:bottom w:val="none" w:sz="0" w:space="0" w:color="auto"/>
        <w:right w:val="none" w:sz="0" w:space="0" w:color="auto"/>
      </w:divBdr>
    </w:div>
    <w:div w:id="294723730">
      <w:bodyDiv w:val="1"/>
      <w:marLeft w:val="0"/>
      <w:marRight w:val="0"/>
      <w:marTop w:val="0"/>
      <w:marBottom w:val="0"/>
      <w:divBdr>
        <w:top w:val="none" w:sz="0" w:space="0" w:color="auto"/>
        <w:left w:val="none" w:sz="0" w:space="0" w:color="auto"/>
        <w:bottom w:val="none" w:sz="0" w:space="0" w:color="auto"/>
        <w:right w:val="none" w:sz="0" w:space="0" w:color="auto"/>
      </w:divBdr>
    </w:div>
    <w:div w:id="309672594">
      <w:bodyDiv w:val="1"/>
      <w:marLeft w:val="0"/>
      <w:marRight w:val="0"/>
      <w:marTop w:val="0"/>
      <w:marBottom w:val="0"/>
      <w:divBdr>
        <w:top w:val="none" w:sz="0" w:space="0" w:color="auto"/>
        <w:left w:val="none" w:sz="0" w:space="0" w:color="auto"/>
        <w:bottom w:val="none" w:sz="0" w:space="0" w:color="auto"/>
        <w:right w:val="none" w:sz="0" w:space="0" w:color="auto"/>
      </w:divBdr>
    </w:div>
    <w:div w:id="320693140">
      <w:bodyDiv w:val="1"/>
      <w:marLeft w:val="0"/>
      <w:marRight w:val="0"/>
      <w:marTop w:val="0"/>
      <w:marBottom w:val="0"/>
      <w:divBdr>
        <w:top w:val="none" w:sz="0" w:space="0" w:color="auto"/>
        <w:left w:val="none" w:sz="0" w:space="0" w:color="auto"/>
        <w:bottom w:val="none" w:sz="0" w:space="0" w:color="auto"/>
        <w:right w:val="none" w:sz="0" w:space="0" w:color="auto"/>
      </w:divBdr>
    </w:div>
    <w:div w:id="330986683">
      <w:bodyDiv w:val="1"/>
      <w:marLeft w:val="0"/>
      <w:marRight w:val="0"/>
      <w:marTop w:val="0"/>
      <w:marBottom w:val="0"/>
      <w:divBdr>
        <w:top w:val="none" w:sz="0" w:space="0" w:color="auto"/>
        <w:left w:val="none" w:sz="0" w:space="0" w:color="auto"/>
        <w:bottom w:val="none" w:sz="0" w:space="0" w:color="auto"/>
        <w:right w:val="none" w:sz="0" w:space="0" w:color="auto"/>
      </w:divBdr>
    </w:div>
    <w:div w:id="332034613">
      <w:bodyDiv w:val="1"/>
      <w:marLeft w:val="0"/>
      <w:marRight w:val="0"/>
      <w:marTop w:val="0"/>
      <w:marBottom w:val="0"/>
      <w:divBdr>
        <w:top w:val="none" w:sz="0" w:space="0" w:color="auto"/>
        <w:left w:val="none" w:sz="0" w:space="0" w:color="auto"/>
        <w:bottom w:val="none" w:sz="0" w:space="0" w:color="auto"/>
        <w:right w:val="none" w:sz="0" w:space="0" w:color="auto"/>
      </w:divBdr>
    </w:div>
    <w:div w:id="354384472">
      <w:bodyDiv w:val="1"/>
      <w:marLeft w:val="0"/>
      <w:marRight w:val="0"/>
      <w:marTop w:val="0"/>
      <w:marBottom w:val="0"/>
      <w:divBdr>
        <w:top w:val="none" w:sz="0" w:space="0" w:color="auto"/>
        <w:left w:val="none" w:sz="0" w:space="0" w:color="auto"/>
        <w:bottom w:val="none" w:sz="0" w:space="0" w:color="auto"/>
        <w:right w:val="none" w:sz="0" w:space="0" w:color="auto"/>
      </w:divBdr>
    </w:div>
    <w:div w:id="357043488">
      <w:bodyDiv w:val="1"/>
      <w:marLeft w:val="0"/>
      <w:marRight w:val="0"/>
      <w:marTop w:val="0"/>
      <w:marBottom w:val="0"/>
      <w:divBdr>
        <w:top w:val="none" w:sz="0" w:space="0" w:color="auto"/>
        <w:left w:val="none" w:sz="0" w:space="0" w:color="auto"/>
        <w:bottom w:val="none" w:sz="0" w:space="0" w:color="auto"/>
        <w:right w:val="none" w:sz="0" w:space="0" w:color="auto"/>
      </w:divBdr>
    </w:div>
    <w:div w:id="368067755">
      <w:bodyDiv w:val="1"/>
      <w:marLeft w:val="0"/>
      <w:marRight w:val="0"/>
      <w:marTop w:val="0"/>
      <w:marBottom w:val="0"/>
      <w:divBdr>
        <w:top w:val="none" w:sz="0" w:space="0" w:color="auto"/>
        <w:left w:val="none" w:sz="0" w:space="0" w:color="auto"/>
        <w:bottom w:val="none" w:sz="0" w:space="0" w:color="auto"/>
        <w:right w:val="none" w:sz="0" w:space="0" w:color="auto"/>
      </w:divBdr>
    </w:div>
    <w:div w:id="374619800">
      <w:bodyDiv w:val="1"/>
      <w:marLeft w:val="0"/>
      <w:marRight w:val="0"/>
      <w:marTop w:val="0"/>
      <w:marBottom w:val="0"/>
      <w:divBdr>
        <w:top w:val="none" w:sz="0" w:space="0" w:color="auto"/>
        <w:left w:val="none" w:sz="0" w:space="0" w:color="auto"/>
        <w:bottom w:val="none" w:sz="0" w:space="0" w:color="auto"/>
        <w:right w:val="none" w:sz="0" w:space="0" w:color="auto"/>
      </w:divBdr>
    </w:div>
    <w:div w:id="378363866">
      <w:bodyDiv w:val="1"/>
      <w:marLeft w:val="0"/>
      <w:marRight w:val="0"/>
      <w:marTop w:val="0"/>
      <w:marBottom w:val="0"/>
      <w:divBdr>
        <w:top w:val="none" w:sz="0" w:space="0" w:color="auto"/>
        <w:left w:val="none" w:sz="0" w:space="0" w:color="auto"/>
        <w:bottom w:val="none" w:sz="0" w:space="0" w:color="auto"/>
        <w:right w:val="none" w:sz="0" w:space="0" w:color="auto"/>
      </w:divBdr>
    </w:div>
    <w:div w:id="390202762">
      <w:bodyDiv w:val="1"/>
      <w:marLeft w:val="0"/>
      <w:marRight w:val="0"/>
      <w:marTop w:val="0"/>
      <w:marBottom w:val="0"/>
      <w:divBdr>
        <w:top w:val="none" w:sz="0" w:space="0" w:color="auto"/>
        <w:left w:val="none" w:sz="0" w:space="0" w:color="auto"/>
        <w:bottom w:val="none" w:sz="0" w:space="0" w:color="auto"/>
        <w:right w:val="none" w:sz="0" w:space="0" w:color="auto"/>
      </w:divBdr>
    </w:div>
    <w:div w:id="391663307">
      <w:bodyDiv w:val="1"/>
      <w:marLeft w:val="0"/>
      <w:marRight w:val="0"/>
      <w:marTop w:val="0"/>
      <w:marBottom w:val="0"/>
      <w:divBdr>
        <w:top w:val="none" w:sz="0" w:space="0" w:color="auto"/>
        <w:left w:val="none" w:sz="0" w:space="0" w:color="auto"/>
        <w:bottom w:val="none" w:sz="0" w:space="0" w:color="auto"/>
        <w:right w:val="none" w:sz="0" w:space="0" w:color="auto"/>
      </w:divBdr>
    </w:div>
    <w:div w:id="395130861">
      <w:bodyDiv w:val="1"/>
      <w:marLeft w:val="0"/>
      <w:marRight w:val="0"/>
      <w:marTop w:val="0"/>
      <w:marBottom w:val="0"/>
      <w:divBdr>
        <w:top w:val="none" w:sz="0" w:space="0" w:color="auto"/>
        <w:left w:val="none" w:sz="0" w:space="0" w:color="auto"/>
        <w:bottom w:val="none" w:sz="0" w:space="0" w:color="auto"/>
        <w:right w:val="none" w:sz="0" w:space="0" w:color="auto"/>
      </w:divBdr>
    </w:div>
    <w:div w:id="397173594">
      <w:bodyDiv w:val="1"/>
      <w:marLeft w:val="0"/>
      <w:marRight w:val="0"/>
      <w:marTop w:val="0"/>
      <w:marBottom w:val="0"/>
      <w:divBdr>
        <w:top w:val="none" w:sz="0" w:space="0" w:color="auto"/>
        <w:left w:val="none" w:sz="0" w:space="0" w:color="auto"/>
        <w:bottom w:val="none" w:sz="0" w:space="0" w:color="auto"/>
        <w:right w:val="none" w:sz="0" w:space="0" w:color="auto"/>
      </w:divBdr>
    </w:div>
    <w:div w:id="404226544">
      <w:bodyDiv w:val="1"/>
      <w:marLeft w:val="0"/>
      <w:marRight w:val="0"/>
      <w:marTop w:val="0"/>
      <w:marBottom w:val="0"/>
      <w:divBdr>
        <w:top w:val="none" w:sz="0" w:space="0" w:color="auto"/>
        <w:left w:val="none" w:sz="0" w:space="0" w:color="auto"/>
        <w:bottom w:val="none" w:sz="0" w:space="0" w:color="auto"/>
        <w:right w:val="none" w:sz="0" w:space="0" w:color="auto"/>
      </w:divBdr>
    </w:div>
    <w:div w:id="429787626">
      <w:bodyDiv w:val="1"/>
      <w:marLeft w:val="0"/>
      <w:marRight w:val="0"/>
      <w:marTop w:val="0"/>
      <w:marBottom w:val="0"/>
      <w:divBdr>
        <w:top w:val="none" w:sz="0" w:space="0" w:color="auto"/>
        <w:left w:val="none" w:sz="0" w:space="0" w:color="auto"/>
        <w:bottom w:val="none" w:sz="0" w:space="0" w:color="auto"/>
        <w:right w:val="none" w:sz="0" w:space="0" w:color="auto"/>
      </w:divBdr>
    </w:div>
    <w:div w:id="431364548">
      <w:bodyDiv w:val="1"/>
      <w:marLeft w:val="0"/>
      <w:marRight w:val="0"/>
      <w:marTop w:val="0"/>
      <w:marBottom w:val="0"/>
      <w:divBdr>
        <w:top w:val="none" w:sz="0" w:space="0" w:color="auto"/>
        <w:left w:val="none" w:sz="0" w:space="0" w:color="auto"/>
        <w:bottom w:val="none" w:sz="0" w:space="0" w:color="auto"/>
        <w:right w:val="none" w:sz="0" w:space="0" w:color="auto"/>
      </w:divBdr>
    </w:div>
    <w:div w:id="435172846">
      <w:bodyDiv w:val="1"/>
      <w:marLeft w:val="0"/>
      <w:marRight w:val="0"/>
      <w:marTop w:val="0"/>
      <w:marBottom w:val="0"/>
      <w:divBdr>
        <w:top w:val="none" w:sz="0" w:space="0" w:color="auto"/>
        <w:left w:val="none" w:sz="0" w:space="0" w:color="auto"/>
        <w:bottom w:val="none" w:sz="0" w:space="0" w:color="auto"/>
        <w:right w:val="none" w:sz="0" w:space="0" w:color="auto"/>
      </w:divBdr>
    </w:div>
    <w:div w:id="461726580">
      <w:bodyDiv w:val="1"/>
      <w:marLeft w:val="0"/>
      <w:marRight w:val="0"/>
      <w:marTop w:val="0"/>
      <w:marBottom w:val="0"/>
      <w:divBdr>
        <w:top w:val="none" w:sz="0" w:space="0" w:color="auto"/>
        <w:left w:val="none" w:sz="0" w:space="0" w:color="auto"/>
        <w:bottom w:val="none" w:sz="0" w:space="0" w:color="auto"/>
        <w:right w:val="none" w:sz="0" w:space="0" w:color="auto"/>
      </w:divBdr>
    </w:div>
    <w:div w:id="471674388">
      <w:bodyDiv w:val="1"/>
      <w:marLeft w:val="0"/>
      <w:marRight w:val="0"/>
      <w:marTop w:val="0"/>
      <w:marBottom w:val="0"/>
      <w:divBdr>
        <w:top w:val="none" w:sz="0" w:space="0" w:color="auto"/>
        <w:left w:val="none" w:sz="0" w:space="0" w:color="auto"/>
        <w:bottom w:val="none" w:sz="0" w:space="0" w:color="auto"/>
        <w:right w:val="none" w:sz="0" w:space="0" w:color="auto"/>
      </w:divBdr>
    </w:div>
    <w:div w:id="474446884">
      <w:bodyDiv w:val="1"/>
      <w:marLeft w:val="0"/>
      <w:marRight w:val="0"/>
      <w:marTop w:val="0"/>
      <w:marBottom w:val="0"/>
      <w:divBdr>
        <w:top w:val="none" w:sz="0" w:space="0" w:color="auto"/>
        <w:left w:val="none" w:sz="0" w:space="0" w:color="auto"/>
        <w:bottom w:val="none" w:sz="0" w:space="0" w:color="auto"/>
        <w:right w:val="none" w:sz="0" w:space="0" w:color="auto"/>
      </w:divBdr>
    </w:div>
    <w:div w:id="487748634">
      <w:bodyDiv w:val="1"/>
      <w:marLeft w:val="0"/>
      <w:marRight w:val="0"/>
      <w:marTop w:val="0"/>
      <w:marBottom w:val="0"/>
      <w:divBdr>
        <w:top w:val="none" w:sz="0" w:space="0" w:color="auto"/>
        <w:left w:val="none" w:sz="0" w:space="0" w:color="auto"/>
        <w:bottom w:val="none" w:sz="0" w:space="0" w:color="auto"/>
        <w:right w:val="none" w:sz="0" w:space="0" w:color="auto"/>
      </w:divBdr>
    </w:div>
    <w:div w:id="494418834">
      <w:bodyDiv w:val="1"/>
      <w:marLeft w:val="0"/>
      <w:marRight w:val="0"/>
      <w:marTop w:val="0"/>
      <w:marBottom w:val="0"/>
      <w:divBdr>
        <w:top w:val="none" w:sz="0" w:space="0" w:color="auto"/>
        <w:left w:val="none" w:sz="0" w:space="0" w:color="auto"/>
        <w:bottom w:val="none" w:sz="0" w:space="0" w:color="auto"/>
        <w:right w:val="none" w:sz="0" w:space="0" w:color="auto"/>
      </w:divBdr>
    </w:div>
    <w:div w:id="507062747">
      <w:bodyDiv w:val="1"/>
      <w:marLeft w:val="0"/>
      <w:marRight w:val="0"/>
      <w:marTop w:val="0"/>
      <w:marBottom w:val="0"/>
      <w:divBdr>
        <w:top w:val="none" w:sz="0" w:space="0" w:color="auto"/>
        <w:left w:val="none" w:sz="0" w:space="0" w:color="auto"/>
        <w:bottom w:val="none" w:sz="0" w:space="0" w:color="auto"/>
        <w:right w:val="none" w:sz="0" w:space="0" w:color="auto"/>
      </w:divBdr>
    </w:div>
    <w:div w:id="516579680">
      <w:bodyDiv w:val="1"/>
      <w:marLeft w:val="0"/>
      <w:marRight w:val="0"/>
      <w:marTop w:val="0"/>
      <w:marBottom w:val="0"/>
      <w:divBdr>
        <w:top w:val="none" w:sz="0" w:space="0" w:color="auto"/>
        <w:left w:val="none" w:sz="0" w:space="0" w:color="auto"/>
        <w:bottom w:val="none" w:sz="0" w:space="0" w:color="auto"/>
        <w:right w:val="none" w:sz="0" w:space="0" w:color="auto"/>
      </w:divBdr>
    </w:div>
    <w:div w:id="524632221">
      <w:bodyDiv w:val="1"/>
      <w:marLeft w:val="0"/>
      <w:marRight w:val="0"/>
      <w:marTop w:val="0"/>
      <w:marBottom w:val="0"/>
      <w:divBdr>
        <w:top w:val="none" w:sz="0" w:space="0" w:color="auto"/>
        <w:left w:val="none" w:sz="0" w:space="0" w:color="auto"/>
        <w:bottom w:val="none" w:sz="0" w:space="0" w:color="auto"/>
        <w:right w:val="none" w:sz="0" w:space="0" w:color="auto"/>
      </w:divBdr>
    </w:div>
    <w:div w:id="527648021">
      <w:bodyDiv w:val="1"/>
      <w:marLeft w:val="0"/>
      <w:marRight w:val="0"/>
      <w:marTop w:val="0"/>
      <w:marBottom w:val="0"/>
      <w:divBdr>
        <w:top w:val="none" w:sz="0" w:space="0" w:color="auto"/>
        <w:left w:val="none" w:sz="0" w:space="0" w:color="auto"/>
        <w:bottom w:val="none" w:sz="0" w:space="0" w:color="auto"/>
        <w:right w:val="none" w:sz="0" w:space="0" w:color="auto"/>
      </w:divBdr>
    </w:div>
    <w:div w:id="539980185">
      <w:bodyDiv w:val="1"/>
      <w:marLeft w:val="0"/>
      <w:marRight w:val="0"/>
      <w:marTop w:val="0"/>
      <w:marBottom w:val="0"/>
      <w:divBdr>
        <w:top w:val="none" w:sz="0" w:space="0" w:color="auto"/>
        <w:left w:val="none" w:sz="0" w:space="0" w:color="auto"/>
        <w:bottom w:val="none" w:sz="0" w:space="0" w:color="auto"/>
        <w:right w:val="none" w:sz="0" w:space="0" w:color="auto"/>
      </w:divBdr>
    </w:div>
    <w:div w:id="589388763">
      <w:bodyDiv w:val="1"/>
      <w:marLeft w:val="0"/>
      <w:marRight w:val="0"/>
      <w:marTop w:val="0"/>
      <w:marBottom w:val="0"/>
      <w:divBdr>
        <w:top w:val="none" w:sz="0" w:space="0" w:color="auto"/>
        <w:left w:val="none" w:sz="0" w:space="0" w:color="auto"/>
        <w:bottom w:val="none" w:sz="0" w:space="0" w:color="auto"/>
        <w:right w:val="none" w:sz="0" w:space="0" w:color="auto"/>
      </w:divBdr>
    </w:div>
    <w:div w:id="600527693">
      <w:bodyDiv w:val="1"/>
      <w:marLeft w:val="0"/>
      <w:marRight w:val="0"/>
      <w:marTop w:val="0"/>
      <w:marBottom w:val="0"/>
      <w:divBdr>
        <w:top w:val="none" w:sz="0" w:space="0" w:color="auto"/>
        <w:left w:val="none" w:sz="0" w:space="0" w:color="auto"/>
        <w:bottom w:val="none" w:sz="0" w:space="0" w:color="auto"/>
        <w:right w:val="none" w:sz="0" w:space="0" w:color="auto"/>
      </w:divBdr>
    </w:div>
    <w:div w:id="604312497">
      <w:bodyDiv w:val="1"/>
      <w:marLeft w:val="0"/>
      <w:marRight w:val="0"/>
      <w:marTop w:val="0"/>
      <w:marBottom w:val="0"/>
      <w:divBdr>
        <w:top w:val="none" w:sz="0" w:space="0" w:color="auto"/>
        <w:left w:val="none" w:sz="0" w:space="0" w:color="auto"/>
        <w:bottom w:val="none" w:sz="0" w:space="0" w:color="auto"/>
        <w:right w:val="none" w:sz="0" w:space="0" w:color="auto"/>
      </w:divBdr>
    </w:div>
    <w:div w:id="605120522">
      <w:bodyDiv w:val="1"/>
      <w:marLeft w:val="0"/>
      <w:marRight w:val="0"/>
      <w:marTop w:val="0"/>
      <w:marBottom w:val="0"/>
      <w:divBdr>
        <w:top w:val="none" w:sz="0" w:space="0" w:color="auto"/>
        <w:left w:val="none" w:sz="0" w:space="0" w:color="auto"/>
        <w:bottom w:val="none" w:sz="0" w:space="0" w:color="auto"/>
        <w:right w:val="none" w:sz="0" w:space="0" w:color="auto"/>
      </w:divBdr>
    </w:div>
    <w:div w:id="629167315">
      <w:bodyDiv w:val="1"/>
      <w:marLeft w:val="0"/>
      <w:marRight w:val="0"/>
      <w:marTop w:val="0"/>
      <w:marBottom w:val="0"/>
      <w:divBdr>
        <w:top w:val="none" w:sz="0" w:space="0" w:color="auto"/>
        <w:left w:val="none" w:sz="0" w:space="0" w:color="auto"/>
        <w:bottom w:val="none" w:sz="0" w:space="0" w:color="auto"/>
        <w:right w:val="none" w:sz="0" w:space="0" w:color="auto"/>
      </w:divBdr>
    </w:div>
    <w:div w:id="632634791">
      <w:bodyDiv w:val="1"/>
      <w:marLeft w:val="0"/>
      <w:marRight w:val="0"/>
      <w:marTop w:val="0"/>
      <w:marBottom w:val="0"/>
      <w:divBdr>
        <w:top w:val="none" w:sz="0" w:space="0" w:color="auto"/>
        <w:left w:val="none" w:sz="0" w:space="0" w:color="auto"/>
        <w:bottom w:val="none" w:sz="0" w:space="0" w:color="auto"/>
        <w:right w:val="none" w:sz="0" w:space="0" w:color="auto"/>
      </w:divBdr>
    </w:div>
    <w:div w:id="644553747">
      <w:bodyDiv w:val="1"/>
      <w:marLeft w:val="0"/>
      <w:marRight w:val="0"/>
      <w:marTop w:val="0"/>
      <w:marBottom w:val="0"/>
      <w:divBdr>
        <w:top w:val="none" w:sz="0" w:space="0" w:color="auto"/>
        <w:left w:val="none" w:sz="0" w:space="0" w:color="auto"/>
        <w:bottom w:val="none" w:sz="0" w:space="0" w:color="auto"/>
        <w:right w:val="none" w:sz="0" w:space="0" w:color="auto"/>
      </w:divBdr>
    </w:div>
    <w:div w:id="649142460">
      <w:bodyDiv w:val="1"/>
      <w:marLeft w:val="0"/>
      <w:marRight w:val="0"/>
      <w:marTop w:val="0"/>
      <w:marBottom w:val="0"/>
      <w:divBdr>
        <w:top w:val="none" w:sz="0" w:space="0" w:color="auto"/>
        <w:left w:val="none" w:sz="0" w:space="0" w:color="auto"/>
        <w:bottom w:val="none" w:sz="0" w:space="0" w:color="auto"/>
        <w:right w:val="none" w:sz="0" w:space="0" w:color="auto"/>
      </w:divBdr>
    </w:div>
    <w:div w:id="652372408">
      <w:bodyDiv w:val="1"/>
      <w:marLeft w:val="0"/>
      <w:marRight w:val="0"/>
      <w:marTop w:val="0"/>
      <w:marBottom w:val="0"/>
      <w:divBdr>
        <w:top w:val="none" w:sz="0" w:space="0" w:color="auto"/>
        <w:left w:val="none" w:sz="0" w:space="0" w:color="auto"/>
        <w:bottom w:val="none" w:sz="0" w:space="0" w:color="auto"/>
        <w:right w:val="none" w:sz="0" w:space="0" w:color="auto"/>
      </w:divBdr>
    </w:div>
    <w:div w:id="659651661">
      <w:bodyDiv w:val="1"/>
      <w:marLeft w:val="0"/>
      <w:marRight w:val="0"/>
      <w:marTop w:val="0"/>
      <w:marBottom w:val="0"/>
      <w:divBdr>
        <w:top w:val="none" w:sz="0" w:space="0" w:color="auto"/>
        <w:left w:val="none" w:sz="0" w:space="0" w:color="auto"/>
        <w:bottom w:val="none" w:sz="0" w:space="0" w:color="auto"/>
        <w:right w:val="none" w:sz="0" w:space="0" w:color="auto"/>
      </w:divBdr>
    </w:div>
    <w:div w:id="667247676">
      <w:bodyDiv w:val="1"/>
      <w:marLeft w:val="0"/>
      <w:marRight w:val="0"/>
      <w:marTop w:val="0"/>
      <w:marBottom w:val="0"/>
      <w:divBdr>
        <w:top w:val="none" w:sz="0" w:space="0" w:color="auto"/>
        <w:left w:val="none" w:sz="0" w:space="0" w:color="auto"/>
        <w:bottom w:val="none" w:sz="0" w:space="0" w:color="auto"/>
        <w:right w:val="none" w:sz="0" w:space="0" w:color="auto"/>
      </w:divBdr>
    </w:div>
    <w:div w:id="670792703">
      <w:bodyDiv w:val="1"/>
      <w:marLeft w:val="0"/>
      <w:marRight w:val="0"/>
      <w:marTop w:val="0"/>
      <w:marBottom w:val="0"/>
      <w:divBdr>
        <w:top w:val="none" w:sz="0" w:space="0" w:color="auto"/>
        <w:left w:val="none" w:sz="0" w:space="0" w:color="auto"/>
        <w:bottom w:val="none" w:sz="0" w:space="0" w:color="auto"/>
        <w:right w:val="none" w:sz="0" w:space="0" w:color="auto"/>
      </w:divBdr>
    </w:div>
    <w:div w:id="671030554">
      <w:bodyDiv w:val="1"/>
      <w:marLeft w:val="0"/>
      <w:marRight w:val="0"/>
      <w:marTop w:val="0"/>
      <w:marBottom w:val="0"/>
      <w:divBdr>
        <w:top w:val="none" w:sz="0" w:space="0" w:color="auto"/>
        <w:left w:val="none" w:sz="0" w:space="0" w:color="auto"/>
        <w:bottom w:val="none" w:sz="0" w:space="0" w:color="auto"/>
        <w:right w:val="none" w:sz="0" w:space="0" w:color="auto"/>
      </w:divBdr>
    </w:div>
    <w:div w:id="693504968">
      <w:bodyDiv w:val="1"/>
      <w:marLeft w:val="0"/>
      <w:marRight w:val="0"/>
      <w:marTop w:val="0"/>
      <w:marBottom w:val="0"/>
      <w:divBdr>
        <w:top w:val="none" w:sz="0" w:space="0" w:color="auto"/>
        <w:left w:val="none" w:sz="0" w:space="0" w:color="auto"/>
        <w:bottom w:val="none" w:sz="0" w:space="0" w:color="auto"/>
        <w:right w:val="none" w:sz="0" w:space="0" w:color="auto"/>
      </w:divBdr>
    </w:div>
    <w:div w:id="716901210">
      <w:bodyDiv w:val="1"/>
      <w:marLeft w:val="0"/>
      <w:marRight w:val="0"/>
      <w:marTop w:val="0"/>
      <w:marBottom w:val="0"/>
      <w:divBdr>
        <w:top w:val="none" w:sz="0" w:space="0" w:color="auto"/>
        <w:left w:val="none" w:sz="0" w:space="0" w:color="auto"/>
        <w:bottom w:val="none" w:sz="0" w:space="0" w:color="auto"/>
        <w:right w:val="none" w:sz="0" w:space="0" w:color="auto"/>
      </w:divBdr>
    </w:div>
    <w:div w:id="722486209">
      <w:bodyDiv w:val="1"/>
      <w:marLeft w:val="0"/>
      <w:marRight w:val="0"/>
      <w:marTop w:val="0"/>
      <w:marBottom w:val="0"/>
      <w:divBdr>
        <w:top w:val="none" w:sz="0" w:space="0" w:color="auto"/>
        <w:left w:val="none" w:sz="0" w:space="0" w:color="auto"/>
        <w:bottom w:val="none" w:sz="0" w:space="0" w:color="auto"/>
        <w:right w:val="none" w:sz="0" w:space="0" w:color="auto"/>
      </w:divBdr>
    </w:div>
    <w:div w:id="729116574">
      <w:bodyDiv w:val="1"/>
      <w:marLeft w:val="0"/>
      <w:marRight w:val="0"/>
      <w:marTop w:val="0"/>
      <w:marBottom w:val="0"/>
      <w:divBdr>
        <w:top w:val="none" w:sz="0" w:space="0" w:color="auto"/>
        <w:left w:val="none" w:sz="0" w:space="0" w:color="auto"/>
        <w:bottom w:val="none" w:sz="0" w:space="0" w:color="auto"/>
        <w:right w:val="none" w:sz="0" w:space="0" w:color="auto"/>
      </w:divBdr>
    </w:div>
    <w:div w:id="752241169">
      <w:bodyDiv w:val="1"/>
      <w:marLeft w:val="0"/>
      <w:marRight w:val="0"/>
      <w:marTop w:val="0"/>
      <w:marBottom w:val="0"/>
      <w:divBdr>
        <w:top w:val="none" w:sz="0" w:space="0" w:color="auto"/>
        <w:left w:val="none" w:sz="0" w:space="0" w:color="auto"/>
        <w:bottom w:val="none" w:sz="0" w:space="0" w:color="auto"/>
        <w:right w:val="none" w:sz="0" w:space="0" w:color="auto"/>
      </w:divBdr>
    </w:div>
    <w:div w:id="765267532">
      <w:bodyDiv w:val="1"/>
      <w:marLeft w:val="0"/>
      <w:marRight w:val="0"/>
      <w:marTop w:val="0"/>
      <w:marBottom w:val="0"/>
      <w:divBdr>
        <w:top w:val="none" w:sz="0" w:space="0" w:color="auto"/>
        <w:left w:val="none" w:sz="0" w:space="0" w:color="auto"/>
        <w:bottom w:val="none" w:sz="0" w:space="0" w:color="auto"/>
        <w:right w:val="none" w:sz="0" w:space="0" w:color="auto"/>
      </w:divBdr>
    </w:div>
    <w:div w:id="785348720">
      <w:bodyDiv w:val="1"/>
      <w:marLeft w:val="0"/>
      <w:marRight w:val="0"/>
      <w:marTop w:val="0"/>
      <w:marBottom w:val="0"/>
      <w:divBdr>
        <w:top w:val="none" w:sz="0" w:space="0" w:color="auto"/>
        <w:left w:val="none" w:sz="0" w:space="0" w:color="auto"/>
        <w:bottom w:val="none" w:sz="0" w:space="0" w:color="auto"/>
        <w:right w:val="none" w:sz="0" w:space="0" w:color="auto"/>
      </w:divBdr>
    </w:div>
    <w:div w:id="791749881">
      <w:bodyDiv w:val="1"/>
      <w:marLeft w:val="0"/>
      <w:marRight w:val="0"/>
      <w:marTop w:val="0"/>
      <w:marBottom w:val="0"/>
      <w:divBdr>
        <w:top w:val="none" w:sz="0" w:space="0" w:color="auto"/>
        <w:left w:val="none" w:sz="0" w:space="0" w:color="auto"/>
        <w:bottom w:val="none" w:sz="0" w:space="0" w:color="auto"/>
        <w:right w:val="none" w:sz="0" w:space="0" w:color="auto"/>
      </w:divBdr>
    </w:div>
    <w:div w:id="801464571">
      <w:bodyDiv w:val="1"/>
      <w:marLeft w:val="0"/>
      <w:marRight w:val="0"/>
      <w:marTop w:val="0"/>
      <w:marBottom w:val="0"/>
      <w:divBdr>
        <w:top w:val="none" w:sz="0" w:space="0" w:color="auto"/>
        <w:left w:val="none" w:sz="0" w:space="0" w:color="auto"/>
        <w:bottom w:val="none" w:sz="0" w:space="0" w:color="auto"/>
        <w:right w:val="none" w:sz="0" w:space="0" w:color="auto"/>
      </w:divBdr>
    </w:div>
    <w:div w:id="821511098">
      <w:bodyDiv w:val="1"/>
      <w:marLeft w:val="0"/>
      <w:marRight w:val="0"/>
      <w:marTop w:val="0"/>
      <w:marBottom w:val="0"/>
      <w:divBdr>
        <w:top w:val="none" w:sz="0" w:space="0" w:color="auto"/>
        <w:left w:val="none" w:sz="0" w:space="0" w:color="auto"/>
        <w:bottom w:val="none" w:sz="0" w:space="0" w:color="auto"/>
        <w:right w:val="none" w:sz="0" w:space="0" w:color="auto"/>
      </w:divBdr>
    </w:div>
    <w:div w:id="824585952">
      <w:bodyDiv w:val="1"/>
      <w:marLeft w:val="0"/>
      <w:marRight w:val="0"/>
      <w:marTop w:val="0"/>
      <w:marBottom w:val="0"/>
      <w:divBdr>
        <w:top w:val="none" w:sz="0" w:space="0" w:color="auto"/>
        <w:left w:val="none" w:sz="0" w:space="0" w:color="auto"/>
        <w:bottom w:val="none" w:sz="0" w:space="0" w:color="auto"/>
        <w:right w:val="none" w:sz="0" w:space="0" w:color="auto"/>
      </w:divBdr>
    </w:div>
    <w:div w:id="841625324">
      <w:bodyDiv w:val="1"/>
      <w:marLeft w:val="0"/>
      <w:marRight w:val="0"/>
      <w:marTop w:val="0"/>
      <w:marBottom w:val="0"/>
      <w:divBdr>
        <w:top w:val="none" w:sz="0" w:space="0" w:color="auto"/>
        <w:left w:val="none" w:sz="0" w:space="0" w:color="auto"/>
        <w:bottom w:val="none" w:sz="0" w:space="0" w:color="auto"/>
        <w:right w:val="none" w:sz="0" w:space="0" w:color="auto"/>
      </w:divBdr>
    </w:div>
    <w:div w:id="847674759">
      <w:bodyDiv w:val="1"/>
      <w:marLeft w:val="0"/>
      <w:marRight w:val="0"/>
      <w:marTop w:val="0"/>
      <w:marBottom w:val="0"/>
      <w:divBdr>
        <w:top w:val="none" w:sz="0" w:space="0" w:color="auto"/>
        <w:left w:val="none" w:sz="0" w:space="0" w:color="auto"/>
        <w:bottom w:val="none" w:sz="0" w:space="0" w:color="auto"/>
        <w:right w:val="none" w:sz="0" w:space="0" w:color="auto"/>
      </w:divBdr>
    </w:div>
    <w:div w:id="878470104">
      <w:bodyDiv w:val="1"/>
      <w:marLeft w:val="0"/>
      <w:marRight w:val="0"/>
      <w:marTop w:val="0"/>
      <w:marBottom w:val="0"/>
      <w:divBdr>
        <w:top w:val="none" w:sz="0" w:space="0" w:color="auto"/>
        <w:left w:val="none" w:sz="0" w:space="0" w:color="auto"/>
        <w:bottom w:val="none" w:sz="0" w:space="0" w:color="auto"/>
        <w:right w:val="none" w:sz="0" w:space="0" w:color="auto"/>
      </w:divBdr>
    </w:div>
    <w:div w:id="886726170">
      <w:bodyDiv w:val="1"/>
      <w:marLeft w:val="0"/>
      <w:marRight w:val="0"/>
      <w:marTop w:val="0"/>
      <w:marBottom w:val="0"/>
      <w:divBdr>
        <w:top w:val="none" w:sz="0" w:space="0" w:color="auto"/>
        <w:left w:val="none" w:sz="0" w:space="0" w:color="auto"/>
        <w:bottom w:val="none" w:sz="0" w:space="0" w:color="auto"/>
        <w:right w:val="none" w:sz="0" w:space="0" w:color="auto"/>
      </w:divBdr>
    </w:div>
    <w:div w:id="887913906">
      <w:bodyDiv w:val="1"/>
      <w:marLeft w:val="0"/>
      <w:marRight w:val="0"/>
      <w:marTop w:val="0"/>
      <w:marBottom w:val="0"/>
      <w:divBdr>
        <w:top w:val="none" w:sz="0" w:space="0" w:color="auto"/>
        <w:left w:val="none" w:sz="0" w:space="0" w:color="auto"/>
        <w:bottom w:val="none" w:sz="0" w:space="0" w:color="auto"/>
        <w:right w:val="none" w:sz="0" w:space="0" w:color="auto"/>
      </w:divBdr>
    </w:div>
    <w:div w:id="895824941">
      <w:bodyDiv w:val="1"/>
      <w:marLeft w:val="0"/>
      <w:marRight w:val="0"/>
      <w:marTop w:val="0"/>
      <w:marBottom w:val="0"/>
      <w:divBdr>
        <w:top w:val="none" w:sz="0" w:space="0" w:color="auto"/>
        <w:left w:val="none" w:sz="0" w:space="0" w:color="auto"/>
        <w:bottom w:val="none" w:sz="0" w:space="0" w:color="auto"/>
        <w:right w:val="none" w:sz="0" w:space="0" w:color="auto"/>
      </w:divBdr>
    </w:div>
    <w:div w:id="904603841">
      <w:bodyDiv w:val="1"/>
      <w:marLeft w:val="0"/>
      <w:marRight w:val="0"/>
      <w:marTop w:val="0"/>
      <w:marBottom w:val="0"/>
      <w:divBdr>
        <w:top w:val="none" w:sz="0" w:space="0" w:color="auto"/>
        <w:left w:val="none" w:sz="0" w:space="0" w:color="auto"/>
        <w:bottom w:val="none" w:sz="0" w:space="0" w:color="auto"/>
        <w:right w:val="none" w:sz="0" w:space="0" w:color="auto"/>
      </w:divBdr>
    </w:div>
    <w:div w:id="906961625">
      <w:bodyDiv w:val="1"/>
      <w:marLeft w:val="0"/>
      <w:marRight w:val="0"/>
      <w:marTop w:val="0"/>
      <w:marBottom w:val="0"/>
      <w:divBdr>
        <w:top w:val="none" w:sz="0" w:space="0" w:color="auto"/>
        <w:left w:val="none" w:sz="0" w:space="0" w:color="auto"/>
        <w:bottom w:val="none" w:sz="0" w:space="0" w:color="auto"/>
        <w:right w:val="none" w:sz="0" w:space="0" w:color="auto"/>
      </w:divBdr>
    </w:div>
    <w:div w:id="919405489">
      <w:bodyDiv w:val="1"/>
      <w:marLeft w:val="0"/>
      <w:marRight w:val="0"/>
      <w:marTop w:val="0"/>
      <w:marBottom w:val="0"/>
      <w:divBdr>
        <w:top w:val="none" w:sz="0" w:space="0" w:color="auto"/>
        <w:left w:val="none" w:sz="0" w:space="0" w:color="auto"/>
        <w:bottom w:val="none" w:sz="0" w:space="0" w:color="auto"/>
        <w:right w:val="none" w:sz="0" w:space="0" w:color="auto"/>
      </w:divBdr>
    </w:div>
    <w:div w:id="961689396">
      <w:bodyDiv w:val="1"/>
      <w:marLeft w:val="0"/>
      <w:marRight w:val="0"/>
      <w:marTop w:val="0"/>
      <w:marBottom w:val="0"/>
      <w:divBdr>
        <w:top w:val="none" w:sz="0" w:space="0" w:color="auto"/>
        <w:left w:val="none" w:sz="0" w:space="0" w:color="auto"/>
        <w:bottom w:val="none" w:sz="0" w:space="0" w:color="auto"/>
        <w:right w:val="none" w:sz="0" w:space="0" w:color="auto"/>
      </w:divBdr>
    </w:div>
    <w:div w:id="969818910">
      <w:bodyDiv w:val="1"/>
      <w:marLeft w:val="0"/>
      <w:marRight w:val="0"/>
      <w:marTop w:val="0"/>
      <w:marBottom w:val="0"/>
      <w:divBdr>
        <w:top w:val="none" w:sz="0" w:space="0" w:color="auto"/>
        <w:left w:val="none" w:sz="0" w:space="0" w:color="auto"/>
        <w:bottom w:val="none" w:sz="0" w:space="0" w:color="auto"/>
        <w:right w:val="none" w:sz="0" w:space="0" w:color="auto"/>
      </w:divBdr>
    </w:div>
    <w:div w:id="974991489">
      <w:bodyDiv w:val="1"/>
      <w:marLeft w:val="0"/>
      <w:marRight w:val="0"/>
      <w:marTop w:val="0"/>
      <w:marBottom w:val="0"/>
      <w:divBdr>
        <w:top w:val="none" w:sz="0" w:space="0" w:color="auto"/>
        <w:left w:val="none" w:sz="0" w:space="0" w:color="auto"/>
        <w:bottom w:val="none" w:sz="0" w:space="0" w:color="auto"/>
        <w:right w:val="none" w:sz="0" w:space="0" w:color="auto"/>
      </w:divBdr>
    </w:div>
    <w:div w:id="998536288">
      <w:bodyDiv w:val="1"/>
      <w:marLeft w:val="0"/>
      <w:marRight w:val="0"/>
      <w:marTop w:val="0"/>
      <w:marBottom w:val="0"/>
      <w:divBdr>
        <w:top w:val="none" w:sz="0" w:space="0" w:color="auto"/>
        <w:left w:val="none" w:sz="0" w:space="0" w:color="auto"/>
        <w:bottom w:val="none" w:sz="0" w:space="0" w:color="auto"/>
        <w:right w:val="none" w:sz="0" w:space="0" w:color="auto"/>
      </w:divBdr>
    </w:div>
    <w:div w:id="1062367882">
      <w:bodyDiv w:val="1"/>
      <w:marLeft w:val="0"/>
      <w:marRight w:val="0"/>
      <w:marTop w:val="0"/>
      <w:marBottom w:val="0"/>
      <w:divBdr>
        <w:top w:val="none" w:sz="0" w:space="0" w:color="auto"/>
        <w:left w:val="none" w:sz="0" w:space="0" w:color="auto"/>
        <w:bottom w:val="none" w:sz="0" w:space="0" w:color="auto"/>
        <w:right w:val="none" w:sz="0" w:space="0" w:color="auto"/>
      </w:divBdr>
    </w:div>
    <w:div w:id="1068962816">
      <w:bodyDiv w:val="1"/>
      <w:marLeft w:val="0"/>
      <w:marRight w:val="0"/>
      <w:marTop w:val="0"/>
      <w:marBottom w:val="0"/>
      <w:divBdr>
        <w:top w:val="none" w:sz="0" w:space="0" w:color="auto"/>
        <w:left w:val="none" w:sz="0" w:space="0" w:color="auto"/>
        <w:bottom w:val="none" w:sz="0" w:space="0" w:color="auto"/>
        <w:right w:val="none" w:sz="0" w:space="0" w:color="auto"/>
      </w:divBdr>
    </w:div>
    <w:div w:id="1106730739">
      <w:marLeft w:val="0"/>
      <w:marRight w:val="0"/>
      <w:marTop w:val="0"/>
      <w:marBottom w:val="0"/>
      <w:divBdr>
        <w:top w:val="none" w:sz="0" w:space="0" w:color="auto"/>
        <w:left w:val="none" w:sz="0" w:space="0" w:color="auto"/>
        <w:bottom w:val="none" w:sz="0" w:space="0" w:color="auto"/>
        <w:right w:val="none" w:sz="0" w:space="0" w:color="auto"/>
      </w:divBdr>
    </w:div>
    <w:div w:id="1106730740">
      <w:marLeft w:val="0"/>
      <w:marRight w:val="0"/>
      <w:marTop w:val="0"/>
      <w:marBottom w:val="0"/>
      <w:divBdr>
        <w:top w:val="none" w:sz="0" w:space="0" w:color="auto"/>
        <w:left w:val="none" w:sz="0" w:space="0" w:color="auto"/>
        <w:bottom w:val="none" w:sz="0" w:space="0" w:color="auto"/>
        <w:right w:val="none" w:sz="0" w:space="0" w:color="auto"/>
      </w:divBdr>
    </w:div>
    <w:div w:id="1106730741">
      <w:marLeft w:val="0"/>
      <w:marRight w:val="0"/>
      <w:marTop w:val="0"/>
      <w:marBottom w:val="0"/>
      <w:divBdr>
        <w:top w:val="none" w:sz="0" w:space="0" w:color="auto"/>
        <w:left w:val="none" w:sz="0" w:space="0" w:color="auto"/>
        <w:bottom w:val="none" w:sz="0" w:space="0" w:color="auto"/>
        <w:right w:val="none" w:sz="0" w:space="0" w:color="auto"/>
      </w:divBdr>
    </w:div>
    <w:div w:id="1106730743">
      <w:marLeft w:val="0"/>
      <w:marRight w:val="0"/>
      <w:marTop w:val="0"/>
      <w:marBottom w:val="0"/>
      <w:divBdr>
        <w:top w:val="none" w:sz="0" w:space="0" w:color="auto"/>
        <w:left w:val="none" w:sz="0" w:space="0" w:color="auto"/>
        <w:bottom w:val="none" w:sz="0" w:space="0" w:color="auto"/>
        <w:right w:val="none" w:sz="0" w:space="0" w:color="auto"/>
      </w:divBdr>
    </w:div>
    <w:div w:id="1106730744">
      <w:marLeft w:val="90"/>
      <w:marRight w:val="90"/>
      <w:marTop w:val="90"/>
      <w:marBottom w:val="90"/>
      <w:divBdr>
        <w:top w:val="none" w:sz="0" w:space="0" w:color="auto"/>
        <w:left w:val="none" w:sz="0" w:space="0" w:color="auto"/>
        <w:bottom w:val="none" w:sz="0" w:space="0" w:color="auto"/>
        <w:right w:val="none" w:sz="0" w:space="0" w:color="auto"/>
      </w:divBdr>
      <w:divsChild>
        <w:div w:id="1106730742">
          <w:marLeft w:val="0"/>
          <w:marRight w:val="0"/>
          <w:marTop w:val="0"/>
          <w:marBottom w:val="0"/>
          <w:divBdr>
            <w:top w:val="none" w:sz="0" w:space="0" w:color="auto"/>
            <w:left w:val="none" w:sz="0" w:space="0" w:color="auto"/>
            <w:bottom w:val="none" w:sz="0" w:space="0" w:color="auto"/>
            <w:right w:val="none" w:sz="0" w:space="0" w:color="auto"/>
          </w:divBdr>
        </w:div>
      </w:divsChild>
    </w:div>
    <w:div w:id="1106730747">
      <w:marLeft w:val="0"/>
      <w:marRight w:val="0"/>
      <w:marTop w:val="0"/>
      <w:marBottom w:val="0"/>
      <w:divBdr>
        <w:top w:val="none" w:sz="0" w:space="0" w:color="auto"/>
        <w:left w:val="none" w:sz="0" w:space="0" w:color="auto"/>
        <w:bottom w:val="none" w:sz="0" w:space="0" w:color="auto"/>
        <w:right w:val="none" w:sz="0" w:space="0" w:color="auto"/>
      </w:divBdr>
    </w:div>
    <w:div w:id="1106730750">
      <w:marLeft w:val="0"/>
      <w:marRight w:val="0"/>
      <w:marTop w:val="0"/>
      <w:marBottom w:val="0"/>
      <w:divBdr>
        <w:top w:val="none" w:sz="0" w:space="0" w:color="auto"/>
        <w:left w:val="none" w:sz="0" w:space="0" w:color="auto"/>
        <w:bottom w:val="none" w:sz="0" w:space="0" w:color="auto"/>
        <w:right w:val="none" w:sz="0" w:space="0" w:color="auto"/>
      </w:divBdr>
      <w:divsChild>
        <w:div w:id="1106730746">
          <w:marLeft w:val="0"/>
          <w:marRight w:val="0"/>
          <w:marTop w:val="0"/>
          <w:marBottom w:val="0"/>
          <w:divBdr>
            <w:top w:val="none" w:sz="0" w:space="0" w:color="auto"/>
            <w:left w:val="none" w:sz="0" w:space="0" w:color="auto"/>
            <w:bottom w:val="none" w:sz="0" w:space="0" w:color="auto"/>
            <w:right w:val="none" w:sz="0" w:space="0" w:color="auto"/>
          </w:divBdr>
        </w:div>
        <w:div w:id="1106730749">
          <w:marLeft w:val="0"/>
          <w:marRight w:val="0"/>
          <w:marTop w:val="0"/>
          <w:marBottom w:val="0"/>
          <w:divBdr>
            <w:top w:val="none" w:sz="0" w:space="0" w:color="auto"/>
            <w:left w:val="none" w:sz="0" w:space="0" w:color="auto"/>
            <w:bottom w:val="none" w:sz="0" w:space="0" w:color="auto"/>
            <w:right w:val="none" w:sz="0" w:space="0" w:color="auto"/>
          </w:divBdr>
        </w:div>
        <w:div w:id="1106730753">
          <w:marLeft w:val="0"/>
          <w:marRight w:val="0"/>
          <w:marTop w:val="0"/>
          <w:marBottom w:val="0"/>
          <w:divBdr>
            <w:top w:val="none" w:sz="0" w:space="0" w:color="auto"/>
            <w:left w:val="none" w:sz="0" w:space="0" w:color="auto"/>
            <w:bottom w:val="none" w:sz="0" w:space="0" w:color="auto"/>
            <w:right w:val="none" w:sz="0" w:space="0" w:color="auto"/>
          </w:divBdr>
        </w:div>
      </w:divsChild>
    </w:div>
    <w:div w:id="1106730752">
      <w:marLeft w:val="0"/>
      <w:marRight w:val="0"/>
      <w:marTop w:val="0"/>
      <w:marBottom w:val="0"/>
      <w:divBdr>
        <w:top w:val="none" w:sz="0" w:space="0" w:color="auto"/>
        <w:left w:val="none" w:sz="0" w:space="0" w:color="auto"/>
        <w:bottom w:val="none" w:sz="0" w:space="0" w:color="auto"/>
        <w:right w:val="none" w:sz="0" w:space="0" w:color="auto"/>
      </w:divBdr>
      <w:divsChild>
        <w:div w:id="1106730745">
          <w:marLeft w:val="0"/>
          <w:marRight w:val="0"/>
          <w:marTop w:val="0"/>
          <w:marBottom w:val="0"/>
          <w:divBdr>
            <w:top w:val="none" w:sz="0" w:space="0" w:color="auto"/>
            <w:left w:val="none" w:sz="0" w:space="0" w:color="auto"/>
            <w:bottom w:val="none" w:sz="0" w:space="0" w:color="auto"/>
            <w:right w:val="none" w:sz="0" w:space="0" w:color="auto"/>
          </w:divBdr>
        </w:div>
        <w:div w:id="1106730748">
          <w:marLeft w:val="0"/>
          <w:marRight w:val="0"/>
          <w:marTop w:val="0"/>
          <w:marBottom w:val="0"/>
          <w:divBdr>
            <w:top w:val="none" w:sz="0" w:space="0" w:color="auto"/>
            <w:left w:val="none" w:sz="0" w:space="0" w:color="auto"/>
            <w:bottom w:val="none" w:sz="0" w:space="0" w:color="auto"/>
            <w:right w:val="none" w:sz="0" w:space="0" w:color="auto"/>
          </w:divBdr>
        </w:div>
        <w:div w:id="1106730751">
          <w:marLeft w:val="0"/>
          <w:marRight w:val="0"/>
          <w:marTop w:val="0"/>
          <w:marBottom w:val="0"/>
          <w:divBdr>
            <w:top w:val="none" w:sz="0" w:space="0" w:color="auto"/>
            <w:left w:val="none" w:sz="0" w:space="0" w:color="auto"/>
            <w:bottom w:val="none" w:sz="0" w:space="0" w:color="auto"/>
            <w:right w:val="none" w:sz="0" w:space="0" w:color="auto"/>
          </w:divBdr>
        </w:div>
      </w:divsChild>
    </w:div>
    <w:div w:id="1106730754">
      <w:marLeft w:val="0"/>
      <w:marRight w:val="0"/>
      <w:marTop w:val="0"/>
      <w:marBottom w:val="0"/>
      <w:divBdr>
        <w:top w:val="none" w:sz="0" w:space="0" w:color="auto"/>
        <w:left w:val="none" w:sz="0" w:space="0" w:color="auto"/>
        <w:bottom w:val="none" w:sz="0" w:space="0" w:color="auto"/>
        <w:right w:val="none" w:sz="0" w:space="0" w:color="auto"/>
      </w:divBdr>
    </w:div>
    <w:div w:id="1106730755">
      <w:marLeft w:val="0"/>
      <w:marRight w:val="0"/>
      <w:marTop w:val="0"/>
      <w:marBottom w:val="0"/>
      <w:divBdr>
        <w:top w:val="none" w:sz="0" w:space="0" w:color="auto"/>
        <w:left w:val="none" w:sz="0" w:space="0" w:color="auto"/>
        <w:bottom w:val="none" w:sz="0" w:space="0" w:color="auto"/>
        <w:right w:val="none" w:sz="0" w:space="0" w:color="auto"/>
      </w:divBdr>
    </w:div>
    <w:div w:id="1106730756">
      <w:marLeft w:val="0"/>
      <w:marRight w:val="0"/>
      <w:marTop w:val="0"/>
      <w:marBottom w:val="0"/>
      <w:divBdr>
        <w:top w:val="none" w:sz="0" w:space="0" w:color="auto"/>
        <w:left w:val="none" w:sz="0" w:space="0" w:color="auto"/>
        <w:bottom w:val="none" w:sz="0" w:space="0" w:color="auto"/>
        <w:right w:val="none" w:sz="0" w:space="0" w:color="auto"/>
      </w:divBdr>
    </w:div>
    <w:div w:id="1106730757">
      <w:marLeft w:val="0"/>
      <w:marRight w:val="0"/>
      <w:marTop w:val="0"/>
      <w:marBottom w:val="0"/>
      <w:divBdr>
        <w:top w:val="none" w:sz="0" w:space="0" w:color="auto"/>
        <w:left w:val="none" w:sz="0" w:space="0" w:color="auto"/>
        <w:bottom w:val="none" w:sz="0" w:space="0" w:color="auto"/>
        <w:right w:val="none" w:sz="0" w:space="0" w:color="auto"/>
      </w:divBdr>
    </w:div>
    <w:div w:id="1106730758">
      <w:marLeft w:val="0"/>
      <w:marRight w:val="0"/>
      <w:marTop w:val="0"/>
      <w:marBottom w:val="0"/>
      <w:divBdr>
        <w:top w:val="none" w:sz="0" w:space="0" w:color="auto"/>
        <w:left w:val="none" w:sz="0" w:space="0" w:color="auto"/>
        <w:bottom w:val="none" w:sz="0" w:space="0" w:color="auto"/>
        <w:right w:val="none" w:sz="0" w:space="0" w:color="auto"/>
      </w:divBdr>
    </w:div>
    <w:div w:id="1106730759">
      <w:marLeft w:val="0"/>
      <w:marRight w:val="0"/>
      <w:marTop w:val="0"/>
      <w:marBottom w:val="0"/>
      <w:divBdr>
        <w:top w:val="none" w:sz="0" w:space="0" w:color="auto"/>
        <w:left w:val="none" w:sz="0" w:space="0" w:color="auto"/>
        <w:bottom w:val="none" w:sz="0" w:space="0" w:color="auto"/>
        <w:right w:val="none" w:sz="0" w:space="0" w:color="auto"/>
      </w:divBdr>
    </w:div>
    <w:div w:id="1106730760">
      <w:marLeft w:val="0"/>
      <w:marRight w:val="0"/>
      <w:marTop w:val="0"/>
      <w:marBottom w:val="0"/>
      <w:divBdr>
        <w:top w:val="none" w:sz="0" w:space="0" w:color="auto"/>
        <w:left w:val="none" w:sz="0" w:space="0" w:color="auto"/>
        <w:bottom w:val="none" w:sz="0" w:space="0" w:color="auto"/>
        <w:right w:val="none" w:sz="0" w:space="0" w:color="auto"/>
      </w:divBdr>
    </w:div>
    <w:div w:id="1106730761">
      <w:marLeft w:val="0"/>
      <w:marRight w:val="0"/>
      <w:marTop w:val="0"/>
      <w:marBottom w:val="0"/>
      <w:divBdr>
        <w:top w:val="none" w:sz="0" w:space="0" w:color="auto"/>
        <w:left w:val="none" w:sz="0" w:space="0" w:color="auto"/>
        <w:bottom w:val="none" w:sz="0" w:space="0" w:color="auto"/>
        <w:right w:val="none" w:sz="0" w:space="0" w:color="auto"/>
      </w:divBdr>
    </w:div>
    <w:div w:id="1106730762">
      <w:marLeft w:val="0"/>
      <w:marRight w:val="0"/>
      <w:marTop w:val="0"/>
      <w:marBottom w:val="0"/>
      <w:divBdr>
        <w:top w:val="none" w:sz="0" w:space="0" w:color="auto"/>
        <w:left w:val="none" w:sz="0" w:space="0" w:color="auto"/>
        <w:bottom w:val="none" w:sz="0" w:space="0" w:color="auto"/>
        <w:right w:val="none" w:sz="0" w:space="0" w:color="auto"/>
      </w:divBdr>
    </w:div>
    <w:div w:id="1106730763">
      <w:marLeft w:val="0"/>
      <w:marRight w:val="0"/>
      <w:marTop w:val="0"/>
      <w:marBottom w:val="0"/>
      <w:divBdr>
        <w:top w:val="none" w:sz="0" w:space="0" w:color="auto"/>
        <w:left w:val="none" w:sz="0" w:space="0" w:color="auto"/>
        <w:bottom w:val="none" w:sz="0" w:space="0" w:color="auto"/>
        <w:right w:val="none" w:sz="0" w:space="0" w:color="auto"/>
      </w:divBdr>
    </w:div>
    <w:div w:id="1106730764">
      <w:marLeft w:val="0"/>
      <w:marRight w:val="0"/>
      <w:marTop w:val="0"/>
      <w:marBottom w:val="0"/>
      <w:divBdr>
        <w:top w:val="none" w:sz="0" w:space="0" w:color="auto"/>
        <w:left w:val="none" w:sz="0" w:space="0" w:color="auto"/>
        <w:bottom w:val="none" w:sz="0" w:space="0" w:color="auto"/>
        <w:right w:val="none" w:sz="0" w:space="0" w:color="auto"/>
      </w:divBdr>
    </w:div>
    <w:div w:id="1106730765">
      <w:marLeft w:val="0"/>
      <w:marRight w:val="0"/>
      <w:marTop w:val="0"/>
      <w:marBottom w:val="0"/>
      <w:divBdr>
        <w:top w:val="none" w:sz="0" w:space="0" w:color="auto"/>
        <w:left w:val="none" w:sz="0" w:space="0" w:color="auto"/>
        <w:bottom w:val="none" w:sz="0" w:space="0" w:color="auto"/>
        <w:right w:val="none" w:sz="0" w:space="0" w:color="auto"/>
      </w:divBdr>
    </w:div>
    <w:div w:id="1106730766">
      <w:marLeft w:val="0"/>
      <w:marRight w:val="0"/>
      <w:marTop w:val="0"/>
      <w:marBottom w:val="0"/>
      <w:divBdr>
        <w:top w:val="none" w:sz="0" w:space="0" w:color="auto"/>
        <w:left w:val="none" w:sz="0" w:space="0" w:color="auto"/>
        <w:bottom w:val="none" w:sz="0" w:space="0" w:color="auto"/>
        <w:right w:val="none" w:sz="0" w:space="0" w:color="auto"/>
      </w:divBdr>
    </w:div>
    <w:div w:id="1106730767">
      <w:marLeft w:val="0"/>
      <w:marRight w:val="0"/>
      <w:marTop w:val="0"/>
      <w:marBottom w:val="0"/>
      <w:divBdr>
        <w:top w:val="none" w:sz="0" w:space="0" w:color="auto"/>
        <w:left w:val="none" w:sz="0" w:space="0" w:color="auto"/>
        <w:bottom w:val="none" w:sz="0" w:space="0" w:color="auto"/>
        <w:right w:val="none" w:sz="0" w:space="0" w:color="auto"/>
      </w:divBdr>
    </w:div>
    <w:div w:id="1106730768">
      <w:marLeft w:val="0"/>
      <w:marRight w:val="0"/>
      <w:marTop w:val="0"/>
      <w:marBottom w:val="0"/>
      <w:divBdr>
        <w:top w:val="none" w:sz="0" w:space="0" w:color="auto"/>
        <w:left w:val="none" w:sz="0" w:space="0" w:color="auto"/>
        <w:bottom w:val="none" w:sz="0" w:space="0" w:color="auto"/>
        <w:right w:val="none" w:sz="0" w:space="0" w:color="auto"/>
      </w:divBdr>
    </w:div>
    <w:div w:id="1106730769">
      <w:marLeft w:val="0"/>
      <w:marRight w:val="0"/>
      <w:marTop w:val="0"/>
      <w:marBottom w:val="0"/>
      <w:divBdr>
        <w:top w:val="none" w:sz="0" w:space="0" w:color="auto"/>
        <w:left w:val="none" w:sz="0" w:space="0" w:color="auto"/>
        <w:bottom w:val="none" w:sz="0" w:space="0" w:color="auto"/>
        <w:right w:val="none" w:sz="0" w:space="0" w:color="auto"/>
      </w:divBdr>
    </w:div>
    <w:div w:id="1106730770">
      <w:marLeft w:val="0"/>
      <w:marRight w:val="0"/>
      <w:marTop w:val="0"/>
      <w:marBottom w:val="0"/>
      <w:divBdr>
        <w:top w:val="none" w:sz="0" w:space="0" w:color="auto"/>
        <w:left w:val="none" w:sz="0" w:space="0" w:color="auto"/>
        <w:bottom w:val="none" w:sz="0" w:space="0" w:color="auto"/>
        <w:right w:val="none" w:sz="0" w:space="0" w:color="auto"/>
      </w:divBdr>
    </w:div>
    <w:div w:id="1106730771">
      <w:marLeft w:val="0"/>
      <w:marRight w:val="0"/>
      <w:marTop w:val="0"/>
      <w:marBottom w:val="0"/>
      <w:divBdr>
        <w:top w:val="none" w:sz="0" w:space="0" w:color="auto"/>
        <w:left w:val="none" w:sz="0" w:space="0" w:color="auto"/>
        <w:bottom w:val="none" w:sz="0" w:space="0" w:color="auto"/>
        <w:right w:val="none" w:sz="0" w:space="0" w:color="auto"/>
      </w:divBdr>
    </w:div>
    <w:div w:id="1106730772">
      <w:marLeft w:val="0"/>
      <w:marRight w:val="0"/>
      <w:marTop w:val="0"/>
      <w:marBottom w:val="0"/>
      <w:divBdr>
        <w:top w:val="none" w:sz="0" w:space="0" w:color="auto"/>
        <w:left w:val="none" w:sz="0" w:space="0" w:color="auto"/>
        <w:bottom w:val="none" w:sz="0" w:space="0" w:color="auto"/>
        <w:right w:val="none" w:sz="0" w:space="0" w:color="auto"/>
      </w:divBdr>
    </w:div>
    <w:div w:id="1106730773">
      <w:marLeft w:val="0"/>
      <w:marRight w:val="0"/>
      <w:marTop w:val="0"/>
      <w:marBottom w:val="0"/>
      <w:divBdr>
        <w:top w:val="none" w:sz="0" w:space="0" w:color="auto"/>
        <w:left w:val="none" w:sz="0" w:space="0" w:color="auto"/>
        <w:bottom w:val="none" w:sz="0" w:space="0" w:color="auto"/>
        <w:right w:val="none" w:sz="0" w:space="0" w:color="auto"/>
      </w:divBdr>
    </w:div>
    <w:div w:id="1106730774">
      <w:marLeft w:val="0"/>
      <w:marRight w:val="0"/>
      <w:marTop w:val="0"/>
      <w:marBottom w:val="0"/>
      <w:divBdr>
        <w:top w:val="none" w:sz="0" w:space="0" w:color="auto"/>
        <w:left w:val="none" w:sz="0" w:space="0" w:color="auto"/>
        <w:bottom w:val="none" w:sz="0" w:space="0" w:color="auto"/>
        <w:right w:val="none" w:sz="0" w:space="0" w:color="auto"/>
      </w:divBdr>
    </w:div>
    <w:div w:id="1106730775">
      <w:marLeft w:val="0"/>
      <w:marRight w:val="0"/>
      <w:marTop w:val="0"/>
      <w:marBottom w:val="0"/>
      <w:divBdr>
        <w:top w:val="none" w:sz="0" w:space="0" w:color="auto"/>
        <w:left w:val="none" w:sz="0" w:space="0" w:color="auto"/>
        <w:bottom w:val="none" w:sz="0" w:space="0" w:color="auto"/>
        <w:right w:val="none" w:sz="0" w:space="0" w:color="auto"/>
      </w:divBdr>
    </w:div>
    <w:div w:id="1106730776">
      <w:marLeft w:val="0"/>
      <w:marRight w:val="0"/>
      <w:marTop w:val="0"/>
      <w:marBottom w:val="0"/>
      <w:divBdr>
        <w:top w:val="none" w:sz="0" w:space="0" w:color="auto"/>
        <w:left w:val="none" w:sz="0" w:space="0" w:color="auto"/>
        <w:bottom w:val="none" w:sz="0" w:space="0" w:color="auto"/>
        <w:right w:val="none" w:sz="0" w:space="0" w:color="auto"/>
      </w:divBdr>
    </w:div>
    <w:div w:id="1128429068">
      <w:bodyDiv w:val="1"/>
      <w:marLeft w:val="0"/>
      <w:marRight w:val="0"/>
      <w:marTop w:val="0"/>
      <w:marBottom w:val="0"/>
      <w:divBdr>
        <w:top w:val="none" w:sz="0" w:space="0" w:color="auto"/>
        <w:left w:val="none" w:sz="0" w:space="0" w:color="auto"/>
        <w:bottom w:val="none" w:sz="0" w:space="0" w:color="auto"/>
        <w:right w:val="none" w:sz="0" w:space="0" w:color="auto"/>
      </w:divBdr>
    </w:div>
    <w:div w:id="1135218036">
      <w:bodyDiv w:val="1"/>
      <w:marLeft w:val="0"/>
      <w:marRight w:val="0"/>
      <w:marTop w:val="0"/>
      <w:marBottom w:val="0"/>
      <w:divBdr>
        <w:top w:val="none" w:sz="0" w:space="0" w:color="auto"/>
        <w:left w:val="none" w:sz="0" w:space="0" w:color="auto"/>
        <w:bottom w:val="none" w:sz="0" w:space="0" w:color="auto"/>
        <w:right w:val="none" w:sz="0" w:space="0" w:color="auto"/>
      </w:divBdr>
    </w:div>
    <w:div w:id="1162544223">
      <w:bodyDiv w:val="1"/>
      <w:marLeft w:val="0"/>
      <w:marRight w:val="0"/>
      <w:marTop w:val="0"/>
      <w:marBottom w:val="0"/>
      <w:divBdr>
        <w:top w:val="none" w:sz="0" w:space="0" w:color="auto"/>
        <w:left w:val="none" w:sz="0" w:space="0" w:color="auto"/>
        <w:bottom w:val="none" w:sz="0" w:space="0" w:color="auto"/>
        <w:right w:val="none" w:sz="0" w:space="0" w:color="auto"/>
      </w:divBdr>
    </w:div>
    <w:div w:id="1178614596">
      <w:bodyDiv w:val="1"/>
      <w:marLeft w:val="0"/>
      <w:marRight w:val="0"/>
      <w:marTop w:val="0"/>
      <w:marBottom w:val="0"/>
      <w:divBdr>
        <w:top w:val="none" w:sz="0" w:space="0" w:color="auto"/>
        <w:left w:val="none" w:sz="0" w:space="0" w:color="auto"/>
        <w:bottom w:val="none" w:sz="0" w:space="0" w:color="auto"/>
        <w:right w:val="none" w:sz="0" w:space="0" w:color="auto"/>
      </w:divBdr>
    </w:div>
    <w:div w:id="1180047028">
      <w:bodyDiv w:val="1"/>
      <w:marLeft w:val="0"/>
      <w:marRight w:val="0"/>
      <w:marTop w:val="0"/>
      <w:marBottom w:val="0"/>
      <w:divBdr>
        <w:top w:val="none" w:sz="0" w:space="0" w:color="auto"/>
        <w:left w:val="none" w:sz="0" w:space="0" w:color="auto"/>
        <w:bottom w:val="none" w:sz="0" w:space="0" w:color="auto"/>
        <w:right w:val="none" w:sz="0" w:space="0" w:color="auto"/>
      </w:divBdr>
    </w:div>
    <w:div w:id="1228959481">
      <w:bodyDiv w:val="1"/>
      <w:marLeft w:val="0"/>
      <w:marRight w:val="0"/>
      <w:marTop w:val="0"/>
      <w:marBottom w:val="0"/>
      <w:divBdr>
        <w:top w:val="none" w:sz="0" w:space="0" w:color="auto"/>
        <w:left w:val="none" w:sz="0" w:space="0" w:color="auto"/>
        <w:bottom w:val="none" w:sz="0" w:space="0" w:color="auto"/>
        <w:right w:val="none" w:sz="0" w:space="0" w:color="auto"/>
      </w:divBdr>
    </w:div>
    <w:div w:id="1236353740">
      <w:bodyDiv w:val="1"/>
      <w:marLeft w:val="0"/>
      <w:marRight w:val="0"/>
      <w:marTop w:val="0"/>
      <w:marBottom w:val="0"/>
      <w:divBdr>
        <w:top w:val="none" w:sz="0" w:space="0" w:color="auto"/>
        <w:left w:val="none" w:sz="0" w:space="0" w:color="auto"/>
        <w:bottom w:val="none" w:sz="0" w:space="0" w:color="auto"/>
        <w:right w:val="none" w:sz="0" w:space="0" w:color="auto"/>
      </w:divBdr>
    </w:div>
    <w:div w:id="1241332811">
      <w:bodyDiv w:val="1"/>
      <w:marLeft w:val="0"/>
      <w:marRight w:val="0"/>
      <w:marTop w:val="0"/>
      <w:marBottom w:val="0"/>
      <w:divBdr>
        <w:top w:val="none" w:sz="0" w:space="0" w:color="auto"/>
        <w:left w:val="none" w:sz="0" w:space="0" w:color="auto"/>
        <w:bottom w:val="none" w:sz="0" w:space="0" w:color="auto"/>
        <w:right w:val="none" w:sz="0" w:space="0" w:color="auto"/>
      </w:divBdr>
    </w:div>
    <w:div w:id="1267344121">
      <w:bodyDiv w:val="1"/>
      <w:marLeft w:val="0"/>
      <w:marRight w:val="0"/>
      <w:marTop w:val="0"/>
      <w:marBottom w:val="0"/>
      <w:divBdr>
        <w:top w:val="none" w:sz="0" w:space="0" w:color="auto"/>
        <w:left w:val="none" w:sz="0" w:space="0" w:color="auto"/>
        <w:bottom w:val="none" w:sz="0" w:space="0" w:color="auto"/>
        <w:right w:val="none" w:sz="0" w:space="0" w:color="auto"/>
      </w:divBdr>
    </w:div>
    <w:div w:id="1267536733">
      <w:bodyDiv w:val="1"/>
      <w:marLeft w:val="0"/>
      <w:marRight w:val="0"/>
      <w:marTop w:val="0"/>
      <w:marBottom w:val="0"/>
      <w:divBdr>
        <w:top w:val="none" w:sz="0" w:space="0" w:color="auto"/>
        <w:left w:val="none" w:sz="0" w:space="0" w:color="auto"/>
        <w:bottom w:val="none" w:sz="0" w:space="0" w:color="auto"/>
        <w:right w:val="none" w:sz="0" w:space="0" w:color="auto"/>
      </w:divBdr>
    </w:div>
    <w:div w:id="1295019041">
      <w:bodyDiv w:val="1"/>
      <w:marLeft w:val="0"/>
      <w:marRight w:val="0"/>
      <w:marTop w:val="0"/>
      <w:marBottom w:val="0"/>
      <w:divBdr>
        <w:top w:val="none" w:sz="0" w:space="0" w:color="auto"/>
        <w:left w:val="none" w:sz="0" w:space="0" w:color="auto"/>
        <w:bottom w:val="none" w:sz="0" w:space="0" w:color="auto"/>
        <w:right w:val="none" w:sz="0" w:space="0" w:color="auto"/>
      </w:divBdr>
    </w:div>
    <w:div w:id="1329988951">
      <w:bodyDiv w:val="1"/>
      <w:marLeft w:val="0"/>
      <w:marRight w:val="0"/>
      <w:marTop w:val="0"/>
      <w:marBottom w:val="0"/>
      <w:divBdr>
        <w:top w:val="none" w:sz="0" w:space="0" w:color="auto"/>
        <w:left w:val="none" w:sz="0" w:space="0" w:color="auto"/>
        <w:bottom w:val="none" w:sz="0" w:space="0" w:color="auto"/>
        <w:right w:val="none" w:sz="0" w:space="0" w:color="auto"/>
      </w:divBdr>
    </w:div>
    <w:div w:id="1338658582">
      <w:bodyDiv w:val="1"/>
      <w:marLeft w:val="0"/>
      <w:marRight w:val="0"/>
      <w:marTop w:val="0"/>
      <w:marBottom w:val="0"/>
      <w:divBdr>
        <w:top w:val="none" w:sz="0" w:space="0" w:color="auto"/>
        <w:left w:val="none" w:sz="0" w:space="0" w:color="auto"/>
        <w:bottom w:val="none" w:sz="0" w:space="0" w:color="auto"/>
        <w:right w:val="none" w:sz="0" w:space="0" w:color="auto"/>
      </w:divBdr>
    </w:div>
    <w:div w:id="1356157643">
      <w:bodyDiv w:val="1"/>
      <w:marLeft w:val="0"/>
      <w:marRight w:val="0"/>
      <w:marTop w:val="0"/>
      <w:marBottom w:val="0"/>
      <w:divBdr>
        <w:top w:val="none" w:sz="0" w:space="0" w:color="auto"/>
        <w:left w:val="none" w:sz="0" w:space="0" w:color="auto"/>
        <w:bottom w:val="none" w:sz="0" w:space="0" w:color="auto"/>
        <w:right w:val="none" w:sz="0" w:space="0" w:color="auto"/>
      </w:divBdr>
    </w:div>
    <w:div w:id="1364597477">
      <w:bodyDiv w:val="1"/>
      <w:marLeft w:val="0"/>
      <w:marRight w:val="0"/>
      <w:marTop w:val="0"/>
      <w:marBottom w:val="0"/>
      <w:divBdr>
        <w:top w:val="none" w:sz="0" w:space="0" w:color="auto"/>
        <w:left w:val="none" w:sz="0" w:space="0" w:color="auto"/>
        <w:bottom w:val="none" w:sz="0" w:space="0" w:color="auto"/>
        <w:right w:val="none" w:sz="0" w:space="0" w:color="auto"/>
      </w:divBdr>
    </w:div>
    <w:div w:id="1367482762">
      <w:bodyDiv w:val="1"/>
      <w:marLeft w:val="0"/>
      <w:marRight w:val="0"/>
      <w:marTop w:val="0"/>
      <w:marBottom w:val="0"/>
      <w:divBdr>
        <w:top w:val="none" w:sz="0" w:space="0" w:color="auto"/>
        <w:left w:val="none" w:sz="0" w:space="0" w:color="auto"/>
        <w:bottom w:val="none" w:sz="0" w:space="0" w:color="auto"/>
        <w:right w:val="none" w:sz="0" w:space="0" w:color="auto"/>
      </w:divBdr>
    </w:div>
    <w:div w:id="1375348594">
      <w:bodyDiv w:val="1"/>
      <w:marLeft w:val="0"/>
      <w:marRight w:val="0"/>
      <w:marTop w:val="0"/>
      <w:marBottom w:val="0"/>
      <w:divBdr>
        <w:top w:val="none" w:sz="0" w:space="0" w:color="auto"/>
        <w:left w:val="none" w:sz="0" w:space="0" w:color="auto"/>
        <w:bottom w:val="none" w:sz="0" w:space="0" w:color="auto"/>
        <w:right w:val="none" w:sz="0" w:space="0" w:color="auto"/>
      </w:divBdr>
    </w:div>
    <w:div w:id="1406799979">
      <w:bodyDiv w:val="1"/>
      <w:marLeft w:val="0"/>
      <w:marRight w:val="0"/>
      <w:marTop w:val="0"/>
      <w:marBottom w:val="0"/>
      <w:divBdr>
        <w:top w:val="none" w:sz="0" w:space="0" w:color="auto"/>
        <w:left w:val="none" w:sz="0" w:space="0" w:color="auto"/>
        <w:bottom w:val="none" w:sz="0" w:space="0" w:color="auto"/>
        <w:right w:val="none" w:sz="0" w:space="0" w:color="auto"/>
      </w:divBdr>
    </w:div>
    <w:div w:id="1419130945">
      <w:bodyDiv w:val="1"/>
      <w:marLeft w:val="0"/>
      <w:marRight w:val="0"/>
      <w:marTop w:val="0"/>
      <w:marBottom w:val="0"/>
      <w:divBdr>
        <w:top w:val="none" w:sz="0" w:space="0" w:color="auto"/>
        <w:left w:val="none" w:sz="0" w:space="0" w:color="auto"/>
        <w:bottom w:val="none" w:sz="0" w:space="0" w:color="auto"/>
        <w:right w:val="none" w:sz="0" w:space="0" w:color="auto"/>
      </w:divBdr>
    </w:div>
    <w:div w:id="1420056892">
      <w:bodyDiv w:val="1"/>
      <w:marLeft w:val="0"/>
      <w:marRight w:val="0"/>
      <w:marTop w:val="0"/>
      <w:marBottom w:val="0"/>
      <w:divBdr>
        <w:top w:val="none" w:sz="0" w:space="0" w:color="auto"/>
        <w:left w:val="none" w:sz="0" w:space="0" w:color="auto"/>
        <w:bottom w:val="none" w:sz="0" w:space="0" w:color="auto"/>
        <w:right w:val="none" w:sz="0" w:space="0" w:color="auto"/>
      </w:divBdr>
    </w:div>
    <w:div w:id="1428891349">
      <w:bodyDiv w:val="1"/>
      <w:marLeft w:val="0"/>
      <w:marRight w:val="0"/>
      <w:marTop w:val="0"/>
      <w:marBottom w:val="0"/>
      <w:divBdr>
        <w:top w:val="none" w:sz="0" w:space="0" w:color="auto"/>
        <w:left w:val="none" w:sz="0" w:space="0" w:color="auto"/>
        <w:bottom w:val="none" w:sz="0" w:space="0" w:color="auto"/>
        <w:right w:val="none" w:sz="0" w:space="0" w:color="auto"/>
      </w:divBdr>
    </w:div>
    <w:div w:id="1479880376">
      <w:bodyDiv w:val="1"/>
      <w:marLeft w:val="0"/>
      <w:marRight w:val="0"/>
      <w:marTop w:val="0"/>
      <w:marBottom w:val="0"/>
      <w:divBdr>
        <w:top w:val="none" w:sz="0" w:space="0" w:color="auto"/>
        <w:left w:val="none" w:sz="0" w:space="0" w:color="auto"/>
        <w:bottom w:val="none" w:sz="0" w:space="0" w:color="auto"/>
        <w:right w:val="none" w:sz="0" w:space="0" w:color="auto"/>
      </w:divBdr>
    </w:div>
    <w:div w:id="1498502064">
      <w:bodyDiv w:val="1"/>
      <w:marLeft w:val="0"/>
      <w:marRight w:val="0"/>
      <w:marTop w:val="0"/>
      <w:marBottom w:val="0"/>
      <w:divBdr>
        <w:top w:val="none" w:sz="0" w:space="0" w:color="auto"/>
        <w:left w:val="none" w:sz="0" w:space="0" w:color="auto"/>
        <w:bottom w:val="none" w:sz="0" w:space="0" w:color="auto"/>
        <w:right w:val="none" w:sz="0" w:space="0" w:color="auto"/>
      </w:divBdr>
    </w:div>
    <w:div w:id="1500660246">
      <w:bodyDiv w:val="1"/>
      <w:marLeft w:val="0"/>
      <w:marRight w:val="0"/>
      <w:marTop w:val="0"/>
      <w:marBottom w:val="0"/>
      <w:divBdr>
        <w:top w:val="none" w:sz="0" w:space="0" w:color="auto"/>
        <w:left w:val="none" w:sz="0" w:space="0" w:color="auto"/>
        <w:bottom w:val="none" w:sz="0" w:space="0" w:color="auto"/>
        <w:right w:val="none" w:sz="0" w:space="0" w:color="auto"/>
      </w:divBdr>
    </w:div>
    <w:div w:id="1507404681">
      <w:bodyDiv w:val="1"/>
      <w:marLeft w:val="0"/>
      <w:marRight w:val="0"/>
      <w:marTop w:val="0"/>
      <w:marBottom w:val="0"/>
      <w:divBdr>
        <w:top w:val="none" w:sz="0" w:space="0" w:color="auto"/>
        <w:left w:val="none" w:sz="0" w:space="0" w:color="auto"/>
        <w:bottom w:val="none" w:sz="0" w:space="0" w:color="auto"/>
        <w:right w:val="none" w:sz="0" w:space="0" w:color="auto"/>
      </w:divBdr>
    </w:div>
    <w:div w:id="1523934777">
      <w:bodyDiv w:val="1"/>
      <w:marLeft w:val="0"/>
      <w:marRight w:val="0"/>
      <w:marTop w:val="0"/>
      <w:marBottom w:val="0"/>
      <w:divBdr>
        <w:top w:val="none" w:sz="0" w:space="0" w:color="auto"/>
        <w:left w:val="none" w:sz="0" w:space="0" w:color="auto"/>
        <w:bottom w:val="none" w:sz="0" w:space="0" w:color="auto"/>
        <w:right w:val="none" w:sz="0" w:space="0" w:color="auto"/>
      </w:divBdr>
    </w:div>
    <w:div w:id="1526673132">
      <w:bodyDiv w:val="1"/>
      <w:marLeft w:val="0"/>
      <w:marRight w:val="0"/>
      <w:marTop w:val="0"/>
      <w:marBottom w:val="0"/>
      <w:divBdr>
        <w:top w:val="none" w:sz="0" w:space="0" w:color="auto"/>
        <w:left w:val="none" w:sz="0" w:space="0" w:color="auto"/>
        <w:bottom w:val="none" w:sz="0" w:space="0" w:color="auto"/>
        <w:right w:val="none" w:sz="0" w:space="0" w:color="auto"/>
      </w:divBdr>
    </w:div>
    <w:div w:id="1553232759">
      <w:bodyDiv w:val="1"/>
      <w:marLeft w:val="0"/>
      <w:marRight w:val="0"/>
      <w:marTop w:val="0"/>
      <w:marBottom w:val="0"/>
      <w:divBdr>
        <w:top w:val="none" w:sz="0" w:space="0" w:color="auto"/>
        <w:left w:val="none" w:sz="0" w:space="0" w:color="auto"/>
        <w:bottom w:val="none" w:sz="0" w:space="0" w:color="auto"/>
        <w:right w:val="none" w:sz="0" w:space="0" w:color="auto"/>
      </w:divBdr>
    </w:div>
    <w:div w:id="1563906564">
      <w:bodyDiv w:val="1"/>
      <w:marLeft w:val="0"/>
      <w:marRight w:val="0"/>
      <w:marTop w:val="0"/>
      <w:marBottom w:val="0"/>
      <w:divBdr>
        <w:top w:val="none" w:sz="0" w:space="0" w:color="auto"/>
        <w:left w:val="none" w:sz="0" w:space="0" w:color="auto"/>
        <w:bottom w:val="none" w:sz="0" w:space="0" w:color="auto"/>
        <w:right w:val="none" w:sz="0" w:space="0" w:color="auto"/>
      </w:divBdr>
    </w:div>
    <w:div w:id="1600945923">
      <w:bodyDiv w:val="1"/>
      <w:marLeft w:val="0"/>
      <w:marRight w:val="0"/>
      <w:marTop w:val="0"/>
      <w:marBottom w:val="0"/>
      <w:divBdr>
        <w:top w:val="none" w:sz="0" w:space="0" w:color="auto"/>
        <w:left w:val="none" w:sz="0" w:space="0" w:color="auto"/>
        <w:bottom w:val="none" w:sz="0" w:space="0" w:color="auto"/>
        <w:right w:val="none" w:sz="0" w:space="0" w:color="auto"/>
      </w:divBdr>
    </w:div>
    <w:div w:id="1621959041">
      <w:bodyDiv w:val="1"/>
      <w:marLeft w:val="0"/>
      <w:marRight w:val="0"/>
      <w:marTop w:val="0"/>
      <w:marBottom w:val="0"/>
      <w:divBdr>
        <w:top w:val="none" w:sz="0" w:space="0" w:color="auto"/>
        <w:left w:val="none" w:sz="0" w:space="0" w:color="auto"/>
        <w:bottom w:val="none" w:sz="0" w:space="0" w:color="auto"/>
        <w:right w:val="none" w:sz="0" w:space="0" w:color="auto"/>
      </w:divBdr>
    </w:div>
    <w:div w:id="1629511371">
      <w:bodyDiv w:val="1"/>
      <w:marLeft w:val="0"/>
      <w:marRight w:val="0"/>
      <w:marTop w:val="0"/>
      <w:marBottom w:val="0"/>
      <w:divBdr>
        <w:top w:val="none" w:sz="0" w:space="0" w:color="auto"/>
        <w:left w:val="none" w:sz="0" w:space="0" w:color="auto"/>
        <w:bottom w:val="none" w:sz="0" w:space="0" w:color="auto"/>
        <w:right w:val="none" w:sz="0" w:space="0" w:color="auto"/>
      </w:divBdr>
    </w:div>
    <w:div w:id="1640957203">
      <w:bodyDiv w:val="1"/>
      <w:marLeft w:val="0"/>
      <w:marRight w:val="0"/>
      <w:marTop w:val="0"/>
      <w:marBottom w:val="0"/>
      <w:divBdr>
        <w:top w:val="none" w:sz="0" w:space="0" w:color="auto"/>
        <w:left w:val="none" w:sz="0" w:space="0" w:color="auto"/>
        <w:bottom w:val="none" w:sz="0" w:space="0" w:color="auto"/>
        <w:right w:val="none" w:sz="0" w:space="0" w:color="auto"/>
      </w:divBdr>
    </w:div>
    <w:div w:id="1665738557">
      <w:bodyDiv w:val="1"/>
      <w:marLeft w:val="0"/>
      <w:marRight w:val="0"/>
      <w:marTop w:val="0"/>
      <w:marBottom w:val="0"/>
      <w:divBdr>
        <w:top w:val="none" w:sz="0" w:space="0" w:color="auto"/>
        <w:left w:val="none" w:sz="0" w:space="0" w:color="auto"/>
        <w:bottom w:val="none" w:sz="0" w:space="0" w:color="auto"/>
        <w:right w:val="none" w:sz="0" w:space="0" w:color="auto"/>
      </w:divBdr>
    </w:div>
    <w:div w:id="1669359394">
      <w:bodyDiv w:val="1"/>
      <w:marLeft w:val="0"/>
      <w:marRight w:val="0"/>
      <w:marTop w:val="0"/>
      <w:marBottom w:val="0"/>
      <w:divBdr>
        <w:top w:val="none" w:sz="0" w:space="0" w:color="auto"/>
        <w:left w:val="none" w:sz="0" w:space="0" w:color="auto"/>
        <w:bottom w:val="none" w:sz="0" w:space="0" w:color="auto"/>
        <w:right w:val="none" w:sz="0" w:space="0" w:color="auto"/>
      </w:divBdr>
    </w:div>
    <w:div w:id="1724407278">
      <w:bodyDiv w:val="1"/>
      <w:marLeft w:val="0"/>
      <w:marRight w:val="0"/>
      <w:marTop w:val="0"/>
      <w:marBottom w:val="0"/>
      <w:divBdr>
        <w:top w:val="none" w:sz="0" w:space="0" w:color="auto"/>
        <w:left w:val="none" w:sz="0" w:space="0" w:color="auto"/>
        <w:bottom w:val="none" w:sz="0" w:space="0" w:color="auto"/>
        <w:right w:val="none" w:sz="0" w:space="0" w:color="auto"/>
      </w:divBdr>
    </w:div>
    <w:div w:id="1779177699">
      <w:bodyDiv w:val="1"/>
      <w:marLeft w:val="0"/>
      <w:marRight w:val="0"/>
      <w:marTop w:val="0"/>
      <w:marBottom w:val="0"/>
      <w:divBdr>
        <w:top w:val="none" w:sz="0" w:space="0" w:color="auto"/>
        <w:left w:val="none" w:sz="0" w:space="0" w:color="auto"/>
        <w:bottom w:val="none" w:sz="0" w:space="0" w:color="auto"/>
        <w:right w:val="none" w:sz="0" w:space="0" w:color="auto"/>
      </w:divBdr>
    </w:div>
    <w:div w:id="1779565835">
      <w:bodyDiv w:val="1"/>
      <w:marLeft w:val="0"/>
      <w:marRight w:val="0"/>
      <w:marTop w:val="0"/>
      <w:marBottom w:val="0"/>
      <w:divBdr>
        <w:top w:val="none" w:sz="0" w:space="0" w:color="auto"/>
        <w:left w:val="none" w:sz="0" w:space="0" w:color="auto"/>
        <w:bottom w:val="none" w:sz="0" w:space="0" w:color="auto"/>
        <w:right w:val="none" w:sz="0" w:space="0" w:color="auto"/>
      </w:divBdr>
    </w:div>
    <w:div w:id="1780300656">
      <w:bodyDiv w:val="1"/>
      <w:marLeft w:val="0"/>
      <w:marRight w:val="0"/>
      <w:marTop w:val="0"/>
      <w:marBottom w:val="0"/>
      <w:divBdr>
        <w:top w:val="none" w:sz="0" w:space="0" w:color="auto"/>
        <w:left w:val="none" w:sz="0" w:space="0" w:color="auto"/>
        <w:bottom w:val="none" w:sz="0" w:space="0" w:color="auto"/>
        <w:right w:val="none" w:sz="0" w:space="0" w:color="auto"/>
      </w:divBdr>
    </w:div>
    <w:div w:id="1782724346">
      <w:bodyDiv w:val="1"/>
      <w:marLeft w:val="0"/>
      <w:marRight w:val="0"/>
      <w:marTop w:val="0"/>
      <w:marBottom w:val="0"/>
      <w:divBdr>
        <w:top w:val="none" w:sz="0" w:space="0" w:color="auto"/>
        <w:left w:val="none" w:sz="0" w:space="0" w:color="auto"/>
        <w:bottom w:val="none" w:sz="0" w:space="0" w:color="auto"/>
        <w:right w:val="none" w:sz="0" w:space="0" w:color="auto"/>
      </w:divBdr>
    </w:div>
    <w:div w:id="1821387544">
      <w:bodyDiv w:val="1"/>
      <w:marLeft w:val="0"/>
      <w:marRight w:val="0"/>
      <w:marTop w:val="0"/>
      <w:marBottom w:val="0"/>
      <w:divBdr>
        <w:top w:val="none" w:sz="0" w:space="0" w:color="auto"/>
        <w:left w:val="none" w:sz="0" w:space="0" w:color="auto"/>
        <w:bottom w:val="none" w:sz="0" w:space="0" w:color="auto"/>
        <w:right w:val="none" w:sz="0" w:space="0" w:color="auto"/>
      </w:divBdr>
    </w:div>
    <w:div w:id="1828089697">
      <w:bodyDiv w:val="1"/>
      <w:marLeft w:val="0"/>
      <w:marRight w:val="0"/>
      <w:marTop w:val="0"/>
      <w:marBottom w:val="0"/>
      <w:divBdr>
        <w:top w:val="none" w:sz="0" w:space="0" w:color="auto"/>
        <w:left w:val="none" w:sz="0" w:space="0" w:color="auto"/>
        <w:bottom w:val="none" w:sz="0" w:space="0" w:color="auto"/>
        <w:right w:val="none" w:sz="0" w:space="0" w:color="auto"/>
      </w:divBdr>
    </w:div>
    <w:div w:id="1857577858">
      <w:bodyDiv w:val="1"/>
      <w:marLeft w:val="0"/>
      <w:marRight w:val="0"/>
      <w:marTop w:val="0"/>
      <w:marBottom w:val="0"/>
      <w:divBdr>
        <w:top w:val="none" w:sz="0" w:space="0" w:color="auto"/>
        <w:left w:val="none" w:sz="0" w:space="0" w:color="auto"/>
        <w:bottom w:val="none" w:sz="0" w:space="0" w:color="auto"/>
        <w:right w:val="none" w:sz="0" w:space="0" w:color="auto"/>
      </w:divBdr>
    </w:div>
    <w:div w:id="1859270139">
      <w:bodyDiv w:val="1"/>
      <w:marLeft w:val="0"/>
      <w:marRight w:val="0"/>
      <w:marTop w:val="0"/>
      <w:marBottom w:val="0"/>
      <w:divBdr>
        <w:top w:val="none" w:sz="0" w:space="0" w:color="auto"/>
        <w:left w:val="none" w:sz="0" w:space="0" w:color="auto"/>
        <w:bottom w:val="none" w:sz="0" w:space="0" w:color="auto"/>
        <w:right w:val="none" w:sz="0" w:space="0" w:color="auto"/>
      </w:divBdr>
    </w:div>
    <w:div w:id="1885868168">
      <w:bodyDiv w:val="1"/>
      <w:marLeft w:val="0"/>
      <w:marRight w:val="0"/>
      <w:marTop w:val="0"/>
      <w:marBottom w:val="0"/>
      <w:divBdr>
        <w:top w:val="none" w:sz="0" w:space="0" w:color="auto"/>
        <w:left w:val="none" w:sz="0" w:space="0" w:color="auto"/>
        <w:bottom w:val="none" w:sz="0" w:space="0" w:color="auto"/>
        <w:right w:val="none" w:sz="0" w:space="0" w:color="auto"/>
      </w:divBdr>
    </w:div>
    <w:div w:id="1908758474">
      <w:bodyDiv w:val="1"/>
      <w:marLeft w:val="0"/>
      <w:marRight w:val="0"/>
      <w:marTop w:val="0"/>
      <w:marBottom w:val="0"/>
      <w:divBdr>
        <w:top w:val="none" w:sz="0" w:space="0" w:color="auto"/>
        <w:left w:val="none" w:sz="0" w:space="0" w:color="auto"/>
        <w:bottom w:val="none" w:sz="0" w:space="0" w:color="auto"/>
        <w:right w:val="none" w:sz="0" w:space="0" w:color="auto"/>
      </w:divBdr>
    </w:div>
    <w:div w:id="1930969742">
      <w:bodyDiv w:val="1"/>
      <w:marLeft w:val="0"/>
      <w:marRight w:val="0"/>
      <w:marTop w:val="0"/>
      <w:marBottom w:val="0"/>
      <w:divBdr>
        <w:top w:val="none" w:sz="0" w:space="0" w:color="auto"/>
        <w:left w:val="none" w:sz="0" w:space="0" w:color="auto"/>
        <w:bottom w:val="none" w:sz="0" w:space="0" w:color="auto"/>
        <w:right w:val="none" w:sz="0" w:space="0" w:color="auto"/>
      </w:divBdr>
    </w:div>
    <w:div w:id="1944876115">
      <w:bodyDiv w:val="1"/>
      <w:marLeft w:val="0"/>
      <w:marRight w:val="0"/>
      <w:marTop w:val="0"/>
      <w:marBottom w:val="0"/>
      <w:divBdr>
        <w:top w:val="none" w:sz="0" w:space="0" w:color="auto"/>
        <w:left w:val="none" w:sz="0" w:space="0" w:color="auto"/>
        <w:bottom w:val="none" w:sz="0" w:space="0" w:color="auto"/>
        <w:right w:val="none" w:sz="0" w:space="0" w:color="auto"/>
      </w:divBdr>
    </w:div>
    <w:div w:id="1945765720">
      <w:bodyDiv w:val="1"/>
      <w:marLeft w:val="0"/>
      <w:marRight w:val="0"/>
      <w:marTop w:val="0"/>
      <w:marBottom w:val="0"/>
      <w:divBdr>
        <w:top w:val="none" w:sz="0" w:space="0" w:color="auto"/>
        <w:left w:val="none" w:sz="0" w:space="0" w:color="auto"/>
        <w:bottom w:val="none" w:sz="0" w:space="0" w:color="auto"/>
        <w:right w:val="none" w:sz="0" w:space="0" w:color="auto"/>
      </w:divBdr>
    </w:div>
    <w:div w:id="1945841637">
      <w:bodyDiv w:val="1"/>
      <w:marLeft w:val="0"/>
      <w:marRight w:val="0"/>
      <w:marTop w:val="0"/>
      <w:marBottom w:val="0"/>
      <w:divBdr>
        <w:top w:val="none" w:sz="0" w:space="0" w:color="auto"/>
        <w:left w:val="none" w:sz="0" w:space="0" w:color="auto"/>
        <w:bottom w:val="none" w:sz="0" w:space="0" w:color="auto"/>
        <w:right w:val="none" w:sz="0" w:space="0" w:color="auto"/>
      </w:divBdr>
    </w:div>
    <w:div w:id="1949970971">
      <w:bodyDiv w:val="1"/>
      <w:marLeft w:val="0"/>
      <w:marRight w:val="0"/>
      <w:marTop w:val="0"/>
      <w:marBottom w:val="0"/>
      <w:divBdr>
        <w:top w:val="none" w:sz="0" w:space="0" w:color="auto"/>
        <w:left w:val="none" w:sz="0" w:space="0" w:color="auto"/>
        <w:bottom w:val="none" w:sz="0" w:space="0" w:color="auto"/>
        <w:right w:val="none" w:sz="0" w:space="0" w:color="auto"/>
      </w:divBdr>
    </w:div>
    <w:div w:id="1954625412">
      <w:bodyDiv w:val="1"/>
      <w:marLeft w:val="0"/>
      <w:marRight w:val="0"/>
      <w:marTop w:val="0"/>
      <w:marBottom w:val="0"/>
      <w:divBdr>
        <w:top w:val="none" w:sz="0" w:space="0" w:color="auto"/>
        <w:left w:val="none" w:sz="0" w:space="0" w:color="auto"/>
        <w:bottom w:val="none" w:sz="0" w:space="0" w:color="auto"/>
        <w:right w:val="none" w:sz="0" w:space="0" w:color="auto"/>
      </w:divBdr>
    </w:div>
    <w:div w:id="1982616859">
      <w:bodyDiv w:val="1"/>
      <w:marLeft w:val="0"/>
      <w:marRight w:val="0"/>
      <w:marTop w:val="0"/>
      <w:marBottom w:val="0"/>
      <w:divBdr>
        <w:top w:val="none" w:sz="0" w:space="0" w:color="auto"/>
        <w:left w:val="none" w:sz="0" w:space="0" w:color="auto"/>
        <w:bottom w:val="none" w:sz="0" w:space="0" w:color="auto"/>
        <w:right w:val="none" w:sz="0" w:space="0" w:color="auto"/>
      </w:divBdr>
    </w:div>
    <w:div w:id="1993489200">
      <w:bodyDiv w:val="1"/>
      <w:marLeft w:val="0"/>
      <w:marRight w:val="0"/>
      <w:marTop w:val="0"/>
      <w:marBottom w:val="0"/>
      <w:divBdr>
        <w:top w:val="none" w:sz="0" w:space="0" w:color="auto"/>
        <w:left w:val="none" w:sz="0" w:space="0" w:color="auto"/>
        <w:bottom w:val="none" w:sz="0" w:space="0" w:color="auto"/>
        <w:right w:val="none" w:sz="0" w:space="0" w:color="auto"/>
      </w:divBdr>
    </w:div>
    <w:div w:id="2002811943">
      <w:bodyDiv w:val="1"/>
      <w:marLeft w:val="0"/>
      <w:marRight w:val="0"/>
      <w:marTop w:val="0"/>
      <w:marBottom w:val="0"/>
      <w:divBdr>
        <w:top w:val="none" w:sz="0" w:space="0" w:color="auto"/>
        <w:left w:val="none" w:sz="0" w:space="0" w:color="auto"/>
        <w:bottom w:val="none" w:sz="0" w:space="0" w:color="auto"/>
        <w:right w:val="none" w:sz="0" w:space="0" w:color="auto"/>
      </w:divBdr>
    </w:div>
    <w:div w:id="2005160858">
      <w:bodyDiv w:val="1"/>
      <w:marLeft w:val="0"/>
      <w:marRight w:val="0"/>
      <w:marTop w:val="0"/>
      <w:marBottom w:val="0"/>
      <w:divBdr>
        <w:top w:val="none" w:sz="0" w:space="0" w:color="auto"/>
        <w:left w:val="none" w:sz="0" w:space="0" w:color="auto"/>
        <w:bottom w:val="none" w:sz="0" w:space="0" w:color="auto"/>
        <w:right w:val="none" w:sz="0" w:space="0" w:color="auto"/>
      </w:divBdr>
    </w:div>
    <w:div w:id="2077701654">
      <w:bodyDiv w:val="1"/>
      <w:marLeft w:val="0"/>
      <w:marRight w:val="0"/>
      <w:marTop w:val="0"/>
      <w:marBottom w:val="0"/>
      <w:divBdr>
        <w:top w:val="none" w:sz="0" w:space="0" w:color="auto"/>
        <w:left w:val="none" w:sz="0" w:space="0" w:color="auto"/>
        <w:bottom w:val="none" w:sz="0" w:space="0" w:color="auto"/>
        <w:right w:val="none" w:sz="0" w:space="0" w:color="auto"/>
      </w:divBdr>
    </w:div>
    <w:div w:id="2080402674">
      <w:bodyDiv w:val="1"/>
      <w:marLeft w:val="0"/>
      <w:marRight w:val="0"/>
      <w:marTop w:val="0"/>
      <w:marBottom w:val="0"/>
      <w:divBdr>
        <w:top w:val="none" w:sz="0" w:space="0" w:color="auto"/>
        <w:left w:val="none" w:sz="0" w:space="0" w:color="auto"/>
        <w:bottom w:val="none" w:sz="0" w:space="0" w:color="auto"/>
        <w:right w:val="none" w:sz="0" w:space="0" w:color="auto"/>
      </w:divBdr>
    </w:div>
    <w:div w:id="2090034603">
      <w:bodyDiv w:val="1"/>
      <w:marLeft w:val="0"/>
      <w:marRight w:val="0"/>
      <w:marTop w:val="0"/>
      <w:marBottom w:val="0"/>
      <w:divBdr>
        <w:top w:val="none" w:sz="0" w:space="0" w:color="auto"/>
        <w:left w:val="none" w:sz="0" w:space="0" w:color="auto"/>
        <w:bottom w:val="none" w:sz="0" w:space="0" w:color="auto"/>
        <w:right w:val="none" w:sz="0" w:space="0" w:color="auto"/>
      </w:divBdr>
    </w:div>
    <w:div w:id="21183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C0B8-B01C-498A-B2B0-2328B8EE78A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42456DF-DF0E-4DF0-9F03-ED62B320EC94}">
  <ds:schemaRefs>
    <ds:schemaRef ds:uri="http://schemas.microsoft.com/sharepoint/v3/contenttype/forms"/>
  </ds:schemaRefs>
</ds:datastoreItem>
</file>

<file path=customXml/itemProps3.xml><?xml version="1.0" encoding="utf-8"?>
<ds:datastoreItem xmlns:ds="http://schemas.openxmlformats.org/officeDocument/2006/customXml" ds:itemID="{25E35CAC-7B80-4279-89A2-27FE61F67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D11C4-079D-495A-BB34-9EF4964F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7305</Words>
  <Characters>41642</Characters>
  <Application>Microsoft Office Word</Application>
  <DocSecurity>0</DocSecurity>
  <Lines>347</Lines>
  <Paragraphs>97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1 DR DANILO ROJAS</dc:creator>
  <cp:keywords/>
  <cp:lastModifiedBy>Silvia</cp:lastModifiedBy>
  <cp:revision>2</cp:revision>
  <cp:lastPrinted>2018-10-22T13:17:00Z</cp:lastPrinted>
  <dcterms:created xsi:type="dcterms:W3CDTF">2020-07-01T16:47:00Z</dcterms:created>
  <dcterms:modified xsi:type="dcterms:W3CDTF">2020-07-01T16:47:00Z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