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C369A" w14:textId="77777777" w:rsidR="008B2E10" w:rsidRPr="009A3E3F" w:rsidRDefault="008B2E10" w:rsidP="00C42A5B">
      <w:pPr>
        <w:pStyle w:val="Puesto"/>
        <w:jc w:val="both"/>
        <w:rPr>
          <w:szCs w:val="22"/>
          <w:lang w:val="es-ES"/>
        </w:rPr>
      </w:pPr>
      <w:r w:rsidRPr="00C42A5B">
        <w:rPr>
          <w:szCs w:val="22"/>
          <w:lang w:val="es-ES"/>
        </w:rPr>
        <w:t xml:space="preserve">CONSEJO DE ESTADO - </w:t>
      </w:r>
      <w:r w:rsidRPr="009A3E3F">
        <w:rPr>
          <w:szCs w:val="22"/>
          <w:lang w:val="es-ES"/>
        </w:rPr>
        <w:t xml:space="preserve">Competencia para conocer en única instancia del recurso de anulación de un laudo arbitral  </w:t>
      </w:r>
    </w:p>
    <w:p w14:paraId="3F576DD0" w14:textId="77777777" w:rsidR="008B2E10" w:rsidRPr="00C42A5B" w:rsidRDefault="008B2E10" w:rsidP="00C42A5B">
      <w:pPr>
        <w:pStyle w:val="Puesto"/>
        <w:jc w:val="both"/>
        <w:rPr>
          <w:szCs w:val="22"/>
          <w:lang w:val="es-ES"/>
        </w:rPr>
      </w:pPr>
    </w:p>
    <w:p w14:paraId="181CA36D" w14:textId="77777777" w:rsidR="008B2E10" w:rsidRPr="00C42A5B" w:rsidRDefault="008B2E10" w:rsidP="00C42A5B">
      <w:pPr>
        <w:pStyle w:val="Puesto"/>
        <w:jc w:val="both"/>
        <w:rPr>
          <w:b w:val="0"/>
          <w:szCs w:val="22"/>
          <w:lang w:val="es-ES"/>
        </w:rPr>
      </w:pPr>
      <w:r w:rsidRPr="00C42A5B">
        <w:rPr>
          <w:b w:val="0"/>
          <w:szCs w:val="22"/>
          <w:lang w:val="es-ES"/>
        </w:rPr>
        <w:t>Se reafirma lo dispuesto en el auto de 20 de febrero de 2017, acerca de la jurisdicción y la competencia para conocer del recurso de anulación, teniendo en cuenta que una de las partes del conflicto que se desató con el laudo arbitral es una entidad de naturaleza estatal. Como consecuencia, se configuró el supuesto de la jurisdicción y la competencia del Consejo de Estado para conocer del recurso de anulación, de acuerdo con el artículo 46 de la Ley 1563 de 2012 y el numeral 7 del artículo 149 de la Ley 1437 de 2011.</w:t>
      </w:r>
    </w:p>
    <w:p w14:paraId="1DB63E6D" w14:textId="77777777" w:rsidR="008B2E10" w:rsidRPr="00C42A5B" w:rsidRDefault="008B2E10" w:rsidP="00C42A5B">
      <w:pPr>
        <w:pStyle w:val="Puesto"/>
        <w:jc w:val="both"/>
        <w:rPr>
          <w:b w:val="0"/>
          <w:szCs w:val="22"/>
          <w:lang w:val="es-ES"/>
        </w:rPr>
      </w:pPr>
    </w:p>
    <w:p w14:paraId="7385AD6B" w14:textId="2292E38E" w:rsidR="006F51CC" w:rsidRPr="009A3E3F" w:rsidRDefault="006F51CC" w:rsidP="00C42A5B">
      <w:pPr>
        <w:pStyle w:val="Puesto"/>
        <w:jc w:val="both"/>
        <w:rPr>
          <w:szCs w:val="22"/>
        </w:rPr>
      </w:pPr>
      <w:r w:rsidRPr="00C42A5B">
        <w:rPr>
          <w:szCs w:val="22"/>
          <w:lang w:val="es-ES"/>
        </w:rPr>
        <w:t xml:space="preserve">ACUERDO CONCILIATORIO - </w:t>
      </w:r>
      <w:r w:rsidR="00D02A79" w:rsidRPr="009A3E3F">
        <w:rPr>
          <w:szCs w:val="22"/>
          <w:lang w:val="es-ES"/>
        </w:rPr>
        <w:t>Acta</w:t>
      </w:r>
      <w:r w:rsidR="00232EA0">
        <w:rPr>
          <w:szCs w:val="22"/>
          <w:lang w:val="es-ES"/>
        </w:rPr>
        <w:t>s</w:t>
      </w:r>
      <w:r w:rsidR="00D02A79" w:rsidRPr="009A3E3F">
        <w:rPr>
          <w:szCs w:val="22"/>
          <w:lang w:val="es-ES"/>
        </w:rPr>
        <w:t xml:space="preserve"> de conciliación</w:t>
      </w:r>
    </w:p>
    <w:p w14:paraId="6A5AC932" w14:textId="77777777" w:rsidR="006F51CC" w:rsidRPr="00C42A5B" w:rsidRDefault="006F51CC" w:rsidP="00C42A5B">
      <w:pPr>
        <w:pStyle w:val="Puesto"/>
        <w:jc w:val="both"/>
        <w:rPr>
          <w:szCs w:val="22"/>
        </w:rPr>
      </w:pPr>
    </w:p>
    <w:p w14:paraId="37E56F96" w14:textId="77777777" w:rsidR="006F51CC" w:rsidRPr="00C42A5B" w:rsidRDefault="006F51CC" w:rsidP="00C42A5B">
      <w:pPr>
        <w:pStyle w:val="Puesto"/>
        <w:jc w:val="both"/>
        <w:rPr>
          <w:b w:val="0"/>
          <w:szCs w:val="22"/>
          <w:lang w:val="es-ES"/>
        </w:rPr>
      </w:pPr>
      <w:r w:rsidRPr="00C42A5B">
        <w:rPr>
          <w:b w:val="0"/>
          <w:szCs w:val="22"/>
          <w:lang w:val="es-ES"/>
        </w:rPr>
        <w:t>Se tiene presente que el acuerdo conciliatorio “hace tránsito a cosa juzgada y el acta de conciliación presta mérito ejecutivo”, de conformidad con lo que disponían las normas vigentes para la época en la cual las partes adelantaron el proceso arbitral que culminó con el acuerdo conciliatorio de 3 de mayo de 2005. En la misma forma, la Ley 1563 de 2012 establece: “Si las partes llegaren a una conciliación, el tribunal la aprobará mediante auto que hace tránsito a cosa juzgada y que, en caso de contener una obligación expresa, clara y exigible, prestará mérito ejecutivo”. Es cierto que la existencia de la cosa juzgada impide al Tribunal de Arbitramento entrar a conocer de fondo sobre el litigio que ya ha sido objeto de una decisión anterior, entre las mismas partes; no obstante, para establecer la identidad de objeto y el consecuente alcance material de la cosa juzgada es preciso detenerse en las decisiones de la providencia que se invoca como cosa juzgada, o en su caso, en el contenido del acuerdo conciliatorio correspondiente.</w:t>
      </w:r>
    </w:p>
    <w:p w14:paraId="77F6A0F6" w14:textId="77777777" w:rsidR="006F51CC" w:rsidRPr="00C42A5B" w:rsidRDefault="006F51CC" w:rsidP="00C42A5B">
      <w:pPr>
        <w:pStyle w:val="Puesto"/>
        <w:jc w:val="both"/>
        <w:rPr>
          <w:szCs w:val="22"/>
        </w:rPr>
      </w:pPr>
    </w:p>
    <w:p w14:paraId="4B89E48B" w14:textId="0562D9D6" w:rsidR="008B2E10" w:rsidRPr="009A3E3F" w:rsidRDefault="00300EAC" w:rsidP="00C42A5B">
      <w:pPr>
        <w:pStyle w:val="Puesto"/>
        <w:jc w:val="both"/>
        <w:rPr>
          <w:szCs w:val="22"/>
          <w:lang w:val="es-ES"/>
        </w:rPr>
      </w:pPr>
      <w:r w:rsidRPr="00C42A5B">
        <w:rPr>
          <w:szCs w:val="22"/>
          <w:lang w:val="es-ES"/>
        </w:rPr>
        <w:t xml:space="preserve">CAUSAL DE NULIDAD DEL LAUDO ARBITRAL - </w:t>
      </w:r>
      <w:r w:rsidRPr="009A3E3F">
        <w:rPr>
          <w:szCs w:val="22"/>
          <w:lang w:val="es-ES"/>
        </w:rPr>
        <w:t xml:space="preserve">Falta de competencia </w:t>
      </w:r>
      <w:r w:rsidR="00232EA0">
        <w:rPr>
          <w:szCs w:val="22"/>
          <w:lang w:val="es-ES"/>
        </w:rPr>
        <w:t xml:space="preserve">- </w:t>
      </w:r>
      <w:r w:rsidRPr="009A3E3F">
        <w:rPr>
          <w:szCs w:val="22"/>
          <w:lang w:val="es-ES"/>
        </w:rPr>
        <w:t xml:space="preserve">Alcance del numeral 2 del artículo 41 de la Ley 1563 de 2012 </w:t>
      </w:r>
    </w:p>
    <w:p w14:paraId="041186FC" w14:textId="77777777" w:rsidR="00300EAC" w:rsidRPr="00C42A5B" w:rsidRDefault="00300EAC" w:rsidP="00C42A5B">
      <w:pPr>
        <w:pStyle w:val="Puesto"/>
        <w:jc w:val="both"/>
        <w:rPr>
          <w:b w:val="0"/>
          <w:szCs w:val="22"/>
          <w:lang w:val="es-ES"/>
        </w:rPr>
      </w:pPr>
    </w:p>
    <w:p w14:paraId="2F7426E6" w14:textId="77777777" w:rsidR="00300EAC" w:rsidRPr="00C42A5B" w:rsidRDefault="00300EAC" w:rsidP="00C42A5B">
      <w:pPr>
        <w:pStyle w:val="Puesto"/>
        <w:jc w:val="both"/>
        <w:rPr>
          <w:b w:val="0"/>
          <w:szCs w:val="22"/>
          <w:lang w:val="es-ES"/>
        </w:rPr>
      </w:pPr>
      <w:r w:rsidRPr="00C42A5B">
        <w:rPr>
          <w:b w:val="0"/>
          <w:szCs w:val="22"/>
          <w:lang w:val="es-ES"/>
        </w:rPr>
        <w:t xml:space="preserve">Es cierto que la existencia de la cosa juzgada impide al Tribunal de Arbitramento entrar a conocer de fondo sobre el litigio que ya ha sido objeto de una decisión anterior, entre las mismas partes; no obstante, para establecer la identidad de objeto y el consecuente alcance material de la cosa juzgada es preciso detenerse en las decisiones de la providencia que se invoca como cosa juzgada, o en su caso, en el contenido del acuerdo conciliatorio correspondiente. (…) </w:t>
      </w:r>
      <w:r w:rsidR="00BE656F" w:rsidRPr="00C42A5B">
        <w:rPr>
          <w:b w:val="0"/>
          <w:szCs w:val="22"/>
          <w:lang w:val="es-ES"/>
        </w:rPr>
        <w:t xml:space="preserve">La Sala observa que el razonamiento del Tribunal de Arbitramento acerca de su competencia fue correcto, puesto que, en virtud del presupuesto de la identidad de objeto, la conciliación aprobada en el seno del proceso arbitral tiene fuerza de cosa juzgada sobre aquellos derechos que se discutieron ante el respectivo Tribunal de Arbitramento. (…) </w:t>
      </w:r>
      <w:r w:rsidR="00BE656F" w:rsidRPr="00C42A5B">
        <w:rPr>
          <w:b w:val="0"/>
          <w:szCs w:val="22"/>
          <w:lang w:val="es-ES"/>
        </w:rPr>
        <w:tab/>
        <w:t>Por otra parte, se destaca que el Tribunal de Arbitramento estableció que no tenía competencia para pronunciarse sobre los costos de financiación de otras órdenes de pago no incluidas en el acuerdo conciliatorio y se abstuvo de pronunciarse sobre estos, por lo cual, también, se encuentra que el Tribunal de Arbitramento delimitó en forma acertada los asuntos sobre los cuales carecía de competencia y no se pronunció sobre ellos.</w:t>
      </w:r>
    </w:p>
    <w:p w14:paraId="1605059F" w14:textId="77777777" w:rsidR="00D32288" w:rsidRPr="00C42A5B" w:rsidRDefault="00D32288" w:rsidP="00C42A5B">
      <w:pPr>
        <w:pStyle w:val="Puesto"/>
        <w:jc w:val="both"/>
        <w:rPr>
          <w:szCs w:val="22"/>
          <w:lang w:val="es-CO"/>
        </w:rPr>
      </w:pPr>
    </w:p>
    <w:p w14:paraId="59B563DA" w14:textId="2B381BE5" w:rsidR="00BE656F" w:rsidRPr="009A3E3F" w:rsidRDefault="00BE656F" w:rsidP="00C42A5B">
      <w:pPr>
        <w:pStyle w:val="Puesto"/>
        <w:jc w:val="both"/>
        <w:rPr>
          <w:szCs w:val="22"/>
          <w:lang w:val="es-ES"/>
        </w:rPr>
      </w:pPr>
      <w:r w:rsidRPr="00C42A5B">
        <w:rPr>
          <w:szCs w:val="22"/>
          <w:lang w:val="es-ES"/>
        </w:rPr>
        <w:t xml:space="preserve">CAUSAL DE NULIDAD DEL LAUDO ARBITRAL - </w:t>
      </w:r>
      <w:r w:rsidRPr="009A3E3F">
        <w:rPr>
          <w:szCs w:val="22"/>
          <w:lang w:val="es-ES"/>
        </w:rPr>
        <w:t xml:space="preserve">Fallo en conciencia </w:t>
      </w:r>
      <w:r w:rsidR="00232EA0">
        <w:rPr>
          <w:szCs w:val="22"/>
          <w:lang w:val="es-ES"/>
        </w:rPr>
        <w:t xml:space="preserve">- </w:t>
      </w:r>
      <w:r w:rsidRPr="009A3E3F">
        <w:rPr>
          <w:szCs w:val="22"/>
          <w:lang w:val="es-ES"/>
        </w:rPr>
        <w:t xml:space="preserve">Alcance del numeral 7 del artículo 41 de la Ley 1563 de 2012 </w:t>
      </w:r>
    </w:p>
    <w:p w14:paraId="1EC479CA" w14:textId="77777777" w:rsidR="00D34D52" w:rsidRPr="00C42A5B" w:rsidRDefault="00D34D52" w:rsidP="00C42A5B">
      <w:pPr>
        <w:pStyle w:val="Puesto"/>
        <w:jc w:val="both"/>
        <w:rPr>
          <w:b w:val="0"/>
          <w:szCs w:val="22"/>
          <w:lang w:val="es-ES"/>
        </w:rPr>
      </w:pPr>
    </w:p>
    <w:p w14:paraId="7280FAD2" w14:textId="77777777" w:rsidR="0028576F" w:rsidRPr="00C42A5B" w:rsidRDefault="00D34D52" w:rsidP="00C42A5B">
      <w:pPr>
        <w:pStyle w:val="Puesto"/>
        <w:jc w:val="both"/>
        <w:rPr>
          <w:b w:val="0"/>
          <w:szCs w:val="22"/>
          <w:lang w:val="es-ES"/>
        </w:rPr>
      </w:pPr>
      <w:r w:rsidRPr="00C42A5B">
        <w:rPr>
          <w:b w:val="0"/>
          <w:szCs w:val="22"/>
          <w:lang w:val="es-ES"/>
        </w:rPr>
        <w:t xml:space="preserve">En el análisis de las causales de anulación - y concretamente en la causal por fallo en conciencia-, se tiene presente que, partiendo del artículo 116 de la Constitución Política, al celebrar el pacto arbitral las partes del contrato habilitan a la jurisdicción arbitral y, por ende, acuerdan el desplazamiento de la jurisdicción ordinaria. En el caso del contrato estatal se observa que por virtud del pacto arbitral las partes renuncian a acudir ante la Jurisdicción de lo Contencioso Administrativo. De allí se desprende que la intervención de esta jurisdicción, como Juez de anulación, es restringida. </w:t>
      </w:r>
      <w:r w:rsidR="0074605B" w:rsidRPr="00C42A5B">
        <w:rPr>
          <w:b w:val="0"/>
          <w:szCs w:val="22"/>
          <w:lang w:val="es-ES"/>
        </w:rPr>
        <w:t>(…) Se observa que el Consejo de Estado ha considerado que el fallo en conciencia solo se puede entender configurado por el apartamiento manifiesto del derecho vigente y, por tanto, se concluye que no debe fundarse la anulación del laudo imputando al Tribunal de Arbitramento un defecto en la interpretación de la ley.</w:t>
      </w:r>
    </w:p>
    <w:p w14:paraId="59232C38" w14:textId="77777777" w:rsidR="0074605B" w:rsidRPr="00C42A5B" w:rsidRDefault="0074605B" w:rsidP="00C42A5B">
      <w:pPr>
        <w:pStyle w:val="Puesto"/>
        <w:jc w:val="both"/>
        <w:rPr>
          <w:b w:val="0"/>
          <w:szCs w:val="22"/>
          <w:lang w:val="es-ES"/>
        </w:rPr>
      </w:pPr>
    </w:p>
    <w:p w14:paraId="356449C5" w14:textId="77777777" w:rsidR="0074605B" w:rsidRPr="009A3E3F" w:rsidRDefault="0074605B" w:rsidP="00C42A5B">
      <w:pPr>
        <w:pStyle w:val="Puesto"/>
        <w:jc w:val="both"/>
        <w:rPr>
          <w:szCs w:val="22"/>
          <w:lang w:val="es-ES"/>
        </w:rPr>
      </w:pPr>
      <w:r w:rsidRPr="00C42A5B">
        <w:rPr>
          <w:szCs w:val="22"/>
          <w:lang w:val="es-ES"/>
        </w:rPr>
        <w:lastRenderedPageBreak/>
        <w:t>CAUSAL DE NULIDAD DEL LAUDO ARBITRAL -</w:t>
      </w:r>
      <w:r w:rsidRPr="00C42A5B">
        <w:rPr>
          <w:b w:val="0"/>
          <w:szCs w:val="22"/>
          <w:lang w:val="es-ES"/>
        </w:rPr>
        <w:t xml:space="preserve"> </w:t>
      </w:r>
      <w:r w:rsidRPr="009A3E3F">
        <w:rPr>
          <w:szCs w:val="22"/>
          <w:lang w:val="es-ES"/>
        </w:rPr>
        <w:t>Fallo en conciencia al que no considera las pruebas</w:t>
      </w:r>
    </w:p>
    <w:p w14:paraId="636ED3D8" w14:textId="77777777" w:rsidR="0074605B" w:rsidRPr="00C42A5B" w:rsidRDefault="0074605B" w:rsidP="00C42A5B">
      <w:pPr>
        <w:pStyle w:val="Puesto"/>
        <w:jc w:val="both"/>
        <w:rPr>
          <w:b w:val="0"/>
          <w:szCs w:val="22"/>
          <w:lang w:val="es-ES"/>
        </w:rPr>
      </w:pPr>
    </w:p>
    <w:p w14:paraId="2DC1F809" w14:textId="2C1BD251" w:rsidR="0074605B" w:rsidRDefault="00D8533B" w:rsidP="00C42A5B">
      <w:pPr>
        <w:pStyle w:val="Puesto"/>
        <w:jc w:val="both"/>
        <w:rPr>
          <w:b w:val="0"/>
          <w:szCs w:val="22"/>
          <w:lang w:val="es-ES"/>
        </w:rPr>
      </w:pPr>
      <w:r w:rsidRPr="00C42A5B">
        <w:rPr>
          <w:b w:val="0"/>
          <w:szCs w:val="22"/>
          <w:lang w:val="es-ES"/>
        </w:rPr>
        <w:t>La ANI expuso que el Tribunal de Arbitramento no tuvo en cuenta que el pliego de condiciones hacía parte de los documentos del contrato y que, por otra parte, no era cierto que a la fecha de suscripción del Otrosí de 30 de enero de 2014 el concesionario no hubiera alcanzado la TIR del proyecto. Sin embargo, de la lectura del laudo arbitral se observa que el Tribunal de Arbitramento se apoyó en múltiples pruebas y que tuvo en cuenta, entre otros: i) el dictamen pericial y los testimonios de los funcionarios que participaron en las negociaciones. Sobre el análisis extenso de esas pruebas el Tribunal fundó sus conclusiones acerca del funcionamiento del modelo financiero y del estado de cumplimiento de la TIR del contrato para la época en que las partes negociaron el Otrosí de 30 de enero de 2014 y ii) el contenido de la modificación del contrato de concesión referida en el Otrosí de 30 de enero de 2014. (…) Por ello, puede que se comparta o no el alcance que el Tribunal de Arbitramento dio a las pruebas y a la negociación contenida en el Otrosí de 30 de enero de 2014, sin embargo, en el presente caso se debe reiterar que en el recurso de anulación no procede calificar o modificar “los criterios, motivaciones, valoraciones probatorias o interpretaciones expuestas por el tribunal arbitral al adoptar el laudo”.</w:t>
      </w:r>
    </w:p>
    <w:p w14:paraId="4260294B" w14:textId="77777777" w:rsidR="009E78B6" w:rsidRPr="00C42A5B" w:rsidRDefault="009E78B6" w:rsidP="00C42A5B">
      <w:pPr>
        <w:pStyle w:val="Puesto"/>
        <w:jc w:val="both"/>
        <w:rPr>
          <w:b w:val="0"/>
          <w:szCs w:val="22"/>
          <w:lang w:val="es-ES"/>
        </w:rPr>
      </w:pPr>
    </w:p>
    <w:p w14:paraId="055540B3" w14:textId="77777777" w:rsidR="00D8533B" w:rsidRPr="00C42A5B" w:rsidRDefault="00D8533B" w:rsidP="00C42A5B">
      <w:pPr>
        <w:pStyle w:val="Puesto"/>
        <w:jc w:val="both"/>
        <w:rPr>
          <w:b w:val="0"/>
          <w:szCs w:val="22"/>
          <w:lang w:val="es-ES"/>
        </w:rPr>
      </w:pPr>
    </w:p>
    <w:p w14:paraId="329FB4D2" w14:textId="77777777" w:rsidR="00C85395" w:rsidRPr="00774267" w:rsidRDefault="00C85395" w:rsidP="00241203">
      <w:pPr>
        <w:pStyle w:val="Puesto"/>
        <w:rPr>
          <w:sz w:val="24"/>
        </w:rPr>
      </w:pPr>
      <w:r w:rsidRPr="00774267">
        <w:rPr>
          <w:sz w:val="24"/>
        </w:rPr>
        <w:t>CONSEJO DE ESTADO</w:t>
      </w:r>
    </w:p>
    <w:p w14:paraId="33E8B30F" w14:textId="77777777" w:rsidR="00A92F84" w:rsidRPr="00774267" w:rsidRDefault="00A92F84" w:rsidP="00241203">
      <w:pPr>
        <w:pStyle w:val="Puesto"/>
        <w:rPr>
          <w:sz w:val="24"/>
        </w:rPr>
      </w:pPr>
    </w:p>
    <w:p w14:paraId="012A06F7" w14:textId="77777777" w:rsidR="00C85395" w:rsidRPr="00774267" w:rsidRDefault="00C85395" w:rsidP="00241203">
      <w:pPr>
        <w:pStyle w:val="Puesto"/>
        <w:rPr>
          <w:sz w:val="24"/>
        </w:rPr>
      </w:pPr>
      <w:r w:rsidRPr="00774267">
        <w:rPr>
          <w:sz w:val="24"/>
        </w:rPr>
        <w:t>SALA DE LO CONTENCIOSO ADMINISTRATIVO</w:t>
      </w:r>
    </w:p>
    <w:p w14:paraId="4459F444" w14:textId="77777777" w:rsidR="00A92F84" w:rsidRPr="00774267" w:rsidRDefault="00A92F84" w:rsidP="00241203">
      <w:pPr>
        <w:pStyle w:val="Puesto"/>
        <w:rPr>
          <w:sz w:val="24"/>
        </w:rPr>
      </w:pPr>
    </w:p>
    <w:p w14:paraId="49FCB9EF" w14:textId="77777777" w:rsidR="00241203" w:rsidRPr="00774267" w:rsidRDefault="000E6697" w:rsidP="00241203">
      <w:pPr>
        <w:pStyle w:val="Puesto"/>
        <w:rPr>
          <w:sz w:val="24"/>
        </w:rPr>
      </w:pPr>
      <w:r w:rsidRPr="00774267">
        <w:rPr>
          <w:sz w:val="24"/>
        </w:rPr>
        <w:t>SECCIÓ</w:t>
      </w:r>
      <w:r w:rsidR="00241203" w:rsidRPr="00774267">
        <w:rPr>
          <w:sz w:val="24"/>
        </w:rPr>
        <w:t>N TERCERA</w:t>
      </w:r>
    </w:p>
    <w:p w14:paraId="7F75D3F9" w14:textId="77777777" w:rsidR="00241203" w:rsidRPr="00774267" w:rsidRDefault="00241203" w:rsidP="00241203">
      <w:pPr>
        <w:pStyle w:val="Puesto"/>
        <w:rPr>
          <w:sz w:val="24"/>
        </w:rPr>
      </w:pPr>
    </w:p>
    <w:p w14:paraId="6651E29A" w14:textId="77777777" w:rsidR="00C85395" w:rsidRPr="00774267" w:rsidRDefault="00241203" w:rsidP="00241203">
      <w:pPr>
        <w:pStyle w:val="Puesto"/>
        <w:rPr>
          <w:sz w:val="24"/>
        </w:rPr>
      </w:pPr>
      <w:r w:rsidRPr="00774267">
        <w:rPr>
          <w:sz w:val="24"/>
        </w:rPr>
        <w:t>SUBSECCIÓN</w:t>
      </w:r>
      <w:r w:rsidR="009479F7" w:rsidRPr="00774267">
        <w:rPr>
          <w:sz w:val="24"/>
        </w:rPr>
        <w:t xml:space="preserve"> A</w:t>
      </w:r>
    </w:p>
    <w:p w14:paraId="6E6F248E" w14:textId="77777777" w:rsidR="00C85395" w:rsidRPr="00774267" w:rsidRDefault="00C85395" w:rsidP="00241203">
      <w:pPr>
        <w:pStyle w:val="Encabezado"/>
        <w:spacing w:line="240" w:lineRule="auto"/>
        <w:jc w:val="center"/>
        <w:rPr>
          <w:rFonts w:cs="Arial"/>
          <w:b/>
          <w:szCs w:val="24"/>
          <w:lang w:val="es-CO"/>
        </w:rPr>
      </w:pPr>
    </w:p>
    <w:p w14:paraId="38DA4A08" w14:textId="77777777" w:rsidR="00C85395" w:rsidRPr="00774267" w:rsidRDefault="00C85395" w:rsidP="00241203">
      <w:pPr>
        <w:pStyle w:val="Encabezado"/>
        <w:spacing w:line="240" w:lineRule="auto"/>
        <w:jc w:val="center"/>
        <w:rPr>
          <w:rFonts w:cs="Arial"/>
          <w:spacing w:val="-3"/>
          <w:szCs w:val="24"/>
          <w:lang w:val="es-CO"/>
        </w:rPr>
      </w:pPr>
      <w:r w:rsidRPr="00774267">
        <w:rPr>
          <w:rFonts w:cs="Arial"/>
          <w:b/>
          <w:szCs w:val="24"/>
          <w:lang w:val="es-CO"/>
        </w:rPr>
        <w:t>Consej</w:t>
      </w:r>
      <w:r w:rsidR="00F556DB" w:rsidRPr="00774267">
        <w:rPr>
          <w:rFonts w:cs="Arial"/>
          <w:b/>
          <w:szCs w:val="24"/>
          <w:lang w:val="es-CO"/>
        </w:rPr>
        <w:t>er</w:t>
      </w:r>
      <w:r w:rsidR="00961FDA" w:rsidRPr="00774267">
        <w:rPr>
          <w:rFonts w:cs="Arial"/>
          <w:b/>
          <w:szCs w:val="24"/>
          <w:lang w:val="es-CO"/>
        </w:rPr>
        <w:t>a</w:t>
      </w:r>
      <w:r w:rsidR="00F556DB" w:rsidRPr="00774267">
        <w:rPr>
          <w:rFonts w:cs="Arial"/>
          <w:b/>
          <w:szCs w:val="24"/>
          <w:lang w:val="es-CO"/>
        </w:rPr>
        <w:t xml:space="preserve"> </w:t>
      </w:r>
      <w:r w:rsidR="00241203" w:rsidRPr="00774267">
        <w:rPr>
          <w:rFonts w:cs="Arial"/>
          <w:b/>
          <w:szCs w:val="24"/>
          <w:lang w:val="es-CO"/>
        </w:rPr>
        <w:t>p</w:t>
      </w:r>
      <w:r w:rsidR="00F556DB" w:rsidRPr="00774267">
        <w:rPr>
          <w:rFonts w:cs="Arial"/>
          <w:b/>
          <w:szCs w:val="24"/>
          <w:lang w:val="es-CO"/>
        </w:rPr>
        <w:t xml:space="preserve">onente: </w:t>
      </w:r>
      <w:r w:rsidR="00A92F84" w:rsidRPr="00774267">
        <w:rPr>
          <w:rFonts w:cs="Arial"/>
          <w:b/>
          <w:szCs w:val="24"/>
          <w:lang w:val="es-CO"/>
        </w:rPr>
        <w:t xml:space="preserve">MARTA NUBIA </w:t>
      </w:r>
      <w:r w:rsidR="00241203" w:rsidRPr="00774267">
        <w:rPr>
          <w:rFonts w:cs="Arial"/>
          <w:b/>
          <w:szCs w:val="24"/>
          <w:lang w:val="es-CO"/>
        </w:rPr>
        <w:t>VELÁSQUEZ</w:t>
      </w:r>
      <w:r w:rsidR="00A92F84" w:rsidRPr="00774267">
        <w:rPr>
          <w:rFonts w:cs="Arial"/>
          <w:b/>
          <w:szCs w:val="24"/>
          <w:lang w:val="es-CO"/>
        </w:rPr>
        <w:t xml:space="preserve"> RICO</w:t>
      </w:r>
    </w:p>
    <w:p w14:paraId="2956E4DB" w14:textId="77777777" w:rsidR="00ED77A2" w:rsidRPr="00774267" w:rsidRDefault="00ED77A2" w:rsidP="00241203">
      <w:pPr>
        <w:spacing w:line="240" w:lineRule="auto"/>
        <w:rPr>
          <w:rFonts w:cs="Arial"/>
        </w:rPr>
      </w:pPr>
    </w:p>
    <w:p w14:paraId="05967822" w14:textId="77777777" w:rsidR="00F21484" w:rsidRPr="00774267" w:rsidRDefault="00F21484" w:rsidP="00241203">
      <w:pPr>
        <w:pStyle w:val="Saludo"/>
        <w:spacing w:line="240" w:lineRule="auto"/>
        <w:rPr>
          <w:rFonts w:cs="Arial"/>
        </w:rPr>
      </w:pPr>
      <w:r w:rsidRPr="00774267">
        <w:rPr>
          <w:rFonts w:cs="Arial"/>
        </w:rPr>
        <w:t>B</w:t>
      </w:r>
      <w:r w:rsidR="00025C7D" w:rsidRPr="00774267">
        <w:rPr>
          <w:rFonts w:cs="Arial"/>
        </w:rPr>
        <w:t>ogotá</w:t>
      </w:r>
      <w:r w:rsidR="00D425CB" w:rsidRPr="00774267">
        <w:rPr>
          <w:rFonts w:cs="Arial"/>
        </w:rPr>
        <w:t>,</w:t>
      </w:r>
      <w:r w:rsidR="00025C7D" w:rsidRPr="00774267">
        <w:rPr>
          <w:rFonts w:cs="Arial"/>
        </w:rPr>
        <w:t xml:space="preserve"> D.C.,</w:t>
      </w:r>
      <w:r w:rsidR="004B7D27" w:rsidRPr="00774267">
        <w:rPr>
          <w:rFonts w:cs="Arial"/>
        </w:rPr>
        <w:t xml:space="preserve"> </w:t>
      </w:r>
      <w:r w:rsidR="003C7372" w:rsidRPr="00774267">
        <w:rPr>
          <w:rFonts w:cs="Arial"/>
        </w:rPr>
        <w:t xml:space="preserve">veinticuatro (24) </w:t>
      </w:r>
      <w:r w:rsidR="00C6529F" w:rsidRPr="00774267">
        <w:rPr>
          <w:rFonts w:cs="Arial"/>
        </w:rPr>
        <w:t xml:space="preserve">de </w:t>
      </w:r>
      <w:r w:rsidR="003C7372" w:rsidRPr="00774267">
        <w:rPr>
          <w:rFonts w:cs="Arial"/>
        </w:rPr>
        <w:t xml:space="preserve">mayo de </w:t>
      </w:r>
      <w:r w:rsidR="003D2359" w:rsidRPr="00774267">
        <w:rPr>
          <w:rFonts w:cs="Arial"/>
        </w:rPr>
        <w:t xml:space="preserve">dos mil </w:t>
      </w:r>
      <w:r w:rsidR="00F773C8" w:rsidRPr="00774267">
        <w:rPr>
          <w:rFonts w:cs="Arial"/>
        </w:rPr>
        <w:t>diecis</w:t>
      </w:r>
      <w:r w:rsidR="006F6CF3" w:rsidRPr="00774267">
        <w:rPr>
          <w:rFonts w:cs="Arial"/>
        </w:rPr>
        <w:t>iete</w:t>
      </w:r>
      <w:r w:rsidR="003D2359" w:rsidRPr="00774267">
        <w:rPr>
          <w:rFonts w:cs="Arial"/>
        </w:rPr>
        <w:t xml:space="preserve"> (201</w:t>
      </w:r>
      <w:r w:rsidR="006F6CF3" w:rsidRPr="00774267">
        <w:rPr>
          <w:rFonts w:cs="Arial"/>
        </w:rPr>
        <w:t>7</w:t>
      </w:r>
      <w:r w:rsidR="003D2359" w:rsidRPr="00774267">
        <w:rPr>
          <w:rFonts w:cs="Arial"/>
        </w:rPr>
        <w:t>)</w:t>
      </w:r>
    </w:p>
    <w:p w14:paraId="788B6A45" w14:textId="77777777" w:rsidR="0009687C" w:rsidRPr="00774267" w:rsidRDefault="0009687C" w:rsidP="00241203">
      <w:pPr>
        <w:spacing w:line="240" w:lineRule="auto"/>
        <w:rPr>
          <w:rFonts w:cs="Arial"/>
          <w:b/>
        </w:rPr>
      </w:pPr>
    </w:p>
    <w:p w14:paraId="1778C291" w14:textId="77777777" w:rsidR="009B4F34" w:rsidRPr="00774267" w:rsidRDefault="007537D1" w:rsidP="00241203">
      <w:pPr>
        <w:spacing w:line="240" w:lineRule="auto"/>
        <w:rPr>
          <w:rFonts w:cs="Arial"/>
          <w:b/>
        </w:rPr>
      </w:pPr>
      <w:r w:rsidRPr="00774267">
        <w:rPr>
          <w:rFonts w:cs="Arial"/>
          <w:b/>
        </w:rPr>
        <w:t>Radicación</w:t>
      </w:r>
      <w:r w:rsidR="00CA0349" w:rsidRPr="00774267">
        <w:rPr>
          <w:rFonts w:cs="Arial"/>
          <w:b/>
        </w:rPr>
        <w:t xml:space="preserve"> número</w:t>
      </w:r>
      <w:r w:rsidR="00A92F84" w:rsidRPr="00774267">
        <w:rPr>
          <w:rFonts w:cs="Arial"/>
          <w:b/>
        </w:rPr>
        <w:t>:</w:t>
      </w:r>
      <w:r w:rsidR="009B4F34" w:rsidRPr="00774267">
        <w:rPr>
          <w:rFonts w:cs="Arial"/>
          <w:b/>
        </w:rPr>
        <w:t xml:space="preserve"> </w:t>
      </w:r>
      <w:r w:rsidR="00FE438A" w:rsidRPr="00774267">
        <w:rPr>
          <w:rFonts w:cs="Arial"/>
          <w:b/>
        </w:rPr>
        <w:t>11001</w:t>
      </w:r>
      <w:r w:rsidR="00CA0349" w:rsidRPr="00774267">
        <w:rPr>
          <w:rFonts w:cs="Arial"/>
          <w:b/>
        </w:rPr>
        <w:t>-</w:t>
      </w:r>
      <w:r w:rsidR="00FE438A" w:rsidRPr="00774267">
        <w:rPr>
          <w:rFonts w:cs="Arial"/>
          <w:b/>
        </w:rPr>
        <w:t>03</w:t>
      </w:r>
      <w:r w:rsidR="00CA0349" w:rsidRPr="00774267">
        <w:rPr>
          <w:rFonts w:cs="Arial"/>
          <w:b/>
        </w:rPr>
        <w:t>-</w:t>
      </w:r>
      <w:r w:rsidR="00FE438A" w:rsidRPr="00774267">
        <w:rPr>
          <w:rFonts w:cs="Arial"/>
          <w:b/>
        </w:rPr>
        <w:t>26</w:t>
      </w:r>
      <w:r w:rsidR="00CA0349" w:rsidRPr="00774267">
        <w:rPr>
          <w:rFonts w:cs="Arial"/>
          <w:b/>
        </w:rPr>
        <w:t>-</w:t>
      </w:r>
      <w:r w:rsidR="00FE438A" w:rsidRPr="00774267">
        <w:rPr>
          <w:rFonts w:cs="Arial"/>
          <w:b/>
        </w:rPr>
        <w:t>000</w:t>
      </w:r>
      <w:r w:rsidR="00CA0349" w:rsidRPr="00774267">
        <w:rPr>
          <w:rFonts w:cs="Arial"/>
          <w:b/>
        </w:rPr>
        <w:t>-</w:t>
      </w:r>
      <w:r w:rsidR="00FE438A" w:rsidRPr="00774267">
        <w:rPr>
          <w:rFonts w:cs="Arial"/>
          <w:b/>
        </w:rPr>
        <w:t>2017</w:t>
      </w:r>
      <w:r w:rsidR="00CA0349" w:rsidRPr="00774267">
        <w:rPr>
          <w:rFonts w:cs="Arial"/>
          <w:b/>
        </w:rPr>
        <w:t>-</w:t>
      </w:r>
      <w:r w:rsidR="00FE438A" w:rsidRPr="00774267">
        <w:rPr>
          <w:rFonts w:cs="Arial"/>
          <w:b/>
        </w:rPr>
        <w:t>00017</w:t>
      </w:r>
      <w:r w:rsidR="00CA0349" w:rsidRPr="00774267">
        <w:rPr>
          <w:rFonts w:cs="Arial"/>
          <w:b/>
        </w:rPr>
        <w:t>-00</w:t>
      </w:r>
      <w:r w:rsidR="00FE438A" w:rsidRPr="00774267">
        <w:rPr>
          <w:rFonts w:cs="Arial"/>
          <w:b/>
        </w:rPr>
        <w:t>(58675)</w:t>
      </w:r>
    </w:p>
    <w:p w14:paraId="0ECD04ED" w14:textId="77777777" w:rsidR="00363538" w:rsidRPr="00774267" w:rsidRDefault="00363538" w:rsidP="00241203">
      <w:pPr>
        <w:spacing w:line="240" w:lineRule="auto"/>
        <w:rPr>
          <w:rFonts w:cs="Arial"/>
          <w:b/>
        </w:rPr>
      </w:pPr>
    </w:p>
    <w:p w14:paraId="6A42C02D" w14:textId="77777777" w:rsidR="00363538" w:rsidRPr="00774267" w:rsidRDefault="007537D1" w:rsidP="00241203">
      <w:pPr>
        <w:spacing w:line="240" w:lineRule="auto"/>
        <w:rPr>
          <w:rFonts w:cs="Arial"/>
          <w:b/>
        </w:rPr>
      </w:pPr>
      <w:r w:rsidRPr="00774267">
        <w:rPr>
          <w:rFonts w:cs="Arial"/>
          <w:b/>
        </w:rPr>
        <w:t>Actor</w:t>
      </w:r>
      <w:r w:rsidR="00A92F84" w:rsidRPr="00774267">
        <w:rPr>
          <w:rFonts w:cs="Arial"/>
          <w:b/>
        </w:rPr>
        <w:t xml:space="preserve">: </w:t>
      </w:r>
      <w:r w:rsidR="00FE438A" w:rsidRPr="00774267">
        <w:rPr>
          <w:rFonts w:cs="Arial"/>
          <w:b/>
        </w:rPr>
        <w:t>CSS CONSTRUCTORES S.A.</w:t>
      </w:r>
    </w:p>
    <w:p w14:paraId="1DD37483" w14:textId="77777777" w:rsidR="00363538" w:rsidRPr="00774267" w:rsidRDefault="00363538" w:rsidP="00241203">
      <w:pPr>
        <w:spacing w:line="240" w:lineRule="auto"/>
        <w:rPr>
          <w:rFonts w:cs="Arial"/>
          <w:b/>
        </w:rPr>
      </w:pPr>
    </w:p>
    <w:p w14:paraId="54298A39" w14:textId="77777777" w:rsidR="009B4F34" w:rsidRPr="00774267" w:rsidRDefault="007537D1" w:rsidP="00241203">
      <w:pPr>
        <w:spacing w:line="240" w:lineRule="auto"/>
        <w:rPr>
          <w:rFonts w:cs="Arial"/>
          <w:b/>
        </w:rPr>
      </w:pPr>
      <w:r w:rsidRPr="00774267">
        <w:rPr>
          <w:rFonts w:cs="Arial"/>
          <w:b/>
        </w:rPr>
        <w:t>Demandado</w:t>
      </w:r>
      <w:r w:rsidR="00A92F84" w:rsidRPr="00774267">
        <w:rPr>
          <w:rFonts w:cs="Arial"/>
          <w:b/>
        </w:rPr>
        <w:t xml:space="preserve">: </w:t>
      </w:r>
      <w:r w:rsidR="00FE438A" w:rsidRPr="00774267">
        <w:rPr>
          <w:rFonts w:cs="Arial"/>
          <w:b/>
        </w:rPr>
        <w:t>AGENCIA N</w:t>
      </w:r>
      <w:r w:rsidR="00075094" w:rsidRPr="00774267">
        <w:rPr>
          <w:rFonts w:cs="Arial"/>
          <w:b/>
        </w:rPr>
        <w:t>ACIONAL DE INFRAESTRUCTURA</w:t>
      </w:r>
    </w:p>
    <w:p w14:paraId="58A8953B" w14:textId="77777777" w:rsidR="009B4F34" w:rsidRPr="00774267" w:rsidRDefault="009B4F34" w:rsidP="00241203">
      <w:pPr>
        <w:spacing w:line="240" w:lineRule="auto"/>
        <w:rPr>
          <w:rFonts w:cs="Arial"/>
          <w:b/>
        </w:rPr>
      </w:pPr>
    </w:p>
    <w:p w14:paraId="5671E12F" w14:textId="77777777" w:rsidR="00241203" w:rsidRPr="00774267" w:rsidRDefault="00241203" w:rsidP="00241203">
      <w:pPr>
        <w:spacing w:line="240" w:lineRule="auto"/>
        <w:rPr>
          <w:rFonts w:cs="Arial"/>
          <w:b/>
        </w:rPr>
      </w:pPr>
    </w:p>
    <w:p w14:paraId="69D89F5D" w14:textId="77777777" w:rsidR="00241203" w:rsidRPr="00774267" w:rsidRDefault="00241203" w:rsidP="00241203">
      <w:pPr>
        <w:spacing w:line="240" w:lineRule="auto"/>
        <w:rPr>
          <w:rFonts w:cs="Arial"/>
          <w:b/>
        </w:rPr>
      </w:pPr>
    </w:p>
    <w:p w14:paraId="3666A414" w14:textId="77777777" w:rsidR="00D81305" w:rsidRPr="00774267" w:rsidRDefault="007537D1" w:rsidP="00241203">
      <w:pPr>
        <w:spacing w:line="240" w:lineRule="auto"/>
        <w:rPr>
          <w:rFonts w:cs="Arial"/>
          <w:b/>
        </w:rPr>
      </w:pPr>
      <w:r w:rsidRPr="00774267">
        <w:rPr>
          <w:rFonts w:cs="Arial"/>
          <w:b/>
        </w:rPr>
        <w:t>Referencia</w:t>
      </w:r>
      <w:r w:rsidR="003A1949" w:rsidRPr="00774267">
        <w:rPr>
          <w:rFonts w:cs="Arial"/>
          <w:b/>
        </w:rPr>
        <w:t xml:space="preserve">: </w:t>
      </w:r>
      <w:r w:rsidR="00FE438A" w:rsidRPr="00774267">
        <w:rPr>
          <w:rFonts w:cs="Arial"/>
          <w:b/>
        </w:rPr>
        <w:t>RECURSO DE ANULACI</w:t>
      </w:r>
      <w:r w:rsidR="00CE71BF" w:rsidRPr="00774267">
        <w:rPr>
          <w:rFonts w:cs="Arial"/>
          <w:b/>
        </w:rPr>
        <w:t>Ó</w:t>
      </w:r>
      <w:r w:rsidR="00FE438A" w:rsidRPr="00774267">
        <w:rPr>
          <w:rFonts w:cs="Arial"/>
          <w:b/>
        </w:rPr>
        <w:t>N CONTRA LAUDO ARBITRAL</w:t>
      </w:r>
    </w:p>
    <w:p w14:paraId="1AB15F52" w14:textId="77777777" w:rsidR="00D6735C" w:rsidRPr="00774267" w:rsidRDefault="00D6735C" w:rsidP="00241203">
      <w:pPr>
        <w:spacing w:line="240" w:lineRule="auto"/>
        <w:rPr>
          <w:rFonts w:cs="Arial"/>
          <w:b/>
        </w:rPr>
      </w:pPr>
    </w:p>
    <w:p w14:paraId="21A28E47" w14:textId="77777777" w:rsidR="00241203" w:rsidRPr="00774267" w:rsidRDefault="00241203" w:rsidP="00241203">
      <w:pPr>
        <w:spacing w:line="240" w:lineRule="auto"/>
        <w:rPr>
          <w:rFonts w:cs="Arial"/>
          <w:b/>
        </w:rPr>
      </w:pPr>
    </w:p>
    <w:p w14:paraId="74390A30" w14:textId="77777777" w:rsidR="00E05FFD" w:rsidRPr="00774267" w:rsidRDefault="00E05FFD" w:rsidP="00241203">
      <w:pPr>
        <w:spacing w:line="240" w:lineRule="auto"/>
        <w:rPr>
          <w:rFonts w:cs="Arial"/>
          <w:b/>
        </w:rPr>
      </w:pPr>
    </w:p>
    <w:p w14:paraId="4B48CFD1" w14:textId="77777777" w:rsidR="009C5C19" w:rsidRPr="00774267" w:rsidRDefault="00D6735C" w:rsidP="00F21484">
      <w:pPr>
        <w:rPr>
          <w:rFonts w:cs="Arial"/>
        </w:rPr>
      </w:pPr>
      <w:r w:rsidRPr="00774267">
        <w:rPr>
          <w:rFonts w:cs="Arial"/>
          <w:b/>
        </w:rPr>
        <w:t xml:space="preserve">Temas: </w:t>
      </w:r>
      <w:r w:rsidR="00FE438A" w:rsidRPr="00774267">
        <w:rPr>
          <w:rFonts w:cs="Arial"/>
        </w:rPr>
        <w:t xml:space="preserve">FALTA DE COMPETENCIA – </w:t>
      </w:r>
      <w:r w:rsidR="009C5C19" w:rsidRPr="00774267">
        <w:rPr>
          <w:rFonts w:cs="Arial"/>
        </w:rPr>
        <w:t>a</w:t>
      </w:r>
      <w:r w:rsidR="00FE438A" w:rsidRPr="00774267">
        <w:rPr>
          <w:rFonts w:cs="Arial"/>
        </w:rPr>
        <w:t xml:space="preserve">lcance de la cosa juzgada </w:t>
      </w:r>
      <w:r w:rsidR="00CE71BF" w:rsidRPr="00774267">
        <w:rPr>
          <w:rFonts w:cs="Arial"/>
        </w:rPr>
        <w:t>-</w:t>
      </w:r>
      <w:r w:rsidR="00FE438A" w:rsidRPr="00774267">
        <w:rPr>
          <w:rFonts w:cs="Arial"/>
        </w:rPr>
        <w:t xml:space="preserve"> acuerdo conciliatorio / FALLO EN CONCIENCIA </w:t>
      </w:r>
      <w:r w:rsidR="009C5C19" w:rsidRPr="00774267">
        <w:rPr>
          <w:rFonts w:cs="Arial"/>
        </w:rPr>
        <w:t>-</w:t>
      </w:r>
      <w:r w:rsidR="00FE438A" w:rsidRPr="00774267">
        <w:rPr>
          <w:rFonts w:cs="Arial"/>
        </w:rPr>
        <w:t xml:space="preserve">no se puede invocar con </w:t>
      </w:r>
      <w:r w:rsidR="009C5C19" w:rsidRPr="00774267">
        <w:rPr>
          <w:rFonts w:cs="Arial"/>
        </w:rPr>
        <w:t xml:space="preserve">fundamento en un </w:t>
      </w:r>
      <w:r w:rsidR="00FE438A" w:rsidRPr="00774267">
        <w:rPr>
          <w:rFonts w:cs="Arial"/>
        </w:rPr>
        <w:t>análisis d</w:t>
      </w:r>
      <w:r w:rsidR="009C5C19" w:rsidRPr="00774267">
        <w:rPr>
          <w:rFonts w:cs="Arial"/>
        </w:rPr>
        <w:t>iferente de l</w:t>
      </w:r>
      <w:r w:rsidR="00FE438A" w:rsidRPr="00774267">
        <w:rPr>
          <w:rFonts w:cs="Arial"/>
        </w:rPr>
        <w:t xml:space="preserve">as pruebas. </w:t>
      </w:r>
      <w:r w:rsidR="009C5C19" w:rsidRPr="00774267">
        <w:rPr>
          <w:rFonts w:cs="Arial"/>
        </w:rPr>
        <w:t>/ RECURSO EXTRAORDINARIO DE ANULACIÓN – no es segunda instancia.</w:t>
      </w:r>
    </w:p>
    <w:p w14:paraId="435972D9" w14:textId="77777777" w:rsidR="009B4F34" w:rsidRPr="00774267" w:rsidRDefault="009B4F34" w:rsidP="00F21484">
      <w:pPr>
        <w:rPr>
          <w:rFonts w:cs="Arial"/>
          <w:b/>
        </w:rPr>
      </w:pPr>
    </w:p>
    <w:p w14:paraId="5997B437" w14:textId="77777777" w:rsidR="00545C53" w:rsidRPr="00774267" w:rsidRDefault="00545C53" w:rsidP="00545C53">
      <w:pPr>
        <w:widowControl w:val="0"/>
        <w:rPr>
          <w:rFonts w:cs="Arial"/>
          <w:b/>
        </w:rPr>
      </w:pPr>
      <w:r w:rsidRPr="00774267">
        <w:rPr>
          <w:rFonts w:cs="Arial"/>
          <w:b/>
        </w:rPr>
        <w:t>Decisión Previa</w:t>
      </w:r>
    </w:p>
    <w:p w14:paraId="2BE98377" w14:textId="77777777" w:rsidR="00545C53" w:rsidRPr="00774267" w:rsidRDefault="00545C53" w:rsidP="00545C53">
      <w:pPr>
        <w:widowControl w:val="0"/>
        <w:rPr>
          <w:rFonts w:cs="Arial"/>
        </w:rPr>
      </w:pPr>
    </w:p>
    <w:p w14:paraId="38652BC5" w14:textId="77777777" w:rsidR="00545C53" w:rsidRPr="00774267" w:rsidRDefault="00545C53" w:rsidP="00545C53">
      <w:pPr>
        <w:widowControl w:val="0"/>
        <w:rPr>
          <w:rFonts w:cs="Arial"/>
        </w:rPr>
      </w:pPr>
      <w:r w:rsidRPr="00774267">
        <w:rPr>
          <w:rFonts w:cs="Arial"/>
        </w:rPr>
        <w:t xml:space="preserve">En primer lugar, decide la Sala sobre el impedimento presentado por el </w:t>
      </w:r>
      <w:proofErr w:type="gramStart"/>
      <w:r w:rsidRPr="00774267">
        <w:rPr>
          <w:rFonts w:cs="Arial"/>
        </w:rPr>
        <w:t>Consejero</w:t>
      </w:r>
      <w:proofErr w:type="gramEnd"/>
      <w:r w:rsidRPr="00774267">
        <w:rPr>
          <w:rFonts w:cs="Arial"/>
        </w:rPr>
        <w:t xml:space="preserve"> Hernán Andrade Rincón con fundamento en el </w:t>
      </w:r>
      <w:r w:rsidR="000E2929" w:rsidRPr="00774267">
        <w:rPr>
          <w:rFonts w:cs="Arial"/>
        </w:rPr>
        <w:t xml:space="preserve">inciso primero del artículo 140 y el </w:t>
      </w:r>
      <w:r w:rsidRPr="00774267">
        <w:rPr>
          <w:rFonts w:cs="Arial"/>
        </w:rPr>
        <w:lastRenderedPageBreak/>
        <w:t xml:space="preserve">numeral </w:t>
      </w:r>
      <w:r w:rsidR="00D43BA9" w:rsidRPr="00774267">
        <w:rPr>
          <w:rFonts w:cs="Arial"/>
        </w:rPr>
        <w:t>1</w:t>
      </w:r>
      <w:r w:rsidRPr="00774267">
        <w:rPr>
          <w:rFonts w:cs="Arial"/>
        </w:rPr>
        <w:t xml:space="preserve"> del artículo 141 del Código General del Proceso</w:t>
      </w:r>
      <w:r w:rsidR="00866C49" w:rsidRPr="00774267">
        <w:rPr>
          <w:rStyle w:val="Refdenotaalpie"/>
          <w:rFonts w:cs="Arial"/>
        </w:rPr>
        <w:footnoteReference w:id="1"/>
      </w:r>
      <w:r w:rsidRPr="00774267">
        <w:rPr>
          <w:rFonts w:cs="Arial"/>
        </w:rPr>
        <w:t>, en concordancia con el artículo 18 de la Ley 1563 de 2012</w:t>
      </w:r>
      <w:r w:rsidR="00FD3DE8" w:rsidRPr="00774267">
        <w:rPr>
          <w:rStyle w:val="Refdenotaalpie"/>
          <w:rFonts w:cs="Arial"/>
        </w:rPr>
        <w:footnoteReference w:id="2"/>
      </w:r>
      <w:r w:rsidRPr="00774267">
        <w:rPr>
          <w:rFonts w:cs="Arial"/>
        </w:rPr>
        <w:t>, en razón de que su hija trabaja, en calidad de asesora, en la Agencia Nacional de Infraestructura – ANI, entidad que es parte en el presente proceso.</w:t>
      </w:r>
    </w:p>
    <w:p w14:paraId="1C4CFF9B" w14:textId="77777777" w:rsidR="00545C53" w:rsidRPr="00774267" w:rsidRDefault="00545C53" w:rsidP="00545C53">
      <w:pPr>
        <w:widowControl w:val="0"/>
        <w:rPr>
          <w:rFonts w:cs="Arial"/>
        </w:rPr>
      </w:pPr>
    </w:p>
    <w:p w14:paraId="50F6AB62" w14:textId="77777777" w:rsidR="00545C53" w:rsidRPr="00774267" w:rsidRDefault="00545C53" w:rsidP="00545C53">
      <w:pPr>
        <w:widowControl w:val="0"/>
        <w:rPr>
          <w:rFonts w:cs="Arial"/>
          <w:color w:val="000000"/>
        </w:rPr>
      </w:pPr>
      <w:r w:rsidRPr="00774267">
        <w:rPr>
          <w:rFonts w:cs="Arial"/>
        </w:rPr>
        <w:t xml:space="preserve">De acuerdo con lo expuesto, </w:t>
      </w:r>
      <w:r w:rsidRPr="00774267">
        <w:rPr>
          <w:rFonts w:cs="Arial"/>
          <w:b/>
          <w:bCs/>
          <w:color w:val="000000"/>
        </w:rPr>
        <w:t>DECLÁRASE</w:t>
      </w:r>
      <w:r w:rsidR="00A706C7" w:rsidRPr="00774267">
        <w:rPr>
          <w:rFonts w:cs="Arial"/>
          <w:b/>
          <w:bCs/>
          <w:color w:val="000000"/>
        </w:rPr>
        <w:t xml:space="preserve"> </w:t>
      </w:r>
      <w:r w:rsidRPr="00774267">
        <w:rPr>
          <w:rFonts w:cs="Arial"/>
          <w:color w:val="000000"/>
        </w:rPr>
        <w:t xml:space="preserve">fundado el impedimento manifestado por el doctor Hernán Andrade Rincón, por lo cual se le acepta y se le separa del conocimiento del presente asunto. </w:t>
      </w:r>
    </w:p>
    <w:p w14:paraId="2219B2C8" w14:textId="77777777" w:rsidR="00F21484" w:rsidRPr="00774267" w:rsidRDefault="00F21484" w:rsidP="00064582">
      <w:pPr>
        <w:widowControl w:val="0"/>
        <w:autoSpaceDE w:val="0"/>
        <w:autoSpaceDN w:val="0"/>
        <w:adjustRightInd w:val="0"/>
        <w:spacing w:line="240" w:lineRule="auto"/>
        <w:ind w:left="2124" w:hanging="2124"/>
        <w:rPr>
          <w:rFonts w:cs="Arial"/>
        </w:rPr>
      </w:pPr>
    </w:p>
    <w:p w14:paraId="4EEC76E0" w14:textId="77777777" w:rsidR="00545C53" w:rsidRPr="00774267" w:rsidRDefault="00E91531" w:rsidP="00064582">
      <w:pPr>
        <w:widowControl w:val="0"/>
        <w:autoSpaceDE w:val="0"/>
        <w:autoSpaceDN w:val="0"/>
        <w:adjustRightInd w:val="0"/>
        <w:spacing w:line="240" w:lineRule="auto"/>
        <w:ind w:left="2124" w:hanging="2124"/>
        <w:rPr>
          <w:rFonts w:cs="Arial"/>
          <w:b/>
        </w:rPr>
      </w:pPr>
      <w:r w:rsidRPr="00774267">
        <w:rPr>
          <w:rFonts w:cs="Arial"/>
          <w:b/>
        </w:rPr>
        <w:t>Recurso de anulación</w:t>
      </w:r>
    </w:p>
    <w:p w14:paraId="60994F82" w14:textId="77777777" w:rsidR="00E91531" w:rsidRPr="00774267" w:rsidRDefault="00E91531" w:rsidP="00064582">
      <w:pPr>
        <w:widowControl w:val="0"/>
        <w:autoSpaceDE w:val="0"/>
        <w:autoSpaceDN w:val="0"/>
        <w:adjustRightInd w:val="0"/>
        <w:spacing w:line="240" w:lineRule="auto"/>
        <w:ind w:left="2124" w:hanging="2124"/>
        <w:rPr>
          <w:rFonts w:cs="Arial"/>
        </w:rPr>
      </w:pPr>
    </w:p>
    <w:p w14:paraId="748C09C9" w14:textId="77777777" w:rsidR="00B875AD" w:rsidRPr="00774267" w:rsidRDefault="00B875AD" w:rsidP="00B875AD">
      <w:pPr>
        <w:widowControl w:val="0"/>
        <w:rPr>
          <w:rFonts w:cs="Arial"/>
        </w:rPr>
      </w:pPr>
      <w:r w:rsidRPr="00774267">
        <w:rPr>
          <w:rFonts w:cs="Arial"/>
        </w:rPr>
        <w:t xml:space="preserve">Decide la Sala </w:t>
      </w:r>
      <w:r w:rsidR="00F6466E" w:rsidRPr="00774267">
        <w:rPr>
          <w:rFonts w:cs="Arial"/>
        </w:rPr>
        <w:t xml:space="preserve">el </w:t>
      </w:r>
      <w:r w:rsidRPr="00774267">
        <w:rPr>
          <w:rFonts w:cs="Arial"/>
        </w:rPr>
        <w:t xml:space="preserve">recurso extraordinario de anulación interpuesto por </w:t>
      </w:r>
      <w:r w:rsidR="00F6466E" w:rsidRPr="00774267">
        <w:rPr>
          <w:rFonts w:cs="Arial"/>
        </w:rPr>
        <w:t xml:space="preserve">la </w:t>
      </w:r>
      <w:r w:rsidR="00376ADD" w:rsidRPr="00774267">
        <w:rPr>
          <w:rFonts w:cs="Arial"/>
        </w:rPr>
        <w:t>Agencia Nacional de Infraestructura</w:t>
      </w:r>
      <w:r w:rsidR="009C5C19" w:rsidRPr="00774267">
        <w:rPr>
          <w:rFonts w:cs="Arial"/>
        </w:rPr>
        <w:t xml:space="preserve"> - </w:t>
      </w:r>
      <w:r w:rsidR="00376ADD" w:rsidRPr="00774267">
        <w:rPr>
          <w:rFonts w:cs="Arial"/>
        </w:rPr>
        <w:t>ANI</w:t>
      </w:r>
      <w:r w:rsidR="001D745E" w:rsidRPr="00774267">
        <w:rPr>
          <w:rFonts w:cs="Arial"/>
        </w:rPr>
        <w:t xml:space="preserve">, </w:t>
      </w:r>
      <w:r w:rsidR="00376ADD" w:rsidRPr="00774267">
        <w:rPr>
          <w:rFonts w:cs="Arial"/>
        </w:rPr>
        <w:t>parte convocada y demandante en reconvención de</w:t>
      </w:r>
      <w:r w:rsidR="001D745E" w:rsidRPr="00774267">
        <w:rPr>
          <w:rFonts w:cs="Arial"/>
        </w:rPr>
        <w:t xml:space="preserve">ntro del </w:t>
      </w:r>
      <w:r w:rsidR="00376ADD" w:rsidRPr="00774267">
        <w:rPr>
          <w:rFonts w:cs="Arial"/>
        </w:rPr>
        <w:t>proceso arbitral de la referencia</w:t>
      </w:r>
      <w:r w:rsidR="00FA0C4E" w:rsidRPr="00774267">
        <w:rPr>
          <w:rFonts w:cs="Arial"/>
        </w:rPr>
        <w:t xml:space="preserve">, </w:t>
      </w:r>
      <w:r w:rsidRPr="00774267">
        <w:rPr>
          <w:rFonts w:cs="Arial"/>
        </w:rPr>
        <w:t xml:space="preserve">contra el laudo </w:t>
      </w:r>
      <w:r w:rsidR="00DB2679" w:rsidRPr="00774267">
        <w:rPr>
          <w:rFonts w:cs="Arial"/>
        </w:rPr>
        <w:t>de</w:t>
      </w:r>
      <w:r w:rsidRPr="00774267">
        <w:rPr>
          <w:rFonts w:cs="Arial"/>
        </w:rPr>
        <w:t xml:space="preserve"> </w:t>
      </w:r>
      <w:r w:rsidR="004A1445" w:rsidRPr="00774267">
        <w:rPr>
          <w:rFonts w:cs="Arial"/>
        </w:rPr>
        <w:t>21 de noviembre de 2016</w:t>
      </w:r>
      <w:r w:rsidRPr="00774267">
        <w:rPr>
          <w:rFonts w:cs="Arial"/>
        </w:rPr>
        <w:t xml:space="preserve">, en el cual </w:t>
      </w:r>
      <w:r w:rsidR="00DB2679" w:rsidRPr="00774267">
        <w:rPr>
          <w:rFonts w:cs="Arial"/>
        </w:rPr>
        <w:t>el Tribunal de Arbitramento</w:t>
      </w:r>
      <w:r w:rsidR="00ED7BE5" w:rsidRPr="00774267">
        <w:rPr>
          <w:rStyle w:val="Refdenotaalpie"/>
          <w:rFonts w:cs="Arial"/>
        </w:rPr>
        <w:footnoteReference w:id="3"/>
      </w:r>
      <w:r w:rsidR="00DB2679" w:rsidRPr="00774267">
        <w:rPr>
          <w:rFonts w:cs="Arial"/>
        </w:rPr>
        <w:t xml:space="preserve"> resolvió entre otros asuntos</w:t>
      </w:r>
      <w:r w:rsidR="009C5C19" w:rsidRPr="00774267">
        <w:rPr>
          <w:rStyle w:val="Refdenotaalpie"/>
          <w:rFonts w:cs="Arial"/>
        </w:rPr>
        <w:footnoteReference w:id="4"/>
      </w:r>
      <w:r w:rsidR="00DB2679" w:rsidRPr="00774267">
        <w:rPr>
          <w:rFonts w:cs="Arial"/>
        </w:rPr>
        <w:t xml:space="preserve">, </w:t>
      </w:r>
      <w:r w:rsidRPr="00774267">
        <w:rPr>
          <w:rFonts w:cs="Arial"/>
        </w:rPr>
        <w:t>lo</w:t>
      </w:r>
      <w:r w:rsidR="001D745E" w:rsidRPr="00774267">
        <w:rPr>
          <w:rFonts w:cs="Arial"/>
        </w:rPr>
        <w:t>s</w:t>
      </w:r>
      <w:r w:rsidRPr="00774267">
        <w:rPr>
          <w:rFonts w:cs="Arial"/>
        </w:rPr>
        <w:t xml:space="preserve"> siguiente</w:t>
      </w:r>
      <w:r w:rsidR="001D745E" w:rsidRPr="00774267">
        <w:rPr>
          <w:rFonts w:cs="Arial"/>
        </w:rPr>
        <w:t>s</w:t>
      </w:r>
      <w:r w:rsidRPr="00774267">
        <w:rPr>
          <w:rFonts w:cs="Arial"/>
        </w:rPr>
        <w:t>:</w:t>
      </w:r>
    </w:p>
    <w:p w14:paraId="3B6062E0" w14:textId="77777777" w:rsidR="00734D8E" w:rsidRPr="00774267" w:rsidRDefault="00734D8E" w:rsidP="00B875AD">
      <w:pPr>
        <w:widowControl w:val="0"/>
        <w:rPr>
          <w:rFonts w:cs="Arial"/>
        </w:rPr>
      </w:pPr>
    </w:p>
    <w:p w14:paraId="7BBDF2C7" w14:textId="77777777" w:rsidR="00251C90" w:rsidRPr="00774267" w:rsidRDefault="00734D8E" w:rsidP="001B75E9">
      <w:pPr>
        <w:widowControl w:val="0"/>
        <w:spacing w:line="276" w:lineRule="auto"/>
        <w:ind w:left="567" w:right="567"/>
        <w:rPr>
          <w:rFonts w:cs="Arial"/>
          <w:i/>
        </w:rPr>
      </w:pPr>
      <w:r w:rsidRPr="00774267">
        <w:rPr>
          <w:rFonts w:cs="Arial"/>
          <w:i/>
        </w:rPr>
        <w:t>“</w:t>
      </w:r>
      <w:proofErr w:type="gramStart"/>
      <w:r w:rsidR="003846B9" w:rsidRPr="00774267">
        <w:rPr>
          <w:rFonts w:cs="Arial"/>
          <w:b/>
          <w:i/>
        </w:rPr>
        <w:t>Noveno</w:t>
      </w:r>
      <w:r w:rsidR="00DB2679" w:rsidRPr="00774267">
        <w:rPr>
          <w:rFonts w:cs="Arial"/>
          <w:i/>
        </w:rPr>
        <w:t>.-</w:t>
      </w:r>
      <w:proofErr w:type="gramEnd"/>
      <w:r w:rsidR="00DB2679" w:rsidRPr="00774267">
        <w:rPr>
          <w:rFonts w:cs="Arial"/>
          <w:i/>
        </w:rPr>
        <w:t xml:space="preserve"> Declarar que </w:t>
      </w:r>
      <w:r w:rsidR="00681573" w:rsidRPr="00774267">
        <w:rPr>
          <w:rFonts w:cs="Arial"/>
          <w:i/>
        </w:rPr>
        <w:t xml:space="preserve">(…) los ingresos que produzca la obra correspondiente </w:t>
      </w:r>
      <w:r w:rsidR="0051444F" w:rsidRPr="00774267">
        <w:rPr>
          <w:rFonts w:cs="Arial"/>
          <w:i/>
        </w:rPr>
        <w:t>al Contrato de Con</w:t>
      </w:r>
      <w:r w:rsidR="00681573" w:rsidRPr="00774267">
        <w:rPr>
          <w:rFonts w:cs="Arial"/>
          <w:i/>
        </w:rPr>
        <w:t>c</w:t>
      </w:r>
      <w:r w:rsidR="0051444F" w:rsidRPr="00774267">
        <w:rPr>
          <w:rFonts w:cs="Arial"/>
          <w:i/>
        </w:rPr>
        <w:t xml:space="preserve">esión No. 0849 de 1995 </w:t>
      </w:r>
      <w:r w:rsidR="00251C90" w:rsidRPr="00774267">
        <w:rPr>
          <w:rFonts w:cs="Arial"/>
          <w:i/>
        </w:rPr>
        <w:t>serán asignados en su totalidad al Concesionario privado, hasta tanto este obtenga dentro del plazo estipulado en el contrato el retorno de capital invertido.</w:t>
      </w:r>
    </w:p>
    <w:p w14:paraId="4117C077" w14:textId="77777777" w:rsidR="00251C90" w:rsidRPr="00774267" w:rsidRDefault="00251C90" w:rsidP="001B75E9">
      <w:pPr>
        <w:widowControl w:val="0"/>
        <w:spacing w:line="276" w:lineRule="auto"/>
        <w:ind w:left="567" w:right="567"/>
        <w:rPr>
          <w:rFonts w:cs="Arial"/>
          <w:i/>
        </w:rPr>
      </w:pPr>
    </w:p>
    <w:p w14:paraId="473F7EF4" w14:textId="77777777" w:rsidR="003846B9" w:rsidRPr="00774267" w:rsidRDefault="004702DE" w:rsidP="001B75E9">
      <w:pPr>
        <w:widowControl w:val="0"/>
        <w:spacing w:line="276" w:lineRule="auto"/>
        <w:ind w:left="567" w:right="567"/>
        <w:rPr>
          <w:rFonts w:cs="Arial"/>
          <w:i/>
        </w:rPr>
      </w:pPr>
      <w:r w:rsidRPr="00774267">
        <w:rPr>
          <w:rFonts w:cs="Arial"/>
          <w:i/>
        </w:rPr>
        <w:t>“</w:t>
      </w:r>
      <w:proofErr w:type="gramStart"/>
      <w:r w:rsidR="003846B9" w:rsidRPr="00774267">
        <w:rPr>
          <w:rFonts w:cs="Arial"/>
          <w:b/>
          <w:i/>
        </w:rPr>
        <w:t>Décimo</w:t>
      </w:r>
      <w:r w:rsidR="003846B9" w:rsidRPr="00774267">
        <w:rPr>
          <w:rFonts w:cs="Arial"/>
          <w:i/>
        </w:rPr>
        <w:t>.-</w:t>
      </w:r>
      <w:proofErr w:type="gramEnd"/>
      <w:r w:rsidR="003846B9" w:rsidRPr="00774267">
        <w:rPr>
          <w:rFonts w:cs="Arial"/>
          <w:i/>
        </w:rPr>
        <w:t xml:space="preserve"> Declarar que (…) la Tasa Interna de Retorno (TIR) del proyecto es de 11,64% anual real,</w:t>
      </w:r>
    </w:p>
    <w:p w14:paraId="69F63BCB" w14:textId="77777777" w:rsidR="003846B9" w:rsidRPr="00774267" w:rsidRDefault="003846B9" w:rsidP="001B75E9">
      <w:pPr>
        <w:widowControl w:val="0"/>
        <w:spacing w:line="276" w:lineRule="auto"/>
        <w:ind w:left="567" w:right="567"/>
        <w:rPr>
          <w:rFonts w:cs="Arial"/>
          <w:i/>
        </w:rPr>
      </w:pPr>
    </w:p>
    <w:p w14:paraId="2660BCD4" w14:textId="77777777" w:rsidR="003846B9" w:rsidRPr="00774267" w:rsidRDefault="004702DE" w:rsidP="001B75E9">
      <w:pPr>
        <w:widowControl w:val="0"/>
        <w:spacing w:line="276" w:lineRule="auto"/>
        <w:ind w:left="567" w:right="567"/>
        <w:rPr>
          <w:rFonts w:cs="Arial"/>
          <w:i/>
        </w:rPr>
      </w:pPr>
      <w:r w:rsidRPr="00774267">
        <w:rPr>
          <w:rFonts w:cs="Arial"/>
          <w:i/>
        </w:rPr>
        <w:t>“</w:t>
      </w:r>
      <w:r w:rsidR="003846B9" w:rsidRPr="00774267">
        <w:rPr>
          <w:rFonts w:cs="Arial"/>
          <w:b/>
          <w:i/>
        </w:rPr>
        <w:t xml:space="preserve">Décimo </w:t>
      </w:r>
      <w:proofErr w:type="gramStart"/>
      <w:r w:rsidR="003846B9" w:rsidRPr="00774267">
        <w:rPr>
          <w:rFonts w:cs="Arial"/>
          <w:b/>
          <w:i/>
        </w:rPr>
        <w:t>Primero</w:t>
      </w:r>
      <w:r w:rsidR="003846B9" w:rsidRPr="00774267">
        <w:rPr>
          <w:rFonts w:cs="Arial"/>
          <w:i/>
        </w:rPr>
        <w:t>.-</w:t>
      </w:r>
      <w:proofErr w:type="gramEnd"/>
      <w:r w:rsidR="003846B9" w:rsidRPr="00774267">
        <w:rPr>
          <w:rFonts w:cs="Arial"/>
          <w:i/>
        </w:rPr>
        <w:t xml:space="preserve"> Declarar que en el Contrato de Concesión 0849 de 1995, el equilibrio económico radica en garantizar el retorno de la inversión efectuada más la rentabilidad pactada, medida en los términos de la TIR estipulada en el Contrato.</w:t>
      </w:r>
    </w:p>
    <w:p w14:paraId="6838E1F0" w14:textId="77777777" w:rsidR="003846B9" w:rsidRPr="00774267" w:rsidRDefault="003846B9" w:rsidP="001B75E9">
      <w:pPr>
        <w:widowControl w:val="0"/>
        <w:spacing w:line="276" w:lineRule="auto"/>
        <w:ind w:left="567" w:right="567"/>
        <w:rPr>
          <w:rFonts w:cs="Arial"/>
          <w:i/>
        </w:rPr>
      </w:pPr>
    </w:p>
    <w:p w14:paraId="6940949E" w14:textId="77777777" w:rsidR="00395DD7" w:rsidRPr="00774267" w:rsidRDefault="004702DE" w:rsidP="001B75E9">
      <w:pPr>
        <w:widowControl w:val="0"/>
        <w:spacing w:line="276" w:lineRule="auto"/>
        <w:ind w:left="567" w:right="567"/>
        <w:rPr>
          <w:rFonts w:cs="Arial"/>
          <w:i/>
        </w:rPr>
      </w:pPr>
      <w:r w:rsidRPr="00774267">
        <w:rPr>
          <w:rFonts w:cs="Arial"/>
          <w:i/>
        </w:rPr>
        <w:t>“</w:t>
      </w:r>
      <w:r w:rsidR="003846B9" w:rsidRPr="00774267">
        <w:rPr>
          <w:rFonts w:cs="Arial"/>
          <w:b/>
          <w:i/>
        </w:rPr>
        <w:t xml:space="preserve">Décimo </w:t>
      </w:r>
      <w:proofErr w:type="gramStart"/>
      <w:r w:rsidR="00395DD7" w:rsidRPr="00774267">
        <w:rPr>
          <w:rFonts w:cs="Arial"/>
          <w:b/>
          <w:i/>
        </w:rPr>
        <w:t>Segundo</w:t>
      </w:r>
      <w:r w:rsidR="00395DD7" w:rsidRPr="00774267">
        <w:rPr>
          <w:rFonts w:cs="Arial"/>
          <w:i/>
        </w:rPr>
        <w:t>.-</w:t>
      </w:r>
      <w:proofErr w:type="gramEnd"/>
      <w:r w:rsidR="00395DD7" w:rsidRPr="00774267">
        <w:rPr>
          <w:rFonts w:cs="Arial"/>
          <w:i/>
        </w:rPr>
        <w:t xml:space="preserve"> Declarar que el Contrato de Concesión No. 0849 de 1995 cuenta con una metodología referida al tratamiento que debe darse a los ingresos de recaudo de peaje que sobrepasen el Máximo Tránsito Vehicular Aportante.</w:t>
      </w:r>
    </w:p>
    <w:p w14:paraId="6D9268D5" w14:textId="77777777" w:rsidR="00395DD7" w:rsidRPr="00774267" w:rsidRDefault="00395DD7" w:rsidP="001B75E9">
      <w:pPr>
        <w:widowControl w:val="0"/>
        <w:spacing w:line="276" w:lineRule="auto"/>
        <w:ind w:left="567" w:right="567"/>
        <w:rPr>
          <w:rFonts w:cs="Arial"/>
          <w:i/>
        </w:rPr>
      </w:pPr>
    </w:p>
    <w:p w14:paraId="24CCA1C0" w14:textId="77777777" w:rsidR="009C5CA8" w:rsidRPr="00774267" w:rsidRDefault="004702DE" w:rsidP="001B75E9">
      <w:pPr>
        <w:widowControl w:val="0"/>
        <w:spacing w:line="276" w:lineRule="auto"/>
        <w:ind w:left="567" w:right="567"/>
        <w:rPr>
          <w:rFonts w:cs="Arial"/>
          <w:i/>
        </w:rPr>
      </w:pPr>
      <w:r w:rsidRPr="00774267">
        <w:rPr>
          <w:rFonts w:cs="Arial"/>
          <w:i/>
        </w:rPr>
        <w:t>“</w:t>
      </w:r>
      <w:r w:rsidR="00395DD7" w:rsidRPr="00774267">
        <w:rPr>
          <w:rFonts w:cs="Arial"/>
          <w:b/>
          <w:i/>
        </w:rPr>
        <w:t xml:space="preserve">Décimo </w:t>
      </w:r>
      <w:proofErr w:type="gramStart"/>
      <w:r w:rsidR="00395DD7" w:rsidRPr="00774267">
        <w:rPr>
          <w:rFonts w:cs="Arial"/>
          <w:b/>
          <w:i/>
        </w:rPr>
        <w:t>Tercero</w:t>
      </w:r>
      <w:r w:rsidR="00395DD7" w:rsidRPr="00774267">
        <w:rPr>
          <w:rFonts w:cs="Arial"/>
          <w:i/>
        </w:rPr>
        <w:t>.-</w:t>
      </w:r>
      <w:proofErr w:type="gramEnd"/>
      <w:r w:rsidR="00395DD7" w:rsidRPr="00774267">
        <w:rPr>
          <w:rFonts w:cs="Arial"/>
          <w:i/>
        </w:rPr>
        <w:t xml:space="preserve"> Por las razones expuestas en la parte motiva </w:t>
      </w:r>
      <w:r w:rsidR="009C5CA8" w:rsidRPr="00774267">
        <w:rPr>
          <w:rFonts w:cs="Arial"/>
          <w:i/>
        </w:rPr>
        <w:t>declarar que no prosperan las demás pretensiones de la demanda de reconvención de la AGENCIA NACIONAL DE INFRAESTRUCTURA</w:t>
      </w:r>
      <w:r w:rsidRPr="00774267">
        <w:rPr>
          <w:rFonts w:cs="Arial"/>
          <w:i/>
        </w:rPr>
        <w:t xml:space="preserve"> -</w:t>
      </w:r>
      <w:r w:rsidR="009C5CA8" w:rsidRPr="00774267">
        <w:rPr>
          <w:rFonts w:cs="Arial"/>
          <w:i/>
        </w:rPr>
        <w:t xml:space="preserve"> ANI.</w:t>
      </w:r>
    </w:p>
    <w:p w14:paraId="59660BA7" w14:textId="77777777" w:rsidR="009C5CA8" w:rsidRPr="00774267" w:rsidRDefault="009C5CA8" w:rsidP="001B75E9">
      <w:pPr>
        <w:widowControl w:val="0"/>
        <w:spacing w:line="276" w:lineRule="auto"/>
        <w:ind w:left="567" w:right="567"/>
        <w:rPr>
          <w:rFonts w:cs="Arial"/>
          <w:i/>
        </w:rPr>
      </w:pPr>
    </w:p>
    <w:p w14:paraId="3AD9FBC1" w14:textId="77777777" w:rsidR="001B75E9" w:rsidRPr="00774267" w:rsidRDefault="004702DE" w:rsidP="001B75E9">
      <w:pPr>
        <w:widowControl w:val="0"/>
        <w:spacing w:line="276" w:lineRule="auto"/>
        <w:ind w:left="567" w:right="567"/>
        <w:rPr>
          <w:rFonts w:cs="Arial"/>
          <w:i/>
        </w:rPr>
      </w:pPr>
      <w:r w:rsidRPr="00774267">
        <w:rPr>
          <w:rFonts w:cs="Arial"/>
          <w:i/>
        </w:rPr>
        <w:t>“</w:t>
      </w:r>
      <w:r w:rsidR="009C5CA8" w:rsidRPr="00774267">
        <w:rPr>
          <w:rFonts w:cs="Arial"/>
          <w:b/>
          <w:i/>
        </w:rPr>
        <w:t xml:space="preserve">Décimo </w:t>
      </w:r>
      <w:proofErr w:type="gramStart"/>
      <w:r w:rsidR="009C5CA8" w:rsidRPr="00774267">
        <w:rPr>
          <w:rFonts w:cs="Arial"/>
          <w:b/>
          <w:i/>
        </w:rPr>
        <w:t>Cuarto</w:t>
      </w:r>
      <w:r w:rsidR="009C5CA8" w:rsidRPr="00774267">
        <w:rPr>
          <w:rFonts w:cs="Arial"/>
          <w:i/>
        </w:rPr>
        <w:t>.-</w:t>
      </w:r>
      <w:proofErr w:type="gramEnd"/>
      <w:r w:rsidR="009C5CA8" w:rsidRPr="00774267">
        <w:rPr>
          <w:rFonts w:cs="Arial"/>
          <w:i/>
        </w:rPr>
        <w:t xml:space="preserve"> Por las razones expuestas en la parte motiva y con el alcance señalado reconocer fundamento a las excepciones propuestas por CSS CONSTRUCTORES S.A. denominadas </w:t>
      </w:r>
      <w:r w:rsidR="005A06DE" w:rsidRPr="00774267">
        <w:rPr>
          <w:rFonts w:cs="Arial"/>
          <w:i/>
        </w:rPr>
        <w:t>‘</w:t>
      </w:r>
      <w:r w:rsidR="001B75E9" w:rsidRPr="00774267">
        <w:rPr>
          <w:rFonts w:cs="Arial"/>
          <w:i/>
        </w:rPr>
        <w:t>I</w:t>
      </w:r>
      <w:r w:rsidR="009C5CA8" w:rsidRPr="00774267">
        <w:rPr>
          <w:rFonts w:cs="Arial"/>
          <w:i/>
        </w:rPr>
        <w:t>nexistencia de la obligación</w:t>
      </w:r>
      <w:r w:rsidR="005A06DE" w:rsidRPr="00774267">
        <w:rPr>
          <w:rFonts w:cs="Arial"/>
          <w:i/>
        </w:rPr>
        <w:t>’</w:t>
      </w:r>
      <w:r w:rsidR="009C5CA8" w:rsidRPr="00774267">
        <w:rPr>
          <w:rFonts w:cs="Arial"/>
          <w:i/>
        </w:rPr>
        <w:t>, ‘</w:t>
      </w:r>
      <w:r w:rsidR="001B75E9" w:rsidRPr="00774267">
        <w:rPr>
          <w:rFonts w:cs="Arial"/>
          <w:i/>
        </w:rPr>
        <w:t>I</w:t>
      </w:r>
      <w:r w:rsidR="009C5CA8" w:rsidRPr="00774267">
        <w:rPr>
          <w:rFonts w:cs="Arial"/>
          <w:i/>
        </w:rPr>
        <w:t>nexistencia de la obligación de restituir las sumas de dinero a la entidad concedente</w:t>
      </w:r>
      <w:r w:rsidR="001B75E9" w:rsidRPr="00774267">
        <w:rPr>
          <w:rFonts w:cs="Arial"/>
          <w:i/>
        </w:rPr>
        <w:t>’ y ‘Prevalencia de las cláusulas contractuales en el marco de la ley”</w:t>
      </w:r>
      <w:r w:rsidR="001B75E9" w:rsidRPr="00774267">
        <w:rPr>
          <w:rStyle w:val="Refdenotaalpie"/>
          <w:rFonts w:cs="Arial"/>
          <w:i/>
        </w:rPr>
        <w:footnoteReference w:id="5"/>
      </w:r>
      <w:r w:rsidR="005A06DE" w:rsidRPr="00774267">
        <w:rPr>
          <w:rFonts w:cs="Arial"/>
          <w:i/>
        </w:rPr>
        <w:t>”</w:t>
      </w:r>
      <w:r w:rsidR="001B75E9" w:rsidRPr="00774267">
        <w:rPr>
          <w:rFonts w:cs="Arial"/>
          <w:i/>
        </w:rPr>
        <w:t>.</w:t>
      </w:r>
    </w:p>
    <w:p w14:paraId="579BFF24" w14:textId="77777777" w:rsidR="00A47ECE" w:rsidRPr="00774267" w:rsidRDefault="00A47ECE" w:rsidP="001A45EE">
      <w:pPr>
        <w:widowControl w:val="0"/>
        <w:autoSpaceDE w:val="0"/>
        <w:autoSpaceDN w:val="0"/>
        <w:adjustRightInd w:val="0"/>
        <w:spacing w:line="240" w:lineRule="auto"/>
        <w:ind w:left="851" w:right="567"/>
        <w:jc w:val="center"/>
        <w:rPr>
          <w:rFonts w:cs="Arial"/>
          <w:b/>
        </w:rPr>
      </w:pPr>
    </w:p>
    <w:p w14:paraId="1697F4BA" w14:textId="77777777" w:rsidR="001B75E9" w:rsidRPr="00774267" w:rsidRDefault="001B75E9" w:rsidP="001A45EE">
      <w:pPr>
        <w:widowControl w:val="0"/>
        <w:autoSpaceDE w:val="0"/>
        <w:autoSpaceDN w:val="0"/>
        <w:adjustRightInd w:val="0"/>
        <w:spacing w:line="240" w:lineRule="auto"/>
        <w:ind w:left="851" w:right="567"/>
        <w:jc w:val="center"/>
        <w:rPr>
          <w:rFonts w:cs="Arial"/>
          <w:b/>
        </w:rPr>
      </w:pPr>
    </w:p>
    <w:p w14:paraId="5E944595" w14:textId="77777777" w:rsidR="00F21484" w:rsidRPr="00774267" w:rsidRDefault="00F21484" w:rsidP="00F82E49">
      <w:pPr>
        <w:pStyle w:val="Lista"/>
        <w:jc w:val="center"/>
        <w:rPr>
          <w:rFonts w:ascii="Arial" w:hAnsi="Arial" w:cs="Arial"/>
          <w:b/>
        </w:rPr>
      </w:pPr>
      <w:r w:rsidRPr="00774267">
        <w:rPr>
          <w:rFonts w:ascii="Arial" w:hAnsi="Arial" w:cs="Arial"/>
          <w:b/>
        </w:rPr>
        <w:t>I.</w:t>
      </w:r>
      <w:r w:rsidR="00E759BE" w:rsidRPr="00774267">
        <w:rPr>
          <w:rFonts w:ascii="Arial" w:hAnsi="Arial" w:cs="Arial"/>
          <w:b/>
        </w:rPr>
        <w:tab/>
      </w:r>
      <w:r w:rsidRPr="00774267">
        <w:rPr>
          <w:rFonts w:ascii="Arial" w:hAnsi="Arial" w:cs="Arial"/>
          <w:b/>
        </w:rPr>
        <w:t>A N T E C E D E N T E S</w:t>
      </w:r>
    </w:p>
    <w:p w14:paraId="793E3FF0" w14:textId="77777777" w:rsidR="00F00A7F" w:rsidRPr="00774267" w:rsidRDefault="00F00A7F" w:rsidP="00F21484">
      <w:pPr>
        <w:rPr>
          <w:rFonts w:cs="Arial"/>
          <w:b/>
        </w:rPr>
      </w:pPr>
    </w:p>
    <w:p w14:paraId="6427E015" w14:textId="77777777" w:rsidR="00F21484" w:rsidRPr="00774267" w:rsidRDefault="00F21484" w:rsidP="0089148C">
      <w:pPr>
        <w:pStyle w:val="Lista2"/>
        <w:spacing w:line="240" w:lineRule="auto"/>
        <w:ind w:left="0" w:firstLine="0"/>
        <w:rPr>
          <w:rFonts w:cs="Arial"/>
          <w:b/>
        </w:rPr>
      </w:pPr>
      <w:r w:rsidRPr="00774267">
        <w:rPr>
          <w:rFonts w:cs="Arial"/>
          <w:b/>
        </w:rPr>
        <w:t>1.</w:t>
      </w:r>
      <w:r w:rsidR="009D0836" w:rsidRPr="00774267">
        <w:rPr>
          <w:rFonts w:cs="Arial"/>
          <w:b/>
        </w:rPr>
        <w:t xml:space="preserve"> </w:t>
      </w:r>
      <w:r w:rsidR="00C47424" w:rsidRPr="00774267">
        <w:rPr>
          <w:rFonts w:cs="Arial"/>
          <w:b/>
        </w:rPr>
        <w:t xml:space="preserve">El procedimiento arbitral </w:t>
      </w:r>
    </w:p>
    <w:p w14:paraId="68CC763E" w14:textId="77777777" w:rsidR="00F21484" w:rsidRPr="00774267" w:rsidRDefault="00F21484" w:rsidP="00F21484">
      <w:pPr>
        <w:widowControl w:val="0"/>
        <w:autoSpaceDE w:val="0"/>
        <w:autoSpaceDN w:val="0"/>
        <w:adjustRightInd w:val="0"/>
        <w:rPr>
          <w:rFonts w:cs="Arial"/>
        </w:rPr>
      </w:pPr>
    </w:p>
    <w:p w14:paraId="06E128F4" w14:textId="77777777" w:rsidR="009C5C19" w:rsidRPr="00774267" w:rsidRDefault="00286A5E" w:rsidP="00C57293">
      <w:pPr>
        <w:pStyle w:val="Continuarlista2"/>
        <w:spacing w:after="0"/>
        <w:ind w:left="0"/>
        <w:rPr>
          <w:rFonts w:cs="Arial"/>
        </w:rPr>
      </w:pPr>
      <w:r w:rsidRPr="00774267">
        <w:rPr>
          <w:rFonts w:cs="Arial"/>
        </w:rPr>
        <w:t>Con fundamento en la cláusula compr</w:t>
      </w:r>
      <w:r w:rsidR="00E2356F" w:rsidRPr="00774267">
        <w:rPr>
          <w:rFonts w:cs="Arial"/>
        </w:rPr>
        <w:t>o</w:t>
      </w:r>
      <w:r w:rsidRPr="00774267">
        <w:rPr>
          <w:rFonts w:cs="Arial"/>
        </w:rPr>
        <w:t xml:space="preserve">misoria </w:t>
      </w:r>
      <w:r w:rsidR="00E2356F" w:rsidRPr="00774267">
        <w:rPr>
          <w:rFonts w:cs="Arial"/>
        </w:rPr>
        <w:t xml:space="preserve">que se encontró pactada en el </w:t>
      </w:r>
      <w:r w:rsidR="007272FA" w:rsidRPr="00774267">
        <w:rPr>
          <w:rFonts w:cs="Arial"/>
        </w:rPr>
        <w:t>O</w:t>
      </w:r>
      <w:r w:rsidR="00927EA9" w:rsidRPr="00774267">
        <w:rPr>
          <w:rFonts w:cs="Arial"/>
        </w:rPr>
        <w:t>trosí de 30 de enero de 2014</w:t>
      </w:r>
      <w:r w:rsidR="008F2A5A" w:rsidRPr="00774267">
        <w:rPr>
          <w:rStyle w:val="Refdenotaalpie"/>
          <w:rFonts w:cs="Arial"/>
        </w:rPr>
        <w:footnoteReference w:id="6"/>
      </w:r>
      <w:r w:rsidR="004E400D" w:rsidRPr="00774267">
        <w:rPr>
          <w:rFonts w:cs="Arial"/>
        </w:rPr>
        <w:t xml:space="preserve"> </w:t>
      </w:r>
      <w:r w:rsidR="00990559" w:rsidRPr="00774267">
        <w:rPr>
          <w:rFonts w:cs="Arial"/>
        </w:rPr>
        <w:t xml:space="preserve">del </w:t>
      </w:r>
      <w:r w:rsidR="009C5C19" w:rsidRPr="00774267">
        <w:rPr>
          <w:rFonts w:cs="Arial"/>
        </w:rPr>
        <w:t>C</w:t>
      </w:r>
      <w:r w:rsidR="00990559" w:rsidRPr="00774267">
        <w:rPr>
          <w:rFonts w:cs="Arial"/>
        </w:rPr>
        <w:t>ontrato de Concesión</w:t>
      </w:r>
      <w:r w:rsidR="00617336" w:rsidRPr="00774267">
        <w:rPr>
          <w:rFonts w:cs="Arial"/>
        </w:rPr>
        <w:t xml:space="preserve"> No. 0849 de 1995</w:t>
      </w:r>
      <w:r w:rsidR="005A06DE" w:rsidRPr="00774267">
        <w:rPr>
          <w:rStyle w:val="Refdenotaalpie"/>
          <w:rFonts w:cs="Arial"/>
        </w:rPr>
        <w:footnoteReference w:id="7"/>
      </w:r>
      <w:r w:rsidR="00617336" w:rsidRPr="00774267">
        <w:rPr>
          <w:rFonts w:cs="Arial"/>
        </w:rPr>
        <w:t xml:space="preserve">, </w:t>
      </w:r>
      <w:r w:rsidR="00092B04" w:rsidRPr="00774267">
        <w:rPr>
          <w:rFonts w:cs="Arial"/>
        </w:rPr>
        <w:t xml:space="preserve">se integró un </w:t>
      </w:r>
      <w:r w:rsidR="004E400D" w:rsidRPr="00774267">
        <w:rPr>
          <w:rFonts w:cs="Arial"/>
        </w:rPr>
        <w:t xml:space="preserve">Tribunal de Arbitramento </w:t>
      </w:r>
      <w:r w:rsidR="00684428" w:rsidRPr="00774267">
        <w:rPr>
          <w:rFonts w:cs="Arial"/>
        </w:rPr>
        <w:t xml:space="preserve">para conocer de la </w:t>
      </w:r>
      <w:r w:rsidR="00092B04" w:rsidRPr="00774267">
        <w:rPr>
          <w:rFonts w:cs="Arial"/>
        </w:rPr>
        <w:t>d</w:t>
      </w:r>
      <w:r w:rsidR="00684428" w:rsidRPr="00774267">
        <w:rPr>
          <w:rFonts w:cs="Arial"/>
        </w:rPr>
        <w:t xml:space="preserve">emanda </w:t>
      </w:r>
      <w:r w:rsidR="006F0F5A" w:rsidRPr="00774267">
        <w:rPr>
          <w:rFonts w:cs="Arial"/>
        </w:rPr>
        <w:t>instaurada</w:t>
      </w:r>
      <w:r w:rsidR="00B61D8F" w:rsidRPr="00774267">
        <w:rPr>
          <w:rFonts w:cs="Arial"/>
        </w:rPr>
        <w:t xml:space="preserve"> </w:t>
      </w:r>
      <w:r w:rsidR="00C57293" w:rsidRPr="00774267">
        <w:rPr>
          <w:rFonts w:cs="Arial"/>
        </w:rPr>
        <w:t xml:space="preserve">el </w:t>
      </w:r>
      <w:r w:rsidR="00260ACB" w:rsidRPr="00774267">
        <w:rPr>
          <w:rFonts w:cs="Arial"/>
        </w:rPr>
        <w:t xml:space="preserve">4 de </w:t>
      </w:r>
      <w:r w:rsidR="00260ACB" w:rsidRPr="00774267">
        <w:rPr>
          <w:rFonts w:cs="Arial"/>
        </w:rPr>
        <w:lastRenderedPageBreak/>
        <w:t xml:space="preserve">septiembre de 2014, </w:t>
      </w:r>
      <w:r w:rsidR="00684428" w:rsidRPr="00774267">
        <w:rPr>
          <w:rFonts w:cs="Arial"/>
        </w:rPr>
        <w:t>por</w:t>
      </w:r>
      <w:r w:rsidR="00927EA9" w:rsidRPr="00774267">
        <w:rPr>
          <w:rFonts w:cs="Arial"/>
        </w:rPr>
        <w:t xml:space="preserve"> la sociedad CSS Constructores S.A.</w:t>
      </w:r>
      <w:r w:rsidR="00927EA9" w:rsidRPr="00774267">
        <w:rPr>
          <w:rStyle w:val="Refdenotaalpie"/>
          <w:rFonts w:cs="Arial"/>
        </w:rPr>
        <w:footnoteReference w:id="8"/>
      </w:r>
      <w:r w:rsidR="00684428" w:rsidRPr="00774267">
        <w:rPr>
          <w:rFonts w:cs="Arial"/>
        </w:rPr>
        <w:t xml:space="preserve"> en contra de</w:t>
      </w:r>
      <w:r w:rsidR="009B4F34" w:rsidRPr="00774267">
        <w:rPr>
          <w:rFonts w:cs="Arial"/>
        </w:rPr>
        <w:t xml:space="preserve"> </w:t>
      </w:r>
      <w:r w:rsidR="00F72D91" w:rsidRPr="00774267">
        <w:rPr>
          <w:rFonts w:cs="Arial"/>
        </w:rPr>
        <w:t xml:space="preserve">la </w:t>
      </w:r>
      <w:r w:rsidR="001D745E" w:rsidRPr="00774267">
        <w:rPr>
          <w:rFonts w:cs="Arial"/>
        </w:rPr>
        <w:t xml:space="preserve">AGENCIA NACIONAL DE INFRAESTRUCTURA- </w:t>
      </w:r>
      <w:r w:rsidR="00F72D91" w:rsidRPr="00774267">
        <w:rPr>
          <w:rFonts w:cs="Arial"/>
        </w:rPr>
        <w:t>ANI</w:t>
      </w:r>
      <w:r w:rsidR="00617336" w:rsidRPr="00774267">
        <w:rPr>
          <w:rStyle w:val="Refdenotaalpie"/>
          <w:rFonts w:cs="Arial"/>
        </w:rPr>
        <w:footnoteReference w:id="9"/>
      </w:r>
      <w:r w:rsidR="009C5C19" w:rsidRPr="00774267">
        <w:rPr>
          <w:rFonts w:cs="Arial"/>
        </w:rPr>
        <w:t>.</w:t>
      </w:r>
    </w:p>
    <w:p w14:paraId="06ECD8DC" w14:textId="77777777" w:rsidR="00E91531" w:rsidRPr="00774267" w:rsidRDefault="00E91531" w:rsidP="00C57293">
      <w:pPr>
        <w:pStyle w:val="Continuarlista2"/>
        <w:spacing w:after="0"/>
        <w:ind w:left="0"/>
        <w:rPr>
          <w:rFonts w:cs="Arial"/>
          <w:b/>
        </w:rPr>
      </w:pPr>
    </w:p>
    <w:p w14:paraId="47481696" w14:textId="77777777" w:rsidR="00C47424" w:rsidRPr="00774267" w:rsidRDefault="00C47424" w:rsidP="00C57293">
      <w:pPr>
        <w:pStyle w:val="Continuarlista2"/>
        <w:spacing w:after="0"/>
        <w:ind w:left="0"/>
        <w:rPr>
          <w:rFonts w:cs="Arial"/>
          <w:b/>
        </w:rPr>
      </w:pPr>
      <w:r w:rsidRPr="00774267">
        <w:rPr>
          <w:rFonts w:cs="Arial"/>
          <w:b/>
        </w:rPr>
        <w:t>1.1. La demanda</w:t>
      </w:r>
    </w:p>
    <w:p w14:paraId="339747D8" w14:textId="77777777" w:rsidR="00C47424" w:rsidRPr="00774267" w:rsidRDefault="00C47424" w:rsidP="00C57293">
      <w:pPr>
        <w:pStyle w:val="Continuarlista2"/>
        <w:spacing w:after="0"/>
        <w:ind w:left="0"/>
        <w:rPr>
          <w:rFonts w:cs="Arial"/>
        </w:rPr>
      </w:pPr>
    </w:p>
    <w:p w14:paraId="4DABEAA8" w14:textId="77777777" w:rsidR="00F3799A" w:rsidRPr="00774267" w:rsidRDefault="00F3799A" w:rsidP="00F3799A">
      <w:pPr>
        <w:pStyle w:val="Continuarlista2"/>
        <w:ind w:left="0"/>
        <w:rPr>
          <w:rFonts w:cs="Arial"/>
          <w:i/>
        </w:rPr>
      </w:pPr>
      <w:r w:rsidRPr="00774267">
        <w:rPr>
          <w:rFonts w:cs="Arial"/>
        </w:rPr>
        <w:t xml:space="preserve">CSS presentó las pretensiones orientadas a que se declarara que la ANI incumplió el acuerdo conciliatorio de 3 de mayo de 2005 en </w:t>
      </w:r>
      <w:r w:rsidR="00377176" w:rsidRPr="00774267">
        <w:rPr>
          <w:rFonts w:cs="Arial"/>
        </w:rPr>
        <w:t xml:space="preserve">lo relativo a </w:t>
      </w:r>
      <w:r w:rsidRPr="00774267">
        <w:rPr>
          <w:rFonts w:cs="Arial"/>
          <w:i/>
        </w:rPr>
        <w:t>“los costos de financiación en que incurrió el Concesionario respecto de las órdenes de pago autorizadas dentro del alcance complementario, según se pruebe en este proceso, por concepto de las actividades y obras complementarias ejecutadas por el Concesionario”</w:t>
      </w:r>
      <w:r w:rsidRPr="00774267">
        <w:rPr>
          <w:rStyle w:val="Refdenotaalpie"/>
          <w:rFonts w:cs="Arial"/>
          <w:i/>
        </w:rPr>
        <w:footnoteReference w:id="10"/>
      </w:r>
      <w:r w:rsidRPr="00774267">
        <w:rPr>
          <w:rFonts w:cs="Arial"/>
          <w:i/>
        </w:rPr>
        <w:t>.</w:t>
      </w:r>
    </w:p>
    <w:p w14:paraId="575609EB" w14:textId="77777777" w:rsidR="00F3799A" w:rsidRPr="00774267" w:rsidRDefault="00F3799A" w:rsidP="00F3799A">
      <w:pPr>
        <w:pStyle w:val="Continuarlista2"/>
        <w:ind w:left="0"/>
        <w:rPr>
          <w:rFonts w:cs="Arial"/>
          <w:i/>
        </w:rPr>
      </w:pPr>
    </w:p>
    <w:p w14:paraId="1AC762E0" w14:textId="77777777" w:rsidR="00F3799A" w:rsidRPr="00774267" w:rsidRDefault="00F3799A" w:rsidP="00F3799A">
      <w:pPr>
        <w:pStyle w:val="Continuarlista2"/>
        <w:ind w:left="0"/>
        <w:rPr>
          <w:rFonts w:cs="Arial"/>
        </w:rPr>
      </w:pPr>
      <w:r w:rsidRPr="00774267">
        <w:rPr>
          <w:rFonts w:cs="Arial"/>
        </w:rPr>
        <w:t>La demandante solicitó condenar a la ANI a reconocer y a pagar la suma de $90.787’778.570 pesos, debidamente actualizada, más los intereses comerciales moratorios correspondientes.</w:t>
      </w:r>
    </w:p>
    <w:p w14:paraId="6E28F16E" w14:textId="77777777" w:rsidR="00F3799A" w:rsidRPr="00774267" w:rsidRDefault="00F3799A" w:rsidP="00F3799A">
      <w:pPr>
        <w:pStyle w:val="Continuarlista2"/>
        <w:ind w:left="0"/>
        <w:rPr>
          <w:rFonts w:cs="Arial"/>
          <w:i/>
        </w:rPr>
      </w:pPr>
    </w:p>
    <w:p w14:paraId="33C302CC" w14:textId="77777777" w:rsidR="00F3799A" w:rsidRPr="00774267" w:rsidRDefault="00F3799A" w:rsidP="00F3799A">
      <w:pPr>
        <w:pStyle w:val="Continuarlista2"/>
        <w:ind w:left="0"/>
        <w:rPr>
          <w:rFonts w:cs="Arial"/>
          <w:i/>
        </w:rPr>
      </w:pPr>
      <w:r w:rsidRPr="00774267">
        <w:rPr>
          <w:rFonts w:cs="Arial"/>
        </w:rPr>
        <w:t>En la pretensión décima primera de la demanda arbitral, la sociedad convocante solicitó declarar que la referida pretensión</w:t>
      </w:r>
      <w:r w:rsidRPr="00774267">
        <w:rPr>
          <w:rFonts w:cs="Arial"/>
          <w:i/>
        </w:rPr>
        <w:t xml:space="preserve"> “no está cobijada por la cosa juzgada derivada del acuerdo conciliatorio del 3 de mayo de 2005”.</w:t>
      </w:r>
    </w:p>
    <w:p w14:paraId="5B4F0D12" w14:textId="77777777" w:rsidR="00F3799A" w:rsidRPr="00774267" w:rsidRDefault="00F3799A" w:rsidP="00F3799A">
      <w:pPr>
        <w:pStyle w:val="Continuarlista2"/>
        <w:ind w:left="0"/>
        <w:rPr>
          <w:rFonts w:cs="Arial"/>
        </w:rPr>
      </w:pPr>
    </w:p>
    <w:p w14:paraId="02B557E4" w14:textId="77777777" w:rsidR="00070A2F" w:rsidRPr="00774267" w:rsidRDefault="00CE2F9B" w:rsidP="00CE2F9B">
      <w:pPr>
        <w:pStyle w:val="Continuarlista2"/>
        <w:ind w:left="0"/>
        <w:rPr>
          <w:rFonts w:cs="Arial"/>
        </w:rPr>
      </w:pPr>
      <w:r w:rsidRPr="00774267">
        <w:rPr>
          <w:rFonts w:cs="Arial"/>
        </w:rPr>
        <w:t xml:space="preserve">Según narró la convocante, </w:t>
      </w:r>
      <w:r w:rsidR="00D527B6" w:rsidRPr="00774267">
        <w:rPr>
          <w:rFonts w:cs="Arial"/>
        </w:rPr>
        <w:t xml:space="preserve">en el acuerdo </w:t>
      </w:r>
      <w:r w:rsidR="00070A2F" w:rsidRPr="00774267">
        <w:rPr>
          <w:rFonts w:cs="Arial"/>
        </w:rPr>
        <w:t xml:space="preserve">conciliatorio </w:t>
      </w:r>
      <w:r w:rsidR="00D527B6" w:rsidRPr="00774267">
        <w:rPr>
          <w:rFonts w:cs="Arial"/>
        </w:rPr>
        <w:t xml:space="preserve">de 3 de mayo de 2005 las partes acordaron </w:t>
      </w:r>
      <w:r w:rsidR="00381879" w:rsidRPr="00774267">
        <w:rPr>
          <w:rFonts w:cs="Arial"/>
        </w:rPr>
        <w:t>conciliar sus diferencias mediante el pago de la suma de $24</w:t>
      </w:r>
      <w:r w:rsidR="00D449CA" w:rsidRPr="00774267">
        <w:rPr>
          <w:rFonts w:cs="Arial"/>
        </w:rPr>
        <w:t>.</w:t>
      </w:r>
      <w:r w:rsidR="00381879" w:rsidRPr="00774267">
        <w:rPr>
          <w:rFonts w:cs="Arial"/>
        </w:rPr>
        <w:t>725</w:t>
      </w:r>
      <w:r w:rsidR="00D449CA" w:rsidRPr="00774267">
        <w:rPr>
          <w:rFonts w:cs="Arial"/>
        </w:rPr>
        <w:t>’</w:t>
      </w:r>
      <w:r w:rsidR="00381879" w:rsidRPr="00774267">
        <w:rPr>
          <w:rFonts w:cs="Arial"/>
        </w:rPr>
        <w:t>889.296, que debía se</w:t>
      </w:r>
      <w:r w:rsidR="002C1FCA" w:rsidRPr="00774267">
        <w:rPr>
          <w:rFonts w:cs="Arial"/>
        </w:rPr>
        <w:t>r</w:t>
      </w:r>
      <w:r w:rsidR="00381879" w:rsidRPr="00774267">
        <w:rPr>
          <w:rFonts w:cs="Arial"/>
        </w:rPr>
        <w:t xml:space="preserve"> actualizada entre la fecha de liquidación y de pago efectivo</w:t>
      </w:r>
      <w:r w:rsidR="00353428" w:rsidRPr="00774267">
        <w:rPr>
          <w:rFonts w:cs="Arial"/>
        </w:rPr>
        <w:t>,</w:t>
      </w:r>
      <w:r w:rsidR="00381879" w:rsidRPr="00774267">
        <w:rPr>
          <w:rFonts w:cs="Arial"/>
        </w:rPr>
        <w:t xml:space="preserve"> de conformidad con la metodología aplicada en el dictamen pericial. </w:t>
      </w:r>
    </w:p>
    <w:p w14:paraId="01F96BF9" w14:textId="77777777" w:rsidR="00070A2F" w:rsidRPr="00774267" w:rsidRDefault="00070A2F" w:rsidP="00CE2F9B">
      <w:pPr>
        <w:pStyle w:val="Continuarlista2"/>
        <w:ind w:left="0"/>
        <w:rPr>
          <w:rFonts w:cs="Arial"/>
        </w:rPr>
      </w:pPr>
    </w:p>
    <w:p w14:paraId="58AFCE07" w14:textId="77777777" w:rsidR="002C1FCA" w:rsidRPr="00774267" w:rsidRDefault="007E2AD2" w:rsidP="00CE2F9B">
      <w:pPr>
        <w:pStyle w:val="Continuarlista2"/>
        <w:ind w:left="0"/>
        <w:rPr>
          <w:rFonts w:cs="Arial"/>
        </w:rPr>
      </w:pPr>
      <w:r w:rsidRPr="00774267">
        <w:rPr>
          <w:rFonts w:cs="Arial"/>
        </w:rPr>
        <w:t>Afirmó la demandante</w:t>
      </w:r>
      <w:r w:rsidR="00353428" w:rsidRPr="00774267">
        <w:rPr>
          <w:rFonts w:cs="Arial"/>
        </w:rPr>
        <w:t>,</w:t>
      </w:r>
      <w:r w:rsidRPr="00774267">
        <w:rPr>
          <w:rFonts w:cs="Arial"/>
        </w:rPr>
        <w:t xml:space="preserve"> que el referido valor se acordó por concepto de la obra complementaria relacionada con la</w:t>
      </w:r>
      <w:r w:rsidR="002C1FCA" w:rsidRPr="00774267">
        <w:rPr>
          <w:rFonts w:cs="Arial"/>
        </w:rPr>
        <w:t xml:space="preserve"> </w:t>
      </w:r>
      <w:r w:rsidRPr="00774267">
        <w:rPr>
          <w:rFonts w:cs="Arial"/>
        </w:rPr>
        <w:t xml:space="preserve">ampliación de la vía </w:t>
      </w:r>
      <w:r w:rsidR="002568C6" w:rsidRPr="00774267">
        <w:rPr>
          <w:rFonts w:cs="Arial"/>
        </w:rPr>
        <w:t xml:space="preserve">objeto de la concesión, </w:t>
      </w:r>
      <w:r w:rsidRPr="00774267">
        <w:rPr>
          <w:rFonts w:cs="Arial"/>
        </w:rPr>
        <w:t>a 10</w:t>
      </w:r>
      <w:r w:rsidR="002568C6" w:rsidRPr="00774267">
        <w:rPr>
          <w:rFonts w:cs="Arial"/>
        </w:rPr>
        <w:t>,</w:t>
      </w:r>
      <w:r w:rsidRPr="00774267">
        <w:rPr>
          <w:rFonts w:cs="Arial"/>
        </w:rPr>
        <w:t>92 metros.</w:t>
      </w:r>
    </w:p>
    <w:p w14:paraId="6B7FD793" w14:textId="77777777" w:rsidR="002568C6" w:rsidRPr="00774267" w:rsidRDefault="002568C6" w:rsidP="00CE2F9B">
      <w:pPr>
        <w:pStyle w:val="Continuarlista2"/>
        <w:ind w:left="0"/>
        <w:rPr>
          <w:rFonts w:cs="Arial"/>
        </w:rPr>
      </w:pPr>
    </w:p>
    <w:p w14:paraId="227E1053" w14:textId="77777777" w:rsidR="00260ACB" w:rsidRPr="00774267" w:rsidRDefault="002C1FCA" w:rsidP="00CE2F9B">
      <w:pPr>
        <w:pStyle w:val="Continuarlista2"/>
        <w:ind w:left="0"/>
        <w:rPr>
          <w:rFonts w:cs="Arial"/>
        </w:rPr>
      </w:pPr>
      <w:r w:rsidRPr="00774267">
        <w:rPr>
          <w:rFonts w:cs="Arial"/>
        </w:rPr>
        <w:t>Según a</w:t>
      </w:r>
      <w:r w:rsidR="00353428" w:rsidRPr="00774267">
        <w:rPr>
          <w:rFonts w:cs="Arial"/>
        </w:rPr>
        <w:t xml:space="preserve">notó </w:t>
      </w:r>
      <w:r w:rsidRPr="00774267">
        <w:rPr>
          <w:rFonts w:cs="Arial"/>
        </w:rPr>
        <w:t>la demandante</w:t>
      </w:r>
      <w:r w:rsidR="00260ACB" w:rsidRPr="00774267">
        <w:rPr>
          <w:rFonts w:cs="Arial"/>
        </w:rPr>
        <w:t>,</w:t>
      </w:r>
      <w:r w:rsidRPr="00774267">
        <w:rPr>
          <w:rFonts w:cs="Arial"/>
        </w:rPr>
        <w:t xml:space="preserve"> </w:t>
      </w:r>
      <w:r w:rsidR="00814C98" w:rsidRPr="00774267">
        <w:rPr>
          <w:rFonts w:cs="Arial"/>
        </w:rPr>
        <w:t>dentro de</w:t>
      </w:r>
      <w:r w:rsidR="002568C6" w:rsidRPr="00774267">
        <w:rPr>
          <w:rFonts w:cs="Arial"/>
        </w:rPr>
        <w:t xml:space="preserve">l acuerdo conciliatorio </w:t>
      </w:r>
      <w:r w:rsidR="00814C98" w:rsidRPr="00774267">
        <w:rPr>
          <w:rFonts w:cs="Arial"/>
        </w:rPr>
        <w:t xml:space="preserve">no se incluyó </w:t>
      </w:r>
      <w:r w:rsidR="00473199" w:rsidRPr="00774267">
        <w:rPr>
          <w:rFonts w:cs="Arial"/>
        </w:rPr>
        <w:t xml:space="preserve">el monto correspondiente a </w:t>
      </w:r>
      <w:r w:rsidR="00814C98" w:rsidRPr="00774267">
        <w:rPr>
          <w:rFonts w:cs="Arial"/>
        </w:rPr>
        <w:t xml:space="preserve">la financiación de las órdenes de pago </w:t>
      </w:r>
      <w:r w:rsidR="00473199" w:rsidRPr="00774267">
        <w:rPr>
          <w:rFonts w:cs="Arial"/>
        </w:rPr>
        <w:t xml:space="preserve">en que tuvo que incurrir </w:t>
      </w:r>
      <w:r w:rsidR="00D449CA" w:rsidRPr="00774267">
        <w:rPr>
          <w:rFonts w:cs="Arial"/>
        </w:rPr>
        <w:t>el</w:t>
      </w:r>
      <w:r w:rsidR="00473199" w:rsidRPr="00774267">
        <w:rPr>
          <w:rFonts w:cs="Arial"/>
        </w:rPr>
        <w:t xml:space="preserve"> concesionari</w:t>
      </w:r>
      <w:r w:rsidR="00353428" w:rsidRPr="00774267">
        <w:rPr>
          <w:rFonts w:cs="Arial"/>
        </w:rPr>
        <w:t>o</w:t>
      </w:r>
      <w:r w:rsidR="00473199" w:rsidRPr="00774267">
        <w:rPr>
          <w:rFonts w:cs="Arial"/>
        </w:rPr>
        <w:t xml:space="preserve">, </w:t>
      </w:r>
      <w:r w:rsidR="00814C98" w:rsidRPr="00774267">
        <w:rPr>
          <w:rFonts w:cs="Arial"/>
        </w:rPr>
        <w:t>por cuanto la entidad estatal no estuvo de acuerdo en reconocer intereses</w:t>
      </w:r>
      <w:r w:rsidRPr="00774267">
        <w:rPr>
          <w:rFonts w:cs="Arial"/>
        </w:rPr>
        <w:t>.</w:t>
      </w:r>
      <w:r w:rsidR="00C5106A" w:rsidRPr="00774267">
        <w:rPr>
          <w:rFonts w:cs="Arial"/>
        </w:rPr>
        <w:t xml:space="preserve"> </w:t>
      </w:r>
    </w:p>
    <w:p w14:paraId="5945059C" w14:textId="77777777" w:rsidR="00260ACB" w:rsidRPr="00774267" w:rsidRDefault="00260ACB" w:rsidP="00CE2F9B">
      <w:pPr>
        <w:pStyle w:val="Continuarlista2"/>
        <w:ind w:left="0"/>
        <w:rPr>
          <w:rFonts w:cs="Arial"/>
        </w:rPr>
      </w:pPr>
    </w:p>
    <w:p w14:paraId="47F51A1F" w14:textId="77777777" w:rsidR="00EE7CE8" w:rsidRPr="00774267" w:rsidRDefault="00F3799A" w:rsidP="00CE2F9B">
      <w:pPr>
        <w:pStyle w:val="Continuarlista2"/>
        <w:ind w:left="0"/>
        <w:rPr>
          <w:rFonts w:cs="Arial"/>
        </w:rPr>
      </w:pPr>
      <w:r w:rsidRPr="00774267">
        <w:rPr>
          <w:rFonts w:cs="Arial"/>
        </w:rPr>
        <w:t xml:space="preserve">La demandante </w:t>
      </w:r>
      <w:r w:rsidR="00353428" w:rsidRPr="00774267">
        <w:rPr>
          <w:rFonts w:cs="Arial"/>
        </w:rPr>
        <w:t xml:space="preserve">manifestó </w:t>
      </w:r>
      <w:r w:rsidR="00C5106A" w:rsidRPr="00774267">
        <w:rPr>
          <w:rFonts w:cs="Arial"/>
        </w:rPr>
        <w:t xml:space="preserve">que en el anexo 4 del acuerdo conciliatorio, el concesionario hizo constar que mantenía su pretensión de pago de intereses sobre las deudas por </w:t>
      </w:r>
      <w:r w:rsidR="00EE7CE8" w:rsidRPr="00774267">
        <w:rPr>
          <w:rFonts w:cs="Arial"/>
        </w:rPr>
        <w:t xml:space="preserve">concepto de </w:t>
      </w:r>
      <w:r w:rsidR="00C5106A" w:rsidRPr="00774267">
        <w:rPr>
          <w:rFonts w:cs="Arial"/>
        </w:rPr>
        <w:t xml:space="preserve">las obras de </w:t>
      </w:r>
      <w:r w:rsidR="00C5106A" w:rsidRPr="00774267">
        <w:rPr>
          <w:rFonts w:cs="Arial"/>
          <w:i/>
        </w:rPr>
        <w:t>“</w:t>
      </w:r>
      <w:r w:rsidR="00EE7CE8" w:rsidRPr="00774267">
        <w:rPr>
          <w:rFonts w:cs="Arial"/>
          <w:i/>
        </w:rPr>
        <w:t>A</w:t>
      </w:r>
      <w:r w:rsidR="00C5106A" w:rsidRPr="00774267">
        <w:rPr>
          <w:rFonts w:cs="Arial"/>
          <w:i/>
        </w:rPr>
        <w:t xml:space="preserve">cceso norte de Aipe, Tachas </w:t>
      </w:r>
      <w:r w:rsidR="00EE7CE8" w:rsidRPr="00774267">
        <w:rPr>
          <w:rFonts w:cs="Arial"/>
          <w:i/>
        </w:rPr>
        <w:t>R</w:t>
      </w:r>
      <w:r w:rsidR="00C5106A" w:rsidRPr="00774267">
        <w:rPr>
          <w:rFonts w:cs="Arial"/>
          <w:i/>
        </w:rPr>
        <w:t>eflec</w:t>
      </w:r>
      <w:r w:rsidR="00EE7CE8" w:rsidRPr="00774267">
        <w:rPr>
          <w:rFonts w:cs="Arial"/>
          <w:i/>
        </w:rPr>
        <w:t>tivas 2003 y Estación de Pesaje Flandes”.</w:t>
      </w:r>
    </w:p>
    <w:p w14:paraId="20F7F90C" w14:textId="77777777" w:rsidR="00EE7CE8" w:rsidRPr="00774267" w:rsidRDefault="00EE7CE8" w:rsidP="00CE2F9B">
      <w:pPr>
        <w:pStyle w:val="Continuarlista2"/>
        <w:ind w:left="0"/>
        <w:rPr>
          <w:rFonts w:cs="Arial"/>
        </w:rPr>
      </w:pPr>
    </w:p>
    <w:p w14:paraId="6419F668" w14:textId="77777777" w:rsidR="002568C6" w:rsidRPr="00774267" w:rsidRDefault="002568C6" w:rsidP="002568C6">
      <w:pPr>
        <w:pStyle w:val="Continuarlista2"/>
        <w:ind w:left="0"/>
        <w:rPr>
          <w:rFonts w:cs="Arial"/>
        </w:rPr>
      </w:pPr>
      <w:r w:rsidRPr="00774267">
        <w:rPr>
          <w:rFonts w:cs="Arial"/>
        </w:rPr>
        <w:t>También expuso la demandante</w:t>
      </w:r>
      <w:r w:rsidR="00360E0C" w:rsidRPr="00774267">
        <w:rPr>
          <w:rFonts w:cs="Arial"/>
        </w:rPr>
        <w:t>,</w:t>
      </w:r>
      <w:r w:rsidRPr="00774267">
        <w:rPr>
          <w:rFonts w:cs="Arial"/>
        </w:rPr>
        <w:t xml:space="preserve"> que </w:t>
      </w:r>
      <w:r w:rsidR="00473199" w:rsidRPr="00774267">
        <w:rPr>
          <w:rFonts w:cs="Arial"/>
        </w:rPr>
        <w:t xml:space="preserve">se </w:t>
      </w:r>
      <w:r w:rsidRPr="00774267">
        <w:rPr>
          <w:rFonts w:cs="Arial"/>
        </w:rPr>
        <w:t>adelantaron varias mesas de trabajo</w:t>
      </w:r>
      <w:r w:rsidR="00473199" w:rsidRPr="00774267">
        <w:rPr>
          <w:rFonts w:cs="Arial"/>
        </w:rPr>
        <w:t xml:space="preserve"> entre las partes</w:t>
      </w:r>
      <w:r w:rsidR="00360E0C" w:rsidRPr="00774267">
        <w:rPr>
          <w:rFonts w:cs="Arial"/>
        </w:rPr>
        <w:t>,</w:t>
      </w:r>
      <w:r w:rsidRPr="00774267">
        <w:rPr>
          <w:rFonts w:cs="Arial"/>
        </w:rPr>
        <w:t xml:space="preserve"> como resultado de las cuales se firmó el </w:t>
      </w:r>
      <w:r w:rsidR="007272FA" w:rsidRPr="00774267">
        <w:rPr>
          <w:rFonts w:cs="Arial"/>
        </w:rPr>
        <w:t>O</w:t>
      </w:r>
      <w:r w:rsidRPr="00774267">
        <w:rPr>
          <w:rFonts w:cs="Arial"/>
        </w:rPr>
        <w:t xml:space="preserve">trosí de 30 de enero de 2014. En dicho otrosí, las </w:t>
      </w:r>
      <w:proofErr w:type="gramStart"/>
      <w:r w:rsidRPr="00774267">
        <w:rPr>
          <w:rFonts w:cs="Arial"/>
        </w:rPr>
        <w:t>partes  acordaron</w:t>
      </w:r>
      <w:proofErr w:type="gramEnd"/>
      <w:r w:rsidRPr="00774267">
        <w:rPr>
          <w:rFonts w:cs="Arial"/>
        </w:rPr>
        <w:t xml:space="preserve"> actualizar el modelo financiero y efectuar un cruce de saldos y pagos. </w:t>
      </w:r>
    </w:p>
    <w:p w14:paraId="530EE4B3" w14:textId="77777777" w:rsidR="002568C6" w:rsidRPr="00774267" w:rsidRDefault="002568C6" w:rsidP="00CE2F9B">
      <w:pPr>
        <w:pStyle w:val="Continuarlista2"/>
        <w:ind w:left="0"/>
        <w:rPr>
          <w:rFonts w:cs="Arial"/>
        </w:rPr>
      </w:pPr>
    </w:p>
    <w:p w14:paraId="7D687699" w14:textId="77777777" w:rsidR="00571DA0" w:rsidRPr="00774267" w:rsidRDefault="00571DA0" w:rsidP="00CE2F9B">
      <w:pPr>
        <w:pStyle w:val="Continuarlista2"/>
        <w:ind w:left="0"/>
        <w:rPr>
          <w:rFonts w:cs="Arial"/>
          <w:b/>
        </w:rPr>
      </w:pPr>
      <w:r w:rsidRPr="00774267">
        <w:rPr>
          <w:rFonts w:cs="Arial"/>
          <w:b/>
        </w:rPr>
        <w:t>1.2. La demanda de reconvención</w:t>
      </w:r>
    </w:p>
    <w:p w14:paraId="2B9AC80A" w14:textId="77777777" w:rsidR="00571DA0" w:rsidRPr="00774267" w:rsidRDefault="00571DA0" w:rsidP="00CE2F9B">
      <w:pPr>
        <w:pStyle w:val="Continuarlista2"/>
        <w:ind w:left="0"/>
        <w:rPr>
          <w:rFonts w:cs="Arial"/>
        </w:rPr>
      </w:pPr>
    </w:p>
    <w:p w14:paraId="6BF8F63B" w14:textId="77777777" w:rsidR="00C32757" w:rsidRPr="00774267" w:rsidRDefault="00571DA0" w:rsidP="00CE2F9B">
      <w:pPr>
        <w:pStyle w:val="Continuarlista2"/>
        <w:ind w:left="0"/>
        <w:rPr>
          <w:rFonts w:cs="Arial"/>
        </w:rPr>
      </w:pPr>
      <w:r w:rsidRPr="00774267">
        <w:rPr>
          <w:rFonts w:cs="Arial"/>
        </w:rPr>
        <w:t xml:space="preserve">La ANI presentó demanda de reconvención en la </w:t>
      </w:r>
      <w:r w:rsidR="002568C6" w:rsidRPr="00774267">
        <w:rPr>
          <w:rFonts w:cs="Arial"/>
        </w:rPr>
        <w:t xml:space="preserve">que </w:t>
      </w:r>
      <w:r w:rsidRPr="00774267">
        <w:rPr>
          <w:rFonts w:cs="Arial"/>
        </w:rPr>
        <w:t xml:space="preserve">solicitó que se declarara </w:t>
      </w:r>
      <w:r w:rsidR="00395634" w:rsidRPr="00774267">
        <w:rPr>
          <w:rFonts w:cs="Arial"/>
        </w:rPr>
        <w:t xml:space="preserve">que los ingresos </w:t>
      </w:r>
      <w:r w:rsidR="000719E6" w:rsidRPr="00774267">
        <w:rPr>
          <w:rFonts w:cs="Arial"/>
        </w:rPr>
        <w:t xml:space="preserve">de la </w:t>
      </w:r>
      <w:r w:rsidR="00395634" w:rsidRPr="00774267">
        <w:rPr>
          <w:rFonts w:cs="Arial"/>
        </w:rPr>
        <w:t>Concesión 0849 de 1995 ser</w:t>
      </w:r>
      <w:r w:rsidR="000719E6" w:rsidRPr="00774267">
        <w:rPr>
          <w:rFonts w:cs="Arial"/>
        </w:rPr>
        <w:t>ía</w:t>
      </w:r>
      <w:r w:rsidR="00395634" w:rsidRPr="00774267">
        <w:rPr>
          <w:rFonts w:cs="Arial"/>
        </w:rPr>
        <w:t xml:space="preserve">n asignados en su totalidad al concesionario privado, </w:t>
      </w:r>
      <w:r w:rsidR="000719E6" w:rsidRPr="00774267">
        <w:rPr>
          <w:rFonts w:cs="Arial"/>
          <w:i/>
        </w:rPr>
        <w:t>“</w:t>
      </w:r>
      <w:r w:rsidR="00395634" w:rsidRPr="00774267">
        <w:rPr>
          <w:rFonts w:cs="Arial"/>
          <w:i/>
        </w:rPr>
        <w:t xml:space="preserve">hasta tanto éste obtenga dentro del plazo estipulado </w:t>
      </w:r>
      <w:r w:rsidR="00C32757" w:rsidRPr="00774267">
        <w:rPr>
          <w:rFonts w:cs="Arial"/>
          <w:i/>
        </w:rPr>
        <w:t>en el contrato el retorno de capital inversión”</w:t>
      </w:r>
      <w:r w:rsidR="00C32757" w:rsidRPr="00774267">
        <w:rPr>
          <w:rStyle w:val="Refdenotaalpie"/>
          <w:rFonts w:cs="Arial"/>
          <w:i/>
        </w:rPr>
        <w:footnoteReference w:id="11"/>
      </w:r>
      <w:r w:rsidR="00C32757" w:rsidRPr="00774267">
        <w:rPr>
          <w:rFonts w:cs="Arial"/>
          <w:i/>
        </w:rPr>
        <w:t>.</w:t>
      </w:r>
    </w:p>
    <w:p w14:paraId="490B2407" w14:textId="77777777" w:rsidR="00C32757" w:rsidRPr="00774267" w:rsidRDefault="00C32757" w:rsidP="00CE2F9B">
      <w:pPr>
        <w:pStyle w:val="Continuarlista2"/>
        <w:ind w:left="0"/>
        <w:rPr>
          <w:rFonts w:cs="Arial"/>
        </w:rPr>
      </w:pPr>
    </w:p>
    <w:p w14:paraId="4B71FE47" w14:textId="77777777" w:rsidR="00A573D4" w:rsidRPr="00774267" w:rsidRDefault="00A573D4" w:rsidP="00CE2F9B">
      <w:pPr>
        <w:pStyle w:val="Continuarlista2"/>
        <w:ind w:left="0"/>
        <w:rPr>
          <w:rFonts w:cs="Arial"/>
        </w:rPr>
      </w:pPr>
      <w:r w:rsidRPr="00774267">
        <w:rPr>
          <w:rFonts w:cs="Arial"/>
        </w:rPr>
        <w:t>Igualmente</w:t>
      </w:r>
      <w:r w:rsidR="00360E0C" w:rsidRPr="00774267">
        <w:rPr>
          <w:rFonts w:cs="Arial"/>
        </w:rPr>
        <w:t>,</w:t>
      </w:r>
      <w:r w:rsidRPr="00774267">
        <w:rPr>
          <w:rFonts w:cs="Arial"/>
        </w:rPr>
        <w:t xml:space="preserve"> solicitó </w:t>
      </w:r>
      <w:r w:rsidR="00F27DF3" w:rsidRPr="00774267">
        <w:rPr>
          <w:rFonts w:cs="Arial"/>
        </w:rPr>
        <w:t xml:space="preserve">declarar </w:t>
      </w:r>
      <w:r w:rsidRPr="00774267">
        <w:rPr>
          <w:rFonts w:cs="Arial"/>
        </w:rPr>
        <w:t xml:space="preserve">que la Tasa Interna de Retorno </w:t>
      </w:r>
      <w:r w:rsidR="002568C6" w:rsidRPr="00774267">
        <w:rPr>
          <w:rFonts w:cs="Arial"/>
        </w:rPr>
        <w:t xml:space="preserve">(TIR) de la ejecución del Contrato de Concesión No. 0849 de 1995 </w:t>
      </w:r>
      <w:r w:rsidRPr="00774267">
        <w:rPr>
          <w:rFonts w:cs="Arial"/>
        </w:rPr>
        <w:t>era de 11, 64 anual real.</w:t>
      </w:r>
    </w:p>
    <w:p w14:paraId="6F34CC8C" w14:textId="77777777" w:rsidR="00FB5374" w:rsidRPr="00774267" w:rsidRDefault="00FB5374" w:rsidP="00CE2F9B">
      <w:pPr>
        <w:pStyle w:val="Continuarlista2"/>
        <w:ind w:left="0"/>
        <w:rPr>
          <w:rFonts w:cs="Arial"/>
        </w:rPr>
      </w:pPr>
    </w:p>
    <w:p w14:paraId="57980022" w14:textId="77777777" w:rsidR="0096205D" w:rsidRPr="00774267" w:rsidRDefault="00F27DF3" w:rsidP="00CE2F9B">
      <w:pPr>
        <w:pStyle w:val="Continuarlista2"/>
        <w:ind w:left="0"/>
        <w:rPr>
          <w:rFonts w:cs="Arial"/>
        </w:rPr>
      </w:pPr>
      <w:r w:rsidRPr="00774267">
        <w:rPr>
          <w:rFonts w:cs="Arial"/>
        </w:rPr>
        <w:t>L</w:t>
      </w:r>
      <w:r w:rsidR="00070A2F" w:rsidRPr="00774267">
        <w:rPr>
          <w:rFonts w:cs="Arial"/>
        </w:rPr>
        <w:t xml:space="preserve">a ANI </w:t>
      </w:r>
      <w:r w:rsidR="00CD2F00" w:rsidRPr="00774267">
        <w:rPr>
          <w:rFonts w:cs="Arial"/>
        </w:rPr>
        <w:t xml:space="preserve">pidió </w:t>
      </w:r>
      <w:r w:rsidR="00FB5374" w:rsidRPr="00774267">
        <w:rPr>
          <w:rFonts w:cs="Arial"/>
        </w:rPr>
        <w:t xml:space="preserve">que </w:t>
      </w:r>
      <w:r w:rsidRPr="00774267">
        <w:rPr>
          <w:rFonts w:cs="Arial"/>
        </w:rPr>
        <w:t xml:space="preserve">el Tribunal de Arbitramento </w:t>
      </w:r>
      <w:r w:rsidR="00FB5374" w:rsidRPr="00774267">
        <w:rPr>
          <w:rFonts w:cs="Arial"/>
        </w:rPr>
        <w:t xml:space="preserve">declarara que el concesionario había recibido ingresos comprendidos entre el </w:t>
      </w:r>
      <w:r w:rsidR="0096205D" w:rsidRPr="00774267">
        <w:rPr>
          <w:rFonts w:cs="Arial"/>
        </w:rPr>
        <w:t>IMG (ingreso mínimo garantizado) y el ingreso Máximo Aportante, “</w:t>
      </w:r>
      <w:r w:rsidR="0096205D" w:rsidRPr="00774267">
        <w:rPr>
          <w:rFonts w:cs="Arial"/>
          <w:i/>
        </w:rPr>
        <w:t>no imputados para el alcance de la TIR</w:t>
      </w:r>
      <w:r w:rsidR="00070A2F" w:rsidRPr="00774267">
        <w:rPr>
          <w:rStyle w:val="Refdenotaalpie"/>
          <w:rFonts w:cs="Arial"/>
          <w:i/>
        </w:rPr>
        <w:footnoteReference w:id="12"/>
      </w:r>
      <w:r w:rsidR="0096205D" w:rsidRPr="00774267">
        <w:rPr>
          <w:rFonts w:cs="Arial"/>
          <w:i/>
        </w:rPr>
        <w:t xml:space="preserve"> ni utilizados para cubrir los déficits”</w:t>
      </w:r>
      <w:r w:rsidR="0096205D" w:rsidRPr="00774267">
        <w:rPr>
          <w:rStyle w:val="Refdenotaalpie"/>
          <w:rFonts w:cs="Arial"/>
        </w:rPr>
        <w:footnoteReference w:id="13"/>
      </w:r>
      <w:r w:rsidR="0096205D" w:rsidRPr="00774267">
        <w:rPr>
          <w:rFonts w:cs="Arial"/>
        </w:rPr>
        <w:t>.</w:t>
      </w:r>
    </w:p>
    <w:p w14:paraId="7D49FA21" w14:textId="77777777" w:rsidR="0096205D" w:rsidRPr="00774267" w:rsidRDefault="0096205D" w:rsidP="00CE2F9B">
      <w:pPr>
        <w:pStyle w:val="Continuarlista2"/>
        <w:ind w:left="0"/>
        <w:rPr>
          <w:rFonts w:cs="Arial"/>
        </w:rPr>
      </w:pPr>
    </w:p>
    <w:p w14:paraId="1A0DC5C4" w14:textId="77777777" w:rsidR="00F27DF3" w:rsidRPr="00774267" w:rsidRDefault="00CD2F00" w:rsidP="00CE2F9B">
      <w:pPr>
        <w:pStyle w:val="Continuarlista2"/>
        <w:ind w:left="0"/>
        <w:rPr>
          <w:rFonts w:cs="Arial"/>
        </w:rPr>
      </w:pPr>
      <w:r w:rsidRPr="00774267">
        <w:rPr>
          <w:rFonts w:cs="Arial"/>
        </w:rPr>
        <w:t xml:space="preserve">De la misma forma, la ANI </w:t>
      </w:r>
      <w:r w:rsidR="002620B3" w:rsidRPr="00774267">
        <w:rPr>
          <w:rFonts w:cs="Arial"/>
        </w:rPr>
        <w:t>solicitó declarar que</w:t>
      </w:r>
      <w:r w:rsidR="00D3445E" w:rsidRPr="00774267">
        <w:rPr>
          <w:rFonts w:cs="Arial"/>
        </w:rPr>
        <w:t>,</w:t>
      </w:r>
      <w:r w:rsidR="002620B3" w:rsidRPr="00774267">
        <w:rPr>
          <w:rFonts w:cs="Arial"/>
        </w:rPr>
        <w:t xml:space="preserve"> al no haber incorporado esos ingresos al modelo financiero</w:t>
      </w:r>
      <w:r w:rsidR="00D3445E" w:rsidRPr="00774267">
        <w:rPr>
          <w:rFonts w:cs="Arial"/>
        </w:rPr>
        <w:t>,</w:t>
      </w:r>
      <w:r w:rsidR="002620B3" w:rsidRPr="00774267">
        <w:rPr>
          <w:rFonts w:cs="Arial"/>
        </w:rPr>
        <w:t xml:space="preserve"> se generó un desequilibrio </w:t>
      </w:r>
      <w:r w:rsidR="00D61350" w:rsidRPr="00774267">
        <w:rPr>
          <w:rFonts w:cs="Arial"/>
        </w:rPr>
        <w:t xml:space="preserve">económico </w:t>
      </w:r>
      <w:r w:rsidR="002620B3" w:rsidRPr="00774267">
        <w:rPr>
          <w:rFonts w:cs="Arial"/>
        </w:rPr>
        <w:t>del contrato</w:t>
      </w:r>
      <w:r w:rsidR="00F27DF3" w:rsidRPr="00774267">
        <w:rPr>
          <w:rFonts w:cs="Arial"/>
        </w:rPr>
        <w:t>.</w:t>
      </w:r>
    </w:p>
    <w:p w14:paraId="1D68BAC2" w14:textId="77777777" w:rsidR="00F27DF3" w:rsidRPr="00774267" w:rsidRDefault="00F27DF3" w:rsidP="00CE2F9B">
      <w:pPr>
        <w:pStyle w:val="Continuarlista2"/>
        <w:ind w:left="0"/>
        <w:rPr>
          <w:rFonts w:cs="Arial"/>
        </w:rPr>
      </w:pPr>
    </w:p>
    <w:p w14:paraId="55D1740D" w14:textId="77777777" w:rsidR="005D788E" w:rsidRPr="00774267" w:rsidRDefault="00F27DF3" w:rsidP="00CE2F9B">
      <w:pPr>
        <w:pStyle w:val="Continuarlista2"/>
        <w:ind w:left="0"/>
        <w:rPr>
          <w:rFonts w:cs="Arial"/>
        </w:rPr>
      </w:pPr>
      <w:r w:rsidRPr="00774267">
        <w:rPr>
          <w:rFonts w:cs="Arial"/>
        </w:rPr>
        <w:t>Finalmente, en la demanda de reconvención se solicitó</w:t>
      </w:r>
      <w:r w:rsidR="005D788E" w:rsidRPr="00774267">
        <w:rPr>
          <w:rFonts w:cs="Arial"/>
        </w:rPr>
        <w:t>:</w:t>
      </w:r>
    </w:p>
    <w:p w14:paraId="5F5DECD0" w14:textId="77777777" w:rsidR="005D788E" w:rsidRPr="00774267" w:rsidRDefault="005D788E" w:rsidP="00CE2F9B">
      <w:pPr>
        <w:pStyle w:val="Continuarlista2"/>
        <w:ind w:left="0"/>
        <w:rPr>
          <w:rFonts w:cs="Arial"/>
        </w:rPr>
      </w:pPr>
    </w:p>
    <w:p w14:paraId="3152DC74" w14:textId="77777777" w:rsidR="005B0922" w:rsidRPr="00774267" w:rsidRDefault="00480574" w:rsidP="005B0922">
      <w:pPr>
        <w:pStyle w:val="Continuarlista2"/>
        <w:spacing w:line="276" w:lineRule="auto"/>
        <w:ind w:left="567" w:right="567"/>
        <w:rPr>
          <w:rFonts w:cs="Arial"/>
          <w:i/>
        </w:rPr>
      </w:pPr>
      <w:r w:rsidRPr="00774267">
        <w:rPr>
          <w:rFonts w:cs="Arial"/>
          <w:i/>
        </w:rPr>
        <w:t>“</w:t>
      </w:r>
      <w:r w:rsidR="005D788E" w:rsidRPr="00774267">
        <w:rPr>
          <w:rFonts w:cs="Arial"/>
          <w:i/>
        </w:rPr>
        <w:t>S</w:t>
      </w:r>
      <w:r w:rsidR="00D61350" w:rsidRPr="00774267">
        <w:rPr>
          <w:rFonts w:cs="Arial"/>
          <w:i/>
        </w:rPr>
        <w:t>É</w:t>
      </w:r>
      <w:r w:rsidR="005D788E" w:rsidRPr="00774267">
        <w:rPr>
          <w:rFonts w:cs="Arial"/>
          <w:i/>
        </w:rPr>
        <w:t>PTIMA: Que se declare que los ingresos recibidos por el C</w:t>
      </w:r>
      <w:r w:rsidRPr="00774267">
        <w:rPr>
          <w:rFonts w:cs="Arial"/>
          <w:i/>
        </w:rPr>
        <w:t>o</w:t>
      </w:r>
      <w:r w:rsidR="005D788E" w:rsidRPr="00774267">
        <w:rPr>
          <w:rFonts w:cs="Arial"/>
          <w:i/>
        </w:rPr>
        <w:t xml:space="preserve">ncesionario comprendidos entre el IMG y el Máximo aportante, que no hayan sido imputados para el alcance de la TIR ni utilizados para cubrir déficits, deben ser reintegrados a la </w:t>
      </w:r>
      <w:r w:rsidRPr="00774267">
        <w:rPr>
          <w:rFonts w:cs="Arial"/>
          <w:i/>
        </w:rPr>
        <w:t>AGENCIA NACIONAL DE INFRAESTRUCTURA”</w:t>
      </w:r>
      <w:r w:rsidRPr="00774267">
        <w:rPr>
          <w:rStyle w:val="Refdenotaalpie"/>
          <w:rFonts w:cs="Arial"/>
          <w:i/>
        </w:rPr>
        <w:footnoteReference w:id="14"/>
      </w:r>
      <w:r w:rsidRPr="00774267">
        <w:rPr>
          <w:rFonts w:cs="Arial"/>
          <w:i/>
        </w:rPr>
        <w:t>.</w:t>
      </w:r>
    </w:p>
    <w:p w14:paraId="52E00F67" w14:textId="77777777" w:rsidR="001A1C9A" w:rsidRPr="00774267" w:rsidRDefault="005B0922" w:rsidP="005B0922">
      <w:pPr>
        <w:pStyle w:val="Continuarlista2"/>
        <w:spacing w:line="276" w:lineRule="auto"/>
        <w:ind w:left="567" w:right="567"/>
        <w:rPr>
          <w:rFonts w:cs="Arial"/>
        </w:rPr>
      </w:pPr>
      <w:r w:rsidRPr="00774267">
        <w:rPr>
          <w:rFonts w:cs="Arial"/>
        </w:rPr>
        <w:t xml:space="preserve"> </w:t>
      </w:r>
    </w:p>
    <w:p w14:paraId="78BBC445" w14:textId="77777777" w:rsidR="00963CC9" w:rsidRPr="00774267" w:rsidRDefault="0061288C" w:rsidP="00CE2F9B">
      <w:pPr>
        <w:pStyle w:val="Continuarlista2"/>
        <w:ind w:left="0"/>
        <w:rPr>
          <w:rFonts w:cs="Arial"/>
        </w:rPr>
      </w:pPr>
      <w:r w:rsidRPr="00774267">
        <w:rPr>
          <w:rFonts w:cs="Arial"/>
        </w:rPr>
        <w:t>Como consecuencia, l</w:t>
      </w:r>
      <w:r w:rsidR="001A1C9A" w:rsidRPr="00774267">
        <w:rPr>
          <w:rFonts w:cs="Arial"/>
        </w:rPr>
        <w:t xml:space="preserve">a </w:t>
      </w:r>
      <w:r w:rsidR="00963CC9" w:rsidRPr="00774267">
        <w:rPr>
          <w:rFonts w:cs="Arial"/>
        </w:rPr>
        <w:t xml:space="preserve">ANI </w:t>
      </w:r>
      <w:r w:rsidR="00473199" w:rsidRPr="00774267">
        <w:rPr>
          <w:rFonts w:cs="Arial"/>
        </w:rPr>
        <w:t xml:space="preserve">pidió </w:t>
      </w:r>
      <w:r w:rsidRPr="00774267">
        <w:rPr>
          <w:rFonts w:cs="Arial"/>
        </w:rPr>
        <w:t xml:space="preserve">que se </w:t>
      </w:r>
      <w:r w:rsidR="00963CC9" w:rsidRPr="00774267">
        <w:rPr>
          <w:rFonts w:cs="Arial"/>
        </w:rPr>
        <w:t>condenar</w:t>
      </w:r>
      <w:r w:rsidRPr="00774267">
        <w:rPr>
          <w:rFonts w:cs="Arial"/>
        </w:rPr>
        <w:t>a a CSS</w:t>
      </w:r>
      <w:r w:rsidR="00963CC9" w:rsidRPr="00774267">
        <w:rPr>
          <w:rFonts w:cs="Arial"/>
        </w:rPr>
        <w:t xml:space="preserve"> a reintegrar </w:t>
      </w:r>
      <w:r w:rsidR="001A1C9A" w:rsidRPr="00774267">
        <w:rPr>
          <w:rFonts w:cs="Arial"/>
        </w:rPr>
        <w:t>la suma de $172</w:t>
      </w:r>
      <w:r w:rsidR="00963CC9" w:rsidRPr="00774267">
        <w:rPr>
          <w:rFonts w:cs="Arial"/>
        </w:rPr>
        <w:t>.019’145.857 o la que result</w:t>
      </w:r>
      <w:r w:rsidR="00070A2F" w:rsidRPr="00774267">
        <w:rPr>
          <w:rFonts w:cs="Arial"/>
        </w:rPr>
        <w:t>ara</w:t>
      </w:r>
      <w:r w:rsidR="00963CC9" w:rsidRPr="00774267">
        <w:rPr>
          <w:rFonts w:cs="Arial"/>
        </w:rPr>
        <w:t xml:space="preserve"> probada en el proceso.</w:t>
      </w:r>
    </w:p>
    <w:p w14:paraId="566593CF" w14:textId="77777777" w:rsidR="00870F44" w:rsidRPr="00774267" w:rsidRDefault="00870F44" w:rsidP="00E63C99">
      <w:pPr>
        <w:pStyle w:val="Continuarlista2"/>
        <w:spacing w:line="240" w:lineRule="auto"/>
        <w:ind w:left="0"/>
        <w:rPr>
          <w:rFonts w:cs="Arial"/>
          <w:b/>
        </w:rPr>
      </w:pPr>
    </w:p>
    <w:p w14:paraId="11E45913" w14:textId="77777777" w:rsidR="002D5BF8" w:rsidRPr="00774267" w:rsidRDefault="00C47424" w:rsidP="00E63C99">
      <w:pPr>
        <w:pStyle w:val="Continuarlista2"/>
        <w:spacing w:line="240" w:lineRule="auto"/>
        <w:ind w:left="0"/>
        <w:rPr>
          <w:rFonts w:cs="Arial"/>
          <w:b/>
        </w:rPr>
      </w:pPr>
      <w:r w:rsidRPr="00774267">
        <w:rPr>
          <w:rFonts w:cs="Arial"/>
          <w:b/>
        </w:rPr>
        <w:t>1.</w:t>
      </w:r>
      <w:r w:rsidR="005B0922" w:rsidRPr="00774267">
        <w:rPr>
          <w:rFonts w:cs="Arial"/>
          <w:b/>
        </w:rPr>
        <w:t>3</w:t>
      </w:r>
      <w:r w:rsidRPr="00774267">
        <w:rPr>
          <w:rFonts w:cs="Arial"/>
          <w:b/>
        </w:rPr>
        <w:t xml:space="preserve">. </w:t>
      </w:r>
      <w:r w:rsidR="00E63C99" w:rsidRPr="00774267">
        <w:rPr>
          <w:rFonts w:cs="Arial"/>
          <w:b/>
        </w:rPr>
        <w:t>Auto mediante el cual el Tribunal de Arbitramento declaró su competencia</w:t>
      </w:r>
      <w:r w:rsidR="00870F44" w:rsidRPr="00774267">
        <w:rPr>
          <w:rFonts w:cs="Arial"/>
          <w:b/>
        </w:rPr>
        <w:t>. R</w:t>
      </w:r>
      <w:r w:rsidR="00906368" w:rsidRPr="00774267">
        <w:rPr>
          <w:rFonts w:cs="Arial"/>
          <w:b/>
        </w:rPr>
        <w:t>ecurso de reposición</w:t>
      </w:r>
    </w:p>
    <w:p w14:paraId="0039DE76" w14:textId="77777777" w:rsidR="006236E6" w:rsidRPr="00774267" w:rsidRDefault="00906368" w:rsidP="002001B2">
      <w:pPr>
        <w:pStyle w:val="Continuarlista2"/>
        <w:ind w:left="0"/>
        <w:rPr>
          <w:rFonts w:cs="Arial"/>
        </w:rPr>
      </w:pPr>
      <w:r w:rsidRPr="00774267">
        <w:rPr>
          <w:rFonts w:cs="Arial"/>
        </w:rPr>
        <w:t xml:space="preserve"> </w:t>
      </w:r>
    </w:p>
    <w:p w14:paraId="4717FCF4" w14:textId="77777777" w:rsidR="00473199" w:rsidRPr="00774267" w:rsidRDefault="00944A37" w:rsidP="00944A37">
      <w:pPr>
        <w:rPr>
          <w:rFonts w:cs="Arial"/>
          <w:lang w:val="es-CO"/>
        </w:rPr>
      </w:pPr>
      <w:r w:rsidRPr="00774267">
        <w:rPr>
          <w:rFonts w:cs="Arial"/>
          <w:lang w:val="es-CO"/>
        </w:rPr>
        <w:t xml:space="preserve">El Tribunal de Arbitramento se declaró competente a través del auto </w:t>
      </w:r>
      <w:r w:rsidR="00070A2F" w:rsidRPr="00774267">
        <w:rPr>
          <w:rFonts w:cs="Arial"/>
          <w:lang w:val="es-CO"/>
        </w:rPr>
        <w:t xml:space="preserve">número </w:t>
      </w:r>
      <w:r w:rsidRPr="00774267">
        <w:rPr>
          <w:rFonts w:cs="Arial"/>
          <w:lang w:val="es-CO"/>
        </w:rPr>
        <w:t>18 de 21 de enero de 2016, oportunidad en la cual se pronunció de manera preliminar sobre la excepción de falta de competencia que fue presentada por la ANI en la contestación de la demanda</w:t>
      </w:r>
      <w:r w:rsidRPr="00774267">
        <w:rPr>
          <w:rStyle w:val="Refdenotaalpie"/>
          <w:rFonts w:cs="Arial"/>
          <w:lang w:val="es-CO"/>
        </w:rPr>
        <w:footnoteReference w:id="15"/>
      </w:r>
      <w:r w:rsidRPr="00774267">
        <w:rPr>
          <w:rFonts w:cs="Arial"/>
          <w:lang w:val="es-CO"/>
        </w:rPr>
        <w:t xml:space="preserve">. </w:t>
      </w:r>
    </w:p>
    <w:p w14:paraId="7E4FFD4C" w14:textId="77777777" w:rsidR="00473199" w:rsidRPr="00774267" w:rsidRDefault="00473199" w:rsidP="00944A37">
      <w:pPr>
        <w:rPr>
          <w:rFonts w:cs="Arial"/>
          <w:lang w:val="es-CO"/>
        </w:rPr>
      </w:pPr>
    </w:p>
    <w:p w14:paraId="5DB540F9" w14:textId="77777777" w:rsidR="00944A37" w:rsidRPr="00774267" w:rsidRDefault="00944A37" w:rsidP="00944A37">
      <w:pPr>
        <w:rPr>
          <w:rFonts w:cs="Arial"/>
          <w:lang w:val="es-CO"/>
        </w:rPr>
      </w:pPr>
      <w:r w:rsidRPr="00774267">
        <w:rPr>
          <w:rFonts w:cs="Arial"/>
          <w:lang w:val="es-CO"/>
        </w:rPr>
        <w:t>En las consideraciones</w:t>
      </w:r>
      <w:r w:rsidR="00070A2F" w:rsidRPr="00774267">
        <w:rPr>
          <w:rFonts w:cs="Arial"/>
          <w:lang w:val="es-CO"/>
        </w:rPr>
        <w:t xml:space="preserve"> del referido auto</w:t>
      </w:r>
      <w:r w:rsidRPr="00774267">
        <w:rPr>
          <w:rFonts w:cs="Arial"/>
          <w:lang w:val="es-CO"/>
        </w:rPr>
        <w:t xml:space="preserve">, el Tribunal estimó que en ese estado del proceso arbitral no podía tener certeza </w:t>
      </w:r>
      <w:r w:rsidRPr="00774267">
        <w:rPr>
          <w:rFonts w:cs="Arial"/>
          <w:i/>
          <w:lang w:val="es-CO"/>
        </w:rPr>
        <w:t>“sobre la naturaleza ejecutiva de las pretensiones”</w:t>
      </w:r>
      <w:r w:rsidRPr="00774267">
        <w:rPr>
          <w:rStyle w:val="Refdenotaalpie"/>
          <w:rFonts w:cs="Arial"/>
          <w:lang w:val="es-CO"/>
        </w:rPr>
        <w:footnoteReference w:id="16"/>
      </w:r>
      <w:r w:rsidR="00070A2F" w:rsidRPr="00774267">
        <w:rPr>
          <w:rFonts w:cs="Arial"/>
          <w:i/>
          <w:lang w:val="es-CO"/>
        </w:rPr>
        <w:t xml:space="preserve"> </w:t>
      </w:r>
      <w:r w:rsidR="00473199" w:rsidRPr="00774267">
        <w:rPr>
          <w:rFonts w:cs="Arial"/>
          <w:lang w:val="es-CO"/>
        </w:rPr>
        <w:t xml:space="preserve">que según la ANI estaban </w:t>
      </w:r>
      <w:r w:rsidR="00070A2F" w:rsidRPr="00774267">
        <w:rPr>
          <w:rFonts w:cs="Arial"/>
          <w:lang w:val="es-CO"/>
        </w:rPr>
        <w:t>incluidas en el acuerdo conciliatorio</w:t>
      </w:r>
      <w:r w:rsidRPr="00774267">
        <w:rPr>
          <w:rFonts w:cs="Arial"/>
          <w:lang w:val="es-CO"/>
        </w:rPr>
        <w:t>.</w:t>
      </w:r>
    </w:p>
    <w:p w14:paraId="0D8A6DBF" w14:textId="77777777" w:rsidR="00B90466" w:rsidRPr="00774267" w:rsidRDefault="00B90466" w:rsidP="00944A37">
      <w:pPr>
        <w:rPr>
          <w:rFonts w:cs="Arial"/>
          <w:lang w:val="es-CO"/>
        </w:rPr>
      </w:pPr>
    </w:p>
    <w:p w14:paraId="12A0F156" w14:textId="77777777" w:rsidR="008940F3" w:rsidRPr="00774267" w:rsidRDefault="00944A37" w:rsidP="00944A37">
      <w:pPr>
        <w:rPr>
          <w:rFonts w:cs="Arial"/>
          <w:lang w:val="es-CO"/>
        </w:rPr>
      </w:pPr>
      <w:r w:rsidRPr="00774267">
        <w:rPr>
          <w:rFonts w:cs="Arial"/>
          <w:lang w:val="es-CO"/>
        </w:rPr>
        <w:t xml:space="preserve">Consta en el expediente </w:t>
      </w:r>
      <w:proofErr w:type="gramStart"/>
      <w:r w:rsidRPr="00774267">
        <w:rPr>
          <w:rFonts w:cs="Arial"/>
          <w:lang w:val="es-CO"/>
        </w:rPr>
        <w:t>que</w:t>
      </w:r>
      <w:proofErr w:type="gramEnd"/>
      <w:r w:rsidRPr="00774267">
        <w:rPr>
          <w:rFonts w:cs="Arial"/>
          <w:lang w:val="es-CO"/>
        </w:rPr>
        <w:t xml:space="preserve"> en la audiencia de 21 de enero de 2016, la ANI interpuso </w:t>
      </w:r>
      <w:r w:rsidR="00BD06C7" w:rsidRPr="00774267">
        <w:rPr>
          <w:rFonts w:cs="Arial"/>
          <w:lang w:val="es-CO"/>
        </w:rPr>
        <w:t xml:space="preserve">el </w:t>
      </w:r>
      <w:r w:rsidRPr="00774267">
        <w:rPr>
          <w:rFonts w:cs="Arial"/>
          <w:lang w:val="es-CO"/>
        </w:rPr>
        <w:t xml:space="preserve">recurso de reposición contra </w:t>
      </w:r>
      <w:r w:rsidR="00070A2F" w:rsidRPr="00774267">
        <w:rPr>
          <w:rFonts w:cs="Arial"/>
          <w:lang w:val="es-CO"/>
        </w:rPr>
        <w:t>el auto</w:t>
      </w:r>
      <w:r w:rsidR="00473199" w:rsidRPr="00774267">
        <w:rPr>
          <w:rFonts w:cs="Arial"/>
          <w:lang w:val="es-CO"/>
        </w:rPr>
        <w:t xml:space="preserve"> mediante el cual </w:t>
      </w:r>
      <w:r w:rsidR="008940F3" w:rsidRPr="00774267">
        <w:rPr>
          <w:rFonts w:cs="Arial"/>
          <w:lang w:val="es-CO"/>
        </w:rPr>
        <w:t xml:space="preserve">el Tribunal de Arbitramento </w:t>
      </w:r>
      <w:r w:rsidR="00473199" w:rsidRPr="00774267">
        <w:rPr>
          <w:rFonts w:cs="Arial"/>
          <w:lang w:val="es-CO"/>
        </w:rPr>
        <w:t xml:space="preserve">declaró </w:t>
      </w:r>
      <w:r w:rsidR="008940F3" w:rsidRPr="00774267">
        <w:rPr>
          <w:rFonts w:cs="Arial"/>
          <w:lang w:val="es-CO"/>
        </w:rPr>
        <w:t xml:space="preserve">su </w:t>
      </w:r>
      <w:r w:rsidR="00473199" w:rsidRPr="00774267">
        <w:rPr>
          <w:rFonts w:cs="Arial"/>
          <w:lang w:val="es-CO"/>
        </w:rPr>
        <w:t>competencia</w:t>
      </w:r>
      <w:r w:rsidR="008940F3" w:rsidRPr="00774267">
        <w:rPr>
          <w:rFonts w:cs="Arial"/>
          <w:lang w:val="es-CO"/>
        </w:rPr>
        <w:t>.</w:t>
      </w:r>
    </w:p>
    <w:p w14:paraId="43572584" w14:textId="77777777" w:rsidR="00BD06C7" w:rsidRPr="00774267" w:rsidRDefault="00BD06C7" w:rsidP="00944A37">
      <w:pPr>
        <w:rPr>
          <w:rFonts w:cs="Arial"/>
          <w:lang w:val="es-CO"/>
        </w:rPr>
      </w:pPr>
    </w:p>
    <w:p w14:paraId="0147186A" w14:textId="77777777" w:rsidR="00944A37" w:rsidRPr="00774267" w:rsidRDefault="00070A2F" w:rsidP="00944A37">
      <w:pPr>
        <w:rPr>
          <w:rFonts w:cs="Arial"/>
          <w:lang w:val="es-CO"/>
        </w:rPr>
      </w:pPr>
      <w:r w:rsidRPr="00774267">
        <w:rPr>
          <w:rFonts w:cs="Arial"/>
          <w:lang w:val="es-CO"/>
        </w:rPr>
        <w:t>En el recurso de reposición</w:t>
      </w:r>
      <w:r w:rsidR="00D61350" w:rsidRPr="00774267">
        <w:rPr>
          <w:rFonts w:cs="Arial"/>
          <w:lang w:val="es-CO"/>
        </w:rPr>
        <w:t>,</w:t>
      </w:r>
      <w:r w:rsidRPr="00774267">
        <w:rPr>
          <w:rFonts w:cs="Arial"/>
          <w:lang w:val="es-CO"/>
        </w:rPr>
        <w:t xml:space="preserve"> l</w:t>
      </w:r>
      <w:r w:rsidR="00944A37" w:rsidRPr="00774267">
        <w:rPr>
          <w:rFonts w:cs="Arial"/>
          <w:lang w:val="es-CO"/>
        </w:rPr>
        <w:t xml:space="preserve">a ANI invocó la falta de competencia </w:t>
      </w:r>
      <w:r w:rsidRPr="00774267">
        <w:rPr>
          <w:rFonts w:cs="Arial"/>
          <w:lang w:val="es-CO"/>
        </w:rPr>
        <w:t xml:space="preserve">del Tribunal </w:t>
      </w:r>
      <w:r w:rsidR="00473199" w:rsidRPr="00774267">
        <w:rPr>
          <w:rFonts w:cs="Arial"/>
          <w:lang w:val="es-CO"/>
        </w:rPr>
        <w:t xml:space="preserve">de Arbitramento </w:t>
      </w:r>
      <w:r w:rsidR="00944A37" w:rsidRPr="00774267">
        <w:rPr>
          <w:rFonts w:cs="Arial"/>
          <w:lang w:val="es-CO"/>
        </w:rPr>
        <w:t>en cuanto</w:t>
      </w:r>
      <w:r w:rsidRPr="00774267">
        <w:rPr>
          <w:rFonts w:cs="Arial"/>
          <w:lang w:val="es-CO"/>
        </w:rPr>
        <w:t xml:space="preserve"> </w:t>
      </w:r>
      <w:r w:rsidR="00944A37" w:rsidRPr="00774267">
        <w:rPr>
          <w:rFonts w:cs="Arial"/>
          <w:lang w:val="es-CO"/>
        </w:rPr>
        <w:t>a las pretensiones de la convocante relacionadas con el acuerdo conciliatorio de 3 de mayo de 2005</w:t>
      </w:r>
      <w:r w:rsidR="00944A37" w:rsidRPr="00774267">
        <w:rPr>
          <w:rStyle w:val="Refdenotaalpie"/>
          <w:rFonts w:cs="Arial"/>
          <w:lang w:val="es-CO"/>
        </w:rPr>
        <w:footnoteReference w:id="17"/>
      </w:r>
      <w:r w:rsidR="00944A37" w:rsidRPr="00774267">
        <w:rPr>
          <w:rFonts w:cs="Arial"/>
          <w:lang w:val="es-CO"/>
        </w:rPr>
        <w:t xml:space="preserve">. </w:t>
      </w:r>
      <w:r w:rsidR="008940F3" w:rsidRPr="00774267">
        <w:rPr>
          <w:rFonts w:cs="Arial"/>
          <w:lang w:val="es-CO"/>
        </w:rPr>
        <w:t xml:space="preserve">Dicho </w:t>
      </w:r>
      <w:r w:rsidR="00473199" w:rsidRPr="00774267">
        <w:rPr>
          <w:rFonts w:cs="Arial"/>
          <w:lang w:val="es-CO"/>
        </w:rPr>
        <w:t>recurso fue fallado en forma desfavorable a la ANI.</w:t>
      </w:r>
    </w:p>
    <w:p w14:paraId="1F805DB9" w14:textId="77777777" w:rsidR="00473199" w:rsidRPr="00774267" w:rsidRDefault="00473199" w:rsidP="00944A37">
      <w:pPr>
        <w:rPr>
          <w:rFonts w:cs="Arial"/>
          <w:lang w:val="es-CO"/>
        </w:rPr>
      </w:pPr>
    </w:p>
    <w:p w14:paraId="1A983310" w14:textId="77777777" w:rsidR="00DA3381" w:rsidRPr="00774267" w:rsidRDefault="00473199" w:rsidP="00D0441E">
      <w:pPr>
        <w:rPr>
          <w:rFonts w:cs="Arial"/>
          <w:i/>
        </w:rPr>
      </w:pPr>
      <w:r w:rsidRPr="00774267">
        <w:rPr>
          <w:rFonts w:cs="Arial"/>
          <w:lang w:val="es-CO"/>
        </w:rPr>
        <w:t xml:space="preserve">En el expediente obra la prueba de </w:t>
      </w:r>
      <w:r w:rsidR="00944A37" w:rsidRPr="00774267">
        <w:rPr>
          <w:rFonts w:cs="Arial"/>
          <w:lang w:val="es-CO"/>
        </w:rPr>
        <w:t xml:space="preserve">la decisión contenida en </w:t>
      </w:r>
      <w:r w:rsidR="00D45F0D" w:rsidRPr="00774267">
        <w:rPr>
          <w:rFonts w:cs="Arial"/>
          <w:lang w:val="es-CO"/>
        </w:rPr>
        <w:t>A</w:t>
      </w:r>
      <w:r w:rsidR="00944A37" w:rsidRPr="00774267">
        <w:rPr>
          <w:rFonts w:cs="Arial"/>
          <w:lang w:val="es-CO"/>
        </w:rPr>
        <w:t xml:space="preserve">cta </w:t>
      </w:r>
      <w:r w:rsidR="00D45F0D" w:rsidRPr="00774267">
        <w:rPr>
          <w:rFonts w:cs="Arial"/>
          <w:lang w:val="es-CO"/>
        </w:rPr>
        <w:t xml:space="preserve">número </w:t>
      </w:r>
      <w:r w:rsidR="00944A37" w:rsidRPr="00774267">
        <w:rPr>
          <w:rFonts w:cs="Arial"/>
          <w:lang w:val="es-CO"/>
        </w:rPr>
        <w:t>32 de 26 de mayo de 2005</w:t>
      </w:r>
      <w:r w:rsidR="00944A37" w:rsidRPr="00774267">
        <w:rPr>
          <w:rStyle w:val="Refdenotaalpie"/>
          <w:rFonts w:cs="Arial"/>
          <w:lang w:val="es-CO"/>
        </w:rPr>
        <w:footnoteReference w:id="18"/>
      </w:r>
      <w:r w:rsidRPr="00774267">
        <w:rPr>
          <w:rFonts w:cs="Arial"/>
          <w:lang w:val="es-CO"/>
        </w:rPr>
        <w:t>,</w:t>
      </w:r>
      <w:r w:rsidR="00D0441E" w:rsidRPr="00774267">
        <w:rPr>
          <w:rFonts w:cs="Arial"/>
          <w:lang w:val="es-CO"/>
        </w:rPr>
        <w:t xml:space="preserve"> consistente en la aprobación del acuerdo conciliatorio de 3 de mayo de 2005</w:t>
      </w:r>
      <w:r w:rsidR="00D61350" w:rsidRPr="00774267">
        <w:rPr>
          <w:rFonts w:cs="Arial"/>
          <w:lang w:val="es-CO"/>
        </w:rPr>
        <w:t>,</w:t>
      </w:r>
      <w:r w:rsidR="00D0441E" w:rsidRPr="00774267">
        <w:rPr>
          <w:rFonts w:cs="Arial"/>
          <w:lang w:val="es-CO"/>
        </w:rPr>
        <w:t xml:space="preserve"> acordado en otro Tribunal de Arbitramento entre las mismas partes y con relación al mismo contrato de concesión. En </w:t>
      </w:r>
      <w:r w:rsidR="00D45F0D" w:rsidRPr="00774267">
        <w:rPr>
          <w:rFonts w:cs="Arial"/>
          <w:lang w:val="es-CO"/>
        </w:rPr>
        <w:t xml:space="preserve">dicha </w:t>
      </w:r>
      <w:r w:rsidR="00D0441E" w:rsidRPr="00774267">
        <w:rPr>
          <w:rFonts w:cs="Arial"/>
          <w:lang w:val="es-CO"/>
        </w:rPr>
        <w:t xml:space="preserve">acta se </w:t>
      </w:r>
      <w:r w:rsidR="00944A37" w:rsidRPr="00774267">
        <w:rPr>
          <w:rFonts w:cs="Arial"/>
          <w:lang w:val="es-CO"/>
        </w:rPr>
        <w:t xml:space="preserve">declaró terminado el correspondiente proceso arbitral, según consta en la </w:t>
      </w:r>
      <w:r w:rsidR="008940F3" w:rsidRPr="00774267">
        <w:rPr>
          <w:rFonts w:cs="Arial"/>
          <w:lang w:val="es-CO"/>
        </w:rPr>
        <w:t xml:space="preserve">referida </w:t>
      </w:r>
      <w:r w:rsidR="00944A37" w:rsidRPr="00774267">
        <w:rPr>
          <w:rFonts w:cs="Arial"/>
          <w:lang w:val="es-CO"/>
        </w:rPr>
        <w:t>acta</w:t>
      </w:r>
      <w:r w:rsidR="00944A37" w:rsidRPr="00774267">
        <w:rPr>
          <w:rStyle w:val="Refdenotaalpie"/>
          <w:rFonts w:cs="Arial"/>
          <w:lang w:val="es-CO"/>
        </w:rPr>
        <w:footnoteReference w:id="19"/>
      </w:r>
      <w:r w:rsidR="00944A37" w:rsidRPr="00774267">
        <w:rPr>
          <w:rFonts w:cs="Arial"/>
          <w:lang w:val="es-CO"/>
        </w:rPr>
        <w:t>.</w:t>
      </w:r>
      <w:r w:rsidR="00DA3381" w:rsidRPr="00774267">
        <w:rPr>
          <w:rFonts w:cs="Arial"/>
        </w:rPr>
        <w:t xml:space="preserve"> </w:t>
      </w:r>
    </w:p>
    <w:p w14:paraId="5BEBBC46" w14:textId="77777777" w:rsidR="00DA3381" w:rsidRPr="00774267" w:rsidRDefault="00DA3381" w:rsidP="00DA3381">
      <w:pPr>
        <w:pStyle w:val="Continuarlista2"/>
        <w:ind w:left="0"/>
        <w:rPr>
          <w:rFonts w:cs="Arial"/>
          <w:i/>
        </w:rPr>
      </w:pPr>
    </w:p>
    <w:p w14:paraId="7DA2A83F" w14:textId="77777777" w:rsidR="00A27BD8" w:rsidRPr="00774267" w:rsidRDefault="00581169" w:rsidP="002001B2">
      <w:pPr>
        <w:pStyle w:val="Continuarlista2"/>
        <w:ind w:left="0"/>
        <w:rPr>
          <w:rFonts w:cs="Arial"/>
          <w:b/>
        </w:rPr>
      </w:pPr>
      <w:r w:rsidRPr="00774267">
        <w:rPr>
          <w:rFonts w:cs="Arial"/>
          <w:b/>
        </w:rPr>
        <w:t xml:space="preserve">2. </w:t>
      </w:r>
      <w:r w:rsidR="00A27BD8" w:rsidRPr="00774267">
        <w:rPr>
          <w:rFonts w:cs="Arial"/>
          <w:b/>
        </w:rPr>
        <w:t xml:space="preserve">El </w:t>
      </w:r>
      <w:r w:rsidRPr="00774267">
        <w:rPr>
          <w:rFonts w:cs="Arial"/>
          <w:b/>
        </w:rPr>
        <w:t>l</w:t>
      </w:r>
      <w:r w:rsidR="00A27BD8" w:rsidRPr="00774267">
        <w:rPr>
          <w:rFonts w:cs="Arial"/>
          <w:b/>
        </w:rPr>
        <w:t xml:space="preserve">audo </w:t>
      </w:r>
      <w:r w:rsidRPr="00774267">
        <w:rPr>
          <w:rFonts w:cs="Arial"/>
          <w:b/>
        </w:rPr>
        <w:t>a</w:t>
      </w:r>
      <w:r w:rsidR="00A27BD8" w:rsidRPr="00774267">
        <w:rPr>
          <w:rFonts w:cs="Arial"/>
          <w:b/>
        </w:rPr>
        <w:t xml:space="preserve">rbitral </w:t>
      </w:r>
    </w:p>
    <w:p w14:paraId="641D8719" w14:textId="77777777" w:rsidR="00071979" w:rsidRPr="00774267" w:rsidRDefault="00071979" w:rsidP="002001B2">
      <w:pPr>
        <w:pStyle w:val="Continuarlista2"/>
        <w:ind w:left="0"/>
        <w:rPr>
          <w:rFonts w:cs="Arial"/>
        </w:rPr>
      </w:pPr>
    </w:p>
    <w:p w14:paraId="5BD4C0FE" w14:textId="77777777" w:rsidR="001834ED" w:rsidRPr="00774267" w:rsidRDefault="000470F2" w:rsidP="002001B2">
      <w:pPr>
        <w:pStyle w:val="Continuarlista2"/>
        <w:ind w:left="0"/>
        <w:rPr>
          <w:rFonts w:cs="Arial"/>
        </w:rPr>
      </w:pPr>
      <w:r w:rsidRPr="00774267">
        <w:rPr>
          <w:rFonts w:cs="Arial"/>
        </w:rPr>
        <w:t xml:space="preserve">En el </w:t>
      </w:r>
      <w:r w:rsidR="00581169" w:rsidRPr="00774267">
        <w:rPr>
          <w:rFonts w:cs="Arial"/>
        </w:rPr>
        <w:t>l</w:t>
      </w:r>
      <w:r w:rsidRPr="00774267">
        <w:rPr>
          <w:rFonts w:cs="Arial"/>
        </w:rPr>
        <w:t xml:space="preserve">audo </w:t>
      </w:r>
      <w:r w:rsidR="00581169" w:rsidRPr="00774267">
        <w:rPr>
          <w:rFonts w:cs="Arial"/>
        </w:rPr>
        <w:t>a</w:t>
      </w:r>
      <w:r w:rsidRPr="00774267">
        <w:rPr>
          <w:rFonts w:cs="Arial"/>
        </w:rPr>
        <w:t xml:space="preserve">rbitral </w:t>
      </w:r>
      <w:r w:rsidR="00A30C22" w:rsidRPr="00774267">
        <w:rPr>
          <w:rFonts w:cs="Arial"/>
        </w:rPr>
        <w:t xml:space="preserve">proferido el </w:t>
      </w:r>
      <w:r w:rsidR="001834ED" w:rsidRPr="00774267">
        <w:rPr>
          <w:rFonts w:cs="Arial"/>
        </w:rPr>
        <w:t xml:space="preserve">21 de noviembre de 2016, </w:t>
      </w:r>
      <w:r w:rsidRPr="00774267">
        <w:rPr>
          <w:rFonts w:cs="Arial"/>
        </w:rPr>
        <w:t xml:space="preserve">el Tribunal de Arbitramento estudió </w:t>
      </w:r>
      <w:r w:rsidR="005E51E2" w:rsidRPr="00774267">
        <w:rPr>
          <w:rFonts w:cs="Arial"/>
        </w:rPr>
        <w:t xml:space="preserve">y desató </w:t>
      </w:r>
      <w:r w:rsidRPr="00774267">
        <w:rPr>
          <w:rFonts w:cs="Arial"/>
        </w:rPr>
        <w:t>las pre</w:t>
      </w:r>
      <w:r w:rsidR="00306380" w:rsidRPr="00774267">
        <w:rPr>
          <w:rFonts w:cs="Arial"/>
        </w:rPr>
        <w:t>te</w:t>
      </w:r>
      <w:r w:rsidRPr="00774267">
        <w:rPr>
          <w:rFonts w:cs="Arial"/>
        </w:rPr>
        <w:t>nsiones de la demanda</w:t>
      </w:r>
      <w:r w:rsidR="001834ED" w:rsidRPr="00774267">
        <w:rPr>
          <w:rFonts w:cs="Arial"/>
        </w:rPr>
        <w:t xml:space="preserve"> y de la demanda de reconvención.</w:t>
      </w:r>
    </w:p>
    <w:p w14:paraId="0BFCB43B" w14:textId="77777777" w:rsidR="001834ED" w:rsidRPr="00774267" w:rsidRDefault="001834ED" w:rsidP="002001B2">
      <w:pPr>
        <w:pStyle w:val="Continuarlista2"/>
        <w:ind w:left="0"/>
        <w:rPr>
          <w:rFonts w:cs="Arial"/>
        </w:rPr>
      </w:pPr>
    </w:p>
    <w:p w14:paraId="789AFABF" w14:textId="77777777" w:rsidR="001834ED" w:rsidRPr="00774267" w:rsidRDefault="001834ED" w:rsidP="002001B2">
      <w:pPr>
        <w:pStyle w:val="Continuarlista2"/>
        <w:ind w:left="0"/>
        <w:rPr>
          <w:rFonts w:cs="Arial"/>
        </w:rPr>
      </w:pPr>
      <w:r w:rsidRPr="00774267">
        <w:rPr>
          <w:rFonts w:cs="Arial"/>
        </w:rPr>
        <w:t>Las pretensiones de la demandante fueron denegadas</w:t>
      </w:r>
      <w:r w:rsidR="004035E0" w:rsidRPr="00774267">
        <w:rPr>
          <w:rFonts w:cs="Arial"/>
        </w:rPr>
        <w:t xml:space="preserve">. Las pretensiones de </w:t>
      </w:r>
      <w:r w:rsidRPr="00774267">
        <w:rPr>
          <w:rFonts w:cs="Arial"/>
        </w:rPr>
        <w:t>la demandante en reconvención prosperaron, con excepción de la</w:t>
      </w:r>
      <w:r w:rsidR="001A65A1" w:rsidRPr="00774267">
        <w:rPr>
          <w:rFonts w:cs="Arial"/>
        </w:rPr>
        <w:t xml:space="preserve">s referidas al restablecimiento económico y a la </w:t>
      </w:r>
      <w:r w:rsidR="008940F3" w:rsidRPr="00774267">
        <w:rPr>
          <w:rFonts w:cs="Arial"/>
        </w:rPr>
        <w:t>condena a</w:t>
      </w:r>
      <w:r w:rsidR="005E51E2" w:rsidRPr="00774267">
        <w:rPr>
          <w:rFonts w:cs="Arial"/>
        </w:rPr>
        <w:t xml:space="preserve"> cargo de la </w:t>
      </w:r>
      <w:r w:rsidR="008940F3" w:rsidRPr="00774267">
        <w:rPr>
          <w:rFonts w:cs="Arial"/>
        </w:rPr>
        <w:t>concesionari</w:t>
      </w:r>
      <w:r w:rsidR="005E51E2" w:rsidRPr="00774267">
        <w:rPr>
          <w:rFonts w:cs="Arial"/>
        </w:rPr>
        <w:t>a,</w:t>
      </w:r>
      <w:r w:rsidR="008940F3" w:rsidRPr="00774267">
        <w:rPr>
          <w:rFonts w:cs="Arial"/>
        </w:rPr>
        <w:t xml:space="preserve"> </w:t>
      </w:r>
      <w:r w:rsidR="005E51E2" w:rsidRPr="00774267">
        <w:rPr>
          <w:rFonts w:cs="Arial"/>
        </w:rPr>
        <w:t xml:space="preserve">incoada </w:t>
      </w:r>
      <w:r w:rsidR="008940F3" w:rsidRPr="00774267">
        <w:rPr>
          <w:rFonts w:cs="Arial"/>
        </w:rPr>
        <w:t xml:space="preserve">por concepto del </w:t>
      </w:r>
      <w:r w:rsidRPr="00774267">
        <w:rPr>
          <w:rFonts w:cs="Arial"/>
        </w:rPr>
        <w:t>reintegro de las sumas correspondientes a la diferencia entre el IMG (ingreso mínimo garantizado) y el valor máximo aportante</w:t>
      </w:r>
      <w:r w:rsidR="001A65A1" w:rsidRPr="00774267">
        <w:rPr>
          <w:rStyle w:val="Refdenotaalpie"/>
          <w:rFonts w:cs="Arial"/>
        </w:rPr>
        <w:footnoteReference w:id="20"/>
      </w:r>
      <w:r w:rsidRPr="00774267">
        <w:rPr>
          <w:rFonts w:cs="Arial"/>
        </w:rPr>
        <w:t>.</w:t>
      </w:r>
    </w:p>
    <w:p w14:paraId="6C925DE1" w14:textId="77777777" w:rsidR="001834ED" w:rsidRPr="00774267" w:rsidRDefault="001834ED" w:rsidP="002001B2">
      <w:pPr>
        <w:pStyle w:val="Continuarlista2"/>
        <w:ind w:left="0"/>
        <w:rPr>
          <w:rFonts w:cs="Arial"/>
        </w:rPr>
      </w:pPr>
    </w:p>
    <w:p w14:paraId="4628818A" w14:textId="77777777" w:rsidR="001834ED" w:rsidRPr="00774267" w:rsidRDefault="001834ED" w:rsidP="002001B2">
      <w:pPr>
        <w:pStyle w:val="Continuarlista2"/>
        <w:ind w:left="0"/>
        <w:rPr>
          <w:rFonts w:cs="Arial"/>
        </w:rPr>
      </w:pPr>
      <w:r w:rsidRPr="00774267">
        <w:rPr>
          <w:rFonts w:cs="Arial"/>
        </w:rPr>
        <w:t xml:space="preserve">Acerca de su competencia, </w:t>
      </w:r>
      <w:r w:rsidR="005E51E2" w:rsidRPr="00774267">
        <w:rPr>
          <w:rFonts w:cs="Arial"/>
        </w:rPr>
        <w:t>en el laudo arbitral, e</w:t>
      </w:r>
      <w:r w:rsidRPr="00774267">
        <w:rPr>
          <w:rFonts w:cs="Arial"/>
        </w:rPr>
        <w:t xml:space="preserve">l Tribunal de Arbitramento </w:t>
      </w:r>
      <w:r w:rsidR="00BA2D44" w:rsidRPr="00774267">
        <w:rPr>
          <w:rFonts w:cs="Arial"/>
        </w:rPr>
        <w:t xml:space="preserve">consideró que los asuntos sometidos a su conocimiento </w:t>
      </w:r>
      <w:r w:rsidRPr="00774267">
        <w:rPr>
          <w:rFonts w:cs="Arial"/>
        </w:rPr>
        <w:t xml:space="preserve">por virtud de la </w:t>
      </w:r>
      <w:r w:rsidR="00BA2D44" w:rsidRPr="00774267">
        <w:rPr>
          <w:rFonts w:cs="Arial"/>
        </w:rPr>
        <w:t xml:space="preserve">demanda inicial no correspondían a los que fueron resueltos en el </w:t>
      </w:r>
      <w:r w:rsidR="005E51E2" w:rsidRPr="00774267">
        <w:rPr>
          <w:rFonts w:cs="Arial"/>
        </w:rPr>
        <w:t>acuerdo conciliatorio</w:t>
      </w:r>
      <w:r w:rsidR="005B197D" w:rsidRPr="00774267">
        <w:rPr>
          <w:rFonts w:cs="Arial"/>
        </w:rPr>
        <w:t xml:space="preserve">, </w:t>
      </w:r>
      <w:r w:rsidR="005B197D" w:rsidRPr="00774267">
        <w:rPr>
          <w:rFonts w:cs="Arial"/>
          <w:i/>
        </w:rPr>
        <w:t xml:space="preserve">“toda vez que no fue acreditado que en este último la ANI haya adquirido la obligación de pagar costos de financiación sobre las órdenes de pago” </w:t>
      </w:r>
      <w:r w:rsidR="005B197D" w:rsidRPr="00774267">
        <w:rPr>
          <w:rFonts w:cs="Arial"/>
        </w:rPr>
        <w:t>a las que se refirió la demanda</w:t>
      </w:r>
      <w:r w:rsidR="005B197D" w:rsidRPr="00774267">
        <w:rPr>
          <w:rStyle w:val="Refdenotaalpie"/>
          <w:rFonts w:cs="Arial"/>
        </w:rPr>
        <w:footnoteReference w:id="21"/>
      </w:r>
      <w:r w:rsidR="006609BF" w:rsidRPr="00774267">
        <w:rPr>
          <w:rFonts w:cs="Arial"/>
        </w:rPr>
        <w:t xml:space="preserve">. </w:t>
      </w:r>
    </w:p>
    <w:p w14:paraId="1AFE6E44" w14:textId="77777777" w:rsidR="001834ED" w:rsidRPr="00774267" w:rsidRDefault="001834ED" w:rsidP="002001B2">
      <w:pPr>
        <w:pStyle w:val="Continuarlista2"/>
        <w:ind w:left="0"/>
        <w:rPr>
          <w:rFonts w:cs="Arial"/>
        </w:rPr>
      </w:pPr>
    </w:p>
    <w:p w14:paraId="2DD8E618" w14:textId="77777777" w:rsidR="006609BF" w:rsidRPr="00774267" w:rsidRDefault="006609BF" w:rsidP="002001B2">
      <w:pPr>
        <w:pStyle w:val="Continuarlista2"/>
        <w:ind w:left="0"/>
        <w:rPr>
          <w:rFonts w:cs="Arial"/>
        </w:rPr>
      </w:pPr>
      <w:r w:rsidRPr="00774267">
        <w:rPr>
          <w:rFonts w:cs="Arial"/>
        </w:rPr>
        <w:t xml:space="preserve">Por otra parte, respecto de los asuntos </w:t>
      </w:r>
      <w:r w:rsidR="001834ED" w:rsidRPr="00774267">
        <w:rPr>
          <w:rFonts w:cs="Arial"/>
        </w:rPr>
        <w:t xml:space="preserve">que sí consideró </w:t>
      </w:r>
      <w:r w:rsidRPr="00774267">
        <w:rPr>
          <w:rFonts w:cs="Arial"/>
        </w:rPr>
        <w:t xml:space="preserve">contenidos en el </w:t>
      </w:r>
      <w:r w:rsidR="001834ED" w:rsidRPr="00774267">
        <w:rPr>
          <w:rFonts w:cs="Arial"/>
        </w:rPr>
        <w:t>acuerdo c</w:t>
      </w:r>
      <w:r w:rsidRPr="00774267">
        <w:rPr>
          <w:rFonts w:cs="Arial"/>
        </w:rPr>
        <w:t>onciliatorio</w:t>
      </w:r>
      <w:r w:rsidR="001834ED" w:rsidRPr="00774267">
        <w:rPr>
          <w:rFonts w:cs="Arial"/>
        </w:rPr>
        <w:t>,</w:t>
      </w:r>
      <w:r w:rsidRPr="00774267">
        <w:rPr>
          <w:rFonts w:cs="Arial"/>
        </w:rPr>
        <w:t xml:space="preserve"> el </w:t>
      </w:r>
      <w:r w:rsidR="00562FDB" w:rsidRPr="00774267">
        <w:rPr>
          <w:rFonts w:cs="Arial"/>
        </w:rPr>
        <w:t xml:space="preserve">Tribunal de Arbitramento </w:t>
      </w:r>
      <w:r w:rsidR="007E2686" w:rsidRPr="00774267">
        <w:rPr>
          <w:rFonts w:cs="Arial"/>
        </w:rPr>
        <w:t xml:space="preserve">reconoció </w:t>
      </w:r>
      <w:r w:rsidRPr="00774267">
        <w:rPr>
          <w:rFonts w:cs="Arial"/>
        </w:rPr>
        <w:t xml:space="preserve">que </w:t>
      </w:r>
      <w:r w:rsidR="001834ED" w:rsidRPr="00774267">
        <w:rPr>
          <w:rFonts w:cs="Arial"/>
        </w:rPr>
        <w:t xml:space="preserve">el mismo </w:t>
      </w:r>
      <w:r w:rsidRPr="00774267">
        <w:rPr>
          <w:rFonts w:cs="Arial"/>
        </w:rPr>
        <w:t>hizo tránsito a cosa juzgada.</w:t>
      </w:r>
    </w:p>
    <w:p w14:paraId="74FFF3D1" w14:textId="77777777" w:rsidR="006609BF" w:rsidRPr="00774267" w:rsidRDefault="006609BF" w:rsidP="002001B2">
      <w:pPr>
        <w:pStyle w:val="Continuarlista2"/>
        <w:ind w:left="0"/>
        <w:rPr>
          <w:rFonts w:cs="Arial"/>
        </w:rPr>
      </w:pPr>
    </w:p>
    <w:p w14:paraId="1A39959C" w14:textId="77777777" w:rsidR="00B65003" w:rsidRPr="00774267" w:rsidRDefault="00335491" w:rsidP="002001B2">
      <w:pPr>
        <w:pStyle w:val="Continuarlista2"/>
        <w:ind w:left="0"/>
        <w:rPr>
          <w:rFonts w:cs="Arial"/>
          <w:i/>
        </w:rPr>
      </w:pPr>
      <w:r w:rsidRPr="00774267">
        <w:rPr>
          <w:rFonts w:cs="Arial"/>
        </w:rPr>
        <w:lastRenderedPageBreak/>
        <w:t xml:space="preserve">En relación con la demanda de reconvención, </w:t>
      </w:r>
      <w:r w:rsidR="0012755A" w:rsidRPr="00774267">
        <w:rPr>
          <w:rFonts w:cs="Arial"/>
        </w:rPr>
        <w:t>e</w:t>
      </w:r>
      <w:r w:rsidRPr="00774267">
        <w:rPr>
          <w:rFonts w:cs="Arial"/>
        </w:rPr>
        <w:t xml:space="preserve">l Tribunal de Arbitramento concluyó que </w:t>
      </w:r>
      <w:r w:rsidR="00401365" w:rsidRPr="00774267">
        <w:rPr>
          <w:rFonts w:cs="Arial"/>
        </w:rPr>
        <w:t xml:space="preserve">en el </w:t>
      </w:r>
      <w:r w:rsidR="007272FA" w:rsidRPr="00774267">
        <w:rPr>
          <w:rFonts w:cs="Arial"/>
        </w:rPr>
        <w:t>O</w:t>
      </w:r>
      <w:r w:rsidR="00401365" w:rsidRPr="00774267">
        <w:rPr>
          <w:rFonts w:cs="Arial"/>
        </w:rPr>
        <w:t>trosí de enero 30 de 2014 las partes eliminaron las garantías de tráfico</w:t>
      </w:r>
      <w:r w:rsidR="007E2686" w:rsidRPr="00774267">
        <w:rPr>
          <w:rFonts w:cs="Arial"/>
        </w:rPr>
        <w:t>. N</w:t>
      </w:r>
      <w:r w:rsidR="00401365" w:rsidRPr="00774267">
        <w:rPr>
          <w:rFonts w:cs="Arial"/>
        </w:rPr>
        <w:t>o obstante</w:t>
      </w:r>
      <w:r w:rsidR="005B4260" w:rsidRPr="00774267">
        <w:rPr>
          <w:rFonts w:cs="Arial"/>
        </w:rPr>
        <w:t>,</w:t>
      </w:r>
      <w:r w:rsidR="007E2686" w:rsidRPr="00774267">
        <w:rPr>
          <w:rFonts w:cs="Arial"/>
        </w:rPr>
        <w:t xml:space="preserve"> se consideró que</w:t>
      </w:r>
      <w:r w:rsidR="00401365" w:rsidRPr="00774267">
        <w:rPr>
          <w:rFonts w:cs="Arial"/>
        </w:rPr>
        <w:t xml:space="preserve"> </w:t>
      </w:r>
      <w:r w:rsidRPr="00774267">
        <w:rPr>
          <w:rFonts w:cs="Arial"/>
          <w:i/>
        </w:rPr>
        <w:t xml:space="preserve">“al hacer referencia a la TIR pactada, las partes ratificaron en el Otrosí aquí estudiado </w:t>
      </w:r>
      <w:r w:rsidRPr="00774267">
        <w:rPr>
          <w:rFonts w:cs="Arial"/>
        </w:rPr>
        <w:t>[</w:t>
      </w:r>
      <w:r w:rsidR="0012755A" w:rsidRPr="00774267">
        <w:rPr>
          <w:rFonts w:cs="Arial"/>
        </w:rPr>
        <w:t>otros</w:t>
      </w:r>
      <w:r w:rsidR="007E2686" w:rsidRPr="00774267">
        <w:rPr>
          <w:rFonts w:cs="Arial"/>
        </w:rPr>
        <w:t>í</w:t>
      </w:r>
      <w:r w:rsidR="0012755A" w:rsidRPr="00774267">
        <w:rPr>
          <w:rFonts w:cs="Arial"/>
        </w:rPr>
        <w:t xml:space="preserve"> </w:t>
      </w:r>
      <w:r w:rsidRPr="00774267">
        <w:rPr>
          <w:rFonts w:cs="Arial"/>
        </w:rPr>
        <w:t>de 30 de e</w:t>
      </w:r>
      <w:r w:rsidR="00B65003" w:rsidRPr="00774267">
        <w:rPr>
          <w:rFonts w:cs="Arial"/>
        </w:rPr>
        <w:t>nero</w:t>
      </w:r>
      <w:r w:rsidRPr="00774267">
        <w:rPr>
          <w:rFonts w:cs="Arial"/>
        </w:rPr>
        <w:t xml:space="preserve"> de 2014]</w:t>
      </w:r>
      <w:r w:rsidR="00B65003" w:rsidRPr="00774267">
        <w:rPr>
          <w:rFonts w:cs="Arial"/>
          <w:i/>
        </w:rPr>
        <w:t xml:space="preserve"> que los ingresos de la concesión continuarían imputándose hasta que se alcanzara la misma”</w:t>
      </w:r>
      <w:r w:rsidR="00B65003" w:rsidRPr="00774267">
        <w:rPr>
          <w:rStyle w:val="Refdenotaalpie"/>
          <w:rFonts w:cs="Arial"/>
          <w:i/>
        </w:rPr>
        <w:footnoteReference w:id="22"/>
      </w:r>
      <w:r w:rsidR="00B65003" w:rsidRPr="00774267">
        <w:rPr>
          <w:rFonts w:cs="Arial"/>
          <w:i/>
        </w:rPr>
        <w:t xml:space="preserve">. </w:t>
      </w:r>
    </w:p>
    <w:p w14:paraId="2E2D3EBD" w14:textId="77777777" w:rsidR="00B65003" w:rsidRPr="00774267" w:rsidRDefault="00B65003" w:rsidP="002001B2">
      <w:pPr>
        <w:pStyle w:val="Continuarlista2"/>
        <w:ind w:left="0"/>
        <w:rPr>
          <w:rFonts w:cs="Arial"/>
        </w:rPr>
      </w:pPr>
    </w:p>
    <w:p w14:paraId="18CCB3ED" w14:textId="77777777" w:rsidR="0012755A" w:rsidRPr="00774267" w:rsidRDefault="00E1225C" w:rsidP="002001B2">
      <w:pPr>
        <w:pStyle w:val="Continuarlista2"/>
        <w:ind w:left="0"/>
        <w:rPr>
          <w:rFonts w:cs="Arial"/>
        </w:rPr>
      </w:pPr>
      <w:r w:rsidRPr="00774267">
        <w:rPr>
          <w:rFonts w:cs="Arial"/>
        </w:rPr>
        <w:t>El Tribunal de Arbitramento concluyó que no prosperaban las preten</w:t>
      </w:r>
      <w:r w:rsidR="002D67C6" w:rsidRPr="00774267">
        <w:rPr>
          <w:rFonts w:cs="Arial"/>
        </w:rPr>
        <w:t>s</w:t>
      </w:r>
      <w:r w:rsidRPr="00774267">
        <w:rPr>
          <w:rFonts w:cs="Arial"/>
        </w:rPr>
        <w:t>iones cuarta, sexta y séptima de la demanda de reconvención</w:t>
      </w:r>
      <w:r w:rsidR="001E76FA" w:rsidRPr="00774267">
        <w:rPr>
          <w:rFonts w:cs="Arial"/>
        </w:rPr>
        <w:t>,</w:t>
      </w:r>
      <w:r w:rsidRPr="00774267">
        <w:rPr>
          <w:rFonts w:cs="Arial"/>
        </w:rPr>
        <w:t xml:space="preserve"> </w:t>
      </w:r>
      <w:r w:rsidR="002D67C6" w:rsidRPr="00774267">
        <w:rPr>
          <w:rFonts w:cs="Arial"/>
        </w:rPr>
        <w:t xml:space="preserve">toda vez </w:t>
      </w:r>
      <w:proofErr w:type="gramStart"/>
      <w:r w:rsidR="002D67C6" w:rsidRPr="00774267">
        <w:rPr>
          <w:rFonts w:cs="Arial"/>
        </w:rPr>
        <w:t xml:space="preserve">que </w:t>
      </w:r>
      <w:r w:rsidRPr="00774267">
        <w:rPr>
          <w:rFonts w:cs="Arial"/>
        </w:rPr>
        <w:t xml:space="preserve"> </w:t>
      </w:r>
      <w:r w:rsidR="002D67C6" w:rsidRPr="00774267">
        <w:rPr>
          <w:rFonts w:cs="Arial"/>
        </w:rPr>
        <w:t>los</w:t>
      </w:r>
      <w:proofErr w:type="gramEnd"/>
      <w:r w:rsidR="002D67C6" w:rsidRPr="00774267">
        <w:rPr>
          <w:rFonts w:cs="Arial"/>
        </w:rPr>
        <w:t xml:space="preserve"> ingresos comprendidos entre el IMG y el Máximo Aportante se entrega</w:t>
      </w:r>
      <w:r w:rsidR="001E76FA" w:rsidRPr="00774267">
        <w:rPr>
          <w:rFonts w:cs="Arial"/>
        </w:rPr>
        <w:t>ron</w:t>
      </w:r>
      <w:r w:rsidR="002D67C6" w:rsidRPr="00774267">
        <w:rPr>
          <w:rFonts w:cs="Arial"/>
        </w:rPr>
        <w:t xml:space="preserve"> al concesionario a título de pago</w:t>
      </w:r>
      <w:r w:rsidR="001E76FA" w:rsidRPr="00774267">
        <w:rPr>
          <w:rFonts w:cs="Arial"/>
        </w:rPr>
        <w:t xml:space="preserve">. </w:t>
      </w:r>
    </w:p>
    <w:p w14:paraId="001F47B8" w14:textId="77777777" w:rsidR="0012755A" w:rsidRPr="00774267" w:rsidRDefault="0012755A" w:rsidP="002001B2">
      <w:pPr>
        <w:pStyle w:val="Continuarlista2"/>
        <w:ind w:left="0"/>
        <w:rPr>
          <w:rFonts w:cs="Arial"/>
        </w:rPr>
      </w:pPr>
    </w:p>
    <w:p w14:paraId="4B0F0F4C" w14:textId="77777777" w:rsidR="002D67C6" w:rsidRPr="00774267" w:rsidRDefault="007E2686" w:rsidP="002001B2">
      <w:pPr>
        <w:pStyle w:val="Continuarlista2"/>
        <w:ind w:left="0"/>
        <w:rPr>
          <w:rFonts w:cs="Arial"/>
        </w:rPr>
      </w:pPr>
      <w:r w:rsidRPr="00774267">
        <w:rPr>
          <w:rFonts w:cs="Arial"/>
        </w:rPr>
        <w:t>Como consecuencia, en</w:t>
      </w:r>
      <w:r w:rsidR="0012755A" w:rsidRPr="00774267">
        <w:rPr>
          <w:rFonts w:cs="Arial"/>
        </w:rPr>
        <w:t xml:space="preserve"> el laudo arbitral se </w:t>
      </w:r>
      <w:r w:rsidR="001E76FA" w:rsidRPr="00774267">
        <w:rPr>
          <w:rFonts w:cs="Arial"/>
        </w:rPr>
        <w:t xml:space="preserve">concluyó </w:t>
      </w:r>
      <w:r w:rsidR="002D67C6" w:rsidRPr="00774267">
        <w:rPr>
          <w:rFonts w:cs="Arial"/>
        </w:rPr>
        <w:t>que la concesionaria no estaba obligada a incorporar</w:t>
      </w:r>
      <w:r w:rsidR="001E76FA" w:rsidRPr="00774267">
        <w:rPr>
          <w:rFonts w:cs="Arial"/>
        </w:rPr>
        <w:t xml:space="preserve"> dichos ingresos </w:t>
      </w:r>
      <w:r w:rsidR="002D67C6" w:rsidRPr="00774267">
        <w:rPr>
          <w:rFonts w:cs="Arial"/>
        </w:rPr>
        <w:t>al modelo financiero</w:t>
      </w:r>
      <w:r w:rsidR="005B4260" w:rsidRPr="00774267">
        <w:rPr>
          <w:rFonts w:cs="Arial"/>
        </w:rPr>
        <w:t>,</w:t>
      </w:r>
      <w:r w:rsidR="002D67C6" w:rsidRPr="00774267">
        <w:rPr>
          <w:rFonts w:cs="Arial"/>
        </w:rPr>
        <w:t xml:space="preserve"> </w:t>
      </w:r>
      <w:r w:rsidR="00DC1708" w:rsidRPr="00774267">
        <w:rPr>
          <w:rFonts w:cs="Arial"/>
        </w:rPr>
        <w:t xml:space="preserve">a título de </w:t>
      </w:r>
      <w:r w:rsidR="002D67C6" w:rsidRPr="00774267">
        <w:rPr>
          <w:rFonts w:cs="Arial"/>
        </w:rPr>
        <w:t>restableci</w:t>
      </w:r>
      <w:r w:rsidR="009742DA" w:rsidRPr="00774267">
        <w:rPr>
          <w:rFonts w:cs="Arial"/>
        </w:rPr>
        <w:t xml:space="preserve">miento de </w:t>
      </w:r>
      <w:r w:rsidR="002D67C6" w:rsidRPr="00774267">
        <w:rPr>
          <w:rFonts w:cs="Arial"/>
        </w:rPr>
        <w:t xml:space="preserve">la ecuación económica </w:t>
      </w:r>
      <w:r w:rsidR="009742DA" w:rsidRPr="00774267">
        <w:rPr>
          <w:rFonts w:cs="Arial"/>
        </w:rPr>
        <w:t xml:space="preserve">a favor de la </w:t>
      </w:r>
      <w:r w:rsidR="002D67C6" w:rsidRPr="00774267">
        <w:rPr>
          <w:rFonts w:cs="Arial"/>
        </w:rPr>
        <w:t>ANI</w:t>
      </w:r>
      <w:r w:rsidR="002D67C6" w:rsidRPr="00774267">
        <w:rPr>
          <w:rStyle w:val="Refdenotaalpie"/>
          <w:rFonts w:cs="Arial"/>
        </w:rPr>
        <w:footnoteReference w:id="23"/>
      </w:r>
      <w:r w:rsidR="002D67C6" w:rsidRPr="00774267">
        <w:rPr>
          <w:rFonts w:cs="Arial"/>
        </w:rPr>
        <w:t>.</w:t>
      </w:r>
    </w:p>
    <w:p w14:paraId="1BCAABF5" w14:textId="77777777" w:rsidR="002D67C6" w:rsidRPr="00774267" w:rsidRDefault="002D67C6" w:rsidP="002001B2">
      <w:pPr>
        <w:pStyle w:val="Continuarlista2"/>
        <w:ind w:left="0"/>
        <w:rPr>
          <w:rFonts w:cs="Arial"/>
        </w:rPr>
      </w:pPr>
    </w:p>
    <w:p w14:paraId="49339398" w14:textId="77777777" w:rsidR="003658E1" w:rsidRPr="00774267" w:rsidRDefault="00A37FB6" w:rsidP="002001B2">
      <w:pPr>
        <w:pStyle w:val="Continuarlista2"/>
        <w:ind w:left="0"/>
        <w:rPr>
          <w:rFonts w:cs="Arial"/>
          <w:b/>
        </w:rPr>
      </w:pPr>
      <w:r w:rsidRPr="00774267">
        <w:rPr>
          <w:rFonts w:cs="Arial"/>
          <w:b/>
        </w:rPr>
        <w:t xml:space="preserve">3. </w:t>
      </w:r>
      <w:r w:rsidR="00F52B7A" w:rsidRPr="00774267">
        <w:rPr>
          <w:rFonts w:cs="Arial"/>
          <w:b/>
        </w:rPr>
        <w:t xml:space="preserve">El </w:t>
      </w:r>
      <w:r w:rsidR="00E017AC" w:rsidRPr="00774267">
        <w:rPr>
          <w:rFonts w:cs="Arial"/>
          <w:b/>
        </w:rPr>
        <w:t>r</w:t>
      </w:r>
      <w:r w:rsidR="00F52B7A" w:rsidRPr="00774267">
        <w:rPr>
          <w:rFonts w:cs="Arial"/>
          <w:b/>
        </w:rPr>
        <w:t xml:space="preserve">ecurso de </w:t>
      </w:r>
      <w:r w:rsidR="00E017AC" w:rsidRPr="00774267">
        <w:rPr>
          <w:rFonts w:cs="Arial"/>
          <w:b/>
        </w:rPr>
        <w:t>a</w:t>
      </w:r>
      <w:r w:rsidR="00F52B7A" w:rsidRPr="00774267">
        <w:rPr>
          <w:rFonts w:cs="Arial"/>
          <w:b/>
        </w:rPr>
        <w:t>nulación</w:t>
      </w:r>
    </w:p>
    <w:p w14:paraId="5AB213E5" w14:textId="77777777" w:rsidR="00BC7127" w:rsidRPr="00774267" w:rsidRDefault="00BC7127" w:rsidP="00BC7127">
      <w:pPr>
        <w:pStyle w:val="Continuarlista2"/>
        <w:ind w:left="0"/>
        <w:rPr>
          <w:rFonts w:cs="Arial"/>
        </w:rPr>
      </w:pPr>
    </w:p>
    <w:p w14:paraId="7CB224AF" w14:textId="77777777" w:rsidR="00BC7127" w:rsidRPr="00774267" w:rsidRDefault="0012755A" w:rsidP="00BC7127">
      <w:pPr>
        <w:pStyle w:val="Continuarlista2"/>
        <w:ind w:left="0"/>
        <w:rPr>
          <w:rFonts w:cs="Arial"/>
        </w:rPr>
      </w:pPr>
      <w:r w:rsidRPr="00774267">
        <w:rPr>
          <w:rFonts w:cs="Arial"/>
        </w:rPr>
        <w:t xml:space="preserve">La ANI </w:t>
      </w:r>
      <w:r w:rsidR="00BC7127" w:rsidRPr="00774267">
        <w:rPr>
          <w:rFonts w:cs="Arial"/>
        </w:rPr>
        <w:t xml:space="preserve">interpuso y sustentó el recurso </w:t>
      </w:r>
      <w:r w:rsidR="00306380" w:rsidRPr="00774267">
        <w:rPr>
          <w:rFonts w:cs="Arial"/>
        </w:rPr>
        <w:t xml:space="preserve">extraordinario </w:t>
      </w:r>
      <w:r w:rsidR="00BC7127" w:rsidRPr="00774267">
        <w:rPr>
          <w:rFonts w:cs="Arial"/>
        </w:rPr>
        <w:t xml:space="preserve">de anulación contra el laudo </w:t>
      </w:r>
      <w:proofErr w:type="spellStart"/>
      <w:r w:rsidR="00BC7127" w:rsidRPr="00774267">
        <w:rPr>
          <w:rFonts w:cs="Arial"/>
        </w:rPr>
        <w:t>arbitraI</w:t>
      </w:r>
      <w:proofErr w:type="spellEnd"/>
      <w:r w:rsidR="00306380" w:rsidRPr="00774267">
        <w:rPr>
          <w:rFonts w:cs="Arial"/>
        </w:rPr>
        <w:t>,</w:t>
      </w:r>
      <w:r w:rsidR="00BC7127" w:rsidRPr="00774267">
        <w:rPr>
          <w:rFonts w:cs="Arial"/>
        </w:rPr>
        <w:t xml:space="preserve"> </w:t>
      </w:r>
      <w:r w:rsidR="00531D83" w:rsidRPr="00774267">
        <w:rPr>
          <w:rFonts w:cs="Arial"/>
        </w:rPr>
        <w:t xml:space="preserve">dentro del plazo </w:t>
      </w:r>
      <w:r w:rsidR="00BC7127" w:rsidRPr="00774267">
        <w:rPr>
          <w:rFonts w:cs="Arial"/>
        </w:rPr>
        <w:t>previst</w:t>
      </w:r>
      <w:r w:rsidR="00531D83" w:rsidRPr="00774267">
        <w:rPr>
          <w:rFonts w:cs="Arial"/>
        </w:rPr>
        <w:t>o</w:t>
      </w:r>
      <w:r w:rsidR="00BC7127" w:rsidRPr="00774267">
        <w:rPr>
          <w:rFonts w:cs="Arial"/>
        </w:rPr>
        <w:t xml:space="preserve"> en el artículo 40 de la Ley 1563 de 2012</w:t>
      </w:r>
      <w:r w:rsidR="00BC7127" w:rsidRPr="00774267">
        <w:rPr>
          <w:rStyle w:val="Refdenotaalpie"/>
          <w:rFonts w:cs="Arial"/>
        </w:rPr>
        <w:footnoteReference w:id="24"/>
      </w:r>
      <w:r w:rsidR="00BC7127" w:rsidRPr="00774267">
        <w:rPr>
          <w:rFonts w:cs="Arial"/>
        </w:rPr>
        <w:t>.</w:t>
      </w:r>
    </w:p>
    <w:p w14:paraId="59364E60" w14:textId="77777777" w:rsidR="00734D8E" w:rsidRPr="00774267" w:rsidRDefault="00734D8E" w:rsidP="00EF3E00">
      <w:pPr>
        <w:pStyle w:val="Continuarlista2"/>
        <w:ind w:left="0"/>
        <w:rPr>
          <w:rFonts w:cs="Arial"/>
        </w:rPr>
      </w:pPr>
    </w:p>
    <w:p w14:paraId="13699C02" w14:textId="77777777" w:rsidR="0035360E" w:rsidRPr="00774267" w:rsidRDefault="00C210C0" w:rsidP="00EF3E00">
      <w:pPr>
        <w:pStyle w:val="Continuarlista2"/>
        <w:ind w:left="0"/>
        <w:rPr>
          <w:rFonts w:cs="Arial"/>
        </w:rPr>
      </w:pPr>
      <w:r w:rsidRPr="00774267">
        <w:rPr>
          <w:rFonts w:cs="Arial"/>
        </w:rPr>
        <w:t xml:space="preserve">El </w:t>
      </w:r>
      <w:r w:rsidR="0035360E" w:rsidRPr="00774267">
        <w:rPr>
          <w:rFonts w:cs="Arial"/>
        </w:rPr>
        <w:t>M</w:t>
      </w:r>
      <w:r w:rsidRPr="00774267">
        <w:rPr>
          <w:rFonts w:cs="Arial"/>
        </w:rPr>
        <w:t>inisterio Públic</w:t>
      </w:r>
      <w:r w:rsidR="0035360E" w:rsidRPr="00774267">
        <w:rPr>
          <w:rFonts w:cs="Arial"/>
        </w:rPr>
        <w:t xml:space="preserve">o y la Agencia Nacional de Defensa Jurídica </w:t>
      </w:r>
      <w:r w:rsidR="00FF39D1" w:rsidRPr="00774267">
        <w:rPr>
          <w:rFonts w:cs="Arial"/>
        </w:rPr>
        <w:t xml:space="preserve">del Estado </w:t>
      </w:r>
      <w:r w:rsidR="0035360E" w:rsidRPr="00774267">
        <w:rPr>
          <w:rFonts w:cs="Arial"/>
        </w:rPr>
        <w:t xml:space="preserve">guardaron silencio en su oportunidad. </w:t>
      </w:r>
    </w:p>
    <w:p w14:paraId="5592B81D" w14:textId="77777777" w:rsidR="0035360E" w:rsidRPr="00774267" w:rsidRDefault="006A28A0" w:rsidP="00EF3E00">
      <w:pPr>
        <w:pStyle w:val="NormalWeb"/>
        <w:shd w:val="clear" w:color="auto" w:fill="FFFFFF"/>
        <w:jc w:val="center"/>
        <w:rPr>
          <w:rFonts w:cs="Arial"/>
          <w:b/>
        </w:rPr>
      </w:pPr>
      <w:r w:rsidRPr="00774267">
        <w:rPr>
          <w:rFonts w:cs="Arial"/>
          <w:b/>
        </w:rPr>
        <w:t>II</w:t>
      </w:r>
      <w:r w:rsidR="00EF3E00" w:rsidRPr="00774267">
        <w:rPr>
          <w:rFonts w:cs="Arial"/>
          <w:b/>
        </w:rPr>
        <w:t>.- C O N S I D E R A C I O N E S</w:t>
      </w:r>
    </w:p>
    <w:p w14:paraId="78AE23FF" w14:textId="77777777" w:rsidR="003C406F" w:rsidRPr="00774267" w:rsidRDefault="003C406F" w:rsidP="00373384">
      <w:pPr>
        <w:pStyle w:val="Continuarlista2"/>
        <w:ind w:left="0"/>
        <w:rPr>
          <w:rFonts w:cs="Arial"/>
        </w:rPr>
      </w:pPr>
      <w:r w:rsidRPr="00774267">
        <w:rPr>
          <w:rFonts w:cs="Arial"/>
        </w:rPr>
        <w:t xml:space="preserve">La Sala verificará </w:t>
      </w:r>
      <w:r w:rsidR="00531D83" w:rsidRPr="00774267">
        <w:rPr>
          <w:rFonts w:cs="Arial"/>
        </w:rPr>
        <w:t>la jurisdicción y competencia para conocer del recurso de anulación contra el laudo arbitral</w:t>
      </w:r>
      <w:r w:rsidRPr="00774267">
        <w:rPr>
          <w:rFonts w:cs="Arial"/>
        </w:rPr>
        <w:t xml:space="preserve"> y pasará al estudio de cada una de las causales invocadas</w:t>
      </w:r>
      <w:r w:rsidR="00FF39D1" w:rsidRPr="00774267">
        <w:rPr>
          <w:rFonts w:cs="Arial"/>
        </w:rPr>
        <w:t>,</w:t>
      </w:r>
      <w:r w:rsidRPr="00774267">
        <w:rPr>
          <w:rFonts w:cs="Arial"/>
        </w:rPr>
        <w:t xml:space="preserve"> a</w:t>
      </w:r>
      <w:r w:rsidR="009A333E" w:rsidRPr="00774267">
        <w:rPr>
          <w:rFonts w:cs="Arial"/>
        </w:rPr>
        <w:t xml:space="preserve"> </w:t>
      </w:r>
      <w:r w:rsidRPr="00774267">
        <w:rPr>
          <w:rFonts w:cs="Arial"/>
        </w:rPr>
        <w:t>s</w:t>
      </w:r>
      <w:r w:rsidR="009A333E" w:rsidRPr="00774267">
        <w:rPr>
          <w:rFonts w:cs="Arial"/>
        </w:rPr>
        <w:t>aber:</w:t>
      </w:r>
      <w:r w:rsidRPr="00774267">
        <w:rPr>
          <w:rFonts w:cs="Arial"/>
        </w:rPr>
        <w:t xml:space="preserve"> </w:t>
      </w:r>
      <w:r w:rsidRPr="00774267">
        <w:rPr>
          <w:rFonts w:cs="Arial"/>
          <w:b/>
        </w:rPr>
        <w:t>i)</w:t>
      </w:r>
      <w:r w:rsidRPr="00774267">
        <w:rPr>
          <w:rFonts w:cs="Arial"/>
        </w:rPr>
        <w:t xml:space="preserve"> falta de competencia y </w:t>
      </w:r>
      <w:r w:rsidRPr="00774267">
        <w:rPr>
          <w:rFonts w:cs="Arial"/>
          <w:b/>
        </w:rPr>
        <w:t xml:space="preserve">ii) </w:t>
      </w:r>
      <w:r w:rsidRPr="00774267">
        <w:rPr>
          <w:rFonts w:cs="Arial"/>
        </w:rPr>
        <w:t xml:space="preserve">fallo en conciencia. </w:t>
      </w:r>
    </w:p>
    <w:p w14:paraId="4BA7EA51" w14:textId="77777777" w:rsidR="003C406F" w:rsidRPr="00774267" w:rsidRDefault="003C406F" w:rsidP="00373384">
      <w:pPr>
        <w:pStyle w:val="Continuarlista2"/>
        <w:ind w:left="0"/>
        <w:rPr>
          <w:rFonts w:cs="Arial"/>
          <w:b/>
        </w:rPr>
      </w:pPr>
    </w:p>
    <w:p w14:paraId="03D508DC" w14:textId="77777777" w:rsidR="0018235A" w:rsidRPr="00774267" w:rsidRDefault="003C406F" w:rsidP="00373384">
      <w:pPr>
        <w:pStyle w:val="Continuarlista2"/>
        <w:ind w:left="0"/>
        <w:rPr>
          <w:rFonts w:cs="Arial"/>
          <w:b/>
        </w:rPr>
      </w:pPr>
      <w:r w:rsidRPr="00774267">
        <w:rPr>
          <w:rFonts w:cs="Arial"/>
          <w:b/>
        </w:rPr>
        <w:t xml:space="preserve">1. </w:t>
      </w:r>
      <w:r w:rsidR="005A62B2" w:rsidRPr="00774267">
        <w:rPr>
          <w:rFonts w:cs="Arial"/>
          <w:b/>
        </w:rPr>
        <w:t>Jurisdicción y competencia</w:t>
      </w:r>
    </w:p>
    <w:p w14:paraId="1EC194D3" w14:textId="77777777" w:rsidR="00AC77D3" w:rsidRPr="00774267" w:rsidRDefault="00AC77D3" w:rsidP="007674B9">
      <w:pPr>
        <w:pStyle w:val="Continuarlista2"/>
        <w:ind w:left="0"/>
        <w:rPr>
          <w:rFonts w:cs="Arial"/>
        </w:rPr>
      </w:pPr>
    </w:p>
    <w:p w14:paraId="03771F46" w14:textId="77777777" w:rsidR="00AC77D3" w:rsidRPr="00774267" w:rsidRDefault="007674B9" w:rsidP="007674B9">
      <w:pPr>
        <w:pStyle w:val="Continuarlista2"/>
        <w:ind w:left="0"/>
        <w:rPr>
          <w:rFonts w:cs="Arial"/>
        </w:rPr>
      </w:pPr>
      <w:r w:rsidRPr="00774267">
        <w:rPr>
          <w:rFonts w:cs="Arial"/>
        </w:rPr>
        <w:t xml:space="preserve">Se reafirma </w:t>
      </w:r>
      <w:r w:rsidR="00275F5E" w:rsidRPr="00774267">
        <w:rPr>
          <w:rFonts w:cs="Arial"/>
        </w:rPr>
        <w:t xml:space="preserve">lo dispuesto en </w:t>
      </w:r>
      <w:r w:rsidRPr="00774267">
        <w:rPr>
          <w:rFonts w:cs="Arial"/>
        </w:rPr>
        <w:t>el auto de 20 de febrero de 2017</w:t>
      </w:r>
      <w:r w:rsidRPr="00774267">
        <w:rPr>
          <w:rStyle w:val="Refdenotaalpie"/>
          <w:rFonts w:cs="Arial"/>
        </w:rPr>
        <w:footnoteReference w:id="25"/>
      </w:r>
      <w:r w:rsidRPr="00774267">
        <w:rPr>
          <w:rFonts w:cs="Arial"/>
        </w:rPr>
        <w:t>, acerca de la jurisdicción y la competencia para conocer del recurso de anulación, teniendo en cuenta que una de las partes del conflicto que se desató con el laudo arbitral es una entidad de naturaleza estatal</w:t>
      </w:r>
      <w:r w:rsidRPr="00774267">
        <w:rPr>
          <w:rStyle w:val="Refdenotaalpie"/>
          <w:rFonts w:cs="Arial"/>
        </w:rPr>
        <w:footnoteReference w:id="26"/>
      </w:r>
      <w:r w:rsidRPr="00774267">
        <w:rPr>
          <w:rFonts w:cs="Arial"/>
        </w:rPr>
        <w:t xml:space="preserve">. </w:t>
      </w:r>
    </w:p>
    <w:p w14:paraId="0BF771E3" w14:textId="77777777" w:rsidR="00AC77D3" w:rsidRPr="00774267" w:rsidRDefault="00AC77D3" w:rsidP="007674B9">
      <w:pPr>
        <w:pStyle w:val="Continuarlista2"/>
        <w:ind w:left="0"/>
        <w:rPr>
          <w:rFonts w:cs="Arial"/>
        </w:rPr>
      </w:pPr>
    </w:p>
    <w:p w14:paraId="2ED8C072" w14:textId="77777777" w:rsidR="007674B9" w:rsidRPr="00774267" w:rsidRDefault="003C406F" w:rsidP="007674B9">
      <w:pPr>
        <w:pStyle w:val="Continuarlista2"/>
        <w:ind w:left="0"/>
        <w:rPr>
          <w:rFonts w:cs="Arial"/>
        </w:rPr>
      </w:pPr>
      <w:r w:rsidRPr="00774267">
        <w:rPr>
          <w:rFonts w:cs="Arial"/>
        </w:rPr>
        <w:t xml:space="preserve">Como consecuencia, se configuró </w:t>
      </w:r>
      <w:r w:rsidR="007674B9" w:rsidRPr="00774267">
        <w:rPr>
          <w:rFonts w:cs="Arial"/>
        </w:rPr>
        <w:t>el supuesto de la jurisdicción y la competencia del Consejo de Estado para conocer del recurso de anulación, de acuerdo con el artículo 46 de la Ley 1563 de 2012 y el numeral 7 del artículo 149 de la Ley 1437 de 2011.</w:t>
      </w:r>
    </w:p>
    <w:p w14:paraId="4C5BAAFB" w14:textId="77777777" w:rsidR="005A62B2" w:rsidRPr="00774267" w:rsidRDefault="005A62B2" w:rsidP="00373384">
      <w:pPr>
        <w:pStyle w:val="Continuarlista2"/>
        <w:ind w:left="0"/>
        <w:rPr>
          <w:rFonts w:cs="Arial"/>
          <w:b/>
        </w:rPr>
      </w:pPr>
    </w:p>
    <w:p w14:paraId="73BB49A7" w14:textId="77777777" w:rsidR="00D93B6B" w:rsidRPr="00774267" w:rsidRDefault="00275F5E" w:rsidP="00373384">
      <w:pPr>
        <w:pStyle w:val="Continuarlista2"/>
        <w:ind w:left="0"/>
        <w:rPr>
          <w:rFonts w:cs="Arial"/>
          <w:b/>
        </w:rPr>
      </w:pPr>
      <w:r w:rsidRPr="00774267">
        <w:rPr>
          <w:rFonts w:cs="Arial"/>
          <w:b/>
        </w:rPr>
        <w:t xml:space="preserve">2. </w:t>
      </w:r>
      <w:r w:rsidR="005A62B2" w:rsidRPr="00774267">
        <w:rPr>
          <w:rFonts w:cs="Arial"/>
          <w:b/>
        </w:rPr>
        <w:t>Primera causal de anulación, la falta de competencia</w:t>
      </w:r>
    </w:p>
    <w:p w14:paraId="73059023" w14:textId="77777777" w:rsidR="00206CDA" w:rsidRPr="00774267" w:rsidRDefault="00206CDA" w:rsidP="00206CDA">
      <w:pPr>
        <w:pStyle w:val="Continuarlista2"/>
        <w:ind w:left="0"/>
        <w:rPr>
          <w:rFonts w:cs="Arial"/>
        </w:rPr>
      </w:pPr>
    </w:p>
    <w:p w14:paraId="37779450" w14:textId="77777777" w:rsidR="00206CDA" w:rsidRPr="00774267" w:rsidRDefault="00206CDA" w:rsidP="00206CDA">
      <w:pPr>
        <w:pStyle w:val="Continuarlista2"/>
        <w:ind w:left="0"/>
        <w:rPr>
          <w:rFonts w:cs="Arial"/>
        </w:rPr>
      </w:pPr>
      <w:r w:rsidRPr="00774267">
        <w:rPr>
          <w:rFonts w:cs="Arial"/>
        </w:rPr>
        <w:t xml:space="preserve">La ANI invocó la causal contenida en el numeral 2 del artículo 41 de la Ley 1563 de 2012, en cuanto se refiere a la </w:t>
      </w:r>
      <w:r w:rsidRPr="00774267">
        <w:rPr>
          <w:rFonts w:cs="Arial"/>
          <w:i/>
        </w:rPr>
        <w:t>falta de competencia</w:t>
      </w:r>
      <w:r w:rsidRPr="00774267">
        <w:rPr>
          <w:rFonts w:cs="Arial"/>
        </w:rPr>
        <w:t xml:space="preserve"> del Tribunal de Arbitramento para conocer de las pretensiones de la demanda.</w:t>
      </w:r>
    </w:p>
    <w:p w14:paraId="018195CF" w14:textId="77777777" w:rsidR="00206CDA" w:rsidRPr="00774267" w:rsidRDefault="00206CDA" w:rsidP="004552E5">
      <w:pPr>
        <w:pStyle w:val="Continuarlista2"/>
        <w:ind w:left="0"/>
        <w:rPr>
          <w:rFonts w:cs="Arial"/>
          <w:b/>
        </w:rPr>
      </w:pPr>
    </w:p>
    <w:p w14:paraId="635CEA62" w14:textId="77777777" w:rsidR="00E81848" w:rsidRPr="00774267" w:rsidRDefault="00E81848" w:rsidP="004552E5">
      <w:pPr>
        <w:pStyle w:val="Continuarlista2"/>
        <w:ind w:left="0"/>
        <w:rPr>
          <w:rFonts w:cs="Arial"/>
          <w:b/>
        </w:rPr>
      </w:pPr>
      <w:r w:rsidRPr="00774267">
        <w:rPr>
          <w:rFonts w:cs="Arial"/>
          <w:b/>
        </w:rPr>
        <w:t>2.1. Argumentos del recurso de anulación</w:t>
      </w:r>
    </w:p>
    <w:p w14:paraId="7E9896AD" w14:textId="77777777" w:rsidR="00057650" w:rsidRPr="00774267" w:rsidRDefault="00057650" w:rsidP="00060ECD">
      <w:pPr>
        <w:pStyle w:val="Continuarlista2"/>
        <w:spacing w:line="276" w:lineRule="auto"/>
        <w:ind w:left="567" w:right="567"/>
        <w:rPr>
          <w:rFonts w:cs="Arial"/>
          <w:i/>
        </w:rPr>
      </w:pPr>
    </w:p>
    <w:p w14:paraId="3ED977CA" w14:textId="77777777" w:rsidR="002B5A01" w:rsidRPr="00774267" w:rsidRDefault="002B5A01" w:rsidP="002B5A01">
      <w:pPr>
        <w:pStyle w:val="Continuarlista2"/>
        <w:spacing w:line="276" w:lineRule="auto"/>
        <w:ind w:left="0" w:right="567"/>
        <w:rPr>
          <w:rFonts w:cs="Arial"/>
        </w:rPr>
      </w:pPr>
      <w:r w:rsidRPr="00774267">
        <w:rPr>
          <w:rFonts w:cs="Arial"/>
        </w:rPr>
        <w:t xml:space="preserve">La </w:t>
      </w:r>
      <w:r w:rsidR="00206CDA" w:rsidRPr="00774267">
        <w:rPr>
          <w:rFonts w:cs="Arial"/>
        </w:rPr>
        <w:t xml:space="preserve">recurrente </w:t>
      </w:r>
      <w:r w:rsidRPr="00774267">
        <w:rPr>
          <w:rFonts w:cs="Arial"/>
        </w:rPr>
        <w:t xml:space="preserve">sustentó </w:t>
      </w:r>
      <w:r w:rsidR="00206CDA" w:rsidRPr="00774267">
        <w:rPr>
          <w:rFonts w:cs="Arial"/>
        </w:rPr>
        <w:t xml:space="preserve">la causal </w:t>
      </w:r>
      <w:r w:rsidRPr="00774267">
        <w:rPr>
          <w:rFonts w:cs="Arial"/>
        </w:rPr>
        <w:t>de la siguiente forma:</w:t>
      </w:r>
    </w:p>
    <w:p w14:paraId="37D54D7C" w14:textId="77777777" w:rsidR="002B5A01" w:rsidRPr="00774267" w:rsidRDefault="002B5A01" w:rsidP="002B5A01">
      <w:pPr>
        <w:pStyle w:val="Continuarlista2"/>
        <w:spacing w:line="276" w:lineRule="auto"/>
        <w:ind w:left="0" w:right="567"/>
        <w:rPr>
          <w:rFonts w:cs="Arial"/>
          <w:i/>
        </w:rPr>
      </w:pPr>
    </w:p>
    <w:p w14:paraId="0D0A645E" w14:textId="77777777" w:rsidR="00EA6D1B" w:rsidRPr="00774267" w:rsidRDefault="002B5A01" w:rsidP="00060ECD">
      <w:pPr>
        <w:pStyle w:val="Continuarlista2"/>
        <w:spacing w:line="276" w:lineRule="auto"/>
        <w:ind w:left="567" w:right="567"/>
        <w:rPr>
          <w:rFonts w:cs="Arial"/>
          <w:i/>
        </w:rPr>
      </w:pPr>
      <w:r w:rsidRPr="00774267">
        <w:rPr>
          <w:rFonts w:cs="Arial"/>
          <w:i/>
        </w:rPr>
        <w:t xml:space="preserve"> </w:t>
      </w:r>
      <w:r w:rsidR="00057650" w:rsidRPr="00774267">
        <w:rPr>
          <w:rFonts w:cs="Arial"/>
          <w:i/>
        </w:rPr>
        <w:t>“</w:t>
      </w:r>
      <w:r w:rsidR="0018235A" w:rsidRPr="00774267">
        <w:rPr>
          <w:rFonts w:cs="Arial"/>
          <w:i/>
        </w:rPr>
        <w:t>(…) estaba m</w:t>
      </w:r>
      <w:r w:rsidR="00EA6D1B" w:rsidRPr="00774267">
        <w:rPr>
          <w:rFonts w:cs="Arial"/>
          <w:i/>
        </w:rPr>
        <w:t>á</w:t>
      </w:r>
      <w:r w:rsidR="0018235A" w:rsidRPr="00774267">
        <w:rPr>
          <w:rFonts w:cs="Arial"/>
          <w:i/>
        </w:rPr>
        <w:t>s que demostra</w:t>
      </w:r>
      <w:r w:rsidR="006C5341" w:rsidRPr="00774267">
        <w:rPr>
          <w:rFonts w:cs="Arial"/>
          <w:i/>
        </w:rPr>
        <w:t>do</w:t>
      </w:r>
      <w:r w:rsidR="0018235A" w:rsidRPr="00774267">
        <w:rPr>
          <w:rFonts w:cs="Arial"/>
          <w:i/>
        </w:rPr>
        <w:t xml:space="preserve"> que entre el Acuerdo Conciliatorio del 3 de mayo de 2005, aprobado mediante Acta </w:t>
      </w:r>
      <w:r w:rsidR="00C71A95" w:rsidRPr="00774267">
        <w:rPr>
          <w:rFonts w:cs="Arial"/>
          <w:i/>
        </w:rPr>
        <w:t xml:space="preserve">No. 32 del 22 de mayo </w:t>
      </w:r>
      <w:r w:rsidR="006C5341" w:rsidRPr="00774267">
        <w:rPr>
          <w:rFonts w:cs="Arial"/>
          <w:i/>
        </w:rPr>
        <w:t xml:space="preserve">de 2005 y las pretensiones QUINTA, </w:t>
      </w:r>
      <w:r w:rsidR="00B54287" w:rsidRPr="00774267">
        <w:rPr>
          <w:rFonts w:cs="Arial"/>
          <w:i/>
        </w:rPr>
        <w:t xml:space="preserve">SEXTA, NOVENA, DÉCIMA Y DÉCIMA PRIMERA </w:t>
      </w:r>
      <w:r w:rsidR="006C5341" w:rsidRPr="00774267">
        <w:rPr>
          <w:rFonts w:cs="Arial"/>
          <w:i/>
        </w:rPr>
        <w:t xml:space="preserve">de la demanda principal existía identidad de objeto, la causa era la misma y las partes son las mismas, </w:t>
      </w:r>
      <w:r w:rsidR="006C5341" w:rsidRPr="00774267">
        <w:rPr>
          <w:rFonts w:cs="Arial"/>
          <w:b/>
          <w:i/>
          <w:u w:val="single"/>
        </w:rPr>
        <w:t xml:space="preserve">lo que de suyo implicaba que era notoria la existencia de </w:t>
      </w:r>
      <w:r w:rsidR="00EA6D1B" w:rsidRPr="00774267">
        <w:rPr>
          <w:rFonts w:cs="Arial"/>
          <w:b/>
          <w:i/>
          <w:u w:val="single"/>
        </w:rPr>
        <w:t>COSA JUZGADA</w:t>
      </w:r>
      <w:r w:rsidR="00EA6D1B" w:rsidRPr="00774267">
        <w:rPr>
          <w:rFonts w:cs="Arial"/>
          <w:i/>
        </w:rPr>
        <w:t>”</w:t>
      </w:r>
      <w:r w:rsidR="006C5341" w:rsidRPr="00774267">
        <w:rPr>
          <w:rFonts w:cs="Arial"/>
          <w:i/>
        </w:rPr>
        <w:t>.</w:t>
      </w:r>
    </w:p>
    <w:p w14:paraId="62B92737" w14:textId="77777777" w:rsidR="00EA6D1B" w:rsidRPr="00774267" w:rsidRDefault="00EA6D1B" w:rsidP="00060ECD">
      <w:pPr>
        <w:pStyle w:val="Continuarlista2"/>
        <w:spacing w:line="276" w:lineRule="auto"/>
        <w:ind w:left="567" w:right="567"/>
        <w:rPr>
          <w:rFonts w:cs="Arial"/>
          <w:i/>
        </w:rPr>
      </w:pPr>
    </w:p>
    <w:p w14:paraId="7422443E" w14:textId="77777777" w:rsidR="0018235A" w:rsidRPr="00774267" w:rsidRDefault="00275F5E" w:rsidP="00060ECD">
      <w:pPr>
        <w:pStyle w:val="Continuarlista2"/>
        <w:spacing w:line="276" w:lineRule="auto"/>
        <w:ind w:left="567" w:right="567"/>
        <w:rPr>
          <w:rFonts w:cs="Arial"/>
          <w:i/>
        </w:rPr>
      </w:pPr>
      <w:r w:rsidRPr="00774267">
        <w:rPr>
          <w:rFonts w:cs="Arial"/>
          <w:i/>
        </w:rPr>
        <w:t>“</w:t>
      </w:r>
      <w:r w:rsidR="00EA6D1B" w:rsidRPr="00774267">
        <w:rPr>
          <w:rFonts w:cs="Arial"/>
          <w:i/>
        </w:rPr>
        <w:t>Bajo ninguna premi</w:t>
      </w:r>
      <w:r w:rsidR="00060ECD" w:rsidRPr="00774267">
        <w:rPr>
          <w:rFonts w:cs="Arial"/>
          <w:i/>
        </w:rPr>
        <w:t>sa podía entender el Tribuna</w:t>
      </w:r>
      <w:r w:rsidRPr="00774267">
        <w:rPr>
          <w:rFonts w:cs="Arial"/>
          <w:i/>
        </w:rPr>
        <w:t>l</w:t>
      </w:r>
      <w:r w:rsidR="00060ECD" w:rsidRPr="00774267">
        <w:rPr>
          <w:rFonts w:cs="Arial"/>
          <w:i/>
        </w:rPr>
        <w:t xml:space="preserve"> que las partes lo habían habilitado para conocer sobre asuntos que ya habían sido decididos por la Jurisdicción, ya que no es jurídicamente posible volver sobre lo ya conciliado, teniendo en cuenta que hizo tránsito a cosa juzgada (…)</w:t>
      </w:r>
      <w:r w:rsidR="00FF39D1" w:rsidRPr="00774267">
        <w:rPr>
          <w:rFonts w:cs="Arial"/>
          <w:i/>
        </w:rPr>
        <w:t>”</w:t>
      </w:r>
      <w:r w:rsidR="00EA6D1B" w:rsidRPr="00774267">
        <w:rPr>
          <w:rStyle w:val="Refdenotaalpie"/>
          <w:rFonts w:cs="Arial"/>
          <w:i/>
        </w:rPr>
        <w:footnoteReference w:id="27"/>
      </w:r>
      <w:r w:rsidR="00060ECD" w:rsidRPr="00774267">
        <w:rPr>
          <w:rFonts w:cs="Arial"/>
          <w:i/>
        </w:rPr>
        <w:t>.</w:t>
      </w:r>
      <w:r w:rsidR="006C5341" w:rsidRPr="00774267">
        <w:rPr>
          <w:rFonts w:cs="Arial"/>
          <w:i/>
        </w:rPr>
        <w:t xml:space="preserve"> </w:t>
      </w:r>
    </w:p>
    <w:p w14:paraId="61A0E181" w14:textId="77777777" w:rsidR="002B5A01" w:rsidRPr="00774267" w:rsidRDefault="002B5A01" w:rsidP="00E61DA2">
      <w:pPr>
        <w:pStyle w:val="Textoindependiente22"/>
        <w:numPr>
          <w:ilvl w:val="12"/>
          <w:numId w:val="0"/>
        </w:numPr>
        <w:overflowPunct/>
        <w:autoSpaceDE/>
        <w:autoSpaceDN/>
        <w:adjustRightInd/>
        <w:textAlignment w:val="auto"/>
        <w:rPr>
          <w:rFonts w:cs="Arial"/>
          <w:szCs w:val="24"/>
        </w:rPr>
      </w:pPr>
    </w:p>
    <w:p w14:paraId="73F7E9C0" w14:textId="77777777" w:rsidR="002B5A01" w:rsidRPr="00774267" w:rsidRDefault="00E61DA2" w:rsidP="00E61DA2">
      <w:pPr>
        <w:pStyle w:val="Textoindependiente22"/>
        <w:numPr>
          <w:ilvl w:val="12"/>
          <w:numId w:val="0"/>
        </w:numPr>
        <w:overflowPunct/>
        <w:autoSpaceDE/>
        <w:autoSpaceDN/>
        <w:adjustRightInd/>
        <w:textAlignment w:val="auto"/>
        <w:rPr>
          <w:rFonts w:cs="Arial"/>
          <w:szCs w:val="24"/>
        </w:rPr>
      </w:pPr>
      <w:r w:rsidRPr="00774267">
        <w:rPr>
          <w:rFonts w:cs="Arial"/>
          <w:szCs w:val="24"/>
        </w:rPr>
        <w:lastRenderedPageBreak/>
        <w:t xml:space="preserve">La ANI </w:t>
      </w:r>
      <w:r w:rsidR="002B5A01" w:rsidRPr="00774267">
        <w:rPr>
          <w:rFonts w:cs="Arial"/>
          <w:szCs w:val="24"/>
        </w:rPr>
        <w:t xml:space="preserve">argumentó </w:t>
      </w:r>
      <w:r w:rsidRPr="00774267">
        <w:rPr>
          <w:rFonts w:cs="Arial"/>
          <w:szCs w:val="24"/>
        </w:rPr>
        <w:t xml:space="preserve">que la cláusula de solución de controversias, tal como se modificó en el </w:t>
      </w:r>
      <w:r w:rsidR="007272FA" w:rsidRPr="00774267">
        <w:rPr>
          <w:rFonts w:cs="Arial"/>
          <w:szCs w:val="24"/>
        </w:rPr>
        <w:t>O</w:t>
      </w:r>
      <w:r w:rsidRPr="00774267">
        <w:rPr>
          <w:rFonts w:cs="Arial"/>
          <w:szCs w:val="24"/>
        </w:rPr>
        <w:t xml:space="preserve">trosí de 30 de enero de 2014, se refirió a las diferencias en relación con el </w:t>
      </w:r>
      <w:r w:rsidR="00275F5E" w:rsidRPr="00774267">
        <w:rPr>
          <w:rFonts w:cs="Arial"/>
          <w:szCs w:val="24"/>
        </w:rPr>
        <w:t>C</w:t>
      </w:r>
      <w:r w:rsidRPr="00774267">
        <w:rPr>
          <w:rFonts w:cs="Arial"/>
          <w:szCs w:val="24"/>
        </w:rPr>
        <w:t xml:space="preserve">ontrato de </w:t>
      </w:r>
      <w:r w:rsidR="00275F5E" w:rsidRPr="00774267">
        <w:rPr>
          <w:rFonts w:cs="Arial"/>
          <w:szCs w:val="24"/>
        </w:rPr>
        <w:t>C</w:t>
      </w:r>
      <w:r w:rsidRPr="00774267">
        <w:rPr>
          <w:rFonts w:cs="Arial"/>
          <w:szCs w:val="24"/>
        </w:rPr>
        <w:t>oncesión</w:t>
      </w:r>
      <w:r w:rsidR="002B5A01" w:rsidRPr="00774267">
        <w:rPr>
          <w:rFonts w:cs="Arial"/>
          <w:szCs w:val="24"/>
        </w:rPr>
        <w:t xml:space="preserve"> 0849</w:t>
      </w:r>
      <w:r w:rsidRPr="00774267">
        <w:rPr>
          <w:rFonts w:cs="Arial"/>
          <w:szCs w:val="24"/>
        </w:rPr>
        <w:t xml:space="preserve"> y</w:t>
      </w:r>
      <w:r w:rsidR="00206CDA" w:rsidRPr="00774267">
        <w:rPr>
          <w:rFonts w:cs="Arial"/>
          <w:szCs w:val="24"/>
        </w:rPr>
        <w:t xml:space="preserve"> que</w:t>
      </w:r>
      <w:r w:rsidR="005A62B2" w:rsidRPr="00774267">
        <w:rPr>
          <w:rFonts w:cs="Arial"/>
          <w:szCs w:val="24"/>
        </w:rPr>
        <w:t>,</w:t>
      </w:r>
      <w:r w:rsidRPr="00774267">
        <w:rPr>
          <w:rFonts w:cs="Arial"/>
          <w:szCs w:val="24"/>
        </w:rPr>
        <w:t xml:space="preserve"> </w:t>
      </w:r>
      <w:r w:rsidR="005A62B2" w:rsidRPr="00774267">
        <w:rPr>
          <w:rFonts w:cs="Arial"/>
          <w:szCs w:val="24"/>
        </w:rPr>
        <w:t xml:space="preserve">por ello, </w:t>
      </w:r>
      <w:r w:rsidRPr="00774267">
        <w:rPr>
          <w:rFonts w:cs="Arial"/>
          <w:szCs w:val="24"/>
        </w:rPr>
        <w:t xml:space="preserve">no tenía alcance sobre las diferencias </w:t>
      </w:r>
      <w:r w:rsidR="00F900D8" w:rsidRPr="00774267">
        <w:rPr>
          <w:rFonts w:cs="Arial"/>
          <w:szCs w:val="24"/>
        </w:rPr>
        <w:t xml:space="preserve">surgidas </w:t>
      </w:r>
      <w:r w:rsidR="002B5A01" w:rsidRPr="00774267">
        <w:rPr>
          <w:rFonts w:cs="Arial"/>
          <w:szCs w:val="24"/>
        </w:rPr>
        <w:t>de</w:t>
      </w:r>
      <w:r w:rsidR="00F900D8" w:rsidRPr="00774267">
        <w:rPr>
          <w:rFonts w:cs="Arial"/>
          <w:szCs w:val="24"/>
        </w:rPr>
        <w:t xml:space="preserve">l Acuerdo Conciliatorio de </w:t>
      </w:r>
      <w:r w:rsidR="002B5A01" w:rsidRPr="00774267">
        <w:rPr>
          <w:rFonts w:cs="Arial"/>
          <w:szCs w:val="24"/>
        </w:rPr>
        <w:t xml:space="preserve">mayo 3 de 2005. </w:t>
      </w:r>
    </w:p>
    <w:p w14:paraId="08CF6D6E" w14:textId="77777777" w:rsidR="002B5A01" w:rsidRPr="00774267" w:rsidRDefault="002B5A01" w:rsidP="00E61DA2">
      <w:pPr>
        <w:pStyle w:val="Textoindependiente22"/>
        <w:numPr>
          <w:ilvl w:val="12"/>
          <w:numId w:val="0"/>
        </w:numPr>
        <w:overflowPunct/>
        <w:autoSpaceDE/>
        <w:autoSpaceDN/>
        <w:adjustRightInd/>
        <w:textAlignment w:val="auto"/>
        <w:rPr>
          <w:rFonts w:cs="Arial"/>
          <w:szCs w:val="24"/>
        </w:rPr>
      </w:pPr>
    </w:p>
    <w:p w14:paraId="18A5C00C" w14:textId="77777777" w:rsidR="00E61DA2" w:rsidRPr="00774267" w:rsidRDefault="00E61DA2" w:rsidP="00E61DA2">
      <w:pPr>
        <w:pStyle w:val="Textoindependiente22"/>
        <w:numPr>
          <w:ilvl w:val="12"/>
          <w:numId w:val="0"/>
        </w:numPr>
        <w:overflowPunct/>
        <w:autoSpaceDE/>
        <w:autoSpaceDN/>
        <w:adjustRightInd/>
        <w:textAlignment w:val="auto"/>
        <w:rPr>
          <w:rFonts w:cs="Arial"/>
          <w:szCs w:val="24"/>
        </w:rPr>
      </w:pPr>
      <w:r w:rsidRPr="00774267">
        <w:rPr>
          <w:rFonts w:cs="Arial"/>
          <w:szCs w:val="24"/>
        </w:rPr>
        <w:t>Agregó que la demandante solicitó que se declarara el incumplimiento del acuerdo conciliatorio, el cual ya había hecho tránsito a cosa juzgada.</w:t>
      </w:r>
    </w:p>
    <w:p w14:paraId="29C550D8" w14:textId="77777777" w:rsidR="00E61DA2" w:rsidRPr="00774267" w:rsidRDefault="00E61DA2" w:rsidP="00E61DA2">
      <w:pPr>
        <w:pStyle w:val="Textoindependiente22"/>
        <w:numPr>
          <w:ilvl w:val="12"/>
          <w:numId w:val="0"/>
        </w:numPr>
        <w:overflowPunct/>
        <w:autoSpaceDE/>
        <w:autoSpaceDN/>
        <w:adjustRightInd/>
        <w:textAlignment w:val="auto"/>
        <w:rPr>
          <w:rFonts w:cs="Arial"/>
          <w:b/>
          <w:szCs w:val="24"/>
        </w:rPr>
      </w:pPr>
    </w:p>
    <w:p w14:paraId="11BB490F" w14:textId="77777777" w:rsidR="002B5A01" w:rsidRPr="00774267" w:rsidRDefault="00E61DA2" w:rsidP="00E61DA2">
      <w:pPr>
        <w:pStyle w:val="Textoindependiente22"/>
        <w:numPr>
          <w:ilvl w:val="12"/>
          <w:numId w:val="0"/>
        </w:numPr>
        <w:overflowPunct/>
        <w:autoSpaceDE/>
        <w:autoSpaceDN/>
        <w:adjustRightInd/>
        <w:textAlignment w:val="auto"/>
        <w:rPr>
          <w:rFonts w:cs="Arial"/>
          <w:szCs w:val="24"/>
        </w:rPr>
      </w:pPr>
      <w:r w:rsidRPr="00774267">
        <w:rPr>
          <w:rFonts w:cs="Arial"/>
          <w:szCs w:val="24"/>
        </w:rPr>
        <w:t>Advirtió que el Tribunal de Arbitramento no podía fundarse en que las diferencias sometidas al nuevo proceso arbitral surgieron con posterioridad al referido acuerdo conciliatorio</w:t>
      </w:r>
      <w:r w:rsidR="002B5A01" w:rsidRPr="00774267">
        <w:rPr>
          <w:rFonts w:cs="Arial"/>
          <w:szCs w:val="24"/>
        </w:rPr>
        <w:t>.</w:t>
      </w:r>
    </w:p>
    <w:p w14:paraId="58EE8F14" w14:textId="77777777" w:rsidR="002B5A01" w:rsidRPr="00774267" w:rsidRDefault="002B5A01" w:rsidP="00E61DA2">
      <w:pPr>
        <w:pStyle w:val="Textoindependiente22"/>
        <w:numPr>
          <w:ilvl w:val="12"/>
          <w:numId w:val="0"/>
        </w:numPr>
        <w:overflowPunct/>
        <w:autoSpaceDE/>
        <w:autoSpaceDN/>
        <w:adjustRightInd/>
        <w:textAlignment w:val="auto"/>
        <w:rPr>
          <w:rFonts w:cs="Arial"/>
          <w:szCs w:val="24"/>
        </w:rPr>
      </w:pPr>
    </w:p>
    <w:p w14:paraId="52F3C8CF" w14:textId="77777777" w:rsidR="00E61DA2" w:rsidRPr="00774267" w:rsidRDefault="002B5A01" w:rsidP="00E61DA2">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Expuso </w:t>
      </w:r>
      <w:r w:rsidR="00E61DA2" w:rsidRPr="00774267">
        <w:rPr>
          <w:rFonts w:cs="Arial"/>
          <w:szCs w:val="24"/>
        </w:rPr>
        <w:t>que</w:t>
      </w:r>
      <w:r w:rsidR="00E61DA2" w:rsidRPr="00774267">
        <w:rPr>
          <w:rFonts w:cs="Arial"/>
          <w:b/>
          <w:szCs w:val="24"/>
        </w:rPr>
        <w:t xml:space="preserve"> </w:t>
      </w:r>
      <w:r w:rsidR="00E61DA2" w:rsidRPr="00774267">
        <w:rPr>
          <w:rFonts w:cs="Arial"/>
          <w:i/>
          <w:szCs w:val="24"/>
        </w:rPr>
        <w:t>“LA SUSCRIPCIÓN DEL OTROSÍ DE 2014 JAMÁS NOVÓ OBLIGACIONES NI REVIVIÓ TÉRMINOS DE CADUCIDAD”</w:t>
      </w:r>
      <w:r w:rsidR="00E61DA2" w:rsidRPr="00774267">
        <w:rPr>
          <w:rFonts w:cs="Arial"/>
          <w:b/>
          <w:szCs w:val="24"/>
        </w:rPr>
        <w:t xml:space="preserve"> </w:t>
      </w:r>
      <w:r w:rsidR="00E61DA2" w:rsidRPr="00774267">
        <w:rPr>
          <w:rFonts w:cs="Arial"/>
          <w:szCs w:val="24"/>
        </w:rPr>
        <w:t>de las obligaciones materia del acuerdo conciliatorio de 2005.</w:t>
      </w:r>
    </w:p>
    <w:p w14:paraId="6D6B7F2B" w14:textId="77777777" w:rsidR="00E61DA2" w:rsidRPr="00774267" w:rsidRDefault="00E61DA2" w:rsidP="00E61DA2">
      <w:pPr>
        <w:pStyle w:val="Textoindependiente22"/>
        <w:numPr>
          <w:ilvl w:val="12"/>
          <w:numId w:val="0"/>
        </w:numPr>
        <w:overflowPunct/>
        <w:autoSpaceDE/>
        <w:autoSpaceDN/>
        <w:adjustRightInd/>
        <w:textAlignment w:val="auto"/>
        <w:rPr>
          <w:rFonts w:cs="Arial"/>
          <w:b/>
          <w:szCs w:val="24"/>
        </w:rPr>
      </w:pPr>
    </w:p>
    <w:p w14:paraId="4FFA89E2" w14:textId="77777777" w:rsidR="006F4B79" w:rsidRPr="00774267" w:rsidRDefault="00E61DA2" w:rsidP="00E61DA2">
      <w:pPr>
        <w:pStyle w:val="Textoindependiente22"/>
        <w:numPr>
          <w:ilvl w:val="12"/>
          <w:numId w:val="0"/>
        </w:numPr>
        <w:overflowPunct/>
        <w:autoSpaceDE/>
        <w:autoSpaceDN/>
        <w:adjustRightInd/>
        <w:textAlignment w:val="auto"/>
        <w:rPr>
          <w:rFonts w:cs="Arial"/>
          <w:szCs w:val="24"/>
        </w:rPr>
      </w:pPr>
      <w:r w:rsidRPr="00774267">
        <w:rPr>
          <w:rFonts w:cs="Arial"/>
          <w:szCs w:val="24"/>
        </w:rPr>
        <w:t>Igualmente</w:t>
      </w:r>
      <w:r w:rsidR="002B5A01" w:rsidRPr="00774267">
        <w:rPr>
          <w:rFonts w:cs="Arial"/>
          <w:szCs w:val="24"/>
        </w:rPr>
        <w:t xml:space="preserve">, la </w:t>
      </w:r>
      <w:r w:rsidR="00AF4232" w:rsidRPr="00774267">
        <w:rPr>
          <w:rFonts w:cs="Arial"/>
          <w:szCs w:val="24"/>
        </w:rPr>
        <w:t xml:space="preserve">ANI </w:t>
      </w:r>
      <w:r w:rsidR="00206CDA" w:rsidRPr="00774267">
        <w:rPr>
          <w:rFonts w:cs="Arial"/>
          <w:szCs w:val="24"/>
        </w:rPr>
        <w:t>llamó la atención sobre el contenido d</w:t>
      </w:r>
      <w:r w:rsidRPr="00774267">
        <w:rPr>
          <w:rFonts w:cs="Arial"/>
          <w:szCs w:val="24"/>
        </w:rPr>
        <w:t xml:space="preserve">el </w:t>
      </w:r>
      <w:r w:rsidR="00D45F0D" w:rsidRPr="00774267">
        <w:rPr>
          <w:rFonts w:cs="Arial"/>
          <w:szCs w:val="24"/>
        </w:rPr>
        <w:t>A</w:t>
      </w:r>
      <w:r w:rsidRPr="00774267">
        <w:rPr>
          <w:rFonts w:cs="Arial"/>
          <w:szCs w:val="24"/>
        </w:rPr>
        <w:t xml:space="preserve">cta </w:t>
      </w:r>
      <w:r w:rsidR="00E81848" w:rsidRPr="00774267">
        <w:rPr>
          <w:rFonts w:cs="Arial"/>
          <w:szCs w:val="24"/>
        </w:rPr>
        <w:t xml:space="preserve">número </w:t>
      </w:r>
      <w:r w:rsidRPr="00774267">
        <w:rPr>
          <w:rFonts w:cs="Arial"/>
          <w:szCs w:val="24"/>
        </w:rPr>
        <w:t xml:space="preserve">10 de 30 de septiembre de 2015, </w:t>
      </w:r>
      <w:r w:rsidR="00206CDA" w:rsidRPr="00774267">
        <w:rPr>
          <w:rFonts w:cs="Arial"/>
          <w:szCs w:val="24"/>
        </w:rPr>
        <w:t xml:space="preserve">allegada al proceso arbitral, </w:t>
      </w:r>
      <w:r w:rsidRPr="00774267">
        <w:rPr>
          <w:rFonts w:cs="Arial"/>
          <w:szCs w:val="24"/>
        </w:rPr>
        <w:t xml:space="preserve">correspondiente a otro Tribunal </w:t>
      </w:r>
      <w:r w:rsidR="006F4B79" w:rsidRPr="00774267">
        <w:rPr>
          <w:rFonts w:cs="Arial"/>
          <w:szCs w:val="24"/>
        </w:rPr>
        <w:t>de Arbitramento</w:t>
      </w:r>
      <w:r w:rsidR="002B5A01" w:rsidRPr="00774267">
        <w:rPr>
          <w:rFonts w:cs="Arial"/>
          <w:szCs w:val="24"/>
        </w:rPr>
        <w:t xml:space="preserve"> entre las mismas partes del Contrato de Concesión</w:t>
      </w:r>
      <w:r w:rsidR="00E81848" w:rsidRPr="00774267">
        <w:rPr>
          <w:rFonts w:cs="Arial"/>
          <w:szCs w:val="24"/>
        </w:rPr>
        <w:t xml:space="preserve"> 0</w:t>
      </w:r>
      <w:r w:rsidR="00F900D8" w:rsidRPr="00774267">
        <w:rPr>
          <w:rFonts w:cs="Arial"/>
          <w:szCs w:val="24"/>
        </w:rPr>
        <w:t>8</w:t>
      </w:r>
      <w:r w:rsidR="00E81848" w:rsidRPr="00774267">
        <w:rPr>
          <w:rFonts w:cs="Arial"/>
          <w:szCs w:val="24"/>
        </w:rPr>
        <w:t>49</w:t>
      </w:r>
      <w:r w:rsidR="006F4B79" w:rsidRPr="00774267">
        <w:rPr>
          <w:rFonts w:cs="Arial"/>
          <w:szCs w:val="24"/>
        </w:rPr>
        <w:t xml:space="preserve">, </w:t>
      </w:r>
      <w:r w:rsidR="00AF4232" w:rsidRPr="00774267">
        <w:rPr>
          <w:rFonts w:cs="Arial"/>
          <w:szCs w:val="24"/>
        </w:rPr>
        <w:t xml:space="preserve">en la cual </w:t>
      </w:r>
      <w:r w:rsidR="006F4B79" w:rsidRPr="00774267">
        <w:rPr>
          <w:rFonts w:cs="Arial"/>
          <w:szCs w:val="24"/>
        </w:rPr>
        <w:t>se in</w:t>
      </w:r>
      <w:r w:rsidR="002B5A01" w:rsidRPr="00774267">
        <w:rPr>
          <w:rFonts w:cs="Arial"/>
          <w:szCs w:val="24"/>
        </w:rPr>
        <w:t xml:space="preserve">dicó </w:t>
      </w:r>
      <w:r w:rsidR="006F4B79" w:rsidRPr="00774267">
        <w:rPr>
          <w:rFonts w:cs="Arial"/>
          <w:szCs w:val="24"/>
        </w:rPr>
        <w:t>que el incumplimiento de un acuerdo conciliatorio de 2007, también celebrado entre las partes, no ten</w:t>
      </w:r>
      <w:r w:rsidR="003C7372" w:rsidRPr="00774267">
        <w:rPr>
          <w:rFonts w:cs="Arial"/>
          <w:szCs w:val="24"/>
        </w:rPr>
        <w:t>í</w:t>
      </w:r>
      <w:r w:rsidR="006F4B79" w:rsidRPr="00774267">
        <w:rPr>
          <w:rFonts w:cs="Arial"/>
          <w:szCs w:val="24"/>
        </w:rPr>
        <w:t>a naturaleza de controversia pendiente</w:t>
      </w:r>
      <w:r w:rsidR="00AF4232" w:rsidRPr="00774267">
        <w:rPr>
          <w:rFonts w:cs="Arial"/>
          <w:szCs w:val="24"/>
        </w:rPr>
        <w:t xml:space="preserve"> dentro del </w:t>
      </w:r>
      <w:r w:rsidR="001D7398" w:rsidRPr="00774267">
        <w:rPr>
          <w:rFonts w:cs="Arial"/>
          <w:szCs w:val="24"/>
        </w:rPr>
        <w:t>O</w:t>
      </w:r>
      <w:r w:rsidR="00AF4232" w:rsidRPr="00774267">
        <w:rPr>
          <w:rFonts w:cs="Arial"/>
          <w:szCs w:val="24"/>
        </w:rPr>
        <w:t xml:space="preserve">trosí de </w:t>
      </w:r>
      <w:r w:rsidR="00E81848" w:rsidRPr="00774267">
        <w:rPr>
          <w:rFonts w:cs="Arial"/>
          <w:szCs w:val="24"/>
        </w:rPr>
        <w:t xml:space="preserve">enero 30 de </w:t>
      </w:r>
      <w:r w:rsidR="00AF4232" w:rsidRPr="00774267">
        <w:rPr>
          <w:rFonts w:cs="Arial"/>
          <w:szCs w:val="24"/>
        </w:rPr>
        <w:t>2014.</w:t>
      </w:r>
    </w:p>
    <w:p w14:paraId="59888748" w14:textId="77777777" w:rsidR="006F4B79" w:rsidRPr="00774267" w:rsidRDefault="006F4B79" w:rsidP="00E61DA2">
      <w:pPr>
        <w:pStyle w:val="Textoindependiente22"/>
        <w:numPr>
          <w:ilvl w:val="12"/>
          <w:numId w:val="0"/>
        </w:numPr>
        <w:overflowPunct/>
        <w:autoSpaceDE/>
        <w:autoSpaceDN/>
        <w:adjustRightInd/>
        <w:textAlignment w:val="auto"/>
        <w:rPr>
          <w:rFonts w:cs="Arial"/>
          <w:b/>
          <w:szCs w:val="24"/>
        </w:rPr>
      </w:pPr>
    </w:p>
    <w:p w14:paraId="65BAA960" w14:textId="77777777" w:rsidR="00E61DA2" w:rsidRPr="00774267" w:rsidRDefault="004035E0"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Con base en </w:t>
      </w:r>
      <w:r w:rsidR="00E61DA2" w:rsidRPr="00774267">
        <w:rPr>
          <w:rFonts w:cs="Arial"/>
          <w:szCs w:val="24"/>
        </w:rPr>
        <w:t>todo lo expuesto</w:t>
      </w:r>
      <w:r w:rsidR="00F900D8" w:rsidRPr="00774267">
        <w:rPr>
          <w:rFonts w:cs="Arial"/>
          <w:szCs w:val="24"/>
        </w:rPr>
        <w:t>,</w:t>
      </w:r>
      <w:r w:rsidR="00E61DA2" w:rsidRPr="00774267">
        <w:rPr>
          <w:rFonts w:cs="Arial"/>
          <w:szCs w:val="24"/>
        </w:rPr>
        <w:t xml:space="preserve"> </w:t>
      </w:r>
      <w:r w:rsidR="00FF39D1" w:rsidRPr="00774267">
        <w:rPr>
          <w:rFonts w:cs="Arial"/>
          <w:szCs w:val="24"/>
        </w:rPr>
        <w:t>en</w:t>
      </w:r>
      <w:r w:rsidR="00F900D8" w:rsidRPr="00774267">
        <w:rPr>
          <w:rFonts w:cs="Arial"/>
          <w:szCs w:val="24"/>
        </w:rPr>
        <w:t xml:space="preserve"> relación </w:t>
      </w:r>
      <w:r w:rsidR="00FF39D1" w:rsidRPr="00774267">
        <w:rPr>
          <w:rFonts w:cs="Arial"/>
          <w:szCs w:val="24"/>
        </w:rPr>
        <w:t>con</w:t>
      </w:r>
      <w:r w:rsidR="00F900D8" w:rsidRPr="00774267">
        <w:rPr>
          <w:rFonts w:cs="Arial"/>
          <w:szCs w:val="24"/>
        </w:rPr>
        <w:t xml:space="preserve"> </w:t>
      </w:r>
      <w:r w:rsidR="00E61DA2" w:rsidRPr="00774267">
        <w:rPr>
          <w:rFonts w:cs="Arial"/>
          <w:szCs w:val="24"/>
        </w:rPr>
        <w:t>la sustentación de la causal por falta de competencia</w:t>
      </w:r>
      <w:r w:rsidRPr="00774267">
        <w:rPr>
          <w:rFonts w:cs="Arial"/>
          <w:szCs w:val="24"/>
        </w:rPr>
        <w:t>,</w:t>
      </w:r>
      <w:r w:rsidR="00E61DA2" w:rsidRPr="00774267">
        <w:rPr>
          <w:rFonts w:cs="Arial"/>
          <w:szCs w:val="24"/>
        </w:rPr>
        <w:t xml:space="preserve"> la ANI concluyó </w:t>
      </w:r>
      <w:r w:rsidR="005A62B2" w:rsidRPr="00774267">
        <w:rPr>
          <w:rFonts w:cs="Arial"/>
          <w:szCs w:val="24"/>
        </w:rPr>
        <w:t xml:space="preserve">lo siguiente: </w:t>
      </w:r>
    </w:p>
    <w:p w14:paraId="4500A802" w14:textId="77777777" w:rsidR="00E61DA2" w:rsidRPr="00774267" w:rsidRDefault="00E61DA2" w:rsidP="002D4371">
      <w:pPr>
        <w:pStyle w:val="Textoindependiente22"/>
        <w:numPr>
          <w:ilvl w:val="12"/>
          <w:numId w:val="0"/>
        </w:numPr>
        <w:overflowPunct/>
        <w:autoSpaceDE/>
        <w:autoSpaceDN/>
        <w:adjustRightInd/>
        <w:textAlignment w:val="auto"/>
        <w:rPr>
          <w:rFonts w:cs="Arial"/>
          <w:b/>
          <w:szCs w:val="24"/>
        </w:rPr>
      </w:pPr>
    </w:p>
    <w:p w14:paraId="453A304A" w14:textId="77777777" w:rsidR="00E61DA2" w:rsidRPr="00774267" w:rsidRDefault="00E61DA2" w:rsidP="00E61DA2">
      <w:pPr>
        <w:pStyle w:val="Continuarlista2"/>
        <w:spacing w:line="276" w:lineRule="auto"/>
        <w:ind w:left="567" w:right="567"/>
        <w:rPr>
          <w:rFonts w:cs="Arial"/>
          <w:i/>
        </w:rPr>
      </w:pPr>
      <w:r w:rsidRPr="00774267">
        <w:rPr>
          <w:rFonts w:cs="Arial"/>
          <w:i/>
        </w:rPr>
        <w:t>“Las partes mediante la cláusula compromisoria no habilitaron al Tribunal de Arbitramento para pronunciarse sobre asuntos que ya habían sido resueltos por la jurisdicción, lo cual se deduce de la simple lectura de la mencionada cláusula</w:t>
      </w:r>
      <w:r w:rsidRPr="00774267">
        <w:rPr>
          <w:rStyle w:val="Refdenotaalpie"/>
          <w:rFonts w:cs="Arial"/>
          <w:i/>
        </w:rPr>
        <w:footnoteReference w:id="28"/>
      </w:r>
      <w:r w:rsidRPr="00774267">
        <w:rPr>
          <w:rFonts w:cs="Arial"/>
          <w:i/>
        </w:rPr>
        <w:t>.</w:t>
      </w:r>
    </w:p>
    <w:p w14:paraId="645B5F5F" w14:textId="77777777" w:rsidR="00E61DA2" w:rsidRPr="00774267" w:rsidRDefault="00E61DA2" w:rsidP="00E61DA2">
      <w:pPr>
        <w:pStyle w:val="Continuarlista2"/>
        <w:spacing w:line="276" w:lineRule="auto"/>
        <w:ind w:left="567" w:right="567"/>
        <w:rPr>
          <w:rFonts w:cs="Arial"/>
          <w:i/>
        </w:rPr>
      </w:pPr>
    </w:p>
    <w:p w14:paraId="2066AD36" w14:textId="77777777" w:rsidR="00E61DA2" w:rsidRPr="00774267" w:rsidRDefault="00E61DA2" w:rsidP="00E61DA2">
      <w:pPr>
        <w:pStyle w:val="Continuarlista2"/>
        <w:spacing w:line="276" w:lineRule="auto"/>
        <w:ind w:left="567" w:right="567"/>
        <w:rPr>
          <w:rFonts w:cs="Arial"/>
          <w:i/>
        </w:rPr>
      </w:pPr>
      <w:r w:rsidRPr="00774267">
        <w:rPr>
          <w:rFonts w:cs="Arial"/>
          <w:i/>
        </w:rPr>
        <w:t>“Era notoria la existencia de la cosa juzgada frente a las obligaciones adquiridas por la ANI con el acuerdo conciliatorio del 3 de mayo de 2005, aprobado mediante Acta No. 32 del 26 de mayo de 2005, el cual prestaba merito ejecutivo e hizo tránsito a cosa juzgada.</w:t>
      </w:r>
    </w:p>
    <w:p w14:paraId="1E0FA119" w14:textId="77777777" w:rsidR="00E61DA2" w:rsidRPr="00774267" w:rsidRDefault="00E61DA2" w:rsidP="00E61DA2">
      <w:pPr>
        <w:pStyle w:val="Continuarlista2"/>
        <w:spacing w:line="276" w:lineRule="auto"/>
        <w:ind w:left="567" w:right="567"/>
        <w:rPr>
          <w:rFonts w:cs="Arial"/>
          <w:i/>
        </w:rPr>
      </w:pPr>
      <w:r w:rsidRPr="00774267">
        <w:rPr>
          <w:rFonts w:cs="Arial"/>
          <w:i/>
        </w:rPr>
        <w:t xml:space="preserve"> </w:t>
      </w:r>
    </w:p>
    <w:p w14:paraId="58A40390" w14:textId="77777777" w:rsidR="00E61DA2" w:rsidRPr="00774267" w:rsidRDefault="005A62B2" w:rsidP="00E61DA2">
      <w:pPr>
        <w:pStyle w:val="Continuarlista2"/>
        <w:spacing w:line="276" w:lineRule="auto"/>
        <w:ind w:left="567" w:right="567"/>
        <w:rPr>
          <w:rFonts w:cs="Arial"/>
        </w:rPr>
      </w:pPr>
      <w:r w:rsidRPr="00774267">
        <w:rPr>
          <w:rFonts w:cs="Arial"/>
          <w:i/>
        </w:rPr>
        <w:lastRenderedPageBreak/>
        <w:t>“</w:t>
      </w:r>
      <w:r w:rsidR="00E61DA2" w:rsidRPr="00774267">
        <w:rPr>
          <w:rFonts w:cs="Arial"/>
          <w:i/>
        </w:rPr>
        <w:t xml:space="preserve">(….) La cosa juzgada implicaba que el Tribunal no tuviera competencia para pronunciarse sobre ellas </w:t>
      </w:r>
      <w:r w:rsidR="00E61DA2" w:rsidRPr="00774267">
        <w:rPr>
          <w:rFonts w:cs="Arial"/>
        </w:rPr>
        <w:t>[</w:t>
      </w:r>
      <w:r w:rsidRPr="00774267">
        <w:rPr>
          <w:rFonts w:cs="Arial"/>
        </w:rPr>
        <w:t xml:space="preserve">sobre </w:t>
      </w:r>
      <w:r w:rsidR="00E61DA2" w:rsidRPr="00774267">
        <w:rPr>
          <w:rFonts w:cs="Arial"/>
        </w:rPr>
        <w:t>las pretensiones QUINTA, SEXTA, NOVENA, DÉCIMA Y DÉCIMA PRIMERA].</w:t>
      </w:r>
    </w:p>
    <w:p w14:paraId="27299018" w14:textId="77777777" w:rsidR="00E61DA2" w:rsidRPr="00774267" w:rsidRDefault="00E61DA2" w:rsidP="00E61DA2">
      <w:pPr>
        <w:pStyle w:val="Continuarlista2"/>
        <w:spacing w:line="276" w:lineRule="auto"/>
        <w:ind w:left="567" w:right="567"/>
        <w:rPr>
          <w:rFonts w:cs="Arial"/>
        </w:rPr>
      </w:pPr>
    </w:p>
    <w:p w14:paraId="0089A7F6" w14:textId="77777777" w:rsidR="00E61DA2" w:rsidRPr="00774267" w:rsidRDefault="005A62B2" w:rsidP="00E61DA2">
      <w:pPr>
        <w:pStyle w:val="Continuarlista2"/>
        <w:spacing w:line="276" w:lineRule="auto"/>
        <w:ind w:left="567" w:right="567"/>
        <w:rPr>
          <w:rFonts w:cs="Arial"/>
          <w:i/>
        </w:rPr>
      </w:pPr>
      <w:r w:rsidRPr="00774267">
        <w:rPr>
          <w:rFonts w:cs="Arial"/>
          <w:i/>
        </w:rPr>
        <w:t>“</w:t>
      </w:r>
      <w:r w:rsidR="00E61DA2" w:rsidRPr="00774267">
        <w:rPr>
          <w:rFonts w:cs="Arial"/>
          <w:i/>
        </w:rPr>
        <w:t>No requería tampoco demostrarse en un trámite arbitral que mediante otrosí de 30 de enero de 2014 la ANI no hizo ning</w:t>
      </w:r>
      <w:r w:rsidRPr="00774267">
        <w:rPr>
          <w:rFonts w:cs="Arial"/>
          <w:i/>
        </w:rPr>
        <w:t>ú</w:t>
      </w:r>
      <w:r w:rsidR="00E61DA2" w:rsidRPr="00774267">
        <w:rPr>
          <w:rFonts w:cs="Arial"/>
          <w:i/>
        </w:rPr>
        <w:t xml:space="preserve">n reconocimiento al Concesionario sobre el supuesto incumplimiento de pago de costos de financiación de </w:t>
      </w:r>
      <w:r w:rsidR="00CC6A27" w:rsidRPr="00774267">
        <w:rPr>
          <w:rFonts w:cs="Arial"/>
          <w:i/>
        </w:rPr>
        <w:t>ó</w:t>
      </w:r>
      <w:r w:rsidR="00E61DA2" w:rsidRPr="00774267">
        <w:rPr>
          <w:rFonts w:cs="Arial"/>
          <w:i/>
        </w:rPr>
        <w:t>rdenes de pago ni aceptó que se sometiera</w:t>
      </w:r>
      <w:r w:rsidR="00CC6A27" w:rsidRPr="00774267">
        <w:rPr>
          <w:rFonts w:cs="Arial"/>
          <w:i/>
        </w:rPr>
        <w:t>n</w:t>
      </w:r>
      <w:r w:rsidR="00E61DA2" w:rsidRPr="00774267">
        <w:rPr>
          <w:rFonts w:cs="Arial"/>
          <w:i/>
        </w:rPr>
        <w:t xml:space="preserve"> al conocimiento de un Tribunal de Arbitramento los asuntos que fueran conciliados mediante el Acuerdo </w:t>
      </w:r>
      <w:r w:rsidR="00E81848" w:rsidRPr="00774267">
        <w:rPr>
          <w:rFonts w:cs="Arial"/>
          <w:i/>
        </w:rPr>
        <w:t>C</w:t>
      </w:r>
      <w:r w:rsidR="00E61DA2" w:rsidRPr="00774267">
        <w:rPr>
          <w:rFonts w:cs="Arial"/>
          <w:i/>
        </w:rPr>
        <w:t xml:space="preserve">onciliatorio del </w:t>
      </w:r>
      <w:r w:rsidR="008E150F" w:rsidRPr="00774267">
        <w:rPr>
          <w:rFonts w:cs="Arial"/>
          <w:i/>
        </w:rPr>
        <w:t>3</w:t>
      </w:r>
      <w:r w:rsidR="00E61DA2" w:rsidRPr="00774267">
        <w:rPr>
          <w:rFonts w:cs="Arial"/>
          <w:i/>
        </w:rPr>
        <w:t xml:space="preserve"> de mayo de 2005 aprobado median</w:t>
      </w:r>
      <w:r w:rsidRPr="00774267">
        <w:rPr>
          <w:rFonts w:cs="Arial"/>
          <w:i/>
        </w:rPr>
        <w:t>t</w:t>
      </w:r>
      <w:r w:rsidR="00E61DA2" w:rsidRPr="00774267">
        <w:rPr>
          <w:rFonts w:cs="Arial"/>
          <w:i/>
        </w:rPr>
        <w:t>e Acta No. 32 del 26 de mayo de 2005</w:t>
      </w:r>
      <w:r w:rsidR="00136CE5" w:rsidRPr="00774267">
        <w:rPr>
          <w:rFonts w:cs="Arial"/>
          <w:i/>
        </w:rPr>
        <w:t>”</w:t>
      </w:r>
      <w:r w:rsidR="00136CE5" w:rsidRPr="00774267">
        <w:rPr>
          <w:rStyle w:val="Refdenotaalpie"/>
          <w:rFonts w:cs="Arial"/>
          <w:i/>
        </w:rPr>
        <w:footnoteReference w:id="29"/>
      </w:r>
      <w:r w:rsidR="00E61DA2" w:rsidRPr="00774267">
        <w:rPr>
          <w:rFonts w:cs="Arial"/>
          <w:i/>
        </w:rPr>
        <w:t xml:space="preserve">. </w:t>
      </w:r>
    </w:p>
    <w:p w14:paraId="3BFD4788" w14:textId="77777777" w:rsidR="00206CDA" w:rsidRPr="00774267" w:rsidRDefault="00206CDA" w:rsidP="002D4371">
      <w:pPr>
        <w:pStyle w:val="Textoindependiente22"/>
        <w:numPr>
          <w:ilvl w:val="12"/>
          <w:numId w:val="0"/>
        </w:numPr>
        <w:overflowPunct/>
        <w:autoSpaceDE/>
        <w:autoSpaceDN/>
        <w:adjustRightInd/>
        <w:textAlignment w:val="auto"/>
        <w:rPr>
          <w:rFonts w:cs="Arial"/>
          <w:b/>
          <w:szCs w:val="24"/>
        </w:rPr>
      </w:pPr>
    </w:p>
    <w:p w14:paraId="7EAE0AF7" w14:textId="77777777" w:rsidR="00AF4232" w:rsidRPr="00774267" w:rsidRDefault="00B713B0" w:rsidP="002D4371">
      <w:pPr>
        <w:pStyle w:val="Textoindependiente22"/>
        <w:numPr>
          <w:ilvl w:val="12"/>
          <w:numId w:val="0"/>
        </w:numPr>
        <w:overflowPunct/>
        <w:autoSpaceDE/>
        <w:autoSpaceDN/>
        <w:adjustRightInd/>
        <w:textAlignment w:val="auto"/>
        <w:rPr>
          <w:rFonts w:cs="Arial"/>
          <w:b/>
          <w:szCs w:val="24"/>
        </w:rPr>
      </w:pPr>
      <w:r w:rsidRPr="00774267">
        <w:rPr>
          <w:rFonts w:cs="Arial"/>
          <w:b/>
          <w:szCs w:val="24"/>
        </w:rPr>
        <w:t>2</w:t>
      </w:r>
      <w:r w:rsidR="00206CDA" w:rsidRPr="00774267">
        <w:rPr>
          <w:rFonts w:cs="Arial"/>
          <w:b/>
          <w:szCs w:val="24"/>
        </w:rPr>
        <w:t xml:space="preserve">.2. </w:t>
      </w:r>
      <w:r w:rsidR="00AF4232" w:rsidRPr="00774267">
        <w:rPr>
          <w:rFonts w:cs="Arial"/>
          <w:b/>
          <w:szCs w:val="24"/>
        </w:rPr>
        <w:t xml:space="preserve">Contestación de la convocante </w:t>
      </w:r>
      <w:r w:rsidR="005A62B2" w:rsidRPr="00774267">
        <w:rPr>
          <w:rFonts w:cs="Arial"/>
          <w:b/>
          <w:szCs w:val="24"/>
        </w:rPr>
        <w:t>a la causal de falta de competencia</w:t>
      </w:r>
    </w:p>
    <w:p w14:paraId="75E793DF" w14:textId="77777777" w:rsidR="005A62B2" w:rsidRPr="00774267" w:rsidRDefault="005A62B2" w:rsidP="002D4371">
      <w:pPr>
        <w:pStyle w:val="Textoindependiente22"/>
        <w:numPr>
          <w:ilvl w:val="12"/>
          <w:numId w:val="0"/>
        </w:numPr>
        <w:overflowPunct/>
        <w:autoSpaceDE/>
        <w:autoSpaceDN/>
        <w:adjustRightInd/>
        <w:textAlignment w:val="auto"/>
        <w:rPr>
          <w:rFonts w:cs="Arial"/>
          <w:szCs w:val="24"/>
        </w:rPr>
      </w:pPr>
    </w:p>
    <w:p w14:paraId="5020D2D0" w14:textId="77777777" w:rsidR="00DE2895" w:rsidRPr="00774267" w:rsidRDefault="005A62B2"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CSS</w:t>
      </w:r>
      <w:r w:rsidR="00DE2895" w:rsidRPr="00774267">
        <w:rPr>
          <w:rFonts w:cs="Arial"/>
          <w:szCs w:val="24"/>
        </w:rPr>
        <w:t xml:space="preserve"> expuso que los argumentos de la ANI no pueden prosperar, por la</w:t>
      </w:r>
      <w:r w:rsidR="003E635C" w:rsidRPr="00774267">
        <w:rPr>
          <w:rFonts w:cs="Arial"/>
          <w:szCs w:val="24"/>
        </w:rPr>
        <w:t>s</w:t>
      </w:r>
      <w:r w:rsidR="00DE2895" w:rsidRPr="00774267">
        <w:rPr>
          <w:rFonts w:cs="Arial"/>
          <w:szCs w:val="24"/>
        </w:rPr>
        <w:t xml:space="preserve"> siguientes razones:</w:t>
      </w:r>
    </w:p>
    <w:p w14:paraId="164458B2" w14:textId="77777777" w:rsidR="00DE2895" w:rsidRPr="00774267" w:rsidRDefault="00DE2895" w:rsidP="002D4371">
      <w:pPr>
        <w:pStyle w:val="Textoindependiente22"/>
        <w:numPr>
          <w:ilvl w:val="12"/>
          <w:numId w:val="0"/>
        </w:numPr>
        <w:overflowPunct/>
        <w:autoSpaceDE/>
        <w:autoSpaceDN/>
        <w:adjustRightInd/>
        <w:textAlignment w:val="auto"/>
        <w:rPr>
          <w:rFonts w:cs="Arial"/>
          <w:szCs w:val="24"/>
        </w:rPr>
      </w:pPr>
    </w:p>
    <w:p w14:paraId="570B640D" w14:textId="77777777" w:rsidR="00DE2895" w:rsidRPr="00774267" w:rsidRDefault="00AF4232"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Los hechos contractuales que dieron lugar al acuerdo conciliatorio son distintos de los que se plantearon en la demanda arbitral del presente proceso</w:t>
      </w:r>
      <w:r w:rsidR="00DE2895" w:rsidRPr="00774267">
        <w:rPr>
          <w:rFonts w:cs="Arial"/>
          <w:szCs w:val="24"/>
        </w:rPr>
        <w:t>.</w:t>
      </w:r>
    </w:p>
    <w:p w14:paraId="6B0A3A2F" w14:textId="77777777" w:rsidR="00DE2895" w:rsidRPr="00774267" w:rsidRDefault="00DE2895" w:rsidP="002D4371">
      <w:pPr>
        <w:pStyle w:val="Textoindependiente22"/>
        <w:numPr>
          <w:ilvl w:val="12"/>
          <w:numId w:val="0"/>
        </w:numPr>
        <w:overflowPunct/>
        <w:autoSpaceDE/>
        <w:autoSpaceDN/>
        <w:adjustRightInd/>
        <w:textAlignment w:val="auto"/>
        <w:rPr>
          <w:rFonts w:cs="Arial"/>
          <w:b/>
          <w:szCs w:val="24"/>
        </w:rPr>
      </w:pPr>
    </w:p>
    <w:p w14:paraId="026719C2" w14:textId="77777777" w:rsidR="00DE2895" w:rsidRPr="00774267" w:rsidRDefault="00DE2895"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E</w:t>
      </w:r>
      <w:r w:rsidR="00AF4232" w:rsidRPr="00774267">
        <w:rPr>
          <w:rFonts w:cs="Arial"/>
          <w:szCs w:val="24"/>
        </w:rPr>
        <w:t>l laudo arbitral re</w:t>
      </w:r>
      <w:r w:rsidRPr="00774267">
        <w:rPr>
          <w:rFonts w:cs="Arial"/>
          <w:szCs w:val="24"/>
        </w:rPr>
        <w:t>co</w:t>
      </w:r>
      <w:r w:rsidR="00AF4232" w:rsidRPr="00774267">
        <w:rPr>
          <w:rFonts w:cs="Arial"/>
          <w:szCs w:val="24"/>
        </w:rPr>
        <w:t>no</w:t>
      </w:r>
      <w:r w:rsidRPr="00774267">
        <w:rPr>
          <w:rFonts w:cs="Arial"/>
          <w:szCs w:val="24"/>
        </w:rPr>
        <w:t>c</w:t>
      </w:r>
      <w:r w:rsidR="00AF4232" w:rsidRPr="00774267">
        <w:rPr>
          <w:rFonts w:cs="Arial"/>
          <w:szCs w:val="24"/>
        </w:rPr>
        <w:t>ió la cosa juzgada</w:t>
      </w:r>
      <w:r w:rsidRPr="00774267">
        <w:rPr>
          <w:rFonts w:cs="Arial"/>
          <w:szCs w:val="24"/>
        </w:rPr>
        <w:t xml:space="preserve"> y despachó desfavorablemente </w:t>
      </w:r>
      <w:r w:rsidR="00136CE5" w:rsidRPr="00774267">
        <w:rPr>
          <w:rFonts w:cs="Arial"/>
          <w:szCs w:val="24"/>
        </w:rPr>
        <w:t>todas</w:t>
      </w:r>
      <w:r w:rsidRPr="00774267">
        <w:rPr>
          <w:rFonts w:cs="Arial"/>
          <w:szCs w:val="24"/>
        </w:rPr>
        <w:t xml:space="preserve"> las pretensiones de la convocante. </w:t>
      </w:r>
    </w:p>
    <w:p w14:paraId="4853E48B" w14:textId="77777777" w:rsidR="00DE2895" w:rsidRPr="00774267" w:rsidRDefault="00DE2895" w:rsidP="002D4371">
      <w:pPr>
        <w:pStyle w:val="Textoindependiente22"/>
        <w:numPr>
          <w:ilvl w:val="12"/>
          <w:numId w:val="0"/>
        </w:numPr>
        <w:overflowPunct/>
        <w:autoSpaceDE/>
        <w:autoSpaceDN/>
        <w:adjustRightInd/>
        <w:textAlignment w:val="auto"/>
        <w:rPr>
          <w:rFonts w:cs="Arial"/>
          <w:b/>
          <w:szCs w:val="24"/>
        </w:rPr>
      </w:pPr>
    </w:p>
    <w:p w14:paraId="557383C3" w14:textId="77777777" w:rsidR="00DE2895" w:rsidRPr="00774267" w:rsidRDefault="003E635C"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E</w:t>
      </w:r>
      <w:r w:rsidR="00DE2895" w:rsidRPr="00774267">
        <w:rPr>
          <w:rFonts w:cs="Arial"/>
          <w:szCs w:val="24"/>
        </w:rPr>
        <w:t xml:space="preserve">n el </w:t>
      </w:r>
      <w:r w:rsidR="001D7398" w:rsidRPr="00774267">
        <w:rPr>
          <w:rFonts w:cs="Arial"/>
          <w:szCs w:val="24"/>
        </w:rPr>
        <w:t>O</w:t>
      </w:r>
      <w:r w:rsidR="00DE2895" w:rsidRPr="00774267">
        <w:rPr>
          <w:rFonts w:cs="Arial"/>
          <w:szCs w:val="24"/>
        </w:rPr>
        <w:t>trosí de enero 30 de 2014</w:t>
      </w:r>
      <w:r w:rsidR="00CC6A27" w:rsidRPr="00774267">
        <w:rPr>
          <w:rFonts w:cs="Arial"/>
          <w:szCs w:val="24"/>
        </w:rPr>
        <w:t>,</w:t>
      </w:r>
      <w:r w:rsidR="00DE2895" w:rsidRPr="00774267">
        <w:rPr>
          <w:rFonts w:cs="Arial"/>
          <w:szCs w:val="24"/>
        </w:rPr>
        <w:t xml:space="preserve"> las parte</w:t>
      </w:r>
      <w:r w:rsidR="004035E0" w:rsidRPr="00774267">
        <w:rPr>
          <w:rFonts w:cs="Arial"/>
          <w:szCs w:val="24"/>
        </w:rPr>
        <w:t>s</w:t>
      </w:r>
      <w:r w:rsidR="00DE2895" w:rsidRPr="00774267">
        <w:rPr>
          <w:rFonts w:cs="Arial"/>
          <w:szCs w:val="24"/>
        </w:rPr>
        <w:t xml:space="preserve"> convinieron que las controversias que </w:t>
      </w:r>
      <w:r w:rsidR="004035E0" w:rsidRPr="00774267">
        <w:rPr>
          <w:rFonts w:cs="Arial"/>
          <w:szCs w:val="24"/>
        </w:rPr>
        <w:t>es</w:t>
      </w:r>
      <w:r w:rsidR="00DE2895" w:rsidRPr="00774267">
        <w:rPr>
          <w:rFonts w:cs="Arial"/>
          <w:szCs w:val="24"/>
        </w:rPr>
        <w:t>tuvieran pendientes</w:t>
      </w:r>
      <w:r w:rsidR="004035E0" w:rsidRPr="00774267">
        <w:rPr>
          <w:rFonts w:cs="Arial"/>
          <w:szCs w:val="24"/>
        </w:rPr>
        <w:t>,</w:t>
      </w:r>
      <w:r w:rsidR="00DE2895" w:rsidRPr="00774267">
        <w:rPr>
          <w:rFonts w:cs="Arial"/>
          <w:szCs w:val="24"/>
        </w:rPr>
        <w:t xml:space="preserve"> </w:t>
      </w:r>
      <w:r w:rsidR="00DE2895" w:rsidRPr="00774267">
        <w:rPr>
          <w:rFonts w:cs="Arial"/>
          <w:i/>
          <w:szCs w:val="24"/>
        </w:rPr>
        <w:t>“que no eran pocas ya que dieron lugar a la convocatoria de cuatro tribunales arbitrales, de los cuales dos fueron conciliados, fueran de forma expresa resueltas en instancia arbitral</w:t>
      </w:r>
      <w:r w:rsidR="00CC6A27" w:rsidRPr="00774267">
        <w:rPr>
          <w:rFonts w:cs="Arial"/>
          <w:i/>
          <w:szCs w:val="24"/>
        </w:rPr>
        <w:t>”</w:t>
      </w:r>
      <w:r w:rsidR="00DE2895" w:rsidRPr="00774267">
        <w:rPr>
          <w:rStyle w:val="Refdenotaalpie"/>
          <w:rFonts w:cs="Arial"/>
          <w:i/>
          <w:szCs w:val="24"/>
        </w:rPr>
        <w:footnoteReference w:id="30"/>
      </w:r>
      <w:r w:rsidR="00DE2895" w:rsidRPr="00774267">
        <w:rPr>
          <w:rFonts w:cs="Arial"/>
          <w:szCs w:val="24"/>
        </w:rPr>
        <w:t>.</w:t>
      </w:r>
    </w:p>
    <w:p w14:paraId="4B92A376" w14:textId="77777777" w:rsidR="007B6B29" w:rsidRPr="00774267" w:rsidRDefault="007B6B29" w:rsidP="00A22CD0">
      <w:pPr>
        <w:pStyle w:val="Textoindependiente22"/>
        <w:numPr>
          <w:ilvl w:val="12"/>
          <w:numId w:val="0"/>
        </w:numPr>
        <w:overflowPunct/>
        <w:autoSpaceDE/>
        <w:autoSpaceDN/>
        <w:adjustRightInd/>
        <w:spacing w:line="276" w:lineRule="auto"/>
        <w:ind w:left="567" w:right="567"/>
        <w:textAlignment w:val="auto"/>
        <w:rPr>
          <w:rFonts w:cs="Arial"/>
          <w:i/>
          <w:szCs w:val="24"/>
        </w:rPr>
      </w:pPr>
    </w:p>
    <w:p w14:paraId="5395B49E" w14:textId="77777777" w:rsidR="00B54287" w:rsidRPr="00774267" w:rsidRDefault="00B713B0" w:rsidP="00B713B0">
      <w:pPr>
        <w:pStyle w:val="Textoindependiente22"/>
        <w:numPr>
          <w:ilvl w:val="12"/>
          <w:numId w:val="0"/>
        </w:numPr>
        <w:overflowPunct/>
        <w:autoSpaceDE/>
        <w:autoSpaceDN/>
        <w:adjustRightInd/>
        <w:spacing w:line="240" w:lineRule="auto"/>
        <w:textAlignment w:val="auto"/>
        <w:rPr>
          <w:rFonts w:cs="Arial"/>
          <w:b/>
          <w:szCs w:val="24"/>
        </w:rPr>
      </w:pPr>
      <w:r w:rsidRPr="00774267">
        <w:rPr>
          <w:rFonts w:cs="Arial"/>
          <w:b/>
          <w:szCs w:val="24"/>
        </w:rPr>
        <w:t>2</w:t>
      </w:r>
      <w:r w:rsidR="003E635C" w:rsidRPr="00774267">
        <w:rPr>
          <w:rFonts w:cs="Arial"/>
          <w:b/>
          <w:szCs w:val="24"/>
        </w:rPr>
        <w:t xml:space="preserve">.3. </w:t>
      </w:r>
      <w:r w:rsidR="00B54287" w:rsidRPr="00774267">
        <w:rPr>
          <w:rFonts w:cs="Arial"/>
          <w:b/>
          <w:szCs w:val="24"/>
        </w:rPr>
        <w:t>Análisis de la Sala</w:t>
      </w:r>
      <w:r w:rsidR="00136CE5" w:rsidRPr="00774267">
        <w:rPr>
          <w:rFonts w:cs="Arial"/>
          <w:b/>
          <w:szCs w:val="24"/>
        </w:rPr>
        <w:t xml:space="preserve"> acerca de la falta de competencia del Tribunal de Arbitramento</w:t>
      </w:r>
    </w:p>
    <w:p w14:paraId="313EE791" w14:textId="77777777" w:rsidR="00EE3A6D" w:rsidRPr="00774267" w:rsidRDefault="00EE3A6D" w:rsidP="002D4371">
      <w:pPr>
        <w:pStyle w:val="Textoindependiente22"/>
        <w:numPr>
          <w:ilvl w:val="12"/>
          <w:numId w:val="0"/>
        </w:numPr>
        <w:overflowPunct/>
        <w:autoSpaceDE/>
        <w:autoSpaceDN/>
        <w:adjustRightInd/>
        <w:textAlignment w:val="auto"/>
        <w:rPr>
          <w:rFonts w:cs="Arial"/>
          <w:b/>
          <w:szCs w:val="24"/>
        </w:rPr>
      </w:pPr>
    </w:p>
    <w:p w14:paraId="55467B2B" w14:textId="77777777" w:rsidR="003E635C" w:rsidRPr="00774267" w:rsidRDefault="00EE3A6D" w:rsidP="00DE7EF5">
      <w:pPr>
        <w:pStyle w:val="Textoindependiente22"/>
        <w:numPr>
          <w:ilvl w:val="12"/>
          <w:numId w:val="0"/>
        </w:numPr>
        <w:overflowPunct/>
        <w:autoSpaceDE/>
        <w:autoSpaceDN/>
        <w:adjustRightInd/>
        <w:textAlignment w:val="auto"/>
        <w:rPr>
          <w:rFonts w:cs="Arial"/>
          <w:color w:val="000000"/>
          <w:szCs w:val="24"/>
          <w:shd w:val="clear" w:color="auto" w:fill="FFFFFF"/>
        </w:rPr>
      </w:pPr>
      <w:r w:rsidRPr="00774267">
        <w:rPr>
          <w:rFonts w:cs="Arial"/>
          <w:szCs w:val="24"/>
        </w:rPr>
        <w:t>Se tiene presente que</w:t>
      </w:r>
      <w:r w:rsidRPr="00774267">
        <w:rPr>
          <w:rFonts w:cs="Arial"/>
          <w:color w:val="000000"/>
          <w:szCs w:val="24"/>
          <w:shd w:val="clear" w:color="auto" w:fill="FFFFFF"/>
        </w:rPr>
        <w:t xml:space="preserve"> el acuerdo conciliatorio </w:t>
      </w:r>
      <w:r w:rsidRPr="00774267">
        <w:rPr>
          <w:rFonts w:cs="Arial"/>
          <w:i/>
          <w:color w:val="000000"/>
          <w:szCs w:val="24"/>
          <w:shd w:val="clear" w:color="auto" w:fill="FFFFFF"/>
        </w:rPr>
        <w:t>“hace tránsito a cosa juzgada y el acta de conciliación presta mérito ejecutivo</w:t>
      </w:r>
      <w:r w:rsidRPr="00774267">
        <w:rPr>
          <w:rFonts w:cs="Arial"/>
          <w:color w:val="000000"/>
          <w:szCs w:val="24"/>
          <w:shd w:val="clear" w:color="auto" w:fill="FFFFFF"/>
        </w:rPr>
        <w:t>”, de conformidad con lo que disponían las normas vigentes para la época en la</w:t>
      </w:r>
      <w:r w:rsidR="00CC6A27" w:rsidRPr="00774267">
        <w:rPr>
          <w:rFonts w:cs="Arial"/>
          <w:color w:val="000000"/>
          <w:szCs w:val="24"/>
          <w:shd w:val="clear" w:color="auto" w:fill="FFFFFF"/>
        </w:rPr>
        <w:t xml:space="preserve"> cual la</w:t>
      </w:r>
      <w:r w:rsidRPr="00774267">
        <w:rPr>
          <w:rFonts w:cs="Arial"/>
          <w:color w:val="000000"/>
          <w:szCs w:val="24"/>
          <w:shd w:val="clear" w:color="auto" w:fill="FFFFFF"/>
        </w:rPr>
        <w:t xml:space="preserve">s partes adelantaron el proceso arbitral que culminó con el acuerdo conciliatorio de </w:t>
      </w:r>
      <w:r w:rsidR="008E150F" w:rsidRPr="00774267">
        <w:rPr>
          <w:rFonts w:cs="Arial"/>
          <w:color w:val="000000"/>
          <w:szCs w:val="24"/>
          <w:shd w:val="clear" w:color="auto" w:fill="FFFFFF"/>
        </w:rPr>
        <w:t>3</w:t>
      </w:r>
      <w:r w:rsidRPr="00774267">
        <w:rPr>
          <w:rFonts w:cs="Arial"/>
          <w:color w:val="000000"/>
          <w:szCs w:val="24"/>
          <w:shd w:val="clear" w:color="auto" w:fill="FFFFFF"/>
        </w:rPr>
        <w:t xml:space="preserve"> de mayo de 2005</w:t>
      </w:r>
      <w:r w:rsidRPr="00774267">
        <w:rPr>
          <w:rStyle w:val="Refdenotaalpie"/>
          <w:rFonts w:cs="Arial"/>
          <w:color w:val="000000"/>
          <w:szCs w:val="24"/>
          <w:shd w:val="clear" w:color="auto" w:fill="FFFFFF"/>
        </w:rPr>
        <w:footnoteReference w:id="31"/>
      </w:r>
      <w:r w:rsidRPr="00774267">
        <w:rPr>
          <w:rFonts w:cs="Arial"/>
          <w:color w:val="000000"/>
          <w:szCs w:val="24"/>
          <w:shd w:val="clear" w:color="auto" w:fill="FFFFFF"/>
        </w:rPr>
        <w:t>.</w:t>
      </w:r>
      <w:r w:rsidR="00DE7EF5" w:rsidRPr="00774267">
        <w:rPr>
          <w:rFonts w:cs="Arial"/>
          <w:color w:val="000000"/>
          <w:szCs w:val="24"/>
          <w:shd w:val="clear" w:color="auto" w:fill="FFFFFF"/>
        </w:rPr>
        <w:t xml:space="preserve"> </w:t>
      </w:r>
    </w:p>
    <w:p w14:paraId="0BF00421" w14:textId="77777777" w:rsidR="003E635C" w:rsidRPr="00774267" w:rsidRDefault="003E635C" w:rsidP="00DE7EF5">
      <w:pPr>
        <w:pStyle w:val="Textoindependiente22"/>
        <w:numPr>
          <w:ilvl w:val="12"/>
          <w:numId w:val="0"/>
        </w:numPr>
        <w:overflowPunct/>
        <w:autoSpaceDE/>
        <w:autoSpaceDN/>
        <w:adjustRightInd/>
        <w:textAlignment w:val="auto"/>
        <w:rPr>
          <w:rFonts w:cs="Arial"/>
          <w:color w:val="000000"/>
          <w:szCs w:val="24"/>
          <w:shd w:val="clear" w:color="auto" w:fill="FFFFFF"/>
        </w:rPr>
      </w:pPr>
    </w:p>
    <w:p w14:paraId="11DB21DC" w14:textId="77777777" w:rsidR="00EE3A6D" w:rsidRPr="00774267" w:rsidRDefault="00DE7EF5" w:rsidP="00DE7EF5">
      <w:pPr>
        <w:pStyle w:val="Textoindependiente22"/>
        <w:numPr>
          <w:ilvl w:val="12"/>
          <w:numId w:val="0"/>
        </w:numPr>
        <w:overflowPunct/>
        <w:autoSpaceDE/>
        <w:autoSpaceDN/>
        <w:adjustRightInd/>
        <w:textAlignment w:val="auto"/>
        <w:rPr>
          <w:rFonts w:cs="Arial"/>
          <w:i/>
          <w:color w:val="000000"/>
          <w:szCs w:val="24"/>
          <w:shd w:val="clear" w:color="auto" w:fill="FFFFFF"/>
        </w:rPr>
      </w:pPr>
      <w:r w:rsidRPr="00774267">
        <w:rPr>
          <w:rFonts w:cs="Arial"/>
          <w:color w:val="000000"/>
          <w:szCs w:val="24"/>
          <w:shd w:val="clear" w:color="auto" w:fill="FFFFFF"/>
        </w:rPr>
        <w:lastRenderedPageBreak/>
        <w:t>En la misma forma, la Ley 1563 de 2012 establece:</w:t>
      </w:r>
      <w:r w:rsidRPr="00774267">
        <w:rPr>
          <w:rStyle w:val="apple-converted-space"/>
          <w:rFonts w:cs="Arial"/>
          <w:color w:val="000000"/>
          <w:szCs w:val="24"/>
          <w:shd w:val="clear" w:color="auto" w:fill="FFFFFF"/>
        </w:rPr>
        <w:t xml:space="preserve"> “</w:t>
      </w:r>
      <w:r w:rsidRPr="00774267">
        <w:rPr>
          <w:rFonts w:cs="Arial"/>
          <w:i/>
          <w:color w:val="000000"/>
          <w:szCs w:val="24"/>
          <w:shd w:val="clear" w:color="auto" w:fill="FFFFFF"/>
        </w:rPr>
        <w:t>Si las partes llegaren a una conciliación, el tribunal la aprobará mediante auto que hace tránsito a cosa juzgada y que, en caso de contener una obligación expresa, clara y exigible, prestará mérito ejecutivo”.</w:t>
      </w:r>
    </w:p>
    <w:p w14:paraId="1EAEAD6C" w14:textId="77777777" w:rsidR="00DE7EF5" w:rsidRPr="00774267" w:rsidRDefault="00DE7EF5" w:rsidP="002D4371">
      <w:pPr>
        <w:pStyle w:val="Textoindependiente22"/>
        <w:numPr>
          <w:ilvl w:val="12"/>
          <w:numId w:val="0"/>
        </w:numPr>
        <w:overflowPunct/>
        <w:autoSpaceDE/>
        <w:autoSpaceDN/>
        <w:adjustRightInd/>
        <w:textAlignment w:val="auto"/>
        <w:rPr>
          <w:rFonts w:cs="Arial"/>
          <w:color w:val="000000"/>
          <w:szCs w:val="24"/>
          <w:shd w:val="clear" w:color="auto" w:fill="FFFFFF"/>
        </w:rPr>
      </w:pPr>
    </w:p>
    <w:p w14:paraId="2E3FBA10" w14:textId="77777777" w:rsidR="00D3445E" w:rsidRPr="00774267" w:rsidRDefault="003E635C" w:rsidP="002D4371">
      <w:pPr>
        <w:pStyle w:val="Textoindependiente22"/>
        <w:numPr>
          <w:ilvl w:val="12"/>
          <w:numId w:val="0"/>
        </w:numPr>
        <w:overflowPunct/>
        <w:autoSpaceDE/>
        <w:autoSpaceDN/>
        <w:adjustRightInd/>
        <w:textAlignment w:val="auto"/>
        <w:rPr>
          <w:rFonts w:cs="Arial"/>
          <w:color w:val="000000"/>
          <w:szCs w:val="24"/>
          <w:shd w:val="clear" w:color="auto" w:fill="FFFFFF"/>
        </w:rPr>
      </w:pPr>
      <w:r w:rsidRPr="00774267">
        <w:rPr>
          <w:rFonts w:cs="Arial"/>
          <w:color w:val="000000"/>
          <w:szCs w:val="24"/>
          <w:shd w:val="clear" w:color="auto" w:fill="FFFFFF"/>
        </w:rPr>
        <w:t>Es cierto que l</w:t>
      </w:r>
      <w:r w:rsidR="00DE7EF5" w:rsidRPr="00774267">
        <w:rPr>
          <w:rFonts w:cs="Arial"/>
          <w:color w:val="000000"/>
          <w:szCs w:val="24"/>
          <w:shd w:val="clear" w:color="auto" w:fill="FFFFFF"/>
        </w:rPr>
        <w:t xml:space="preserve">a existencia de la cosa juzgada impide al Tribunal de Arbitramento entrar a conocer de fondo sobre </w:t>
      </w:r>
      <w:r w:rsidR="000169FC" w:rsidRPr="00774267">
        <w:rPr>
          <w:rFonts w:cs="Arial"/>
          <w:color w:val="000000"/>
          <w:szCs w:val="24"/>
          <w:shd w:val="clear" w:color="auto" w:fill="FFFFFF"/>
        </w:rPr>
        <w:t>el litigio que ya ha sido objeto de una decisión anterior, entre las mismas partes</w:t>
      </w:r>
      <w:r w:rsidR="00CC6A27" w:rsidRPr="00774267">
        <w:rPr>
          <w:rFonts w:cs="Arial"/>
          <w:color w:val="000000"/>
          <w:szCs w:val="24"/>
          <w:shd w:val="clear" w:color="auto" w:fill="FFFFFF"/>
        </w:rPr>
        <w:t>; n</w:t>
      </w:r>
      <w:r w:rsidR="003F6F1C" w:rsidRPr="00774267">
        <w:rPr>
          <w:rFonts w:cs="Arial"/>
          <w:color w:val="000000"/>
          <w:szCs w:val="24"/>
          <w:shd w:val="clear" w:color="auto" w:fill="FFFFFF"/>
        </w:rPr>
        <w:t>o obstante, p</w:t>
      </w:r>
      <w:r w:rsidR="000169FC" w:rsidRPr="00774267">
        <w:rPr>
          <w:rFonts w:cs="Arial"/>
          <w:color w:val="000000"/>
          <w:szCs w:val="24"/>
          <w:shd w:val="clear" w:color="auto" w:fill="FFFFFF"/>
        </w:rPr>
        <w:t xml:space="preserve">ara </w:t>
      </w:r>
      <w:r w:rsidR="00724C1A" w:rsidRPr="00774267">
        <w:rPr>
          <w:rFonts w:cs="Arial"/>
          <w:color w:val="000000"/>
          <w:szCs w:val="24"/>
          <w:shd w:val="clear" w:color="auto" w:fill="FFFFFF"/>
        </w:rPr>
        <w:t xml:space="preserve">establecer </w:t>
      </w:r>
      <w:r w:rsidR="00B713B0" w:rsidRPr="00774267">
        <w:rPr>
          <w:rFonts w:cs="Arial"/>
          <w:color w:val="000000"/>
          <w:szCs w:val="24"/>
          <w:shd w:val="clear" w:color="auto" w:fill="FFFFFF"/>
        </w:rPr>
        <w:t>la identidad de objeto y el consecuente</w:t>
      </w:r>
      <w:r w:rsidR="00EE042C" w:rsidRPr="00774267">
        <w:rPr>
          <w:rFonts w:cs="Arial"/>
          <w:color w:val="000000"/>
          <w:szCs w:val="24"/>
          <w:shd w:val="clear" w:color="auto" w:fill="FFFFFF"/>
        </w:rPr>
        <w:t xml:space="preserve"> alcance material de </w:t>
      </w:r>
      <w:r w:rsidR="000169FC" w:rsidRPr="00774267">
        <w:rPr>
          <w:rFonts w:cs="Arial"/>
          <w:color w:val="000000"/>
          <w:szCs w:val="24"/>
          <w:shd w:val="clear" w:color="auto" w:fill="FFFFFF"/>
        </w:rPr>
        <w:t xml:space="preserve">la cosa juzgada </w:t>
      </w:r>
      <w:r w:rsidR="00EE042C" w:rsidRPr="00774267">
        <w:rPr>
          <w:rFonts w:cs="Arial"/>
          <w:color w:val="000000"/>
          <w:szCs w:val="24"/>
          <w:shd w:val="clear" w:color="auto" w:fill="FFFFFF"/>
        </w:rPr>
        <w:t xml:space="preserve">es preciso detenerse en las decisiones </w:t>
      </w:r>
      <w:r w:rsidR="00D3445E" w:rsidRPr="00774267">
        <w:rPr>
          <w:rFonts w:cs="Arial"/>
          <w:color w:val="000000"/>
          <w:szCs w:val="24"/>
          <w:shd w:val="clear" w:color="auto" w:fill="FFFFFF"/>
        </w:rPr>
        <w:t>de</w:t>
      </w:r>
      <w:r w:rsidR="00B713B0" w:rsidRPr="00774267">
        <w:rPr>
          <w:rFonts w:cs="Arial"/>
          <w:color w:val="000000"/>
          <w:szCs w:val="24"/>
          <w:shd w:val="clear" w:color="auto" w:fill="FFFFFF"/>
        </w:rPr>
        <w:t xml:space="preserve"> </w:t>
      </w:r>
      <w:r w:rsidR="00EE042C" w:rsidRPr="00774267">
        <w:rPr>
          <w:rFonts w:cs="Arial"/>
          <w:color w:val="000000"/>
          <w:szCs w:val="24"/>
          <w:shd w:val="clear" w:color="auto" w:fill="FFFFFF"/>
        </w:rPr>
        <w:t xml:space="preserve">la providencia que se invoca como </w:t>
      </w:r>
      <w:r w:rsidR="003F6F1C" w:rsidRPr="00774267">
        <w:rPr>
          <w:rFonts w:cs="Arial"/>
          <w:color w:val="000000"/>
          <w:szCs w:val="24"/>
          <w:shd w:val="clear" w:color="auto" w:fill="FFFFFF"/>
        </w:rPr>
        <w:t>cosa juzgada</w:t>
      </w:r>
      <w:r w:rsidR="00D3445E" w:rsidRPr="00774267">
        <w:rPr>
          <w:rFonts w:cs="Arial"/>
          <w:color w:val="000000"/>
          <w:szCs w:val="24"/>
          <w:shd w:val="clear" w:color="auto" w:fill="FFFFFF"/>
        </w:rPr>
        <w:t>,</w:t>
      </w:r>
      <w:r w:rsidR="003F6F1C" w:rsidRPr="00774267">
        <w:rPr>
          <w:rFonts w:cs="Arial"/>
          <w:color w:val="000000"/>
          <w:szCs w:val="24"/>
          <w:shd w:val="clear" w:color="auto" w:fill="FFFFFF"/>
        </w:rPr>
        <w:t xml:space="preserve"> o en su caso, </w:t>
      </w:r>
      <w:r w:rsidR="000724D8" w:rsidRPr="00774267">
        <w:rPr>
          <w:rFonts w:cs="Arial"/>
          <w:color w:val="000000"/>
          <w:szCs w:val="24"/>
          <w:shd w:val="clear" w:color="auto" w:fill="FFFFFF"/>
        </w:rPr>
        <w:t xml:space="preserve">en el </w:t>
      </w:r>
      <w:r w:rsidR="00724C1A" w:rsidRPr="00774267">
        <w:rPr>
          <w:rFonts w:cs="Arial"/>
          <w:color w:val="000000"/>
          <w:szCs w:val="24"/>
          <w:shd w:val="clear" w:color="auto" w:fill="FFFFFF"/>
        </w:rPr>
        <w:t xml:space="preserve">contenido del </w:t>
      </w:r>
      <w:r w:rsidR="003F6F1C" w:rsidRPr="00774267">
        <w:rPr>
          <w:rFonts w:cs="Arial"/>
          <w:color w:val="000000"/>
          <w:szCs w:val="24"/>
          <w:shd w:val="clear" w:color="auto" w:fill="FFFFFF"/>
        </w:rPr>
        <w:t>acuerdo conciliatorio</w:t>
      </w:r>
      <w:r w:rsidR="00D3445E" w:rsidRPr="00774267">
        <w:rPr>
          <w:rFonts w:cs="Arial"/>
          <w:color w:val="000000"/>
          <w:szCs w:val="24"/>
          <w:shd w:val="clear" w:color="auto" w:fill="FFFFFF"/>
        </w:rPr>
        <w:t xml:space="preserve"> correspondiente.</w:t>
      </w:r>
    </w:p>
    <w:p w14:paraId="5DD1C9A2" w14:textId="77777777" w:rsidR="00EE042C" w:rsidRPr="00774267" w:rsidRDefault="00D3445E" w:rsidP="002D4371">
      <w:pPr>
        <w:pStyle w:val="Textoindependiente22"/>
        <w:numPr>
          <w:ilvl w:val="12"/>
          <w:numId w:val="0"/>
        </w:numPr>
        <w:overflowPunct/>
        <w:autoSpaceDE/>
        <w:autoSpaceDN/>
        <w:adjustRightInd/>
        <w:textAlignment w:val="auto"/>
        <w:rPr>
          <w:rFonts w:cs="Arial"/>
          <w:color w:val="000000"/>
          <w:szCs w:val="24"/>
          <w:shd w:val="clear" w:color="auto" w:fill="FFFFFF"/>
        </w:rPr>
      </w:pPr>
      <w:r w:rsidRPr="00774267">
        <w:rPr>
          <w:rFonts w:cs="Arial"/>
          <w:color w:val="000000"/>
          <w:szCs w:val="24"/>
          <w:shd w:val="clear" w:color="auto" w:fill="FFFFFF"/>
        </w:rPr>
        <w:t xml:space="preserve"> </w:t>
      </w:r>
    </w:p>
    <w:p w14:paraId="5431332D" w14:textId="77777777" w:rsidR="00CA355C" w:rsidRPr="00774267" w:rsidRDefault="00EE042C" w:rsidP="002D4371">
      <w:pPr>
        <w:pStyle w:val="Textoindependiente22"/>
        <w:numPr>
          <w:ilvl w:val="12"/>
          <w:numId w:val="0"/>
        </w:numPr>
        <w:overflowPunct/>
        <w:autoSpaceDE/>
        <w:autoSpaceDN/>
        <w:adjustRightInd/>
        <w:textAlignment w:val="auto"/>
        <w:rPr>
          <w:rFonts w:cs="Arial"/>
          <w:color w:val="000000"/>
          <w:szCs w:val="24"/>
          <w:shd w:val="clear" w:color="auto" w:fill="FFFFFF"/>
        </w:rPr>
      </w:pPr>
      <w:r w:rsidRPr="00774267">
        <w:rPr>
          <w:rFonts w:cs="Arial"/>
          <w:color w:val="000000"/>
          <w:szCs w:val="24"/>
          <w:shd w:val="clear" w:color="auto" w:fill="FFFFFF"/>
        </w:rPr>
        <w:t xml:space="preserve">Descendiendo al caso concreto, el </w:t>
      </w:r>
      <w:r w:rsidRPr="00774267">
        <w:rPr>
          <w:rFonts w:cs="Arial"/>
          <w:b/>
          <w:color w:val="000000"/>
          <w:szCs w:val="24"/>
          <w:shd w:val="clear" w:color="auto" w:fill="FFFFFF"/>
        </w:rPr>
        <w:t>problema jurídico</w:t>
      </w:r>
      <w:r w:rsidRPr="00774267">
        <w:rPr>
          <w:rFonts w:cs="Arial"/>
          <w:color w:val="000000"/>
          <w:szCs w:val="24"/>
          <w:shd w:val="clear" w:color="auto" w:fill="FFFFFF"/>
        </w:rPr>
        <w:t xml:space="preserve"> que se </w:t>
      </w:r>
      <w:r w:rsidR="00C25EA9" w:rsidRPr="00774267">
        <w:rPr>
          <w:rFonts w:cs="Arial"/>
          <w:color w:val="000000"/>
          <w:szCs w:val="24"/>
          <w:shd w:val="clear" w:color="auto" w:fill="FFFFFF"/>
        </w:rPr>
        <w:t xml:space="preserve">presenta </w:t>
      </w:r>
      <w:r w:rsidRPr="00774267">
        <w:rPr>
          <w:rFonts w:cs="Arial"/>
          <w:color w:val="000000"/>
          <w:szCs w:val="24"/>
          <w:shd w:val="clear" w:color="auto" w:fill="FFFFFF"/>
        </w:rPr>
        <w:t xml:space="preserve">en </w:t>
      </w:r>
      <w:r w:rsidR="000724D8" w:rsidRPr="00774267">
        <w:rPr>
          <w:rFonts w:cs="Arial"/>
          <w:color w:val="000000"/>
          <w:szCs w:val="24"/>
          <w:shd w:val="clear" w:color="auto" w:fill="FFFFFF"/>
        </w:rPr>
        <w:t>la causal de falta de competencia</w:t>
      </w:r>
      <w:r w:rsidR="00CA355C" w:rsidRPr="00774267">
        <w:rPr>
          <w:rFonts w:cs="Arial"/>
          <w:color w:val="000000"/>
          <w:szCs w:val="24"/>
          <w:shd w:val="clear" w:color="auto" w:fill="FFFFFF"/>
        </w:rPr>
        <w:t xml:space="preserve"> </w:t>
      </w:r>
      <w:r w:rsidRPr="00774267">
        <w:rPr>
          <w:rFonts w:cs="Arial"/>
          <w:color w:val="000000"/>
          <w:szCs w:val="24"/>
          <w:shd w:val="clear" w:color="auto" w:fill="FFFFFF"/>
        </w:rPr>
        <w:t xml:space="preserve">consiste en definir si existe </w:t>
      </w:r>
      <w:r w:rsidR="000724D8" w:rsidRPr="00774267">
        <w:rPr>
          <w:rFonts w:cs="Arial"/>
          <w:color w:val="000000"/>
          <w:szCs w:val="24"/>
          <w:shd w:val="clear" w:color="auto" w:fill="FFFFFF"/>
        </w:rPr>
        <w:t xml:space="preserve">o no </w:t>
      </w:r>
      <w:r w:rsidRPr="00774267">
        <w:rPr>
          <w:rFonts w:cs="Arial"/>
          <w:color w:val="000000"/>
          <w:szCs w:val="24"/>
          <w:shd w:val="clear" w:color="auto" w:fill="FFFFFF"/>
        </w:rPr>
        <w:t>identidad entre el contenido del acuerdo conciliatorio y las pretensiones de la demanda</w:t>
      </w:r>
      <w:r w:rsidR="00C25EA9" w:rsidRPr="00774267">
        <w:rPr>
          <w:rFonts w:cs="Arial"/>
          <w:color w:val="000000"/>
          <w:szCs w:val="24"/>
          <w:shd w:val="clear" w:color="auto" w:fill="FFFFFF"/>
        </w:rPr>
        <w:t xml:space="preserve"> arbitral</w:t>
      </w:r>
      <w:r w:rsidR="00B01300" w:rsidRPr="00774267">
        <w:rPr>
          <w:rFonts w:cs="Arial"/>
          <w:color w:val="000000"/>
          <w:szCs w:val="24"/>
          <w:shd w:val="clear" w:color="auto" w:fill="FFFFFF"/>
        </w:rPr>
        <w:t xml:space="preserve"> en el presente proceso</w:t>
      </w:r>
      <w:r w:rsidR="000724D8" w:rsidRPr="00774267">
        <w:rPr>
          <w:rFonts w:cs="Arial"/>
          <w:color w:val="000000"/>
          <w:szCs w:val="24"/>
          <w:shd w:val="clear" w:color="auto" w:fill="FFFFFF"/>
        </w:rPr>
        <w:t xml:space="preserve">. </w:t>
      </w:r>
    </w:p>
    <w:p w14:paraId="7E8531B1" w14:textId="77777777" w:rsidR="00CA355C" w:rsidRPr="00774267" w:rsidRDefault="00CA355C" w:rsidP="002D4371">
      <w:pPr>
        <w:pStyle w:val="Textoindependiente22"/>
        <w:numPr>
          <w:ilvl w:val="12"/>
          <w:numId w:val="0"/>
        </w:numPr>
        <w:overflowPunct/>
        <w:autoSpaceDE/>
        <w:autoSpaceDN/>
        <w:adjustRightInd/>
        <w:textAlignment w:val="auto"/>
        <w:rPr>
          <w:rFonts w:cs="Arial"/>
          <w:color w:val="000000"/>
          <w:szCs w:val="24"/>
          <w:shd w:val="clear" w:color="auto" w:fill="FFFFFF"/>
        </w:rPr>
      </w:pPr>
    </w:p>
    <w:p w14:paraId="56D0462A" w14:textId="77777777" w:rsidR="00EE042C" w:rsidRPr="00774267" w:rsidRDefault="000724D8" w:rsidP="002D4371">
      <w:pPr>
        <w:pStyle w:val="Textoindependiente22"/>
        <w:numPr>
          <w:ilvl w:val="12"/>
          <w:numId w:val="0"/>
        </w:numPr>
        <w:overflowPunct/>
        <w:autoSpaceDE/>
        <w:autoSpaceDN/>
        <w:adjustRightInd/>
        <w:textAlignment w:val="auto"/>
        <w:rPr>
          <w:rFonts w:cs="Arial"/>
          <w:color w:val="000000"/>
          <w:szCs w:val="24"/>
          <w:shd w:val="clear" w:color="auto" w:fill="FFFFFF"/>
        </w:rPr>
      </w:pPr>
      <w:r w:rsidRPr="00774267">
        <w:rPr>
          <w:rFonts w:cs="Arial"/>
          <w:color w:val="000000"/>
          <w:szCs w:val="24"/>
          <w:shd w:val="clear" w:color="auto" w:fill="FFFFFF"/>
        </w:rPr>
        <w:t xml:space="preserve">De acuerdo con lo que se establezca, se </w:t>
      </w:r>
      <w:r w:rsidR="00C25EA9" w:rsidRPr="00774267">
        <w:rPr>
          <w:rFonts w:cs="Arial"/>
          <w:color w:val="000000"/>
          <w:szCs w:val="24"/>
          <w:shd w:val="clear" w:color="auto" w:fill="FFFFFF"/>
        </w:rPr>
        <w:t xml:space="preserve">debe definir </w:t>
      </w:r>
      <w:r w:rsidR="00EE042C" w:rsidRPr="00774267">
        <w:rPr>
          <w:rFonts w:cs="Arial"/>
          <w:color w:val="000000"/>
          <w:szCs w:val="24"/>
          <w:shd w:val="clear" w:color="auto" w:fill="FFFFFF"/>
        </w:rPr>
        <w:t>si el Tribunal de Arbitramento decidió en forma correcta acerca de su competencia para conocer del litigio arbitral.</w:t>
      </w:r>
    </w:p>
    <w:p w14:paraId="0F20A4A2" w14:textId="77777777" w:rsidR="00EE042C" w:rsidRPr="00774267" w:rsidRDefault="00EE042C" w:rsidP="002D4371">
      <w:pPr>
        <w:pStyle w:val="Textoindependiente22"/>
        <w:numPr>
          <w:ilvl w:val="12"/>
          <w:numId w:val="0"/>
        </w:numPr>
        <w:overflowPunct/>
        <w:autoSpaceDE/>
        <w:autoSpaceDN/>
        <w:adjustRightInd/>
        <w:textAlignment w:val="auto"/>
        <w:rPr>
          <w:rFonts w:cs="Arial"/>
          <w:color w:val="000000"/>
          <w:szCs w:val="24"/>
          <w:shd w:val="clear" w:color="auto" w:fill="FFFFFF"/>
        </w:rPr>
      </w:pPr>
    </w:p>
    <w:p w14:paraId="7258997D" w14:textId="77777777" w:rsidR="00A565B9" w:rsidRPr="00774267" w:rsidRDefault="00CA355C" w:rsidP="00A565B9">
      <w:pPr>
        <w:pStyle w:val="Textoindependiente22"/>
        <w:numPr>
          <w:ilvl w:val="12"/>
          <w:numId w:val="0"/>
        </w:numPr>
        <w:overflowPunct/>
        <w:autoSpaceDE/>
        <w:autoSpaceDN/>
        <w:adjustRightInd/>
        <w:textAlignment w:val="auto"/>
        <w:rPr>
          <w:rFonts w:cs="Arial"/>
          <w:szCs w:val="24"/>
        </w:rPr>
      </w:pPr>
      <w:r w:rsidRPr="00774267">
        <w:rPr>
          <w:rFonts w:cs="Arial"/>
          <w:szCs w:val="24"/>
        </w:rPr>
        <w:t>Considera la Sala que e</w:t>
      </w:r>
      <w:r w:rsidR="00A565B9" w:rsidRPr="00774267">
        <w:rPr>
          <w:rFonts w:cs="Arial"/>
          <w:szCs w:val="24"/>
        </w:rPr>
        <w:t xml:space="preserve">n el presente caso </w:t>
      </w:r>
      <w:r w:rsidR="00AD1AA3" w:rsidRPr="00774267">
        <w:rPr>
          <w:rFonts w:cs="Arial"/>
          <w:szCs w:val="24"/>
        </w:rPr>
        <w:t xml:space="preserve">el Tribunal de Arbitramento </w:t>
      </w:r>
      <w:r w:rsidR="00A565B9" w:rsidRPr="00774267">
        <w:rPr>
          <w:rFonts w:cs="Arial"/>
          <w:szCs w:val="24"/>
        </w:rPr>
        <w:t>observó acertadamente que no había identidad completa entre los asuntos materia de la conciliación y las pretensiones de la demanda</w:t>
      </w:r>
      <w:r w:rsidR="00AD1AA3" w:rsidRPr="00774267">
        <w:rPr>
          <w:rFonts w:cs="Arial"/>
          <w:szCs w:val="24"/>
        </w:rPr>
        <w:t>, según se explica a continuación</w:t>
      </w:r>
      <w:r w:rsidR="00A565B9" w:rsidRPr="00774267">
        <w:rPr>
          <w:rFonts w:cs="Arial"/>
          <w:szCs w:val="24"/>
        </w:rPr>
        <w:t xml:space="preserve">. </w:t>
      </w:r>
    </w:p>
    <w:p w14:paraId="4C054AEB" w14:textId="77777777" w:rsidR="00B522B8" w:rsidRPr="00774267" w:rsidRDefault="00B522B8" w:rsidP="00A565B9">
      <w:pPr>
        <w:pStyle w:val="Textoindependiente22"/>
        <w:numPr>
          <w:ilvl w:val="12"/>
          <w:numId w:val="0"/>
        </w:numPr>
        <w:overflowPunct/>
        <w:autoSpaceDE/>
        <w:autoSpaceDN/>
        <w:adjustRightInd/>
        <w:textAlignment w:val="auto"/>
        <w:rPr>
          <w:rFonts w:cs="Arial"/>
          <w:szCs w:val="24"/>
        </w:rPr>
      </w:pPr>
    </w:p>
    <w:p w14:paraId="0217F29D" w14:textId="77777777" w:rsidR="00B522B8" w:rsidRPr="00774267" w:rsidRDefault="00B522B8" w:rsidP="00B522B8">
      <w:pPr>
        <w:rPr>
          <w:rFonts w:cs="Arial"/>
          <w:b/>
          <w:lang w:val="es-CO"/>
        </w:rPr>
      </w:pPr>
      <w:r w:rsidRPr="00774267">
        <w:rPr>
          <w:rFonts w:cs="Arial"/>
          <w:b/>
          <w:lang w:val="es-CO"/>
        </w:rPr>
        <w:t>2.3.1. Lo conciliado</w:t>
      </w:r>
    </w:p>
    <w:p w14:paraId="6BC33152" w14:textId="77777777" w:rsidR="00B522B8" w:rsidRPr="00774267" w:rsidRDefault="00B522B8" w:rsidP="00B522B8">
      <w:pPr>
        <w:rPr>
          <w:rFonts w:cs="Arial"/>
          <w:lang w:val="es-CO"/>
        </w:rPr>
      </w:pPr>
    </w:p>
    <w:p w14:paraId="3A481126" w14:textId="77777777" w:rsidR="00B522B8" w:rsidRPr="00774267" w:rsidRDefault="00B522B8" w:rsidP="00B522B8">
      <w:pPr>
        <w:rPr>
          <w:rFonts w:cs="Arial"/>
          <w:lang w:val="es-CO"/>
        </w:rPr>
      </w:pPr>
      <w:r w:rsidRPr="00774267">
        <w:rPr>
          <w:rFonts w:cs="Arial"/>
          <w:lang w:val="es-CO"/>
        </w:rPr>
        <w:t xml:space="preserve">De conformidad con el </w:t>
      </w:r>
      <w:r w:rsidR="00B01300" w:rsidRPr="00774267">
        <w:rPr>
          <w:rFonts w:cs="Arial"/>
          <w:lang w:val="es-CO"/>
        </w:rPr>
        <w:t>A</w:t>
      </w:r>
      <w:r w:rsidRPr="00774267">
        <w:rPr>
          <w:rFonts w:cs="Arial"/>
          <w:lang w:val="es-CO"/>
        </w:rPr>
        <w:t xml:space="preserve">cta No. 32 del 26 de mayo de 2005, bajo el acápite titulado de </w:t>
      </w:r>
      <w:r w:rsidRPr="00774267">
        <w:rPr>
          <w:rFonts w:cs="Arial"/>
          <w:i/>
          <w:lang w:val="es-CO"/>
        </w:rPr>
        <w:t>“Las controversias que se concilian”</w:t>
      </w:r>
      <w:r w:rsidRPr="00774267">
        <w:rPr>
          <w:rFonts w:cs="Arial"/>
          <w:lang w:val="es-CO"/>
        </w:rPr>
        <w:t xml:space="preserve"> en proceso arbitral entablado por Luis H</w:t>
      </w:r>
      <w:r w:rsidR="0028688A" w:rsidRPr="00774267">
        <w:rPr>
          <w:rFonts w:cs="Arial"/>
          <w:lang w:val="es-CO"/>
        </w:rPr>
        <w:t>é</w:t>
      </w:r>
      <w:r w:rsidRPr="00774267">
        <w:rPr>
          <w:rFonts w:cs="Arial"/>
          <w:lang w:val="es-CO"/>
        </w:rPr>
        <w:t>ctor Solarte y Carlos Alberto Solarte contra el INVÍAS, el Tribunal de Arbitramento indicó:</w:t>
      </w:r>
    </w:p>
    <w:p w14:paraId="79C6C108" w14:textId="77777777" w:rsidR="00B522B8" w:rsidRPr="00774267" w:rsidRDefault="00B522B8" w:rsidP="00B522B8">
      <w:pPr>
        <w:spacing w:line="276" w:lineRule="auto"/>
        <w:ind w:left="567" w:right="850"/>
        <w:rPr>
          <w:rFonts w:cs="Arial"/>
          <w:i/>
          <w:lang w:val="es-CO"/>
        </w:rPr>
      </w:pPr>
    </w:p>
    <w:p w14:paraId="58E85521" w14:textId="77777777" w:rsidR="00B522B8" w:rsidRPr="00774267" w:rsidRDefault="00B522B8" w:rsidP="0028688A">
      <w:pPr>
        <w:spacing w:line="276" w:lineRule="auto"/>
        <w:ind w:left="567" w:right="850"/>
        <w:rPr>
          <w:rFonts w:cs="Arial"/>
          <w:i/>
          <w:lang w:val="es-CO"/>
        </w:rPr>
      </w:pPr>
      <w:r w:rsidRPr="00774267">
        <w:rPr>
          <w:rFonts w:cs="Arial"/>
          <w:i/>
          <w:lang w:val="es-CO"/>
        </w:rPr>
        <w:t>“La demanda que originó el presente proceso arbitral formulada por el consorcio contratista, sometida al conocimiento y decisión de este Tribunal, plantea pretensiones principales y subsidiarias, relativas las primeras a declaraciones y condenas sobre el incumplimiento contractual del INVÍAS,  suscrito al tema de obras complementarias, y las segundas, relativas a declaraciones y condenas generadas en un alegado desequilibrio económico en contra del consorcio contratista, relativo al mismo asunto de las obras complementarias”</w:t>
      </w:r>
      <w:r w:rsidR="0028688A" w:rsidRPr="00774267">
        <w:rPr>
          <w:rFonts w:cs="Arial"/>
          <w:i/>
          <w:lang w:val="es-CO"/>
        </w:rPr>
        <w:t>.</w:t>
      </w:r>
    </w:p>
    <w:p w14:paraId="6416AB54" w14:textId="77777777" w:rsidR="00B522B8" w:rsidRPr="00774267" w:rsidRDefault="00B522B8" w:rsidP="00B522B8">
      <w:pPr>
        <w:rPr>
          <w:rFonts w:cs="Arial"/>
          <w:lang w:val="es-CO"/>
        </w:rPr>
      </w:pPr>
    </w:p>
    <w:p w14:paraId="54B79546" w14:textId="77777777" w:rsidR="00B522B8" w:rsidRPr="00774267" w:rsidRDefault="00B522B8" w:rsidP="00B522B8">
      <w:pPr>
        <w:rPr>
          <w:rFonts w:cs="Arial"/>
          <w:lang w:val="es-CO"/>
        </w:rPr>
      </w:pPr>
      <w:r w:rsidRPr="00774267">
        <w:rPr>
          <w:rFonts w:cs="Arial"/>
          <w:lang w:val="es-CO"/>
        </w:rPr>
        <w:lastRenderedPageBreak/>
        <w:t xml:space="preserve">La antedicha consideración se concreta con </w:t>
      </w:r>
      <w:r w:rsidR="00B01300" w:rsidRPr="00774267">
        <w:rPr>
          <w:rFonts w:cs="Arial"/>
          <w:lang w:val="es-CO"/>
        </w:rPr>
        <w:t xml:space="preserve">las pretensiones de la </w:t>
      </w:r>
      <w:r w:rsidRPr="00774267">
        <w:rPr>
          <w:rFonts w:cs="Arial"/>
          <w:lang w:val="es-CO"/>
        </w:rPr>
        <w:t>demanda arbitral presentada el 22 de mayo de 2003</w:t>
      </w:r>
      <w:r w:rsidRPr="00774267">
        <w:rPr>
          <w:rStyle w:val="Refdenotaalpie"/>
          <w:rFonts w:cs="Arial"/>
          <w:lang w:val="es-CO"/>
        </w:rPr>
        <w:footnoteReference w:id="32"/>
      </w:r>
      <w:r w:rsidRPr="00774267">
        <w:rPr>
          <w:rFonts w:cs="Arial"/>
          <w:lang w:val="es-CO"/>
        </w:rPr>
        <w:t xml:space="preserve">, en el proceso que culminó con la conciliación de 3 de mayo de 2005, aprobada en el </w:t>
      </w:r>
      <w:r w:rsidR="00D55C5F" w:rsidRPr="00774267">
        <w:rPr>
          <w:rFonts w:cs="Arial"/>
          <w:lang w:val="es-CO"/>
        </w:rPr>
        <w:t>A</w:t>
      </w:r>
      <w:r w:rsidRPr="00774267">
        <w:rPr>
          <w:rFonts w:cs="Arial"/>
          <w:lang w:val="es-CO"/>
        </w:rPr>
        <w:t>cta 32 de 26 de mayo de 2005 por el Tribunal de Arbitramento del correspondiente proceso arbitral, así:</w:t>
      </w:r>
    </w:p>
    <w:p w14:paraId="21E67D84" w14:textId="77777777" w:rsidR="00B01300" w:rsidRPr="00774267" w:rsidRDefault="00B01300" w:rsidP="00B522B8">
      <w:pPr>
        <w:rPr>
          <w:rFonts w:cs="Arial"/>
          <w:lang w:val="es-CO"/>
        </w:rPr>
      </w:pPr>
    </w:p>
    <w:p w14:paraId="2269F7B0" w14:textId="77777777" w:rsidR="00B522B8" w:rsidRPr="00774267" w:rsidRDefault="00B522B8" w:rsidP="00B522B8">
      <w:pPr>
        <w:rPr>
          <w:rFonts w:cs="Arial"/>
          <w:lang w:val="es-CO"/>
        </w:rPr>
      </w:pPr>
      <w:r w:rsidRPr="00774267">
        <w:rPr>
          <w:rFonts w:cs="Arial"/>
          <w:lang w:val="es-CO"/>
        </w:rPr>
        <w:t>En la pretensión primera de la citada demanda arbitral se solicitó la declaración de incumplimiento del contrato de concesión 0849 de 1995, por el no pago de los valores que se habían causado de acuerdo con el contrato y sus modificatorios, por los siguientes conceptos:</w:t>
      </w:r>
    </w:p>
    <w:p w14:paraId="564FE065" w14:textId="77777777" w:rsidR="003D6FAB" w:rsidRPr="00774267" w:rsidRDefault="003D6FAB" w:rsidP="00B522B8">
      <w:pPr>
        <w:rPr>
          <w:rFonts w:cs="Arial"/>
          <w:highlight w:val="lightGray"/>
          <w:lang w:val="es-CO"/>
        </w:rPr>
      </w:pPr>
    </w:p>
    <w:p w14:paraId="51606B24" w14:textId="77777777" w:rsidR="00B522B8" w:rsidRPr="00774267" w:rsidRDefault="00B522B8" w:rsidP="00B01300">
      <w:pPr>
        <w:spacing w:line="276" w:lineRule="auto"/>
        <w:ind w:left="567" w:right="850"/>
        <w:rPr>
          <w:rFonts w:cs="Arial"/>
          <w:i/>
          <w:lang w:val="es-CO"/>
        </w:rPr>
      </w:pPr>
      <w:r w:rsidRPr="00774267">
        <w:rPr>
          <w:rFonts w:cs="Arial"/>
          <w:i/>
          <w:lang w:val="es-CO"/>
        </w:rPr>
        <w:t xml:space="preserve">“a) el valor de diseño, construcción y </w:t>
      </w:r>
      <w:proofErr w:type="spellStart"/>
      <w:r w:rsidRPr="00774267">
        <w:rPr>
          <w:rFonts w:cs="Arial"/>
          <w:i/>
          <w:lang w:val="es-CO"/>
        </w:rPr>
        <w:t>equipamento</w:t>
      </w:r>
      <w:proofErr w:type="spellEnd"/>
      <w:r w:rsidRPr="00774267">
        <w:rPr>
          <w:rFonts w:cs="Arial"/>
          <w:i/>
          <w:lang w:val="es-CO"/>
        </w:rPr>
        <w:t xml:space="preserve"> de la nueva infraestructura de la caseta de peaje de Flandes;</w:t>
      </w:r>
    </w:p>
    <w:p w14:paraId="7AFB25DB" w14:textId="77777777" w:rsidR="00B01300" w:rsidRPr="00774267" w:rsidRDefault="00B01300" w:rsidP="00B01300">
      <w:pPr>
        <w:spacing w:line="276" w:lineRule="auto"/>
        <w:ind w:left="567" w:right="850"/>
        <w:rPr>
          <w:rFonts w:cs="Arial"/>
          <w:i/>
          <w:lang w:val="es-CO"/>
        </w:rPr>
      </w:pPr>
    </w:p>
    <w:p w14:paraId="0FE84456" w14:textId="77777777" w:rsidR="00B522B8" w:rsidRPr="00774267" w:rsidRDefault="00B522B8" w:rsidP="00B01300">
      <w:pPr>
        <w:spacing w:line="276" w:lineRule="auto"/>
        <w:ind w:left="567" w:right="850"/>
        <w:rPr>
          <w:rFonts w:cs="Arial"/>
          <w:i/>
          <w:lang w:val="es-CO"/>
        </w:rPr>
      </w:pPr>
      <w:r w:rsidRPr="00774267">
        <w:rPr>
          <w:rFonts w:cs="Arial"/>
          <w:i/>
          <w:lang w:val="es-CO"/>
        </w:rPr>
        <w:t>“b) El valor de los estudios y diseños de alcance complementario de la variante Natagaima;</w:t>
      </w:r>
    </w:p>
    <w:p w14:paraId="5C9261CB" w14:textId="77777777" w:rsidR="00B01300" w:rsidRPr="00774267" w:rsidRDefault="00B01300" w:rsidP="00B01300">
      <w:pPr>
        <w:spacing w:line="276" w:lineRule="auto"/>
        <w:ind w:left="567" w:right="850"/>
        <w:rPr>
          <w:rFonts w:cs="Arial"/>
          <w:i/>
          <w:lang w:val="es-CO"/>
        </w:rPr>
      </w:pPr>
    </w:p>
    <w:p w14:paraId="76BE9EAE" w14:textId="77777777" w:rsidR="00B522B8" w:rsidRPr="00774267" w:rsidRDefault="00B522B8" w:rsidP="00B01300">
      <w:pPr>
        <w:spacing w:line="276" w:lineRule="auto"/>
        <w:ind w:left="567" w:right="850"/>
        <w:rPr>
          <w:rFonts w:cs="Arial"/>
          <w:i/>
          <w:lang w:val="es-CO"/>
        </w:rPr>
      </w:pPr>
      <w:r w:rsidRPr="00774267">
        <w:rPr>
          <w:rFonts w:cs="Arial"/>
          <w:i/>
          <w:lang w:val="es-CO"/>
        </w:rPr>
        <w:t>“c) El valor de los estudios y diseños de alcance complementario de la variante Guamo;</w:t>
      </w:r>
    </w:p>
    <w:p w14:paraId="09DA75AC" w14:textId="77777777" w:rsidR="00B01300" w:rsidRPr="00774267" w:rsidRDefault="00B01300" w:rsidP="00B01300">
      <w:pPr>
        <w:spacing w:line="276" w:lineRule="auto"/>
        <w:ind w:left="567" w:right="850"/>
        <w:rPr>
          <w:rFonts w:cs="Arial"/>
          <w:i/>
          <w:lang w:val="es-CO"/>
        </w:rPr>
      </w:pPr>
    </w:p>
    <w:p w14:paraId="1CE0EFB9" w14:textId="77777777" w:rsidR="00B522B8" w:rsidRPr="00774267" w:rsidRDefault="00B522B8" w:rsidP="00B01300">
      <w:pPr>
        <w:spacing w:line="276" w:lineRule="auto"/>
        <w:ind w:left="567" w:right="850"/>
        <w:rPr>
          <w:rFonts w:cs="Arial"/>
          <w:i/>
          <w:lang w:val="es-CO"/>
        </w:rPr>
      </w:pPr>
      <w:r w:rsidRPr="00774267">
        <w:rPr>
          <w:rFonts w:cs="Arial"/>
          <w:i/>
          <w:lang w:val="es-CO"/>
        </w:rPr>
        <w:t>“d) El valor de los estudios y diseños del puente peatonal en el paso nacional por Espinal;</w:t>
      </w:r>
    </w:p>
    <w:p w14:paraId="7C59546F" w14:textId="77777777" w:rsidR="00B01300" w:rsidRPr="00774267" w:rsidRDefault="00B01300" w:rsidP="00B01300">
      <w:pPr>
        <w:spacing w:line="276" w:lineRule="auto"/>
        <w:ind w:left="567" w:right="850"/>
        <w:rPr>
          <w:rFonts w:cs="Arial"/>
          <w:i/>
          <w:lang w:val="es-CO"/>
        </w:rPr>
      </w:pPr>
    </w:p>
    <w:p w14:paraId="0A092A6D" w14:textId="77777777" w:rsidR="00B522B8" w:rsidRPr="00774267" w:rsidRDefault="00B522B8" w:rsidP="00B01300">
      <w:pPr>
        <w:spacing w:line="276" w:lineRule="auto"/>
        <w:ind w:left="567" w:right="850"/>
        <w:rPr>
          <w:rFonts w:cs="Arial"/>
          <w:i/>
          <w:lang w:val="es-CO"/>
        </w:rPr>
      </w:pPr>
      <w:r w:rsidRPr="00774267">
        <w:rPr>
          <w:rFonts w:cs="Arial"/>
          <w:i/>
          <w:lang w:val="es-CO"/>
        </w:rPr>
        <w:t>“e) El valor de las actividades de mantenimiento y operación ejecutadas dentro del alcance complementario del contrato, exceptuando puentes (construcción y ampliación); y</w:t>
      </w:r>
    </w:p>
    <w:p w14:paraId="1CAD5411" w14:textId="77777777" w:rsidR="00B01300" w:rsidRPr="00774267" w:rsidRDefault="00B01300" w:rsidP="00B01300">
      <w:pPr>
        <w:spacing w:line="276" w:lineRule="auto"/>
        <w:ind w:left="567" w:right="850"/>
        <w:rPr>
          <w:rFonts w:cs="Arial"/>
          <w:i/>
          <w:lang w:val="es-CO"/>
        </w:rPr>
      </w:pPr>
    </w:p>
    <w:p w14:paraId="407EDA0E" w14:textId="77777777" w:rsidR="00B522B8" w:rsidRPr="00774267" w:rsidRDefault="00B522B8" w:rsidP="00B01300">
      <w:pPr>
        <w:spacing w:line="276" w:lineRule="auto"/>
        <w:ind w:left="567" w:right="850"/>
        <w:rPr>
          <w:rFonts w:cs="Arial"/>
          <w:i/>
          <w:lang w:val="es-CO"/>
        </w:rPr>
      </w:pPr>
      <w:r w:rsidRPr="00774267">
        <w:rPr>
          <w:rFonts w:cs="Arial"/>
          <w:i/>
          <w:lang w:val="es-CO"/>
        </w:rPr>
        <w:t>“f) Los costos de actividad de conteo realizada por el Concesionario en el punto denominado el Guamo”</w:t>
      </w:r>
      <w:r w:rsidRPr="00774267">
        <w:rPr>
          <w:rStyle w:val="Refdenotaalpie"/>
          <w:rFonts w:cs="Arial"/>
          <w:i/>
          <w:lang w:val="es-CO"/>
        </w:rPr>
        <w:footnoteReference w:id="33"/>
      </w:r>
      <w:r w:rsidRPr="00774267">
        <w:rPr>
          <w:rFonts w:cs="Arial"/>
          <w:i/>
          <w:lang w:val="es-CO"/>
        </w:rPr>
        <w:t>.</w:t>
      </w:r>
    </w:p>
    <w:p w14:paraId="5D8028AB" w14:textId="77777777" w:rsidR="003D6FAB" w:rsidRPr="00774267" w:rsidRDefault="003D6FAB" w:rsidP="00B522B8">
      <w:pPr>
        <w:rPr>
          <w:rFonts w:cs="Arial"/>
          <w:lang w:val="es-CO"/>
        </w:rPr>
      </w:pPr>
    </w:p>
    <w:p w14:paraId="18A5234E" w14:textId="77777777" w:rsidR="00B522B8" w:rsidRPr="00774267" w:rsidRDefault="00B522B8" w:rsidP="00B522B8">
      <w:pPr>
        <w:rPr>
          <w:rFonts w:cs="Arial"/>
          <w:lang w:val="es-CO"/>
        </w:rPr>
      </w:pPr>
      <w:r w:rsidRPr="00774267">
        <w:rPr>
          <w:rFonts w:cs="Arial"/>
          <w:lang w:val="es-CO"/>
        </w:rPr>
        <w:t>En la pretensión segunda se solicitó el pago del precio contractual de tales actividades; en las pretensiones tercera y cuarta de esa demanda arbitral se solicitó el reconocimiento de intereses de plazo y de mora, sobre las sumas adeudadas</w:t>
      </w:r>
      <w:r w:rsidR="00F60BC8" w:rsidRPr="00774267">
        <w:rPr>
          <w:rFonts w:cs="Arial"/>
          <w:lang w:val="es-CO"/>
        </w:rPr>
        <w:t xml:space="preserve"> por el INVÍAS</w:t>
      </w:r>
      <w:r w:rsidRPr="00774267">
        <w:rPr>
          <w:rFonts w:cs="Arial"/>
          <w:lang w:val="es-CO"/>
        </w:rPr>
        <w:t>.</w:t>
      </w:r>
    </w:p>
    <w:p w14:paraId="1248327E" w14:textId="77777777" w:rsidR="003D6FAB" w:rsidRPr="00774267" w:rsidRDefault="003D6FAB" w:rsidP="00B522B8">
      <w:pPr>
        <w:rPr>
          <w:rFonts w:cs="Arial"/>
          <w:lang w:val="es-CO"/>
        </w:rPr>
      </w:pPr>
    </w:p>
    <w:p w14:paraId="76C5C65D" w14:textId="77777777" w:rsidR="00B522B8" w:rsidRPr="00774267" w:rsidRDefault="00B522B8" w:rsidP="00B522B8">
      <w:pPr>
        <w:rPr>
          <w:rFonts w:cs="Arial"/>
          <w:lang w:val="es-CO"/>
        </w:rPr>
      </w:pPr>
      <w:r w:rsidRPr="00774267">
        <w:rPr>
          <w:rFonts w:cs="Arial"/>
          <w:lang w:val="es-CO"/>
        </w:rPr>
        <w:t xml:space="preserve">En la pretensión subsidiaria a todas las anteriores el concesionario solicitó que se declare que se dieron </w:t>
      </w:r>
      <w:r w:rsidRPr="00774267">
        <w:rPr>
          <w:rFonts w:cs="Arial"/>
          <w:i/>
          <w:lang w:val="es-CO"/>
        </w:rPr>
        <w:t xml:space="preserve">“hechos o circunstancias imprevistas no imputables al Contratista Concesionario, que dieron lugar al rompimiento de la ecuación </w:t>
      </w:r>
      <w:r w:rsidRPr="00774267">
        <w:rPr>
          <w:rFonts w:cs="Arial"/>
          <w:i/>
          <w:lang w:val="es-CO"/>
        </w:rPr>
        <w:lastRenderedPageBreak/>
        <w:t>económica de dicho contrato en su contra y que, como consecuencia se condene al INVIAS al pago de las compensaciones correspondientes”.</w:t>
      </w:r>
    </w:p>
    <w:p w14:paraId="1C57DFA3" w14:textId="77777777" w:rsidR="003D6FAB" w:rsidRPr="00774267" w:rsidRDefault="003D6FAB" w:rsidP="00B522B8">
      <w:pPr>
        <w:rPr>
          <w:rFonts w:cs="Arial"/>
          <w:lang w:val="es-CO"/>
        </w:rPr>
      </w:pPr>
    </w:p>
    <w:p w14:paraId="722B41CF" w14:textId="77777777" w:rsidR="00B522B8" w:rsidRPr="00774267" w:rsidRDefault="00B522B8" w:rsidP="00B522B8">
      <w:pPr>
        <w:rPr>
          <w:rFonts w:cs="Arial"/>
          <w:lang w:val="es-CO"/>
        </w:rPr>
      </w:pPr>
      <w:r w:rsidRPr="00774267">
        <w:rPr>
          <w:rFonts w:cs="Arial"/>
          <w:lang w:val="es-CO"/>
        </w:rPr>
        <w:t xml:space="preserve">En los cuadros anexos a la </w:t>
      </w:r>
      <w:r w:rsidR="003D6FAB" w:rsidRPr="00774267">
        <w:rPr>
          <w:rFonts w:cs="Arial"/>
          <w:lang w:val="es-CO"/>
        </w:rPr>
        <w:t xml:space="preserve">primera </w:t>
      </w:r>
      <w:r w:rsidRPr="00774267">
        <w:rPr>
          <w:rFonts w:cs="Arial"/>
          <w:lang w:val="es-CO"/>
        </w:rPr>
        <w:t>demanda arbitral</w:t>
      </w:r>
      <w:r w:rsidR="003D6FAB" w:rsidRPr="00774267">
        <w:rPr>
          <w:rFonts w:cs="Arial"/>
          <w:lang w:val="es-CO"/>
        </w:rPr>
        <w:t>,</w:t>
      </w:r>
      <w:r w:rsidRPr="00774267">
        <w:rPr>
          <w:rFonts w:cs="Arial"/>
          <w:lang w:val="es-CO"/>
        </w:rPr>
        <w:t xml:space="preserve"> que se alleg</w:t>
      </w:r>
      <w:r w:rsidR="00F60BC8" w:rsidRPr="00774267">
        <w:rPr>
          <w:rFonts w:cs="Arial"/>
          <w:lang w:val="es-CO"/>
        </w:rPr>
        <w:t xml:space="preserve">aron </w:t>
      </w:r>
      <w:r w:rsidRPr="00774267">
        <w:rPr>
          <w:rFonts w:cs="Arial"/>
          <w:lang w:val="es-CO"/>
        </w:rPr>
        <w:t xml:space="preserve">al </w:t>
      </w:r>
      <w:r w:rsidR="003D6FAB" w:rsidRPr="00774267">
        <w:rPr>
          <w:rFonts w:cs="Arial"/>
          <w:lang w:val="es-CO"/>
        </w:rPr>
        <w:t xml:space="preserve">presente </w:t>
      </w:r>
      <w:r w:rsidRPr="00774267">
        <w:rPr>
          <w:rFonts w:cs="Arial"/>
          <w:lang w:val="es-CO"/>
        </w:rPr>
        <w:t>proceso</w:t>
      </w:r>
      <w:r w:rsidR="003D6FAB" w:rsidRPr="00774267">
        <w:rPr>
          <w:rFonts w:cs="Arial"/>
          <w:lang w:val="es-CO"/>
        </w:rPr>
        <w:t>,</w:t>
      </w:r>
      <w:r w:rsidRPr="00774267">
        <w:rPr>
          <w:rFonts w:cs="Arial"/>
          <w:lang w:val="es-CO"/>
        </w:rPr>
        <w:t xml:space="preserve"> se </w:t>
      </w:r>
      <w:r w:rsidR="003D6FAB" w:rsidRPr="00774267">
        <w:rPr>
          <w:rFonts w:cs="Arial"/>
          <w:lang w:val="es-CO"/>
        </w:rPr>
        <w:t xml:space="preserve">discriminaron </w:t>
      </w:r>
      <w:r w:rsidRPr="00774267">
        <w:rPr>
          <w:rFonts w:cs="Arial"/>
          <w:lang w:val="es-CO"/>
        </w:rPr>
        <w:t>las “</w:t>
      </w:r>
      <w:r w:rsidRPr="00774267">
        <w:rPr>
          <w:rFonts w:cs="Arial"/>
          <w:i/>
          <w:lang w:val="es-CO"/>
        </w:rPr>
        <w:t xml:space="preserve">órdenes de pago y/o facturas pendientes de aprobación” </w:t>
      </w:r>
      <w:r w:rsidRPr="00774267">
        <w:rPr>
          <w:rFonts w:cs="Arial"/>
          <w:lang w:val="es-CO"/>
        </w:rPr>
        <w:t xml:space="preserve">en </w:t>
      </w:r>
      <w:r w:rsidR="00A87D33" w:rsidRPr="00774267">
        <w:rPr>
          <w:rFonts w:cs="Arial"/>
          <w:lang w:val="es-CO"/>
        </w:rPr>
        <w:t xml:space="preserve">relación con </w:t>
      </w:r>
      <w:r w:rsidRPr="00774267">
        <w:rPr>
          <w:rFonts w:cs="Arial"/>
          <w:lang w:val="es-CO"/>
        </w:rPr>
        <w:t>cada una de las obras y actividades materia de esa controversia (anexos 1 a 5)</w:t>
      </w:r>
      <w:r w:rsidRPr="00774267">
        <w:rPr>
          <w:rStyle w:val="Refdenotaalpie"/>
          <w:rFonts w:cs="Arial"/>
          <w:lang w:val="es-CO"/>
        </w:rPr>
        <w:footnoteReference w:id="34"/>
      </w:r>
      <w:r w:rsidRPr="00774267">
        <w:rPr>
          <w:rFonts w:cs="Arial"/>
          <w:lang w:val="es-CO"/>
        </w:rPr>
        <w:t>.</w:t>
      </w:r>
    </w:p>
    <w:p w14:paraId="00889AFD" w14:textId="77777777" w:rsidR="003D6FAB" w:rsidRPr="00774267" w:rsidRDefault="003D6FAB" w:rsidP="00B522B8">
      <w:pPr>
        <w:rPr>
          <w:rFonts w:cs="Arial"/>
          <w:lang w:val="es-CO"/>
        </w:rPr>
      </w:pPr>
    </w:p>
    <w:p w14:paraId="13AE87E5" w14:textId="77777777" w:rsidR="00B522B8" w:rsidRPr="00774267" w:rsidRDefault="00B522B8" w:rsidP="00B522B8">
      <w:pPr>
        <w:rPr>
          <w:rFonts w:cs="Arial"/>
          <w:lang w:val="es-CO"/>
        </w:rPr>
      </w:pPr>
      <w:r w:rsidRPr="00774267">
        <w:rPr>
          <w:rFonts w:cs="Arial"/>
          <w:lang w:val="es-CO"/>
        </w:rPr>
        <w:t xml:space="preserve">De acuerdo con la </w:t>
      </w:r>
      <w:r w:rsidR="00A87D33" w:rsidRPr="00774267">
        <w:rPr>
          <w:rFonts w:cs="Arial"/>
          <w:lang w:val="es-CO"/>
        </w:rPr>
        <w:t xml:space="preserve">primera </w:t>
      </w:r>
      <w:r w:rsidRPr="00774267">
        <w:rPr>
          <w:rFonts w:cs="Arial"/>
          <w:lang w:val="es-CO"/>
        </w:rPr>
        <w:t>demanda arbitral</w:t>
      </w:r>
      <w:r w:rsidR="00A87D33" w:rsidRPr="00774267">
        <w:rPr>
          <w:rFonts w:cs="Arial"/>
          <w:lang w:val="es-CO"/>
        </w:rPr>
        <w:t>,</w:t>
      </w:r>
      <w:r w:rsidRPr="00774267">
        <w:rPr>
          <w:rFonts w:cs="Arial"/>
          <w:lang w:val="es-CO"/>
        </w:rPr>
        <w:t xml:space="preserve"> presentada el 22 de mayo de 2003, el valor total de los sobrecostos y perjuicios derivados de los aspectos que se sometieron a la decisión arbitral ascendía, en </w:t>
      </w:r>
      <w:r w:rsidR="00F60BC8" w:rsidRPr="00774267">
        <w:rPr>
          <w:rFonts w:cs="Arial"/>
          <w:lang w:val="es-CO"/>
        </w:rPr>
        <w:t xml:space="preserve">ese </w:t>
      </w:r>
      <w:r w:rsidRPr="00774267">
        <w:rPr>
          <w:rFonts w:cs="Arial"/>
          <w:lang w:val="es-CO"/>
        </w:rPr>
        <w:t>momento, a la suma de $24.382’974.196,79.</w:t>
      </w:r>
    </w:p>
    <w:p w14:paraId="29A02792" w14:textId="77777777" w:rsidR="00F11136" w:rsidRPr="00774267" w:rsidRDefault="00F11136" w:rsidP="00B522B8">
      <w:pPr>
        <w:rPr>
          <w:rFonts w:cs="Arial"/>
          <w:lang w:val="es-CO"/>
        </w:rPr>
      </w:pPr>
    </w:p>
    <w:p w14:paraId="001AE70B" w14:textId="77777777" w:rsidR="00B522B8" w:rsidRPr="00774267" w:rsidRDefault="00B522B8" w:rsidP="00B522B8">
      <w:pPr>
        <w:rPr>
          <w:rFonts w:cs="Arial"/>
          <w:lang w:val="es-CO"/>
        </w:rPr>
      </w:pPr>
      <w:r w:rsidRPr="00774267">
        <w:rPr>
          <w:rFonts w:cs="Arial"/>
          <w:lang w:val="es-CO"/>
        </w:rPr>
        <w:t>De conformidad con el acuerdo conciliatorio de 3 de mayo de 2005, el valor total conciliado fue de $24.725’889.296, que según el acta No. 32 de mayo de 2005, comprendió un descuento aproximado del 35% sobre la cuantía de las pretensiones actualizadas a 31 de marzo de 2005</w:t>
      </w:r>
      <w:r w:rsidRPr="00774267">
        <w:rPr>
          <w:rStyle w:val="Refdenotaalpie"/>
          <w:rFonts w:cs="Arial"/>
          <w:lang w:val="es-CO"/>
        </w:rPr>
        <w:footnoteReference w:id="35"/>
      </w:r>
      <w:r w:rsidRPr="00774267">
        <w:rPr>
          <w:rFonts w:cs="Arial"/>
          <w:lang w:val="es-CO"/>
        </w:rPr>
        <w:t>, estimadas con fundamento en la experticia realizada por el perito técnico en el respectivo proceso arbitral.</w:t>
      </w:r>
    </w:p>
    <w:p w14:paraId="231E4868" w14:textId="77777777" w:rsidR="00B522B8" w:rsidRPr="00774267" w:rsidRDefault="00B522B8" w:rsidP="00B522B8">
      <w:pPr>
        <w:rPr>
          <w:rFonts w:cs="Arial"/>
          <w:lang w:val="es-CO"/>
        </w:rPr>
      </w:pPr>
    </w:p>
    <w:p w14:paraId="5BCC90D7" w14:textId="77777777" w:rsidR="00421A8B" w:rsidRPr="00774267" w:rsidRDefault="00421A8B" w:rsidP="00B522B8">
      <w:pPr>
        <w:rPr>
          <w:rFonts w:cs="Arial"/>
          <w:lang w:val="es-CO"/>
        </w:rPr>
      </w:pPr>
      <w:r w:rsidRPr="00774267">
        <w:rPr>
          <w:rFonts w:cs="Arial"/>
          <w:lang w:val="es-CO"/>
        </w:rPr>
        <w:t xml:space="preserve">Como conclusión, la cosa juzgada </w:t>
      </w:r>
      <w:r w:rsidR="00D55C5F" w:rsidRPr="00774267">
        <w:rPr>
          <w:rFonts w:cs="Arial"/>
          <w:lang w:val="es-CO"/>
        </w:rPr>
        <w:t xml:space="preserve">proveniente del acuerdo conciliatorio </w:t>
      </w:r>
      <w:r w:rsidRPr="00774267">
        <w:rPr>
          <w:rFonts w:cs="Arial"/>
          <w:lang w:val="es-CO"/>
        </w:rPr>
        <w:t>se extendió a las pretensiones por el no pago de las obras complementarias relacionadas en la demanda y, concretamente, a las órdenes de pago que en dicha demanda se reclamaron como no pagadas.</w:t>
      </w:r>
    </w:p>
    <w:p w14:paraId="51DD6A86" w14:textId="77777777" w:rsidR="00421A8B" w:rsidRPr="00774267" w:rsidRDefault="00421A8B" w:rsidP="00B522B8">
      <w:pPr>
        <w:rPr>
          <w:rFonts w:cs="Arial"/>
          <w:lang w:val="es-CO"/>
        </w:rPr>
      </w:pPr>
    </w:p>
    <w:p w14:paraId="364C73BE" w14:textId="77777777" w:rsidR="00F11136" w:rsidRPr="00774267" w:rsidRDefault="00F11136" w:rsidP="00A565B9">
      <w:pPr>
        <w:pStyle w:val="Textoindependiente22"/>
        <w:numPr>
          <w:ilvl w:val="12"/>
          <w:numId w:val="0"/>
        </w:numPr>
        <w:overflowPunct/>
        <w:autoSpaceDE/>
        <w:autoSpaceDN/>
        <w:adjustRightInd/>
        <w:textAlignment w:val="auto"/>
        <w:rPr>
          <w:rFonts w:cs="Arial"/>
          <w:b/>
          <w:szCs w:val="24"/>
        </w:rPr>
      </w:pPr>
      <w:r w:rsidRPr="00774267">
        <w:rPr>
          <w:rFonts w:cs="Arial"/>
          <w:b/>
          <w:szCs w:val="24"/>
        </w:rPr>
        <w:t>2.3.2. Lo pretendido y negado por razón de la cosa juzgada</w:t>
      </w:r>
    </w:p>
    <w:p w14:paraId="2E010A6E" w14:textId="77777777" w:rsidR="00F11136" w:rsidRPr="00774267" w:rsidRDefault="00F11136" w:rsidP="00A565B9">
      <w:pPr>
        <w:pStyle w:val="Textoindependiente22"/>
        <w:numPr>
          <w:ilvl w:val="12"/>
          <w:numId w:val="0"/>
        </w:numPr>
        <w:overflowPunct/>
        <w:autoSpaceDE/>
        <w:autoSpaceDN/>
        <w:adjustRightInd/>
        <w:textAlignment w:val="auto"/>
        <w:rPr>
          <w:rFonts w:cs="Arial"/>
          <w:szCs w:val="24"/>
        </w:rPr>
      </w:pPr>
    </w:p>
    <w:p w14:paraId="78F9DF98" w14:textId="77777777" w:rsidR="00B54287" w:rsidRPr="00774267" w:rsidRDefault="00EE042C" w:rsidP="00A565B9">
      <w:pPr>
        <w:pStyle w:val="Textoindependiente22"/>
        <w:numPr>
          <w:ilvl w:val="12"/>
          <w:numId w:val="0"/>
        </w:numPr>
        <w:overflowPunct/>
        <w:autoSpaceDE/>
        <w:autoSpaceDN/>
        <w:adjustRightInd/>
        <w:textAlignment w:val="auto"/>
        <w:rPr>
          <w:rFonts w:cs="Arial"/>
          <w:szCs w:val="24"/>
        </w:rPr>
      </w:pPr>
      <w:r w:rsidRPr="00774267">
        <w:rPr>
          <w:rFonts w:cs="Arial"/>
          <w:szCs w:val="24"/>
        </w:rPr>
        <w:t>En el litigio sub j</w:t>
      </w:r>
      <w:r w:rsidR="00C25EA9" w:rsidRPr="00774267">
        <w:rPr>
          <w:rFonts w:cs="Arial"/>
          <w:szCs w:val="24"/>
        </w:rPr>
        <w:t>ú</w:t>
      </w:r>
      <w:r w:rsidRPr="00774267">
        <w:rPr>
          <w:rFonts w:cs="Arial"/>
          <w:szCs w:val="24"/>
        </w:rPr>
        <w:t>dice</w:t>
      </w:r>
      <w:r w:rsidR="00A565B9" w:rsidRPr="00774267">
        <w:rPr>
          <w:rFonts w:cs="Arial"/>
          <w:szCs w:val="24"/>
        </w:rPr>
        <w:t>, la</w:t>
      </w:r>
      <w:r w:rsidR="00AE108C" w:rsidRPr="00774267">
        <w:rPr>
          <w:rFonts w:cs="Arial"/>
          <w:szCs w:val="24"/>
        </w:rPr>
        <w:t>s</w:t>
      </w:r>
      <w:r w:rsidR="00B54287" w:rsidRPr="00774267">
        <w:rPr>
          <w:rFonts w:cs="Arial"/>
          <w:szCs w:val="24"/>
        </w:rPr>
        <w:t xml:space="preserve"> pretensiones y decisiones que se </w:t>
      </w:r>
      <w:r w:rsidR="001E76FA" w:rsidRPr="00774267">
        <w:rPr>
          <w:rFonts w:cs="Arial"/>
          <w:szCs w:val="24"/>
        </w:rPr>
        <w:t>relacionan con la c</w:t>
      </w:r>
      <w:r w:rsidR="005A62B2" w:rsidRPr="00774267">
        <w:rPr>
          <w:rFonts w:cs="Arial"/>
          <w:szCs w:val="24"/>
        </w:rPr>
        <w:t>ausal que se examina, so</w:t>
      </w:r>
      <w:r w:rsidR="001E76FA" w:rsidRPr="00774267">
        <w:rPr>
          <w:rFonts w:cs="Arial"/>
          <w:szCs w:val="24"/>
        </w:rPr>
        <w:t>n las siguientes:</w:t>
      </w:r>
      <w:r w:rsidR="00787670" w:rsidRPr="00774267">
        <w:rPr>
          <w:rFonts w:cs="Arial"/>
          <w:szCs w:val="24"/>
        </w:rPr>
        <w:t xml:space="preserve"> </w:t>
      </w:r>
    </w:p>
    <w:p w14:paraId="2503CEEB" w14:textId="77777777" w:rsidR="002A5A56" w:rsidRPr="00774267" w:rsidRDefault="002A5A56" w:rsidP="002D4371">
      <w:pPr>
        <w:pStyle w:val="Textoindependiente22"/>
        <w:numPr>
          <w:ilvl w:val="12"/>
          <w:numId w:val="0"/>
        </w:numPr>
        <w:overflowPunct/>
        <w:autoSpaceDE/>
        <w:autoSpaceDN/>
        <w:adjustRightInd/>
        <w:textAlignment w:val="auto"/>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001"/>
      </w:tblGrid>
      <w:tr w:rsidR="001F7944" w:rsidRPr="00774267" w14:paraId="2091C5C5" w14:textId="77777777" w:rsidTr="005B00E9">
        <w:tc>
          <w:tcPr>
            <w:tcW w:w="4644" w:type="dxa"/>
            <w:shd w:val="clear" w:color="auto" w:fill="auto"/>
          </w:tcPr>
          <w:p w14:paraId="1E25DB39" w14:textId="77777777" w:rsidR="001F7944" w:rsidRPr="00774267" w:rsidRDefault="001F7944" w:rsidP="005B00E9">
            <w:pPr>
              <w:pStyle w:val="Textoindependiente22"/>
              <w:numPr>
                <w:ilvl w:val="12"/>
                <w:numId w:val="0"/>
              </w:numPr>
              <w:overflowPunct/>
              <w:autoSpaceDE/>
              <w:autoSpaceDN/>
              <w:adjustRightInd/>
              <w:spacing w:line="276" w:lineRule="auto"/>
              <w:textAlignment w:val="auto"/>
              <w:rPr>
                <w:rFonts w:cs="Arial"/>
                <w:b/>
                <w:szCs w:val="24"/>
              </w:rPr>
            </w:pPr>
            <w:r w:rsidRPr="00774267">
              <w:rPr>
                <w:rFonts w:cs="Arial"/>
                <w:b/>
                <w:szCs w:val="24"/>
              </w:rPr>
              <w:t>Pretensiones de la demanda de CSS</w:t>
            </w:r>
          </w:p>
        </w:tc>
        <w:tc>
          <w:tcPr>
            <w:tcW w:w="4001" w:type="dxa"/>
            <w:shd w:val="clear" w:color="auto" w:fill="auto"/>
          </w:tcPr>
          <w:p w14:paraId="2D57E8FC" w14:textId="77777777" w:rsidR="001F7944" w:rsidRPr="00774267" w:rsidRDefault="001F7944" w:rsidP="005B00E9">
            <w:pPr>
              <w:pStyle w:val="Textoindependiente22"/>
              <w:numPr>
                <w:ilvl w:val="12"/>
                <w:numId w:val="0"/>
              </w:numPr>
              <w:overflowPunct/>
              <w:autoSpaceDE/>
              <w:autoSpaceDN/>
              <w:adjustRightInd/>
              <w:spacing w:line="240" w:lineRule="auto"/>
              <w:textAlignment w:val="auto"/>
              <w:rPr>
                <w:rFonts w:cs="Arial"/>
                <w:b/>
                <w:szCs w:val="24"/>
              </w:rPr>
            </w:pPr>
            <w:r w:rsidRPr="00774267">
              <w:rPr>
                <w:rFonts w:cs="Arial"/>
                <w:b/>
                <w:szCs w:val="24"/>
              </w:rPr>
              <w:t>Decisiones del Laudo Arbitral de 21 de noviembre de 2016</w:t>
            </w:r>
          </w:p>
        </w:tc>
      </w:tr>
      <w:tr w:rsidR="00B54287" w:rsidRPr="00774267" w14:paraId="5C99BB23" w14:textId="77777777" w:rsidTr="005B00E9">
        <w:tc>
          <w:tcPr>
            <w:tcW w:w="4644" w:type="dxa"/>
            <w:shd w:val="clear" w:color="auto" w:fill="auto"/>
          </w:tcPr>
          <w:p w14:paraId="135CCF37" w14:textId="77777777" w:rsidR="00B54287" w:rsidRPr="00774267" w:rsidRDefault="001D0CBA" w:rsidP="005B00E9">
            <w:pPr>
              <w:pStyle w:val="Textoindependiente22"/>
              <w:numPr>
                <w:ilvl w:val="12"/>
                <w:numId w:val="0"/>
              </w:numPr>
              <w:overflowPunct/>
              <w:autoSpaceDE/>
              <w:autoSpaceDN/>
              <w:adjustRightInd/>
              <w:spacing w:line="276" w:lineRule="auto"/>
              <w:textAlignment w:val="auto"/>
              <w:rPr>
                <w:rFonts w:cs="Arial"/>
                <w:b/>
                <w:i/>
                <w:szCs w:val="24"/>
              </w:rPr>
            </w:pPr>
            <w:r w:rsidRPr="00774267">
              <w:rPr>
                <w:rFonts w:cs="Arial"/>
                <w:i/>
                <w:szCs w:val="24"/>
              </w:rPr>
              <w:t>“</w:t>
            </w:r>
            <w:r w:rsidRPr="00774267">
              <w:rPr>
                <w:rFonts w:cs="Arial"/>
                <w:b/>
                <w:i/>
                <w:szCs w:val="24"/>
              </w:rPr>
              <w:t xml:space="preserve">QUINTA.- </w:t>
            </w:r>
            <w:r w:rsidR="00F01E25" w:rsidRPr="00774267">
              <w:rPr>
                <w:rFonts w:cs="Arial"/>
                <w:i/>
                <w:szCs w:val="24"/>
              </w:rPr>
              <w:t>Declarar que la AGENCIA NACIONAL DE INFRAESTRUCTURA – ANI, en su condición de entidad contratante en el C</w:t>
            </w:r>
            <w:r w:rsidR="00FB5356" w:rsidRPr="00774267">
              <w:rPr>
                <w:rFonts w:cs="Arial"/>
                <w:i/>
                <w:szCs w:val="24"/>
              </w:rPr>
              <w:t>ontrato de Concesión No. 0849</w:t>
            </w:r>
            <w:r w:rsidR="0019347D" w:rsidRPr="00774267">
              <w:rPr>
                <w:rFonts w:cs="Arial"/>
                <w:i/>
                <w:szCs w:val="24"/>
              </w:rPr>
              <w:t xml:space="preserve"> de 1995, incumplió las </w:t>
            </w:r>
            <w:r w:rsidR="0019347D" w:rsidRPr="00774267">
              <w:rPr>
                <w:rFonts w:cs="Arial"/>
                <w:i/>
                <w:szCs w:val="24"/>
              </w:rPr>
              <w:lastRenderedPageBreak/>
              <w:t>obligaciones a su cargo en tal condición, surgidas del Acuerdo Conciliatorio de 3 de mayo de 2005, celebrado entre las partes</w:t>
            </w:r>
            <w:r w:rsidR="001735BF" w:rsidRPr="00774267">
              <w:rPr>
                <w:rFonts w:cs="Arial"/>
                <w:i/>
                <w:szCs w:val="24"/>
              </w:rPr>
              <w:t xml:space="preserve"> del contrato de concesión 0849 de 1995, en el curso de un proceso arbitral y aprobado por el Tribunal de Arbitramento const</w:t>
            </w:r>
            <w:r w:rsidR="0075686F" w:rsidRPr="00774267">
              <w:rPr>
                <w:rFonts w:cs="Arial"/>
                <w:i/>
                <w:szCs w:val="24"/>
              </w:rPr>
              <w:t>it</w:t>
            </w:r>
            <w:r w:rsidR="001735BF" w:rsidRPr="00774267">
              <w:rPr>
                <w:rFonts w:cs="Arial"/>
                <w:i/>
                <w:szCs w:val="24"/>
              </w:rPr>
              <w:t>u</w:t>
            </w:r>
            <w:r w:rsidR="0075686F" w:rsidRPr="00774267">
              <w:rPr>
                <w:rFonts w:cs="Arial"/>
                <w:i/>
                <w:szCs w:val="24"/>
              </w:rPr>
              <w:t>i</w:t>
            </w:r>
            <w:r w:rsidR="001735BF" w:rsidRPr="00774267">
              <w:rPr>
                <w:rFonts w:cs="Arial"/>
                <w:i/>
                <w:szCs w:val="24"/>
              </w:rPr>
              <w:t xml:space="preserve">do para el </w:t>
            </w:r>
            <w:r w:rsidR="0075686F" w:rsidRPr="00774267">
              <w:rPr>
                <w:rFonts w:cs="Arial"/>
                <w:i/>
                <w:szCs w:val="24"/>
              </w:rPr>
              <w:t>e</w:t>
            </w:r>
            <w:r w:rsidR="001735BF" w:rsidRPr="00774267">
              <w:rPr>
                <w:rFonts w:cs="Arial"/>
                <w:i/>
                <w:szCs w:val="24"/>
              </w:rPr>
              <w:t>fecto mediant</w:t>
            </w:r>
            <w:r w:rsidR="0075686F" w:rsidRPr="00774267">
              <w:rPr>
                <w:rFonts w:cs="Arial"/>
                <w:i/>
                <w:szCs w:val="24"/>
              </w:rPr>
              <w:t>e</w:t>
            </w:r>
            <w:r w:rsidR="001735BF" w:rsidRPr="00774267">
              <w:rPr>
                <w:rFonts w:cs="Arial"/>
                <w:i/>
                <w:szCs w:val="24"/>
              </w:rPr>
              <w:t xml:space="preserve"> auto de 26 de mayo de 2005 (Acta No. 32 del trámite arbitral) según se pruebe en este proceso</w:t>
            </w:r>
            <w:r w:rsidRPr="00774267">
              <w:rPr>
                <w:rFonts w:cs="Arial"/>
                <w:i/>
                <w:szCs w:val="24"/>
              </w:rPr>
              <w:t>”</w:t>
            </w:r>
            <w:r w:rsidR="001735BF" w:rsidRPr="00774267">
              <w:rPr>
                <w:rFonts w:cs="Arial"/>
                <w:i/>
                <w:szCs w:val="24"/>
              </w:rPr>
              <w:t>.</w:t>
            </w:r>
          </w:p>
        </w:tc>
        <w:tc>
          <w:tcPr>
            <w:tcW w:w="4001" w:type="dxa"/>
            <w:shd w:val="clear" w:color="auto" w:fill="auto"/>
          </w:tcPr>
          <w:p w14:paraId="6A8630BE" w14:textId="77777777" w:rsidR="002E2F85" w:rsidRPr="00774267" w:rsidRDefault="002E2F85" w:rsidP="005B00E9">
            <w:pPr>
              <w:pStyle w:val="Textoindependiente22"/>
              <w:numPr>
                <w:ilvl w:val="12"/>
                <w:numId w:val="0"/>
              </w:numPr>
              <w:overflowPunct/>
              <w:autoSpaceDE/>
              <w:autoSpaceDN/>
              <w:adjustRightInd/>
              <w:spacing w:line="276" w:lineRule="auto"/>
              <w:textAlignment w:val="auto"/>
              <w:rPr>
                <w:rFonts w:cs="Arial"/>
                <w:szCs w:val="24"/>
              </w:rPr>
            </w:pPr>
            <w:r w:rsidRPr="00774267">
              <w:rPr>
                <w:rFonts w:cs="Arial"/>
                <w:szCs w:val="24"/>
              </w:rPr>
              <w:lastRenderedPageBreak/>
              <w:t>DENEGADA en el punto octavo de las resolutivas del fallo, que dice:</w:t>
            </w:r>
          </w:p>
          <w:p w14:paraId="3908D8F8" w14:textId="77777777" w:rsidR="008E23F7" w:rsidRPr="00774267" w:rsidRDefault="008E23F7" w:rsidP="005B00E9">
            <w:pPr>
              <w:pStyle w:val="Textoindependiente22"/>
              <w:numPr>
                <w:ilvl w:val="12"/>
                <w:numId w:val="0"/>
              </w:numPr>
              <w:overflowPunct/>
              <w:autoSpaceDE/>
              <w:autoSpaceDN/>
              <w:adjustRightInd/>
              <w:spacing w:line="276" w:lineRule="auto"/>
              <w:textAlignment w:val="auto"/>
              <w:rPr>
                <w:rFonts w:cs="Arial"/>
                <w:b/>
                <w:i/>
                <w:szCs w:val="24"/>
              </w:rPr>
            </w:pPr>
          </w:p>
          <w:p w14:paraId="237863CF" w14:textId="77777777" w:rsidR="002E2F85" w:rsidRPr="00774267" w:rsidRDefault="001F7944" w:rsidP="005B00E9">
            <w:pPr>
              <w:pStyle w:val="Textoindependiente22"/>
              <w:numPr>
                <w:ilvl w:val="12"/>
                <w:numId w:val="0"/>
              </w:numPr>
              <w:overflowPunct/>
              <w:autoSpaceDE/>
              <w:autoSpaceDN/>
              <w:adjustRightInd/>
              <w:spacing w:line="276" w:lineRule="auto"/>
              <w:textAlignment w:val="auto"/>
              <w:rPr>
                <w:rFonts w:cs="Arial"/>
                <w:b/>
                <w:i/>
                <w:szCs w:val="24"/>
              </w:rPr>
            </w:pPr>
            <w:r w:rsidRPr="00774267">
              <w:rPr>
                <w:rFonts w:cs="Arial"/>
                <w:i/>
                <w:szCs w:val="24"/>
              </w:rPr>
              <w:t>“</w:t>
            </w:r>
            <w:r w:rsidR="002E2F85" w:rsidRPr="00774267">
              <w:rPr>
                <w:rFonts w:cs="Arial"/>
                <w:b/>
                <w:i/>
                <w:szCs w:val="24"/>
              </w:rPr>
              <w:t xml:space="preserve">OCTAVO: </w:t>
            </w:r>
            <w:r w:rsidR="002E2F85" w:rsidRPr="00774267">
              <w:rPr>
                <w:rFonts w:cs="Arial"/>
                <w:i/>
                <w:szCs w:val="24"/>
              </w:rPr>
              <w:t xml:space="preserve">Por las razones expuestas en la parte motiva, </w:t>
            </w:r>
            <w:r w:rsidR="002E2F85" w:rsidRPr="00774267">
              <w:rPr>
                <w:rFonts w:cs="Arial"/>
                <w:i/>
                <w:szCs w:val="24"/>
              </w:rPr>
              <w:lastRenderedPageBreak/>
              <w:t>declarar que no prosperan las demás pretensiones de la demanda de CSS C</w:t>
            </w:r>
            <w:r w:rsidR="008E23F7" w:rsidRPr="00774267">
              <w:rPr>
                <w:rFonts w:cs="Arial"/>
                <w:i/>
                <w:szCs w:val="24"/>
              </w:rPr>
              <w:t>O</w:t>
            </w:r>
            <w:r w:rsidR="002E2F85" w:rsidRPr="00774267">
              <w:rPr>
                <w:rFonts w:cs="Arial"/>
                <w:i/>
                <w:szCs w:val="24"/>
              </w:rPr>
              <w:t>NSTRUCT</w:t>
            </w:r>
            <w:r w:rsidR="008E23F7" w:rsidRPr="00774267">
              <w:rPr>
                <w:rFonts w:cs="Arial"/>
                <w:i/>
                <w:szCs w:val="24"/>
              </w:rPr>
              <w:t>O</w:t>
            </w:r>
            <w:r w:rsidR="002E2F85" w:rsidRPr="00774267">
              <w:rPr>
                <w:rFonts w:cs="Arial"/>
                <w:i/>
                <w:szCs w:val="24"/>
              </w:rPr>
              <w:t>RES S.A.</w:t>
            </w:r>
            <w:r w:rsidR="002E2F85" w:rsidRPr="00774267">
              <w:rPr>
                <w:rFonts w:cs="Arial"/>
                <w:b/>
                <w:i/>
                <w:szCs w:val="24"/>
              </w:rPr>
              <w:t xml:space="preserve"> </w:t>
            </w:r>
          </w:p>
        </w:tc>
      </w:tr>
      <w:tr w:rsidR="00B54287" w:rsidRPr="00774267" w14:paraId="0E5AA0DB" w14:textId="77777777" w:rsidTr="005B00E9">
        <w:tc>
          <w:tcPr>
            <w:tcW w:w="4644" w:type="dxa"/>
            <w:shd w:val="clear" w:color="auto" w:fill="auto"/>
          </w:tcPr>
          <w:p w14:paraId="10AD1DBC" w14:textId="77777777" w:rsidR="00B54287" w:rsidRPr="00774267" w:rsidRDefault="001D0CBA" w:rsidP="005B00E9">
            <w:pPr>
              <w:pStyle w:val="Textoindependiente22"/>
              <w:numPr>
                <w:ilvl w:val="12"/>
                <w:numId w:val="0"/>
              </w:numPr>
              <w:overflowPunct/>
              <w:autoSpaceDE/>
              <w:autoSpaceDN/>
              <w:adjustRightInd/>
              <w:spacing w:line="276" w:lineRule="auto"/>
              <w:textAlignment w:val="auto"/>
              <w:rPr>
                <w:rFonts w:cs="Arial"/>
                <w:b/>
                <w:i/>
                <w:szCs w:val="24"/>
              </w:rPr>
            </w:pPr>
            <w:r w:rsidRPr="00774267">
              <w:rPr>
                <w:rFonts w:cs="Arial"/>
                <w:i/>
                <w:szCs w:val="24"/>
              </w:rPr>
              <w:lastRenderedPageBreak/>
              <w:t>“</w:t>
            </w:r>
            <w:r w:rsidR="001735BF" w:rsidRPr="00774267">
              <w:rPr>
                <w:rFonts w:cs="Arial"/>
                <w:b/>
                <w:i/>
                <w:szCs w:val="24"/>
              </w:rPr>
              <w:t>SEXTA</w:t>
            </w:r>
            <w:r w:rsidR="00F05CFC" w:rsidRPr="00774267">
              <w:rPr>
                <w:rFonts w:cs="Arial"/>
                <w:b/>
                <w:i/>
                <w:szCs w:val="24"/>
              </w:rPr>
              <w:t xml:space="preserve">. </w:t>
            </w:r>
            <w:proofErr w:type="gramStart"/>
            <w:r w:rsidR="00F05CFC" w:rsidRPr="00774267">
              <w:rPr>
                <w:rFonts w:cs="Arial"/>
                <w:i/>
                <w:szCs w:val="24"/>
              </w:rPr>
              <w:t>Declarar</w:t>
            </w:r>
            <w:proofErr w:type="gramEnd"/>
            <w:r w:rsidR="00F05CFC" w:rsidRPr="00774267">
              <w:rPr>
                <w:rFonts w:cs="Arial"/>
                <w:i/>
                <w:szCs w:val="24"/>
              </w:rPr>
              <w:t xml:space="preserve"> que la AGENCIA NACIONAL DE INFRAESTRUCTURA – ANI, en su condición de entidad contratante debe responder por el incumplimiento de</w:t>
            </w:r>
            <w:r w:rsidR="00F05CFC" w:rsidRPr="00774267">
              <w:rPr>
                <w:rFonts w:cs="Arial"/>
                <w:b/>
                <w:i/>
                <w:szCs w:val="24"/>
              </w:rPr>
              <w:t xml:space="preserve"> </w:t>
            </w:r>
            <w:r w:rsidR="00F05CFC" w:rsidRPr="00774267">
              <w:rPr>
                <w:rFonts w:cs="Arial"/>
                <w:i/>
                <w:szCs w:val="24"/>
              </w:rPr>
              <w:t xml:space="preserve">las obligaciones a su cargo surgidas del Acuerdo Conciliatorio de 3 de mayo de 2005, celebrado entre las partes </w:t>
            </w:r>
            <w:r w:rsidR="0075686F" w:rsidRPr="00774267">
              <w:rPr>
                <w:rFonts w:cs="Arial"/>
                <w:i/>
                <w:szCs w:val="24"/>
              </w:rPr>
              <w:t xml:space="preserve">en el curso </w:t>
            </w:r>
            <w:r w:rsidR="00F05CFC" w:rsidRPr="00774267">
              <w:rPr>
                <w:rFonts w:cs="Arial"/>
                <w:i/>
                <w:szCs w:val="24"/>
              </w:rPr>
              <w:t>de</w:t>
            </w:r>
            <w:r w:rsidR="0075686F" w:rsidRPr="00774267">
              <w:rPr>
                <w:rFonts w:cs="Arial"/>
                <w:i/>
                <w:szCs w:val="24"/>
              </w:rPr>
              <w:t xml:space="preserve"> un proceso arbitral y aprobado por el Tribunal de Arbitramento constituido para el efecto mediante auto de 26 de mayo de 2005 (Acta No. 32 del trámite arbitral) según se pruebe en este proceso</w:t>
            </w:r>
            <w:r w:rsidRPr="00774267">
              <w:rPr>
                <w:rFonts w:cs="Arial"/>
                <w:i/>
                <w:szCs w:val="24"/>
              </w:rPr>
              <w:t>”</w:t>
            </w:r>
            <w:r w:rsidR="0075686F" w:rsidRPr="00774267">
              <w:rPr>
                <w:rFonts w:cs="Arial"/>
                <w:i/>
                <w:szCs w:val="24"/>
              </w:rPr>
              <w:t>.</w:t>
            </w:r>
          </w:p>
        </w:tc>
        <w:tc>
          <w:tcPr>
            <w:tcW w:w="4001" w:type="dxa"/>
            <w:shd w:val="clear" w:color="auto" w:fill="auto"/>
          </w:tcPr>
          <w:p w14:paraId="5C5A7DFA" w14:textId="77777777" w:rsidR="008E23F7" w:rsidRPr="00774267" w:rsidRDefault="008E23F7" w:rsidP="005B00E9">
            <w:pPr>
              <w:pStyle w:val="Textoindependiente22"/>
              <w:numPr>
                <w:ilvl w:val="12"/>
                <w:numId w:val="0"/>
              </w:numPr>
              <w:overflowPunct/>
              <w:autoSpaceDE/>
              <w:autoSpaceDN/>
              <w:adjustRightInd/>
              <w:spacing w:line="276" w:lineRule="auto"/>
              <w:textAlignment w:val="auto"/>
              <w:rPr>
                <w:rFonts w:cs="Arial"/>
                <w:szCs w:val="24"/>
              </w:rPr>
            </w:pPr>
            <w:r w:rsidRPr="00774267">
              <w:rPr>
                <w:rFonts w:cs="Arial"/>
                <w:szCs w:val="24"/>
              </w:rPr>
              <w:t>DENEGADA en el punto octavo de las resolutivas del fallo, que dice:</w:t>
            </w:r>
          </w:p>
          <w:p w14:paraId="169FC101" w14:textId="77777777" w:rsidR="008E23F7" w:rsidRPr="00774267" w:rsidRDefault="008E23F7" w:rsidP="005B00E9">
            <w:pPr>
              <w:pStyle w:val="Textoindependiente22"/>
              <w:numPr>
                <w:ilvl w:val="12"/>
                <w:numId w:val="0"/>
              </w:numPr>
              <w:overflowPunct/>
              <w:autoSpaceDE/>
              <w:autoSpaceDN/>
              <w:adjustRightInd/>
              <w:spacing w:line="276" w:lineRule="auto"/>
              <w:textAlignment w:val="auto"/>
              <w:rPr>
                <w:rFonts w:cs="Arial"/>
                <w:b/>
                <w:i/>
                <w:szCs w:val="24"/>
              </w:rPr>
            </w:pPr>
          </w:p>
          <w:p w14:paraId="09BC0D65" w14:textId="77777777" w:rsidR="00B54287" w:rsidRPr="00774267" w:rsidRDefault="001D0CBA" w:rsidP="005B00E9">
            <w:pPr>
              <w:pStyle w:val="Textoindependiente22"/>
              <w:numPr>
                <w:ilvl w:val="12"/>
                <w:numId w:val="0"/>
              </w:numPr>
              <w:overflowPunct/>
              <w:autoSpaceDE/>
              <w:autoSpaceDN/>
              <w:adjustRightInd/>
              <w:spacing w:line="276" w:lineRule="auto"/>
              <w:textAlignment w:val="auto"/>
              <w:rPr>
                <w:rFonts w:cs="Arial"/>
                <w:b/>
                <w:i/>
                <w:szCs w:val="24"/>
              </w:rPr>
            </w:pPr>
            <w:r w:rsidRPr="00774267">
              <w:rPr>
                <w:rFonts w:cs="Arial"/>
                <w:i/>
                <w:szCs w:val="24"/>
              </w:rPr>
              <w:t>“</w:t>
            </w:r>
            <w:r w:rsidR="008E23F7" w:rsidRPr="00774267">
              <w:rPr>
                <w:rFonts w:cs="Arial"/>
                <w:b/>
                <w:i/>
                <w:szCs w:val="24"/>
              </w:rPr>
              <w:t xml:space="preserve">OCTAVO: </w:t>
            </w:r>
            <w:r w:rsidR="008E23F7" w:rsidRPr="00774267">
              <w:rPr>
                <w:rFonts w:cs="Arial"/>
                <w:i/>
                <w:szCs w:val="24"/>
              </w:rPr>
              <w:t>Por las razones expuestas en la parte motiva, declarar que no prosperan las demás pretensiones de la demanda de CSS CONSTRUCTORES S.A.</w:t>
            </w:r>
          </w:p>
        </w:tc>
      </w:tr>
      <w:tr w:rsidR="00B54287" w:rsidRPr="00774267" w14:paraId="20D5C1CF" w14:textId="77777777" w:rsidTr="005B00E9">
        <w:tc>
          <w:tcPr>
            <w:tcW w:w="4644" w:type="dxa"/>
            <w:shd w:val="clear" w:color="auto" w:fill="auto"/>
          </w:tcPr>
          <w:p w14:paraId="45D997C6" w14:textId="77777777" w:rsidR="00B54287" w:rsidRPr="00774267" w:rsidRDefault="001D0CBA" w:rsidP="005B00E9">
            <w:pPr>
              <w:pStyle w:val="Textoindependiente22"/>
              <w:numPr>
                <w:ilvl w:val="12"/>
                <w:numId w:val="0"/>
              </w:numPr>
              <w:overflowPunct/>
              <w:autoSpaceDE/>
              <w:autoSpaceDN/>
              <w:adjustRightInd/>
              <w:spacing w:line="276" w:lineRule="auto"/>
              <w:textAlignment w:val="auto"/>
              <w:rPr>
                <w:rFonts w:cs="Arial"/>
                <w:b/>
                <w:i/>
                <w:szCs w:val="24"/>
              </w:rPr>
            </w:pPr>
            <w:r w:rsidRPr="00774267">
              <w:rPr>
                <w:rFonts w:cs="Arial"/>
                <w:i/>
                <w:szCs w:val="24"/>
              </w:rPr>
              <w:t>“</w:t>
            </w:r>
            <w:r w:rsidR="00787670" w:rsidRPr="00774267">
              <w:rPr>
                <w:rFonts w:cs="Arial"/>
                <w:b/>
                <w:i/>
                <w:szCs w:val="24"/>
              </w:rPr>
              <w:t>NOVENA.-</w:t>
            </w:r>
            <w:r w:rsidR="001735BF" w:rsidRPr="00774267">
              <w:rPr>
                <w:rFonts w:cs="Arial"/>
                <w:b/>
                <w:i/>
                <w:szCs w:val="24"/>
              </w:rPr>
              <w:t xml:space="preserve"> </w:t>
            </w:r>
            <w:r w:rsidR="003C703B" w:rsidRPr="00774267">
              <w:rPr>
                <w:rFonts w:cs="Arial"/>
                <w:i/>
                <w:szCs w:val="24"/>
              </w:rPr>
              <w:t xml:space="preserve">Declarar que la AGENCIA NACIONAL DE INFRAESTRUCTURA – ANI, incumplió el Acuerdo Conciliatorio de 3 de mayo de 2005 aprobado por el Tribunal de Arbitramento mediante auto de 26 de mayo de 2005 (Acta No. 32 del trámite arbitral) en cuanto hace al saldo causado y no cancelado a la fecha de interposición de esta demanda, de las obligaciones de pago asumidas </w:t>
            </w:r>
            <w:r w:rsidR="00084542" w:rsidRPr="00774267">
              <w:rPr>
                <w:rFonts w:cs="Arial"/>
                <w:i/>
                <w:szCs w:val="24"/>
              </w:rPr>
              <w:t>por la entidad c</w:t>
            </w:r>
            <w:r w:rsidR="008E23F7" w:rsidRPr="00774267">
              <w:rPr>
                <w:rFonts w:cs="Arial"/>
                <w:i/>
                <w:szCs w:val="24"/>
              </w:rPr>
              <w:t>o</w:t>
            </w:r>
            <w:r w:rsidR="00084542" w:rsidRPr="00774267">
              <w:rPr>
                <w:rFonts w:cs="Arial"/>
                <w:i/>
                <w:szCs w:val="24"/>
              </w:rPr>
              <w:t xml:space="preserve">ntratante en el </w:t>
            </w:r>
            <w:r w:rsidR="00E9222F" w:rsidRPr="00774267">
              <w:rPr>
                <w:rFonts w:cs="Arial"/>
                <w:i/>
                <w:szCs w:val="24"/>
              </w:rPr>
              <w:t>Acuerdo Conciliatorio de 3 de mayo de 2005  de los costos de financiación en que incurrió el Concesionario respecto de las órden</w:t>
            </w:r>
            <w:r w:rsidR="004E3D3A" w:rsidRPr="00774267">
              <w:rPr>
                <w:rFonts w:cs="Arial"/>
                <w:i/>
                <w:szCs w:val="24"/>
              </w:rPr>
              <w:t>e</w:t>
            </w:r>
            <w:r w:rsidR="00E9222F" w:rsidRPr="00774267">
              <w:rPr>
                <w:rFonts w:cs="Arial"/>
                <w:i/>
                <w:szCs w:val="24"/>
              </w:rPr>
              <w:t>s de pago autorizadas dentro del alcance complementario, según se</w:t>
            </w:r>
            <w:r w:rsidR="004E3D3A" w:rsidRPr="00774267">
              <w:rPr>
                <w:rFonts w:cs="Arial"/>
                <w:i/>
                <w:szCs w:val="24"/>
              </w:rPr>
              <w:t xml:space="preserve"> </w:t>
            </w:r>
            <w:r w:rsidR="00E9222F" w:rsidRPr="00774267">
              <w:rPr>
                <w:rFonts w:cs="Arial"/>
                <w:i/>
                <w:szCs w:val="24"/>
              </w:rPr>
              <w:t xml:space="preserve">pruebe en este proceso, por concepto de las actividades y obras complementarias ejecutadas por el </w:t>
            </w:r>
            <w:r w:rsidR="00084542" w:rsidRPr="00774267">
              <w:rPr>
                <w:rFonts w:cs="Arial"/>
                <w:i/>
                <w:szCs w:val="24"/>
              </w:rPr>
              <w:t>C</w:t>
            </w:r>
            <w:r w:rsidR="00E9222F" w:rsidRPr="00774267">
              <w:rPr>
                <w:rFonts w:cs="Arial"/>
                <w:i/>
                <w:szCs w:val="24"/>
              </w:rPr>
              <w:t>oncesionario</w:t>
            </w:r>
            <w:r w:rsidRPr="00774267">
              <w:rPr>
                <w:rFonts w:cs="Arial"/>
                <w:i/>
                <w:szCs w:val="24"/>
              </w:rPr>
              <w:t>”</w:t>
            </w:r>
            <w:r w:rsidR="00084542" w:rsidRPr="00774267">
              <w:rPr>
                <w:rFonts w:cs="Arial"/>
                <w:i/>
                <w:szCs w:val="24"/>
              </w:rPr>
              <w:t>.</w:t>
            </w:r>
          </w:p>
        </w:tc>
        <w:tc>
          <w:tcPr>
            <w:tcW w:w="4001" w:type="dxa"/>
            <w:shd w:val="clear" w:color="auto" w:fill="auto"/>
          </w:tcPr>
          <w:p w14:paraId="47A052D5" w14:textId="77777777" w:rsidR="00C864A9" w:rsidRPr="00774267" w:rsidRDefault="00C864A9" w:rsidP="005B00E9">
            <w:pPr>
              <w:pStyle w:val="Textoindependiente22"/>
              <w:numPr>
                <w:ilvl w:val="12"/>
                <w:numId w:val="0"/>
              </w:numPr>
              <w:overflowPunct/>
              <w:autoSpaceDE/>
              <w:autoSpaceDN/>
              <w:adjustRightInd/>
              <w:spacing w:line="276" w:lineRule="auto"/>
              <w:textAlignment w:val="auto"/>
              <w:rPr>
                <w:rFonts w:cs="Arial"/>
                <w:szCs w:val="24"/>
              </w:rPr>
            </w:pPr>
            <w:r w:rsidRPr="00774267">
              <w:rPr>
                <w:rFonts w:cs="Arial"/>
                <w:szCs w:val="24"/>
              </w:rPr>
              <w:t>DENEGADA en el punto octavo de las resolutivas del fallo, que dice:</w:t>
            </w:r>
          </w:p>
          <w:p w14:paraId="6C968F4A" w14:textId="77777777" w:rsidR="00C864A9" w:rsidRPr="00774267" w:rsidRDefault="00C864A9" w:rsidP="005B00E9">
            <w:pPr>
              <w:pStyle w:val="Textoindependiente22"/>
              <w:numPr>
                <w:ilvl w:val="12"/>
                <w:numId w:val="0"/>
              </w:numPr>
              <w:overflowPunct/>
              <w:autoSpaceDE/>
              <w:autoSpaceDN/>
              <w:adjustRightInd/>
              <w:spacing w:line="276" w:lineRule="auto"/>
              <w:textAlignment w:val="auto"/>
              <w:rPr>
                <w:rFonts w:cs="Arial"/>
                <w:b/>
                <w:i/>
                <w:szCs w:val="24"/>
              </w:rPr>
            </w:pPr>
          </w:p>
          <w:p w14:paraId="670408E2" w14:textId="77777777" w:rsidR="00B54287" w:rsidRPr="00774267" w:rsidRDefault="00C864A9" w:rsidP="005B00E9">
            <w:pPr>
              <w:pStyle w:val="Textoindependiente22"/>
              <w:numPr>
                <w:ilvl w:val="12"/>
                <w:numId w:val="0"/>
              </w:numPr>
              <w:overflowPunct/>
              <w:autoSpaceDE/>
              <w:autoSpaceDN/>
              <w:adjustRightInd/>
              <w:spacing w:line="276" w:lineRule="auto"/>
              <w:textAlignment w:val="auto"/>
              <w:rPr>
                <w:rFonts w:cs="Arial"/>
                <w:b/>
                <w:i/>
                <w:szCs w:val="24"/>
              </w:rPr>
            </w:pPr>
            <w:r w:rsidRPr="00774267">
              <w:rPr>
                <w:rFonts w:cs="Arial"/>
                <w:i/>
                <w:szCs w:val="24"/>
              </w:rPr>
              <w:t>“</w:t>
            </w:r>
            <w:r w:rsidRPr="00774267">
              <w:rPr>
                <w:rFonts w:cs="Arial"/>
                <w:b/>
                <w:i/>
                <w:szCs w:val="24"/>
              </w:rPr>
              <w:t xml:space="preserve">OCTAVO: </w:t>
            </w:r>
            <w:r w:rsidRPr="00774267">
              <w:rPr>
                <w:rFonts w:cs="Arial"/>
                <w:i/>
                <w:szCs w:val="24"/>
              </w:rPr>
              <w:t>Por las razones expuestas en la parte motiva, declarar que no prosperan las demás pretensiones de la demanda de CSS CONSTRUCTORES S.A.”</w:t>
            </w:r>
          </w:p>
        </w:tc>
      </w:tr>
      <w:tr w:rsidR="00B54287" w:rsidRPr="00774267" w14:paraId="5FF224D4" w14:textId="77777777" w:rsidTr="005B00E9">
        <w:tc>
          <w:tcPr>
            <w:tcW w:w="4644" w:type="dxa"/>
            <w:shd w:val="clear" w:color="auto" w:fill="auto"/>
          </w:tcPr>
          <w:p w14:paraId="4378F7C4" w14:textId="77777777" w:rsidR="00B54287" w:rsidRPr="00774267" w:rsidRDefault="001D0CBA" w:rsidP="005B00E9">
            <w:pPr>
              <w:pStyle w:val="Textoindependiente22"/>
              <w:numPr>
                <w:ilvl w:val="12"/>
                <w:numId w:val="0"/>
              </w:numPr>
              <w:overflowPunct/>
              <w:autoSpaceDE/>
              <w:autoSpaceDN/>
              <w:adjustRightInd/>
              <w:spacing w:line="276" w:lineRule="auto"/>
              <w:textAlignment w:val="auto"/>
              <w:rPr>
                <w:rFonts w:cs="Arial"/>
                <w:b/>
                <w:i/>
                <w:szCs w:val="24"/>
              </w:rPr>
            </w:pPr>
            <w:r w:rsidRPr="00774267">
              <w:rPr>
                <w:rFonts w:cs="Arial"/>
                <w:i/>
                <w:szCs w:val="24"/>
              </w:rPr>
              <w:t>“</w:t>
            </w:r>
            <w:r w:rsidR="001735BF" w:rsidRPr="00774267">
              <w:rPr>
                <w:rFonts w:cs="Arial"/>
                <w:b/>
                <w:i/>
                <w:szCs w:val="24"/>
              </w:rPr>
              <w:t>DÉCIMA</w:t>
            </w:r>
            <w:r w:rsidR="00BB7C26" w:rsidRPr="00774267">
              <w:rPr>
                <w:rFonts w:cs="Arial"/>
                <w:b/>
                <w:i/>
                <w:szCs w:val="24"/>
              </w:rPr>
              <w:t>.-</w:t>
            </w:r>
            <w:r w:rsidR="00084542" w:rsidRPr="00774267">
              <w:rPr>
                <w:rFonts w:cs="Arial"/>
                <w:i/>
                <w:szCs w:val="24"/>
              </w:rPr>
              <w:t xml:space="preserve"> </w:t>
            </w:r>
            <w:r w:rsidR="00A80B28" w:rsidRPr="00774267">
              <w:rPr>
                <w:rFonts w:cs="Arial"/>
                <w:i/>
                <w:szCs w:val="24"/>
              </w:rPr>
              <w:t xml:space="preserve">Declarar que en virtud del incumplimiento del Acuerdo Conciliatorio de 3 de mayo de 2005 aprobado por el Tribunal de Arbitramento mediante auto de 26 de mayo de 2005 (Acta No. 32 del trámite arbitral) en cuanto hace al saldo </w:t>
            </w:r>
            <w:r w:rsidR="00A80B28" w:rsidRPr="00774267">
              <w:rPr>
                <w:rFonts w:cs="Arial"/>
                <w:i/>
                <w:szCs w:val="24"/>
              </w:rPr>
              <w:lastRenderedPageBreak/>
              <w:t>causado y no cancelado a la fecha de interposición de esta demanda, de las obligaciones de pago asumidas por la entidad contratante en el Acuerdo Conciliatorio del 3 de mayo de 2005 de los costos de fin</w:t>
            </w:r>
            <w:r w:rsidR="002A0BAA" w:rsidRPr="00774267">
              <w:rPr>
                <w:rFonts w:cs="Arial"/>
                <w:i/>
                <w:szCs w:val="24"/>
              </w:rPr>
              <w:t>an</w:t>
            </w:r>
            <w:r w:rsidR="00A80B28" w:rsidRPr="00774267">
              <w:rPr>
                <w:rFonts w:cs="Arial"/>
                <w:i/>
                <w:szCs w:val="24"/>
              </w:rPr>
              <w:t>ciación en que incurri</w:t>
            </w:r>
            <w:r w:rsidR="002A0BAA" w:rsidRPr="00774267">
              <w:rPr>
                <w:rFonts w:cs="Arial"/>
                <w:i/>
                <w:szCs w:val="24"/>
              </w:rPr>
              <w:t xml:space="preserve">ó el concesionario </w:t>
            </w:r>
            <w:r w:rsidR="0014277F" w:rsidRPr="00774267">
              <w:rPr>
                <w:rFonts w:cs="Arial"/>
                <w:i/>
                <w:szCs w:val="24"/>
              </w:rPr>
              <w:t xml:space="preserve">respecto de las </w:t>
            </w:r>
            <w:r w:rsidR="00BB7C26" w:rsidRPr="00774267">
              <w:rPr>
                <w:rFonts w:cs="Arial"/>
                <w:i/>
                <w:szCs w:val="24"/>
              </w:rPr>
              <w:t>ó</w:t>
            </w:r>
            <w:r w:rsidR="0014277F" w:rsidRPr="00774267">
              <w:rPr>
                <w:rFonts w:cs="Arial"/>
                <w:i/>
                <w:szCs w:val="24"/>
              </w:rPr>
              <w:t>rdenes de pago autorizadas dentro del alcance complementario, según se pru</w:t>
            </w:r>
            <w:r w:rsidR="00BB7C26" w:rsidRPr="00774267">
              <w:rPr>
                <w:rFonts w:cs="Arial"/>
                <w:i/>
                <w:szCs w:val="24"/>
              </w:rPr>
              <w:t>e</w:t>
            </w:r>
            <w:r w:rsidR="0014277F" w:rsidRPr="00774267">
              <w:rPr>
                <w:rFonts w:cs="Arial"/>
                <w:i/>
                <w:szCs w:val="24"/>
              </w:rPr>
              <w:t>be en este proceso, por c</w:t>
            </w:r>
            <w:r w:rsidR="00BB7C26" w:rsidRPr="00774267">
              <w:rPr>
                <w:rFonts w:cs="Arial"/>
                <w:i/>
                <w:szCs w:val="24"/>
              </w:rPr>
              <w:t>o</w:t>
            </w:r>
            <w:r w:rsidR="0014277F" w:rsidRPr="00774267">
              <w:rPr>
                <w:rFonts w:cs="Arial"/>
                <w:i/>
                <w:szCs w:val="24"/>
              </w:rPr>
              <w:t>ncepto de actividades</w:t>
            </w:r>
            <w:r w:rsidR="00BB7C26" w:rsidRPr="00774267">
              <w:rPr>
                <w:rFonts w:cs="Arial"/>
                <w:i/>
                <w:szCs w:val="24"/>
              </w:rPr>
              <w:t xml:space="preserve"> y obras complementarias ejecutadas por el Concesionario, la </w:t>
            </w:r>
            <w:r w:rsidR="00084542" w:rsidRPr="00774267">
              <w:rPr>
                <w:rFonts w:cs="Arial"/>
                <w:i/>
                <w:szCs w:val="24"/>
              </w:rPr>
              <w:t>AGENCIA NACIONAL DE INFRAESTRUCTURA –ANI deberá reconocer y cancelar a la sociedad CSS CONSTRUCTORES S.A., la suma de noventa mil setecientos ochenta y siete millones setecientos setenta y ocho mil quinientos setenta pesos m/</w:t>
            </w:r>
            <w:proofErr w:type="spellStart"/>
            <w:r w:rsidR="00084542" w:rsidRPr="00774267">
              <w:rPr>
                <w:rFonts w:cs="Arial"/>
                <w:i/>
                <w:szCs w:val="24"/>
              </w:rPr>
              <w:t>cte</w:t>
            </w:r>
            <w:proofErr w:type="spellEnd"/>
            <w:r w:rsidR="00084542" w:rsidRPr="00774267">
              <w:rPr>
                <w:rFonts w:cs="Arial"/>
                <w:i/>
                <w:szCs w:val="24"/>
              </w:rPr>
              <w:t xml:space="preserve">, </w:t>
            </w:r>
            <w:r w:rsidR="00BB7C26" w:rsidRPr="00774267">
              <w:rPr>
                <w:rFonts w:cs="Arial"/>
                <w:i/>
                <w:szCs w:val="24"/>
              </w:rPr>
              <w:t>($90.787</w:t>
            </w:r>
            <w:r w:rsidR="00201A04" w:rsidRPr="00774267">
              <w:rPr>
                <w:rFonts w:cs="Arial"/>
                <w:i/>
                <w:szCs w:val="24"/>
              </w:rPr>
              <w:t>’</w:t>
            </w:r>
            <w:r w:rsidR="00BB7C26" w:rsidRPr="00774267">
              <w:rPr>
                <w:rFonts w:cs="Arial"/>
                <w:i/>
                <w:szCs w:val="24"/>
              </w:rPr>
              <w:t xml:space="preserve">778.570) </w:t>
            </w:r>
            <w:r w:rsidR="00084542" w:rsidRPr="00774267">
              <w:rPr>
                <w:rFonts w:cs="Arial"/>
                <w:i/>
                <w:szCs w:val="24"/>
              </w:rPr>
              <w:t>teniendo en cuenta la obligación causada y no cancelada por la entidad, así como los pagos abonados por la entidad demandada, según se pruebe en este proceso</w:t>
            </w:r>
            <w:r w:rsidRPr="00774267">
              <w:rPr>
                <w:rFonts w:cs="Arial"/>
                <w:i/>
                <w:szCs w:val="24"/>
              </w:rPr>
              <w:t>”</w:t>
            </w:r>
            <w:r w:rsidR="00084542" w:rsidRPr="00774267">
              <w:rPr>
                <w:rFonts w:cs="Arial"/>
                <w:i/>
                <w:szCs w:val="24"/>
              </w:rPr>
              <w:t>.</w:t>
            </w:r>
          </w:p>
        </w:tc>
        <w:tc>
          <w:tcPr>
            <w:tcW w:w="4001" w:type="dxa"/>
            <w:shd w:val="clear" w:color="auto" w:fill="auto"/>
          </w:tcPr>
          <w:p w14:paraId="12C604AE" w14:textId="77777777" w:rsidR="008E23F7" w:rsidRPr="00774267" w:rsidRDefault="008E23F7" w:rsidP="005B00E9">
            <w:pPr>
              <w:pStyle w:val="Textoindependiente22"/>
              <w:numPr>
                <w:ilvl w:val="12"/>
                <w:numId w:val="0"/>
              </w:numPr>
              <w:overflowPunct/>
              <w:autoSpaceDE/>
              <w:autoSpaceDN/>
              <w:adjustRightInd/>
              <w:spacing w:line="276" w:lineRule="auto"/>
              <w:textAlignment w:val="auto"/>
              <w:rPr>
                <w:rFonts w:cs="Arial"/>
                <w:szCs w:val="24"/>
              </w:rPr>
            </w:pPr>
            <w:r w:rsidRPr="00774267">
              <w:rPr>
                <w:rFonts w:cs="Arial"/>
                <w:szCs w:val="24"/>
              </w:rPr>
              <w:lastRenderedPageBreak/>
              <w:t xml:space="preserve">DENEGADA en el punto octavo de las resolutivas del </w:t>
            </w:r>
            <w:r w:rsidR="001D0CBA" w:rsidRPr="00774267">
              <w:rPr>
                <w:rFonts w:cs="Arial"/>
                <w:szCs w:val="24"/>
              </w:rPr>
              <w:t>laudo arbitral</w:t>
            </w:r>
            <w:r w:rsidRPr="00774267">
              <w:rPr>
                <w:rFonts w:cs="Arial"/>
                <w:szCs w:val="24"/>
              </w:rPr>
              <w:t>, que dice:</w:t>
            </w:r>
          </w:p>
          <w:p w14:paraId="51AE3EF5" w14:textId="77777777" w:rsidR="008E23F7" w:rsidRPr="00774267" w:rsidRDefault="008E23F7" w:rsidP="005B00E9">
            <w:pPr>
              <w:pStyle w:val="Textoindependiente22"/>
              <w:numPr>
                <w:ilvl w:val="12"/>
                <w:numId w:val="0"/>
              </w:numPr>
              <w:overflowPunct/>
              <w:autoSpaceDE/>
              <w:autoSpaceDN/>
              <w:adjustRightInd/>
              <w:spacing w:line="276" w:lineRule="auto"/>
              <w:textAlignment w:val="auto"/>
              <w:rPr>
                <w:rFonts w:cs="Arial"/>
                <w:b/>
                <w:i/>
                <w:szCs w:val="24"/>
              </w:rPr>
            </w:pPr>
          </w:p>
          <w:p w14:paraId="24B21C3D" w14:textId="77777777" w:rsidR="00B54287" w:rsidRPr="00774267" w:rsidRDefault="001D0CBA" w:rsidP="005B00E9">
            <w:pPr>
              <w:pStyle w:val="Textoindependiente22"/>
              <w:numPr>
                <w:ilvl w:val="12"/>
                <w:numId w:val="0"/>
              </w:numPr>
              <w:overflowPunct/>
              <w:autoSpaceDE/>
              <w:autoSpaceDN/>
              <w:adjustRightInd/>
              <w:spacing w:line="276" w:lineRule="auto"/>
              <w:textAlignment w:val="auto"/>
              <w:rPr>
                <w:rFonts w:cs="Arial"/>
                <w:b/>
                <w:i/>
                <w:szCs w:val="24"/>
              </w:rPr>
            </w:pPr>
            <w:r w:rsidRPr="00774267">
              <w:rPr>
                <w:rFonts w:cs="Arial"/>
                <w:b/>
                <w:i/>
                <w:szCs w:val="24"/>
              </w:rPr>
              <w:t>“</w:t>
            </w:r>
            <w:r w:rsidR="008E23F7" w:rsidRPr="00774267">
              <w:rPr>
                <w:rFonts w:cs="Arial"/>
                <w:b/>
                <w:i/>
                <w:szCs w:val="24"/>
              </w:rPr>
              <w:t xml:space="preserve">OCTAVO: </w:t>
            </w:r>
            <w:r w:rsidR="008E23F7" w:rsidRPr="00774267">
              <w:rPr>
                <w:rFonts w:cs="Arial"/>
                <w:i/>
                <w:szCs w:val="24"/>
              </w:rPr>
              <w:t xml:space="preserve">Por las razones expuestas en la parte motiva, </w:t>
            </w:r>
            <w:r w:rsidR="008E23F7" w:rsidRPr="00774267">
              <w:rPr>
                <w:rFonts w:cs="Arial"/>
                <w:i/>
                <w:szCs w:val="24"/>
              </w:rPr>
              <w:lastRenderedPageBreak/>
              <w:t>declarar que no prosperan las demás pretensiones de la demanda de CSS CONSTRUCTORES S.A.</w:t>
            </w:r>
            <w:r w:rsidRPr="00774267">
              <w:rPr>
                <w:rFonts w:cs="Arial"/>
                <w:i/>
                <w:szCs w:val="24"/>
              </w:rPr>
              <w:t>”</w:t>
            </w:r>
          </w:p>
        </w:tc>
      </w:tr>
      <w:tr w:rsidR="001735BF" w:rsidRPr="00774267" w14:paraId="5A948C3C" w14:textId="77777777" w:rsidTr="005B00E9">
        <w:tc>
          <w:tcPr>
            <w:tcW w:w="4644" w:type="dxa"/>
            <w:shd w:val="clear" w:color="auto" w:fill="auto"/>
          </w:tcPr>
          <w:p w14:paraId="677BBC98" w14:textId="77777777" w:rsidR="001735BF" w:rsidRPr="00774267" w:rsidRDefault="001F7944" w:rsidP="005B00E9">
            <w:pPr>
              <w:pStyle w:val="Textoindependiente22"/>
              <w:numPr>
                <w:ilvl w:val="12"/>
                <w:numId w:val="0"/>
              </w:numPr>
              <w:overflowPunct/>
              <w:autoSpaceDE/>
              <w:autoSpaceDN/>
              <w:adjustRightInd/>
              <w:spacing w:line="276" w:lineRule="auto"/>
              <w:textAlignment w:val="auto"/>
              <w:rPr>
                <w:rFonts w:cs="Arial"/>
                <w:b/>
                <w:i/>
                <w:szCs w:val="24"/>
              </w:rPr>
            </w:pPr>
            <w:r w:rsidRPr="00774267">
              <w:rPr>
                <w:rFonts w:cs="Arial"/>
                <w:i/>
                <w:szCs w:val="24"/>
              </w:rPr>
              <w:lastRenderedPageBreak/>
              <w:t>“</w:t>
            </w:r>
            <w:r w:rsidR="001735BF" w:rsidRPr="00774267">
              <w:rPr>
                <w:rFonts w:cs="Arial"/>
                <w:b/>
                <w:i/>
                <w:szCs w:val="24"/>
              </w:rPr>
              <w:t>DÉCIMA PRIMERA</w:t>
            </w:r>
            <w:r w:rsidR="00EC35AF" w:rsidRPr="00774267">
              <w:rPr>
                <w:rFonts w:cs="Arial"/>
                <w:b/>
                <w:i/>
                <w:szCs w:val="24"/>
              </w:rPr>
              <w:t xml:space="preserve">: </w:t>
            </w:r>
            <w:r w:rsidR="00EC35AF" w:rsidRPr="00774267">
              <w:rPr>
                <w:rFonts w:cs="Arial"/>
                <w:i/>
                <w:szCs w:val="24"/>
              </w:rPr>
              <w:t>Declarar que la pretensión décima anterior, no está cobijada por la cosa juzgada derivada del acuerdo conciliatorio del 3 de mayo de 2005, aprobado por el Tribunal de Arbitramento mediante Auto del 26 de mayo de 2005 (</w:t>
            </w:r>
            <w:r w:rsidR="00D45F0D" w:rsidRPr="00774267">
              <w:rPr>
                <w:rFonts w:cs="Arial"/>
                <w:i/>
                <w:szCs w:val="24"/>
              </w:rPr>
              <w:t>A</w:t>
            </w:r>
            <w:r w:rsidR="00EC35AF" w:rsidRPr="00774267">
              <w:rPr>
                <w:rFonts w:cs="Arial"/>
                <w:i/>
                <w:szCs w:val="24"/>
              </w:rPr>
              <w:t>cta No. 32 del trámite arbitral)</w:t>
            </w:r>
            <w:r w:rsidR="001D0CBA" w:rsidRPr="00774267">
              <w:rPr>
                <w:rFonts w:cs="Arial"/>
                <w:i/>
                <w:szCs w:val="24"/>
              </w:rPr>
              <w:t>”</w:t>
            </w:r>
            <w:r w:rsidR="00EC35AF" w:rsidRPr="00774267">
              <w:rPr>
                <w:rFonts w:cs="Arial"/>
                <w:i/>
                <w:szCs w:val="24"/>
              </w:rPr>
              <w:t>.</w:t>
            </w:r>
          </w:p>
        </w:tc>
        <w:tc>
          <w:tcPr>
            <w:tcW w:w="4001" w:type="dxa"/>
            <w:shd w:val="clear" w:color="auto" w:fill="auto"/>
          </w:tcPr>
          <w:p w14:paraId="10FEFC6C" w14:textId="77777777" w:rsidR="002E2F85" w:rsidRPr="00774267" w:rsidRDefault="001D0CBA" w:rsidP="005B00E9">
            <w:pPr>
              <w:pStyle w:val="Textoindependiente22"/>
              <w:numPr>
                <w:ilvl w:val="12"/>
                <w:numId w:val="0"/>
              </w:numPr>
              <w:overflowPunct/>
              <w:autoSpaceDE/>
              <w:autoSpaceDN/>
              <w:adjustRightInd/>
              <w:spacing w:line="276" w:lineRule="auto"/>
              <w:textAlignment w:val="auto"/>
              <w:rPr>
                <w:rFonts w:cs="Arial"/>
                <w:szCs w:val="24"/>
              </w:rPr>
            </w:pPr>
            <w:r w:rsidRPr="00774267">
              <w:rPr>
                <w:rFonts w:cs="Arial"/>
                <w:i/>
                <w:szCs w:val="24"/>
              </w:rPr>
              <w:t>“</w:t>
            </w:r>
            <w:proofErr w:type="gramStart"/>
            <w:r w:rsidR="002E2F85" w:rsidRPr="00774267">
              <w:rPr>
                <w:rFonts w:cs="Arial"/>
                <w:b/>
                <w:i/>
                <w:szCs w:val="24"/>
              </w:rPr>
              <w:t>Séptimo</w:t>
            </w:r>
            <w:r w:rsidR="002E2F85" w:rsidRPr="00774267">
              <w:rPr>
                <w:rFonts w:cs="Arial"/>
                <w:i/>
                <w:szCs w:val="24"/>
              </w:rPr>
              <w:t>.-</w:t>
            </w:r>
            <w:proofErr w:type="gramEnd"/>
            <w:r w:rsidR="002E2F85" w:rsidRPr="00774267">
              <w:rPr>
                <w:rFonts w:cs="Arial"/>
                <w:i/>
                <w:szCs w:val="24"/>
              </w:rPr>
              <w:t xml:space="preserve"> Por las razones expuestas en la parte motiva y con el alcance precisado en las consideraciones de esta providencia, </w:t>
            </w:r>
            <w:r w:rsidR="002E2F85" w:rsidRPr="00774267">
              <w:rPr>
                <w:rFonts w:cs="Arial"/>
                <w:b/>
                <w:i/>
                <w:szCs w:val="24"/>
              </w:rPr>
              <w:t>declarar que el Acuerdo Conciliatorio del 3 de mayo de 2005, aprobado por el Tribunal de Arbitraje por Auto del 26 de mayo de 2005 (</w:t>
            </w:r>
            <w:r w:rsidR="002E2F85" w:rsidRPr="00774267">
              <w:rPr>
                <w:rFonts w:cs="Arial"/>
                <w:i/>
                <w:szCs w:val="24"/>
              </w:rPr>
              <w:t>Acta No. 32 del trámite arbitral)</w:t>
            </w:r>
            <w:r w:rsidR="002E2F85" w:rsidRPr="00774267">
              <w:rPr>
                <w:rFonts w:cs="Arial"/>
                <w:b/>
                <w:i/>
                <w:szCs w:val="24"/>
              </w:rPr>
              <w:t xml:space="preserve"> hizo tránsito a cosa juzgada</w:t>
            </w:r>
            <w:r w:rsidRPr="00774267">
              <w:rPr>
                <w:rFonts w:cs="Arial"/>
                <w:b/>
                <w:i/>
                <w:szCs w:val="24"/>
              </w:rPr>
              <w:t>”</w:t>
            </w:r>
            <w:r w:rsidR="002E2F85" w:rsidRPr="00774267">
              <w:rPr>
                <w:rFonts w:cs="Arial"/>
                <w:b/>
                <w:i/>
                <w:szCs w:val="24"/>
              </w:rPr>
              <w:t>.</w:t>
            </w:r>
            <w:r w:rsidR="00F11136" w:rsidRPr="00774267">
              <w:rPr>
                <w:rFonts w:cs="Arial"/>
                <w:b/>
                <w:i/>
                <w:szCs w:val="24"/>
              </w:rPr>
              <w:t xml:space="preserve"> </w:t>
            </w:r>
            <w:r w:rsidR="00F11136" w:rsidRPr="00774267">
              <w:rPr>
                <w:rFonts w:cs="Arial"/>
                <w:szCs w:val="24"/>
              </w:rPr>
              <w:t>(La negrilla no es del texto)</w:t>
            </w:r>
          </w:p>
          <w:p w14:paraId="21266F9D" w14:textId="77777777" w:rsidR="001735BF" w:rsidRPr="00774267" w:rsidRDefault="001735BF" w:rsidP="005B00E9">
            <w:pPr>
              <w:pStyle w:val="Textoindependiente22"/>
              <w:numPr>
                <w:ilvl w:val="12"/>
                <w:numId w:val="0"/>
              </w:numPr>
              <w:overflowPunct/>
              <w:autoSpaceDE/>
              <w:autoSpaceDN/>
              <w:adjustRightInd/>
              <w:spacing w:line="276" w:lineRule="auto"/>
              <w:textAlignment w:val="auto"/>
              <w:rPr>
                <w:rFonts w:cs="Arial"/>
                <w:b/>
                <w:i/>
                <w:szCs w:val="24"/>
              </w:rPr>
            </w:pPr>
          </w:p>
        </w:tc>
      </w:tr>
    </w:tbl>
    <w:p w14:paraId="0FD4CE77" w14:textId="77777777" w:rsidR="00B54287" w:rsidRPr="00774267" w:rsidRDefault="00B54287" w:rsidP="002D4371">
      <w:pPr>
        <w:pStyle w:val="Textoindependiente22"/>
        <w:numPr>
          <w:ilvl w:val="12"/>
          <w:numId w:val="0"/>
        </w:numPr>
        <w:overflowPunct/>
        <w:autoSpaceDE/>
        <w:autoSpaceDN/>
        <w:adjustRightInd/>
        <w:textAlignment w:val="auto"/>
        <w:rPr>
          <w:rFonts w:cs="Arial"/>
          <w:b/>
          <w:szCs w:val="24"/>
        </w:rPr>
      </w:pPr>
    </w:p>
    <w:p w14:paraId="72015796" w14:textId="77777777" w:rsidR="003E1E53" w:rsidRPr="00774267" w:rsidRDefault="003E1E53"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En las consideraciones del laudo </w:t>
      </w:r>
      <w:r w:rsidR="00C864A9" w:rsidRPr="00774267">
        <w:rPr>
          <w:rFonts w:cs="Arial"/>
          <w:szCs w:val="24"/>
        </w:rPr>
        <w:t xml:space="preserve">arbitral el Tribunal de Arbitramento </w:t>
      </w:r>
      <w:r w:rsidRPr="00774267">
        <w:rPr>
          <w:rFonts w:cs="Arial"/>
          <w:szCs w:val="24"/>
        </w:rPr>
        <w:t>indicó:</w:t>
      </w:r>
    </w:p>
    <w:p w14:paraId="388A03B6" w14:textId="77777777" w:rsidR="00C007AB" w:rsidRPr="00774267" w:rsidRDefault="00C007AB" w:rsidP="002D4371">
      <w:pPr>
        <w:pStyle w:val="Textoindependiente22"/>
        <w:numPr>
          <w:ilvl w:val="12"/>
          <w:numId w:val="0"/>
        </w:numPr>
        <w:overflowPunct/>
        <w:autoSpaceDE/>
        <w:autoSpaceDN/>
        <w:adjustRightInd/>
        <w:textAlignment w:val="auto"/>
        <w:rPr>
          <w:rFonts w:cs="Arial"/>
          <w:b/>
          <w:szCs w:val="24"/>
        </w:rPr>
      </w:pPr>
    </w:p>
    <w:p w14:paraId="21BD3E74" w14:textId="77777777" w:rsidR="003E1E53" w:rsidRPr="00774267" w:rsidRDefault="003E1E53" w:rsidP="00706955">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 xml:space="preserve">“En el acta que se ha transcrito en forma parcial, se encuentra que el objeto de la conciliación celebrada por las partes se refiere a todas las controversias surgidas con ocasión de la ejecución del contrato de concesión No. 0849/95, que fueron sometidas al conocimiento de ese Tribunal de </w:t>
      </w:r>
      <w:r w:rsidR="001E76FA" w:rsidRPr="00774267">
        <w:rPr>
          <w:rFonts w:cs="Arial"/>
          <w:i/>
          <w:szCs w:val="24"/>
        </w:rPr>
        <w:t>A</w:t>
      </w:r>
      <w:r w:rsidRPr="00774267">
        <w:rPr>
          <w:rFonts w:cs="Arial"/>
          <w:i/>
          <w:szCs w:val="24"/>
        </w:rPr>
        <w:t xml:space="preserve">rbitraje por razón de la solicitud de convocatoria de mayo de 2003. Por </w:t>
      </w:r>
      <w:proofErr w:type="gramStart"/>
      <w:r w:rsidRPr="00774267">
        <w:rPr>
          <w:rFonts w:cs="Arial"/>
          <w:i/>
          <w:szCs w:val="24"/>
        </w:rPr>
        <w:t>consigui</w:t>
      </w:r>
      <w:r w:rsidR="00706955" w:rsidRPr="00774267">
        <w:rPr>
          <w:rFonts w:cs="Arial"/>
          <w:i/>
          <w:szCs w:val="24"/>
        </w:rPr>
        <w:t>e</w:t>
      </w:r>
      <w:r w:rsidRPr="00774267">
        <w:rPr>
          <w:rFonts w:cs="Arial"/>
          <w:i/>
          <w:szCs w:val="24"/>
        </w:rPr>
        <w:t>nte</w:t>
      </w:r>
      <w:proofErr w:type="gramEnd"/>
      <w:r w:rsidRPr="00774267">
        <w:rPr>
          <w:rFonts w:cs="Arial"/>
          <w:i/>
          <w:szCs w:val="24"/>
        </w:rPr>
        <w:t xml:space="preserve"> el alcance de dicha conciliación es total </w:t>
      </w:r>
      <w:r w:rsidRPr="00774267">
        <w:rPr>
          <w:rFonts w:cs="Arial"/>
          <w:i/>
          <w:szCs w:val="24"/>
        </w:rPr>
        <w:lastRenderedPageBreak/>
        <w:t>respecto de las pretensiones de la demanda c</w:t>
      </w:r>
      <w:r w:rsidR="00706955" w:rsidRPr="00774267">
        <w:rPr>
          <w:rFonts w:cs="Arial"/>
          <w:i/>
          <w:szCs w:val="24"/>
        </w:rPr>
        <w:t>o</w:t>
      </w:r>
      <w:r w:rsidRPr="00774267">
        <w:rPr>
          <w:rFonts w:cs="Arial"/>
          <w:i/>
          <w:szCs w:val="24"/>
        </w:rPr>
        <w:t>n la cual se convocó dicho arbitraje</w:t>
      </w:r>
      <w:r w:rsidR="002C5CA2" w:rsidRPr="00774267">
        <w:rPr>
          <w:rFonts w:cs="Arial"/>
          <w:i/>
          <w:szCs w:val="24"/>
        </w:rPr>
        <w:t>”</w:t>
      </w:r>
      <w:r w:rsidR="00C007AB" w:rsidRPr="00774267">
        <w:rPr>
          <w:rStyle w:val="Refdenotaalpie"/>
          <w:rFonts w:cs="Arial"/>
          <w:i/>
          <w:szCs w:val="24"/>
        </w:rPr>
        <w:footnoteReference w:id="36"/>
      </w:r>
      <w:r w:rsidRPr="00774267">
        <w:rPr>
          <w:rFonts w:cs="Arial"/>
          <w:i/>
          <w:szCs w:val="24"/>
        </w:rPr>
        <w:t xml:space="preserve">. </w:t>
      </w:r>
    </w:p>
    <w:p w14:paraId="741199BE" w14:textId="77777777" w:rsidR="009B4E60" w:rsidRPr="00774267" w:rsidRDefault="009B4E60" w:rsidP="00706955">
      <w:pPr>
        <w:pStyle w:val="Textoindependiente22"/>
        <w:numPr>
          <w:ilvl w:val="12"/>
          <w:numId w:val="0"/>
        </w:numPr>
        <w:overflowPunct/>
        <w:autoSpaceDE/>
        <w:autoSpaceDN/>
        <w:adjustRightInd/>
        <w:ind w:right="567"/>
        <w:textAlignment w:val="auto"/>
        <w:rPr>
          <w:rFonts w:cs="Arial"/>
          <w:b/>
          <w:szCs w:val="24"/>
        </w:rPr>
      </w:pPr>
    </w:p>
    <w:p w14:paraId="6243F14D" w14:textId="77777777" w:rsidR="00706955" w:rsidRPr="00774267" w:rsidRDefault="00706955" w:rsidP="003A5309">
      <w:pPr>
        <w:pStyle w:val="Textoindependiente22"/>
        <w:numPr>
          <w:ilvl w:val="12"/>
          <w:numId w:val="0"/>
        </w:numPr>
        <w:overflowPunct/>
        <w:autoSpaceDE/>
        <w:autoSpaceDN/>
        <w:adjustRightInd/>
        <w:textAlignment w:val="auto"/>
        <w:rPr>
          <w:rFonts w:cs="Arial"/>
          <w:szCs w:val="24"/>
        </w:rPr>
      </w:pPr>
      <w:r w:rsidRPr="00774267">
        <w:rPr>
          <w:rFonts w:cs="Arial"/>
          <w:szCs w:val="24"/>
        </w:rPr>
        <w:t>Más adelante</w:t>
      </w:r>
      <w:r w:rsidR="005A62B2" w:rsidRPr="00774267">
        <w:rPr>
          <w:rFonts w:cs="Arial"/>
          <w:szCs w:val="24"/>
        </w:rPr>
        <w:t xml:space="preserve">, </w:t>
      </w:r>
      <w:r w:rsidRPr="00774267">
        <w:rPr>
          <w:rFonts w:cs="Arial"/>
          <w:szCs w:val="24"/>
        </w:rPr>
        <w:t xml:space="preserve">el laudo </w:t>
      </w:r>
      <w:r w:rsidR="003A5309" w:rsidRPr="00774267">
        <w:rPr>
          <w:rFonts w:cs="Arial"/>
          <w:szCs w:val="24"/>
        </w:rPr>
        <w:t xml:space="preserve">arbitral </w:t>
      </w:r>
      <w:r w:rsidRPr="00774267">
        <w:rPr>
          <w:rFonts w:cs="Arial"/>
          <w:szCs w:val="24"/>
        </w:rPr>
        <w:t>se refirió a</w:t>
      </w:r>
      <w:r w:rsidR="00D6374F" w:rsidRPr="00774267">
        <w:rPr>
          <w:rFonts w:cs="Arial"/>
          <w:szCs w:val="24"/>
        </w:rPr>
        <w:t xml:space="preserve">l alcance del </w:t>
      </w:r>
      <w:r w:rsidR="003A5309" w:rsidRPr="00774267">
        <w:rPr>
          <w:rFonts w:cs="Arial"/>
          <w:szCs w:val="24"/>
        </w:rPr>
        <w:t xml:space="preserve">primer </w:t>
      </w:r>
      <w:r w:rsidR="001E76FA" w:rsidRPr="00774267">
        <w:rPr>
          <w:rFonts w:cs="Arial"/>
          <w:szCs w:val="24"/>
        </w:rPr>
        <w:t xml:space="preserve">proceso </w:t>
      </w:r>
      <w:r w:rsidR="00D6374F" w:rsidRPr="00774267">
        <w:rPr>
          <w:rFonts w:cs="Arial"/>
          <w:szCs w:val="24"/>
        </w:rPr>
        <w:t xml:space="preserve">arbitral y a los </w:t>
      </w:r>
      <w:r w:rsidRPr="00774267">
        <w:rPr>
          <w:rFonts w:cs="Arial"/>
          <w:szCs w:val="24"/>
        </w:rPr>
        <w:t xml:space="preserve">costos de financiación de las </w:t>
      </w:r>
      <w:r w:rsidR="003A5309" w:rsidRPr="00774267">
        <w:rPr>
          <w:rFonts w:cs="Arial"/>
          <w:szCs w:val="24"/>
        </w:rPr>
        <w:t>ó</w:t>
      </w:r>
      <w:r w:rsidRPr="00774267">
        <w:rPr>
          <w:rFonts w:cs="Arial"/>
          <w:szCs w:val="24"/>
        </w:rPr>
        <w:t>rdenes de pago</w:t>
      </w:r>
      <w:r w:rsidR="00AD1AA3" w:rsidRPr="00774267">
        <w:rPr>
          <w:rFonts w:cs="Arial"/>
          <w:szCs w:val="24"/>
        </w:rPr>
        <w:t>, así</w:t>
      </w:r>
      <w:r w:rsidR="001E76FA" w:rsidRPr="00774267">
        <w:rPr>
          <w:rFonts w:cs="Arial"/>
          <w:szCs w:val="24"/>
        </w:rPr>
        <w:t>:</w:t>
      </w:r>
    </w:p>
    <w:p w14:paraId="638D0ABC" w14:textId="77777777" w:rsidR="009B4E60" w:rsidRPr="00774267" w:rsidRDefault="009B4E60" w:rsidP="0046203C">
      <w:pPr>
        <w:pStyle w:val="Textoindependiente22"/>
        <w:numPr>
          <w:ilvl w:val="12"/>
          <w:numId w:val="0"/>
        </w:numPr>
        <w:overflowPunct/>
        <w:autoSpaceDE/>
        <w:autoSpaceDN/>
        <w:adjustRightInd/>
        <w:ind w:left="567" w:right="567"/>
        <w:textAlignment w:val="auto"/>
        <w:rPr>
          <w:rFonts w:cs="Arial"/>
          <w:b/>
          <w:szCs w:val="24"/>
        </w:rPr>
      </w:pPr>
    </w:p>
    <w:p w14:paraId="34E1C07D" w14:textId="77777777" w:rsidR="005F0486" w:rsidRPr="00774267" w:rsidRDefault="00706955" w:rsidP="00706955">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w:t>
      </w:r>
      <w:r w:rsidR="009B4E60" w:rsidRPr="00774267">
        <w:rPr>
          <w:rFonts w:cs="Arial"/>
          <w:i/>
          <w:szCs w:val="24"/>
        </w:rPr>
        <w:t>Expresado en otras palabras, al impartir aprobación al Acuerdo Conciliatorio, el tribunal no solo consideró que las obras existían y servían a la concesión, sino que adem</w:t>
      </w:r>
      <w:r w:rsidR="00C007AB" w:rsidRPr="00774267">
        <w:rPr>
          <w:rFonts w:cs="Arial"/>
          <w:i/>
          <w:szCs w:val="24"/>
        </w:rPr>
        <w:t>á</w:t>
      </w:r>
      <w:r w:rsidR="009B4E60" w:rsidRPr="00774267">
        <w:rPr>
          <w:rFonts w:cs="Arial"/>
          <w:i/>
          <w:szCs w:val="24"/>
        </w:rPr>
        <w:t>s el monto acordado en d</w:t>
      </w:r>
      <w:r w:rsidR="00C007AB" w:rsidRPr="00774267">
        <w:rPr>
          <w:rFonts w:cs="Arial"/>
          <w:i/>
          <w:szCs w:val="24"/>
        </w:rPr>
        <w:t>ich</w:t>
      </w:r>
      <w:r w:rsidR="009B4E60" w:rsidRPr="00774267">
        <w:rPr>
          <w:rFonts w:cs="Arial"/>
          <w:i/>
          <w:szCs w:val="24"/>
        </w:rPr>
        <w:t xml:space="preserve">a conciliación correspondía a tales obras, en la medida en que esa era la reclamación </w:t>
      </w:r>
      <w:r w:rsidR="005F0486" w:rsidRPr="00774267">
        <w:rPr>
          <w:rFonts w:cs="Arial"/>
          <w:i/>
          <w:szCs w:val="24"/>
        </w:rPr>
        <w:t>central del concesionario en dicho arbitraje</w:t>
      </w:r>
      <w:r w:rsidR="00821E85" w:rsidRPr="00774267">
        <w:rPr>
          <w:rStyle w:val="Refdenotaalpie"/>
          <w:rFonts w:cs="Arial"/>
          <w:i/>
          <w:szCs w:val="24"/>
        </w:rPr>
        <w:footnoteReference w:id="37"/>
      </w:r>
      <w:r w:rsidR="005F0486" w:rsidRPr="00774267">
        <w:rPr>
          <w:rFonts w:cs="Arial"/>
          <w:i/>
          <w:szCs w:val="24"/>
        </w:rPr>
        <w:t>.</w:t>
      </w:r>
    </w:p>
    <w:p w14:paraId="53A24E5B" w14:textId="77777777" w:rsidR="008E150F" w:rsidRPr="00774267" w:rsidRDefault="008E150F" w:rsidP="00706955">
      <w:pPr>
        <w:pStyle w:val="Textoindependiente22"/>
        <w:numPr>
          <w:ilvl w:val="12"/>
          <w:numId w:val="0"/>
        </w:numPr>
        <w:overflowPunct/>
        <w:autoSpaceDE/>
        <w:autoSpaceDN/>
        <w:adjustRightInd/>
        <w:spacing w:line="276" w:lineRule="auto"/>
        <w:ind w:left="567" w:right="567"/>
        <w:textAlignment w:val="auto"/>
        <w:rPr>
          <w:rFonts w:cs="Arial"/>
          <w:i/>
          <w:szCs w:val="24"/>
        </w:rPr>
      </w:pPr>
    </w:p>
    <w:p w14:paraId="14A4D5D3" w14:textId="77777777" w:rsidR="00073314" w:rsidRPr="00774267" w:rsidRDefault="00D6374F" w:rsidP="00706955">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w:t>
      </w:r>
      <w:r w:rsidR="005F0486" w:rsidRPr="00774267">
        <w:rPr>
          <w:rFonts w:cs="Arial"/>
          <w:i/>
          <w:szCs w:val="24"/>
        </w:rPr>
        <w:t xml:space="preserve">(…) </w:t>
      </w:r>
      <w:r w:rsidR="001C7CDF" w:rsidRPr="00774267">
        <w:rPr>
          <w:rFonts w:cs="Arial"/>
          <w:i/>
          <w:szCs w:val="24"/>
        </w:rPr>
        <w:t>P</w:t>
      </w:r>
      <w:r w:rsidR="005F0486" w:rsidRPr="00774267">
        <w:rPr>
          <w:rFonts w:cs="Arial"/>
          <w:i/>
          <w:szCs w:val="24"/>
        </w:rPr>
        <w:t>ero lo que resulta m</w:t>
      </w:r>
      <w:r w:rsidR="001C7CDF" w:rsidRPr="00774267">
        <w:rPr>
          <w:rFonts w:cs="Arial"/>
          <w:i/>
          <w:szCs w:val="24"/>
        </w:rPr>
        <w:t>á</w:t>
      </w:r>
      <w:r w:rsidR="005F0486" w:rsidRPr="00774267">
        <w:rPr>
          <w:rFonts w:cs="Arial"/>
          <w:i/>
          <w:szCs w:val="24"/>
        </w:rPr>
        <w:t>s relevante para el presente trámite, es que tampoco existió una decisión de estas</w:t>
      </w:r>
      <w:r w:rsidR="001C7CDF" w:rsidRPr="00774267">
        <w:rPr>
          <w:rFonts w:cs="Arial"/>
          <w:i/>
          <w:szCs w:val="24"/>
        </w:rPr>
        <w:t xml:space="preserve"> </w:t>
      </w:r>
      <w:r w:rsidR="005F0486" w:rsidRPr="00774267">
        <w:rPr>
          <w:rFonts w:cs="Arial"/>
          <w:i/>
          <w:szCs w:val="24"/>
        </w:rPr>
        <w:t>pretensiones con las cuales se cobraban costos de financiación por el contratista</w:t>
      </w:r>
      <w:r w:rsidR="001C7CDF" w:rsidRPr="00774267">
        <w:rPr>
          <w:rFonts w:cs="Arial"/>
          <w:i/>
          <w:szCs w:val="24"/>
        </w:rPr>
        <w:t xml:space="preserve">, de modo que no hubo decisión judicial acerca de si el contratista tenía derecho o no a cobrar tales intereses </w:t>
      </w:r>
      <w:r w:rsidR="00073314" w:rsidRPr="00774267">
        <w:rPr>
          <w:rFonts w:cs="Arial"/>
          <w:i/>
          <w:szCs w:val="24"/>
        </w:rPr>
        <w:t>(…)</w:t>
      </w:r>
      <w:r w:rsidRPr="00774267">
        <w:rPr>
          <w:rStyle w:val="Refdenotaalpie"/>
          <w:rFonts w:cs="Arial"/>
          <w:i/>
          <w:szCs w:val="24"/>
        </w:rPr>
        <w:footnoteReference w:id="38"/>
      </w:r>
      <w:r w:rsidRPr="00774267">
        <w:rPr>
          <w:rFonts w:cs="Arial"/>
          <w:i/>
          <w:szCs w:val="24"/>
        </w:rPr>
        <w:t>.</w:t>
      </w:r>
    </w:p>
    <w:p w14:paraId="12ABAE30" w14:textId="77777777" w:rsidR="00073314" w:rsidRPr="00774267" w:rsidRDefault="00073314" w:rsidP="00706955">
      <w:pPr>
        <w:pStyle w:val="Textoindependiente22"/>
        <w:numPr>
          <w:ilvl w:val="12"/>
          <w:numId w:val="0"/>
        </w:numPr>
        <w:overflowPunct/>
        <w:autoSpaceDE/>
        <w:autoSpaceDN/>
        <w:adjustRightInd/>
        <w:spacing w:line="276" w:lineRule="auto"/>
        <w:ind w:left="567" w:right="567"/>
        <w:textAlignment w:val="auto"/>
        <w:rPr>
          <w:rFonts w:cs="Arial"/>
          <w:i/>
          <w:szCs w:val="24"/>
        </w:rPr>
      </w:pPr>
    </w:p>
    <w:p w14:paraId="5F461332" w14:textId="77777777" w:rsidR="0092252C" w:rsidRPr="00774267" w:rsidRDefault="0092252C" w:rsidP="00706955">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w:t>
      </w:r>
    </w:p>
    <w:p w14:paraId="1E5B4201" w14:textId="77777777" w:rsidR="0092252C" w:rsidRPr="00774267" w:rsidRDefault="0092252C" w:rsidP="00706955">
      <w:pPr>
        <w:pStyle w:val="Textoindependiente22"/>
        <w:numPr>
          <w:ilvl w:val="12"/>
          <w:numId w:val="0"/>
        </w:numPr>
        <w:overflowPunct/>
        <w:autoSpaceDE/>
        <w:autoSpaceDN/>
        <w:adjustRightInd/>
        <w:spacing w:line="276" w:lineRule="auto"/>
        <w:ind w:left="567" w:right="567"/>
        <w:textAlignment w:val="auto"/>
        <w:rPr>
          <w:rFonts w:cs="Arial"/>
          <w:i/>
          <w:szCs w:val="24"/>
        </w:rPr>
      </w:pPr>
    </w:p>
    <w:p w14:paraId="2DFFD5DD" w14:textId="77777777" w:rsidR="00C56216" w:rsidRPr="00774267" w:rsidRDefault="00D6374F" w:rsidP="003A5309">
      <w:pPr>
        <w:pStyle w:val="Textoindependiente22"/>
        <w:numPr>
          <w:ilvl w:val="12"/>
          <w:numId w:val="0"/>
        </w:numPr>
        <w:overflowPunct/>
        <w:autoSpaceDE/>
        <w:autoSpaceDN/>
        <w:adjustRightInd/>
        <w:spacing w:line="276" w:lineRule="auto"/>
        <w:ind w:left="567" w:right="567"/>
        <w:textAlignment w:val="auto"/>
        <w:rPr>
          <w:rFonts w:cs="Arial"/>
          <w:szCs w:val="24"/>
        </w:rPr>
      </w:pPr>
      <w:r w:rsidRPr="00774267">
        <w:rPr>
          <w:rFonts w:cs="Arial"/>
          <w:szCs w:val="24"/>
        </w:rPr>
        <w:t>“</w:t>
      </w:r>
      <w:r w:rsidR="00073314" w:rsidRPr="00774267">
        <w:rPr>
          <w:rFonts w:cs="Arial"/>
          <w:i/>
          <w:szCs w:val="24"/>
        </w:rPr>
        <w:t xml:space="preserve">No quiere lo anterior decir que se trate de una materia que no fue objeto de disputa en dicho arbitraje, toda vez que a partir de las pretensiones de la demanda y del peritaje que fue base de la conciliación se </w:t>
      </w:r>
      <w:r w:rsidR="00C56216" w:rsidRPr="00774267">
        <w:rPr>
          <w:rFonts w:cs="Arial"/>
          <w:i/>
          <w:szCs w:val="24"/>
        </w:rPr>
        <w:t xml:space="preserve">infiere </w:t>
      </w:r>
      <w:r w:rsidR="00073314" w:rsidRPr="00774267">
        <w:rPr>
          <w:rFonts w:cs="Arial"/>
          <w:i/>
          <w:szCs w:val="24"/>
        </w:rPr>
        <w:t>que, en efecto, fue un asunto planteado por la convocante en sus pretensiones bajo el concepto de intereses y respecto del cual el dictamen pericial hizo algunos cálculos</w:t>
      </w:r>
      <w:r w:rsidR="00C56216" w:rsidRPr="00774267">
        <w:rPr>
          <w:rFonts w:cs="Arial"/>
          <w:i/>
          <w:szCs w:val="24"/>
        </w:rPr>
        <w:t>. Sin embargo, como quedó visto, este punto a la postre fue objeto de arreglo por las partes y, por consiguiente, fue cobijado por la conciliación celebrada por ellas y aprobada por el tribunal”</w:t>
      </w:r>
      <w:r w:rsidR="00C007AB" w:rsidRPr="00774267">
        <w:rPr>
          <w:rStyle w:val="Refdenotaalpie"/>
          <w:rFonts w:cs="Arial"/>
          <w:i/>
          <w:szCs w:val="24"/>
        </w:rPr>
        <w:footnoteReference w:id="39"/>
      </w:r>
      <w:r w:rsidR="00C56216" w:rsidRPr="00774267">
        <w:rPr>
          <w:rFonts w:cs="Arial"/>
          <w:i/>
          <w:szCs w:val="24"/>
        </w:rPr>
        <w:t>.</w:t>
      </w:r>
    </w:p>
    <w:p w14:paraId="4ABC4D49" w14:textId="77777777" w:rsidR="00C56216" w:rsidRPr="00774267" w:rsidRDefault="00C56216" w:rsidP="0046203C">
      <w:pPr>
        <w:pStyle w:val="Textoindependiente22"/>
        <w:numPr>
          <w:ilvl w:val="12"/>
          <w:numId w:val="0"/>
        </w:numPr>
        <w:overflowPunct/>
        <w:autoSpaceDE/>
        <w:autoSpaceDN/>
        <w:adjustRightInd/>
        <w:ind w:left="567" w:right="567"/>
        <w:textAlignment w:val="auto"/>
        <w:rPr>
          <w:rFonts w:cs="Arial"/>
          <w:b/>
          <w:szCs w:val="24"/>
        </w:rPr>
      </w:pPr>
    </w:p>
    <w:p w14:paraId="34EDC6BB" w14:textId="77777777" w:rsidR="004035E0" w:rsidRPr="00774267" w:rsidRDefault="007B1F7B"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Por otra parte, </w:t>
      </w:r>
      <w:r w:rsidR="0092252C" w:rsidRPr="00774267">
        <w:rPr>
          <w:rFonts w:cs="Arial"/>
          <w:szCs w:val="24"/>
        </w:rPr>
        <w:t>e</w:t>
      </w:r>
      <w:r w:rsidR="0046203C" w:rsidRPr="00774267">
        <w:rPr>
          <w:rFonts w:cs="Arial"/>
          <w:szCs w:val="24"/>
        </w:rPr>
        <w:t xml:space="preserve">n </w:t>
      </w:r>
      <w:r w:rsidR="00E532F1" w:rsidRPr="00774267">
        <w:rPr>
          <w:rFonts w:cs="Arial"/>
          <w:szCs w:val="24"/>
        </w:rPr>
        <w:t xml:space="preserve">los puntos </w:t>
      </w:r>
      <w:r w:rsidR="0046203C" w:rsidRPr="00774267">
        <w:rPr>
          <w:rFonts w:cs="Arial"/>
          <w:szCs w:val="24"/>
        </w:rPr>
        <w:t>5.2</w:t>
      </w:r>
      <w:r w:rsidR="00E532F1" w:rsidRPr="00774267">
        <w:rPr>
          <w:rFonts w:cs="Arial"/>
          <w:szCs w:val="24"/>
        </w:rPr>
        <w:t xml:space="preserve"> y</w:t>
      </w:r>
      <w:r w:rsidR="0046203C" w:rsidRPr="00774267">
        <w:rPr>
          <w:rFonts w:cs="Arial"/>
          <w:szCs w:val="24"/>
        </w:rPr>
        <w:t xml:space="preserve"> 5.3 del laudo arbitral, el Tribunal </w:t>
      </w:r>
      <w:r w:rsidR="003A5309" w:rsidRPr="00774267">
        <w:rPr>
          <w:rFonts w:cs="Arial"/>
          <w:szCs w:val="24"/>
        </w:rPr>
        <w:t xml:space="preserve">de Arbitramento </w:t>
      </w:r>
      <w:r w:rsidR="004035E0" w:rsidRPr="00774267">
        <w:rPr>
          <w:rFonts w:cs="Arial"/>
          <w:szCs w:val="24"/>
        </w:rPr>
        <w:t xml:space="preserve">identificó y </w:t>
      </w:r>
      <w:r w:rsidR="0038711D" w:rsidRPr="00774267">
        <w:rPr>
          <w:rFonts w:cs="Arial"/>
          <w:szCs w:val="24"/>
        </w:rPr>
        <w:t xml:space="preserve">enlistó </w:t>
      </w:r>
      <w:r w:rsidR="0046203C" w:rsidRPr="00774267">
        <w:rPr>
          <w:rFonts w:cs="Arial"/>
          <w:szCs w:val="24"/>
        </w:rPr>
        <w:t>las órdenes de pago que hicieron parte de la demanda arbitral de 22 de mayo de 2003</w:t>
      </w:r>
      <w:r w:rsidR="0038711D" w:rsidRPr="00774267">
        <w:rPr>
          <w:rFonts w:cs="Arial"/>
          <w:szCs w:val="24"/>
        </w:rPr>
        <w:t xml:space="preserve"> y del debate </w:t>
      </w:r>
      <w:r w:rsidR="0046203C" w:rsidRPr="00774267">
        <w:rPr>
          <w:rFonts w:cs="Arial"/>
          <w:szCs w:val="24"/>
        </w:rPr>
        <w:t xml:space="preserve">que culminó con el </w:t>
      </w:r>
      <w:r w:rsidR="00AD1AA3" w:rsidRPr="00774267">
        <w:rPr>
          <w:rFonts w:cs="Arial"/>
          <w:szCs w:val="24"/>
        </w:rPr>
        <w:t xml:space="preserve">acuerdo conciliatorio </w:t>
      </w:r>
      <w:r w:rsidR="0046203C" w:rsidRPr="00774267">
        <w:rPr>
          <w:rFonts w:cs="Arial"/>
          <w:szCs w:val="24"/>
        </w:rPr>
        <w:t xml:space="preserve">de </w:t>
      </w:r>
      <w:r w:rsidRPr="00774267">
        <w:rPr>
          <w:rFonts w:cs="Arial"/>
          <w:szCs w:val="24"/>
        </w:rPr>
        <w:t>3</w:t>
      </w:r>
      <w:r w:rsidR="0046203C" w:rsidRPr="00774267">
        <w:rPr>
          <w:rFonts w:cs="Arial"/>
          <w:szCs w:val="24"/>
        </w:rPr>
        <w:t xml:space="preserve"> </w:t>
      </w:r>
      <w:r w:rsidR="00155E62" w:rsidRPr="00774267">
        <w:rPr>
          <w:rFonts w:cs="Arial"/>
          <w:szCs w:val="24"/>
        </w:rPr>
        <w:t>de mayo de 2005</w:t>
      </w:r>
      <w:r w:rsidR="004035E0" w:rsidRPr="00774267">
        <w:rPr>
          <w:rFonts w:cs="Arial"/>
          <w:szCs w:val="24"/>
        </w:rPr>
        <w:t xml:space="preserve">. Se </w:t>
      </w:r>
      <w:r w:rsidR="00AD1AA3" w:rsidRPr="00774267">
        <w:rPr>
          <w:rFonts w:cs="Arial"/>
          <w:szCs w:val="24"/>
        </w:rPr>
        <w:t xml:space="preserve">concluyó </w:t>
      </w:r>
      <w:r w:rsidR="0038711D" w:rsidRPr="00774267">
        <w:rPr>
          <w:rFonts w:cs="Arial"/>
          <w:szCs w:val="24"/>
        </w:rPr>
        <w:t xml:space="preserve">que </w:t>
      </w:r>
      <w:r w:rsidR="00AD1AA3" w:rsidRPr="00774267">
        <w:rPr>
          <w:rFonts w:cs="Arial"/>
          <w:szCs w:val="24"/>
        </w:rPr>
        <w:t xml:space="preserve">resultaba </w:t>
      </w:r>
      <w:r w:rsidR="001E76FA" w:rsidRPr="00774267">
        <w:rPr>
          <w:rFonts w:cs="Arial"/>
          <w:szCs w:val="24"/>
        </w:rPr>
        <w:t xml:space="preserve">pertinente distinguir </w:t>
      </w:r>
      <w:r w:rsidR="004035E0" w:rsidRPr="00774267">
        <w:rPr>
          <w:rFonts w:cs="Arial"/>
          <w:szCs w:val="24"/>
        </w:rPr>
        <w:t xml:space="preserve">esas </w:t>
      </w:r>
      <w:r w:rsidR="00AD1AA3" w:rsidRPr="00774267">
        <w:rPr>
          <w:rFonts w:cs="Arial"/>
          <w:szCs w:val="24"/>
        </w:rPr>
        <w:t>ó</w:t>
      </w:r>
      <w:r w:rsidR="001E76FA" w:rsidRPr="00774267">
        <w:rPr>
          <w:rFonts w:cs="Arial"/>
          <w:szCs w:val="24"/>
        </w:rPr>
        <w:t xml:space="preserve">rdenes de pago </w:t>
      </w:r>
      <w:r w:rsidR="004035E0" w:rsidRPr="00774267">
        <w:rPr>
          <w:rFonts w:cs="Arial"/>
          <w:szCs w:val="24"/>
        </w:rPr>
        <w:t xml:space="preserve">de </w:t>
      </w:r>
      <w:r w:rsidR="001512FE" w:rsidRPr="00774267">
        <w:rPr>
          <w:rFonts w:cs="Arial"/>
          <w:szCs w:val="24"/>
        </w:rPr>
        <w:t xml:space="preserve">aquellas que estaban inmersas en </w:t>
      </w:r>
      <w:r w:rsidR="004035E0" w:rsidRPr="00774267">
        <w:rPr>
          <w:rFonts w:cs="Arial"/>
          <w:szCs w:val="24"/>
        </w:rPr>
        <w:t>el presente proceso arbitral.</w:t>
      </w:r>
    </w:p>
    <w:p w14:paraId="20EDCC47" w14:textId="77777777" w:rsidR="00E532F1" w:rsidRPr="00774267" w:rsidRDefault="004035E0"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 </w:t>
      </w:r>
    </w:p>
    <w:p w14:paraId="5DC27930" w14:textId="77777777" w:rsidR="00EB367D" w:rsidRPr="00774267" w:rsidRDefault="00EE7128"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Con base en la relación de las órdenes </w:t>
      </w:r>
      <w:r w:rsidR="00E532F1" w:rsidRPr="00774267">
        <w:rPr>
          <w:rFonts w:cs="Arial"/>
          <w:szCs w:val="24"/>
        </w:rPr>
        <w:t xml:space="preserve">de pago </w:t>
      </w:r>
      <w:r w:rsidR="00EB367D" w:rsidRPr="00774267">
        <w:rPr>
          <w:rFonts w:cs="Arial"/>
          <w:szCs w:val="24"/>
        </w:rPr>
        <w:t xml:space="preserve">materia del debate en el </w:t>
      </w:r>
      <w:r w:rsidRPr="00774267">
        <w:rPr>
          <w:rFonts w:cs="Arial"/>
          <w:szCs w:val="24"/>
        </w:rPr>
        <w:t xml:space="preserve">primer proceso </w:t>
      </w:r>
      <w:r w:rsidR="00EB367D" w:rsidRPr="00774267">
        <w:rPr>
          <w:rFonts w:cs="Arial"/>
          <w:szCs w:val="24"/>
        </w:rPr>
        <w:t>arbitral, el Tribunal de Arbitramento</w:t>
      </w:r>
      <w:r w:rsidR="001512FE" w:rsidRPr="00774267">
        <w:rPr>
          <w:rFonts w:cs="Arial"/>
          <w:szCs w:val="24"/>
        </w:rPr>
        <w:t xml:space="preserve">, en el laudo que </w:t>
      </w:r>
      <w:r w:rsidR="00EB367D" w:rsidRPr="00774267">
        <w:rPr>
          <w:rFonts w:cs="Arial"/>
          <w:szCs w:val="24"/>
        </w:rPr>
        <w:t>ahora se examina</w:t>
      </w:r>
      <w:r w:rsidR="001065F1" w:rsidRPr="00774267">
        <w:rPr>
          <w:rFonts w:cs="Arial"/>
          <w:szCs w:val="24"/>
        </w:rPr>
        <w:t>,</w:t>
      </w:r>
      <w:r w:rsidR="00EB367D" w:rsidRPr="00774267">
        <w:rPr>
          <w:rFonts w:cs="Arial"/>
          <w:szCs w:val="24"/>
        </w:rPr>
        <w:t xml:space="preserve"> dispuso:</w:t>
      </w:r>
    </w:p>
    <w:p w14:paraId="08B00586" w14:textId="77777777" w:rsidR="00EB367D" w:rsidRPr="00774267" w:rsidRDefault="00EB367D" w:rsidP="002D4371">
      <w:pPr>
        <w:pStyle w:val="Textoindependiente22"/>
        <w:numPr>
          <w:ilvl w:val="12"/>
          <w:numId w:val="0"/>
        </w:numPr>
        <w:overflowPunct/>
        <w:autoSpaceDE/>
        <w:autoSpaceDN/>
        <w:adjustRightInd/>
        <w:textAlignment w:val="auto"/>
        <w:rPr>
          <w:rFonts w:cs="Arial"/>
          <w:b/>
          <w:szCs w:val="24"/>
        </w:rPr>
      </w:pPr>
    </w:p>
    <w:p w14:paraId="63D0AC69" w14:textId="77777777" w:rsidR="00E532F1" w:rsidRPr="00774267" w:rsidRDefault="00EB367D" w:rsidP="003C62BA">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“Por consigui</w:t>
      </w:r>
      <w:r w:rsidR="00E532F1" w:rsidRPr="00774267">
        <w:rPr>
          <w:rFonts w:cs="Arial"/>
          <w:i/>
          <w:szCs w:val="24"/>
        </w:rPr>
        <w:t>e</w:t>
      </w:r>
      <w:r w:rsidRPr="00774267">
        <w:rPr>
          <w:rFonts w:cs="Arial"/>
          <w:i/>
          <w:szCs w:val="24"/>
        </w:rPr>
        <w:t>nte, a partir de estas verificaciones se concluye que las órdenes de pago que fueron objeto de conciliación en el Acuerdo de 3 de mayo de 2005 son diferentes de las que se invocan en el presente proceso</w:t>
      </w:r>
      <w:r w:rsidR="00E532F1" w:rsidRPr="00774267">
        <w:rPr>
          <w:rFonts w:cs="Arial"/>
          <w:i/>
          <w:szCs w:val="24"/>
        </w:rPr>
        <w:t xml:space="preserve"> y cuyos costos de financiación reclama la convocante”</w:t>
      </w:r>
      <w:r w:rsidR="00E532F1" w:rsidRPr="00774267">
        <w:rPr>
          <w:rStyle w:val="Refdenotaalpie"/>
          <w:rFonts w:cs="Arial"/>
          <w:i/>
          <w:szCs w:val="24"/>
        </w:rPr>
        <w:footnoteReference w:id="40"/>
      </w:r>
      <w:r w:rsidR="007B1F7B" w:rsidRPr="00774267">
        <w:rPr>
          <w:rFonts w:cs="Arial"/>
          <w:i/>
          <w:szCs w:val="24"/>
        </w:rPr>
        <w:t>.</w:t>
      </w:r>
    </w:p>
    <w:p w14:paraId="577323F7" w14:textId="77777777" w:rsidR="00E532F1" w:rsidRPr="00774267" w:rsidRDefault="00E532F1" w:rsidP="003C62BA">
      <w:pPr>
        <w:pStyle w:val="Textoindependiente22"/>
        <w:numPr>
          <w:ilvl w:val="12"/>
          <w:numId w:val="0"/>
        </w:numPr>
        <w:overflowPunct/>
        <w:autoSpaceDE/>
        <w:autoSpaceDN/>
        <w:adjustRightInd/>
        <w:spacing w:line="276" w:lineRule="auto"/>
        <w:textAlignment w:val="auto"/>
        <w:rPr>
          <w:rFonts w:cs="Arial"/>
          <w:b/>
          <w:szCs w:val="24"/>
        </w:rPr>
      </w:pPr>
    </w:p>
    <w:p w14:paraId="7737A32D" w14:textId="77777777" w:rsidR="00156687" w:rsidRPr="00774267" w:rsidRDefault="001512FE"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Ahora bien, e</w:t>
      </w:r>
      <w:r w:rsidR="00156687" w:rsidRPr="00774267">
        <w:rPr>
          <w:rFonts w:cs="Arial"/>
          <w:szCs w:val="24"/>
        </w:rPr>
        <w:t xml:space="preserve">n el acápite de conclusiones sobre las pretensiones </w:t>
      </w:r>
      <w:r w:rsidR="003C62BA" w:rsidRPr="00774267">
        <w:rPr>
          <w:rFonts w:cs="Arial"/>
          <w:szCs w:val="24"/>
        </w:rPr>
        <w:t xml:space="preserve">que se citan por </w:t>
      </w:r>
      <w:r w:rsidR="0038711D" w:rsidRPr="00774267">
        <w:rPr>
          <w:rFonts w:cs="Arial"/>
          <w:szCs w:val="24"/>
        </w:rPr>
        <w:t xml:space="preserve">la recurrente, </w:t>
      </w:r>
      <w:r w:rsidR="00B83D8E" w:rsidRPr="00774267">
        <w:rPr>
          <w:rFonts w:cs="Arial"/>
          <w:szCs w:val="24"/>
        </w:rPr>
        <w:t>el Tribunal de Arbitramento advirtió la falta de competencia para pronunciarse sobre la reclamación de los costos de otras órdenes de pago</w:t>
      </w:r>
      <w:r w:rsidR="001E76FA" w:rsidRPr="00774267">
        <w:rPr>
          <w:rFonts w:cs="Arial"/>
          <w:szCs w:val="24"/>
        </w:rPr>
        <w:t xml:space="preserve"> –distintas de las referidas en el primer proceso arbitral</w:t>
      </w:r>
      <w:r w:rsidR="007B1F7B" w:rsidRPr="00774267">
        <w:rPr>
          <w:rFonts w:cs="Arial"/>
          <w:szCs w:val="24"/>
        </w:rPr>
        <w:t>-</w:t>
      </w:r>
      <w:r w:rsidR="001E76FA" w:rsidRPr="00774267">
        <w:rPr>
          <w:rFonts w:cs="Arial"/>
          <w:szCs w:val="24"/>
        </w:rPr>
        <w:t>,</w:t>
      </w:r>
      <w:r w:rsidR="00B83D8E" w:rsidRPr="00774267">
        <w:rPr>
          <w:rFonts w:cs="Arial"/>
          <w:szCs w:val="24"/>
        </w:rPr>
        <w:t xml:space="preserve"> así: </w:t>
      </w:r>
    </w:p>
    <w:p w14:paraId="2C7BFD7E" w14:textId="77777777" w:rsidR="003C62BA" w:rsidRPr="00774267" w:rsidRDefault="003C62BA" w:rsidP="002D4371">
      <w:pPr>
        <w:pStyle w:val="Textoindependiente22"/>
        <w:numPr>
          <w:ilvl w:val="12"/>
          <w:numId w:val="0"/>
        </w:numPr>
        <w:overflowPunct/>
        <w:autoSpaceDE/>
        <w:autoSpaceDN/>
        <w:adjustRightInd/>
        <w:textAlignment w:val="auto"/>
        <w:rPr>
          <w:rFonts w:cs="Arial"/>
          <w:szCs w:val="24"/>
        </w:rPr>
      </w:pPr>
    </w:p>
    <w:p w14:paraId="2BB8A643" w14:textId="77777777" w:rsidR="00E532F1" w:rsidRPr="00774267" w:rsidRDefault="001065F1" w:rsidP="005A4456">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w:t>
      </w:r>
      <w:r w:rsidR="00156687" w:rsidRPr="00774267">
        <w:rPr>
          <w:rFonts w:cs="Arial"/>
          <w:i/>
          <w:szCs w:val="24"/>
        </w:rPr>
        <w:t xml:space="preserve">Por todo lo anterior, la decisión respecto del eventual derecho que tenga </w:t>
      </w:r>
      <w:r w:rsidR="00156687" w:rsidRPr="00774267">
        <w:rPr>
          <w:rFonts w:cs="Arial"/>
          <w:b/>
          <w:i/>
          <w:szCs w:val="24"/>
        </w:rPr>
        <w:t>CSS</w:t>
      </w:r>
      <w:r w:rsidR="00156687" w:rsidRPr="00774267">
        <w:rPr>
          <w:rFonts w:cs="Arial"/>
          <w:i/>
          <w:szCs w:val="24"/>
        </w:rPr>
        <w:t xml:space="preserve"> –al margen del acuerdo conciliatorio</w:t>
      </w:r>
      <w:r w:rsidR="00263EE8" w:rsidRPr="00774267">
        <w:rPr>
          <w:rFonts w:cs="Arial"/>
          <w:i/>
          <w:szCs w:val="24"/>
        </w:rPr>
        <w:t>- de obtener el</w:t>
      </w:r>
      <w:r w:rsidRPr="00774267">
        <w:rPr>
          <w:rFonts w:cs="Arial"/>
          <w:i/>
          <w:szCs w:val="24"/>
        </w:rPr>
        <w:t xml:space="preserve"> </w:t>
      </w:r>
      <w:r w:rsidR="00263EE8" w:rsidRPr="00774267">
        <w:rPr>
          <w:rFonts w:cs="Arial"/>
          <w:i/>
          <w:szCs w:val="24"/>
        </w:rPr>
        <w:t xml:space="preserve">reconocimiento de los costos de financiación de las órdenes de pago autorizadas dentro del alcance complementario a las que se refieren los hechos de la </w:t>
      </w:r>
      <w:r w:rsidR="00226BED" w:rsidRPr="00774267">
        <w:rPr>
          <w:rFonts w:cs="Arial"/>
          <w:i/>
          <w:szCs w:val="24"/>
        </w:rPr>
        <w:t>D</w:t>
      </w:r>
      <w:r w:rsidR="00263EE8" w:rsidRPr="00774267">
        <w:rPr>
          <w:rFonts w:cs="Arial"/>
          <w:i/>
          <w:szCs w:val="24"/>
        </w:rPr>
        <w:t xml:space="preserve">emanda, es asunto que excede la competencia </w:t>
      </w:r>
      <w:r w:rsidR="00226BED" w:rsidRPr="00774267">
        <w:rPr>
          <w:rFonts w:cs="Arial"/>
          <w:i/>
          <w:szCs w:val="24"/>
        </w:rPr>
        <w:t>del presente Tribunal y respecto del cual no puede haber pronunciamiento en este laudo, so pena de incur</w:t>
      </w:r>
      <w:r w:rsidR="003C62BA" w:rsidRPr="00774267">
        <w:rPr>
          <w:rFonts w:cs="Arial"/>
          <w:i/>
          <w:szCs w:val="24"/>
        </w:rPr>
        <w:t>r</w:t>
      </w:r>
      <w:r w:rsidR="00226BED" w:rsidRPr="00774267">
        <w:rPr>
          <w:rFonts w:cs="Arial"/>
          <w:i/>
          <w:szCs w:val="24"/>
        </w:rPr>
        <w:t xml:space="preserve">ir en desconocimiento </w:t>
      </w:r>
      <w:r w:rsidR="005A4456" w:rsidRPr="00774267">
        <w:rPr>
          <w:rFonts w:cs="Arial"/>
          <w:i/>
          <w:szCs w:val="24"/>
        </w:rPr>
        <w:t>del principio de la c</w:t>
      </w:r>
      <w:r w:rsidR="003C62BA" w:rsidRPr="00774267">
        <w:rPr>
          <w:rFonts w:cs="Arial"/>
          <w:i/>
          <w:szCs w:val="24"/>
        </w:rPr>
        <w:t>o</w:t>
      </w:r>
      <w:r w:rsidR="005A4456" w:rsidRPr="00774267">
        <w:rPr>
          <w:rFonts w:cs="Arial"/>
          <w:i/>
          <w:szCs w:val="24"/>
        </w:rPr>
        <w:t>ngruencia consagrado en el artículo 281 del Código General del Proceso, en cuya virtud, no podrá condenarse al demandado por cantidad superior o por objeto distinto del pretendido en la demanda, ni por causa diferente a la invocada por esta, postulado cuya observancia resulta imperativa para los tribunales de arbitraje</w:t>
      </w:r>
      <w:r w:rsidR="005A4456" w:rsidRPr="00774267">
        <w:rPr>
          <w:rStyle w:val="Refdenotaalpie"/>
          <w:rFonts w:cs="Arial"/>
          <w:i/>
          <w:szCs w:val="24"/>
        </w:rPr>
        <w:footnoteReference w:id="41"/>
      </w:r>
      <w:r w:rsidR="005A4456" w:rsidRPr="00774267">
        <w:rPr>
          <w:rFonts w:cs="Arial"/>
          <w:i/>
          <w:szCs w:val="24"/>
        </w:rPr>
        <w:t xml:space="preserve">. </w:t>
      </w:r>
    </w:p>
    <w:p w14:paraId="65CF29DC" w14:textId="77777777" w:rsidR="001A0754" w:rsidRPr="00774267" w:rsidRDefault="001A0754" w:rsidP="005A4456">
      <w:pPr>
        <w:pStyle w:val="Textoindependiente22"/>
        <w:numPr>
          <w:ilvl w:val="12"/>
          <w:numId w:val="0"/>
        </w:numPr>
        <w:overflowPunct/>
        <w:autoSpaceDE/>
        <w:autoSpaceDN/>
        <w:adjustRightInd/>
        <w:spacing w:line="276" w:lineRule="auto"/>
        <w:ind w:left="567" w:right="567"/>
        <w:textAlignment w:val="auto"/>
        <w:rPr>
          <w:rFonts w:cs="Arial"/>
          <w:i/>
          <w:szCs w:val="24"/>
        </w:rPr>
      </w:pPr>
    </w:p>
    <w:p w14:paraId="5785CEBD" w14:textId="77777777" w:rsidR="001A0754" w:rsidRPr="00774267" w:rsidRDefault="003C62BA" w:rsidP="005A4456">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w:t>
      </w:r>
      <w:r w:rsidR="001A0754" w:rsidRPr="00774267">
        <w:rPr>
          <w:rFonts w:cs="Arial"/>
          <w:i/>
          <w:szCs w:val="24"/>
        </w:rPr>
        <w:t>(…)</w:t>
      </w:r>
      <w:r w:rsidRPr="00774267">
        <w:rPr>
          <w:rFonts w:cs="Arial"/>
          <w:i/>
          <w:szCs w:val="24"/>
        </w:rPr>
        <w:t>.</w:t>
      </w:r>
    </w:p>
    <w:p w14:paraId="4358FF21" w14:textId="77777777" w:rsidR="001A0754" w:rsidRPr="00774267" w:rsidRDefault="001A0754" w:rsidP="005A4456">
      <w:pPr>
        <w:pStyle w:val="Textoindependiente22"/>
        <w:numPr>
          <w:ilvl w:val="12"/>
          <w:numId w:val="0"/>
        </w:numPr>
        <w:overflowPunct/>
        <w:autoSpaceDE/>
        <w:autoSpaceDN/>
        <w:adjustRightInd/>
        <w:spacing w:line="276" w:lineRule="auto"/>
        <w:ind w:left="567" w:right="567"/>
        <w:textAlignment w:val="auto"/>
        <w:rPr>
          <w:rFonts w:cs="Arial"/>
          <w:i/>
          <w:szCs w:val="24"/>
        </w:rPr>
      </w:pPr>
    </w:p>
    <w:p w14:paraId="48405FFE" w14:textId="77777777" w:rsidR="001A0754" w:rsidRPr="00774267" w:rsidRDefault="003C62BA" w:rsidP="005A4456">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w:t>
      </w:r>
      <w:r w:rsidR="001A0754" w:rsidRPr="00774267">
        <w:rPr>
          <w:rFonts w:cs="Arial"/>
          <w:i/>
          <w:szCs w:val="24"/>
        </w:rPr>
        <w:t>En tanto, el incumplimiento sobre el que descansan las Pretensiones de CSS se refiere al Acuerdo Conciliatorio de 3 de mayo de 2005, resolver acerca del derecho de la Convocante al reconocimiento de los costos de financiación de las órdenes de pago autorizadas dentro del alcance complementario, por causas diferentes a las que invocó CSS o por objeto distinto al indicado en sus Pretensiones</w:t>
      </w:r>
      <w:r w:rsidRPr="00774267">
        <w:rPr>
          <w:rFonts w:cs="Arial"/>
          <w:i/>
          <w:szCs w:val="24"/>
        </w:rPr>
        <w:t>, implicaría transgredir el principio de la congruencia que informa el laudo arbitral”</w:t>
      </w:r>
      <w:r w:rsidRPr="00774267">
        <w:rPr>
          <w:rStyle w:val="Refdenotaalpie"/>
          <w:rFonts w:cs="Arial"/>
          <w:i/>
          <w:szCs w:val="24"/>
        </w:rPr>
        <w:footnoteReference w:id="42"/>
      </w:r>
      <w:r w:rsidRPr="00774267">
        <w:rPr>
          <w:rFonts w:cs="Arial"/>
          <w:i/>
          <w:szCs w:val="24"/>
        </w:rPr>
        <w:t>.</w:t>
      </w:r>
    </w:p>
    <w:p w14:paraId="68AF664B" w14:textId="77777777" w:rsidR="00B83D8E" w:rsidRPr="00774267" w:rsidRDefault="00B83D8E" w:rsidP="00B83D8E">
      <w:pPr>
        <w:pStyle w:val="Textoindependiente22"/>
        <w:numPr>
          <w:ilvl w:val="12"/>
          <w:numId w:val="0"/>
        </w:numPr>
        <w:overflowPunct/>
        <w:autoSpaceDE/>
        <w:autoSpaceDN/>
        <w:adjustRightInd/>
        <w:spacing w:line="276" w:lineRule="auto"/>
        <w:textAlignment w:val="auto"/>
        <w:rPr>
          <w:rFonts w:cs="Arial"/>
          <w:i/>
          <w:szCs w:val="24"/>
        </w:rPr>
      </w:pPr>
    </w:p>
    <w:p w14:paraId="2BF42EFA" w14:textId="77777777" w:rsidR="0065496A" w:rsidRPr="00774267" w:rsidRDefault="009C386A" w:rsidP="00AA496C">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En efecto, </w:t>
      </w:r>
      <w:r w:rsidR="00A87D33" w:rsidRPr="00774267">
        <w:rPr>
          <w:rFonts w:cs="Arial"/>
          <w:szCs w:val="24"/>
        </w:rPr>
        <w:t xml:space="preserve">con fundamento en el </w:t>
      </w:r>
      <w:r w:rsidRPr="00774267">
        <w:rPr>
          <w:rFonts w:cs="Arial"/>
          <w:szCs w:val="24"/>
        </w:rPr>
        <w:t xml:space="preserve">acervo probatorio </w:t>
      </w:r>
      <w:r w:rsidR="003F139A" w:rsidRPr="00774267">
        <w:rPr>
          <w:rFonts w:cs="Arial"/>
          <w:szCs w:val="24"/>
        </w:rPr>
        <w:t>del</w:t>
      </w:r>
      <w:r w:rsidRPr="00774267">
        <w:rPr>
          <w:rFonts w:cs="Arial"/>
          <w:szCs w:val="24"/>
        </w:rPr>
        <w:t xml:space="preserve"> proceso arbitral</w:t>
      </w:r>
      <w:r w:rsidR="00256EF5" w:rsidRPr="00774267">
        <w:rPr>
          <w:rFonts w:cs="Arial"/>
          <w:szCs w:val="24"/>
        </w:rPr>
        <w:t xml:space="preserve">, </w:t>
      </w:r>
      <w:r w:rsidRPr="00774267">
        <w:rPr>
          <w:rFonts w:cs="Arial"/>
          <w:szCs w:val="24"/>
        </w:rPr>
        <w:t>se puede establecer</w:t>
      </w:r>
      <w:r w:rsidR="00A87D33" w:rsidRPr="00774267">
        <w:rPr>
          <w:rFonts w:cs="Arial"/>
          <w:szCs w:val="24"/>
        </w:rPr>
        <w:t>,</w:t>
      </w:r>
      <w:r w:rsidRPr="00774267">
        <w:rPr>
          <w:rFonts w:cs="Arial"/>
          <w:szCs w:val="24"/>
        </w:rPr>
        <w:t xml:space="preserve"> </w:t>
      </w:r>
      <w:r w:rsidR="00A87D33" w:rsidRPr="00774267">
        <w:rPr>
          <w:rFonts w:cs="Arial"/>
          <w:szCs w:val="24"/>
        </w:rPr>
        <w:t>de manera general</w:t>
      </w:r>
      <w:r w:rsidR="00A87D33" w:rsidRPr="00774267">
        <w:rPr>
          <w:rStyle w:val="Refdenotaalpie"/>
          <w:rFonts w:cs="Arial"/>
          <w:szCs w:val="24"/>
        </w:rPr>
        <w:footnoteReference w:id="43"/>
      </w:r>
      <w:r w:rsidR="00A87D33" w:rsidRPr="00774267">
        <w:rPr>
          <w:rFonts w:cs="Arial"/>
          <w:szCs w:val="24"/>
        </w:rPr>
        <w:t xml:space="preserve">, </w:t>
      </w:r>
      <w:r w:rsidRPr="00774267">
        <w:rPr>
          <w:rFonts w:cs="Arial"/>
          <w:szCs w:val="24"/>
        </w:rPr>
        <w:t xml:space="preserve">que las órdenes materia de la controversia en el primer proceso arbitral correspondían a las relacionadas </w:t>
      </w:r>
      <w:r w:rsidR="00B22DD8" w:rsidRPr="00774267">
        <w:rPr>
          <w:rFonts w:cs="Arial"/>
          <w:szCs w:val="24"/>
        </w:rPr>
        <w:t xml:space="preserve">en los anexos de </w:t>
      </w:r>
      <w:r w:rsidR="00F077E5" w:rsidRPr="00774267">
        <w:rPr>
          <w:rFonts w:cs="Arial"/>
          <w:szCs w:val="24"/>
        </w:rPr>
        <w:t xml:space="preserve">esa </w:t>
      </w:r>
      <w:r w:rsidR="00B22DD8" w:rsidRPr="00774267">
        <w:rPr>
          <w:rFonts w:cs="Arial"/>
          <w:szCs w:val="24"/>
        </w:rPr>
        <w:t>demanda</w:t>
      </w:r>
      <w:r w:rsidR="007C5BFE" w:rsidRPr="00774267">
        <w:rPr>
          <w:rFonts w:cs="Arial"/>
          <w:szCs w:val="24"/>
        </w:rPr>
        <w:t>, ubicadas</w:t>
      </w:r>
      <w:r w:rsidR="00A27BFF" w:rsidRPr="00774267">
        <w:rPr>
          <w:rFonts w:cs="Arial"/>
          <w:szCs w:val="24"/>
        </w:rPr>
        <w:t>, en forma discontinua,</w:t>
      </w:r>
      <w:r w:rsidR="007C5BFE" w:rsidRPr="00774267">
        <w:rPr>
          <w:rFonts w:cs="Arial"/>
          <w:szCs w:val="24"/>
        </w:rPr>
        <w:t xml:space="preserve"> </w:t>
      </w:r>
      <w:r w:rsidRPr="00774267">
        <w:rPr>
          <w:rFonts w:cs="Arial"/>
          <w:szCs w:val="24"/>
        </w:rPr>
        <w:t>entre los números 2</w:t>
      </w:r>
      <w:r w:rsidR="00B22DD8" w:rsidRPr="00774267">
        <w:rPr>
          <w:rFonts w:cs="Arial"/>
          <w:szCs w:val="24"/>
        </w:rPr>
        <w:t xml:space="preserve">08 del 12 de julio de </w:t>
      </w:r>
      <w:r w:rsidR="00B22DD8" w:rsidRPr="00774267">
        <w:rPr>
          <w:rFonts w:cs="Arial"/>
          <w:szCs w:val="24"/>
        </w:rPr>
        <w:lastRenderedPageBreak/>
        <w:t>1999</w:t>
      </w:r>
      <w:r w:rsidR="002E1209" w:rsidRPr="00774267">
        <w:rPr>
          <w:rStyle w:val="Refdenotaalpie"/>
          <w:rFonts w:cs="Arial"/>
          <w:szCs w:val="24"/>
        </w:rPr>
        <w:footnoteReference w:id="44"/>
      </w:r>
      <w:r w:rsidR="00B22DD8" w:rsidRPr="00774267">
        <w:rPr>
          <w:rFonts w:cs="Arial"/>
          <w:szCs w:val="24"/>
        </w:rPr>
        <w:t xml:space="preserve"> y 457 de 9 de abril de 2003</w:t>
      </w:r>
      <w:r w:rsidR="002E1209" w:rsidRPr="00774267">
        <w:rPr>
          <w:rStyle w:val="Refdenotaalpie"/>
          <w:rFonts w:cs="Arial"/>
          <w:szCs w:val="24"/>
        </w:rPr>
        <w:footnoteReference w:id="45"/>
      </w:r>
      <w:r w:rsidR="004D160E" w:rsidRPr="00774267">
        <w:rPr>
          <w:rFonts w:cs="Arial"/>
          <w:szCs w:val="24"/>
        </w:rPr>
        <w:t>,</w:t>
      </w:r>
      <w:r w:rsidR="004402D1" w:rsidRPr="00774267">
        <w:rPr>
          <w:rFonts w:cs="Arial"/>
          <w:szCs w:val="24"/>
        </w:rPr>
        <w:t xml:space="preserve"> respecto de las cuales se indicó</w:t>
      </w:r>
      <w:r w:rsidR="00F077E5" w:rsidRPr="00774267">
        <w:rPr>
          <w:rFonts w:cs="Arial"/>
          <w:szCs w:val="24"/>
        </w:rPr>
        <w:t xml:space="preserve"> en esa demanda </w:t>
      </w:r>
      <w:r w:rsidR="004402D1" w:rsidRPr="00774267">
        <w:rPr>
          <w:rFonts w:cs="Arial"/>
          <w:szCs w:val="24"/>
        </w:rPr>
        <w:t xml:space="preserve">que no habían sido aprobadas </w:t>
      </w:r>
      <w:r w:rsidR="0000696E" w:rsidRPr="00774267">
        <w:rPr>
          <w:rFonts w:cs="Arial"/>
          <w:szCs w:val="24"/>
        </w:rPr>
        <w:t>ni</w:t>
      </w:r>
      <w:r w:rsidR="004402D1" w:rsidRPr="00774267">
        <w:rPr>
          <w:rFonts w:cs="Arial"/>
          <w:szCs w:val="24"/>
        </w:rPr>
        <w:t xml:space="preserve"> pagadas</w:t>
      </w:r>
      <w:r w:rsidR="00D85B1B" w:rsidRPr="00774267">
        <w:rPr>
          <w:rFonts w:cs="Arial"/>
          <w:szCs w:val="24"/>
        </w:rPr>
        <w:t xml:space="preserve">. Por tanto, esas fueron las órdenes de pago </w:t>
      </w:r>
      <w:r w:rsidR="0000696E" w:rsidRPr="00774267">
        <w:rPr>
          <w:rFonts w:cs="Arial"/>
          <w:szCs w:val="24"/>
        </w:rPr>
        <w:t xml:space="preserve">materia de la conciliación aprobada en el primer proceso arbitral. </w:t>
      </w:r>
    </w:p>
    <w:p w14:paraId="51BAFD98" w14:textId="77777777" w:rsidR="0065496A" w:rsidRPr="00774267" w:rsidRDefault="0065496A" w:rsidP="00AA496C">
      <w:pPr>
        <w:pStyle w:val="Textoindependiente22"/>
        <w:numPr>
          <w:ilvl w:val="12"/>
          <w:numId w:val="0"/>
        </w:numPr>
        <w:overflowPunct/>
        <w:autoSpaceDE/>
        <w:autoSpaceDN/>
        <w:adjustRightInd/>
        <w:textAlignment w:val="auto"/>
        <w:rPr>
          <w:rFonts w:cs="Arial"/>
          <w:szCs w:val="24"/>
        </w:rPr>
      </w:pPr>
    </w:p>
    <w:p w14:paraId="0D9F82B8" w14:textId="77777777" w:rsidR="004402D1" w:rsidRPr="00774267" w:rsidRDefault="0000696E" w:rsidP="00AA496C">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Por </w:t>
      </w:r>
      <w:r w:rsidR="003873D0" w:rsidRPr="00774267">
        <w:rPr>
          <w:rFonts w:cs="Arial"/>
          <w:szCs w:val="24"/>
        </w:rPr>
        <w:t xml:space="preserve">su </w:t>
      </w:r>
      <w:r w:rsidRPr="00774267">
        <w:rPr>
          <w:rFonts w:cs="Arial"/>
          <w:szCs w:val="24"/>
        </w:rPr>
        <w:t>parte</w:t>
      </w:r>
      <w:r w:rsidR="0065496A" w:rsidRPr="00774267">
        <w:rPr>
          <w:rFonts w:cs="Arial"/>
          <w:szCs w:val="24"/>
        </w:rPr>
        <w:t>,</w:t>
      </w:r>
      <w:r w:rsidRPr="00774267">
        <w:rPr>
          <w:rFonts w:cs="Arial"/>
          <w:szCs w:val="24"/>
        </w:rPr>
        <w:t xml:space="preserve"> </w:t>
      </w:r>
      <w:r w:rsidR="007C5BFE" w:rsidRPr="00774267">
        <w:rPr>
          <w:rFonts w:cs="Arial"/>
          <w:szCs w:val="24"/>
        </w:rPr>
        <w:t xml:space="preserve">las </w:t>
      </w:r>
      <w:r w:rsidR="004402D1" w:rsidRPr="00774267">
        <w:rPr>
          <w:rFonts w:cs="Arial"/>
          <w:szCs w:val="24"/>
        </w:rPr>
        <w:t xml:space="preserve">órdenes </w:t>
      </w:r>
      <w:r w:rsidR="007C5BFE" w:rsidRPr="00774267">
        <w:rPr>
          <w:rFonts w:cs="Arial"/>
          <w:szCs w:val="24"/>
        </w:rPr>
        <w:t>relacionadas en las reclamaciones posteriores</w:t>
      </w:r>
      <w:r w:rsidR="004402D1" w:rsidRPr="00774267">
        <w:rPr>
          <w:rFonts w:cs="Arial"/>
          <w:szCs w:val="24"/>
        </w:rPr>
        <w:t xml:space="preserve">, </w:t>
      </w:r>
      <w:r w:rsidR="001D4FB0" w:rsidRPr="00774267">
        <w:rPr>
          <w:rFonts w:cs="Arial"/>
          <w:szCs w:val="24"/>
        </w:rPr>
        <w:t>pretendidas en la demanda d</w:t>
      </w:r>
      <w:r w:rsidR="004402D1" w:rsidRPr="00774267">
        <w:rPr>
          <w:rFonts w:cs="Arial"/>
          <w:szCs w:val="24"/>
        </w:rPr>
        <w:t xml:space="preserve">el </w:t>
      </w:r>
      <w:r w:rsidRPr="00774267">
        <w:rPr>
          <w:rFonts w:cs="Arial"/>
          <w:szCs w:val="24"/>
        </w:rPr>
        <w:t xml:space="preserve">presente </w:t>
      </w:r>
      <w:r w:rsidR="004402D1" w:rsidRPr="00774267">
        <w:rPr>
          <w:rFonts w:cs="Arial"/>
          <w:szCs w:val="24"/>
        </w:rPr>
        <w:t xml:space="preserve">proceso arbitral, </w:t>
      </w:r>
      <w:r w:rsidR="007C5BFE" w:rsidRPr="00774267">
        <w:rPr>
          <w:rFonts w:cs="Arial"/>
          <w:szCs w:val="24"/>
        </w:rPr>
        <w:t xml:space="preserve">correspondían a </w:t>
      </w:r>
      <w:r w:rsidR="00177839" w:rsidRPr="00774267">
        <w:rPr>
          <w:rFonts w:cs="Arial"/>
          <w:szCs w:val="24"/>
        </w:rPr>
        <w:t xml:space="preserve">17 </w:t>
      </w:r>
      <w:r w:rsidR="007C5BFE" w:rsidRPr="00774267">
        <w:rPr>
          <w:rFonts w:cs="Arial"/>
          <w:szCs w:val="24"/>
        </w:rPr>
        <w:t>órdenes de pago</w:t>
      </w:r>
      <w:r w:rsidR="00370920" w:rsidRPr="00774267">
        <w:rPr>
          <w:rFonts w:cs="Arial"/>
          <w:szCs w:val="24"/>
        </w:rPr>
        <w:t xml:space="preserve">, </w:t>
      </w:r>
      <w:r w:rsidR="00370920" w:rsidRPr="00774267">
        <w:rPr>
          <w:rFonts w:cs="Arial"/>
          <w:i/>
          <w:szCs w:val="24"/>
        </w:rPr>
        <w:t>distintas de las relacionadas en la primera demanda arbitral,</w:t>
      </w:r>
      <w:r w:rsidR="00370920" w:rsidRPr="00774267">
        <w:rPr>
          <w:rFonts w:cs="Arial"/>
          <w:szCs w:val="24"/>
        </w:rPr>
        <w:t xml:space="preserve"> </w:t>
      </w:r>
      <w:r w:rsidR="00177839" w:rsidRPr="00774267">
        <w:rPr>
          <w:rFonts w:cs="Arial"/>
          <w:szCs w:val="24"/>
        </w:rPr>
        <w:t>distinguidas entre los números 171 de 23 de diciembre de 1998 y 490 de 10 de enero de 2004</w:t>
      </w:r>
      <w:r w:rsidR="004D160E" w:rsidRPr="00774267">
        <w:rPr>
          <w:rStyle w:val="Refdenotaalpie"/>
          <w:rFonts w:cs="Arial"/>
          <w:szCs w:val="24"/>
        </w:rPr>
        <w:footnoteReference w:id="46"/>
      </w:r>
      <w:r w:rsidR="00177839" w:rsidRPr="00774267">
        <w:rPr>
          <w:rFonts w:cs="Arial"/>
          <w:szCs w:val="24"/>
        </w:rPr>
        <w:t xml:space="preserve">, </w:t>
      </w:r>
      <w:r w:rsidR="00AF551A" w:rsidRPr="00774267">
        <w:rPr>
          <w:rFonts w:cs="Arial"/>
          <w:szCs w:val="24"/>
        </w:rPr>
        <w:t xml:space="preserve">respecto de </w:t>
      </w:r>
      <w:r w:rsidR="00177839" w:rsidRPr="00774267">
        <w:rPr>
          <w:rFonts w:cs="Arial"/>
          <w:szCs w:val="24"/>
        </w:rPr>
        <w:t xml:space="preserve">las cuales </w:t>
      </w:r>
      <w:r w:rsidR="00AF551A" w:rsidRPr="00774267">
        <w:rPr>
          <w:rFonts w:cs="Arial"/>
          <w:szCs w:val="24"/>
        </w:rPr>
        <w:t xml:space="preserve">se indicó </w:t>
      </w:r>
      <w:r w:rsidR="00AF551A" w:rsidRPr="00774267">
        <w:rPr>
          <w:rFonts w:cs="Arial"/>
          <w:i/>
          <w:szCs w:val="24"/>
        </w:rPr>
        <w:t xml:space="preserve">que </w:t>
      </w:r>
      <w:r w:rsidR="00177839" w:rsidRPr="00774267">
        <w:rPr>
          <w:rFonts w:cs="Arial"/>
          <w:i/>
          <w:szCs w:val="24"/>
        </w:rPr>
        <w:t>s</w:t>
      </w:r>
      <w:r w:rsidR="003F139A" w:rsidRPr="00774267">
        <w:rPr>
          <w:rFonts w:cs="Arial"/>
          <w:i/>
          <w:szCs w:val="24"/>
        </w:rPr>
        <w:t>í</w:t>
      </w:r>
      <w:r w:rsidR="00177839" w:rsidRPr="00774267">
        <w:rPr>
          <w:rFonts w:cs="Arial"/>
          <w:i/>
          <w:szCs w:val="24"/>
        </w:rPr>
        <w:t xml:space="preserve"> fueron pagadas</w:t>
      </w:r>
      <w:r w:rsidR="00177839" w:rsidRPr="00774267">
        <w:rPr>
          <w:rFonts w:cs="Arial"/>
          <w:szCs w:val="24"/>
        </w:rPr>
        <w:t>, según las pruebas obrantes en e</w:t>
      </w:r>
      <w:r w:rsidR="00370920" w:rsidRPr="00774267">
        <w:rPr>
          <w:rFonts w:cs="Arial"/>
          <w:szCs w:val="24"/>
        </w:rPr>
        <w:t xml:space="preserve">l presente </w:t>
      </w:r>
      <w:r w:rsidR="00177839" w:rsidRPr="00774267">
        <w:rPr>
          <w:rFonts w:cs="Arial"/>
          <w:szCs w:val="24"/>
        </w:rPr>
        <w:t>proceso</w:t>
      </w:r>
      <w:r w:rsidR="00370920" w:rsidRPr="00774267">
        <w:rPr>
          <w:rFonts w:cs="Arial"/>
          <w:szCs w:val="24"/>
        </w:rPr>
        <w:t xml:space="preserve"> arbitral</w:t>
      </w:r>
      <w:r w:rsidR="00177839" w:rsidRPr="00774267">
        <w:rPr>
          <w:rFonts w:cs="Arial"/>
          <w:szCs w:val="24"/>
        </w:rPr>
        <w:t>, pero</w:t>
      </w:r>
      <w:r w:rsidR="004402D1" w:rsidRPr="00774267">
        <w:rPr>
          <w:rFonts w:cs="Arial"/>
          <w:szCs w:val="24"/>
        </w:rPr>
        <w:t xml:space="preserve">, a juicio del concesionario, </w:t>
      </w:r>
      <w:r w:rsidR="00AF551A" w:rsidRPr="00774267">
        <w:rPr>
          <w:rFonts w:cs="Arial"/>
          <w:szCs w:val="24"/>
        </w:rPr>
        <w:t xml:space="preserve">los abonos </w:t>
      </w:r>
      <w:r w:rsidR="00D85B1B" w:rsidRPr="00774267">
        <w:rPr>
          <w:rFonts w:cs="Arial"/>
          <w:szCs w:val="24"/>
        </w:rPr>
        <w:t xml:space="preserve">correspondientes </w:t>
      </w:r>
      <w:r w:rsidR="00AF551A" w:rsidRPr="00774267">
        <w:rPr>
          <w:rFonts w:cs="Arial"/>
          <w:szCs w:val="24"/>
        </w:rPr>
        <w:t xml:space="preserve">se hicieron </w:t>
      </w:r>
      <w:r w:rsidR="00177839" w:rsidRPr="00774267">
        <w:rPr>
          <w:rFonts w:cs="Arial"/>
          <w:szCs w:val="24"/>
        </w:rPr>
        <w:t xml:space="preserve">en forma tardía, </w:t>
      </w:r>
      <w:r w:rsidR="004402D1" w:rsidRPr="00774267">
        <w:rPr>
          <w:rFonts w:cs="Arial"/>
          <w:szCs w:val="24"/>
        </w:rPr>
        <w:t xml:space="preserve">de acuerdo con los desembolsos realizados </w:t>
      </w:r>
      <w:r w:rsidR="00177839" w:rsidRPr="00774267">
        <w:rPr>
          <w:rFonts w:cs="Arial"/>
          <w:szCs w:val="24"/>
        </w:rPr>
        <w:t>entre diciembre de 1998</w:t>
      </w:r>
      <w:r w:rsidR="004402D1" w:rsidRPr="00774267">
        <w:rPr>
          <w:rFonts w:cs="Arial"/>
          <w:szCs w:val="24"/>
        </w:rPr>
        <w:t xml:space="preserve"> y abril de 2004</w:t>
      </w:r>
      <w:r w:rsidR="00AF551A" w:rsidRPr="00774267">
        <w:rPr>
          <w:rStyle w:val="Refdenotaalpie"/>
          <w:rFonts w:cs="Arial"/>
          <w:szCs w:val="24"/>
        </w:rPr>
        <w:footnoteReference w:id="47"/>
      </w:r>
      <w:r w:rsidR="00256EF5" w:rsidRPr="00774267">
        <w:rPr>
          <w:rFonts w:cs="Arial"/>
          <w:szCs w:val="24"/>
        </w:rPr>
        <w:t xml:space="preserve">, razón por la cual </w:t>
      </w:r>
      <w:r w:rsidRPr="00774267">
        <w:rPr>
          <w:rFonts w:cs="Arial"/>
          <w:szCs w:val="24"/>
        </w:rPr>
        <w:t xml:space="preserve">el concesionario </w:t>
      </w:r>
      <w:r w:rsidR="00256EF5" w:rsidRPr="00774267">
        <w:rPr>
          <w:rFonts w:cs="Arial"/>
          <w:szCs w:val="24"/>
        </w:rPr>
        <w:t xml:space="preserve">reclamaba los costos de financiación sobre las sumas </w:t>
      </w:r>
      <w:r w:rsidR="005B28DA" w:rsidRPr="00774267">
        <w:rPr>
          <w:rFonts w:cs="Arial"/>
          <w:szCs w:val="24"/>
        </w:rPr>
        <w:t>referidas en dichas órdenes</w:t>
      </w:r>
      <w:r w:rsidR="001D4FB0" w:rsidRPr="00774267">
        <w:rPr>
          <w:rFonts w:cs="Arial"/>
          <w:szCs w:val="24"/>
        </w:rPr>
        <w:t xml:space="preserve">. No obstante, </w:t>
      </w:r>
      <w:r w:rsidR="0065496A" w:rsidRPr="00774267">
        <w:rPr>
          <w:rFonts w:cs="Arial"/>
          <w:szCs w:val="24"/>
        </w:rPr>
        <w:t>tal como observó el Tribunal de Arbitramento</w:t>
      </w:r>
      <w:r w:rsidR="00F077E5" w:rsidRPr="00774267">
        <w:rPr>
          <w:rFonts w:cs="Arial"/>
          <w:szCs w:val="24"/>
        </w:rPr>
        <w:t xml:space="preserve"> en el laudo que ahora se examina</w:t>
      </w:r>
      <w:r w:rsidR="0065496A" w:rsidRPr="00774267">
        <w:rPr>
          <w:rFonts w:cs="Arial"/>
          <w:szCs w:val="24"/>
        </w:rPr>
        <w:t xml:space="preserve">, </w:t>
      </w:r>
      <w:r w:rsidR="00F077E5" w:rsidRPr="00774267">
        <w:rPr>
          <w:rFonts w:cs="Arial"/>
          <w:szCs w:val="24"/>
        </w:rPr>
        <w:t xml:space="preserve">el concesionario </w:t>
      </w:r>
      <w:r w:rsidR="0065496A" w:rsidRPr="00774267">
        <w:rPr>
          <w:rFonts w:cs="Arial"/>
          <w:szCs w:val="24"/>
        </w:rPr>
        <w:t xml:space="preserve">presentó la reclamación </w:t>
      </w:r>
      <w:r w:rsidRPr="00774267">
        <w:rPr>
          <w:rFonts w:cs="Arial"/>
          <w:szCs w:val="24"/>
        </w:rPr>
        <w:t xml:space="preserve">con fundamento en la pretensión de incumplimiento del Acuerdo Conciliatorio de mayo 3 de 2005, lo </w:t>
      </w:r>
      <w:r w:rsidR="003F139A" w:rsidRPr="00774267">
        <w:rPr>
          <w:rFonts w:cs="Arial"/>
          <w:szCs w:val="24"/>
        </w:rPr>
        <w:t>que</w:t>
      </w:r>
      <w:r w:rsidRPr="00774267">
        <w:rPr>
          <w:rFonts w:cs="Arial"/>
          <w:szCs w:val="24"/>
        </w:rPr>
        <w:t xml:space="preserve"> no resultaba procedente</w:t>
      </w:r>
      <w:r w:rsidR="001D4FB0" w:rsidRPr="00774267">
        <w:rPr>
          <w:rFonts w:cs="Arial"/>
          <w:szCs w:val="24"/>
        </w:rPr>
        <w:t xml:space="preserve">, por lo </w:t>
      </w:r>
      <w:r w:rsidR="00196F62" w:rsidRPr="00774267">
        <w:rPr>
          <w:rFonts w:cs="Arial"/>
          <w:szCs w:val="24"/>
        </w:rPr>
        <w:t xml:space="preserve">cual </w:t>
      </w:r>
      <w:r w:rsidR="003873D0" w:rsidRPr="00774267">
        <w:rPr>
          <w:rFonts w:cs="Arial"/>
          <w:szCs w:val="24"/>
        </w:rPr>
        <w:t xml:space="preserve">el Tribunal de Arbitramento </w:t>
      </w:r>
      <w:r w:rsidR="001D4FB0" w:rsidRPr="00774267">
        <w:rPr>
          <w:rFonts w:cs="Arial"/>
          <w:szCs w:val="24"/>
        </w:rPr>
        <w:t xml:space="preserve">se abstuvo de pronunciarse sobre </w:t>
      </w:r>
      <w:r w:rsidR="00196F62" w:rsidRPr="00774267">
        <w:rPr>
          <w:rFonts w:cs="Arial"/>
          <w:szCs w:val="24"/>
        </w:rPr>
        <w:t>dichos costos</w:t>
      </w:r>
      <w:r w:rsidR="001D4FB0" w:rsidRPr="00774267">
        <w:rPr>
          <w:rFonts w:cs="Arial"/>
          <w:szCs w:val="24"/>
        </w:rPr>
        <w:t>.</w:t>
      </w:r>
    </w:p>
    <w:p w14:paraId="3B667FCC" w14:textId="77777777" w:rsidR="003873D0" w:rsidRPr="00774267" w:rsidRDefault="003873D0" w:rsidP="00AA496C">
      <w:pPr>
        <w:pStyle w:val="Textoindependiente22"/>
        <w:numPr>
          <w:ilvl w:val="12"/>
          <w:numId w:val="0"/>
        </w:numPr>
        <w:overflowPunct/>
        <w:autoSpaceDE/>
        <w:autoSpaceDN/>
        <w:adjustRightInd/>
        <w:textAlignment w:val="auto"/>
        <w:rPr>
          <w:rFonts w:cs="Arial"/>
          <w:b/>
          <w:szCs w:val="24"/>
        </w:rPr>
      </w:pPr>
    </w:p>
    <w:p w14:paraId="66417C5D" w14:textId="77777777" w:rsidR="00196F62" w:rsidRPr="00774267" w:rsidRDefault="00196F62" w:rsidP="00AA496C">
      <w:pPr>
        <w:pStyle w:val="Textoindependiente22"/>
        <w:numPr>
          <w:ilvl w:val="12"/>
          <w:numId w:val="0"/>
        </w:numPr>
        <w:overflowPunct/>
        <w:autoSpaceDE/>
        <w:autoSpaceDN/>
        <w:adjustRightInd/>
        <w:textAlignment w:val="auto"/>
        <w:rPr>
          <w:rFonts w:cs="Arial"/>
          <w:b/>
          <w:szCs w:val="24"/>
        </w:rPr>
      </w:pPr>
      <w:r w:rsidRPr="00774267">
        <w:rPr>
          <w:rFonts w:cs="Arial"/>
          <w:b/>
          <w:szCs w:val="24"/>
        </w:rPr>
        <w:t>2.3.3. Conclusiones</w:t>
      </w:r>
    </w:p>
    <w:p w14:paraId="794CF205" w14:textId="77777777" w:rsidR="00196F62" w:rsidRPr="00774267" w:rsidRDefault="00196F62" w:rsidP="00AA496C">
      <w:pPr>
        <w:pStyle w:val="Textoindependiente22"/>
        <w:numPr>
          <w:ilvl w:val="12"/>
          <w:numId w:val="0"/>
        </w:numPr>
        <w:overflowPunct/>
        <w:autoSpaceDE/>
        <w:autoSpaceDN/>
        <w:adjustRightInd/>
        <w:textAlignment w:val="auto"/>
        <w:rPr>
          <w:rFonts w:cs="Arial"/>
          <w:szCs w:val="24"/>
        </w:rPr>
      </w:pPr>
    </w:p>
    <w:p w14:paraId="17ED9BC9" w14:textId="77777777" w:rsidR="0016224B" w:rsidRPr="00774267" w:rsidRDefault="00B83D8E" w:rsidP="00AA496C">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La Sala observa que el razonamiento del Tribunal de Arbitramento </w:t>
      </w:r>
      <w:r w:rsidR="00727A70" w:rsidRPr="00774267">
        <w:rPr>
          <w:rFonts w:cs="Arial"/>
          <w:szCs w:val="24"/>
        </w:rPr>
        <w:t xml:space="preserve">acerca de su competencia </w:t>
      </w:r>
      <w:r w:rsidR="0016224B" w:rsidRPr="00774267">
        <w:rPr>
          <w:rFonts w:cs="Arial"/>
          <w:szCs w:val="24"/>
        </w:rPr>
        <w:t xml:space="preserve">fue </w:t>
      </w:r>
      <w:r w:rsidRPr="00774267">
        <w:rPr>
          <w:rFonts w:cs="Arial"/>
          <w:szCs w:val="24"/>
        </w:rPr>
        <w:t>correct</w:t>
      </w:r>
      <w:r w:rsidR="00727A70" w:rsidRPr="00774267">
        <w:rPr>
          <w:rFonts w:cs="Arial"/>
          <w:szCs w:val="24"/>
        </w:rPr>
        <w:t>o</w:t>
      </w:r>
      <w:r w:rsidRPr="00774267">
        <w:rPr>
          <w:rFonts w:cs="Arial"/>
          <w:szCs w:val="24"/>
        </w:rPr>
        <w:t xml:space="preserve">, </w:t>
      </w:r>
      <w:proofErr w:type="gramStart"/>
      <w:r w:rsidRPr="00774267">
        <w:rPr>
          <w:rFonts w:cs="Arial"/>
          <w:szCs w:val="24"/>
        </w:rPr>
        <w:t>puesto que</w:t>
      </w:r>
      <w:proofErr w:type="gramEnd"/>
      <w:r w:rsidR="00C714EF" w:rsidRPr="00774267">
        <w:rPr>
          <w:rFonts w:cs="Arial"/>
          <w:szCs w:val="24"/>
        </w:rPr>
        <w:t xml:space="preserve"> en virtud del presupuesto de la identidad de objeto, </w:t>
      </w:r>
      <w:r w:rsidRPr="00774267">
        <w:rPr>
          <w:rFonts w:cs="Arial"/>
          <w:szCs w:val="24"/>
        </w:rPr>
        <w:t xml:space="preserve">la conciliación </w:t>
      </w:r>
      <w:r w:rsidR="00F01109" w:rsidRPr="00774267">
        <w:rPr>
          <w:rFonts w:cs="Arial"/>
          <w:szCs w:val="24"/>
        </w:rPr>
        <w:t xml:space="preserve">aprobada en el seno del proceso arbitral </w:t>
      </w:r>
      <w:r w:rsidR="00B858A7" w:rsidRPr="00774267">
        <w:rPr>
          <w:rFonts w:cs="Arial"/>
          <w:szCs w:val="24"/>
        </w:rPr>
        <w:t>tiene fuerza de cosa juzgada</w:t>
      </w:r>
      <w:r w:rsidR="0056167A" w:rsidRPr="00774267">
        <w:rPr>
          <w:rFonts w:cs="Arial"/>
          <w:szCs w:val="24"/>
        </w:rPr>
        <w:t xml:space="preserve"> </w:t>
      </w:r>
      <w:r w:rsidR="00B858A7" w:rsidRPr="00774267">
        <w:rPr>
          <w:rFonts w:cs="Arial"/>
          <w:szCs w:val="24"/>
        </w:rPr>
        <w:t>sobre aquellos derecho</w:t>
      </w:r>
      <w:r w:rsidR="00F01109" w:rsidRPr="00774267">
        <w:rPr>
          <w:rFonts w:cs="Arial"/>
          <w:szCs w:val="24"/>
        </w:rPr>
        <w:t>s que se discut</w:t>
      </w:r>
      <w:r w:rsidR="0016224B" w:rsidRPr="00774267">
        <w:rPr>
          <w:rFonts w:cs="Arial"/>
          <w:szCs w:val="24"/>
        </w:rPr>
        <w:t xml:space="preserve">ieron </w:t>
      </w:r>
      <w:r w:rsidR="00024E95" w:rsidRPr="00774267">
        <w:rPr>
          <w:rFonts w:cs="Arial"/>
          <w:szCs w:val="24"/>
        </w:rPr>
        <w:t xml:space="preserve">ante el respectivo Tribunal de Arbitramento. </w:t>
      </w:r>
    </w:p>
    <w:p w14:paraId="117E2C23" w14:textId="77777777" w:rsidR="0016224B" w:rsidRPr="00774267" w:rsidRDefault="0016224B" w:rsidP="00AA496C">
      <w:pPr>
        <w:pStyle w:val="Textoindependiente22"/>
        <w:numPr>
          <w:ilvl w:val="12"/>
          <w:numId w:val="0"/>
        </w:numPr>
        <w:overflowPunct/>
        <w:autoSpaceDE/>
        <w:autoSpaceDN/>
        <w:adjustRightInd/>
        <w:textAlignment w:val="auto"/>
        <w:rPr>
          <w:rFonts w:cs="Arial"/>
          <w:szCs w:val="24"/>
        </w:rPr>
      </w:pPr>
    </w:p>
    <w:p w14:paraId="30700472" w14:textId="77777777" w:rsidR="005E3303" w:rsidRPr="00774267" w:rsidRDefault="00024E95" w:rsidP="00AA496C">
      <w:pPr>
        <w:pStyle w:val="Textoindependiente22"/>
        <w:numPr>
          <w:ilvl w:val="12"/>
          <w:numId w:val="0"/>
        </w:numPr>
        <w:overflowPunct/>
        <w:autoSpaceDE/>
        <w:autoSpaceDN/>
        <w:adjustRightInd/>
        <w:textAlignment w:val="auto"/>
        <w:rPr>
          <w:rFonts w:cs="Arial"/>
          <w:szCs w:val="24"/>
        </w:rPr>
      </w:pPr>
      <w:r w:rsidRPr="00774267">
        <w:rPr>
          <w:rFonts w:cs="Arial"/>
          <w:szCs w:val="24"/>
        </w:rPr>
        <w:t>De esta manera</w:t>
      </w:r>
      <w:r w:rsidR="00727A70" w:rsidRPr="00774267">
        <w:rPr>
          <w:rFonts w:cs="Arial"/>
          <w:szCs w:val="24"/>
        </w:rPr>
        <w:t>, de la lectura del laudo</w:t>
      </w:r>
      <w:r w:rsidR="0016224B" w:rsidRPr="00774267">
        <w:rPr>
          <w:rFonts w:cs="Arial"/>
          <w:szCs w:val="24"/>
        </w:rPr>
        <w:t xml:space="preserve"> </w:t>
      </w:r>
      <w:r w:rsidR="001512FE" w:rsidRPr="00774267">
        <w:rPr>
          <w:rFonts w:cs="Arial"/>
          <w:szCs w:val="24"/>
        </w:rPr>
        <w:t xml:space="preserve">arbitral del </w:t>
      </w:r>
      <w:r w:rsidR="0016224B" w:rsidRPr="00774267">
        <w:rPr>
          <w:rFonts w:cs="Arial"/>
          <w:szCs w:val="24"/>
        </w:rPr>
        <w:t>presente proceso</w:t>
      </w:r>
      <w:r w:rsidR="00727A70" w:rsidRPr="00774267">
        <w:rPr>
          <w:rFonts w:cs="Arial"/>
          <w:szCs w:val="24"/>
        </w:rPr>
        <w:t xml:space="preserve">, se </w:t>
      </w:r>
      <w:r w:rsidR="006C48B0" w:rsidRPr="00774267">
        <w:rPr>
          <w:rFonts w:cs="Arial"/>
          <w:szCs w:val="24"/>
        </w:rPr>
        <w:t xml:space="preserve">tiene que concluir </w:t>
      </w:r>
      <w:r w:rsidR="00727A70" w:rsidRPr="00774267">
        <w:rPr>
          <w:rFonts w:cs="Arial"/>
          <w:szCs w:val="24"/>
        </w:rPr>
        <w:t xml:space="preserve">que </w:t>
      </w:r>
      <w:r w:rsidRPr="00774267">
        <w:rPr>
          <w:rFonts w:cs="Arial"/>
          <w:szCs w:val="24"/>
        </w:rPr>
        <w:t xml:space="preserve">el </w:t>
      </w:r>
      <w:r w:rsidR="0056167A" w:rsidRPr="00774267">
        <w:rPr>
          <w:rFonts w:cs="Arial"/>
          <w:szCs w:val="24"/>
        </w:rPr>
        <w:t>Tribunal de Arbitramento</w:t>
      </w:r>
      <w:r w:rsidR="00727A70" w:rsidRPr="00774267">
        <w:rPr>
          <w:rFonts w:cs="Arial"/>
          <w:szCs w:val="24"/>
        </w:rPr>
        <w:t xml:space="preserve"> no </w:t>
      </w:r>
      <w:r w:rsidR="005E3303" w:rsidRPr="00774267">
        <w:rPr>
          <w:rFonts w:cs="Arial"/>
          <w:szCs w:val="24"/>
        </w:rPr>
        <w:t>pas</w:t>
      </w:r>
      <w:r w:rsidR="00727A70" w:rsidRPr="00774267">
        <w:rPr>
          <w:rFonts w:cs="Arial"/>
          <w:szCs w:val="24"/>
        </w:rPr>
        <w:t>ó</w:t>
      </w:r>
      <w:r w:rsidR="005E3303" w:rsidRPr="00774267">
        <w:rPr>
          <w:rFonts w:cs="Arial"/>
          <w:szCs w:val="24"/>
        </w:rPr>
        <w:t xml:space="preserve"> por alto </w:t>
      </w:r>
      <w:r w:rsidR="00674DC3" w:rsidRPr="00774267">
        <w:rPr>
          <w:rFonts w:cs="Arial"/>
          <w:szCs w:val="24"/>
        </w:rPr>
        <w:t>el principio de la cosa juzgada</w:t>
      </w:r>
      <w:r w:rsidR="0056167A" w:rsidRPr="00774267">
        <w:rPr>
          <w:rFonts w:cs="Arial"/>
          <w:szCs w:val="24"/>
        </w:rPr>
        <w:t xml:space="preserve"> y que lo reconoció en las resolutivas del fallo, en debida forma.</w:t>
      </w:r>
      <w:r w:rsidR="00674DC3" w:rsidRPr="00774267">
        <w:rPr>
          <w:rFonts w:cs="Arial"/>
          <w:szCs w:val="24"/>
        </w:rPr>
        <w:t xml:space="preserve"> </w:t>
      </w:r>
    </w:p>
    <w:p w14:paraId="54675910" w14:textId="77777777" w:rsidR="005E3303" w:rsidRPr="00774267" w:rsidRDefault="005E3303" w:rsidP="00AA496C">
      <w:pPr>
        <w:pStyle w:val="Textoindependiente22"/>
        <w:numPr>
          <w:ilvl w:val="12"/>
          <w:numId w:val="0"/>
        </w:numPr>
        <w:overflowPunct/>
        <w:autoSpaceDE/>
        <w:autoSpaceDN/>
        <w:adjustRightInd/>
        <w:textAlignment w:val="auto"/>
        <w:rPr>
          <w:rFonts w:cs="Arial"/>
          <w:szCs w:val="24"/>
        </w:rPr>
      </w:pPr>
    </w:p>
    <w:p w14:paraId="1BD097E0" w14:textId="77777777" w:rsidR="00FC47E9" w:rsidRPr="00774267" w:rsidRDefault="0016224B" w:rsidP="00AA496C">
      <w:pPr>
        <w:pStyle w:val="Textoindependiente22"/>
        <w:numPr>
          <w:ilvl w:val="12"/>
          <w:numId w:val="0"/>
        </w:numPr>
        <w:overflowPunct/>
        <w:autoSpaceDE/>
        <w:autoSpaceDN/>
        <w:adjustRightInd/>
        <w:textAlignment w:val="auto"/>
        <w:rPr>
          <w:rFonts w:cs="Arial"/>
          <w:szCs w:val="24"/>
        </w:rPr>
      </w:pPr>
      <w:r w:rsidRPr="00774267">
        <w:rPr>
          <w:rFonts w:cs="Arial"/>
          <w:szCs w:val="24"/>
        </w:rPr>
        <w:lastRenderedPageBreak/>
        <w:t xml:space="preserve">Por otra parte, </w:t>
      </w:r>
      <w:r w:rsidR="006C48B0" w:rsidRPr="00774267">
        <w:rPr>
          <w:rFonts w:cs="Arial"/>
          <w:szCs w:val="24"/>
        </w:rPr>
        <w:t xml:space="preserve">se destaca que </w:t>
      </w:r>
      <w:r w:rsidR="00674DC3" w:rsidRPr="00774267">
        <w:rPr>
          <w:rFonts w:cs="Arial"/>
          <w:szCs w:val="24"/>
        </w:rPr>
        <w:t xml:space="preserve">el Tribunal de Arbitramento </w:t>
      </w:r>
      <w:r w:rsidRPr="00774267">
        <w:rPr>
          <w:rFonts w:cs="Arial"/>
          <w:szCs w:val="24"/>
        </w:rPr>
        <w:t xml:space="preserve">estableció </w:t>
      </w:r>
      <w:r w:rsidR="00674DC3" w:rsidRPr="00774267">
        <w:rPr>
          <w:rFonts w:cs="Arial"/>
          <w:szCs w:val="24"/>
        </w:rPr>
        <w:t xml:space="preserve">que no tenía competencia para pronunciarse sobre los costos </w:t>
      </w:r>
      <w:r w:rsidR="00727A70" w:rsidRPr="00774267">
        <w:rPr>
          <w:rFonts w:cs="Arial"/>
          <w:szCs w:val="24"/>
        </w:rPr>
        <w:t xml:space="preserve">de financiación de </w:t>
      </w:r>
      <w:r w:rsidR="00674DC3" w:rsidRPr="00774267">
        <w:rPr>
          <w:rFonts w:cs="Arial"/>
          <w:szCs w:val="24"/>
        </w:rPr>
        <w:t xml:space="preserve">otras órdenes de pago </w:t>
      </w:r>
      <w:r w:rsidR="008201F3" w:rsidRPr="00774267">
        <w:rPr>
          <w:rFonts w:cs="Arial"/>
          <w:szCs w:val="24"/>
        </w:rPr>
        <w:t xml:space="preserve">no incluidas en el acuerdo conciliatorio </w:t>
      </w:r>
      <w:r w:rsidR="00674DC3" w:rsidRPr="00774267">
        <w:rPr>
          <w:rFonts w:cs="Arial"/>
          <w:szCs w:val="24"/>
        </w:rPr>
        <w:t>y se abstuvo de pronunciarse sobre e</w:t>
      </w:r>
      <w:r w:rsidR="005B28DA" w:rsidRPr="00774267">
        <w:rPr>
          <w:rFonts w:cs="Arial"/>
          <w:szCs w:val="24"/>
        </w:rPr>
        <w:t xml:space="preserve">stos, por lo cual, </w:t>
      </w:r>
      <w:r w:rsidR="00FC47E9" w:rsidRPr="00774267">
        <w:rPr>
          <w:rFonts w:cs="Arial"/>
          <w:szCs w:val="24"/>
        </w:rPr>
        <w:t>tambi</w:t>
      </w:r>
      <w:r w:rsidR="00C714EF" w:rsidRPr="00774267">
        <w:rPr>
          <w:rFonts w:cs="Arial"/>
          <w:szCs w:val="24"/>
        </w:rPr>
        <w:t xml:space="preserve">én, </w:t>
      </w:r>
      <w:r w:rsidR="00FC47E9" w:rsidRPr="00774267">
        <w:rPr>
          <w:rFonts w:cs="Arial"/>
          <w:szCs w:val="24"/>
        </w:rPr>
        <w:t>se encuentra que el Tribunal de Arbitramento delimitó en forma acertada los asuntos sobre los cuales carecía de competencia y no se pronunció sobre ellos.</w:t>
      </w:r>
    </w:p>
    <w:p w14:paraId="2C5F36C8" w14:textId="77777777" w:rsidR="0016224B" w:rsidRPr="00774267" w:rsidRDefault="0016224B" w:rsidP="00AA496C">
      <w:pPr>
        <w:pStyle w:val="Textoindependiente22"/>
        <w:numPr>
          <w:ilvl w:val="12"/>
          <w:numId w:val="0"/>
        </w:numPr>
        <w:overflowPunct/>
        <w:autoSpaceDE/>
        <w:autoSpaceDN/>
        <w:adjustRightInd/>
        <w:textAlignment w:val="auto"/>
        <w:rPr>
          <w:rFonts w:cs="Arial"/>
          <w:szCs w:val="24"/>
        </w:rPr>
      </w:pPr>
    </w:p>
    <w:p w14:paraId="5BC5584B" w14:textId="77777777" w:rsidR="00ED3D89" w:rsidRPr="00774267" w:rsidRDefault="0056167A" w:rsidP="00AA496C">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Se </w:t>
      </w:r>
      <w:r w:rsidR="00271534" w:rsidRPr="00774267">
        <w:rPr>
          <w:rFonts w:cs="Arial"/>
          <w:szCs w:val="24"/>
        </w:rPr>
        <w:t>puntualiza</w:t>
      </w:r>
      <w:r w:rsidRPr="00774267">
        <w:rPr>
          <w:rFonts w:cs="Arial"/>
          <w:szCs w:val="24"/>
        </w:rPr>
        <w:t xml:space="preserve"> que</w:t>
      </w:r>
      <w:r w:rsidR="0016224B" w:rsidRPr="00774267">
        <w:rPr>
          <w:rFonts w:cs="Arial"/>
          <w:szCs w:val="24"/>
        </w:rPr>
        <w:t>,</w:t>
      </w:r>
      <w:r w:rsidRPr="00774267">
        <w:rPr>
          <w:rFonts w:cs="Arial"/>
          <w:szCs w:val="24"/>
        </w:rPr>
        <w:t xml:space="preserve"> </w:t>
      </w:r>
      <w:r w:rsidR="009A1418" w:rsidRPr="00774267">
        <w:rPr>
          <w:rFonts w:cs="Arial"/>
          <w:szCs w:val="24"/>
        </w:rPr>
        <w:t>por</w:t>
      </w:r>
      <w:r w:rsidR="00271534" w:rsidRPr="00774267">
        <w:rPr>
          <w:rFonts w:cs="Arial"/>
          <w:szCs w:val="24"/>
        </w:rPr>
        <w:t xml:space="preserve"> respeto </w:t>
      </w:r>
      <w:r w:rsidR="009A1418" w:rsidRPr="00774267">
        <w:rPr>
          <w:rFonts w:cs="Arial"/>
          <w:szCs w:val="24"/>
        </w:rPr>
        <w:t>a</w:t>
      </w:r>
      <w:r w:rsidR="00271534" w:rsidRPr="00774267">
        <w:rPr>
          <w:rFonts w:cs="Arial"/>
          <w:szCs w:val="24"/>
        </w:rPr>
        <w:t xml:space="preserve"> la cosa juzgada y </w:t>
      </w:r>
      <w:r w:rsidR="009A1418" w:rsidRPr="00774267">
        <w:rPr>
          <w:rFonts w:cs="Arial"/>
          <w:szCs w:val="24"/>
        </w:rPr>
        <w:t>a</w:t>
      </w:r>
      <w:r w:rsidR="00271534" w:rsidRPr="00774267">
        <w:rPr>
          <w:rFonts w:cs="Arial"/>
          <w:szCs w:val="24"/>
        </w:rPr>
        <w:t xml:space="preserve"> la </w:t>
      </w:r>
      <w:r w:rsidR="00727A70" w:rsidRPr="00774267">
        <w:rPr>
          <w:rFonts w:cs="Arial"/>
          <w:szCs w:val="24"/>
        </w:rPr>
        <w:t>congruen</w:t>
      </w:r>
      <w:r w:rsidR="00271534" w:rsidRPr="00774267">
        <w:rPr>
          <w:rFonts w:cs="Arial"/>
          <w:szCs w:val="24"/>
        </w:rPr>
        <w:t>cia,</w:t>
      </w:r>
      <w:r w:rsidR="00ED3D89" w:rsidRPr="00774267">
        <w:rPr>
          <w:rFonts w:cs="Arial"/>
          <w:szCs w:val="24"/>
        </w:rPr>
        <w:t xml:space="preserve"> el laudo arbitral </w:t>
      </w:r>
      <w:r w:rsidR="0016224B" w:rsidRPr="00774267">
        <w:rPr>
          <w:rFonts w:cs="Arial"/>
          <w:szCs w:val="24"/>
        </w:rPr>
        <w:t>deneg</w:t>
      </w:r>
      <w:r w:rsidR="00271534" w:rsidRPr="00774267">
        <w:rPr>
          <w:rFonts w:cs="Arial"/>
          <w:szCs w:val="24"/>
        </w:rPr>
        <w:t xml:space="preserve">ó </w:t>
      </w:r>
      <w:r w:rsidR="008201F3" w:rsidRPr="00774267">
        <w:rPr>
          <w:rFonts w:cs="Arial"/>
          <w:szCs w:val="24"/>
        </w:rPr>
        <w:t xml:space="preserve">todas </w:t>
      </w:r>
      <w:r w:rsidR="0016224B" w:rsidRPr="00774267">
        <w:rPr>
          <w:rFonts w:cs="Arial"/>
          <w:szCs w:val="24"/>
        </w:rPr>
        <w:t xml:space="preserve">las pretensiones de </w:t>
      </w:r>
      <w:r w:rsidR="00727A70" w:rsidRPr="00774267">
        <w:rPr>
          <w:rFonts w:cs="Arial"/>
          <w:szCs w:val="24"/>
        </w:rPr>
        <w:t>la demandante</w:t>
      </w:r>
      <w:r w:rsidR="00ED3D89" w:rsidRPr="00774267">
        <w:rPr>
          <w:rFonts w:cs="Arial"/>
          <w:szCs w:val="24"/>
        </w:rPr>
        <w:t>.</w:t>
      </w:r>
    </w:p>
    <w:p w14:paraId="3CD91395" w14:textId="77777777" w:rsidR="0016224B" w:rsidRPr="00774267" w:rsidRDefault="0016224B" w:rsidP="00AA496C">
      <w:pPr>
        <w:pStyle w:val="Textoindependiente22"/>
        <w:numPr>
          <w:ilvl w:val="12"/>
          <w:numId w:val="0"/>
        </w:numPr>
        <w:overflowPunct/>
        <w:autoSpaceDE/>
        <w:autoSpaceDN/>
        <w:adjustRightInd/>
        <w:textAlignment w:val="auto"/>
        <w:rPr>
          <w:rFonts w:cs="Arial"/>
          <w:szCs w:val="24"/>
        </w:rPr>
      </w:pPr>
    </w:p>
    <w:p w14:paraId="6ED108E7" w14:textId="77777777" w:rsidR="008201F3" w:rsidRPr="00774267" w:rsidRDefault="00727A70" w:rsidP="00AA496C">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Agrega la Sala que </w:t>
      </w:r>
      <w:r w:rsidR="00630C1C" w:rsidRPr="00774267">
        <w:rPr>
          <w:rFonts w:cs="Arial"/>
          <w:szCs w:val="24"/>
        </w:rPr>
        <w:t xml:space="preserve">no es </w:t>
      </w:r>
      <w:r w:rsidRPr="00774267">
        <w:rPr>
          <w:rFonts w:cs="Arial"/>
          <w:szCs w:val="24"/>
        </w:rPr>
        <w:t xml:space="preserve">acertado </w:t>
      </w:r>
      <w:r w:rsidR="0016224B" w:rsidRPr="00774267">
        <w:rPr>
          <w:rFonts w:cs="Arial"/>
          <w:szCs w:val="24"/>
        </w:rPr>
        <w:t xml:space="preserve">afirmar </w:t>
      </w:r>
      <w:r w:rsidRPr="00774267">
        <w:rPr>
          <w:rFonts w:cs="Arial"/>
          <w:szCs w:val="24"/>
        </w:rPr>
        <w:t xml:space="preserve">que el Tribunal de Arbitramento </w:t>
      </w:r>
      <w:r w:rsidR="00630C1C" w:rsidRPr="00774267">
        <w:rPr>
          <w:rFonts w:cs="Arial"/>
          <w:szCs w:val="24"/>
        </w:rPr>
        <w:t xml:space="preserve">desbordó su competencia, puesto que el </w:t>
      </w:r>
      <w:r w:rsidR="00ED3D89" w:rsidRPr="00774267">
        <w:rPr>
          <w:rFonts w:cs="Arial"/>
          <w:szCs w:val="24"/>
        </w:rPr>
        <w:t xml:space="preserve">acuerdo conciliatorio </w:t>
      </w:r>
      <w:r w:rsidR="00C11F39" w:rsidRPr="00774267">
        <w:rPr>
          <w:rFonts w:cs="Arial"/>
          <w:szCs w:val="24"/>
        </w:rPr>
        <w:t xml:space="preserve">se refirió en forma concreta a las sumas reclamadas en el </w:t>
      </w:r>
      <w:r w:rsidR="009626FC" w:rsidRPr="00774267">
        <w:rPr>
          <w:rFonts w:cs="Arial"/>
          <w:szCs w:val="24"/>
        </w:rPr>
        <w:t xml:space="preserve">primer </w:t>
      </w:r>
      <w:r w:rsidR="00C11F39" w:rsidRPr="00774267">
        <w:rPr>
          <w:rFonts w:cs="Arial"/>
          <w:szCs w:val="24"/>
        </w:rPr>
        <w:t xml:space="preserve">proceso arbitral y nada se acordó acerca de los costos de financiación de las </w:t>
      </w:r>
      <w:r w:rsidR="008201F3" w:rsidRPr="00774267">
        <w:rPr>
          <w:rFonts w:cs="Arial"/>
          <w:szCs w:val="24"/>
        </w:rPr>
        <w:t xml:space="preserve">otras </w:t>
      </w:r>
      <w:r w:rsidR="00C11F39" w:rsidRPr="00774267">
        <w:rPr>
          <w:rFonts w:cs="Arial"/>
          <w:szCs w:val="24"/>
        </w:rPr>
        <w:t>órdenes de pago</w:t>
      </w:r>
      <w:r w:rsidR="00503EFD" w:rsidRPr="00774267">
        <w:rPr>
          <w:rFonts w:cs="Arial"/>
          <w:szCs w:val="24"/>
        </w:rPr>
        <w:t xml:space="preserve">, según se advierte </w:t>
      </w:r>
      <w:r w:rsidR="008B3287" w:rsidRPr="00774267">
        <w:rPr>
          <w:rFonts w:cs="Arial"/>
          <w:szCs w:val="24"/>
        </w:rPr>
        <w:t>d</w:t>
      </w:r>
      <w:r w:rsidR="00503EFD" w:rsidRPr="00774267">
        <w:rPr>
          <w:rFonts w:cs="Arial"/>
          <w:szCs w:val="24"/>
        </w:rPr>
        <w:t xml:space="preserve">el </w:t>
      </w:r>
      <w:r w:rsidR="00271534" w:rsidRPr="00774267">
        <w:rPr>
          <w:rFonts w:cs="Arial"/>
          <w:szCs w:val="24"/>
        </w:rPr>
        <w:t xml:space="preserve">contenido del </w:t>
      </w:r>
      <w:r w:rsidR="008B3287" w:rsidRPr="00774267">
        <w:rPr>
          <w:rFonts w:cs="Arial"/>
          <w:szCs w:val="24"/>
        </w:rPr>
        <w:t xml:space="preserve">auto de 26 de mayo de 2005, </w:t>
      </w:r>
      <w:r w:rsidR="00503EFD" w:rsidRPr="00774267">
        <w:rPr>
          <w:rFonts w:cs="Arial"/>
          <w:szCs w:val="24"/>
        </w:rPr>
        <w:t>Acta No. 32</w:t>
      </w:r>
      <w:r w:rsidR="00014376" w:rsidRPr="00774267">
        <w:rPr>
          <w:rFonts w:cs="Arial"/>
          <w:szCs w:val="24"/>
        </w:rPr>
        <w:t>.</w:t>
      </w:r>
    </w:p>
    <w:p w14:paraId="644F7496" w14:textId="77777777" w:rsidR="008201F3" w:rsidRPr="00774267" w:rsidRDefault="008201F3" w:rsidP="00AA496C">
      <w:pPr>
        <w:pStyle w:val="Textoindependiente22"/>
        <w:numPr>
          <w:ilvl w:val="12"/>
          <w:numId w:val="0"/>
        </w:numPr>
        <w:overflowPunct/>
        <w:autoSpaceDE/>
        <w:autoSpaceDN/>
        <w:adjustRightInd/>
        <w:textAlignment w:val="auto"/>
        <w:rPr>
          <w:rFonts w:cs="Arial"/>
          <w:szCs w:val="24"/>
        </w:rPr>
      </w:pPr>
    </w:p>
    <w:p w14:paraId="57388345" w14:textId="77777777" w:rsidR="00503EFD" w:rsidRPr="00774267" w:rsidRDefault="0016224B" w:rsidP="00AA496C">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En ese documento se lee: </w:t>
      </w:r>
    </w:p>
    <w:p w14:paraId="2E10D3AC" w14:textId="77777777" w:rsidR="00503EFD" w:rsidRPr="00774267" w:rsidRDefault="00503EFD" w:rsidP="00AA496C">
      <w:pPr>
        <w:pStyle w:val="Textoindependiente22"/>
        <w:numPr>
          <w:ilvl w:val="12"/>
          <w:numId w:val="0"/>
        </w:numPr>
        <w:overflowPunct/>
        <w:autoSpaceDE/>
        <w:autoSpaceDN/>
        <w:adjustRightInd/>
        <w:textAlignment w:val="auto"/>
        <w:rPr>
          <w:rFonts w:cs="Arial"/>
          <w:szCs w:val="24"/>
        </w:rPr>
      </w:pPr>
    </w:p>
    <w:p w14:paraId="56952CA6" w14:textId="77777777" w:rsidR="001945DD" w:rsidRPr="00774267" w:rsidRDefault="00503EFD" w:rsidP="00BE50A0">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szCs w:val="24"/>
        </w:rPr>
        <w:t>“</w:t>
      </w:r>
      <w:r w:rsidRPr="00774267">
        <w:rPr>
          <w:rFonts w:cs="Arial"/>
          <w:i/>
          <w:szCs w:val="24"/>
        </w:rPr>
        <w:t>Cabe resaltar que, con respecto al valor de las pretensiones originales de la demanda debidamente actualizada e incluyendo intereses liquidados hasta el 31 de marzo de 2005, siguiendo la metodología empleada por el perito en su dictamen, la sum</w:t>
      </w:r>
      <w:r w:rsidR="001945DD" w:rsidRPr="00774267">
        <w:rPr>
          <w:rFonts w:cs="Arial"/>
          <w:i/>
          <w:szCs w:val="24"/>
        </w:rPr>
        <w:t>a</w:t>
      </w:r>
      <w:r w:rsidRPr="00774267">
        <w:rPr>
          <w:rFonts w:cs="Arial"/>
          <w:i/>
          <w:szCs w:val="24"/>
        </w:rPr>
        <w:t xml:space="preserve"> concil</w:t>
      </w:r>
      <w:r w:rsidR="001945DD" w:rsidRPr="00774267">
        <w:rPr>
          <w:rFonts w:cs="Arial"/>
          <w:i/>
          <w:szCs w:val="24"/>
        </w:rPr>
        <w:t>i</w:t>
      </w:r>
      <w:r w:rsidRPr="00774267">
        <w:rPr>
          <w:rFonts w:cs="Arial"/>
          <w:i/>
          <w:szCs w:val="24"/>
        </w:rPr>
        <w:t xml:space="preserve">ada </w:t>
      </w:r>
      <w:r w:rsidR="001945DD" w:rsidRPr="00774267">
        <w:rPr>
          <w:rFonts w:cs="Arial"/>
          <w:i/>
          <w:szCs w:val="24"/>
        </w:rPr>
        <w:t>representa un descuento total de aproximadamente el treinta y cinco por ciento (35%).</w:t>
      </w:r>
    </w:p>
    <w:p w14:paraId="33DEBADE" w14:textId="77777777" w:rsidR="001945DD" w:rsidRPr="00774267" w:rsidRDefault="001945DD" w:rsidP="00BE50A0">
      <w:pPr>
        <w:pStyle w:val="Textoindependiente22"/>
        <w:numPr>
          <w:ilvl w:val="12"/>
          <w:numId w:val="0"/>
        </w:numPr>
        <w:overflowPunct/>
        <w:autoSpaceDE/>
        <w:autoSpaceDN/>
        <w:adjustRightInd/>
        <w:spacing w:line="276" w:lineRule="auto"/>
        <w:ind w:left="567" w:right="567"/>
        <w:textAlignment w:val="auto"/>
        <w:rPr>
          <w:rFonts w:cs="Arial"/>
          <w:i/>
          <w:szCs w:val="24"/>
        </w:rPr>
      </w:pPr>
    </w:p>
    <w:p w14:paraId="02B392F8" w14:textId="77777777" w:rsidR="003B7900" w:rsidRPr="00774267" w:rsidRDefault="00BE50A0" w:rsidP="00BE50A0">
      <w:pPr>
        <w:pStyle w:val="Textoindependiente22"/>
        <w:numPr>
          <w:ilvl w:val="12"/>
          <w:numId w:val="0"/>
        </w:numPr>
        <w:overflowPunct/>
        <w:autoSpaceDE/>
        <w:autoSpaceDN/>
        <w:adjustRightInd/>
        <w:spacing w:line="276" w:lineRule="auto"/>
        <w:ind w:left="567" w:right="567"/>
        <w:textAlignment w:val="auto"/>
        <w:rPr>
          <w:rFonts w:cs="Arial"/>
          <w:szCs w:val="24"/>
        </w:rPr>
      </w:pPr>
      <w:r w:rsidRPr="00774267">
        <w:rPr>
          <w:rFonts w:cs="Arial"/>
          <w:i/>
          <w:szCs w:val="24"/>
        </w:rPr>
        <w:t>“</w:t>
      </w:r>
      <w:r w:rsidR="001945DD" w:rsidRPr="00774267">
        <w:rPr>
          <w:rFonts w:cs="Arial"/>
          <w:i/>
          <w:szCs w:val="24"/>
        </w:rPr>
        <w:t xml:space="preserve">Mediante el pago de dicha suma se concilian de manera definitiva </w:t>
      </w:r>
      <w:r w:rsidR="001945DD" w:rsidRPr="00774267">
        <w:rPr>
          <w:rFonts w:cs="Arial"/>
          <w:b/>
          <w:i/>
          <w:szCs w:val="24"/>
        </w:rPr>
        <w:t>los ítems</w:t>
      </w:r>
      <w:r w:rsidR="001945DD" w:rsidRPr="00774267">
        <w:rPr>
          <w:rFonts w:cs="Arial"/>
          <w:i/>
          <w:szCs w:val="24"/>
        </w:rPr>
        <w:t xml:space="preserve"> </w:t>
      </w:r>
      <w:r w:rsidR="001945DD" w:rsidRPr="00774267">
        <w:rPr>
          <w:rFonts w:cs="Arial"/>
          <w:b/>
          <w:i/>
          <w:szCs w:val="24"/>
        </w:rPr>
        <w:t>que aparecen consignados en el siguiente cuadro</w:t>
      </w:r>
      <w:r w:rsidR="001945DD" w:rsidRPr="00774267">
        <w:rPr>
          <w:rFonts w:cs="Arial"/>
          <w:i/>
          <w:szCs w:val="24"/>
        </w:rPr>
        <w:t>, discriminados así:</w:t>
      </w:r>
      <w:r w:rsidR="002F769C" w:rsidRPr="00774267">
        <w:rPr>
          <w:rFonts w:cs="Arial"/>
          <w:i/>
          <w:szCs w:val="24"/>
        </w:rPr>
        <w:t xml:space="preserve"> (…)</w:t>
      </w:r>
      <w:r w:rsidRPr="00774267">
        <w:rPr>
          <w:rFonts w:cs="Arial"/>
          <w:i/>
          <w:szCs w:val="24"/>
        </w:rPr>
        <w:t>”</w:t>
      </w:r>
      <w:r w:rsidR="0060214F" w:rsidRPr="00774267">
        <w:rPr>
          <w:rFonts w:cs="Arial"/>
          <w:i/>
          <w:szCs w:val="24"/>
        </w:rPr>
        <w:t>.</w:t>
      </w:r>
      <w:r w:rsidRPr="00774267">
        <w:rPr>
          <w:rFonts w:cs="Arial"/>
          <w:i/>
          <w:szCs w:val="24"/>
        </w:rPr>
        <w:t xml:space="preserve"> </w:t>
      </w:r>
      <w:r w:rsidRPr="00774267">
        <w:rPr>
          <w:rFonts w:cs="Arial"/>
          <w:szCs w:val="24"/>
        </w:rPr>
        <w:t>(</w:t>
      </w:r>
      <w:r w:rsidR="00FA2AA3" w:rsidRPr="00774267">
        <w:rPr>
          <w:rFonts w:cs="Arial"/>
          <w:szCs w:val="24"/>
        </w:rPr>
        <w:t>l</w:t>
      </w:r>
      <w:r w:rsidRPr="00774267">
        <w:rPr>
          <w:rFonts w:cs="Arial"/>
          <w:szCs w:val="24"/>
        </w:rPr>
        <w:t>a negrilla no es del texto).</w:t>
      </w:r>
    </w:p>
    <w:p w14:paraId="3E19F009" w14:textId="77777777" w:rsidR="003B7900" w:rsidRPr="00774267" w:rsidRDefault="003B7900" w:rsidP="00B83D8E">
      <w:pPr>
        <w:pStyle w:val="Textoindependiente22"/>
        <w:numPr>
          <w:ilvl w:val="12"/>
          <w:numId w:val="0"/>
        </w:numPr>
        <w:overflowPunct/>
        <w:autoSpaceDE/>
        <w:autoSpaceDN/>
        <w:adjustRightInd/>
        <w:spacing w:line="276" w:lineRule="auto"/>
        <w:textAlignment w:val="auto"/>
        <w:rPr>
          <w:rFonts w:cs="Arial"/>
          <w:szCs w:val="24"/>
        </w:rPr>
      </w:pPr>
    </w:p>
    <w:p w14:paraId="041A6F1A" w14:textId="77777777" w:rsidR="003B7900" w:rsidRPr="00774267" w:rsidRDefault="003B7900" w:rsidP="002F769C">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En el </w:t>
      </w:r>
      <w:r w:rsidR="0016224B" w:rsidRPr="00774267">
        <w:rPr>
          <w:rFonts w:cs="Arial"/>
          <w:szCs w:val="24"/>
        </w:rPr>
        <w:t xml:space="preserve">auto que </w:t>
      </w:r>
      <w:r w:rsidRPr="00774267">
        <w:rPr>
          <w:rFonts w:cs="Arial"/>
          <w:szCs w:val="24"/>
        </w:rPr>
        <w:t>discrimin</w:t>
      </w:r>
      <w:r w:rsidR="0016224B" w:rsidRPr="00774267">
        <w:rPr>
          <w:rFonts w:cs="Arial"/>
          <w:szCs w:val="24"/>
        </w:rPr>
        <w:t>ó</w:t>
      </w:r>
      <w:r w:rsidRPr="00774267">
        <w:rPr>
          <w:rFonts w:cs="Arial"/>
          <w:szCs w:val="24"/>
        </w:rPr>
        <w:t xml:space="preserve"> los </w:t>
      </w:r>
      <w:r w:rsidR="00E46548" w:rsidRPr="00774267">
        <w:rPr>
          <w:rFonts w:cs="Arial"/>
          <w:szCs w:val="24"/>
        </w:rPr>
        <w:t xml:space="preserve">conceptos </w:t>
      </w:r>
      <w:r w:rsidR="002F769C" w:rsidRPr="00774267">
        <w:rPr>
          <w:rFonts w:cs="Arial"/>
          <w:szCs w:val="24"/>
        </w:rPr>
        <w:t xml:space="preserve">materia de la </w:t>
      </w:r>
      <w:r w:rsidRPr="00774267">
        <w:rPr>
          <w:rFonts w:cs="Arial"/>
          <w:szCs w:val="24"/>
        </w:rPr>
        <w:t>concilia</w:t>
      </w:r>
      <w:r w:rsidR="002F769C" w:rsidRPr="00774267">
        <w:rPr>
          <w:rFonts w:cs="Arial"/>
          <w:szCs w:val="24"/>
        </w:rPr>
        <w:t xml:space="preserve">ción </w:t>
      </w:r>
      <w:r w:rsidR="0016224B" w:rsidRPr="00774267">
        <w:rPr>
          <w:rFonts w:cs="Arial"/>
          <w:szCs w:val="24"/>
        </w:rPr>
        <w:t xml:space="preserve">aprobada </w:t>
      </w:r>
      <w:r w:rsidR="002F769C" w:rsidRPr="00774267">
        <w:rPr>
          <w:rFonts w:cs="Arial"/>
          <w:szCs w:val="24"/>
        </w:rPr>
        <w:t>en el primer Tribunal de Arbitramento</w:t>
      </w:r>
      <w:r w:rsidR="002F769C" w:rsidRPr="00774267">
        <w:rPr>
          <w:rStyle w:val="Refdenotaalpie"/>
          <w:rFonts w:cs="Arial"/>
          <w:szCs w:val="24"/>
        </w:rPr>
        <w:footnoteReference w:id="48"/>
      </w:r>
      <w:r w:rsidRPr="00774267">
        <w:rPr>
          <w:rFonts w:cs="Arial"/>
          <w:szCs w:val="24"/>
        </w:rPr>
        <w:t xml:space="preserve"> aparecen</w:t>
      </w:r>
      <w:r w:rsidR="0016224B" w:rsidRPr="00774267">
        <w:rPr>
          <w:rFonts w:cs="Arial"/>
          <w:szCs w:val="24"/>
        </w:rPr>
        <w:t xml:space="preserve"> los siguientes </w:t>
      </w:r>
      <w:r w:rsidR="00ED0DD8" w:rsidRPr="00774267">
        <w:rPr>
          <w:rFonts w:cs="Arial"/>
          <w:szCs w:val="24"/>
        </w:rPr>
        <w:t>renglones</w:t>
      </w:r>
      <w:r w:rsidRPr="00774267">
        <w:rPr>
          <w:rFonts w:cs="Arial"/>
          <w:szCs w:val="24"/>
        </w:rPr>
        <w:t xml:space="preserve">: </w:t>
      </w:r>
      <w:r w:rsidR="00AA496C" w:rsidRPr="00774267">
        <w:rPr>
          <w:rFonts w:cs="Arial"/>
          <w:szCs w:val="24"/>
        </w:rPr>
        <w:t>peaje Flandes, mantenimiento y operación (sin puentes), líneas de demarcación ejecutadas en julio de 2002, conteos</w:t>
      </w:r>
      <w:r w:rsidRPr="00774267">
        <w:rPr>
          <w:rFonts w:cs="Arial"/>
          <w:szCs w:val="24"/>
        </w:rPr>
        <w:t xml:space="preserve"> Guamo, </w:t>
      </w:r>
      <w:r w:rsidR="00AA496C" w:rsidRPr="00774267">
        <w:rPr>
          <w:rFonts w:cs="Arial"/>
          <w:szCs w:val="24"/>
        </w:rPr>
        <w:t>diseños variante</w:t>
      </w:r>
      <w:r w:rsidRPr="00774267">
        <w:rPr>
          <w:rFonts w:cs="Arial"/>
          <w:szCs w:val="24"/>
        </w:rPr>
        <w:t xml:space="preserve"> Guamo y Natagaima, </w:t>
      </w:r>
      <w:r w:rsidR="00AA496C" w:rsidRPr="00774267">
        <w:rPr>
          <w:rFonts w:cs="Arial"/>
          <w:szCs w:val="24"/>
        </w:rPr>
        <w:t xml:space="preserve">diseños puente peatonal </w:t>
      </w:r>
      <w:r w:rsidRPr="00774267">
        <w:rPr>
          <w:rFonts w:cs="Arial"/>
          <w:szCs w:val="24"/>
        </w:rPr>
        <w:t>El Espinal</w:t>
      </w:r>
      <w:r w:rsidR="002F769C" w:rsidRPr="00774267">
        <w:rPr>
          <w:rFonts w:cs="Arial"/>
          <w:szCs w:val="24"/>
        </w:rPr>
        <w:t>.</w:t>
      </w:r>
    </w:p>
    <w:p w14:paraId="0524FD29" w14:textId="77777777" w:rsidR="002F769C" w:rsidRPr="00774267" w:rsidRDefault="002F769C" w:rsidP="00B83D8E">
      <w:pPr>
        <w:pStyle w:val="Textoindependiente22"/>
        <w:numPr>
          <w:ilvl w:val="12"/>
          <w:numId w:val="0"/>
        </w:numPr>
        <w:overflowPunct/>
        <w:autoSpaceDE/>
        <w:autoSpaceDN/>
        <w:adjustRightInd/>
        <w:spacing w:line="276" w:lineRule="auto"/>
        <w:textAlignment w:val="auto"/>
        <w:rPr>
          <w:rFonts w:cs="Arial"/>
          <w:i/>
          <w:szCs w:val="24"/>
        </w:rPr>
      </w:pPr>
    </w:p>
    <w:p w14:paraId="7710B0A9" w14:textId="77777777" w:rsidR="00782F14" w:rsidRPr="00774267" w:rsidRDefault="00BE50A0" w:rsidP="00527843">
      <w:pPr>
        <w:pStyle w:val="Textoindependiente22"/>
        <w:numPr>
          <w:ilvl w:val="12"/>
          <w:numId w:val="0"/>
        </w:numPr>
        <w:overflowPunct/>
        <w:autoSpaceDE/>
        <w:autoSpaceDN/>
        <w:adjustRightInd/>
        <w:textAlignment w:val="auto"/>
        <w:rPr>
          <w:rFonts w:cs="Arial"/>
          <w:szCs w:val="24"/>
        </w:rPr>
      </w:pPr>
      <w:r w:rsidRPr="00774267">
        <w:rPr>
          <w:rFonts w:cs="Arial"/>
          <w:szCs w:val="24"/>
        </w:rPr>
        <w:t>Finalmente</w:t>
      </w:r>
      <w:r w:rsidR="00160BA7" w:rsidRPr="00774267">
        <w:rPr>
          <w:rFonts w:cs="Arial"/>
          <w:szCs w:val="24"/>
        </w:rPr>
        <w:t>,</w:t>
      </w:r>
      <w:r w:rsidRPr="00774267">
        <w:rPr>
          <w:rFonts w:cs="Arial"/>
          <w:szCs w:val="24"/>
        </w:rPr>
        <w:t xml:space="preserve"> </w:t>
      </w:r>
      <w:r w:rsidR="0016224B" w:rsidRPr="00774267">
        <w:rPr>
          <w:rFonts w:cs="Arial"/>
          <w:szCs w:val="24"/>
        </w:rPr>
        <w:t xml:space="preserve">advierte la Sala </w:t>
      </w:r>
      <w:r w:rsidRPr="00774267">
        <w:rPr>
          <w:rFonts w:cs="Arial"/>
          <w:szCs w:val="24"/>
        </w:rPr>
        <w:t xml:space="preserve">que el Tribunal de Arbitramento </w:t>
      </w:r>
      <w:r w:rsidR="00782F14" w:rsidRPr="00774267">
        <w:rPr>
          <w:rFonts w:cs="Arial"/>
          <w:szCs w:val="24"/>
        </w:rPr>
        <w:t xml:space="preserve">no </w:t>
      </w:r>
      <w:r w:rsidRPr="00774267">
        <w:rPr>
          <w:rFonts w:cs="Arial"/>
          <w:szCs w:val="24"/>
        </w:rPr>
        <w:t xml:space="preserve">interpretó el </w:t>
      </w:r>
      <w:r w:rsidR="001D7398" w:rsidRPr="00774267">
        <w:rPr>
          <w:rFonts w:cs="Arial"/>
          <w:szCs w:val="24"/>
        </w:rPr>
        <w:t>O</w:t>
      </w:r>
      <w:r w:rsidR="00782F14" w:rsidRPr="00774267">
        <w:rPr>
          <w:rFonts w:cs="Arial"/>
          <w:szCs w:val="24"/>
        </w:rPr>
        <w:t>tros</w:t>
      </w:r>
      <w:r w:rsidR="00446560" w:rsidRPr="00774267">
        <w:rPr>
          <w:rFonts w:cs="Arial"/>
          <w:szCs w:val="24"/>
        </w:rPr>
        <w:t>í</w:t>
      </w:r>
      <w:r w:rsidR="00782F14" w:rsidRPr="00774267">
        <w:rPr>
          <w:rFonts w:cs="Arial"/>
          <w:szCs w:val="24"/>
        </w:rPr>
        <w:t xml:space="preserve"> de 30 de enero de 2014 en el sentido de que hubiera existido una novación de las obligaciones adquiridas por el acuerdo conciliatorio</w:t>
      </w:r>
      <w:r w:rsidR="00446560" w:rsidRPr="00774267">
        <w:rPr>
          <w:rFonts w:cs="Arial"/>
          <w:szCs w:val="24"/>
        </w:rPr>
        <w:t>. L</w:t>
      </w:r>
      <w:r w:rsidR="00782F14" w:rsidRPr="00774267">
        <w:rPr>
          <w:rFonts w:cs="Arial"/>
          <w:szCs w:val="24"/>
        </w:rPr>
        <w:t xml:space="preserve">o que se advirtió </w:t>
      </w:r>
      <w:r w:rsidR="005E4996" w:rsidRPr="00774267">
        <w:rPr>
          <w:rFonts w:cs="Arial"/>
          <w:szCs w:val="24"/>
        </w:rPr>
        <w:t xml:space="preserve">en el laudo </w:t>
      </w:r>
      <w:r w:rsidR="00F749CC" w:rsidRPr="00774267">
        <w:rPr>
          <w:rFonts w:cs="Arial"/>
          <w:szCs w:val="24"/>
        </w:rPr>
        <w:lastRenderedPageBreak/>
        <w:t xml:space="preserve">arbitral </w:t>
      </w:r>
      <w:r w:rsidR="00E46548" w:rsidRPr="00774267">
        <w:rPr>
          <w:rFonts w:cs="Arial"/>
          <w:szCs w:val="24"/>
        </w:rPr>
        <w:t xml:space="preserve">fue </w:t>
      </w:r>
      <w:r w:rsidR="00F749CC" w:rsidRPr="00774267">
        <w:rPr>
          <w:rFonts w:cs="Arial"/>
          <w:szCs w:val="24"/>
        </w:rPr>
        <w:t xml:space="preserve">que </w:t>
      </w:r>
      <w:r w:rsidR="00782F14" w:rsidRPr="00774267">
        <w:rPr>
          <w:rFonts w:cs="Arial"/>
          <w:szCs w:val="24"/>
        </w:rPr>
        <w:t>las partes actualizaron el modelo financiero</w:t>
      </w:r>
      <w:r w:rsidR="005E4996" w:rsidRPr="00774267">
        <w:rPr>
          <w:rFonts w:cs="Arial"/>
          <w:szCs w:val="24"/>
        </w:rPr>
        <w:t xml:space="preserve"> y </w:t>
      </w:r>
      <w:r w:rsidR="0016224B" w:rsidRPr="00774267">
        <w:rPr>
          <w:rFonts w:cs="Arial"/>
          <w:szCs w:val="24"/>
        </w:rPr>
        <w:t>determin</w:t>
      </w:r>
      <w:r w:rsidR="006230AC" w:rsidRPr="00774267">
        <w:rPr>
          <w:rFonts w:cs="Arial"/>
          <w:szCs w:val="24"/>
        </w:rPr>
        <w:t xml:space="preserve">aron </w:t>
      </w:r>
      <w:r w:rsidR="005E4996" w:rsidRPr="00774267">
        <w:rPr>
          <w:rFonts w:cs="Arial"/>
          <w:szCs w:val="24"/>
        </w:rPr>
        <w:t xml:space="preserve">las condiciones financieras de </w:t>
      </w:r>
      <w:r w:rsidR="0016224B" w:rsidRPr="00774267">
        <w:rPr>
          <w:rFonts w:cs="Arial"/>
          <w:szCs w:val="24"/>
        </w:rPr>
        <w:t xml:space="preserve">la </w:t>
      </w:r>
      <w:r w:rsidR="005E4996" w:rsidRPr="00774267">
        <w:rPr>
          <w:rFonts w:cs="Arial"/>
          <w:szCs w:val="24"/>
        </w:rPr>
        <w:t>ejecución</w:t>
      </w:r>
      <w:r w:rsidR="006230AC" w:rsidRPr="00774267">
        <w:rPr>
          <w:rFonts w:cs="Arial"/>
          <w:szCs w:val="24"/>
        </w:rPr>
        <w:t xml:space="preserve"> del contrato de concesión, </w:t>
      </w:r>
      <w:r w:rsidR="0016224B" w:rsidRPr="00774267">
        <w:rPr>
          <w:rFonts w:cs="Arial"/>
          <w:szCs w:val="24"/>
        </w:rPr>
        <w:t xml:space="preserve">en la forma y términos allí contenidos, tal </w:t>
      </w:r>
      <w:r w:rsidR="00782F14" w:rsidRPr="00774267">
        <w:rPr>
          <w:rFonts w:cs="Arial"/>
          <w:szCs w:val="24"/>
        </w:rPr>
        <w:t>como se indicó de manera expresa en la cl</w:t>
      </w:r>
      <w:r w:rsidR="00160BA7" w:rsidRPr="00774267">
        <w:rPr>
          <w:rFonts w:cs="Arial"/>
          <w:szCs w:val="24"/>
        </w:rPr>
        <w:t>á</w:t>
      </w:r>
      <w:r w:rsidR="00782F14" w:rsidRPr="00774267">
        <w:rPr>
          <w:rFonts w:cs="Arial"/>
          <w:szCs w:val="24"/>
        </w:rPr>
        <w:t xml:space="preserve">usula primera del </w:t>
      </w:r>
      <w:r w:rsidR="006230AC" w:rsidRPr="00774267">
        <w:rPr>
          <w:rFonts w:cs="Arial"/>
          <w:szCs w:val="24"/>
        </w:rPr>
        <w:t xml:space="preserve">citado </w:t>
      </w:r>
      <w:r w:rsidR="00782F14" w:rsidRPr="00774267">
        <w:rPr>
          <w:rFonts w:cs="Arial"/>
          <w:szCs w:val="24"/>
        </w:rPr>
        <w:t>otrosí</w:t>
      </w:r>
      <w:r w:rsidR="00160BA7" w:rsidRPr="00774267">
        <w:rPr>
          <w:rStyle w:val="Refdenotaalpie"/>
          <w:rFonts w:cs="Arial"/>
          <w:szCs w:val="24"/>
        </w:rPr>
        <w:footnoteReference w:id="49"/>
      </w:r>
      <w:r w:rsidR="00782F14" w:rsidRPr="00774267">
        <w:rPr>
          <w:rFonts w:cs="Arial"/>
          <w:szCs w:val="24"/>
        </w:rPr>
        <w:t>.</w:t>
      </w:r>
    </w:p>
    <w:p w14:paraId="56562806" w14:textId="77777777" w:rsidR="00B858A7" w:rsidRPr="00774267" w:rsidRDefault="00B858A7" w:rsidP="00B83D8E">
      <w:pPr>
        <w:pStyle w:val="Textoindependiente22"/>
        <w:numPr>
          <w:ilvl w:val="12"/>
          <w:numId w:val="0"/>
        </w:numPr>
        <w:overflowPunct/>
        <w:autoSpaceDE/>
        <w:autoSpaceDN/>
        <w:adjustRightInd/>
        <w:spacing w:line="276" w:lineRule="auto"/>
        <w:textAlignment w:val="auto"/>
        <w:rPr>
          <w:rFonts w:cs="Arial"/>
          <w:i/>
          <w:szCs w:val="24"/>
        </w:rPr>
      </w:pPr>
    </w:p>
    <w:p w14:paraId="424A45EC" w14:textId="77777777" w:rsidR="006230AC" w:rsidRPr="00774267" w:rsidRDefault="006230AC" w:rsidP="00446560">
      <w:pPr>
        <w:pStyle w:val="Textoindependiente22"/>
        <w:numPr>
          <w:ilvl w:val="12"/>
          <w:numId w:val="0"/>
        </w:numPr>
        <w:overflowPunct/>
        <w:autoSpaceDE/>
        <w:autoSpaceDN/>
        <w:adjustRightInd/>
        <w:textAlignment w:val="auto"/>
        <w:rPr>
          <w:rFonts w:cs="Arial"/>
          <w:szCs w:val="24"/>
        </w:rPr>
      </w:pPr>
      <w:r w:rsidRPr="00774267">
        <w:rPr>
          <w:rFonts w:cs="Arial"/>
          <w:szCs w:val="24"/>
        </w:rPr>
        <w:t>De acuerdo con todo lo expuesto, no procederá la causal de anulación del laudo arbitral por falta de competencia.</w:t>
      </w:r>
    </w:p>
    <w:p w14:paraId="36693D1C" w14:textId="77777777" w:rsidR="003C62BA" w:rsidRPr="00774267" w:rsidRDefault="003C62BA" w:rsidP="005A4456">
      <w:pPr>
        <w:pStyle w:val="Textoindependiente22"/>
        <w:numPr>
          <w:ilvl w:val="12"/>
          <w:numId w:val="0"/>
        </w:numPr>
        <w:overflowPunct/>
        <w:autoSpaceDE/>
        <w:autoSpaceDN/>
        <w:adjustRightInd/>
        <w:spacing w:line="276" w:lineRule="auto"/>
        <w:ind w:left="567" w:right="567"/>
        <w:textAlignment w:val="auto"/>
        <w:rPr>
          <w:rFonts w:cs="Arial"/>
          <w:i/>
          <w:szCs w:val="24"/>
        </w:rPr>
      </w:pPr>
    </w:p>
    <w:p w14:paraId="7E5A34DC" w14:textId="77777777" w:rsidR="002C1F83" w:rsidRPr="00774267" w:rsidRDefault="00061B38" w:rsidP="00FA1A41">
      <w:pPr>
        <w:pStyle w:val="Textoindependiente22"/>
        <w:numPr>
          <w:ilvl w:val="12"/>
          <w:numId w:val="0"/>
        </w:numPr>
        <w:overflowPunct/>
        <w:autoSpaceDE/>
        <w:autoSpaceDN/>
        <w:adjustRightInd/>
        <w:spacing w:line="240" w:lineRule="auto"/>
        <w:textAlignment w:val="auto"/>
        <w:rPr>
          <w:rFonts w:cs="Arial"/>
          <w:b/>
          <w:szCs w:val="24"/>
        </w:rPr>
      </w:pPr>
      <w:r w:rsidRPr="00774267">
        <w:rPr>
          <w:rFonts w:cs="Arial"/>
          <w:b/>
          <w:szCs w:val="24"/>
        </w:rPr>
        <w:t>3</w:t>
      </w:r>
      <w:r w:rsidR="00446560" w:rsidRPr="00774267">
        <w:rPr>
          <w:rFonts w:cs="Arial"/>
          <w:b/>
          <w:szCs w:val="24"/>
        </w:rPr>
        <w:t xml:space="preserve">. </w:t>
      </w:r>
      <w:r w:rsidR="00671526" w:rsidRPr="00774267">
        <w:rPr>
          <w:rFonts w:cs="Arial"/>
          <w:b/>
          <w:szCs w:val="24"/>
        </w:rPr>
        <w:t xml:space="preserve">Segunda causal de anulación, haberse fallado en conciencia </w:t>
      </w:r>
    </w:p>
    <w:p w14:paraId="65AAC605" w14:textId="77777777" w:rsidR="00446560" w:rsidRPr="00774267" w:rsidRDefault="00446560" w:rsidP="002C1F83">
      <w:pPr>
        <w:pStyle w:val="Textoindependiente22"/>
        <w:numPr>
          <w:ilvl w:val="12"/>
          <w:numId w:val="0"/>
        </w:numPr>
        <w:overflowPunct/>
        <w:autoSpaceDE/>
        <w:autoSpaceDN/>
        <w:adjustRightInd/>
        <w:textAlignment w:val="auto"/>
        <w:rPr>
          <w:rFonts w:cs="Arial"/>
          <w:b/>
          <w:szCs w:val="24"/>
        </w:rPr>
      </w:pPr>
    </w:p>
    <w:p w14:paraId="637B8F72" w14:textId="77777777" w:rsidR="00446560" w:rsidRPr="00774267" w:rsidRDefault="00446560" w:rsidP="002C1F83">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La ANI invocó en segundo lugar la causal contenida en el </w:t>
      </w:r>
      <w:r w:rsidR="00E46548" w:rsidRPr="00774267">
        <w:rPr>
          <w:rFonts w:cs="Arial"/>
          <w:szCs w:val="24"/>
        </w:rPr>
        <w:t xml:space="preserve">ordinal </w:t>
      </w:r>
      <w:r w:rsidRPr="00774267">
        <w:rPr>
          <w:rFonts w:cs="Arial"/>
          <w:szCs w:val="24"/>
        </w:rPr>
        <w:t>séptimo del artículo 41 de la Ley 1563 de 2012</w:t>
      </w:r>
      <w:r w:rsidR="00FA1A41" w:rsidRPr="00774267">
        <w:rPr>
          <w:rFonts w:cs="Arial"/>
          <w:szCs w:val="24"/>
        </w:rPr>
        <w:t>, a cuyo tenor:</w:t>
      </w:r>
    </w:p>
    <w:p w14:paraId="163AFC42" w14:textId="77777777" w:rsidR="00446560" w:rsidRPr="00774267" w:rsidRDefault="00446560" w:rsidP="002C1F83">
      <w:pPr>
        <w:pStyle w:val="Textoindependiente22"/>
        <w:numPr>
          <w:ilvl w:val="12"/>
          <w:numId w:val="0"/>
        </w:numPr>
        <w:overflowPunct/>
        <w:autoSpaceDE/>
        <w:autoSpaceDN/>
        <w:adjustRightInd/>
        <w:textAlignment w:val="auto"/>
        <w:rPr>
          <w:rFonts w:cs="Arial"/>
          <w:b/>
          <w:szCs w:val="24"/>
        </w:rPr>
      </w:pPr>
    </w:p>
    <w:p w14:paraId="6FEC1C68" w14:textId="77777777" w:rsidR="00446560" w:rsidRPr="00774267" w:rsidRDefault="00FA1A41" w:rsidP="00671526">
      <w:pPr>
        <w:pStyle w:val="Textoindependiente22"/>
        <w:numPr>
          <w:ilvl w:val="12"/>
          <w:numId w:val="0"/>
        </w:numPr>
        <w:overflowPunct/>
        <w:autoSpaceDE/>
        <w:autoSpaceDN/>
        <w:adjustRightInd/>
        <w:spacing w:line="276" w:lineRule="auto"/>
        <w:ind w:left="567" w:right="567"/>
        <w:textAlignment w:val="auto"/>
        <w:rPr>
          <w:rFonts w:cs="Arial"/>
          <w:i/>
          <w:color w:val="000000"/>
          <w:szCs w:val="24"/>
          <w:shd w:val="clear" w:color="auto" w:fill="FFFFFF"/>
        </w:rPr>
      </w:pPr>
      <w:r w:rsidRPr="00774267">
        <w:rPr>
          <w:rFonts w:cs="Arial"/>
          <w:i/>
          <w:color w:val="000000"/>
          <w:szCs w:val="24"/>
          <w:shd w:val="clear" w:color="auto" w:fill="FFFFFF"/>
        </w:rPr>
        <w:t>“</w:t>
      </w:r>
      <w:r w:rsidR="00446560" w:rsidRPr="00774267">
        <w:rPr>
          <w:rFonts w:cs="Arial"/>
          <w:i/>
          <w:color w:val="000000"/>
          <w:szCs w:val="24"/>
          <w:shd w:val="clear" w:color="auto" w:fill="FFFFFF"/>
        </w:rPr>
        <w:t>7. Haberse fallado en conciencia o equidad, debiendo ser en derecho, siempre que esta circunstancia aparezca manifiesta en el laudo</w:t>
      </w:r>
      <w:r w:rsidRPr="00774267">
        <w:rPr>
          <w:rFonts w:cs="Arial"/>
          <w:i/>
          <w:color w:val="000000"/>
          <w:szCs w:val="24"/>
          <w:shd w:val="clear" w:color="auto" w:fill="FFFFFF"/>
        </w:rPr>
        <w:t>”</w:t>
      </w:r>
      <w:r w:rsidR="00446560" w:rsidRPr="00774267">
        <w:rPr>
          <w:rFonts w:cs="Arial"/>
          <w:i/>
          <w:color w:val="000000"/>
          <w:szCs w:val="24"/>
          <w:shd w:val="clear" w:color="auto" w:fill="FFFFFF"/>
        </w:rPr>
        <w:t>.</w:t>
      </w:r>
    </w:p>
    <w:p w14:paraId="500AB6F8" w14:textId="77777777" w:rsidR="00FA1A41" w:rsidRPr="00774267" w:rsidRDefault="00FA1A41" w:rsidP="00FA1A41">
      <w:pPr>
        <w:pStyle w:val="Textoindependiente22"/>
        <w:numPr>
          <w:ilvl w:val="12"/>
          <w:numId w:val="0"/>
        </w:numPr>
        <w:overflowPunct/>
        <w:autoSpaceDE/>
        <w:autoSpaceDN/>
        <w:adjustRightInd/>
        <w:ind w:left="567" w:right="567"/>
        <w:textAlignment w:val="auto"/>
        <w:rPr>
          <w:rFonts w:cs="Arial"/>
          <w:b/>
          <w:i/>
          <w:szCs w:val="24"/>
        </w:rPr>
      </w:pPr>
    </w:p>
    <w:p w14:paraId="461A253B" w14:textId="77777777" w:rsidR="00FA1A41" w:rsidRPr="00774267" w:rsidRDefault="00671526" w:rsidP="002C1F83">
      <w:pPr>
        <w:pStyle w:val="Textoindependiente22"/>
        <w:numPr>
          <w:ilvl w:val="12"/>
          <w:numId w:val="0"/>
        </w:numPr>
        <w:overflowPunct/>
        <w:autoSpaceDE/>
        <w:autoSpaceDN/>
        <w:adjustRightInd/>
        <w:textAlignment w:val="auto"/>
        <w:rPr>
          <w:rFonts w:cs="Arial"/>
          <w:b/>
          <w:szCs w:val="24"/>
        </w:rPr>
      </w:pPr>
      <w:r w:rsidRPr="00774267">
        <w:rPr>
          <w:rFonts w:cs="Arial"/>
          <w:b/>
          <w:szCs w:val="24"/>
        </w:rPr>
        <w:t>3</w:t>
      </w:r>
      <w:r w:rsidR="00FA1A41" w:rsidRPr="00774267">
        <w:rPr>
          <w:rFonts w:cs="Arial"/>
          <w:b/>
          <w:szCs w:val="24"/>
        </w:rPr>
        <w:t>.1. Argumentos presentados por la recurrente</w:t>
      </w:r>
    </w:p>
    <w:p w14:paraId="741319CE" w14:textId="77777777" w:rsidR="00FA1A41" w:rsidRPr="00774267" w:rsidRDefault="00FA1A41" w:rsidP="002C1F83">
      <w:pPr>
        <w:pStyle w:val="Textoindependiente22"/>
        <w:numPr>
          <w:ilvl w:val="12"/>
          <w:numId w:val="0"/>
        </w:numPr>
        <w:overflowPunct/>
        <w:autoSpaceDE/>
        <w:autoSpaceDN/>
        <w:adjustRightInd/>
        <w:textAlignment w:val="auto"/>
        <w:rPr>
          <w:rFonts w:cs="Arial"/>
          <w:szCs w:val="24"/>
        </w:rPr>
      </w:pPr>
    </w:p>
    <w:p w14:paraId="1BD1D7B8" w14:textId="77777777" w:rsidR="002C1F83" w:rsidRPr="00774267" w:rsidRDefault="002C1F83" w:rsidP="002C1F83">
      <w:pPr>
        <w:pStyle w:val="Textoindependiente22"/>
        <w:numPr>
          <w:ilvl w:val="12"/>
          <w:numId w:val="0"/>
        </w:numPr>
        <w:overflowPunct/>
        <w:autoSpaceDE/>
        <w:autoSpaceDN/>
        <w:adjustRightInd/>
        <w:textAlignment w:val="auto"/>
        <w:rPr>
          <w:rFonts w:cs="Arial"/>
          <w:szCs w:val="24"/>
        </w:rPr>
      </w:pPr>
      <w:r w:rsidRPr="00774267">
        <w:rPr>
          <w:rFonts w:cs="Arial"/>
          <w:szCs w:val="24"/>
        </w:rPr>
        <w:t>Después de cotejar las pretensiones con las resolutivas del laudo</w:t>
      </w:r>
      <w:r w:rsidR="00FA1A41" w:rsidRPr="00774267">
        <w:rPr>
          <w:rFonts w:cs="Arial"/>
          <w:szCs w:val="24"/>
        </w:rPr>
        <w:t xml:space="preserve"> arbitral</w:t>
      </w:r>
      <w:r w:rsidRPr="00774267">
        <w:rPr>
          <w:rFonts w:cs="Arial"/>
          <w:szCs w:val="24"/>
        </w:rPr>
        <w:t>, la ANI a</w:t>
      </w:r>
      <w:r w:rsidR="0016224B" w:rsidRPr="00774267">
        <w:rPr>
          <w:rFonts w:cs="Arial"/>
          <w:szCs w:val="24"/>
        </w:rPr>
        <w:t xml:space="preserve">firmó </w:t>
      </w:r>
      <w:r w:rsidRPr="00774267">
        <w:rPr>
          <w:rFonts w:cs="Arial"/>
          <w:szCs w:val="24"/>
        </w:rPr>
        <w:t>que el Tribunal de Arbitramento al momento de fallar no tuvo en cuenta lo siguiente:</w:t>
      </w:r>
    </w:p>
    <w:p w14:paraId="5C4D6643" w14:textId="77777777" w:rsidR="002C1F83" w:rsidRPr="00774267" w:rsidRDefault="002C1F83" w:rsidP="002C1F83">
      <w:pPr>
        <w:pStyle w:val="Textoindependiente22"/>
        <w:numPr>
          <w:ilvl w:val="12"/>
          <w:numId w:val="0"/>
        </w:numPr>
        <w:overflowPunct/>
        <w:autoSpaceDE/>
        <w:autoSpaceDN/>
        <w:adjustRightInd/>
        <w:textAlignment w:val="auto"/>
        <w:rPr>
          <w:rFonts w:cs="Arial"/>
          <w:szCs w:val="24"/>
        </w:rPr>
      </w:pPr>
    </w:p>
    <w:p w14:paraId="20590FED" w14:textId="77777777" w:rsidR="002C1F83" w:rsidRPr="00774267" w:rsidRDefault="002C1F83" w:rsidP="002C1F83">
      <w:pPr>
        <w:pStyle w:val="Textoindependiente22"/>
        <w:numPr>
          <w:ilvl w:val="12"/>
          <w:numId w:val="0"/>
        </w:numPr>
        <w:overflowPunct/>
        <w:autoSpaceDE/>
        <w:autoSpaceDN/>
        <w:adjustRightInd/>
        <w:spacing w:line="276" w:lineRule="auto"/>
        <w:ind w:left="567" w:right="567"/>
        <w:textAlignment w:val="auto"/>
        <w:rPr>
          <w:rFonts w:cs="Arial"/>
          <w:szCs w:val="24"/>
        </w:rPr>
      </w:pPr>
      <w:r w:rsidRPr="00774267">
        <w:rPr>
          <w:rFonts w:cs="Arial"/>
          <w:szCs w:val="24"/>
        </w:rPr>
        <w:t>“</w:t>
      </w:r>
      <w:r w:rsidRPr="00774267">
        <w:rPr>
          <w:rFonts w:cs="Arial"/>
          <w:i/>
          <w:szCs w:val="24"/>
        </w:rPr>
        <w:t xml:space="preserve">Los ingresos que produzca el proyecto dado en concesión serán en su totalidad del concesionario, de allí la cesión que se efectúa de los mismos, </w:t>
      </w:r>
      <w:r w:rsidRPr="00774267">
        <w:rPr>
          <w:rFonts w:cs="Arial"/>
          <w:b/>
          <w:i/>
          <w:szCs w:val="24"/>
          <w:u w:val="single"/>
        </w:rPr>
        <w:t>hasta tanto éste obtenga dentro del plazo establecido el retorno del capital invertido</w:t>
      </w:r>
      <w:r w:rsidRPr="00774267">
        <w:rPr>
          <w:rFonts w:cs="Arial"/>
          <w:i/>
          <w:szCs w:val="24"/>
        </w:rPr>
        <w:t>”</w:t>
      </w:r>
      <w:r w:rsidR="00671526" w:rsidRPr="00774267">
        <w:rPr>
          <w:rFonts w:cs="Arial"/>
          <w:i/>
          <w:szCs w:val="24"/>
        </w:rPr>
        <w:t xml:space="preserve"> </w:t>
      </w:r>
      <w:r w:rsidR="00671526" w:rsidRPr="00774267">
        <w:rPr>
          <w:rFonts w:cs="Arial"/>
          <w:szCs w:val="24"/>
        </w:rPr>
        <w:t>(</w:t>
      </w:r>
      <w:r w:rsidR="00BA0FCE" w:rsidRPr="00774267">
        <w:rPr>
          <w:rFonts w:cs="Arial"/>
          <w:szCs w:val="24"/>
        </w:rPr>
        <w:t>l</w:t>
      </w:r>
      <w:r w:rsidR="00671526" w:rsidRPr="00774267">
        <w:rPr>
          <w:rFonts w:cs="Arial"/>
          <w:szCs w:val="24"/>
        </w:rPr>
        <w:t>a negrilla es del texto).</w:t>
      </w:r>
    </w:p>
    <w:p w14:paraId="13C4CD0B" w14:textId="77777777" w:rsidR="002C1F83" w:rsidRPr="00774267" w:rsidRDefault="002C1F83" w:rsidP="002C1F83">
      <w:pPr>
        <w:pStyle w:val="Textoindependiente22"/>
        <w:numPr>
          <w:ilvl w:val="12"/>
          <w:numId w:val="0"/>
        </w:numPr>
        <w:overflowPunct/>
        <w:autoSpaceDE/>
        <w:autoSpaceDN/>
        <w:adjustRightInd/>
        <w:spacing w:line="276" w:lineRule="auto"/>
        <w:ind w:left="567" w:right="567"/>
        <w:textAlignment w:val="auto"/>
        <w:rPr>
          <w:rFonts w:cs="Arial"/>
          <w:szCs w:val="24"/>
        </w:rPr>
      </w:pPr>
    </w:p>
    <w:p w14:paraId="7FFADF95" w14:textId="77777777" w:rsidR="002C1F83" w:rsidRPr="00774267" w:rsidRDefault="002C1F83" w:rsidP="002C1F83">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 xml:space="preserve">“En la Adenda 2 del pliego de condiciones en el numeral 2.14. el </w:t>
      </w:r>
      <w:proofErr w:type="spellStart"/>
      <w:r w:rsidRPr="00774267">
        <w:rPr>
          <w:rFonts w:cs="Arial"/>
          <w:i/>
          <w:szCs w:val="24"/>
        </w:rPr>
        <w:t>subnumeral</w:t>
      </w:r>
      <w:proofErr w:type="spellEnd"/>
      <w:r w:rsidRPr="00774267">
        <w:rPr>
          <w:rFonts w:cs="Arial"/>
          <w:i/>
          <w:szCs w:val="24"/>
        </w:rPr>
        <w:t xml:space="preserve"> 26.21, se estableció: ‘VOLUMEN DE TRÁNSITO PARA LA GARANTIA si el ingreso total obtenido por concepto de peaje (…) es menor que el ingreso por peaje garantizado para ese año, el Instituto Nacional de Vías compensará la diferencia al concesionario (…).</w:t>
      </w:r>
    </w:p>
    <w:p w14:paraId="566046FF" w14:textId="77777777" w:rsidR="008A5A7E" w:rsidRPr="00774267" w:rsidRDefault="008A5A7E" w:rsidP="002C1F83">
      <w:pPr>
        <w:pStyle w:val="Textoindependiente22"/>
        <w:numPr>
          <w:ilvl w:val="12"/>
          <w:numId w:val="0"/>
        </w:numPr>
        <w:overflowPunct/>
        <w:autoSpaceDE/>
        <w:autoSpaceDN/>
        <w:adjustRightInd/>
        <w:spacing w:line="276" w:lineRule="auto"/>
        <w:ind w:left="567" w:right="567"/>
        <w:textAlignment w:val="auto"/>
        <w:rPr>
          <w:rFonts w:cs="Arial"/>
          <w:i/>
          <w:szCs w:val="24"/>
        </w:rPr>
      </w:pPr>
    </w:p>
    <w:p w14:paraId="469085D2" w14:textId="77777777" w:rsidR="008A5A7E" w:rsidRPr="00774267" w:rsidRDefault="001B4F72" w:rsidP="002C1F83">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w:t>
      </w:r>
      <w:r w:rsidR="008A5A7E" w:rsidRPr="00774267">
        <w:rPr>
          <w:rFonts w:cs="Arial"/>
          <w:i/>
          <w:szCs w:val="24"/>
        </w:rPr>
        <w:t>(…)</w:t>
      </w:r>
      <w:r w:rsidR="00014376" w:rsidRPr="00774267">
        <w:rPr>
          <w:rFonts w:cs="Arial"/>
          <w:i/>
          <w:szCs w:val="24"/>
        </w:rPr>
        <w:t>.</w:t>
      </w:r>
    </w:p>
    <w:p w14:paraId="316A9352" w14:textId="77777777" w:rsidR="008A5A7E" w:rsidRPr="00774267" w:rsidRDefault="008A5A7E" w:rsidP="002C1F83">
      <w:pPr>
        <w:pStyle w:val="Textoindependiente22"/>
        <w:numPr>
          <w:ilvl w:val="12"/>
          <w:numId w:val="0"/>
        </w:numPr>
        <w:overflowPunct/>
        <w:autoSpaceDE/>
        <w:autoSpaceDN/>
        <w:adjustRightInd/>
        <w:spacing w:line="276" w:lineRule="auto"/>
        <w:ind w:left="567" w:right="567"/>
        <w:textAlignment w:val="auto"/>
        <w:rPr>
          <w:rFonts w:cs="Arial"/>
          <w:i/>
          <w:szCs w:val="24"/>
        </w:rPr>
      </w:pPr>
    </w:p>
    <w:p w14:paraId="60A275F2" w14:textId="77777777" w:rsidR="002C1F83" w:rsidRPr="00774267" w:rsidRDefault="008A5A7E" w:rsidP="005A4456">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“Para el ejercicio financiero que se realizó en el otrosí del 30 de enero de 2014 no se tuvieron en cuenta los ingresos reales del proyecto para alcanzar la TIR establecida contractualmente, como consta en el Anexo 1 de dicho documento</w:t>
      </w:r>
      <w:r w:rsidR="001B4F72" w:rsidRPr="00774267">
        <w:rPr>
          <w:rFonts w:cs="Arial"/>
          <w:i/>
          <w:szCs w:val="24"/>
        </w:rPr>
        <w:t>”</w:t>
      </w:r>
      <w:r w:rsidRPr="00774267">
        <w:rPr>
          <w:rStyle w:val="Refdenotaalpie"/>
          <w:rFonts w:cs="Arial"/>
          <w:i/>
          <w:szCs w:val="24"/>
        </w:rPr>
        <w:footnoteReference w:id="50"/>
      </w:r>
      <w:r w:rsidRPr="00774267">
        <w:rPr>
          <w:rFonts w:cs="Arial"/>
          <w:i/>
          <w:szCs w:val="24"/>
        </w:rPr>
        <w:t>.</w:t>
      </w:r>
    </w:p>
    <w:p w14:paraId="5393B7DA" w14:textId="77777777" w:rsidR="008A5A7E" w:rsidRPr="00774267" w:rsidRDefault="008A5A7E" w:rsidP="005A4456">
      <w:pPr>
        <w:pStyle w:val="Textoindependiente22"/>
        <w:numPr>
          <w:ilvl w:val="12"/>
          <w:numId w:val="0"/>
        </w:numPr>
        <w:overflowPunct/>
        <w:autoSpaceDE/>
        <w:autoSpaceDN/>
        <w:adjustRightInd/>
        <w:spacing w:line="276" w:lineRule="auto"/>
        <w:ind w:left="567" w:right="567"/>
        <w:textAlignment w:val="auto"/>
        <w:rPr>
          <w:rFonts w:cs="Arial"/>
          <w:i/>
          <w:szCs w:val="24"/>
        </w:rPr>
      </w:pPr>
    </w:p>
    <w:p w14:paraId="65011876" w14:textId="77777777" w:rsidR="002B40F1" w:rsidRPr="00774267" w:rsidRDefault="008A5A7E" w:rsidP="00F46303">
      <w:pPr>
        <w:pStyle w:val="Textoindependiente22"/>
        <w:numPr>
          <w:ilvl w:val="12"/>
          <w:numId w:val="0"/>
        </w:numPr>
        <w:overflowPunct/>
        <w:autoSpaceDE/>
        <w:autoSpaceDN/>
        <w:adjustRightInd/>
        <w:textAlignment w:val="auto"/>
        <w:rPr>
          <w:rFonts w:cs="Arial"/>
          <w:szCs w:val="24"/>
        </w:rPr>
      </w:pPr>
      <w:r w:rsidRPr="00774267">
        <w:rPr>
          <w:rFonts w:cs="Arial"/>
          <w:szCs w:val="24"/>
        </w:rPr>
        <w:t>Por otra parte, a</w:t>
      </w:r>
      <w:r w:rsidR="001B4F72" w:rsidRPr="00774267">
        <w:rPr>
          <w:rFonts w:cs="Arial"/>
          <w:szCs w:val="24"/>
        </w:rPr>
        <w:t xml:space="preserve">rgumentó </w:t>
      </w:r>
      <w:r w:rsidRPr="00774267">
        <w:rPr>
          <w:rFonts w:cs="Arial"/>
          <w:szCs w:val="24"/>
        </w:rPr>
        <w:t>que en el laudo no se tuv</w:t>
      </w:r>
      <w:r w:rsidR="002B40F1" w:rsidRPr="00774267">
        <w:rPr>
          <w:rFonts w:cs="Arial"/>
          <w:szCs w:val="24"/>
        </w:rPr>
        <w:t>o en cuenta que</w:t>
      </w:r>
      <w:r w:rsidR="002B40F1" w:rsidRPr="00774267">
        <w:rPr>
          <w:rFonts w:cs="Arial"/>
          <w:i/>
          <w:szCs w:val="24"/>
        </w:rPr>
        <w:t xml:space="preserve"> “PARA QUE OPERE EL PRINCIPIO DE LA CONFIANZA LEGITIMA (BUENA FE) LOS ACTOS DE LA ADMINISTRACION DEBEN SER EXPRESOS”. </w:t>
      </w:r>
      <w:r w:rsidR="002B40F1" w:rsidRPr="00774267">
        <w:rPr>
          <w:rFonts w:cs="Arial"/>
          <w:szCs w:val="24"/>
        </w:rPr>
        <w:t>Expuso que la ANI no desplegó conducta alguna que le permitiera al concesionario entender que los dineros que la ANI solicitó reintegrar hubieran pasado a ser de propiedad del concesionario</w:t>
      </w:r>
      <w:r w:rsidR="001B4F72" w:rsidRPr="00774267">
        <w:rPr>
          <w:rFonts w:cs="Arial"/>
          <w:szCs w:val="24"/>
        </w:rPr>
        <w:t xml:space="preserve">. </w:t>
      </w:r>
      <w:proofErr w:type="gramStart"/>
      <w:r w:rsidR="001B4F72" w:rsidRPr="00774267">
        <w:rPr>
          <w:rFonts w:cs="Arial"/>
          <w:szCs w:val="24"/>
        </w:rPr>
        <w:t>A</w:t>
      </w:r>
      <w:r w:rsidR="002B40F1" w:rsidRPr="00774267">
        <w:rPr>
          <w:rFonts w:cs="Arial"/>
          <w:szCs w:val="24"/>
        </w:rPr>
        <w:t>demás</w:t>
      </w:r>
      <w:proofErr w:type="gramEnd"/>
      <w:r w:rsidR="002B40F1" w:rsidRPr="00774267">
        <w:rPr>
          <w:rFonts w:cs="Arial"/>
          <w:szCs w:val="24"/>
        </w:rPr>
        <w:t xml:space="preserve"> </w:t>
      </w:r>
      <w:r w:rsidR="001B4F72" w:rsidRPr="00774267">
        <w:rPr>
          <w:rFonts w:cs="Arial"/>
          <w:szCs w:val="24"/>
        </w:rPr>
        <w:t xml:space="preserve">observó </w:t>
      </w:r>
      <w:r w:rsidR="002B40F1" w:rsidRPr="00774267">
        <w:rPr>
          <w:rFonts w:cs="Arial"/>
          <w:szCs w:val="24"/>
        </w:rPr>
        <w:t>que el paso del tiempo no convalidaba la apropiación.</w:t>
      </w:r>
    </w:p>
    <w:p w14:paraId="761440C7" w14:textId="77777777" w:rsidR="00BF7DA5" w:rsidRPr="00774267" w:rsidRDefault="00BF7DA5" w:rsidP="00F46303">
      <w:pPr>
        <w:pStyle w:val="Textoindependiente22"/>
        <w:numPr>
          <w:ilvl w:val="12"/>
          <w:numId w:val="0"/>
        </w:numPr>
        <w:overflowPunct/>
        <w:autoSpaceDE/>
        <w:autoSpaceDN/>
        <w:adjustRightInd/>
        <w:textAlignment w:val="auto"/>
        <w:rPr>
          <w:rFonts w:cs="Arial"/>
          <w:i/>
          <w:szCs w:val="24"/>
        </w:rPr>
      </w:pPr>
    </w:p>
    <w:p w14:paraId="0206114D" w14:textId="77777777" w:rsidR="00BF7DA5" w:rsidRPr="00774267" w:rsidRDefault="00671526" w:rsidP="00F46303">
      <w:pPr>
        <w:pStyle w:val="Textoindependiente22"/>
        <w:numPr>
          <w:ilvl w:val="12"/>
          <w:numId w:val="0"/>
        </w:numPr>
        <w:overflowPunct/>
        <w:autoSpaceDE/>
        <w:autoSpaceDN/>
        <w:adjustRightInd/>
        <w:textAlignment w:val="auto"/>
        <w:rPr>
          <w:rFonts w:cs="Arial"/>
          <w:b/>
          <w:szCs w:val="24"/>
        </w:rPr>
      </w:pPr>
      <w:r w:rsidRPr="00774267">
        <w:rPr>
          <w:rFonts w:cs="Arial"/>
          <w:b/>
          <w:szCs w:val="24"/>
        </w:rPr>
        <w:t>3</w:t>
      </w:r>
      <w:r w:rsidR="001B4F72" w:rsidRPr="00774267">
        <w:rPr>
          <w:rFonts w:cs="Arial"/>
          <w:b/>
          <w:szCs w:val="24"/>
        </w:rPr>
        <w:t xml:space="preserve">.2. </w:t>
      </w:r>
      <w:r w:rsidR="00BF7DA5" w:rsidRPr="00774267">
        <w:rPr>
          <w:rFonts w:cs="Arial"/>
          <w:b/>
          <w:szCs w:val="24"/>
        </w:rPr>
        <w:t>Respuesta de la convocante a la causal de fallo en c</w:t>
      </w:r>
      <w:r w:rsidR="00220875" w:rsidRPr="00774267">
        <w:rPr>
          <w:rFonts w:cs="Arial"/>
          <w:b/>
          <w:szCs w:val="24"/>
        </w:rPr>
        <w:t>o</w:t>
      </w:r>
      <w:r w:rsidR="00BF7DA5" w:rsidRPr="00774267">
        <w:rPr>
          <w:rFonts w:cs="Arial"/>
          <w:b/>
          <w:szCs w:val="24"/>
        </w:rPr>
        <w:t>nciencia</w:t>
      </w:r>
    </w:p>
    <w:p w14:paraId="3DD265F4" w14:textId="77777777" w:rsidR="00BF7DA5" w:rsidRPr="00774267" w:rsidRDefault="00BF7DA5" w:rsidP="00F46303">
      <w:pPr>
        <w:pStyle w:val="Textoindependiente22"/>
        <w:numPr>
          <w:ilvl w:val="12"/>
          <w:numId w:val="0"/>
        </w:numPr>
        <w:overflowPunct/>
        <w:autoSpaceDE/>
        <w:autoSpaceDN/>
        <w:adjustRightInd/>
        <w:textAlignment w:val="auto"/>
        <w:rPr>
          <w:rFonts w:cs="Arial"/>
          <w:szCs w:val="24"/>
        </w:rPr>
      </w:pPr>
    </w:p>
    <w:p w14:paraId="4B9E1736" w14:textId="77777777" w:rsidR="00BF7DA5" w:rsidRPr="00774267" w:rsidRDefault="00BF7DA5" w:rsidP="00F46303">
      <w:pPr>
        <w:pStyle w:val="Textoindependiente22"/>
        <w:numPr>
          <w:ilvl w:val="12"/>
          <w:numId w:val="0"/>
        </w:numPr>
        <w:overflowPunct/>
        <w:autoSpaceDE/>
        <w:autoSpaceDN/>
        <w:adjustRightInd/>
        <w:textAlignment w:val="auto"/>
        <w:rPr>
          <w:rFonts w:cs="Arial"/>
          <w:szCs w:val="24"/>
        </w:rPr>
      </w:pPr>
      <w:r w:rsidRPr="00774267">
        <w:rPr>
          <w:rFonts w:cs="Arial"/>
          <w:szCs w:val="24"/>
        </w:rPr>
        <w:t>La convocante advirtió que lejos de estar el laudo arbitral cimentado en la equidad</w:t>
      </w:r>
      <w:r w:rsidR="001B4F72" w:rsidRPr="00774267">
        <w:rPr>
          <w:rFonts w:cs="Arial"/>
          <w:szCs w:val="24"/>
        </w:rPr>
        <w:t>,</w:t>
      </w:r>
      <w:r w:rsidRPr="00774267">
        <w:rPr>
          <w:rFonts w:cs="Arial"/>
          <w:szCs w:val="24"/>
        </w:rPr>
        <w:t xml:space="preserve"> lo que se observa es que se basó en abundantes argumentos jurídicos, en el contrato de concesión y en sus modificaciones, en los análisis de los documentos CONPES y en las pruebas allegadas al proceso.</w:t>
      </w:r>
    </w:p>
    <w:p w14:paraId="0AED4DBC" w14:textId="77777777" w:rsidR="00BF7DA5" w:rsidRPr="00774267" w:rsidRDefault="00BF7DA5" w:rsidP="00F46303">
      <w:pPr>
        <w:pStyle w:val="Textoindependiente22"/>
        <w:numPr>
          <w:ilvl w:val="12"/>
          <w:numId w:val="0"/>
        </w:numPr>
        <w:overflowPunct/>
        <w:autoSpaceDE/>
        <w:autoSpaceDN/>
        <w:adjustRightInd/>
        <w:textAlignment w:val="auto"/>
        <w:rPr>
          <w:rFonts w:cs="Arial"/>
          <w:szCs w:val="24"/>
        </w:rPr>
      </w:pPr>
    </w:p>
    <w:p w14:paraId="4CCBD3FA" w14:textId="77777777" w:rsidR="00BF7DA5" w:rsidRPr="00774267" w:rsidRDefault="00206688" w:rsidP="00F46303">
      <w:pPr>
        <w:pStyle w:val="Textoindependiente22"/>
        <w:numPr>
          <w:ilvl w:val="12"/>
          <w:numId w:val="0"/>
        </w:numPr>
        <w:overflowPunct/>
        <w:autoSpaceDE/>
        <w:autoSpaceDN/>
        <w:adjustRightInd/>
        <w:textAlignment w:val="auto"/>
        <w:rPr>
          <w:rFonts w:cs="Arial"/>
          <w:szCs w:val="24"/>
        </w:rPr>
      </w:pPr>
      <w:r w:rsidRPr="00774267">
        <w:rPr>
          <w:rFonts w:cs="Arial"/>
          <w:szCs w:val="24"/>
        </w:rPr>
        <w:t>E</w:t>
      </w:r>
      <w:r w:rsidR="00244768" w:rsidRPr="00774267">
        <w:rPr>
          <w:rFonts w:cs="Arial"/>
          <w:szCs w:val="24"/>
        </w:rPr>
        <w:t xml:space="preserve">xpuso </w:t>
      </w:r>
      <w:r w:rsidR="00BF7DA5" w:rsidRPr="00774267">
        <w:rPr>
          <w:rFonts w:cs="Arial"/>
          <w:szCs w:val="24"/>
        </w:rPr>
        <w:t xml:space="preserve">que la ANI pretende reabrir el debate procesal y que ello no </w:t>
      </w:r>
      <w:r w:rsidR="00220875" w:rsidRPr="00774267">
        <w:rPr>
          <w:rFonts w:cs="Arial"/>
          <w:szCs w:val="24"/>
        </w:rPr>
        <w:t xml:space="preserve">es pertinente </w:t>
      </w:r>
      <w:r w:rsidRPr="00774267">
        <w:rPr>
          <w:rFonts w:cs="Arial"/>
          <w:szCs w:val="24"/>
        </w:rPr>
        <w:t xml:space="preserve">como instrumento </w:t>
      </w:r>
      <w:r w:rsidR="00BF7DA5" w:rsidRPr="00774267">
        <w:rPr>
          <w:rFonts w:cs="Arial"/>
          <w:szCs w:val="24"/>
        </w:rPr>
        <w:t xml:space="preserve">para fundar </w:t>
      </w:r>
      <w:r w:rsidR="00244768" w:rsidRPr="00774267">
        <w:rPr>
          <w:rFonts w:cs="Arial"/>
          <w:szCs w:val="24"/>
        </w:rPr>
        <w:t>la procedencia d</w:t>
      </w:r>
      <w:r w:rsidR="00BF7DA5" w:rsidRPr="00774267">
        <w:rPr>
          <w:rFonts w:cs="Arial"/>
          <w:szCs w:val="24"/>
        </w:rPr>
        <w:t>el fallo en conciencia.</w:t>
      </w:r>
    </w:p>
    <w:p w14:paraId="428FFDE1" w14:textId="77777777" w:rsidR="00BF7DA5" w:rsidRPr="00774267" w:rsidRDefault="00BF7DA5" w:rsidP="00F46303">
      <w:pPr>
        <w:pStyle w:val="Textoindependiente22"/>
        <w:numPr>
          <w:ilvl w:val="12"/>
          <w:numId w:val="0"/>
        </w:numPr>
        <w:overflowPunct/>
        <w:autoSpaceDE/>
        <w:autoSpaceDN/>
        <w:adjustRightInd/>
        <w:textAlignment w:val="auto"/>
        <w:rPr>
          <w:rFonts w:cs="Arial"/>
          <w:szCs w:val="24"/>
        </w:rPr>
      </w:pPr>
    </w:p>
    <w:p w14:paraId="290B7556" w14:textId="77777777" w:rsidR="00244768" w:rsidRPr="00774267" w:rsidRDefault="00BF7DA5" w:rsidP="00F46303">
      <w:pPr>
        <w:pStyle w:val="Textoindependiente22"/>
        <w:numPr>
          <w:ilvl w:val="12"/>
          <w:numId w:val="0"/>
        </w:numPr>
        <w:overflowPunct/>
        <w:autoSpaceDE/>
        <w:autoSpaceDN/>
        <w:adjustRightInd/>
        <w:textAlignment w:val="auto"/>
        <w:rPr>
          <w:rFonts w:cs="Arial"/>
          <w:szCs w:val="24"/>
        </w:rPr>
      </w:pPr>
      <w:r w:rsidRPr="00774267">
        <w:rPr>
          <w:rFonts w:cs="Arial"/>
          <w:szCs w:val="24"/>
        </w:rPr>
        <w:t>En todo caso</w:t>
      </w:r>
      <w:r w:rsidR="00220875" w:rsidRPr="00774267">
        <w:rPr>
          <w:rFonts w:cs="Arial"/>
          <w:szCs w:val="24"/>
        </w:rPr>
        <w:t>,</w:t>
      </w:r>
      <w:r w:rsidRPr="00774267">
        <w:rPr>
          <w:rFonts w:cs="Arial"/>
          <w:szCs w:val="24"/>
        </w:rPr>
        <w:t xml:space="preserve"> reseñó que </w:t>
      </w:r>
      <w:r w:rsidR="00244768" w:rsidRPr="00774267">
        <w:rPr>
          <w:rFonts w:cs="Arial"/>
          <w:szCs w:val="24"/>
        </w:rPr>
        <w:t>la ANI pretende descontextualizar el princ</w:t>
      </w:r>
      <w:r w:rsidR="00220875" w:rsidRPr="00774267">
        <w:rPr>
          <w:rFonts w:cs="Arial"/>
          <w:szCs w:val="24"/>
        </w:rPr>
        <w:t>i</w:t>
      </w:r>
      <w:r w:rsidR="00244768" w:rsidRPr="00774267">
        <w:rPr>
          <w:rFonts w:cs="Arial"/>
          <w:szCs w:val="24"/>
        </w:rPr>
        <w:t xml:space="preserve">pio de la buena fe que se tuvo presente en el laudo arbitral, puesto que lo cierto es que las </w:t>
      </w:r>
      <w:r w:rsidRPr="00774267">
        <w:rPr>
          <w:rFonts w:cs="Arial"/>
          <w:szCs w:val="24"/>
        </w:rPr>
        <w:t xml:space="preserve">pruebas demuestran que las partes no </w:t>
      </w:r>
      <w:r w:rsidR="00244768" w:rsidRPr="00774267">
        <w:rPr>
          <w:rFonts w:cs="Arial"/>
          <w:szCs w:val="24"/>
        </w:rPr>
        <w:t>estipularon una obligación a cargo de CSS de incorporar al modelo financiero los ingresos que</w:t>
      </w:r>
      <w:r w:rsidR="00F46303" w:rsidRPr="00774267">
        <w:rPr>
          <w:rFonts w:cs="Arial"/>
          <w:szCs w:val="24"/>
        </w:rPr>
        <w:t>, en la demanda de reconvención,</w:t>
      </w:r>
      <w:r w:rsidR="00244768" w:rsidRPr="00774267">
        <w:rPr>
          <w:rFonts w:cs="Arial"/>
          <w:szCs w:val="24"/>
        </w:rPr>
        <w:t xml:space="preserve"> la AN</w:t>
      </w:r>
      <w:r w:rsidR="00220875" w:rsidRPr="00774267">
        <w:rPr>
          <w:rFonts w:cs="Arial"/>
          <w:szCs w:val="24"/>
        </w:rPr>
        <w:t>I</w:t>
      </w:r>
      <w:r w:rsidR="00244768" w:rsidRPr="00774267">
        <w:rPr>
          <w:rFonts w:cs="Arial"/>
          <w:szCs w:val="24"/>
        </w:rPr>
        <w:t xml:space="preserve"> </w:t>
      </w:r>
      <w:r w:rsidR="00220875" w:rsidRPr="00774267">
        <w:rPr>
          <w:rFonts w:cs="Arial"/>
          <w:szCs w:val="24"/>
        </w:rPr>
        <w:t>solicitó reintegrar. Agregó que</w:t>
      </w:r>
      <w:r w:rsidR="00244768" w:rsidRPr="00774267">
        <w:rPr>
          <w:rFonts w:cs="Arial"/>
          <w:szCs w:val="24"/>
        </w:rPr>
        <w:t xml:space="preserve">, como lo observó el laudo arbitral, no es admisible que esa entidad pretenda desconocer </w:t>
      </w:r>
      <w:r w:rsidR="00220875" w:rsidRPr="00774267">
        <w:rPr>
          <w:rFonts w:cs="Arial"/>
          <w:szCs w:val="24"/>
        </w:rPr>
        <w:t xml:space="preserve">la propia </w:t>
      </w:r>
      <w:r w:rsidR="00244768" w:rsidRPr="00774267">
        <w:rPr>
          <w:rFonts w:cs="Arial"/>
          <w:szCs w:val="24"/>
        </w:rPr>
        <w:t>conducta</w:t>
      </w:r>
      <w:r w:rsidR="00220875" w:rsidRPr="00774267">
        <w:rPr>
          <w:rFonts w:cs="Arial"/>
          <w:szCs w:val="24"/>
        </w:rPr>
        <w:t xml:space="preserve"> que mantuvo </w:t>
      </w:r>
      <w:r w:rsidR="00244768" w:rsidRPr="00774267">
        <w:rPr>
          <w:rFonts w:cs="Arial"/>
          <w:szCs w:val="24"/>
        </w:rPr>
        <w:t xml:space="preserve">durante los 20 años </w:t>
      </w:r>
      <w:r w:rsidR="00206688" w:rsidRPr="00774267">
        <w:rPr>
          <w:rFonts w:cs="Arial"/>
          <w:szCs w:val="24"/>
        </w:rPr>
        <w:t xml:space="preserve">en el contrato de </w:t>
      </w:r>
      <w:r w:rsidR="00244768" w:rsidRPr="00774267">
        <w:rPr>
          <w:rFonts w:cs="Arial"/>
          <w:szCs w:val="24"/>
        </w:rPr>
        <w:t>concesión.</w:t>
      </w:r>
    </w:p>
    <w:p w14:paraId="37A11A7E" w14:textId="77777777" w:rsidR="00244768" w:rsidRPr="00774267" w:rsidRDefault="00244768" w:rsidP="00F46303">
      <w:pPr>
        <w:pStyle w:val="Textoindependiente22"/>
        <w:numPr>
          <w:ilvl w:val="12"/>
          <w:numId w:val="0"/>
        </w:numPr>
        <w:overflowPunct/>
        <w:autoSpaceDE/>
        <w:autoSpaceDN/>
        <w:adjustRightInd/>
        <w:textAlignment w:val="auto"/>
        <w:rPr>
          <w:rFonts w:cs="Arial"/>
          <w:b/>
          <w:szCs w:val="24"/>
        </w:rPr>
      </w:pPr>
    </w:p>
    <w:p w14:paraId="3A821ABB" w14:textId="77777777" w:rsidR="00E72771" w:rsidRPr="00774267" w:rsidRDefault="00E72771" w:rsidP="00F46303">
      <w:pPr>
        <w:pStyle w:val="Textoindependiente22"/>
        <w:numPr>
          <w:ilvl w:val="12"/>
          <w:numId w:val="0"/>
        </w:numPr>
        <w:overflowPunct/>
        <w:autoSpaceDE/>
        <w:autoSpaceDN/>
        <w:adjustRightInd/>
        <w:textAlignment w:val="auto"/>
        <w:rPr>
          <w:rFonts w:cs="Arial"/>
          <w:b/>
          <w:szCs w:val="24"/>
        </w:rPr>
      </w:pPr>
    </w:p>
    <w:p w14:paraId="2C48524C" w14:textId="77777777" w:rsidR="00E72771" w:rsidRPr="00774267" w:rsidRDefault="00E72771" w:rsidP="00F46303">
      <w:pPr>
        <w:pStyle w:val="Textoindependiente22"/>
        <w:numPr>
          <w:ilvl w:val="12"/>
          <w:numId w:val="0"/>
        </w:numPr>
        <w:overflowPunct/>
        <w:autoSpaceDE/>
        <w:autoSpaceDN/>
        <w:adjustRightInd/>
        <w:textAlignment w:val="auto"/>
        <w:rPr>
          <w:rFonts w:cs="Arial"/>
          <w:b/>
          <w:szCs w:val="24"/>
        </w:rPr>
      </w:pPr>
    </w:p>
    <w:p w14:paraId="6D8A09B2" w14:textId="77777777" w:rsidR="00527843" w:rsidRPr="00774267" w:rsidRDefault="00F46303" w:rsidP="00F46303">
      <w:pPr>
        <w:pStyle w:val="Textoindependiente22"/>
        <w:numPr>
          <w:ilvl w:val="12"/>
          <w:numId w:val="0"/>
        </w:numPr>
        <w:overflowPunct/>
        <w:autoSpaceDE/>
        <w:autoSpaceDN/>
        <w:adjustRightInd/>
        <w:textAlignment w:val="auto"/>
        <w:rPr>
          <w:rFonts w:cs="Arial"/>
          <w:b/>
          <w:szCs w:val="24"/>
        </w:rPr>
      </w:pPr>
      <w:r w:rsidRPr="00774267">
        <w:rPr>
          <w:rFonts w:cs="Arial"/>
          <w:b/>
          <w:szCs w:val="24"/>
        </w:rPr>
        <w:t>3</w:t>
      </w:r>
      <w:r w:rsidR="00036404" w:rsidRPr="00774267">
        <w:rPr>
          <w:rFonts w:cs="Arial"/>
          <w:b/>
          <w:szCs w:val="24"/>
        </w:rPr>
        <w:t xml:space="preserve">.3. </w:t>
      </w:r>
      <w:r w:rsidR="00527843" w:rsidRPr="00774267">
        <w:rPr>
          <w:rFonts w:cs="Arial"/>
          <w:b/>
          <w:szCs w:val="24"/>
        </w:rPr>
        <w:t xml:space="preserve">Consideraciones de la Sala acerca del </w:t>
      </w:r>
      <w:r w:rsidR="00206688" w:rsidRPr="00774267">
        <w:rPr>
          <w:rFonts w:cs="Arial"/>
          <w:b/>
          <w:szCs w:val="24"/>
        </w:rPr>
        <w:t>f</w:t>
      </w:r>
      <w:r w:rsidR="00B82340" w:rsidRPr="00774267">
        <w:rPr>
          <w:rFonts w:cs="Arial"/>
          <w:b/>
          <w:szCs w:val="24"/>
        </w:rPr>
        <w:t>allo en conciencia</w:t>
      </w:r>
    </w:p>
    <w:p w14:paraId="63A2D491" w14:textId="77777777" w:rsidR="00F36E5A" w:rsidRPr="00774267" w:rsidRDefault="00F36E5A" w:rsidP="00F46303">
      <w:pPr>
        <w:pStyle w:val="Continuarlista2"/>
        <w:spacing w:after="0"/>
        <w:ind w:left="0"/>
        <w:rPr>
          <w:rFonts w:cs="Arial"/>
          <w:b/>
        </w:rPr>
      </w:pPr>
    </w:p>
    <w:p w14:paraId="78C1B5E2" w14:textId="77777777" w:rsidR="004F2068" w:rsidRPr="00774267" w:rsidRDefault="005559D6" w:rsidP="00F46303">
      <w:pPr>
        <w:pStyle w:val="Continuarlista2"/>
        <w:spacing w:after="0"/>
        <w:ind w:left="0"/>
        <w:rPr>
          <w:rFonts w:cs="Arial"/>
          <w:b/>
        </w:rPr>
      </w:pPr>
      <w:r w:rsidRPr="00774267">
        <w:rPr>
          <w:rFonts w:cs="Arial"/>
          <w:b/>
        </w:rPr>
        <w:t>3</w:t>
      </w:r>
      <w:r w:rsidR="004F2068" w:rsidRPr="00774267">
        <w:rPr>
          <w:rFonts w:cs="Arial"/>
          <w:b/>
        </w:rPr>
        <w:t xml:space="preserve">.3.1. Reiteración jurisprudencial </w:t>
      </w:r>
    </w:p>
    <w:p w14:paraId="3A6B9EEE" w14:textId="77777777" w:rsidR="00F46303" w:rsidRPr="00774267" w:rsidRDefault="00F46303" w:rsidP="00F46303">
      <w:pPr>
        <w:pStyle w:val="Continuarlista2"/>
        <w:spacing w:after="0"/>
        <w:ind w:left="0"/>
        <w:rPr>
          <w:rFonts w:cs="Arial"/>
        </w:rPr>
      </w:pPr>
    </w:p>
    <w:p w14:paraId="4DBCE5CE" w14:textId="77777777" w:rsidR="004F2068" w:rsidRPr="00774267" w:rsidRDefault="004F2068" w:rsidP="00F46303">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El arbitraje en derecho constituye la regla general aplicable a la contratación estatal, de acuerdo con </w:t>
      </w:r>
      <w:r w:rsidR="00F46303" w:rsidRPr="00774267">
        <w:rPr>
          <w:rFonts w:cs="Arial"/>
          <w:szCs w:val="24"/>
        </w:rPr>
        <w:t xml:space="preserve">lo que dispone </w:t>
      </w:r>
      <w:r w:rsidRPr="00774267">
        <w:rPr>
          <w:rFonts w:cs="Arial"/>
          <w:szCs w:val="24"/>
        </w:rPr>
        <w:t xml:space="preserve">el artículo 1º de la Ley 1563 de 2012, así: </w:t>
      </w:r>
    </w:p>
    <w:p w14:paraId="62C8E567" w14:textId="77777777" w:rsidR="004F2068" w:rsidRPr="00774267" w:rsidRDefault="004F2068" w:rsidP="00F46303">
      <w:pPr>
        <w:pStyle w:val="Textoindependiente22"/>
        <w:numPr>
          <w:ilvl w:val="12"/>
          <w:numId w:val="0"/>
        </w:numPr>
        <w:overflowPunct/>
        <w:autoSpaceDE/>
        <w:autoSpaceDN/>
        <w:adjustRightInd/>
        <w:textAlignment w:val="auto"/>
        <w:rPr>
          <w:rFonts w:cs="Arial"/>
          <w:szCs w:val="24"/>
        </w:rPr>
      </w:pPr>
    </w:p>
    <w:p w14:paraId="50158AE4" w14:textId="77777777" w:rsidR="004F2068" w:rsidRPr="00774267" w:rsidRDefault="004F2068" w:rsidP="004F2068">
      <w:pPr>
        <w:pStyle w:val="NormalWeb"/>
        <w:shd w:val="clear" w:color="auto" w:fill="FFFFFF"/>
        <w:spacing w:before="0" w:beforeAutospacing="0" w:after="0" w:afterAutospacing="0" w:line="276" w:lineRule="auto"/>
        <w:ind w:left="567" w:right="567"/>
        <w:rPr>
          <w:rFonts w:cs="Arial"/>
          <w:bCs/>
          <w:i/>
          <w:color w:val="000000"/>
        </w:rPr>
      </w:pPr>
      <w:r w:rsidRPr="00774267">
        <w:rPr>
          <w:rFonts w:cs="Arial"/>
          <w:i/>
          <w:color w:val="000000"/>
        </w:rPr>
        <w:lastRenderedPageBreak/>
        <w:t>“En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w:t>
      </w:r>
      <w:r w:rsidR="00F46303" w:rsidRPr="00774267">
        <w:rPr>
          <w:rFonts w:cs="Arial"/>
          <w:i/>
          <w:color w:val="000000"/>
        </w:rPr>
        <w:t>.</w:t>
      </w:r>
      <w:r w:rsidRPr="00774267">
        <w:rPr>
          <w:rFonts w:cs="Arial"/>
          <w:bCs/>
          <w:i/>
          <w:color w:val="000000"/>
        </w:rPr>
        <w:t xml:space="preserve"> </w:t>
      </w:r>
    </w:p>
    <w:p w14:paraId="657E2AF0" w14:textId="77777777" w:rsidR="004F2068" w:rsidRPr="00774267" w:rsidRDefault="004F2068" w:rsidP="004F2068">
      <w:pPr>
        <w:pStyle w:val="NormalWeb"/>
        <w:shd w:val="clear" w:color="auto" w:fill="FFFFFF"/>
        <w:spacing w:before="0" w:beforeAutospacing="0" w:after="0" w:afterAutospacing="0"/>
        <w:ind w:left="567" w:right="567"/>
        <w:rPr>
          <w:rFonts w:cs="Arial"/>
          <w:bCs/>
          <w:i/>
          <w:color w:val="000000"/>
        </w:rPr>
      </w:pPr>
    </w:p>
    <w:p w14:paraId="3442186C" w14:textId="77777777" w:rsidR="00DD5F51" w:rsidRPr="00774267" w:rsidRDefault="004F2068" w:rsidP="004F2068">
      <w:pPr>
        <w:pStyle w:val="Textoindependiente22"/>
        <w:numPr>
          <w:ilvl w:val="12"/>
          <w:numId w:val="0"/>
        </w:numPr>
        <w:overflowPunct/>
        <w:autoSpaceDE/>
        <w:autoSpaceDN/>
        <w:adjustRightInd/>
        <w:textAlignment w:val="auto"/>
        <w:rPr>
          <w:rFonts w:cs="Arial"/>
          <w:szCs w:val="24"/>
        </w:rPr>
      </w:pPr>
      <w:r w:rsidRPr="00774267">
        <w:rPr>
          <w:rFonts w:cs="Arial"/>
          <w:szCs w:val="24"/>
        </w:rPr>
        <w:t>En el análisis de las causales de anulación –y concretamente en la causal por fallo en conciencia-, se tiene presente que, partiendo del artículo 116 de la Constitución Política</w:t>
      </w:r>
      <w:r w:rsidRPr="00774267">
        <w:rPr>
          <w:rStyle w:val="Refdenotaalpie"/>
          <w:rFonts w:cs="Arial"/>
          <w:szCs w:val="24"/>
        </w:rPr>
        <w:footnoteReference w:id="51"/>
      </w:r>
      <w:r w:rsidRPr="00774267">
        <w:rPr>
          <w:rFonts w:cs="Arial"/>
          <w:szCs w:val="24"/>
        </w:rPr>
        <w:t xml:space="preserve">, al celebrar el pacto arbitral las partes del contrato habilitan a la jurisdicción arbitral y, por ende, </w:t>
      </w:r>
      <w:r w:rsidR="007163D3" w:rsidRPr="00774267">
        <w:rPr>
          <w:rFonts w:cs="Arial"/>
          <w:szCs w:val="24"/>
        </w:rPr>
        <w:t xml:space="preserve">acuerdan el desplazamiento de la </w:t>
      </w:r>
      <w:r w:rsidR="00DD5F51" w:rsidRPr="00774267">
        <w:rPr>
          <w:rFonts w:cs="Arial"/>
          <w:szCs w:val="24"/>
        </w:rPr>
        <w:t>jurisdicción ordinaria</w:t>
      </w:r>
      <w:r w:rsidR="007163D3" w:rsidRPr="00774267">
        <w:rPr>
          <w:rFonts w:cs="Arial"/>
          <w:szCs w:val="24"/>
        </w:rPr>
        <w:t xml:space="preserve">. </w:t>
      </w:r>
    </w:p>
    <w:p w14:paraId="66AFBBE7" w14:textId="77777777" w:rsidR="00DD5F51" w:rsidRPr="00774267" w:rsidRDefault="00DD5F51" w:rsidP="004F2068">
      <w:pPr>
        <w:pStyle w:val="Textoindependiente22"/>
        <w:numPr>
          <w:ilvl w:val="12"/>
          <w:numId w:val="0"/>
        </w:numPr>
        <w:overflowPunct/>
        <w:autoSpaceDE/>
        <w:autoSpaceDN/>
        <w:adjustRightInd/>
        <w:textAlignment w:val="auto"/>
        <w:rPr>
          <w:rFonts w:cs="Arial"/>
          <w:szCs w:val="24"/>
        </w:rPr>
      </w:pPr>
    </w:p>
    <w:p w14:paraId="7EC8707F" w14:textId="77777777" w:rsidR="00DD5F51" w:rsidRPr="00774267" w:rsidRDefault="007163D3" w:rsidP="004F2068">
      <w:pPr>
        <w:pStyle w:val="Textoindependiente22"/>
        <w:numPr>
          <w:ilvl w:val="12"/>
          <w:numId w:val="0"/>
        </w:numPr>
        <w:overflowPunct/>
        <w:autoSpaceDE/>
        <w:autoSpaceDN/>
        <w:adjustRightInd/>
        <w:textAlignment w:val="auto"/>
        <w:rPr>
          <w:rFonts w:cs="Arial"/>
          <w:szCs w:val="24"/>
        </w:rPr>
      </w:pPr>
      <w:r w:rsidRPr="00774267">
        <w:rPr>
          <w:rFonts w:cs="Arial"/>
          <w:szCs w:val="24"/>
        </w:rPr>
        <w:t>E</w:t>
      </w:r>
      <w:r w:rsidR="00DD5F51" w:rsidRPr="00774267">
        <w:rPr>
          <w:rFonts w:cs="Arial"/>
          <w:szCs w:val="24"/>
        </w:rPr>
        <w:t xml:space="preserve">n el caso del contrato estatal se observa que </w:t>
      </w:r>
      <w:r w:rsidRPr="00774267">
        <w:rPr>
          <w:rFonts w:cs="Arial"/>
          <w:szCs w:val="24"/>
        </w:rPr>
        <w:t xml:space="preserve">por virtud del pacto arbitral las partes </w:t>
      </w:r>
      <w:r w:rsidR="004F2068" w:rsidRPr="00774267">
        <w:rPr>
          <w:rFonts w:cs="Arial"/>
          <w:szCs w:val="24"/>
        </w:rPr>
        <w:t xml:space="preserve">renuncian a </w:t>
      </w:r>
      <w:r w:rsidR="00DD5F51" w:rsidRPr="00774267">
        <w:rPr>
          <w:rFonts w:cs="Arial"/>
          <w:szCs w:val="24"/>
        </w:rPr>
        <w:t xml:space="preserve">acudir ante </w:t>
      </w:r>
      <w:r w:rsidR="004F2068" w:rsidRPr="00774267">
        <w:rPr>
          <w:rFonts w:cs="Arial"/>
          <w:szCs w:val="24"/>
        </w:rPr>
        <w:t xml:space="preserve">la Jurisdicción de lo Contencioso Administrativo. </w:t>
      </w:r>
    </w:p>
    <w:p w14:paraId="6A90A155" w14:textId="77777777" w:rsidR="00DD5F51" w:rsidRPr="00774267" w:rsidRDefault="00DD5F51" w:rsidP="004F2068">
      <w:pPr>
        <w:pStyle w:val="Textoindependiente22"/>
        <w:numPr>
          <w:ilvl w:val="12"/>
          <w:numId w:val="0"/>
        </w:numPr>
        <w:overflowPunct/>
        <w:autoSpaceDE/>
        <w:autoSpaceDN/>
        <w:adjustRightInd/>
        <w:textAlignment w:val="auto"/>
        <w:rPr>
          <w:rFonts w:cs="Arial"/>
          <w:szCs w:val="24"/>
        </w:rPr>
      </w:pPr>
    </w:p>
    <w:p w14:paraId="498A3AFB" w14:textId="77777777" w:rsidR="004F2068" w:rsidRPr="00774267" w:rsidRDefault="004F2068" w:rsidP="004F2068">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De allí se desprende que la intervención de </w:t>
      </w:r>
      <w:r w:rsidR="008005A7" w:rsidRPr="00774267">
        <w:rPr>
          <w:rFonts w:cs="Arial"/>
          <w:szCs w:val="24"/>
        </w:rPr>
        <w:t xml:space="preserve">esta </w:t>
      </w:r>
      <w:r w:rsidRPr="00774267">
        <w:rPr>
          <w:rFonts w:cs="Arial"/>
          <w:szCs w:val="24"/>
        </w:rPr>
        <w:t>jurisdicción, como Juez de anulación, es restringida</w:t>
      </w:r>
      <w:r w:rsidR="007163D3" w:rsidRPr="00774267">
        <w:rPr>
          <w:rStyle w:val="Refdenotaalpie"/>
          <w:rFonts w:cs="Arial"/>
          <w:szCs w:val="24"/>
        </w:rPr>
        <w:footnoteReference w:id="52"/>
      </w:r>
      <w:r w:rsidRPr="00774267">
        <w:rPr>
          <w:rFonts w:cs="Arial"/>
          <w:szCs w:val="24"/>
        </w:rPr>
        <w:t>.</w:t>
      </w:r>
    </w:p>
    <w:p w14:paraId="570587BF" w14:textId="77777777" w:rsidR="004F2068" w:rsidRPr="00774267" w:rsidRDefault="004F2068" w:rsidP="004F2068">
      <w:pPr>
        <w:pStyle w:val="Textoindependiente22"/>
        <w:numPr>
          <w:ilvl w:val="12"/>
          <w:numId w:val="0"/>
        </w:numPr>
        <w:overflowPunct/>
        <w:autoSpaceDE/>
        <w:autoSpaceDN/>
        <w:adjustRightInd/>
        <w:textAlignment w:val="auto"/>
        <w:rPr>
          <w:rFonts w:cs="Arial"/>
          <w:szCs w:val="24"/>
        </w:rPr>
      </w:pPr>
    </w:p>
    <w:p w14:paraId="0A359F0E" w14:textId="77777777" w:rsidR="001D1594" w:rsidRPr="00774267" w:rsidRDefault="00200664" w:rsidP="004F2068">
      <w:pPr>
        <w:pStyle w:val="Textoindependiente22"/>
        <w:numPr>
          <w:ilvl w:val="12"/>
          <w:numId w:val="0"/>
        </w:numPr>
        <w:overflowPunct/>
        <w:autoSpaceDE/>
        <w:autoSpaceDN/>
        <w:adjustRightInd/>
        <w:textAlignment w:val="auto"/>
        <w:rPr>
          <w:rFonts w:cs="Arial"/>
          <w:szCs w:val="24"/>
        </w:rPr>
      </w:pPr>
      <w:r w:rsidRPr="00774267">
        <w:rPr>
          <w:rFonts w:cs="Arial"/>
          <w:szCs w:val="24"/>
        </w:rPr>
        <w:t>Por otra parte, se debe observar que el proceso arbitral es de única instancia</w:t>
      </w:r>
      <w:r w:rsidR="001D1594" w:rsidRPr="00774267">
        <w:rPr>
          <w:rFonts w:cs="Arial"/>
          <w:szCs w:val="24"/>
        </w:rPr>
        <w:t>, es decir</w:t>
      </w:r>
      <w:r w:rsidR="00BA0FCE" w:rsidRPr="00774267">
        <w:rPr>
          <w:rFonts w:cs="Arial"/>
          <w:szCs w:val="24"/>
        </w:rPr>
        <w:t>,</w:t>
      </w:r>
      <w:r w:rsidR="001D1594" w:rsidRPr="00774267">
        <w:rPr>
          <w:rFonts w:cs="Arial"/>
          <w:szCs w:val="24"/>
        </w:rPr>
        <w:t xml:space="preserve"> </w:t>
      </w:r>
      <w:proofErr w:type="gramStart"/>
      <w:r w:rsidR="001D1594" w:rsidRPr="00774267">
        <w:rPr>
          <w:rFonts w:cs="Arial"/>
          <w:szCs w:val="24"/>
        </w:rPr>
        <w:t>que</w:t>
      </w:r>
      <w:proofErr w:type="gramEnd"/>
      <w:r w:rsidR="001D1594" w:rsidRPr="00774267">
        <w:rPr>
          <w:rFonts w:cs="Arial"/>
          <w:szCs w:val="24"/>
        </w:rPr>
        <w:t xml:space="preserve"> al acogerse al pacto arbitral</w:t>
      </w:r>
      <w:r w:rsidR="00BA0FCE" w:rsidRPr="00774267">
        <w:rPr>
          <w:rFonts w:cs="Arial"/>
          <w:szCs w:val="24"/>
        </w:rPr>
        <w:t>,</w:t>
      </w:r>
      <w:r w:rsidR="001D1594" w:rsidRPr="00774267">
        <w:rPr>
          <w:rFonts w:cs="Arial"/>
          <w:szCs w:val="24"/>
        </w:rPr>
        <w:t xml:space="preserve"> las partes conocen y acepta</w:t>
      </w:r>
      <w:r w:rsidR="00B9795C" w:rsidRPr="00774267">
        <w:rPr>
          <w:rFonts w:cs="Arial"/>
          <w:szCs w:val="24"/>
        </w:rPr>
        <w:t>n</w:t>
      </w:r>
      <w:r w:rsidR="001D1594" w:rsidRPr="00774267">
        <w:rPr>
          <w:rFonts w:cs="Arial"/>
          <w:szCs w:val="24"/>
        </w:rPr>
        <w:t xml:space="preserve"> que </w:t>
      </w:r>
      <w:r w:rsidR="00B9795C" w:rsidRPr="00774267">
        <w:rPr>
          <w:rFonts w:cs="Arial"/>
          <w:szCs w:val="24"/>
        </w:rPr>
        <w:t xml:space="preserve">respecto de </w:t>
      </w:r>
      <w:r w:rsidR="00BA0FCE" w:rsidRPr="00774267">
        <w:rPr>
          <w:rFonts w:cs="Arial"/>
          <w:szCs w:val="24"/>
        </w:rPr>
        <w:t>las</w:t>
      </w:r>
      <w:r w:rsidR="00B9795C" w:rsidRPr="00774267">
        <w:rPr>
          <w:rFonts w:cs="Arial"/>
          <w:szCs w:val="24"/>
        </w:rPr>
        <w:t xml:space="preserve"> controversias contractuales </w:t>
      </w:r>
      <w:r w:rsidR="00BA0FCE" w:rsidRPr="00774267">
        <w:rPr>
          <w:rFonts w:cs="Arial"/>
          <w:szCs w:val="24"/>
        </w:rPr>
        <w:t>sometidas al mismo</w:t>
      </w:r>
      <w:r w:rsidR="00404873" w:rsidRPr="00774267">
        <w:rPr>
          <w:rFonts w:cs="Arial"/>
          <w:szCs w:val="24"/>
        </w:rPr>
        <w:t>,</w:t>
      </w:r>
      <w:r w:rsidR="00BA0FCE" w:rsidRPr="00774267">
        <w:rPr>
          <w:rFonts w:cs="Arial"/>
          <w:szCs w:val="24"/>
        </w:rPr>
        <w:t xml:space="preserve"> </w:t>
      </w:r>
      <w:r w:rsidR="001D1594" w:rsidRPr="00774267">
        <w:rPr>
          <w:rFonts w:cs="Arial"/>
          <w:szCs w:val="24"/>
        </w:rPr>
        <w:t xml:space="preserve">no aplicará el principio </w:t>
      </w:r>
      <w:r w:rsidR="00B9795C" w:rsidRPr="00774267">
        <w:rPr>
          <w:rFonts w:cs="Arial"/>
          <w:szCs w:val="24"/>
        </w:rPr>
        <w:t xml:space="preserve">general </w:t>
      </w:r>
      <w:r w:rsidR="001D1594" w:rsidRPr="00774267">
        <w:rPr>
          <w:rFonts w:cs="Arial"/>
          <w:szCs w:val="24"/>
        </w:rPr>
        <w:t>de la doble instancia.</w:t>
      </w:r>
    </w:p>
    <w:p w14:paraId="46238872" w14:textId="77777777" w:rsidR="008005A7" w:rsidRPr="00774267" w:rsidRDefault="008005A7" w:rsidP="004F2068">
      <w:pPr>
        <w:pStyle w:val="Textoindependiente22"/>
        <w:numPr>
          <w:ilvl w:val="12"/>
          <w:numId w:val="0"/>
        </w:numPr>
        <w:overflowPunct/>
        <w:autoSpaceDE/>
        <w:autoSpaceDN/>
        <w:adjustRightInd/>
        <w:textAlignment w:val="auto"/>
        <w:rPr>
          <w:rFonts w:cs="Arial"/>
          <w:szCs w:val="24"/>
        </w:rPr>
      </w:pPr>
    </w:p>
    <w:p w14:paraId="5C364545" w14:textId="77777777" w:rsidR="001D1594" w:rsidRPr="00774267" w:rsidRDefault="008005A7" w:rsidP="004F2068">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Es de la mayor importancia tener presente que </w:t>
      </w:r>
      <w:r w:rsidR="004F2068" w:rsidRPr="00774267">
        <w:rPr>
          <w:rFonts w:cs="Arial"/>
          <w:szCs w:val="24"/>
        </w:rPr>
        <w:t>la Ley 1563 de 2012</w:t>
      </w:r>
      <w:r w:rsidR="001D1594" w:rsidRPr="00774267">
        <w:rPr>
          <w:rFonts w:cs="Arial"/>
          <w:szCs w:val="24"/>
        </w:rPr>
        <w:t xml:space="preserve"> </w:t>
      </w:r>
      <w:r w:rsidR="004F2068" w:rsidRPr="00774267">
        <w:rPr>
          <w:rFonts w:cs="Arial"/>
          <w:szCs w:val="24"/>
        </w:rPr>
        <w:t>incorporó las interpretaciones del Consejo de Estado acerca de la</w:t>
      </w:r>
      <w:r w:rsidRPr="00774267">
        <w:rPr>
          <w:rFonts w:cs="Arial"/>
          <w:szCs w:val="24"/>
        </w:rPr>
        <w:t>s</w:t>
      </w:r>
      <w:r w:rsidR="004F2068" w:rsidRPr="00774267">
        <w:rPr>
          <w:rFonts w:cs="Arial"/>
          <w:szCs w:val="24"/>
        </w:rPr>
        <w:t xml:space="preserve"> restricciones </w:t>
      </w:r>
      <w:r w:rsidR="00916807" w:rsidRPr="00774267">
        <w:rPr>
          <w:rFonts w:cs="Arial"/>
          <w:szCs w:val="24"/>
        </w:rPr>
        <w:t>del Juez que conoce del recurso de anulación</w:t>
      </w:r>
      <w:r w:rsidR="003A02AF" w:rsidRPr="00774267">
        <w:rPr>
          <w:rFonts w:cs="Arial"/>
          <w:szCs w:val="24"/>
        </w:rPr>
        <w:t>,</w:t>
      </w:r>
      <w:r w:rsidR="00916807" w:rsidRPr="00774267">
        <w:rPr>
          <w:rFonts w:cs="Arial"/>
          <w:szCs w:val="24"/>
        </w:rPr>
        <w:t xml:space="preserve"> </w:t>
      </w:r>
      <w:r w:rsidR="004F2068" w:rsidRPr="00774267">
        <w:rPr>
          <w:rFonts w:cs="Arial"/>
          <w:szCs w:val="24"/>
        </w:rPr>
        <w:t xml:space="preserve">para </w:t>
      </w:r>
      <w:r w:rsidR="00916807" w:rsidRPr="00774267">
        <w:rPr>
          <w:rFonts w:cs="Arial"/>
          <w:szCs w:val="24"/>
        </w:rPr>
        <w:t xml:space="preserve">entrar en </w:t>
      </w:r>
      <w:r w:rsidR="004F2068" w:rsidRPr="00774267">
        <w:rPr>
          <w:rFonts w:cs="Arial"/>
          <w:szCs w:val="24"/>
        </w:rPr>
        <w:t>la valoración sobre el fondo del asunto</w:t>
      </w:r>
      <w:r w:rsidR="00D611E1" w:rsidRPr="00774267">
        <w:rPr>
          <w:rFonts w:cs="Arial"/>
          <w:szCs w:val="24"/>
        </w:rPr>
        <w:t>, al disponer las siguientes limitaciones:</w:t>
      </w:r>
      <w:r w:rsidR="004F2068" w:rsidRPr="00774267">
        <w:rPr>
          <w:rFonts w:cs="Arial"/>
          <w:szCs w:val="24"/>
        </w:rPr>
        <w:t xml:space="preserve"> </w:t>
      </w:r>
    </w:p>
    <w:p w14:paraId="290C4953" w14:textId="77777777" w:rsidR="004F2068" w:rsidRPr="00774267" w:rsidRDefault="00D611E1" w:rsidP="004F2068">
      <w:pPr>
        <w:shd w:val="clear" w:color="auto" w:fill="FFFFFF"/>
        <w:spacing w:before="100" w:beforeAutospacing="1" w:after="100" w:afterAutospacing="1" w:line="276" w:lineRule="auto"/>
        <w:ind w:left="567" w:right="567"/>
        <w:rPr>
          <w:rFonts w:cs="Arial"/>
          <w:i/>
          <w:iCs/>
          <w:color w:val="000000"/>
        </w:rPr>
      </w:pPr>
      <w:r w:rsidRPr="00774267">
        <w:rPr>
          <w:rFonts w:cs="Arial"/>
          <w:bCs/>
          <w:i/>
          <w:color w:val="000000"/>
        </w:rPr>
        <w:t xml:space="preserve"> </w:t>
      </w:r>
      <w:r w:rsidR="004F2068" w:rsidRPr="00774267">
        <w:rPr>
          <w:rFonts w:cs="Arial"/>
          <w:bCs/>
          <w:i/>
          <w:color w:val="000000"/>
        </w:rPr>
        <w:t>“Artículo 42. </w:t>
      </w:r>
      <w:r w:rsidR="004F2068" w:rsidRPr="00774267">
        <w:rPr>
          <w:rFonts w:cs="Arial"/>
          <w:bCs/>
          <w:i/>
          <w:iCs/>
          <w:color w:val="000000"/>
        </w:rPr>
        <w:t>Trámite del recurso de anulación</w:t>
      </w:r>
      <w:r w:rsidR="004F2068" w:rsidRPr="00774267">
        <w:rPr>
          <w:rFonts w:cs="Arial"/>
          <w:i/>
          <w:iCs/>
          <w:color w:val="000000"/>
        </w:rPr>
        <w:t xml:space="preserve">. </w:t>
      </w:r>
    </w:p>
    <w:p w14:paraId="5765C626" w14:textId="77777777" w:rsidR="004F2068" w:rsidRPr="00774267" w:rsidRDefault="004F2068" w:rsidP="004F2068">
      <w:pPr>
        <w:shd w:val="clear" w:color="auto" w:fill="FFFFFF"/>
        <w:spacing w:before="100" w:beforeAutospacing="1" w:after="100" w:afterAutospacing="1" w:line="276" w:lineRule="auto"/>
        <w:ind w:left="567" w:right="567"/>
        <w:rPr>
          <w:rFonts w:cs="Arial"/>
          <w:i/>
          <w:color w:val="000000"/>
        </w:rPr>
      </w:pPr>
      <w:r w:rsidRPr="00774267">
        <w:rPr>
          <w:rFonts w:cs="Arial"/>
          <w:i/>
          <w:iCs/>
          <w:color w:val="000000"/>
        </w:rPr>
        <w:t>“(…).</w:t>
      </w:r>
    </w:p>
    <w:p w14:paraId="766F8734" w14:textId="77777777" w:rsidR="004F2068" w:rsidRPr="00774267" w:rsidRDefault="004F2068" w:rsidP="004F2068">
      <w:pPr>
        <w:shd w:val="clear" w:color="auto" w:fill="FFFFFF"/>
        <w:spacing w:before="100" w:beforeAutospacing="1" w:after="100" w:afterAutospacing="1" w:line="276" w:lineRule="auto"/>
        <w:ind w:left="567" w:right="567"/>
        <w:rPr>
          <w:rFonts w:cs="Arial"/>
          <w:i/>
          <w:color w:val="000000"/>
        </w:rPr>
      </w:pPr>
      <w:r w:rsidRPr="00774267">
        <w:rPr>
          <w:rFonts w:cs="Arial"/>
          <w:i/>
          <w:color w:val="000000"/>
        </w:rPr>
        <w:lastRenderedPageBreak/>
        <w:t xml:space="preserve">“La autoridad judicial competente en la anulación no se pronunciará sobre el fondo de la controversia, </w:t>
      </w:r>
      <w:r w:rsidRPr="00774267">
        <w:rPr>
          <w:rFonts w:cs="Arial"/>
          <w:b/>
          <w:i/>
          <w:color w:val="000000"/>
        </w:rPr>
        <w:t>ni calificará o modificará los criterios, motivaciones, valoraciones probatorias o interpretaciones expuestas por el tribunal arbitral al adoptar el laudo</w:t>
      </w:r>
      <w:r w:rsidRPr="00774267">
        <w:rPr>
          <w:rFonts w:cs="Arial"/>
          <w:i/>
          <w:color w:val="000000"/>
        </w:rPr>
        <w:t xml:space="preserve">” </w:t>
      </w:r>
      <w:r w:rsidRPr="00774267">
        <w:rPr>
          <w:rFonts w:cs="Arial"/>
          <w:color w:val="000000"/>
        </w:rPr>
        <w:t>(</w:t>
      </w:r>
      <w:r w:rsidR="00404873" w:rsidRPr="00774267">
        <w:rPr>
          <w:rFonts w:cs="Arial"/>
          <w:color w:val="000000"/>
        </w:rPr>
        <w:t>l</w:t>
      </w:r>
      <w:r w:rsidRPr="00774267">
        <w:rPr>
          <w:rFonts w:cs="Arial"/>
          <w:color w:val="000000"/>
        </w:rPr>
        <w:t>a negrilla no es del texto).</w:t>
      </w:r>
    </w:p>
    <w:p w14:paraId="2FA2C935" w14:textId="77777777" w:rsidR="004F2068" w:rsidRPr="00774267" w:rsidRDefault="004F2068" w:rsidP="004F2068">
      <w:pPr>
        <w:shd w:val="clear" w:color="auto" w:fill="FFFFFF"/>
        <w:spacing w:before="100" w:beforeAutospacing="1" w:after="100" w:afterAutospacing="1" w:line="276" w:lineRule="auto"/>
        <w:ind w:left="567" w:right="567"/>
        <w:rPr>
          <w:rFonts w:cs="Arial"/>
          <w:color w:val="000000"/>
        </w:rPr>
      </w:pPr>
      <w:r w:rsidRPr="00774267">
        <w:rPr>
          <w:rFonts w:cs="Arial"/>
          <w:bCs/>
          <w:i/>
          <w:color w:val="000000"/>
        </w:rPr>
        <w:t>“Artículo 107. </w:t>
      </w:r>
      <w:r w:rsidRPr="00774267">
        <w:rPr>
          <w:rFonts w:cs="Arial"/>
          <w:bCs/>
          <w:i/>
          <w:iCs/>
          <w:color w:val="000000"/>
        </w:rPr>
        <w:t>La anulación como único recurso judicial contra un laudo arbitral</w:t>
      </w:r>
      <w:r w:rsidRPr="00774267">
        <w:rPr>
          <w:rFonts w:cs="Arial"/>
          <w:i/>
          <w:iCs/>
          <w:color w:val="000000"/>
        </w:rPr>
        <w:t>. </w:t>
      </w:r>
      <w:r w:rsidRPr="00774267">
        <w:rPr>
          <w:rFonts w:cs="Arial"/>
          <w:i/>
          <w:color w:val="000000"/>
        </w:rPr>
        <w:t xml:space="preserve">Contra el laudo arbitral solamente procederá el recurso de anulación </w:t>
      </w:r>
      <w:r w:rsidRPr="00774267">
        <w:rPr>
          <w:rFonts w:cs="Arial"/>
          <w:b/>
          <w:i/>
          <w:color w:val="000000"/>
        </w:rPr>
        <w:t>por las causales taxativamente</w:t>
      </w:r>
      <w:r w:rsidRPr="00774267">
        <w:rPr>
          <w:rFonts w:cs="Arial"/>
          <w:i/>
          <w:color w:val="000000"/>
        </w:rPr>
        <w:t xml:space="preserve"> establecidas en esta sección. En consecuencia, </w:t>
      </w:r>
      <w:r w:rsidRPr="00774267">
        <w:rPr>
          <w:rFonts w:cs="Arial"/>
          <w:b/>
          <w:i/>
          <w:color w:val="000000"/>
        </w:rPr>
        <w:t>la autoridad judicial no se pronunciará sobre el fondo de la controversia ni calificará los criterios, valoraciones probatorias, motivaciones o interpretaciones expuestas por el tribunal arbitral</w:t>
      </w:r>
      <w:r w:rsidRPr="00774267">
        <w:rPr>
          <w:rFonts w:cs="Arial"/>
          <w:i/>
          <w:color w:val="000000"/>
        </w:rPr>
        <w:t>”</w:t>
      </w:r>
      <w:r w:rsidRPr="00774267">
        <w:rPr>
          <w:rFonts w:cs="Arial"/>
          <w:color w:val="000000"/>
        </w:rPr>
        <w:t xml:space="preserve"> (</w:t>
      </w:r>
      <w:r w:rsidR="00404873" w:rsidRPr="00774267">
        <w:rPr>
          <w:rFonts w:cs="Arial"/>
          <w:color w:val="000000"/>
        </w:rPr>
        <w:t>l</w:t>
      </w:r>
      <w:r w:rsidRPr="00774267">
        <w:rPr>
          <w:rFonts w:cs="Arial"/>
          <w:color w:val="000000"/>
        </w:rPr>
        <w:t>a negrilla no es del texto).</w:t>
      </w:r>
    </w:p>
    <w:p w14:paraId="130DBEB6" w14:textId="77777777" w:rsidR="004F2068" w:rsidRPr="00774267" w:rsidRDefault="004F2068" w:rsidP="004F2068">
      <w:pPr>
        <w:pStyle w:val="Textoindependiente22"/>
        <w:numPr>
          <w:ilvl w:val="12"/>
          <w:numId w:val="0"/>
        </w:numPr>
        <w:overflowPunct/>
        <w:autoSpaceDE/>
        <w:autoSpaceDN/>
        <w:adjustRightInd/>
        <w:textAlignment w:val="auto"/>
        <w:rPr>
          <w:rFonts w:cs="Arial"/>
          <w:szCs w:val="24"/>
        </w:rPr>
      </w:pPr>
    </w:p>
    <w:p w14:paraId="115A1866" w14:textId="77777777" w:rsidR="0074145A" w:rsidRPr="00774267" w:rsidRDefault="00B9795C" w:rsidP="0074145A">
      <w:pPr>
        <w:pStyle w:val="Textoindependiente22"/>
        <w:numPr>
          <w:ilvl w:val="12"/>
          <w:numId w:val="0"/>
        </w:numPr>
        <w:overflowPunct/>
        <w:autoSpaceDE/>
        <w:autoSpaceDN/>
        <w:adjustRightInd/>
        <w:textAlignment w:val="auto"/>
        <w:rPr>
          <w:rFonts w:cs="Arial"/>
          <w:szCs w:val="24"/>
        </w:rPr>
      </w:pPr>
      <w:r w:rsidRPr="00774267">
        <w:rPr>
          <w:rFonts w:cs="Arial"/>
          <w:szCs w:val="24"/>
        </w:rPr>
        <w:t>Ahora bien, dentro del marco legal citado, l</w:t>
      </w:r>
      <w:r w:rsidR="0074145A" w:rsidRPr="00774267">
        <w:rPr>
          <w:rFonts w:cs="Arial"/>
          <w:szCs w:val="24"/>
        </w:rPr>
        <w:t xml:space="preserve">a jurisprudencia del Consejo de Estado ha </w:t>
      </w:r>
      <w:r w:rsidRPr="00774267">
        <w:rPr>
          <w:rFonts w:cs="Arial"/>
          <w:szCs w:val="24"/>
        </w:rPr>
        <w:t xml:space="preserve">acogido </w:t>
      </w:r>
      <w:r w:rsidR="0074145A" w:rsidRPr="00774267">
        <w:rPr>
          <w:rFonts w:cs="Arial"/>
          <w:szCs w:val="24"/>
        </w:rPr>
        <w:t xml:space="preserve">una definición, de carácter general, según la cual </w:t>
      </w:r>
      <w:r w:rsidR="0074145A" w:rsidRPr="00774267">
        <w:rPr>
          <w:rFonts w:cs="Arial"/>
          <w:i/>
          <w:szCs w:val="24"/>
        </w:rPr>
        <w:t>“el fallo en conciencia es aquel en el que el juzgador se apoya en su íntima convicción, no da razones de su decisión o prescinde de toda consideración jurídica o probatoria”</w:t>
      </w:r>
      <w:r w:rsidR="0074145A" w:rsidRPr="00774267">
        <w:rPr>
          <w:rStyle w:val="Refdenotaalpie"/>
          <w:rFonts w:cs="Arial"/>
          <w:szCs w:val="24"/>
        </w:rPr>
        <w:footnoteReference w:id="53"/>
      </w:r>
      <w:r w:rsidR="0074145A" w:rsidRPr="00774267">
        <w:rPr>
          <w:rFonts w:cs="Arial"/>
          <w:szCs w:val="24"/>
        </w:rPr>
        <w:t>.</w:t>
      </w:r>
    </w:p>
    <w:p w14:paraId="4866B115" w14:textId="77777777" w:rsidR="0074145A" w:rsidRPr="00774267" w:rsidRDefault="0074145A" w:rsidP="0074145A">
      <w:pPr>
        <w:pStyle w:val="Textoindependiente22"/>
        <w:numPr>
          <w:ilvl w:val="12"/>
          <w:numId w:val="0"/>
        </w:numPr>
        <w:overflowPunct/>
        <w:autoSpaceDE/>
        <w:autoSpaceDN/>
        <w:adjustRightInd/>
        <w:textAlignment w:val="auto"/>
        <w:rPr>
          <w:rFonts w:cs="Arial"/>
          <w:szCs w:val="24"/>
        </w:rPr>
      </w:pPr>
    </w:p>
    <w:p w14:paraId="26A45D07" w14:textId="77777777" w:rsidR="009373C3" w:rsidRPr="00774267" w:rsidRDefault="005559D6" w:rsidP="004F2068">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En </w:t>
      </w:r>
      <w:r w:rsidR="009373C3" w:rsidRPr="00774267">
        <w:rPr>
          <w:rFonts w:cs="Arial"/>
          <w:szCs w:val="24"/>
        </w:rPr>
        <w:t>el estudio de los casos particulares de la causal referida al fallo en conciencia, se pueden identificar</w:t>
      </w:r>
      <w:r w:rsidR="009C6ED1" w:rsidRPr="00774267">
        <w:rPr>
          <w:rFonts w:cs="Arial"/>
          <w:szCs w:val="24"/>
        </w:rPr>
        <w:t xml:space="preserve"> </w:t>
      </w:r>
      <w:r w:rsidR="009373C3" w:rsidRPr="00774267">
        <w:rPr>
          <w:rFonts w:cs="Arial"/>
          <w:szCs w:val="24"/>
        </w:rPr>
        <w:t xml:space="preserve">algunos de los </w:t>
      </w:r>
      <w:r w:rsidR="009C6ED1" w:rsidRPr="00774267">
        <w:rPr>
          <w:rFonts w:cs="Arial"/>
          <w:szCs w:val="24"/>
        </w:rPr>
        <w:t xml:space="preserve">supuestos en los que la Jurisprudencia del Consejo de Estado ha establecido que </w:t>
      </w:r>
      <w:r w:rsidR="004F2068" w:rsidRPr="00774267">
        <w:rPr>
          <w:rFonts w:cs="Arial"/>
          <w:szCs w:val="24"/>
        </w:rPr>
        <w:t>no procede fundar el recurso de anulación</w:t>
      </w:r>
      <w:r w:rsidR="009373C3" w:rsidRPr="00774267">
        <w:rPr>
          <w:rFonts w:cs="Arial"/>
          <w:szCs w:val="24"/>
        </w:rPr>
        <w:t>:</w:t>
      </w:r>
    </w:p>
    <w:p w14:paraId="0A91ACB0" w14:textId="77777777" w:rsidR="004F2068" w:rsidRPr="00774267" w:rsidRDefault="004F2068" w:rsidP="004F2068">
      <w:pPr>
        <w:pStyle w:val="Textoindependiente22"/>
        <w:numPr>
          <w:ilvl w:val="12"/>
          <w:numId w:val="0"/>
        </w:numPr>
        <w:overflowPunct/>
        <w:autoSpaceDE/>
        <w:autoSpaceDN/>
        <w:adjustRightInd/>
        <w:textAlignment w:val="auto"/>
        <w:rPr>
          <w:rFonts w:cs="Arial"/>
          <w:szCs w:val="24"/>
        </w:rPr>
      </w:pPr>
    </w:p>
    <w:p w14:paraId="119A98EF" w14:textId="77777777" w:rsidR="004F2068" w:rsidRPr="00774267" w:rsidRDefault="005559D6" w:rsidP="004F2068">
      <w:pPr>
        <w:rPr>
          <w:rFonts w:cs="Arial"/>
        </w:rPr>
      </w:pPr>
      <w:r w:rsidRPr="00774267">
        <w:rPr>
          <w:rFonts w:cs="Arial"/>
          <w:b/>
        </w:rPr>
        <w:t>3</w:t>
      </w:r>
      <w:r w:rsidR="004F2068" w:rsidRPr="00774267">
        <w:rPr>
          <w:rFonts w:cs="Arial"/>
          <w:b/>
        </w:rPr>
        <w:t>.3.1.1.</w:t>
      </w:r>
      <w:r w:rsidR="004F2068" w:rsidRPr="00774267">
        <w:rPr>
          <w:rFonts w:cs="Arial"/>
        </w:rPr>
        <w:t xml:space="preserve"> </w:t>
      </w:r>
      <w:r w:rsidR="00200664" w:rsidRPr="00774267">
        <w:rPr>
          <w:rFonts w:cs="Arial"/>
        </w:rPr>
        <w:t>E</w:t>
      </w:r>
      <w:r w:rsidR="004F2068" w:rsidRPr="00774267">
        <w:rPr>
          <w:rFonts w:cs="Arial"/>
        </w:rPr>
        <w:t xml:space="preserve">l laudo impugnado contiene un razonamiento sobre las normas jurídicas aplicables, empero, el recurrente expone su propia tesis jurídica acerca de las consideraciones del laudo arbitral que no lo favorecen. En esos casos, por principio, el recurso de anulación por fallo en conciencia no debe prosperar, en tanto enmascara la búsqueda de una segunda instancia. El juez de anulación no puede declarar fundado el recurso con fundamento en apreciaciones que corrigen o </w:t>
      </w:r>
      <w:r w:rsidR="004F2068" w:rsidRPr="00774267">
        <w:rPr>
          <w:rFonts w:cs="Arial"/>
        </w:rPr>
        <w:lastRenderedPageBreak/>
        <w:t xml:space="preserve">rectifican las interpretaciones del Tribunal Arbitral </w:t>
      </w:r>
      <w:r w:rsidRPr="00774267">
        <w:rPr>
          <w:rFonts w:cs="Arial"/>
        </w:rPr>
        <w:t xml:space="preserve">que se encuentran </w:t>
      </w:r>
      <w:r w:rsidR="004F2068" w:rsidRPr="00774267">
        <w:rPr>
          <w:rFonts w:cs="Arial"/>
        </w:rPr>
        <w:t>basadas en la ley.</w:t>
      </w:r>
    </w:p>
    <w:p w14:paraId="72E9B6C1" w14:textId="77777777" w:rsidR="004F2068" w:rsidRPr="00774267" w:rsidRDefault="004F2068" w:rsidP="004F2068">
      <w:pPr>
        <w:rPr>
          <w:rFonts w:cs="Arial"/>
        </w:rPr>
      </w:pPr>
    </w:p>
    <w:p w14:paraId="0B14F138" w14:textId="77777777" w:rsidR="004F2068" w:rsidRPr="00774267" w:rsidRDefault="004F2068" w:rsidP="004F2068">
      <w:pPr>
        <w:rPr>
          <w:rFonts w:cs="Arial"/>
        </w:rPr>
      </w:pPr>
      <w:r w:rsidRPr="00774267">
        <w:rPr>
          <w:rFonts w:cs="Arial"/>
        </w:rPr>
        <w:t>Se observa que el Consejo de Estado ha considerado que el fallo en conciencia solo se puede entender configurado por el apartam</w:t>
      </w:r>
      <w:r w:rsidR="003A02AF" w:rsidRPr="00774267">
        <w:rPr>
          <w:rFonts w:cs="Arial"/>
        </w:rPr>
        <w:t>i</w:t>
      </w:r>
      <w:r w:rsidRPr="00774267">
        <w:rPr>
          <w:rFonts w:cs="Arial"/>
        </w:rPr>
        <w:t>ento manifiesto del derecho vigente y, por tanto</w:t>
      </w:r>
      <w:r w:rsidR="003A02AF" w:rsidRPr="00774267">
        <w:rPr>
          <w:rFonts w:cs="Arial"/>
        </w:rPr>
        <w:t>,</w:t>
      </w:r>
      <w:r w:rsidR="00E1364F" w:rsidRPr="00774267">
        <w:rPr>
          <w:rFonts w:cs="Arial"/>
        </w:rPr>
        <w:t xml:space="preserve"> se concluye </w:t>
      </w:r>
      <w:r w:rsidR="0074605B" w:rsidRPr="00774267">
        <w:rPr>
          <w:rFonts w:cs="Arial"/>
        </w:rPr>
        <w:t>que no</w:t>
      </w:r>
      <w:r w:rsidRPr="00774267">
        <w:rPr>
          <w:rFonts w:cs="Arial"/>
        </w:rPr>
        <w:t xml:space="preserve"> debe fundarse la anulación del laudo imputando al Tribunal de Arbitramento un defecto en la interpretación de la ley.</w:t>
      </w:r>
    </w:p>
    <w:p w14:paraId="3D76A26C" w14:textId="77777777" w:rsidR="004F2068" w:rsidRPr="00774267" w:rsidRDefault="004F2068" w:rsidP="004F2068">
      <w:pPr>
        <w:rPr>
          <w:rFonts w:cs="Arial"/>
        </w:rPr>
      </w:pPr>
    </w:p>
    <w:p w14:paraId="0B41E21A" w14:textId="77777777" w:rsidR="004F2068" w:rsidRPr="00774267" w:rsidRDefault="00E1364F" w:rsidP="004F2068">
      <w:pPr>
        <w:rPr>
          <w:rFonts w:cs="Arial"/>
        </w:rPr>
      </w:pPr>
      <w:r w:rsidRPr="00774267">
        <w:rPr>
          <w:rFonts w:cs="Arial"/>
          <w:b/>
        </w:rPr>
        <w:t>3</w:t>
      </w:r>
      <w:r w:rsidR="004F2068" w:rsidRPr="00774267">
        <w:rPr>
          <w:rFonts w:cs="Arial"/>
          <w:b/>
        </w:rPr>
        <w:t>.3.1.2.</w:t>
      </w:r>
      <w:r w:rsidR="004F2068" w:rsidRPr="00774267">
        <w:rPr>
          <w:rFonts w:cs="Arial"/>
        </w:rPr>
        <w:t xml:space="preserve"> El Tribunal de Arbitramento acudió al criterio de la equidad para fundar el laudo. El Consejo de Estado ha advertido que el criterio de la equidad es un elemento de interpretación que puede y debe ser utilizado por los árbitros, aun en el marco del arbitramento en derecho, sin que por razón de la sola invocación de la equidad proceda la impugnación del laudo. </w:t>
      </w:r>
    </w:p>
    <w:p w14:paraId="798BC341" w14:textId="77777777" w:rsidR="004F2068" w:rsidRPr="00774267" w:rsidRDefault="004F2068" w:rsidP="004F2068">
      <w:pPr>
        <w:rPr>
          <w:rFonts w:cs="Arial"/>
        </w:rPr>
      </w:pPr>
    </w:p>
    <w:p w14:paraId="01CE7D38" w14:textId="77777777" w:rsidR="004F2068" w:rsidRPr="00774267" w:rsidRDefault="004F2068" w:rsidP="004F2068">
      <w:pPr>
        <w:rPr>
          <w:rFonts w:cs="Arial"/>
        </w:rPr>
      </w:pPr>
      <w:r w:rsidRPr="00774267">
        <w:rPr>
          <w:rFonts w:cs="Arial"/>
        </w:rPr>
        <w:t>De esta manera, no es pertinente fundar el recurso de anulación en el cuestionamiento de las referencias a la “equidad”, cuando en el laudo arbitral se puede apreciar que el Tribunal de Arbitramento también tuvo en cuenta disposiciones legales y/o contractuales como fundamento de sus decisiones</w:t>
      </w:r>
      <w:r w:rsidR="00A0113C" w:rsidRPr="00774267">
        <w:rPr>
          <w:rFonts w:cs="Arial"/>
        </w:rPr>
        <w:t>.</w:t>
      </w:r>
    </w:p>
    <w:p w14:paraId="69A67055" w14:textId="77777777" w:rsidR="004F2068" w:rsidRPr="00774267" w:rsidRDefault="004F2068" w:rsidP="004F2068">
      <w:pPr>
        <w:pStyle w:val="Textoindependiente22"/>
        <w:numPr>
          <w:ilvl w:val="12"/>
          <w:numId w:val="0"/>
        </w:numPr>
        <w:overflowPunct/>
        <w:autoSpaceDE/>
        <w:autoSpaceDN/>
        <w:adjustRightInd/>
        <w:textAlignment w:val="auto"/>
        <w:rPr>
          <w:rFonts w:cs="Arial"/>
          <w:szCs w:val="24"/>
        </w:rPr>
      </w:pPr>
    </w:p>
    <w:p w14:paraId="3130666B" w14:textId="77777777" w:rsidR="004F2068" w:rsidRPr="00774267" w:rsidRDefault="004F2068" w:rsidP="004F2068">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Acerca de la invocación del criterio de equidad, la Sala reitera su jurisprudencia: </w:t>
      </w:r>
    </w:p>
    <w:p w14:paraId="28D5D2D1" w14:textId="77777777" w:rsidR="004F2068" w:rsidRPr="00774267" w:rsidRDefault="004F2068" w:rsidP="004F2068">
      <w:pPr>
        <w:pStyle w:val="Textoindependiente"/>
        <w:spacing w:line="276" w:lineRule="auto"/>
        <w:ind w:left="567" w:right="567"/>
        <w:rPr>
          <w:rFonts w:cs="Arial"/>
          <w:szCs w:val="24"/>
        </w:rPr>
      </w:pPr>
    </w:p>
    <w:p w14:paraId="2E055B64" w14:textId="77777777" w:rsidR="004F2068" w:rsidRPr="00774267" w:rsidRDefault="004F2068" w:rsidP="004F2068">
      <w:pPr>
        <w:pStyle w:val="Textoindependiente"/>
        <w:spacing w:line="276" w:lineRule="auto"/>
        <w:ind w:left="567" w:right="567"/>
        <w:rPr>
          <w:rFonts w:cs="Arial"/>
          <w:szCs w:val="24"/>
          <w:lang w:val="es-CO"/>
        </w:rPr>
      </w:pPr>
      <w:r w:rsidRPr="00774267">
        <w:rPr>
          <w:rFonts w:cs="Arial"/>
          <w:szCs w:val="24"/>
        </w:rPr>
        <w:t>“</w:t>
      </w:r>
      <w:r w:rsidRPr="00774267">
        <w:rPr>
          <w:rFonts w:cs="Arial"/>
          <w:i/>
          <w:szCs w:val="24"/>
        </w:rPr>
        <w:t xml:space="preserve">Ahora bien, </w:t>
      </w:r>
      <w:r w:rsidRPr="00774267">
        <w:rPr>
          <w:rFonts w:cs="Arial"/>
          <w:i/>
          <w:szCs w:val="24"/>
          <w:lang w:val="es-CO"/>
        </w:rPr>
        <w:t>en lo que a la equidad se refiere, cabe sostener que cuando el artículo 230 de la Constitución Política</w:t>
      </w:r>
      <w:r w:rsidRPr="00774267">
        <w:rPr>
          <w:rStyle w:val="Refdenotaalpie"/>
          <w:rFonts w:cs="Arial"/>
          <w:i/>
          <w:szCs w:val="24"/>
          <w:lang w:val="es-CO"/>
        </w:rPr>
        <w:footnoteReference w:id="54"/>
      </w:r>
      <w:r w:rsidRPr="00774267">
        <w:rPr>
          <w:rFonts w:cs="Arial"/>
          <w:i/>
          <w:szCs w:val="24"/>
          <w:lang w:val="es-CO"/>
        </w:rPr>
        <w:t xml:space="preserve"> hace referencia a ella, en la actividad de administrar Justicia, está haciendo alusión a un principio fundamental que orienta de la labor de los Jueces – y, en su caso de los árbitros</w:t>
      </w:r>
      <w:proofErr w:type="gramStart"/>
      <w:r w:rsidRPr="00774267">
        <w:rPr>
          <w:rFonts w:cs="Arial"/>
          <w:i/>
          <w:szCs w:val="24"/>
          <w:lang w:val="es-CO"/>
        </w:rPr>
        <w:t>-  y</w:t>
      </w:r>
      <w:proofErr w:type="gramEnd"/>
      <w:r w:rsidRPr="00774267">
        <w:rPr>
          <w:rFonts w:cs="Arial"/>
          <w:i/>
          <w:szCs w:val="24"/>
          <w:lang w:val="es-CO"/>
        </w:rPr>
        <w:t xml:space="preserve"> a un criterio auxiliar que debe ser utilizado para llenar los vacíos legislativos. La equidad cobra fuerza en aquellos eventos en los cuales, por ejemplo, no existe regla concreta de derecho que resulte aplicable a un determinado asunto ‘pues en virtud del principio de la plenitud hermenéutica del orden jurídico, consagrado por el artículo 8º de la Ley 153 de 1887, el juez debe acudir a los criterios auxiliares para decidir la controversia realizando los valores que comportan el fin último del derecho’</w:t>
      </w:r>
      <w:r w:rsidRPr="00774267">
        <w:rPr>
          <w:rStyle w:val="Refdenotaalpie"/>
          <w:rFonts w:cs="Arial"/>
          <w:i/>
          <w:szCs w:val="24"/>
          <w:lang w:val="es-CO"/>
        </w:rPr>
        <w:footnoteReference w:id="55"/>
      </w:r>
      <w:r w:rsidRPr="00774267">
        <w:rPr>
          <w:rFonts w:cs="Arial"/>
          <w:i/>
          <w:szCs w:val="24"/>
          <w:lang w:val="es-CO"/>
        </w:rPr>
        <w:t xml:space="preserve">. Un caso de ejemplo acerca del criterio de </w:t>
      </w:r>
      <w:proofErr w:type="gramStart"/>
      <w:r w:rsidRPr="00774267">
        <w:rPr>
          <w:rFonts w:cs="Arial"/>
          <w:i/>
          <w:szCs w:val="24"/>
          <w:lang w:val="es-CO"/>
        </w:rPr>
        <w:t>equidad,  se</w:t>
      </w:r>
      <w:proofErr w:type="gramEnd"/>
      <w:r w:rsidRPr="00774267">
        <w:rPr>
          <w:rFonts w:cs="Arial"/>
          <w:i/>
          <w:szCs w:val="24"/>
          <w:lang w:val="es-CO"/>
        </w:rPr>
        <w:t xml:space="preserve"> </w:t>
      </w:r>
      <w:r w:rsidRPr="00774267">
        <w:rPr>
          <w:rFonts w:cs="Arial"/>
          <w:i/>
          <w:szCs w:val="24"/>
          <w:lang w:val="es-CO"/>
        </w:rPr>
        <w:lastRenderedPageBreak/>
        <w:t>presenta a menudo en la definición de las fórmulas matemáticas a las que el Juez suele acudir para liquidar los perjuicios, en asuntos sobre los cuales no existe ley ni regla contractual que le defina las operaciones en orden a llegar a una cifra razonable y proporcionada con el daño o con el desequilibrio económico causado. Es evidente que no por ello podrá invocarse la configuración del fallo en equidad como causal de anulación del laudo arbitral, en la medida en que se integre esa formulación matemática a las normas legales y a los acuerdos contractuales, toda vez que no se configurará allí el apartamiento del derecho</w:t>
      </w:r>
      <w:r w:rsidRPr="00774267">
        <w:rPr>
          <w:rFonts w:cs="Arial"/>
          <w:szCs w:val="24"/>
          <w:lang w:val="es-CO"/>
        </w:rPr>
        <w:t xml:space="preserve"> aplicable</w:t>
      </w:r>
    </w:p>
    <w:p w14:paraId="1E8FDF66" w14:textId="77777777" w:rsidR="004F2068" w:rsidRPr="00774267" w:rsidRDefault="004F2068" w:rsidP="004F2068">
      <w:pPr>
        <w:pStyle w:val="Textoindependiente"/>
        <w:spacing w:line="276" w:lineRule="auto"/>
        <w:ind w:left="567" w:right="567"/>
        <w:rPr>
          <w:rFonts w:cs="Arial"/>
          <w:szCs w:val="24"/>
          <w:lang w:val="es-CO"/>
        </w:rPr>
      </w:pPr>
    </w:p>
    <w:p w14:paraId="107A1E41" w14:textId="77777777" w:rsidR="004F2068" w:rsidRPr="00774267" w:rsidRDefault="004F2068" w:rsidP="004F2068">
      <w:pPr>
        <w:pStyle w:val="Textoindependiente"/>
        <w:spacing w:line="276" w:lineRule="auto"/>
        <w:ind w:left="567" w:right="567"/>
        <w:rPr>
          <w:rFonts w:cs="Arial"/>
          <w:szCs w:val="24"/>
          <w:lang w:val="es-CO"/>
        </w:rPr>
      </w:pPr>
      <w:r w:rsidRPr="00774267">
        <w:rPr>
          <w:rFonts w:cs="Arial"/>
          <w:szCs w:val="24"/>
          <w:lang w:val="es-CO"/>
        </w:rPr>
        <w:t>“(…).</w:t>
      </w:r>
    </w:p>
    <w:p w14:paraId="37E7610E" w14:textId="77777777" w:rsidR="004F2068" w:rsidRPr="00774267" w:rsidRDefault="004F2068" w:rsidP="004F2068">
      <w:pPr>
        <w:pStyle w:val="Textoindependiente"/>
        <w:spacing w:line="276" w:lineRule="auto"/>
        <w:ind w:left="567" w:right="567"/>
        <w:rPr>
          <w:rFonts w:cs="Arial"/>
          <w:szCs w:val="24"/>
          <w:lang w:val="es-CO"/>
        </w:rPr>
      </w:pPr>
    </w:p>
    <w:p w14:paraId="42832DD4" w14:textId="77777777" w:rsidR="004F2068" w:rsidRPr="00774267" w:rsidRDefault="004F2068" w:rsidP="004F2068">
      <w:pPr>
        <w:pStyle w:val="Textoindependiente22"/>
        <w:numPr>
          <w:ilvl w:val="12"/>
          <w:numId w:val="0"/>
        </w:numPr>
        <w:overflowPunct/>
        <w:autoSpaceDE/>
        <w:autoSpaceDN/>
        <w:adjustRightInd/>
        <w:spacing w:line="276" w:lineRule="auto"/>
        <w:ind w:left="567" w:right="567"/>
        <w:textAlignment w:val="auto"/>
        <w:rPr>
          <w:rFonts w:cs="Arial"/>
          <w:szCs w:val="24"/>
          <w:lang w:val="es-CO"/>
        </w:rPr>
      </w:pPr>
      <w:r w:rsidRPr="00774267">
        <w:rPr>
          <w:rFonts w:cs="Arial"/>
          <w:szCs w:val="24"/>
        </w:rPr>
        <w:t>“</w:t>
      </w:r>
      <w:r w:rsidRPr="00774267">
        <w:rPr>
          <w:rFonts w:cs="Arial"/>
          <w:i/>
          <w:szCs w:val="24"/>
        </w:rPr>
        <w:t>Por otra parte, en materia probatoria se advierte que, siendo el proceso arbitral de única instancia, la causal de anulación del laudo arbitral referida al fallo en conciencia o en equidad, no se puede estructurar rebatiendo el análisis de las pruebas que realizó el Tribunal de Arbitramento”</w:t>
      </w:r>
      <w:r w:rsidRPr="00774267">
        <w:rPr>
          <w:rStyle w:val="Refdenotaalpie"/>
          <w:rFonts w:cs="Arial"/>
          <w:szCs w:val="24"/>
          <w:lang w:val="es-CO"/>
        </w:rPr>
        <w:footnoteReference w:id="56"/>
      </w:r>
      <w:r w:rsidRPr="00774267">
        <w:rPr>
          <w:rFonts w:cs="Arial"/>
          <w:i/>
          <w:szCs w:val="24"/>
        </w:rPr>
        <w:t>.</w:t>
      </w:r>
      <w:r w:rsidRPr="00774267">
        <w:rPr>
          <w:rFonts w:cs="Arial"/>
          <w:szCs w:val="24"/>
          <w:lang w:val="es-CO"/>
        </w:rPr>
        <w:t xml:space="preserve"> </w:t>
      </w:r>
    </w:p>
    <w:p w14:paraId="3D81EC64" w14:textId="77777777" w:rsidR="0016224B" w:rsidRPr="00774267" w:rsidRDefault="0016224B" w:rsidP="002D4371">
      <w:pPr>
        <w:pStyle w:val="Textoindependiente22"/>
        <w:numPr>
          <w:ilvl w:val="12"/>
          <w:numId w:val="0"/>
        </w:numPr>
        <w:overflowPunct/>
        <w:autoSpaceDE/>
        <w:autoSpaceDN/>
        <w:adjustRightInd/>
        <w:textAlignment w:val="auto"/>
        <w:rPr>
          <w:rFonts w:cs="Arial"/>
          <w:szCs w:val="24"/>
        </w:rPr>
      </w:pPr>
    </w:p>
    <w:p w14:paraId="3C569205" w14:textId="77777777" w:rsidR="00E72771" w:rsidRPr="00774267" w:rsidRDefault="00E72771" w:rsidP="00244768">
      <w:pPr>
        <w:pStyle w:val="Textoindependiente22"/>
        <w:numPr>
          <w:ilvl w:val="12"/>
          <w:numId w:val="0"/>
        </w:numPr>
        <w:overflowPunct/>
        <w:autoSpaceDE/>
        <w:autoSpaceDN/>
        <w:adjustRightInd/>
        <w:textAlignment w:val="auto"/>
        <w:rPr>
          <w:rFonts w:cs="Arial"/>
          <w:b/>
          <w:szCs w:val="24"/>
        </w:rPr>
      </w:pPr>
    </w:p>
    <w:p w14:paraId="602C8D8D" w14:textId="77777777" w:rsidR="00BE22CC" w:rsidRPr="00774267" w:rsidRDefault="00A0113C" w:rsidP="00244768">
      <w:pPr>
        <w:pStyle w:val="Textoindependiente22"/>
        <w:numPr>
          <w:ilvl w:val="12"/>
          <w:numId w:val="0"/>
        </w:numPr>
        <w:overflowPunct/>
        <w:autoSpaceDE/>
        <w:autoSpaceDN/>
        <w:adjustRightInd/>
        <w:textAlignment w:val="auto"/>
        <w:rPr>
          <w:rFonts w:cs="Arial"/>
          <w:b/>
          <w:szCs w:val="24"/>
        </w:rPr>
      </w:pPr>
      <w:r w:rsidRPr="00774267">
        <w:rPr>
          <w:rFonts w:cs="Arial"/>
          <w:b/>
          <w:szCs w:val="24"/>
        </w:rPr>
        <w:t>3</w:t>
      </w:r>
      <w:r w:rsidR="002F3558" w:rsidRPr="00774267">
        <w:rPr>
          <w:rFonts w:cs="Arial"/>
          <w:b/>
          <w:szCs w:val="24"/>
        </w:rPr>
        <w:t xml:space="preserve">.3.2. </w:t>
      </w:r>
      <w:r w:rsidRPr="00774267">
        <w:rPr>
          <w:rFonts w:cs="Arial"/>
          <w:b/>
          <w:szCs w:val="24"/>
        </w:rPr>
        <w:t>La causal de fallo en conciencia en e</w:t>
      </w:r>
      <w:r w:rsidR="00BE22CC" w:rsidRPr="00774267">
        <w:rPr>
          <w:rFonts w:cs="Arial"/>
          <w:b/>
          <w:szCs w:val="24"/>
        </w:rPr>
        <w:t>l caso concreto</w:t>
      </w:r>
    </w:p>
    <w:p w14:paraId="283F3BDB" w14:textId="77777777" w:rsidR="00BE22CC" w:rsidRPr="00774267" w:rsidRDefault="00BE22CC" w:rsidP="00244768">
      <w:pPr>
        <w:pStyle w:val="Textoindependiente22"/>
        <w:numPr>
          <w:ilvl w:val="12"/>
          <w:numId w:val="0"/>
        </w:numPr>
        <w:overflowPunct/>
        <w:autoSpaceDE/>
        <w:autoSpaceDN/>
        <w:adjustRightInd/>
        <w:textAlignment w:val="auto"/>
        <w:rPr>
          <w:rFonts w:cs="Arial"/>
          <w:szCs w:val="24"/>
        </w:rPr>
      </w:pPr>
    </w:p>
    <w:p w14:paraId="1CE80E09" w14:textId="77777777" w:rsidR="006F451A" w:rsidRPr="00774267" w:rsidRDefault="002F3558" w:rsidP="00244768">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Descendiendo al caso concreto, </w:t>
      </w:r>
      <w:r w:rsidR="00BE22CC" w:rsidRPr="00774267">
        <w:rPr>
          <w:rFonts w:cs="Arial"/>
          <w:szCs w:val="24"/>
        </w:rPr>
        <w:t>s</w:t>
      </w:r>
      <w:r w:rsidR="00244768" w:rsidRPr="00774267">
        <w:rPr>
          <w:rFonts w:cs="Arial"/>
          <w:szCs w:val="24"/>
        </w:rPr>
        <w:t>e observa</w:t>
      </w:r>
      <w:r w:rsidR="00BE22CC" w:rsidRPr="00774267">
        <w:rPr>
          <w:rFonts w:cs="Arial"/>
          <w:szCs w:val="24"/>
        </w:rPr>
        <w:t xml:space="preserve"> </w:t>
      </w:r>
      <w:r w:rsidR="00244768" w:rsidRPr="00774267">
        <w:rPr>
          <w:rFonts w:cs="Arial"/>
          <w:szCs w:val="24"/>
        </w:rPr>
        <w:t>que la ANI pretend</w:t>
      </w:r>
      <w:r w:rsidR="00BE22CC" w:rsidRPr="00774267">
        <w:rPr>
          <w:rFonts w:cs="Arial"/>
          <w:szCs w:val="24"/>
        </w:rPr>
        <w:t>ió</w:t>
      </w:r>
      <w:r w:rsidR="00244768" w:rsidRPr="00774267">
        <w:rPr>
          <w:rFonts w:cs="Arial"/>
          <w:szCs w:val="24"/>
        </w:rPr>
        <w:t xml:space="preserve"> apoyar su argumento en el desacuerdo con la apreciación de las pruebas y con la interpretación que hizo el Tribunal de Arbitramento sobre el alcance del Otrosí de enero 30 de 2014</w:t>
      </w:r>
      <w:r w:rsidR="00BE22CC" w:rsidRPr="00774267">
        <w:rPr>
          <w:rFonts w:cs="Arial"/>
          <w:szCs w:val="24"/>
        </w:rPr>
        <w:t xml:space="preserve">. </w:t>
      </w:r>
    </w:p>
    <w:p w14:paraId="0D6F4212" w14:textId="77777777" w:rsidR="006F451A" w:rsidRPr="00774267" w:rsidRDefault="006F451A" w:rsidP="00244768">
      <w:pPr>
        <w:pStyle w:val="Textoindependiente22"/>
        <w:numPr>
          <w:ilvl w:val="12"/>
          <w:numId w:val="0"/>
        </w:numPr>
        <w:overflowPunct/>
        <w:autoSpaceDE/>
        <w:autoSpaceDN/>
        <w:adjustRightInd/>
        <w:textAlignment w:val="auto"/>
        <w:rPr>
          <w:rFonts w:cs="Arial"/>
          <w:szCs w:val="24"/>
        </w:rPr>
      </w:pPr>
    </w:p>
    <w:p w14:paraId="00465501" w14:textId="77777777" w:rsidR="00244768" w:rsidRPr="00774267" w:rsidRDefault="00BE22CC" w:rsidP="00244768">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La </w:t>
      </w:r>
      <w:r w:rsidR="00244768" w:rsidRPr="00774267">
        <w:rPr>
          <w:rFonts w:cs="Arial"/>
          <w:szCs w:val="24"/>
        </w:rPr>
        <w:t xml:space="preserve">ANI </w:t>
      </w:r>
      <w:r w:rsidRPr="00774267">
        <w:rPr>
          <w:rFonts w:cs="Arial"/>
          <w:szCs w:val="24"/>
        </w:rPr>
        <w:t xml:space="preserve">expuso que el Tribunal de Arbitramento </w:t>
      </w:r>
      <w:r w:rsidR="00244768" w:rsidRPr="00774267">
        <w:rPr>
          <w:rFonts w:cs="Arial"/>
          <w:szCs w:val="24"/>
        </w:rPr>
        <w:t xml:space="preserve">no tuvo en cuenta que el pliego </w:t>
      </w:r>
      <w:r w:rsidRPr="00774267">
        <w:rPr>
          <w:rFonts w:cs="Arial"/>
          <w:szCs w:val="24"/>
        </w:rPr>
        <w:t xml:space="preserve">de condiciones </w:t>
      </w:r>
      <w:r w:rsidR="00244768" w:rsidRPr="00774267">
        <w:rPr>
          <w:rFonts w:cs="Arial"/>
          <w:szCs w:val="24"/>
        </w:rPr>
        <w:t>hac</w:t>
      </w:r>
      <w:r w:rsidRPr="00774267">
        <w:rPr>
          <w:rFonts w:cs="Arial"/>
          <w:szCs w:val="24"/>
        </w:rPr>
        <w:t>í</w:t>
      </w:r>
      <w:r w:rsidR="00244768" w:rsidRPr="00774267">
        <w:rPr>
          <w:rFonts w:cs="Arial"/>
          <w:szCs w:val="24"/>
        </w:rPr>
        <w:t>a parte de los documentos del contrato y que, por otra parte, no era cierto que a la fecha de suscripción del Otros</w:t>
      </w:r>
      <w:r w:rsidR="006F451A" w:rsidRPr="00774267">
        <w:rPr>
          <w:rFonts w:cs="Arial"/>
          <w:szCs w:val="24"/>
        </w:rPr>
        <w:t>í</w:t>
      </w:r>
      <w:r w:rsidR="00244768" w:rsidRPr="00774267">
        <w:rPr>
          <w:rFonts w:cs="Arial"/>
          <w:szCs w:val="24"/>
        </w:rPr>
        <w:t xml:space="preserve"> de 30 de enero de 2014 el concesionario no hubiera alcanzado la TIR del proyecto.</w:t>
      </w:r>
    </w:p>
    <w:p w14:paraId="2537BE23" w14:textId="77777777" w:rsidR="008A5A7E" w:rsidRPr="00774267" w:rsidRDefault="008A5A7E" w:rsidP="002D4371">
      <w:pPr>
        <w:pStyle w:val="Textoindependiente22"/>
        <w:numPr>
          <w:ilvl w:val="12"/>
          <w:numId w:val="0"/>
        </w:numPr>
        <w:overflowPunct/>
        <w:autoSpaceDE/>
        <w:autoSpaceDN/>
        <w:adjustRightInd/>
        <w:textAlignment w:val="auto"/>
        <w:rPr>
          <w:rFonts w:cs="Arial"/>
          <w:szCs w:val="24"/>
        </w:rPr>
      </w:pPr>
    </w:p>
    <w:p w14:paraId="66861616" w14:textId="77777777" w:rsidR="006F451A" w:rsidRPr="00774267" w:rsidRDefault="001D7398"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Sin embargo, d</w:t>
      </w:r>
      <w:r w:rsidR="004F4B31" w:rsidRPr="00774267">
        <w:rPr>
          <w:rFonts w:cs="Arial"/>
          <w:szCs w:val="24"/>
        </w:rPr>
        <w:t xml:space="preserve">e la lectura del laudo arbitral se observa que el Tribunal de Arbitramento </w:t>
      </w:r>
      <w:r w:rsidR="00244768" w:rsidRPr="00774267">
        <w:rPr>
          <w:rFonts w:cs="Arial"/>
          <w:szCs w:val="24"/>
        </w:rPr>
        <w:t xml:space="preserve">se apoyó en múltiples pruebas y que </w:t>
      </w:r>
      <w:r w:rsidR="009C6B05" w:rsidRPr="00774267">
        <w:rPr>
          <w:rFonts w:cs="Arial"/>
          <w:szCs w:val="24"/>
        </w:rPr>
        <w:t>tuvo en cuenta</w:t>
      </w:r>
      <w:r w:rsidR="00244768" w:rsidRPr="00774267">
        <w:rPr>
          <w:rFonts w:cs="Arial"/>
          <w:szCs w:val="24"/>
        </w:rPr>
        <w:t>, entre otr</w:t>
      </w:r>
      <w:r w:rsidR="0030423A" w:rsidRPr="00774267">
        <w:rPr>
          <w:rFonts w:cs="Arial"/>
          <w:szCs w:val="24"/>
        </w:rPr>
        <w:t>os</w:t>
      </w:r>
      <w:r w:rsidRPr="00774267">
        <w:rPr>
          <w:rFonts w:cs="Arial"/>
          <w:szCs w:val="24"/>
        </w:rPr>
        <w:t>:</w:t>
      </w:r>
      <w:r w:rsidR="006F451A" w:rsidRPr="00774267">
        <w:rPr>
          <w:rFonts w:cs="Arial"/>
          <w:szCs w:val="24"/>
        </w:rPr>
        <w:t xml:space="preserve"> </w:t>
      </w:r>
      <w:r w:rsidR="006F451A" w:rsidRPr="00774267">
        <w:rPr>
          <w:rFonts w:cs="Arial"/>
          <w:b/>
          <w:szCs w:val="24"/>
        </w:rPr>
        <w:t>i)</w:t>
      </w:r>
      <w:r w:rsidR="00244768" w:rsidRPr="00774267">
        <w:rPr>
          <w:rFonts w:cs="Arial"/>
          <w:szCs w:val="24"/>
        </w:rPr>
        <w:t xml:space="preserve"> </w:t>
      </w:r>
      <w:r w:rsidR="00FF4E4C" w:rsidRPr="00774267">
        <w:rPr>
          <w:rFonts w:cs="Arial"/>
          <w:szCs w:val="24"/>
        </w:rPr>
        <w:t>el dictamen pe</w:t>
      </w:r>
      <w:r w:rsidR="0030423A" w:rsidRPr="00774267">
        <w:rPr>
          <w:rFonts w:cs="Arial"/>
          <w:szCs w:val="24"/>
        </w:rPr>
        <w:t>r</w:t>
      </w:r>
      <w:r w:rsidR="00FF4E4C" w:rsidRPr="00774267">
        <w:rPr>
          <w:rFonts w:cs="Arial"/>
          <w:szCs w:val="24"/>
        </w:rPr>
        <w:t xml:space="preserve">icial y </w:t>
      </w:r>
      <w:r w:rsidR="00220875" w:rsidRPr="00774267">
        <w:rPr>
          <w:rFonts w:cs="Arial"/>
          <w:szCs w:val="24"/>
        </w:rPr>
        <w:t>los testimonios de los funcionarios que participaron en las negociaciones</w:t>
      </w:r>
      <w:r w:rsidR="00FF4E4C" w:rsidRPr="00774267">
        <w:rPr>
          <w:rFonts w:cs="Arial"/>
          <w:szCs w:val="24"/>
        </w:rPr>
        <w:t xml:space="preserve">. Sobre el análisis extenso de esas pruebas el Tribunal fundó sus conclusiones acerca del funcionamiento del modelo financiero y </w:t>
      </w:r>
      <w:r w:rsidR="00F86E0F" w:rsidRPr="00774267">
        <w:rPr>
          <w:rFonts w:cs="Arial"/>
          <w:szCs w:val="24"/>
        </w:rPr>
        <w:t>d</w:t>
      </w:r>
      <w:r w:rsidR="00FF4E4C" w:rsidRPr="00774267">
        <w:rPr>
          <w:rFonts w:cs="Arial"/>
          <w:szCs w:val="24"/>
        </w:rPr>
        <w:t xml:space="preserve">el estado de </w:t>
      </w:r>
      <w:r w:rsidR="00FF4E4C" w:rsidRPr="00774267">
        <w:rPr>
          <w:rFonts w:cs="Arial"/>
          <w:szCs w:val="24"/>
        </w:rPr>
        <w:lastRenderedPageBreak/>
        <w:t xml:space="preserve">cumplimiento de </w:t>
      </w:r>
      <w:r w:rsidR="0030423A" w:rsidRPr="00774267">
        <w:rPr>
          <w:rFonts w:cs="Arial"/>
          <w:szCs w:val="24"/>
        </w:rPr>
        <w:t xml:space="preserve">la TIR del contrato para la época en que las partes negociaron el </w:t>
      </w:r>
      <w:r w:rsidR="007272FA" w:rsidRPr="00774267">
        <w:rPr>
          <w:rFonts w:cs="Arial"/>
          <w:szCs w:val="24"/>
        </w:rPr>
        <w:t>O</w:t>
      </w:r>
      <w:r w:rsidR="0030423A" w:rsidRPr="00774267">
        <w:rPr>
          <w:rFonts w:cs="Arial"/>
          <w:szCs w:val="24"/>
        </w:rPr>
        <w:t>trosí de 30 de enero de 20014</w:t>
      </w:r>
      <w:r w:rsidR="00960A80" w:rsidRPr="00774267">
        <w:rPr>
          <w:rStyle w:val="Refdenotaalpie"/>
          <w:rFonts w:cs="Arial"/>
          <w:szCs w:val="24"/>
        </w:rPr>
        <w:footnoteReference w:id="57"/>
      </w:r>
      <w:r w:rsidR="0030423A" w:rsidRPr="00774267">
        <w:rPr>
          <w:rFonts w:cs="Arial"/>
          <w:szCs w:val="24"/>
        </w:rPr>
        <w:t xml:space="preserve"> y </w:t>
      </w:r>
      <w:r w:rsidR="0030423A" w:rsidRPr="00774267">
        <w:rPr>
          <w:rFonts w:cs="Arial"/>
          <w:b/>
          <w:szCs w:val="24"/>
        </w:rPr>
        <w:t>ii)</w:t>
      </w:r>
      <w:r w:rsidR="0030423A" w:rsidRPr="00774267">
        <w:rPr>
          <w:rFonts w:cs="Arial"/>
          <w:szCs w:val="24"/>
        </w:rPr>
        <w:t xml:space="preserve"> el contenido de la</w:t>
      </w:r>
      <w:r w:rsidR="004F4B31" w:rsidRPr="00774267">
        <w:rPr>
          <w:rFonts w:cs="Arial"/>
          <w:szCs w:val="24"/>
        </w:rPr>
        <w:t xml:space="preserve"> modificación </w:t>
      </w:r>
      <w:r w:rsidR="00244768" w:rsidRPr="00774267">
        <w:rPr>
          <w:rFonts w:cs="Arial"/>
          <w:szCs w:val="24"/>
        </w:rPr>
        <w:t xml:space="preserve">del contrato de concesión </w:t>
      </w:r>
      <w:r w:rsidR="0056588F" w:rsidRPr="00774267">
        <w:rPr>
          <w:rFonts w:cs="Arial"/>
          <w:szCs w:val="24"/>
        </w:rPr>
        <w:t xml:space="preserve">referida </w:t>
      </w:r>
      <w:r w:rsidR="004F4B31" w:rsidRPr="00774267">
        <w:rPr>
          <w:rFonts w:cs="Arial"/>
          <w:szCs w:val="24"/>
        </w:rPr>
        <w:t xml:space="preserve">en el </w:t>
      </w:r>
      <w:r w:rsidR="007272FA" w:rsidRPr="00774267">
        <w:rPr>
          <w:rFonts w:cs="Arial"/>
          <w:szCs w:val="24"/>
        </w:rPr>
        <w:t>O</w:t>
      </w:r>
      <w:r w:rsidR="004F4B31" w:rsidRPr="00774267">
        <w:rPr>
          <w:rFonts w:cs="Arial"/>
          <w:szCs w:val="24"/>
        </w:rPr>
        <w:t>trosí de 30 de enero de 2014</w:t>
      </w:r>
      <w:r w:rsidR="00BE22CC" w:rsidRPr="00774267">
        <w:rPr>
          <w:rFonts w:cs="Arial"/>
          <w:szCs w:val="24"/>
        </w:rPr>
        <w:t xml:space="preserve">. </w:t>
      </w:r>
    </w:p>
    <w:p w14:paraId="410A3C42" w14:textId="77777777" w:rsidR="006F451A" w:rsidRPr="00774267" w:rsidRDefault="006F451A" w:rsidP="002D4371">
      <w:pPr>
        <w:pStyle w:val="Textoindependiente22"/>
        <w:numPr>
          <w:ilvl w:val="12"/>
          <w:numId w:val="0"/>
        </w:numPr>
        <w:overflowPunct/>
        <w:autoSpaceDE/>
        <w:autoSpaceDN/>
        <w:adjustRightInd/>
        <w:textAlignment w:val="auto"/>
        <w:rPr>
          <w:rFonts w:cs="Arial"/>
          <w:szCs w:val="24"/>
        </w:rPr>
      </w:pPr>
    </w:p>
    <w:p w14:paraId="40B689E4" w14:textId="77777777" w:rsidR="00F86E0F" w:rsidRPr="00774267" w:rsidRDefault="00BE22CC"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Se aprecia que el Tribunal de Arbitramento </w:t>
      </w:r>
      <w:r w:rsidR="006F451A" w:rsidRPr="00774267">
        <w:rPr>
          <w:rFonts w:cs="Arial"/>
          <w:szCs w:val="24"/>
        </w:rPr>
        <w:t xml:space="preserve">tuvo en cuenta el </w:t>
      </w:r>
      <w:r w:rsidR="009C6B05" w:rsidRPr="00774267">
        <w:rPr>
          <w:rFonts w:cs="Arial"/>
          <w:szCs w:val="24"/>
        </w:rPr>
        <w:t>parágrafo tercero de</w:t>
      </w:r>
      <w:r w:rsidR="006F451A" w:rsidRPr="00774267">
        <w:rPr>
          <w:rFonts w:cs="Arial"/>
          <w:szCs w:val="24"/>
        </w:rPr>
        <w:t xml:space="preserve">l </w:t>
      </w:r>
      <w:r w:rsidR="0056588F" w:rsidRPr="00774267">
        <w:rPr>
          <w:rFonts w:cs="Arial"/>
          <w:szCs w:val="24"/>
        </w:rPr>
        <w:t xml:space="preserve">citado </w:t>
      </w:r>
      <w:r w:rsidR="006F451A" w:rsidRPr="00774267">
        <w:rPr>
          <w:rFonts w:cs="Arial"/>
          <w:szCs w:val="24"/>
        </w:rPr>
        <w:t xml:space="preserve">otrosí, </w:t>
      </w:r>
      <w:r w:rsidR="0030423A" w:rsidRPr="00774267">
        <w:rPr>
          <w:rFonts w:cs="Arial"/>
          <w:szCs w:val="24"/>
        </w:rPr>
        <w:t xml:space="preserve">de </w:t>
      </w:r>
      <w:r w:rsidR="009C6B05" w:rsidRPr="00774267">
        <w:rPr>
          <w:rFonts w:cs="Arial"/>
          <w:szCs w:val="24"/>
        </w:rPr>
        <w:t>acuerdo con el cual</w:t>
      </w:r>
      <w:r w:rsidR="00CC2193" w:rsidRPr="00774267">
        <w:rPr>
          <w:rFonts w:cs="Arial"/>
          <w:szCs w:val="24"/>
        </w:rPr>
        <w:t xml:space="preserve"> “</w:t>
      </w:r>
      <w:r w:rsidR="00CC2193" w:rsidRPr="00774267">
        <w:rPr>
          <w:rFonts w:cs="Arial"/>
          <w:i/>
          <w:szCs w:val="24"/>
        </w:rPr>
        <w:t>a partir del 1º de enero de 2014 se eliminan las garantías de tráfico, por lo que se tendrá en cuenta únicamente el ingreso real para la obtención de la TIR pactada</w:t>
      </w:r>
      <w:r w:rsidR="009C6B05" w:rsidRPr="00774267">
        <w:rPr>
          <w:rFonts w:cs="Arial"/>
          <w:i/>
          <w:szCs w:val="24"/>
        </w:rPr>
        <w:t>”</w:t>
      </w:r>
      <w:r w:rsidR="009C6B05" w:rsidRPr="00774267">
        <w:rPr>
          <w:rStyle w:val="Refdenotaalpie"/>
          <w:rFonts w:cs="Arial"/>
          <w:szCs w:val="24"/>
        </w:rPr>
        <w:footnoteReference w:id="58"/>
      </w:r>
      <w:r w:rsidR="00F86E0F" w:rsidRPr="00774267">
        <w:rPr>
          <w:rFonts w:cs="Arial"/>
          <w:i/>
          <w:szCs w:val="24"/>
        </w:rPr>
        <w:t xml:space="preserve">. </w:t>
      </w:r>
      <w:r w:rsidR="00F86E0F" w:rsidRPr="00774267">
        <w:rPr>
          <w:rFonts w:cs="Arial"/>
          <w:szCs w:val="24"/>
        </w:rPr>
        <w:t xml:space="preserve">Con fundamento en ese acuerdo, </w:t>
      </w:r>
      <w:r w:rsidR="0056588F" w:rsidRPr="00774267">
        <w:rPr>
          <w:rFonts w:cs="Arial"/>
          <w:szCs w:val="24"/>
        </w:rPr>
        <w:t xml:space="preserve">en el laudo se </w:t>
      </w:r>
      <w:r w:rsidR="009A18C3" w:rsidRPr="00774267">
        <w:rPr>
          <w:rFonts w:cs="Arial"/>
          <w:szCs w:val="24"/>
        </w:rPr>
        <w:t>concluyó</w:t>
      </w:r>
      <w:r w:rsidR="00884CCE" w:rsidRPr="00774267">
        <w:rPr>
          <w:rFonts w:cs="Arial"/>
          <w:szCs w:val="24"/>
        </w:rPr>
        <w:t xml:space="preserve"> que había operado una </w:t>
      </w:r>
      <w:r w:rsidR="007C3892" w:rsidRPr="00774267">
        <w:rPr>
          <w:rFonts w:cs="Arial"/>
          <w:szCs w:val="24"/>
        </w:rPr>
        <w:t xml:space="preserve">modificación sobre el tratamiento de los recursos de la concesión, </w:t>
      </w:r>
      <w:r w:rsidR="00F86E0F" w:rsidRPr="00774267">
        <w:rPr>
          <w:rFonts w:cs="Arial"/>
          <w:szCs w:val="24"/>
        </w:rPr>
        <w:t>según se afirmó así:</w:t>
      </w:r>
    </w:p>
    <w:p w14:paraId="35D4C878" w14:textId="77777777" w:rsidR="00B330D9" w:rsidRPr="00774267" w:rsidRDefault="00F86E0F" w:rsidP="002D4371">
      <w:pPr>
        <w:pStyle w:val="Textoindependiente22"/>
        <w:numPr>
          <w:ilvl w:val="12"/>
          <w:numId w:val="0"/>
        </w:numPr>
        <w:overflowPunct/>
        <w:autoSpaceDE/>
        <w:autoSpaceDN/>
        <w:adjustRightInd/>
        <w:textAlignment w:val="auto"/>
        <w:rPr>
          <w:rFonts w:cs="Arial"/>
          <w:b/>
          <w:szCs w:val="24"/>
        </w:rPr>
      </w:pPr>
      <w:r w:rsidRPr="00774267">
        <w:rPr>
          <w:rFonts w:cs="Arial"/>
          <w:b/>
          <w:szCs w:val="24"/>
        </w:rPr>
        <w:t xml:space="preserve"> </w:t>
      </w:r>
    </w:p>
    <w:p w14:paraId="3F1B78DD" w14:textId="77777777" w:rsidR="00B330D9" w:rsidRPr="00774267" w:rsidRDefault="008F6FD4" w:rsidP="006F451A">
      <w:pPr>
        <w:pStyle w:val="Textoindependiente22"/>
        <w:numPr>
          <w:ilvl w:val="12"/>
          <w:numId w:val="0"/>
        </w:numPr>
        <w:overflowPunct/>
        <w:autoSpaceDE/>
        <w:autoSpaceDN/>
        <w:adjustRightInd/>
        <w:spacing w:line="276" w:lineRule="auto"/>
        <w:ind w:left="567" w:right="567"/>
        <w:textAlignment w:val="auto"/>
        <w:rPr>
          <w:rFonts w:cs="Arial"/>
          <w:i/>
          <w:szCs w:val="24"/>
        </w:rPr>
      </w:pPr>
      <w:r w:rsidRPr="00774267">
        <w:rPr>
          <w:rFonts w:cs="Arial"/>
          <w:i/>
          <w:szCs w:val="24"/>
        </w:rPr>
        <w:t>“</w:t>
      </w:r>
      <w:r w:rsidR="00B330D9" w:rsidRPr="00774267">
        <w:rPr>
          <w:rFonts w:cs="Arial"/>
          <w:i/>
          <w:szCs w:val="24"/>
        </w:rPr>
        <w:t>Se evidencia entonces que la especial naturaleza dual del Contrato No</w:t>
      </w:r>
      <w:r w:rsidR="00300E5D" w:rsidRPr="00774267">
        <w:rPr>
          <w:rFonts w:cs="Arial"/>
          <w:i/>
          <w:szCs w:val="24"/>
        </w:rPr>
        <w:t>.</w:t>
      </w:r>
      <w:r w:rsidR="00B330D9" w:rsidRPr="00774267">
        <w:rPr>
          <w:rFonts w:cs="Arial"/>
          <w:i/>
          <w:szCs w:val="24"/>
        </w:rPr>
        <w:t xml:space="preserve"> 0849 de 1995</w:t>
      </w:r>
      <w:r w:rsidR="00A97A8C" w:rsidRPr="00774267">
        <w:rPr>
          <w:rStyle w:val="Refdenotaalpie"/>
          <w:rFonts w:cs="Arial"/>
          <w:i/>
          <w:szCs w:val="24"/>
        </w:rPr>
        <w:footnoteReference w:id="59"/>
      </w:r>
      <w:r w:rsidR="00B330D9" w:rsidRPr="00774267">
        <w:rPr>
          <w:rFonts w:cs="Arial"/>
          <w:i/>
          <w:szCs w:val="24"/>
        </w:rPr>
        <w:t xml:space="preserve">, que se evaluará a continuación, representada en la existencia de una Garantía de Ingreso Mínimo y de un </w:t>
      </w:r>
      <w:r w:rsidRPr="00774267">
        <w:rPr>
          <w:rFonts w:cs="Arial"/>
          <w:i/>
          <w:szCs w:val="24"/>
        </w:rPr>
        <w:t>Ingreso Máximo aportante, se extinguió por mutuo acuerdo de las partes a partir del 1º de enero de 2014”.</w:t>
      </w:r>
    </w:p>
    <w:p w14:paraId="1BF884E3" w14:textId="77777777" w:rsidR="008F6FD4" w:rsidRPr="00774267" w:rsidRDefault="008F6FD4" w:rsidP="002D4371">
      <w:pPr>
        <w:pStyle w:val="Textoindependiente22"/>
        <w:numPr>
          <w:ilvl w:val="12"/>
          <w:numId w:val="0"/>
        </w:numPr>
        <w:overflowPunct/>
        <w:autoSpaceDE/>
        <w:autoSpaceDN/>
        <w:adjustRightInd/>
        <w:textAlignment w:val="auto"/>
        <w:rPr>
          <w:rFonts w:cs="Arial"/>
          <w:b/>
          <w:szCs w:val="24"/>
        </w:rPr>
      </w:pPr>
    </w:p>
    <w:p w14:paraId="280EC0B3" w14:textId="77777777" w:rsidR="002F28CC" w:rsidRPr="00774267" w:rsidRDefault="0056588F"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Así las cosas, se concluye que, e</w:t>
      </w:r>
      <w:r w:rsidR="00DF6F02" w:rsidRPr="00774267">
        <w:rPr>
          <w:rFonts w:cs="Arial"/>
          <w:szCs w:val="24"/>
        </w:rPr>
        <w:t xml:space="preserve">n realidad, la ANI acudió a </w:t>
      </w:r>
      <w:r w:rsidR="00D00228" w:rsidRPr="00774267">
        <w:rPr>
          <w:rFonts w:cs="Arial"/>
          <w:szCs w:val="24"/>
        </w:rPr>
        <w:t>rebati</w:t>
      </w:r>
      <w:r w:rsidR="00DF6F02" w:rsidRPr="00774267">
        <w:rPr>
          <w:rFonts w:cs="Arial"/>
          <w:szCs w:val="24"/>
        </w:rPr>
        <w:t>r</w:t>
      </w:r>
      <w:r w:rsidR="00D00228" w:rsidRPr="00774267">
        <w:rPr>
          <w:rFonts w:cs="Arial"/>
          <w:szCs w:val="24"/>
        </w:rPr>
        <w:t xml:space="preserve"> </w:t>
      </w:r>
      <w:r w:rsidR="002C0D5F" w:rsidRPr="00774267">
        <w:rPr>
          <w:rFonts w:cs="Arial"/>
          <w:szCs w:val="24"/>
        </w:rPr>
        <w:t>la aplicación particular que el Tribunal de Arbitramento dio a</w:t>
      </w:r>
      <w:r w:rsidR="00450CCB" w:rsidRPr="00774267">
        <w:rPr>
          <w:rFonts w:cs="Arial"/>
          <w:szCs w:val="24"/>
        </w:rPr>
        <w:t xml:space="preserve"> la</w:t>
      </w:r>
      <w:r w:rsidR="001A5469" w:rsidRPr="00774267">
        <w:rPr>
          <w:rFonts w:cs="Arial"/>
          <w:szCs w:val="24"/>
        </w:rPr>
        <w:t xml:space="preserve">s condiciones del </w:t>
      </w:r>
      <w:r w:rsidR="00884CCE" w:rsidRPr="00774267">
        <w:rPr>
          <w:rFonts w:cs="Arial"/>
          <w:szCs w:val="24"/>
        </w:rPr>
        <w:t>modelo financiero</w:t>
      </w:r>
      <w:r w:rsidR="001A5469" w:rsidRPr="00774267">
        <w:rPr>
          <w:rFonts w:cs="Arial"/>
          <w:szCs w:val="24"/>
        </w:rPr>
        <w:t xml:space="preserve">, a la </w:t>
      </w:r>
      <w:r w:rsidR="00450CCB" w:rsidRPr="00774267">
        <w:rPr>
          <w:rFonts w:cs="Arial"/>
          <w:szCs w:val="24"/>
        </w:rPr>
        <w:t xml:space="preserve">TIR del contrato y </w:t>
      </w:r>
      <w:r w:rsidR="002F28CC" w:rsidRPr="00774267">
        <w:rPr>
          <w:rFonts w:cs="Arial"/>
          <w:szCs w:val="24"/>
        </w:rPr>
        <w:t xml:space="preserve">a </w:t>
      </w:r>
      <w:r w:rsidR="002C0D5F" w:rsidRPr="00774267">
        <w:rPr>
          <w:rFonts w:cs="Arial"/>
          <w:szCs w:val="24"/>
        </w:rPr>
        <w:t>la</w:t>
      </w:r>
      <w:r w:rsidR="002F28CC" w:rsidRPr="00774267">
        <w:rPr>
          <w:rFonts w:cs="Arial"/>
          <w:szCs w:val="24"/>
        </w:rPr>
        <w:t xml:space="preserve"> negociación </w:t>
      </w:r>
      <w:r w:rsidR="001A5469" w:rsidRPr="00774267">
        <w:rPr>
          <w:rFonts w:cs="Arial"/>
          <w:szCs w:val="24"/>
        </w:rPr>
        <w:t xml:space="preserve">contenida en </w:t>
      </w:r>
      <w:r w:rsidR="002F28CC" w:rsidRPr="00774267">
        <w:rPr>
          <w:rFonts w:cs="Arial"/>
          <w:szCs w:val="24"/>
        </w:rPr>
        <w:t xml:space="preserve">el </w:t>
      </w:r>
      <w:r w:rsidR="007272FA" w:rsidRPr="00774267">
        <w:rPr>
          <w:rFonts w:cs="Arial"/>
          <w:szCs w:val="24"/>
        </w:rPr>
        <w:t>O</w:t>
      </w:r>
      <w:r w:rsidR="002F28CC" w:rsidRPr="00774267">
        <w:rPr>
          <w:rFonts w:cs="Arial"/>
          <w:szCs w:val="24"/>
        </w:rPr>
        <w:t xml:space="preserve">trosí de 30 de enero de 2014. </w:t>
      </w:r>
    </w:p>
    <w:p w14:paraId="59034A66" w14:textId="77777777" w:rsidR="002F28CC" w:rsidRPr="00774267" w:rsidRDefault="002F28CC" w:rsidP="002D4371">
      <w:pPr>
        <w:pStyle w:val="Textoindependiente22"/>
        <w:numPr>
          <w:ilvl w:val="12"/>
          <w:numId w:val="0"/>
        </w:numPr>
        <w:overflowPunct/>
        <w:autoSpaceDE/>
        <w:autoSpaceDN/>
        <w:adjustRightInd/>
        <w:textAlignment w:val="auto"/>
        <w:rPr>
          <w:rFonts w:cs="Arial"/>
          <w:szCs w:val="24"/>
        </w:rPr>
      </w:pPr>
    </w:p>
    <w:p w14:paraId="6E4A0DCF" w14:textId="77777777" w:rsidR="00D07716" w:rsidRPr="00774267" w:rsidRDefault="002F28CC" w:rsidP="002D4371">
      <w:pPr>
        <w:pStyle w:val="Textoindependiente22"/>
        <w:numPr>
          <w:ilvl w:val="12"/>
          <w:numId w:val="0"/>
        </w:numPr>
        <w:overflowPunct/>
        <w:autoSpaceDE/>
        <w:autoSpaceDN/>
        <w:adjustRightInd/>
        <w:textAlignment w:val="auto"/>
        <w:rPr>
          <w:rFonts w:cs="Arial"/>
          <w:i/>
          <w:color w:val="000000"/>
          <w:szCs w:val="24"/>
        </w:rPr>
      </w:pPr>
      <w:r w:rsidRPr="00774267">
        <w:rPr>
          <w:rFonts w:cs="Arial"/>
          <w:szCs w:val="24"/>
        </w:rPr>
        <w:t xml:space="preserve">Por ello, puede que se comparta o no el alcance que el Tribunal de Arbitramento dio a las </w:t>
      </w:r>
      <w:r w:rsidR="00D07716" w:rsidRPr="00774267">
        <w:rPr>
          <w:rFonts w:cs="Arial"/>
          <w:szCs w:val="24"/>
        </w:rPr>
        <w:t>pruebas</w:t>
      </w:r>
      <w:r w:rsidR="001A5469" w:rsidRPr="00774267">
        <w:rPr>
          <w:rFonts w:cs="Arial"/>
          <w:szCs w:val="24"/>
        </w:rPr>
        <w:t xml:space="preserve"> y a la negociación contenida en el </w:t>
      </w:r>
      <w:r w:rsidR="007272FA" w:rsidRPr="00774267">
        <w:rPr>
          <w:rFonts w:cs="Arial"/>
          <w:szCs w:val="24"/>
        </w:rPr>
        <w:t>O</w:t>
      </w:r>
      <w:r w:rsidR="001A5469" w:rsidRPr="00774267">
        <w:rPr>
          <w:rFonts w:cs="Arial"/>
          <w:szCs w:val="24"/>
        </w:rPr>
        <w:t>trosí de 30 de enero de 2014</w:t>
      </w:r>
      <w:r w:rsidR="00D07716" w:rsidRPr="00774267">
        <w:rPr>
          <w:rFonts w:cs="Arial"/>
          <w:szCs w:val="24"/>
        </w:rPr>
        <w:t xml:space="preserve">, </w:t>
      </w:r>
      <w:r w:rsidR="00450CCB" w:rsidRPr="00774267">
        <w:rPr>
          <w:rFonts w:cs="Arial"/>
          <w:szCs w:val="24"/>
        </w:rPr>
        <w:t xml:space="preserve">sin embargo, en el presente caso se debe reiterar que </w:t>
      </w:r>
      <w:r w:rsidR="00D07716" w:rsidRPr="00774267">
        <w:rPr>
          <w:rFonts w:cs="Arial"/>
          <w:szCs w:val="24"/>
        </w:rPr>
        <w:t xml:space="preserve">en el recurso de anulación no procede </w:t>
      </w:r>
      <w:r w:rsidR="00D07716" w:rsidRPr="00774267">
        <w:rPr>
          <w:rFonts w:cs="Arial"/>
          <w:color w:val="000000"/>
          <w:szCs w:val="24"/>
        </w:rPr>
        <w:t xml:space="preserve">calificar o modificar </w:t>
      </w:r>
      <w:r w:rsidR="00D07716" w:rsidRPr="00774267">
        <w:rPr>
          <w:rFonts w:cs="Arial"/>
          <w:i/>
          <w:color w:val="000000"/>
          <w:szCs w:val="24"/>
        </w:rPr>
        <w:t>“los criterios, motivaciones, valoraciones probatorias o interpretaciones expuestas por el tribunal arbitral al adoptar el laudo”.</w:t>
      </w:r>
    </w:p>
    <w:p w14:paraId="2A00A77A" w14:textId="77777777" w:rsidR="00D07716" w:rsidRPr="00774267" w:rsidRDefault="00D07716" w:rsidP="002D4371">
      <w:pPr>
        <w:pStyle w:val="Textoindependiente22"/>
        <w:numPr>
          <w:ilvl w:val="12"/>
          <w:numId w:val="0"/>
        </w:numPr>
        <w:overflowPunct/>
        <w:autoSpaceDE/>
        <w:autoSpaceDN/>
        <w:adjustRightInd/>
        <w:textAlignment w:val="auto"/>
        <w:rPr>
          <w:rFonts w:cs="Arial"/>
          <w:b/>
          <w:i/>
          <w:color w:val="000000"/>
          <w:szCs w:val="24"/>
        </w:rPr>
      </w:pPr>
    </w:p>
    <w:p w14:paraId="7625AEBC" w14:textId="77777777" w:rsidR="00DF6F02" w:rsidRPr="00774267" w:rsidRDefault="00DF6F02"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 xml:space="preserve">Así las cosas, se concluye que </w:t>
      </w:r>
      <w:r w:rsidR="00DD012C" w:rsidRPr="00774267">
        <w:rPr>
          <w:rFonts w:cs="Arial"/>
          <w:szCs w:val="24"/>
        </w:rPr>
        <w:t xml:space="preserve">no procede la causal por fallo en conciencia y, </w:t>
      </w:r>
      <w:r w:rsidR="00EA4A9A" w:rsidRPr="00774267">
        <w:rPr>
          <w:rFonts w:cs="Arial"/>
          <w:szCs w:val="24"/>
        </w:rPr>
        <w:t xml:space="preserve">por ello, </w:t>
      </w:r>
      <w:r w:rsidR="006C2309" w:rsidRPr="00774267">
        <w:rPr>
          <w:rFonts w:cs="Arial"/>
          <w:szCs w:val="24"/>
        </w:rPr>
        <w:t xml:space="preserve">resulta </w:t>
      </w:r>
      <w:r w:rsidR="00DD012C" w:rsidRPr="00774267">
        <w:rPr>
          <w:rFonts w:cs="Arial"/>
          <w:szCs w:val="24"/>
        </w:rPr>
        <w:t>imperativo respetar la firmeza del laudo arbitral</w:t>
      </w:r>
      <w:r w:rsidRPr="00774267">
        <w:rPr>
          <w:rFonts w:cs="Arial"/>
          <w:szCs w:val="24"/>
        </w:rPr>
        <w:t>.</w:t>
      </w:r>
    </w:p>
    <w:p w14:paraId="1EAD6413" w14:textId="77777777" w:rsidR="00DF6F02" w:rsidRPr="00774267" w:rsidRDefault="00DF6F02" w:rsidP="002D4371">
      <w:pPr>
        <w:pStyle w:val="Textoindependiente22"/>
        <w:numPr>
          <w:ilvl w:val="12"/>
          <w:numId w:val="0"/>
        </w:numPr>
        <w:overflowPunct/>
        <w:autoSpaceDE/>
        <w:autoSpaceDN/>
        <w:adjustRightInd/>
        <w:textAlignment w:val="auto"/>
        <w:rPr>
          <w:rFonts w:cs="Arial"/>
          <w:szCs w:val="24"/>
        </w:rPr>
      </w:pPr>
    </w:p>
    <w:p w14:paraId="7CE4F774" w14:textId="77777777" w:rsidR="00960A80" w:rsidRPr="00774267" w:rsidRDefault="00DF6F02" w:rsidP="002D4371">
      <w:pPr>
        <w:pStyle w:val="Textoindependiente22"/>
        <w:numPr>
          <w:ilvl w:val="12"/>
          <w:numId w:val="0"/>
        </w:numPr>
        <w:overflowPunct/>
        <w:autoSpaceDE/>
        <w:autoSpaceDN/>
        <w:adjustRightInd/>
        <w:textAlignment w:val="auto"/>
        <w:rPr>
          <w:rFonts w:cs="Arial"/>
          <w:szCs w:val="24"/>
        </w:rPr>
      </w:pPr>
      <w:r w:rsidRPr="00774267">
        <w:rPr>
          <w:rFonts w:cs="Arial"/>
          <w:szCs w:val="24"/>
        </w:rPr>
        <w:t>Como conclu</w:t>
      </w:r>
      <w:r w:rsidR="00885F39" w:rsidRPr="00774267">
        <w:rPr>
          <w:rFonts w:cs="Arial"/>
          <w:szCs w:val="24"/>
        </w:rPr>
        <w:t>sión</w:t>
      </w:r>
      <w:r w:rsidR="00DD012C" w:rsidRPr="00774267">
        <w:rPr>
          <w:rFonts w:cs="Arial"/>
          <w:szCs w:val="24"/>
        </w:rPr>
        <w:t>,</w:t>
      </w:r>
      <w:r w:rsidR="00885F39" w:rsidRPr="00774267">
        <w:rPr>
          <w:rFonts w:cs="Arial"/>
          <w:szCs w:val="24"/>
        </w:rPr>
        <w:t xml:space="preserve"> se denegarán las pretensiones del recurso de anulación</w:t>
      </w:r>
      <w:r w:rsidR="00960A80" w:rsidRPr="00774267">
        <w:rPr>
          <w:rFonts w:cs="Arial"/>
          <w:szCs w:val="24"/>
        </w:rPr>
        <w:t>.</w:t>
      </w:r>
    </w:p>
    <w:p w14:paraId="76F61313" w14:textId="77777777" w:rsidR="00960A80" w:rsidRPr="00774267" w:rsidRDefault="00960A80" w:rsidP="00B5444F">
      <w:pPr>
        <w:rPr>
          <w:rFonts w:cs="Arial"/>
          <w:b/>
        </w:rPr>
      </w:pPr>
    </w:p>
    <w:p w14:paraId="5946BC82" w14:textId="77777777" w:rsidR="00B5444F" w:rsidRPr="00774267" w:rsidRDefault="00EA4A9A" w:rsidP="00B5444F">
      <w:pPr>
        <w:rPr>
          <w:rFonts w:cs="Arial"/>
          <w:b/>
        </w:rPr>
      </w:pPr>
      <w:r w:rsidRPr="00774267">
        <w:rPr>
          <w:rFonts w:cs="Arial"/>
          <w:b/>
        </w:rPr>
        <w:t>4</w:t>
      </w:r>
      <w:r w:rsidR="00B5444F" w:rsidRPr="00774267">
        <w:rPr>
          <w:rFonts w:cs="Arial"/>
          <w:b/>
        </w:rPr>
        <w:t>. Costas</w:t>
      </w:r>
    </w:p>
    <w:p w14:paraId="09BAA3C4" w14:textId="77777777" w:rsidR="00B5444F" w:rsidRPr="00774267" w:rsidRDefault="00B5444F" w:rsidP="00B5444F">
      <w:pPr>
        <w:rPr>
          <w:rFonts w:cs="Arial"/>
          <w:b/>
        </w:rPr>
      </w:pPr>
    </w:p>
    <w:p w14:paraId="58295631" w14:textId="77777777" w:rsidR="00B5444F" w:rsidRPr="00774267" w:rsidRDefault="00B5444F" w:rsidP="00B5444F">
      <w:pPr>
        <w:rPr>
          <w:rFonts w:cs="Arial"/>
        </w:rPr>
      </w:pPr>
      <w:r w:rsidRPr="00774267">
        <w:rPr>
          <w:rFonts w:cs="Arial"/>
        </w:rPr>
        <w:t xml:space="preserve">El inciso quinto del artículo 43 de la Ley 1563 de 2012 dispone </w:t>
      </w:r>
      <w:proofErr w:type="gramStart"/>
      <w:r w:rsidRPr="00774267">
        <w:rPr>
          <w:rFonts w:cs="Arial"/>
        </w:rPr>
        <w:t>que</w:t>
      </w:r>
      <w:proofErr w:type="gramEnd"/>
      <w:r w:rsidRPr="00774267">
        <w:rPr>
          <w:rFonts w:cs="Arial"/>
        </w:rPr>
        <w:t xml:space="preserve"> si ninguna de las causales prospera, se declarará infundado el recurso </w:t>
      </w:r>
      <w:r w:rsidR="00233896" w:rsidRPr="00774267">
        <w:rPr>
          <w:rFonts w:cs="Arial"/>
        </w:rPr>
        <w:t xml:space="preserve">de anulación </w:t>
      </w:r>
      <w:r w:rsidRPr="00774267">
        <w:rPr>
          <w:rFonts w:cs="Arial"/>
        </w:rPr>
        <w:t xml:space="preserve">y se condenará en costas al recurrente, salvo que </w:t>
      </w:r>
      <w:r w:rsidR="00EA4A9A" w:rsidRPr="00774267">
        <w:rPr>
          <w:rFonts w:cs="Arial"/>
        </w:rPr>
        <w:t xml:space="preserve">dicho recurso </w:t>
      </w:r>
      <w:r w:rsidRPr="00774267">
        <w:rPr>
          <w:rFonts w:cs="Arial"/>
        </w:rPr>
        <w:t xml:space="preserve">haya sido presentado por el Ministerio Público. </w:t>
      </w:r>
    </w:p>
    <w:p w14:paraId="44DC7449" w14:textId="77777777" w:rsidR="00B5444F" w:rsidRPr="00774267" w:rsidRDefault="00B5444F" w:rsidP="00B5444F">
      <w:pPr>
        <w:rPr>
          <w:rFonts w:cs="Arial"/>
        </w:rPr>
      </w:pPr>
    </w:p>
    <w:p w14:paraId="5865F03B" w14:textId="77777777" w:rsidR="00947C87" w:rsidRPr="00774267" w:rsidRDefault="00B5444F" w:rsidP="00B5444F">
      <w:pPr>
        <w:rPr>
          <w:rFonts w:cs="Arial"/>
        </w:rPr>
      </w:pPr>
      <w:r w:rsidRPr="00774267">
        <w:rPr>
          <w:rFonts w:cs="Arial"/>
        </w:rPr>
        <w:t xml:space="preserve">En </w:t>
      </w:r>
      <w:r w:rsidR="001B3C18" w:rsidRPr="00774267">
        <w:rPr>
          <w:rFonts w:cs="Arial"/>
        </w:rPr>
        <w:t>e</w:t>
      </w:r>
      <w:r w:rsidRPr="00774267">
        <w:rPr>
          <w:rFonts w:cs="Arial"/>
        </w:rPr>
        <w:t xml:space="preserve">ste asunto no aparecen acreditados expensas o gastos que se hubieren efectuado con ocasión del recurso de anulación, razón por la cual sólo habrá lugar a la condena por las agencias en derecho que se estiman </w:t>
      </w:r>
      <w:r w:rsidR="00ED7A5E" w:rsidRPr="00774267">
        <w:rPr>
          <w:rFonts w:cs="Arial"/>
        </w:rPr>
        <w:t xml:space="preserve">en este caso </w:t>
      </w:r>
      <w:r w:rsidRPr="00774267">
        <w:rPr>
          <w:rFonts w:cs="Arial"/>
        </w:rPr>
        <w:t>de</w:t>
      </w:r>
      <w:r w:rsidR="00C707F3" w:rsidRPr="00774267">
        <w:rPr>
          <w:rFonts w:cs="Arial"/>
        </w:rPr>
        <w:t>ntro del marco del Acuerdo</w:t>
      </w:r>
      <w:r w:rsidRPr="00774267">
        <w:rPr>
          <w:rFonts w:cs="Arial"/>
        </w:rPr>
        <w:t xml:space="preserve"> </w:t>
      </w:r>
      <w:r w:rsidR="00C707F3" w:rsidRPr="00774267">
        <w:rPr>
          <w:rFonts w:cs="Arial"/>
          <w:lang w:val="es-CO"/>
        </w:rPr>
        <w:t>No. 1887 del 26 de junio de 2003</w:t>
      </w:r>
      <w:r w:rsidR="00300E5D" w:rsidRPr="00774267">
        <w:rPr>
          <w:rFonts w:cs="Arial"/>
          <w:lang w:val="es-CO"/>
        </w:rPr>
        <w:t>,</w:t>
      </w:r>
      <w:r w:rsidR="008742C5" w:rsidRPr="00774267">
        <w:rPr>
          <w:rFonts w:cs="Arial"/>
          <w:lang w:val="es-CO"/>
        </w:rPr>
        <w:t xml:space="preserve"> expedido por la Sala Administrativa del Consejo Superior de la Judicatura y de </w:t>
      </w:r>
      <w:r w:rsidR="006B6FA3" w:rsidRPr="00774267">
        <w:rPr>
          <w:rFonts w:cs="Arial"/>
          <w:lang w:val="es-CO"/>
        </w:rPr>
        <w:t xml:space="preserve">conformidad </w:t>
      </w:r>
      <w:r w:rsidRPr="00774267">
        <w:rPr>
          <w:rFonts w:cs="Arial"/>
        </w:rPr>
        <w:t>c</w:t>
      </w:r>
      <w:r w:rsidR="00947C87" w:rsidRPr="00774267">
        <w:rPr>
          <w:rFonts w:cs="Arial"/>
        </w:rPr>
        <w:t>o</w:t>
      </w:r>
      <w:r w:rsidRPr="00774267">
        <w:rPr>
          <w:rFonts w:cs="Arial"/>
        </w:rPr>
        <w:t xml:space="preserve">n la </w:t>
      </w:r>
      <w:r w:rsidR="008742C5" w:rsidRPr="00774267">
        <w:rPr>
          <w:rFonts w:cs="Arial"/>
        </w:rPr>
        <w:t xml:space="preserve">complejidad y </w:t>
      </w:r>
      <w:r w:rsidR="001B3C18" w:rsidRPr="00774267">
        <w:rPr>
          <w:rFonts w:cs="Arial"/>
        </w:rPr>
        <w:t xml:space="preserve">la </w:t>
      </w:r>
      <w:r w:rsidR="008742C5" w:rsidRPr="00774267">
        <w:rPr>
          <w:rFonts w:cs="Arial"/>
        </w:rPr>
        <w:t xml:space="preserve">duración de la </w:t>
      </w:r>
      <w:r w:rsidR="00947C87" w:rsidRPr="00774267">
        <w:rPr>
          <w:rFonts w:cs="Arial"/>
        </w:rPr>
        <w:t>actuación que tuvo que desplegar la parte</w:t>
      </w:r>
      <w:r w:rsidR="00ED7A5E" w:rsidRPr="00774267">
        <w:rPr>
          <w:rFonts w:cs="Arial"/>
        </w:rPr>
        <w:t xml:space="preserve"> </w:t>
      </w:r>
      <w:r w:rsidR="00A75F6B" w:rsidRPr="00774267">
        <w:rPr>
          <w:rFonts w:cs="Arial"/>
        </w:rPr>
        <w:t xml:space="preserve">vencedora </w:t>
      </w:r>
      <w:r w:rsidR="00ED7A5E" w:rsidRPr="00774267">
        <w:rPr>
          <w:rFonts w:cs="Arial"/>
        </w:rPr>
        <w:t>dentro d</w:t>
      </w:r>
      <w:r w:rsidR="00947C87" w:rsidRPr="00774267">
        <w:rPr>
          <w:rFonts w:cs="Arial"/>
        </w:rPr>
        <w:t xml:space="preserve">el </w:t>
      </w:r>
      <w:r w:rsidR="00A75F6B" w:rsidRPr="00774267">
        <w:rPr>
          <w:rFonts w:cs="Arial"/>
        </w:rPr>
        <w:t>respectivo recurso.</w:t>
      </w:r>
      <w:r w:rsidR="00947C87" w:rsidRPr="00774267">
        <w:rPr>
          <w:rFonts w:cs="Arial"/>
        </w:rPr>
        <w:t xml:space="preserve"> </w:t>
      </w:r>
    </w:p>
    <w:p w14:paraId="59BDEDDC" w14:textId="77777777" w:rsidR="001D10A0" w:rsidRPr="00774267" w:rsidRDefault="001D10A0" w:rsidP="00B5444F">
      <w:pPr>
        <w:rPr>
          <w:rFonts w:cs="Arial"/>
        </w:rPr>
      </w:pPr>
    </w:p>
    <w:p w14:paraId="665AF65F" w14:textId="77777777" w:rsidR="00176991" w:rsidRPr="00774267" w:rsidRDefault="001D10A0" w:rsidP="00B5444F">
      <w:pPr>
        <w:rPr>
          <w:rFonts w:cs="Arial"/>
        </w:rPr>
      </w:pPr>
      <w:r w:rsidRPr="00774267">
        <w:rPr>
          <w:rFonts w:cs="Arial"/>
        </w:rPr>
        <w:t>Por lo anterior</w:t>
      </w:r>
      <w:r w:rsidR="00300E5D" w:rsidRPr="00774267">
        <w:rPr>
          <w:rFonts w:cs="Arial"/>
        </w:rPr>
        <w:t>,</w:t>
      </w:r>
      <w:r w:rsidRPr="00774267">
        <w:rPr>
          <w:rFonts w:cs="Arial"/>
        </w:rPr>
        <w:t xml:space="preserve"> </w:t>
      </w:r>
      <w:r w:rsidR="00ED7A5E" w:rsidRPr="00774267">
        <w:rPr>
          <w:rFonts w:cs="Arial"/>
        </w:rPr>
        <w:t xml:space="preserve">se fijan las agencias en derecho </w:t>
      </w:r>
      <w:r w:rsidR="00233896" w:rsidRPr="00774267">
        <w:rPr>
          <w:rFonts w:cs="Arial"/>
        </w:rPr>
        <w:t xml:space="preserve">en la suma equivalente a veinte (20) salarios mínimos legales mensuales, </w:t>
      </w:r>
      <w:r w:rsidR="00A75F6B" w:rsidRPr="00774267">
        <w:rPr>
          <w:rFonts w:cs="Arial"/>
        </w:rPr>
        <w:t xml:space="preserve">a cargo de la </w:t>
      </w:r>
      <w:r w:rsidR="00233896" w:rsidRPr="00774267">
        <w:rPr>
          <w:rFonts w:cs="Arial"/>
        </w:rPr>
        <w:t xml:space="preserve">AGENCIA NACIONAL DE INFRAESTURICTURA ANI, </w:t>
      </w:r>
      <w:r w:rsidR="00A75F6B" w:rsidRPr="00774267">
        <w:rPr>
          <w:rFonts w:cs="Arial"/>
        </w:rPr>
        <w:t xml:space="preserve">parte que presentó el recurso extraordinario de anulación que será denegado </w:t>
      </w:r>
      <w:r w:rsidR="00ED7A5E" w:rsidRPr="00774267">
        <w:rPr>
          <w:rFonts w:cs="Arial"/>
        </w:rPr>
        <w:t xml:space="preserve">en </w:t>
      </w:r>
      <w:r w:rsidR="00380369" w:rsidRPr="00774267">
        <w:rPr>
          <w:rFonts w:cs="Arial"/>
        </w:rPr>
        <w:t>esta providencia</w:t>
      </w:r>
      <w:r w:rsidR="00233896" w:rsidRPr="00774267">
        <w:rPr>
          <w:rFonts w:cs="Arial"/>
        </w:rPr>
        <w:t xml:space="preserve">. </w:t>
      </w:r>
    </w:p>
    <w:p w14:paraId="4AAA9877" w14:textId="77777777" w:rsidR="00233896" w:rsidRPr="00774267" w:rsidRDefault="00233896" w:rsidP="00B5444F">
      <w:pPr>
        <w:rPr>
          <w:rFonts w:cs="Arial"/>
        </w:rPr>
      </w:pPr>
    </w:p>
    <w:p w14:paraId="0DA7F409" w14:textId="77777777" w:rsidR="00B5444F" w:rsidRPr="00774267" w:rsidRDefault="00B5444F" w:rsidP="00B5444F">
      <w:pPr>
        <w:rPr>
          <w:rFonts w:cs="Arial"/>
          <w:bCs/>
        </w:rPr>
      </w:pPr>
      <w:r w:rsidRPr="00774267">
        <w:rPr>
          <w:rFonts w:cs="Arial"/>
          <w:bCs/>
        </w:rPr>
        <w:t xml:space="preserve">En mérito de lo expuesto la Subsección </w:t>
      </w:r>
      <w:r w:rsidR="001D10A0" w:rsidRPr="00774267">
        <w:rPr>
          <w:rFonts w:cs="Arial"/>
          <w:bCs/>
        </w:rPr>
        <w:t>A</w:t>
      </w:r>
      <w:r w:rsidRPr="00774267">
        <w:rPr>
          <w:rFonts w:cs="Arial"/>
          <w:bCs/>
        </w:rPr>
        <w:t xml:space="preserve"> de la Sección Tercera de la Sala de lo Contencioso Administrativo del Consejo de Estado, administrando justicia en nombre la de la República de Colombia y por autoridad de la ley, </w:t>
      </w:r>
    </w:p>
    <w:p w14:paraId="7F49B8D6" w14:textId="77777777" w:rsidR="001D10A0" w:rsidRPr="00774267" w:rsidRDefault="001D10A0" w:rsidP="002D4371">
      <w:pPr>
        <w:pStyle w:val="Textoindependiente22"/>
        <w:numPr>
          <w:ilvl w:val="12"/>
          <w:numId w:val="0"/>
        </w:numPr>
        <w:overflowPunct/>
        <w:autoSpaceDE/>
        <w:autoSpaceDN/>
        <w:adjustRightInd/>
        <w:textAlignment w:val="auto"/>
        <w:rPr>
          <w:rFonts w:cs="Arial"/>
          <w:szCs w:val="24"/>
        </w:rPr>
      </w:pPr>
    </w:p>
    <w:p w14:paraId="4A44D317" w14:textId="77777777" w:rsidR="00ED77A2" w:rsidRPr="00774267" w:rsidRDefault="00ED77A2" w:rsidP="0009687C">
      <w:pPr>
        <w:rPr>
          <w:rFonts w:cs="Arial"/>
        </w:rPr>
      </w:pPr>
    </w:p>
    <w:p w14:paraId="4D63022E" w14:textId="77777777" w:rsidR="00EA2611" w:rsidRPr="00774267" w:rsidRDefault="00EA2611" w:rsidP="00EA2611">
      <w:pPr>
        <w:pStyle w:val="Ttulo5"/>
        <w:rPr>
          <w:rFonts w:cs="Arial"/>
          <w:bCs/>
          <w:sz w:val="24"/>
          <w:szCs w:val="24"/>
        </w:rPr>
      </w:pPr>
      <w:r w:rsidRPr="00774267">
        <w:rPr>
          <w:rFonts w:cs="Arial"/>
          <w:bCs/>
          <w:sz w:val="24"/>
          <w:szCs w:val="24"/>
        </w:rPr>
        <w:t xml:space="preserve">F A L </w:t>
      </w:r>
      <w:proofErr w:type="spellStart"/>
      <w:r w:rsidRPr="00774267">
        <w:rPr>
          <w:rFonts w:cs="Arial"/>
          <w:bCs/>
          <w:sz w:val="24"/>
          <w:szCs w:val="24"/>
        </w:rPr>
        <w:t>L</w:t>
      </w:r>
      <w:proofErr w:type="spellEnd"/>
      <w:r w:rsidRPr="00774267">
        <w:rPr>
          <w:rFonts w:cs="Arial"/>
          <w:bCs/>
          <w:sz w:val="24"/>
          <w:szCs w:val="24"/>
        </w:rPr>
        <w:t xml:space="preserve"> A</w:t>
      </w:r>
    </w:p>
    <w:p w14:paraId="6A577CF8" w14:textId="77777777" w:rsidR="00EA2611" w:rsidRPr="00774267" w:rsidRDefault="00EA2611" w:rsidP="00EA2611">
      <w:pPr>
        <w:widowControl w:val="0"/>
        <w:autoSpaceDE w:val="0"/>
        <w:autoSpaceDN w:val="0"/>
        <w:adjustRightInd w:val="0"/>
        <w:rPr>
          <w:rFonts w:cs="Arial"/>
          <w:b/>
        </w:rPr>
      </w:pPr>
    </w:p>
    <w:p w14:paraId="39622344" w14:textId="77777777" w:rsidR="00E91531" w:rsidRPr="00774267" w:rsidRDefault="00E91531" w:rsidP="00E91531">
      <w:pPr>
        <w:widowControl w:val="0"/>
        <w:autoSpaceDE w:val="0"/>
        <w:autoSpaceDN w:val="0"/>
        <w:adjustRightInd w:val="0"/>
        <w:rPr>
          <w:rFonts w:cs="Arial"/>
        </w:rPr>
      </w:pPr>
      <w:r w:rsidRPr="00774267">
        <w:rPr>
          <w:rFonts w:cs="Arial"/>
          <w:b/>
        </w:rPr>
        <w:t xml:space="preserve">PRIMERO: </w:t>
      </w:r>
      <w:r w:rsidRPr="00774267">
        <w:rPr>
          <w:rFonts w:cs="Arial"/>
        </w:rPr>
        <w:t xml:space="preserve">De acuerdo con lo expuesto en la parte inicial de esta providencia, se acepta el impedimento presentado por el </w:t>
      </w:r>
      <w:proofErr w:type="gramStart"/>
      <w:r w:rsidRPr="00774267">
        <w:rPr>
          <w:rFonts w:cs="Arial"/>
        </w:rPr>
        <w:t>Consejero</w:t>
      </w:r>
      <w:proofErr w:type="gramEnd"/>
      <w:r w:rsidRPr="00774267">
        <w:rPr>
          <w:rFonts w:cs="Arial"/>
        </w:rPr>
        <w:t xml:space="preserve"> Hernán Andrade Rincón.</w:t>
      </w:r>
    </w:p>
    <w:p w14:paraId="04EFB422" w14:textId="77777777" w:rsidR="00E91531" w:rsidRPr="00774267" w:rsidRDefault="00E91531" w:rsidP="00233896">
      <w:pPr>
        <w:widowControl w:val="0"/>
        <w:rPr>
          <w:rFonts w:cs="Arial"/>
          <w:b/>
          <w:bCs/>
        </w:rPr>
      </w:pPr>
    </w:p>
    <w:p w14:paraId="7ADE3A50" w14:textId="77777777" w:rsidR="001D10A0" w:rsidRPr="00774267" w:rsidRDefault="00E91531" w:rsidP="00233896">
      <w:pPr>
        <w:widowControl w:val="0"/>
        <w:rPr>
          <w:rFonts w:cs="Arial"/>
          <w:bCs/>
        </w:rPr>
      </w:pPr>
      <w:r w:rsidRPr="00774267">
        <w:rPr>
          <w:rFonts w:cs="Arial"/>
          <w:b/>
          <w:bCs/>
        </w:rPr>
        <w:t>SEGUNDO</w:t>
      </w:r>
      <w:r w:rsidR="001D10A0" w:rsidRPr="00774267">
        <w:rPr>
          <w:rFonts w:cs="Arial"/>
          <w:b/>
          <w:bCs/>
        </w:rPr>
        <w:t xml:space="preserve">: DECLARAR INFUNDADO </w:t>
      </w:r>
      <w:r w:rsidR="001D10A0" w:rsidRPr="00774267">
        <w:rPr>
          <w:rFonts w:cs="Arial"/>
          <w:bCs/>
        </w:rPr>
        <w:t xml:space="preserve">el recurso de anulación propuesto por </w:t>
      </w:r>
      <w:r w:rsidR="00233896" w:rsidRPr="00774267">
        <w:rPr>
          <w:rFonts w:cs="Arial"/>
          <w:bCs/>
        </w:rPr>
        <w:t>la AGENCIA NACIONAL DE INFRAESTRUCTURA</w:t>
      </w:r>
      <w:r w:rsidR="00EA4A9A" w:rsidRPr="00774267">
        <w:rPr>
          <w:rFonts w:cs="Arial"/>
          <w:bCs/>
        </w:rPr>
        <w:t xml:space="preserve"> -</w:t>
      </w:r>
      <w:r w:rsidR="00233896" w:rsidRPr="00774267">
        <w:rPr>
          <w:rFonts w:cs="Arial"/>
          <w:bCs/>
        </w:rPr>
        <w:t xml:space="preserve"> ANI, contra el laudo arbitral de 21 de noviembre de 2016, mediante el cual se resolvieron las controversias entre esa entidad y la sociedad CSS Constructores S.A., en el </w:t>
      </w:r>
      <w:r w:rsidR="00EA4A9A" w:rsidRPr="00774267">
        <w:rPr>
          <w:rFonts w:cs="Arial"/>
          <w:bCs/>
        </w:rPr>
        <w:t>C</w:t>
      </w:r>
      <w:r w:rsidR="00233896" w:rsidRPr="00774267">
        <w:rPr>
          <w:rFonts w:cs="Arial"/>
          <w:bCs/>
        </w:rPr>
        <w:t xml:space="preserve">ontrato de </w:t>
      </w:r>
      <w:r w:rsidR="00EA4A9A" w:rsidRPr="00774267">
        <w:rPr>
          <w:rFonts w:cs="Arial"/>
          <w:bCs/>
        </w:rPr>
        <w:t>C</w:t>
      </w:r>
      <w:r w:rsidR="00233896" w:rsidRPr="00774267">
        <w:rPr>
          <w:rFonts w:cs="Arial"/>
          <w:bCs/>
        </w:rPr>
        <w:t>oncesión 0849 de 1995.</w:t>
      </w:r>
    </w:p>
    <w:p w14:paraId="3A701795" w14:textId="77777777" w:rsidR="00233896" w:rsidRPr="00774267" w:rsidRDefault="00233896" w:rsidP="00233896">
      <w:pPr>
        <w:widowControl w:val="0"/>
        <w:rPr>
          <w:rFonts w:cs="Arial"/>
          <w:b/>
          <w:bCs/>
          <w:lang w:val="es-ES_tradnl"/>
        </w:rPr>
      </w:pPr>
    </w:p>
    <w:p w14:paraId="7945872B" w14:textId="77777777" w:rsidR="00634AB2" w:rsidRPr="00774267" w:rsidRDefault="00E91531" w:rsidP="001D10A0">
      <w:pPr>
        <w:rPr>
          <w:rFonts w:cs="Arial"/>
          <w:bCs/>
        </w:rPr>
      </w:pPr>
      <w:r w:rsidRPr="00774267">
        <w:rPr>
          <w:rFonts w:cs="Arial"/>
          <w:b/>
          <w:bCs/>
        </w:rPr>
        <w:lastRenderedPageBreak/>
        <w:t>TERCERO</w:t>
      </w:r>
      <w:r w:rsidR="001D10A0" w:rsidRPr="00774267">
        <w:rPr>
          <w:rFonts w:cs="Arial"/>
          <w:b/>
          <w:bCs/>
        </w:rPr>
        <w:t xml:space="preserve">: CONDENAR </w:t>
      </w:r>
      <w:r w:rsidR="001D10A0" w:rsidRPr="00774267">
        <w:rPr>
          <w:rFonts w:cs="Arial"/>
          <w:bCs/>
        </w:rPr>
        <w:t>en costas a</w:t>
      </w:r>
      <w:r w:rsidR="00233896" w:rsidRPr="00774267">
        <w:rPr>
          <w:rFonts w:cs="Arial"/>
          <w:bCs/>
        </w:rPr>
        <w:t xml:space="preserve"> la AGENCIA NACIONAL DE INFRAESTRUCTURA</w:t>
      </w:r>
      <w:r w:rsidR="00F33F1A" w:rsidRPr="00774267">
        <w:rPr>
          <w:rFonts w:cs="Arial"/>
          <w:bCs/>
        </w:rPr>
        <w:t>-</w:t>
      </w:r>
      <w:r w:rsidR="00233896" w:rsidRPr="00774267">
        <w:rPr>
          <w:rFonts w:cs="Arial"/>
          <w:bCs/>
        </w:rPr>
        <w:t xml:space="preserve"> ANI </w:t>
      </w:r>
      <w:r w:rsidR="001D10A0" w:rsidRPr="00774267">
        <w:rPr>
          <w:rFonts w:cs="Arial"/>
          <w:bCs/>
        </w:rPr>
        <w:t>y</w:t>
      </w:r>
      <w:r w:rsidR="00233896" w:rsidRPr="00774267">
        <w:rPr>
          <w:rFonts w:cs="Arial"/>
          <w:bCs/>
        </w:rPr>
        <w:t>,</w:t>
      </w:r>
      <w:r w:rsidR="001D10A0" w:rsidRPr="00774267">
        <w:rPr>
          <w:rFonts w:cs="Arial"/>
          <w:bCs/>
        </w:rPr>
        <w:t xml:space="preserve"> por consiguiente</w:t>
      </w:r>
      <w:r w:rsidR="00233896" w:rsidRPr="00774267">
        <w:rPr>
          <w:rFonts w:cs="Arial"/>
          <w:bCs/>
        </w:rPr>
        <w:t>,</w:t>
      </w:r>
      <w:r w:rsidR="001D10A0" w:rsidRPr="00774267">
        <w:rPr>
          <w:rFonts w:cs="Arial"/>
          <w:bCs/>
        </w:rPr>
        <w:t xml:space="preserve"> </w:t>
      </w:r>
      <w:r w:rsidR="00233896" w:rsidRPr="00774267">
        <w:rPr>
          <w:rFonts w:cs="Arial"/>
          <w:bCs/>
        </w:rPr>
        <w:t xml:space="preserve">esa entidad deberá pagar a favor de </w:t>
      </w:r>
      <w:r w:rsidR="00F33F1A" w:rsidRPr="00774267">
        <w:rPr>
          <w:rFonts w:cs="Arial"/>
          <w:bCs/>
        </w:rPr>
        <w:t>C</w:t>
      </w:r>
      <w:r w:rsidR="00233896" w:rsidRPr="00774267">
        <w:rPr>
          <w:rFonts w:cs="Arial"/>
          <w:bCs/>
        </w:rPr>
        <w:t>SS Constructores S.A.</w:t>
      </w:r>
      <w:r w:rsidR="00AB61B4" w:rsidRPr="00774267">
        <w:rPr>
          <w:rFonts w:cs="Arial"/>
          <w:b/>
        </w:rPr>
        <w:t xml:space="preserve">, </w:t>
      </w:r>
      <w:r w:rsidR="001D10A0" w:rsidRPr="00774267">
        <w:rPr>
          <w:rFonts w:cs="Arial"/>
          <w:bCs/>
        </w:rPr>
        <w:t xml:space="preserve">la suma </w:t>
      </w:r>
      <w:r w:rsidR="00634AB2" w:rsidRPr="00774267">
        <w:rPr>
          <w:rFonts w:cs="Arial"/>
          <w:bCs/>
        </w:rPr>
        <w:t xml:space="preserve">equivalente a </w:t>
      </w:r>
      <w:r w:rsidR="00233896" w:rsidRPr="00774267">
        <w:rPr>
          <w:rFonts w:cs="Arial"/>
          <w:bCs/>
        </w:rPr>
        <w:t xml:space="preserve">veinte </w:t>
      </w:r>
      <w:r w:rsidR="00A14C71" w:rsidRPr="00774267">
        <w:rPr>
          <w:rFonts w:cs="Arial"/>
          <w:bCs/>
        </w:rPr>
        <w:t>(</w:t>
      </w:r>
      <w:r w:rsidR="00233896" w:rsidRPr="00774267">
        <w:rPr>
          <w:rFonts w:cs="Arial"/>
          <w:bCs/>
        </w:rPr>
        <w:t>20</w:t>
      </w:r>
      <w:r w:rsidR="00A14C71" w:rsidRPr="00774267">
        <w:rPr>
          <w:rFonts w:cs="Arial"/>
          <w:bCs/>
        </w:rPr>
        <w:t xml:space="preserve">) </w:t>
      </w:r>
      <w:r w:rsidR="00634AB2" w:rsidRPr="00774267">
        <w:rPr>
          <w:rFonts w:cs="Arial"/>
          <w:bCs/>
        </w:rPr>
        <w:t>salarios mínimos legales mensuales vigentes.</w:t>
      </w:r>
    </w:p>
    <w:p w14:paraId="7B5F66DE" w14:textId="77777777" w:rsidR="001D10A0" w:rsidRPr="00774267" w:rsidRDefault="001D10A0" w:rsidP="001D10A0">
      <w:pPr>
        <w:rPr>
          <w:rFonts w:cs="Arial"/>
          <w:b/>
          <w:bCs/>
        </w:rPr>
      </w:pPr>
    </w:p>
    <w:p w14:paraId="15FA425F" w14:textId="77777777" w:rsidR="004B6280" w:rsidRPr="00774267" w:rsidRDefault="004B6280" w:rsidP="001D10A0">
      <w:pPr>
        <w:rPr>
          <w:rFonts w:cs="Arial"/>
          <w:b/>
          <w:bCs/>
        </w:rPr>
      </w:pPr>
    </w:p>
    <w:p w14:paraId="3CD0E365" w14:textId="77777777" w:rsidR="00220875" w:rsidRPr="00774267" w:rsidRDefault="00E91531" w:rsidP="001D10A0">
      <w:pPr>
        <w:rPr>
          <w:rFonts w:cs="Arial"/>
          <w:bCs/>
        </w:rPr>
      </w:pPr>
      <w:r w:rsidRPr="00774267">
        <w:rPr>
          <w:rFonts w:cs="Arial"/>
          <w:b/>
          <w:bCs/>
        </w:rPr>
        <w:t>CUARTO</w:t>
      </w:r>
      <w:r w:rsidR="001D10A0" w:rsidRPr="00774267">
        <w:rPr>
          <w:rFonts w:cs="Arial"/>
          <w:b/>
          <w:bCs/>
        </w:rPr>
        <w:t xml:space="preserve">: </w:t>
      </w:r>
      <w:r w:rsidR="00AB61B4" w:rsidRPr="00774267">
        <w:rPr>
          <w:rFonts w:cs="Arial"/>
          <w:bCs/>
        </w:rPr>
        <w:t xml:space="preserve">En firme la providencia, </w:t>
      </w:r>
      <w:r w:rsidR="00233896" w:rsidRPr="00774267">
        <w:rPr>
          <w:rFonts w:cs="Arial"/>
          <w:bCs/>
        </w:rPr>
        <w:t>por secretar</w:t>
      </w:r>
      <w:r w:rsidR="00220875" w:rsidRPr="00774267">
        <w:rPr>
          <w:rFonts w:cs="Arial"/>
          <w:bCs/>
        </w:rPr>
        <w:t>ía</w:t>
      </w:r>
      <w:r w:rsidR="00233896" w:rsidRPr="00774267">
        <w:rPr>
          <w:rFonts w:cs="Arial"/>
          <w:bCs/>
        </w:rPr>
        <w:t xml:space="preserve"> </w:t>
      </w:r>
      <w:r w:rsidR="00AB61B4" w:rsidRPr="00774267">
        <w:rPr>
          <w:rFonts w:cs="Arial"/>
          <w:bCs/>
        </w:rPr>
        <w:t xml:space="preserve">se ordena </w:t>
      </w:r>
      <w:r w:rsidR="00233896" w:rsidRPr="00774267">
        <w:rPr>
          <w:rFonts w:cs="Arial"/>
          <w:bCs/>
        </w:rPr>
        <w:t xml:space="preserve">expedir copias a las partes y </w:t>
      </w:r>
      <w:r w:rsidR="001D10A0" w:rsidRPr="00774267">
        <w:rPr>
          <w:rFonts w:cs="Arial"/>
          <w:bCs/>
        </w:rPr>
        <w:t>devolver el expediente al Tribunal de Arbitramento</w:t>
      </w:r>
      <w:r w:rsidR="00220875" w:rsidRPr="00774267">
        <w:rPr>
          <w:rFonts w:cs="Arial"/>
          <w:bCs/>
        </w:rPr>
        <w:t>.</w:t>
      </w:r>
    </w:p>
    <w:p w14:paraId="34B06BF7" w14:textId="77777777" w:rsidR="001D10A0" w:rsidRPr="00774267" w:rsidRDefault="001D10A0" w:rsidP="00FC5FEE">
      <w:pPr>
        <w:spacing w:line="240" w:lineRule="auto"/>
        <w:jc w:val="center"/>
        <w:rPr>
          <w:rFonts w:cs="Arial"/>
          <w:b/>
          <w:bCs/>
        </w:rPr>
      </w:pPr>
    </w:p>
    <w:p w14:paraId="6F2AA723" w14:textId="77777777" w:rsidR="00FC5FEE" w:rsidRPr="00774267" w:rsidRDefault="00FC5FEE" w:rsidP="00FC5FEE">
      <w:pPr>
        <w:spacing w:line="240" w:lineRule="auto"/>
        <w:jc w:val="center"/>
        <w:rPr>
          <w:rFonts w:cs="Arial"/>
          <w:b/>
          <w:bCs/>
        </w:rPr>
      </w:pPr>
    </w:p>
    <w:p w14:paraId="525AE3B3" w14:textId="77777777" w:rsidR="00EA2611" w:rsidRPr="00774267" w:rsidRDefault="00EA2611" w:rsidP="00FC5FEE">
      <w:pPr>
        <w:spacing w:line="240" w:lineRule="auto"/>
        <w:jc w:val="center"/>
        <w:rPr>
          <w:rFonts w:cs="Arial"/>
          <w:b/>
          <w:bCs/>
          <w:noProof/>
        </w:rPr>
      </w:pPr>
    </w:p>
    <w:p w14:paraId="03DE18C8" w14:textId="77777777" w:rsidR="00EA2611" w:rsidRPr="00774267" w:rsidRDefault="00EA2611" w:rsidP="00FC5FEE">
      <w:pPr>
        <w:spacing w:line="240" w:lineRule="auto"/>
        <w:jc w:val="center"/>
        <w:rPr>
          <w:rFonts w:cs="Arial"/>
          <w:b/>
          <w:bCs/>
          <w:noProof/>
        </w:rPr>
      </w:pPr>
      <w:r w:rsidRPr="00774267">
        <w:rPr>
          <w:rFonts w:cs="Arial"/>
          <w:b/>
          <w:bCs/>
          <w:noProof/>
        </w:rPr>
        <w:t>CÓPIESE, NOTIFÍQUESE Y CÚMPLASE</w:t>
      </w:r>
    </w:p>
    <w:p w14:paraId="7A696075" w14:textId="77777777" w:rsidR="006B6FA3" w:rsidRPr="00774267" w:rsidRDefault="006B6FA3" w:rsidP="00FC5FEE">
      <w:pPr>
        <w:spacing w:line="240" w:lineRule="auto"/>
        <w:jc w:val="center"/>
        <w:rPr>
          <w:rFonts w:cs="Arial"/>
        </w:rPr>
      </w:pPr>
    </w:p>
    <w:p w14:paraId="37A6645C" w14:textId="77777777" w:rsidR="00CC4B8A" w:rsidRPr="00774267" w:rsidRDefault="00CC4B8A" w:rsidP="00FC5FEE">
      <w:pPr>
        <w:spacing w:line="240" w:lineRule="auto"/>
        <w:jc w:val="center"/>
        <w:rPr>
          <w:rFonts w:cs="Arial"/>
        </w:rPr>
      </w:pPr>
    </w:p>
    <w:p w14:paraId="05650101" w14:textId="77777777" w:rsidR="00EA2611" w:rsidRPr="00774267" w:rsidRDefault="00EA2611" w:rsidP="00FC5FEE">
      <w:pPr>
        <w:spacing w:line="240" w:lineRule="auto"/>
        <w:jc w:val="center"/>
        <w:rPr>
          <w:rFonts w:cs="Arial"/>
        </w:rPr>
      </w:pPr>
    </w:p>
    <w:p w14:paraId="0EE44634" w14:textId="77777777" w:rsidR="00E91531" w:rsidRPr="00774267" w:rsidRDefault="001F48D2" w:rsidP="00FC5FEE">
      <w:pPr>
        <w:widowControl w:val="0"/>
        <w:autoSpaceDE w:val="0"/>
        <w:autoSpaceDN w:val="0"/>
        <w:adjustRightInd w:val="0"/>
        <w:spacing w:line="240" w:lineRule="auto"/>
        <w:jc w:val="center"/>
        <w:rPr>
          <w:rFonts w:cs="Arial"/>
          <w:b/>
          <w:lang w:val="es-CO"/>
        </w:rPr>
      </w:pPr>
      <w:r w:rsidRPr="00774267">
        <w:rPr>
          <w:rFonts w:cs="Arial"/>
          <w:b/>
          <w:lang w:val="es-CO"/>
        </w:rPr>
        <w:t>MARTA NUBIA VELÁSQUEZ RICO</w:t>
      </w:r>
    </w:p>
    <w:p w14:paraId="6665ED43" w14:textId="77777777" w:rsidR="00E91531" w:rsidRPr="00774267" w:rsidRDefault="00E91531" w:rsidP="00FC5FEE">
      <w:pPr>
        <w:widowControl w:val="0"/>
        <w:autoSpaceDE w:val="0"/>
        <w:autoSpaceDN w:val="0"/>
        <w:adjustRightInd w:val="0"/>
        <w:spacing w:line="240" w:lineRule="auto"/>
        <w:jc w:val="center"/>
        <w:rPr>
          <w:rFonts w:cs="Arial"/>
          <w:b/>
          <w:lang w:val="es-CO"/>
        </w:rPr>
      </w:pPr>
    </w:p>
    <w:p w14:paraId="6F4C2244" w14:textId="77777777" w:rsidR="00E91531" w:rsidRPr="00774267" w:rsidRDefault="00E91531" w:rsidP="00FC5FEE">
      <w:pPr>
        <w:widowControl w:val="0"/>
        <w:autoSpaceDE w:val="0"/>
        <w:autoSpaceDN w:val="0"/>
        <w:adjustRightInd w:val="0"/>
        <w:spacing w:line="240" w:lineRule="auto"/>
        <w:jc w:val="center"/>
        <w:rPr>
          <w:rFonts w:cs="Arial"/>
          <w:b/>
          <w:lang w:val="es-CO"/>
        </w:rPr>
      </w:pPr>
    </w:p>
    <w:p w14:paraId="56CB7F5E" w14:textId="77777777" w:rsidR="00E91531" w:rsidRPr="00774267" w:rsidRDefault="00E91531" w:rsidP="00FC5FEE">
      <w:pPr>
        <w:widowControl w:val="0"/>
        <w:autoSpaceDE w:val="0"/>
        <w:autoSpaceDN w:val="0"/>
        <w:adjustRightInd w:val="0"/>
        <w:spacing w:line="240" w:lineRule="auto"/>
        <w:jc w:val="center"/>
        <w:rPr>
          <w:rFonts w:cs="Arial"/>
          <w:b/>
          <w:lang w:val="es-CO"/>
        </w:rPr>
      </w:pPr>
    </w:p>
    <w:p w14:paraId="57E20BF1" w14:textId="77777777" w:rsidR="00EA2611" w:rsidRPr="00774267" w:rsidRDefault="00EA2611" w:rsidP="00FC5FEE">
      <w:pPr>
        <w:widowControl w:val="0"/>
        <w:autoSpaceDE w:val="0"/>
        <w:autoSpaceDN w:val="0"/>
        <w:adjustRightInd w:val="0"/>
        <w:spacing w:line="240" w:lineRule="auto"/>
        <w:jc w:val="center"/>
        <w:rPr>
          <w:rFonts w:cs="Arial"/>
          <w:b/>
        </w:rPr>
      </w:pPr>
      <w:r w:rsidRPr="00774267">
        <w:rPr>
          <w:rFonts w:cs="Arial"/>
          <w:b/>
        </w:rPr>
        <w:t>CARLOS ALBERTO ZAMBRANO BARRERA</w:t>
      </w:r>
    </w:p>
    <w:sectPr w:rsidR="00EA2611" w:rsidRPr="00774267" w:rsidSect="00241203">
      <w:headerReference w:type="even" r:id="rId11"/>
      <w:headerReference w:type="default" r:id="rId12"/>
      <w:footerReference w:type="even" r:id="rId13"/>
      <w:footerReference w:type="default" r:id="rId14"/>
      <w:pgSz w:w="12242" w:h="18722" w:code="120"/>
      <w:pgMar w:top="1701" w:right="1701" w:bottom="1701" w:left="1701" w:header="0"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CC311" w14:textId="77777777" w:rsidR="00894A54" w:rsidRDefault="00894A54" w:rsidP="00C85395">
      <w:r>
        <w:separator/>
      </w:r>
    </w:p>
  </w:endnote>
  <w:endnote w:type="continuationSeparator" w:id="0">
    <w:p w14:paraId="40A4233D" w14:textId="77777777" w:rsidR="00894A54" w:rsidRDefault="00894A54"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96FE4" w14:textId="77777777" w:rsidR="0065496A" w:rsidRDefault="0065496A"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7675B6" w14:textId="77777777" w:rsidR="0065496A" w:rsidRDefault="0065496A"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7F5E" w14:textId="77777777" w:rsidR="0065496A" w:rsidRDefault="0065496A"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6A81D" w14:textId="77777777" w:rsidR="00894A54" w:rsidRDefault="00894A54" w:rsidP="00C85395">
      <w:r>
        <w:separator/>
      </w:r>
    </w:p>
  </w:footnote>
  <w:footnote w:type="continuationSeparator" w:id="0">
    <w:p w14:paraId="5C02C2DE" w14:textId="77777777" w:rsidR="00894A54" w:rsidRDefault="00894A54" w:rsidP="00C85395">
      <w:r>
        <w:continuationSeparator/>
      </w:r>
    </w:p>
  </w:footnote>
  <w:footnote w:id="1">
    <w:p w14:paraId="214839E4" w14:textId="77777777" w:rsidR="0024449F" w:rsidRPr="00A706C7" w:rsidRDefault="00866C49" w:rsidP="00A706C7">
      <w:pPr>
        <w:pStyle w:val="NormalWeb"/>
        <w:spacing w:before="0" w:beforeAutospacing="0" w:after="0" w:afterAutospacing="0" w:line="240" w:lineRule="auto"/>
        <w:rPr>
          <w:rFonts w:cs="Arial"/>
          <w:bCs/>
          <w:i/>
          <w:color w:val="000000"/>
          <w:sz w:val="20"/>
          <w:szCs w:val="20"/>
          <w:shd w:val="clear" w:color="auto" w:fill="FFFFFF"/>
        </w:rPr>
      </w:pPr>
      <w:r>
        <w:rPr>
          <w:rStyle w:val="Refdenotaalpie"/>
        </w:rPr>
        <w:footnoteRef/>
      </w:r>
      <w:r>
        <w:t xml:space="preserve"> </w:t>
      </w:r>
      <w:r w:rsidR="0024449F" w:rsidRPr="00A706C7">
        <w:t>“</w:t>
      </w:r>
      <w:r w:rsidR="0024449F" w:rsidRPr="00A706C7">
        <w:rPr>
          <w:rFonts w:cs="Arial"/>
          <w:bCs/>
          <w:i/>
          <w:color w:val="000000"/>
          <w:sz w:val="20"/>
          <w:szCs w:val="20"/>
          <w:shd w:val="clear" w:color="auto" w:fill="FFFFFF"/>
        </w:rPr>
        <w:t>Artículo 140 CGP. </w:t>
      </w:r>
      <w:r w:rsidR="0024449F" w:rsidRPr="00A706C7">
        <w:rPr>
          <w:rFonts w:cs="Arial"/>
          <w:bCs/>
          <w:i/>
          <w:iCs/>
          <w:color w:val="000000"/>
          <w:sz w:val="20"/>
          <w:szCs w:val="20"/>
          <w:shd w:val="clear" w:color="auto" w:fill="FFFFFF"/>
        </w:rPr>
        <w:t>Declaración de impedimentos</w:t>
      </w:r>
      <w:r w:rsidR="0024449F" w:rsidRPr="00A706C7">
        <w:rPr>
          <w:rFonts w:cs="Arial"/>
          <w:bCs/>
          <w:i/>
          <w:color w:val="000000"/>
          <w:sz w:val="20"/>
          <w:szCs w:val="20"/>
          <w:shd w:val="clear" w:color="auto" w:fill="FFFFFF"/>
        </w:rPr>
        <w:t>.</w:t>
      </w:r>
    </w:p>
    <w:p w14:paraId="6AE1AD87" w14:textId="77777777" w:rsidR="00A706C7" w:rsidRDefault="00A706C7" w:rsidP="00A706C7">
      <w:pPr>
        <w:shd w:val="clear" w:color="auto" w:fill="FFFFFF"/>
        <w:spacing w:line="240" w:lineRule="auto"/>
        <w:rPr>
          <w:rFonts w:cs="Arial"/>
          <w:i/>
          <w:color w:val="000000"/>
          <w:sz w:val="20"/>
          <w:szCs w:val="20"/>
        </w:rPr>
      </w:pPr>
    </w:p>
    <w:p w14:paraId="6ECAFBBE" w14:textId="77777777" w:rsidR="0024449F" w:rsidRDefault="0024449F" w:rsidP="00A706C7">
      <w:pPr>
        <w:shd w:val="clear" w:color="auto" w:fill="FFFFFF"/>
        <w:spacing w:line="240" w:lineRule="auto"/>
        <w:rPr>
          <w:rFonts w:cs="Arial"/>
          <w:i/>
          <w:color w:val="000000"/>
          <w:sz w:val="20"/>
          <w:szCs w:val="20"/>
        </w:rPr>
      </w:pPr>
      <w:r>
        <w:rPr>
          <w:rFonts w:cs="Arial"/>
          <w:i/>
          <w:color w:val="000000"/>
          <w:sz w:val="20"/>
          <w:szCs w:val="20"/>
        </w:rPr>
        <w:t>“</w:t>
      </w:r>
      <w:r w:rsidRPr="0024449F">
        <w:rPr>
          <w:rFonts w:cs="Arial"/>
          <w:i/>
          <w:color w:val="000000"/>
          <w:sz w:val="20"/>
          <w:szCs w:val="20"/>
        </w:rPr>
        <w:t>Los magistrados, jueces, conjueces en quienes concurra alguna causal de recusación deberán declararse impedidos tan pronto como adviertan la existencia de ella, expresando los hechos en que se fundamenta.</w:t>
      </w:r>
    </w:p>
    <w:p w14:paraId="7C2890D8" w14:textId="77777777" w:rsidR="00A706C7" w:rsidRPr="0024449F" w:rsidRDefault="00A706C7" w:rsidP="00A706C7">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p>
    <w:p w14:paraId="3B49B32B" w14:textId="77777777" w:rsidR="00866C49" w:rsidRPr="00A706C7" w:rsidRDefault="0024449F" w:rsidP="00A706C7">
      <w:pPr>
        <w:pStyle w:val="NormalWeb"/>
        <w:spacing w:line="240" w:lineRule="auto"/>
        <w:rPr>
          <w:rFonts w:cs="Arial"/>
          <w:bCs/>
          <w:i/>
          <w:color w:val="000000"/>
          <w:sz w:val="20"/>
          <w:szCs w:val="20"/>
          <w:shd w:val="clear" w:color="auto" w:fill="FFFFFF"/>
        </w:rPr>
      </w:pPr>
      <w:r w:rsidRPr="00A706C7">
        <w:rPr>
          <w:rFonts w:cs="Arial"/>
          <w:bCs/>
          <w:i/>
          <w:color w:val="000000"/>
          <w:sz w:val="20"/>
          <w:szCs w:val="20"/>
          <w:shd w:val="clear" w:color="auto" w:fill="FFFFFF"/>
        </w:rPr>
        <w:t>“</w:t>
      </w:r>
      <w:r w:rsidR="00866C49" w:rsidRPr="00A706C7">
        <w:rPr>
          <w:rFonts w:cs="Arial"/>
          <w:bCs/>
          <w:i/>
          <w:color w:val="000000"/>
          <w:sz w:val="20"/>
          <w:szCs w:val="20"/>
          <w:shd w:val="clear" w:color="auto" w:fill="FFFFFF"/>
        </w:rPr>
        <w:t>Artículo 141</w:t>
      </w:r>
      <w:r w:rsidRPr="00A706C7">
        <w:rPr>
          <w:rFonts w:cs="Arial"/>
          <w:bCs/>
          <w:i/>
          <w:color w:val="000000"/>
          <w:sz w:val="20"/>
          <w:szCs w:val="20"/>
          <w:shd w:val="clear" w:color="auto" w:fill="FFFFFF"/>
        </w:rPr>
        <w:t xml:space="preserve"> CGP.</w:t>
      </w:r>
      <w:r w:rsidR="00866C49" w:rsidRPr="00A706C7">
        <w:rPr>
          <w:rFonts w:cs="Arial"/>
          <w:bCs/>
          <w:i/>
          <w:color w:val="000000"/>
          <w:sz w:val="20"/>
          <w:szCs w:val="20"/>
          <w:shd w:val="clear" w:color="auto" w:fill="FFFFFF"/>
        </w:rPr>
        <w:t> </w:t>
      </w:r>
      <w:r w:rsidR="00866C49" w:rsidRPr="00A706C7">
        <w:rPr>
          <w:rFonts w:cs="Arial"/>
          <w:bCs/>
          <w:i/>
          <w:iCs/>
          <w:color w:val="000000"/>
          <w:sz w:val="20"/>
          <w:szCs w:val="20"/>
          <w:shd w:val="clear" w:color="auto" w:fill="FFFFFF"/>
        </w:rPr>
        <w:t>Causales de recusación.</w:t>
      </w:r>
    </w:p>
    <w:p w14:paraId="156B4679" w14:textId="77777777" w:rsidR="00866C49" w:rsidRPr="00866C49" w:rsidRDefault="0024449F" w:rsidP="00A706C7">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00866C49" w:rsidRPr="00866C49">
        <w:rPr>
          <w:rFonts w:cs="Arial"/>
          <w:i/>
          <w:color w:val="000000"/>
          <w:sz w:val="20"/>
          <w:szCs w:val="20"/>
        </w:rPr>
        <w:t>Son causales de recusación las siguientes:</w:t>
      </w:r>
    </w:p>
    <w:p w14:paraId="4F7B5F3B" w14:textId="77777777" w:rsidR="00866C49" w:rsidRPr="00866C49" w:rsidRDefault="0024449F" w:rsidP="00A706C7">
      <w:pPr>
        <w:shd w:val="clear" w:color="auto" w:fill="FFFFFF"/>
        <w:spacing w:before="100" w:beforeAutospacing="1" w:after="100" w:afterAutospacing="1" w:line="240" w:lineRule="auto"/>
        <w:rPr>
          <w:lang w:val="es-CO"/>
        </w:rPr>
      </w:pPr>
      <w:r>
        <w:rPr>
          <w:rFonts w:cs="Arial"/>
          <w:i/>
          <w:color w:val="000000"/>
          <w:sz w:val="20"/>
          <w:szCs w:val="20"/>
        </w:rPr>
        <w:t>“</w:t>
      </w:r>
      <w:r w:rsidR="00866C49" w:rsidRPr="00866C49">
        <w:rPr>
          <w:rFonts w:cs="Arial"/>
          <w:i/>
          <w:color w:val="000000"/>
          <w:sz w:val="20"/>
          <w:szCs w:val="20"/>
        </w:rPr>
        <w:t>1. Tener el juez, su cónyuge, compañero permanente o alguno de sus parientes dentro del cuarto grado de consanguinidad o civil, o segundo de afinidad, interés directo o indirecto en el proceso</w:t>
      </w:r>
      <w:r w:rsidR="00A706C7">
        <w:rPr>
          <w:rFonts w:cs="Arial"/>
          <w:i/>
          <w:color w:val="000000"/>
          <w:sz w:val="20"/>
          <w:szCs w:val="20"/>
        </w:rPr>
        <w:t>”.</w:t>
      </w:r>
      <w:r w:rsidR="00A706C7" w:rsidRPr="00866C49">
        <w:rPr>
          <w:lang w:val="es-CO"/>
        </w:rPr>
        <w:t xml:space="preserve"> </w:t>
      </w:r>
    </w:p>
  </w:footnote>
  <w:footnote w:id="2">
    <w:p w14:paraId="4B013B04" w14:textId="77777777" w:rsidR="00FD3DE8" w:rsidRDefault="00FD3DE8" w:rsidP="00A706C7">
      <w:pPr>
        <w:pStyle w:val="Textonotapie"/>
        <w:spacing w:line="240" w:lineRule="auto"/>
        <w:rPr>
          <w:rFonts w:cs="Arial"/>
          <w:i/>
          <w:color w:val="000000"/>
          <w:shd w:val="clear" w:color="auto" w:fill="FFFFFF"/>
        </w:rPr>
      </w:pPr>
      <w:r w:rsidRPr="001301FD">
        <w:rPr>
          <w:rStyle w:val="Refdenotaalpie"/>
        </w:rPr>
        <w:footnoteRef/>
      </w:r>
      <w:r w:rsidRPr="001301FD">
        <w:t xml:space="preserve"> </w:t>
      </w:r>
      <w:r w:rsidR="0024449F" w:rsidRPr="001301FD">
        <w:t>Ley 1563 de 2012. “</w:t>
      </w:r>
      <w:r w:rsidRPr="001301FD">
        <w:rPr>
          <w:rFonts w:cs="Arial"/>
          <w:bCs/>
          <w:i/>
          <w:color w:val="000000"/>
          <w:shd w:val="clear" w:color="auto" w:fill="FFFFFF"/>
        </w:rPr>
        <w:t>Artículo 18.</w:t>
      </w:r>
      <w:r w:rsidRPr="001301FD">
        <w:rPr>
          <w:rStyle w:val="apple-converted-space"/>
          <w:rFonts w:cs="Arial"/>
          <w:bCs/>
          <w:i/>
          <w:color w:val="000000"/>
          <w:shd w:val="clear" w:color="auto" w:fill="FFFFFF"/>
        </w:rPr>
        <w:t> </w:t>
      </w:r>
      <w:r w:rsidRPr="001301FD">
        <w:rPr>
          <w:rFonts w:cs="Arial"/>
          <w:bCs/>
          <w:i/>
          <w:iCs/>
          <w:color w:val="000000"/>
          <w:shd w:val="clear" w:color="auto" w:fill="FFFFFF"/>
        </w:rPr>
        <w:t>Impedimentos y recusaciones de magistrados</w:t>
      </w:r>
      <w:r w:rsidRPr="001301FD">
        <w:rPr>
          <w:rFonts w:cs="Arial"/>
          <w:i/>
          <w:iCs/>
          <w:color w:val="000000"/>
          <w:shd w:val="clear" w:color="auto" w:fill="FFFFFF"/>
        </w:rPr>
        <w:t>.</w:t>
      </w:r>
      <w:r w:rsidRPr="001301FD">
        <w:rPr>
          <w:rStyle w:val="apple-converted-space"/>
          <w:rFonts w:cs="Arial"/>
          <w:i/>
          <w:iCs/>
          <w:color w:val="000000"/>
          <w:shd w:val="clear" w:color="auto" w:fill="FFFFFF"/>
        </w:rPr>
        <w:t> </w:t>
      </w:r>
      <w:r w:rsidRPr="001301FD">
        <w:rPr>
          <w:rFonts w:cs="Arial"/>
          <w:i/>
          <w:color w:val="000000"/>
          <w:shd w:val="clear" w:color="auto" w:fill="FFFFFF"/>
        </w:rPr>
        <w:t>Los magistrados que conozcan de los recursos extraordinarios de anulación o revisión estarán impedidos y serán recusables conforme a las reglas generales del Código de Procedimiento Civil y, además, cuando respecto de ellos se configure alguna causal frente a quienes hubieran intervenido como árbitros, secretario o auxiliares de la justicia en el proceso arbitral</w:t>
      </w:r>
      <w:r w:rsidR="00866C49" w:rsidRPr="001301FD">
        <w:rPr>
          <w:rFonts w:cs="Arial"/>
          <w:i/>
          <w:color w:val="000000"/>
          <w:shd w:val="clear" w:color="auto" w:fill="FFFFFF"/>
        </w:rPr>
        <w:t>”</w:t>
      </w:r>
      <w:r w:rsidRPr="001301FD">
        <w:rPr>
          <w:rFonts w:cs="Arial"/>
          <w:i/>
          <w:color w:val="000000"/>
          <w:shd w:val="clear" w:color="auto" w:fill="FFFFFF"/>
        </w:rPr>
        <w:t>.</w:t>
      </w:r>
    </w:p>
    <w:p w14:paraId="0941E777" w14:textId="77777777" w:rsidR="00A706C7" w:rsidRPr="00866C49" w:rsidRDefault="00A706C7" w:rsidP="00A706C7">
      <w:pPr>
        <w:pStyle w:val="Textonotapie"/>
        <w:spacing w:line="240" w:lineRule="auto"/>
        <w:rPr>
          <w:i/>
          <w:lang w:val="es-CO"/>
        </w:rPr>
      </w:pPr>
    </w:p>
  </w:footnote>
  <w:footnote w:id="3">
    <w:p w14:paraId="40597FFF" w14:textId="77777777" w:rsidR="00ED7BE5" w:rsidRDefault="00ED7BE5" w:rsidP="00A706C7">
      <w:pPr>
        <w:pStyle w:val="Textonotapie"/>
        <w:spacing w:line="240" w:lineRule="auto"/>
        <w:rPr>
          <w:lang w:val="es-CO"/>
        </w:rPr>
      </w:pPr>
      <w:r>
        <w:rPr>
          <w:rStyle w:val="Refdenotaalpie"/>
        </w:rPr>
        <w:footnoteRef/>
      </w:r>
      <w:r>
        <w:t xml:space="preserve"> </w:t>
      </w:r>
      <w:r>
        <w:rPr>
          <w:lang w:val="es-CO"/>
        </w:rPr>
        <w:t xml:space="preserve">Tribunal de Arbitramento integrado por Fernando Pabón Santander, Camilo Calderón Rivera y Pedro A. </w:t>
      </w:r>
      <w:r>
        <w:rPr>
          <w:lang w:val="es-CO"/>
        </w:rPr>
        <w:t xml:space="preserve">Lampréa. Se </w:t>
      </w:r>
      <w:r w:rsidR="005B4260">
        <w:rPr>
          <w:lang w:val="es-CO"/>
        </w:rPr>
        <w:t xml:space="preserve">incorpora la referencia a los árbitros </w:t>
      </w:r>
      <w:r>
        <w:rPr>
          <w:lang w:val="es-CO"/>
        </w:rPr>
        <w:t xml:space="preserve">por cuanto en la </w:t>
      </w:r>
      <w:r w:rsidR="005B4260">
        <w:rPr>
          <w:lang w:val="es-CO"/>
        </w:rPr>
        <w:t xml:space="preserve">presente </w:t>
      </w:r>
      <w:r>
        <w:rPr>
          <w:lang w:val="es-CO"/>
        </w:rPr>
        <w:t xml:space="preserve">providencia se </w:t>
      </w:r>
      <w:r w:rsidR="005B4260">
        <w:rPr>
          <w:lang w:val="es-CO"/>
        </w:rPr>
        <w:t xml:space="preserve">mencionarán </w:t>
      </w:r>
      <w:r>
        <w:rPr>
          <w:lang w:val="es-CO"/>
        </w:rPr>
        <w:t xml:space="preserve">otros tribunales de arbitramento entre las mismas partes, con relación al mismo contrato. </w:t>
      </w:r>
    </w:p>
    <w:p w14:paraId="44902337" w14:textId="77777777" w:rsidR="00ED7BE5" w:rsidRPr="00ED7BE5" w:rsidRDefault="00ED7BE5" w:rsidP="00A706C7">
      <w:pPr>
        <w:pStyle w:val="Textonotapie"/>
        <w:spacing w:line="240" w:lineRule="auto"/>
        <w:rPr>
          <w:lang w:val="es-CO"/>
        </w:rPr>
      </w:pPr>
    </w:p>
  </w:footnote>
  <w:footnote w:id="4">
    <w:p w14:paraId="68A3DD0E" w14:textId="77777777" w:rsidR="0065496A" w:rsidRPr="009C5C19" w:rsidRDefault="0065496A" w:rsidP="00A706C7">
      <w:pPr>
        <w:pStyle w:val="Textonotapie"/>
        <w:rPr>
          <w:lang w:val="es-MX"/>
        </w:rPr>
      </w:pPr>
      <w:r>
        <w:rPr>
          <w:rStyle w:val="Refdenotaalpie"/>
        </w:rPr>
        <w:footnoteRef/>
      </w:r>
      <w:r>
        <w:t xml:space="preserve"> </w:t>
      </w:r>
      <w:r>
        <w:rPr>
          <w:lang w:val="es-MX"/>
        </w:rPr>
        <w:t xml:space="preserve">Por razones de espacio se transcriben las resolutivas solo parcialmente. </w:t>
      </w:r>
    </w:p>
  </w:footnote>
  <w:footnote w:id="5">
    <w:p w14:paraId="71644763" w14:textId="77777777" w:rsidR="0065496A" w:rsidRPr="001B75E9" w:rsidRDefault="0065496A">
      <w:pPr>
        <w:pStyle w:val="Textonotapie"/>
        <w:rPr>
          <w:lang w:val="es-CO"/>
        </w:rPr>
      </w:pPr>
      <w:r>
        <w:rPr>
          <w:rStyle w:val="Refdenotaalpie"/>
        </w:rPr>
        <w:footnoteRef/>
      </w:r>
      <w:r>
        <w:t xml:space="preserve"> Folios 505 y 506, cuaderno principal.</w:t>
      </w:r>
    </w:p>
  </w:footnote>
  <w:footnote w:id="6">
    <w:p w14:paraId="2F1390FC" w14:textId="77777777" w:rsidR="0065496A" w:rsidRDefault="0065496A" w:rsidP="00F72D91">
      <w:pPr>
        <w:pStyle w:val="Textonotapie"/>
        <w:spacing w:line="240" w:lineRule="auto"/>
        <w:rPr>
          <w:lang w:val="es-CO"/>
        </w:rPr>
      </w:pPr>
      <w:r>
        <w:rPr>
          <w:rStyle w:val="Refdenotaalpie"/>
        </w:rPr>
        <w:footnoteRef/>
      </w:r>
      <w:r>
        <w:t xml:space="preserve"> “</w:t>
      </w:r>
      <w:r w:rsidRPr="0070570F">
        <w:rPr>
          <w:i/>
        </w:rPr>
        <w:t>CL</w:t>
      </w:r>
      <w:r w:rsidR="00C57293">
        <w:rPr>
          <w:i/>
        </w:rPr>
        <w:t>Á</w:t>
      </w:r>
      <w:r w:rsidRPr="0070570F">
        <w:rPr>
          <w:i/>
        </w:rPr>
        <w:t>USULA TRIGÉSIMA NOVENA.- MECANISMOS DE SOLUCIÓN DE CONTROVERSIAS: (a) Cualquier divergencia que surja entre las partes con ocasión de la celebración, ejecución o liquidación de este contrato será dirimida por un Tribunal de Arbitramento Nacional de conformidad con la Ley 1563 de 2012 y las reglas que a continuación se establecen (…)”</w:t>
      </w:r>
      <w:r>
        <w:t xml:space="preserve">. </w:t>
      </w:r>
      <w:r>
        <w:rPr>
          <w:lang w:val="es-CO"/>
        </w:rPr>
        <w:t>Otrosí suscrito entre CSS CONSTRUCTORES S.A. y la ANI, de acuerdo con documento obrante en los folios 158 a 199, cuaderno 6.</w:t>
      </w:r>
    </w:p>
    <w:p w14:paraId="1CADDC4E" w14:textId="77777777" w:rsidR="0065496A" w:rsidRPr="008F2A5A" w:rsidRDefault="0065496A" w:rsidP="00F72D91">
      <w:pPr>
        <w:pStyle w:val="Textonotapie"/>
        <w:spacing w:line="240" w:lineRule="auto"/>
        <w:rPr>
          <w:lang w:val="es-CO"/>
        </w:rPr>
      </w:pPr>
    </w:p>
  </w:footnote>
  <w:footnote w:id="7">
    <w:p w14:paraId="54E95E1F" w14:textId="77777777" w:rsidR="005A06DE" w:rsidRPr="005A06DE" w:rsidRDefault="005A06DE">
      <w:pPr>
        <w:pStyle w:val="Textonotapie"/>
        <w:rPr>
          <w:lang w:val="es-CO"/>
        </w:rPr>
      </w:pPr>
      <w:r>
        <w:rPr>
          <w:rStyle w:val="Refdenotaalpie"/>
        </w:rPr>
        <w:footnoteRef/>
      </w:r>
      <w:r>
        <w:t xml:space="preserve"> </w:t>
      </w:r>
      <w:r>
        <w:rPr>
          <w:lang w:val="es-CO"/>
        </w:rPr>
        <w:t xml:space="preserve">Concesión </w:t>
      </w:r>
      <w:r w:rsidR="00480F2B">
        <w:rPr>
          <w:lang w:val="es-CO"/>
        </w:rPr>
        <w:t>Neiva – Girardot – Espinal.</w:t>
      </w:r>
      <w:r>
        <w:rPr>
          <w:lang w:val="es-CO"/>
        </w:rPr>
        <w:t xml:space="preserve"> </w:t>
      </w:r>
    </w:p>
  </w:footnote>
  <w:footnote w:id="8">
    <w:p w14:paraId="17CCB789" w14:textId="77777777" w:rsidR="0065496A" w:rsidRDefault="0065496A" w:rsidP="00CE71BF">
      <w:pPr>
        <w:pStyle w:val="Textonotapie"/>
        <w:spacing w:line="240" w:lineRule="auto"/>
      </w:pPr>
      <w:r>
        <w:rPr>
          <w:rStyle w:val="Refdenotaalpie"/>
        </w:rPr>
        <w:footnoteRef/>
      </w:r>
      <w:r>
        <w:t xml:space="preserve"> En esta providencia se denominará CSS. Esa sociedad asumió la posición contractual en virtud de la cesión realizada por el contratista inicial, Consorcio Luis Héctor Solarte </w:t>
      </w:r>
      <w:r>
        <w:t>Solarte y Carlos Alberto Solarte. La cesión fue aprobada por la ANI, según consta en el documento de cesión del contrato de concesión suscrito el 20 de enero de 2014. Folios 247 a 157, cuaderno 6.</w:t>
      </w:r>
    </w:p>
    <w:p w14:paraId="23A9C84E" w14:textId="77777777" w:rsidR="00360E0C" w:rsidRPr="00927EA9" w:rsidRDefault="00360E0C" w:rsidP="00CE71BF">
      <w:pPr>
        <w:pStyle w:val="Textonotapie"/>
        <w:spacing w:line="240" w:lineRule="auto"/>
        <w:rPr>
          <w:lang w:val="es-CO"/>
        </w:rPr>
      </w:pPr>
    </w:p>
  </w:footnote>
  <w:footnote w:id="9">
    <w:p w14:paraId="43762164" w14:textId="77777777" w:rsidR="0065496A" w:rsidRDefault="0065496A" w:rsidP="00F877C1">
      <w:pPr>
        <w:pStyle w:val="Textonotapie"/>
        <w:spacing w:line="240" w:lineRule="auto"/>
        <w:rPr>
          <w:lang w:val="es-CO"/>
        </w:rPr>
      </w:pPr>
      <w:r>
        <w:rPr>
          <w:rStyle w:val="Refdenotaalpie"/>
        </w:rPr>
        <w:footnoteRef/>
      </w:r>
      <w:r>
        <w:t xml:space="preserve"> De acuerdo con el Decreto 4165 de 2011 se cambió la naturaleza jurídica del </w:t>
      </w:r>
      <w:r>
        <w:rPr>
          <w:lang w:val="es-CO"/>
        </w:rPr>
        <w:t xml:space="preserve">INSTITUTO NACIONAL DE CONCESIONES -INCO, que pasó a ser un agencia nacional del Estado, denominada ANGENCIA NACIONAL DE INFRAESTRUCTURA – ANI. El INCO, creado por el Decreto 1800 de 26 de junio de 2003, había subrogado al INSTITUTO NACIONAL DE VÍAS INVÍAS, entidad contratante inicial, mediante la cesión realizada a través de la Resolución 3793 de 26 de septiembre de 2003. </w:t>
      </w:r>
    </w:p>
    <w:p w14:paraId="25EBD6FE" w14:textId="77777777" w:rsidR="0065496A" w:rsidRPr="00617336" w:rsidRDefault="0065496A" w:rsidP="00F877C1">
      <w:pPr>
        <w:pStyle w:val="Textonotapie"/>
        <w:spacing w:line="240" w:lineRule="auto"/>
        <w:rPr>
          <w:lang w:val="es-CO"/>
        </w:rPr>
      </w:pPr>
    </w:p>
  </w:footnote>
  <w:footnote w:id="10">
    <w:p w14:paraId="63A383B2" w14:textId="77777777" w:rsidR="0065496A" w:rsidRPr="0040141C" w:rsidRDefault="0065496A" w:rsidP="00F3799A">
      <w:pPr>
        <w:pStyle w:val="Textonotapie"/>
        <w:rPr>
          <w:lang w:val="es-CO"/>
        </w:rPr>
      </w:pPr>
      <w:r>
        <w:rPr>
          <w:rStyle w:val="Refdenotaalpie"/>
        </w:rPr>
        <w:footnoteRef/>
      </w:r>
      <w:r>
        <w:t xml:space="preserve"> </w:t>
      </w:r>
      <w:r>
        <w:rPr>
          <w:lang w:val="es-CO"/>
        </w:rPr>
        <w:t xml:space="preserve">Pretensión novena, folio 395 cuaderno principal </w:t>
      </w:r>
    </w:p>
  </w:footnote>
  <w:footnote w:id="11">
    <w:p w14:paraId="13003110" w14:textId="77777777" w:rsidR="0065496A" w:rsidRPr="00C32757" w:rsidRDefault="0065496A">
      <w:pPr>
        <w:pStyle w:val="Textonotapie"/>
        <w:rPr>
          <w:lang w:val="es-CO"/>
        </w:rPr>
      </w:pPr>
      <w:r>
        <w:rPr>
          <w:rStyle w:val="Refdenotaalpie"/>
        </w:rPr>
        <w:footnoteRef/>
      </w:r>
      <w:r>
        <w:t xml:space="preserve"> </w:t>
      </w:r>
      <w:r>
        <w:rPr>
          <w:lang w:val="es-CO"/>
        </w:rPr>
        <w:t>Pretensión primera de la demanda de reconvención.</w:t>
      </w:r>
    </w:p>
  </w:footnote>
  <w:footnote w:id="12">
    <w:p w14:paraId="0966EDC9" w14:textId="77777777" w:rsidR="0065496A" w:rsidRPr="00070A2F" w:rsidRDefault="0065496A">
      <w:pPr>
        <w:pStyle w:val="Textonotapie"/>
        <w:rPr>
          <w:lang w:val="es-MX"/>
        </w:rPr>
      </w:pPr>
      <w:r>
        <w:rPr>
          <w:rStyle w:val="Refdenotaalpie"/>
        </w:rPr>
        <w:footnoteRef/>
      </w:r>
      <w:r>
        <w:t xml:space="preserve"> Tasa interna de retorno.</w:t>
      </w:r>
    </w:p>
  </w:footnote>
  <w:footnote w:id="13">
    <w:p w14:paraId="4CBCE99F" w14:textId="77777777" w:rsidR="0065496A" w:rsidRPr="0096205D" w:rsidRDefault="0065496A">
      <w:pPr>
        <w:pStyle w:val="Textonotapie"/>
        <w:rPr>
          <w:lang w:val="es-CO"/>
        </w:rPr>
      </w:pPr>
      <w:r>
        <w:rPr>
          <w:rStyle w:val="Refdenotaalpie"/>
        </w:rPr>
        <w:footnoteRef/>
      </w:r>
      <w:r>
        <w:t xml:space="preserve"> </w:t>
      </w:r>
      <w:r>
        <w:rPr>
          <w:lang w:val="es-CO"/>
        </w:rPr>
        <w:t>Pretensión cuarta de la demanda de reconvención.</w:t>
      </w:r>
    </w:p>
  </w:footnote>
  <w:footnote w:id="14">
    <w:p w14:paraId="065B5C0C" w14:textId="77777777" w:rsidR="0065496A" w:rsidRPr="00480574" w:rsidRDefault="0065496A">
      <w:pPr>
        <w:pStyle w:val="Textonotapie"/>
        <w:rPr>
          <w:lang w:val="es-CO"/>
        </w:rPr>
      </w:pPr>
      <w:r>
        <w:rPr>
          <w:rStyle w:val="Refdenotaalpie"/>
        </w:rPr>
        <w:footnoteRef/>
      </w:r>
      <w:r>
        <w:t xml:space="preserve"> Reforma integrada de la demanda de reconvención folios 34 a 72, cuaderno 3.</w:t>
      </w:r>
    </w:p>
  </w:footnote>
  <w:footnote w:id="15">
    <w:p w14:paraId="79E6DF52" w14:textId="77777777" w:rsidR="0065496A" w:rsidRPr="00CB4B76" w:rsidRDefault="0065496A" w:rsidP="00944A37">
      <w:pPr>
        <w:pStyle w:val="Textonotapie"/>
        <w:rPr>
          <w:lang w:val="es-CO"/>
        </w:rPr>
      </w:pPr>
      <w:r>
        <w:rPr>
          <w:rStyle w:val="Refdenotaalpie"/>
        </w:rPr>
        <w:footnoteRef/>
      </w:r>
      <w:r>
        <w:t xml:space="preserve"> </w:t>
      </w:r>
      <w:r>
        <w:rPr>
          <w:lang w:val="es-CO"/>
        </w:rPr>
        <w:t>Folios 387 a 406, cuaderno 2.</w:t>
      </w:r>
    </w:p>
  </w:footnote>
  <w:footnote w:id="16">
    <w:p w14:paraId="29123803" w14:textId="77777777" w:rsidR="0065496A" w:rsidRPr="00E85A8C" w:rsidRDefault="0065496A" w:rsidP="00944A37">
      <w:pPr>
        <w:pStyle w:val="Textonotapie"/>
        <w:rPr>
          <w:lang w:val="es-CO"/>
        </w:rPr>
      </w:pPr>
      <w:r>
        <w:rPr>
          <w:rStyle w:val="Refdenotaalpie"/>
        </w:rPr>
        <w:footnoteRef/>
      </w:r>
      <w:r>
        <w:t xml:space="preserve"> </w:t>
      </w:r>
      <w:r>
        <w:rPr>
          <w:lang w:val="es-CO"/>
        </w:rPr>
        <w:t>Folio 403, cuaderno 2.</w:t>
      </w:r>
    </w:p>
  </w:footnote>
  <w:footnote w:id="17">
    <w:p w14:paraId="3AFBA23B" w14:textId="77777777" w:rsidR="0065496A" w:rsidRDefault="0065496A" w:rsidP="00944A37">
      <w:pPr>
        <w:spacing w:line="240" w:lineRule="auto"/>
        <w:rPr>
          <w:rFonts w:cs="Arial"/>
          <w:sz w:val="20"/>
          <w:szCs w:val="20"/>
          <w:lang w:val="es-CO"/>
        </w:rPr>
      </w:pPr>
      <w:r w:rsidRPr="000F7FDE">
        <w:rPr>
          <w:rStyle w:val="Refdenotaalpie"/>
          <w:rFonts w:cs="Arial"/>
          <w:sz w:val="20"/>
          <w:szCs w:val="20"/>
        </w:rPr>
        <w:footnoteRef/>
      </w:r>
      <w:r w:rsidRPr="000F7FDE">
        <w:rPr>
          <w:rFonts w:cs="Arial"/>
          <w:sz w:val="20"/>
          <w:szCs w:val="20"/>
        </w:rPr>
        <w:t xml:space="preserve">  El apoderado de la </w:t>
      </w:r>
      <w:r w:rsidR="00D61350" w:rsidRPr="000F7FDE">
        <w:rPr>
          <w:rFonts w:cs="Arial"/>
          <w:sz w:val="20"/>
          <w:szCs w:val="20"/>
        </w:rPr>
        <w:t>ANI</w:t>
      </w:r>
      <w:r w:rsidRPr="000F7FDE">
        <w:rPr>
          <w:rFonts w:cs="Arial"/>
          <w:sz w:val="20"/>
          <w:szCs w:val="20"/>
        </w:rPr>
        <w:t xml:space="preserve"> invocó la decisión contenida en el </w:t>
      </w:r>
      <w:r>
        <w:rPr>
          <w:rFonts w:cs="Arial"/>
          <w:sz w:val="20"/>
          <w:szCs w:val="20"/>
        </w:rPr>
        <w:t>A</w:t>
      </w:r>
      <w:r w:rsidRPr="000F7FDE">
        <w:rPr>
          <w:rFonts w:cs="Arial"/>
          <w:sz w:val="20"/>
          <w:szCs w:val="20"/>
          <w:lang w:val="es-CO"/>
        </w:rPr>
        <w:t>cta No. 10 del 30 de septiembre de 2015, en la cual consta la decisión de otro Tribunal de Arbitramento -entre las mismas partes y sobre el mismo contrato de concesión- mediante la cual se declaró improbado el acuerdo conciliatorio celebrado entre ellas el 22 de mayo de 2015. Ese Tribunal de Arbitramento correspond</w:t>
      </w:r>
      <w:r w:rsidR="00D55C5F">
        <w:rPr>
          <w:rFonts w:cs="Arial"/>
          <w:sz w:val="20"/>
          <w:szCs w:val="20"/>
          <w:lang w:val="es-CO"/>
        </w:rPr>
        <w:t>i</w:t>
      </w:r>
      <w:r w:rsidR="00D61350">
        <w:rPr>
          <w:rFonts w:cs="Arial"/>
          <w:sz w:val="20"/>
          <w:szCs w:val="20"/>
          <w:lang w:val="es-CO"/>
        </w:rPr>
        <w:t>ó</w:t>
      </w:r>
      <w:r w:rsidRPr="000F7FDE">
        <w:rPr>
          <w:rFonts w:cs="Arial"/>
          <w:sz w:val="20"/>
          <w:szCs w:val="20"/>
          <w:lang w:val="es-CO"/>
        </w:rPr>
        <w:t xml:space="preserve"> al integrado por los doctores Jesús María Carrillo Ballesteros, Lucía Arbeláez de Tobón y Manuel Urueta Ayola.</w:t>
      </w:r>
    </w:p>
    <w:p w14:paraId="628B94C9" w14:textId="77777777" w:rsidR="0065496A" w:rsidRPr="000F7FDE" w:rsidRDefault="0065496A" w:rsidP="00944A37">
      <w:pPr>
        <w:spacing w:line="240" w:lineRule="auto"/>
        <w:rPr>
          <w:rFonts w:cs="Arial"/>
          <w:sz w:val="20"/>
          <w:szCs w:val="20"/>
          <w:lang w:val="es-CO"/>
        </w:rPr>
      </w:pPr>
    </w:p>
  </w:footnote>
  <w:footnote w:id="18">
    <w:p w14:paraId="1FD7DDAE" w14:textId="77777777" w:rsidR="0065496A" w:rsidRDefault="0065496A" w:rsidP="00BA2D44">
      <w:pPr>
        <w:pStyle w:val="Textonotapie"/>
        <w:spacing w:line="240" w:lineRule="auto"/>
        <w:rPr>
          <w:lang w:val="es-CO"/>
        </w:rPr>
      </w:pPr>
      <w:r>
        <w:rPr>
          <w:rStyle w:val="Refdenotaalpie"/>
        </w:rPr>
        <w:footnoteRef/>
      </w:r>
      <w:r>
        <w:t xml:space="preserve"> </w:t>
      </w:r>
      <w:r>
        <w:rPr>
          <w:lang w:val="es-CO"/>
        </w:rPr>
        <w:t>Tribunal de Arbitramento integrado por los doctores María Cristina Morales de Barrios, Gilberto Peña Castrillón y Jes</w:t>
      </w:r>
      <w:r w:rsidR="00D3445E">
        <w:rPr>
          <w:lang w:val="es-CO"/>
        </w:rPr>
        <w:t>ú</w:t>
      </w:r>
      <w:r>
        <w:rPr>
          <w:lang w:val="es-CO"/>
        </w:rPr>
        <w:t>s Vallejo Mejía.</w:t>
      </w:r>
    </w:p>
    <w:p w14:paraId="37601CF3" w14:textId="77777777" w:rsidR="0065496A" w:rsidRPr="00181CA4" w:rsidRDefault="0065496A" w:rsidP="00BA2D44">
      <w:pPr>
        <w:pStyle w:val="Textonotapie"/>
        <w:spacing w:line="240" w:lineRule="auto"/>
        <w:rPr>
          <w:lang w:val="es-CO"/>
        </w:rPr>
      </w:pPr>
    </w:p>
  </w:footnote>
  <w:footnote w:id="19">
    <w:p w14:paraId="7D436DB7" w14:textId="77777777" w:rsidR="0065496A" w:rsidRPr="00E63BB3" w:rsidRDefault="0065496A" w:rsidP="00944A37">
      <w:pPr>
        <w:pStyle w:val="Textonotapie"/>
        <w:rPr>
          <w:lang w:val="es-CO"/>
        </w:rPr>
      </w:pPr>
      <w:r>
        <w:rPr>
          <w:rStyle w:val="Refdenotaalpie"/>
        </w:rPr>
        <w:footnoteRef/>
      </w:r>
      <w:r>
        <w:t xml:space="preserve"> </w:t>
      </w:r>
      <w:r>
        <w:rPr>
          <w:lang w:val="es-CO"/>
        </w:rPr>
        <w:t>Folio 28, cuaderno 7.</w:t>
      </w:r>
    </w:p>
  </w:footnote>
  <w:footnote w:id="20">
    <w:p w14:paraId="1ED504B6" w14:textId="77777777" w:rsidR="0065496A" w:rsidRPr="001A65A1" w:rsidRDefault="0065496A">
      <w:pPr>
        <w:pStyle w:val="Textonotapie"/>
        <w:rPr>
          <w:lang w:val="es-CO"/>
        </w:rPr>
      </w:pPr>
      <w:r>
        <w:rPr>
          <w:rStyle w:val="Refdenotaalpie"/>
        </w:rPr>
        <w:footnoteRef/>
      </w:r>
      <w:r>
        <w:t xml:space="preserve"> Punto décimo tercero de las resolutivas del laudo arbitral, folio 505. Cuaderno principal.</w:t>
      </w:r>
      <w:r>
        <w:rPr>
          <w:lang w:val="es-CO"/>
        </w:rPr>
        <w:t xml:space="preserve"> </w:t>
      </w:r>
    </w:p>
  </w:footnote>
  <w:footnote w:id="21">
    <w:p w14:paraId="6D227E13" w14:textId="77777777" w:rsidR="0065496A" w:rsidRPr="005B197D" w:rsidRDefault="0065496A">
      <w:pPr>
        <w:pStyle w:val="Textonotapie"/>
        <w:rPr>
          <w:lang w:val="es-CO"/>
        </w:rPr>
      </w:pPr>
      <w:r>
        <w:rPr>
          <w:rStyle w:val="Refdenotaalpie"/>
        </w:rPr>
        <w:footnoteRef/>
      </w:r>
      <w:r>
        <w:t xml:space="preserve"> </w:t>
      </w:r>
      <w:r>
        <w:rPr>
          <w:lang w:val="es-CO"/>
        </w:rPr>
        <w:t>Folio 436, cuaderno principal.</w:t>
      </w:r>
    </w:p>
  </w:footnote>
  <w:footnote w:id="22">
    <w:p w14:paraId="5F4B9570" w14:textId="77777777" w:rsidR="0065496A" w:rsidRPr="00B65003" w:rsidRDefault="0065496A">
      <w:pPr>
        <w:pStyle w:val="Textonotapie"/>
        <w:rPr>
          <w:lang w:val="es-CO"/>
        </w:rPr>
      </w:pPr>
      <w:r>
        <w:rPr>
          <w:rStyle w:val="Refdenotaalpie"/>
        </w:rPr>
        <w:footnoteRef/>
      </w:r>
      <w:r>
        <w:t xml:space="preserve"> </w:t>
      </w:r>
      <w:r>
        <w:rPr>
          <w:lang w:val="es-CO"/>
        </w:rPr>
        <w:t xml:space="preserve">Folio 490, cuaderno principal. </w:t>
      </w:r>
    </w:p>
  </w:footnote>
  <w:footnote w:id="23">
    <w:p w14:paraId="71B0D150" w14:textId="77777777" w:rsidR="0065496A" w:rsidRPr="002D67C6" w:rsidRDefault="0065496A">
      <w:pPr>
        <w:pStyle w:val="Textonotapie"/>
        <w:rPr>
          <w:lang w:val="es-CO"/>
        </w:rPr>
      </w:pPr>
      <w:r>
        <w:rPr>
          <w:rStyle w:val="Refdenotaalpie"/>
        </w:rPr>
        <w:footnoteRef/>
      </w:r>
      <w:r>
        <w:t xml:space="preserve"> </w:t>
      </w:r>
      <w:r>
        <w:rPr>
          <w:lang w:val="es-CO"/>
        </w:rPr>
        <w:t>Folio 501, cuaderno principal.</w:t>
      </w:r>
    </w:p>
  </w:footnote>
  <w:footnote w:id="24">
    <w:p w14:paraId="275ACBEC" w14:textId="77777777" w:rsidR="0065496A" w:rsidRDefault="0065496A" w:rsidP="00BC7127">
      <w:pPr>
        <w:pStyle w:val="Textonotapie"/>
        <w:spacing w:line="240" w:lineRule="auto"/>
        <w:rPr>
          <w:rFonts w:cs="Arial"/>
          <w:i/>
          <w:color w:val="000000"/>
          <w:shd w:val="clear" w:color="auto" w:fill="FFFFFF"/>
        </w:rPr>
      </w:pPr>
      <w:r w:rsidRPr="009A38BF">
        <w:rPr>
          <w:rStyle w:val="Refdenotaalpie"/>
          <w:i/>
        </w:rPr>
        <w:footnoteRef/>
      </w:r>
      <w:r w:rsidRPr="009A38BF">
        <w:rPr>
          <w:i/>
        </w:rPr>
        <w:t xml:space="preserve"> </w:t>
      </w:r>
      <w:r>
        <w:rPr>
          <w:i/>
        </w:rPr>
        <w:t>“</w:t>
      </w:r>
      <w:r w:rsidRPr="009A38BF">
        <w:rPr>
          <w:rFonts w:cs="Arial"/>
          <w:bCs/>
          <w:i/>
          <w:color w:val="000000"/>
          <w:shd w:val="clear" w:color="auto" w:fill="FFFFFF"/>
        </w:rPr>
        <w:t>Artículo 40.</w:t>
      </w:r>
      <w:r w:rsidRPr="009A38BF">
        <w:rPr>
          <w:rStyle w:val="apple-converted-space"/>
          <w:rFonts w:cs="Arial"/>
          <w:bCs/>
          <w:i/>
          <w:color w:val="000000"/>
          <w:shd w:val="clear" w:color="auto" w:fill="FFFFFF"/>
        </w:rPr>
        <w:t> </w:t>
      </w:r>
      <w:r w:rsidRPr="009A38BF">
        <w:rPr>
          <w:rFonts w:cs="Arial"/>
          <w:bCs/>
          <w:i/>
          <w:iCs/>
          <w:color w:val="000000"/>
          <w:shd w:val="clear" w:color="auto" w:fill="FFFFFF"/>
        </w:rPr>
        <w:t>Recurso extraordinario de anulación.</w:t>
      </w:r>
      <w:r w:rsidRPr="009A38BF">
        <w:rPr>
          <w:rStyle w:val="apple-converted-space"/>
          <w:rFonts w:cs="Arial"/>
          <w:i/>
          <w:iCs/>
          <w:color w:val="000000"/>
          <w:shd w:val="clear" w:color="auto" w:fill="FFFFFF"/>
        </w:rPr>
        <w:t> </w:t>
      </w:r>
      <w:r w:rsidRPr="009A38BF">
        <w:rPr>
          <w:rFonts w:cs="Arial"/>
          <w:i/>
          <w:color w:val="000000"/>
          <w:shd w:val="clear" w:color="auto" w:fill="FFFFFF"/>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Pr>
          <w:rFonts w:cs="Arial"/>
          <w:i/>
          <w:color w:val="000000"/>
          <w:shd w:val="clear" w:color="auto" w:fill="FFFFFF"/>
        </w:rPr>
        <w:t>”.</w:t>
      </w:r>
    </w:p>
    <w:p w14:paraId="614DD8E6" w14:textId="77777777" w:rsidR="0065496A" w:rsidRPr="009A38BF" w:rsidRDefault="0065496A" w:rsidP="00BC7127">
      <w:pPr>
        <w:pStyle w:val="Textonotapie"/>
        <w:spacing w:line="240" w:lineRule="auto"/>
        <w:rPr>
          <w:i/>
          <w:lang w:val="es-CO"/>
        </w:rPr>
      </w:pPr>
    </w:p>
  </w:footnote>
  <w:footnote w:id="25">
    <w:p w14:paraId="0286EA4B" w14:textId="77777777" w:rsidR="0065496A" w:rsidRPr="007674B9" w:rsidRDefault="0065496A">
      <w:pPr>
        <w:pStyle w:val="Textonotapie"/>
        <w:rPr>
          <w:lang w:val="es-CO"/>
        </w:rPr>
      </w:pPr>
      <w:r>
        <w:rPr>
          <w:rStyle w:val="Refdenotaalpie"/>
        </w:rPr>
        <w:footnoteRef/>
      </w:r>
      <w:r>
        <w:t xml:space="preserve"> </w:t>
      </w:r>
      <w:r>
        <w:rPr>
          <w:lang w:val="es-CO"/>
        </w:rPr>
        <w:t>Folios 588 y 589, cuaderno principal.</w:t>
      </w:r>
    </w:p>
  </w:footnote>
  <w:footnote w:id="26">
    <w:p w14:paraId="0CD6E098" w14:textId="77777777" w:rsidR="0065496A" w:rsidRDefault="0065496A" w:rsidP="007674B9">
      <w:pPr>
        <w:pStyle w:val="Textonotapie"/>
        <w:spacing w:line="240" w:lineRule="auto"/>
        <w:rPr>
          <w:lang w:val="es-CO"/>
        </w:rPr>
      </w:pPr>
      <w:r>
        <w:rPr>
          <w:rStyle w:val="Refdenotaalpie"/>
        </w:rPr>
        <w:footnoteRef/>
      </w:r>
      <w:r>
        <w:rPr>
          <w:lang w:val="es-CO"/>
        </w:rPr>
        <w:t>.La Agencia Nacional de Infraestructura – ANI.</w:t>
      </w:r>
    </w:p>
    <w:p w14:paraId="2A72D42E" w14:textId="77777777" w:rsidR="00D55C5F" w:rsidRPr="00C37CE3" w:rsidRDefault="00D55C5F" w:rsidP="007674B9">
      <w:pPr>
        <w:pStyle w:val="Textonotapie"/>
        <w:spacing w:line="240" w:lineRule="auto"/>
        <w:rPr>
          <w:lang w:val="es-CO"/>
        </w:rPr>
      </w:pPr>
    </w:p>
  </w:footnote>
  <w:footnote w:id="27">
    <w:p w14:paraId="1242B296" w14:textId="77777777" w:rsidR="0065496A" w:rsidRPr="00EA6D1B" w:rsidRDefault="0065496A">
      <w:pPr>
        <w:pStyle w:val="Textonotapie"/>
        <w:rPr>
          <w:lang w:val="es-CO"/>
        </w:rPr>
      </w:pPr>
      <w:r>
        <w:rPr>
          <w:rStyle w:val="Refdenotaalpie"/>
        </w:rPr>
        <w:footnoteRef/>
      </w:r>
      <w:r>
        <w:t xml:space="preserve"> </w:t>
      </w:r>
      <w:r>
        <w:rPr>
          <w:lang w:val="es-CO"/>
        </w:rPr>
        <w:t>Folio 519, cuaderno principal.</w:t>
      </w:r>
    </w:p>
  </w:footnote>
  <w:footnote w:id="28">
    <w:p w14:paraId="23C9CC78" w14:textId="77777777" w:rsidR="0065496A" w:rsidRPr="00057650" w:rsidRDefault="0065496A" w:rsidP="00E61DA2">
      <w:pPr>
        <w:pStyle w:val="Textonotapie"/>
        <w:rPr>
          <w:lang w:val="es-MX"/>
        </w:rPr>
      </w:pPr>
      <w:r>
        <w:rPr>
          <w:rStyle w:val="Refdenotaalpie"/>
        </w:rPr>
        <w:footnoteRef/>
      </w:r>
      <w:r>
        <w:t xml:space="preserve"> </w:t>
      </w:r>
      <w:r>
        <w:rPr>
          <w:lang w:val="es-MX"/>
        </w:rPr>
        <w:t xml:space="preserve">Cláusula décima del Otrosí de 30 de enero de 2014. </w:t>
      </w:r>
    </w:p>
  </w:footnote>
  <w:footnote w:id="29">
    <w:p w14:paraId="0FB5DA9F" w14:textId="77777777" w:rsidR="0065496A" w:rsidRPr="00136CE5" w:rsidRDefault="0065496A">
      <w:pPr>
        <w:pStyle w:val="Textonotapie"/>
        <w:rPr>
          <w:lang w:val="es-CO"/>
        </w:rPr>
      </w:pPr>
      <w:r>
        <w:rPr>
          <w:rStyle w:val="Refdenotaalpie"/>
        </w:rPr>
        <w:footnoteRef/>
      </w:r>
      <w:r>
        <w:t xml:space="preserve"> </w:t>
      </w:r>
      <w:r>
        <w:rPr>
          <w:lang w:val="es-CO"/>
        </w:rPr>
        <w:t>Folios 525 y 526, cuaderno principal.</w:t>
      </w:r>
    </w:p>
  </w:footnote>
  <w:footnote w:id="30">
    <w:p w14:paraId="4E90B860" w14:textId="77777777" w:rsidR="0065496A" w:rsidRPr="00DE2895" w:rsidRDefault="0065496A">
      <w:pPr>
        <w:pStyle w:val="Textonotapie"/>
        <w:rPr>
          <w:lang w:val="es-MX"/>
        </w:rPr>
      </w:pPr>
      <w:r>
        <w:rPr>
          <w:rStyle w:val="Refdenotaalpie"/>
        </w:rPr>
        <w:footnoteRef/>
      </w:r>
      <w:r>
        <w:t xml:space="preserve"> </w:t>
      </w:r>
      <w:r>
        <w:rPr>
          <w:lang w:val="es-MX"/>
        </w:rPr>
        <w:t xml:space="preserve">Folio 573 cuaderno principal- </w:t>
      </w:r>
    </w:p>
  </w:footnote>
  <w:footnote w:id="31">
    <w:p w14:paraId="20FE1C52" w14:textId="77777777" w:rsidR="0065496A" w:rsidRPr="00EE3A6D" w:rsidRDefault="0065496A">
      <w:pPr>
        <w:pStyle w:val="Textonotapie"/>
        <w:rPr>
          <w:lang w:val="es-MX"/>
        </w:rPr>
      </w:pPr>
      <w:r>
        <w:rPr>
          <w:rStyle w:val="Refdenotaalpie"/>
        </w:rPr>
        <w:footnoteRef/>
      </w:r>
      <w:r>
        <w:t xml:space="preserve"> </w:t>
      </w:r>
      <w:r>
        <w:rPr>
          <w:lang w:val="es-MX"/>
        </w:rPr>
        <w:t>Decreto 1818 de 1993, articulo 3.</w:t>
      </w:r>
    </w:p>
  </w:footnote>
  <w:footnote w:id="32">
    <w:p w14:paraId="4F914510" w14:textId="77777777" w:rsidR="00B522B8" w:rsidRPr="00F574AA" w:rsidRDefault="00B522B8" w:rsidP="00B522B8">
      <w:pPr>
        <w:pStyle w:val="Textonotapie"/>
        <w:rPr>
          <w:lang w:val="es-CO"/>
        </w:rPr>
      </w:pPr>
      <w:r>
        <w:rPr>
          <w:rStyle w:val="Refdenotaalpie"/>
        </w:rPr>
        <w:footnoteRef/>
      </w:r>
      <w:r>
        <w:t xml:space="preserve"> </w:t>
      </w:r>
      <w:r>
        <w:rPr>
          <w:lang w:val="es-CO"/>
        </w:rPr>
        <w:t xml:space="preserve">Folios 1 a 51, cuaderno 8. </w:t>
      </w:r>
    </w:p>
  </w:footnote>
  <w:footnote w:id="33">
    <w:p w14:paraId="13135766" w14:textId="77777777" w:rsidR="00B522B8" w:rsidRPr="00B5307D" w:rsidRDefault="00B522B8" w:rsidP="00B522B8">
      <w:pPr>
        <w:pStyle w:val="Textonotapie"/>
        <w:rPr>
          <w:lang w:val="es-CO"/>
        </w:rPr>
      </w:pPr>
      <w:r>
        <w:rPr>
          <w:rStyle w:val="Refdenotaalpie"/>
        </w:rPr>
        <w:footnoteRef/>
      </w:r>
      <w:r>
        <w:t xml:space="preserve"> </w:t>
      </w:r>
      <w:r>
        <w:rPr>
          <w:lang w:val="es-CO"/>
        </w:rPr>
        <w:t>Folio 1 vuelto, cuaderno 8.</w:t>
      </w:r>
    </w:p>
  </w:footnote>
  <w:footnote w:id="34">
    <w:p w14:paraId="680C9CB3" w14:textId="77777777" w:rsidR="00B522B8" w:rsidRPr="0067154A" w:rsidRDefault="00B522B8" w:rsidP="00B522B8">
      <w:pPr>
        <w:pStyle w:val="Textonotapie"/>
        <w:rPr>
          <w:lang w:val="es-CO"/>
        </w:rPr>
      </w:pPr>
      <w:r>
        <w:rPr>
          <w:rStyle w:val="Refdenotaalpie"/>
        </w:rPr>
        <w:footnoteRef/>
      </w:r>
      <w:r>
        <w:t xml:space="preserve"> </w:t>
      </w:r>
      <w:r>
        <w:rPr>
          <w:lang w:val="es-CO"/>
        </w:rPr>
        <w:t>Folios 144 a 158, cuaderno 8.</w:t>
      </w:r>
    </w:p>
  </w:footnote>
  <w:footnote w:id="35">
    <w:p w14:paraId="46E46528" w14:textId="77777777" w:rsidR="00B522B8" w:rsidRPr="007B267F" w:rsidRDefault="00B522B8" w:rsidP="00B522B8">
      <w:pPr>
        <w:pStyle w:val="Textonotapie"/>
        <w:rPr>
          <w:lang w:val="es-CO"/>
        </w:rPr>
      </w:pPr>
      <w:r>
        <w:rPr>
          <w:rStyle w:val="Refdenotaalpie"/>
        </w:rPr>
        <w:footnoteRef/>
      </w:r>
      <w:r>
        <w:t xml:space="preserve"> </w:t>
      </w:r>
      <w:r>
        <w:rPr>
          <w:lang w:val="es-CO"/>
        </w:rPr>
        <w:t>Folio 163, cuaderno 6.</w:t>
      </w:r>
    </w:p>
  </w:footnote>
  <w:footnote w:id="36">
    <w:p w14:paraId="4309791C" w14:textId="77777777" w:rsidR="0065496A" w:rsidRPr="00C007AB" w:rsidRDefault="0065496A">
      <w:pPr>
        <w:pStyle w:val="Textonotapie"/>
        <w:rPr>
          <w:lang w:val="es-CO"/>
        </w:rPr>
      </w:pPr>
      <w:r>
        <w:rPr>
          <w:rStyle w:val="Refdenotaalpie"/>
        </w:rPr>
        <w:footnoteRef/>
      </w:r>
      <w:r>
        <w:t xml:space="preserve"> </w:t>
      </w:r>
      <w:r>
        <w:rPr>
          <w:lang w:val="es-CO"/>
        </w:rPr>
        <w:t>Folio 4215, cuaderno principal.</w:t>
      </w:r>
    </w:p>
  </w:footnote>
  <w:footnote w:id="37">
    <w:p w14:paraId="5D780F3F" w14:textId="77777777" w:rsidR="0065496A" w:rsidRPr="00821E85" w:rsidRDefault="0065496A">
      <w:pPr>
        <w:pStyle w:val="Textonotapie"/>
        <w:rPr>
          <w:lang w:val="es-CO"/>
        </w:rPr>
      </w:pPr>
      <w:r>
        <w:rPr>
          <w:rStyle w:val="Refdenotaalpie"/>
        </w:rPr>
        <w:footnoteRef/>
      </w:r>
      <w:r>
        <w:t xml:space="preserve"> </w:t>
      </w:r>
      <w:r>
        <w:rPr>
          <w:lang w:val="es-CO"/>
        </w:rPr>
        <w:t>Folio 426, cuaderno principal.</w:t>
      </w:r>
    </w:p>
  </w:footnote>
  <w:footnote w:id="38">
    <w:p w14:paraId="61EDC930" w14:textId="77777777" w:rsidR="0065496A" w:rsidRPr="00D6374F" w:rsidRDefault="0065496A">
      <w:pPr>
        <w:pStyle w:val="Textonotapie"/>
        <w:rPr>
          <w:lang w:val="es-CO"/>
        </w:rPr>
      </w:pPr>
      <w:r>
        <w:rPr>
          <w:rStyle w:val="Refdenotaalpie"/>
        </w:rPr>
        <w:footnoteRef/>
      </w:r>
      <w:r>
        <w:t xml:space="preserve"> Folio 430, cuaderno principal.</w:t>
      </w:r>
    </w:p>
  </w:footnote>
  <w:footnote w:id="39">
    <w:p w14:paraId="7A4C2674" w14:textId="77777777" w:rsidR="0065496A" w:rsidRPr="00C007AB" w:rsidRDefault="0065496A">
      <w:pPr>
        <w:pStyle w:val="Textonotapie"/>
        <w:rPr>
          <w:lang w:val="es-CO"/>
        </w:rPr>
      </w:pPr>
      <w:r>
        <w:rPr>
          <w:rStyle w:val="Refdenotaalpie"/>
        </w:rPr>
        <w:footnoteRef/>
      </w:r>
      <w:r>
        <w:t xml:space="preserve"> </w:t>
      </w:r>
      <w:r>
        <w:rPr>
          <w:lang w:val="es-CO"/>
        </w:rPr>
        <w:t>Folio 432, cuaderno principal.</w:t>
      </w:r>
    </w:p>
  </w:footnote>
  <w:footnote w:id="40">
    <w:p w14:paraId="566C1F2F" w14:textId="77777777" w:rsidR="0065496A" w:rsidRPr="00E532F1" w:rsidRDefault="0065496A">
      <w:pPr>
        <w:pStyle w:val="Textonotapie"/>
        <w:rPr>
          <w:lang w:val="es-CO"/>
        </w:rPr>
      </w:pPr>
      <w:r>
        <w:rPr>
          <w:rStyle w:val="Refdenotaalpie"/>
        </w:rPr>
        <w:footnoteRef/>
      </w:r>
      <w:r>
        <w:t xml:space="preserve"> </w:t>
      </w:r>
      <w:r>
        <w:rPr>
          <w:lang w:val="es-CO"/>
        </w:rPr>
        <w:t>Folio 443, cuaderno principal.</w:t>
      </w:r>
    </w:p>
  </w:footnote>
  <w:footnote w:id="41">
    <w:p w14:paraId="0CF52F69" w14:textId="77777777" w:rsidR="0065496A" w:rsidRPr="005A4456" w:rsidRDefault="0065496A">
      <w:pPr>
        <w:pStyle w:val="Textonotapie"/>
        <w:rPr>
          <w:lang w:val="es-CO"/>
        </w:rPr>
      </w:pPr>
      <w:r>
        <w:rPr>
          <w:rStyle w:val="Refdenotaalpie"/>
        </w:rPr>
        <w:footnoteRef/>
      </w:r>
      <w:r>
        <w:t xml:space="preserve"> </w:t>
      </w:r>
      <w:r>
        <w:rPr>
          <w:lang w:val="es-CO"/>
        </w:rPr>
        <w:t>Folio 450, cuaderno principal.</w:t>
      </w:r>
    </w:p>
  </w:footnote>
  <w:footnote w:id="42">
    <w:p w14:paraId="352880C0" w14:textId="77777777" w:rsidR="0065496A" w:rsidRPr="003C62BA" w:rsidRDefault="0065496A">
      <w:pPr>
        <w:pStyle w:val="Textonotapie"/>
        <w:rPr>
          <w:lang w:val="es-CO"/>
        </w:rPr>
      </w:pPr>
      <w:r>
        <w:rPr>
          <w:rStyle w:val="Refdenotaalpie"/>
        </w:rPr>
        <w:footnoteRef/>
      </w:r>
      <w:r>
        <w:t xml:space="preserve"> </w:t>
      </w:r>
      <w:r>
        <w:rPr>
          <w:lang w:val="es-CO"/>
        </w:rPr>
        <w:t>Folio 451 cuaderno principal.</w:t>
      </w:r>
    </w:p>
  </w:footnote>
  <w:footnote w:id="43">
    <w:p w14:paraId="6DE002AA" w14:textId="77777777" w:rsidR="00A87D33" w:rsidRDefault="00A87D33" w:rsidP="00A87D33">
      <w:pPr>
        <w:pStyle w:val="Textonotapie"/>
        <w:spacing w:line="240" w:lineRule="auto"/>
        <w:rPr>
          <w:lang w:val="es-CO"/>
        </w:rPr>
      </w:pPr>
      <w:r>
        <w:rPr>
          <w:rStyle w:val="Refdenotaalpie"/>
        </w:rPr>
        <w:footnoteRef/>
      </w:r>
      <w:r>
        <w:t xml:space="preserve"> </w:t>
      </w:r>
      <w:r>
        <w:rPr>
          <w:lang w:val="es-CO"/>
        </w:rPr>
        <w:t>No se transcribe el detalle del cotejo de las órdenes de pago materia de la primera demanda arbitral, por razón de la cantidad de datos.</w:t>
      </w:r>
    </w:p>
    <w:p w14:paraId="45D32772" w14:textId="77777777" w:rsidR="00A87D33" w:rsidRPr="00720263" w:rsidRDefault="00A87D33" w:rsidP="00A87D33">
      <w:pPr>
        <w:pStyle w:val="Textonotapie"/>
        <w:spacing w:line="240" w:lineRule="auto"/>
        <w:rPr>
          <w:lang w:val="es-CO"/>
        </w:rPr>
      </w:pPr>
    </w:p>
  </w:footnote>
  <w:footnote w:id="44">
    <w:p w14:paraId="509D2BA3" w14:textId="77777777" w:rsidR="0065496A" w:rsidRPr="002E1209" w:rsidRDefault="0065496A">
      <w:pPr>
        <w:pStyle w:val="Textonotapie"/>
        <w:rPr>
          <w:lang w:val="es-CO"/>
        </w:rPr>
      </w:pPr>
      <w:r>
        <w:rPr>
          <w:rStyle w:val="Refdenotaalpie"/>
        </w:rPr>
        <w:footnoteRef/>
      </w:r>
      <w:r>
        <w:t xml:space="preserve"> Folio 157, vuelto, cuadro anexo 4, cuaderno 8.</w:t>
      </w:r>
    </w:p>
  </w:footnote>
  <w:footnote w:id="45">
    <w:p w14:paraId="389FE348" w14:textId="77777777" w:rsidR="0065496A" w:rsidRPr="002E1209" w:rsidRDefault="0065496A">
      <w:pPr>
        <w:pStyle w:val="Textonotapie"/>
        <w:rPr>
          <w:lang w:val="es-CO"/>
        </w:rPr>
      </w:pPr>
      <w:r>
        <w:rPr>
          <w:rStyle w:val="Refdenotaalpie"/>
        </w:rPr>
        <w:footnoteRef/>
      </w:r>
      <w:r>
        <w:t xml:space="preserve"> </w:t>
      </w:r>
      <w:r>
        <w:rPr>
          <w:lang w:val="es-CO"/>
        </w:rPr>
        <w:t>Folios 151, cuadro anexo 2, cuaderno 8.</w:t>
      </w:r>
    </w:p>
  </w:footnote>
  <w:footnote w:id="46">
    <w:p w14:paraId="68DF1D8A" w14:textId="77777777" w:rsidR="0065496A" w:rsidRDefault="0065496A" w:rsidP="008D77D5">
      <w:pPr>
        <w:pStyle w:val="Textonotapie"/>
        <w:spacing w:line="240" w:lineRule="auto"/>
        <w:rPr>
          <w:lang w:val="es-CO"/>
        </w:rPr>
      </w:pPr>
      <w:r w:rsidRPr="003F139A">
        <w:rPr>
          <w:rStyle w:val="Refdenotaalpie"/>
        </w:rPr>
        <w:footnoteRef/>
      </w:r>
      <w:r w:rsidRPr="003F139A">
        <w:t xml:space="preserve"> Órdenes números </w:t>
      </w:r>
      <w:r w:rsidRPr="003F139A">
        <w:rPr>
          <w:lang w:val="es-CO"/>
        </w:rPr>
        <w:t>171, 172, 200, 211, 212, 214, 218, 220, 224, 237, 265, 266, 270, 271, 282</w:t>
      </w:r>
      <w:r w:rsidR="00E72771">
        <w:rPr>
          <w:lang w:val="es-CO"/>
        </w:rPr>
        <w:t>,</w:t>
      </w:r>
      <w:r w:rsidRPr="003F139A">
        <w:rPr>
          <w:lang w:val="es-CO"/>
        </w:rPr>
        <w:t xml:space="preserve"> 311 y 490.</w:t>
      </w:r>
    </w:p>
    <w:p w14:paraId="527D35E9" w14:textId="77777777" w:rsidR="0065496A" w:rsidRPr="004D160E" w:rsidRDefault="0065496A" w:rsidP="008D77D5">
      <w:pPr>
        <w:pStyle w:val="Textonotapie"/>
        <w:spacing w:line="240" w:lineRule="auto"/>
        <w:rPr>
          <w:lang w:val="es-CO"/>
        </w:rPr>
      </w:pPr>
    </w:p>
  </w:footnote>
  <w:footnote w:id="47">
    <w:p w14:paraId="288A125F" w14:textId="77777777" w:rsidR="0065496A" w:rsidRPr="00AF551A" w:rsidRDefault="0065496A">
      <w:pPr>
        <w:pStyle w:val="Textonotapie"/>
        <w:rPr>
          <w:lang w:val="es-CO"/>
        </w:rPr>
      </w:pPr>
      <w:r>
        <w:rPr>
          <w:rStyle w:val="Refdenotaalpie"/>
        </w:rPr>
        <w:footnoteRef/>
      </w:r>
      <w:r>
        <w:t xml:space="preserve"> </w:t>
      </w:r>
      <w:r>
        <w:rPr>
          <w:lang w:val="es-CO"/>
        </w:rPr>
        <w:t>Folios 519 y 520, cuaderno 5</w:t>
      </w:r>
      <w:r w:rsidR="003F139A">
        <w:rPr>
          <w:lang w:val="es-CO"/>
        </w:rPr>
        <w:t>.</w:t>
      </w:r>
    </w:p>
  </w:footnote>
  <w:footnote w:id="48">
    <w:p w14:paraId="53EFA179" w14:textId="77777777" w:rsidR="0065496A" w:rsidRPr="002F769C" w:rsidRDefault="0065496A">
      <w:pPr>
        <w:pStyle w:val="Textonotapie"/>
        <w:rPr>
          <w:lang w:val="es-CO"/>
        </w:rPr>
      </w:pPr>
      <w:r>
        <w:rPr>
          <w:rStyle w:val="Refdenotaalpie"/>
        </w:rPr>
        <w:footnoteRef/>
      </w:r>
      <w:r>
        <w:t xml:space="preserve"> </w:t>
      </w:r>
      <w:r>
        <w:rPr>
          <w:lang w:val="es-CO"/>
        </w:rPr>
        <w:t>Folio 425, cuaderno principal.</w:t>
      </w:r>
    </w:p>
  </w:footnote>
  <w:footnote w:id="49">
    <w:p w14:paraId="2B128C6E" w14:textId="77777777" w:rsidR="0065496A" w:rsidRPr="00160BA7" w:rsidRDefault="0065496A">
      <w:pPr>
        <w:pStyle w:val="Textonotapie"/>
        <w:rPr>
          <w:lang w:val="es-CO"/>
        </w:rPr>
      </w:pPr>
      <w:r>
        <w:rPr>
          <w:rStyle w:val="Refdenotaalpie"/>
        </w:rPr>
        <w:footnoteRef/>
      </w:r>
      <w:r>
        <w:t xml:space="preserve"> </w:t>
      </w:r>
      <w:r>
        <w:rPr>
          <w:lang w:val="es-CO"/>
        </w:rPr>
        <w:t>Folio 489. Cuaderno principal.</w:t>
      </w:r>
    </w:p>
  </w:footnote>
  <w:footnote w:id="50">
    <w:p w14:paraId="01A219E7" w14:textId="77777777" w:rsidR="0065496A" w:rsidRPr="008A5A7E" w:rsidRDefault="0065496A">
      <w:pPr>
        <w:pStyle w:val="Textonotapie"/>
        <w:rPr>
          <w:lang w:val="es-MX"/>
        </w:rPr>
      </w:pPr>
      <w:r>
        <w:rPr>
          <w:rStyle w:val="Refdenotaalpie"/>
        </w:rPr>
        <w:footnoteRef/>
      </w:r>
      <w:r>
        <w:t xml:space="preserve"> </w:t>
      </w:r>
      <w:r>
        <w:rPr>
          <w:lang w:val="es-MX"/>
        </w:rPr>
        <w:t>Folio 531, cuaderno principal.</w:t>
      </w:r>
    </w:p>
  </w:footnote>
  <w:footnote w:id="51">
    <w:p w14:paraId="42C86066" w14:textId="77777777" w:rsidR="0065496A" w:rsidRDefault="0065496A" w:rsidP="004F2068">
      <w:pPr>
        <w:pStyle w:val="Textonotapie"/>
        <w:spacing w:line="240" w:lineRule="auto"/>
        <w:rPr>
          <w:rFonts w:cs="Arial"/>
          <w:i/>
          <w:color w:val="000000"/>
          <w:shd w:val="clear" w:color="auto" w:fill="FFFFFF"/>
        </w:rPr>
      </w:pPr>
      <w:r>
        <w:rPr>
          <w:rStyle w:val="Refdenotaalpie"/>
        </w:rPr>
        <w:footnoteRef/>
      </w:r>
      <w:r>
        <w:t xml:space="preserve"> </w:t>
      </w:r>
      <w:r w:rsidRPr="00576344">
        <w:rPr>
          <w:i/>
        </w:rPr>
        <w:t>“</w:t>
      </w:r>
      <w:r w:rsidRPr="00576344">
        <w:rPr>
          <w:rFonts w:cs="Arial"/>
          <w:i/>
          <w:color w:val="000000"/>
          <w:shd w:val="clear" w:color="auto" w:fill="FFFFFF"/>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14:paraId="1C270CB7" w14:textId="77777777" w:rsidR="0065496A" w:rsidRPr="00576344" w:rsidRDefault="0065496A" w:rsidP="004F2068">
      <w:pPr>
        <w:pStyle w:val="Textonotapie"/>
        <w:spacing w:line="240" w:lineRule="auto"/>
        <w:rPr>
          <w:i/>
          <w:lang w:val="es-CO"/>
        </w:rPr>
      </w:pPr>
    </w:p>
  </w:footnote>
  <w:footnote w:id="52">
    <w:p w14:paraId="211F7763" w14:textId="77777777" w:rsidR="0065496A" w:rsidRPr="007163D3" w:rsidRDefault="0065496A" w:rsidP="00F36E5A">
      <w:pPr>
        <w:pStyle w:val="Textonotapie"/>
        <w:spacing w:line="240" w:lineRule="auto"/>
        <w:rPr>
          <w:lang w:val="es-CO"/>
        </w:rPr>
      </w:pPr>
      <w:r>
        <w:rPr>
          <w:rStyle w:val="Refdenotaalpie"/>
        </w:rPr>
        <w:footnoteRef/>
      </w:r>
      <w:r>
        <w:t xml:space="preserve"> Sobre el fallo en conciencia puede consultarse: </w:t>
      </w:r>
      <w:r w:rsidRPr="002F6C66">
        <w:rPr>
          <w:rFonts w:cs="Arial"/>
        </w:rPr>
        <w:t xml:space="preserve">Consejo de Estado, Sala de lo Contencioso Administrativo, Sección Tercera – Subsección A, </w:t>
      </w:r>
      <w:r w:rsidR="00834017">
        <w:rPr>
          <w:rFonts w:cs="Arial"/>
          <w:lang w:val="es-CO"/>
        </w:rPr>
        <w:t>sentencia de</w:t>
      </w:r>
      <w:r w:rsidRPr="002F6C66">
        <w:rPr>
          <w:rFonts w:cs="Arial"/>
        </w:rPr>
        <w:t xml:space="preserve"> 22 de febrero  de 2017, radicación: 110010322600020160015200 (58068), actor: Consorcio Patios Sur - Constructora </w:t>
      </w:r>
      <w:r>
        <w:rPr>
          <w:rFonts w:cs="Arial"/>
        </w:rPr>
        <w:t xml:space="preserve">e </w:t>
      </w:r>
      <w:r w:rsidRPr="002F6C66">
        <w:rPr>
          <w:rFonts w:cs="Arial"/>
        </w:rPr>
        <w:t xml:space="preserve">Inmobiliaria Romana S.A. – García Ríos Constructores S.A. </w:t>
      </w:r>
      <w:r>
        <w:rPr>
          <w:rFonts w:cs="Arial"/>
        </w:rPr>
        <w:t>y</w:t>
      </w:r>
      <w:r w:rsidRPr="002F6C66">
        <w:rPr>
          <w:rFonts w:cs="Arial"/>
        </w:rPr>
        <w:t xml:space="preserve"> Grupo Empresarial Nirvana S.A.S., demandado: METRO CALI S.A.</w:t>
      </w:r>
      <w:r>
        <w:rPr>
          <w:rFonts w:cs="Arial"/>
        </w:rPr>
        <w:t>,</w:t>
      </w:r>
      <w:r w:rsidRPr="002F6C66">
        <w:rPr>
          <w:rFonts w:cs="Arial"/>
        </w:rPr>
        <w:t xml:space="preserve"> </w:t>
      </w:r>
      <w:r>
        <w:rPr>
          <w:rFonts w:cs="Arial"/>
        </w:rPr>
        <w:t>r</w:t>
      </w:r>
      <w:r w:rsidRPr="002F6C66">
        <w:rPr>
          <w:rFonts w:cs="Arial"/>
        </w:rPr>
        <w:t>eferencia: recurso extraordinario de anulación de laudo</w:t>
      </w:r>
      <w:r>
        <w:rPr>
          <w:rFonts w:cs="Arial"/>
        </w:rPr>
        <w:t>.</w:t>
      </w:r>
    </w:p>
  </w:footnote>
  <w:footnote w:id="53">
    <w:p w14:paraId="4F33DF90" w14:textId="77777777" w:rsidR="0065496A" w:rsidRDefault="0065496A" w:rsidP="008A2705">
      <w:pPr>
        <w:pStyle w:val="Textoindependiente22"/>
        <w:numPr>
          <w:ilvl w:val="12"/>
          <w:numId w:val="0"/>
        </w:numPr>
        <w:overflowPunct/>
        <w:autoSpaceDE/>
        <w:autoSpaceDN/>
        <w:adjustRightInd/>
        <w:spacing w:line="240" w:lineRule="auto"/>
        <w:textAlignment w:val="auto"/>
        <w:rPr>
          <w:sz w:val="20"/>
        </w:rPr>
      </w:pPr>
      <w:r w:rsidRPr="003B6665">
        <w:rPr>
          <w:rStyle w:val="Refdenotaalpie"/>
          <w:sz w:val="20"/>
        </w:rPr>
        <w:footnoteRef/>
      </w:r>
      <w:r w:rsidRPr="00C24D4B">
        <w:rPr>
          <w:sz w:val="20"/>
        </w:rPr>
        <w:t xml:space="preserve">Consejo de Estado, Sala de lo Contencioso Administrativo, Sección Tercera, Subsección C, Consejero ponente: Enrique Gil Botero, sentencia de 18 de enero de 2012, radicación número: 11001-03-26-000-2010-00078-00(40082), actor: Bancolombia, demandado: Fondo </w:t>
      </w:r>
      <w:r>
        <w:rPr>
          <w:sz w:val="20"/>
        </w:rPr>
        <w:t>d</w:t>
      </w:r>
      <w:r w:rsidRPr="00C24D4B">
        <w:rPr>
          <w:sz w:val="20"/>
        </w:rPr>
        <w:t>e Garant</w:t>
      </w:r>
      <w:r>
        <w:rPr>
          <w:sz w:val="20"/>
        </w:rPr>
        <w:t>í</w:t>
      </w:r>
      <w:r w:rsidRPr="00C24D4B">
        <w:rPr>
          <w:sz w:val="20"/>
        </w:rPr>
        <w:t xml:space="preserve">as </w:t>
      </w:r>
      <w:r>
        <w:rPr>
          <w:sz w:val="20"/>
        </w:rPr>
        <w:t>d</w:t>
      </w:r>
      <w:r w:rsidRPr="00C24D4B">
        <w:rPr>
          <w:sz w:val="20"/>
        </w:rPr>
        <w:t xml:space="preserve">e Instituciones Financieras – </w:t>
      </w:r>
      <w:r w:rsidRPr="00C24D4B">
        <w:rPr>
          <w:sz w:val="20"/>
        </w:rPr>
        <w:t>Fogafin, referencia: anulación laudo arbitral</w:t>
      </w:r>
      <w:r>
        <w:t xml:space="preserve">. </w:t>
      </w:r>
      <w:r w:rsidRPr="00C24D4B">
        <w:rPr>
          <w:sz w:val="20"/>
        </w:rPr>
        <w:t xml:space="preserve">En forma similar se </w:t>
      </w:r>
      <w:r>
        <w:rPr>
          <w:sz w:val="20"/>
        </w:rPr>
        <w:t xml:space="preserve">había elaborado el concepto general del fallo en conciencia </w:t>
      </w:r>
      <w:r w:rsidRPr="00C24D4B">
        <w:rPr>
          <w:sz w:val="20"/>
        </w:rPr>
        <w:t xml:space="preserve">desde las sentencias de abril 3 de 1992, mayo 4 de 2000 y octubre 2 de 2003 (expedientes 6695, 16766 y 24320) y en la  sentencia de 24 de marzo del 2.011, Sección Tercera, Subsección C, </w:t>
      </w:r>
      <w:r>
        <w:rPr>
          <w:sz w:val="20"/>
        </w:rPr>
        <w:t>e</w:t>
      </w:r>
      <w:r w:rsidRPr="00C24D4B">
        <w:rPr>
          <w:sz w:val="20"/>
        </w:rPr>
        <w:t xml:space="preserve">xpediente. 38.484. </w:t>
      </w:r>
    </w:p>
    <w:p w14:paraId="141485E9" w14:textId="77777777" w:rsidR="0065496A" w:rsidRDefault="0065496A" w:rsidP="008A2705">
      <w:pPr>
        <w:pStyle w:val="Textoindependiente22"/>
        <w:numPr>
          <w:ilvl w:val="12"/>
          <w:numId w:val="0"/>
        </w:numPr>
        <w:overflowPunct/>
        <w:autoSpaceDE/>
        <w:autoSpaceDN/>
        <w:adjustRightInd/>
        <w:spacing w:line="240" w:lineRule="auto"/>
        <w:textAlignment w:val="auto"/>
        <w:rPr>
          <w:sz w:val="20"/>
        </w:rPr>
      </w:pPr>
    </w:p>
    <w:p w14:paraId="7261F304" w14:textId="77777777" w:rsidR="0065496A" w:rsidRPr="00C24D4B" w:rsidRDefault="0065496A" w:rsidP="008A2705">
      <w:pPr>
        <w:pStyle w:val="Textoindependiente22"/>
        <w:numPr>
          <w:ilvl w:val="12"/>
          <w:numId w:val="0"/>
        </w:numPr>
        <w:overflowPunct/>
        <w:autoSpaceDE/>
        <w:autoSpaceDN/>
        <w:adjustRightInd/>
        <w:spacing w:line="240" w:lineRule="auto"/>
        <w:textAlignment w:val="auto"/>
        <w:rPr>
          <w:b/>
          <w:sz w:val="20"/>
        </w:rPr>
      </w:pPr>
      <w:r>
        <w:rPr>
          <w:sz w:val="20"/>
        </w:rPr>
        <w:t xml:space="preserve">En relación con la causal de fallo en conciencia dentro de un  recurso de anulación bajo la Ley 1563 de 2012, puede citarse: </w:t>
      </w:r>
      <w:r w:rsidRPr="002F6C66">
        <w:rPr>
          <w:rFonts w:cs="Arial"/>
          <w:sz w:val="20"/>
        </w:rPr>
        <w:t xml:space="preserve">Consejo de Estado, Sala de lo Contencioso Administrativo, Sección Tercera – Subsección A, </w:t>
      </w:r>
      <w:r w:rsidRPr="002F6C66">
        <w:rPr>
          <w:rFonts w:cs="Arial"/>
          <w:sz w:val="20"/>
          <w:lang w:val="es-CO"/>
        </w:rPr>
        <w:t xml:space="preserve">sentencia de </w:t>
      </w:r>
      <w:r w:rsidRPr="002F6C66">
        <w:rPr>
          <w:rFonts w:cs="Arial"/>
          <w:sz w:val="20"/>
        </w:rPr>
        <w:t xml:space="preserve"> 22 de febrero  de 2017, radicación: 110010322600020160015200 (58068), actor: Consorcio Patios Sur - Constructora </w:t>
      </w:r>
      <w:r>
        <w:rPr>
          <w:rFonts w:cs="Arial"/>
          <w:sz w:val="20"/>
        </w:rPr>
        <w:t xml:space="preserve">e </w:t>
      </w:r>
      <w:r w:rsidRPr="002F6C66">
        <w:rPr>
          <w:rFonts w:cs="Arial"/>
          <w:sz w:val="20"/>
        </w:rPr>
        <w:t xml:space="preserve">Inmobiliaria Romana S.A. – García Ríos Constructores S.A. </w:t>
      </w:r>
      <w:r>
        <w:rPr>
          <w:rFonts w:cs="Arial"/>
          <w:sz w:val="20"/>
        </w:rPr>
        <w:t>y</w:t>
      </w:r>
      <w:r w:rsidRPr="002F6C66">
        <w:rPr>
          <w:rFonts w:cs="Arial"/>
          <w:sz w:val="20"/>
        </w:rPr>
        <w:t xml:space="preserve"> Grupo Empresarial Nirvana S.A.S., demandado: METRO CALI S.A.</w:t>
      </w:r>
      <w:r>
        <w:rPr>
          <w:rFonts w:cs="Arial"/>
          <w:sz w:val="20"/>
        </w:rPr>
        <w:t>,</w:t>
      </w:r>
      <w:r w:rsidRPr="002F6C66">
        <w:rPr>
          <w:rFonts w:cs="Arial"/>
          <w:sz w:val="20"/>
        </w:rPr>
        <w:t xml:space="preserve"> </w:t>
      </w:r>
      <w:r>
        <w:rPr>
          <w:rFonts w:cs="Arial"/>
          <w:sz w:val="20"/>
        </w:rPr>
        <w:t>r</w:t>
      </w:r>
      <w:r w:rsidRPr="002F6C66">
        <w:rPr>
          <w:rFonts w:cs="Arial"/>
          <w:sz w:val="20"/>
        </w:rPr>
        <w:t>eferencia: recurso extraordinario de anulación de laudo</w:t>
      </w:r>
      <w:r>
        <w:rPr>
          <w:rFonts w:cs="Arial"/>
          <w:sz w:val="20"/>
        </w:rPr>
        <w:t>.</w:t>
      </w:r>
    </w:p>
    <w:p w14:paraId="32B4C336" w14:textId="77777777" w:rsidR="0065496A" w:rsidRPr="004734BF" w:rsidRDefault="0065496A" w:rsidP="0074145A">
      <w:pPr>
        <w:autoSpaceDE w:val="0"/>
        <w:autoSpaceDN w:val="0"/>
        <w:adjustRightInd w:val="0"/>
        <w:spacing w:line="240" w:lineRule="auto"/>
        <w:jc w:val="left"/>
        <w:rPr>
          <w:i/>
          <w:sz w:val="20"/>
          <w:szCs w:val="20"/>
          <w:lang w:val="es-CO"/>
        </w:rPr>
      </w:pPr>
    </w:p>
  </w:footnote>
  <w:footnote w:id="54">
    <w:p w14:paraId="5BB1B1AD" w14:textId="77777777" w:rsidR="0065496A" w:rsidRDefault="0065496A" w:rsidP="004F2068">
      <w:pPr>
        <w:pStyle w:val="NormalWeb"/>
        <w:shd w:val="clear" w:color="auto" w:fill="FFFFFF"/>
        <w:spacing w:before="0" w:beforeAutospacing="0" w:after="0" w:afterAutospacing="0" w:line="240" w:lineRule="auto"/>
        <w:rPr>
          <w:rFonts w:cs="Arial"/>
          <w:i/>
          <w:color w:val="000000"/>
          <w:sz w:val="20"/>
          <w:szCs w:val="20"/>
        </w:rPr>
      </w:pPr>
      <w:r w:rsidRPr="00874FE9">
        <w:rPr>
          <w:rStyle w:val="Refdenotaalpie"/>
          <w:i/>
          <w:sz w:val="20"/>
          <w:szCs w:val="20"/>
        </w:rPr>
        <w:footnoteRef/>
      </w:r>
      <w:r w:rsidRPr="00874FE9">
        <w:rPr>
          <w:i/>
          <w:sz w:val="20"/>
          <w:szCs w:val="20"/>
        </w:rPr>
        <w:t xml:space="preserve"> </w:t>
      </w:r>
      <w:r w:rsidRPr="00F63874">
        <w:rPr>
          <w:sz w:val="20"/>
          <w:szCs w:val="20"/>
        </w:rPr>
        <w:t>Cita Original de la sentencia</w:t>
      </w:r>
      <w:r>
        <w:rPr>
          <w:sz w:val="20"/>
          <w:szCs w:val="20"/>
        </w:rPr>
        <w:t>:</w:t>
      </w:r>
      <w:r>
        <w:rPr>
          <w:i/>
          <w:sz w:val="20"/>
          <w:szCs w:val="20"/>
        </w:rPr>
        <w:t xml:space="preserve"> “</w:t>
      </w:r>
      <w:r w:rsidRPr="00874FE9">
        <w:rPr>
          <w:rFonts w:cs="Arial"/>
          <w:bCs/>
          <w:i/>
          <w:color w:val="000000"/>
          <w:sz w:val="20"/>
          <w:szCs w:val="20"/>
        </w:rPr>
        <w:t>A</w:t>
      </w:r>
      <w:r>
        <w:rPr>
          <w:rFonts w:cs="Arial"/>
          <w:bCs/>
          <w:i/>
          <w:color w:val="000000"/>
          <w:sz w:val="20"/>
          <w:szCs w:val="20"/>
        </w:rPr>
        <w:t>rtículo</w:t>
      </w:r>
      <w:r w:rsidRPr="00874FE9">
        <w:rPr>
          <w:rFonts w:cs="Arial"/>
          <w:bCs/>
          <w:i/>
          <w:color w:val="000000"/>
          <w:sz w:val="20"/>
          <w:szCs w:val="20"/>
        </w:rPr>
        <w:t xml:space="preserve"> 230 C.P.</w:t>
      </w:r>
      <w:r w:rsidRPr="00874FE9">
        <w:rPr>
          <w:rFonts w:cs="Arial"/>
          <w:b/>
          <w:bCs/>
          <w:i/>
          <w:color w:val="000000"/>
          <w:sz w:val="20"/>
          <w:szCs w:val="20"/>
        </w:rPr>
        <w:t> </w:t>
      </w:r>
      <w:r w:rsidRPr="00874FE9">
        <w:rPr>
          <w:rFonts w:cs="Arial"/>
          <w:i/>
          <w:color w:val="000000"/>
          <w:sz w:val="20"/>
          <w:szCs w:val="20"/>
        </w:rPr>
        <w:t>Los jueces, en sus providencias, sólo están sometidos al imperio de la ley.</w:t>
      </w:r>
    </w:p>
    <w:p w14:paraId="4AFA297E" w14:textId="77777777" w:rsidR="0065496A" w:rsidRPr="00874FE9" w:rsidRDefault="0065496A" w:rsidP="004F2068">
      <w:pPr>
        <w:pStyle w:val="NormalWeb"/>
        <w:shd w:val="clear" w:color="auto" w:fill="FFFFFF"/>
        <w:spacing w:before="0" w:beforeAutospacing="0" w:after="0" w:afterAutospacing="0" w:line="240" w:lineRule="auto"/>
        <w:rPr>
          <w:rFonts w:cs="Arial"/>
          <w:i/>
          <w:color w:val="000000"/>
          <w:sz w:val="20"/>
          <w:szCs w:val="20"/>
        </w:rPr>
      </w:pPr>
    </w:p>
    <w:p w14:paraId="7A1692F9" w14:textId="77777777" w:rsidR="0065496A" w:rsidRPr="00874FE9" w:rsidRDefault="0065496A" w:rsidP="004F2068">
      <w:pPr>
        <w:shd w:val="clear" w:color="auto" w:fill="FFFFFF"/>
        <w:spacing w:line="240" w:lineRule="auto"/>
        <w:rPr>
          <w:rFonts w:cs="Arial"/>
          <w:i/>
          <w:color w:val="000000"/>
          <w:sz w:val="20"/>
          <w:szCs w:val="20"/>
        </w:rPr>
      </w:pPr>
      <w:r>
        <w:rPr>
          <w:rFonts w:cs="Arial"/>
          <w:i/>
          <w:color w:val="000000"/>
          <w:sz w:val="20"/>
          <w:szCs w:val="20"/>
        </w:rPr>
        <w:t>“</w:t>
      </w:r>
      <w:r w:rsidRPr="00874FE9">
        <w:rPr>
          <w:rFonts w:cs="Arial"/>
          <w:i/>
          <w:color w:val="000000"/>
          <w:sz w:val="20"/>
          <w:szCs w:val="20"/>
        </w:rPr>
        <w:t>La equidad, la jurisprudencia, los principios generales del derecho y la doctrina son criterios auxiliares de la actividad judicial</w:t>
      </w:r>
      <w:r>
        <w:rPr>
          <w:rFonts w:cs="Arial"/>
          <w:i/>
          <w:color w:val="000000"/>
          <w:sz w:val="20"/>
          <w:szCs w:val="20"/>
        </w:rPr>
        <w:t>”.</w:t>
      </w:r>
    </w:p>
    <w:p w14:paraId="4F11503E" w14:textId="77777777" w:rsidR="0065496A" w:rsidRPr="00874FE9" w:rsidRDefault="0065496A" w:rsidP="004F2068">
      <w:pPr>
        <w:pStyle w:val="Textonotapie"/>
        <w:rPr>
          <w:lang w:val="es-CO"/>
        </w:rPr>
      </w:pPr>
    </w:p>
  </w:footnote>
  <w:footnote w:id="55">
    <w:p w14:paraId="6640490A" w14:textId="77777777" w:rsidR="0065496A" w:rsidRPr="00F63874" w:rsidRDefault="0065496A" w:rsidP="004F2068">
      <w:pPr>
        <w:pStyle w:val="Car"/>
        <w:widowControl w:val="0"/>
        <w:jc w:val="both"/>
        <w:rPr>
          <w:b w:val="0"/>
          <w:i/>
        </w:rPr>
      </w:pPr>
      <w:r w:rsidRPr="00800451">
        <w:rPr>
          <w:rStyle w:val="Refdenotaalpie"/>
          <w:b w:val="0"/>
        </w:rPr>
        <w:footnoteRef/>
      </w:r>
      <w:r w:rsidRPr="00800451">
        <w:rPr>
          <w:b w:val="0"/>
        </w:rPr>
        <w:t xml:space="preserve"> </w:t>
      </w:r>
      <w:r>
        <w:rPr>
          <w:b w:val="0"/>
        </w:rPr>
        <w:t>Cita original de la Sentencia:</w:t>
      </w:r>
      <w:r w:rsidRPr="00800451">
        <w:rPr>
          <w:b w:val="0"/>
        </w:rPr>
        <w:t xml:space="preserve"> </w:t>
      </w:r>
      <w:r w:rsidRPr="00F63874">
        <w:rPr>
          <w:b w:val="0"/>
          <w:i/>
        </w:rPr>
        <w:t xml:space="preserve">“Consejo de Estado, </w:t>
      </w:r>
      <w:r w:rsidRPr="00F63874">
        <w:rPr>
          <w:b w:val="0"/>
          <w:bCs w:val="0"/>
          <w:i/>
        </w:rPr>
        <w:t xml:space="preserve">Sala de lo Contencioso Administrativo, Sección Tercera, Subsección A, Consejero ponente: Hernán Andrade Rincón (E), </w:t>
      </w:r>
      <w:r w:rsidRPr="00F63874">
        <w:rPr>
          <w:b w:val="0"/>
          <w:i/>
        </w:rPr>
        <w:t>27 de mayo de 2015, r</w:t>
      </w:r>
      <w:r w:rsidRPr="00F63874">
        <w:rPr>
          <w:b w:val="0"/>
          <w:bCs w:val="0"/>
          <w:i/>
        </w:rPr>
        <w:t>adicación número: 1</w:t>
      </w:r>
      <w:r w:rsidRPr="00F63874">
        <w:rPr>
          <w:b w:val="0"/>
          <w:i/>
        </w:rPr>
        <w:t>1001-03-26-000-2014-00190-00(52930), actor: CONSORCIO L&amp;M, d</w:t>
      </w:r>
      <w:r w:rsidRPr="00F63874">
        <w:rPr>
          <w:b w:val="0"/>
          <w:bCs w:val="0"/>
          <w:i/>
        </w:rPr>
        <w:t xml:space="preserve">emandado: </w:t>
      </w:r>
      <w:r w:rsidRPr="00F63874">
        <w:rPr>
          <w:b w:val="0"/>
          <w:i/>
        </w:rPr>
        <w:t>Instituto de Desarrollo Urbano, r</w:t>
      </w:r>
      <w:r w:rsidRPr="00F63874">
        <w:rPr>
          <w:b w:val="0"/>
          <w:bCs w:val="0"/>
          <w:i/>
        </w:rPr>
        <w:t xml:space="preserve">eferencia: </w:t>
      </w:r>
      <w:r w:rsidRPr="00F63874">
        <w:rPr>
          <w:b w:val="0"/>
          <w:i/>
        </w:rPr>
        <w:t>recurso extraordinario de anulación”.</w:t>
      </w:r>
    </w:p>
    <w:p w14:paraId="4B3F01C3" w14:textId="77777777" w:rsidR="0065496A" w:rsidRPr="00627E1E" w:rsidRDefault="0065496A" w:rsidP="004F2068">
      <w:pPr>
        <w:pStyle w:val="Textonotapie"/>
        <w:spacing w:line="240" w:lineRule="auto"/>
        <w:rPr>
          <w:lang w:val="es-CO"/>
        </w:rPr>
      </w:pPr>
    </w:p>
  </w:footnote>
  <w:footnote w:id="56">
    <w:p w14:paraId="4B337CB7" w14:textId="77777777" w:rsidR="0065496A" w:rsidRPr="00627E1E" w:rsidRDefault="0065496A" w:rsidP="004F2068">
      <w:pPr>
        <w:pStyle w:val="Textonotapie"/>
        <w:spacing w:line="240" w:lineRule="auto"/>
        <w:rPr>
          <w:lang w:val="es-CO"/>
        </w:rPr>
      </w:pPr>
      <w:r w:rsidRPr="00627E1E">
        <w:rPr>
          <w:rStyle w:val="Refdenotaalpie"/>
        </w:rPr>
        <w:footnoteRef/>
      </w:r>
      <w:r w:rsidRPr="00627E1E">
        <w:t xml:space="preserve"> Consejo de Estado, Sala de lo Contencioso Administrativo, Sección Tercera – Subsección A,</w:t>
      </w:r>
      <w:r w:rsidRPr="00627E1E">
        <w:rPr>
          <w:lang w:val="es-CO"/>
        </w:rPr>
        <w:t xml:space="preserve">, sentencia de </w:t>
      </w:r>
      <w:r w:rsidRPr="00627E1E">
        <w:t xml:space="preserve">21 de septiembre de 2016, radicación: 11001032600020160005700 (56728), actor: </w:t>
      </w:r>
      <w:r w:rsidRPr="00627E1E">
        <w:t xml:space="preserve">Sainc Ingenieros Constructores S.A. </w:t>
      </w:r>
      <w:r>
        <w:t>y</w:t>
      </w:r>
      <w:r w:rsidRPr="00627E1E">
        <w:t xml:space="preserve"> Construcciones El Cóndor S.A. integrantes del Consorcio Distritos Bogotá, demandado: Instituto de Desarrollo Urbano IDU, referencia: recurso extraordinario de anulación de laudo arbitral</w:t>
      </w:r>
      <w:r>
        <w:t>.</w:t>
      </w:r>
      <w:r w:rsidRPr="00627E1E">
        <w:t xml:space="preserve"> </w:t>
      </w:r>
    </w:p>
  </w:footnote>
  <w:footnote w:id="57">
    <w:p w14:paraId="11446162" w14:textId="77777777" w:rsidR="0065496A" w:rsidRPr="00152A85" w:rsidRDefault="0065496A" w:rsidP="00960A80">
      <w:pPr>
        <w:pStyle w:val="Textonotapie"/>
        <w:rPr>
          <w:lang w:val="es-CO"/>
        </w:rPr>
      </w:pPr>
      <w:r>
        <w:rPr>
          <w:rStyle w:val="Refdenotaalpie"/>
        </w:rPr>
        <w:footnoteRef/>
      </w:r>
      <w:r>
        <w:t xml:space="preserve"> </w:t>
      </w:r>
      <w:r>
        <w:rPr>
          <w:lang w:val="es-CO"/>
        </w:rPr>
        <w:t xml:space="preserve">Folios 490 a 497, cuaderno principal. </w:t>
      </w:r>
    </w:p>
  </w:footnote>
  <w:footnote w:id="58">
    <w:p w14:paraId="0758AB78" w14:textId="77777777" w:rsidR="0065496A" w:rsidRPr="009C6B05" w:rsidRDefault="0065496A">
      <w:pPr>
        <w:pStyle w:val="Textonotapie"/>
        <w:rPr>
          <w:lang w:val="es-CO"/>
        </w:rPr>
      </w:pPr>
      <w:r>
        <w:rPr>
          <w:rStyle w:val="Refdenotaalpie"/>
        </w:rPr>
        <w:footnoteRef/>
      </w:r>
      <w:r>
        <w:t xml:space="preserve"> </w:t>
      </w:r>
      <w:r>
        <w:rPr>
          <w:lang w:val="es-CO"/>
        </w:rPr>
        <w:t>Folio 489, cuaderno principal.</w:t>
      </w:r>
    </w:p>
  </w:footnote>
  <w:footnote w:id="59">
    <w:p w14:paraId="6FB6DD47" w14:textId="77777777" w:rsidR="0065496A" w:rsidRPr="00A97A8C" w:rsidRDefault="0065496A" w:rsidP="00097C2E">
      <w:pPr>
        <w:pStyle w:val="Textonotapie"/>
        <w:spacing w:line="240" w:lineRule="auto"/>
        <w:rPr>
          <w:lang w:val="es-CO"/>
        </w:rPr>
      </w:pPr>
      <w:r>
        <w:rPr>
          <w:rStyle w:val="Refdenotaalpie"/>
        </w:rPr>
        <w:footnoteRef/>
      </w:r>
      <w:r>
        <w:t xml:space="preserve"> </w:t>
      </w:r>
      <w:r>
        <w:rPr>
          <w:lang w:val="es-CO"/>
        </w:rPr>
        <w:t xml:space="preserve">El Tribunal observó que el contrato se firmó bajo el esquema de los contratos de primera generación y cuando ya se había expedido el CONPES 2775 de 1999, </w:t>
      </w:r>
      <w:r w:rsidR="00300E5D">
        <w:rPr>
          <w:lang w:val="es-CO"/>
        </w:rPr>
        <w:t xml:space="preserve">se tuvo en cuenta </w:t>
      </w:r>
      <w:r>
        <w:rPr>
          <w:lang w:val="es-CO"/>
        </w:rPr>
        <w:t>el modelo financiero de la segunda generación de concesiones. De allí que advirtió que el contrato fue producto de la “dualidad entre la primera y la segunda generación de concesiones” y que</w:t>
      </w:r>
      <w:r w:rsidR="00300E5D">
        <w:rPr>
          <w:lang w:val="es-CO"/>
        </w:rPr>
        <w:t>,</w:t>
      </w:r>
      <w:r>
        <w:rPr>
          <w:lang w:val="es-CO"/>
        </w:rPr>
        <w:t xml:space="preserve"> </w:t>
      </w:r>
      <w:r w:rsidR="00300E5D">
        <w:rPr>
          <w:lang w:val="es-CO"/>
        </w:rPr>
        <w:t xml:space="preserve">finalmente, </w:t>
      </w:r>
      <w:r>
        <w:rPr>
          <w:lang w:val="es-CO"/>
        </w:rPr>
        <w:t>fue modificado de conformidad con el contenido del Otrosí de enero 30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E519" w14:textId="77777777" w:rsidR="0065496A" w:rsidRDefault="0065496A"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C7A74F" w14:textId="77777777" w:rsidR="0065496A" w:rsidRDefault="0065496A"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639AF" w14:textId="77777777" w:rsidR="0065496A" w:rsidRPr="006D4B5F" w:rsidRDefault="0065496A" w:rsidP="00AD2DD8">
    <w:pPr>
      <w:widowControl w:val="0"/>
      <w:autoSpaceDE w:val="0"/>
      <w:autoSpaceDN w:val="0"/>
      <w:adjustRightInd w:val="0"/>
      <w:spacing w:line="240" w:lineRule="auto"/>
      <w:ind w:right="357"/>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AA139F"/>
    <w:multiLevelType w:val="hybridMultilevel"/>
    <w:tmpl w:val="753E574E"/>
    <w:lvl w:ilvl="0" w:tplc="B8C636E0">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6"/>
  </w:num>
  <w:num w:numId="2">
    <w:abstractNumId w:val="27"/>
  </w:num>
  <w:num w:numId="3">
    <w:abstractNumId w:val="25"/>
  </w:num>
  <w:num w:numId="4">
    <w:abstractNumId w:val="12"/>
  </w:num>
  <w:num w:numId="5">
    <w:abstractNumId w:val="15"/>
  </w:num>
  <w:num w:numId="6">
    <w:abstractNumId w:val="4"/>
  </w:num>
  <w:num w:numId="7">
    <w:abstractNumId w:val="26"/>
  </w:num>
  <w:num w:numId="8">
    <w:abstractNumId w:val="5"/>
  </w:num>
  <w:num w:numId="9">
    <w:abstractNumId w:val="2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9"/>
  </w:num>
  <w:num w:numId="13">
    <w:abstractNumId w:val="5"/>
  </w:num>
  <w:num w:numId="14">
    <w:abstractNumId w:val="24"/>
  </w:num>
  <w:num w:numId="15">
    <w:abstractNumId w:val="3"/>
  </w:num>
  <w:num w:numId="16">
    <w:abstractNumId w:val="13"/>
  </w:num>
  <w:num w:numId="17">
    <w:abstractNumId w:val="7"/>
  </w:num>
  <w:num w:numId="18">
    <w:abstractNumId w:val="17"/>
  </w:num>
  <w:num w:numId="19">
    <w:abstractNumId w:val="23"/>
  </w:num>
  <w:num w:numId="20">
    <w:abstractNumId w:val="28"/>
  </w:num>
  <w:num w:numId="21">
    <w:abstractNumId w:val="20"/>
  </w:num>
  <w:num w:numId="22">
    <w:abstractNumId w:val="1"/>
  </w:num>
  <w:num w:numId="23">
    <w:abstractNumId w:val="21"/>
  </w:num>
  <w:num w:numId="24">
    <w:abstractNumId w:val="2"/>
  </w:num>
  <w:num w:numId="25">
    <w:abstractNumId w:val="6"/>
  </w:num>
  <w:num w:numId="26">
    <w:abstractNumId w:val="8"/>
  </w:num>
  <w:num w:numId="27">
    <w:abstractNumId w:val="18"/>
  </w:num>
  <w:num w:numId="28">
    <w:abstractNumId w:val="14"/>
  </w:num>
  <w:num w:numId="29">
    <w:abstractNumId w:val="11"/>
  </w:num>
  <w:num w:numId="30">
    <w:abstractNumId w:val="0"/>
  </w:num>
  <w:num w:numId="3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4FE"/>
    <w:rsid w:val="0000071A"/>
    <w:rsid w:val="0000092F"/>
    <w:rsid w:val="00000F07"/>
    <w:rsid w:val="000012E0"/>
    <w:rsid w:val="00001679"/>
    <w:rsid w:val="0000193E"/>
    <w:rsid w:val="00001C09"/>
    <w:rsid w:val="00001C23"/>
    <w:rsid w:val="00001F90"/>
    <w:rsid w:val="00002764"/>
    <w:rsid w:val="00002E38"/>
    <w:rsid w:val="00003330"/>
    <w:rsid w:val="00003649"/>
    <w:rsid w:val="000036B8"/>
    <w:rsid w:val="000039FF"/>
    <w:rsid w:val="00003C47"/>
    <w:rsid w:val="000041F0"/>
    <w:rsid w:val="00004616"/>
    <w:rsid w:val="000047B8"/>
    <w:rsid w:val="000049E1"/>
    <w:rsid w:val="0000511F"/>
    <w:rsid w:val="000056C8"/>
    <w:rsid w:val="00006466"/>
    <w:rsid w:val="0000696E"/>
    <w:rsid w:val="00006990"/>
    <w:rsid w:val="00006BE4"/>
    <w:rsid w:val="000072F1"/>
    <w:rsid w:val="00007C4A"/>
    <w:rsid w:val="00007CAE"/>
    <w:rsid w:val="0001002F"/>
    <w:rsid w:val="00010098"/>
    <w:rsid w:val="00010466"/>
    <w:rsid w:val="000104E1"/>
    <w:rsid w:val="0001067B"/>
    <w:rsid w:val="000107A5"/>
    <w:rsid w:val="00010DB5"/>
    <w:rsid w:val="0001157C"/>
    <w:rsid w:val="00012DB3"/>
    <w:rsid w:val="00013063"/>
    <w:rsid w:val="00013615"/>
    <w:rsid w:val="00013755"/>
    <w:rsid w:val="00013C26"/>
    <w:rsid w:val="00013E02"/>
    <w:rsid w:val="00013EC4"/>
    <w:rsid w:val="00014013"/>
    <w:rsid w:val="00014376"/>
    <w:rsid w:val="00014595"/>
    <w:rsid w:val="00014887"/>
    <w:rsid w:val="000148A2"/>
    <w:rsid w:val="0001495C"/>
    <w:rsid w:val="00014B8B"/>
    <w:rsid w:val="000150BD"/>
    <w:rsid w:val="000151C6"/>
    <w:rsid w:val="000152A8"/>
    <w:rsid w:val="0001539B"/>
    <w:rsid w:val="0001540B"/>
    <w:rsid w:val="000155C2"/>
    <w:rsid w:val="00015C11"/>
    <w:rsid w:val="00016551"/>
    <w:rsid w:val="000169FC"/>
    <w:rsid w:val="00016B27"/>
    <w:rsid w:val="00016B62"/>
    <w:rsid w:val="0001706A"/>
    <w:rsid w:val="000170A9"/>
    <w:rsid w:val="00017F4B"/>
    <w:rsid w:val="000203FE"/>
    <w:rsid w:val="00020AE9"/>
    <w:rsid w:val="00020F82"/>
    <w:rsid w:val="00021148"/>
    <w:rsid w:val="00021342"/>
    <w:rsid w:val="00021A58"/>
    <w:rsid w:val="000223BC"/>
    <w:rsid w:val="0002287B"/>
    <w:rsid w:val="00022974"/>
    <w:rsid w:val="00022A14"/>
    <w:rsid w:val="0002326F"/>
    <w:rsid w:val="000232F7"/>
    <w:rsid w:val="0002353C"/>
    <w:rsid w:val="00023675"/>
    <w:rsid w:val="00023933"/>
    <w:rsid w:val="00024457"/>
    <w:rsid w:val="000247CD"/>
    <w:rsid w:val="00024E95"/>
    <w:rsid w:val="0002535F"/>
    <w:rsid w:val="0002571A"/>
    <w:rsid w:val="00025A21"/>
    <w:rsid w:val="00025C0C"/>
    <w:rsid w:val="00025C7D"/>
    <w:rsid w:val="000260FB"/>
    <w:rsid w:val="000262BF"/>
    <w:rsid w:val="000263A9"/>
    <w:rsid w:val="000264FE"/>
    <w:rsid w:val="00027837"/>
    <w:rsid w:val="000279B7"/>
    <w:rsid w:val="00027A49"/>
    <w:rsid w:val="0003004D"/>
    <w:rsid w:val="00030283"/>
    <w:rsid w:val="000302C0"/>
    <w:rsid w:val="00030B1A"/>
    <w:rsid w:val="00030C95"/>
    <w:rsid w:val="00031536"/>
    <w:rsid w:val="00031646"/>
    <w:rsid w:val="0003177A"/>
    <w:rsid w:val="0003199D"/>
    <w:rsid w:val="00031F50"/>
    <w:rsid w:val="000320EB"/>
    <w:rsid w:val="000321D5"/>
    <w:rsid w:val="000323EA"/>
    <w:rsid w:val="00032C85"/>
    <w:rsid w:val="0003316F"/>
    <w:rsid w:val="00033185"/>
    <w:rsid w:val="000335CC"/>
    <w:rsid w:val="00033A87"/>
    <w:rsid w:val="00033E47"/>
    <w:rsid w:val="00033E59"/>
    <w:rsid w:val="00034270"/>
    <w:rsid w:val="0003445B"/>
    <w:rsid w:val="00034796"/>
    <w:rsid w:val="000353CD"/>
    <w:rsid w:val="00035DEC"/>
    <w:rsid w:val="0003632B"/>
    <w:rsid w:val="0003635B"/>
    <w:rsid w:val="000363FD"/>
    <w:rsid w:val="00036404"/>
    <w:rsid w:val="00036F1E"/>
    <w:rsid w:val="0003742C"/>
    <w:rsid w:val="000400F3"/>
    <w:rsid w:val="000403E6"/>
    <w:rsid w:val="00040808"/>
    <w:rsid w:val="00040A0A"/>
    <w:rsid w:val="00041150"/>
    <w:rsid w:val="00041167"/>
    <w:rsid w:val="000411C9"/>
    <w:rsid w:val="00041BC1"/>
    <w:rsid w:val="00041D8F"/>
    <w:rsid w:val="00042364"/>
    <w:rsid w:val="0004266C"/>
    <w:rsid w:val="00042A85"/>
    <w:rsid w:val="00042AFC"/>
    <w:rsid w:val="000439A7"/>
    <w:rsid w:val="00043C20"/>
    <w:rsid w:val="000442CE"/>
    <w:rsid w:val="00044360"/>
    <w:rsid w:val="00044990"/>
    <w:rsid w:val="00044ABB"/>
    <w:rsid w:val="00044E22"/>
    <w:rsid w:val="00044F75"/>
    <w:rsid w:val="0004539B"/>
    <w:rsid w:val="000453C5"/>
    <w:rsid w:val="00045C62"/>
    <w:rsid w:val="00045C63"/>
    <w:rsid w:val="00045DCF"/>
    <w:rsid w:val="00045FCB"/>
    <w:rsid w:val="000460C4"/>
    <w:rsid w:val="0004636C"/>
    <w:rsid w:val="0004675A"/>
    <w:rsid w:val="000470F2"/>
    <w:rsid w:val="00047466"/>
    <w:rsid w:val="00047AFA"/>
    <w:rsid w:val="000507FC"/>
    <w:rsid w:val="00050A3E"/>
    <w:rsid w:val="00050CA0"/>
    <w:rsid w:val="00050E71"/>
    <w:rsid w:val="00050EC2"/>
    <w:rsid w:val="00051050"/>
    <w:rsid w:val="0005134F"/>
    <w:rsid w:val="0005135E"/>
    <w:rsid w:val="000519A7"/>
    <w:rsid w:val="00051B2B"/>
    <w:rsid w:val="000527C6"/>
    <w:rsid w:val="00052B55"/>
    <w:rsid w:val="00053041"/>
    <w:rsid w:val="00053778"/>
    <w:rsid w:val="00054130"/>
    <w:rsid w:val="0005420C"/>
    <w:rsid w:val="00054863"/>
    <w:rsid w:val="00054AC8"/>
    <w:rsid w:val="00054E45"/>
    <w:rsid w:val="00055411"/>
    <w:rsid w:val="00055A2C"/>
    <w:rsid w:val="00055AE2"/>
    <w:rsid w:val="00056023"/>
    <w:rsid w:val="00056E10"/>
    <w:rsid w:val="00056F8F"/>
    <w:rsid w:val="000570EE"/>
    <w:rsid w:val="0005739B"/>
    <w:rsid w:val="00057514"/>
    <w:rsid w:val="00057650"/>
    <w:rsid w:val="0006047E"/>
    <w:rsid w:val="0006071E"/>
    <w:rsid w:val="00060962"/>
    <w:rsid w:val="00060A10"/>
    <w:rsid w:val="00060D51"/>
    <w:rsid w:val="00060ECD"/>
    <w:rsid w:val="00061160"/>
    <w:rsid w:val="00061169"/>
    <w:rsid w:val="000616FD"/>
    <w:rsid w:val="00061758"/>
    <w:rsid w:val="000619AB"/>
    <w:rsid w:val="00061B38"/>
    <w:rsid w:val="00062A8C"/>
    <w:rsid w:val="00062AE2"/>
    <w:rsid w:val="00062EC8"/>
    <w:rsid w:val="0006314A"/>
    <w:rsid w:val="00063601"/>
    <w:rsid w:val="00063833"/>
    <w:rsid w:val="00063FDB"/>
    <w:rsid w:val="00064173"/>
    <w:rsid w:val="000641E1"/>
    <w:rsid w:val="00064582"/>
    <w:rsid w:val="0006488A"/>
    <w:rsid w:val="00064D83"/>
    <w:rsid w:val="00064FE5"/>
    <w:rsid w:val="000657C5"/>
    <w:rsid w:val="00065E78"/>
    <w:rsid w:val="00066448"/>
    <w:rsid w:val="00067B51"/>
    <w:rsid w:val="000701BA"/>
    <w:rsid w:val="000705E6"/>
    <w:rsid w:val="000708AE"/>
    <w:rsid w:val="00070A2F"/>
    <w:rsid w:val="00070FC0"/>
    <w:rsid w:val="00071336"/>
    <w:rsid w:val="00071979"/>
    <w:rsid w:val="000719E6"/>
    <w:rsid w:val="00071BC7"/>
    <w:rsid w:val="00071DAB"/>
    <w:rsid w:val="000722F8"/>
    <w:rsid w:val="000724D8"/>
    <w:rsid w:val="0007265F"/>
    <w:rsid w:val="000730B3"/>
    <w:rsid w:val="00073314"/>
    <w:rsid w:val="00073360"/>
    <w:rsid w:val="0007367B"/>
    <w:rsid w:val="000739F5"/>
    <w:rsid w:val="00073C49"/>
    <w:rsid w:val="00073DB3"/>
    <w:rsid w:val="000745CE"/>
    <w:rsid w:val="00074C0F"/>
    <w:rsid w:val="00074C56"/>
    <w:rsid w:val="00075094"/>
    <w:rsid w:val="0007558A"/>
    <w:rsid w:val="00075779"/>
    <w:rsid w:val="00075DF6"/>
    <w:rsid w:val="0007608D"/>
    <w:rsid w:val="00076631"/>
    <w:rsid w:val="0007667D"/>
    <w:rsid w:val="00076AFF"/>
    <w:rsid w:val="000775AE"/>
    <w:rsid w:val="0007792C"/>
    <w:rsid w:val="00077B4B"/>
    <w:rsid w:val="00077B7D"/>
    <w:rsid w:val="00077DF1"/>
    <w:rsid w:val="00077E42"/>
    <w:rsid w:val="00077F0F"/>
    <w:rsid w:val="00080157"/>
    <w:rsid w:val="0008074F"/>
    <w:rsid w:val="00080B43"/>
    <w:rsid w:val="000813E9"/>
    <w:rsid w:val="00081E4F"/>
    <w:rsid w:val="00081F74"/>
    <w:rsid w:val="00082852"/>
    <w:rsid w:val="00082D93"/>
    <w:rsid w:val="00082DB7"/>
    <w:rsid w:val="00082FB7"/>
    <w:rsid w:val="0008343C"/>
    <w:rsid w:val="00083AEA"/>
    <w:rsid w:val="00083BB5"/>
    <w:rsid w:val="00083C1D"/>
    <w:rsid w:val="00084000"/>
    <w:rsid w:val="000843C9"/>
    <w:rsid w:val="00084419"/>
    <w:rsid w:val="0008441D"/>
    <w:rsid w:val="00084542"/>
    <w:rsid w:val="00084943"/>
    <w:rsid w:val="0008509A"/>
    <w:rsid w:val="00085283"/>
    <w:rsid w:val="00085297"/>
    <w:rsid w:val="00085443"/>
    <w:rsid w:val="000856E1"/>
    <w:rsid w:val="000865D7"/>
    <w:rsid w:val="00086ABF"/>
    <w:rsid w:val="00086D58"/>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1462"/>
    <w:rsid w:val="00091F29"/>
    <w:rsid w:val="000923E9"/>
    <w:rsid w:val="00092A06"/>
    <w:rsid w:val="00092B04"/>
    <w:rsid w:val="00093234"/>
    <w:rsid w:val="000935A8"/>
    <w:rsid w:val="00093655"/>
    <w:rsid w:val="00093953"/>
    <w:rsid w:val="00093CE2"/>
    <w:rsid w:val="00093FAE"/>
    <w:rsid w:val="0009429B"/>
    <w:rsid w:val="000946D8"/>
    <w:rsid w:val="00094990"/>
    <w:rsid w:val="000949AA"/>
    <w:rsid w:val="000954D9"/>
    <w:rsid w:val="000958F8"/>
    <w:rsid w:val="00095974"/>
    <w:rsid w:val="00095DC4"/>
    <w:rsid w:val="00095DE2"/>
    <w:rsid w:val="00096035"/>
    <w:rsid w:val="0009606A"/>
    <w:rsid w:val="0009634B"/>
    <w:rsid w:val="000964A2"/>
    <w:rsid w:val="0009687C"/>
    <w:rsid w:val="00097392"/>
    <w:rsid w:val="00097454"/>
    <w:rsid w:val="00097C24"/>
    <w:rsid w:val="00097C2E"/>
    <w:rsid w:val="00097E28"/>
    <w:rsid w:val="00097FFE"/>
    <w:rsid w:val="000A024C"/>
    <w:rsid w:val="000A0632"/>
    <w:rsid w:val="000A10EB"/>
    <w:rsid w:val="000A15C5"/>
    <w:rsid w:val="000A1C44"/>
    <w:rsid w:val="000A2287"/>
    <w:rsid w:val="000A263C"/>
    <w:rsid w:val="000A2EF8"/>
    <w:rsid w:val="000A2F71"/>
    <w:rsid w:val="000A2F9E"/>
    <w:rsid w:val="000A3282"/>
    <w:rsid w:val="000A344C"/>
    <w:rsid w:val="000A3D13"/>
    <w:rsid w:val="000A3F4D"/>
    <w:rsid w:val="000A43A4"/>
    <w:rsid w:val="000A481A"/>
    <w:rsid w:val="000A4AC6"/>
    <w:rsid w:val="000A551F"/>
    <w:rsid w:val="000A5AB6"/>
    <w:rsid w:val="000A5CC8"/>
    <w:rsid w:val="000A5F64"/>
    <w:rsid w:val="000A6106"/>
    <w:rsid w:val="000A6819"/>
    <w:rsid w:val="000A6E70"/>
    <w:rsid w:val="000A700C"/>
    <w:rsid w:val="000A7621"/>
    <w:rsid w:val="000A7800"/>
    <w:rsid w:val="000A79D1"/>
    <w:rsid w:val="000A7B48"/>
    <w:rsid w:val="000A7F66"/>
    <w:rsid w:val="000B00FB"/>
    <w:rsid w:val="000B0BFA"/>
    <w:rsid w:val="000B1216"/>
    <w:rsid w:val="000B194A"/>
    <w:rsid w:val="000B1BC1"/>
    <w:rsid w:val="000B1E8C"/>
    <w:rsid w:val="000B2B5A"/>
    <w:rsid w:val="000B3002"/>
    <w:rsid w:val="000B3773"/>
    <w:rsid w:val="000B380C"/>
    <w:rsid w:val="000B393A"/>
    <w:rsid w:val="000B3DED"/>
    <w:rsid w:val="000B42EC"/>
    <w:rsid w:val="000B4594"/>
    <w:rsid w:val="000B45E5"/>
    <w:rsid w:val="000B46C2"/>
    <w:rsid w:val="000B48A9"/>
    <w:rsid w:val="000B4DDE"/>
    <w:rsid w:val="000B51BE"/>
    <w:rsid w:val="000B572D"/>
    <w:rsid w:val="000B5AC9"/>
    <w:rsid w:val="000B5B53"/>
    <w:rsid w:val="000B5BD6"/>
    <w:rsid w:val="000B5D70"/>
    <w:rsid w:val="000B5DB0"/>
    <w:rsid w:val="000B5F09"/>
    <w:rsid w:val="000B60B3"/>
    <w:rsid w:val="000B6230"/>
    <w:rsid w:val="000B6431"/>
    <w:rsid w:val="000B697D"/>
    <w:rsid w:val="000B6FE1"/>
    <w:rsid w:val="000B7705"/>
    <w:rsid w:val="000B7709"/>
    <w:rsid w:val="000B771B"/>
    <w:rsid w:val="000C0124"/>
    <w:rsid w:val="000C0E6F"/>
    <w:rsid w:val="000C160D"/>
    <w:rsid w:val="000C1611"/>
    <w:rsid w:val="000C189E"/>
    <w:rsid w:val="000C1CDB"/>
    <w:rsid w:val="000C1EB8"/>
    <w:rsid w:val="000C2328"/>
    <w:rsid w:val="000C26D8"/>
    <w:rsid w:val="000C2852"/>
    <w:rsid w:val="000C29B5"/>
    <w:rsid w:val="000C3490"/>
    <w:rsid w:val="000C3492"/>
    <w:rsid w:val="000C3712"/>
    <w:rsid w:val="000C39D3"/>
    <w:rsid w:val="000C3C31"/>
    <w:rsid w:val="000C4289"/>
    <w:rsid w:val="000C4728"/>
    <w:rsid w:val="000C4C7A"/>
    <w:rsid w:val="000C53FE"/>
    <w:rsid w:val="000C55C9"/>
    <w:rsid w:val="000C62FD"/>
    <w:rsid w:val="000C6608"/>
    <w:rsid w:val="000C6624"/>
    <w:rsid w:val="000C695F"/>
    <w:rsid w:val="000C6C27"/>
    <w:rsid w:val="000C7086"/>
    <w:rsid w:val="000C74FA"/>
    <w:rsid w:val="000C7605"/>
    <w:rsid w:val="000C77D1"/>
    <w:rsid w:val="000C7820"/>
    <w:rsid w:val="000C7A5D"/>
    <w:rsid w:val="000C7AAF"/>
    <w:rsid w:val="000C7D37"/>
    <w:rsid w:val="000C7F42"/>
    <w:rsid w:val="000C7FA2"/>
    <w:rsid w:val="000D094E"/>
    <w:rsid w:val="000D099B"/>
    <w:rsid w:val="000D0AB6"/>
    <w:rsid w:val="000D0BCC"/>
    <w:rsid w:val="000D12CC"/>
    <w:rsid w:val="000D13B1"/>
    <w:rsid w:val="000D1F94"/>
    <w:rsid w:val="000D23E8"/>
    <w:rsid w:val="000D24AB"/>
    <w:rsid w:val="000D25BF"/>
    <w:rsid w:val="000D27BB"/>
    <w:rsid w:val="000D2D7B"/>
    <w:rsid w:val="000D2E0D"/>
    <w:rsid w:val="000D30CA"/>
    <w:rsid w:val="000D30DB"/>
    <w:rsid w:val="000D32C3"/>
    <w:rsid w:val="000D331B"/>
    <w:rsid w:val="000D36F4"/>
    <w:rsid w:val="000D3769"/>
    <w:rsid w:val="000D3852"/>
    <w:rsid w:val="000D39E6"/>
    <w:rsid w:val="000D44D5"/>
    <w:rsid w:val="000D47FA"/>
    <w:rsid w:val="000D4DED"/>
    <w:rsid w:val="000D501B"/>
    <w:rsid w:val="000D5033"/>
    <w:rsid w:val="000D576F"/>
    <w:rsid w:val="000D5FD2"/>
    <w:rsid w:val="000D6615"/>
    <w:rsid w:val="000D6865"/>
    <w:rsid w:val="000D69A6"/>
    <w:rsid w:val="000D7488"/>
    <w:rsid w:val="000D74DB"/>
    <w:rsid w:val="000D7509"/>
    <w:rsid w:val="000E0C85"/>
    <w:rsid w:val="000E0D85"/>
    <w:rsid w:val="000E14AE"/>
    <w:rsid w:val="000E17DE"/>
    <w:rsid w:val="000E1918"/>
    <w:rsid w:val="000E1A1B"/>
    <w:rsid w:val="000E1F75"/>
    <w:rsid w:val="000E20DD"/>
    <w:rsid w:val="000E241B"/>
    <w:rsid w:val="000E2929"/>
    <w:rsid w:val="000E2AD6"/>
    <w:rsid w:val="000E2CB1"/>
    <w:rsid w:val="000E2CF7"/>
    <w:rsid w:val="000E2F3F"/>
    <w:rsid w:val="000E325E"/>
    <w:rsid w:val="000E3283"/>
    <w:rsid w:val="000E334F"/>
    <w:rsid w:val="000E353A"/>
    <w:rsid w:val="000E35AE"/>
    <w:rsid w:val="000E363C"/>
    <w:rsid w:val="000E3BA3"/>
    <w:rsid w:val="000E3FCB"/>
    <w:rsid w:val="000E41A9"/>
    <w:rsid w:val="000E4216"/>
    <w:rsid w:val="000E426D"/>
    <w:rsid w:val="000E4364"/>
    <w:rsid w:val="000E4683"/>
    <w:rsid w:val="000E4DCC"/>
    <w:rsid w:val="000E4E92"/>
    <w:rsid w:val="000E52CC"/>
    <w:rsid w:val="000E61D2"/>
    <w:rsid w:val="000E6697"/>
    <w:rsid w:val="000E6AEE"/>
    <w:rsid w:val="000E6C2F"/>
    <w:rsid w:val="000E76A0"/>
    <w:rsid w:val="000E7986"/>
    <w:rsid w:val="000F03E0"/>
    <w:rsid w:val="000F05E1"/>
    <w:rsid w:val="000F0C2F"/>
    <w:rsid w:val="000F0C94"/>
    <w:rsid w:val="000F0E60"/>
    <w:rsid w:val="000F180A"/>
    <w:rsid w:val="000F22FF"/>
    <w:rsid w:val="000F265A"/>
    <w:rsid w:val="000F26E1"/>
    <w:rsid w:val="000F2F49"/>
    <w:rsid w:val="000F3037"/>
    <w:rsid w:val="000F3104"/>
    <w:rsid w:val="000F34A9"/>
    <w:rsid w:val="000F3652"/>
    <w:rsid w:val="000F3716"/>
    <w:rsid w:val="000F3BDF"/>
    <w:rsid w:val="000F3DF5"/>
    <w:rsid w:val="000F48E0"/>
    <w:rsid w:val="000F494D"/>
    <w:rsid w:val="000F4C86"/>
    <w:rsid w:val="000F55D2"/>
    <w:rsid w:val="000F59B3"/>
    <w:rsid w:val="000F5B4E"/>
    <w:rsid w:val="000F5D11"/>
    <w:rsid w:val="000F61E7"/>
    <w:rsid w:val="000F6382"/>
    <w:rsid w:val="000F65E7"/>
    <w:rsid w:val="000F7158"/>
    <w:rsid w:val="000F76A7"/>
    <w:rsid w:val="000F7BB7"/>
    <w:rsid w:val="000F7F26"/>
    <w:rsid w:val="001002CF"/>
    <w:rsid w:val="00100AD0"/>
    <w:rsid w:val="00100AD9"/>
    <w:rsid w:val="00100C07"/>
    <w:rsid w:val="00100E68"/>
    <w:rsid w:val="00100F01"/>
    <w:rsid w:val="001011E1"/>
    <w:rsid w:val="001011E7"/>
    <w:rsid w:val="0010130B"/>
    <w:rsid w:val="00101519"/>
    <w:rsid w:val="00101534"/>
    <w:rsid w:val="0010169B"/>
    <w:rsid w:val="001017B0"/>
    <w:rsid w:val="001017D8"/>
    <w:rsid w:val="00101D2B"/>
    <w:rsid w:val="00101FD2"/>
    <w:rsid w:val="0010218A"/>
    <w:rsid w:val="00102224"/>
    <w:rsid w:val="00102685"/>
    <w:rsid w:val="00102983"/>
    <w:rsid w:val="00102B8D"/>
    <w:rsid w:val="00102D36"/>
    <w:rsid w:val="0010300A"/>
    <w:rsid w:val="001031B3"/>
    <w:rsid w:val="001031B7"/>
    <w:rsid w:val="001036A6"/>
    <w:rsid w:val="00103A87"/>
    <w:rsid w:val="00103DD6"/>
    <w:rsid w:val="00103E88"/>
    <w:rsid w:val="00103ED3"/>
    <w:rsid w:val="00103EEF"/>
    <w:rsid w:val="001048BA"/>
    <w:rsid w:val="0010497F"/>
    <w:rsid w:val="00104B15"/>
    <w:rsid w:val="00104C98"/>
    <w:rsid w:val="00104DE5"/>
    <w:rsid w:val="0010526A"/>
    <w:rsid w:val="001055E6"/>
    <w:rsid w:val="0010587D"/>
    <w:rsid w:val="00105AB1"/>
    <w:rsid w:val="00105C2B"/>
    <w:rsid w:val="00105FE9"/>
    <w:rsid w:val="001065F1"/>
    <w:rsid w:val="00106711"/>
    <w:rsid w:val="00106CCD"/>
    <w:rsid w:val="0010721D"/>
    <w:rsid w:val="001072BE"/>
    <w:rsid w:val="00107852"/>
    <w:rsid w:val="00107FB9"/>
    <w:rsid w:val="0011056D"/>
    <w:rsid w:val="00110674"/>
    <w:rsid w:val="00110AF3"/>
    <w:rsid w:val="00110C75"/>
    <w:rsid w:val="0011113C"/>
    <w:rsid w:val="00111357"/>
    <w:rsid w:val="001116E5"/>
    <w:rsid w:val="001118A8"/>
    <w:rsid w:val="00111D04"/>
    <w:rsid w:val="00111F1F"/>
    <w:rsid w:val="0011227D"/>
    <w:rsid w:val="001126A8"/>
    <w:rsid w:val="001127A4"/>
    <w:rsid w:val="001127E4"/>
    <w:rsid w:val="001128E0"/>
    <w:rsid w:val="001128FC"/>
    <w:rsid w:val="0011390B"/>
    <w:rsid w:val="00113E4F"/>
    <w:rsid w:val="00113F61"/>
    <w:rsid w:val="001141DE"/>
    <w:rsid w:val="00114348"/>
    <w:rsid w:val="001143E9"/>
    <w:rsid w:val="0011467E"/>
    <w:rsid w:val="001146DB"/>
    <w:rsid w:val="00114BD0"/>
    <w:rsid w:val="00114CA2"/>
    <w:rsid w:val="00115037"/>
    <w:rsid w:val="00115723"/>
    <w:rsid w:val="001158A2"/>
    <w:rsid w:val="00115BCE"/>
    <w:rsid w:val="001160A0"/>
    <w:rsid w:val="0011628F"/>
    <w:rsid w:val="001168FB"/>
    <w:rsid w:val="00116B38"/>
    <w:rsid w:val="00116C60"/>
    <w:rsid w:val="00116CBD"/>
    <w:rsid w:val="00117245"/>
    <w:rsid w:val="0011743F"/>
    <w:rsid w:val="00117A4A"/>
    <w:rsid w:val="00117B56"/>
    <w:rsid w:val="00117B6F"/>
    <w:rsid w:val="00117C54"/>
    <w:rsid w:val="00117DF6"/>
    <w:rsid w:val="00117F62"/>
    <w:rsid w:val="00117FC7"/>
    <w:rsid w:val="001201FB"/>
    <w:rsid w:val="00120249"/>
    <w:rsid w:val="0012045C"/>
    <w:rsid w:val="001204EE"/>
    <w:rsid w:val="001206FC"/>
    <w:rsid w:val="00120A14"/>
    <w:rsid w:val="00120BC6"/>
    <w:rsid w:val="00120D66"/>
    <w:rsid w:val="00120E8F"/>
    <w:rsid w:val="00120EA7"/>
    <w:rsid w:val="00120EDB"/>
    <w:rsid w:val="00120F4B"/>
    <w:rsid w:val="00120F7E"/>
    <w:rsid w:val="0012136D"/>
    <w:rsid w:val="001216ED"/>
    <w:rsid w:val="00121803"/>
    <w:rsid w:val="00121D61"/>
    <w:rsid w:val="00122629"/>
    <w:rsid w:val="001229B1"/>
    <w:rsid w:val="00122FBE"/>
    <w:rsid w:val="00123510"/>
    <w:rsid w:val="001235E1"/>
    <w:rsid w:val="001239DC"/>
    <w:rsid w:val="00123C45"/>
    <w:rsid w:val="00123D2C"/>
    <w:rsid w:val="00123E03"/>
    <w:rsid w:val="00124221"/>
    <w:rsid w:val="0012473C"/>
    <w:rsid w:val="00124B07"/>
    <w:rsid w:val="00124BCC"/>
    <w:rsid w:val="001250FD"/>
    <w:rsid w:val="00125135"/>
    <w:rsid w:val="00125331"/>
    <w:rsid w:val="00125551"/>
    <w:rsid w:val="0012558D"/>
    <w:rsid w:val="00125C69"/>
    <w:rsid w:val="001263EB"/>
    <w:rsid w:val="001265A3"/>
    <w:rsid w:val="0012681B"/>
    <w:rsid w:val="00126933"/>
    <w:rsid w:val="00126EFE"/>
    <w:rsid w:val="00127103"/>
    <w:rsid w:val="001273CB"/>
    <w:rsid w:val="0012755A"/>
    <w:rsid w:val="00127748"/>
    <w:rsid w:val="00127B3D"/>
    <w:rsid w:val="00127E59"/>
    <w:rsid w:val="00127FF6"/>
    <w:rsid w:val="001301FD"/>
    <w:rsid w:val="001302AE"/>
    <w:rsid w:val="001306FC"/>
    <w:rsid w:val="00130EAA"/>
    <w:rsid w:val="00130FC6"/>
    <w:rsid w:val="00131311"/>
    <w:rsid w:val="0013144C"/>
    <w:rsid w:val="0013154C"/>
    <w:rsid w:val="001316F1"/>
    <w:rsid w:val="0013204A"/>
    <w:rsid w:val="00132529"/>
    <w:rsid w:val="00132875"/>
    <w:rsid w:val="001329D5"/>
    <w:rsid w:val="00132A98"/>
    <w:rsid w:val="00132BAD"/>
    <w:rsid w:val="0013334F"/>
    <w:rsid w:val="00133490"/>
    <w:rsid w:val="0013376F"/>
    <w:rsid w:val="00134AFC"/>
    <w:rsid w:val="00134B7A"/>
    <w:rsid w:val="00135CC1"/>
    <w:rsid w:val="00135EF2"/>
    <w:rsid w:val="00136093"/>
    <w:rsid w:val="001361E1"/>
    <w:rsid w:val="00136487"/>
    <w:rsid w:val="001365E1"/>
    <w:rsid w:val="00136762"/>
    <w:rsid w:val="0013679B"/>
    <w:rsid w:val="0013687B"/>
    <w:rsid w:val="00136A61"/>
    <w:rsid w:val="00136CE5"/>
    <w:rsid w:val="001371BA"/>
    <w:rsid w:val="0013754B"/>
    <w:rsid w:val="00137C26"/>
    <w:rsid w:val="00140307"/>
    <w:rsid w:val="0014059F"/>
    <w:rsid w:val="001407A0"/>
    <w:rsid w:val="00140D45"/>
    <w:rsid w:val="00141037"/>
    <w:rsid w:val="001414A3"/>
    <w:rsid w:val="001415A0"/>
    <w:rsid w:val="001415A6"/>
    <w:rsid w:val="001416DF"/>
    <w:rsid w:val="00142212"/>
    <w:rsid w:val="0014233F"/>
    <w:rsid w:val="0014277F"/>
    <w:rsid w:val="00143396"/>
    <w:rsid w:val="00143B6E"/>
    <w:rsid w:val="00143CB4"/>
    <w:rsid w:val="00143D0D"/>
    <w:rsid w:val="00143DEC"/>
    <w:rsid w:val="00143E4D"/>
    <w:rsid w:val="00143E64"/>
    <w:rsid w:val="001448C8"/>
    <w:rsid w:val="001449DF"/>
    <w:rsid w:val="00144B43"/>
    <w:rsid w:val="00144D5C"/>
    <w:rsid w:val="00145AB1"/>
    <w:rsid w:val="00146202"/>
    <w:rsid w:val="0014688F"/>
    <w:rsid w:val="00146993"/>
    <w:rsid w:val="00146AFC"/>
    <w:rsid w:val="00146C5F"/>
    <w:rsid w:val="00147456"/>
    <w:rsid w:val="00147CA9"/>
    <w:rsid w:val="00147F6D"/>
    <w:rsid w:val="00147F79"/>
    <w:rsid w:val="0015002B"/>
    <w:rsid w:val="00150215"/>
    <w:rsid w:val="001502AE"/>
    <w:rsid w:val="001504CA"/>
    <w:rsid w:val="00150B9F"/>
    <w:rsid w:val="00150BC8"/>
    <w:rsid w:val="00150D74"/>
    <w:rsid w:val="00150FB5"/>
    <w:rsid w:val="001512FE"/>
    <w:rsid w:val="00151664"/>
    <w:rsid w:val="001524DF"/>
    <w:rsid w:val="0015263D"/>
    <w:rsid w:val="00152A85"/>
    <w:rsid w:val="00152DDD"/>
    <w:rsid w:val="00152F97"/>
    <w:rsid w:val="00153240"/>
    <w:rsid w:val="001535AA"/>
    <w:rsid w:val="001539DF"/>
    <w:rsid w:val="00153A2E"/>
    <w:rsid w:val="00153B22"/>
    <w:rsid w:val="00153CED"/>
    <w:rsid w:val="001540C2"/>
    <w:rsid w:val="00154172"/>
    <w:rsid w:val="0015437A"/>
    <w:rsid w:val="00154F12"/>
    <w:rsid w:val="00155915"/>
    <w:rsid w:val="00155D82"/>
    <w:rsid w:val="00155E62"/>
    <w:rsid w:val="0015606F"/>
    <w:rsid w:val="00156687"/>
    <w:rsid w:val="0015683C"/>
    <w:rsid w:val="00156D10"/>
    <w:rsid w:val="001571FF"/>
    <w:rsid w:val="0015721D"/>
    <w:rsid w:val="00157224"/>
    <w:rsid w:val="0015741E"/>
    <w:rsid w:val="001579E6"/>
    <w:rsid w:val="00157AEB"/>
    <w:rsid w:val="00157F93"/>
    <w:rsid w:val="00160378"/>
    <w:rsid w:val="001603D6"/>
    <w:rsid w:val="00160BA7"/>
    <w:rsid w:val="001613DA"/>
    <w:rsid w:val="00161891"/>
    <w:rsid w:val="00161AF9"/>
    <w:rsid w:val="0016213E"/>
    <w:rsid w:val="001621B3"/>
    <w:rsid w:val="00162248"/>
    <w:rsid w:val="0016224B"/>
    <w:rsid w:val="001629CA"/>
    <w:rsid w:val="00162A93"/>
    <w:rsid w:val="00162B64"/>
    <w:rsid w:val="00162C23"/>
    <w:rsid w:val="00162D60"/>
    <w:rsid w:val="0016305C"/>
    <w:rsid w:val="001631E3"/>
    <w:rsid w:val="0016353A"/>
    <w:rsid w:val="00163E82"/>
    <w:rsid w:val="00163FD6"/>
    <w:rsid w:val="001640B5"/>
    <w:rsid w:val="0016412E"/>
    <w:rsid w:val="001642C0"/>
    <w:rsid w:val="001642D5"/>
    <w:rsid w:val="00164819"/>
    <w:rsid w:val="00164C0A"/>
    <w:rsid w:val="00164F12"/>
    <w:rsid w:val="00165085"/>
    <w:rsid w:val="001652EF"/>
    <w:rsid w:val="00165A48"/>
    <w:rsid w:val="00165C54"/>
    <w:rsid w:val="00166260"/>
    <w:rsid w:val="0016681E"/>
    <w:rsid w:val="00167243"/>
    <w:rsid w:val="001674C0"/>
    <w:rsid w:val="0016750F"/>
    <w:rsid w:val="00167F39"/>
    <w:rsid w:val="00170278"/>
    <w:rsid w:val="001702DD"/>
    <w:rsid w:val="00170494"/>
    <w:rsid w:val="00170BDE"/>
    <w:rsid w:val="001711CC"/>
    <w:rsid w:val="0017137C"/>
    <w:rsid w:val="00171503"/>
    <w:rsid w:val="001718D9"/>
    <w:rsid w:val="00171AD6"/>
    <w:rsid w:val="00171E82"/>
    <w:rsid w:val="00171F50"/>
    <w:rsid w:val="001721EC"/>
    <w:rsid w:val="001723ED"/>
    <w:rsid w:val="00172414"/>
    <w:rsid w:val="00172746"/>
    <w:rsid w:val="00172979"/>
    <w:rsid w:val="00172C7C"/>
    <w:rsid w:val="00172F16"/>
    <w:rsid w:val="001735BF"/>
    <w:rsid w:val="00173A1D"/>
    <w:rsid w:val="00173DD1"/>
    <w:rsid w:val="00173F3E"/>
    <w:rsid w:val="00174312"/>
    <w:rsid w:val="001749C7"/>
    <w:rsid w:val="00175220"/>
    <w:rsid w:val="0017535F"/>
    <w:rsid w:val="001753C3"/>
    <w:rsid w:val="001758E1"/>
    <w:rsid w:val="00175A7E"/>
    <w:rsid w:val="00175C2F"/>
    <w:rsid w:val="00175E8E"/>
    <w:rsid w:val="00176100"/>
    <w:rsid w:val="00176402"/>
    <w:rsid w:val="00176469"/>
    <w:rsid w:val="001767F3"/>
    <w:rsid w:val="00176991"/>
    <w:rsid w:val="00176B30"/>
    <w:rsid w:val="00176E12"/>
    <w:rsid w:val="00177780"/>
    <w:rsid w:val="00177839"/>
    <w:rsid w:val="00177B46"/>
    <w:rsid w:val="00177C45"/>
    <w:rsid w:val="00177DB2"/>
    <w:rsid w:val="0018002C"/>
    <w:rsid w:val="00180EA4"/>
    <w:rsid w:val="00181451"/>
    <w:rsid w:val="00181F73"/>
    <w:rsid w:val="00181F94"/>
    <w:rsid w:val="00181FA6"/>
    <w:rsid w:val="00182253"/>
    <w:rsid w:val="0018235A"/>
    <w:rsid w:val="00182603"/>
    <w:rsid w:val="001826B1"/>
    <w:rsid w:val="00182860"/>
    <w:rsid w:val="00182930"/>
    <w:rsid w:val="00182E44"/>
    <w:rsid w:val="0018328F"/>
    <w:rsid w:val="00183325"/>
    <w:rsid w:val="001834ED"/>
    <w:rsid w:val="00183754"/>
    <w:rsid w:val="00183B36"/>
    <w:rsid w:val="00183B89"/>
    <w:rsid w:val="00183C89"/>
    <w:rsid w:val="001840AD"/>
    <w:rsid w:val="001841DE"/>
    <w:rsid w:val="00184268"/>
    <w:rsid w:val="00184384"/>
    <w:rsid w:val="001843EA"/>
    <w:rsid w:val="00184BCB"/>
    <w:rsid w:val="00184F7D"/>
    <w:rsid w:val="001852A9"/>
    <w:rsid w:val="00185455"/>
    <w:rsid w:val="00185DF2"/>
    <w:rsid w:val="00186AC5"/>
    <w:rsid w:val="00186D18"/>
    <w:rsid w:val="00186F26"/>
    <w:rsid w:val="00186F53"/>
    <w:rsid w:val="00186FCD"/>
    <w:rsid w:val="00187208"/>
    <w:rsid w:val="0018721E"/>
    <w:rsid w:val="00187254"/>
    <w:rsid w:val="0018754D"/>
    <w:rsid w:val="00187564"/>
    <w:rsid w:val="00187788"/>
    <w:rsid w:val="001900B1"/>
    <w:rsid w:val="001905C0"/>
    <w:rsid w:val="00190B67"/>
    <w:rsid w:val="00190BBE"/>
    <w:rsid w:val="00190BDA"/>
    <w:rsid w:val="00191284"/>
    <w:rsid w:val="00191329"/>
    <w:rsid w:val="00191445"/>
    <w:rsid w:val="00191712"/>
    <w:rsid w:val="0019190A"/>
    <w:rsid w:val="00191C4E"/>
    <w:rsid w:val="00192133"/>
    <w:rsid w:val="0019265A"/>
    <w:rsid w:val="00192934"/>
    <w:rsid w:val="001931C4"/>
    <w:rsid w:val="0019347D"/>
    <w:rsid w:val="00193652"/>
    <w:rsid w:val="001937A3"/>
    <w:rsid w:val="00193DF7"/>
    <w:rsid w:val="001945DD"/>
    <w:rsid w:val="001946DE"/>
    <w:rsid w:val="001948E7"/>
    <w:rsid w:val="00194AAF"/>
    <w:rsid w:val="001952A3"/>
    <w:rsid w:val="001957C6"/>
    <w:rsid w:val="001957C8"/>
    <w:rsid w:val="00195920"/>
    <w:rsid w:val="001959D7"/>
    <w:rsid w:val="00195F15"/>
    <w:rsid w:val="00196B97"/>
    <w:rsid w:val="00196EA3"/>
    <w:rsid w:val="00196EE5"/>
    <w:rsid w:val="00196F62"/>
    <w:rsid w:val="00197000"/>
    <w:rsid w:val="0019721F"/>
    <w:rsid w:val="00197450"/>
    <w:rsid w:val="0019767C"/>
    <w:rsid w:val="00197FE9"/>
    <w:rsid w:val="001A0754"/>
    <w:rsid w:val="001A0DD9"/>
    <w:rsid w:val="001A1470"/>
    <w:rsid w:val="001A1538"/>
    <w:rsid w:val="001A1942"/>
    <w:rsid w:val="001A1C9A"/>
    <w:rsid w:val="001A2665"/>
    <w:rsid w:val="001A2802"/>
    <w:rsid w:val="001A3250"/>
    <w:rsid w:val="001A332C"/>
    <w:rsid w:val="001A3504"/>
    <w:rsid w:val="001A3DDC"/>
    <w:rsid w:val="001A3F9A"/>
    <w:rsid w:val="001A4082"/>
    <w:rsid w:val="001A41AC"/>
    <w:rsid w:val="001A45EE"/>
    <w:rsid w:val="001A4B97"/>
    <w:rsid w:val="001A5469"/>
    <w:rsid w:val="001A573A"/>
    <w:rsid w:val="001A5C66"/>
    <w:rsid w:val="001A5D20"/>
    <w:rsid w:val="001A604A"/>
    <w:rsid w:val="001A65A1"/>
    <w:rsid w:val="001A73A4"/>
    <w:rsid w:val="001A77F6"/>
    <w:rsid w:val="001B08DC"/>
    <w:rsid w:val="001B09CA"/>
    <w:rsid w:val="001B0F84"/>
    <w:rsid w:val="001B1497"/>
    <w:rsid w:val="001B15F6"/>
    <w:rsid w:val="001B1C4A"/>
    <w:rsid w:val="001B1D26"/>
    <w:rsid w:val="001B22E6"/>
    <w:rsid w:val="001B26A4"/>
    <w:rsid w:val="001B26CD"/>
    <w:rsid w:val="001B28D2"/>
    <w:rsid w:val="001B2F11"/>
    <w:rsid w:val="001B3038"/>
    <w:rsid w:val="001B332A"/>
    <w:rsid w:val="001B3436"/>
    <w:rsid w:val="001B36E3"/>
    <w:rsid w:val="001B3C18"/>
    <w:rsid w:val="001B3D0C"/>
    <w:rsid w:val="001B3DE2"/>
    <w:rsid w:val="001B4C5E"/>
    <w:rsid w:val="001B4F72"/>
    <w:rsid w:val="001B5156"/>
    <w:rsid w:val="001B523A"/>
    <w:rsid w:val="001B54C5"/>
    <w:rsid w:val="001B5E36"/>
    <w:rsid w:val="001B5E90"/>
    <w:rsid w:val="001B60FB"/>
    <w:rsid w:val="001B6109"/>
    <w:rsid w:val="001B6A1E"/>
    <w:rsid w:val="001B7012"/>
    <w:rsid w:val="001B75E9"/>
    <w:rsid w:val="001B77B9"/>
    <w:rsid w:val="001B7AEB"/>
    <w:rsid w:val="001C08EB"/>
    <w:rsid w:val="001C0F3C"/>
    <w:rsid w:val="001C10C6"/>
    <w:rsid w:val="001C11DD"/>
    <w:rsid w:val="001C1419"/>
    <w:rsid w:val="001C142E"/>
    <w:rsid w:val="001C1747"/>
    <w:rsid w:val="001C181C"/>
    <w:rsid w:val="001C1BD5"/>
    <w:rsid w:val="001C2A4B"/>
    <w:rsid w:val="001C2C4F"/>
    <w:rsid w:val="001C2C99"/>
    <w:rsid w:val="001C3642"/>
    <w:rsid w:val="001C3851"/>
    <w:rsid w:val="001C397A"/>
    <w:rsid w:val="001C47A1"/>
    <w:rsid w:val="001C4863"/>
    <w:rsid w:val="001C5898"/>
    <w:rsid w:val="001C59EF"/>
    <w:rsid w:val="001C5E87"/>
    <w:rsid w:val="001C6080"/>
    <w:rsid w:val="001C69E1"/>
    <w:rsid w:val="001C6B3D"/>
    <w:rsid w:val="001C6D0F"/>
    <w:rsid w:val="001C7217"/>
    <w:rsid w:val="001C757F"/>
    <w:rsid w:val="001C795F"/>
    <w:rsid w:val="001C7CDF"/>
    <w:rsid w:val="001D01A4"/>
    <w:rsid w:val="001D01DA"/>
    <w:rsid w:val="001D01E0"/>
    <w:rsid w:val="001D0288"/>
    <w:rsid w:val="001D04B3"/>
    <w:rsid w:val="001D07EF"/>
    <w:rsid w:val="001D0A0F"/>
    <w:rsid w:val="001D0CBA"/>
    <w:rsid w:val="001D0D8E"/>
    <w:rsid w:val="001D10A0"/>
    <w:rsid w:val="001D10FB"/>
    <w:rsid w:val="001D11D4"/>
    <w:rsid w:val="001D1594"/>
    <w:rsid w:val="001D176C"/>
    <w:rsid w:val="001D1D8A"/>
    <w:rsid w:val="001D1E1B"/>
    <w:rsid w:val="001D22F7"/>
    <w:rsid w:val="001D29F0"/>
    <w:rsid w:val="001D2A2E"/>
    <w:rsid w:val="001D2F1E"/>
    <w:rsid w:val="001D370C"/>
    <w:rsid w:val="001D3841"/>
    <w:rsid w:val="001D3A14"/>
    <w:rsid w:val="001D3DEB"/>
    <w:rsid w:val="001D3EBA"/>
    <w:rsid w:val="001D45B7"/>
    <w:rsid w:val="001D469F"/>
    <w:rsid w:val="001D4F2A"/>
    <w:rsid w:val="001D4FB0"/>
    <w:rsid w:val="001D52E5"/>
    <w:rsid w:val="001D5957"/>
    <w:rsid w:val="001D5BBA"/>
    <w:rsid w:val="001D6366"/>
    <w:rsid w:val="001D6B91"/>
    <w:rsid w:val="001D6FE4"/>
    <w:rsid w:val="001D735C"/>
    <w:rsid w:val="001D7398"/>
    <w:rsid w:val="001D745E"/>
    <w:rsid w:val="001D7B51"/>
    <w:rsid w:val="001E0457"/>
    <w:rsid w:val="001E056A"/>
    <w:rsid w:val="001E0757"/>
    <w:rsid w:val="001E13FB"/>
    <w:rsid w:val="001E1864"/>
    <w:rsid w:val="001E1C3D"/>
    <w:rsid w:val="001E26A9"/>
    <w:rsid w:val="001E2A0B"/>
    <w:rsid w:val="001E2CCD"/>
    <w:rsid w:val="001E32C6"/>
    <w:rsid w:val="001E3B25"/>
    <w:rsid w:val="001E4055"/>
    <w:rsid w:val="001E4547"/>
    <w:rsid w:val="001E4FCD"/>
    <w:rsid w:val="001E5619"/>
    <w:rsid w:val="001E5708"/>
    <w:rsid w:val="001E57FC"/>
    <w:rsid w:val="001E5BA6"/>
    <w:rsid w:val="001E5E54"/>
    <w:rsid w:val="001E643F"/>
    <w:rsid w:val="001E6A84"/>
    <w:rsid w:val="001E7059"/>
    <w:rsid w:val="001E7166"/>
    <w:rsid w:val="001E71EC"/>
    <w:rsid w:val="001E730E"/>
    <w:rsid w:val="001E739D"/>
    <w:rsid w:val="001E742E"/>
    <w:rsid w:val="001E74B6"/>
    <w:rsid w:val="001E7632"/>
    <w:rsid w:val="001E76FA"/>
    <w:rsid w:val="001E78C1"/>
    <w:rsid w:val="001E791C"/>
    <w:rsid w:val="001E7A1C"/>
    <w:rsid w:val="001E7B8F"/>
    <w:rsid w:val="001E7E8B"/>
    <w:rsid w:val="001E7F63"/>
    <w:rsid w:val="001F0064"/>
    <w:rsid w:val="001F02F1"/>
    <w:rsid w:val="001F0525"/>
    <w:rsid w:val="001F05AB"/>
    <w:rsid w:val="001F0996"/>
    <w:rsid w:val="001F09F2"/>
    <w:rsid w:val="001F0D0F"/>
    <w:rsid w:val="001F0F10"/>
    <w:rsid w:val="001F1071"/>
    <w:rsid w:val="001F17DB"/>
    <w:rsid w:val="001F1B6A"/>
    <w:rsid w:val="001F2345"/>
    <w:rsid w:val="001F261C"/>
    <w:rsid w:val="001F278D"/>
    <w:rsid w:val="001F2F82"/>
    <w:rsid w:val="001F354B"/>
    <w:rsid w:val="001F3870"/>
    <w:rsid w:val="001F3B44"/>
    <w:rsid w:val="001F40C3"/>
    <w:rsid w:val="001F4664"/>
    <w:rsid w:val="001F48D2"/>
    <w:rsid w:val="001F495C"/>
    <w:rsid w:val="001F4A51"/>
    <w:rsid w:val="001F4BD7"/>
    <w:rsid w:val="001F5566"/>
    <w:rsid w:val="001F57DC"/>
    <w:rsid w:val="001F597A"/>
    <w:rsid w:val="001F5AA1"/>
    <w:rsid w:val="001F5F65"/>
    <w:rsid w:val="001F6597"/>
    <w:rsid w:val="001F6B09"/>
    <w:rsid w:val="001F72C1"/>
    <w:rsid w:val="001F75A8"/>
    <w:rsid w:val="001F7944"/>
    <w:rsid w:val="002001B2"/>
    <w:rsid w:val="0020045A"/>
    <w:rsid w:val="00200664"/>
    <w:rsid w:val="00200792"/>
    <w:rsid w:val="00200C9E"/>
    <w:rsid w:val="00200D1D"/>
    <w:rsid w:val="0020130B"/>
    <w:rsid w:val="00201352"/>
    <w:rsid w:val="0020160A"/>
    <w:rsid w:val="00201A04"/>
    <w:rsid w:val="00201AF5"/>
    <w:rsid w:val="00201B92"/>
    <w:rsid w:val="00202244"/>
    <w:rsid w:val="002025B2"/>
    <w:rsid w:val="002028B9"/>
    <w:rsid w:val="00202E63"/>
    <w:rsid w:val="00202E7C"/>
    <w:rsid w:val="002031E2"/>
    <w:rsid w:val="00203279"/>
    <w:rsid w:val="00203481"/>
    <w:rsid w:val="002034FF"/>
    <w:rsid w:val="002037DD"/>
    <w:rsid w:val="00204316"/>
    <w:rsid w:val="00204534"/>
    <w:rsid w:val="00204628"/>
    <w:rsid w:val="0020506A"/>
    <w:rsid w:val="0020578A"/>
    <w:rsid w:val="00205871"/>
    <w:rsid w:val="00205B0C"/>
    <w:rsid w:val="00205D5C"/>
    <w:rsid w:val="00206350"/>
    <w:rsid w:val="00206688"/>
    <w:rsid w:val="00206CDA"/>
    <w:rsid w:val="00207E8D"/>
    <w:rsid w:val="002105D2"/>
    <w:rsid w:val="002106E1"/>
    <w:rsid w:val="00210801"/>
    <w:rsid w:val="00210A27"/>
    <w:rsid w:val="00210CA1"/>
    <w:rsid w:val="0021125D"/>
    <w:rsid w:val="002114CA"/>
    <w:rsid w:val="002116A2"/>
    <w:rsid w:val="00212A33"/>
    <w:rsid w:val="00212D7A"/>
    <w:rsid w:val="00213686"/>
    <w:rsid w:val="00213F54"/>
    <w:rsid w:val="00214B0C"/>
    <w:rsid w:val="00214CD1"/>
    <w:rsid w:val="00214DC0"/>
    <w:rsid w:val="00215026"/>
    <w:rsid w:val="00215250"/>
    <w:rsid w:val="0021540C"/>
    <w:rsid w:val="0021593F"/>
    <w:rsid w:val="002163F4"/>
    <w:rsid w:val="002168EA"/>
    <w:rsid w:val="00216962"/>
    <w:rsid w:val="00216E20"/>
    <w:rsid w:val="00217457"/>
    <w:rsid w:val="00217BA1"/>
    <w:rsid w:val="0022009C"/>
    <w:rsid w:val="002200AD"/>
    <w:rsid w:val="002203AE"/>
    <w:rsid w:val="002204A4"/>
    <w:rsid w:val="00220875"/>
    <w:rsid w:val="00220976"/>
    <w:rsid w:val="00220BA7"/>
    <w:rsid w:val="00220DE1"/>
    <w:rsid w:val="00220F45"/>
    <w:rsid w:val="002210C7"/>
    <w:rsid w:val="00221732"/>
    <w:rsid w:val="00221A92"/>
    <w:rsid w:val="00221DCA"/>
    <w:rsid w:val="00221E02"/>
    <w:rsid w:val="002227B4"/>
    <w:rsid w:val="00222F4E"/>
    <w:rsid w:val="00223036"/>
    <w:rsid w:val="002233D9"/>
    <w:rsid w:val="00223AB3"/>
    <w:rsid w:val="00223F9C"/>
    <w:rsid w:val="00224546"/>
    <w:rsid w:val="00225217"/>
    <w:rsid w:val="0022528E"/>
    <w:rsid w:val="00225401"/>
    <w:rsid w:val="002255C6"/>
    <w:rsid w:val="002256F7"/>
    <w:rsid w:val="002261AE"/>
    <w:rsid w:val="00226410"/>
    <w:rsid w:val="002265BE"/>
    <w:rsid w:val="002266BC"/>
    <w:rsid w:val="00226776"/>
    <w:rsid w:val="00226B31"/>
    <w:rsid w:val="00226BED"/>
    <w:rsid w:val="002272ED"/>
    <w:rsid w:val="002275C2"/>
    <w:rsid w:val="002276F5"/>
    <w:rsid w:val="002277E4"/>
    <w:rsid w:val="00227ABA"/>
    <w:rsid w:val="00227C2C"/>
    <w:rsid w:val="00227DAF"/>
    <w:rsid w:val="00230242"/>
    <w:rsid w:val="002302F7"/>
    <w:rsid w:val="002302F9"/>
    <w:rsid w:val="0023051E"/>
    <w:rsid w:val="0023052E"/>
    <w:rsid w:val="002307B9"/>
    <w:rsid w:val="00230868"/>
    <w:rsid w:val="00231315"/>
    <w:rsid w:val="00231799"/>
    <w:rsid w:val="0023220D"/>
    <w:rsid w:val="002324A0"/>
    <w:rsid w:val="0023287D"/>
    <w:rsid w:val="002329C2"/>
    <w:rsid w:val="00232BD9"/>
    <w:rsid w:val="00232DE0"/>
    <w:rsid w:val="00232EA0"/>
    <w:rsid w:val="0023311E"/>
    <w:rsid w:val="002332F2"/>
    <w:rsid w:val="00233346"/>
    <w:rsid w:val="00233896"/>
    <w:rsid w:val="002339B1"/>
    <w:rsid w:val="00233A07"/>
    <w:rsid w:val="002342B7"/>
    <w:rsid w:val="00234489"/>
    <w:rsid w:val="00234644"/>
    <w:rsid w:val="002348DC"/>
    <w:rsid w:val="002350EF"/>
    <w:rsid w:val="00235167"/>
    <w:rsid w:val="00235279"/>
    <w:rsid w:val="0023538B"/>
    <w:rsid w:val="0023539B"/>
    <w:rsid w:val="00235F3E"/>
    <w:rsid w:val="00236353"/>
    <w:rsid w:val="00236684"/>
    <w:rsid w:val="002369BE"/>
    <w:rsid w:val="00236B13"/>
    <w:rsid w:val="00236B7D"/>
    <w:rsid w:val="00237896"/>
    <w:rsid w:val="002403DB"/>
    <w:rsid w:val="0024050D"/>
    <w:rsid w:val="002406D6"/>
    <w:rsid w:val="00240752"/>
    <w:rsid w:val="00240DAF"/>
    <w:rsid w:val="00240E5A"/>
    <w:rsid w:val="00241203"/>
    <w:rsid w:val="00241255"/>
    <w:rsid w:val="0024164C"/>
    <w:rsid w:val="0024168A"/>
    <w:rsid w:val="0024190F"/>
    <w:rsid w:val="002420FF"/>
    <w:rsid w:val="002423FD"/>
    <w:rsid w:val="002424FE"/>
    <w:rsid w:val="002426F4"/>
    <w:rsid w:val="00242D65"/>
    <w:rsid w:val="00243105"/>
    <w:rsid w:val="002432E8"/>
    <w:rsid w:val="002436C7"/>
    <w:rsid w:val="00243C72"/>
    <w:rsid w:val="00243F2B"/>
    <w:rsid w:val="002440FB"/>
    <w:rsid w:val="0024449F"/>
    <w:rsid w:val="002446B5"/>
    <w:rsid w:val="00244768"/>
    <w:rsid w:val="0024554F"/>
    <w:rsid w:val="00245C45"/>
    <w:rsid w:val="00245DAE"/>
    <w:rsid w:val="0024630C"/>
    <w:rsid w:val="00246749"/>
    <w:rsid w:val="00246BDB"/>
    <w:rsid w:val="00247FE6"/>
    <w:rsid w:val="00250035"/>
    <w:rsid w:val="002504A7"/>
    <w:rsid w:val="0025072E"/>
    <w:rsid w:val="002507D5"/>
    <w:rsid w:val="00250C04"/>
    <w:rsid w:val="00250D86"/>
    <w:rsid w:val="00251132"/>
    <w:rsid w:val="00251351"/>
    <w:rsid w:val="00251826"/>
    <w:rsid w:val="00251B6D"/>
    <w:rsid w:val="00251C90"/>
    <w:rsid w:val="00251DAB"/>
    <w:rsid w:val="002522C2"/>
    <w:rsid w:val="00252527"/>
    <w:rsid w:val="00252B5E"/>
    <w:rsid w:val="00252BA5"/>
    <w:rsid w:val="00252BC4"/>
    <w:rsid w:val="0025303C"/>
    <w:rsid w:val="002532CD"/>
    <w:rsid w:val="002537E4"/>
    <w:rsid w:val="00253A56"/>
    <w:rsid w:val="00253AB7"/>
    <w:rsid w:val="0025419D"/>
    <w:rsid w:val="00254286"/>
    <w:rsid w:val="002542F6"/>
    <w:rsid w:val="00254A92"/>
    <w:rsid w:val="00254BB6"/>
    <w:rsid w:val="00254FF7"/>
    <w:rsid w:val="002552CF"/>
    <w:rsid w:val="0025532D"/>
    <w:rsid w:val="002558C1"/>
    <w:rsid w:val="00255ED6"/>
    <w:rsid w:val="0025686C"/>
    <w:rsid w:val="002568C6"/>
    <w:rsid w:val="00256BC5"/>
    <w:rsid w:val="00256EF5"/>
    <w:rsid w:val="002571B8"/>
    <w:rsid w:val="00257805"/>
    <w:rsid w:val="00257B4D"/>
    <w:rsid w:val="00257CD1"/>
    <w:rsid w:val="00257CDE"/>
    <w:rsid w:val="00257E22"/>
    <w:rsid w:val="00257F1A"/>
    <w:rsid w:val="00260ACB"/>
    <w:rsid w:val="00260EC7"/>
    <w:rsid w:val="002620B3"/>
    <w:rsid w:val="00262450"/>
    <w:rsid w:val="002625B1"/>
    <w:rsid w:val="0026267C"/>
    <w:rsid w:val="002629D6"/>
    <w:rsid w:val="00262C70"/>
    <w:rsid w:val="00262FB9"/>
    <w:rsid w:val="0026337E"/>
    <w:rsid w:val="002636B7"/>
    <w:rsid w:val="002639F9"/>
    <w:rsid w:val="00263CBC"/>
    <w:rsid w:val="00263EE8"/>
    <w:rsid w:val="00263F56"/>
    <w:rsid w:val="00263F5E"/>
    <w:rsid w:val="00263FA2"/>
    <w:rsid w:val="00264199"/>
    <w:rsid w:val="002643F7"/>
    <w:rsid w:val="002647C3"/>
    <w:rsid w:val="00264DF5"/>
    <w:rsid w:val="002652D6"/>
    <w:rsid w:val="0026563D"/>
    <w:rsid w:val="002657BA"/>
    <w:rsid w:val="00265AB0"/>
    <w:rsid w:val="00265CF5"/>
    <w:rsid w:val="00265D85"/>
    <w:rsid w:val="00266100"/>
    <w:rsid w:val="002661CD"/>
    <w:rsid w:val="0026623F"/>
    <w:rsid w:val="00266472"/>
    <w:rsid w:val="002665F3"/>
    <w:rsid w:val="00266A3D"/>
    <w:rsid w:val="00266CB6"/>
    <w:rsid w:val="00267437"/>
    <w:rsid w:val="00267C21"/>
    <w:rsid w:val="0027012B"/>
    <w:rsid w:val="0027040D"/>
    <w:rsid w:val="00270A3D"/>
    <w:rsid w:val="00271534"/>
    <w:rsid w:val="00271675"/>
    <w:rsid w:val="00271AC8"/>
    <w:rsid w:val="0027215F"/>
    <w:rsid w:val="002723DC"/>
    <w:rsid w:val="00272594"/>
    <w:rsid w:val="002728AF"/>
    <w:rsid w:val="00273A64"/>
    <w:rsid w:val="00273C8B"/>
    <w:rsid w:val="00273EC6"/>
    <w:rsid w:val="00274A86"/>
    <w:rsid w:val="00274BD0"/>
    <w:rsid w:val="00275125"/>
    <w:rsid w:val="002752EE"/>
    <w:rsid w:val="002753DC"/>
    <w:rsid w:val="002756BE"/>
    <w:rsid w:val="00275819"/>
    <w:rsid w:val="00275A30"/>
    <w:rsid w:val="00275A73"/>
    <w:rsid w:val="00275E16"/>
    <w:rsid w:val="00275F5E"/>
    <w:rsid w:val="00276074"/>
    <w:rsid w:val="002767D6"/>
    <w:rsid w:val="00277145"/>
    <w:rsid w:val="0027736B"/>
    <w:rsid w:val="00277861"/>
    <w:rsid w:val="002800AE"/>
    <w:rsid w:val="00280108"/>
    <w:rsid w:val="002801A0"/>
    <w:rsid w:val="002804FA"/>
    <w:rsid w:val="00280A2A"/>
    <w:rsid w:val="00280A5B"/>
    <w:rsid w:val="00280BBE"/>
    <w:rsid w:val="00280C95"/>
    <w:rsid w:val="00280F23"/>
    <w:rsid w:val="00281262"/>
    <w:rsid w:val="00281297"/>
    <w:rsid w:val="002812AE"/>
    <w:rsid w:val="002812FE"/>
    <w:rsid w:val="00281CE6"/>
    <w:rsid w:val="00281FE6"/>
    <w:rsid w:val="00282576"/>
    <w:rsid w:val="00283192"/>
    <w:rsid w:val="00283254"/>
    <w:rsid w:val="00283A2B"/>
    <w:rsid w:val="00284336"/>
    <w:rsid w:val="00284571"/>
    <w:rsid w:val="0028487F"/>
    <w:rsid w:val="00284A29"/>
    <w:rsid w:val="00284B77"/>
    <w:rsid w:val="00284E7D"/>
    <w:rsid w:val="00285144"/>
    <w:rsid w:val="00285331"/>
    <w:rsid w:val="002854DE"/>
    <w:rsid w:val="0028576F"/>
    <w:rsid w:val="0028580D"/>
    <w:rsid w:val="00285A0C"/>
    <w:rsid w:val="00286062"/>
    <w:rsid w:val="002862F4"/>
    <w:rsid w:val="00286525"/>
    <w:rsid w:val="0028688A"/>
    <w:rsid w:val="00286A5E"/>
    <w:rsid w:val="00286DC0"/>
    <w:rsid w:val="002878B7"/>
    <w:rsid w:val="00287A1E"/>
    <w:rsid w:val="00290523"/>
    <w:rsid w:val="00290AE9"/>
    <w:rsid w:val="00290C4F"/>
    <w:rsid w:val="00290EAA"/>
    <w:rsid w:val="002912B8"/>
    <w:rsid w:val="00291561"/>
    <w:rsid w:val="00291C94"/>
    <w:rsid w:val="00292500"/>
    <w:rsid w:val="00292827"/>
    <w:rsid w:val="00292C17"/>
    <w:rsid w:val="00292E39"/>
    <w:rsid w:val="00293449"/>
    <w:rsid w:val="00293488"/>
    <w:rsid w:val="00293661"/>
    <w:rsid w:val="00293A85"/>
    <w:rsid w:val="00293EA2"/>
    <w:rsid w:val="00294062"/>
    <w:rsid w:val="0029411C"/>
    <w:rsid w:val="00294199"/>
    <w:rsid w:val="002949F2"/>
    <w:rsid w:val="002951D3"/>
    <w:rsid w:val="002956BD"/>
    <w:rsid w:val="00295DBC"/>
    <w:rsid w:val="00295FFC"/>
    <w:rsid w:val="002966C1"/>
    <w:rsid w:val="0029712D"/>
    <w:rsid w:val="0029732D"/>
    <w:rsid w:val="00297379"/>
    <w:rsid w:val="0029772C"/>
    <w:rsid w:val="002977A9"/>
    <w:rsid w:val="00297F59"/>
    <w:rsid w:val="00297F73"/>
    <w:rsid w:val="00297FF0"/>
    <w:rsid w:val="002A014F"/>
    <w:rsid w:val="002A0623"/>
    <w:rsid w:val="002A094E"/>
    <w:rsid w:val="002A0BAA"/>
    <w:rsid w:val="002A0D0B"/>
    <w:rsid w:val="002A0DC8"/>
    <w:rsid w:val="002A0F75"/>
    <w:rsid w:val="002A10CB"/>
    <w:rsid w:val="002A14F7"/>
    <w:rsid w:val="002A1626"/>
    <w:rsid w:val="002A1A21"/>
    <w:rsid w:val="002A1E9F"/>
    <w:rsid w:val="002A20E0"/>
    <w:rsid w:val="002A2123"/>
    <w:rsid w:val="002A216E"/>
    <w:rsid w:val="002A249C"/>
    <w:rsid w:val="002A2856"/>
    <w:rsid w:val="002A3028"/>
    <w:rsid w:val="002A3299"/>
    <w:rsid w:val="002A351A"/>
    <w:rsid w:val="002A39E7"/>
    <w:rsid w:val="002A40F4"/>
    <w:rsid w:val="002A452D"/>
    <w:rsid w:val="002A477D"/>
    <w:rsid w:val="002A496D"/>
    <w:rsid w:val="002A4AED"/>
    <w:rsid w:val="002A4C62"/>
    <w:rsid w:val="002A5A56"/>
    <w:rsid w:val="002A5DA1"/>
    <w:rsid w:val="002A5DA2"/>
    <w:rsid w:val="002A5F66"/>
    <w:rsid w:val="002A5FB0"/>
    <w:rsid w:val="002A6236"/>
    <w:rsid w:val="002A6841"/>
    <w:rsid w:val="002A69BD"/>
    <w:rsid w:val="002A6D09"/>
    <w:rsid w:val="002A7168"/>
    <w:rsid w:val="002A747D"/>
    <w:rsid w:val="002A76A7"/>
    <w:rsid w:val="002A78D6"/>
    <w:rsid w:val="002A7AB1"/>
    <w:rsid w:val="002A7E8A"/>
    <w:rsid w:val="002A7F9B"/>
    <w:rsid w:val="002B042F"/>
    <w:rsid w:val="002B0CBE"/>
    <w:rsid w:val="002B0D30"/>
    <w:rsid w:val="002B13A9"/>
    <w:rsid w:val="002B142B"/>
    <w:rsid w:val="002B1792"/>
    <w:rsid w:val="002B18FC"/>
    <w:rsid w:val="002B1F6A"/>
    <w:rsid w:val="002B212D"/>
    <w:rsid w:val="002B2D32"/>
    <w:rsid w:val="002B2E2B"/>
    <w:rsid w:val="002B32EC"/>
    <w:rsid w:val="002B35E5"/>
    <w:rsid w:val="002B3DFF"/>
    <w:rsid w:val="002B4081"/>
    <w:rsid w:val="002B40F1"/>
    <w:rsid w:val="002B42E0"/>
    <w:rsid w:val="002B4449"/>
    <w:rsid w:val="002B4FE1"/>
    <w:rsid w:val="002B5548"/>
    <w:rsid w:val="002B5767"/>
    <w:rsid w:val="002B57B8"/>
    <w:rsid w:val="002B58EC"/>
    <w:rsid w:val="002B5979"/>
    <w:rsid w:val="002B5A01"/>
    <w:rsid w:val="002B5AF6"/>
    <w:rsid w:val="002B5B51"/>
    <w:rsid w:val="002B5EAB"/>
    <w:rsid w:val="002B5F3D"/>
    <w:rsid w:val="002B6248"/>
    <w:rsid w:val="002B64D4"/>
    <w:rsid w:val="002B6536"/>
    <w:rsid w:val="002B6579"/>
    <w:rsid w:val="002B6A76"/>
    <w:rsid w:val="002B6A96"/>
    <w:rsid w:val="002B6B08"/>
    <w:rsid w:val="002B749B"/>
    <w:rsid w:val="002B75A5"/>
    <w:rsid w:val="002B7E65"/>
    <w:rsid w:val="002B7F95"/>
    <w:rsid w:val="002C0328"/>
    <w:rsid w:val="002C0CA0"/>
    <w:rsid w:val="002C0D5F"/>
    <w:rsid w:val="002C109F"/>
    <w:rsid w:val="002C11EE"/>
    <w:rsid w:val="002C1221"/>
    <w:rsid w:val="002C12F3"/>
    <w:rsid w:val="002C1DCF"/>
    <w:rsid w:val="002C1F83"/>
    <w:rsid w:val="002C1FCA"/>
    <w:rsid w:val="002C24E6"/>
    <w:rsid w:val="002C254E"/>
    <w:rsid w:val="002C256F"/>
    <w:rsid w:val="002C284C"/>
    <w:rsid w:val="002C30EE"/>
    <w:rsid w:val="002C329E"/>
    <w:rsid w:val="002C336C"/>
    <w:rsid w:val="002C35E4"/>
    <w:rsid w:val="002C37C1"/>
    <w:rsid w:val="002C3C8F"/>
    <w:rsid w:val="002C3F82"/>
    <w:rsid w:val="002C428D"/>
    <w:rsid w:val="002C45D0"/>
    <w:rsid w:val="002C4749"/>
    <w:rsid w:val="002C492B"/>
    <w:rsid w:val="002C4B0E"/>
    <w:rsid w:val="002C4B26"/>
    <w:rsid w:val="002C4DFB"/>
    <w:rsid w:val="002C4E93"/>
    <w:rsid w:val="002C4FD7"/>
    <w:rsid w:val="002C4FE8"/>
    <w:rsid w:val="002C510E"/>
    <w:rsid w:val="002C520F"/>
    <w:rsid w:val="002C5418"/>
    <w:rsid w:val="002C544D"/>
    <w:rsid w:val="002C5CA2"/>
    <w:rsid w:val="002C5DA3"/>
    <w:rsid w:val="002C6EA1"/>
    <w:rsid w:val="002C706A"/>
    <w:rsid w:val="002C75F0"/>
    <w:rsid w:val="002C774C"/>
    <w:rsid w:val="002C798C"/>
    <w:rsid w:val="002C7C7E"/>
    <w:rsid w:val="002C7C95"/>
    <w:rsid w:val="002C7E38"/>
    <w:rsid w:val="002D06C7"/>
    <w:rsid w:val="002D0BDA"/>
    <w:rsid w:val="002D0DAD"/>
    <w:rsid w:val="002D0DB5"/>
    <w:rsid w:val="002D1D9B"/>
    <w:rsid w:val="002D2200"/>
    <w:rsid w:val="002D2A78"/>
    <w:rsid w:val="002D31E4"/>
    <w:rsid w:val="002D339F"/>
    <w:rsid w:val="002D3C33"/>
    <w:rsid w:val="002D41DE"/>
    <w:rsid w:val="002D423B"/>
    <w:rsid w:val="002D4371"/>
    <w:rsid w:val="002D494C"/>
    <w:rsid w:val="002D49F2"/>
    <w:rsid w:val="002D55BA"/>
    <w:rsid w:val="002D5BF8"/>
    <w:rsid w:val="002D5E88"/>
    <w:rsid w:val="002D6703"/>
    <w:rsid w:val="002D67C6"/>
    <w:rsid w:val="002D6D07"/>
    <w:rsid w:val="002D6D54"/>
    <w:rsid w:val="002D6EAA"/>
    <w:rsid w:val="002D7265"/>
    <w:rsid w:val="002E00CB"/>
    <w:rsid w:val="002E012E"/>
    <w:rsid w:val="002E0228"/>
    <w:rsid w:val="002E07A2"/>
    <w:rsid w:val="002E08CD"/>
    <w:rsid w:val="002E0E48"/>
    <w:rsid w:val="002E1209"/>
    <w:rsid w:val="002E133B"/>
    <w:rsid w:val="002E20B4"/>
    <w:rsid w:val="002E22D0"/>
    <w:rsid w:val="002E23F5"/>
    <w:rsid w:val="002E2418"/>
    <w:rsid w:val="002E2935"/>
    <w:rsid w:val="002E29BD"/>
    <w:rsid w:val="002E2F85"/>
    <w:rsid w:val="002E3228"/>
    <w:rsid w:val="002E3668"/>
    <w:rsid w:val="002E37B1"/>
    <w:rsid w:val="002E43E0"/>
    <w:rsid w:val="002E454F"/>
    <w:rsid w:val="002E50D4"/>
    <w:rsid w:val="002E52D3"/>
    <w:rsid w:val="002E5426"/>
    <w:rsid w:val="002E5983"/>
    <w:rsid w:val="002E59D2"/>
    <w:rsid w:val="002E5CBD"/>
    <w:rsid w:val="002E6029"/>
    <w:rsid w:val="002E6392"/>
    <w:rsid w:val="002E64C5"/>
    <w:rsid w:val="002E68CF"/>
    <w:rsid w:val="002E6DFF"/>
    <w:rsid w:val="002E6F6B"/>
    <w:rsid w:val="002E7086"/>
    <w:rsid w:val="002E784C"/>
    <w:rsid w:val="002E798D"/>
    <w:rsid w:val="002E7DF2"/>
    <w:rsid w:val="002F04F2"/>
    <w:rsid w:val="002F07A8"/>
    <w:rsid w:val="002F07B2"/>
    <w:rsid w:val="002F0AFA"/>
    <w:rsid w:val="002F0F27"/>
    <w:rsid w:val="002F108F"/>
    <w:rsid w:val="002F10B7"/>
    <w:rsid w:val="002F1EE5"/>
    <w:rsid w:val="002F2165"/>
    <w:rsid w:val="002F28CC"/>
    <w:rsid w:val="002F2C7C"/>
    <w:rsid w:val="002F2CB7"/>
    <w:rsid w:val="002F2D8B"/>
    <w:rsid w:val="002F2EDC"/>
    <w:rsid w:val="002F2F89"/>
    <w:rsid w:val="002F34A7"/>
    <w:rsid w:val="002F3558"/>
    <w:rsid w:val="002F3D1B"/>
    <w:rsid w:val="002F42B5"/>
    <w:rsid w:val="002F4A3A"/>
    <w:rsid w:val="002F4A61"/>
    <w:rsid w:val="002F4A73"/>
    <w:rsid w:val="002F513A"/>
    <w:rsid w:val="002F5868"/>
    <w:rsid w:val="002F59D3"/>
    <w:rsid w:val="002F5A66"/>
    <w:rsid w:val="002F6165"/>
    <w:rsid w:val="002F61F3"/>
    <w:rsid w:val="002F6FA4"/>
    <w:rsid w:val="002F720A"/>
    <w:rsid w:val="002F7320"/>
    <w:rsid w:val="002F769C"/>
    <w:rsid w:val="002F79A2"/>
    <w:rsid w:val="002F79B0"/>
    <w:rsid w:val="002F7A71"/>
    <w:rsid w:val="002F7D0C"/>
    <w:rsid w:val="003002F1"/>
    <w:rsid w:val="0030034A"/>
    <w:rsid w:val="003006D5"/>
    <w:rsid w:val="00300761"/>
    <w:rsid w:val="00300893"/>
    <w:rsid w:val="00300929"/>
    <w:rsid w:val="00300E5D"/>
    <w:rsid w:val="00300EAC"/>
    <w:rsid w:val="003013CA"/>
    <w:rsid w:val="003013DC"/>
    <w:rsid w:val="00301814"/>
    <w:rsid w:val="00301A21"/>
    <w:rsid w:val="00302139"/>
    <w:rsid w:val="003021D8"/>
    <w:rsid w:val="00302582"/>
    <w:rsid w:val="003028EA"/>
    <w:rsid w:val="0030290F"/>
    <w:rsid w:val="00302A0B"/>
    <w:rsid w:val="00302A9A"/>
    <w:rsid w:val="00302BC7"/>
    <w:rsid w:val="00302CA8"/>
    <w:rsid w:val="00302E4A"/>
    <w:rsid w:val="00302E6C"/>
    <w:rsid w:val="00303092"/>
    <w:rsid w:val="0030333F"/>
    <w:rsid w:val="003034A0"/>
    <w:rsid w:val="00303592"/>
    <w:rsid w:val="003036CF"/>
    <w:rsid w:val="003036E6"/>
    <w:rsid w:val="00303965"/>
    <w:rsid w:val="003039D9"/>
    <w:rsid w:val="00303E1A"/>
    <w:rsid w:val="0030423A"/>
    <w:rsid w:val="0030485C"/>
    <w:rsid w:val="00304F03"/>
    <w:rsid w:val="00304FB2"/>
    <w:rsid w:val="00305567"/>
    <w:rsid w:val="00305689"/>
    <w:rsid w:val="003057D3"/>
    <w:rsid w:val="003058B0"/>
    <w:rsid w:val="00306380"/>
    <w:rsid w:val="003067FF"/>
    <w:rsid w:val="0030684A"/>
    <w:rsid w:val="0030685B"/>
    <w:rsid w:val="0030696C"/>
    <w:rsid w:val="003073E8"/>
    <w:rsid w:val="00307465"/>
    <w:rsid w:val="00307674"/>
    <w:rsid w:val="003076F9"/>
    <w:rsid w:val="00307DC8"/>
    <w:rsid w:val="00307FCC"/>
    <w:rsid w:val="0031008E"/>
    <w:rsid w:val="00310106"/>
    <w:rsid w:val="00310498"/>
    <w:rsid w:val="00310A9A"/>
    <w:rsid w:val="003117AC"/>
    <w:rsid w:val="003117BE"/>
    <w:rsid w:val="003117FE"/>
    <w:rsid w:val="00312187"/>
    <w:rsid w:val="00312646"/>
    <w:rsid w:val="0031298C"/>
    <w:rsid w:val="00312A7A"/>
    <w:rsid w:val="00312D07"/>
    <w:rsid w:val="00312E2A"/>
    <w:rsid w:val="00313735"/>
    <w:rsid w:val="00313DA5"/>
    <w:rsid w:val="00313EC4"/>
    <w:rsid w:val="00314376"/>
    <w:rsid w:val="00314C04"/>
    <w:rsid w:val="00314C3A"/>
    <w:rsid w:val="00314D45"/>
    <w:rsid w:val="00315316"/>
    <w:rsid w:val="003155F2"/>
    <w:rsid w:val="00315645"/>
    <w:rsid w:val="003157B5"/>
    <w:rsid w:val="00315CBF"/>
    <w:rsid w:val="0031657D"/>
    <w:rsid w:val="00316628"/>
    <w:rsid w:val="00316713"/>
    <w:rsid w:val="00316BE1"/>
    <w:rsid w:val="00317346"/>
    <w:rsid w:val="003200BE"/>
    <w:rsid w:val="00320451"/>
    <w:rsid w:val="00320862"/>
    <w:rsid w:val="00320998"/>
    <w:rsid w:val="00320A42"/>
    <w:rsid w:val="00321512"/>
    <w:rsid w:val="00321DB8"/>
    <w:rsid w:val="00322199"/>
    <w:rsid w:val="003225A7"/>
    <w:rsid w:val="00322EB1"/>
    <w:rsid w:val="00322F6B"/>
    <w:rsid w:val="00323032"/>
    <w:rsid w:val="003231D6"/>
    <w:rsid w:val="00323369"/>
    <w:rsid w:val="00323492"/>
    <w:rsid w:val="00323795"/>
    <w:rsid w:val="00323DE4"/>
    <w:rsid w:val="003247B5"/>
    <w:rsid w:val="00324961"/>
    <w:rsid w:val="0032511B"/>
    <w:rsid w:val="003255C6"/>
    <w:rsid w:val="003256DB"/>
    <w:rsid w:val="00325EE5"/>
    <w:rsid w:val="003263A9"/>
    <w:rsid w:val="003269EA"/>
    <w:rsid w:val="00326B68"/>
    <w:rsid w:val="00326BF6"/>
    <w:rsid w:val="0032714E"/>
    <w:rsid w:val="00327181"/>
    <w:rsid w:val="003274AC"/>
    <w:rsid w:val="00327C7F"/>
    <w:rsid w:val="003300B2"/>
    <w:rsid w:val="00330134"/>
    <w:rsid w:val="003301C9"/>
    <w:rsid w:val="003301CF"/>
    <w:rsid w:val="003301D9"/>
    <w:rsid w:val="003306B0"/>
    <w:rsid w:val="003309CC"/>
    <w:rsid w:val="0033132A"/>
    <w:rsid w:val="003315CD"/>
    <w:rsid w:val="00331BD9"/>
    <w:rsid w:val="003320FA"/>
    <w:rsid w:val="00332539"/>
    <w:rsid w:val="003327CD"/>
    <w:rsid w:val="00332CAF"/>
    <w:rsid w:val="00332D87"/>
    <w:rsid w:val="00332DCC"/>
    <w:rsid w:val="0033319E"/>
    <w:rsid w:val="00333536"/>
    <w:rsid w:val="0033354E"/>
    <w:rsid w:val="003335B9"/>
    <w:rsid w:val="00333EDE"/>
    <w:rsid w:val="00334E06"/>
    <w:rsid w:val="00334E6C"/>
    <w:rsid w:val="00334F5C"/>
    <w:rsid w:val="0033510A"/>
    <w:rsid w:val="003353E9"/>
    <w:rsid w:val="00335491"/>
    <w:rsid w:val="00335B9F"/>
    <w:rsid w:val="00335FED"/>
    <w:rsid w:val="0033603F"/>
    <w:rsid w:val="003360F4"/>
    <w:rsid w:val="00336183"/>
    <w:rsid w:val="00336633"/>
    <w:rsid w:val="0033665E"/>
    <w:rsid w:val="00336A59"/>
    <w:rsid w:val="00336C78"/>
    <w:rsid w:val="00336F21"/>
    <w:rsid w:val="00336F89"/>
    <w:rsid w:val="00337088"/>
    <w:rsid w:val="0033755D"/>
    <w:rsid w:val="00337818"/>
    <w:rsid w:val="00337B19"/>
    <w:rsid w:val="00340286"/>
    <w:rsid w:val="00340754"/>
    <w:rsid w:val="00340CAB"/>
    <w:rsid w:val="0034161F"/>
    <w:rsid w:val="0034197D"/>
    <w:rsid w:val="00341A9C"/>
    <w:rsid w:val="00341BC4"/>
    <w:rsid w:val="00341D24"/>
    <w:rsid w:val="00341DA2"/>
    <w:rsid w:val="00341EFB"/>
    <w:rsid w:val="00341FAC"/>
    <w:rsid w:val="0034274C"/>
    <w:rsid w:val="00342976"/>
    <w:rsid w:val="00342D98"/>
    <w:rsid w:val="0034305A"/>
    <w:rsid w:val="00343824"/>
    <w:rsid w:val="00343C66"/>
    <w:rsid w:val="003441BC"/>
    <w:rsid w:val="00344310"/>
    <w:rsid w:val="00344797"/>
    <w:rsid w:val="00344AF4"/>
    <w:rsid w:val="00344BA0"/>
    <w:rsid w:val="0034598C"/>
    <w:rsid w:val="003460F6"/>
    <w:rsid w:val="003462E7"/>
    <w:rsid w:val="00346464"/>
    <w:rsid w:val="0034695C"/>
    <w:rsid w:val="00346B74"/>
    <w:rsid w:val="00346E8A"/>
    <w:rsid w:val="00346F7D"/>
    <w:rsid w:val="00346FF5"/>
    <w:rsid w:val="0034737E"/>
    <w:rsid w:val="0034765D"/>
    <w:rsid w:val="0034774C"/>
    <w:rsid w:val="003501D4"/>
    <w:rsid w:val="00350314"/>
    <w:rsid w:val="00350430"/>
    <w:rsid w:val="0035060B"/>
    <w:rsid w:val="0035084D"/>
    <w:rsid w:val="003509F2"/>
    <w:rsid w:val="00350D2D"/>
    <w:rsid w:val="00350E83"/>
    <w:rsid w:val="00350FAB"/>
    <w:rsid w:val="00351577"/>
    <w:rsid w:val="003518DB"/>
    <w:rsid w:val="0035202F"/>
    <w:rsid w:val="0035212A"/>
    <w:rsid w:val="00352389"/>
    <w:rsid w:val="00352455"/>
    <w:rsid w:val="003525C9"/>
    <w:rsid w:val="003526AF"/>
    <w:rsid w:val="003527DF"/>
    <w:rsid w:val="00353428"/>
    <w:rsid w:val="00353572"/>
    <w:rsid w:val="0035360E"/>
    <w:rsid w:val="00353E99"/>
    <w:rsid w:val="003540F3"/>
    <w:rsid w:val="00354389"/>
    <w:rsid w:val="003550AA"/>
    <w:rsid w:val="00355664"/>
    <w:rsid w:val="0035574F"/>
    <w:rsid w:val="003557A8"/>
    <w:rsid w:val="003557AC"/>
    <w:rsid w:val="00356F46"/>
    <w:rsid w:val="0035706D"/>
    <w:rsid w:val="00357082"/>
    <w:rsid w:val="003576E2"/>
    <w:rsid w:val="00357776"/>
    <w:rsid w:val="00357777"/>
    <w:rsid w:val="003578A6"/>
    <w:rsid w:val="00357AC2"/>
    <w:rsid w:val="0036009F"/>
    <w:rsid w:val="0036024B"/>
    <w:rsid w:val="003607B3"/>
    <w:rsid w:val="00360DBD"/>
    <w:rsid w:val="00360DDE"/>
    <w:rsid w:val="00360E0C"/>
    <w:rsid w:val="003615A0"/>
    <w:rsid w:val="0036194C"/>
    <w:rsid w:val="00361F13"/>
    <w:rsid w:val="003620AC"/>
    <w:rsid w:val="0036264B"/>
    <w:rsid w:val="00362735"/>
    <w:rsid w:val="00362925"/>
    <w:rsid w:val="00362F4F"/>
    <w:rsid w:val="00363538"/>
    <w:rsid w:val="003636A7"/>
    <w:rsid w:val="003636F5"/>
    <w:rsid w:val="00363D6C"/>
    <w:rsid w:val="00364520"/>
    <w:rsid w:val="00364B25"/>
    <w:rsid w:val="0036502C"/>
    <w:rsid w:val="0036514F"/>
    <w:rsid w:val="003651FD"/>
    <w:rsid w:val="003654DD"/>
    <w:rsid w:val="003658E1"/>
    <w:rsid w:val="00365A51"/>
    <w:rsid w:val="00365E02"/>
    <w:rsid w:val="00366431"/>
    <w:rsid w:val="003669A7"/>
    <w:rsid w:val="00366AB8"/>
    <w:rsid w:val="00366DEC"/>
    <w:rsid w:val="00366EDE"/>
    <w:rsid w:val="0036705C"/>
    <w:rsid w:val="0036717F"/>
    <w:rsid w:val="00367535"/>
    <w:rsid w:val="00367B03"/>
    <w:rsid w:val="00370132"/>
    <w:rsid w:val="003708C7"/>
    <w:rsid w:val="00370920"/>
    <w:rsid w:val="00370C14"/>
    <w:rsid w:val="00371089"/>
    <w:rsid w:val="0037159A"/>
    <w:rsid w:val="00371CA4"/>
    <w:rsid w:val="00372635"/>
    <w:rsid w:val="003728AB"/>
    <w:rsid w:val="003728FC"/>
    <w:rsid w:val="00372D1F"/>
    <w:rsid w:val="00373384"/>
    <w:rsid w:val="0037352E"/>
    <w:rsid w:val="00373820"/>
    <w:rsid w:val="00373F22"/>
    <w:rsid w:val="00374161"/>
    <w:rsid w:val="00374630"/>
    <w:rsid w:val="0037467B"/>
    <w:rsid w:val="00374689"/>
    <w:rsid w:val="003749C4"/>
    <w:rsid w:val="00374E76"/>
    <w:rsid w:val="003756FA"/>
    <w:rsid w:val="003758F4"/>
    <w:rsid w:val="003759AF"/>
    <w:rsid w:val="00375BCB"/>
    <w:rsid w:val="00376ADD"/>
    <w:rsid w:val="00376B13"/>
    <w:rsid w:val="00376F4A"/>
    <w:rsid w:val="00377176"/>
    <w:rsid w:val="003773AC"/>
    <w:rsid w:val="003773C4"/>
    <w:rsid w:val="00377656"/>
    <w:rsid w:val="00377B26"/>
    <w:rsid w:val="00377C89"/>
    <w:rsid w:val="003802C8"/>
    <w:rsid w:val="00380369"/>
    <w:rsid w:val="00380430"/>
    <w:rsid w:val="0038069C"/>
    <w:rsid w:val="00380755"/>
    <w:rsid w:val="003815D5"/>
    <w:rsid w:val="00381878"/>
    <w:rsid w:val="00381879"/>
    <w:rsid w:val="003818DC"/>
    <w:rsid w:val="00381AD6"/>
    <w:rsid w:val="00381CA6"/>
    <w:rsid w:val="003821E2"/>
    <w:rsid w:val="003827BD"/>
    <w:rsid w:val="003829B7"/>
    <w:rsid w:val="003829E8"/>
    <w:rsid w:val="00383012"/>
    <w:rsid w:val="00383080"/>
    <w:rsid w:val="003834BA"/>
    <w:rsid w:val="003835F9"/>
    <w:rsid w:val="00383C34"/>
    <w:rsid w:val="00384468"/>
    <w:rsid w:val="003846B9"/>
    <w:rsid w:val="003846CB"/>
    <w:rsid w:val="00384B85"/>
    <w:rsid w:val="00384C72"/>
    <w:rsid w:val="00385448"/>
    <w:rsid w:val="00385741"/>
    <w:rsid w:val="0038585C"/>
    <w:rsid w:val="003858FC"/>
    <w:rsid w:val="00385A78"/>
    <w:rsid w:val="00385E41"/>
    <w:rsid w:val="00385E4A"/>
    <w:rsid w:val="00385F63"/>
    <w:rsid w:val="00386006"/>
    <w:rsid w:val="003865B6"/>
    <w:rsid w:val="00386991"/>
    <w:rsid w:val="00386A3E"/>
    <w:rsid w:val="00386CE1"/>
    <w:rsid w:val="00387033"/>
    <w:rsid w:val="00387114"/>
    <w:rsid w:val="0038711D"/>
    <w:rsid w:val="00387367"/>
    <w:rsid w:val="003873D0"/>
    <w:rsid w:val="00387748"/>
    <w:rsid w:val="0039006A"/>
    <w:rsid w:val="00390CE7"/>
    <w:rsid w:val="00391B14"/>
    <w:rsid w:val="00391B76"/>
    <w:rsid w:val="00391EDE"/>
    <w:rsid w:val="0039201C"/>
    <w:rsid w:val="00392CA5"/>
    <w:rsid w:val="00392CF9"/>
    <w:rsid w:val="00393040"/>
    <w:rsid w:val="00393203"/>
    <w:rsid w:val="003939D6"/>
    <w:rsid w:val="00393B17"/>
    <w:rsid w:val="00393B8C"/>
    <w:rsid w:val="00394284"/>
    <w:rsid w:val="00394839"/>
    <w:rsid w:val="00395343"/>
    <w:rsid w:val="00395634"/>
    <w:rsid w:val="00395925"/>
    <w:rsid w:val="00395CBD"/>
    <w:rsid w:val="00395DD7"/>
    <w:rsid w:val="003961BA"/>
    <w:rsid w:val="00396226"/>
    <w:rsid w:val="00396B77"/>
    <w:rsid w:val="00396CFF"/>
    <w:rsid w:val="00396D0A"/>
    <w:rsid w:val="00396D6A"/>
    <w:rsid w:val="00396E27"/>
    <w:rsid w:val="00396F5E"/>
    <w:rsid w:val="00397D10"/>
    <w:rsid w:val="00397D3F"/>
    <w:rsid w:val="00397EAC"/>
    <w:rsid w:val="00397F26"/>
    <w:rsid w:val="00397F52"/>
    <w:rsid w:val="003A00AA"/>
    <w:rsid w:val="003A02AF"/>
    <w:rsid w:val="003A06A2"/>
    <w:rsid w:val="003A0767"/>
    <w:rsid w:val="003A0C0C"/>
    <w:rsid w:val="003A1949"/>
    <w:rsid w:val="003A1EA2"/>
    <w:rsid w:val="003A2786"/>
    <w:rsid w:val="003A27DF"/>
    <w:rsid w:val="003A2C38"/>
    <w:rsid w:val="003A2C6A"/>
    <w:rsid w:val="003A2D52"/>
    <w:rsid w:val="003A3003"/>
    <w:rsid w:val="003A3104"/>
    <w:rsid w:val="003A3111"/>
    <w:rsid w:val="003A321B"/>
    <w:rsid w:val="003A3408"/>
    <w:rsid w:val="003A36EB"/>
    <w:rsid w:val="003A3955"/>
    <w:rsid w:val="003A4362"/>
    <w:rsid w:val="003A4979"/>
    <w:rsid w:val="003A4C77"/>
    <w:rsid w:val="003A5309"/>
    <w:rsid w:val="003A5393"/>
    <w:rsid w:val="003A54A2"/>
    <w:rsid w:val="003A559E"/>
    <w:rsid w:val="003A66C0"/>
    <w:rsid w:val="003A6AAD"/>
    <w:rsid w:val="003A6C61"/>
    <w:rsid w:val="003A6E77"/>
    <w:rsid w:val="003A7311"/>
    <w:rsid w:val="003A745F"/>
    <w:rsid w:val="003A746B"/>
    <w:rsid w:val="003A76A2"/>
    <w:rsid w:val="003B00EE"/>
    <w:rsid w:val="003B01C0"/>
    <w:rsid w:val="003B0D5D"/>
    <w:rsid w:val="003B1033"/>
    <w:rsid w:val="003B10EC"/>
    <w:rsid w:val="003B1291"/>
    <w:rsid w:val="003B1347"/>
    <w:rsid w:val="003B148D"/>
    <w:rsid w:val="003B1977"/>
    <w:rsid w:val="003B1C58"/>
    <w:rsid w:val="003B2738"/>
    <w:rsid w:val="003B2A11"/>
    <w:rsid w:val="003B2A8F"/>
    <w:rsid w:val="003B2E34"/>
    <w:rsid w:val="003B34A9"/>
    <w:rsid w:val="003B3931"/>
    <w:rsid w:val="003B3F95"/>
    <w:rsid w:val="003B42B5"/>
    <w:rsid w:val="003B4B46"/>
    <w:rsid w:val="003B4F61"/>
    <w:rsid w:val="003B5625"/>
    <w:rsid w:val="003B60A8"/>
    <w:rsid w:val="003B61E5"/>
    <w:rsid w:val="003B669A"/>
    <w:rsid w:val="003B67FC"/>
    <w:rsid w:val="003B7900"/>
    <w:rsid w:val="003B7984"/>
    <w:rsid w:val="003B7AC4"/>
    <w:rsid w:val="003B7B8A"/>
    <w:rsid w:val="003C00AD"/>
    <w:rsid w:val="003C02F8"/>
    <w:rsid w:val="003C057F"/>
    <w:rsid w:val="003C0A9F"/>
    <w:rsid w:val="003C13A4"/>
    <w:rsid w:val="003C1975"/>
    <w:rsid w:val="003C1C06"/>
    <w:rsid w:val="003C1CCD"/>
    <w:rsid w:val="003C1FB0"/>
    <w:rsid w:val="003C2299"/>
    <w:rsid w:val="003C2652"/>
    <w:rsid w:val="003C2B0F"/>
    <w:rsid w:val="003C2C8E"/>
    <w:rsid w:val="003C2E5E"/>
    <w:rsid w:val="003C32EF"/>
    <w:rsid w:val="003C3C76"/>
    <w:rsid w:val="003C400E"/>
    <w:rsid w:val="003C406F"/>
    <w:rsid w:val="003C40F2"/>
    <w:rsid w:val="003C4224"/>
    <w:rsid w:val="003C4435"/>
    <w:rsid w:val="003C49BF"/>
    <w:rsid w:val="003C4ABB"/>
    <w:rsid w:val="003C519C"/>
    <w:rsid w:val="003C584C"/>
    <w:rsid w:val="003C5A32"/>
    <w:rsid w:val="003C5F82"/>
    <w:rsid w:val="003C6067"/>
    <w:rsid w:val="003C6089"/>
    <w:rsid w:val="003C62BA"/>
    <w:rsid w:val="003C632F"/>
    <w:rsid w:val="003C63FD"/>
    <w:rsid w:val="003C6495"/>
    <w:rsid w:val="003C64B3"/>
    <w:rsid w:val="003C69EF"/>
    <w:rsid w:val="003C6AE4"/>
    <w:rsid w:val="003C6D0A"/>
    <w:rsid w:val="003C6F0A"/>
    <w:rsid w:val="003C703B"/>
    <w:rsid w:val="003C72F2"/>
    <w:rsid w:val="003C7372"/>
    <w:rsid w:val="003D07F9"/>
    <w:rsid w:val="003D08D1"/>
    <w:rsid w:val="003D15F7"/>
    <w:rsid w:val="003D178D"/>
    <w:rsid w:val="003D1863"/>
    <w:rsid w:val="003D1CAD"/>
    <w:rsid w:val="003D1E49"/>
    <w:rsid w:val="003D1F91"/>
    <w:rsid w:val="003D2359"/>
    <w:rsid w:val="003D279C"/>
    <w:rsid w:val="003D283B"/>
    <w:rsid w:val="003D28BE"/>
    <w:rsid w:val="003D2FD5"/>
    <w:rsid w:val="003D3074"/>
    <w:rsid w:val="003D3385"/>
    <w:rsid w:val="003D33BD"/>
    <w:rsid w:val="003D3670"/>
    <w:rsid w:val="003D36B0"/>
    <w:rsid w:val="003D3945"/>
    <w:rsid w:val="003D3AB4"/>
    <w:rsid w:val="003D3B07"/>
    <w:rsid w:val="003D3C09"/>
    <w:rsid w:val="003D3F27"/>
    <w:rsid w:val="003D4403"/>
    <w:rsid w:val="003D496D"/>
    <w:rsid w:val="003D4FA6"/>
    <w:rsid w:val="003D5398"/>
    <w:rsid w:val="003D5599"/>
    <w:rsid w:val="003D5654"/>
    <w:rsid w:val="003D5E15"/>
    <w:rsid w:val="003D5F05"/>
    <w:rsid w:val="003D61BE"/>
    <w:rsid w:val="003D6258"/>
    <w:rsid w:val="003D6383"/>
    <w:rsid w:val="003D6625"/>
    <w:rsid w:val="003D6731"/>
    <w:rsid w:val="003D682A"/>
    <w:rsid w:val="003D69A1"/>
    <w:rsid w:val="003D6FAB"/>
    <w:rsid w:val="003D7C66"/>
    <w:rsid w:val="003D7F77"/>
    <w:rsid w:val="003E027E"/>
    <w:rsid w:val="003E02DC"/>
    <w:rsid w:val="003E0421"/>
    <w:rsid w:val="003E05AF"/>
    <w:rsid w:val="003E0B80"/>
    <w:rsid w:val="003E0CD2"/>
    <w:rsid w:val="003E0E40"/>
    <w:rsid w:val="003E13DB"/>
    <w:rsid w:val="003E1E53"/>
    <w:rsid w:val="003E1E71"/>
    <w:rsid w:val="003E209B"/>
    <w:rsid w:val="003E25A3"/>
    <w:rsid w:val="003E2ADF"/>
    <w:rsid w:val="003E2FA8"/>
    <w:rsid w:val="003E3029"/>
    <w:rsid w:val="003E31D4"/>
    <w:rsid w:val="003E336E"/>
    <w:rsid w:val="003E343D"/>
    <w:rsid w:val="003E37A2"/>
    <w:rsid w:val="003E38F6"/>
    <w:rsid w:val="003E3D5C"/>
    <w:rsid w:val="003E44B8"/>
    <w:rsid w:val="003E4910"/>
    <w:rsid w:val="003E51BD"/>
    <w:rsid w:val="003E5532"/>
    <w:rsid w:val="003E55F2"/>
    <w:rsid w:val="003E5864"/>
    <w:rsid w:val="003E5890"/>
    <w:rsid w:val="003E598A"/>
    <w:rsid w:val="003E5D5F"/>
    <w:rsid w:val="003E5EE1"/>
    <w:rsid w:val="003E609D"/>
    <w:rsid w:val="003E60F8"/>
    <w:rsid w:val="003E60FC"/>
    <w:rsid w:val="003E635C"/>
    <w:rsid w:val="003E637A"/>
    <w:rsid w:val="003E661E"/>
    <w:rsid w:val="003E66EA"/>
    <w:rsid w:val="003E6871"/>
    <w:rsid w:val="003E6CE9"/>
    <w:rsid w:val="003E73B5"/>
    <w:rsid w:val="003E768F"/>
    <w:rsid w:val="003E7C5E"/>
    <w:rsid w:val="003F02C4"/>
    <w:rsid w:val="003F0457"/>
    <w:rsid w:val="003F0746"/>
    <w:rsid w:val="003F0E64"/>
    <w:rsid w:val="003F104A"/>
    <w:rsid w:val="003F139A"/>
    <w:rsid w:val="003F2208"/>
    <w:rsid w:val="003F22B5"/>
    <w:rsid w:val="003F2643"/>
    <w:rsid w:val="003F2F8B"/>
    <w:rsid w:val="003F45A4"/>
    <w:rsid w:val="003F505D"/>
    <w:rsid w:val="003F5641"/>
    <w:rsid w:val="003F56B8"/>
    <w:rsid w:val="003F5D88"/>
    <w:rsid w:val="003F5DA9"/>
    <w:rsid w:val="003F6130"/>
    <w:rsid w:val="003F63C9"/>
    <w:rsid w:val="003F6F1C"/>
    <w:rsid w:val="003F772B"/>
    <w:rsid w:val="003F78B7"/>
    <w:rsid w:val="003F7BB3"/>
    <w:rsid w:val="003F7F0A"/>
    <w:rsid w:val="004003C1"/>
    <w:rsid w:val="00400836"/>
    <w:rsid w:val="00400B67"/>
    <w:rsid w:val="00401365"/>
    <w:rsid w:val="0040141C"/>
    <w:rsid w:val="0040196A"/>
    <w:rsid w:val="00401E91"/>
    <w:rsid w:val="004028FC"/>
    <w:rsid w:val="00402D19"/>
    <w:rsid w:val="00402DE6"/>
    <w:rsid w:val="00402E8C"/>
    <w:rsid w:val="00402F72"/>
    <w:rsid w:val="0040329A"/>
    <w:rsid w:val="004033DC"/>
    <w:rsid w:val="004035E0"/>
    <w:rsid w:val="00403752"/>
    <w:rsid w:val="004039DF"/>
    <w:rsid w:val="00403D69"/>
    <w:rsid w:val="00403E0A"/>
    <w:rsid w:val="004041CA"/>
    <w:rsid w:val="0040433E"/>
    <w:rsid w:val="00404542"/>
    <w:rsid w:val="00404873"/>
    <w:rsid w:val="00404B3E"/>
    <w:rsid w:val="00404EC6"/>
    <w:rsid w:val="00405033"/>
    <w:rsid w:val="00405244"/>
    <w:rsid w:val="004052A3"/>
    <w:rsid w:val="0040545B"/>
    <w:rsid w:val="00405499"/>
    <w:rsid w:val="0040564C"/>
    <w:rsid w:val="004056BB"/>
    <w:rsid w:val="00405A0B"/>
    <w:rsid w:val="00405B62"/>
    <w:rsid w:val="00405C53"/>
    <w:rsid w:val="0040605D"/>
    <w:rsid w:val="00406883"/>
    <w:rsid w:val="00406B37"/>
    <w:rsid w:val="004071F0"/>
    <w:rsid w:val="0040728D"/>
    <w:rsid w:val="00407346"/>
    <w:rsid w:val="00407934"/>
    <w:rsid w:val="00407C36"/>
    <w:rsid w:val="00407E75"/>
    <w:rsid w:val="00407EA2"/>
    <w:rsid w:val="004105D1"/>
    <w:rsid w:val="00410D24"/>
    <w:rsid w:val="004111B9"/>
    <w:rsid w:val="0041165F"/>
    <w:rsid w:val="00411BD1"/>
    <w:rsid w:val="00411D06"/>
    <w:rsid w:val="00412182"/>
    <w:rsid w:val="00412380"/>
    <w:rsid w:val="004128E3"/>
    <w:rsid w:val="004129E2"/>
    <w:rsid w:val="00414361"/>
    <w:rsid w:val="00414521"/>
    <w:rsid w:val="004145B2"/>
    <w:rsid w:val="00414640"/>
    <w:rsid w:val="00414BAC"/>
    <w:rsid w:val="00414D47"/>
    <w:rsid w:val="00414DAB"/>
    <w:rsid w:val="0041587E"/>
    <w:rsid w:val="00415FE3"/>
    <w:rsid w:val="004164D9"/>
    <w:rsid w:val="00416729"/>
    <w:rsid w:val="00416B59"/>
    <w:rsid w:val="00416BC1"/>
    <w:rsid w:val="00416FA1"/>
    <w:rsid w:val="00416FBB"/>
    <w:rsid w:val="00417396"/>
    <w:rsid w:val="004175E4"/>
    <w:rsid w:val="004177CA"/>
    <w:rsid w:val="004177F3"/>
    <w:rsid w:val="00420024"/>
    <w:rsid w:val="004203FD"/>
    <w:rsid w:val="004204F5"/>
    <w:rsid w:val="00420581"/>
    <w:rsid w:val="00420A36"/>
    <w:rsid w:val="00420EE2"/>
    <w:rsid w:val="004210D7"/>
    <w:rsid w:val="0042116F"/>
    <w:rsid w:val="0042193F"/>
    <w:rsid w:val="004219B0"/>
    <w:rsid w:val="00421A8B"/>
    <w:rsid w:val="00421EA7"/>
    <w:rsid w:val="00422545"/>
    <w:rsid w:val="004226E0"/>
    <w:rsid w:val="00422752"/>
    <w:rsid w:val="00422B0C"/>
    <w:rsid w:val="00422CD1"/>
    <w:rsid w:val="00422D28"/>
    <w:rsid w:val="004236A8"/>
    <w:rsid w:val="004239F6"/>
    <w:rsid w:val="00423DF6"/>
    <w:rsid w:val="00423EC8"/>
    <w:rsid w:val="00423EF8"/>
    <w:rsid w:val="00424634"/>
    <w:rsid w:val="004250D8"/>
    <w:rsid w:val="0042541A"/>
    <w:rsid w:val="004254CB"/>
    <w:rsid w:val="004259E2"/>
    <w:rsid w:val="00425B02"/>
    <w:rsid w:val="00425FB1"/>
    <w:rsid w:val="00426165"/>
    <w:rsid w:val="0042654B"/>
    <w:rsid w:val="004269CA"/>
    <w:rsid w:val="00426AC4"/>
    <w:rsid w:val="00426D1C"/>
    <w:rsid w:val="00426E70"/>
    <w:rsid w:val="00427509"/>
    <w:rsid w:val="00427799"/>
    <w:rsid w:val="00427A4A"/>
    <w:rsid w:val="004300C8"/>
    <w:rsid w:val="00430650"/>
    <w:rsid w:val="00430A90"/>
    <w:rsid w:val="004318E7"/>
    <w:rsid w:val="00431999"/>
    <w:rsid w:val="00431A3B"/>
    <w:rsid w:val="00431DC9"/>
    <w:rsid w:val="004323C6"/>
    <w:rsid w:val="0043258F"/>
    <w:rsid w:val="00432602"/>
    <w:rsid w:val="00432698"/>
    <w:rsid w:val="00432816"/>
    <w:rsid w:val="00432DEA"/>
    <w:rsid w:val="0043338F"/>
    <w:rsid w:val="004333F8"/>
    <w:rsid w:val="004337E4"/>
    <w:rsid w:val="004337F0"/>
    <w:rsid w:val="0043399D"/>
    <w:rsid w:val="00433FCE"/>
    <w:rsid w:val="00433FD9"/>
    <w:rsid w:val="0043453E"/>
    <w:rsid w:val="004345D5"/>
    <w:rsid w:val="00434DE1"/>
    <w:rsid w:val="00434FB7"/>
    <w:rsid w:val="004354AE"/>
    <w:rsid w:val="00435553"/>
    <w:rsid w:val="00435C78"/>
    <w:rsid w:val="00436400"/>
    <w:rsid w:val="004378B3"/>
    <w:rsid w:val="00437958"/>
    <w:rsid w:val="00437EDF"/>
    <w:rsid w:val="004402D1"/>
    <w:rsid w:val="00440786"/>
    <w:rsid w:val="004407B2"/>
    <w:rsid w:val="004408BD"/>
    <w:rsid w:val="00440D49"/>
    <w:rsid w:val="00440F74"/>
    <w:rsid w:val="00441125"/>
    <w:rsid w:val="00441A8C"/>
    <w:rsid w:val="00441C05"/>
    <w:rsid w:val="00441C82"/>
    <w:rsid w:val="00442344"/>
    <w:rsid w:val="00442483"/>
    <w:rsid w:val="004425FA"/>
    <w:rsid w:val="00442A07"/>
    <w:rsid w:val="0044366F"/>
    <w:rsid w:val="00443966"/>
    <w:rsid w:val="00443B39"/>
    <w:rsid w:val="00443CF5"/>
    <w:rsid w:val="004442A0"/>
    <w:rsid w:val="004449A2"/>
    <w:rsid w:val="00445009"/>
    <w:rsid w:val="0044564D"/>
    <w:rsid w:val="00445973"/>
    <w:rsid w:val="00445A76"/>
    <w:rsid w:val="00445DF3"/>
    <w:rsid w:val="00445E0C"/>
    <w:rsid w:val="004462F0"/>
    <w:rsid w:val="0044654D"/>
    <w:rsid w:val="00446560"/>
    <w:rsid w:val="0044672C"/>
    <w:rsid w:val="00446834"/>
    <w:rsid w:val="00446AA9"/>
    <w:rsid w:val="00446E91"/>
    <w:rsid w:val="00446F74"/>
    <w:rsid w:val="0044718D"/>
    <w:rsid w:val="004474F8"/>
    <w:rsid w:val="00447922"/>
    <w:rsid w:val="004479A4"/>
    <w:rsid w:val="004479AF"/>
    <w:rsid w:val="004500AB"/>
    <w:rsid w:val="004502E7"/>
    <w:rsid w:val="0045050A"/>
    <w:rsid w:val="00450A50"/>
    <w:rsid w:val="00450CCB"/>
    <w:rsid w:val="0045101C"/>
    <w:rsid w:val="00451469"/>
    <w:rsid w:val="004516A9"/>
    <w:rsid w:val="004517C0"/>
    <w:rsid w:val="00452085"/>
    <w:rsid w:val="00452461"/>
    <w:rsid w:val="00452CCF"/>
    <w:rsid w:val="004532D7"/>
    <w:rsid w:val="004533EA"/>
    <w:rsid w:val="0045365B"/>
    <w:rsid w:val="004536A2"/>
    <w:rsid w:val="004537D8"/>
    <w:rsid w:val="004537FA"/>
    <w:rsid w:val="00453BEE"/>
    <w:rsid w:val="00454A42"/>
    <w:rsid w:val="004552E5"/>
    <w:rsid w:val="00456344"/>
    <w:rsid w:val="0045671B"/>
    <w:rsid w:val="00456969"/>
    <w:rsid w:val="00456E50"/>
    <w:rsid w:val="00457612"/>
    <w:rsid w:val="00457AD3"/>
    <w:rsid w:val="00460860"/>
    <w:rsid w:val="00460A20"/>
    <w:rsid w:val="00460C30"/>
    <w:rsid w:val="00460D69"/>
    <w:rsid w:val="004610E9"/>
    <w:rsid w:val="0046111E"/>
    <w:rsid w:val="00461308"/>
    <w:rsid w:val="00461326"/>
    <w:rsid w:val="00461893"/>
    <w:rsid w:val="00461F2A"/>
    <w:rsid w:val="00461F8B"/>
    <w:rsid w:val="0046203C"/>
    <w:rsid w:val="0046266B"/>
    <w:rsid w:val="00462B0A"/>
    <w:rsid w:val="0046340E"/>
    <w:rsid w:val="00463F67"/>
    <w:rsid w:val="00463FE2"/>
    <w:rsid w:val="004645BE"/>
    <w:rsid w:val="00464B4E"/>
    <w:rsid w:val="00464C91"/>
    <w:rsid w:val="00464E7A"/>
    <w:rsid w:val="00464FFC"/>
    <w:rsid w:val="0046527B"/>
    <w:rsid w:val="00465D91"/>
    <w:rsid w:val="0046630C"/>
    <w:rsid w:val="00466B86"/>
    <w:rsid w:val="00466C21"/>
    <w:rsid w:val="00466D73"/>
    <w:rsid w:val="004672FB"/>
    <w:rsid w:val="00467633"/>
    <w:rsid w:val="00467A8C"/>
    <w:rsid w:val="00467BCD"/>
    <w:rsid w:val="004702DE"/>
    <w:rsid w:val="004707A9"/>
    <w:rsid w:val="00471143"/>
    <w:rsid w:val="00471353"/>
    <w:rsid w:val="004713A8"/>
    <w:rsid w:val="0047153F"/>
    <w:rsid w:val="00471580"/>
    <w:rsid w:val="004716E4"/>
    <w:rsid w:val="00471727"/>
    <w:rsid w:val="0047180E"/>
    <w:rsid w:val="004718F8"/>
    <w:rsid w:val="00471959"/>
    <w:rsid w:val="00471D30"/>
    <w:rsid w:val="00471FF3"/>
    <w:rsid w:val="00472C38"/>
    <w:rsid w:val="00472DAF"/>
    <w:rsid w:val="00472EB7"/>
    <w:rsid w:val="00472ECF"/>
    <w:rsid w:val="00473008"/>
    <w:rsid w:val="00473199"/>
    <w:rsid w:val="004731B8"/>
    <w:rsid w:val="00473353"/>
    <w:rsid w:val="00473431"/>
    <w:rsid w:val="00473596"/>
    <w:rsid w:val="00473617"/>
    <w:rsid w:val="00473CC9"/>
    <w:rsid w:val="00473F85"/>
    <w:rsid w:val="0047431E"/>
    <w:rsid w:val="00474381"/>
    <w:rsid w:val="00474545"/>
    <w:rsid w:val="00474858"/>
    <w:rsid w:val="00474CBA"/>
    <w:rsid w:val="0047541B"/>
    <w:rsid w:val="004757C0"/>
    <w:rsid w:val="00475823"/>
    <w:rsid w:val="00475FE0"/>
    <w:rsid w:val="004760FF"/>
    <w:rsid w:val="0047617F"/>
    <w:rsid w:val="00476915"/>
    <w:rsid w:val="00477472"/>
    <w:rsid w:val="004774C6"/>
    <w:rsid w:val="00477595"/>
    <w:rsid w:val="0047785E"/>
    <w:rsid w:val="00477980"/>
    <w:rsid w:val="004800C2"/>
    <w:rsid w:val="0048042B"/>
    <w:rsid w:val="00480574"/>
    <w:rsid w:val="00480828"/>
    <w:rsid w:val="0048082C"/>
    <w:rsid w:val="004808DD"/>
    <w:rsid w:val="004808DE"/>
    <w:rsid w:val="00480F2B"/>
    <w:rsid w:val="00481155"/>
    <w:rsid w:val="004813BA"/>
    <w:rsid w:val="00481E5E"/>
    <w:rsid w:val="00481EDD"/>
    <w:rsid w:val="004821C2"/>
    <w:rsid w:val="00482642"/>
    <w:rsid w:val="00482EFA"/>
    <w:rsid w:val="004832D9"/>
    <w:rsid w:val="00483B19"/>
    <w:rsid w:val="00483B62"/>
    <w:rsid w:val="00483DE5"/>
    <w:rsid w:val="00483E29"/>
    <w:rsid w:val="00483F76"/>
    <w:rsid w:val="00484746"/>
    <w:rsid w:val="0048477B"/>
    <w:rsid w:val="00484ECA"/>
    <w:rsid w:val="00484F35"/>
    <w:rsid w:val="00485139"/>
    <w:rsid w:val="004852EB"/>
    <w:rsid w:val="004854D4"/>
    <w:rsid w:val="004857EA"/>
    <w:rsid w:val="0048581E"/>
    <w:rsid w:val="00485832"/>
    <w:rsid w:val="004858D1"/>
    <w:rsid w:val="00485CB0"/>
    <w:rsid w:val="004860AE"/>
    <w:rsid w:val="0048662D"/>
    <w:rsid w:val="00486729"/>
    <w:rsid w:val="0048692D"/>
    <w:rsid w:val="00486DBD"/>
    <w:rsid w:val="0048739B"/>
    <w:rsid w:val="0048739F"/>
    <w:rsid w:val="00487AB6"/>
    <w:rsid w:val="00490589"/>
    <w:rsid w:val="004909A1"/>
    <w:rsid w:val="004913FE"/>
    <w:rsid w:val="0049176E"/>
    <w:rsid w:val="004918D7"/>
    <w:rsid w:val="00491DD9"/>
    <w:rsid w:val="00491F59"/>
    <w:rsid w:val="004921C4"/>
    <w:rsid w:val="00493361"/>
    <w:rsid w:val="0049353A"/>
    <w:rsid w:val="0049385E"/>
    <w:rsid w:val="00493A1E"/>
    <w:rsid w:val="00493C80"/>
    <w:rsid w:val="00494029"/>
    <w:rsid w:val="0049442C"/>
    <w:rsid w:val="00494813"/>
    <w:rsid w:val="00495722"/>
    <w:rsid w:val="004959E1"/>
    <w:rsid w:val="00495BAC"/>
    <w:rsid w:val="004960F5"/>
    <w:rsid w:val="0049624D"/>
    <w:rsid w:val="004969E0"/>
    <w:rsid w:val="00496BC1"/>
    <w:rsid w:val="00496DDF"/>
    <w:rsid w:val="004970DB"/>
    <w:rsid w:val="004970DC"/>
    <w:rsid w:val="00497EB1"/>
    <w:rsid w:val="004A0066"/>
    <w:rsid w:val="004A1445"/>
    <w:rsid w:val="004A1FAE"/>
    <w:rsid w:val="004A2EBB"/>
    <w:rsid w:val="004A30D9"/>
    <w:rsid w:val="004A3226"/>
    <w:rsid w:val="004A3241"/>
    <w:rsid w:val="004A35C6"/>
    <w:rsid w:val="004A3DFF"/>
    <w:rsid w:val="004A3E8A"/>
    <w:rsid w:val="004A414F"/>
    <w:rsid w:val="004A43F5"/>
    <w:rsid w:val="004A447F"/>
    <w:rsid w:val="004A46AC"/>
    <w:rsid w:val="004A4896"/>
    <w:rsid w:val="004A4973"/>
    <w:rsid w:val="004A49A0"/>
    <w:rsid w:val="004A50B6"/>
    <w:rsid w:val="004A5226"/>
    <w:rsid w:val="004A5C21"/>
    <w:rsid w:val="004A5E7D"/>
    <w:rsid w:val="004A61C1"/>
    <w:rsid w:val="004A6623"/>
    <w:rsid w:val="004A67AB"/>
    <w:rsid w:val="004A6802"/>
    <w:rsid w:val="004A6EE8"/>
    <w:rsid w:val="004A71EC"/>
    <w:rsid w:val="004A7E65"/>
    <w:rsid w:val="004B00CD"/>
    <w:rsid w:val="004B05FC"/>
    <w:rsid w:val="004B0AEE"/>
    <w:rsid w:val="004B0CD5"/>
    <w:rsid w:val="004B0CDF"/>
    <w:rsid w:val="004B10D9"/>
    <w:rsid w:val="004B195F"/>
    <w:rsid w:val="004B19DD"/>
    <w:rsid w:val="004B19FB"/>
    <w:rsid w:val="004B1C4D"/>
    <w:rsid w:val="004B25F6"/>
    <w:rsid w:val="004B287C"/>
    <w:rsid w:val="004B2987"/>
    <w:rsid w:val="004B298A"/>
    <w:rsid w:val="004B2E84"/>
    <w:rsid w:val="004B39D3"/>
    <w:rsid w:val="004B3A33"/>
    <w:rsid w:val="004B3F63"/>
    <w:rsid w:val="004B41DF"/>
    <w:rsid w:val="004B41F5"/>
    <w:rsid w:val="004B47B4"/>
    <w:rsid w:val="004B4921"/>
    <w:rsid w:val="004B4ED7"/>
    <w:rsid w:val="004B5048"/>
    <w:rsid w:val="004B5834"/>
    <w:rsid w:val="004B596A"/>
    <w:rsid w:val="004B5BD1"/>
    <w:rsid w:val="004B5C01"/>
    <w:rsid w:val="004B5C0F"/>
    <w:rsid w:val="004B5DD7"/>
    <w:rsid w:val="004B6191"/>
    <w:rsid w:val="004B6280"/>
    <w:rsid w:val="004B717B"/>
    <w:rsid w:val="004B723D"/>
    <w:rsid w:val="004B729C"/>
    <w:rsid w:val="004B75E0"/>
    <w:rsid w:val="004B7968"/>
    <w:rsid w:val="004B7D27"/>
    <w:rsid w:val="004C06E9"/>
    <w:rsid w:val="004C0766"/>
    <w:rsid w:val="004C098C"/>
    <w:rsid w:val="004C0EF0"/>
    <w:rsid w:val="004C13F7"/>
    <w:rsid w:val="004C1F31"/>
    <w:rsid w:val="004C1F97"/>
    <w:rsid w:val="004C21CC"/>
    <w:rsid w:val="004C2E8C"/>
    <w:rsid w:val="004C3F58"/>
    <w:rsid w:val="004C412B"/>
    <w:rsid w:val="004C4383"/>
    <w:rsid w:val="004C47A3"/>
    <w:rsid w:val="004C4B29"/>
    <w:rsid w:val="004C5078"/>
    <w:rsid w:val="004C5312"/>
    <w:rsid w:val="004C5447"/>
    <w:rsid w:val="004C5AD5"/>
    <w:rsid w:val="004C5CD7"/>
    <w:rsid w:val="004C5FF5"/>
    <w:rsid w:val="004C61C6"/>
    <w:rsid w:val="004C64BB"/>
    <w:rsid w:val="004C683D"/>
    <w:rsid w:val="004C6C95"/>
    <w:rsid w:val="004C6EED"/>
    <w:rsid w:val="004C704B"/>
    <w:rsid w:val="004C71B7"/>
    <w:rsid w:val="004C72AE"/>
    <w:rsid w:val="004C73F1"/>
    <w:rsid w:val="004C762D"/>
    <w:rsid w:val="004C7E06"/>
    <w:rsid w:val="004C7F19"/>
    <w:rsid w:val="004D038A"/>
    <w:rsid w:val="004D07CD"/>
    <w:rsid w:val="004D0CFF"/>
    <w:rsid w:val="004D101F"/>
    <w:rsid w:val="004D113B"/>
    <w:rsid w:val="004D13EE"/>
    <w:rsid w:val="004D160E"/>
    <w:rsid w:val="004D1AD5"/>
    <w:rsid w:val="004D1B24"/>
    <w:rsid w:val="004D1E96"/>
    <w:rsid w:val="004D2045"/>
    <w:rsid w:val="004D24A7"/>
    <w:rsid w:val="004D2855"/>
    <w:rsid w:val="004D2BAE"/>
    <w:rsid w:val="004D3300"/>
    <w:rsid w:val="004D36D2"/>
    <w:rsid w:val="004D3965"/>
    <w:rsid w:val="004D3A1C"/>
    <w:rsid w:val="004D3D4B"/>
    <w:rsid w:val="004D3E47"/>
    <w:rsid w:val="004D3F1C"/>
    <w:rsid w:val="004D440D"/>
    <w:rsid w:val="004D460E"/>
    <w:rsid w:val="004D4F8B"/>
    <w:rsid w:val="004D4FAD"/>
    <w:rsid w:val="004D5238"/>
    <w:rsid w:val="004D54F8"/>
    <w:rsid w:val="004D5589"/>
    <w:rsid w:val="004D56AA"/>
    <w:rsid w:val="004D6118"/>
    <w:rsid w:val="004D6498"/>
    <w:rsid w:val="004D654A"/>
    <w:rsid w:val="004D7779"/>
    <w:rsid w:val="004D7BE9"/>
    <w:rsid w:val="004E0042"/>
    <w:rsid w:val="004E041F"/>
    <w:rsid w:val="004E0476"/>
    <w:rsid w:val="004E0AF9"/>
    <w:rsid w:val="004E0FC2"/>
    <w:rsid w:val="004E136C"/>
    <w:rsid w:val="004E138D"/>
    <w:rsid w:val="004E1694"/>
    <w:rsid w:val="004E1A86"/>
    <w:rsid w:val="004E1FF5"/>
    <w:rsid w:val="004E20E1"/>
    <w:rsid w:val="004E2853"/>
    <w:rsid w:val="004E3C01"/>
    <w:rsid w:val="004E3C71"/>
    <w:rsid w:val="004E3D35"/>
    <w:rsid w:val="004E3D3A"/>
    <w:rsid w:val="004E400D"/>
    <w:rsid w:val="004E43BE"/>
    <w:rsid w:val="004E4416"/>
    <w:rsid w:val="004E47BA"/>
    <w:rsid w:val="004E47ED"/>
    <w:rsid w:val="004E4A38"/>
    <w:rsid w:val="004E5006"/>
    <w:rsid w:val="004E53A4"/>
    <w:rsid w:val="004E5838"/>
    <w:rsid w:val="004E5BC2"/>
    <w:rsid w:val="004E5BFC"/>
    <w:rsid w:val="004E5C0A"/>
    <w:rsid w:val="004E5D24"/>
    <w:rsid w:val="004E5E3B"/>
    <w:rsid w:val="004E5E98"/>
    <w:rsid w:val="004E64F3"/>
    <w:rsid w:val="004E6704"/>
    <w:rsid w:val="004E6C4A"/>
    <w:rsid w:val="004E6E35"/>
    <w:rsid w:val="004E6FE1"/>
    <w:rsid w:val="004E703B"/>
    <w:rsid w:val="004E73A8"/>
    <w:rsid w:val="004E76A4"/>
    <w:rsid w:val="004E7C85"/>
    <w:rsid w:val="004E7CFC"/>
    <w:rsid w:val="004F0657"/>
    <w:rsid w:val="004F07A6"/>
    <w:rsid w:val="004F0988"/>
    <w:rsid w:val="004F1469"/>
    <w:rsid w:val="004F2068"/>
    <w:rsid w:val="004F24C0"/>
    <w:rsid w:val="004F2953"/>
    <w:rsid w:val="004F2C3C"/>
    <w:rsid w:val="004F2CEA"/>
    <w:rsid w:val="004F30EB"/>
    <w:rsid w:val="004F3227"/>
    <w:rsid w:val="004F3296"/>
    <w:rsid w:val="004F381C"/>
    <w:rsid w:val="004F3A09"/>
    <w:rsid w:val="004F3C9F"/>
    <w:rsid w:val="004F3CAB"/>
    <w:rsid w:val="004F3F46"/>
    <w:rsid w:val="004F404D"/>
    <w:rsid w:val="004F4B31"/>
    <w:rsid w:val="004F4DE2"/>
    <w:rsid w:val="004F4EDB"/>
    <w:rsid w:val="004F585B"/>
    <w:rsid w:val="004F5AB7"/>
    <w:rsid w:val="004F5B55"/>
    <w:rsid w:val="004F5BF0"/>
    <w:rsid w:val="004F5F0D"/>
    <w:rsid w:val="004F5FC7"/>
    <w:rsid w:val="004F64C2"/>
    <w:rsid w:val="004F64ED"/>
    <w:rsid w:val="004F6644"/>
    <w:rsid w:val="004F6C66"/>
    <w:rsid w:val="004F6C7A"/>
    <w:rsid w:val="004F703F"/>
    <w:rsid w:val="004F7174"/>
    <w:rsid w:val="004F7530"/>
    <w:rsid w:val="004F7BA8"/>
    <w:rsid w:val="004F7CCD"/>
    <w:rsid w:val="005009AF"/>
    <w:rsid w:val="00500A58"/>
    <w:rsid w:val="005010B5"/>
    <w:rsid w:val="005016BD"/>
    <w:rsid w:val="00501E0D"/>
    <w:rsid w:val="005020E5"/>
    <w:rsid w:val="00502232"/>
    <w:rsid w:val="0050266A"/>
    <w:rsid w:val="005026E3"/>
    <w:rsid w:val="00502800"/>
    <w:rsid w:val="00502C21"/>
    <w:rsid w:val="00502CE5"/>
    <w:rsid w:val="00502D19"/>
    <w:rsid w:val="0050351D"/>
    <w:rsid w:val="0050372B"/>
    <w:rsid w:val="00503B1A"/>
    <w:rsid w:val="00503E4D"/>
    <w:rsid w:val="00503EFD"/>
    <w:rsid w:val="005043FD"/>
    <w:rsid w:val="0050480C"/>
    <w:rsid w:val="00505206"/>
    <w:rsid w:val="005054AD"/>
    <w:rsid w:val="00505695"/>
    <w:rsid w:val="00505DD5"/>
    <w:rsid w:val="00505E80"/>
    <w:rsid w:val="0050635E"/>
    <w:rsid w:val="005064F7"/>
    <w:rsid w:val="005065F1"/>
    <w:rsid w:val="00506A0A"/>
    <w:rsid w:val="00506AFC"/>
    <w:rsid w:val="00506C39"/>
    <w:rsid w:val="00506DDD"/>
    <w:rsid w:val="00507C18"/>
    <w:rsid w:val="0051097A"/>
    <w:rsid w:val="00510B76"/>
    <w:rsid w:val="00510C80"/>
    <w:rsid w:val="00510E9B"/>
    <w:rsid w:val="005110F0"/>
    <w:rsid w:val="005112E1"/>
    <w:rsid w:val="005114BC"/>
    <w:rsid w:val="005116D5"/>
    <w:rsid w:val="00511CA4"/>
    <w:rsid w:val="00511F18"/>
    <w:rsid w:val="005121E3"/>
    <w:rsid w:val="0051229D"/>
    <w:rsid w:val="00512605"/>
    <w:rsid w:val="00512666"/>
    <w:rsid w:val="00512715"/>
    <w:rsid w:val="00512B04"/>
    <w:rsid w:val="0051334A"/>
    <w:rsid w:val="00513A11"/>
    <w:rsid w:val="0051426B"/>
    <w:rsid w:val="005143B6"/>
    <w:rsid w:val="0051444F"/>
    <w:rsid w:val="0051448B"/>
    <w:rsid w:val="00514901"/>
    <w:rsid w:val="00514ABC"/>
    <w:rsid w:val="00514E96"/>
    <w:rsid w:val="00514EF4"/>
    <w:rsid w:val="0051505B"/>
    <w:rsid w:val="00515860"/>
    <w:rsid w:val="005158DD"/>
    <w:rsid w:val="00515BB9"/>
    <w:rsid w:val="00515C6F"/>
    <w:rsid w:val="0051656F"/>
    <w:rsid w:val="00516799"/>
    <w:rsid w:val="005171E3"/>
    <w:rsid w:val="005173D2"/>
    <w:rsid w:val="005174D1"/>
    <w:rsid w:val="005179C9"/>
    <w:rsid w:val="00517FC4"/>
    <w:rsid w:val="00520076"/>
    <w:rsid w:val="00520B31"/>
    <w:rsid w:val="00521475"/>
    <w:rsid w:val="005220B2"/>
    <w:rsid w:val="005220F8"/>
    <w:rsid w:val="005221BC"/>
    <w:rsid w:val="0052220F"/>
    <w:rsid w:val="005228E8"/>
    <w:rsid w:val="005229F9"/>
    <w:rsid w:val="00522D29"/>
    <w:rsid w:val="00522E69"/>
    <w:rsid w:val="00522E81"/>
    <w:rsid w:val="00522F45"/>
    <w:rsid w:val="0052386F"/>
    <w:rsid w:val="00523B2D"/>
    <w:rsid w:val="005243F4"/>
    <w:rsid w:val="00524545"/>
    <w:rsid w:val="00524928"/>
    <w:rsid w:val="005249F9"/>
    <w:rsid w:val="00524A73"/>
    <w:rsid w:val="00524B8D"/>
    <w:rsid w:val="00524DAF"/>
    <w:rsid w:val="00524FA6"/>
    <w:rsid w:val="0052500E"/>
    <w:rsid w:val="0052509D"/>
    <w:rsid w:val="0052529B"/>
    <w:rsid w:val="00525395"/>
    <w:rsid w:val="005258BD"/>
    <w:rsid w:val="0052591F"/>
    <w:rsid w:val="00525A5F"/>
    <w:rsid w:val="00526286"/>
    <w:rsid w:val="0052692F"/>
    <w:rsid w:val="005269B3"/>
    <w:rsid w:val="005269B7"/>
    <w:rsid w:val="00526BB8"/>
    <w:rsid w:val="00526D3C"/>
    <w:rsid w:val="00526E68"/>
    <w:rsid w:val="0052717D"/>
    <w:rsid w:val="00527221"/>
    <w:rsid w:val="0052735B"/>
    <w:rsid w:val="00527382"/>
    <w:rsid w:val="005273C1"/>
    <w:rsid w:val="00527843"/>
    <w:rsid w:val="00527B79"/>
    <w:rsid w:val="00527BF9"/>
    <w:rsid w:val="00527D66"/>
    <w:rsid w:val="00527EC6"/>
    <w:rsid w:val="00527EE6"/>
    <w:rsid w:val="00527F03"/>
    <w:rsid w:val="00527F13"/>
    <w:rsid w:val="00527F5A"/>
    <w:rsid w:val="00530285"/>
    <w:rsid w:val="00530303"/>
    <w:rsid w:val="00530568"/>
    <w:rsid w:val="00530D4B"/>
    <w:rsid w:val="00530E44"/>
    <w:rsid w:val="00530E7B"/>
    <w:rsid w:val="0053176B"/>
    <w:rsid w:val="00531AC9"/>
    <w:rsid w:val="00531B91"/>
    <w:rsid w:val="00531D83"/>
    <w:rsid w:val="00532390"/>
    <w:rsid w:val="0053257C"/>
    <w:rsid w:val="0053285C"/>
    <w:rsid w:val="00532936"/>
    <w:rsid w:val="00532B4A"/>
    <w:rsid w:val="005333B8"/>
    <w:rsid w:val="00533A58"/>
    <w:rsid w:val="00534978"/>
    <w:rsid w:val="005349B2"/>
    <w:rsid w:val="00534A88"/>
    <w:rsid w:val="00534D4A"/>
    <w:rsid w:val="0053534C"/>
    <w:rsid w:val="005357BA"/>
    <w:rsid w:val="00536950"/>
    <w:rsid w:val="005369BF"/>
    <w:rsid w:val="00536E00"/>
    <w:rsid w:val="0053718A"/>
    <w:rsid w:val="005371F7"/>
    <w:rsid w:val="005377F2"/>
    <w:rsid w:val="005378C7"/>
    <w:rsid w:val="00537E80"/>
    <w:rsid w:val="005405BF"/>
    <w:rsid w:val="00540610"/>
    <w:rsid w:val="0054082A"/>
    <w:rsid w:val="00540B98"/>
    <w:rsid w:val="00540E9D"/>
    <w:rsid w:val="00541B1F"/>
    <w:rsid w:val="0054244D"/>
    <w:rsid w:val="00542950"/>
    <w:rsid w:val="00542A89"/>
    <w:rsid w:val="005431B3"/>
    <w:rsid w:val="0054354F"/>
    <w:rsid w:val="00543619"/>
    <w:rsid w:val="00543624"/>
    <w:rsid w:val="00543CB5"/>
    <w:rsid w:val="00544273"/>
    <w:rsid w:val="0054431B"/>
    <w:rsid w:val="0054438E"/>
    <w:rsid w:val="005445E9"/>
    <w:rsid w:val="00544750"/>
    <w:rsid w:val="00544DA9"/>
    <w:rsid w:val="00545091"/>
    <w:rsid w:val="00545C53"/>
    <w:rsid w:val="00545CC1"/>
    <w:rsid w:val="00545E71"/>
    <w:rsid w:val="005463BF"/>
    <w:rsid w:val="0054678C"/>
    <w:rsid w:val="00546B5E"/>
    <w:rsid w:val="005472AF"/>
    <w:rsid w:val="005472FC"/>
    <w:rsid w:val="0054734B"/>
    <w:rsid w:val="005478C9"/>
    <w:rsid w:val="005478D9"/>
    <w:rsid w:val="0054793A"/>
    <w:rsid w:val="00547A0D"/>
    <w:rsid w:val="0055034E"/>
    <w:rsid w:val="00550488"/>
    <w:rsid w:val="00550CED"/>
    <w:rsid w:val="005514B5"/>
    <w:rsid w:val="00551580"/>
    <w:rsid w:val="00551649"/>
    <w:rsid w:val="00552016"/>
    <w:rsid w:val="0055247F"/>
    <w:rsid w:val="00552C81"/>
    <w:rsid w:val="00552EDD"/>
    <w:rsid w:val="005533D8"/>
    <w:rsid w:val="005535E3"/>
    <w:rsid w:val="00554026"/>
    <w:rsid w:val="00554A38"/>
    <w:rsid w:val="00554F26"/>
    <w:rsid w:val="00555051"/>
    <w:rsid w:val="0055519F"/>
    <w:rsid w:val="005551EE"/>
    <w:rsid w:val="005559D6"/>
    <w:rsid w:val="00555A1F"/>
    <w:rsid w:val="00556047"/>
    <w:rsid w:val="005561EB"/>
    <w:rsid w:val="00556615"/>
    <w:rsid w:val="00556858"/>
    <w:rsid w:val="00556E36"/>
    <w:rsid w:val="00557D18"/>
    <w:rsid w:val="00560485"/>
    <w:rsid w:val="00560568"/>
    <w:rsid w:val="00560595"/>
    <w:rsid w:val="00560606"/>
    <w:rsid w:val="00560701"/>
    <w:rsid w:val="00560E4B"/>
    <w:rsid w:val="00561378"/>
    <w:rsid w:val="0056167A"/>
    <w:rsid w:val="00561947"/>
    <w:rsid w:val="00561B8A"/>
    <w:rsid w:val="00561E71"/>
    <w:rsid w:val="00561E93"/>
    <w:rsid w:val="00562528"/>
    <w:rsid w:val="00562924"/>
    <w:rsid w:val="00562E55"/>
    <w:rsid w:val="00562FDB"/>
    <w:rsid w:val="00563351"/>
    <w:rsid w:val="00563446"/>
    <w:rsid w:val="0056352B"/>
    <w:rsid w:val="005637C9"/>
    <w:rsid w:val="00564ACF"/>
    <w:rsid w:val="00564DB8"/>
    <w:rsid w:val="00564E67"/>
    <w:rsid w:val="00565175"/>
    <w:rsid w:val="00565312"/>
    <w:rsid w:val="005654F4"/>
    <w:rsid w:val="0056588F"/>
    <w:rsid w:val="00566293"/>
    <w:rsid w:val="00566E31"/>
    <w:rsid w:val="00566FCB"/>
    <w:rsid w:val="00567342"/>
    <w:rsid w:val="005674BC"/>
    <w:rsid w:val="00567504"/>
    <w:rsid w:val="0056773E"/>
    <w:rsid w:val="00567871"/>
    <w:rsid w:val="00567C87"/>
    <w:rsid w:val="00567DA6"/>
    <w:rsid w:val="00570A0C"/>
    <w:rsid w:val="005711BE"/>
    <w:rsid w:val="005714EE"/>
    <w:rsid w:val="005715D5"/>
    <w:rsid w:val="00571D58"/>
    <w:rsid w:val="00571DA0"/>
    <w:rsid w:val="00571E3C"/>
    <w:rsid w:val="00572248"/>
    <w:rsid w:val="00572585"/>
    <w:rsid w:val="0057263C"/>
    <w:rsid w:val="005728C9"/>
    <w:rsid w:val="005728CB"/>
    <w:rsid w:val="00572AE3"/>
    <w:rsid w:val="00572C0C"/>
    <w:rsid w:val="00572CA4"/>
    <w:rsid w:val="00572E0B"/>
    <w:rsid w:val="0057326B"/>
    <w:rsid w:val="005737E6"/>
    <w:rsid w:val="005740EE"/>
    <w:rsid w:val="00574163"/>
    <w:rsid w:val="00574271"/>
    <w:rsid w:val="0057430B"/>
    <w:rsid w:val="0057439C"/>
    <w:rsid w:val="0057449A"/>
    <w:rsid w:val="005746D6"/>
    <w:rsid w:val="00574990"/>
    <w:rsid w:val="00574995"/>
    <w:rsid w:val="00574EA9"/>
    <w:rsid w:val="00575067"/>
    <w:rsid w:val="00575954"/>
    <w:rsid w:val="00575A4C"/>
    <w:rsid w:val="00575AC1"/>
    <w:rsid w:val="0057611F"/>
    <w:rsid w:val="0057634F"/>
    <w:rsid w:val="0057694D"/>
    <w:rsid w:val="00576CB9"/>
    <w:rsid w:val="00577651"/>
    <w:rsid w:val="00577653"/>
    <w:rsid w:val="005777E9"/>
    <w:rsid w:val="00577E0D"/>
    <w:rsid w:val="005807EC"/>
    <w:rsid w:val="00580A2B"/>
    <w:rsid w:val="00580B35"/>
    <w:rsid w:val="00580D0D"/>
    <w:rsid w:val="00581169"/>
    <w:rsid w:val="00581454"/>
    <w:rsid w:val="00581F99"/>
    <w:rsid w:val="0058216F"/>
    <w:rsid w:val="005821CB"/>
    <w:rsid w:val="00583180"/>
    <w:rsid w:val="00583231"/>
    <w:rsid w:val="00583697"/>
    <w:rsid w:val="00583744"/>
    <w:rsid w:val="00584341"/>
    <w:rsid w:val="00584FB8"/>
    <w:rsid w:val="00585561"/>
    <w:rsid w:val="005859F0"/>
    <w:rsid w:val="00585B61"/>
    <w:rsid w:val="00586FD6"/>
    <w:rsid w:val="005870BD"/>
    <w:rsid w:val="005870E7"/>
    <w:rsid w:val="0058758F"/>
    <w:rsid w:val="00587CE9"/>
    <w:rsid w:val="00587EAB"/>
    <w:rsid w:val="005902AE"/>
    <w:rsid w:val="005906DD"/>
    <w:rsid w:val="005909AB"/>
    <w:rsid w:val="00590B2B"/>
    <w:rsid w:val="00590BB9"/>
    <w:rsid w:val="00590BBB"/>
    <w:rsid w:val="00590C87"/>
    <w:rsid w:val="00590DF3"/>
    <w:rsid w:val="00590FB6"/>
    <w:rsid w:val="00591908"/>
    <w:rsid w:val="00591F55"/>
    <w:rsid w:val="00592028"/>
    <w:rsid w:val="00592036"/>
    <w:rsid w:val="0059261F"/>
    <w:rsid w:val="00592980"/>
    <w:rsid w:val="00592BAD"/>
    <w:rsid w:val="00593096"/>
    <w:rsid w:val="00593208"/>
    <w:rsid w:val="0059365F"/>
    <w:rsid w:val="00593EA3"/>
    <w:rsid w:val="00593EA8"/>
    <w:rsid w:val="00594521"/>
    <w:rsid w:val="00594872"/>
    <w:rsid w:val="00594A0E"/>
    <w:rsid w:val="00594CF2"/>
    <w:rsid w:val="00595E09"/>
    <w:rsid w:val="005963F7"/>
    <w:rsid w:val="005969DB"/>
    <w:rsid w:val="00596E02"/>
    <w:rsid w:val="005975A2"/>
    <w:rsid w:val="00597628"/>
    <w:rsid w:val="005977CF"/>
    <w:rsid w:val="005A01F7"/>
    <w:rsid w:val="005A036C"/>
    <w:rsid w:val="005A06DE"/>
    <w:rsid w:val="005A074A"/>
    <w:rsid w:val="005A08D2"/>
    <w:rsid w:val="005A0AA4"/>
    <w:rsid w:val="005A0E4A"/>
    <w:rsid w:val="005A0F8E"/>
    <w:rsid w:val="005A11EF"/>
    <w:rsid w:val="005A179D"/>
    <w:rsid w:val="005A1CD6"/>
    <w:rsid w:val="005A1CFE"/>
    <w:rsid w:val="005A2847"/>
    <w:rsid w:val="005A29A0"/>
    <w:rsid w:val="005A2BFC"/>
    <w:rsid w:val="005A3C81"/>
    <w:rsid w:val="005A3E3C"/>
    <w:rsid w:val="005A4225"/>
    <w:rsid w:val="005A4456"/>
    <w:rsid w:val="005A4E9A"/>
    <w:rsid w:val="005A514A"/>
    <w:rsid w:val="005A5197"/>
    <w:rsid w:val="005A577B"/>
    <w:rsid w:val="005A5C5C"/>
    <w:rsid w:val="005A5E7B"/>
    <w:rsid w:val="005A62B2"/>
    <w:rsid w:val="005A6612"/>
    <w:rsid w:val="005A670B"/>
    <w:rsid w:val="005A6716"/>
    <w:rsid w:val="005A6895"/>
    <w:rsid w:val="005A6C56"/>
    <w:rsid w:val="005A75E6"/>
    <w:rsid w:val="005A7732"/>
    <w:rsid w:val="005A79D1"/>
    <w:rsid w:val="005A7A7A"/>
    <w:rsid w:val="005B00E9"/>
    <w:rsid w:val="005B071D"/>
    <w:rsid w:val="005B0922"/>
    <w:rsid w:val="005B0C6C"/>
    <w:rsid w:val="005B0D46"/>
    <w:rsid w:val="005B0F94"/>
    <w:rsid w:val="005B1816"/>
    <w:rsid w:val="005B1882"/>
    <w:rsid w:val="005B1962"/>
    <w:rsid w:val="005B197D"/>
    <w:rsid w:val="005B1AE1"/>
    <w:rsid w:val="005B1C11"/>
    <w:rsid w:val="005B1F35"/>
    <w:rsid w:val="005B1F6E"/>
    <w:rsid w:val="005B2046"/>
    <w:rsid w:val="005B2077"/>
    <w:rsid w:val="005B217E"/>
    <w:rsid w:val="005B21B7"/>
    <w:rsid w:val="005B24D5"/>
    <w:rsid w:val="005B2597"/>
    <w:rsid w:val="005B2892"/>
    <w:rsid w:val="005B28DA"/>
    <w:rsid w:val="005B2B9F"/>
    <w:rsid w:val="005B313E"/>
    <w:rsid w:val="005B328B"/>
    <w:rsid w:val="005B35BA"/>
    <w:rsid w:val="005B3B75"/>
    <w:rsid w:val="005B3C70"/>
    <w:rsid w:val="005B3D81"/>
    <w:rsid w:val="005B4260"/>
    <w:rsid w:val="005B441D"/>
    <w:rsid w:val="005B4D2B"/>
    <w:rsid w:val="005B5013"/>
    <w:rsid w:val="005B532B"/>
    <w:rsid w:val="005B5750"/>
    <w:rsid w:val="005B5A36"/>
    <w:rsid w:val="005B5A37"/>
    <w:rsid w:val="005B5A71"/>
    <w:rsid w:val="005B5C3F"/>
    <w:rsid w:val="005B5CC8"/>
    <w:rsid w:val="005B5F01"/>
    <w:rsid w:val="005B5FDA"/>
    <w:rsid w:val="005B6291"/>
    <w:rsid w:val="005B6425"/>
    <w:rsid w:val="005B65F0"/>
    <w:rsid w:val="005B6AB5"/>
    <w:rsid w:val="005B76F2"/>
    <w:rsid w:val="005B7A0E"/>
    <w:rsid w:val="005B7B3B"/>
    <w:rsid w:val="005B7B41"/>
    <w:rsid w:val="005C03E7"/>
    <w:rsid w:val="005C0C13"/>
    <w:rsid w:val="005C109F"/>
    <w:rsid w:val="005C11E3"/>
    <w:rsid w:val="005C14D2"/>
    <w:rsid w:val="005C1602"/>
    <w:rsid w:val="005C1722"/>
    <w:rsid w:val="005C17FD"/>
    <w:rsid w:val="005C1921"/>
    <w:rsid w:val="005C197B"/>
    <w:rsid w:val="005C1AC2"/>
    <w:rsid w:val="005C1C12"/>
    <w:rsid w:val="005C1DED"/>
    <w:rsid w:val="005C2766"/>
    <w:rsid w:val="005C29DE"/>
    <w:rsid w:val="005C2C6E"/>
    <w:rsid w:val="005C2CDA"/>
    <w:rsid w:val="005C2EC1"/>
    <w:rsid w:val="005C306B"/>
    <w:rsid w:val="005C32C4"/>
    <w:rsid w:val="005C3887"/>
    <w:rsid w:val="005C38AE"/>
    <w:rsid w:val="005C4420"/>
    <w:rsid w:val="005C4608"/>
    <w:rsid w:val="005C4930"/>
    <w:rsid w:val="005C55BE"/>
    <w:rsid w:val="005C5750"/>
    <w:rsid w:val="005C5B55"/>
    <w:rsid w:val="005C5C10"/>
    <w:rsid w:val="005C5F45"/>
    <w:rsid w:val="005C5F78"/>
    <w:rsid w:val="005C5FDC"/>
    <w:rsid w:val="005C66E5"/>
    <w:rsid w:val="005C68CB"/>
    <w:rsid w:val="005C69D6"/>
    <w:rsid w:val="005C69F3"/>
    <w:rsid w:val="005C6A33"/>
    <w:rsid w:val="005C6C9C"/>
    <w:rsid w:val="005C6CB3"/>
    <w:rsid w:val="005C704D"/>
    <w:rsid w:val="005C707E"/>
    <w:rsid w:val="005C70F2"/>
    <w:rsid w:val="005C7722"/>
    <w:rsid w:val="005D011C"/>
    <w:rsid w:val="005D05CB"/>
    <w:rsid w:val="005D16E2"/>
    <w:rsid w:val="005D1F62"/>
    <w:rsid w:val="005D2130"/>
    <w:rsid w:val="005D2211"/>
    <w:rsid w:val="005D2567"/>
    <w:rsid w:val="005D287C"/>
    <w:rsid w:val="005D4085"/>
    <w:rsid w:val="005D4305"/>
    <w:rsid w:val="005D43E2"/>
    <w:rsid w:val="005D4B0D"/>
    <w:rsid w:val="005D4F00"/>
    <w:rsid w:val="005D5D8C"/>
    <w:rsid w:val="005D5D91"/>
    <w:rsid w:val="005D6C55"/>
    <w:rsid w:val="005D6EBE"/>
    <w:rsid w:val="005D6F26"/>
    <w:rsid w:val="005D788E"/>
    <w:rsid w:val="005D791C"/>
    <w:rsid w:val="005D7CD4"/>
    <w:rsid w:val="005E0015"/>
    <w:rsid w:val="005E04D2"/>
    <w:rsid w:val="005E09F5"/>
    <w:rsid w:val="005E1592"/>
    <w:rsid w:val="005E15F5"/>
    <w:rsid w:val="005E1B87"/>
    <w:rsid w:val="005E1C4E"/>
    <w:rsid w:val="005E1FDA"/>
    <w:rsid w:val="005E249F"/>
    <w:rsid w:val="005E299B"/>
    <w:rsid w:val="005E3303"/>
    <w:rsid w:val="005E3377"/>
    <w:rsid w:val="005E33C9"/>
    <w:rsid w:val="005E3769"/>
    <w:rsid w:val="005E376E"/>
    <w:rsid w:val="005E37AB"/>
    <w:rsid w:val="005E39B4"/>
    <w:rsid w:val="005E3BB9"/>
    <w:rsid w:val="005E3C01"/>
    <w:rsid w:val="005E3E37"/>
    <w:rsid w:val="005E3E56"/>
    <w:rsid w:val="005E409B"/>
    <w:rsid w:val="005E41C8"/>
    <w:rsid w:val="005E4996"/>
    <w:rsid w:val="005E4A6A"/>
    <w:rsid w:val="005E5103"/>
    <w:rsid w:val="005E5199"/>
    <w:rsid w:val="005E51E2"/>
    <w:rsid w:val="005E559D"/>
    <w:rsid w:val="005E5647"/>
    <w:rsid w:val="005E595C"/>
    <w:rsid w:val="005E5BDE"/>
    <w:rsid w:val="005E5F3F"/>
    <w:rsid w:val="005E612E"/>
    <w:rsid w:val="005E616B"/>
    <w:rsid w:val="005E634C"/>
    <w:rsid w:val="005E65FE"/>
    <w:rsid w:val="005E69F5"/>
    <w:rsid w:val="005E6C38"/>
    <w:rsid w:val="005E6D56"/>
    <w:rsid w:val="005E6EA6"/>
    <w:rsid w:val="005E6FD2"/>
    <w:rsid w:val="005E709B"/>
    <w:rsid w:val="005E71B2"/>
    <w:rsid w:val="005E7744"/>
    <w:rsid w:val="005E7CB8"/>
    <w:rsid w:val="005E7EDF"/>
    <w:rsid w:val="005F0023"/>
    <w:rsid w:val="005F02F3"/>
    <w:rsid w:val="005F0486"/>
    <w:rsid w:val="005F0791"/>
    <w:rsid w:val="005F099D"/>
    <w:rsid w:val="005F1698"/>
    <w:rsid w:val="005F1773"/>
    <w:rsid w:val="005F1E5F"/>
    <w:rsid w:val="005F20C7"/>
    <w:rsid w:val="005F24ED"/>
    <w:rsid w:val="005F2B2F"/>
    <w:rsid w:val="005F2C0A"/>
    <w:rsid w:val="005F2DB8"/>
    <w:rsid w:val="005F2F90"/>
    <w:rsid w:val="005F3065"/>
    <w:rsid w:val="005F30DA"/>
    <w:rsid w:val="005F3562"/>
    <w:rsid w:val="005F36CB"/>
    <w:rsid w:val="005F37E5"/>
    <w:rsid w:val="005F4984"/>
    <w:rsid w:val="005F4B5A"/>
    <w:rsid w:val="005F4BD5"/>
    <w:rsid w:val="005F4C89"/>
    <w:rsid w:val="005F4F50"/>
    <w:rsid w:val="005F508F"/>
    <w:rsid w:val="005F585A"/>
    <w:rsid w:val="005F6058"/>
    <w:rsid w:val="005F64B0"/>
    <w:rsid w:val="005F69EA"/>
    <w:rsid w:val="005F729F"/>
    <w:rsid w:val="005F791C"/>
    <w:rsid w:val="005F7D19"/>
    <w:rsid w:val="005F7F46"/>
    <w:rsid w:val="006001C2"/>
    <w:rsid w:val="006003F3"/>
    <w:rsid w:val="0060086E"/>
    <w:rsid w:val="00600CA1"/>
    <w:rsid w:val="0060188E"/>
    <w:rsid w:val="00601A76"/>
    <w:rsid w:val="00601BB2"/>
    <w:rsid w:val="00601D05"/>
    <w:rsid w:val="00601D07"/>
    <w:rsid w:val="00601DF5"/>
    <w:rsid w:val="00602070"/>
    <w:rsid w:val="0060214F"/>
    <w:rsid w:val="006022A8"/>
    <w:rsid w:val="006023A5"/>
    <w:rsid w:val="006023AA"/>
    <w:rsid w:val="006029B9"/>
    <w:rsid w:val="00602F73"/>
    <w:rsid w:val="0060303E"/>
    <w:rsid w:val="0060326B"/>
    <w:rsid w:val="00603688"/>
    <w:rsid w:val="006039AB"/>
    <w:rsid w:val="00603D67"/>
    <w:rsid w:val="00604478"/>
    <w:rsid w:val="00604539"/>
    <w:rsid w:val="00604A77"/>
    <w:rsid w:val="00604BC9"/>
    <w:rsid w:val="006052B9"/>
    <w:rsid w:val="00605319"/>
    <w:rsid w:val="006054E1"/>
    <w:rsid w:val="00605564"/>
    <w:rsid w:val="0060558C"/>
    <w:rsid w:val="0060597F"/>
    <w:rsid w:val="006069D8"/>
    <w:rsid w:val="00606B72"/>
    <w:rsid w:val="00606E77"/>
    <w:rsid w:val="006073D0"/>
    <w:rsid w:val="00607E59"/>
    <w:rsid w:val="00607E85"/>
    <w:rsid w:val="00610094"/>
    <w:rsid w:val="006103A9"/>
    <w:rsid w:val="00610487"/>
    <w:rsid w:val="0061051E"/>
    <w:rsid w:val="0061131F"/>
    <w:rsid w:val="0061152A"/>
    <w:rsid w:val="006118F7"/>
    <w:rsid w:val="00611AA3"/>
    <w:rsid w:val="00611E8C"/>
    <w:rsid w:val="0061288C"/>
    <w:rsid w:val="0061327F"/>
    <w:rsid w:val="006134F7"/>
    <w:rsid w:val="00613C19"/>
    <w:rsid w:val="006144E0"/>
    <w:rsid w:val="006145CA"/>
    <w:rsid w:val="006149DF"/>
    <w:rsid w:val="00614CED"/>
    <w:rsid w:val="00614E05"/>
    <w:rsid w:val="00614E7A"/>
    <w:rsid w:val="00615081"/>
    <w:rsid w:val="00615298"/>
    <w:rsid w:val="00615805"/>
    <w:rsid w:val="00615AB4"/>
    <w:rsid w:val="00616060"/>
    <w:rsid w:val="006160BF"/>
    <w:rsid w:val="00616542"/>
    <w:rsid w:val="006167CD"/>
    <w:rsid w:val="00616A1C"/>
    <w:rsid w:val="00616E74"/>
    <w:rsid w:val="00616F53"/>
    <w:rsid w:val="00617159"/>
    <w:rsid w:val="00617336"/>
    <w:rsid w:val="0062005A"/>
    <w:rsid w:val="00620092"/>
    <w:rsid w:val="00620150"/>
    <w:rsid w:val="00620307"/>
    <w:rsid w:val="00620366"/>
    <w:rsid w:val="0062046F"/>
    <w:rsid w:val="00620933"/>
    <w:rsid w:val="00620A51"/>
    <w:rsid w:val="00620AA4"/>
    <w:rsid w:val="00620C53"/>
    <w:rsid w:val="00620CE4"/>
    <w:rsid w:val="00620DC9"/>
    <w:rsid w:val="006213A7"/>
    <w:rsid w:val="0062143C"/>
    <w:rsid w:val="006217F3"/>
    <w:rsid w:val="00621C7A"/>
    <w:rsid w:val="00621E56"/>
    <w:rsid w:val="006221C6"/>
    <w:rsid w:val="00622891"/>
    <w:rsid w:val="006230AC"/>
    <w:rsid w:val="0062320A"/>
    <w:rsid w:val="006236E6"/>
    <w:rsid w:val="006238BB"/>
    <w:rsid w:val="00624545"/>
    <w:rsid w:val="00624830"/>
    <w:rsid w:val="006248E0"/>
    <w:rsid w:val="00624B00"/>
    <w:rsid w:val="00624D3B"/>
    <w:rsid w:val="00624E1F"/>
    <w:rsid w:val="006252DC"/>
    <w:rsid w:val="0062588A"/>
    <w:rsid w:val="006259FE"/>
    <w:rsid w:val="00625AB5"/>
    <w:rsid w:val="00625BA7"/>
    <w:rsid w:val="00625EBB"/>
    <w:rsid w:val="00625ED9"/>
    <w:rsid w:val="00626059"/>
    <w:rsid w:val="006270DA"/>
    <w:rsid w:val="00627269"/>
    <w:rsid w:val="00627659"/>
    <w:rsid w:val="00627D80"/>
    <w:rsid w:val="00627FA8"/>
    <w:rsid w:val="0063059B"/>
    <w:rsid w:val="00630C1C"/>
    <w:rsid w:val="006311A7"/>
    <w:rsid w:val="006316A4"/>
    <w:rsid w:val="00631A8A"/>
    <w:rsid w:val="0063210E"/>
    <w:rsid w:val="006323F5"/>
    <w:rsid w:val="006324D8"/>
    <w:rsid w:val="00632580"/>
    <w:rsid w:val="00632F00"/>
    <w:rsid w:val="00632F04"/>
    <w:rsid w:val="0063301E"/>
    <w:rsid w:val="00633813"/>
    <w:rsid w:val="006338C3"/>
    <w:rsid w:val="00633AF1"/>
    <w:rsid w:val="00633ECC"/>
    <w:rsid w:val="006344E5"/>
    <w:rsid w:val="0063497A"/>
    <w:rsid w:val="00634AB2"/>
    <w:rsid w:val="00634C6E"/>
    <w:rsid w:val="006359EF"/>
    <w:rsid w:val="00635AA9"/>
    <w:rsid w:val="00635B65"/>
    <w:rsid w:val="00635F72"/>
    <w:rsid w:val="006364B2"/>
    <w:rsid w:val="006364FC"/>
    <w:rsid w:val="006369B3"/>
    <w:rsid w:val="00636ABD"/>
    <w:rsid w:val="0063714C"/>
    <w:rsid w:val="00637460"/>
    <w:rsid w:val="00637A6B"/>
    <w:rsid w:val="00637CEB"/>
    <w:rsid w:val="0064049B"/>
    <w:rsid w:val="006404A2"/>
    <w:rsid w:val="00640D79"/>
    <w:rsid w:val="00641303"/>
    <w:rsid w:val="006413E7"/>
    <w:rsid w:val="00641421"/>
    <w:rsid w:val="00641545"/>
    <w:rsid w:val="00641A19"/>
    <w:rsid w:val="00642114"/>
    <w:rsid w:val="0064263D"/>
    <w:rsid w:val="00642D51"/>
    <w:rsid w:val="0064307B"/>
    <w:rsid w:val="0064310A"/>
    <w:rsid w:val="00643457"/>
    <w:rsid w:val="006438D5"/>
    <w:rsid w:val="00643971"/>
    <w:rsid w:val="00643A63"/>
    <w:rsid w:val="006440F4"/>
    <w:rsid w:val="00644A66"/>
    <w:rsid w:val="00644D3A"/>
    <w:rsid w:val="00644EF6"/>
    <w:rsid w:val="006450E1"/>
    <w:rsid w:val="006451CE"/>
    <w:rsid w:val="0064591E"/>
    <w:rsid w:val="00645B24"/>
    <w:rsid w:val="00645CD9"/>
    <w:rsid w:val="00645DDE"/>
    <w:rsid w:val="00646187"/>
    <w:rsid w:val="006467ED"/>
    <w:rsid w:val="0064722C"/>
    <w:rsid w:val="006477F8"/>
    <w:rsid w:val="00647B34"/>
    <w:rsid w:val="00647CF0"/>
    <w:rsid w:val="00647D8B"/>
    <w:rsid w:val="00647EB7"/>
    <w:rsid w:val="00647FFE"/>
    <w:rsid w:val="00650CFF"/>
    <w:rsid w:val="00650DE7"/>
    <w:rsid w:val="006510BB"/>
    <w:rsid w:val="006513B2"/>
    <w:rsid w:val="006515AE"/>
    <w:rsid w:val="00651B45"/>
    <w:rsid w:val="00651D72"/>
    <w:rsid w:val="006520F6"/>
    <w:rsid w:val="006523E9"/>
    <w:rsid w:val="00652676"/>
    <w:rsid w:val="00652E25"/>
    <w:rsid w:val="006531EA"/>
    <w:rsid w:val="00653209"/>
    <w:rsid w:val="00653664"/>
    <w:rsid w:val="006538E5"/>
    <w:rsid w:val="00653E55"/>
    <w:rsid w:val="00654256"/>
    <w:rsid w:val="0065433E"/>
    <w:rsid w:val="006547DA"/>
    <w:rsid w:val="0065496A"/>
    <w:rsid w:val="00654EC5"/>
    <w:rsid w:val="006553F7"/>
    <w:rsid w:val="0065605F"/>
    <w:rsid w:val="0065649E"/>
    <w:rsid w:val="00656E06"/>
    <w:rsid w:val="00656FFD"/>
    <w:rsid w:val="006572DC"/>
    <w:rsid w:val="00657413"/>
    <w:rsid w:val="00657650"/>
    <w:rsid w:val="00657A30"/>
    <w:rsid w:val="00657FA9"/>
    <w:rsid w:val="00657FF7"/>
    <w:rsid w:val="006609BF"/>
    <w:rsid w:val="00660B62"/>
    <w:rsid w:val="00660BF0"/>
    <w:rsid w:val="00660C52"/>
    <w:rsid w:val="00660F40"/>
    <w:rsid w:val="0066101B"/>
    <w:rsid w:val="00661C22"/>
    <w:rsid w:val="0066224C"/>
    <w:rsid w:val="00663011"/>
    <w:rsid w:val="00663695"/>
    <w:rsid w:val="0066395B"/>
    <w:rsid w:val="0066396D"/>
    <w:rsid w:val="00663A5A"/>
    <w:rsid w:val="00663ECF"/>
    <w:rsid w:val="00663F07"/>
    <w:rsid w:val="00664055"/>
    <w:rsid w:val="00664B5A"/>
    <w:rsid w:val="00664DEB"/>
    <w:rsid w:val="00664E85"/>
    <w:rsid w:val="00665436"/>
    <w:rsid w:val="006655CA"/>
    <w:rsid w:val="006658C6"/>
    <w:rsid w:val="00665ADB"/>
    <w:rsid w:val="00666183"/>
    <w:rsid w:val="006665F1"/>
    <w:rsid w:val="0066787D"/>
    <w:rsid w:val="006678F3"/>
    <w:rsid w:val="00667994"/>
    <w:rsid w:val="00667B47"/>
    <w:rsid w:val="00670171"/>
    <w:rsid w:val="006710F9"/>
    <w:rsid w:val="00671526"/>
    <w:rsid w:val="0067260F"/>
    <w:rsid w:val="00672648"/>
    <w:rsid w:val="0067346B"/>
    <w:rsid w:val="00673979"/>
    <w:rsid w:val="00673BC7"/>
    <w:rsid w:val="00673DDA"/>
    <w:rsid w:val="00674359"/>
    <w:rsid w:val="00674694"/>
    <w:rsid w:val="006746FD"/>
    <w:rsid w:val="00674826"/>
    <w:rsid w:val="00674DC3"/>
    <w:rsid w:val="00675B44"/>
    <w:rsid w:val="00675C10"/>
    <w:rsid w:val="00675C90"/>
    <w:rsid w:val="00675D8B"/>
    <w:rsid w:val="006763BD"/>
    <w:rsid w:val="006767A8"/>
    <w:rsid w:val="00676950"/>
    <w:rsid w:val="00676AFC"/>
    <w:rsid w:val="00676BA7"/>
    <w:rsid w:val="00677321"/>
    <w:rsid w:val="006776B4"/>
    <w:rsid w:val="006776D6"/>
    <w:rsid w:val="00677F25"/>
    <w:rsid w:val="006802F8"/>
    <w:rsid w:val="00680380"/>
    <w:rsid w:val="00680831"/>
    <w:rsid w:val="00680ABE"/>
    <w:rsid w:val="00680ECB"/>
    <w:rsid w:val="00681064"/>
    <w:rsid w:val="00681573"/>
    <w:rsid w:val="00681758"/>
    <w:rsid w:val="0068178A"/>
    <w:rsid w:val="00681CC8"/>
    <w:rsid w:val="00681CD6"/>
    <w:rsid w:val="00681D34"/>
    <w:rsid w:val="00681F1B"/>
    <w:rsid w:val="00682115"/>
    <w:rsid w:val="006821A8"/>
    <w:rsid w:val="00682333"/>
    <w:rsid w:val="006823D2"/>
    <w:rsid w:val="006823ED"/>
    <w:rsid w:val="006823F8"/>
    <w:rsid w:val="006827AB"/>
    <w:rsid w:val="00682CCB"/>
    <w:rsid w:val="00683108"/>
    <w:rsid w:val="00683214"/>
    <w:rsid w:val="006832DE"/>
    <w:rsid w:val="00683B49"/>
    <w:rsid w:val="00683C58"/>
    <w:rsid w:val="00684135"/>
    <w:rsid w:val="006843D2"/>
    <w:rsid w:val="00684428"/>
    <w:rsid w:val="00684570"/>
    <w:rsid w:val="00684D74"/>
    <w:rsid w:val="00684E2B"/>
    <w:rsid w:val="006851D6"/>
    <w:rsid w:val="006863DF"/>
    <w:rsid w:val="0068765F"/>
    <w:rsid w:val="006879FC"/>
    <w:rsid w:val="00687CC8"/>
    <w:rsid w:val="00687DE3"/>
    <w:rsid w:val="00687EEB"/>
    <w:rsid w:val="00690057"/>
    <w:rsid w:val="006903F6"/>
    <w:rsid w:val="0069071B"/>
    <w:rsid w:val="00690A75"/>
    <w:rsid w:val="00691568"/>
    <w:rsid w:val="00691682"/>
    <w:rsid w:val="00691816"/>
    <w:rsid w:val="00691E55"/>
    <w:rsid w:val="00693480"/>
    <w:rsid w:val="006934D4"/>
    <w:rsid w:val="006938D2"/>
    <w:rsid w:val="00693A93"/>
    <w:rsid w:val="0069453B"/>
    <w:rsid w:val="0069499B"/>
    <w:rsid w:val="006949D3"/>
    <w:rsid w:val="00694AB8"/>
    <w:rsid w:val="00694CAE"/>
    <w:rsid w:val="00694F08"/>
    <w:rsid w:val="00694F89"/>
    <w:rsid w:val="00695400"/>
    <w:rsid w:val="00695838"/>
    <w:rsid w:val="0069636C"/>
    <w:rsid w:val="00696370"/>
    <w:rsid w:val="00696703"/>
    <w:rsid w:val="006969CD"/>
    <w:rsid w:val="00696D73"/>
    <w:rsid w:val="00697225"/>
    <w:rsid w:val="006A087D"/>
    <w:rsid w:val="006A0B8D"/>
    <w:rsid w:val="006A1049"/>
    <w:rsid w:val="006A117B"/>
    <w:rsid w:val="006A1456"/>
    <w:rsid w:val="006A153D"/>
    <w:rsid w:val="006A16C1"/>
    <w:rsid w:val="006A17E4"/>
    <w:rsid w:val="006A189C"/>
    <w:rsid w:val="006A18A3"/>
    <w:rsid w:val="006A18B8"/>
    <w:rsid w:val="006A1A9C"/>
    <w:rsid w:val="006A1D4A"/>
    <w:rsid w:val="006A24A2"/>
    <w:rsid w:val="006A28A0"/>
    <w:rsid w:val="006A2B1E"/>
    <w:rsid w:val="006A2E97"/>
    <w:rsid w:val="006A2FAC"/>
    <w:rsid w:val="006A32F8"/>
    <w:rsid w:val="006A3823"/>
    <w:rsid w:val="006A3BF5"/>
    <w:rsid w:val="006A452A"/>
    <w:rsid w:val="006A4887"/>
    <w:rsid w:val="006A49F1"/>
    <w:rsid w:val="006A4B3F"/>
    <w:rsid w:val="006A4D70"/>
    <w:rsid w:val="006A551E"/>
    <w:rsid w:val="006A5712"/>
    <w:rsid w:val="006A5A57"/>
    <w:rsid w:val="006A5AF6"/>
    <w:rsid w:val="006A5B9E"/>
    <w:rsid w:val="006A6101"/>
    <w:rsid w:val="006A6B66"/>
    <w:rsid w:val="006A7F33"/>
    <w:rsid w:val="006B0164"/>
    <w:rsid w:val="006B0A2A"/>
    <w:rsid w:val="006B0BA6"/>
    <w:rsid w:val="006B153B"/>
    <w:rsid w:val="006B1903"/>
    <w:rsid w:val="006B1989"/>
    <w:rsid w:val="006B1AD7"/>
    <w:rsid w:val="006B2004"/>
    <w:rsid w:val="006B26B6"/>
    <w:rsid w:val="006B26C4"/>
    <w:rsid w:val="006B289F"/>
    <w:rsid w:val="006B2C66"/>
    <w:rsid w:val="006B325D"/>
    <w:rsid w:val="006B3552"/>
    <w:rsid w:val="006B391C"/>
    <w:rsid w:val="006B3AFC"/>
    <w:rsid w:val="006B408C"/>
    <w:rsid w:val="006B40F4"/>
    <w:rsid w:val="006B44F9"/>
    <w:rsid w:val="006B4607"/>
    <w:rsid w:val="006B4989"/>
    <w:rsid w:val="006B4BD9"/>
    <w:rsid w:val="006B4FD9"/>
    <w:rsid w:val="006B53A2"/>
    <w:rsid w:val="006B54A1"/>
    <w:rsid w:val="006B5B35"/>
    <w:rsid w:val="006B6234"/>
    <w:rsid w:val="006B6D7D"/>
    <w:rsid w:val="006B6FA3"/>
    <w:rsid w:val="006B7495"/>
    <w:rsid w:val="006B7ADE"/>
    <w:rsid w:val="006C04E3"/>
    <w:rsid w:val="006C04F1"/>
    <w:rsid w:val="006C0521"/>
    <w:rsid w:val="006C0CCC"/>
    <w:rsid w:val="006C1380"/>
    <w:rsid w:val="006C13B1"/>
    <w:rsid w:val="006C1AAC"/>
    <w:rsid w:val="006C1F59"/>
    <w:rsid w:val="006C2309"/>
    <w:rsid w:val="006C2416"/>
    <w:rsid w:val="006C24C6"/>
    <w:rsid w:val="006C2515"/>
    <w:rsid w:val="006C3426"/>
    <w:rsid w:val="006C3ED3"/>
    <w:rsid w:val="006C4372"/>
    <w:rsid w:val="006C4508"/>
    <w:rsid w:val="006C48B0"/>
    <w:rsid w:val="006C4B97"/>
    <w:rsid w:val="006C5039"/>
    <w:rsid w:val="006C5341"/>
    <w:rsid w:val="006C567E"/>
    <w:rsid w:val="006C59A7"/>
    <w:rsid w:val="006C5B24"/>
    <w:rsid w:val="006C5C74"/>
    <w:rsid w:val="006C623F"/>
    <w:rsid w:val="006C643A"/>
    <w:rsid w:val="006C655B"/>
    <w:rsid w:val="006C6C09"/>
    <w:rsid w:val="006C6E74"/>
    <w:rsid w:val="006C71F5"/>
    <w:rsid w:val="006C73BC"/>
    <w:rsid w:val="006C7407"/>
    <w:rsid w:val="006C7447"/>
    <w:rsid w:val="006C74F9"/>
    <w:rsid w:val="006C7652"/>
    <w:rsid w:val="006C780F"/>
    <w:rsid w:val="006C79D9"/>
    <w:rsid w:val="006C7E46"/>
    <w:rsid w:val="006C7EDE"/>
    <w:rsid w:val="006C7FCE"/>
    <w:rsid w:val="006D0584"/>
    <w:rsid w:val="006D16F5"/>
    <w:rsid w:val="006D1826"/>
    <w:rsid w:val="006D1F96"/>
    <w:rsid w:val="006D211D"/>
    <w:rsid w:val="006D2492"/>
    <w:rsid w:val="006D2A89"/>
    <w:rsid w:val="006D2C28"/>
    <w:rsid w:val="006D2E8D"/>
    <w:rsid w:val="006D34C9"/>
    <w:rsid w:val="006D38BE"/>
    <w:rsid w:val="006D38E6"/>
    <w:rsid w:val="006D3F6C"/>
    <w:rsid w:val="006D42F4"/>
    <w:rsid w:val="006D4B5F"/>
    <w:rsid w:val="006D5136"/>
    <w:rsid w:val="006D5C59"/>
    <w:rsid w:val="006D6665"/>
    <w:rsid w:val="006D68B9"/>
    <w:rsid w:val="006D69DF"/>
    <w:rsid w:val="006D736A"/>
    <w:rsid w:val="006D765F"/>
    <w:rsid w:val="006D7845"/>
    <w:rsid w:val="006E051B"/>
    <w:rsid w:val="006E07DA"/>
    <w:rsid w:val="006E0A2D"/>
    <w:rsid w:val="006E0F9A"/>
    <w:rsid w:val="006E1484"/>
    <w:rsid w:val="006E1781"/>
    <w:rsid w:val="006E195D"/>
    <w:rsid w:val="006E1DB3"/>
    <w:rsid w:val="006E1F2D"/>
    <w:rsid w:val="006E2650"/>
    <w:rsid w:val="006E2E13"/>
    <w:rsid w:val="006E3350"/>
    <w:rsid w:val="006E33B0"/>
    <w:rsid w:val="006E36DB"/>
    <w:rsid w:val="006E3D11"/>
    <w:rsid w:val="006E405D"/>
    <w:rsid w:val="006E4368"/>
    <w:rsid w:val="006E4369"/>
    <w:rsid w:val="006E4440"/>
    <w:rsid w:val="006E4C15"/>
    <w:rsid w:val="006E50DA"/>
    <w:rsid w:val="006E5912"/>
    <w:rsid w:val="006E5A5E"/>
    <w:rsid w:val="006E5C76"/>
    <w:rsid w:val="006E5CB0"/>
    <w:rsid w:val="006E5D7E"/>
    <w:rsid w:val="006E607D"/>
    <w:rsid w:val="006E6102"/>
    <w:rsid w:val="006E632C"/>
    <w:rsid w:val="006E6580"/>
    <w:rsid w:val="006E68DA"/>
    <w:rsid w:val="006E6A31"/>
    <w:rsid w:val="006E6FD2"/>
    <w:rsid w:val="006E7440"/>
    <w:rsid w:val="006E7510"/>
    <w:rsid w:val="006E7F5D"/>
    <w:rsid w:val="006F0203"/>
    <w:rsid w:val="006F04AE"/>
    <w:rsid w:val="006F0954"/>
    <w:rsid w:val="006F0F5A"/>
    <w:rsid w:val="006F1034"/>
    <w:rsid w:val="006F14E8"/>
    <w:rsid w:val="006F16CD"/>
    <w:rsid w:val="006F17E1"/>
    <w:rsid w:val="006F1E5F"/>
    <w:rsid w:val="006F2419"/>
    <w:rsid w:val="006F27C6"/>
    <w:rsid w:val="006F2810"/>
    <w:rsid w:val="006F37A1"/>
    <w:rsid w:val="006F3EC8"/>
    <w:rsid w:val="006F40A8"/>
    <w:rsid w:val="006F451A"/>
    <w:rsid w:val="006F4820"/>
    <w:rsid w:val="006F4B79"/>
    <w:rsid w:val="006F4DA6"/>
    <w:rsid w:val="006F51CC"/>
    <w:rsid w:val="006F522F"/>
    <w:rsid w:val="006F5355"/>
    <w:rsid w:val="006F5381"/>
    <w:rsid w:val="006F58F6"/>
    <w:rsid w:val="006F5977"/>
    <w:rsid w:val="006F5A05"/>
    <w:rsid w:val="006F5BD4"/>
    <w:rsid w:val="006F5DD1"/>
    <w:rsid w:val="006F62FC"/>
    <w:rsid w:val="006F6CF3"/>
    <w:rsid w:val="006F7728"/>
    <w:rsid w:val="006F77AD"/>
    <w:rsid w:val="006F79EE"/>
    <w:rsid w:val="006F7C9B"/>
    <w:rsid w:val="006F7FB9"/>
    <w:rsid w:val="007001D5"/>
    <w:rsid w:val="007006F1"/>
    <w:rsid w:val="00700A70"/>
    <w:rsid w:val="00700DD4"/>
    <w:rsid w:val="0070148B"/>
    <w:rsid w:val="00702A93"/>
    <w:rsid w:val="0070398D"/>
    <w:rsid w:val="00703CAF"/>
    <w:rsid w:val="00703E2D"/>
    <w:rsid w:val="0070454C"/>
    <w:rsid w:val="0070474A"/>
    <w:rsid w:val="00704773"/>
    <w:rsid w:val="0070527E"/>
    <w:rsid w:val="0070570F"/>
    <w:rsid w:val="00705999"/>
    <w:rsid w:val="00705C19"/>
    <w:rsid w:val="00706032"/>
    <w:rsid w:val="007062CE"/>
    <w:rsid w:val="00706366"/>
    <w:rsid w:val="00706368"/>
    <w:rsid w:val="00706955"/>
    <w:rsid w:val="00706ACD"/>
    <w:rsid w:val="00706DCB"/>
    <w:rsid w:val="00707220"/>
    <w:rsid w:val="00710B84"/>
    <w:rsid w:val="00711019"/>
    <w:rsid w:val="0071114E"/>
    <w:rsid w:val="0071123B"/>
    <w:rsid w:val="0071145C"/>
    <w:rsid w:val="0071176E"/>
    <w:rsid w:val="0071193A"/>
    <w:rsid w:val="00711CAF"/>
    <w:rsid w:val="00711FFC"/>
    <w:rsid w:val="007126A5"/>
    <w:rsid w:val="007127A5"/>
    <w:rsid w:val="007133C3"/>
    <w:rsid w:val="007134A1"/>
    <w:rsid w:val="00713968"/>
    <w:rsid w:val="0071457A"/>
    <w:rsid w:val="00714706"/>
    <w:rsid w:val="0071472C"/>
    <w:rsid w:val="00714813"/>
    <w:rsid w:val="00714EC6"/>
    <w:rsid w:val="007159AB"/>
    <w:rsid w:val="007159CB"/>
    <w:rsid w:val="00715B46"/>
    <w:rsid w:val="00715DD7"/>
    <w:rsid w:val="007163D3"/>
    <w:rsid w:val="00716F1D"/>
    <w:rsid w:val="00716FD3"/>
    <w:rsid w:val="0071715E"/>
    <w:rsid w:val="00717688"/>
    <w:rsid w:val="00717B6E"/>
    <w:rsid w:val="00717C78"/>
    <w:rsid w:val="00720263"/>
    <w:rsid w:val="0072043F"/>
    <w:rsid w:val="00720FDC"/>
    <w:rsid w:val="00721684"/>
    <w:rsid w:val="00721762"/>
    <w:rsid w:val="007219EE"/>
    <w:rsid w:val="00721A74"/>
    <w:rsid w:val="007222BC"/>
    <w:rsid w:val="007229B8"/>
    <w:rsid w:val="00723389"/>
    <w:rsid w:val="00723C2E"/>
    <w:rsid w:val="00723E21"/>
    <w:rsid w:val="00723EF9"/>
    <w:rsid w:val="00724307"/>
    <w:rsid w:val="007247C9"/>
    <w:rsid w:val="00724A7D"/>
    <w:rsid w:val="00724C1A"/>
    <w:rsid w:val="00724CF5"/>
    <w:rsid w:val="007255DF"/>
    <w:rsid w:val="0072567B"/>
    <w:rsid w:val="0072570E"/>
    <w:rsid w:val="00726172"/>
    <w:rsid w:val="00726753"/>
    <w:rsid w:val="007268DD"/>
    <w:rsid w:val="00726F87"/>
    <w:rsid w:val="00727197"/>
    <w:rsid w:val="007272FA"/>
    <w:rsid w:val="00727390"/>
    <w:rsid w:val="0072777D"/>
    <w:rsid w:val="00727A70"/>
    <w:rsid w:val="00727CD1"/>
    <w:rsid w:val="00727D4D"/>
    <w:rsid w:val="0073012B"/>
    <w:rsid w:val="007302E0"/>
    <w:rsid w:val="00730301"/>
    <w:rsid w:val="00730462"/>
    <w:rsid w:val="0073051A"/>
    <w:rsid w:val="00730702"/>
    <w:rsid w:val="00730B7E"/>
    <w:rsid w:val="00730C38"/>
    <w:rsid w:val="00730C5B"/>
    <w:rsid w:val="007315ED"/>
    <w:rsid w:val="00731653"/>
    <w:rsid w:val="007318E5"/>
    <w:rsid w:val="00731AB5"/>
    <w:rsid w:val="00731EFF"/>
    <w:rsid w:val="0073288C"/>
    <w:rsid w:val="00732BA4"/>
    <w:rsid w:val="00732FC2"/>
    <w:rsid w:val="007337C5"/>
    <w:rsid w:val="00733A59"/>
    <w:rsid w:val="0073400F"/>
    <w:rsid w:val="00734265"/>
    <w:rsid w:val="007343D8"/>
    <w:rsid w:val="00734D8E"/>
    <w:rsid w:val="00735103"/>
    <w:rsid w:val="00735253"/>
    <w:rsid w:val="0073556E"/>
    <w:rsid w:val="0073558C"/>
    <w:rsid w:val="0073584C"/>
    <w:rsid w:val="00736477"/>
    <w:rsid w:val="00736498"/>
    <w:rsid w:val="00736587"/>
    <w:rsid w:val="007366F1"/>
    <w:rsid w:val="00736AC2"/>
    <w:rsid w:val="00736DA1"/>
    <w:rsid w:val="00737BFA"/>
    <w:rsid w:val="00737ED0"/>
    <w:rsid w:val="0074039E"/>
    <w:rsid w:val="0074095D"/>
    <w:rsid w:val="00740A52"/>
    <w:rsid w:val="00740BBB"/>
    <w:rsid w:val="00740D0A"/>
    <w:rsid w:val="00740D86"/>
    <w:rsid w:val="00741091"/>
    <w:rsid w:val="0074145A"/>
    <w:rsid w:val="007416D9"/>
    <w:rsid w:val="00741D9F"/>
    <w:rsid w:val="00741FFD"/>
    <w:rsid w:val="0074242A"/>
    <w:rsid w:val="0074248D"/>
    <w:rsid w:val="00742E08"/>
    <w:rsid w:val="00742E7C"/>
    <w:rsid w:val="00742FD6"/>
    <w:rsid w:val="0074337C"/>
    <w:rsid w:val="007441D6"/>
    <w:rsid w:val="00744274"/>
    <w:rsid w:val="0074461B"/>
    <w:rsid w:val="007448FB"/>
    <w:rsid w:val="0074490E"/>
    <w:rsid w:val="00744930"/>
    <w:rsid w:val="00744E0E"/>
    <w:rsid w:val="00745108"/>
    <w:rsid w:val="0074535A"/>
    <w:rsid w:val="007454FE"/>
    <w:rsid w:val="007458A4"/>
    <w:rsid w:val="00745C76"/>
    <w:rsid w:val="00745E7A"/>
    <w:rsid w:val="0074605B"/>
    <w:rsid w:val="0074692B"/>
    <w:rsid w:val="00746C85"/>
    <w:rsid w:val="00746EE0"/>
    <w:rsid w:val="00746FD4"/>
    <w:rsid w:val="007472AF"/>
    <w:rsid w:val="00747761"/>
    <w:rsid w:val="00747CB1"/>
    <w:rsid w:val="007504AB"/>
    <w:rsid w:val="00750679"/>
    <w:rsid w:val="0075073C"/>
    <w:rsid w:val="00750828"/>
    <w:rsid w:val="00750AEA"/>
    <w:rsid w:val="00750E67"/>
    <w:rsid w:val="00750EDC"/>
    <w:rsid w:val="00751B7F"/>
    <w:rsid w:val="00751D35"/>
    <w:rsid w:val="007523D5"/>
    <w:rsid w:val="007528AF"/>
    <w:rsid w:val="00752B49"/>
    <w:rsid w:val="00752D2C"/>
    <w:rsid w:val="00752DAB"/>
    <w:rsid w:val="007537D1"/>
    <w:rsid w:val="007544F4"/>
    <w:rsid w:val="00755022"/>
    <w:rsid w:val="00755183"/>
    <w:rsid w:val="007554A3"/>
    <w:rsid w:val="0075571C"/>
    <w:rsid w:val="007559B0"/>
    <w:rsid w:val="00755B2D"/>
    <w:rsid w:val="007562A9"/>
    <w:rsid w:val="007562E9"/>
    <w:rsid w:val="00756491"/>
    <w:rsid w:val="00756698"/>
    <w:rsid w:val="0075686F"/>
    <w:rsid w:val="00756ABC"/>
    <w:rsid w:val="007577F5"/>
    <w:rsid w:val="00757A5E"/>
    <w:rsid w:val="0076011B"/>
    <w:rsid w:val="00760D2F"/>
    <w:rsid w:val="00761999"/>
    <w:rsid w:val="00761A7B"/>
    <w:rsid w:val="00761AC8"/>
    <w:rsid w:val="00761C0D"/>
    <w:rsid w:val="00761CCC"/>
    <w:rsid w:val="00761D13"/>
    <w:rsid w:val="00761DE8"/>
    <w:rsid w:val="00762220"/>
    <w:rsid w:val="00762490"/>
    <w:rsid w:val="00762768"/>
    <w:rsid w:val="007629A8"/>
    <w:rsid w:val="00762B2D"/>
    <w:rsid w:val="00762C60"/>
    <w:rsid w:val="00763010"/>
    <w:rsid w:val="00763814"/>
    <w:rsid w:val="0076476E"/>
    <w:rsid w:val="007648D0"/>
    <w:rsid w:val="00764E4E"/>
    <w:rsid w:val="007652ED"/>
    <w:rsid w:val="0076533F"/>
    <w:rsid w:val="00765470"/>
    <w:rsid w:val="00765689"/>
    <w:rsid w:val="0076597F"/>
    <w:rsid w:val="00765A1A"/>
    <w:rsid w:val="00765A3F"/>
    <w:rsid w:val="00765B5C"/>
    <w:rsid w:val="00765CF4"/>
    <w:rsid w:val="00765D51"/>
    <w:rsid w:val="00765F6E"/>
    <w:rsid w:val="007662A6"/>
    <w:rsid w:val="00766B81"/>
    <w:rsid w:val="00766BC4"/>
    <w:rsid w:val="00767231"/>
    <w:rsid w:val="007674B9"/>
    <w:rsid w:val="00767925"/>
    <w:rsid w:val="00767BD1"/>
    <w:rsid w:val="007707C5"/>
    <w:rsid w:val="00770A92"/>
    <w:rsid w:val="00770DC0"/>
    <w:rsid w:val="00770F0B"/>
    <w:rsid w:val="00770F3C"/>
    <w:rsid w:val="00771331"/>
    <w:rsid w:val="007714AC"/>
    <w:rsid w:val="00771917"/>
    <w:rsid w:val="007722F4"/>
    <w:rsid w:val="0077299C"/>
    <w:rsid w:val="00772AC2"/>
    <w:rsid w:val="00773817"/>
    <w:rsid w:val="00773856"/>
    <w:rsid w:val="00773FFD"/>
    <w:rsid w:val="00774267"/>
    <w:rsid w:val="0077434A"/>
    <w:rsid w:val="00774802"/>
    <w:rsid w:val="00774869"/>
    <w:rsid w:val="007749A1"/>
    <w:rsid w:val="00775A4F"/>
    <w:rsid w:val="00775B45"/>
    <w:rsid w:val="00775E12"/>
    <w:rsid w:val="00776037"/>
    <w:rsid w:val="007762A6"/>
    <w:rsid w:val="007767A1"/>
    <w:rsid w:val="007768D1"/>
    <w:rsid w:val="00777040"/>
    <w:rsid w:val="007772AA"/>
    <w:rsid w:val="00777C6E"/>
    <w:rsid w:val="00777EA9"/>
    <w:rsid w:val="0078021A"/>
    <w:rsid w:val="0078049E"/>
    <w:rsid w:val="00780BE8"/>
    <w:rsid w:val="00780C72"/>
    <w:rsid w:val="00781015"/>
    <w:rsid w:val="0078251C"/>
    <w:rsid w:val="00782D13"/>
    <w:rsid w:val="00782F14"/>
    <w:rsid w:val="00782F6C"/>
    <w:rsid w:val="00783065"/>
    <w:rsid w:val="00783223"/>
    <w:rsid w:val="00783488"/>
    <w:rsid w:val="007834A4"/>
    <w:rsid w:val="007838A3"/>
    <w:rsid w:val="00783A58"/>
    <w:rsid w:val="00783E4E"/>
    <w:rsid w:val="0078400A"/>
    <w:rsid w:val="0078427A"/>
    <w:rsid w:val="0078435F"/>
    <w:rsid w:val="00784CEE"/>
    <w:rsid w:val="00784D65"/>
    <w:rsid w:val="00784EB4"/>
    <w:rsid w:val="007850B1"/>
    <w:rsid w:val="007854B9"/>
    <w:rsid w:val="00785567"/>
    <w:rsid w:val="007857A3"/>
    <w:rsid w:val="00785835"/>
    <w:rsid w:val="00785909"/>
    <w:rsid w:val="00785CCB"/>
    <w:rsid w:val="00785F06"/>
    <w:rsid w:val="007861E1"/>
    <w:rsid w:val="007862DD"/>
    <w:rsid w:val="007865FC"/>
    <w:rsid w:val="007868E9"/>
    <w:rsid w:val="007870C8"/>
    <w:rsid w:val="007871AB"/>
    <w:rsid w:val="00787431"/>
    <w:rsid w:val="007875D0"/>
    <w:rsid w:val="00787670"/>
    <w:rsid w:val="00787B6C"/>
    <w:rsid w:val="00790169"/>
    <w:rsid w:val="0079020B"/>
    <w:rsid w:val="007908A3"/>
    <w:rsid w:val="00790B7A"/>
    <w:rsid w:val="00790EA6"/>
    <w:rsid w:val="00790F8F"/>
    <w:rsid w:val="00791076"/>
    <w:rsid w:val="007911BA"/>
    <w:rsid w:val="007914E0"/>
    <w:rsid w:val="00791549"/>
    <w:rsid w:val="00791729"/>
    <w:rsid w:val="007921EA"/>
    <w:rsid w:val="007922C7"/>
    <w:rsid w:val="007922EE"/>
    <w:rsid w:val="0079266A"/>
    <w:rsid w:val="007928B4"/>
    <w:rsid w:val="0079293F"/>
    <w:rsid w:val="00792B5B"/>
    <w:rsid w:val="00792CC3"/>
    <w:rsid w:val="00792E5B"/>
    <w:rsid w:val="007931CC"/>
    <w:rsid w:val="00793575"/>
    <w:rsid w:val="007939DB"/>
    <w:rsid w:val="00793A09"/>
    <w:rsid w:val="007940F3"/>
    <w:rsid w:val="007940F7"/>
    <w:rsid w:val="00794AED"/>
    <w:rsid w:val="00794D4E"/>
    <w:rsid w:val="0079526E"/>
    <w:rsid w:val="00795348"/>
    <w:rsid w:val="00795C54"/>
    <w:rsid w:val="00795CC2"/>
    <w:rsid w:val="007962B6"/>
    <w:rsid w:val="007968FD"/>
    <w:rsid w:val="00796E33"/>
    <w:rsid w:val="0079706D"/>
    <w:rsid w:val="0079739C"/>
    <w:rsid w:val="0079749E"/>
    <w:rsid w:val="007975D2"/>
    <w:rsid w:val="00797C17"/>
    <w:rsid w:val="00797C49"/>
    <w:rsid w:val="00797DE5"/>
    <w:rsid w:val="00797FD7"/>
    <w:rsid w:val="007A0224"/>
    <w:rsid w:val="007A0264"/>
    <w:rsid w:val="007A030C"/>
    <w:rsid w:val="007A05B9"/>
    <w:rsid w:val="007A1468"/>
    <w:rsid w:val="007A16C4"/>
    <w:rsid w:val="007A1B12"/>
    <w:rsid w:val="007A1E1B"/>
    <w:rsid w:val="007A1E98"/>
    <w:rsid w:val="007A1ED1"/>
    <w:rsid w:val="007A1EF9"/>
    <w:rsid w:val="007A1F63"/>
    <w:rsid w:val="007A20F9"/>
    <w:rsid w:val="007A2358"/>
    <w:rsid w:val="007A23BF"/>
    <w:rsid w:val="007A2462"/>
    <w:rsid w:val="007A25B2"/>
    <w:rsid w:val="007A274B"/>
    <w:rsid w:val="007A2D1A"/>
    <w:rsid w:val="007A330C"/>
    <w:rsid w:val="007A332C"/>
    <w:rsid w:val="007A33E0"/>
    <w:rsid w:val="007A3A2E"/>
    <w:rsid w:val="007A3A6A"/>
    <w:rsid w:val="007A3CEA"/>
    <w:rsid w:val="007A3D46"/>
    <w:rsid w:val="007A3DBA"/>
    <w:rsid w:val="007A3F48"/>
    <w:rsid w:val="007A45A5"/>
    <w:rsid w:val="007A4CBA"/>
    <w:rsid w:val="007A50E1"/>
    <w:rsid w:val="007A5126"/>
    <w:rsid w:val="007A52C2"/>
    <w:rsid w:val="007A53D8"/>
    <w:rsid w:val="007A5E1A"/>
    <w:rsid w:val="007A62C9"/>
    <w:rsid w:val="007A65B3"/>
    <w:rsid w:val="007A6BA3"/>
    <w:rsid w:val="007A6C8D"/>
    <w:rsid w:val="007A6CB2"/>
    <w:rsid w:val="007A7C17"/>
    <w:rsid w:val="007A7EDE"/>
    <w:rsid w:val="007A7FCD"/>
    <w:rsid w:val="007B072F"/>
    <w:rsid w:val="007B0A94"/>
    <w:rsid w:val="007B0B28"/>
    <w:rsid w:val="007B0D07"/>
    <w:rsid w:val="007B0FB0"/>
    <w:rsid w:val="007B0FEB"/>
    <w:rsid w:val="007B141B"/>
    <w:rsid w:val="007B196B"/>
    <w:rsid w:val="007B1CB3"/>
    <w:rsid w:val="007B1F7B"/>
    <w:rsid w:val="007B2008"/>
    <w:rsid w:val="007B2316"/>
    <w:rsid w:val="007B25B2"/>
    <w:rsid w:val="007B3311"/>
    <w:rsid w:val="007B338C"/>
    <w:rsid w:val="007B352B"/>
    <w:rsid w:val="007B39DB"/>
    <w:rsid w:val="007B3A64"/>
    <w:rsid w:val="007B3B39"/>
    <w:rsid w:val="007B3B61"/>
    <w:rsid w:val="007B3B9E"/>
    <w:rsid w:val="007B3E04"/>
    <w:rsid w:val="007B3EBC"/>
    <w:rsid w:val="007B3F68"/>
    <w:rsid w:val="007B413E"/>
    <w:rsid w:val="007B4177"/>
    <w:rsid w:val="007B41DA"/>
    <w:rsid w:val="007B4785"/>
    <w:rsid w:val="007B4837"/>
    <w:rsid w:val="007B4C4F"/>
    <w:rsid w:val="007B525E"/>
    <w:rsid w:val="007B55BC"/>
    <w:rsid w:val="007B58D0"/>
    <w:rsid w:val="007B5F41"/>
    <w:rsid w:val="007B61B8"/>
    <w:rsid w:val="007B61EE"/>
    <w:rsid w:val="007B6331"/>
    <w:rsid w:val="007B669A"/>
    <w:rsid w:val="007B6A27"/>
    <w:rsid w:val="007B6AC3"/>
    <w:rsid w:val="007B6B29"/>
    <w:rsid w:val="007B6B69"/>
    <w:rsid w:val="007B7145"/>
    <w:rsid w:val="007B73F9"/>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A9B"/>
    <w:rsid w:val="007C1D05"/>
    <w:rsid w:val="007C2207"/>
    <w:rsid w:val="007C22F1"/>
    <w:rsid w:val="007C2540"/>
    <w:rsid w:val="007C2AB4"/>
    <w:rsid w:val="007C3395"/>
    <w:rsid w:val="007C3892"/>
    <w:rsid w:val="007C3B64"/>
    <w:rsid w:val="007C40F2"/>
    <w:rsid w:val="007C45A5"/>
    <w:rsid w:val="007C49BB"/>
    <w:rsid w:val="007C4C0C"/>
    <w:rsid w:val="007C4C39"/>
    <w:rsid w:val="007C5623"/>
    <w:rsid w:val="007C5BFE"/>
    <w:rsid w:val="007C65FE"/>
    <w:rsid w:val="007C6828"/>
    <w:rsid w:val="007C6CD4"/>
    <w:rsid w:val="007C7ED4"/>
    <w:rsid w:val="007D0190"/>
    <w:rsid w:val="007D039D"/>
    <w:rsid w:val="007D0B01"/>
    <w:rsid w:val="007D0B11"/>
    <w:rsid w:val="007D0DC6"/>
    <w:rsid w:val="007D120D"/>
    <w:rsid w:val="007D1531"/>
    <w:rsid w:val="007D153F"/>
    <w:rsid w:val="007D1CAC"/>
    <w:rsid w:val="007D1D04"/>
    <w:rsid w:val="007D2083"/>
    <w:rsid w:val="007D2271"/>
    <w:rsid w:val="007D2366"/>
    <w:rsid w:val="007D2BE5"/>
    <w:rsid w:val="007D2C3D"/>
    <w:rsid w:val="007D2F34"/>
    <w:rsid w:val="007D3637"/>
    <w:rsid w:val="007D382F"/>
    <w:rsid w:val="007D3847"/>
    <w:rsid w:val="007D3BF5"/>
    <w:rsid w:val="007D4A4B"/>
    <w:rsid w:val="007D4EDB"/>
    <w:rsid w:val="007D5364"/>
    <w:rsid w:val="007D54DA"/>
    <w:rsid w:val="007D560E"/>
    <w:rsid w:val="007D56CB"/>
    <w:rsid w:val="007D5C60"/>
    <w:rsid w:val="007D6712"/>
    <w:rsid w:val="007D6C82"/>
    <w:rsid w:val="007D6D4D"/>
    <w:rsid w:val="007D76A8"/>
    <w:rsid w:val="007D7C34"/>
    <w:rsid w:val="007E00AA"/>
    <w:rsid w:val="007E06D5"/>
    <w:rsid w:val="007E0B27"/>
    <w:rsid w:val="007E0B49"/>
    <w:rsid w:val="007E12D5"/>
    <w:rsid w:val="007E1719"/>
    <w:rsid w:val="007E184C"/>
    <w:rsid w:val="007E1A71"/>
    <w:rsid w:val="007E1E5F"/>
    <w:rsid w:val="007E2258"/>
    <w:rsid w:val="007E2686"/>
    <w:rsid w:val="007E2762"/>
    <w:rsid w:val="007E2AD2"/>
    <w:rsid w:val="007E2FA5"/>
    <w:rsid w:val="007E319A"/>
    <w:rsid w:val="007E3252"/>
    <w:rsid w:val="007E3929"/>
    <w:rsid w:val="007E40B3"/>
    <w:rsid w:val="007E4317"/>
    <w:rsid w:val="007E46A8"/>
    <w:rsid w:val="007E475A"/>
    <w:rsid w:val="007E5832"/>
    <w:rsid w:val="007E5C7E"/>
    <w:rsid w:val="007E604B"/>
    <w:rsid w:val="007E62B0"/>
    <w:rsid w:val="007E6394"/>
    <w:rsid w:val="007E6851"/>
    <w:rsid w:val="007E68B4"/>
    <w:rsid w:val="007E6A9C"/>
    <w:rsid w:val="007E7249"/>
    <w:rsid w:val="007E7366"/>
    <w:rsid w:val="007E73F6"/>
    <w:rsid w:val="007E7418"/>
    <w:rsid w:val="007E7663"/>
    <w:rsid w:val="007E7783"/>
    <w:rsid w:val="007E79BC"/>
    <w:rsid w:val="007F0011"/>
    <w:rsid w:val="007F0702"/>
    <w:rsid w:val="007F0D0D"/>
    <w:rsid w:val="007F1365"/>
    <w:rsid w:val="007F168A"/>
    <w:rsid w:val="007F176C"/>
    <w:rsid w:val="007F1D45"/>
    <w:rsid w:val="007F23EA"/>
    <w:rsid w:val="007F25A5"/>
    <w:rsid w:val="007F2A4A"/>
    <w:rsid w:val="007F2A7C"/>
    <w:rsid w:val="007F3124"/>
    <w:rsid w:val="007F365E"/>
    <w:rsid w:val="007F3F65"/>
    <w:rsid w:val="007F4119"/>
    <w:rsid w:val="007F4473"/>
    <w:rsid w:val="007F46A1"/>
    <w:rsid w:val="007F48D6"/>
    <w:rsid w:val="007F4ADC"/>
    <w:rsid w:val="007F4B78"/>
    <w:rsid w:val="007F4C42"/>
    <w:rsid w:val="007F585B"/>
    <w:rsid w:val="007F600F"/>
    <w:rsid w:val="007F6217"/>
    <w:rsid w:val="007F62C3"/>
    <w:rsid w:val="007F65FB"/>
    <w:rsid w:val="007F673E"/>
    <w:rsid w:val="007F6848"/>
    <w:rsid w:val="007F6C11"/>
    <w:rsid w:val="007F6D4B"/>
    <w:rsid w:val="007F6FA6"/>
    <w:rsid w:val="007F723B"/>
    <w:rsid w:val="007F72E9"/>
    <w:rsid w:val="007F7ACF"/>
    <w:rsid w:val="007F7B1F"/>
    <w:rsid w:val="00800305"/>
    <w:rsid w:val="0080052D"/>
    <w:rsid w:val="008005A7"/>
    <w:rsid w:val="008006F9"/>
    <w:rsid w:val="00800A70"/>
    <w:rsid w:val="00801036"/>
    <w:rsid w:val="00801243"/>
    <w:rsid w:val="0080151B"/>
    <w:rsid w:val="00801B70"/>
    <w:rsid w:val="00801E41"/>
    <w:rsid w:val="0080241D"/>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D43"/>
    <w:rsid w:val="0080602D"/>
    <w:rsid w:val="0080697B"/>
    <w:rsid w:val="008069D9"/>
    <w:rsid w:val="00806A6C"/>
    <w:rsid w:val="00806C74"/>
    <w:rsid w:val="00807029"/>
    <w:rsid w:val="008073FF"/>
    <w:rsid w:val="00807646"/>
    <w:rsid w:val="008102ED"/>
    <w:rsid w:val="00810424"/>
    <w:rsid w:val="00810624"/>
    <w:rsid w:val="00810E49"/>
    <w:rsid w:val="00811580"/>
    <w:rsid w:val="008115B7"/>
    <w:rsid w:val="00811715"/>
    <w:rsid w:val="008117D3"/>
    <w:rsid w:val="0081188A"/>
    <w:rsid w:val="00811A7E"/>
    <w:rsid w:val="00811ECF"/>
    <w:rsid w:val="0081205A"/>
    <w:rsid w:val="00812B35"/>
    <w:rsid w:val="00812BCB"/>
    <w:rsid w:val="00812D0F"/>
    <w:rsid w:val="00813165"/>
    <w:rsid w:val="0081321A"/>
    <w:rsid w:val="00813380"/>
    <w:rsid w:val="00813484"/>
    <w:rsid w:val="00813619"/>
    <w:rsid w:val="00813BFC"/>
    <w:rsid w:val="008145BA"/>
    <w:rsid w:val="00814C98"/>
    <w:rsid w:val="00814D65"/>
    <w:rsid w:val="00814E8B"/>
    <w:rsid w:val="0081545D"/>
    <w:rsid w:val="008154D6"/>
    <w:rsid w:val="00815E22"/>
    <w:rsid w:val="0081633F"/>
    <w:rsid w:val="008168B7"/>
    <w:rsid w:val="008168C7"/>
    <w:rsid w:val="00816EE6"/>
    <w:rsid w:val="008170EC"/>
    <w:rsid w:val="0081729C"/>
    <w:rsid w:val="00817476"/>
    <w:rsid w:val="00817C73"/>
    <w:rsid w:val="00817E6C"/>
    <w:rsid w:val="008201F3"/>
    <w:rsid w:val="00820D8C"/>
    <w:rsid w:val="00821C07"/>
    <w:rsid w:val="00821E85"/>
    <w:rsid w:val="00821F60"/>
    <w:rsid w:val="008223F8"/>
    <w:rsid w:val="00822994"/>
    <w:rsid w:val="00822B54"/>
    <w:rsid w:val="008236E5"/>
    <w:rsid w:val="008242C7"/>
    <w:rsid w:val="008248B0"/>
    <w:rsid w:val="008248C3"/>
    <w:rsid w:val="00824A74"/>
    <w:rsid w:val="00825475"/>
    <w:rsid w:val="00825699"/>
    <w:rsid w:val="008256E3"/>
    <w:rsid w:val="00825A26"/>
    <w:rsid w:val="00825E83"/>
    <w:rsid w:val="00826FBD"/>
    <w:rsid w:val="0082732F"/>
    <w:rsid w:val="00827899"/>
    <w:rsid w:val="008278D4"/>
    <w:rsid w:val="00827A08"/>
    <w:rsid w:val="00827BA1"/>
    <w:rsid w:val="00827D03"/>
    <w:rsid w:val="00827D28"/>
    <w:rsid w:val="008301C1"/>
    <w:rsid w:val="008301DB"/>
    <w:rsid w:val="0083024A"/>
    <w:rsid w:val="00830437"/>
    <w:rsid w:val="008308C4"/>
    <w:rsid w:val="008321AA"/>
    <w:rsid w:val="0083229F"/>
    <w:rsid w:val="008325B6"/>
    <w:rsid w:val="00833220"/>
    <w:rsid w:val="00833361"/>
    <w:rsid w:val="00833809"/>
    <w:rsid w:val="00833BE6"/>
    <w:rsid w:val="00833EAC"/>
    <w:rsid w:val="00834017"/>
    <w:rsid w:val="008341D9"/>
    <w:rsid w:val="008348D0"/>
    <w:rsid w:val="00834BC8"/>
    <w:rsid w:val="00834BF3"/>
    <w:rsid w:val="00835228"/>
    <w:rsid w:val="00835586"/>
    <w:rsid w:val="008355A8"/>
    <w:rsid w:val="0083566A"/>
    <w:rsid w:val="00835921"/>
    <w:rsid w:val="00835BF2"/>
    <w:rsid w:val="00835C93"/>
    <w:rsid w:val="00835DC2"/>
    <w:rsid w:val="008361FD"/>
    <w:rsid w:val="00836578"/>
    <w:rsid w:val="00836CC1"/>
    <w:rsid w:val="00836CD7"/>
    <w:rsid w:val="0083778B"/>
    <w:rsid w:val="00837A87"/>
    <w:rsid w:val="00840160"/>
    <w:rsid w:val="008405BB"/>
    <w:rsid w:val="0084083E"/>
    <w:rsid w:val="00840952"/>
    <w:rsid w:val="00840A0D"/>
    <w:rsid w:val="00840AAD"/>
    <w:rsid w:val="00840E3E"/>
    <w:rsid w:val="00841482"/>
    <w:rsid w:val="008417EC"/>
    <w:rsid w:val="00841922"/>
    <w:rsid w:val="00841C3D"/>
    <w:rsid w:val="00841CBB"/>
    <w:rsid w:val="008420A7"/>
    <w:rsid w:val="00843058"/>
    <w:rsid w:val="0084329E"/>
    <w:rsid w:val="008435B1"/>
    <w:rsid w:val="008435EC"/>
    <w:rsid w:val="008437D1"/>
    <w:rsid w:val="008438A7"/>
    <w:rsid w:val="00843AD4"/>
    <w:rsid w:val="00844258"/>
    <w:rsid w:val="0084426A"/>
    <w:rsid w:val="00844897"/>
    <w:rsid w:val="00844AAA"/>
    <w:rsid w:val="00844FAA"/>
    <w:rsid w:val="0084523B"/>
    <w:rsid w:val="0084555D"/>
    <w:rsid w:val="00845CB5"/>
    <w:rsid w:val="008462BA"/>
    <w:rsid w:val="0084646F"/>
    <w:rsid w:val="00847056"/>
    <w:rsid w:val="0084720E"/>
    <w:rsid w:val="00847D60"/>
    <w:rsid w:val="00850264"/>
    <w:rsid w:val="008502BD"/>
    <w:rsid w:val="00850648"/>
    <w:rsid w:val="008506F9"/>
    <w:rsid w:val="00850C11"/>
    <w:rsid w:val="00850FF1"/>
    <w:rsid w:val="008512EE"/>
    <w:rsid w:val="008517EF"/>
    <w:rsid w:val="008518B0"/>
    <w:rsid w:val="008519C5"/>
    <w:rsid w:val="00851D0D"/>
    <w:rsid w:val="00851E28"/>
    <w:rsid w:val="008525FA"/>
    <w:rsid w:val="00852782"/>
    <w:rsid w:val="00853002"/>
    <w:rsid w:val="00853716"/>
    <w:rsid w:val="00853961"/>
    <w:rsid w:val="008539F4"/>
    <w:rsid w:val="00853C94"/>
    <w:rsid w:val="00853CCA"/>
    <w:rsid w:val="00853D66"/>
    <w:rsid w:val="0085432E"/>
    <w:rsid w:val="008543E8"/>
    <w:rsid w:val="00854DBC"/>
    <w:rsid w:val="00855254"/>
    <w:rsid w:val="008556A8"/>
    <w:rsid w:val="00855C1B"/>
    <w:rsid w:val="00855F32"/>
    <w:rsid w:val="00856441"/>
    <w:rsid w:val="00856570"/>
    <w:rsid w:val="00856CB6"/>
    <w:rsid w:val="00856EB8"/>
    <w:rsid w:val="00856F57"/>
    <w:rsid w:val="00856F9E"/>
    <w:rsid w:val="00857758"/>
    <w:rsid w:val="00857CB7"/>
    <w:rsid w:val="00860496"/>
    <w:rsid w:val="0086055D"/>
    <w:rsid w:val="008609D2"/>
    <w:rsid w:val="00860D5A"/>
    <w:rsid w:val="00860FF7"/>
    <w:rsid w:val="008620D8"/>
    <w:rsid w:val="00862B04"/>
    <w:rsid w:val="00863552"/>
    <w:rsid w:val="008635C4"/>
    <w:rsid w:val="008638CF"/>
    <w:rsid w:val="00863C73"/>
    <w:rsid w:val="00863D08"/>
    <w:rsid w:val="00863DF4"/>
    <w:rsid w:val="008641C7"/>
    <w:rsid w:val="00864467"/>
    <w:rsid w:val="00864789"/>
    <w:rsid w:val="00864AE3"/>
    <w:rsid w:val="00864E82"/>
    <w:rsid w:val="0086611F"/>
    <w:rsid w:val="0086649B"/>
    <w:rsid w:val="00866680"/>
    <w:rsid w:val="00866C49"/>
    <w:rsid w:val="00867C00"/>
    <w:rsid w:val="00867F1A"/>
    <w:rsid w:val="008702C8"/>
    <w:rsid w:val="0087045C"/>
    <w:rsid w:val="008704AE"/>
    <w:rsid w:val="00870516"/>
    <w:rsid w:val="008705C5"/>
    <w:rsid w:val="00870ED8"/>
    <w:rsid w:val="00870F44"/>
    <w:rsid w:val="00871C69"/>
    <w:rsid w:val="00871C9D"/>
    <w:rsid w:val="00871F2E"/>
    <w:rsid w:val="00872095"/>
    <w:rsid w:val="008720D3"/>
    <w:rsid w:val="0087271F"/>
    <w:rsid w:val="00872C1B"/>
    <w:rsid w:val="00873151"/>
    <w:rsid w:val="00873275"/>
    <w:rsid w:val="008733E6"/>
    <w:rsid w:val="008741C3"/>
    <w:rsid w:val="008742C5"/>
    <w:rsid w:val="0087471D"/>
    <w:rsid w:val="00874796"/>
    <w:rsid w:val="008747D7"/>
    <w:rsid w:val="008747EC"/>
    <w:rsid w:val="00875F93"/>
    <w:rsid w:val="008768A4"/>
    <w:rsid w:val="00876917"/>
    <w:rsid w:val="00876C7F"/>
    <w:rsid w:val="00876D61"/>
    <w:rsid w:val="00876E38"/>
    <w:rsid w:val="00876F7E"/>
    <w:rsid w:val="0087708A"/>
    <w:rsid w:val="00877443"/>
    <w:rsid w:val="00877700"/>
    <w:rsid w:val="008779FC"/>
    <w:rsid w:val="00877DE0"/>
    <w:rsid w:val="00877EFB"/>
    <w:rsid w:val="0088008C"/>
    <w:rsid w:val="00880445"/>
    <w:rsid w:val="00880B1C"/>
    <w:rsid w:val="00880EA2"/>
    <w:rsid w:val="00882012"/>
    <w:rsid w:val="00882136"/>
    <w:rsid w:val="008828BD"/>
    <w:rsid w:val="00882D51"/>
    <w:rsid w:val="00882D70"/>
    <w:rsid w:val="00882DA6"/>
    <w:rsid w:val="0088306A"/>
    <w:rsid w:val="00883990"/>
    <w:rsid w:val="00883CE1"/>
    <w:rsid w:val="0088424B"/>
    <w:rsid w:val="0088444B"/>
    <w:rsid w:val="008848C7"/>
    <w:rsid w:val="00884A23"/>
    <w:rsid w:val="00884C5B"/>
    <w:rsid w:val="00884CCE"/>
    <w:rsid w:val="008854F5"/>
    <w:rsid w:val="008856FC"/>
    <w:rsid w:val="00885781"/>
    <w:rsid w:val="00885A4A"/>
    <w:rsid w:val="00885AE0"/>
    <w:rsid w:val="00885B39"/>
    <w:rsid w:val="00885D27"/>
    <w:rsid w:val="00885F39"/>
    <w:rsid w:val="00885FCF"/>
    <w:rsid w:val="00886064"/>
    <w:rsid w:val="008862A5"/>
    <w:rsid w:val="0088648E"/>
    <w:rsid w:val="00886542"/>
    <w:rsid w:val="008867DF"/>
    <w:rsid w:val="008869FA"/>
    <w:rsid w:val="0088721D"/>
    <w:rsid w:val="008873E2"/>
    <w:rsid w:val="00887429"/>
    <w:rsid w:val="0088761C"/>
    <w:rsid w:val="00887B80"/>
    <w:rsid w:val="00887FEB"/>
    <w:rsid w:val="008901DA"/>
    <w:rsid w:val="008906ED"/>
    <w:rsid w:val="008910E0"/>
    <w:rsid w:val="0089123E"/>
    <w:rsid w:val="0089148C"/>
    <w:rsid w:val="008917EA"/>
    <w:rsid w:val="00891D37"/>
    <w:rsid w:val="00891E5F"/>
    <w:rsid w:val="0089281D"/>
    <w:rsid w:val="00892A84"/>
    <w:rsid w:val="00892C9A"/>
    <w:rsid w:val="00893914"/>
    <w:rsid w:val="00893CC2"/>
    <w:rsid w:val="008940F3"/>
    <w:rsid w:val="0089424A"/>
    <w:rsid w:val="008943CD"/>
    <w:rsid w:val="00894759"/>
    <w:rsid w:val="00894A54"/>
    <w:rsid w:val="00894B32"/>
    <w:rsid w:val="00894BFE"/>
    <w:rsid w:val="00894E5B"/>
    <w:rsid w:val="008951E1"/>
    <w:rsid w:val="008954B2"/>
    <w:rsid w:val="00895977"/>
    <w:rsid w:val="00895B24"/>
    <w:rsid w:val="00895B30"/>
    <w:rsid w:val="00895F3B"/>
    <w:rsid w:val="00896413"/>
    <w:rsid w:val="0089648F"/>
    <w:rsid w:val="0089671B"/>
    <w:rsid w:val="00896C68"/>
    <w:rsid w:val="00897DEC"/>
    <w:rsid w:val="008A0308"/>
    <w:rsid w:val="008A048D"/>
    <w:rsid w:val="008A0B0A"/>
    <w:rsid w:val="008A0EAA"/>
    <w:rsid w:val="008A0EDF"/>
    <w:rsid w:val="008A0FC6"/>
    <w:rsid w:val="008A1200"/>
    <w:rsid w:val="008A229A"/>
    <w:rsid w:val="008A23F4"/>
    <w:rsid w:val="008A24D8"/>
    <w:rsid w:val="008A2556"/>
    <w:rsid w:val="008A25F0"/>
    <w:rsid w:val="008A2705"/>
    <w:rsid w:val="008A2C14"/>
    <w:rsid w:val="008A2F0A"/>
    <w:rsid w:val="008A31B0"/>
    <w:rsid w:val="008A328B"/>
    <w:rsid w:val="008A3C56"/>
    <w:rsid w:val="008A3F4C"/>
    <w:rsid w:val="008A4461"/>
    <w:rsid w:val="008A4AD4"/>
    <w:rsid w:val="008A4CFF"/>
    <w:rsid w:val="008A4D34"/>
    <w:rsid w:val="008A4DFC"/>
    <w:rsid w:val="008A5271"/>
    <w:rsid w:val="008A528A"/>
    <w:rsid w:val="008A5647"/>
    <w:rsid w:val="008A5A7E"/>
    <w:rsid w:val="008A5A9E"/>
    <w:rsid w:val="008A5EA8"/>
    <w:rsid w:val="008A68B0"/>
    <w:rsid w:val="008A6964"/>
    <w:rsid w:val="008A6AA0"/>
    <w:rsid w:val="008A6AFB"/>
    <w:rsid w:val="008A6C60"/>
    <w:rsid w:val="008A6EC1"/>
    <w:rsid w:val="008A7852"/>
    <w:rsid w:val="008A7A7F"/>
    <w:rsid w:val="008A7D2A"/>
    <w:rsid w:val="008B0331"/>
    <w:rsid w:val="008B03BA"/>
    <w:rsid w:val="008B05A7"/>
    <w:rsid w:val="008B0B7D"/>
    <w:rsid w:val="008B0D97"/>
    <w:rsid w:val="008B0E4F"/>
    <w:rsid w:val="008B1989"/>
    <w:rsid w:val="008B277D"/>
    <w:rsid w:val="008B2827"/>
    <w:rsid w:val="008B2B9E"/>
    <w:rsid w:val="008B2DC1"/>
    <w:rsid w:val="008B2E10"/>
    <w:rsid w:val="008B2EC5"/>
    <w:rsid w:val="008B3287"/>
    <w:rsid w:val="008B33A5"/>
    <w:rsid w:val="008B359D"/>
    <w:rsid w:val="008B35EC"/>
    <w:rsid w:val="008B3602"/>
    <w:rsid w:val="008B3807"/>
    <w:rsid w:val="008B3C30"/>
    <w:rsid w:val="008B4033"/>
    <w:rsid w:val="008B4051"/>
    <w:rsid w:val="008B42D3"/>
    <w:rsid w:val="008B4888"/>
    <w:rsid w:val="008B48B5"/>
    <w:rsid w:val="008B48EF"/>
    <w:rsid w:val="008B4B87"/>
    <w:rsid w:val="008B525F"/>
    <w:rsid w:val="008B5FF9"/>
    <w:rsid w:val="008B6206"/>
    <w:rsid w:val="008B6838"/>
    <w:rsid w:val="008B692B"/>
    <w:rsid w:val="008B6A19"/>
    <w:rsid w:val="008B6D1E"/>
    <w:rsid w:val="008B743E"/>
    <w:rsid w:val="008B75B2"/>
    <w:rsid w:val="008B7E4C"/>
    <w:rsid w:val="008B7FC2"/>
    <w:rsid w:val="008B7FC7"/>
    <w:rsid w:val="008C0045"/>
    <w:rsid w:val="008C05B1"/>
    <w:rsid w:val="008C08B2"/>
    <w:rsid w:val="008C0BE7"/>
    <w:rsid w:val="008C0C6B"/>
    <w:rsid w:val="008C10E6"/>
    <w:rsid w:val="008C1B95"/>
    <w:rsid w:val="008C2107"/>
    <w:rsid w:val="008C254A"/>
    <w:rsid w:val="008C26B1"/>
    <w:rsid w:val="008C2B22"/>
    <w:rsid w:val="008C3414"/>
    <w:rsid w:val="008C3726"/>
    <w:rsid w:val="008C4479"/>
    <w:rsid w:val="008C466B"/>
    <w:rsid w:val="008C4ABA"/>
    <w:rsid w:val="008C4C06"/>
    <w:rsid w:val="008C4D1C"/>
    <w:rsid w:val="008C4F9A"/>
    <w:rsid w:val="008C567A"/>
    <w:rsid w:val="008C5A2F"/>
    <w:rsid w:val="008C5F24"/>
    <w:rsid w:val="008C6693"/>
    <w:rsid w:val="008C699A"/>
    <w:rsid w:val="008C6B82"/>
    <w:rsid w:val="008C6F2F"/>
    <w:rsid w:val="008C6F5B"/>
    <w:rsid w:val="008C70F4"/>
    <w:rsid w:val="008C7909"/>
    <w:rsid w:val="008C7968"/>
    <w:rsid w:val="008C7A72"/>
    <w:rsid w:val="008C7AB1"/>
    <w:rsid w:val="008D0A63"/>
    <w:rsid w:val="008D0EFE"/>
    <w:rsid w:val="008D11B7"/>
    <w:rsid w:val="008D1292"/>
    <w:rsid w:val="008D142B"/>
    <w:rsid w:val="008D18E6"/>
    <w:rsid w:val="008D1A5C"/>
    <w:rsid w:val="008D1D9A"/>
    <w:rsid w:val="008D1E1D"/>
    <w:rsid w:val="008D2212"/>
    <w:rsid w:val="008D25A6"/>
    <w:rsid w:val="008D2881"/>
    <w:rsid w:val="008D2C95"/>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E6C"/>
    <w:rsid w:val="008D4F01"/>
    <w:rsid w:val="008D5203"/>
    <w:rsid w:val="008D54BE"/>
    <w:rsid w:val="008D58C8"/>
    <w:rsid w:val="008D5EE5"/>
    <w:rsid w:val="008D60C7"/>
    <w:rsid w:val="008D6267"/>
    <w:rsid w:val="008D6471"/>
    <w:rsid w:val="008D777A"/>
    <w:rsid w:val="008D77D5"/>
    <w:rsid w:val="008D7B69"/>
    <w:rsid w:val="008D7ED7"/>
    <w:rsid w:val="008E063F"/>
    <w:rsid w:val="008E08FB"/>
    <w:rsid w:val="008E098E"/>
    <w:rsid w:val="008E0995"/>
    <w:rsid w:val="008E0AD8"/>
    <w:rsid w:val="008E0BAF"/>
    <w:rsid w:val="008E0CFD"/>
    <w:rsid w:val="008E1105"/>
    <w:rsid w:val="008E150F"/>
    <w:rsid w:val="008E1B41"/>
    <w:rsid w:val="008E1BA8"/>
    <w:rsid w:val="008E1BD8"/>
    <w:rsid w:val="008E23F7"/>
    <w:rsid w:val="008E3204"/>
    <w:rsid w:val="008E34CE"/>
    <w:rsid w:val="008E3518"/>
    <w:rsid w:val="008E3BC5"/>
    <w:rsid w:val="008E4153"/>
    <w:rsid w:val="008E42D4"/>
    <w:rsid w:val="008E5039"/>
    <w:rsid w:val="008E5331"/>
    <w:rsid w:val="008E55E9"/>
    <w:rsid w:val="008E56F2"/>
    <w:rsid w:val="008E57E9"/>
    <w:rsid w:val="008E595B"/>
    <w:rsid w:val="008E619B"/>
    <w:rsid w:val="008E6253"/>
    <w:rsid w:val="008E66E5"/>
    <w:rsid w:val="008E6ED1"/>
    <w:rsid w:val="008E711E"/>
    <w:rsid w:val="008E7D7B"/>
    <w:rsid w:val="008F09A8"/>
    <w:rsid w:val="008F0E1A"/>
    <w:rsid w:val="008F0FD4"/>
    <w:rsid w:val="008F12D8"/>
    <w:rsid w:val="008F12E3"/>
    <w:rsid w:val="008F164B"/>
    <w:rsid w:val="008F1A6E"/>
    <w:rsid w:val="008F1D9F"/>
    <w:rsid w:val="008F2333"/>
    <w:rsid w:val="008F234F"/>
    <w:rsid w:val="008F2644"/>
    <w:rsid w:val="008F2813"/>
    <w:rsid w:val="008F292E"/>
    <w:rsid w:val="008F2935"/>
    <w:rsid w:val="008F2A5A"/>
    <w:rsid w:val="008F2C7A"/>
    <w:rsid w:val="008F2E5B"/>
    <w:rsid w:val="008F2EA9"/>
    <w:rsid w:val="008F310F"/>
    <w:rsid w:val="008F3904"/>
    <w:rsid w:val="008F3AB8"/>
    <w:rsid w:val="008F47A3"/>
    <w:rsid w:val="008F4A4A"/>
    <w:rsid w:val="008F4D08"/>
    <w:rsid w:val="008F4E5F"/>
    <w:rsid w:val="008F504C"/>
    <w:rsid w:val="008F54DE"/>
    <w:rsid w:val="008F5638"/>
    <w:rsid w:val="008F56CB"/>
    <w:rsid w:val="008F5E45"/>
    <w:rsid w:val="008F5E92"/>
    <w:rsid w:val="008F60AA"/>
    <w:rsid w:val="008F60E4"/>
    <w:rsid w:val="008F635E"/>
    <w:rsid w:val="008F6A1B"/>
    <w:rsid w:val="008F6A39"/>
    <w:rsid w:val="008F6EB6"/>
    <w:rsid w:val="008F6FD4"/>
    <w:rsid w:val="008F7D30"/>
    <w:rsid w:val="009002EC"/>
    <w:rsid w:val="009006DC"/>
    <w:rsid w:val="009008AE"/>
    <w:rsid w:val="00900913"/>
    <w:rsid w:val="00900A8E"/>
    <w:rsid w:val="00900C39"/>
    <w:rsid w:val="0090155D"/>
    <w:rsid w:val="0090169C"/>
    <w:rsid w:val="00901847"/>
    <w:rsid w:val="00901945"/>
    <w:rsid w:val="00901A1D"/>
    <w:rsid w:val="00901A4D"/>
    <w:rsid w:val="00901CA3"/>
    <w:rsid w:val="00901D16"/>
    <w:rsid w:val="0090258A"/>
    <w:rsid w:val="009025AF"/>
    <w:rsid w:val="00902696"/>
    <w:rsid w:val="009034F0"/>
    <w:rsid w:val="00903537"/>
    <w:rsid w:val="00903784"/>
    <w:rsid w:val="00903827"/>
    <w:rsid w:val="00903974"/>
    <w:rsid w:val="00903A0B"/>
    <w:rsid w:val="00903C7C"/>
    <w:rsid w:val="00904101"/>
    <w:rsid w:val="00904910"/>
    <w:rsid w:val="00904BBC"/>
    <w:rsid w:val="00904BC5"/>
    <w:rsid w:val="00904CF0"/>
    <w:rsid w:val="00904DCD"/>
    <w:rsid w:val="00905442"/>
    <w:rsid w:val="00905625"/>
    <w:rsid w:val="00905B26"/>
    <w:rsid w:val="00905C28"/>
    <w:rsid w:val="009060C9"/>
    <w:rsid w:val="0090634D"/>
    <w:rsid w:val="00906368"/>
    <w:rsid w:val="00906396"/>
    <w:rsid w:val="00906B25"/>
    <w:rsid w:val="00906FBE"/>
    <w:rsid w:val="0090701A"/>
    <w:rsid w:val="009070F3"/>
    <w:rsid w:val="0090782C"/>
    <w:rsid w:val="00907985"/>
    <w:rsid w:val="00910107"/>
    <w:rsid w:val="00910184"/>
    <w:rsid w:val="0091034A"/>
    <w:rsid w:val="0091089B"/>
    <w:rsid w:val="009109C6"/>
    <w:rsid w:val="00911192"/>
    <w:rsid w:val="0091143C"/>
    <w:rsid w:val="009115C4"/>
    <w:rsid w:val="009115DD"/>
    <w:rsid w:val="0091197C"/>
    <w:rsid w:val="009121AF"/>
    <w:rsid w:val="00912B35"/>
    <w:rsid w:val="00912DAE"/>
    <w:rsid w:val="009138AB"/>
    <w:rsid w:val="00914197"/>
    <w:rsid w:val="009142F1"/>
    <w:rsid w:val="009151D3"/>
    <w:rsid w:val="009155CE"/>
    <w:rsid w:val="00915866"/>
    <w:rsid w:val="0091597B"/>
    <w:rsid w:val="00915AC0"/>
    <w:rsid w:val="00915E27"/>
    <w:rsid w:val="00916031"/>
    <w:rsid w:val="009163AD"/>
    <w:rsid w:val="00916807"/>
    <w:rsid w:val="009169FB"/>
    <w:rsid w:val="00916B68"/>
    <w:rsid w:val="00916DA1"/>
    <w:rsid w:val="00917351"/>
    <w:rsid w:val="0091774F"/>
    <w:rsid w:val="00917941"/>
    <w:rsid w:val="00917C2A"/>
    <w:rsid w:val="00917F35"/>
    <w:rsid w:val="00917FFC"/>
    <w:rsid w:val="0092007C"/>
    <w:rsid w:val="00920284"/>
    <w:rsid w:val="009202DD"/>
    <w:rsid w:val="00920C00"/>
    <w:rsid w:val="00920ED7"/>
    <w:rsid w:val="00921097"/>
    <w:rsid w:val="0092109D"/>
    <w:rsid w:val="00921432"/>
    <w:rsid w:val="00921946"/>
    <w:rsid w:val="009219F9"/>
    <w:rsid w:val="00921A9E"/>
    <w:rsid w:val="00921CED"/>
    <w:rsid w:val="00921D4C"/>
    <w:rsid w:val="0092225E"/>
    <w:rsid w:val="0092252C"/>
    <w:rsid w:val="00922ADD"/>
    <w:rsid w:val="00922BB7"/>
    <w:rsid w:val="0092314A"/>
    <w:rsid w:val="00923225"/>
    <w:rsid w:val="0092372A"/>
    <w:rsid w:val="00923DFA"/>
    <w:rsid w:val="00923E80"/>
    <w:rsid w:val="00923F62"/>
    <w:rsid w:val="00924384"/>
    <w:rsid w:val="00924A16"/>
    <w:rsid w:val="00924B50"/>
    <w:rsid w:val="00924C45"/>
    <w:rsid w:val="00924F9C"/>
    <w:rsid w:val="00925488"/>
    <w:rsid w:val="009255A4"/>
    <w:rsid w:val="0092576A"/>
    <w:rsid w:val="00925D8E"/>
    <w:rsid w:val="009260F9"/>
    <w:rsid w:val="009262C6"/>
    <w:rsid w:val="009262CC"/>
    <w:rsid w:val="00926354"/>
    <w:rsid w:val="00926557"/>
    <w:rsid w:val="009265BB"/>
    <w:rsid w:val="00926718"/>
    <w:rsid w:val="00926E65"/>
    <w:rsid w:val="00926F25"/>
    <w:rsid w:val="00926F4F"/>
    <w:rsid w:val="0092719F"/>
    <w:rsid w:val="00927BE0"/>
    <w:rsid w:val="00927EA9"/>
    <w:rsid w:val="00927F0F"/>
    <w:rsid w:val="00927FD1"/>
    <w:rsid w:val="00930497"/>
    <w:rsid w:val="00930629"/>
    <w:rsid w:val="009309DE"/>
    <w:rsid w:val="00930AAA"/>
    <w:rsid w:val="00930E3E"/>
    <w:rsid w:val="009312C3"/>
    <w:rsid w:val="009313E3"/>
    <w:rsid w:val="00931AF9"/>
    <w:rsid w:val="00932800"/>
    <w:rsid w:val="00932BA8"/>
    <w:rsid w:val="009337C1"/>
    <w:rsid w:val="009339E5"/>
    <w:rsid w:val="00933DE9"/>
    <w:rsid w:val="00933DFA"/>
    <w:rsid w:val="00933F29"/>
    <w:rsid w:val="0093445F"/>
    <w:rsid w:val="0093460D"/>
    <w:rsid w:val="0093471F"/>
    <w:rsid w:val="009347F4"/>
    <w:rsid w:val="0093489D"/>
    <w:rsid w:val="00934B6A"/>
    <w:rsid w:val="00934C7B"/>
    <w:rsid w:val="00934CDC"/>
    <w:rsid w:val="0093535C"/>
    <w:rsid w:val="009356DD"/>
    <w:rsid w:val="00935892"/>
    <w:rsid w:val="00935C66"/>
    <w:rsid w:val="00935F7A"/>
    <w:rsid w:val="009364EB"/>
    <w:rsid w:val="00936F01"/>
    <w:rsid w:val="009373C3"/>
    <w:rsid w:val="009374F0"/>
    <w:rsid w:val="0093786C"/>
    <w:rsid w:val="00937CC0"/>
    <w:rsid w:val="00940022"/>
    <w:rsid w:val="009406C7"/>
    <w:rsid w:val="009407FD"/>
    <w:rsid w:val="00940ADC"/>
    <w:rsid w:val="00940BDA"/>
    <w:rsid w:val="00940C0D"/>
    <w:rsid w:val="00941962"/>
    <w:rsid w:val="00941B33"/>
    <w:rsid w:val="00941C3F"/>
    <w:rsid w:val="00941EF0"/>
    <w:rsid w:val="00942482"/>
    <w:rsid w:val="009424FB"/>
    <w:rsid w:val="009426F3"/>
    <w:rsid w:val="00942AD4"/>
    <w:rsid w:val="00942F70"/>
    <w:rsid w:val="00942FDF"/>
    <w:rsid w:val="00943181"/>
    <w:rsid w:val="00943601"/>
    <w:rsid w:val="009437FA"/>
    <w:rsid w:val="0094382E"/>
    <w:rsid w:val="009438EE"/>
    <w:rsid w:val="00943A0C"/>
    <w:rsid w:val="00943EDA"/>
    <w:rsid w:val="00943EF4"/>
    <w:rsid w:val="0094466D"/>
    <w:rsid w:val="00944723"/>
    <w:rsid w:val="0094487E"/>
    <w:rsid w:val="00944A37"/>
    <w:rsid w:val="00944AB1"/>
    <w:rsid w:val="00944E95"/>
    <w:rsid w:val="009450B2"/>
    <w:rsid w:val="0094555B"/>
    <w:rsid w:val="009465C9"/>
    <w:rsid w:val="00946A3B"/>
    <w:rsid w:val="00946B9D"/>
    <w:rsid w:val="009470DF"/>
    <w:rsid w:val="00947571"/>
    <w:rsid w:val="00947783"/>
    <w:rsid w:val="009477AC"/>
    <w:rsid w:val="009479F7"/>
    <w:rsid w:val="00947A9D"/>
    <w:rsid w:val="00947C87"/>
    <w:rsid w:val="00950963"/>
    <w:rsid w:val="00950C9B"/>
    <w:rsid w:val="00950CD5"/>
    <w:rsid w:val="00951388"/>
    <w:rsid w:val="00951472"/>
    <w:rsid w:val="0095216D"/>
    <w:rsid w:val="0095218D"/>
    <w:rsid w:val="009521BE"/>
    <w:rsid w:val="00952896"/>
    <w:rsid w:val="009529D7"/>
    <w:rsid w:val="00952A71"/>
    <w:rsid w:val="0095344F"/>
    <w:rsid w:val="00953F45"/>
    <w:rsid w:val="009540A3"/>
    <w:rsid w:val="009542D6"/>
    <w:rsid w:val="00954957"/>
    <w:rsid w:val="00954A4F"/>
    <w:rsid w:val="009552CC"/>
    <w:rsid w:val="009559C8"/>
    <w:rsid w:val="00955C3B"/>
    <w:rsid w:val="00955CBA"/>
    <w:rsid w:val="00956141"/>
    <w:rsid w:val="00956288"/>
    <w:rsid w:val="0095656E"/>
    <w:rsid w:val="009565FA"/>
    <w:rsid w:val="00956CBA"/>
    <w:rsid w:val="00956D66"/>
    <w:rsid w:val="0095733D"/>
    <w:rsid w:val="009574C8"/>
    <w:rsid w:val="009578AD"/>
    <w:rsid w:val="00957AE8"/>
    <w:rsid w:val="00957F2A"/>
    <w:rsid w:val="00957F3C"/>
    <w:rsid w:val="00960012"/>
    <w:rsid w:val="0096023D"/>
    <w:rsid w:val="00960A76"/>
    <w:rsid w:val="00960A80"/>
    <w:rsid w:val="00960B5E"/>
    <w:rsid w:val="00960C6A"/>
    <w:rsid w:val="00960EB0"/>
    <w:rsid w:val="00960F3F"/>
    <w:rsid w:val="009611CD"/>
    <w:rsid w:val="009612E9"/>
    <w:rsid w:val="009615E3"/>
    <w:rsid w:val="009618FE"/>
    <w:rsid w:val="00961FDA"/>
    <w:rsid w:val="0096205D"/>
    <w:rsid w:val="009622A6"/>
    <w:rsid w:val="00962520"/>
    <w:rsid w:val="009626FC"/>
    <w:rsid w:val="009629A7"/>
    <w:rsid w:val="00962CA5"/>
    <w:rsid w:val="00962E12"/>
    <w:rsid w:val="00963207"/>
    <w:rsid w:val="00963AF0"/>
    <w:rsid w:val="00963BC7"/>
    <w:rsid w:val="00963C7C"/>
    <w:rsid w:val="00963CC1"/>
    <w:rsid w:val="00963CC9"/>
    <w:rsid w:val="00964D70"/>
    <w:rsid w:val="009657C2"/>
    <w:rsid w:val="009667FE"/>
    <w:rsid w:val="009669C2"/>
    <w:rsid w:val="00966D8C"/>
    <w:rsid w:val="00966FF0"/>
    <w:rsid w:val="00967522"/>
    <w:rsid w:val="00967BE7"/>
    <w:rsid w:val="00967D70"/>
    <w:rsid w:val="00967F30"/>
    <w:rsid w:val="00967F73"/>
    <w:rsid w:val="00967FE3"/>
    <w:rsid w:val="0097018E"/>
    <w:rsid w:val="0097047A"/>
    <w:rsid w:val="00970766"/>
    <w:rsid w:val="00970B58"/>
    <w:rsid w:val="00970BD8"/>
    <w:rsid w:val="0097111B"/>
    <w:rsid w:val="00971435"/>
    <w:rsid w:val="009716D6"/>
    <w:rsid w:val="0097179D"/>
    <w:rsid w:val="00971B5A"/>
    <w:rsid w:val="00972368"/>
    <w:rsid w:val="009723C6"/>
    <w:rsid w:val="00972CD9"/>
    <w:rsid w:val="00972F57"/>
    <w:rsid w:val="0097306E"/>
    <w:rsid w:val="0097306F"/>
    <w:rsid w:val="0097308F"/>
    <w:rsid w:val="0097355E"/>
    <w:rsid w:val="0097390C"/>
    <w:rsid w:val="00973AE0"/>
    <w:rsid w:val="00973D06"/>
    <w:rsid w:val="00973DE9"/>
    <w:rsid w:val="0097409A"/>
    <w:rsid w:val="009742DA"/>
    <w:rsid w:val="0097492B"/>
    <w:rsid w:val="00974DF7"/>
    <w:rsid w:val="00974E68"/>
    <w:rsid w:val="009755CF"/>
    <w:rsid w:val="00975741"/>
    <w:rsid w:val="009757B8"/>
    <w:rsid w:val="00975976"/>
    <w:rsid w:val="0097630E"/>
    <w:rsid w:val="00976BF6"/>
    <w:rsid w:val="00976C76"/>
    <w:rsid w:val="00976F0F"/>
    <w:rsid w:val="00976F90"/>
    <w:rsid w:val="00977271"/>
    <w:rsid w:val="00977622"/>
    <w:rsid w:val="00977710"/>
    <w:rsid w:val="00977BF2"/>
    <w:rsid w:val="00980747"/>
    <w:rsid w:val="00980D7C"/>
    <w:rsid w:val="009812F7"/>
    <w:rsid w:val="009818C5"/>
    <w:rsid w:val="0098196E"/>
    <w:rsid w:val="00981C4D"/>
    <w:rsid w:val="009823E2"/>
    <w:rsid w:val="00982615"/>
    <w:rsid w:val="00982634"/>
    <w:rsid w:val="00982BCC"/>
    <w:rsid w:val="0098368A"/>
    <w:rsid w:val="009848AA"/>
    <w:rsid w:val="00984C54"/>
    <w:rsid w:val="00984F29"/>
    <w:rsid w:val="009850BE"/>
    <w:rsid w:val="00985270"/>
    <w:rsid w:val="00985377"/>
    <w:rsid w:val="009858FF"/>
    <w:rsid w:val="0098592E"/>
    <w:rsid w:val="00985A33"/>
    <w:rsid w:val="00985DA9"/>
    <w:rsid w:val="009861C4"/>
    <w:rsid w:val="0098623F"/>
    <w:rsid w:val="009866CB"/>
    <w:rsid w:val="00986B73"/>
    <w:rsid w:val="00986FF0"/>
    <w:rsid w:val="0098737D"/>
    <w:rsid w:val="009874E5"/>
    <w:rsid w:val="00987792"/>
    <w:rsid w:val="0098786B"/>
    <w:rsid w:val="00987881"/>
    <w:rsid w:val="00987AEE"/>
    <w:rsid w:val="00987AFF"/>
    <w:rsid w:val="00987CAD"/>
    <w:rsid w:val="00990338"/>
    <w:rsid w:val="00990559"/>
    <w:rsid w:val="0099063B"/>
    <w:rsid w:val="00990B32"/>
    <w:rsid w:val="00991019"/>
    <w:rsid w:val="0099102F"/>
    <w:rsid w:val="00991167"/>
    <w:rsid w:val="0099126E"/>
    <w:rsid w:val="0099188D"/>
    <w:rsid w:val="009918D1"/>
    <w:rsid w:val="00992273"/>
    <w:rsid w:val="00992A0F"/>
    <w:rsid w:val="00992ACA"/>
    <w:rsid w:val="00992F4A"/>
    <w:rsid w:val="0099301C"/>
    <w:rsid w:val="0099367F"/>
    <w:rsid w:val="009936F4"/>
    <w:rsid w:val="00993C18"/>
    <w:rsid w:val="00994650"/>
    <w:rsid w:val="00994761"/>
    <w:rsid w:val="00994968"/>
    <w:rsid w:val="00994A15"/>
    <w:rsid w:val="00994AD0"/>
    <w:rsid w:val="009951F0"/>
    <w:rsid w:val="009952E5"/>
    <w:rsid w:val="009954FD"/>
    <w:rsid w:val="00995B43"/>
    <w:rsid w:val="00995D4B"/>
    <w:rsid w:val="0099612A"/>
    <w:rsid w:val="0099682D"/>
    <w:rsid w:val="00997BF7"/>
    <w:rsid w:val="00997C6B"/>
    <w:rsid w:val="00997C92"/>
    <w:rsid w:val="00997F05"/>
    <w:rsid w:val="00997FE1"/>
    <w:rsid w:val="009A0012"/>
    <w:rsid w:val="009A02B4"/>
    <w:rsid w:val="009A05E8"/>
    <w:rsid w:val="009A090D"/>
    <w:rsid w:val="009A1418"/>
    <w:rsid w:val="009A15C9"/>
    <w:rsid w:val="009A16F1"/>
    <w:rsid w:val="009A18C3"/>
    <w:rsid w:val="009A1911"/>
    <w:rsid w:val="009A1CF9"/>
    <w:rsid w:val="009A203C"/>
    <w:rsid w:val="009A2401"/>
    <w:rsid w:val="009A25E1"/>
    <w:rsid w:val="009A26E2"/>
    <w:rsid w:val="009A274F"/>
    <w:rsid w:val="009A280B"/>
    <w:rsid w:val="009A2D76"/>
    <w:rsid w:val="009A30FA"/>
    <w:rsid w:val="009A3250"/>
    <w:rsid w:val="009A333E"/>
    <w:rsid w:val="009A366D"/>
    <w:rsid w:val="009A367E"/>
    <w:rsid w:val="009A38BF"/>
    <w:rsid w:val="009A3E3F"/>
    <w:rsid w:val="009A3FFD"/>
    <w:rsid w:val="009A41D3"/>
    <w:rsid w:val="009A479F"/>
    <w:rsid w:val="009A4DB0"/>
    <w:rsid w:val="009A4E28"/>
    <w:rsid w:val="009A4E46"/>
    <w:rsid w:val="009A5AD2"/>
    <w:rsid w:val="009A5B50"/>
    <w:rsid w:val="009A60E5"/>
    <w:rsid w:val="009A663B"/>
    <w:rsid w:val="009A67CC"/>
    <w:rsid w:val="009A6821"/>
    <w:rsid w:val="009A6A46"/>
    <w:rsid w:val="009A6B54"/>
    <w:rsid w:val="009A6B91"/>
    <w:rsid w:val="009A6D72"/>
    <w:rsid w:val="009A70E8"/>
    <w:rsid w:val="009A7138"/>
    <w:rsid w:val="009A7257"/>
    <w:rsid w:val="009A79E9"/>
    <w:rsid w:val="009A7A0D"/>
    <w:rsid w:val="009B0016"/>
    <w:rsid w:val="009B00D9"/>
    <w:rsid w:val="009B055A"/>
    <w:rsid w:val="009B0743"/>
    <w:rsid w:val="009B0814"/>
    <w:rsid w:val="009B106F"/>
    <w:rsid w:val="009B142D"/>
    <w:rsid w:val="009B1B3F"/>
    <w:rsid w:val="009B2364"/>
    <w:rsid w:val="009B356F"/>
    <w:rsid w:val="009B49FC"/>
    <w:rsid w:val="009B4B03"/>
    <w:rsid w:val="009B4E60"/>
    <w:rsid w:val="009B4F08"/>
    <w:rsid w:val="009B4F34"/>
    <w:rsid w:val="009B5FAF"/>
    <w:rsid w:val="009B618F"/>
    <w:rsid w:val="009B67D1"/>
    <w:rsid w:val="009B681A"/>
    <w:rsid w:val="009B70C0"/>
    <w:rsid w:val="009B75F0"/>
    <w:rsid w:val="009C0180"/>
    <w:rsid w:val="009C026B"/>
    <w:rsid w:val="009C0387"/>
    <w:rsid w:val="009C0630"/>
    <w:rsid w:val="009C0915"/>
    <w:rsid w:val="009C0AA3"/>
    <w:rsid w:val="009C12C8"/>
    <w:rsid w:val="009C142F"/>
    <w:rsid w:val="009C14EB"/>
    <w:rsid w:val="009C16DA"/>
    <w:rsid w:val="009C1707"/>
    <w:rsid w:val="009C18B9"/>
    <w:rsid w:val="009C1C05"/>
    <w:rsid w:val="009C31BA"/>
    <w:rsid w:val="009C34C8"/>
    <w:rsid w:val="009C36D7"/>
    <w:rsid w:val="009C3722"/>
    <w:rsid w:val="009C386A"/>
    <w:rsid w:val="009C399D"/>
    <w:rsid w:val="009C4EC5"/>
    <w:rsid w:val="009C5061"/>
    <w:rsid w:val="009C518A"/>
    <w:rsid w:val="009C5293"/>
    <w:rsid w:val="009C5B27"/>
    <w:rsid w:val="009C5C19"/>
    <w:rsid w:val="009C5CA8"/>
    <w:rsid w:val="009C5EFF"/>
    <w:rsid w:val="009C611F"/>
    <w:rsid w:val="009C640F"/>
    <w:rsid w:val="009C6B05"/>
    <w:rsid w:val="009C6ED1"/>
    <w:rsid w:val="009C6F6E"/>
    <w:rsid w:val="009C7477"/>
    <w:rsid w:val="009C7E0A"/>
    <w:rsid w:val="009C7E1A"/>
    <w:rsid w:val="009D05EB"/>
    <w:rsid w:val="009D06B4"/>
    <w:rsid w:val="009D0836"/>
    <w:rsid w:val="009D0858"/>
    <w:rsid w:val="009D0F27"/>
    <w:rsid w:val="009D0F31"/>
    <w:rsid w:val="009D102B"/>
    <w:rsid w:val="009D14E8"/>
    <w:rsid w:val="009D1633"/>
    <w:rsid w:val="009D1818"/>
    <w:rsid w:val="009D19F8"/>
    <w:rsid w:val="009D1A98"/>
    <w:rsid w:val="009D205B"/>
    <w:rsid w:val="009D2947"/>
    <w:rsid w:val="009D2A60"/>
    <w:rsid w:val="009D2CB7"/>
    <w:rsid w:val="009D2EBA"/>
    <w:rsid w:val="009D35D3"/>
    <w:rsid w:val="009D4524"/>
    <w:rsid w:val="009D46D5"/>
    <w:rsid w:val="009D4AD8"/>
    <w:rsid w:val="009D5817"/>
    <w:rsid w:val="009D5A8F"/>
    <w:rsid w:val="009D5BFD"/>
    <w:rsid w:val="009D66A1"/>
    <w:rsid w:val="009D6830"/>
    <w:rsid w:val="009D6918"/>
    <w:rsid w:val="009D6B05"/>
    <w:rsid w:val="009D6D12"/>
    <w:rsid w:val="009D7414"/>
    <w:rsid w:val="009D7836"/>
    <w:rsid w:val="009D7C8D"/>
    <w:rsid w:val="009D7E34"/>
    <w:rsid w:val="009E136C"/>
    <w:rsid w:val="009E1B0A"/>
    <w:rsid w:val="009E1E3C"/>
    <w:rsid w:val="009E24F0"/>
    <w:rsid w:val="009E252F"/>
    <w:rsid w:val="009E2A37"/>
    <w:rsid w:val="009E2CF8"/>
    <w:rsid w:val="009E2E81"/>
    <w:rsid w:val="009E2FD2"/>
    <w:rsid w:val="009E32C2"/>
    <w:rsid w:val="009E358C"/>
    <w:rsid w:val="009E3A7D"/>
    <w:rsid w:val="009E3AD1"/>
    <w:rsid w:val="009E3B49"/>
    <w:rsid w:val="009E3B9A"/>
    <w:rsid w:val="009E3E34"/>
    <w:rsid w:val="009E4036"/>
    <w:rsid w:val="009E4AE3"/>
    <w:rsid w:val="009E4B5C"/>
    <w:rsid w:val="009E4E38"/>
    <w:rsid w:val="009E50AE"/>
    <w:rsid w:val="009E516A"/>
    <w:rsid w:val="009E57B9"/>
    <w:rsid w:val="009E5B2F"/>
    <w:rsid w:val="009E5C74"/>
    <w:rsid w:val="009E5E59"/>
    <w:rsid w:val="009E614F"/>
    <w:rsid w:val="009E6653"/>
    <w:rsid w:val="009E69FC"/>
    <w:rsid w:val="009E6EEE"/>
    <w:rsid w:val="009E7259"/>
    <w:rsid w:val="009E78B6"/>
    <w:rsid w:val="009E7A62"/>
    <w:rsid w:val="009E7D65"/>
    <w:rsid w:val="009E7F7F"/>
    <w:rsid w:val="009F03DD"/>
    <w:rsid w:val="009F0501"/>
    <w:rsid w:val="009F072F"/>
    <w:rsid w:val="009F0786"/>
    <w:rsid w:val="009F14B4"/>
    <w:rsid w:val="009F1CBA"/>
    <w:rsid w:val="009F267C"/>
    <w:rsid w:val="009F28D6"/>
    <w:rsid w:val="009F2BFE"/>
    <w:rsid w:val="009F2C0B"/>
    <w:rsid w:val="009F2CDD"/>
    <w:rsid w:val="009F2E3F"/>
    <w:rsid w:val="009F2E8D"/>
    <w:rsid w:val="009F3122"/>
    <w:rsid w:val="009F3C1A"/>
    <w:rsid w:val="009F3D3D"/>
    <w:rsid w:val="009F3F85"/>
    <w:rsid w:val="009F4549"/>
    <w:rsid w:val="009F48DE"/>
    <w:rsid w:val="009F4A80"/>
    <w:rsid w:val="009F4EB9"/>
    <w:rsid w:val="009F5339"/>
    <w:rsid w:val="009F54C7"/>
    <w:rsid w:val="009F568B"/>
    <w:rsid w:val="009F5A4E"/>
    <w:rsid w:val="009F5AC5"/>
    <w:rsid w:val="009F6209"/>
    <w:rsid w:val="009F73AA"/>
    <w:rsid w:val="009F7BA8"/>
    <w:rsid w:val="009F7E65"/>
    <w:rsid w:val="00A0081B"/>
    <w:rsid w:val="00A00A3E"/>
    <w:rsid w:val="00A00B72"/>
    <w:rsid w:val="00A00FDA"/>
    <w:rsid w:val="00A0113C"/>
    <w:rsid w:val="00A01FF6"/>
    <w:rsid w:val="00A02C85"/>
    <w:rsid w:val="00A02D0F"/>
    <w:rsid w:val="00A02E32"/>
    <w:rsid w:val="00A03090"/>
    <w:rsid w:val="00A03260"/>
    <w:rsid w:val="00A033DF"/>
    <w:rsid w:val="00A039B9"/>
    <w:rsid w:val="00A041D8"/>
    <w:rsid w:val="00A0486E"/>
    <w:rsid w:val="00A05239"/>
    <w:rsid w:val="00A055DD"/>
    <w:rsid w:val="00A060E1"/>
    <w:rsid w:val="00A06475"/>
    <w:rsid w:val="00A064AC"/>
    <w:rsid w:val="00A06D06"/>
    <w:rsid w:val="00A074FF"/>
    <w:rsid w:val="00A077CA"/>
    <w:rsid w:val="00A07D52"/>
    <w:rsid w:val="00A07E5A"/>
    <w:rsid w:val="00A10418"/>
    <w:rsid w:val="00A106E3"/>
    <w:rsid w:val="00A107FF"/>
    <w:rsid w:val="00A10ACC"/>
    <w:rsid w:val="00A10CCB"/>
    <w:rsid w:val="00A11170"/>
    <w:rsid w:val="00A1166E"/>
    <w:rsid w:val="00A11693"/>
    <w:rsid w:val="00A116CA"/>
    <w:rsid w:val="00A11A69"/>
    <w:rsid w:val="00A11EB3"/>
    <w:rsid w:val="00A123F8"/>
    <w:rsid w:val="00A124E1"/>
    <w:rsid w:val="00A12A47"/>
    <w:rsid w:val="00A12D9B"/>
    <w:rsid w:val="00A12DA4"/>
    <w:rsid w:val="00A12E02"/>
    <w:rsid w:val="00A12E7E"/>
    <w:rsid w:val="00A12EE5"/>
    <w:rsid w:val="00A13124"/>
    <w:rsid w:val="00A13148"/>
    <w:rsid w:val="00A13193"/>
    <w:rsid w:val="00A13381"/>
    <w:rsid w:val="00A1338F"/>
    <w:rsid w:val="00A13566"/>
    <w:rsid w:val="00A13E15"/>
    <w:rsid w:val="00A13FC8"/>
    <w:rsid w:val="00A14173"/>
    <w:rsid w:val="00A145C9"/>
    <w:rsid w:val="00A145F5"/>
    <w:rsid w:val="00A14748"/>
    <w:rsid w:val="00A14892"/>
    <w:rsid w:val="00A14C71"/>
    <w:rsid w:val="00A14DEE"/>
    <w:rsid w:val="00A1573A"/>
    <w:rsid w:val="00A158CE"/>
    <w:rsid w:val="00A15E12"/>
    <w:rsid w:val="00A15F2E"/>
    <w:rsid w:val="00A16119"/>
    <w:rsid w:val="00A16135"/>
    <w:rsid w:val="00A17099"/>
    <w:rsid w:val="00A171BD"/>
    <w:rsid w:val="00A174C2"/>
    <w:rsid w:val="00A17572"/>
    <w:rsid w:val="00A17826"/>
    <w:rsid w:val="00A179CD"/>
    <w:rsid w:val="00A17E98"/>
    <w:rsid w:val="00A20048"/>
    <w:rsid w:val="00A2053E"/>
    <w:rsid w:val="00A20D95"/>
    <w:rsid w:val="00A22349"/>
    <w:rsid w:val="00A225D4"/>
    <w:rsid w:val="00A22CD0"/>
    <w:rsid w:val="00A23031"/>
    <w:rsid w:val="00A2362C"/>
    <w:rsid w:val="00A23756"/>
    <w:rsid w:val="00A23BF7"/>
    <w:rsid w:val="00A23F79"/>
    <w:rsid w:val="00A2423A"/>
    <w:rsid w:val="00A24972"/>
    <w:rsid w:val="00A254E9"/>
    <w:rsid w:val="00A25554"/>
    <w:rsid w:val="00A258C2"/>
    <w:rsid w:val="00A25B5A"/>
    <w:rsid w:val="00A25D2C"/>
    <w:rsid w:val="00A25E83"/>
    <w:rsid w:val="00A26CA2"/>
    <w:rsid w:val="00A2701E"/>
    <w:rsid w:val="00A272E8"/>
    <w:rsid w:val="00A27BD8"/>
    <w:rsid w:val="00A27BFF"/>
    <w:rsid w:val="00A3018E"/>
    <w:rsid w:val="00A30302"/>
    <w:rsid w:val="00A30444"/>
    <w:rsid w:val="00A307E4"/>
    <w:rsid w:val="00A30C22"/>
    <w:rsid w:val="00A30CE5"/>
    <w:rsid w:val="00A30D83"/>
    <w:rsid w:val="00A30E64"/>
    <w:rsid w:val="00A314F2"/>
    <w:rsid w:val="00A31522"/>
    <w:rsid w:val="00A3159F"/>
    <w:rsid w:val="00A31E85"/>
    <w:rsid w:val="00A31F9E"/>
    <w:rsid w:val="00A32199"/>
    <w:rsid w:val="00A32228"/>
    <w:rsid w:val="00A323E8"/>
    <w:rsid w:val="00A324BD"/>
    <w:rsid w:val="00A32AF1"/>
    <w:rsid w:val="00A32E09"/>
    <w:rsid w:val="00A32F64"/>
    <w:rsid w:val="00A3352B"/>
    <w:rsid w:val="00A34416"/>
    <w:rsid w:val="00A34598"/>
    <w:rsid w:val="00A34A3A"/>
    <w:rsid w:val="00A351BB"/>
    <w:rsid w:val="00A3557E"/>
    <w:rsid w:val="00A355EF"/>
    <w:rsid w:val="00A358B3"/>
    <w:rsid w:val="00A35A8B"/>
    <w:rsid w:val="00A35D46"/>
    <w:rsid w:val="00A36078"/>
    <w:rsid w:val="00A3609B"/>
    <w:rsid w:val="00A36486"/>
    <w:rsid w:val="00A364B8"/>
    <w:rsid w:val="00A36875"/>
    <w:rsid w:val="00A36B05"/>
    <w:rsid w:val="00A36C9D"/>
    <w:rsid w:val="00A36D2E"/>
    <w:rsid w:val="00A37132"/>
    <w:rsid w:val="00A377EA"/>
    <w:rsid w:val="00A37B80"/>
    <w:rsid w:val="00A37CCE"/>
    <w:rsid w:val="00A37F6F"/>
    <w:rsid w:val="00A37FB6"/>
    <w:rsid w:val="00A4012B"/>
    <w:rsid w:val="00A40346"/>
    <w:rsid w:val="00A40377"/>
    <w:rsid w:val="00A403E0"/>
    <w:rsid w:val="00A4066A"/>
    <w:rsid w:val="00A406A3"/>
    <w:rsid w:val="00A40A9B"/>
    <w:rsid w:val="00A40C92"/>
    <w:rsid w:val="00A40D65"/>
    <w:rsid w:val="00A41AE7"/>
    <w:rsid w:val="00A41C82"/>
    <w:rsid w:val="00A420D8"/>
    <w:rsid w:val="00A42A42"/>
    <w:rsid w:val="00A42BD7"/>
    <w:rsid w:val="00A42E16"/>
    <w:rsid w:val="00A43131"/>
    <w:rsid w:val="00A431DE"/>
    <w:rsid w:val="00A4346C"/>
    <w:rsid w:val="00A43895"/>
    <w:rsid w:val="00A43898"/>
    <w:rsid w:val="00A43BAA"/>
    <w:rsid w:val="00A44123"/>
    <w:rsid w:val="00A44AAE"/>
    <w:rsid w:val="00A44F2D"/>
    <w:rsid w:val="00A453E0"/>
    <w:rsid w:val="00A45AD1"/>
    <w:rsid w:val="00A46604"/>
    <w:rsid w:val="00A46799"/>
    <w:rsid w:val="00A46C4C"/>
    <w:rsid w:val="00A47866"/>
    <w:rsid w:val="00A47BD8"/>
    <w:rsid w:val="00A47D03"/>
    <w:rsid w:val="00A47ECE"/>
    <w:rsid w:val="00A505AE"/>
    <w:rsid w:val="00A506E6"/>
    <w:rsid w:val="00A50912"/>
    <w:rsid w:val="00A509DC"/>
    <w:rsid w:val="00A50BE3"/>
    <w:rsid w:val="00A50DE1"/>
    <w:rsid w:val="00A50F0F"/>
    <w:rsid w:val="00A51173"/>
    <w:rsid w:val="00A5146E"/>
    <w:rsid w:val="00A5152B"/>
    <w:rsid w:val="00A51FF4"/>
    <w:rsid w:val="00A5298C"/>
    <w:rsid w:val="00A52BEA"/>
    <w:rsid w:val="00A5328C"/>
    <w:rsid w:val="00A538C9"/>
    <w:rsid w:val="00A539C4"/>
    <w:rsid w:val="00A53A4D"/>
    <w:rsid w:val="00A53CBA"/>
    <w:rsid w:val="00A53E3D"/>
    <w:rsid w:val="00A543A1"/>
    <w:rsid w:val="00A54640"/>
    <w:rsid w:val="00A54A81"/>
    <w:rsid w:val="00A54CAE"/>
    <w:rsid w:val="00A554A9"/>
    <w:rsid w:val="00A5586C"/>
    <w:rsid w:val="00A55A6A"/>
    <w:rsid w:val="00A560A5"/>
    <w:rsid w:val="00A565B9"/>
    <w:rsid w:val="00A569FA"/>
    <w:rsid w:val="00A56E2A"/>
    <w:rsid w:val="00A56EDB"/>
    <w:rsid w:val="00A573D4"/>
    <w:rsid w:val="00A57DE2"/>
    <w:rsid w:val="00A60268"/>
    <w:rsid w:val="00A602C9"/>
    <w:rsid w:val="00A60701"/>
    <w:rsid w:val="00A60BDE"/>
    <w:rsid w:val="00A61006"/>
    <w:rsid w:val="00A61337"/>
    <w:rsid w:val="00A6139A"/>
    <w:rsid w:val="00A617A9"/>
    <w:rsid w:val="00A6196E"/>
    <w:rsid w:val="00A61BD7"/>
    <w:rsid w:val="00A61CD5"/>
    <w:rsid w:val="00A621F0"/>
    <w:rsid w:val="00A62347"/>
    <w:rsid w:val="00A6239D"/>
    <w:rsid w:val="00A6255C"/>
    <w:rsid w:val="00A625EB"/>
    <w:rsid w:val="00A6278E"/>
    <w:rsid w:val="00A62EFC"/>
    <w:rsid w:val="00A62F38"/>
    <w:rsid w:val="00A63096"/>
    <w:rsid w:val="00A630E2"/>
    <w:rsid w:val="00A633B8"/>
    <w:rsid w:val="00A63529"/>
    <w:rsid w:val="00A63D25"/>
    <w:rsid w:val="00A64343"/>
    <w:rsid w:val="00A6464B"/>
    <w:rsid w:val="00A6470E"/>
    <w:rsid w:val="00A649DB"/>
    <w:rsid w:val="00A64ADC"/>
    <w:rsid w:val="00A64F06"/>
    <w:rsid w:val="00A651AB"/>
    <w:rsid w:val="00A6559D"/>
    <w:rsid w:val="00A65794"/>
    <w:rsid w:val="00A659E6"/>
    <w:rsid w:val="00A65BC9"/>
    <w:rsid w:val="00A6603F"/>
    <w:rsid w:val="00A6616D"/>
    <w:rsid w:val="00A66577"/>
    <w:rsid w:val="00A665F2"/>
    <w:rsid w:val="00A667D7"/>
    <w:rsid w:val="00A66878"/>
    <w:rsid w:val="00A67C23"/>
    <w:rsid w:val="00A67CC1"/>
    <w:rsid w:val="00A67D52"/>
    <w:rsid w:val="00A70666"/>
    <w:rsid w:val="00A706C7"/>
    <w:rsid w:val="00A7090B"/>
    <w:rsid w:val="00A70D48"/>
    <w:rsid w:val="00A71D26"/>
    <w:rsid w:val="00A71E5F"/>
    <w:rsid w:val="00A72430"/>
    <w:rsid w:val="00A72AA6"/>
    <w:rsid w:val="00A72AE0"/>
    <w:rsid w:val="00A7341D"/>
    <w:rsid w:val="00A73EB1"/>
    <w:rsid w:val="00A74653"/>
    <w:rsid w:val="00A748D8"/>
    <w:rsid w:val="00A750BA"/>
    <w:rsid w:val="00A752CE"/>
    <w:rsid w:val="00A757C5"/>
    <w:rsid w:val="00A75A8B"/>
    <w:rsid w:val="00A75F6B"/>
    <w:rsid w:val="00A766C4"/>
    <w:rsid w:val="00A767A7"/>
    <w:rsid w:val="00A7690B"/>
    <w:rsid w:val="00A76941"/>
    <w:rsid w:val="00A76D29"/>
    <w:rsid w:val="00A76DF1"/>
    <w:rsid w:val="00A77155"/>
    <w:rsid w:val="00A778A1"/>
    <w:rsid w:val="00A779D0"/>
    <w:rsid w:val="00A80747"/>
    <w:rsid w:val="00A807F2"/>
    <w:rsid w:val="00A8094B"/>
    <w:rsid w:val="00A80990"/>
    <w:rsid w:val="00A80B28"/>
    <w:rsid w:val="00A8135A"/>
    <w:rsid w:val="00A814B4"/>
    <w:rsid w:val="00A81980"/>
    <w:rsid w:val="00A824C5"/>
    <w:rsid w:val="00A82754"/>
    <w:rsid w:val="00A827B7"/>
    <w:rsid w:val="00A8299E"/>
    <w:rsid w:val="00A829D5"/>
    <w:rsid w:val="00A82A0C"/>
    <w:rsid w:val="00A82CA2"/>
    <w:rsid w:val="00A82D4A"/>
    <w:rsid w:val="00A8319E"/>
    <w:rsid w:val="00A833FC"/>
    <w:rsid w:val="00A83524"/>
    <w:rsid w:val="00A838FB"/>
    <w:rsid w:val="00A83A98"/>
    <w:rsid w:val="00A83C1F"/>
    <w:rsid w:val="00A84290"/>
    <w:rsid w:val="00A84B26"/>
    <w:rsid w:val="00A854D3"/>
    <w:rsid w:val="00A8559A"/>
    <w:rsid w:val="00A85719"/>
    <w:rsid w:val="00A85854"/>
    <w:rsid w:val="00A8655D"/>
    <w:rsid w:val="00A86BF5"/>
    <w:rsid w:val="00A86EC0"/>
    <w:rsid w:val="00A87496"/>
    <w:rsid w:val="00A87D33"/>
    <w:rsid w:val="00A87E2B"/>
    <w:rsid w:val="00A90448"/>
    <w:rsid w:val="00A90464"/>
    <w:rsid w:val="00A905B6"/>
    <w:rsid w:val="00A9096C"/>
    <w:rsid w:val="00A90AF3"/>
    <w:rsid w:val="00A90F95"/>
    <w:rsid w:val="00A91028"/>
    <w:rsid w:val="00A912B5"/>
    <w:rsid w:val="00A914F8"/>
    <w:rsid w:val="00A91826"/>
    <w:rsid w:val="00A919D8"/>
    <w:rsid w:val="00A91A0D"/>
    <w:rsid w:val="00A92499"/>
    <w:rsid w:val="00A925E9"/>
    <w:rsid w:val="00A929D4"/>
    <w:rsid w:val="00A92F84"/>
    <w:rsid w:val="00A93797"/>
    <w:rsid w:val="00A94114"/>
    <w:rsid w:val="00A9440E"/>
    <w:rsid w:val="00A947C9"/>
    <w:rsid w:val="00A948B2"/>
    <w:rsid w:val="00A94B57"/>
    <w:rsid w:val="00A95647"/>
    <w:rsid w:val="00A95991"/>
    <w:rsid w:val="00A95C65"/>
    <w:rsid w:val="00A96685"/>
    <w:rsid w:val="00A967BA"/>
    <w:rsid w:val="00A969FB"/>
    <w:rsid w:val="00A97615"/>
    <w:rsid w:val="00A97A8C"/>
    <w:rsid w:val="00A97A96"/>
    <w:rsid w:val="00A97ACC"/>
    <w:rsid w:val="00A97BEB"/>
    <w:rsid w:val="00A97E70"/>
    <w:rsid w:val="00A97FBD"/>
    <w:rsid w:val="00AA0C81"/>
    <w:rsid w:val="00AA0DBD"/>
    <w:rsid w:val="00AA0F1C"/>
    <w:rsid w:val="00AA1149"/>
    <w:rsid w:val="00AA14D3"/>
    <w:rsid w:val="00AA1F14"/>
    <w:rsid w:val="00AA2041"/>
    <w:rsid w:val="00AA2407"/>
    <w:rsid w:val="00AA2EC8"/>
    <w:rsid w:val="00AA2FE9"/>
    <w:rsid w:val="00AA3457"/>
    <w:rsid w:val="00AA39D8"/>
    <w:rsid w:val="00AA3B8F"/>
    <w:rsid w:val="00AA3D05"/>
    <w:rsid w:val="00AA3EBA"/>
    <w:rsid w:val="00AA3F85"/>
    <w:rsid w:val="00AA45BF"/>
    <w:rsid w:val="00AA4748"/>
    <w:rsid w:val="00AA496C"/>
    <w:rsid w:val="00AA4ACC"/>
    <w:rsid w:val="00AA5074"/>
    <w:rsid w:val="00AA5342"/>
    <w:rsid w:val="00AA54F5"/>
    <w:rsid w:val="00AA550A"/>
    <w:rsid w:val="00AA5972"/>
    <w:rsid w:val="00AA5C99"/>
    <w:rsid w:val="00AA5D97"/>
    <w:rsid w:val="00AA5E6C"/>
    <w:rsid w:val="00AA65E3"/>
    <w:rsid w:val="00AA66F1"/>
    <w:rsid w:val="00AA67A0"/>
    <w:rsid w:val="00AA6803"/>
    <w:rsid w:val="00AA6A25"/>
    <w:rsid w:val="00AA6BD2"/>
    <w:rsid w:val="00AA6C6A"/>
    <w:rsid w:val="00AA6CC3"/>
    <w:rsid w:val="00AA6E65"/>
    <w:rsid w:val="00AA7201"/>
    <w:rsid w:val="00AA79E6"/>
    <w:rsid w:val="00AA7A75"/>
    <w:rsid w:val="00AA7BB0"/>
    <w:rsid w:val="00AA7ECA"/>
    <w:rsid w:val="00AB00B4"/>
    <w:rsid w:val="00AB0384"/>
    <w:rsid w:val="00AB0E1C"/>
    <w:rsid w:val="00AB0E50"/>
    <w:rsid w:val="00AB1027"/>
    <w:rsid w:val="00AB1262"/>
    <w:rsid w:val="00AB1C78"/>
    <w:rsid w:val="00AB2C4D"/>
    <w:rsid w:val="00AB2F1E"/>
    <w:rsid w:val="00AB3522"/>
    <w:rsid w:val="00AB35D0"/>
    <w:rsid w:val="00AB36AE"/>
    <w:rsid w:val="00AB372B"/>
    <w:rsid w:val="00AB3BF4"/>
    <w:rsid w:val="00AB40EC"/>
    <w:rsid w:val="00AB449D"/>
    <w:rsid w:val="00AB4D97"/>
    <w:rsid w:val="00AB4F52"/>
    <w:rsid w:val="00AB5445"/>
    <w:rsid w:val="00AB5614"/>
    <w:rsid w:val="00AB56D7"/>
    <w:rsid w:val="00AB5854"/>
    <w:rsid w:val="00AB5A67"/>
    <w:rsid w:val="00AB61B4"/>
    <w:rsid w:val="00AB61C3"/>
    <w:rsid w:val="00AB65AD"/>
    <w:rsid w:val="00AB6C88"/>
    <w:rsid w:val="00AB6D47"/>
    <w:rsid w:val="00AB70EE"/>
    <w:rsid w:val="00AB7942"/>
    <w:rsid w:val="00AB7E4C"/>
    <w:rsid w:val="00AC00F6"/>
    <w:rsid w:val="00AC0260"/>
    <w:rsid w:val="00AC0525"/>
    <w:rsid w:val="00AC061A"/>
    <w:rsid w:val="00AC0866"/>
    <w:rsid w:val="00AC0D50"/>
    <w:rsid w:val="00AC0F8A"/>
    <w:rsid w:val="00AC13BB"/>
    <w:rsid w:val="00AC13D3"/>
    <w:rsid w:val="00AC1829"/>
    <w:rsid w:val="00AC1D7F"/>
    <w:rsid w:val="00AC1EC3"/>
    <w:rsid w:val="00AC28CC"/>
    <w:rsid w:val="00AC2D68"/>
    <w:rsid w:val="00AC30A1"/>
    <w:rsid w:val="00AC317C"/>
    <w:rsid w:val="00AC3891"/>
    <w:rsid w:val="00AC3900"/>
    <w:rsid w:val="00AC3AAE"/>
    <w:rsid w:val="00AC3C21"/>
    <w:rsid w:val="00AC45B0"/>
    <w:rsid w:val="00AC4896"/>
    <w:rsid w:val="00AC4903"/>
    <w:rsid w:val="00AC4A22"/>
    <w:rsid w:val="00AC4A9F"/>
    <w:rsid w:val="00AC4AD3"/>
    <w:rsid w:val="00AC4DBF"/>
    <w:rsid w:val="00AC52BC"/>
    <w:rsid w:val="00AC54BF"/>
    <w:rsid w:val="00AC596F"/>
    <w:rsid w:val="00AC5ADC"/>
    <w:rsid w:val="00AC5DF8"/>
    <w:rsid w:val="00AC5F8D"/>
    <w:rsid w:val="00AC6175"/>
    <w:rsid w:val="00AC6209"/>
    <w:rsid w:val="00AC64D6"/>
    <w:rsid w:val="00AC6513"/>
    <w:rsid w:val="00AC6645"/>
    <w:rsid w:val="00AC6AD1"/>
    <w:rsid w:val="00AC6E15"/>
    <w:rsid w:val="00AC6F9A"/>
    <w:rsid w:val="00AC706E"/>
    <w:rsid w:val="00AC7142"/>
    <w:rsid w:val="00AC77D3"/>
    <w:rsid w:val="00AC78E6"/>
    <w:rsid w:val="00AD037B"/>
    <w:rsid w:val="00AD102F"/>
    <w:rsid w:val="00AD12E8"/>
    <w:rsid w:val="00AD151B"/>
    <w:rsid w:val="00AD193B"/>
    <w:rsid w:val="00AD1AA3"/>
    <w:rsid w:val="00AD1B13"/>
    <w:rsid w:val="00AD20DF"/>
    <w:rsid w:val="00AD2296"/>
    <w:rsid w:val="00AD2B5A"/>
    <w:rsid w:val="00AD2DD8"/>
    <w:rsid w:val="00AD3D58"/>
    <w:rsid w:val="00AD3FD1"/>
    <w:rsid w:val="00AD40C5"/>
    <w:rsid w:val="00AD47D8"/>
    <w:rsid w:val="00AD4D82"/>
    <w:rsid w:val="00AD4DBE"/>
    <w:rsid w:val="00AD519B"/>
    <w:rsid w:val="00AD5294"/>
    <w:rsid w:val="00AD56E2"/>
    <w:rsid w:val="00AD5890"/>
    <w:rsid w:val="00AD5A9D"/>
    <w:rsid w:val="00AD5BC5"/>
    <w:rsid w:val="00AD5D74"/>
    <w:rsid w:val="00AD5DB8"/>
    <w:rsid w:val="00AD6196"/>
    <w:rsid w:val="00AD63D0"/>
    <w:rsid w:val="00AD677C"/>
    <w:rsid w:val="00AD688F"/>
    <w:rsid w:val="00AD693C"/>
    <w:rsid w:val="00AD69F4"/>
    <w:rsid w:val="00AD6E13"/>
    <w:rsid w:val="00AD76CA"/>
    <w:rsid w:val="00AD76FC"/>
    <w:rsid w:val="00AD7E95"/>
    <w:rsid w:val="00AD7EEC"/>
    <w:rsid w:val="00AE01EC"/>
    <w:rsid w:val="00AE065C"/>
    <w:rsid w:val="00AE0CC9"/>
    <w:rsid w:val="00AE108C"/>
    <w:rsid w:val="00AE1B40"/>
    <w:rsid w:val="00AE1C9F"/>
    <w:rsid w:val="00AE2327"/>
    <w:rsid w:val="00AE2348"/>
    <w:rsid w:val="00AE2715"/>
    <w:rsid w:val="00AE2760"/>
    <w:rsid w:val="00AE2BEE"/>
    <w:rsid w:val="00AE2E18"/>
    <w:rsid w:val="00AE3873"/>
    <w:rsid w:val="00AE3D24"/>
    <w:rsid w:val="00AE3F2A"/>
    <w:rsid w:val="00AE4417"/>
    <w:rsid w:val="00AE4421"/>
    <w:rsid w:val="00AE4CD6"/>
    <w:rsid w:val="00AE51B8"/>
    <w:rsid w:val="00AE5355"/>
    <w:rsid w:val="00AE5573"/>
    <w:rsid w:val="00AE569D"/>
    <w:rsid w:val="00AE572F"/>
    <w:rsid w:val="00AE577A"/>
    <w:rsid w:val="00AE5C4E"/>
    <w:rsid w:val="00AE5FD1"/>
    <w:rsid w:val="00AE67EC"/>
    <w:rsid w:val="00AE6B4A"/>
    <w:rsid w:val="00AE6BD2"/>
    <w:rsid w:val="00AE7DDA"/>
    <w:rsid w:val="00AE7F8F"/>
    <w:rsid w:val="00AF02AA"/>
    <w:rsid w:val="00AF034F"/>
    <w:rsid w:val="00AF0CE7"/>
    <w:rsid w:val="00AF0F34"/>
    <w:rsid w:val="00AF13F9"/>
    <w:rsid w:val="00AF146F"/>
    <w:rsid w:val="00AF162E"/>
    <w:rsid w:val="00AF1889"/>
    <w:rsid w:val="00AF1CD2"/>
    <w:rsid w:val="00AF1DF5"/>
    <w:rsid w:val="00AF1E7A"/>
    <w:rsid w:val="00AF1F91"/>
    <w:rsid w:val="00AF2437"/>
    <w:rsid w:val="00AF2A92"/>
    <w:rsid w:val="00AF2AC4"/>
    <w:rsid w:val="00AF2F71"/>
    <w:rsid w:val="00AF3116"/>
    <w:rsid w:val="00AF3479"/>
    <w:rsid w:val="00AF3CA2"/>
    <w:rsid w:val="00AF3EFE"/>
    <w:rsid w:val="00AF4007"/>
    <w:rsid w:val="00AF406E"/>
    <w:rsid w:val="00AF4232"/>
    <w:rsid w:val="00AF4274"/>
    <w:rsid w:val="00AF551A"/>
    <w:rsid w:val="00AF5550"/>
    <w:rsid w:val="00AF5755"/>
    <w:rsid w:val="00AF5B68"/>
    <w:rsid w:val="00AF5E48"/>
    <w:rsid w:val="00AF714C"/>
    <w:rsid w:val="00AF788F"/>
    <w:rsid w:val="00AF795C"/>
    <w:rsid w:val="00AF7F51"/>
    <w:rsid w:val="00B00134"/>
    <w:rsid w:val="00B002F3"/>
    <w:rsid w:val="00B01300"/>
    <w:rsid w:val="00B0199F"/>
    <w:rsid w:val="00B01C90"/>
    <w:rsid w:val="00B01D31"/>
    <w:rsid w:val="00B01F1F"/>
    <w:rsid w:val="00B02021"/>
    <w:rsid w:val="00B02311"/>
    <w:rsid w:val="00B0281D"/>
    <w:rsid w:val="00B02BC3"/>
    <w:rsid w:val="00B02E35"/>
    <w:rsid w:val="00B02F5B"/>
    <w:rsid w:val="00B033E7"/>
    <w:rsid w:val="00B0344E"/>
    <w:rsid w:val="00B03B8C"/>
    <w:rsid w:val="00B03C88"/>
    <w:rsid w:val="00B04115"/>
    <w:rsid w:val="00B04237"/>
    <w:rsid w:val="00B04421"/>
    <w:rsid w:val="00B045B4"/>
    <w:rsid w:val="00B046B4"/>
    <w:rsid w:val="00B04A7A"/>
    <w:rsid w:val="00B04EFB"/>
    <w:rsid w:val="00B04FF9"/>
    <w:rsid w:val="00B0539B"/>
    <w:rsid w:val="00B05577"/>
    <w:rsid w:val="00B059DA"/>
    <w:rsid w:val="00B059F7"/>
    <w:rsid w:val="00B05C9D"/>
    <w:rsid w:val="00B05DB5"/>
    <w:rsid w:val="00B06D49"/>
    <w:rsid w:val="00B06F4A"/>
    <w:rsid w:val="00B07261"/>
    <w:rsid w:val="00B07467"/>
    <w:rsid w:val="00B07B4C"/>
    <w:rsid w:val="00B10427"/>
    <w:rsid w:val="00B11D3F"/>
    <w:rsid w:val="00B126F7"/>
    <w:rsid w:val="00B12C7D"/>
    <w:rsid w:val="00B140CE"/>
    <w:rsid w:val="00B143A4"/>
    <w:rsid w:val="00B14550"/>
    <w:rsid w:val="00B147C3"/>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CE"/>
    <w:rsid w:val="00B17CF4"/>
    <w:rsid w:val="00B17DF6"/>
    <w:rsid w:val="00B17E7F"/>
    <w:rsid w:val="00B20BE0"/>
    <w:rsid w:val="00B21067"/>
    <w:rsid w:val="00B21262"/>
    <w:rsid w:val="00B21DA9"/>
    <w:rsid w:val="00B21F22"/>
    <w:rsid w:val="00B2228C"/>
    <w:rsid w:val="00B226C2"/>
    <w:rsid w:val="00B2270A"/>
    <w:rsid w:val="00B22DD8"/>
    <w:rsid w:val="00B233BE"/>
    <w:rsid w:val="00B233E6"/>
    <w:rsid w:val="00B23617"/>
    <w:rsid w:val="00B24C4A"/>
    <w:rsid w:val="00B25162"/>
    <w:rsid w:val="00B25426"/>
    <w:rsid w:val="00B25AA2"/>
    <w:rsid w:val="00B25B82"/>
    <w:rsid w:val="00B25C9D"/>
    <w:rsid w:val="00B25CEE"/>
    <w:rsid w:val="00B2612E"/>
    <w:rsid w:val="00B26427"/>
    <w:rsid w:val="00B267E8"/>
    <w:rsid w:val="00B27308"/>
    <w:rsid w:val="00B27352"/>
    <w:rsid w:val="00B2768F"/>
    <w:rsid w:val="00B27AFF"/>
    <w:rsid w:val="00B27DD6"/>
    <w:rsid w:val="00B304E2"/>
    <w:rsid w:val="00B30558"/>
    <w:rsid w:val="00B30861"/>
    <w:rsid w:val="00B311AF"/>
    <w:rsid w:val="00B31754"/>
    <w:rsid w:val="00B319C9"/>
    <w:rsid w:val="00B31FC9"/>
    <w:rsid w:val="00B32235"/>
    <w:rsid w:val="00B3260B"/>
    <w:rsid w:val="00B328A1"/>
    <w:rsid w:val="00B328B7"/>
    <w:rsid w:val="00B32AEA"/>
    <w:rsid w:val="00B330D9"/>
    <w:rsid w:val="00B3328F"/>
    <w:rsid w:val="00B3387E"/>
    <w:rsid w:val="00B3415C"/>
    <w:rsid w:val="00B347B3"/>
    <w:rsid w:val="00B34845"/>
    <w:rsid w:val="00B34EF4"/>
    <w:rsid w:val="00B351C7"/>
    <w:rsid w:val="00B35501"/>
    <w:rsid w:val="00B359AD"/>
    <w:rsid w:val="00B36710"/>
    <w:rsid w:val="00B3790F"/>
    <w:rsid w:val="00B37950"/>
    <w:rsid w:val="00B37B58"/>
    <w:rsid w:val="00B37E14"/>
    <w:rsid w:val="00B37F29"/>
    <w:rsid w:val="00B400DF"/>
    <w:rsid w:val="00B4013E"/>
    <w:rsid w:val="00B4026E"/>
    <w:rsid w:val="00B40AD8"/>
    <w:rsid w:val="00B40F37"/>
    <w:rsid w:val="00B4124B"/>
    <w:rsid w:val="00B41B04"/>
    <w:rsid w:val="00B41BD2"/>
    <w:rsid w:val="00B41C3B"/>
    <w:rsid w:val="00B41DFB"/>
    <w:rsid w:val="00B4203C"/>
    <w:rsid w:val="00B420BB"/>
    <w:rsid w:val="00B423C0"/>
    <w:rsid w:val="00B42BD9"/>
    <w:rsid w:val="00B4362D"/>
    <w:rsid w:val="00B43686"/>
    <w:rsid w:val="00B43B84"/>
    <w:rsid w:val="00B44269"/>
    <w:rsid w:val="00B448E8"/>
    <w:rsid w:val="00B44C49"/>
    <w:rsid w:val="00B44C79"/>
    <w:rsid w:val="00B44CC4"/>
    <w:rsid w:val="00B44DCD"/>
    <w:rsid w:val="00B44F4A"/>
    <w:rsid w:val="00B45A78"/>
    <w:rsid w:val="00B45A7C"/>
    <w:rsid w:val="00B45B16"/>
    <w:rsid w:val="00B45E14"/>
    <w:rsid w:val="00B46415"/>
    <w:rsid w:val="00B464AF"/>
    <w:rsid w:val="00B46A48"/>
    <w:rsid w:val="00B46BCE"/>
    <w:rsid w:val="00B46D5B"/>
    <w:rsid w:val="00B46F88"/>
    <w:rsid w:val="00B4705D"/>
    <w:rsid w:val="00B478D7"/>
    <w:rsid w:val="00B47BD8"/>
    <w:rsid w:val="00B47CEC"/>
    <w:rsid w:val="00B500CE"/>
    <w:rsid w:val="00B5026B"/>
    <w:rsid w:val="00B50380"/>
    <w:rsid w:val="00B51072"/>
    <w:rsid w:val="00B51305"/>
    <w:rsid w:val="00B5137F"/>
    <w:rsid w:val="00B51BE5"/>
    <w:rsid w:val="00B51DE9"/>
    <w:rsid w:val="00B51E5E"/>
    <w:rsid w:val="00B51F48"/>
    <w:rsid w:val="00B520BD"/>
    <w:rsid w:val="00B522B8"/>
    <w:rsid w:val="00B524B6"/>
    <w:rsid w:val="00B5287C"/>
    <w:rsid w:val="00B52A45"/>
    <w:rsid w:val="00B52C93"/>
    <w:rsid w:val="00B52F7A"/>
    <w:rsid w:val="00B52FE5"/>
    <w:rsid w:val="00B53BF7"/>
    <w:rsid w:val="00B53EBD"/>
    <w:rsid w:val="00B5401D"/>
    <w:rsid w:val="00B54024"/>
    <w:rsid w:val="00B54151"/>
    <w:rsid w:val="00B54287"/>
    <w:rsid w:val="00B5444F"/>
    <w:rsid w:val="00B547B3"/>
    <w:rsid w:val="00B54C28"/>
    <w:rsid w:val="00B54E6E"/>
    <w:rsid w:val="00B55D75"/>
    <w:rsid w:val="00B55DBF"/>
    <w:rsid w:val="00B56259"/>
    <w:rsid w:val="00B56B48"/>
    <w:rsid w:val="00B5719A"/>
    <w:rsid w:val="00B5728B"/>
    <w:rsid w:val="00B57479"/>
    <w:rsid w:val="00B57CE2"/>
    <w:rsid w:val="00B57CF0"/>
    <w:rsid w:val="00B57E79"/>
    <w:rsid w:val="00B57F84"/>
    <w:rsid w:val="00B57FEA"/>
    <w:rsid w:val="00B6061D"/>
    <w:rsid w:val="00B615B5"/>
    <w:rsid w:val="00B616D6"/>
    <w:rsid w:val="00B61842"/>
    <w:rsid w:val="00B61D8F"/>
    <w:rsid w:val="00B62153"/>
    <w:rsid w:val="00B62654"/>
    <w:rsid w:val="00B63089"/>
    <w:rsid w:val="00B63212"/>
    <w:rsid w:val="00B6390D"/>
    <w:rsid w:val="00B639B7"/>
    <w:rsid w:val="00B63ED8"/>
    <w:rsid w:val="00B641EB"/>
    <w:rsid w:val="00B6487A"/>
    <w:rsid w:val="00B64A51"/>
    <w:rsid w:val="00B64B92"/>
    <w:rsid w:val="00B64CDC"/>
    <w:rsid w:val="00B65003"/>
    <w:rsid w:val="00B653D9"/>
    <w:rsid w:val="00B654C1"/>
    <w:rsid w:val="00B655B4"/>
    <w:rsid w:val="00B66073"/>
    <w:rsid w:val="00B660B2"/>
    <w:rsid w:val="00B6640B"/>
    <w:rsid w:val="00B66643"/>
    <w:rsid w:val="00B66BCD"/>
    <w:rsid w:val="00B66C39"/>
    <w:rsid w:val="00B66F5D"/>
    <w:rsid w:val="00B6765D"/>
    <w:rsid w:val="00B6797E"/>
    <w:rsid w:val="00B679EC"/>
    <w:rsid w:val="00B67BA1"/>
    <w:rsid w:val="00B67DA1"/>
    <w:rsid w:val="00B67E7D"/>
    <w:rsid w:val="00B70411"/>
    <w:rsid w:val="00B7045F"/>
    <w:rsid w:val="00B705A4"/>
    <w:rsid w:val="00B70D13"/>
    <w:rsid w:val="00B70EF5"/>
    <w:rsid w:val="00B713B0"/>
    <w:rsid w:val="00B7171D"/>
    <w:rsid w:val="00B71782"/>
    <w:rsid w:val="00B71C22"/>
    <w:rsid w:val="00B71DE5"/>
    <w:rsid w:val="00B71FD7"/>
    <w:rsid w:val="00B721AF"/>
    <w:rsid w:val="00B72305"/>
    <w:rsid w:val="00B726B9"/>
    <w:rsid w:val="00B72994"/>
    <w:rsid w:val="00B72E37"/>
    <w:rsid w:val="00B72F3B"/>
    <w:rsid w:val="00B7326B"/>
    <w:rsid w:val="00B73A23"/>
    <w:rsid w:val="00B73A31"/>
    <w:rsid w:val="00B73A7F"/>
    <w:rsid w:val="00B73E86"/>
    <w:rsid w:val="00B740C1"/>
    <w:rsid w:val="00B742B6"/>
    <w:rsid w:val="00B743E6"/>
    <w:rsid w:val="00B7495C"/>
    <w:rsid w:val="00B74C1E"/>
    <w:rsid w:val="00B74FEC"/>
    <w:rsid w:val="00B750D9"/>
    <w:rsid w:val="00B7516E"/>
    <w:rsid w:val="00B7529B"/>
    <w:rsid w:val="00B75542"/>
    <w:rsid w:val="00B7591D"/>
    <w:rsid w:val="00B75959"/>
    <w:rsid w:val="00B75ACC"/>
    <w:rsid w:val="00B7607C"/>
    <w:rsid w:val="00B765D2"/>
    <w:rsid w:val="00B76CC6"/>
    <w:rsid w:val="00B77076"/>
    <w:rsid w:val="00B77108"/>
    <w:rsid w:val="00B77148"/>
    <w:rsid w:val="00B77319"/>
    <w:rsid w:val="00B774A4"/>
    <w:rsid w:val="00B77ABA"/>
    <w:rsid w:val="00B77B8C"/>
    <w:rsid w:val="00B77BEC"/>
    <w:rsid w:val="00B80502"/>
    <w:rsid w:val="00B80C34"/>
    <w:rsid w:val="00B80C36"/>
    <w:rsid w:val="00B80C45"/>
    <w:rsid w:val="00B80EBF"/>
    <w:rsid w:val="00B811A4"/>
    <w:rsid w:val="00B81580"/>
    <w:rsid w:val="00B817BF"/>
    <w:rsid w:val="00B81C84"/>
    <w:rsid w:val="00B81D4B"/>
    <w:rsid w:val="00B820EB"/>
    <w:rsid w:val="00B821C3"/>
    <w:rsid w:val="00B82202"/>
    <w:rsid w:val="00B82340"/>
    <w:rsid w:val="00B825EC"/>
    <w:rsid w:val="00B82A0F"/>
    <w:rsid w:val="00B82F96"/>
    <w:rsid w:val="00B82FEE"/>
    <w:rsid w:val="00B831C4"/>
    <w:rsid w:val="00B833A2"/>
    <w:rsid w:val="00B83402"/>
    <w:rsid w:val="00B8384A"/>
    <w:rsid w:val="00B839C8"/>
    <w:rsid w:val="00B83D14"/>
    <w:rsid w:val="00B83D8E"/>
    <w:rsid w:val="00B83DC2"/>
    <w:rsid w:val="00B84245"/>
    <w:rsid w:val="00B84360"/>
    <w:rsid w:val="00B84583"/>
    <w:rsid w:val="00B845B8"/>
    <w:rsid w:val="00B84659"/>
    <w:rsid w:val="00B8484F"/>
    <w:rsid w:val="00B84B45"/>
    <w:rsid w:val="00B850E1"/>
    <w:rsid w:val="00B8570C"/>
    <w:rsid w:val="00B858A7"/>
    <w:rsid w:val="00B85AA4"/>
    <w:rsid w:val="00B85BFB"/>
    <w:rsid w:val="00B85E43"/>
    <w:rsid w:val="00B85E58"/>
    <w:rsid w:val="00B863EE"/>
    <w:rsid w:val="00B868B1"/>
    <w:rsid w:val="00B86AA8"/>
    <w:rsid w:val="00B86B46"/>
    <w:rsid w:val="00B86E4C"/>
    <w:rsid w:val="00B87333"/>
    <w:rsid w:val="00B875AD"/>
    <w:rsid w:val="00B8777B"/>
    <w:rsid w:val="00B87F7D"/>
    <w:rsid w:val="00B90466"/>
    <w:rsid w:val="00B90C87"/>
    <w:rsid w:val="00B9114E"/>
    <w:rsid w:val="00B9131E"/>
    <w:rsid w:val="00B9133C"/>
    <w:rsid w:val="00B91D63"/>
    <w:rsid w:val="00B91E7C"/>
    <w:rsid w:val="00B920A3"/>
    <w:rsid w:val="00B922D1"/>
    <w:rsid w:val="00B92CC0"/>
    <w:rsid w:val="00B92F3A"/>
    <w:rsid w:val="00B930ED"/>
    <w:rsid w:val="00B931E1"/>
    <w:rsid w:val="00B93920"/>
    <w:rsid w:val="00B93952"/>
    <w:rsid w:val="00B93A00"/>
    <w:rsid w:val="00B93E2B"/>
    <w:rsid w:val="00B94232"/>
    <w:rsid w:val="00B94739"/>
    <w:rsid w:val="00B947B7"/>
    <w:rsid w:val="00B94D63"/>
    <w:rsid w:val="00B9511A"/>
    <w:rsid w:val="00B9521D"/>
    <w:rsid w:val="00B952C7"/>
    <w:rsid w:val="00B96484"/>
    <w:rsid w:val="00B967F4"/>
    <w:rsid w:val="00B96F3A"/>
    <w:rsid w:val="00B97448"/>
    <w:rsid w:val="00B9791E"/>
    <w:rsid w:val="00B9795C"/>
    <w:rsid w:val="00B97AB8"/>
    <w:rsid w:val="00BA0048"/>
    <w:rsid w:val="00BA0296"/>
    <w:rsid w:val="00BA0536"/>
    <w:rsid w:val="00BA0AB0"/>
    <w:rsid w:val="00BA0B9D"/>
    <w:rsid w:val="00BA0E2A"/>
    <w:rsid w:val="00BA0FCE"/>
    <w:rsid w:val="00BA179A"/>
    <w:rsid w:val="00BA1990"/>
    <w:rsid w:val="00BA1DB2"/>
    <w:rsid w:val="00BA1FFF"/>
    <w:rsid w:val="00BA218C"/>
    <w:rsid w:val="00BA289C"/>
    <w:rsid w:val="00BA2A50"/>
    <w:rsid w:val="00BA2D44"/>
    <w:rsid w:val="00BA307F"/>
    <w:rsid w:val="00BA3B30"/>
    <w:rsid w:val="00BA3B3F"/>
    <w:rsid w:val="00BA3C1A"/>
    <w:rsid w:val="00BA3F93"/>
    <w:rsid w:val="00BA49ED"/>
    <w:rsid w:val="00BA4BFF"/>
    <w:rsid w:val="00BA4C89"/>
    <w:rsid w:val="00BA5444"/>
    <w:rsid w:val="00BA54B5"/>
    <w:rsid w:val="00BA5890"/>
    <w:rsid w:val="00BA5CF6"/>
    <w:rsid w:val="00BA6144"/>
    <w:rsid w:val="00BA6887"/>
    <w:rsid w:val="00BA6C9E"/>
    <w:rsid w:val="00BA6D32"/>
    <w:rsid w:val="00BA6EF7"/>
    <w:rsid w:val="00BA6F01"/>
    <w:rsid w:val="00BA7A72"/>
    <w:rsid w:val="00BB0521"/>
    <w:rsid w:val="00BB077B"/>
    <w:rsid w:val="00BB089A"/>
    <w:rsid w:val="00BB092C"/>
    <w:rsid w:val="00BB0995"/>
    <w:rsid w:val="00BB0B44"/>
    <w:rsid w:val="00BB0DF2"/>
    <w:rsid w:val="00BB0FF0"/>
    <w:rsid w:val="00BB13AB"/>
    <w:rsid w:val="00BB200E"/>
    <w:rsid w:val="00BB3075"/>
    <w:rsid w:val="00BB3146"/>
    <w:rsid w:val="00BB3232"/>
    <w:rsid w:val="00BB34E9"/>
    <w:rsid w:val="00BB37A1"/>
    <w:rsid w:val="00BB3E9F"/>
    <w:rsid w:val="00BB4205"/>
    <w:rsid w:val="00BB42FE"/>
    <w:rsid w:val="00BB45F0"/>
    <w:rsid w:val="00BB4639"/>
    <w:rsid w:val="00BB4DB9"/>
    <w:rsid w:val="00BB505A"/>
    <w:rsid w:val="00BB5AC0"/>
    <w:rsid w:val="00BB5DE0"/>
    <w:rsid w:val="00BB600E"/>
    <w:rsid w:val="00BB639C"/>
    <w:rsid w:val="00BB63C6"/>
    <w:rsid w:val="00BB64AD"/>
    <w:rsid w:val="00BB659C"/>
    <w:rsid w:val="00BB6697"/>
    <w:rsid w:val="00BB67AC"/>
    <w:rsid w:val="00BB6985"/>
    <w:rsid w:val="00BB7A0B"/>
    <w:rsid w:val="00BB7C26"/>
    <w:rsid w:val="00BC0091"/>
    <w:rsid w:val="00BC0306"/>
    <w:rsid w:val="00BC0312"/>
    <w:rsid w:val="00BC0B50"/>
    <w:rsid w:val="00BC0CF7"/>
    <w:rsid w:val="00BC0EC4"/>
    <w:rsid w:val="00BC1110"/>
    <w:rsid w:val="00BC1A46"/>
    <w:rsid w:val="00BC2930"/>
    <w:rsid w:val="00BC2B8B"/>
    <w:rsid w:val="00BC2BC7"/>
    <w:rsid w:val="00BC300F"/>
    <w:rsid w:val="00BC37C0"/>
    <w:rsid w:val="00BC4149"/>
    <w:rsid w:val="00BC429F"/>
    <w:rsid w:val="00BC44A5"/>
    <w:rsid w:val="00BC4576"/>
    <w:rsid w:val="00BC46B5"/>
    <w:rsid w:val="00BC4EF6"/>
    <w:rsid w:val="00BC5092"/>
    <w:rsid w:val="00BC5493"/>
    <w:rsid w:val="00BC597A"/>
    <w:rsid w:val="00BC6D07"/>
    <w:rsid w:val="00BC6D53"/>
    <w:rsid w:val="00BC7127"/>
    <w:rsid w:val="00BC72BA"/>
    <w:rsid w:val="00BC73BE"/>
    <w:rsid w:val="00BC759A"/>
    <w:rsid w:val="00BC78EC"/>
    <w:rsid w:val="00BC7A07"/>
    <w:rsid w:val="00BC7D1D"/>
    <w:rsid w:val="00BC7D56"/>
    <w:rsid w:val="00BD024A"/>
    <w:rsid w:val="00BD06C7"/>
    <w:rsid w:val="00BD09B8"/>
    <w:rsid w:val="00BD0FE7"/>
    <w:rsid w:val="00BD1216"/>
    <w:rsid w:val="00BD1570"/>
    <w:rsid w:val="00BD1E53"/>
    <w:rsid w:val="00BD2142"/>
    <w:rsid w:val="00BD2270"/>
    <w:rsid w:val="00BD23F5"/>
    <w:rsid w:val="00BD2873"/>
    <w:rsid w:val="00BD2892"/>
    <w:rsid w:val="00BD2B77"/>
    <w:rsid w:val="00BD2C79"/>
    <w:rsid w:val="00BD3538"/>
    <w:rsid w:val="00BD3675"/>
    <w:rsid w:val="00BD3729"/>
    <w:rsid w:val="00BD3A1C"/>
    <w:rsid w:val="00BD4730"/>
    <w:rsid w:val="00BD485E"/>
    <w:rsid w:val="00BD4C06"/>
    <w:rsid w:val="00BD534F"/>
    <w:rsid w:val="00BD5491"/>
    <w:rsid w:val="00BD562C"/>
    <w:rsid w:val="00BD56C8"/>
    <w:rsid w:val="00BD56D1"/>
    <w:rsid w:val="00BD57D3"/>
    <w:rsid w:val="00BD6F70"/>
    <w:rsid w:val="00BD748C"/>
    <w:rsid w:val="00BD75A8"/>
    <w:rsid w:val="00BD782D"/>
    <w:rsid w:val="00BD7876"/>
    <w:rsid w:val="00BD7995"/>
    <w:rsid w:val="00BD7A00"/>
    <w:rsid w:val="00BD7C53"/>
    <w:rsid w:val="00BE0084"/>
    <w:rsid w:val="00BE04D3"/>
    <w:rsid w:val="00BE0B5E"/>
    <w:rsid w:val="00BE0E48"/>
    <w:rsid w:val="00BE103E"/>
    <w:rsid w:val="00BE171D"/>
    <w:rsid w:val="00BE1CD9"/>
    <w:rsid w:val="00BE1D6E"/>
    <w:rsid w:val="00BE22CC"/>
    <w:rsid w:val="00BE2759"/>
    <w:rsid w:val="00BE2AA4"/>
    <w:rsid w:val="00BE2EDE"/>
    <w:rsid w:val="00BE3091"/>
    <w:rsid w:val="00BE33C6"/>
    <w:rsid w:val="00BE362C"/>
    <w:rsid w:val="00BE364C"/>
    <w:rsid w:val="00BE38AA"/>
    <w:rsid w:val="00BE3F1E"/>
    <w:rsid w:val="00BE425B"/>
    <w:rsid w:val="00BE4347"/>
    <w:rsid w:val="00BE460B"/>
    <w:rsid w:val="00BE4740"/>
    <w:rsid w:val="00BE4E64"/>
    <w:rsid w:val="00BE50A0"/>
    <w:rsid w:val="00BE5AA2"/>
    <w:rsid w:val="00BE5AF0"/>
    <w:rsid w:val="00BE656F"/>
    <w:rsid w:val="00BE67C2"/>
    <w:rsid w:val="00BE68EB"/>
    <w:rsid w:val="00BE6FE8"/>
    <w:rsid w:val="00BE73D1"/>
    <w:rsid w:val="00BE78E3"/>
    <w:rsid w:val="00BE791D"/>
    <w:rsid w:val="00BE793C"/>
    <w:rsid w:val="00BE7AA6"/>
    <w:rsid w:val="00BE7FA3"/>
    <w:rsid w:val="00BF00C8"/>
    <w:rsid w:val="00BF0435"/>
    <w:rsid w:val="00BF04CD"/>
    <w:rsid w:val="00BF0B5E"/>
    <w:rsid w:val="00BF0B91"/>
    <w:rsid w:val="00BF0F57"/>
    <w:rsid w:val="00BF1182"/>
    <w:rsid w:val="00BF1502"/>
    <w:rsid w:val="00BF1F0C"/>
    <w:rsid w:val="00BF2197"/>
    <w:rsid w:val="00BF2334"/>
    <w:rsid w:val="00BF2842"/>
    <w:rsid w:val="00BF2925"/>
    <w:rsid w:val="00BF349C"/>
    <w:rsid w:val="00BF3E21"/>
    <w:rsid w:val="00BF3EEF"/>
    <w:rsid w:val="00BF3EF6"/>
    <w:rsid w:val="00BF44E8"/>
    <w:rsid w:val="00BF45D7"/>
    <w:rsid w:val="00BF464C"/>
    <w:rsid w:val="00BF4852"/>
    <w:rsid w:val="00BF4903"/>
    <w:rsid w:val="00BF4AA1"/>
    <w:rsid w:val="00BF4AEF"/>
    <w:rsid w:val="00BF50E0"/>
    <w:rsid w:val="00BF5C59"/>
    <w:rsid w:val="00BF5F44"/>
    <w:rsid w:val="00BF603B"/>
    <w:rsid w:val="00BF6A77"/>
    <w:rsid w:val="00BF6E64"/>
    <w:rsid w:val="00BF70C1"/>
    <w:rsid w:val="00BF7197"/>
    <w:rsid w:val="00BF72A8"/>
    <w:rsid w:val="00BF72CB"/>
    <w:rsid w:val="00BF7A62"/>
    <w:rsid w:val="00BF7DA5"/>
    <w:rsid w:val="00C0042E"/>
    <w:rsid w:val="00C007AB"/>
    <w:rsid w:val="00C00FEE"/>
    <w:rsid w:val="00C016CC"/>
    <w:rsid w:val="00C017AE"/>
    <w:rsid w:val="00C021DE"/>
    <w:rsid w:val="00C02379"/>
    <w:rsid w:val="00C023DA"/>
    <w:rsid w:val="00C0262D"/>
    <w:rsid w:val="00C0290E"/>
    <w:rsid w:val="00C02C88"/>
    <w:rsid w:val="00C02FC8"/>
    <w:rsid w:val="00C0389F"/>
    <w:rsid w:val="00C0407D"/>
    <w:rsid w:val="00C045C1"/>
    <w:rsid w:val="00C045C9"/>
    <w:rsid w:val="00C04A89"/>
    <w:rsid w:val="00C04C22"/>
    <w:rsid w:val="00C04C98"/>
    <w:rsid w:val="00C05477"/>
    <w:rsid w:val="00C05573"/>
    <w:rsid w:val="00C05661"/>
    <w:rsid w:val="00C05758"/>
    <w:rsid w:val="00C05C0E"/>
    <w:rsid w:val="00C06074"/>
    <w:rsid w:val="00C060E8"/>
    <w:rsid w:val="00C06160"/>
    <w:rsid w:val="00C06543"/>
    <w:rsid w:val="00C06B28"/>
    <w:rsid w:val="00C06D84"/>
    <w:rsid w:val="00C06E43"/>
    <w:rsid w:val="00C07133"/>
    <w:rsid w:val="00C0790D"/>
    <w:rsid w:val="00C07D73"/>
    <w:rsid w:val="00C10516"/>
    <w:rsid w:val="00C1059A"/>
    <w:rsid w:val="00C105B8"/>
    <w:rsid w:val="00C105CE"/>
    <w:rsid w:val="00C109CA"/>
    <w:rsid w:val="00C10C2D"/>
    <w:rsid w:val="00C11444"/>
    <w:rsid w:val="00C119EB"/>
    <w:rsid w:val="00C11BE5"/>
    <w:rsid w:val="00C11C72"/>
    <w:rsid w:val="00C11F39"/>
    <w:rsid w:val="00C1206E"/>
    <w:rsid w:val="00C12134"/>
    <w:rsid w:val="00C123DD"/>
    <w:rsid w:val="00C1240F"/>
    <w:rsid w:val="00C12A41"/>
    <w:rsid w:val="00C12F78"/>
    <w:rsid w:val="00C13016"/>
    <w:rsid w:val="00C13236"/>
    <w:rsid w:val="00C1347E"/>
    <w:rsid w:val="00C1357E"/>
    <w:rsid w:val="00C139F1"/>
    <w:rsid w:val="00C13F37"/>
    <w:rsid w:val="00C1429E"/>
    <w:rsid w:val="00C1443F"/>
    <w:rsid w:val="00C1495C"/>
    <w:rsid w:val="00C14D22"/>
    <w:rsid w:val="00C15267"/>
    <w:rsid w:val="00C15596"/>
    <w:rsid w:val="00C156FE"/>
    <w:rsid w:val="00C1583F"/>
    <w:rsid w:val="00C16260"/>
    <w:rsid w:val="00C1672E"/>
    <w:rsid w:val="00C170B1"/>
    <w:rsid w:val="00C171E0"/>
    <w:rsid w:val="00C171FE"/>
    <w:rsid w:val="00C172D3"/>
    <w:rsid w:val="00C172E5"/>
    <w:rsid w:val="00C174F0"/>
    <w:rsid w:val="00C176ED"/>
    <w:rsid w:val="00C17DB5"/>
    <w:rsid w:val="00C17E0A"/>
    <w:rsid w:val="00C200BD"/>
    <w:rsid w:val="00C20128"/>
    <w:rsid w:val="00C210C0"/>
    <w:rsid w:val="00C22027"/>
    <w:rsid w:val="00C22E1D"/>
    <w:rsid w:val="00C23021"/>
    <w:rsid w:val="00C233A9"/>
    <w:rsid w:val="00C238AC"/>
    <w:rsid w:val="00C24356"/>
    <w:rsid w:val="00C24B43"/>
    <w:rsid w:val="00C24B97"/>
    <w:rsid w:val="00C255E7"/>
    <w:rsid w:val="00C258A1"/>
    <w:rsid w:val="00C25AAF"/>
    <w:rsid w:val="00C25CA1"/>
    <w:rsid w:val="00C25DA7"/>
    <w:rsid w:val="00C25EA9"/>
    <w:rsid w:val="00C26B8F"/>
    <w:rsid w:val="00C26EE6"/>
    <w:rsid w:val="00C26F45"/>
    <w:rsid w:val="00C27311"/>
    <w:rsid w:val="00C27317"/>
    <w:rsid w:val="00C27542"/>
    <w:rsid w:val="00C27BBA"/>
    <w:rsid w:val="00C27FE7"/>
    <w:rsid w:val="00C30211"/>
    <w:rsid w:val="00C30B0F"/>
    <w:rsid w:val="00C30D32"/>
    <w:rsid w:val="00C30DF3"/>
    <w:rsid w:val="00C30F98"/>
    <w:rsid w:val="00C3135C"/>
    <w:rsid w:val="00C31B32"/>
    <w:rsid w:val="00C32757"/>
    <w:rsid w:val="00C32781"/>
    <w:rsid w:val="00C327FD"/>
    <w:rsid w:val="00C32B00"/>
    <w:rsid w:val="00C32FD1"/>
    <w:rsid w:val="00C32FF8"/>
    <w:rsid w:val="00C33185"/>
    <w:rsid w:val="00C332A3"/>
    <w:rsid w:val="00C33526"/>
    <w:rsid w:val="00C335DF"/>
    <w:rsid w:val="00C33699"/>
    <w:rsid w:val="00C33E0C"/>
    <w:rsid w:val="00C33EA3"/>
    <w:rsid w:val="00C34C23"/>
    <w:rsid w:val="00C355F6"/>
    <w:rsid w:val="00C35BFE"/>
    <w:rsid w:val="00C36356"/>
    <w:rsid w:val="00C369B5"/>
    <w:rsid w:val="00C36DC0"/>
    <w:rsid w:val="00C376BD"/>
    <w:rsid w:val="00C37AFE"/>
    <w:rsid w:val="00C37D8D"/>
    <w:rsid w:val="00C37EB2"/>
    <w:rsid w:val="00C37F5A"/>
    <w:rsid w:val="00C40159"/>
    <w:rsid w:val="00C401B2"/>
    <w:rsid w:val="00C406F3"/>
    <w:rsid w:val="00C407D1"/>
    <w:rsid w:val="00C410B6"/>
    <w:rsid w:val="00C4119D"/>
    <w:rsid w:val="00C4122A"/>
    <w:rsid w:val="00C41F98"/>
    <w:rsid w:val="00C4201E"/>
    <w:rsid w:val="00C42A5B"/>
    <w:rsid w:val="00C42A9F"/>
    <w:rsid w:val="00C42B8C"/>
    <w:rsid w:val="00C42C21"/>
    <w:rsid w:val="00C42F72"/>
    <w:rsid w:val="00C43112"/>
    <w:rsid w:val="00C432A4"/>
    <w:rsid w:val="00C43CE6"/>
    <w:rsid w:val="00C44863"/>
    <w:rsid w:val="00C44CEC"/>
    <w:rsid w:val="00C4512F"/>
    <w:rsid w:val="00C45201"/>
    <w:rsid w:val="00C4545D"/>
    <w:rsid w:val="00C45896"/>
    <w:rsid w:val="00C459A8"/>
    <w:rsid w:val="00C45A3B"/>
    <w:rsid w:val="00C45B1A"/>
    <w:rsid w:val="00C46280"/>
    <w:rsid w:val="00C46289"/>
    <w:rsid w:val="00C46532"/>
    <w:rsid w:val="00C466E3"/>
    <w:rsid w:val="00C467A0"/>
    <w:rsid w:val="00C46879"/>
    <w:rsid w:val="00C469D5"/>
    <w:rsid w:val="00C46F8D"/>
    <w:rsid w:val="00C471B1"/>
    <w:rsid w:val="00C47424"/>
    <w:rsid w:val="00C47D02"/>
    <w:rsid w:val="00C50162"/>
    <w:rsid w:val="00C50236"/>
    <w:rsid w:val="00C508FC"/>
    <w:rsid w:val="00C5106A"/>
    <w:rsid w:val="00C519DF"/>
    <w:rsid w:val="00C51AF1"/>
    <w:rsid w:val="00C51D12"/>
    <w:rsid w:val="00C51DEE"/>
    <w:rsid w:val="00C521E3"/>
    <w:rsid w:val="00C52422"/>
    <w:rsid w:val="00C52776"/>
    <w:rsid w:val="00C527F4"/>
    <w:rsid w:val="00C53215"/>
    <w:rsid w:val="00C53418"/>
    <w:rsid w:val="00C53C60"/>
    <w:rsid w:val="00C54127"/>
    <w:rsid w:val="00C543BD"/>
    <w:rsid w:val="00C54422"/>
    <w:rsid w:val="00C548D8"/>
    <w:rsid w:val="00C54A56"/>
    <w:rsid w:val="00C54B44"/>
    <w:rsid w:val="00C54B8C"/>
    <w:rsid w:val="00C54E5E"/>
    <w:rsid w:val="00C550FC"/>
    <w:rsid w:val="00C552FF"/>
    <w:rsid w:val="00C558D2"/>
    <w:rsid w:val="00C558E9"/>
    <w:rsid w:val="00C56216"/>
    <w:rsid w:val="00C567F2"/>
    <w:rsid w:val="00C56CEC"/>
    <w:rsid w:val="00C56CF1"/>
    <w:rsid w:val="00C56D81"/>
    <w:rsid w:val="00C56E5E"/>
    <w:rsid w:val="00C56E86"/>
    <w:rsid w:val="00C56FC0"/>
    <w:rsid w:val="00C57293"/>
    <w:rsid w:val="00C575C0"/>
    <w:rsid w:val="00C60101"/>
    <w:rsid w:val="00C60C38"/>
    <w:rsid w:val="00C6113E"/>
    <w:rsid w:val="00C61251"/>
    <w:rsid w:val="00C61390"/>
    <w:rsid w:val="00C6145C"/>
    <w:rsid w:val="00C6186F"/>
    <w:rsid w:val="00C61876"/>
    <w:rsid w:val="00C61936"/>
    <w:rsid w:val="00C61956"/>
    <w:rsid w:val="00C61A15"/>
    <w:rsid w:val="00C61A9C"/>
    <w:rsid w:val="00C61E82"/>
    <w:rsid w:val="00C6209C"/>
    <w:rsid w:val="00C622D5"/>
    <w:rsid w:val="00C6249C"/>
    <w:rsid w:val="00C62536"/>
    <w:rsid w:val="00C625D4"/>
    <w:rsid w:val="00C62A62"/>
    <w:rsid w:val="00C62D6E"/>
    <w:rsid w:val="00C62E57"/>
    <w:rsid w:val="00C62EE4"/>
    <w:rsid w:val="00C63945"/>
    <w:rsid w:val="00C64811"/>
    <w:rsid w:val="00C6499D"/>
    <w:rsid w:val="00C64B59"/>
    <w:rsid w:val="00C651FF"/>
    <w:rsid w:val="00C6529F"/>
    <w:rsid w:val="00C65D72"/>
    <w:rsid w:val="00C65F0E"/>
    <w:rsid w:val="00C65F4B"/>
    <w:rsid w:val="00C66202"/>
    <w:rsid w:val="00C664F5"/>
    <w:rsid w:val="00C664F9"/>
    <w:rsid w:val="00C6667B"/>
    <w:rsid w:val="00C6668E"/>
    <w:rsid w:val="00C667BC"/>
    <w:rsid w:val="00C66849"/>
    <w:rsid w:val="00C66FE0"/>
    <w:rsid w:val="00C675FB"/>
    <w:rsid w:val="00C67648"/>
    <w:rsid w:val="00C67C03"/>
    <w:rsid w:val="00C707F3"/>
    <w:rsid w:val="00C709A4"/>
    <w:rsid w:val="00C70C9D"/>
    <w:rsid w:val="00C70EA8"/>
    <w:rsid w:val="00C7107A"/>
    <w:rsid w:val="00C711D0"/>
    <w:rsid w:val="00C7145E"/>
    <w:rsid w:val="00C714EF"/>
    <w:rsid w:val="00C715F0"/>
    <w:rsid w:val="00C71714"/>
    <w:rsid w:val="00C717A1"/>
    <w:rsid w:val="00C71A95"/>
    <w:rsid w:val="00C72423"/>
    <w:rsid w:val="00C7256E"/>
    <w:rsid w:val="00C72910"/>
    <w:rsid w:val="00C72A55"/>
    <w:rsid w:val="00C72C1A"/>
    <w:rsid w:val="00C72DC0"/>
    <w:rsid w:val="00C73353"/>
    <w:rsid w:val="00C7355D"/>
    <w:rsid w:val="00C739B9"/>
    <w:rsid w:val="00C7441B"/>
    <w:rsid w:val="00C74B22"/>
    <w:rsid w:val="00C75319"/>
    <w:rsid w:val="00C7569E"/>
    <w:rsid w:val="00C7611A"/>
    <w:rsid w:val="00C7651D"/>
    <w:rsid w:val="00C776B6"/>
    <w:rsid w:val="00C77886"/>
    <w:rsid w:val="00C77C5F"/>
    <w:rsid w:val="00C80049"/>
    <w:rsid w:val="00C8016B"/>
    <w:rsid w:val="00C80521"/>
    <w:rsid w:val="00C807DD"/>
    <w:rsid w:val="00C80C3F"/>
    <w:rsid w:val="00C80C44"/>
    <w:rsid w:val="00C80D13"/>
    <w:rsid w:val="00C80FF8"/>
    <w:rsid w:val="00C8100A"/>
    <w:rsid w:val="00C810AB"/>
    <w:rsid w:val="00C818DA"/>
    <w:rsid w:val="00C81C86"/>
    <w:rsid w:val="00C81F08"/>
    <w:rsid w:val="00C8342C"/>
    <w:rsid w:val="00C84061"/>
    <w:rsid w:val="00C8432B"/>
    <w:rsid w:val="00C84509"/>
    <w:rsid w:val="00C845ED"/>
    <w:rsid w:val="00C84D90"/>
    <w:rsid w:val="00C850E1"/>
    <w:rsid w:val="00C8524F"/>
    <w:rsid w:val="00C85395"/>
    <w:rsid w:val="00C854AB"/>
    <w:rsid w:val="00C8608C"/>
    <w:rsid w:val="00C864A9"/>
    <w:rsid w:val="00C86543"/>
    <w:rsid w:val="00C86844"/>
    <w:rsid w:val="00C86B38"/>
    <w:rsid w:val="00C86BAC"/>
    <w:rsid w:val="00C874B4"/>
    <w:rsid w:val="00C8781B"/>
    <w:rsid w:val="00C87887"/>
    <w:rsid w:val="00C87E5D"/>
    <w:rsid w:val="00C902A2"/>
    <w:rsid w:val="00C90332"/>
    <w:rsid w:val="00C90583"/>
    <w:rsid w:val="00C906B5"/>
    <w:rsid w:val="00C90C3E"/>
    <w:rsid w:val="00C91C0F"/>
    <w:rsid w:val="00C920A2"/>
    <w:rsid w:val="00C924F0"/>
    <w:rsid w:val="00C924F2"/>
    <w:rsid w:val="00C9336F"/>
    <w:rsid w:val="00C9364E"/>
    <w:rsid w:val="00C93DFD"/>
    <w:rsid w:val="00C940F8"/>
    <w:rsid w:val="00C94172"/>
    <w:rsid w:val="00C945C7"/>
    <w:rsid w:val="00C94C1D"/>
    <w:rsid w:val="00C94CE6"/>
    <w:rsid w:val="00C94CF4"/>
    <w:rsid w:val="00C94D73"/>
    <w:rsid w:val="00C9568F"/>
    <w:rsid w:val="00C95940"/>
    <w:rsid w:val="00C95BB6"/>
    <w:rsid w:val="00C95DB1"/>
    <w:rsid w:val="00C95F1E"/>
    <w:rsid w:val="00C95F45"/>
    <w:rsid w:val="00C96836"/>
    <w:rsid w:val="00C969E0"/>
    <w:rsid w:val="00C96B5E"/>
    <w:rsid w:val="00C96C6A"/>
    <w:rsid w:val="00C96ECB"/>
    <w:rsid w:val="00C971B9"/>
    <w:rsid w:val="00C9721A"/>
    <w:rsid w:val="00C97552"/>
    <w:rsid w:val="00C97AE8"/>
    <w:rsid w:val="00CA00D2"/>
    <w:rsid w:val="00CA0349"/>
    <w:rsid w:val="00CA09CD"/>
    <w:rsid w:val="00CA0BB8"/>
    <w:rsid w:val="00CA0CF7"/>
    <w:rsid w:val="00CA1430"/>
    <w:rsid w:val="00CA1C2A"/>
    <w:rsid w:val="00CA1EB0"/>
    <w:rsid w:val="00CA2196"/>
    <w:rsid w:val="00CA2227"/>
    <w:rsid w:val="00CA2580"/>
    <w:rsid w:val="00CA2F00"/>
    <w:rsid w:val="00CA3381"/>
    <w:rsid w:val="00CA3469"/>
    <w:rsid w:val="00CA355C"/>
    <w:rsid w:val="00CA3669"/>
    <w:rsid w:val="00CA380B"/>
    <w:rsid w:val="00CA3E4C"/>
    <w:rsid w:val="00CA4181"/>
    <w:rsid w:val="00CA41E4"/>
    <w:rsid w:val="00CA44C2"/>
    <w:rsid w:val="00CA462B"/>
    <w:rsid w:val="00CA4DFF"/>
    <w:rsid w:val="00CA505D"/>
    <w:rsid w:val="00CA5188"/>
    <w:rsid w:val="00CA53BF"/>
    <w:rsid w:val="00CA5487"/>
    <w:rsid w:val="00CA5DEE"/>
    <w:rsid w:val="00CA6044"/>
    <w:rsid w:val="00CA7654"/>
    <w:rsid w:val="00CA7A16"/>
    <w:rsid w:val="00CA7A52"/>
    <w:rsid w:val="00CB02BC"/>
    <w:rsid w:val="00CB0327"/>
    <w:rsid w:val="00CB0A90"/>
    <w:rsid w:val="00CB1066"/>
    <w:rsid w:val="00CB15FD"/>
    <w:rsid w:val="00CB1C89"/>
    <w:rsid w:val="00CB2251"/>
    <w:rsid w:val="00CB2794"/>
    <w:rsid w:val="00CB2C7B"/>
    <w:rsid w:val="00CB3478"/>
    <w:rsid w:val="00CB370D"/>
    <w:rsid w:val="00CB3C74"/>
    <w:rsid w:val="00CB43BD"/>
    <w:rsid w:val="00CB4AE8"/>
    <w:rsid w:val="00CB4DDD"/>
    <w:rsid w:val="00CB4F0E"/>
    <w:rsid w:val="00CB4F9F"/>
    <w:rsid w:val="00CB5348"/>
    <w:rsid w:val="00CB5E7A"/>
    <w:rsid w:val="00CB6523"/>
    <w:rsid w:val="00CB6638"/>
    <w:rsid w:val="00CB68BD"/>
    <w:rsid w:val="00CB6E1D"/>
    <w:rsid w:val="00CB6F60"/>
    <w:rsid w:val="00CB7169"/>
    <w:rsid w:val="00CC013C"/>
    <w:rsid w:val="00CC0855"/>
    <w:rsid w:val="00CC0F02"/>
    <w:rsid w:val="00CC19FA"/>
    <w:rsid w:val="00CC1EFA"/>
    <w:rsid w:val="00CC2127"/>
    <w:rsid w:val="00CC2193"/>
    <w:rsid w:val="00CC2563"/>
    <w:rsid w:val="00CC2D1C"/>
    <w:rsid w:val="00CC3933"/>
    <w:rsid w:val="00CC3973"/>
    <w:rsid w:val="00CC3AE2"/>
    <w:rsid w:val="00CC3C4B"/>
    <w:rsid w:val="00CC3D6E"/>
    <w:rsid w:val="00CC3F6F"/>
    <w:rsid w:val="00CC4910"/>
    <w:rsid w:val="00CC4B8A"/>
    <w:rsid w:val="00CC4CD3"/>
    <w:rsid w:val="00CC510B"/>
    <w:rsid w:val="00CC53EF"/>
    <w:rsid w:val="00CC5486"/>
    <w:rsid w:val="00CC5F0E"/>
    <w:rsid w:val="00CC5F26"/>
    <w:rsid w:val="00CC64E7"/>
    <w:rsid w:val="00CC676D"/>
    <w:rsid w:val="00CC6901"/>
    <w:rsid w:val="00CC6A27"/>
    <w:rsid w:val="00CC6C05"/>
    <w:rsid w:val="00CC718A"/>
    <w:rsid w:val="00CC72CE"/>
    <w:rsid w:val="00CC76E3"/>
    <w:rsid w:val="00CC7A01"/>
    <w:rsid w:val="00CC7A5F"/>
    <w:rsid w:val="00CC7DEB"/>
    <w:rsid w:val="00CD025D"/>
    <w:rsid w:val="00CD07B8"/>
    <w:rsid w:val="00CD0932"/>
    <w:rsid w:val="00CD1359"/>
    <w:rsid w:val="00CD1708"/>
    <w:rsid w:val="00CD1892"/>
    <w:rsid w:val="00CD1F03"/>
    <w:rsid w:val="00CD200A"/>
    <w:rsid w:val="00CD256B"/>
    <w:rsid w:val="00CD2724"/>
    <w:rsid w:val="00CD27CC"/>
    <w:rsid w:val="00CD292E"/>
    <w:rsid w:val="00CD2F00"/>
    <w:rsid w:val="00CD2FE9"/>
    <w:rsid w:val="00CD336C"/>
    <w:rsid w:val="00CD4030"/>
    <w:rsid w:val="00CD419C"/>
    <w:rsid w:val="00CD461C"/>
    <w:rsid w:val="00CD4680"/>
    <w:rsid w:val="00CD4798"/>
    <w:rsid w:val="00CD49AC"/>
    <w:rsid w:val="00CD4ABF"/>
    <w:rsid w:val="00CD4B41"/>
    <w:rsid w:val="00CD4F4C"/>
    <w:rsid w:val="00CD5693"/>
    <w:rsid w:val="00CD5879"/>
    <w:rsid w:val="00CD5B28"/>
    <w:rsid w:val="00CD5F12"/>
    <w:rsid w:val="00CD6154"/>
    <w:rsid w:val="00CD620F"/>
    <w:rsid w:val="00CD6721"/>
    <w:rsid w:val="00CD69C8"/>
    <w:rsid w:val="00CD6AEC"/>
    <w:rsid w:val="00CD6B05"/>
    <w:rsid w:val="00CD6CFD"/>
    <w:rsid w:val="00CD6D0A"/>
    <w:rsid w:val="00CD7D57"/>
    <w:rsid w:val="00CD7F20"/>
    <w:rsid w:val="00CE1600"/>
    <w:rsid w:val="00CE1711"/>
    <w:rsid w:val="00CE1F6C"/>
    <w:rsid w:val="00CE279E"/>
    <w:rsid w:val="00CE28D6"/>
    <w:rsid w:val="00CE2A05"/>
    <w:rsid w:val="00CE2A56"/>
    <w:rsid w:val="00CE2E8F"/>
    <w:rsid w:val="00CE2F9B"/>
    <w:rsid w:val="00CE3331"/>
    <w:rsid w:val="00CE393F"/>
    <w:rsid w:val="00CE3A70"/>
    <w:rsid w:val="00CE3D31"/>
    <w:rsid w:val="00CE403B"/>
    <w:rsid w:val="00CE45BA"/>
    <w:rsid w:val="00CE4B2A"/>
    <w:rsid w:val="00CE53C4"/>
    <w:rsid w:val="00CE54E0"/>
    <w:rsid w:val="00CE54E1"/>
    <w:rsid w:val="00CE5782"/>
    <w:rsid w:val="00CE58FA"/>
    <w:rsid w:val="00CE59CD"/>
    <w:rsid w:val="00CE5F51"/>
    <w:rsid w:val="00CE5FDA"/>
    <w:rsid w:val="00CE66C8"/>
    <w:rsid w:val="00CE71BF"/>
    <w:rsid w:val="00CE76FA"/>
    <w:rsid w:val="00CE7847"/>
    <w:rsid w:val="00CE7889"/>
    <w:rsid w:val="00CE7EAC"/>
    <w:rsid w:val="00CF0047"/>
    <w:rsid w:val="00CF0303"/>
    <w:rsid w:val="00CF046D"/>
    <w:rsid w:val="00CF0675"/>
    <w:rsid w:val="00CF06B3"/>
    <w:rsid w:val="00CF09DA"/>
    <w:rsid w:val="00CF101F"/>
    <w:rsid w:val="00CF11BE"/>
    <w:rsid w:val="00CF1310"/>
    <w:rsid w:val="00CF14C3"/>
    <w:rsid w:val="00CF16F5"/>
    <w:rsid w:val="00CF1943"/>
    <w:rsid w:val="00CF2B2B"/>
    <w:rsid w:val="00CF2E90"/>
    <w:rsid w:val="00CF3030"/>
    <w:rsid w:val="00CF31DA"/>
    <w:rsid w:val="00CF3269"/>
    <w:rsid w:val="00CF3B2E"/>
    <w:rsid w:val="00CF42B4"/>
    <w:rsid w:val="00CF4384"/>
    <w:rsid w:val="00CF4478"/>
    <w:rsid w:val="00CF44F9"/>
    <w:rsid w:val="00CF4B33"/>
    <w:rsid w:val="00CF4BD5"/>
    <w:rsid w:val="00CF52D0"/>
    <w:rsid w:val="00CF56BC"/>
    <w:rsid w:val="00CF5DE2"/>
    <w:rsid w:val="00CF65F3"/>
    <w:rsid w:val="00CF6834"/>
    <w:rsid w:val="00CF6B59"/>
    <w:rsid w:val="00CF76FD"/>
    <w:rsid w:val="00CF7E2C"/>
    <w:rsid w:val="00D001C4"/>
    <w:rsid w:val="00D00228"/>
    <w:rsid w:val="00D0045E"/>
    <w:rsid w:val="00D00478"/>
    <w:rsid w:val="00D005C3"/>
    <w:rsid w:val="00D005E9"/>
    <w:rsid w:val="00D00911"/>
    <w:rsid w:val="00D00A78"/>
    <w:rsid w:val="00D01151"/>
    <w:rsid w:val="00D012B4"/>
    <w:rsid w:val="00D01470"/>
    <w:rsid w:val="00D01476"/>
    <w:rsid w:val="00D01627"/>
    <w:rsid w:val="00D01665"/>
    <w:rsid w:val="00D01C27"/>
    <w:rsid w:val="00D01FBD"/>
    <w:rsid w:val="00D02898"/>
    <w:rsid w:val="00D02A79"/>
    <w:rsid w:val="00D02C74"/>
    <w:rsid w:val="00D03C09"/>
    <w:rsid w:val="00D03D3D"/>
    <w:rsid w:val="00D0441E"/>
    <w:rsid w:val="00D046C3"/>
    <w:rsid w:val="00D04F5B"/>
    <w:rsid w:val="00D05AEF"/>
    <w:rsid w:val="00D05B72"/>
    <w:rsid w:val="00D06201"/>
    <w:rsid w:val="00D063AC"/>
    <w:rsid w:val="00D0645D"/>
    <w:rsid w:val="00D06746"/>
    <w:rsid w:val="00D06A78"/>
    <w:rsid w:val="00D06A91"/>
    <w:rsid w:val="00D06FC3"/>
    <w:rsid w:val="00D071B2"/>
    <w:rsid w:val="00D07561"/>
    <w:rsid w:val="00D07716"/>
    <w:rsid w:val="00D078F9"/>
    <w:rsid w:val="00D07DB4"/>
    <w:rsid w:val="00D07ED3"/>
    <w:rsid w:val="00D10258"/>
    <w:rsid w:val="00D104E0"/>
    <w:rsid w:val="00D10530"/>
    <w:rsid w:val="00D10771"/>
    <w:rsid w:val="00D10A24"/>
    <w:rsid w:val="00D10D1B"/>
    <w:rsid w:val="00D119CF"/>
    <w:rsid w:val="00D11B39"/>
    <w:rsid w:val="00D11C4E"/>
    <w:rsid w:val="00D11C84"/>
    <w:rsid w:val="00D11E8E"/>
    <w:rsid w:val="00D12059"/>
    <w:rsid w:val="00D1209D"/>
    <w:rsid w:val="00D125E5"/>
    <w:rsid w:val="00D12C2C"/>
    <w:rsid w:val="00D1308D"/>
    <w:rsid w:val="00D13632"/>
    <w:rsid w:val="00D137FD"/>
    <w:rsid w:val="00D1408D"/>
    <w:rsid w:val="00D14174"/>
    <w:rsid w:val="00D14239"/>
    <w:rsid w:val="00D148D4"/>
    <w:rsid w:val="00D14E0D"/>
    <w:rsid w:val="00D152B5"/>
    <w:rsid w:val="00D15D58"/>
    <w:rsid w:val="00D15F59"/>
    <w:rsid w:val="00D15FCB"/>
    <w:rsid w:val="00D165F4"/>
    <w:rsid w:val="00D16940"/>
    <w:rsid w:val="00D17393"/>
    <w:rsid w:val="00D178D3"/>
    <w:rsid w:val="00D17B48"/>
    <w:rsid w:val="00D202A8"/>
    <w:rsid w:val="00D206FC"/>
    <w:rsid w:val="00D2092D"/>
    <w:rsid w:val="00D20DE3"/>
    <w:rsid w:val="00D210C6"/>
    <w:rsid w:val="00D2125C"/>
    <w:rsid w:val="00D21845"/>
    <w:rsid w:val="00D21C64"/>
    <w:rsid w:val="00D21D1F"/>
    <w:rsid w:val="00D2248D"/>
    <w:rsid w:val="00D22F0C"/>
    <w:rsid w:val="00D23163"/>
    <w:rsid w:val="00D233FD"/>
    <w:rsid w:val="00D235D3"/>
    <w:rsid w:val="00D240BC"/>
    <w:rsid w:val="00D247B7"/>
    <w:rsid w:val="00D24ADA"/>
    <w:rsid w:val="00D2506C"/>
    <w:rsid w:val="00D250A0"/>
    <w:rsid w:val="00D2519E"/>
    <w:rsid w:val="00D25462"/>
    <w:rsid w:val="00D25B08"/>
    <w:rsid w:val="00D2611B"/>
    <w:rsid w:val="00D266C2"/>
    <w:rsid w:val="00D26AFB"/>
    <w:rsid w:val="00D26C56"/>
    <w:rsid w:val="00D26EB7"/>
    <w:rsid w:val="00D27032"/>
    <w:rsid w:val="00D276E8"/>
    <w:rsid w:val="00D2787E"/>
    <w:rsid w:val="00D27BB0"/>
    <w:rsid w:val="00D27D5D"/>
    <w:rsid w:val="00D302C2"/>
    <w:rsid w:val="00D3031D"/>
    <w:rsid w:val="00D30407"/>
    <w:rsid w:val="00D30A64"/>
    <w:rsid w:val="00D30C3C"/>
    <w:rsid w:val="00D30E08"/>
    <w:rsid w:val="00D31283"/>
    <w:rsid w:val="00D3141F"/>
    <w:rsid w:val="00D319FB"/>
    <w:rsid w:val="00D31DA6"/>
    <w:rsid w:val="00D32288"/>
    <w:rsid w:val="00D322AB"/>
    <w:rsid w:val="00D327E7"/>
    <w:rsid w:val="00D3288A"/>
    <w:rsid w:val="00D328E1"/>
    <w:rsid w:val="00D3299A"/>
    <w:rsid w:val="00D32D41"/>
    <w:rsid w:val="00D33234"/>
    <w:rsid w:val="00D336DB"/>
    <w:rsid w:val="00D339F2"/>
    <w:rsid w:val="00D33CE8"/>
    <w:rsid w:val="00D33E6C"/>
    <w:rsid w:val="00D34301"/>
    <w:rsid w:val="00D34338"/>
    <w:rsid w:val="00D3445E"/>
    <w:rsid w:val="00D3477B"/>
    <w:rsid w:val="00D34D52"/>
    <w:rsid w:val="00D35476"/>
    <w:rsid w:val="00D355E3"/>
    <w:rsid w:val="00D35BB7"/>
    <w:rsid w:val="00D35D08"/>
    <w:rsid w:val="00D360A8"/>
    <w:rsid w:val="00D3620E"/>
    <w:rsid w:val="00D36360"/>
    <w:rsid w:val="00D363BB"/>
    <w:rsid w:val="00D363DE"/>
    <w:rsid w:val="00D3653D"/>
    <w:rsid w:val="00D369DB"/>
    <w:rsid w:val="00D36E6C"/>
    <w:rsid w:val="00D371DF"/>
    <w:rsid w:val="00D37741"/>
    <w:rsid w:val="00D4011A"/>
    <w:rsid w:val="00D404CD"/>
    <w:rsid w:val="00D4101C"/>
    <w:rsid w:val="00D41218"/>
    <w:rsid w:val="00D414E8"/>
    <w:rsid w:val="00D41A09"/>
    <w:rsid w:val="00D41B6C"/>
    <w:rsid w:val="00D41B85"/>
    <w:rsid w:val="00D41EBD"/>
    <w:rsid w:val="00D42499"/>
    <w:rsid w:val="00D425CB"/>
    <w:rsid w:val="00D42F40"/>
    <w:rsid w:val="00D43162"/>
    <w:rsid w:val="00D4343B"/>
    <w:rsid w:val="00D43617"/>
    <w:rsid w:val="00D43652"/>
    <w:rsid w:val="00D436A4"/>
    <w:rsid w:val="00D43935"/>
    <w:rsid w:val="00D43AE4"/>
    <w:rsid w:val="00D43BA9"/>
    <w:rsid w:val="00D44056"/>
    <w:rsid w:val="00D440B4"/>
    <w:rsid w:val="00D44207"/>
    <w:rsid w:val="00D44948"/>
    <w:rsid w:val="00D449CA"/>
    <w:rsid w:val="00D44B87"/>
    <w:rsid w:val="00D44C71"/>
    <w:rsid w:val="00D45019"/>
    <w:rsid w:val="00D4522C"/>
    <w:rsid w:val="00D45595"/>
    <w:rsid w:val="00D455BA"/>
    <w:rsid w:val="00D4562D"/>
    <w:rsid w:val="00D45945"/>
    <w:rsid w:val="00D45ABC"/>
    <w:rsid w:val="00D45B0F"/>
    <w:rsid w:val="00D45B65"/>
    <w:rsid w:val="00D45F0D"/>
    <w:rsid w:val="00D461BC"/>
    <w:rsid w:val="00D46289"/>
    <w:rsid w:val="00D46743"/>
    <w:rsid w:val="00D46AA4"/>
    <w:rsid w:val="00D4761B"/>
    <w:rsid w:val="00D50682"/>
    <w:rsid w:val="00D50970"/>
    <w:rsid w:val="00D509DE"/>
    <w:rsid w:val="00D50A49"/>
    <w:rsid w:val="00D50B2C"/>
    <w:rsid w:val="00D51386"/>
    <w:rsid w:val="00D51749"/>
    <w:rsid w:val="00D5184E"/>
    <w:rsid w:val="00D51ABC"/>
    <w:rsid w:val="00D51E0B"/>
    <w:rsid w:val="00D522A8"/>
    <w:rsid w:val="00D52632"/>
    <w:rsid w:val="00D527B6"/>
    <w:rsid w:val="00D52987"/>
    <w:rsid w:val="00D52FE5"/>
    <w:rsid w:val="00D53410"/>
    <w:rsid w:val="00D53CDB"/>
    <w:rsid w:val="00D53DA3"/>
    <w:rsid w:val="00D53F1B"/>
    <w:rsid w:val="00D53F42"/>
    <w:rsid w:val="00D54136"/>
    <w:rsid w:val="00D54835"/>
    <w:rsid w:val="00D54BD4"/>
    <w:rsid w:val="00D54EDB"/>
    <w:rsid w:val="00D55064"/>
    <w:rsid w:val="00D550F9"/>
    <w:rsid w:val="00D55255"/>
    <w:rsid w:val="00D5539D"/>
    <w:rsid w:val="00D55C5F"/>
    <w:rsid w:val="00D55D06"/>
    <w:rsid w:val="00D56298"/>
    <w:rsid w:val="00D563A2"/>
    <w:rsid w:val="00D56892"/>
    <w:rsid w:val="00D577DF"/>
    <w:rsid w:val="00D57D66"/>
    <w:rsid w:val="00D607B7"/>
    <w:rsid w:val="00D60933"/>
    <w:rsid w:val="00D60AA7"/>
    <w:rsid w:val="00D60B38"/>
    <w:rsid w:val="00D60BAA"/>
    <w:rsid w:val="00D611E1"/>
    <w:rsid w:val="00D61350"/>
    <w:rsid w:val="00D61385"/>
    <w:rsid w:val="00D61640"/>
    <w:rsid w:val="00D61715"/>
    <w:rsid w:val="00D61788"/>
    <w:rsid w:val="00D61865"/>
    <w:rsid w:val="00D61896"/>
    <w:rsid w:val="00D61CBC"/>
    <w:rsid w:val="00D623A4"/>
    <w:rsid w:val="00D62C09"/>
    <w:rsid w:val="00D634CB"/>
    <w:rsid w:val="00D6374F"/>
    <w:rsid w:val="00D63FD6"/>
    <w:rsid w:val="00D6417B"/>
    <w:rsid w:val="00D641E6"/>
    <w:rsid w:val="00D6465C"/>
    <w:rsid w:val="00D64D84"/>
    <w:rsid w:val="00D651A9"/>
    <w:rsid w:val="00D65406"/>
    <w:rsid w:val="00D655AA"/>
    <w:rsid w:val="00D655D0"/>
    <w:rsid w:val="00D65A6E"/>
    <w:rsid w:val="00D65BDF"/>
    <w:rsid w:val="00D65C6C"/>
    <w:rsid w:val="00D6606D"/>
    <w:rsid w:val="00D667AD"/>
    <w:rsid w:val="00D66BE9"/>
    <w:rsid w:val="00D67045"/>
    <w:rsid w:val="00D6723F"/>
    <w:rsid w:val="00D672F0"/>
    <w:rsid w:val="00D6735C"/>
    <w:rsid w:val="00D67590"/>
    <w:rsid w:val="00D6786E"/>
    <w:rsid w:val="00D67ADD"/>
    <w:rsid w:val="00D67DE1"/>
    <w:rsid w:val="00D704CB"/>
    <w:rsid w:val="00D70853"/>
    <w:rsid w:val="00D708D0"/>
    <w:rsid w:val="00D70B3D"/>
    <w:rsid w:val="00D71401"/>
    <w:rsid w:val="00D71405"/>
    <w:rsid w:val="00D7147C"/>
    <w:rsid w:val="00D716C7"/>
    <w:rsid w:val="00D71990"/>
    <w:rsid w:val="00D71AAC"/>
    <w:rsid w:val="00D71AE5"/>
    <w:rsid w:val="00D71CBC"/>
    <w:rsid w:val="00D71DCE"/>
    <w:rsid w:val="00D72008"/>
    <w:rsid w:val="00D72256"/>
    <w:rsid w:val="00D72315"/>
    <w:rsid w:val="00D72533"/>
    <w:rsid w:val="00D726DC"/>
    <w:rsid w:val="00D72ABD"/>
    <w:rsid w:val="00D72BED"/>
    <w:rsid w:val="00D72C2C"/>
    <w:rsid w:val="00D732FE"/>
    <w:rsid w:val="00D73570"/>
    <w:rsid w:val="00D7418D"/>
    <w:rsid w:val="00D7442C"/>
    <w:rsid w:val="00D74834"/>
    <w:rsid w:val="00D74D17"/>
    <w:rsid w:val="00D74E3B"/>
    <w:rsid w:val="00D7502B"/>
    <w:rsid w:val="00D75292"/>
    <w:rsid w:val="00D7552B"/>
    <w:rsid w:val="00D75582"/>
    <w:rsid w:val="00D756ED"/>
    <w:rsid w:val="00D7589B"/>
    <w:rsid w:val="00D75AC2"/>
    <w:rsid w:val="00D76116"/>
    <w:rsid w:val="00D76432"/>
    <w:rsid w:val="00D766A4"/>
    <w:rsid w:val="00D7671E"/>
    <w:rsid w:val="00D76A3E"/>
    <w:rsid w:val="00D77C51"/>
    <w:rsid w:val="00D804A5"/>
    <w:rsid w:val="00D80FB9"/>
    <w:rsid w:val="00D8115A"/>
    <w:rsid w:val="00D811FB"/>
    <w:rsid w:val="00D81276"/>
    <w:rsid w:val="00D81305"/>
    <w:rsid w:val="00D8136A"/>
    <w:rsid w:val="00D81807"/>
    <w:rsid w:val="00D81D81"/>
    <w:rsid w:val="00D81DA1"/>
    <w:rsid w:val="00D81EFA"/>
    <w:rsid w:val="00D820C4"/>
    <w:rsid w:val="00D82486"/>
    <w:rsid w:val="00D82818"/>
    <w:rsid w:val="00D83148"/>
    <w:rsid w:val="00D833DE"/>
    <w:rsid w:val="00D83725"/>
    <w:rsid w:val="00D8398F"/>
    <w:rsid w:val="00D83DAE"/>
    <w:rsid w:val="00D83F80"/>
    <w:rsid w:val="00D83FF9"/>
    <w:rsid w:val="00D84432"/>
    <w:rsid w:val="00D84D60"/>
    <w:rsid w:val="00D85337"/>
    <w:rsid w:val="00D8533B"/>
    <w:rsid w:val="00D853ED"/>
    <w:rsid w:val="00D85B1B"/>
    <w:rsid w:val="00D85E16"/>
    <w:rsid w:val="00D86386"/>
    <w:rsid w:val="00D864A6"/>
    <w:rsid w:val="00D86AC9"/>
    <w:rsid w:val="00D86C08"/>
    <w:rsid w:val="00D86C93"/>
    <w:rsid w:val="00D8702A"/>
    <w:rsid w:val="00D87078"/>
    <w:rsid w:val="00D87088"/>
    <w:rsid w:val="00D87459"/>
    <w:rsid w:val="00D8769A"/>
    <w:rsid w:val="00D876CD"/>
    <w:rsid w:val="00D87934"/>
    <w:rsid w:val="00D87B9E"/>
    <w:rsid w:val="00D90494"/>
    <w:rsid w:val="00D90567"/>
    <w:rsid w:val="00D907EF"/>
    <w:rsid w:val="00D90834"/>
    <w:rsid w:val="00D90C09"/>
    <w:rsid w:val="00D90C29"/>
    <w:rsid w:val="00D90CE7"/>
    <w:rsid w:val="00D90EAA"/>
    <w:rsid w:val="00D91189"/>
    <w:rsid w:val="00D9139C"/>
    <w:rsid w:val="00D925AA"/>
    <w:rsid w:val="00D92AA2"/>
    <w:rsid w:val="00D92DB9"/>
    <w:rsid w:val="00D92F1A"/>
    <w:rsid w:val="00D92F40"/>
    <w:rsid w:val="00D933E2"/>
    <w:rsid w:val="00D93B6B"/>
    <w:rsid w:val="00D93D7D"/>
    <w:rsid w:val="00D941F0"/>
    <w:rsid w:val="00D943A4"/>
    <w:rsid w:val="00D94C0B"/>
    <w:rsid w:val="00D95034"/>
    <w:rsid w:val="00D952A6"/>
    <w:rsid w:val="00D953F3"/>
    <w:rsid w:val="00D955D9"/>
    <w:rsid w:val="00D9568F"/>
    <w:rsid w:val="00D95ADE"/>
    <w:rsid w:val="00D95B78"/>
    <w:rsid w:val="00D96EF3"/>
    <w:rsid w:val="00D97394"/>
    <w:rsid w:val="00D973ED"/>
    <w:rsid w:val="00D977DE"/>
    <w:rsid w:val="00D97B9D"/>
    <w:rsid w:val="00D97BD9"/>
    <w:rsid w:val="00DA0016"/>
    <w:rsid w:val="00DA08B5"/>
    <w:rsid w:val="00DA0CC8"/>
    <w:rsid w:val="00DA11B2"/>
    <w:rsid w:val="00DA17F0"/>
    <w:rsid w:val="00DA1B6D"/>
    <w:rsid w:val="00DA1C9A"/>
    <w:rsid w:val="00DA1F03"/>
    <w:rsid w:val="00DA1F7D"/>
    <w:rsid w:val="00DA25D3"/>
    <w:rsid w:val="00DA27A2"/>
    <w:rsid w:val="00DA2AB1"/>
    <w:rsid w:val="00DA3381"/>
    <w:rsid w:val="00DA3495"/>
    <w:rsid w:val="00DA3D5F"/>
    <w:rsid w:val="00DA4013"/>
    <w:rsid w:val="00DA437F"/>
    <w:rsid w:val="00DA4F55"/>
    <w:rsid w:val="00DA5276"/>
    <w:rsid w:val="00DA53A8"/>
    <w:rsid w:val="00DA543E"/>
    <w:rsid w:val="00DA568E"/>
    <w:rsid w:val="00DA5699"/>
    <w:rsid w:val="00DA5AB6"/>
    <w:rsid w:val="00DA5B39"/>
    <w:rsid w:val="00DA5CDE"/>
    <w:rsid w:val="00DA5EEC"/>
    <w:rsid w:val="00DA653E"/>
    <w:rsid w:val="00DA6564"/>
    <w:rsid w:val="00DA6659"/>
    <w:rsid w:val="00DA6E96"/>
    <w:rsid w:val="00DA7259"/>
    <w:rsid w:val="00DA7530"/>
    <w:rsid w:val="00DA758D"/>
    <w:rsid w:val="00DA7754"/>
    <w:rsid w:val="00DA7979"/>
    <w:rsid w:val="00DA7E56"/>
    <w:rsid w:val="00DA7ED2"/>
    <w:rsid w:val="00DB015D"/>
    <w:rsid w:val="00DB030A"/>
    <w:rsid w:val="00DB0A6B"/>
    <w:rsid w:val="00DB0B04"/>
    <w:rsid w:val="00DB0F5E"/>
    <w:rsid w:val="00DB12D6"/>
    <w:rsid w:val="00DB141E"/>
    <w:rsid w:val="00DB1A74"/>
    <w:rsid w:val="00DB1AE7"/>
    <w:rsid w:val="00DB1E3C"/>
    <w:rsid w:val="00DB1E93"/>
    <w:rsid w:val="00DB2098"/>
    <w:rsid w:val="00DB2154"/>
    <w:rsid w:val="00DB2679"/>
    <w:rsid w:val="00DB27AE"/>
    <w:rsid w:val="00DB2A33"/>
    <w:rsid w:val="00DB2C9A"/>
    <w:rsid w:val="00DB2E06"/>
    <w:rsid w:val="00DB2EC2"/>
    <w:rsid w:val="00DB2FB5"/>
    <w:rsid w:val="00DB2FCD"/>
    <w:rsid w:val="00DB35BB"/>
    <w:rsid w:val="00DB37C6"/>
    <w:rsid w:val="00DB3C15"/>
    <w:rsid w:val="00DB3D89"/>
    <w:rsid w:val="00DB40D0"/>
    <w:rsid w:val="00DB4343"/>
    <w:rsid w:val="00DB4D94"/>
    <w:rsid w:val="00DB50AC"/>
    <w:rsid w:val="00DB54DF"/>
    <w:rsid w:val="00DB5606"/>
    <w:rsid w:val="00DB560F"/>
    <w:rsid w:val="00DB5D95"/>
    <w:rsid w:val="00DB6019"/>
    <w:rsid w:val="00DB616F"/>
    <w:rsid w:val="00DB617F"/>
    <w:rsid w:val="00DB78BD"/>
    <w:rsid w:val="00DC049D"/>
    <w:rsid w:val="00DC073C"/>
    <w:rsid w:val="00DC0933"/>
    <w:rsid w:val="00DC0A97"/>
    <w:rsid w:val="00DC0B94"/>
    <w:rsid w:val="00DC14DC"/>
    <w:rsid w:val="00DC1708"/>
    <w:rsid w:val="00DC1726"/>
    <w:rsid w:val="00DC24A4"/>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3DA6"/>
    <w:rsid w:val="00DC403D"/>
    <w:rsid w:val="00DC4882"/>
    <w:rsid w:val="00DC5028"/>
    <w:rsid w:val="00DC5324"/>
    <w:rsid w:val="00DC53EF"/>
    <w:rsid w:val="00DC5743"/>
    <w:rsid w:val="00DC575B"/>
    <w:rsid w:val="00DC5892"/>
    <w:rsid w:val="00DC6072"/>
    <w:rsid w:val="00DC61A4"/>
    <w:rsid w:val="00DC641E"/>
    <w:rsid w:val="00DC6C2C"/>
    <w:rsid w:val="00DC6D48"/>
    <w:rsid w:val="00DC74EF"/>
    <w:rsid w:val="00DD00A3"/>
    <w:rsid w:val="00DD012C"/>
    <w:rsid w:val="00DD070A"/>
    <w:rsid w:val="00DD086F"/>
    <w:rsid w:val="00DD13F7"/>
    <w:rsid w:val="00DD1F00"/>
    <w:rsid w:val="00DD214C"/>
    <w:rsid w:val="00DD2969"/>
    <w:rsid w:val="00DD2A87"/>
    <w:rsid w:val="00DD2B15"/>
    <w:rsid w:val="00DD2B4D"/>
    <w:rsid w:val="00DD2D30"/>
    <w:rsid w:val="00DD2EBC"/>
    <w:rsid w:val="00DD2F37"/>
    <w:rsid w:val="00DD3AAA"/>
    <w:rsid w:val="00DD3D85"/>
    <w:rsid w:val="00DD3E54"/>
    <w:rsid w:val="00DD42B7"/>
    <w:rsid w:val="00DD4F20"/>
    <w:rsid w:val="00DD550A"/>
    <w:rsid w:val="00DD560C"/>
    <w:rsid w:val="00DD5F51"/>
    <w:rsid w:val="00DD5F9B"/>
    <w:rsid w:val="00DD5FF5"/>
    <w:rsid w:val="00DD60ED"/>
    <w:rsid w:val="00DD693C"/>
    <w:rsid w:val="00DD6B36"/>
    <w:rsid w:val="00DD723B"/>
    <w:rsid w:val="00DD72AC"/>
    <w:rsid w:val="00DD7335"/>
    <w:rsid w:val="00DD7E7E"/>
    <w:rsid w:val="00DE01E9"/>
    <w:rsid w:val="00DE0B15"/>
    <w:rsid w:val="00DE0BE8"/>
    <w:rsid w:val="00DE0CAD"/>
    <w:rsid w:val="00DE119E"/>
    <w:rsid w:val="00DE181C"/>
    <w:rsid w:val="00DE1BF2"/>
    <w:rsid w:val="00DE1F57"/>
    <w:rsid w:val="00DE27C1"/>
    <w:rsid w:val="00DE287B"/>
    <w:rsid w:val="00DE2895"/>
    <w:rsid w:val="00DE2CAE"/>
    <w:rsid w:val="00DE2D15"/>
    <w:rsid w:val="00DE318B"/>
    <w:rsid w:val="00DE31B4"/>
    <w:rsid w:val="00DE3502"/>
    <w:rsid w:val="00DE3878"/>
    <w:rsid w:val="00DE3E88"/>
    <w:rsid w:val="00DE3F88"/>
    <w:rsid w:val="00DE3FE7"/>
    <w:rsid w:val="00DE42B2"/>
    <w:rsid w:val="00DE4951"/>
    <w:rsid w:val="00DE4B7C"/>
    <w:rsid w:val="00DE544D"/>
    <w:rsid w:val="00DE59B3"/>
    <w:rsid w:val="00DE5B48"/>
    <w:rsid w:val="00DE70B7"/>
    <w:rsid w:val="00DE7EF5"/>
    <w:rsid w:val="00DF0788"/>
    <w:rsid w:val="00DF08E4"/>
    <w:rsid w:val="00DF09F9"/>
    <w:rsid w:val="00DF0D46"/>
    <w:rsid w:val="00DF1365"/>
    <w:rsid w:val="00DF16E7"/>
    <w:rsid w:val="00DF1CC3"/>
    <w:rsid w:val="00DF2193"/>
    <w:rsid w:val="00DF2492"/>
    <w:rsid w:val="00DF2B16"/>
    <w:rsid w:val="00DF2B9E"/>
    <w:rsid w:val="00DF2D10"/>
    <w:rsid w:val="00DF2D14"/>
    <w:rsid w:val="00DF2E47"/>
    <w:rsid w:val="00DF3006"/>
    <w:rsid w:val="00DF4031"/>
    <w:rsid w:val="00DF40B5"/>
    <w:rsid w:val="00DF4F51"/>
    <w:rsid w:val="00DF50CB"/>
    <w:rsid w:val="00DF65AA"/>
    <w:rsid w:val="00DF67C0"/>
    <w:rsid w:val="00DF6A3E"/>
    <w:rsid w:val="00DF6AE8"/>
    <w:rsid w:val="00DF6BD5"/>
    <w:rsid w:val="00DF6CE0"/>
    <w:rsid w:val="00DF6E80"/>
    <w:rsid w:val="00DF6F02"/>
    <w:rsid w:val="00DF7CDA"/>
    <w:rsid w:val="00DF7CDE"/>
    <w:rsid w:val="00E006A7"/>
    <w:rsid w:val="00E00AAD"/>
    <w:rsid w:val="00E00E90"/>
    <w:rsid w:val="00E01743"/>
    <w:rsid w:val="00E017AC"/>
    <w:rsid w:val="00E01B74"/>
    <w:rsid w:val="00E020C0"/>
    <w:rsid w:val="00E021CF"/>
    <w:rsid w:val="00E024F1"/>
    <w:rsid w:val="00E02BC7"/>
    <w:rsid w:val="00E02D0E"/>
    <w:rsid w:val="00E0345B"/>
    <w:rsid w:val="00E040C1"/>
    <w:rsid w:val="00E04144"/>
    <w:rsid w:val="00E04B6C"/>
    <w:rsid w:val="00E04BE8"/>
    <w:rsid w:val="00E04D00"/>
    <w:rsid w:val="00E05181"/>
    <w:rsid w:val="00E051C2"/>
    <w:rsid w:val="00E056CD"/>
    <w:rsid w:val="00E057C8"/>
    <w:rsid w:val="00E05FFD"/>
    <w:rsid w:val="00E06381"/>
    <w:rsid w:val="00E0664F"/>
    <w:rsid w:val="00E068AD"/>
    <w:rsid w:val="00E06C03"/>
    <w:rsid w:val="00E06C1E"/>
    <w:rsid w:val="00E06E5B"/>
    <w:rsid w:val="00E06EAC"/>
    <w:rsid w:val="00E07005"/>
    <w:rsid w:val="00E07A4A"/>
    <w:rsid w:val="00E07AF6"/>
    <w:rsid w:val="00E07D1C"/>
    <w:rsid w:val="00E100E3"/>
    <w:rsid w:val="00E10167"/>
    <w:rsid w:val="00E101F3"/>
    <w:rsid w:val="00E10394"/>
    <w:rsid w:val="00E10B40"/>
    <w:rsid w:val="00E10F44"/>
    <w:rsid w:val="00E10FBA"/>
    <w:rsid w:val="00E11007"/>
    <w:rsid w:val="00E11055"/>
    <w:rsid w:val="00E112F7"/>
    <w:rsid w:val="00E11493"/>
    <w:rsid w:val="00E117EB"/>
    <w:rsid w:val="00E1197C"/>
    <w:rsid w:val="00E119E1"/>
    <w:rsid w:val="00E11A33"/>
    <w:rsid w:val="00E1225C"/>
    <w:rsid w:val="00E123F0"/>
    <w:rsid w:val="00E12FAB"/>
    <w:rsid w:val="00E1364F"/>
    <w:rsid w:val="00E1395F"/>
    <w:rsid w:val="00E13B2F"/>
    <w:rsid w:val="00E13E5F"/>
    <w:rsid w:val="00E14129"/>
    <w:rsid w:val="00E14476"/>
    <w:rsid w:val="00E14586"/>
    <w:rsid w:val="00E14794"/>
    <w:rsid w:val="00E149A4"/>
    <w:rsid w:val="00E15D1E"/>
    <w:rsid w:val="00E16378"/>
    <w:rsid w:val="00E16538"/>
    <w:rsid w:val="00E165DE"/>
    <w:rsid w:val="00E16CB1"/>
    <w:rsid w:val="00E1727D"/>
    <w:rsid w:val="00E177C8"/>
    <w:rsid w:val="00E177E0"/>
    <w:rsid w:val="00E17BAF"/>
    <w:rsid w:val="00E17D49"/>
    <w:rsid w:val="00E2028F"/>
    <w:rsid w:val="00E20C99"/>
    <w:rsid w:val="00E20D8A"/>
    <w:rsid w:val="00E20E19"/>
    <w:rsid w:val="00E211A4"/>
    <w:rsid w:val="00E215D8"/>
    <w:rsid w:val="00E218CA"/>
    <w:rsid w:val="00E21C1C"/>
    <w:rsid w:val="00E220FF"/>
    <w:rsid w:val="00E2211A"/>
    <w:rsid w:val="00E22527"/>
    <w:rsid w:val="00E22747"/>
    <w:rsid w:val="00E22900"/>
    <w:rsid w:val="00E23508"/>
    <w:rsid w:val="00E2356F"/>
    <w:rsid w:val="00E236C4"/>
    <w:rsid w:val="00E23B48"/>
    <w:rsid w:val="00E23CA9"/>
    <w:rsid w:val="00E24157"/>
    <w:rsid w:val="00E24226"/>
    <w:rsid w:val="00E24F0F"/>
    <w:rsid w:val="00E24F5F"/>
    <w:rsid w:val="00E259C5"/>
    <w:rsid w:val="00E25B48"/>
    <w:rsid w:val="00E25FAA"/>
    <w:rsid w:val="00E26ACE"/>
    <w:rsid w:val="00E270D4"/>
    <w:rsid w:val="00E27164"/>
    <w:rsid w:val="00E27368"/>
    <w:rsid w:val="00E27608"/>
    <w:rsid w:val="00E27753"/>
    <w:rsid w:val="00E27898"/>
    <w:rsid w:val="00E27A87"/>
    <w:rsid w:val="00E3006A"/>
    <w:rsid w:val="00E302BB"/>
    <w:rsid w:val="00E30587"/>
    <w:rsid w:val="00E30D6E"/>
    <w:rsid w:val="00E30E09"/>
    <w:rsid w:val="00E31A21"/>
    <w:rsid w:val="00E31EBB"/>
    <w:rsid w:val="00E323E2"/>
    <w:rsid w:val="00E3287D"/>
    <w:rsid w:val="00E32C35"/>
    <w:rsid w:val="00E33045"/>
    <w:rsid w:val="00E33373"/>
    <w:rsid w:val="00E336F7"/>
    <w:rsid w:val="00E33973"/>
    <w:rsid w:val="00E33A83"/>
    <w:rsid w:val="00E33E09"/>
    <w:rsid w:val="00E33E42"/>
    <w:rsid w:val="00E3413B"/>
    <w:rsid w:val="00E3471B"/>
    <w:rsid w:val="00E3491A"/>
    <w:rsid w:val="00E34AED"/>
    <w:rsid w:val="00E34C5B"/>
    <w:rsid w:val="00E35615"/>
    <w:rsid w:val="00E35F0A"/>
    <w:rsid w:val="00E36512"/>
    <w:rsid w:val="00E36658"/>
    <w:rsid w:val="00E36BBC"/>
    <w:rsid w:val="00E3705B"/>
    <w:rsid w:val="00E371BB"/>
    <w:rsid w:val="00E37594"/>
    <w:rsid w:val="00E375A5"/>
    <w:rsid w:val="00E37792"/>
    <w:rsid w:val="00E37867"/>
    <w:rsid w:val="00E37F26"/>
    <w:rsid w:val="00E37F9A"/>
    <w:rsid w:val="00E4087C"/>
    <w:rsid w:val="00E4093D"/>
    <w:rsid w:val="00E40E31"/>
    <w:rsid w:val="00E4166F"/>
    <w:rsid w:val="00E41DE5"/>
    <w:rsid w:val="00E4299E"/>
    <w:rsid w:val="00E42C70"/>
    <w:rsid w:val="00E430D1"/>
    <w:rsid w:val="00E4322A"/>
    <w:rsid w:val="00E4385F"/>
    <w:rsid w:val="00E43BE1"/>
    <w:rsid w:val="00E43D70"/>
    <w:rsid w:val="00E44544"/>
    <w:rsid w:val="00E44F0C"/>
    <w:rsid w:val="00E44FDC"/>
    <w:rsid w:val="00E45325"/>
    <w:rsid w:val="00E4567E"/>
    <w:rsid w:val="00E4592D"/>
    <w:rsid w:val="00E45C87"/>
    <w:rsid w:val="00E46548"/>
    <w:rsid w:val="00E46700"/>
    <w:rsid w:val="00E46712"/>
    <w:rsid w:val="00E4688F"/>
    <w:rsid w:val="00E46DD5"/>
    <w:rsid w:val="00E46EA8"/>
    <w:rsid w:val="00E477FD"/>
    <w:rsid w:val="00E47A72"/>
    <w:rsid w:val="00E47DD3"/>
    <w:rsid w:val="00E5008F"/>
    <w:rsid w:val="00E50557"/>
    <w:rsid w:val="00E513C9"/>
    <w:rsid w:val="00E51CD4"/>
    <w:rsid w:val="00E51E1B"/>
    <w:rsid w:val="00E52028"/>
    <w:rsid w:val="00E522AC"/>
    <w:rsid w:val="00E5296F"/>
    <w:rsid w:val="00E52A37"/>
    <w:rsid w:val="00E531B5"/>
    <w:rsid w:val="00E532F1"/>
    <w:rsid w:val="00E53545"/>
    <w:rsid w:val="00E5414A"/>
    <w:rsid w:val="00E54198"/>
    <w:rsid w:val="00E54450"/>
    <w:rsid w:val="00E54FE9"/>
    <w:rsid w:val="00E550ED"/>
    <w:rsid w:val="00E5513B"/>
    <w:rsid w:val="00E5521E"/>
    <w:rsid w:val="00E55358"/>
    <w:rsid w:val="00E55444"/>
    <w:rsid w:val="00E55B96"/>
    <w:rsid w:val="00E55D2D"/>
    <w:rsid w:val="00E55EB8"/>
    <w:rsid w:val="00E562B6"/>
    <w:rsid w:val="00E566F4"/>
    <w:rsid w:val="00E566FD"/>
    <w:rsid w:val="00E569C8"/>
    <w:rsid w:val="00E56D52"/>
    <w:rsid w:val="00E56D9F"/>
    <w:rsid w:val="00E56FFE"/>
    <w:rsid w:val="00E5706F"/>
    <w:rsid w:val="00E57371"/>
    <w:rsid w:val="00E57389"/>
    <w:rsid w:val="00E57398"/>
    <w:rsid w:val="00E576C6"/>
    <w:rsid w:val="00E60461"/>
    <w:rsid w:val="00E60487"/>
    <w:rsid w:val="00E60858"/>
    <w:rsid w:val="00E608E5"/>
    <w:rsid w:val="00E61BB2"/>
    <w:rsid w:val="00E61BC7"/>
    <w:rsid w:val="00E61BF9"/>
    <w:rsid w:val="00E61DA2"/>
    <w:rsid w:val="00E62142"/>
    <w:rsid w:val="00E62166"/>
    <w:rsid w:val="00E6222F"/>
    <w:rsid w:val="00E625DE"/>
    <w:rsid w:val="00E62E38"/>
    <w:rsid w:val="00E632C0"/>
    <w:rsid w:val="00E635C6"/>
    <w:rsid w:val="00E63C99"/>
    <w:rsid w:val="00E63E80"/>
    <w:rsid w:val="00E640F3"/>
    <w:rsid w:val="00E64255"/>
    <w:rsid w:val="00E643ED"/>
    <w:rsid w:val="00E64465"/>
    <w:rsid w:val="00E64588"/>
    <w:rsid w:val="00E64C41"/>
    <w:rsid w:val="00E64FC2"/>
    <w:rsid w:val="00E651A8"/>
    <w:rsid w:val="00E655C5"/>
    <w:rsid w:val="00E65D30"/>
    <w:rsid w:val="00E65DB0"/>
    <w:rsid w:val="00E65EB4"/>
    <w:rsid w:val="00E66299"/>
    <w:rsid w:val="00E66673"/>
    <w:rsid w:val="00E668E8"/>
    <w:rsid w:val="00E67280"/>
    <w:rsid w:val="00E67570"/>
    <w:rsid w:val="00E678C9"/>
    <w:rsid w:val="00E67B35"/>
    <w:rsid w:val="00E70030"/>
    <w:rsid w:val="00E70484"/>
    <w:rsid w:val="00E7091E"/>
    <w:rsid w:val="00E710F5"/>
    <w:rsid w:val="00E71131"/>
    <w:rsid w:val="00E714FD"/>
    <w:rsid w:val="00E717F8"/>
    <w:rsid w:val="00E718E0"/>
    <w:rsid w:val="00E71B0F"/>
    <w:rsid w:val="00E71F35"/>
    <w:rsid w:val="00E7236A"/>
    <w:rsid w:val="00E72584"/>
    <w:rsid w:val="00E72771"/>
    <w:rsid w:val="00E728C4"/>
    <w:rsid w:val="00E72DE6"/>
    <w:rsid w:val="00E730A9"/>
    <w:rsid w:val="00E732EB"/>
    <w:rsid w:val="00E73832"/>
    <w:rsid w:val="00E7398E"/>
    <w:rsid w:val="00E73DEA"/>
    <w:rsid w:val="00E73F52"/>
    <w:rsid w:val="00E74526"/>
    <w:rsid w:val="00E75283"/>
    <w:rsid w:val="00E752C9"/>
    <w:rsid w:val="00E7531A"/>
    <w:rsid w:val="00E7557C"/>
    <w:rsid w:val="00E75662"/>
    <w:rsid w:val="00E75909"/>
    <w:rsid w:val="00E759BE"/>
    <w:rsid w:val="00E75E82"/>
    <w:rsid w:val="00E75FEB"/>
    <w:rsid w:val="00E76553"/>
    <w:rsid w:val="00E76615"/>
    <w:rsid w:val="00E77A8B"/>
    <w:rsid w:val="00E8039D"/>
    <w:rsid w:val="00E804C6"/>
    <w:rsid w:val="00E8061F"/>
    <w:rsid w:val="00E80AB3"/>
    <w:rsid w:val="00E8149C"/>
    <w:rsid w:val="00E8161D"/>
    <w:rsid w:val="00E81848"/>
    <w:rsid w:val="00E8227B"/>
    <w:rsid w:val="00E827B5"/>
    <w:rsid w:val="00E83486"/>
    <w:rsid w:val="00E8348B"/>
    <w:rsid w:val="00E83B39"/>
    <w:rsid w:val="00E83E90"/>
    <w:rsid w:val="00E83EB7"/>
    <w:rsid w:val="00E8408B"/>
    <w:rsid w:val="00E84152"/>
    <w:rsid w:val="00E844AE"/>
    <w:rsid w:val="00E84FE1"/>
    <w:rsid w:val="00E8504A"/>
    <w:rsid w:val="00E850F6"/>
    <w:rsid w:val="00E855FC"/>
    <w:rsid w:val="00E857BF"/>
    <w:rsid w:val="00E859E1"/>
    <w:rsid w:val="00E85B54"/>
    <w:rsid w:val="00E85BF2"/>
    <w:rsid w:val="00E85EC3"/>
    <w:rsid w:val="00E862D7"/>
    <w:rsid w:val="00E863A9"/>
    <w:rsid w:val="00E86E9C"/>
    <w:rsid w:val="00E86F81"/>
    <w:rsid w:val="00E87356"/>
    <w:rsid w:val="00E8751A"/>
    <w:rsid w:val="00E875E6"/>
    <w:rsid w:val="00E87794"/>
    <w:rsid w:val="00E8782F"/>
    <w:rsid w:val="00E87FAE"/>
    <w:rsid w:val="00E90115"/>
    <w:rsid w:val="00E90234"/>
    <w:rsid w:val="00E90537"/>
    <w:rsid w:val="00E90730"/>
    <w:rsid w:val="00E90DA6"/>
    <w:rsid w:val="00E91531"/>
    <w:rsid w:val="00E91945"/>
    <w:rsid w:val="00E91D83"/>
    <w:rsid w:val="00E921E7"/>
    <w:rsid w:val="00E9222F"/>
    <w:rsid w:val="00E9260B"/>
    <w:rsid w:val="00E928A7"/>
    <w:rsid w:val="00E92D40"/>
    <w:rsid w:val="00E92FB4"/>
    <w:rsid w:val="00E9353C"/>
    <w:rsid w:val="00E936F5"/>
    <w:rsid w:val="00E939A0"/>
    <w:rsid w:val="00E93D8F"/>
    <w:rsid w:val="00E93FA0"/>
    <w:rsid w:val="00E9418D"/>
    <w:rsid w:val="00E94469"/>
    <w:rsid w:val="00E946C3"/>
    <w:rsid w:val="00E94B00"/>
    <w:rsid w:val="00E94F4E"/>
    <w:rsid w:val="00E95593"/>
    <w:rsid w:val="00E956A1"/>
    <w:rsid w:val="00E9583E"/>
    <w:rsid w:val="00E95A5F"/>
    <w:rsid w:val="00E95DD2"/>
    <w:rsid w:val="00E96569"/>
    <w:rsid w:val="00E966F5"/>
    <w:rsid w:val="00E96ACF"/>
    <w:rsid w:val="00E97100"/>
    <w:rsid w:val="00E9722C"/>
    <w:rsid w:val="00E97D54"/>
    <w:rsid w:val="00EA038B"/>
    <w:rsid w:val="00EA0A6D"/>
    <w:rsid w:val="00EA0EB1"/>
    <w:rsid w:val="00EA0F8D"/>
    <w:rsid w:val="00EA148C"/>
    <w:rsid w:val="00EA19C4"/>
    <w:rsid w:val="00EA1F23"/>
    <w:rsid w:val="00EA24BE"/>
    <w:rsid w:val="00EA2611"/>
    <w:rsid w:val="00EA285A"/>
    <w:rsid w:val="00EA29FD"/>
    <w:rsid w:val="00EA2A08"/>
    <w:rsid w:val="00EA2F02"/>
    <w:rsid w:val="00EA3113"/>
    <w:rsid w:val="00EA33E0"/>
    <w:rsid w:val="00EA363B"/>
    <w:rsid w:val="00EA3960"/>
    <w:rsid w:val="00EA3A5A"/>
    <w:rsid w:val="00EA4226"/>
    <w:rsid w:val="00EA4236"/>
    <w:rsid w:val="00EA4A9A"/>
    <w:rsid w:val="00EA4ADC"/>
    <w:rsid w:val="00EA4B61"/>
    <w:rsid w:val="00EA4B84"/>
    <w:rsid w:val="00EA4FA9"/>
    <w:rsid w:val="00EA501B"/>
    <w:rsid w:val="00EA52C7"/>
    <w:rsid w:val="00EA5882"/>
    <w:rsid w:val="00EA5953"/>
    <w:rsid w:val="00EA68D8"/>
    <w:rsid w:val="00EA6A98"/>
    <w:rsid w:val="00EA6D1B"/>
    <w:rsid w:val="00EA747E"/>
    <w:rsid w:val="00EB0334"/>
    <w:rsid w:val="00EB1089"/>
    <w:rsid w:val="00EB11A6"/>
    <w:rsid w:val="00EB1443"/>
    <w:rsid w:val="00EB1ACE"/>
    <w:rsid w:val="00EB1B3E"/>
    <w:rsid w:val="00EB20F5"/>
    <w:rsid w:val="00EB24C5"/>
    <w:rsid w:val="00EB2710"/>
    <w:rsid w:val="00EB2C46"/>
    <w:rsid w:val="00EB367D"/>
    <w:rsid w:val="00EB3B4B"/>
    <w:rsid w:val="00EB3DC9"/>
    <w:rsid w:val="00EB448B"/>
    <w:rsid w:val="00EB4510"/>
    <w:rsid w:val="00EB5972"/>
    <w:rsid w:val="00EB5D4C"/>
    <w:rsid w:val="00EB736A"/>
    <w:rsid w:val="00EC0A71"/>
    <w:rsid w:val="00EC0C4A"/>
    <w:rsid w:val="00EC0E87"/>
    <w:rsid w:val="00EC187C"/>
    <w:rsid w:val="00EC1F2F"/>
    <w:rsid w:val="00EC226E"/>
    <w:rsid w:val="00EC26FC"/>
    <w:rsid w:val="00EC294E"/>
    <w:rsid w:val="00EC3479"/>
    <w:rsid w:val="00EC35AF"/>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5AEE"/>
    <w:rsid w:val="00EC60DD"/>
    <w:rsid w:val="00EC6AEA"/>
    <w:rsid w:val="00EC70C7"/>
    <w:rsid w:val="00EC729E"/>
    <w:rsid w:val="00EC72E4"/>
    <w:rsid w:val="00EC75B4"/>
    <w:rsid w:val="00ED0160"/>
    <w:rsid w:val="00ED03AF"/>
    <w:rsid w:val="00ED03BB"/>
    <w:rsid w:val="00ED05B8"/>
    <w:rsid w:val="00ED06D7"/>
    <w:rsid w:val="00ED08BE"/>
    <w:rsid w:val="00ED08EF"/>
    <w:rsid w:val="00ED0DD8"/>
    <w:rsid w:val="00ED0E1D"/>
    <w:rsid w:val="00ED13A5"/>
    <w:rsid w:val="00ED13AC"/>
    <w:rsid w:val="00ED13FC"/>
    <w:rsid w:val="00ED1571"/>
    <w:rsid w:val="00ED164D"/>
    <w:rsid w:val="00ED1A31"/>
    <w:rsid w:val="00ED1C06"/>
    <w:rsid w:val="00ED1D82"/>
    <w:rsid w:val="00ED1D86"/>
    <w:rsid w:val="00ED1DF3"/>
    <w:rsid w:val="00ED2BFA"/>
    <w:rsid w:val="00ED2FDA"/>
    <w:rsid w:val="00ED3321"/>
    <w:rsid w:val="00ED3AD9"/>
    <w:rsid w:val="00ED3C21"/>
    <w:rsid w:val="00ED3D80"/>
    <w:rsid w:val="00ED3D89"/>
    <w:rsid w:val="00ED3EDA"/>
    <w:rsid w:val="00ED4051"/>
    <w:rsid w:val="00ED433B"/>
    <w:rsid w:val="00ED4F33"/>
    <w:rsid w:val="00ED5008"/>
    <w:rsid w:val="00ED552B"/>
    <w:rsid w:val="00ED5723"/>
    <w:rsid w:val="00ED5C2C"/>
    <w:rsid w:val="00ED5FB4"/>
    <w:rsid w:val="00ED68B3"/>
    <w:rsid w:val="00ED68FD"/>
    <w:rsid w:val="00ED6957"/>
    <w:rsid w:val="00ED69E3"/>
    <w:rsid w:val="00ED6BEF"/>
    <w:rsid w:val="00ED6D3F"/>
    <w:rsid w:val="00ED72BF"/>
    <w:rsid w:val="00ED7518"/>
    <w:rsid w:val="00ED776E"/>
    <w:rsid w:val="00ED77A2"/>
    <w:rsid w:val="00ED7A5E"/>
    <w:rsid w:val="00ED7BE5"/>
    <w:rsid w:val="00ED7D57"/>
    <w:rsid w:val="00EE02C7"/>
    <w:rsid w:val="00EE042C"/>
    <w:rsid w:val="00EE051F"/>
    <w:rsid w:val="00EE0C88"/>
    <w:rsid w:val="00EE0CAA"/>
    <w:rsid w:val="00EE1096"/>
    <w:rsid w:val="00EE14D8"/>
    <w:rsid w:val="00EE16D3"/>
    <w:rsid w:val="00EE1AAC"/>
    <w:rsid w:val="00EE20F3"/>
    <w:rsid w:val="00EE2B7E"/>
    <w:rsid w:val="00EE2C4F"/>
    <w:rsid w:val="00EE368E"/>
    <w:rsid w:val="00EE38A0"/>
    <w:rsid w:val="00EE3A6D"/>
    <w:rsid w:val="00EE3AB2"/>
    <w:rsid w:val="00EE4344"/>
    <w:rsid w:val="00EE457B"/>
    <w:rsid w:val="00EE491E"/>
    <w:rsid w:val="00EE4EFD"/>
    <w:rsid w:val="00EE4F79"/>
    <w:rsid w:val="00EE509E"/>
    <w:rsid w:val="00EE518B"/>
    <w:rsid w:val="00EE5194"/>
    <w:rsid w:val="00EE5424"/>
    <w:rsid w:val="00EE5652"/>
    <w:rsid w:val="00EE5A01"/>
    <w:rsid w:val="00EE5FBB"/>
    <w:rsid w:val="00EE6122"/>
    <w:rsid w:val="00EE63FD"/>
    <w:rsid w:val="00EE6461"/>
    <w:rsid w:val="00EE651A"/>
    <w:rsid w:val="00EE66BA"/>
    <w:rsid w:val="00EE6AD9"/>
    <w:rsid w:val="00EE6CCA"/>
    <w:rsid w:val="00EE6DC1"/>
    <w:rsid w:val="00EE703A"/>
    <w:rsid w:val="00EE7128"/>
    <w:rsid w:val="00EE7CE8"/>
    <w:rsid w:val="00EE7F14"/>
    <w:rsid w:val="00EF0138"/>
    <w:rsid w:val="00EF0198"/>
    <w:rsid w:val="00EF04CD"/>
    <w:rsid w:val="00EF05AB"/>
    <w:rsid w:val="00EF08BC"/>
    <w:rsid w:val="00EF0E69"/>
    <w:rsid w:val="00EF149D"/>
    <w:rsid w:val="00EF15AD"/>
    <w:rsid w:val="00EF17A5"/>
    <w:rsid w:val="00EF1B1C"/>
    <w:rsid w:val="00EF1B22"/>
    <w:rsid w:val="00EF1F43"/>
    <w:rsid w:val="00EF2B2E"/>
    <w:rsid w:val="00EF34A8"/>
    <w:rsid w:val="00EF35AA"/>
    <w:rsid w:val="00EF39AB"/>
    <w:rsid w:val="00EF3D8B"/>
    <w:rsid w:val="00EF3DBE"/>
    <w:rsid w:val="00EF3E00"/>
    <w:rsid w:val="00EF425B"/>
    <w:rsid w:val="00EF43C5"/>
    <w:rsid w:val="00EF4751"/>
    <w:rsid w:val="00EF47F3"/>
    <w:rsid w:val="00EF4C02"/>
    <w:rsid w:val="00EF50EF"/>
    <w:rsid w:val="00EF5281"/>
    <w:rsid w:val="00EF5640"/>
    <w:rsid w:val="00EF5BD3"/>
    <w:rsid w:val="00EF66DC"/>
    <w:rsid w:val="00EF6B09"/>
    <w:rsid w:val="00EF6B94"/>
    <w:rsid w:val="00EF7318"/>
    <w:rsid w:val="00EF7344"/>
    <w:rsid w:val="00EF7472"/>
    <w:rsid w:val="00EF7D3F"/>
    <w:rsid w:val="00EF7F59"/>
    <w:rsid w:val="00F0011A"/>
    <w:rsid w:val="00F0028F"/>
    <w:rsid w:val="00F006C6"/>
    <w:rsid w:val="00F00732"/>
    <w:rsid w:val="00F00A7F"/>
    <w:rsid w:val="00F00AF7"/>
    <w:rsid w:val="00F00B55"/>
    <w:rsid w:val="00F00C50"/>
    <w:rsid w:val="00F00D63"/>
    <w:rsid w:val="00F01109"/>
    <w:rsid w:val="00F0138F"/>
    <w:rsid w:val="00F014BB"/>
    <w:rsid w:val="00F017AA"/>
    <w:rsid w:val="00F0181F"/>
    <w:rsid w:val="00F0183B"/>
    <w:rsid w:val="00F019AD"/>
    <w:rsid w:val="00F019E6"/>
    <w:rsid w:val="00F01D8C"/>
    <w:rsid w:val="00F01E25"/>
    <w:rsid w:val="00F01E81"/>
    <w:rsid w:val="00F020AB"/>
    <w:rsid w:val="00F027C1"/>
    <w:rsid w:val="00F02D08"/>
    <w:rsid w:val="00F03153"/>
    <w:rsid w:val="00F0358D"/>
    <w:rsid w:val="00F03793"/>
    <w:rsid w:val="00F03CC3"/>
    <w:rsid w:val="00F03DC2"/>
    <w:rsid w:val="00F042D3"/>
    <w:rsid w:val="00F0440E"/>
    <w:rsid w:val="00F04777"/>
    <w:rsid w:val="00F04AC0"/>
    <w:rsid w:val="00F04BDF"/>
    <w:rsid w:val="00F050CE"/>
    <w:rsid w:val="00F0537B"/>
    <w:rsid w:val="00F0537E"/>
    <w:rsid w:val="00F05CFC"/>
    <w:rsid w:val="00F064D2"/>
    <w:rsid w:val="00F06557"/>
    <w:rsid w:val="00F06733"/>
    <w:rsid w:val="00F06BDE"/>
    <w:rsid w:val="00F06E54"/>
    <w:rsid w:val="00F0748C"/>
    <w:rsid w:val="00F075C0"/>
    <w:rsid w:val="00F077E5"/>
    <w:rsid w:val="00F07B71"/>
    <w:rsid w:val="00F07D2B"/>
    <w:rsid w:val="00F07E24"/>
    <w:rsid w:val="00F07E68"/>
    <w:rsid w:val="00F100BC"/>
    <w:rsid w:val="00F10421"/>
    <w:rsid w:val="00F105AD"/>
    <w:rsid w:val="00F106A9"/>
    <w:rsid w:val="00F10920"/>
    <w:rsid w:val="00F10E82"/>
    <w:rsid w:val="00F10F16"/>
    <w:rsid w:val="00F11136"/>
    <w:rsid w:val="00F112C3"/>
    <w:rsid w:val="00F11F08"/>
    <w:rsid w:val="00F12140"/>
    <w:rsid w:val="00F12230"/>
    <w:rsid w:val="00F125A4"/>
    <w:rsid w:val="00F12724"/>
    <w:rsid w:val="00F1276E"/>
    <w:rsid w:val="00F127C6"/>
    <w:rsid w:val="00F127E7"/>
    <w:rsid w:val="00F130A4"/>
    <w:rsid w:val="00F133CD"/>
    <w:rsid w:val="00F13892"/>
    <w:rsid w:val="00F1391E"/>
    <w:rsid w:val="00F13974"/>
    <w:rsid w:val="00F13A73"/>
    <w:rsid w:val="00F13C84"/>
    <w:rsid w:val="00F1409C"/>
    <w:rsid w:val="00F1442D"/>
    <w:rsid w:val="00F14D29"/>
    <w:rsid w:val="00F1524D"/>
    <w:rsid w:val="00F1588C"/>
    <w:rsid w:val="00F15D91"/>
    <w:rsid w:val="00F15DBF"/>
    <w:rsid w:val="00F15FE0"/>
    <w:rsid w:val="00F160F3"/>
    <w:rsid w:val="00F16231"/>
    <w:rsid w:val="00F163C4"/>
    <w:rsid w:val="00F16740"/>
    <w:rsid w:val="00F16CBC"/>
    <w:rsid w:val="00F17792"/>
    <w:rsid w:val="00F17A93"/>
    <w:rsid w:val="00F17CD8"/>
    <w:rsid w:val="00F17D5C"/>
    <w:rsid w:val="00F17D87"/>
    <w:rsid w:val="00F17F85"/>
    <w:rsid w:val="00F202D1"/>
    <w:rsid w:val="00F20760"/>
    <w:rsid w:val="00F2082B"/>
    <w:rsid w:val="00F20860"/>
    <w:rsid w:val="00F20C1B"/>
    <w:rsid w:val="00F21177"/>
    <w:rsid w:val="00F211E5"/>
    <w:rsid w:val="00F212BB"/>
    <w:rsid w:val="00F21484"/>
    <w:rsid w:val="00F21667"/>
    <w:rsid w:val="00F216BA"/>
    <w:rsid w:val="00F21CFE"/>
    <w:rsid w:val="00F21D7B"/>
    <w:rsid w:val="00F2220C"/>
    <w:rsid w:val="00F227B1"/>
    <w:rsid w:val="00F235BA"/>
    <w:rsid w:val="00F2376B"/>
    <w:rsid w:val="00F23D20"/>
    <w:rsid w:val="00F24105"/>
    <w:rsid w:val="00F247A1"/>
    <w:rsid w:val="00F24A0B"/>
    <w:rsid w:val="00F24C92"/>
    <w:rsid w:val="00F24E6A"/>
    <w:rsid w:val="00F25AAA"/>
    <w:rsid w:val="00F25C04"/>
    <w:rsid w:val="00F25EFD"/>
    <w:rsid w:val="00F26482"/>
    <w:rsid w:val="00F26DE6"/>
    <w:rsid w:val="00F27068"/>
    <w:rsid w:val="00F271CC"/>
    <w:rsid w:val="00F27562"/>
    <w:rsid w:val="00F27666"/>
    <w:rsid w:val="00F276CB"/>
    <w:rsid w:val="00F27936"/>
    <w:rsid w:val="00F27DF3"/>
    <w:rsid w:val="00F27F36"/>
    <w:rsid w:val="00F30437"/>
    <w:rsid w:val="00F31596"/>
    <w:rsid w:val="00F316E4"/>
    <w:rsid w:val="00F31D39"/>
    <w:rsid w:val="00F31F35"/>
    <w:rsid w:val="00F320B2"/>
    <w:rsid w:val="00F3214C"/>
    <w:rsid w:val="00F3295C"/>
    <w:rsid w:val="00F32A10"/>
    <w:rsid w:val="00F32C88"/>
    <w:rsid w:val="00F32ED0"/>
    <w:rsid w:val="00F32F22"/>
    <w:rsid w:val="00F3349F"/>
    <w:rsid w:val="00F336CC"/>
    <w:rsid w:val="00F3388E"/>
    <w:rsid w:val="00F33F1A"/>
    <w:rsid w:val="00F3448A"/>
    <w:rsid w:val="00F346AC"/>
    <w:rsid w:val="00F3489D"/>
    <w:rsid w:val="00F34DCB"/>
    <w:rsid w:val="00F350B2"/>
    <w:rsid w:val="00F3517E"/>
    <w:rsid w:val="00F356E9"/>
    <w:rsid w:val="00F3573A"/>
    <w:rsid w:val="00F35810"/>
    <w:rsid w:val="00F3656B"/>
    <w:rsid w:val="00F365AE"/>
    <w:rsid w:val="00F367C4"/>
    <w:rsid w:val="00F36A64"/>
    <w:rsid w:val="00F36AC1"/>
    <w:rsid w:val="00F36C73"/>
    <w:rsid w:val="00F36CF8"/>
    <w:rsid w:val="00F36E5A"/>
    <w:rsid w:val="00F370AF"/>
    <w:rsid w:val="00F372CE"/>
    <w:rsid w:val="00F37490"/>
    <w:rsid w:val="00F3764A"/>
    <w:rsid w:val="00F377CB"/>
    <w:rsid w:val="00F3799A"/>
    <w:rsid w:val="00F404F0"/>
    <w:rsid w:val="00F4086D"/>
    <w:rsid w:val="00F40A82"/>
    <w:rsid w:val="00F40EEA"/>
    <w:rsid w:val="00F40F57"/>
    <w:rsid w:val="00F410D0"/>
    <w:rsid w:val="00F41F98"/>
    <w:rsid w:val="00F42111"/>
    <w:rsid w:val="00F4278D"/>
    <w:rsid w:val="00F4293C"/>
    <w:rsid w:val="00F437B5"/>
    <w:rsid w:val="00F43902"/>
    <w:rsid w:val="00F43908"/>
    <w:rsid w:val="00F43A2F"/>
    <w:rsid w:val="00F43A74"/>
    <w:rsid w:val="00F44032"/>
    <w:rsid w:val="00F44CCB"/>
    <w:rsid w:val="00F45147"/>
    <w:rsid w:val="00F452CC"/>
    <w:rsid w:val="00F455B6"/>
    <w:rsid w:val="00F45B67"/>
    <w:rsid w:val="00F45E63"/>
    <w:rsid w:val="00F461C3"/>
    <w:rsid w:val="00F46303"/>
    <w:rsid w:val="00F4727F"/>
    <w:rsid w:val="00F47C1E"/>
    <w:rsid w:val="00F47CB8"/>
    <w:rsid w:val="00F47EA4"/>
    <w:rsid w:val="00F50042"/>
    <w:rsid w:val="00F50461"/>
    <w:rsid w:val="00F5087A"/>
    <w:rsid w:val="00F50D0C"/>
    <w:rsid w:val="00F50F0B"/>
    <w:rsid w:val="00F51372"/>
    <w:rsid w:val="00F51ABB"/>
    <w:rsid w:val="00F51B41"/>
    <w:rsid w:val="00F51D8E"/>
    <w:rsid w:val="00F5263D"/>
    <w:rsid w:val="00F52A53"/>
    <w:rsid w:val="00F52B7A"/>
    <w:rsid w:val="00F5300D"/>
    <w:rsid w:val="00F53188"/>
    <w:rsid w:val="00F533BE"/>
    <w:rsid w:val="00F53424"/>
    <w:rsid w:val="00F53523"/>
    <w:rsid w:val="00F5352D"/>
    <w:rsid w:val="00F539BF"/>
    <w:rsid w:val="00F53CD4"/>
    <w:rsid w:val="00F53D8C"/>
    <w:rsid w:val="00F53E65"/>
    <w:rsid w:val="00F53FED"/>
    <w:rsid w:val="00F5416D"/>
    <w:rsid w:val="00F545D5"/>
    <w:rsid w:val="00F5477F"/>
    <w:rsid w:val="00F55285"/>
    <w:rsid w:val="00F556DB"/>
    <w:rsid w:val="00F55E0B"/>
    <w:rsid w:val="00F560FD"/>
    <w:rsid w:val="00F5645B"/>
    <w:rsid w:val="00F5672A"/>
    <w:rsid w:val="00F568A1"/>
    <w:rsid w:val="00F56BF1"/>
    <w:rsid w:val="00F57323"/>
    <w:rsid w:val="00F57511"/>
    <w:rsid w:val="00F57787"/>
    <w:rsid w:val="00F57CAA"/>
    <w:rsid w:val="00F608C6"/>
    <w:rsid w:val="00F60BC8"/>
    <w:rsid w:val="00F60EA8"/>
    <w:rsid w:val="00F616C1"/>
    <w:rsid w:val="00F618AC"/>
    <w:rsid w:val="00F622A1"/>
    <w:rsid w:val="00F622DF"/>
    <w:rsid w:val="00F62432"/>
    <w:rsid w:val="00F6275A"/>
    <w:rsid w:val="00F6299C"/>
    <w:rsid w:val="00F62A9B"/>
    <w:rsid w:val="00F62CED"/>
    <w:rsid w:val="00F6324B"/>
    <w:rsid w:val="00F63BC6"/>
    <w:rsid w:val="00F63DFB"/>
    <w:rsid w:val="00F64138"/>
    <w:rsid w:val="00F6466E"/>
    <w:rsid w:val="00F64DDC"/>
    <w:rsid w:val="00F65244"/>
    <w:rsid w:val="00F65597"/>
    <w:rsid w:val="00F657AC"/>
    <w:rsid w:val="00F65A6F"/>
    <w:rsid w:val="00F65BAF"/>
    <w:rsid w:val="00F66497"/>
    <w:rsid w:val="00F665CB"/>
    <w:rsid w:val="00F66979"/>
    <w:rsid w:val="00F66A85"/>
    <w:rsid w:val="00F66B64"/>
    <w:rsid w:val="00F66F21"/>
    <w:rsid w:val="00F67419"/>
    <w:rsid w:val="00F67997"/>
    <w:rsid w:val="00F702E5"/>
    <w:rsid w:val="00F70AB5"/>
    <w:rsid w:val="00F7117C"/>
    <w:rsid w:val="00F71487"/>
    <w:rsid w:val="00F72007"/>
    <w:rsid w:val="00F72021"/>
    <w:rsid w:val="00F724E3"/>
    <w:rsid w:val="00F72534"/>
    <w:rsid w:val="00F72CF3"/>
    <w:rsid w:val="00F72D91"/>
    <w:rsid w:val="00F72E18"/>
    <w:rsid w:val="00F73538"/>
    <w:rsid w:val="00F73E3D"/>
    <w:rsid w:val="00F73EFB"/>
    <w:rsid w:val="00F7404D"/>
    <w:rsid w:val="00F740D2"/>
    <w:rsid w:val="00F7425C"/>
    <w:rsid w:val="00F74577"/>
    <w:rsid w:val="00F749CC"/>
    <w:rsid w:val="00F74F73"/>
    <w:rsid w:val="00F75052"/>
    <w:rsid w:val="00F754BD"/>
    <w:rsid w:val="00F76319"/>
    <w:rsid w:val="00F7684E"/>
    <w:rsid w:val="00F769CD"/>
    <w:rsid w:val="00F76F69"/>
    <w:rsid w:val="00F773C8"/>
    <w:rsid w:val="00F774B1"/>
    <w:rsid w:val="00F779C8"/>
    <w:rsid w:val="00F77A8A"/>
    <w:rsid w:val="00F77DCC"/>
    <w:rsid w:val="00F80713"/>
    <w:rsid w:val="00F80CF2"/>
    <w:rsid w:val="00F80D7F"/>
    <w:rsid w:val="00F810DD"/>
    <w:rsid w:val="00F813EB"/>
    <w:rsid w:val="00F8153A"/>
    <w:rsid w:val="00F81556"/>
    <w:rsid w:val="00F81EB2"/>
    <w:rsid w:val="00F82E49"/>
    <w:rsid w:val="00F82F8C"/>
    <w:rsid w:val="00F832F1"/>
    <w:rsid w:val="00F83C8D"/>
    <w:rsid w:val="00F84030"/>
    <w:rsid w:val="00F84576"/>
    <w:rsid w:val="00F84FA4"/>
    <w:rsid w:val="00F8520D"/>
    <w:rsid w:val="00F855A8"/>
    <w:rsid w:val="00F85977"/>
    <w:rsid w:val="00F85D97"/>
    <w:rsid w:val="00F86258"/>
    <w:rsid w:val="00F86316"/>
    <w:rsid w:val="00F8684A"/>
    <w:rsid w:val="00F868AF"/>
    <w:rsid w:val="00F86C23"/>
    <w:rsid w:val="00F86E0F"/>
    <w:rsid w:val="00F86F94"/>
    <w:rsid w:val="00F87022"/>
    <w:rsid w:val="00F87343"/>
    <w:rsid w:val="00F8734A"/>
    <w:rsid w:val="00F87383"/>
    <w:rsid w:val="00F873DC"/>
    <w:rsid w:val="00F877C1"/>
    <w:rsid w:val="00F900D8"/>
    <w:rsid w:val="00F901AB"/>
    <w:rsid w:val="00F90790"/>
    <w:rsid w:val="00F90BF5"/>
    <w:rsid w:val="00F90F19"/>
    <w:rsid w:val="00F91B00"/>
    <w:rsid w:val="00F91E45"/>
    <w:rsid w:val="00F91EA6"/>
    <w:rsid w:val="00F92084"/>
    <w:rsid w:val="00F9256F"/>
    <w:rsid w:val="00F9286B"/>
    <w:rsid w:val="00F92E6B"/>
    <w:rsid w:val="00F9316E"/>
    <w:rsid w:val="00F93533"/>
    <w:rsid w:val="00F93B15"/>
    <w:rsid w:val="00F93B8D"/>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6C99"/>
    <w:rsid w:val="00F970D8"/>
    <w:rsid w:val="00F971DB"/>
    <w:rsid w:val="00F971E0"/>
    <w:rsid w:val="00F9723E"/>
    <w:rsid w:val="00F9788F"/>
    <w:rsid w:val="00F97DD3"/>
    <w:rsid w:val="00F97DEF"/>
    <w:rsid w:val="00F97E23"/>
    <w:rsid w:val="00F97F79"/>
    <w:rsid w:val="00FA0870"/>
    <w:rsid w:val="00FA0B13"/>
    <w:rsid w:val="00FA0C4E"/>
    <w:rsid w:val="00FA1A41"/>
    <w:rsid w:val="00FA1C42"/>
    <w:rsid w:val="00FA1C68"/>
    <w:rsid w:val="00FA1CE9"/>
    <w:rsid w:val="00FA1E79"/>
    <w:rsid w:val="00FA223B"/>
    <w:rsid w:val="00FA24CE"/>
    <w:rsid w:val="00FA2556"/>
    <w:rsid w:val="00FA2625"/>
    <w:rsid w:val="00FA288C"/>
    <w:rsid w:val="00FA291B"/>
    <w:rsid w:val="00FA2A08"/>
    <w:rsid w:val="00FA2AA3"/>
    <w:rsid w:val="00FA2EC7"/>
    <w:rsid w:val="00FA303C"/>
    <w:rsid w:val="00FA3445"/>
    <w:rsid w:val="00FA3634"/>
    <w:rsid w:val="00FA36BA"/>
    <w:rsid w:val="00FA3FB6"/>
    <w:rsid w:val="00FA4048"/>
    <w:rsid w:val="00FA5011"/>
    <w:rsid w:val="00FA545F"/>
    <w:rsid w:val="00FA56A2"/>
    <w:rsid w:val="00FA57B9"/>
    <w:rsid w:val="00FA587B"/>
    <w:rsid w:val="00FA5A5D"/>
    <w:rsid w:val="00FA5B5A"/>
    <w:rsid w:val="00FA5F69"/>
    <w:rsid w:val="00FA66BD"/>
    <w:rsid w:val="00FA66F1"/>
    <w:rsid w:val="00FA696C"/>
    <w:rsid w:val="00FA6EC9"/>
    <w:rsid w:val="00FA6EE8"/>
    <w:rsid w:val="00FA6FA5"/>
    <w:rsid w:val="00FA727B"/>
    <w:rsid w:val="00FA7C43"/>
    <w:rsid w:val="00FB040D"/>
    <w:rsid w:val="00FB0549"/>
    <w:rsid w:val="00FB05AE"/>
    <w:rsid w:val="00FB08F3"/>
    <w:rsid w:val="00FB095D"/>
    <w:rsid w:val="00FB0D60"/>
    <w:rsid w:val="00FB1191"/>
    <w:rsid w:val="00FB127E"/>
    <w:rsid w:val="00FB18CA"/>
    <w:rsid w:val="00FB1A9B"/>
    <w:rsid w:val="00FB1AA8"/>
    <w:rsid w:val="00FB1D17"/>
    <w:rsid w:val="00FB20DC"/>
    <w:rsid w:val="00FB20F4"/>
    <w:rsid w:val="00FB23C7"/>
    <w:rsid w:val="00FB2E10"/>
    <w:rsid w:val="00FB2F64"/>
    <w:rsid w:val="00FB31B3"/>
    <w:rsid w:val="00FB336A"/>
    <w:rsid w:val="00FB3520"/>
    <w:rsid w:val="00FB3659"/>
    <w:rsid w:val="00FB3DAE"/>
    <w:rsid w:val="00FB3DB2"/>
    <w:rsid w:val="00FB40B9"/>
    <w:rsid w:val="00FB4187"/>
    <w:rsid w:val="00FB4240"/>
    <w:rsid w:val="00FB48F3"/>
    <w:rsid w:val="00FB4B10"/>
    <w:rsid w:val="00FB4C64"/>
    <w:rsid w:val="00FB4D57"/>
    <w:rsid w:val="00FB4DC5"/>
    <w:rsid w:val="00FB4E50"/>
    <w:rsid w:val="00FB5003"/>
    <w:rsid w:val="00FB5356"/>
    <w:rsid w:val="00FB5374"/>
    <w:rsid w:val="00FB53C9"/>
    <w:rsid w:val="00FB5841"/>
    <w:rsid w:val="00FB6952"/>
    <w:rsid w:val="00FB699F"/>
    <w:rsid w:val="00FB6AD8"/>
    <w:rsid w:val="00FB70DB"/>
    <w:rsid w:val="00FB73E5"/>
    <w:rsid w:val="00FB7445"/>
    <w:rsid w:val="00FB7447"/>
    <w:rsid w:val="00FB75BC"/>
    <w:rsid w:val="00FB7AAF"/>
    <w:rsid w:val="00FB7D7A"/>
    <w:rsid w:val="00FB7EDC"/>
    <w:rsid w:val="00FC1205"/>
    <w:rsid w:val="00FC1928"/>
    <w:rsid w:val="00FC192D"/>
    <w:rsid w:val="00FC1C91"/>
    <w:rsid w:val="00FC2817"/>
    <w:rsid w:val="00FC2E32"/>
    <w:rsid w:val="00FC2EE7"/>
    <w:rsid w:val="00FC3574"/>
    <w:rsid w:val="00FC3ADF"/>
    <w:rsid w:val="00FC3D85"/>
    <w:rsid w:val="00FC3E97"/>
    <w:rsid w:val="00FC3F76"/>
    <w:rsid w:val="00FC3FBF"/>
    <w:rsid w:val="00FC47E9"/>
    <w:rsid w:val="00FC4D3E"/>
    <w:rsid w:val="00FC4DDA"/>
    <w:rsid w:val="00FC534C"/>
    <w:rsid w:val="00FC54A6"/>
    <w:rsid w:val="00FC5C11"/>
    <w:rsid w:val="00FC5FEE"/>
    <w:rsid w:val="00FC603D"/>
    <w:rsid w:val="00FC6203"/>
    <w:rsid w:val="00FC6582"/>
    <w:rsid w:val="00FC6E28"/>
    <w:rsid w:val="00FC7178"/>
    <w:rsid w:val="00FC7867"/>
    <w:rsid w:val="00FC7E2A"/>
    <w:rsid w:val="00FC7F88"/>
    <w:rsid w:val="00FD0148"/>
    <w:rsid w:val="00FD0168"/>
    <w:rsid w:val="00FD016A"/>
    <w:rsid w:val="00FD0598"/>
    <w:rsid w:val="00FD062D"/>
    <w:rsid w:val="00FD0A3A"/>
    <w:rsid w:val="00FD0B27"/>
    <w:rsid w:val="00FD11E5"/>
    <w:rsid w:val="00FD14B4"/>
    <w:rsid w:val="00FD15F4"/>
    <w:rsid w:val="00FD1E8D"/>
    <w:rsid w:val="00FD249A"/>
    <w:rsid w:val="00FD2CC7"/>
    <w:rsid w:val="00FD324B"/>
    <w:rsid w:val="00FD3455"/>
    <w:rsid w:val="00FD3858"/>
    <w:rsid w:val="00FD3A95"/>
    <w:rsid w:val="00FD3DDB"/>
    <w:rsid w:val="00FD3DE8"/>
    <w:rsid w:val="00FD4223"/>
    <w:rsid w:val="00FD44FB"/>
    <w:rsid w:val="00FD478D"/>
    <w:rsid w:val="00FD47A4"/>
    <w:rsid w:val="00FD5088"/>
    <w:rsid w:val="00FD50B8"/>
    <w:rsid w:val="00FD5646"/>
    <w:rsid w:val="00FD568E"/>
    <w:rsid w:val="00FD5B49"/>
    <w:rsid w:val="00FD6AD6"/>
    <w:rsid w:val="00FD6D41"/>
    <w:rsid w:val="00FD6E92"/>
    <w:rsid w:val="00FD7189"/>
    <w:rsid w:val="00FD72EE"/>
    <w:rsid w:val="00FD76C4"/>
    <w:rsid w:val="00FD7C79"/>
    <w:rsid w:val="00FD7D05"/>
    <w:rsid w:val="00FE0C8A"/>
    <w:rsid w:val="00FE0D7D"/>
    <w:rsid w:val="00FE1021"/>
    <w:rsid w:val="00FE13B7"/>
    <w:rsid w:val="00FE17F0"/>
    <w:rsid w:val="00FE1E4F"/>
    <w:rsid w:val="00FE20F2"/>
    <w:rsid w:val="00FE22D4"/>
    <w:rsid w:val="00FE22E6"/>
    <w:rsid w:val="00FE2BAB"/>
    <w:rsid w:val="00FE2DFE"/>
    <w:rsid w:val="00FE3128"/>
    <w:rsid w:val="00FE3C33"/>
    <w:rsid w:val="00FE3E93"/>
    <w:rsid w:val="00FE42DF"/>
    <w:rsid w:val="00FE438A"/>
    <w:rsid w:val="00FE46BD"/>
    <w:rsid w:val="00FE490F"/>
    <w:rsid w:val="00FE494F"/>
    <w:rsid w:val="00FE4B50"/>
    <w:rsid w:val="00FE5761"/>
    <w:rsid w:val="00FE5C76"/>
    <w:rsid w:val="00FE5EA8"/>
    <w:rsid w:val="00FE6103"/>
    <w:rsid w:val="00FE618D"/>
    <w:rsid w:val="00FE648A"/>
    <w:rsid w:val="00FE64F0"/>
    <w:rsid w:val="00FE6757"/>
    <w:rsid w:val="00FE698D"/>
    <w:rsid w:val="00FE737F"/>
    <w:rsid w:val="00FF068E"/>
    <w:rsid w:val="00FF0BE2"/>
    <w:rsid w:val="00FF0C0B"/>
    <w:rsid w:val="00FF0C54"/>
    <w:rsid w:val="00FF0F68"/>
    <w:rsid w:val="00FF131E"/>
    <w:rsid w:val="00FF14B2"/>
    <w:rsid w:val="00FF15EF"/>
    <w:rsid w:val="00FF1634"/>
    <w:rsid w:val="00FF1985"/>
    <w:rsid w:val="00FF1E67"/>
    <w:rsid w:val="00FF1F63"/>
    <w:rsid w:val="00FF276D"/>
    <w:rsid w:val="00FF27DC"/>
    <w:rsid w:val="00FF27E5"/>
    <w:rsid w:val="00FF2EFB"/>
    <w:rsid w:val="00FF31CA"/>
    <w:rsid w:val="00FF3250"/>
    <w:rsid w:val="00FF3328"/>
    <w:rsid w:val="00FF3426"/>
    <w:rsid w:val="00FF34C4"/>
    <w:rsid w:val="00FF39D1"/>
    <w:rsid w:val="00FF3AA9"/>
    <w:rsid w:val="00FF3F99"/>
    <w:rsid w:val="00FF474C"/>
    <w:rsid w:val="00FF49F4"/>
    <w:rsid w:val="00FF4C3A"/>
    <w:rsid w:val="00FF4E4C"/>
    <w:rsid w:val="00FF4E9A"/>
    <w:rsid w:val="00FF5232"/>
    <w:rsid w:val="00FF550D"/>
    <w:rsid w:val="00FF573E"/>
    <w:rsid w:val="00FF5A26"/>
    <w:rsid w:val="00FF5AD7"/>
    <w:rsid w:val="00FF652A"/>
    <w:rsid w:val="00FF659D"/>
    <w:rsid w:val="00FF66F1"/>
    <w:rsid w:val="00FF6ABB"/>
    <w:rsid w:val="00FF6B04"/>
    <w:rsid w:val="00FF6E1E"/>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9CAFC"/>
  <w15:docId w15:val="{27D954E8-E431-4C28-AA6E-BF2909AE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62"/>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link w:val="PrrafodelistaCar"/>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character" w:customStyle="1" w:styleId="PrrafodelistaCar">
    <w:name w:val="Párrafo de lista Car"/>
    <w:link w:val="Prrafodelista"/>
    <w:uiPriority w:val="34"/>
    <w:locked/>
    <w:rsid w:val="00740BBB"/>
    <w:rPr>
      <w:rFonts w:ascii="Arial" w:hAnsi="Arial" w:cs="Times New Roman"/>
      <w:sz w:val="24"/>
      <w:szCs w:val="24"/>
    </w:rPr>
  </w:style>
  <w:style w:type="paragraph" w:customStyle="1" w:styleId="Car">
    <w:name w:val="Car"/>
    <w:basedOn w:val="Normal"/>
    <w:next w:val="Puesto"/>
    <w:qFormat/>
    <w:rsid w:val="004F2068"/>
    <w:pPr>
      <w:spacing w:line="240" w:lineRule="auto"/>
      <w:jc w:val="center"/>
    </w:pPr>
    <w:rPr>
      <w:rFonts w:eastAsia="MS Mincho" w:cs="Arial"/>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256">
      <w:bodyDiv w:val="1"/>
      <w:marLeft w:val="0"/>
      <w:marRight w:val="0"/>
      <w:marTop w:val="0"/>
      <w:marBottom w:val="0"/>
      <w:divBdr>
        <w:top w:val="none" w:sz="0" w:space="0" w:color="auto"/>
        <w:left w:val="none" w:sz="0" w:space="0" w:color="auto"/>
        <w:bottom w:val="none" w:sz="0" w:space="0" w:color="auto"/>
        <w:right w:val="none" w:sz="0" w:space="0" w:color="auto"/>
      </w:divBdr>
    </w:div>
    <w:div w:id="83458791">
      <w:bodyDiv w:val="1"/>
      <w:marLeft w:val="0"/>
      <w:marRight w:val="0"/>
      <w:marTop w:val="0"/>
      <w:marBottom w:val="0"/>
      <w:divBdr>
        <w:top w:val="none" w:sz="0" w:space="0" w:color="auto"/>
        <w:left w:val="none" w:sz="0" w:space="0" w:color="auto"/>
        <w:bottom w:val="none" w:sz="0" w:space="0" w:color="auto"/>
        <w:right w:val="none" w:sz="0" w:space="0" w:color="auto"/>
      </w:divBdr>
    </w:div>
    <w:div w:id="133110197">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6887">
      <w:bodyDiv w:val="1"/>
      <w:marLeft w:val="0"/>
      <w:marRight w:val="0"/>
      <w:marTop w:val="0"/>
      <w:marBottom w:val="0"/>
      <w:divBdr>
        <w:top w:val="none" w:sz="0" w:space="0" w:color="auto"/>
        <w:left w:val="none" w:sz="0" w:space="0" w:color="auto"/>
        <w:bottom w:val="none" w:sz="0" w:space="0" w:color="auto"/>
        <w:right w:val="none" w:sz="0" w:space="0" w:color="auto"/>
      </w:divBdr>
    </w:div>
    <w:div w:id="406927992">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9389">
      <w:bodyDiv w:val="1"/>
      <w:marLeft w:val="0"/>
      <w:marRight w:val="0"/>
      <w:marTop w:val="0"/>
      <w:marBottom w:val="0"/>
      <w:divBdr>
        <w:top w:val="none" w:sz="0" w:space="0" w:color="auto"/>
        <w:left w:val="none" w:sz="0" w:space="0" w:color="auto"/>
        <w:bottom w:val="none" w:sz="0" w:space="0" w:color="auto"/>
        <w:right w:val="none" w:sz="0" w:space="0" w:color="auto"/>
      </w:divBdr>
    </w:div>
    <w:div w:id="657074298">
      <w:bodyDiv w:val="1"/>
      <w:marLeft w:val="0"/>
      <w:marRight w:val="0"/>
      <w:marTop w:val="0"/>
      <w:marBottom w:val="0"/>
      <w:divBdr>
        <w:top w:val="none" w:sz="0" w:space="0" w:color="auto"/>
        <w:left w:val="none" w:sz="0" w:space="0" w:color="auto"/>
        <w:bottom w:val="none" w:sz="0" w:space="0" w:color="auto"/>
        <w:right w:val="none" w:sz="0" w:space="0" w:color="auto"/>
      </w:divBdr>
    </w:div>
    <w:div w:id="671689717">
      <w:bodyDiv w:val="1"/>
      <w:marLeft w:val="0"/>
      <w:marRight w:val="0"/>
      <w:marTop w:val="0"/>
      <w:marBottom w:val="0"/>
      <w:divBdr>
        <w:top w:val="none" w:sz="0" w:space="0" w:color="auto"/>
        <w:left w:val="none" w:sz="0" w:space="0" w:color="auto"/>
        <w:bottom w:val="none" w:sz="0" w:space="0" w:color="auto"/>
        <w:right w:val="none" w:sz="0" w:space="0" w:color="auto"/>
      </w:divBdr>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13047755">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73760343">
      <w:bodyDiv w:val="1"/>
      <w:marLeft w:val="0"/>
      <w:marRight w:val="0"/>
      <w:marTop w:val="0"/>
      <w:marBottom w:val="0"/>
      <w:divBdr>
        <w:top w:val="none" w:sz="0" w:space="0" w:color="auto"/>
        <w:left w:val="none" w:sz="0" w:space="0" w:color="auto"/>
        <w:bottom w:val="none" w:sz="0" w:space="0" w:color="auto"/>
        <w:right w:val="none" w:sz="0" w:space="0" w:color="auto"/>
      </w:divBdr>
    </w:div>
    <w:div w:id="1226796925">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257055115">
      <w:bodyDiv w:val="1"/>
      <w:marLeft w:val="0"/>
      <w:marRight w:val="0"/>
      <w:marTop w:val="0"/>
      <w:marBottom w:val="0"/>
      <w:divBdr>
        <w:top w:val="none" w:sz="0" w:space="0" w:color="auto"/>
        <w:left w:val="none" w:sz="0" w:space="0" w:color="auto"/>
        <w:bottom w:val="none" w:sz="0" w:space="0" w:color="auto"/>
        <w:right w:val="none" w:sz="0" w:space="0" w:color="auto"/>
      </w:divBdr>
    </w:div>
    <w:div w:id="1366448352">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6627005">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98034811">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0236424">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8726644">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797FC-F29E-4995-B4B1-A7575A129069}">
  <ds:schemaRefs>
    <ds:schemaRef ds:uri="http://schemas.openxmlformats.org/officeDocument/2006/bibliography"/>
  </ds:schemaRefs>
</ds:datastoreItem>
</file>

<file path=customXml/itemProps2.xml><?xml version="1.0" encoding="utf-8"?>
<ds:datastoreItem xmlns:ds="http://schemas.openxmlformats.org/officeDocument/2006/customXml" ds:itemID="{CF6D3116-2E41-46DA-9277-9285FEE5A4E0}">
  <ds:schemaRefs>
    <ds:schemaRef ds:uri="http://schemas.microsoft.com/sharepoint/v3/contenttype/forms"/>
  </ds:schemaRefs>
</ds:datastoreItem>
</file>

<file path=customXml/itemProps3.xml><?xml version="1.0" encoding="utf-8"?>
<ds:datastoreItem xmlns:ds="http://schemas.openxmlformats.org/officeDocument/2006/customXml" ds:itemID="{E42D52AD-EDF0-4057-AD66-A7F2DF644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843D7-B88A-4887-B411-3A1E9B3D5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8552</Words>
  <Characters>47036</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55478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Carlos Mario Castrillón Endo</cp:lastModifiedBy>
  <cp:revision>2</cp:revision>
  <cp:lastPrinted>2016-03-09T21:54:00Z</cp:lastPrinted>
  <dcterms:created xsi:type="dcterms:W3CDTF">2020-07-01T18:25:00Z</dcterms:created>
  <dcterms:modified xsi:type="dcterms:W3CDTF">2020-07-01T18:25:00Z</dcterms:modified>
</cp:coreProperties>
</file>