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422B7" w14:textId="77777777" w:rsidR="003424C6" w:rsidRPr="00535F04" w:rsidRDefault="00C32CDC" w:rsidP="006E4E24">
      <w:pPr>
        <w:rPr>
          <w:rFonts w:ascii="Arial" w:hAnsi="Arial" w:cs="Arial"/>
          <w:b/>
          <w:spacing w:val="4"/>
        </w:rPr>
      </w:pPr>
      <w:r>
        <w:rPr>
          <w:rFonts w:ascii="Arial" w:hAnsi="Arial" w:cs="Arial"/>
          <w:b/>
          <w:spacing w:val="4"/>
        </w:rPr>
        <w:t>N</w:t>
      </w:r>
      <w:r w:rsidR="003424C6" w:rsidRPr="006E4E24">
        <w:rPr>
          <w:rFonts w:ascii="Arial" w:hAnsi="Arial" w:cs="Arial"/>
          <w:b/>
          <w:spacing w:val="4"/>
        </w:rPr>
        <w:t xml:space="preserve">ULIDAD Y RESTABLECIMIENTO DEL DERECHO - </w:t>
      </w:r>
      <w:r w:rsidR="003424C6" w:rsidRPr="00535F04">
        <w:rPr>
          <w:rFonts w:ascii="Arial" w:hAnsi="Arial" w:cs="Arial"/>
          <w:b/>
          <w:spacing w:val="4"/>
        </w:rPr>
        <w:t>Actos precontractuales</w:t>
      </w:r>
    </w:p>
    <w:p w14:paraId="0234C33D" w14:textId="77777777" w:rsidR="008F674F" w:rsidRPr="00C32CDC" w:rsidRDefault="008F674F" w:rsidP="006E4E24">
      <w:pPr>
        <w:rPr>
          <w:rFonts w:ascii="Arial" w:hAnsi="Arial" w:cs="Arial"/>
          <w:spacing w:val="4"/>
        </w:rPr>
      </w:pPr>
    </w:p>
    <w:p w14:paraId="3D32BF32" w14:textId="77777777" w:rsidR="00C32CDC" w:rsidRPr="00C32CDC" w:rsidRDefault="00C32CDC" w:rsidP="00C32CDC">
      <w:pPr>
        <w:rPr>
          <w:rFonts w:ascii="Arial" w:hAnsi="Arial" w:cs="Arial"/>
          <w:spacing w:val="4"/>
          <w:lang w:val="es-ES_tradnl"/>
        </w:rPr>
      </w:pPr>
      <w:r w:rsidRPr="00C32CDC">
        <w:rPr>
          <w:rFonts w:ascii="Arial" w:hAnsi="Arial" w:cs="Arial"/>
          <w:spacing w:val="4"/>
          <w:lang w:val="es-ES_tradnl"/>
        </w:rPr>
        <w:t>Se precisa aquí que aquellos actos administrativos producidos con ocasión de la actividad contractual con anterioridad a la celebración del contrato, en la etapa de formación de la relación contractual -conocidos como actos previos-, constituyen verdaderos actos administrativos pasibles de las acciones previstas en el artículo 87 del Código Contencioso Administrativo, en la forma y oportunidad que allí se contempla.</w:t>
      </w:r>
      <w:r>
        <w:rPr>
          <w:rFonts w:ascii="Arial" w:hAnsi="Arial" w:cs="Arial"/>
          <w:spacing w:val="4"/>
          <w:lang w:val="es-ES_tradnl"/>
        </w:rPr>
        <w:t xml:space="preserve"> </w:t>
      </w:r>
    </w:p>
    <w:p w14:paraId="5EDDB84E" w14:textId="77777777" w:rsidR="003424C6" w:rsidRPr="006E4E24" w:rsidRDefault="008F674F" w:rsidP="006E4E24">
      <w:pPr>
        <w:rPr>
          <w:rFonts w:ascii="Arial" w:hAnsi="Arial" w:cs="Arial"/>
          <w:spacing w:val="4"/>
        </w:rPr>
      </w:pPr>
      <w:r w:rsidRPr="006E4E24">
        <w:rPr>
          <w:rFonts w:ascii="Arial" w:hAnsi="Arial" w:cs="Arial"/>
          <w:spacing w:val="4"/>
          <w:lang w:val="es-ES_tradnl"/>
        </w:rPr>
        <w:t xml:space="preserve">En igual forma, se reafirma que la declaratoria de desierta constituye un acto que se produce en el escenario de un procedimiento de contratación y, por tanto, constituye un acto administrativo susceptible de ser impugnado ante la jurisdicción de lo contencioso administrativo. Finalmente, se pone de presente que la Jurisdicción de lo Contencioso Administrativo es la llamada a dirimir las controversias que se originan en la actividad contractual de las entidades estatales, de acuerdo con los dictados del artículo 75 de la Ley 80 de 1993. </w:t>
      </w:r>
    </w:p>
    <w:p w14:paraId="7AF482B1" w14:textId="77777777" w:rsidR="00AF23EF" w:rsidRPr="006E4E24" w:rsidRDefault="00AF23EF" w:rsidP="006E4E24">
      <w:pPr>
        <w:rPr>
          <w:rFonts w:ascii="Arial" w:hAnsi="Arial" w:cs="Arial"/>
          <w:b/>
        </w:rPr>
      </w:pPr>
    </w:p>
    <w:p w14:paraId="1146B1E5" w14:textId="77777777" w:rsidR="00891FD1" w:rsidRPr="00535F04" w:rsidRDefault="00AB31BF" w:rsidP="006E4E24">
      <w:pPr>
        <w:rPr>
          <w:rFonts w:ascii="Arial" w:hAnsi="Arial" w:cs="Arial"/>
          <w:b/>
        </w:rPr>
      </w:pPr>
      <w:r w:rsidRPr="006E4E24">
        <w:rPr>
          <w:rFonts w:ascii="Arial" w:hAnsi="Arial" w:cs="Arial"/>
          <w:b/>
        </w:rPr>
        <w:t xml:space="preserve">PLIEGOS DE CONDICIONES </w:t>
      </w:r>
      <w:r w:rsidR="00C32CDC">
        <w:rPr>
          <w:rFonts w:ascii="Arial" w:hAnsi="Arial" w:cs="Arial"/>
          <w:b/>
        </w:rPr>
        <w:t>-</w:t>
      </w:r>
      <w:r w:rsidR="00891FD1" w:rsidRPr="006E4E24">
        <w:rPr>
          <w:rFonts w:ascii="Arial" w:hAnsi="Arial" w:cs="Arial"/>
          <w:b/>
        </w:rPr>
        <w:t xml:space="preserve"> </w:t>
      </w:r>
      <w:r w:rsidR="00C32CDC">
        <w:rPr>
          <w:rFonts w:ascii="Arial" w:hAnsi="Arial" w:cs="Arial"/>
          <w:b/>
        </w:rPr>
        <w:t>Condiciones - T</w:t>
      </w:r>
      <w:r w:rsidR="00891FD1" w:rsidRPr="00535F04">
        <w:rPr>
          <w:rFonts w:ascii="Arial" w:hAnsi="Arial" w:cs="Arial"/>
          <w:b/>
        </w:rPr>
        <w:t xml:space="preserve">érminos de referencia </w:t>
      </w:r>
    </w:p>
    <w:p w14:paraId="60235FC1" w14:textId="77777777" w:rsidR="0012094B" w:rsidRPr="00535F04" w:rsidRDefault="0012094B" w:rsidP="006E4E24">
      <w:pPr>
        <w:rPr>
          <w:rFonts w:ascii="Arial" w:hAnsi="Arial" w:cs="Arial"/>
          <w:b/>
        </w:rPr>
      </w:pPr>
    </w:p>
    <w:p w14:paraId="481D467B" w14:textId="77777777" w:rsidR="00AB31BF" w:rsidRPr="006E4E24" w:rsidRDefault="00084464" w:rsidP="006E4E24">
      <w:pPr>
        <w:rPr>
          <w:rFonts w:ascii="Arial" w:hAnsi="Arial" w:cs="Arial"/>
          <w:lang w:val="es-ES"/>
        </w:rPr>
      </w:pPr>
      <w:r w:rsidRPr="006E4E24">
        <w:rPr>
          <w:rFonts w:ascii="Arial" w:hAnsi="Arial" w:cs="Arial"/>
        </w:rPr>
        <w:t>Se debe tener presente que el documento de términos de referencia constituye el compendio de las reglas y condiciones de las diversas actuaciones dentro del procedimiento precontractual, como, por ejemplo, aquellas que rigen la presentación de las ofertas, la evaluación y calificación de propuestas y la adjudicación del contrato o la declaratoria de desierta de la convocatoria, en su caso. En este orden de ideas, se advierte que el pliego de condiciones es ley del procedimiento de contratación y, por ello, constituye una regla básica para el análisis de legalidad del acto de adjudicación, o, como en este caso, del acto de declaratoria de desierta.</w:t>
      </w:r>
      <w:r w:rsidR="00AB31BF" w:rsidRPr="006E4E24">
        <w:rPr>
          <w:rFonts w:ascii="Arial" w:hAnsi="Arial" w:cs="Arial"/>
        </w:rPr>
        <w:t xml:space="preserve"> </w:t>
      </w:r>
      <w:r w:rsidR="00E333D6" w:rsidRPr="006E4E24">
        <w:rPr>
          <w:rFonts w:ascii="Arial" w:hAnsi="Arial" w:cs="Arial"/>
        </w:rPr>
        <w:t>Así las cosas, el estudio de las razones por las que se impugnó la declaratoria de desierta tiene que pasar por el análisis de las reglas del pliego de condiciones. Se pone de presente, igualmente, la presunción de legalidad que ampara el acto de declaratoria desierta, la cual debe ser desvirtuada por la demandante, con fundamento en las pruebas que acreditan los supuestos de hecho que expone en la demanda, para salir avante con la pretensión de nulidad planteada, en este caso, mediante la prueba de la forma como supuestamente fueron transgredidas las reglas del pliego de condiciones.</w:t>
      </w:r>
    </w:p>
    <w:p w14:paraId="2625AE95" w14:textId="77777777" w:rsidR="00084464" w:rsidRPr="006E4E24" w:rsidRDefault="00084464" w:rsidP="006E4E24">
      <w:pPr>
        <w:rPr>
          <w:rFonts w:ascii="Arial" w:hAnsi="Arial" w:cs="Arial"/>
          <w:b/>
        </w:rPr>
      </w:pPr>
    </w:p>
    <w:p w14:paraId="0EA75210" w14:textId="77777777" w:rsidR="00917224" w:rsidRPr="00535F04" w:rsidRDefault="00917224" w:rsidP="006E4E24">
      <w:pPr>
        <w:rPr>
          <w:rFonts w:ascii="Arial" w:hAnsi="Arial" w:cs="Arial"/>
          <w:b/>
        </w:rPr>
      </w:pPr>
      <w:r w:rsidRPr="006E4E24">
        <w:rPr>
          <w:rFonts w:ascii="Arial" w:hAnsi="Arial" w:cs="Arial"/>
          <w:b/>
        </w:rPr>
        <w:t xml:space="preserve">ACTIVIDAD PRECONTRACTUAL </w:t>
      </w:r>
      <w:r w:rsidR="00A94422" w:rsidRPr="006E4E24">
        <w:rPr>
          <w:rFonts w:ascii="Arial" w:hAnsi="Arial" w:cs="Arial"/>
          <w:b/>
        </w:rPr>
        <w:t xml:space="preserve">- </w:t>
      </w:r>
      <w:r w:rsidR="00A94422" w:rsidRPr="00535F04">
        <w:rPr>
          <w:rFonts w:ascii="Arial" w:hAnsi="Arial" w:cs="Arial"/>
          <w:b/>
        </w:rPr>
        <w:t>S</w:t>
      </w:r>
      <w:r w:rsidRPr="00535F04">
        <w:rPr>
          <w:rFonts w:ascii="Arial" w:hAnsi="Arial" w:cs="Arial"/>
          <w:b/>
        </w:rPr>
        <w:t xml:space="preserve">ervicios </w:t>
      </w:r>
      <w:r w:rsidR="00C32CDC">
        <w:rPr>
          <w:rFonts w:ascii="Arial" w:hAnsi="Arial" w:cs="Arial"/>
          <w:b/>
        </w:rPr>
        <w:t>- C</w:t>
      </w:r>
      <w:r w:rsidRPr="00535F04">
        <w:rPr>
          <w:rFonts w:ascii="Arial" w:hAnsi="Arial" w:cs="Arial"/>
          <w:b/>
        </w:rPr>
        <w:t>obro pre</w:t>
      </w:r>
      <w:r w:rsidR="00033FA9" w:rsidRPr="00535F04">
        <w:rPr>
          <w:rFonts w:ascii="Arial" w:hAnsi="Arial" w:cs="Arial"/>
          <w:b/>
        </w:rPr>
        <w:t xml:space="preserve"> </w:t>
      </w:r>
      <w:r w:rsidR="00C32CDC">
        <w:rPr>
          <w:rFonts w:ascii="Arial" w:hAnsi="Arial" w:cs="Arial"/>
          <w:b/>
        </w:rPr>
        <w:t>jurídico - C</w:t>
      </w:r>
      <w:r w:rsidRPr="00535F04">
        <w:rPr>
          <w:rFonts w:ascii="Arial" w:hAnsi="Arial" w:cs="Arial"/>
          <w:b/>
        </w:rPr>
        <w:t xml:space="preserve">obro coactivo para recuperar la cartera </w:t>
      </w:r>
    </w:p>
    <w:p w14:paraId="4403F1AD" w14:textId="77777777" w:rsidR="00A94422" w:rsidRPr="006E4E24" w:rsidRDefault="00A94422" w:rsidP="006E4E24">
      <w:pPr>
        <w:rPr>
          <w:rFonts w:ascii="Arial" w:hAnsi="Arial" w:cs="Arial"/>
          <w:b/>
        </w:rPr>
      </w:pPr>
    </w:p>
    <w:p w14:paraId="665B46B9" w14:textId="77777777" w:rsidR="00917224" w:rsidRPr="006E4E24" w:rsidRDefault="00917224" w:rsidP="006E4E24">
      <w:pPr>
        <w:rPr>
          <w:rFonts w:ascii="Arial" w:hAnsi="Arial" w:cs="Arial"/>
        </w:rPr>
      </w:pPr>
      <w:r w:rsidRPr="006E4E24">
        <w:rPr>
          <w:rFonts w:ascii="Arial" w:hAnsi="Arial" w:cs="Arial"/>
        </w:rPr>
        <w:t>La demandante consideró violadas las disposiciones contenidas en los artículos 4, 29 y 83 de la Constitución Política, en lo que se refiere al debido proceso y al postulado de la buena fe, al no habérsele permitido desvirtuar las actuaciones del distrito de Cartagena, ni ejercer su derecho de defensa. Igualmente, en su concepto de violación legal, la demandante invocó la transgresión de los artículos 4 y 24 de la Ley 80 de 1993, toda vez que la única causa válida para declarar desierto el proceso de adjudicación es la imposibilidad de efectuar la selección objetiva y, en este caso, el distrito de Cartagena se apoyó en los errores e irregularidades de sus propios funcionarios, para efectos de declarar desierta la respectiva invitación pública. Por otra parte, la demandante observó que el distrito de Cartagena no puso a disposición de los proponentes el resultado de la evaluación de las propuestas.</w:t>
      </w:r>
    </w:p>
    <w:p w14:paraId="56B50EFB" w14:textId="77777777" w:rsidR="00917224" w:rsidRPr="006E4E24" w:rsidRDefault="00917224" w:rsidP="006E4E24">
      <w:pPr>
        <w:rPr>
          <w:rFonts w:ascii="Arial" w:hAnsi="Arial" w:cs="Arial"/>
        </w:rPr>
      </w:pPr>
    </w:p>
    <w:p w14:paraId="7B0CA2F9" w14:textId="77777777" w:rsidR="00917224" w:rsidRPr="00535F04" w:rsidRDefault="002F597E" w:rsidP="006E4E24">
      <w:pPr>
        <w:rPr>
          <w:rFonts w:ascii="Arial" w:hAnsi="Arial" w:cs="Arial"/>
          <w:b/>
        </w:rPr>
      </w:pPr>
      <w:r w:rsidRPr="006E4E24">
        <w:rPr>
          <w:rFonts w:ascii="Arial" w:hAnsi="Arial" w:cs="Arial"/>
          <w:b/>
        </w:rPr>
        <w:t xml:space="preserve">ACTO </w:t>
      </w:r>
      <w:r w:rsidR="00BA36C6">
        <w:rPr>
          <w:rFonts w:ascii="Arial" w:hAnsi="Arial" w:cs="Arial"/>
          <w:b/>
        </w:rPr>
        <w:t>QUE DECLARA DESIERTA</w:t>
      </w:r>
      <w:r w:rsidRPr="006E4E24">
        <w:rPr>
          <w:rFonts w:ascii="Arial" w:hAnsi="Arial" w:cs="Arial"/>
          <w:b/>
        </w:rPr>
        <w:t xml:space="preserve"> </w:t>
      </w:r>
      <w:r w:rsidR="00C32CDC">
        <w:rPr>
          <w:rFonts w:ascii="Arial" w:hAnsi="Arial" w:cs="Arial"/>
          <w:b/>
        </w:rPr>
        <w:t>-</w:t>
      </w:r>
      <w:r w:rsidRPr="006E4E24">
        <w:rPr>
          <w:rFonts w:ascii="Arial" w:hAnsi="Arial" w:cs="Arial"/>
          <w:b/>
        </w:rPr>
        <w:t xml:space="preserve"> </w:t>
      </w:r>
      <w:r w:rsidR="00C32CDC">
        <w:rPr>
          <w:rFonts w:ascii="Arial" w:hAnsi="Arial" w:cs="Arial"/>
          <w:b/>
        </w:rPr>
        <w:t>Nulidad - Pr</w:t>
      </w:r>
      <w:r w:rsidR="007E3B50" w:rsidRPr="00535F04">
        <w:rPr>
          <w:rFonts w:ascii="Arial" w:hAnsi="Arial" w:cs="Arial"/>
          <w:b/>
        </w:rPr>
        <w:t>ocede</w:t>
      </w:r>
      <w:r w:rsidR="00C32CDC">
        <w:rPr>
          <w:rFonts w:ascii="Arial" w:hAnsi="Arial" w:cs="Arial"/>
          <w:b/>
        </w:rPr>
        <w:t>ncia</w:t>
      </w:r>
    </w:p>
    <w:p w14:paraId="2ED52AF6" w14:textId="77777777" w:rsidR="00917224" w:rsidRPr="006E4E24" w:rsidRDefault="00917224" w:rsidP="006E4E24">
      <w:pPr>
        <w:rPr>
          <w:rFonts w:ascii="Arial" w:hAnsi="Arial" w:cs="Arial"/>
          <w:b/>
        </w:rPr>
      </w:pPr>
    </w:p>
    <w:p w14:paraId="42DDE6A0" w14:textId="77777777" w:rsidR="00131ED1" w:rsidRPr="006E4E24" w:rsidRDefault="00917224" w:rsidP="006E4E24">
      <w:pPr>
        <w:rPr>
          <w:rFonts w:ascii="Arial" w:hAnsi="Arial" w:cs="Arial"/>
        </w:rPr>
      </w:pPr>
      <w:r w:rsidRPr="006E4E24">
        <w:rPr>
          <w:rFonts w:ascii="Arial" w:hAnsi="Arial" w:cs="Arial"/>
        </w:rPr>
        <w:t xml:space="preserve">En el relación con la falencia del acervo probatorio, en este caso, resulta útil hacer hincapié en los siguientes documentos que no se allegaron, pero que la demandante debía tener en su poder , en original o en copia simple y, por tanto, estaba en posibilidad de aportar: i) Los términos de referencia de la invitación pública en la que participó; ii) la propuesta que presentó con sus anexos, iii) las comunicaciones que recibió de la fiduciaria solicitándole aclaraciones y iv) las respuestas que entregó a esa entidad para efectos de atender los requerimientos en el procedimiento de contratación y sus correspondientes anexos. En el asunto concreto tiene que concluirse, por falta de la prueba a su cargo, que la demandante no acreditó que la declaratoria de desierta estuviera apartada de la ley ni del pliego de condiciones. En este orden de ideas, se tiene que aceptar lo reseñado en el acto </w:t>
      </w:r>
      <w:r w:rsidRPr="006E4E24">
        <w:rPr>
          <w:rFonts w:ascii="Arial" w:hAnsi="Arial" w:cs="Arial"/>
        </w:rPr>
        <w:lastRenderedPageBreak/>
        <w:t xml:space="preserve">administrativo acusado, toda vez </w:t>
      </w:r>
      <w:r w:rsidR="006D0943" w:rsidRPr="006E4E24">
        <w:rPr>
          <w:rFonts w:ascii="Arial" w:hAnsi="Arial" w:cs="Arial"/>
        </w:rPr>
        <w:t>que,</w:t>
      </w:r>
      <w:r w:rsidRPr="006E4E24">
        <w:rPr>
          <w:rFonts w:ascii="Arial" w:hAnsi="Arial" w:cs="Arial"/>
        </w:rPr>
        <w:t xml:space="preserve"> en virtud del principio de economía, consagrado en el artículo 25, numeral 18 de la Ley 80 de </w:t>
      </w:r>
      <w:r w:rsidR="004179E9" w:rsidRPr="006E4E24">
        <w:rPr>
          <w:rFonts w:ascii="Arial" w:hAnsi="Arial" w:cs="Arial"/>
        </w:rPr>
        <w:t>1993,</w:t>
      </w:r>
      <w:r w:rsidRPr="006E4E24">
        <w:rPr>
          <w:rFonts w:ascii="Arial" w:hAnsi="Arial" w:cs="Arial"/>
        </w:rPr>
        <w:t xml:space="preserve"> podía declararse desierto el procedimiento frente a la imposibilidad de realizar una comparación objetiva de las propuestas. </w:t>
      </w:r>
    </w:p>
    <w:p w14:paraId="55E557FF" w14:textId="77777777" w:rsidR="00131ED1" w:rsidRPr="006E4E24" w:rsidRDefault="00131ED1" w:rsidP="006E4E24">
      <w:pPr>
        <w:rPr>
          <w:rFonts w:ascii="Arial" w:hAnsi="Arial" w:cs="Arial"/>
        </w:rPr>
      </w:pPr>
    </w:p>
    <w:p w14:paraId="5A6DC39A" w14:textId="77777777" w:rsidR="00917224" w:rsidRPr="006E4E24" w:rsidRDefault="00917224" w:rsidP="006E4E24">
      <w:pPr>
        <w:rPr>
          <w:rFonts w:ascii="Arial" w:hAnsi="Arial" w:cs="Arial"/>
          <w:b/>
        </w:rPr>
      </w:pPr>
      <w:r w:rsidRPr="006E4E24">
        <w:rPr>
          <w:rFonts w:ascii="Arial" w:hAnsi="Arial" w:cs="Arial"/>
          <w:b/>
        </w:rPr>
        <w:t xml:space="preserve">PLIEGO DE CONDICIONES </w:t>
      </w:r>
      <w:r w:rsidR="008D3BF3" w:rsidRPr="006E4E24">
        <w:rPr>
          <w:rFonts w:ascii="Arial" w:hAnsi="Arial" w:cs="Arial"/>
          <w:b/>
        </w:rPr>
        <w:t xml:space="preserve">- </w:t>
      </w:r>
      <w:r w:rsidR="00D64BA7">
        <w:rPr>
          <w:rFonts w:ascii="Arial" w:hAnsi="Arial" w:cs="Arial"/>
          <w:b/>
        </w:rPr>
        <w:t>Carga de la</w:t>
      </w:r>
      <w:r w:rsidRPr="00535F04">
        <w:rPr>
          <w:rFonts w:ascii="Arial" w:hAnsi="Arial" w:cs="Arial"/>
          <w:b/>
        </w:rPr>
        <w:t xml:space="preserve"> prueba </w:t>
      </w:r>
      <w:r w:rsidR="00C32CDC">
        <w:rPr>
          <w:rFonts w:ascii="Arial" w:hAnsi="Arial" w:cs="Arial"/>
          <w:b/>
        </w:rPr>
        <w:t>- P</w:t>
      </w:r>
      <w:r w:rsidRPr="00535F04">
        <w:rPr>
          <w:rFonts w:ascii="Arial" w:hAnsi="Arial" w:cs="Arial"/>
          <w:b/>
        </w:rPr>
        <w:t>artes</w:t>
      </w:r>
    </w:p>
    <w:p w14:paraId="3FF5CF59" w14:textId="77777777" w:rsidR="00917224" w:rsidRPr="006E4E24" w:rsidRDefault="00917224" w:rsidP="006E4E24">
      <w:pPr>
        <w:rPr>
          <w:rFonts w:ascii="Arial" w:hAnsi="Arial" w:cs="Arial"/>
          <w:b/>
        </w:rPr>
      </w:pPr>
    </w:p>
    <w:p w14:paraId="54207275" w14:textId="77777777" w:rsidR="00917224" w:rsidRPr="006E4E24" w:rsidRDefault="00917224" w:rsidP="006E4E24">
      <w:pPr>
        <w:rPr>
          <w:rFonts w:ascii="Arial" w:hAnsi="Arial" w:cs="Arial"/>
        </w:rPr>
      </w:pPr>
      <w:r w:rsidRPr="006E4E24">
        <w:rPr>
          <w:rFonts w:ascii="Arial" w:hAnsi="Arial" w:cs="Arial"/>
        </w:rPr>
        <w:t xml:space="preserve">La solución expuesta para el asunto sub lite amerita una consideración sobre la distribución de la carga de la prueba entre las partes del proceso precontractual, teniendo en cuenta que el procedimiento de contratación que ahora se estudia, se adelantó entre octubre y diciembre del año 2000, época para la cual la información pública de dichos procesos era exigua, máxime cuando el procedimiento de contratación se desarrollaba a través de la figura del encargo fiduciario, mediante una clase de contrato fiduciario que no aparece especificado en las pruebas que obran en el proceso; empero, se puede observar que la ejecución de dichos contratos, para esa época, no estaba sometida al reporte del procedimiento contractual previo en el sistema de información y vigilancia de la contratación estatal, en aquel entonces denominado SICE. Con lo anterior, se quiere significar </w:t>
      </w:r>
      <w:r w:rsidR="006D0943" w:rsidRPr="006E4E24">
        <w:rPr>
          <w:rFonts w:ascii="Arial" w:hAnsi="Arial" w:cs="Arial"/>
        </w:rPr>
        <w:t>que,</w:t>
      </w:r>
      <w:r w:rsidRPr="006E4E24">
        <w:rPr>
          <w:rFonts w:ascii="Arial" w:hAnsi="Arial" w:cs="Arial"/>
        </w:rPr>
        <w:t xml:space="preserve"> no existiendo sistemas de publicidad para los documentos del proceso, la carga de la prueba estaba radicada básicamente en las partes y cada una dependía de lo que estaba en sus archivos y, ambas, de lo que se encontraba en poder de la fiduciaria que instrumentó el procedimiento de la respectiva contratación.</w:t>
      </w:r>
    </w:p>
    <w:p w14:paraId="7BD3C645" w14:textId="77777777" w:rsidR="00917224" w:rsidRPr="006E4E24" w:rsidRDefault="00917224" w:rsidP="006E4E24">
      <w:pPr>
        <w:rPr>
          <w:rFonts w:ascii="Arial" w:hAnsi="Arial" w:cs="Arial"/>
        </w:rPr>
      </w:pPr>
    </w:p>
    <w:p w14:paraId="066A481F" w14:textId="77777777" w:rsidR="0077713A" w:rsidRPr="00535F04" w:rsidRDefault="0077713A" w:rsidP="006E4E24">
      <w:pPr>
        <w:rPr>
          <w:rFonts w:ascii="Arial" w:hAnsi="Arial" w:cs="Arial"/>
          <w:b/>
        </w:rPr>
      </w:pPr>
      <w:r w:rsidRPr="006E4E24">
        <w:rPr>
          <w:rFonts w:ascii="Arial" w:hAnsi="Arial" w:cs="Arial"/>
          <w:b/>
        </w:rPr>
        <w:t xml:space="preserve">PLIEGOS DE CONDICIONES </w:t>
      </w:r>
      <w:r w:rsidR="00CF4EE6" w:rsidRPr="006E4E24">
        <w:rPr>
          <w:rFonts w:ascii="Arial" w:hAnsi="Arial" w:cs="Arial"/>
          <w:b/>
        </w:rPr>
        <w:t xml:space="preserve">- </w:t>
      </w:r>
      <w:r w:rsidR="001F0E44" w:rsidRPr="00535F04">
        <w:rPr>
          <w:rFonts w:ascii="Arial" w:hAnsi="Arial" w:cs="Arial"/>
          <w:b/>
        </w:rPr>
        <w:t>Requisitos</w:t>
      </w:r>
      <w:r w:rsidR="00CF4EE6" w:rsidRPr="00535F04">
        <w:rPr>
          <w:rFonts w:ascii="Arial" w:hAnsi="Arial" w:cs="Arial"/>
          <w:b/>
        </w:rPr>
        <w:t xml:space="preserve"> habilitantes</w:t>
      </w:r>
    </w:p>
    <w:p w14:paraId="365D74E6" w14:textId="77777777" w:rsidR="00CF4EE6" w:rsidRPr="006E4E24" w:rsidRDefault="00CF4EE6" w:rsidP="006E4E24">
      <w:pPr>
        <w:rPr>
          <w:rFonts w:ascii="Arial" w:hAnsi="Arial" w:cs="Arial"/>
        </w:rPr>
      </w:pPr>
    </w:p>
    <w:p w14:paraId="3A5A78C4" w14:textId="479F23F5" w:rsidR="001F0E44" w:rsidRDefault="00CF4EE6" w:rsidP="006E4E24">
      <w:pPr>
        <w:rPr>
          <w:rFonts w:ascii="Arial" w:hAnsi="Arial" w:cs="Arial"/>
        </w:rPr>
      </w:pPr>
      <w:r w:rsidRPr="006E4E24">
        <w:rPr>
          <w:rFonts w:ascii="Arial" w:hAnsi="Arial" w:cs="Arial"/>
        </w:rPr>
        <w:t xml:space="preserve">Bien se sabe que el estudio de los requisitos de los pliegos de condiciones ha derivado en una diferenciación, hoy incorporada en el estatuto de contratación estatal, entre los requisitos habilitantes y los factores técnicos y económicos de calificación de las propuestas, de la cual se ha observado por esta Subsección que los primeros se refieren a calidades de los proponentes y los segundos al contenido de la oferta. Ese asunto se estableció a partir de la Ley 1150 de 2007, con base en la identificación y separación de los denominados requisitos “habilitantes”, que bajo la nueva legislación no pueden otorgar puntaje, de acuerdo con el artículo 5, cuyo cumplimiento se constituye, entonces, en una condición o de acceso, admisibilidad o, legalmente, de “habilitación” del oferente para participar en el procedimiento de licitación. No obstante, para el presente proceso se debe tener en cuenta que en vigencia del artículo 29 de la Ley 80 de 1993, antes de la modificación introducida por la Ley 1150 de 2007, fue permitido estructurar factores de calificación y asignación de puntaje indistintamente basados en </w:t>
      </w:r>
      <w:r w:rsidR="006E4E24" w:rsidRPr="006E4E24">
        <w:rPr>
          <w:rFonts w:ascii="Arial" w:hAnsi="Arial" w:cs="Arial"/>
        </w:rPr>
        <w:t>los requisitos</w:t>
      </w:r>
      <w:r w:rsidRPr="006E4E24">
        <w:rPr>
          <w:rFonts w:ascii="Arial" w:hAnsi="Arial" w:cs="Arial"/>
        </w:rPr>
        <w:t xml:space="preserve"> de los proponentes (hoy denominados habilitantes jurídicos, financieros y de organización) y en los contenidos de la oferta (factores técnicos y económicos de la propuesta).</w:t>
      </w:r>
    </w:p>
    <w:p w14:paraId="3F334958" w14:textId="77777777" w:rsidR="00730726" w:rsidRPr="006E4E24" w:rsidRDefault="00730726" w:rsidP="006E4E24">
      <w:pPr>
        <w:rPr>
          <w:rFonts w:ascii="Arial" w:hAnsi="Arial" w:cs="Arial"/>
        </w:rPr>
      </w:pPr>
    </w:p>
    <w:p w14:paraId="3BD7CF8B" w14:textId="77777777" w:rsidR="0077713A" w:rsidRPr="0077713A" w:rsidRDefault="0077713A" w:rsidP="006D0943">
      <w:pPr>
        <w:rPr>
          <w:rFonts w:ascii="Arial" w:hAnsi="Arial" w:cs="Arial"/>
          <w:b/>
        </w:rPr>
      </w:pPr>
    </w:p>
    <w:p w14:paraId="6141E741" w14:textId="77777777" w:rsidR="001C3BBF" w:rsidRDefault="001C3BBF" w:rsidP="00FE0FF8">
      <w:pPr>
        <w:jc w:val="center"/>
        <w:rPr>
          <w:rFonts w:ascii="Arial" w:eastAsia="Batang" w:hAnsi="Arial" w:cs="Arial"/>
          <w:b/>
          <w:bCs/>
          <w:sz w:val="24"/>
          <w:szCs w:val="24"/>
          <w:lang w:val="es-ES_tradnl" w:eastAsia="es-ES"/>
        </w:rPr>
      </w:pPr>
      <w:r w:rsidRPr="00C9724F">
        <w:rPr>
          <w:rFonts w:ascii="Arial" w:eastAsia="Batang" w:hAnsi="Arial" w:cs="Arial"/>
          <w:b/>
          <w:bCs/>
          <w:sz w:val="24"/>
          <w:szCs w:val="24"/>
          <w:lang w:val="es-ES_tradnl" w:eastAsia="es-ES"/>
        </w:rPr>
        <w:t>CONSEJO DE ESTADO</w:t>
      </w:r>
    </w:p>
    <w:p w14:paraId="385187B3" w14:textId="77777777" w:rsidR="00B0040E" w:rsidRPr="00C9724F" w:rsidRDefault="00B0040E" w:rsidP="00FE0FF8">
      <w:pPr>
        <w:jc w:val="center"/>
        <w:rPr>
          <w:rFonts w:ascii="Arial" w:eastAsia="Batang" w:hAnsi="Arial" w:cs="Arial"/>
          <w:b/>
          <w:bCs/>
          <w:sz w:val="24"/>
          <w:szCs w:val="24"/>
          <w:lang w:val="es-ES_tradnl" w:eastAsia="es-ES"/>
        </w:rPr>
      </w:pPr>
    </w:p>
    <w:p w14:paraId="2ACFA4C3" w14:textId="77777777" w:rsidR="001C3BBF" w:rsidRDefault="001C3BBF" w:rsidP="00FE0FF8">
      <w:pPr>
        <w:jc w:val="center"/>
        <w:rPr>
          <w:rFonts w:ascii="Arial" w:eastAsia="Batang" w:hAnsi="Arial" w:cs="Arial"/>
          <w:b/>
          <w:bCs/>
          <w:sz w:val="24"/>
          <w:szCs w:val="24"/>
          <w:lang w:val="es-ES_tradnl" w:eastAsia="es-ES"/>
        </w:rPr>
      </w:pPr>
      <w:r w:rsidRPr="00C9724F">
        <w:rPr>
          <w:rFonts w:ascii="Arial" w:eastAsia="Batang" w:hAnsi="Arial" w:cs="Arial"/>
          <w:b/>
          <w:bCs/>
          <w:sz w:val="24"/>
          <w:szCs w:val="24"/>
          <w:lang w:val="es-ES_tradnl" w:eastAsia="es-ES"/>
        </w:rPr>
        <w:t>SALA DE LO CONTENCIOSO ADMINISTRATIVO</w:t>
      </w:r>
    </w:p>
    <w:p w14:paraId="7AF0924C" w14:textId="77777777" w:rsidR="00B0040E" w:rsidRPr="00C9724F" w:rsidRDefault="00B0040E" w:rsidP="00FE0FF8">
      <w:pPr>
        <w:jc w:val="center"/>
        <w:rPr>
          <w:rFonts w:ascii="Arial" w:eastAsia="Batang" w:hAnsi="Arial" w:cs="Arial"/>
          <w:b/>
          <w:bCs/>
          <w:sz w:val="24"/>
          <w:szCs w:val="24"/>
          <w:lang w:val="es-ES_tradnl" w:eastAsia="es-ES"/>
        </w:rPr>
      </w:pPr>
    </w:p>
    <w:p w14:paraId="7A29560E" w14:textId="77777777" w:rsidR="00F81E4D" w:rsidRDefault="00F81E4D" w:rsidP="00FE0FF8">
      <w:pPr>
        <w:jc w:val="center"/>
        <w:rPr>
          <w:rFonts w:ascii="Arial" w:eastAsia="Batang" w:hAnsi="Arial" w:cs="Arial"/>
          <w:b/>
          <w:bCs/>
          <w:sz w:val="24"/>
          <w:szCs w:val="24"/>
          <w:lang w:val="es-ES_tradnl" w:eastAsia="es-ES"/>
        </w:rPr>
      </w:pPr>
      <w:r>
        <w:rPr>
          <w:rFonts w:ascii="Arial" w:eastAsia="Batang" w:hAnsi="Arial" w:cs="Arial"/>
          <w:b/>
          <w:bCs/>
          <w:sz w:val="24"/>
          <w:szCs w:val="24"/>
          <w:lang w:val="es-ES_tradnl" w:eastAsia="es-ES"/>
        </w:rPr>
        <w:t xml:space="preserve">SECCIÓN TERCERA </w:t>
      </w:r>
    </w:p>
    <w:p w14:paraId="1ED75F62" w14:textId="77777777" w:rsidR="00F81E4D" w:rsidRDefault="00F81E4D" w:rsidP="00FE0FF8">
      <w:pPr>
        <w:jc w:val="center"/>
        <w:rPr>
          <w:rFonts w:ascii="Arial" w:eastAsia="Batang" w:hAnsi="Arial" w:cs="Arial"/>
          <w:b/>
          <w:bCs/>
          <w:sz w:val="24"/>
          <w:szCs w:val="24"/>
          <w:lang w:val="es-ES_tradnl" w:eastAsia="es-ES"/>
        </w:rPr>
      </w:pPr>
    </w:p>
    <w:p w14:paraId="4772F5AA" w14:textId="77777777" w:rsidR="001C3BBF" w:rsidRPr="00C9724F" w:rsidRDefault="001C3BBF" w:rsidP="00FE0FF8">
      <w:pPr>
        <w:jc w:val="center"/>
        <w:rPr>
          <w:rFonts w:ascii="Arial" w:eastAsia="Batang" w:hAnsi="Arial" w:cs="Arial"/>
          <w:b/>
          <w:bCs/>
          <w:sz w:val="24"/>
          <w:szCs w:val="24"/>
          <w:lang w:val="es-ES_tradnl" w:eastAsia="es-ES"/>
        </w:rPr>
      </w:pPr>
      <w:r w:rsidRPr="00C9724F">
        <w:rPr>
          <w:rFonts w:ascii="Arial" w:eastAsia="Batang" w:hAnsi="Arial" w:cs="Arial"/>
          <w:b/>
          <w:bCs/>
          <w:sz w:val="24"/>
          <w:szCs w:val="24"/>
          <w:lang w:val="es-ES_tradnl" w:eastAsia="es-ES"/>
        </w:rPr>
        <w:t>SUBSECCIÓN A</w:t>
      </w:r>
    </w:p>
    <w:p w14:paraId="2047440A" w14:textId="77777777" w:rsidR="001C3BBF" w:rsidRDefault="001C3BBF" w:rsidP="00FE0FF8">
      <w:pPr>
        <w:tabs>
          <w:tab w:val="center" w:pos="4419"/>
          <w:tab w:val="right" w:pos="8838"/>
        </w:tabs>
        <w:overflowPunct w:val="0"/>
        <w:autoSpaceDE w:val="0"/>
        <w:autoSpaceDN w:val="0"/>
        <w:adjustRightInd w:val="0"/>
        <w:jc w:val="center"/>
        <w:textAlignment w:val="baseline"/>
        <w:rPr>
          <w:rFonts w:ascii="Arial" w:eastAsia="Times New Roman" w:hAnsi="Arial" w:cs="Arial"/>
          <w:b/>
          <w:sz w:val="24"/>
          <w:szCs w:val="24"/>
          <w:lang w:eastAsia="es-ES"/>
        </w:rPr>
      </w:pPr>
    </w:p>
    <w:p w14:paraId="6909FFD5" w14:textId="77777777" w:rsidR="001C3BBF" w:rsidRPr="00C9724F" w:rsidRDefault="001C3BBF" w:rsidP="00FE0FF8">
      <w:pPr>
        <w:tabs>
          <w:tab w:val="center" w:pos="4419"/>
          <w:tab w:val="right" w:pos="8838"/>
        </w:tabs>
        <w:overflowPunct w:val="0"/>
        <w:autoSpaceDE w:val="0"/>
        <w:autoSpaceDN w:val="0"/>
        <w:adjustRightInd w:val="0"/>
        <w:jc w:val="center"/>
        <w:textAlignment w:val="baseline"/>
        <w:rPr>
          <w:rFonts w:ascii="Arial" w:eastAsia="Times New Roman" w:hAnsi="Arial" w:cs="Arial"/>
          <w:spacing w:val="-3"/>
          <w:sz w:val="24"/>
          <w:szCs w:val="24"/>
          <w:lang w:eastAsia="es-ES"/>
        </w:rPr>
      </w:pPr>
      <w:r w:rsidRPr="00C9724F">
        <w:rPr>
          <w:rFonts w:ascii="Arial" w:eastAsia="Times New Roman" w:hAnsi="Arial" w:cs="Arial"/>
          <w:b/>
          <w:sz w:val="24"/>
          <w:szCs w:val="24"/>
          <w:lang w:eastAsia="es-ES"/>
        </w:rPr>
        <w:t>Consejer</w:t>
      </w:r>
      <w:r w:rsidR="00B0040E">
        <w:rPr>
          <w:rFonts w:ascii="Arial" w:eastAsia="Times New Roman" w:hAnsi="Arial" w:cs="Arial"/>
          <w:b/>
          <w:sz w:val="24"/>
          <w:szCs w:val="24"/>
          <w:lang w:eastAsia="es-ES"/>
        </w:rPr>
        <w:t>a</w:t>
      </w:r>
      <w:r w:rsidRPr="00C9724F">
        <w:rPr>
          <w:rFonts w:ascii="Arial" w:eastAsia="Times New Roman" w:hAnsi="Arial" w:cs="Arial"/>
          <w:b/>
          <w:sz w:val="24"/>
          <w:szCs w:val="24"/>
          <w:lang w:eastAsia="es-ES"/>
        </w:rPr>
        <w:t xml:space="preserve"> ponente: </w:t>
      </w:r>
      <w:r w:rsidR="00B0040E">
        <w:rPr>
          <w:rFonts w:ascii="Arial" w:eastAsia="Times New Roman" w:hAnsi="Arial" w:cs="Arial"/>
          <w:b/>
          <w:sz w:val="24"/>
          <w:szCs w:val="24"/>
          <w:lang w:eastAsia="es-ES"/>
        </w:rPr>
        <w:t>MARTA NUBIA VELÁSQUEZ RICO</w:t>
      </w:r>
    </w:p>
    <w:p w14:paraId="3FA8842B" w14:textId="77777777" w:rsidR="001C3BBF" w:rsidRPr="00C9724F" w:rsidRDefault="001C3BBF" w:rsidP="00FE0FF8">
      <w:pPr>
        <w:rPr>
          <w:rFonts w:ascii="Arial" w:eastAsia="Times New Roman" w:hAnsi="Arial" w:cs="Arial"/>
          <w:sz w:val="24"/>
          <w:szCs w:val="24"/>
          <w:lang w:val="es-ES" w:eastAsia="es-ES"/>
        </w:rPr>
      </w:pPr>
    </w:p>
    <w:p w14:paraId="3EE32DC7" w14:textId="77777777" w:rsidR="001C3BBF" w:rsidRPr="00C9724F" w:rsidRDefault="001C3BBF" w:rsidP="00FE0FF8">
      <w:pPr>
        <w:rPr>
          <w:rFonts w:ascii="Arial" w:eastAsia="Times New Roman" w:hAnsi="Arial" w:cs="Arial"/>
          <w:b/>
          <w:sz w:val="24"/>
          <w:szCs w:val="24"/>
          <w:lang w:val="es-ES" w:eastAsia="es-ES"/>
        </w:rPr>
      </w:pPr>
      <w:r w:rsidRPr="00C9724F">
        <w:rPr>
          <w:rFonts w:ascii="Arial" w:eastAsia="Times New Roman" w:hAnsi="Arial" w:cs="Arial"/>
          <w:sz w:val="24"/>
          <w:szCs w:val="24"/>
          <w:lang w:val="es-ES" w:eastAsia="es-ES"/>
        </w:rPr>
        <w:t>Bogotá</w:t>
      </w:r>
      <w:r w:rsidR="00426A52">
        <w:rPr>
          <w:rFonts w:ascii="Arial" w:eastAsia="Times New Roman" w:hAnsi="Arial" w:cs="Arial"/>
          <w:sz w:val="24"/>
          <w:szCs w:val="24"/>
          <w:lang w:val="es-ES" w:eastAsia="es-ES"/>
        </w:rPr>
        <w:t>,</w:t>
      </w:r>
      <w:r w:rsidRPr="00C9724F">
        <w:rPr>
          <w:rFonts w:ascii="Arial" w:eastAsia="Times New Roman" w:hAnsi="Arial" w:cs="Arial"/>
          <w:sz w:val="24"/>
          <w:szCs w:val="24"/>
          <w:lang w:val="es-ES" w:eastAsia="es-ES"/>
        </w:rPr>
        <w:t xml:space="preserve"> D.C.,</w:t>
      </w:r>
      <w:r w:rsidR="002A7323">
        <w:rPr>
          <w:rFonts w:ascii="Arial" w:eastAsia="Times New Roman" w:hAnsi="Arial" w:cs="Arial"/>
          <w:sz w:val="24"/>
          <w:szCs w:val="24"/>
          <w:lang w:val="es-ES" w:eastAsia="es-ES"/>
        </w:rPr>
        <w:t xml:space="preserve"> </w:t>
      </w:r>
      <w:r w:rsidR="00426A52">
        <w:rPr>
          <w:rFonts w:ascii="Arial" w:eastAsia="Times New Roman" w:hAnsi="Arial" w:cs="Arial"/>
          <w:sz w:val="24"/>
          <w:szCs w:val="24"/>
          <w:lang w:val="es-ES" w:eastAsia="es-ES"/>
        </w:rPr>
        <w:t>diecinueve</w:t>
      </w:r>
      <w:r w:rsidR="008A5FB2">
        <w:rPr>
          <w:rFonts w:ascii="Arial" w:eastAsia="Times New Roman" w:hAnsi="Arial" w:cs="Arial"/>
          <w:sz w:val="24"/>
          <w:szCs w:val="24"/>
          <w:lang w:val="es-ES" w:eastAsia="es-ES"/>
        </w:rPr>
        <w:t xml:space="preserve"> (19) de julio </w:t>
      </w:r>
      <w:r w:rsidR="00B0040E">
        <w:rPr>
          <w:rFonts w:ascii="Arial" w:eastAsia="Times New Roman" w:hAnsi="Arial" w:cs="Arial"/>
          <w:sz w:val="24"/>
          <w:szCs w:val="24"/>
          <w:lang w:val="es-ES" w:eastAsia="es-ES"/>
        </w:rPr>
        <w:t>de dos mil diecisiete (2017)</w:t>
      </w:r>
    </w:p>
    <w:p w14:paraId="2C600210" w14:textId="77777777" w:rsidR="001C3BBF" w:rsidRDefault="001C3BBF" w:rsidP="00FE0FF8">
      <w:pPr>
        <w:rPr>
          <w:rFonts w:ascii="Arial" w:eastAsia="Times New Roman" w:hAnsi="Arial" w:cs="Arial"/>
          <w:b/>
          <w:sz w:val="24"/>
          <w:szCs w:val="24"/>
          <w:lang w:val="es-ES" w:eastAsia="es-ES"/>
        </w:rPr>
      </w:pPr>
    </w:p>
    <w:p w14:paraId="7A3BE053" w14:textId="77777777" w:rsidR="00B0040E" w:rsidRPr="007A594C" w:rsidRDefault="00F81E4D" w:rsidP="00FE0FF8">
      <w:pPr>
        <w:rPr>
          <w:rFonts w:ascii="Arial" w:eastAsia="Times New Roman" w:hAnsi="Arial" w:cs="Arial"/>
          <w:b/>
          <w:sz w:val="24"/>
          <w:szCs w:val="24"/>
          <w:lang w:val="es-ES" w:eastAsia="es-ES"/>
        </w:rPr>
      </w:pPr>
      <w:r>
        <w:rPr>
          <w:rFonts w:ascii="Arial" w:eastAsia="Times New Roman" w:hAnsi="Arial" w:cs="Arial"/>
          <w:b/>
          <w:sz w:val="24"/>
          <w:szCs w:val="24"/>
          <w:lang w:val="es-ES" w:eastAsia="es-ES"/>
        </w:rPr>
        <w:t>Radicación número</w:t>
      </w:r>
      <w:r w:rsidR="00937D42" w:rsidRPr="007A594C">
        <w:rPr>
          <w:rFonts w:ascii="Arial" w:eastAsia="Times New Roman" w:hAnsi="Arial" w:cs="Arial"/>
          <w:b/>
          <w:sz w:val="24"/>
          <w:szCs w:val="24"/>
          <w:lang w:val="es-ES" w:eastAsia="es-ES"/>
        </w:rPr>
        <w:t>: 13001</w:t>
      </w:r>
      <w:r>
        <w:rPr>
          <w:rFonts w:ascii="Arial" w:eastAsia="Times New Roman" w:hAnsi="Arial" w:cs="Arial"/>
          <w:b/>
          <w:sz w:val="24"/>
          <w:szCs w:val="24"/>
          <w:lang w:val="es-ES" w:eastAsia="es-ES"/>
        </w:rPr>
        <w:t>-</w:t>
      </w:r>
      <w:r w:rsidR="00937D42" w:rsidRPr="007A594C">
        <w:rPr>
          <w:rFonts w:ascii="Arial" w:eastAsia="Times New Roman" w:hAnsi="Arial" w:cs="Arial"/>
          <w:b/>
          <w:sz w:val="24"/>
          <w:szCs w:val="24"/>
          <w:lang w:val="es-ES" w:eastAsia="es-ES"/>
        </w:rPr>
        <w:t>23</w:t>
      </w:r>
      <w:r>
        <w:rPr>
          <w:rFonts w:ascii="Arial" w:eastAsia="Times New Roman" w:hAnsi="Arial" w:cs="Arial"/>
          <w:b/>
          <w:sz w:val="24"/>
          <w:szCs w:val="24"/>
          <w:lang w:val="es-ES" w:eastAsia="es-ES"/>
        </w:rPr>
        <w:t>-</w:t>
      </w:r>
      <w:r w:rsidR="00937D42" w:rsidRPr="007A594C">
        <w:rPr>
          <w:rFonts w:ascii="Arial" w:eastAsia="Times New Roman" w:hAnsi="Arial" w:cs="Arial"/>
          <w:b/>
          <w:sz w:val="24"/>
          <w:szCs w:val="24"/>
          <w:lang w:val="es-ES" w:eastAsia="es-ES"/>
        </w:rPr>
        <w:t>31</w:t>
      </w:r>
      <w:r>
        <w:rPr>
          <w:rFonts w:ascii="Arial" w:eastAsia="Times New Roman" w:hAnsi="Arial" w:cs="Arial"/>
          <w:b/>
          <w:sz w:val="24"/>
          <w:szCs w:val="24"/>
          <w:lang w:val="es-ES" w:eastAsia="es-ES"/>
        </w:rPr>
        <w:t>-</w:t>
      </w:r>
      <w:r w:rsidR="00937D42" w:rsidRPr="007A594C">
        <w:rPr>
          <w:rFonts w:ascii="Arial" w:eastAsia="Times New Roman" w:hAnsi="Arial" w:cs="Arial"/>
          <w:b/>
          <w:sz w:val="24"/>
          <w:szCs w:val="24"/>
          <w:lang w:val="es-ES" w:eastAsia="es-ES"/>
        </w:rPr>
        <w:t>002</w:t>
      </w:r>
      <w:r>
        <w:rPr>
          <w:rFonts w:ascii="Arial" w:eastAsia="Times New Roman" w:hAnsi="Arial" w:cs="Arial"/>
          <w:b/>
          <w:sz w:val="24"/>
          <w:szCs w:val="24"/>
          <w:lang w:val="es-ES" w:eastAsia="es-ES"/>
        </w:rPr>
        <w:t>-</w:t>
      </w:r>
      <w:r w:rsidR="00937D42" w:rsidRPr="007A594C">
        <w:rPr>
          <w:rFonts w:ascii="Arial" w:eastAsia="Times New Roman" w:hAnsi="Arial" w:cs="Arial"/>
          <w:b/>
          <w:sz w:val="24"/>
          <w:szCs w:val="24"/>
          <w:lang w:val="es-ES" w:eastAsia="es-ES"/>
        </w:rPr>
        <w:t>2001</w:t>
      </w:r>
      <w:r>
        <w:rPr>
          <w:rFonts w:ascii="Arial" w:eastAsia="Times New Roman" w:hAnsi="Arial" w:cs="Arial"/>
          <w:b/>
          <w:sz w:val="24"/>
          <w:szCs w:val="24"/>
          <w:lang w:val="es-ES" w:eastAsia="es-ES"/>
        </w:rPr>
        <w:t>-</w:t>
      </w:r>
      <w:r w:rsidR="00937D42" w:rsidRPr="007A594C">
        <w:rPr>
          <w:rFonts w:ascii="Arial" w:eastAsia="Times New Roman" w:hAnsi="Arial" w:cs="Arial"/>
          <w:b/>
          <w:sz w:val="24"/>
          <w:szCs w:val="24"/>
          <w:lang w:val="es-ES" w:eastAsia="es-ES"/>
        </w:rPr>
        <w:t>01002</w:t>
      </w:r>
      <w:r>
        <w:rPr>
          <w:rFonts w:ascii="Arial" w:eastAsia="Times New Roman" w:hAnsi="Arial" w:cs="Arial"/>
          <w:b/>
          <w:sz w:val="24"/>
          <w:szCs w:val="24"/>
          <w:lang w:val="es-ES" w:eastAsia="es-ES"/>
        </w:rPr>
        <w:t>-</w:t>
      </w:r>
      <w:r w:rsidR="00937D42" w:rsidRPr="007A594C">
        <w:rPr>
          <w:rFonts w:ascii="Arial" w:eastAsia="Times New Roman" w:hAnsi="Arial" w:cs="Arial"/>
          <w:b/>
          <w:sz w:val="24"/>
          <w:szCs w:val="24"/>
          <w:lang w:val="es-ES" w:eastAsia="es-ES"/>
        </w:rPr>
        <w:t>0</w:t>
      </w:r>
      <w:r>
        <w:rPr>
          <w:rFonts w:ascii="Arial" w:eastAsia="Times New Roman" w:hAnsi="Arial" w:cs="Arial"/>
          <w:b/>
          <w:sz w:val="24"/>
          <w:szCs w:val="24"/>
          <w:lang w:val="es-ES" w:eastAsia="es-ES"/>
        </w:rPr>
        <w:t>1</w:t>
      </w:r>
      <w:r w:rsidR="00F31B03" w:rsidRPr="007A594C">
        <w:rPr>
          <w:rFonts w:ascii="Arial" w:eastAsia="Times New Roman" w:hAnsi="Arial" w:cs="Arial"/>
          <w:b/>
          <w:sz w:val="24"/>
          <w:szCs w:val="24"/>
          <w:lang w:val="es-ES" w:eastAsia="es-ES"/>
        </w:rPr>
        <w:t>(51365)</w:t>
      </w:r>
    </w:p>
    <w:p w14:paraId="6619B90D" w14:textId="77777777" w:rsidR="001C3BBF" w:rsidRPr="007A594C" w:rsidRDefault="001C3BBF" w:rsidP="00FE0FF8">
      <w:pPr>
        <w:rPr>
          <w:rFonts w:ascii="Arial" w:eastAsia="Times New Roman" w:hAnsi="Arial" w:cs="Arial"/>
          <w:b/>
          <w:sz w:val="24"/>
          <w:szCs w:val="24"/>
          <w:lang w:val="es-ES" w:eastAsia="es-ES"/>
        </w:rPr>
      </w:pPr>
    </w:p>
    <w:p w14:paraId="03DD0CF4" w14:textId="77777777" w:rsidR="006D7A3E" w:rsidRPr="007A594C" w:rsidRDefault="006D7A3E" w:rsidP="00FE0FF8">
      <w:pPr>
        <w:rPr>
          <w:rFonts w:ascii="Arial" w:eastAsia="Times New Roman" w:hAnsi="Arial" w:cs="Arial"/>
          <w:b/>
          <w:sz w:val="24"/>
          <w:szCs w:val="24"/>
          <w:lang w:val="es-ES" w:eastAsia="es-ES"/>
        </w:rPr>
      </w:pPr>
      <w:r w:rsidRPr="007A594C">
        <w:rPr>
          <w:rFonts w:ascii="Arial" w:eastAsia="Times New Roman" w:hAnsi="Arial" w:cs="Arial"/>
          <w:b/>
          <w:sz w:val="24"/>
          <w:szCs w:val="24"/>
          <w:lang w:val="es-ES" w:eastAsia="es-ES"/>
        </w:rPr>
        <w:t>A</w:t>
      </w:r>
      <w:r w:rsidR="00F81E4D">
        <w:rPr>
          <w:rFonts w:ascii="Arial" w:eastAsia="Times New Roman" w:hAnsi="Arial" w:cs="Arial"/>
          <w:b/>
          <w:sz w:val="24"/>
          <w:szCs w:val="24"/>
          <w:lang w:val="es-ES" w:eastAsia="es-ES"/>
        </w:rPr>
        <w:t>ctor</w:t>
      </w:r>
      <w:r w:rsidR="00937D42" w:rsidRPr="007A594C">
        <w:rPr>
          <w:rFonts w:ascii="Arial" w:eastAsia="Times New Roman" w:hAnsi="Arial" w:cs="Arial"/>
          <w:b/>
          <w:sz w:val="24"/>
          <w:szCs w:val="24"/>
          <w:lang w:val="es-ES" w:eastAsia="es-ES"/>
        </w:rPr>
        <w:t>: UT SOLUCIONES TRIBUTARIAS INTEGRALES</w:t>
      </w:r>
    </w:p>
    <w:p w14:paraId="5246AF53" w14:textId="77777777" w:rsidR="006D7A3E" w:rsidRPr="007A594C" w:rsidRDefault="006D7A3E" w:rsidP="00FE0FF8">
      <w:pPr>
        <w:rPr>
          <w:rFonts w:ascii="Arial" w:eastAsia="Times New Roman" w:hAnsi="Arial" w:cs="Arial"/>
          <w:b/>
          <w:sz w:val="24"/>
          <w:szCs w:val="24"/>
          <w:lang w:val="es-ES" w:eastAsia="es-ES"/>
        </w:rPr>
      </w:pPr>
    </w:p>
    <w:p w14:paraId="7CC0F650" w14:textId="77777777" w:rsidR="006D7A3E" w:rsidRPr="007A594C" w:rsidRDefault="00F81E4D" w:rsidP="00FE0FF8">
      <w:pPr>
        <w:rPr>
          <w:rFonts w:ascii="Arial" w:eastAsia="Times New Roman" w:hAnsi="Arial" w:cs="Arial"/>
          <w:b/>
          <w:sz w:val="24"/>
          <w:szCs w:val="24"/>
          <w:lang w:val="es-ES" w:eastAsia="es-ES"/>
        </w:rPr>
      </w:pPr>
      <w:r>
        <w:rPr>
          <w:rFonts w:ascii="Arial" w:eastAsia="Times New Roman" w:hAnsi="Arial" w:cs="Arial"/>
          <w:b/>
          <w:sz w:val="24"/>
          <w:szCs w:val="24"/>
          <w:lang w:val="es-ES" w:eastAsia="es-ES"/>
        </w:rPr>
        <w:t>Demandado</w:t>
      </w:r>
      <w:r w:rsidR="00412410" w:rsidRPr="007A594C">
        <w:rPr>
          <w:rFonts w:ascii="Arial" w:eastAsia="Times New Roman" w:hAnsi="Arial" w:cs="Arial"/>
          <w:b/>
          <w:sz w:val="24"/>
          <w:szCs w:val="24"/>
          <w:lang w:val="es-ES" w:eastAsia="es-ES"/>
        </w:rPr>
        <w:t>: DISTRITO TUR</w:t>
      </w:r>
      <w:r w:rsidR="00180977" w:rsidRPr="007A594C">
        <w:rPr>
          <w:rFonts w:ascii="Arial" w:eastAsia="Times New Roman" w:hAnsi="Arial" w:cs="Arial"/>
          <w:b/>
          <w:sz w:val="24"/>
          <w:szCs w:val="24"/>
          <w:lang w:val="es-ES" w:eastAsia="es-ES"/>
        </w:rPr>
        <w:t>Í</w:t>
      </w:r>
      <w:r w:rsidR="00412410" w:rsidRPr="007A594C">
        <w:rPr>
          <w:rFonts w:ascii="Arial" w:eastAsia="Times New Roman" w:hAnsi="Arial" w:cs="Arial"/>
          <w:b/>
          <w:sz w:val="24"/>
          <w:szCs w:val="24"/>
          <w:lang w:val="es-ES" w:eastAsia="es-ES"/>
        </w:rPr>
        <w:t>STICO Y CULTURAL DE CARTAGENA DE INDIAS</w:t>
      </w:r>
    </w:p>
    <w:p w14:paraId="11B6623C" w14:textId="77777777" w:rsidR="006D7A3E" w:rsidRPr="007A594C" w:rsidRDefault="006D7A3E" w:rsidP="00FE0FF8">
      <w:pPr>
        <w:rPr>
          <w:rFonts w:ascii="Arial" w:eastAsia="Times New Roman" w:hAnsi="Arial" w:cs="Arial"/>
          <w:b/>
          <w:sz w:val="24"/>
          <w:szCs w:val="24"/>
          <w:lang w:val="es-ES" w:eastAsia="es-ES"/>
        </w:rPr>
      </w:pPr>
    </w:p>
    <w:p w14:paraId="1CE3655A" w14:textId="77777777" w:rsidR="00F81E4D" w:rsidRDefault="00F81E4D" w:rsidP="00FE0FF8">
      <w:pPr>
        <w:rPr>
          <w:rFonts w:ascii="Arial" w:eastAsia="Times New Roman" w:hAnsi="Arial" w:cs="Arial"/>
          <w:b/>
          <w:sz w:val="24"/>
          <w:szCs w:val="24"/>
          <w:lang w:val="es-ES" w:eastAsia="es-ES"/>
        </w:rPr>
      </w:pPr>
    </w:p>
    <w:p w14:paraId="5AB3E118" w14:textId="77777777" w:rsidR="00F81E4D" w:rsidRDefault="00F81E4D" w:rsidP="00FE0FF8">
      <w:pPr>
        <w:rPr>
          <w:rFonts w:ascii="Arial" w:eastAsia="Times New Roman" w:hAnsi="Arial" w:cs="Arial"/>
          <w:b/>
          <w:sz w:val="24"/>
          <w:szCs w:val="24"/>
          <w:lang w:val="es-ES" w:eastAsia="es-ES"/>
        </w:rPr>
      </w:pPr>
    </w:p>
    <w:p w14:paraId="41CF46C9" w14:textId="77777777" w:rsidR="006D7A3E" w:rsidRPr="007A594C" w:rsidRDefault="00F81E4D" w:rsidP="00FE0FF8">
      <w:pPr>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Referencia: APELACIÓN SENTENCIA </w:t>
      </w:r>
      <w:r w:rsidR="00426A52">
        <w:rPr>
          <w:rFonts w:ascii="Arial" w:eastAsia="Times New Roman" w:hAnsi="Arial" w:cs="Arial"/>
          <w:b/>
          <w:sz w:val="24"/>
          <w:szCs w:val="24"/>
          <w:lang w:val="es-ES" w:eastAsia="es-ES"/>
        </w:rPr>
        <w:t>–</w:t>
      </w:r>
      <w:r>
        <w:rPr>
          <w:rFonts w:ascii="Arial" w:eastAsia="Times New Roman" w:hAnsi="Arial" w:cs="Arial"/>
          <w:b/>
          <w:sz w:val="24"/>
          <w:szCs w:val="24"/>
          <w:lang w:val="es-ES" w:eastAsia="es-ES"/>
        </w:rPr>
        <w:t xml:space="preserve"> </w:t>
      </w:r>
      <w:r w:rsidR="00426A52">
        <w:rPr>
          <w:rFonts w:ascii="Arial" w:eastAsia="Times New Roman" w:hAnsi="Arial" w:cs="Arial"/>
          <w:b/>
          <w:sz w:val="24"/>
          <w:szCs w:val="24"/>
          <w:lang w:val="es-ES" w:eastAsia="es-ES"/>
        </w:rPr>
        <w:t xml:space="preserve">ACCIÓN DE </w:t>
      </w:r>
      <w:r w:rsidR="00937D42" w:rsidRPr="007A594C">
        <w:rPr>
          <w:rFonts w:ascii="Arial" w:eastAsia="Times New Roman" w:hAnsi="Arial" w:cs="Arial"/>
          <w:b/>
          <w:sz w:val="24"/>
          <w:szCs w:val="24"/>
          <w:lang w:val="es-ES" w:eastAsia="es-ES"/>
        </w:rPr>
        <w:t>NULIDAD Y RESTABLECIMIENTO DEL DERECHO</w:t>
      </w:r>
    </w:p>
    <w:p w14:paraId="47DB6A88" w14:textId="77777777" w:rsidR="006D7A3E" w:rsidRPr="007A594C" w:rsidRDefault="006D7A3E" w:rsidP="00FE0FF8">
      <w:pPr>
        <w:rPr>
          <w:rFonts w:ascii="Arial" w:eastAsia="Times New Roman" w:hAnsi="Arial" w:cs="Arial"/>
          <w:b/>
          <w:sz w:val="24"/>
          <w:szCs w:val="24"/>
          <w:lang w:val="es-ES" w:eastAsia="es-ES"/>
        </w:rPr>
      </w:pPr>
    </w:p>
    <w:p w14:paraId="4792B142" w14:textId="77777777" w:rsidR="006D7A3E" w:rsidRDefault="006D7A3E" w:rsidP="00FE0FF8">
      <w:pPr>
        <w:rPr>
          <w:rFonts w:ascii="Arial" w:eastAsia="Times New Roman" w:hAnsi="Arial" w:cs="Arial"/>
          <w:b/>
          <w:sz w:val="24"/>
          <w:szCs w:val="24"/>
          <w:lang w:val="es-ES" w:eastAsia="es-ES"/>
        </w:rPr>
      </w:pPr>
    </w:p>
    <w:p w14:paraId="61A70040" w14:textId="77777777" w:rsidR="00F81E4D" w:rsidRDefault="00F81E4D" w:rsidP="00FE0FF8">
      <w:pPr>
        <w:rPr>
          <w:rFonts w:ascii="Arial" w:eastAsia="Times New Roman" w:hAnsi="Arial" w:cs="Arial"/>
          <w:b/>
          <w:sz w:val="24"/>
          <w:szCs w:val="24"/>
          <w:lang w:val="es-ES" w:eastAsia="es-ES"/>
        </w:rPr>
      </w:pPr>
    </w:p>
    <w:p w14:paraId="5EC177D5" w14:textId="77777777" w:rsidR="006D7A3E" w:rsidRPr="00657D0B" w:rsidRDefault="006D7A3E" w:rsidP="00FE0FF8">
      <w:pPr>
        <w:rPr>
          <w:rFonts w:ascii="Arial" w:eastAsia="Times New Roman" w:hAnsi="Arial" w:cs="Arial"/>
          <w:sz w:val="24"/>
          <w:szCs w:val="24"/>
          <w:lang w:val="es-ES" w:eastAsia="es-ES"/>
        </w:rPr>
      </w:pPr>
      <w:r>
        <w:rPr>
          <w:rFonts w:ascii="Arial" w:eastAsia="Times New Roman" w:hAnsi="Arial" w:cs="Arial"/>
          <w:b/>
          <w:sz w:val="24"/>
          <w:szCs w:val="24"/>
          <w:lang w:val="es-ES" w:eastAsia="es-ES"/>
        </w:rPr>
        <w:t>TEMAS</w:t>
      </w:r>
      <w:r w:rsidR="00657D0B">
        <w:rPr>
          <w:rFonts w:ascii="Arial" w:eastAsia="Times New Roman" w:hAnsi="Arial" w:cs="Arial"/>
          <w:b/>
          <w:sz w:val="24"/>
          <w:szCs w:val="24"/>
          <w:lang w:val="es-ES" w:eastAsia="es-ES"/>
        </w:rPr>
        <w:t xml:space="preserve">: </w:t>
      </w:r>
      <w:r w:rsidR="00657D0B" w:rsidRPr="00657D0B">
        <w:rPr>
          <w:rFonts w:ascii="Arial" w:eastAsia="Times New Roman" w:hAnsi="Arial" w:cs="Arial"/>
          <w:sz w:val="24"/>
          <w:szCs w:val="24"/>
          <w:lang w:val="es-ES" w:eastAsia="es-ES"/>
        </w:rPr>
        <w:t xml:space="preserve">DECLARATORIA DE DESIERTA – CARGA DE LA PRUEBA SOBRE LOS DOCUMENTOS </w:t>
      </w:r>
      <w:r w:rsidR="00186008" w:rsidRPr="00657D0B">
        <w:rPr>
          <w:rFonts w:ascii="Arial" w:eastAsia="Times New Roman" w:hAnsi="Arial" w:cs="Arial"/>
          <w:sz w:val="24"/>
          <w:szCs w:val="24"/>
          <w:lang w:val="es-ES" w:eastAsia="es-ES"/>
        </w:rPr>
        <w:t xml:space="preserve">PRECONTRACTUALES </w:t>
      </w:r>
      <w:r w:rsidR="00186008">
        <w:rPr>
          <w:rFonts w:ascii="Arial" w:eastAsia="Times New Roman" w:hAnsi="Arial" w:cs="Arial"/>
          <w:sz w:val="24"/>
          <w:szCs w:val="24"/>
          <w:lang w:val="es-ES" w:eastAsia="es-ES"/>
        </w:rPr>
        <w:t>-</w:t>
      </w:r>
      <w:r w:rsidR="00AE4AB9">
        <w:rPr>
          <w:rFonts w:ascii="Arial" w:eastAsia="Times New Roman" w:hAnsi="Arial" w:cs="Arial"/>
          <w:sz w:val="24"/>
          <w:szCs w:val="24"/>
          <w:lang w:val="es-ES" w:eastAsia="es-ES"/>
        </w:rPr>
        <w:t xml:space="preserve"> inactividad probatoria</w:t>
      </w:r>
    </w:p>
    <w:p w14:paraId="3F1F0563" w14:textId="77777777" w:rsidR="001C3BBF" w:rsidRPr="00C9724F" w:rsidRDefault="001C3BBF" w:rsidP="00FE0FF8">
      <w:pPr>
        <w:widowControl w:val="0"/>
        <w:autoSpaceDE w:val="0"/>
        <w:autoSpaceDN w:val="0"/>
        <w:adjustRightInd w:val="0"/>
        <w:rPr>
          <w:rFonts w:ascii="Arial" w:eastAsia="Times New Roman" w:hAnsi="Arial" w:cs="Arial"/>
          <w:sz w:val="24"/>
          <w:szCs w:val="24"/>
          <w:lang w:val="es-ES" w:eastAsia="es-ES"/>
        </w:rPr>
      </w:pPr>
    </w:p>
    <w:p w14:paraId="241E8D18" w14:textId="77777777" w:rsidR="001C3BBF" w:rsidRDefault="001C3BBF" w:rsidP="00FE0FF8">
      <w:pPr>
        <w:autoSpaceDE w:val="0"/>
        <w:autoSpaceDN w:val="0"/>
        <w:adjustRightInd w:val="0"/>
        <w:spacing w:line="360" w:lineRule="auto"/>
        <w:rPr>
          <w:rFonts w:ascii="Arial" w:eastAsia="Times New Roman" w:hAnsi="Arial" w:cs="Arial"/>
          <w:sz w:val="24"/>
          <w:szCs w:val="24"/>
          <w:lang w:val="es-ES_tradnl" w:eastAsia="es-ES"/>
        </w:rPr>
      </w:pPr>
      <w:r w:rsidRPr="00C9724F">
        <w:rPr>
          <w:rFonts w:ascii="Arial" w:eastAsia="Times New Roman" w:hAnsi="Arial" w:cs="Arial"/>
          <w:sz w:val="24"/>
          <w:szCs w:val="24"/>
          <w:lang w:val="es-ES_tradnl" w:eastAsia="es-ES"/>
        </w:rPr>
        <w:t>Conoce la Sala el recurso de apelación presentado por la parte demanda</w:t>
      </w:r>
      <w:r w:rsidR="00C12CB8">
        <w:rPr>
          <w:rFonts w:ascii="Arial" w:eastAsia="Times New Roman" w:hAnsi="Arial" w:cs="Arial"/>
          <w:sz w:val="24"/>
          <w:szCs w:val="24"/>
          <w:lang w:val="es-ES_tradnl" w:eastAsia="es-ES"/>
        </w:rPr>
        <w:t>nte</w:t>
      </w:r>
      <w:r w:rsidRPr="00C9724F">
        <w:rPr>
          <w:rFonts w:ascii="Arial" w:eastAsia="Times New Roman" w:hAnsi="Arial" w:cs="Arial"/>
          <w:sz w:val="24"/>
          <w:szCs w:val="24"/>
          <w:lang w:val="es-ES_tradnl" w:eastAsia="es-ES"/>
        </w:rPr>
        <w:t xml:space="preserve"> contra la sentencia proferida por el Tribunal Administrativo de </w:t>
      </w:r>
      <w:r w:rsidR="00C12CB8">
        <w:rPr>
          <w:rFonts w:ascii="Arial" w:eastAsia="Times New Roman" w:hAnsi="Arial" w:cs="Arial"/>
          <w:sz w:val="24"/>
          <w:szCs w:val="24"/>
          <w:lang w:val="es-ES_tradnl" w:eastAsia="es-ES"/>
        </w:rPr>
        <w:t xml:space="preserve">Bolívar, Sala de Decisión 02, </w:t>
      </w:r>
      <w:r w:rsidRPr="00C9724F">
        <w:rPr>
          <w:rFonts w:ascii="Arial" w:eastAsia="Times New Roman" w:hAnsi="Arial" w:cs="Arial"/>
          <w:sz w:val="24"/>
          <w:szCs w:val="24"/>
          <w:lang w:val="es-ES_tradnl" w:eastAsia="es-ES"/>
        </w:rPr>
        <w:t xml:space="preserve">el </w:t>
      </w:r>
      <w:r w:rsidR="00C12CB8">
        <w:rPr>
          <w:rFonts w:ascii="Arial" w:eastAsia="Times New Roman" w:hAnsi="Arial" w:cs="Arial"/>
          <w:sz w:val="24"/>
          <w:szCs w:val="24"/>
          <w:lang w:val="es-ES_tradnl" w:eastAsia="es-ES"/>
        </w:rPr>
        <w:t xml:space="preserve">24 de enero de 2014, </w:t>
      </w:r>
      <w:r w:rsidRPr="00C9724F">
        <w:rPr>
          <w:rFonts w:ascii="Arial" w:eastAsia="Times New Roman" w:hAnsi="Arial" w:cs="Arial"/>
          <w:sz w:val="24"/>
          <w:szCs w:val="24"/>
          <w:lang w:val="es-ES_tradnl" w:eastAsia="es-ES"/>
        </w:rPr>
        <w:t>mediante la cual se dispuso:</w:t>
      </w:r>
    </w:p>
    <w:p w14:paraId="43179B4C" w14:textId="77777777" w:rsidR="00EE27DE" w:rsidRPr="00C9724F" w:rsidRDefault="00EE27DE" w:rsidP="00FE0FF8">
      <w:pPr>
        <w:autoSpaceDE w:val="0"/>
        <w:autoSpaceDN w:val="0"/>
        <w:adjustRightInd w:val="0"/>
        <w:spacing w:line="360" w:lineRule="auto"/>
        <w:rPr>
          <w:rFonts w:ascii="Arial" w:eastAsia="Times New Roman" w:hAnsi="Arial" w:cs="Arial"/>
          <w:sz w:val="24"/>
          <w:szCs w:val="24"/>
          <w:lang w:val="es-ES_tradnl" w:eastAsia="es-ES"/>
        </w:rPr>
      </w:pPr>
    </w:p>
    <w:p w14:paraId="7BAD9AAE" w14:textId="77777777" w:rsidR="00A17744" w:rsidRPr="00EE27DE" w:rsidRDefault="00EE27DE" w:rsidP="00FE0FF8">
      <w:pPr>
        <w:widowControl w:val="0"/>
        <w:adjustRightInd w:val="0"/>
        <w:spacing w:line="360" w:lineRule="atLeast"/>
        <w:jc w:val="center"/>
        <w:textAlignment w:val="baseline"/>
        <w:rPr>
          <w:rFonts w:ascii="Arial" w:eastAsia="Times New Roman" w:hAnsi="Arial" w:cs="Arial"/>
          <w:i/>
          <w:lang w:val="es-ES" w:eastAsia="es-ES"/>
        </w:rPr>
      </w:pPr>
      <w:r w:rsidRPr="00EE27DE">
        <w:rPr>
          <w:rFonts w:ascii="Arial" w:eastAsia="Times New Roman" w:hAnsi="Arial" w:cs="Arial"/>
          <w:i/>
          <w:lang w:val="es-ES" w:eastAsia="es-ES"/>
        </w:rPr>
        <w:t>“</w:t>
      </w:r>
      <w:r w:rsidRPr="00EE27DE">
        <w:rPr>
          <w:rFonts w:ascii="Arial" w:eastAsia="Times New Roman" w:hAnsi="Arial" w:cs="Arial"/>
          <w:b/>
          <w:i/>
          <w:lang w:val="es-ES" w:eastAsia="es-ES"/>
        </w:rPr>
        <w:t xml:space="preserve">NIÉGANSE </w:t>
      </w:r>
      <w:r w:rsidRPr="00EE27DE">
        <w:rPr>
          <w:rFonts w:ascii="Arial" w:eastAsia="Times New Roman" w:hAnsi="Arial" w:cs="Arial"/>
          <w:i/>
          <w:lang w:val="es-ES" w:eastAsia="es-ES"/>
        </w:rPr>
        <w:t xml:space="preserve">las pretensiones de la demanda”. </w:t>
      </w:r>
    </w:p>
    <w:p w14:paraId="4E1410E0" w14:textId="77777777" w:rsidR="00604E2F" w:rsidRDefault="00604E2F" w:rsidP="00FE0FF8">
      <w:pPr>
        <w:widowControl w:val="0"/>
        <w:adjustRightInd w:val="0"/>
        <w:spacing w:line="360" w:lineRule="atLeast"/>
        <w:jc w:val="center"/>
        <w:textAlignment w:val="baseline"/>
        <w:rPr>
          <w:rFonts w:ascii="Arial" w:eastAsia="Times New Roman" w:hAnsi="Arial" w:cs="Arial"/>
          <w:b/>
          <w:sz w:val="24"/>
          <w:szCs w:val="24"/>
          <w:lang w:val="es-ES" w:eastAsia="es-ES"/>
        </w:rPr>
      </w:pPr>
    </w:p>
    <w:p w14:paraId="72D85164" w14:textId="77777777" w:rsidR="001C3BBF" w:rsidRPr="00C9724F" w:rsidRDefault="001C3BBF" w:rsidP="00FE0FF8">
      <w:pPr>
        <w:widowControl w:val="0"/>
        <w:adjustRightInd w:val="0"/>
        <w:spacing w:line="360" w:lineRule="atLeast"/>
        <w:ind w:hanging="283"/>
        <w:jc w:val="center"/>
        <w:textAlignment w:val="baseline"/>
        <w:rPr>
          <w:rFonts w:ascii="Arial" w:eastAsia="Times New Roman" w:hAnsi="Arial" w:cs="Arial"/>
          <w:b/>
          <w:sz w:val="24"/>
          <w:szCs w:val="24"/>
          <w:lang w:val="es-ES" w:eastAsia="es-ES"/>
        </w:rPr>
      </w:pPr>
      <w:r w:rsidRPr="00C9724F">
        <w:rPr>
          <w:rFonts w:ascii="Arial" w:eastAsia="Times New Roman" w:hAnsi="Arial" w:cs="Arial"/>
          <w:b/>
          <w:sz w:val="24"/>
          <w:szCs w:val="24"/>
          <w:lang w:val="es-ES" w:eastAsia="es-ES"/>
        </w:rPr>
        <w:t>I.</w:t>
      </w:r>
      <w:r w:rsidRPr="00C9724F">
        <w:rPr>
          <w:rFonts w:ascii="Arial" w:eastAsia="Times New Roman" w:hAnsi="Arial" w:cs="Arial"/>
          <w:b/>
          <w:sz w:val="24"/>
          <w:szCs w:val="24"/>
          <w:lang w:val="es-ES" w:eastAsia="es-ES"/>
        </w:rPr>
        <w:tab/>
        <w:t>A N T E C E D E N T E S</w:t>
      </w:r>
    </w:p>
    <w:p w14:paraId="6FB7585F" w14:textId="77777777" w:rsidR="001C3BBF" w:rsidRPr="00C9724F" w:rsidRDefault="001C3BBF" w:rsidP="00FE0FF8">
      <w:pPr>
        <w:spacing w:line="360" w:lineRule="auto"/>
        <w:rPr>
          <w:rFonts w:ascii="Arial" w:eastAsia="Times New Roman" w:hAnsi="Arial" w:cs="Arial"/>
          <w:b/>
          <w:sz w:val="24"/>
          <w:szCs w:val="24"/>
          <w:lang w:val="es-ES" w:eastAsia="es-ES"/>
        </w:rPr>
      </w:pPr>
    </w:p>
    <w:p w14:paraId="67C615D7" w14:textId="77777777" w:rsidR="001C3BBF" w:rsidRPr="00C9724F" w:rsidRDefault="001C3BBF" w:rsidP="00FE0FF8">
      <w:pPr>
        <w:spacing w:line="360" w:lineRule="auto"/>
        <w:contextualSpacing/>
        <w:rPr>
          <w:rFonts w:ascii="Arial" w:eastAsia="Times New Roman" w:hAnsi="Arial" w:cs="Arial"/>
          <w:b/>
          <w:sz w:val="24"/>
          <w:szCs w:val="24"/>
          <w:lang w:val="es-ES" w:eastAsia="es-ES"/>
        </w:rPr>
      </w:pPr>
      <w:r w:rsidRPr="00C9724F">
        <w:rPr>
          <w:rFonts w:ascii="Arial" w:eastAsia="Times New Roman" w:hAnsi="Arial" w:cs="Arial"/>
          <w:b/>
          <w:sz w:val="24"/>
          <w:szCs w:val="24"/>
          <w:lang w:val="es-ES" w:eastAsia="es-ES"/>
        </w:rPr>
        <w:t>1.</w:t>
      </w:r>
      <w:r w:rsidRPr="00C9724F">
        <w:rPr>
          <w:rFonts w:ascii="Arial" w:eastAsia="Times New Roman" w:hAnsi="Arial" w:cs="Arial"/>
          <w:b/>
          <w:sz w:val="24"/>
          <w:szCs w:val="24"/>
          <w:lang w:val="es-ES" w:eastAsia="es-ES"/>
        </w:rPr>
        <w:tab/>
        <w:t>La demanda</w:t>
      </w:r>
    </w:p>
    <w:p w14:paraId="3540D783" w14:textId="77777777" w:rsidR="001C3BBF" w:rsidRPr="00C9724F" w:rsidRDefault="001C3BBF" w:rsidP="00FE0FF8">
      <w:pPr>
        <w:widowControl w:val="0"/>
        <w:autoSpaceDE w:val="0"/>
        <w:autoSpaceDN w:val="0"/>
        <w:adjustRightInd w:val="0"/>
        <w:spacing w:line="360" w:lineRule="auto"/>
        <w:rPr>
          <w:rFonts w:ascii="Arial" w:eastAsia="Times New Roman" w:hAnsi="Arial" w:cs="Arial"/>
          <w:sz w:val="24"/>
          <w:szCs w:val="24"/>
          <w:lang w:val="es-ES" w:eastAsia="es-ES"/>
        </w:rPr>
      </w:pPr>
    </w:p>
    <w:p w14:paraId="1398807A" w14:textId="77777777" w:rsidR="00834C92" w:rsidRDefault="001C3BBF" w:rsidP="00FE0FF8">
      <w:pPr>
        <w:spacing w:line="360" w:lineRule="auto"/>
        <w:contextualSpacing/>
        <w:rPr>
          <w:rFonts w:ascii="Arial" w:eastAsia="Times New Roman" w:hAnsi="Arial" w:cs="Arial"/>
          <w:sz w:val="24"/>
          <w:szCs w:val="24"/>
          <w:lang w:val="es-ES" w:eastAsia="es-ES"/>
        </w:rPr>
      </w:pPr>
      <w:r w:rsidRPr="00C9724F">
        <w:rPr>
          <w:rFonts w:ascii="Arial" w:eastAsia="Times New Roman" w:hAnsi="Arial" w:cs="Arial"/>
          <w:sz w:val="24"/>
          <w:szCs w:val="24"/>
          <w:lang w:val="es-ES" w:eastAsia="es-ES"/>
        </w:rPr>
        <w:t xml:space="preserve">Mediante demanda presentada el </w:t>
      </w:r>
      <w:r w:rsidR="00FE3EE6">
        <w:rPr>
          <w:rFonts w:ascii="Arial" w:eastAsia="Times New Roman" w:hAnsi="Arial" w:cs="Arial"/>
          <w:sz w:val="24"/>
          <w:szCs w:val="24"/>
          <w:lang w:val="es-ES" w:eastAsia="es-ES"/>
        </w:rPr>
        <w:t>29</w:t>
      </w:r>
      <w:r w:rsidRPr="00C9724F">
        <w:rPr>
          <w:rFonts w:ascii="Arial" w:eastAsia="Times New Roman" w:hAnsi="Arial" w:cs="Arial"/>
          <w:sz w:val="24"/>
          <w:szCs w:val="24"/>
          <w:lang w:val="es-ES" w:eastAsia="es-ES"/>
        </w:rPr>
        <w:t xml:space="preserve"> de </w:t>
      </w:r>
      <w:r w:rsidR="00FE3EE6">
        <w:rPr>
          <w:rFonts w:ascii="Arial" w:eastAsia="Times New Roman" w:hAnsi="Arial" w:cs="Arial"/>
          <w:sz w:val="24"/>
          <w:szCs w:val="24"/>
          <w:lang w:val="es-ES" w:eastAsia="es-ES"/>
        </w:rPr>
        <w:t xml:space="preserve">junio </w:t>
      </w:r>
      <w:r w:rsidRPr="00C9724F">
        <w:rPr>
          <w:rFonts w:ascii="Arial" w:eastAsia="Times New Roman" w:hAnsi="Arial" w:cs="Arial"/>
          <w:sz w:val="24"/>
          <w:szCs w:val="24"/>
          <w:lang w:val="es-ES" w:eastAsia="es-ES"/>
        </w:rPr>
        <w:t>de 200</w:t>
      </w:r>
      <w:r w:rsidR="00FE3EE6">
        <w:rPr>
          <w:rFonts w:ascii="Arial" w:eastAsia="Times New Roman" w:hAnsi="Arial" w:cs="Arial"/>
          <w:sz w:val="24"/>
          <w:szCs w:val="24"/>
          <w:lang w:val="es-ES" w:eastAsia="es-ES"/>
        </w:rPr>
        <w:t>1</w:t>
      </w:r>
      <w:r w:rsidRPr="00C9724F">
        <w:rPr>
          <w:rFonts w:ascii="Arial" w:eastAsia="Times New Roman" w:hAnsi="Arial" w:cs="Arial"/>
          <w:sz w:val="24"/>
          <w:szCs w:val="24"/>
          <w:lang w:val="es-ES" w:eastAsia="es-ES"/>
        </w:rPr>
        <w:t xml:space="preserve">, </w:t>
      </w:r>
      <w:r w:rsidR="00FE3EE6">
        <w:rPr>
          <w:rFonts w:ascii="Arial" w:eastAsia="Times New Roman" w:hAnsi="Arial" w:cs="Arial"/>
          <w:sz w:val="24"/>
          <w:szCs w:val="24"/>
          <w:lang w:val="es-ES" w:eastAsia="es-ES"/>
        </w:rPr>
        <w:t>la UNIÓN TEMPORAL SOLUCIONES TRIBUTARIAS</w:t>
      </w:r>
      <w:r w:rsidR="00E23268">
        <w:rPr>
          <w:rFonts w:ascii="Arial" w:eastAsia="Times New Roman" w:hAnsi="Arial" w:cs="Arial"/>
          <w:sz w:val="24"/>
          <w:szCs w:val="24"/>
          <w:lang w:val="es-ES" w:eastAsia="es-ES"/>
        </w:rPr>
        <w:t xml:space="preserve"> INTEGRALES</w:t>
      </w:r>
      <w:r w:rsidR="00063224" w:rsidRPr="00C9724F">
        <w:rPr>
          <w:rFonts w:ascii="Arial" w:eastAsia="Times New Roman" w:hAnsi="Arial" w:cs="Arial"/>
          <w:sz w:val="24"/>
          <w:szCs w:val="24"/>
          <w:lang w:val="es-ES" w:eastAsia="es-ES"/>
        </w:rPr>
        <w:t xml:space="preserve">, </w:t>
      </w:r>
      <w:r w:rsidRPr="00C9724F">
        <w:rPr>
          <w:rFonts w:ascii="Arial" w:eastAsia="Times New Roman" w:hAnsi="Arial" w:cs="Arial"/>
          <w:sz w:val="24"/>
          <w:szCs w:val="24"/>
          <w:lang w:val="es-ES" w:eastAsia="es-ES"/>
        </w:rPr>
        <w:t xml:space="preserve">en ejercicio de la acción </w:t>
      </w:r>
      <w:r w:rsidR="00812D1B">
        <w:rPr>
          <w:rFonts w:ascii="Arial" w:eastAsia="Times New Roman" w:hAnsi="Arial" w:cs="Arial"/>
          <w:sz w:val="24"/>
          <w:szCs w:val="24"/>
          <w:lang w:val="es-ES" w:eastAsia="es-ES"/>
        </w:rPr>
        <w:t xml:space="preserve">de nulidad y restablecimiento del derecho consagrada en el artículo </w:t>
      </w:r>
      <w:r w:rsidRPr="00C9724F">
        <w:rPr>
          <w:rFonts w:ascii="Arial" w:eastAsia="Times New Roman" w:hAnsi="Arial" w:cs="Arial"/>
          <w:sz w:val="24"/>
          <w:szCs w:val="24"/>
          <w:lang w:val="es-ES" w:eastAsia="es-ES"/>
        </w:rPr>
        <w:t>8</w:t>
      </w:r>
      <w:r w:rsidR="00812D1B">
        <w:rPr>
          <w:rFonts w:ascii="Arial" w:eastAsia="Times New Roman" w:hAnsi="Arial" w:cs="Arial"/>
          <w:sz w:val="24"/>
          <w:szCs w:val="24"/>
          <w:lang w:val="es-ES" w:eastAsia="es-ES"/>
        </w:rPr>
        <w:t>5</w:t>
      </w:r>
      <w:r w:rsidRPr="00C9724F">
        <w:rPr>
          <w:rFonts w:ascii="Arial" w:eastAsia="Times New Roman" w:hAnsi="Arial" w:cs="Arial"/>
          <w:sz w:val="24"/>
          <w:szCs w:val="24"/>
          <w:lang w:val="es-ES" w:eastAsia="es-ES"/>
        </w:rPr>
        <w:t xml:space="preserve"> del Código Contencioso Administrativo, solicit</w:t>
      </w:r>
      <w:r w:rsidR="00834C92" w:rsidRPr="00C9724F">
        <w:rPr>
          <w:rFonts w:ascii="Arial" w:eastAsia="Times New Roman" w:hAnsi="Arial" w:cs="Arial"/>
          <w:sz w:val="24"/>
          <w:szCs w:val="24"/>
          <w:lang w:val="es-ES" w:eastAsia="es-ES"/>
        </w:rPr>
        <w:t>ó</w:t>
      </w:r>
      <w:r w:rsidRPr="00C9724F">
        <w:rPr>
          <w:rFonts w:ascii="Arial" w:eastAsia="Times New Roman" w:hAnsi="Arial" w:cs="Arial"/>
          <w:sz w:val="24"/>
          <w:szCs w:val="24"/>
          <w:lang w:val="es-ES" w:eastAsia="es-ES"/>
        </w:rPr>
        <w:t xml:space="preserve"> las siguientes declaraciones y condenas contra </w:t>
      </w:r>
      <w:r w:rsidR="00E362EF" w:rsidRPr="00C9724F">
        <w:rPr>
          <w:rFonts w:ascii="Arial" w:eastAsia="Times New Roman" w:hAnsi="Arial" w:cs="Arial"/>
          <w:sz w:val="24"/>
          <w:szCs w:val="24"/>
          <w:lang w:val="es-ES" w:eastAsia="es-ES"/>
        </w:rPr>
        <w:t xml:space="preserve">el Distrito </w:t>
      </w:r>
      <w:r w:rsidR="00412410">
        <w:rPr>
          <w:rFonts w:ascii="Arial" w:eastAsia="Times New Roman" w:hAnsi="Arial" w:cs="Arial"/>
          <w:sz w:val="24"/>
          <w:szCs w:val="24"/>
          <w:lang w:val="es-ES" w:eastAsia="es-ES"/>
        </w:rPr>
        <w:t xml:space="preserve">Turístico y Cultural de </w:t>
      </w:r>
      <w:r w:rsidR="00812D1B">
        <w:rPr>
          <w:rFonts w:ascii="Arial" w:eastAsia="Times New Roman" w:hAnsi="Arial" w:cs="Arial"/>
          <w:sz w:val="24"/>
          <w:szCs w:val="24"/>
          <w:lang w:val="es-ES" w:eastAsia="es-ES"/>
        </w:rPr>
        <w:t>Cartagena de Indias</w:t>
      </w:r>
      <w:r w:rsidR="00412410">
        <w:rPr>
          <w:rStyle w:val="Refdenotaalpie"/>
          <w:rFonts w:ascii="Arial" w:eastAsia="Times New Roman" w:hAnsi="Arial" w:cs="Arial"/>
          <w:sz w:val="24"/>
          <w:szCs w:val="24"/>
          <w:lang w:val="es-ES" w:eastAsia="es-ES"/>
        </w:rPr>
        <w:footnoteReference w:id="1"/>
      </w:r>
      <w:r w:rsidR="00971DB0">
        <w:rPr>
          <w:rFonts w:ascii="Arial" w:eastAsia="Times New Roman" w:hAnsi="Arial" w:cs="Arial"/>
          <w:sz w:val="24"/>
          <w:szCs w:val="24"/>
          <w:lang w:val="es-ES" w:eastAsia="es-ES"/>
        </w:rPr>
        <w:t xml:space="preserve"> (se transcribe textualmente, </w:t>
      </w:r>
      <w:r w:rsidR="000C0A2E">
        <w:rPr>
          <w:rFonts w:ascii="Arial" w:eastAsia="Times New Roman" w:hAnsi="Arial" w:cs="Arial"/>
          <w:sz w:val="24"/>
          <w:szCs w:val="24"/>
          <w:lang w:val="es-ES" w:eastAsia="es-ES"/>
        </w:rPr>
        <w:t>incluso con errores, de acuerdo con el escrito contentivo de la corrección de la demanda</w:t>
      </w:r>
      <w:r w:rsidR="00971DB0">
        <w:rPr>
          <w:rFonts w:ascii="Arial" w:eastAsia="Times New Roman" w:hAnsi="Arial" w:cs="Arial"/>
          <w:sz w:val="24"/>
          <w:szCs w:val="24"/>
          <w:lang w:val="es-ES" w:eastAsia="es-ES"/>
        </w:rPr>
        <w:t>)</w:t>
      </w:r>
      <w:r w:rsidR="00E362EF" w:rsidRPr="00C9724F">
        <w:rPr>
          <w:rFonts w:ascii="Arial" w:eastAsia="Times New Roman" w:hAnsi="Arial" w:cs="Arial"/>
          <w:sz w:val="24"/>
          <w:szCs w:val="24"/>
          <w:lang w:val="es-ES" w:eastAsia="es-ES"/>
        </w:rPr>
        <w:t>:</w:t>
      </w:r>
    </w:p>
    <w:p w14:paraId="5C859186" w14:textId="77777777" w:rsidR="00971DB0" w:rsidRPr="00C9724F" w:rsidRDefault="00971DB0" w:rsidP="00FE0FF8">
      <w:pPr>
        <w:spacing w:line="360" w:lineRule="auto"/>
        <w:contextualSpacing/>
        <w:rPr>
          <w:rFonts w:ascii="Arial" w:eastAsia="Times New Roman" w:hAnsi="Arial" w:cs="Arial"/>
          <w:sz w:val="24"/>
          <w:szCs w:val="24"/>
          <w:lang w:val="es-ES" w:eastAsia="es-ES"/>
        </w:rPr>
      </w:pPr>
    </w:p>
    <w:p w14:paraId="0B2CAD48" w14:textId="77777777" w:rsidR="002B5DB1" w:rsidRDefault="006D7A3E" w:rsidP="00FE0FF8">
      <w:pPr>
        <w:spacing w:line="276" w:lineRule="auto"/>
        <w:contextualSpacing/>
        <w:rPr>
          <w:rFonts w:ascii="Arial" w:eastAsia="Times New Roman" w:hAnsi="Arial" w:cs="Arial"/>
          <w:i/>
          <w:lang w:val="es-ES" w:eastAsia="es-ES"/>
        </w:rPr>
      </w:pPr>
      <w:r w:rsidRPr="00E57DA6">
        <w:rPr>
          <w:rFonts w:ascii="Arial" w:eastAsia="Times New Roman" w:hAnsi="Arial" w:cs="Arial"/>
          <w:i/>
          <w:lang w:val="es-ES" w:eastAsia="es-ES"/>
        </w:rPr>
        <w:t>“</w:t>
      </w:r>
      <w:r w:rsidR="002B5DB1" w:rsidRPr="002B5DB1">
        <w:rPr>
          <w:rFonts w:ascii="Arial" w:eastAsia="Times New Roman" w:hAnsi="Arial" w:cs="Arial"/>
          <w:b/>
          <w:i/>
          <w:u w:val="single"/>
          <w:lang w:val="es-ES" w:eastAsia="es-ES"/>
        </w:rPr>
        <w:t>NULIDAD</w:t>
      </w:r>
      <w:r w:rsidR="002B5DB1">
        <w:rPr>
          <w:rFonts w:ascii="Arial" w:eastAsia="Times New Roman" w:hAnsi="Arial" w:cs="Arial"/>
          <w:i/>
          <w:lang w:val="es-ES" w:eastAsia="es-ES"/>
        </w:rPr>
        <w:t>:</w:t>
      </w:r>
    </w:p>
    <w:p w14:paraId="4C005056" w14:textId="77777777" w:rsidR="002B5DB1" w:rsidRDefault="002B5DB1" w:rsidP="00FE0FF8">
      <w:pPr>
        <w:spacing w:line="276" w:lineRule="auto"/>
        <w:contextualSpacing/>
        <w:rPr>
          <w:rFonts w:ascii="Arial" w:eastAsia="Times New Roman" w:hAnsi="Arial" w:cs="Arial"/>
          <w:i/>
          <w:lang w:val="es-ES" w:eastAsia="es-ES"/>
        </w:rPr>
      </w:pPr>
      <w:r>
        <w:rPr>
          <w:rFonts w:ascii="Arial" w:eastAsia="Times New Roman" w:hAnsi="Arial" w:cs="Arial"/>
          <w:i/>
          <w:lang w:val="es-ES" w:eastAsia="es-ES"/>
        </w:rPr>
        <w:t xml:space="preserve"> </w:t>
      </w:r>
    </w:p>
    <w:p w14:paraId="4316E163" w14:textId="77777777" w:rsidR="00F33CD4" w:rsidRDefault="00F33CD4" w:rsidP="00FE0FF8">
      <w:pPr>
        <w:spacing w:line="276" w:lineRule="auto"/>
        <w:contextualSpacing/>
        <w:rPr>
          <w:rFonts w:ascii="Arial" w:eastAsia="Times New Roman" w:hAnsi="Arial" w:cs="Arial"/>
          <w:i/>
          <w:lang w:val="es-ES" w:eastAsia="es-ES"/>
        </w:rPr>
      </w:pPr>
      <w:r w:rsidRPr="00E57DA6">
        <w:rPr>
          <w:rFonts w:ascii="Arial" w:eastAsia="Times New Roman" w:hAnsi="Arial" w:cs="Arial"/>
          <w:i/>
          <w:lang w:val="es-ES" w:eastAsia="es-ES"/>
        </w:rPr>
        <w:t xml:space="preserve">1. </w:t>
      </w:r>
      <w:r w:rsidR="006D7A3E" w:rsidRPr="00E57DA6">
        <w:rPr>
          <w:rFonts w:ascii="Arial" w:eastAsia="Times New Roman" w:hAnsi="Arial" w:cs="Arial"/>
          <w:i/>
          <w:lang w:val="es-ES" w:eastAsia="es-ES"/>
        </w:rPr>
        <w:t xml:space="preserve">Que </w:t>
      </w:r>
      <w:r w:rsidR="006D7A3E" w:rsidRPr="008A1DAF">
        <w:rPr>
          <w:rFonts w:ascii="Arial" w:eastAsia="Times New Roman" w:hAnsi="Arial" w:cs="Arial"/>
          <w:b/>
          <w:i/>
          <w:lang w:val="es-ES" w:eastAsia="es-ES"/>
        </w:rPr>
        <w:t xml:space="preserve">se </w:t>
      </w:r>
      <w:r w:rsidR="008A1DAF" w:rsidRPr="008A1DAF">
        <w:rPr>
          <w:rFonts w:ascii="Arial" w:eastAsia="Times New Roman" w:hAnsi="Arial" w:cs="Arial"/>
          <w:b/>
          <w:i/>
          <w:lang w:val="es-ES" w:eastAsia="es-ES"/>
        </w:rPr>
        <w:t>declare la nulidad</w:t>
      </w:r>
      <w:r w:rsidR="008A1DAF">
        <w:rPr>
          <w:rFonts w:ascii="Arial" w:eastAsia="Times New Roman" w:hAnsi="Arial" w:cs="Arial"/>
          <w:i/>
          <w:lang w:val="es-ES" w:eastAsia="es-ES"/>
        </w:rPr>
        <w:t xml:space="preserve"> d</w:t>
      </w:r>
      <w:r w:rsidR="006D7A3E" w:rsidRPr="00E57DA6">
        <w:rPr>
          <w:rFonts w:ascii="Arial" w:eastAsia="Times New Roman" w:hAnsi="Arial" w:cs="Arial"/>
          <w:i/>
          <w:lang w:val="es-ES" w:eastAsia="es-ES"/>
        </w:rPr>
        <w:t xml:space="preserve">el acto presunto en virtud del cual se tiene por resuelto negativamente el recurso de reposición interpuesto en fecha 29 de diciembre de 2000 por </w:t>
      </w:r>
      <w:r w:rsidR="006D7A3E" w:rsidRPr="008A1DAF">
        <w:rPr>
          <w:rFonts w:ascii="Arial" w:eastAsia="Times New Roman" w:hAnsi="Arial" w:cs="Arial"/>
          <w:b/>
          <w:i/>
          <w:lang w:val="es-ES" w:eastAsia="es-ES"/>
        </w:rPr>
        <w:t>JAVIER ARIZA HEREDIA</w:t>
      </w:r>
      <w:r w:rsidR="006D7A3E" w:rsidRPr="00E57DA6">
        <w:rPr>
          <w:rFonts w:ascii="Arial" w:eastAsia="Times New Roman" w:hAnsi="Arial" w:cs="Arial"/>
          <w:i/>
          <w:lang w:val="es-ES" w:eastAsia="es-ES"/>
        </w:rPr>
        <w:t xml:space="preserve">, representante legal de la </w:t>
      </w:r>
      <w:r w:rsidRPr="00E57DA6">
        <w:rPr>
          <w:rFonts w:ascii="Arial" w:eastAsia="Times New Roman" w:hAnsi="Arial" w:cs="Arial"/>
          <w:i/>
          <w:lang w:val="es-ES" w:eastAsia="es-ES"/>
        </w:rPr>
        <w:t>Unión Temporal.</w:t>
      </w:r>
    </w:p>
    <w:p w14:paraId="5FD16D40" w14:textId="77777777" w:rsidR="008A1DAF" w:rsidRDefault="008A1DAF" w:rsidP="00FE0FF8">
      <w:pPr>
        <w:spacing w:line="276" w:lineRule="auto"/>
        <w:contextualSpacing/>
        <w:rPr>
          <w:rFonts w:ascii="Arial" w:eastAsia="Times New Roman" w:hAnsi="Arial" w:cs="Arial"/>
          <w:i/>
          <w:lang w:val="es-ES" w:eastAsia="es-ES"/>
        </w:rPr>
      </w:pPr>
    </w:p>
    <w:p w14:paraId="00592BBC" w14:textId="77777777" w:rsidR="008A1DAF" w:rsidRDefault="008A1DAF" w:rsidP="00FE0FF8">
      <w:pPr>
        <w:spacing w:line="276" w:lineRule="auto"/>
        <w:contextualSpacing/>
        <w:rPr>
          <w:rFonts w:ascii="Arial" w:eastAsia="Times New Roman" w:hAnsi="Arial" w:cs="Arial"/>
          <w:i/>
          <w:lang w:val="es-ES" w:eastAsia="es-ES"/>
        </w:rPr>
      </w:pPr>
      <w:r>
        <w:rPr>
          <w:rFonts w:ascii="Arial" w:eastAsia="Times New Roman" w:hAnsi="Arial" w:cs="Arial"/>
          <w:i/>
          <w:lang w:val="es-ES" w:eastAsia="es-ES"/>
        </w:rPr>
        <w:t>“Dicho recurso pretendía la revocatoria de la Resolución No. 1457 del 7 de diciembre de 2000, que declaraba desierta una invitación pública</w:t>
      </w:r>
      <w:r w:rsidR="002A47D9">
        <w:rPr>
          <w:rFonts w:ascii="Arial" w:eastAsia="Times New Roman" w:hAnsi="Arial" w:cs="Arial"/>
          <w:i/>
          <w:lang w:val="es-ES" w:eastAsia="es-ES"/>
        </w:rPr>
        <w:t xml:space="preserve"> para contratar.</w:t>
      </w:r>
    </w:p>
    <w:p w14:paraId="77EF8BF5" w14:textId="77777777" w:rsidR="002A47D9" w:rsidRDefault="002A47D9" w:rsidP="00FE0FF8">
      <w:pPr>
        <w:spacing w:line="276" w:lineRule="auto"/>
        <w:contextualSpacing/>
        <w:rPr>
          <w:rFonts w:ascii="Arial" w:eastAsia="Times New Roman" w:hAnsi="Arial" w:cs="Arial"/>
          <w:i/>
          <w:lang w:val="es-ES" w:eastAsia="es-ES"/>
        </w:rPr>
      </w:pPr>
    </w:p>
    <w:p w14:paraId="3BD92CD8" w14:textId="77777777" w:rsidR="00176225" w:rsidRDefault="002B5DB1" w:rsidP="00FE0FF8">
      <w:pPr>
        <w:spacing w:line="276" w:lineRule="auto"/>
        <w:contextualSpacing/>
        <w:rPr>
          <w:rFonts w:ascii="Arial" w:eastAsia="Times New Roman" w:hAnsi="Arial" w:cs="Arial"/>
          <w:i/>
          <w:lang w:val="es-ES" w:eastAsia="es-ES"/>
        </w:rPr>
      </w:pPr>
      <w:r>
        <w:rPr>
          <w:rFonts w:ascii="Arial" w:eastAsia="Times New Roman" w:hAnsi="Arial" w:cs="Arial"/>
          <w:i/>
          <w:lang w:val="es-ES" w:eastAsia="es-ES"/>
        </w:rPr>
        <w:t>“</w:t>
      </w:r>
      <w:r w:rsidR="002A47D9">
        <w:rPr>
          <w:rFonts w:ascii="Arial" w:eastAsia="Times New Roman" w:hAnsi="Arial" w:cs="Arial"/>
          <w:i/>
          <w:lang w:val="es-ES" w:eastAsia="es-ES"/>
        </w:rPr>
        <w:t xml:space="preserve">Bajo la gravedad de juramento declaro </w:t>
      </w:r>
      <w:proofErr w:type="gramStart"/>
      <w:r w:rsidR="002A47D9">
        <w:rPr>
          <w:rFonts w:ascii="Arial" w:eastAsia="Times New Roman" w:hAnsi="Arial" w:cs="Arial"/>
          <w:i/>
          <w:lang w:val="es-ES" w:eastAsia="es-ES"/>
        </w:rPr>
        <w:t>que</w:t>
      </w:r>
      <w:proofErr w:type="gramEnd"/>
      <w:r w:rsidR="002A47D9">
        <w:rPr>
          <w:rFonts w:ascii="Arial" w:eastAsia="Times New Roman" w:hAnsi="Arial" w:cs="Arial"/>
          <w:i/>
          <w:lang w:val="es-ES" w:eastAsia="es-ES"/>
        </w:rPr>
        <w:t xml:space="preserve"> a la fecha de presentación de este memorial, la administración Distrital de Cartagena de Indias no ha notificado a mi poderdante o al suscrito de cualquier decisión tomada frente al recurso de reposición</w:t>
      </w:r>
      <w:r w:rsidR="00176225">
        <w:rPr>
          <w:rFonts w:ascii="Arial" w:eastAsia="Times New Roman" w:hAnsi="Arial" w:cs="Arial"/>
          <w:i/>
          <w:lang w:val="es-ES" w:eastAsia="es-ES"/>
        </w:rPr>
        <w:t xml:space="preserve"> interpuesto en fecha 29 de diciembre de 2000 por JAVIER ARIZA HEREDIA, representante legal de la Unión Temporal.</w:t>
      </w:r>
    </w:p>
    <w:p w14:paraId="159A1F7B" w14:textId="77777777" w:rsidR="00176225" w:rsidRDefault="00176225" w:rsidP="00FE0FF8">
      <w:pPr>
        <w:spacing w:line="276" w:lineRule="auto"/>
        <w:contextualSpacing/>
        <w:rPr>
          <w:rFonts w:ascii="Arial" w:eastAsia="Times New Roman" w:hAnsi="Arial" w:cs="Arial"/>
          <w:i/>
          <w:lang w:val="es-ES" w:eastAsia="es-ES"/>
        </w:rPr>
      </w:pPr>
    </w:p>
    <w:p w14:paraId="54B67053" w14:textId="77777777" w:rsidR="00F33CD4" w:rsidRDefault="00176225" w:rsidP="00FE0FF8">
      <w:pPr>
        <w:spacing w:line="276" w:lineRule="auto"/>
        <w:contextualSpacing/>
        <w:rPr>
          <w:rFonts w:ascii="Arial" w:eastAsia="Times New Roman" w:hAnsi="Arial" w:cs="Arial"/>
          <w:i/>
          <w:lang w:val="es-ES" w:eastAsia="es-ES"/>
        </w:rPr>
      </w:pPr>
      <w:r>
        <w:rPr>
          <w:rFonts w:ascii="Arial" w:eastAsia="Times New Roman" w:hAnsi="Arial" w:cs="Arial"/>
          <w:i/>
          <w:lang w:val="es-ES" w:eastAsia="es-ES"/>
        </w:rPr>
        <w:t>“2.</w:t>
      </w:r>
      <w:r w:rsidR="00F33CD4" w:rsidRPr="00E57DA6">
        <w:rPr>
          <w:rFonts w:ascii="Arial" w:eastAsia="Times New Roman" w:hAnsi="Arial" w:cs="Arial"/>
          <w:i/>
          <w:lang w:val="es-ES" w:eastAsia="es-ES"/>
        </w:rPr>
        <w:t xml:space="preserve"> Que se </w:t>
      </w:r>
      <w:r w:rsidRPr="00176225">
        <w:rPr>
          <w:rFonts w:ascii="Arial" w:eastAsia="Times New Roman" w:hAnsi="Arial" w:cs="Arial"/>
          <w:b/>
          <w:i/>
          <w:lang w:val="es-ES" w:eastAsia="es-ES"/>
        </w:rPr>
        <w:t>declare la nulidad</w:t>
      </w:r>
      <w:r>
        <w:rPr>
          <w:rFonts w:ascii="Arial" w:eastAsia="Times New Roman" w:hAnsi="Arial" w:cs="Arial"/>
          <w:i/>
          <w:lang w:val="es-ES" w:eastAsia="es-ES"/>
        </w:rPr>
        <w:t xml:space="preserve"> de la</w:t>
      </w:r>
      <w:r w:rsidR="00F33CD4" w:rsidRPr="00E57DA6">
        <w:rPr>
          <w:rFonts w:ascii="Arial" w:eastAsia="Times New Roman" w:hAnsi="Arial" w:cs="Arial"/>
          <w:i/>
          <w:lang w:val="es-ES" w:eastAsia="es-ES"/>
        </w:rPr>
        <w:t xml:space="preserve"> resolución No. 1457 del 7 de diciembre de 2000 quedando por tanto sin efectos la declaratoria de desierta de la Invitación Pública para </w:t>
      </w:r>
      <w:r w:rsidR="00F33CD4" w:rsidRPr="00E57DA6">
        <w:rPr>
          <w:rFonts w:ascii="Arial" w:eastAsia="Times New Roman" w:hAnsi="Arial" w:cs="Arial"/>
          <w:i/>
          <w:lang w:val="es-ES" w:eastAsia="es-ES"/>
        </w:rPr>
        <w:lastRenderedPageBreak/>
        <w:t xml:space="preserve">seleccionar al contratista que se encargará apoyar y asesorar </w:t>
      </w:r>
      <w:r w:rsidR="00624ED4" w:rsidRPr="00E57DA6">
        <w:rPr>
          <w:rFonts w:ascii="Arial" w:eastAsia="Times New Roman" w:hAnsi="Arial" w:cs="Arial"/>
          <w:i/>
          <w:lang w:val="es-ES" w:eastAsia="es-ES"/>
        </w:rPr>
        <w:t>en la Gestión Tributaria del Distrito de Cartagena</w:t>
      </w:r>
      <w:r w:rsidR="00180977">
        <w:rPr>
          <w:rFonts w:ascii="Arial" w:eastAsia="Times New Roman" w:hAnsi="Arial" w:cs="Arial"/>
          <w:i/>
          <w:lang w:val="es-ES" w:eastAsia="es-ES"/>
        </w:rPr>
        <w:t>.</w:t>
      </w:r>
    </w:p>
    <w:p w14:paraId="75FFF44B" w14:textId="77777777" w:rsidR="00624ED4" w:rsidRDefault="00624ED4" w:rsidP="00FE0FF8">
      <w:pPr>
        <w:spacing w:line="276" w:lineRule="auto"/>
        <w:contextualSpacing/>
        <w:rPr>
          <w:rFonts w:ascii="Arial" w:eastAsia="Times New Roman" w:hAnsi="Arial" w:cs="Arial"/>
          <w:i/>
          <w:lang w:val="es-ES" w:eastAsia="es-ES"/>
        </w:rPr>
      </w:pPr>
    </w:p>
    <w:p w14:paraId="774BE0C5" w14:textId="77777777" w:rsidR="002B5DB1" w:rsidRPr="002B5DB1" w:rsidRDefault="00095302" w:rsidP="00FE0FF8">
      <w:pPr>
        <w:spacing w:line="276" w:lineRule="auto"/>
        <w:contextualSpacing/>
        <w:rPr>
          <w:rFonts w:ascii="Arial" w:eastAsia="Times New Roman" w:hAnsi="Arial" w:cs="Arial"/>
          <w:b/>
          <w:u w:val="single"/>
          <w:lang w:val="es-ES" w:eastAsia="es-ES"/>
        </w:rPr>
      </w:pPr>
      <w:r w:rsidRPr="00095302">
        <w:rPr>
          <w:rFonts w:ascii="Arial" w:eastAsia="Times New Roman" w:hAnsi="Arial" w:cs="Arial"/>
          <w:lang w:val="es-ES" w:eastAsia="es-ES"/>
        </w:rPr>
        <w:t>“</w:t>
      </w:r>
      <w:r w:rsidR="002B5DB1" w:rsidRPr="002B5DB1">
        <w:rPr>
          <w:rFonts w:ascii="Arial" w:eastAsia="Times New Roman" w:hAnsi="Arial" w:cs="Arial"/>
          <w:b/>
          <w:u w:val="single"/>
          <w:lang w:val="es-ES" w:eastAsia="es-ES"/>
        </w:rPr>
        <w:t>SUSPENSIÓN PROVISIONAL</w:t>
      </w:r>
    </w:p>
    <w:p w14:paraId="34FAEBC4" w14:textId="77777777" w:rsidR="002B5DB1" w:rsidRPr="00E57DA6" w:rsidRDefault="002B5DB1" w:rsidP="00FE0FF8">
      <w:pPr>
        <w:spacing w:line="276" w:lineRule="auto"/>
        <w:contextualSpacing/>
        <w:rPr>
          <w:rFonts w:ascii="Arial" w:eastAsia="Times New Roman" w:hAnsi="Arial" w:cs="Arial"/>
          <w:i/>
          <w:lang w:val="es-ES" w:eastAsia="es-ES"/>
        </w:rPr>
      </w:pPr>
    </w:p>
    <w:p w14:paraId="19337DF8" w14:textId="77777777" w:rsidR="00624ED4" w:rsidRPr="00E57DA6" w:rsidRDefault="00971DB0" w:rsidP="00FE0FF8">
      <w:pPr>
        <w:spacing w:line="276" w:lineRule="auto"/>
        <w:contextualSpacing/>
        <w:rPr>
          <w:rFonts w:ascii="Arial" w:eastAsia="Times New Roman" w:hAnsi="Arial" w:cs="Arial"/>
          <w:i/>
          <w:lang w:val="es-ES" w:eastAsia="es-ES"/>
        </w:rPr>
      </w:pPr>
      <w:r w:rsidRPr="00E57DA6">
        <w:rPr>
          <w:rFonts w:ascii="Arial" w:eastAsia="Times New Roman" w:hAnsi="Arial" w:cs="Arial"/>
          <w:i/>
          <w:lang w:val="es-ES" w:eastAsia="es-ES"/>
        </w:rPr>
        <w:t>“</w:t>
      </w:r>
      <w:r w:rsidR="00624ED4" w:rsidRPr="00E57DA6">
        <w:rPr>
          <w:rFonts w:ascii="Arial" w:eastAsia="Times New Roman" w:hAnsi="Arial" w:cs="Arial"/>
          <w:i/>
          <w:lang w:val="es-ES" w:eastAsia="es-ES"/>
        </w:rPr>
        <w:t xml:space="preserve">3. </w:t>
      </w:r>
      <w:r w:rsidR="002B5DB1">
        <w:rPr>
          <w:rFonts w:ascii="Arial" w:eastAsia="Times New Roman" w:hAnsi="Arial" w:cs="Arial"/>
          <w:i/>
          <w:lang w:val="es-ES" w:eastAsia="es-ES"/>
        </w:rPr>
        <w:t xml:space="preserve">Sírvanse DECRETAR la suspensión provisional de los actos acusados, </w:t>
      </w:r>
      <w:r w:rsidR="00624ED4" w:rsidRPr="00E57DA6">
        <w:rPr>
          <w:rFonts w:ascii="Arial" w:eastAsia="Times New Roman" w:hAnsi="Arial" w:cs="Arial"/>
          <w:i/>
          <w:lang w:val="es-ES" w:eastAsia="es-ES"/>
        </w:rPr>
        <w:t>hasta tanto no quede debidamente ejecutoriada la sentencia definitiva de las resultas del presente proceso.</w:t>
      </w:r>
    </w:p>
    <w:p w14:paraId="67745CAC" w14:textId="77777777" w:rsidR="00624ED4" w:rsidRDefault="00624ED4" w:rsidP="00FE0FF8">
      <w:pPr>
        <w:spacing w:line="276" w:lineRule="auto"/>
        <w:contextualSpacing/>
        <w:rPr>
          <w:rFonts w:ascii="Arial" w:eastAsia="Times New Roman" w:hAnsi="Arial" w:cs="Arial"/>
          <w:i/>
          <w:lang w:val="es-ES" w:eastAsia="es-ES"/>
        </w:rPr>
      </w:pPr>
    </w:p>
    <w:p w14:paraId="76141A8F" w14:textId="77777777" w:rsidR="002B5DB1" w:rsidRDefault="00095302" w:rsidP="00FE0FF8">
      <w:pPr>
        <w:spacing w:line="276" w:lineRule="auto"/>
        <w:contextualSpacing/>
        <w:rPr>
          <w:rFonts w:ascii="Arial" w:eastAsia="Times New Roman" w:hAnsi="Arial" w:cs="Arial"/>
          <w:b/>
          <w:i/>
          <w:u w:val="single"/>
          <w:lang w:val="es-ES" w:eastAsia="es-ES"/>
        </w:rPr>
      </w:pPr>
      <w:r w:rsidRPr="00095302">
        <w:rPr>
          <w:rFonts w:ascii="Arial" w:eastAsia="Times New Roman" w:hAnsi="Arial" w:cs="Arial"/>
          <w:i/>
          <w:lang w:val="es-ES" w:eastAsia="es-ES"/>
        </w:rPr>
        <w:t>“</w:t>
      </w:r>
      <w:r w:rsidR="002B5DB1" w:rsidRPr="002B5DB1">
        <w:rPr>
          <w:rFonts w:ascii="Arial" w:eastAsia="Times New Roman" w:hAnsi="Arial" w:cs="Arial"/>
          <w:b/>
          <w:i/>
          <w:u w:val="single"/>
          <w:lang w:val="es-ES" w:eastAsia="es-ES"/>
        </w:rPr>
        <w:t xml:space="preserve">RESTABLECIMIENTO DEL DERECHO </w:t>
      </w:r>
    </w:p>
    <w:p w14:paraId="7C4BC540" w14:textId="77777777" w:rsidR="002B5DB1" w:rsidRPr="002B5DB1" w:rsidRDefault="002B5DB1" w:rsidP="00FE0FF8">
      <w:pPr>
        <w:spacing w:line="276" w:lineRule="auto"/>
        <w:contextualSpacing/>
        <w:rPr>
          <w:rFonts w:ascii="Arial" w:eastAsia="Times New Roman" w:hAnsi="Arial" w:cs="Arial"/>
          <w:b/>
          <w:i/>
          <w:u w:val="single"/>
          <w:lang w:val="es-ES" w:eastAsia="es-ES"/>
        </w:rPr>
      </w:pPr>
    </w:p>
    <w:p w14:paraId="01DB1846" w14:textId="77777777" w:rsidR="00A31BE7" w:rsidRPr="00E57DA6" w:rsidRDefault="00971DB0" w:rsidP="00FE0FF8">
      <w:pPr>
        <w:spacing w:line="276" w:lineRule="auto"/>
        <w:contextualSpacing/>
        <w:rPr>
          <w:rFonts w:ascii="Arial" w:eastAsia="Times New Roman" w:hAnsi="Arial" w:cs="Arial"/>
          <w:i/>
          <w:lang w:val="es-ES" w:eastAsia="es-ES"/>
        </w:rPr>
      </w:pPr>
      <w:r w:rsidRPr="00E57DA6">
        <w:rPr>
          <w:rFonts w:ascii="Arial" w:eastAsia="Times New Roman" w:hAnsi="Arial" w:cs="Arial"/>
          <w:i/>
          <w:lang w:val="es-ES" w:eastAsia="es-ES"/>
        </w:rPr>
        <w:t>“</w:t>
      </w:r>
      <w:r w:rsidR="00624ED4" w:rsidRPr="00E57DA6">
        <w:rPr>
          <w:rFonts w:ascii="Arial" w:eastAsia="Times New Roman" w:hAnsi="Arial" w:cs="Arial"/>
          <w:i/>
          <w:lang w:val="es-ES" w:eastAsia="es-ES"/>
        </w:rPr>
        <w:t xml:space="preserve">4. </w:t>
      </w:r>
      <w:r w:rsidR="00624ED4" w:rsidRPr="00E57DA6">
        <w:rPr>
          <w:rFonts w:ascii="Arial" w:eastAsia="Times New Roman" w:hAnsi="Arial" w:cs="Arial"/>
          <w:b/>
          <w:i/>
          <w:lang w:val="es-ES" w:eastAsia="es-ES"/>
        </w:rPr>
        <w:t>QUE SE RESTABLEZCA EL DERECHO DEL DEMANDANTE</w:t>
      </w:r>
      <w:r w:rsidR="00624ED4" w:rsidRPr="00E57DA6">
        <w:rPr>
          <w:rFonts w:ascii="Arial" w:eastAsia="Times New Roman" w:hAnsi="Arial" w:cs="Arial"/>
          <w:i/>
          <w:lang w:val="es-ES" w:eastAsia="es-ES"/>
        </w:rPr>
        <w:t xml:space="preserve">. En </w:t>
      </w:r>
      <w:proofErr w:type="gramStart"/>
      <w:r w:rsidR="00624ED4" w:rsidRPr="00E57DA6">
        <w:rPr>
          <w:rFonts w:ascii="Arial" w:eastAsia="Times New Roman" w:hAnsi="Arial" w:cs="Arial"/>
          <w:i/>
          <w:lang w:val="es-ES" w:eastAsia="es-ES"/>
        </w:rPr>
        <w:t>c</w:t>
      </w:r>
      <w:r w:rsidR="00C27D0C" w:rsidRPr="00E57DA6">
        <w:rPr>
          <w:rFonts w:ascii="Arial" w:eastAsia="Times New Roman" w:hAnsi="Arial" w:cs="Arial"/>
          <w:i/>
          <w:lang w:val="es-ES" w:eastAsia="es-ES"/>
        </w:rPr>
        <w:t>o</w:t>
      </w:r>
      <w:r w:rsidR="00624ED4" w:rsidRPr="00E57DA6">
        <w:rPr>
          <w:rFonts w:ascii="Arial" w:eastAsia="Times New Roman" w:hAnsi="Arial" w:cs="Arial"/>
          <w:i/>
          <w:lang w:val="es-ES" w:eastAsia="es-ES"/>
        </w:rPr>
        <w:t>nsecuencia</w:t>
      </w:r>
      <w:proofErr w:type="gramEnd"/>
      <w:r w:rsidR="00624ED4" w:rsidRPr="00E57DA6">
        <w:rPr>
          <w:rFonts w:ascii="Arial" w:eastAsia="Times New Roman" w:hAnsi="Arial" w:cs="Arial"/>
          <w:i/>
          <w:lang w:val="es-ES" w:eastAsia="es-ES"/>
        </w:rPr>
        <w:t xml:space="preserve"> </w:t>
      </w:r>
      <w:r w:rsidR="00624ED4" w:rsidRPr="005E70B2">
        <w:rPr>
          <w:rFonts w:ascii="Arial" w:eastAsia="Times New Roman" w:hAnsi="Arial" w:cs="Arial"/>
          <w:b/>
          <w:i/>
          <w:lang w:val="es-ES" w:eastAsia="es-ES"/>
        </w:rPr>
        <w:t>al DISTRITO DE CARTAGENA D.T.C.H.</w:t>
      </w:r>
      <w:r w:rsidR="00624ED4" w:rsidRPr="00E57DA6">
        <w:rPr>
          <w:rFonts w:ascii="Arial" w:eastAsia="Times New Roman" w:hAnsi="Arial" w:cs="Arial"/>
          <w:i/>
          <w:lang w:val="es-ES" w:eastAsia="es-ES"/>
        </w:rPr>
        <w:t xml:space="preserve"> </w:t>
      </w:r>
      <w:r w:rsidR="00624ED4" w:rsidRPr="005E70B2">
        <w:rPr>
          <w:rFonts w:ascii="Arial" w:eastAsia="Times New Roman" w:hAnsi="Arial" w:cs="Arial"/>
          <w:b/>
          <w:i/>
          <w:lang w:val="es-ES" w:eastAsia="es-ES"/>
        </w:rPr>
        <w:t>Representado legalmente por su alcalde señor CARLOS DÍAZ REDONDO</w:t>
      </w:r>
      <w:r w:rsidR="00624ED4" w:rsidRPr="00E57DA6">
        <w:rPr>
          <w:rFonts w:ascii="Arial" w:eastAsia="Times New Roman" w:hAnsi="Arial" w:cs="Arial"/>
          <w:i/>
          <w:lang w:val="es-ES" w:eastAsia="es-ES"/>
        </w:rPr>
        <w:t xml:space="preserve"> o quien lo reemplace o haga sus veces </w:t>
      </w:r>
      <w:r w:rsidR="005E70B2" w:rsidRPr="00E57DA6">
        <w:rPr>
          <w:rFonts w:ascii="Arial" w:eastAsia="Times New Roman" w:hAnsi="Arial" w:cs="Arial"/>
          <w:i/>
          <w:lang w:val="es-ES" w:eastAsia="es-ES"/>
        </w:rPr>
        <w:t>en el momento de la notificación</w:t>
      </w:r>
      <w:r w:rsidR="00FA03D7" w:rsidRPr="00E57DA6">
        <w:rPr>
          <w:rFonts w:ascii="Arial" w:eastAsia="Times New Roman" w:hAnsi="Arial" w:cs="Arial"/>
          <w:i/>
          <w:lang w:val="es-ES" w:eastAsia="es-ES"/>
        </w:rPr>
        <w:t xml:space="preserve">; se le condenará a pagar los daños y perjuicios ocasionados a la </w:t>
      </w:r>
      <w:r w:rsidR="00FA03D7" w:rsidRPr="005E70B2">
        <w:rPr>
          <w:rFonts w:ascii="Arial" w:eastAsia="Times New Roman" w:hAnsi="Arial" w:cs="Arial"/>
          <w:b/>
          <w:i/>
          <w:lang w:val="es-ES" w:eastAsia="es-ES"/>
        </w:rPr>
        <w:t>UNIÓN TEMPORAL SOLUCIONES TRIBUTARI</w:t>
      </w:r>
      <w:r w:rsidR="00C27D0C" w:rsidRPr="005E70B2">
        <w:rPr>
          <w:rFonts w:ascii="Arial" w:eastAsia="Times New Roman" w:hAnsi="Arial" w:cs="Arial"/>
          <w:b/>
          <w:i/>
          <w:lang w:val="es-ES" w:eastAsia="es-ES"/>
        </w:rPr>
        <w:t>A</w:t>
      </w:r>
      <w:r w:rsidR="00FA03D7" w:rsidRPr="005E70B2">
        <w:rPr>
          <w:rFonts w:ascii="Arial" w:eastAsia="Times New Roman" w:hAnsi="Arial" w:cs="Arial"/>
          <w:b/>
          <w:i/>
          <w:lang w:val="es-ES" w:eastAsia="es-ES"/>
        </w:rPr>
        <w:t>S INTEGRALES</w:t>
      </w:r>
      <w:r w:rsidR="00FA03D7" w:rsidRPr="00E57DA6">
        <w:rPr>
          <w:rFonts w:ascii="Arial" w:eastAsia="Times New Roman" w:hAnsi="Arial" w:cs="Arial"/>
          <w:i/>
          <w:lang w:val="es-ES" w:eastAsia="es-ES"/>
        </w:rPr>
        <w:t xml:space="preserve">, conforme a lo que resulte probado dentro del proceso, o en su defecto en forma Genérica, o se regule de conformidad con el procedimiento </w:t>
      </w:r>
      <w:r w:rsidR="00C27D0C" w:rsidRPr="00E57DA6">
        <w:rPr>
          <w:rFonts w:ascii="Arial" w:eastAsia="Times New Roman" w:hAnsi="Arial" w:cs="Arial"/>
          <w:i/>
          <w:lang w:val="es-ES" w:eastAsia="es-ES"/>
        </w:rPr>
        <w:t>estatu</w:t>
      </w:r>
      <w:r w:rsidR="00A31BE7" w:rsidRPr="00E57DA6">
        <w:rPr>
          <w:rFonts w:ascii="Arial" w:eastAsia="Times New Roman" w:hAnsi="Arial" w:cs="Arial"/>
          <w:i/>
          <w:lang w:val="es-ES" w:eastAsia="es-ES"/>
        </w:rPr>
        <w:t>i</w:t>
      </w:r>
      <w:r w:rsidR="00C27D0C" w:rsidRPr="00E57DA6">
        <w:rPr>
          <w:rFonts w:ascii="Arial" w:eastAsia="Times New Roman" w:hAnsi="Arial" w:cs="Arial"/>
          <w:i/>
          <w:lang w:val="es-ES" w:eastAsia="es-ES"/>
        </w:rPr>
        <w:t>do en el Art.</w:t>
      </w:r>
      <w:r w:rsidR="00624ED4" w:rsidRPr="00E57DA6">
        <w:rPr>
          <w:rFonts w:ascii="Arial" w:eastAsia="Times New Roman" w:hAnsi="Arial" w:cs="Arial"/>
          <w:i/>
          <w:lang w:val="es-ES" w:eastAsia="es-ES"/>
        </w:rPr>
        <w:t xml:space="preserve"> </w:t>
      </w:r>
      <w:r w:rsidR="00C27D0C" w:rsidRPr="00E57DA6">
        <w:rPr>
          <w:rFonts w:ascii="Arial" w:eastAsia="Times New Roman" w:hAnsi="Arial" w:cs="Arial"/>
          <w:i/>
          <w:lang w:val="es-ES" w:eastAsia="es-ES"/>
        </w:rPr>
        <w:t>308 del Código de Procedimiento Civil</w:t>
      </w:r>
      <w:r w:rsidR="00A31BE7" w:rsidRPr="00E57DA6">
        <w:rPr>
          <w:rFonts w:ascii="Arial" w:eastAsia="Times New Roman" w:hAnsi="Arial" w:cs="Arial"/>
          <w:i/>
          <w:lang w:val="es-ES" w:eastAsia="es-ES"/>
        </w:rPr>
        <w:t>.</w:t>
      </w:r>
    </w:p>
    <w:p w14:paraId="4D3ED7D2" w14:textId="77777777" w:rsidR="00A31BE7" w:rsidRPr="00E57DA6" w:rsidRDefault="00A31BE7" w:rsidP="00FE0FF8">
      <w:pPr>
        <w:spacing w:line="276" w:lineRule="auto"/>
        <w:contextualSpacing/>
        <w:rPr>
          <w:rFonts w:ascii="Arial" w:eastAsia="Times New Roman" w:hAnsi="Arial" w:cs="Arial"/>
          <w:i/>
          <w:lang w:val="es-ES" w:eastAsia="es-ES"/>
        </w:rPr>
      </w:pPr>
    </w:p>
    <w:p w14:paraId="7EEA7B70" w14:textId="77777777" w:rsidR="004521D6" w:rsidRDefault="00971DB0" w:rsidP="00FE0FF8">
      <w:pPr>
        <w:spacing w:line="276" w:lineRule="auto"/>
        <w:contextualSpacing/>
        <w:rPr>
          <w:rFonts w:ascii="Arial" w:eastAsia="Times New Roman" w:hAnsi="Arial" w:cs="Arial"/>
          <w:i/>
          <w:lang w:val="es-ES" w:eastAsia="es-ES"/>
        </w:rPr>
      </w:pPr>
      <w:r w:rsidRPr="00E57DA6">
        <w:rPr>
          <w:rFonts w:ascii="Arial" w:eastAsia="Times New Roman" w:hAnsi="Arial" w:cs="Arial"/>
          <w:i/>
          <w:lang w:val="es-ES" w:eastAsia="es-ES"/>
        </w:rPr>
        <w:t>“</w:t>
      </w:r>
      <w:r w:rsidR="005E70B2">
        <w:rPr>
          <w:rFonts w:ascii="Arial" w:eastAsia="Times New Roman" w:hAnsi="Arial" w:cs="Arial"/>
          <w:i/>
          <w:lang w:val="es-ES" w:eastAsia="es-ES"/>
        </w:rPr>
        <w:t>Igualmente se condenará al distrito de Cartagena a pagar a mi mandante</w:t>
      </w:r>
      <w:r w:rsidR="004521D6">
        <w:rPr>
          <w:rFonts w:ascii="Arial" w:eastAsia="Times New Roman" w:hAnsi="Arial" w:cs="Arial"/>
          <w:i/>
          <w:lang w:val="es-ES" w:eastAsia="es-ES"/>
        </w:rPr>
        <w:t xml:space="preserve"> las sumas de dinero que invirtió en la preparación de la propuesta que presentó en la invitación pública declarada desierta.</w:t>
      </w:r>
    </w:p>
    <w:p w14:paraId="048E7AF7" w14:textId="77777777" w:rsidR="00A31BE7" w:rsidRPr="00E57DA6" w:rsidRDefault="00A31BE7" w:rsidP="00FE0FF8">
      <w:pPr>
        <w:spacing w:line="276" w:lineRule="auto"/>
        <w:contextualSpacing/>
        <w:rPr>
          <w:rFonts w:ascii="Arial" w:eastAsia="Times New Roman" w:hAnsi="Arial" w:cs="Arial"/>
          <w:i/>
          <w:lang w:val="es-ES" w:eastAsia="es-ES"/>
        </w:rPr>
      </w:pPr>
    </w:p>
    <w:p w14:paraId="69101232" w14:textId="77777777" w:rsidR="00C947A2" w:rsidRDefault="00971DB0" w:rsidP="00FE0FF8">
      <w:pPr>
        <w:spacing w:line="276" w:lineRule="auto"/>
        <w:contextualSpacing/>
        <w:rPr>
          <w:rFonts w:ascii="Arial" w:eastAsia="Times New Roman" w:hAnsi="Arial" w:cs="Arial"/>
          <w:i/>
          <w:lang w:val="es-ES" w:eastAsia="es-ES"/>
        </w:rPr>
      </w:pPr>
      <w:r w:rsidRPr="00E57DA6">
        <w:rPr>
          <w:rFonts w:ascii="Arial" w:eastAsia="Times New Roman" w:hAnsi="Arial" w:cs="Arial"/>
          <w:i/>
          <w:lang w:val="es-ES" w:eastAsia="es-ES"/>
        </w:rPr>
        <w:t>“</w:t>
      </w:r>
      <w:r w:rsidR="004521D6">
        <w:rPr>
          <w:rFonts w:ascii="Arial" w:eastAsia="Times New Roman" w:hAnsi="Arial" w:cs="Arial"/>
          <w:i/>
          <w:lang w:val="es-ES" w:eastAsia="es-ES"/>
        </w:rPr>
        <w:t xml:space="preserve">Estimo </w:t>
      </w:r>
      <w:r w:rsidR="00C947A2" w:rsidRPr="00E57DA6">
        <w:rPr>
          <w:rFonts w:ascii="Arial" w:eastAsia="Times New Roman" w:hAnsi="Arial" w:cs="Arial"/>
          <w:i/>
          <w:lang w:val="es-ES" w:eastAsia="es-ES"/>
        </w:rPr>
        <w:t xml:space="preserve">en la suma de </w:t>
      </w:r>
      <w:r w:rsidR="00C947A2" w:rsidRPr="004521D6">
        <w:rPr>
          <w:rFonts w:ascii="Arial" w:eastAsia="Times New Roman" w:hAnsi="Arial" w:cs="Arial"/>
          <w:b/>
          <w:i/>
          <w:lang w:val="es-ES" w:eastAsia="es-ES"/>
        </w:rPr>
        <w:t>CIENTO VEINTE MILLONES DE PESOS MCTE ($120’000.</w:t>
      </w:r>
      <w:proofErr w:type="gramStart"/>
      <w:r w:rsidR="00C947A2" w:rsidRPr="004521D6">
        <w:rPr>
          <w:rFonts w:ascii="Arial" w:eastAsia="Times New Roman" w:hAnsi="Arial" w:cs="Arial"/>
          <w:b/>
          <w:i/>
          <w:lang w:val="es-ES" w:eastAsia="es-ES"/>
        </w:rPr>
        <w:t>000,oo</w:t>
      </w:r>
      <w:proofErr w:type="gramEnd"/>
      <w:r w:rsidR="00C947A2" w:rsidRPr="004521D6">
        <w:rPr>
          <w:rFonts w:ascii="Arial" w:eastAsia="Times New Roman" w:hAnsi="Arial" w:cs="Arial"/>
          <w:b/>
          <w:i/>
          <w:lang w:val="es-ES" w:eastAsia="es-ES"/>
        </w:rPr>
        <w:t>)</w:t>
      </w:r>
      <w:r w:rsidR="00C947A2" w:rsidRPr="00E57DA6">
        <w:rPr>
          <w:rFonts w:ascii="Arial" w:eastAsia="Times New Roman" w:hAnsi="Arial" w:cs="Arial"/>
          <w:i/>
          <w:lang w:val="es-ES" w:eastAsia="es-ES"/>
        </w:rPr>
        <w:t xml:space="preserve"> los costos en que incurrió la </w:t>
      </w:r>
      <w:r w:rsidR="00C947A2" w:rsidRPr="00E57DA6">
        <w:rPr>
          <w:rFonts w:ascii="Arial" w:eastAsia="Times New Roman" w:hAnsi="Arial" w:cs="Arial"/>
          <w:b/>
          <w:i/>
          <w:lang w:val="es-ES" w:eastAsia="es-ES"/>
        </w:rPr>
        <w:t>UNIÓN TEMPORAL SOLUCIONES TRIBUTARIAS INTEGRALES</w:t>
      </w:r>
      <w:r w:rsidR="00C947A2" w:rsidRPr="00E57DA6">
        <w:rPr>
          <w:rFonts w:ascii="Arial" w:eastAsia="Times New Roman" w:hAnsi="Arial" w:cs="Arial"/>
          <w:i/>
          <w:lang w:val="es-ES" w:eastAsia="es-ES"/>
        </w:rPr>
        <w:t xml:space="preserve"> </w:t>
      </w:r>
      <w:r w:rsidR="000860CE" w:rsidRPr="00E57DA6">
        <w:rPr>
          <w:rFonts w:ascii="Arial" w:eastAsia="Times New Roman" w:hAnsi="Arial" w:cs="Arial"/>
          <w:i/>
          <w:lang w:val="es-ES" w:eastAsia="es-ES"/>
        </w:rPr>
        <w:t>para la elaboración de su propuesta dentro de la invitación pública.</w:t>
      </w:r>
    </w:p>
    <w:p w14:paraId="2896F869" w14:textId="77777777" w:rsidR="004521D6" w:rsidRPr="00E57DA6" w:rsidRDefault="004521D6" w:rsidP="00FE0FF8">
      <w:pPr>
        <w:spacing w:line="276" w:lineRule="auto"/>
        <w:contextualSpacing/>
        <w:rPr>
          <w:rFonts w:ascii="Arial" w:eastAsia="Times New Roman" w:hAnsi="Arial" w:cs="Arial"/>
          <w:i/>
          <w:lang w:val="es-ES" w:eastAsia="es-ES"/>
        </w:rPr>
      </w:pPr>
    </w:p>
    <w:p w14:paraId="42C48B5E" w14:textId="77777777" w:rsidR="00A94451" w:rsidRDefault="004521D6" w:rsidP="00FE0FF8">
      <w:pPr>
        <w:spacing w:line="276" w:lineRule="auto"/>
        <w:contextualSpacing/>
        <w:rPr>
          <w:rFonts w:ascii="Arial" w:eastAsia="Times New Roman" w:hAnsi="Arial" w:cs="Arial"/>
          <w:i/>
          <w:lang w:val="es-ES" w:eastAsia="es-ES"/>
        </w:rPr>
      </w:pPr>
      <w:r>
        <w:rPr>
          <w:rFonts w:ascii="Arial" w:eastAsia="Times New Roman" w:hAnsi="Arial" w:cs="Arial"/>
          <w:i/>
          <w:lang w:val="es-ES" w:eastAsia="es-ES"/>
        </w:rPr>
        <w:t>“Ahora bien, mi apadrinada tenía la expectativa de ganar en la ejecución del contrato que debía adjudicarse en esta invitación pública, l</w:t>
      </w:r>
      <w:r w:rsidR="00A94451">
        <w:rPr>
          <w:rFonts w:ascii="Arial" w:eastAsia="Times New Roman" w:hAnsi="Arial" w:cs="Arial"/>
          <w:i/>
          <w:lang w:val="es-ES" w:eastAsia="es-ES"/>
        </w:rPr>
        <w:t>o correspondiente a la Administración, Utilidades Imprevistos (A.I.U.) contemplado en su propuesta.</w:t>
      </w:r>
    </w:p>
    <w:p w14:paraId="092369F9" w14:textId="77777777" w:rsidR="00A94451" w:rsidRDefault="00A94451" w:rsidP="00FE0FF8">
      <w:pPr>
        <w:spacing w:line="276" w:lineRule="auto"/>
        <w:contextualSpacing/>
        <w:rPr>
          <w:rFonts w:ascii="Arial" w:eastAsia="Times New Roman" w:hAnsi="Arial" w:cs="Arial"/>
          <w:i/>
          <w:lang w:val="es-ES" w:eastAsia="es-ES"/>
        </w:rPr>
      </w:pPr>
    </w:p>
    <w:p w14:paraId="2EA51A40" w14:textId="77777777" w:rsidR="000860CE" w:rsidRPr="00E57DA6" w:rsidRDefault="00A94451" w:rsidP="00FE0FF8">
      <w:pPr>
        <w:spacing w:line="276" w:lineRule="auto"/>
        <w:contextualSpacing/>
        <w:rPr>
          <w:rFonts w:ascii="Arial" w:eastAsia="Times New Roman" w:hAnsi="Arial" w:cs="Arial"/>
          <w:i/>
          <w:lang w:val="es-ES" w:eastAsia="es-ES"/>
        </w:rPr>
      </w:pPr>
      <w:r>
        <w:rPr>
          <w:rFonts w:ascii="Arial" w:eastAsia="Times New Roman" w:hAnsi="Arial" w:cs="Arial"/>
          <w:i/>
          <w:lang w:val="es-ES" w:eastAsia="es-ES"/>
        </w:rPr>
        <w:t xml:space="preserve">“Ese AIU debe ser calculado sobre el porcentaje de honorarios a percibir de </w:t>
      </w:r>
      <w:proofErr w:type="gramStart"/>
      <w:r>
        <w:rPr>
          <w:rFonts w:ascii="Arial" w:eastAsia="Times New Roman" w:hAnsi="Arial" w:cs="Arial"/>
          <w:i/>
          <w:lang w:val="es-ES" w:eastAsia="es-ES"/>
        </w:rPr>
        <w:t xml:space="preserve">la </w:t>
      </w:r>
      <w:r w:rsidR="004521D6">
        <w:rPr>
          <w:rFonts w:ascii="Arial" w:eastAsia="Times New Roman" w:hAnsi="Arial" w:cs="Arial"/>
          <w:i/>
          <w:lang w:val="es-ES" w:eastAsia="es-ES"/>
        </w:rPr>
        <w:t xml:space="preserve"> </w:t>
      </w:r>
      <w:r>
        <w:rPr>
          <w:rFonts w:ascii="Arial" w:eastAsia="Times New Roman" w:hAnsi="Arial" w:cs="Arial"/>
          <w:i/>
          <w:lang w:val="es-ES" w:eastAsia="es-ES"/>
        </w:rPr>
        <w:t>cartera</w:t>
      </w:r>
      <w:proofErr w:type="gramEnd"/>
      <w:r>
        <w:rPr>
          <w:rFonts w:ascii="Arial" w:eastAsia="Times New Roman" w:hAnsi="Arial" w:cs="Arial"/>
          <w:i/>
          <w:lang w:val="es-ES" w:eastAsia="es-ES"/>
        </w:rPr>
        <w:t xml:space="preserve"> morosa tributaria del Distrito de Cartagena, sobre el cual se efectuarían las gestiones </w:t>
      </w:r>
      <w:r w:rsidR="005606C5">
        <w:rPr>
          <w:rFonts w:ascii="Arial" w:eastAsia="Times New Roman" w:hAnsi="Arial" w:cs="Arial"/>
          <w:i/>
          <w:lang w:val="es-ES" w:eastAsia="es-ES"/>
        </w:rPr>
        <w:t xml:space="preserve">de asesoría y apoyo a que se contraía el objeto de la invitación, la cartera morosa que se asignaría al contratista, para la fecha </w:t>
      </w:r>
      <w:r w:rsidR="00450EE5">
        <w:rPr>
          <w:rFonts w:ascii="Arial" w:eastAsia="Times New Roman" w:hAnsi="Arial" w:cs="Arial"/>
          <w:i/>
          <w:lang w:val="es-ES" w:eastAsia="es-ES"/>
        </w:rPr>
        <w:t>de la invitación pública ascendía a la suma de $365</w:t>
      </w:r>
      <w:r w:rsidR="00AE4AB9">
        <w:rPr>
          <w:rFonts w:ascii="Arial" w:eastAsia="Times New Roman" w:hAnsi="Arial" w:cs="Arial"/>
          <w:i/>
          <w:lang w:val="es-ES" w:eastAsia="es-ES"/>
        </w:rPr>
        <w:t>.</w:t>
      </w:r>
      <w:r w:rsidR="00450EE5">
        <w:rPr>
          <w:rFonts w:ascii="Arial" w:eastAsia="Times New Roman" w:hAnsi="Arial" w:cs="Arial"/>
          <w:i/>
          <w:lang w:val="es-ES" w:eastAsia="es-ES"/>
        </w:rPr>
        <w:t>000</w:t>
      </w:r>
      <w:r w:rsidR="00AE4AB9">
        <w:rPr>
          <w:rFonts w:ascii="Arial" w:eastAsia="Times New Roman" w:hAnsi="Arial" w:cs="Arial"/>
          <w:i/>
          <w:lang w:val="es-ES" w:eastAsia="es-ES"/>
        </w:rPr>
        <w:t>’</w:t>
      </w:r>
      <w:r w:rsidR="00450EE5">
        <w:rPr>
          <w:rFonts w:ascii="Arial" w:eastAsia="Times New Roman" w:hAnsi="Arial" w:cs="Arial"/>
          <w:i/>
          <w:lang w:val="es-ES" w:eastAsia="es-ES"/>
        </w:rPr>
        <w:t xml:space="preserve">000.000,oo, que es sobre la cual se debe calcular el A.I.U. </w:t>
      </w:r>
    </w:p>
    <w:p w14:paraId="0EECC3D9" w14:textId="77777777" w:rsidR="00A94451" w:rsidRDefault="00A94451" w:rsidP="00FE0FF8">
      <w:pPr>
        <w:spacing w:line="276" w:lineRule="auto"/>
        <w:contextualSpacing/>
        <w:rPr>
          <w:rFonts w:ascii="Arial" w:eastAsia="Times New Roman" w:hAnsi="Arial" w:cs="Arial"/>
          <w:i/>
          <w:lang w:val="es-ES" w:eastAsia="es-ES"/>
        </w:rPr>
      </w:pPr>
    </w:p>
    <w:p w14:paraId="2C2210F5" w14:textId="77777777" w:rsidR="00167D4E" w:rsidRPr="00E57DA6" w:rsidRDefault="00971DB0" w:rsidP="00FE0FF8">
      <w:pPr>
        <w:spacing w:line="276" w:lineRule="auto"/>
        <w:contextualSpacing/>
        <w:rPr>
          <w:rFonts w:ascii="Arial" w:eastAsia="Times New Roman" w:hAnsi="Arial" w:cs="Arial"/>
          <w:i/>
          <w:lang w:val="es-ES" w:eastAsia="es-ES"/>
        </w:rPr>
      </w:pPr>
      <w:r w:rsidRPr="00E57DA6">
        <w:rPr>
          <w:rFonts w:ascii="Arial" w:eastAsia="Times New Roman" w:hAnsi="Arial" w:cs="Arial"/>
          <w:i/>
          <w:lang w:val="es-ES" w:eastAsia="es-ES"/>
        </w:rPr>
        <w:t>“</w:t>
      </w:r>
      <w:r w:rsidR="000860CE" w:rsidRPr="00E57DA6">
        <w:rPr>
          <w:rFonts w:ascii="Arial" w:eastAsia="Times New Roman" w:hAnsi="Arial" w:cs="Arial"/>
          <w:i/>
          <w:lang w:val="es-ES" w:eastAsia="es-ES"/>
        </w:rPr>
        <w:t xml:space="preserve">5. </w:t>
      </w:r>
      <w:r w:rsidR="000860CE" w:rsidRPr="00450EE5">
        <w:rPr>
          <w:rFonts w:ascii="Arial" w:eastAsia="Times New Roman" w:hAnsi="Arial" w:cs="Arial"/>
          <w:b/>
          <w:i/>
          <w:lang w:val="es-ES" w:eastAsia="es-ES"/>
        </w:rPr>
        <w:t>La condena</w:t>
      </w:r>
      <w:r w:rsidR="000860CE" w:rsidRPr="00E57DA6">
        <w:rPr>
          <w:rFonts w:ascii="Arial" w:eastAsia="Times New Roman" w:hAnsi="Arial" w:cs="Arial"/>
          <w:i/>
          <w:lang w:val="es-ES" w:eastAsia="es-ES"/>
        </w:rPr>
        <w:t xml:space="preserve"> respectiva será actualizada de conformidad con lo previsto en el Art. 178 del C.C.A. y se reconocerán intereses moratorios desde la fecha de la ocurrencia de los hechos</w:t>
      </w:r>
      <w:r w:rsidRPr="00E57DA6">
        <w:rPr>
          <w:rFonts w:ascii="Arial" w:eastAsia="Times New Roman" w:hAnsi="Arial" w:cs="Arial"/>
          <w:i/>
          <w:lang w:val="es-ES" w:eastAsia="es-ES"/>
        </w:rPr>
        <w:t>, hasta cuando se le dé cabal cumplimiento a la sentencia que ponga fin al proceso o hasta cuando quede ejecutoriado el fallo que le da fin al proceso</w:t>
      </w:r>
      <w:r w:rsidR="00167D4E" w:rsidRPr="00E57DA6">
        <w:rPr>
          <w:rFonts w:ascii="Arial" w:eastAsia="Times New Roman" w:hAnsi="Arial" w:cs="Arial"/>
          <w:i/>
          <w:lang w:val="es-ES" w:eastAsia="es-ES"/>
        </w:rPr>
        <w:t>.</w:t>
      </w:r>
    </w:p>
    <w:p w14:paraId="31F15887" w14:textId="77777777" w:rsidR="006C0E3E" w:rsidRPr="00E57DA6" w:rsidRDefault="006C0E3E" w:rsidP="00FE0FF8">
      <w:pPr>
        <w:spacing w:line="276" w:lineRule="auto"/>
        <w:contextualSpacing/>
        <w:rPr>
          <w:rFonts w:ascii="Arial" w:eastAsia="Times New Roman" w:hAnsi="Arial" w:cs="Arial"/>
          <w:i/>
          <w:lang w:val="es-ES" w:eastAsia="es-ES"/>
        </w:rPr>
      </w:pPr>
    </w:p>
    <w:p w14:paraId="12DDFE80" w14:textId="77777777" w:rsidR="006C0E3E" w:rsidRPr="00E57DA6" w:rsidRDefault="00167D4E" w:rsidP="00FE0FF8">
      <w:pPr>
        <w:spacing w:line="276" w:lineRule="auto"/>
        <w:contextualSpacing/>
        <w:rPr>
          <w:rFonts w:ascii="Arial" w:eastAsia="Times New Roman" w:hAnsi="Arial" w:cs="Arial"/>
          <w:i/>
          <w:lang w:val="es-ES" w:eastAsia="es-ES"/>
        </w:rPr>
      </w:pPr>
      <w:r w:rsidRPr="00E57DA6">
        <w:rPr>
          <w:rFonts w:ascii="Arial" w:eastAsia="Times New Roman" w:hAnsi="Arial" w:cs="Arial"/>
          <w:i/>
          <w:lang w:val="es-ES" w:eastAsia="es-ES"/>
        </w:rPr>
        <w:t>“Que una vez desatado y resuelto el recurso las anteriores</w:t>
      </w:r>
      <w:r w:rsidR="006C0E3E" w:rsidRPr="00E57DA6">
        <w:rPr>
          <w:rFonts w:ascii="Arial" w:eastAsia="Times New Roman" w:hAnsi="Arial" w:cs="Arial"/>
          <w:i/>
          <w:lang w:val="es-ES" w:eastAsia="es-ES"/>
        </w:rPr>
        <w:t xml:space="preserve"> </w:t>
      </w:r>
      <w:r w:rsidRPr="00E57DA6">
        <w:rPr>
          <w:rFonts w:ascii="Arial" w:eastAsia="Times New Roman" w:hAnsi="Arial" w:cs="Arial"/>
          <w:i/>
          <w:lang w:val="es-ES" w:eastAsia="es-ES"/>
        </w:rPr>
        <w:t>peticiones y a título de suma adicional debida, se agreguen los valores por concepto de actualización histórica de</w:t>
      </w:r>
      <w:r w:rsidR="00A0251F">
        <w:rPr>
          <w:rFonts w:ascii="Arial" w:eastAsia="Times New Roman" w:hAnsi="Arial" w:cs="Arial"/>
          <w:i/>
          <w:lang w:val="es-ES" w:eastAsia="es-ES"/>
        </w:rPr>
        <w:t>l</w:t>
      </w:r>
      <w:r w:rsidRPr="00E57DA6">
        <w:rPr>
          <w:rFonts w:ascii="Arial" w:eastAsia="Times New Roman" w:hAnsi="Arial" w:cs="Arial"/>
          <w:i/>
          <w:lang w:val="es-ES" w:eastAsia="es-ES"/>
        </w:rPr>
        <w:t xml:space="preserve"> dinero. Art. 4º numeral 8º </w:t>
      </w:r>
      <w:r w:rsidR="00E57DA6" w:rsidRPr="00E57DA6">
        <w:rPr>
          <w:rFonts w:ascii="Arial" w:eastAsia="Times New Roman" w:hAnsi="Arial" w:cs="Arial"/>
          <w:i/>
          <w:lang w:val="es-ES" w:eastAsia="es-ES"/>
        </w:rPr>
        <w:t>L</w:t>
      </w:r>
      <w:r w:rsidRPr="00E57DA6">
        <w:rPr>
          <w:rFonts w:ascii="Arial" w:eastAsia="Times New Roman" w:hAnsi="Arial" w:cs="Arial"/>
          <w:i/>
          <w:lang w:val="es-ES" w:eastAsia="es-ES"/>
        </w:rPr>
        <w:t>ey 80 de 1.993 y A</w:t>
      </w:r>
      <w:r w:rsidR="00095302">
        <w:rPr>
          <w:rFonts w:ascii="Arial" w:eastAsia="Times New Roman" w:hAnsi="Arial" w:cs="Arial"/>
          <w:i/>
          <w:lang w:val="es-ES" w:eastAsia="es-ES"/>
        </w:rPr>
        <w:t>rtículo</w:t>
      </w:r>
      <w:r w:rsidRPr="00E57DA6">
        <w:rPr>
          <w:rFonts w:ascii="Arial" w:eastAsia="Times New Roman" w:hAnsi="Arial" w:cs="Arial"/>
          <w:i/>
          <w:lang w:val="es-ES" w:eastAsia="es-ES"/>
        </w:rPr>
        <w:t xml:space="preserve"> 1º D</w:t>
      </w:r>
      <w:r w:rsidR="00095302">
        <w:rPr>
          <w:rFonts w:ascii="Arial" w:eastAsia="Times New Roman" w:hAnsi="Arial" w:cs="Arial"/>
          <w:i/>
          <w:lang w:val="es-ES" w:eastAsia="es-ES"/>
        </w:rPr>
        <w:t>ecreto 679 de 1994</w:t>
      </w:r>
      <w:r w:rsidRPr="00E57DA6">
        <w:rPr>
          <w:rFonts w:ascii="Arial" w:eastAsia="Times New Roman" w:hAnsi="Arial" w:cs="Arial"/>
          <w:i/>
          <w:lang w:val="es-ES" w:eastAsia="es-ES"/>
        </w:rPr>
        <w:t>.</w:t>
      </w:r>
    </w:p>
    <w:p w14:paraId="6979249A" w14:textId="77777777" w:rsidR="006C0E3E" w:rsidRPr="00E57DA6" w:rsidRDefault="006C0E3E" w:rsidP="00FE0FF8">
      <w:pPr>
        <w:spacing w:line="276" w:lineRule="auto"/>
        <w:contextualSpacing/>
        <w:rPr>
          <w:rFonts w:ascii="Arial" w:eastAsia="Times New Roman" w:hAnsi="Arial" w:cs="Arial"/>
          <w:i/>
          <w:lang w:val="es-ES" w:eastAsia="es-ES"/>
        </w:rPr>
      </w:pPr>
    </w:p>
    <w:p w14:paraId="677E194F" w14:textId="77777777" w:rsidR="006C0E3E" w:rsidRPr="00E57DA6" w:rsidRDefault="006C0E3E" w:rsidP="00FE0FF8">
      <w:pPr>
        <w:spacing w:line="276" w:lineRule="auto"/>
        <w:contextualSpacing/>
        <w:rPr>
          <w:rFonts w:ascii="Arial" w:eastAsia="Times New Roman" w:hAnsi="Arial" w:cs="Arial"/>
          <w:i/>
          <w:lang w:val="es-ES" w:eastAsia="es-ES"/>
        </w:rPr>
      </w:pPr>
      <w:r w:rsidRPr="00E57DA6">
        <w:rPr>
          <w:rFonts w:ascii="Arial" w:eastAsia="Times New Roman" w:hAnsi="Arial" w:cs="Arial"/>
          <w:i/>
          <w:lang w:val="es-ES" w:eastAsia="es-ES"/>
        </w:rPr>
        <w:t>“6. La parte demandada dará cumplimiento a la sentencia en los términos de los Art. 176 y 177 del Código Contencioso Administrativo.</w:t>
      </w:r>
      <w:r w:rsidR="00167D4E" w:rsidRPr="00E57DA6">
        <w:rPr>
          <w:rFonts w:ascii="Arial" w:eastAsia="Times New Roman" w:hAnsi="Arial" w:cs="Arial"/>
          <w:i/>
          <w:lang w:val="es-ES" w:eastAsia="es-ES"/>
        </w:rPr>
        <w:t xml:space="preserve"> </w:t>
      </w:r>
    </w:p>
    <w:p w14:paraId="6B9DE515" w14:textId="77777777" w:rsidR="006C0E3E" w:rsidRDefault="006C0E3E" w:rsidP="00FE0FF8">
      <w:pPr>
        <w:spacing w:line="360" w:lineRule="auto"/>
        <w:contextualSpacing/>
        <w:rPr>
          <w:rFonts w:ascii="Arial" w:eastAsia="Times New Roman" w:hAnsi="Arial" w:cs="Arial"/>
          <w:i/>
          <w:sz w:val="24"/>
          <w:szCs w:val="24"/>
          <w:lang w:val="es-ES" w:eastAsia="es-ES"/>
        </w:rPr>
      </w:pPr>
    </w:p>
    <w:p w14:paraId="236A3A5C" w14:textId="77777777" w:rsidR="000860CE" w:rsidRDefault="006C0E3E" w:rsidP="00FE0FF8">
      <w:pPr>
        <w:spacing w:line="276" w:lineRule="auto"/>
        <w:contextualSpacing/>
        <w:rPr>
          <w:rFonts w:ascii="Arial" w:eastAsia="Times New Roman" w:hAnsi="Arial" w:cs="Arial"/>
          <w:i/>
          <w:lang w:val="es-ES" w:eastAsia="es-ES"/>
        </w:rPr>
      </w:pPr>
      <w:r>
        <w:rPr>
          <w:rFonts w:ascii="Arial" w:eastAsia="Times New Roman" w:hAnsi="Arial" w:cs="Arial"/>
          <w:i/>
          <w:sz w:val="24"/>
          <w:szCs w:val="24"/>
          <w:lang w:val="es-ES" w:eastAsia="es-ES"/>
        </w:rPr>
        <w:t>“</w:t>
      </w:r>
      <w:r w:rsidRPr="00B63FED">
        <w:rPr>
          <w:rFonts w:ascii="Arial" w:eastAsia="Times New Roman" w:hAnsi="Arial" w:cs="Arial"/>
          <w:i/>
          <w:lang w:val="es-ES" w:eastAsia="es-ES"/>
        </w:rPr>
        <w:t>7. Que se condene en costas y agencias en derecho a la demandada</w:t>
      </w:r>
      <w:r w:rsidR="00B63FED">
        <w:rPr>
          <w:rFonts w:ascii="Arial" w:eastAsia="Times New Roman" w:hAnsi="Arial" w:cs="Arial"/>
          <w:i/>
          <w:lang w:val="es-ES" w:eastAsia="es-ES"/>
        </w:rPr>
        <w:t>”</w:t>
      </w:r>
      <w:r w:rsidR="00167D4E" w:rsidRPr="00B63FED">
        <w:rPr>
          <w:rStyle w:val="Refdenotaalpie"/>
          <w:rFonts w:ascii="Arial" w:eastAsia="Times New Roman" w:hAnsi="Arial" w:cs="Arial"/>
          <w:i/>
          <w:lang w:val="es-ES" w:eastAsia="es-ES"/>
        </w:rPr>
        <w:footnoteReference w:id="2"/>
      </w:r>
      <w:r w:rsidR="00971DB0" w:rsidRPr="00B63FED">
        <w:rPr>
          <w:rFonts w:ascii="Arial" w:eastAsia="Times New Roman" w:hAnsi="Arial" w:cs="Arial"/>
          <w:i/>
          <w:lang w:val="es-ES" w:eastAsia="es-ES"/>
        </w:rPr>
        <w:t>.</w:t>
      </w:r>
    </w:p>
    <w:p w14:paraId="3D4DAC45" w14:textId="77777777" w:rsidR="00552C3B" w:rsidRPr="00C9724F" w:rsidRDefault="00552C3B" w:rsidP="00FE0FF8">
      <w:pPr>
        <w:contextualSpacing/>
        <w:rPr>
          <w:rFonts w:ascii="Arial" w:eastAsia="Times New Roman" w:hAnsi="Arial" w:cs="Arial"/>
          <w:i/>
          <w:sz w:val="24"/>
          <w:szCs w:val="24"/>
          <w:lang w:val="es-ES" w:eastAsia="es-ES"/>
        </w:rPr>
      </w:pPr>
    </w:p>
    <w:p w14:paraId="67D6AC87" w14:textId="77777777" w:rsidR="001C3BBF" w:rsidRDefault="001C3BBF" w:rsidP="00FE0FF8">
      <w:pPr>
        <w:spacing w:line="360" w:lineRule="auto"/>
        <w:contextualSpacing/>
        <w:rPr>
          <w:rFonts w:ascii="Arial" w:eastAsia="Times New Roman" w:hAnsi="Arial" w:cs="Arial"/>
          <w:b/>
          <w:sz w:val="24"/>
          <w:szCs w:val="24"/>
          <w:lang w:val="es-ES" w:eastAsia="es-ES"/>
        </w:rPr>
      </w:pPr>
      <w:r w:rsidRPr="00C9724F">
        <w:rPr>
          <w:rFonts w:ascii="Arial" w:eastAsia="Times New Roman" w:hAnsi="Arial" w:cs="Arial"/>
          <w:b/>
          <w:sz w:val="24"/>
          <w:szCs w:val="24"/>
          <w:lang w:val="es-ES" w:eastAsia="es-ES"/>
        </w:rPr>
        <w:t>2.</w:t>
      </w:r>
      <w:r w:rsidRPr="00C9724F">
        <w:rPr>
          <w:rFonts w:ascii="Arial" w:eastAsia="Times New Roman" w:hAnsi="Arial" w:cs="Arial"/>
          <w:b/>
          <w:sz w:val="24"/>
          <w:szCs w:val="24"/>
          <w:lang w:val="es-ES" w:eastAsia="es-ES"/>
        </w:rPr>
        <w:tab/>
        <w:t>Los hechos</w:t>
      </w:r>
    </w:p>
    <w:p w14:paraId="31A5B29A" w14:textId="77777777" w:rsidR="00552C3B" w:rsidRPr="00C9724F" w:rsidRDefault="00552C3B" w:rsidP="00FE0FF8">
      <w:pPr>
        <w:spacing w:line="360" w:lineRule="auto"/>
        <w:contextualSpacing/>
        <w:rPr>
          <w:rFonts w:ascii="Arial" w:eastAsia="Times New Roman" w:hAnsi="Arial" w:cs="Arial"/>
          <w:b/>
          <w:sz w:val="24"/>
          <w:szCs w:val="24"/>
          <w:lang w:val="es-ES" w:eastAsia="es-ES"/>
        </w:rPr>
      </w:pPr>
    </w:p>
    <w:p w14:paraId="3CC18594" w14:textId="77777777" w:rsidR="00606D42" w:rsidRDefault="001C3BBF" w:rsidP="00FE0FF8">
      <w:pPr>
        <w:autoSpaceDE w:val="0"/>
        <w:autoSpaceDN w:val="0"/>
        <w:adjustRightInd w:val="0"/>
        <w:spacing w:line="360" w:lineRule="auto"/>
        <w:rPr>
          <w:rFonts w:ascii="Arial" w:eastAsia="Times New Roman" w:hAnsi="Arial" w:cs="Arial"/>
          <w:sz w:val="24"/>
          <w:szCs w:val="24"/>
          <w:lang w:val="es-ES_tradnl" w:eastAsia="es-ES"/>
        </w:rPr>
      </w:pPr>
      <w:r w:rsidRPr="00C9724F">
        <w:rPr>
          <w:rFonts w:ascii="Arial" w:eastAsia="Times New Roman" w:hAnsi="Arial" w:cs="Arial"/>
          <w:sz w:val="24"/>
          <w:szCs w:val="24"/>
          <w:lang w:eastAsia="es-ES"/>
        </w:rPr>
        <w:t>E</w:t>
      </w:r>
      <w:r w:rsidRPr="00C9724F">
        <w:rPr>
          <w:rFonts w:ascii="Arial" w:eastAsia="Times New Roman" w:hAnsi="Arial" w:cs="Arial"/>
          <w:sz w:val="24"/>
          <w:szCs w:val="24"/>
          <w:lang w:val="es-ES_tradnl" w:eastAsia="es-ES"/>
        </w:rPr>
        <w:t xml:space="preserve">n el escrito de demanda, la parte </w:t>
      </w:r>
      <w:r w:rsidR="009C2FB4">
        <w:rPr>
          <w:rFonts w:ascii="Arial" w:eastAsia="Times New Roman" w:hAnsi="Arial" w:cs="Arial"/>
          <w:sz w:val="24"/>
          <w:szCs w:val="24"/>
          <w:lang w:val="es-ES_tradnl" w:eastAsia="es-ES"/>
        </w:rPr>
        <w:t xml:space="preserve">actora </w:t>
      </w:r>
      <w:r w:rsidRPr="00C9724F">
        <w:rPr>
          <w:rFonts w:ascii="Arial" w:eastAsia="Times New Roman" w:hAnsi="Arial" w:cs="Arial"/>
          <w:sz w:val="24"/>
          <w:szCs w:val="24"/>
          <w:lang w:val="es-ES_tradnl" w:eastAsia="es-ES"/>
        </w:rPr>
        <w:t>narró los siguientes hechos:</w:t>
      </w:r>
    </w:p>
    <w:p w14:paraId="672E4B1E" w14:textId="77777777" w:rsidR="00606D42" w:rsidRDefault="00606D42" w:rsidP="00FE0FF8">
      <w:pPr>
        <w:autoSpaceDE w:val="0"/>
        <w:autoSpaceDN w:val="0"/>
        <w:adjustRightInd w:val="0"/>
        <w:spacing w:line="360" w:lineRule="auto"/>
        <w:rPr>
          <w:rFonts w:ascii="Arial" w:eastAsia="Times New Roman" w:hAnsi="Arial" w:cs="Arial"/>
          <w:sz w:val="24"/>
          <w:szCs w:val="24"/>
          <w:lang w:val="es-ES_tradnl" w:eastAsia="es-ES"/>
        </w:rPr>
      </w:pPr>
    </w:p>
    <w:p w14:paraId="76049B42" w14:textId="77777777" w:rsidR="001808CB" w:rsidRDefault="00523EAB" w:rsidP="00FE0FF8">
      <w:pPr>
        <w:autoSpaceDE w:val="0"/>
        <w:autoSpaceDN w:val="0"/>
        <w:adjustRightInd w:val="0"/>
        <w:spacing w:line="360" w:lineRule="auto"/>
        <w:rPr>
          <w:rFonts w:ascii="Arial" w:eastAsia="Times New Roman" w:hAnsi="Arial" w:cs="Arial"/>
          <w:sz w:val="24"/>
          <w:szCs w:val="24"/>
          <w:lang w:val="es-ES_tradnl" w:eastAsia="es-ES"/>
        </w:rPr>
      </w:pPr>
      <w:r w:rsidRPr="00606D42">
        <w:rPr>
          <w:rFonts w:ascii="Arial" w:eastAsia="Times New Roman" w:hAnsi="Arial" w:cs="Arial"/>
          <w:b/>
          <w:sz w:val="24"/>
          <w:szCs w:val="24"/>
          <w:lang w:val="es-ES_tradnl" w:eastAsia="es-ES"/>
        </w:rPr>
        <w:t>2.1.</w:t>
      </w:r>
      <w:r>
        <w:rPr>
          <w:rFonts w:ascii="Arial" w:eastAsia="Times New Roman" w:hAnsi="Arial" w:cs="Arial"/>
          <w:sz w:val="24"/>
          <w:szCs w:val="24"/>
          <w:lang w:val="es-ES_tradnl" w:eastAsia="es-ES"/>
        </w:rPr>
        <w:t xml:space="preserve"> </w:t>
      </w:r>
      <w:r w:rsidR="00163FF7">
        <w:rPr>
          <w:rFonts w:ascii="Arial" w:eastAsia="Times New Roman" w:hAnsi="Arial" w:cs="Arial"/>
          <w:sz w:val="24"/>
          <w:szCs w:val="24"/>
          <w:lang w:val="es-ES_tradnl" w:eastAsia="es-ES"/>
        </w:rPr>
        <w:t xml:space="preserve">Fiduciaria La Previsora </w:t>
      </w:r>
      <w:r>
        <w:rPr>
          <w:rFonts w:ascii="Arial" w:eastAsia="Times New Roman" w:hAnsi="Arial" w:cs="Arial"/>
          <w:sz w:val="24"/>
          <w:szCs w:val="24"/>
          <w:lang w:val="es-ES_tradnl" w:eastAsia="es-ES"/>
        </w:rPr>
        <w:t>S.A. efect</w:t>
      </w:r>
      <w:r w:rsidR="00E9743A">
        <w:rPr>
          <w:rFonts w:ascii="Arial" w:eastAsia="Times New Roman" w:hAnsi="Arial" w:cs="Arial"/>
          <w:sz w:val="24"/>
          <w:szCs w:val="24"/>
          <w:lang w:val="es-ES_tradnl" w:eastAsia="es-ES"/>
        </w:rPr>
        <w:t>uó</w:t>
      </w:r>
      <w:r>
        <w:rPr>
          <w:rFonts w:ascii="Arial" w:eastAsia="Times New Roman" w:hAnsi="Arial" w:cs="Arial"/>
          <w:sz w:val="24"/>
          <w:szCs w:val="24"/>
          <w:lang w:val="es-ES_tradnl" w:eastAsia="es-ES"/>
        </w:rPr>
        <w:t xml:space="preserve"> una invitación pública con el objeto de contratar los servicios de cobro </w:t>
      </w:r>
      <w:proofErr w:type="spellStart"/>
      <w:r>
        <w:rPr>
          <w:rFonts w:ascii="Arial" w:eastAsia="Times New Roman" w:hAnsi="Arial" w:cs="Arial"/>
          <w:sz w:val="24"/>
          <w:szCs w:val="24"/>
          <w:lang w:val="es-ES_tradnl" w:eastAsia="es-ES"/>
        </w:rPr>
        <w:t>prejurídico</w:t>
      </w:r>
      <w:proofErr w:type="spellEnd"/>
      <w:r>
        <w:rPr>
          <w:rFonts w:ascii="Arial" w:eastAsia="Times New Roman" w:hAnsi="Arial" w:cs="Arial"/>
          <w:sz w:val="24"/>
          <w:szCs w:val="24"/>
          <w:lang w:val="es-ES_tradnl" w:eastAsia="es-ES"/>
        </w:rPr>
        <w:t xml:space="preserve"> y apoyo en el cobro coactivo para recuperar la cartera tributaria del Distrito de Cartagena</w:t>
      </w:r>
      <w:r w:rsidR="00245388">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a cuyo cierre, en fecha 30 de octubre de 2000, acudieron tres proponentes, a saber: </w:t>
      </w:r>
      <w:r w:rsidR="00606D42">
        <w:rPr>
          <w:rFonts w:ascii="Arial" w:eastAsia="Times New Roman" w:hAnsi="Arial" w:cs="Arial"/>
          <w:sz w:val="24"/>
          <w:szCs w:val="24"/>
          <w:lang w:val="es-ES_tradnl" w:eastAsia="es-ES"/>
        </w:rPr>
        <w:t>U</w:t>
      </w:r>
      <w:r w:rsidR="00163FF7">
        <w:rPr>
          <w:rFonts w:ascii="Arial" w:eastAsia="Times New Roman" w:hAnsi="Arial" w:cs="Arial"/>
          <w:sz w:val="24"/>
          <w:szCs w:val="24"/>
          <w:lang w:val="es-ES_tradnl" w:eastAsia="es-ES"/>
        </w:rPr>
        <w:t xml:space="preserve">nión Temporal </w:t>
      </w:r>
      <w:r w:rsidR="00606D42">
        <w:rPr>
          <w:rFonts w:ascii="Arial" w:eastAsia="Times New Roman" w:hAnsi="Arial" w:cs="Arial"/>
          <w:sz w:val="24"/>
          <w:szCs w:val="24"/>
          <w:lang w:val="es-ES_tradnl" w:eastAsia="es-ES"/>
        </w:rPr>
        <w:t xml:space="preserve">Soluciones Tributarias Integrales, Consorcio Asesorías Jurídicas y Cobros </w:t>
      </w:r>
      <w:proofErr w:type="spellStart"/>
      <w:r w:rsidR="00606D42">
        <w:rPr>
          <w:rFonts w:ascii="Arial" w:eastAsia="Times New Roman" w:hAnsi="Arial" w:cs="Arial"/>
          <w:sz w:val="24"/>
          <w:szCs w:val="24"/>
          <w:lang w:val="es-ES_tradnl" w:eastAsia="es-ES"/>
        </w:rPr>
        <w:t>Ltda</w:t>
      </w:r>
      <w:proofErr w:type="spellEnd"/>
      <w:r w:rsidR="00606D42">
        <w:rPr>
          <w:rFonts w:ascii="Arial" w:eastAsia="Times New Roman" w:hAnsi="Arial" w:cs="Arial"/>
          <w:sz w:val="24"/>
          <w:szCs w:val="24"/>
          <w:lang w:val="es-ES_tradnl" w:eastAsia="es-ES"/>
        </w:rPr>
        <w:t xml:space="preserve"> – </w:t>
      </w:r>
      <w:proofErr w:type="spellStart"/>
      <w:r w:rsidR="00606D42">
        <w:rPr>
          <w:rFonts w:ascii="Arial" w:eastAsia="Times New Roman" w:hAnsi="Arial" w:cs="Arial"/>
          <w:sz w:val="24"/>
          <w:szCs w:val="24"/>
          <w:lang w:val="es-ES_tradnl" w:eastAsia="es-ES"/>
        </w:rPr>
        <w:t>Afa</w:t>
      </w:r>
      <w:proofErr w:type="spellEnd"/>
      <w:r w:rsidR="00606D42">
        <w:rPr>
          <w:rFonts w:ascii="Arial" w:eastAsia="Times New Roman" w:hAnsi="Arial" w:cs="Arial"/>
          <w:sz w:val="24"/>
          <w:szCs w:val="24"/>
          <w:lang w:val="es-ES_tradnl" w:eastAsia="es-ES"/>
        </w:rPr>
        <w:t xml:space="preserve"> Consultores y Constructores S.A. E.S.P. e Inversiones Los Ángeles Ltda.</w:t>
      </w:r>
    </w:p>
    <w:p w14:paraId="29C51941" w14:textId="77777777" w:rsidR="00606D42" w:rsidRDefault="00606D42" w:rsidP="00FE0FF8">
      <w:pPr>
        <w:autoSpaceDE w:val="0"/>
        <w:autoSpaceDN w:val="0"/>
        <w:adjustRightInd w:val="0"/>
        <w:spacing w:line="360" w:lineRule="auto"/>
        <w:rPr>
          <w:rFonts w:ascii="Arial" w:eastAsia="Times New Roman" w:hAnsi="Arial" w:cs="Arial"/>
          <w:sz w:val="24"/>
          <w:szCs w:val="24"/>
          <w:lang w:val="es-ES_tradnl" w:eastAsia="es-ES"/>
        </w:rPr>
      </w:pPr>
    </w:p>
    <w:p w14:paraId="0966AA35" w14:textId="77777777" w:rsidR="0019788C" w:rsidRDefault="00523EAB" w:rsidP="00FE0FF8">
      <w:pPr>
        <w:autoSpaceDE w:val="0"/>
        <w:autoSpaceDN w:val="0"/>
        <w:adjustRightInd w:val="0"/>
        <w:spacing w:line="360" w:lineRule="auto"/>
        <w:rPr>
          <w:rFonts w:ascii="Arial" w:eastAsia="Times New Roman" w:hAnsi="Arial" w:cs="Arial"/>
          <w:sz w:val="24"/>
          <w:szCs w:val="24"/>
          <w:lang w:val="es-ES_tradnl" w:eastAsia="es-ES"/>
        </w:rPr>
      </w:pPr>
      <w:r w:rsidRPr="00606D42">
        <w:rPr>
          <w:rFonts w:ascii="Arial" w:eastAsia="Times New Roman" w:hAnsi="Arial" w:cs="Arial"/>
          <w:b/>
          <w:sz w:val="24"/>
          <w:szCs w:val="24"/>
          <w:lang w:val="es-ES_tradnl" w:eastAsia="es-ES"/>
        </w:rPr>
        <w:t>2.2.</w:t>
      </w:r>
      <w:r>
        <w:rPr>
          <w:rFonts w:ascii="Arial" w:eastAsia="Times New Roman" w:hAnsi="Arial" w:cs="Arial"/>
          <w:sz w:val="24"/>
          <w:szCs w:val="24"/>
          <w:lang w:val="es-ES_tradnl" w:eastAsia="es-ES"/>
        </w:rPr>
        <w:t xml:space="preserve"> Mediante Resolución 1457 de 7 de diciembre de 2000, </w:t>
      </w:r>
      <w:r w:rsidR="00E9743A">
        <w:rPr>
          <w:rFonts w:ascii="Arial" w:eastAsia="Times New Roman" w:hAnsi="Arial" w:cs="Arial"/>
          <w:sz w:val="24"/>
          <w:szCs w:val="24"/>
          <w:lang w:val="es-ES_tradnl" w:eastAsia="es-ES"/>
        </w:rPr>
        <w:t xml:space="preserve">el </w:t>
      </w:r>
      <w:r w:rsidR="00054262">
        <w:rPr>
          <w:rFonts w:ascii="Arial" w:eastAsia="Times New Roman" w:hAnsi="Arial" w:cs="Arial"/>
          <w:sz w:val="24"/>
          <w:szCs w:val="24"/>
          <w:lang w:val="es-ES_tradnl" w:eastAsia="es-ES"/>
        </w:rPr>
        <w:t xml:space="preserve">señor </w:t>
      </w:r>
      <w:r>
        <w:rPr>
          <w:rFonts w:ascii="Arial" w:eastAsia="Times New Roman" w:hAnsi="Arial" w:cs="Arial"/>
          <w:sz w:val="24"/>
          <w:szCs w:val="24"/>
          <w:lang w:val="es-ES_tradnl" w:eastAsia="es-ES"/>
        </w:rPr>
        <w:t>Alcald</w:t>
      </w:r>
      <w:r w:rsidR="00E9743A">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 xml:space="preserve"> </w:t>
      </w:r>
      <w:r w:rsidR="00E9743A">
        <w:rPr>
          <w:rFonts w:ascii="Arial" w:eastAsia="Times New Roman" w:hAnsi="Arial" w:cs="Arial"/>
          <w:sz w:val="24"/>
          <w:szCs w:val="24"/>
          <w:lang w:val="es-ES_tradnl" w:eastAsia="es-ES"/>
        </w:rPr>
        <w:t>D</w:t>
      </w:r>
      <w:r>
        <w:rPr>
          <w:rFonts w:ascii="Arial" w:eastAsia="Times New Roman" w:hAnsi="Arial" w:cs="Arial"/>
          <w:sz w:val="24"/>
          <w:szCs w:val="24"/>
          <w:lang w:val="es-ES_tradnl" w:eastAsia="es-ES"/>
        </w:rPr>
        <w:t xml:space="preserve">istrital de Cartagena </w:t>
      </w:r>
      <w:r w:rsidR="00E9743A">
        <w:rPr>
          <w:rFonts w:ascii="Arial" w:eastAsia="Times New Roman" w:hAnsi="Arial" w:cs="Arial"/>
          <w:sz w:val="24"/>
          <w:szCs w:val="24"/>
          <w:lang w:val="es-ES_tradnl" w:eastAsia="es-ES"/>
        </w:rPr>
        <w:t xml:space="preserve">de Indias D.T. y C, </w:t>
      </w:r>
      <w:r>
        <w:rPr>
          <w:rFonts w:ascii="Arial" w:eastAsia="Times New Roman" w:hAnsi="Arial" w:cs="Arial"/>
          <w:sz w:val="24"/>
          <w:szCs w:val="24"/>
          <w:lang w:val="es-ES_tradnl" w:eastAsia="es-ES"/>
        </w:rPr>
        <w:t xml:space="preserve">declaró desierta </w:t>
      </w:r>
      <w:r w:rsidR="0019788C">
        <w:rPr>
          <w:rFonts w:ascii="Arial" w:eastAsia="Times New Roman" w:hAnsi="Arial" w:cs="Arial"/>
          <w:sz w:val="24"/>
          <w:szCs w:val="24"/>
          <w:lang w:val="es-ES_tradnl" w:eastAsia="es-ES"/>
        </w:rPr>
        <w:t>la invitación pública.</w:t>
      </w:r>
    </w:p>
    <w:p w14:paraId="429C73B1" w14:textId="77777777" w:rsidR="00606D42" w:rsidRDefault="00606D42" w:rsidP="00FE0FF8">
      <w:pPr>
        <w:autoSpaceDE w:val="0"/>
        <w:autoSpaceDN w:val="0"/>
        <w:adjustRightInd w:val="0"/>
        <w:spacing w:line="360" w:lineRule="auto"/>
        <w:rPr>
          <w:rFonts w:ascii="Arial" w:eastAsia="Times New Roman" w:hAnsi="Arial" w:cs="Arial"/>
          <w:sz w:val="24"/>
          <w:szCs w:val="24"/>
          <w:lang w:val="es-ES_tradnl" w:eastAsia="es-ES"/>
        </w:rPr>
      </w:pPr>
    </w:p>
    <w:p w14:paraId="070F2F3C" w14:textId="77777777" w:rsidR="0019788C" w:rsidRDefault="0019788C" w:rsidP="00FE0FF8">
      <w:pPr>
        <w:autoSpaceDE w:val="0"/>
        <w:autoSpaceDN w:val="0"/>
        <w:adjustRightInd w:val="0"/>
        <w:spacing w:line="360" w:lineRule="auto"/>
        <w:rPr>
          <w:rFonts w:ascii="Arial" w:eastAsia="Times New Roman" w:hAnsi="Arial" w:cs="Arial"/>
          <w:sz w:val="24"/>
          <w:szCs w:val="24"/>
          <w:lang w:val="es-ES_tradnl" w:eastAsia="es-ES"/>
        </w:rPr>
      </w:pPr>
      <w:r w:rsidRPr="00606D42">
        <w:rPr>
          <w:rFonts w:ascii="Arial" w:eastAsia="Times New Roman" w:hAnsi="Arial" w:cs="Arial"/>
          <w:b/>
          <w:sz w:val="24"/>
          <w:szCs w:val="24"/>
          <w:lang w:val="es-ES_tradnl" w:eastAsia="es-ES"/>
        </w:rPr>
        <w:t>2.3.</w:t>
      </w:r>
      <w:r>
        <w:rPr>
          <w:rFonts w:ascii="Arial" w:eastAsia="Times New Roman" w:hAnsi="Arial" w:cs="Arial"/>
          <w:sz w:val="24"/>
          <w:szCs w:val="24"/>
          <w:lang w:val="es-ES_tradnl" w:eastAsia="es-ES"/>
        </w:rPr>
        <w:t xml:space="preserve"> </w:t>
      </w:r>
      <w:r w:rsidR="00F0212C">
        <w:rPr>
          <w:rFonts w:ascii="Arial" w:eastAsia="Times New Roman" w:hAnsi="Arial" w:cs="Arial"/>
          <w:sz w:val="24"/>
          <w:szCs w:val="24"/>
          <w:lang w:val="es-ES_tradnl" w:eastAsia="es-ES"/>
        </w:rPr>
        <w:t>El 29 de diciembre de 2000, l</w:t>
      </w:r>
      <w:r>
        <w:rPr>
          <w:rFonts w:ascii="Arial" w:eastAsia="Times New Roman" w:hAnsi="Arial" w:cs="Arial"/>
          <w:sz w:val="24"/>
          <w:szCs w:val="24"/>
          <w:lang w:val="es-ES_tradnl" w:eastAsia="es-ES"/>
        </w:rPr>
        <w:t>a Unión Temporal Soluciones Tributarias Integrales</w:t>
      </w:r>
      <w:r w:rsidR="00245388">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presentó recurso de reposición contra la Resolución 1457, el cual no le había sido resuelto a la fecha de presentación de la demanda</w:t>
      </w:r>
      <w:r w:rsidR="00F0212C">
        <w:rPr>
          <w:rStyle w:val="Refdenotaalpie"/>
          <w:rFonts w:ascii="Arial" w:eastAsia="Times New Roman" w:hAnsi="Arial" w:cs="Arial"/>
          <w:sz w:val="24"/>
          <w:szCs w:val="24"/>
          <w:lang w:val="es-ES_tradnl" w:eastAsia="es-ES"/>
        </w:rPr>
        <w:footnoteReference w:id="3"/>
      </w:r>
      <w:r>
        <w:rPr>
          <w:rFonts w:ascii="Arial" w:eastAsia="Times New Roman" w:hAnsi="Arial" w:cs="Arial"/>
          <w:sz w:val="24"/>
          <w:szCs w:val="24"/>
          <w:lang w:val="es-ES_tradnl" w:eastAsia="es-ES"/>
        </w:rPr>
        <w:t>.</w:t>
      </w:r>
    </w:p>
    <w:p w14:paraId="6C93D3C8" w14:textId="77777777" w:rsidR="00D32B92" w:rsidRDefault="00D32B92" w:rsidP="00FE0FF8">
      <w:pPr>
        <w:autoSpaceDE w:val="0"/>
        <w:autoSpaceDN w:val="0"/>
        <w:adjustRightInd w:val="0"/>
        <w:spacing w:line="360" w:lineRule="auto"/>
        <w:rPr>
          <w:rFonts w:ascii="Arial" w:eastAsia="Times New Roman" w:hAnsi="Arial" w:cs="Arial"/>
          <w:sz w:val="24"/>
          <w:szCs w:val="24"/>
          <w:lang w:val="es-ES_tradnl" w:eastAsia="es-ES"/>
        </w:rPr>
      </w:pPr>
    </w:p>
    <w:p w14:paraId="7E308854" w14:textId="77777777" w:rsidR="0019788C" w:rsidRDefault="0019788C" w:rsidP="00FE0FF8">
      <w:pPr>
        <w:autoSpaceDE w:val="0"/>
        <w:autoSpaceDN w:val="0"/>
        <w:adjustRightInd w:val="0"/>
        <w:spacing w:line="360" w:lineRule="auto"/>
        <w:rPr>
          <w:rFonts w:ascii="Arial" w:eastAsia="Times New Roman" w:hAnsi="Arial" w:cs="Arial"/>
          <w:sz w:val="24"/>
          <w:szCs w:val="24"/>
          <w:lang w:val="es-ES_tradnl" w:eastAsia="es-ES"/>
        </w:rPr>
      </w:pPr>
      <w:r w:rsidRPr="00606D42">
        <w:rPr>
          <w:rFonts w:ascii="Arial" w:eastAsia="Times New Roman" w:hAnsi="Arial" w:cs="Arial"/>
          <w:b/>
          <w:sz w:val="24"/>
          <w:szCs w:val="24"/>
          <w:lang w:val="es-ES_tradnl" w:eastAsia="es-ES"/>
        </w:rPr>
        <w:t>2.4.</w:t>
      </w:r>
      <w:r>
        <w:rPr>
          <w:rFonts w:ascii="Arial" w:eastAsia="Times New Roman" w:hAnsi="Arial" w:cs="Arial"/>
          <w:sz w:val="24"/>
          <w:szCs w:val="24"/>
          <w:lang w:val="es-ES_tradnl" w:eastAsia="es-ES"/>
        </w:rPr>
        <w:t xml:space="preserve"> La demandante expuso los argumentos en los que se basó su recurso de reposición </w:t>
      </w:r>
      <w:r w:rsidR="00606D42">
        <w:rPr>
          <w:rFonts w:ascii="Arial" w:eastAsia="Times New Roman" w:hAnsi="Arial" w:cs="Arial"/>
          <w:sz w:val="24"/>
          <w:szCs w:val="24"/>
          <w:lang w:val="es-ES_tradnl" w:eastAsia="es-ES"/>
        </w:rPr>
        <w:t xml:space="preserve">contra la antedicha resolución, </w:t>
      </w:r>
      <w:r>
        <w:rPr>
          <w:rFonts w:ascii="Arial" w:eastAsia="Times New Roman" w:hAnsi="Arial" w:cs="Arial"/>
          <w:sz w:val="24"/>
          <w:szCs w:val="24"/>
          <w:lang w:val="es-ES_tradnl" w:eastAsia="es-ES"/>
        </w:rPr>
        <w:t>explicando lo siguiente</w:t>
      </w:r>
      <w:r w:rsidR="006E3FF2">
        <w:rPr>
          <w:rFonts w:ascii="Arial" w:eastAsia="Times New Roman" w:hAnsi="Arial" w:cs="Arial"/>
          <w:sz w:val="24"/>
          <w:szCs w:val="24"/>
          <w:lang w:val="es-ES_tradnl" w:eastAsia="es-ES"/>
        </w:rPr>
        <w:t>:</w:t>
      </w:r>
    </w:p>
    <w:p w14:paraId="26EAF547" w14:textId="77777777" w:rsidR="0019788C" w:rsidRDefault="0019788C" w:rsidP="00FE0FF8">
      <w:pPr>
        <w:autoSpaceDE w:val="0"/>
        <w:autoSpaceDN w:val="0"/>
        <w:adjustRightInd w:val="0"/>
        <w:spacing w:line="360" w:lineRule="auto"/>
        <w:rPr>
          <w:rFonts w:ascii="Arial" w:eastAsia="Times New Roman" w:hAnsi="Arial" w:cs="Arial"/>
          <w:sz w:val="24"/>
          <w:szCs w:val="24"/>
          <w:lang w:val="es-ES_tradnl" w:eastAsia="es-ES"/>
        </w:rPr>
      </w:pPr>
    </w:p>
    <w:p w14:paraId="1ED07AE3" w14:textId="77777777" w:rsidR="0019788C" w:rsidRDefault="0019788C" w:rsidP="00FE0FF8">
      <w:pPr>
        <w:autoSpaceDE w:val="0"/>
        <w:autoSpaceDN w:val="0"/>
        <w:adjustRightInd w:val="0"/>
        <w:spacing w:line="360" w:lineRule="auto"/>
        <w:rPr>
          <w:rFonts w:ascii="Arial" w:eastAsia="Times New Roman" w:hAnsi="Arial" w:cs="Arial"/>
          <w:sz w:val="24"/>
          <w:szCs w:val="24"/>
          <w:lang w:val="es-ES_tradnl" w:eastAsia="es-ES"/>
        </w:rPr>
      </w:pPr>
      <w:r w:rsidRPr="00606D42">
        <w:rPr>
          <w:rFonts w:ascii="Arial" w:eastAsia="Times New Roman" w:hAnsi="Arial" w:cs="Arial"/>
          <w:b/>
          <w:sz w:val="24"/>
          <w:szCs w:val="24"/>
          <w:lang w:val="es-ES_tradnl" w:eastAsia="es-ES"/>
        </w:rPr>
        <w:t>2.4.1.</w:t>
      </w:r>
      <w:r>
        <w:rPr>
          <w:rFonts w:ascii="Arial" w:eastAsia="Times New Roman" w:hAnsi="Arial" w:cs="Arial"/>
          <w:sz w:val="24"/>
          <w:szCs w:val="24"/>
          <w:lang w:val="es-ES_tradnl" w:eastAsia="es-ES"/>
        </w:rPr>
        <w:t xml:space="preserve"> En la parte motiva de la Resolución 1457 no resultó claro si faltaba </w:t>
      </w:r>
      <w:r w:rsidR="00412410">
        <w:rPr>
          <w:rFonts w:ascii="Arial" w:eastAsia="Times New Roman" w:hAnsi="Arial" w:cs="Arial"/>
          <w:sz w:val="24"/>
          <w:szCs w:val="24"/>
          <w:lang w:val="es-ES_tradnl" w:eastAsia="es-ES"/>
        </w:rPr>
        <w:t>el</w:t>
      </w:r>
      <w:r>
        <w:rPr>
          <w:rFonts w:ascii="Arial" w:eastAsia="Times New Roman" w:hAnsi="Arial" w:cs="Arial"/>
          <w:sz w:val="24"/>
          <w:szCs w:val="24"/>
          <w:lang w:val="es-ES_tradnl" w:eastAsia="es-ES"/>
        </w:rPr>
        <w:t xml:space="preserve"> informe </w:t>
      </w:r>
      <w:r w:rsidR="00606D42">
        <w:rPr>
          <w:rFonts w:ascii="Arial" w:eastAsia="Times New Roman" w:hAnsi="Arial" w:cs="Arial"/>
          <w:sz w:val="24"/>
          <w:szCs w:val="24"/>
          <w:lang w:val="es-ES_tradnl" w:eastAsia="es-ES"/>
        </w:rPr>
        <w:t xml:space="preserve">de evaluación </w:t>
      </w:r>
      <w:r>
        <w:rPr>
          <w:rFonts w:ascii="Arial" w:eastAsia="Times New Roman" w:hAnsi="Arial" w:cs="Arial"/>
          <w:sz w:val="24"/>
          <w:szCs w:val="24"/>
          <w:lang w:val="es-ES_tradnl" w:eastAsia="es-ES"/>
        </w:rPr>
        <w:t>o si algunos proponentes no habían acreditado</w:t>
      </w:r>
      <w:r w:rsidR="00606D42">
        <w:rPr>
          <w:rFonts w:ascii="Arial" w:eastAsia="Times New Roman" w:hAnsi="Arial" w:cs="Arial"/>
          <w:sz w:val="24"/>
          <w:szCs w:val="24"/>
          <w:lang w:val="es-ES_tradnl" w:eastAsia="es-ES"/>
        </w:rPr>
        <w:t xml:space="preserve"> </w:t>
      </w:r>
      <w:r w:rsidR="00F0212C">
        <w:rPr>
          <w:rFonts w:ascii="Arial" w:eastAsia="Times New Roman" w:hAnsi="Arial" w:cs="Arial"/>
          <w:sz w:val="24"/>
          <w:szCs w:val="24"/>
          <w:lang w:val="es-ES_tradnl" w:eastAsia="es-ES"/>
        </w:rPr>
        <w:t>el requisito correspondiente al RUP</w:t>
      </w:r>
      <w:r w:rsidR="00E9743A">
        <w:rPr>
          <w:rStyle w:val="Refdenotaalpie"/>
          <w:rFonts w:ascii="Arial" w:eastAsia="Times New Roman" w:hAnsi="Arial" w:cs="Arial"/>
          <w:sz w:val="24"/>
          <w:szCs w:val="24"/>
          <w:lang w:val="es-ES_tradnl" w:eastAsia="es-ES"/>
        </w:rPr>
        <w:footnoteReference w:id="4"/>
      </w:r>
      <w:r w:rsidR="00F0212C">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pero, en todo caso, los miembros de la U</w:t>
      </w:r>
      <w:r w:rsidR="00163FF7">
        <w:rPr>
          <w:rFonts w:ascii="Arial" w:eastAsia="Times New Roman" w:hAnsi="Arial" w:cs="Arial"/>
          <w:sz w:val="24"/>
          <w:szCs w:val="24"/>
          <w:lang w:val="es-ES_tradnl" w:eastAsia="es-ES"/>
        </w:rPr>
        <w:t xml:space="preserve">nión Temporal </w:t>
      </w:r>
      <w:r>
        <w:rPr>
          <w:rFonts w:ascii="Arial" w:eastAsia="Times New Roman" w:hAnsi="Arial" w:cs="Arial"/>
          <w:sz w:val="24"/>
          <w:szCs w:val="24"/>
          <w:lang w:val="es-ES_tradnl" w:eastAsia="es-ES"/>
        </w:rPr>
        <w:t>Soluciones Tributarias Integrales cumpli</w:t>
      </w:r>
      <w:r w:rsidR="00054262">
        <w:rPr>
          <w:rFonts w:ascii="Arial" w:eastAsia="Times New Roman" w:hAnsi="Arial" w:cs="Arial"/>
          <w:sz w:val="24"/>
          <w:szCs w:val="24"/>
          <w:lang w:val="es-ES_tradnl" w:eastAsia="es-ES"/>
        </w:rPr>
        <w:t xml:space="preserve">eron </w:t>
      </w:r>
      <w:r>
        <w:rPr>
          <w:rFonts w:ascii="Arial" w:eastAsia="Times New Roman" w:hAnsi="Arial" w:cs="Arial"/>
          <w:sz w:val="24"/>
          <w:szCs w:val="24"/>
          <w:lang w:val="es-ES_tradnl" w:eastAsia="es-ES"/>
        </w:rPr>
        <w:t xml:space="preserve">con entregar </w:t>
      </w:r>
      <w:r w:rsidR="00606D42">
        <w:rPr>
          <w:rFonts w:ascii="Arial" w:eastAsia="Times New Roman" w:hAnsi="Arial" w:cs="Arial"/>
          <w:sz w:val="24"/>
          <w:szCs w:val="24"/>
          <w:lang w:val="es-ES_tradnl" w:eastAsia="es-ES"/>
        </w:rPr>
        <w:t xml:space="preserve">los </w:t>
      </w:r>
      <w:r w:rsidR="00F0212C">
        <w:rPr>
          <w:rFonts w:ascii="Arial" w:eastAsia="Times New Roman" w:hAnsi="Arial" w:cs="Arial"/>
          <w:sz w:val="24"/>
          <w:szCs w:val="24"/>
          <w:lang w:val="es-ES_tradnl" w:eastAsia="es-ES"/>
        </w:rPr>
        <w:t xml:space="preserve">registros </w:t>
      </w:r>
      <w:r>
        <w:rPr>
          <w:rFonts w:ascii="Arial" w:eastAsia="Times New Roman" w:hAnsi="Arial" w:cs="Arial"/>
          <w:sz w:val="24"/>
          <w:szCs w:val="24"/>
          <w:lang w:val="es-ES_tradnl" w:eastAsia="es-ES"/>
        </w:rPr>
        <w:t>correspondiente</w:t>
      </w:r>
      <w:r w:rsidR="00606D42">
        <w:rPr>
          <w:rFonts w:ascii="Arial" w:eastAsia="Times New Roman" w:hAnsi="Arial" w:cs="Arial"/>
          <w:sz w:val="24"/>
          <w:szCs w:val="24"/>
          <w:lang w:val="es-ES_tradnl" w:eastAsia="es-ES"/>
        </w:rPr>
        <w:t>s</w:t>
      </w:r>
      <w:r>
        <w:rPr>
          <w:rFonts w:ascii="Arial" w:eastAsia="Times New Roman" w:hAnsi="Arial" w:cs="Arial"/>
          <w:sz w:val="24"/>
          <w:szCs w:val="24"/>
          <w:lang w:val="es-ES_tradnl" w:eastAsia="es-ES"/>
        </w:rPr>
        <w:t>.</w:t>
      </w:r>
    </w:p>
    <w:p w14:paraId="3F0724FD" w14:textId="77777777" w:rsidR="0019788C" w:rsidRDefault="0019788C" w:rsidP="00FE0FF8">
      <w:pPr>
        <w:autoSpaceDE w:val="0"/>
        <w:autoSpaceDN w:val="0"/>
        <w:adjustRightInd w:val="0"/>
        <w:spacing w:line="360" w:lineRule="auto"/>
        <w:rPr>
          <w:rFonts w:ascii="Arial" w:eastAsia="Times New Roman" w:hAnsi="Arial" w:cs="Arial"/>
          <w:sz w:val="24"/>
          <w:szCs w:val="24"/>
          <w:lang w:val="es-ES_tradnl" w:eastAsia="es-ES"/>
        </w:rPr>
      </w:pPr>
    </w:p>
    <w:p w14:paraId="1022E58A" w14:textId="77777777" w:rsidR="00BD4876" w:rsidRDefault="0019788C" w:rsidP="00FE0FF8">
      <w:pPr>
        <w:autoSpaceDE w:val="0"/>
        <w:autoSpaceDN w:val="0"/>
        <w:adjustRightInd w:val="0"/>
        <w:spacing w:line="360" w:lineRule="auto"/>
        <w:rPr>
          <w:rFonts w:ascii="Arial" w:eastAsia="Times New Roman" w:hAnsi="Arial" w:cs="Arial"/>
          <w:sz w:val="24"/>
          <w:szCs w:val="24"/>
          <w:lang w:val="es-ES_tradnl" w:eastAsia="es-ES"/>
        </w:rPr>
      </w:pPr>
      <w:r w:rsidRPr="00054262">
        <w:rPr>
          <w:rFonts w:ascii="Arial" w:eastAsia="Times New Roman" w:hAnsi="Arial" w:cs="Arial"/>
          <w:b/>
          <w:sz w:val="24"/>
          <w:szCs w:val="24"/>
          <w:lang w:val="es-ES_tradnl" w:eastAsia="es-ES"/>
        </w:rPr>
        <w:t>2.4.2</w:t>
      </w:r>
      <w:r>
        <w:rPr>
          <w:rFonts w:ascii="Arial" w:eastAsia="Times New Roman" w:hAnsi="Arial" w:cs="Arial"/>
          <w:sz w:val="24"/>
          <w:szCs w:val="24"/>
          <w:lang w:val="es-ES_tradnl" w:eastAsia="es-ES"/>
        </w:rPr>
        <w:t xml:space="preserve">. Las aclaraciones </w:t>
      </w:r>
      <w:r w:rsidR="00E9743A">
        <w:rPr>
          <w:rFonts w:ascii="Arial" w:eastAsia="Times New Roman" w:hAnsi="Arial" w:cs="Arial"/>
          <w:sz w:val="24"/>
          <w:szCs w:val="24"/>
          <w:lang w:val="es-ES_tradnl" w:eastAsia="es-ES"/>
        </w:rPr>
        <w:t xml:space="preserve">solicitadas por la fiduciaria </w:t>
      </w:r>
      <w:r>
        <w:rPr>
          <w:rFonts w:ascii="Arial" w:eastAsia="Times New Roman" w:hAnsi="Arial" w:cs="Arial"/>
          <w:sz w:val="24"/>
          <w:szCs w:val="24"/>
          <w:lang w:val="es-ES_tradnl" w:eastAsia="es-ES"/>
        </w:rPr>
        <w:t xml:space="preserve">sobre la falta de información en el balance de </w:t>
      </w:r>
      <w:r w:rsidR="00BD4876">
        <w:rPr>
          <w:rFonts w:ascii="Arial" w:eastAsia="Times New Roman" w:hAnsi="Arial" w:cs="Arial"/>
          <w:sz w:val="24"/>
          <w:szCs w:val="24"/>
          <w:lang w:val="es-ES_tradnl" w:eastAsia="es-ES"/>
        </w:rPr>
        <w:t xml:space="preserve">1999, correspondiente a </w:t>
      </w:r>
      <w:r>
        <w:rPr>
          <w:rFonts w:ascii="Arial" w:eastAsia="Times New Roman" w:hAnsi="Arial" w:cs="Arial"/>
          <w:sz w:val="24"/>
          <w:szCs w:val="24"/>
          <w:lang w:val="es-ES_tradnl" w:eastAsia="es-ES"/>
        </w:rPr>
        <w:t xml:space="preserve">la sociedad Cabrera &amp; Cabrera </w:t>
      </w:r>
      <w:proofErr w:type="spellStart"/>
      <w:r>
        <w:rPr>
          <w:rFonts w:ascii="Arial" w:eastAsia="Times New Roman" w:hAnsi="Arial" w:cs="Arial"/>
          <w:sz w:val="24"/>
          <w:szCs w:val="24"/>
          <w:lang w:val="es-ES_tradnl" w:eastAsia="es-ES"/>
        </w:rPr>
        <w:t>Ltda</w:t>
      </w:r>
      <w:proofErr w:type="spellEnd"/>
      <w:r>
        <w:rPr>
          <w:rFonts w:ascii="Arial" w:eastAsia="Times New Roman" w:hAnsi="Arial" w:cs="Arial"/>
          <w:sz w:val="24"/>
          <w:szCs w:val="24"/>
          <w:lang w:val="es-ES_tradnl" w:eastAsia="es-ES"/>
        </w:rPr>
        <w:t xml:space="preserve">, </w:t>
      </w:r>
      <w:r w:rsidR="00BD4876">
        <w:rPr>
          <w:rFonts w:ascii="Arial" w:eastAsia="Times New Roman" w:hAnsi="Arial" w:cs="Arial"/>
          <w:sz w:val="24"/>
          <w:szCs w:val="24"/>
          <w:lang w:val="es-ES_tradnl" w:eastAsia="es-ES"/>
        </w:rPr>
        <w:t xml:space="preserve">miembro de la </w:t>
      </w:r>
      <w:r w:rsidR="00163FF7">
        <w:rPr>
          <w:rFonts w:ascii="Arial" w:eastAsia="Times New Roman" w:hAnsi="Arial" w:cs="Arial"/>
          <w:sz w:val="24"/>
          <w:szCs w:val="24"/>
          <w:lang w:val="es-ES_tradnl" w:eastAsia="es-ES"/>
        </w:rPr>
        <w:t>unión temporal</w:t>
      </w:r>
      <w:r w:rsidR="00054262">
        <w:rPr>
          <w:rFonts w:ascii="Arial" w:eastAsia="Times New Roman" w:hAnsi="Arial" w:cs="Arial"/>
          <w:sz w:val="24"/>
          <w:szCs w:val="24"/>
          <w:lang w:val="es-ES_tradnl" w:eastAsia="es-ES"/>
        </w:rPr>
        <w:t>,</w:t>
      </w:r>
      <w:r w:rsidR="00BD4876">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fueron suministradas advirtiendo que se había extraviado la copia del anexo de los estados financieros, pero que la información se encontraba en la declaración de renta aportada por esa sociedad.</w:t>
      </w:r>
      <w:r w:rsidR="00BD4876">
        <w:rPr>
          <w:rFonts w:ascii="Arial" w:eastAsia="Times New Roman" w:hAnsi="Arial" w:cs="Arial"/>
          <w:sz w:val="24"/>
          <w:szCs w:val="24"/>
          <w:lang w:val="es-ES_tradnl" w:eastAsia="es-ES"/>
        </w:rPr>
        <w:t xml:space="preserve"> Agregó que tampoco procedían las consideraciones que realizó el distrito de Cartagena sobre la falta de firma de contador público en las declaraciones de renta de 1997 y 1998 </w:t>
      </w:r>
      <w:r w:rsidR="00BD4876">
        <w:rPr>
          <w:rFonts w:ascii="Arial" w:eastAsia="Times New Roman" w:hAnsi="Arial" w:cs="Arial"/>
          <w:sz w:val="24"/>
          <w:szCs w:val="24"/>
          <w:lang w:val="es-ES_tradnl" w:eastAsia="es-ES"/>
        </w:rPr>
        <w:lastRenderedPageBreak/>
        <w:t xml:space="preserve">y que la </w:t>
      </w:r>
      <w:r w:rsidR="00290BED">
        <w:rPr>
          <w:rFonts w:ascii="Arial" w:eastAsia="Times New Roman" w:hAnsi="Arial" w:cs="Arial"/>
          <w:sz w:val="24"/>
          <w:szCs w:val="24"/>
          <w:lang w:val="es-ES_tradnl" w:eastAsia="es-ES"/>
        </w:rPr>
        <w:t xml:space="preserve">unión temporal </w:t>
      </w:r>
      <w:r w:rsidR="00BD4876">
        <w:rPr>
          <w:rFonts w:ascii="Arial" w:eastAsia="Times New Roman" w:hAnsi="Arial" w:cs="Arial"/>
          <w:sz w:val="24"/>
          <w:szCs w:val="24"/>
          <w:lang w:val="es-ES_tradnl" w:eastAsia="es-ES"/>
        </w:rPr>
        <w:t xml:space="preserve">había presentado en debida forma </w:t>
      </w:r>
      <w:r w:rsidR="00E9743A">
        <w:rPr>
          <w:rFonts w:ascii="Arial" w:eastAsia="Times New Roman" w:hAnsi="Arial" w:cs="Arial"/>
          <w:sz w:val="24"/>
          <w:szCs w:val="24"/>
          <w:lang w:val="es-ES_tradnl" w:eastAsia="es-ES"/>
        </w:rPr>
        <w:t xml:space="preserve">todos </w:t>
      </w:r>
      <w:r w:rsidR="00BD4876">
        <w:rPr>
          <w:rFonts w:ascii="Arial" w:eastAsia="Times New Roman" w:hAnsi="Arial" w:cs="Arial"/>
          <w:sz w:val="24"/>
          <w:szCs w:val="24"/>
          <w:lang w:val="es-ES_tradnl" w:eastAsia="es-ES"/>
        </w:rPr>
        <w:t xml:space="preserve">los documentos para </w:t>
      </w:r>
      <w:r w:rsidR="00262FD5">
        <w:rPr>
          <w:rFonts w:ascii="Arial" w:eastAsia="Times New Roman" w:hAnsi="Arial" w:cs="Arial"/>
          <w:sz w:val="24"/>
          <w:szCs w:val="24"/>
          <w:lang w:val="es-ES_tradnl" w:eastAsia="es-ES"/>
        </w:rPr>
        <w:t xml:space="preserve">demostrar </w:t>
      </w:r>
      <w:r w:rsidR="00BD4876">
        <w:rPr>
          <w:rFonts w:ascii="Arial" w:eastAsia="Times New Roman" w:hAnsi="Arial" w:cs="Arial"/>
          <w:sz w:val="24"/>
          <w:szCs w:val="24"/>
          <w:lang w:val="es-ES_tradnl" w:eastAsia="es-ES"/>
        </w:rPr>
        <w:t>su capacidad financiera. Estimó que</w:t>
      </w:r>
      <w:r w:rsidR="00262FD5">
        <w:rPr>
          <w:rFonts w:ascii="Arial" w:eastAsia="Times New Roman" w:hAnsi="Arial" w:cs="Arial"/>
          <w:sz w:val="24"/>
          <w:szCs w:val="24"/>
          <w:lang w:val="es-ES_tradnl" w:eastAsia="es-ES"/>
        </w:rPr>
        <w:t>,</w:t>
      </w:r>
      <w:r w:rsidR="00BD4876">
        <w:rPr>
          <w:rFonts w:ascii="Arial" w:eastAsia="Times New Roman" w:hAnsi="Arial" w:cs="Arial"/>
          <w:sz w:val="24"/>
          <w:szCs w:val="24"/>
          <w:lang w:val="es-ES_tradnl" w:eastAsia="es-ES"/>
        </w:rPr>
        <w:t xml:space="preserve"> si h</w:t>
      </w:r>
      <w:r w:rsidR="00290BED">
        <w:rPr>
          <w:rFonts w:ascii="Arial" w:eastAsia="Times New Roman" w:hAnsi="Arial" w:cs="Arial"/>
          <w:sz w:val="24"/>
          <w:szCs w:val="24"/>
          <w:lang w:val="es-ES_tradnl" w:eastAsia="es-ES"/>
        </w:rPr>
        <w:t>abía</w:t>
      </w:r>
      <w:r w:rsidR="00BD4876">
        <w:rPr>
          <w:rFonts w:ascii="Arial" w:eastAsia="Times New Roman" w:hAnsi="Arial" w:cs="Arial"/>
          <w:sz w:val="24"/>
          <w:szCs w:val="24"/>
          <w:lang w:val="es-ES_tradnl" w:eastAsia="es-ES"/>
        </w:rPr>
        <w:t xml:space="preserve"> alguna fal</w:t>
      </w:r>
      <w:r w:rsidR="00E9743A">
        <w:rPr>
          <w:rFonts w:ascii="Arial" w:eastAsia="Times New Roman" w:hAnsi="Arial" w:cs="Arial"/>
          <w:sz w:val="24"/>
          <w:szCs w:val="24"/>
          <w:lang w:val="es-ES_tradnl" w:eastAsia="es-ES"/>
        </w:rPr>
        <w:t xml:space="preserve">encia de los anexos de </w:t>
      </w:r>
      <w:r w:rsidR="00BD4876">
        <w:rPr>
          <w:rFonts w:ascii="Arial" w:eastAsia="Times New Roman" w:hAnsi="Arial" w:cs="Arial"/>
          <w:sz w:val="24"/>
          <w:szCs w:val="24"/>
          <w:lang w:val="es-ES_tradnl" w:eastAsia="es-ES"/>
        </w:rPr>
        <w:t xml:space="preserve">los estados financieros, el comité evaluador </w:t>
      </w:r>
      <w:r w:rsidR="00262FD5">
        <w:rPr>
          <w:rFonts w:ascii="Arial" w:eastAsia="Times New Roman" w:hAnsi="Arial" w:cs="Arial"/>
          <w:sz w:val="24"/>
          <w:szCs w:val="24"/>
          <w:lang w:val="es-ES_tradnl" w:eastAsia="es-ES"/>
        </w:rPr>
        <w:t>podía</w:t>
      </w:r>
      <w:r w:rsidR="00BD4876">
        <w:rPr>
          <w:rFonts w:ascii="Arial" w:eastAsia="Times New Roman" w:hAnsi="Arial" w:cs="Arial"/>
          <w:sz w:val="24"/>
          <w:szCs w:val="24"/>
          <w:lang w:val="es-ES_tradnl" w:eastAsia="es-ES"/>
        </w:rPr>
        <w:t xml:space="preserve"> pedir que se subsanara</w:t>
      </w:r>
      <w:r w:rsidR="00262FD5">
        <w:rPr>
          <w:rFonts w:ascii="Arial" w:eastAsia="Times New Roman" w:hAnsi="Arial" w:cs="Arial"/>
          <w:sz w:val="24"/>
          <w:szCs w:val="24"/>
          <w:lang w:val="es-ES_tradnl" w:eastAsia="es-ES"/>
        </w:rPr>
        <w:t xml:space="preserve"> con la entrega de los documentos correspondientes</w:t>
      </w:r>
      <w:r w:rsidR="00BD4876">
        <w:rPr>
          <w:rFonts w:ascii="Arial" w:eastAsia="Times New Roman" w:hAnsi="Arial" w:cs="Arial"/>
          <w:sz w:val="24"/>
          <w:szCs w:val="24"/>
          <w:lang w:val="es-ES_tradnl" w:eastAsia="es-ES"/>
        </w:rPr>
        <w:t>.</w:t>
      </w:r>
    </w:p>
    <w:p w14:paraId="25CC9AA1" w14:textId="77777777" w:rsidR="0019788C" w:rsidRDefault="00BD4876" w:rsidP="00FE0FF8">
      <w:pPr>
        <w:autoSpaceDE w:val="0"/>
        <w:autoSpaceDN w:val="0"/>
        <w:adjustRightInd w:val="0"/>
        <w:spacing w:line="36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w:t>
      </w:r>
    </w:p>
    <w:p w14:paraId="3554CE82" w14:textId="77777777" w:rsidR="00D32B92" w:rsidRDefault="00BD4876" w:rsidP="00FE0FF8">
      <w:pPr>
        <w:autoSpaceDE w:val="0"/>
        <w:autoSpaceDN w:val="0"/>
        <w:adjustRightInd w:val="0"/>
        <w:spacing w:line="360" w:lineRule="auto"/>
        <w:rPr>
          <w:rFonts w:ascii="Arial" w:eastAsia="Times New Roman" w:hAnsi="Arial" w:cs="Arial"/>
          <w:sz w:val="24"/>
          <w:szCs w:val="24"/>
          <w:lang w:val="es-ES_tradnl" w:eastAsia="es-ES"/>
        </w:rPr>
      </w:pPr>
      <w:r w:rsidRPr="006F2C22">
        <w:rPr>
          <w:rFonts w:ascii="Arial" w:eastAsia="Times New Roman" w:hAnsi="Arial" w:cs="Arial"/>
          <w:b/>
          <w:sz w:val="24"/>
          <w:szCs w:val="24"/>
          <w:lang w:val="es-ES_tradnl" w:eastAsia="es-ES"/>
        </w:rPr>
        <w:t>2.4.3.</w:t>
      </w:r>
      <w:r>
        <w:rPr>
          <w:rFonts w:ascii="Arial" w:eastAsia="Times New Roman" w:hAnsi="Arial" w:cs="Arial"/>
          <w:sz w:val="24"/>
          <w:szCs w:val="24"/>
          <w:lang w:val="es-ES_tradnl" w:eastAsia="es-ES"/>
        </w:rPr>
        <w:t xml:space="preserve"> Indicó</w:t>
      </w:r>
      <w:r w:rsidR="00E9743A">
        <w:rPr>
          <w:rFonts w:ascii="Arial" w:eastAsia="Times New Roman" w:hAnsi="Arial" w:cs="Arial"/>
          <w:sz w:val="24"/>
          <w:szCs w:val="24"/>
          <w:lang w:val="es-ES_tradnl" w:eastAsia="es-ES"/>
        </w:rPr>
        <w:t xml:space="preserve">, también, </w:t>
      </w:r>
      <w:r w:rsidR="00262FD5">
        <w:rPr>
          <w:rFonts w:ascii="Arial" w:eastAsia="Times New Roman" w:hAnsi="Arial" w:cs="Arial"/>
          <w:sz w:val="24"/>
          <w:szCs w:val="24"/>
          <w:lang w:val="es-ES_tradnl" w:eastAsia="es-ES"/>
        </w:rPr>
        <w:t xml:space="preserve">que </w:t>
      </w:r>
      <w:r>
        <w:rPr>
          <w:rFonts w:ascii="Arial" w:eastAsia="Times New Roman" w:hAnsi="Arial" w:cs="Arial"/>
          <w:sz w:val="24"/>
          <w:szCs w:val="24"/>
          <w:lang w:val="es-ES_tradnl" w:eastAsia="es-ES"/>
        </w:rPr>
        <w:t xml:space="preserve">suministró la aclaración solicitada sobre la falta del balance de Global </w:t>
      </w:r>
      <w:proofErr w:type="spellStart"/>
      <w:r>
        <w:rPr>
          <w:rFonts w:ascii="Arial" w:eastAsia="Times New Roman" w:hAnsi="Arial" w:cs="Arial"/>
          <w:sz w:val="24"/>
          <w:szCs w:val="24"/>
          <w:lang w:val="es-ES_tradnl" w:eastAsia="es-ES"/>
        </w:rPr>
        <w:t>Corporati</w:t>
      </w:r>
      <w:r w:rsidR="006F2C22">
        <w:rPr>
          <w:rFonts w:ascii="Arial" w:eastAsia="Times New Roman" w:hAnsi="Arial" w:cs="Arial"/>
          <w:sz w:val="24"/>
          <w:szCs w:val="24"/>
          <w:lang w:val="es-ES_tradnl" w:eastAsia="es-ES"/>
        </w:rPr>
        <w:t>o</w:t>
      </w:r>
      <w:r>
        <w:rPr>
          <w:rFonts w:ascii="Arial" w:eastAsia="Times New Roman" w:hAnsi="Arial" w:cs="Arial"/>
          <w:sz w:val="24"/>
          <w:szCs w:val="24"/>
          <w:lang w:val="es-ES_tradnl" w:eastAsia="es-ES"/>
        </w:rPr>
        <w:t>n</w:t>
      </w:r>
      <w:proofErr w:type="spellEnd"/>
      <w:r>
        <w:rPr>
          <w:rFonts w:ascii="Arial" w:eastAsia="Times New Roman" w:hAnsi="Arial" w:cs="Arial"/>
          <w:sz w:val="24"/>
          <w:szCs w:val="24"/>
          <w:lang w:val="es-ES_tradnl" w:eastAsia="es-ES"/>
        </w:rPr>
        <w:t xml:space="preserve"> S.A. y de la declaración de renta de Gestión Financiera Integral </w:t>
      </w:r>
      <w:proofErr w:type="spellStart"/>
      <w:r>
        <w:rPr>
          <w:rFonts w:ascii="Arial" w:eastAsia="Times New Roman" w:hAnsi="Arial" w:cs="Arial"/>
          <w:sz w:val="24"/>
          <w:szCs w:val="24"/>
          <w:lang w:val="es-ES_tradnl" w:eastAsia="es-ES"/>
        </w:rPr>
        <w:t>Ltda</w:t>
      </w:r>
      <w:proofErr w:type="spellEnd"/>
      <w:r>
        <w:rPr>
          <w:rFonts w:ascii="Arial" w:eastAsia="Times New Roman" w:hAnsi="Arial" w:cs="Arial"/>
          <w:sz w:val="24"/>
          <w:szCs w:val="24"/>
          <w:lang w:val="es-ES_tradnl" w:eastAsia="es-ES"/>
        </w:rPr>
        <w:t xml:space="preserve">, </w:t>
      </w:r>
      <w:r w:rsidR="00262FD5">
        <w:rPr>
          <w:rFonts w:ascii="Arial" w:eastAsia="Times New Roman" w:hAnsi="Arial" w:cs="Arial"/>
          <w:sz w:val="24"/>
          <w:szCs w:val="24"/>
          <w:lang w:val="es-ES_tradnl" w:eastAsia="es-ES"/>
        </w:rPr>
        <w:t xml:space="preserve">otras sociedades </w:t>
      </w:r>
      <w:r w:rsidR="00245388">
        <w:rPr>
          <w:rFonts w:ascii="Arial" w:eastAsia="Times New Roman" w:hAnsi="Arial" w:cs="Arial"/>
          <w:sz w:val="24"/>
          <w:szCs w:val="24"/>
          <w:lang w:val="es-ES_tradnl" w:eastAsia="es-ES"/>
        </w:rPr>
        <w:t xml:space="preserve">integrantes </w:t>
      </w:r>
      <w:r w:rsidR="00262FD5">
        <w:rPr>
          <w:rFonts w:ascii="Arial" w:eastAsia="Times New Roman" w:hAnsi="Arial" w:cs="Arial"/>
          <w:sz w:val="24"/>
          <w:szCs w:val="24"/>
          <w:lang w:val="es-ES_tradnl" w:eastAsia="es-ES"/>
        </w:rPr>
        <w:t xml:space="preserve">de la </w:t>
      </w:r>
      <w:r w:rsidR="00290BED">
        <w:rPr>
          <w:rFonts w:ascii="Arial" w:eastAsia="Times New Roman" w:hAnsi="Arial" w:cs="Arial"/>
          <w:sz w:val="24"/>
          <w:szCs w:val="24"/>
          <w:lang w:val="es-ES_tradnl" w:eastAsia="es-ES"/>
        </w:rPr>
        <w:t>unión temporal</w:t>
      </w:r>
      <w:r w:rsidR="00262FD5">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por cuanto para el año de1997 </w:t>
      </w:r>
      <w:r w:rsidR="00D32B92">
        <w:rPr>
          <w:rFonts w:ascii="Arial" w:eastAsia="Times New Roman" w:hAnsi="Arial" w:cs="Arial"/>
          <w:sz w:val="24"/>
          <w:szCs w:val="24"/>
          <w:lang w:val="es-ES_tradnl" w:eastAsia="es-ES"/>
        </w:rPr>
        <w:t xml:space="preserve">esas sociedades </w:t>
      </w:r>
      <w:r>
        <w:rPr>
          <w:rFonts w:ascii="Arial" w:eastAsia="Times New Roman" w:hAnsi="Arial" w:cs="Arial"/>
          <w:sz w:val="24"/>
          <w:szCs w:val="24"/>
          <w:lang w:val="es-ES_tradnl" w:eastAsia="es-ES"/>
        </w:rPr>
        <w:t>no explotaba</w:t>
      </w:r>
      <w:r w:rsidR="00D32B92">
        <w:rPr>
          <w:rFonts w:ascii="Arial" w:eastAsia="Times New Roman" w:hAnsi="Arial" w:cs="Arial"/>
          <w:sz w:val="24"/>
          <w:szCs w:val="24"/>
          <w:lang w:val="es-ES_tradnl" w:eastAsia="es-ES"/>
        </w:rPr>
        <w:t>n</w:t>
      </w:r>
      <w:r>
        <w:rPr>
          <w:rFonts w:ascii="Arial" w:eastAsia="Times New Roman" w:hAnsi="Arial" w:cs="Arial"/>
          <w:sz w:val="24"/>
          <w:szCs w:val="24"/>
          <w:lang w:val="es-ES_tradnl" w:eastAsia="es-ES"/>
        </w:rPr>
        <w:t xml:space="preserve"> su objeto social</w:t>
      </w:r>
      <w:r w:rsidR="00D32B92">
        <w:rPr>
          <w:rFonts w:ascii="Arial" w:eastAsia="Times New Roman" w:hAnsi="Arial" w:cs="Arial"/>
          <w:sz w:val="24"/>
          <w:szCs w:val="24"/>
          <w:lang w:val="es-ES_tradnl" w:eastAsia="es-ES"/>
        </w:rPr>
        <w:t>.</w:t>
      </w:r>
    </w:p>
    <w:p w14:paraId="118317AA" w14:textId="77777777" w:rsidR="00D32B92" w:rsidRDefault="00D32B92" w:rsidP="00FE0FF8">
      <w:pPr>
        <w:autoSpaceDE w:val="0"/>
        <w:autoSpaceDN w:val="0"/>
        <w:adjustRightInd w:val="0"/>
        <w:spacing w:line="360" w:lineRule="auto"/>
        <w:rPr>
          <w:rFonts w:ascii="Arial" w:eastAsia="Times New Roman" w:hAnsi="Arial" w:cs="Arial"/>
          <w:sz w:val="24"/>
          <w:szCs w:val="24"/>
          <w:lang w:val="es-ES_tradnl" w:eastAsia="es-ES"/>
        </w:rPr>
      </w:pPr>
    </w:p>
    <w:p w14:paraId="6D2F7E57" w14:textId="77777777" w:rsidR="00D32B92" w:rsidRDefault="00D32B92" w:rsidP="00FE0FF8">
      <w:pPr>
        <w:autoSpaceDE w:val="0"/>
        <w:autoSpaceDN w:val="0"/>
        <w:adjustRightInd w:val="0"/>
        <w:spacing w:line="360" w:lineRule="auto"/>
        <w:rPr>
          <w:rFonts w:ascii="Arial" w:eastAsia="Times New Roman" w:hAnsi="Arial" w:cs="Arial"/>
          <w:sz w:val="24"/>
          <w:szCs w:val="24"/>
          <w:lang w:val="es-ES_tradnl" w:eastAsia="es-ES"/>
        </w:rPr>
      </w:pPr>
      <w:r w:rsidRPr="006F2C22">
        <w:rPr>
          <w:rFonts w:ascii="Arial" w:eastAsia="Times New Roman" w:hAnsi="Arial" w:cs="Arial"/>
          <w:b/>
          <w:sz w:val="24"/>
          <w:szCs w:val="24"/>
          <w:lang w:val="es-ES_tradnl" w:eastAsia="es-ES"/>
        </w:rPr>
        <w:t>2.4.4.</w:t>
      </w:r>
      <w:r>
        <w:rPr>
          <w:rFonts w:ascii="Arial" w:eastAsia="Times New Roman" w:hAnsi="Arial" w:cs="Arial"/>
          <w:sz w:val="24"/>
          <w:szCs w:val="24"/>
          <w:lang w:val="es-ES_tradnl" w:eastAsia="es-ES"/>
        </w:rPr>
        <w:t xml:space="preserve"> Rechazó la parte motiva de la Resolución 1457, en la cual se observó que las sociedades </w:t>
      </w:r>
      <w:r w:rsidR="00245388">
        <w:rPr>
          <w:rFonts w:ascii="Arial" w:eastAsia="Times New Roman" w:hAnsi="Arial" w:cs="Arial"/>
          <w:sz w:val="24"/>
          <w:szCs w:val="24"/>
          <w:lang w:val="es-ES_tradnl" w:eastAsia="es-ES"/>
        </w:rPr>
        <w:t xml:space="preserve">que conformaban </w:t>
      </w:r>
      <w:r>
        <w:rPr>
          <w:rFonts w:ascii="Arial" w:eastAsia="Times New Roman" w:hAnsi="Arial" w:cs="Arial"/>
          <w:sz w:val="24"/>
          <w:szCs w:val="24"/>
          <w:lang w:val="es-ES_tradnl" w:eastAsia="es-ES"/>
        </w:rPr>
        <w:t xml:space="preserve">la </w:t>
      </w:r>
      <w:r w:rsidR="00290BED">
        <w:rPr>
          <w:rFonts w:ascii="Arial" w:eastAsia="Times New Roman" w:hAnsi="Arial" w:cs="Arial"/>
          <w:sz w:val="24"/>
          <w:szCs w:val="24"/>
          <w:lang w:val="es-ES_tradnl" w:eastAsia="es-ES"/>
        </w:rPr>
        <w:t xml:space="preserve">unión temporal </w:t>
      </w:r>
      <w:r>
        <w:rPr>
          <w:rFonts w:ascii="Arial" w:eastAsia="Times New Roman" w:hAnsi="Arial" w:cs="Arial"/>
          <w:sz w:val="24"/>
          <w:szCs w:val="24"/>
          <w:lang w:val="es-ES_tradnl" w:eastAsia="es-ES"/>
        </w:rPr>
        <w:t>no cumplieron con acreditar la duración por el plazo exigido para el contrato. E</w:t>
      </w:r>
      <w:r w:rsidR="006F2C22">
        <w:rPr>
          <w:rFonts w:ascii="Arial" w:eastAsia="Times New Roman" w:hAnsi="Arial" w:cs="Arial"/>
          <w:sz w:val="24"/>
          <w:szCs w:val="24"/>
          <w:lang w:val="es-ES_tradnl" w:eastAsia="es-ES"/>
        </w:rPr>
        <w:t>n el recurso e</w:t>
      </w:r>
      <w:r>
        <w:rPr>
          <w:rFonts w:ascii="Arial" w:eastAsia="Times New Roman" w:hAnsi="Arial" w:cs="Arial"/>
          <w:sz w:val="24"/>
          <w:szCs w:val="24"/>
          <w:lang w:val="es-ES_tradnl" w:eastAsia="es-ES"/>
        </w:rPr>
        <w:t>xplicó que ese requisito se cumplió respecto de la proponente</w:t>
      </w:r>
      <w:r w:rsidR="00290BED">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que </w:t>
      </w:r>
      <w:r w:rsidR="00290BED">
        <w:rPr>
          <w:rFonts w:ascii="Arial" w:eastAsia="Times New Roman" w:hAnsi="Arial" w:cs="Arial"/>
          <w:sz w:val="24"/>
          <w:szCs w:val="24"/>
          <w:lang w:val="es-ES_tradnl" w:eastAsia="es-ES"/>
        </w:rPr>
        <w:t xml:space="preserve">en ese caso era la </w:t>
      </w:r>
      <w:r>
        <w:rPr>
          <w:rFonts w:ascii="Arial" w:eastAsia="Times New Roman" w:hAnsi="Arial" w:cs="Arial"/>
          <w:sz w:val="24"/>
          <w:szCs w:val="24"/>
          <w:lang w:val="es-ES_tradnl" w:eastAsia="es-ES"/>
        </w:rPr>
        <w:t>unión temporal.</w:t>
      </w:r>
    </w:p>
    <w:p w14:paraId="520EC88A" w14:textId="77777777" w:rsidR="00290BED" w:rsidRDefault="00290BED" w:rsidP="00FE0FF8">
      <w:pPr>
        <w:autoSpaceDE w:val="0"/>
        <w:autoSpaceDN w:val="0"/>
        <w:adjustRightInd w:val="0"/>
        <w:spacing w:line="360" w:lineRule="auto"/>
        <w:rPr>
          <w:rFonts w:ascii="Arial" w:eastAsia="Times New Roman" w:hAnsi="Arial" w:cs="Arial"/>
          <w:sz w:val="24"/>
          <w:szCs w:val="24"/>
          <w:lang w:val="es-ES_tradnl" w:eastAsia="es-ES"/>
        </w:rPr>
      </w:pPr>
    </w:p>
    <w:p w14:paraId="1C303691" w14:textId="77777777" w:rsidR="00142ABA" w:rsidRDefault="00D32B92" w:rsidP="00FE0FF8">
      <w:pPr>
        <w:autoSpaceDE w:val="0"/>
        <w:autoSpaceDN w:val="0"/>
        <w:adjustRightInd w:val="0"/>
        <w:spacing w:line="360" w:lineRule="auto"/>
        <w:rPr>
          <w:rFonts w:ascii="Arial" w:eastAsia="Times New Roman" w:hAnsi="Arial" w:cs="Arial"/>
          <w:sz w:val="24"/>
          <w:szCs w:val="24"/>
          <w:lang w:val="es-ES_tradnl" w:eastAsia="es-ES"/>
        </w:rPr>
      </w:pPr>
      <w:r w:rsidRPr="006F2C22">
        <w:rPr>
          <w:rFonts w:ascii="Arial" w:eastAsia="Times New Roman" w:hAnsi="Arial" w:cs="Arial"/>
          <w:b/>
          <w:sz w:val="24"/>
          <w:szCs w:val="24"/>
          <w:lang w:val="es-ES_tradnl" w:eastAsia="es-ES"/>
        </w:rPr>
        <w:t>2.5.</w:t>
      </w:r>
      <w:r>
        <w:rPr>
          <w:rFonts w:ascii="Arial" w:eastAsia="Times New Roman" w:hAnsi="Arial" w:cs="Arial"/>
          <w:sz w:val="24"/>
          <w:szCs w:val="24"/>
          <w:lang w:val="es-ES_tradnl" w:eastAsia="es-ES"/>
        </w:rPr>
        <w:t xml:space="preserve"> </w:t>
      </w:r>
      <w:r w:rsidR="004F04AB">
        <w:rPr>
          <w:rFonts w:ascii="Arial" w:eastAsia="Times New Roman" w:hAnsi="Arial" w:cs="Arial"/>
          <w:sz w:val="24"/>
          <w:szCs w:val="24"/>
          <w:lang w:val="es-ES_tradnl" w:eastAsia="es-ES"/>
        </w:rPr>
        <w:t>La demandante s</w:t>
      </w:r>
      <w:r>
        <w:rPr>
          <w:rFonts w:ascii="Arial" w:eastAsia="Times New Roman" w:hAnsi="Arial" w:cs="Arial"/>
          <w:sz w:val="24"/>
          <w:szCs w:val="24"/>
          <w:lang w:val="es-ES_tradnl" w:eastAsia="es-ES"/>
        </w:rPr>
        <w:t xml:space="preserve">e opuso a las consideraciones </w:t>
      </w:r>
      <w:r w:rsidR="00E9743A">
        <w:rPr>
          <w:rFonts w:ascii="Arial" w:eastAsia="Times New Roman" w:hAnsi="Arial" w:cs="Arial"/>
          <w:sz w:val="24"/>
          <w:szCs w:val="24"/>
          <w:lang w:val="es-ES_tradnl" w:eastAsia="es-ES"/>
        </w:rPr>
        <w:t xml:space="preserve">de la Resolución 1457 </w:t>
      </w:r>
      <w:r>
        <w:rPr>
          <w:rFonts w:ascii="Arial" w:eastAsia="Times New Roman" w:hAnsi="Arial" w:cs="Arial"/>
          <w:sz w:val="24"/>
          <w:szCs w:val="24"/>
          <w:lang w:val="es-ES_tradnl" w:eastAsia="es-ES"/>
        </w:rPr>
        <w:t xml:space="preserve">relacionadas con la violación </w:t>
      </w:r>
      <w:r w:rsidR="00E9743A">
        <w:rPr>
          <w:rFonts w:ascii="Arial" w:eastAsia="Times New Roman" w:hAnsi="Arial" w:cs="Arial"/>
          <w:sz w:val="24"/>
          <w:szCs w:val="24"/>
          <w:lang w:val="es-ES_tradnl" w:eastAsia="es-ES"/>
        </w:rPr>
        <w:t xml:space="preserve">del </w:t>
      </w:r>
      <w:r>
        <w:rPr>
          <w:rFonts w:ascii="Arial" w:eastAsia="Times New Roman" w:hAnsi="Arial" w:cs="Arial"/>
          <w:sz w:val="24"/>
          <w:szCs w:val="24"/>
          <w:lang w:val="es-ES_tradnl" w:eastAsia="es-ES"/>
        </w:rPr>
        <w:t xml:space="preserve">debido proceso, </w:t>
      </w:r>
      <w:r w:rsidR="00841367">
        <w:rPr>
          <w:rFonts w:ascii="Arial" w:eastAsia="Times New Roman" w:hAnsi="Arial" w:cs="Arial"/>
          <w:sz w:val="24"/>
          <w:szCs w:val="24"/>
          <w:lang w:val="es-ES_tradnl" w:eastAsia="es-ES"/>
        </w:rPr>
        <w:t xml:space="preserve">en las cuales el distrito afirmó </w:t>
      </w:r>
      <w:r>
        <w:rPr>
          <w:rFonts w:ascii="Arial" w:eastAsia="Times New Roman" w:hAnsi="Arial" w:cs="Arial"/>
          <w:sz w:val="24"/>
          <w:szCs w:val="24"/>
          <w:lang w:val="es-ES_tradnl" w:eastAsia="es-ES"/>
        </w:rPr>
        <w:t>que al menos una de las proponentes habría tenido accedo previo al resultado de la evaluación</w:t>
      </w:r>
      <w:r w:rsidR="00793AE8">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según </w:t>
      </w:r>
      <w:r w:rsidR="00841367">
        <w:rPr>
          <w:rFonts w:ascii="Arial" w:eastAsia="Times New Roman" w:hAnsi="Arial" w:cs="Arial"/>
          <w:sz w:val="24"/>
          <w:szCs w:val="24"/>
          <w:lang w:val="es-ES_tradnl" w:eastAsia="es-ES"/>
        </w:rPr>
        <w:t xml:space="preserve">lo </w:t>
      </w:r>
      <w:r>
        <w:rPr>
          <w:rFonts w:ascii="Arial" w:eastAsia="Times New Roman" w:hAnsi="Arial" w:cs="Arial"/>
          <w:sz w:val="24"/>
          <w:szCs w:val="24"/>
          <w:lang w:val="es-ES_tradnl" w:eastAsia="es-ES"/>
        </w:rPr>
        <w:t>desprendió de una c</w:t>
      </w:r>
      <w:r w:rsidR="005F4115">
        <w:rPr>
          <w:rFonts w:ascii="Arial" w:eastAsia="Times New Roman" w:hAnsi="Arial" w:cs="Arial"/>
          <w:sz w:val="24"/>
          <w:szCs w:val="24"/>
          <w:lang w:val="es-ES_tradnl" w:eastAsia="es-ES"/>
        </w:rPr>
        <w:t xml:space="preserve">omunicación </w:t>
      </w:r>
      <w:r>
        <w:rPr>
          <w:rFonts w:ascii="Arial" w:eastAsia="Times New Roman" w:hAnsi="Arial" w:cs="Arial"/>
          <w:sz w:val="24"/>
          <w:szCs w:val="24"/>
          <w:lang w:val="es-ES_tradnl" w:eastAsia="es-ES"/>
        </w:rPr>
        <w:t xml:space="preserve">que la </w:t>
      </w:r>
      <w:r w:rsidR="00841367">
        <w:rPr>
          <w:rFonts w:ascii="Arial" w:eastAsia="Times New Roman" w:hAnsi="Arial" w:cs="Arial"/>
          <w:sz w:val="24"/>
          <w:szCs w:val="24"/>
          <w:lang w:val="es-ES_tradnl" w:eastAsia="es-ES"/>
        </w:rPr>
        <w:t xml:space="preserve">unión temporal </w:t>
      </w:r>
      <w:r>
        <w:rPr>
          <w:rFonts w:ascii="Arial" w:eastAsia="Times New Roman" w:hAnsi="Arial" w:cs="Arial"/>
          <w:sz w:val="24"/>
          <w:szCs w:val="24"/>
          <w:lang w:val="es-ES_tradnl" w:eastAsia="es-ES"/>
        </w:rPr>
        <w:t xml:space="preserve">ahora demandante le dirigió a la Fiduciaria La Previsora S.A. </w:t>
      </w:r>
    </w:p>
    <w:p w14:paraId="00AA29C1" w14:textId="77777777" w:rsidR="00142ABA" w:rsidRDefault="00142ABA" w:rsidP="00FE0FF8">
      <w:pPr>
        <w:autoSpaceDE w:val="0"/>
        <w:autoSpaceDN w:val="0"/>
        <w:adjustRightInd w:val="0"/>
        <w:spacing w:line="360" w:lineRule="auto"/>
        <w:rPr>
          <w:rFonts w:ascii="Arial" w:eastAsia="Times New Roman" w:hAnsi="Arial" w:cs="Arial"/>
          <w:sz w:val="24"/>
          <w:szCs w:val="24"/>
          <w:lang w:val="es-ES_tradnl" w:eastAsia="es-ES"/>
        </w:rPr>
      </w:pPr>
    </w:p>
    <w:p w14:paraId="1B1072C2" w14:textId="77777777" w:rsidR="005F4115" w:rsidRDefault="005F4115" w:rsidP="00FE0FF8">
      <w:pPr>
        <w:autoSpaceDE w:val="0"/>
        <w:autoSpaceDN w:val="0"/>
        <w:adjustRightInd w:val="0"/>
        <w:spacing w:line="36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La demandante manifestó que </w:t>
      </w:r>
      <w:r w:rsidR="00D32B92">
        <w:rPr>
          <w:rFonts w:ascii="Arial" w:eastAsia="Times New Roman" w:hAnsi="Arial" w:cs="Arial"/>
          <w:sz w:val="24"/>
          <w:szCs w:val="24"/>
          <w:lang w:val="es-ES_tradnl" w:eastAsia="es-ES"/>
        </w:rPr>
        <w:t xml:space="preserve">nunca tuvo acceso al resultado de la evaluación y </w:t>
      </w:r>
      <w:r>
        <w:rPr>
          <w:rFonts w:ascii="Arial" w:eastAsia="Times New Roman" w:hAnsi="Arial" w:cs="Arial"/>
          <w:sz w:val="24"/>
          <w:szCs w:val="24"/>
          <w:lang w:val="es-ES_tradnl" w:eastAsia="es-ES"/>
        </w:rPr>
        <w:t xml:space="preserve">que sus observaciones contenidas en la carta de 9 de noviembre de 2000 se refirieron al mecanismo de evaluación y </w:t>
      </w:r>
      <w:r w:rsidR="00142ABA">
        <w:rPr>
          <w:rFonts w:ascii="Arial" w:eastAsia="Times New Roman" w:hAnsi="Arial" w:cs="Arial"/>
          <w:sz w:val="24"/>
          <w:szCs w:val="24"/>
          <w:lang w:val="es-ES_tradnl" w:eastAsia="es-ES"/>
        </w:rPr>
        <w:t xml:space="preserve">a </w:t>
      </w:r>
      <w:r w:rsidR="00841367">
        <w:rPr>
          <w:rFonts w:ascii="Arial" w:eastAsia="Times New Roman" w:hAnsi="Arial" w:cs="Arial"/>
          <w:sz w:val="24"/>
          <w:szCs w:val="24"/>
          <w:lang w:val="es-ES_tradnl" w:eastAsia="es-ES"/>
        </w:rPr>
        <w:t xml:space="preserve">las fórmulas de asignación de puntaje </w:t>
      </w:r>
      <w:r>
        <w:rPr>
          <w:rFonts w:ascii="Arial" w:eastAsia="Times New Roman" w:hAnsi="Arial" w:cs="Arial"/>
          <w:sz w:val="24"/>
          <w:szCs w:val="24"/>
          <w:lang w:val="es-ES_tradnl" w:eastAsia="es-ES"/>
        </w:rPr>
        <w:t>comúnmente utilizad</w:t>
      </w:r>
      <w:r w:rsidR="00841367">
        <w:rPr>
          <w:rFonts w:ascii="Arial" w:eastAsia="Times New Roman" w:hAnsi="Arial" w:cs="Arial"/>
          <w:sz w:val="24"/>
          <w:szCs w:val="24"/>
          <w:lang w:val="es-ES_tradnl" w:eastAsia="es-ES"/>
        </w:rPr>
        <w:t>as</w:t>
      </w:r>
      <w:r>
        <w:rPr>
          <w:rFonts w:ascii="Arial" w:eastAsia="Times New Roman" w:hAnsi="Arial" w:cs="Arial"/>
          <w:sz w:val="24"/>
          <w:szCs w:val="24"/>
          <w:lang w:val="es-ES_tradnl" w:eastAsia="es-ES"/>
        </w:rPr>
        <w:t xml:space="preserve"> </w:t>
      </w:r>
      <w:r w:rsidR="006F2C22">
        <w:rPr>
          <w:rFonts w:ascii="Arial" w:eastAsia="Times New Roman" w:hAnsi="Arial" w:cs="Arial"/>
          <w:sz w:val="24"/>
          <w:szCs w:val="24"/>
          <w:lang w:val="es-ES_tradnl" w:eastAsia="es-ES"/>
        </w:rPr>
        <w:t xml:space="preserve">bajo </w:t>
      </w:r>
      <w:r>
        <w:rPr>
          <w:rFonts w:ascii="Arial" w:eastAsia="Times New Roman" w:hAnsi="Arial" w:cs="Arial"/>
          <w:sz w:val="24"/>
          <w:szCs w:val="24"/>
          <w:lang w:val="es-ES_tradnl" w:eastAsia="es-ES"/>
        </w:rPr>
        <w:t xml:space="preserve">la Ley 80 de 1993. </w:t>
      </w:r>
    </w:p>
    <w:p w14:paraId="610F454E" w14:textId="77777777" w:rsidR="005F4115" w:rsidRDefault="005F4115" w:rsidP="00FE0FF8">
      <w:pPr>
        <w:autoSpaceDE w:val="0"/>
        <w:autoSpaceDN w:val="0"/>
        <w:adjustRightInd w:val="0"/>
        <w:spacing w:line="360" w:lineRule="auto"/>
        <w:rPr>
          <w:rFonts w:ascii="Arial" w:eastAsia="Times New Roman" w:hAnsi="Arial" w:cs="Arial"/>
          <w:sz w:val="24"/>
          <w:szCs w:val="24"/>
          <w:lang w:val="es-ES_tradnl" w:eastAsia="es-ES"/>
        </w:rPr>
      </w:pPr>
    </w:p>
    <w:p w14:paraId="21E2BBF5" w14:textId="77777777" w:rsidR="006F2C22" w:rsidRDefault="005F4115" w:rsidP="00FE0FF8">
      <w:pPr>
        <w:autoSpaceDE w:val="0"/>
        <w:autoSpaceDN w:val="0"/>
        <w:adjustRightInd w:val="0"/>
        <w:spacing w:line="360" w:lineRule="auto"/>
        <w:rPr>
          <w:rFonts w:ascii="Arial" w:eastAsia="Times New Roman" w:hAnsi="Arial" w:cs="Arial"/>
          <w:sz w:val="24"/>
          <w:szCs w:val="24"/>
          <w:lang w:val="es-ES_tradnl" w:eastAsia="es-ES"/>
        </w:rPr>
      </w:pPr>
      <w:r w:rsidRPr="006F2C22">
        <w:rPr>
          <w:rFonts w:ascii="Arial" w:eastAsia="Times New Roman" w:hAnsi="Arial" w:cs="Arial"/>
          <w:b/>
          <w:sz w:val="24"/>
          <w:szCs w:val="24"/>
          <w:lang w:val="es-ES_tradnl" w:eastAsia="es-ES"/>
        </w:rPr>
        <w:t>2.6.</w:t>
      </w:r>
      <w:r>
        <w:rPr>
          <w:rFonts w:ascii="Arial" w:eastAsia="Times New Roman" w:hAnsi="Arial" w:cs="Arial"/>
          <w:sz w:val="24"/>
          <w:szCs w:val="24"/>
          <w:lang w:val="es-ES_tradnl" w:eastAsia="es-ES"/>
        </w:rPr>
        <w:t xml:space="preserve"> </w:t>
      </w:r>
      <w:r w:rsidR="004F04AB">
        <w:rPr>
          <w:rFonts w:ascii="Arial" w:eastAsia="Times New Roman" w:hAnsi="Arial" w:cs="Arial"/>
          <w:sz w:val="24"/>
          <w:szCs w:val="24"/>
          <w:lang w:val="es-ES_tradnl" w:eastAsia="es-ES"/>
        </w:rPr>
        <w:t xml:space="preserve">Finalmente, </w:t>
      </w:r>
      <w:r>
        <w:rPr>
          <w:rFonts w:ascii="Arial" w:eastAsia="Times New Roman" w:hAnsi="Arial" w:cs="Arial"/>
          <w:sz w:val="24"/>
          <w:szCs w:val="24"/>
          <w:lang w:val="es-ES_tradnl" w:eastAsia="es-ES"/>
        </w:rPr>
        <w:t xml:space="preserve">insistió en que su propuesta debió ser calificada como la mejor de acuerdo con la </w:t>
      </w:r>
      <w:r w:rsidR="00D550B2">
        <w:rPr>
          <w:rFonts w:ascii="Arial" w:eastAsia="Times New Roman" w:hAnsi="Arial" w:cs="Arial"/>
          <w:sz w:val="24"/>
          <w:szCs w:val="24"/>
          <w:lang w:val="es-ES_tradnl" w:eastAsia="es-ES"/>
        </w:rPr>
        <w:t xml:space="preserve">forma de </w:t>
      </w:r>
      <w:r>
        <w:rPr>
          <w:rFonts w:ascii="Arial" w:eastAsia="Times New Roman" w:hAnsi="Arial" w:cs="Arial"/>
          <w:sz w:val="24"/>
          <w:szCs w:val="24"/>
          <w:lang w:val="es-ES_tradnl" w:eastAsia="es-ES"/>
        </w:rPr>
        <w:t xml:space="preserve">evaluación de la oferta económica que dio a conocer la representante de la </w:t>
      </w:r>
      <w:r w:rsidR="00142ABA">
        <w:rPr>
          <w:rFonts w:ascii="Arial" w:eastAsia="Times New Roman" w:hAnsi="Arial" w:cs="Arial"/>
          <w:sz w:val="24"/>
          <w:szCs w:val="24"/>
          <w:lang w:val="es-ES_tradnl" w:eastAsia="es-ES"/>
        </w:rPr>
        <w:t>f</w:t>
      </w:r>
      <w:r>
        <w:rPr>
          <w:rFonts w:ascii="Arial" w:eastAsia="Times New Roman" w:hAnsi="Arial" w:cs="Arial"/>
          <w:sz w:val="24"/>
          <w:szCs w:val="24"/>
          <w:lang w:val="es-ES_tradnl" w:eastAsia="es-ES"/>
        </w:rPr>
        <w:t>iduciaria en la audiencia de aclaraciones</w:t>
      </w:r>
      <w:r w:rsidR="006F2C22">
        <w:rPr>
          <w:rFonts w:ascii="Arial" w:eastAsia="Times New Roman" w:hAnsi="Arial" w:cs="Arial"/>
          <w:sz w:val="24"/>
          <w:szCs w:val="24"/>
          <w:lang w:val="es-ES_tradnl" w:eastAsia="es-ES"/>
        </w:rPr>
        <w:t>.</w:t>
      </w:r>
    </w:p>
    <w:p w14:paraId="1251767B" w14:textId="77777777" w:rsidR="004C2A84" w:rsidRDefault="004C2A84" w:rsidP="00FE0FF8">
      <w:pPr>
        <w:spacing w:line="360" w:lineRule="auto"/>
        <w:contextualSpacing/>
        <w:rPr>
          <w:rFonts w:ascii="Arial" w:eastAsia="Times New Roman" w:hAnsi="Arial" w:cs="Arial"/>
          <w:b/>
          <w:sz w:val="24"/>
          <w:szCs w:val="24"/>
          <w:lang w:val="es-ES" w:eastAsia="es-ES"/>
        </w:rPr>
      </w:pPr>
    </w:p>
    <w:p w14:paraId="5A3B034E" w14:textId="77777777" w:rsidR="005D34AA" w:rsidRDefault="005D34AA" w:rsidP="00FE0FF8">
      <w:pPr>
        <w:spacing w:line="360" w:lineRule="auto"/>
        <w:contextualSpacing/>
        <w:rPr>
          <w:rFonts w:ascii="Arial" w:eastAsia="Times New Roman" w:hAnsi="Arial" w:cs="Arial"/>
          <w:b/>
          <w:sz w:val="24"/>
          <w:szCs w:val="24"/>
          <w:lang w:val="es-ES" w:eastAsia="es-ES"/>
        </w:rPr>
      </w:pPr>
    </w:p>
    <w:p w14:paraId="24FAB123" w14:textId="77777777" w:rsidR="005D34AA" w:rsidRDefault="005D34AA" w:rsidP="00FE0FF8">
      <w:pPr>
        <w:spacing w:line="360" w:lineRule="auto"/>
        <w:contextualSpacing/>
        <w:rPr>
          <w:rFonts w:ascii="Arial" w:eastAsia="Times New Roman" w:hAnsi="Arial" w:cs="Arial"/>
          <w:b/>
          <w:sz w:val="24"/>
          <w:szCs w:val="24"/>
          <w:lang w:val="es-ES" w:eastAsia="es-ES"/>
        </w:rPr>
      </w:pPr>
    </w:p>
    <w:p w14:paraId="406A5179" w14:textId="77777777" w:rsidR="005D34AA" w:rsidRDefault="005D34AA" w:rsidP="00FE0FF8">
      <w:pPr>
        <w:spacing w:line="360" w:lineRule="auto"/>
        <w:contextualSpacing/>
        <w:rPr>
          <w:rFonts w:ascii="Arial" w:eastAsia="Times New Roman" w:hAnsi="Arial" w:cs="Arial"/>
          <w:b/>
          <w:sz w:val="24"/>
          <w:szCs w:val="24"/>
          <w:lang w:val="es-ES" w:eastAsia="es-ES"/>
        </w:rPr>
      </w:pPr>
    </w:p>
    <w:p w14:paraId="49C46CEB" w14:textId="77777777" w:rsidR="001C3BBF" w:rsidRPr="00C9724F" w:rsidRDefault="001C3BBF" w:rsidP="00FE0FF8">
      <w:pPr>
        <w:spacing w:line="360" w:lineRule="auto"/>
        <w:contextualSpacing/>
        <w:rPr>
          <w:rFonts w:ascii="Arial" w:eastAsia="Times New Roman" w:hAnsi="Arial" w:cs="Arial"/>
          <w:b/>
          <w:sz w:val="24"/>
          <w:szCs w:val="24"/>
          <w:lang w:val="es-ES" w:eastAsia="es-ES"/>
        </w:rPr>
      </w:pPr>
      <w:r w:rsidRPr="00C9724F">
        <w:rPr>
          <w:rFonts w:ascii="Arial" w:eastAsia="Times New Roman" w:hAnsi="Arial" w:cs="Arial"/>
          <w:b/>
          <w:sz w:val="24"/>
          <w:szCs w:val="24"/>
          <w:lang w:val="es-ES" w:eastAsia="es-ES"/>
        </w:rPr>
        <w:t>3. Concepto de violación</w:t>
      </w:r>
    </w:p>
    <w:p w14:paraId="0F9344AC" w14:textId="77777777" w:rsidR="001C3BBF" w:rsidRPr="00C9724F" w:rsidRDefault="001C3BBF" w:rsidP="00FE0FF8">
      <w:pPr>
        <w:spacing w:line="360" w:lineRule="auto"/>
        <w:contextualSpacing/>
        <w:rPr>
          <w:rFonts w:ascii="Arial" w:eastAsia="Times New Roman" w:hAnsi="Arial" w:cs="Arial"/>
          <w:sz w:val="24"/>
          <w:szCs w:val="24"/>
          <w:lang w:val="es-ES" w:eastAsia="es-ES"/>
        </w:rPr>
      </w:pPr>
    </w:p>
    <w:p w14:paraId="1FBE3109" w14:textId="77777777" w:rsidR="00057ADE" w:rsidRDefault="00B45EB9" w:rsidP="00FE0FF8">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La</w:t>
      </w:r>
      <w:r w:rsidR="000C00A8" w:rsidRPr="00C9724F">
        <w:rPr>
          <w:rFonts w:ascii="Arial" w:eastAsia="Times New Roman" w:hAnsi="Arial" w:cs="Arial"/>
          <w:sz w:val="24"/>
          <w:szCs w:val="24"/>
          <w:lang w:val="es-ES" w:eastAsia="es-ES"/>
        </w:rPr>
        <w:t xml:space="preserve"> demandante </w:t>
      </w:r>
      <w:r w:rsidR="001C3BBF" w:rsidRPr="00C9724F">
        <w:rPr>
          <w:rFonts w:ascii="Arial" w:eastAsia="Times New Roman" w:hAnsi="Arial" w:cs="Arial"/>
          <w:sz w:val="24"/>
          <w:szCs w:val="24"/>
          <w:lang w:val="es-ES" w:eastAsia="es-ES"/>
        </w:rPr>
        <w:t xml:space="preserve">consideró violadas </w:t>
      </w:r>
      <w:r w:rsidR="003E5E33" w:rsidRPr="00C9724F">
        <w:rPr>
          <w:rFonts w:ascii="Arial" w:eastAsia="Times New Roman" w:hAnsi="Arial" w:cs="Arial"/>
          <w:sz w:val="24"/>
          <w:szCs w:val="24"/>
          <w:lang w:val="es-ES" w:eastAsia="es-ES"/>
        </w:rPr>
        <w:t xml:space="preserve">las disposiciones contenidas en </w:t>
      </w:r>
      <w:r w:rsidR="00480D62">
        <w:rPr>
          <w:rFonts w:ascii="Arial" w:eastAsia="Times New Roman" w:hAnsi="Arial" w:cs="Arial"/>
          <w:sz w:val="24"/>
          <w:szCs w:val="24"/>
          <w:lang w:val="es-ES" w:eastAsia="es-ES"/>
        </w:rPr>
        <w:t xml:space="preserve">los </w:t>
      </w:r>
      <w:r w:rsidR="00253020" w:rsidRPr="00C9724F">
        <w:rPr>
          <w:rFonts w:ascii="Arial" w:eastAsia="Times New Roman" w:hAnsi="Arial" w:cs="Arial"/>
          <w:sz w:val="24"/>
          <w:szCs w:val="24"/>
          <w:lang w:val="es-ES" w:eastAsia="es-ES"/>
        </w:rPr>
        <w:t>artículo</w:t>
      </w:r>
      <w:r w:rsidR="00640AA3">
        <w:rPr>
          <w:rFonts w:ascii="Arial" w:eastAsia="Times New Roman" w:hAnsi="Arial" w:cs="Arial"/>
          <w:sz w:val="24"/>
          <w:szCs w:val="24"/>
          <w:lang w:val="es-ES" w:eastAsia="es-ES"/>
        </w:rPr>
        <w:t>s</w:t>
      </w:r>
      <w:r w:rsidR="00253020" w:rsidRPr="00C9724F">
        <w:rPr>
          <w:rFonts w:ascii="Arial" w:eastAsia="Times New Roman" w:hAnsi="Arial" w:cs="Arial"/>
          <w:sz w:val="24"/>
          <w:szCs w:val="24"/>
          <w:lang w:val="es-ES" w:eastAsia="es-ES"/>
        </w:rPr>
        <w:t xml:space="preserve"> </w:t>
      </w:r>
      <w:r w:rsidR="00480D62">
        <w:rPr>
          <w:rFonts w:ascii="Arial" w:eastAsia="Times New Roman" w:hAnsi="Arial" w:cs="Arial"/>
          <w:sz w:val="24"/>
          <w:szCs w:val="24"/>
          <w:lang w:val="es-ES" w:eastAsia="es-ES"/>
        </w:rPr>
        <w:t xml:space="preserve">4, </w:t>
      </w:r>
      <w:r w:rsidR="00163471" w:rsidRPr="00C9724F">
        <w:rPr>
          <w:rFonts w:ascii="Arial" w:eastAsia="Times New Roman" w:hAnsi="Arial" w:cs="Arial"/>
          <w:sz w:val="24"/>
          <w:szCs w:val="24"/>
          <w:lang w:val="es-ES" w:eastAsia="es-ES"/>
        </w:rPr>
        <w:t xml:space="preserve">29 </w:t>
      </w:r>
      <w:r w:rsidR="00480D62">
        <w:rPr>
          <w:rFonts w:ascii="Arial" w:eastAsia="Times New Roman" w:hAnsi="Arial" w:cs="Arial"/>
          <w:sz w:val="24"/>
          <w:szCs w:val="24"/>
          <w:lang w:val="es-ES" w:eastAsia="es-ES"/>
        </w:rPr>
        <w:t xml:space="preserve">y 83 </w:t>
      </w:r>
      <w:r w:rsidR="00163471" w:rsidRPr="00C9724F">
        <w:rPr>
          <w:rFonts w:ascii="Arial" w:eastAsia="Times New Roman" w:hAnsi="Arial" w:cs="Arial"/>
          <w:sz w:val="24"/>
          <w:szCs w:val="24"/>
          <w:lang w:val="es-ES" w:eastAsia="es-ES"/>
        </w:rPr>
        <w:t>de la Constitución Política, e</w:t>
      </w:r>
      <w:r w:rsidR="00480D62">
        <w:rPr>
          <w:rFonts w:ascii="Arial" w:eastAsia="Times New Roman" w:hAnsi="Arial" w:cs="Arial"/>
          <w:sz w:val="24"/>
          <w:szCs w:val="24"/>
          <w:lang w:val="es-ES" w:eastAsia="es-ES"/>
        </w:rPr>
        <w:t>n lo que se refiere al debido proceso</w:t>
      </w:r>
      <w:r w:rsidR="00057ADE">
        <w:rPr>
          <w:rFonts w:ascii="Arial" w:eastAsia="Times New Roman" w:hAnsi="Arial" w:cs="Arial"/>
          <w:sz w:val="24"/>
          <w:szCs w:val="24"/>
          <w:lang w:val="es-ES" w:eastAsia="es-ES"/>
        </w:rPr>
        <w:t xml:space="preserve"> y al </w:t>
      </w:r>
      <w:r w:rsidR="00057ADE">
        <w:rPr>
          <w:rFonts w:ascii="Arial" w:eastAsia="Times New Roman" w:hAnsi="Arial" w:cs="Arial"/>
          <w:sz w:val="24"/>
          <w:szCs w:val="24"/>
          <w:lang w:val="es-ES" w:eastAsia="es-ES"/>
        </w:rPr>
        <w:lastRenderedPageBreak/>
        <w:t>postulado de la buena f</w:t>
      </w:r>
      <w:r w:rsidR="002A0FDD">
        <w:rPr>
          <w:rFonts w:ascii="Arial" w:eastAsia="Times New Roman" w:hAnsi="Arial" w:cs="Arial"/>
          <w:sz w:val="24"/>
          <w:szCs w:val="24"/>
          <w:lang w:val="es-ES" w:eastAsia="es-ES"/>
        </w:rPr>
        <w:t>e</w:t>
      </w:r>
      <w:r w:rsidR="00057ADE">
        <w:rPr>
          <w:rFonts w:ascii="Arial" w:eastAsia="Times New Roman" w:hAnsi="Arial" w:cs="Arial"/>
          <w:sz w:val="24"/>
          <w:szCs w:val="24"/>
          <w:lang w:val="es-ES" w:eastAsia="es-ES"/>
        </w:rPr>
        <w:t xml:space="preserve">, </w:t>
      </w:r>
      <w:r w:rsidR="00480D62">
        <w:rPr>
          <w:rFonts w:ascii="Arial" w:eastAsia="Times New Roman" w:hAnsi="Arial" w:cs="Arial"/>
          <w:sz w:val="24"/>
          <w:szCs w:val="24"/>
          <w:lang w:val="es-ES" w:eastAsia="es-ES"/>
        </w:rPr>
        <w:t>al no habérsele permitido desvirtuar las actuaciones de</w:t>
      </w:r>
      <w:r w:rsidR="00057ADE">
        <w:rPr>
          <w:rFonts w:ascii="Arial" w:eastAsia="Times New Roman" w:hAnsi="Arial" w:cs="Arial"/>
          <w:sz w:val="24"/>
          <w:szCs w:val="24"/>
          <w:lang w:val="es-ES" w:eastAsia="es-ES"/>
        </w:rPr>
        <w:t xml:space="preserve">l distrito de Cartagena, ni ejercer </w:t>
      </w:r>
      <w:r w:rsidR="00640AA3">
        <w:rPr>
          <w:rFonts w:ascii="Arial" w:eastAsia="Times New Roman" w:hAnsi="Arial" w:cs="Arial"/>
          <w:sz w:val="24"/>
          <w:szCs w:val="24"/>
          <w:lang w:val="es-ES" w:eastAsia="es-ES"/>
        </w:rPr>
        <w:t>su</w:t>
      </w:r>
      <w:r w:rsidR="00057ADE">
        <w:rPr>
          <w:rFonts w:ascii="Arial" w:eastAsia="Times New Roman" w:hAnsi="Arial" w:cs="Arial"/>
          <w:sz w:val="24"/>
          <w:szCs w:val="24"/>
          <w:lang w:val="es-ES" w:eastAsia="es-ES"/>
        </w:rPr>
        <w:t xml:space="preserve"> derecho de defensa. </w:t>
      </w:r>
    </w:p>
    <w:p w14:paraId="5E6BE2BC" w14:textId="77777777" w:rsidR="00057ADE" w:rsidRDefault="00057ADE" w:rsidP="00FE0FF8">
      <w:pPr>
        <w:spacing w:line="360" w:lineRule="auto"/>
        <w:contextualSpacing/>
        <w:rPr>
          <w:rFonts w:ascii="Arial" w:eastAsia="Times New Roman" w:hAnsi="Arial" w:cs="Arial"/>
          <w:sz w:val="24"/>
          <w:szCs w:val="24"/>
          <w:lang w:val="es-ES" w:eastAsia="es-ES"/>
        </w:rPr>
      </w:pPr>
    </w:p>
    <w:p w14:paraId="6BE63689" w14:textId="77777777" w:rsidR="005045AD" w:rsidRDefault="00057ADE" w:rsidP="00FE0FF8">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Igualmente, e</w:t>
      </w:r>
      <w:r w:rsidR="005F4115">
        <w:rPr>
          <w:rFonts w:ascii="Arial" w:eastAsia="Times New Roman" w:hAnsi="Arial" w:cs="Arial"/>
          <w:sz w:val="24"/>
          <w:szCs w:val="24"/>
          <w:lang w:val="es-ES" w:eastAsia="es-ES"/>
        </w:rPr>
        <w:t xml:space="preserve">n su </w:t>
      </w:r>
      <w:r>
        <w:rPr>
          <w:rFonts w:ascii="Arial" w:eastAsia="Times New Roman" w:hAnsi="Arial" w:cs="Arial"/>
          <w:sz w:val="24"/>
          <w:szCs w:val="24"/>
          <w:lang w:val="es-ES" w:eastAsia="es-ES"/>
        </w:rPr>
        <w:t xml:space="preserve">concepto de violación legal, la </w:t>
      </w:r>
      <w:r w:rsidR="00B45EB9">
        <w:rPr>
          <w:rFonts w:ascii="Arial" w:eastAsia="Times New Roman" w:hAnsi="Arial" w:cs="Arial"/>
          <w:sz w:val="24"/>
          <w:szCs w:val="24"/>
          <w:lang w:val="es-ES" w:eastAsia="es-ES"/>
        </w:rPr>
        <w:t xml:space="preserve">demandante invocó la </w:t>
      </w:r>
      <w:r>
        <w:rPr>
          <w:rFonts w:ascii="Arial" w:eastAsia="Times New Roman" w:hAnsi="Arial" w:cs="Arial"/>
          <w:sz w:val="24"/>
          <w:szCs w:val="24"/>
          <w:lang w:val="es-ES" w:eastAsia="es-ES"/>
        </w:rPr>
        <w:t xml:space="preserve">transgresión de los artículos </w:t>
      </w:r>
      <w:r w:rsidR="002A0FDD">
        <w:rPr>
          <w:rFonts w:ascii="Arial" w:eastAsia="Times New Roman" w:hAnsi="Arial" w:cs="Arial"/>
          <w:sz w:val="24"/>
          <w:szCs w:val="24"/>
          <w:lang w:val="es-ES" w:eastAsia="es-ES"/>
        </w:rPr>
        <w:t xml:space="preserve">4 y 24 de </w:t>
      </w:r>
      <w:r w:rsidR="00253020" w:rsidRPr="00C9724F">
        <w:rPr>
          <w:rFonts w:ascii="Arial" w:eastAsia="Times New Roman" w:hAnsi="Arial" w:cs="Arial"/>
          <w:sz w:val="24"/>
          <w:szCs w:val="24"/>
          <w:lang w:val="es-ES" w:eastAsia="es-ES"/>
        </w:rPr>
        <w:t>la Ley 80 de 1993</w:t>
      </w:r>
      <w:r w:rsidR="00163471" w:rsidRPr="00C9724F">
        <w:rPr>
          <w:rFonts w:ascii="Arial" w:eastAsia="Times New Roman" w:hAnsi="Arial" w:cs="Arial"/>
          <w:sz w:val="24"/>
          <w:szCs w:val="24"/>
          <w:lang w:val="es-ES" w:eastAsia="es-ES"/>
        </w:rPr>
        <w:t xml:space="preserve">, toda vez que </w:t>
      </w:r>
      <w:r w:rsidR="002A0FDD">
        <w:rPr>
          <w:rFonts w:ascii="Arial" w:eastAsia="Times New Roman" w:hAnsi="Arial" w:cs="Arial"/>
          <w:sz w:val="24"/>
          <w:szCs w:val="24"/>
          <w:lang w:val="es-ES" w:eastAsia="es-ES"/>
        </w:rPr>
        <w:t>la única causa válida para declarar desierto el proceso</w:t>
      </w:r>
      <w:r w:rsidR="001E259C">
        <w:rPr>
          <w:rFonts w:ascii="Arial" w:eastAsia="Times New Roman" w:hAnsi="Arial" w:cs="Arial"/>
          <w:sz w:val="24"/>
          <w:szCs w:val="24"/>
          <w:lang w:val="es-ES" w:eastAsia="es-ES"/>
        </w:rPr>
        <w:t xml:space="preserve"> </w:t>
      </w:r>
      <w:r w:rsidR="005F4115">
        <w:rPr>
          <w:rFonts w:ascii="Arial" w:eastAsia="Times New Roman" w:hAnsi="Arial" w:cs="Arial"/>
          <w:sz w:val="24"/>
          <w:szCs w:val="24"/>
          <w:lang w:val="es-ES" w:eastAsia="es-ES"/>
        </w:rPr>
        <w:t xml:space="preserve">de adjudicación </w:t>
      </w:r>
      <w:r w:rsidR="001E259C">
        <w:rPr>
          <w:rFonts w:ascii="Arial" w:eastAsia="Times New Roman" w:hAnsi="Arial" w:cs="Arial"/>
          <w:sz w:val="24"/>
          <w:szCs w:val="24"/>
          <w:lang w:val="es-ES" w:eastAsia="es-ES"/>
        </w:rPr>
        <w:t>es la imposibilidad de efectuar la selección objetiva y</w:t>
      </w:r>
      <w:r w:rsidR="00B45EB9">
        <w:rPr>
          <w:rFonts w:ascii="Arial" w:eastAsia="Times New Roman" w:hAnsi="Arial" w:cs="Arial"/>
          <w:sz w:val="24"/>
          <w:szCs w:val="24"/>
          <w:lang w:val="es-ES" w:eastAsia="es-ES"/>
        </w:rPr>
        <w:t>,</w:t>
      </w:r>
      <w:r w:rsidR="001E259C">
        <w:rPr>
          <w:rFonts w:ascii="Arial" w:eastAsia="Times New Roman" w:hAnsi="Arial" w:cs="Arial"/>
          <w:sz w:val="24"/>
          <w:szCs w:val="24"/>
          <w:lang w:val="es-ES" w:eastAsia="es-ES"/>
        </w:rPr>
        <w:t xml:space="preserve"> en este caso</w:t>
      </w:r>
      <w:r w:rsidR="00B45EB9">
        <w:rPr>
          <w:rFonts w:ascii="Arial" w:eastAsia="Times New Roman" w:hAnsi="Arial" w:cs="Arial"/>
          <w:sz w:val="24"/>
          <w:szCs w:val="24"/>
          <w:lang w:val="es-ES" w:eastAsia="es-ES"/>
        </w:rPr>
        <w:t>,</w:t>
      </w:r>
      <w:r w:rsidR="001E259C">
        <w:rPr>
          <w:rFonts w:ascii="Arial" w:eastAsia="Times New Roman" w:hAnsi="Arial" w:cs="Arial"/>
          <w:sz w:val="24"/>
          <w:szCs w:val="24"/>
          <w:lang w:val="es-ES" w:eastAsia="es-ES"/>
        </w:rPr>
        <w:t xml:space="preserve"> </w:t>
      </w:r>
      <w:r w:rsidR="005F4115">
        <w:rPr>
          <w:rFonts w:ascii="Arial" w:eastAsia="Times New Roman" w:hAnsi="Arial" w:cs="Arial"/>
          <w:sz w:val="24"/>
          <w:szCs w:val="24"/>
          <w:lang w:val="es-ES" w:eastAsia="es-ES"/>
        </w:rPr>
        <w:t xml:space="preserve">el distrito de Cartagena se </w:t>
      </w:r>
      <w:r w:rsidR="001E259C">
        <w:rPr>
          <w:rFonts w:ascii="Arial" w:eastAsia="Times New Roman" w:hAnsi="Arial" w:cs="Arial"/>
          <w:sz w:val="24"/>
          <w:szCs w:val="24"/>
          <w:lang w:val="es-ES" w:eastAsia="es-ES"/>
        </w:rPr>
        <w:t>apoyó en los errores e irregularidades de sus propios funcionarios</w:t>
      </w:r>
      <w:r w:rsidR="005F4115">
        <w:rPr>
          <w:rFonts w:ascii="Arial" w:eastAsia="Times New Roman" w:hAnsi="Arial" w:cs="Arial"/>
          <w:sz w:val="24"/>
          <w:szCs w:val="24"/>
          <w:lang w:val="es-ES" w:eastAsia="es-ES"/>
        </w:rPr>
        <w:t>, para efectos de declarar desierta la respectiva invitación pública</w:t>
      </w:r>
      <w:r w:rsidR="001E259C">
        <w:rPr>
          <w:rFonts w:ascii="Arial" w:eastAsia="Times New Roman" w:hAnsi="Arial" w:cs="Arial"/>
          <w:sz w:val="24"/>
          <w:szCs w:val="24"/>
          <w:lang w:val="es-ES" w:eastAsia="es-ES"/>
        </w:rPr>
        <w:t>.</w:t>
      </w:r>
    </w:p>
    <w:p w14:paraId="79C729B7" w14:textId="77777777" w:rsidR="009A20DB" w:rsidRDefault="009A20DB" w:rsidP="00FE0FF8">
      <w:pPr>
        <w:spacing w:line="360" w:lineRule="auto"/>
        <w:contextualSpacing/>
        <w:rPr>
          <w:rFonts w:ascii="Arial" w:eastAsia="Times New Roman" w:hAnsi="Arial" w:cs="Arial"/>
          <w:sz w:val="24"/>
          <w:szCs w:val="24"/>
          <w:lang w:val="es-ES" w:eastAsia="es-ES"/>
        </w:rPr>
      </w:pPr>
    </w:p>
    <w:p w14:paraId="68984CBC" w14:textId="77777777" w:rsidR="009A20DB" w:rsidRDefault="009A20DB" w:rsidP="00FE0FF8">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Por otra parte</w:t>
      </w:r>
      <w:r w:rsidR="00B45EB9">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00B45EB9">
        <w:rPr>
          <w:rFonts w:ascii="Arial" w:eastAsia="Times New Roman" w:hAnsi="Arial" w:cs="Arial"/>
          <w:sz w:val="24"/>
          <w:szCs w:val="24"/>
          <w:lang w:val="es-ES" w:eastAsia="es-ES"/>
        </w:rPr>
        <w:t xml:space="preserve">la demandante observó </w:t>
      </w:r>
      <w:r>
        <w:rPr>
          <w:rFonts w:ascii="Arial" w:eastAsia="Times New Roman" w:hAnsi="Arial" w:cs="Arial"/>
          <w:sz w:val="24"/>
          <w:szCs w:val="24"/>
          <w:lang w:val="es-ES" w:eastAsia="es-ES"/>
        </w:rPr>
        <w:t>que el distrito de Cartagena no puso a disposición de los proponentes el resultado de la evaluación de las propuestas.</w:t>
      </w:r>
    </w:p>
    <w:p w14:paraId="35C4C0DC" w14:textId="77777777" w:rsidR="00DE05DB" w:rsidRDefault="00DE05DB" w:rsidP="00FE0FF8">
      <w:pPr>
        <w:spacing w:line="360" w:lineRule="auto"/>
        <w:contextualSpacing/>
        <w:rPr>
          <w:rFonts w:ascii="Arial" w:eastAsia="Times New Roman" w:hAnsi="Arial" w:cs="Arial"/>
          <w:b/>
          <w:sz w:val="24"/>
          <w:szCs w:val="24"/>
          <w:lang w:val="es-ES" w:eastAsia="es-ES"/>
        </w:rPr>
      </w:pPr>
    </w:p>
    <w:p w14:paraId="5827755D" w14:textId="77777777" w:rsidR="001C3BBF" w:rsidRPr="00C9724F" w:rsidRDefault="001C3BBF" w:rsidP="00FE0FF8">
      <w:pPr>
        <w:spacing w:line="360" w:lineRule="auto"/>
        <w:contextualSpacing/>
        <w:rPr>
          <w:rFonts w:ascii="Arial" w:eastAsia="Times New Roman" w:hAnsi="Arial" w:cs="Arial"/>
          <w:b/>
          <w:sz w:val="24"/>
          <w:szCs w:val="24"/>
          <w:lang w:val="es-ES" w:eastAsia="es-ES"/>
        </w:rPr>
      </w:pPr>
      <w:r w:rsidRPr="00C9724F">
        <w:rPr>
          <w:rFonts w:ascii="Arial" w:eastAsia="Times New Roman" w:hAnsi="Arial" w:cs="Arial"/>
          <w:b/>
          <w:sz w:val="24"/>
          <w:szCs w:val="24"/>
          <w:lang w:val="es-ES" w:eastAsia="es-ES"/>
        </w:rPr>
        <w:t>4.</w:t>
      </w:r>
      <w:r w:rsidRPr="00C9724F">
        <w:rPr>
          <w:rFonts w:ascii="Arial" w:eastAsia="Times New Roman" w:hAnsi="Arial" w:cs="Arial"/>
          <w:b/>
          <w:sz w:val="24"/>
          <w:szCs w:val="24"/>
          <w:lang w:val="es-ES" w:eastAsia="es-ES"/>
        </w:rPr>
        <w:tab/>
        <w:t>Actuación procesal</w:t>
      </w:r>
    </w:p>
    <w:p w14:paraId="7CCE4886" w14:textId="77777777" w:rsidR="001C3BBF" w:rsidRPr="00C9724F" w:rsidRDefault="001C3BBF" w:rsidP="00FE0FF8">
      <w:pPr>
        <w:spacing w:line="360" w:lineRule="auto"/>
        <w:rPr>
          <w:rFonts w:ascii="Arial" w:eastAsia="Times New Roman" w:hAnsi="Arial" w:cs="Arial"/>
          <w:bCs/>
          <w:iCs/>
          <w:sz w:val="24"/>
          <w:szCs w:val="24"/>
          <w:lang w:val="es-ES" w:eastAsia="es-ES"/>
        </w:rPr>
      </w:pPr>
    </w:p>
    <w:p w14:paraId="10C1316C" w14:textId="77777777" w:rsidR="00734594" w:rsidRDefault="001C3BBF" w:rsidP="00FE0FF8">
      <w:pPr>
        <w:spacing w:line="360" w:lineRule="auto"/>
        <w:contextualSpacing/>
        <w:rPr>
          <w:rFonts w:ascii="Arial" w:eastAsia="Times New Roman" w:hAnsi="Arial" w:cs="Arial"/>
          <w:sz w:val="24"/>
          <w:szCs w:val="24"/>
          <w:lang w:val="es-ES" w:eastAsia="es-ES"/>
        </w:rPr>
      </w:pPr>
      <w:r w:rsidRPr="00C9724F">
        <w:rPr>
          <w:rFonts w:ascii="Arial" w:eastAsia="Times New Roman" w:hAnsi="Arial" w:cs="Arial"/>
          <w:b/>
          <w:sz w:val="24"/>
          <w:szCs w:val="24"/>
          <w:lang w:val="es-ES" w:eastAsia="es-ES"/>
        </w:rPr>
        <w:t>4.1.</w:t>
      </w:r>
      <w:r w:rsidRPr="00C9724F">
        <w:rPr>
          <w:rFonts w:ascii="Arial" w:eastAsia="Times New Roman" w:hAnsi="Arial" w:cs="Arial"/>
          <w:b/>
          <w:sz w:val="24"/>
          <w:szCs w:val="24"/>
          <w:lang w:val="es-ES" w:eastAsia="es-ES"/>
        </w:rPr>
        <w:tab/>
      </w:r>
      <w:r w:rsidR="00734594">
        <w:rPr>
          <w:rFonts w:ascii="Arial" w:eastAsia="Times New Roman" w:hAnsi="Arial" w:cs="Arial"/>
          <w:sz w:val="24"/>
          <w:szCs w:val="24"/>
          <w:lang w:val="es-ES" w:eastAsia="es-ES"/>
        </w:rPr>
        <w:t>Mediante escrito presentado el 9 de octubre de 2001, la demandante renunció a la solicitud de suspensión provisional deprecada.</w:t>
      </w:r>
    </w:p>
    <w:p w14:paraId="5E91AFB5" w14:textId="77777777" w:rsidR="00734594" w:rsidRDefault="00734594" w:rsidP="00FE0FF8">
      <w:pPr>
        <w:spacing w:line="360" w:lineRule="auto"/>
        <w:contextualSpacing/>
        <w:rPr>
          <w:rFonts w:ascii="Arial" w:eastAsia="Times New Roman" w:hAnsi="Arial" w:cs="Arial"/>
          <w:sz w:val="24"/>
          <w:szCs w:val="24"/>
          <w:lang w:val="es-ES" w:eastAsia="es-ES"/>
        </w:rPr>
      </w:pPr>
    </w:p>
    <w:p w14:paraId="160EAACB" w14:textId="77777777" w:rsidR="001C3BBF" w:rsidRPr="00C9724F" w:rsidRDefault="00734594" w:rsidP="00FE0FF8">
      <w:pPr>
        <w:spacing w:line="360" w:lineRule="auto"/>
        <w:contextualSpacing/>
        <w:rPr>
          <w:rFonts w:ascii="Arial" w:eastAsia="Times New Roman" w:hAnsi="Arial" w:cs="Arial"/>
          <w:sz w:val="24"/>
          <w:szCs w:val="24"/>
          <w:lang w:val="es-ES" w:eastAsia="es-ES"/>
        </w:rPr>
      </w:pPr>
      <w:r w:rsidRPr="00734594">
        <w:rPr>
          <w:rFonts w:ascii="Arial" w:eastAsia="Times New Roman" w:hAnsi="Arial" w:cs="Arial"/>
          <w:b/>
          <w:sz w:val="24"/>
          <w:szCs w:val="24"/>
          <w:lang w:val="es-ES" w:eastAsia="es-ES"/>
        </w:rPr>
        <w:t>4.2.</w:t>
      </w:r>
      <w:r>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ab/>
      </w:r>
      <w:r w:rsidR="000C0A2E" w:rsidRPr="006F69DB">
        <w:rPr>
          <w:rFonts w:ascii="Arial" w:eastAsia="Times New Roman" w:hAnsi="Arial" w:cs="Arial"/>
          <w:sz w:val="24"/>
          <w:szCs w:val="24"/>
          <w:lang w:val="es-ES" w:eastAsia="es-ES"/>
        </w:rPr>
        <w:t xml:space="preserve">Una vez corregida la demanda, </w:t>
      </w:r>
      <w:r w:rsidR="006F69DB">
        <w:rPr>
          <w:rFonts w:ascii="Arial" w:eastAsia="Times New Roman" w:hAnsi="Arial" w:cs="Arial"/>
          <w:sz w:val="24"/>
          <w:szCs w:val="24"/>
          <w:lang w:val="es-ES" w:eastAsia="es-ES"/>
        </w:rPr>
        <w:t>e</w:t>
      </w:r>
      <w:r w:rsidR="001C3BBF" w:rsidRPr="00C9724F">
        <w:rPr>
          <w:rFonts w:ascii="Arial" w:eastAsia="Times New Roman" w:hAnsi="Arial" w:cs="Arial"/>
          <w:sz w:val="24"/>
          <w:szCs w:val="24"/>
          <w:lang w:val="es-ES" w:eastAsia="es-ES"/>
        </w:rPr>
        <w:t xml:space="preserve">l Tribunal Administrativo de </w:t>
      </w:r>
      <w:r w:rsidR="006F69DB">
        <w:rPr>
          <w:rFonts w:ascii="Arial" w:eastAsia="Times New Roman" w:hAnsi="Arial" w:cs="Arial"/>
          <w:sz w:val="24"/>
          <w:szCs w:val="24"/>
          <w:lang w:val="es-ES" w:eastAsia="es-ES"/>
        </w:rPr>
        <w:t xml:space="preserve">Bolívar la </w:t>
      </w:r>
      <w:r w:rsidR="001C3BBF" w:rsidRPr="00C9724F">
        <w:rPr>
          <w:rFonts w:ascii="Arial" w:eastAsia="Times New Roman" w:hAnsi="Arial" w:cs="Arial"/>
          <w:sz w:val="24"/>
          <w:szCs w:val="24"/>
          <w:lang w:val="es-ES" w:eastAsia="es-ES"/>
        </w:rPr>
        <w:t>admitió</w:t>
      </w:r>
      <w:r w:rsidR="006F69DB">
        <w:rPr>
          <w:rFonts w:ascii="Arial" w:eastAsia="Times New Roman" w:hAnsi="Arial" w:cs="Arial"/>
          <w:sz w:val="24"/>
          <w:szCs w:val="24"/>
          <w:lang w:val="es-ES" w:eastAsia="es-ES"/>
        </w:rPr>
        <w:t>,</w:t>
      </w:r>
      <w:r w:rsidR="001C3BBF" w:rsidRPr="00C9724F">
        <w:rPr>
          <w:rFonts w:ascii="Arial" w:eastAsia="Times New Roman" w:hAnsi="Arial" w:cs="Arial"/>
          <w:sz w:val="24"/>
          <w:szCs w:val="24"/>
          <w:lang w:val="es-ES" w:eastAsia="es-ES"/>
        </w:rPr>
        <w:t xml:space="preserve"> </w:t>
      </w:r>
      <w:r w:rsidR="006F69DB">
        <w:rPr>
          <w:rFonts w:ascii="Arial" w:eastAsia="Times New Roman" w:hAnsi="Arial" w:cs="Arial"/>
          <w:sz w:val="24"/>
          <w:szCs w:val="24"/>
          <w:lang w:val="es-ES" w:eastAsia="es-ES"/>
        </w:rPr>
        <w:t xml:space="preserve">mediante </w:t>
      </w:r>
      <w:r w:rsidR="001C3BBF" w:rsidRPr="00C9724F">
        <w:rPr>
          <w:rFonts w:ascii="Arial" w:eastAsia="Times New Roman" w:hAnsi="Arial" w:cs="Arial"/>
          <w:sz w:val="24"/>
          <w:szCs w:val="24"/>
          <w:lang w:val="es-ES" w:eastAsia="es-ES"/>
        </w:rPr>
        <w:t xml:space="preserve">auto de </w:t>
      </w:r>
      <w:r w:rsidR="006F69DB">
        <w:rPr>
          <w:rFonts w:ascii="Arial" w:eastAsia="Times New Roman" w:hAnsi="Arial" w:cs="Arial"/>
          <w:sz w:val="24"/>
          <w:szCs w:val="24"/>
          <w:lang w:val="es-ES" w:eastAsia="es-ES"/>
        </w:rPr>
        <w:t>7</w:t>
      </w:r>
      <w:r w:rsidR="001C3BBF" w:rsidRPr="00C9724F">
        <w:rPr>
          <w:rFonts w:ascii="Arial" w:eastAsia="Times New Roman" w:hAnsi="Arial" w:cs="Arial"/>
          <w:sz w:val="24"/>
          <w:szCs w:val="24"/>
          <w:lang w:val="es-ES" w:eastAsia="es-ES"/>
        </w:rPr>
        <w:t xml:space="preserve"> de </w:t>
      </w:r>
      <w:r w:rsidR="006F69DB">
        <w:rPr>
          <w:rFonts w:ascii="Arial" w:eastAsia="Times New Roman" w:hAnsi="Arial" w:cs="Arial"/>
          <w:sz w:val="24"/>
          <w:szCs w:val="24"/>
          <w:lang w:val="es-ES" w:eastAsia="es-ES"/>
        </w:rPr>
        <w:t xml:space="preserve">noviembre </w:t>
      </w:r>
      <w:r w:rsidR="001C3BBF" w:rsidRPr="00C9724F">
        <w:rPr>
          <w:rFonts w:ascii="Arial" w:eastAsia="Times New Roman" w:hAnsi="Arial" w:cs="Arial"/>
          <w:sz w:val="24"/>
          <w:szCs w:val="24"/>
          <w:lang w:val="es-ES" w:eastAsia="es-ES"/>
        </w:rPr>
        <w:t>de 200</w:t>
      </w:r>
      <w:r w:rsidR="006F69DB">
        <w:rPr>
          <w:rFonts w:ascii="Arial" w:eastAsia="Times New Roman" w:hAnsi="Arial" w:cs="Arial"/>
          <w:sz w:val="24"/>
          <w:szCs w:val="24"/>
          <w:lang w:val="es-ES" w:eastAsia="es-ES"/>
        </w:rPr>
        <w:t>1</w:t>
      </w:r>
      <w:r w:rsidR="006F69DB">
        <w:rPr>
          <w:rStyle w:val="Refdenotaalpie"/>
          <w:rFonts w:ascii="Arial" w:eastAsia="Times New Roman" w:hAnsi="Arial" w:cs="Arial"/>
          <w:sz w:val="24"/>
          <w:szCs w:val="24"/>
          <w:lang w:val="es-ES" w:eastAsia="es-ES"/>
        </w:rPr>
        <w:footnoteReference w:id="5"/>
      </w:r>
      <w:r w:rsidR="00D04AE4" w:rsidRPr="00C9724F">
        <w:rPr>
          <w:rFonts w:ascii="Arial" w:eastAsia="Times New Roman" w:hAnsi="Arial" w:cs="Arial"/>
          <w:sz w:val="24"/>
          <w:szCs w:val="24"/>
          <w:lang w:val="es-ES" w:eastAsia="es-ES"/>
        </w:rPr>
        <w:t>.</w:t>
      </w:r>
      <w:r w:rsidR="001C3BBF" w:rsidRPr="00C9724F">
        <w:rPr>
          <w:rFonts w:ascii="Arial" w:eastAsia="Times New Roman" w:hAnsi="Arial" w:cs="Arial"/>
          <w:sz w:val="24"/>
          <w:szCs w:val="24"/>
          <w:lang w:val="es-ES" w:eastAsia="es-ES"/>
        </w:rPr>
        <w:t xml:space="preserve"> </w:t>
      </w:r>
    </w:p>
    <w:p w14:paraId="4BBAE0C6" w14:textId="77777777" w:rsidR="001C3BBF" w:rsidRPr="00C9724F" w:rsidRDefault="001C3BBF" w:rsidP="00FE0FF8">
      <w:pPr>
        <w:spacing w:line="360" w:lineRule="auto"/>
        <w:contextualSpacing/>
        <w:rPr>
          <w:rFonts w:ascii="Arial" w:eastAsia="Times New Roman" w:hAnsi="Arial" w:cs="Arial"/>
          <w:b/>
          <w:sz w:val="24"/>
          <w:szCs w:val="24"/>
          <w:lang w:val="es-ES" w:eastAsia="es-ES"/>
        </w:rPr>
      </w:pPr>
    </w:p>
    <w:p w14:paraId="5B4DDA27" w14:textId="77777777" w:rsidR="00640AA3" w:rsidRDefault="001C3BBF" w:rsidP="00FE0FF8">
      <w:pPr>
        <w:spacing w:line="360" w:lineRule="auto"/>
        <w:contextualSpacing/>
        <w:rPr>
          <w:rFonts w:ascii="Arial" w:eastAsia="Times New Roman" w:hAnsi="Arial" w:cs="Arial"/>
          <w:bCs/>
          <w:iCs/>
          <w:sz w:val="24"/>
          <w:szCs w:val="24"/>
          <w:lang w:val="es-ES" w:eastAsia="es-ES"/>
        </w:rPr>
      </w:pPr>
      <w:r w:rsidRPr="00C9724F">
        <w:rPr>
          <w:rFonts w:ascii="Arial" w:eastAsia="Times New Roman" w:hAnsi="Arial" w:cs="Arial"/>
          <w:b/>
          <w:sz w:val="24"/>
          <w:szCs w:val="24"/>
          <w:lang w:val="es-ES" w:eastAsia="es-ES"/>
        </w:rPr>
        <w:t>4.</w:t>
      </w:r>
      <w:r w:rsidR="006D7B4F">
        <w:rPr>
          <w:rFonts w:ascii="Arial" w:eastAsia="Times New Roman" w:hAnsi="Arial" w:cs="Arial"/>
          <w:b/>
          <w:sz w:val="24"/>
          <w:szCs w:val="24"/>
          <w:lang w:val="es-ES" w:eastAsia="es-ES"/>
        </w:rPr>
        <w:t>3</w:t>
      </w:r>
      <w:r w:rsidRPr="00C9724F">
        <w:rPr>
          <w:rFonts w:ascii="Arial" w:eastAsia="Times New Roman" w:hAnsi="Arial" w:cs="Arial"/>
          <w:b/>
          <w:sz w:val="24"/>
          <w:szCs w:val="24"/>
          <w:lang w:val="es-ES" w:eastAsia="es-ES"/>
        </w:rPr>
        <w:t>.</w:t>
      </w:r>
      <w:r w:rsidRPr="00C9724F">
        <w:rPr>
          <w:rFonts w:ascii="Arial" w:eastAsia="Times New Roman" w:hAnsi="Arial" w:cs="Arial"/>
          <w:sz w:val="24"/>
          <w:szCs w:val="24"/>
          <w:lang w:val="es-ES" w:eastAsia="es-ES"/>
        </w:rPr>
        <w:tab/>
      </w:r>
      <w:r w:rsidR="00DB7F1A">
        <w:rPr>
          <w:rFonts w:ascii="Arial" w:eastAsia="Times New Roman" w:hAnsi="Arial" w:cs="Arial"/>
          <w:sz w:val="24"/>
          <w:szCs w:val="24"/>
          <w:lang w:val="es-ES" w:eastAsia="es-ES"/>
        </w:rPr>
        <w:t>R</w:t>
      </w:r>
      <w:r w:rsidR="00DD367E" w:rsidRPr="00C9724F">
        <w:rPr>
          <w:rFonts w:ascii="Arial" w:eastAsia="Times New Roman" w:hAnsi="Arial" w:cs="Arial"/>
          <w:sz w:val="24"/>
          <w:szCs w:val="24"/>
          <w:lang w:val="es-ES" w:eastAsia="es-ES"/>
        </w:rPr>
        <w:t xml:space="preserve">ecibida la </w:t>
      </w:r>
      <w:r w:rsidR="00FE5AA0" w:rsidRPr="00C9724F">
        <w:rPr>
          <w:rFonts w:ascii="Arial" w:eastAsia="Times New Roman" w:hAnsi="Arial" w:cs="Arial"/>
          <w:sz w:val="24"/>
          <w:szCs w:val="24"/>
          <w:lang w:val="es-ES" w:eastAsia="es-ES"/>
        </w:rPr>
        <w:t>contesta</w:t>
      </w:r>
      <w:r w:rsidR="00DD367E" w:rsidRPr="00C9724F">
        <w:rPr>
          <w:rFonts w:ascii="Arial" w:eastAsia="Times New Roman" w:hAnsi="Arial" w:cs="Arial"/>
          <w:sz w:val="24"/>
          <w:szCs w:val="24"/>
          <w:lang w:val="es-ES" w:eastAsia="es-ES"/>
        </w:rPr>
        <w:t xml:space="preserve">ción a </w:t>
      </w:r>
      <w:r w:rsidR="00FE5AA0" w:rsidRPr="00C9724F">
        <w:rPr>
          <w:rFonts w:ascii="Arial" w:eastAsia="Times New Roman" w:hAnsi="Arial" w:cs="Arial"/>
          <w:sz w:val="24"/>
          <w:szCs w:val="24"/>
          <w:lang w:val="es-ES" w:eastAsia="es-ES"/>
        </w:rPr>
        <w:t>la demanda, s</w:t>
      </w:r>
      <w:r w:rsidR="0090007F" w:rsidRPr="00C9724F">
        <w:rPr>
          <w:rFonts w:ascii="Arial" w:eastAsia="Times New Roman" w:hAnsi="Arial" w:cs="Arial"/>
          <w:sz w:val="24"/>
          <w:szCs w:val="24"/>
          <w:lang w:val="es-ES" w:eastAsia="es-ES"/>
        </w:rPr>
        <w:t>e</w:t>
      </w:r>
      <w:r w:rsidRPr="00C9724F">
        <w:rPr>
          <w:rFonts w:ascii="Arial" w:eastAsia="Times New Roman" w:hAnsi="Arial" w:cs="Arial"/>
          <w:bCs/>
          <w:iCs/>
          <w:sz w:val="24"/>
          <w:szCs w:val="24"/>
          <w:lang w:val="es-ES" w:eastAsia="es-ES"/>
        </w:rPr>
        <w:t xml:space="preserve"> </w:t>
      </w:r>
      <w:r w:rsidR="00785BA2" w:rsidRPr="00C9724F">
        <w:rPr>
          <w:rFonts w:ascii="Arial" w:eastAsia="Times New Roman" w:hAnsi="Arial" w:cs="Arial"/>
          <w:bCs/>
          <w:iCs/>
          <w:sz w:val="24"/>
          <w:szCs w:val="24"/>
          <w:lang w:val="es-ES" w:eastAsia="es-ES"/>
        </w:rPr>
        <w:t xml:space="preserve">decretó </w:t>
      </w:r>
      <w:r w:rsidRPr="00C9724F">
        <w:rPr>
          <w:rFonts w:ascii="Arial" w:eastAsia="Times New Roman" w:hAnsi="Arial" w:cs="Arial"/>
          <w:bCs/>
          <w:iCs/>
          <w:sz w:val="24"/>
          <w:szCs w:val="24"/>
          <w:lang w:val="es-ES" w:eastAsia="es-ES"/>
        </w:rPr>
        <w:t>la práctica de pruebas</w:t>
      </w:r>
      <w:r w:rsidR="00FE5AA0" w:rsidRPr="00C9724F">
        <w:rPr>
          <w:rFonts w:ascii="Arial" w:eastAsia="Times New Roman" w:hAnsi="Arial" w:cs="Arial"/>
          <w:bCs/>
          <w:iCs/>
          <w:sz w:val="24"/>
          <w:szCs w:val="24"/>
          <w:lang w:val="es-ES" w:eastAsia="es-ES"/>
        </w:rPr>
        <w:t xml:space="preserve"> solicitadas por las partes,</w:t>
      </w:r>
      <w:r w:rsidRPr="00C9724F">
        <w:rPr>
          <w:rFonts w:ascii="Arial" w:eastAsia="Times New Roman" w:hAnsi="Arial" w:cs="Arial"/>
          <w:bCs/>
          <w:iCs/>
          <w:sz w:val="24"/>
          <w:szCs w:val="24"/>
          <w:lang w:val="es-ES" w:eastAsia="es-ES"/>
        </w:rPr>
        <w:t xml:space="preserve"> mediante auto de </w:t>
      </w:r>
      <w:r w:rsidR="0090007F" w:rsidRPr="00C9724F">
        <w:rPr>
          <w:rFonts w:ascii="Arial" w:eastAsia="Times New Roman" w:hAnsi="Arial" w:cs="Arial"/>
          <w:bCs/>
          <w:iCs/>
          <w:sz w:val="24"/>
          <w:szCs w:val="24"/>
          <w:lang w:val="es-ES" w:eastAsia="es-ES"/>
        </w:rPr>
        <w:t>1</w:t>
      </w:r>
      <w:r w:rsidR="00A078F3">
        <w:rPr>
          <w:rFonts w:ascii="Arial" w:eastAsia="Times New Roman" w:hAnsi="Arial" w:cs="Arial"/>
          <w:bCs/>
          <w:iCs/>
          <w:sz w:val="24"/>
          <w:szCs w:val="24"/>
          <w:lang w:val="es-ES" w:eastAsia="es-ES"/>
        </w:rPr>
        <w:t>9</w:t>
      </w:r>
      <w:r w:rsidRPr="00C9724F">
        <w:rPr>
          <w:rFonts w:ascii="Arial" w:eastAsia="Times New Roman" w:hAnsi="Arial" w:cs="Arial"/>
          <w:bCs/>
          <w:iCs/>
          <w:sz w:val="24"/>
          <w:szCs w:val="24"/>
          <w:lang w:val="es-ES" w:eastAsia="es-ES"/>
        </w:rPr>
        <w:t xml:space="preserve"> de </w:t>
      </w:r>
      <w:r w:rsidR="00A078F3">
        <w:rPr>
          <w:rFonts w:ascii="Arial" w:eastAsia="Times New Roman" w:hAnsi="Arial" w:cs="Arial"/>
          <w:bCs/>
          <w:iCs/>
          <w:sz w:val="24"/>
          <w:szCs w:val="24"/>
          <w:lang w:val="es-ES" w:eastAsia="es-ES"/>
        </w:rPr>
        <w:t xml:space="preserve">agosto </w:t>
      </w:r>
      <w:r w:rsidRPr="00C9724F">
        <w:rPr>
          <w:rFonts w:ascii="Arial" w:eastAsia="Times New Roman" w:hAnsi="Arial" w:cs="Arial"/>
          <w:bCs/>
          <w:iCs/>
          <w:sz w:val="24"/>
          <w:szCs w:val="24"/>
          <w:lang w:val="es-ES" w:eastAsia="es-ES"/>
        </w:rPr>
        <w:t>de 200</w:t>
      </w:r>
      <w:r w:rsidR="00A078F3">
        <w:rPr>
          <w:rFonts w:ascii="Arial" w:eastAsia="Times New Roman" w:hAnsi="Arial" w:cs="Arial"/>
          <w:bCs/>
          <w:iCs/>
          <w:sz w:val="24"/>
          <w:szCs w:val="24"/>
          <w:lang w:val="es-ES" w:eastAsia="es-ES"/>
        </w:rPr>
        <w:t>4</w:t>
      </w:r>
      <w:r w:rsidR="00A078F3">
        <w:rPr>
          <w:rStyle w:val="Refdenotaalpie"/>
          <w:rFonts w:ascii="Arial" w:eastAsia="Times New Roman" w:hAnsi="Arial" w:cs="Arial"/>
          <w:bCs/>
          <w:iCs/>
          <w:sz w:val="24"/>
          <w:szCs w:val="24"/>
          <w:lang w:val="es-ES" w:eastAsia="es-ES"/>
        </w:rPr>
        <w:footnoteReference w:id="6"/>
      </w:r>
      <w:r w:rsidR="00A078F3">
        <w:rPr>
          <w:rFonts w:ascii="Arial" w:eastAsia="Times New Roman" w:hAnsi="Arial" w:cs="Arial"/>
          <w:bCs/>
          <w:iCs/>
          <w:sz w:val="24"/>
          <w:szCs w:val="24"/>
          <w:lang w:val="es-ES" w:eastAsia="es-ES"/>
        </w:rPr>
        <w:t>.</w:t>
      </w:r>
      <w:r w:rsidRPr="00C9724F">
        <w:rPr>
          <w:rFonts w:ascii="Arial" w:eastAsia="Times New Roman" w:hAnsi="Arial" w:cs="Arial"/>
          <w:bCs/>
          <w:iCs/>
          <w:sz w:val="24"/>
          <w:szCs w:val="24"/>
          <w:lang w:val="es-ES" w:eastAsia="es-ES"/>
        </w:rPr>
        <w:t xml:space="preserve"> </w:t>
      </w:r>
    </w:p>
    <w:p w14:paraId="54B6FC48" w14:textId="77777777" w:rsidR="00640AA3" w:rsidRDefault="00640AA3" w:rsidP="00FE0FF8">
      <w:pPr>
        <w:spacing w:line="360" w:lineRule="auto"/>
        <w:contextualSpacing/>
        <w:rPr>
          <w:rFonts w:ascii="Arial" w:eastAsia="Times New Roman" w:hAnsi="Arial" w:cs="Arial"/>
          <w:bCs/>
          <w:iCs/>
          <w:sz w:val="24"/>
          <w:szCs w:val="24"/>
          <w:lang w:val="es-ES" w:eastAsia="es-ES"/>
        </w:rPr>
      </w:pPr>
    </w:p>
    <w:p w14:paraId="0AF94880" w14:textId="77777777" w:rsidR="006F50C8" w:rsidRDefault="00F0212C" w:rsidP="00FE0FF8">
      <w:pPr>
        <w:spacing w:line="360" w:lineRule="auto"/>
        <w:contextualSpacing/>
        <w:rPr>
          <w:rFonts w:ascii="Arial" w:eastAsia="Times New Roman" w:hAnsi="Arial" w:cs="Arial"/>
          <w:bCs/>
          <w:iCs/>
          <w:sz w:val="24"/>
          <w:szCs w:val="24"/>
          <w:lang w:val="es-ES" w:eastAsia="es-ES"/>
        </w:rPr>
      </w:pPr>
      <w:r>
        <w:rPr>
          <w:rFonts w:ascii="Arial" w:eastAsia="Times New Roman" w:hAnsi="Arial" w:cs="Arial"/>
          <w:bCs/>
          <w:iCs/>
          <w:sz w:val="24"/>
          <w:szCs w:val="24"/>
          <w:lang w:val="es-ES" w:eastAsia="es-ES"/>
        </w:rPr>
        <w:t>La</w:t>
      </w:r>
      <w:r w:rsidR="00640AA3">
        <w:rPr>
          <w:rFonts w:ascii="Arial" w:eastAsia="Times New Roman" w:hAnsi="Arial" w:cs="Arial"/>
          <w:bCs/>
          <w:iCs/>
          <w:sz w:val="24"/>
          <w:szCs w:val="24"/>
          <w:lang w:val="es-ES" w:eastAsia="es-ES"/>
        </w:rPr>
        <w:t>s</w:t>
      </w:r>
      <w:r>
        <w:rPr>
          <w:rFonts w:ascii="Arial" w:eastAsia="Times New Roman" w:hAnsi="Arial" w:cs="Arial"/>
          <w:bCs/>
          <w:iCs/>
          <w:sz w:val="24"/>
          <w:szCs w:val="24"/>
          <w:lang w:val="es-ES" w:eastAsia="es-ES"/>
        </w:rPr>
        <w:t xml:space="preserve"> pruebas </w:t>
      </w:r>
      <w:r w:rsidR="00142ABA">
        <w:rPr>
          <w:rFonts w:ascii="Arial" w:eastAsia="Times New Roman" w:hAnsi="Arial" w:cs="Arial"/>
          <w:bCs/>
          <w:iCs/>
          <w:sz w:val="24"/>
          <w:szCs w:val="24"/>
          <w:lang w:val="es-ES" w:eastAsia="es-ES"/>
        </w:rPr>
        <w:t xml:space="preserve">solicitadas </w:t>
      </w:r>
      <w:r>
        <w:rPr>
          <w:rFonts w:ascii="Arial" w:eastAsia="Times New Roman" w:hAnsi="Arial" w:cs="Arial"/>
          <w:bCs/>
          <w:iCs/>
          <w:sz w:val="24"/>
          <w:szCs w:val="24"/>
          <w:lang w:val="es-ES" w:eastAsia="es-ES"/>
        </w:rPr>
        <w:t xml:space="preserve">se decretaron en su totalidad, con excepción del testimonio de la señora Claudia Bertel, </w:t>
      </w:r>
      <w:r w:rsidR="008C326A">
        <w:rPr>
          <w:rFonts w:ascii="Arial" w:eastAsia="Times New Roman" w:hAnsi="Arial" w:cs="Arial"/>
          <w:bCs/>
          <w:iCs/>
          <w:sz w:val="24"/>
          <w:szCs w:val="24"/>
          <w:lang w:val="es-ES" w:eastAsia="es-ES"/>
        </w:rPr>
        <w:t xml:space="preserve">pedido inicialmente </w:t>
      </w:r>
      <w:r w:rsidR="006F50C8">
        <w:rPr>
          <w:rFonts w:ascii="Arial" w:eastAsia="Times New Roman" w:hAnsi="Arial" w:cs="Arial"/>
          <w:bCs/>
          <w:iCs/>
          <w:sz w:val="24"/>
          <w:szCs w:val="24"/>
          <w:lang w:val="es-ES" w:eastAsia="es-ES"/>
        </w:rPr>
        <w:t xml:space="preserve">por el distrito de Cartagena, por cuanto respecto de dicha </w:t>
      </w:r>
      <w:r>
        <w:rPr>
          <w:rFonts w:ascii="Arial" w:eastAsia="Times New Roman" w:hAnsi="Arial" w:cs="Arial"/>
          <w:bCs/>
          <w:iCs/>
          <w:sz w:val="24"/>
          <w:szCs w:val="24"/>
          <w:lang w:val="es-ES" w:eastAsia="es-ES"/>
        </w:rPr>
        <w:t xml:space="preserve">funcionaria de </w:t>
      </w:r>
      <w:r w:rsidR="00B45EB9">
        <w:rPr>
          <w:rFonts w:ascii="Arial" w:eastAsia="Times New Roman" w:hAnsi="Arial" w:cs="Arial"/>
          <w:bCs/>
          <w:iCs/>
          <w:sz w:val="24"/>
          <w:szCs w:val="24"/>
          <w:lang w:val="es-ES" w:eastAsia="es-ES"/>
        </w:rPr>
        <w:t xml:space="preserve">la </w:t>
      </w:r>
      <w:r>
        <w:rPr>
          <w:rFonts w:ascii="Arial" w:eastAsia="Times New Roman" w:hAnsi="Arial" w:cs="Arial"/>
          <w:bCs/>
          <w:iCs/>
          <w:sz w:val="24"/>
          <w:szCs w:val="24"/>
          <w:lang w:val="es-ES" w:eastAsia="es-ES"/>
        </w:rPr>
        <w:t xml:space="preserve">Fiduciaria La Previsora S.A. </w:t>
      </w:r>
      <w:r w:rsidR="006F50C8">
        <w:rPr>
          <w:rFonts w:ascii="Arial" w:eastAsia="Times New Roman" w:hAnsi="Arial" w:cs="Arial"/>
          <w:bCs/>
          <w:iCs/>
          <w:sz w:val="24"/>
          <w:szCs w:val="24"/>
          <w:lang w:val="es-ES" w:eastAsia="es-ES"/>
        </w:rPr>
        <w:t>no se suministraron los datos para la citación</w:t>
      </w:r>
      <w:r w:rsidR="00B45EB9">
        <w:rPr>
          <w:rFonts w:ascii="Arial" w:eastAsia="Times New Roman" w:hAnsi="Arial" w:cs="Arial"/>
          <w:bCs/>
          <w:iCs/>
          <w:sz w:val="24"/>
          <w:szCs w:val="24"/>
          <w:lang w:val="es-ES" w:eastAsia="es-ES"/>
        </w:rPr>
        <w:t>,</w:t>
      </w:r>
      <w:r w:rsidR="006F50C8">
        <w:rPr>
          <w:rFonts w:ascii="Arial" w:eastAsia="Times New Roman" w:hAnsi="Arial" w:cs="Arial"/>
          <w:bCs/>
          <w:iCs/>
          <w:sz w:val="24"/>
          <w:szCs w:val="24"/>
          <w:lang w:val="es-ES" w:eastAsia="es-ES"/>
        </w:rPr>
        <w:t xml:space="preserve"> ni se enunció el objeto de la prueba</w:t>
      </w:r>
      <w:r w:rsidR="006F50C8">
        <w:rPr>
          <w:rStyle w:val="Refdenotaalpie"/>
          <w:rFonts w:ascii="Arial" w:eastAsia="Times New Roman" w:hAnsi="Arial" w:cs="Arial"/>
          <w:bCs/>
          <w:iCs/>
          <w:sz w:val="24"/>
          <w:szCs w:val="24"/>
          <w:lang w:val="es-ES" w:eastAsia="es-ES"/>
        </w:rPr>
        <w:footnoteReference w:id="7"/>
      </w:r>
      <w:r w:rsidR="006F50C8">
        <w:rPr>
          <w:rFonts w:ascii="Arial" w:eastAsia="Times New Roman" w:hAnsi="Arial" w:cs="Arial"/>
          <w:bCs/>
          <w:iCs/>
          <w:sz w:val="24"/>
          <w:szCs w:val="24"/>
          <w:lang w:val="es-ES" w:eastAsia="es-ES"/>
        </w:rPr>
        <w:t>.</w:t>
      </w:r>
    </w:p>
    <w:p w14:paraId="185F1106" w14:textId="77777777" w:rsidR="005F4115" w:rsidRDefault="005F4115" w:rsidP="00FE0FF8">
      <w:pPr>
        <w:spacing w:line="360" w:lineRule="auto"/>
        <w:contextualSpacing/>
        <w:rPr>
          <w:rFonts w:ascii="Arial" w:eastAsia="Times New Roman" w:hAnsi="Arial" w:cs="Arial"/>
          <w:bCs/>
          <w:iCs/>
          <w:sz w:val="24"/>
          <w:szCs w:val="24"/>
          <w:lang w:val="es-ES" w:eastAsia="es-ES"/>
        </w:rPr>
      </w:pPr>
    </w:p>
    <w:p w14:paraId="121CC157" w14:textId="77777777" w:rsidR="001C3BBF" w:rsidRPr="00C9724F" w:rsidRDefault="001C3BBF" w:rsidP="00FE0FF8">
      <w:pPr>
        <w:spacing w:line="360" w:lineRule="auto"/>
        <w:contextualSpacing/>
        <w:rPr>
          <w:rFonts w:ascii="Arial" w:eastAsia="Times New Roman" w:hAnsi="Arial" w:cs="Arial"/>
          <w:b/>
          <w:sz w:val="24"/>
          <w:szCs w:val="24"/>
          <w:lang w:val="es-ES" w:eastAsia="es-ES"/>
        </w:rPr>
      </w:pPr>
      <w:r w:rsidRPr="00C9724F">
        <w:rPr>
          <w:rFonts w:ascii="Arial" w:eastAsia="Times New Roman" w:hAnsi="Arial" w:cs="Arial"/>
          <w:b/>
          <w:sz w:val="24"/>
          <w:szCs w:val="24"/>
          <w:lang w:val="es-ES" w:eastAsia="es-ES"/>
        </w:rPr>
        <w:t>4.</w:t>
      </w:r>
      <w:r w:rsidR="006D7B4F">
        <w:rPr>
          <w:rFonts w:ascii="Arial" w:eastAsia="Times New Roman" w:hAnsi="Arial" w:cs="Arial"/>
          <w:b/>
          <w:sz w:val="24"/>
          <w:szCs w:val="24"/>
          <w:lang w:val="es-ES" w:eastAsia="es-ES"/>
        </w:rPr>
        <w:t>4</w:t>
      </w:r>
      <w:r w:rsidRPr="00C9724F">
        <w:rPr>
          <w:rFonts w:ascii="Arial" w:eastAsia="Times New Roman" w:hAnsi="Arial" w:cs="Arial"/>
          <w:b/>
          <w:sz w:val="24"/>
          <w:szCs w:val="24"/>
          <w:lang w:val="es-ES" w:eastAsia="es-ES"/>
        </w:rPr>
        <w:t>.</w:t>
      </w:r>
      <w:r w:rsidRPr="00C9724F">
        <w:rPr>
          <w:rFonts w:ascii="Arial" w:eastAsia="Times New Roman" w:hAnsi="Arial" w:cs="Arial"/>
          <w:b/>
          <w:sz w:val="24"/>
          <w:szCs w:val="24"/>
          <w:lang w:val="es-ES" w:eastAsia="es-ES"/>
        </w:rPr>
        <w:tab/>
        <w:t>Contestación de la demanda</w:t>
      </w:r>
    </w:p>
    <w:p w14:paraId="7431D5E2" w14:textId="77777777" w:rsidR="001C3BBF" w:rsidRPr="00C9724F" w:rsidRDefault="001C3BBF" w:rsidP="00FE0FF8">
      <w:pPr>
        <w:spacing w:line="360" w:lineRule="auto"/>
        <w:rPr>
          <w:rFonts w:ascii="Arial" w:eastAsia="Times New Roman" w:hAnsi="Arial" w:cs="Arial"/>
          <w:b/>
          <w:bCs/>
          <w:iCs/>
          <w:sz w:val="24"/>
          <w:szCs w:val="24"/>
          <w:lang w:val="es-ES" w:eastAsia="es-ES"/>
        </w:rPr>
      </w:pPr>
    </w:p>
    <w:p w14:paraId="36E7308B" w14:textId="77777777" w:rsidR="00B45EB9" w:rsidRDefault="001C3BBF" w:rsidP="00FE0FF8">
      <w:pPr>
        <w:spacing w:line="360" w:lineRule="auto"/>
        <w:contextualSpacing/>
        <w:rPr>
          <w:rFonts w:ascii="Arial" w:eastAsia="Times New Roman" w:hAnsi="Arial" w:cs="Arial"/>
          <w:sz w:val="24"/>
          <w:szCs w:val="24"/>
          <w:lang w:val="es-ES" w:eastAsia="es-ES"/>
        </w:rPr>
      </w:pPr>
      <w:r w:rsidRPr="00C9724F">
        <w:rPr>
          <w:rFonts w:ascii="Arial" w:eastAsia="Times New Roman" w:hAnsi="Arial" w:cs="Arial"/>
          <w:sz w:val="24"/>
          <w:szCs w:val="24"/>
          <w:lang w:val="es-ES" w:eastAsia="es-ES"/>
        </w:rPr>
        <w:lastRenderedPageBreak/>
        <w:t xml:space="preserve">En la contestación </w:t>
      </w:r>
      <w:r w:rsidR="008518F4">
        <w:rPr>
          <w:rFonts w:ascii="Arial" w:eastAsia="Times New Roman" w:hAnsi="Arial" w:cs="Arial"/>
          <w:sz w:val="24"/>
          <w:szCs w:val="24"/>
          <w:lang w:val="es-ES" w:eastAsia="es-ES"/>
        </w:rPr>
        <w:t>de</w:t>
      </w:r>
      <w:r w:rsidRPr="00C9724F">
        <w:rPr>
          <w:rFonts w:ascii="Arial" w:eastAsia="Times New Roman" w:hAnsi="Arial" w:cs="Arial"/>
          <w:sz w:val="24"/>
          <w:szCs w:val="24"/>
          <w:lang w:val="es-ES" w:eastAsia="es-ES"/>
        </w:rPr>
        <w:t xml:space="preserve"> la demanda</w:t>
      </w:r>
      <w:r w:rsidR="001E25A6" w:rsidRPr="00C9724F">
        <w:rPr>
          <w:rFonts w:ascii="Arial" w:eastAsia="Times New Roman" w:hAnsi="Arial" w:cs="Arial"/>
          <w:sz w:val="24"/>
          <w:szCs w:val="24"/>
          <w:lang w:val="es-ES" w:eastAsia="es-ES"/>
        </w:rPr>
        <w:t>,</w:t>
      </w:r>
      <w:r w:rsidRPr="00C9724F">
        <w:rPr>
          <w:rFonts w:ascii="Arial" w:eastAsia="Times New Roman" w:hAnsi="Arial" w:cs="Arial"/>
          <w:sz w:val="24"/>
          <w:szCs w:val="24"/>
          <w:lang w:val="es-ES" w:eastAsia="es-ES"/>
        </w:rPr>
        <w:t xml:space="preserve"> </w:t>
      </w:r>
      <w:r w:rsidR="006D7B4F">
        <w:rPr>
          <w:rFonts w:ascii="Arial" w:eastAsia="Times New Roman" w:hAnsi="Arial" w:cs="Arial"/>
          <w:sz w:val="24"/>
          <w:szCs w:val="24"/>
          <w:lang w:val="es-ES" w:eastAsia="es-ES"/>
        </w:rPr>
        <w:t xml:space="preserve">el distrito de Cartagena </w:t>
      </w:r>
      <w:r w:rsidR="001E25A6" w:rsidRPr="00C9724F">
        <w:rPr>
          <w:rFonts w:ascii="Arial" w:eastAsia="Times New Roman" w:hAnsi="Arial" w:cs="Arial"/>
          <w:sz w:val="24"/>
          <w:szCs w:val="24"/>
          <w:lang w:val="es-ES" w:eastAsia="es-ES"/>
        </w:rPr>
        <w:t xml:space="preserve">aceptó </w:t>
      </w:r>
      <w:r w:rsidRPr="00C9724F">
        <w:rPr>
          <w:rFonts w:ascii="Arial" w:eastAsia="Times New Roman" w:hAnsi="Arial" w:cs="Arial"/>
          <w:sz w:val="24"/>
          <w:szCs w:val="24"/>
          <w:lang w:val="es-ES" w:eastAsia="es-ES"/>
        </w:rPr>
        <w:t>los hechos re</w:t>
      </w:r>
      <w:r w:rsidR="006D7B4F">
        <w:rPr>
          <w:rFonts w:ascii="Arial" w:eastAsia="Times New Roman" w:hAnsi="Arial" w:cs="Arial"/>
          <w:sz w:val="24"/>
          <w:szCs w:val="24"/>
          <w:lang w:val="es-ES" w:eastAsia="es-ES"/>
        </w:rPr>
        <w:t xml:space="preserve">feridos a que </w:t>
      </w:r>
      <w:r w:rsidR="00DE05DB">
        <w:rPr>
          <w:rFonts w:ascii="Arial" w:eastAsia="Times New Roman" w:hAnsi="Arial" w:cs="Arial"/>
          <w:sz w:val="24"/>
          <w:szCs w:val="24"/>
          <w:lang w:val="es-ES" w:eastAsia="es-ES"/>
        </w:rPr>
        <w:t xml:space="preserve">la </w:t>
      </w:r>
      <w:r w:rsidR="006D7B4F">
        <w:rPr>
          <w:rFonts w:ascii="Arial" w:eastAsia="Times New Roman" w:hAnsi="Arial" w:cs="Arial"/>
          <w:sz w:val="24"/>
          <w:szCs w:val="24"/>
          <w:lang w:val="es-ES" w:eastAsia="es-ES"/>
        </w:rPr>
        <w:t xml:space="preserve">Fiduciaria La Previsora S.A. efectuó </w:t>
      </w:r>
      <w:r w:rsidR="0031637C">
        <w:rPr>
          <w:rFonts w:ascii="Arial" w:eastAsia="Times New Roman" w:hAnsi="Arial" w:cs="Arial"/>
          <w:sz w:val="24"/>
          <w:szCs w:val="24"/>
          <w:lang w:val="es-ES" w:eastAsia="es-ES"/>
        </w:rPr>
        <w:t>una</w:t>
      </w:r>
      <w:r w:rsidR="006D7B4F">
        <w:rPr>
          <w:rFonts w:ascii="Arial" w:eastAsia="Times New Roman" w:hAnsi="Arial" w:cs="Arial"/>
          <w:sz w:val="24"/>
          <w:szCs w:val="24"/>
          <w:lang w:val="es-ES" w:eastAsia="es-ES"/>
        </w:rPr>
        <w:t xml:space="preserve"> invitación </w:t>
      </w:r>
      <w:r w:rsidR="00FD6AD4">
        <w:rPr>
          <w:rFonts w:ascii="Arial" w:eastAsia="Times New Roman" w:hAnsi="Arial" w:cs="Arial"/>
          <w:sz w:val="24"/>
          <w:szCs w:val="24"/>
          <w:lang w:val="es-ES" w:eastAsia="es-ES"/>
        </w:rPr>
        <w:t xml:space="preserve">pública para el cobro </w:t>
      </w:r>
      <w:proofErr w:type="spellStart"/>
      <w:r w:rsidR="00FD6AD4">
        <w:rPr>
          <w:rFonts w:ascii="Arial" w:eastAsia="Times New Roman" w:hAnsi="Arial" w:cs="Arial"/>
          <w:sz w:val="24"/>
          <w:szCs w:val="24"/>
          <w:lang w:val="es-ES" w:eastAsia="es-ES"/>
        </w:rPr>
        <w:t>prejurídico</w:t>
      </w:r>
      <w:proofErr w:type="spellEnd"/>
      <w:r w:rsidR="00FD6AD4">
        <w:rPr>
          <w:rFonts w:ascii="Arial" w:eastAsia="Times New Roman" w:hAnsi="Arial" w:cs="Arial"/>
          <w:sz w:val="24"/>
          <w:szCs w:val="24"/>
          <w:lang w:val="es-ES" w:eastAsia="es-ES"/>
        </w:rPr>
        <w:t xml:space="preserve"> y el cobro coactivo de la cartera tributaria del distrito. </w:t>
      </w:r>
    </w:p>
    <w:p w14:paraId="5E3E1EA2" w14:textId="77777777" w:rsidR="00B45EB9" w:rsidRDefault="00B45EB9" w:rsidP="00FE0FF8">
      <w:pPr>
        <w:spacing w:line="360" w:lineRule="auto"/>
        <w:contextualSpacing/>
        <w:rPr>
          <w:rFonts w:ascii="Arial" w:eastAsia="Times New Roman" w:hAnsi="Arial" w:cs="Arial"/>
          <w:sz w:val="24"/>
          <w:szCs w:val="24"/>
          <w:lang w:val="es-ES" w:eastAsia="es-ES"/>
        </w:rPr>
      </w:pPr>
    </w:p>
    <w:p w14:paraId="102A1A66" w14:textId="77777777" w:rsidR="005F4115" w:rsidRDefault="00FD6AD4" w:rsidP="00FE0FF8">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Indicó que </w:t>
      </w:r>
      <w:r w:rsidR="00ED11E9">
        <w:rPr>
          <w:rFonts w:ascii="Arial" w:eastAsia="Times New Roman" w:hAnsi="Arial" w:cs="Arial"/>
          <w:sz w:val="24"/>
          <w:szCs w:val="24"/>
          <w:lang w:val="es-ES" w:eastAsia="es-ES"/>
        </w:rPr>
        <w:t>no le constaban los hechos re</w:t>
      </w:r>
      <w:r w:rsidR="00B37312">
        <w:rPr>
          <w:rFonts w:ascii="Arial" w:eastAsia="Times New Roman" w:hAnsi="Arial" w:cs="Arial"/>
          <w:sz w:val="24"/>
          <w:szCs w:val="24"/>
          <w:lang w:val="es-ES" w:eastAsia="es-ES"/>
        </w:rPr>
        <w:t xml:space="preserve">lacionados </w:t>
      </w:r>
      <w:r w:rsidR="006F50C8">
        <w:rPr>
          <w:rFonts w:ascii="Arial" w:eastAsia="Times New Roman" w:hAnsi="Arial" w:cs="Arial"/>
          <w:sz w:val="24"/>
          <w:szCs w:val="24"/>
          <w:lang w:val="es-ES" w:eastAsia="es-ES"/>
        </w:rPr>
        <w:t xml:space="preserve">en el </w:t>
      </w:r>
      <w:r w:rsidR="00ED11E9">
        <w:rPr>
          <w:rFonts w:ascii="Arial" w:eastAsia="Times New Roman" w:hAnsi="Arial" w:cs="Arial"/>
          <w:sz w:val="24"/>
          <w:szCs w:val="24"/>
          <w:lang w:val="es-ES" w:eastAsia="es-ES"/>
        </w:rPr>
        <w:t>recurso de reposición y que</w:t>
      </w:r>
      <w:r w:rsidR="005F4115">
        <w:rPr>
          <w:rFonts w:ascii="Arial" w:eastAsia="Times New Roman" w:hAnsi="Arial" w:cs="Arial"/>
          <w:sz w:val="24"/>
          <w:szCs w:val="24"/>
          <w:lang w:val="es-ES" w:eastAsia="es-ES"/>
        </w:rPr>
        <w:t xml:space="preserve"> solo </w:t>
      </w:r>
      <w:r w:rsidR="00ED11E9">
        <w:rPr>
          <w:rFonts w:ascii="Arial" w:eastAsia="Times New Roman" w:hAnsi="Arial" w:cs="Arial"/>
          <w:sz w:val="24"/>
          <w:szCs w:val="24"/>
          <w:lang w:val="es-ES" w:eastAsia="es-ES"/>
        </w:rPr>
        <w:t xml:space="preserve">se </w:t>
      </w:r>
      <w:r>
        <w:rPr>
          <w:rFonts w:ascii="Arial" w:eastAsia="Times New Roman" w:hAnsi="Arial" w:cs="Arial"/>
          <w:sz w:val="24"/>
          <w:szCs w:val="24"/>
          <w:lang w:val="es-ES" w:eastAsia="es-ES"/>
        </w:rPr>
        <w:t>aten</w:t>
      </w:r>
      <w:r w:rsidR="00ED11E9">
        <w:rPr>
          <w:rFonts w:ascii="Arial" w:eastAsia="Times New Roman" w:hAnsi="Arial" w:cs="Arial"/>
          <w:sz w:val="24"/>
          <w:szCs w:val="24"/>
          <w:lang w:val="es-ES" w:eastAsia="es-ES"/>
        </w:rPr>
        <w:t xml:space="preserve">dría </w:t>
      </w:r>
      <w:r>
        <w:rPr>
          <w:rFonts w:ascii="Arial" w:eastAsia="Times New Roman" w:hAnsi="Arial" w:cs="Arial"/>
          <w:sz w:val="24"/>
          <w:szCs w:val="24"/>
          <w:lang w:val="es-ES" w:eastAsia="es-ES"/>
        </w:rPr>
        <w:t xml:space="preserve">a lo que se llegara a probar </w:t>
      </w:r>
      <w:r w:rsidR="005F4115">
        <w:rPr>
          <w:rFonts w:ascii="Arial" w:eastAsia="Times New Roman" w:hAnsi="Arial" w:cs="Arial"/>
          <w:sz w:val="24"/>
          <w:szCs w:val="24"/>
          <w:lang w:val="es-ES" w:eastAsia="es-ES"/>
        </w:rPr>
        <w:t xml:space="preserve">en relación con </w:t>
      </w:r>
      <w:r>
        <w:rPr>
          <w:rFonts w:ascii="Arial" w:eastAsia="Times New Roman" w:hAnsi="Arial" w:cs="Arial"/>
          <w:sz w:val="24"/>
          <w:szCs w:val="24"/>
          <w:lang w:val="es-ES" w:eastAsia="es-ES"/>
        </w:rPr>
        <w:t>los juicios</w:t>
      </w:r>
      <w:r w:rsidR="00ED11E9">
        <w:rPr>
          <w:rFonts w:ascii="Arial" w:eastAsia="Times New Roman" w:hAnsi="Arial" w:cs="Arial"/>
          <w:sz w:val="24"/>
          <w:szCs w:val="24"/>
          <w:lang w:val="es-ES" w:eastAsia="es-ES"/>
        </w:rPr>
        <w:t xml:space="preserve">, valoraciones y conceptos que la </w:t>
      </w:r>
      <w:r w:rsidR="005F4115">
        <w:rPr>
          <w:rFonts w:ascii="Arial" w:eastAsia="Times New Roman" w:hAnsi="Arial" w:cs="Arial"/>
          <w:sz w:val="24"/>
          <w:szCs w:val="24"/>
          <w:lang w:val="es-ES" w:eastAsia="es-ES"/>
        </w:rPr>
        <w:t xml:space="preserve">parte actora expresó en la demanda. </w:t>
      </w:r>
    </w:p>
    <w:p w14:paraId="3A4383F6" w14:textId="77777777" w:rsidR="005F4115" w:rsidRDefault="005F4115" w:rsidP="00FE0FF8">
      <w:pPr>
        <w:spacing w:line="360" w:lineRule="auto"/>
        <w:contextualSpacing/>
        <w:rPr>
          <w:rFonts w:ascii="Arial" w:eastAsia="Times New Roman" w:hAnsi="Arial" w:cs="Arial"/>
          <w:sz w:val="24"/>
          <w:szCs w:val="24"/>
          <w:lang w:val="es-ES" w:eastAsia="es-ES"/>
        </w:rPr>
      </w:pPr>
    </w:p>
    <w:p w14:paraId="4B2A4417" w14:textId="77777777" w:rsidR="0031637C" w:rsidRDefault="0031637C" w:rsidP="00FE0FF8">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Como consecuencia, el distrito </w:t>
      </w:r>
      <w:r w:rsidR="005F4115">
        <w:rPr>
          <w:rFonts w:ascii="Arial" w:eastAsia="Times New Roman" w:hAnsi="Arial" w:cs="Arial"/>
          <w:sz w:val="24"/>
          <w:szCs w:val="24"/>
          <w:lang w:val="es-ES" w:eastAsia="es-ES"/>
        </w:rPr>
        <w:t xml:space="preserve">de Cartagena </w:t>
      </w:r>
      <w:r>
        <w:rPr>
          <w:rFonts w:ascii="Arial" w:eastAsia="Times New Roman" w:hAnsi="Arial" w:cs="Arial"/>
          <w:sz w:val="24"/>
          <w:szCs w:val="24"/>
          <w:lang w:val="es-ES" w:eastAsia="es-ES"/>
        </w:rPr>
        <w:t xml:space="preserve">rechazó las pretensiones presentadas por la demandante. </w:t>
      </w:r>
    </w:p>
    <w:p w14:paraId="2F830A63" w14:textId="77777777" w:rsidR="0031637C" w:rsidRDefault="0031637C" w:rsidP="00FE0FF8">
      <w:pPr>
        <w:spacing w:line="360" w:lineRule="auto"/>
        <w:contextualSpacing/>
        <w:rPr>
          <w:rFonts w:ascii="Arial" w:eastAsia="Times New Roman" w:hAnsi="Arial" w:cs="Arial"/>
          <w:sz w:val="24"/>
          <w:szCs w:val="24"/>
          <w:lang w:val="es-ES" w:eastAsia="es-ES"/>
        </w:rPr>
      </w:pPr>
    </w:p>
    <w:p w14:paraId="51323E3F" w14:textId="77777777" w:rsidR="009A20DB" w:rsidRDefault="0031637C" w:rsidP="00FE0FF8">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distrito </w:t>
      </w:r>
      <w:r w:rsidR="00DE05DB">
        <w:rPr>
          <w:rFonts w:ascii="Arial" w:eastAsia="Times New Roman" w:hAnsi="Arial" w:cs="Arial"/>
          <w:sz w:val="24"/>
          <w:szCs w:val="24"/>
          <w:lang w:val="es-ES" w:eastAsia="es-ES"/>
        </w:rPr>
        <w:t xml:space="preserve">interpuso </w:t>
      </w:r>
      <w:r w:rsidR="001C3BBF" w:rsidRPr="00C9724F">
        <w:rPr>
          <w:rFonts w:ascii="Arial" w:eastAsia="Times New Roman" w:hAnsi="Arial" w:cs="Arial"/>
          <w:sz w:val="24"/>
          <w:szCs w:val="24"/>
          <w:lang w:val="es-ES" w:eastAsia="es-ES"/>
        </w:rPr>
        <w:t xml:space="preserve">las </w:t>
      </w:r>
      <w:r w:rsidR="001D7C37">
        <w:rPr>
          <w:rFonts w:ascii="Arial" w:eastAsia="Times New Roman" w:hAnsi="Arial" w:cs="Arial"/>
          <w:sz w:val="24"/>
          <w:szCs w:val="24"/>
          <w:lang w:val="es-ES" w:eastAsia="es-ES"/>
        </w:rPr>
        <w:t xml:space="preserve">siguientes </w:t>
      </w:r>
      <w:r w:rsidR="001C3BBF" w:rsidRPr="00DB7F1A">
        <w:rPr>
          <w:rFonts w:ascii="Arial" w:eastAsia="Times New Roman" w:hAnsi="Arial" w:cs="Arial"/>
          <w:b/>
          <w:sz w:val="24"/>
          <w:szCs w:val="24"/>
          <w:lang w:val="es-ES" w:eastAsia="es-ES"/>
        </w:rPr>
        <w:t>excepciones</w:t>
      </w:r>
      <w:r w:rsidR="001D7C37" w:rsidRPr="001D7C37">
        <w:rPr>
          <w:rFonts w:ascii="Arial" w:eastAsia="Times New Roman" w:hAnsi="Arial" w:cs="Arial"/>
          <w:sz w:val="24"/>
          <w:szCs w:val="24"/>
          <w:lang w:val="es-ES" w:eastAsia="es-ES"/>
        </w:rPr>
        <w:t>:</w:t>
      </w:r>
      <w:r w:rsidR="001C3BBF" w:rsidRPr="00DB7F1A">
        <w:rPr>
          <w:rFonts w:ascii="Arial" w:eastAsia="Times New Roman" w:hAnsi="Arial" w:cs="Arial"/>
          <w:b/>
          <w:sz w:val="24"/>
          <w:szCs w:val="24"/>
          <w:lang w:val="es-ES" w:eastAsia="es-ES"/>
        </w:rPr>
        <w:t xml:space="preserve"> </w:t>
      </w:r>
      <w:r w:rsidR="001C3BBF" w:rsidRPr="00C9724F">
        <w:rPr>
          <w:rFonts w:ascii="Arial" w:eastAsia="Times New Roman" w:hAnsi="Arial" w:cs="Arial"/>
          <w:b/>
          <w:sz w:val="24"/>
          <w:szCs w:val="24"/>
          <w:lang w:val="es-ES" w:eastAsia="es-ES"/>
        </w:rPr>
        <w:t>i)</w:t>
      </w:r>
      <w:r w:rsidR="001C3BBF" w:rsidRPr="00C9724F">
        <w:rPr>
          <w:rFonts w:ascii="Arial" w:eastAsia="Times New Roman" w:hAnsi="Arial" w:cs="Arial"/>
          <w:sz w:val="24"/>
          <w:szCs w:val="24"/>
          <w:lang w:val="es-ES" w:eastAsia="es-ES"/>
        </w:rPr>
        <w:t xml:space="preserve"> </w:t>
      </w:r>
      <w:r w:rsidR="00B37312">
        <w:rPr>
          <w:rFonts w:ascii="Arial" w:eastAsia="Times New Roman" w:hAnsi="Arial" w:cs="Arial"/>
          <w:sz w:val="24"/>
          <w:szCs w:val="24"/>
          <w:lang w:val="es-ES" w:eastAsia="es-ES"/>
        </w:rPr>
        <w:t xml:space="preserve">la parte actora </w:t>
      </w:r>
      <w:r>
        <w:rPr>
          <w:rFonts w:ascii="Arial" w:eastAsia="Times New Roman" w:hAnsi="Arial" w:cs="Arial"/>
          <w:sz w:val="24"/>
          <w:szCs w:val="24"/>
          <w:lang w:val="es-ES" w:eastAsia="es-ES"/>
        </w:rPr>
        <w:t>no determin</w:t>
      </w:r>
      <w:r w:rsidR="001D7C37">
        <w:rPr>
          <w:rFonts w:ascii="Arial" w:eastAsia="Times New Roman" w:hAnsi="Arial" w:cs="Arial"/>
          <w:sz w:val="24"/>
          <w:szCs w:val="24"/>
          <w:lang w:val="es-ES" w:eastAsia="es-ES"/>
        </w:rPr>
        <w:t>ó</w:t>
      </w:r>
      <w:r>
        <w:rPr>
          <w:rFonts w:ascii="Arial" w:eastAsia="Times New Roman" w:hAnsi="Arial" w:cs="Arial"/>
          <w:sz w:val="24"/>
          <w:szCs w:val="24"/>
          <w:lang w:val="es-ES" w:eastAsia="es-ES"/>
        </w:rPr>
        <w:t xml:space="preserve"> lo</w:t>
      </w:r>
      <w:r w:rsidR="00E635AC">
        <w:rPr>
          <w:rFonts w:ascii="Arial" w:eastAsia="Times New Roman" w:hAnsi="Arial" w:cs="Arial"/>
          <w:sz w:val="24"/>
          <w:szCs w:val="24"/>
          <w:lang w:val="es-ES" w:eastAsia="es-ES"/>
        </w:rPr>
        <w:t>s supuestos jurídicos y de hecho para concluir que el acto administrativo debe ser declarado nulo</w:t>
      </w:r>
      <w:r w:rsidR="00284B62" w:rsidRPr="00C9724F">
        <w:rPr>
          <w:rFonts w:ascii="Arial" w:eastAsia="Times New Roman" w:hAnsi="Arial" w:cs="Arial"/>
          <w:sz w:val="24"/>
          <w:szCs w:val="24"/>
          <w:lang w:val="es-ES" w:eastAsia="es-ES"/>
        </w:rPr>
        <w:t>;</w:t>
      </w:r>
      <w:r w:rsidR="00F01160" w:rsidRPr="00C9724F">
        <w:rPr>
          <w:rFonts w:ascii="Arial" w:eastAsia="Times New Roman" w:hAnsi="Arial" w:cs="Arial"/>
          <w:sz w:val="24"/>
          <w:szCs w:val="24"/>
          <w:lang w:val="es-ES" w:eastAsia="es-ES"/>
        </w:rPr>
        <w:t xml:space="preserve"> </w:t>
      </w:r>
      <w:r w:rsidR="00B75073" w:rsidRPr="00C9724F">
        <w:rPr>
          <w:rFonts w:ascii="Arial" w:eastAsia="Times New Roman" w:hAnsi="Arial" w:cs="Arial"/>
          <w:b/>
          <w:sz w:val="24"/>
          <w:szCs w:val="24"/>
          <w:lang w:val="es-ES" w:eastAsia="es-ES"/>
        </w:rPr>
        <w:t>ii</w:t>
      </w:r>
      <w:r w:rsidR="00F01160" w:rsidRPr="00C9724F">
        <w:rPr>
          <w:rFonts w:ascii="Arial" w:eastAsia="Times New Roman" w:hAnsi="Arial" w:cs="Arial"/>
          <w:b/>
          <w:sz w:val="24"/>
          <w:szCs w:val="24"/>
          <w:lang w:val="es-ES" w:eastAsia="es-ES"/>
        </w:rPr>
        <w:t>)</w:t>
      </w:r>
      <w:r w:rsidR="00F01160" w:rsidRPr="00C9724F">
        <w:rPr>
          <w:rFonts w:ascii="Arial" w:eastAsia="Times New Roman" w:hAnsi="Arial" w:cs="Arial"/>
          <w:sz w:val="24"/>
          <w:szCs w:val="24"/>
          <w:lang w:val="es-ES" w:eastAsia="es-ES"/>
        </w:rPr>
        <w:t xml:space="preserve"> </w:t>
      </w:r>
      <w:r w:rsidR="00E635AC">
        <w:rPr>
          <w:rFonts w:ascii="Arial" w:eastAsia="Times New Roman" w:hAnsi="Arial" w:cs="Arial"/>
          <w:sz w:val="24"/>
          <w:szCs w:val="24"/>
          <w:lang w:val="es-ES" w:eastAsia="es-ES"/>
        </w:rPr>
        <w:t xml:space="preserve">la declaratoria de desierta puede adoptarse por razones de conveniencia, de tal suerte </w:t>
      </w:r>
      <w:proofErr w:type="gramStart"/>
      <w:r w:rsidR="00E635AC">
        <w:rPr>
          <w:rFonts w:ascii="Arial" w:eastAsia="Times New Roman" w:hAnsi="Arial" w:cs="Arial"/>
          <w:sz w:val="24"/>
          <w:szCs w:val="24"/>
          <w:lang w:val="es-ES" w:eastAsia="es-ES"/>
        </w:rPr>
        <w:t>que</w:t>
      </w:r>
      <w:proofErr w:type="gramEnd"/>
      <w:r w:rsidR="00E635AC">
        <w:rPr>
          <w:rFonts w:ascii="Arial" w:eastAsia="Times New Roman" w:hAnsi="Arial" w:cs="Arial"/>
          <w:sz w:val="24"/>
          <w:szCs w:val="24"/>
          <w:lang w:val="es-ES" w:eastAsia="es-ES"/>
        </w:rPr>
        <w:t xml:space="preserve"> </w:t>
      </w:r>
      <w:r w:rsidR="009A20DB">
        <w:rPr>
          <w:rFonts w:ascii="Arial" w:eastAsia="Times New Roman" w:hAnsi="Arial" w:cs="Arial"/>
          <w:sz w:val="24"/>
          <w:szCs w:val="24"/>
          <w:lang w:val="es-ES" w:eastAsia="es-ES"/>
        </w:rPr>
        <w:t xml:space="preserve">habiendo </w:t>
      </w:r>
      <w:r w:rsidR="00E635AC">
        <w:rPr>
          <w:rFonts w:ascii="Arial" w:eastAsia="Times New Roman" w:hAnsi="Arial" w:cs="Arial"/>
          <w:sz w:val="24"/>
          <w:szCs w:val="24"/>
          <w:lang w:val="es-ES" w:eastAsia="es-ES"/>
        </w:rPr>
        <w:t>motivado el acto administrativo, el distrito no hizo sino extender mayores garantía</w:t>
      </w:r>
      <w:r w:rsidR="001D7C37">
        <w:rPr>
          <w:rFonts w:ascii="Arial" w:eastAsia="Times New Roman" w:hAnsi="Arial" w:cs="Arial"/>
          <w:sz w:val="24"/>
          <w:szCs w:val="24"/>
          <w:lang w:val="es-ES" w:eastAsia="es-ES"/>
        </w:rPr>
        <w:t>s</w:t>
      </w:r>
      <w:r w:rsidR="00E635AC">
        <w:rPr>
          <w:rFonts w:ascii="Arial" w:eastAsia="Times New Roman" w:hAnsi="Arial" w:cs="Arial"/>
          <w:sz w:val="24"/>
          <w:szCs w:val="24"/>
          <w:lang w:val="es-ES" w:eastAsia="es-ES"/>
        </w:rPr>
        <w:t xml:space="preserve"> a los licitadores. </w:t>
      </w:r>
    </w:p>
    <w:p w14:paraId="0F8ADF44" w14:textId="77777777" w:rsidR="009A20DB" w:rsidRDefault="009A20DB" w:rsidP="00FE0FF8">
      <w:pPr>
        <w:spacing w:line="360" w:lineRule="auto"/>
        <w:contextualSpacing/>
        <w:rPr>
          <w:rFonts w:ascii="Arial" w:eastAsia="Times New Roman" w:hAnsi="Arial" w:cs="Arial"/>
          <w:sz w:val="24"/>
          <w:szCs w:val="24"/>
          <w:lang w:val="es-ES" w:eastAsia="es-ES"/>
        </w:rPr>
      </w:pPr>
    </w:p>
    <w:p w14:paraId="5DA3E827" w14:textId="77777777" w:rsidR="00BF40D2" w:rsidRDefault="00B45EB9" w:rsidP="00FE0FF8">
      <w:pPr>
        <w:spacing w:line="360"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Destacó </w:t>
      </w:r>
      <w:r w:rsidR="001D7C37">
        <w:rPr>
          <w:rFonts w:ascii="Arial" w:eastAsia="Times New Roman" w:hAnsi="Arial" w:cs="Arial"/>
          <w:sz w:val="24"/>
          <w:szCs w:val="24"/>
          <w:lang w:val="es-ES" w:eastAsia="es-ES"/>
        </w:rPr>
        <w:t>que la ahora demandante in</w:t>
      </w:r>
      <w:r w:rsidR="008C326A">
        <w:rPr>
          <w:rFonts w:ascii="Arial" w:eastAsia="Times New Roman" w:hAnsi="Arial" w:cs="Arial"/>
          <w:sz w:val="24"/>
          <w:szCs w:val="24"/>
          <w:lang w:val="es-ES" w:eastAsia="es-ES"/>
        </w:rPr>
        <w:t xml:space="preserve">dicó </w:t>
      </w:r>
      <w:r w:rsidR="001D7C37">
        <w:rPr>
          <w:rFonts w:ascii="Arial" w:eastAsia="Times New Roman" w:hAnsi="Arial" w:cs="Arial"/>
          <w:sz w:val="24"/>
          <w:szCs w:val="24"/>
          <w:lang w:val="es-ES" w:eastAsia="es-ES"/>
        </w:rPr>
        <w:t xml:space="preserve">a la </w:t>
      </w:r>
      <w:r>
        <w:rPr>
          <w:rFonts w:ascii="Arial" w:eastAsia="Times New Roman" w:hAnsi="Arial" w:cs="Arial"/>
          <w:sz w:val="24"/>
          <w:szCs w:val="24"/>
          <w:lang w:val="es-ES" w:eastAsia="es-ES"/>
        </w:rPr>
        <w:t>f</w:t>
      </w:r>
      <w:r w:rsidR="001D7C37">
        <w:rPr>
          <w:rFonts w:ascii="Arial" w:eastAsia="Times New Roman" w:hAnsi="Arial" w:cs="Arial"/>
          <w:sz w:val="24"/>
          <w:szCs w:val="24"/>
          <w:lang w:val="es-ES" w:eastAsia="es-ES"/>
        </w:rPr>
        <w:t xml:space="preserve">iduciaria y a la </w:t>
      </w:r>
      <w:r>
        <w:rPr>
          <w:rFonts w:ascii="Arial" w:eastAsia="Times New Roman" w:hAnsi="Arial" w:cs="Arial"/>
          <w:sz w:val="24"/>
          <w:szCs w:val="24"/>
          <w:lang w:val="es-ES" w:eastAsia="es-ES"/>
        </w:rPr>
        <w:t>a</w:t>
      </w:r>
      <w:r w:rsidR="001D7C37">
        <w:rPr>
          <w:rFonts w:ascii="Arial" w:eastAsia="Times New Roman" w:hAnsi="Arial" w:cs="Arial"/>
          <w:sz w:val="24"/>
          <w:szCs w:val="24"/>
          <w:lang w:val="es-ES" w:eastAsia="es-ES"/>
        </w:rPr>
        <w:t>dministración</w:t>
      </w:r>
      <w:r>
        <w:rPr>
          <w:rFonts w:ascii="Arial" w:eastAsia="Times New Roman" w:hAnsi="Arial" w:cs="Arial"/>
          <w:sz w:val="24"/>
          <w:szCs w:val="24"/>
          <w:lang w:val="es-ES" w:eastAsia="es-ES"/>
        </w:rPr>
        <w:t xml:space="preserve"> distrital </w:t>
      </w:r>
      <w:r w:rsidR="001D7C37">
        <w:rPr>
          <w:rFonts w:ascii="Arial" w:eastAsia="Times New Roman" w:hAnsi="Arial" w:cs="Arial"/>
          <w:sz w:val="24"/>
          <w:szCs w:val="24"/>
          <w:lang w:val="es-ES" w:eastAsia="es-ES"/>
        </w:rPr>
        <w:t>que las pr</w:t>
      </w:r>
      <w:r w:rsidR="00BF40D2">
        <w:rPr>
          <w:rFonts w:ascii="Arial" w:eastAsia="Times New Roman" w:hAnsi="Arial" w:cs="Arial"/>
          <w:sz w:val="24"/>
          <w:szCs w:val="24"/>
          <w:lang w:val="es-ES" w:eastAsia="es-ES"/>
        </w:rPr>
        <w:t>op</w:t>
      </w:r>
      <w:r w:rsidR="001D7C37">
        <w:rPr>
          <w:rFonts w:ascii="Arial" w:eastAsia="Times New Roman" w:hAnsi="Arial" w:cs="Arial"/>
          <w:sz w:val="24"/>
          <w:szCs w:val="24"/>
          <w:lang w:val="es-ES" w:eastAsia="es-ES"/>
        </w:rPr>
        <w:t xml:space="preserve">uestas se dieron a conocer antes de </w:t>
      </w:r>
      <w:r w:rsidR="00BF40D2">
        <w:rPr>
          <w:rFonts w:ascii="Arial" w:eastAsia="Times New Roman" w:hAnsi="Arial" w:cs="Arial"/>
          <w:sz w:val="24"/>
          <w:szCs w:val="24"/>
          <w:lang w:val="es-ES" w:eastAsia="es-ES"/>
        </w:rPr>
        <w:t xml:space="preserve">ser publicadas, lo cual </w:t>
      </w:r>
      <w:r>
        <w:rPr>
          <w:rFonts w:ascii="Arial" w:eastAsia="Times New Roman" w:hAnsi="Arial" w:cs="Arial"/>
          <w:sz w:val="24"/>
          <w:szCs w:val="24"/>
          <w:lang w:val="es-ES" w:eastAsia="es-ES"/>
        </w:rPr>
        <w:t xml:space="preserve">se debe </w:t>
      </w:r>
      <w:r w:rsidR="006F50C8">
        <w:rPr>
          <w:rFonts w:ascii="Arial" w:eastAsia="Times New Roman" w:hAnsi="Arial" w:cs="Arial"/>
          <w:sz w:val="24"/>
          <w:szCs w:val="24"/>
          <w:lang w:val="es-ES" w:eastAsia="es-ES"/>
        </w:rPr>
        <w:t xml:space="preserve">someter al </w:t>
      </w:r>
      <w:r w:rsidR="00BF40D2">
        <w:rPr>
          <w:rFonts w:ascii="Arial" w:eastAsia="Times New Roman" w:hAnsi="Arial" w:cs="Arial"/>
          <w:sz w:val="24"/>
          <w:szCs w:val="24"/>
          <w:lang w:val="es-ES" w:eastAsia="es-ES"/>
        </w:rPr>
        <w:t xml:space="preserve">respectivo </w:t>
      </w:r>
      <w:r w:rsidR="00645402">
        <w:rPr>
          <w:rFonts w:ascii="Arial" w:eastAsia="Times New Roman" w:hAnsi="Arial" w:cs="Arial"/>
          <w:sz w:val="24"/>
          <w:szCs w:val="24"/>
          <w:lang w:val="es-ES" w:eastAsia="es-ES"/>
        </w:rPr>
        <w:t>debate</w:t>
      </w:r>
      <w:r w:rsidR="00940639">
        <w:rPr>
          <w:rFonts w:ascii="Arial" w:eastAsia="Times New Roman" w:hAnsi="Arial" w:cs="Arial"/>
          <w:sz w:val="24"/>
          <w:szCs w:val="24"/>
          <w:lang w:val="es-ES" w:eastAsia="es-ES"/>
        </w:rPr>
        <w:t xml:space="preserve"> en</w:t>
      </w:r>
      <w:r w:rsidR="009A20DB">
        <w:rPr>
          <w:rFonts w:ascii="Arial" w:eastAsia="Times New Roman" w:hAnsi="Arial" w:cs="Arial"/>
          <w:sz w:val="24"/>
          <w:szCs w:val="24"/>
          <w:lang w:val="es-ES" w:eastAsia="es-ES"/>
        </w:rPr>
        <w:t xml:space="preserve"> el presente proceso</w:t>
      </w:r>
      <w:r w:rsidR="008C326A">
        <w:rPr>
          <w:rStyle w:val="Refdenotaalpie"/>
          <w:rFonts w:ascii="Arial" w:eastAsia="Times New Roman" w:hAnsi="Arial" w:cs="Arial"/>
          <w:sz w:val="24"/>
          <w:szCs w:val="24"/>
          <w:lang w:val="es-ES" w:eastAsia="es-ES"/>
        </w:rPr>
        <w:footnoteReference w:id="8"/>
      </w:r>
      <w:r w:rsidR="00BF40D2">
        <w:rPr>
          <w:rFonts w:ascii="Arial" w:eastAsia="Times New Roman" w:hAnsi="Arial" w:cs="Arial"/>
          <w:sz w:val="24"/>
          <w:szCs w:val="24"/>
          <w:lang w:val="es-ES" w:eastAsia="es-ES"/>
        </w:rPr>
        <w:t xml:space="preserve">. </w:t>
      </w:r>
    </w:p>
    <w:p w14:paraId="740DFFB3" w14:textId="77777777" w:rsidR="00BF40D2" w:rsidRDefault="00BF40D2" w:rsidP="00FE0FF8">
      <w:pPr>
        <w:spacing w:line="360" w:lineRule="auto"/>
        <w:contextualSpacing/>
        <w:rPr>
          <w:rFonts w:ascii="Arial" w:eastAsia="Times New Roman" w:hAnsi="Arial" w:cs="Arial"/>
          <w:sz w:val="24"/>
          <w:szCs w:val="24"/>
          <w:lang w:val="es-ES" w:eastAsia="es-ES"/>
        </w:rPr>
      </w:pPr>
    </w:p>
    <w:p w14:paraId="58176692" w14:textId="77777777" w:rsidR="00F82A7F" w:rsidRDefault="003F71A9" w:rsidP="00FE0FF8">
      <w:pPr>
        <w:spacing w:line="360" w:lineRule="auto"/>
        <w:contextualSpacing/>
        <w:rPr>
          <w:rFonts w:ascii="Arial" w:eastAsia="Times New Roman" w:hAnsi="Arial" w:cs="Arial"/>
          <w:sz w:val="24"/>
          <w:szCs w:val="24"/>
          <w:lang w:val="es-ES" w:eastAsia="es-ES"/>
        </w:rPr>
      </w:pPr>
      <w:r w:rsidRPr="00B45EB9">
        <w:rPr>
          <w:rFonts w:ascii="Arial" w:eastAsia="Times New Roman" w:hAnsi="Arial" w:cs="Arial"/>
          <w:b/>
          <w:sz w:val="24"/>
          <w:szCs w:val="24"/>
          <w:lang w:val="es-ES" w:eastAsia="es-ES"/>
        </w:rPr>
        <w:t>4.5.</w:t>
      </w:r>
      <w:r>
        <w:rPr>
          <w:rFonts w:ascii="Arial" w:eastAsia="Times New Roman" w:hAnsi="Arial" w:cs="Arial"/>
          <w:sz w:val="24"/>
          <w:szCs w:val="24"/>
          <w:lang w:val="es-ES" w:eastAsia="es-ES"/>
        </w:rPr>
        <w:t xml:space="preserve"> </w:t>
      </w:r>
      <w:r w:rsidR="00751170">
        <w:rPr>
          <w:rFonts w:ascii="Arial" w:eastAsia="Times New Roman" w:hAnsi="Arial" w:cs="Arial"/>
          <w:sz w:val="24"/>
          <w:szCs w:val="24"/>
          <w:lang w:val="es-ES" w:eastAsia="es-ES"/>
        </w:rPr>
        <w:tab/>
      </w:r>
      <w:r>
        <w:rPr>
          <w:rFonts w:ascii="Arial" w:eastAsia="Times New Roman" w:hAnsi="Arial" w:cs="Arial"/>
          <w:sz w:val="24"/>
          <w:szCs w:val="24"/>
          <w:lang w:val="es-ES" w:eastAsia="es-ES"/>
        </w:rPr>
        <w:t xml:space="preserve">Mediante auto de 15 de </w:t>
      </w:r>
      <w:r w:rsidR="003759DB">
        <w:rPr>
          <w:rFonts w:ascii="Arial" w:eastAsia="Times New Roman" w:hAnsi="Arial" w:cs="Arial"/>
          <w:sz w:val="24"/>
          <w:szCs w:val="24"/>
          <w:lang w:val="es-ES" w:eastAsia="es-ES"/>
        </w:rPr>
        <w:t xml:space="preserve">diciembre de </w:t>
      </w:r>
      <w:r>
        <w:rPr>
          <w:rFonts w:ascii="Arial" w:eastAsia="Times New Roman" w:hAnsi="Arial" w:cs="Arial"/>
          <w:sz w:val="24"/>
          <w:szCs w:val="24"/>
          <w:lang w:val="es-ES" w:eastAsia="es-ES"/>
        </w:rPr>
        <w:t xml:space="preserve">2011 </w:t>
      </w:r>
      <w:r w:rsidR="008C326A">
        <w:rPr>
          <w:rFonts w:ascii="Arial" w:eastAsia="Times New Roman" w:hAnsi="Arial" w:cs="Arial"/>
          <w:sz w:val="24"/>
          <w:szCs w:val="24"/>
          <w:lang w:val="es-ES" w:eastAsia="es-ES"/>
        </w:rPr>
        <w:t>el despacho 001 de descongestión</w:t>
      </w:r>
      <w:r>
        <w:rPr>
          <w:rFonts w:ascii="Arial" w:eastAsia="Times New Roman" w:hAnsi="Arial" w:cs="Arial"/>
          <w:sz w:val="24"/>
          <w:szCs w:val="24"/>
          <w:lang w:val="es-ES" w:eastAsia="es-ES"/>
        </w:rPr>
        <w:t xml:space="preserve"> del Tribunal Administrativo de Bolívar avocó conocimiento del </w:t>
      </w:r>
      <w:r w:rsidR="00F82A7F">
        <w:rPr>
          <w:rFonts w:ascii="Arial" w:eastAsia="Times New Roman" w:hAnsi="Arial" w:cs="Arial"/>
          <w:sz w:val="24"/>
          <w:szCs w:val="24"/>
          <w:lang w:val="es-ES" w:eastAsia="es-ES"/>
        </w:rPr>
        <w:t xml:space="preserve">proceso, en cumplimiento del Acuerdo PSAA 83427 de julio 29 de 2011, de </w:t>
      </w:r>
      <w:r w:rsidR="009A20DB">
        <w:rPr>
          <w:rFonts w:ascii="Arial" w:eastAsia="Times New Roman" w:hAnsi="Arial" w:cs="Arial"/>
          <w:sz w:val="24"/>
          <w:szCs w:val="24"/>
          <w:lang w:val="es-ES" w:eastAsia="es-ES"/>
        </w:rPr>
        <w:t xml:space="preserve">conformidad </w:t>
      </w:r>
      <w:r w:rsidR="00F82A7F">
        <w:rPr>
          <w:rFonts w:ascii="Arial" w:eastAsia="Times New Roman" w:hAnsi="Arial" w:cs="Arial"/>
          <w:sz w:val="24"/>
          <w:szCs w:val="24"/>
          <w:lang w:val="es-ES" w:eastAsia="es-ES"/>
        </w:rPr>
        <w:t xml:space="preserve">con lo </w:t>
      </w:r>
      <w:r>
        <w:rPr>
          <w:rFonts w:ascii="Arial" w:eastAsia="Times New Roman" w:hAnsi="Arial" w:cs="Arial"/>
          <w:sz w:val="24"/>
          <w:szCs w:val="24"/>
          <w:lang w:val="es-ES" w:eastAsia="es-ES"/>
        </w:rPr>
        <w:t>o</w:t>
      </w:r>
      <w:r w:rsidR="00F82A7F">
        <w:rPr>
          <w:rFonts w:ascii="Arial" w:eastAsia="Times New Roman" w:hAnsi="Arial" w:cs="Arial"/>
          <w:sz w:val="24"/>
          <w:szCs w:val="24"/>
          <w:lang w:val="es-ES" w:eastAsia="es-ES"/>
        </w:rPr>
        <w:t xml:space="preserve">rdenado por el Consejo Superior de la Judicatura. </w:t>
      </w:r>
      <w:r w:rsidR="000C3307">
        <w:rPr>
          <w:rFonts w:ascii="Arial" w:eastAsia="Times New Roman" w:hAnsi="Arial" w:cs="Arial"/>
          <w:sz w:val="24"/>
          <w:szCs w:val="24"/>
          <w:lang w:val="es-ES" w:eastAsia="es-ES"/>
        </w:rPr>
        <w:t xml:space="preserve">En la misma providencia se </w:t>
      </w:r>
      <w:r w:rsidR="009A20DB">
        <w:rPr>
          <w:rFonts w:ascii="Arial" w:eastAsia="Times New Roman" w:hAnsi="Arial" w:cs="Arial"/>
          <w:sz w:val="24"/>
          <w:szCs w:val="24"/>
          <w:lang w:val="es-ES" w:eastAsia="es-ES"/>
        </w:rPr>
        <w:t xml:space="preserve">dispuso </w:t>
      </w:r>
      <w:r w:rsidR="000C3307">
        <w:rPr>
          <w:rFonts w:ascii="Arial" w:eastAsia="Times New Roman" w:hAnsi="Arial" w:cs="Arial"/>
          <w:sz w:val="24"/>
          <w:szCs w:val="24"/>
          <w:lang w:val="es-ES" w:eastAsia="es-ES"/>
        </w:rPr>
        <w:t xml:space="preserve">correr traslado a las partes para alegar de conclusión y al Ministerio Público para que emitiera su concepto. </w:t>
      </w:r>
    </w:p>
    <w:p w14:paraId="14C6C24A" w14:textId="77777777" w:rsidR="009A20DB" w:rsidRDefault="009A20DB" w:rsidP="00FE0FF8">
      <w:pPr>
        <w:spacing w:line="360" w:lineRule="auto"/>
        <w:contextualSpacing/>
        <w:rPr>
          <w:rFonts w:ascii="Arial" w:eastAsia="Times New Roman" w:hAnsi="Arial" w:cs="Arial"/>
          <w:sz w:val="24"/>
          <w:szCs w:val="24"/>
          <w:lang w:val="es-ES" w:eastAsia="es-ES"/>
        </w:rPr>
      </w:pPr>
    </w:p>
    <w:p w14:paraId="28183CCB" w14:textId="77777777" w:rsidR="00045021" w:rsidRDefault="00F82A7F" w:rsidP="00FE0FF8">
      <w:pPr>
        <w:spacing w:line="360" w:lineRule="auto"/>
        <w:contextualSpacing/>
        <w:rPr>
          <w:rFonts w:ascii="Arial" w:eastAsia="Times New Roman" w:hAnsi="Arial" w:cs="Arial"/>
          <w:sz w:val="24"/>
          <w:szCs w:val="24"/>
          <w:lang w:val="es-ES" w:eastAsia="es-ES"/>
        </w:rPr>
      </w:pPr>
      <w:r w:rsidRPr="00B45EB9">
        <w:rPr>
          <w:rFonts w:ascii="Arial" w:eastAsia="Times New Roman" w:hAnsi="Arial" w:cs="Arial"/>
          <w:b/>
          <w:sz w:val="24"/>
          <w:szCs w:val="24"/>
          <w:lang w:val="es-ES" w:eastAsia="es-ES"/>
        </w:rPr>
        <w:t>4.6.</w:t>
      </w:r>
      <w:r>
        <w:rPr>
          <w:rFonts w:ascii="Arial" w:eastAsia="Times New Roman" w:hAnsi="Arial" w:cs="Arial"/>
          <w:sz w:val="24"/>
          <w:szCs w:val="24"/>
          <w:lang w:val="es-ES" w:eastAsia="es-ES"/>
        </w:rPr>
        <w:t xml:space="preserve"> </w:t>
      </w:r>
      <w:r w:rsidR="00751170">
        <w:rPr>
          <w:rFonts w:ascii="Arial" w:eastAsia="Times New Roman" w:hAnsi="Arial" w:cs="Arial"/>
          <w:sz w:val="24"/>
          <w:szCs w:val="24"/>
          <w:lang w:val="es-ES" w:eastAsia="es-ES"/>
        </w:rPr>
        <w:tab/>
      </w:r>
      <w:r>
        <w:rPr>
          <w:rFonts w:ascii="Arial" w:eastAsia="Times New Roman" w:hAnsi="Arial" w:cs="Arial"/>
          <w:sz w:val="24"/>
          <w:szCs w:val="24"/>
          <w:lang w:val="es-ES" w:eastAsia="es-ES"/>
        </w:rPr>
        <w:t xml:space="preserve">Mediante auto de 15 de mayo de 2012, se ordenó </w:t>
      </w:r>
      <w:r w:rsidR="00045021">
        <w:rPr>
          <w:rFonts w:ascii="Arial" w:eastAsia="Times New Roman" w:hAnsi="Arial" w:cs="Arial"/>
          <w:sz w:val="24"/>
          <w:szCs w:val="24"/>
          <w:lang w:val="es-ES" w:eastAsia="es-ES"/>
        </w:rPr>
        <w:t xml:space="preserve">remitir el proceso a </w:t>
      </w:r>
      <w:r w:rsidR="003759DB">
        <w:rPr>
          <w:rFonts w:ascii="Arial" w:eastAsia="Times New Roman" w:hAnsi="Arial" w:cs="Arial"/>
          <w:sz w:val="24"/>
          <w:szCs w:val="24"/>
          <w:lang w:val="es-ES" w:eastAsia="es-ES"/>
        </w:rPr>
        <w:t>la s</w:t>
      </w:r>
      <w:r w:rsidR="00045021">
        <w:rPr>
          <w:rFonts w:ascii="Arial" w:eastAsia="Times New Roman" w:hAnsi="Arial" w:cs="Arial"/>
          <w:sz w:val="24"/>
          <w:szCs w:val="24"/>
          <w:lang w:val="es-ES" w:eastAsia="es-ES"/>
        </w:rPr>
        <w:t xml:space="preserve">ecretaría </w:t>
      </w:r>
      <w:r w:rsidR="003759DB">
        <w:rPr>
          <w:rFonts w:ascii="Arial" w:eastAsia="Times New Roman" w:hAnsi="Arial" w:cs="Arial"/>
          <w:sz w:val="24"/>
          <w:szCs w:val="24"/>
          <w:lang w:val="es-ES" w:eastAsia="es-ES"/>
        </w:rPr>
        <w:t xml:space="preserve">del Tribunal </w:t>
      </w:r>
      <w:r w:rsidR="003759DB" w:rsidRPr="008E6C03">
        <w:rPr>
          <w:rFonts w:ascii="Arial" w:eastAsia="Times New Roman" w:hAnsi="Arial" w:cs="Arial"/>
          <w:i/>
          <w:sz w:val="24"/>
          <w:szCs w:val="24"/>
          <w:lang w:val="es-ES" w:eastAsia="es-ES"/>
        </w:rPr>
        <w:t>a quo</w:t>
      </w:r>
      <w:r w:rsidR="003759DB">
        <w:rPr>
          <w:rFonts w:ascii="Arial" w:eastAsia="Times New Roman" w:hAnsi="Arial" w:cs="Arial"/>
          <w:sz w:val="24"/>
          <w:szCs w:val="24"/>
          <w:lang w:val="es-ES" w:eastAsia="es-ES"/>
        </w:rPr>
        <w:t xml:space="preserve"> </w:t>
      </w:r>
      <w:r w:rsidR="00045021">
        <w:rPr>
          <w:rFonts w:ascii="Arial" w:eastAsia="Times New Roman" w:hAnsi="Arial" w:cs="Arial"/>
          <w:sz w:val="24"/>
          <w:szCs w:val="24"/>
          <w:lang w:val="es-ES" w:eastAsia="es-ES"/>
        </w:rPr>
        <w:t xml:space="preserve">para </w:t>
      </w:r>
      <w:r w:rsidR="008E6C03">
        <w:rPr>
          <w:rFonts w:ascii="Arial" w:eastAsia="Times New Roman" w:hAnsi="Arial" w:cs="Arial"/>
          <w:sz w:val="24"/>
          <w:szCs w:val="24"/>
          <w:lang w:val="es-ES" w:eastAsia="es-ES"/>
        </w:rPr>
        <w:t xml:space="preserve">un </w:t>
      </w:r>
      <w:r w:rsidR="00045021">
        <w:rPr>
          <w:rFonts w:ascii="Arial" w:eastAsia="Times New Roman" w:hAnsi="Arial" w:cs="Arial"/>
          <w:sz w:val="24"/>
          <w:szCs w:val="24"/>
          <w:lang w:val="es-ES" w:eastAsia="es-ES"/>
        </w:rPr>
        <w:t>nuevo reparto a los magistrados de descongesti</w:t>
      </w:r>
      <w:r w:rsidR="009A20DB">
        <w:rPr>
          <w:rFonts w:ascii="Arial" w:eastAsia="Times New Roman" w:hAnsi="Arial" w:cs="Arial"/>
          <w:sz w:val="24"/>
          <w:szCs w:val="24"/>
          <w:lang w:val="es-ES" w:eastAsia="es-ES"/>
        </w:rPr>
        <w:t>ó</w:t>
      </w:r>
      <w:r w:rsidR="00045021">
        <w:rPr>
          <w:rFonts w:ascii="Arial" w:eastAsia="Times New Roman" w:hAnsi="Arial" w:cs="Arial"/>
          <w:sz w:val="24"/>
          <w:szCs w:val="24"/>
          <w:lang w:val="es-ES" w:eastAsia="es-ES"/>
        </w:rPr>
        <w:t>n, de conformidad c</w:t>
      </w:r>
      <w:r w:rsidR="003759DB">
        <w:rPr>
          <w:rFonts w:ascii="Arial" w:eastAsia="Times New Roman" w:hAnsi="Arial" w:cs="Arial"/>
          <w:sz w:val="24"/>
          <w:szCs w:val="24"/>
          <w:lang w:val="es-ES" w:eastAsia="es-ES"/>
        </w:rPr>
        <w:t>o</w:t>
      </w:r>
      <w:r w:rsidR="00045021">
        <w:rPr>
          <w:rFonts w:ascii="Arial" w:eastAsia="Times New Roman" w:hAnsi="Arial" w:cs="Arial"/>
          <w:sz w:val="24"/>
          <w:szCs w:val="24"/>
          <w:lang w:val="es-ES" w:eastAsia="es-ES"/>
        </w:rPr>
        <w:t xml:space="preserve">n lo dispuesto en el Acuerdo PSAA12-9250 </w:t>
      </w:r>
      <w:r w:rsidR="008E6C03">
        <w:rPr>
          <w:rFonts w:ascii="Arial" w:eastAsia="Times New Roman" w:hAnsi="Arial" w:cs="Arial"/>
          <w:sz w:val="24"/>
          <w:szCs w:val="24"/>
          <w:lang w:val="es-ES" w:eastAsia="es-ES"/>
        </w:rPr>
        <w:t>de</w:t>
      </w:r>
      <w:r w:rsidR="00045021">
        <w:rPr>
          <w:rFonts w:ascii="Arial" w:eastAsia="Times New Roman" w:hAnsi="Arial" w:cs="Arial"/>
          <w:sz w:val="24"/>
          <w:szCs w:val="24"/>
          <w:lang w:val="es-ES" w:eastAsia="es-ES"/>
        </w:rPr>
        <w:t xml:space="preserve"> 2012, del Consejo Superior de la Judicatura</w:t>
      </w:r>
      <w:r w:rsidR="00045021">
        <w:rPr>
          <w:rStyle w:val="Refdenotaalpie"/>
          <w:rFonts w:ascii="Arial" w:eastAsia="Times New Roman" w:hAnsi="Arial" w:cs="Arial"/>
          <w:sz w:val="24"/>
          <w:szCs w:val="24"/>
          <w:lang w:val="es-ES" w:eastAsia="es-ES"/>
        </w:rPr>
        <w:footnoteReference w:id="9"/>
      </w:r>
      <w:r w:rsidR="00045021">
        <w:rPr>
          <w:rFonts w:ascii="Arial" w:eastAsia="Times New Roman" w:hAnsi="Arial" w:cs="Arial"/>
          <w:sz w:val="24"/>
          <w:szCs w:val="24"/>
          <w:lang w:val="es-ES" w:eastAsia="es-ES"/>
        </w:rPr>
        <w:t xml:space="preserve">. </w:t>
      </w:r>
    </w:p>
    <w:p w14:paraId="44E0FC28" w14:textId="77777777" w:rsidR="00E34A3D" w:rsidRDefault="00E34A3D" w:rsidP="00FE0FF8">
      <w:pPr>
        <w:spacing w:line="360" w:lineRule="auto"/>
        <w:contextualSpacing/>
        <w:rPr>
          <w:rFonts w:ascii="Arial" w:eastAsia="Times New Roman" w:hAnsi="Arial" w:cs="Arial"/>
          <w:sz w:val="24"/>
          <w:szCs w:val="24"/>
          <w:lang w:val="es-ES" w:eastAsia="es-ES"/>
        </w:rPr>
      </w:pPr>
    </w:p>
    <w:p w14:paraId="06365E28" w14:textId="77777777" w:rsidR="001C3BBF" w:rsidRDefault="009A20DB" w:rsidP="00FE0FF8">
      <w:pPr>
        <w:spacing w:line="360" w:lineRule="auto"/>
        <w:contextualSpacing/>
        <w:rPr>
          <w:rFonts w:ascii="Arial" w:eastAsia="Times New Roman" w:hAnsi="Arial" w:cs="Arial"/>
          <w:sz w:val="24"/>
          <w:szCs w:val="24"/>
          <w:lang w:val="es-ES" w:eastAsia="es-ES"/>
        </w:rPr>
      </w:pPr>
      <w:r w:rsidRPr="00B45EB9">
        <w:rPr>
          <w:rFonts w:ascii="Arial" w:eastAsia="Times New Roman" w:hAnsi="Arial" w:cs="Arial"/>
          <w:b/>
          <w:sz w:val="24"/>
          <w:szCs w:val="24"/>
          <w:lang w:val="es-ES" w:eastAsia="es-ES"/>
        </w:rPr>
        <w:lastRenderedPageBreak/>
        <w:t>4.7.</w:t>
      </w:r>
      <w:r>
        <w:rPr>
          <w:rFonts w:ascii="Arial" w:eastAsia="Times New Roman" w:hAnsi="Arial" w:cs="Arial"/>
          <w:sz w:val="24"/>
          <w:szCs w:val="24"/>
          <w:lang w:val="es-ES" w:eastAsia="es-ES"/>
        </w:rPr>
        <w:t xml:space="preserve"> </w:t>
      </w:r>
      <w:r w:rsidR="00751170">
        <w:rPr>
          <w:rFonts w:ascii="Arial" w:eastAsia="Times New Roman" w:hAnsi="Arial" w:cs="Arial"/>
          <w:sz w:val="24"/>
          <w:szCs w:val="24"/>
          <w:lang w:val="es-ES" w:eastAsia="es-ES"/>
        </w:rPr>
        <w:tab/>
      </w:r>
      <w:r w:rsidR="00045021">
        <w:rPr>
          <w:rFonts w:ascii="Arial" w:eastAsia="Times New Roman" w:hAnsi="Arial" w:cs="Arial"/>
          <w:sz w:val="24"/>
          <w:szCs w:val="24"/>
          <w:lang w:val="es-ES" w:eastAsia="es-ES"/>
        </w:rPr>
        <w:t xml:space="preserve">En la oportunidad para alegar, las partes y el </w:t>
      </w:r>
      <w:r w:rsidR="001C3BBF" w:rsidRPr="0019796A">
        <w:rPr>
          <w:rFonts w:ascii="Arial" w:eastAsia="Times New Roman" w:hAnsi="Arial" w:cs="Arial"/>
          <w:b/>
          <w:sz w:val="24"/>
          <w:szCs w:val="24"/>
          <w:lang w:val="es-ES" w:eastAsia="es-ES"/>
        </w:rPr>
        <w:t>Ministerio Público</w:t>
      </w:r>
      <w:r w:rsidR="001C3BBF" w:rsidRPr="00C9724F">
        <w:rPr>
          <w:rFonts w:ascii="Arial" w:eastAsia="Times New Roman" w:hAnsi="Arial" w:cs="Arial"/>
          <w:sz w:val="24"/>
          <w:szCs w:val="24"/>
          <w:lang w:val="es-ES" w:eastAsia="es-ES"/>
        </w:rPr>
        <w:t xml:space="preserve"> guardaron silencio</w:t>
      </w:r>
      <w:r w:rsidR="00045021">
        <w:rPr>
          <w:rFonts w:ascii="Arial" w:eastAsia="Times New Roman" w:hAnsi="Arial" w:cs="Arial"/>
          <w:sz w:val="24"/>
          <w:szCs w:val="24"/>
          <w:lang w:val="es-ES" w:eastAsia="es-ES"/>
        </w:rPr>
        <w:t>.</w:t>
      </w:r>
    </w:p>
    <w:p w14:paraId="6EC6CCEA" w14:textId="77777777" w:rsidR="008E6C03" w:rsidRPr="00C9724F" w:rsidRDefault="008E6C03" w:rsidP="00FE0FF8">
      <w:pPr>
        <w:spacing w:line="360" w:lineRule="auto"/>
        <w:contextualSpacing/>
        <w:rPr>
          <w:rFonts w:ascii="Arial" w:eastAsia="Times New Roman" w:hAnsi="Arial" w:cs="Arial"/>
          <w:sz w:val="24"/>
          <w:szCs w:val="24"/>
          <w:lang w:val="es-ES" w:eastAsia="es-ES"/>
        </w:rPr>
      </w:pPr>
    </w:p>
    <w:p w14:paraId="5BB0298A" w14:textId="77777777" w:rsidR="001C3BBF" w:rsidRPr="00C9724F" w:rsidRDefault="001C3BBF" w:rsidP="00FE0FF8">
      <w:pPr>
        <w:spacing w:line="360" w:lineRule="auto"/>
        <w:contextualSpacing/>
        <w:rPr>
          <w:rFonts w:ascii="Arial" w:eastAsia="Times New Roman" w:hAnsi="Arial" w:cs="Arial"/>
          <w:b/>
          <w:sz w:val="24"/>
          <w:szCs w:val="24"/>
          <w:lang w:val="es-ES" w:eastAsia="es-ES"/>
        </w:rPr>
      </w:pPr>
      <w:r w:rsidRPr="00C9724F">
        <w:rPr>
          <w:rFonts w:ascii="Arial" w:eastAsia="Times New Roman" w:hAnsi="Arial" w:cs="Arial"/>
          <w:b/>
          <w:sz w:val="24"/>
          <w:szCs w:val="24"/>
          <w:lang w:val="es-ES" w:eastAsia="es-ES"/>
        </w:rPr>
        <w:t>4.</w:t>
      </w:r>
      <w:r w:rsidR="009A20DB">
        <w:rPr>
          <w:rFonts w:ascii="Arial" w:eastAsia="Times New Roman" w:hAnsi="Arial" w:cs="Arial"/>
          <w:b/>
          <w:sz w:val="24"/>
          <w:szCs w:val="24"/>
          <w:lang w:val="es-ES" w:eastAsia="es-ES"/>
        </w:rPr>
        <w:t>8</w:t>
      </w:r>
      <w:r w:rsidRPr="00C9724F">
        <w:rPr>
          <w:rFonts w:ascii="Arial" w:eastAsia="Times New Roman" w:hAnsi="Arial" w:cs="Arial"/>
          <w:b/>
          <w:sz w:val="24"/>
          <w:szCs w:val="24"/>
          <w:lang w:val="es-ES" w:eastAsia="es-ES"/>
        </w:rPr>
        <w:t>.</w:t>
      </w:r>
      <w:r w:rsidRPr="00C9724F">
        <w:rPr>
          <w:rFonts w:ascii="Arial" w:eastAsia="Times New Roman" w:hAnsi="Arial" w:cs="Arial"/>
          <w:b/>
          <w:sz w:val="24"/>
          <w:szCs w:val="24"/>
          <w:lang w:val="es-ES" w:eastAsia="es-ES"/>
        </w:rPr>
        <w:tab/>
        <w:t>La sentencia impugnada</w:t>
      </w:r>
    </w:p>
    <w:p w14:paraId="103668C7" w14:textId="77777777" w:rsidR="001C3BBF" w:rsidRPr="00C9724F" w:rsidRDefault="001C3BBF" w:rsidP="00FE0FF8">
      <w:pPr>
        <w:numPr>
          <w:ilvl w:val="12"/>
          <w:numId w:val="0"/>
        </w:numPr>
        <w:spacing w:line="360" w:lineRule="auto"/>
        <w:rPr>
          <w:rFonts w:ascii="Arial" w:eastAsia="Times New Roman" w:hAnsi="Arial" w:cs="Arial"/>
          <w:bCs/>
          <w:sz w:val="24"/>
          <w:szCs w:val="24"/>
          <w:lang w:val="es-ES" w:eastAsia="es-ES"/>
        </w:rPr>
      </w:pPr>
    </w:p>
    <w:p w14:paraId="125E6560" w14:textId="77777777" w:rsidR="00062314" w:rsidRDefault="001C3BBF" w:rsidP="00FE0FF8">
      <w:pPr>
        <w:autoSpaceDE w:val="0"/>
        <w:autoSpaceDN w:val="0"/>
        <w:adjustRightInd w:val="0"/>
        <w:spacing w:line="360" w:lineRule="auto"/>
        <w:rPr>
          <w:rFonts w:ascii="Arial" w:eastAsia="Times New Roman" w:hAnsi="Arial" w:cs="Arial"/>
          <w:sz w:val="24"/>
          <w:szCs w:val="24"/>
          <w:lang w:val="es-ES" w:eastAsia="es-ES"/>
        </w:rPr>
      </w:pPr>
      <w:r w:rsidRPr="00C9724F">
        <w:rPr>
          <w:rFonts w:ascii="Arial" w:eastAsia="Times New Roman" w:hAnsi="Arial" w:cs="Arial"/>
          <w:sz w:val="24"/>
          <w:szCs w:val="24"/>
          <w:lang w:val="es-ES" w:eastAsia="es-ES"/>
        </w:rPr>
        <w:t xml:space="preserve">El Tribunal Administrativo de </w:t>
      </w:r>
      <w:r w:rsidR="00045021">
        <w:rPr>
          <w:rFonts w:ascii="Arial" w:eastAsia="Times New Roman" w:hAnsi="Arial" w:cs="Arial"/>
          <w:sz w:val="24"/>
          <w:szCs w:val="24"/>
          <w:lang w:val="es-ES" w:eastAsia="es-ES"/>
        </w:rPr>
        <w:t xml:space="preserve">Bolívar, </w:t>
      </w:r>
      <w:r w:rsidR="00062314">
        <w:rPr>
          <w:rFonts w:ascii="Arial" w:eastAsia="Times New Roman" w:hAnsi="Arial" w:cs="Arial"/>
          <w:sz w:val="24"/>
          <w:szCs w:val="24"/>
          <w:lang w:val="es-ES" w:eastAsia="es-ES"/>
        </w:rPr>
        <w:t>Sala de Decisión 002</w:t>
      </w:r>
      <w:r w:rsidR="00CE7FA7" w:rsidRPr="00C9724F">
        <w:rPr>
          <w:rFonts w:ascii="Arial" w:eastAsia="Times New Roman" w:hAnsi="Arial" w:cs="Arial"/>
          <w:sz w:val="24"/>
          <w:szCs w:val="24"/>
          <w:lang w:val="es-ES" w:eastAsia="es-ES"/>
        </w:rPr>
        <w:t xml:space="preserve">, </w:t>
      </w:r>
      <w:r w:rsidRPr="00C9724F">
        <w:rPr>
          <w:rFonts w:ascii="Arial" w:eastAsia="Times New Roman" w:hAnsi="Arial" w:cs="Arial"/>
          <w:sz w:val="24"/>
          <w:szCs w:val="24"/>
          <w:lang w:val="es-ES" w:eastAsia="es-ES"/>
        </w:rPr>
        <w:t xml:space="preserve">profirió sentencia </w:t>
      </w:r>
      <w:r w:rsidR="0079158B" w:rsidRPr="00C9724F">
        <w:rPr>
          <w:rFonts w:ascii="Arial" w:eastAsia="Times New Roman" w:hAnsi="Arial" w:cs="Arial"/>
          <w:sz w:val="24"/>
          <w:szCs w:val="24"/>
          <w:lang w:val="es-ES_tradnl" w:eastAsia="es-ES"/>
        </w:rPr>
        <w:t xml:space="preserve">el </w:t>
      </w:r>
      <w:r w:rsidR="00062314">
        <w:rPr>
          <w:rFonts w:ascii="Arial" w:eastAsia="Times New Roman" w:hAnsi="Arial" w:cs="Arial"/>
          <w:sz w:val="24"/>
          <w:szCs w:val="24"/>
          <w:lang w:val="es-ES_tradnl" w:eastAsia="es-ES"/>
        </w:rPr>
        <w:t>24 de enero de 2014</w:t>
      </w:r>
      <w:r w:rsidR="0079158B" w:rsidRPr="00C9724F">
        <w:rPr>
          <w:rFonts w:ascii="Arial" w:eastAsia="Times New Roman" w:hAnsi="Arial" w:cs="Arial"/>
          <w:sz w:val="24"/>
          <w:szCs w:val="24"/>
          <w:lang w:val="es-ES_tradnl" w:eastAsia="es-ES"/>
        </w:rPr>
        <w:t xml:space="preserve">, mediante la cual </w:t>
      </w:r>
      <w:r w:rsidRPr="00C9724F">
        <w:rPr>
          <w:rFonts w:ascii="Arial" w:eastAsia="Times New Roman" w:hAnsi="Arial" w:cs="Arial"/>
          <w:sz w:val="24"/>
          <w:szCs w:val="24"/>
          <w:lang w:val="es-ES" w:eastAsia="es-ES"/>
        </w:rPr>
        <w:t>de</w:t>
      </w:r>
      <w:r w:rsidR="00E55F14" w:rsidRPr="00C9724F">
        <w:rPr>
          <w:rFonts w:ascii="Arial" w:eastAsia="Times New Roman" w:hAnsi="Arial" w:cs="Arial"/>
          <w:sz w:val="24"/>
          <w:szCs w:val="24"/>
          <w:lang w:val="es-ES" w:eastAsia="es-ES"/>
        </w:rPr>
        <w:t>c</w:t>
      </w:r>
      <w:r w:rsidR="00062314">
        <w:rPr>
          <w:rFonts w:ascii="Arial" w:eastAsia="Times New Roman" w:hAnsi="Arial" w:cs="Arial"/>
          <w:sz w:val="24"/>
          <w:szCs w:val="24"/>
          <w:lang w:val="es-ES" w:eastAsia="es-ES"/>
        </w:rPr>
        <w:t xml:space="preserve">idió negar las pretensiones de </w:t>
      </w:r>
      <w:r w:rsidR="00E55F14" w:rsidRPr="00C9724F">
        <w:rPr>
          <w:rFonts w:ascii="Arial" w:eastAsia="Times New Roman" w:hAnsi="Arial" w:cs="Arial"/>
          <w:sz w:val="24"/>
          <w:szCs w:val="24"/>
          <w:lang w:val="es-ES" w:eastAsia="es-ES"/>
        </w:rPr>
        <w:t>la</w:t>
      </w:r>
      <w:r w:rsidR="00062314">
        <w:rPr>
          <w:rFonts w:ascii="Arial" w:eastAsia="Times New Roman" w:hAnsi="Arial" w:cs="Arial"/>
          <w:sz w:val="24"/>
          <w:szCs w:val="24"/>
          <w:lang w:val="es-ES" w:eastAsia="es-ES"/>
        </w:rPr>
        <w:t xml:space="preserve"> demanda. </w:t>
      </w:r>
    </w:p>
    <w:p w14:paraId="4A63C780" w14:textId="77777777" w:rsidR="00062314" w:rsidRDefault="00062314" w:rsidP="00FE0FF8">
      <w:pPr>
        <w:spacing w:line="360" w:lineRule="auto"/>
        <w:contextualSpacing/>
        <w:rPr>
          <w:rFonts w:ascii="Arial" w:eastAsia="Times New Roman" w:hAnsi="Arial" w:cs="Arial"/>
          <w:sz w:val="24"/>
          <w:szCs w:val="24"/>
          <w:lang w:val="es-MX" w:eastAsia="es-ES"/>
        </w:rPr>
      </w:pPr>
    </w:p>
    <w:p w14:paraId="70E9591B" w14:textId="77777777" w:rsidR="009A20DB" w:rsidRDefault="001C3BBF" w:rsidP="00FE0FF8">
      <w:pPr>
        <w:spacing w:line="360" w:lineRule="auto"/>
        <w:contextualSpacing/>
        <w:rPr>
          <w:rFonts w:ascii="Arial" w:eastAsia="Times New Roman" w:hAnsi="Arial" w:cs="Arial"/>
          <w:sz w:val="24"/>
          <w:szCs w:val="24"/>
          <w:lang w:val="es-MX" w:eastAsia="es-ES"/>
        </w:rPr>
      </w:pPr>
      <w:r w:rsidRPr="00C9724F">
        <w:rPr>
          <w:rFonts w:ascii="Arial" w:eastAsia="Times New Roman" w:hAnsi="Arial" w:cs="Arial"/>
          <w:sz w:val="24"/>
          <w:szCs w:val="24"/>
          <w:lang w:val="es-MX" w:eastAsia="es-ES"/>
        </w:rPr>
        <w:t xml:space="preserve">El Tribunal </w:t>
      </w:r>
      <w:r w:rsidRPr="00C9724F">
        <w:rPr>
          <w:rFonts w:ascii="Arial" w:eastAsia="Times New Roman" w:hAnsi="Arial" w:cs="Arial"/>
          <w:i/>
          <w:sz w:val="24"/>
          <w:szCs w:val="24"/>
          <w:lang w:val="es-MX" w:eastAsia="es-ES"/>
        </w:rPr>
        <w:t>a quo</w:t>
      </w:r>
      <w:r w:rsidRPr="00C9724F">
        <w:rPr>
          <w:rFonts w:ascii="Arial" w:eastAsia="Times New Roman" w:hAnsi="Arial" w:cs="Arial"/>
          <w:sz w:val="24"/>
          <w:szCs w:val="24"/>
          <w:lang w:val="es-MX" w:eastAsia="es-ES"/>
        </w:rPr>
        <w:t xml:space="preserve"> </w:t>
      </w:r>
      <w:r w:rsidR="009A20DB">
        <w:rPr>
          <w:rFonts w:ascii="Arial" w:eastAsia="Times New Roman" w:hAnsi="Arial" w:cs="Arial"/>
          <w:sz w:val="24"/>
          <w:szCs w:val="24"/>
          <w:lang w:val="es-MX" w:eastAsia="es-ES"/>
        </w:rPr>
        <w:t>observó que la demanda fue promovida en forma oportuna, toda vez que respecto del acto ficto no opera la caducidad de la acción</w:t>
      </w:r>
      <w:r w:rsidR="00793AE8">
        <w:rPr>
          <w:rFonts w:ascii="Arial" w:eastAsia="Times New Roman" w:hAnsi="Arial" w:cs="Arial"/>
          <w:sz w:val="24"/>
          <w:szCs w:val="24"/>
          <w:lang w:val="es-MX" w:eastAsia="es-ES"/>
        </w:rPr>
        <w:t>,</w:t>
      </w:r>
      <w:r w:rsidR="009A20DB">
        <w:rPr>
          <w:rFonts w:ascii="Arial" w:eastAsia="Times New Roman" w:hAnsi="Arial" w:cs="Arial"/>
          <w:sz w:val="24"/>
          <w:szCs w:val="24"/>
          <w:lang w:val="es-MX" w:eastAsia="es-ES"/>
        </w:rPr>
        <w:t xml:space="preserve"> de acuerdo con el artículo 136 del CCA.</w:t>
      </w:r>
    </w:p>
    <w:p w14:paraId="430C5852" w14:textId="77777777" w:rsidR="009A20DB" w:rsidRDefault="009A20DB" w:rsidP="00FE0FF8">
      <w:pPr>
        <w:spacing w:line="360" w:lineRule="auto"/>
        <w:contextualSpacing/>
        <w:rPr>
          <w:rFonts w:ascii="Arial" w:eastAsia="Times New Roman" w:hAnsi="Arial" w:cs="Arial"/>
          <w:sz w:val="24"/>
          <w:szCs w:val="24"/>
          <w:lang w:val="es-MX" w:eastAsia="es-ES"/>
        </w:rPr>
      </w:pPr>
    </w:p>
    <w:p w14:paraId="4BA510D7" w14:textId="77777777" w:rsidR="00604D56" w:rsidRDefault="00605B98" w:rsidP="00FE0FF8">
      <w:pPr>
        <w:spacing w:line="360" w:lineRule="auto"/>
        <w:contextualSpacing/>
        <w:rPr>
          <w:rFonts w:ascii="Arial" w:eastAsia="Times New Roman" w:hAnsi="Arial" w:cs="Arial"/>
          <w:sz w:val="24"/>
          <w:szCs w:val="24"/>
          <w:lang w:val="es-MX" w:eastAsia="es-ES"/>
        </w:rPr>
      </w:pPr>
      <w:r>
        <w:rPr>
          <w:rFonts w:ascii="Arial" w:eastAsia="Times New Roman" w:hAnsi="Arial" w:cs="Arial"/>
          <w:sz w:val="24"/>
          <w:szCs w:val="24"/>
          <w:lang w:val="es-MX" w:eastAsia="es-ES"/>
        </w:rPr>
        <w:t>En el asunto concreto, l</w:t>
      </w:r>
      <w:r w:rsidR="009A20DB">
        <w:rPr>
          <w:rFonts w:ascii="Arial" w:eastAsia="Times New Roman" w:hAnsi="Arial" w:cs="Arial"/>
          <w:sz w:val="24"/>
          <w:szCs w:val="24"/>
          <w:lang w:val="es-MX" w:eastAsia="es-ES"/>
        </w:rPr>
        <w:t xml:space="preserve">a sentencia acotó el </w:t>
      </w:r>
      <w:r w:rsidR="009A20DB" w:rsidRPr="009B704D">
        <w:rPr>
          <w:rFonts w:ascii="Arial" w:eastAsia="Times New Roman" w:hAnsi="Arial" w:cs="Arial"/>
          <w:b/>
          <w:sz w:val="24"/>
          <w:szCs w:val="24"/>
          <w:lang w:val="es-MX" w:eastAsia="es-ES"/>
        </w:rPr>
        <w:t>problema jurídico</w:t>
      </w:r>
      <w:r w:rsidR="009A20DB">
        <w:rPr>
          <w:rFonts w:ascii="Arial" w:eastAsia="Times New Roman" w:hAnsi="Arial" w:cs="Arial"/>
          <w:sz w:val="24"/>
          <w:szCs w:val="24"/>
          <w:lang w:val="es-MX" w:eastAsia="es-ES"/>
        </w:rPr>
        <w:t xml:space="preserve"> en dos aspectos</w:t>
      </w:r>
      <w:r w:rsidR="00604D56">
        <w:rPr>
          <w:rFonts w:ascii="Arial" w:eastAsia="Times New Roman" w:hAnsi="Arial" w:cs="Arial"/>
          <w:sz w:val="24"/>
          <w:szCs w:val="24"/>
          <w:lang w:val="es-MX" w:eastAsia="es-ES"/>
        </w:rPr>
        <w:t xml:space="preserve">: </w:t>
      </w:r>
      <w:r w:rsidR="00604D56" w:rsidRPr="00B45EB9">
        <w:rPr>
          <w:rFonts w:ascii="Arial" w:eastAsia="Times New Roman" w:hAnsi="Arial" w:cs="Arial"/>
          <w:b/>
          <w:sz w:val="24"/>
          <w:szCs w:val="24"/>
          <w:lang w:val="es-MX" w:eastAsia="es-ES"/>
        </w:rPr>
        <w:t>i)</w:t>
      </w:r>
      <w:r w:rsidR="00604D56">
        <w:rPr>
          <w:rFonts w:ascii="Arial" w:eastAsia="Times New Roman" w:hAnsi="Arial" w:cs="Arial"/>
          <w:sz w:val="24"/>
          <w:szCs w:val="24"/>
          <w:lang w:val="es-MX" w:eastAsia="es-ES"/>
        </w:rPr>
        <w:t xml:space="preserve"> si la declarator</w:t>
      </w:r>
      <w:r w:rsidR="00B45EB9">
        <w:rPr>
          <w:rFonts w:ascii="Arial" w:eastAsia="Times New Roman" w:hAnsi="Arial" w:cs="Arial"/>
          <w:sz w:val="24"/>
          <w:szCs w:val="24"/>
          <w:lang w:val="es-MX" w:eastAsia="es-ES"/>
        </w:rPr>
        <w:t>i</w:t>
      </w:r>
      <w:r w:rsidR="00604D56">
        <w:rPr>
          <w:rFonts w:ascii="Arial" w:eastAsia="Times New Roman" w:hAnsi="Arial" w:cs="Arial"/>
          <w:sz w:val="24"/>
          <w:szCs w:val="24"/>
          <w:lang w:val="es-MX" w:eastAsia="es-ES"/>
        </w:rPr>
        <w:t xml:space="preserve">a de desierta estuvo ajustada a la ley y </w:t>
      </w:r>
      <w:r w:rsidR="00604D56" w:rsidRPr="00B45EB9">
        <w:rPr>
          <w:rFonts w:ascii="Arial" w:eastAsia="Times New Roman" w:hAnsi="Arial" w:cs="Arial"/>
          <w:b/>
          <w:sz w:val="24"/>
          <w:szCs w:val="24"/>
          <w:lang w:val="es-MX" w:eastAsia="es-ES"/>
        </w:rPr>
        <w:t>ii)</w:t>
      </w:r>
      <w:r w:rsidR="00604D56">
        <w:rPr>
          <w:rFonts w:ascii="Arial" w:eastAsia="Times New Roman" w:hAnsi="Arial" w:cs="Arial"/>
          <w:sz w:val="24"/>
          <w:szCs w:val="24"/>
          <w:lang w:val="es-MX" w:eastAsia="es-ES"/>
        </w:rPr>
        <w:t xml:space="preserve"> si la propuesta de la parte actora le daba derecho a la adjudicación.</w:t>
      </w:r>
    </w:p>
    <w:p w14:paraId="1683D3C9" w14:textId="77777777" w:rsidR="00604D56" w:rsidRDefault="00604D56" w:rsidP="00FE0FF8">
      <w:pPr>
        <w:spacing w:line="360" w:lineRule="auto"/>
        <w:contextualSpacing/>
        <w:rPr>
          <w:rFonts w:ascii="Arial" w:eastAsia="Times New Roman" w:hAnsi="Arial" w:cs="Arial"/>
          <w:sz w:val="24"/>
          <w:szCs w:val="24"/>
          <w:lang w:val="es-MX" w:eastAsia="es-ES"/>
        </w:rPr>
      </w:pPr>
    </w:p>
    <w:p w14:paraId="5A608B07" w14:textId="77777777" w:rsidR="00604D56" w:rsidRPr="00B45EB9" w:rsidRDefault="00604D56" w:rsidP="00FE0FF8">
      <w:pPr>
        <w:spacing w:line="360" w:lineRule="auto"/>
        <w:contextualSpacing/>
        <w:rPr>
          <w:rFonts w:ascii="Arial" w:eastAsia="Times New Roman" w:hAnsi="Arial" w:cs="Arial"/>
          <w:i/>
          <w:sz w:val="24"/>
          <w:szCs w:val="24"/>
          <w:lang w:val="es-MX" w:eastAsia="es-ES"/>
        </w:rPr>
      </w:pPr>
      <w:r>
        <w:rPr>
          <w:rFonts w:ascii="Arial" w:eastAsia="Times New Roman" w:hAnsi="Arial" w:cs="Arial"/>
          <w:sz w:val="24"/>
          <w:szCs w:val="24"/>
          <w:lang w:val="es-MX" w:eastAsia="es-ES"/>
        </w:rPr>
        <w:t xml:space="preserve">Sobre </w:t>
      </w:r>
      <w:r w:rsidR="00605B98">
        <w:rPr>
          <w:rFonts w:ascii="Arial" w:eastAsia="Times New Roman" w:hAnsi="Arial" w:cs="Arial"/>
          <w:sz w:val="24"/>
          <w:szCs w:val="24"/>
          <w:lang w:val="es-MX" w:eastAsia="es-ES"/>
        </w:rPr>
        <w:t>lo</w:t>
      </w:r>
      <w:r>
        <w:rPr>
          <w:rFonts w:ascii="Arial" w:eastAsia="Times New Roman" w:hAnsi="Arial" w:cs="Arial"/>
          <w:sz w:val="24"/>
          <w:szCs w:val="24"/>
          <w:lang w:val="es-MX" w:eastAsia="es-ES"/>
        </w:rPr>
        <w:t xml:space="preserve"> primero, </w:t>
      </w:r>
      <w:r w:rsidR="006F50C8">
        <w:rPr>
          <w:rFonts w:ascii="Arial" w:eastAsia="Times New Roman" w:hAnsi="Arial" w:cs="Arial"/>
          <w:sz w:val="24"/>
          <w:szCs w:val="24"/>
          <w:lang w:val="es-MX" w:eastAsia="es-ES"/>
        </w:rPr>
        <w:t xml:space="preserve">advirtió </w:t>
      </w:r>
      <w:r>
        <w:rPr>
          <w:rFonts w:ascii="Arial" w:eastAsia="Times New Roman" w:hAnsi="Arial" w:cs="Arial"/>
          <w:sz w:val="24"/>
          <w:szCs w:val="24"/>
          <w:lang w:val="es-MX" w:eastAsia="es-ES"/>
        </w:rPr>
        <w:t>que no fue demostrada la presencia de irregularidad en la declaratoria de desierta y que</w:t>
      </w:r>
      <w:r w:rsidR="00793AE8">
        <w:rPr>
          <w:rFonts w:ascii="Arial" w:eastAsia="Times New Roman" w:hAnsi="Arial" w:cs="Arial"/>
          <w:sz w:val="24"/>
          <w:szCs w:val="24"/>
          <w:lang w:val="es-MX" w:eastAsia="es-ES"/>
        </w:rPr>
        <w:t>,</w:t>
      </w:r>
      <w:r>
        <w:rPr>
          <w:rFonts w:ascii="Arial" w:eastAsia="Times New Roman" w:hAnsi="Arial" w:cs="Arial"/>
          <w:sz w:val="24"/>
          <w:szCs w:val="24"/>
          <w:lang w:val="es-MX" w:eastAsia="es-ES"/>
        </w:rPr>
        <w:t xml:space="preserve"> </w:t>
      </w:r>
      <w:r w:rsidR="00B45EB9">
        <w:rPr>
          <w:rFonts w:ascii="Arial" w:eastAsia="Times New Roman" w:hAnsi="Arial" w:cs="Arial"/>
          <w:sz w:val="24"/>
          <w:szCs w:val="24"/>
          <w:lang w:val="es-MX" w:eastAsia="es-ES"/>
        </w:rPr>
        <w:t xml:space="preserve">según se desprende del acto acusado </w:t>
      </w:r>
      <w:r w:rsidRPr="00B45EB9">
        <w:rPr>
          <w:rFonts w:ascii="Arial" w:eastAsia="Times New Roman" w:hAnsi="Arial" w:cs="Arial"/>
          <w:i/>
          <w:sz w:val="24"/>
          <w:szCs w:val="24"/>
          <w:lang w:val="es-MX" w:eastAsia="es-ES"/>
        </w:rPr>
        <w:t>“tampoco se cumplieron los plazos señalados en los términos de referencia, convirtiendo por tanto un trámite reglado en una actuación sujeta a la mera liberalidad del contratante, lo cual es inaceptable</w:t>
      </w:r>
      <w:r w:rsidR="00AB0000" w:rsidRPr="00B45EB9">
        <w:rPr>
          <w:rFonts w:ascii="Arial" w:eastAsia="Times New Roman" w:hAnsi="Arial" w:cs="Arial"/>
          <w:i/>
          <w:sz w:val="24"/>
          <w:szCs w:val="24"/>
          <w:lang w:val="es-MX" w:eastAsia="es-ES"/>
        </w:rPr>
        <w:t>”</w:t>
      </w:r>
      <w:r w:rsidRPr="00B45EB9">
        <w:rPr>
          <w:rFonts w:ascii="Arial" w:eastAsia="Times New Roman" w:hAnsi="Arial" w:cs="Arial"/>
          <w:i/>
          <w:sz w:val="24"/>
          <w:szCs w:val="24"/>
          <w:lang w:val="es-MX" w:eastAsia="es-ES"/>
        </w:rPr>
        <w:t>.</w:t>
      </w:r>
    </w:p>
    <w:p w14:paraId="44C2708C" w14:textId="77777777" w:rsidR="00604D56" w:rsidRDefault="00604D56" w:rsidP="00FE0FF8">
      <w:pPr>
        <w:spacing w:line="360" w:lineRule="auto"/>
        <w:contextualSpacing/>
        <w:rPr>
          <w:rFonts w:ascii="Arial" w:eastAsia="Times New Roman" w:hAnsi="Arial" w:cs="Arial"/>
          <w:sz w:val="24"/>
          <w:szCs w:val="24"/>
          <w:lang w:val="es-MX" w:eastAsia="es-ES"/>
        </w:rPr>
      </w:pPr>
    </w:p>
    <w:p w14:paraId="72647F00" w14:textId="77777777" w:rsidR="00604D56" w:rsidRDefault="00604D56" w:rsidP="00FE0FF8">
      <w:pPr>
        <w:spacing w:line="360" w:lineRule="auto"/>
        <w:contextualSpacing/>
        <w:rPr>
          <w:rFonts w:ascii="Arial" w:eastAsia="Times New Roman" w:hAnsi="Arial" w:cs="Arial"/>
          <w:sz w:val="24"/>
          <w:szCs w:val="24"/>
          <w:lang w:val="es-MX" w:eastAsia="es-ES"/>
        </w:rPr>
      </w:pPr>
      <w:r>
        <w:rPr>
          <w:rFonts w:ascii="Arial" w:eastAsia="Times New Roman" w:hAnsi="Arial" w:cs="Arial"/>
          <w:sz w:val="24"/>
          <w:szCs w:val="24"/>
          <w:lang w:val="es-MX" w:eastAsia="es-ES"/>
        </w:rPr>
        <w:t>Especificó que</w:t>
      </w:r>
      <w:r w:rsidR="00AB0000">
        <w:rPr>
          <w:rFonts w:ascii="Arial" w:eastAsia="Times New Roman" w:hAnsi="Arial" w:cs="Arial"/>
          <w:sz w:val="24"/>
          <w:szCs w:val="24"/>
          <w:lang w:val="es-MX" w:eastAsia="es-ES"/>
        </w:rPr>
        <w:t xml:space="preserve">, a diferencia de lo que afirmó la parte actora, </w:t>
      </w:r>
      <w:r>
        <w:rPr>
          <w:rFonts w:ascii="Arial" w:eastAsia="Times New Roman" w:hAnsi="Arial" w:cs="Arial"/>
          <w:sz w:val="24"/>
          <w:szCs w:val="24"/>
          <w:lang w:val="es-MX" w:eastAsia="es-ES"/>
        </w:rPr>
        <w:t>s</w:t>
      </w:r>
      <w:r w:rsidR="00AB0000">
        <w:rPr>
          <w:rFonts w:ascii="Arial" w:eastAsia="Times New Roman" w:hAnsi="Arial" w:cs="Arial"/>
          <w:sz w:val="24"/>
          <w:szCs w:val="24"/>
          <w:lang w:val="es-MX" w:eastAsia="es-ES"/>
        </w:rPr>
        <w:t>í</w:t>
      </w:r>
      <w:r>
        <w:rPr>
          <w:rFonts w:ascii="Arial" w:eastAsia="Times New Roman" w:hAnsi="Arial" w:cs="Arial"/>
          <w:sz w:val="24"/>
          <w:szCs w:val="24"/>
          <w:lang w:val="es-MX" w:eastAsia="es-ES"/>
        </w:rPr>
        <w:t xml:space="preserve"> es viable fundar la declaratoria de desierta en los errores u omisiones de los propios funcionarios, en cuanto se evidencie que se violaron los requerimientos para la selección objetiva y la transparencia </w:t>
      </w:r>
      <w:r w:rsidR="00B45EB9">
        <w:rPr>
          <w:rFonts w:ascii="Arial" w:eastAsia="Times New Roman" w:hAnsi="Arial" w:cs="Arial"/>
          <w:sz w:val="24"/>
          <w:szCs w:val="24"/>
          <w:lang w:val="es-MX" w:eastAsia="es-ES"/>
        </w:rPr>
        <w:t xml:space="preserve">del procedimiento, </w:t>
      </w:r>
      <w:r>
        <w:rPr>
          <w:rFonts w:ascii="Arial" w:eastAsia="Times New Roman" w:hAnsi="Arial" w:cs="Arial"/>
          <w:sz w:val="24"/>
          <w:szCs w:val="24"/>
          <w:lang w:val="es-MX" w:eastAsia="es-ES"/>
        </w:rPr>
        <w:t xml:space="preserve">exigida por la ley. </w:t>
      </w:r>
    </w:p>
    <w:p w14:paraId="14692288" w14:textId="77777777" w:rsidR="00604D56" w:rsidRDefault="00604D56" w:rsidP="00FE0FF8">
      <w:pPr>
        <w:spacing w:line="360" w:lineRule="auto"/>
        <w:contextualSpacing/>
        <w:rPr>
          <w:rFonts w:ascii="Arial" w:eastAsia="Times New Roman" w:hAnsi="Arial" w:cs="Arial"/>
          <w:sz w:val="24"/>
          <w:szCs w:val="24"/>
          <w:lang w:val="es-MX" w:eastAsia="es-ES"/>
        </w:rPr>
      </w:pPr>
    </w:p>
    <w:p w14:paraId="205E74E1" w14:textId="77777777" w:rsidR="00AB0000" w:rsidRDefault="006F50C8" w:rsidP="00FE0FF8">
      <w:pPr>
        <w:spacing w:line="360" w:lineRule="auto"/>
        <w:contextualSpacing/>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La sentencia de primera instancia </w:t>
      </w:r>
      <w:r w:rsidR="009C2FB4">
        <w:rPr>
          <w:rFonts w:ascii="Arial" w:eastAsia="Times New Roman" w:hAnsi="Arial" w:cs="Arial"/>
          <w:sz w:val="24"/>
          <w:szCs w:val="24"/>
          <w:lang w:val="es-MX" w:eastAsia="es-ES"/>
        </w:rPr>
        <w:t xml:space="preserve">se detuvo en </w:t>
      </w:r>
      <w:r w:rsidR="00B45EB9">
        <w:rPr>
          <w:rFonts w:ascii="Arial" w:eastAsia="Times New Roman" w:hAnsi="Arial" w:cs="Arial"/>
          <w:sz w:val="24"/>
          <w:szCs w:val="24"/>
          <w:lang w:val="es-MX" w:eastAsia="es-ES"/>
        </w:rPr>
        <w:t>destacar</w:t>
      </w:r>
      <w:r w:rsidR="00604D56">
        <w:rPr>
          <w:rFonts w:ascii="Arial" w:eastAsia="Times New Roman" w:hAnsi="Arial" w:cs="Arial"/>
          <w:sz w:val="24"/>
          <w:szCs w:val="24"/>
          <w:lang w:val="es-MX" w:eastAsia="es-ES"/>
        </w:rPr>
        <w:t xml:space="preserve"> la inactividad probatoria de la demandante, en cuanto a que ésta no </w:t>
      </w:r>
      <w:r w:rsidR="00AB0000">
        <w:rPr>
          <w:rFonts w:ascii="Arial" w:eastAsia="Times New Roman" w:hAnsi="Arial" w:cs="Arial"/>
          <w:sz w:val="24"/>
          <w:szCs w:val="24"/>
          <w:lang w:val="es-MX" w:eastAsia="es-ES"/>
        </w:rPr>
        <w:t>allegó al proceso el pliego de condiciones o términos de referencia para permitir establecer los criterios bajo los cuales las propuestas debían ser evaluadas.</w:t>
      </w:r>
    </w:p>
    <w:p w14:paraId="62B69B6D" w14:textId="77777777" w:rsidR="00AB0000" w:rsidRDefault="00AB0000" w:rsidP="00FE0FF8">
      <w:pPr>
        <w:spacing w:line="360" w:lineRule="auto"/>
        <w:contextualSpacing/>
        <w:rPr>
          <w:rFonts w:ascii="Arial" w:eastAsia="Times New Roman" w:hAnsi="Arial" w:cs="Arial"/>
          <w:sz w:val="24"/>
          <w:szCs w:val="24"/>
          <w:lang w:val="es-MX" w:eastAsia="es-ES"/>
        </w:rPr>
      </w:pPr>
    </w:p>
    <w:p w14:paraId="12758D93" w14:textId="77777777" w:rsidR="00AB0000" w:rsidRDefault="00AB0000" w:rsidP="00FE0FF8">
      <w:pPr>
        <w:spacing w:line="360" w:lineRule="auto"/>
        <w:contextualSpacing/>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En cuanto al segundo aspecto del problema jurídico planteado, el Tribunal </w:t>
      </w:r>
      <w:r w:rsidRPr="009C2FB4">
        <w:rPr>
          <w:rFonts w:ascii="Arial" w:eastAsia="Times New Roman" w:hAnsi="Arial" w:cs="Arial"/>
          <w:i/>
          <w:sz w:val="24"/>
          <w:szCs w:val="24"/>
          <w:lang w:val="es-MX" w:eastAsia="es-ES"/>
        </w:rPr>
        <w:t>a quo</w:t>
      </w:r>
      <w:r>
        <w:rPr>
          <w:rFonts w:ascii="Arial" w:eastAsia="Times New Roman" w:hAnsi="Arial" w:cs="Arial"/>
          <w:sz w:val="24"/>
          <w:szCs w:val="24"/>
          <w:lang w:val="es-MX" w:eastAsia="es-ES"/>
        </w:rPr>
        <w:t xml:space="preserve"> puntualizó que </w:t>
      </w:r>
      <w:r w:rsidR="006F50C8">
        <w:rPr>
          <w:rFonts w:ascii="Arial" w:eastAsia="Times New Roman" w:hAnsi="Arial" w:cs="Arial"/>
          <w:sz w:val="24"/>
          <w:szCs w:val="24"/>
          <w:lang w:val="es-MX" w:eastAsia="es-ES"/>
        </w:rPr>
        <w:t xml:space="preserve">en el proceso </w:t>
      </w:r>
      <w:r>
        <w:rPr>
          <w:rFonts w:ascii="Arial" w:eastAsia="Times New Roman" w:hAnsi="Arial" w:cs="Arial"/>
          <w:sz w:val="24"/>
          <w:szCs w:val="24"/>
          <w:lang w:val="es-MX" w:eastAsia="es-ES"/>
        </w:rPr>
        <w:t>no existen elementos de juicio para establecer que la propuesta de la demandante era la mejor</w:t>
      </w:r>
      <w:r w:rsidR="00913798">
        <w:rPr>
          <w:rFonts w:ascii="Arial" w:eastAsia="Times New Roman" w:hAnsi="Arial" w:cs="Arial"/>
          <w:sz w:val="24"/>
          <w:szCs w:val="24"/>
          <w:lang w:val="es-MX" w:eastAsia="es-ES"/>
        </w:rPr>
        <w:t xml:space="preserve">, por lo que </w:t>
      </w:r>
      <w:r>
        <w:rPr>
          <w:rFonts w:ascii="Arial" w:eastAsia="Times New Roman" w:hAnsi="Arial" w:cs="Arial"/>
          <w:sz w:val="24"/>
          <w:szCs w:val="24"/>
          <w:lang w:val="es-MX" w:eastAsia="es-ES"/>
        </w:rPr>
        <w:t>concluyó que tampoco se probó que debía ser indemnizada con ocasión de la declaratoria de desierta.</w:t>
      </w:r>
    </w:p>
    <w:p w14:paraId="42C5063C" w14:textId="77777777" w:rsidR="00552C3B" w:rsidRDefault="00552C3B" w:rsidP="00FE0FF8">
      <w:pPr>
        <w:spacing w:line="360" w:lineRule="auto"/>
        <w:contextualSpacing/>
        <w:rPr>
          <w:rFonts w:ascii="Arial" w:eastAsia="Times New Roman" w:hAnsi="Arial" w:cs="Arial"/>
          <w:sz w:val="24"/>
          <w:szCs w:val="24"/>
          <w:lang w:val="es-MX" w:eastAsia="es-ES"/>
        </w:rPr>
      </w:pPr>
    </w:p>
    <w:p w14:paraId="1B8D10BA" w14:textId="77777777" w:rsidR="001C3BBF" w:rsidRPr="00C9724F" w:rsidRDefault="001C3BBF" w:rsidP="00FE0FF8">
      <w:pPr>
        <w:spacing w:line="360" w:lineRule="auto"/>
        <w:contextualSpacing/>
        <w:rPr>
          <w:rFonts w:ascii="Arial" w:eastAsia="Times New Roman" w:hAnsi="Arial" w:cs="Arial"/>
          <w:b/>
          <w:sz w:val="24"/>
          <w:szCs w:val="24"/>
          <w:lang w:val="es-MX" w:eastAsia="es-ES"/>
        </w:rPr>
      </w:pPr>
      <w:r w:rsidRPr="00C9724F">
        <w:rPr>
          <w:rFonts w:ascii="Arial" w:eastAsia="Times New Roman" w:hAnsi="Arial" w:cs="Arial"/>
          <w:b/>
          <w:sz w:val="24"/>
          <w:szCs w:val="24"/>
          <w:lang w:val="es-MX" w:eastAsia="es-ES"/>
        </w:rPr>
        <w:lastRenderedPageBreak/>
        <w:t>4.</w:t>
      </w:r>
      <w:r w:rsidR="001B1877">
        <w:rPr>
          <w:rFonts w:ascii="Arial" w:eastAsia="Times New Roman" w:hAnsi="Arial" w:cs="Arial"/>
          <w:b/>
          <w:sz w:val="24"/>
          <w:szCs w:val="24"/>
          <w:lang w:val="es-MX" w:eastAsia="es-ES"/>
        </w:rPr>
        <w:t>9</w:t>
      </w:r>
      <w:r w:rsidRPr="00C9724F">
        <w:rPr>
          <w:rFonts w:ascii="Arial" w:eastAsia="Times New Roman" w:hAnsi="Arial" w:cs="Arial"/>
          <w:b/>
          <w:sz w:val="24"/>
          <w:szCs w:val="24"/>
          <w:lang w:val="es-MX" w:eastAsia="es-ES"/>
        </w:rPr>
        <w:t>.</w:t>
      </w:r>
      <w:r w:rsidRPr="00C9724F">
        <w:rPr>
          <w:rFonts w:ascii="Arial" w:eastAsia="Times New Roman" w:hAnsi="Arial" w:cs="Arial"/>
          <w:b/>
          <w:sz w:val="24"/>
          <w:szCs w:val="24"/>
          <w:lang w:val="es-MX" w:eastAsia="es-ES"/>
        </w:rPr>
        <w:tab/>
        <w:t xml:space="preserve">El recurso de apelación </w:t>
      </w:r>
    </w:p>
    <w:p w14:paraId="0DC77CC0" w14:textId="77777777" w:rsidR="001C3BBF" w:rsidRPr="00C9724F" w:rsidRDefault="001C3BBF" w:rsidP="00FE0FF8">
      <w:pPr>
        <w:spacing w:line="360" w:lineRule="auto"/>
        <w:rPr>
          <w:rFonts w:ascii="Arial" w:eastAsia="Times New Roman" w:hAnsi="Arial" w:cs="Arial"/>
          <w:bCs/>
          <w:sz w:val="24"/>
          <w:szCs w:val="24"/>
          <w:lang w:val="es-MX" w:eastAsia="es-ES"/>
        </w:rPr>
      </w:pPr>
    </w:p>
    <w:p w14:paraId="390988AC" w14:textId="77777777" w:rsidR="001C3BBF" w:rsidRPr="00C9724F" w:rsidRDefault="00062314" w:rsidP="00FE0FF8">
      <w:pPr>
        <w:autoSpaceDE w:val="0"/>
        <w:autoSpaceDN w:val="0"/>
        <w:adjustRightInd w:val="0"/>
        <w:spacing w:line="360" w:lineRule="auto"/>
        <w:rPr>
          <w:rFonts w:ascii="Arial" w:eastAsia="Times New Roman" w:hAnsi="Arial" w:cs="Arial"/>
          <w:i/>
          <w:sz w:val="24"/>
          <w:szCs w:val="24"/>
          <w:lang w:val="es-ES_tradnl" w:eastAsia="es-ES"/>
        </w:rPr>
      </w:pPr>
      <w:r>
        <w:rPr>
          <w:rFonts w:ascii="Arial" w:eastAsia="Times New Roman" w:hAnsi="Arial" w:cs="Arial"/>
          <w:sz w:val="24"/>
          <w:szCs w:val="24"/>
          <w:lang w:val="es-ES_tradnl" w:eastAsia="es-ES"/>
        </w:rPr>
        <w:t>La</w:t>
      </w:r>
      <w:r w:rsidR="004E1299">
        <w:rPr>
          <w:rFonts w:ascii="Arial" w:eastAsia="Times New Roman" w:hAnsi="Arial" w:cs="Arial"/>
          <w:sz w:val="24"/>
          <w:szCs w:val="24"/>
          <w:lang w:val="es-ES_tradnl" w:eastAsia="es-ES"/>
        </w:rPr>
        <w:t xml:space="preserve"> Unión </w:t>
      </w:r>
      <w:r w:rsidR="00A013C4">
        <w:rPr>
          <w:rFonts w:ascii="Arial" w:eastAsia="Times New Roman" w:hAnsi="Arial" w:cs="Arial"/>
          <w:sz w:val="24"/>
          <w:szCs w:val="24"/>
          <w:lang w:val="es-ES_tradnl" w:eastAsia="es-ES"/>
        </w:rPr>
        <w:t>T</w:t>
      </w:r>
      <w:r w:rsidR="004E1299">
        <w:rPr>
          <w:rFonts w:ascii="Arial" w:eastAsia="Times New Roman" w:hAnsi="Arial" w:cs="Arial"/>
          <w:sz w:val="24"/>
          <w:szCs w:val="24"/>
          <w:lang w:val="es-ES_tradnl" w:eastAsia="es-ES"/>
        </w:rPr>
        <w:t xml:space="preserve">emporal </w:t>
      </w:r>
      <w:r w:rsidR="00605B98">
        <w:rPr>
          <w:rFonts w:ascii="Arial" w:eastAsia="Times New Roman" w:hAnsi="Arial" w:cs="Arial"/>
          <w:sz w:val="24"/>
          <w:szCs w:val="24"/>
          <w:lang w:val="es-ES_tradnl" w:eastAsia="es-ES"/>
        </w:rPr>
        <w:t xml:space="preserve">Soluciones Tributarias Integrales, actuando como </w:t>
      </w:r>
      <w:r w:rsidR="004E1299">
        <w:rPr>
          <w:rFonts w:ascii="Arial" w:eastAsia="Times New Roman" w:hAnsi="Arial" w:cs="Arial"/>
          <w:sz w:val="24"/>
          <w:szCs w:val="24"/>
          <w:lang w:val="es-ES_tradnl" w:eastAsia="es-ES"/>
        </w:rPr>
        <w:t>demandante</w:t>
      </w:r>
      <w:r w:rsidR="00605B98">
        <w:rPr>
          <w:rFonts w:ascii="Arial" w:eastAsia="Times New Roman" w:hAnsi="Arial" w:cs="Arial"/>
          <w:sz w:val="24"/>
          <w:szCs w:val="24"/>
          <w:lang w:val="es-ES_tradnl" w:eastAsia="es-ES"/>
        </w:rPr>
        <w:t>,</w:t>
      </w:r>
      <w:r w:rsidR="001C3BBF" w:rsidRPr="00C9724F">
        <w:rPr>
          <w:rFonts w:ascii="Arial" w:eastAsia="Times New Roman" w:hAnsi="Arial" w:cs="Arial"/>
          <w:sz w:val="24"/>
          <w:szCs w:val="24"/>
          <w:lang w:val="es-ES_tradnl" w:eastAsia="es-ES"/>
        </w:rPr>
        <w:t xml:space="preserve"> impugnó la sentencia de primera instancia</w:t>
      </w:r>
      <w:r w:rsidR="00453BC8">
        <w:rPr>
          <w:rFonts w:ascii="Arial" w:eastAsia="Times New Roman" w:hAnsi="Arial" w:cs="Arial"/>
          <w:sz w:val="24"/>
          <w:szCs w:val="24"/>
          <w:lang w:val="es-ES_tradnl" w:eastAsia="es-ES"/>
        </w:rPr>
        <w:t>,</w:t>
      </w:r>
      <w:r w:rsidR="001C3BBF" w:rsidRPr="00C9724F">
        <w:rPr>
          <w:rFonts w:ascii="Arial" w:eastAsia="Times New Roman" w:hAnsi="Arial" w:cs="Arial"/>
          <w:sz w:val="24"/>
          <w:szCs w:val="24"/>
          <w:lang w:val="es-ES_tradnl" w:eastAsia="es-ES"/>
        </w:rPr>
        <w:t xml:space="preserve"> </w:t>
      </w:r>
      <w:r w:rsidR="001679E5" w:rsidRPr="00C9724F">
        <w:rPr>
          <w:rFonts w:ascii="Arial" w:eastAsia="Times New Roman" w:hAnsi="Arial" w:cs="Arial"/>
          <w:sz w:val="24"/>
          <w:szCs w:val="24"/>
          <w:lang w:val="es-ES_tradnl" w:eastAsia="es-ES"/>
        </w:rPr>
        <w:t xml:space="preserve">mediante escrito presentado </w:t>
      </w:r>
      <w:r w:rsidR="001C3BBF" w:rsidRPr="00C9724F">
        <w:rPr>
          <w:rFonts w:ascii="Arial" w:eastAsia="Times New Roman" w:hAnsi="Arial" w:cs="Arial"/>
          <w:sz w:val="24"/>
          <w:szCs w:val="24"/>
          <w:lang w:val="es-ES_tradnl" w:eastAsia="es-ES"/>
        </w:rPr>
        <w:t xml:space="preserve">el </w:t>
      </w:r>
      <w:r w:rsidR="004E1299">
        <w:rPr>
          <w:rFonts w:ascii="Arial" w:eastAsia="Times New Roman" w:hAnsi="Arial" w:cs="Arial"/>
          <w:sz w:val="24"/>
          <w:szCs w:val="24"/>
          <w:lang w:val="es-ES_tradnl" w:eastAsia="es-ES"/>
        </w:rPr>
        <w:t>4</w:t>
      </w:r>
      <w:r w:rsidR="001C3BBF" w:rsidRPr="00C9724F">
        <w:rPr>
          <w:rFonts w:ascii="Arial" w:eastAsia="Times New Roman" w:hAnsi="Arial" w:cs="Arial"/>
          <w:sz w:val="24"/>
          <w:szCs w:val="24"/>
          <w:lang w:val="es-ES_tradnl" w:eastAsia="es-ES"/>
        </w:rPr>
        <w:t xml:space="preserve"> de </w:t>
      </w:r>
      <w:r w:rsidR="004E1299">
        <w:rPr>
          <w:rFonts w:ascii="Arial" w:eastAsia="Times New Roman" w:hAnsi="Arial" w:cs="Arial"/>
          <w:sz w:val="24"/>
          <w:szCs w:val="24"/>
          <w:lang w:val="es-ES_tradnl" w:eastAsia="es-ES"/>
        </w:rPr>
        <w:t xml:space="preserve">marzo </w:t>
      </w:r>
      <w:r w:rsidR="001C3BBF" w:rsidRPr="00C9724F">
        <w:rPr>
          <w:rFonts w:ascii="Arial" w:eastAsia="Times New Roman" w:hAnsi="Arial" w:cs="Arial"/>
          <w:sz w:val="24"/>
          <w:szCs w:val="24"/>
          <w:lang w:val="es-ES_tradnl" w:eastAsia="es-ES"/>
        </w:rPr>
        <w:t>de 20</w:t>
      </w:r>
      <w:r w:rsidR="004E1299">
        <w:rPr>
          <w:rFonts w:ascii="Arial" w:eastAsia="Times New Roman" w:hAnsi="Arial" w:cs="Arial"/>
          <w:sz w:val="24"/>
          <w:szCs w:val="24"/>
          <w:lang w:val="es-ES_tradnl" w:eastAsia="es-ES"/>
        </w:rPr>
        <w:t>14, en el cual sustentó el respectivo recurso de apelación</w:t>
      </w:r>
      <w:r w:rsidR="004E1299">
        <w:rPr>
          <w:rStyle w:val="Refdenotaalpie"/>
          <w:rFonts w:ascii="Arial" w:eastAsia="Times New Roman" w:hAnsi="Arial" w:cs="Arial"/>
          <w:sz w:val="24"/>
          <w:szCs w:val="24"/>
          <w:lang w:val="es-ES_tradnl" w:eastAsia="es-ES"/>
        </w:rPr>
        <w:footnoteReference w:id="10"/>
      </w:r>
      <w:r w:rsidR="004E1299">
        <w:rPr>
          <w:rFonts w:ascii="Arial" w:eastAsia="Times New Roman" w:hAnsi="Arial" w:cs="Arial"/>
          <w:sz w:val="24"/>
          <w:szCs w:val="24"/>
          <w:lang w:val="es-ES_tradnl" w:eastAsia="es-ES"/>
        </w:rPr>
        <w:t xml:space="preserve">. </w:t>
      </w:r>
    </w:p>
    <w:p w14:paraId="3DCD0DCB" w14:textId="77777777" w:rsidR="004E1299" w:rsidRDefault="004E1299" w:rsidP="00FE0FF8">
      <w:pPr>
        <w:spacing w:line="360" w:lineRule="auto"/>
        <w:rPr>
          <w:rFonts w:ascii="Arial" w:eastAsia="Times New Roman" w:hAnsi="Arial" w:cs="Arial"/>
          <w:bCs/>
          <w:sz w:val="24"/>
          <w:szCs w:val="24"/>
          <w:lang w:val="es-MX" w:eastAsia="es-ES"/>
        </w:rPr>
      </w:pPr>
    </w:p>
    <w:p w14:paraId="7E970061" w14:textId="77777777" w:rsidR="00E93700" w:rsidRDefault="00E93700"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En la sustentación aseveró que con lo expuesto en la demanda </w:t>
      </w:r>
      <w:r w:rsidR="00453BC8">
        <w:rPr>
          <w:rFonts w:ascii="Arial" w:eastAsia="Times New Roman" w:hAnsi="Arial" w:cs="Arial"/>
          <w:bCs/>
          <w:sz w:val="24"/>
          <w:szCs w:val="24"/>
          <w:lang w:val="es-MX" w:eastAsia="es-ES"/>
        </w:rPr>
        <w:t xml:space="preserve">se entiende que </w:t>
      </w:r>
      <w:r>
        <w:rPr>
          <w:rFonts w:ascii="Arial" w:eastAsia="Times New Roman" w:hAnsi="Arial" w:cs="Arial"/>
          <w:bCs/>
          <w:sz w:val="24"/>
          <w:szCs w:val="24"/>
          <w:lang w:val="es-MX" w:eastAsia="es-ES"/>
        </w:rPr>
        <w:t>la parte actora acreditó que tenía la mejor propuesta y que</w:t>
      </w:r>
      <w:r w:rsidR="00A013C4">
        <w:rPr>
          <w:rFonts w:ascii="Arial" w:eastAsia="Times New Roman" w:hAnsi="Arial" w:cs="Arial"/>
          <w:bCs/>
          <w:sz w:val="24"/>
          <w:szCs w:val="24"/>
          <w:lang w:val="es-MX" w:eastAsia="es-ES"/>
        </w:rPr>
        <w:t xml:space="preserve">, como consecuencia, </w:t>
      </w:r>
      <w:r>
        <w:rPr>
          <w:rFonts w:ascii="Arial" w:eastAsia="Times New Roman" w:hAnsi="Arial" w:cs="Arial"/>
          <w:bCs/>
          <w:sz w:val="24"/>
          <w:szCs w:val="24"/>
          <w:lang w:val="es-MX" w:eastAsia="es-ES"/>
        </w:rPr>
        <w:t>la sentencia de primera instancia</w:t>
      </w:r>
      <w:r w:rsidR="00A013C4">
        <w:rPr>
          <w:rFonts w:ascii="Arial" w:eastAsia="Times New Roman" w:hAnsi="Arial" w:cs="Arial"/>
          <w:bCs/>
          <w:sz w:val="24"/>
          <w:szCs w:val="24"/>
          <w:lang w:val="es-MX" w:eastAsia="es-ES"/>
        </w:rPr>
        <w:t xml:space="preserve"> deb</w:t>
      </w:r>
      <w:r w:rsidR="00453BC8">
        <w:rPr>
          <w:rFonts w:ascii="Arial" w:eastAsia="Times New Roman" w:hAnsi="Arial" w:cs="Arial"/>
          <w:bCs/>
          <w:sz w:val="24"/>
          <w:szCs w:val="24"/>
          <w:lang w:val="es-MX" w:eastAsia="es-ES"/>
        </w:rPr>
        <w:t>e</w:t>
      </w:r>
      <w:r w:rsidR="00A013C4">
        <w:rPr>
          <w:rFonts w:ascii="Arial" w:eastAsia="Times New Roman" w:hAnsi="Arial" w:cs="Arial"/>
          <w:bCs/>
          <w:sz w:val="24"/>
          <w:szCs w:val="24"/>
          <w:lang w:val="es-MX" w:eastAsia="es-ES"/>
        </w:rPr>
        <w:t xml:space="preserve"> ser revocada</w:t>
      </w:r>
      <w:r>
        <w:rPr>
          <w:rFonts w:ascii="Arial" w:eastAsia="Times New Roman" w:hAnsi="Arial" w:cs="Arial"/>
          <w:bCs/>
          <w:sz w:val="24"/>
          <w:szCs w:val="24"/>
          <w:lang w:val="es-MX" w:eastAsia="es-ES"/>
        </w:rPr>
        <w:t xml:space="preserve">. </w:t>
      </w:r>
    </w:p>
    <w:p w14:paraId="01F68F10" w14:textId="77777777" w:rsidR="00E93700" w:rsidRDefault="00E93700" w:rsidP="00FE0FF8">
      <w:pPr>
        <w:spacing w:line="360" w:lineRule="auto"/>
        <w:rPr>
          <w:rFonts w:ascii="Arial" w:eastAsia="Times New Roman" w:hAnsi="Arial" w:cs="Arial"/>
          <w:bCs/>
          <w:sz w:val="24"/>
          <w:szCs w:val="24"/>
          <w:lang w:val="es-MX" w:eastAsia="es-ES"/>
        </w:rPr>
      </w:pPr>
    </w:p>
    <w:p w14:paraId="6ADB1C2C" w14:textId="77777777" w:rsidR="00F259D2" w:rsidRDefault="00E93700"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En las conclusiones </w:t>
      </w:r>
      <w:r w:rsidR="00A013C4">
        <w:rPr>
          <w:rFonts w:ascii="Arial" w:eastAsia="Times New Roman" w:hAnsi="Arial" w:cs="Arial"/>
          <w:bCs/>
          <w:sz w:val="24"/>
          <w:szCs w:val="24"/>
          <w:lang w:val="es-MX" w:eastAsia="es-ES"/>
        </w:rPr>
        <w:t xml:space="preserve">de su </w:t>
      </w:r>
      <w:r w:rsidR="006F50C8">
        <w:rPr>
          <w:rFonts w:ascii="Arial" w:eastAsia="Times New Roman" w:hAnsi="Arial" w:cs="Arial"/>
          <w:bCs/>
          <w:sz w:val="24"/>
          <w:szCs w:val="24"/>
          <w:lang w:val="es-MX" w:eastAsia="es-ES"/>
        </w:rPr>
        <w:t>apelación</w:t>
      </w:r>
      <w:r w:rsidR="00A013C4">
        <w:rPr>
          <w:rFonts w:ascii="Arial" w:eastAsia="Times New Roman" w:hAnsi="Arial" w:cs="Arial"/>
          <w:bCs/>
          <w:sz w:val="24"/>
          <w:szCs w:val="24"/>
          <w:lang w:val="es-MX" w:eastAsia="es-ES"/>
        </w:rPr>
        <w:t xml:space="preserve">, la </w:t>
      </w:r>
      <w:r w:rsidR="006F50C8">
        <w:rPr>
          <w:rFonts w:ascii="Arial" w:eastAsia="Times New Roman" w:hAnsi="Arial" w:cs="Arial"/>
          <w:bCs/>
          <w:sz w:val="24"/>
          <w:szCs w:val="24"/>
          <w:lang w:val="es-MX" w:eastAsia="es-ES"/>
        </w:rPr>
        <w:t xml:space="preserve">parte actora </w:t>
      </w:r>
      <w:r>
        <w:rPr>
          <w:rFonts w:ascii="Arial" w:eastAsia="Times New Roman" w:hAnsi="Arial" w:cs="Arial"/>
          <w:bCs/>
          <w:sz w:val="24"/>
          <w:szCs w:val="24"/>
          <w:lang w:val="es-MX" w:eastAsia="es-ES"/>
        </w:rPr>
        <w:t xml:space="preserve">indicó que el Tribunal </w:t>
      </w:r>
      <w:r w:rsidRPr="002A0889">
        <w:rPr>
          <w:rFonts w:ascii="Arial" w:eastAsia="Times New Roman" w:hAnsi="Arial" w:cs="Arial"/>
          <w:bCs/>
          <w:i/>
          <w:sz w:val="24"/>
          <w:szCs w:val="24"/>
          <w:lang w:val="es-MX" w:eastAsia="es-ES"/>
        </w:rPr>
        <w:t>a quo</w:t>
      </w:r>
      <w:r>
        <w:rPr>
          <w:rFonts w:ascii="Arial" w:eastAsia="Times New Roman" w:hAnsi="Arial" w:cs="Arial"/>
          <w:bCs/>
          <w:sz w:val="24"/>
          <w:szCs w:val="24"/>
          <w:lang w:val="es-MX" w:eastAsia="es-ES"/>
        </w:rPr>
        <w:t xml:space="preserve"> solicitó</w:t>
      </w:r>
      <w:r w:rsidR="00AB0000">
        <w:rPr>
          <w:rFonts w:ascii="Arial" w:eastAsia="Times New Roman" w:hAnsi="Arial" w:cs="Arial"/>
          <w:bCs/>
          <w:sz w:val="24"/>
          <w:szCs w:val="24"/>
          <w:lang w:val="es-MX" w:eastAsia="es-ES"/>
        </w:rPr>
        <w:t xml:space="preserve"> </w:t>
      </w:r>
      <w:proofErr w:type="gramStart"/>
      <w:r w:rsidR="00AB0000">
        <w:rPr>
          <w:rFonts w:ascii="Arial" w:eastAsia="Times New Roman" w:hAnsi="Arial" w:cs="Arial"/>
          <w:bCs/>
          <w:sz w:val="24"/>
          <w:szCs w:val="24"/>
          <w:lang w:val="es-MX" w:eastAsia="es-ES"/>
        </w:rPr>
        <w:t>la siguientes pruebas</w:t>
      </w:r>
      <w:proofErr w:type="gramEnd"/>
      <w:r>
        <w:rPr>
          <w:rFonts w:ascii="Arial" w:eastAsia="Times New Roman" w:hAnsi="Arial" w:cs="Arial"/>
          <w:bCs/>
          <w:sz w:val="24"/>
          <w:szCs w:val="24"/>
          <w:lang w:val="es-MX" w:eastAsia="es-ES"/>
        </w:rPr>
        <w:t xml:space="preserve">: </w:t>
      </w:r>
      <w:r w:rsidRPr="00B45EB9">
        <w:rPr>
          <w:rFonts w:ascii="Arial" w:eastAsia="Times New Roman" w:hAnsi="Arial" w:cs="Arial"/>
          <w:b/>
          <w:bCs/>
          <w:sz w:val="24"/>
          <w:szCs w:val="24"/>
          <w:lang w:val="es-MX" w:eastAsia="es-ES"/>
        </w:rPr>
        <w:t>i)</w:t>
      </w:r>
      <w:r>
        <w:rPr>
          <w:rFonts w:ascii="Arial" w:eastAsia="Times New Roman" w:hAnsi="Arial" w:cs="Arial"/>
          <w:bCs/>
          <w:sz w:val="24"/>
          <w:szCs w:val="24"/>
          <w:lang w:val="es-MX" w:eastAsia="es-ES"/>
        </w:rPr>
        <w:t xml:space="preserve"> copia aut</w:t>
      </w:r>
      <w:r w:rsidR="00913798">
        <w:rPr>
          <w:rFonts w:ascii="Arial" w:eastAsia="Times New Roman" w:hAnsi="Arial" w:cs="Arial"/>
          <w:bCs/>
          <w:sz w:val="24"/>
          <w:szCs w:val="24"/>
          <w:lang w:val="es-MX" w:eastAsia="es-ES"/>
        </w:rPr>
        <w:t>é</w:t>
      </w:r>
      <w:r>
        <w:rPr>
          <w:rFonts w:ascii="Arial" w:eastAsia="Times New Roman" w:hAnsi="Arial" w:cs="Arial"/>
          <w:bCs/>
          <w:sz w:val="24"/>
          <w:szCs w:val="24"/>
          <w:lang w:val="es-MX" w:eastAsia="es-ES"/>
        </w:rPr>
        <w:t xml:space="preserve">ntica de la totalidad de la correspondencia cruzada ente </w:t>
      </w:r>
      <w:r w:rsidR="002A0889">
        <w:rPr>
          <w:rFonts w:ascii="Arial" w:eastAsia="Times New Roman" w:hAnsi="Arial" w:cs="Arial"/>
          <w:bCs/>
          <w:sz w:val="24"/>
          <w:szCs w:val="24"/>
          <w:lang w:val="es-MX" w:eastAsia="es-ES"/>
        </w:rPr>
        <w:t xml:space="preserve">la alcaldía distrital </w:t>
      </w:r>
      <w:r>
        <w:rPr>
          <w:rFonts w:ascii="Arial" w:eastAsia="Times New Roman" w:hAnsi="Arial" w:cs="Arial"/>
          <w:bCs/>
          <w:sz w:val="24"/>
          <w:szCs w:val="24"/>
          <w:lang w:val="es-MX" w:eastAsia="es-ES"/>
        </w:rPr>
        <w:t xml:space="preserve">de Cartagena y la Fiduciaria </w:t>
      </w:r>
      <w:r w:rsidR="00696569">
        <w:rPr>
          <w:rFonts w:ascii="Arial" w:eastAsia="Times New Roman" w:hAnsi="Arial" w:cs="Arial"/>
          <w:bCs/>
          <w:sz w:val="24"/>
          <w:szCs w:val="24"/>
          <w:lang w:val="es-MX" w:eastAsia="es-ES"/>
        </w:rPr>
        <w:t>L</w:t>
      </w:r>
      <w:r>
        <w:rPr>
          <w:rFonts w:ascii="Arial" w:eastAsia="Times New Roman" w:hAnsi="Arial" w:cs="Arial"/>
          <w:bCs/>
          <w:sz w:val="24"/>
          <w:szCs w:val="24"/>
          <w:lang w:val="es-MX" w:eastAsia="es-ES"/>
        </w:rPr>
        <w:t xml:space="preserve">a </w:t>
      </w:r>
      <w:r w:rsidR="00696569">
        <w:rPr>
          <w:rFonts w:ascii="Arial" w:eastAsia="Times New Roman" w:hAnsi="Arial" w:cs="Arial"/>
          <w:bCs/>
          <w:sz w:val="24"/>
          <w:szCs w:val="24"/>
          <w:lang w:val="es-MX" w:eastAsia="es-ES"/>
        </w:rPr>
        <w:t>P</w:t>
      </w:r>
      <w:r>
        <w:rPr>
          <w:rFonts w:ascii="Arial" w:eastAsia="Times New Roman" w:hAnsi="Arial" w:cs="Arial"/>
          <w:bCs/>
          <w:sz w:val="24"/>
          <w:szCs w:val="24"/>
          <w:lang w:val="es-MX" w:eastAsia="es-ES"/>
        </w:rPr>
        <w:t>revis</w:t>
      </w:r>
      <w:r w:rsidR="00696569">
        <w:rPr>
          <w:rFonts w:ascii="Arial" w:eastAsia="Times New Roman" w:hAnsi="Arial" w:cs="Arial"/>
          <w:bCs/>
          <w:sz w:val="24"/>
          <w:szCs w:val="24"/>
          <w:lang w:val="es-MX" w:eastAsia="es-ES"/>
        </w:rPr>
        <w:t xml:space="preserve">ora </w:t>
      </w:r>
      <w:r>
        <w:rPr>
          <w:rFonts w:ascii="Arial" w:eastAsia="Times New Roman" w:hAnsi="Arial" w:cs="Arial"/>
          <w:bCs/>
          <w:sz w:val="24"/>
          <w:szCs w:val="24"/>
          <w:lang w:val="es-MX" w:eastAsia="es-ES"/>
        </w:rPr>
        <w:t>S.A, relacionada con la invitación pública</w:t>
      </w:r>
      <w:r w:rsidR="00A013C4">
        <w:rPr>
          <w:rFonts w:ascii="Arial" w:eastAsia="Times New Roman" w:hAnsi="Arial" w:cs="Arial"/>
          <w:bCs/>
          <w:sz w:val="24"/>
          <w:szCs w:val="24"/>
          <w:lang w:val="es-MX" w:eastAsia="es-ES"/>
        </w:rPr>
        <w:t xml:space="preserve">; </w:t>
      </w:r>
      <w:r w:rsidR="00A013C4" w:rsidRPr="00A013C4">
        <w:rPr>
          <w:rFonts w:ascii="Arial" w:eastAsia="Times New Roman" w:hAnsi="Arial" w:cs="Arial"/>
          <w:b/>
          <w:bCs/>
          <w:sz w:val="24"/>
          <w:szCs w:val="24"/>
          <w:lang w:val="es-MX" w:eastAsia="es-ES"/>
        </w:rPr>
        <w:t>ii)</w:t>
      </w:r>
      <w:r w:rsidR="00A013C4">
        <w:rPr>
          <w:rFonts w:ascii="Arial" w:eastAsia="Times New Roman" w:hAnsi="Arial" w:cs="Arial"/>
          <w:bCs/>
          <w:sz w:val="24"/>
          <w:szCs w:val="24"/>
          <w:lang w:val="es-MX" w:eastAsia="es-ES"/>
        </w:rPr>
        <w:t xml:space="preserve"> </w:t>
      </w:r>
      <w:r w:rsidR="00696569">
        <w:rPr>
          <w:rFonts w:ascii="Arial" w:eastAsia="Times New Roman" w:hAnsi="Arial" w:cs="Arial"/>
          <w:bCs/>
          <w:sz w:val="24"/>
          <w:szCs w:val="24"/>
          <w:lang w:val="es-MX" w:eastAsia="es-ES"/>
        </w:rPr>
        <w:t xml:space="preserve">copia de la propuesta presentada por la </w:t>
      </w:r>
      <w:r w:rsidR="002A0889">
        <w:rPr>
          <w:rFonts w:ascii="Arial" w:eastAsia="Times New Roman" w:hAnsi="Arial" w:cs="Arial"/>
          <w:bCs/>
          <w:sz w:val="24"/>
          <w:szCs w:val="24"/>
          <w:lang w:val="es-MX" w:eastAsia="es-ES"/>
        </w:rPr>
        <w:t xml:space="preserve">unión temporal </w:t>
      </w:r>
      <w:r w:rsidR="00696569">
        <w:rPr>
          <w:rFonts w:ascii="Arial" w:eastAsia="Times New Roman" w:hAnsi="Arial" w:cs="Arial"/>
          <w:bCs/>
          <w:sz w:val="24"/>
          <w:szCs w:val="24"/>
          <w:lang w:val="es-MX" w:eastAsia="es-ES"/>
        </w:rPr>
        <w:t>demandante</w:t>
      </w:r>
      <w:r w:rsidR="001B1877">
        <w:rPr>
          <w:rFonts w:ascii="Arial" w:eastAsia="Times New Roman" w:hAnsi="Arial" w:cs="Arial"/>
          <w:bCs/>
          <w:sz w:val="24"/>
          <w:szCs w:val="24"/>
          <w:lang w:val="es-MX" w:eastAsia="es-ES"/>
        </w:rPr>
        <w:t xml:space="preserve">; </w:t>
      </w:r>
      <w:r w:rsidR="00A013C4" w:rsidRPr="00A013C4">
        <w:rPr>
          <w:rFonts w:ascii="Arial" w:eastAsia="Times New Roman" w:hAnsi="Arial" w:cs="Arial"/>
          <w:b/>
          <w:bCs/>
          <w:sz w:val="24"/>
          <w:szCs w:val="24"/>
          <w:lang w:val="es-MX" w:eastAsia="es-ES"/>
        </w:rPr>
        <w:t>iii)</w:t>
      </w:r>
      <w:r w:rsidR="00A013C4">
        <w:rPr>
          <w:rFonts w:ascii="Arial" w:eastAsia="Times New Roman" w:hAnsi="Arial" w:cs="Arial"/>
          <w:bCs/>
          <w:sz w:val="24"/>
          <w:szCs w:val="24"/>
          <w:lang w:val="es-MX" w:eastAsia="es-ES"/>
        </w:rPr>
        <w:t xml:space="preserve"> </w:t>
      </w:r>
      <w:r w:rsidR="00696569">
        <w:rPr>
          <w:rFonts w:ascii="Arial" w:eastAsia="Times New Roman" w:hAnsi="Arial" w:cs="Arial"/>
          <w:bCs/>
          <w:sz w:val="24"/>
          <w:szCs w:val="24"/>
          <w:lang w:val="es-MX" w:eastAsia="es-ES"/>
        </w:rPr>
        <w:t>copia de todas las piezas del proce</w:t>
      </w:r>
      <w:r w:rsidR="00F259D2">
        <w:rPr>
          <w:rFonts w:ascii="Arial" w:eastAsia="Times New Roman" w:hAnsi="Arial" w:cs="Arial"/>
          <w:bCs/>
          <w:sz w:val="24"/>
          <w:szCs w:val="24"/>
          <w:lang w:val="es-MX" w:eastAsia="es-ES"/>
        </w:rPr>
        <w:t xml:space="preserve">dimiento </w:t>
      </w:r>
      <w:r w:rsidR="00696569">
        <w:rPr>
          <w:rFonts w:ascii="Arial" w:eastAsia="Times New Roman" w:hAnsi="Arial" w:cs="Arial"/>
          <w:bCs/>
          <w:sz w:val="24"/>
          <w:szCs w:val="24"/>
          <w:lang w:val="es-MX" w:eastAsia="es-ES"/>
        </w:rPr>
        <w:t>que se dec</w:t>
      </w:r>
      <w:r w:rsidR="00F259D2">
        <w:rPr>
          <w:rFonts w:ascii="Arial" w:eastAsia="Times New Roman" w:hAnsi="Arial" w:cs="Arial"/>
          <w:bCs/>
          <w:sz w:val="24"/>
          <w:szCs w:val="24"/>
          <w:lang w:val="es-MX" w:eastAsia="es-ES"/>
        </w:rPr>
        <w:t>l</w:t>
      </w:r>
      <w:r w:rsidR="00696569">
        <w:rPr>
          <w:rFonts w:ascii="Arial" w:eastAsia="Times New Roman" w:hAnsi="Arial" w:cs="Arial"/>
          <w:bCs/>
          <w:sz w:val="24"/>
          <w:szCs w:val="24"/>
          <w:lang w:val="es-MX" w:eastAsia="es-ES"/>
        </w:rPr>
        <w:t xml:space="preserve">aró desierto y </w:t>
      </w:r>
      <w:r w:rsidR="00F259D2" w:rsidRPr="00F259D2">
        <w:rPr>
          <w:rFonts w:ascii="Arial" w:eastAsia="Times New Roman" w:hAnsi="Arial" w:cs="Arial"/>
          <w:b/>
          <w:bCs/>
          <w:sz w:val="24"/>
          <w:szCs w:val="24"/>
          <w:lang w:val="es-MX" w:eastAsia="es-ES"/>
        </w:rPr>
        <w:t>iv)</w:t>
      </w:r>
      <w:r w:rsidR="00F259D2">
        <w:rPr>
          <w:rFonts w:ascii="Arial" w:eastAsia="Times New Roman" w:hAnsi="Arial" w:cs="Arial"/>
          <w:bCs/>
          <w:sz w:val="24"/>
          <w:szCs w:val="24"/>
          <w:lang w:val="es-MX" w:eastAsia="es-ES"/>
        </w:rPr>
        <w:t xml:space="preserve"> </w:t>
      </w:r>
      <w:r w:rsidR="00696569">
        <w:rPr>
          <w:rFonts w:ascii="Arial" w:eastAsia="Times New Roman" w:hAnsi="Arial" w:cs="Arial"/>
          <w:bCs/>
          <w:sz w:val="24"/>
          <w:szCs w:val="24"/>
          <w:lang w:val="es-MX" w:eastAsia="es-ES"/>
        </w:rPr>
        <w:t>copia auténtica de la evaluación técnica</w:t>
      </w:r>
      <w:r w:rsidR="006F50C8">
        <w:rPr>
          <w:rFonts w:ascii="Arial" w:eastAsia="Times New Roman" w:hAnsi="Arial" w:cs="Arial"/>
          <w:bCs/>
          <w:sz w:val="24"/>
          <w:szCs w:val="24"/>
          <w:lang w:val="es-MX" w:eastAsia="es-ES"/>
        </w:rPr>
        <w:t>.</w:t>
      </w:r>
      <w:r w:rsidR="00696569">
        <w:rPr>
          <w:rFonts w:ascii="Arial" w:eastAsia="Times New Roman" w:hAnsi="Arial" w:cs="Arial"/>
          <w:bCs/>
          <w:sz w:val="24"/>
          <w:szCs w:val="24"/>
          <w:lang w:val="es-MX" w:eastAsia="es-ES"/>
        </w:rPr>
        <w:t xml:space="preserve"> </w:t>
      </w:r>
      <w:r w:rsidR="00F259D2">
        <w:rPr>
          <w:rFonts w:ascii="Arial" w:eastAsia="Times New Roman" w:hAnsi="Arial" w:cs="Arial"/>
          <w:bCs/>
          <w:sz w:val="24"/>
          <w:szCs w:val="24"/>
          <w:lang w:val="es-MX" w:eastAsia="es-ES"/>
        </w:rPr>
        <w:t xml:space="preserve">Observó que </w:t>
      </w:r>
      <w:r w:rsidR="007B0416">
        <w:rPr>
          <w:rFonts w:ascii="Arial" w:eastAsia="Times New Roman" w:hAnsi="Arial" w:cs="Arial"/>
          <w:bCs/>
          <w:sz w:val="24"/>
          <w:szCs w:val="24"/>
          <w:lang w:val="es-MX" w:eastAsia="es-ES"/>
        </w:rPr>
        <w:t xml:space="preserve">ni </w:t>
      </w:r>
      <w:r w:rsidR="00696569">
        <w:rPr>
          <w:rFonts w:ascii="Arial" w:eastAsia="Times New Roman" w:hAnsi="Arial" w:cs="Arial"/>
          <w:bCs/>
          <w:sz w:val="24"/>
          <w:szCs w:val="24"/>
          <w:lang w:val="es-MX" w:eastAsia="es-ES"/>
        </w:rPr>
        <w:t>el distrito n</w:t>
      </w:r>
      <w:r w:rsidR="007B0416">
        <w:rPr>
          <w:rFonts w:ascii="Arial" w:eastAsia="Times New Roman" w:hAnsi="Arial" w:cs="Arial"/>
          <w:bCs/>
          <w:sz w:val="24"/>
          <w:szCs w:val="24"/>
          <w:lang w:val="es-MX" w:eastAsia="es-ES"/>
        </w:rPr>
        <w:t xml:space="preserve">i la fiduciaria aportaron los documentos </w:t>
      </w:r>
      <w:r w:rsidR="00AB0000">
        <w:rPr>
          <w:rFonts w:ascii="Arial" w:eastAsia="Times New Roman" w:hAnsi="Arial" w:cs="Arial"/>
          <w:bCs/>
          <w:sz w:val="24"/>
          <w:szCs w:val="24"/>
          <w:lang w:val="es-MX" w:eastAsia="es-ES"/>
        </w:rPr>
        <w:t xml:space="preserve">antes </w:t>
      </w:r>
      <w:r w:rsidR="007B0416">
        <w:rPr>
          <w:rFonts w:ascii="Arial" w:eastAsia="Times New Roman" w:hAnsi="Arial" w:cs="Arial"/>
          <w:bCs/>
          <w:sz w:val="24"/>
          <w:szCs w:val="24"/>
          <w:lang w:val="es-MX" w:eastAsia="es-ES"/>
        </w:rPr>
        <w:t>requeridos</w:t>
      </w:r>
      <w:r w:rsidR="00913798">
        <w:rPr>
          <w:rFonts w:ascii="Arial" w:eastAsia="Times New Roman" w:hAnsi="Arial" w:cs="Arial"/>
          <w:bCs/>
          <w:sz w:val="24"/>
          <w:szCs w:val="24"/>
          <w:lang w:val="es-MX" w:eastAsia="es-ES"/>
        </w:rPr>
        <w:t>,</w:t>
      </w:r>
      <w:r w:rsidR="007B0416">
        <w:rPr>
          <w:rFonts w:ascii="Arial" w:eastAsia="Times New Roman" w:hAnsi="Arial" w:cs="Arial"/>
          <w:bCs/>
          <w:sz w:val="24"/>
          <w:szCs w:val="24"/>
          <w:lang w:val="es-MX" w:eastAsia="es-ES"/>
        </w:rPr>
        <w:t xml:space="preserve"> pese a que el Tribunal </w:t>
      </w:r>
      <w:r w:rsidR="00F259D2" w:rsidRPr="00F97A73">
        <w:rPr>
          <w:rFonts w:ascii="Arial" w:eastAsia="Times New Roman" w:hAnsi="Arial" w:cs="Arial"/>
          <w:bCs/>
          <w:i/>
          <w:sz w:val="24"/>
          <w:szCs w:val="24"/>
          <w:lang w:val="es-MX" w:eastAsia="es-ES"/>
        </w:rPr>
        <w:t>a quo</w:t>
      </w:r>
      <w:r w:rsidR="00F259D2">
        <w:rPr>
          <w:rFonts w:ascii="Arial" w:eastAsia="Times New Roman" w:hAnsi="Arial" w:cs="Arial"/>
          <w:bCs/>
          <w:sz w:val="24"/>
          <w:szCs w:val="24"/>
          <w:lang w:val="es-MX" w:eastAsia="es-ES"/>
        </w:rPr>
        <w:t xml:space="preserve"> les </w:t>
      </w:r>
      <w:r w:rsidR="007B0416">
        <w:rPr>
          <w:rFonts w:ascii="Arial" w:eastAsia="Times New Roman" w:hAnsi="Arial" w:cs="Arial"/>
          <w:bCs/>
          <w:sz w:val="24"/>
          <w:szCs w:val="24"/>
          <w:lang w:val="es-MX" w:eastAsia="es-ES"/>
        </w:rPr>
        <w:t>libr</w:t>
      </w:r>
      <w:r w:rsidR="002A0889">
        <w:rPr>
          <w:rFonts w:ascii="Arial" w:eastAsia="Times New Roman" w:hAnsi="Arial" w:cs="Arial"/>
          <w:bCs/>
          <w:sz w:val="24"/>
          <w:szCs w:val="24"/>
          <w:lang w:val="es-MX" w:eastAsia="es-ES"/>
        </w:rPr>
        <w:t>ó</w:t>
      </w:r>
      <w:r w:rsidR="007B0416">
        <w:rPr>
          <w:rFonts w:ascii="Arial" w:eastAsia="Times New Roman" w:hAnsi="Arial" w:cs="Arial"/>
          <w:bCs/>
          <w:sz w:val="24"/>
          <w:szCs w:val="24"/>
          <w:lang w:val="es-MX" w:eastAsia="es-ES"/>
        </w:rPr>
        <w:t xml:space="preserve"> los oficios correspondientes</w:t>
      </w:r>
      <w:r w:rsidR="00F259D2">
        <w:rPr>
          <w:rFonts w:ascii="Arial" w:eastAsia="Times New Roman" w:hAnsi="Arial" w:cs="Arial"/>
          <w:bCs/>
          <w:sz w:val="24"/>
          <w:szCs w:val="24"/>
          <w:lang w:val="es-MX" w:eastAsia="es-ES"/>
        </w:rPr>
        <w:t xml:space="preserve"> en varias oportunidades, esto es, </w:t>
      </w:r>
      <w:r w:rsidR="007B0416">
        <w:rPr>
          <w:rFonts w:ascii="Arial" w:eastAsia="Times New Roman" w:hAnsi="Arial" w:cs="Arial"/>
          <w:bCs/>
          <w:sz w:val="24"/>
          <w:szCs w:val="24"/>
          <w:lang w:val="es-MX" w:eastAsia="es-ES"/>
        </w:rPr>
        <w:t>el 20 de octubre de 2004, el 24 de junio de 2005 y el 19 de septiembre de 2008.</w:t>
      </w:r>
    </w:p>
    <w:p w14:paraId="72D4A923" w14:textId="77777777" w:rsidR="00F259D2" w:rsidRDefault="00F259D2" w:rsidP="00FE0FF8">
      <w:pPr>
        <w:spacing w:line="360" w:lineRule="auto"/>
        <w:rPr>
          <w:rFonts w:ascii="Arial" w:eastAsia="Times New Roman" w:hAnsi="Arial" w:cs="Arial"/>
          <w:bCs/>
          <w:sz w:val="24"/>
          <w:szCs w:val="24"/>
          <w:lang w:val="es-MX" w:eastAsia="es-ES"/>
        </w:rPr>
      </w:pPr>
    </w:p>
    <w:p w14:paraId="63699CDF" w14:textId="77777777" w:rsidR="00A013C4" w:rsidRDefault="00F259D2"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La apelante a</w:t>
      </w:r>
      <w:r w:rsidR="00A013C4">
        <w:rPr>
          <w:rFonts w:ascii="Arial" w:eastAsia="Times New Roman" w:hAnsi="Arial" w:cs="Arial"/>
          <w:bCs/>
          <w:sz w:val="24"/>
          <w:szCs w:val="24"/>
          <w:lang w:val="es-MX" w:eastAsia="es-ES"/>
        </w:rPr>
        <w:t xml:space="preserve">firmó </w:t>
      </w:r>
      <w:proofErr w:type="gramStart"/>
      <w:r w:rsidR="00A013C4">
        <w:rPr>
          <w:rFonts w:ascii="Arial" w:eastAsia="Times New Roman" w:hAnsi="Arial" w:cs="Arial"/>
          <w:bCs/>
          <w:sz w:val="24"/>
          <w:szCs w:val="24"/>
          <w:lang w:val="es-MX" w:eastAsia="es-ES"/>
        </w:rPr>
        <w:t>que</w:t>
      </w:r>
      <w:proofErr w:type="gramEnd"/>
      <w:r w:rsidR="00A013C4">
        <w:rPr>
          <w:rFonts w:ascii="Arial" w:eastAsia="Times New Roman" w:hAnsi="Arial" w:cs="Arial"/>
          <w:bCs/>
          <w:sz w:val="24"/>
          <w:szCs w:val="24"/>
          <w:lang w:val="es-MX" w:eastAsia="es-ES"/>
        </w:rPr>
        <w:t xml:space="preserve"> en una actitud de burla a las autoridades judiciales, las entidades públicas requeridas se abstuvieron de enviar la información que reposaba en sus archivos. </w:t>
      </w:r>
    </w:p>
    <w:p w14:paraId="65B40C46" w14:textId="77777777" w:rsidR="005D34AA" w:rsidRDefault="005D34AA" w:rsidP="00FE0FF8">
      <w:pPr>
        <w:spacing w:line="360" w:lineRule="auto"/>
        <w:rPr>
          <w:rFonts w:ascii="Arial" w:eastAsia="Times New Roman" w:hAnsi="Arial" w:cs="Arial"/>
          <w:bCs/>
          <w:sz w:val="24"/>
          <w:szCs w:val="24"/>
          <w:lang w:val="es-MX" w:eastAsia="es-ES"/>
        </w:rPr>
      </w:pPr>
    </w:p>
    <w:p w14:paraId="4747BD89" w14:textId="77777777" w:rsidR="005D34AA" w:rsidRDefault="005D34AA" w:rsidP="00FE0FF8">
      <w:pPr>
        <w:spacing w:line="360" w:lineRule="auto"/>
        <w:rPr>
          <w:rFonts w:ascii="Arial" w:eastAsia="Times New Roman" w:hAnsi="Arial" w:cs="Arial"/>
          <w:bCs/>
          <w:sz w:val="24"/>
          <w:szCs w:val="24"/>
          <w:lang w:val="es-MX" w:eastAsia="es-ES"/>
        </w:rPr>
      </w:pPr>
    </w:p>
    <w:p w14:paraId="263EFE06" w14:textId="77777777" w:rsidR="005D34AA" w:rsidRDefault="005D34AA" w:rsidP="00FE0FF8">
      <w:pPr>
        <w:spacing w:line="360" w:lineRule="auto"/>
        <w:rPr>
          <w:rFonts w:ascii="Arial" w:eastAsia="Times New Roman" w:hAnsi="Arial" w:cs="Arial"/>
          <w:bCs/>
          <w:sz w:val="24"/>
          <w:szCs w:val="24"/>
          <w:lang w:val="es-MX" w:eastAsia="es-ES"/>
        </w:rPr>
      </w:pPr>
    </w:p>
    <w:p w14:paraId="59A3EA12" w14:textId="77777777" w:rsidR="002C770D" w:rsidRPr="007E1FDE" w:rsidRDefault="002C770D" w:rsidP="00FE0FF8">
      <w:pPr>
        <w:spacing w:line="360" w:lineRule="auto"/>
        <w:rPr>
          <w:rFonts w:ascii="Arial" w:eastAsia="Times New Roman" w:hAnsi="Arial" w:cs="Arial"/>
          <w:b/>
          <w:bCs/>
          <w:sz w:val="24"/>
          <w:szCs w:val="24"/>
          <w:lang w:val="es-MX" w:eastAsia="es-ES"/>
        </w:rPr>
      </w:pPr>
      <w:r w:rsidRPr="007E1FDE">
        <w:rPr>
          <w:rFonts w:ascii="Arial" w:eastAsia="Times New Roman" w:hAnsi="Arial" w:cs="Arial"/>
          <w:b/>
          <w:bCs/>
          <w:sz w:val="24"/>
          <w:szCs w:val="24"/>
          <w:lang w:val="es-MX" w:eastAsia="es-ES"/>
        </w:rPr>
        <w:t>4.</w:t>
      </w:r>
      <w:r w:rsidR="001B1877">
        <w:rPr>
          <w:rFonts w:ascii="Arial" w:eastAsia="Times New Roman" w:hAnsi="Arial" w:cs="Arial"/>
          <w:b/>
          <w:bCs/>
          <w:sz w:val="24"/>
          <w:szCs w:val="24"/>
          <w:lang w:val="es-MX" w:eastAsia="es-ES"/>
        </w:rPr>
        <w:t>10</w:t>
      </w:r>
      <w:r w:rsidRPr="007E1FDE">
        <w:rPr>
          <w:rFonts w:ascii="Arial" w:eastAsia="Times New Roman" w:hAnsi="Arial" w:cs="Arial"/>
          <w:b/>
          <w:bCs/>
          <w:sz w:val="24"/>
          <w:szCs w:val="24"/>
          <w:lang w:val="es-MX" w:eastAsia="es-ES"/>
        </w:rPr>
        <w:t>.</w:t>
      </w:r>
      <w:r w:rsidRPr="007E1FDE">
        <w:rPr>
          <w:rFonts w:ascii="Arial" w:eastAsia="Times New Roman" w:hAnsi="Arial" w:cs="Arial"/>
          <w:b/>
          <w:bCs/>
          <w:sz w:val="24"/>
          <w:szCs w:val="24"/>
          <w:lang w:val="es-MX" w:eastAsia="es-ES"/>
        </w:rPr>
        <w:tab/>
        <w:t>Actuación en segunda instancia</w:t>
      </w:r>
    </w:p>
    <w:p w14:paraId="00578FBB" w14:textId="77777777" w:rsidR="00F259D2" w:rsidRDefault="00F259D2" w:rsidP="00FE0FF8">
      <w:pPr>
        <w:spacing w:line="360" w:lineRule="auto"/>
        <w:rPr>
          <w:rFonts w:ascii="Arial" w:eastAsia="Times New Roman" w:hAnsi="Arial" w:cs="Arial"/>
          <w:bCs/>
          <w:sz w:val="24"/>
          <w:szCs w:val="24"/>
          <w:lang w:val="es-MX" w:eastAsia="es-ES"/>
        </w:rPr>
      </w:pPr>
    </w:p>
    <w:p w14:paraId="3A31AE95" w14:textId="77777777" w:rsidR="00AB0000" w:rsidRDefault="00AB0000"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Recibido el expediente en el Consejo de Estado, el recurso fue admitido a través del auto de ponente de 22 de agosto de 2014.</w:t>
      </w:r>
    </w:p>
    <w:p w14:paraId="1F036612" w14:textId="77777777" w:rsidR="00AB0000" w:rsidRDefault="00AB0000" w:rsidP="00FE0FF8">
      <w:pPr>
        <w:spacing w:line="360" w:lineRule="auto"/>
        <w:rPr>
          <w:rFonts w:ascii="Arial" w:eastAsia="Times New Roman" w:hAnsi="Arial" w:cs="Arial"/>
          <w:bCs/>
          <w:sz w:val="24"/>
          <w:szCs w:val="24"/>
          <w:lang w:val="es-MX" w:eastAsia="es-ES"/>
        </w:rPr>
      </w:pPr>
    </w:p>
    <w:p w14:paraId="606F7D87" w14:textId="77777777" w:rsidR="00F259D2" w:rsidRDefault="007D2E8A"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En el escrito de apelación</w:t>
      </w:r>
      <w:r w:rsidR="00940639">
        <w:rPr>
          <w:rFonts w:ascii="Arial" w:eastAsia="Times New Roman" w:hAnsi="Arial" w:cs="Arial"/>
          <w:bCs/>
          <w:sz w:val="24"/>
          <w:szCs w:val="24"/>
          <w:lang w:val="es-MX" w:eastAsia="es-ES"/>
        </w:rPr>
        <w:t>,</w:t>
      </w:r>
      <w:r>
        <w:rPr>
          <w:rFonts w:ascii="Arial" w:eastAsia="Times New Roman" w:hAnsi="Arial" w:cs="Arial"/>
          <w:bCs/>
          <w:sz w:val="24"/>
          <w:szCs w:val="24"/>
          <w:lang w:val="es-MX" w:eastAsia="es-ES"/>
        </w:rPr>
        <w:t xml:space="preserve"> la demandante solicitó </w:t>
      </w:r>
      <w:r w:rsidR="00F259D2">
        <w:rPr>
          <w:rFonts w:ascii="Arial" w:eastAsia="Times New Roman" w:hAnsi="Arial" w:cs="Arial"/>
          <w:bCs/>
          <w:sz w:val="24"/>
          <w:szCs w:val="24"/>
          <w:lang w:val="es-MX" w:eastAsia="es-ES"/>
        </w:rPr>
        <w:t xml:space="preserve">ante el Consejo de Estado </w:t>
      </w:r>
      <w:r>
        <w:rPr>
          <w:rFonts w:ascii="Arial" w:eastAsia="Times New Roman" w:hAnsi="Arial" w:cs="Arial"/>
          <w:bCs/>
          <w:sz w:val="24"/>
          <w:szCs w:val="24"/>
          <w:lang w:val="es-MX" w:eastAsia="es-ES"/>
        </w:rPr>
        <w:t xml:space="preserve">que se decretaran en segunda instancia las pruebas relacionadas con los documentos </w:t>
      </w:r>
      <w:r w:rsidR="00AB0000">
        <w:rPr>
          <w:rFonts w:ascii="Arial" w:eastAsia="Times New Roman" w:hAnsi="Arial" w:cs="Arial"/>
          <w:bCs/>
          <w:sz w:val="24"/>
          <w:szCs w:val="24"/>
          <w:lang w:val="es-MX" w:eastAsia="es-ES"/>
        </w:rPr>
        <w:t xml:space="preserve">referidos al </w:t>
      </w:r>
      <w:r>
        <w:rPr>
          <w:rFonts w:ascii="Arial" w:eastAsia="Times New Roman" w:hAnsi="Arial" w:cs="Arial"/>
          <w:bCs/>
          <w:sz w:val="24"/>
          <w:szCs w:val="24"/>
          <w:lang w:val="es-MX" w:eastAsia="es-ES"/>
        </w:rPr>
        <w:t xml:space="preserve">procedimiento de </w:t>
      </w:r>
      <w:r w:rsidR="00964045">
        <w:rPr>
          <w:rFonts w:ascii="Arial" w:eastAsia="Times New Roman" w:hAnsi="Arial" w:cs="Arial"/>
          <w:bCs/>
          <w:sz w:val="24"/>
          <w:szCs w:val="24"/>
          <w:lang w:val="es-MX" w:eastAsia="es-ES"/>
        </w:rPr>
        <w:t>invitación pública</w:t>
      </w:r>
      <w:r w:rsidR="007E1FDE">
        <w:rPr>
          <w:rFonts w:ascii="Arial" w:eastAsia="Times New Roman" w:hAnsi="Arial" w:cs="Arial"/>
          <w:bCs/>
          <w:sz w:val="24"/>
          <w:szCs w:val="24"/>
          <w:lang w:val="es-MX" w:eastAsia="es-ES"/>
        </w:rPr>
        <w:t xml:space="preserve">. </w:t>
      </w:r>
    </w:p>
    <w:p w14:paraId="302F9EB4" w14:textId="77777777" w:rsidR="00F259D2" w:rsidRDefault="00F259D2" w:rsidP="00FE0FF8">
      <w:pPr>
        <w:spacing w:line="360" w:lineRule="auto"/>
        <w:rPr>
          <w:rFonts w:ascii="Arial" w:eastAsia="Times New Roman" w:hAnsi="Arial" w:cs="Arial"/>
          <w:bCs/>
          <w:sz w:val="24"/>
          <w:szCs w:val="24"/>
          <w:lang w:val="es-MX" w:eastAsia="es-ES"/>
        </w:rPr>
      </w:pPr>
    </w:p>
    <w:p w14:paraId="2DE82021" w14:textId="77777777" w:rsidR="007E1FDE" w:rsidRDefault="007E1FDE"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lastRenderedPageBreak/>
        <w:t>E</w:t>
      </w:r>
      <w:r w:rsidR="00C40E46">
        <w:rPr>
          <w:rFonts w:ascii="Arial" w:eastAsia="Times New Roman" w:hAnsi="Arial" w:cs="Arial"/>
          <w:bCs/>
          <w:sz w:val="24"/>
          <w:szCs w:val="24"/>
          <w:lang w:val="es-MX" w:eastAsia="es-ES"/>
        </w:rPr>
        <w:t>n su oportunidad, e</w:t>
      </w:r>
      <w:r>
        <w:rPr>
          <w:rFonts w:ascii="Arial" w:eastAsia="Times New Roman" w:hAnsi="Arial" w:cs="Arial"/>
          <w:bCs/>
          <w:sz w:val="24"/>
          <w:szCs w:val="24"/>
          <w:lang w:val="es-MX" w:eastAsia="es-ES"/>
        </w:rPr>
        <w:t xml:space="preserve">l </w:t>
      </w:r>
      <w:r w:rsidR="00FB7DEC">
        <w:rPr>
          <w:rFonts w:ascii="Arial" w:eastAsia="Times New Roman" w:hAnsi="Arial" w:cs="Arial"/>
          <w:bCs/>
          <w:sz w:val="24"/>
          <w:szCs w:val="24"/>
          <w:lang w:val="es-MX" w:eastAsia="es-ES"/>
        </w:rPr>
        <w:t>D</w:t>
      </w:r>
      <w:r>
        <w:rPr>
          <w:rFonts w:ascii="Arial" w:eastAsia="Times New Roman" w:hAnsi="Arial" w:cs="Arial"/>
          <w:bCs/>
          <w:sz w:val="24"/>
          <w:szCs w:val="24"/>
          <w:lang w:val="es-MX" w:eastAsia="es-ES"/>
        </w:rPr>
        <w:t xml:space="preserve">espacho estimó que respecto de esa solicitud no se cumplían los requisitos del artículo 214 del CCA, dado que no se trataba de probar hechos nuevos y que </w:t>
      </w:r>
      <w:r w:rsidR="00964045">
        <w:rPr>
          <w:rFonts w:ascii="Arial" w:eastAsia="Times New Roman" w:hAnsi="Arial" w:cs="Arial"/>
          <w:bCs/>
          <w:sz w:val="24"/>
          <w:szCs w:val="24"/>
          <w:lang w:val="es-MX" w:eastAsia="es-ES"/>
        </w:rPr>
        <w:t xml:space="preserve">tampoco </w:t>
      </w:r>
      <w:r w:rsidR="00F97A73">
        <w:rPr>
          <w:rFonts w:ascii="Arial" w:eastAsia="Times New Roman" w:hAnsi="Arial" w:cs="Arial"/>
          <w:bCs/>
          <w:sz w:val="24"/>
          <w:szCs w:val="24"/>
          <w:lang w:val="es-MX" w:eastAsia="es-ES"/>
        </w:rPr>
        <w:t xml:space="preserve">se </w:t>
      </w:r>
      <w:r w:rsidR="00964045">
        <w:rPr>
          <w:rFonts w:ascii="Arial" w:eastAsia="Times New Roman" w:hAnsi="Arial" w:cs="Arial"/>
          <w:bCs/>
          <w:sz w:val="24"/>
          <w:szCs w:val="24"/>
          <w:lang w:val="es-MX" w:eastAsia="es-ES"/>
        </w:rPr>
        <w:t xml:space="preserve">estaba en presencia de </w:t>
      </w:r>
      <w:r>
        <w:rPr>
          <w:rFonts w:ascii="Arial" w:eastAsia="Times New Roman" w:hAnsi="Arial" w:cs="Arial"/>
          <w:bCs/>
          <w:sz w:val="24"/>
          <w:szCs w:val="24"/>
          <w:lang w:val="es-MX" w:eastAsia="es-ES"/>
        </w:rPr>
        <w:t>pruebas</w:t>
      </w:r>
      <w:r w:rsidR="00964045">
        <w:rPr>
          <w:rFonts w:ascii="Arial" w:eastAsia="Times New Roman" w:hAnsi="Arial" w:cs="Arial"/>
          <w:bCs/>
          <w:sz w:val="24"/>
          <w:szCs w:val="24"/>
          <w:lang w:val="es-MX" w:eastAsia="es-ES"/>
        </w:rPr>
        <w:t xml:space="preserve"> que </w:t>
      </w:r>
      <w:r>
        <w:rPr>
          <w:rFonts w:ascii="Arial" w:eastAsia="Times New Roman" w:hAnsi="Arial" w:cs="Arial"/>
          <w:bCs/>
          <w:sz w:val="24"/>
          <w:szCs w:val="24"/>
          <w:lang w:val="es-MX" w:eastAsia="es-ES"/>
        </w:rPr>
        <w:t xml:space="preserve">dejaron de ser decretadas </w:t>
      </w:r>
      <w:r w:rsidR="002D5108">
        <w:rPr>
          <w:rFonts w:ascii="Arial" w:eastAsia="Times New Roman" w:hAnsi="Arial" w:cs="Arial"/>
          <w:bCs/>
          <w:sz w:val="24"/>
          <w:szCs w:val="24"/>
          <w:lang w:val="es-MX" w:eastAsia="es-ES"/>
        </w:rPr>
        <w:t xml:space="preserve">o practicadas </w:t>
      </w:r>
      <w:r>
        <w:rPr>
          <w:rFonts w:ascii="Arial" w:eastAsia="Times New Roman" w:hAnsi="Arial" w:cs="Arial"/>
          <w:bCs/>
          <w:sz w:val="24"/>
          <w:szCs w:val="24"/>
          <w:lang w:val="es-MX" w:eastAsia="es-ES"/>
        </w:rPr>
        <w:t>por fuerza mayor o caso fortuito.</w:t>
      </w:r>
    </w:p>
    <w:p w14:paraId="3D25696E" w14:textId="77777777" w:rsidR="007E1FDE" w:rsidRDefault="007E1FDE" w:rsidP="00FE0FF8">
      <w:pPr>
        <w:spacing w:line="360" w:lineRule="auto"/>
        <w:rPr>
          <w:rFonts w:ascii="Arial" w:eastAsia="Times New Roman" w:hAnsi="Arial" w:cs="Arial"/>
          <w:bCs/>
          <w:sz w:val="24"/>
          <w:szCs w:val="24"/>
          <w:lang w:val="es-MX" w:eastAsia="es-ES"/>
        </w:rPr>
      </w:pPr>
    </w:p>
    <w:p w14:paraId="5F4A79D3" w14:textId="77777777" w:rsidR="00FB7DEC" w:rsidRDefault="00FB7DEC"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Con fundamento en las consideraciones anteriores, mediante auto de 9 de diciembre de 2014, el Consejero ponente denegó las pruebas solicitadas </w:t>
      </w:r>
      <w:proofErr w:type="gramStart"/>
      <w:r>
        <w:rPr>
          <w:rFonts w:ascii="Arial" w:eastAsia="Times New Roman" w:hAnsi="Arial" w:cs="Arial"/>
          <w:bCs/>
          <w:sz w:val="24"/>
          <w:szCs w:val="24"/>
          <w:lang w:val="es-MX" w:eastAsia="es-ES"/>
        </w:rPr>
        <w:t>en  segunda</w:t>
      </w:r>
      <w:proofErr w:type="gramEnd"/>
      <w:r>
        <w:rPr>
          <w:rFonts w:ascii="Arial" w:eastAsia="Times New Roman" w:hAnsi="Arial" w:cs="Arial"/>
          <w:bCs/>
          <w:sz w:val="24"/>
          <w:szCs w:val="24"/>
          <w:lang w:val="es-MX" w:eastAsia="es-ES"/>
        </w:rPr>
        <w:t xml:space="preserve"> instancia. </w:t>
      </w:r>
    </w:p>
    <w:p w14:paraId="47307DD3" w14:textId="77777777" w:rsidR="00FB7DEC" w:rsidRDefault="00FB7DEC" w:rsidP="00FE0FF8">
      <w:pPr>
        <w:spacing w:line="360" w:lineRule="auto"/>
        <w:rPr>
          <w:rFonts w:ascii="Arial" w:eastAsia="Times New Roman" w:hAnsi="Arial" w:cs="Arial"/>
          <w:bCs/>
          <w:sz w:val="24"/>
          <w:szCs w:val="24"/>
          <w:lang w:val="es-MX" w:eastAsia="es-ES"/>
        </w:rPr>
      </w:pPr>
    </w:p>
    <w:p w14:paraId="2A57F041" w14:textId="77777777" w:rsidR="00F61D3F" w:rsidRPr="00F61D3F" w:rsidRDefault="00F61D3F" w:rsidP="00FE0FF8">
      <w:pPr>
        <w:spacing w:line="360" w:lineRule="auto"/>
        <w:rPr>
          <w:rFonts w:ascii="Arial" w:eastAsia="Times New Roman" w:hAnsi="Arial" w:cs="Arial"/>
          <w:b/>
          <w:bCs/>
          <w:sz w:val="24"/>
          <w:szCs w:val="24"/>
          <w:lang w:val="es-MX" w:eastAsia="es-ES"/>
        </w:rPr>
      </w:pPr>
      <w:r w:rsidRPr="00F61D3F">
        <w:rPr>
          <w:rFonts w:ascii="Arial" w:eastAsia="Times New Roman" w:hAnsi="Arial" w:cs="Arial"/>
          <w:b/>
          <w:bCs/>
          <w:sz w:val="24"/>
          <w:szCs w:val="24"/>
          <w:lang w:val="es-MX" w:eastAsia="es-ES"/>
        </w:rPr>
        <w:t>4.</w:t>
      </w:r>
      <w:r w:rsidR="001B1877">
        <w:rPr>
          <w:rFonts w:ascii="Arial" w:eastAsia="Times New Roman" w:hAnsi="Arial" w:cs="Arial"/>
          <w:b/>
          <w:bCs/>
          <w:sz w:val="24"/>
          <w:szCs w:val="24"/>
          <w:lang w:val="es-MX" w:eastAsia="es-ES"/>
        </w:rPr>
        <w:t>11</w:t>
      </w:r>
      <w:r w:rsidRPr="00F61D3F">
        <w:rPr>
          <w:rFonts w:ascii="Arial" w:eastAsia="Times New Roman" w:hAnsi="Arial" w:cs="Arial"/>
          <w:b/>
          <w:bCs/>
          <w:sz w:val="24"/>
          <w:szCs w:val="24"/>
          <w:lang w:val="es-MX" w:eastAsia="es-ES"/>
        </w:rPr>
        <w:t>.</w:t>
      </w:r>
      <w:r w:rsidRPr="00F61D3F">
        <w:rPr>
          <w:rFonts w:ascii="Arial" w:eastAsia="Times New Roman" w:hAnsi="Arial" w:cs="Arial"/>
          <w:b/>
          <w:bCs/>
          <w:sz w:val="24"/>
          <w:szCs w:val="24"/>
          <w:lang w:val="es-MX" w:eastAsia="es-ES"/>
        </w:rPr>
        <w:tab/>
        <w:t>Alegatos</w:t>
      </w:r>
      <w:r w:rsidR="00751170">
        <w:rPr>
          <w:rFonts w:ascii="Arial" w:eastAsia="Times New Roman" w:hAnsi="Arial" w:cs="Arial"/>
          <w:b/>
          <w:bCs/>
          <w:sz w:val="24"/>
          <w:szCs w:val="24"/>
          <w:lang w:val="es-MX" w:eastAsia="es-ES"/>
        </w:rPr>
        <w:t xml:space="preserve"> en segunda instancia</w:t>
      </w:r>
    </w:p>
    <w:p w14:paraId="0AA8B6F9" w14:textId="77777777" w:rsidR="00F61D3F" w:rsidRDefault="00F61D3F" w:rsidP="00FE0FF8">
      <w:pPr>
        <w:spacing w:line="360" w:lineRule="auto"/>
        <w:rPr>
          <w:rFonts w:ascii="Arial" w:eastAsia="Times New Roman" w:hAnsi="Arial" w:cs="Arial"/>
          <w:bCs/>
          <w:sz w:val="24"/>
          <w:szCs w:val="24"/>
          <w:lang w:val="es-MX" w:eastAsia="es-ES"/>
        </w:rPr>
      </w:pPr>
    </w:p>
    <w:p w14:paraId="05801B45" w14:textId="77777777" w:rsidR="009533F7" w:rsidRDefault="00F61D3F"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La </w:t>
      </w:r>
      <w:r w:rsidR="00964045">
        <w:rPr>
          <w:rFonts w:ascii="Arial" w:eastAsia="Times New Roman" w:hAnsi="Arial" w:cs="Arial"/>
          <w:bCs/>
          <w:sz w:val="24"/>
          <w:szCs w:val="24"/>
          <w:lang w:val="es-MX" w:eastAsia="es-ES"/>
        </w:rPr>
        <w:t xml:space="preserve">apelante </w:t>
      </w:r>
      <w:r w:rsidR="008B7B74">
        <w:rPr>
          <w:rFonts w:ascii="Arial" w:eastAsia="Times New Roman" w:hAnsi="Arial" w:cs="Arial"/>
          <w:bCs/>
          <w:sz w:val="24"/>
          <w:szCs w:val="24"/>
          <w:lang w:val="es-MX" w:eastAsia="es-ES"/>
        </w:rPr>
        <w:t xml:space="preserve">afirmó </w:t>
      </w:r>
      <w:r>
        <w:rPr>
          <w:rFonts w:ascii="Arial" w:eastAsia="Times New Roman" w:hAnsi="Arial" w:cs="Arial"/>
          <w:bCs/>
          <w:sz w:val="24"/>
          <w:szCs w:val="24"/>
          <w:lang w:val="es-MX" w:eastAsia="es-ES"/>
        </w:rPr>
        <w:t xml:space="preserve">que </w:t>
      </w:r>
      <w:r w:rsidR="009533F7">
        <w:rPr>
          <w:rFonts w:ascii="Arial" w:eastAsia="Times New Roman" w:hAnsi="Arial" w:cs="Arial"/>
          <w:bCs/>
          <w:sz w:val="24"/>
          <w:szCs w:val="24"/>
          <w:lang w:val="es-MX" w:eastAsia="es-ES"/>
        </w:rPr>
        <w:t xml:space="preserve">en la resolución acusada se </w:t>
      </w:r>
      <w:r w:rsidR="008B7B74">
        <w:rPr>
          <w:rFonts w:ascii="Arial" w:eastAsia="Times New Roman" w:hAnsi="Arial" w:cs="Arial"/>
          <w:bCs/>
          <w:sz w:val="24"/>
          <w:szCs w:val="24"/>
          <w:lang w:val="es-MX" w:eastAsia="es-ES"/>
        </w:rPr>
        <w:t xml:space="preserve">observó </w:t>
      </w:r>
      <w:r w:rsidR="009533F7">
        <w:rPr>
          <w:rFonts w:ascii="Arial" w:eastAsia="Times New Roman" w:hAnsi="Arial" w:cs="Arial"/>
          <w:bCs/>
          <w:sz w:val="24"/>
          <w:szCs w:val="24"/>
          <w:lang w:val="es-MX" w:eastAsia="es-ES"/>
        </w:rPr>
        <w:t xml:space="preserve">que en los </w:t>
      </w:r>
      <w:r w:rsidR="008B7B74">
        <w:rPr>
          <w:rFonts w:ascii="Arial" w:eastAsia="Times New Roman" w:hAnsi="Arial" w:cs="Arial"/>
          <w:bCs/>
          <w:sz w:val="24"/>
          <w:szCs w:val="24"/>
          <w:lang w:val="es-MX" w:eastAsia="es-ES"/>
        </w:rPr>
        <w:t xml:space="preserve">informes </w:t>
      </w:r>
      <w:r w:rsidR="009533F7">
        <w:rPr>
          <w:rFonts w:ascii="Arial" w:eastAsia="Times New Roman" w:hAnsi="Arial" w:cs="Arial"/>
          <w:bCs/>
          <w:sz w:val="24"/>
          <w:szCs w:val="24"/>
          <w:lang w:val="es-MX" w:eastAsia="es-ES"/>
        </w:rPr>
        <w:t>no se consignaron los re</w:t>
      </w:r>
      <w:r w:rsidR="00964045">
        <w:rPr>
          <w:rFonts w:ascii="Arial" w:eastAsia="Times New Roman" w:hAnsi="Arial" w:cs="Arial"/>
          <w:bCs/>
          <w:sz w:val="24"/>
          <w:szCs w:val="24"/>
          <w:lang w:val="es-MX" w:eastAsia="es-ES"/>
        </w:rPr>
        <w:t xml:space="preserve">sultados de la </w:t>
      </w:r>
      <w:r w:rsidR="009533F7">
        <w:rPr>
          <w:rFonts w:ascii="Arial" w:eastAsia="Times New Roman" w:hAnsi="Arial" w:cs="Arial"/>
          <w:bCs/>
          <w:sz w:val="24"/>
          <w:szCs w:val="24"/>
          <w:lang w:val="es-MX" w:eastAsia="es-ES"/>
        </w:rPr>
        <w:t xml:space="preserve">evaluación. </w:t>
      </w:r>
      <w:r w:rsidR="00AB0000">
        <w:rPr>
          <w:rFonts w:ascii="Arial" w:eastAsia="Times New Roman" w:hAnsi="Arial" w:cs="Arial"/>
          <w:bCs/>
          <w:sz w:val="24"/>
          <w:szCs w:val="24"/>
          <w:lang w:val="es-MX" w:eastAsia="es-ES"/>
        </w:rPr>
        <w:t xml:space="preserve">De ello desprendió </w:t>
      </w:r>
      <w:r w:rsidR="009533F7">
        <w:rPr>
          <w:rFonts w:ascii="Arial" w:eastAsia="Times New Roman" w:hAnsi="Arial" w:cs="Arial"/>
          <w:bCs/>
          <w:sz w:val="24"/>
          <w:szCs w:val="24"/>
          <w:lang w:val="es-MX" w:eastAsia="es-ES"/>
        </w:rPr>
        <w:t xml:space="preserve">que era tan evidente la falta de </w:t>
      </w:r>
      <w:r w:rsidR="001F56B9">
        <w:rPr>
          <w:rFonts w:ascii="Arial" w:eastAsia="Times New Roman" w:hAnsi="Arial" w:cs="Arial"/>
          <w:bCs/>
          <w:sz w:val="24"/>
          <w:szCs w:val="24"/>
          <w:lang w:val="es-MX" w:eastAsia="es-ES"/>
        </w:rPr>
        <w:t xml:space="preserve">evaluación, </w:t>
      </w:r>
      <w:r w:rsidR="009533F7">
        <w:rPr>
          <w:rFonts w:ascii="Arial" w:eastAsia="Times New Roman" w:hAnsi="Arial" w:cs="Arial"/>
          <w:bCs/>
          <w:sz w:val="24"/>
          <w:szCs w:val="24"/>
          <w:lang w:val="es-MX" w:eastAsia="es-ES"/>
        </w:rPr>
        <w:t xml:space="preserve">que </w:t>
      </w:r>
      <w:r>
        <w:rPr>
          <w:rFonts w:ascii="Arial" w:eastAsia="Times New Roman" w:hAnsi="Arial" w:cs="Arial"/>
          <w:bCs/>
          <w:sz w:val="24"/>
          <w:szCs w:val="24"/>
          <w:lang w:val="es-MX" w:eastAsia="es-ES"/>
        </w:rPr>
        <w:t>la Fiduciaria La Previsora</w:t>
      </w:r>
      <w:r w:rsidR="009533F7">
        <w:rPr>
          <w:rFonts w:ascii="Arial" w:eastAsia="Times New Roman" w:hAnsi="Arial" w:cs="Arial"/>
          <w:bCs/>
          <w:sz w:val="24"/>
          <w:szCs w:val="24"/>
          <w:lang w:val="es-MX" w:eastAsia="es-ES"/>
        </w:rPr>
        <w:t xml:space="preserve"> </w:t>
      </w:r>
      <w:r w:rsidR="00AB0000">
        <w:rPr>
          <w:rFonts w:ascii="Arial" w:eastAsia="Times New Roman" w:hAnsi="Arial" w:cs="Arial"/>
          <w:bCs/>
          <w:sz w:val="24"/>
          <w:szCs w:val="24"/>
          <w:lang w:val="es-MX" w:eastAsia="es-ES"/>
        </w:rPr>
        <w:t>S.A</w:t>
      </w:r>
      <w:r w:rsidR="001F56B9">
        <w:rPr>
          <w:rFonts w:ascii="Arial" w:eastAsia="Times New Roman" w:hAnsi="Arial" w:cs="Arial"/>
          <w:bCs/>
          <w:sz w:val="24"/>
          <w:szCs w:val="24"/>
          <w:lang w:val="es-MX" w:eastAsia="es-ES"/>
        </w:rPr>
        <w:t>.</w:t>
      </w:r>
      <w:r w:rsidR="00AB0000">
        <w:rPr>
          <w:rFonts w:ascii="Arial" w:eastAsia="Times New Roman" w:hAnsi="Arial" w:cs="Arial"/>
          <w:bCs/>
          <w:sz w:val="24"/>
          <w:szCs w:val="24"/>
          <w:lang w:val="es-MX" w:eastAsia="es-ES"/>
        </w:rPr>
        <w:t xml:space="preserve"> </w:t>
      </w:r>
      <w:r w:rsidR="009533F7">
        <w:rPr>
          <w:rFonts w:ascii="Arial" w:eastAsia="Times New Roman" w:hAnsi="Arial" w:cs="Arial"/>
          <w:bCs/>
          <w:sz w:val="24"/>
          <w:szCs w:val="24"/>
          <w:lang w:val="es-MX" w:eastAsia="es-ES"/>
        </w:rPr>
        <w:t>y el d</w:t>
      </w:r>
      <w:r>
        <w:rPr>
          <w:rFonts w:ascii="Arial" w:eastAsia="Times New Roman" w:hAnsi="Arial" w:cs="Arial"/>
          <w:bCs/>
          <w:sz w:val="24"/>
          <w:szCs w:val="24"/>
          <w:lang w:val="es-MX" w:eastAsia="es-ES"/>
        </w:rPr>
        <w:t xml:space="preserve">istrito de Cartagena </w:t>
      </w:r>
      <w:r w:rsidR="00DC39B6">
        <w:rPr>
          <w:rFonts w:ascii="Arial" w:eastAsia="Times New Roman" w:hAnsi="Arial" w:cs="Arial"/>
          <w:bCs/>
          <w:sz w:val="24"/>
          <w:szCs w:val="24"/>
          <w:lang w:val="es-MX" w:eastAsia="es-ES"/>
        </w:rPr>
        <w:t>hicieron caso omiso de la orden del Tribuna</w:t>
      </w:r>
      <w:r w:rsidR="009533F7">
        <w:rPr>
          <w:rFonts w:ascii="Arial" w:eastAsia="Times New Roman" w:hAnsi="Arial" w:cs="Arial"/>
          <w:bCs/>
          <w:sz w:val="24"/>
          <w:szCs w:val="24"/>
          <w:lang w:val="es-MX" w:eastAsia="es-ES"/>
        </w:rPr>
        <w:t>l</w:t>
      </w:r>
      <w:r w:rsidR="00DC39B6">
        <w:rPr>
          <w:rFonts w:ascii="Arial" w:eastAsia="Times New Roman" w:hAnsi="Arial" w:cs="Arial"/>
          <w:bCs/>
          <w:sz w:val="24"/>
          <w:szCs w:val="24"/>
          <w:lang w:val="es-MX" w:eastAsia="es-ES"/>
        </w:rPr>
        <w:t xml:space="preserve"> </w:t>
      </w:r>
      <w:r w:rsidR="001F56B9" w:rsidRPr="00751170">
        <w:rPr>
          <w:rFonts w:ascii="Arial" w:eastAsia="Times New Roman" w:hAnsi="Arial" w:cs="Arial"/>
          <w:bCs/>
          <w:i/>
          <w:sz w:val="24"/>
          <w:szCs w:val="24"/>
          <w:lang w:val="es-MX" w:eastAsia="es-ES"/>
        </w:rPr>
        <w:t>a quo</w:t>
      </w:r>
      <w:r w:rsidR="001F56B9">
        <w:rPr>
          <w:rFonts w:ascii="Arial" w:eastAsia="Times New Roman" w:hAnsi="Arial" w:cs="Arial"/>
          <w:bCs/>
          <w:sz w:val="24"/>
          <w:szCs w:val="24"/>
          <w:lang w:val="es-MX" w:eastAsia="es-ES"/>
        </w:rPr>
        <w:t xml:space="preserve"> </w:t>
      </w:r>
      <w:r w:rsidR="00DC39B6">
        <w:rPr>
          <w:rFonts w:ascii="Arial" w:eastAsia="Times New Roman" w:hAnsi="Arial" w:cs="Arial"/>
          <w:bCs/>
          <w:sz w:val="24"/>
          <w:szCs w:val="24"/>
          <w:lang w:val="es-MX" w:eastAsia="es-ES"/>
        </w:rPr>
        <w:t>para allegar a</w:t>
      </w:r>
      <w:r w:rsidR="00964045">
        <w:rPr>
          <w:rFonts w:ascii="Arial" w:eastAsia="Times New Roman" w:hAnsi="Arial" w:cs="Arial"/>
          <w:bCs/>
          <w:sz w:val="24"/>
          <w:szCs w:val="24"/>
          <w:lang w:val="es-MX" w:eastAsia="es-ES"/>
        </w:rPr>
        <w:t>l</w:t>
      </w:r>
      <w:r w:rsidR="00DC39B6">
        <w:rPr>
          <w:rFonts w:ascii="Arial" w:eastAsia="Times New Roman" w:hAnsi="Arial" w:cs="Arial"/>
          <w:bCs/>
          <w:sz w:val="24"/>
          <w:szCs w:val="24"/>
          <w:lang w:val="es-MX" w:eastAsia="es-ES"/>
        </w:rPr>
        <w:t xml:space="preserve"> proceso l</w:t>
      </w:r>
      <w:r w:rsidR="001F56B9">
        <w:rPr>
          <w:rFonts w:ascii="Arial" w:eastAsia="Times New Roman" w:hAnsi="Arial" w:cs="Arial"/>
          <w:bCs/>
          <w:sz w:val="24"/>
          <w:szCs w:val="24"/>
          <w:lang w:val="es-MX" w:eastAsia="es-ES"/>
        </w:rPr>
        <w:t xml:space="preserve">as pruebas ordenadas. </w:t>
      </w:r>
    </w:p>
    <w:p w14:paraId="1EA2CB02" w14:textId="77777777" w:rsidR="009533F7" w:rsidRDefault="009533F7" w:rsidP="00FE0FF8">
      <w:pPr>
        <w:spacing w:line="360" w:lineRule="auto"/>
        <w:rPr>
          <w:rFonts w:ascii="Arial" w:eastAsia="Times New Roman" w:hAnsi="Arial" w:cs="Arial"/>
          <w:bCs/>
          <w:sz w:val="24"/>
          <w:szCs w:val="24"/>
          <w:lang w:val="es-MX" w:eastAsia="es-ES"/>
        </w:rPr>
      </w:pPr>
    </w:p>
    <w:p w14:paraId="6652D441" w14:textId="77777777" w:rsidR="00F430BD" w:rsidRDefault="001F56B9"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Afirmó </w:t>
      </w:r>
      <w:r w:rsidR="00F430BD">
        <w:rPr>
          <w:rFonts w:ascii="Arial" w:eastAsia="Times New Roman" w:hAnsi="Arial" w:cs="Arial"/>
          <w:bCs/>
          <w:sz w:val="24"/>
          <w:szCs w:val="24"/>
          <w:lang w:val="es-MX" w:eastAsia="es-ES"/>
        </w:rPr>
        <w:t xml:space="preserve">que, por el cambio de Alcalde, la nueva administración </w:t>
      </w:r>
      <w:r>
        <w:rPr>
          <w:rFonts w:ascii="Arial" w:eastAsia="Times New Roman" w:hAnsi="Arial" w:cs="Arial"/>
          <w:bCs/>
          <w:sz w:val="24"/>
          <w:szCs w:val="24"/>
          <w:lang w:val="es-MX" w:eastAsia="es-ES"/>
        </w:rPr>
        <w:t xml:space="preserve">del distrito de Cartagena </w:t>
      </w:r>
      <w:r w:rsidR="00F430BD">
        <w:rPr>
          <w:rFonts w:ascii="Arial" w:eastAsia="Times New Roman" w:hAnsi="Arial" w:cs="Arial"/>
          <w:bCs/>
          <w:sz w:val="24"/>
          <w:szCs w:val="24"/>
          <w:lang w:val="es-MX" w:eastAsia="es-ES"/>
        </w:rPr>
        <w:t xml:space="preserve">optó por declarar desierto el proceso </w:t>
      </w:r>
      <w:r>
        <w:rPr>
          <w:rFonts w:ascii="Arial" w:eastAsia="Times New Roman" w:hAnsi="Arial" w:cs="Arial"/>
          <w:bCs/>
          <w:sz w:val="24"/>
          <w:szCs w:val="24"/>
          <w:lang w:val="es-MX" w:eastAsia="es-ES"/>
        </w:rPr>
        <w:t xml:space="preserve">de invitación pública, con </w:t>
      </w:r>
      <w:r w:rsidR="00F430BD">
        <w:rPr>
          <w:rFonts w:ascii="Arial" w:eastAsia="Times New Roman" w:hAnsi="Arial" w:cs="Arial"/>
          <w:bCs/>
          <w:sz w:val="24"/>
          <w:szCs w:val="24"/>
          <w:lang w:val="es-MX" w:eastAsia="es-ES"/>
        </w:rPr>
        <w:t>argumentos sin ningún sustento.</w:t>
      </w:r>
    </w:p>
    <w:p w14:paraId="12A5BB3A" w14:textId="77777777" w:rsidR="00F430BD" w:rsidRDefault="00F430BD" w:rsidP="00FE0FF8">
      <w:pPr>
        <w:spacing w:line="360" w:lineRule="auto"/>
        <w:rPr>
          <w:rFonts w:ascii="Arial" w:eastAsia="Times New Roman" w:hAnsi="Arial" w:cs="Arial"/>
          <w:bCs/>
          <w:sz w:val="24"/>
          <w:szCs w:val="24"/>
          <w:lang w:val="es-MX" w:eastAsia="es-ES"/>
        </w:rPr>
      </w:pPr>
    </w:p>
    <w:p w14:paraId="7B0C4BFA" w14:textId="77777777" w:rsidR="00C91C38" w:rsidRDefault="001F56B9"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Aseveró la apelante </w:t>
      </w:r>
      <w:r w:rsidR="00F430BD">
        <w:rPr>
          <w:rFonts w:ascii="Arial" w:eastAsia="Times New Roman" w:hAnsi="Arial" w:cs="Arial"/>
          <w:bCs/>
          <w:sz w:val="24"/>
          <w:szCs w:val="24"/>
          <w:lang w:val="es-MX" w:eastAsia="es-ES"/>
        </w:rPr>
        <w:t>que con lo expuesto en la dem</w:t>
      </w:r>
      <w:r w:rsidR="00C91C38">
        <w:rPr>
          <w:rFonts w:ascii="Arial" w:eastAsia="Times New Roman" w:hAnsi="Arial" w:cs="Arial"/>
          <w:bCs/>
          <w:sz w:val="24"/>
          <w:szCs w:val="24"/>
          <w:lang w:val="es-MX" w:eastAsia="es-ES"/>
        </w:rPr>
        <w:t>a</w:t>
      </w:r>
      <w:r w:rsidR="00F430BD">
        <w:rPr>
          <w:rFonts w:ascii="Arial" w:eastAsia="Times New Roman" w:hAnsi="Arial" w:cs="Arial"/>
          <w:bCs/>
          <w:sz w:val="24"/>
          <w:szCs w:val="24"/>
          <w:lang w:val="es-MX" w:eastAsia="es-ES"/>
        </w:rPr>
        <w:t>nda</w:t>
      </w:r>
      <w:r w:rsidR="00C91C38">
        <w:rPr>
          <w:rFonts w:ascii="Arial" w:eastAsia="Times New Roman" w:hAnsi="Arial" w:cs="Arial"/>
          <w:bCs/>
          <w:sz w:val="24"/>
          <w:szCs w:val="24"/>
          <w:lang w:val="es-MX" w:eastAsia="es-ES"/>
        </w:rPr>
        <w:t xml:space="preserve"> se acreditó que la demandante </w:t>
      </w:r>
      <w:r>
        <w:rPr>
          <w:rFonts w:ascii="Arial" w:eastAsia="Times New Roman" w:hAnsi="Arial" w:cs="Arial"/>
          <w:bCs/>
          <w:sz w:val="24"/>
          <w:szCs w:val="24"/>
          <w:lang w:val="es-MX" w:eastAsia="es-ES"/>
        </w:rPr>
        <w:t xml:space="preserve">presentó </w:t>
      </w:r>
      <w:r w:rsidR="00C91C38">
        <w:rPr>
          <w:rFonts w:ascii="Arial" w:eastAsia="Times New Roman" w:hAnsi="Arial" w:cs="Arial"/>
          <w:bCs/>
          <w:sz w:val="24"/>
          <w:szCs w:val="24"/>
          <w:lang w:val="es-MX" w:eastAsia="es-ES"/>
        </w:rPr>
        <w:t xml:space="preserve">la mejor propuesta. </w:t>
      </w:r>
    </w:p>
    <w:p w14:paraId="21CBA098" w14:textId="77777777" w:rsidR="00C91C38" w:rsidRDefault="00C91C38" w:rsidP="00FE0FF8">
      <w:pPr>
        <w:spacing w:line="360" w:lineRule="auto"/>
        <w:rPr>
          <w:rFonts w:ascii="Arial" w:eastAsia="Times New Roman" w:hAnsi="Arial" w:cs="Arial"/>
          <w:bCs/>
          <w:sz w:val="24"/>
          <w:szCs w:val="24"/>
          <w:lang w:val="es-MX" w:eastAsia="es-ES"/>
        </w:rPr>
      </w:pPr>
    </w:p>
    <w:p w14:paraId="1BDCBAEB" w14:textId="77777777" w:rsidR="0073498D" w:rsidRDefault="00C91C38"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 xml:space="preserve">Relacionó los distintos requerimientos que realizó el Tribunal </w:t>
      </w:r>
      <w:r w:rsidRPr="00DB5EE3">
        <w:rPr>
          <w:rFonts w:ascii="Arial" w:eastAsia="Times New Roman" w:hAnsi="Arial" w:cs="Arial"/>
          <w:bCs/>
          <w:i/>
          <w:sz w:val="24"/>
          <w:szCs w:val="24"/>
          <w:lang w:val="es-MX" w:eastAsia="es-ES"/>
        </w:rPr>
        <w:t>a quo</w:t>
      </w:r>
      <w:r>
        <w:rPr>
          <w:rFonts w:ascii="Arial" w:eastAsia="Times New Roman" w:hAnsi="Arial" w:cs="Arial"/>
          <w:bCs/>
          <w:sz w:val="24"/>
          <w:szCs w:val="24"/>
          <w:lang w:val="es-MX" w:eastAsia="es-ES"/>
        </w:rPr>
        <w:t xml:space="preserve"> </w:t>
      </w:r>
      <w:r w:rsidR="001F56B9">
        <w:rPr>
          <w:rFonts w:ascii="Arial" w:eastAsia="Times New Roman" w:hAnsi="Arial" w:cs="Arial"/>
          <w:bCs/>
          <w:sz w:val="24"/>
          <w:szCs w:val="24"/>
          <w:lang w:val="es-MX" w:eastAsia="es-ES"/>
        </w:rPr>
        <w:t xml:space="preserve">sobre las pruebas requeridas </w:t>
      </w:r>
      <w:r>
        <w:rPr>
          <w:rFonts w:ascii="Arial" w:eastAsia="Times New Roman" w:hAnsi="Arial" w:cs="Arial"/>
          <w:bCs/>
          <w:sz w:val="24"/>
          <w:szCs w:val="24"/>
          <w:lang w:val="es-MX" w:eastAsia="es-ES"/>
        </w:rPr>
        <w:t xml:space="preserve">y que no fueron atendidos por el distrito demandado </w:t>
      </w:r>
      <w:r w:rsidR="0073498D">
        <w:rPr>
          <w:rFonts w:ascii="Arial" w:eastAsia="Times New Roman" w:hAnsi="Arial" w:cs="Arial"/>
          <w:bCs/>
          <w:sz w:val="24"/>
          <w:szCs w:val="24"/>
          <w:lang w:val="es-MX" w:eastAsia="es-ES"/>
        </w:rPr>
        <w:t>ni por la fiduciaria. Observó que frente a la conducta omisiva se deben tener en cuenta la</w:t>
      </w:r>
      <w:r w:rsidR="006063EA">
        <w:rPr>
          <w:rFonts w:ascii="Arial" w:eastAsia="Times New Roman" w:hAnsi="Arial" w:cs="Arial"/>
          <w:bCs/>
          <w:sz w:val="24"/>
          <w:szCs w:val="24"/>
          <w:lang w:val="es-MX" w:eastAsia="es-ES"/>
        </w:rPr>
        <w:t>s</w:t>
      </w:r>
      <w:r w:rsidR="0073498D">
        <w:rPr>
          <w:rFonts w:ascii="Arial" w:eastAsia="Times New Roman" w:hAnsi="Arial" w:cs="Arial"/>
          <w:bCs/>
          <w:sz w:val="24"/>
          <w:szCs w:val="24"/>
          <w:lang w:val="es-MX" w:eastAsia="es-ES"/>
        </w:rPr>
        <w:t xml:space="preserve"> pruebas </w:t>
      </w:r>
      <w:r w:rsidR="006F50C8">
        <w:rPr>
          <w:rFonts w:ascii="Arial" w:eastAsia="Times New Roman" w:hAnsi="Arial" w:cs="Arial"/>
          <w:bCs/>
          <w:sz w:val="24"/>
          <w:szCs w:val="24"/>
          <w:lang w:val="es-MX" w:eastAsia="es-ES"/>
        </w:rPr>
        <w:t xml:space="preserve">que </w:t>
      </w:r>
      <w:r w:rsidR="008B7B74">
        <w:rPr>
          <w:rFonts w:ascii="Arial" w:eastAsia="Times New Roman" w:hAnsi="Arial" w:cs="Arial"/>
          <w:bCs/>
          <w:sz w:val="24"/>
          <w:szCs w:val="24"/>
          <w:lang w:val="es-MX" w:eastAsia="es-ES"/>
        </w:rPr>
        <w:t xml:space="preserve">la demandante </w:t>
      </w:r>
      <w:r w:rsidR="006F50C8">
        <w:rPr>
          <w:rFonts w:ascii="Arial" w:eastAsia="Times New Roman" w:hAnsi="Arial" w:cs="Arial"/>
          <w:bCs/>
          <w:sz w:val="24"/>
          <w:szCs w:val="24"/>
          <w:lang w:val="es-MX" w:eastAsia="es-ES"/>
        </w:rPr>
        <w:t>aportó</w:t>
      </w:r>
      <w:r w:rsidR="008B7B74">
        <w:rPr>
          <w:rFonts w:ascii="Arial" w:eastAsia="Times New Roman" w:hAnsi="Arial" w:cs="Arial"/>
          <w:bCs/>
          <w:sz w:val="24"/>
          <w:szCs w:val="24"/>
          <w:lang w:val="es-MX" w:eastAsia="es-ES"/>
        </w:rPr>
        <w:t>.</w:t>
      </w:r>
      <w:r w:rsidR="0073498D">
        <w:rPr>
          <w:rFonts w:ascii="Arial" w:eastAsia="Times New Roman" w:hAnsi="Arial" w:cs="Arial"/>
          <w:bCs/>
          <w:sz w:val="24"/>
          <w:szCs w:val="24"/>
          <w:lang w:val="es-MX" w:eastAsia="es-ES"/>
        </w:rPr>
        <w:t xml:space="preserve"> </w:t>
      </w:r>
    </w:p>
    <w:p w14:paraId="7DFB78B9" w14:textId="77777777" w:rsidR="006063EA" w:rsidRDefault="006063EA" w:rsidP="00FE0FF8">
      <w:pPr>
        <w:spacing w:line="360" w:lineRule="auto"/>
        <w:rPr>
          <w:rFonts w:ascii="Arial" w:eastAsia="Times New Roman" w:hAnsi="Arial" w:cs="Arial"/>
          <w:bCs/>
          <w:sz w:val="24"/>
          <w:szCs w:val="24"/>
          <w:lang w:val="es-MX" w:eastAsia="es-ES"/>
        </w:rPr>
      </w:pPr>
    </w:p>
    <w:p w14:paraId="3353499E" w14:textId="77777777" w:rsidR="0073498D" w:rsidRDefault="00940639" w:rsidP="00FE0FF8">
      <w:pPr>
        <w:spacing w:line="360" w:lineRule="auto"/>
        <w:rPr>
          <w:rFonts w:ascii="Arial" w:eastAsia="Times New Roman" w:hAnsi="Arial" w:cs="Arial"/>
          <w:bCs/>
          <w:sz w:val="24"/>
          <w:szCs w:val="24"/>
          <w:lang w:val="es-MX" w:eastAsia="es-ES"/>
        </w:rPr>
      </w:pPr>
      <w:r>
        <w:rPr>
          <w:rFonts w:ascii="Arial" w:eastAsia="Times New Roman" w:hAnsi="Arial" w:cs="Arial"/>
          <w:bCs/>
          <w:sz w:val="24"/>
          <w:szCs w:val="24"/>
          <w:lang w:val="es-MX" w:eastAsia="es-ES"/>
        </w:rPr>
        <w:t>Con fundamento en lo expuesto</w:t>
      </w:r>
      <w:r w:rsidR="0073498D">
        <w:rPr>
          <w:rFonts w:ascii="Arial" w:eastAsia="Times New Roman" w:hAnsi="Arial" w:cs="Arial"/>
          <w:bCs/>
          <w:sz w:val="24"/>
          <w:szCs w:val="24"/>
          <w:lang w:val="es-MX" w:eastAsia="es-ES"/>
        </w:rPr>
        <w:t xml:space="preserve">, </w:t>
      </w:r>
      <w:r w:rsidR="00412410">
        <w:rPr>
          <w:rFonts w:ascii="Arial" w:eastAsia="Times New Roman" w:hAnsi="Arial" w:cs="Arial"/>
          <w:bCs/>
          <w:sz w:val="24"/>
          <w:szCs w:val="24"/>
          <w:lang w:val="es-MX" w:eastAsia="es-ES"/>
        </w:rPr>
        <w:t xml:space="preserve">la parte actora </w:t>
      </w:r>
      <w:r w:rsidR="0073498D">
        <w:rPr>
          <w:rFonts w:ascii="Arial" w:eastAsia="Times New Roman" w:hAnsi="Arial" w:cs="Arial"/>
          <w:bCs/>
          <w:sz w:val="24"/>
          <w:szCs w:val="24"/>
          <w:lang w:val="es-MX" w:eastAsia="es-ES"/>
        </w:rPr>
        <w:t xml:space="preserve">solicitó revocar la sentencia recurrida y acceder a </w:t>
      </w:r>
      <w:r w:rsidR="00412410">
        <w:rPr>
          <w:rFonts w:ascii="Arial" w:eastAsia="Times New Roman" w:hAnsi="Arial" w:cs="Arial"/>
          <w:bCs/>
          <w:sz w:val="24"/>
          <w:szCs w:val="24"/>
          <w:lang w:val="es-MX" w:eastAsia="es-ES"/>
        </w:rPr>
        <w:t>sus</w:t>
      </w:r>
      <w:r w:rsidR="0073498D">
        <w:rPr>
          <w:rFonts w:ascii="Arial" w:eastAsia="Times New Roman" w:hAnsi="Arial" w:cs="Arial"/>
          <w:bCs/>
          <w:sz w:val="24"/>
          <w:szCs w:val="24"/>
          <w:lang w:val="es-MX" w:eastAsia="es-ES"/>
        </w:rPr>
        <w:t xml:space="preserve"> pretensiones</w:t>
      </w:r>
      <w:r w:rsidR="00412410">
        <w:rPr>
          <w:rFonts w:ascii="Arial" w:eastAsia="Times New Roman" w:hAnsi="Arial" w:cs="Arial"/>
          <w:bCs/>
          <w:sz w:val="24"/>
          <w:szCs w:val="24"/>
          <w:lang w:val="es-MX" w:eastAsia="es-ES"/>
        </w:rPr>
        <w:t>.</w:t>
      </w:r>
      <w:r w:rsidR="0073498D">
        <w:rPr>
          <w:rFonts w:ascii="Arial" w:eastAsia="Times New Roman" w:hAnsi="Arial" w:cs="Arial"/>
          <w:bCs/>
          <w:sz w:val="24"/>
          <w:szCs w:val="24"/>
          <w:lang w:val="es-MX" w:eastAsia="es-ES"/>
        </w:rPr>
        <w:t xml:space="preserve"> </w:t>
      </w:r>
    </w:p>
    <w:p w14:paraId="1D3C0858" w14:textId="77777777" w:rsidR="00F61D3F" w:rsidRDefault="00F61D3F" w:rsidP="00FE0FF8">
      <w:pPr>
        <w:spacing w:line="360" w:lineRule="auto"/>
        <w:rPr>
          <w:rFonts w:ascii="Arial" w:eastAsia="Times New Roman" w:hAnsi="Arial" w:cs="Arial"/>
          <w:bCs/>
          <w:sz w:val="24"/>
          <w:szCs w:val="24"/>
          <w:lang w:val="es-MX" w:eastAsia="es-ES"/>
        </w:rPr>
      </w:pPr>
    </w:p>
    <w:p w14:paraId="2318D88F" w14:textId="77777777" w:rsidR="001F56B9" w:rsidRDefault="006063EA" w:rsidP="00FE0FF8">
      <w:pPr>
        <w:spacing w:line="360" w:lineRule="auto"/>
        <w:rPr>
          <w:rFonts w:ascii="Arial" w:eastAsia="Times New Roman" w:hAnsi="Arial" w:cs="Arial"/>
          <w:bCs/>
          <w:sz w:val="24"/>
          <w:szCs w:val="24"/>
          <w:lang w:val="es-MX" w:eastAsia="es-ES"/>
        </w:rPr>
      </w:pPr>
      <w:r w:rsidRPr="006063EA">
        <w:rPr>
          <w:rFonts w:ascii="Arial" w:eastAsia="Times New Roman" w:hAnsi="Arial" w:cs="Arial"/>
          <w:b/>
          <w:bCs/>
          <w:sz w:val="24"/>
          <w:szCs w:val="24"/>
          <w:lang w:val="es-MX" w:eastAsia="es-ES"/>
        </w:rPr>
        <w:t>4.</w:t>
      </w:r>
      <w:r w:rsidR="001B1877">
        <w:rPr>
          <w:rFonts w:ascii="Arial" w:eastAsia="Times New Roman" w:hAnsi="Arial" w:cs="Arial"/>
          <w:b/>
          <w:bCs/>
          <w:sz w:val="24"/>
          <w:szCs w:val="24"/>
          <w:lang w:val="es-MX" w:eastAsia="es-ES"/>
        </w:rPr>
        <w:t>12</w:t>
      </w:r>
      <w:r>
        <w:rPr>
          <w:rFonts w:ascii="Arial" w:eastAsia="Times New Roman" w:hAnsi="Arial" w:cs="Arial"/>
          <w:b/>
          <w:bCs/>
          <w:sz w:val="24"/>
          <w:szCs w:val="24"/>
          <w:lang w:val="es-MX" w:eastAsia="es-ES"/>
        </w:rPr>
        <w:t>.</w:t>
      </w:r>
      <w:r>
        <w:rPr>
          <w:rFonts w:ascii="Arial" w:eastAsia="Times New Roman" w:hAnsi="Arial" w:cs="Arial"/>
          <w:bCs/>
          <w:sz w:val="24"/>
          <w:szCs w:val="24"/>
          <w:lang w:val="es-MX" w:eastAsia="es-ES"/>
        </w:rPr>
        <w:tab/>
      </w:r>
      <w:r w:rsidR="00B8371E" w:rsidRPr="00C9724F">
        <w:rPr>
          <w:rFonts w:ascii="Arial" w:eastAsia="Times New Roman" w:hAnsi="Arial" w:cs="Arial"/>
          <w:bCs/>
          <w:sz w:val="24"/>
          <w:szCs w:val="24"/>
          <w:lang w:val="es-MX" w:eastAsia="es-ES"/>
        </w:rPr>
        <w:t>E</w:t>
      </w:r>
      <w:r w:rsidR="001C3BBF" w:rsidRPr="00C9724F">
        <w:rPr>
          <w:rFonts w:ascii="Arial" w:eastAsia="Times New Roman" w:hAnsi="Arial" w:cs="Arial"/>
          <w:bCs/>
          <w:sz w:val="24"/>
          <w:szCs w:val="24"/>
          <w:lang w:val="es-MX" w:eastAsia="es-ES"/>
        </w:rPr>
        <w:t>l</w:t>
      </w:r>
      <w:r w:rsidR="001C3BBF" w:rsidRPr="00C9724F">
        <w:rPr>
          <w:rFonts w:ascii="Arial" w:eastAsia="Times New Roman" w:hAnsi="Arial" w:cs="Arial"/>
          <w:b/>
          <w:bCs/>
          <w:sz w:val="24"/>
          <w:szCs w:val="24"/>
          <w:lang w:val="es-MX" w:eastAsia="es-ES"/>
        </w:rPr>
        <w:t xml:space="preserve"> Ministerio Público</w:t>
      </w:r>
      <w:r w:rsidR="001C3BBF" w:rsidRPr="00C9724F">
        <w:rPr>
          <w:rFonts w:ascii="Arial" w:eastAsia="Times New Roman" w:hAnsi="Arial" w:cs="Arial"/>
          <w:bCs/>
          <w:sz w:val="24"/>
          <w:szCs w:val="24"/>
          <w:lang w:val="es-MX" w:eastAsia="es-ES"/>
        </w:rPr>
        <w:t xml:space="preserve"> </w:t>
      </w:r>
      <w:r w:rsidR="006D7CA3" w:rsidRPr="00C9724F">
        <w:rPr>
          <w:rFonts w:ascii="Arial" w:eastAsia="Times New Roman" w:hAnsi="Arial" w:cs="Arial"/>
          <w:bCs/>
          <w:sz w:val="24"/>
          <w:szCs w:val="24"/>
          <w:lang w:val="es-MX" w:eastAsia="es-ES"/>
        </w:rPr>
        <w:t xml:space="preserve">presentó concepto en el sentido de que </w:t>
      </w:r>
      <w:r w:rsidR="001F56B9">
        <w:rPr>
          <w:rFonts w:ascii="Arial" w:eastAsia="Times New Roman" w:hAnsi="Arial" w:cs="Arial"/>
          <w:bCs/>
          <w:sz w:val="24"/>
          <w:szCs w:val="24"/>
          <w:lang w:val="es-MX" w:eastAsia="es-ES"/>
        </w:rPr>
        <w:t>esta Corporación s</w:t>
      </w:r>
      <w:r w:rsidR="00940639">
        <w:rPr>
          <w:rFonts w:ascii="Arial" w:eastAsia="Times New Roman" w:hAnsi="Arial" w:cs="Arial"/>
          <w:bCs/>
          <w:sz w:val="24"/>
          <w:szCs w:val="24"/>
          <w:lang w:val="es-MX" w:eastAsia="es-ES"/>
        </w:rPr>
        <w:t>í</w:t>
      </w:r>
      <w:r w:rsidR="001F56B9">
        <w:rPr>
          <w:rFonts w:ascii="Arial" w:eastAsia="Times New Roman" w:hAnsi="Arial" w:cs="Arial"/>
          <w:bCs/>
          <w:sz w:val="24"/>
          <w:szCs w:val="24"/>
          <w:lang w:val="es-MX" w:eastAsia="es-ES"/>
        </w:rPr>
        <w:t xml:space="preserve"> debía decretar la </w:t>
      </w:r>
      <w:r w:rsidR="006D7CA3" w:rsidRPr="00C9724F">
        <w:rPr>
          <w:rFonts w:ascii="Arial" w:eastAsia="Times New Roman" w:hAnsi="Arial" w:cs="Arial"/>
          <w:bCs/>
          <w:sz w:val="24"/>
          <w:szCs w:val="24"/>
          <w:lang w:val="es-MX" w:eastAsia="es-ES"/>
        </w:rPr>
        <w:t>pr</w:t>
      </w:r>
      <w:r w:rsidR="00F61D3F">
        <w:rPr>
          <w:rFonts w:ascii="Arial" w:eastAsia="Times New Roman" w:hAnsi="Arial" w:cs="Arial"/>
          <w:bCs/>
          <w:sz w:val="24"/>
          <w:szCs w:val="24"/>
          <w:lang w:val="es-MX" w:eastAsia="es-ES"/>
        </w:rPr>
        <w:t xml:space="preserve">ueba de oficio, por cuanto </w:t>
      </w:r>
      <w:r w:rsidR="001F56B9">
        <w:rPr>
          <w:rFonts w:ascii="Arial" w:eastAsia="Times New Roman" w:hAnsi="Arial" w:cs="Arial"/>
          <w:bCs/>
          <w:sz w:val="24"/>
          <w:szCs w:val="24"/>
          <w:lang w:val="es-MX" w:eastAsia="es-ES"/>
        </w:rPr>
        <w:t xml:space="preserve">se observaba que </w:t>
      </w:r>
      <w:r w:rsidR="00F61D3F">
        <w:rPr>
          <w:rFonts w:ascii="Arial" w:eastAsia="Times New Roman" w:hAnsi="Arial" w:cs="Arial"/>
          <w:bCs/>
          <w:sz w:val="24"/>
          <w:szCs w:val="24"/>
          <w:lang w:val="es-MX" w:eastAsia="es-ES"/>
        </w:rPr>
        <w:t>el distrito de Cartagena no había atendido los requerimientos del Tribunal Administrativo</w:t>
      </w:r>
      <w:r w:rsidR="001F56B9">
        <w:rPr>
          <w:rFonts w:ascii="Arial" w:eastAsia="Times New Roman" w:hAnsi="Arial" w:cs="Arial"/>
          <w:bCs/>
          <w:sz w:val="24"/>
          <w:szCs w:val="24"/>
          <w:lang w:val="es-MX" w:eastAsia="es-ES"/>
        </w:rPr>
        <w:t xml:space="preserve"> de Bolívar</w:t>
      </w:r>
      <w:r w:rsidR="00F61D3F">
        <w:rPr>
          <w:rFonts w:ascii="Arial" w:eastAsia="Times New Roman" w:hAnsi="Arial" w:cs="Arial"/>
          <w:bCs/>
          <w:sz w:val="24"/>
          <w:szCs w:val="24"/>
          <w:lang w:val="es-MX" w:eastAsia="es-ES"/>
        </w:rPr>
        <w:t>.</w:t>
      </w:r>
      <w:r w:rsidR="001F56B9">
        <w:rPr>
          <w:rFonts w:ascii="Arial" w:eastAsia="Times New Roman" w:hAnsi="Arial" w:cs="Arial"/>
          <w:bCs/>
          <w:sz w:val="24"/>
          <w:szCs w:val="24"/>
          <w:lang w:val="es-MX" w:eastAsia="es-ES"/>
        </w:rPr>
        <w:t xml:space="preserve"> </w:t>
      </w:r>
    </w:p>
    <w:p w14:paraId="0B38AF75" w14:textId="77777777" w:rsidR="006063EA" w:rsidRDefault="006063EA" w:rsidP="00FE0FF8">
      <w:pPr>
        <w:spacing w:line="360" w:lineRule="auto"/>
        <w:rPr>
          <w:rFonts w:ascii="Arial" w:eastAsia="Times New Roman" w:hAnsi="Arial" w:cs="Arial"/>
          <w:bCs/>
          <w:sz w:val="24"/>
          <w:szCs w:val="24"/>
          <w:lang w:val="es-MX" w:eastAsia="es-ES"/>
        </w:rPr>
      </w:pPr>
    </w:p>
    <w:p w14:paraId="18AFD640" w14:textId="77777777" w:rsidR="0025732B" w:rsidRDefault="006063EA" w:rsidP="00FE0FF8">
      <w:pPr>
        <w:spacing w:line="360" w:lineRule="auto"/>
        <w:rPr>
          <w:rFonts w:ascii="Arial" w:eastAsia="Times New Roman" w:hAnsi="Arial" w:cs="Arial"/>
          <w:bCs/>
          <w:sz w:val="24"/>
          <w:szCs w:val="24"/>
          <w:lang w:val="es-MX" w:eastAsia="es-ES"/>
        </w:rPr>
      </w:pPr>
      <w:r w:rsidRPr="0025732B">
        <w:rPr>
          <w:rFonts w:ascii="Arial" w:eastAsia="Times New Roman" w:hAnsi="Arial" w:cs="Arial"/>
          <w:b/>
          <w:bCs/>
          <w:sz w:val="24"/>
          <w:szCs w:val="24"/>
          <w:lang w:val="es-MX" w:eastAsia="es-ES"/>
        </w:rPr>
        <w:lastRenderedPageBreak/>
        <w:t>4.1</w:t>
      </w:r>
      <w:r w:rsidR="001B1877">
        <w:rPr>
          <w:rFonts w:ascii="Arial" w:eastAsia="Times New Roman" w:hAnsi="Arial" w:cs="Arial"/>
          <w:b/>
          <w:bCs/>
          <w:sz w:val="24"/>
          <w:szCs w:val="24"/>
          <w:lang w:val="es-MX" w:eastAsia="es-ES"/>
        </w:rPr>
        <w:t>3</w:t>
      </w:r>
      <w:r w:rsidRPr="0025732B">
        <w:rPr>
          <w:rFonts w:ascii="Arial" w:eastAsia="Times New Roman" w:hAnsi="Arial" w:cs="Arial"/>
          <w:b/>
          <w:bCs/>
          <w:sz w:val="24"/>
          <w:szCs w:val="24"/>
          <w:lang w:val="es-MX" w:eastAsia="es-ES"/>
        </w:rPr>
        <w:t>.</w:t>
      </w:r>
      <w:r>
        <w:rPr>
          <w:rFonts w:ascii="Arial" w:eastAsia="Times New Roman" w:hAnsi="Arial" w:cs="Arial"/>
          <w:bCs/>
          <w:sz w:val="24"/>
          <w:szCs w:val="24"/>
          <w:lang w:val="es-MX" w:eastAsia="es-ES"/>
        </w:rPr>
        <w:tab/>
      </w:r>
      <w:r w:rsidR="0025732B">
        <w:rPr>
          <w:rFonts w:ascii="Arial" w:eastAsia="Times New Roman" w:hAnsi="Arial" w:cs="Arial"/>
          <w:bCs/>
          <w:sz w:val="24"/>
          <w:szCs w:val="24"/>
          <w:lang w:val="es-MX" w:eastAsia="es-ES"/>
        </w:rPr>
        <w:t xml:space="preserve">La parte demandada guardó silencio en su oportunidad. </w:t>
      </w:r>
    </w:p>
    <w:p w14:paraId="2CBB1850" w14:textId="77777777" w:rsidR="00DB5EE3" w:rsidRDefault="00DB5EE3" w:rsidP="00FE0FF8">
      <w:pPr>
        <w:spacing w:line="360" w:lineRule="auto"/>
        <w:jc w:val="center"/>
        <w:rPr>
          <w:rFonts w:ascii="Arial" w:eastAsia="Times New Roman" w:hAnsi="Arial" w:cs="Arial"/>
          <w:b/>
          <w:sz w:val="24"/>
          <w:szCs w:val="24"/>
          <w:lang w:val="es-ES" w:eastAsia="es-ES"/>
        </w:rPr>
      </w:pPr>
    </w:p>
    <w:p w14:paraId="20A07E58" w14:textId="77777777" w:rsidR="005D34AA" w:rsidRPr="00C9724F" w:rsidRDefault="005D34AA" w:rsidP="00FE0FF8">
      <w:pPr>
        <w:spacing w:line="360" w:lineRule="auto"/>
        <w:jc w:val="center"/>
        <w:rPr>
          <w:rFonts w:ascii="Arial" w:eastAsia="Times New Roman" w:hAnsi="Arial" w:cs="Arial"/>
          <w:b/>
          <w:sz w:val="24"/>
          <w:szCs w:val="24"/>
          <w:lang w:val="es-ES" w:eastAsia="es-ES"/>
        </w:rPr>
      </w:pPr>
    </w:p>
    <w:p w14:paraId="481BC22C" w14:textId="77777777" w:rsidR="001C3BBF" w:rsidRPr="00C9724F" w:rsidRDefault="001C3BBF" w:rsidP="00FE0FF8">
      <w:pPr>
        <w:widowControl w:val="0"/>
        <w:adjustRightInd w:val="0"/>
        <w:spacing w:line="360" w:lineRule="atLeast"/>
        <w:ind w:hanging="283"/>
        <w:jc w:val="center"/>
        <w:textAlignment w:val="baseline"/>
        <w:rPr>
          <w:rFonts w:ascii="Arial" w:eastAsia="Times New Roman" w:hAnsi="Arial" w:cs="Arial"/>
          <w:b/>
          <w:sz w:val="24"/>
          <w:szCs w:val="24"/>
          <w:lang w:val="es-ES" w:eastAsia="es-ES"/>
        </w:rPr>
      </w:pPr>
      <w:r w:rsidRPr="00C9724F">
        <w:rPr>
          <w:rFonts w:ascii="Arial" w:eastAsia="Times New Roman" w:hAnsi="Arial" w:cs="Arial"/>
          <w:b/>
          <w:sz w:val="24"/>
          <w:szCs w:val="24"/>
          <w:lang w:val="es-ES" w:eastAsia="es-ES"/>
        </w:rPr>
        <w:t>II.</w:t>
      </w:r>
      <w:r w:rsidRPr="00C9724F">
        <w:rPr>
          <w:rFonts w:ascii="Arial" w:eastAsia="Times New Roman" w:hAnsi="Arial" w:cs="Arial"/>
          <w:b/>
          <w:sz w:val="24"/>
          <w:szCs w:val="24"/>
          <w:lang w:val="es-ES" w:eastAsia="es-ES"/>
        </w:rPr>
        <w:tab/>
        <w:t>C O N S I D E R A C I O N E S</w:t>
      </w:r>
    </w:p>
    <w:p w14:paraId="6BF4E168" w14:textId="77777777" w:rsidR="00950C43" w:rsidRDefault="00950C43" w:rsidP="00FE0FF8">
      <w:pPr>
        <w:pStyle w:val="Prrafodelista"/>
        <w:ind w:left="0"/>
        <w:rPr>
          <w:rFonts w:cs="Arial"/>
        </w:rPr>
      </w:pPr>
    </w:p>
    <w:p w14:paraId="2C78414D" w14:textId="77777777" w:rsidR="001C3BBF" w:rsidRDefault="001C3BBF" w:rsidP="00FE0FF8">
      <w:pPr>
        <w:spacing w:line="360" w:lineRule="auto"/>
        <w:rPr>
          <w:rFonts w:cs="Arial"/>
        </w:rPr>
      </w:pPr>
      <w:r w:rsidRPr="000836EF">
        <w:rPr>
          <w:rFonts w:ascii="Arial" w:hAnsi="Arial" w:cs="Arial"/>
          <w:sz w:val="24"/>
          <w:szCs w:val="24"/>
        </w:rPr>
        <w:t xml:space="preserve">Para resolver la segunda instancia de la presente </w:t>
      </w:r>
      <w:r w:rsidRPr="000836EF">
        <w:rPr>
          <w:rFonts w:ascii="Arial" w:hAnsi="Arial" w:cs="Arial"/>
          <w:i/>
          <w:sz w:val="24"/>
          <w:szCs w:val="24"/>
        </w:rPr>
        <w:t>litis</w:t>
      </w:r>
      <w:r w:rsidRPr="000836EF">
        <w:rPr>
          <w:rFonts w:ascii="Arial" w:hAnsi="Arial" w:cs="Arial"/>
          <w:sz w:val="24"/>
          <w:szCs w:val="24"/>
        </w:rPr>
        <w:t xml:space="preserve"> se abordarán los siguientes temas: </w:t>
      </w:r>
      <w:r w:rsidRPr="000836EF">
        <w:rPr>
          <w:rFonts w:ascii="Arial" w:hAnsi="Arial" w:cs="Arial"/>
          <w:b/>
          <w:sz w:val="24"/>
          <w:szCs w:val="24"/>
        </w:rPr>
        <w:t>1)</w:t>
      </w:r>
      <w:r w:rsidRPr="000836EF">
        <w:rPr>
          <w:rFonts w:ascii="Arial" w:hAnsi="Arial" w:cs="Arial"/>
          <w:sz w:val="24"/>
          <w:szCs w:val="24"/>
        </w:rPr>
        <w:t xml:space="preserve"> </w:t>
      </w:r>
      <w:r w:rsidR="00F51E7C" w:rsidRPr="000836EF">
        <w:rPr>
          <w:rFonts w:ascii="Arial" w:hAnsi="Arial" w:cs="Arial"/>
          <w:sz w:val="24"/>
          <w:szCs w:val="24"/>
        </w:rPr>
        <w:t xml:space="preserve">jurisdicción y </w:t>
      </w:r>
      <w:r w:rsidRPr="000836EF">
        <w:rPr>
          <w:rFonts w:ascii="Arial" w:hAnsi="Arial" w:cs="Arial"/>
          <w:sz w:val="24"/>
          <w:szCs w:val="24"/>
        </w:rPr>
        <w:t xml:space="preserve">competencia del Consejo de Estado; </w:t>
      </w:r>
      <w:r w:rsidR="004915C0" w:rsidRPr="000836EF">
        <w:rPr>
          <w:rFonts w:ascii="Arial" w:hAnsi="Arial" w:cs="Arial"/>
          <w:b/>
          <w:sz w:val="24"/>
          <w:szCs w:val="24"/>
        </w:rPr>
        <w:t>2</w:t>
      </w:r>
      <w:r w:rsidRPr="000836EF">
        <w:rPr>
          <w:rFonts w:ascii="Arial" w:hAnsi="Arial" w:cs="Arial"/>
          <w:b/>
          <w:sz w:val="24"/>
          <w:szCs w:val="24"/>
        </w:rPr>
        <w:t>)</w:t>
      </w:r>
      <w:r w:rsidRPr="000836EF">
        <w:rPr>
          <w:rFonts w:ascii="Arial" w:hAnsi="Arial" w:cs="Arial"/>
          <w:bCs/>
          <w:color w:val="000000"/>
          <w:sz w:val="24"/>
          <w:szCs w:val="24"/>
        </w:rPr>
        <w:t xml:space="preserve"> </w:t>
      </w:r>
      <w:r w:rsidR="004915C0" w:rsidRPr="000836EF">
        <w:rPr>
          <w:rFonts w:ascii="Arial" w:hAnsi="Arial" w:cs="Arial"/>
          <w:bCs/>
          <w:color w:val="000000"/>
          <w:sz w:val="24"/>
          <w:szCs w:val="24"/>
        </w:rPr>
        <w:t xml:space="preserve">oportunidad </w:t>
      </w:r>
      <w:r w:rsidR="00802D10" w:rsidRPr="000836EF">
        <w:rPr>
          <w:rFonts w:ascii="Arial" w:hAnsi="Arial" w:cs="Arial"/>
          <w:bCs/>
          <w:color w:val="000000"/>
          <w:sz w:val="24"/>
          <w:szCs w:val="24"/>
        </w:rPr>
        <w:t>en el ejercicio de la acción</w:t>
      </w:r>
      <w:r w:rsidR="00FD32C8" w:rsidRPr="000836EF">
        <w:rPr>
          <w:rFonts w:ascii="Arial" w:hAnsi="Arial" w:cs="Arial"/>
          <w:bCs/>
          <w:color w:val="000000"/>
          <w:sz w:val="24"/>
          <w:szCs w:val="24"/>
        </w:rPr>
        <w:t>;</w:t>
      </w:r>
      <w:r w:rsidR="00802D10" w:rsidRPr="000836EF">
        <w:rPr>
          <w:rFonts w:ascii="Arial" w:hAnsi="Arial" w:cs="Arial"/>
          <w:sz w:val="24"/>
          <w:szCs w:val="24"/>
        </w:rPr>
        <w:t xml:space="preserve"> </w:t>
      </w:r>
      <w:r w:rsidR="00FD32C8" w:rsidRPr="000836EF">
        <w:rPr>
          <w:rFonts w:ascii="Arial" w:hAnsi="Arial" w:cs="Arial"/>
          <w:b/>
          <w:sz w:val="24"/>
          <w:szCs w:val="24"/>
        </w:rPr>
        <w:t>3</w:t>
      </w:r>
      <w:r w:rsidR="00802D10" w:rsidRPr="000836EF">
        <w:rPr>
          <w:rFonts w:ascii="Arial" w:hAnsi="Arial" w:cs="Arial"/>
          <w:b/>
          <w:sz w:val="24"/>
          <w:szCs w:val="24"/>
        </w:rPr>
        <w:t>)</w:t>
      </w:r>
      <w:r w:rsidR="00802D10" w:rsidRPr="000836EF">
        <w:rPr>
          <w:rFonts w:ascii="Arial" w:hAnsi="Arial" w:cs="Arial"/>
          <w:sz w:val="24"/>
          <w:szCs w:val="24"/>
        </w:rPr>
        <w:t xml:space="preserve"> </w:t>
      </w:r>
      <w:r w:rsidR="00705E47" w:rsidRPr="000836EF">
        <w:rPr>
          <w:rFonts w:ascii="Arial" w:hAnsi="Arial" w:cs="Arial"/>
          <w:sz w:val="24"/>
          <w:szCs w:val="24"/>
        </w:rPr>
        <w:t xml:space="preserve">legitimación activa del consorcio demandante; </w:t>
      </w:r>
      <w:r w:rsidR="00705E47" w:rsidRPr="000836EF">
        <w:rPr>
          <w:rFonts w:ascii="Arial" w:hAnsi="Arial" w:cs="Arial"/>
          <w:b/>
          <w:sz w:val="24"/>
          <w:szCs w:val="24"/>
        </w:rPr>
        <w:t>4)</w:t>
      </w:r>
      <w:r w:rsidR="00705E47" w:rsidRPr="000836EF">
        <w:rPr>
          <w:rFonts w:ascii="Arial" w:hAnsi="Arial" w:cs="Arial"/>
          <w:sz w:val="24"/>
          <w:szCs w:val="24"/>
        </w:rPr>
        <w:t xml:space="preserve"> </w:t>
      </w:r>
      <w:r w:rsidR="00FC6D2D" w:rsidRPr="000836EF">
        <w:rPr>
          <w:rFonts w:ascii="Arial" w:hAnsi="Arial" w:cs="Arial"/>
          <w:sz w:val="24"/>
          <w:szCs w:val="24"/>
        </w:rPr>
        <w:t xml:space="preserve">las </w:t>
      </w:r>
      <w:r w:rsidR="00705E47" w:rsidRPr="000836EF">
        <w:rPr>
          <w:rFonts w:ascii="Arial" w:hAnsi="Arial" w:cs="Arial"/>
          <w:sz w:val="24"/>
          <w:szCs w:val="24"/>
        </w:rPr>
        <w:t xml:space="preserve">pruebas </w:t>
      </w:r>
      <w:r w:rsidR="00FC6D2D" w:rsidRPr="000836EF">
        <w:rPr>
          <w:rFonts w:ascii="Arial" w:hAnsi="Arial" w:cs="Arial"/>
          <w:sz w:val="24"/>
          <w:szCs w:val="24"/>
        </w:rPr>
        <w:t>allegadas al proceso;</w:t>
      </w:r>
      <w:r w:rsidR="009849B6" w:rsidRPr="000836EF">
        <w:rPr>
          <w:rFonts w:ascii="Arial" w:hAnsi="Arial" w:cs="Arial"/>
          <w:color w:val="000000"/>
          <w:sz w:val="24"/>
          <w:szCs w:val="24"/>
        </w:rPr>
        <w:t xml:space="preserve"> </w:t>
      </w:r>
      <w:r w:rsidR="00165E03">
        <w:rPr>
          <w:rFonts w:ascii="Arial" w:hAnsi="Arial" w:cs="Arial"/>
          <w:color w:val="000000"/>
          <w:sz w:val="24"/>
          <w:szCs w:val="24"/>
        </w:rPr>
        <w:t>5</w:t>
      </w:r>
      <w:r w:rsidR="009849B6" w:rsidRPr="000836EF">
        <w:rPr>
          <w:rFonts w:ascii="Arial" w:hAnsi="Arial" w:cs="Arial"/>
          <w:b/>
          <w:color w:val="000000"/>
          <w:sz w:val="24"/>
          <w:szCs w:val="24"/>
        </w:rPr>
        <w:t>)</w:t>
      </w:r>
      <w:r w:rsidR="009849B6" w:rsidRPr="000836EF">
        <w:rPr>
          <w:rFonts w:ascii="Arial" w:hAnsi="Arial" w:cs="Arial"/>
          <w:color w:val="000000"/>
          <w:sz w:val="24"/>
          <w:szCs w:val="24"/>
        </w:rPr>
        <w:t xml:space="preserve"> </w:t>
      </w:r>
      <w:r w:rsidR="000836EF" w:rsidRPr="000836EF">
        <w:rPr>
          <w:rFonts w:ascii="Arial" w:hAnsi="Arial" w:cs="Arial"/>
          <w:color w:val="000000"/>
          <w:sz w:val="24"/>
          <w:szCs w:val="24"/>
        </w:rPr>
        <w:t xml:space="preserve">el caso concreto; </w:t>
      </w:r>
      <w:r w:rsidR="00165E03" w:rsidRPr="00165E03">
        <w:rPr>
          <w:rFonts w:ascii="Arial" w:hAnsi="Arial" w:cs="Arial"/>
          <w:b/>
          <w:color w:val="000000"/>
          <w:sz w:val="24"/>
          <w:szCs w:val="24"/>
        </w:rPr>
        <w:t>6)</w:t>
      </w:r>
      <w:r w:rsidR="00165E03">
        <w:rPr>
          <w:rFonts w:ascii="Arial" w:hAnsi="Arial" w:cs="Arial"/>
          <w:color w:val="000000"/>
          <w:sz w:val="24"/>
          <w:szCs w:val="24"/>
        </w:rPr>
        <w:t xml:space="preserve"> efecto de la inactividad probatoria; </w:t>
      </w:r>
      <w:r w:rsidR="000836EF" w:rsidRPr="000836EF">
        <w:rPr>
          <w:rFonts w:ascii="Arial" w:hAnsi="Arial" w:cs="Arial"/>
          <w:b/>
          <w:color w:val="000000"/>
          <w:sz w:val="24"/>
          <w:szCs w:val="24"/>
        </w:rPr>
        <w:t>7)</w:t>
      </w:r>
      <w:r w:rsidR="000836EF" w:rsidRPr="000836EF">
        <w:rPr>
          <w:rFonts w:ascii="Arial" w:hAnsi="Arial" w:cs="Arial"/>
          <w:color w:val="000000"/>
          <w:sz w:val="24"/>
          <w:szCs w:val="24"/>
        </w:rPr>
        <w:t xml:space="preserve"> </w:t>
      </w:r>
      <w:r w:rsidR="00147664" w:rsidRPr="00147664">
        <w:rPr>
          <w:rFonts w:ascii="Arial" w:hAnsi="Arial" w:cs="Arial"/>
          <w:color w:val="000000"/>
          <w:sz w:val="24"/>
          <w:szCs w:val="24"/>
        </w:rPr>
        <w:t>a</w:t>
      </w:r>
      <w:r w:rsidR="00147664" w:rsidRPr="00147664">
        <w:rPr>
          <w:rFonts w:ascii="Arial" w:hAnsi="Arial" w:cs="Arial"/>
          <w:sz w:val="24"/>
          <w:szCs w:val="24"/>
        </w:rPr>
        <w:t>notación final sobre la integración del contradictorio</w:t>
      </w:r>
      <w:r w:rsidR="00147664" w:rsidRPr="00147664">
        <w:rPr>
          <w:rFonts w:ascii="Arial" w:hAnsi="Arial" w:cs="Arial"/>
          <w:color w:val="000000"/>
          <w:sz w:val="24"/>
          <w:szCs w:val="24"/>
        </w:rPr>
        <w:t xml:space="preserve"> </w:t>
      </w:r>
      <w:r w:rsidR="000836EF" w:rsidRPr="000836EF">
        <w:rPr>
          <w:rFonts w:ascii="Arial" w:hAnsi="Arial" w:cs="Arial"/>
          <w:color w:val="000000"/>
          <w:sz w:val="24"/>
          <w:szCs w:val="24"/>
        </w:rPr>
        <w:t xml:space="preserve">y </w:t>
      </w:r>
      <w:r w:rsidR="000836EF" w:rsidRPr="000836EF">
        <w:rPr>
          <w:rFonts w:ascii="Arial" w:hAnsi="Arial" w:cs="Arial"/>
          <w:b/>
          <w:color w:val="000000"/>
          <w:sz w:val="24"/>
          <w:szCs w:val="24"/>
        </w:rPr>
        <w:t>8)</w:t>
      </w:r>
      <w:r w:rsidRPr="000836EF">
        <w:rPr>
          <w:rFonts w:ascii="Arial" w:hAnsi="Arial" w:cs="Arial"/>
          <w:sz w:val="24"/>
          <w:szCs w:val="24"/>
        </w:rPr>
        <w:t xml:space="preserve"> costas.</w:t>
      </w:r>
    </w:p>
    <w:p w14:paraId="1C6DFDD1" w14:textId="77777777" w:rsidR="00F51E7C" w:rsidRDefault="00F51E7C" w:rsidP="00FE0FF8">
      <w:pPr>
        <w:pStyle w:val="Prrafodelista"/>
        <w:ind w:left="0"/>
        <w:rPr>
          <w:rFonts w:cs="Arial"/>
        </w:rPr>
      </w:pPr>
    </w:p>
    <w:p w14:paraId="42AF0268" w14:textId="77777777" w:rsidR="001C3BBF" w:rsidRDefault="00F51E7C" w:rsidP="00FE0FF8">
      <w:pPr>
        <w:numPr>
          <w:ilvl w:val="0"/>
          <w:numId w:val="16"/>
        </w:numPr>
        <w:spacing w:line="360" w:lineRule="auto"/>
        <w:ind w:left="0" w:firstLine="0"/>
        <w:rPr>
          <w:rFonts w:ascii="Arial" w:eastAsia="Times New Roman" w:hAnsi="Arial" w:cs="Arial"/>
          <w:b/>
          <w:sz w:val="24"/>
          <w:szCs w:val="24"/>
          <w:lang w:eastAsia="es-ES"/>
        </w:rPr>
      </w:pPr>
      <w:r>
        <w:rPr>
          <w:rFonts w:ascii="Arial" w:eastAsia="Times New Roman" w:hAnsi="Arial" w:cs="Arial"/>
          <w:b/>
          <w:sz w:val="24"/>
          <w:szCs w:val="24"/>
          <w:lang w:eastAsia="es-ES"/>
        </w:rPr>
        <w:t>Jurisdicción y c</w:t>
      </w:r>
      <w:r w:rsidR="001C3BBF" w:rsidRPr="00C9724F">
        <w:rPr>
          <w:rFonts w:ascii="Arial" w:eastAsia="Times New Roman" w:hAnsi="Arial" w:cs="Arial"/>
          <w:b/>
          <w:sz w:val="24"/>
          <w:szCs w:val="24"/>
          <w:lang w:eastAsia="es-ES"/>
        </w:rPr>
        <w:t>ompetencia del Consejo de Estado</w:t>
      </w:r>
    </w:p>
    <w:p w14:paraId="4EFC348F" w14:textId="77777777" w:rsidR="00950C43" w:rsidRPr="00C9724F" w:rsidRDefault="00950C43" w:rsidP="00FE0FF8">
      <w:pPr>
        <w:spacing w:line="360" w:lineRule="auto"/>
        <w:rPr>
          <w:rFonts w:ascii="Arial" w:eastAsia="Times New Roman" w:hAnsi="Arial" w:cs="Arial"/>
          <w:b/>
          <w:sz w:val="24"/>
          <w:szCs w:val="24"/>
          <w:lang w:eastAsia="es-ES"/>
        </w:rPr>
      </w:pPr>
    </w:p>
    <w:p w14:paraId="3C79378D" w14:textId="77777777" w:rsidR="001C3BBF" w:rsidRPr="00C9724F" w:rsidRDefault="001C3BBF" w:rsidP="00FE0FF8">
      <w:pPr>
        <w:numPr>
          <w:ilvl w:val="1"/>
          <w:numId w:val="16"/>
        </w:numPr>
        <w:spacing w:line="360" w:lineRule="auto"/>
        <w:ind w:left="0" w:firstLine="0"/>
        <w:rPr>
          <w:rFonts w:ascii="Arial" w:eastAsia="Times New Roman" w:hAnsi="Arial" w:cs="Arial"/>
          <w:b/>
          <w:sz w:val="24"/>
          <w:szCs w:val="24"/>
          <w:lang w:eastAsia="es-ES"/>
        </w:rPr>
      </w:pPr>
      <w:r w:rsidRPr="00C9724F">
        <w:rPr>
          <w:rFonts w:ascii="Arial" w:eastAsia="Times New Roman" w:hAnsi="Arial" w:cs="Arial"/>
          <w:b/>
          <w:sz w:val="24"/>
          <w:szCs w:val="24"/>
          <w:lang w:eastAsia="es-ES"/>
        </w:rPr>
        <w:t xml:space="preserve">Jurisdicción </w:t>
      </w:r>
      <w:r w:rsidR="00D9792D">
        <w:rPr>
          <w:rFonts w:ascii="Arial" w:eastAsia="Times New Roman" w:hAnsi="Arial" w:cs="Arial"/>
          <w:b/>
          <w:sz w:val="24"/>
          <w:szCs w:val="24"/>
          <w:lang w:eastAsia="es-ES"/>
        </w:rPr>
        <w:t>c</w:t>
      </w:r>
      <w:r w:rsidRPr="00C9724F">
        <w:rPr>
          <w:rFonts w:ascii="Arial" w:eastAsia="Times New Roman" w:hAnsi="Arial" w:cs="Arial"/>
          <w:b/>
          <w:sz w:val="24"/>
          <w:szCs w:val="24"/>
          <w:lang w:eastAsia="es-ES"/>
        </w:rPr>
        <w:t>ompetente</w:t>
      </w:r>
    </w:p>
    <w:p w14:paraId="115501C1" w14:textId="77777777" w:rsidR="00F6701E" w:rsidRPr="00C9724F" w:rsidRDefault="00F6701E" w:rsidP="00FE0FF8">
      <w:pPr>
        <w:pStyle w:val="Textoindependiente"/>
        <w:autoSpaceDE/>
        <w:adjustRightInd/>
        <w:rPr>
          <w:rFonts w:cs="Arial"/>
          <w:lang w:val="es-CO"/>
        </w:rPr>
      </w:pPr>
    </w:p>
    <w:p w14:paraId="05310150" w14:textId="77777777" w:rsidR="00CA30B8" w:rsidRDefault="00F6701E" w:rsidP="00FE0FF8">
      <w:pPr>
        <w:pStyle w:val="Textoindependiente"/>
        <w:autoSpaceDE/>
        <w:adjustRightInd/>
        <w:rPr>
          <w:rFonts w:cs="Arial"/>
          <w:i/>
          <w:iCs/>
        </w:rPr>
      </w:pPr>
      <w:r w:rsidRPr="00C9724F">
        <w:rPr>
          <w:rFonts w:cs="Arial"/>
          <w:lang w:val="es-CO"/>
        </w:rPr>
        <w:t xml:space="preserve">El </w:t>
      </w:r>
      <w:r w:rsidRPr="00C9724F">
        <w:rPr>
          <w:rFonts w:cs="Arial"/>
          <w:lang w:val="es-ES"/>
        </w:rPr>
        <w:t>artículo 82 del Código Contencioso Administrativo, modificado por el artículo 30 de la Ley 446 de 1998, vigente para la época en que se present</w:t>
      </w:r>
      <w:r w:rsidR="001D4B4C" w:rsidRPr="00C9724F">
        <w:rPr>
          <w:rFonts w:cs="Arial"/>
          <w:lang w:val="es-ES"/>
        </w:rPr>
        <w:t>ó</w:t>
      </w:r>
      <w:r w:rsidRPr="00C9724F">
        <w:rPr>
          <w:rFonts w:cs="Arial"/>
          <w:lang w:val="es-ES"/>
        </w:rPr>
        <w:t xml:space="preserve"> la demanda, le asignó a l</w:t>
      </w:r>
      <w:r w:rsidRPr="00C9724F">
        <w:rPr>
          <w:rFonts w:cs="Arial"/>
          <w:color w:val="000000"/>
        </w:rPr>
        <w:t xml:space="preserve">a Jurisdicción de lo Contencioso Administrativo el objeto de </w:t>
      </w:r>
      <w:r w:rsidRPr="00C9724F">
        <w:rPr>
          <w:rFonts w:cs="Arial"/>
          <w:i/>
          <w:iCs/>
        </w:rPr>
        <w:t>“juzgar las controversias y litigios originados en la actividad de las entidades públicas”</w:t>
      </w:r>
      <w:r w:rsidRPr="00C9724F">
        <w:rPr>
          <w:rStyle w:val="Refdenotaalpie"/>
          <w:rFonts w:cs="Arial"/>
          <w:i/>
          <w:iCs/>
        </w:rPr>
        <w:footnoteReference w:id="11"/>
      </w:r>
      <w:r w:rsidR="00A553AF">
        <w:rPr>
          <w:rFonts w:cs="Arial"/>
          <w:i/>
          <w:iCs/>
        </w:rPr>
        <w:t>.</w:t>
      </w:r>
      <w:r w:rsidRPr="00C9724F">
        <w:rPr>
          <w:rFonts w:cs="Arial"/>
          <w:i/>
          <w:iCs/>
        </w:rPr>
        <w:t xml:space="preserve"> </w:t>
      </w:r>
    </w:p>
    <w:p w14:paraId="440C1661" w14:textId="77777777" w:rsidR="00CA30B8" w:rsidRDefault="00CA30B8" w:rsidP="00FE0FF8">
      <w:pPr>
        <w:pStyle w:val="Textoindependiente"/>
        <w:autoSpaceDE/>
        <w:adjustRightInd/>
        <w:rPr>
          <w:rFonts w:cs="Arial"/>
          <w:i/>
          <w:iCs/>
        </w:rPr>
      </w:pPr>
    </w:p>
    <w:p w14:paraId="1EC3698C" w14:textId="77777777" w:rsidR="00CD4970" w:rsidRDefault="00412410" w:rsidP="00FE0FF8">
      <w:pPr>
        <w:pStyle w:val="Textoindependiente"/>
        <w:autoSpaceDE/>
        <w:adjustRightInd/>
        <w:rPr>
          <w:rFonts w:cs="Arial"/>
          <w:color w:val="FF0000"/>
        </w:rPr>
      </w:pPr>
      <w:r>
        <w:rPr>
          <w:rFonts w:cs="Arial"/>
        </w:rPr>
        <w:t xml:space="preserve">El distrito </w:t>
      </w:r>
      <w:r w:rsidR="00B45EB9">
        <w:rPr>
          <w:rFonts w:cs="Arial"/>
        </w:rPr>
        <w:t xml:space="preserve">turístico y cultural de </w:t>
      </w:r>
      <w:r>
        <w:rPr>
          <w:rFonts w:cs="Arial"/>
        </w:rPr>
        <w:t>Cartagena</w:t>
      </w:r>
      <w:r w:rsidR="00B45EB9">
        <w:rPr>
          <w:rFonts w:cs="Arial"/>
        </w:rPr>
        <w:t xml:space="preserve"> de Indias, entidad que emitió la Resolución 1457 de 2000</w:t>
      </w:r>
      <w:r w:rsidR="00A66B90">
        <w:rPr>
          <w:rFonts w:cs="Arial"/>
        </w:rPr>
        <w:t xml:space="preserve">, contentiva de la declaratoria de desierta de una invitación pública para contratar, </w:t>
      </w:r>
      <w:r w:rsidR="00B45EB9">
        <w:rPr>
          <w:rFonts w:cs="Arial"/>
        </w:rPr>
        <w:t xml:space="preserve">acusada en este proceso, es una </w:t>
      </w:r>
      <w:r w:rsidR="00F6701E" w:rsidRPr="00C9724F">
        <w:rPr>
          <w:rFonts w:cs="Arial"/>
        </w:rPr>
        <w:t xml:space="preserve">entidad estatal, </w:t>
      </w:r>
      <w:r w:rsidR="00C40E46">
        <w:rPr>
          <w:rFonts w:cs="Arial"/>
        </w:rPr>
        <w:t>de carácter territorial,</w:t>
      </w:r>
      <w:r w:rsidR="00FD32C8">
        <w:rPr>
          <w:rFonts w:cs="Arial"/>
        </w:rPr>
        <w:t xml:space="preserve"> para los efectos del régimen de contratación,</w:t>
      </w:r>
      <w:r w:rsidR="00C40E46">
        <w:rPr>
          <w:rFonts w:cs="Arial"/>
        </w:rPr>
        <w:t xml:space="preserve"> </w:t>
      </w:r>
      <w:r w:rsidR="00F6701E" w:rsidRPr="00C9724F">
        <w:rPr>
          <w:rFonts w:cs="Arial"/>
        </w:rPr>
        <w:t>según lo dispuesto por el artículo 2º de la Ley 80 de 1993</w:t>
      </w:r>
      <w:r w:rsidR="00F6701E" w:rsidRPr="00C9724F">
        <w:rPr>
          <w:rStyle w:val="Refdenotaalpie"/>
          <w:rFonts w:cs="Arial"/>
          <w:i/>
          <w:iCs/>
        </w:rPr>
        <w:footnoteReference w:id="12"/>
      </w:r>
      <w:r w:rsidR="00F6701E" w:rsidRPr="00C9724F">
        <w:rPr>
          <w:rFonts w:cs="Arial"/>
        </w:rPr>
        <w:t>.</w:t>
      </w:r>
      <w:r w:rsidR="00F6701E" w:rsidRPr="00C9724F">
        <w:rPr>
          <w:rFonts w:cs="Arial"/>
          <w:color w:val="FF0000"/>
        </w:rPr>
        <w:t xml:space="preserve"> </w:t>
      </w:r>
    </w:p>
    <w:p w14:paraId="49B4DF53" w14:textId="77777777" w:rsidR="00AF23EF" w:rsidRDefault="00AF23EF" w:rsidP="00FE0FF8">
      <w:pPr>
        <w:pStyle w:val="Textoindependiente"/>
        <w:autoSpaceDE/>
        <w:adjustRightInd/>
        <w:rPr>
          <w:rFonts w:cs="Arial"/>
        </w:rPr>
      </w:pPr>
    </w:p>
    <w:p w14:paraId="3AE84739" w14:textId="77777777" w:rsidR="00D9792D" w:rsidRDefault="001C3BBF" w:rsidP="00FE0FF8">
      <w:pPr>
        <w:autoSpaceDN w:val="0"/>
        <w:spacing w:line="360" w:lineRule="auto"/>
        <w:rPr>
          <w:rFonts w:ascii="Arial" w:eastAsia="Times New Roman" w:hAnsi="Arial" w:cs="Arial"/>
          <w:sz w:val="24"/>
          <w:szCs w:val="20"/>
          <w:lang w:val="es-ES_tradnl" w:eastAsia="es-ES"/>
        </w:rPr>
      </w:pPr>
      <w:r w:rsidRPr="00C9724F">
        <w:rPr>
          <w:rFonts w:ascii="Arial" w:eastAsia="Times New Roman" w:hAnsi="Arial" w:cs="Arial"/>
          <w:sz w:val="24"/>
          <w:szCs w:val="20"/>
          <w:lang w:val="es-ES_tradnl" w:eastAsia="es-ES"/>
        </w:rPr>
        <w:t xml:space="preserve">Se </w:t>
      </w:r>
      <w:r w:rsidR="00A553AF">
        <w:rPr>
          <w:rFonts w:ascii="Arial" w:eastAsia="Times New Roman" w:hAnsi="Arial" w:cs="Arial"/>
          <w:sz w:val="24"/>
          <w:szCs w:val="20"/>
          <w:lang w:val="es-ES_tradnl" w:eastAsia="es-ES"/>
        </w:rPr>
        <w:t xml:space="preserve">precisa </w:t>
      </w:r>
      <w:r w:rsidRPr="00C9724F">
        <w:rPr>
          <w:rFonts w:ascii="Arial" w:eastAsia="Times New Roman" w:hAnsi="Arial" w:cs="Arial"/>
          <w:sz w:val="24"/>
          <w:szCs w:val="20"/>
          <w:lang w:val="es-ES_tradnl" w:eastAsia="es-ES"/>
        </w:rPr>
        <w:t>aquí que aquellos actos administrativos producidos con ocasión de la actividad contractual con anterioridad a la celebración del contrato, en la etapa de formación de la relación contractual</w:t>
      </w:r>
      <w:r w:rsidR="001D4B4C" w:rsidRPr="00C9724F">
        <w:rPr>
          <w:rFonts w:ascii="Arial" w:eastAsia="Times New Roman" w:hAnsi="Arial" w:cs="Arial"/>
          <w:sz w:val="24"/>
          <w:szCs w:val="20"/>
          <w:lang w:val="es-ES_tradnl" w:eastAsia="es-ES"/>
        </w:rPr>
        <w:t xml:space="preserve"> -</w:t>
      </w:r>
      <w:r w:rsidRPr="00C9724F">
        <w:rPr>
          <w:rFonts w:ascii="Arial" w:eastAsia="Times New Roman" w:hAnsi="Arial" w:cs="Arial"/>
          <w:sz w:val="24"/>
          <w:szCs w:val="20"/>
          <w:lang w:val="es-ES_tradnl" w:eastAsia="es-ES"/>
        </w:rPr>
        <w:t>conocidos como actos previos</w:t>
      </w:r>
      <w:r w:rsidR="001D4B4C" w:rsidRPr="00C9724F">
        <w:rPr>
          <w:rFonts w:ascii="Arial" w:eastAsia="Times New Roman" w:hAnsi="Arial" w:cs="Arial"/>
          <w:sz w:val="24"/>
          <w:szCs w:val="20"/>
          <w:lang w:val="es-ES_tradnl" w:eastAsia="es-ES"/>
        </w:rPr>
        <w:t>-</w:t>
      </w:r>
      <w:r w:rsidRPr="00C9724F">
        <w:rPr>
          <w:rFonts w:ascii="Arial" w:eastAsia="Times New Roman" w:hAnsi="Arial" w:cs="Arial"/>
          <w:sz w:val="24"/>
          <w:szCs w:val="20"/>
          <w:lang w:val="es-ES_tradnl" w:eastAsia="es-ES"/>
        </w:rPr>
        <w:t>, constituyen verdaderos actos administrativos pasibles de las acciones previstas en el artículo 87 del Código Contencioso Administrativo, en la forma y oportunidad que allí se contempla</w:t>
      </w:r>
      <w:r w:rsidRPr="00C9724F">
        <w:rPr>
          <w:rFonts w:ascii="Arial" w:eastAsia="Times New Roman" w:hAnsi="Arial" w:cs="Arial"/>
          <w:sz w:val="24"/>
          <w:szCs w:val="20"/>
          <w:vertAlign w:val="superscript"/>
          <w:lang w:val="es-ES_tradnl" w:eastAsia="es-ES"/>
        </w:rPr>
        <w:footnoteReference w:id="13"/>
      </w:r>
      <w:r w:rsidR="00D9792D">
        <w:rPr>
          <w:rFonts w:ascii="Arial" w:eastAsia="Times New Roman" w:hAnsi="Arial" w:cs="Arial"/>
          <w:sz w:val="24"/>
          <w:szCs w:val="20"/>
          <w:lang w:val="es-ES_tradnl" w:eastAsia="es-ES"/>
        </w:rPr>
        <w:t>.</w:t>
      </w:r>
    </w:p>
    <w:p w14:paraId="7C0127E6" w14:textId="77777777" w:rsidR="00D9792D" w:rsidRDefault="00D9792D" w:rsidP="00FE0FF8">
      <w:pPr>
        <w:autoSpaceDN w:val="0"/>
        <w:spacing w:line="360" w:lineRule="auto"/>
        <w:rPr>
          <w:rFonts w:ascii="Arial" w:eastAsia="Times New Roman" w:hAnsi="Arial" w:cs="Arial"/>
          <w:sz w:val="24"/>
          <w:szCs w:val="20"/>
          <w:lang w:val="es-ES_tradnl" w:eastAsia="es-ES"/>
        </w:rPr>
      </w:pPr>
    </w:p>
    <w:p w14:paraId="5364ACB9" w14:textId="77777777" w:rsidR="006C23C7" w:rsidRDefault="00B7494F" w:rsidP="00FE0FF8">
      <w:pPr>
        <w:autoSpaceDN w:val="0"/>
        <w:spacing w:line="360" w:lineRule="auto"/>
        <w:rPr>
          <w:rFonts w:ascii="Arial" w:eastAsia="Times New Roman" w:hAnsi="Arial" w:cs="Arial"/>
          <w:sz w:val="24"/>
          <w:szCs w:val="20"/>
          <w:lang w:val="es-ES_tradnl" w:eastAsia="es-ES"/>
        </w:rPr>
      </w:pPr>
      <w:r>
        <w:rPr>
          <w:rFonts w:ascii="Arial" w:eastAsia="Times New Roman" w:hAnsi="Arial" w:cs="Arial"/>
          <w:sz w:val="24"/>
          <w:szCs w:val="20"/>
          <w:lang w:val="es-ES_tradnl" w:eastAsia="es-ES"/>
        </w:rPr>
        <w:t xml:space="preserve">En igual forma, </w:t>
      </w:r>
      <w:r w:rsidR="006C23C7">
        <w:rPr>
          <w:rFonts w:ascii="Arial" w:eastAsia="Times New Roman" w:hAnsi="Arial" w:cs="Arial"/>
          <w:sz w:val="24"/>
          <w:szCs w:val="20"/>
          <w:lang w:val="es-ES_tradnl" w:eastAsia="es-ES"/>
        </w:rPr>
        <w:t xml:space="preserve">se reafirma que la declaratoria de desierta </w:t>
      </w:r>
      <w:r>
        <w:rPr>
          <w:rFonts w:ascii="Arial" w:eastAsia="Times New Roman" w:hAnsi="Arial" w:cs="Arial"/>
          <w:sz w:val="24"/>
          <w:szCs w:val="20"/>
          <w:lang w:val="es-ES_tradnl" w:eastAsia="es-ES"/>
        </w:rPr>
        <w:t xml:space="preserve">constituye </w:t>
      </w:r>
      <w:r w:rsidR="006C23C7">
        <w:rPr>
          <w:rFonts w:ascii="Arial" w:eastAsia="Times New Roman" w:hAnsi="Arial" w:cs="Arial"/>
          <w:sz w:val="24"/>
          <w:szCs w:val="20"/>
          <w:lang w:val="es-ES_tradnl" w:eastAsia="es-ES"/>
        </w:rPr>
        <w:t>un acto que se produce en el escenario de un procedimiento de c</w:t>
      </w:r>
      <w:r w:rsidR="009851B1">
        <w:rPr>
          <w:rFonts w:ascii="Arial" w:eastAsia="Times New Roman" w:hAnsi="Arial" w:cs="Arial"/>
          <w:sz w:val="24"/>
          <w:szCs w:val="20"/>
          <w:lang w:val="es-ES_tradnl" w:eastAsia="es-ES"/>
        </w:rPr>
        <w:t>o</w:t>
      </w:r>
      <w:r w:rsidR="006C23C7">
        <w:rPr>
          <w:rFonts w:ascii="Arial" w:eastAsia="Times New Roman" w:hAnsi="Arial" w:cs="Arial"/>
          <w:sz w:val="24"/>
          <w:szCs w:val="20"/>
          <w:lang w:val="es-ES_tradnl" w:eastAsia="es-ES"/>
        </w:rPr>
        <w:t>ntratación y</w:t>
      </w:r>
      <w:r w:rsidR="00D9792D">
        <w:rPr>
          <w:rFonts w:ascii="Arial" w:eastAsia="Times New Roman" w:hAnsi="Arial" w:cs="Arial"/>
          <w:sz w:val="24"/>
          <w:szCs w:val="20"/>
          <w:lang w:val="es-ES_tradnl" w:eastAsia="es-ES"/>
        </w:rPr>
        <w:t>,</w:t>
      </w:r>
      <w:r w:rsidR="006C23C7">
        <w:rPr>
          <w:rFonts w:ascii="Arial" w:eastAsia="Times New Roman" w:hAnsi="Arial" w:cs="Arial"/>
          <w:sz w:val="24"/>
          <w:szCs w:val="20"/>
          <w:lang w:val="es-ES_tradnl" w:eastAsia="es-ES"/>
        </w:rPr>
        <w:t xml:space="preserve"> por tanto</w:t>
      </w:r>
      <w:r w:rsidR="00670198">
        <w:rPr>
          <w:rFonts w:ascii="Arial" w:eastAsia="Times New Roman" w:hAnsi="Arial" w:cs="Arial"/>
          <w:sz w:val="24"/>
          <w:szCs w:val="20"/>
          <w:lang w:val="es-ES_tradnl" w:eastAsia="es-ES"/>
        </w:rPr>
        <w:t>,</w:t>
      </w:r>
      <w:r w:rsidR="009851B1">
        <w:rPr>
          <w:rFonts w:ascii="Arial" w:eastAsia="Times New Roman" w:hAnsi="Arial" w:cs="Arial"/>
          <w:sz w:val="24"/>
          <w:szCs w:val="20"/>
          <w:lang w:val="es-ES_tradnl" w:eastAsia="es-ES"/>
        </w:rPr>
        <w:t xml:space="preserve"> constituye un acto administrativo susceptible de ser impugnado ante la jurisdicción de lo contencioso administrativo</w:t>
      </w:r>
      <w:r w:rsidR="00585B4E">
        <w:rPr>
          <w:rStyle w:val="Refdenotaalpie"/>
          <w:rFonts w:ascii="Arial" w:eastAsia="Times New Roman" w:hAnsi="Arial" w:cs="Arial"/>
          <w:sz w:val="24"/>
          <w:szCs w:val="20"/>
          <w:lang w:val="es-ES_tradnl" w:eastAsia="es-ES"/>
        </w:rPr>
        <w:footnoteReference w:id="14"/>
      </w:r>
      <w:r w:rsidR="009851B1">
        <w:rPr>
          <w:rFonts w:ascii="Arial" w:eastAsia="Times New Roman" w:hAnsi="Arial" w:cs="Arial"/>
          <w:sz w:val="24"/>
          <w:szCs w:val="20"/>
          <w:lang w:val="es-ES_tradnl" w:eastAsia="es-ES"/>
        </w:rPr>
        <w:t>.</w:t>
      </w:r>
    </w:p>
    <w:p w14:paraId="58430CF2" w14:textId="77777777" w:rsidR="006C23C7" w:rsidRDefault="006C23C7" w:rsidP="00FE0FF8">
      <w:pPr>
        <w:autoSpaceDN w:val="0"/>
        <w:spacing w:line="360" w:lineRule="auto"/>
        <w:rPr>
          <w:rFonts w:ascii="Arial" w:eastAsia="Times New Roman" w:hAnsi="Arial" w:cs="Arial"/>
          <w:sz w:val="24"/>
          <w:szCs w:val="20"/>
          <w:lang w:val="es-ES_tradnl" w:eastAsia="es-ES"/>
        </w:rPr>
      </w:pPr>
    </w:p>
    <w:p w14:paraId="1F5494A8" w14:textId="77777777" w:rsidR="001C3BBF" w:rsidRPr="00C9724F" w:rsidRDefault="006C23C7" w:rsidP="00FE0FF8">
      <w:pPr>
        <w:autoSpaceDN w:val="0"/>
        <w:spacing w:line="360" w:lineRule="auto"/>
        <w:rPr>
          <w:rFonts w:ascii="Arial" w:eastAsia="Times New Roman" w:hAnsi="Arial" w:cs="Arial"/>
          <w:sz w:val="24"/>
          <w:szCs w:val="20"/>
          <w:lang w:val="es-ES_tradnl" w:eastAsia="es-ES"/>
        </w:rPr>
      </w:pPr>
      <w:r>
        <w:rPr>
          <w:rFonts w:ascii="Arial" w:eastAsia="Times New Roman" w:hAnsi="Arial" w:cs="Arial"/>
          <w:sz w:val="24"/>
          <w:szCs w:val="20"/>
          <w:lang w:val="es-ES_tradnl" w:eastAsia="es-ES"/>
        </w:rPr>
        <w:t>Finalmente, se po</w:t>
      </w:r>
      <w:r w:rsidR="009851B1">
        <w:rPr>
          <w:rFonts w:ascii="Arial" w:eastAsia="Times New Roman" w:hAnsi="Arial" w:cs="Arial"/>
          <w:sz w:val="24"/>
          <w:szCs w:val="20"/>
          <w:lang w:val="es-ES_tradnl" w:eastAsia="es-ES"/>
        </w:rPr>
        <w:t>ne</w:t>
      </w:r>
      <w:r>
        <w:rPr>
          <w:rFonts w:ascii="Arial" w:eastAsia="Times New Roman" w:hAnsi="Arial" w:cs="Arial"/>
          <w:sz w:val="24"/>
          <w:szCs w:val="20"/>
          <w:lang w:val="es-ES_tradnl" w:eastAsia="es-ES"/>
        </w:rPr>
        <w:t xml:space="preserve"> de presente que </w:t>
      </w:r>
      <w:r w:rsidR="001C3BBF" w:rsidRPr="00C9724F">
        <w:rPr>
          <w:rFonts w:ascii="Arial" w:eastAsia="Times New Roman" w:hAnsi="Arial" w:cs="Arial"/>
          <w:sz w:val="24"/>
          <w:szCs w:val="20"/>
          <w:lang w:val="es-ES_tradnl" w:eastAsia="es-ES"/>
        </w:rPr>
        <w:t>la Jurisdicción de lo Contencioso Administrativo es la llamada a dirimir las controversias que se originan en la actividad contractual de las entidades estatales, de acuerdo con los dictados del artículo 75 de la Ley 80 de 1993</w:t>
      </w:r>
      <w:r w:rsidR="001C3BBF" w:rsidRPr="00C9724F">
        <w:rPr>
          <w:rFonts w:ascii="Arial" w:eastAsia="Times New Roman" w:hAnsi="Arial" w:cs="Arial"/>
          <w:sz w:val="24"/>
          <w:szCs w:val="20"/>
          <w:vertAlign w:val="superscript"/>
          <w:lang w:val="es-ES_tradnl" w:eastAsia="es-ES"/>
        </w:rPr>
        <w:footnoteReference w:id="15"/>
      </w:r>
      <w:r w:rsidR="001C3BBF" w:rsidRPr="00C9724F">
        <w:rPr>
          <w:rFonts w:ascii="Arial" w:eastAsia="Times New Roman" w:hAnsi="Arial" w:cs="Arial"/>
          <w:sz w:val="24"/>
          <w:szCs w:val="20"/>
          <w:lang w:val="es-ES_tradnl" w:eastAsia="es-ES"/>
        </w:rPr>
        <w:t>.</w:t>
      </w:r>
    </w:p>
    <w:p w14:paraId="0AD7A45C" w14:textId="77777777" w:rsidR="00650E42" w:rsidRDefault="00650E42" w:rsidP="00FE0FF8">
      <w:pPr>
        <w:autoSpaceDN w:val="0"/>
        <w:spacing w:line="360" w:lineRule="auto"/>
        <w:rPr>
          <w:rFonts w:ascii="Arial" w:eastAsia="Times New Roman" w:hAnsi="Arial" w:cs="Arial"/>
          <w:sz w:val="24"/>
          <w:szCs w:val="20"/>
          <w:lang w:val="es-ES_tradnl" w:eastAsia="es-ES"/>
        </w:rPr>
      </w:pPr>
    </w:p>
    <w:p w14:paraId="0DC92129" w14:textId="77777777" w:rsidR="001C3BBF" w:rsidRPr="00C9724F" w:rsidRDefault="001C3BBF" w:rsidP="00FE0FF8">
      <w:pPr>
        <w:numPr>
          <w:ilvl w:val="1"/>
          <w:numId w:val="16"/>
        </w:numPr>
        <w:spacing w:line="360" w:lineRule="auto"/>
        <w:ind w:left="0" w:firstLine="142"/>
        <w:rPr>
          <w:rFonts w:ascii="Arial" w:eastAsia="Times New Roman" w:hAnsi="Arial" w:cs="Arial"/>
          <w:b/>
          <w:color w:val="000000"/>
          <w:sz w:val="24"/>
          <w:szCs w:val="24"/>
          <w:lang w:val="es-ES" w:eastAsia="es-ES"/>
        </w:rPr>
      </w:pPr>
      <w:r w:rsidRPr="00C9724F">
        <w:rPr>
          <w:rFonts w:ascii="Arial" w:eastAsia="Times New Roman" w:hAnsi="Arial" w:cs="Arial"/>
          <w:b/>
          <w:color w:val="000000"/>
          <w:sz w:val="24"/>
          <w:szCs w:val="24"/>
          <w:lang w:val="es-ES" w:eastAsia="es-ES"/>
        </w:rPr>
        <w:t>Cuantía</w:t>
      </w:r>
    </w:p>
    <w:p w14:paraId="7809DD29" w14:textId="77777777" w:rsidR="001C3BBF" w:rsidRPr="00C9724F" w:rsidRDefault="001C3BBF" w:rsidP="00FE0FF8">
      <w:pPr>
        <w:spacing w:line="360" w:lineRule="auto"/>
        <w:rPr>
          <w:rFonts w:ascii="Arial" w:eastAsia="Times New Roman" w:hAnsi="Arial" w:cs="Arial"/>
          <w:color w:val="000000"/>
          <w:sz w:val="24"/>
          <w:szCs w:val="24"/>
          <w:lang w:val="es-ES" w:eastAsia="es-ES"/>
        </w:rPr>
      </w:pPr>
    </w:p>
    <w:p w14:paraId="2D7661BC" w14:textId="77777777" w:rsidR="00CD4970" w:rsidRDefault="001C3BBF" w:rsidP="00FE0FF8">
      <w:pPr>
        <w:spacing w:line="360" w:lineRule="auto"/>
        <w:rPr>
          <w:rFonts w:ascii="Arial" w:hAnsi="Arial" w:cs="Arial"/>
          <w:sz w:val="24"/>
          <w:szCs w:val="24"/>
        </w:rPr>
      </w:pPr>
      <w:r w:rsidRPr="00C9724F">
        <w:rPr>
          <w:rFonts w:ascii="Arial" w:eastAsia="Times New Roman" w:hAnsi="Arial" w:cs="Arial"/>
          <w:color w:val="000000"/>
          <w:sz w:val="24"/>
          <w:szCs w:val="24"/>
          <w:lang w:val="es-ES" w:eastAsia="es-ES"/>
        </w:rPr>
        <w:t>P</w:t>
      </w:r>
      <w:r w:rsidRPr="00C9724F">
        <w:rPr>
          <w:rFonts w:ascii="Arial" w:eastAsia="Times New Roman" w:hAnsi="Arial" w:cs="Arial"/>
          <w:sz w:val="24"/>
          <w:szCs w:val="24"/>
          <w:lang w:val="es-ES" w:eastAsia="es-ES"/>
        </w:rPr>
        <w:t xml:space="preserve">recisa la Sala que le asiste competencia para conocer del presente </w:t>
      </w:r>
      <w:r w:rsidR="00416A38">
        <w:rPr>
          <w:rFonts w:ascii="Arial" w:eastAsia="Times New Roman" w:hAnsi="Arial" w:cs="Arial"/>
          <w:sz w:val="24"/>
          <w:szCs w:val="24"/>
          <w:lang w:val="es-ES" w:eastAsia="es-ES"/>
        </w:rPr>
        <w:t xml:space="preserve">recurso de apelación </w:t>
      </w:r>
      <w:r w:rsidRPr="00C9724F">
        <w:rPr>
          <w:rFonts w:ascii="Arial" w:eastAsia="Times New Roman" w:hAnsi="Arial" w:cs="Arial"/>
          <w:sz w:val="24"/>
          <w:szCs w:val="24"/>
          <w:lang w:val="es-ES" w:eastAsia="es-ES"/>
        </w:rPr>
        <w:t>por razón de la cuantía, toda vez que la p</w:t>
      </w:r>
      <w:r w:rsidR="006C23C7">
        <w:rPr>
          <w:rFonts w:ascii="Arial" w:eastAsia="Times New Roman" w:hAnsi="Arial" w:cs="Arial"/>
          <w:sz w:val="24"/>
          <w:szCs w:val="24"/>
          <w:lang w:val="es-ES" w:eastAsia="es-ES"/>
        </w:rPr>
        <w:t xml:space="preserve">arte actora estimó su pretensión </w:t>
      </w:r>
      <w:r w:rsidR="006C23C7">
        <w:rPr>
          <w:rFonts w:ascii="Arial" w:eastAsia="Times New Roman" w:hAnsi="Arial" w:cs="Arial"/>
          <w:sz w:val="24"/>
          <w:szCs w:val="24"/>
          <w:lang w:val="es-ES" w:eastAsia="es-ES"/>
        </w:rPr>
        <w:lastRenderedPageBreak/>
        <w:t xml:space="preserve">en la suma </w:t>
      </w:r>
      <w:r w:rsidR="00B7494F">
        <w:rPr>
          <w:rFonts w:ascii="Arial" w:eastAsia="Times New Roman" w:hAnsi="Arial" w:cs="Arial"/>
          <w:sz w:val="24"/>
          <w:szCs w:val="24"/>
          <w:lang w:val="es-ES" w:eastAsia="es-ES"/>
        </w:rPr>
        <w:t xml:space="preserve">global </w:t>
      </w:r>
      <w:r w:rsidR="006C23C7">
        <w:rPr>
          <w:rFonts w:ascii="Arial" w:eastAsia="Times New Roman" w:hAnsi="Arial" w:cs="Arial"/>
          <w:sz w:val="24"/>
          <w:szCs w:val="24"/>
          <w:lang w:val="es-ES" w:eastAsia="es-ES"/>
        </w:rPr>
        <w:t>de $2.000’000.000</w:t>
      </w:r>
      <w:r w:rsidR="006C23C7">
        <w:rPr>
          <w:rStyle w:val="Refdenotaalpie"/>
          <w:rFonts w:ascii="Arial" w:eastAsia="Times New Roman" w:hAnsi="Arial" w:cs="Arial"/>
          <w:sz w:val="24"/>
          <w:szCs w:val="24"/>
          <w:lang w:val="es-ES" w:eastAsia="es-ES"/>
        </w:rPr>
        <w:footnoteReference w:id="16"/>
      </w:r>
      <w:r w:rsidR="00674426" w:rsidRPr="00C9724F">
        <w:rPr>
          <w:rFonts w:ascii="Arial" w:eastAsia="Times New Roman" w:hAnsi="Arial" w:cs="Arial"/>
          <w:sz w:val="24"/>
          <w:szCs w:val="24"/>
          <w:lang w:val="es-ES" w:eastAsia="es-ES"/>
        </w:rPr>
        <w:t>,</w:t>
      </w:r>
      <w:r w:rsidR="006C23C7" w:rsidRPr="00C9724F">
        <w:rPr>
          <w:rFonts w:ascii="Arial" w:eastAsia="Times New Roman" w:hAnsi="Arial" w:cs="Arial"/>
          <w:sz w:val="24"/>
          <w:szCs w:val="24"/>
          <w:lang w:val="es-ES" w:eastAsia="es-ES"/>
        </w:rPr>
        <w:t xml:space="preserve"> </w:t>
      </w:r>
      <w:r w:rsidR="00B5428A" w:rsidRPr="00C9724F">
        <w:rPr>
          <w:rFonts w:ascii="Arial" w:hAnsi="Arial" w:cs="Arial"/>
          <w:sz w:val="24"/>
          <w:szCs w:val="24"/>
        </w:rPr>
        <w:t>valor que resulta superior a</w:t>
      </w:r>
      <w:r w:rsidR="00A553AF">
        <w:rPr>
          <w:rFonts w:ascii="Arial" w:hAnsi="Arial" w:cs="Arial"/>
          <w:sz w:val="24"/>
          <w:szCs w:val="24"/>
        </w:rPr>
        <w:t xml:space="preserve">l monto </w:t>
      </w:r>
      <w:r w:rsidR="00B5428A" w:rsidRPr="00C9724F">
        <w:rPr>
          <w:rFonts w:ascii="Arial" w:hAnsi="Arial" w:cs="Arial"/>
          <w:sz w:val="24"/>
          <w:szCs w:val="24"/>
        </w:rPr>
        <w:t>equivalente a 500 S.M.L.M.V. ($</w:t>
      </w:r>
      <w:r w:rsidR="00474483">
        <w:rPr>
          <w:rFonts w:ascii="Arial" w:hAnsi="Arial" w:cs="Arial"/>
          <w:sz w:val="24"/>
          <w:szCs w:val="24"/>
        </w:rPr>
        <w:t>286</w:t>
      </w:r>
      <w:r w:rsidR="00670198">
        <w:rPr>
          <w:rFonts w:ascii="Arial" w:hAnsi="Arial" w:cs="Arial"/>
          <w:sz w:val="24"/>
          <w:szCs w:val="24"/>
        </w:rPr>
        <w:t>.000 x 500= $</w:t>
      </w:r>
      <w:r w:rsidR="003C3E41">
        <w:rPr>
          <w:rFonts w:ascii="Arial" w:hAnsi="Arial" w:cs="Arial"/>
          <w:sz w:val="24"/>
          <w:szCs w:val="24"/>
        </w:rPr>
        <w:t>143</w:t>
      </w:r>
      <w:r w:rsidR="00670198">
        <w:rPr>
          <w:rFonts w:ascii="Arial" w:hAnsi="Arial" w:cs="Arial"/>
          <w:sz w:val="24"/>
          <w:szCs w:val="24"/>
        </w:rPr>
        <w:t>’000.000</w:t>
      </w:r>
      <w:r w:rsidR="00B5428A" w:rsidRPr="00C9724F">
        <w:rPr>
          <w:rFonts w:ascii="Arial" w:hAnsi="Arial" w:cs="Arial"/>
          <w:sz w:val="24"/>
          <w:szCs w:val="24"/>
        </w:rPr>
        <w:t>)</w:t>
      </w:r>
      <w:r w:rsidR="00B5428A" w:rsidRPr="00C9724F">
        <w:rPr>
          <w:rStyle w:val="Refdenotaalpie"/>
          <w:rFonts w:ascii="Arial" w:hAnsi="Arial" w:cs="Arial"/>
          <w:sz w:val="24"/>
          <w:szCs w:val="24"/>
        </w:rPr>
        <w:footnoteReference w:id="17"/>
      </w:r>
      <w:r w:rsidR="00B5428A" w:rsidRPr="00C9724F">
        <w:rPr>
          <w:rFonts w:ascii="Arial" w:hAnsi="Arial" w:cs="Arial"/>
          <w:sz w:val="24"/>
          <w:szCs w:val="24"/>
        </w:rPr>
        <w:t xml:space="preserve">, </w:t>
      </w:r>
      <w:r w:rsidR="003C3E41">
        <w:rPr>
          <w:rFonts w:ascii="Arial" w:hAnsi="Arial" w:cs="Arial"/>
          <w:sz w:val="24"/>
          <w:szCs w:val="24"/>
        </w:rPr>
        <w:t xml:space="preserve">acogido </w:t>
      </w:r>
      <w:r w:rsidR="00B5428A" w:rsidRPr="00C9724F">
        <w:rPr>
          <w:rFonts w:ascii="Arial" w:hAnsi="Arial" w:cs="Arial"/>
          <w:sz w:val="24"/>
          <w:szCs w:val="24"/>
        </w:rPr>
        <w:t xml:space="preserve">en la Ley </w:t>
      </w:r>
      <w:r w:rsidR="009851B1">
        <w:rPr>
          <w:rFonts w:ascii="Arial" w:hAnsi="Arial" w:cs="Arial"/>
          <w:sz w:val="24"/>
          <w:szCs w:val="24"/>
        </w:rPr>
        <w:t>1450 de 2011</w:t>
      </w:r>
      <w:r w:rsidR="006C23C7">
        <w:rPr>
          <w:rFonts w:ascii="Arial" w:hAnsi="Arial" w:cs="Arial"/>
          <w:sz w:val="24"/>
          <w:szCs w:val="24"/>
        </w:rPr>
        <w:t xml:space="preserve">, para que un proceso </w:t>
      </w:r>
      <w:r w:rsidR="0066023C">
        <w:rPr>
          <w:rFonts w:ascii="Arial" w:hAnsi="Arial" w:cs="Arial"/>
          <w:sz w:val="24"/>
          <w:szCs w:val="24"/>
        </w:rPr>
        <w:t xml:space="preserve">de controversias </w:t>
      </w:r>
      <w:r w:rsidR="006C23C7">
        <w:rPr>
          <w:rFonts w:ascii="Arial" w:hAnsi="Arial" w:cs="Arial"/>
          <w:sz w:val="24"/>
          <w:szCs w:val="24"/>
        </w:rPr>
        <w:t>contractual</w:t>
      </w:r>
      <w:r w:rsidR="0066023C">
        <w:rPr>
          <w:rFonts w:ascii="Arial" w:hAnsi="Arial" w:cs="Arial"/>
          <w:sz w:val="24"/>
          <w:szCs w:val="24"/>
        </w:rPr>
        <w:t>es</w:t>
      </w:r>
      <w:r w:rsidR="006C23C7">
        <w:rPr>
          <w:rFonts w:ascii="Arial" w:hAnsi="Arial" w:cs="Arial"/>
          <w:sz w:val="24"/>
          <w:szCs w:val="24"/>
        </w:rPr>
        <w:t xml:space="preserve"> tuviera vocación de doble instancia</w:t>
      </w:r>
      <w:r w:rsidR="00631583" w:rsidRPr="00C9724F">
        <w:rPr>
          <w:rFonts w:ascii="Arial" w:hAnsi="Arial" w:cs="Arial"/>
          <w:sz w:val="24"/>
          <w:szCs w:val="24"/>
        </w:rPr>
        <w:t>.</w:t>
      </w:r>
      <w:r w:rsidR="00B5428A" w:rsidRPr="00C9724F">
        <w:rPr>
          <w:rFonts w:ascii="Arial" w:hAnsi="Arial" w:cs="Arial"/>
          <w:sz w:val="24"/>
          <w:szCs w:val="24"/>
        </w:rPr>
        <w:t xml:space="preserve"> </w:t>
      </w:r>
    </w:p>
    <w:p w14:paraId="31903C3E" w14:textId="77777777" w:rsidR="001C15E3" w:rsidRDefault="001C15E3" w:rsidP="00FE0FF8">
      <w:pPr>
        <w:spacing w:line="360" w:lineRule="auto"/>
        <w:rPr>
          <w:rFonts w:ascii="Arial" w:hAnsi="Arial" w:cs="Arial"/>
          <w:sz w:val="24"/>
          <w:szCs w:val="24"/>
        </w:rPr>
      </w:pPr>
    </w:p>
    <w:p w14:paraId="0563F34A" w14:textId="77777777" w:rsidR="00A04871" w:rsidRPr="00995B83" w:rsidRDefault="00A04871" w:rsidP="00FE0FF8">
      <w:pPr>
        <w:pStyle w:val="Prrafodelista"/>
        <w:numPr>
          <w:ilvl w:val="0"/>
          <w:numId w:val="16"/>
        </w:numPr>
        <w:ind w:left="0" w:firstLine="0"/>
        <w:rPr>
          <w:rFonts w:cs="Arial"/>
          <w:b/>
        </w:rPr>
      </w:pPr>
      <w:r w:rsidRPr="00995B83">
        <w:rPr>
          <w:rFonts w:cs="Arial"/>
          <w:b/>
        </w:rPr>
        <w:t xml:space="preserve">Oportunidad en el ejercicio de </w:t>
      </w:r>
      <w:r w:rsidR="001C3BBF" w:rsidRPr="00995B83">
        <w:rPr>
          <w:rFonts w:cs="Arial"/>
          <w:b/>
        </w:rPr>
        <w:t>la acción</w:t>
      </w:r>
    </w:p>
    <w:p w14:paraId="66790C69" w14:textId="77777777" w:rsidR="00995B83" w:rsidRPr="00995B83" w:rsidRDefault="00995B83" w:rsidP="00FE0FF8">
      <w:pPr>
        <w:rPr>
          <w:rFonts w:cs="Arial"/>
          <w:b/>
        </w:rPr>
      </w:pPr>
    </w:p>
    <w:p w14:paraId="4CDE10A1" w14:textId="77777777" w:rsidR="00A66B90" w:rsidRPr="00995B83" w:rsidRDefault="00A66B90" w:rsidP="00FE0FF8">
      <w:pPr>
        <w:spacing w:line="360" w:lineRule="auto"/>
        <w:rPr>
          <w:rFonts w:ascii="Arial" w:eastAsia="Times New Roman" w:hAnsi="Arial" w:cs="Arial"/>
          <w:sz w:val="24"/>
          <w:szCs w:val="24"/>
          <w:lang w:val="es-ES" w:eastAsia="es-ES"/>
        </w:rPr>
      </w:pPr>
      <w:r w:rsidRPr="00995B83">
        <w:rPr>
          <w:rFonts w:ascii="Arial" w:eastAsia="Times New Roman" w:hAnsi="Arial" w:cs="Arial"/>
          <w:sz w:val="24"/>
          <w:szCs w:val="24"/>
          <w:lang w:val="es-ES" w:eastAsia="es-ES"/>
        </w:rPr>
        <w:t>En el presente caso resulta aplicable el numeral 3 del artículo 136 del CCA, que di</w:t>
      </w:r>
      <w:r w:rsidR="00995B83">
        <w:rPr>
          <w:rFonts w:ascii="Arial" w:eastAsia="Times New Roman" w:hAnsi="Arial" w:cs="Arial"/>
          <w:sz w:val="24"/>
          <w:szCs w:val="24"/>
          <w:lang w:val="es-ES" w:eastAsia="es-ES"/>
        </w:rPr>
        <w:t>s</w:t>
      </w:r>
      <w:r w:rsidRPr="00995B83">
        <w:rPr>
          <w:rFonts w:ascii="Arial" w:eastAsia="Times New Roman" w:hAnsi="Arial" w:cs="Arial"/>
          <w:sz w:val="24"/>
          <w:szCs w:val="24"/>
          <w:lang w:val="es-ES" w:eastAsia="es-ES"/>
        </w:rPr>
        <w:t>pone:</w:t>
      </w:r>
    </w:p>
    <w:p w14:paraId="7E30CD52" w14:textId="77777777" w:rsidR="00A66B90" w:rsidRDefault="00A66B90" w:rsidP="00FE0FF8">
      <w:pPr>
        <w:rPr>
          <w:rFonts w:ascii="Arial" w:eastAsia="Times New Roman" w:hAnsi="Arial" w:cs="Arial"/>
          <w:b/>
          <w:sz w:val="24"/>
          <w:szCs w:val="24"/>
          <w:lang w:val="es-ES" w:eastAsia="es-ES"/>
        </w:rPr>
      </w:pPr>
    </w:p>
    <w:p w14:paraId="3141C504" w14:textId="77777777" w:rsidR="00A66B90" w:rsidRPr="005D2949" w:rsidRDefault="002637FA" w:rsidP="00FE0FF8">
      <w:pPr>
        <w:spacing w:line="276" w:lineRule="auto"/>
        <w:rPr>
          <w:rFonts w:ascii="Arial" w:hAnsi="Arial" w:cs="Arial"/>
          <w:i/>
          <w:color w:val="000000"/>
          <w:shd w:val="clear" w:color="auto" w:fill="FFFFFF"/>
        </w:rPr>
      </w:pPr>
      <w:r w:rsidRPr="005D2949">
        <w:rPr>
          <w:rFonts w:ascii="Arial" w:hAnsi="Arial" w:cs="Arial"/>
          <w:i/>
          <w:color w:val="000000"/>
          <w:shd w:val="clear" w:color="auto" w:fill="FFFFFF"/>
        </w:rPr>
        <w:t xml:space="preserve">“2. </w:t>
      </w:r>
      <w:r w:rsidR="00A66B90" w:rsidRPr="005D2949">
        <w:rPr>
          <w:rFonts w:ascii="Arial" w:hAnsi="Arial" w:cs="Arial"/>
          <w:i/>
          <w:color w:val="000000"/>
          <w:shd w:val="clear" w:color="auto" w:fill="FFFFFF"/>
        </w:rPr>
        <w:t>La acción sobre los actos presuntos que resuelvan un recurso podrá interponerse en cualquier tiempo</w:t>
      </w:r>
      <w:r w:rsidRPr="005D2949">
        <w:rPr>
          <w:rFonts w:ascii="Arial" w:hAnsi="Arial" w:cs="Arial"/>
          <w:i/>
          <w:color w:val="000000"/>
          <w:shd w:val="clear" w:color="auto" w:fill="FFFFFF"/>
        </w:rPr>
        <w:t>”</w:t>
      </w:r>
      <w:r w:rsidR="005A17C4">
        <w:rPr>
          <w:rFonts w:ascii="Arial" w:hAnsi="Arial" w:cs="Arial"/>
          <w:i/>
          <w:color w:val="000000"/>
          <w:shd w:val="clear" w:color="auto" w:fill="FFFFFF"/>
        </w:rPr>
        <w:t>.</w:t>
      </w:r>
    </w:p>
    <w:p w14:paraId="432FF89A" w14:textId="77777777" w:rsidR="00CA30B8" w:rsidRPr="00995B83" w:rsidRDefault="00CA30B8" w:rsidP="00FE0FF8">
      <w:pPr>
        <w:rPr>
          <w:rFonts w:ascii="Arial" w:hAnsi="Arial" w:cs="Arial"/>
          <w:b/>
          <w:i/>
        </w:rPr>
      </w:pPr>
    </w:p>
    <w:p w14:paraId="22611718" w14:textId="77777777" w:rsidR="0066023C" w:rsidRDefault="00A66B90" w:rsidP="00FE0FF8">
      <w:pPr>
        <w:spacing w:line="360" w:lineRule="auto"/>
        <w:rPr>
          <w:rFonts w:ascii="Arial" w:eastAsia="Times New Roman" w:hAnsi="Arial" w:cs="Arial"/>
          <w:sz w:val="24"/>
          <w:szCs w:val="24"/>
          <w:lang w:val="es-ES" w:eastAsia="es-ES"/>
        </w:rPr>
      </w:pPr>
      <w:r w:rsidRPr="004C3277">
        <w:rPr>
          <w:rFonts w:ascii="Arial" w:eastAsia="Times New Roman" w:hAnsi="Arial" w:cs="Arial"/>
          <w:sz w:val="24"/>
          <w:szCs w:val="24"/>
          <w:lang w:val="es-ES" w:eastAsia="es-ES"/>
        </w:rPr>
        <w:t>Se afirma lo anterior, teniendo en cuenta que la part</w:t>
      </w:r>
      <w:r w:rsidR="002637FA" w:rsidRPr="004C3277">
        <w:rPr>
          <w:rFonts w:ascii="Arial" w:eastAsia="Times New Roman" w:hAnsi="Arial" w:cs="Arial"/>
          <w:sz w:val="24"/>
          <w:szCs w:val="24"/>
          <w:lang w:val="es-ES" w:eastAsia="es-ES"/>
        </w:rPr>
        <w:t>e</w:t>
      </w:r>
      <w:r w:rsidRPr="004C3277">
        <w:rPr>
          <w:rFonts w:ascii="Arial" w:eastAsia="Times New Roman" w:hAnsi="Arial" w:cs="Arial"/>
          <w:sz w:val="24"/>
          <w:szCs w:val="24"/>
          <w:lang w:val="es-ES" w:eastAsia="es-ES"/>
        </w:rPr>
        <w:t xml:space="preserve"> actora acreditó la presentación del recurso de reposici</w:t>
      </w:r>
      <w:r w:rsidR="002637FA" w:rsidRPr="004C3277">
        <w:rPr>
          <w:rFonts w:ascii="Arial" w:eastAsia="Times New Roman" w:hAnsi="Arial" w:cs="Arial"/>
          <w:sz w:val="24"/>
          <w:szCs w:val="24"/>
          <w:lang w:val="es-ES" w:eastAsia="es-ES"/>
        </w:rPr>
        <w:t>ón contra la Resolución 14</w:t>
      </w:r>
      <w:r w:rsidR="00B764A4">
        <w:rPr>
          <w:rFonts w:ascii="Arial" w:eastAsia="Times New Roman" w:hAnsi="Arial" w:cs="Arial"/>
          <w:sz w:val="24"/>
          <w:szCs w:val="24"/>
          <w:lang w:val="es-ES" w:eastAsia="es-ES"/>
        </w:rPr>
        <w:t>5</w:t>
      </w:r>
      <w:r w:rsidR="002637FA" w:rsidRPr="004C3277">
        <w:rPr>
          <w:rFonts w:ascii="Arial" w:eastAsia="Times New Roman" w:hAnsi="Arial" w:cs="Arial"/>
          <w:sz w:val="24"/>
          <w:szCs w:val="24"/>
          <w:lang w:val="es-ES" w:eastAsia="es-ES"/>
        </w:rPr>
        <w:t xml:space="preserve">7 de 7 de diciembre de 2000, contentiva del </w:t>
      </w:r>
      <w:r w:rsidRPr="004C3277">
        <w:rPr>
          <w:rFonts w:ascii="Arial" w:eastAsia="Times New Roman" w:hAnsi="Arial" w:cs="Arial"/>
          <w:sz w:val="24"/>
          <w:szCs w:val="24"/>
          <w:lang w:val="es-ES" w:eastAsia="es-ES"/>
        </w:rPr>
        <w:t>acto que declaró desierta la invitación públic</w:t>
      </w:r>
      <w:r w:rsidR="002637FA" w:rsidRPr="004C3277">
        <w:rPr>
          <w:rFonts w:ascii="Arial" w:eastAsia="Times New Roman" w:hAnsi="Arial" w:cs="Arial"/>
          <w:sz w:val="24"/>
          <w:szCs w:val="24"/>
          <w:lang w:val="es-ES" w:eastAsia="es-ES"/>
        </w:rPr>
        <w:t>a</w:t>
      </w:r>
      <w:r w:rsidR="004C3277" w:rsidRPr="004C3277">
        <w:rPr>
          <w:rFonts w:ascii="Arial" w:eastAsia="Times New Roman" w:hAnsi="Arial" w:cs="Arial"/>
          <w:sz w:val="24"/>
          <w:szCs w:val="24"/>
          <w:lang w:val="es-ES" w:eastAsia="es-ES"/>
        </w:rPr>
        <w:t xml:space="preserve">. </w:t>
      </w:r>
    </w:p>
    <w:p w14:paraId="01BFC3D2" w14:textId="77777777" w:rsidR="0066023C" w:rsidRDefault="0066023C" w:rsidP="00FE0FF8">
      <w:pPr>
        <w:spacing w:line="360" w:lineRule="auto"/>
        <w:rPr>
          <w:rFonts w:ascii="Arial" w:eastAsia="Times New Roman" w:hAnsi="Arial" w:cs="Arial"/>
          <w:sz w:val="24"/>
          <w:szCs w:val="24"/>
          <w:lang w:val="es-ES" w:eastAsia="es-ES"/>
        </w:rPr>
      </w:pPr>
    </w:p>
    <w:p w14:paraId="34C8096F" w14:textId="77777777" w:rsidR="005A17C4" w:rsidRDefault="004C3277" w:rsidP="00FE0FF8">
      <w:pPr>
        <w:spacing w:line="360" w:lineRule="auto"/>
        <w:rPr>
          <w:rFonts w:ascii="Arial" w:eastAsia="Times New Roman" w:hAnsi="Arial" w:cs="Arial"/>
          <w:sz w:val="24"/>
          <w:szCs w:val="24"/>
          <w:lang w:val="es-ES" w:eastAsia="es-ES"/>
        </w:rPr>
      </w:pPr>
      <w:r w:rsidRPr="004C3277">
        <w:rPr>
          <w:rFonts w:ascii="Arial" w:eastAsia="Times New Roman" w:hAnsi="Arial" w:cs="Arial"/>
          <w:sz w:val="24"/>
          <w:szCs w:val="24"/>
          <w:lang w:val="es-ES" w:eastAsia="es-ES"/>
        </w:rPr>
        <w:t>De acuerdo con las pretensiones</w:t>
      </w:r>
      <w:r w:rsidR="005D2949">
        <w:rPr>
          <w:rFonts w:ascii="Arial" w:eastAsia="Times New Roman" w:hAnsi="Arial" w:cs="Arial"/>
          <w:sz w:val="24"/>
          <w:szCs w:val="24"/>
          <w:lang w:val="es-ES" w:eastAsia="es-ES"/>
        </w:rPr>
        <w:t xml:space="preserve"> de la demanda</w:t>
      </w:r>
      <w:r w:rsidRPr="004C3277">
        <w:rPr>
          <w:rFonts w:ascii="Arial" w:eastAsia="Times New Roman" w:hAnsi="Arial" w:cs="Arial"/>
          <w:sz w:val="24"/>
          <w:szCs w:val="24"/>
          <w:lang w:val="es-ES" w:eastAsia="es-ES"/>
        </w:rPr>
        <w:t xml:space="preserve">, la parte </w:t>
      </w:r>
      <w:r w:rsidR="005D2949">
        <w:rPr>
          <w:rFonts w:ascii="Arial" w:eastAsia="Times New Roman" w:hAnsi="Arial" w:cs="Arial"/>
          <w:sz w:val="24"/>
          <w:szCs w:val="24"/>
          <w:lang w:val="es-ES" w:eastAsia="es-ES"/>
        </w:rPr>
        <w:t xml:space="preserve">actora </w:t>
      </w:r>
      <w:r w:rsidRPr="004C3277">
        <w:rPr>
          <w:rFonts w:ascii="Arial" w:eastAsia="Times New Roman" w:hAnsi="Arial" w:cs="Arial"/>
          <w:sz w:val="24"/>
          <w:szCs w:val="24"/>
          <w:lang w:val="es-ES" w:eastAsia="es-ES"/>
        </w:rPr>
        <w:t xml:space="preserve">impugnó el acto ficto o </w:t>
      </w:r>
      <w:r w:rsidR="002637FA" w:rsidRPr="004C3277">
        <w:rPr>
          <w:rFonts w:ascii="Arial" w:eastAsia="Times New Roman" w:hAnsi="Arial" w:cs="Arial"/>
          <w:sz w:val="24"/>
          <w:szCs w:val="24"/>
          <w:lang w:val="es-ES" w:eastAsia="es-ES"/>
        </w:rPr>
        <w:t>presunto, por el hecho de que no le fue resuelto el recurso de reposición</w:t>
      </w:r>
      <w:r w:rsidR="005A17C4">
        <w:rPr>
          <w:rFonts w:ascii="Arial" w:eastAsia="Times New Roman" w:hAnsi="Arial" w:cs="Arial"/>
          <w:sz w:val="24"/>
          <w:szCs w:val="24"/>
          <w:lang w:val="es-ES" w:eastAsia="es-ES"/>
        </w:rPr>
        <w:t xml:space="preserve"> </w:t>
      </w:r>
      <w:r w:rsidR="00EA01EC">
        <w:rPr>
          <w:rFonts w:ascii="Arial" w:eastAsia="Times New Roman" w:hAnsi="Arial" w:cs="Arial"/>
          <w:sz w:val="24"/>
          <w:szCs w:val="24"/>
          <w:lang w:val="es-ES" w:eastAsia="es-ES"/>
        </w:rPr>
        <w:t xml:space="preserve">sobre </w:t>
      </w:r>
      <w:r w:rsidR="005A17C4">
        <w:rPr>
          <w:rFonts w:ascii="Arial" w:eastAsia="Times New Roman" w:hAnsi="Arial" w:cs="Arial"/>
          <w:sz w:val="24"/>
          <w:szCs w:val="24"/>
          <w:lang w:val="es-ES" w:eastAsia="es-ES"/>
        </w:rPr>
        <w:t>la resolución 14</w:t>
      </w:r>
      <w:r w:rsidR="00B764A4">
        <w:rPr>
          <w:rFonts w:ascii="Arial" w:eastAsia="Times New Roman" w:hAnsi="Arial" w:cs="Arial"/>
          <w:sz w:val="24"/>
          <w:szCs w:val="24"/>
          <w:lang w:val="es-ES" w:eastAsia="es-ES"/>
        </w:rPr>
        <w:t>5</w:t>
      </w:r>
      <w:r w:rsidR="005A17C4">
        <w:rPr>
          <w:rFonts w:ascii="Arial" w:eastAsia="Times New Roman" w:hAnsi="Arial" w:cs="Arial"/>
          <w:sz w:val="24"/>
          <w:szCs w:val="24"/>
          <w:lang w:val="es-ES" w:eastAsia="es-ES"/>
        </w:rPr>
        <w:t>7 objeto del referido recurso.</w:t>
      </w:r>
    </w:p>
    <w:p w14:paraId="791EBF5D" w14:textId="77777777" w:rsidR="002637FA" w:rsidRPr="004C3277" w:rsidRDefault="002637FA" w:rsidP="00FE0FF8">
      <w:pPr>
        <w:spacing w:line="360" w:lineRule="auto"/>
        <w:rPr>
          <w:rFonts w:ascii="Arial" w:eastAsia="Times New Roman" w:hAnsi="Arial" w:cs="Arial"/>
          <w:sz w:val="24"/>
          <w:szCs w:val="24"/>
          <w:lang w:val="es-ES" w:eastAsia="es-ES"/>
        </w:rPr>
      </w:pPr>
    </w:p>
    <w:p w14:paraId="2BA0540A" w14:textId="77777777" w:rsidR="004C3277" w:rsidRPr="004C3277" w:rsidRDefault="002637FA" w:rsidP="00FE0FF8">
      <w:pPr>
        <w:spacing w:line="360" w:lineRule="auto"/>
        <w:rPr>
          <w:rFonts w:ascii="Arial" w:eastAsia="Times New Roman" w:hAnsi="Arial" w:cs="Arial"/>
          <w:sz w:val="24"/>
          <w:szCs w:val="24"/>
          <w:lang w:val="es-ES" w:eastAsia="es-ES"/>
        </w:rPr>
      </w:pPr>
      <w:r w:rsidRPr="004C3277">
        <w:rPr>
          <w:rFonts w:ascii="Arial" w:eastAsia="Times New Roman" w:hAnsi="Arial" w:cs="Arial"/>
          <w:sz w:val="24"/>
          <w:szCs w:val="24"/>
          <w:lang w:val="es-ES" w:eastAsia="es-ES"/>
        </w:rPr>
        <w:t xml:space="preserve">Se advierte que el recurso </w:t>
      </w:r>
      <w:r w:rsidR="005A17C4">
        <w:rPr>
          <w:rFonts w:ascii="Arial" w:eastAsia="Times New Roman" w:hAnsi="Arial" w:cs="Arial"/>
          <w:sz w:val="24"/>
          <w:szCs w:val="24"/>
          <w:lang w:val="es-ES" w:eastAsia="es-ES"/>
        </w:rPr>
        <w:t xml:space="preserve">de reposición </w:t>
      </w:r>
      <w:r w:rsidRPr="004C3277">
        <w:rPr>
          <w:rFonts w:ascii="Arial" w:eastAsia="Times New Roman" w:hAnsi="Arial" w:cs="Arial"/>
          <w:sz w:val="24"/>
          <w:szCs w:val="24"/>
          <w:lang w:val="es-ES" w:eastAsia="es-ES"/>
        </w:rPr>
        <w:t xml:space="preserve">se allegó al proceso con constancia de </w:t>
      </w:r>
      <w:r w:rsidR="004C3277" w:rsidRPr="004C3277">
        <w:rPr>
          <w:rFonts w:ascii="Arial" w:eastAsia="Times New Roman" w:hAnsi="Arial" w:cs="Arial"/>
          <w:sz w:val="24"/>
          <w:szCs w:val="24"/>
          <w:lang w:val="es-ES" w:eastAsia="es-ES"/>
        </w:rPr>
        <w:t xml:space="preserve">su </w:t>
      </w:r>
      <w:r w:rsidRPr="004C3277">
        <w:rPr>
          <w:rFonts w:ascii="Arial" w:eastAsia="Times New Roman" w:hAnsi="Arial" w:cs="Arial"/>
          <w:sz w:val="24"/>
          <w:szCs w:val="24"/>
          <w:lang w:val="es-ES" w:eastAsia="es-ES"/>
        </w:rPr>
        <w:t xml:space="preserve">radicación </w:t>
      </w:r>
      <w:r w:rsidR="004C3277" w:rsidRPr="004C3277">
        <w:rPr>
          <w:rFonts w:ascii="Arial" w:eastAsia="Times New Roman" w:hAnsi="Arial" w:cs="Arial"/>
          <w:sz w:val="24"/>
          <w:szCs w:val="24"/>
          <w:lang w:val="es-ES" w:eastAsia="es-ES"/>
        </w:rPr>
        <w:t xml:space="preserve">el </w:t>
      </w:r>
      <w:r w:rsidRPr="004C3277">
        <w:rPr>
          <w:rFonts w:ascii="Arial" w:eastAsia="Times New Roman" w:hAnsi="Arial" w:cs="Arial"/>
          <w:sz w:val="24"/>
          <w:szCs w:val="24"/>
          <w:lang w:val="es-ES" w:eastAsia="es-ES"/>
        </w:rPr>
        <w:t xml:space="preserve">29 de diciembre de 2000 </w:t>
      </w:r>
      <w:r w:rsidR="004C3277" w:rsidRPr="004C3277">
        <w:rPr>
          <w:rFonts w:ascii="Arial" w:eastAsia="Times New Roman" w:hAnsi="Arial" w:cs="Arial"/>
          <w:sz w:val="24"/>
          <w:szCs w:val="24"/>
          <w:lang w:val="es-ES" w:eastAsia="es-ES"/>
        </w:rPr>
        <w:t>ante la alcaldía de Cartagena.</w:t>
      </w:r>
    </w:p>
    <w:p w14:paraId="40C4C3D9" w14:textId="77777777" w:rsidR="004C3277" w:rsidRPr="004C3277" w:rsidRDefault="004C3277" w:rsidP="00FE0FF8">
      <w:pPr>
        <w:spacing w:line="360" w:lineRule="auto"/>
        <w:rPr>
          <w:rFonts w:ascii="Arial" w:eastAsia="Times New Roman" w:hAnsi="Arial" w:cs="Arial"/>
          <w:sz w:val="24"/>
          <w:szCs w:val="24"/>
          <w:lang w:val="es-ES" w:eastAsia="es-ES"/>
        </w:rPr>
      </w:pPr>
    </w:p>
    <w:p w14:paraId="579A28DB" w14:textId="77777777" w:rsidR="002637FA" w:rsidRPr="004C3277" w:rsidRDefault="004C3277" w:rsidP="00FE0FF8">
      <w:pPr>
        <w:spacing w:line="360" w:lineRule="auto"/>
        <w:rPr>
          <w:rFonts w:ascii="Arial" w:eastAsia="Times New Roman" w:hAnsi="Arial" w:cs="Arial"/>
          <w:sz w:val="24"/>
          <w:szCs w:val="24"/>
          <w:lang w:val="es-ES" w:eastAsia="es-ES"/>
        </w:rPr>
      </w:pPr>
      <w:r w:rsidRPr="004C3277">
        <w:rPr>
          <w:rFonts w:ascii="Arial" w:eastAsia="Times New Roman" w:hAnsi="Arial" w:cs="Arial"/>
          <w:sz w:val="24"/>
          <w:szCs w:val="24"/>
          <w:lang w:val="es-ES" w:eastAsia="es-ES"/>
        </w:rPr>
        <w:t xml:space="preserve">También, </w:t>
      </w:r>
      <w:r w:rsidR="002637FA" w:rsidRPr="004C3277">
        <w:rPr>
          <w:rFonts w:ascii="Arial" w:eastAsia="Times New Roman" w:hAnsi="Arial" w:cs="Arial"/>
          <w:sz w:val="24"/>
          <w:szCs w:val="24"/>
          <w:lang w:val="es-ES" w:eastAsia="es-ES"/>
        </w:rPr>
        <w:t xml:space="preserve">se </w:t>
      </w:r>
      <w:r w:rsidRPr="004C3277">
        <w:rPr>
          <w:rFonts w:ascii="Arial" w:eastAsia="Times New Roman" w:hAnsi="Arial" w:cs="Arial"/>
          <w:sz w:val="24"/>
          <w:szCs w:val="24"/>
          <w:lang w:val="es-ES" w:eastAsia="es-ES"/>
        </w:rPr>
        <w:t xml:space="preserve">agrega que </w:t>
      </w:r>
      <w:r w:rsidR="002637FA" w:rsidRPr="004C3277">
        <w:rPr>
          <w:rFonts w:ascii="Arial" w:eastAsia="Times New Roman" w:hAnsi="Arial" w:cs="Arial"/>
          <w:sz w:val="24"/>
          <w:szCs w:val="24"/>
          <w:lang w:val="es-ES" w:eastAsia="es-ES"/>
        </w:rPr>
        <w:t>contra la resolución que declar</w:t>
      </w:r>
      <w:r w:rsidRPr="004C3277">
        <w:rPr>
          <w:rFonts w:ascii="Arial" w:eastAsia="Times New Roman" w:hAnsi="Arial" w:cs="Arial"/>
          <w:sz w:val="24"/>
          <w:szCs w:val="24"/>
          <w:lang w:val="es-ES" w:eastAsia="es-ES"/>
        </w:rPr>
        <w:t>ó</w:t>
      </w:r>
      <w:r w:rsidR="002637FA" w:rsidRPr="004C3277">
        <w:rPr>
          <w:rFonts w:ascii="Arial" w:eastAsia="Times New Roman" w:hAnsi="Arial" w:cs="Arial"/>
          <w:sz w:val="24"/>
          <w:szCs w:val="24"/>
          <w:lang w:val="es-ES" w:eastAsia="es-ES"/>
        </w:rPr>
        <w:t xml:space="preserve"> desierto </w:t>
      </w:r>
      <w:r w:rsidRPr="004C3277">
        <w:rPr>
          <w:rFonts w:ascii="Arial" w:eastAsia="Times New Roman" w:hAnsi="Arial" w:cs="Arial"/>
          <w:sz w:val="24"/>
          <w:szCs w:val="24"/>
          <w:lang w:val="es-ES" w:eastAsia="es-ES"/>
        </w:rPr>
        <w:t xml:space="preserve">el </w:t>
      </w:r>
      <w:r w:rsidR="002637FA" w:rsidRPr="004C3277">
        <w:rPr>
          <w:rFonts w:ascii="Arial" w:eastAsia="Times New Roman" w:hAnsi="Arial" w:cs="Arial"/>
          <w:sz w:val="24"/>
          <w:szCs w:val="24"/>
          <w:lang w:val="es-ES" w:eastAsia="es-ES"/>
        </w:rPr>
        <w:t xml:space="preserve">procedimiento de contratación pública </w:t>
      </w:r>
      <w:r w:rsidRPr="004C3277">
        <w:rPr>
          <w:rFonts w:ascii="Arial" w:eastAsia="Times New Roman" w:hAnsi="Arial" w:cs="Arial"/>
          <w:sz w:val="24"/>
          <w:szCs w:val="24"/>
          <w:lang w:val="es-ES" w:eastAsia="es-ES"/>
        </w:rPr>
        <w:t xml:space="preserve">podía </w:t>
      </w:r>
      <w:r w:rsidR="002637FA" w:rsidRPr="004C3277">
        <w:rPr>
          <w:rFonts w:ascii="Arial" w:eastAsia="Times New Roman" w:hAnsi="Arial" w:cs="Arial"/>
          <w:sz w:val="24"/>
          <w:szCs w:val="24"/>
          <w:lang w:val="es-ES" w:eastAsia="es-ES"/>
        </w:rPr>
        <w:t>interponerse el recurso de reposición, en los términos del artículo 50 del CCA</w:t>
      </w:r>
      <w:r w:rsidR="000958C4" w:rsidRPr="004C3277">
        <w:rPr>
          <w:rStyle w:val="Refdenotaalpie"/>
          <w:rFonts w:ascii="Arial" w:eastAsia="Times New Roman" w:hAnsi="Arial" w:cs="Arial"/>
          <w:sz w:val="24"/>
          <w:szCs w:val="24"/>
          <w:lang w:val="es-ES" w:eastAsia="es-ES"/>
        </w:rPr>
        <w:footnoteReference w:id="18"/>
      </w:r>
      <w:r w:rsidR="002637FA" w:rsidRPr="004C3277">
        <w:rPr>
          <w:rFonts w:ascii="Arial" w:eastAsia="Times New Roman" w:hAnsi="Arial" w:cs="Arial"/>
          <w:sz w:val="24"/>
          <w:szCs w:val="24"/>
          <w:lang w:val="es-ES" w:eastAsia="es-ES"/>
        </w:rPr>
        <w:t xml:space="preserve">, habida cuenta de que la excepción de no procedencia del </w:t>
      </w:r>
      <w:r w:rsidR="005D2949">
        <w:rPr>
          <w:rFonts w:ascii="Arial" w:eastAsia="Times New Roman" w:hAnsi="Arial" w:cs="Arial"/>
          <w:sz w:val="24"/>
          <w:szCs w:val="24"/>
          <w:lang w:val="es-ES" w:eastAsia="es-ES"/>
        </w:rPr>
        <w:lastRenderedPageBreak/>
        <w:t>recurso</w:t>
      </w:r>
      <w:r w:rsidRPr="004C3277">
        <w:rPr>
          <w:rFonts w:ascii="Arial" w:eastAsia="Times New Roman" w:hAnsi="Arial" w:cs="Arial"/>
          <w:sz w:val="24"/>
          <w:szCs w:val="24"/>
          <w:lang w:val="es-ES" w:eastAsia="es-ES"/>
        </w:rPr>
        <w:t xml:space="preserve"> </w:t>
      </w:r>
      <w:r w:rsidR="0066023C">
        <w:rPr>
          <w:rFonts w:ascii="Arial" w:eastAsia="Times New Roman" w:hAnsi="Arial" w:cs="Arial"/>
          <w:sz w:val="24"/>
          <w:szCs w:val="24"/>
          <w:lang w:val="es-ES" w:eastAsia="es-ES"/>
        </w:rPr>
        <w:t xml:space="preserve">en los procedimientos de contratación pública, </w:t>
      </w:r>
      <w:r w:rsidRPr="004C3277">
        <w:rPr>
          <w:rFonts w:ascii="Arial" w:eastAsia="Times New Roman" w:hAnsi="Arial" w:cs="Arial"/>
          <w:sz w:val="24"/>
          <w:szCs w:val="24"/>
          <w:lang w:val="es-ES" w:eastAsia="es-ES"/>
        </w:rPr>
        <w:t xml:space="preserve">contenida en la Ley 80 de 1993, se estableció </w:t>
      </w:r>
      <w:r w:rsidR="002637FA" w:rsidRPr="004C3277">
        <w:rPr>
          <w:rFonts w:ascii="Arial" w:eastAsia="Times New Roman" w:hAnsi="Arial" w:cs="Arial"/>
          <w:sz w:val="24"/>
          <w:szCs w:val="24"/>
          <w:lang w:val="es-ES" w:eastAsia="es-ES"/>
        </w:rPr>
        <w:t xml:space="preserve">únicamente </w:t>
      </w:r>
      <w:r w:rsidR="00705E47">
        <w:rPr>
          <w:rFonts w:ascii="Arial" w:eastAsia="Times New Roman" w:hAnsi="Arial" w:cs="Arial"/>
          <w:sz w:val="24"/>
          <w:szCs w:val="24"/>
          <w:lang w:val="es-ES" w:eastAsia="es-ES"/>
        </w:rPr>
        <w:t xml:space="preserve">para </w:t>
      </w:r>
      <w:r w:rsidR="002637FA" w:rsidRPr="004C3277">
        <w:rPr>
          <w:rFonts w:ascii="Arial" w:eastAsia="Times New Roman" w:hAnsi="Arial" w:cs="Arial"/>
          <w:sz w:val="24"/>
          <w:szCs w:val="24"/>
          <w:lang w:val="es-ES" w:eastAsia="es-ES"/>
        </w:rPr>
        <w:t>el acto de adjudicación</w:t>
      </w:r>
      <w:r w:rsidRPr="004C3277">
        <w:rPr>
          <w:rStyle w:val="Refdenotaalpie"/>
          <w:rFonts w:ascii="Arial" w:eastAsia="Times New Roman" w:hAnsi="Arial" w:cs="Arial"/>
          <w:sz w:val="24"/>
          <w:szCs w:val="24"/>
          <w:lang w:val="es-ES" w:eastAsia="es-ES"/>
        </w:rPr>
        <w:footnoteReference w:id="19"/>
      </w:r>
      <w:r w:rsidR="002637FA" w:rsidRPr="004C3277">
        <w:rPr>
          <w:rFonts w:ascii="Arial" w:eastAsia="Times New Roman" w:hAnsi="Arial" w:cs="Arial"/>
          <w:sz w:val="24"/>
          <w:szCs w:val="24"/>
          <w:lang w:val="es-ES" w:eastAsia="es-ES"/>
        </w:rPr>
        <w:t xml:space="preserve">. </w:t>
      </w:r>
    </w:p>
    <w:p w14:paraId="501E4F45" w14:textId="77777777" w:rsidR="009B7FFE" w:rsidRDefault="009B7FFE" w:rsidP="00FE0FF8">
      <w:pPr>
        <w:spacing w:line="360" w:lineRule="auto"/>
        <w:rPr>
          <w:rFonts w:ascii="Arial" w:eastAsia="Times New Roman" w:hAnsi="Arial" w:cs="Arial"/>
          <w:sz w:val="24"/>
          <w:szCs w:val="24"/>
          <w:lang w:val="es-ES" w:eastAsia="es-ES"/>
        </w:rPr>
      </w:pPr>
    </w:p>
    <w:p w14:paraId="35D3F19E" w14:textId="77777777" w:rsidR="005D34AA" w:rsidRDefault="005D34AA" w:rsidP="00FE0FF8">
      <w:pPr>
        <w:spacing w:line="360" w:lineRule="auto"/>
        <w:rPr>
          <w:rFonts w:ascii="Arial" w:eastAsia="Times New Roman" w:hAnsi="Arial" w:cs="Arial"/>
          <w:sz w:val="24"/>
          <w:szCs w:val="24"/>
          <w:lang w:val="es-ES" w:eastAsia="es-ES"/>
        </w:rPr>
      </w:pPr>
    </w:p>
    <w:p w14:paraId="1EE9154A" w14:textId="77777777" w:rsidR="005D34AA" w:rsidRDefault="005D34AA" w:rsidP="00FE0FF8">
      <w:pPr>
        <w:spacing w:line="360" w:lineRule="auto"/>
        <w:rPr>
          <w:rFonts w:ascii="Arial" w:eastAsia="Times New Roman" w:hAnsi="Arial" w:cs="Arial"/>
          <w:sz w:val="24"/>
          <w:szCs w:val="24"/>
          <w:lang w:val="es-ES" w:eastAsia="es-ES"/>
        </w:rPr>
      </w:pPr>
    </w:p>
    <w:p w14:paraId="6EE27805" w14:textId="77777777" w:rsidR="005D34AA" w:rsidRDefault="005D34AA" w:rsidP="00FE0FF8">
      <w:pPr>
        <w:spacing w:line="360" w:lineRule="auto"/>
        <w:rPr>
          <w:rFonts w:ascii="Arial" w:eastAsia="Times New Roman" w:hAnsi="Arial" w:cs="Arial"/>
          <w:sz w:val="24"/>
          <w:szCs w:val="24"/>
          <w:lang w:val="es-ES" w:eastAsia="es-ES"/>
        </w:rPr>
      </w:pPr>
    </w:p>
    <w:p w14:paraId="0123443E" w14:textId="77777777" w:rsidR="009B7FFE" w:rsidRPr="00E13CD0" w:rsidRDefault="009B7FFE" w:rsidP="00FE0FF8">
      <w:pPr>
        <w:pStyle w:val="Prrafodelista"/>
        <w:ind w:left="0"/>
        <w:rPr>
          <w:rFonts w:cs="Arial"/>
          <w:b/>
        </w:rPr>
      </w:pPr>
      <w:r w:rsidRPr="00E13CD0">
        <w:rPr>
          <w:rFonts w:cs="Arial"/>
          <w:b/>
        </w:rPr>
        <w:t>3</w:t>
      </w:r>
      <w:r w:rsidR="00A443BE" w:rsidRPr="00E13CD0">
        <w:rPr>
          <w:rFonts w:cs="Arial"/>
          <w:b/>
        </w:rPr>
        <w:t>.</w:t>
      </w:r>
      <w:r w:rsidRPr="00E13CD0">
        <w:rPr>
          <w:rFonts w:cs="Arial"/>
          <w:b/>
        </w:rPr>
        <w:t xml:space="preserve"> Legitimación activa </w:t>
      </w:r>
      <w:r w:rsidR="00A443BE" w:rsidRPr="00E13CD0">
        <w:rPr>
          <w:rFonts w:cs="Arial"/>
          <w:b/>
        </w:rPr>
        <w:t>de</w:t>
      </w:r>
      <w:r w:rsidR="00B22ED1">
        <w:rPr>
          <w:rFonts w:cs="Arial"/>
          <w:b/>
        </w:rPr>
        <w:t xml:space="preserve"> la unión temporal </w:t>
      </w:r>
      <w:r w:rsidR="005D2949">
        <w:rPr>
          <w:rFonts w:cs="Arial"/>
          <w:b/>
        </w:rPr>
        <w:t>demandante</w:t>
      </w:r>
    </w:p>
    <w:p w14:paraId="40FDABB5" w14:textId="77777777" w:rsidR="009B7FFE" w:rsidRPr="00E13CD0" w:rsidRDefault="009B7FFE" w:rsidP="00FE0FF8">
      <w:pPr>
        <w:tabs>
          <w:tab w:val="left" w:pos="4920"/>
        </w:tabs>
        <w:rPr>
          <w:rFonts w:ascii="Arial" w:hAnsi="Arial" w:cs="Arial"/>
          <w:sz w:val="24"/>
          <w:szCs w:val="24"/>
        </w:rPr>
      </w:pPr>
    </w:p>
    <w:p w14:paraId="5EB10689" w14:textId="77777777" w:rsidR="0066023C" w:rsidRDefault="00B87671" w:rsidP="00FE0FF8">
      <w:pPr>
        <w:spacing w:line="360" w:lineRule="auto"/>
        <w:rPr>
          <w:rFonts w:ascii="Arial" w:hAnsi="Arial" w:cs="Arial"/>
          <w:sz w:val="24"/>
          <w:szCs w:val="24"/>
        </w:rPr>
      </w:pPr>
      <w:r>
        <w:rPr>
          <w:rFonts w:ascii="Arial" w:hAnsi="Arial" w:cs="Arial"/>
          <w:sz w:val="24"/>
          <w:szCs w:val="24"/>
        </w:rPr>
        <w:t>R</w:t>
      </w:r>
      <w:r w:rsidR="00885C5B" w:rsidRPr="00E13CD0">
        <w:rPr>
          <w:rFonts w:ascii="Arial" w:hAnsi="Arial" w:cs="Arial"/>
          <w:sz w:val="24"/>
          <w:szCs w:val="24"/>
        </w:rPr>
        <w:t xml:space="preserve">esulta útil mencionar el efecto que se desprende del contenido del artículo 7 de la Ley 80 de 1993, </w:t>
      </w:r>
      <w:r w:rsidR="004C3277">
        <w:rPr>
          <w:rFonts w:ascii="Arial" w:hAnsi="Arial" w:cs="Arial"/>
          <w:sz w:val="24"/>
          <w:szCs w:val="24"/>
        </w:rPr>
        <w:t xml:space="preserve">en cuanto a </w:t>
      </w:r>
      <w:r w:rsidR="00885C5B" w:rsidRPr="00E13CD0">
        <w:rPr>
          <w:rFonts w:ascii="Arial" w:hAnsi="Arial" w:cs="Arial"/>
          <w:sz w:val="24"/>
          <w:szCs w:val="24"/>
        </w:rPr>
        <w:t xml:space="preserve">la </w:t>
      </w:r>
      <w:r w:rsidR="004C3277">
        <w:rPr>
          <w:rFonts w:ascii="Arial" w:hAnsi="Arial" w:cs="Arial"/>
          <w:sz w:val="24"/>
          <w:szCs w:val="24"/>
        </w:rPr>
        <w:t xml:space="preserve">acreditación de la legitimación activa, de la Unión Temporal Soluciones Tributarias Integrales, dado que </w:t>
      </w:r>
      <w:r w:rsidR="0066023C">
        <w:rPr>
          <w:rFonts w:ascii="Arial" w:hAnsi="Arial" w:cs="Arial"/>
          <w:sz w:val="24"/>
          <w:szCs w:val="24"/>
        </w:rPr>
        <w:t xml:space="preserve">la demandante </w:t>
      </w:r>
      <w:r w:rsidR="004C3277">
        <w:rPr>
          <w:rFonts w:ascii="Arial" w:hAnsi="Arial" w:cs="Arial"/>
          <w:sz w:val="24"/>
          <w:szCs w:val="24"/>
        </w:rPr>
        <w:t>allegó el documento de con</w:t>
      </w:r>
      <w:r w:rsidR="00EA01EC">
        <w:rPr>
          <w:rFonts w:ascii="Arial" w:hAnsi="Arial" w:cs="Arial"/>
          <w:sz w:val="24"/>
          <w:szCs w:val="24"/>
        </w:rPr>
        <w:t xml:space="preserve">formación </w:t>
      </w:r>
      <w:r w:rsidR="004C3277">
        <w:rPr>
          <w:rFonts w:ascii="Arial" w:hAnsi="Arial" w:cs="Arial"/>
          <w:sz w:val="24"/>
          <w:szCs w:val="24"/>
        </w:rPr>
        <w:t xml:space="preserve">de la referida unión temporal y la designación del representante que a su vez otorgó poder para </w:t>
      </w:r>
      <w:r w:rsidR="0066023C">
        <w:rPr>
          <w:rFonts w:ascii="Arial" w:hAnsi="Arial" w:cs="Arial"/>
          <w:sz w:val="24"/>
          <w:szCs w:val="24"/>
        </w:rPr>
        <w:t xml:space="preserve">adelantar el presente </w:t>
      </w:r>
      <w:r w:rsidR="00190897">
        <w:rPr>
          <w:rFonts w:ascii="Arial" w:hAnsi="Arial" w:cs="Arial"/>
          <w:sz w:val="24"/>
          <w:szCs w:val="24"/>
        </w:rPr>
        <w:t>proceso</w:t>
      </w:r>
      <w:r w:rsidR="00190897">
        <w:rPr>
          <w:rStyle w:val="Refdenotaalpie"/>
          <w:rFonts w:ascii="Arial" w:hAnsi="Arial" w:cs="Arial"/>
          <w:sz w:val="24"/>
          <w:szCs w:val="24"/>
        </w:rPr>
        <w:footnoteReference w:id="20"/>
      </w:r>
      <w:r w:rsidR="00190897">
        <w:rPr>
          <w:rFonts w:ascii="Arial" w:hAnsi="Arial" w:cs="Arial"/>
          <w:sz w:val="24"/>
          <w:szCs w:val="24"/>
        </w:rPr>
        <w:t>.</w:t>
      </w:r>
    </w:p>
    <w:p w14:paraId="48549B86" w14:textId="77777777" w:rsidR="0066023C" w:rsidRDefault="0066023C" w:rsidP="00FE0FF8">
      <w:pPr>
        <w:spacing w:line="360" w:lineRule="auto"/>
        <w:rPr>
          <w:rFonts w:ascii="Arial" w:hAnsi="Arial" w:cs="Arial"/>
          <w:sz w:val="24"/>
          <w:szCs w:val="24"/>
        </w:rPr>
      </w:pPr>
    </w:p>
    <w:p w14:paraId="70DF30C7" w14:textId="77777777" w:rsidR="009B7FFE" w:rsidRPr="00E13CD0" w:rsidRDefault="00885C5B" w:rsidP="00FE0FF8">
      <w:pPr>
        <w:spacing w:line="360" w:lineRule="auto"/>
        <w:rPr>
          <w:rFonts w:ascii="Arial" w:hAnsi="Arial" w:cs="Arial"/>
          <w:i/>
          <w:sz w:val="24"/>
          <w:szCs w:val="24"/>
        </w:rPr>
      </w:pPr>
      <w:r w:rsidRPr="00E13CD0">
        <w:rPr>
          <w:rFonts w:ascii="Arial" w:hAnsi="Arial" w:cs="Arial"/>
          <w:sz w:val="24"/>
          <w:szCs w:val="24"/>
        </w:rPr>
        <w:t>Se recuerda que e</w:t>
      </w:r>
      <w:r w:rsidR="009B7FFE" w:rsidRPr="00E13CD0">
        <w:rPr>
          <w:rFonts w:ascii="Arial" w:hAnsi="Arial" w:cs="Arial"/>
          <w:sz w:val="24"/>
          <w:szCs w:val="24"/>
        </w:rPr>
        <w:t>l Consejo de Estado en Sala Plena de la Sección Tercera, mediante sentencia de 25 de septiembre de 2013</w:t>
      </w:r>
      <w:r w:rsidR="009B7FFE" w:rsidRPr="00E13CD0">
        <w:rPr>
          <w:rStyle w:val="Refdenotaalpie"/>
          <w:rFonts w:ascii="Arial" w:hAnsi="Arial" w:cs="Arial"/>
          <w:sz w:val="24"/>
          <w:szCs w:val="24"/>
        </w:rPr>
        <w:footnoteReference w:id="21"/>
      </w:r>
      <w:r w:rsidR="009B7FFE" w:rsidRPr="00E13CD0">
        <w:rPr>
          <w:rFonts w:ascii="Arial" w:hAnsi="Arial" w:cs="Arial"/>
          <w:sz w:val="24"/>
          <w:szCs w:val="24"/>
        </w:rPr>
        <w:t xml:space="preserve">, resolvió </w:t>
      </w:r>
      <w:r w:rsidR="009B7FFE" w:rsidRPr="00E13CD0">
        <w:rPr>
          <w:rFonts w:ascii="Arial" w:hAnsi="Arial" w:cs="Arial"/>
          <w:i/>
          <w:sz w:val="24"/>
          <w:szCs w:val="24"/>
        </w:rPr>
        <w:t>“</w:t>
      </w:r>
      <w:r w:rsidR="009B7FFE" w:rsidRPr="00E13CD0">
        <w:rPr>
          <w:rFonts w:ascii="Arial" w:hAnsi="Arial" w:cs="Arial"/>
          <w:b/>
          <w:i/>
          <w:sz w:val="24"/>
          <w:szCs w:val="24"/>
        </w:rPr>
        <w:t xml:space="preserve">UNIFICAR la Jurisprudencia </w:t>
      </w:r>
      <w:r w:rsidR="009B7FFE" w:rsidRPr="00E13CD0">
        <w:rPr>
          <w:rFonts w:ascii="Arial" w:hAnsi="Arial" w:cs="Arial"/>
          <w:i/>
          <w:sz w:val="24"/>
          <w:szCs w:val="24"/>
        </w:rPr>
        <w:t>en relación con la capacidad con la cual cuentan los consorcios para comparecer como partes en los procesos judiciales en los cuales se debaten asuntos relacionados con los derechos o intereses de los que son titulares o que discuten o que de alguna otra manera les conciernen”</w:t>
      </w:r>
      <w:r w:rsidR="00A3444B">
        <w:rPr>
          <w:rFonts w:ascii="Arial" w:hAnsi="Arial" w:cs="Arial"/>
          <w:i/>
          <w:sz w:val="24"/>
          <w:szCs w:val="24"/>
        </w:rPr>
        <w:t>.</w:t>
      </w:r>
    </w:p>
    <w:p w14:paraId="3D5F3EF9" w14:textId="77777777" w:rsidR="009B7FFE" w:rsidRPr="00E13CD0" w:rsidRDefault="009B7FFE" w:rsidP="00FE0FF8">
      <w:pPr>
        <w:tabs>
          <w:tab w:val="left" w:pos="4920"/>
        </w:tabs>
        <w:rPr>
          <w:rFonts w:ascii="Arial" w:hAnsi="Arial" w:cs="Arial"/>
          <w:sz w:val="24"/>
          <w:szCs w:val="24"/>
        </w:rPr>
      </w:pPr>
    </w:p>
    <w:p w14:paraId="09FFB9E4" w14:textId="77777777" w:rsidR="00190897" w:rsidRPr="00190897" w:rsidRDefault="009B7FFE" w:rsidP="00FE0FF8">
      <w:pPr>
        <w:spacing w:line="360" w:lineRule="auto"/>
        <w:rPr>
          <w:rFonts w:ascii="Arial" w:hAnsi="Arial" w:cs="Arial"/>
          <w:sz w:val="24"/>
          <w:szCs w:val="24"/>
        </w:rPr>
      </w:pPr>
      <w:r w:rsidRPr="00190897">
        <w:rPr>
          <w:rFonts w:ascii="Arial" w:hAnsi="Arial" w:cs="Arial"/>
          <w:sz w:val="24"/>
          <w:szCs w:val="24"/>
        </w:rPr>
        <w:t>En lo que importa para el presente caso</w:t>
      </w:r>
      <w:r w:rsidR="00190897" w:rsidRPr="00190897">
        <w:rPr>
          <w:rFonts w:ascii="Arial" w:hAnsi="Arial" w:cs="Arial"/>
          <w:sz w:val="24"/>
          <w:szCs w:val="24"/>
        </w:rPr>
        <w:t xml:space="preserve">, </w:t>
      </w:r>
      <w:r w:rsidRPr="00190897">
        <w:rPr>
          <w:rFonts w:ascii="Arial" w:hAnsi="Arial" w:cs="Arial"/>
          <w:sz w:val="24"/>
          <w:szCs w:val="24"/>
        </w:rPr>
        <w:t xml:space="preserve">las </w:t>
      </w:r>
      <w:r w:rsidR="00A3444B">
        <w:rPr>
          <w:rFonts w:ascii="Arial" w:hAnsi="Arial" w:cs="Arial"/>
          <w:sz w:val="24"/>
          <w:szCs w:val="24"/>
        </w:rPr>
        <w:t xml:space="preserve">anteriores </w:t>
      </w:r>
      <w:r w:rsidRPr="00190897">
        <w:rPr>
          <w:rFonts w:ascii="Arial" w:hAnsi="Arial" w:cs="Arial"/>
          <w:sz w:val="24"/>
          <w:szCs w:val="24"/>
        </w:rPr>
        <w:t>consideraciones de la jurisprudencia unificada</w:t>
      </w:r>
      <w:r w:rsidR="00190897" w:rsidRPr="00190897">
        <w:rPr>
          <w:rFonts w:ascii="Arial" w:hAnsi="Arial" w:cs="Arial"/>
          <w:sz w:val="24"/>
          <w:szCs w:val="24"/>
        </w:rPr>
        <w:t xml:space="preserve"> se extendieron, también, a la figura de la unión temporal</w:t>
      </w:r>
      <w:r w:rsidRPr="00190897">
        <w:rPr>
          <w:rFonts w:ascii="Arial" w:hAnsi="Arial" w:cs="Arial"/>
          <w:sz w:val="24"/>
          <w:szCs w:val="24"/>
        </w:rPr>
        <w:t xml:space="preserve"> en </w:t>
      </w:r>
      <w:r w:rsidRPr="00190897">
        <w:rPr>
          <w:rFonts w:ascii="Arial" w:hAnsi="Arial" w:cs="Arial"/>
          <w:sz w:val="24"/>
          <w:szCs w:val="24"/>
        </w:rPr>
        <w:lastRenderedPageBreak/>
        <w:t xml:space="preserve">relación con los </w:t>
      </w:r>
      <w:r w:rsidR="00190897" w:rsidRPr="00190897">
        <w:rPr>
          <w:rFonts w:ascii="Arial" w:hAnsi="Arial" w:cs="Arial"/>
          <w:sz w:val="24"/>
          <w:szCs w:val="24"/>
        </w:rPr>
        <w:t>proce</w:t>
      </w:r>
      <w:r w:rsidRPr="00190897">
        <w:rPr>
          <w:rFonts w:ascii="Arial" w:hAnsi="Arial" w:cs="Arial"/>
          <w:sz w:val="24"/>
          <w:szCs w:val="24"/>
        </w:rPr>
        <w:t xml:space="preserve">dimientos de selección </w:t>
      </w:r>
      <w:r w:rsidR="00190897" w:rsidRPr="00190897">
        <w:rPr>
          <w:rFonts w:ascii="Arial" w:hAnsi="Arial" w:cs="Arial"/>
          <w:sz w:val="24"/>
          <w:szCs w:val="24"/>
        </w:rPr>
        <w:t xml:space="preserve">en </w:t>
      </w:r>
      <w:r w:rsidRPr="00190897">
        <w:rPr>
          <w:rFonts w:ascii="Arial" w:hAnsi="Arial" w:cs="Arial"/>
          <w:sz w:val="24"/>
          <w:szCs w:val="24"/>
        </w:rPr>
        <w:t>los contratos estatales</w:t>
      </w:r>
      <w:r w:rsidR="00190897" w:rsidRPr="00190897">
        <w:rPr>
          <w:rFonts w:ascii="Arial" w:hAnsi="Arial" w:cs="Arial"/>
          <w:sz w:val="24"/>
          <w:szCs w:val="24"/>
        </w:rPr>
        <w:t>, en lo</w:t>
      </w:r>
      <w:r w:rsidR="00CA09B2">
        <w:rPr>
          <w:rFonts w:ascii="Arial" w:hAnsi="Arial" w:cs="Arial"/>
          <w:sz w:val="24"/>
          <w:szCs w:val="24"/>
        </w:rPr>
        <w:t>s</w:t>
      </w:r>
      <w:r w:rsidR="00190897" w:rsidRPr="00190897">
        <w:rPr>
          <w:rFonts w:ascii="Arial" w:hAnsi="Arial" w:cs="Arial"/>
          <w:sz w:val="24"/>
          <w:szCs w:val="24"/>
        </w:rPr>
        <w:t xml:space="preserve"> cuales pud</w:t>
      </w:r>
      <w:r w:rsidR="00B22ED1">
        <w:rPr>
          <w:rFonts w:ascii="Arial" w:hAnsi="Arial" w:cs="Arial"/>
          <w:sz w:val="24"/>
          <w:szCs w:val="24"/>
        </w:rPr>
        <w:t>o</w:t>
      </w:r>
      <w:r w:rsidR="00190897" w:rsidRPr="00190897">
        <w:rPr>
          <w:rFonts w:ascii="Arial" w:hAnsi="Arial" w:cs="Arial"/>
          <w:sz w:val="24"/>
          <w:szCs w:val="24"/>
        </w:rPr>
        <w:t xml:space="preserve"> intervenir </w:t>
      </w:r>
      <w:r w:rsidR="00A3444B">
        <w:rPr>
          <w:rFonts w:ascii="Arial" w:hAnsi="Arial" w:cs="Arial"/>
          <w:sz w:val="24"/>
          <w:szCs w:val="24"/>
        </w:rPr>
        <w:t xml:space="preserve">la </w:t>
      </w:r>
      <w:r w:rsidR="00B22ED1">
        <w:rPr>
          <w:rFonts w:ascii="Arial" w:hAnsi="Arial" w:cs="Arial"/>
          <w:sz w:val="24"/>
          <w:szCs w:val="24"/>
        </w:rPr>
        <w:t xml:space="preserve">referida </w:t>
      </w:r>
      <w:r w:rsidR="00A3444B">
        <w:rPr>
          <w:rFonts w:ascii="Arial" w:hAnsi="Arial" w:cs="Arial"/>
          <w:sz w:val="24"/>
          <w:szCs w:val="24"/>
        </w:rPr>
        <w:t>unión temporal</w:t>
      </w:r>
      <w:r w:rsidR="00EA01EC">
        <w:rPr>
          <w:rFonts w:ascii="Arial" w:hAnsi="Arial" w:cs="Arial"/>
          <w:sz w:val="24"/>
          <w:szCs w:val="24"/>
        </w:rPr>
        <w:t>.</w:t>
      </w:r>
      <w:r w:rsidR="00190897" w:rsidRPr="00190897">
        <w:rPr>
          <w:rFonts w:ascii="Arial" w:hAnsi="Arial" w:cs="Arial"/>
          <w:sz w:val="24"/>
          <w:szCs w:val="24"/>
        </w:rPr>
        <w:t xml:space="preserve"> </w:t>
      </w:r>
    </w:p>
    <w:p w14:paraId="328B14BB" w14:textId="77777777" w:rsidR="009B7FFE" w:rsidRPr="00E13CD0" w:rsidRDefault="009B7FFE" w:rsidP="00FE0FF8">
      <w:pPr>
        <w:rPr>
          <w:rFonts w:ascii="Arial" w:hAnsi="Arial" w:cs="Arial"/>
          <w:i/>
          <w:sz w:val="24"/>
          <w:szCs w:val="24"/>
        </w:rPr>
      </w:pPr>
    </w:p>
    <w:p w14:paraId="1CA7068E" w14:textId="77777777" w:rsidR="001C3BBF" w:rsidRPr="00C9724F" w:rsidRDefault="00250E7A" w:rsidP="00FE0FF8">
      <w:pPr>
        <w:widowControl w:val="0"/>
        <w:adjustRightInd w:val="0"/>
        <w:spacing w:line="360" w:lineRule="atLeast"/>
        <w:ind w:hanging="283"/>
        <w:textAlignment w:val="baseline"/>
        <w:rPr>
          <w:rFonts w:ascii="Arial" w:eastAsia="Times New Roman" w:hAnsi="Arial" w:cs="Arial"/>
          <w:b/>
          <w:sz w:val="24"/>
          <w:szCs w:val="24"/>
          <w:lang w:val="es-ES" w:eastAsia="es-ES"/>
        </w:rPr>
      </w:pPr>
      <w:r>
        <w:rPr>
          <w:rFonts w:ascii="Arial" w:eastAsia="Times New Roman" w:hAnsi="Arial" w:cs="Arial"/>
          <w:b/>
          <w:sz w:val="24"/>
          <w:szCs w:val="24"/>
          <w:lang w:val="es-ES" w:eastAsia="es-ES"/>
        </w:rPr>
        <w:t>4</w:t>
      </w:r>
      <w:r w:rsidR="001C3BBF" w:rsidRPr="00C9724F">
        <w:rPr>
          <w:rFonts w:ascii="Arial" w:eastAsia="Times New Roman" w:hAnsi="Arial" w:cs="Arial"/>
          <w:b/>
          <w:sz w:val="24"/>
          <w:szCs w:val="24"/>
          <w:lang w:val="es-ES" w:eastAsia="es-ES"/>
        </w:rPr>
        <w:t>.</w:t>
      </w:r>
      <w:r w:rsidR="001C3BBF" w:rsidRPr="00C9724F">
        <w:rPr>
          <w:rFonts w:ascii="Arial" w:eastAsia="Times New Roman" w:hAnsi="Arial" w:cs="Arial"/>
          <w:b/>
          <w:sz w:val="24"/>
          <w:szCs w:val="24"/>
          <w:lang w:val="es-ES" w:eastAsia="es-ES"/>
        </w:rPr>
        <w:tab/>
        <w:t>Las pruebas a</w:t>
      </w:r>
      <w:r w:rsidR="00FC6D2D">
        <w:rPr>
          <w:rFonts w:ascii="Arial" w:eastAsia="Times New Roman" w:hAnsi="Arial" w:cs="Arial"/>
          <w:b/>
          <w:sz w:val="24"/>
          <w:szCs w:val="24"/>
          <w:lang w:val="es-ES" w:eastAsia="es-ES"/>
        </w:rPr>
        <w:t>llegadas</w:t>
      </w:r>
      <w:r w:rsidR="001C3BBF" w:rsidRPr="00C9724F">
        <w:rPr>
          <w:rFonts w:ascii="Arial" w:eastAsia="Times New Roman" w:hAnsi="Arial" w:cs="Arial"/>
          <w:b/>
          <w:sz w:val="24"/>
          <w:szCs w:val="24"/>
          <w:lang w:val="es-ES" w:eastAsia="es-ES"/>
        </w:rPr>
        <w:t xml:space="preserve"> al proceso.</w:t>
      </w:r>
    </w:p>
    <w:p w14:paraId="4EB3270A" w14:textId="77777777" w:rsidR="00126251" w:rsidRDefault="00126251" w:rsidP="00FE0FF8">
      <w:pPr>
        <w:pStyle w:val="Textonotapie"/>
        <w:rPr>
          <w:color w:val="000000"/>
          <w:sz w:val="24"/>
          <w:szCs w:val="24"/>
        </w:rPr>
      </w:pPr>
    </w:p>
    <w:p w14:paraId="49ED7FFA" w14:textId="77777777" w:rsidR="0009039A" w:rsidRDefault="00E036FB" w:rsidP="00FE0FF8">
      <w:pPr>
        <w:pStyle w:val="Textonotapie"/>
        <w:rPr>
          <w:color w:val="000000"/>
          <w:sz w:val="24"/>
          <w:szCs w:val="24"/>
        </w:rPr>
      </w:pPr>
      <w:r>
        <w:rPr>
          <w:color w:val="000000"/>
          <w:sz w:val="24"/>
          <w:szCs w:val="24"/>
        </w:rPr>
        <w:t xml:space="preserve">Obran en el expediente </w:t>
      </w:r>
      <w:r w:rsidR="0009039A">
        <w:rPr>
          <w:color w:val="000000"/>
          <w:sz w:val="24"/>
          <w:szCs w:val="24"/>
        </w:rPr>
        <w:t>los siguientes documentos</w:t>
      </w:r>
      <w:r w:rsidR="00FC6D2D">
        <w:rPr>
          <w:color w:val="000000"/>
          <w:sz w:val="24"/>
          <w:szCs w:val="24"/>
        </w:rPr>
        <w:t>:</w:t>
      </w:r>
    </w:p>
    <w:p w14:paraId="37536F64" w14:textId="77777777" w:rsidR="0009039A" w:rsidRDefault="0009039A" w:rsidP="00FE0FF8">
      <w:pPr>
        <w:pStyle w:val="Textonotapie"/>
        <w:rPr>
          <w:color w:val="000000"/>
          <w:sz w:val="24"/>
          <w:szCs w:val="24"/>
        </w:rPr>
      </w:pPr>
    </w:p>
    <w:p w14:paraId="16E51371" w14:textId="77777777" w:rsidR="00E036FB" w:rsidRDefault="00CA09B2" w:rsidP="00FE0FF8">
      <w:pPr>
        <w:pStyle w:val="Textonotapie"/>
        <w:rPr>
          <w:color w:val="000000"/>
          <w:sz w:val="24"/>
          <w:szCs w:val="24"/>
        </w:rPr>
      </w:pPr>
      <w:r w:rsidRPr="00CA09B2">
        <w:rPr>
          <w:b/>
          <w:color w:val="000000"/>
          <w:sz w:val="24"/>
          <w:szCs w:val="24"/>
        </w:rPr>
        <w:t>4.1.</w:t>
      </w:r>
      <w:r>
        <w:rPr>
          <w:color w:val="000000"/>
          <w:sz w:val="24"/>
          <w:szCs w:val="24"/>
        </w:rPr>
        <w:t xml:space="preserve"> </w:t>
      </w:r>
      <w:r w:rsidR="0009039A">
        <w:rPr>
          <w:color w:val="000000"/>
          <w:sz w:val="24"/>
          <w:szCs w:val="24"/>
        </w:rPr>
        <w:t>L</w:t>
      </w:r>
      <w:r w:rsidR="00E036FB">
        <w:rPr>
          <w:color w:val="000000"/>
          <w:sz w:val="24"/>
          <w:szCs w:val="24"/>
        </w:rPr>
        <w:t>a comunicación de noviembre 9 de 2000, a través de la cual la unión temporal se dirigió al presidente de Fiduciaria La Previsora S.A. para exponer</w:t>
      </w:r>
      <w:r w:rsidR="00BC0B8D">
        <w:rPr>
          <w:color w:val="000000"/>
          <w:sz w:val="24"/>
          <w:szCs w:val="24"/>
        </w:rPr>
        <w:t>le</w:t>
      </w:r>
      <w:r w:rsidR="00E036FB">
        <w:rPr>
          <w:color w:val="000000"/>
          <w:sz w:val="24"/>
          <w:szCs w:val="24"/>
        </w:rPr>
        <w:t xml:space="preserve"> las irregularidades que se hab</w:t>
      </w:r>
      <w:r w:rsidR="00BC0B8D">
        <w:rPr>
          <w:color w:val="000000"/>
          <w:sz w:val="24"/>
          <w:szCs w:val="24"/>
        </w:rPr>
        <w:t>r</w:t>
      </w:r>
      <w:r w:rsidR="00E036FB">
        <w:rPr>
          <w:color w:val="000000"/>
          <w:sz w:val="24"/>
          <w:szCs w:val="24"/>
        </w:rPr>
        <w:t>ían presentado en el curso del proce</w:t>
      </w:r>
      <w:r w:rsidR="009C2FB4">
        <w:rPr>
          <w:color w:val="000000"/>
          <w:sz w:val="24"/>
          <w:szCs w:val="24"/>
        </w:rPr>
        <w:t>dimiento de contratación,</w:t>
      </w:r>
      <w:r w:rsidR="00BC0B8D">
        <w:rPr>
          <w:color w:val="000000"/>
          <w:sz w:val="24"/>
          <w:szCs w:val="24"/>
        </w:rPr>
        <w:t xml:space="preserve"> y le puso de presente </w:t>
      </w:r>
      <w:r w:rsidR="00E036FB">
        <w:rPr>
          <w:color w:val="000000"/>
          <w:sz w:val="24"/>
          <w:szCs w:val="24"/>
        </w:rPr>
        <w:t>que a esa fecha no se le había comunicado el resultado de la evaluación de las propuestas</w:t>
      </w:r>
      <w:r w:rsidR="00BC0B8D">
        <w:rPr>
          <w:color w:val="000000"/>
          <w:sz w:val="24"/>
          <w:szCs w:val="24"/>
        </w:rPr>
        <w:t xml:space="preserve">, respecto de lo cual advirtió </w:t>
      </w:r>
      <w:r w:rsidR="00E036FB">
        <w:rPr>
          <w:color w:val="000000"/>
          <w:sz w:val="24"/>
          <w:szCs w:val="24"/>
        </w:rPr>
        <w:t xml:space="preserve">que de acuerdo con la información que se había suministrado al momento de la apertura de </w:t>
      </w:r>
      <w:r w:rsidR="0009039A">
        <w:rPr>
          <w:color w:val="000000"/>
          <w:sz w:val="24"/>
          <w:szCs w:val="24"/>
        </w:rPr>
        <w:t>las propuestas</w:t>
      </w:r>
      <w:r w:rsidR="00E036FB">
        <w:rPr>
          <w:color w:val="000000"/>
          <w:sz w:val="24"/>
          <w:szCs w:val="24"/>
        </w:rPr>
        <w:t>, el mejor puntaje le correspo</w:t>
      </w:r>
      <w:r w:rsidR="0009039A">
        <w:rPr>
          <w:color w:val="000000"/>
          <w:sz w:val="24"/>
          <w:szCs w:val="24"/>
        </w:rPr>
        <w:t>n</w:t>
      </w:r>
      <w:r w:rsidR="00E036FB">
        <w:rPr>
          <w:color w:val="000000"/>
          <w:sz w:val="24"/>
          <w:szCs w:val="24"/>
        </w:rPr>
        <w:t>d</w:t>
      </w:r>
      <w:r w:rsidR="0009039A">
        <w:rPr>
          <w:color w:val="000000"/>
          <w:sz w:val="24"/>
          <w:szCs w:val="24"/>
        </w:rPr>
        <w:t>ía</w:t>
      </w:r>
      <w:r w:rsidR="00E036FB">
        <w:rPr>
          <w:color w:val="000000"/>
          <w:sz w:val="24"/>
          <w:szCs w:val="24"/>
        </w:rPr>
        <w:t xml:space="preserve"> a la UT Soluciones Tributarias Integrales.</w:t>
      </w:r>
      <w:r>
        <w:rPr>
          <w:color w:val="000000"/>
          <w:sz w:val="24"/>
          <w:szCs w:val="24"/>
        </w:rPr>
        <w:t xml:space="preserve"> </w:t>
      </w:r>
      <w:r w:rsidR="00B764A4">
        <w:rPr>
          <w:color w:val="000000"/>
          <w:sz w:val="24"/>
          <w:szCs w:val="24"/>
        </w:rPr>
        <w:t xml:space="preserve">Se observa que en </w:t>
      </w:r>
      <w:r>
        <w:rPr>
          <w:color w:val="000000"/>
          <w:sz w:val="24"/>
          <w:szCs w:val="24"/>
        </w:rPr>
        <w:t xml:space="preserve">esa comunicación la demandante </w:t>
      </w:r>
      <w:r w:rsidR="00333980">
        <w:rPr>
          <w:color w:val="000000"/>
          <w:sz w:val="24"/>
          <w:szCs w:val="24"/>
        </w:rPr>
        <w:t xml:space="preserve">mostró </w:t>
      </w:r>
      <w:r>
        <w:rPr>
          <w:color w:val="000000"/>
          <w:sz w:val="24"/>
          <w:szCs w:val="24"/>
        </w:rPr>
        <w:t>las fórmulas de calificación de la</w:t>
      </w:r>
      <w:r w:rsidR="00A3444B">
        <w:rPr>
          <w:color w:val="000000"/>
          <w:sz w:val="24"/>
          <w:szCs w:val="24"/>
        </w:rPr>
        <w:t>s</w:t>
      </w:r>
      <w:r>
        <w:rPr>
          <w:color w:val="000000"/>
          <w:sz w:val="24"/>
          <w:szCs w:val="24"/>
        </w:rPr>
        <w:t xml:space="preserve"> oferta</w:t>
      </w:r>
      <w:r w:rsidR="00A3444B">
        <w:rPr>
          <w:color w:val="000000"/>
          <w:sz w:val="24"/>
          <w:szCs w:val="24"/>
        </w:rPr>
        <w:t>s</w:t>
      </w:r>
      <w:r>
        <w:rPr>
          <w:color w:val="000000"/>
          <w:sz w:val="24"/>
          <w:szCs w:val="24"/>
        </w:rPr>
        <w:t xml:space="preserve"> económica</w:t>
      </w:r>
      <w:r w:rsidR="00A3444B">
        <w:rPr>
          <w:color w:val="000000"/>
          <w:sz w:val="24"/>
          <w:szCs w:val="24"/>
        </w:rPr>
        <w:t>s</w:t>
      </w:r>
      <w:r>
        <w:rPr>
          <w:color w:val="000000"/>
          <w:sz w:val="24"/>
          <w:szCs w:val="24"/>
        </w:rPr>
        <w:t xml:space="preserve"> que debían ser aplicadas</w:t>
      </w:r>
      <w:r w:rsidR="00C54774">
        <w:rPr>
          <w:color w:val="000000"/>
          <w:sz w:val="24"/>
          <w:szCs w:val="24"/>
        </w:rPr>
        <w:t xml:space="preserve">, según sus cálculos, </w:t>
      </w:r>
      <w:r>
        <w:rPr>
          <w:color w:val="000000"/>
          <w:sz w:val="24"/>
          <w:szCs w:val="24"/>
        </w:rPr>
        <w:t xml:space="preserve">con base en una regla de tres inversamente proporcional al precio ofrecido en las propuestas económicas. </w:t>
      </w:r>
    </w:p>
    <w:p w14:paraId="6D278DCC" w14:textId="77777777" w:rsidR="00E036FB" w:rsidRDefault="00E036FB" w:rsidP="00FE0FF8">
      <w:pPr>
        <w:pStyle w:val="Textonotapie"/>
        <w:rPr>
          <w:color w:val="000000"/>
          <w:sz w:val="24"/>
          <w:szCs w:val="24"/>
        </w:rPr>
      </w:pPr>
      <w:r>
        <w:rPr>
          <w:color w:val="000000"/>
          <w:sz w:val="24"/>
          <w:szCs w:val="24"/>
        </w:rPr>
        <w:t xml:space="preserve"> </w:t>
      </w:r>
    </w:p>
    <w:p w14:paraId="2177AA58" w14:textId="77777777" w:rsidR="00E036FB" w:rsidRDefault="00C17186" w:rsidP="00FE0FF8">
      <w:pPr>
        <w:pStyle w:val="Textonotapie"/>
        <w:rPr>
          <w:color w:val="000000"/>
          <w:sz w:val="24"/>
          <w:szCs w:val="24"/>
        </w:rPr>
      </w:pPr>
      <w:r w:rsidRPr="00C17186">
        <w:rPr>
          <w:b/>
          <w:color w:val="000000"/>
          <w:sz w:val="24"/>
          <w:szCs w:val="24"/>
        </w:rPr>
        <w:t>4.2.</w:t>
      </w:r>
      <w:r>
        <w:rPr>
          <w:color w:val="000000"/>
          <w:sz w:val="24"/>
          <w:szCs w:val="24"/>
        </w:rPr>
        <w:t xml:space="preserve"> </w:t>
      </w:r>
      <w:r w:rsidR="0009039A">
        <w:rPr>
          <w:color w:val="000000"/>
          <w:sz w:val="24"/>
          <w:szCs w:val="24"/>
        </w:rPr>
        <w:t xml:space="preserve">De igual manera se allegó la petición radicada el 4 de diciembre de 2000, mediante la cual la </w:t>
      </w:r>
      <w:r>
        <w:rPr>
          <w:color w:val="000000"/>
          <w:sz w:val="24"/>
          <w:szCs w:val="24"/>
        </w:rPr>
        <w:t xml:space="preserve">unión temporal </w:t>
      </w:r>
      <w:r w:rsidR="0009039A">
        <w:rPr>
          <w:color w:val="000000"/>
          <w:sz w:val="24"/>
          <w:szCs w:val="24"/>
        </w:rPr>
        <w:t xml:space="preserve">solicitó </w:t>
      </w:r>
      <w:r w:rsidR="00995B83">
        <w:rPr>
          <w:color w:val="000000"/>
          <w:sz w:val="24"/>
          <w:szCs w:val="24"/>
        </w:rPr>
        <w:t>a la alcald</w:t>
      </w:r>
      <w:r w:rsidR="009C2FB4">
        <w:rPr>
          <w:color w:val="000000"/>
          <w:sz w:val="24"/>
          <w:szCs w:val="24"/>
        </w:rPr>
        <w:t>í</w:t>
      </w:r>
      <w:r w:rsidR="00995B83">
        <w:rPr>
          <w:color w:val="000000"/>
          <w:sz w:val="24"/>
          <w:szCs w:val="24"/>
        </w:rPr>
        <w:t xml:space="preserve">a de Cartagena </w:t>
      </w:r>
      <w:r w:rsidR="0009039A">
        <w:rPr>
          <w:color w:val="000000"/>
          <w:sz w:val="24"/>
          <w:szCs w:val="24"/>
        </w:rPr>
        <w:t>dar traslado de las calificaciones y tomar las medidas correspondientes, por cuanto había transcurrido más de un mes desde la apertura del proceso</w:t>
      </w:r>
      <w:r w:rsidR="00BC0B8D">
        <w:rPr>
          <w:color w:val="000000"/>
          <w:sz w:val="24"/>
          <w:szCs w:val="24"/>
        </w:rPr>
        <w:t>,</w:t>
      </w:r>
      <w:r w:rsidR="0009039A">
        <w:rPr>
          <w:color w:val="000000"/>
          <w:sz w:val="24"/>
          <w:szCs w:val="24"/>
        </w:rPr>
        <w:t xml:space="preserve"> sin que la junta evaluadora se hubiera pronunciado. </w:t>
      </w:r>
    </w:p>
    <w:p w14:paraId="06CEC6B7" w14:textId="77777777" w:rsidR="00190897" w:rsidRDefault="00190897" w:rsidP="00FE0FF8">
      <w:pPr>
        <w:pStyle w:val="Textonotapie"/>
        <w:rPr>
          <w:color w:val="000000"/>
          <w:sz w:val="24"/>
          <w:szCs w:val="24"/>
        </w:rPr>
      </w:pPr>
    </w:p>
    <w:p w14:paraId="45AA1EAA" w14:textId="77777777" w:rsidR="0009039A" w:rsidRDefault="00C17186" w:rsidP="00FE0FF8">
      <w:pPr>
        <w:pStyle w:val="Textonotapie"/>
        <w:rPr>
          <w:color w:val="000000"/>
          <w:sz w:val="24"/>
          <w:szCs w:val="24"/>
        </w:rPr>
      </w:pPr>
      <w:r w:rsidRPr="00C17186">
        <w:rPr>
          <w:b/>
          <w:color w:val="000000"/>
          <w:sz w:val="24"/>
          <w:szCs w:val="24"/>
        </w:rPr>
        <w:t>4.3.</w:t>
      </w:r>
      <w:r>
        <w:rPr>
          <w:color w:val="000000"/>
          <w:sz w:val="24"/>
          <w:szCs w:val="24"/>
        </w:rPr>
        <w:t xml:space="preserve"> </w:t>
      </w:r>
      <w:r w:rsidR="0009039A">
        <w:rPr>
          <w:color w:val="000000"/>
          <w:sz w:val="24"/>
          <w:szCs w:val="24"/>
        </w:rPr>
        <w:t>También se aportó co</w:t>
      </w:r>
      <w:r w:rsidR="009C2FB4">
        <w:rPr>
          <w:color w:val="000000"/>
          <w:sz w:val="24"/>
          <w:szCs w:val="24"/>
        </w:rPr>
        <w:t>mo prueba, co</w:t>
      </w:r>
      <w:r w:rsidR="0009039A">
        <w:rPr>
          <w:color w:val="000000"/>
          <w:sz w:val="24"/>
          <w:szCs w:val="24"/>
        </w:rPr>
        <w:t xml:space="preserve">n la demanda, la Resolución 1457 de 7 de diciembre de 2000 y el </w:t>
      </w:r>
      <w:r w:rsidR="00BC0B8D">
        <w:rPr>
          <w:color w:val="000000"/>
          <w:sz w:val="24"/>
          <w:szCs w:val="24"/>
        </w:rPr>
        <w:t xml:space="preserve">escrito contentivo del </w:t>
      </w:r>
      <w:r w:rsidR="0009039A">
        <w:rPr>
          <w:color w:val="000000"/>
          <w:sz w:val="24"/>
          <w:szCs w:val="24"/>
        </w:rPr>
        <w:t xml:space="preserve">recurso de reposición presentado </w:t>
      </w:r>
      <w:r w:rsidR="009C2FB4">
        <w:rPr>
          <w:color w:val="000000"/>
          <w:sz w:val="24"/>
          <w:szCs w:val="24"/>
        </w:rPr>
        <w:t>ante la alca</w:t>
      </w:r>
      <w:r w:rsidR="00FC6D2D">
        <w:rPr>
          <w:color w:val="000000"/>
          <w:sz w:val="24"/>
          <w:szCs w:val="24"/>
        </w:rPr>
        <w:t>l</w:t>
      </w:r>
      <w:r w:rsidR="009C2FB4">
        <w:rPr>
          <w:color w:val="000000"/>
          <w:sz w:val="24"/>
          <w:szCs w:val="24"/>
        </w:rPr>
        <w:t xml:space="preserve">día, por la </w:t>
      </w:r>
      <w:r>
        <w:rPr>
          <w:color w:val="000000"/>
          <w:sz w:val="24"/>
          <w:szCs w:val="24"/>
        </w:rPr>
        <w:t xml:space="preserve">Unión Temporal </w:t>
      </w:r>
      <w:r w:rsidR="009C2FB4">
        <w:rPr>
          <w:color w:val="000000"/>
          <w:sz w:val="24"/>
          <w:szCs w:val="24"/>
        </w:rPr>
        <w:t>Soluciones Tributaria</w:t>
      </w:r>
      <w:r>
        <w:rPr>
          <w:color w:val="000000"/>
          <w:sz w:val="24"/>
          <w:szCs w:val="24"/>
        </w:rPr>
        <w:t>s</w:t>
      </w:r>
      <w:r w:rsidR="009C2FB4">
        <w:rPr>
          <w:color w:val="000000"/>
          <w:sz w:val="24"/>
          <w:szCs w:val="24"/>
        </w:rPr>
        <w:t xml:space="preserve"> Integrales, </w:t>
      </w:r>
      <w:r w:rsidR="0009039A">
        <w:rPr>
          <w:color w:val="000000"/>
          <w:sz w:val="24"/>
          <w:szCs w:val="24"/>
        </w:rPr>
        <w:t>el 29 de diciembre de 2000.</w:t>
      </w:r>
    </w:p>
    <w:p w14:paraId="2A6744D6" w14:textId="77777777" w:rsidR="000547EA" w:rsidRDefault="000547EA" w:rsidP="00FE0FF8">
      <w:pPr>
        <w:pStyle w:val="Textonotapie"/>
        <w:rPr>
          <w:color w:val="000000"/>
          <w:sz w:val="24"/>
          <w:szCs w:val="24"/>
        </w:rPr>
      </w:pPr>
    </w:p>
    <w:p w14:paraId="56C8A0DB" w14:textId="77777777" w:rsidR="00C17186" w:rsidRDefault="00C17186" w:rsidP="00FE0FF8">
      <w:pPr>
        <w:pStyle w:val="Textonotapie"/>
        <w:rPr>
          <w:color w:val="000000"/>
          <w:sz w:val="24"/>
          <w:szCs w:val="24"/>
        </w:rPr>
      </w:pPr>
      <w:r w:rsidRPr="00C17186">
        <w:rPr>
          <w:b/>
          <w:color w:val="000000"/>
          <w:sz w:val="24"/>
          <w:szCs w:val="24"/>
        </w:rPr>
        <w:t>4.4.</w:t>
      </w:r>
      <w:r>
        <w:rPr>
          <w:color w:val="000000"/>
          <w:sz w:val="24"/>
          <w:szCs w:val="24"/>
        </w:rPr>
        <w:t xml:space="preserve"> En cuanto a la prueba de los antecedentes administrativos de la contratación</w:t>
      </w:r>
      <w:r w:rsidR="00C54774">
        <w:rPr>
          <w:color w:val="000000"/>
          <w:sz w:val="24"/>
          <w:szCs w:val="24"/>
        </w:rPr>
        <w:t>,</w:t>
      </w:r>
      <w:r>
        <w:rPr>
          <w:color w:val="000000"/>
          <w:sz w:val="24"/>
          <w:szCs w:val="24"/>
        </w:rPr>
        <w:t xml:space="preserve"> que no se allegaron al proceso pese a los requerimientos del Tribunal </w:t>
      </w:r>
      <w:r w:rsidRPr="00333980">
        <w:rPr>
          <w:i/>
          <w:color w:val="000000"/>
          <w:sz w:val="24"/>
          <w:szCs w:val="24"/>
        </w:rPr>
        <w:t>a quo</w:t>
      </w:r>
      <w:r>
        <w:rPr>
          <w:color w:val="000000"/>
          <w:sz w:val="24"/>
          <w:szCs w:val="24"/>
        </w:rPr>
        <w:t xml:space="preserve">, se observa lo siguiente; </w:t>
      </w:r>
    </w:p>
    <w:p w14:paraId="69CFC69A" w14:textId="77777777" w:rsidR="00C17186" w:rsidRDefault="00C17186" w:rsidP="00FE0FF8">
      <w:pPr>
        <w:pStyle w:val="Textonotapie"/>
        <w:rPr>
          <w:color w:val="000000"/>
          <w:sz w:val="24"/>
          <w:szCs w:val="24"/>
        </w:rPr>
      </w:pPr>
    </w:p>
    <w:p w14:paraId="6302E200" w14:textId="77777777" w:rsidR="000547EA" w:rsidRDefault="009C2FB4" w:rsidP="00FE0FF8">
      <w:pPr>
        <w:pStyle w:val="Textonotapie"/>
        <w:rPr>
          <w:color w:val="000000"/>
          <w:sz w:val="24"/>
          <w:szCs w:val="24"/>
        </w:rPr>
      </w:pPr>
      <w:r>
        <w:rPr>
          <w:color w:val="000000"/>
          <w:sz w:val="24"/>
          <w:szCs w:val="24"/>
        </w:rPr>
        <w:t xml:space="preserve">Es cierto que en este proceso se </w:t>
      </w:r>
      <w:r w:rsidR="00503A23">
        <w:rPr>
          <w:color w:val="000000"/>
          <w:sz w:val="24"/>
          <w:szCs w:val="24"/>
        </w:rPr>
        <w:t>libraron telegramas al alca</w:t>
      </w:r>
      <w:r w:rsidR="000547EA">
        <w:rPr>
          <w:color w:val="000000"/>
          <w:sz w:val="24"/>
          <w:szCs w:val="24"/>
        </w:rPr>
        <w:t>l</w:t>
      </w:r>
      <w:r w:rsidR="00503A23">
        <w:rPr>
          <w:color w:val="000000"/>
          <w:sz w:val="24"/>
          <w:szCs w:val="24"/>
        </w:rPr>
        <w:t>de de Cartagena y a la Fidu</w:t>
      </w:r>
      <w:r w:rsidR="000547EA">
        <w:rPr>
          <w:color w:val="000000"/>
          <w:sz w:val="24"/>
          <w:szCs w:val="24"/>
        </w:rPr>
        <w:t>c</w:t>
      </w:r>
      <w:r w:rsidR="00503A23">
        <w:rPr>
          <w:color w:val="000000"/>
          <w:sz w:val="24"/>
          <w:szCs w:val="24"/>
        </w:rPr>
        <w:t xml:space="preserve">iaria La Previsora –oficina Cartagena, </w:t>
      </w:r>
      <w:r w:rsidR="000547EA">
        <w:rPr>
          <w:color w:val="000000"/>
          <w:sz w:val="24"/>
          <w:szCs w:val="24"/>
        </w:rPr>
        <w:t>inicialmente</w:t>
      </w:r>
      <w:r w:rsidR="00BA37D0">
        <w:rPr>
          <w:color w:val="000000"/>
          <w:sz w:val="24"/>
          <w:szCs w:val="24"/>
        </w:rPr>
        <w:t>,</w:t>
      </w:r>
      <w:r w:rsidR="000547EA">
        <w:rPr>
          <w:color w:val="000000"/>
          <w:sz w:val="24"/>
          <w:szCs w:val="24"/>
        </w:rPr>
        <w:t xml:space="preserve"> el 30 de octubre de 2004, </w:t>
      </w:r>
      <w:r w:rsidR="00503A23">
        <w:rPr>
          <w:color w:val="000000"/>
          <w:sz w:val="24"/>
          <w:szCs w:val="24"/>
        </w:rPr>
        <w:lastRenderedPageBreak/>
        <w:t>para que remitieran los t</w:t>
      </w:r>
      <w:r w:rsidR="00BA37D0">
        <w:rPr>
          <w:color w:val="000000"/>
          <w:sz w:val="24"/>
          <w:szCs w:val="24"/>
        </w:rPr>
        <w:t>é</w:t>
      </w:r>
      <w:r w:rsidR="00503A23">
        <w:rPr>
          <w:color w:val="000000"/>
          <w:sz w:val="24"/>
          <w:szCs w:val="24"/>
        </w:rPr>
        <w:t>rminos de referencia, la propuesta de la</w:t>
      </w:r>
      <w:r w:rsidR="000547EA">
        <w:rPr>
          <w:color w:val="000000"/>
          <w:sz w:val="24"/>
          <w:szCs w:val="24"/>
        </w:rPr>
        <w:t xml:space="preserve"> </w:t>
      </w:r>
      <w:r w:rsidR="00503A23">
        <w:rPr>
          <w:color w:val="000000"/>
          <w:sz w:val="24"/>
          <w:szCs w:val="24"/>
        </w:rPr>
        <w:t>demandante, las p</w:t>
      </w:r>
      <w:r w:rsidR="000547EA">
        <w:rPr>
          <w:color w:val="000000"/>
          <w:sz w:val="24"/>
          <w:szCs w:val="24"/>
        </w:rPr>
        <w:t>i</w:t>
      </w:r>
      <w:r w:rsidR="00503A23">
        <w:rPr>
          <w:color w:val="000000"/>
          <w:sz w:val="24"/>
          <w:szCs w:val="24"/>
        </w:rPr>
        <w:t xml:space="preserve">ezas del proceso de invitación pública y la evaluación técnica. </w:t>
      </w:r>
    </w:p>
    <w:p w14:paraId="00A514F6" w14:textId="77777777" w:rsidR="000547EA" w:rsidRDefault="000547EA" w:rsidP="00FE0FF8">
      <w:pPr>
        <w:pStyle w:val="Textonotapie"/>
        <w:rPr>
          <w:color w:val="000000"/>
          <w:sz w:val="24"/>
          <w:szCs w:val="24"/>
        </w:rPr>
      </w:pPr>
    </w:p>
    <w:p w14:paraId="5821D79D" w14:textId="77777777" w:rsidR="00503A23" w:rsidRDefault="00C54774" w:rsidP="00FE0FF8">
      <w:pPr>
        <w:pStyle w:val="Textonotapie"/>
        <w:rPr>
          <w:color w:val="000000"/>
          <w:sz w:val="24"/>
          <w:szCs w:val="24"/>
        </w:rPr>
      </w:pPr>
      <w:r>
        <w:rPr>
          <w:color w:val="000000"/>
          <w:sz w:val="24"/>
          <w:szCs w:val="24"/>
        </w:rPr>
        <w:t xml:space="preserve">También se advierte que el Tribunal </w:t>
      </w:r>
      <w:r w:rsidRPr="00333980">
        <w:rPr>
          <w:i/>
          <w:color w:val="000000"/>
          <w:sz w:val="24"/>
          <w:szCs w:val="24"/>
        </w:rPr>
        <w:t>a quo</w:t>
      </w:r>
      <w:r>
        <w:rPr>
          <w:color w:val="000000"/>
          <w:sz w:val="24"/>
          <w:szCs w:val="24"/>
        </w:rPr>
        <w:t xml:space="preserve"> </w:t>
      </w:r>
      <w:r w:rsidR="000547EA">
        <w:rPr>
          <w:color w:val="000000"/>
          <w:sz w:val="24"/>
          <w:szCs w:val="24"/>
        </w:rPr>
        <w:t>reiter</w:t>
      </w:r>
      <w:r>
        <w:rPr>
          <w:color w:val="000000"/>
          <w:sz w:val="24"/>
          <w:szCs w:val="24"/>
        </w:rPr>
        <w:t>ó</w:t>
      </w:r>
      <w:r w:rsidR="000547EA">
        <w:rPr>
          <w:color w:val="000000"/>
          <w:sz w:val="24"/>
          <w:szCs w:val="24"/>
        </w:rPr>
        <w:t xml:space="preserve"> los requerimientos el 24 de junio de 2005 y el 19 de septiembre de 2008. </w:t>
      </w:r>
      <w:r w:rsidR="00503A23">
        <w:rPr>
          <w:color w:val="000000"/>
          <w:sz w:val="24"/>
          <w:szCs w:val="24"/>
        </w:rPr>
        <w:t>La Alcaldesa de Cartagena contestó en septiembre de 2008 que había dado traslado a la Secretaria de Hacienda Distrital para obtener una respuesta y enviarla al Tribunal</w:t>
      </w:r>
      <w:r w:rsidR="00503A23">
        <w:rPr>
          <w:rStyle w:val="Refdenotaalpie"/>
          <w:color w:val="000000"/>
          <w:sz w:val="24"/>
          <w:szCs w:val="24"/>
        </w:rPr>
        <w:footnoteReference w:id="22"/>
      </w:r>
      <w:r w:rsidR="00BA37D0">
        <w:rPr>
          <w:color w:val="000000"/>
          <w:sz w:val="24"/>
          <w:szCs w:val="24"/>
        </w:rPr>
        <w:t>. En esa oportunidad, l</w:t>
      </w:r>
      <w:r w:rsidR="00503A23">
        <w:rPr>
          <w:color w:val="000000"/>
          <w:sz w:val="24"/>
          <w:szCs w:val="24"/>
        </w:rPr>
        <w:t xml:space="preserve">a </w:t>
      </w:r>
      <w:r w:rsidR="00333980">
        <w:rPr>
          <w:color w:val="000000"/>
          <w:sz w:val="24"/>
          <w:szCs w:val="24"/>
        </w:rPr>
        <w:t xml:space="preserve">referida </w:t>
      </w:r>
      <w:r w:rsidR="00503A23">
        <w:rPr>
          <w:color w:val="000000"/>
          <w:sz w:val="24"/>
          <w:szCs w:val="24"/>
        </w:rPr>
        <w:t xml:space="preserve">secretaria </w:t>
      </w:r>
      <w:r w:rsidR="00BA37D0">
        <w:rPr>
          <w:color w:val="000000"/>
          <w:sz w:val="24"/>
          <w:szCs w:val="24"/>
        </w:rPr>
        <w:t xml:space="preserve">remitió una </w:t>
      </w:r>
      <w:r w:rsidR="00503A23">
        <w:rPr>
          <w:color w:val="000000"/>
          <w:sz w:val="24"/>
          <w:szCs w:val="24"/>
        </w:rPr>
        <w:t>solicit</w:t>
      </w:r>
      <w:r w:rsidR="00BA37D0">
        <w:rPr>
          <w:color w:val="000000"/>
          <w:sz w:val="24"/>
          <w:szCs w:val="24"/>
        </w:rPr>
        <w:t>ud</w:t>
      </w:r>
      <w:r w:rsidR="00503A23">
        <w:rPr>
          <w:color w:val="000000"/>
          <w:sz w:val="24"/>
          <w:szCs w:val="24"/>
        </w:rPr>
        <w:t xml:space="preserve"> </w:t>
      </w:r>
      <w:r w:rsidR="005F43C0">
        <w:rPr>
          <w:color w:val="000000"/>
          <w:sz w:val="24"/>
          <w:szCs w:val="24"/>
        </w:rPr>
        <w:t xml:space="preserve">para que se le otorgara un </w:t>
      </w:r>
      <w:r w:rsidR="00503A23">
        <w:rPr>
          <w:color w:val="000000"/>
          <w:sz w:val="24"/>
          <w:szCs w:val="24"/>
        </w:rPr>
        <w:t xml:space="preserve">plazo hasta el 5 de noviembre de 2008, pero </w:t>
      </w:r>
      <w:r w:rsidR="005F43C0">
        <w:rPr>
          <w:color w:val="000000"/>
          <w:sz w:val="24"/>
          <w:szCs w:val="24"/>
        </w:rPr>
        <w:t xml:space="preserve">finalmente </w:t>
      </w:r>
      <w:r w:rsidR="00503A23">
        <w:rPr>
          <w:color w:val="000000"/>
          <w:sz w:val="24"/>
          <w:szCs w:val="24"/>
        </w:rPr>
        <w:t>no dio respuesta al requer</w:t>
      </w:r>
      <w:r w:rsidR="000547EA">
        <w:rPr>
          <w:color w:val="000000"/>
          <w:sz w:val="24"/>
          <w:szCs w:val="24"/>
        </w:rPr>
        <w:t>i</w:t>
      </w:r>
      <w:r w:rsidR="00503A23">
        <w:rPr>
          <w:color w:val="000000"/>
          <w:sz w:val="24"/>
          <w:szCs w:val="24"/>
        </w:rPr>
        <w:t>miento</w:t>
      </w:r>
      <w:r w:rsidR="005F43C0">
        <w:rPr>
          <w:color w:val="000000"/>
          <w:sz w:val="24"/>
          <w:szCs w:val="24"/>
        </w:rPr>
        <w:t>.</w:t>
      </w:r>
    </w:p>
    <w:p w14:paraId="25598F5C" w14:textId="77777777" w:rsidR="00503A23" w:rsidRDefault="00503A23" w:rsidP="00FE0FF8">
      <w:pPr>
        <w:pStyle w:val="Textonotapie"/>
        <w:rPr>
          <w:color w:val="000000"/>
          <w:sz w:val="24"/>
          <w:szCs w:val="24"/>
        </w:rPr>
      </w:pPr>
    </w:p>
    <w:p w14:paraId="77DD7BE2" w14:textId="77777777" w:rsidR="000547EA" w:rsidRDefault="00503A23" w:rsidP="00FE0FF8">
      <w:pPr>
        <w:pStyle w:val="Textonotapie"/>
        <w:rPr>
          <w:color w:val="000000"/>
          <w:sz w:val="24"/>
          <w:szCs w:val="24"/>
        </w:rPr>
      </w:pPr>
      <w:r>
        <w:rPr>
          <w:color w:val="000000"/>
          <w:sz w:val="24"/>
          <w:szCs w:val="24"/>
        </w:rPr>
        <w:t>En atención al auto de 27 de agosto de 2010</w:t>
      </w:r>
      <w:r w:rsidR="000632D4">
        <w:rPr>
          <w:color w:val="000000"/>
          <w:sz w:val="24"/>
          <w:szCs w:val="24"/>
        </w:rPr>
        <w:t>,</w:t>
      </w:r>
      <w:r>
        <w:rPr>
          <w:color w:val="000000"/>
          <w:sz w:val="24"/>
          <w:szCs w:val="24"/>
        </w:rPr>
        <w:t xml:space="preserve"> se insistió en el requerimiento, </w:t>
      </w:r>
      <w:r w:rsidR="00BA37D0">
        <w:rPr>
          <w:color w:val="000000"/>
          <w:sz w:val="24"/>
          <w:szCs w:val="24"/>
        </w:rPr>
        <w:t xml:space="preserve">que </w:t>
      </w:r>
      <w:r>
        <w:rPr>
          <w:color w:val="000000"/>
          <w:sz w:val="24"/>
          <w:szCs w:val="24"/>
        </w:rPr>
        <w:t xml:space="preserve">entonces </w:t>
      </w:r>
      <w:r w:rsidR="00BA37D0">
        <w:rPr>
          <w:color w:val="000000"/>
          <w:sz w:val="24"/>
          <w:szCs w:val="24"/>
        </w:rPr>
        <w:t xml:space="preserve">fue </w:t>
      </w:r>
      <w:r>
        <w:rPr>
          <w:color w:val="000000"/>
          <w:sz w:val="24"/>
          <w:szCs w:val="24"/>
        </w:rPr>
        <w:t xml:space="preserve">dirigido al </w:t>
      </w:r>
      <w:r w:rsidR="005F43C0">
        <w:rPr>
          <w:color w:val="000000"/>
          <w:sz w:val="24"/>
          <w:szCs w:val="24"/>
        </w:rPr>
        <w:t xml:space="preserve">vicepresidente jurídico </w:t>
      </w:r>
      <w:r>
        <w:rPr>
          <w:color w:val="000000"/>
          <w:sz w:val="24"/>
          <w:szCs w:val="24"/>
        </w:rPr>
        <w:t xml:space="preserve">de </w:t>
      </w:r>
      <w:r w:rsidR="005F43C0">
        <w:rPr>
          <w:color w:val="000000"/>
          <w:sz w:val="24"/>
          <w:szCs w:val="24"/>
        </w:rPr>
        <w:t>l</w:t>
      </w:r>
      <w:r>
        <w:rPr>
          <w:color w:val="000000"/>
          <w:sz w:val="24"/>
          <w:szCs w:val="24"/>
        </w:rPr>
        <w:t>a Fiduciaria La Previsora</w:t>
      </w:r>
      <w:r w:rsidR="005F43C0">
        <w:rPr>
          <w:color w:val="000000"/>
          <w:sz w:val="24"/>
          <w:szCs w:val="24"/>
        </w:rPr>
        <w:t xml:space="preserve"> S.A.</w:t>
      </w:r>
      <w:r>
        <w:rPr>
          <w:color w:val="000000"/>
          <w:sz w:val="24"/>
          <w:szCs w:val="24"/>
        </w:rPr>
        <w:t xml:space="preserve">, en </w:t>
      </w:r>
      <w:r w:rsidR="00333980">
        <w:rPr>
          <w:color w:val="000000"/>
          <w:sz w:val="24"/>
          <w:szCs w:val="24"/>
        </w:rPr>
        <w:t xml:space="preserve">la siguiente dirección: </w:t>
      </w:r>
      <w:r>
        <w:rPr>
          <w:color w:val="000000"/>
          <w:sz w:val="24"/>
          <w:szCs w:val="24"/>
        </w:rPr>
        <w:t xml:space="preserve">Getsemaní, Calle del Arsenal Cartagena, y al </w:t>
      </w:r>
      <w:r w:rsidR="000632D4">
        <w:rPr>
          <w:color w:val="000000"/>
          <w:sz w:val="24"/>
          <w:szCs w:val="24"/>
        </w:rPr>
        <w:t>S</w:t>
      </w:r>
      <w:r w:rsidR="005F43C0">
        <w:rPr>
          <w:color w:val="000000"/>
          <w:sz w:val="24"/>
          <w:szCs w:val="24"/>
        </w:rPr>
        <w:t xml:space="preserve">ecretario de </w:t>
      </w:r>
      <w:r w:rsidR="000632D4">
        <w:rPr>
          <w:color w:val="000000"/>
          <w:sz w:val="24"/>
          <w:szCs w:val="24"/>
        </w:rPr>
        <w:t>H</w:t>
      </w:r>
      <w:r w:rsidR="005F43C0">
        <w:rPr>
          <w:color w:val="000000"/>
          <w:sz w:val="24"/>
          <w:szCs w:val="24"/>
        </w:rPr>
        <w:t>acienda de la alcaldía.</w:t>
      </w:r>
      <w:r>
        <w:rPr>
          <w:color w:val="000000"/>
          <w:sz w:val="24"/>
          <w:szCs w:val="24"/>
        </w:rPr>
        <w:t xml:space="preserve"> </w:t>
      </w:r>
      <w:r w:rsidR="000547EA">
        <w:rPr>
          <w:color w:val="000000"/>
          <w:sz w:val="24"/>
          <w:szCs w:val="24"/>
        </w:rPr>
        <w:t xml:space="preserve">No se recibió respuesta </w:t>
      </w:r>
      <w:r w:rsidR="005F43C0">
        <w:rPr>
          <w:color w:val="000000"/>
          <w:sz w:val="24"/>
          <w:szCs w:val="24"/>
        </w:rPr>
        <w:t xml:space="preserve">alguna </w:t>
      </w:r>
      <w:r w:rsidR="000632D4">
        <w:rPr>
          <w:color w:val="000000"/>
          <w:sz w:val="24"/>
          <w:szCs w:val="24"/>
        </w:rPr>
        <w:t>a</w:t>
      </w:r>
      <w:r w:rsidR="000547EA">
        <w:rPr>
          <w:color w:val="000000"/>
          <w:sz w:val="24"/>
          <w:szCs w:val="24"/>
        </w:rPr>
        <w:t xml:space="preserve"> </w:t>
      </w:r>
      <w:r w:rsidR="005B2335">
        <w:rPr>
          <w:color w:val="000000"/>
          <w:sz w:val="24"/>
          <w:szCs w:val="24"/>
        </w:rPr>
        <w:t xml:space="preserve">los </w:t>
      </w:r>
      <w:r w:rsidR="000547EA">
        <w:rPr>
          <w:color w:val="000000"/>
          <w:sz w:val="24"/>
          <w:szCs w:val="24"/>
        </w:rPr>
        <w:t>oficios correspondientes.</w:t>
      </w:r>
    </w:p>
    <w:p w14:paraId="06E6878A" w14:textId="77777777" w:rsidR="000547EA" w:rsidRDefault="000547EA" w:rsidP="00FE0FF8">
      <w:pPr>
        <w:pStyle w:val="Textonotapie"/>
        <w:rPr>
          <w:color w:val="000000"/>
          <w:sz w:val="24"/>
          <w:szCs w:val="24"/>
        </w:rPr>
      </w:pPr>
    </w:p>
    <w:p w14:paraId="54EA651D" w14:textId="77777777" w:rsidR="000547EA" w:rsidRDefault="000547EA" w:rsidP="00FE0FF8">
      <w:pPr>
        <w:pStyle w:val="Textonotapie"/>
        <w:rPr>
          <w:color w:val="000000"/>
          <w:sz w:val="24"/>
          <w:szCs w:val="24"/>
        </w:rPr>
      </w:pPr>
      <w:r>
        <w:rPr>
          <w:color w:val="000000"/>
          <w:sz w:val="24"/>
          <w:szCs w:val="24"/>
        </w:rPr>
        <w:t>Mediante auto de 15 de diciembre de 2011 se declaró concluido el debate probatorio</w:t>
      </w:r>
      <w:r w:rsidR="004F7104">
        <w:rPr>
          <w:color w:val="000000"/>
          <w:sz w:val="24"/>
          <w:szCs w:val="24"/>
        </w:rPr>
        <w:t>, sin que las partes hubieran presentado recurso alguno contra la citada decisión</w:t>
      </w:r>
      <w:r>
        <w:rPr>
          <w:color w:val="000000"/>
          <w:sz w:val="24"/>
          <w:szCs w:val="24"/>
        </w:rPr>
        <w:t>.</w:t>
      </w:r>
    </w:p>
    <w:p w14:paraId="3F35FB47" w14:textId="77777777" w:rsidR="000547EA" w:rsidRDefault="000547EA" w:rsidP="00FE0FF8">
      <w:pPr>
        <w:pStyle w:val="Textonotapie"/>
        <w:rPr>
          <w:color w:val="000000"/>
          <w:sz w:val="24"/>
          <w:szCs w:val="24"/>
        </w:rPr>
      </w:pPr>
    </w:p>
    <w:p w14:paraId="14F5A24B" w14:textId="77777777" w:rsidR="009E497E" w:rsidRDefault="00146F56" w:rsidP="00FE0FF8">
      <w:pPr>
        <w:pStyle w:val="Textonotapie"/>
        <w:rPr>
          <w:b/>
          <w:color w:val="000000"/>
          <w:sz w:val="24"/>
          <w:szCs w:val="24"/>
        </w:rPr>
      </w:pPr>
      <w:r>
        <w:rPr>
          <w:b/>
          <w:color w:val="000000"/>
          <w:sz w:val="24"/>
          <w:szCs w:val="24"/>
        </w:rPr>
        <w:t>5</w:t>
      </w:r>
      <w:r w:rsidR="005B2335" w:rsidRPr="005B2335">
        <w:rPr>
          <w:b/>
          <w:color w:val="000000"/>
          <w:sz w:val="24"/>
          <w:szCs w:val="24"/>
        </w:rPr>
        <w:t xml:space="preserve">. </w:t>
      </w:r>
      <w:r w:rsidR="009E497E" w:rsidRPr="005B2335">
        <w:rPr>
          <w:b/>
          <w:color w:val="000000"/>
          <w:sz w:val="24"/>
          <w:szCs w:val="24"/>
        </w:rPr>
        <w:t>El caso concreto</w:t>
      </w:r>
    </w:p>
    <w:p w14:paraId="2E5FE65F" w14:textId="77777777" w:rsidR="009B704D" w:rsidRDefault="009B704D" w:rsidP="00FE0FF8">
      <w:pPr>
        <w:pStyle w:val="Textonotapie"/>
        <w:rPr>
          <w:b/>
          <w:color w:val="000000"/>
          <w:sz w:val="24"/>
          <w:szCs w:val="24"/>
        </w:rPr>
      </w:pPr>
    </w:p>
    <w:p w14:paraId="30159D29" w14:textId="77777777" w:rsidR="009B704D" w:rsidRDefault="00541086" w:rsidP="00FE0FF8">
      <w:pPr>
        <w:spacing w:line="360" w:lineRule="auto"/>
        <w:contextualSpacing/>
        <w:rPr>
          <w:rFonts w:ascii="Arial" w:eastAsia="Times New Roman" w:hAnsi="Arial" w:cs="Arial"/>
          <w:sz w:val="24"/>
          <w:szCs w:val="24"/>
          <w:lang w:val="es-MX" w:eastAsia="es-ES"/>
        </w:rPr>
      </w:pPr>
      <w:r>
        <w:rPr>
          <w:rFonts w:ascii="Arial" w:eastAsia="Times New Roman" w:hAnsi="Arial" w:cs="Arial"/>
          <w:sz w:val="24"/>
          <w:szCs w:val="24"/>
          <w:lang w:val="es-MX" w:eastAsia="es-ES"/>
        </w:rPr>
        <w:t>Tal como se ha mencionado, e</w:t>
      </w:r>
      <w:r w:rsidR="009B704D">
        <w:rPr>
          <w:rFonts w:ascii="Arial" w:eastAsia="Times New Roman" w:hAnsi="Arial" w:cs="Arial"/>
          <w:sz w:val="24"/>
          <w:szCs w:val="24"/>
          <w:lang w:val="es-MX" w:eastAsia="es-ES"/>
        </w:rPr>
        <w:t xml:space="preserve">n el asunto concreto, la sentencia de primera instancia acotó el </w:t>
      </w:r>
      <w:r w:rsidR="009B704D" w:rsidRPr="009B704D">
        <w:rPr>
          <w:rFonts w:ascii="Arial" w:eastAsia="Times New Roman" w:hAnsi="Arial" w:cs="Arial"/>
          <w:b/>
          <w:sz w:val="24"/>
          <w:szCs w:val="24"/>
          <w:lang w:val="es-MX" w:eastAsia="es-ES"/>
        </w:rPr>
        <w:t>problema jurídico</w:t>
      </w:r>
      <w:r w:rsidR="009B704D">
        <w:rPr>
          <w:rFonts w:ascii="Arial" w:eastAsia="Times New Roman" w:hAnsi="Arial" w:cs="Arial"/>
          <w:sz w:val="24"/>
          <w:szCs w:val="24"/>
          <w:lang w:val="es-MX" w:eastAsia="es-ES"/>
        </w:rPr>
        <w:t xml:space="preserve"> en dos aspectos: </w:t>
      </w:r>
      <w:r w:rsidR="009B704D" w:rsidRPr="00B45EB9">
        <w:rPr>
          <w:rFonts w:ascii="Arial" w:eastAsia="Times New Roman" w:hAnsi="Arial" w:cs="Arial"/>
          <w:b/>
          <w:sz w:val="24"/>
          <w:szCs w:val="24"/>
          <w:lang w:val="es-MX" w:eastAsia="es-ES"/>
        </w:rPr>
        <w:t>i)</w:t>
      </w:r>
      <w:r w:rsidR="009B704D">
        <w:rPr>
          <w:rFonts w:ascii="Arial" w:eastAsia="Times New Roman" w:hAnsi="Arial" w:cs="Arial"/>
          <w:sz w:val="24"/>
          <w:szCs w:val="24"/>
          <w:lang w:val="es-MX" w:eastAsia="es-ES"/>
        </w:rPr>
        <w:t xml:space="preserve"> si la declaratoria de desierta estuvo ajustada a la ley y </w:t>
      </w:r>
      <w:r w:rsidR="009B704D" w:rsidRPr="00B45EB9">
        <w:rPr>
          <w:rFonts w:ascii="Arial" w:eastAsia="Times New Roman" w:hAnsi="Arial" w:cs="Arial"/>
          <w:b/>
          <w:sz w:val="24"/>
          <w:szCs w:val="24"/>
          <w:lang w:val="es-MX" w:eastAsia="es-ES"/>
        </w:rPr>
        <w:t>ii)</w:t>
      </w:r>
      <w:r w:rsidR="009B704D">
        <w:rPr>
          <w:rFonts w:ascii="Arial" w:eastAsia="Times New Roman" w:hAnsi="Arial" w:cs="Arial"/>
          <w:sz w:val="24"/>
          <w:szCs w:val="24"/>
          <w:lang w:val="es-MX" w:eastAsia="es-ES"/>
        </w:rPr>
        <w:t xml:space="preserve"> si la propuesta de la parte actora le daba derecho a la adjudicación.</w:t>
      </w:r>
    </w:p>
    <w:p w14:paraId="483AEEC8" w14:textId="77777777" w:rsidR="00541086" w:rsidRDefault="00541086" w:rsidP="00FE0FF8">
      <w:pPr>
        <w:spacing w:line="360" w:lineRule="auto"/>
        <w:contextualSpacing/>
        <w:rPr>
          <w:rFonts w:ascii="Arial" w:eastAsia="Times New Roman" w:hAnsi="Arial" w:cs="Arial"/>
          <w:sz w:val="24"/>
          <w:szCs w:val="24"/>
          <w:lang w:val="es-MX" w:eastAsia="es-ES"/>
        </w:rPr>
      </w:pPr>
    </w:p>
    <w:p w14:paraId="17E75409" w14:textId="77777777" w:rsidR="006625FB" w:rsidRDefault="006625FB" w:rsidP="00FE0FF8">
      <w:pPr>
        <w:pStyle w:val="Textonotapie"/>
        <w:rPr>
          <w:color w:val="000000"/>
          <w:sz w:val="24"/>
          <w:szCs w:val="24"/>
        </w:rPr>
      </w:pPr>
      <w:r>
        <w:rPr>
          <w:color w:val="000000"/>
          <w:sz w:val="24"/>
          <w:szCs w:val="24"/>
        </w:rPr>
        <w:t xml:space="preserve">Para resolver el referido problema, de cara a los argumentos de la apelación, la Sala se detendrá en las pruebas allegadas al proceso y </w:t>
      </w:r>
      <w:r w:rsidR="00C213F3">
        <w:rPr>
          <w:color w:val="000000"/>
          <w:sz w:val="24"/>
          <w:szCs w:val="24"/>
        </w:rPr>
        <w:t xml:space="preserve">en el análisis de la distribución de la carga de la prueba. </w:t>
      </w:r>
    </w:p>
    <w:p w14:paraId="208FADE5" w14:textId="77777777" w:rsidR="006625FB" w:rsidRDefault="006625FB" w:rsidP="00FE0FF8">
      <w:pPr>
        <w:pStyle w:val="Textonotapie"/>
        <w:rPr>
          <w:color w:val="000000"/>
          <w:sz w:val="24"/>
          <w:szCs w:val="24"/>
        </w:rPr>
      </w:pPr>
    </w:p>
    <w:p w14:paraId="430EEEC0" w14:textId="77777777" w:rsidR="009E497E" w:rsidRDefault="009E497E" w:rsidP="00FE0FF8">
      <w:pPr>
        <w:pStyle w:val="Textonotapie"/>
        <w:rPr>
          <w:color w:val="000000"/>
          <w:sz w:val="24"/>
          <w:szCs w:val="24"/>
        </w:rPr>
      </w:pPr>
      <w:r>
        <w:rPr>
          <w:color w:val="000000"/>
          <w:sz w:val="24"/>
          <w:szCs w:val="24"/>
        </w:rPr>
        <w:t>Con base en el acto administrativo mediante el cual se declaró desierto el procedimiento de contratación</w:t>
      </w:r>
      <w:r w:rsidR="00EE3CA1">
        <w:rPr>
          <w:color w:val="000000"/>
          <w:sz w:val="24"/>
          <w:szCs w:val="24"/>
        </w:rPr>
        <w:t xml:space="preserve"> </w:t>
      </w:r>
      <w:r w:rsidR="00EE3CA1" w:rsidRPr="00997E16">
        <w:rPr>
          <w:i/>
          <w:color w:val="000000"/>
          <w:sz w:val="24"/>
          <w:szCs w:val="24"/>
        </w:rPr>
        <w:t>sub lite</w:t>
      </w:r>
      <w:r w:rsidR="00EE3CA1">
        <w:rPr>
          <w:color w:val="000000"/>
          <w:sz w:val="24"/>
          <w:szCs w:val="24"/>
        </w:rPr>
        <w:t xml:space="preserve">, </w:t>
      </w:r>
      <w:r>
        <w:rPr>
          <w:color w:val="000000"/>
          <w:sz w:val="24"/>
          <w:szCs w:val="24"/>
        </w:rPr>
        <w:t xml:space="preserve">se conoce lo siguiente: </w:t>
      </w:r>
    </w:p>
    <w:p w14:paraId="2EEA1D4F" w14:textId="77777777" w:rsidR="009E497E" w:rsidRDefault="009E497E" w:rsidP="00FE0FF8">
      <w:pPr>
        <w:pStyle w:val="Textonotapie"/>
        <w:rPr>
          <w:color w:val="000000"/>
          <w:sz w:val="24"/>
          <w:szCs w:val="24"/>
        </w:rPr>
      </w:pPr>
    </w:p>
    <w:p w14:paraId="66732634" w14:textId="77777777" w:rsidR="009E497E" w:rsidRDefault="00146F56" w:rsidP="00FE0FF8">
      <w:pPr>
        <w:pStyle w:val="Textonotapie"/>
        <w:rPr>
          <w:color w:val="000000"/>
          <w:sz w:val="24"/>
          <w:szCs w:val="24"/>
        </w:rPr>
      </w:pPr>
      <w:r>
        <w:rPr>
          <w:b/>
          <w:color w:val="000000"/>
          <w:sz w:val="24"/>
          <w:szCs w:val="24"/>
        </w:rPr>
        <w:lastRenderedPageBreak/>
        <w:t>5</w:t>
      </w:r>
      <w:r w:rsidR="00EE3CA1" w:rsidRPr="00EE3CA1">
        <w:rPr>
          <w:b/>
          <w:color w:val="000000"/>
          <w:sz w:val="24"/>
          <w:szCs w:val="24"/>
        </w:rPr>
        <w:t>.1</w:t>
      </w:r>
      <w:r w:rsidR="00EE3CA1">
        <w:rPr>
          <w:color w:val="000000"/>
          <w:sz w:val="24"/>
          <w:szCs w:val="24"/>
        </w:rPr>
        <w:t xml:space="preserve">. </w:t>
      </w:r>
      <w:r w:rsidR="009E497E">
        <w:rPr>
          <w:color w:val="000000"/>
          <w:sz w:val="24"/>
          <w:szCs w:val="24"/>
        </w:rPr>
        <w:t xml:space="preserve">Que el procedimiento se abrió por parte de la Fiduciaria la Previsora S.A., a solicitud presentada por el distrito de Cartagena, con fundamento en el Acuerdo 44 de 1999, contentivo del estatuto tributario distrital y en </w:t>
      </w:r>
      <w:r w:rsidR="00EE3CA1">
        <w:rPr>
          <w:color w:val="000000"/>
          <w:sz w:val="24"/>
          <w:szCs w:val="24"/>
        </w:rPr>
        <w:t>un</w:t>
      </w:r>
      <w:r w:rsidR="009E497E">
        <w:rPr>
          <w:color w:val="000000"/>
          <w:sz w:val="24"/>
          <w:szCs w:val="24"/>
        </w:rPr>
        <w:t xml:space="preserve"> contrato fiduciario suscrito entre el distrito y la referida entidad fiduciaria.</w:t>
      </w:r>
    </w:p>
    <w:p w14:paraId="6A8D962B" w14:textId="77777777" w:rsidR="009E497E" w:rsidRDefault="009E497E" w:rsidP="00FE0FF8">
      <w:pPr>
        <w:pStyle w:val="Textonotapie"/>
        <w:rPr>
          <w:color w:val="000000"/>
          <w:sz w:val="24"/>
          <w:szCs w:val="24"/>
        </w:rPr>
      </w:pPr>
    </w:p>
    <w:p w14:paraId="54C6E46F" w14:textId="77777777" w:rsidR="009E497E" w:rsidRDefault="00146F56" w:rsidP="00FE0FF8">
      <w:pPr>
        <w:pStyle w:val="Textonotapie"/>
        <w:rPr>
          <w:color w:val="000000"/>
          <w:sz w:val="24"/>
          <w:szCs w:val="24"/>
        </w:rPr>
      </w:pPr>
      <w:r>
        <w:rPr>
          <w:b/>
          <w:color w:val="000000"/>
          <w:sz w:val="24"/>
          <w:szCs w:val="24"/>
        </w:rPr>
        <w:t>5</w:t>
      </w:r>
      <w:r w:rsidR="00EE3CA1" w:rsidRPr="00EE3CA1">
        <w:rPr>
          <w:b/>
          <w:color w:val="000000"/>
          <w:sz w:val="24"/>
          <w:szCs w:val="24"/>
        </w:rPr>
        <w:t>.2.</w:t>
      </w:r>
      <w:r w:rsidR="00EE3CA1">
        <w:rPr>
          <w:color w:val="000000"/>
          <w:sz w:val="24"/>
          <w:szCs w:val="24"/>
        </w:rPr>
        <w:t xml:space="preserve"> </w:t>
      </w:r>
      <w:r w:rsidR="009E497E">
        <w:rPr>
          <w:color w:val="000000"/>
          <w:sz w:val="24"/>
          <w:szCs w:val="24"/>
        </w:rPr>
        <w:t>Que la invitación pública tenía el siguiente objeto</w:t>
      </w:r>
      <w:r w:rsidR="000632D4">
        <w:rPr>
          <w:color w:val="000000"/>
          <w:sz w:val="24"/>
          <w:szCs w:val="24"/>
        </w:rPr>
        <w:t xml:space="preserve"> (</w:t>
      </w:r>
      <w:r w:rsidR="00BB0B55">
        <w:rPr>
          <w:color w:val="000000"/>
          <w:sz w:val="24"/>
          <w:szCs w:val="24"/>
        </w:rPr>
        <w:t>se transcribe literal, incluso con posibles errores)</w:t>
      </w:r>
      <w:r w:rsidR="009E497E">
        <w:rPr>
          <w:color w:val="000000"/>
          <w:sz w:val="24"/>
          <w:szCs w:val="24"/>
        </w:rPr>
        <w:t>:</w:t>
      </w:r>
    </w:p>
    <w:p w14:paraId="6D3656FB" w14:textId="77777777" w:rsidR="009E497E" w:rsidRPr="0003052A" w:rsidRDefault="009E497E" w:rsidP="00FE0FF8">
      <w:pPr>
        <w:pStyle w:val="Textonotapie"/>
        <w:spacing w:line="276" w:lineRule="auto"/>
        <w:rPr>
          <w:i/>
          <w:color w:val="000000"/>
          <w:sz w:val="22"/>
          <w:szCs w:val="22"/>
        </w:rPr>
      </w:pPr>
    </w:p>
    <w:p w14:paraId="58B3C129" w14:textId="77777777" w:rsidR="009E497E" w:rsidRPr="0003052A" w:rsidRDefault="009E497E" w:rsidP="00FE0FF8">
      <w:pPr>
        <w:pStyle w:val="Textonotapie"/>
        <w:spacing w:line="276" w:lineRule="auto"/>
        <w:rPr>
          <w:i/>
          <w:color w:val="000000"/>
          <w:sz w:val="22"/>
          <w:szCs w:val="22"/>
        </w:rPr>
      </w:pPr>
      <w:r w:rsidRPr="0003052A">
        <w:rPr>
          <w:i/>
          <w:color w:val="000000"/>
          <w:sz w:val="22"/>
          <w:szCs w:val="22"/>
        </w:rPr>
        <w:t>“LA CONTRATACIÓN DE LA PRESTACIÓN DE LOS SERVICIOS DE COBRO PREJUR</w:t>
      </w:r>
      <w:r w:rsidR="00EE3CA1">
        <w:rPr>
          <w:i/>
          <w:color w:val="000000"/>
          <w:sz w:val="22"/>
          <w:szCs w:val="22"/>
        </w:rPr>
        <w:t>Í</w:t>
      </w:r>
      <w:r w:rsidRPr="0003052A">
        <w:rPr>
          <w:i/>
          <w:color w:val="000000"/>
          <w:sz w:val="22"/>
          <w:szCs w:val="22"/>
        </w:rPr>
        <w:t>DICO PARA LA RECUPERACIÓN DE LA CARTERA MOROSA DEL DISTRITO POR CONCEPTO DE FACTURACIÓN DE LOS IMPUESTOS PREDIAL UNIFICADO, INDUSTRIA Y COMERCIO, CONTRIBUCIÓN POR VALORIZACIÓN, ASÍ COMO LOS DEMÁS IMPUESTOS QUE DEBE RECIBIR EL DISTRITO, CON EXCEPCIÓN DEL IVA, Y LA PRESTACIÓN DEL SERVICIO DE APOYO LOGÍSTICO Y TECNOLÓGICO POR PARTE DEL CONTRATISTA PARA QUE EL DISTRITO ADELANTE EL COBRO COACTIVO DE LA REFERIDA CARTERA. PARÁGRAFO 1º Sin perjuicio del apoyo logístico y tecnológico que EL CONTRATISTA preste al DISTRITO TURÍSITICO Y CULTURAL DE CARTAGENA DE INDICAS dirigido al cobro coactivo de dicha cartera, el contratista no podrá ejercer jurisdicción coactiva, facultad reservada legalmente al DISTRITO. PARÁGRAFO 2º Par</w:t>
      </w:r>
      <w:r>
        <w:rPr>
          <w:i/>
          <w:color w:val="000000"/>
          <w:sz w:val="22"/>
          <w:szCs w:val="22"/>
        </w:rPr>
        <w:t>a</w:t>
      </w:r>
      <w:r w:rsidRPr="0003052A">
        <w:rPr>
          <w:i/>
          <w:color w:val="000000"/>
          <w:sz w:val="22"/>
          <w:szCs w:val="22"/>
        </w:rPr>
        <w:t xml:space="preserve"> todos los efectos, se exceptúan de la gestión de cobro </w:t>
      </w:r>
      <w:proofErr w:type="spellStart"/>
      <w:r w:rsidRPr="0003052A">
        <w:rPr>
          <w:i/>
          <w:color w:val="000000"/>
          <w:sz w:val="22"/>
          <w:szCs w:val="22"/>
        </w:rPr>
        <w:t>prejurídico</w:t>
      </w:r>
      <w:proofErr w:type="spellEnd"/>
      <w:r w:rsidRPr="0003052A">
        <w:rPr>
          <w:i/>
          <w:color w:val="000000"/>
          <w:sz w:val="22"/>
          <w:szCs w:val="22"/>
        </w:rPr>
        <w:t xml:space="preserve"> y apoyo logístico y tecnológico objeto de la contratación materia de los presentes términos de referencia, las deudas que la Nación, sus entidades o dependencias tengan pendientes de pago al Distrito”.</w:t>
      </w:r>
    </w:p>
    <w:p w14:paraId="030623FB" w14:textId="77777777" w:rsidR="009E497E" w:rsidRDefault="009E497E" w:rsidP="00FE0FF8">
      <w:pPr>
        <w:pStyle w:val="Textonotapie"/>
        <w:rPr>
          <w:color w:val="000000"/>
          <w:sz w:val="24"/>
          <w:szCs w:val="24"/>
        </w:rPr>
      </w:pPr>
    </w:p>
    <w:p w14:paraId="1D9EFEBF" w14:textId="77777777" w:rsidR="009E497E" w:rsidRDefault="00146F56" w:rsidP="00FE0FF8">
      <w:pPr>
        <w:pStyle w:val="Textonotapie"/>
        <w:rPr>
          <w:color w:val="000000"/>
          <w:sz w:val="24"/>
          <w:szCs w:val="24"/>
        </w:rPr>
      </w:pPr>
      <w:r>
        <w:rPr>
          <w:b/>
          <w:color w:val="000000"/>
          <w:sz w:val="24"/>
          <w:szCs w:val="24"/>
        </w:rPr>
        <w:t>5</w:t>
      </w:r>
      <w:r w:rsidR="00EE3CA1" w:rsidRPr="00EE3CA1">
        <w:rPr>
          <w:b/>
          <w:color w:val="000000"/>
          <w:sz w:val="24"/>
          <w:szCs w:val="24"/>
        </w:rPr>
        <w:t>.</w:t>
      </w:r>
      <w:r w:rsidR="00DC6959">
        <w:rPr>
          <w:b/>
          <w:color w:val="000000"/>
          <w:sz w:val="24"/>
          <w:szCs w:val="24"/>
        </w:rPr>
        <w:t>3</w:t>
      </w:r>
      <w:r w:rsidR="00EE3CA1" w:rsidRPr="00EE3CA1">
        <w:rPr>
          <w:b/>
          <w:color w:val="000000"/>
          <w:sz w:val="24"/>
          <w:szCs w:val="24"/>
        </w:rPr>
        <w:t>.</w:t>
      </w:r>
      <w:r w:rsidR="00EE3CA1">
        <w:rPr>
          <w:color w:val="000000"/>
          <w:sz w:val="24"/>
          <w:szCs w:val="24"/>
        </w:rPr>
        <w:t xml:space="preserve"> </w:t>
      </w:r>
      <w:r w:rsidR="009E497E">
        <w:rPr>
          <w:color w:val="000000"/>
          <w:sz w:val="24"/>
          <w:szCs w:val="24"/>
        </w:rPr>
        <w:t xml:space="preserve">Que la declaratoria de desierta se fundó en las siguientes irregularidades observadas </w:t>
      </w:r>
      <w:r w:rsidR="00997E16">
        <w:rPr>
          <w:color w:val="000000"/>
          <w:sz w:val="24"/>
          <w:szCs w:val="24"/>
        </w:rPr>
        <w:t xml:space="preserve">por la alcaldía de Cartagena </w:t>
      </w:r>
      <w:r w:rsidR="009E497E">
        <w:rPr>
          <w:color w:val="000000"/>
          <w:sz w:val="24"/>
          <w:szCs w:val="24"/>
        </w:rPr>
        <w:t>en el desarrollo de la invitación pública</w:t>
      </w:r>
      <w:r w:rsidR="00BB0B55">
        <w:rPr>
          <w:color w:val="000000"/>
          <w:sz w:val="24"/>
          <w:szCs w:val="24"/>
        </w:rPr>
        <w:t xml:space="preserve"> (se transcribe literal, incluso con posibles errores)</w:t>
      </w:r>
      <w:r w:rsidR="009E497E">
        <w:rPr>
          <w:color w:val="000000"/>
          <w:sz w:val="24"/>
          <w:szCs w:val="24"/>
        </w:rPr>
        <w:t>:</w:t>
      </w:r>
    </w:p>
    <w:p w14:paraId="779F9F75" w14:textId="77777777" w:rsidR="009E497E" w:rsidRDefault="009E497E" w:rsidP="00FE0FF8">
      <w:pPr>
        <w:pStyle w:val="Textonotapie"/>
        <w:rPr>
          <w:color w:val="000000"/>
          <w:sz w:val="24"/>
          <w:szCs w:val="24"/>
        </w:rPr>
      </w:pPr>
    </w:p>
    <w:p w14:paraId="41B53394" w14:textId="77777777" w:rsidR="009E497E" w:rsidRPr="00AA4B26" w:rsidRDefault="009E497E" w:rsidP="00FE0FF8">
      <w:pPr>
        <w:pStyle w:val="Textonotapie"/>
        <w:spacing w:line="276" w:lineRule="auto"/>
        <w:rPr>
          <w:i/>
          <w:color w:val="000000"/>
          <w:sz w:val="22"/>
          <w:szCs w:val="22"/>
        </w:rPr>
      </w:pPr>
      <w:r w:rsidRPr="00AA4B26">
        <w:rPr>
          <w:i/>
          <w:color w:val="000000"/>
          <w:sz w:val="22"/>
          <w:szCs w:val="22"/>
        </w:rPr>
        <w:t>“El Comité T</w:t>
      </w:r>
      <w:r>
        <w:rPr>
          <w:i/>
          <w:color w:val="000000"/>
          <w:sz w:val="22"/>
          <w:szCs w:val="22"/>
        </w:rPr>
        <w:t>é</w:t>
      </w:r>
      <w:r w:rsidRPr="00AA4B26">
        <w:rPr>
          <w:i/>
          <w:color w:val="000000"/>
          <w:sz w:val="22"/>
          <w:szCs w:val="22"/>
        </w:rPr>
        <w:t>cnico de Evaluación no ha producido, en forma c</w:t>
      </w:r>
      <w:r w:rsidR="009D3DD7">
        <w:rPr>
          <w:i/>
          <w:color w:val="000000"/>
          <w:sz w:val="22"/>
          <w:szCs w:val="22"/>
        </w:rPr>
        <w:t>o</w:t>
      </w:r>
      <w:r w:rsidRPr="00AA4B26">
        <w:rPr>
          <w:i/>
          <w:color w:val="000000"/>
          <w:sz w:val="22"/>
          <w:szCs w:val="22"/>
        </w:rPr>
        <w:t>njunta, el informe de evaluación de las propuestas y existen serias discrepancias entre sus integrantes en cuanto a la inte</w:t>
      </w:r>
      <w:r w:rsidR="009D3DD7">
        <w:rPr>
          <w:i/>
          <w:color w:val="000000"/>
          <w:sz w:val="22"/>
          <w:szCs w:val="22"/>
        </w:rPr>
        <w:t>r</w:t>
      </w:r>
      <w:r w:rsidRPr="00AA4B26">
        <w:rPr>
          <w:i/>
          <w:color w:val="000000"/>
          <w:sz w:val="22"/>
          <w:szCs w:val="22"/>
        </w:rPr>
        <w:t xml:space="preserve">pretación de las causales de inhabilidad y/o de rechazo de las propuestas </w:t>
      </w:r>
      <w:proofErr w:type="gramStart"/>
      <w:r w:rsidRPr="00AA4B26">
        <w:rPr>
          <w:i/>
          <w:color w:val="000000"/>
          <w:sz w:val="22"/>
          <w:szCs w:val="22"/>
        </w:rPr>
        <w:t>(….</w:t>
      </w:r>
      <w:proofErr w:type="gramEnd"/>
      <w:r w:rsidRPr="00AA4B26">
        <w:rPr>
          <w:i/>
          <w:color w:val="000000"/>
          <w:sz w:val="22"/>
          <w:szCs w:val="22"/>
        </w:rPr>
        <w:t xml:space="preserve">) como se explica a continuación: </w:t>
      </w:r>
    </w:p>
    <w:p w14:paraId="5F889A24" w14:textId="77777777" w:rsidR="00F02C0D" w:rsidRDefault="00F02C0D" w:rsidP="00FE0FF8">
      <w:pPr>
        <w:pStyle w:val="Textonotapie"/>
        <w:spacing w:line="276" w:lineRule="auto"/>
        <w:rPr>
          <w:i/>
          <w:color w:val="000000"/>
          <w:sz w:val="22"/>
          <w:szCs w:val="22"/>
        </w:rPr>
      </w:pPr>
    </w:p>
    <w:p w14:paraId="168E4E11" w14:textId="77777777" w:rsidR="009E497E" w:rsidRPr="00AA4B26" w:rsidRDefault="00F02C0D" w:rsidP="00FE0FF8">
      <w:pPr>
        <w:pStyle w:val="Textonotapie"/>
        <w:spacing w:line="276" w:lineRule="auto"/>
        <w:rPr>
          <w:i/>
          <w:color w:val="000000"/>
          <w:sz w:val="22"/>
          <w:szCs w:val="22"/>
        </w:rPr>
      </w:pPr>
      <w:r>
        <w:rPr>
          <w:i/>
          <w:color w:val="000000"/>
          <w:sz w:val="22"/>
          <w:szCs w:val="22"/>
        </w:rPr>
        <w:t xml:space="preserve">“1. </w:t>
      </w:r>
      <w:r w:rsidR="009E497E" w:rsidRPr="00AA4B26">
        <w:rPr>
          <w:i/>
          <w:color w:val="000000"/>
          <w:sz w:val="22"/>
          <w:szCs w:val="22"/>
        </w:rPr>
        <w:t>En el informe de evaluación no se deja constancia de si los proponentes se encuentran debidamente inscritos en el RUP</w:t>
      </w:r>
      <w:r w:rsidR="009D3DD7">
        <w:rPr>
          <w:i/>
          <w:color w:val="000000"/>
          <w:sz w:val="22"/>
          <w:szCs w:val="22"/>
        </w:rPr>
        <w:t xml:space="preserve"> </w:t>
      </w:r>
      <w:proofErr w:type="gramStart"/>
      <w:r w:rsidR="009D3DD7">
        <w:rPr>
          <w:i/>
          <w:color w:val="000000"/>
          <w:sz w:val="22"/>
          <w:szCs w:val="22"/>
        </w:rPr>
        <w:t>(</w:t>
      </w:r>
      <w:r w:rsidR="009E497E" w:rsidRPr="00AA4B26">
        <w:rPr>
          <w:i/>
          <w:color w:val="000000"/>
          <w:sz w:val="22"/>
          <w:szCs w:val="22"/>
        </w:rPr>
        <w:t xml:space="preserve"> …</w:t>
      </w:r>
      <w:proofErr w:type="gramEnd"/>
      <w:r w:rsidR="009D3DD7">
        <w:rPr>
          <w:i/>
          <w:color w:val="000000"/>
          <w:sz w:val="22"/>
          <w:szCs w:val="22"/>
        </w:rPr>
        <w:t>).</w:t>
      </w:r>
    </w:p>
    <w:p w14:paraId="6C55A6BC" w14:textId="77777777" w:rsidR="00F02C0D" w:rsidRDefault="00F02C0D" w:rsidP="00FE0FF8">
      <w:pPr>
        <w:pStyle w:val="Textonotapie"/>
        <w:spacing w:line="276" w:lineRule="auto"/>
        <w:rPr>
          <w:i/>
          <w:color w:val="000000"/>
          <w:sz w:val="22"/>
          <w:szCs w:val="22"/>
        </w:rPr>
      </w:pPr>
    </w:p>
    <w:p w14:paraId="2CEA5BDB" w14:textId="77777777" w:rsidR="009E497E" w:rsidRPr="00AA4B26" w:rsidRDefault="00F02C0D" w:rsidP="00FE0FF8">
      <w:pPr>
        <w:pStyle w:val="Textonotapie"/>
        <w:spacing w:line="276" w:lineRule="auto"/>
        <w:rPr>
          <w:i/>
          <w:color w:val="000000"/>
          <w:sz w:val="22"/>
          <w:szCs w:val="22"/>
        </w:rPr>
      </w:pPr>
      <w:r>
        <w:rPr>
          <w:i/>
          <w:color w:val="000000"/>
          <w:sz w:val="22"/>
          <w:szCs w:val="22"/>
        </w:rPr>
        <w:t xml:space="preserve">“2. </w:t>
      </w:r>
      <w:r w:rsidR="009E497E" w:rsidRPr="00AA4B26">
        <w:rPr>
          <w:i/>
          <w:color w:val="000000"/>
          <w:sz w:val="22"/>
          <w:szCs w:val="22"/>
        </w:rPr>
        <w:t>Ninguno de los proponentes presenta, en forma completa, sus estados financieros debidamente certificados por contador público o revisor fiscal (…)</w:t>
      </w:r>
      <w:r w:rsidR="009E497E">
        <w:rPr>
          <w:i/>
          <w:color w:val="000000"/>
          <w:sz w:val="22"/>
          <w:szCs w:val="22"/>
        </w:rPr>
        <w:t>.</w:t>
      </w:r>
    </w:p>
    <w:p w14:paraId="35D2A738" w14:textId="77777777" w:rsidR="00F02C0D" w:rsidRDefault="00F02C0D" w:rsidP="00FE0FF8">
      <w:pPr>
        <w:pStyle w:val="Textonotapie"/>
        <w:spacing w:line="276" w:lineRule="auto"/>
        <w:rPr>
          <w:i/>
          <w:color w:val="000000"/>
          <w:sz w:val="22"/>
          <w:szCs w:val="22"/>
        </w:rPr>
      </w:pPr>
    </w:p>
    <w:p w14:paraId="6D65CDD5" w14:textId="77777777" w:rsidR="009E497E" w:rsidRDefault="00F02C0D" w:rsidP="00FE0FF8">
      <w:pPr>
        <w:pStyle w:val="Textonotapie"/>
        <w:spacing w:line="276" w:lineRule="auto"/>
        <w:rPr>
          <w:i/>
          <w:color w:val="000000"/>
          <w:sz w:val="22"/>
          <w:szCs w:val="22"/>
        </w:rPr>
      </w:pPr>
      <w:r>
        <w:rPr>
          <w:i/>
          <w:color w:val="000000"/>
          <w:sz w:val="22"/>
          <w:szCs w:val="22"/>
        </w:rPr>
        <w:t xml:space="preserve">“3. </w:t>
      </w:r>
      <w:r w:rsidR="009E497E" w:rsidRPr="00461C6C">
        <w:rPr>
          <w:i/>
          <w:color w:val="000000"/>
          <w:sz w:val="22"/>
          <w:szCs w:val="22"/>
        </w:rPr>
        <w:t>Únicamente el proponente INVERSIONES LOS ÁNGELES LTDA allega en debida forma sus declaraciones de renta, por los años gravables 1997. 1998 y 1999 (…)</w:t>
      </w:r>
      <w:r w:rsidR="009D3DD7">
        <w:rPr>
          <w:i/>
          <w:color w:val="000000"/>
          <w:sz w:val="22"/>
          <w:szCs w:val="22"/>
        </w:rPr>
        <w:t xml:space="preserve"> </w:t>
      </w:r>
      <w:r w:rsidR="009E497E" w:rsidRPr="00461C6C">
        <w:rPr>
          <w:i/>
          <w:color w:val="000000"/>
          <w:sz w:val="22"/>
          <w:szCs w:val="22"/>
        </w:rPr>
        <w:t>sin embargo los evaluadores consideran que este requisito es subsanable aún contra lo expresamente previsto en los términos de referencia de la invitación (</w:t>
      </w:r>
      <w:proofErr w:type="spellStart"/>
      <w:r w:rsidR="009E497E" w:rsidRPr="00461C6C">
        <w:rPr>
          <w:i/>
          <w:color w:val="000000"/>
          <w:sz w:val="22"/>
          <w:szCs w:val="22"/>
        </w:rPr>
        <w:t>Adendo</w:t>
      </w:r>
      <w:proofErr w:type="spellEnd"/>
      <w:r w:rsidR="009E497E" w:rsidRPr="00461C6C">
        <w:rPr>
          <w:i/>
          <w:color w:val="000000"/>
          <w:sz w:val="22"/>
          <w:szCs w:val="22"/>
        </w:rPr>
        <w:t xml:space="preserve"> No. 2. Ordinal 2.6. parte final).</w:t>
      </w:r>
    </w:p>
    <w:p w14:paraId="759650F2" w14:textId="77777777" w:rsidR="00F02C0D" w:rsidRDefault="00F02C0D" w:rsidP="00FE0FF8">
      <w:pPr>
        <w:pStyle w:val="Textonotapie"/>
        <w:spacing w:line="276" w:lineRule="auto"/>
        <w:rPr>
          <w:i/>
          <w:color w:val="000000"/>
          <w:sz w:val="22"/>
          <w:szCs w:val="22"/>
        </w:rPr>
      </w:pPr>
    </w:p>
    <w:p w14:paraId="22AC5BC3" w14:textId="77777777" w:rsidR="009E497E" w:rsidRPr="00461C6C" w:rsidRDefault="00F02C0D" w:rsidP="00FE0FF8">
      <w:pPr>
        <w:pStyle w:val="Textonotapie"/>
        <w:spacing w:line="276" w:lineRule="auto"/>
        <w:rPr>
          <w:i/>
          <w:color w:val="000000"/>
          <w:sz w:val="22"/>
          <w:szCs w:val="22"/>
        </w:rPr>
      </w:pPr>
      <w:r>
        <w:rPr>
          <w:i/>
          <w:color w:val="000000"/>
          <w:sz w:val="22"/>
          <w:szCs w:val="22"/>
        </w:rPr>
        <w:t xml:space="preserve">“4. </w:t>
      </w:r>
      <w:r w:rsidR="009E497E" w:rsidRPr="00461C6C">
        <w:rPr>
          <w:i/>
          <w:color w:val="000000"/>
          <w:sz w:val="22"/>
          <w:szCs w:val="22"/>
        </w:rPr>
        <w:t xml:space="preserve">La sociedad CABRERA Y CABRERA LTDA, integrante de la UNIÓN TEMPORAL SOLUCIONES TRIBUTARIAS INTEGRALES, no acredita que su existencia social sea igual </w:t>
      </w:r>
      <w:r w:rsidR="009E497E" w:rsidRPr="00461C6C">
        <w:rPr>
          <w:i/>
          <w:color w:val="000000"/>
          <w:sz w:val="22"/>
          <w:szCs w:val="22"/>
        </w:rPr>
        <w:lastRenderedPageBreak/>
        <w:t>o superior al término de ejecución del contrato y dos años más (ordinal 2.3), lo cual es considerado por el Comité Técnico como subsanable, pero en realidad es causal de rechazo de acuerdo con los términos de referencia (ordinal 5.4. literal d) y además impide la comparación objetiva de la capacidad contractual de este proponente (art. 29, Ley 80 de 1993).</w:t>
      </w:r>
    </w:p>
    <w:p w14:paraId="49490774" w14:textId="77777777" w:rsidR="0077170E" w:rsidRDefault="0077170E" w:rsidP="00FE0FF8">
      <w:pPr>
        <w:pStyle w:val="Textonotapie"/>
        <w:spacing w:line="276" w:lineRule="auto"/>
        <w:rPr>
          <w:i/>
          <w:color w:val="000000"/>
          <w:sz w:val="22"/>
          <w:szCs w:val="22"/>
        </w:rPr>
      </w:pPr>
    </w:p>
    <w:p w14:paraId="11AFCF26" w14:textId="77777777" w:rsidR="009E497E" w:rsidRPr="00AA4B26" w:rsidRDefault="0077170E" w:rsidP="00FE0FF8">
      <w:pPr>
        <w:pStyle w:val="Textonotapie"/>
        <w:spacing w:line="276" w:lineRule="auto"/>
        <w:rPr>
          <w:i/>
          <w:color w:val="000000"/>
          <w:sz w:val="22"/>
          <w:szCs w:val="22"/>
        </w:rPr>
      </w:pPr>
      <w:r>
        <w:rPr>
          <w:i/>
          <w:color w:val="000000"/>
          <w:sz w:val="22"/>
          <w:szCs w:val="22"/>
        </w:rPr>
        <w:t xml:space="preserve">“5. </w:t>
      </w:r>
      <w:r w:rsidR="009E497E" w:rsidRPr="00AA4B26">
        <w:rPr>
          <w:i/>
          <w:color w:val="000000"/>
          <w:sz w:val="22"/>
          <w:szCs w:val="22"/>
        </w:rPr>
        <w:t>En la evaluación de la</w:t>
      </w:r>
      <w:r w:rsidR="009E497E">
        <w:rPr>
          <w:i/>
          <w:color w:val="000000"/>
          <w:sz w:val="22"/>
          <w:szCs w:val="22"/>
        </w:rPr>
        <w:t xml:space="preserve"> propuesta económica de las </w:t>
      </w:r>
      <w:r w:rsidR="009E497E" w:rsidRPr="00AA4B26">
        <w:rPr>
          <w:i/>
          <w:color w:val="000000"/>
          <w:sz w:val="22"/>
          <w:szCs w:val="22"/>
        </w:rPr>
        <w:t>ofertas, no s</w:t>
      </w:r>
      <w:r w:rsidR="009E497E">
        <w:rPr>
          <w:i/>
          <w:color w:val="000000"/>
          <w:sz w:val="22"/>
          <w:szCs w:val="22"/>
        </w:rPr>
        <w:t>e</w:t>
      </w:r>
      <w:r w:rsidR="009E497E" w:rsidRPr="00AA4B26">
        <w:rPr>
          <w:i/>
          <w:color w:val="000000"/>
          <w:sz w:val="22"/>
          <w:szCs w:val="22"/>
        </w:rPr>
        <w:t xml:space="preserve"> observó lo previsto en los términos de referencia, en cuanto hace a la apertura de las mismas dentro de los dos (2) d</w:t>
      </w:r>
      <w:r w:rsidR="00875D11">
        <w:rPr>
          <w:i/>
          <w:color w:val="000000"/>
          <w:sz w:val="22"/>
          <w:szCs w:val="22"/>
        </w:rPr>
        <w:t>í</w:t>
      </w:r>
      <w:r w:rsidR="009E497E" w:rsidRPr="00AA4B26">
        <w:rPr>
          <w:i/>
          <w:color w:val="000000"/>
          <w:sz w:val="22"/>
          <w:szCs w:val="22"/>
        </w:rPr>
        <w:t>as siguientes al vencimiento del término para resolver sobre las evaluaciones del informe de evaluación, incurriendo as</w:t>
      </w:r>
      <w:r w:rsidR="009E497E">
        <w:rPr>
          <w:i/>
          <w:color w:val="000000"/>
          <w:sz w:val="22"/>
          <w:szCs w:val="22"/>
        </w:rPr>
        <w:t>í</w:t>
      </w:r>
      <w:r w:rsidR="009E497E" w:rsidRPr="00AA4B26">
        <w:rPr>
          <w:i/>
          <w:color w:val="000000"/>
          <w:sz w:val="22"/>
          <w:szCs w:val="22"/>
        </w:rPr>
        <w:t xml:space="preserve"> en una infracción al debido proceso al pretermitir los términos propios del proceso de selección</w:t>
      </w:r>
      <w:r w:rsidR="009E497E">
        <w:rPr>
          <w:i/>
          <w:color w:val="000000"/>
          <w:sz w:val="22"/>
          <w:szCs w:val="22"/>
        </w:rPr>
        <w:t>”</w:t>
      </w:r>
      <w:r w:rsidR="009E497E" w:rsidRPr="00AA4B26">
        <w:rPr>
          <w:i/>
          <w:color w:val="000000"/>
          <w:sz w:val="22"/>
          <w:szCs w:val="22"/>
        </w:rPr>
        <w:t>.</w:t>
      </w:r>
    </w:p>
    <w:p w14:paraId="20AAAEC3" w14:textId="77777777" w:rsidR="009E497E" w:rsidRDefault="009E497E" w:rsidP="00FE0FF8">
      <w:pPr>
        <w:rPr>
          <w:rFonts w:ascii="Arial" w:hAnsi="Arial" w:cs="Arial"/>
          <w:b/>
          <w:i/>
          <w:color w:val="000000"/>
          <w:sz w:val="24"/>
          <w:szCs w:val="24"/>
        </w:rPr>
      </w:pPr>
    </w:p>
    <w:p w14:paraId="4EFF2D08" w14:textId="77777777" w:rsidR="009E497E" w:rsidRPr="00BB0B55" w:rsidRDefault="00146F56" w:rsidP="00FE0FF8">
      <w:pPr>
        <w:spacing w:line="360" w:lineRule="auto"/>
        <w:rPr>
          <w:rFonts w:ascii="Arial" w:hAnsi="Arial" w:cs="Arial"/>
          <w:color w:val="000000"/>
          <w:sz w:val="24"/>
          <w:szCs w:val="24"/>
        </w:rPr>
      </w:pPr>
      <w:r>
        <w:rPr>
          <w:rFonts w:ascii="Arial" w:hAnsi="Arial" w:cs="Arial"/>
          <w:b/>
          <w:color w:val="000000"/>
          <w:sz w:val="24"/>
          <w:szCs w:val="24"/>
        </w:rPr>
        <w:t>5</w:t>
      </w:r>
      <w:r w:rsidR="00875D11" w:rsidRPr="00BD72B3">
        <w:rPr>
          <w:rFonts w:ascii="Arial" w:hAnsi="Arial" w:cs="Arial"/>
          <w:b/>
          <w:color w:val="000000"/>
          <w:sz w:val="24"/>
          <w:szCs w:val="24"/>
        </w:rPr>
        <w:t>.</w:t>
      </w:r>
      <w:r w:rsidR="00DC6959">
        <w:rPr>
          <w:rFonts w:ascii="Arial" w:hAnsi="Arial" w:cs="Arial"/>
          <w:b/>
          <w:color w:val="000000"/>
          <w:sz w:val="24"/>
          <w:szCs w:val="24"/>
        </w:rPr>
        <w:t>4</w:t>
      </w:r>
      <w:r w:rsidR="00875D11">
        <w:rPr>
          <w:rFonts w:ascii="Arial" w:hAnsi="Arial" w:cs="Arial"/>
          <w:color w:val="000000"/>
          <w:sz w:val="24"/>
          <w:szCs w:val="24"/>
        </w:rPr>
        <w:t xml:space="preserve">. </w:t>
      </w:r>
      <w:r w:rsidR="009E497E" w:rsidRPr="00AA4B26">
        <w:rPr>
          <w:rFonts w:ascii="Arial" w:hAnsi="Arial" w:cs="Arial"/>
          <w:color w:val="000000"/>
          <w:sz w:val="24"/>
          <w:szCs w:val="24"/>
        </w:rPr>
        <w:t xml:space="preserve">Que el distrito de Cartagena </w:t>
      </w:r>
      <w:r w:rsidR="009E497E">
        <w:rPr>
          <w:rFonts w:ascii="Arial" w:hAnsi="Arial" w:cs="Arial"/>
          <w:color w:val="000000"/>
          <w:sz w:val="24"/>
          <w:szCs w:val="24"/>
        </w:rPr>
        <w:t xml:space="preserve">motivó </w:t>
      </w:r>
      <w:r w:rsidR="009E497E" w:rsidRPr="00AA4B26">
        <w:rPr>
          <w:rFonts w:ascii="Arial" w:hAnsi="Arial" w:cs="Arial"/>
          <w:color w:val="000000"/>
          <w:sz w:val="24"/>
          <w:szCs w:val="24"/>
        </w:rPr>
        <w:t xml:space="preserve">la declaratoria de desierta </w:t>
      </w:r>
      <w:r w:rsidR="009E497E">
        <w:rPr>
          <w:rFonts w:ascii="Arial" w:hAnsi="Arial" w:cs="Arial"/>
          <w:color w:val="000000"/>
          <w:sz w:val="24"/>
          <w:szCs w:val="24"/>
        </w:rPr>
        <w:t xml:space="preserve">con fundamento </w:t>
      </w:r>
      <w:r w:rsidR="009E497E" w:rsidRPr="00AA4B26">
        <w:rPr>
          <w:rFonts w:ascii="Arial" w:hAnsi="Arial" w:cs="Arial"/>
          <w:color w:val="000000"/>
          <w:sz w:val="24"/>
          <w:szCs w:val="24"/>
        </w:rPr>
        <w:t xml:space="preserve">en las siguientes </w:t>
      </w:r>
      <w:r w:rsidR="009E497E">
        <w:rPr>
          <w:rFonts w:ascii="Arial" w:hAnsi="Arial" w:cs="Arial"/>
          <w:color w:val="000000"/>
          <w:sz w:val="24"/>
          <w:szCs w:val="24"/>
        </w:rPr>
        <w:t>consideraciones</w:t>
      </w:r>
      <w:r w:rsidR="00BB0B55">
        <w:rPr>
          <w:rFonts w:ascii="Arial" w:hAnsi="Arial" w:cs="Arial"/>
          <w:color w:val="000000"/>
          <w:sz w:val="24"/>
          <w:szCs w:val="24"/>
        </w:rPr>
        <w:t xml:space="preserve"> (</w:t>
      </w:r>
      <w:r w:rsidR="00BB0B55" w:rsidRPr="00BB0B55">
        <w:rPr>
          <w:rFonts w:ascii="Arial" w:hAnsi="Arial" w:cs="Arial"/>
          <w:color w:val="000000"/>
          <w:sz w:val="24"/>
          <w:szCs w:val="24"/>
        </w:rPr>
        <w:t>se transcribe literal, incluso con posibles errores)</w:t>
      </w:r>
      <w:r w:rsidR="009E497E" w:rsidRPr="00BB0B55">
        <w:rPr>
          <w:rFonts w:ascii="Arial" w:hAnsi="Arial" w:cs="Arial"/>
          <w:color w:val="000000"/>
          <w:sz w:val="24"/>
          <w:szCs w:val="24"/>
        </w:rPr>
        <w:t>:</w:t>
      </w:r>
    </w:p>
    <w:p w14:paraId="2E6F5C9B" w14:textId="77777777" w:rsidR="009E497E" w:rsidRPr="00AA4B26" w:rsidRDefault="009E497E" w:rsidP="00FE0FF8">
      <w:pPr>
        <w:rPr>
          <w:rFonts w:ascii="Arial" w:hAnsi="Arial" w:cs="Arial"/>
          <w:i/>
          <w:color w:val="000000"/>
          <w:sz w:val="24"/>
          <w:szCs w:val="24"/>
        </w:rPr>
      </w:pPr>
    </w:p>
    <w:p w14:paraId="014071D7" w14:textId="77777777" w:rsidR="009E497E" w:rsidRPr="00875D11" w:rsidRDefault="009E497E" w:rsidP="00FE0FF8">
      <w:pPr>
        <w:spacing w:line="276" w:lineRule="auto"/>
        <w:rPr>
          <w:rFonts w:ascii="Arial" w:hAnsi="Arial" w:cs="Arial"/>
          <w:i/>
          <w:color w:val="000000"/>
        </w:rPr>
      </w:pPr>
      <w:r w:rsidRPr="00875D11">
        <w:rPr>
          <w:rFonts w:ascii="Arial" w:hAnsi="Arial" w:cs="Arial"/>
          <w:i/>
          <w:color w:val="000000"/>
        </w:rPr>
        <w:t>“Con base en las disposiciones anteriormente transcritas</w:t>
      </w:r>
      <w:r w:rsidRPr="00875D11">
        <w:rPr>
          <w:rStyle w:val="Refdenotaalpie"/>
          <w:rFonts w:ascii="Arial" w:hAnsi="Arial" w:cs="Arial"/>
          <w:i/>
          <w:color w:val="000000"/>
        </w:rPr>
        <w:footnoteReference w:id="23"/>
      </w:r>
      <w:r w:rsidRPr="00875D11">
        <w:rPr>
          <w:rFonts w:ascii="Arial" w:hAnsi="Arial" w:cs="Arial"/>
          <w:i/>
          <w:color w:val="000000"/>
        </w:rPr>
        <w:t>, el Distrito se ve precisado a declarar desierta la presente invitación pública, por las siguientes razones</w:t>
      </w:r>
      <w:r w:rsidR="00875D11">
        <w:rPr>
          <w:rFonts w:ascii="Arial" w:hAnsi="Arial" w:cs="Arial"/>
          <w:i/>
          <w:color w:val="000000"/>
        </w:rPr>
        <w:t>:</w:t>
      </w:r>
    </w:p>
    <w:p w14:paraId="205BFC2E" w14:textId="77777777" w:rsidR="009E497E" w:rsidRPr="00875D11" w:rsidRDefault="009E497E" w:rsidP="00FE0FF8">
      <w:pPr>
        <w:spacing w:line="276" w:lineRule="auto"/>
        <w:rPr>
          <w:rFonts w:ascii="Arial" w:hAnsi="Arial" w:cs="Arial"/>
          <w:i/>
          <w:color w:val="000000"/>
        </w:rPr>
      </w:pPr>
    </w:p>
    <w:p w14:paraId="03E63799" w14:textId="77777777" w:rsidR="009E497E" w:rsidRPr="00875D11" w:rsidRDefault="009E497E" w:rsidP="00FE0FF8">
      <w:pPr>
        <w:spacing w:line="276" w:lineRule="auto"/>
        <w:rPr>
          <w:rFonts w:ascii="Arial" w:hAnsi="Arial" w:cs="Arial"/>
          <w:i/>
          <w:color w:val="000000"/>
        </w:rPr>
      </w:pPr>
      <w:r w:rsidRPr="00875D11">
        <w:rPr>
          <w:rFonts w:ascii="Arial" w:hAnsi="Arial" w:cs="Arial"/>
          <w:i/>
          <w:color w:val="000000"/>
        </w:rPr>
        <w:t>“Sea lo primero decir que, incurriendo en infracción a la garantía constitucional al debido proceso, el Comité Técnico evaluador permitió que por lo menos uno de los proponentes tuviera acceso al resultado de la evaluación, sin que el informe correspondiente haya sido aún comunicado en debida forma a través del traslado ordenado en la Ley y en los t</w:t>
      </w:r>
      <w:r w:rsidR="00875D11">
        <w:rPr>
          <w:rFonts w:ascii="Arial" w:hAnsi="Arial" w:cs="Arial"/>
          <w:i/>
          <w:color w:val="000000"/>
        </w:rPr>
        <w:t>é</w:t>
      </w:r>
      <w:r w:rsidRPr="00875D11">
        <w:rPr>
          <w:rFonts w:ascii="Arial" w:hAnsi="Arial" w:cs="Arial"/>
          <w:i/>
          <w:color w:val="000000"/>
        </w:rPr>
        <w:t>rminos de referencia. Ello se desprende de la comunicación dirigida a la Presidencia de la FIDUCIARIA LA PREVISORA S.A. de fecha noviembre 9 de 2000 por medio de la cual el señor JAVIER ARIZA HEREDIA, representante legal de la UNIÓN TEMPORAL SOLUCIONES TRIBUTARIAS INTEGRALES pone de presente las irregularidades que se han dado en el proceso de selección; y hace observaciones a la puntuación que le fue asignada en la calificación de propuestas económicas; y en noviembre 14/ 2000 la FIDUCIARIA LA PREVISORA da respuesta al escrito de UNIÓN TEMPORAL SOLUCIONES TRIBUTARIAS INTEGRALES, informándole que dentro del proceso de selección aún no se ha comunicado la calificación adoptada por el Comité Técnico, y tampoco se ha iniciado el término de traslado para la formulación de observaciones.</w:t>
      </w:r>
    </w:p>
    <w:p w14:paraId="31EFA11E" w14:textId="77777777" w:rsidR="009E497E" w:rsidRPr="00875D11" w:rsidRDefault="009E497E" w:rsidP="00FE0FF8">
      <w:pPr>
        <w:spacing w:line="276" w:lineRule="auto"/>
        <w:rPr>
          <w:rFonts w:ascii="Arial" w:hAnsi="Arial" w:cs="Arial"/>
          <w:i/>
          <w:color w:val="000000"/>
        </w:rPr>
      </w:pPr>
    </w:p>
    <w:p w14:paraId="5104C464" w14:textId="77777777" w:rsidR="009E497E" w:rsidRPr="006476B8" w:rsidRDefault="009E497E" w:rsidP="00FE0FF8">
      <w:pPr>
        <w:spacing w:line="276" w:lineRule="auto"/>
        <w:rPr>
          <w:rFonts w:ascii="Arial" w:hAnsi="Arial" w:cs="Arial"/>
          <w:color w:val="000000"/>
        </w:rPr>
      </w:pPr>
      <w:r w:rsidRPr="00875D11">
        <w:rPr>
          <w:rFonts w:ascii="Arial" w:hAnsi="Arial" w:cs="Arial"/>
          <w:i/>
          <w:color w:val="000000"/>
        </w:rPr>
        <w:t>“Ahora bien, de acuerdo con lo previsto en la Ley 80 de 1993, articulo 25 numeral 18, la declaratoria de desierta de la licitación o concurso procede únicamente por motivos o causas que impidan la selección objetiva del contratista, circunstancia que se presenta de manera evidente en esta invitación cuando, además de las observaciones ya acusadas, por medio de escrito dirigido a la Secretaria de Hacienda Distrital, calendado el d</w:t>
      </w:r>
      <w:r w:rsidR="006476B8">
        <w:rPr>
          <w:rFonts w:ascii="Arial" w:hAnsi="Arial" w:cs="Arial"/>
          <w:i/>
          <w:color w:val="000000"/>
        </w:rPr>
        <w:t>í</w:t>
      </w:r>
      <w:r w:rsidRPr="00875D11">
        <w:rPr>
          <w:rFonts w:ascii="Arial" w:hAnsi="Arial" w:cs="Arial"/>
          <w:i/>
          <w:color w:val="000000"/>
        </w:rPr>
        <w:t>a 7 de noviembre del año en curso, la doctora Claudia Bertel Lesmes en su calidad de Delegada del Comité Técnico de la FIDUCIARIA LA PREVISORA S.A. expresa</w:t>
      </w:r>
      <w:r w:rsidR="0077170E">
        <w:rPr>
          <w:rFonts w:ascii="Arial" w:hAnsi="Arial" w:cs="Arial"/>
          <w:i/>
          <w:color w:val="000000"/>
        </w:rPr>
        <w:t xml:space="preserve"> (….)</w:t>
      </w:r>
      <w:r w:rsidRPr="00875D11">
        <w:rPr>
          <w:rFonts w:ascii="Arial" w:hAnsi="Arial" w:cs="Arial"/>
          <w:i/>
          <w:color w:val="000000"/>
        </w:rPr>
        <w:t xml:space="preserve"> </w:t>
      </w:r>
      <w:r w:rsidRPr="006476B8">
        <w:rPr>
          <w:rFonts w:ascii="Arial" w:hAnsi="Arial" w:cs="Arial"/>
          <w:color w:val="000000"/>
        </w:rPr>
        <w:t>[</w:t>
      </w:r>
      <w:r w:rsidR="006476B8" w:rsidRPr="006476B8">
        <w:rPr>
          <w:rFonts w:ascii="Arial" w:hAnsi="Arial" w:cs="Arial"/>
          <w:color w:val="000000"/>
        </w:rPr>
        <w:t>a</w:t>
      </w:r>
      <w:r w:rsidR="0077170E">
        <w:rPr>
          <w:rFonts w:ascii="Arial" w:hAnsi="Arial" w:cs="Arial"/>
          <w:color w:val="000000"/>
        </w:rPr>
        <w:t xml:space="preserve">llí </w:t>
      </w:r>
      <w:r w:rsidR="006476B8" w:rsidRPr="006476B8">
        <w:rPr>
          <w:rFonts w:ascii="Arial" w:hAnsi="Arial" w:cs="Arial"/>
          <w:color w:val="000000"/>
        </w:rPr>
        <w:t xml:space="preserve">se transcribe en extenso un informe </w:t>
      </w:r>
      <w:r w:rsidR="009433DB">
        <w:rPr>
          <w:rFonts w:ascii="Arial" w:hAnsi="Arial" w:cs="Arial"/>
          <w:color w:val="000000"/>
        </w:rPr>
        <w:t>de la fiduciaria</w:t>
      </w:r>
      <w:r w:rsidR="0077170E">
        <w:rPr>
          <w:rFonts w:ascii="Arial" w:hAnsi="Arial" w:cs="Arial"/>
          <w:color w:val="000000"/>
        </w:rPr>
        <w:t xml:space="preserve">, en el cual </w:t>
      </w:r>
      <w:r w:rsidR="006476B8" w:rsidRPr="006476B8">
        <w:rPr>
          <w:rFonts w:ascii="Arial" w:hAnsi="Arial" w:cs="Arial"/>
          <w:color w:val="000000"/>
        </w:rPr>
        <w:t xml:space="preserve">se </w:t>
      </w:r>
      <w:r w:rsidRPr="006476B8">
        <w:rPr>
          <w:rFonts w:ascii="Arial" w:hAnsi="Arial" w:cs="Arial"/>
          <w:color w:val="000000"/>
        </w:rPr>
        <w:t>refir</w:t>
      </w:r>
      <w:r w:rsidR="006476B8" w:rsidRPr="006476B8">
        <w:rPr>
          <w:rFonts w:ascii="Arial" w:hAnsi="Arial" w:cs="Arial"/>
          <w:color w:val="000000"/>
        </w:rPr>
        <w:t xml:space="preserve">ió a </w:t>
      </w:r>
      <w:proofErr w:type="gramStart"/>
      <w:r w:rsidRPr="006476B8">
        <w:rPr>
          <w:rFonts w:ascii="Arial" w:hAnsi="Arial" w:cs="Arial"/>
          <w:color w:val="000000"/>
        </w:rPr>
        <w:t>que</w:t>
      </w:r>
      <w:proofErr w:type="gramEnd"/>
      <w:r w:rsidRPr="006476B8">
        <w:rPr>
          <w:rFonts w:ascii="Arial" w:hAnsi="Arial" w:cs="Arial"/>
          <w:color w:val="000000"/>
        </w:rPr>
        <w:t xml:space="preserve"> si se adopta</w:t>
      </w:r>
      <w:r w:rsidR="006476B8" w:rsidRPr="006476B8">
        <w:rPr>
          <w:rFonts w:ascii="Arial" w:hAnsi="Arial" w:cs="Arial"/>
          <w:color w:val="000000"/>
        </w:rPr>
        <w:t>ba</w:t>
      </w:r>
      <w:r w:rsidRPr="006476B8">
        <w:rPr>
          <w:rFonts w:ascii="Arial" w:hAnsi="Arial" w:cs="Arial"/>
          <w:color w:val="000000"/>
        </w:rPr>
        <w:t xml:space="preserve"> la inhabilidad de la propuesta en la que participa</w:t>
      </w:r>
      <w:r w:rsidR="006476B8" w:rsidRPr="006476B8">
        <w:rPr>
          <w:rFonts w:ascii="Arial" w:hAnsi="Arial" w:cs="Arial"/>
          <w:color w:val="000000"/>
        </w:rPr>
        <w:t>ba</w:t>
      </w:r>
      <w:r w:rsidRPr="006476B8">
        <w:rPr>
          <w:rFonts w:ascii="Arial" w:hAnsi="Arial" w:cs="Arial"/>
          <w:color w:val="000000"/>
        </w:rPr>
        <w:t xml:space="preserve"> Cabrera y Cabrera </w:t>
      </w:r>
      <w:proofErr w:type="spellStart"/>
      <w:r w:rsidRPr="006476B8">
        <w:rPr>
          <w:rFonts w:ascii="Arial" w:hAnsi="Arial" w:cs="Arial"/>
          <w:color w:val="000000"/>
        </w:rPr>
        <w:t>Ltda</w:t>
      </w:r>
      <w:proofErr w:type="spellEnd"/>
      <w:r w:rsidRPr="006476B8">
        <w:rPr>
          <w:rFonts w:ascii="Arial" w:hAnsi="Arial" w:cs="Arial"/>
          <w:color w:val="000000"/>
        </w:rPr>
        <w:t>, a la luz de los resultados de la evaluación</w:t>
      </w:r>
      <w:r w:rsidR="006476B8" w:rsidRPr="006476B8">
        <w:rPr>
          <w:rFonts w:ascii="Arial" w:hAnsi="Arial" w:cs="Arial"/>
          <w:color w:val="000000"/>
        </w:rPr>
        <w:t>,</w:t>
      </w:r>
      <w:r w:rsidRPr="006476B8">
        <w:rPr>
          <w:rFonts w:ascii="Arial" w:hAnsi="Arial" w:cs="Arial"/>
          <w:color w:val="000000"/>
        </w:rPr>
        <w:t xml:space="preserve"> se tendría la inhabilidad de todas las propuestas presentadas].</w:t>
      </w:r>
    </w:p>
    <w:p w14:paraId="3EEF1345" w14:textId="77777777" w:rsidR="009E497E" w:rsidRPr="00875D11" w:rsidRDefault="009E497E" w:rsidP="00FE0FF8">
      <w:pPr>
        <w:spacing w:line="276" w:lineRule="auto"/>
        <w:rPr>
          <w:rFonts w:ascii="Arial" w:hAnsi="Arial" w:cs="Arial"/>
          <w:i/>
          <w:color w:val="000000"/>
        </w:rPr>
      </w:pPr>
    </w:p>
    <w:p w14:paraId="74C3259D" w14:textId="77777777" w:rsidR="009E497E" w:rsidRPr="00875D11" w:rsidRDefault="009E497E" w:rsidP="00FE0FF8">
      <w:pPr>
        <w:spacing w:line="276" w:lineRule="auto"/>
        <w:rPr>
          <w:rFonts w:ascii="Arial" w:hAnsi="Arial" w:cs="Arial"/>
          <w:i/>
          <w:color w:val="000000"/>
        </w:rPr>
      </w:pPr>
      <w:r w:rsidRPr="00875D11">
        <w:rPr>
          <w:rFonts w:ascii="Arial" w:hAnsi="Arial" w:cs="Arial"/>
          <w:i/>
          <w:color w:val="000000"/>
        </w:rPr>
        <w:t>“(…).</w:t>
      </w:r>
    </w:p>
    <w:p w14:paraId="7D86F948" w14:textId="77777777" w:rsidR="009E497E" w:rsidRPr="00875D11" w:rsidRDefault="009E497E" w:rsidP="00FE0FF8">
      <w:pPr>
        <w:spacing w:line="276" w:lineRule="auto"/>
        <w:rPr>
          <w:rFonts w:ascii="Arial" w:hAnsi="Arial" w:cs="Arial"/>
          <w:i/>
          <w:color w:val="000000"/>
        </w:rPr>
      </w:pPr>
    </w:p>
    <w:p w14:paraId="3E164C19" w14:textId="77777777" w:rsidR="009E497E" w:rsidRPr="00875D11" w:rsidRDefault="009E497E" w:rsidP="00FE0FF8">
      <w:pPr>
        <w:spacing w:line="276" w:lineRule="auto"/>
        <w:rPr>
          <w:rFonts w:ascii="Arial" w:hAnsi="Arial" w:cs="Arial"/>
          <w:i/>
          <w:color w:val="000000"/>
        </w:rPr>
      </w:pPr>
      <w:r w:rsidRPr="00875D11">
        <w:rPr>
          <w:rFonts w:ascii="Arial" w:hAnsi="Arial" w:cs="Arial"/>
          <w:i/>
          <w:color w:val="000000"/>
        </w:rPr>
        <w:t xml:space="preserve">“Para este Despacho resultan muy claros los términos de referencia cuando en sus ordinales 2.6. y 5.4. prevén respectivamente las causales de inhabilidad y/o de rechazo de las propuestas: (…) concluye que ninguna de las propuestas recibidas al cierre de esta </w:t>
      </w:r>
      <w:r w:rsidRPr="00875D11">
        <w:rPr>
          <w:rFonts w:ascii="Arial" w:hAnsi="Arial" w:cs="Arial"/>
          <w:i/>
          <w:color w:val="000000"/>
        </w:rPr>
        <w:lastRenderedPageBreak/>
        <w:t>invitación puede ser calificada como hábil por cuanto en todas ellas se omitió presentar en debida forma por lo menos uno de los requisitos exigidos en los términos de la referencia, tal como ya se ha anotado en el acápite anterior de esta resolución”</w:t>
      </w:r>
      <w:r w:rsidRPr="00875D11">
        <w:rPr>
          <w:rStyle w:val="Refdenotaalpie"/>
          <w:rFonts w:ascii="Arial" w:hAnsi="Arial" w:cs="Arial"/>
          <w:i/>
          <w:color w:val="000000"/>
        </w:rPr>
        <w:footnoteReference w:id="24"/>
      </w:r>
      <w:r w:rsidRPr="00875D11">
        <w:rPr>
          <w:rFonts w:ascii="Arial" w:hAnsi="Arial" w:cs="Arial"/>
          <w:i/>
          <w:color w:val="000000"/>
        </w:rPr>
        <w:t>.</w:t>
      </w:r>
    </w:p>
    <w:p w14:paraId="7872282E" w14:textId="77777777" w:rsidR="009E497E" w:rsidRDefault="009E497E" w:rsidP="00FE0FF8">
      <w:pPr>
        <w:spacing w:line="276" w:lineRule="auto"/>
        <w:rPr>
          <w:rFonts w:ascii="Arial" w:hAnsi="Arial" w:cs="Arial"/>
          <w:i/>
          <w:color w:val="000000"/>
          <w:sz w:val="24"/>
          <w:szCs w:val="24"/>
        </w:rPr>
      </w:pPr>
    </w:p>
    <w:p w14:paraId="4E7C6964" w14:textId="77777777" w:rsidR="00645402" w:rsidRDefault="00645402" w:rsidP="00FE0FF8">
      <w:pPr>
        <w:spacing w:line="360" w:lineRule="auto"/>
        <w:rPr>
          <w:rFonts w:ascii="Arial" w:hAnsi="Arial" w:cs="Arial"/>
          <w:b/>
          <w:color w:val="000000"/>
          <w:sz w:val="24"/>
          <w:szCs w:val="24"/>
        </w:rPr>
      </w:pPr>
    </w:p>
    <w:p w14:paraId="15E404C3" w14:textId="77777777" w:rsidR="00BD72B3" w:rsidRPr="00BD72B3" w:rsidRDefault="00146F56" w:rsidP="00FE0FF8">
      <w:pPr>
        <w:spacing w:line="360" w:lineRule="auto"/>
        <w:rPr>
          <w:rFonts w:ascii="Arial" w:hAnsi="Arial" w:cs="Arial"/>
          <w:b/>
          <w:color w:val="000000"/>
          <w:sz w:val="24"/>
          <w:szCs w:val="24"/>
        </w:rPr>
      </w:pPr>
      <w:r>
        <w:rPr>
          <w:rFonts w:ascii="Arial" w:hAnsi="Arial" w:cs="Arial"/>
          <w:b/>
          <w:color w:val="000000"/>
          <w:sz w:val="24"/>
          <w:szCs w:val="24"/>
        </w:rPr>
        <w:t>5</w:t>
      </w:r>
      <w:r w:rsidR="00BD72B3" w:rsidRPr="00BD72B3">
        <w:rPr>
          <w:rFonts w:ascii="Arial" w:hAnsi="Arial" w:cs="Arial"/>
          <w:b/>
          <w:color w:val="000000"/>
          <w:sz w:val="24"/>
          <w:szCs w:val="24"/>
        </w:rPr>
        <w:t>.</w:t>
      </w:r>
      <w:r w:rsidR="00DC6959">
        <w:rPr>
          <w:rFonts w:ascii="Arial" w:hAnsi="Arial" w:cs="Arial"/>
          <w:b/>
          <w:color w:val="000000"/>
          <w:sz w:val="24"/>
          <w:szCs w:val="24"/>
        </w:rPr>
        <w:t>5</w:t>
      </w:r>
      <w:r w:rsidR="00BD72B3" w:rsidRPr="00BD72B3">
        <w:rPr>
          <w:rFonts w:ascii="Arial" w:hAnsi="Arial" w:cs="Arial"/>
          <w:b/>
          <w:color w:val="000000"/>
          <w:sz w:val="24"/>
          <w:szCs w:val="24"/>
        </w:rPr>
        <w:t>. Análisis de las pruebas aportadas</w:t>
      </w:r>
    </w:p>
    <w:p w14:paraId="679761BD" w14:textId="77777777" w:rsidR="00BD72B3" w:rsidRDefault="00BD72B3" w:rsidP="00FE0FF8">
      <w:pPr>
        <w:spacing w:line="360" w:lineRule="auto"/>
        <w:rPr>
          <w:rFonts w:ascii="Arial" w:hAnsi="Arial" w:cs="Arial"/>
          <w:color w:val="000000"/>
          <w:sz w:val="24"/>
          <w:szCs w:val="24"/>
        </w:rPr>
      </w:pPr>
    </w:p>
    <w:p w14:paraId="358D72A4" w14:textId="77777777" w:rsidR="009E497E" w:rsidRDefault="009E497E" w:rsidP="00FE0FF8">
      <w:pPr>
        <w:spacing w:line="360" w:lineRule="auto"/>
        <w:rPr>
          <w:rFonts w:ascii="Arial" w:hAnsi="Arial" w:cs="Arial"/>
          <w:color w:val="000000"/>
          <w:sz w:val="24"/>
          <w:szCs w:val="24"/>
        </w:rPr>
      </w:pPr>
      <w:r w:rsidRPr="009433DB">
        <w:rPr>
          <w:rFonts w:ascii="Arial" w:hAnsi="Arial" w:cs="Arial"/>
          <w:color w:val="000000"/>
          <w:sz w:val="24"/>
          <w:szCs w:val="24"/>
        </w:rPr>
        <w:t>La Sala advierte que sin conocer los t</w:t>
      </w:r>
      <w:r w:rsidR="009433DB">
        <w:rPr>
          <w:rFonts w:ascii="Arial" w:hAnsi="Arial" w:cs="Arial"/>
          <w:color w:val="000000"/>
          <w:sz w:val="24"/>
          <w:szCs w:val="24"/>
        </w:rPr>
        <w:t>é</w:t>
      </w:r>
      <w:r w:rsidRPr="009433DB">
        <w:rPr>
          <w:rFonts w:ascii="Arial" w:hAnsi="Arial" w:cs="Arial"/>
          <w:color w:val="000000"/>
          <w:sz w:val="24"/>
          <w:szCs w:val="24"/>
        </w:rPr>
        <w:t xml:space="preserve">rminos de referencia </w:t>
      </w:r>
      <w:r w:rsidR="009433DB">
        <w:rPr>
          <w:rFonts w:ascii="Arial" w:hAnsi="Arial" w:cs="Arial"/>
          <w:color w:val="000000"/>
          <w:sz w:val="24"/>
          <w:szCs w:val="24"/>
        </w:rPr>
        <w:t xml:space="preserve">del respectivo proceso de invitación pública </w:t>
      </w:r>
      <w:r w:rsidRPr="009433DB">
        <w:rPr>
          <w:rFonts w:ascii="Arial" w:hAnsi="Arial" w:cs="Arial"/>
          <w:color w:val="000000"/>
          <w:sz w:val="24"/>
          <w:szCs w:val="24"/>
        </w:rPr>
        <w:t xml:space="preserve">es imposible atribuir la razón a la demandante, puesto que el acto administrativo </w:t>
      </w:r>
      <w:r w:rsidR="009433DB">
        <w:rPr>
          <w:rFonts w:ascii="Arial" w:hAnsi="Arial" w:cs="Arial"/>
          <w:color w:val="000000"/>
          <w:sz w:val="24"/>
          <w:szCs w:val="24"/>
        </w:rPr>
        <w:t xml:space="preserve">probado en el proceso </w:t>
      </w:r>
      <w:r w:rsidRPr="009433DB">
        <w:rPr>
          <w:rFonts w:ascii="Arial" w:hAnsi="Arial" w:cs="Arial"/>
          <w:color w:val="000000"/>
          <w:sz w:val="24"/>
          <w:szCs w:val="24"/>
        </w:rPr>
        <w:t>se presume amparado por la presunción de legalidad y</w:t>
      </w:r>
      <w:r w:rsidR="00DD6B1A">
        <w:rPr>
          <w:rFonts w:ascii="Arial" w:hAnsi="Arial" w:cs="Arial"/>
          <w:color w:val="000000"/>
          <w:sz w:val="24"/>
          <w:szCs w:val="24"/>
        </w:rPr>
        <w:t>,</w:t>
      </w:r>
      <w:r w:rsidRPr="009433DB">
        <w:rPr>
          <w:rFonts w:ascii="Arial" w:hAnsi="Arial" w:cs="Arial"/>
          <w:color w:val="000000"/>
          <w:sz w:val="24"/>
          <w:szCs w:val="24"/>
        </w:rPr>
        <w:t xml:space="preserve"> de acuerdo con </w:t>
      </w:r>
      <w:r w:rsidR="00DA3260">
        <w:rPr>
          <w:rFonts w:ascii="Arial" w:hAnsi="Arial" w:cs="Arial"/>
          <w:color w:val="000000"/>
          <w:sz w:val="24"/>
          <w:szCs w:val="24"/>
        </w:rPr>
        <w:t>el</w:t>
      </w:r>
      <w:r w:rsidRPr="009433DB">
        <w:rPr>
          <w:rFonts w:ascii="Arial" w:hAnsi="Arial" w:cs="Arial"/>
          <w:color w:val="000000"/>
          <w:sz w:val="24"/>
          <w:szCs w:val="24"/>
        </w:rPr>
        <w:t xml:space="preserve"> contenido</w:t>
      </w:r>
      <w:r w:rsidR="00DD6B1A">
        <w:rPr>
          <w:rFonts w:ascii="Arial" w:hAnsi="Arial" w:cs="Arial"/>
          <w:color w:val="000000"/>
          <w:sz w:val="24"/>
          <w:szCs w:val="24"/>
        </w:rPr>
        <w:t xml:space="preserve"> de la </w:t>
      </w:r>
      <w:r w:rsidR="00DA3260">
        <w:rPr>
          <w:rFonts w:ascii="Arial" w:hAnsi="Arial" w:cs="Arial"/>
          <w:color w:val="000000"/>
          <w:sz w:val="24"/>
          <w:szCs w:val="24"/>
        </w:rPr>
        <w:t>R</w:t>
      </w:r>
      <w:r w:rsidR="00DD6B1A">
        <w:rPr>
          <w:rFonts w:ascii="Arial" w:hAnsi="Arial" w:cs="Arial"/>
          <w:color w:val="000000"/>
          <w:sz w:val="24"/>
          <w:szCs w:val="24"/>
        </w:rPr>
        <w:t>esolución 1457</w:t>
      </w:r>
      <w:r w:rsidRPr="009433DB">
        <w:rPr>
          <w:rFonts w:ascii="Arial" w:hAnsi="Arial" w:cs="Arial"/>
          <w:color w:val="000000"/>
          <w:sz w:val="24"/>
          <w:szCs w:val="24"/>
        </w:rPr>
        <w:t xml:space="preserve">, </w:t>
      </w:r>
      <w:r w:rsidR="00DD6B1A">
        <w:rPr>
          <w:rFonts w:ascii="Arial" w:hAnsi="Arial" w:cs="Arial"/>
          <w:color w:val="000000"/>
          <w:sz w:val="24"/>
          <w:szCs w:val="24"/>
        </w:rPr>
        <w:t xml:space="preserve">el distrito observó que </w:t>
      </w:r>
      <w:r w:rsidRPr="009433DB">
        <w:rPr>
          <w:rFonts w:ascii="Arial" w:hAnsi="Arial" w:cs="Arial"/>
          <w:color w:val="000000"/>
          <w:sz w:val="24"/>
          <w:szCs w:val="24"/>
        </w:rPr>
        <w:t xml:space="preserve">ningún proponente </w:t>
      </w:r>
      <w:r w:rsidR="00DA3260">
        <w:rPr>
          <w:rFonts w:ascii="Arial" w:hAnsi="Arial" w:cs="Arial"/>
          <w:color w:val="000000"/>
          <w:sz w:val="24"/>
          <w:szCs w:val="24"/>
        </w:rPr>
        <w:t xml:space="preserve">se encontraba </w:t>
      </w:r>
      <w:r w:rsidRPr="009433DB">
        <w:rPr>
          <w:rFonts w:ascii="Arial" w:hAnsi="Arial" w:cs="Arial"/>
          <w:color w:val="000000"/>
          <w:sz w:val="24"/>
          <w:szCs w:val="24"/>
        </w:rPr>
        <w:t>habilitado, de donde lo conducente era declarar desierta la invitación pública.</w:t>
      </w:r>
    </w:p>
    <w:p w14:paraId="0E73D566" w14:textId="77777777" w:rsidR="00AC2BEF" w:rsidRDefault="00AC2BEF" w:rsidP="00FE0FF8">
      <w:pPr>
        <w:pStyle w:val="NormalWeb"/>
        <w:spacing w:before="0" w:beforeAutospacing="0" w:after="0" w:afterAutospacing="0"/>
        <w:rPr>
          <w:rFonts w:cs="Arial"/>
          <w:color w:val="000000"/>
          <w:shd w:val="clear" w:color="auto" w:fill="FFFFFF"/>
        </w:rPr>
      </w:pPr>
      <w:r>
        <w:rPr>
          <w:rFonts w:cs="Arial"/>
          <w:color w:val="000000"/>
          <w:shd w:val="clear" w:color="auto" w:fill="FFFFFF"/>
        </w:rPr>
        <w:t xml:space="preserve">Se debe tener presente que </w:t>
      </w:r>
      <w:r w:rsidRPr="009D75AB">
        <w:rPr>
          <w:rFonts w:cs="Arial"/>
          <w:color w:val="000000"/>
          <w:shd w:val="clear" w:color="auto" w:fill="FFFFFF"/>
        </w:rPr>
        <w:t xml:space="preserve">el </w:t>
      </w:r>
      <w:r>
        <w:rPr>
          <w:rFonts w:cs="Arial"/>
          <w:color w:val="000000"/>
          <w:shd w:val="clear" w:color="auto" w:fill="FFFFFF"/>
        </w:rPr>
        <w:t xml:space="preserve">documento de términos de referencia </w:t>
      </w:r>
      <w:r w:rsidRPr="009D75AB">
        <w:rPr>
          <w:rFonts w:cs="Arial"/>
          <w:color w:val="000000"/>
          <w:shd w:val="clear" w:color="auto" w:fill="FFFFFF"/>
        </w:rPr>
        <w:t>constituye el compendio de l</w:t>
      </w:r>
      <w:r>
        <w:rPr>
          <w:rFonts w:cs="Arial"/>
          <w:color w:val="000000"/>
          <w:shd w:val="clear" w:color="auto" w:fill="FFFFFF"/>
        </w:rPr>
        <w:t xml:space="preserve">as reglas </w:t>
      </w:r>
      <w:r w:rsidRPr="009D75AB">
        <w:rPr>
          <w:rFonts w:cs="Arial"/>
          <w:color w:val="000000"/>
          <w:shd w:val="clear" w:color="auto" w:fill="FFFFFF"/>
        </w:rPr>
        <w:t xml:space="preserve">y condiciones </w:t>
      </w:r>
      <w:r w:rsidR="00650798">
        <w:rPr>
          <w:rFonts w:cs="Arial"/>
          <w:color w:val="000000"/>
          <w:shd w:val="clear" w:color="auto" w:fill="FFFFFF"/>
        </w:rPr>
        <w:t>de</w:t>
      </w:r>
      <w:r w:rsidRPr="009D75AB">
        <w:rPr>
          <w:rFonts w:cs="Arial"/>
          <w:color w:val="000000"/>
          <w:shd w:val="clear" w:color="auto" w:fill="FFFFFF"/>
        </w:rPr>
        <w:t xml:space="preserve"> las diversas actuaciones dentro del procedimiento</w:t>
      </w:r>
      <w:r>
        <w:rPr>
          <w:rFonts w:cs="Arial"/>
          <w:color w:val="000000"/>
          <w:shd w:val="clear" w:color="auto" w:fill="FFFFFF"/>
        </w:rPr>
        <w:t xml:space="preserve"> precontractual</w:t>
      </w:r>
      <w:r w:rsidRPr="009D75AB">
        <w:rPr>
          <w:rFonts w:cs="Arial"/>
          <w:color w:val="000000"/>
          <w:shd w:val="clear" w:color="auto" w:fill="FFFFFF"/>
        </w:rPr>
        <w:t>, como</w:t>
      </w:r>
      <w:r>
        <w:rPr>
          <w:rFonts w:cs="Arial"/>
          <w:color w:val="000000"/>
          <w:shd w:val="clear" w:color="auto" w:fill="FFFFFF"/>
        </w:rPr>
        <w:t>, por ejemplo,</w:t>
      </w:r>
      <w:r w:rsidRPr="009D75AB">
        <w:rPr>
          <w:rFonts w:cs="Arial"/>
          <w:color w:val="000000"/>
          <w:shd w:val="clear" w:color="auto" w:fill="FFFFFF"/>
        </w:rPr>
        <w:t xml:space="preserve"> </w:t>
      </w:r>
      <w:r>
        <w:rPr>
          <w:rFonts w:cs="Arial"/>
          <w:color w:val="000000"/>
          <w:shd w:val="clear" w:color="auto" w:fill="FFFFFF"/>
        </w:rPr>
        <w:t xml:space="preserve">aquellas que rigen </w:t>
      </w:r>
      <w:r w:rsidRPr="009D75AB">
        <w:rPr>
          <w:rFonts w:cs="Arial"/>
          <w:color w:val="000000"/>
          <w:shd w:val="clear" w:color="auto" w:fill="FFFFFF"/>
        </w:rPr>
        <w:t>la presentación de las ofertas, la evaluación y calificación de propuestas y la adjudicación del contrato o la declaratoria de desierta de la convocatoria</w:t>
      </w:r>
      <w:r w:rsidR="00C213F3">
        <w:rPr>
          <w:rFonts w:cs="Arial"/>
          <w:color w:val="000000"/>
          <w:shd w:val="clear" w:color="auto" w:fill="FFFFFF"/>
        </w:rPr>
        <w:t>, en su caso</w:t>
      </w:r>
      <w:r w:rsidRPr="009D75AB">
        <w:rPr>
          <w:rStyle w:val="Refdenotaalpie"/>
          <w:rFonts w:cs="Arial"/>
          <w:color w:val="000000"/>
          <w:shd w:val="clear" w:color="auto" w:fill="FFFFFF"/>
        </w:rPr>
        <w:footnoteReference w:id="25"/>
      </w:r>
      <w:r>
        <w:rPr>
          <w:rFonts w:cs="Arial"/>
          <w:color w:val="000000"/>
          <w:shd w:val="clear" w:color="auto" w:fill="FFFFFF"/>
        </w:rPr>
        <w:t xml:space="preserve">. </w:t>
      </w:r>
    </w:p>
    <w:p w14:paraId="0CCE590A" w14:textId="77777777" w:rsidR="00AC2BEF" w:rsidRDefault="00AC2BEF" w:rsidP="00FE0FF8">
      <w:pPr>
        <w:pStyle w:val="NormalWeb"/>
        <w:spacing w:before="0" w:beforeAutospacing="0" w:after="0" w:afterAutospacing="0"/>
        <w:rPr>
          <w:rFonts w:cs="Arial"/>
          <w:color w:val="000000"/>
          <w:shd w:val="clear" w:color="auto" w:fill="FFFFFF"/>
        </w:rPr>
      </w:pPr>
      <w:r w:rsidRPr="0015379B">
        <w:rPr>
          <w:rFonts w:cs="Arial"/>
          <w:color w:val="000000"/>
          <w:shd w:val="clear" w:color="auto" w:fill="FFFFFF"/>
        </w:rPr>
        <w:t xml:space="preserve">En este orden de ideas, se </w:t>
      </w:r>
      <w:r w:rsidRPr="00C213F3">
        <w:rPr>
          <w:rFonts w:cs="Arial"/>
          <w:color w:val="000000"/>
          <w:shd w:val="clear" w:color="auto" w:fill="FFFFFF"/>
        </w:rPr>
        <w:t xml:space="preserve">advierte </w:t>
      </w:r>
      <w:r w:rsidR="00DA3260">
        <w:rPr>
          <w:rFonts w:cs="Arial"/>
          <w:color w:val="000000"/>
          <w:shd w:val="clear" w:color="auto" w:fill="FFFFFF"/>
        </w:rPr>
        <w:t xml:space="preserve">que </w:t>
      </w:r>
      <w:r w:rsidRPr="00C213F3">
        <w:rPr>
          <w:rFonts w:cs="Arial"/>
          <w:color w:val="000000"/>
          <w:shd w:val="clear" w:color="auto" w:fill="FFFFFF"/>
        </w:rPr>
        <w:t xml:space="preserve">el pliego de condiciones es ley del procedimiento de contratación </w:t>
      </w:r>
      <w:r w:rsidRPr="0015379B">
        <w:rPr>
          <w:rFonts w:cs="Arial"/>
          <w:color w:val="000000"/>
          <w:shd w:val="clear" w:color="auto" w:fill="FFFFFF"/>
        </w:rPr>
        <w:t>y</w:t>
      </w:r>
      <w:r w:rsidR="00DA3260">
        <w:rPr>
          <w:rFonts w:cs="Arial"/>
          <w:color w:val="000000"/>
          <w:shd w:val="clear" w:color="auto" w:fill="FFFFFF"/>
        </w:rPr>
        <w:t>,</w:t>
      </w:r>
      <w:r w:rsidRPr="0015379B">
        <w:rPr>
          <w:rFonts w:cs="Arial"/>
          <w:color w:val="000000"/>
          <w:shd w:val="clear" w:color="auto" w:fill="FFFFFF"/>
        </w:rPr>
        <w:t xml:space="preserve"> por ello, </w:t>
      </w:r>
      <w:r>
        <w:rPr>
          <w:rFonts w:cs="Arial"/>
          <w:color w:val="000000"/>
          <w:shd w:val="clear" w:color="auto" w:fill="FFFFFF"/>
        </w:rPr>
        <w:t xml:space="preserve">constituye una </w:t>
      </w:r>
      <w:r w:rsidRPr="0015379B">
        <w:rPr>
          <w:rFonts w:cs="Arial"/>
          <w:color w:val="000000"/>
          <w:shd w:val="clear" w:color="auto" w:fill="FFFFFF"/>
        </w:rPr>
        <w:t xml:space="preserve">regla </w:t>
      </w:r>
      <w:r>
        <w:rPr>
          <w:rFonts w:cs="Arial"/>
          <w:color w:val="000000"/>
          <w:shd w:val="clear" w:color="auto" w:fill="FFFFFF"/>
        </w:rPr>
        <w:t xml:space="preserve">básica para </w:t>
      </w:r>
      <w:r w:rsidRPr="0015379B">
        <w:rPr>
          <w:rFonts w:cs="Arial"/>
          <w:color w:val="000000"/>
          <w:shd w:val="clear" w:color="auto" w:fill="FFFFFF"/>
        </w:rPr>
        <w:t>el análisis de legalidad del acto de adjudicación, o</w:t>
      </w:r>
      <w:r w:rsidR="004856D7">
        <w:rPr>
          <w:rFonts w:cs="Arial"/>
          <w:color w:val="000000"/>
          <w:shd w:val="clear" w:color="auto" w:fill="FFFFFF"/>
        </w:rPr>
        <w:t>,</w:t>
      </w:r>
      <w:r w:rsidRPr="0015379B">
        <w:rPr>
          <w:rFonts w:cs="Arial"/>
          <w:color w:val="000000"/>
          <w:shd w:val="clear" w:color="auto" w:fill="FFFFFF"/>
        </w:rPr>
        <w:t xml:space="preserve"> </w:t>
      </w:r>
      <w:r w:rsidR="004856D7">
        <w:rPr>
          <w:rFonts w:cs="Arial"/>
          <w:color w:val="000000"/>
          <w:shd w:val="clear" w:color="auto" w:fill="FFFFFF"/>
        </w:rPr>
        <w:t xml:space="preserve">como en este caso, </w:t>
      </w:r>
      <w:r w:rsidRPr="0015379B">
        <w:rPr>
          <w:rFonts w:cs="Arial"/>
          <w:color w:val="000000"/>
          <w:shd w:val="clear" w:color="auto" w:fill="FFFFFF"/>
        </w:rPr>
        <w:t>del acto de declaratoria de desierta</w:t>
      </w:r>
      <w:r>
        <w:rPr>
          <w:rFonts w:cs="Arial"/>
          <w:color w:val="000000"/>
          <w:shd w:val="clear" w:color="auto" w:fill="FFFFFF"/>
        </w:rPr>
        <w:t>.</w:t>
      </w:r>
    </w:p>
    <w:p w14:paraId="633A83D6" w14:textId="77777777" w:rsidR="00033E3C" w:rsidRDefault="00AC2BEF" w:rsidP="00FE0FF8">
      <w:pPr>
        <w:pStyle w:val="NormalWeb"/>
        <w:spacing w:before="0" w:beforeAutospacing="0" w:after="0" w:afterAutospacing="0"/>
        <w:rPr>
          <w:rFonts w:cs="Arial"/>
          <w:color w:val="000000"/>
          <w:shd w:val="clear" w:color="auto" w:fill="FFFFFF"/>
        </w:rPr>
      </w:pPr>
      <w:r>
        <w:rPr>
          <w:rFonts w:cs="Arial"/>
          <w:color w:val="000000"/>
          <w:shd w:val="clear" w:color="auto" w:fill="FFFFFF"/>
        </w:rPr>
        <w:t xml:space="preserve">Así las cosas, </w:t>
      </w:r>
      <w:r w:rsidRPr="0015379B">
        <w:rPr>
          <w:rFonts w:cs="Arial"/>
          <w:color w:val="000000"/>
          <w:shd w:val="clear" w:color="auto" w:fill="FFFFFF"/>
        </w:rPr>
        <w:t>el estudio de</w:t>
      </w:r>
      <w:r w:rsidR="00033E3C">
        <w:rPr>
          <w:rFonts w:cs="Arial"/>
          <w:color w:val="000000"/>
          <w:shd w:val="clear" w:color="auto" w:fill="FFFFFF"/>
        </w:rPr>
        <w:t xml:space="preserve"> las razones por las que se impugnó la declaratoria de desierta tiene que </w:t>
      </w:r>
      <w:r w:rsidR="001372D4">
        <w:rPr>
          <w:rFonts w:cs="Arial"/>
          <w:color w:val="000000"/>
          <w:shd w:val="clear" w:color="auto" w:fill="FFFFFF"/>
        </w:rPr>
        <w:t xml:space="preserve">pasar por </w:t>
      </w:r>
      <w:r w:rsidR="004856D7">
        <w:rPr>
          <w:rFonts w:cs="Arial"/>
          <w:color w:val="000000"/>
          <w:shd w:val="clear" w:color="auto" w:fill="FFFFFF"/>
        </w:rPr>
        <w:t xml:space="preserve">el análisis de </w:t>
      </w:r>
      <w:r w:rsidRPr="0015379B">
        <w:rPr>
          <w:rFonts w:cs="Arial"/>
          <w:color w:val="000000"/>
          <w:shd w:val="clear" w:color="auto" w:fill="FFFFFF"/>
        </w:rPr>
        <w:t xml:space="preserve">las reglas del pliego de condiciones. </w:t>
      </w:r>
    </w:p>
    <w:p w14:paraId="56E09337" w14:textId="77777777" w:rsidR="00AC2BEF" w:rsidRDefault="00AC2BEF" w:rsidP="00FE0FF8">
      <w:pPr>
        <w:pStyle w:val="NormalWeb"/>
        <w:spacing w:before="0" w:beforeAutospacing="0" w:after="0" w:afterAutospacing="0"/>
        <w:rPr>
          <w:rFonts w:cs="Arial"/>
          <w:color w:val="000000"/>
          <w:shd w:val="clear" w:color="auto" w:fill="FFFFFF"/>
        </w:rPr>
      </w:pPr>
      <w:r w:rsidRPr="0015379B">
        <w:rPr>
          <w:rFonts w:cs="Arial"/>
          <w:color w:val="000000"/>
          <w:shd w:val="clear" w:color="auto" w:fill="FFFFFF"/>
        </w:rPr>
        <w:lastRenderedPageBreak/>
        <w:t>Se pone de presente</w:t>
      </w:r>
      <w:r w:rsidR="00417650">
        <w:rPr>
          <w:rFonts w:cs="Arial"/>
          <w:color w:val="000000"/>
          <w:shd w:val="clear" w:color="auto" w:fill="FFFFFF"/>
        </w:rPr>
        <w:t>,</w:t>
      </w:r>
      <w:r w:rsidRPr="0015379B">
        <w:rPr>
          <w:rFonts w:cs="Arial"/>
          <w:color w:val="000000"/>
          <w:shd w:val="clear" w:color="auto" w:fill="FFFFFF"/>
        </w:rPr>
        <w:t xml:space="preserve"> igualmente</w:t>
      </w:r>
      <w:r w:rsidR="00417650">
        <w:rPr>
          <w:rFonts w:cs="Arial"/>
          <w:color w:val="000000"/>
          <w:shd w:val="clear" w:color="auto" w:fill="FFFFFF"/>
        </w:rPr>
        <w:t>,</w:t>
      </w:r>
      <w:r w:rsidRPr="0015379B">
        <w:rPr>
          <w:rFonts w:cs="Arial"/>
          <w:color w:val="000000"/>
          <w:shd w:val="clear" w:color="auto" w:fill="FFFFFF"/>
        </w:rPr>
        <w:t xml:space="preserve"> la presunción de legalidad que ampara el acto de declaratoria desierta, la cual debe ser </w:t>
      </w:r>
      <w:r w:rsidR="00DA3260">
        <w:rPr>
          <w:rFonts w:cs="Arial"/>
          <w:color w:val="000000"/>
          <w:shd w:val="clear" w:color="auto" w:fill="FFFFFF"/>
        </w:rPr>
        <w:t xml:space="preserve">desvirtuada </w:t>
      </w:r>
      <w:r w:rsidR="00033E3C">
        <w:rPr>
          <w:rFonts w:cs="Arial"/>
          <w:color w:val="000000"/>
          <w:shd w:val="clear" w:color="auto" w:fill="FFFFFF"/>
        </w:rPr>
        <w:t xml:space="preserve">por la demandante, </w:t>
      </w:r>
      <w:r w:rsidR="00650798">
        <w:rPr>
          <w:rFonts w:cs="Arial"/>
          <w:color w:val="000000"/>
          <w:shd w:val="clear" w:color="auto" w:fill="FFFFFF"/>
        </w:rPr>
        <w:t xml:space="preserve">con fundamento en las pruebas que acreditan los supuestos de hecho que expone en la demanda, </w:t>
      </w:r>
      <w:r w:rsidRPr="0015379B">
        <w:rPr>
          <w:rFonts w:cs="Arial"/>
          <w:color w:val="000000"/>
          <w:shd w:val="clear" w:color="auto" w:fill="FFFFFF"/>
        </w:rPr>
        <w:t>para salir avante con la pretensión de nulidad planteada</w:t>
      </w:r>
      <w:r w:rsidR="004F6C9F">
        <w:rPr>
          <w:rFonts w:cs="Arial"/>
          <w:color w:val="000000"/>
          <w:shd w:val="clear" w:color="auto" w:fill="FFFFFF"/>
        </w:rPr>
        <w:t>,</w:t>
      </w:r>
      <w:r w:rsidRPr="0015379B">
        <w:rPr>
          <w:rFonts w:cs="Arial"/>
          <w:color w:val="000000"/>
          <w:shd w:val="clear" w:color="auto" w:fill="FFFFFF"/>
        </w:rPr>
        <w:t xml:space="preserve"> </w:t>
      </w:r>
      <w:r w:rsidR="00033E3C">
        <w:rPr>
          <w:rFonts w:cs="Arial"/>
          <w:color w:val="000000"/>
          <w:shd w:val="clear" w:color="auto" w:fill="FFFFFF"/>
        </w:rPr>
        <w:t>en este caso</w:t>
      </w:r>
      <w:r w:rsidR="004F6C9F">
        <w:rPr>
          <w:rFonts w:cs="Arial"/>
          <w:color w:val="000000"/>
          <w:shd w:val="clear" w:color="auto" w:fill="FFFFFF"/>
        </w:rPr>
        <w:t>,</w:t>
      </w:r>
      <w:r w:rsidR="00033E3C">
        <w:rPr>
          <w:rFonts w:cs="Arial"/>
          <w:color w:val="000000"/>
          <w:shd w:val="clear" w:color="auto" w:fill="FFFFFF"/>
        </w:rPr>
        <w:t xml:space="preserve"> </w:t>
      </w:r>
      <w:r w:rsidRPr="0015379B">
        <w:rPr>
          <w:rFonts w:cs="Arial"/>
          <w:color w:val="000000"/>
          <w:shd w:val="clear" w:color="auto" w:fill="FFFFFF"/>
        </w:rPr>
        <w:t xml:space="preserve">mediante </w:t>
      </w:r>
      <w:r w:rsidR="001372D4">
        <w:rPr>
          <w:rFonts w:cs="Arial"/>
          <w:color w:val="000000"/>
          <w:shd w:val="clear" w:color="auto" w:fill="FFFFFF"/>
        </w:rPr>
        <w:t xml:space="preserve">la prueba de </w:t>
      </w:r>
      <w:r w:rsidRPr="0015379B">
        <w:rPr>
          <w:rFonts w:cs="Arial"/>
          <w:color w:val="000000"/>
          <w:shd w:val="clear" w:color="auto" w:fill="FFFFFF"/>
        </w:rPr>
        <w:t>la</w:t>
      </w:r>
      <w:r w:rsidR="00033E3C">
        <w:rPr>
          <w:rFonts w:cs="Arial"/>
          <w:color w:val="000000"/>
          <w:shd w:val="clear" w:color="auto" w:fill="FFFFFF"/>
        </w:rPr>
        <w:t xml:space="preserve"> forma como </w:t>
      </w:r>
      <w:r w:rsidR="001372D4">
        <w:rPr>
          <w:rFonts w:cs="Arial"/>
          <w:color w:val="000000"/>
          <w:shd w:val="clear" w:color="auto" w:fill="FFFFFF"/>
        </w:rPr>
        <w:t xml:space="preserve">supuestamente </w:t>
      </w:r>
      <w:r w:rsidR="00033E3C">
        <w:rPr>
          <w:rFonts w:cs="Arial"/>
          <w:color w:val="000000"/>
          <w:shd w:val="clear" w:color="auto" w:fill="FFFFFF"/>
        </w:rPr>
        <w:t>fueron transgredidas la</w:t>
      </w:r>
      <w:r w:rsidRPr="0015379B">
        <w:rPr>
          <w:rFonts w:cs="Arial"/>
          <w:color w:val="000000"/>
          <w:shd w:val="clear" w:color="auto" w:fill="FFFFFF"/>
        </w:rPr>
        <w:t xml:space="preserve">s reglas del pliego de condiciones. </w:t>
      </w:r>
    </w:p>
    <w:p w14:paraId="007C8318" w14:textId="77777777" w:rsidR="00BC2DBE" w:rsidRPr="0015379B" w:rsidRDefault="00BC2DBE" w:rsidP="00FE0FF8">
      <w:pPr>
        <w:pStyle w:val="NormalWeb"/>
        <w:spacing w:before="0" w:beforeAutospacing="0" w:after="0" w:afterAutospacing="0"/>
        <w:rPr>
          <w:rFonts w:cs="Arial"/>
          <w:color w:val="000000"/>
          <w:shd w:val="clear" w:color="auto" w:fill="FFFFFF"/>
        </w:rPr>
      </w:pPr>
    </w:p>
    <w:p w14:paraId="43BDE897" w14:textId="77777777" w:rsidR="00645402" w:rsidRDefault="004856D7" w:rsidP="00FE0FF8">
      <w:pPr>
        <w:pStyle w:val="Textonotapie"/>
        <w:rPr>
          <w:color w:val="000000"/>
          <w:sz w:val="24"/>
          <w:szCs w:val="24"/>
        </w:rPr>
      </w:pPr>
      <w:r>
        <w:rPr>
          <w:color w:val="000000"/>
          <w:sz w:val="24"/>
          <w:szCs w:val="24"/>
        </w:rPr>
        <w:t>E</w:t>
      </w:r>
      <w:r w:rsidR="00645402">
        <w:rPr>
          <w:color w:val="000000"/>
          <w:sz w:val="24"/>
          <w:szCs w:val="24"/>
        </w:rPr>
        <w:t xml:space="preserve">n el relación con </w:t>
      </w:r>
      <w:r>
        <w:rPr>
          <w:color w:val="000000"/>
          <w:sz w:val="24"/>
          <w:szCs w:val="24"/>
        </w:rPr>
        <w:t xml:space="preserve">la falencia del </w:t>
      </w:r>
      <w:r w:rsidR="00645402">
        <w:rPr>
          <w:color w:val="000000"/>
          <w:sz w:val="24"/>
          <w:szCs w:val="24"/>
        </w:rPr>
        <w:t>acervo probatorio</w:t>
      </w:r>
      <w:r w:rsidR="00DA3260">
        <w:rPr>
          <w:color w:val="000000"/>
          <w:sz w:val="24"/>
          <w:szCs w:val="24"/>
        </w:rPr>
        <w:t>,</w:t>
      </w:r>
      <w:r w:rsidR="00645402">
        <w:rPr>
          <w:color w:val="000000"/>
          <w:sz w:val="24"/>
          <w:szCs w:val="24"/>
        </w:rPr>
        <w:t xml:space="preserve"> </w:t>
      </w:r>
      <w:r>
        <w:rPr>
          <w:color w:val="000000"/>
          <w:sz w:val="24"/>
          <w:szCs w:val="24"/>
        </w:rPr>
        <w:t xml:space="preserve">en este caso, </w:t>
      </w:r>
      <w:r w:rsidR="00645402">
        <w:rPr>
          <w:color w:val="000000"/>
          <w:sz w:val="24"/>
          <w:szCs w:val="24"/>
        </w:rPr>
        <w:t xml:space="preserve">resulta útil hacer hincapié en los </w:t>
      </w:r>
      <w:r w:rsidR="00AD2CC4">
        <w:rPr>
          <w:color w:val="000000"/>
          <w:sz w:val="24"/>
          <w:szCs w:val="24"/>
        </w:rPr>
        <w:t xml:space="preserve">siguientes </w:t>
      </w:r>
      <w:r w:rsidR="00645402">
        <w:rPr>
          <w:color w:val="000000"/>
          <w:sz w:val="24"/>
          <w:szCs w:val="24"/>
        </w:rPr>
        <w:t>documentos que no se allegaron, pero que la demandante debía tener en su poder</w:t>
      </w:r>
      <w:r w:rsidR="00605984">
        <w:rPr>
          <w:rStyle w:val="Refdenotaalpie"/>
          <w:color w:val="000000"/>
          <w:sz w:val="24"/>
          <w:szCs w:val="24"/>
        </w:rPr>
        <w:footnoteReference w:id="26"/>
      </w:r>
      <w:r w:rsidR="00645402">
        <w:rPr>
          <w:color w:val="000000"/>
          <w:sz w:val="24"/>
          <w:szCs w:val="24"/>
        </w:rPr>
        <w:t>, en original o en copia simple</w:t>
      </w:r>
      <w:r w:rsidR="00AD2CC4">
        <w:rPr>
          <w:color w:val="000000"/>
          <w:sz w:val="24"/>
          <w:szCs w:val="24"/>
        </w:rPr>
        <w:t xml:space="preserve"> y, por tanto, estaba en posibilidad de aportar</w:t>
      </w:r>
      <w:r w:rsidR="00645402">
        <w:rPr>
          <w:color w:val="000000"/>
          <w:sz w:val="24"/>
          <w:szCs w:val="24"/>
        </w:rPr>
        <w:t xml:space="preserve">: </w:t>
      </w:r>
      <w:r w:rsidR="00645402" w:rsidRPr="00605984">
        <w:rPr>
          <w:b/>
          <w:color w:val="000000"/>
          <w:sz w:val="24"/>
          <w:szCs w:val="24"/>
        </w:rPr>
        <w:t>i)</w:t>
      </w:r>
      <w:r w:rsidR="00645402">
        <w:rPr>
          <w:color w:val="000000"/>
          <w:sz w:val="24"/>
          <w:szCs w:val="24"/>
        </w:rPr>
        <w:t xml:space="preserve"> Los términos de referencia de la invitación pública en la que participó; </w:t>
      </w:r>
      <w:r w:rsidR="00645402" w:rsidRPr="005B2335">
        <w:rPr>
          <w:b/>
          <w:color w:val="000000"/>
          <w:sz w:val="24"/>
          <w:szCs w:val="24"/>
        </w:rPr>
        <w:t>ii)</w:t>
      </w:r>
      <w:r w:rsidR="00645402">
        <w:rPr>
          <w:color w:val="000000"/>
          <w:sz w:val="24"/>
          <w:szCs w:val="24"/>
        </w:rPr>
        <w:t xml:space="preserve"> la propuesta que presentó con sus anexos, </w:t>
      </w:r>
      <w:r w:rsidR="00645402" w:rsidRPr="005B2335">
        <w:rPr>
          <w:b/>
          <w:color w:val="000000"/>
          <w:sz w:val="24"/>
          <w:szCs w:val="24"/>
        </w:rPr>
        <w:t>iii)</w:t>
      </w:r>
      <w:r w:rsidR="00645402">
        <w:rPr>
          <w:color w:val="000000"/>
          <w:sz w:val="24"/>
          <w:szCs w:val="24"/>
        </w:rPr>
        <w:t xml:space="preserve"> las comunicaciones que recibió de la fiduciaria solicitándole aclaraciones y </w:t>
      </w:r>
      <w:r w:rsidR="00645402" w:rsidRPr="005B2335">
        <w:rPr>
          <w:b/>
          <w:color w:val="000000"/>
          <w:sz w:val="24"/>
          <w:szCs w:val="24"/>
        </w:rPr>
        <w:t xml:space="preserve">iv) </w:t>
      </w:r>
      <w:r w:rsidR="00645402">
        <w:rPr>
          <w:color w:val="000000"/>
          <w:sz w:val="24"/>
          <w:szCs w:val="24"/>
        </w:rPr>
        <w:t>las respuestas que entregó a esa entidad para efectos de atender los requerimientos en el procedimiento de contratación y sus correspondientes anexos.</w:t>
      </w:r>
    </w:p>
    <w:p w14:paraId="6790BD86" w14:textId="77777777" w:rsidR="00645402" w:rsidRDefault="00645402" w:rsidP="00FE0FF8">
      <w:pPr>
        <w:spacing w:line="360" w:lineRule="auto"/>
        <w:contextualSpacing/>
        <w:rPr>
          <w:rFonts w:ascii="Arial" w:eastAsia="Times New Roman" w:hAnsi="Arial" w:cs="Arial"/>
          <w:sz w:val="24"/>
          <w:szCs w:val="24"/>
          <w:lang w:val="es-MX" w:eastAsia="es-ES"/>
        </w:rPr>
      </w:pPr>
    </w:p>
    <w:p w14:paraId="36C3ACB9" w14:textId="77777777" w:rsidR="004F6C9F" w:rsidRDefault="004F6C9F" w:rsidP="00FE0FF8">
      <w:pPr>
        <w:spacing w:line="360" w:lineRule="auto"/>
        <w:contextualSpacing/>
        <w:rPr>
          <w:rFonts w:ascii="Arial" w:eastAsia="Times New Roman" w:hAnsi="Arial" w:cs="Arial"/>
          <w:sz w:val="24"/>
          <w:szCs w:val="24"/>
          <w:lang w:val="es-MX" w:eastAsia="es-ES"/>
        </w:rPr>
      </w:pPr>
      <w:r>
        <w:rPr>
          <w:rFonts w:ascii="Arial" w:eastAsia="Times New Roman" w:hAnsi="Arial" w:cs="Arial"/>
          <w:sz w:val="24"/>
          <w:szCs w:val="24"/>
          <w:lang w:val="es-MX" w:eastAsia="es-ES"/>
        </w:rPr>
        <w:t>En el asunto concreto tiene que concluirse</w:t>
      </w:r>
      <w:r w:rsidR="001372D4">
        <w:rPr>
          <w:rFonts w:ascii="Arial" w:eastAsia="Times New Roman" w:hAnsi="Arial" w:cs="Arial"/>
          <w:sz w:val="24"/>
          <w:szCs w:val="24"/>
          <w:lang w:val="es-MX" w:eastAsia="es-ES"/>
        </w:rPr>
        <w:t xml:space="preserve">, por falta de </w:t>
      </w:r>
      <w:r w:rsidR="00645402">
        <w:rPr>
          <w:rFonts w:ascii="Arial" w:eastAsia="Times New Roman" w:hAnsi="Arial" w:cs="Arial"/>
          <w:sz w:val="24"/>
          <w:szCs w:val="24"/>
          <w:lang w:val="es-MX" w:eastAsia="es-ES"/>
        </w:rPr>
        <w:t xml:space="preserve">la </w:t>
      </w:r>
      <w:r w:rsidR="001372D4">
        <w:rPr>
          <w:rFonts w:ascii="Arial" w:eastAsia="Times New Roman" w:hAnsi="Arial" w:cs="Arial"/>
          <w:sz w:val="24"/>
          <w:szCs w:val="24"/>
          <w:lang w:val="es-MX" w:eastAsia="es-ES"/>
        </w:rPr>
        <w:t>prueba</w:t>
      </w:r>
      <w:r w:rsidR="00645402">
        <w:rPr>
          <w:rFonts w:ascii="Arial" w:eastAsia="Times New Roman" w:hAnsi="Arial" w:cs="Arial"/>
          <w:sz w:val="24"/>
          <w:szCs w:val="24"/>
          <w:lang w:val="es-MX" w:eastAsia="es-ES"/>
        </w:rPr>
        <w:t xml:space="preserve"> a su cargo</w:t>
      </w:r>
      <w:r w:rsidR="001372D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que la demandante no acreditó que la declaratoria de desierta estuviera apartada de la ley ni del pliego de condiciones</w:t>
      </w:r>
      <w:r w:rsidR="001372D4">
        <w:rPr>
          <w:rFonts w:ascii="Arial" w:eastAsia="Times New Roman" w:hAnsi="Arial" w:cs="Arial"/>
          <w:sz w:val="24"/>
          <w:szCs w:val="24"/>
          <w:lang w:val="es-MX" w:eastAsia="es-ES"/>
        </w:rPr>
        <w:t>.</w:t>
      </w:r>
    </w:p>
    <w:p w14:paraId="0BC61664" w14:textId="77777777" w:rsidR="004F6C9F" w:rsidRDefault="004F6C9F" w:rsidP="00FE0FF8">
      <w:pPr>
        <w:spacing w:line="360" w:lineRule="auto"/>
        <w:contextualSpacing/>
        <w:rPr>
          <w:rFonts w:ascii="Arial" w:eastAsia="Times New Roman" w:hAnsi="Arial" w:cs="Arial"/>
          <w:sz w:val="24"/>
          <w:szCs w:val="24"/>
          <w:lang w:val="es-MX" w:eastAsia="es-ES"/>
        </w:rPr>
      </w:pPr>
    </w:p>
    <w:p w14:paraId="4955C45B" w14:textId="77777777" w:rsidR="00BD72B3" w:rsidRDefault="004F6C9F" w:rsidP="00FE0FF8">
      <w:pPr>
        <w:spacing w:line="360" w:lineRule="auto"/>
        <w:rPr>
          <w:rFonts w:ascii="Arial" w:hAnsi="Arial" w:cs="Arial"/>
          <w:color w:val="000000"/>
          <w:sz w:val="24"/>
          <w:szCs w:val="24"/>
        </w:rPr>
      </w:pPr>
      <w:r>
        <w:rPr>
          <w:rFonts w:ascii="Arial" w:hAnsi="Arial" w:cs="Arial"/>
          <w:color w:val="000000"/>
          <w:sz w:val="24"/>
          <w:szCs w:val="24"/>
        </w:rPr>
        <w:t>En este orden de ideas, s</w:t>
      </w:r>
      <w:r w:rsidR="009E497E" w:rsidRPr="009433DB">
        <w:rPr>
          <w:rFonts w:ascii="Arial" w:hAnsi="Arial" w:cs="Arial"/>
          <w:color w:val="000000"/>
          <w:sz w:val="24"/>
          <w:szCs w:val="24"/>
        </w:rPr>
        <w:t xml:space="preserve">e </w:t>
      </w:r>
      <w:r>
        <w:rPr>
          <w:rFonts w:ascii="Arial" w:hAnsi="Arial" w:cs="Arial"/>
          <w:color w:val="000000"/>
          <w:sz w:val="24"/>
          <w:szCs w:val="24"/>
        </w:rPr>
        <w:t xml:space="preserve">tiene que aceptar </w:t>
      </w:r>
      <w:r w:rsidR="009E497E" w:rsidRPr="009433DB">
        <w:rPr>
          <w:rFonts w:ascii="Arial" w:hAnsi="Arial" w:cs="Arial"/>
          <w:color w:val="000000"/>
          <w:sz w:val="24"/>
          <w:szCs w:val="24"/>
        </w:rPr>
        <w:t>lo reseñado en el acto administrativo acusado, toda vez que en virtud del principio de economía</w:t>
      </w:r>
      <w:r w:rsidR="00BD72B3">
        <w:rPr>
          <w:rFonts w:ascii="Arial" w:hAnsi="Arial" w:cs="Arial"/>
          <w:color w:val="000000"/>
          <w:sz w:val="24"/>
          <w:szCs w:val="24"/>
        </w:rPr>
        <w:t>,</w:t>
      </w:r>
      <w:r w:rsidR="009E497E" w:rsidRPr="009433DB">
        <w:rPr>
          <w:rFonts w:ascii="Arial" w:hAnsi="Arial" w:cs="Arial"/>
          <w:color w:val="000000"/>
          <w:sz w:val="24"/>
          <w:szCs w:val="24"/>
        </w:rPr>
        <w:t xml:space="preserve"> </w:t>
      </w:r>
      <w:r w:rsidR="002A0586">
        <w:rPr>
          <w:rFonts w:ascii="Arial" w:hAnsi="Arial" w:cs="Arial"/>
          <w:color w:val="000000"/>
          <w:sz w:val="24"/>
          <w:szCs w:val="24"/>
        </w:rPr>
        <w:t>consagrado en el artículo 25</w:t>
      </w:r>
      <w:r w:rsidR="00BD72B3">
        <w:rPr>
          <w:rFonts w:ascii="Arial" w:hAnsi="Arial" w:cs="Arial"/>
          <w:color w:val="000000"/>
          <w:sz w:val="24"/>
          <w:szCs w:val="24"/>
        </w:rPr>
        <w:t xml:space="preserve">, numeral </w:t>
      </w:r>
      <w:r w:rsidR="002A0586">
        <w:rPr>
          <w:rFonts w:ascii="Arial" w:hAnsi="Arial" w:cs="Arial"/>
          <w:color w:val="000000"/>
          <w:sz w:val="24"/>
          <w:szCs w:val="24"/>
        </w:rPr>
        <w:t>18</w:t>
      </w:r>
      <w:r w:rsidR="00BD72B3">
        <w:rPr>
          <w:rFonts w:ascii="Arial" w:hAnsi="Arial" w:cs="Arial"/>
          <w:color w:val="000000"/>
          <w:sz w:val="24"/>
          <w:szCs w:val="24"/>
        </w:rPr>
        <w:t xml:space="preserve"> de la Ley 80 de 1993</w:t>
      </w:r>
      <w:r w:rsidR="00BD72B3" w:rsidRPr="009433DB">
        <w:rPr>
          <w:rStyle w:val="Refdenotaalpie"/>
          <w:rFonts w:ascii="Arial" w:hAnsi="Arial" w:cs="Arial"/>
          <w:color w:val="000000"/>
          <w:sz w:val="24"/>
          <w:szCs w:val="24"/>
        </w:rPr>
        <w:footnoteReference w:id="27"/>
      </w:r>
      <w:r w:rsidR="00BD72B3">
        <w:rPr>
          <w:rFonts w:ascii="Arial" w:hAnsi="Arial" w:cs="Arial"/>
          <w:color w:val="000000"/>
          <w:sz w:val="24"/>
          <w:szCs w:val="24"/>
        </w:rPr>
        <w:t xml:space="preserve">, </w:t>
      </w:r>
      <w:r w:rsidR="009E497E" w:rsidRPr="009433DB">
        <w:rPr>
          <w:rFonts w:ascii="Arial" w:hAnsi="Arial" w:cs="Arial"/>
          <w:color w:val="000000"/>
          <w:sz w:val="24"/>
          <w:szCs w:val="24"/>
        </w:rPr>
        <w:t xml:space="preserve">podía declararse desierto el procedimiento frente a la imposibilidad de realizar una comparación objetiva de </w:t>
      </w:r>
      <w:r w:rsidR="0043390B">
        <w:rPr>
          <w:rFonts w:ascii="Arial" w:hAnsi="Arial" w:cs="Arial"/>
          <w:color w:val="000000"/>
          <w:sz w:val="24"/>
          <w:szCs w:val="24"/>
        </w:rPr>
        <w:t xml:space="preserve">las </w:t>
      </w:r>
      <w:r w:rsidR="009E497E" w:rsidRPr="009433DB">
        <w:rPr>
          <w:rFonts w:ascii="Arial" w:hAnsi="Arial" w:cs="Arial"/>
          <w:color w:val="000000"/>
          <w:sz w:val="24"/>
          <w:szCs w:val="24"/>
        </w:rPr>
        <w:t>propuestas</w:t>
      </w:r>
      <w:r w:rsidR="002A0586">
        <w:rPr>
          <w:rFonts w:ascii="Arial" w:hAnsi="Arial" w:cs="Arial"/>
          <w:color w:val="000000"/>
          <w:sz w:val="24"/>
          <w:szCs w:val="24"/>
        </w:rPr>
        <w:t xml:space="preserve">. </w:t>
      </w:r>
    </w:p>
    <w:p w14:paraId="7A5AC294" w14:textId="77777777" w:rsidR="00BD72B3" w:rsidRDefault="00BD72B3" w:rsidP="00FE0FF8">
      <w:pPr>
        <w:spacing w:line="360" w:lineRule="auto"/>
        <w:rPr>
          <w:rFonts w:ascii="Arial" w:hAnsi="Arial" w:cs="Arial"/>
          <w:color w:val="000000"/>
          <w:sz w:val="24"/>
          <w:szCs w:val="24"/>
        </w:rPr>
      </w:pPr>
    </w:p>
    <w:p w14:paraId="06E79AB6" w14:textId="77777777" w:rsidR="0075000D" w:rsidRDefault="002A0586" w:rsidP="00FE0FF8">
      <w:pPr>
        <w:spacing w:line="360" w:lineRule="auto"/>
        <w:rPr>
          <w:rFonts w:ascii="Arial" w:hAnsi="Arial" w:cs="Arial"/>
          <w:color w:val="000000"/>
          <w:sz w:val="24"/>
          <w:szCs w:val="24"/>
        </w:rPr>
      </w:pPr>
      <w:r>
        <w:rPr>
          <w:rFonts w:ascii="Arial" w:hAnsi="Arial" w:cs="Arial"/>
          <w:color w:val="000000"/>
          <w:sz w:val="24"/>
          <w:szCs w:val="24"/>
        </w:rPr>
        <w:lastRenderedPageBreak/>
        <w:t>De</w:t>
      </w:r>
      <w:r w:rsidR="009E497E" w:rsidRPr="009433DB">
        <w:rPr>
          <w:rFonts w:ascii="Arial" w:hAnsi="Arial" w:cs="Arial"/>
          <w:color w:val="000000"/>
          <w:sz w:val="24"/>
          <w:szCs w:val="24"/>
        </w:rPr>
        <w:t xml:space="preserve"> acuerdo con los </w:t>
      </w:r>
      <w:r>
        <w:rPr>
          <w:rFonts w:ascii="Arial" w:hAnsi="Arial" w:cs="Arial"/>
          <w:color w:val="000000"/>
          <w:sz w:val="24"/>
          <w:szCs w:val="24"/>
        </w:rPr>
        <w:t xml:space="preserve">informes y consideraciones que aparecen en el acto acusado, </w:t>
      </w:r>
      <w:r w:rsidR="009E497E" w:rsidRPr="009433DB">
        <w:rPr>
          <w:rFonts w:ascii="Arial" w:hAnsi="Arial" w:cs="Arial"/>
          <w:color w:val="000000"/>
          <w:sz w:val="24"/>
          <w:szCs w:val="24"/>
        </w:rPr>
        <w:t xml:space="preserve">ninguna propuesta </w:t>
      </w:r>
      <w:r w:rsidR="00F03365">
        <w:rPr>
          <w:rFonts w:ascii="Arial" w:hAnsi="Arial" w:cs="Arial"/>
          <w:color w:val="000000"/>
          <w:sz w:val="24"/>
          <w:szCs w:val="24"/>
        </w:rPr>
        <w:t xml:space="preserve">cumplió con </w:t>
      </w:r>
      <w:r w:rsidR="009E497E" w:rsidRPr="009433DB">
        <w:rPr>
          <w:rFonts w:ascii="Arial" w:hAnsi="Arial" w:cs="Arial"/>
          <w:color w:val="000000"/>
          <w:sz w:val="24"/>
          <w:szCs w:val="24"/>
        </w:rPr>
        <w:t>los requisitos de habilitación y</w:t>
      </w:r>
      <w:r w:rsidR="00935DE7">
        <w:rPr>
          <w:rFonts w:ascii="Arial" w:hAnsi="Arial" w:cs="Arial"/>
          <w:color w:val="000000"/>
          <w:sz w:val="24"/>
          <w:szCs w:val="24"/>
        </w:rPr>
        <w:t>,</w:t>
      </w:r>
      <w:r w:rsidR="009E497E" w:rsidRPr="009433DB">
        <w:rPr>
          <w:rFonts w:ascii="Arial" w:hAnsi="Arial" w:cs="Arial"/>
          <w:color w:val="000000"/>
          <w:sz w:val="24"/>
          <w:szCs w:val="24"/>
        </w:rPr>
        <w:t xml:space="preserve"> por ello, no quedaba propuesta </w:t>
      </w:r>
      <w:r w:rsidR="00B84C94" w:rsidRPr="009433DB">
        <w:rPr>
          <w:rFonts w:ascii="Arial" w:hAnsi="Arial" w:cs="Arial"/>
          <w:color w:val="000000"/>
          <w:sz w:val="24"/>
          <w:szCs w:val="24"/>
        </w:rPr>
        <w:t>algún objeto</w:t>
      </w:r>
      <w:r w:rsidR="009E497E" w:rsidRPr="009433DB">
        <w:rPr>
          <w:rFonts w:ascii="Arial" w:hAnsi="Arial" w:cs="Arial"/>
          <w:color w:val="000000"/>
          <w:sz w:val="24"/>
          <w:szCs w:val="24"/>
        </w:rPr>
        <w:t xml:space="preserve"> de comparación</w:t>
      </w:r>
      <w:r w:rsidR="00F03365">
        <w:rPr>
          <w:rFonts w:ascii="Arial" w:hAnsi="Arial" w:cs="Arial"/>
          <w:color w:val="000000"/>
          <w:sz w:val="24"/>
          <w:szCs w:val="24"/>
        </w:rPr>
        <w:t>.</w:t>
      </w:r>
      <w:r w:rsidR="0043390B">
        <w:rPr>
          <w:rFonts w:ascii="Arial" w:hAnsi="Arial" w:cs="Arial"/>
          <w:color w:val="000000"/>
          <w:sz w:val="24"/>
          <w:szCs w:val="24"/>
        </w:rPr>
        <w:t xml:space="preserve"> </w:t>
      </w:r>
    </w:p>
    <w:p w14:paraId="7E26DDCD" w14:textId="77777777" w:rsidR="0075000D" w:rsidRDefault="0075000D" w:rsidP="00FE0FF8">
      <w:pPr>
        <w:spacing w:line="360" w:lineRule="auto"/>
        <w:rPr>
          <w:rFonts w:ascii="Arial" w:hAnsi="Arial" w:cs="Arial"/>
          <w:color w:val="000000"/>
          <w:sz w:val="24"/>
          <w:szCs w:val="24"/>
        </w:rPr>
      </w:pPr>
    </w:p>
    <w:p w14:paraId="34180FB0" w14:textId="77777777" w:rsidR="00F03365" w:rsidRDefault="0043390B" w:rsidP="00FE0FF8">
      <w:pPr>
        <w:spacing w:line="360" w:lineRule="auto"/>
        <w:rPr>
          <w:rFonts w:ascii="Arial" w:hAnsi="Arial" w:cs="Arial"/>
          <w:color w:val="000000"/>
          <w:sz w:val="24"/>
          <w:szCs w:val="24"/>
        </w:rPr>
      </w:pPr>
      <w:r w:rsidRPr="001E6453">
        <w:rPr>
          <w:rFonts w:ascii="Arial" w:hAnsi="Arial" w:cs="Arial"/>
          <w:color w:val="000000"/>
          <w:sz w:val="24"/>
          <w:szCs w:val="24"/>
        </w:rPr>
        <w:t xml:space="preserve">En el mismo orden de ideas, </w:t>
      </w:r>
      <w:r w:rsidR="007D34E5" w:rsidRPr="001E6453">
        <w:rPr>
          <w:rFonts w:ascii="Arial" w:hAnsi="Arial" w:cs="Arial"/>
          <w:color w:val="000000"/>
          <w:sz w:val="24"/>
          <w:szCs w:val="24"/>
        </w:rPr>
        <w:t xml:space="preserve">debe inferirse que </w:t>
      </w:r>
      <w:r w:rsidRPr="001E6453">
        <w:rPr>
          <w:rFonts w:ascii="Arial" w:hAnsi="Arial" w:cs="Arial"/>
          <w:color w:val="000000"/>
          <w:sz w:val="24"/>
          <w:szCs w:val="24"/>
        </w:rPr>
        <w:t>el recurso de reposición que no se desató habría de ser confirmatorio de la declaratoria de desierta de la invitación</w:t>
      </w:r>
      <w:r w:rsidR="0075000D" w:rsidRPr="001E6453">
        <w:rPr>
          <w:rFonts w:ascii="Arial" w:hAnsi="Arial" w:cs="Arial"/>
          <w:color w:val="000000"/>
          <w:sz w:val="24"/>
          <w:szCs w:val="24"/>
        </w:rPr>
        <w:t xml:space="preserve"> pública</w:t>
      </w:r>
      <w:r w:rsidR="007D34E5" w:rsidRPr="001E6453">
        <w:rPr>
          <w:rFonts w:ascii="Arial" w:hAnsi="Arial" w:cs="Arial"/>
          <w:color w:val="000000"/>
          <w:sz w:val="24"/>
          <w:szCs w:val="24"/>
        </w:rPr>
        <w:t xml:space="preserve">, desde la perspectiva que otorga este plenario, </w:t>
      </w:r>
      <w:r w:rsidR="0075000D" w:rsidRPr="001E6453">
        <w:rPr>
          <w:rFonts w:ascii="Arial" w:hAnsi="Arial" w:cs="Arial"/>
          <w:color w:val="000000"/>
          <w:sz w:val="24"/>
          <w:szCs w:val="24"/>
        </w:rPr>
        <w:t xml:space="preserve">dado </w:t>
      </w:r>
      <w:r w:rsidR="007D34E5" w:rsidRPr="001E6453">
        <w:rPr>
          <w:rFonts w:ascii="Arial" w:hAnsi="Arial" w:cs="Arial"/>
          <w:color w:val="000000"/>
          <w:sz w:val="24"/>
          <w:szCs w:val="24"/>
        </w:rPr>
        <w:t xml:space="preserve">que no se conoció el pliego de condiciones y que </w:t>
      </w:r>
      <w:r w:rsidR="006A4748" w:rsidRPr="001E6453">
        <w:rPr>
          <w:rFonts w:ascii="Arial" w:hAnsi="Arial" w:cs="Arial"/>
          <w:color w:val="000000"/>
          <w:sz w:val="24"/>
          <w:szCs w:val="24"/>
        </w:rPr>
        <w:t xml:space="preserve">tampoco se probó en contra de la inhabilidad de todas las propuestas, </w:t>
      </w:r>
      <w:r w:rsidR="0075000D" w:rsidRPr="001E6453">
        <w:rPr>
          <w:rFonts w:ascii="Arial" w:hAnsi="Arial" w:cs="Arial"/>
          <w:color w:val="000000"/>
          <w:sz w:val="24"/>
          <w:szCs w:val="24"/>
        </w:rPr>
        <w:t>afirmad</w:t>
      </w:r>
      <w:r w:rsidR="005150B8" w:rsidRPr="001E6453">
        <w:rPr>
          <w:rFonts w:ascii="Arial" w:hAnsi="Arial" w:cs="Arial"/>
          <w:color w:val="000000"/>
          <w:sz w:val="24"/>
          <w:szCs w:val="24"/>
        </w:rPr>
        <w:t>a</w:t>
      </w:r>
      <w:r w:rsidR="0075000D" w:rsidRPr="001E6453">
        <w:rPr>
          <w:rFonts w:ascii="Arial" w:hAnsi="Arial" w:cs="Arial"/>
          <w:color w:val="000000"/>
          <w:sz w:val="24"/>
          <w:szCs w:val="24"/>
        </w:rPr>
        <w:t xml:space="preserve"> </w:t>
      </w:r>
      <w:r w:rsidR="006A4748" w:rsidRPr="001E6453">
        <w:rPr>
          <w:rFonts w:ascii="Arial" w:hAnsi="Arial" w:cs="Arial"/>
          <w:color w:val="000000"/>
          <w:sz w:val="24"/>
          <w:szCs w:val="24"/>
        </w:rPr>
        <w:t xml:space="preserve">en la Resolución 1457 de </w:t>
      </w:r>
      <w:r w:rsidR="0075000D" w:rsidRPr="001E6453">
        <w:rPr>
          <w:rFonts w:ascii="Arial" w:hAnsi="Arial" w:cs="Arial"/>
          <w:color w:val="000000"/>
          <w:sz w:val="24"/>
          <w:szCs w:val="24"/>
        </w:rPr>
        <w:t>2000.</w:t>
      </w:r>
      <w:r w:rsidR="0075000D">
        <w:rPr>
          <w:rFonts w:ascii="Arial" w:hAnsi="Arial" w:cs="Arial"/>
          <w:color w:val="000000"/>
          <w:sz w:val="24"/>
          <w:szCs w:val="24"/>
        </w:rPr>
        <w:t xml:space="preserve"> </w:t>
      </w:r>
    </w:p>
    <w:p w14:paraId="1A1EA37D" w14:textId="77777777" w:rsidR="009E497E" w:rsidRPr="009433DB" w:rsidRDefault="009E497E" w:rsidP="00FE0FF8">
      <w:pPr>
        <w:spacing w:line="360" w:lineRule="auto"/>
        <w:rPr>
          <w:rFonts w:ascii="Arial" w:hAnsi="Arial" w:cs="Arial"/>
          <w:color w:val="000000"/>
          <w:sz w:val="24"/>
          <w:szCs w:val="24"/>
        </w:rPr>
      </w:pPr>
    </w:p>
    <w:p w14:paraId="2472B001" w14:textId="77777777" w:rsidR="007E1B9D" w:rsidRPr="007E1B9D" w:rsidRDefault="00146F56" w:rsidP="00FE0FF8">
      <w:pPr>
        <w:pStyle w:val="Textonotapie"/>
        <w:spacing w:line="240" w:lineRule="auto"/>
        <w:rPr>
          <w:b/>
          <w:color w:val="000000"/>
          <w:sz w:val="24"/>
          <w:szCs w:val="24"/>
        </w:rPr>
      </w:pPr>
      <w:r>
        <w:rPr>
          <w:b/>
          <w:color w:val="000000"/>
          <w:sz w:val="24"/>
          <w:szCs w:val="24"/>
        </w:rPr>
        <w:t>5</w:t>
      </w:r>
      <w:r w:rsidR="007E1B9D" w:rsidRPr="007E1B9D">
        <w:rPr>
          <w:b/>
          <w:color w:val="000000"/>
          <w:sz w:val="24"/>
          <w:szCs w:val="24"/>
        </w:rPr>
        <w:t>.</w:t>
      </w:r>
      <w:r w:rsidR="00DC6959">
        <w:rPr>
          <w:b/>
          <w:color w:val="000000"/>
          <w:sz w:val="24"/>
          <w:szCs w:val="24"/>
        </w:rPr>
        <w:t>6.</w:t>
      </w:r>
      <w:r w:rsidR="007E1B9D" w:rsidRPr="007E1B9D">
        <w:rPr>
          <w:b/>
          <w:color w:val="000000"/>
          <w:sz w:val="24"/>
          <w:szCs w:val="24"/>
        </w:rPr>
        <w:t xml:space="preserve"> </w:t>
      </w:r>
      <w:r w:rsidR="007E1B9D">
        <w:rPr>
          <w:b/>
          <w:color w:val="000000"/>
          <w:sz w:val="24"/>
          <w:szCs w:val="24"/>
        </w:rPr>
        <w:t>Consideraci</w:t>
      </w:r>
      <w:r w:rsidR="009849B6">
        <w:rPr>
          <w:b/>
          <w:color w:val="000000"/>
          <w:sz w:val="24"/>
          <w:szCs w:val="24"/>
        </w:rPr>
        <w:t xml:space="preserve">ones </w:t>
      </w:r>
      <w:r w:rsidR="007E1B9D">
        <w:rPr>
          <w:b/>
          <w:color w:val="000000"/>
          <w:sz w:val="24"/>
          <w:szCs w:val="24"/>
        </w:rPr>
        <w:t>a</w:t>
      </w:r>
      <w:r w:rsidR="007E1B9D" w:rsidRPr="007E1B9D">
        <w:rPr>
          <w:b/>
          <w:color w:val="000000"/>
          <w:sz w:val="24"/>
          <w:szCs w:val="24"/>
        </w:rPr>
        <w:t>cerca de la carga de la prueba sobre los documentos del proce</w:t>
      </w:r>
      <w:r w:rsidR="007E1B9D">
        <w:rPr>
          <w:b/>
          <w:color w:val="000000"/>
          <w:sz w:val="24"/>
          <w:szCs w:val="24"/>
        </w:rPr>
        <w:t xml:space="preserve">dimiento </w:t>
      </w:r>
      <w:r w:rsidR="007E1B9D" w:rsidRPr="007E1B9D">
        <w:rPr>
          <w:b/>
          <w:color w:val="000000"/>
          <w:sz w:val="24"/>
          <w:szCs w:val="24"/>
        </w:rPr>
        <w:t>de contratación</w:t>
      </w:r>
    </w:p>
    <w:p w14:paraId="5ED6D5AD" w14:textId="77777777" w:rsidR="007E1B9D" w:rsidRDefault="007E1B9D" w:rsidP="00FE0FF8">
      <w:pPr>
        <w:pStyle w:val="Textonotapie"/>
        <w:rPr>
          <w:color w:val="000000"/>
          <w:sz w:val="24"/>
          <w:szCs w:val="24"/>
        </w:rPr>
      </w:pPr>
    </w:p>
    <w:p w14:paraId="72D03A57" w14:textId="77777777" w:rsidR="00C93014" w:rsidRDefault="00122F67" w:rsidP="00FE0FF8">
      <w:pPr>
        <w:pStyle w:val="Textonotapie"/>
        <w:rPr>
          <w:color w:val="000000"/>
          <w:sz w:val="24"/>
          <w:szCs w:val="24"/>
        </w:rPr>
      </w:pPr>
      <w:r>
        <w:rPr>
          <w:color w:val="000000"/>
          <w:sz w:val="24"/>
          <w:szCs w:val="24"/>
        </w:rPr>
        <w:t xml:space="preserve">La solución </w:t>
      </w:r>
      <w:r w:rsidR="00F54217">
        <w:rPr>
          <w:color w:val="000000"/>
          <w:sz w:val="24"/>
          <w:szCs w:val="24"/>
        </w:rPr>
        <w:t xml:space="preserve">expuesta para </w:t>
      </w:r>
      <w:r>
        <w:rPr>
          <w:color w:val="000000"/>
          <w:sz w:val="24"/>
          <w:szCs w:val="24"/>
        </w:rPr>
        <w:t xml:space="preserve">el asunto </w:t>
      </w:r>
      <w:r w:rsidRPr="004D11FF">
        <w:rPr>
          <w:i/>
          <w:color w:val="000000"/>
          <w:sz w:val="24"/>
          <w:szCs w:val="24"/>
        </w:rPr>
        <w:t>sub lite</w:t>
      </w:r>
      <w:r>
        <w:rPr>
          <w:color w:val="000000"/>
          <w:sz w:val="24"/>
          <w:szCs w:val="24"/>
        </w:rPr>
        <w:t xml:space="preserve"> </w:t>
      </w:r>
      <w:r w:rsidR="00F54217">
        <w:rPr>
          <w:color w:val="000000"/>
          <w:sz w:val="24"/>
          <w:szCs w:val="24"/>
        </w:rPr>
        <w:t xml:space="preserve">amerita </w:t>
      </w:r>
      <w:r>
        <w:rPr>
          <w:color w:val="000000"/>
          <w:sz w:val="24"/>
          <w:szCs w:val="24"/>
        </w:rPr>
        <w:t>un</w:t>
      </w:r>
      <w:r w:rsidR="00F03365">
        <w:rPr>
          <w:color w:val="000000"/>
          <w:sz w:val="24"/>
          <w:szCs w:val="24"/>
        </w:rPr>
        <w:t xml:space="preserve">a consideración </w:t>
      </w:r>
      <w:r w:rsidR="00D655BE">
        <w:rPr>
          <w:color w:val="000000"/>
          <w:sz w:val="24"/>
          <w:szCs w:val="24"/>
        </w:rPr>
        <w:t xml:space="preserve">sobre </w:t>
      </w:r>
      <w:r>
        <w:rPr>
          <w:color w:val="000000"/>
          <w:sz w:val="24"/>
          <w:szCs w:val="24"/>
        </w:rPr>
        <w:t>la distribución de la carga de la prueba entre las partes del proceso</w:t>
      </w:r>
      <w:r w:rsidR="00D655BE">
        <w:rPr>
          <w:color w:val="000000"/>
          <w:sz w:val="24"/>
          <w:szCs w:val="24"/>
        </w:rPr>
        <w:t xml:space="preserve"> </w:t>
      </w:r>
      <w:r>
        <w:rPr>
          <w:color w:val="000000"/>
          <w:sz w:val="24"/>
          <w:szCs w:val="24"/>
        </w:rPr>
        <w:t>precontractual, t</w:t>
      </w:r>
      <w:r w:rsidR="007E1B9D">
        <w:rPr>
          <w:color w:val="000000"/>
          <w:sz w:val="24"/>
          <w:szCs w:val="24"/>
        </w:rPr>
        <w:t xml:space="preserve">eniendo en cuenta que el procedimiento de contratación </w:t>
      </w:r>
      <w:r w:rsidR="004D11FF">
        <w:rPr>
          <w:color w:val="000000"/>
          <w:sz w:val="24"/>
          <w:szCs w:val="24"/>
        </w:rPr>
        <w:t>que ahora se estudia</w:t>
      </w:r>
      <w:r w:rsidR="001E6453">
        <w:rPr>
          <w:color w:val="000000"/>
          <w:sz w:val="24"/>
          <w:szCs w:val="24"/>
        </w:rPr>
        <w:t>,</w:t>
      </w:r>
      <w:r w:rsidR="004D11FF">
        <w:rPr>
          <w:color w:val="000000"/>
          <w:sz w:val="24"/>
          <w:szCs w:val="24"/>
        </w:rPr>
        <w:t xml:space="preserve"> </w:t>
      </w:r>
      <w:r w:rsidR="007E1B9D">
        <w:rPr>
          <w:color w:val="000000"/>
          <w:sz w:val="24"/>
          <w:szCs w:val="24"/>
        </w:rPr>
        <w:t>se adelantó en</w:t>
      </w:r>
      <w:r>
        <w:rPr>
          <w:color w:val="000000"/>
          <w:sz w:val="24"/>
          <w:szCs w:val="24"/>
        </w:rPr>
        <w:t>tre octubre y diciembre d</w:t>
      </w:r>
      <w:r w:rsidR="007E1B9D">
        <w:rPr>
          <w:color w:val="000000"/>
          <w:sz w:val="24"/>
          <w:szCs w:val="24"/>
        </w:rPr>
        <w:t xml:space="preserve">el </w:t>
      </w:r>
      <w:r w:rsidR="00A045A9">
        <w:rPr>
          <w:color w:val="000000"/>
          <w:sz w:val="24"/>
          <w:szCs w:val="24"/>
        </w:rPr>
        <w:t xml:space="preserve">año </w:t>
      </w:r>
      <w:r w:rsidR="001F4DB0">
        <w:rPr>
          <w:color w:val="000000"/>
          <w:sz w:val="24"/>
          <w:szCs w:val="24"/>
        </w:rPr>
        <w:t xml:space="preserve">2000, época para la </w:t>
      </w:r>
      <w:r w:rsidR="00205805">
        <w:rPr>
          <w:color w:val="000000"/>
          <w:sz w:val="24"/>
          <w:szCs w:val="24"/>
        </w:rPr>
        <w:t xml:space="preserve">cual </w:t>
      </w:r>
      <w:r w:rsidR="004D11FF">
        <w:rPr>
          <w:color w:val="000000"/>
          <w:sz w:val="24"/>
          <w:szCs w:val="24"/>
        </w:rPr>
        <w:t xml:space="preserve">la </w:t>
      </w:r>
      <w:r w:rsidR="001F4DB0">
        <w:rPr>
          <w:color w:val="000000"/>
          <w:sz w:val="24"/>
          <w:szCs w:val="24"/>
        </w:rPr>
        <w:t xml:space="preserve">información pública de </w:t>
      </w:r>
      <w:r w:rsidR="00D655BE">
        <w:rPr>
          <w:color w:val="000000"/>
          <w:sz w:val="24"/>
          <w:szCs w:val="24"/>
        </w:rPr>
        <w:t xml:space="preserve">dichos procesos </w:t>
      </w:r>
      <w:r w:rsidR="001F4DB0">
        <w:rPr>
          <w:color w:val="000000"/>
          <w:sz w:val="24"/>
          <w:szCs w:val="24"/>
        </w:rPr>
        <w:t xml:space="preserve">era exigua, máxime cuando </w:t>
      </w:r>
      <w:r w:rsidR="00D30DA2">
        <w:rPr>
          <w:color w:val="000000"/>
          <w:sz w:val="24"/>
          <w:szCs w:val="24"/>
        </w:rPr>
        <w:t xml:space="preserve">el procedimiento de contratación </w:t>
      </w:r>
      <w:r w:rsidR="001F4DB0">
        <w:rPr>
          <w:color w:val="000000"/>
          <w:sz w:val="24"/>
          <w:szCs w:val="24"/>
        </w:rPr>
        <w:t xml:space="preserve">se desarrollaba a través de la figura del encargo fiduciario, </w:t>
      </w:r>
      <w:r w:rsidR="004D11FF">
        <w:rPr>
          <w:color w:val="000000"/>
          <w:sz w:val="24"/>
          <w:szCs w:val="24"/>
        </w:rPr>
        <w:t xml:space="preserve">mediante una clase de </w:t>
      </w:r>
      <w:r w:rsidR="001F4DB0">
        <w:rPr>
          <w:color w:val="000000"/>
          <w:sz w:val="24"/>
          <w:szCs w:val="24"/>
        </w:rPr>
        <w:t xml:space="preserve">contrato </w:t>
      </w:r>
      <w:r w:rsidR="00875D7D">
        <w:rPr>
          <w:color w:val="000000"/>
          <w:sz w:val="24"/>
          <w:szCs w:val="24"/>
        </w:rPr>
        <w:t>fiduciario</w:t>
      </w:r>
      <w:r w:rsidR="004D11FF">
        <w:rPr>
          <w:color w:val="000000"/>
          <w:sz w:val="24"/>
          <w:szCs w:val="24"/>
        </w:rPr>
        <w:t xml:space="preserve"> que no aparece especificado en las pruebas que obran en el proceso</w:t>
      </w:r>
      <w:r w:rsidR="009F0AEE">
        <w:rPr>
          <w:color w:val="000000"/>
          <w:sz w:val="24"/>
          <w:szCs w:val="24"/>
        </w:rPr>
        <w:t>;</w:t>
      </w:r>
      <w:r w:rsidR="004D11FF">
        <w:rPr>
          <w:color w:val="000000"/>
          <w:sz w:val="24"/>
          <w:szCs w:val="24"/>
        </w:rPr>
        <w:t xml:space="preserve"> empero</w:t>
      </w:r>
      <w:r w:rsidR="001E6453">
        <w:rPr>
          <w:color w:val="000000"/>
          <w:sz w:val="24"/>
          <w:szCs w:val="24"/>
        </w:rPr>
        <w:t>,</w:t>
      </w:r>
      <w:r w:rsidR="004D11FF">
        <w:rPr>
          <w:color w:val="000000"/>
          <w:sz w:val="24"/>
          <w:szCs w:val="24"/>
        </w:rPr>
        <w:t xml:space="preserve"> se puede observar que </w:t>
      </w:r>
      <w:r w:rsidR="001E6453">
        <w:rPr>
          <w:color w:val="000000"/>
          <w:sz w:val="24"/>
          <w:szCs w:val="24"/>
        </w:rPr>
        <w:t xml:space="preserve">la ejecución de </w:t>
      </w:r>
      <w:r w:rsidR="004D11FF">
        <w:rPr>
          <w:color w:val="000000"/>
          <w:sz w:val="24"/>
          <w:szCs w:val="24"/>
        </w:rPr>
        <w:t xml:space="preserve">dichos contratos, </w:t>
      </w:r>
      <w:r w:rsidR="00875D7D">
        <w:rPr>
          <w:color w:val="000000"/>
          <w:sz w:val="24"/>
          <w:szCs w:val="24"/>
        </w:rPr>
        <w:t>para esa época</w:t>
      </w:r>
      <w:r w:rsidR="004D11FF">
        <w:rPr>
          <w:color w:val="000000"/>
          <w:sz w:val="24"/>
          <w:szCs w:val="24"/>
        </w:rPr>
        <w:t>,</w:t>
      </w:r>
      <w:r w:rsidR="00875D7D">
        <w:rPr>
          <w:color w:val="000000"/>
          <w:sz w:val="24"/>
          <w:szCs w:val="24"/>
        </w:rPr>
        <w:t xml:space="preserve"> no estaba </w:t>
      </w:r>
      <w:r w:rsidR="001F4DB0">
        <w:rPr>
          <w:color w:val="000000"/>
          <w:sz w:val="24"/>
          <w:szCs w:val="24"/>
        </w:rPr>
        <w:t>sometid</w:t>
      </w:r>
      <w:r w:rsidR="001E6453">
        <w:rPr>
          <w:color w:val="000000"/>
          <w:sz w:val="24"/>
          <w:szCs w:val="24"/>
        </w:rPr>
        <w:t>a</w:t>
      </w:r>
      <w:r w:rsidR="001F4DB0">
        <w:rPr>
          <w:color w:val="000000"/>
          <w:sz w:val="24"/>
          <w:szCs w:val="24"/>
        </w:rPr>
        <w:t xml:space="preserve"> a</w:t>
      </w:r>
      <w:r w:rsidR="00ED3116">
        <w:rPr>
          <w:color w:val="000000"/>
          <w:sz w:val="24"/>
          <w:szCs w:val="24"/>
        </w:rPr>
        <w:t xml:space="preserve">l reporte del </w:t>
      </w:r>
      <w:r w:rsidR="004B6E24">
        <w:rPr>
          <w:color w:val="000000"/>
          <w:sz w:val="24"/>
          <w:szCs w:val="24"/>
        </w:rPr>
        <w:t xml:space="preserve">procedimiento </w:t>
      </w:r>
      <w:r w:rsidR="004D11FF">
        <w:rPr>
          <w:color w:val="000000"/>
          <w:sz w:val="24"/>
          <w:szCs w:val="24"/>
        </w:rPr>
        <w:t xml:space="preserve">contractual </w:t>
      </w:r>
      <w:r w:rsidR="004B6E24">
        <w:rPr>
          <w:color w:val="000000"/>
          <w:sz w:val="24"/>
          <w:szCs w:val="24"/>
        </w:rPr>
        <w:t xml:space="preserve">previo en el </w:t>
      </w:r>
      <w:r w:rsidR="00ED3116">
        <w:rPr>
          <w:color w:val="000000"/>
          <w:sz w:val="24"/>
          <w:szCs w:val="24"/>
        </w:rPr>
        <w:t xml:space="preserve">sistema de </w:t>
      </w:r>
      <w:r w:rsidR="00D30DA2">
        <w:rPr>
          <w:color w:val="000000"/>
          <w:sz w:val="24"/>
          <w:szCs w:val="24"/>
        </w:rPr>
        <w:t xml:space="preserve">información y vigilancia de la </w:t>
      </w:r>
      <w:r w:rsidR="00ED3116">
        <w:rPr>
          <w:color w:val="000000"/>
          <w:sz w:val="24"/>
          <w:szCs w:val="24"/>
        </w:rPr>
        <w:t>contratación estatal</w:t>
      </w:r>
      <w:r w:rsidR="00F54217">
        <w:rPr>
          <w:color w:val="000000"/>
          <w:sz w:val="24"/>
          <w:szCs w:val="24"/>
        </w:rPr>
        <w:t>, en</w:t>
      </w:r>
      <w:r w:rsidR="00875D7D">
        <w:rPr>
          <w:color w:val="000000"/>
          <w:sz w:val="24"/>
          <w:szCs w:val="24"/>
        </w:rPr>
        <w:t xml:space="preserve"> aquel entonces </w:t>
      </w:r>
      <w:r w:rsidR="00F54217">
        <w:rPr>
          <w:color w:val="000000"/>
          <w:sz w:val="24"/>
          <w:szCs w:val="24"/>
        </w:rPr>
        <w:t xml:space="preserve">denominado </w:t>
      </w:r>
      <w:r w:rsidR="00ED3116">
        <w:rPr>
          <w:color w:val="000000"/>
          <w:sz w:val="24"/>
          <w:szCs w:val="24"/>
        </w:rPr>
        <w:t>SICE</w:t>
      </w:r>
      <w:r w:rsidR="0028591D">
        <w:rPr>
          <w:rStyle w:val="Refdenotaalpie"/>
          <w:color w:val="000000"/>
          <w:sz w:val="24"/>
          <w:szCs w:val="24"/>
        </w:rPr>
        <w:footnoteReference w:id="28"/>
      </w:r>
      <w:r w:rsidR="00875D7D">
        <w:rPr>
          <w:color w:val="000000"/>
          <w:sz w:val="24"/>
          <w:szCs w:val="24"/>
        </w:rPr>
        <w:t xml:space="preserve">. </w:t>
      </w:r>
      <w:r w:rsidR="004B6E24">
        <w:rPr>
          <w:color w:val="000000"/>
          <w:sz w:val="24"/>
          <w:szCs w:val="24"/>
        </w:rPr>
        <w:t xml:space="preserve"> </w:t>
      </w:r>
    </w:p>
    <w:p w14:paraId="395B1C68" w14:textId="77777777" w:rsidR="00C93014" w:rsidRDefault="00C93014" w:rsidP="00FE0FF8">
      <w:pPr>
        <w:pStyle w:val="Textonotapie"/>
        <w:rPr>
          <w:color w:val="000000"/>
          <w:sz w:val="24"/>
          <w:szCs w:val="24"/>
        </w:rPr>
      </w:pPr>
    </w:p>
    <w:p w14:paraId="775DA4E9" w14:textId="77777777" w:rsidR="00A60FA6" w:rsidRDefault="001E6453" w:rsidP="00FE0FF8">
      <w:pPr>
        <w:pStyle w:val="Textonotapie"/>
        <w:rPr>
          <w:color w:val="000000"/>
          <w:sz w:val="24"/>
          <w:szCs w:val="24"/>
        </w:rPr>
      </w:pPr>
      <w:r>
        <w:rPr>
          <w:color w:val="000000"/>
          <w:sz w:val="24"/>
          <w:szCs w:val="24"/>
        </w:rPr>
        <w:t>Con lo anterior, s</w:t>
      </w:r>
      <w:r w:rsidR="004B6E24">
        <w:rPr>
          <w:color w:val="000000"/>
          <w:sz w:val="24"/>
          <w:szCs w:val="24"/>
        </w:rPr>
        <w:t xml:space="preserve">e quiere significar </w:t>
      </w:r>
      <w:proofErr w:type="gramStart"/>
      <w:r w:rsidR="004B6E24">
        <w:rPr>
          <w:color w:val="000000"/>
          <w:sz w:val="24"/>
          <w:szCs w:val="24"/>
        </w:rPr>
        <w:t>que</w:t>
      </w:r>
      <w:proofErr w:type="gramEnd"/>
      <w:r w:rsidR="004B6E24">
        <w:rPr>
          <w:color w:val="000000"/>
          <w:sz w:val="24"/>
          <w:szCs w:val="24"/>
        </w:rPr>
        <w:t xml:space="preserve"> no existiendo sistemas de publicidad para l</w:t>
      </w:r>
      <w:r w:rsidR="00474202">
        <w:rPr>
          <w:color w:val="000000"/>
          <w:sz w:val="24"/>
          <w:szCs w:val="24"/>
        </w:rPr>
        <w:t xml:space="preserve">os documentos del proceso, la carga de la prueba estaba radicada básicamente en las partes y </w:t>
      </w:r>
      <w:r w:rsidR="00552536">
        <w:rPr>
          <w:color w:val="000000"/>
          <w:sz w:val="24"/>
          <w:szCs w:val="24"/>
        </w:rPr>
        <w:t>cada una dependía de lo</w:t>
      </w:r>
      <w:r w:rsidR="009F0AEE">
        <w:rPr>
          <w:color w:val="000000"/>
          <w:sz w:val="24"/>
          <w:szCs w:val="24"/>
        </w:rPr>
        <w:t xml:space="preserve"> que</w:t>
      </w:r>
      <w:r w:rsidR="00552536">
        <w:rPr>
          <w:color w:val="000000"/>
          <w:sz w:val="24"/>
          <w:szCs w:val="24"/>
        </w:rPr>
        <w:t xml:space="preserve"> estaba en </w:t>
      </w:r>
      <w:r w:rsidR="00474202">
        <w:rPr>
          <w:color w:val="000000"/>
          <w:sz w:val="24"/>
          <w:szCs w:val="24"/>
        </w:rPr>
        <w:t>sus archivos y</w:t>
      </w:r>
      <w:r w:rsidR="00552536">
        <w:rPr>
          <w:color w:val="000000"/>
          <w:sz w:val="24"/>
          <w:szCs w:val="24"/>
        </w:rPr>
        <w:t xml:space="preserve">, ambas, </w:t>
      </w:r>
      <w:r w:rsidR="00474202">
        <w:rPr>
          <w:color w:val="000000"/>
          <w:sz w:val="24"/>
          <w:szCs w:val="24"/>
        </w:rPr>
        <w:t>de lo que se encontraba en poder de la fiduciaria</w:t>
      </w:r>
      <w:r w:rsidR="00552536">
        <w:rPr>
          <w:color w:val="000000"/>
          <w:sz w:val="24"/>
          <w:szCs w:val="24"/>
        </w:rPr>
        <w:t xml:space="preserve"> que instrumentó </w:t>
      </w:r>
      <w:r w:rsidR="009F0AEE">
        <w:rPr>
          <w:color w:val="000000"/>
          <w:sz w:val="24"/>
          <w:szCs w:val="24"/>
        </w:rPr>
        <w:t xml:space="preserve">el procedimiento de </w:t>
      </w:r>
      <w:r w:rsidR="00552536">
        <w:rPr>
          <w:color w:val="000000"/>
          <w:sz w:val="24"/>
          <w:szCs w:val="24"/>
        </w:rPr>
        <w:t xml:space="preserve">la </w:t>
      </w:r>
      <w:r w:rsidR="009F0AEE">
        <w:rPr>
          <w:color w:val="000000"/>
          <w:sz w:val="24"/>
          <w:szCs w:val="24"/>
        </w:rPr>
        <w:t xml:space="preserve">respectiva </w:t>
      </w:r>
      <w:r w:rsidR="00552536">
        <w:rPr>
          <w:color w:val="000000"/>
          <w:sz w:val="24"/>
          <w:szCs w:val="24"/>
        </w:rPr>
        <w:t>contratación</w:t>
      </w:r>
      <w:r w:rsidR="00474202">
        <w:rPr>
          <w:color w:val="000000"/>
          <w:sz w:val="24"/>
          <w:szCs w:val="24"/>
        </w:rPr>
        <w:t xml:space="preserve">. </w:t>
      </w:r>
    </w:p>
    <w:p w14:paraId="5E8C6465" w14:textId="77777777" w:rsidR="00474202" w:rsidRDefault="00474202" w:rsidP="00FE0FF8">
      <w:pPr>
        <w:pStyle w:val="Textonotapie"/>
        <w:rPr>
          <w:color w:val="000000"/>
          <w:sz w:val="24"/>
          <w:szCs w:val="24"/>
        </w:rPr>
      </w:pPr>
    </w:p>
    <w:p w14:paraId="4AF46A4E" w14:textId="77777777" w:rsidR="00F90AA3" w:rsidRDefault="00B30580" w:rsidP="00FE0FF8">
      <w:pPr>
        <w:pStyle w:val="Textonotapie"/>
        <w:rPr>
          <w:color w:val="000000"/>
          <w:sz w:val="24"/>
          <w:szCs w:val="24"/>
        </w:rPr>
      </w:pPr>
      <w:r>
        <w:rPr>
          <w:color w:val="000000"/>
          <w:sz w:val="24"/>
          <w:szCs w:val="24"/>
        </w:rPr>
        <w:t>Acerca de la carga de la prueba, l</w:t>
      </w:r>
      <w:r w:rsidR="00F90AA3">
        <w:rPr>
          <w:color w:val="000000"/>
          <w:sz w:val="24"/>
          <w:szCs w:val="24"/>
        </w:rPr>
        <w:t xml:space="preserve">a Corte Constitucional ha </w:t>
      </w:r>
      <w:r w:rsidR="00552536">
        <w:rPr>
          <w:color w:val="000000"/>
          <w:sz w:val="24"/>
          <w:szCs w:val="24"/>
        </w:rPr>
        <w:t xml:space="preserve">reseñado </w:t>
      </w:r>
      <w:r>
        <w:rPr>
          <w:color w:val="000000"/>
          <w:sz w:val="24"/>
          <w:szCs w:val="24"/>
        </w:rPr>
        <w:t xml:space="preserve">su naturaleza y los efectos </w:t>
      </w:r>
      <w:r w:rsidR="00552536">
        <w:rPr>
          <w:color w:val="000000"/>
          <w:sz w:val="24"/>
          <w:szCs w:val="24"/>
        </w:rPr>
        <w:t xml:space="preserve">que se derivan </w:t>
      </w:r>
      <w:r>
        <w:rPr>
          <w:color w:val="000000"/>
          <w:sz w:val="24"/>
          <w:szCs w:val="24"/>
        </w:rPr>
        <w:t xml:space="preserve">de </w:t>
      </w:r>
      <w:r w:rsidR="009F0AEE">
        <w:rPr>
          <w:color w:val="000000"/>
          <w:sz w:val="24"/>
          <w:szCs w:val="24"/>
        </w:rPr>
        <w:t>esta institución procesal</w:t>
      </w:r>
      <w:r>
        <w:rPr>
          <w:color w:val="000000"/>
          <w:sz w:val="24"/>
          <w:szCs w:val="24"/>
        </w:rPr>
        <w:t xml:space="preserve">, en la siguiente forma: </w:t>
      </w:r>
    </w:p>
    <w:p w14:paraId="1D9F1698" w14:textId="77777777" w:rsidR="00F90AA3" w:rsidRDefault="00F90AA3" w:rsidP="00FE0FF8">
      <w:pPr>
        <w:pStyle w:val="Textonotapie"/>
        <w:rPr>
          <w:color w:val="000000"/>
          <w:sz w:val="24"/>
          <w:szCs w:val="24"/>
        </w:rPr>
      </w:pPr>
    </w:p>
    <w:p w14:paraId="7B327A0A" w14:textId="77777777" w:rsidR="00F90AA3" w:rsidRPr="00B30580" w:rsidRDefault="008A4039" w:rsidP="00FE0FF8">
      <w:pPr>
        <w:spacing w:line="276" w:lineRule="auto"/>
        <w:rPr>
          <w:rFonts w:ascii="Arial" w:hAnsi="Arial" w:cs="Arial"/>
          <w:i/>
          <w:szCs w:val="28"/>
        </w:rPr>
      </w:pPr>
      <w:r w:rsidRPr="00B30580">
        <w:rPr>
          <w:rFonts w:ascii="Arial" w:hAnsi="Arial" w:cs="Arial"/>
          <w:i/>
          <w:szCs w:val="28"/>
        </w:rPr>
        <w:lastRenderedPageBreak/>
        <w:t>“</w:t>
      </w:r>
      <w:r w:rsidR="00F90AA3" w:rsidRPr="00B30580">
        <w:rPr>
          <w:rFonts w:ascii="Arial" w:hAnsi="Arial" w:cs="Arial"/>
          <w:i/>
          <w:szCs w:val="28"/>
        </w:rPr>
        <w:t>Finalmente, las cargas procesales son aquellas situaciones instituidas por la ley que comportan o demandan una conducta de realización facultativa, normalmente establecida en interés del propio sujeto y cuya omisión trae aparejadas para él consecuencias desfavorables, como la preclusión de una oportunidad o un derecho procesal e inclusive hasta la pérdida del derecho sustancial debatido en el proceso.</w:t>
      </w:r>
    </w:p>
    <w:p w14:paraId="5A80D402" w14:textId="77777777" w:rsidR="00F90AA3" w:rsidRPr="00B30580" w:rsidRDefault="00F90AA3" w:rsidP="00FE0FF8">
      <w:pPr>
        <w:spacing w:line="276" w:lineRule="auto"/>
        <w:rPr>
          <w:rFonts w:ascii="Arial" w:hAnsi="Arial" w:cs="Arial"/>
          <w:i/>
          <w:szCs w:val="28"/>
        </w:rPr>
      </w:pPr>
    </w:p>
    <w:p w14:paraId="1B522CAB" w14:textId="77777777" w:rsidR="00F90AA3" w:rsidRPr="00B30580" w:rsidRDefault="008A4039" w:rsidP="00FE0FF8">
      <w:pPr>
        <w:spacing w:line="276" w:lineRule="auto"/>
        <w:rPr>
          <w:rFonts w:ascii="Arial" w:hAnsi="Arial" w:cs="Arial"/>
          <w:i/>
          <w:szCs w:val="28"/>
        </w:rPr>
      </w:pPr>
      <w:r w:rsidRPr="00B30580">
        <w:rPr>
          <w:rFonts w:ascii="Arial" w:hAnsi="Arial" w:cs="Arial"/>
          <w:i/>
          <w:szCs w:val="28"/>
        </w:rPr>
        <w:t>“</w:t>
      </w:r>
      <w:r w:rsidR="00F90AA3" w:rsidRPr="00B30580">
        <w:rPr>
          <w:rFonts w:ascii="Arial" w:hAnsi="Arial" w:cs="Arial"/>
          <w:i/>
          <w:szCs w:val="28"/>
        </w:rPr>
        <w:t>Como se ve, las cargas procesales se caracterizan porque el sujeto a quien se las impone la ley conserva la facultad de cumplirlas o no, sin que el Juez o persona alguna pueda compelerlo coercitivamente a ello, todo lo contrario de lo que sucede con las obligaciones; de no, tal omisión le puede acarrear consecuencias desfavorables. Así, por ejemplo probar los supuestos de hecho  para no recibir una sentencia adversa”.</w:t>
      </w:r>
      <w:r w:rsidR="00F90AA3" w:rsidRPr="00B30580">
        <w:rPr>
          <w:rStyle w:val="Refdenotaalpie"/>
          <w:rFonts w:ascii="Arial" w:hAnsi="Arial" w:cs="Arial"/>
          <w:i/>
          <w:szCs w:val="28"/>
        </w:rPr>
        <w:footnoteReference w:id="29"/>
      </w:r>
      <w:r w:rsidR="00F90AA3" w:rsidRPr="00B30580">
        <w:rPr>
          <w:rFonts w:ascii="Arial" w:hAnsi="Arial" w:cs="Arial"/>
          <w:i/>
          <w:szCs w:val="28"/>
        </w:rPr>
        <w:t>.</w:t>
      </w:r>
    </w:p>
    <w:p w14:paraId="3A884ABA" w14:textId="77777777" w:rsidR="00F90AA3" w:rsidRDefault="00F90AA3" w:rsidP="00FE0FF8">
      <w:pPr>
        <w:pStyle w:val="Textonotapie"/>
        <w:spacing w:line="276" w:lineRule="auto"/>
        <w:rPr>
          <w:color w:val="000000"/>
          <w:sz w:val="24"/>
          <w:szCs w:val="24"/>
        </w:rPr>
      </w:pPr>
    </w:p>
    <w:p w14:paraId="19A79AAA" w14:textId="77777777" w:rsidR="00975D30" w:rsidRDefault="00695E1F" w:rsidP="00FE0FF8">
      <w:pPr>
        <w:pStyle w:val="Textonotapie"/>
        <w:rPr>
          <w:color w:val="000000"/>
          <w:sz w:val="24"/>
          <w:szCs w:val="24"/>
        </w:rPr>
      </w:pPr>
      <w:r>
        <w:rPr>
          <w:color w:val="000000"/>
          <w:sz w:val="24"/>
          <w:szCs w:val="24"/>
        </w:rPr>
        <w:t>En el proceso contencioso administrativo que ahora se desata</w:t>
      </w:r>
      <w:r w:rsidR="00F03365">
        <w:rPr>
          <w:color w:val="000000"/>
          <w:sz w:val="24"/>
          <w:szCs w:val="24"/>
        </w:rPr>
        <w:t>,</w:t>
      </w:r>
      <w:r>
        <w:rPr>
          <w:color w:val="000000"/>
          <w:sz w:val="24"/>
          <w:szCs w:val="24"/>
        </w:rPr>
        <w:t xml:space="preserve"> la carga de la pr</w:t>
      </w:r>
      <w:r w:rsidR="008345A9">
        <w:rPr>
          <w:color w:val="000000"/>
          <w:sz w:val="24"/>
          <w:szCs w:val="24"/>
        </w:rPr>
        <w:t xml:space="preserve">ueba </w:t>
      </w:r>
      <w:r w:rsidR="00F54217">
        <w:rPr>
          <w:color w:val="000000"/>
          <w:sz w:val="24"/>
          <w:szCs w:val="24"/>
        </w:rPr>
        <w:t xml:space="preserve">estaba </w:t>
      </w:r>
      <w:r w:rsidR="00AF123E">
        <w:rPr>
          <w:color w:val="000000"/>
          <w:sz w:val="24"/>
          <w:szCs w:val="24"/>
        </w:rPr>
        <w:t>asignada</w:t>
      </w:r>
      <w:r w:rsidR="0081080B">
        <w:rPr>
          <w:color w:val="000000"/>
          <w:sz w:val="24"/>
          <w:szCs w:val="24"/>
        </w:rPr>
        <w:t>,</w:t>
      </w:r>
      <w:r w:rsidR="00AF123E">
        <w:rPr>
          <w:color w:val="000000"/>
          <w:sz w:val="24"/>
          <w:szCs w:val="24"/>
        </w:rPr>
        <w:t xml:space="preserve"> en primer lugar</w:t>
      </w:r>
      <w:r w:rsidR="0081080B">
        <w:rPr>
          <w:color w:val="000000"/>
          <w:sz w:val="24"/>
          <w:szCs w:val="24"/>
        </w:rPr>
        <w:t xml:space="preserve">, </w:t>
      </w:r>
      <w:r w:rsidR="00AF123E">
        <w:rPr>
          <w:color w:val="000000"/>
          <w:sz w:val="24"/>
          <w:szCs w:val="24"/>
        </w:rPr>
        <w:t xml:space="preserve">a </w:t>
      </w:r>
      <w:r w:rsidR="00F54217">
        <w:rPr>
          <w:color w:val="000000"/>
          <w:sz w:val="24"/>
          <w:szCs w:val="24"/>
        </w:rPr>
        <w:t>la</w:t>
      </w:r>
      <w:r w:rsidR="008345A9">
        <w:rPr>
          <w:color w:val="000000"/>
          <w:sz w:val="24"/>
          <w:szCs w:val="24"/>
        </w:rPr>
        <w:t xml:space="preserve"> demandante, respecto de </w:t>
      </w:r>
      <w:r w:rsidR="00B30580">
        <w:rPr>
          <w:color w:val="000000"/>
          <w:sz w:val="24"/>
          <w:szCs w:val="24"/>
        </w:rPr>
        <w:t>l</w:t>
      </w:r>
      <w:r w:rsidR="008345A9">
        <w:rPr>
          <w:color w:val="000000"/>
          <w:sz w:val="24"/>
          <w:szCs w:val="24"/>
        </w:rPr>
        <w:t>os hechos que</w:t>
      </w:r>
      <w:r w:rsidR="006D308E">
        <w:rPr>
          <w:color w:val="000000"/>
          <w:sz w:val="24"/>
          <w:szCs w:val="24"/>
        </w:rPr>
        <w:t>, según</w:t>
      </w:r>
      <w:r w:rsidR="008345A9">
        <w:rPr>
          <w:color w:val="000000"/>
          <w:sz w:val="24"/>
          <w:szCs w:val="24"/>
        </w:rPr>
        <w:t xml:space="preserve"> afirmó, </w:t>
      </w:r>
      <w:r w:rsidR="006D308E">
        <w:rPr>
          <w:color w:val="000000"/>
          <w:sz w:val="24"/>
          <w:szCs w:val="24"/>
        </w:rPr>
        <w:t xml:space="preserve">se encontraban </w:t>
      </w:r>
      <w:r w:rsidR="008345A9">
        <w:rPr>
          <w:color w:val="000000"/>
          <w:sz w:val="24"/>
          <w:szCs w:val="24"/>
        </w:rPr>
        <w:t xml:space="preserve">orientados a desvirtuar las consideraciones del acto administrativo impugnado. </w:t>
      </w:r>
    </w:p>
    <w:p w14:paraId="4DE51E1C" w14:textId="77777777" w:rsidR="00975D30" w:rsidRDefault="00975D30" w:rsidP="00FE0FF8">
      <w:pPr>
        <w:pStyle w:val="Textonotapie"/>
        <w:rPr>
          <w:color w:val="000000"/>
          <w:sz w:val="24"/>
          <w:szCs w:val="24"/>
        </w:rPr>
      </w:pPr>
    </w:p>
    <w:p w14:paraId="69C0F468" w14:textId="77777777" w:rsidR="00695E1F" w:rsidRDefault="008345A9" w:rsidP="00FE0FF8">
      <w:pPr>
        <w:pStyle w:val="Textonotapie"/>
        <w:rPr>
          <w:color w:val="000000"/>
          <w:sz w:val="24"/>
          <w:szCs w:val="24"/>
        </w:rPr>
      </w:pPr>
      <w:r>
        <w:rPr>
          <w:color w:val="000000"/>
          <w:sz w:val="24"/>
          <w:szCs w:val="24"/>
        </w:rPr>
        <w:t xml:space="preserve">Esa apreciación resulta indiscutible con apoyo en </w:t>
      </w:r>
      <w:r w:rsidR="00FE55A3">
        <w:rPr>
          <w:color w:val="000000"/>
          <w:sz w:val="24"/>
          <w:szCs w:val="24"/>
        </w:rPr>
        <w:t xml:space="preserve">el artículo 168 del CCA, que invocó la aplicación de las normas del Código de Procedimiento Civil, entonces vigente. Sobre </w:t>
      </w:r>
      <w:r w:rsidR="00D5298D">
        <w:rPr>
          <w:color w:val="000000"/>
          <w:sz w:val="24"/>
          <w:szCs w:val="24"/>
        </w:rPr>
        <w:t>el</w:t>
      </w:r>
      <w:r w:rsidR="00975D30">
        <w:rPr>
          <w:color w:val="000000"/>
          <w:sz w:val="24"/>
          <w:szCs w:val="24"/>
        </w:rPr>
        <w:t xml:space="preserve"> </w:t>
      </w:r>
      <w:r w:rsidR="00D5298D">
        <w:rPr>
          <w:color w:val="000000"/>
          <w:sz w:val="24"/>
          <w:szCs w:val="24"/>
        </w:rPr>
        <w:t>sistema probatorio inserto en nuestra legislación civil, la jurisprudencia de la Corte Constitucional</w:t>
      </w:r>
      <w:r w:rsidR="0081080B">
        <w:rPr>
          <w:rStyle w:val="Refdenotaalpie"/>
          <w:color w:val="000000"/>
          <w:sz w:val="24"/>
          <w:szCs w:val="24"/>
        </w:rPr>
        <w:footnoteReference w:id="30"/>
      </w:r>
      <w:r w:rsidR="00D5298D">
        <w:rPr>
          <w:color w:val="000000"/>
          <w:sz w:val="24"/>
          <w:szCs w:val="24"/>
        </w:rPr>
        <w:t xml:space="preserve"> reiteró:</w:t>
      </w:r>
      <w:r w:rsidR="00FE55A3">
        <w:rPr>
          <w:color w:val="000000"/>
          <w:sz w:val="24"/>
          <w:szCs w:val="24"/>
        </w:rPr>
        <w:t xml:space="preserve"> </w:t>
      </w:r>
    </w:p>
    <w:p w14:paraId="2A6D2AA0" w14:textId="77777777" w:rsidR="00695E1F" w:rsidRDefault="00695E1F" w:rsidP="00FE0FF8">
      <w:pPr>
        <w:pStyle w:val="Textonotapie"/>
        <w:rPr>
          <w:color w:val="000000"/>
          <w:sz w:val="24"/>
          <w:szCs w:val="24"/>
        </w:rPr>
      </w:pPr>
    </w:p>
    <w:p w14:paraId="390904BB" w14:textId="77777777" w:rsidR="00695E1F" w:rsidRPr="00D5298D" w:rsidRDefault="00D5298D" w:rsidP="00FE0FF8">
      <w:pPr>
        <w:spacing w:line="276" w:lineRule="auto"/>
        <w:rPr>
          <w:rFonts w:ascii="Arial" w:hAnsi="Arial" w:cs="Arial"/>
          <w:i/>
          <w:szCs w:val="28"/>
        </w:rPr>
      </w:pPr>
      <w:r>
        <w:rPr>
          <w:rFonts w:ascii="Arial" w:hAnsi="Arial" w:cs="Arial"/>
          <w:i/>
          <w:szCs w:val="28"/>
        </w:rPr>
        <w:t>“</w:t>
      </w:r>
      <w:r w:rsidR="00695E1F" w:rsidRPr="00D5298D">
        <w:rPr>
          <w:rFonts w:ascii="Arial" w:hAnsi="Arial" w:cs="Arial"/>
          <w:i/>
          <w:szCs w:val="28"/>
        </w:rPr>
        <w:t xml:space="preserve">En el ordenamiento jurídico colombiano el postulado del </w:t>
      </w:r>
      <w:r>
        <w:rPr>
          <w:rFonts w:ascii="Arial" w:hAnsi="Arial" w:cs="Arial"/>
          <w:i/>
          <w:szCs w:val="28"/>
        </w:rPr>
        <w:t>‘</w:t>
      </w:r>
      <w:proofErr w:type="spellStart"/>
      <w:r w:rsidR="00695E1F" w:rsidRPr="00D5298D">
        <w:rPr>
          <w:rFonts w:ascii="Arial" w:hAnsi="Arial" w:cs="Arial"/>
          <w:i/>
          <w:szCs w:val="28"/>
        </w:rPr>
        <w:t>onus</w:t>
      </w:r>
      <w:proofErr w:type="spellEnd"/>
      <w:r w:rsidR="00695E1F" w:rsidRPr="00D5298D">
        <w:rPr>
          <w:rFonts w:ascii="Arial" w:hAnsi="Arial" w:cs="Arial"/>
          <w:i/>
          <w:szCs w:val="28"/>
        </w:rPr>
        <w:t xml:space="preserve"> probandi</w:t>
      </w:r>
      <w:r>
        <w:rPr>
          <w:rFonts w:ascii="Arial" w:hAnsi="Arial" w:cs="Arial"/>
          <w:i/>
          <w:szCs w:val="28"/>
        </w:rPr>
        <w:t>’</w:t>
      </w:r>
      <w:r w:rsidR="00695E1F" w:rsidRPr="00D5298D">
        <w:rPr>
          <w:rFonts w:ascii="Arial" w:hAnsi="Arial" w:cs="Arial"/>
          <w:i/>
          <w:szCs w:val="28"/>
        </w:rPr>
        <w:t xml:space="preserve"> fue consagrado en el centenario Código Civil</w:t>
      </w:r>
      <w:r w:rsidR="00695E1F" w:rsidRPr="00D5298D">
        <w:rPr>
          <w:rFonts w:ascii="Arial" w:hAnsi="Arial" w:cs="Arial"/>
          <w:i/>
          <w:szCs w:val="28"/>
          <w:vertAlign w:val="superscript"/>
        </w:rPr>
        <w:footnoteReference w:id="31"/>
      </w:r>
      <w:r w:rsidR="00695E1F" w:rsidRPr="00D5298D">
        <w:rPr>
          <w:rFonts w:ascii="Arial" w:hAnsi="Arial" w:cs="Arial"/>
          <w:i/>
          <w:szCs w:val="28"/>
        </w:rPr>
        <w:t xml:space="preserve">. Se mantuvo en el artículo 177 del Código de Procedimiento Civil de 1970 con la regla según la cual </w:t>
      </w:r>
      <w:r>
        <w:rPr>
          <w:rFonts w:ascii="Arial" w:hAnsi="Arial" w:cs="Arial"/>
          <w:i/>
          <w:szCs w:val="28"/>
        </w:rPr>
        <w:t>‘</w:t>
      </w:r>
      <w:r w:rsidR="00695E1F" w:rsidRPr="00D5298D">
        <w:rPr>
          <w:rFonts w:ascii="Arial" w:hAnsi="Arial" w:cs="Arial"/>
          <w:i/>
          <w:szCs w:val="28"/>
        </w:rPr>
        <w:t>incumbe a las partes probar el supuesto de hecho de las normas que consagran el efecto jurídico que ellas persiguen”, con excepción expresa de los hechos notorios y las afirmaciones o negaciones indefinidas</w:t>
      </w:r>
      <w:r>
        <w:rPr>
          <w:rFonts w:ascii="Arial" w:hAnsi="Arial" w:cs="Arial"/>
          <w:i/>
          <w:szCs w:val="28"/>
        </w:rPr>
        <w:t>’</w:t>
      </w:r>
      <w:r w:rsidR="00695E1F" w:rsidRPr="00D5298D">
        <w:rPr>
          <w:rFonts w:ascii="Arial" w:hAnsi="Arial" w:cs="Arial"/>
          <w:i/>
          <w:szCs w:val="28"/>
          <w:vertAlign w:val="superscript"/>
        </w:rPr>
        <w:footnoteReference w:id="32"/>
      </w:r>
      <w:r>
        <w:rPr>
          <w:rFonts w:ascii="Arial" w:hAnsi="Arial" w:cs="Arial"/>
          <w:i/>
          <w:szCs w:val="28"/>
        </w:rPr>
        <w:t>”</w:t>
      </w:r>
      <w:r w:rsidR="00695E1F" w:rsidRPr="00D5298D">
        <w:rPr>
          <w:rFonts w:ascii="Arial" w:hAnsi="Arial" w:cs="Arial"/>
          <w:i/>
          <w:szCs w:val="28"/>
        </w:rPr>
        <w:t xml:space="preserve">. </w:t>
      </w:r>
    </w:p>
    <w:p w14:paraId="2A075426" w14:textId="77777777" w:rsidR="00695E1F" w:rsidRPr="00D5298D" w:rsidRDefault="00695E1F" w:rsidP="00FE0FF8">
      <w:pPr>
        <w:spacing w:line="276" w:lineRule="auto"/>
        <w:rPr>
          <w:rFonts w:ascii="Arial" w:hAnsi="Arial" w:cs="Arial"/>
          <w:i/>
          <w:szCs w:val="28"/>
        </w:rPr>
      </w:pPr>
    </w:p>
    <w:p w14:paraId="763403F4" w14:textId="77777777" w:rsidR="00695E1F" w:rsidRDefault="00695E1F" w:rsidP="00FE0FF8">
      <w:pPr>
        <w:pStyle w:val="Textonotapie"/>
        <w:rPr>
          <w:color w:val="000000"/>
          <w:sz w:val="24"/>
          <w:szCs w:val="24"/>
        </w:rPr>
      </w:pPr>
    </w:p>
    <w:p w14:paraId="448892CA" w14:textId="77777777" w:rsidR="000671B7" w:rsidRDefault="000671B7" w:rsidP="00FE0FF8">
      <w:pPr>
        <w:pStyle w:val="Textonotapie"/>
        <w:rPr>
          <w:color w:val="000000"/>
          <w:sz w:val="24"/>
          <w:szCs w:val="24"/>
        </w:rPr>
      </w:pPr>
      <w:r>
        <w:rPr>
          <w:color w:val="000000"/>
          <w:sz w:val="24"/>
          <w:szCs w:val="24"/>
        </w:rPr>
        <w:t xml:space="preserve">No se desconoce que, </w:t>
      </w:r>
      <w:r w:rsidR="00975D30">
        <w:rPr>
          <w:color w:val="000000"/>
          <w:sz w:val="24"/>
          <w:szCs w:val="24"/>
        </w:rPr>
        <w:t xml:space="preserve">de acuerdo con la jurisprudencia, </w:t>
      </w:r>
      <w:r w:rsidR="00F07732">
        <w:rPr>
          <w:color w:val="000000"/>
          <w:sz w:val="24"/>
          <w:szCs w:val="24"/>
        </w:rPr>
        <w:t xml:space="preserve">el principio de la carga de la prueba se </w:t>
      </w:r>
      <w:r>
        <w:rPr>
          <w:color w:val="000000"/>
          <w:sz w:val="24"/>
          <w:szCs w:val="24"/>
        </w:rPr>
        <w:t xml:space="preserve">puede </w:t>
      </w:r>
      <w:r w:rsidR="00F07732">
        <w:rPr>
          <w:color w:val="000000"/>
          <w:sz w:val="24"/>
          <w:szCs w:val="24"/>
        </w:rPr>
        <w:t>flexibiliz</w:t>
      </w:r>
      <w:r>
        <w:rPr>
          <w:color w:val="000000"/>
          <w:sz w:val="24"/>
          <w:szCs w:val="24"/>
        </w:rPr>
        <w:t>ar</w:t>
      </w:r>
      <w:r w:rsidR="00F07732">
        <w:rPr>
          <w:color w:val="000000"/>
          <w:sz w:val="24"/>
          <w:szCs w:val="24"/>
        </w:rPr>
        <w:t xml:space="preserve"> </w:t>
      </w:r>
      <w:r w:rsidR="008F5EDD">
        <w:rPr>
          <w:color w:val="000000"/>
          <w:sz w:val="24"/>
          <w:szCs w:val="24"/>
        </w:rPr>
        <w:t xml:space="preserve">con apoyo en </w:t>
      </w:r>
      <w:r w:rsidR="00F07732">
        <w:rPr>
          <w:color w:val="000000"/>
          <w:sz w:val="24"/>
          <w:szCs w:val="24"/>
        </w:rPr>
        <w:t xml:space="preserve">las potestades del Juez, </w:t>
      </w:r>
      <w:r w:rsidR="00B51D69">
        <w:rPr>
          <w:color w:val="000000"/>
          <w:sz w:val="24"/>
          <w:szCs w:val="24"/>
        </w:rPr>
        <w:t xml:space="preserve">bajo la teoría de </w:t>
      </w:r>
      <w:r w:rsidR="009F5E19">
        <w:rPr>
          <w:color w:val="000000"/>
          <w:sz w:val="24"/>
          <w:szCs w:val="24"/>
        </w:rPr>
        <w:t>la carga dinámica de la prueba</w:t>
      </w:r>
      <w:r>
        <w:rPr>
          <w:color w:val="000000"/>
          <w:sz w:val="24"/>
          <w:szCs w:val="24"/>
        </w:rPr>
        <w:t>,</w:t>
      </w:r>
      <w:r w:rsidR="00975D30">
        <w:rPr>
          <w:color w:val="000000"/>
          <w:sz w:val="24"/>
          <w:szCs w:val="24"/>
        </w:rPr>
        <w:t xml:space="preserve"> según </w:t>
      </w:r>
      <w:r>
        <w:rPr>
          <w:color w:val="000000"/>
          <w:sz w:val="24"/>
          <w:szCs w:val="24"/>
        </w:rPr>
        <w:t>la</w:t>
      </w:r>
      <w:r w:rsidR="00975D30">
        <w:rPr>
          <w:color w:val="000000"/>
          <w:sz w:val="24"/>
          <w:szCs w:val="24"/>
        </w:rPr>
        <w:t xml:space="preserve"> cual el </w:t>
      </w:r>
      <w:r w:rsidR="00AF123E">
        <w:rPr>
          <w:color w:val="000000"/>
          <w:sz w:val="24"/>
          <w:szCs w:val="24"/>
        </w:rPr>
        <w:t>J</w:t>
      </w:r>
      <w:r w:rsidR="00975D30">
        <w:rPr>
          <w:color w:val="000000"/>
          <w:sz w:val="24"/>
          <w:szCs w:val="24"/>
        </w:rPr>
        <w:t xml:space="preserve">uez </w:t>
      </w:r>
      <w:r w:rsidR="00F03365">
        <w:rPr>
          <w:color w:val="000000"/>
          <w:sz w:val="24"/>
          <w:szCs w:val="24"/>
        </w:rPr>
        <w:t xml:space="preserve">está facultado para ordenar </w:t>
      </w:r>
      <w:r>
        <w:rPr>
          <w:color w:val="000000"/>
          <w:sz w:val="24"/>
          <w:szCs w:val="24"/>
        </w:rPr>
        <w:lastRenderedPageBreak/>
        <w:t xml:space="preserve">que </w:t>
      </w:r>
      <w:r w:rsidR="00975D30">
        <w:rPr>
          <w:color w:val="000000"/>
          <w:sz w:val="24"/>
          <w:szCs w:val="24"/>
        </w:rPr>
        <w:t xml:space="preserve">la parte que está en la mejor posición </w:t>
      </w:r>
      <w:r w:rsidR="00AF123E">
        <w:rPr>
          <w:color w:val="000000"/>
          <w:sz w:val="24"/>
          <w:szCs w:val="24"/>
        </w:rPr>
        <w:t xml:space="preserve">de proveer una </w:t>
      </w:r>
      <w:r>
        <w:rPr>
          <w:color w:val="000000"/>
          <w:sz w:val="24"/>
          <w:szCs w:val="24"/>
        </w:rPr>
        <w:t xml:space="preserve">prueba proceda a </w:t>
      </w:r>
      <w:r w:rsidR="00AF123E">
        <w:rPr>
          <w:color w:val="000000"/>
          <w:sz w:val="24"/>
          <w:szCs w:val="24"/>
        </w:rPr>
        <w:t>allegarla</w:t>
      </w:r>
      <w:r>
        <w:rPr>
          <w:color w:val="000000"/>
          <w:sz w:val="24"/>
          <w:szCs w:val="24"/>
        </w:rPr>
        <w:t xml:space="preserve">, so pena de derivar efectos contrarios a lo que deje de probar. </w:t>
      </w:r>
    </w:p>
    <w:p w14:paraId="46741FA2" w14:textId="77777777" w:rsidR="000671B7" w:rsidRDefault="000671B7" w:rsidP="00FE0FF8">
      <w:pPr>
        <w:pStyle w:val="Textonotapie"/>
        <w:rPr>
          <w:color w:val="000000"/>
          <w:sz w:val="24"/>
          <w:szCs w:val="24"/>
        </w:rPr>
      </w:pPr>
    </w:p>
    <w:p w14:paraId="6FEE51EE" w14:textId="77777777" w:rsidR="009F5E19" w:rsidRPr="00B76CAE" w:rsidRDefault="000671B7" w:rsidP="00FE0FF8">
      <w:pPr>
        <w:pStyle w:val="Textonotapie"/>
        <w:rPr>
          <w:color w:val="000000"/>
          <w:sz w:val="24"/>
          <w:szCs w:val="24"/>
        </w:rPr>
      </w:pPr>
      <w:r>
        <w:rPr>
          <w:color w:val="000000"/>
          <w:sz w:val="24"/>
          <w:szCs w:val="24"/>
        </w:rPr>
        <w:t xml:space="preserve">Sin embargo, ese principio es </w:t>
      </w:r>
      <w:r w:rsidR="005E3313">
        <w:rPr>
          <w:color w:val="000000"/>
          <w:sz w:val="24"/>
          <w:szCs w:val="24"/>
        </w:rPr>
        <w:t>aplicable en caso</w:t>
      </w:r>
      <w:r w:rsidR="008F5EDD">
        <w:rPr>
          <w:color w:val="000000"/>
          <w:sz w:val="24"/>
          <w:szCs w:val="24"/>
        </w:rPr>
        <w:t>s</w:t>
      </w:r>
      <w:r w:rsidR="005E3313">
        <w:rPr>
          <w:color w:val="000000"/>
          <w:sz w:val="24"/>
          <w:szCs w:val="24"/>
        </w:rPr>
        <w:t xml:space="preserve"> excepcionales</w:t>
      </w:r>
      <w:r w:rsidR="008F5EDD">
        <w:rPr>
          <w:color w:val="000000"/>
          <w:sz w:val="24"/>
          <w:szCs w:val="24"/>
        </w:rPr>
        <w:t xml:space="preserve">, según lo reseñó la Corte Constitucional en la </w:t>
      </w:r>
      <w:r w:rsidR="008F5EDD" w:rsidRPr="00B76CAE">
        <w:rPr>
          <w:color w:val="000000"/>
          <w:sz w:val="24"/>
          <w:szCs w:val="24"/>
        </w:rPr>
        <w:t xml:space="preserve">sentencia </w:t>
      </w:r>
      <w:r w:rsidR="008F5EDD" w:rsidRPr="00B76CAE">
        <w:rPr>
          <w:rFonts w:cs="Arial"/>
          <w:sz w:val="24"/>
          <w:szCs w:val="24"/>
        </w:rPr>
        <w:t xml:space="preserve">C-086/16 </w:t>
      </w:r>
      <w:r w:rsidR="008F5EDD" w:rsidRPr="00B76CAE">
        <w:rPr>
          <w:color w:val="000000"/>
          <w:sz w:val="24"/>
          <w:szCs w:val="24"/>
        </w:rPr>
        <w:t xml:space="preserve">que se viene comentando: </w:t>
      </w:r>
    </w:p>
    <w:p w14:paraId="24CA0DA0" w14:textId="77777777" w:rsidR="008F5EDD" w:rsidRDefault="008F5EDD" w:rsidP="00FE0FF8">
      <w:pPr>
        <w:pStyle w:val="Textonotapie"/>
        <w:rPr>
          <w:color w:val="000000"/>
          <w:sz w:val="24"/>
          <w:szCs w:val="24"/>
        </w:rPr>
      </w:pPr>
    </w:p>
    <w:p w14:paraId="767977D5" w14:textId="77777777" w:rsidR="00B51D69" w:rsidRPr="00B73665" w:rsidRDefault="005E3313" w:rsidP="00FE0FF8">
      <w:pPr>
        <w:rPr>
          <w:rFonts w:ascii="Arial" w:hAnsi="Arial" w:cs="Arial"/>
          <w:i/>
          <w:szCs w:val="28"/>
        </w:rPr>
      </w:pPr>
      <w:r w:rsidRPr="00B73665">
        <w:rPr>
          <w:rFonts w:ascii="Arial" w:hAnsi="Arial" w:cs="Arial"/>
          <w:i/>
          <w:szCs w:val="28"/>
        </w:rPr>
        <w:t>“</w:t>
      </w:r>
      <w:r w:rsidR="00B51D69" w:rsidRPr="00B73665">
        <w:rPr>
          <w:rFonts w:ascii="Arial" w:hAnsi="Arial" w:cs="Arial"/>
          <w:i/>
          <w:szCs w:val="28"/>
        </w:rPr>
        <w:t xml:space="preserve">De esta manera, la noción de carga dinámica de la prueba, </w:t>
      </w:r>
      <w:r w:rsidR="00B73665">
        <w:rPr>
          <w:rFonts w:ascii="Arial" w:hAnsi="Arial" w:cs="Arial"/>
          <w:i/>
          <w:szCs w:val="28"/>
        </w:rPr>
        <w:t>‘</w:t>
      </w:r>
      <w:r w:rsidR="00B51D69" w:rsidRPr="00B73665">
        <w:rPr>
          <w:rFonts w:ascii="Arial" w:hAnsi="Arial" w:cs="Arial"/>
          <w:i/>
          <w:szCs w:val="28"/>
        </w:rPr>
        <w:t>que no desconoce las reglas clásicas de la carga de la prueba, sino que trata de complementarla o perfeccionarla</w:t>
      </w:r>
      <w:r w:rsidR="00B73665">
        <w:rPr>
          <w:rFonts w:ascii="Arial" w:hAnsi="Arial" w:cs="Arial"/>
          <w:i/>
          <w:szCs w:val="28"/>
        </w:rPr>
        <w:t>’</w:t>
      </w:r>
      <w:r w:rsidR="00B51D69" w:rsidRPr="00B73665">
        <w:rPr>
          <w:rFonts w:ascii="Arial" w:hAnsi="Arial" w:cs="Arial"/>
          <w:i/>
          <w:szCs w:val="28"/>
          <w:vertAlign w:val="superscript"/>
        </w:rPr>
        <w:footnoteReference w:id="33"/>
      </w:r>
      <w:r w:rsidR="00B51D69" w:rsidRPr="00B73665">
        <w:rPr>
          <w:rFonts w:ascii="Arial" w:hAnsi="Arial" w:cs="Arial"/>
          <w:i/>
          <w:szCs w:val="28"/>
        </w:rPr>
        <w:t>,</w:t>
      </w:r>
      <w:r w:rsidR="00B76CAE">
        <w:rPr>
          <w:rFonts w:ascii="Arial" w:hAnsi="Arial" w:cs="Arial"/>
          <w:i/>
          <w:szCs w:val="28"/>
        </w:rPr>
        <w:t xml:space="preserve"> </w:t>
      </w:r>
      <w:r w:rsidR="00B51D69" w:rsidRPr="00B73665">
        <w:rPr>
          <w:rFonts w:ascii="Arial" w:hAnsi="Arial" w:cs="Arial"/>
          <w:i/>
          <w:szCs w:val="28"/>
        </w:rPr>
        <w:t>supone reasignar dicha responsabilidad, ya no en función de quien invoca un hecho sino del sujeto que, de acuerdo con las circunstancias de cada caso, se encuentra en mejores condiciones técnicas, profesionales o fácticas de acreditarlo</w:t>
      </w:r>
      <w:r w:rsidR="00B51D69" w:rsidRPr="00B73665">
        <w:rPr>
          <w:rFonts w:ascii="Arial" w:hAnsi="Arial" w:cs="Arial"/>
          <w:i/>
          <w:szCs w:val="28"/>
          <w:vertAlign w:val="superscript"/>
        </w:rPr>
        <w:footnoteReference w:id="34"/>
      </w:r>
      <w:r w:rsidRPr="00B73665">
        <w:rPr>
          <w:rFonts w:ascii="Arial" w:hAnsi="Arial" w:cs="Arial"/>
          <w:i/>
          <w:szCs w:val="28"/>
        </w:rPr>
        <w:t>”</w:t>
      </w:r>
      <w:r w:rsidR="00B12B31">
        <w:rPr>
          <w:rFonts w:ascii="Arial" w:hAnsi="Arial" w:cs="Arial"/>
          <w:i/>
          <w:szCs w:val="28"/>
        </w:rPr>
        <w:t>.</w:t>
      </w:r>
    </w:p>
    <w:p w14:paraId="2CF715E0" w14:textId="77777777" w:rsidR="00B51D69" w:rsidRPr="008070CB" w:rsidRDefault="00B51D69" w:rsidP="00FE0FF8">
      <w:pPr>
        <w:rPr>
          <w:szCs w:val="28"/>
        </w:rPr>
      </w:pPr>
    </w:p>
    <w:p w14:paraId="1E0EF0A5" w14:textId="77777777" w:rsidR="00B51D69" w:rsidRDefault="00B51D69" w:rsidP="00FE0FF8">
      <w:pPr>
        <w:pStyle w:val="Textonotapie"/>
        <w:rPr>
          <w:color w:val="000000"/>
          <w:sz w:val="24"/>
          <w:szCs w:val="24"/>
        </w:rPr>
      </w:pPr>
    </w:p>
    <w:p w14:paraId="3E329B3F" w14:textId="77777777" w:rsidR="00B12B31" w:rsidRDefault="000671B7" w:rsidP="00FE0FF8">
      <w:pPr>
        <w:pStyle w:val="Textonotapie"/>
        <w:rPr>
          <w:color w:val="000000"/>
          <w:sz w:val="24"/>
          <w:szCs w:val="24"/>
        </w:rPr>
      </w:pPr>
      <w:r>
        <w:rPr>
          <w:color w:val="000000"/>
          <w:sz w:val="24"/>
          <w:szCs w:val="24"/>
        </w:rPr>
        <w:t>D</w:t>
      </w:r>
      <w:r w:rsidR="008F5EDD">
        <w:rPr>
          <w:color w:val="000000"/>
          <w:sz w:val="24"/>
          <w:szCs w:val="24"/>
        </w:rPr>
        <w:t xml:space="preserve">escendiendo al asunto que ahora ocupa la atención de la Sala, </w:t>
      </w:r>
      <w:r w:rsidR="00B12B31">
        <w:rPr>
          <w:color w:val="000000"/>
          <w:sz w:val="24"/>
          <w:szCs w:val="24"/>
        </w:rPr>
        <w:t xml:space="preserve">se </w:t>
      </w:r>
      <w:r w:rsidR="005E3313">
        <w:rPr>
          <w:color w:val="000000"/>
          <w:sz w:val="24"/>
          <w:szCs w:val="24"/>
        </w:rPr>
        <w:t xml:space="preserve">considera </w:t>
      </w:r>
      <w:proofErr w:type="gramStart"/>
      <w:r w:rsidR="005E3313">
        <w:rPr>
          <w:color w:val="000000"/>
          <w:sz w:val="24"/>
          <w:szCs w:val="24"/>
        </w:rPr>
        <w:t>que</w:t>
      </w:r>
      <w:proofErr w:type="gramEnd"/>
      <w:r w:rsidR="005E3313">
        <w:rPr>
          <w:color w:val="000000"/>
          <w:sz w:val="24"/>
          <w:szCs w:val="24"/>
        </w:rPr>
        <w:t xml:space="preserve"> </w:t>
      </w:r>
      <w:r w:rsidR="00E61881">
        <w:rPr>
          <w:color w:val="000000"/>
          <w:sz w:val="24"/>
          <w:szCs w:val="24"/>
        </w:rPr>
        <w:t xml:space="preserve">en </w:t>
      </w:r>
      <w:r w:rsidR="008F5EDD">
        <w:rPr>
          <w:color w:val="000000"/>
          <w:sz w:val="24"/>
          <w:szCs w:val="24"/>
        </w:rPr>
        <w:t xml:space="preserve">relación con los documentos del procedimiento precontractual, </w:t>
      </w:r>
      <w:r w:rsidR="00E61881">
        <w:rPr>
          <w:color w:val="000000"/>
          <w:sz w:val="24"/>
          <w:szCs w:val="24"/>
        </w:rPr>
        <w:t>la demandante no se vi</w:t>
      </w:r>
      <w:r w:rsidR="008F5EDD">
        <w:rPr>
          <w:color w:val="000000"/>
          <w:sz w:val="24"/>
          <w:szCs w:val="24"/>
        </w:rPr>
        <w:t>o</w:t>
      </w:r>
      <w:r w:rsidR="00E61881">
        <w:rPr>
          <w:color w:val="000000"/>
          <w:sz w:val="24"/>
          <w:szCs w:val="24"/>
        </w:rPr>
        <w:t xml:space="preserve"> ante la imposibilidad de probar los </w:t>
      </w:r>
      <w:r w:rsidR="00B12B31">
        <w:rPr>
          <w:color w:val="000000"/>
          <w:sz w:val="24"/>
          <w:szCs w:val="24"/>
        </w:rPr>
        <w:t xml:space="preserve">hechos </w:t>
      </w:r>
      <w:r w:rsidR="00B76CAE">
        <w:rPr>
          <w:color w:val="000000"/>
          <w:sz w:val="24"/>
          <w:szCs w:val="24"/>
        </w:rPr>
        <w:t>r</w:t>
      </w:r>
      <w:r w:rsidR="007A27E3">
        <w:rPr>
          <w:color w:val="000000"/>
          <w:sz w:val="24"/>
          <w:szCs w:val="24"/>
        </w:rPr>
        <w:t>eferidos en su demanda y que</w:t>
      </w:r>
      <w:r w:rsidR="00D72D92">
        <w:rPr>
          <w:color w:val="000000"/>
          <w:sz w:val="24"/>
          <w:szCs w:val="24"/>
        </w:rPr>
        <w:t>,</w:t>
      </w:r>
      <w:r w:rsidR="007A27E3">
        <w:rPr>
          <w:color w:val="000000"/>
          <w:sz w:val="24"/>
          <w:szCs w:val="24"/>
        </w:rPr>
        <w:t xml:space="preserve"> por ello, aunque </w:t>
      </w:r>
      <w:r w:rsidR="005E3313">
        <w:rPr>
          <w:color w:val="000000"/>
          <w:sz w:val="24"/>
          <w:szCs w:val="24"/>
        </w:rPr>
        <w:t xml:space="preserve">el distrito </w:t>
      </w:r>
      <w:r w:rsidR="00327B2A">
        <w:rPr>
          <w:color w:val="000000"/>
          <w:sz w:val="24"/>
          <w:szCs w:val="24"/>
        </w:rPr>
        <w:t xml:space="preserve">de Cartagena </w:t>
      </w:r>
      <w:r w:rsidR="005E3313">
        <w:rPr>
          <w:color w:val="000000"/>
          <w:sz w:val="24"/>
          <w:szCs w:val="24"/>
        </w:rPr>
        <w:t>no atendió los requerimientos para allegar la prueba de l</w:t>
      </w:r>
      <w:r w:rsidR="00E61881">
        <w:rPr>
          <w:color w:val="000000"/>
          <w:sz w:val="24"/>
          <w:szCs w:val="24"/>
        </w:rPr>
        <w:t xml:space="preserve">os </w:t>
      </w:r>
      <w:r w:rsidR="00F71BEB">
        <w:rPr>
          <w:color w:val="000000"/>
          <w:sz w:val="24"/>
          <w:szCs w:val="24"/>
        </w:rPr>
        <w:t xml:space="preserve">referidos </w:t>
      </w:r>
      <w:r w:rsidR="00E61881">
        <w:rPr>
          <w:color w:val="000000"/>
          <w:sz w:val="24"/>
          <w:szCs w:val="24"/>
        </w:rPr>
        <w:t>antecedentes administrativos</w:t>
      </w:r>
      <w:r w:rsidR="007A27E3">
        <w:rPr>
          <w:color w:val="000000"/>
          <w:sz w:val="24"/>
          <w:szCs w:val="24"/>
        </w:rPr>
        <w:t xml:space="preserve">, no puede tenerse por demostrado </w:t>
      </w:r>
      <w:r w:rsidR="00E61881">
        <w:rPr>
          <w:color w:val="000000"/>
          <w:sz w:val="24"/>
          <w:szCs w:val="24"/>
        </w:rPr>
        <w:t xml:space="preserve">lo que </w:t>
      </w:r>
      <w:r w:rsidR="00B12B31">
        <w:rPr>
          <w:color w:val="000000"/>
          <w:sz w:val="24"/>
          <w:szCs w:val="24"/>
        </w:rPr>
        <w:t xml:space="preserve">se </w:t>
      </w:r>
      <w:r w:rsidR="007A27E3">
        <w:rPr>
          <w:color w:val="000000"/>
          <w:sz w:val="24"/>
          <w:szCs w:val="24"/>
        </w:rPr>
        <w:t xml:space="preserve">afirmó en la </w:t>
      </w:r>
      <w:r w:rsidR="00E61881">
        <w:rPr>
          <w:color w:val="000000"/>
          <w:sz w:val="24"/>
          <w:szCs w:val="24"/>
        </w:rPr>
        <w:t>demanda</w:t>
      </w:r>
      <w:r w:rsidR="00B12B31">
        <w:rPr>
          <w:color w:val="000000"/>
          <w:sz w:val="24"/>
          <w:szCs w:val="24"/>
        </w:rPr>
        <w:t>.</w:t>
      </w:r>
    </w:p>
    <w:p w14:paraId="367A874B" w14:textId="77777777" w:rsidR="00B12B31" w:rsidRDefault="00B12B31" w:rsidP="00FE0FF8">
      <w:pPr>
        <w:pStyle w:val="Textonotapie"/>
        <w:rPr>
          <w:color w:val="000000"/>
          <w:sz w:val="24"/>
          <w:szCs w:val="24"/>
        </w:rPr>
      </w:pPr>
    </w:p>
    <w:p w14:paraId="15A5260F" w14:textId="77777777" w:rsidR="00BE78C5" w:rsidRDefault="00B12B31" w:rsidP="00FE0FF8">
      <w:pPr>
        <w:pStyle w:val="Textonotapie"/>
        <w:rPr>
          <w:color w:val="000000"/>
          <w:sz w:val="24"/>
          <w:szCs w:val="24"/>
        </w:rPr>
      </w:pPr>
      <w:r>
        <w:rPr>
          <w:color w:val="000000"/>
          <w:sz w:val="24"/>
          <w:szCs w:val="24"/>
        </w:rPr>
        <w:t xml:space="preserve">Se </w:t>
      </w:r>
      <w:r w:rsidR="00C93014">
        <w:rPr>
          <w:color w:val="000000"/>
          <w:sz w:val="24"/>
          <w:szCs w:val="24"/>
        </w:rPr>
        <w:t xml:space="preserve">concluye </w:t>
      </w:r>
      <w:r>
        <w:rPr>
          <w:color w:val="000000"/>
          <w:sz w:val="24"/>
          <w:szCs w:val="24"/>
        </w:rPr>
        <w:t xml:space="preserve">lo anterior, </w:t>
      </w:r>
      <w:r w:rsidR="0093062B">
        <w:rPr>
          <w:color w:val="000000"/>
          <w:sz w:val="24"/>
          <w:szCs w:val="24"/>
        </w:rPr>
        <w:t xml:space="preserve">a partir de la observación de que </w:t>
      </w:r>
      <w:r w:rsidR="007A27E3">
        <w:rPr>
          <w:color w:val="000000"/>
          <w:sz w:val="24"/>
          <w:szCs w:val="24"/>
        </w:rPr>
        <w:t>la</w:t>
      </w:r>
      <w:r w:rsidR="00B80748">
        <w:rPr>
          <w:color w:val="000000"/>
          <w:sz w:val="24"/>
          <w:szCs w:val="24"/>
        </w:rPr>
        <w:t>s sociedades que conformaban la unión temporal e</w:t>
      </w:r>
      <w:r w:rsidR="00295005">
        <w:rPr>
          <w:color w:val="000000"/>
          <w:sz w:val="24"/>
          <w:szCs w:val="24"/>
        </w:rPr>
        <w:t>staban sometidas a</w:t>
      </w:r>
      <w:r w:rsidR="00C93014">
        <w:rPr>
          <w:color w:val="000000"/>
          <w:sz w:val="24"/>
          <w:szCs w:val="24"/>
        </w:rPr>
        <w:t>l</w:t>
      </w:r>
      <w:r w:rsidR="00295005">
        <w:rPr>
          <w:color w:val="000000"/>
          <w:sz w:val="24"/>
          <w:szCs w:val="24"/>
        </w:rPr>
        <w:t xml:space="preserve"> estatuto del comerciante, </w:t>
      </w:r>
      <w:r w:rsidR="002722E5">
        <w:rPr>
          <w:color w:val="000000"/>
          <w:sz w:val="24"/>
          <w:szCs w:val="24"/>
        </w:rPr>
        <w:t xml:space="preserve">según se establece con fundamento en </w:t>
      </w:r>
      <w:r w:rsidR="00295005">
        <w:rPr>
          <w:color w:val="000000"/>
          <w:sz w:val="24"/>
          <w:szCs w:val="24"/>
        </w:rPr>
        <w:t xml:space="preserve">las actividades descritas </w:t>
      </w:r>
      <w:r w:rsidR="00934CA5">
        <w:rPr>
          <w:color w:val="000000"/>
          <w:sz w:val="24"/>
          <w:szCs w:val="24"/>
        </w:rPr>
        <w:t xml:space="preserve">para cada una de ellas </w:t>
      </w:r>
      <w:r w:rsidR="00295005">
        <w:rPr>
          <w:color w:val="000000"/>
          <w:sz w:val="24"/>
          <w:szCs w:val="24"/>
        </w:rPr>
        <w:t xml:space="preserve">en el documento de </w:t>
      </w:r>
      <w:r w:rsidR="002722E5">
        <w:rPr>
          <w:color w:val="000000"/>
          <w:sz w:val="24"/>
          <w:szCs w:val="24"/>
        </w:rPr>
        <w:t>l</w:t>
      </w:r>
      <w:r w:rsidR="00295005">
        <w:rPr>
          <w:color w:val="000000"/>
          <w:sz w:val="24"/>
          <w:szCs w:val="24"/>
        </w:rPr>
        <w:t xml:space="preserve">a Unión </w:t>
      </w:r>
      <w:r w:rsidR="00946368">
        <w:rPr>
          <w:color w:val="000000"/>
          <w:sz w:val="24"/>
          <w:szCs w:val="24"/>
        </w:rPr>
        <w:t>T</w:t>
      </w:r>
      <w:r w:rsidR="00295005">
        <w:rPr>
          <w:color w:val="000000"/>
          <w:sz w:val="24"/>
          <w:szCs w:val="24"/>
        </w:rPr>
        <w:t xml:space="preserve">emporal y </w:t>
      </w:r>
      <w:r w:rsidR="00934CA5">
        <w:rPr>
          <w:color w:val="000000"/>
          <w:sz w:val="24"/>
          <w:szCs w:val="24"/>
        </w:rPr>
        <w:t xml:space="preserve">de acuerdo con </w:t>
      </w:r>
      <w:r w:rsidR="00295005">
        <w:rPr>
          <w:color w:val="000000"/>
          <w:sz w:val="24"/>
          <w:szCs w:val="24"/>
        </w:rPr>
        <w:t xml:space="preserve">el </w:t>
      </w:r>
      <w:r w:rsidR="002722E5">
        <w:rPr>
          <w:color w:val="000000"/>
          <w:sz w:val="24"/>
          <w:szCs w:val="24"/>
        </w:rPr>
        <w:t xml:space="preserve">certificado de la Cámara de Comercio </w:t>
      </w:r>
      <w:r w:rsidR="00BE78C5">
        <w:rPr>
          <w:color w:val="000000"/>
          <w:sz w:val="24"/>
          <w:szCs w:val="24"/>
        </w:rPr>
        <w:t xml:space="preserve">de Barranquilla </w:t>
      </w:r>
      <w:r w:rsidR="00946368">
        <w:rPr>
          <w:color w:val="000000"/>
          <w:sz w:val="24"/>
          <w:szCs w:val="24"/>
        </w:rPr>
        <w:t>que se aportó para una de ellas</w:t>
      </w:r>
      <w:r w:rsidR="00BE78C5">
        <w:rPr>
          <w:rStyle w:val="Refdenotaalpie"/>
          <w:color w:val="000000"/>
          <w:sz w:val="24"/>
          <w:szCs w:val="24"/>
        </w:rPr>
        <w:footnoteReference w:id="35"/>
      </w:r>
      <w:r w:rsidR="00946368">
        <w:rPr>
          <w:color w:val="000000"/>
          <w:sz w:val="24"/>
          <w:szCs w:val="24"/>
        </w:rPr>
        <w:t>, de manera que tenía</w:t>
      </w:r>
      <w:r w:rsidR="00BE78C5">
        <w:rPr>
          <w:color w:val="000000"/>
          <w:sz w:val="24"/>
          <w:szCs w:val="24"/>
        </w:rPr>
        <w:t>n</w:t>
      </w:r>
      <w:r w:rsidR="00946368">
        <w:rPr>
          <w:color w:val="000000"/>
          <w:sz w:val="24"/>
          <w:szCs w:val="24"/>
        </w:rPr>
        <w:t xml:space="preserve"> que conservar el archivo de su correspondencia en los términos del artículo 54 del Código de Comercio</w:t>
      </w:r>
      <w:r w:rsidR="00350A18">
        <w:rPr>
          <w:rStyle w:val="Refdenotaalpie"/>
          <w:color w:val="000000"/>
          <w:sz w:val="24"/>
          <w:szCs w:val="24"/>
        </w:rPr>
        <w:footnoteReference w:id="36"/>
      </w:r>
      <w:r w:rsidR="00BE78C5">
        <w:rPr>
          <w:color w:val="000000"/>
          <w:sz w:val="24"/>
          <w:szCs w:val="24"/>
        </w:rPr>
        <w:t>.</w:t>
      </w:r>
    </w:p>
    <w:p w14:paraId="7BB1D0CE" w14:textId="77777777" w:rsidR="00BE78C5" w:rsidRDefault="00BE78C5" w:rsidP="00FE0FF8">
      <w:pPr>
        <w:pStyle w:val="Textonotapie"/>
        <w:rPr>
          <w:color w:val="000000"/>
          <w:sz w:val="24"/>
          <w:szCs w:val="24"/>
        </w:rPr>
      </w:pPr>
    </w:p>
    <w:p w14:paraId="6FA47A5A" w14:textId="77777777" w:rsidR="007A27E3" w:rsidRDefault="00BE78C5" w:rsidP="00FE0FF8">
      <w:pPr>
        <w:pStyle w:val="Textonotapie"/>
        <w:rPr>
          <w:color w:val="000000"/>
          <w:sz w:val="24"/>
          <w:szCs w:val="24"/>
        </w:rPr>
      </w:pPr>
      <w:r>
        <w:rPr>
          <w:color w:val="000000"/>
          <w:sz w:val="24"/>
          <w:szCs w:val="24"/>
        </w:rPr>
        <w:lastRenderedPageBreak/>
        <w:t>Así las cosas</w:t>
      </w:r>
      <w:r w:rsidR="00D72D92">
        <w:rPr>
          <w:color w:val="000000"/>
          <w:sz w:val="24"/>
          <w:szCs w:val="24"/>
        </w:rPr>
        <w:t>,</w:t>
      </w:r>
      <w:r>
        <w:rPr>
          <w:color w:val="000000"/>
          <w:sz w:val="24"/>
          <w:szCs w:val="24"/>
        </w:rPr>
        <w:t xml:space="preserve"> la </w:t>
      </w:r>
      <w:r w:rsidR="00934CA5">
        <w:rPr>
          <w:color w:val="000000"/>
          <w:sz w:val="24"/>
          <w:szCs w:val="24"/>
        </w:rPr>
        <w:t xml:space="preserve">unión temporal </w:t>
      </w:r>
      <w:r>
        <w:rPr>
          <w:color w:val="000000"/>
          <w:sz w:val="24"/>
          <w:szCs w:val="24"/>
        </w:rPr>
        <w:t xml:space="preserve">demandante </w:t>
      </w:r>
      <w:r w:rsidR="007A27E3">
        <w:rPr>
          <w:color w:val="000000"/>
          <w:sz w:val="24"/>
          <w:szCs w:val="24"/>
        </w:rPr>
        <w:t>s</w:t>
      </w:r>
      <w:r w:rsidR="0081080B">
        <w:rPr>
          <w:color w:val="000000"/>
          <w:sz w:val="24"/>
          <w:szCs w:val="24"/>
        </w:rPr>
        <w:t>í</w:t>
      </w:r>
      <w:r w:rsidR="007A27E3">
        <w:rPr>
          <w:color w:val="000000"/>
          <w:sz w:val="24"/>
          <w:szCs w:val="24"/>
        </w:rPr>
        <w:t xml:space="preserve"> estaba en </w:t>
      </w:r>
      <w:r w:rsidR="00E61881">
        <w:rPr>
          <w:color w:val="000000"/>
          <w:sz w:val="24"/>
          <w:szCs w:val="24"/>
        </w:rPr>
        <w:t>p</w:t>
      </w:r>
      <w:r w:rsidR="007A27E3">
        <w:rPr>
          <w:color w:val="000000"/>
          <w:sz w:val="24"/>
          <w:szCs w:val="24"/>
        </w:rPr>
        <w:t>osibilidad de allegar la prueba de sus intervenciones en el proce</w:t>
      </w:r>
      <w:r>
        <w:rPr>
          <w:color w:val="000000"/>
          <w:sz w:val="24"/>
          <w:szCs w:val="24"/>
        </w:rPr>
        <w:t>dimiento precontractual</w:t>
      </w:r>
      <w:r w:rsidR="007A27E3">
        <w:rPr>
          <w:color w:val="000000"/>
          <w:sz w:val="24"/>
          <w:szCs w:val="24"/>
        </w:rPr>
        <w:t xml:space="preserve">, amén de que su conducta procesal </w:t>
      </w:r>
      <w:r w:rsidR="00327B2A">
        <w:rPr>
          <w:color w:val="000000"/>
          <w:sz w:val="24"/>
          <w:szCs w:val="24"/>
        </w:rPr>
        <w:t xml:space="preserve">sí </w:t>
      </w:r>
      <w:r w:rsidR="007A27E3">
        <w:rPr>
          <w:color w:val="000000"/>
          <w:sz w:val="24"/>
          <w:szCs w:val="24"/>
        </w:rPr>
        <w:t xml:space="preserve">denota la inactividad que reseñó el Tribunal </w:t>
      </w:r>
      <w:r w:rsidR="007A27E3" w:rsidRPr="00934CA5">
        <w:rPr>
          <w:i/>
          <w:color w:val="000000"/>
          <w:sz w:val="24"/>
          <w:szCs w:val="24"/>
        </w:rPr>
        <w:t>a quo</w:t>
      </w:r>
      <w:r w:rsidR="00327B2A">
        <w:rPr>
          <w:color w:val="000000"/>
          <w:sz w:val="24"/>
          <w:szCs w:val="24"/>
        </w:rPr>
        <w:t xml:space="preserve">, según </w:t>
      </w:r>
      <w:r w:rsidR="00934CA5">
        <w:rPr>
          <w:color w:val="000000"/>
          <w:sz w:val="24"/>
          <w:szCs w:val="24"/>
        </w:rPr>
        <w:t>se confirma</w:t>
      </w:r>
      <w:r w:rsidR="00D72D92">
        <w:rPr>
          <w:color w:val="000000"/>
          <w:sz w:val="24"/>
          <w:szCs w:val="24"/>
        </w:rPr>
        <w:t>,</w:t>
      </w:r>
      <w:r w:rsidR="00934CA5">
        <w:rPr>
          <w:color w:val="000000"/>
          <w:sz w:val="24"/>
          <w:szCs w:val="24"/>
        </w:rPr>
        <w:t xml:space="preserve"> con base en </w:t>
      </w:r>
      <w:r w:rsidR="00AF123E">
        <w:rPr>
          <w:color w:val="000000"/>
          <w:sz w:val="24"/>
          <w:szCs w:val="24"/>
        </w:rPr>
        <w:t xml:space="preserve">lo que </w:t>
      </w:r>
      <w:r w:rsidR="00327B2A">
        <w:rPr>
          <w:color w:val="000000"/>
          <w:sz w:val="24"/>
          <w:szCs w:val="24"/>
        </w:rPr>
        <w:t xml:space="preserve">se detalla </w:t>
      </w:r>
      <w:r w:rsidR="00A63B32">
        <w:rPr>
          <w:color w:val="000000"/>
          <w:sz w:val="24"/>
          <w:szCs w:val="24"/>
        </w:rPr>
        <w:t>en el acápite siguiente</w:t>
      </w:r>
      <w:r w:rsidR="00B76CAE">
        <w:rPr>
          <w:color w:val="000000"/>
          <w:sz w:val="24"/>
          <w:szCs w:val="24"/>
        </w:rPr>
        <w:t>.</w:t>
      </w:r>
      <w:r w:rsidR="00327B2A">
        <w:rPr>
          <w:color w:val="000000"/>
          <w:sz w:val="24"/>
          <w:szCs w:val="24"/>
        </w:rPr>
        <w:t xml:space="preserve"> </w:t>
      </w:r>
    </w:p>
    <w:p w14:paraId="13F6B0EE" w14:textId="77777777" w:rsidR="00F71BEB" w:rsidRDefault="00F71BEB" w:rsidP="00FE0FF8">
      <w:pPr>
        <w:pStyle w:val="Textonotapie"/>
        <w:rPr>
          <w:color w:val="000000"/>
          <w:sz w:val="24"/>
          <w:szCs w:val="24"/>
        </w:rPr>
      </w:pPr>
    </w:p>
    <w:p w14:paraId="79EE5307" w14:textId="77777777" w:rsidR="00F71BEB" w:rsidRDefault="00FD5981" w:rsidP="00FE0FF8">
      <w:pPr>
        <w:pStyle w:val="Textonotapie"/>
        <w:rPr>
          <w:b/>
          <w:color w:val="000000"/>
          <w:sz w:val="24"/>
          <w:szCs w:val="24"/>
        </w:rPr>
      </w:pPr>
      <w:r>
        <w:rPr>
          <w:b/>
          <w:color w:val="000000"/>
          <w:sz w:val="24"/>
          <w:szCs w:val="24"/>
        </w:rPr>
        <w:t>6</w:t>
      </w:r>
      <w:r w:rsidR="00F71BEB" w:rsidRPr="00F71BEB">
        <w:rPr>
          <w:b/>
          <w:color w:val="000000"/>
          <w:sz w:val="24"/>
          <w:szCs w:val="24"/>
        </w:rPr>
        <w:t xml:space="preserve">. </w:t>
      </w:r>
      <w:r w:rsidR="00356625">
        <w:rPr>
          <w:b/>
          <w:color w:val="000000"/>
          <w:sz w:val="24"/>
          <w:szCs w:val="24"/>
        </w:rPr>
        <w:t>Efecto de la inactividad probatoria</w:t>
      </w:r>
    </w:p>
    <w:p w14:paraId="46F43911" w14:textId="77777777" w:rsidR="00356625" w:rsidRDefault="00356625" w:rsidP="00FE0FF8">
      <w:pPr>
        <w:pStyle w:val="Textonotapie"/>
        <w:rPr>
          <w:color w:val="000000"/>
          <w:sz w:val="24"/>
          <w:szCs w:val="24"/>
        </w:rPr>
      </w:pPr>
    </w:p>
    <w:p w14:paraId="223E0F07" w14:textId="77777777" w:rsidR="002E376E" w:rsidRDefault="002E376E" w:rsidP="00FE0FF8">
      <w:pPr>
        <w:pStyle w:val="Textonotapie"/>
        <w:rPr>
          <w:color w:val="000000"/>
          <w:sz w:val="24"/>
          <w:szCs w:val="24"/>
        </w:rPr>
      </w:pPr>
      <w:r>
        <w:rPr>
          <w:color w:val="000000"/>
          <w:sz w:val="24"/>
          <w:szCs w:val="24"/>
        </w:rPr>
        <w:t>Se debe advertir que en proceso</w:t>
      </w:r>
      <w:r w:rsidR="00D72D92">
        <w:rPr>
          <w:color w:val="000000"/>
          <w:sz w:val="24"/>
          <w:szCs w:val="24"/>
        </w:rPr>
        <w:t>s</w:t>
      </w:r>
      <w:r>
        <w:rPr>
          <w:color w:val="000000"/>
          <w:sz w:val="24"/>
          <w:szCs w:val="24"/>
        </w:rPr>
        <w:t xml:space="preserve"> como el que ahora se desata, no hay lugar a dar aplicación a una supuesta inversión de la carga de la prueba, habida cuenta </w:t>
      </w:r>
      <w:r w:rsidR="00D72D92">
        <w:rPr>
          <w:color w:val="000000"/>
          <w:sz w:val="24"/>
          <w:szCs w:val="24"/>
        </w:rPr>
        <w:t xml:space="preserve">de </w:t>
      </w:r>
      <w:r>
        <w:rPr>
          <w:color w:val="000000"/>
          <w:sz w:val="24"/>
          <w:szCs w:val="24"/>
        </w:rPr>
        <w:t xml:space="preserve">que para desvirtuar los hechos y las consideraciones del acto administrativo </w:t>
      </w:r>
      <w:r w:rsidR="005E55A6">
        <w:rPr>
          <w:color w:val="000000"/>
          <w:sz w:val="24"/>
          <w:szCs w:val="24"/>
        </w:rPr>
        <w:t xml:space="preserve">impugnado </w:t>
      </w:r>
      <w:r>
        <w:rPr>
          <w:color w:val="000000"/>
          <w:sz w:val="24"/>
          <w:szCs w:val="24"/>
        </w:rPr>
        <w:t>correspondía a la demandante allegar las pruebas que estuvieran a su alcance</w:t>
      </w:r>
      <w:r w:rsidR="00EE6B95">
        <w:rPr>
          <w:color w:val="000000"/>
          <w:sz w:val="24"/>
          <w:szCs w:val="24"/>
        </w:rPr>
        <w:t xml:space="preserve">, </w:t>
      </w:r>
      <w:r w:rsidR="005E55A6">
        <w:rPr>
          <w:color w:val="000000"/>
          <w:sz w:val="24"/>
          <w:szCs w:val="24"/>
        </w:rPr>
        <w:t xml:space="preserve">dado que </w:t>
      </w:r>
      <w:r w:rsidR="00EE6B95">
        <w:rPr>
          <w:color w:val="000000"/>
          <w:sz w:val="24"/>
          <w:szCs w:val="24"/>
        </w:rPr>
        <w:t>estaba en el deber legal de conservar los respectivos documentos</w:t>
      </w:r>
      <w:r w:rsidR="005E55A6">
        <w:rPr>
          <w:color w:val="000000"/>
          <w:sz w:val="24"/>
          <w:szCs w:val="24"/>
        </w:rPr>
        <w:t>.</w:t>
      </w:r>
      <w:r>
        <w:rPr>
          <w:color w:val="000000"/>
          <w:sz w:val="24"/>
          <w:szCs w:val="24"/>
        </w:rPr>
        <w:t xml:space="preserve"> </w:t>
      </w:r>
    </w:p>
    <w:p w14:paraId="41D34ED1" w14:textId="77777777" w:rsidR="002E376E" w:rsidRDefault="002E376E" w:rsidP="00FE0FF8">
      <w:pPr>
        <w:pStyle w:val="Textonotapie"/>
        <w:rPr>
          <w:color w:val="000000"/>
          <w:sz w:val="24"/>
          <w:szCs w:val="24"/>
        </w:rPr>
      </w:pPr>
    </w:p>
    <w:p w14:paraId="62838882" w14:textId="77777777" w:rsidR="002E376E" w:rsidRDefault="00347A3C" w:rsidP="00FE0FF8">
      <w:pPr>
        <w:pStyle w:val="Textonotapie"/>
        <w:rPr>
          <w:color w:val="000000"/>
          <w:sz w:val="24"/>
          <w:szCs w:val="24"/>
        </w:rPr>
      </w:pPr>
      <w:r>
        <w:rPr>
          <w:color w:val="000000"/>
          <w:sz w:val="24"/>
          <w:szCs w:val="24"/>
        </w:rPr>
        <w:t>En el escenario de la prueba orientada a desvirtuar las consideraciones del acto administrativo</w:t>
      </w:r>
      <w:r w:rsidR="0071498B">
        <w:rPr>
          <w:color w:val="000000"/>
          <w:sz w:val="24"/>
          <w:szCs w:val="24"/>
        </w:rPr>
        <w:t xml:space="preserve"> de carácter contractual</w:t>
      </w:r>
      <w:r>
        <w:rPr>
          <w:color w:val="000000"/>
          <w:sz w:val="24"/>
          <w:szCs w:val="24"/>
        </w:rPr>
        <w:t>, l</w:t>
      </w:r>
      <w:r w:rsidR="002E376E">
        <w:rPr>
          <w:color w:val="000000"/>
          <w:sz w:val="24"/>
          <w:szCs w:val="24"/>
        </w:rPr>
        <w:t xml:space="preserve">a Sala </w:t>
      </w:r>
      <w:r w:rsidR="00EE6B95">
        <w:rPr>
          <w:color w:val="000000"/>
          <w:sz w:val="24"/>
          <w:szCs w:val="24"/>
        </w:rPr>
        <w:t xml:space="preserve">reitera </w:t>
      </w:r>
      <w:r w:rsidR="00B65D80">
        <w:rPr>
          <w:color w:val="000000"/>
          <w:sz w:val="24"/>
          <w:szCs w:val="24"/>
        </w:rPr>
        <w:t xml:space="preserve">cierta parte de </w:t>
      </w:r>
      <w:r w:rsidR="002E376E">
        <w:rPr>
          <w:color w:val="000000"/>
          <w:sz w:val="24"/>
          <w:szCs w:val="24"/>
        </w:rPr>
        <w:t>l</w:t>
      </w:r>
      <w:r w:rsidR="00FD64F3">
        <w:rPr>
          <w:color w:val="000000"/>
          <w:sz w:val="24"/>
          <w:szCs w:val="24"/>
        </w:rPr>
        <w:t xml:space="preserve">os razonamientos de </w:t>
      </w:r>
      <w:r w:rsidR="002E376E">
        <w:rPr>
          <w:color w:val="000000"/>
          <w:sz w:val="24"/>
          <w:szCs w:val="24"/>
        </w:rPr>
        <w:t>esta Subsección</w:t>
      </w:r>
      <w:r w:rsidR="003134CB">
        <w:rPr>
          <w:rStyle w:val="Refdenotaalpie"/>
          <w:color w:val="000000"/>
          <w:sz w:val="24"/>
          <w:szCs w:val="24"/>
        </w:rPr>
        <w:footnoteReference w:id="37"/>
      </w:r>
      <w:r w:rsidR="002E376E">
        <w:rPr>
          <w:color w:val="000000"/>
          <w:sz w:val="24"/>
          <w:szCs w:val="24"/>
        </w:rPr>
        <w:t xml:space="preserve">, </w:t>
      </w:r>
      <w:r w:rsidR="00B65D80">
        <w:rPr>
          <w:color w:val="000000"/>
          <w:sz w:val="24"/>
          <w:szCs w:val="24"/>
        </w:rPr>
        <w:t xml:space="preserve">que se han desplegado </w:t>
      </w:r>
      <w:r w:rsidR="00FD64F3">
        <w:rPr>
          <w:color w:val="000000"/>
          <w:sz w:val="24"/>
          <w:szCs w:val="24"/>
        </w:rPr>
        <w:t>en orden</w:t>
      </w:r>
      <w:r>
        <w:rPr>
          <w:color w:val="000000"/>
          <w:sz w:val="24"/>
          <w:szCs w:val="24"/>
        </w:rPr>
        <w:t xml:space="preserve"> a advertir que </w:t>
      </w:r>
      <w:r w:rsidR="0071498B">
        <w:rPr>
          <w:color w:val="000000"/>
          <w:sz w:val="24"/>
          <w:szCs w:val="24"/>
        </w:rPr>
        <w:t>la carga de la prueba está en cabeza de</w:t>
      </w:r>
      <w:r w:rsidR="003D0E1A">
        <w:rPr>
          <w:color w:val="000000"/>
          <w:sz w:val="24"/>
          <w:szCs w:val="24"/>
        </w:rPr>
        <w:t xml:space="preserve"> la parte</w:t>
      </w:r>
      <w:r w:rsidR="0071498B">
        <w:rPr>
          <w:color w:val="000000"/>
          <w:sz w:val="24"/>
          <w:szCs w:val="24"/>
        </w:rPr>
        <w:t xml:space="preserve"> demandante:</w:t>
      </w:r>
      <w:r w:rsidR="00FD64F3">
        <w:rPr>
          <w:color w:val="000000"/>
          <w:sz w:val="24"/>
          <w:szCs w:val="24"/>
        </w:rPr>
        <w:t xml:space="preserve"> </w:t>
      </w:r>
    </w:p>
    <w:p w14:paraId="6B18C23C" w14:textId="77777777" w:rsidR="00EE6B95" w:rsidRDefault="00EE6B95" w:rsidP="00FE0FF8">
      <w:pPr>
        <w:rPr>
          <w:noProof/>
        </w:rPr>
      </w:pPr>
    </w:p>
    <w:p w14:paraId="2FE05DED" w14:textId="77777777" w:rsidR="002E376E" w:rsidRPr="00347A3C" w:rsidRDefault="00FD64F3" w:rsidP="00FE0FF8">
      <w:pPr>
        <w:spacing w:line="276" w:lineRule="auto"/>
        <w:rPr>
          <w:rFonts w:ascii="Arial" w:hAnsi="Arial" w:cs="Arial"/>
          <w:i/>
          <w:noProof/>
        </w:rPr>
      </w:pPr>
      <w:r w:rsidRPr="00347A3C">
        <w:rPr>
          <w:rFonts w:ascii="Arial" w:hAnsi="Arial" w:cs="Arial"/>
          <w:i/>
          <w:noProof/>
        </w:rPr>
        <w:t>“</w:t>
      </w:r>
      <w:r w:rsidR="002E376E" w:rsidRPr="00347A3C">
        <w:rPr>
          <w:rFonts w:ascii="Arial" w:hAnsi="Arial" w:cs="Arial"/>
          <w:i/>
          <w:noProof/>
        </w:rPr>
        <w:t xml:space="preserve">En línea con lo expuesto, con acierto se han realizado precisiones acerca de los propósitos de la presunción de legalidad o del carácter ejecutorio de los actos administrativos; esa presunción –que, dicho sea de paso, es </w:t>
      </w:r>
      <w:r w:rsidR="002E376E" w:rsidRPr="00347A3C">
        <w:rPr>
          <w:rFonts w:ascii="Arial" w:hAnsi="Arial" w:cs="Arial"/>
          <w:i/>
          <w:iCs/>
          <w:noProof/>
        </w:rPr>
        <w:t>iuris tantum</w:t>
      </w:r>
      <w:r w:rsidR="002E376E" w:rsidRPr="00347A3C">
        <w:rPr>
          <w:rFonts w:ascii="Arial" w:hAnsi="Arial" w:cs="Arial"/>
          <w:i/>
          <w:noProof/>
        </w:rPr>
        <w:t xml:space="preserve"> y, en cuanto tal, puede ser desvirtuada a instancia del particular interesado– pretende evitar que la simple impugnación que promuevan los particulares </w:t>
      </w:r>
      <w:r w:rsidR="002E376E" w:rsidRPr="00347A3C">
        <w:rPr>
          <w:rFonts w:ascii="Arial" w:hAnsi="Arial" w:cs="Arial"/>
          <w:i/>
          <w:noProof/>
        </w:rPr>
        <w:sym w:font="Symbol" w:char="F0BE"/>
      </w:r>
      <w:r w:rsidR="002E376E" w:rsidRPr="00347A3C">
        <w:rPr>
          <w:rFonts w:ascii="Arial" w:hAnsi="Arial" w:cs="Arial"/>
          <w:i/>
          <w:noProof/>
        </w:rPr>
        <w:t>que en no pocas ocasiones se ejerce valiéndose de razones completamente carentes de fundamento</w:t>
      </w:r>
      <w:r w:rsidR="002E376E" w:rsidRPr="00347A3C">
        <w:rPr>
          <w:rFonts w:ascii="Arial" w:hAnsi="Arial" w:cs="Arial"/>
          <w:i/>
          <w:noProof/>
        </w:rPr>
        <w:sym w:font="Symbol" w:char="F0BE"/>
      </w:r>
      <w:r w:rsidR="002E376E" w:rsidRPr="00347A3C">
        <w:rPr>
          <w:rFonts w:ascii="Arial" w:hAnsi="Arial" w:cs="Arial"/>
          <w:i/>
          <w:noProof/>
        </w:rPr>
        <w:t xml:space="preserve"> pueda paralizar la actuación administrativa. La presunción de legalidad responde, por tanto, a la necesidad de garantizar la ejecutoriedad, la eficacia inmediata de los actos administrativos, </w:t>
      </w:r>
      <w:r w:rsidR="002E376E" w:rsidRPr="00347A3C">
        <w:rPr>
          <w:rFonts w:ascii="Arial" w:hAnsi="Arial" w:cs="Arial"/>
          <w:i/>
          <w:iCs/>
          <w:noProof/>
        </w:rPr>
        <w:t xml:space="preserve">pero deja intactas las reglas de la carga de la prueba, que operan con toda normalidad en el procedimiento contencioso-administrativo, </w:t>
      </w:r>
      <w:r w:rsidR="002E376E" w:rsidRPr="00347A3C">
        <w:rPr>
          <w:rFonts w:ascii="Arial" w:hAnsi="Arial" w:cs="Arial"/>
          <w:i/>
          <w:noProof/>
        </w:rPr>
        <w:t>del mismo modo que lo hacen</w:t>
      </w:r>
      <w:r w:rsidR="002E376E" w:rsidRPr="00347A3C">
        <w:rPr>
          <w:rFonts w:ascii="Arial" w:hAnsi="Arial" w:cs="Arial"/>
          <w:i/>
          <w:iCs/>
          <w:noProof/>
        </w:rPr>
        <w:t xml:space="preserve"> </w:t>
      </w:r>
      <w:r w:rsidR="002E376E" w:rsidRPr="00347A3C">
        <w:rPr>
          <w:rFonts w:ascii="Arial" w:hAnsi="Arial" w:cs="Arial"/>
          <w:i/>
          <w:noProof/>
        </w:rPr>
        <w:t>en el proceso judicial civil o laboral, por ejemplo. De ahí que resulte frecuente encontrar pronunciamientos, por vía de ejemplo, en la jurisprudencia contencioso administrativa española, en los cuales se expresa que "la presunción de legalidad del acto administrativo traslada al administrado la carga de accionar para impedir que se produzca la figura del acto consentido pero no afecta a la carga de la prueba que ha de ajustarse a las reglas generales"</w:t>
      </w:r>
      <w:r w:rsidR="002E376E" w:rsidRPr="00347A3C">
        <w:rPr>
          <w:rStyle w:val="Refdenotaalpie"/>
          <w:rFonts w:ascii="Arial" w:hAnsi="Arial" w:cs="Arial"/>
          <w:i/>
          <w:noProof/>
        </w:rPr>
        <w:footnoteReference w:id="38"/>
      </w:r>
      <w:r w:rsidR="002E376E" w:rsidRPr="00347A3C">
        <w:rPr>
          <w:rFonts w:ascii="Arial" w:hAnsi="Arial" w:cs="Arial"/>
          <w:i/>
          <w:noProof/>
        </w:rPr>
        <w:t xml:space="preserve"> y, adicionalmente, que en el proceso contencioso-administrativo "cada parte ha de probar el supuesto de hecho de la norma cuyas consecuencias invoca"</w:t>
      </w:r>
      <w:r w:rsidR="002E376E" w:rsidRPr="00347A3C">
        <w:rPr>
          <w:rStyle w:val="Refdenotaalpie"/>
          <w:rFonts w:ascii="Arial" w:hAnsi="Arial" w:cs="Arial"/>
          <w:i/>
          <w:noProof/>
        </w:rPr>
        <w:footnoteReference w:id="39"/>
      </w:r>
      <w:r w:rsidR="002E376E" w:rsidRPr="00347A3C">
        <w:rPr>
          <w:rFonts w:ascii="Arial" w:hAnsi="Arial" w:cs="Arial"/>
          <w:i/>
          <w:noProof/>
        </w:rPr>
        <w:t>.</w:t>
      </w:r>
    </w:p>
    <w:p w14:paraId="4D8016C0" w14:textId="77777777" w:rsidR="002E376E" w:rsidRPr="00347A3C" w:rsidRDefault="002E376E" w:rsidP="00FE0FF8">
      <w:pPr>
        <w:spacing w:line="276" w:lineRule="auto"/>
        <w:rPr>
          <w:rFonts w:ascii="Arial" w:hAnsi="Arial" w:cs="Arial"/>
          <w:i/>
          <w:noProof/>
        </w:rPr>
      </w:pPr>
    </w:p>
    <w:p w14:paraId="45F5B2CB" w14:textId="77777777" w:rsidR="002E376E" w:rsidRPr="00347A3C" w:rsidRDefault="0071498B" w:rsidP="00FE0FF8">
      <w:pPr>
        <w:spacing w:line="276" w:lineRule="auto"/>
        <w:rPr>
          <w:rFonts w:ascii="Arial" w:hAnsi="Arial" w:cs="Arial"/>
          <w:i/>
          <w:noProof/>
        </w:rPr>
      </w:pPr>
      <w:r>
        <w:rPr>
          <w:rFonts w:ascii="Arial" w:hAnsi="Arial" w:cs="Arial"/>
          <w:i/>
          <w:noProof/>
        </w:rPr>
        <w:t>“</w:t>
      </w:r>
      <w:r w:rsidR="002E376E" w:rsidRPr="00347A3C">
        <w:rPr>
          <w:rFonts w:ascii="Arial" w:hAnsi="Arial" w:cs="Arial"/>
          <w:i/>
          <w:noProof/>
        </w:rPr>
        <w:t>Cabe sostener a este respecto, por tanto, que la distribución de la carga de la prueba en el proceso judicial no se basa en la posición formal de demandante y demandado, sino en el objeto y en el contenido de las pretensiones; cada parte deberá probar aquellos hechos en los cuales se funda o bien su pretensión o bien su oposición a la misma, lo que equivale a decir que cada parte tendrá que acreditar la concurrencia de las circunstancias configuradoras del supuesto de hecho de la norma cuyas consecuencias jurídicas invoca en su favor</w:t>
      </w:r>
      <w:r w:rsidR="002E376E" w:rsidRPr="00347A3C">
        <w:rPr>
          <w:rStyle w:val="Refdenotaalpie"/>
          <w:rFonts w:ascii="Arial" w:hAnsi="Arial" w:cs="Arial"/>
          <w:i/>
          <w:noProof/>
        </w:rPr>
        <w:footnoteReference w:id="40"/>
      </w:r>
      <w:r w:rsidR="002E376E" w:rsidRPr="00347A3C">
        <w:rPr>
          <w:rFonts w:ascii="Arial" w:hAnsi="Arial" w:cs="Arial"/>
          <w:i/>
          <w:noProof/>
        </w:rPr>
        <w:t>; tal es el contenido, por lo demás, del principio de carga de la prueba consagrado en el artículo 177 del Código de Procedimiento Civil colombiano, de conformidad con el cual "[I]ncumbe a las partes probar el supuesto de hecho de las normas que consagran el efecto jurídico que ellas persiguen"</w:t>
      </w:r>
      <w:r w:rsidR="002E376E" w:rsidRPr="00347A3C">
        <w:rPr>
          <w:rStyle w:val="Refdenotaalpie"/>
          <w:rFonts w:ascii="Arial" w:hAnsi="Arial" w:cs="Arial"/>
          <w:i/>
          <w:noProof/>
        </w:rPr>
        <w:footnoteReference w:id="41"/>
      </w:r>
      <w:r w:rsidR="002E376E" w:rsidRPr="00347A3C">
        <w:rPr>
          <w:rFonts w:ascii="Arial" w:hAnsi="Arial" w:cs="Arial"/>
          <w:i/>
          <w:noProof/>
        </w:rPr>
        <w:t>. Dicho precepto legal debe ser aplicado en los procesos que cursan ante la Jurisdicción de lo Contencioso Administrativo por virtud de lo normado en el artículo 168 del C.C.A</w:t>
      </w:r>
      <w:r w:rsidR="002E376E" w:rsidRPr="00347A3C">
        <w:rPr>
          <w:rStyle w:val="Refdenotaalpie"/>
          <w:rFonts w:ascii="Arial" w:hAnsi="Arial" w:cs="Arial"/>
          <w:i/>
          <w:noProof/>
        </w:rPr>
        <w:footnoteReference w:id="42"/>
      </w:r>
      <w:r w:rsidR="00FD64F3" w:rsidRPr="00347A3C">
        <w:rPr>
          <w:rFonts w:ascii="Arial" w:hAnsi="Arial" w:cs="Arial"/>
          <w:i/>
          <w:noProof/>
        </w:rPr>
        <w:t>”</w:t>
      </w:r>
      <w:r w:rsidR="002E376E" w:rsidRPr="00347A3C">
        <w:rPr>
          <w:rFonts w:ascii="Arial" w:hAnsi="Arial" w:cs="Arial"/>
          <w:i/>
          <w:noProof/>
        </w:rPr>
        <w:t xml:space="preserve">. </w:t>
      </w:r>
    </w:p>
    <w:p w14:paraId="7DD8F6ED" w14:textId="77777777" w:rsidR="00B65D80" w:rsidRDefault="00B65D80" w:rsidP="00FE0FF8">
      <w:pPr>
        <w:rPr>
          <w:noProof/>
        </w:rPr>
      </w:pPr>
    </w:p>
    <w:p w14:paraId="0785D27E" w14:textId="77777777" w:rsidR="00B65D80" w:rsidRDefault="00B65D80" w:rsidP="00FE0FF8">
      <w:pPr>
        <w:rPr>
          <w:noProof/>
        </w:rPr>
      </w:pPr>
    </w:p>
    <w:p w14:paraId="33E8F0EF" w14:textId="77777777" w:rsidR="003D0E1A" w:rsidRDefault="001C2085" w:rsidP="00FE0FF8">
      <w:pPr>
        <w:spacing w:line="360" w:lineRule="auto"/>
        <w:rPr>
          <w:rFonts w:ascii="Arial" w:hAnsi="Arial" w:cs="Arial"/>
          <w:noProof/>
          <w:sz w:val="24"/>
          <w:szCs w:val="24"/>
        </w:rPr>
      </w:pPr>
      <w:r w:rsidRPr="00781E61">
        <w:rPr>
          <w:rFonts w:ascii="Arial" w:hAnsi="Arial" w:cs="Arial"/>
          <w:noProof/>
          <w:sz w:val="24"/>
          <w:szCs w:val="24"/>
        </w:rPr>
        <w:t xml:space="preserve">Sin embargo, </w:t>
      </w:r>
      <w:r w:rsidR="005220BE" w:rsidRPr="00781E61">
        <w:rPr>
          <w:rFonts w:ascii="Arial" w:hAnsi="Arial" w:cs="Arial"/>
          <w:noProof/>
          <w:sz w:val="24"/>
          <w:szCs w:val="24"/>
        </w:rPr>
        <w:t xml:space="preserve">en el análisis de </w:t>
      </w:r>
      <w:r w:rsidR="00B65D80" w:rsidRPr="00781E61">
        <w:rPr>
          <w:rFonts w:ascii="Arial" w:hAnsi="Arial" w:cs="Arial"/>
          <w:noProof/>
          <w:sz w:val="24"/>
          <w:szCs w:val="24"/>
        </w:rPr>
        <w:t xml:space="preserve">la carga procesal </w:t>
      </w:r>
      <w:r w:rsidR="005220BE" w:rsidRPr="00781E61">
        <w:rPr>
          <w:rFonts w:ascii="Arial" w:hAnsi="Arial" w:cs="Arial"/>
          <w:noProof/>
          <w:sz w:val="24"/>
          <w:szCs w:val="24"/>
        </w:rPr>
        <w:t>que pe</w:t>
      </w:r>
      <w:r w:rsidR="00781E61">
        <w:rPr>
          <w:rFonts w:ascii="Arial" w:hAnsi="Arial" w:cs="Arial"/>
          <w:noProof/>
          <w:sz w:val="24"/>
          <w:szCs w:val="24"/>
        </w:rPr>
        <w:t>s</w:t>
      </w:r>
      <w:r w:rsidR="005220BE" w:rsidRPr="00781E61">
        <w:rPr>
          <w:rFonts w:ascii="Arial" w:hAnsi="Arial" w:cs="Arial"/>
          <w:noProof/>
          <w:sz w:val="24"/>
          <w:szCs w:val="24"/>
        </w:rPr>
        <w:t xml:space="preserve">a sobre </w:t>
      </w:r>
      <w:r w:rsidR="00B65D80" w:rsidRPr="00781E61">
        <w:rPr>
          <w:rFonts w:ascii="Arial" w:hAnsi="Arial" w:cs="Arial"/>
          <w:noProof/>
          <w:sz w:val="24"/>
          <w:szCs w:val="24"/>
        </w:rPr>
        <w:t>la entidad estatal para soportar su propio acto</w:t>
      </w:r>
      <w:r w:rsidR="005220BE" w:rsidRPr="00781E61">
        <w:rPr>
          <w:rFonts w:ascii="Arial" w:hAnsi="Arial" w:cs="Arial"/>
          <w:noProof/>
          <w:sz w:val="24"/>
          <w:szCs w:val="24"/>
        </w:rPr>
        <w:t xml:space="preserve"> administrativo de carácter </w:t>
      </w:r>
      <w:r w:rsidR="001C1A82">
        <w:rPr>
          <w:rFonts w:ascii="Arial" w:hAnsi="Arial" w:cs="Arial"/>
          <w:noProof/>
          <w:sz w:val="24"/>
          <w:szCs w:val="24"/>
        </w:rPr>
        <w:t xml:space="preserve">precontractual o </w:t>
      </w:r>
      <w:r w:rsidR="005220BE" w:rsidRPr="00781E61">
        <w:rPr>
          <w:rFonts w:ascii="Arial" w:hAnsi="Arial" w:cs="Arial"/>
          <w:noProof/>
          <w:sz w:val="24"/>
          <w:szCs w:val="24"/>
        </w:rPr>
        <w:t>contractual</w:t>
      </w:r>
      <w:r w:rsidR="00B65D80" w:rsidRPr="00781E61">
        <w:rPr>
          <w:rFonts w:ascii="Arial" w:hAnsi="Arial" w:cs="Arial"/>
          <w:noProof/>
          <w:sz w:val="24"/>
          <w:szCs w:val="24"/>
        </w:rPr>
        <w:t>, considera la Sala que</w:t>
      </w:r>
      <w:r w:rsidR="001C1A82">
        <w:rPr>
          <w:rFonts w:ascii="Arial" w:hAnsi="Arial" w:cs="Arial"/>
          <w:noProof/>
          <w:sz w:val="24"/>
          <w:szCs w:val="24"/>
        </w:rPr>
        <w:t>,</w:t>
      </w:r>
      <w:r w:rsidR="00B65D80" w:rsidRPr="00781E61">
        <w:rPr>
          <w:rFonts w:ascii="Arial" w:hAnsi="Arial" w:cs="Arial"/>
          <w:noProof/>
          <w:sz w:val="24"/>
          <w:szCs w:val="24"/>
        </w:rPr>
        <w:t xml:space="preserve"> </w:t>
      </w:r>
      <w:r w:rsidR="003D2521" w:rsidRPr="00781E61">
        <w:rPr>
          <w:rFonts w:ascii="Arial" w:hAnsi="Arial" w:cs="Arial"/>
          <w:noProof/>
          <w:sz w:val="24"/>
          <w:szCs w:val="24"/>
        </w:rPr>
        <w:t xml:space="preserve">en este caso, como lo ha </w:t>
      </w:r>
      <w:r w:rsidR="00643656" w:rsidRPr="00781E61">
        <w:rPr>
          <w:rFonts w:ascii="Arial" w:hAnsi="Arial" w:cs="Arial"/>
          <w:noProof/>
          <w:sz w:val="24"/>
          <w:szCs w:val="24"/>
        </w:rPr>
        <w:t xml:space="preserve">estimado </w:t>
      </w:r>
      <w:r w:rsidR="003D2521" w:rsidRPr="00781E61">
        <w:rPr>
          <w:rFonts w:ascii="Arial" w:hAnsi="Arial" w:cs="Arial"/>
          <w:noProof/>
          <w:sz w:val="24"/>
          <w:szCs w:val="24"/>
        </w:rPr>
        <w:t>en otros asuntos similares</w:t>
      </w:r>
      <w:r w:rsidR="003D2521" w:rsidRPr="00781E61">
        <w:rPr>
          <w:rStyle w:val="Refdenotaalpie"/>
          <w:rFonts w:ascii="Arial" w:hAnsi="Arial" w:cs="Arial"/>
          <w:noProof/>
          <w:sz w:val="24"/>
          <w:szCs w:val="24"/>
        </w:rPr>
        <w:footnoteReference w:id="43"/>
      </w:r>
      <w:r w:rsidR="003D2521" w:rsidRPr="00781E61">
        <w:rPr>
          <w:rFonts w:ascii="Arial" w:hAnsi="Arial" w:cs="Arial"/>
          <w:noProof/>
          <w:sz w:val="24"/>
          <w:szCs w:val="24"/>
        </w:rPr>
        <w:t xml:space="preserve">, </w:t>
      </w:r>
      <w:r w:rsidR="00B65D80" w:rsidRPr="00781E61">
        <w:rPr>
          <w:rFonts w:ascii="Arial" w:hAnsi="Arial" w:cs="Arial"/>
          <w:noProof/>
          <w:sz w:val="24"/>
          <w:szCs w:val="24"/>
        </w:rPr>
        <w:t xml:space="preserve">no hay lugar a entender </w:t>
      </w:r>
      <w:r w:rsidR="00643656" w:rsidRPr="00781E61">
        <w:rPr>
          <w:rFonts w:ascii="Arial" w:hAnsi="Arial" w:cs="Arial"/>
          <w:noProof/>
          <w:sz w:val="24"/>
          <w:szCs w:val="24"/>
        </w:rPr>
        <w:t xml:space="preserve">como </w:t>
      </w:r>
      <w:r w:rsidR="00B65D80" w:rsidRPr="00781E61">
        <w:rPr>
          <w:rFonts w:ascii="Arial" w:hAnsi="Arial" w:cs="Arial"/>
          <w:noProof/>
          <w:sz w:val="24"/>
          <w:szCs w:val="24"/>
        </w:rPr>
        <w:t>probado en contrario</w:t>
      </w:r>
      <w:r w:rsidR="003D2521" w:rsidRPr="00781E61">
        <w:rPr>
          <w:rFonts w:ascii="Arial" w:hAnsi="Arial" w:cs="Arial"/>
          <w:noProof/>
          <w:sz w:val="24"/>
          <w:szCs w:val="24"/>
        </w:rPr>
        <w:t xml:space="preserve"> </w:t>
      </w:r>
      <w:r w:rsidR="00643656" w:rsidRPr="00781E61">
        <w:rPr>
          <w:rFonts w:ascii="Arial" w:hAnsi="Arial" w:cs="Arial"/>
          <w:noProof/>
          <w:sz w:val="24"/>
          <w:szCs w:val="24"/>
        </w:rPr>
        <w:t xml:space="preserve">de </w:t>
      </w:r>
      <w:r w:rsidR="003D2521" w:rsidRPr="00781E61">
        <w:rPr>
          <w:rFonts w:ascii="Arial" w:hAnsi="Arial" w:cs="Arial"/>
          <w:noProof/>
          <w:sz w:val="24"/>
          <w:szCs w:val="24"/>
        </w:rPr>
        <w:t>lo co</w:t>
      </w:r>
      <w:r w:rsidR="0013569C" w:rsidRPr="00781E61">
        <w:rPr>
          <w:rFonts w:ascii="Arial" w:hAnsi="Arial" w:cs="Arial"/>
          <w:noProof/>
          <w:sz w:val="24"/>
          <w:szCs w:val="24"/>
        </w:rPr>
        <w:t>n</w:t>
      </w:r>
      <w:r w:rsidR="003D2521" w:rsidRPr="00781E61">
        <w:rPr>
          <w:rFonts w:ascii="Arial" w:hAnsi="Arial" w:cs="Arial"/>
          <w:noProof/>
          <w:sz w:val="24"/>
          <w:szCs w:val="24"/>
        </w:rPr>
        <w:t>tenido en el acto administrativo</w:t>
      </w:r>
      <w:r w:rsidR="00B65D80" w:rsidRPr="00781E61">
        <w:rPr>
          <w:rFonts w:ascii="Arial" w:hAnsi="Arial" w:cs="Arial"/>
          <w:noProof/>
          <w:sz w:val="24"/>
          <w:szCs w:val="24"/>
        </w:rPr>
        <w:t xml:space="preserve">, por </w:t>
      </w:r>
      <w:r w:rsidR="003D2521" w:rsidRPr="00781E61">
        <w:rPr>
          <w:rFonts w:ascii="Arial" w:hAnsi="Arial" w:cs="Arial"/>
          <w:noProof/>
          <w:sz w:val="24"/>
          <w:szCs w:val="24"/>
        </w:rPr>
        <w:t xml:space="preserve">el solo hecho de </w:t>
      </w:r>
      <w:r w:rsidR="00B65D80" w:rsidRPr="00781E61">
        <w:rPr>
          <w:rFonts w:ascii="Arial" w:hAnsi="Arial" w:cs="Arial"/>
          <w:noProof/>
          <w:sz w:val="24"/>
          <w:szCs w:val="24"/>
        </w:rPr>
        <w:t xml:space="preserve">la conducta </w:t>
      </w:r>
      <w:r w:rsidR="005220BE" w:rsidRPr="00781E61">
        <w:rPr>
          <w:rFonts w:ascii="Arial" w:hAnsi="Arial" w:cs="Arial"/>
          <w:noProof/>
          <w:sz w:val="24"/>
          <w:szCs w:val="24"/>
        </w:rPr>
        <w:t xml:space="preserve">estatal </w:t>
      </w:r>
      <w:r w:rsidR="00B65D80" w:rsidRPr="00781E61">
        <w:rPr>
          <w:rFonts w:ascii="Arial" w:hAnsi="Arial" w:cs="Arial"/>
          <w:noProof/>
          <w:sz w:val="24"/>
          <w:szCs w:val="24"/>
        </w:rPr>
        <w:t>consistente en no a</w:t>
      </w:r>
      <w:r w:rsidR="003D2521" w:rsidRPr="00781E61">
        <w:rPr>
          <w:rFonts w:ascii="Arial" w:hAnsi="Arial" w:cs="Arial"/>
          <w:noProof/>
          <w:sz w:val="24"/>
          <w:szCs w:val="24"/>
        </w:rPr>
        <w:t xml:space="preserve">portar </w:t>
      </w:r>
      <w:r w:rsidR="00B65D80" w:rsidRPr="00781E61">
        <w:rPr>
          <w:rFonts w:ascii="Arial" w:hAnsi="Arial" w:cs="Arial"/>
          <w:noProof/>
          <w:sz w:val="24"/>
          <w:szCs w:val="24"/>
        </w:rPr>
        <w:t>los antecedentes administrativos</w:t>
      </w:r>
      <w:r w:rsidR="005220BE" w:rsidRPr="00781E61">
        <w:rPr>
          <w:rFonts w:ascii="Arial" w:hAnsi="Arial" w:cs="Arial"/>
          <w:noProof/>
          <w:sz w:val="24"/>
          <w:szCs w:val="24"/>
        </w:rPr>
        <w:t xml:space="preserve"> de su propio acto</w:t>
      </w:r>
      <w:r w:rsidR="001C1A82">
        <w:rPr>
          <w:rFonts w:ascii="Arial" w:hAnsi="Arial" w:cs="Arial"/>
          <w:noProof/>
          <w:sz w:val="24"/>
          <w:szCs w:val="24"/>
        </w:rPr>
        <w:t xml:space="preserve">. </w:t>
      </w:r>
    </w:p>
    <w:p w14:paraId="0A6FCD68" w14:textId="77777777" w:rsidR="003D0E1A" w:rsidRDefault="003D0E1A" w:rsidP="00FE0FF8">
      <w:pPr>
        <w:spacing w:line="360" w:lineRule="auto"/>
        <w:rPr>
          <w:rFonts w:ascii="Arial" w:hAnsi="Arial" w:cs="Arial"/>
          <w:noProof/>
          <w:sz w:val="24"/>
          <w:szCs w:val="24"/>
        </w:rPr>
      </w:pPr>
    </w:p>
    <w:p w14:paraId="7E27B451" w14:textId="77777777" w:rsidR="006D3380" w:rsidRPr="00781E61" w:rsidRDefault="001C1A82" w:rsidP="00FE0FF8">
      <w:pPr>
        <w:spacing w:line="360" w:lineRule="auto"/>
        <w:rPr>
          <w:rFonts w:ascii="Arial" w:hAnsi="Arial" w:cs="Arial"/>
          <w:noProof/>
          <w:sz w:val="24"/>
          <w:szCs w:val="24"/>
        </w:rPr>
      </w:pPr>
      <w:r>
        <w:rPr>
          <w:rFonts w:ascii="Arial" w:hAnsi="Arial" w:cs="Arial"/>
          <w:noProof/>
          <w:sz w:val="24"/>
          <w:szCs w:val="24"/>
        </w:rPr>
        <w:t xml:space="preserve">Lo anterior se concluye teniendo en cuenta </w:t>
      </w:r>
      <w:r w:rsidR="00B65D80" w:rsidRPr="00781E61">
        <w:rPr>
          <w:rFonts w:ascii="Arial" w:hAnsi="Arial" w:cs="Arial"/>
          <w:noProof/>
          <w:sz w:val="24"/>
          <w:szCs w:val="24"/>
        </w:rPr>
        <w:t xml:space="preserve">que el acto administrativo allegado al plenario presentó un razonamiento consistente frente a la ley vigente y no quedó desvirtuado por los argumentos </w:t>
      </w:r>
      <w:r w:rsidR="002A17D2" w:rsidRPr="00781E61">
        <w:rPr>
          <w:rFonts w:ascii="Arial" w:hAnsi="Arial" w:cs="Arial"/>
          <w:noProof/>
          <w:sz w:val="24"/>
          <w:szCs w:val="24"/>
        </w:rPr>
        <w:t xml:space="preserve">en contrario de la demandante. </w:t>
      </w:r>
    </w:p>
    <w:p w14:paraId="543D87B4" w14:textId="77777777" w:rsidR="006D3380" w:rsidRPr="00781E61" w:rsidRDefault="006D3380" w:rsidP="00FE0FF8">
      <w:pPr>
        <w:spacing w:line="360" w:lineRule="auto"/>
        <w:rPr>
          <w:rFonts w:ascii="Arial" w:hAnsi="Arial" w:cs="Arial"/>
          <w:noProof/>
          <w:sz w:val="24"/>
          <w:szCs w:val="24"/>
        </w:rPr>
      </w:pPr>
    </w:p>
    <w:p w14:paraId="578BDD08" w14:textId="77777777" w:rsidR="00EE662D" w:rsidRPr="00781E61" w:rsidRDefault="00643656" w:rsidP="00FE0FF8">
      <w:pPr>
        <w:spacing w:line="360" w:lineRule="auto"/>
        <w:rPr>
          <w:rFonts w:ascii="Arial" w:hAnsi="Arial" w:cs="Arial"/>
          <w:noProof/>
          <w:sz w:val="24"/>
          <w:szCs w:val="24"/>
        </w:rPr>
      </w:pPr>
      <w:r w:rsidRPr="00781E61">
        <w:rPr>
          <w:rFonts w:ascii="Arial" w:hAnsi="Arial" w:cs="Arial"/>
          <w:noProof/>
          <w:sz w:val="24"/>
          <w:szCs w:val="24"/>
        </w:rPr>
        <w:t xml:space="preserve">En otras palabras, aun en el caso de la conducta </w:t>
      </w:r>
      <w:r w:rsidR="003D0E1A">
        <w:rPr>
          <w:rFonts w:ascii="Arial" w:hAnsi="Arial" w:cs="Arial"/>
          <w:noProof/>
          <w:sz w:val="24"/>
          <w:szCs w:val="24"/>
        </w:rPr>
        <w:t xml:space="preserve">probatoris </w:t>
      </w:r>
      <w:r w:rsidRPr="00781E61">
        <w:rPr>
          <w:rFonts w:ascii="Arial" w:hAnsi="Arial" w:cs="Arial"/>
          <w:noProof/>
          <w:sz w:val="24"/>
          <w:szCs w:val="24"/>
        </w:rPr>
        <w:t xml:space="preserve">omisiva </w:t>
      </w:r>
      <w:r w:rsidR="003D0E1A">
        <w:rPr>
          <w:rFonts w:ascii="Arial" w:hAnsi="Arial" w:cs="Arial"/>
          <w:noProof/>
          <w:sz w:val="24"/>
          <w:szCs w:val="24"/>
        </w:rPr>
        <w:t xml:space="preserve">por parte </w:t>
      </w:r>
      <w:r w:rsidRPr="00781E61">
        <w:rPr>
          <w:rFonts w:ascii="Arial" w:hAnsi="Arial" w:cs="Arial"/>
          <w:noProof/>
          <w:sz w:val="24"/>
          <w:szCs w:val="24"/>
        </w:rPr>
        <w:t xml:space="preserve">de la entidad estatal, el acto administrativo </w:t>
      </w:r>
      <w:r w:rsidR="00CC2763">
        <w:rPr>
          <w:rFonts w:ascii="Arial" w:hAnsi="Arial" w:cs="Arial"/>
          <w:noProof/>
          <w:sz w:val="24"/>
          <w:szCs w:val="24"/>
        </w:rPr>
        <w:t xml:space="preserve">impugando </w:t>
      </w:r>
      <w:r w:rsidR="008163C7" w:rsidRPr="00781E61">
        <w:rPr>
          <w:rFonts w:ascii="Arial" w:hAnsi="Arial" w:cs="Arial"/>
          <w:noProof/>
          <w:sz w:val="24"/>
          <w:szCs w:val="24"/>
        </w:rPr>
        <w:t>debe ser valorado de acuerdo con lo probado en el proceso y de manera alguna la</w:t>
      </w:r>
      <w:r w:rsidR="007E51BB" w:rsidRPr="00781E61">
        <w:rPr>
          <w:rFonts w:ascii="Arial" w:hAnsi="Arial" w:cs="Arial"/>
          <w:noProof/>
          <w:sz w:val="24"/>
          <w:szCs w:val="24"/>
        </w:rPr>
        <w:t xml:space="preserve"> </w:t>
      </w:r>
      <w:r w:rsidR="00EE662D" w:rsidRPr="00781E61">
        <w:rPr>
          <w:rFonts w:ascii="Arial" w:hAnsi="Arial" w:cs="Arial"/>
          <w:noProof/>
          <w:sz w:val="24"/>
          <w:szCs w:val="24"/>
        </w:rPr>
        <w:t>no contestac</w:t>
      </w:r>
      <w:r w:rsidR="00765C1C">
        <w:rPr>
          <w:rFonts w:ascii="Arial" w:hAnsi="Arial" w:cs="Arial"/>
          <w:noProof/>
          <w:sz w:val="24"/>
          <w:szCs w:val="24"/>
        </w:rPr>
        <w:t>ió</w:t>
      </w:r>
      <w:r w:rsidR="00EE662D" w:rsidRPr="00781E61">
        <w:rPr>
          <w:rFonts w:ascii="Arial" w:hAnsi="Arial" w:cs="Arial"/>
          <w:noProof/>
          <w:sz w:val="24"/>
          <w:szCs w:val="24"/>
        </w:rPr>
        <w:t xml:space="preserve">n de los requerimeintos </w:t>
      </w:r>
      <w:r w:rsidR="006D3380" w:rsidRPr="00781E61">
        <w:rPr>
          <w:rFonts w:ascii="Arial" w:hAnsi="Arial" w:cs="Arial"/>
          <w:noProof/>
          <w:sz w:val="24"/>
          <w:szCs w:val="24"/>
        </w:rPr>
        <w:t>releva a la demandante de</w:t>
      </w:r>
      <w:r w:rsidR="00EE662D" w:rsidRPr="00781E61">
        <w:rPr>
          <w:rFonts w:ascii="Arial" w:hAnsi="Arial" w:cs="Arial"/>
          <w:noProof/>
          <w:sz w:val="24"/>
          <w:szCs w:val="24"/>
        </w:rPr>
        <w:t xml:space="preserve"> la carga de </w:t>
      </w:r>
      <w:r w:rsidR="006D3380" w:rsidRPr="00781E61">
        <w:rPr>
          <w:rFonts w:ascii="Arial" w:hAnsi="Arial" w:cs="Arial"/>
          <w:noProof/>
          <w:sz w:val="24"/>
          <w:szCs w:val="24"/>
        </w:rPr>
        <w:t>allegar los documentos que está obligada a conservar</w:t>
      </w:r>
      <w:r w:rsidR="00CC2763">
        <w:rPr>
          <w:rFonts w:ascii="Arial" w:hAnsi="Arial" w:cs="Arial"/>
          <w:noProof/>
          <w:sz w:val="24"/>
          <w:szCs w:val="24"/>
        </w:rPr>
        <w:t xml:space="preserve">. Si se </w:t>
      </w:r>
      <w:r w:rsidR="00EE662D" w:rsidRPr="00781E61">
        <w:rPr>
          <w:rFonts w:ascii="Arial" w:hAnsi="Arial" w:cs="Arial"/>
          <w:noProof/>
          <w:sz w:val="24"/>
          <w:szCs w:val="24"/>
        </w:rPr>
        <w:t xml:space="preserve">admitiera lo contrario se llegaria a dar por probado el contenido de los documentos precontractuales </w:t>
      </w:r>
      <w:r w:rsidR="00CC2763">
        <w:rPr>
          <w:rFonts w:ascii="Arial" w:hAnsi="Arial" w:cs="Arial"/>
          <w:noProof/>
          <w:sz w:val="24"/>
          <w:szCs w:val="24"/>
        </w:rPr>
        <w:t xml:space="preserve">con base en </w:t>
      </w:r>
      <w:r w:rsidR="00EE662D" w:rsidRPr="00781E61">
        <w:rPr>
          <w:rFonts w:ascii="Arial" w:hAnsi="Arial" w:cs="Arial"/>
          <w:noProof/>
          <w:sz w:val="24"/>
          <w:szCs w:val="24"/>
        </w:rPr>
        <w:t xml:space="preserve"> el solo dicho del particular que obra como demandante</w:t>
      </w:r>
      <w:r w:rsidR="0031739E" w:rsidRPr="00781E61">
        <w:rPr>
          <w:rFonts w:ascii="Arial" w:hAnsi="Arial" w:cs="Arial"/>
          <w:noProof/>
          <w:sz w:val="24"/>
          <w:szCs w:val="24"/>
        </w:rPr>
        <w:t xml:space="preserve"> y en sentido contrario de lo afirmado en el acto administrativo</w:t>
      </w:r>
      <w:r w:rsidR="00EE662D" w:rsidRPr="00781E61">
        <w:rPr>
          <w:rFonts w:ascii="Arial" w:hAnsi="Arial" w:cs="Arial"/>
          <w:noProof/>
          <w:sz w:val="24"/>
          <w:szCs w:val="24"/>
        </w:rPr>
        <w:t xml:space="preserve">. </w:t>
      </w:r>
    </w:p>
    <w:p w14:paraId="2BAB512D" w14:textId="77777777" w:rsidR="00B65D80" w:rsidRPr="00781E61" w:rsidRDefault="00B65D80" w:rsidP="00FE0FF8">
      <w:pPr>
        <w:spacing w:line="360" w:lineRule="auto"/>
        <w:rPr>
          <w:rFonts w:ascii="Arial" w:hAnsi="Arial" w:cs="Arial"/>
          <w:noProof/>
          <w:sz w:val="24"/>
          <w:szCs w:val="24"/>
        </w:rPr>
      </w:pPr>
    </w:p>
    <w:p w14:paraId="6655F9F2" w14:textId="77777777" w:rsidR="002A17D2" w:rsidRPr="00781E61" w:rsidRDefault="002A17D2" w:rsidP="00FE0FF8">
      <w:pPr>
        <w:spacing w:line="360" w:lineRule="auto"/>
        <w:rPr>
          <w:rFonts w:ascii="Arial" w:hAnsi="Arial" w:cs="Arial"/>
          <w:noProof/>
          <w:sz w:val="24"/>
          <w:szCs w:val="24"/>
        </w:rPr>
      </w:pPr>
      <w:r w:rsidRPr="00781E61">
        <w:rPr>
          <w:rFonts w:ascii="Arial" w:hAnsi="Arial" w:cs="Arial"/>
          <w:noProof/>
          <w:sz w:val="24"/>
          <w:szCs w:val="24"/>
        </w:rPr>
        <w:t xml:space="preserve">Además, en la valoración de la prueba </w:t>
      </w:r>
      <w:r w:rsidR="00EE662D" w:rsidRPr="00781E61">
        <w:rPr>
          <w:rFonts w:ascii="Arial" w:hAnsi="Arial" w:cs="Arial"/>
          <w:noProof/>
          <w:sz w:val="24"/>
          <w:szCs w:val="24"/>
        </w:rPr>
        <w:t xml:space="preserve">en el caso concreto, </w:t>
      </w:r>
      <w:r w:rsidRPr="00781E61">
        <w:rPr>
          <w:rFonts w:ascii="Arial" w:hAnsi="Arial" w:cs="Arial"/>
          <w:noProof/>
          <w:sz w:val="24"/>
          <w:szCs w:val="24"/>
        </w:rPr>
        <w:t xml:space="preserve">se tiene en cuenta que </w:t>
      </w:r>
      <w:r w:rsidR="001C2085" w:rsidRPr="00781E61">
        <w:rPr>
          <w:rFonts w:ascii="Arial" w:hAnsi="Arial" w:cs="Arial"/>
          <w:noProof/>
          <w:sz w:val="24"/>
          <w:szCs w:val="24"/>
        </w:rPr>
        <w:t xml:space="preserve">el distrito de Cartagena había adelantado la invitación pública </w:t>
      </w:r>
      <w:r w:rsidR="00CC2763">
        <w:rPr>
          <w:rFonts w:ascii="Arial" w:hAnsi="Arial" w:cs="Arial"/>
          <w:noProof/>
          <w:sz w:val="24"/>
          <w:szCs w:val="24"/>
        </w:rPr>
        <w:t xml:space="preserve"> a través de una fiduciaria que administraba los recaudos tributarios </w:t>
      </w:r>
      <w:r w:rsidR="001C2085" w:rsidRPr="00781E61">
        <w:rPr>
          <w:rFonts w:ascii="Arial" w:hAnsi="Arial" w:cs="Arial"/>
          <w:noProof/>
          <w:sz w:val="24"/>
          <w:szCs w:val="24"/>
        </w:rPr>
        <w:t>y</w:t>
      </w:r>
      <w:r w:rsidR="003414FA" w:rsidRPr="00781E61">
        <w:rPr>
          <w:rFonts w:ascii="Arial" w:hAnsi="Arial" w:cs="Arial"/>
          <w:noProof/>
          <w:sz w:val="24"/>
          <w:szCs w:val="24"/>
        </w:rPr>
        <w:t>,</w:t>
      </w:r>
      <w:r w:rsidR="001C2085" w:rsidRPr="00781E61">
        <w:rPr>
          <w:rFonts w:ascii="Arial" w:hAnsi="Arial" w:cs="Arial"/>
          <w:noProof/>
          <w:sz w:val="24"/>
          <w:szCs w:val="24"/>
        </w:rPr>
        <w:t xml:space="preserve"> </w:t>
      </w:r>
      <w:r w:rsidR="00FE042F">
        <w:rPr>
          <w:rFonts w:ascii="Arial" w:hAnsi="Arial" w:cs="Arial"/>
          <w:noProof/>
          <w:sz w:val="24"/>
          <w:szCs w:val="24"/>
        </w:rPr>
        <w:t xml:space="preserve">por ello, </w:t>
      </w:r>
      <w:r w:rsidR="001C2085" w:rsidRPr="00781E61">
        <w:rPr>
          <w:rFonts w:ascii="Arial" w:hAnsi="Arial" w:cs="Arial"/>
          <w:noProof/>
          <w:sz w:val="24"/>
          <w:szCs w:val="24"/>
        </w:rPr>
        <w:t>hasta donde se conoce en este proceso</w:t>
      </w:r>
      <w:r w:rsidR="003414FA" w:rsidRPr="00781E61">
        <w:rPr>
          <w:rFonts w:ascii="Arial" w:hAnsi="Arial" w:cs="Arial"/>
          <w:noProof/>
          <w:sz w:val="24"/>
          <w:szCs w:val="24"/>
        </w:rPr>
        <w:t>,</w:t>
      </w:r>
      <w:r w:rsidR="001C2085" w:rsidRPr="00781E61">
        <w:rPr>
          <w:rFonts w:ascii="Arial" w:hAnsi="Arial" w:cs="Arial"/>
          <w:noProof/>
          <w:sz w:val="24"/>
          <w:szCs w:val="24"/>
        </w:rPr>
        <w:t xml:space="preserve"> </w:t>
      </w:r>
      <w:r w:rsidR="00FE042F">
        <w:rPr>
          <w:rFonts w:ascii="Arial" w:hAnsi="Arial" w:cs="Arial"/>
          <w:noProof/>
          <w:sz w:val="24"/>
          <w:szCs w:val="24"/>
        </w:rPr>
        <w:t xml:space="preserve">el distrito encargó </w:t>
      </w:r>
      <w:r w:rsidR="001C2085" w:rsidRPr="00781E61">
        <w:rPr>
          <w:rFonts w:ascii="Arial" w:hAnsi="Arial" w:cs="Arial"/>
          <w:noProof/>
          <w:sz w:val="24"/>
          <w:szCs w:val="24"/>
        </w:rPr>
        <w:t xml:space="preserve">a </w:t>
      </w:r>
      <w:r w:rsidR="00FE042F">
        <w:rPr>
          <w:rFonts w:ascii="Arial" w:hAnsi="Arial" w:cs="Arial"/>
          <w:noProof/>
          <w:sz w:val="24"/>
          <w:szCs w:val="24"/>
        </w:rPr>
        <w:t>esa</w:t>
      </w:r>
      <w:r w:rsidR="001C2085" w:rsidRPr="00781E61">
        <w:rPr>
          <w:rFonts w:ascii="Arial" w:hAnsi="Arial" w:cs="Arial"/>
          <w:noProof/>
          <w:sz w:val="24"/>
          <w:szCs w:val="24"/>
        </w:rPr>
        <w:t xml:space="preserve"> entidad fiduciaria</w:t>
      </w:r>
      <w:r w:rsidR="003A05A9" w:rsidRPr="00781E61">
        <w:rPr>
          <w:rFonts w:ascii="Arial" w:hAnsi="Arial" w:cs="Arial"/>
          <w:noProof/>
          <w:sz w:val="24"/>
          <w:szCs w:val="24"/>
        </w:rPr>
        <w:t xml:space="preserve"> la sustanciaci</w:t>
      </w:r>
      <w:r w:rsidR="003414FA" w:rsidRPr="00781E61">
        <w:rPr>
          <w:rFonts w:ascii="Arial" w:hAnsi="Arial" w:cs="Arial"/>
          <w:noProof/>
          <w:sz w:val="24"/>
          <w:szCs w:val="24"/>
        </w:rPr>
        <w:t>ó</w:t>
      </w:r>
      <w:r w:rsidR="003A05A9" w:rsidRPr="00781E61">
        <w:rPr>
          <w:rFonts w:ascii="Arial" w:hAnsi="Arial" w:cs="Arial"/>
          <w:noProof/>
          <w:sz w:val="24"/>
          <w:szCs w:val="24"/>
        </w:rPr>
        <w:t>n de la calificación y l</w:t>
      </w:r>
      <w:r w:rsidR="00FE042F">
        <w:rPr>
          <w:rFonts w:ascii="Arial" w:hAnsi="Arial" w:cs="Arial"/>
          <w:noProof/>
          <w:sz w:val="24"/>
          <w:szCs w:val="24"/>
        </w:rPr>
        <w:t xml:space="preserve">e solicitó participar en </w:t>
      </w:r>
      <w:r w:rsidR="003A05A9" w:rsidRPr="00781E61">
        <w:rPr>
          <w:rFonts w:ascii="Arial" w:hAnsi="Arial" w:cs="Arial"/>
          <w:noProof/>
          <w:sz w:val="24"/>
          <w:szCs w:val="24"/>
        </w:rPr>
        <w:t xml:space="preserve">un comité de evaluación, </w:t>
      </w:r>
      <w:r w:rsidR="00FE042F">
        <w:rPr>
          <w:rFonts w:ascii="Arial" w:hAnsi="Arial" w:cs="Arial"/>
          <w:noProof/>
          <w:sz w:val="24"/>
          <w:szCs w:val="24"/>
        </w:rPr>
        <w:t xml:space="preserve">integrado con </w:t>
      </w:r>
      <w:r w:rsidR="003A05A9" w:rsidRPr="00781E61">
        <w:rPr>
          <w:rFonts w:ascii="Arial" w:hAnsi="Arial" w:cs="Arial"/>
          <w:noProof/>
          <w:sz w:val="24"/>
          <w:szCs w:val="24"/>
        </w:rPr>
        <w:t>la presencia de algunos funcionarios de la Alcaldía, el cual no logró un acuerdo</w:t>
      </w:r>
      <w:r w:rsidR="0031739E" w:rsidRPr="00781E61">
        <w:rPr>
          <w:rFonts w:ascii="Arial" w:hAnsi="Arial" w:cs="Arial"/>
          <w:noProof/>
          <w:sz w:val="24"/>
          <w:szCs w:val="24"/>
        </w:rPr>
        <w:t xml:space="preserve"> sobre la referida calificación, precisamente por las inhabilidades advertidas</w:t>
      </w:r>
      <w:r w:rsidRPr="00781E61">
        <w:rPr>
          <w:rFonts w:ascii="Arial" w:hAnsi="Arial" w:cs="Arial"/>
          <w:noProof/>
          <w:sz w:val="24"/>
          <w:szCs w:val="24"/>
        </w:rPr>
        <w:t xml:space="preserve">. </w:t>
      </w:r>
    </w:p>
    <w:p w14:paraId="0B62A783" w14:textId="77777777" w:rsidR="002A17D2" w:rsidRPr="00781E61" w:rsidRDefault="002A17D2" w:rsidP="00FE0FF8">
      <w:pPr>
        <w:spacing w:line="360" w:lineRule="auto"/>
        <w:rPr>
          <w:rFonts w:ascii="Arial" w:hAnsi="Arial" w:cs="Arial"/>
          <w:noProof/>
          <w:sz w:val="24"/>
          <w:szCs w:val="24"/>
        </w:rPr>
      </w:pPr>
    </w:p>
    <w:p w14:paraId="62C103F6" w14:textId="77777777" w:rsidR="002A17D2" w:rsidRPr="00781E61" w:rsidRDefault="002A17D2" w:rsidP="00FE0FF8">
      <w:pPr>
        <w:spacing w:line="360" w:lineRule="auto"/>
        <w:rPr>
          <w:rFonts w:ascii="Arial" w:hAnsi="Arial" w:cs="Arial"/>
          <w:noProof/>
          <w:sz w:val="24"/>
          <w:szCs w:val="24"/>
        </w:rPr>
      </w:pPr>
      <w:r w:rsidRPr="00781E61">
        <w:rPr>
          <w:rFonts w:ascii="Arial" w:hAnsi="Arial" w:cs="Arial"/>
          <w:noProof/>
          <w:sz w:val="24"/>
          <w:szCs w:val="24"/>
        </w:rPr>
        <w:t xml:space="preserve">Por ello </w:t>
      </w:r>
      <w:r w:rsidR="003A05A9" w:rsidRPr="00781E61">
        <w:rPr>
          <w:rFonts w:ascii="Arial" w:hAnsi="Arial" w:cs="Arial"/>
          <w:noProof/>
          <w:sz w:val="24"/>
          <w:szCs w:val="24"/>
        </w:rPr>
        <w:t xml:space="preserve">se </w:t>
      </w:r>
      <w:r w:rsidR="003414FA" w:rsidRPr="00781E61">
        <w:rPr>
          <w:rFonts w:ascii="Arial" w:hAnsi="Arial" w:cs="Arial"/>
          <w:noProof/>
          <w:sz w:val="24"/>
          <w:szCs w:val="24"/>
        </w:rPr>
        <w:t xml:space="preserve">tiene que concluir que </w:t>
      </w:r>
      <w:r w:rsidR="00356625" w:rsidRPr="00781E61">
        <w:rPr>
          <w:rFonts w:ascii="Arial" w:hAnsi="Arial" w:cs="Arial"/>
          <w:noProof/>
          <w:sz w:val="24"/>
          <w:szCs w:val="24"/>
        </w:rPr>
        <w:t>la</w:t>
      </w:r>
      <w:r w:rsidR="003414FA" w:rsidRPr="00781E61">
        <w:rPr>
          <w:rFonts w:ascii="Arial" w:hAnsi="Arial" w:cs="Arial"/>
          <w:noProof/>
          <w:sz w:val="24"/>
          <w:szCs w:val="24"/>
        </w:rPr>
        <w:t xml:space="preserve"> conducta de </w:t>
      </w:r>
      <w:r w:rsidR="00765C1C">
        <w:rPr>
          <w:rFonts w:ascii="Arial" w:hAnsi="Arial" w:cs="Arial"/>
          <w:noProof/>
          <w:sz w:val="24"/>
          <w:szCs w:val="24"/>
        </w:rPr>
        <w:t xml:space="preserve">la </w:t>
      </w:r>
      <w:r w:rsidR="00356625" w:rsidRPr="00781E61">
        <w:rPr>
          <w:rFonts w:ascii="Arial" w:hAnsi="Arial" w:cs="Arial"/>
          <w:noProof/>
          <w:sz w:val="24"/>
          <w:szCs w:val="24"/>
        </w:rPr>
        <w:t>entidad demandada, consi</w:t>
      </w:r>
      <w:r w:rsidR="00916106" w:rsidRPr="00781E61">
        <w:rPr>
          <w:rFonts w:ascii="Arial" w:hAnsi="Arial" w:cs="Arial"/>
          <w:noProof/>
          <w:sz w:val="24"/>
          <w:szCs w:val="24"/>
        </w:rPr>
        <w:t>s</w:t>
      </w:r>
      <w:r w:rsidR="00356625" w:rsidRPr="00781E61">
        <w:rPr>
          <w:rFonts w:ascii="Arial" w:hAnsi="Arial" w:cs="Arial"/>
          <w:noProof/>
          <w:sz w:val="24"/>
          <w:szCs w:val="24"/>
        </w:rPr>
        <w:t xml:space="preserve">tente en </w:t>
      </w:r>
      <w:r w:rsidR="003414FA" w:rsidRPr="00781E61">
        <w:rPr>
          <w:rFonts w:ascii="Arial" w:hAnsi="Arial" w:cs="Arial"/>
          <w:noProof/>
          <w:sz w:val="24"/>
          <w:szCs w:val="24"/>
        </w:rPr>
        <w:t xml:space="preserve">no allegar la documentación requerida </w:t>
      </w:r>
      <w:r w:rsidR="00916106" w:rsidRPr="00781E61">
        <w:rPr>
          <w:rFonts w:ascii="Arial" w:hAnsi="Arial" w:cs="Arial"/>
          <w:noProof/>
          <w:sz w:val="24"/>
          <w:szCs w:val="24"/>
        </w:rPr>
        <w:t xml:space="preserve">por el Tribunal </w:t>
      </w:r>
      <w:r w:rsidR="00916106" w:rsidRPr="00765C1C">
        <w:rPr>
          <w:rFonts w:ascii="Arial" w:hAnsi="Arial" w:cs="Arial"/>
          <w:i/>
          <w:noProof/>
          <w:sz w:val="24"/>
          <w:szCs w:val="24"/>
        </w:rPr>
        <w:t>a quo</w:t>
      </w:r>
      <w:r w:rsidR="00916106" w:rsidRPr="00781E61">
        <w:rPr>
          <w:rFonts w:ascii="Arial" w:hAnsi="Arial" w:cs="Arial"/>
          <w:noProof/>
          <w:sz w:val="24"/>
          <w:szCs w:val="24"/>
        </w:rPr>
        <w:t xml:space="preserve">, </w:t>
      </w:r>
      <w:r w:rsidR="003A05A9" w:rsidRPr="00781E61">
        <w:rPr>
          <w:rFonts w:ascii="Arial" w:hAnsi="Arial" w:cs="Arial"/>
          <w:noProof/>
          <w:sz w:val="24"/>
          <w:szCs w:val="24"/>
        </w:rPr>
        <w:t xml:space="preserve">no </w:t>
      </w:r>
      <w:r w:rsidR="00916106" w:rsidRPr="00781E61">
        <w:rPr>
          <w:rFonts w:ascii="Arial" w:hAnsi="Arial" w:cs="Arial"/>
          <w:noProof/>
          <w:sz w:val="24"/>
          <w:szCs w:val="24"/>
        </w:rPr>
        <w:t xml:space="preserve">puede llevar a </w:t>
      </w:r>
      <w:r w:rsidR="003A05A9" w:rsidRPr="00781E61">
        <w:rPr>
          <w:rFonts w:ascii="Arial" w:hAnsi="Arial" w:cs="Arial"/>
          <w:noProof/>
          <w:sz w:val="24"/>
          <w:szCs w:val="24"/>
        </w:rPr>
        <w:t>declarar como desvirtuadas las consideraciones del acto administrativo, el cual, por el contrario</w:t>
      </w:r>
      <w:r w:rsidR="008B62A1">
        <w:rPr>
          <w:rFonts w:ascii="Arial" w:hAnsi="Arial" w:cs="Arial"/>
          <w:noProof/>
          <w:sz w:val="24"/>
          <w:szCs w:val="24"/>
        </w:rPr>
        <w:t>,</w:t>
      </w:r>
      <w:r w:rsidR="003A05A9" w:rsidRPr="00781E61">
        <w:rPr>
          <w:rFonts w:ascii="Arial" w:hAnsi="Arial" w:cs="Arial"/>
          <w:noProof/>
          <w:sz w:val="24"/>
          <w:szCs w:val="24"/>
        </w:rPr>
        <w:t xml:space="preserve"> permanece incólume, en cuanto </w:t>
      </w:r>
      <w:r w:rsidR="00356625" w:rsidRPr="00781E61">
        <w:rPr>
          <w:rFonts w:ascii="Arial" w:hAnsi="Arial" w:cs="Arial"/>
          <w:noProof/>
          <w:sz w:val="24"/>
          <w:szCs w:val="24"/>
        </w:rPr>
        <w:t xml:space="preserve">que, en asuntos como el presente, </w:t>
      </w:r>
      <w:r w:rsidR="008F0681" w:rsidRPr="00781E61">
        <w:rPr>
          <w:rFonts w:ascii="Arial" w:hAnsi="Arial" w:cs="Arial"/>
          <w:noProof/>
          <w:sz w:val="24"/>
          <w:szCs w:val="24"/>
        </w:rPr>
        <w:t xml:space="preserve">la prueba del acto </w:t>
      </w:r>
      <w:r w:rsidRPr="00781E61">
        <w:rPr>
          <w:rFonts w:ascii="Arial" w:hAnsi="Arial" w:cs="Arial"/>
          <w:noProof/>
          <w:sz w:val="24"/>
          <w:szCs w:val="24"/>
        </w:rPr>
        <w:t xml:space="preserve">administratrivo </w:t>
      </w:r>
      <w:r w:rsidR="008F0681" w:rsidRPr="00781E61">
        <w:rPr>
          <w:rFonts w:ascii="Arial" w:hAnsi="Arial" w:cs="Arial"/>
          <w:noProof/>
          <w:sz w:val="24"/>
          <w:szCs w:val="24"/>
        </w:rPr>
        <w:t>debe apreciarse por su contenido</w:t>
      </w:r>
      <w:r w:rsidRPr="00781E61">
        <w:rPr>
          <w:rFonts w:ascii="Arial" w:hAnsi="Arial" w:cs="Arial"/>
          <w:noProof/>
          <w:sz w:val="24"/>
          <w:szCs w:val="24"/>
        </w:rPr>
        <w:t>.</w:t>
      </w:r>
    </w:p>
    <w:p w14:paraId="21C1D720" w14:textId="77777777" w:rsidR="002A17D2" w:rsidRPr="00781E61" w:rsidRDefault="002A17D2" w:rsidP="00FE0FF8">
      <w:pPr>
        <w:spacing w:line="360" w:lineRule="auto"/>
        <w:rPr>
          <w:rFonts w:ascii="Arial" w:hAnsi="Arial" w:cs="Arial"/>
          <w:noProof/>
          <w:sz w:val="24"/>
          <w:szCs w:val="24"/>
        </w:rPr>
      </w:pPr>
    </w:p>
    <w:p w14:paraId="2466A98A" w14:textId="77777777" w:rsidR="003A05A9" w:rsidRPr="00781E61" w:rsidRDefault="002A17D2" w:rsidP="00FE0FF8">
      <w:pPr>
        <w:spacing w:line="360" w:lineRule="auto"/>
        <w:rPr>
          <w:rFonts w:ascii="Arial" w:hAnsi="Arial" w:cs="Arial"/>
          <w:noProof/>
          <w:sz w:val="24"/>
          <w:szCs w:val="24"/>
        </w:rPr>
      </w:pPr>
      <w:r w:rsidRPr="00781E61">
        <w:rPr>
          <w:rFonts w:ascii="Arial" w:hAnsi="Arial" w:cs="Arial"/>
          <w:noProof/>
          <w:sz w:val="24"/>
          <w:szCs w:val="24"/>
        </w:rPr>
        <w:t>D</w:t>
      </w:r>
      <w:r w:rsidR="008F0681" w:rsidRPr="00781E61">
        <w:rPr>
          <w:rFonts w:ascii="Arial" w:hAnsi="Arial" w:cs="Arial"/>
          <w:noProof/>
          <w:sz w:val="24"/>
          <w:szCs w:val="24"/>
        </w:rPr>
        <w:t>e acuerdo c</w:t>
      </w:r>
      <w:r w:rsidR="00916106" w:rsidRPr="00781E61">
        <w:rPr>
          <w:rFonts w:ascii="Arial" w:hAnsi="Arial" w:cs="Arial"/>
          <w:noProof/>
          <w:sz w:val="24"/>
          <w:szCs w:val="24"/>
        </w:rPr>
        <w:t>o</w:t>
      </w:r>
      <w:r w:rsidR="008F0681" w:rsidRPr="00781E61">
        <w:rPr>
          <w:rFonts w:ascii="Arial" w:hAnsi="Arial" w:cs="Arial"/>
          <w:noProof/>
          <w:sz w:val="24"/>
          <w:szCs w:val="24"/>
        </w:rPr>
        <w:t xml:space="preserve">n el </w:t>
      </w:r>
      <w:r w:rsidR="003A05A9" w:rsidRPr="00781E61">
        <w:rPr>
          <w:rFonts w:ascii="Arial" w:hAnsi="Arial" w:cs="Arial"/>
          <w:noProof/>
          <w:sz w:val="24"/>
          <w:szCs w:val="24"/>
        </w:rPr>
        <w:t xml:space="preserve">análisis </w:t>
      </w:r>
      <w:r w:rsidR="008F0681" w:rsidRPr="00781E61">
        <w:rPr>
          <w:rFonts w:ascii="Arial" w:hAnsi="Arial" w:cs="Arial"/>
          <w:noProof/>
          <w:sz w:val="24"/>
          <w:szCs w:val="24"/>
        </w:rPr>
        <w:t>q</w:t>
      </w:r>
      <w:r w:rsidRPr="00781E61">
        <w:rPr>
          <w:rFonts w:ascii="Arial" w:hAnsi="Arial" w:cs="Arial"/>
          <w:noProof/>
          <w:sz w:val="24"/>
          <w:szCs w:val="24"/>
        </w:rPr>
        <w:t>ue aq</w:t>
      </w:r>
      <w:r w:rsidR="008F0681" w:rsidRPr="00781E61">
        <w:rPr>
          <w:rFonts w:ascii="Arial" w:hAnsi="Arial" w:cs="Arial"/>
          <w:noProof/>
          <w:sz w:val="24"/>
          <w:szCs w:val="24"/>
        </w:rPr>
        <w:t xml:space="preserve">uí se realiza, la motivación del acto </w:t>
      </w:r>
      <w:r w:rsidR="00356625" w:rsidRPr="00781E61">
        <w:rPr>
          <w:rFonts w:ascii="Arial" w:hAnsi="Arial" w:cs="Arial"/>
          <w:noProof/>
          <w:sz w:val="24"/>
          <w:szCs w:val="24"/>
        </w:rPr>
        <w:t xml:space="preserve">administrativo </w:t>
      </w:r>
      <w:r w:rsidR="008F0681" w:rsidRPr="00781E61">
        <w:rPr>
          <w:rFonts w:ascii="Arial" w:hAnsi="Arial" w:cs="Arial"/>
          <w:noProof/>
          <w:sz w:val="24"/>
          <w:szCs w:val="24"/>
        </w:rPr>
        <w:t xml:space="preserve">se estima como </w:t>
      </w:r>
      <w:r w:rsidR="003A05A9" w:rsidRPr="00781E61">
        <w:rPr>
          <w:rFonts w:ascii="Arial" w:hAnsi="Arial" w:cs="Arial"/>
          <w:noProof/>
          <w:sz w:val="24"/>
          <w:szCs w:val="24"/>
        </w:rPr>
        <w:t>ajustad</w:t>
      </w:r>
      <w:r w:rsidR="008F0681" w:rsidRPr="00781E61">
        <w:rPr>
          <w:rFonts w:ascii="Arial" w:hAnsi="Arial" w:cs="Arial"/>
          <w:noProof/>
          <w:sz w:val="24"/>
          <w:szCs w:val="24"/>
        </w:rPr>
        <w:t>a</w:t>
      </w:r>
      <w:r w:rsidR="003A05A9" w:rsidRPr="00781E61">
        <w:rPr>
          <w:rFonts w:ascii="Arial" w:hAnsi="Arial" w:cs="Arial"/>
          <w:noProof/>
          <w:sz w:val="24"/>
          <w:szCs w:val="24"/>
        </w:rPr>
        <w:t xml:space="preserve"> a derecho</w:t>
      </w:r>
      <w:r w:rsidR="008F0681" w:rsidRPr="00781E61">
        <w:rPr>
          <w:rFonts w:ascii="Arial" w:hAnsi="Arial" w:cs="Arial"/>
          <w:noProof/>
          <w:sz w:val="24"/>
          <w:szCs w:val="24"/>
        </w:rPr>
        <w:t>, en tanto la declaratoria de desierta podía fundarse v</w:t>
      </w:r>
      <w:r w:rsidR="008B62A1">
        <w:rPr>
          <w:rFonts w:ascii="Arial" w:hAnsi="Arial" w:cs="Arial"/>
          <w:noProof/>
          <w:sz w:val="24"/>
          <w:szCs w:val="24"/>
        </w:rPr>
        <w:t>á</w:t>
      </w:r>
      <w:r w:rsidR="008F0681" w:rsidRPr="00781E61">
        <w:rPr>
          <w:rFonts w:ascii="Arial" w:hAnsi="Arial" w:cs="Arial"/>
          <w:noProof/>
          <w:sz w:val="24"/>
          <w:szCs w:val="24"/>
        </w:rPr>
        <w:t>lidamente en la inexistencia de propuesta hábil</w:t>
      </w:r>
      <w:r w:rsidR="003A05A9" w:rsidRPr="00781E61">
        <w:rPr>
          <w:rFonts w:ascii="Arial" w:hAnsi="Arial" w:cs="Arial"/>
          <w:noProof/>
          <w:sz w:val="24"/>
          <w:szCs w:val="24"/>
        </w:rPr>
        <w:t>.</w:t>
      </w:r>
    </w:p>
    <w:p w14:paraId="1182CE7B" w14:textId="77777777" w:rsidR="002E376E" w:rsidRPr="00781E61" w:rsidRDefault="002E376E" w:rsidP="00FE0FF8">
      <w:pPr>
        <w:pStyle w:val="Textonotapie"/>
        <w:rPr>
          <w:rFonts w:cs="Arial"/>
          <w:color w:val="000000"/>
          <w:sz w:val="24"/>
          <w:szCs w:val="24"/>
        </w:rPr>
      </w:pPr>
    </w:p>
    <w:p w14:paraId="6237F2C3" w14:textId="77777777" w:rsidR="00EA2DC2" w:rsidRDefault="00356625" w:rsidP="00FE0FF8">
      <w:pPr>
        <w:pStyle w:val="Textonotapie"/>
        <w:rPr>
          <w:color w:val="000000"/>
          <w:sz w:val="24"/>
          <w:szCs w:val="24"/>
        </w:rPr>
      </w:pPr>
      <w:r>
        <w:rPr>
          <w:color w:val="000000"/>
          <w:sz w:val="24"/>
          <w:szCs w:val="24"/>
        </w:rPr>
        <w:t>Como consecuencia</w:t>
      </w:r>
      <w:r w:rsidR="008B62A1">
        <w:rPr>
          <w:color w:val="000000"/>
          <w:sz w:val="24"/>
          <w:szCs w:val="24"/>
        </w:rPr>
        <w:t>,</w:t>
      </w:r>
      <w:r>
        <w:rPr>
          <w:color w:val="000000"/>
          <w:sz w:val="24"/>
          <w:szCs w:val="24"/>
        </w:rPr>
        <w:t xml:space="preserve"> n</w:t>
      </w:r>
      <w:r w:rsidR="008F0681">
        <w:rPr>
          <w:color w:val="000000"/>
          <w:sz w:val="24"/>
          <w:szCs w:val="24"/>
        </w:rPr>
        <w:t xml:space="preserve">o hay lugar a invocar </w:t>
      </w:r>
      <w:r w:rsidR="009C3BF0">
        <w:rPr>
          <w:color w:val="000000"/>
          <w:sz w:val="24"/>
          <w:szCs w:val="24"/>
        </w:rPr>
        <w:t xml:space="preserve">un supuesto </w:t>
      </w:r>
      <w:r w:rsidR="00EA2DC2">
        <w:rPr>
          <w:color w:val="000000"/>
          <w:sz w:val="24"/>
          <w:szCs w:val="24"/>
        </w:rPr>
        <w:t>decaimiento de la presunción de validez del acto administrativo</w:t>
      </w:r>
      <w:r w:rsidR="009C3BF0">
        <w:rPr>
          <w:rStyle w:val="Refdenotaalpie"/>
          <w:color w:val="000000"/>
          <w:sz w:val="24"/>
          <w:szCs w:val="24"/>
        </w:rPr>
        <w:footnoteReference w:id="44"/>
      </w:r>
      <w:r w:rsidR="00EA2DC2">
        <w:rPr>
          <w:color w:val="000000"/>
          <w:sz w:val="24"/>
          <w:szCs w:val="24"/>
        </w:rPr>
        <w:t xml:space="preserve"> mediante el cual se declaró desierta la </w:t>
      </w:r>
      <w:r w:rsidR="00765C1C">
        <w:rPr>
          <w:color w:val="000000"/>
          <w:sz w:val="24"/>
          <w:szCs w:val="24"/>
        </w:rPr>
        <w:t>invitación</w:t>
      </w:r>
      <w:r w:rsidR="00EA2DC2">
        <w:rPr>
          <w:color w:val="000000"/>
          <w:sz w:val="24"/>
          <w:szCs w:val="24"/>
        </w:rPr>
        <w:t xml:space="preserve">, por el hecho de que la alcaldía de Cartagena se hubiera limitado a dar </w:t>
      </w:r>
      <w:r w:rsidR="00EA2DC2">
        <w:rPr>
          <w:color w:val="000000"/>
          <w:sz w:val="24"/>
          <w:szCs w:val="24"/>
        </w:rPr>
        <w:lastRenderedPageBreak/>
        <w:t>traslado a su Secretar</w:t>
      </w:r>
      <w:r w:rsidR="008B62A1">
        <w:rPr>
          <w:color w:val="000000"/>
          <w:sz w:val="24"/>
          <w:szCs w:val="24"/>
        </w:rPr>
        <w:t>i</w:t>
      </w:r>
      <w:r w:rsidR="00EA2DC2">
        <w:rPr>
          <w:color w:val="000000"/>
          <w:sz w:val="24"/>
          <w:szCs w:val="24"/>
        </w:rPr>
        <w:t>a de Hacienda y esta última no hubiera allegado documento alguno</w:t>
      </w:r>
      <w:r w:rsidR="0083489E">
        <w:rPr>
          <w:color w:val="000000"/>
          <w:sz w:val="24"/>
          <w:szCs w:val="24"/>
        </w:rPr>
        <w:t xml:space="preserve"> acerca de un trámite que ella no adelantó directamente</w:t>
      </w:r>
      <w:r w:rsidR="00EA2DC2">
        <w:rPr>
          <w:color w:val="000000"/>
          <w:sz w:val="24"/>
          <w:szCs w:val="24"/>
        </w:rPr>
        <w:t xml:space="preserve">. </w:t>
      </w:r>
    </w:p>
    <w:p w14:paraId="176917E1" w14:textId="77777777" w:rsidR="00EA2DC2" w:rsidRDefault="00EA2DC2" w:rsidP="00FE0FF8">
      <w:pPr>
        <w:pStyle w:val="Textonotapie"/>
        <w:rPr>
          <w:color w:val="000000"/>
          <w:sz w:val="24"/>
          <w:szCs w:val="24"/>
        </w:rPr>
      </w:pPr>
    </w:p>
    <w:p w14:paraId="35C5E1F0" w14:textId="77777777" w:rsidR="000547EA" w:rsidRDefault="009C3BF0" w:rsidP="00FE0FF8">
      <w:pPr>
        <w:pStyle w:val="Textonotapie"/>
        <w:rPr>
          <w:color w:val="000000"/>
          <w:sz w:val="24"/>
          <w:szCs w:val="24"/>
        </w:rPr>
      </w:pPr>
      <w:r>
        <w:rPr>
          <w:color w:val="000000"/>
          <w:sz w:val="24"/>
          <w:szCs w:val="24"/>
        </w:rPr>
        <w:t xml:space="preserve">Así las cosas, </w:t>
      </w:r>
      <w:r w:rsidR="00151906">
        <w:rPr>
          <w:color w:val="000000"/>
          <w:sz w:val="24"/>
          <w:szCs w:val="24"/>
        </w:rPr>
        <w:t>s</w:t>
      </w:r>
      <w:r w:rsidR="000547EA">
        <w:rPr>
          <w:color w:val="000000"/>
          <w:sz w:val="24"/>
          <w:szCs w:val="24"/>
        </w:rPr>
        <w:t xml:space="preserve">e tiene </w:t>
      </w:r>
      <w:r w:rsidR="009E497E">
        <w:rPr>
          <w:color w:val="000000"/>
          <w:sz w:val="24"/>
          <w:szCs w:val="24"/>
        </w:rPr>
        <w:t xml:space="preserve">que </w:t>
      </w:r>
      <w:r w:rsidR="0081080B">
        <w:rPr>
          <w:color w:val="000000"/>
          <w:sz w:val="24"/>
          <w:szCs w:val="24"/>
        </w:rPr>
        <w:t xml:space="preserve">concluir </w:t>
      </w:r>
      <w:r w:rsidR="000547EA">
        <w:rPr>
          <w:color w:val="000000"/>
          <w:sz w:val="24"/>
          <w:szCs w:val="24"/>
        </w:rPr>
        <w:t xml:space="preserve">que </w:t>
      </w:r>
      <w:r w:rsidR="009E497E">
        <w:rPr>
          <w:color w:val="000000"/>
          <w:sz w:val="24"/>
          <w:szCs w:val="24"/>
        </w:rPr>
        <w:t xml:space="preserve">en este proceso </w:t>
      </w:r>
      <w:r w:rsidR="000547EA">
        <w:rPr>
          <w:color w:val="000000"/>
          <w:sz w:val="24"/>
          <w:szCs w:val="24"/>
        </w:rPr>
        <w:t>ninguna de las partes allegó l</w:t>
      </w:r>
      <w:r w:rsidR="009D6AAC">
        <w:rPr>
          <w:color w:val="000000"/>
          <w:sz w:val="24"/>
          <w:szCs w:val="24"/>
        </w:rPr>
        <w:t xml:space="preserve">a documentación </w:t>
      </w:r>
      <w:r w:rsidR="000547EA">
        <w:rPr>
          <w:color w:val="000000"/>
          <w:sz w:val="24"/>
          <w:szCs w:val="24"/>
        </w:rPr>
        <w:t>que estaba a su alcance y que el Tribunal Administrativo de Bol</w:t>
      </w:r>
      <w:r w:rsidR="000258E1">
        <w:rPr>
          <w:color w:val="000000"/>
          <w:sz w:val="24"/>
          <w:szCs w:val="24"/>
        </w:rPr>
        <w:t>í</w:t>
      </w:r>
      <w:r w:rsidR="000547EA">
        <w:rPr>
          <w:color w:val="000000"/>
          <w:sz w:val="24"/>
          <w:szCs w:val="24"/>
        </w:rPr>
        <w:t xml:space="preserve">var </w:t>
      </w:r>
      <w:r w:rsidR="000547EA" w:rsidRPr="00CF1586">
        <w:rPr>
          <w:color w:val="000000"/>
          <w:sz w:val="24"/>
          <w:szCs w:val="24"/>
        </w:rPr>
        <w:t xml:space="preserve">cerró el debate probatorio </w:t>
      </w:r>
      <w:r w:rsidR="00C12476" w:rsidRPr="00CF1586">
        <w:rPr>
          <w:color w:val="000000"/>
          <w:sz w:val="24"/>
          <w:szCs w:val="24"/>
        </w:rPr>
        <w:t>después de tres requerimientos fallidos,</w:t>
      </w:r>
      <w:r w:rsidR="006C193C" w:rsidRPr="00CF1586">
        <w:rPr>
          <w:color w:val="000000"/>
          <w:sz w:val="24"/>
          <w:szCs w:val="24"/>
        </w:rPr>
        <w:t xml:space="preserve"> remitidos en un plazo de más de cuatro años,</w:t>
      </w:r>
      <w:r w:rsidR="006C193C">
        <w:rPr>
          <w:color w:val="000000"/>
          <w:sz w:val="24"/>
          <w:szCs w:val="24"/>
        </w:rPr>
        <w:t xml:space="preserve"> </w:t>
      </w:r>
      <w:r w:rsidR="000547EA">
        <w:rPr>
          <w:color w:val="000000"/>
          <w:sz w:val="24"/>
          <w:szCs w:val="24"/>
        </w:rPr>
        <w:t xml:space="preserve">sin que la demandante hiciera un esfuerzo por aportar los documentos que ella misma reseñaba en </w:t>
      </w:r>
      <w:r w:rsidR="009E497E">
        <w:rPr>
          <w:color w:val="000000"/>
          <w:sz w:val="24"/>
          <w:szCs w:val="24"/>
        </w:rPr>
        <w:t xml:space="preserve">los argumentos de </w:t>
      </w:r>
      <w:r w:rsidR="000547EA">
        <w:rPr>
          <w:color w:val="000000"/>
          <w:sz w:val="24"/>
          <w:szCs w:val="24"/>
        </w:rPr>
        <w:t>su demanda</w:t>
      </w:r>
      <w:r w:rsidR="003C6C47">
        <w:rPr>
          <w:color w:val="000000"/>
          <w:sz w:val="24"/>
          <w:szCs w:val="24"/>
        </w:rPr>
        <w:t>,</w:t>
      </w:r>
      <w:r w:rsidR="000547EA">
        <w:rPr>
          <w:color w:val="000000"/>
          <w:sz w:val="24"/>
          <w:szCs w:val="24"/>
        </w:rPr>
        <w:t xml:space="preserve"> para defender la idoneidad de su propuesta</w:t>
      </w:r>
      <w:r w:rsidR="003C6C47">
        <w:rPr>
          <w:color w:val="000000"/>
          <w:sz w:val="24"/>
          <w:szCs w:val="24"/>
        </w:rPr>
        <w:t xml:space="preserve"> en la invitación pública.</w:t>
      </w:r>
    </w:p>
    <w:p w14:paraId="03798DCE" w14:textId="77777777" w:rsidR="000547EA" w:rsidRDefault="000547EA" w:rsidP="00FE0FF8">
      <w:pPr>
        <w:pStyle w:val="Textonotapie"/>
        <w:rPr>
          <w:color w:val="000000"/>
          <w:sz w:val="24"/>
          <w:szCs w:val="24"/>
        </w:rPr>
      </w:pPr>
    </w:p>
    <w:p w14:paraId="6941D49A" w14:textId="77777777" w:rsidR="000258E1" w:rsidRDefault="005F155A" w:rsidP="00FE0FF8">
      <w:pPr>
        <w:pStyle w:val="Textonotapie"/>
        <w:rPr>
          <w:color w:val="000000"/>
          <w:sz w:val="24"/>
          <w:szCs w:val="24"/>
        </w:rPr>
      </w:pPr>
      <w:r w:rsidRPr="008B62A1">
        <w:rPr>
          <w:color w:val="000000"/>
          <w:sz w:val="24"/>
          <w:szCs w:val="24"/>
        </w:rPr>
        <w:t xml:space="preserve">Se </w:t>
      </w:r>
      <w:r w:rsidR="009D6AAC" w:rsidRPr="008B62A1">
        <w:rPr>
          <w:color w:val="000000"/>
          <w:sz w:val="24"/>
          <w:szCs w:val="24"/>
        </w:rPr>
        <w:t xml:space="preserve">puntualiza </w:t>
      </w:r>
      <w:r w:rsidRPr="008B62A1">
        <w:rPr>
          <w:color w:val="000000"/>
          <w:sz w:val="24"/>
          <w:szCs w:val="24"/>
        </w:rPr>
        <w:t>que a</w:t>
      </w:r>
      <w:r w:rsidR="00E33C40" w:rsidRPr="008B62A1">
        <w:rPr>
          <w:color w:val="000000"/>
          <w:sz w:val="24"/>
          <w:szCs w:val="24"/>
        </w:rPr>
        <w:t xml:space="preserve">mbas partes fallaron en su carga probatoria y ninguna de ellas mostró interés en que la representante de la Fiduciaria La Previsora </w:t>
      </w:r>
      <w:r w:rsidR="000258E1" w:rsidRPr="008B62A1">
        <w:rPr>
          <w:color w:val="000000"/>
          <w:sz w:val="24"/>
          <w:szCs w:val="24"/>
        </w:rPr>
        <w:t xml:space="preserve">S.A. </w:t>
      </w:r>
      <w:r w:rsidR="00E33C40" w:rsidRPr="008B62A1">
        <w:rPr>
          <w:color w:val="000000"/>
          <w:sz w:val="24"/>
          <w:szCs w:val="24"/>
        </w:rPr>
        <w:t xml:space="preserve">fuera </w:t>
      </w:r>
      <w:r w:rsidRPr="008B62A1">
        <w:rPr>
          <w:color w:val="000000"/>
          <w:sz w:val="24"/>
          <w:szCs w:val="24"/>
        </w:rPr>
        <w:t>citada, por ejemplo</w:t>
      </w:r>
      <w:r w:rsidR="009D6AAC" w:rsidRPr="008B62A1">
        <w:rPr>
          <w:color w:val="000000"/>
          <w:sz w:val="24"/>
          <w:szCs w:val="24"/>
        </w:rPr>
        <w:t>,</w:t>
      </w:r>
      <w:r w:rsidRPr="008B62A1">
        <w:rPr>
          <w:color w:val="000000"/>
          <w:sz w:val="24"/>
          <w:szCs w:val="24"/>
        </w:rPr>
        <w:t xml:space="preserve"> dirigiendo la correspondencia al </w:t>
      </w:r>
      <w:r w:rsidR="00E33C40" w:rsidRPr="008B62A1">
        <w:rPr>
          <w:color w:val="000000"/>
          <w:sz w:val="24"/>
          <w:szCs w:val="24"/>
        </w:rPr>
        <w:t xml:space="preserve">domicilio </w:t>
      </w:r>
      <w:r w:rsidRPr="008B62A1">
        <w:rPr>
          <w:color w:val="000000"/>
          <w:sz w:val="24"/>
          <w:szCs w:val="24"/>
        </w:rPr>
        <w:t xml:space="preserve">principal </w:t>
      </w:r>
      <w:r w:rsidR="00E33C40" w:rsidRPr="008B62A1">
        <w:rPr>
          <w:color w:val="000000"/>
          <w:sz w:val="24"/>
          <w:szCs w:val="24"/>
        </w:rPr>
        <w:t xml:space="preserve">de </w:t>
      </w:r>
      <w:r w:rsidRPr="008B62A1">
        <w:rPr>
          <w:color w:val="000000"/>
          <w:sz w:val="24"/>
          <w:szCs w:val="24"/>
        </w:rPr>
        <w:t>esa</w:t>
      </w:r>
      <w:r w:rsidR="00E33C40" w:rsidRPr="008B62A1">
        <w:rPr>
          <w:color w:val="000000"/>
          <w:sz w:val="24"/>
          <w:szCs w:val="24"/>
        </w:rPr>
        <w:t xml:space="preserve"> </w:t>
      </w:r>
      <w:r w:rsidR="00E1446A">
        <w:rPr>
          <w:color w:val="000000"/>
          <w:sz w:val="24"/>
          <w:szCs w:val="24"/>
        </w:rPr>
        <w:t>sociedad fiduciaria</w:t>
      </w:r>
      <w:r w:rsidRPr="008B62A1">
        <w:rPr>
          <w:color w:val="000000"/>
          <w:sz w:val="24"/>
          <w:szCs w:val="24"/>
        </w:rPr>
        <w:t xml:space="preserve">, </w:t>
      </w:r>
      <w:r w:rsidR="009D6AAC" w:rsidRPr="008B62A1">
        <w:rPr>
          <w:color w:val="000000"/>
          <w:sz w:val="24"/>
          <w:szCs w:val="24"/>
        </w:rPr>
        <w:t xml:space="preserve">cuando </w:t>
      </w:r>
      <w:r w:rsidR="003C6C47" w:rsidRPr="008B62A1">
        <w:rPr>
          <w:color w:val="000000"/>
          <w:sz w:val="24"/>
          <w:szCs w:val="24"/>
        </w:rPr>
        <w:t xml:space="preserve">resultaba </w:t>
      </w:r>
      <w:r w:rsidR="009D6AAC" w:rsidRPr="008B62A1">
        <w:rPr>
          <w:color w:val="000000"/>
          <w:sz w:val="24"/>
          <w:szCs w:val="24"/>
        </w:rPr>
        <w:t>de la mayor importancia</w:t>
      </w:r>
      <w:r w:rsidR="003C6C47" w:rsidRPr="008B62A1">
        <w:rPr>
          <w:color w:val="000000"/>
          <w:sz w:val="24"/>
          <w:szCs w:val="24"/>
        </w:rPr>
        <w:t>,</w:t>
      </w:r>
      <w:r w:rsidR="009D6AAC" w:rsidRPr="008B62A1">
        <w:rPr>
          <w:color w:val="000000"/>
          <w:sz w:val="24"/>
          <w:szCs w:val="24"/>
        </w:rPr>
        <w:t xml:space="preserve"> en tanto que esa entidad </w:t>
      </w:r>
      <w:r w:rsidR="00E1446A">
        <w:rPr>
          <w:color w:val="000000"/>
          <w:sz w:val="24"/>
          <w:szCs w:val="24"/>
        </w:rPr>
        <w:t xml:space="preserve">de servicios </w:t>
      </w:r>
      <w:r w:rsidR="007D28A6" w:rsidRPr="008B62A1">
        <w:rPr>
          <w:color w:val="000000"/>
          <w:sz w:val="24"/>
          <w:szCs w:val="24"/>
        </w:rPr>
        <w:t>financier</w:t>
      </w:r>
      <w:r w:rsidR="00E1446A">
        <w:rPr>
          <w:color w:val="000000"/>
          <w:sz w:val="24"/>
          <w:szCs w:val="24"/>
        </w:rPr>
        <w:t>os</w:t>
      </w:r>
      <w:r w:rsidR="009D6AAC" w:rsidRPr="008B62A1">
        <w:rPr>
          <w:color w:val="000000"/>
          <w:sz w:val="24"/>
          <w:szCs w:val="24"/>
        </w:rPr>
        <w:t xml:space="preserve"> </w:t>
      </w:r>
      <w:r w:rsidR="00492C58" w:rsidRPr="008B62A1">
        <w:rPr>
          <w:color w:val="000000"/>
          <w:sz w:val="24"/>
          <w:szCs w:val="24"/>
        </w:rPr>
        <w:t xml:space="preserve">era </w:t>
      </w:r>
      <w:r w:rsidR="009D6AAC" w:rsidRPr="008B62A1">
        <w:rPr>
          <w:color w:val="000000"/>
          <w:sz w:val="24"/>
          <w:szCs w:val="24"/>
        </w:rPr>
        <w:t xml:space="preserve">la que </w:t>
      </w:r>
      <w:r w:rsidR="00C12476" w:rsidRPr="008B62A1">
        <w:rPr>
          <w:color w:val="000000"/>
          <w:sz w:val="24"/>
          <w:szCs w:val="24"/>
        </w:rPr>
        <w:t xml:space="preserve">debía </w:t>
      </w:r>
      <w:r w:rsidR="00E1446A">
        <w:rPr>
          <w:color w:val="000000"/>
          <w:sz w:val="24"/>
          <w:szCs w:val="24"/>
        </w:rPr>
        <w:t xml:space="preserve">tener en su </w:t>
      </w:r>
      <w:r w:rsidR="009D6AAC" w:rsidRPr="008B62A1">
        <w:rPr>
          <w:color w:val="000000"/>
          <w:sz w:val="24"/>
          <w:szCs w:val="24"/>
        </w:rPr>
        <w:t xml:space="preserve">poder </w:t>
      </w:r>
      <w:r w:rsidR="00E33C40" w:rsidRPr="008B62A1">
        <w:rPr>
          <w:color w:val="000000"/>
          <w:sz w:val="24"/>
          <w:szCs w:val="24"/>
        </w:rPr>
        <w:t xml:space="preserve">los </w:t>
      </w:r>
      <w:r w:rsidR="009D6AAC" w:rsidRPr="008B62A1">
        <w:rPr>
          <w:color w:val="000000"/>
          <w:sz w:val="24"/>
          <w:szCs w:val="24"/>
        </w:rPr>
        <w:t xml:space="preserve">documentos </w:t>
      </w:r>
      <w:r w:rsidR="00C12476" w:rsidRPr="008B62A1">
        <w:rPr>
          <w:color w:val="000000"/>
          <w:sz w:val="24"/>
          <w:szCs w:val="24"/>
        </w:rPr>
        <w:t>originales</w:t>
      </w:r>
      <w:r w:rsidR="003E22CD">
        <w:rPr>
          <w:color w:val="000000"/>
          <w:sz w:val="24"/>
          <w:szCs w:val="24"/>
        </w:rPr>
        <w:t>,</w:t>
      </w:r>
      <w:r w:rsidR="00C12476" w:rsidRPr="008B62A1">
        <w:rPr>
          <w:color w:val="000000"/>
          <w:sz w:val="24"/>
          <w:szCs w:val="24"/>
        </w:rPr>
        <w:t xml:space="preserve"> </w:t>
      </w:r>
      <w:r w:rsidR="009D6AAC" w:rsidRPr="008B62A1">
        <w:rPr>
          <w:color w:val="000000"/>
          <w:sz w:val="24"/>
          <w:szCs w:val="24"/>
        </w:rPr>
        <w:t xml:space="preserve">mediante los cuales </w:t>
      </w:r>
      <w:r w:rsidR="001170A7" w:rsidRPr="008B62A1">
        <w:rPr>
          <w:color w:val="000000"/>
          <w:sz w:val="24"/>
          <w:szCs w:val="24"/>
        </w:rPr>
        <w:t xml:space="preserve">se </w:t>
      </w:r>
      <w:r w:rsidR="00E33C40" w:rsidRPr="008B62A1">
        <w:rPr>
          <w:color w:val="000000"/>
          <w:sz w:val="24"/>
          <w:szCs w:val="24"/>
        </w:rPr>
        <w:t xml:space="preserve">realizó la denominada invitación pública, </w:t>
      </w:r>
      <w:r w:rsidR="009D6AAC" w:rsidRPr="008B62A1">
        <w:rPr>
          <w:color w:val="000000"/>
          <w:sz w:val="24"/>
          <w:szCs w:val="24"/>
        </w:rPr>
        <w:t xml:space="preserve">los </w:t>
      </w:r>
      <w:r w:rsidR="00E33C40" w:rsidRPr="008B62A1">
        <w:rPr>
          <w:color w:val="000000"/>
          <w:sz w:val="24"/>
          <w:szCs w:val="24"/>
        </w:rPr>
        <w:t>t</w:t>
      </w:r>
      <w:r w:rsidRPr="008B62A1">
        <w:rPr>
          <w:color w:val="000000"/>
          <w:sz w:val="24"/>
          <w:szCs w:val="24"/>
        </w:rPr>
        <w:t>é</w:t>
      </w:r>
      <w:r w:rsidR="00E33C40" w:rsidRPr="008B62A1">
        <w:rPr>
          <w:color w:val="000000"/>
          <w:sz w:val="24"/>
          <w:szCs w:val="24"/>
        </w:rPr>
        <w:t>rminos de referencia, las actas de las audiencias, el detalle de las actividades que se contra</w:t>
      </w:r>
      <w:r w:rsidR="007D28A6" w:rsidRPr="008B62A1">
        <w:rPr>
          <w:color w:val="000000"/>
          <w:sz w:val="24"/>
          <w:szCs w:val="24"/>
        </w:rPr>
        <w:t>ría</w:t>
      </w:r>
      <w:r w:rsidR="00E33C40" w:rsidRPr="008B62A1">
        <w:rPr>
          <w:color w:val="000000"/>
          <w:sz w:val="24"/>
          <w:szCs w:val="24"/>
        </w:rPr>
        <w:t xml:space="preserve">n, los requisitos de habilitación, los factores de calificación, las </w:t>
      </w:r>
      <w:r w:rsidR="009E497E" w:rsidRPr="008B62A1">
        <w:rPr>
          <w:color w:val="000000"/>
          <w:sz w:val="24"/>
          <w:szCs w:val="24"/>
        </w:rPr>
        <w:t xml:space="preserve">propuestas recibidas, las </w:t>
      </w:r>
      <w:r w:rsidR="00E33C40" w:rsidRPr="008B62A1">
        <w:rPr>
          <w:color w:val="000000"/>
          <w:sz w:val="24"/>
          <w:szCs w:val="24"/>
        </w:rPr>
        <w:t xml:space="preserve">razones por las que no hubo acuerdo en el comité de evaluación, los informes que </w:t>
      </w:r>
      <w:r w:rsidR="00212E43" w:rsidRPr="008B62A1">
        <w:rPr>
          <w:color w:val="000000"/>
          <w:sz w:val="24"/>
          <w:szCs w:val="24"/>
        </w:rPr>
        <w:t xml:space="preserve">debió </w:t>
      </w:r>
      <w:r w:rsidR="00E33C40" w:rsidRPr="008B62A1">
        <w:rPr>
          <w:color w:val="000000"/>
          <w:sz w:val="24"/>
          <w:szCs w:val="24"/>
        </w:rPr>
        <w:t>present</w:t>
      </w:r>
      <w:r w:rsidR="00212E43" w:rsidRPr="008B62A1">
        <w:rPr>
          <w:color w:val="000000"/>
          <w:sz w:val="24"/>
          <w:szCs w:val="24"/>
        </w:rPr>
        <w:t>a</w:t>
      </w:r>
      <w:r w:rsidR="00A76390" w:rsidRPr="008B62A1">
        <w:rPr>
          <w:color w:val="000000"/>
          <w:sz w:val="24"/>
          <w:szCs w:val="24"/>
        </w:rPr>
        <w:t>r</w:t>
      </w:r>
      <w:r w:rsidR="00E33C40" w:rsidRPr="008B62A1">
        <w:rPr>
          <w:color w:val="000000"/>
          <w:sz w:val="24"/>
          <w:szCs w:val="24"/>
        </w:rPr>
        <w:t xml:space="preserve"> </w:t>
      </w:r>
      <w:r w:rsidR="009D6AAC" w:rsidRPr="008B62A1">
        <w:rPr>
          <w:color w:val="000000"/>
          <w:sz w:val="24"/>
          <w:szCs w:val="24"/>
        </w:rPr>
        <w:t>esa f</w:t>
      </w:r>
      <w:r w:rsidR="009E497E" w:rsidRPr="008B62A1">
        <w:rPr>
          <w:color w:val="000000"/>
          <w:sz w:val="24"/>
          <w:szCs w:val="24"/>
        </w:rPr>
        <w:t xml:space="preserve">iduciaria </w:t>
      </w:r>
      <w:r w:rsidR="00E33C40" w:rsidRPr="008B62A1">
        <w:rPr>
          <w:color w:val="000000"/>
          <w:sz w:val="24"/>
          <w:szCs w:val="24"/>
        </w:rPr>
        <w:t xml:space="preserve">a la </w:t>
      </w:r>
      <w:r w:rsidR="00645402" w:rsidRPr="008B62A1">
        <w:rPr>
          <w:color w:val="000000"/>
          <w:sz w:val="24"/>
          <w:szCs w:val="24"/>
        </w:rPr>
        <w:t>alcaldía</w:t>
      </w:r>
      <w:r w:rsidR="00E33C40" w:rsidRPr="008B62A1">
        <w:rPr>
          <w:color w:val="000000"/>
          <w:sz w:val="24"/>
          <w:szCs w:val="24"/>
        </w:rPr>
        <w:t xml:space="preserve"> </w:t>
      </w:r>
      <w:r w:rsidR="009E497E" w:rsidRPr="008B62A1">
        <w:rPr>
          <w:color w:val="000000"/>
          <w:sz w:val="24"/>
          <w:szCs w:val="24"/>
        </w:rPr>
        <w:t>de Cartagena</w:t>
      </w:r>
      <w:r w:rsidR="00E1446A">
        <w:rPr>
          <w:color w:val="000000"/>
          <w:sz w:val="24"/>
          <w:szCs w:val="24"/>
        </w:rPr>
        <w:t>;</w:t>
      </w:r>
      <w:r w:rsidR="009D6AAC" w:rsidRPr="008B62A1">
        <w:rPr>
          <w:color w:val="000000"/>
          <w:sz w:val="24"/>
          <w:szCs w:val="24"/>
        </w:rPr>
        <w:t xml:space="preserve"> todo ello, </w:t>
      </w:r>
      <w:r w:rsidR="00E33C40" w:rsidRPr="008B62A1">
        <w:rPr>
          <w:color w:val="000000"/>
          <w:sz w:val="24"/>
          <w:szCs w:val="24"/>
        </w:rPr>
        <w:t>en desarrollo del contrato fiduciario mediante el cual fue facultada para esa gestión</w:t>
      </w:r>
      <w:r w:rsidR="00A76390" w:rsidRPr="008B62A1">
        <w:rPr>
          <w:color w:val="000000"/>
          <w:sz w:val="24"/>
          <w:szCs w:val="24"/>
        </w:rPr>
        <w:t xml:space="preserve">, al parecer, </w:t>
      </w:r>
      <w:r w:rsidR="00E33C40" w:rsidRPr="008B62A1">
        <w:rPr>
          <w:color w:val="000000"/>
          <w:sz w:val="24"/>
          <w:szCs w:val="24"/>
        </w:rPr>
        <w:t xml:space="preserve">de </w:t>
      </w:r>
      <w:r w:rsidR="007F4474" w:rsidRPr="008B62A1">
        <w:rPr>
          <w:color w:val="000000"/>
          <w:sz w:val="24"/>
          <w:szCs w:val="24"/>
        </w:rPr>
        <w:t xml:space="preserve">servicios fiduciarios </w:t>
      </w:r>
      <w:r w:rsidR="00E1446A">
        <w:rPr>
          <w:color w:val="000000"/>
          <w:sz w:val="24"/>
          <w:szCs w:val="24"/>
        </w:rPr>
        <w:t xml:space="preserve">relacionados </w:t>
      </w:r>
      <w:r w:rsidR="006C193C" w:rsidRPr="008B62A1">
        <w:rPr>
          <w:color w:val="000000"/>
          <w:sz w:val="24"/>
          <w:szCs w:val="24"/>
        </w:rPr>
        <w:t xml:space="preserve">con </w:t>
      </w:r>
      <w:r w:rsidR="007F4474" w:rsidRPr="008B62A1">
        <w:rPr>
          <w:color w:val="000000"/>
          <w:sz w:val="24"/>
          <w:szCs w:val="24"/>
        </w:rPr>
        <w:t>los recaudos tributarios</w:t>
      </w:r>
      <w:r w:rsidR="006C193C" w:rsidRPr="008B62A1">
        <w:rPr>
          <w:color w:val="000000"/>
          <w:sz w:val="24"/>
          <w:szCs w:val="24"/>
        </w:rPr>
        <w:t xml:space="preserve"> que debía estar administrando esa entidad</w:t>
      </w:r>
      <w:r w:rsidR="00492C58" w:rsidRPr="008B62A1">
        <w:rPr>
          <w:rStyle w:val="Refdenotaalpie"/>
          <w:color w:val="000000"/>
          <w:sz w:val="24"/>
          <w:szCs w:val="24"/>
        </w:rPr>
        <w:footnoteReference w:id="45"/>
      </w:r>
      <w:r w:rsidR="007F4474" w:rsidRPr="008B62A1">
        <w:rPr>
          <w:color w:val="000000"/>
          <w:sz w:val="24"/>
          <w:szCs w:val="24"/>
        </w:rPr>
        <w:t xml:space="preserve">, de donde se derivó </w:t>
      </w:r>
      <w:r w:rsidR="000258E1" w:rsidRPr="008B62A1">
        <w:rPr>
          <w:color w:val="000000"/>
          <w:sz w:val="24"/>
          <w:szCs w:val="24"/>
        </w:rPr>
        <w:t xml:space="preserve">la </w:t>
      </w:r>
      <w:r w:rsidR="00E33C40" w:rsidRPr="008B62A1">
        <w:rPr>
          <w:color w:val="000000"/>
          <w:sz w:val="24"/>
          <w:szCs w:val="24"/>
        </w:rPr>
        <w:t>contratación</w:t>
      </w:r>
      <w:r w:rsidR="000258E1" w:rsidRPr="008B62A1">
        <w:rPr>
          <w:color w:val="000000"/>
          <w:sz w:val="24"/>
          <w:szCs w:val="24"/>
        </w:rPr>
        <w:t xml:space="preserve"> requerida por el distrito de Cartagena.</w:t>
      </w:r>
    </w:p>
    <w:p w14:paraId="1D85FDB3" w14:textId="77777777" w:rsidR="00E33C40" w:rsidRDefault="00E33C40" w:rsidP="00FE0FF8">
      <w:pPr>
        <w:pStyle w:val="Textonotapie"/>
        <w:rPr>
          <w:color w:val="000000"/>
          <w:sz w:val="24"/>
          <w:szCs w:val="24"/>
        </w:rPr>
      </w:pPr>
    </w:p>
    <w:p w14:paraId="38628921" w14:textId="77777777" w:rsidR="000258E1" w:rsidRDefault="000258E1" w:rsidP="00FE0FF8">
      <w:pPr>
        <w:pStyle w:val="Textonotapie"/>
        <w:rPr>
          <w:color w:val="000000"/>
          <w:sz w:val="24"/>
          <w:szCs w:val="24"/>
        </w:rPr>
      </w:pPr>
      <w:r>
        <w:rPr>
          <w:color w:val="000000"/>
          <w:sz w:val="24"/>
          <w:szCs w:val="24"/>
        </w:rPr>
        <w:t xml:space="preserve">De esta manera, no existen elementos de juicio que permitan </w:t>
      </w:r>
      <w:r w:rsidR="007D28A6">
        <w:rPr>
          <w:color w:val="000000"/>
          <w:sz w:val="24"/>
          <w:szCs w:val="24"/>
        </w:rPr>
        <w:t xml:space="preserve">desvirtuar </w:t>
      </w:r>
      <w:r w:rsidR="003C6C47">
        <w:rPr>
          <w:color w:val="000000"/>
          <w:sz w:val="24"/>
          <w:szCs w:val="24"/>
        </w:rPr>
        <w:t xml:space="preserve">lo considerado en </w:t>
      </w:r>
      <w:r>
        <w:rPr>
          <w:color w:val="000000"/>
          <w:sz w:val="24"/>
          <w:szCs w:val="24"/>
        </w:rPr>
        <w:t>el acto administrativo acusado y</w:t>
      </w:r>
      <w:r w:rsidR="006C193C">
        <w:rPr>
          <w:color w:val="000000"/>
          <w:sz w:val="24"/>
          <w:szCs w:val="24"/>
        </w:rPr>
        <w:t>,</w:t>
      </w:r>
      <w:r>
        <w:rPr>
          <w:color w:val="000000"/>
          <w:sz w:val="24"/>
          <w:szCs w:val="24"/>
        </w:rPr>
        <w:t xml:space="preserve"> por ello, no puede rebatirse la declaratoria de desierta, en cuanto se tiene por cierto que ninguna propuesta era hábil, que el </w:t>
      </w:r>
      <w:r w:rsidR="001170A7">
        <w:rPr>
          <w:color w:val="000000"/>
          <w:sz w:val="24"/>
          <w:szCs w:val="24"/>
        </w:rPr>
        <w:t xml:space="preserve">comité de evaluaciones </w:t>
      </w:r>
      <w:r>
        <w:rPr>
          <w:color w:val="000000"/>
          <w:sz w:val="24"/>
          <w:szCs w:val="24"/>
        </w:rPr>
        <w:t>no llegó a un acuerdo sobre la calificación y que la alca</w:t>
      </w:r>
      <w:r w:rsidR="000836EF">
        <w:rPr>
          <w:color w:val="000000"/>
          <w:sz w:val="24"/>
          <w:szCs w:val="24"/>
        </w:rPr>
        <w:t>l</w:t>
      </w:r>
      <w:r>
        <w:rPr>
          <w:color w:val="000000"/>
          <w:sz w:val="24"/>
          <w:szCs w:val="24"/>
        </w:rPr>
        <w:t xml:space="preserve">día se encontró </w:t>
      </w:r>
      <w:r w:rsidR="00516521">
        <w:rPr>
          <w:color w:val="000000"/>
          <w:sz w:val="24"/>
          <w:szCs w:val="24"/>
        </w:rPr>
        <w:t xml:space="preserve">frente a </w:t>
      </w:r>
      <w:r>
        <w:rPr>
          <w:color w:val="000000"/>
          <w:sz w:val="24"/>
          <w:szCs w:val="24"/>
        </w:rPr>
        <w:t xml:space="preserve">propuestas que no reunieron los requisitos para ser objeto de calificación objetiva, de donde podía declarar desierta la invitación, con apoyo en el artículo 25 de la Ley 80 de 1993, tal como </w:t>
      </w:r>
      <w:r w:rsidR="00516521">
        <w:rPr>
          <w:color w:val="000000"/>
          <w:sz w:val="24"/>
          <w:szCs w:val="24"/>
        </w:rPr>
        <w:t>se</w:t>
      </w:r>
      <w:r>
        <w:rPr>
          <w:color w:val="000000"/>
          <w:sz w:val="24"/>
          <w:szCs w:val="24"/>
        </w:rPr>
        <w:t xml:space="preserve"> expuso en la parte motiva del acto acusado. </w:t>
      </w:r>
    </w:p>
    <w:p w14:paraId="37338D4E" w14:textId="77777777" w:rsidR="000258E1" w:rsidRDefault="000258E1" w:rsidP="00FE0FF8">
      <w:pPr>
        <w:pStyle w:val="Textonotapie"/>
        <w:rPr>
          <w:color w:val="000000"/>
          <w:sz w:val="24"/>
          <w:szCs w:val="24"/>
        </w:rPr>
      </w:pPr>
    </w:p>
    <w:p w14:paraId="4FC0CCC4" w14:textId="77777777" w:rsidR="009E497E" w:rsidRPr="00934082" w:rsidRDefault="006A79A7" w:rsidP="00FE0FF8">
      <w:pPr>
        <w:spacing w:line="360" w:lineRule="auto"/>
        <w:rPr>
          <w:rFonts w:ascii="Arial" w:hAnsi="Arial" w:cs="Arial"/>
          <w:color w:val="000000"/>
          <w:sz w:val="24"/>
          <w:szCs w:val="24"/>
        </w:rPr>
      </w:pPr>
      <w:r w:rsidRPr="00934082">
        <w:rPr>
          <w:rFonts w:ascii="Arial" w:hAnsi="Arial" w:cs="Arial"/>
          <w:color w:val="000000"/>
          <w:sz w:val="24"/>
          <w:szCs w:val="24"/>
        </w:rPr>
        <w:t xml:space="preserve">Por otra parte, del exiguo acervo probatorio que la demandante </w:t>
      </w:r>
      <w:r w:rsidR="009E497E" w:rsidRPr="00934082">
        <w:rPr>
          <w:rFonts w:ascii="Arial" w:hAnsi="Arial" w:cs="Arial"/>
          <w:color w:val="000000"/>
          <w:sz w:val="24"/>
          <w:szCs w:val="24"/>
        </w:rPr>
        <w:t>aport</w:t>
      </w:r>
      <w:r w:rsidR="00516521">
        <w:rPr>
          <w:rFonts w:ascii="Arial" w:hAnsi="Arial" w:cs="Arial"/>
          <w:color w:val="000000"/>
          <w:sz w:val="24"/>
          <w:szCs w:val="24"/>
        </w:rPr>
        <w:t>ó</w:t>
      </w:r>
      <w:r w:rsidR="009E497E" w:rsidRPr="00934082">
        <w:rPr>
          <w:rFonts w:ascii="Arial" w:hAnsi="Arial" w:cs="Arial"/>
          <w:color w:val="000000"/>
          <w:sz w:val="24"/>
          <w:szCs w:val="24"/>
        </w:rPr>
        <w:t xml:space="preserve">, no resulta </w:t>
      </w:r>
      <w:r w:rsidR="00516521">
        <w:rPr>
          <w:rFonts w:ascii="Arial" w:hAnsi="Arial" w:cs="Arial"/>
          <w:color w:val="000000"/>
          <w:sz w:val="24"/>
          <w:szCs w:val="24"/>
        </w:rPr>
        <w:t xml:space="preserve">demostrado </w:t>
      </w:r>
      <w:r w:rsidR="009E497E" w:rsidRPr="00934082">
        <w:rPr>
          <w:rFonts w:ascii="Arial" w:hAnsi="Arial" w:cs="Arial"/>
          <w:color w:val="000000"/>
          <w:sz w:val="24"/>
          <w:szCs w:val="24"/>
        </w:rPr>
        <w:t xml:space="preserve">que </w:t>
      </w:r>
      <w:r w:rsidR="00516521">
        <w:rPr>
          <w:rFonts w:ascii="Arial" w:hAnsi="Arial" w:cs="Arial"/>
          <w:color w:val="000000"/>
          <w:sz w:val="24"/>
          <w:szCs w:val="24"/>
        </w:rPr>
        <w:t>h</w:t>
      </w:r>
      <w:r w:rsidR="009E497E" w:rsidRPr="00934082">
        <w:rPr>
          <w:rFonts w:ascii="Arial" w:hAnsi="Arial" w:cs="Arial"/>
          <w:color w:val="000000"/>
          <w:sz w:val="24"/>
          <w:szCs w:val="24"/>
        </w:rPr>
        <w:t xml:space="preserve">ubiera saneado los requerimientos </w:t>
      </w:r>
      <w:r w:rsidR="005F1DC0">
        <w:rPr>
          <w:rFonts w:ascii="Arial" w:hAnsi="Arial" w:cs="Arial"/>
          <w:color w:val="000000"/>
          <w:sz w:val="24"/>
          <w:szCs w:val="24"/>
        </w:rPr>
        <w:t xml:space="preserve">comunicados por </w:t>
      </w:r>
      <w:r w:rsidR="009E497E" w:rsidRPr="00934082">
        <w:rPr>
          <w:rFonts w:ascii="Arial" w:hAnsi="Arial" w:cs="Arial"/>
          <w:color w:val="000000"/>
          <w:sz w:val="24"/>
          <w:szCs w:val="24"/>
        </w:rPr>
        <w:t xml:space="preserve">la </w:t>
      </w:r>
      <w:r w:rsidR="005F1DC0">
        <w:rPr>
          <w:rFonts w:ascii="Arial" w:hAnsi="Arial" w:cs="Arial"/>
          <w:color w:val="000000"/>
          <w:sz w:val="24"/>
          <w:szCs w:val="24"/>
        </w:rPr>
        <w:t>f</w:t>
      </w:r>
      <w:r w:rsidR="009E497E" w:rsidRPr="00934082">
        <w:rPr>
          <w:rFonts w:ascii="Arial" w:hAnsi="Arial" w:cs="Arial"/>
          <w:color w:val="000000"/>
          <w:sz w:val="24"/>
          <w:szCs w:val="24"/>
        </w:rPr>
        <w:t>iduciaria, n</w:t>
      </w:r>
      <w:r w:rsidR="00CA57A1" w:rsidRPr="00934082">
        <w:rPr>
          <w:rFonts w:ascii="Arial" w:hAnsi="Arial" w:cs="Arial"/>
          <w:color w:val="000000"/>
          <w:sz w:val="24"/>
          <w:szCs w:val="24"/>
        </w:rPr>
        <w:t>i</w:t>
      </w:r>
      <w:r w:rsidR="009E497E" w:rsidRPr="00934082">
        <w:rPr>
          <w:rFonts w:ascii="Arial" w:hAnsi="Arial" w:cs="Arial"/>
          <w:color w:val="000000"/>
          <w:sz w:val="24"/>
          <w:szCs w:val="24"/>
        </w:rPr>
        <w:t xml:space="preserve"> tampoco es claro a qué se referían, toda vez que l</w:t>
      </w:r>
      <w:r w:rsidR="00E61488">
        <w:rPr>
          <w:rFonts w:ascii="Arial" w:hAnsi="Arial" w:cs="Arial"/>
          <w:color w:val="000000"/>
          <w:sz w:val="24"/>
          <w:szCs w:val="24"/>
        </w:rPr>
        <w:t xml:space="preserve">a parte actora los </w:t>
      </w:r>
      <w:r w:rsidR="009E497E" w:rsidRPr="00934082">
        <w:rPr>
          <w:rFonts w:ascii="Arial" w:hAnsi="Arial" w:cs="Arial"/>
          <w:color w:val="000000"/>
          <w:sz w:val="24"/>
          <w:szCs w:val="24"/>
        </w:rPr>
        <w:t>expuso en el escrito del recurso de reposición</w:t>
      </w:r>
      <w:r w:rsidR="00516521">
        <w:rPr>
          <w:rFonts w:ascii="Arial" w:hAnsi="Arial" w:cs="Arial"/>
          <w:color w:val="000000"/>
          <w:sz w:val="24"/>
          <w:szCs w:val="24"/>
        </w:rPr>
        <w:t>,</w:t>
      </w:r>
      <w:r w:rsidR="009E497E" w:rsidRPr="00934082">
        <w:rPr>
          <w:rFonts w:ascii="Arial" w:hAnsi="Arial" w:cs="Arial"/>
          <w:color w:val="000000"/>
          <w:sz w:val="24"/>
          <w:szCs w:val="24"/>
        </w:rPr>
        <w:t xml:space="preserve"> pero de allí no se puede inferir cu</w:t>
      </w:r>
      <w:r w:rsidR="005F1DC0">
        <w:rPr>
          <w:rFonts w:ascii="Arial" w:hAnsi="Arial" w:cs="Arial"/>
          <w:color w:val="000000"/>
          <w:sz w:val="24"/>
          <w:szCs w:val="24"/>
        </w:rPr>
        <w:t>á</w:t>
      </w:r>
      <w:r w:rsidR="009E497E" w:rsidRPr="00934082">
        <w:rPr>
          <w:rFonts w:ascii="Arial" w:hAnsi="Arial" w:cs="Arial"/>
          <w:color w:val="000000"/>
          <w:sz w:val="24"/>
          <w:szCs w:val="24"/>
        </w:rPr>
        <w:t xml:space="preserve">l era el requisito de capacidad financiera que </w:t>
      </w:r>
      <w:r w:rsidR="00CA57A1" w:rsidRPr="00934082">
        <w:rPr>
          <w:rFonts w:ascii="Arial" w:hAnsi="Arial" w:cs="Arial"/>
          <w:color w:val="000000"/>
          <w:sz w:val="24"/>
          <w:szCs w:val="24"/>
        </w:rPr>
        <w:t xml:space="preserve">impedía la </w:t>
      </w:r>
      <w:r w:rsidR="009E497E" w:rsidRPr="00934082">
        <w:rPr>
          <w:rFonts w:ascii="Arial" w:hAnsi="Arial" w:cs="Arial"/>
          <w:color w:val="000000"/>
          <w:sz w:val="24"/>
          <w:szCs w:val="24"/>
        </w:rPr>
        <w:t>compara</w:t>
      </w:r>
      <w:r w:rsidR="00CA57A1" w:rsidRPr="00934082">
        <w:rPr>
          <w:rFonts w:ascii="Arial" w:hAnsi="Arial" w:cs="Arial"/>
          <w:color w:val="000000"/>
          <w:sz w:val="24"/>
          <w:szCs w:val="24"/>
        </w:rPr>
        <w:t>ción de las propuestas</w:t>
      </w:r>
      <w:r w:rsidR="009E497E" w:rsidRPr="00934082">
        <w:rPr>
          <w:rFonts w:ascii="Arial" w:hAnsi="Arial" w:cs="Arial"/>
          <w:color w:val="000000"/>
          <w:sz w:val="24"/>
          <w:szCs w:val="24"/>
        </w:rPr>
        <w:t xml:space="preserve">. </w:t>
      </w:r>
    </w:p>
    <w:p w14:paraId="327C5678" w14:textId="77777777" w:rsidR="000836EF" w:rsidRDefault="000836EF" w:rsidP="00FE0FF8">
      <w:pPr>
        <w:spacing w:line="360" w:lineRule="auto"/>
        <w:rPr>
          <w:rFonts w:ascii="Arial" w:hAnsi="Arial" w:cs="Arial"/>
          <w:color w:val="000000"/>
          <w:sz w:val="24"/>
          <w:szCs w:val="24"/>
        </w:rPr>
      </w:pPr>
    </w:p>
    <w:p w14:paraId="670DF635" w14:textId="77777777" w:rsidR="00413F6E" w:rsidRPr="007A6ED4" w:rsidRDefault="005F1DC0" w:rsidP="00FE0FF8">
      <w:pPr>
        <w:widowControl w:val="0"/>
        <w:tabs>
          <w:tab w:val="left" w:pos="8504"/>
        </w:tabs>
        <w:adjustRightInd w:val="0"/>
        <w:spacing w:line="360" w:lineRule="auto"/>
        <w:textAlignment w:val="baseline"/>
        <w:rPr>
          <w:rFonts w:ascii="Arial" w:hAnsi="Arial" w:cs="Arial"/>
          <w:sz w:val="24"/>
          <w:szCs w:val="24"/>
        </w:rPr>
      </w:pPr>
      <w:r w:rsidRPr="006E7E7A">
        <w:rPr>
          <w:rFonts w:ascii="Arial" w:hAnsi="Arial" w:cs="Arial"/>
          <w:sz w:val="24"/>
          <w:szCs w:val="24"/>
        </w:rPr>
        <w:t>Bien se sabe que el estudio de los requisitos de los pliegos de condiciones ha derivado en una diferenciación</w:t>
      </w:r>
      <w:r w:rsidR="00360C3C">
        <w:rPr>
          <w:rFonts w:ascii="Arial" w:hAnsi="Arial" w:cs="Arial"/>
          <w:sz w:val="24"/>
          <w:szCs w:val="24"/>
        </w:rPr>
        <w:t>,</w:t>
      </w:r>
      <w:r w:rsidRPr="006E7E7A">
        <w:rPr>
          <w:rFonts w:ascii="Arial" w:hAnsi="Arial" w:cs="Arial"/>
          <w:sz w:val="24"/>
          <w:szCs w:val="24"/>
        </w:rPr>
        <w:t xml:space="preserve"> hoy incorporada </w:t>
      </w:r>
      <w:r w:rsidR="0017473D">
        <w:rPr>
          <w:rFonts w:ascii="Arial" w:hAnsi="Arial" w:cs="Arial"/>
          <w:sz w:val="24"/>
          <w:szCs w:val="24"/>
        </w:rPr>
        <w:t>en el estatuto de contratación estatal</w:t>
      </w:r>
      <w:r w:rsidRPr="006E7E7A">
        <w:rPr>
          <w:rFonts w:ascii="Arial" w:hAnsi="Arial" w:cs="Arial"/>
          <w:sz w:val="24"/>
          <w:szCs w:val="24"/>
        </w:rPr>
        <w:t>, entre los requisitos habilitantes</w:t>
      </w:r>
      <w:r w:rsidRPr="006E7E7A">
        <w:rPr>
          <w:rStyle w:val="Refdenotaalpie"/>
          <w:rFonts w:ascii="Arial" w:hAnsi="Arial" w:cs="Arial"/>
          <w:sz w:val="24"/>
          <w:szCs w:val="24"/>
        </w:rPr>
        <w:footnoteReference w:id="46"/>
      </w:r>
      <w:r w:rsidRPr="006E7E7A">
        <w:rPr>
          <w:rFonts w:ascii="Arial" w:hAnsi="Arial" w:cs="Arial"/>
          <w:sz w:val="24"/>
          <w:szCs w:val="24"/>
        </w:rPr>
        <w:t xml:space="preserve"> y los factores técnicos y económicos de calificación de las propuestas, de la cual se ha </w:t>
      </w:r>
      <w:r>
        <w:rPr>
          <w:rFonts w:ascii="Arial" w:hAnsi="Arial" w:cs="Arial"/>
          <w:sz w:val="24"/>
          <w:szCs w:val="24"/>
        </w:rPr>
        <w:t xml:space="preserve">observado </w:t>
      </w:r>
      <w:r w:rsidRPr="006E7E7A">
        <w:rPr>
          <w:rFonts w:ascii="Arial" w:hAnsi="Arial" w:cs="Arial"/>
          <w:sz w:val="24"/>
          <w:szCs w:val="24"/>
        </w:rPr>
        <w:t xml:space="preserve">por esta Subsección que los primeros se refieren a calidades de los proponentes y los segundos al contenido de la oferta. </w:t>
      </w:r>
      <w:r w:rsidR="00413F6E">
        <w:rPr>
          <w:rFonts w:ascii="Arial" w:hAnsi="Arial" w:cs="Arial"/>
          <w:sz w:val="24"/>
          <w:szCs w:val="24"/>
        </w:rPr>
        <w:t xml:space="preserve">Ese </w:t>
      </w:r>
      <w:r w:rsidR="00413F6E" w:rsidRPr="007A6ED4">
        <w:rPr>
          <w:rFonts w:ascii="Arial" w:hAnsi="Arial" w:cs="Arial"/>
          <w:sz w:val="24"/>
          <w:szCs w:val="24"/>
        </w:rPr>
        <w:t xml:space="preserve">asunto se </w:t>
      </w:r>
      <w:r w:rsidR="00E61488">
        <w:rPr>
          <w:rFonts w:ascii="Arial" w:hAnsi="Arial" w:cs="Arial"/>
          <w:sz w:val="24"/>
          <w:szCs w:val="24"/>
        </w:rPr>
        <w:t xml:space="preserve">estableció </w:t>
      </w:r>
      <w:r w:rsidR="00413F6E" w:rsidRPr="007A6ED4">
        <w:rPr>
          <w:rFonts w:ascii="Arial" w:hAnsi="Arial" w:cs="Arial"/>
          <w:sz w:val="24"/>
          <w:szCs w:val="24"/>
        </w:rPr>
        <w:t>a partir de la Ley 1150 de 2007, con base en la identificación y separación de los denominados requisitos “</w:t>
      </w:r>
      <w:r w:rsidR="00413F6E" w:rsidRPr="00C41E6D">
        <w:rPr>
          <w:rFonts w:ascii="Arial" w:hAnsi="Arial" w:cs="Arial"/>
          <w:i/>
          <w:sz w:val="24"/>
          <w:szCs w:val="24"/>
        </w:rPr>
        <w:t>habilitantes”</w:t>
      </w:r>
      <w:r w:rsidR="00DD06AF">
        <w:rPr>
          <w:rFonts w:ascii="Arial" w:hAnsi="Arial" w:cs="Arial"/>
          <w:i/>
          <w:sz w:val="24"/>
          <w:szCs w:val="24"/>
        </w:rPr>
        <w:t>,</w:t>
      </w:r>
      <w:r w:rsidR="00413F6E" w:rsidRPr="007A6ED4">
        <w:rPr>
          <w:rFonts w:ascii="Arial" w:hAnsi="Arial" w:cs="Arial"/>
          <w:sz w:val="24"/>
          <w:szCs w:val="24"/>
        </w:rPr>
        <w:t xml:space="preserve"> que </w:t>
      </w:r>
      <w:r w:rsidR="00413F6E">
        <w:rPr>
          <w:rFonts w:ascii="Arial" w:hAnsi="Arial" w:cs="Arial"/>
          <w:sz w:val="24"/>
          <w:szCs w:val="24"/>
        </w:rPr>
        <w:t xml:space="preserve">bajo la nueva legislación no pueden </w:t>
      </w:r>
      <w:r w:rsidR="00413F6E" w:rsidRPr="007A6ED4">
        <w:rPr>
          <w:rFonts w:ascii="Arial" w:hAnsi="Arial" w:cs="Arial"/>
          <w:sz w:val="24"/>
          <w:szCs w:val="24"/>
        </w:rPr>
        <w:t>otorga</w:t>
      </w:r>
      <w:r w:rsidR="00413F6E">
        <w:rPr>
          <w:rFonts w:ascii="Arial" w:hAnsi="Arial" w:cs="Arial"/>
          <w:sz w:val="24"/>
          <w:szCs w:val="24"/>
        </w:rPr>
        <w:t>r</w:t>
      </w:r>
      <w:r w:rsidR="00413F6E" w:rsidRPr="007A6ED4">
        <w:rPr>
          <w:rFonts w:ascii="Arial" w:hAnsi="Arial" w:cs="Arial"/>
          <w:sz w:val="24"/>
          <w:szCs w:val="24"/>
        </w:rPr>
        <w:t xml:space="preserve"> puntaje, de acuerdo con el artículo 5, cuyo cumplimiento </w:t>
      </w:r>
      <w:r w:rsidR="00413F6E">
        <w:rPr>
          <w:rFonts w:ascii="Arial" w:hAnsi="Arial" w:cs="Arial"/>
          <w:sz w:val="24"/>
          <w:szCs w:val="24"/>
        </w:rPr>
        <w:t xml:space="preserve">se constituye, entonces, en </w:t>
      </w:r>
      <w:r w:rsidR="00413F6E" w:rsidRPr="007A6ED4">
        <w:rPr>
          <w:rFonts w:ascii="Arial" w:hAnsi="Arial" w:cs="Arial"/>
          <w:sz w:val="24"/>
          <w:szCs w:val="24"/>
        </w:rPr>
        <w:t xml:space="preserve">una condición o de acceso, admisibilidad o, legalmente, de </w:t>
      </w:r>
      <w:r w:rsidR="00413F6E" w:rsidRPr="002D6F0F">
        <w:rPr>
          <w:rFonts w:ascii="Arial" w:hAnsi="Arial" w:cs="Arial"/>
          <w:i/>
          <w:sz w:val="24"/>
          <w:szCs w:val="24"/>
        </w:rPr>
        <w:t>“habilitación”</w:t>
      </w:r>
      <w:r w:rsidR="00413F6E" w:rsidRPr="007A6ED4">
        <w:rPr>
          <w:rFonts w:ascii="Arial" w:hAnsi="Arial" w:cs="Arial"/>
          <w:sz w:val="24"/>
          <w:szCs w:val="24"/>
        </w:rPr>
        <w:t xml:space="preserve"> del oferente para participar en el procedimiento de licitación. </w:t>
      </w:r>
    </w:p>
    <w:p w14:paraId="1DAB4D70" w14:textId="77777777" w:rsidR="00C23B30" w:rsidRDefault="00C23B30" w:rsidP="00FE0FF8">
      <w:pPr>
        <w:widowControl w:val="0"/>
        <w:tabs>
          <w:tab w:val="left" w:pos="8504"/>
        </w:tabs>
        <w:adjustRightInd w:val="0"/>
        <w:spacing w:line="360" w:lineRule="auto"/>
        <w:textAlignment w:val="baseline"/>
        <w:rPr>
          <w:rFonts w:ascii="Arial" w:hAnsi="Arial" w:cs="Arial"/>
          <w:sz w:val="24"/>
          <w:szCs w:val="24"/>
        </w:rPr>
      </w:pPr>
    </w:p>
    <w:p w14:paraId="4FC670AB" w14:textId="77777777" w:rsidR="00413F6E" w:rsidRDefault="005F1DC0" w:rsidP="00FE0FF8">
      <w:pPr>
        <w:widowControl w:val="0"/>
        <w:tabs>
          <w:tab w:val="left" w:pos="8504"/>
        </w:tabs>
        <w:adjustRightInd w:val="0"/>
        <w:spacing w:line="360" w:lineRule="auto"/>
        <w:textAlignment w:val="baseline"/>
        <w:rPr>
          <w:rFonts w:ascii="Arial" w:hAnsi="Arial" w:cs="Arial"/>
          <w:sz w:val="24"/>
          <w:szCs w:val="24"/>
        </w:rPr>
      </w:pPr>
      <w:r>
        <w:rPr>
          <w:rFonts w:ascii="Arial" w:hAnsi="Arial" w:cs="Arial"/>
          <w:sz w:val="24"/>
          <w:szCs w:val="24"/>
        </w:rPr>
        <w:t xml:space="preserve">No obstante, para el presente proceso se debe tener en cuenta que </w:t>
      </w:r>
      <w:r w:rsidRPr="007A6ED4">
        <w:rPr>
          <w:rFonts w:ascii="Arial" w:hAnsi="Arial" w:cs="Arial"/>
          <w:sz w:val="24"/>
          <w:szCs w:val="24"/>
        </w:rPr>
        <w:t>en vigencia del art</w:t>
      </w:r>
      <w:r>
        <w:rPr>
          <w:rFonts w:ascii="Arial" w:hAnsi="Arial" w:cs="Arial"/>
          <w:sz w:val="24"/>
          <w:szCs w:val="24"/>
        </w:rPr>
        <w:t>í</w:t>
      </w:r>
      <w:r w:rsidRPr="007A6ED4">
        <w:rPr>
          <w:rFonts w:ascii="Arial" w:hAnsi="Arial" w:cs="Arial"/>
          <w:sz w:val="24"/>
          <w:szCs w:val="24"/>
        </w:rPr>
        <w:t xml:space="preserve">culo 29 de la Ley 80 de 1993, </w:t>
      </w:r>
      <w:r w:rsidR="00FB633C">
        <w:rPr>
          <w:rFonts w:ascii="Arial" w:hAnsi="Arial" w:cs="Arial"/>
          <w:sz w:val="24"/>
          <w:szCs w:val="24"/>
        </w:rPr>
        <w:t xml:space="preserve">antes de la modificación introducida por la Ley 1150 de 2007, </w:t>
      </w:r>
      <w:r w:rsidRPr="007A6ED4">
        <w:rPr>
          <w:rFonts w:ascii="Arial" w:hAnsi="Arial" w:cs="Arial"/>
          <w:sz w:val="24"/>
          <w:szCs w:val="24"/>
        </w:rPr>
        <w:t xml:space="preserve">fue permitido estructurar factores de calificación y asignación de puntaje indistintamente basados en </w:t>
      </w:r>
      <w:proofErr w:type="gramStart"/>
      <w:r w:rsidRPr="007A6ED4">
        <w:rPr>
          <w:rFonts w:ascii="Arial" w:hAnsi="Arial" w:cs="Arial"/>
          <w:sz w:val="24"/>
          <w:szCs w:val="24"/>
        </w:rPr>
        <w:t>las requisitos</w:t>
      </w:r>
      <w:proofErr w:type="gramEnd"/>
      <w:r w:rsidRPr="007A6ED4">
        <w:rPr>
          <w:rFonts w:ascii="Arial" w:hAnsi="Arial" w:cs="Arial"/>
          <w:sz w:val="24"/>
          <w:szCs w:val="24"/>
        </w:rPr>
        <w:t xml:space="preserve"> de los proponentes (</w:t>
      </w:r>
      <w:r>
        <w:rPr>
          <w:rFonts w:ascii="Arial" w:hAnsi="Arial" w:cs="Arial"/>
          <w:sz w:val="24"/>
          <w:szCs w:val="24"/>
        </w:rPr>
        <w:t xml:space="preserve">hoy denominados habilitantes </w:t>
      </w:r>
      <w:r w:rsidRPr="007A6ED4">
        <w:rPr>
          <w:rFonts w:ascii="Arial" w:hAnsi="Arial" w:cs="Arial"/>
          <w:sz w:val="24"/>
          <w:szCs w:val="24"/>
        </w:rPr>
        <w:t xml:space="preserve">jurídicos, financieros y de organización) y en los contenidos de la oferta (factores técnicos y </w:t>
      </w:r>
      <w:r>
        <w:rPr>
          <w:rFonts w:ascii="Arial" w:hAnsi="Arial" w:cs="Arial"/>
          <w:sz w:val="24"/>
          <w:szCs w:val="24"/>
        </w:rPr>
        <w:t xml:space="preserve">económicos </w:t>
      </w:r>
      <w:r w:rsidRPr="007A6ED4">
        <w:rPr>
          <w:rFonts w:ascii="Arial" w:hAnsi="Arial" w:cs="Arial"/>
          <w:sz w:val="24"/>
          <w:szCs w:val="24"/>
        </w:rPr>
        <w:t>de la propuesta)</w:t>
      </w:r>
      <w:r w:rsidR="00413F6E">
        <w:rPr>
          <w:rFonts w:ascii="Arial" w:hAnsi="Arial" w:cs="Arial"/>
          <w:sz w:val="24"/>
          <w:szCs w:val="24"/>
        </w:rPr>
        <w:t xml:space="preserve">. </w:t>
      </w:r>
    </w:p>
    <w:p w14:paraId="0ADD25B1" w14:textId="77777777" w:rsidR="00413F6E" w:rsidRDefault="00413F6E" w:rsidP="00FE0FF8">
      <w:pPr>
        <w:widowControl w:val="0"/>
        <w:tabs>
          <w:tab w:val="left" w:pos="8504"/>
        </w:tabs>
        <w:adjustRightInd w:val="0"/>
        <w:spacing w:line="360" w:lineRule="auto"/>
        <w:textAlignment w:val="baseline"/>
        <w:rPr>
          <w:rFonts w:ascii="Arial" w:hAnsi="Arial" w:cs="Arial"/>
          <w:sz w:val="24"/>
          <w:szCs w:val="24"/>
        </w:rPr>
      </w:pPr>
    </w:p>
    <w:p w14:paraId="60FBBB69" w14:textId="77777777" w:rsidR="00393521" w:rsidRPr="008765C8" w:rsidRDefault="00393521" w:rsidP="00FE0FF8">
      <w:pPr>
        <w:widowControl w:val="0"/>
        <w:tabs>
          <w:tab w:val="left" w:pos="8504"/>
        </w:tabs>
        <w:adjustRightInd w:val="0"/>
        <w:spacing w:line="360" w:lineRule="auto"/>
        <w:textAlignment w:val="baseline"/>
        <w:rPr>
          <w:rFonts w:ascii="Arial" w:hAnsi="Arial" w:cs="Arial"/>
          <w:b/>
          <w:sz w:val="24"/>
          <w:szCs w:val="24"/>
        </w:rPr>
      </w:pPr>
      <w:r w:rsidRPr="008765C8">
        <w:rPr>
          <w:rFonts w:ascii="Arial" w:hAnsi="Arial" w:cs="Arial"/>
          <w:b/>
          <w:sz w:val="24"/>
          <w:szCs w:val="24"/>
        </w:rPr>
        <w:t>7. Anotación final sobre la integración del contradictorio</w:t>
      </w:r>
    </w:p>
    <w:p w14:paraId="34518941" w14:textId="77777777" w:rsidR="00393521" w:rsidRDefault="00393521" w:rsidP="00FE0FF8">
      <w:pPr>
        <w:widowControl w:val="0"/>
        <w:tabs>
          <w:tab w:val="left" w:pos="8504"/>
        </w:tabs>
        <w:adjustRightInd w:val="0"/>
        <w:spacing w:line="360" w:lineRule="auto"/>
        <w:textAlignment w:val="baseline"/>
        <w:rPr>
          <w:rFonts w:ascii="Arial" w:hAnsi="Arial" w:cs="Arial"/>
          <w:sz w:val="24"/>
          <w:szCs w:val="24"/>
        </w:rPr>
      </w:pPr>
    </w:p>
    <w:p w14:paraId="370B61D9" w14:textId="77777777" w:rsidR="002F137A" w:rsidRDefault="00393521" w:rsidP="00FE0FF8">
      <w:pPr>
        <w:widowControl w:val="0"/>
        <w:tabs>
          <w:tab w:val="left" w:pos="8504"/>
        </w:tabs>
        <w:adjustRightInd w:val="0"/>
        <w:spacing w:line="360" w:lineRule="auto"/>
        <w:textAlignment w:val="baseline"/>
        <w:rPr>
          <w:rFonts w:ascii="Arial" w:hAnsi="Arial" w:cs="Arial"/>
          <w:sz w:val="24"/>
          <w:szCs w:val="24"/>
        </w:rPr>
      </w:pPr>
      <w:r>
        <w:rPr>
          <w:rFonts w:ascii="Arial" w:hAnsi="Arial" w:cs="Arial"/>
          <w:sz w:val="24"/>
          <w:szCs w:val="24"/>
        </w:rPr>
        <w:t>Las consideraciones acerca de la participación de una sociedad fiduciaria en el procedimiento precontractual no lleva</w:t>
      </w:r>
      <w:r w:rsidR="008765C8">
        <w:rPr>
          <w:rFonts w:ascii="Arial" w:hAnsi="Arial" w:cs="Arial"/>
          <w:sz w:val="24"/>
          <w:szCs w:val="24"/>
        </w:rPr>
        <w:t>n</w:t>
      </w:r>
      <w:r>
        <w:rPr>
          <w:rFonts w:ascii="Arial" w:hAnsi="Arial" w:cs="Arial"/>
          <w:sz w:val="24"/>
          <w:szCs w:val="24"/>
        </w:rPr>
        <w:t xml:space="preserve"> a concluir que la demanda se ha debido </w:t>
      </w:r>
      <w:r w:rsidR="002F137A">
        <w:rPr>
          <w:rFonts w:ascii="Arial" w:hAnsi="Arial" w:cs="Arial"/>
          <w:sz w:val="24"/>
          <w:szCs w:val="24"/>
        </w:rPr>
        <w:lastRenderedPageBreak/>
        <w:t xml:space="preserve">impetrar contra la referida sociedad, por la sencilla razón de que </w:t>
      </w:r>
      <w:r w:rsidR="00F514AC">
        <w:rPr>
          <w:rFonts w:ascii="Arial" w:hAnsi="Arial" w:cs="Arial"/>
          <w:sz w:val="24"/>
          <w:szCs w:val="24"/>
        </w:rPr>
        <w:t>los</w:t>
      </w:r>
      <w:r w:rsidR="002F137A">
        <w:rPr>
          <w:rFonts w:ascii="Arial" w:hAnsi="Arial" w:cs="Arial"/>
          <w:sz w:val="24"/>
          <w:szCs w:val="24"/>
        </w:rPr>
        <w:t xml:space="preserve"> acto</w:t>
      </w:r>
      <w:r w:rsidR="00F514AC">
        <w:rPr>
          <w:rFonts w:ascii="Arial" w:hAnsi="Arial" w:cs="Arial"/>
          <w:sz w:val="24"/>
          <w:szCs w:val="24"/>
        </w:rPr>
        <w:t>s</w:t>
      </w:r>
      <w:r w:rsidR="002F137A">
        <w:rPr>
          <w:rFonts w:ascii="Arial" w:hAnsi="Arial" w:cs="Arial"/>
          <w:sz w:val="24"/>
          <w:szCs w:val="24"/>
        </w:rPr>
        <w:t xml:space="preserve"> acusado</w:t>
      </w:r>
      <w:r w:rsidR="00F514AC">
        <w:rPr>
          <w:rFonts w:ascii="Arial" w:hAnsi="Arial" w:cs="Arial"/>
          <w:sz w:val="24"/>
          <w:szCs w:val="24"/>
        </w:rPr>
        <w:t>s</w:t>
      </w:r>
      <w:r w:rsidR="002F137A">
        <w:rPr>
          <w:rFonts w:ascii="Arial" w:hAnsi="Arial" w:cs="Arial"/>
          <w:sz w:val="24"/>
          <w:szCs w:val="24"/>
        </w:rPr>
        <w:t xml:space="preserve"> fue</w:t>
      </w:r>
      <w:r w:rsidR="00F514AC">
        <w:rPr>
          <w:rFonts w:ascii="Arial" w:hAnsi="Arial" w:cs="Arial"/>
          <w:sz w:val="24"/>
          <w:szCs w:val="24"/>
        </w:rPr>
        <w:t>ron</w:t>
      </w:r>
      <w:r w:rsidR="002F137A">
        <w:rPr>
          <w:rFonts w:ascii="Arial" w:hAnsi="Arial" w:cs="Arial"/>
          <w:sz w:val="24"/>
          <w:szCs w:val="24"/>
        </w:rPr>
        <w:t xml:space="preserve"> expedido</w:t>
      </w:r>
      <w:r w:rsidR="00F514AC">
        <w:rPr>
          <w:rFonts w:ascii="Arial" w:hAnsi="Arial" w:cs="Arial"/>
          <w:sz w:val="24"/>
          <w:szCs w:val="24"/>
        </w:rPr>
        <w:t>s</w:t>
      </w:r>
      <w:r w:rsidR="002F137A">
        <w:rPr>
          <w:rFonts w:ascii="Arial" w:hAnsi="Arial" w:cs="Arial"/>
          <w:sz w:val="24"/>
          <w:szCs w:val="24"/>
        </w:rPr>
        <w:t xml:space="preserve"> por el distrito de Cartagena y no por la fiduciaria. </w:t>
      </w:r>
    </w:p>
    <w:p w14:paraId="4AB59680" w14:textId="77777777" w:rsidR="002F137A" w:rsidRDefault="002F137A" w:rsidP="00FE0FF8">
      <w:pPr>
        <w:widowControl w:val="0"/>
        <w:tabs>
          <w:tab w:val="left" w:pos="8504"/>
        </w:tabs>
        <w:adjustRightInd w:val="0"/>
        <w:spacing w:line="360" w:lineRule="auto"/>
        <w:textAlignment w:val="baseline"/>
        <w:rPr>
          <w:rFonts w:ascii="Arial" w:hAnsi="Arial" w:cs="Arial"/>
          <w:sz w:val="24"/>
          <w:szCs w:val="24"/>
        </w:rPr>
      </w:pPr>
    </w:p>
    <w:p w14:paraId="335B9015" w14:textId="77777777" w:rsidR="008765C8" w:rsidRDefault="002F137A" w:rsidP="00FE0FF8">
      <w:pPr>
        <w:widowControl w:val="0"/>
        <w:tabs>
          <w:tab w:val="left" w:pos="8504"/>
        </w:tabs>
        <w:adjustRightInd w:val="0"/>
        <w:spacing w:line="360" w:lineRule="auto"/>
        <w:textAlignment w:val="baseline"/>
        <w:rPr>
          <w:rFonts w:ascii="Arial" w:hAnsi="Arial" w:cs="Arial"/>
          <w:sz w:val="24"/>
          <w:szCs w:val="24"/>
        </w:rPr>
      </w:pPr>
      <w:r>
        <w:rPr>
          <w:rFonts w:ascii="Arial" w:hAnsi="Arial" w:cs="Arial"/>
          <w:sz w:val="24"/>
          <w:szCs w:val="24"/>
        </w:rPr>
        <w:t xml:space="preserve">Además, la parte actora no </w:t>
      </w:r>
      <w:r w:rsidR="008765C8">
        <w:rPr>
          <w:rFonts w:ascii="Arial" w:hAnsi="Arial" w:cs="Arial"/>
          <w:sz w:val="24"/>
          <w:szCs w:val="24"/>
        </w:rPr>
        <w:t>identificó c</w:t>
      </w:r>
      <w:r w:rsidR="00147664">
        <w:rPr>
          <w:rFonts w:ascii="Arial" w:hAnsi="Arial" w:cs="Arial"/>
          <w:sz w:val="24"/>
          <w:szCs w:val="24"/>
        </w:rPr>
        <w:t xml:space="preserve">argo </w:t>
      </w:r>
      <w:r w:rsidR="008765C8">
        <w:rPr>
          <w:rFonts w:ascii="Arial" w:hAnsi="Arial" w:cs="Arial"/>
          <w:sz w:val="24"/>
          <w:szCs w:val="24"/>
        </w:rPr>
        <w:t>algun</w:t>
      </w:r>
      <w:r w:rsidR="00147664">
        <w:rPr>
          <w:rFonts w:ascii="Arial" w:hAnsi="Arial" w:cs="Arial"/>
          <w:sz w:val="24"/>
          <w:szCs w:val="24"/>
        </w:rPr>
        <w:t>o</w:t>
      </w:r>
      <w:r w:rsidR="008765C8">
        <w:rPr>
          <w:rFonts w:ascii="Arial" w:hAnsi="Arial" w:cs="Arial"/>
          <w:sz w:val="24"/>
          <w:szCs w:val="24"/>
        </w:rPr>
        <w:t xml:space="preserve"> en relación con la actuación de la fiduciaria ni puede inferirse de lo que se conoc</w:t>
      </w:r>
      <w:r w:rsidR="00633AB9">
        <w:rPr>
          <w:rFonts w:ascii="Arial" w:hAnsi="Arial" w:cs="Arial"/>
          <w:sz w:val="24"/>
          <w:szCs w:val="24"/>
        </w:rPr>
        <w:t>ió</w:t>
      </w:r>
      <w:r w:rsidR="008765C8">
        <w:rPr>
          <w:rFonts w:ascii="Arial" w:hAnsi="Arial" w:cs="Arial"/>
          <w:sz w:val="24"/>
          <w:szCs w:val="24"/>
        </w:rPr>
        <w:t xml:space="preserve"> en este proceso. </w:t>
      </w:r>
    </w:p>
    <w:p w14:paraId="5AB33877" w14:textId="77777777" w:rsidR="00633AB9" w:rsidRDefault="00633AB9" w:rsidP="00FE0FF8">
      <w:pPr>
        <w:widowControl w:val="0"/>
        <w:tabs>
          <w:tab w:val="left" w:pos="8504"/>
        </w:tabs>
        <w:adjustRightInd w:val="0"/>
        <w:spacing w:line="360" w:lineRule="auto"/>
        <w:textAlignment w:val="baseline"/>
        <w:rPr>
          <w:rFonts w:ascii="Arial" w:hAnsi="Arial" w:cs="Arial"/>
          <w:sz w:val="24"/>
          <w:szCs w:val="24"/>
        </w:rPr>
      </w:pPr>
    </w:p>
    <w:p w14:paraId="288A07F8" w14:textId="77777777" w:rsidR="00633AB9" w:rsidRDefault="00633AB9" w:rsidP="00FE0FF8">
      <w:pPr>
        <w:widowControl w:val="0"/>
        <w:tabs>
          <w:tab w:val="left" w:pos="8504"/>
        </w:tabs>
        <w:adjustRightInd w:val="0"/>
        <w:spacing w:line="360" w:lineRule="auto"/>
        <w:textAlignment w:val="baseline"/>
        <w:rPr>
          <w:rFonts w:ascii="Arial" w:hAnsi="Arial" w:cs="Arial"/>
          <w:sz w:val="24"/>
          <w:szCs w:val="24"/>
        </w:rPr>
      </w:pPr>
      <w:r>
        <w:rPr>
          <w:rFonts w:ascii="Arial" w:hAnsi="Arial" w:cs="Arial"/>
          <w:sz w:val="24"/>
          <w:szCs w:val="24"/>
        </w:rPr>
        <w:t>Por tanto, la demanda se entiende correctamente incoada contra el distrito de Cartagena.</w:t>
      </w:r>
    </w:p>
    <w:p w14:paraId="52608DA8" w14:textId="77777777" w:rsidR="008765C8" w:rsidRDefault="008765C8" w:rsidP="00FE0FF8">
      <w:pPr>
        <w:widowControl w:val="0"/>
        <w:tabs>
          <w:tab w:val="left" w:pos="8504"/>
        </w:tabs>
        <w:adjustRightInd w:val="0"/>
        <w:spacing w:line="360" w:lineRule="auto"/>
        <w:textAlignment w:val="baseline"/>
        <w:rPr>
          <w:rFonts w:ascii="Arial" w:hAnsi="Arial" w:cs="Arial"/>
          <w:sz w:val="24"/>
          <w:szCs w:val="24"/>
        </w:rPr>
      </w:pPr>
    </w:p>
    <w:p w14:paraId="5D275AB1" w14:textId="77777777" w:rsidR="001C3BBF" w:rsidRPr="00C9724F" w:rsidRDefault="00147664" w:rsidP="00FE0FF8">
      <w:pPr>
        <w:spacing w:line="360" w:lineRule="auto"/>
        <w:contextualSpacing/>
        <w:rPr>
          <w:rFonts w:ascii="Arial" w:eastAsia="Times New Roman" w:hAnsi="Arial" w:cs="Arial"/>
          <w:b/>
          <w:sz w:val="24"/>
          <w:szCs w:val="24"/>
          <w:lang w:val="es-ES" w:eastAsia="es-ES"/>
        </w:rPr>
      </w:pPr>
      <w:r>
        <w:rPr>
          <w:rFonts w:ascii="Arial" w:eastAsia="Times New Roman" w:hAnsi="Arial" w:cs="Arial"/>
          <w:b/>
          <w:sz w:val="24"/>
          <w:szCs w:val="24"/>
          <w:lang w:val="es-ES" w:eastAsia="es-ES"/>
        </w:rPr>
        <w:t>8</w:t>
      </w:r>
      <w:r w:rsidR="001C3BBF" w:rsidRPr="00C9724F">
        <w:rPr>
          <w:rFonts w:ascii="Arial" w:eastAsia="Times New Roman" w:hAnsi="Arial" w:cs="Arial"/>
          <w:b/>
          <w:sz w:val="24"/>
          <w:szCs w:val="24"/>
          <w:lang w:val="es-ES" w:eastAsia="es-ES"/>
        </w:rPr>
        <w:t>.</w:t>
      </w:r>
      <w:r w:rsidR="001C3BBF" w:rsidRPr="00C9724F">
        <w:rPr>
          <w:rFonts w:ascii="Arial" w:eastAsia="Times New Roman" w:hAnsi="Arial" w:cs="Arial"/>
          <w:b/>
          <w:sz w:val="24"/>
          <w:szCs w:val="24"/>
          <w:lang w:val="es-ES" w:eastAsia="es-ES"/>
        </w:rPr>
        <w:tab/>
        <w:t>Costas</w:t>
      </w:r>
    </w:p>
    <w:p w14:paraId="49CF3162" w14:textId="77777777" w:rsidR="001C3BBF" w:rsidRPr="00C9724F" w:rsidRDefault="001C3BBF" w:rsidP="00FE0FF8">
      <w:pPr>
        <w:spacing w:line="360" w:lineRule="auto"/>
        <w:rPr>
          <w:rFonts w:ascii="Arial" w:eastAsia="Times New Roman" w:hAnsi="Arial" w:cs="Arial"/>
          <w:sz w:val="24"/>
          <w:szCs w:val="24"/>
          <w:lang w:val="es-ES" w:eastAsia="es-ES"/>
        </w:rPr>
      </w:pPr>
    </w:p>
    <w:p w14:paraId="2CA66AD3" w14:textId="77777777" w:rsidR="001C3BBF" w:rsidRPr="00C9724F" w:rsidRDefault="001C3BBF" w:rsidP="00FE0FF8">
      <w:pPr>
        <w:spacing w:line="360" w:lineRule="auto"/>
        <w:contextualSpacing/>
        <w:rPr>
          <w:rFonts w:ascii="Arial" w:eastAsia="Times New Roman" w:hAnsi="Arial" w:cs="Arial"/>
          <w:sz w:val="24"/>
          <w:szCs w:val="24"/>
          <w:lang w:val="es-ES" w:eastAsia="es-ES"/>
        </w:rPr>
      </w:pPr>
      <w:r w:rsidRPr="00C9724F">
        <w:rPr>
          <w:rFonts w:ascii="Arial" w:eastAsia="Times New Roman" w:hAnsi="Arial" w:cs="Arial"/>
          <w:sz w:val="24"/>
          <w:szCs w:val="24"/>
          <w:lang w:val="es-ES" w:eastAsia="es-ES"/>
        </w:rPr>
        <w:t xml:space="preserve">Habida cuenta </w:t>
      </w:r>
      <w:r w:rsidR="00C52720">
        <w:rPr>
          <w:rFonts w:ascii="Arial" w:eastAsia="Times New Roman" w:hAnsi="Arial" w:cs="Arial"/>
          <w:sz w:val="24"/>
          <w:szCs w:val="24"/>
          <w:lang w:val="es-ES" w:eastAsia="es-ES"/>
        </w:rPr>
        <w:t xml:space="preserve">de </w:t>
      </w:r>
      <w:r w:rsidRPr="00C9724F">
        <w:rPr>
          <w:rFonts w:ascii="Arial" w:eastAsia="Times New Roman" w:hAnsi="Arial" w:cs="Arial"/>
          <w:sz w:val="24"/>
          <w:szCs w:val="24"/>
          <w:lang w:val="es-ES" w:eastAsia="es-ES"/>
        </w:rPr>
        <w:t>que para e</w:t>
      </w:r>
      <w:r w:rsidR="00C52720">
        <w:rPr>
          <w:rFonts w:ascii="Arial" w:eastAsia="Times New Roman" w:hAnsi="Arial" w:cs="Arial"/>
          <w:sz w:val="24"/>
          <w:szCs w:val="24"/>
          <w:lang w:val="es-ES" w:eastAsia="es-ES"/>
        </w:rPr>
        <w:t xml:space="preserve">ste proceso aplica </w:t>
      </w:r>
      <w:r w:rsidRPr="00C9724F">
        <w:rPr>
          <w:rFonts w:ascii="Arial" w:eastAsia="Times New Roman" w:hAnsi="Arial" w:cs="Arial"/>
          <w:sz w:val="24"/>
          <w:szCs w:val="24"/>
          <w:lang w:val="es-ES" w:eastAsia="es-ES"/>
        </w:rPr>
        <w:t>el artículo 55 de la Ley 446 de 1998</w:t>
      </w:r>
      <w:r w:rsidR="00F42508">
        <w:rPr>
          <w:rFonts w:ascii="Arial" w:eastAsia="Times New Roman" w:hAnsi="Arial" w:cs="Arial"/>
          <w:sz w:val="24"/>
          <w:szCs w:val="24"/>
          <w:lang w:val="es-ES" w:eastAsia="es-ES"/>
        </w:rPr>
        <w:t xml:space="preserve">, en cuyo texto se </w:t>
      </w:r>
      <w:r w:rsidRPr="00C9724F">
        <w:rPr>
          <w:rFonts w:ascii="Arial" w:eastAsia="Times New Roman" w:hAnsi="Arial" w:cs="Arial"/>
          <w:sz w:val="24"/>
          <w:szCs w:val="24"/>
          <w:lang w:val="es-ES" w:eastAsia="es-ES"/>
        </w:rPr>
        <w:t xml:space="preserve">indica que sólo hay lugar a la imposición de costas </w:t>
      </w:r>
      <w:r w:rsidR="00C52720">
        <w:rPr>
          <w:rFonts w:ascii="Arial" w:eastAsia="Times New Roman" w:hAnsi="Arial" w:cs="Arial"/>
          <w:sz w:val="24"/>
          <w:szCs w:val="24"/>
          <w:lang w:val="es-ES" w:eastAsia="es-ES"/>
        </w:rPr>
        <w:t>de acuerdo con la conducta de las partes y que</w:t>
      </w:r>
      <w:r w:rsidR="00F42508">
        <w:rPr>
          <w:rFonts w:ascii="Arial" w:eastAsia="Times New Roman" w:hAnsi="Arial" w:cs="Arial"/>
          <w:sz w:val="24"/>
          <w:szCs w:val="24"/>
          <w:lang w:val="es-ES" w:eastAsia="es-ES"/>
        </w:rPr>
        <w:t>,</w:t>
      </w:r>
      <w:r w:rsidR="00C52720">
        <w:rPr>
          <w:rFonts w:ascii="Arial" w:eastAsia="Times New Roman" w:hAnsi="Arial" w:cs="Arial"/>
          <w:sz w:val="24"/>
          <w:szCs w:val="24"/>
          <w:lang w:val="es-ES" w:eastAsia="es-ES"/>
        </w:rPr>
        <w:t xml:space="preserve"> pese a </w:t>
      </w:r>
      <w:r w:rsidR="00F42508">
        <w:rPr>
          <w:rFonts w:ascii="Arial" w:eastAsia="Times New Roman" w:hAnsi="Arial" w:cs="Arial"/>
          <w:sz w:val="24"/>
          <w:szCs w:val="24"/>
          <w:lang w:val="es-ES" w:eastAsia="es-ES"/>
        </w:rPr>
        <w:t>la</w:t>
      </w:r>
      <w:r w:rsidR="00C52720">
        <w:rPr>
          <w:rFonts w:ascii="Arial" w:eastAsia="Times New Roman" w:hAnsi="Arial" w:cs="Arial"/>
          <w:sz w:val="24"/>
          <w:szCs w:val="24"/>
          <w:lang w:val="es-ES" w:eastAsia="es-ES"/>
        </w:rPr>
        <w:t xml:space="preserve"> inactividad probatoria, no se puede afirmar que hubiera un </w:t>
      </w:r>
      <w:r w:rsidRPr="00C9724F">
        <w:rPr>
          <w:rFonts w:ascii="Arial" w:eastAsia="Times New Roman" w:hAnsi="Arial" w:cs="Arial"/>
          <w:sz w:val="24"/>
          <w:szCs w:val="24"/>
          <w:lang w:val="es-ES" w:eastAsia="es-ES"/>
        </w:rPr>
        <w:t>actua</w:t>
      </w:r>
      <w:r w:rsidR="00C52720">
        <w:rPr>
          <w:rFonts w:ascii="Arial" w:eastAsia="Times New Roman" w:hAnsi="Arial" w:cs="Arial"/>
          <w:sz w:val="24"/>
          <w:szCs w:val="24"/>
          <w:lang w:val="es-ES" w:eastAsia="es-ES"/>
        </w:rPr>
        <w:t>r</w:t>
      </w:r>
      <w:r w:rsidRPr="00C9724F">
        <w:rPr>
          <w:rFonts w:ascii="Arial" w:eastAsia="Times New Roman" w:hAnsi="Arial" w:cs="Arial"/>
          <w:sz w:val="24"/>
          <w:szCs w:val="24"/>
          <w:lang w:val="es-ES" w:eastAsia="es-ES"/>
        </w:rPr>
        <w:t xml:space="preserve"> temerari</w:t>
      </w:r>
      <w:r w:rsidR="00C52720">
        <w:rPr>
          <w:rFonts w:ascii="Arial" w:eastAsia="Times New Roman" w:hAnsi="Arial" w:cs="Arial"/>
          <w:sz w:val="24"/>
          <w:szCs w:val="24"/>
          <w:lang w:val="es-ES" w:eastAsia="es-ES"/>
        </w:rPr>
        <w:t>o</w:t>
      </w:r>
      <w:r w:rsidRPr="00C9724F">
        <w:rPr>
          <w:rFonts w:ascii="Arial" w:eastAsia="Times New Roman" w:hAnsi="Arial" w:cs="Arial"/>
          <w:sz w:val="24"/>
          <w:szCs w:val="24"/>
          <w:lang w:val="es-ES" w:eastAsia="es-ES"/>
        </w:rPr>
        <w:t>, en el presente asunto no habrá lugar a imponer</w:t>
      </w:r>
      <w:r w:rsidR="00C52720">
        <w:rPr>
          <w:rFonts w:ascii="Arial" w:eastAsia="Times New Roman" w:hAnsi="Arial" w:cs="Arial"/>
          <w:sz w:val="24"/>
          <w:szCs w:val="24"/>
          <w:lang w:val="es-ES" w:eastAsia="es-ES"/>
        </w:rPr>
        <w:t xml:space="preserve"> </w:t>
      </w:r>
      <w:r w:rsidRPr="00C9724F">
        <w:rPr>
          <w:rFonts w:ascii="Arial" w:eastAsia="Times New Roman" w:hAnsi="Arial" w:cs="Arial"/>
          <w:sz w:val="24"/>
          <w:szCs w:val="24"/>
          <w:lang w:val="es-ES" w:eastAsia="es-ES"/>
        </w:rPr>
        <w:t>la</w:t>
      </w:r>
      <w:r w:rsidR="00C52720">
        <w:rPr>
          <w:rFonts w:ascii="Arial" w:eastAsia="Times New Roman" w:hAnsi="Arial" w:cs="Arial"/>
          <w:sz w:val="24"/>
          <w:szCs w:val="24"/>
          <w:lang w:val="es-ES" w:eastAsia="es-ES"/>
        </w:rPr>
        <w:t xml:space="preserve"> condena en costas</w:t>
      </w:r>
      <w:r w:rsidRPr="00C9724F">
        <w:rPr>
          <w:rFonts w:ascii="Arial" w:eastAsia="Times New Roman" w:hAnsi="Arial" w:cs="Arial"/>
          <w:sz w:val="24"/>
          <w:szCs w:val="24"/>
          <w:lang w:val="es-ES" w:eastAsia="es-ES"/>
        </w:rPr>
        <w:t>.</w:t>
      </w:r>
    </w:p>
    <w:p w14:paraId="075CDB8D" w14:textId="77777777" w:rsidR="001C3BBF" w:rsidRPr="00C9724F" w:rsidRDefault="001C3BBF" w:rsidP="00FE0FF8">
      <w:pPr>
        <w:numPr>
          <w:ilvl w:val="12"/>
          <w:numId w:val="0"/>
        </w:numPr>
        <w:spacing w:line="360" w:lineRule="auto"/>
        <w:rPr>
          <w:rFonts w:ascii="Arial" w:eastAsia="Times New Roman" w:hAnsi="Arial" w:cs="Arial"/>
          <w:sz w:val="24"/>
          <w:szCs w:val="24"/>
          <w:lang w:val="es-ES" w:eastAsia="es-ES"/>
        </w:rPr>
      </w:pPr>
    </w:p>
    <w:p w14:paraId="105F5ADC" w14:textId="77777777" w:rsidR="001C3BBF" w:rsidRPr="00C9724F" w:rsidRDefault="001C3BBF" w:rsidP="00FE0FF8">
      <w:pPr>
        <w:numPr>
          <w:ilvl w:val="12"/>
          <w:numId w:val="0"/>
        </w:numPr>
        <w:spacing w:line="360" w:lineRule="auto"/>
        <w:rPr>
          <w:rFonts w:ascii="Arial" w:eastAsia="Times New Roman" w:hAnsi="Arial" w:cs="Arial"/>
          <w:sz w:val="24"/>
          <w:szCs w:val="24"/>
          <w:lang w:val="es-ES" w:eastAsia="es-ES"/>
        </w:rPr>
      </w:pPr>
      <w:r w:rsidRPr="00C9724F">
        <w:rPr>
          <w:rFonts w:ascii="Arial" w:eastAsia="Times New Roman" w:hAnsi="Arial" w:cs="Arial"/>
          <w:sz w:val="24"/>
          <w:szCs w:val="24"/>
          <w:lang w:val="es-ES" w:eastAsia="es-ES"/>
        </w:rPr>
        <w:t>En mérito de lo expuesto, el Consejo de Estado, en Sala de lo Contencioso Administrativo, Sección Tercera, Subsección A, administrando justicia en nombre de la República de Colombia y por autoridad de la ley,</w:t>
      </w:r>
    </w:p>
    <w:p w14:paraId="352D6AF6" w14:textId="77777777" w:rsidR="001C3BBF" w:rsidRPr="00C9724F" w:rsidRDefault="001C3BBF" w:rsidP="00FE0FF8">
      <w:pPr>
        <w:spacing w:line="360" w:lineRule="auto"/>
        <w:rPr>
          <w:rFonts w:ascii="Arial" w:eastAsia="Times New Roman" w:hAnsi="Arial" w:cs="Arial"/>
          <w:sz w:val="24"/>
          <w:szCs w:val="24"/>
          <w:lang w:val="es-ES" w:eastAsia="es-ES"/>
        </w:rPr>
      </w:pPr>
    </w:p>
    <w:p w14:paraId="2A6D2C52" w14:textId="77777777" w:rsidR="001C3BBF" w:rsidRPr="00C9724F" w:rsidRDefault="001C3BBF" w:rsidP="00FE0FF8">
      <w:pPr>
        <w:keepNext/>
        <w:spacing w:line="360" w:lineRule="auto"/>
        <w:jc w:val="center"/>
        <w:outlineLvl w:val="4"/>
        <w:rPr>
          <w:rFonts w:ascii="Arial" w:eastAsia="Times New Roman" w:hAnsi="Arial" w:cs="Arial"/>
          <w:b/>
          <w:bCs/>
          <w:sz w:val="24"/>
          <w:szCs w:val="24"/>
          <w:lang w:val="es-ES" w:eastAsia="es-ES"/>
        </w:rPr>
      </w:pPr>
      <w:r w:rsidRPr="00C9724F">
        <w:rPr>
          <w:rFonts w:ascii="Arial" w:eastAsia="Times New Roman" w:hAnsi="Arial" w:cs="Arial"/>
          <w:b/>
          <w:bCs/>
          <w:sz w:val="24"/>
          <w:szCs w:val="24"/>
          <w:lang w:val="es-ES" w:eastAsia="es-ES"/>
        </w:rPr>
        <w:t xml:space="preserve">F A L </w:t>
      </w:r>
      <w:proofErr w:type="spellStart"/>
      <w:r w:rsidRPr="00C9724F">
        <w:rPr>
          <w:rFonts w:ascii="Arial" w:eastAsia="Times New Roman" w:hAnsi="Arial" w:cs="Arial"/>
          <w:b/>
          <w:bCs/>
          <w:sz w:val="24"/>
          <w:szCs w:val="24"/>
          <w:lang w:val="es-ES" w:eastAsia="es-ES"/>
        </w:rPr>
        <w:t>L</w:t>
      </w:r>
      <w:proofErr w:type="spellEnd"/>
      <w:r w:rsidRPr="00C9724F">
        <w:rPr>
          <w:rFonts w:ascii="Arial" w:eastAsia="Times New Roman" w:hAnsi="Arial" w:cs="Arial"/>
          <w:b/>
          <w:bCs/>
          <w:sz w:val="24"/>
          <w:szCs w:val="24"/>
          <w:lang w:val="es-ES" w:eastAsia="es-ES"/>
        </w:rPr>
        <w:t xml:space="preserve"> A</w:t>
      </w:r>
    </w:p>
    <w:p w14:paraId="394A0E2C" w14:textId="77777777" w:rsidR="001C3BBF" w:rsidRPr="00C9724F" w:rsidRDefault="001C3BBF" w:rsidP="00FE0FF8">
      <w:pPr>
        <w:widowControl w:val="0"/>
        <w:autoSpaceDE w:val="0"/>
        <w:autoSpaceDN w:val="0"/>
        <w:adjustRightInd w:val="0"/>
        <w:spacing w:line="360" w:lineRule="auto"/>
        <w:rPr>
          <w:rFonts w:ascii="Arial" w:eastAsia="Times New Roman" w:hAnsi="Arial" w:cs="Arial"/>
          <w:b/>
          <w:sz w:val="24"/>
          <w:szCs w:val="24"/>
          <w:lang w:val="es-ES" w:eastAsia="es-ES"/>
        </w:rPr>
      </w:pPr>
    </w:p>
    <w:p w14:paraId="690E734A" w14:textId="77777777" w:rsidR="001C3BBF" w:rsidRPr="00C9724F" w:rsidRDefault="001C3BBF" w:rsidP="00FE0FF8">
      <w:pPr>
        <w:autoSpaceDE w:val="0"/>
        <w:autoSpaceDN w:val="0"/>
        <w:adjustRightInd w:val="0"/>
        <w:spacing w:line="360" w:lineRule="auto"/>
        <w:rPr>
          <w:rFonts w:ascii="Arial" w:eastAsia="Times New Roman" w:hAnsi="Arial" w:cs="Arial"/>
          <w:sz w:val="24"/>
          <w:szCs w:val="24"/>
          <w:lang w:val="es-ES_tradnl" w:eastAsia="es-ES"/>
        </w:rPr>
      </w:pPr>
      <w:proofErr w:type="gramStart"/>
      <w:r w:rsidRPr="00C9724F">
        <w:rPr>
          <w:rFonts w:ascii="Arial" w:eastAsia="Times New Roman" w:hAnsi="Arial" w:cs="Arial"/>
          <w:b/>
          <w:sz w:val="24"/>
          <w:szCs w:val="24"/>
          <w:lang w:val="es-ES_tradnl" w:eastAsia="es-ES"/>
        </w:rPr>
        <w:t>PRIMERO.-</w:t>
      </w:r>
      <w:proofErr w:type="gramEnd"/>
      <w:r w:rsidRPr="00C9724F">
        <w:rPr>
          <w:rFonts w:ascii="Arial" w:eastAsia="Times New Roman" w:hAnsi="Arial" w:cs="Arial"/>
          <w:b/>
          <w:sz w:val="24"/>
          <w:szCs w:val="24"/>
          <w:lang w:val="es-ES_tradnl" w:eastAsia="es-ES"/>
        </w:rPr>
        <w:t xml:space="preserve"> </w:t>
      </w:r>
      <w:r w:rsidR="00A310FA">
        <w:rPr>
          <w:rFonts w:ascii="Arial" w:eastAsia="Times New Roman" w:hAnsi="Arial" w:cs="Arial"/>
          <w:b/>
          <w:sz w:val="24"/>
          <w:szCs w:val="24"/>
          <w:lang w:val="es-ES_tradnl" w:eastAsia="es-ES"/>
        </w:rPr>
        <w:t xml:space="preserve">CONFIRMAR </w:t>
      </w:r>
      <w:r w:rsidRPr="00C9724F">
        <w:rPr>
          <w:rFonts w:ascii="Arial" w:eastAsia="Times New Roman" w:hAnsi="Arial" w:cs="Arial"/>
          <w:sz w:val="24"/>
          <w:szCs w:val="24"/>
          <w:lang w:val="es-ES_tradnl" w:eastAsia="es-ES"/>
        </w:rPr>
        <w:t xml:space="preserve">la sentencia proferida </w:t>
      </w:r>
      <w:r w:rsidR="004061C1" w:rsidRPr="00C9724F">
        <w:rPr>
          <w:rFonts w:ascii="Arial" w:eastAsia="Times New Roman" w:hAnsi="Arial" w:cs="Arial"/>
          <w:sz w:val="24"/>
          <w:szCs w:val="24"/>
          <w:lang w:val="es-ES_tradnl" w:eastAsia="es-ES"/>
        </w:rPr>
        <w:t xml:space="preserve">por </w:t>
      </w:r>
      <w:r w:rsidR="00A310FA" w:rsidRPr="00C9724F">
        <w:rPr>
          <w:rFonts w:ascii="Arial" w:eastAsia="Times New Roman" w:hAnsi="Arial" w:cs="Arial"/>
          <w:sz w:val="24"/>
          <w:szCs w:val="24"/>
          <w:lang w:val="es-ES_tradnl" w:eastAsia="es-ES"/>
        </w:rPr>
        <w:t xml:space="preserve">Tribunal Administrativo de </w:t>
      </w:r>
      <w:r w:rsidR="00A310FA">
        <w:rPr>
          <w:rFonts w:ascii="Arial" w:eastAsia="Times New Roman" w:hAnsi="Arial" w:cs="Arial"/>
          <w:sz w:val="24"/>
          <w:szCs w:val="24"/>
          <w:lang w:val="es-ES_tradnl" w:eastAsia="es-ES"/>
        </w:rPr>
        <w:t xml:space="preserve">Bolívar, Sala de Decisión 02, </w:t>
      </w:r>
      <w:r w:rsidR="00A310FA" w:rsidRPr="00C9724F">
        <w:rPr>
          <w:rFonts w:ascii="Arial" w:eastAsia="Times New Roman" w:hAnsi="Arial" w:cs="Arial"/>
          <w:sz w:val="24"/>
          <w:szCs w:val="24"/>
          <w:lang w:val="es-ES_tradnl" w:eastAsia="es-ES"/>
        </w:rPr>
        <w:t xml:space="preserve">el </w:t>
      </w:r>
      <w:r w:rsidR="00A310FA">
        <w:rPr>
          <w:rFonts w:ascii="Arial" w:eastAsia="Times New Roman" w:hAnsi="Arial" w:cs="Arial"/>
          <w:sz w:val="24"/>
          <w:szCs w:val="24"/>
          <w:lang w:val="es-ES_tradnl" w:eastAsia="es-ES"/>
        </w:rPr>
        <w:t>24 de enero de 2014</w:t>
      </w:r>
    </w:p>
    <w:p w14:paraId="6A69DEC2" w14:textId="77777777" w:rsidR="00A310FA" w:rsidRDefault="00A310FA" w:rsidP="00FE0FF8">
      <w:pPr>
        <w:autoSpaceDE w:val="0"/>
        <w:autoSpaceDN w:val="0"/>
        <w:adjustRightInd w:val="0"/>
        <w:spacing w:line="360" w:lineRule="auto"/>
        <w:rPr>
          <w:rFonts w:ascii="Arial" w:eastAsia="Times New Roman" w:hAnsi="Arial" w:cs="Arial"/>
          <w:b/>
          <w:sz w:val="24"/>
          <w:szCs w:val="24"/>
          <w:lang w:val="es-ES_tradnl" w:eastAsia="es-ES"/>
        </w:rPr>
      </w:pPr>
    </w:p>
    <w:p w14:paraId="7A93A27F" w14:textId="77777777" w:rsidR="00B25EEB" w:rsidRPr="001170A7" w:rsidRDefault="00A310FA" w:rsidP="00FE0FF8">
      <w:pPr>
        <w:autoSpaceDE w:val="0"/>
        <w:autoSpaceDN w:val="0"/>
        <w:adjustRightInd w:val="0"/>
        <w:spacing w:line="360" w:lineRule="auto"/>
        <w:rPr>
          <w:rFonts w:ascii="Arial" w:eastAsia="Times New Roman" w:hAnsi="Arial" w:cs="Arial"/>
          <w:sz w:val="24"/>
          <w:szCs w:val="24"/>
          <w:lang w:val="es-ES_tradnl" w:eastAsia="es-ES"/>
        </w:rPr>
      </w:pPr>
      <w:proofErr w:type="gramStart"/>
      <w:r>
        <w:rPr>
          <w:rFonts w:ascii="Arial" w:eastAsia="Times New Roman" w:hAnsi="Arial" w:cs="Arial"/>
          <w:b/>
          <w:sz w:val="24"/>
          <w:szCs w:val="24"/>
          <w:lang w:val="es-ES_tradnl" w:eastAsia="es-ES"/>
        </w:rPr>
        <w:t>SEGUNDO</w:t>
      </w:r>
      <w:r w:rsidR="001C3BBF" w:rsidRPr="001170A7">
        <w:rPr>
          <w:rFonts w:ascii="Arial" w:eastAsia="Times New Roman" w:hAnsi="Arial" w:cs="Arial"/>
          <w:sz w:val="24"/>
          <w:szCs w:val="24"/>
          <w:lang w:val="es-ES_tradnl" w:eastAsia="es-ES"/>
        </w:rPr>
        <w:t>.-</w:t>
      </w:r>
      <w:proofErr w:type="gramEnd"/>
      <w:r w:rsidR="001C3BBF" w:rsidRPr="001170A7">
        <w:rPr>
          <w:rFonts w:ascii="Arial" w:eastAsia="Times New Roman" w:hAnsi="Arial" w:cs="Arial"/>
          <w:sz w:val="24"/>
          <w:szCs w:val="24"/>
          <w:lang w:val="es-ES_tradnl" w:eastAsia="es-ES"/>
        </w:rPr>
        <w:t xml:space="preserve"> </w:t>
      </w:r>
      <w:r w:rsidR="00B25EEB" w:rsidRPr="0033059C">
        <w:rPr>
          <w:rFonts w:ascii="Arial" w:eastAsia="Times New Roman" w:hAnsi="Arial" w:cs="Arial"/>
          <w:b/>
          <w:sz w:val="24"/>
          <w:szCs w:val="24"/>
          <w:lang w:val="es-ES_tradnl" w:eastAsia="es-ES"/>
        </w:rPr>
        <w:t>Sin</w:t>
      </w:r>
      <w:r w:rsidR="00B25EEB" w:rsidRPr="001170A7">
        <w:rPr>
          <w:rFonts w:ascii="Arial" w:eastAsia="Times New Roman" w:hAnsi="Arial" w:cs="Arial"/>
          <w:sz w:val="24"/>
          <w:szCs w:val="24"/>
          <w:lang w:val="es-ES_tradnl" w:eastAsia="es-ES"/>
        </w:rPr>
        <w:t xml:space="preserve"> condena en costas.</w:t>
      </w:r>
    </w:p>
    <w:p w14:paraId="0CCDE32B" w14:textId="77777777" w:rsidR="00B25EEB" w:rsidRDefault="00B25EEB" w:rsidP="00FE0FF8">
      <w:pPr>
        <w:autoSpaceDE w:val="0"/>
        <w:autoSpaceDN w:val="0"/>
        <w:adjustRightInd w:val="0"/>
        <w:spacing w:line="360" w:lineRule="auto"/>
        <w:rPr>
          <w:rFonts w:ascii="Arial" w:eastAsia="Times New Roman" w:hAnsi="Arial" w:cs="Arial"/>
          <w:b/>
          <w:sz w:val="24"/>
          <w:szCs w:val="24"/>
          <w:lang w:val="es-ES_tradnl" w:eastAsia="es-ES"/>
        </w:rPr>
      </w:pPr>
    </w:p>
    <w:p w14:paraId="51909401" w14:textId="77777777" w:rsidR="001C3BBF" w:rsidRPr="00C9724F" w:rsidRDefault="00B25EEB" w:rsidP="00FE0FF8">
      <w:pPr>
        <w:autoSpaceDE w:val="0"/>
        <w:autoSpaceDN w:val="0"/>
        <w:adjustRightInd w:val="0"/>
        <w:spacing w:line="360" w:lineRule="auto"/>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 xml:space="preserve">TERCERO: </w:t>
      </w:r>
      <w:r w:rsidR="001C3BBF" w:rsidRPr="00C9724F">
        <w:rPr>
          <w:rFonts w:ascii="Arial" w:eastAsia="Times New Roman" w:hAnsi="Arial" w:cs="Arial"/>
          <w:sz w:val="24"/>
          <w:szCs w:val="24"/>
          <w:lang w:val="es-ES_tradnl" w:eastAsia="es-ES"/>
        </w:rPr>
        <w:t>En firme esta providencia, devuélvase el expediente al Tribunal de origen.</w:t>
      </w:r>
    </w:p>
    <w:p w14:paraId="328ACAB9" w14:textId="77777777" w:rsidR="001C3BBF" w:rsidRDefault="001C3BBF" w:rsidP="00FE0FF8">
      <w:pPr>
        <w:jc w:val="center"/>
        <w:rPr>
          <w:rFonts w:ascii="Arial" w:eastAsia="Times New Roman" w:hAnsi="Arial" w:cs="Arial"/>
          <w:b/>
          <w:bCs/>
          <w:noProof/>
          <w:sz w:val="24"/>
          <w:szCs w:val="24"/>
          <w:lang w:val="es-ES" w:eastAsia="es-ES"/>
        </w:rPr>
      </w:pPr>
    </w:p>
    <w:p w14:paraId="118FE550" w14:textId="77777777" w:rsidR="00317C3F" w:rsidRDefault="00317C3F" w:rsidP="00FE0FF8">
      <w:pPr>
        <w:jc w:val="center"/>
        <w:rPr>
          <w:rFonts w:ascii="Arial" w:eastAsia="Times New Roman" w:hAnsi="Arial" w:cs="Arial"/>
          <w:b/>
          <w:bCs/>
          <w:noProof/>
          <w:sz w:val="24"/>
          <w:szCs w:val="24"/>
          <w:lang w:val="es-ES" w:eastAsia="es-ES"/>
        </w:rPr>
      </w:pPr>
    </w:p>
    <w:p w14:paraId="585CFA30" w14:textId="77777777" w:rsidR="00317C3F" w:rsidRPr="00C9724F" w:rsidRDefault="00317C3F" w:rsidP="00FE0FF8">
      <w:pPr>
        <w:jc w:val="center"/>
        <w:rPr>
          <w:rFonts w:ascii="Arial" w:eastAsia="Times New Roman" w:hAnsi="Arial" w:cs="Arial"/>
          <w:b/>
          <w:bCs/>
          <w:noProof/>
          <w:sz w:val="24"/>
          <w:szCs w:val="24"/>
          <w:lang w:val="es-ES" w:eastAsia="es-ES"/>
        </w:rPr>
      </w:pPr>
    </w:p>
    <w:p w14:paraId="01F6F243" w14:textId="77777777" w:rsidR="001C3BBF" w:rsidRPr="00C9724F" w:rsidRDefault="001C3BBF" w:rsidP="00FE0FF8">
      <w:pPr>
        <w:jc w:val="center"/>
        <w:rPr>
          <w:rFonts w:ascii="Arial" w:eastAsia="Times New Roman" w:hAnsi="Arial" w:cs="Arial"/>
          <w:b/>
          <w:bCs/>
          <w:noProof/>
          <w:sz w:val="24"/>
          <w:szCs w:val="24"/>
          <w:lang w:val="es-ES" w:eastAsia="es-ES"/>
        </w:rPr>
      </w:pPr>
    </w:p>
    <w:p w14:paraId="79B89A40" w14:textId="77777777" w:rsidR="001C3BBF" w:rsidRPr="00C9724F" w:rsidRDefault="001C3BBF" w:rsidP="00FE0FF8">
      <w:pPr>
        <w:autoSpaceDE w:val="0"/>
        <w:autoSpaceDN w:val="0"/>
        <w:adjustRightInd w:val="0"/>
        <w:jc w:val="center"/>
        <w:rPr>
          <w:rFonts w:ascii="Arial" w:eastAsia="Times New Roman" w:hAnsi="Arial" w:cs="Arial"/>
          <w:b/>
          <w:noProof/>
          <w:sz w:val="24"/>
          <w:szCs w:val="24"/>
          <w:lang w:val="es-ES_tradnl" w:eastAsia="es-ES"/>
        </w:rPr>
      </w:pPr>
      <w:r w:rsidRPr="00C9724F">
        <w:rPr>
          <w:rFonts w:ascii="Arial" w:eastAsia="Times New Roman" w:hAnsi="Arial" w:cs="Arial"/>
          <w:b/>
          <w:noProof/>
          <w:sz w:val="24"/>
          <w:szCs w:val="24"/>
          <w:lang w:val="es-ES_tradnl" w:eastAsia="es-ES"/>
        </w:rPr>
        <w:t>CÓPIESE, NOTIFÍQUESE Y CÚMPLASE</w:t>
      </w:r>
    </w:p>
    <w:p w14:paraId="3A028602" w14:textId="77777777" w:rsidR="002B7F2A" w:rsidRDefault="002B7F2A" w:rsidP="00FE0FF8">
      <w:pPr>
        <w:jc w:val="center"/>
        <w:rPr>
          <w:rFonts w:ascii="Arial" w:eastAsia="Times New Roman" w:hAnsi="Arial" w:cs="Arial"/>
          <w:sz w:val="24"/>
          <w:szCs w:val="24"/>
          <w:lang w:val="es-ES" w:eastAsia="es-ES"/>
        </w:rPr>
      </w:pPr>
    </w:p>
    <w:p w14:paraId="0DDBD5C5" w14:textId="77777777" w:rsidR="00B25EEB" w:rsidRDefault="00B25EEB" w:rsidP="00FE0FF8">
      <w:pPr>
        <w:jc w:val="center"/>
        <w:rPr>
          <w:rFonts w:ascii="Arial" w:eastAsia="Times New Roman" w:hAnsi="Arial" w:cs="Arial"/>
          <w:b/>
          <w:sz w:val="24"/>
          <w:szCs w:val="24"/>
          <w:lang w:val="es-ES" w:eastAsia="es-ES"/>
        </w:rPr>
      </w:pPr>
    </w:p>
    <w:p w14:paraId="45A48E47" w14:textId="77777777" w:rsidR="00B25EEB" w:rsidRDefault="00B25EEB" w:rsidP="00FE0FF8">
      <w:pPr>
        <w:jc w:val="center"/>
        <w:rPr>
          <w:rFonts w:ascii="Arial" w:eastAsia="Times New Roman" w:hAnsi="Arial" w:cs="Arial"/>
          <w:b/>
          <w:sz w:val="24"/>
          <w:szCs w:val="24"/>
          <w:lang w:val="es-ES" w:eastAsia="es-ES"/>
        </w:rPr>
      </w:pPr>
    </w:p>
    <w:p w14:paraId="54F31DF9" w14:textId="77777777" w:rsidR="00B25EEB" w:rsidRDefault="00B25EEB" w:rsidP="00FE0FF8">
      <w:pPr>
        <w:jc w:val="center"/>
        <w:rPr>
          <w:rFonts w:ascii="Arial" w:eastAsia="Times New Roman" w:hAnsi="Arial" w:cs="Arial"/>
          <w:b/>
          <w:sz w:val="24"/>
          <w:szCs w:val="24"/>
          <w:lang w:val="es-ES" w:eastAsia="es-ES"/>
        </w:rPr>
      </w:pPr>
    </w:p>
    <w:p w14:paraId="0DD1ADAE" w14:textId="77777777" w:rsidR="000D3F71" w:rsidRDefault="00B25EEB" w:rsidP="00FE0FF8">
      <w:pPr>
        <w:jc w:val="center"/>
        <w:rPr>
          <w:rFonts w:ascii="Arial" w:eastAsia="Times New Roman" w:hAnsi="Arial" w:cs="Arial"/>
          <w:sz w:val="24"/>
          <w:szCs w:val="24"/>
          <w:lang w:val="es-ES" w:eastAsia="es-ES"/>
        </w:rPr>
      </w:pPr>
      <w:r w:rsidRPr="00B25EEB">
        <w:rPr>
          <w:rFonts w:ascii="Arial" w:eastAsia="Times New Roman" w:hAnsi="Arial" w:cs="Arial"/>
          <w:b/>
          <w:sz w:val="24"/>
          <w:szCs w:val="24"/>
          <w:lang w:val="es-ES" w:eastAsia="es-ES"/>
        </w:rPr>
        <w:t>MARTA NUBIA VELASQUEZ RICO</w:t>
      </w:r>
    </w:p>
    <w:p w14:paraId="4000A5FB" w14:textId="77777777" w:rsidR="000D3F71" w:rsidRDefault="000D3F71" w:rsidP="00FE0FF8">
      <w:pPr>
        <w:jc w:val="center"/>
        <w:rPr>
          <w:rFonts w:ascii="Arial" w:eastAsia="Times New Roman" w:hAnsi="Arial" w:cs="Arial"/>
          <w:sz w:val="24"/>
          <w:szCs w:val="24"/>
          <w:lang w:val="es-ES" w:eastAsia="es-ES"/>
        </w:rPr>
      </w:pPr>
    </w:p>
    <w:p w14:paraId="73EC69BE" w14:textId="77777777" w:rsidR="000D3F71" w:rsidRDefault="000D3F71" w:rsidP="00FE0FF8">
      <w:pPr>
        <w:jc w:val="center"/>
        <w:rPr>
          <w:rFonts w:ascii="Arial" w:eastAsia="Times New Roman" w:hAnsi="Arial" w:cs="Arial"/>
          <w:sz w:val="24"/>
          <w:szCs w:val="24"/>
          <w:lang w:val="es-ES" w:eastAsia="es-ES"/>
        </w:rPr>
      </w:pPr>
    </w:p>
    <w:p w14:paraId="4FA19CE0" w14:textId="77777777" w:rsidR="000D3F71" w:rsidRDefault="000D3F71" w:rsidP="00FE0FF8">
      <w:pPr>
        <w:jc w:val="center"/>
        <w:rPr>
          <w:rFonts w:ascii="Arial" w:eastAsia="Times New Roman" w:hAnsi="Arial" w:cs="Arial"/>
          <w:sz w:val="24"/>
          <w:szCs w:val="24"/>
          <w:lang w:val="es-ES" w:eastAsia="es-ES"/>
        </w:rPr>
      </w:pPr>
    </w:p>
    <w:p w14:paraId="060C2B26" w14:textId="77777777" w:rsidR="000D3F71" w:rsidRDefault="000D3F71" w:rsidP="00FE0FF8">
      <w:pPr>
        <w:jc w:val="center"/>
        <w:rPr>
          <w:rFonts w:ascii="Arial" w:eastAsia="Times New Roman" w:hAnsi="Arial" w:cs="Arial"/>
          <w:sz w:val="24"/>
          <w:szCs w:val="24"/>
          <w:lang w:val="es-ES" w:eastAsia="es-ES"/>
        </w:rPr>
      </w:pPr>
    </w:p>
    <w:p w14:paraId="1BE00841" w14:textId="77777777" w:rsidR="00FA5171" w:rsidRPr="00C9724F" w:rsidRDefault="001C3BBF" w:rsidP="00FE0FF8">
      <w:pPr>
        <w:jc w:val="center"/>
        <w:rPr>
          <w:rFonts w:ascii="Arial" w:hAnsi="Arial" w:cs="Arial"/>
          <w:bCs/>
          <w:color w:val="000000"/>
          <w:shd w:val="clear" w:color="auto" w:fill="FFFFFF"/>
        </w:rPr>
      </w:pPr>
      <w:r w:rsidRPr="00C9724F">
        <w:rPr>
          <w:rFonts w:ascii="Arial" w:eastAsia="Times New Roman" w:hAnsi="Arial" w:cs="Arial"/>
          <w:b/>
          <w:sz w:val="24"/>
          <w:szCs w:val="24"/>
          <w:lang w:val="es-ES_tradnl" w:eastAsia="es-ES"/>
        </w:rPr>
        <w:t>CARLOS ALBERTO ZAMBRANO BARRERA</w:t>
      </w:r>
    </w:p>
    <w:sectPr w:rsidR="00FA5171" w:rsidRPr="00C9724F" w:rsidSect="00FE0FF8">
      <w:footerReference w:type="first" r:id="rId11"/>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0D7A9" w14:textId="77777777" w:rsidR="0064130B" w:rsidRDefault="0064130B" w:rsidP="001C3BBF">
      <w:r>
        <w:separator/>
      </w:r>
    </w:p>
  </w:endnote>
  <w:endnote w:type="continuationSeparator" w:id="0">
    <w:p w14:paraId="605DFB7E" w14:textId="77777777" w:rsidR="0064130B" w:rsidRDefault="0064130B" w:rsidP="001C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B014" w14:textId="77777777" w:rsidR="008A5FB2" w:rsidRDefault="008A5FB2">
    <w:pPr>
      <w:pStyle w:val="Piedepgina"/>
      <w:jc w:val="right"/>
    </w:pPr>
    <w:r>
      <w:fldChar w:fldCharType="begin"/>
    </w:r>
    <w:r>
      <w:instrText>PAGE   \* MERGEFORMAT</w:instrText>
    </w:r>
    <w:r>
      <w:fldChar w:fldCharType="separate"/>
    </w:r>
    <w:r w:rsidR="00426A52">
      <w:rPr>
        <w:noProof/>
      </w:rPr>
      <w:t>1</w:t>
    </w:r>
    <w:r>
      <w:rPr>
        <w:noProof/>
      </w:rPr>
      <w:fldChar w:fldCharType="end"/>
    </w:r>
  </w:p>
  <w:p w14:paraId="36E2B15A" w14:textId="77777777" w:rsidR="008A5FB2" w:rsidRDefault="008A5F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A3C96" w14:textId="77777777" w:rsidR="0064130B" w:rsidRDefault="0064130B" w:rsidP="001C3BBF">
      <w:r>
        <w:separator/>
      </w:r>
    </w:p>
  </w:footnote>
  <w:footnote w:type="continuationSeparator" w:id="0">
    <w:p w14:paraId="5A44A2A7" w14:textId="77777777" w:rsidR="0064130B" w:rsidRDefault="0064130B" w:rsidP="001C3BBF">
      <w:r>
        <w:continuationSeparator/>
      </w:r>
    </w:p>
  </w:footnote>
  <w:footnote w:id="1">
    <w:p w14:paraId="0579F0DB" w14:textId="77777777" w:rsidR="008A5FB2" w:rsidRPr="00412410" w:rsidRDefault="008A5FB2" w:rsidP="00E34A3D">
      <w:pPr>
        <w:pStyle w:val="Textonotapie"/>
        <w:ind w:right="-141"/>
        <w:rPr>
          <w:lang w:val="es-MX"/>
        </w:rPr>
      </w:pPr>
      <w:r>
        <w:rPr>
          <w:rStyle w:val="Refdenotaalpie"/>
        </w:rPr>
        <w:footnoteRef/>
      </w:r>
      <w:r>
        <w:t xml:space="preserve"> </w:t>
      </w:r>
      <w:r>
        <w:rPr>
          <w:lang w:val="es-MX"/>
        </w:rPr>
        <w:t xml:space="preserve">En adelante se podrá denominar: el distrito de Cartagena o, simplemente, el distrito. </w:t>
      </w:r>
    </w:p>
  </w:footnote>
  <w:footnote w:id="2">
    <w:p w14:paraId="3219AAC5" w14:textId="77777777" w:rsidR="008A5FB2" w:rsidRPr="00B63FED" w:rsidRDefault="008A5FB2">
      <w:pPr>
        <w:pStyle w:val="Textonotapie"/>
      </w:pPr>
      <w:r>
        <w:rPr>
          <w:rStyle w:val="Refdenotaalpie"/>
        </w:rPr>
        <w:footnoteRef/>
      </w:r>
      <w:r>
        <w:t xml:space="preserve"> Folios 105 a 107, cuaderno 1.</w:t>
      </w:r>
    </w:p>
  </w:footnote>
  <w:footnote w:id="3">
    <w:p w14:paraId="1DB91DA9" w14:textId="77777777" w:rsidR="008A5FB2" w:rsidRPr="00F0212C" w:rsidRDefault="008A5FB2">
      <w:pPr>
        <w:pStyle w:val="Textonotapie"/>
        <w:rPr>
          <w:lang w:val="es-MX"/>
        </w:rPr>
      </w:pPr>
      <w:r>
        <w:rPr>
          <w:rStyle w:val="Refdenotaalpie"/>
        </w:rPr>
        <w:footnoteRef/>
      </w:r>
      <w:r>
        <w:t xml:space="preserve"> </w:t>
      </w:r>
      <w:r>
        <w:rPr>
          <w:lang w:val="es-MX"/>
        </w:rPr>
        <w:t>29 de junio de 2001.</w:t>
      </w:r>
    </w:p>
  </w:footnote>
  <w:footnote w:id="4">
    <w:p w14:paraId="61B3AAEB" w14:textId="77777777" w:rsidR="008A5FB2" w:rsidRPr="00E9743A" w:rsidRDefault="008A5FB2">
      <w:pPr>
        <w:pStyle w:val="Textonotapie"/>
        <w:rPr>
          <w:lang w:val="es-MX"/>
        </w:rPr>
      </w:pPr>
      <w:r>
        <w:rPr>
          <w:rStyle w:val="Refdenotaalpie"/>
        </w:rPr>
        <w:footnoteRef/>
      </w:r>
      <w:r>
        <w:t xml:space="preserve"> </w:t>
      </w:r>
      <w:r>
        <w:rPr>
          <w:lang w:val="es-MX"/>
        </w:rPr>
        <w:t>Registro Único de Proponentes</w:t>
      </w:r>
    </w:p>
  </w:footnote>
  <w:footnote w:id="5">
    <w:p w14:paraId="44B0E0FF" w14:textId="77777777" w:rsidR="008A5FB2" w:rsidRPr="006F69DB" w:rsidRDefault="008A5FB2">
      <w:pPr>
        <w:pStyle w:val="Textonotapie"/>
      </w:pPr>
      <w:r>
        <w:rPr>
          <w:rStyle w:val="Refdenotaalpie"/>
        </w:rPr>
        <w:footnoteRef/>
      </w:r>
      <w:r>
        <w:t xml:space="preserve"> Folio 122, cuaderno 1. </w:t>
      </w:r>
    </w:p>
  </w:footnote>
  <w:footnote w:id="6">
    <w:p w14:paraId="50B4787E" w14:textId="77777777" w:rsidR="008A5FB2" w:rsidRPr="00A078F3" w:rsidRDefault="008A5FB2">
      <w:pPr>
        <w:pStyle w:val="Textonotapie"/>
      </w:pPr>
      <w:r>
        <w:rPr>
          <w:rStyle w:val="Refdenotaalpie"/>
        </w:rPr>
        <w:footnoteRef/>
      </w:r>
      <w:r>
        <w:t xml:space="preserve"> Folio 137, cuaderno 1.</w:t>
      </w:r>
    </w:p>
  </w:footnote>
  <w:footnote w:id="7">
    <w:p w14:paraId="367F5C28" w14:textId="77777777" w:rsidR="008A5FB2" w:rsidRPr="006F50C8" w:rsidRDefault="008A5FB2">
      <w:pPr>
        <w:pStyle w:val="Textonotapie"/>
        <w:rPr>
          <w:lang w:val="es-MX"/>
        </w:rPr>
      </w:pPr>
      <w:r>
        <w:rPr>
          <w:rStyle w:val="Refdenotaalpie"/>
        </w:rPr>
        <w:footnoteRef/>
      </w:r>
      <w:r>
        <w:t xml:space="preserve"> </w:t>
      </w:r>
      <w:r>
        <w:rPr>
          <w:lang w:val="es-MX"/>
        </w:rPr>
        <w:t>Folio 137, cuaderno 1.</w:t>
      </w:r>
    </w:p>
  </w:footnote>
  <w:footnote w:id="8">
    <w:p w14:paraId="4EFF30F7" w14:textId="77777777" w:rsidR="008A5FB2" w:rsidRPr="00BF40D2" w:rsidRDefault="008A5FB2" w:rsidP="008C326A">
      <w:pPr>
        <w:pStyle w:val="Textonotapie"/>
      </w:pPr>
      <w:r>
        <w:rPr>
          <w:rStyle w:val="Refdenotaalpie"/>
        </w:rPr>
        <w:footnoteRef/>
      </w:r>
      <w:r>
        <w:t xml:space="preserve"> Folio 130, cuaderno 1.</w:t>
      </w:r>
    </w:p>
  </w:footnote>
  <w:footnote w:id="9">
    <w:p w14:paraId="2F0643AE" w14:textId="77777777" w:rsidR="008A5FB2" w:rsidRPr="00045021" w:rsidRDefault="008A5FB2">
      <w:pPr>
        <w:pStyle w:val="Textonotapie"/>
      </w:pPr>
      <w:r>
        <w:rPr>
          <w:rStyle w:val="Refdenotaalpie"/>
        </w:rPr>
        <w:footnoteRef/>
      </w:r>
      <w:r>
        <w:t xml:space="preserve"> Folio 168, cuaderno 1. </w:t>
      </w:r>
    </w:p>
  </w:footnote>
  <w:footnote w:id="10">
    <w:p w14:paraId="1E5F3CC9" w14:textId="77777777" w:rsidR="008A5FB2" w:rsidRPr="004E1299" w:rsidRDefault="008A5FB2">
      <w:pPr>
        <w:pStyle w:val="Textonotapie"/>
      </w:pPr>
      <w:r>
        <w:rPr>
          <w:rStyle w:val="Refdenotaalpie"/>
        </w:rPr>
        <w:footnoteRef/>
      </w:r>
      <w:r>
        <w:t xml:space="preserve"> Folio 196, cuaderno principal segunda instancia.</w:t>
      </w:r>
    </w:p>
  </w:footnote>
  <w:footnote w:id="11">
    <w:p w14:paraId="46ABA4F0" w14:textId="77777777" w:rsidR="008A5FB2" w:rsidRPr="000D4B61" w:rsidRDefault="008A5FB2" w:rsidP="000A4096">
      <w:pPr>
        <w:ind w:right="-284"/>
        <w:rPr>
          <w:rFonts w:ascii="Arial" w:hAnsi="Arial" w:cs="Arial"/>
          <w:sz w:val="20"/>
          <w:szCs w:val="20"/>
        </w:rPr>
      </w:pPr>
      <w:r w:rsidRPr="000D4B61">
        <w:rPr>
          <w:rStyle w:val="Refdenotaalpie"/>
          <w:rFonts w:ascii="Arial" w:hAnsi="Arial" w:cs="Arial"/>
          <w:sz w:val="20"/>
          <w:szCs w:val="20"/>
        </w:rPr>
        <w:footnoteRef/>
      </w:r>
      <w:r w:rsidRPr="000D4B61">
        <w:rPr>
          <w:rFonts w:ascii="Arial" w:hAnsi="Arial" w:cs="Arial"/>
          <w:sz w:val="20"/>
          <w:szCs w:val="20"/>
        </w:rPr>
        <w:t xml:space="preserve"> El artículo 82 del Código Contencioso Administrativo, modificado por la Ley 1107 de 200</w:t>
      </w:r>
      <w:r>
        <w:rPr>
          <w:rFonts w:ascii="Arial" w:hAnsi="Arial" w:cs="Arial"/>
          <w:sz w:val="20"/>
          <w:szCs w:val="20"/>
        </w:rPr>
        <w:t>6</w:t>
      </w:r>
      <w:r w:rsidRPr="000D4B61">
        <w:rPr>
          <w:rFonts w:ascii="Arial" w:hAnsi="Arial" w:cs="Arial"/>
          <w:sz w:val="20"/>
          <w:szCs w:val="20"/>
        </w:rPr>
        <w:t xml:space="preserve">, definió el objeto de la Jurisdicción de lo Contencioso Administrativo, con base en el criterio objetivo de la actividad de las </w:t>
      </w:r>
      <w:r w:rsidRPr="000D4B61">
        <w:rPr>
          <w:rFonts w:ascii="Arial" w:hAnsi="Arial" w:cs="Arial"/>
          <w:i/>
          <w:sz w:val="20"/>
          <w:szCs w:val="20"/>
        </w:rPr>
        <w:t>entidades públicas</w:t>
      </w:r>
      <w:r w:rsidRPr="000D4B61">
        <w:rPr>
          <w:rFonts w:ascii="Arial" w:hAnsi="Arial" w:cs="Arial"/>
          <w:sz w:val="20"/>
          <w:szCs w:val="20"/>
        </w:rPr>
        <w:t>, en los siguientes términos:</w:t>
      </w:r>
    </w:p>
    <w:p w14:paraId="41E374B0" w14:textId="77777777" w:rsidR="008A5FB2" w:rsidRPr="004A3B41" w:rsidRDefault="008A5FB2" w:rsidP="000A4096">
      <w:pPr>
        <w:ind w:right="-284"/>
        <w:rPr>
          <w:rFonts w:ascii="Arial" w:hAnsi="Arial" w:cs="Arial"/>
          <w:b/>
          <w:bCs/>
          <w:sz w:val="18"/>
          <w:szCs w:val="18"/>
        </w:rPr>
      </w:pPr>
    </w:p>
    <w:p w14:paraId="4E00542F" w14:textId="77777777" w:rsidR="008A5FB2" w:rsidRPr="00322D9B" w:rsidRDefault="008A5FB2" w:rsidP="000A4096">
      <w:pPr>
        <w:tabs>
          <w:tab w:val="left" w:pos="0"/>
        </w:tabs>
        <w:adjustRightInd w:val="0"/>
        <w:ind w:right="-284"/>
        <w:textAlignment w:val="center"/>
        <w:rPr>
          <w:rFonts w:ascii="Arial" w:hAnsi="Arial" w:cs="Arial"/>
          <w:i/>
          <w:iCs/>
          <w:sz w:val="20"/>
          <w:szCs w:val="20"/>
          <w:lang w:val="es-ES_tradnl"/>
        </w:rPr>
      </w:pPr>
      <w:r w:rsidRPr="00322D9B">
        <w:rPr>
          <w:rFonts w:ascii="Arial" w:hAnsi="Arial" w:cs="Arial"/>
          <w:i/>
          <w:iCs/>
          <w:sz w:val="20"/>
          <w:szCs w:val="20"/>
          <w:lang w:val="es-ES_tradnl"/>
        </w:rPr>
        <w:t>“Artículo 1°. El artículo 82 del Código Contencioso Administrativo modificado por el artículo 30 de la Ley 446 de 1998, quedará así:</w:t>
      </w:r>
    </w:p>
    <w:p w14:paraId="7DAA7D84" w14:textId="77777777" w:rsidR="008A5FB2" w:rsidRPr="00322D9B" w:rsidRDefault="008A5FB2" w:rsidP="000A4096">
      <w:pPr>
        <w:tabs>
          <w:tab w:val="left" w:pos="0"/>
        </w:tabs>
        <w:adjustRightInd w:val="0"/>
        <w:ind w:right="-284"/>
        <w:textAlignment w:val="center"/>
        <w:rPr>
          <w:rFonts w:ascii="Arial" w:hAnsi="Arial" w:cs="Arial"/>
          <w:i/>
          <w:iCs/>
          <w:sz w:val="20"/>
          <w:szCs w:val="20"/>
          <w:lang w:val="es-ES_tradnl"/>
        </w:rPr>
      </w:pPr>
      <w:r w:rsidRPr="00322D9B">
        <w:rPr>
          <w:rFonts w:ascii="Arial" w:hAnsi="Arial" w:cs="Arial"/>
          <w:i/>
          <w:iCs/>
          <w:sz w:val="20"/>
          <w:szCs w:val="20"/>
          <w:lang w:val="es-ES_tradnl"/>
        </w:rPr>
        <w:tab/>
      </w:r>
      <w:r w:rsidRPr="00322D9B">
        <w:rPr>
          <w:rFonts w:ascii="Arial" w:hAnsi="Arial" w:cs="Arial"/>
          <w:i/>
          <w:iCs/>
          <w:sz w:val="20"/>
          <w:szCs w:val="20"/>
          <w:lang w:val="es-ES_tradnl"/>
        </w:rPr>
        <w:tab/>
      </w:r>
    </w:p>
    <w:p w14:paraId="109E271E" w14:textId="77777777" w:rsidR="008A5FB2" w:rsidRPr="00322D9B" w:rsidRDefault="008A5FB2" w:rsidP="000A4096">
      <w:pPr>
        <w:tabs>
          <w:tab w:val="left" w:pos="0"/>
        </w:tabs>
        <w:adjustRightInd w:val="0"/>
        <w:ind w:right="-284"/>
        <w:textAlignment w:val="center"/>
        <w:rPr>
          <w:rFonts w:ascii="Arial" w:hAnsi="Arial" w:cs="Arial"/>
          <w:i/>
          <w:iCs/>
          <w:sz w:val="20"/>
          <w:szCs w:val="20"/>
          <w:lang w:val="es-ES_tradnl"/>
        </w:rPr>
      </w:pPr>
      <w:r w:rsidRPr="00322D9B">
        <w:rPr>
          <w:rFonts w:ascii="Arial" w:hAnsi="Arial" w:cs="Arial"/>
          <w:i/>
          <w:iCs/>
          <w:sz w:val="20"/>
          <w:szCs w:val="20"/>
          <w:lang w:val="es-ES_tradnl"/>
        </w:rPr>
        <w:t xml:space="preserve">“Artículo 82. Objeto de la jurisdicción de lo contencioso administrativo. La jurisdicción de lo contencioso administrativo está instituida para juzgar las controversias y litigios originados en la actividad de las </w:t>
      </w:r>
      <w:r w:rsidRPr="00322D9B">
        <w:rPr>
          <w:rFonts w:ascii="Arial" w:hAnsi="Arial" w:cs="Arial"/>
          <w:b/>
          <w:bCs/>
          <w:i/>
          <w:iCs/>
          <w:sz w:val="20"/>
          <w:szCs w:val="20"/>
          <w:lang w:val="es-ES_tradnl"/>
        </w:rPr>
        <w:t xml:space="preserve">entidades públicas </w:t>
      </w:r>
      <w:r w:rsidRPr="00322D9B">
        <w:rPr>
          <w:rFonts w:ascii="Arial" w:hAnsi="Arial" w:cs="Arial"/>
          <w:i/>
          <w:iCs/>
          <w:sz w:val="20"/>
          <w:szCs w:val="20"/>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1E4F6E9C" w14:textId="77777777" w:rsidR="008A5FB2" w:rsidRPr="00322D9B" w:rsidRDefault="008A5FB2" w:rsidP="000A4096">
      <w:pPr>
        <w:pStyle w:val="Textonotapie"/>
        <w:tabs>
          <w:tab w:val="left" w:pos="0"/>
        </w:tabs>
        <w:ind w:right="-284"/>
      </w:pPr>
    </w:p>
  </w:footnote>
  <w:footnote w:id="12">
    <w:p w14:paraId="68531FCD" w14:textId="77777777" w:rsidR="008A5FB2" w:rsidRPr="000D4B61" w:rsidRDefault="008A5FB2" w:rsidP="000A4096">
      <w:pPr>
        <w:ind w:right="-284"/>
        <w:rPr>
          <w:rStyle w:val="Nmerodepgina"/>
          <w:rFonts w:ascii="Arial" w:hAnsi="Arial" w:cs="Arial"/>
          <w:sz w:val="20"/>
          <w:szCs w:val="20"/>
        </w:rPr>
      </w:pPr>
      <w:r w:rsidRPr="000D4B61">
        <w:rPr>
          <w:rStyle w:val="Nmerodepgina"/>
          <w:rFonts w:ascii="Arial" w:hAnsi="Arial" w:cs="Arial"/>
          <w:sz w:val="20"/>
          <w:szCs w:val="20"/>
          <w:vertAlign w:val="superscript"/>
        </w:rPr>
        <w:footnoteRef/>
      </w:r>
      <w:r w:rsidRPr="000D4B61">
        <w:rPr>
          <w:rStyle w:val="Nmerodepgina"/>
          <w:rFonts w:ascii="Arial" w:hAnsi="Arial" w:cs="Arial"/>
          <w:sz w:val="20"/>
          <w:szCs w:val="20"/>
        </w:rPr>
        <w:t xml:space="preserve"> Según el artículo 32 de la Ley 80 de 1993, son contratos estatales aquellos celebrados por las entidades descritas en el artículo 2º de la Ley 80 de 1993, el cual dispone:</w:t>
      </w:r>
    </w:p>
    <w:p w14:paraId="57F7E01A" w14:textId="77777777" w:rsidR="008A5FB2" w:rsidRPr="000D4B61" w:rsidRDefault="008A5FB2" w:rsidP="000A4096">
      <w:pPr>
        <w:ind w:right="-284"/>
        <w:rPr>
          <w:rStyle w:val="Nmerodepgina"/>
          <w:rFonts w:ascii="Arial" w:hAnsi="Arial" w:cs="Arial"/>
          <w:sz w:val="20"/>
          <w:szCs w:val="20"/>
        </w:rPr>
      </w:pPr>
    </w:p>
    <w:p w14:paraId="5B5D1D1C" w14:textId="77777777" w:rsidR="008A5FB2" w:rsidRPr="000D4B61" w:rsidRDefault="008A5FB2" w:rsidP="000A4096">
      <w:pPr>
        <w:ind w:right="-284"/>
        <w:rPr>
          <w:rStyle w:val="Nmerodepgina"/>
          <w:rFonts w:ascii="Arial" w:hAnsi="Arial" w:cs="Arial"/>
          <w:i/>
          <w:iCs/>
          <w:sz w:val="20"/>
          <w:szCs w:val="20"/>
        </w:rPr>
      </w:pPr>
      <w:r w:rsidRPr="000D4B61">
        <w:rPr>
          <w:rStyle w:val="Nmerodepgina"/>
          <w:rFonts w:ascii="Arial" w:hAnsi="Arial" w:cs="Arial"/>
          <w:i/>
          <w:iCs/>
          <w:sz w:val="20"/>
          <w:szCs w:val="20"/>
        </w:rPr>
        <w:t xml:space="preserve">“Para los solos efectos de esta ley: </w:t>
      </w:r>
    </w:p>
    <w:p w14:paraId="1E32A8F2" w14:textId="77777777" w:rsidR="008A5FB2" w:rsidRPr="000D4B61" w:rsidRDefault="008A5FB2" w:rsidP="000A4096">
      <w:pPr>
        <w:ind w:right="-284"/>
        <w:rPr>
          <w:rStyle w:val="Nmerodepgina"/>
          <w:rFonts w:ascii="Arial" w:hAnsi="Arial" w:cs="Arial"/>
          <w:i/>
          <w:iCs/>
          <w:sz w:val="20"/>
          <w:szCs w:val="20"/>
        </w:rPr>
      </w:pPr>
    </w:p>
    <w:p w14:paraId="1888035D" w14:textId="77777777" w:rsidR="008A5FB2" w:rsidRPr="000D4B61" w:rsidRDefault="008A5FB2" w:rsidP="000A4096">
      <w:pPr>
        <w:ind w:right="-284"/>
        <w:rPr>
          <w:rStyle w:val="Nmerodepgina"/>
          <w:rFonts w:ascii="Arial" w:hAnsi="Arial" w:cs="Arial"/>
          <w:i/>
          <w:iCs/>
          <w:sz w:val="20"/>
          <w:szCs w:val="20"/>
        </w:rPr>
      </w:pPr>
      <w:r w:rsidRPr="000D4B61">
        <w:rPr>
          <w:rStyle w:val="Nmerodepgina"/>
          <w:rFonts w:ascii="Arial" w:hAnsi="Arial" w:cs="Arial"/>
          <w:i/>
          <w:iCs/>
          <w:sz w:val="20"/>
          <w:szCs w:val="20"/>
        </w:rPr>
        <w:t xml:space="preserve">“1o. Se denominan entidades estatales: </w:t>
      </w:r>
    </w:p>
    <w:p w14:paraId="34F5CA26" w14:textId="77777777" w:rsidR="008A5FB2" w:rsidRPr="000D4B61" w:rsidRDefault="008A5FB2" w:rsidP="000A4096">
      <w:pPr>
        <w:ind w:right="-284"/>
        <w:rPr>
          <w:rStyle w:val="Nmerodepgina"/>
          <w:rFonts w:ascii="Arial" w:hAnsi="Arial" w:cs="Arial"/>
          <w:i/>
          <w:iCs/>
          <w:sz w:val="20"/>
          <w:szCs w:val="20"/>
        </w:rPr>
      </w:pPr>
    </w:p>
    <w:p w14:paraId="5458D298" w14:textId="77777777" w:rsidR="008A5FB2" w:rsidRPr="000D4B61" w:rsidRDefault="008A5FB2" w:rsidP="000A4096">
      <w:pPr>
        <w:tabs>
          <w:tab w:val="left" w:pos="8222"/>
        </w:tabs>
        <w:ind w:right="-284"/>
        <w:rPr>
          <w:rStyle w:val="Nmerodepgina"/>
          <w:rFonts w:ascii="Arial" w:hAnsi="Arial" w:cs="Arial"/>
          <w:iCs/>
          <w:sz w:val="20"/>
          <w:szCs w:val="20"/>
        </w:rPr>
      </w:pPr>
      <w:r w:rsidRPr="000D4B61">
        <w:rPr>
          <w:rStyle w:val="Nmerodepgina"/>
          <w:rFonts w:ascii="Arial" w:hAnsi="Arial" w:cs="Arial"/>
          <w:i/>
          <w:iCs/>
          <w:sz w:val="20"/>
          <w:szCs w:val="20"/>
        </w:rPr>
        <w:t xml:space="preserve">“a) La Nación, las regiones, los  departamentos, las provincias, el distrito capital y los </w:t>
      </w:r>
      <w:r w:rsidRPr="000D4B61">
        <w:rPr>
          <w:rStyle w:val="Nmerodepgina"/>
          <w:rFonts w:ascii="Arial" w:hAnsi="Arial" w:cs="Arial"/>
          <w:i/>
          <w:iCs/>
          <w:sz w:val="20"/>
          <w:szCs w:val="20"/>
          <w:u w:val="single"/>
        </w:rPr>
        <w:t>distritos especiales</w:t>
      </w:r>
      <w:r w:rsidRPr="000D4B61">
        <w:rPr>
          <w:rStyle w:val="Nmerodepgina"/>
          <w:rFonts w:ascii="Arial" w:hAnsi="Arial" w:cs="Arial"/>
          <w:i/>
          <w:iCs/>
          <w:sz w:val="20"/>
          <w:szCs w:val="20"/>
        </w:rPr>
        <w:t xml:space="preserve">,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w:t>
      </w:r>
      <w:r w:rsidRPr="000D4B61">
        <w:rPr>
          <w:rStyle w:val="Nmerodepgina"/>
          <w:rFonts w:ascii="Arial" w:hAnsi="Arial" w:cs="Arial"/>
          <w:iCs/>
          <w:sz w:val="20"/>
          <w:szCs w:val="20"/>
        </w:rPr>
        <w:t>(a subraya no es del texto).</w:t>
      </w:r>
    </w:p>
    <w:p w14:paraId="6E93F34C" w14:textId="77777777" w:rsidR="008A5FB2" w:rsidRPr="000A0FF0" w:rsidRDefault="008A5FB2" w:rsidP="000A4096">
      <w:pPr>
        <w:tabs>
          <w:tab w:val="left" w:pos="8222"/>
        </w:tabs>
        <w:ind w:right="-284"/>
        <w:rPr>
          <w:rFonts w:ascii="Arial" w:hAnsi="Arial" w:cs="Arial"/>
          <w:sz w:val="20"/>
          <w:szCs w:val="20"/>
        </w:rPr>
      </w:pPr>
    </w:p>
  </w:footnote>
  <w:footnote w:id="13">
    <w:p w14:paraId="3CE9A1E5" w14:textId="77777777" w:rsidR="008A5FB2" w:rsidRPr="00047C98" w:rsidRDefault="008A5FB2" w:rsidP="000A4096">
      <w:pPr>
        <w:pStyle w:val="Textonotapie"/>
        <w:tabs>
          <w:tab w:val="left" w:pos="8222"/>
        </w:tabs>
        <w:spacing w:line="240" w:lineRule="auto"/>
        <w:ind w:right="-284"/>
        <w:rPr>
          <w:rFonts w:cs="Arial"/>
          <w:i/>
        </w:rPr>
      </w:pPr>
      <w:r w:rsidRPr="00047C98">
        <w:rPr>
          <w:rStyle w:val="Refdenotaalpie"/>
          <w:rFonts w:cs="Arial"/>
          <w:i/>
        </w:rPr>
        <w:footnoteRef/>
      </w:r>
      <w:r w:rsidRPr="00047C98">
        <w:rPr>
          <w:rFonts w:cs="Arial"/>
          <w:i/>
        </w:rPr>
        <w:t xml:space="preserve"> </w:t>
      </w:r>
      <w:r>
        <w:rPr>
          <w:rFonts w:cs="Arial"/>
          <w:i/>
        </w:rPr>
        <w:t>“</w:t>
      </w:r>
      <w:r w:rsidRPr="00047C98">
        <w:rPr>
          <w:rFonts w:cs="Arial"/>
          <w:i/>
        </w:rPr>
        <w:t>Artículo 87</w:t>
      </w:r>
      <w:r>
        <w:rPr>
          <w:rFonts w:cs="Arial"/>
          <w:i/>
        </w:rPr>
        <w:t xml:space="preserve"> C.C.A. </w:t>
      </w:r>
      <w:r w:rsidRPr="00047C98">
        <w:rPr>
          <w:rFonts w:cs="Arial"/>
          <w:i/>
        </w:rPr>
        <w:t>De las controversias contractuales</w:t>
      </w:r>
      <w:r w:rsidRPr="00047C98">
        <w:rPr>
          <w:rFonts w:cs="Arial"/>
          <w:b/>
          <w:i/>
        </w:rPr>
        <w:t>.</w:t>
      </w:r>
      <w:r w:rsidRPr="00047C98">
        <w:rPr>
          <w:rFonts w:cs="Arial"/>
          <w:i/>
        </w:rPr>
        <w:t xml:space="preserve"> (…)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w:t>
      </w:r>
    </w:p>
    <w:p w14:paraId="69F4AE9F" w14:textId="77777777" w:rsidR="008A5FB2" w:rsidRPr="00047C98" w:rsidRDefault="008A5FB2" w:rsidP="000A4096">
      <w:pPr>
        <w:pStyle w:val="Textonotapie"/>
        <w:tabs>
          <w:tab w:val="left" w:pos="8222"/>
        </w:tabs>
        <w:spacing w:line="240" w:lineRule="auto"/>
        <w:ind w:right="-284"/>
        <w:rPr>
          <w:rFonts w:cs="Arial"/>
          <w:i/>
        </w:rPr>
      </w:pPr>
    </w:p>
  </w:footnote>
  <w:footnote w:id="14">
    <w:p w14:paraId="6ADC0132" w14:textId="77777777" w:rsidR="008A5FB2" w:rsidRDefault="008A5FB2" w:rsidP="000A4096">
      <w:pPr>
        <w:pStyle w:val="Textonotapie"/>
        <w:tabs>
          <w:tab w:val="left" w:pos="8222"/>
        </w:tabs>
        <w:spacing w:line="240" w:lineRule="auto"/>
        <w:ind w:right="-284"/>
        <w:rPr>
          <w:rFonts w:cs="Arial"/>
          <w:b/>
          <w:bCs/>
          <w:color w:val="000000"/>
          <w:sz w:val="27"/>
          <w:lang w:eastAsia="en-US"/>
        </w:rPr>
      </w:pPr>
      <w:r>
        <w:rPr>
          <w:rStyle w:val="Refdenotaalpie"/>
        </w:rPr>
        <w:footnoteRef/>
      </w:r>
      <w:r>
        <w:t xml:space="preserve"> </w:t>
      </w:r>
      <w:r w:rsidRPr="00585B4E">
        <w:rPr>
          <w:i/>
        </w:rPr>
        <w:t xml:space="preserve">Ley 80 de 1993, </w:t>
      </w:r>
      <w:r>
        <w:rPr>
          <w:i/>
        </w:rPr>
        <w:t>“</w:t>
      </w:r>
      <w:r w:rsidRPr="00585B4E">
        <w:rPr>
          <w:i/>
        </w:rPr>
        <w:t xml:space="preserve">Artículo 24. (…) </w:t>
      </w:r>
      <w:r w:rsidRPr="00585B4E">
        <w:rPr>
          <w:rFonts w:cs="Arial"/>
          <w:i/>
          <w:color w:val="000000"/>
          <w:shd w:val="clear" w:color="auto" w:fill="FFFFFF"/>
          <w:lang w:eastAsia="en-US"/>
        </w:rPr>
        <w:t>7o. Los actos administrativos que se expidan en la actividad contractual con ocasión de ella, salvo los de mero trámite, se motivarán en forma detallada y precisa e igualmente lo serán los informes de evaluación, el acto de adjudicación y la declaratoria de desierto del proceso de escogencia</w:t>
      </w:r>
      <w:r>
        <w:rPr>
          <w:rFonts w:cs="Arial"/>
          <w:i/>
          <w:color w:val="000000"/>
          <w:shd w:val="clear" w:color="auto" w:fill="FFFFFF"/>
          <w:lang w:eastAsia="en-US"/>
        </w:rPr>
        <w:t>”</w:t>
      </w:r>
      <w:r w:rsidRPr="00585B4E">
        <w:rPr>
          <w:rFonts w:cs="Arial"/>
          <w:i/>
          <w:color w:val="000000"/>
          <w:shd w:val="clear" w:color="auto" w:fill="FFFFFF"/>
          <w:lang w:eastAsia="en-US"/>
        </w:rPr>
        <w:t>.</w:t>
      </w:r>
      <w:r w:rsidRPr="00585B4E">
        <w:rPr>
          <w:rFonts w:cs="Arial"/>
          <w:b/>
          <w:bCs/>
          <w:color w:val="000000"/>
          <w:sz w:val="27"/>
          <w:lang w:eastAsia="en-US"/>
        </w:rPr>
        <w:t> </w:t>
      </w:r>
    </w:p>
    <w:p w14:paraId="1526C989" w14:textId="77777777" w:rsidR="008A5FB2" w:rsidRPr="00585B4E" w:rsidRDefault="008A5FB2" w:rsidP="000A4096">
      <w:pPr>
        <w:pStyle w:val="Textonotapie"/>
        <w:tabs>
          <w:tab w:val="left" w:pos="8222"/>
        </w:tabs>
        <w:spacing w:line="240" w:lineRule="auto"/>
        <w:ind w:right="-284"/>
        <w:rPr>
          <w:lang w:val="es-MX"/>
        </w:rPr>
      </w:pPr>
    </w:p>
  </w:footnote>
  <w:footnote w:id="15">
    <w:p w14:paraId="0C0E55AE" w14:textId="77777777" w:rsidR="008A5FB2" w:rsidRPr="00047C98" w:rsidRDefault="008A5FB2" w:rsidP="000A4096">
      <w:pPr>
        <w:pStyle w:val="Textonotapie"/>
        <w:tabs>
          <w:tab w:val="left" w:pos="8222"/>
        </w:tabs>
        <w:spacing w:line="240" w:lineRule="auto"/>
        <w:ind w:right="-284"/>
        <w:rPr>
          <w:rFonts w:cs="Arial"/>
          <w:i/>
        </w:rPr>
      </w:pPr>
      <w:r w:rsidRPr="00047C98">
        <w:rPr>
          <w:rStyle w:val="Refdenotaalpie"/>
          <w:rFonts w:cs="Arial"/>
          <w:i/>
        </w:rPr>
        <w:footnoteRef/>
      </w:r>
      <w:r w:rsidRPr="00047C98">
        <w:rPr>
          <w:rFonts w:cs="Arial"/>
          <w:i/>
        </w:rPr>
        <w:t xml:space="preserve"> “Artículo 75.</w:t>
      </w:r>
      <w:r>
        <w:rPr>
          <w:rFonts w:cs="Arial"/>
          <w:i/>
        </w:rPr>
        <w:t>C.C.A.</w:t>
      </w:r>
      <w:r w:rsidRPr="00047C98">
        <w:rPr>
          <w:rFonts w:cs="Arial"/>
          <w:i/>
        </w:rPr>
        <w:t xml:space="preserve"> Del Juez competente, Sin perjuicio de lo dispuesto en los artículos anteriores, el juez competente para conocer de las controversias derivadas de los contratos estatales y de los procesos de ejecución o cumplimiento será el de la jurisdicción contencioso administrativo.”</w:t>
      </w:r>
    </w:p>
    <w:p w14:paraId="1CF99D93" w14:textId="77777777" w:rsidR="008A5FB2" w:rsidRPr="00047C98" w:rsidRDefault="008A5FB2" w:rsidP="000A4096">
      <w:pPr>
        <w:pStyle w:val="Textonotapie"/>
        <w:tabs>
          <w:tab w:val="left" w:pos="8222"/>
        </w:tabs>
        <w:spacing w:line="240" w:lineRule="auto"/>
        <w:ind w:right="-284"/>
        <w:rPr>
          <w:rFonts w:cs="Arial"/>
          <w:i/>
        </w:rPr>
      </w:pPr>
    </w:p>
  </w:footnote>
  <w:footnote w:id="16">
    <w:p w14:paraId="2F1ECE12" w14:textId="77777777" w:rsidR="008A5FB2" w:rsidRDefault="008A5FB2" w:rsidP="000A4096">
      <w:pPr>
        <w:pStyle w:val="Textonotapie"/>
        <w:tabs>
          <w:tab w:val="left" w:pos="8222"/>
        </w:tabs>
        <w:spacing w:line="240" w:lineRule="auto"/>
        <w:ind w:right="-284"/>
        <w:rPr>
          <w:lang w:val="es-MX"/>
        </w:rPr>
      </w:pPr>
      <w:r>
        <w:rPr>
          <w:rStyle w:val="Refdenotaalpie"/>
        </w:rPr>
        <w:footnoteRef/>
      </w:r>
      <w:r>
        <w:t xml:space="preserve"> </w:t>
      </w:r>
      <w:r>
        <w:rPr>
          <w:lang w:val="es-MX"/>
        </w:rPr>
        <w:t xml:space="preserve">Folio 101, cuaderno 1. La demandante no discriminó el monto global en el que estimó la cuantía en su demanda, al parecer, derivado de su estimativo de un porcentaje sobre la cartera que habría podido cobrar y recuperar en desarrollo del contrato. </w:t>
      </w:r>
    </w:p>
    <w:p w14:paraId="4BD44ED2" w14:textId="77777777" w:rsidR="008A5FB2" w:rsidRPr="006C23C7" w:rsidRDefault="008A5FB2" w:rsidP="000A4096">
      <w:pPr>
        <w:pStyle w:val="Textonotapie"/>
        <w:tabs>
          <w:tab w:val="left" w:pos="8222"/>
        </w:tabs>
        <w:spacing w:line="240" w:lineRule="auto"/>
        <w:ind w:right="-284"/>
        <w:rPr>
          <w:lang w:val="es-MX"/>
        </w:rPr>
      </w:pPr>
    </w:p>
  </w:footnote>
  <w:footnote w:id="17">
    <w:p w14:paraId="2AE0B6AA" w14:textId="77777777" w:rsidR="008A5FB2" w:rsidRPr="00B87671" w:rsidRDefault="008A5FB2" w:rsidP="000A4096">
      <w:pPr>
        <w:pStyle w:val="Textonotapie"/>
        <w:tabs>
          <w:tab w:val="left" w:pos="8222"/>
        </w:tabs>
        <w:spacing w:line="240" w:lineRule="auto"/>
        <w:ind w:right="-284"/>
      </w:pPr>
      <w:r w:rsidRPr="00662B1D">
        <w:rPr>
          <w:rStyle w:val="Refdenotaalpie"/>
          <w:sz w:val="18"/>
          <w:szCs w:val="18"/>
        </w:rPr>
        <w:footnoteRef/>
      </w:r>
      <w:r w:rsidRPr="00662B1D">
        <w:rPr>
          <w:sz w:val="18"/>
          <w:szCs w:val="18"/>
        </w:rPr>
        <w:t xml:space="preserve">  </w:t>
      </w:r>
      <w:r w:rsidRPr="00B87671">
        <w:t xml:space="preserve">De acuerdo con el salario mínimo mensual legal vigente </w:t>
      </w:r>
      <w:r>
        <w:t xml:space="preserve">para </w:t>
      </w:r>
      <w:r w:rsidRPr="00B87671">
        <w:t>el año 200</w:t>
      </w:r>
      <w:r>
        <w:t>1 ($286.000)</w:t>
      </w:r>
      <w:r w:rsidRPr="00B87671">
        <w:t xml:space="preserve">, toda vez que la demanda se presentó el </w:t>
      </w:r>
      <w:r>
        <w:t>29</w:t>
      </w:r>
      <w:r w:rsidRPr="00B87671">
        <w:t xml:space="preserve"> de </w:t>
      </w:r>
      <w:r>
        <w:t>junio de 2001</w:t>
      </w:r>
      <w:r w:rsidRPr="00B87671">
        <w:t xml:space="preserve"> y</w:t>
      </w:r>
      <w:r>
        <w:t xml:space="preserve">, para efectos de establecer la competencia en orden a conocer del </w:t>
      </w:r>
      <w:r w:rsidRPr="00B87671">
        <w:t xml:space="preserve">recurso de apelación se </w:t>
      </w:r>
      <w:r>
        <w:t xml:space="preserve">tiene en cuenta que el mismo se </w:t>
      </w:r>
      <w:r w:rsidRPr="00B87671">
        <w:t>interpuso el 19 de septiembre de 20</w:t>
      </w:r>
      <w:r>
        <w:t>14</w:t>
      </w:r>
      <w:r w:rsidRPr="00B87671">
        <w:t>, en vigencia de la</w:t>
      </w:r>
      <w:r>
        <w:t xml:space="preserve">s cuantías adoptadas por la </w:t>
      </w:r>
      <w:r w:rsidRPr="00B87671">
        <w:t xml:space="preserve">Ley </w:t>
      </w:r>
      <w:r>
        <w:t>1450 de 2011</w:t>
      </w:r>
      <w:r w:rsidRPr="00B87671">
        <w:t>.</w:t>
      </w:r>
    </w:p>
    <w:p w14:paraId="09CC7293" w14:textId="77777777" w:rsidR="008A5FB2" w:rsidRPr="009F63C0" w:rsidRDefault="008A5FB2" w:rsidP="000A4096">
      <w:pPr>
        <w:pStyle w:val="Textonotapie"/>
        <w:tabs>
          <w:tab w:val="left" w:pos="8222"/>
        </w:tabs>
        <w:spacing w:line="240" w:lineRule="auto"/>
        <w:ind w:right="-284"/>
        <w:rPr>
          <w:sz w:val="18"/>
          <w:szCs w:val="18"/>
        </w:rPr>
      </w:pPr>
    </w:p>
  </w:footnote>
  <w:footnote w:id="18">
    <w:p w14:paraId="03542A94" w14:textId="77777777" w:rsidR="008A5FB2" w:rsidRDefault="008A5FB2" w:rsidP="000A4096">
      <w:pPr>
        <w:pStyle w:val="NormalWeb"/>
        <w:shd w:val="clear" w:color="auto" w:fill="FFFFFF"/>
        <w:spacing w:before="0" w:beforeAutospacing="0" w:after="0" w:afterAutospacing="0" w:line="240" w:lineRule="auto"/>
        <w:ind w:right="-284"/>
        <w:rPr>
          <w:rFonts w:cs="Arial"/>
          <w:i/>
          <w:color w:val="000000"/>
          <w:sz w:val="20"/>
          <w:szCs w:val="20"/>
          <w:lang w:val="es-MX" w:eastAsia="es-MX"/>
        </w:rPr>
      </w:pPr>
      <w:r>
        <w:rPr>
          <w:rStyle w:val="Refdenotaalpie"/>
        </w:rPr>
        <w:footnoteRef/>
      </w:r>
      <w:r>
        <w:t xml:space="preserve"> </w:t>
      </w:r>
      <w:r w:rsidRPr="000958C4">
        <w:rPr>
          <w:i/>
          <w:sz w:val="20"/>
          <w:szCs w:val="20"/>
        </w:rPr>
        <w:t>“</w:t>
      </w:r>
      <w:r w:rsidRPr="000958C4">
        <w:rPr>
          <w:rFonts w:cs="Arial"/>
          <w:bCs/>
          <w:i/>
          <w:color w:val="000000"/>
          <w:sz w:val="20"/>
          <w:szCs w:val="20"/>
          <w:lang w:val="es-MX" w:eastAsia="es-MX"/>
        </w:rPr>
        <w:t>Artículo</w:t>
      </w:r>
      <w:r w:rsidRPr="000958C4">
        <w:rPr>
          <w:rFonts w:cs="Arial"/>
          <w:i/>
          <w:color w:val="000000"/>
          <w:sz w:val="20"/>
          <w:szCs w:val="20"/>
          <w:lang w:val="es-MX" w:eastAsia="es-MX"/>
        </w:rPr>
        <w:t> </w:t>
      </w:r>
      <w:bookmarkStart w:id="0" w:name="50"/>
      <w:r w:rsidRPr="000958C4">
        <w:rPr>
          <w:rFonts w:cs="Arial"/>
          <w:bCs/>
          <w:i/>
          <w:color w:val="000000"/>
          <w:sz w:val="20"/>
          <w:szCs w:val="20"/>
          <w:lang w:val="es-MX" w:eastAsia="es-MX"/>
        </w:rPr>
        <w:t> </w:t>
      </w:r>
      <w:bookmarkEnd w:id="0"/>
      <w:r w:rsidRPr="000958C4">
        <w:rPr>
          <w:rFonts w:cs="Arial"/>
          <w:bCs/>
          <w:i/>
          <w:color w:val="000000"/>
          <w:sz w:val="20"/>
          <w:szCs w:val="20"/>
          <w:lang w:val="es-MX" w:eastAsia="es-MX"/>
        </w:rPr>
        <w:t>50</w:t>
      </w:r>
      <w:r>
        <w:rPr>
          <w:rFonts w:cs="Arial"/>
          <w:bCs/>
          <w:i/>
          <w:color w:val="000000"/>
          <w:sz w:val="20"/>
          <w:szCs w:val="20"/>
          <w:lang w:val="es-MX" w:eastAsia="es-MX"/>
        </w:rPr>
        <w:t xml:space="preserve"> C.C.A.</w:t>
      </w:r>
      <w:r w:rsidRPr="000958C4">
        <w:rPr>
          <w:rFonts w:cs="Arial"/>
          <w:i/>
          <w:color w:val="000000"/>
          <w:sz w:val="20"/>
          <w:szCs w:val="20"/>
          <w:lang w:val="es-MX" w:eastAsia="es-MX"/>
        </w:rPr>
        <w:t> Por regla general, contra los actos que pongan fin a las actuaciones administrativas procederán los siguientes recursos:</w:t>
      </w:r>
    </w:p>
    <w:p w14:paraId="4EF21395" w14:textId="77777777" w:rsidR="008A5FB2" w:rsidRPr="000958C4" w:rsidRDefault="008A5FB2" w:rsidP="000A4096">
      <w:pPr>
        <w:pStyle w:val="NormalWeb"/>
        <w:shd w:val="clear" w:color="auto" w:fill="FFFFFF"/>
        <w:spacing w:before="0" w:beforeAutospacing="0" w:after="0" w:afterAutospacing="0" w:line="240" w:lineRule="auto"/>
        <w:ind w:right="-284"/>
        <w:rPr>
          <w:rFonts w:cs="Arial"/>
          <w:i/>
          <w:color w:val="000000"/>
          <w:sz w:val="20"/>
          <w:szCs w:val="20"/>
          <w:lang w:val="es-MX" w:eastAsia="es-MX"/>
        </w:rPr>
      </w:pPr>
    </w:p>
    <w:p w14:paraId="37E60E3A" w14:textId="77777777" w:rsidR="008A5FB2" w:rsidRPr="000958C4" w:rsidRDefault="008A5FB2" w:rsidP="000A4096">
      <w:pPr>
        <w:shd w:val="clear" w:color="auto" w:fill="FFFFFF"/>
        <w:ind w:right="-284"/>
        <w:rPr>
          <w:rFonts w:ascii="Arial" w:eastAsia="Times New Roman" w:hAnsi="Arial" w:cs="Arial"/>
          <w:i/>
          <w:color w:val="000000"/>
          <w:sz w:val="20"/>
          <w:szCs w:val="20"/>
          <w:lang w:val="es-MX" w:eastAsia="es-MX"/>
        </w:rPr>
      </w:pPr>
      <w:r>
        <w:rPr>
          <w:rFonts w:ascii="Arial" w:eastAsia="Times New Roman" w:hAnsi="Arial" w:cs="Arial"/>
          <w:i/>
          <w:color w:val="000000"/>
          <w:sz w:val="20"/>
          <w:szCs w:val="20"/>
          <w:lang w:val="es-MX" w:eastAsia="es-MX"/>
        </w:rPr>
        <w:t>“</w:t>
      </w:r>
      <w:r w:rsidRPr="000958C4">
        <w:rPr>
          <w:rFonts w:ascii="Arial" w:eastAsia="Times New Roman" w:hAnsi="Arial" w:cs="Arial"/>
          <w:i/>
          <w:color w:val="000000"/>
          <w:sz w:val="20"/>
          <w:szCs w:val="20"/>
          <w:lang w:val="es-MX" w:eastAsia="es-MX"/>
        </w:rPr>
        <w:t>1. El de reposición, ante el mismo funcionario que tomó la decisión, para que la aclare, modifique o revoque</w:t>
      </w:r>
      <w:r>
        <w:rPr>
          <w:rFonts w:ascii="Arial" w:eastAsia="Times New Roman" w:hAnsi="Arial" w:cs="Arial"/>
          <w:i/>
          <w:color w:val="000000"/>
          <w:sz w:val="20"/>
          <w:szCs w:val="20"/>
          <w:lang w:val="es-MX" w:eastAsia="es-MX"/>
        </w:rPr>
        <w:t>”</w:t>
      </w:r>
      <w:r w:rsidRPr="000958C4">
        <w:rPr>
          <w:rFonts w:ascii="Arial" w:eastAsia="Times New Roman" w:hAnsi="Arial" w:cs="Arial"/>
          <w:i/>
          <w:color w:val="000000"/>
          <w:sz w:val="20"/>
          <w:szCs w:val="20"/>
          <w:lang w:val="es-MX" w:eastAsia="es-MX"/>
        </w:rPr>
        <w:t>.</w:t>
      </w:r>
    </w:p>
    <w:p w14:paraId="0FBCA269" w14:textId="77777777" w:rsidR="008A5FB2" w:rsidRPr="000958C4" w:rsidRDefault="008A5FB2" w:rsidP="000A4096">
      <w:pPr>
        <w:pStyle w:val="Textonotapie"/>
        <w:spacing w:line="240" w:lineRule="auto"/>
        <w:ind w:right="-284"/>
        <w:rPr>
          <w:i/>
          <w:lang w:val="es-MX"/>
        </w:rPr>
      </w:pPr>
    </w:p>
  </w:footnote>
  <w:footnote w:id="19">
    <w:p w14:paraId="52AF59BB" w14:textId="77777777" w:rsidR="008A5FB2" w:rsidRPr="00DB6805" w:rsidRDefault="008A5FB2" w:rsidP="000A4096">
      <w:pPr>
        <w:pStyle w:val="NormalWeb"/>
        <w:shd w:val="clear" w:color="auto" w:fill="FFFFFF"/>
        <w:spacing w:line="240" w:lineRule="auto"/>
        <w:ind w:right="-284"/>
        <w:rPr>
          <w:rFonts w:cs="Arial"/>
          <w:i/>
          <w:color w:val="000000"/>
          <w:sz w:val="20"/>
          <w:szCs w:val="20"/>
          <w:lang w:val="es-MX" w:eastAsia="es-MX"/>
        </w:rPr>
      </w:pPr>
      <w:r>
        <w:rPr>
          <w:rStyle w:val="Refdenotaalpie"/>
        </w:rPr>
        <w:footnoteRef/>
      </w:r>
      <w:r>
        <w:t xml:space="preserve"> </w:t>
      </w:r>
      <w:r w:rsidRPr="004C3277">
        <w:rPr>
          <w:sz w:val="20"/>
          <w:szCs w:val="20"/>
        </w:rPr>
        <w:t>Ley 80 de 1993</w:t>
      </w:r>
      <w:r>
        <w:rPr>
          <w:sz w:val="20"/>
          <w:szCs w:val="20"/>
        </w:rPr>
        <w:t xml:space="preserve">. </w:t>
      </w:r>
      <w:r w:rsidRPr="00DB6805">
        <w:rPr>
          <w:i/>
          <w:sz w:val="20"/>
          <w:szCs w:val="20"/>
        </w:rPr>
        <w:t>“</w:t>
      </w:r>
      <w:r w:rsidRPr="00DB6805">
        <w:rPr>
          <w:rFonts w:cs="Arial"/>
          <w:bCs/>
          <w:i/>
          <w:color w:val="000000"/>
          <w:sz w:val="20"/>
          <w:szCs w:val="20"/>
          <w:lang w:val="es-MX" w:eastAsia="es-MX"/>
        </w:rPr>
        <w:t>Artículo 77º.</w:t>
      </w:r>
      <w:r w:rsidRPr="00DB6805">
        <w:rPr>
          <w:rFonts w:cs="Arial"/>
          <w:b/>
          <w:bCs/>
          <w:i/>
          <w:color w:val="000000"/>
          <w:sz w:val="20"/>
          <w:szCs w:val="20"/>
          <w:lang w:val="es-MX" w:eastAsia="es-MX"/>
        </w:rPr>
        <w:t>- </w:t>
      </w:r>
      <w:r w:rsidRPr="00DB6805">
        <w:rPr>
          <w:rFonts w:cs="Arial"/>
          <w:i/>
          <w:iCs/>
          <w:color w:val="000000"/>
          <w:sz w:val="20"/>
          <w:szCs w:val="20"/>
          <w:lang w:val="es-MX" w:eastAsia="es-MX"/>
        </w:rPr>
        <w:t>De la Normatividad aplicable en las actuaciones administrativas.</w:t>
      </w:r>
      <w:r w:rsidRPr="00DB6805">
        <w:rPr>
          <w:rFonts w:cs="Arial"/>
          <w:b/>
          <w:bCs/>
          <w:i/>
          <w:color w:val="000000"/>
          <w:sz w:val="20"/>
          <w:szCs w:val="20"/>
          <w:lang w:val="es-MX" w:eastAsia="es-MX"/>
        </w:rPr>
        <w:t> </w:t>
      </w:r>
      <w:r w:rsidRPr="00DB6805">
        <w:rPr>
          <w:rFonts w:cs="Arial"/>
          <w:i/>
          <w:color w:val="000000"/>
          <w:sz w:val="20"/>
          <w:szCs w:val="20"/>
          <w:lang w:val="es-MX" w:eastAsia="es-MX"/>
        </w:rPr>
        <w:t xml:space="preserve">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2C122EA1" w14:textId="77777777" w:rsidR="008A5FB2" w:rsidRPr="00DB6805" w:rsidRDefault="008A5FB2" w:rsidP="000A4096">
      <w:pPr>
        <w:pStyle w:val="NormalWeb"/>
        <w:shd w:val="clear" w:color="auto" w:fill="FFFFFF"/>
        <w:spacing w:line="240" w:lineRule="auto"/>
        <w:ind w:right="-284"/>
        <w:rPr>
          <w:rFonts w:cs="Arial"/>
          <w:i/>
          <w:color w:val="000000"/>
          <w:sz w:val="20"/>
          <w:szCs w:val="20"/>
          <w:lang w:val="es-MX" w:eastAsia="es-MX"/>
        </w:rPr>
      </w:pPr>
      <w:r w:rsidRPr="00DB6805">
        <w:rPr>
          <w:rFonts w:cs="Arial"/>
          <w:i/>
          <w:color w:val="000000"/>
          <w:sz w:val="20"/>
          <w:szCs w:val="20"/>
          <w:lang w:val="es-MX" w:eastAsia="es-MX"/>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5093AC35" w14:textId="77777777" w:rsidR="008A5FB2" w:rsidRPr="00DB6805" w:rsidRDefault="008A5FB2" w:rsidP="000A4096">
      <w:pPr>
        <w:shd w:val="clear" w:color="auto" w:fill="FFFFFF"/>
        <w:spacing w:before="100" w:beforeAutospacing="1" w:after="100" w:afterAutospacing="1"/>
        <w:ind w:right="-284"/>
        <w:rPr>
          <w:i/>
          <w:lang w:val="es-MX"/>
        </w:rPr>
      </w:pPr>
      <w:r w:rsidRPr="00DB6805">
        <w:rPr>
          <w:rFonts w:ascii="Arial" w:eastAsia="Times New Roman" w:hAnsi="Arial" w:cs="Arial"/>
          <w:bCs/>
          <w:i/>
          <w:color w:val="000000"/>
          <w:sz w:val="20"/>
          <w:szCs w:val="20"/>
          <w:lang w:val="es-MX" w:eastAsia="es-MX"/>
        </w:rPr>
        <w:t>“Parágrafo 1º.-</w:t>
      </w:r>
      <w:r w:rsidRPr="00DB6805">
        <w:rPr>
          <w:rFonts w:ascii="Arial" w:eastAsia="Times New Roman" w:hAnsi="Arial" w:cs="Arial"/>
          <w:i/>
          <w:color w:val="000000"/>
          <w:sz w:val="20"/>
          <w:szCs w:val="20"/>
          <w:lang w:val="es-MX" w:eastAsia="es-MX"/>
        </w:rPr>
        <w:t> El acto de adjudicación no tendrá recursos por la vía gubernativa. Este podrá impugnarse mediante el ejercicio de la acción de nulidad y restablecimiento del derecho, según las reglas del Código Contencioso Administrativo”.</w:t>
      </w:r>
    </w:p>
  </w:footnote>
  <w:footnote w:id="20">
    <w:p w14:paraId="4C423F4D" w14:textId="77777777" w:rsidR="008A5FB2" w:rsidRPr="00190897" w:rsidRDefault="008A5FB2" w:rsidP="000A4096">
      <w:pPr>
        <w:pStyle w:val="Textonotapie"/>
        <w:ind w:right="-284"/>
        <w:rPr>
          <w:lang w:val="es-MX"/>
        </w:rPr>
      </w:pPr>
      <w:r>
        <w:rPr>
          <w:rStyle w:val="Refdenotaalpie"/>
        </w:rPr>
        <w:footnoteRef/>
      </w:r>
      <w:r>
        <w:t xml:space="preserve"> </w:t>
      </w:r>
      <w:r>
        <w:rPr>
          <w:lang w:val="es-MX"/>
        </w:rPr>
        <w:t>Folios 1 a 4, cuaderno 1.</w:t>
      </w:r>
    </w:p>
  </w:footnote>
  <w:footnote w:id="21">
    <w:p w14:paraId="248342D8" w14:textId="77777777" w:rsidR="008A5FB2" w:rsidRPr="00A443BE" w:rsidRDefault="008A5FB2" w:rsidP="000A4096">
      <w:pPr>
        <w:ind w:right="-284"/>
        <w:rPr>
          <w:rFonts w:ascii="Arial" w:hAnsi="Arial" w:cs="Arial"/>
          <w:sz w:val="20"/>
          <w:szCs w:val="20"/>
        </w:rPr>
      </w:pPr>
      <w:r w:rsidRPr="00A443BE">
        <w:rPr>
          <w:rStyle w:val="Refdenotaalpie"/>
          <w:rFonts w:ascii="Arial" w:hAnsi="Arial" w:cs="Arial"/>
          <w:sz w:val="20"/>
          <w:szCs w:val="20"/>
        </w:rPr>
        <w:footnoteRef/>
      </w:r>
      <w:r w:rsidRPr="00A443BE">
        <w:rPr>
          <w:rFonts w:ascii="Arial" w:hAnsi="Arial" w:cs="Arial"/>
          <w:sz w:val="20"/>
          <w:szCs w:val="20"/>
        </w:rPr>
        <w:t xml:space="preserve"> Consejo de Estado, Sala de lo Contencioso Administrativo, Sección Tercera, Sala Plena: </w:t>
      </w:r>
      <w:r>
        <w:rPr>
          <w:rFonts w:ascii="Arial" w:hAnsi="Arial" w:cs="Arial"/>
          <w:sz w:val="20"/>
          <w:szCs w:val="20"/>
        </w:rPr>
        <w:t>r</w:t>
      </w:r>
      <w:r w:rsidRPr="00A443BE">
        <w:rPr>
          <w:rFonts w:ascii="Arial" w:hAnsi="Arial" w:cs="Arial"/>
          <w:sz w:val="20"/>
          <w:szCs w:val="20"/>
        </w:rPr>
        <w:t xml:space="preserve">adicación No.:25000232600019971393001, expediente No. 19.933, actor: Consorcio Glonmarex, demandado: Consejo Superior de la Judicatura –Dirección Ejecutiva de Administración Judicial-Consorcio </w:t>
      </w:r>
    </w:p>
    <w:p w14:paraId="5AA81216" w14:textId="77777777" w:rsidR="008A5FB2" w:rsidRPr="00A443BE" w:rsidRDefault="008A5FB2" w:rsidP="000A4096">
      <w:pPr>
        <w:pStyle w:val="Cuadrculamedia1-nfasis21"/>
        <w:ind w:right="-284"/>
        <w:rPr>
          <w:rFonts w:ascii="Arial" w:eastAsia="Times New Roman" w:hAnsi="Arial" w:cs="Arial"/>
          <w:sz w:val="20"/>
          <w:szCs w:val="20"/>
          <w:lang w:val="es-CO" w:eastAsia="es-ES"/>
        </w:rPr>
      </w:pPr>
    </w:p>
    <w:p w14:paraId="7CCAC9FA" w14:textId="77777777" w:rsidR="008A5FB2" w:rsidRPr="00BC3B0C" w:rsidRDefault="008A5FB2" w:rsidP="00DB6805">
      <w:pPr>
        <w:ind w:right="-141"/>
        <w:rPr>
          <w:b/>
          <w:highlight w:val="lightGray"/>
          <w:lang w:val="es-ES"/>
        </w:rPr>
      </w:pPr>
    </w:p>
    <w:p w14:paraId="0AB382EB" w14:textId="77777777" w:rsidR="008A5FB2" w:rsidRDefault="008A5FB2" w:rsidP="009B7FFE">
      <w:pPr>
        <w:pStyle w:val="Textonotapie"/>
        <w:rPr>
          <w:lang w:val="es-MX"/>
        </w:rPr>
      </w:pPr>
    </w:p>
  </w:footnote>
  <w:footnote w:id="22">
    <w:p w14:paraId="23B23808" w14:textId="77777777" w:rsidR="008A5FB2" w:rsidRPr="00503A23" w:rsidRDefault="008A5FB2">
      <w:pPr>
        <w:pStyle w:val="Textonotapie"/>
        <w:rPr>
          <w:lang w:val="es-MX"/>
        </w:rPr>
      </w:pPr>
      <w:r>
        <w:rPr>
          <w:rStyle w:val="Refdenotaalpie"/>
        </w:rPr>
        <w:footnoteRef/>
      </w:r>
      <w:r>
        <w:t xml:space="preserve"> </w:t>
      </w:r>
      <w:r>
        <w:rPr>
          <w:lang w:val="es-MX"/>
        </w:rPr>
        <w:t xml:space="preserve">folio 156 cuaderno 1. </w:t>
      </w:r>
    </w:p>
  </w:footnote>
  <w:footnote w:id="23">
    <w:p w14:paraId="071C4966" w14:textId="77777777" w:rsidR="008A5FB2" w:rsidRPr="00330DC7" w:rsidRDefault="008A5FB2" w:rsidP="000A4096">
      <w:pPr>
        <w:pStyle w:val="Textonotapie"/>
        <w:spacing w:line="240" w:lineRule="auto"/>
        <w:ind w:right="-284"/>
        <w:rPr>
          <w:lang w:val="es-MX"/>
        </w:rPr>
      </w:pPr>
      <w:r>
        <w:rPr>
          <w:rStyle w:val="Refdenotaalpie"/>
        </w:rPr>
        <w:footnoteRef/>
      </w:r>
      <w:r>
        <w:t xml:space="preserve"> De acuerdo con el texto de la resolución, se refirió al o</w:t>
      </w:r>
      <w:r>
        <w:rPr>
          <w:lang w:val="es-MX"/>
        </w:rPr>
        <w:t>rdinal 5.7. de los términos de referencia, al artículo 25, numeral 18, de la Ley 80 de 1993 y al artículo 29 de la misma ley.</w:t>
      </w:r>
    </w:p>
  </w:footnote>
  <w:footnote w:id="24">
    <w:p w14:paraId="63389443" w14:textId="77777777" w:rsidR="008A5FB2" w:rsidRPr="00330DC7" w:rsidRDefault="008A5FB2" w:rsidP="009E497E">
      <w:pPr>
        <w:pStyle w:val="Textonotapie"/>
        <w:rPr>
          <w:lang w:val="es-MX"/>
        </w:rPr>
      </w:pPr>
      <w:r>
        <w:rPr>
          <w:rStyle w:val="Refdenotaalpie"/>
        </w:rPr>
        <w:footnoteRef/>
      </w:r>
      <w:r>
        <w:t xml:space="preserve"> </w:t>
      </w:r>
      <w:r>
        <w:rPr>
          <w:lang w:val="es-MX"/>
        </w:rPr>
        <w:t>Folios 6, 7 y 8 cuaderno 1.</w:t>
      </w:r>
    </w:p>
  </w:footnote>
  <w:footnote w:id="25">
    <w:p w14:paraId="0C9CAFC0" w14:textId="77777777" w:rsidR="008A5FB2" w:rsidRPr="00B71221" w:rsidRDefault="008A5FB2" w:rsidP="000A4096">
      <w:pPr>
        <w:pStyle w:val="NormalWeb"/>
        <w:spacing w:before="0" w:beforeAutospacing="0" w:line="240" w:lineRule="auto"/>
        <w:ind w:right="-284"/>
        <w:rPr>
          <w:sz w:val="20"/>
          <w:szCs w:val="20"/>
          <w:lang w:val="es-CO"/>
        </w:rPr>
      </w:pPr>
      <w:r w:rsidRPr="00B71221">
        <w:rPr>
          <w:rStyle w:val="Refdenotaalpie"/>
          <w:sz w:val="20"/>
          <w:szCs w:val="20"/>
        </w:rPr>
        <w:footnoteRef/>
      </w:r>
      <w:r w:rsidRPr="00B71221">
        <w:rPr>
          <w:sz w:val="20"/>
          <w:szCs w:val="20"/>
        </w:rPr>
        <w:t xml:space="preserve"> </w:t>
      </w:r>
      <w:r w:rsidRPr="00B71221">
        <w:rPr>
          <w:rFonts w:cs="Arial"/>
          <w:color w:val="000000"/>
          <w:sz w:val="20"/>
          <w:szCs w:val="20"/>
          <w:shd w:val="clear" w:color="auto" w:fill="FFFFFF"/>
        </w:rPr>
        <w:t xml:space="preserve">Dentro de las muchas y similares definiciones y descripciones que tradicionalmente se han expuesto por la Jurisprudencia del Consejo de Estado acerca del pliego de condiciones en vigencia de la Ley 80 de 1993 puede citarse la siguiente: </w:t>
      </w:r>
      <w:r w:rsidRPr="00B71221">
        <w:rPr>
          <w:rFonts w:cs="Arial"/>
          <w:i/>
          <w:color w:val="000000"/>
          <w:sz w:val="20"/>
          <w:szCs w:val="20"/>
          <w:shd w:val="clear" w:color="auto" w:fill="FFFFFF"/>
        </w:rPr>
        <w:t xml:space="preserve">“El pliego de condiciones está definido como el reglamento que disciplina el procedimiento licitatorio de selección del contratista y delimita el contenido y alcance del contrato. Es un documento que establece una preceptiva jurídica de obligatorio cumplimiento para la administración y el contratista, no sólo en la etapa precontractual sino también en la de ejecución y en la fase final del contrato. Si el proceso licitatorio resulta fundamental para la efectividad del principio de transparencia y del deber de selección objetiva del contratista, el pliego determina, desde el comienzo, las condiciones claras, expresas y concretas que revelan las especificaciones jurídicas, técnicas y económicas, a que se someterá el correspondiente contrato. Los pliegos de condiciones forman parte esencial del contrato; son la fuente de derechos y obligaciones de las partes y elemento fundamental para su interpretación e integración, pues contienen la voluntad de la administración a la que se someten los proponentes durante la licitación y el oferente favorecido durante el mismo lapso y, más allá, durante la vida del contrato. En cuanto a la elaboración del pliego, la Sala ha precisado que la entidad licitante tiene a cuenta suya la carga de claridad y precisión dispuesta, entre otras normas legales, en el artículo 24, numeral 5, literales b, c y e de la Ley 80 de 1993, ya referido, que garantiza la selección transparente y objetiva del contratista.” </w:t>
      </w:r>
      <w:r w:rsidRPr="00B71221">
        <w:rPr>
          <w:rFonts w:cs="Arial"/>
          <w:bCs/>
          <w:color w:val="000000"/>
          <w:sz w:val="20"/>
          <w:szCs w:val="20"/>
          <w:shd w:val="clear" w:color="auto" w:fill="FFFFFF"/>
        </w:rPr>
        <w:t xml:space="preserve"> Consejo de Estado, Sala de lo Contencioso Administrativo, Sección Tercera, Consejero Ponente: Alier Eduardo Hernández Enríquez, 19 de julio de 2001, radicación número: 11001-03-26-000-1996-3771-01(12037), actor: Asociación Colombiana de Ingenieros Constructores - Acic-.</w:t>
      </w:r>
    </w:p>
  </w:footnote>
  <w:footnote w:id="26">
    <w:p w14:paraId="720F1151" w14:textId="77777777" w:rsidR="008A5FB2" w:rsidRPr="00935DE7" w:rsidRDefault="008A5FB2" w:rsidP="00B0158F">
      <w:pPr>
        <w:pStyle w:val="Textonotapie"/>
        <w:spacing w:line="240" w:lineRule="auto"/>
        <w:ind w:right="-284"/>
        <w:rPr>
          <w:i/>
        </w:rPr>
      </w:pPr>
      <w:r>
        <w:rPr>
          <w:rStyle w:val="Refdenotaalpie"/>
        </w:rPr>
        <w:footnoteRef/>
      </w:r>
      <w:r>
        <w:t xml:space="preserve"> </w:t>
      </w:r>
      <w:r w:rsidRPr="00935DE7">
        <w:rPr>
          <w:i/>
        </w:rPr>
        <w:t>“</w:t>
      </w:r>
      <w:r w:rsidRPr="00935DE7">
        <w:rPr>
          <w:rFonts w:cs="Arial"/>
          <w:bCs/>
          <w:i/>
          <w:color w:val="000000"/>
          <w:shd w:val="clear" w:color="auto" w:fill="FFFFFF"/>
        </w:rPr>
        <w:t>Artículo 54 C.Co.</w:t>
      </w:r>
      <w:r w:rsidRPr="00935DE7">
        <w:rPr>
          <w:rFonts w:cs="Arial"/>
          <w:i/>
          <w:color w:val="000000"/>
          <w:shd w:val="clear" w:color="auto" w:fill="FFFFFF"/>
        </w:rPr>
        <w:t xml:space="preserve"> El comerciante deberá dejar copia fiel de la correspondencia que dirija en relación con los negocios, por cualquier medio que asegure la exactitud y duración de la copia. Asimismo, conservará la correspondencia que reciba en relación con sus actividades comerciales, con anotación de la fecha de contestación o de no haberse dado respuesta</w:t>
      </w:r>
      <w:r>
        <w:rPr>
          <w:rFonts w:cs="Arial"/>
          <w:i/>
          <w:color w:val="000000"/>
          <w:shd w:val="clear" w:color="auto" w:fill="FFFFFF"/>
        </w:rPr>
        <w:t>”</w:t>
      </w:r>
      <w:r w:rsidR="005E181C">
        <w:rPr>
          <w:rFonts w:cs="Arial"/>
          <w:i/>
          <w:color w:val="000000"/>
          <w:shd w:val="clear" w:color="auto" w:fill="FFFFFF"/>
        </w:rPr>
        <w:t>.</w:t>
      </w:r>
    </w:p>
  </w:footnote>
  <w:footnote w:id="27">
    <w:p w14:paraId="471855F3" w14:textId="77777777" w:rsidR="008A5FB2" w:rsidRPr="0075000D" w:rsidRDefault="008A5FB2" w:rsidP="00B0158F">
      <w:pPr>
        <w:ind w:right="-284"/>
        <w:rPr>
          <w:rFonts w:ascii="Arial" w:hAnsi="Arial" w:cs="Arial"/>
          <w:i/>
          <w:color w:val="000000"/>
          <w:sz w:val="20"/>
          <w:szCs w:val="20"/>
        </w:rPr>
      </w:pPr>
      <w:r w:rsidRPr="0075000D">
        <w:rPr>
          <w:rStyle w:val="Refdenotaalpie"/>
          <w:rFonts w:ascii="Arial" w:hAnsi="Arial" w:cs="Arial"/>
          <w:sz w:val="20"/>
          <w:szCs w:val="20"/>
          <w:vertAlign w:val="baseline"/>
        </w:rPr>
        <w:footnoteRef/>
      </w:r>
      <w:r w:rsidRPr="0075000D">
        <w:rPr>
          <w:rFonts w:ascii="Arial" w:hAnsi="Arial" w:cs="Arial"/>
          <w:sz w:val="20"/>
          <w:szCs w:val="20"/>
        </w:rPr>
        <w:t xml:space="preserve"> </w:t>
      </w:r>
      <w:r w:rsidRPr="0075000D">
        <w:rPr>
          <w:rFonts w:ascii="Arial" w:hAnsi="Arial" w:cs="Arial"/>
          <w:i/>
          <w:color w:val="000000"/>
          <w:sz w:val="20"/>
          <w:szCs w:val="20"/>
        </w:rPr>
        <w:t>“Artículo 25. Del principio de la economía.</w:t>
      </w:r>
    </w:p>
    <w:p w14:paraId="0BA61922" w14:textId="77777777" w:rsidR="008A5FB2" w:rsidRPr="0075000D" w:rsidRDefault="008A5FB2" w:rsidP="00B0158F">
      <w:pPr>
        <w:ind w:right="-284"/>
        <w:rPr>
          <w:rFonts w:ascii="Arial" w:hAnsi="Arial" w:cs="Arial"/>
          <w:i/>
          <w:color w:val="000000"/>
          <w:sz w:val="20"/>
          <w:szCs w:val="20"/>
        </w:rPr>
      </w:pPr>
    </w:p>
    <w:p w14:paraId="7E1ED642" w14:textId="77777777" w:rsidR="008A5FB2" w:rsidRPr="0075000D" w:rsidRDefault="005D34AA" w:rsidP="00B0158F">
      <w:pPr>
        <w:ind w:right="-284"/>
        <w:rPr>
          <w:rFonts w:ascii="Arial" w:hAnsi="Arial" w:cs="Arial"/>
          <w:i/>
          <w:color w:val="000000"/>
          <w:sz w:val="20"/>
          <w:szCs w:val="20"/>
        </w:rPr>
      </w:pPr>
      <w:r>
        <w:rPr>
          <w:rFonts w:ascii="Arial" w:hAnsi="Arial" w:cs="Arial"/>
          <w:i/>
          <w:color w:val="000000"/>
          <w:sz w:val="20"/>
          <w:szCs w:val="20"/>
        </w:rPr>
        <w:t>“</w:t>
      </w:r>
      <w:r w:rsidR="008A5FB2" w:rsidRPr="0075000D">
        <w:rPr>
          <w:rFonts w:ascii="Arial" w:hAnsi="Arial" w:cs="Arial"/>
          <w:i/>
          <w:color w:val="000000"/>
          <w:sz w:val="20"/>
          <w:szCs w:val="20"/>
        </w:rPr>
        <w:t>En virtud de éste principio:</w:t>
      </w:r>
    </w:p>
    <w:p w14:paraId="000EA8ED" w14:textId="77777777" w:rsidR="008A5FB2" w:rsidRPr="006A79A7" w:rsidRDefault="008A5FB2" w:rsidP="00B0158F">
      <w:pPr>
        <w:ind w:right="-284"/>
        <w:rPr>
          <w:rFonts w:ascii="Arial" w:hAnsi="Arial" w:cs="Arial"/>
          <w:i/>
          <w:color w:val="000000"/>
          <w:sz w:val="20"/>
          <w:szCs w:val="20"/>
        </w:rPr>
      </w:pPr>
    </w:p>
    <w:p w14:paraId="4D7344D1" w14:textId="77777777" w:rsidR="008A5FB2" w:rsidRPr="006A79A7" w:rsidRDefault="008A5FB2" w:rsidP="00B0158F">
      <w:pPr>
        <w:ind w:right="-284"/>
        <w:rPr>
          <w:rFonts w:ascii="Arial" w:hAnsi="Arial" w:cs="Arial"/>
          <w:i/>
          <w:color w:val="000000"/>
          <w:sz w:val="20"/>
          <w:szCs w:val="20"/>
        </w:rPr>
      </w:pPr>
      <w:r>
        <w:rPr>
          <w:rFonts w:ascii="Arial" w:hAnsi="Arial" w:cs="Arial"/>
          <w:i/>
          <w:color w:val="000000"/>
          <w:sz w:val="20"/>
          <w:szCs w:val="20"/>
        </w:rPr>
        <w:t>“</w:t>
      </w:r>
      <w:r w:rsidRPr="006A79A7">
        <w:rPr>
          <w:rFonts w:ascii="Arial" w:hAnsi="Arial" w:cs="Arial"/>
          <w:i/>
          <w:color w:val="000000"/>
          <w:sz w:val="20"/>
          <w:szCs w:val="20"/>
        </w:rPr>
        <w:t>(…)</w:t>
      </w:r>
      <w:r>
        <w:rPr>
          <w:rFonts w:ascii="Arial" w:hAnsi="Arial" w:cs="Arial"/>
          <w:i/>
          <w:color w:val="000000"/>
          <w:sz w:val="20"/>
          <w:szCs w:val="20"/>
        </w:rPr>
        <w:t>.</w:t>
      </w:r>
    </w:p>
    <w:p w14:paraId="5A23F306" w14:textId="77777777" w:rsidR="008A5FB2" w:rsidRPr="006A79A7" w:rsidRDefault="008A5FB2" w:rsidP="00B0158F">
      <w:pPr>
        <w:ind w:right="-284"/>
        <w:rPr>
          <w:rFonts w:ascii="Arial" w:hAnsi="Arial" w:cs="Arial"/>
          <w:i/>
          <w:color w:val="000000"/>
          <w:sz w:val="20"/>
          <w:szCs w:val="20"/>
        </w:rPr>
      </w:pPr>
    </w:p>
    <w:p w14:paraId="302F0047" w14:textId="77777777" w:rsidR="008A5FB2" w:rsidRPr="006A79A7" w:rsidRDefault="008A5FB2" w:rsidP="00B0158F">
      <w:pPr>
        <w:ind w:right="-284"/>
        <w:rPr>
          <w:rFonts w:ascii="Arial" w:hAnsi="Arial" w:cs="Arial"/>
          <w:color w:val="000000"/>
          <w:sz w:val="20"/>
          <w:szCs w:val="20"/>
        </w:rPr>
      </w:pPr>
      <w:r>
        <w:rPr>
          <w:rFonts w:ascii="Arial" w:hAnsi="Arial" w:cs="Arial"/>
          <w:i/>
          <w:color w:val="000000"/>
          <w:sz w:val="20"/>
          <w:szCs w:val="20"/>
        </w:rPr>
        <w:t>“</w:t>
      </w:r>
      <w:r w:rsidRPr="006A79A7">
        <w:rPr>
          <w:rFonts w:ascii="Arial" w:hAnsi="Arial" w:cs="Arial"/>
          <w:i/>
          <w:color w:val="000000"/>
          <w:sz w:val="20"/>
          <w:szCs w:val="20"/>
        </w:rPr>
        <w:t xml:space="preserve">18.  </w:t>
      </w:r>
      <w:r w:rsidRPr="006A79A7">
        <w:rPr>
          <w:rFonts w:ascii="Arial" w:hAnsi="Arial" w:cs="Arial"/>
          <w:i/>
          <w:color w:val="000000"/>
          <w:sz w:val="20"/>
          <w:szCs w:val="20"/>
          <w:u w:val="single"/>
        </w:rPr>
        <w:t>La declaratoria de desierta de la licitación únicamente procederá por motivos o causas que impidan la escogencia objetiva</w:t>
      </w:r>
      <w:r w:rsidRPr="006A79A7">
        <w:rPr>
          <w:rFonts w:ascii="Arial" w:hAnsi="Arial" w:cs="Arial"/>
          <w:i/>
          <w:color w:val="000000"/>
          <w:sz w:val="20"/>
          <w:szCs w:val="20"/>
        </w:rPr>
        <w:t xml:space="preserve"> y se declarará en acto administrativo en el que se señalarán en forma expresa y detallada las razones que han conducido a esa decisión” </w:t>
      </w:r>
      <w:r w:rsidRPr="006A79A7">
        <w:rPr>
          <w:rFonts w:ascii="Arial" w:hAnsi="Arial" w:cs="Arial"/>
          <w:color w:val="000000"/>
          <w:sz w:val="20"/>
          <w:szCs w:val="20"/>
        </w:rPr>
        <w:t>(</w:t>
      </w:r>
      <w:r>
        <w:rPr>
          <w:rFonts w:ascii="Arial" w:hAnsi="Arial" w:cs="Arial"/>
          <w:color w:val="000000"/>
          <w:sz w:val="20"/>
          <w:szCs w:val="20"/>
        </w:rPr>
        <w:t>l</w:t>
      </w:r>
      <w:r w:rsidRPr="006A79A7">
        <w:rPr>
          <w:rFonts w:ascii="Arial" w:hAnsi="Arial" w:cs="Arial"/>
          <w:color w:val="000000"/>
          <w:sz w:val="20"/>
          <w:szCs w:val="20"/>
        </w:rPr>
        <w:t xml:space="preserve">a subraya no es del texto). </w:t>
      </w:r>
    </w:p>
    <w:p w14:paraId="162A6821" w14:textId="77777777" w:rsidR="008A5FB2" w:rsidRPr="006A79A7" w:rsidRDefault="008A5FB2" w:rsidP="00B0158F">
      <w:pPr>
        <w:ind w:right="-284"/>
        <w:rPr>
          <w:rFonts w:ascii="Arial" w:hAnsi="Arial" w:cs="Arial"/>
          <w:color w:val="000000"/>
          <w:sz w:val="20"/>
          <w:szCs w:val="20"/>
        </w:rPr>
      </w:pPr>
    </w:p>
    <w:p w14:paraId="73E986A3" w14:textId="77777777" w:rsidR="008A5FB2" w:rsidRPr="00461C6C" w:rsidRDefault="008A5FB2" w:rsidP="00B0158F">
      <w:pPr>
        <w:pStyle w:val="Textonotapie"/>
        <w:ind w:right="-284"/>
        <w:rPr>
          <w:lang w:val="es-MX"/>
        </w:rPr>
      </w:pPr>
    </w:p>
  </w:footnote>
  <w:footnote w:id="28">
    <w:p w14:paraId="60DF1472" w14:textId="77777777" w:rsidR="008A5FB2" w:rsidRPr="00F15E50" w:rsidRDefault="008A5FB2" w:rsidP="00B0158F">
      <w:pPr>
        <w:pStyle w:val="Textonotapie"/>
        <w:spacing w:line="240" w:lineRule="auto"/>
        <w:ind w:right="-284"/>
      </w:pPr>
      <w:r w:rsidRPr="00F15E50">
        <w:rPr>
          <w:rStyle w:val="Refdenotaalpie"/>
        </w:rPr>
        <w:footnoteRef/>
      </w:r>
      <w:r w:rsidRPr="00F15E50">
        <w:t xml:space="preserve"> </w:t>
      </w:r>
      <w:r>
        <w:t xml:space="preserve">Creado por la Ley 598 de julio 18 de 2000. </w:t>
      </w:r>
      <w:r w:rsidRPr="00F15E50">
        <w:t xml:space="preserve">A partir de la Ley 1150 de 2007 se desarrollaron los sistemas de publicidad a través del SECOP, con alcance sobre </w:t>
      </w:r>
      <w:r w:rsidRPr="00F15E50">
        <w:rPr>
          <w:rFonts w:cs="Arial"/>
          <w:color w:val="000000"/>
          <w:shd w:val="clear" w:color="auto" w:fill="FFFFFF"/>
        </w:rPr>
        <w:t>los documentos del proceso de contratación, desde la etapa de planeación del contrato hasta su liquidación. </w:t>
      </w:r>
    </w:p>
  </w:footnote>
  <w:footnote w:id="29">
    <w:p w14:paraId="692055B8" w14:textId="77777777" w:rsidR="008A5FB2" w:rsidRPr="0098709C" w:rsidRDefault="008A5FB2" w:rsidP="00B0158F">
      <w:pPr>
        <w:pStyle w:val="Ttulo1"/>
        <w:spacing w:line="240" w:lineRule="auto"/>
        <w:ind w:right="-284"/>
        <w:rPr>
          <w:rFonts w:ascii="Arial" w:hAnsi="Arial" w:cs="Arial"/>
          <w:b w:val="0"/>
          <w:sz w:val="20"/>
        </w:rPr>
      </w:pPr>
      <w:r w:rsidRPr="0098709C">
        <w:rPr>
          <w:rStyle w:val="Refdenotaalpie"/>
          <w:rFonts w:ascii="Arial" w:hAnsi="Arial" w:cs="Arial"/>
          <w:b w:val="0"/>
          <w:sz w:val="20"/>
        </w:rPr>
        <w:footnoteRef/>
      </w:r>
      <w:r w:rsidRPr="0098709C">
        <w:rPr>
          <w:rFonts w:ascii="Arial" w:hAnsi="Arial" w:cs="Arial"/>
          <w:b w:val="0"/>
          <w:sz w:val="20"/>
        </w:rPr>
        <w:t xml:space="preserve"> Sentencia C-086/16</w:t>
      </w:r>
      <w:r>
        <w:rPr>
          <w:rFonts w:ascii="Arial" w:hAnsi="Arial" w:cs="Arial"/>
          <w:b w:val="0"/>
          <w:sz w:val="20"/>
        </w:rPr>
        <w:t>. L</w:t>
      </w:r>
      <w:r w:rsidRPr="0098709C">
        <w:rPr>
          <w:rFonts w:ascii="Arial" w:hAnsi="Arial" w:cs="Arial"/>
          <w:b w:val="0"/>
          <w:sz w:val="20"/>
        </w:rPr>
        <w:t xml:space="preserve">a cita original de </w:t>
      </w:r>
      <w:r>
        <w:rPr>
          <w:rFonts w:ascii="Arial" w:hAnsi="Arial" w:cs="Arial"/>
          <w:b w:val="0"/>
          <w:sz w:val="20"/>
        </w:rPr>
        <w:t xml:space="preserve">esta </w:t>
      </w:r>
      <w:r w:rsidRPr="0098709C">
        <w:rPr>
          <w:rFonts w:ascii="Arial" w:hAnsi="Arial" w:cs="Arial"/>
          <w:b w:val="0"/>
          <w:sz w:val="20"/>
        </w:rPr>
        <w:t xml:space="preserve">sentencia, refiere las siguientes </w:t>
      </w:r>
      <w:r>
        <w:rPr>
          <w:rFonts w:ascii="Arial" w:hAnsi="Arial" w:cs="Arial"/>
          <w:b w:val="0"/>
          <w:sz w:val="20"/>
        </w:rPr>
        <w:t xml:space="preserve">providencias </w:t>
      </w:r>
      <w:r w:rsidRPr="0098709C">
        <w:rPr>
          <w:rFonts w:ascii="Arial" w:hAnsi="Arial" w:cs="Arial"/>
          <w:b w:val="0"/>
          <w:sz w:val="20"/>
        </w:rPr>
        <w:t>de la Corte Constitucional</w:t>
      </w:r>
      <w:r>
        <w:rPr>
          <w:rFonts w:ascii="Arial" w:hAnsi="Arial" w:cs="Arial"/>
          <w:b w:val="0"/>
          <w:sz w:val="20"/>
        </w:rPr>
        <w:t>:</w:t>
      </w:r>
      <w:r w:rsidRPr="0098709C">
        <w:rPr>
          <w:rFonts w:ascii="Arial" w:hAnsi="Arial" w:cs="Arial"/>
          <w:b w:val="0"/>
          <w:sz w:val="20"/>
        </w:rPr>
        <w:t xml:space="preserve"> “Sentencias C-1512 de 2000, C-1104 de 2001, C-662 de 2004, C-275 de 2006, C-227 de 2009 y C-279 de 2013, entre otras”.</w:t>
      </w:r>
    </w:p>
    <w:p w14:paraId="18855ACC" w14:textId="77777777" w:rsidR="008A5FB2" w:rsidRDefault="008A5FB2" w:rsidP="00B0158F">
      <w:pPr>
        <w:pStyle w:val="Textonotapie"/>
        <w:ind w:right="-284"/>
      </w:pPr>
    </w:p>
  </w:footnote>
  <w:footnote w:id="30">
    <w:p w14:paraId="4EF90D9D" w14:textId="77777777" w:rsidR="008A5FB2" w:rsidRDefault="008A5FB2" w:rsidP="00B0158F">
      <w:pPr>
        <w:pStyle w:val="Textonotapie"/>
        <w:spacing w:line="240" w:lineRule="auto"/>
        <w:ind w:right="-284"/>
      </w:pPr>
      <w:r>
        <w:rPr>
          <w:rStyle w:val="Refdenotaalpie"/>
        </w:rPr>
        <w:footnoteRef/>
      </w:r>
      <w:r>
        <w:t xml:space="preserve"> Sentencia C-086/16.</w:t>
      </w:r>
    </w:p>
    <w:p w14:paraId="438C2124" w14:textId="77777777" w:rsidR="008A5FB2" w:rsidRDefault="008A5FB2" w:rsidP="00B0158F">
      <w:pPr>
        <w:pStyle w:val="Textonotapie"/>
        <w:spacing w:line="240" w:lineRule="auto"/>
        <w:ind w:right="-284"/>
      </w:pPr>
    </w:p>
  </w:footnote>
  <w:footnote w:id="31">
    <w:p w14:paraId="71E04B80" w14:textId="77777777" w:rsidR="008A5FB2" w:rsidRPr="00B73665" w:rsidRDefault="008A5FB2" w:rsidP="00B0158F">
      <w:pPr>
        <w:pStyle w:val="Textonotapie"/>
        <w:spacing w:line="240" w:lineRule="auto"/>
        <w:ind w:right="-284"/>
        <w:rPr>
          <w:i/>
        </w:rPr>
      </w:pPr>
      <w:r>
        <w:rPr>
          <w:vertAlign w:val="superscript"/>
        </w:rPr>
        <w:footnoteRef/>
      </w:r>
      <w:r>
        <w:t xml:space="preserve"> ARTÍCULO 1757.- </w:t>
      </w:r>
      <w:r w:rsidRPr="004366E1">
        <w:t>PERSONA CON LA CARGA DE LA PRUEBA.</w:t>
      </w:r>
      <w:r>
        <w:t xml:space="preserve"> ”</w:t>
      </w:r>
      <w:r w:rsidRPr="00B73665">
        <w:rPr>
          <w:i/>
        </w:rPr>
        <w:t xml:space="preserve">Incumbe probar las obligaciones o su extinción al que alega aquéllas o ésta”. </w:t>
      </w:r>
    </w:p>
    <w:p w14:paraId="44BD5D25" w14:textId="77777777" w:rsidR="008A5FB2" w:rsidRDefault="008A5FB2" w:rsidP="00B0158F">
      <w:pPr>
        <w:pStyle w:val="Textonotapie"/>
        <w:spacing w:line="240" w:lineRule="auto"/>
        <w:ind w:right="-284"/>
      </w:pPr>
    </w:p>
  </w:footnote>
  <w:footnote w:id="32">
    <w:p w14:paraId="2FAB20CB" w14:textId="77777777" w:rsidR="008A5FB2" w:rsidRDefault="008A5FB2" w:rsidP="00B0158F">
      <w:pPr>
        <w:pStyle w:val="Textonotapie"/>
        <w:spacing w:line="240" w:lineRule="auto"/>
        <w:ind w:right="-284"/>
        <w:rPr>
          <w:i/>
        </w:rPr>
      </w:pPr>
      <w:r>
        <w:rPr>
          <w:vertAlign w:val="superscript"/>
        </w:rPr>
        <w:footnoteRef/>
      </w:r>
      <w:r>
        <w:t xml:space="preserve"> </w:t>
      </w:r>
      <w:r w:rsidR="006E00FF">
        <w:t>Artículo 177. Carga de la prueba</w:t>
      </w:r>
      <w:r>
        <w:t xml:space="preserve">. </w:t>
      </w:r>
      <w:r w:rsidRPr="00B73665">
        <w:rPr>
          <w:i/>
        </w:rPr>
        <w:t>“Incumbe a las partes probar el supuesto de hecho de las normas que consagran el efecto jurídico que ellas persiguen. Los hechos notorios y las afirmaciones o negaciones indefinidas no requieren prueba”.</w:t>
      </w:r>
    </w:p>
    <w:p w14:paraId="5315E91B" w14:textId="77777777" w:rsidR="006E00FF" w:rsidRPr="00B73665" w:rsidRDefault="006E00FF" w:rsidP="00B0158F">
      <w:pPr>
        <w:pStyle w:val="Textonotapie"/>
        <w:spacing w:line="240" w:lineRule="auto"/>
        <w:ind w:right="-284"/>
        <w:rPr>
          <w:i/>
        </w:rPr>
      </w:pPr>
    </w:p>
  </w:footnote>
  <w:footnote w:id="33">
    <w:p w14:paraId="0A9C9717" w14:textId="77777777" w:rsidR="008A5FB2" w:rsidRPr="00F71BEB" w:rsidRDefault="008A5FB2" w:rsidP="00F71BEB">
      <w:pPr>
        <w:pStyle w:val="Textonotapie"/>
        <w:spacing w:line="240" w:lineRule="auto"/>
        <w:ind w:right="-141"/>
        <w:rPr>
          <w:i/>
        </w:rPr>
      </w:pPr>
      <w:r>
        <w:rPr>
          <w:vertAlign w:val="superscript"/>
        </w:rPr>
        <w:footnoteRef/>
      </w:r>
      <w:r>
        <w:t xml:space="preserve"> Cita original de la sentencia: “</w:t>
      </w:r>
      <w:r w:rsidRPr="00F71BEB">
        <w:rPr>
          <w:i/>
        </w:rPr>
        <w:t>Inés Lépori White, ‘Cargas probatorias dinámicas’. En: ‘Cargas probatorias dinámicas’ (AAVV). Buenos Aires, Rubinzal – Culzoni, 2004, p.60”.</w:t>
      </w:r>
    </w:p>
    <w:p w14:paraId="345CFE82" w14:textId="77777777" w:rsidR="008A5FB2" w:rsidRPr="00F71BEB" w:rsidRDefault="008A5FB2" w:rsidP="00F71BEB">
      <w:pPr>
        <w:pStyle w:val="Textonotapie"/>
        <w:spacing w:line="240" w:lineRule="auto"/>
        <w:ind w:right="-141"/>
        <w:rPr>
          <w:i/>
        </w:rPr>
      </w:pPr>
    </w:p>
  </w:footnote>
  <w:footnote w:id="34">
    <w:p w14:paraId="6E9CA10F" w14:textId="77777777" w:rsidR="008A5FB2" w:rsidRPr="00F71BEB" w:rsidRDefault="008A5FB2" w:rsidP="00F71BEB">
      <w:pPr>
        <w:pStyle w:val="Textonotapie"/>
        <w:spacing w:line="240" w:lineRule="auto"/>
        <w:ind w:right="-141"/>
        <w:rPr>
          <w:i/>
        </w:rPr>
      </w:pPr>
      <w:r>
        <w:rPr>
          <w:vertAlign w:val="superscript"/>
        </w:rPr>
        <w:footnoteRef/>
      </w:r>
      <w:r>
        <w:t xml:space="preserve"> Cita original de la sentencia: </w:t>
      </w:r>
      <w:r w:rsidRPr="00F71BEB">
        <w:rPr>
          <w:i/>
        </w:rPr>
        <w:t>‘La doctrina de las cargas probatorias dinámicas importa un desplazamiento del onus probandi según fueren las circunstancias del caso, recayendo en cabeza de quien está en mejores condiciones técnicas, profesionales o fácticas de producir las pruebas, más allá del emplazamiento como actor o demandado en el proceso o de que se trate de hechos constitutivos, modificativos, impeditivos o extintivos, y puede desplazarse del actor al demandado y viceversa, según corresponda (…)’. Ivanna María Airasca, ‘Reflexiones sobre la doctrina de las cargas probatorias dinámicas’. En: ‘Cargas probatorias dinámicas’ (AAVV). Buenos Aires, Rubinzal – Culzoni, 2004, p.135-136”.</w:t>
      </w:r>
    </w:p>
  </w:footnote>
  <w:footnote w:id="35">
    <w:p w14:paraId="09DBA281" w14:textId="77777777" w:rsidR="008A5FB2" w:rsidRDefault="008A5FB2" w:rsidP="00B0158F">
      <w:pPr>
        <w:pStyle w:val="Textonotapie"/>
        <w:ind w:right="-284"/>
      </w:pPr>
      <w:r>
        <w:rPr>
          <w:rStyle w:val="Refdenotaalpie"/>
        </w:rPr>
        <w:footnoteRef/>
      </w:r>
      <w:r>
        <w:t xml:space="preserve"> Folios 53 y 34, cuaderno 1. </w:t>
      </w:r>
    </w:p>
  </w:footnote>
  <w:footnote w:id="36">
    <w:p w14:paraId="49F5F1A0" w14:textId="77777777" w:rsidR="008A5FB2" w:rsidRPr="00935DE7" w:rsidRDefault="008A5FB2" w:rsidP="00B0158F">
      <w:pPr>
        <w:pStyle w:val="Textonotapie"/>
        <w:spacing w:line="240" w:lineRule="auto"/>
        <w:ind w:right="-284"/>
        <w:rPr>
          <w:i/>
        </w:rPr>
      </w:pPr>
      <w:r>
        <w:rPr>
          <w:rStyle w:val="Refdenotaalpie"/>
        </w:rPr>
        <w:footnoteRef/>
      </w:r>
      <w:r>
        <w:t xml:space="preserve"> </w:t>
      </w:r>
      <w:r w:rsidRPr="00935DE7">
        <w:rPr>
          <w:i/>
        </w:rPr>
        <w:t>“</w:t>
      </w:r>
      <w:r w:rsidRPr="00935DE7">
        <w:rPr>
          <w:rFonts w:cs="Arial"/>
          <w:bCs/>
          <w:i/>
          <w:color w:val="000000"/>
          <w:shd w:val="clear" w:color="auto" w:fill="FFFFFF"/>
        </w:rPr>
        <w:t>Artículo 54 C.Co.</w:t>
      </w:r>
      <w:r w:rsidRPr="00935DE7">
        <w:rPr>
          <w:rFonts w:cs="Arial"/>
          <w:i/>
          <w:color w:val="000000"/>
          <w:shd w:val="clear" w:color="auto" w:fill="FFFFFF"/>
        </w:rPr>
        <w:t xml:space="preserve"> El comerciante deberá dejar copia fiel de la correspondencia que dirija en relación con los negocios, por cualquier medio que asegure la exactitud y duración de la copia. Asimismo, conservará la correspondencia que reciba en relación con sus actividades comerciales, con anotación de la fecha de contestación o de no haberse dado respuesta</w:t>
      </w:r>
      <w:r>
        <w:rPr>
          <w:rFonts w:cs="Arial"/>
          <w:i/>
          <w:color w:val="000000"/>
          <w:shd w:val="clear" w:color="auto" w:fill="FFFFFF"/>
        </w:rPr>
        <w:t>”</w:t>
      </w:r>
      <w:r w:rsidR="00FB7821">
        <w:rPr>
          <w:rFonts w:cs="Arial"/>
          <w:i/>
          <w:color w:val="000000"/>
          <w:shd w:val="clear" w:color="auto" w:fill="FFFFFF"/>
        </w:rPr>
        <w:t>.</w:t>
      </w:r>
    </w:p>
    <w:p w14:paraId="7B435AE4" w14:textId="77777777" w:rsidR="008A5FB2" w:rsidRDefault="008A5FB2">
      <w:pPr>
        <w:pStyle w:val="Textonotapie"/>
      </w:pPr>
    </w:p>
  </w:footnote>
  <w:footnote w:id="37">
    <w:p w14:paraId="6202DFE0" w14:textId="77777777" w:rsidR="008A5FB2" w:rsidRPr="000C3FD5" w:rsidRDefault="008A5FB2" w:rsidP="00B0158F">
      <w:pPr>
        <w:ind w:right="-284"/>
        <w:rPr>
          <w:rFonts w:ascii="Arial" w:hAnsi="Arial" w:cs="Arial"/>
          <w:sz w:val="20"/>
          <w:szCs w:val="20"/>
        </w:rPr>
      </w:pPr>
      <w:r w:rsidRPr="000C3FD5">
        <w:rPr>
          <w:rStyle w:val="Refdenotaalpie"/>
          <w:rFonts w:ascii="Arial" w:hAnsi="Arial" w:cs="Arial"/>
          <w:sz w:val="20"/>
          <w:szCs w:val="20"/>
        </w:rPr>
        <w:footnoteRef/>
      </w:r>
      <w:r w:rsidRPr="000C3FD5">
        <w:rPr>
          <w:rFonts w:ascii="Arial" w:hAnsi="Arial" w:cs="Arial"/>
          <w:sz w:val="20"/>
          <w:szCs w:val="20"/>
        </w:rPr>
        <w:t xml:space="preserve"> Consejo de Estado, Sala de lo Contencioso Administrativo, Sección Tercera, Subsección A, Consejero ponente: Mauricio Fajardo Gómez, sentencia de 27 de noviembre de 2013, expediente No.: 25.742, actor: Mapfre Seguros Generales de Colombia S.A., demandado: Fondo Rotatorio del Ministerio de Relaciones Exteriores.</w:t>
      </w:r>
    </w:p>
    <w:p w14:paraId="235388BE" w14:textId="77777777" w:rsidR="008A5FB2" w:rsidRPr="000C3FD5" w:rsidRDefault="008A5FB2" w:rsidP="00B0158F">
      <w:pPr>
        <w:ind w:right="-284"/>
      </w:pPr>
    </w:p>
  </w:footnote>
  <w:footnote w:id="38">
    <w:p w14:paraId="56B197DF" w14:textId="77777777" w:rsidR="008A5FB2" w:rsidRPr="00347A3C" w:rsidRDefault="008A5FB2" w:rsidP="00B0158F">
      <w:pPr>
        <w:pStyle w:val="Citas"/>
        <w:ind w:right="-284"/>
        <w:rPr>
          <w:i/>
        </w:rPr>
      </w:pPr>
      <w:r>
        <w:rPr>
          <w:rStyle w:val="Refdenotaalpie"/>
        </w:rPr>
        <w:footnoteRef/>
      </w:r>
      <w:r>
        <w:t xml:space="preserve"> Cita original de la sentencia: </w:t>
      </w:r>
      <w:r w:rsidRPr="00347A3C">
        <w:rPr>
          <w:i/>
        </w:rPr>
        <w:t>“</w:t>
      </w:r>
      <w:r w:rsidRPr="00347A3C">
        <w:rPr>
          <w:i/>
          <w:iCs/>
        </w:rPr>
        <w:t>Puede</w:t>
      </w:r>
      <w:r w:rsidRPr="00347A3C">
        <w:rPr>
          <w:i/>
        </w:rPr>
        <w:t xml:space="preserve"> verse, entre otras, las sentencias del Tribunal Supremo de 30 de mayo de 1990, 29 de noviembre de 1991 y 30 de junio de 1992</w:t>
      </w:r>
      <w:r>
        <w:rPr>
          <w:i/>
        </w:rPr>
        <w:t>”</w:t>
      </w:r>
      <w:r w:rsidRPr="00347A3C">
        <w:rPr>
          <w:i/>
        </w:rPr>
        <w:t>.</w:t>
      </w:r>
    </w:p>
    <w:p w14:paraId="761C1E59" w14:textId="77777777" w:rsidR="008A5FB2" w:rsidRPr="00347A3C" w:rsidRDefault="008A5FB2" w:rsidP="00B0158F">
      <w:pPr>
        <w:pStyle w:val="Citas"/>
        <w:ind w:right="-284"/>
        <w:rPr>
          <w:i/>
        </w:rPr>
      </w:pPr>
    </w:p>
  </w:footnote>
  <w:footnote w:id="39">
    <w:p w14:paraId="2FC54274" w14:textId="77777777" w:rsidR="008A5FB2" w:rsidRPr="00781E61" w:rsidRDefault="008A5FB2" w:rsidP="00B0158F">
      <w:pPr>
        <w:pStyle w:val="Citas"/>
        <w:ind w:right="-284"/>
        <w:rPr>
          <w:i/>
        </w:rPr>
      </w:pPr>
      <w:r>
        <w:rPr>
          <w:rStyle w:val="Refdenotaalpie"/>
        </w:rPr>
        <w:footnoteRef/>
      </w:r>
      <w:r>
        <w:t xml:space="preserve"> Cita original de la sentencia: “</w:t>
      </w:r>
      <w:r w:rsidRPr="00781E61">
        <w:rPr>
          <w:i/>
        </w:rPr>
        <w:t>En este sentido, entre otras, las sentencias del Tribunal Supremo de 29 de noviembre de 1991, 19 de febrero de 1994 y 16 y 17 de marzo de 1995”.</w:t>
      </w:r>
    </w:p>
    <w:p w14:paraId="3D933B60" w14:textId="77777777" w:rsidR="008A5FB2" w:rsidRDefault="008A5FB2" w:rsidP="002E376E">
      <w:pPr>
        <w:pStyle w:val="Citas"/>
      </w:pPr>
    </w:p>
  </w:footnote>
  <w:footnote w:id="40">
    <w:p w14:paraId="5459A68B" w14:textId="77777777" w:rsidR="008A5FB2" w:rsidRDefault="008A5FB2" w:rsidP="002E376E">
      <w:pPr>
        <w:pStyle w:val="Citas"/>
      </w:pPr>
      <w:r>
        <w:rPr>
          <w:rStyle w:val="Refdenotaalpie"/>
        </w:rPr>
        <w:footnoteRef/>
      </w:r>
      <w:r>
        <w:t xml:space="preserve"> Cita original de la sentencia: “GUASP, Jaime, </w:t>
      </w:r>
      <w:r>
        <w:rPr>
          <w:i/>
          <w:iCs/>
        </w:rPr>
        <w:t>Derecho Procesal Civil,</w:t>
      </w:r>
      <w:r>
        <w:t xml:space="preserve"> I, Instituto de Estudios Políticos, Madrid, 1968, pp. 326-327; RAMOS MÉNDEZ, Francisco, </w:t>
      </w:r>
      <w:r>
        <w:rPr>
          <w:i/>
          <w:iCs/>
        </w:rPr>
        <w:t xml:space="preserve">Derecho Procesal Civil, </w:t>
      </w:r>
      <w:r>
        <w:t xml:space="preserve">I, Bosch, Barcelona, 1992, p. 548”. </w:t>
      </w:r>
    </w:p>
    <w:p w14:paraId="0E570614" w14:textId="77777777" w:rsidR="008A5FB2" w:rsidRDefault="008A5FB2" w:rsidP="002E376E">
      <w:pPr>
        <w:pStyle w:val="Citas"/>
      </w:pPr>
    </w:p>
  </w:footnote>
  <w:footnote w:id="41">
    <w:p w14:paraId="3B90F01A" w14:textId="77777777" w:rsidR="008A5FB2" w:rsidRDefault="008A5FB2" w:rsidP="002E376E">
      <w:pPr>
        <w:pStyle w:val="Citas"/>
        <w:rPr>
          <w:lang w:val="es-ES"/>
        </w:rPr>
      </w:pPr>
      <w:r>
        <w:rPr>
          <w:rStyle w:val="Refdenotaalpie"/>
        </w:rPr>
        <w:footnoteRef/>
      </w:r>
      <w:r>
        <w:t xml:space="preserve"> En el mismo sentido, el inciso primero del artícul</w:t>
      </w:r>
      <w:r>
        <w:rPr>
          <w:lang w:val="es-ES"/>
        </w:rPr>
        <w:t xml:space="preserve">o 167 de la Ley 1564 de 2012, Código General del Proceso, establece que </w:t>
      </w:r>
      <w:r w:rsidRPr="00F11EDA">
        <w:rPr>
          <w:i/>
          <w:lang w:val="es-ES"/>
        </w:rPr>
        <w:t>"[I]ncumbe a las partes probar el supuesto de hecho de las normas que consagran el efecto jurídico que ellas persiguen"</w:t>
      </w:r>
      <w:r>
        <w:rPr>
          <w:lang w:val="es-ES"/>
        </w:rPr>
        <w:t>.</w:t>
      </w:r>
    </w:p>
    <w:p w14:paraId="4257F02F" w14:textId="77777777" w:rsidR="008A5FB2" w:rsidRPr="00212EE1" w:rsidRDefault="008A5FB2" w:rsidP="002E376E">
      <w:pPr>
        <w:pStyle w:val="Citas"/>
      </w:pPr>
    </w:p>
  </w:footnote>
  <w:footnote w:id="42">
    <w:p w14:paraId="42A613A4" w14:textId="77777777" w:rsidR="008A5FB2" w:rsidRDefault="008A5FB2" w:rsidP="002E376E">
      <w:pPr>
        <w:pStyle w:val="Citas"/>
        <w:rPr>
          <w:i/>
        </w:rPr>
      </w:pPr>
      <w:r>
        <w:rPr>
          <w:rStyle w:val="Refdenotaalpie"/>
        </w:rPr>
        <w:footnoteRef/>
      </w:r>
      <w:r>
        <w:t xml:space="preserve"> El artículo 168 del C.C.A., dispone lo siguiente: </w:t>
      </w:r>
      <w:r>
        <w:rPr>
          <w:i/>
        </w:rPr>
        <w:t>"En los procesos ante la jurisdicción en lo contencioso administrativo se aplicarán en cuanto resulten compatibles con las normas de este Código, las del Procedimiento Civil en lo relacionado con la admisibilidad de los medios de prueba, forma de practicarlas y criterios de valoración".</w:t>
      </w:r>
    </w:p>
    <w:p w14:paraId="784C48E0" w14:textId="77777777" w:rsidR="008A5FB2" w:rsidRDefault="008A5FB2" w:rsidP="002E376E">
      <w:pPr>
        <w:pStyle w:val="Citas"/>
        <w:rPr>
          <w:i/>
        </w:rPr>
      </w:pPr>
    </w:p>
    <w:p w14:paraId="2194B276" w14:textId="77777777" w:rsidR="008A5FB2" w:rsidRDefault="008A5FB2" w:rsidP="002E376E">
      <w:pPr>
        <w:pStyle w:val="Citas"/>
      </w:pPr>
      <w:r>
        <w:t xml:space="preserve">Por su parte, a este mismo respecto, los artículos 211 y 306 de la Ley 1437 de 2011 preceptúan lo siguiente: </w:t>
      </w:r>
    </w:p>
    <w:p w14:paraId="608F20B9" w14:textId="77777777" w:rsidR="008A5FB2" w:rsidRDefault="008A5FB2" w:rsidP="002E376E">
      <w:pPr>
        <w:pStyle w:val="Citas"/>
      </w:pPr>
    </w:p>
    <w:p w14:paraId="6DE73A76" w14:textId="77777777" w:rsidR="008A5FB2" w:rsidRPr="00424C34" w:rsidRDefault="008A5FB2" w:rsidP="002E376E">
      <w:pPr>
        <w:pStyle w:val="Citas"/>
        <w:rPr>
          <w:i/>
        </w:rPr>
      </w:pPr>
      <w:r w:rsidRPr="00424C34">
        <w:rPr>
          <w:i/>
        </w:rPr>
        <w:t>"Artículo 211. En los procesos que se adelanten ante la Jurisdicción de lo Contencioso Administrativo, en lo que no esté expresamente regulado en este Código, se aplicarán en materia probatoria las normas del Código de Procedimiento Civil".</w:t>
      </w:r>
    </w:p>
    <w:p w14:paraId="5ABAB83A" w14:textId="77777777" w:rsidR="008A5FB2" w:rsidRDefault="008A5FB2" w:rsidP="002E376E">
      <w:pPr>
        <w:pStyle w:val="Citas"/>
        <w:rPr>
          <w:i/>
        </w:rPr>
      </w:pPr>
    </w:p>
    <w:p w14:paraId="483A708C" w14:textId="77777777" w:rsidR="008A5FB2" w:rsidRDefault="008A5FB2" w:rsidP="00B0158F">
      <w:pPr>
        <w:pStyle w:val="Citas"/>
        <w:ind w:right="-284"/>
      </w:pPr>
      <w:r w:rsidRPr="00EA06E7">
        <w:rPr>
          <w:i/>
        </w:rPr>
        <w:t>"</w:t>
      </w:r>
      <w:r>
        <w:rPr>
          <w:i/>
        </w:rPr>
        <w:t xml:space="preserve">Artículo 306. </w:t>
      </w:r>
      <w:r w:rsidRPr="00EA06E7">
        <w:rPr>
          <w:i/>
        </w:rPr>
        <w:t>En los aspectos no contemplados en este Código se seguirá el Código de Procedimiento Civil en lo que sea compatible con la naturaleza de los procesos y actuaciones que correspondan a la Jurisdicción de lo Contencioso Administrativo"</w:t>
      </w:r>
      <w:r w:rsidRPr="00E96F98">
        <w:t>.</w:t>
      </w:r>
      <w:r>
        <w:t xml:space="preserve"> </w:t>
      </w:r>
      <w:r>
        <w:rPr>
          <w:i/>
        </w:rPr>
        <w:t xml:space="preserve"> </w:t>
      </w:r>
    </w:p>
    <w:p w14:paraId="04FC7EC8" w14:textId="77777777" w:rsidR="008A5FB2" w:rsidRPr="00F11EDA" w:rsidRDefault="008A5FB2" w:rsidP="00B0158F">
      <w:pPr>
        <w:pStyle w:val="Citas"/>
        <w:ind w:right="-284"/>
      </w:pPr>
    </w:p>
  </w:footnote>
  <w:footnote w:id="43">
    <w:p w14:paraId="659882EA" w14:textId="77777777" w:rsidR="008A5FB2" w:rsidRPr="00916106" w:rsidRDefault="008A5FB2" w:rsidP="00B0158F">
      <w:pPr>
        <w:pStyle w:val="Textonotapie"/>
        <w:spacing w:line="240" w:lineRule="auto"/>
        <w:ind w:right="-284"/>
      </w:pPr>
      <w:r w:rsidRPr="00916106">
        <w:rPr>
          <w:rStyle w:val="Refdenotaalpie"/>
        </w:rPr>
        <w:footnoteRef/>
      </w:r>
      <w:r w:rsidRPr="00916106">
        <w:t xml:space="preserve"> Consejo de Estado, Sala de lo Contencioso Administrativo, Sección Tercera, Subsección A, Consejero ponente (e): Hernán Andrade Rincón; radicación: </w:t>
      </w:r>
      <w:r w:rsidRPr="00916106">
        <w:rPr>
          <w:rFonts w:cs="Arial"/>
        </w:rPr>
        <w:t xml:space="preserve">63001233100020050191901 (37.607), demandante Taller Electromecánico, Empresa Unipersonal, demandado Empresa Social del Estado Hospital Departamental Universitario San Juan </w:t>
      </w:r>
      <w:r>
        <w:rPr>
          <w:rFonts w:cs="Arial"/>
        </w:rPr>
        <w:t>d</w:t>
      </w:r>
      <w:r w:rsidRPr="00916106">
        <w:rPr>
          <w:rFonts w:cs="Arial"/>
        </w:rPr>
        <w:t xml:space="preserve">e Dios </w:t>
      </w:r>
      <w:r>
        <w:rPr>
          <w:rFonts w:cs="Arial"/>
        </w:rPr>
        <w:t>d</w:t>
      </w:r>
      <w:r w:rsidRPr="00916106">
        <w:rPr>
          <w:rFonts w:cs="Arial"/>
        </w:rPr>
        <w:t xml:space="preserve">e Armenia. </w:t>
      </w:r>
    </w:p>
  </w:footnote>
  <w:footnote w:id="44">
    <w:p w14:paraId="26E3370E" w14:textId="77777777" w:rsidR="008A5FB2" w:rsidRDefault="008A5FB2" w:rsidP="00D5787B">
      <w:pPr>
        <w:pStyle w:val="Textonotapie"/>
        <w:spacing w:line="240" w:lineRule="auto"/>
        <w:ind w:right="-284"/>
      </w:pPr>
      <w:r>
        <w:rPr>
          <w:rStyle w:val="Refdenotaalpie"/>
        </w:rPr>
        <w:footnoteRef/>
      </w:r>
      <w:r>
        <w:t xml:space="preserve"> Esa tesis fue desplegada por la jurisprudencia ya citada, para un acto contentivo de la sanción de caducidad contractual, con relación a afirmaciones no sustentadas en el respectivo acto administrativo, asunto que difiere en forma esencial del actual, donde la demandante se mantuvo inactiva en la primera instancia pese a que la entidad estatal no atendía los requerimientos y que la controversia versaba sobre documentos que la demandante debía tener en sus archivos, incluso los referidos a su propia propuesta y a las aclaraciones que entregó dentro del proceso precontractual, pero que decidió no allegar al proceso judicial.  </w:t>
      </w:r>
    </w:p>
  </w:footnote>
  <w:footnote w:id="45">
    <w:p w14:paraId="75C3EB13" w14:textId="77777777" w:rsidR="008A5FB2" w:rsidRDefault="008A5FB2" w:rsidP="00D5787B">
      <w:pPr>
        <w:pStyle w:val="Textonotapie"/>
        <w:spacing w:line="240" w:lineRule="auto"/>
        <w:ind w:right="-284"/>
      </w:pPr>
      <w:r>
        <w:rPr>
          <w:rStyle w:val="Refdenotaalpie"/>
        </w:rPr>
        <w:footnoteRef/>
      </w:r>
      <w:r>
        <w:t xml:space="preserve"> Como se desprende de la figura del encargo fiduciario sobre recursos públicos que se infiere de la referencia al contrato fiduciario, de acuerdo con la Resolución 1457 de 2000 obrante en el proceso, en concordancia con lo que dispone el Estatuto Orgánico del Sistema Financiero para el encargo celebrado con  las sociedades fiduciarias. </w:t>
      </w:r>
    </w:p>
    <w:p w14:paraId="781E33AE" w14:textId="77777777" w:rsidR="008A5FB2" w:rsidRDefault="008A5FB2" w:rsidP="00D5787B">
      <w:pPr>
        <w:pStyle w:val="Textonotapie"/>
        <w:spacing w:line="240" w:lineRule="auto"/>
        <w:ind w:right="-284"/>
      </w:pPr>
    </w:p>
  </w:footnote>
  <w:footnote w:id="46">
    <w:p w14:paraId="39B19D1D" w14:textId="77777777" w:rsidR="008A5FB2" w:rsidRPr="00E13BC5" w:rsidRDefault="008A5FB2" w:rsidP="00D5787B">
      <w:pPr>
        <w:pStyle w:val="Textonotapie"/>
        <w:spacing w:line="240" w:lineRule="auto"/>
        <w:ind w:right="-284"/>
        <w:rPr>
          <w:rFonts w:cs="Arial"/>
        </w:rPr>
      </w:pPr>
      <w:r w:rsidRPr="00E13BC5">
        <w:rPr>
          <w:rStyle w:val="Refdenotaalpie"/>
          <w:rFonts w:cs="Arial"/>
        </w:rPr>
        <w:footnoteRef/>
      </w:r>
      <w:r w:rsidRPr="00E13BC5">
        <w:rPr>
          <w:rFonts w:cs="Arial"/>
        </w:rPr>
        <w:t xml:space="preserve"> Ley 1150 de 2007, Artículo 5. </w:t>
      </w:r>
    </w:p>
    <w:p w14:paraId="6DE52199" w14:textId="77777777" w:rsidR="008A5FB2" w:rsidRPr="00E13BC5" w:rsidRDefault="008A5FB2" w:rsidP="00D5787B">
      <w:pPr>
        <w:pStyle w:val="Textonotapie"/>
        <w:spacing w:line="240" w:lineRule="auto"/>
        <w:ind w:right="-284"/>
        <w:rPr>
          <w:rFonts w:cs="Arial"/>
        </w:rPr>
      </w:pPr>
    </w:p>
    <w:p w14:paraId="0A46D00A" w14:textId="77777777" w:rsidR="008A5FB2" w:rsidRPr="0000027D" w:rsidRDefault="008A5FB2" w:rsidP="00D5787B">
      <w:pPr>
        <w:pStyle w:val="Textonotapie"/>
        <w:spacing w:line="240" w:lineRule="auto"/>
        <w:ind w:right="-284"/>
        <w:rPr>
          <w:rFonts w:cs="Arial"/>
          <w:i/>
          <w:color w:val="000000"/>
          <w:shd w:val="clear" w:color="auto" w:fill="FFFFFF"/>
        </w:rPr>
      </w:pPr>
      <w:r>
        <w:rPr>
          <w:rFonts w:cs="Arial"/>
          <w:i/>
        </w:rPr>
        <w:t>“</w:t>
      </w:r>
      <w:r w:rsidRPr="0000027D">
        <w:rPr>
          <w:rFonts w:cs="Arial"/>
          <w:i/>
        </w:rPr>
        <w:t xml:space="preserve">(…) </w:t>
      </w:r>
      <w:r w:rsidRPr="0000027D">
        <w:rPr>
          <w:rFonts w:cs="Arial"/>
          <w:i/>
          <w:color w:val="000000"/>
          <w:shd w:val="clear" w:color="auto" w:fill="FFFFFF"/>
        </w:rPr>
        <w:t>La capacidad jurídica y las condiciones de experiencia, capacidad financiera y de organización de los proponentes serán objeto de verificación de cumplimiento como requisitos habilitantes para la participación en el proceso de selección</w:t>
      </w:r>
      <w:r w:rsidRPr="0000027D">
        <w:rPr>
          <w:rStyle w:val="apple-converted-space"/>
          <w:rFonts w:cs="Arial"/>
          <w:i/>
          <w:color w:val="000000"/>
          <w:shd w:val="clear" w:color="auto" w:fill="FFFFFF"/>
        </w:rPr>
        <w:t> </w:t>
      </w:r>
      <w:r w:rsidRPr="0000027D">
        <w:rPr>
          <w:rFonts w:cs="Arial"/>
          <w:i/>
          <w:color w:val="000000"/>
          <w:shd w:val="clear" w:color="auto" w:fill="FFFFFF"/>
        </w:rPr>
        <w:t>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Pr>
          <w:rFonts w:cs="Arial"/>
          <w:i/>
          <w:color w:val="000000"/>
          <w:shd w:val="clear" w:color="auto" w:fill="FFFFFF"/>
        </w:rPr>
        <w:t>”</w:t>
      </w:r>
    </w:p>
    <w:p w14:paraId="59A7C102" w14:textId="77777777" w:rsidR="008A5FB2" w:rsidRPr="0000027D" w:rsidRDefault="008A5FB2" w:rsidP="005F1DC0">
      <w:pPr>
        <w:pStyle w:val="Textonotapie"/>
        <w:spacing w:line="240" w:lineRule="auto"/>
        <w:ind w:right="-141"/>
        <w:rPr>
          <w:rFonts w:cs="Arial"/>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3" w15:restartNumberingAfterBreak="0">
    <w:nsid w:val="14CD2E21"/>
    <w:multiLevelType w:val="hybridMultilevel"/>
    <w:tmpl w:val="0D56FC44"/>
    <w:lvl w:ilvl="0" w:tplc="65666F8E">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EC6B73"/>
    <w:multiLevelType w:val="hybridMultilevel"/>
    <w:tmpl w:val="E44A8EA0"/>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9"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0"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1" w15:restartNumberingAfterBreak="0">
    <w:nsid w:val="29D87129"/>
    <w:multiLevelType w:val="hybridMultilevel"/>
    <w:tmpl w:val="CA689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0947DD"/>
    <w:multiLevelType w:val="hybridMultilevel"/>
    <w:tmpl w:val="83C0FB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B87AA0"/>
    <w:multiLevelType w:val="hybridMultilevel"/>
    <w:tmpl w:val="DADE3406"/>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E00C2D"/>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FEC6752"/>
    <w:multiLevelType w:val="hybridMultilevel"/>
    <w:tmpl w:val="CC06A688"/>
    <w:lvl w:ilvl="0" w:tplc="74929CD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2EB407F"/>
    <w:multiLevelType w:val="hybridMultilevel"/>
    <w:tmpl w:val="434AE984"/>
    <w:lvl w:ilvl="0" w:tplc="E044463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0772F5"/>
    <w:multiLevelType w:val="hybridMultilevel"/>
    <w:tmpl w:val="9E9E7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8D01B2"/>
    <w:multiLevelType w:val="hybridMultilevel"/>
    <w:tmpl w:val="BF2230C6"/>
    <w:lvl w:ilvl="0" w:tplc="0C0A000B">
      <w:start w:val="1"/>
      <w:numFmt w:val="bullet"/>
      <w:lvlText w:val=""/>
      <w:lvlJc w:val="left"/>
      <w:pPr>
        <w:ind w:left="4046" w:hanging="360"/>
      </w:pPr>
      <w:rPr>
        <w:rFonts w:ascii="Wingdings" w:hAnsi="Wingdings" w:hint="default"/>
      </w:rPr>
    </w:lvl>
    <w:lvl w:ilvl="1" w:tplc="0C0A0003" w:tentative="1">
      <w:start w:val="1"/>
      <w:numFmt w:val="bullet"/>
      <w:lvlText w:val="o"/>
      <w:lvlJc w:val="left"/>
      <w:pPr>
        <w:ind w:left="5333" w:hanging="360"/>
      </w:pPr>
      <w:rPr>
        <w:rFonts w:ascii="Courier New" w:hAnsi="Courier New" w:cs="Courier New" w:hint="default"/>
      </w:rPr>
    </w:lvl>
    <w:lvl w:ilvl="2" w:tplc="0C0A0005" w:tentative="1">
      <w:start w:val="1"/>
      <w:numFmt w:val="bullet"/>
      <w:lvlText w:val=""/>
      <w:lvlJc w:val="left"/>
      <w:pPr>
        <w:ind w:left="6053" w:hanging="360"/>
      </w:pPr>
      <w:rPr>
        <w:rFonts w:ascii="Wingdings" w:hAnsi="Wingdings" w:hint="default"/>
      </w:rPr>
    </w:lvl>
    <w:lvl w:ilvl="3" w:tplc="0C0A0001" w:tentative="1">
      <w:start w:val="1"/>
      <w:numFmt w:val="bullet"/>
      <w:lvlText w:val=""/>
      <w:lvlJc w:val="left"/>
      <w:pPr>
        <w:ind w:left="6773" w:hanging="360"/>
      </w:pPr>
      <w:rPr>
        <w:rFonts w:ascii="Symbol" w:hAnsi="Symbol" w:hint="default"/>
      </w:rPr>
    </w:lvl>
    <w:lvl w:ilvl="4" w:tplc="0C0A0003" w:tentative="1">
      <w:start w:val="1"/>
      <w:numFmt w:val="bullet"/>
      <w:lvlText w:val="o"/>
      <w:lvlJc w:val="left"/>
      <w:pPr>
        <w:ind w:left="7493" w:hanging="360"/>
      </w:pPr>
      <w:rPr>
        <w:rFonts w:ascii="Courier New" w:hAnsi="Courier New" w:cs="Courier New" w:hint="default"/>
      </w:rPr>
    </w:lvl>
    <w:lvl w:ilvl="5" w:tplc="0C0A0005" w:tentative="1">
      <w:start w:val="1"/>
      <w:numFmt w:val="bullet"/>
      <w:lvlText w:val=""/>
      <w:lvlJc w:val="left"/>
      <w:pPr>
        <w:ind w:left="8213" w:hanging="360"/>
      </w:pPr>
      <w:rPr>
        <w:rFonts w:ascii="Wingdings" w:hAnsi="Wingdings" w:hint="default"/>
      </w:rPr>
    </w:lvl>
    <w:lvl w:ilvl="6" w:tplc="0C0A0001" w:tentative="1">
      <w:start w:val="1"/>
      <w:numFmt w:val="bullet"/>
      <w:lvlText w:val=""/>
      <w:lvlJc w:val="left"/>
      <w:pPr>
        <w:ind w:left="8933" w:hanging="360"/>
      </w:pPr>
      <w:rPr>
        <w:rFonts w:ascii="Symbol" w:hAnsi="Symbol" w:hint="default"/>
      </w:rPr>
    </w:lvl>
    <w:lvl w:ilvl="7" w:tplc="0C0A0003" w:tentative="1">
      <w:start w:val="1"/>
      <w:numFmt w:val="bullet"/>
      <w:lvlText w:val="o"/>
      <w:lvlJc w:val="left"/>
      <w:pPr>
        <w:ind w:left="9653" w:hanging="360"/>
      </w:pPr>
      <w:rPr>
        <w:rFonts w:ascii="Courier New" w:hAnsi="Courier New" w:cs="Courier New" w:hint="default"/>
      </w:rPr>
    </w:lvl>
    <w:lvl w:ilvl="8" w:tplc="0C0A0005" w:tentative="1">
      <w:start w:val="1"/>
      <w:numFmt w:val="bullet"/>
      <w:lvlText w:val=""/>
      <w:lvlJc w:val="left"/>
      <w:pPr>
        <w:ind w:left="10373" w:hanging="360"/>
      </w:pPr>
      <w:rPr>
        <w:rFonts w:ascii="Wingdings" w:hAnsi="Wingdings" w:hint="default"/>
      </w:rPr>
    </w:lvl>
  </w:abstractNum>
  <w:abstractNum w:abstractNumId="27"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D5E3BB8"/>
    <w:multiLevelType w:val="hybridMultilevel"/>
    <w:tmpl w:val="76609DC0"/>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0" w15:restartNumberingAfterBreak="0">
    <w:nsid w:val="5FFA54C9"/>
    <w:multiLevelType w:val="hybridMultilevel"/>
    <w:tmpl w:val="C74AFC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1E5E33"/>
    <w:multiLevelType w:val="hybridMultilevel"/>
    <w:tmpl w:val="7892FEA0"/>
    <w:lvl w:ilvl="0" w:tplc="B74091E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C67AC3"/>
    <w:multiLevelType w:val="hybridMultilevel"/>
    <w:tmpl w:val="F27AF0C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7A12E57"/>
    <w:multiLevelType w:val="hybridMultilevel"/>
    <w:tmpl w:val="18CA3F92"/>
    <w:lvl w:ilvl="0" w:tplc="0C0A0001">
      <w:start w:val="1"/>
      <w:numFmt w:val="bullet"/>
      <w:lvlText w:val=""/>
      <w:lvlJc w:val="left"/>
      <w:pPr>
        <w:ind w:left="5464" w:hanging="360"/>
      </w:pPr>
      <w:rPr>
        <w:rFonts w:ascii="Symbol" w:hAnsi="Symbol" w:hint="default"/>
      </w:rPr>
    </w:lvl>
    <w:lvl w:ilvl="1" w:tplc="0C0A0003" w:tentative="1">
      <w:start w:val="1"/>
      <w:numFmt w:val="bullet"/>
      <w:lvlText w:val="o"/>
      <w:lvlJc w:val="left"/>
      <w:pPr>
        <w:ind w:left="6184" w:hanging="360"/>
      </w:pPr>
      <w:rPr>
        <w:rFonts w:ascii="Courier New" w:hAnsi="Courier New" w:cs="Courier New" w:hint="default"/>
      </w:rPr>
    </w:lvl>
    <w:lvl w:ilvl="2" w:tplc="0C0A0005" w:tentative="1">
      <w:start w:val="1"/>
      <w:numFmt w:val="bullet"/>
      <w:lvlText w:val=""/>
      <w:lvlJc w:val="left"/>
      <w:pPr>
        <w:ind w:left="6904" w:hanging="360"/>
      </w:pPr>
      <w:rPr>
        <w:rFonts w:ascii="Wingdings" w:hAnsi="Wingdings" w:hint="default"/>
      </w:rPr>
    </w:lvl>
    <w:lvl w:ilvl="3" w:tplc="0C0A0001" w:tentative="1">
      <w:start w:val="1"/>
      <w:numFmt w:val="bullet"/>
      <w:lvlText w:val=""/>
      <w:lvlJc w:val="left"/>
      <w:pPr>
        <w:ind w:left="7624" w:hanging="360"/>
      </w:pPr>
      <w:rPr>
        <w:rFonts w:ascii="Symbol" w:hAnsi="Symbol" w:hint="default"/>
      </w:rPr>
    </w:lvl>
    <w:lvl w:ilvl="4" w:tplc="0C0A0003" w:tentative="1">
      <w:start w:val="1"/>
      <w:numFmt w:val="bullet"/>
      <w:lvlText w:val="o"/>
      <w:lvlJc w:val="left"/>
      <w:pPr>
        <w:ind w:left="8344" w:hanging="360"/>
      </w:pPr>
      <w:rPr>
        <w:rFonts w:ascii="Courier New" w:hAnsi="Courier New" w:cs="Courier New" w:hint="default"/>
      </w:rPr>
    </w:lvl>
    <w:lvl w:ilvl="5" w:tplc="0C0A0005" w:tentative="1">
      <w:start w:val="1"/>
      <w:numFmt w:val="bullet"/>
      <w:lvlText w:val=""/>
      <w:lvlJc w:val="left"/>
      <w:pPr>
        <w:ind w:left="9064" w:hanging="360"/>
      </w:pPr>
      <w:rPr>
        <w:rFonts w:ascii="Wingdings" w:hAnsi="Wingdings" w:hint="default"/>
      </w:rPr>
    </w:lvl>
    <w:lvl w:ilvl="6" w:tplc="0C0A0001" w:tentative="1">
      <w:start w:val="1"/>
      <w:numFmt w:val="bullet"/>
      <w:lvlText w:val=""/>
      <w:lvlJc w:val="left"/>
      <w:pPr>
        <w:ind w:left="9784" w:hanging="360"/>
      </w:pPr>
      <w:rPr>
        <w:rFonts w:ascii="Symbol" w:hAnsi="Symbol" w:hint="default"/>
      </w:rPr>
    </w:lvl>
    <w:lvl w:ilvl="7" w:tplc="0C0A0003" w:tentative="1">
      <w:start w:val="1"/>
      <w:numFmt w:val="bullet"/>
      <w:lvlText w:val="o"/>
      <w:lvlJc w:val="left"/>
      <w:pPr>
        <w:ind w:left="10504" w:hanging="360"/>
      </w:pPr>
      <w:rPr>
        <w:rFonts w:ascii="Courier New" w:hAnsi="Courier New" w:cs="Courier New" w:hint="default"/>
      </w:rPr>
    </w:lvl>
    <w:lvl w:ilvl="8" w:tplc="0C0A0005" w:tentative="1">
      <w:start w:val="1"/>
      <w:numFmt w:val="bullet"/>
      <w:lvlText w:val=""/>
      <w:lvlJc w:val="left"/>
      <w:pPr>
        <w:ind w:left="11224" w:hanging="360"/>
      </w:pPr>
      <w:rPr>
        <w:rFonts w:ascii="Wingdings" w:hAnsi="Wingdings" w:hint="default"/>
      </w:rPr>
    </w:lvl>
  </w:abstractNum>
  <w:abstractNum w:abstractNumId="36"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abstractNum w:abstractNumId="37" w15:restartNumberingAfterBreak="0">
    <w:nsid w:val="7FCF712F"/>
    <w:multiLevelType w:val="multilevel"/>
    <w:tmpl w:val="BADE7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31"/>
  </w:num>
  <w:num w:numId="3">
    <w:abstractNumId w:val="27"/>
  </w:num>
  <w:num w:numId="4">
    <w:abstractNumId w:val="9"/>
  </w:num>
  <w:num w:numId="5">
    <w:abstractNumId w:val="12"/>
  </w:num>
  <w:num w:numId="6">
    <w:abstractNumId w:val="4"/>
  </w:num>
  <w:num w:numId="7">
    <w:abstractNumId w:val="28"/>
  </w:num>
  <w:num w:numId="8">
    <w:abstractNumId w:val="5"/>
  </w:num>
  <w:num w:numId="9">
    <w:abstractNumId w:val="3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23"/>
  </w:num>
  <w:num w:numId="14">
    <w:abstractNumId w:val="2"/>
  </w:num>
  <w:num w:numId="15">
    <w:abstractNumId w:val="10"/>
  </w:num>
  <w:num w:numId="16">
    <w:abstractNumId w:val="6"/>
  </w:num>
  <w:num w:numId="17">
    <w:abstractNumId w:val="15"/>
  </w:num>
  <w:num w:numId="18">
    <w:abstractNumId w:val="20"/>
  </w:num>
  <w:num w:numId="19">
    <w:abstractNumId w:val="32"/>
  </w:num>
  <w:num w:numId="20">
    <w:abstractNumId w:val="18"/>
  </w:num>
  <w:num w:numId="21">
    <w:abstractNumId w:val="1"/>
  </w:num>
  <w:num w:numId="22">
    <w:abstractNumId w:val="35"/>
  </w:num>
  <w:num w:numId="23">
    <w:abstractNumId w:val="34"/>
  </w:num>
  <w:num w:numId="24">
    <w:abstractNumId w:val="0"/>
  </w:num>
  <w:num w:numId="25">
    <w:abstractNumId w:val="24"/>
  </w:num>
  <w:num w:numId="26">
    <w:abstractNumId w:val="29"/>
  </w:num>
  <w:num w:numId="27">
    <w:abstractNumId w:val="30"/>
  </w:num>
  <w:num w:numId="28">
    <w:abstractNumId w:val="16"/>
  </w:num>
  <w:num w:numId="29">
    <w:abstractNumId w:val="3"/>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6"/>
  </w:num>
  <w:num w:numId="34">
    <w:abstractNumId w:val="8"/>
  </w:num>
  <w:num w:numId="35">
    <w:abstractNumId w:val="11"/>
  </w:num>
  <w:num w:numId="36">
    <w:abstractNumId w:val="33"/>
  </w:num>
  <w:num w:numId="37">
    <w:abstractNumId w:val="14"/>
  </w:num>
  <w:num w:numId="38">
    <w:abstractNumId w:val="2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D9"/>
    <w:rsid w:val="0000027D"/>
    <w:rsid w:val="00003AB2"/>
    <w:rsid w:val="00003E3C"/>
    <w:rsid w:val="00003F67"/>
    <w:rsid w:val="0000452B"/>
    <w:rsid w:val="000048A9"/>
    <w:rsid w:val="0000777C"/>
    <w:rsid w:val="00007B1F"/>
    <w:rsid w:val="00010B6D"/>
    <w:rsid w:val="00010BA9"/>
    <w:rsid w:val="00010BB3"/>
    <w:rsid w:val="00010EC8"/>
    <w:rsid w:val="00011610"/>
    <w:rsid w:val="00011EE6"/>
    <w:rsid w:val="00012031"/>
    <w:rsid w:val="00012342"/>
    <w:rsid w:val="00012406"/>
    <w:rsid w:val="00012F4A"/>
    <w:rsid w:val="0001358D"/>
    <w:rsid w:val="000136B5"/>
    <w:rsid w:val="00013C8A"/>
    <w:rsid w:val="00014CDB"/>
    <w:rsid w:val="000162F3"/>
    <w:rsid w:val="00017AE7"/>
    <w:rsid w:val="00020379"/>
    <w:rsid w:val="00022C1F"/>
    <w:rsid w:val="00025153"/>
    <w:rsid w:val="000258E1"/>
    <w:rsid w:val="00025AA6"/>
    <w:rsid w:val="000266A3"/>
    <w:rsid w:val="0002738D"/>
    <w:rsid w:val="00027E41"/>
    <w:rsid w:val="0003052A"/>
    <w:rsid w:val="0003136C"/>
    <w:rsid w:val="00031777"/>
    <w:rsid w:val="00032F53"/>
    <w:rsid w:val="00033C15"/>
    <w:rsid w:val="00033DCA"/>
    <w:rsid w:val="00033E3C"/>
    <w:rsid w:val="00033FA9"/>
    <w:rsid w:val="00034979"/>
    <w:rsid w:val="00040770"/>
    <w:rsid w:val="00041C4A"/>
    <w:rsid w:val="00041EF7"/>
    <w:rsid w:val="00041FF2"/>
    <w:rsid w:val="000424E9"/>
    <w:rsid w:val="000437A3"/>
    <w:rsid w:val="00043F86"/>
    <w:rsid w:val="000444A2"/>
    <w:rsid w:val="00044F2C"/>
    <w:rsid w:val="00045021"/>
    <w:rsid w:val="000456CA"/>
    <w:rsid w:val="00047C98"/>
    <w:rsid w:val="00050484"/>
    <w:rsid w:val="00052BEA"/>
    <w:rsid w:val="00053B31"/>
    <w:rsid w:val="00053C26"/>
    <w:rsid w:val="0005403D"/>
    <w:rsid w:val="00054262"/>
    <w:rsid w:val="000547EA"/>
    <w:rsid w:val="00054CB4"/>
    <w:rsid w:val="000554FB"/>
    <w:rsid w:val="000567E0"/>
    <w:rsid w:val="000578F0"/>
    <w:rsid w:val="00057ADE"/>
    <w:rsid w:val="000603D1"/>
    <w:rsid w:val="000619DA"/>
    <w:rsid w:val="00062314"/>
    <w:rsid w:val="00062BDD"/>
    <w:rsid w:val="00063224"/>
    <w:rsid w:val="000632D4"/>
    <w:rsid w:val="00063D02"/>
    <w:rsid w:val="0006511F"/>
    <w:rsid w:val="0006534B"/>
    <w:rsid w:val="00066BBE"/>
    <w:rsid w:val="00066DA2"/>
    <w:rsid w:val="000671B7"/>
    <w:rsid w:val="00071872"/>
    <w:rsid w:val="000721CC"/>
    <w:rsid w:val="00072288"/>
    <w:rsid w:val="00072B82"/>
    <w:rsid w:val="000734E1"/>
    <w:rsid w:val="000762F8"/>
    <w:rsid w:val="00076897"/>
    <w:rsid w:val="0007772A"/>
    <w:rsid w:val="00077E76"/>
    <w:rsid w:val="000803DF"/>
    <w:rsid w:val="000807D3"/>
    <w:rsid w:val="00082176"/>
    <w:rsid w:val="000836EF"/>
    <w:rsid w:val="00084464"/>
    <w:rsid w:val="000844C2"/>
    <w:rsid w:val="00084B27"/>
    <w:rsid w:val="000860CE"/>
    <w:rsid w:val="0008653F"/>
    <w:rsid w:val="000874E7"/>
    <w:rsid w:val="00087F81"/>
    <w:rsid w:val="0009013B"/>
    <w:rsid w:val="0009039A"/>
    <w:rsid w:val="00090DDB"/>
    <w:rsid w:val="00093371"/>
    <w:rsid w:val="00093EE4"/>
    <w:rsid w:val="000944C5"/>
    <w:rsid w:val="00095302"/>
    <w:rsid w:val="000958C4"/>
    <w:rsid w:val="000967C6"/>
    <w:rsid w:val="00096E84"/>
    <w:rsid w:val="00096F68"/>
    <w:rsid w:val="0009792B"/>
    <w:rsid w:val="00097D72"/>
    <w:rsid w:val="000A0FF0"/>
    <w:rsid w:val="000A1561"/>
    <w:rsid w:val="000A22D2"/>
    <w:rsid w:val="000A2FCB"/>
    <w:rsid w:val="000A3291"/>
    <w:rsid w:val="000A3659"/>
    <w:rsid w:val="000A3C4A"/>
    <w:rsid w:val="000A4096"/>
    <w:rsid w:val="000A752A"/>
    <w:rsid w:val="000B0724"/>
    <w:rsid w:val="000B1CA7"/>
    <w:rsid w:val="000B1EF1"/>
    <w:rsid w:val="000B2754"/>
    <w:rsid w:val="000B3305"/>
    <w:rsid w:val="000B4474"/>
    <w:rsid w:val="000B489B"/>
    <w:rsid w:val="000B4E27"/>
    <w:rsid w:val="000B505C"/>
    <w:rsid w:val="000B51F3"/>
    <w:rsid w:val="000B627B"/>
    <w:rsid w:val="000B6DB4"/>
    <w:rsid w:val="000B7802"/>
    <w:rsid w:val="000C00A8"/>
    <w:rsid w:val="000C0A2E"/>
    <w:rsid w:val="000C32FF"/>
    <w:rsid w:val="000C3307"/>
    <w:rsid w:val="000C3467"/>
    <w:rsid w:val="000C3C8A"/>
    <w:rsid w:val="000C3FAA"/>
    <w:rsid w:val="000C3FD5"/>
    <w:rsid w:val="000C4546"/>
    <w:rsid w:val="000C458D"/>
    <w:rsid w:val="000C4700"/>
    <w:rsid w:val="000C4785"/>
    <w:rsid w:val="000C4BF2"/>
    <w:rsid w:val="000C511D"/>
    <w:rsid w:val="000C5F7A"/>
    <w:rsid w:val="000C6E60"/>
    <w:rsid w:val="000C7506"/>
    <w:rsid w:val="000C7BA6"/>
    <w:rsid w:val="000D0D4C"/>
    <w:rsid w:val="000D0EFA"/>
    <w:rsid w:val="000D29DD"/>
    <w:rsid w:val="000D3CAD"/>
    <w:rsid w:val="000D3F71"/>
    <w:rsid w:val="000D4B0D"/>
    <w:rsid w:val="000D4B61"/>
    <w:rsid w:val="000D5B9E"/>
    <w:rsid w:val="000D5E61"/>
    <w:rsid w:val="000D6415"/>
    <w:rsid w:val="000E14ED"/>
    <w:rsid w:val="000E1A13"/>
    <w:rsid w:val="000E21FD"/>
    <w:rsid w:val="000E293F"/>
    <w:rsid w:val="000E2A2D"/>
    <w:rsid w:val="000E2F71"/>
    <w:rsid w:val="000E3572"/>
    <w:rsid w:val="000E392B"/>
    <w:rsid w:val="000E3E5C"/>
    <w:rsid w:val="000E4499"/>
    <w:rsid w:val="000E4E7A"/>
    <w:rsid w:val="000E7DA3"/>
    <w:rsid w:val="000F0D91"/>
    <w:rsid w:val="000F1DB9"/>
    <w:rsid w:val="000F2CDC"/>
    <w:rsid w:val="000F47FB"/>
    <w:rsid w:val="000F5C35"/>
    <w:rsid w:val="000F5C5B"/>
    <w:rsid w:val="000F6038"/>
    <w:rsid w:val="000F6347"/>
    <w:rsid w:val="0010057C"/>
    <w:rsid w:val="00100947"/>
    <w:rsid w:val="0010124B"/>
    <w:rsid w:val="00101276"/>
    <w:rsid w:val="00102775"/>
    <w:rsid w:val="00103117"/>
    <w:rsid w:val="0010514D"/>
    <w:rsid w:val="001056CA"/>
    <w:rsid w:val="001062BB"/>
    <w:rsid w:val="001063E2"/>
    <w:rsid w:val="001066A2"/>
    <w:rsid w:val="00106ABE"/>
    <w:rsid w:val="00107F24"/>
    <w:rsid w:val="00110CE3"/>
    <w:rsid w:val="00112112"/>
    <w:rsid w:val="0011570E"/>
    <w:rsid w:val="00115F30"/>
    <w:rsid w:val="00115F3A"/>
    <w:rsid w:val="001170A7"/>
    <w:rsid w:val="001176D6"/>
    <w:rsid w:val="00117D00"/>
    <w:rsid w:val="00120538"/>
    <w:rsid w:val="0012094B"/>
    <w:rsid w:val="001220F6"/>
    <w:rsid w:val="00122F67"/>
    <w:rsid w:val="00125369"/>
    <w:rsid w:val="00125AC8"/>
    <w:rsid w:val="00126251"/>
    <w:rsid w:val="00127D5D"/>
    <w:rsid w:val="00130884"/>
    <w:rsid w:val="00131AFA"/>
    <w:rsid w:val="00131ED1"/>
    <w:rsid w:val="00132902"/>
    <w:rsid w:val="0013295D"/>
    <w:rsid w:val="00132F5C"/>
    <w:rsid w:val="0013569C"/>
    <w:rsid w:val="00136129"/>
    <w:rsid w:val="00137123"/>
    <w:rsid w:val="00137225"/>
    <w:rsid w:val="001372D4"/>
    <w:rsid w:val="00137386"/>
    <w:rsid w:val="001421A5"/>
    <w:rsid w:val="001425CB"/>
    <w:rsid w:val="00142ABA"/>
    <w:rsid w:val="00143849"/>
    <w:rsid w:val="001443F2"/>
    <w:rsid w:val="0014481C"/>
    <w:rsid w:val="00145827"/>
    <w:rsid w:val="00146F56"/>
    <w:rsid w:val="0014751B"/>
    <w:rsid w:val="00147664"/>
    <w:rsid w:val="0014769C"/>
    <w:rsid w:val="00150518"/>
    <w:rsid w:val="00150594"/>
    <w:rsid w:val="001512ED"/>
    <w:rsid w:val="00151906"/>
    <w:rsid w:val="001521E5"/>
    <w:rsid w:val="00152640"/>
    <w:rsid w:val="00152C59"/>
    <w:rsid w:val="00152DAB"/>
    <w:rsid w:val="0015379B"/>
    <w:rsid w:val="00155A0E"/>
    <w:rsid w:val="00156794"/>
    <w:rsid w:val="00157E39"/>
    <w:rsid w:val="0016098B"/>
    <w:rsid w:val="00160A28"/>
    <w:rsid w:val="00161166"/>
    <w:rsid w:val="00162E76"/>
    <w:rsid w:val="00163471"/>
    <w:rsid w:val="001637B0"/>
    <w:rsid w:val="00163FF7"/>
    <w:rsid w:val="00164124"/>
    <w:rsid w:val="00164177"/>
    <w:rsid w:val="0016559B"/>
    <w:rsid w:val="00165E03"/>
    <w:rsid w:val="001669F2"/>
    <w:rsid w:val="001679E5"/>
    <w:rsid w:val="00167D4E"/>
    <w:rsid w:val="00171317"/>
    <w:rsid w:val="001716BB"/>
    <w:rsid w:val="001736FF"/>
    <w:rsid w:val="00173987"/>
    <w:rsid w:val="0017473D"/>
    <w:rsid w:val="0017487C"/>
    <w:rsid w:val="00174F2A"/>
    <w:rsid w:val="00175024"/>
    <w:rsid w:val="00175279"/>
    <w:rsid w:val="00176225"/>
    <w:rsid w:val="00176CA9"/>
    <w:rsid w:val="00176F71"/>
    <w:rsid w:val="0018051F"/>
    <w:rsid w:val="0018056C"/>
    <w:rsid w:val="001808CB"/>
    <w:rsid w:val="00180977"/>
    <w:rsid w:val="00180B14"/>
    <w:rsid w:val="001818BD"/>
    <w:rsid w:val="00182417"/>
    <w:rsid w:val="0018550A"/>
    <w:rsid w:val="00185B71"/>
    <w:rsid w:val="00186008"/>
    <w:rsid w:val="0018733B"/>
    <w:rsid w:val="00187493"/>
    <w:rsid w:val="0019071A"/>
    <w:rsid w:val="0019072D"/>
    <w:rsid w:val="00190897"/>
    <w:rsid w:val="001929C5"/>
    <w:rsid w:val="00192CEE"/>
    <w:rsid w:val="00192D97"/>
    <w:rsid w:val="00193F8A"/>
    <w:rsid w:val="001941A6"/>
    <w:rsid w:val="0019469D"/>
    <w:rsid w:val="00194B63"/>
    <w:rsid w:val="00195189"/>
    <w:rsid w:val="001956D5"/>
    <w:rsid w:val="00195B2A"/>
    <w:rsid w:val="0019609C"/>
    <w:rsid w:val="00197614"/>
    <w:rsid w:val="0019764D"/>
    <w:rsid w:val="0019788C"/>
    <w:rsid w:val="0019796A"/>
    <w:rsid w:val="001A02C6"/>
    <w:rsid w:val="001A217B"/>
    <w:rsid w:val="001A217C"/>
    <w:rsid w:val="001A30D8"/>
    <w:rsid w:val="001A3B95"/>
    <w:rsid w:val="001A3CEF"/>
    <w:rsid w:val="001A47CC"/>
    <w:rsid w:val="001A5F0A"/>
    <w:rsid w:val="001A666A"/>
    <w:rsid w:val="001A6B48"/>
    <w:rsid w:val="001A72DF"/>
    <w:rsid w:val="001A79F3"/>
    <w:rsid w:val="001B0DA8"/>
    <w:rsid w:val="001B1329"/>
    <w:rsid w:val="001B1877"/>
    <w:rsid w:val="001B1A24"/>
    <w:rsid w:val="001B1C35"/>
    <w:rsid w:val="001B3099"/>
    <w:rsid w:val="001B33EC"/>
    <w:rsid w:val="001B4503"/>
    <w:rsid w:val="001B4F8B"/>
    <w:rsid w:val="001B549F"/>
    <w:rsid w:val="001B572B"/>
    <w:rsid w:val="001B74C6"/>
    <w:rsid w:val="001C050D"/>
    <w:rsid w:val="001C0968"/>
    <w:rsid w:val="001C15E3"/>
    <w:rsid w:val="001C1A82"/>
    <w:rsid w:val="001C2085"/>
    <w:rsid w:val="001C2139"/>
    <w:rsid w:val="001C3BBF"/>
    <w:rsid w:val="001C481E"/>
    <w:rsid w:val="001C48A5"/>
    <w:rsid w:val="001C55C8"/>
    <w:rsid w:val="001C5795"/>
    <w:rsid w:val="001C67BF"/>
    <w:rsid w:val="001C6B67"/>
    <w:rsid w:val="001C7079"/>
    <w:rsid w:val="001D230A"/>
    <w:rsid w:val="001D2573"/>
    <w:rsid w:val="001D2ACD"/>
    <w:rsid w:val="001D3DAC"/>
    <w:rsid w:val="001D468B"/>
    <w:rsid w:val="001D4B4C"/>
    <w:rsid w:val="001D5320"/>
    <w:rsid w:val="001D555D"/>
    <w:rsid w:val="001D5A60"/>
    <w:rsid w:val="001D5FE1"/>
    <w:rsid w:val="001D66D0"/>
    <w:rsid w:val="001D7C03"/>
    <w:rsid w:val="001D7C37"/>
    <w:rsid w:val="001D7F4B"/>
    <w:rsid w:val="001E020A"/>
    <w:rsid w:val="001E05A9"/>
    <w:rsid w:val="001E075F"/>
    <w:rsid w:val="001E0EF6"/>
    <w:rsid w:val="001E151C"/>
    <w:rsid w:val="001E259C"/>
    <w:rsid w:val="001E25A6"/>
    <w:rsid w:val="001E3A09"/>
    <w:rsid w:val="001E3AE1"/>
    <w:rsid w:val="001E4C56"/>
    <w:rsid w:val="001E56F5"/>
    <w:rsid w:val="001E593E"/>
    <w:rsid w:val="001E5DEB"/>
    <w:rsid w:val="001E6453"/>
    <w:rsid w:val="001E749F"/>
    <w:rsid w:val="001F01E4"/>
    <w:rsid w:val="001F0AD4"/>
    <w:rsid w:val="001F0E44"/>
    <w:rsid w:val="001F10D9"/>
    <w:rsid w:val="001F112D"/>
    <w:rsid w:val="001F15C4"/>
    <w:rsid w:val="001F2EAD"/>
    <w:rsid w:val="001F35C6"/>
    <w:rsid w:val="001F3E73"/>
    <w:rsid w:val="001F4AF6"/>
    <w:rsid w:val="001F4B3A"/>
    <w:rsid w:val="001F4DB0"/>
    <w:rsid w:val="001F56B9"/>
    <w:rsid w:val="001F5F52"/>
    <w:rsid w:val="001F6154"/>
    <w:rsid w:val="001F6B10"/>
    <w:rsid w:val="001F7F06"/>
    <w:rsid w:val="002014C6"/>
    <w:rsid w:val="00202D1C"/>
    <w:rsid w:val="00203281"/>
    <w:rsid w:val="002036D7"/>
    <w:rsid w:val="002036E5"/>
    <w:rsid w:val="0020429B"/>
    <w:rsid w:val="0020436B"/>
    <w:rsid w:val="002045A8"/>
    <w:rsid w:val="00205805"/>
    <w:rsid w:val="002070F9"/>
    <w:rsid w:val="00207DC6"/>
    <w:rsid w:val="00212208"/>
    <w:rsid w:val="002129CA"/>
    <w:rsid w:val="00212E43"/>
    <w:rsid w:val="00213285"/>
    <w:rsid w:val="0021571F"/>
    <w:rsid w:val="002158F2"/>
    <w:rsid w:val="00216D79"/>
    <w:rsid w:val="00217F80"/>
    <w:rsid w:val="00220474"/>
    <w:rsid w:val="00222209"/>
    <w:rsid w:val="00223ED0"/>
    <w:rsid w:val="00223FAA"/>
    <w:rsid w:val="00224A32"/>
    <w:rsid w:val="00225972"/>
    <w:rsid w:val="002264B7"/>
    <w:rsid w:val="00226B70"/>
    <w:rsid w:val="002278B4"/>
    <w:rsid w:val="00230272"/>
    <w:rsid w:val="00230436"/>
    <w:rsid w:val="00230B28"/>
    <w:rsid w:val="00231603"/>
    <w:rsid w:val="0023162F"/>
    <w:rsid w:val="0023268E"/>
    <w:rsid w:val="00232714"/>
    <w:rsid w:val="00232723"/>
    <w:rsid w:val="00233041"/>
    <w:rsid w:val="00234FCC"/>
    <w:rsid w:val="0023540A"/>
    <w:rsid w:val="002363F0"/>
    <w:rsid w:val="0023643A"/>
    <w:rsid w:val="00236FF9"/>
    <w:rsid w:val="002376D4"/>
    <w:rsid w:val="00237846"/>
    <w:rsid w:val="00237A56"/>
    <w:rsid w:val="0024034C"/>
    <w:rsid w:val="0024068B"/>
    <w:rsid w:val="00242449"/>
    <w:rsid w:val="00242820"/>
    <w:rsid w:val="0024288C"/>
    <w:rsid w:val="00242CB8"/>
    <w:rsid w:val="00242DD0"/>
    <w:rsid w:val="00243BE2"/>
    <w:rsid w:val="002447DF"/>
    <w:rsid w:val="00245388"/>
    <w:rsid w:val="00245D36"/>
    <w:rsid w:val="00246675"/>
    <w:rsid w:val="00246BC3"/>
    <w:rsid w:val="0025034D"/>
    <w:rsid w:val="0025038F"/>
    <w:rsid w:val="00250773"/>
    <w:rsid w:val="00250E7A"/>
    <w:rsid w:val="00250EDB"/>
    <w:rsid w:val="0025170D"/>
    <w:rsid w:val="00253020"/>
    <w:rsid w:val="002546F7"/>
    <w:rsid w:val="00254975"/>
    <w:rsid w:val="0025732B"/>
    <w:rsid w:val="0025744A"/>
    <w:rsid w:val="002574C8"/>
    <w:rsid w:val="00260A61"/>
    <w:rsid w:val="00260D4C"/>
    <w:rsid w:val="00261516"/>
    <w:rsid w:val="00262FD5"/>
    <w:rsid w:val="002637FA"/>
    <w:rsid w:val="00266599"/>
    <w:rsid w:val="00267BD0"/>
    <w:rsid w:val="00270930"/>
    <w:rsid w:val="002722E5"/>
    <w:rsid w:val="00272CF4"/>
    <w:rsid w:val="00273291"/>
    <w:rsid w:val="002746E6"/>
    <w:rsid w:val="00275E77"/>
    <w:rsid w:val="00276343"/>
    <w:rsid w:val="0028141B"/>
    <w:rsid w:val="00282966"/>
    <w:rsid w:val="00282A26"/>
    <w:rsid w:val="00283A79"/>
    <w:rsid w:val="00284B62"/>
    <w:rsid w:val="0028591D"/>
    <w:rsid w:val="00285CB8"/>
    <w:rsid w:val="00286157"/>
    <w:rsid w:val="0028709D"/>
    <w:rsid w:val="00287266"/>
    <w:rsid w:val="00290BED"/>
    <w:rsid w:val="0029118A"/>
    <w:rsid w:val="0029123A"/>
    <w:rsid w:val="00291EB3"/>
    <w:rsid w:val="00295005"/>
    <w:rsid w:val="002A0279"/>
    <w:rsid w:val="002A0586"/>
    <w:rsid w:val="002A0889"/>
    <w:rsid w:val="002A0BDE"/>
    <w:rsid w:val="002A0FDD"/>
    <w:rsid w:val="002A17D2"/>
    <w:rsid w:val="002A1DED"/>
    <w:rsid w:val="002A2307"/>
    <w:rsid w:val="002A26A8"/>
    <w:rsid w:val="002A281F"/>
    <w:rsid w:val="002A2A29"/>
    <w:rsid w:val="002A32EB"/>
    <w:rsid w:val="002A3449"/>
    <w:rsid w:val="002A3707"/>
    <w:rsid w:val="002A3BCD"/>
    <w:rsid w:val="002A47D9"/>
    <w:rsid w:val="002A5B0E"/>
    <w:rsid w:val="002A61CC"/>
    <w:rsid w:val="002A730A"/>
    <w:rsid w:val="002A7323"/>
    <w:rsid w:val="002A7B87"/>
    <w:rsid w:val="002A7D58"/>
    <w:rsid w:val="002B1056"/>
    <w:rsid w:val="002B1364"/>
    <w:rsid w:val="002B15DF"/>
    <w:rsid w:val="002B23F3"/>
    <w:rsid w:val="002B288D"/>
    <w:rsid w:val="002B3C9F"/>
    <w:rsid w:val="002B440E"/>
    <w:rsid w:val="002B5AAE"/>
    <w:rsid w:val="002B5DB1"/>
    <w:rsid w:val="002B6931"/>
    <w:rsid w:val="002B76A5"/>
    <w:rsid w:val="002B7F2A"/>
    <w:rsid w:val="002C0440"/>
    <w:rsid w:val="002C1DEF"/>
    <w:rsid w:val="002C33EE"/>
    <w:rsid w:val="002C39BD"/>
    <w:rsid w:val="002C3FF3"/>
    <w:rsid w:val="002C400D"/>
    <w:rsid w:val="002C4631"/>
    <w:rsid w:val="002C50E9"/>
    <w:rsid w:val="002C6AF2"/>
    <w:rsid w:val="002C6D15"/>
    <w:rsid w:val="002C721A"/>
    <w:rsid w:val="002C73F2"/>
    <w:rsid w:val="002C770D"/>
    <w:rsid w:val="002D0639"/>
    <w:rsid w:val="002D0C2F"/>
    <w:rsid w:val="002D1C35"/>
    <w:rsid w:val="002D2E0B"/>
    <w:rsid w:val="002D3996"/>
    <w:rsid w:val="002D492B"/>
    <w:rsid w:val="002D5108"/>
    <w:rsid w:val="002D63A1"/>
    <w:rsid w:val="002D6F0F"/>
    <w:rsid w:val="002D73ED"/>
    <w:rsid w:val="002D77C9"/>
    <w:rsid w:val="002E0774"/>
    <w:rsid w:val="002E0DB9"/>
    <w:rsid w:val="002E1825"/>
    <w:rsid w:val="002E1EFA"/>
    <w:rsid w:val="002E218C"/>
    <w:rsid w:val="002E317A"/>
    <w:rsid w:val="002E3533"/>
    <w:rsid w:val="002E376E"/>
    <w:rsid w:val="002E4130"/>
    <w:rsid w:val="002E56D2"/>
    <w:rsid w:val="002E5CC9"/>
    <w:rsid w:val="002E7319"/>
    <w:rsid w:val="002F0109"/>
    <w:rsid w:val="002F137A"/>
    <w:rsid w:val="002F2214"/>
    <w:rsid w:val="002F2B1D"/>
    <w:rsid w:val="002F2F14"/>
    <w:rsid w:val="002F3EDC"/>
    <w:rsid w:val="002F597E"/>
    <w:rsid w:val="002F6FB8"/>
    <w:rsid w:val="003011C3"/>
    <w:rsid w:val="003019C1"/>
    <w:rsid w:val="00302B04"/>
    <w:rsid w:val="003034AD"/>
    <w:rsid w:val="003040CC"/>
    <w:rsid w:val="003046BA"/>
    <w:rsid w:val="0030480F"/>
    <w:rsid w:val="0030603C"/>
    <w:rsid w:val="00306275"/>
    <w:rsid w:val="00306422"/>
    <w:rsid w:val="0030741F"/>
    <w:rsid w:val="00310932"/>
    <w:rsid w:val="003110EA"/>
    <w:rsid w:val="003123C6"/>
    <w:rsid w:val="003126E0"/>
    <w:rsid w:val="003134CB"/>
    <w:rsid w:val="0031365F"/>
    <w:rsid w:val="003140BE"/>
    <w:rsid w:val="003143A5"/>
    <w:rsid w:val="00314D05"/>
    <w:rsid w:val="00315595"/>
    <w:rsid w:val="00315B1A"/>
    <w:rsid w:val="00315EF5"/>
    <w:rsid w:val="0031637C"/>
    <w:rsid w:val="003172F8"/>
    <w:rsid w:val="0031739E"/>
    <w:rsid w:val="003177EF"/>
    <w:rsid w:val="00317BC1"/>
    <w:rsid w:val="00317C3B"/>
    <w:rsid w:val="00317C3F"/>
    <w:rsid w:val="00317CCC"/>
    <w:rsid w:val="003204C6"/>
    <w:rsid w:val="00321482"/>
    <w:rsid w:val="0032151D"/>
    <w:rsid w:val="00321E37"/>
    <w:rsid w:val="00322D9B"/>
    <w:rsid w:val="003230B1"/>
    <w:rsid w:val="0032453B"/>
    <w:rsid w:val="00325F01"/>
    <w:rsid w:val="003274C9"/>
    <w:rsid w:val="0032776D"/>
    <w:rsid w:val="00327845"/>
    <w:rsid w:val="0032799D"/>
    <w:rsid w:val="00327B2A"/>
    <w:rsid w:val="00327C06"/>
    <w:rsid w:val="00327D6B"/>
    <w:rsid w:val="0033042D"/>
    <w:rsid w:val="0033059C"/>
    <w:rsid w:val="0033063A"/>
    <w:rsid w:val="00330DC7"/>
    <w:rsid w:val="00330E9C"/>
    <w:rsid w:val="003312E2"/>
    <w:rsid w:val="003327A6"/>
    <w:rsid w:val="003335D9"/>
    <w:rsid w:val="00333980"/>
    <w:rsid w:val="00335152"/>
    <w:rsid w:val="00336831"/>
    <w:rsid w:val="00336946"/>
    <w:rsid w:val="00340225"/>
    <w:rsid w:val="00340A0C"/>
    <w:rsid w:val="00340A33"/>
    <w:rsid w:val="003414FA"/>
    <w:rsid w:val="00341AA9"/>
    <w:rsid w:val="003420EA"/>
    <w:rsid w:val="003424C6"/>
    <w:rsid w:val="003437FB"/>
    <w:rsid w:val="0034452A"/>
    <w:rsid w:val="003451DF"/>
    <w:rsid w:val="003453C9"/>
    <w:rsid w:val="00345D74"/>
    <w:rsid w:val="003463D3"/>
    <w:rsid w:val="0034775F"/>
    <w:rsid w:val="00347A3C"/>
    <w:rsid w:val="0035029D"/>
    <w:rsid w:val="00350A18"/>
    <w:rsid w:val="00351699"/>
    <w:rsid w:val="00351D01"/>
    <w:rsid w:val="003526B9"/>
    <w:rsid w:val="00352938"/>
    <w:rsid w:val="00353BCD"/>
    <w:rsid w:val="00354563"/>
    <w:rsid w:val="00354E3E"/>
    <w:rsid w:val="00356625"/>
    <w:rsid w:val="003567A8"/>
    <w:rsid w:val="003579B4"/>
    <w:rsid w:val="00357D82"/>
    <w:rsid w:val="00360C3C"/>
    <w:rsid w:val="003614CB"/>
    <w:rsid w:val="0036162B"/>
    <w:rsid w:val="00361B44"/>
    <w:rsid w:val="00362AFC"/>
    <w:rsid w:val="00364907"/>
    <w:rsid w:val="0036568F"/>
    <w:rsid w:val="003669D2"/>
    <w:rsid w:val="00366B81"/>
    <w:rsid w:val="00366FC9"/>
    <w:rsid w:val="00367C87"/>
    <w:rsid w:val="00367CA7"/>
    <w:rsid w:val="003700F6"/>
    <w:rsid w:val="00370A10"/>
    <w:rsid w:val="003718A1"/>
    <w:rsid w:val="0037259F"/>
    <w:rsid w:val="00372DB8"/>
    <w:rsid w:val="003731A3"/>
    <w:rsid w:val="0037324F"/>
    <w:rsid w:val="00374031"/>
    <w:rsid w:val="003759DB"/>
    <w:rsid w:val="00377307"/>
    <w:rsid w:val="003806E6"/>
    <w:rsid w:val="003809B3"/>
    <w:rsid w:val="00382ECD"/>
    <w:rsid w:val="0038318C"/>
    <w:rsid w:val="00383DD6"/>
    <w:rsid w:val="003841FF"/>
    <w:rsid w:val="003842D5"/>
    <w:rsid w:val="00384533"/>
    <w:rsid w:val="00384588"/>
    <w:rsid w:val="00384682"/>
    <w:rsid w:val="00386921"/>
    <w:rsid w:val="00386A52"/>
    <w:rsid w:val="003878E8"/>
    <w:rsid w:val="00390157"/>
    <w:rsid w:val="00393521"/>
    <w:rsid w:val="00393AA5"/>
    <w:rsid w:val="00395874"/>
    <w:rsid w:val="00396349"/>
    <w:rsid w:val="00396554"/>
    <w:rsid w:val="00397D64"/>
    <w:rsid w:val="003A05A9"/>
    <w:rsid w:val="003A1085"/>
    <w:rsid w:val="003B0AC1"/>
    <w:rsid w:val="003B2BFF"/>
    <w:rsid w:val="003B2F2E"/>
    <w:rsid w:val="003B3123"/>
    <w:rsid w:val="003B31B7"/>
    <w:rsid w:val="003B6402"/>
    <w:rsid w:val="003B7436"/>
    <w:rsid w:val="003B77F3"/>
    <w:rsid w:val="003B7848"/>
    <w:rsid w:val="003C2C0F"/>
    <w:rsid w:val="003C2F62"/>
    <w:rsid w:val="003C3E41"/>
    <w:rsid w:val="003C47A6"/>
    <w:rsid w:val="003C4B57"/>
    <w:rsid w:val="003C5664"/>
    <w:rsid w:val="003C56BB"/>
    <w:rsid w:val="003C57C5"/>
    <w:rsid w:val="003C6399"/>
    <w:rsid w:val="003C6C47"/>
    <w:rsid w:val="003C7D9F"/>
    <w:rsid w:val="003D0CDC"/>
    <w:rsid w:val="003D0E1A"/>
    <w:rsid w:val="003D22FA"/>
    <w:rsid w:val="003D2521"/>
    <w:rsid w:val="003D2CB6"/>
    <w:rsid w:val="003D5547"/>
    <w:rsid w:val="003D55F9"/>
    <w:rsid w:val="003D66CF"/>
    <w:rsid w:val="003E05A7"/>
    <w:rsid w:val="003E18EF"/>
    <w:rsid w:val="003E22CD"/>
    <w:rsid w:val="003E2CBA"/>
    <w:rsid w:val="003E42DF"/>
    <w:rsid w:val="003E4D20"/>
    <w:rsid w:val="003E554E"/>
    <w:rsid w:val="003E5E33"/>
    <w:rsid w:val="003E6D88"/>
    <w:rsid w:val="003F0967"/>
    <w:rsid w:val="003F0FF2"/>
    <w:rsid w:val="003F370C"/>
    <w:rsid w:val="003F4904"/>
    <w:rsid w:val="003F56E7"/>
    <w:rsid w:val="003F5A98"/>
    <w:rsid w:val="003F6824"/>
    <w:rsid w:val="003F71A9"/>
    <w:rsid w:val="003F7BA6"/>
    <w:rsid w:val="003F7E9D"/>
    <w:rsid w:val="0040079A"/>
    <w:rsid w:val="0040097E"/>
    <w:rsid w:val="0040133F"/>
    <w:rsid w:val="00403562"/>
    <w:rsid w:val="00403979"/>
    <w:rsid w:val="00404A19"/>
    <w:rsid w:val="00404D14"/>
    <w:rsid w:val="00404E50"/>
    <w:rsid w:val="00405157"/>
    <w:rsid w:val="004061C1"/>
    <w:rsid w:val="004064F6"/>
    <w:rsid w:val="00406A80"/>
    <w:rsid w:val="004075EA"/>
    <w:rsid w:val="004101CB"/>
    <w:rsid w:val="0041099A"/>
    <w:rsid w:val="00412410"/>
    <w:rsid w:val="004131F0"/>
    <w:rsid w:val="00413F6E"/>
    <w:rsid w:val="00414D9F"/>
    <w:rsid w:val="0041521A"/>
    <w:rsid w:val="00415C95"/>
    <w:rsid w:val="00416134"/>
    <w:rsid w:val="00416340"/>
    <w:rsid w:val="00416A38"/>
    <w:rsid w:val="00417650"/>
    <w:rsid w:val="004179E9"/>
    <w:rsid w:val="00417E88"/>
    <w:rsid w:val="00420775"/>
    <w:rsid w:val="00420B9F"/>
    <w:rsid w:val="00420C17"/>
    <w:rsid w:val="00421C60"/>
    <w:rsid w:val="0042211E"/>
    <w:rsid w:val="00422E37"/>
    <w:rsid w:val="0042381F"/>
    <w:rsid w:val="0042470E"/>
    <w:rsid w:val="00424A8A"/>
    <w:rsid w:val="00425F22"/>
    <w:rsid w:val="00426A52"/>
    <w:rsid w:val="00427BAC"/>
    <w:rsid w:val="00430B71"/>
    <w:rsid w:val="00430F7A"/>
    <w:rsid w:val="004313CE"/>
    <w:rsid w:val="004328B7"/>
    <w:rsid w:val="004335BD"/>
    <w:rsid w:val="0043390B"/>
    <w:rsid w:val="00435889"/>
    <w:rsid w:val="004368D4"/>
    <w:rsid w:val="00437B6A"/>
    <w:rsid w:val="00437D04"/>
    <w:rsid w:val="004417A8"/>
    <w:rsid w:val="0044267A"/>
    <w:rsid w:val="00442BE9"/>
    <w:rsid w:val="00443626"/>
    <w:rsid w:val="00444E66"/>
    <w:rsid w:val="0044512D"/>
    <w:rsid w:val="00445172"/>
    <w:rsid w:val="004451BE"/>
    <w:rsid w:val="004470ED"/>
    <w:rsid w:val="004470FF"/>
    <w:rsid w:val="00447AD2"/>
    <w:rsid w:val="00447E9A"/>
    <w:rsid w:val="00450191"/>
    <w:rsid w:val="00450193"/>
    <w:rsid w:val="004505C9"/>
    <w:rsid w:val="00450EE5"/>
    <w:rsid w:val="004521D6"/>
    <w:rsid w:val="00452991"/>
    <w:rsid w:val="0045372A"/>
    <w:rsid w:val="00453A80"/>
    <w:rsid w:val="00453BC8"/>
    <w:rsid w:val="004540FE"/>
    <w:rsid w:val="004542DB"/>
    <w:rsid w:val="0045434A"/>
    <w:rsid w:val="0045576E"/>
    <w:rsid w:val="00461459"/>
    <w:rsid w:val="00461C6C"/>
    <w:rsid w:val="004639BC"/>
    <w:rsid w:val="00465801"/>
    <w:rsid w:val="00465C35"/>
    <w:rsid w:val="004665FD"/>
    <w:rsid w:val="004706B7"/>
    <w:rsid w:val="00470B6C"/>
    <w:rsid w:val="004713B8"/>
    <w:rsid w:val="004738D2"/>
    <w:rsid w:val="0047416B"/>
    <w:rsid w:val="00474202"/>
    <w:rsid w:val="00474483"/>
    <w:rsid w:val="0047496C"/>
    <w:rsid w:val="00475276"/>
    <w:rsid w:val="004763BF"/>
    <w:rsid w:val="0047788D"/>
    <w:rsid w:val="00477D6E"/>
    <w:rsid w:val="00480D62"/>
    <w:rsid w:val="0048135D"/>
    <w:rsid w:val="004822F9"/>
    <w:rsid w:val="00482648"/>
    <w:rsid w:val="004829BC"/>
    <w:rsid w:val="00482A76"/>
    <w:rsid w:val="004833D0"/>
    <w:rsid w:val="00483D9F"/>
    <w:rsid w:val="004847FB"/>
    <w:rsid w:val="0048557E"/>
    <w:rsid w:val="004856D7"/>
    <w:rsid w:val="0048589E"/>
    <w:rsid w:val="00486092"/>
    <w:rsid w:val="00486814"/>
    <w:rsid w:val="00487408"/>
    <w:rsid w:val="00487717"/>
    <w:rsid w:val="00487C8F"/>
    <w:rsid w:val="00487EDF"/>
    <w:rsid w:val="00490CF9"/>
    <w:rsid w:val="004915C0"/>
    <w:rsid w:val="00492C58"/>
    <w:rsid w:val="00494B5D"/>
    <w:rsid w:val="00495337"/>
    <w:rsid w:val="004956FF"/>
    <w:rsid w:val="00495CBE"/>
    <w:rsid w:val="00496AB4"/>
    <w:rsid w:val="00497C5B"/>
    <w:rsid w:val="004A0594"/>
    <w:rsid w:val="004A0813"/>
    <w:rsid w:val="004A1EC9"/>
    <w:rsid w:val="004A3291"/>
    <w:rsid w:val="004A3760"/>
    <w:rsid w:val="004A3B41"/>
    <w:rsid w:val="004A42FE"/>
    <w:rsid w:val="004A5482"/>
    <w:rsid w:val="004A5E47"/>
    <w:rsid w:val="004A6AF4"/>
    <w:rsid w:val="004A6F37"/>
    <w:rsid w:val="004B12FD"/>
    <w:rsid w:val="004B2190"/>
    <w:rsid w:val="004B2E9A"/>
    <w:rsid w:val="004B33A8"/>
    <w:rsid w:val="004B37DF"/>
    <w:rsid w:val="004B3C11"/>
    <w:rsid w:val="004B536B"/>
    <w:rsid w:val="004B5886"/>
    <w:rsid w:val="004B5E24"/>
    <w:rsid w:val="004B5F32"/>
    <w:rsid w:val="004B5F63"/>
    <w:rsid w:val="004B6744"/>
    <w:rsid w:val="004B6E24"/>
    <w:rsid w:val="004B77C9"/>
    <w:rsid w:val="004B7F8E"/>
    <w:rsid w:val="004C0556"/>
    <w:rsid w:val="004C118F"/>
    <w:rsid w:val="004C250E"/>
    <w:rsid w:val="004C2715"/>
    <w:rsid w:val="004C2A58"/>
    <w:rsid w:val="004C2A84"/>
    <w:rsid w:val="004C2D80"/>
    <w:rsid w:val="004C3277"/>
    <w:rsid w:val="004C3A85"/>
    <w:rsid w:val="004C4A86"/>
    <w:rsid w:val="004C5261"/>
    <w:rsid w:val="004C684D"/>
    <w:rsid w:val="004C7BD2"/>
    <w:rsid w:val="004D11FF"/>
    <w:rsid w:val="004D1754"/>
    <w:rsid w:val="004D3D1A"/>
    <w:rsid w:val="004D4133"/>
    <w:rsid w:val="004D5004"/>
    <w:rsid w:val="004E017E"/>
    <w:rsid w:val="004E0878"/>
    <w:rsid w:val="004E0A81"/>
    <w:rsid w:val="004E0C2F"/>
    <w:rsid w:val="004E1299"/>
    <w:rsid w:val="004E22CC"/>
    <w:rsid w:val="004E23FE"/>
    <w:rsid w:val="004E5072"/>
    <w:rsid w:val="004E521E"/>
    <w:rsid w:val="004E60E9"/>
    <w:rsid w:val="004E7A72"/>
    <w:rsid w:val="004F04AB"/>
    <w:rsid w:val="004F0EBE"/>
    <w:rsid w:val="004F3439"/>
    <w:rsid w:val="004F343E"/>
    <w:rsid w:val="004F3C3C"/>
    <w:rsid w:val="004F483F"/>
    <w:rsid w:val="004F4A76"/>
    <w:rsid w:val="004F547A"/>
    <w:rsid w:val="004F6217"/>
    <w:rsid w:val="004F6BD6"/>
    <w:rsid w:val="004F6C9F"/>
    <w:rsid w:val="004F7104"/>
    <w:rsid w:val="00500070"/>
    <w:rsid w:val="00500257"/>
    <w:rsid w:val="005006AA"/>
    <w:rsid w:val="00500B5E"/>
    <w:rsid w:val="00502109"/>
    <w:rsid w:val="005026F9"/>
    <w:rsid w:val="00503A23"/>
    <w:rsid w:val="005045AD"/>
    <w:rsid w:val="00504616"/>
    <w:rsid w:val="00504848"/>
    <w:rsid w:val="0050505F"/>
    <w:rsid w:val="00505E24"/>
    <w:rsid w:val="00506822"/>
    <w:rsid w:val="005070A1"/>
    <w:rsid w:val="0051134C"/>
    <w:rsid w:val="005124F5"/>
    <w:rsid w:val="005129A3"/>
    <w:rsid w:val="00512E5A"/>
    <w:rsid w:val="0051378F"/>
    <w:rsid w:val="00513946"/>
    <w:rsid w:val="005142E0"/>
    <w:rsid w:val="005145D3"/>
    <w:rsid w:val="00515011"/>
    <w:rsid w:val="005150B8"/>
    <w:rsid w:val="00515F11"/>
    <w:rsid w:val="00515F90"/>
    <w:rsid w:val="0051605D"/>
    <w:rsid w:val="00516521"/>
    <w:rsid w:val="00516994"/>
    <w:rsid w:val="00517DD2"/>
    <w:rsid w:val="00517E2E"/>
    <w:rsid w:val="00517FBF"/>
    <w:rsid w:val="0052032F"/>
    <w:rsid w:val="005220BE"/>
    <w:rsid w:val="005220C1"/>
    <w:rsid w:val="0052249B"/>
    <w:rsid w:val="00522726"/>
    <w:rsid w:val="00523A22"/>
    <w:rsid w:val="00523EAB"/>
    <w:rsid w:val="0052417E"/>
    <w:rsid w:val="00525FB3"/>
    <w:rsid w:val="00526048"/>
    <w:rsid w:val="005261CF"/>
    <w:rsid w:val="00526914"/>
    <w:rsid w:val="00526C20"/>
    <w:rsid w:val="00527E83"/>
    <w:rsid w:val="00531129"/>
    <w:rsid w:val="00531365"/>
    <w:rsid w:val="00531634"/>
    <w:rsid w:val="00531A4C"/>
    <w:rsid w:val="00532752"/>
    <w:rsid w:val="00532890"/>
    <w:rsid w:val="0053345D"/>
    <w:rsid w:val="0053361E"/>
    <w:rsid w:val="005350A5"/>
    <w:rsid w:val="00535D42"/>
    <w:rsid w:val="00535F04"/>
    <w:rsid w:val="005371E4"/>
    <w:rsid w:val="00537C65"/>
    <w:rsid w:val="00540712"/>
    <w:rsid w:val="005408C8"/>
    <w:rsid w:val="0054094A"/>
    <w:rsid w:val="00541086"/>
    <w:rsid w:val="00542370"/>
    <w:rsid w:val="00542D91"/>
    <w:rsid w:val="00543512"/>
    <w:rsid w:val="00543FAB"/>
    <w:rsid w:val="00544349"/>
    <w:rsid w:val="0054505F"/>
    <w:rsid w:val="0054693C"/>
    <w:rsid w:val="00546D12"/>
    <w:rsid w:val="00546F93"/>
    <w:rsid w:val="00547592"/>
    <w:rsid w:val="00547F93"/>
    <w:rsid w:val="0055048C"/>
    <w:rsid w:val="00550DF2"/>
    <w:rsid w:val="005510D4"/>
    <w:rsid w:val="00551391"/>
    <w:rsid w:val="00551B09"/>
    <w:rsid w:val="00552403"/>
    <w:rsid w:val="00552536"/>
    <w:rsid w:val="0055278C"/>
    <w:rsid w:val="00552C3B"/>
    <w:rsid w:val="005551CB"/>
    <w:rsid w:val="00556C81"/>
    <w:rsid w:val="00560522"/>
    <w:rsid w:val="005606C5"/>
    <w:rsid w:val="00560B37"/>
    <w:rsid w:val="00561154"/>
    <w:rsid w:val="005620B0"/>
    <w:rsid w:val="00562A76"/>
    <w:rsid w:val="005654BF"/>
    <w:rsid w:val="00566300"/>
    <w:rsid w:val="00566CC8"/>
    <w:rsid w:val="00570E73"/>
    <w:rsid w:val="005716B2"/>
    <w:rsid w:val="00571F23"/>
    <w:rsid w:val="00572611"/>
    <w:rsid w:val="0057273E"/>
    <w:rsid w:val="005739DE"/>
    <w:rsid w:val="00574FA9"/>
    <w:rsid w:val="0057509B"/>
    <w:rsid w:val="00575232"/>
    <w:rsid w:val="00576D21"/>
    <w:rsid w:val="00580093"/>
    <w:rsid w:val="005801D4"/>
    <w:rsid w:val="00581267"/>
    <w:rsid w:val="00581934"/>
    <w:rsid w:val="00582FFD"/>
    <w:rsid w:val="00583C4A"/>
    <w:rsid w:val="00583EBF"/>
    <w:rsid w:val="00583FA6"/>
    <w:rsid w:val="005849CC"/>
    <w:rsid w:val="00584CF1"/>
    <w:rsid w:val="00584FF9"/>
    <w:rsid w:val="005851E3"/>
    <w:rsid w:val="0058521F"/>
    <w:rsid w:val="00585B10"/>
    <w:rsid w:val="00585B4E"/>
    <w:rsid w:val="00585D83"/>
    <w:rsid w:val="0058770D"/>
    <w:rsid w:val="00591273"/>
    <w:rsid w:val="005915F1"/>
    <w:rsid w:val="00592508"/>
    <w:rsid w:val="00594489"/>
    <w:rsid w:val="00594668"/>
    <w:rsid w:val="005948DA"/>
    <w:rsid w:val="00594B18"/>
    <w:rsid w:val="00594D31"/>
    <w:rsid w:val="0059587F"/>
    <w:rsid w:val="00596DD0"/>
    <w:rsid w:val="0059707D"/>
    <w:rsid w:val="005973FB"/>
    <w:rsid w:val="00597490"/>
    <w:rsid w:val="005A154F"/>
    <w:rsid w:val="005A1649"/>
    <w:rsid w:val="005A17C4"/>
    <w:rsid w:val="005A1B4C"/>
    <w:rsid w:val="005A1D96"/>
    <w:rsid w:val="005A4BC0"/>
    <w:rsid w:val="005A4E8C"/>
    <w:rsid w:val="005A624D"/>
    <w:rsid w:val="005A6689"/>
    <w:rsid w:val="005A7C12"/>
    <w:rsid w:val="005A7DF4"/>
    <w:rsid w:val="005A7E19"/>
    <w:rsid w:val="005B08F1"/>
    <w:rsid w:val="005B0E05"/>
    <w:rsid w:val="005B19FA"/>
    <w:rsid w:val="005B2253"/>
    <w:rsid w:val="005B2335"/>
    <w:rsid w:val="005B33CF"/>
    <w:rsid w:val="005B356B"/>
    <w:rsid w:val="005B5330"/>
    <w:rsid w:val="005B60D2"/>
    <w:rsid w:val="005B7CAB"/>
    <w:rsid w:val="005C073B"/>
    <w:rsid w:val="005C2251"/>
    <w:rsid w:val="005C2D4F"/>
    <w:rsid w:val="005C3818"/>
    <w:rsid w:val="005C3D04"/>
    <w:rsid w:val="005C622D"/>
    <w:rsid w:val="005C63FA"/>
    <w:rsid w:val="005C7213"/>
    <w:rsid w:val="005C7A74"/>
    <w:rsid w:val="005D049A"/>
    <w:rsid w:val="005D0C6D"/>
    <w:rsid w:val="005D141C"/>
    <w:rsid w:val="005D293B"/>
    <w:rsid w:val="005D2949"/>
    <w:rsid w:val="005D2A67"/>
    <w:rsid w:val="005D2D9C"/>
    <w:rsid w:val="005D33EC"/>
    <w:rsid w:val="005D34AA"/>
    <w:rsid w:val="005D35A4"/>
    <w:rsid w:val="005D4AE0"/>
    <w:rsid w:val="005D5851"/>
    <w:rsid w:val="005D61A3"/>
    <w:rsid w:val="005D6217"/>
    <w:rsid w:val="005D7456"/>
    <w:rsid w:val="005D749E"/>
    <w:rsid w:val="005E062C"/>
    <w:rsid w:val="005E110C"/>
    <w:rsid w:val="005E1392"/>
    <w:rsid w:val="005E181C"/>
    <w:rsid w:val="005E1C35"/>
    <w:rsid w:val="005E1DC0"/>
    <w:rsid w:val="005E2836"/>
    <w:rsid w:val="005E3313"/>
    <w:rsid w:val="005E3EA0"/>
    <w:rsid w:val="005E4C69"/>
    <w:rsid w:val="005E5501"/>
    <w:rsid w:val="005E55A6"/>
    <w:rsid w:val="005E70B2"/>
    <w:rsid w:val="005E778B"/>
    <w:rsid w:val="005F1175"/>
    <w:rsid w:val="005F155A"/>
    <w:rsid w:val="005F1688"/>
    <w:rsid w:val="005F1DC0"/>
    <w:rsid w:val="005F2A0A"/>
    <w:rsid w:val="005F33BA"/>
    <w:rsid w:val="005F3770"/>
    <w:rsid w:val="005F4115"/>
    <w:rsid w:val="005F43C0"/>
    <w:rsid w:val="005F491E"/>
    <w:rsid w:val="005F550C"/>
    <w:rsid w:val="005F56AF"/>
    <w:rsid w:val="005F68E2"/>
    <w:rsid w:val="005F6A53"/>
    <w:rsid w:val="005F70DA"/>
    <w:rsid w:val="00600617"/>
    <w:rsid w:val="006006D4"/>
    <w:rsid w:val="00600D9E"/>
    <w:rsid w:val="00602450"/>
    <w:rsid w:val="00603A4B"/>
    <w:rsid w:val="0060448B"/>
    <w:rsid w:val="00604D56"/>
    <w:rsid w:val="00604E2F"/>
    <w:rsid w:val="0060523B"/>
    <w:rsid w:val="00605984"/>
    <w:rsid w:val="00605B98"/>
    <w:rsid w:val="006063CD"/>
    <w:rsid w:val="006063EA"/>
    <w:rsid w:val="00606D42"/>
    <w:rsid w:val="00606D54"/>
    <w:rsid w:val="0060741E"/>
    <w:rsid w:val="006077F8"/>
    <w:rsid w:val="00607E45"/>
    <w:rsid w:val="00610613"/>
    <w:rsid w:val="0061081D"/>
    <w:rsid w:val="00610D82"/>
    <w:rsid w:val="00611075"/>
    <w:rsid w:val="006124A2"/>
    <w:rsid w:val="00612B3F"/>
    <w:rsid w:val="00614BA1"/>
    <w:rsid w:val="00616B33"/>
    <w:rsid w:val="00617453"/>
    <w:rsid w:val="006202C2"/>
    <w:rsid w:val="00620620"/>
    <w:rsid w:val="00620DA5"/>
    <w:rsid w:val="00620DA8"/>
    <w:rsid w:val="006219E9"/>
    <w:rsid w:val="00621D69"/>
    <w:rsid w:val="00623104"/>
    <w:rsid w:val="006240BA"/>
    <w:rsid w:val="00624ED4"/>
    <w:rsid w:val="0062521D"/>
    <w:rsid w:val="00625CAE"/>
    <w:rsid w:val="0062627B"/>
    <w:rsid w:val="0062643E"/>
    <w:rsid w:val="00627160"/>
    <w:rsid w:val="00627449"/>
    <w:rsid w:val="00630492"/>
    <w:rsid w:val="00630C0D"/>
    <w:rsid w:val="00631505"/>
    <w:rsid w:val="00631583"/>
    <w:rsid w:val="006317E2"/>
    <w:rsid w:val="0063360E"/>
    <w:rsid w:val="006336FF"/>
    <w:rsid w:val="00633AB9"/>
    <w:rsid w:val="00633DCF"/>
    <w:rsid w:val="00633F21"/>
    <w:rsid w:val="0063474C"/>
    <w:rsid w:val="006353AD"/>
    <w:rsid w:val="00635A04"/>
    <w:rsid w:val="00635B01"/>
    <w:rsid w:val="00636322"/>
    <w:rsid w:val="0063635B"/>
    <w:rsid w:val="0063791D"/>
    <w:rsid w:val="00640230"/>
    <w:rsid w:val="00640AA3"/>
    <w:rsid w:val="0064130B"/>
    <w:rsid w:val="00641659"/>
    <w:rsid w:val="00641EAD"/>
    <w:rsid w:val="006431C5"/>
    <w:rsid w:val="00643656"/>
    <w:rsid w:val="006436C4"/>
    <w:rsid w:val="00643D79"/>
    <w:rsid w:val="00645402"/>
    <w:rsid w:val="00645646"/>
    <w:rsid w:val="006463E4"/>
    <w:rsid w:val="006476B8"/>
    <w:rsid w:val="00650798"/>
    <w:rsid w:val="00650E42"/>
    <w:rsid w:val="00652D67"/>
    <w:rsid w:val="0065328C"/>
    <w:rsid w:val="00654180"/>
    <w:rsid w:val="00654237"/>
    <w:rsid w:val="006545FD"/>
    <w:rsid w:val="00655C09"/>
    <w:rsid w:val="00656842"/>
    <w:rsid w:val="00656FF5"/>
    <w:rsid w:val="00657A30"/>
    <w:rsid w:val="00657D0B"/>
    <w:rsid w:val="0066023C"/>
    <w:rsid w:val="00660CA5"/>
    <w:rsid w:val="00662570"/>
    <w:rsid w:val="006625FB"/>
    <w:rsid w:val="00662FD8"/>
    <w:rsid w:val="006631EE"/>
    <w:rsid w:val="00663213"/>
    <w:rsid w:val="00663FAB"/>
    <w:rsid w:val="00667676"/>
    <w:rsid w:val="00667807"/>
    <w:rsid w:val="00667B43"/>
    <w:rsid w:val="00670198"/>
    <w:rsid w:val="0067027E"/>
    <w:rsid w:val="0067029B"/>
    <w:rsid w:val="00671DF2"/>
    <w:rsid w:val="00671EA6"/>
    <w:rsid w:val="006727B0"/>
    <w:rsid w:val="00672B6F"/>
    <w:rsid w:val="00673EE4"/>
    <w:rsid w:val="00674426"/>
    <w:rsid w:val="006746E5"/>
    <w:rsid w:val="00675880"/>
    <w:rsid w:val="0068044B"/>
    <w:rsid w:val="006807F2"/>
    <w:rsid w:val="00682786"/>
    <w:rsid w:val="00682E5F"/>
    <w:rsid w:val="006845EB"/>
    <w:rsid w:val="00685561"/>
    <w:rsid w:val="00685708"/>
    <w:rsid w:val="006860BC"/>
    <w:rsid w:val="0069007E"/>
    <w:rsid w:val="00690895"/>
    <w:rsid w:val="00690F0B"/>
    <w:rsid w:val="00691C24"/>
    <w:rsid w:val="00691FCF"/>
    <w:rsid w:val="0069204C"/>
    <w:rsid w:val="006926FD"/>
    <w:rsid w:val="006927C0"/>
    <w:rsid w:val="00692BF8"/>
    <w:rsid w:val="00692F7D"/>
    <w:rsid w:val="0069361E"/>
    <w:rsid w:val="0069395F"/>
    <w:rsid w:val="00694A79"/>
    <w:rsid w:val="00694F3E"/>
    <w:rsid w:val="00695E1F"/>
    <w:rsid w:val="00696434"/>
    <w:rsid w:val="00696569"/>
    <w:rsid w:val="00696B1C"/>
    <w:rsid w:val="0069720F"/>
    <w:rsid w:val="00697363"/>
    <w:rsid w:val="006A174F"/>
    <w:rsid w:val="006A1F72"/>
    <w:rsid w:val="006A2EBD"/>
    <w:rsid w:val="006A318A"/>
    <w:rsid w:val="006A33B0"/>
    <w:rsid w:val="006A34D8"/>
    <w:rsid w:val="006A4748"/>
    <w:rsid w:val="006A79A7"/>
    <w:rsid w:val="006B04EF"/>
    <w:rsid w:val="006B0BAB"/>
    <w:rsid w:val="006B0FF2"/>
    <w:rsid w:val="006B1018"/>
    <w:rsid w:val="006B284D"/>
    <w:rsid w:val="006B29FE"/>
    <w:rsid w:val="006B2AFC"/>
    <w:rsid w:val="006B2F85"/>
    <w:rsid w:val="006B3529"/>
    <w:rsid w:val="006B38CF"/>
    <w:rsid w:val="006B4AB9"/>
    <w:rsid w:val="006B4C57"/>
    <w:rsid w:val="006B5F2A"/>
    <w:rsid w:val="006B6198"/>
    <w:rsid w:val="006B6509"/>
    <w:rsid w:val="006B6888"/>
    <w:rsid w:val="006B696F"/>
    <w:rsid w:val="006B6E62"/>
    <w:rsid w:val="006B71AB"/>
    <w:rsid w:val="006B71EC"/>
    <w:rsid w:val="006B7831"/>
    <w:rsid w:val="006B7A14"/>
    <w:rsid w:val="006C0C0F"/>
    <w:rsid w:val="006C0E3E"/>
    <w:rsid w:val="006C16EA"/>
    <w:rsid w:val="006C171B"/>
    <w:rsid w:val="006C1871"/>
    <w:rsid w:val="006C193C"/>
    <w:rsid w:val="006C19EC"/>
    <w:rsid w:val="006C2103"/>
    <w:rsid w:val="006C23C7"/>
    <w:rsid w:val="006C25B9"/>
    <w:rsid w:val="006C28DE"/>
    <w:rsid w:val="006C3ED4"/>
    <w:rsid w:val="006C3F07"/>
    <w:rsid w:val="006C52CF"/>
    <w:rsid w:val="006C56B6"/>
    <w:rsid w:val="006C56B8"/>
    <w:rsid w:val="006C6676"/>
    <w:rsid w:val="006C692B"/>
    <w:rsid w:val="006C7512"/>
    <w:rsid w:val="006C7BDA"/>
    <w:rsid w:val="006D0943"/>
    <w:rsid w:val="006D27F7"/>
    <w:rsid w:val="006D2D80"/>
    <w:rsid w:val="006D308E"/>
    <w:rsid w:val="006D3380"/>
    <w:rsid w:val="006D4471"/>
    <w:rsid w:val="006D4891"/>
    <w:rsid w:val="006D586E"/>
    <w:rsid w:val="006D5D8D"/>
    <w:rsid w:val="006D6F87"/>
    <w:rsid w:val="006D71CB"/>
    <w:rsid w:val="006D7A3E"/>
    <w:rsid w:val="006D7AA7"/>
    <w:rsid w:val="006D7B4F"/>
    <w:rsid w:val="006D7CA3"/>
    <w:rsid w:val="006E00FF"/>
    <w:rsid w:val="006E0642"/>
    <w:rsid w:val="006E10D7"/>
    <w:rsid w:val="006E2851"/>
    <w:rsid w:val="006E2A4C"/>
    <w:rsid w:val="006E2BC7"/>
    <w:rsid w:val="006E39DB"/>
    <w:rsid w:val="006E3AF9"/>
    <w:rsid w:val="006E3FF2"/>
    <w:rsid w:val="006E4E24"/>
    <w:rsid w:val="006E68B2"/>
    <w:rsid w:val="006E692E"/>
    <w:rsid w:val="006E7E7A"/>
    <w:rsid w:val="006F10C4"/>
    <w:rsid w:val="006F2025"/>
    <w:rsid w:val="006F22DE"/>
    <w:rsid w:val="006F2C22"/>
    <w:rsid w:val="006F3745"/>
    <w:rsid w:val="006F50C8"/>
    <w:rsid w:val="006F593F"/>
    <w:rsid w:val="006F60A0"/>
    <w:rsid w:val="006F6358"/>
    <w:rsid w:val="006F69DB"/>
    <w:rsid w:val="006F6F07"/>
    <w:rsid w:val="006F7CB9"/>
    <w:rsid w:val="00700365"/>
    <w:rsid w:val="007003DA"/>
    <w:rsid w:val="007008EF"/>
    <w:rsid w:val="00701010"/>
    <w:rsid w:val="00702BA3"/>
    <w:rsid w:val="007035D8"/>
    <w:rsid w:val="007043D8"/>
    <w:rsid w:val="00704E64"/>
    <w:rsid w:val="00705E47"/>
    <w:rsid w:val="00706743"/>
    <w:rsid w:val="00710FF3"/>
    <w:rsid w:val="007114B3"/>
    <w:rsid w:val="0071257E"/>
    <w:rsid w:val="0071369C"/>
    <w:rsid w:val="00713AE3"/>
    <w:rsid w:val="00713F54"/>
    <w:rsid w:val="0071498B"/>
    <w:rsid w:val="007151FB"/>
    <w:rsid w:val="00715A50"/>
    <w:rsid w:val="00716506"/>
    <w:rsid w:val="00716E2A"/>
    <w:rsid w:val="00716FDE"/>
    <w:rsid w:val="00720473"/>
    <w:rsid w:val="0072069C"/>
    <w:rsid w:val="007219B0"/>
    <w:rsid w:val="00721B6E"/>
    <w:rsid w:val="00722DA5"/>
    <w:rsid w:val="007233EF"/>
    <w:rsid w:val="00724A4F"/>
    <w:rsid w:val="00725136"/>
    <w:rsid w:val="00726015"/>
    <w:rsid w:val="007273FB"/>
    <w:rsid w:val="00727925"/>
    <w:rsid w:val="00730726"/>
    <w:rsid w:val="00732730"/>
    <w:rsid w:val="00732B78"/>
    <w:rsid w:val="00734594"/>
    <w:rsid w:val="007345AE"/>
    <w:rsid w:val="0073498D"/>
    <w:rsid w:val="00734A14"/>
    <w:rsid w:val="00734BD3"/>
    <w:rsid w:val="007350E2"/>
    <w:rsid w:val="007358C3"/>
    <w:rsid w:val="00736050"/>
    <w:rsid w:val="0073665D"/>
    <w:rsid w:val="00736951"/>
    <w:rsid w:val="007370A3"/>
    <w:rsid w:val="007371F2"/>
    <w:rsid w:val="00740107"/>
    <w:rsid w:val="007412E8"/>
    <w:rsid w:val="00741602"/>
    <w:rsid w:val="0074215D"/>
    <w:rsid w:val="00742E08"/>
    <w:rsid w:val="00743170"/>
    <w:rsid w:val="007435B2"/>
    <w:rsid w:val="0074368E"/>
    <w:rsid w:val="007437B1"/>
    <w:rsid w:val="00743F96"/>
    <w:rsid w:val="007441FC"/>
    <w:rsid w:val="00744625"/>
    <w:rsid w:val="00744AFA"/>
    <w:rsid w:val="00745632"/>
    <w:rsid w:val="00745CE9"/>
    <w:rsid w:val="00746112"/>
    <w:rsid w:val="00746169"/>
    <w:rsid w:val="007462AC"/>
    <w:rsid w:val="00746FF7"/>
    <w:rsid w:val="007470A2"/>
    <w:rsid w:val="00747498"/>
    <w:rsid w:val="00747597"/>
    <w:rsid w:val="0074785F"/>
    <w:rsid w:val="0075000D"/>
    <w:rsid w:val="00750668"/>
    <w:rsid w:val="0075072E"/>
    <w:rsid w:val="00751170"/>
    <w:rsid w:val="007512DB"/>
    <w:rsid w:val="00751402"/>
    <w:rsid w:val="00752D58"/>
    <w:rsid w:val="00754C1E"/>
    <w:rsid w:val="0075511B"/>
    <w:rsid w:val="0075566A"/>
    <w:rsid w:val="007570A0"/>
    <w:rsid w:val="007575A8"/>
    <w:rsid w:val="00760592"/>
    <w:rsid w:val="00760825"/>
    <w:rsid w:val="007629EA"/>
    <w:rsid w:val="00763588"/>
    <w:rsid w:val="00763616"/>
    <w:rsid w:val="00763AD8"/>
    <w:rsid w:val="00764747"/>
    <w:rsid w:val="0076480F"/>
    <w:rsid w:val="007649C8"/>
    <w:rsid w:val="00765C1C"/>
    <w:rsid w:val="0076624C"/>
    <w:rsid w:val="00767E79"/>
    <w:rsid w:val="00770BE7"/>
    <w:rsid w:val="0077170E"/>
    <w:rsid w:val="00773B49"/>
    <w:rsid w:val="007756C6"/>
    <w:rsid w:val="0077713A"/>
    <w:rsid w:val="00777CD4"/>
    <w:rsid w:val="00781117"/>
    <w:rsid w:val="00781E61"/>
    <w:rsid w:val="00782989"/>
    <w:rsid w:val="00785BA2"/>
    <w:rsid w:val="007862E4"/>
    <w:rsid w:val="007867F4"/>
    <w:rsid w:val="00786C6C"/>
    <w:rsid w:val="00787463"/>
    <w:rsid w:val="00787A12"/>
    <w:rsid w:val="00787F89"/>
    <w:rsid w:val="0079005D"/>
    <w:rsid w:val="00790AD8"/>
    <w:rsid w:val="0079158B"/>
    <w:rsid w:val="0079187A"/>
    <w:rsid w:val="00792887"/>
    <w:rsid w:val="00792CFF"/>
    <w:rsid w:val="00792F65"/>
    <w:rsid w:val="00793525"/>
    <w:rsid w:val="00793AE8"/>
    <w:rsid w:val="00793EC3"/>
    <w:rsid w:val="00794264"/>
    <w:rsid w:val="00796A99"/>
    <w:rsid w:val="00797096"/>
    <w:rsid w:val="0079713D"/>
    <w:rsid w:val="00797742"/>
    <w:rsid w:val="00797DD9"/>
    <w:rsid w:val="007A0179"/>
    <w:rsid w:val="007A0FD9"/>
    <w:rsid w:val="007A2169"/>
    <w:rsid w:val="007A21D6"/>
    <w:rsid w:val="007A27E3"/>
    <w:rsid w:val="007A594C"/>
    <w:rsid w:val="007A5CD9"/>
    <w:rsid w:val="007A6028"/>
    <w:rsid w:val="007A67A7"/>
    <w:rsid w:val="007A6ED4"/>
    <w:rsid w:val="007B0416"/>
    <w:rsid w:val="007B0A92"/>
    <w:rsid w:val="007B0B55"/>
    <w:rsid w:val="007B0D7B"/>
    <w:rsid w:val="007B0F92"/>
    <w:rsid w:val="007B1128"/>
    <w:rsid w:val="007B192D"/>
    <w:rsid w:val="007B31E8"/>
    <w:rsid w:val="007B4896"/>
    <w:rsid w:val="007B5D66"/>
    <w:rsid w:val="007B5FB4"/>
    <w:rsid w:val="007B63AC"/>
    <w:rsid w:val="007C0201"/>
    <w:rsid w:val="007C064D"/>
    <w:rsid w:val="007C193A"/>
    <w:rsid w:val="007C234F"/>
    <w:rsid w:val="007C4464"/>
    <w:rsid w:val="007C5C13"/>
    <w:rsid w:val="007C66B5"/>
    <w:rsid w:val="007C6933"/>
    <w:rsid w:val="007C6937"/>
    <w:rsid w:val="007C7B0D"/>
    <w:rsid w:val="007D045E"/>
    <w:rsid w:val="007D074C"/>
    <w:rsid w:val="007D0D76"/>
    <w:rsid w:val="007D28A6"/>
    <w:rsid w:val="007D2E8A"/>
    <w:rsid w:val="007D34E5"/>
    <w:rsid w:val="007D39BF"/>
    <w:rsid w:val="007D4182"/>
    <w:rsid w:val="007D573B"/>
    <w:rsid w:val="007D5AB7"/>
    <w:rsid w:val="007D66C4"/>
    <w:rsid w:val="007D6C40"/>
    <w:rsid w:val="007D6DD1"/>
    <w:rsid w:val="007D7277"/>
    <w:rsid w:val="007D72BF"/>
    <w:rsid w:val="007E0000"/>
    <w:rsid w:val="007E061E"/>
    <w:rsid w:val="007E1A34"/>
    <w:rsid w:val="007E1B9D"/>
    <w:rsid w:val="007E1CB0"/>
    <w:rsid w:val="007E1FDE"/>
    <w:rsid w:val="007E28CA"/>
    <w:rsid w:val="007E3B50"/>
    <w:rsid w:val="007E4851"/>
    <w:rsid w:val="007E51BB"/>
    <w:rsid w:val="007E5EC7"/>
    <w:rsid w:val="007F0EF5"/>
    <w:rsid w:val="007F1724"/>
    <w:rsid w:val="007F1C50"/>
    <w:rsid w:val="007F1D5A"/>
    <w:rsid w:val="007F1EA1"/>
    <w:rsid w:val="007F1EF2"/>
    <w:rsid w:val="007F26C2"/>
    <w:rsid w:val="007F344B"/>
    <w:rsid w:val="007F4474"/>
    <w:rsid w:val="007F5B75"/>
    <w:rsid w:val="007F64B6"/>
    <w:rsid w:val="007F6F7A"/>
    <w:rsid w:val="007F7595"/>
    <w:rsid w:val="007F7C38"/>
    <w:rsid w:val="008001B7"/>
    <w:rsid w:val="00802D10"/>
    <w:rsid w:val="00804461"/>
    <w:rsid w:val="00804DB3"/>
    <w:rsid w:val="00805467"/>
    <w:rsid w:val="00805656"/>
    <w:rsid w:val="0080680A"/>
    <w:rsid w:val="0081080B"/>
    <w:rsid w:val="008116AD"/>
    <w:rsid w:val="00811784"/>
    <w:rsid w:val="00812D1B"/>
    <w:rsid w:val="00813202"/>
    <w:rsid w:val="0081580A"/>
    <w:rsid w:val="00816191"/>
    <w:rsid w:val="008163C7"/>
    <w:rsid w:val="00816B05"/>
    <w:rsid w:val="00817BB5"/>
    <w:rsid w:val="0082050A"/>
    <w:rsid w:val="00820DAB"/>
    <w:rsid w:val="008225E1"/>
    <w:rsid w:val="00823977"/>
    <w:rsid w:val="00824273"/>
    <w:rsid w:val="00824D79"/>
    <w:rsid w:val="00825A5A"/>
    <w:rsid w:val="00825BFE"/>
    <w:rsid w:val="00825DBB"/>
    <w:rsid w:val="00826857"/>
    <w:rsid w:val="00832127"/>
    <w:rsid w:val="00832618"/>
    <w:rsid w:val="0083288E"/>
    <w:rsid w:val="00832CF4"/>
    <w:rsid w:val="00833416"/>
    <w:rsid w:val="008337EB"/>
    <w:rsid w:val="00833A2C"/>
    <w:rsid w:val="00833F1A"/>
    <w:rsid w:val="008345A9"/>
    <w:rsid w:val="0083489E"/>
    <w:rsid w:val="00834C92"/>
    <w:rsid w:val="00834D0E"/>
    <w:rsid w:val="00834D6C"/>
    <w:rsid w:val="0083590F"/>
    <w:rsid w:val="0083608F"/>
    <w:rsid w:val="00836A31"/>
    <w:rsid w:val="00836C8A"/>
    <w:rsid w:val="00837A29"/>
    <w:rsid w:val="0084046B"/>
    <w:rsid w:val="00840AB4"/>
    <w:rsid w:val="00841367"/>
    <w:rsid w:val="008433AB"/>
    <w:rsid w:val="00843B6A"/>
    <w:rsid w:val="00843DAF"/>
    <w:rsid w:val="0084424D"/>
    <w:rsid w:val="00850F16"/>
    <w:rsid w:val="00850F79"/>
    <w:rsid w:val="008518F4"/>
    <w:rsid w:val="00851F9B"/>
    <w:rsid w:val="00853D99"/>
    <w:rsid w:val="0085491B"/>
    <w:rsid w:val="0085520E"/>
    <w:rsid w:val="00855633"/>
    <w:rsid w:val="0085648C"/>
    <w:rsid w:val="008601F4"/>
    <w:rsid w:val="0086045A"/>
    <w:rsid w:val="00860786"/>
    <w:rsid w:val="00861C52"/>
    <w:rsid w:val="008624B1"/>
    <w:rsid w:val="00863598"/>
    <w:rsid w:val="00864073"/>
    <w:rsid w:val="0086486E"/>
    <w:rsid w:val="00865969"/>
    <w:rsid w:val="00865EF1"/>
    <w:rsid w:val="00866589"/>
    <w:rsid w:val="00866667"/>
    <w:rsid w:val="008669E0"/>
    <w:rsid w:val="00867949"/>
    <w:rsid w:val="008708E0"/>
    <w:rsid w:val="00870FC3"/>
    <w:rsid w:val="00872801"/>
    <w:rsid w:val="00873E4A"/>
    <w:rsid w:val="0087579B"/>
    <w:rsid w:val="00875D11"/>
    <w:rsid w:val="00875D7D"/>
    <w:rsid w:val="008765C8"/>
    <w:rsid w:val="00876AE3"/>
    <w:rsid w:val="00876CE0"/>
    <w:rsid w:val="008778E5"/>
    <w:rsid w:val="00877E97"/>
    <w:rsid w:val="00880F96"/>
    <w:rsid w:val="008818C5"/>
    <w:rsid w:val="00881952"/>
    <w:rsid w:val="00881F4B"/>
    <w:rsid w:val="008823A3"/>
    <w:rsid w:val="00882FCC"/>
    <w:rsid w:val="00884915"/>
    <w:rsid w:val="008855BA"/>
    <w:rsid w:val="008856CC"/>
    <w:rsid w:val="00885C5B"/>
    <w:rsid w:val="00885FAD"/>
    <w:rsid w:val="0088634B"/>
    <w:rsid w:val="008870D5"/>
    <w:rsid w:val="00887E74"/>
    <w:rsid w:val="00890398"/>
    <w:rsid w:val="00891447"/>
    <w:rsid w:val="00891FD1"/>
    <w:rsid w:val="0089410B"/>
    <w:rsid w:val="00894350"/>
    <w:rsid w:val="00894803"/>
    <w:rsid w:val="00895690"/>
    <w:rsid w:val="00895BA3"/>
    <w:rsid w:val="00896225"/>
    <w:rsid w:val="00896254"/>
    <w:rsid w:val="008965E0"/>
    <w:rsid w:val="0089681B"/>
    <w:rsid w:val="00896EC3"/>
    <w:rsid w:val="00897EF3"/>
    <w:rsid w:val="008A02B1"/>
    <w:rsid w:val="008A1A45"/>
    <w:rsid w:val="008A1DAF"/>
    <w:rsid w:val="008A1E68"/>
    <w:rsid w:val="008A29DB"/>
    <w:rsid w:val="008A4039"/>
    <w:rsid w:val="008A4107"/>
    <w:rsid w:val="008A46D6"/>
    <w:rsid w:val="008A4C40"/>
    <w:rsid w:val="008A503D"/>
    <w:rsid w:val="008A5407"/>
    <w:rsid w:val="008A568F"/>
    <w:rsid w:val="008A5FB2"/>
    <w:rsid w:val="008A68C7"/>
    <w:rsid w:val="008A6F63"/>
    <w:rsid w:val="008B001C"/>
    <w:rsid w:val="008B06B7"/>
    <w:rsid w:val="008B0DDE"/>
    <w:rsid w:val="008B159B"/>
    <w:rsid w:val="008B2AC7"/>
    <w:rsid w:val="008B2DCA"/>
    <w:rsid w:val="008B38E9"/>
    <w:rsid w:val="008B4368"/>
    <w:rsid w:val="008B4753"/>
    <w:rsid w:val="008B572B"/>
    <w:rsid w:val="008B5944"/>
    <w:rsid w:val="008B62A1"/>
    <w:rsid w:val="008B69D0"/>
    <w:rsid w:val="008B7B74"/>
    <w:rsid w:val="008C0E06"/>
    <w:rsid w:val="008C12D1"/>
    <w:rsid w:val="008C2016"/>
    <w:rsid w:val="008C2AEA"/>
    <w:rsid w:val="008C30ED"/>
    <w:rsid w:val="008C326A"/>
    <w:rsid w:val="008C3583"/>
    <w:rsid w:val="008C4423"/>
    <w:rsid w:val="008C48AC"/>
    <w:rsid w:val="008C4ACA"/>
    <w:rsid w:val="008C4C8F"/>
    <w:rsid w:val="008C4FEA"/>
    <w:rsid w:val="008C54EA"/>
    <w:rsid w:val="008C55A3"/>
    <w:rsid w:val="008C59C1"/>
    <w:rsid w:val="008C5EBC"/>
    <w:rsid w:val="008C637B"/>
    <w:rsid w:val="008C670A"/>
    <w:rsid w:val="008C6CCA"/>
    <w:rsid w:val="008C6F84"/>
    <w:rsid w:val="008D0495"/>
    <w:rsid w:val="008D077F"/>
    <w:rsid w:val="008D085E"/>
    <w:rsid w:val="008D11A1"/>
    <w:rsid w:val="008D15DD"/>
    <w:rsid w:val="008D1660"/>
    <w:rsid w:val="008D251F"/>
    <w:rsid w:val="008D3973"/>
    <w:rsid w:val="008D3BF3"/>
    <w:rsid w:val="008D42E4"/>
    <w:rsid w:val="008D45D8"/>
    <w:rsid w:val="008D4EB0"/>
    <w:rsid w:val="008D6025"/>
    <w:rsid w:val="008D622E"/>
    <w:rsid w:val="008D702B"/>
    <w:rsid w:val="008D70EA"/>
    <w:rsid w:val="008E0098"/>
    <w:rsid w:val="008E11B1"/>
    <w:rsid w:val="008E27A6"/>
    <w:rsid w:val="008E2F22"/>
    <w:rsid w:val="008E33E8"/>
    <w:rsid w:val="008E50EC"/>
    <w:rsid w:val="008E56C0"/>
    <w:rsid w:val="008E6C03"/>
    <w:rsid w:val="008E7FCF"/>
    <w:rsid w:val="008F0681"/>
    <w:rsid w:val="008F1098"/>
    <w:rsid w:val="008F1421"/>
    <w:rsid w:val="008F2059"/>
    <w:rsid w:val="008F32ED"/>
    <w:rsid w:val="008F3984"/>
    <w:rsid w:val="008F3A3C"/>
    <w:rsid w:val="008F5431"/>
    <w:rsid w:val="008F5EDD"/>
    <w:rsid w:val="008F643C"/>
    <w:rsid w:val="008F674F"/>
    <w:rsid w:val="008F6B59"/>
    <w:rsid w:val="008F6D90"/>
    <w:rsid w:val="0090007F"/>
    <w:rsid w:val="00900380"/>
    <w:rsid w:val="00901838"/>
    <w:rsid w:val="00901CBB"/>
    <w:rsid w:val="00902B65"/>
    <w:rsid w:val="00902C5C"/>
    <w:rsid w:val="0090313F"/>
    <w:rsid w:val="0090388D"/>
    <w:rsid w:val="009043B1"/>
    <w:rsid w:val="009046C7"/>
    <w:rsid w:val="0090475B"/>
    <w:rsid w:val="0090673F"/>
    <w:rsid w:val="00911E27"/>
    <w:rsid w:val="00912ADF"/>
    <w:rsid w:val="00912EE0"/>
    <w:rsid w:val="009136F9"/>
    <w:rsid w:val="00913798"/>
    <w:rsid w:val="009137ED"/>
    <w:rsid w:val="00914453"/>
    <w:rsid w:val="0091522B"/>
    <w:rsid w:val="009154EB"/>
    <w:rsid w:val="009155A6"/>
    <w:rsid w:val="009159FA"/>
    <w:rsid w:val="00916106"/>
    <w:rsid w:val="00916C78"/>
    <w:rsid w:val="00917224"/>
    <w:rsid w:val="009174CD"/>
    <w:rsid w:val="00917ACF"/>
    <w:rsid w:val="00917F7D"/>
    <w:rsid w:val="00920886"/>
    <w:rsid w:val="00920EBA"/>
    <w:rsid w:val="0092133E"/>
    <w:rsid w:val="00921BAF"/>
    <w:rsid w:val="00922C4E"/>
    <w:rsid w:val="0092443D"/>
    <w:rsid w:val="00925763"/>
    <w:rsid w:val="00927902"/>
    <w:rsid w:val="00927ABC"/>
    <w:rsid w:val="0093016A"/>
    <w:rsid w:val="0093062B"/>
    <w:rsid w:val="00930753"/>
    <w:rsid w:val="00930FA7"/>
    <w:rsid w:val="00931FA3"/>
    <w:rsid w:val="00931FAE"/>
    <w:rsid w:val="009327FD"/>
    <w:rsid w:val="00934082"/>
    <w:rsid w:val="00934366"/>
    <w:rsid w:val="009348D6"/>
    <w:rsid w:val="00934CA5"/>
    <w:rsid w:val="00934E25"/>
    <w:rsid w:val="00935274"/>
    <w:rsid w:val="00935BDF"/>
    <w:rsid w:val="00935DE7"/>
    <w:rsid w:val="009371A6"/>
    <w:rsid w:val="009371EC"/>
    <w:rsid w:val="00937D42"/>
    <w:rsid w:val="00937EB9"/>
    <w:rsid w:val="00940639"/>
    <w:rsid w:val="009407AA"/>
    <w:rsid w:val="0094181B"/>
    <w:rsid w:val="009433DB"/>
    <w:rsid w:val="00943412"/>
    <w:rsid w:val="00943B31"/>
    <w:rsid w:val="00945787"/>
    <w:rsid w:val="00945A72"/>
    <w:rsid w:val="00945A96"/>
    <w:rsid w:val="00945ACB"/>
    <w:rsid w:val="00945E11"/>
    <w:rsid w:val="00946368"/>
    <w:rsid w:val="00947F8B"/>
    <w:rsid w:val="00947FB6"/>
    <w:rsid w:val="00950C43"/>
    <w:rsid w:val="00951575"/>
    <w:rsid w:val="00953331"/>
    <w:rsid w:val="009533F7"/>
    <w:rsid w:val="0095466D"/>
    <w:rsid w:val="00955E22"/>
    <w:rsid w:val="0096053B"/>
    <w:rsid w:val="0096199E"/>
    <w:rsid w:val="00961F76"/>
    <w:rsid w:val="00963039"/>
    <w:rsid w:val="0096333F"/>
    <w:rsid w:val="00963960"/>
    <w:rsid w:val="009639E7"/>
    <w:rsid w:val="00964045"/>
    <w:rsid w:val="009641F8"/>
    <w:rsid w:val="00964609"/>
    <w:rsid w:val="00964CC3"/>
    <w:rsid w:val="00964DB0"/>
    <w:rsid w:val="009657EF"/>
    <w:rsid w:val="00967A52"/>
    <w:rsid w:val="00971DB0"/>
    <w:rsid w:val="0097250C"/>
    <w:rsid w:val="00972628"/>
    <w:rsid w:val="00973043"/>
    <w:rsid w:val="00973106"/>
    <w:rsid w:val="00973B40"/>
    <w:rsid w:val="00974397"/>
    <w:rsid w:val="00974FB3"/>
    <w:rsid w:val="00975D30"/>
    <w:rsid w:val="009769CB"/>
    <w:rsid w:val="00976F1B"/>
    <w:rsid w:val="0098007D"/>
    <w:rsid w:val="00980311"/>
    <w:rsid w:val="00981065"/>
    <w:rsid w:val="00981DD3"/>
    <w:rsid w:val="0098426F"/>
    <w:rsid w:val="009849B6"/>
    <w:rsid w:val="00984BE8"/>
    <w:rsid w:val="009851B1"/>
    <w:rsid w:val="009860AC"/>
    <w:rsid w:val="0098654F"/>
    <w:rsid w:val="009865D6"/>
    <w:rsid w:val="00986AE1"/>
    <w:rsid w:val="00986C4F"/>
    <w:rsid w:val="00986C5B"/>
    <w:rsid w:val="00986D94"/>
    <w:rsid w:val="00986FB6"/>
    <w:rsid w:val="0098709C"/>
    <w:rsid w:val="00990B49"/>
    <w:rsid w:val="00991A2E"/>
    <w:rsid w:val="0099257D"/>
    <w:rsid w:val="00992A80"/>
    <w:rsid w:val="00992A9E"/>
    <w:rsid w:val="0099435B"/>
    <w:rsid w:val="0099453F"/>
    <w:rsid w:val="00995589"/>
    <w:rsid w:val="00995928"/>
    <w:rsid w:val="00995B83"/>
    <w:rsid w:val="009960C5"/>
    <w:rsid w:val="009966B7"/>
    <w:rsid w:val="0099693F"/>
    <w:rsid w:val="0099769E"/>
    <w:rsid w:val="00997A75"/>
    <w:rsid w:val="00997E16"/>
    <w:rsid w:val="009A0A76"/>
    <w:rsid w:val="009A0BB5"/>
    <w:rsid w:val="009A0C34"/>
    <w:rsid w:val="009A1B3D"/>
    <w:rsid w:val="009A1DE6"/>
    <w:rsid w:val="009A20DB"/>
    <w:rsid w:val="009A21A7"/>
    <w:rsid w:val="009A461B"/>
    <w:rsid w:val="009A4B4E"/>
    <w:rsid w:val="009A4CDE"/>
    <w:rsid w:val="009A5C6B"/>
    <w:rsid w:val="009A5DC9"/>
    <w:rsid w:val="009A6964"/>
    <w:rsid w:val="009A6BE3"/>
    <w:rsid w:val="009A7084"/>
    <w:rsid w:val="009A7151"/>
    <w:rsid w:val="009A75B2"/>
    <w:rsid w:val="009A7638"/>
    <w:rsid w:val="009A79ED"/>
    <w:rsid w:val="009B100F"/>
    <w:rsid w:val="009B2312"/>
    <w:rsid w:val="009B3691"/>
    <w:rsid w:val="009B38B2"/>
    <w:rsid w:val="009B39FC"/>
    <w:rsid w:val="009B4915"/>
    <w:rsid w:val="009B5F53"/>
    <w:rsid w:val="009B64DB"/>
    <w:rsid w:val="009B704D"/>
    <w:rsid w:val="009B7210"/>
    <w:rsid w:val="009B72ED"/>
    <w:rsid w:val="009B7C02"/>
    <w:rsid w:val="009B7C57"/>
    <w:rsid w:val="009B7FFE"/>
    <w:rsid w:val="009C007E"/>
    <w:rsid w:val="009C0B90"/>
    <w:rsid w:val="009C0FD2"/>
    <w:rsid w:val="009C2147"/>
    <w:rsid w:val="009C2670"/>
    <w:rsid w:val="009C2916"/>
    <w:rsid w:val="009C2FB4"/>
    <w:rsid w:val="009C3BF0"/>
    <w:rsid w:val="009C4B93"/>
    <w:rsid w:val="009C4D20"/>
    <w:rsid w:val="009C61D1"/>
    <w:rsid w:val="009C6599"/>
    <w:rsid w:val="009C6FE8"/>
    <w:rsid w:val="009D0801"/>
    <w:rsid w:val="009D13D2"/>
    <w:rsid w:val="009D20BA"/>
    <w:rsid w:val="009D2393"/>
    <w:rsid w:val="009D2676"/>
    <w:rsid w:val="009D2FA8"/>
    <w:rsid w:val="009D3939"/>
    <w:rsid w:val="009D3DD7"/>
    <w:rsid w:val="009D445F"/>
    <w:rsid w:val="009D4A83"/>
    <w:rsid w:val="009D5B6F"/>
    <w:rsid w:val="009D6AAC"/>
    <w:rsid w:val="009D6FD7"/>
    <w:rsid w:val="009D6FFD"/>
    <w:rsid w:val="009D75AB"/>
    <w:rsid w:val="009E0112"/>
    <w:rsid w:val="009E07F1"/>
    <w:rsid w:val="009E2BDE"/>
    <w:rsid w:val="009E402D"/>
    <w:rsid w:val="009E40D9"/>
    <w:rsid w:val="009E4514"/>
    <w:rsid w:val="009E497E"/>
    <w:rsid w:val="009E5987"/>
    <w:rsid w:val="009E5FE5"/>
    <w:rsid w:val="009E6AF7"/>
    <w:rsid w:val="009E6C08"/>
    <w:rsid w:val="009E7047"/>
    <w:rsid w:val="009F06A3"/>
    <w:rsid w:val="009F0AEE"/>
    <w:rsid w:val="009F1224"/>
    <w:rsid w:val="009F1450"/>
    <w:rsid w:val="009F3B25"/>
    <w:rsid w:val="009F3D28"/>
    <w:rsid w:val="009F4EF1"/>
    <w:rsid w:val="009F4F98"/>
    <w:rsid w:val="009F55F8"/>
    <w:rsid w:val="009F5AED"/>
    <w:rsid w:val="009F5E19"/>
    <w:rsid w:val="009F733A"/>
    <w:rsid w:val="009F7463"/>
    <w:rsid w:val="009F748D"/>
    <w:rsid w:val="00A008D4"/>
    <w:rsid w:val="00A00D3D"/>
    <w:rsid w:val="00A013C4"/>
    <w:rsid w:val="00A01AB5"/>
    <w:rsid w:val="00A0251F"/>
    <w:rsid w:val="00A030BD"/>
    <w:rsid w:val="00A03A8F"/>
    <w:rsid w:val="00A045A9"/>
    <w:rsid w:val="00A04871"/>
    <w:rsid w:val="00A04F09"/>
    <w:rsid w:val="00A057F3"/>
    <w:rsid w:val="00A05F50"/>
    <w:rsid w:val="00A062D4"/>
    <w:rsid w:val="00A06AE3"/>
    <w:rsid w:val="00A070A7"/>
    <w:rsid w:val="00A077EA"/>
    <w:rsid w:val="00A078F3"/>
    <w:rsid w:val="00A07C43"/>
    <w:rsid w:val="00A102CB"/>
    <w:rsid w:val="00A102FF"/>
    <w:rsid w:val="00A108B2"/>
    <w:rsid w:val="00A108FF"/>
    <w:rsid w:val="00A10A0A"/>
    <w:rsid w:val="00A12A97"/>
    <w:rsid w:val="00A13639"/>
    <w:rsid w:val="00A1465E"/>
    <w:rsid w:val="00A155B7"/>
    <w:rsid w:val="00A16068"/>
    <w:rsid w:val="00A16C97"/>
    <w:rsid w:val="00A17744"/>
    <w:rsid w:val="00A2069A"/>
    <w:rsid w:val="00A206D5"/>
    <w:rsid w:val="00A217DD"/>
    <w:rsid w:val="00A21944"/>
    <w:rsid w:val="00A21DC0"/>
    <w:rsid w:val="00A230DE"/>
    <w:rsid w:val="00A23EC5"/>
    <w:rsid w:val="00A2425A"/>
    <w:rsid w:val="00A25078"/>
    <w:rsid w:val="00A25A20"/>
    <w:rsid w:val="00A2621E"/>
    <w:rsid w:val="00A27AFF"/>
    <w:rsid w:val="00A27B95"/>
    <w:rsid w:val="00A300BE"/>
    <w:rsid w:val="00A310FA"/>
    <w:rsid w:val="00A311FC"/>
    <w:rsid w:val="00A312EC"/>
    <w:rsid w:val="00A31595"/>
    <w:rsid w:val="00A31BE7"/>
    <w:rsid w:val="00A3250F"/>
    <w:rsid w:val="00A32CA5"/>
    <w:rsid w:val="00A33430"/>
    <w:rsid w:val="00A338F7"/>
    <w:rsid w:val="00A33B19"/>
    <w:rsid w:val="00A3444B"/>
    <w:rsid w:val="00A34BA1"/>
    <w:rsid w:val="00A352AB"/>
    <w:rsid w:val="00A359F8"/>
    <w:rsid w:val="00A35B18"/>
    <w:rsid w:val="00A35CC1"/>
    <w:rsid w:val="00A36BDA"/>
    <w:rsid w:val="00A37F38"/>
    <w:rsid w:val="00A42E3A"/>
    <w:rsid w:val="00A43178"/>
    <w:rsid w:val="00A43961"/>
    <w:rsid w:val="00A4416E"/>
    <w:rsid w:val="00A441CA"/>
    <w:rsid w:val="00A443BE"/>
    <w:rsid w:val="00A450EA"/>
    <w:rsid w:val="00A45B59"/>
    <w:rsid w:val="00A46235"/>
    <w:rsid w:val="00A472CF"/>
    <w:rsid w:val="00A47568"/>
    <w:rsid w:val="00A50DEB"/>
    <w:rsid w:val="00A528EC"/>
    <w:rsid w:val="00A529B1"/>
    <w:rsid w:val="00A52FB6"/>
    <w:rsid w:val="00A5344A"/>
    <w:rsid w:val="00A54073"/>
    <w:rsid w:val="00A543BB"/>
    <w:rsid w:val="00A5469C"/>
    <w:rsid w:val="00A549ED"/>
    <w:rsid w:val="00A54E20"/>
    <w:rsid w:val="00A553AF"/>
    <w:rsid w:val="00A5664C"/>
    <w:rsid w:val="00A56A60"/>
    <w:rsid w:val="00A57EC9"/>
    <w:rsid w:val="00A60FA6"/>
    <w:rsid w:val="00A6127B"/>
    <w:rsid w:val="00A6206A"/>
    <w:rsid w:val="00A62F86"/>
    <w:rsid w:val="00A63B32"/>
    <w:rsid w:val="00A63E06"/>
    <w:rsid w:val="00A6408C"/>
    <w:rsid w:val="00A641E5"/>
    <w:rsid w:val="00A642BF"/>
    <w:rsid w:val="00A65808"/>
    <w:rsid w:val="00A65F89"/>
    <w:rsid w:val="00A66B90"/>
    <w:rsid w:val="00A67F0E"/>
    <w:rsid w:val="00A70F51"/>
    <w:rsid w:val="00A70FB5"/>
    <w:rsid w:val="00A7195C"/>
    <w:rsid w:val="00A72121"/>
    <w:rsid w:val="00A7245E"/>
    <w:rsid w:val="00A724B4"/>
    <w:rsid w:val="00A727F4"/>
    <w:rsid w:val="00A72C67"/>
    <w:rsid w:val="00A737CB"/>
    <w:rsid w:val="00A73CA6"/>
    <w:rsid w:val="00A742AB"/>
    <w:rsid w:val="00A74590"/>
    <w:rsid w:val="00A749D6"/>
    <w:rsid w:val="00A74F4E"/>
    <w:rsid w:val="00A755F8"/>
    <w:rsid w:val="00A756DD"/>
    <w:rsid w:val="00A76390"/>
    <w:rsid w:val="00A767C8"/>
    <w:rsid w:val="00A76968"/>
    <w:rsid w:val="00A8070E"/>
    <w:rsid w:val="00A812BC"/>
    <w:rsid w:val="00A822E6"/>
    <w:rsid w:val="00A82426"/>
    <w:rsid w:val="00A828A9"/>
    <w:rsid w:val="00A8397B"/>
    <w:rsid w:val="00A83E41"/>
    <w:rsid w:val="00A84FF9"/>
    <w:rsid w:val="00A85821"/>
    <w:rsid w:val="00A858F3"/>
    <w:rsid w:val="00A90DF9"/>
    <w:rsid w:val="00A918E5"/>
    <w:rsid w:val="00A91BCE"/>
    <w:rsid w:val="00A92440"/>
    <w:rsid w:val="00A92BCF"/>
    <w:rsid w:val="00A93573"/>
    <w:rsid w:val="00A93AC1"/>
    <w:rsid w:val="00A93B15"/>
    <w:rsid w:val="00A93F97"/>
    <w:rsid w:val="00A94422"/>
    <w:rsid w:val="00A94451"/>
    <w:rsid w:val="00A94851"/>
    <w:rsid w:val="00A94AF1"/>
    <w:rsid w:val="00A96048"/>
    <w:rsid w:val="00A96C00"/>
    <w:rsid w:val="00AA2FD4"/>
    <w:rsid w:val="00AA31A0"/>
    <w:rsid w:val="00AA4B26"/>
    <w:rsid w:val="00AA4E4C"/>
    <w:rsid w:val="00AA6143"/>
    <w:rsid w:val="00AA62DA"/>
    <w:rsid w:val="00AA6532"/>
    <w:rsid w:val="00AA6B26"/>
    <w:rsid w:val="00AA762D"/>
    <w:rsid w:val="00AA782D"/>
    <w:rsid w:val="00AB0000"/>
    <w:rsid w:val="00AB1902"/>
    <w:rsid w:val="00AB2BE3"/>
    <w:rsid w:val="00AB31BF"/>
    <w:rsid w:val="00AB47C6"/>
    <w:rsid w:val="00AB4E2F"/>
    <w:rsid w:val="00AB5270"/>
    <w:rsid w:val="00AB54CC"/>
    <w:rsid w:val="00AB65E0"/>
    <w:rsid w:val="00AC050D"/>
    <w:rsid w:val="00AC2BEF"/>
    <w:rsid w:val="00AC3DFA"/>
    <w:rsid w:val="00AC506C"/>
    <w:rsid w:val="00AC65FA"/>
    <w:rsid w:val="00AC67FF"/>
    <w:rsid w:val="00AC7643"/>
    <w:rsid w:val="00AD040A"/>
    <w:rsid w:val="00AD07FC"/>
    <w:rsid w:val="00AD0C42"/>
    <w:rsid w:val="00AD2CC4"/>
    <w:rsid w:val="00AD3E5B"/>
    <w:rsid w:val="00AD40B1"/>
    <w:rsid w:val="00AD42C5"/>
    <w:rsid w:val="00AD4365"/>
    <w:rsid w:val="00AD4505"/>
    <w:rsid w:val="00AD5731"/>
    <w:rsid w:val="00AD6595"/>
    <w:rsid w:val="00AD734D"/>
    <w:rsid w:val="00AD7EF5"/>
    <w:rsid w:val="00AE13A6"/>
    <w:rsid w:val="00AE1923"/>
    <w:rsid w:val="00AE1C8C"/>
    <w:rsid w:val="00AE1E36"/>
    <w:rsid w:val="00AE31B8"/>
    <w:rsid w:val="00AE33B6"/>
    <w:rsid w:val="00AE3719"/>
    <w:rsid w:val="00AE4AB9"/>
    <w:rsid w:val="00AE56C7"/>
    <w:rsid w:val="00AE5F4E"/>
    <w:rsid w:val="00AE5F6D"/>
    <w:rsid w:val="00AE6CC8"/>
    <w:rsid w:val="00AF123E"/>
    <w:rsid w:val="00AF23EF"/>
    <w:rsid w:val="00AF4139"/>
    <w:rsid w:val="00AF4E71"/>
    <w:rsid w:val="00AF57C7"/>
    <w:rsid w:val="00AF6222"/>
    <w:rsid w:val="00AF7BA6"/>
    <w:rsid w:val="00AF7E66"/>
    <w:rsid w:val="00B003B3"/>
    <w:rsid w:val="00B0040E"/>
    <w:rsid w:val="00B01085"/>
    <w:rsid w:val="00B0144D"/>
    <w:rsid w:val="00B0158F"/>
    <w:rsid w:val="00B02184"/>
    <w:rsid w:val="00B0231D"/>
    <w:rsid w:val="00B02374"/>
    <w:rsid w:val="00B03455"/>
    <w:rsid w:val="00B052B2"/>
    <w:rsid w:val="00B05762"/>
    <w:rsid w:val="00B0752D"/>
    <w:rsid w:val="00B07D43"/>
    <w:rsid w:val="00B07F4C"/>
    <w:rsid w:val="00B115C9"/>
    <w:rsid w:val="00B129F6"/>
    <w:rsid w:val="00B12B31"/>
    <w:rsid w:val="00B12DD1"/>
    <w:rsid w:val="00B12E6D"/>
    <w:rsid w:val="00B132A3"/>
    <w:rsid w:val="00B14F02"/>
    <w:rsid w:val="00B150A2"/>
    <w:rsid w:val="00B16D02"/>
    <w:rsid w:val="00B16D4D"/>
    <w:rsid w:val="00B200EA"/>
    <w:rsid w:val="00B21531"/>
    <w:rsid w:val="00B21826"/>
    <w:rsid w:val="00B2196D"/>
    <w:rsid w:val="00B2231A"/>
    <w:rsid w:val="00B22ED1"/>
    <w:rsid w:val="00B23A66"/>
    <w:rsid w:val="00B24C15"/>
    <w:rsid w:val="00B24E6A"/>
    <w:rsid w:val="00B25EEB"/>
    <w:rsid w:val="00B26E17"/>
    <w:rsid w:val="00B30580"/>
    <w:rsid w:val="00B31496"/>
    <w:rsid w:val="00B32A0C"/>
    <w:rsid w:val="00B32D28"/>
    <w:rsid w:val="00B33527"/>
    <w:rsid w:val="00B33921"/>
    <w:rsid w:val="00B3395B"/>
    <w:rsid w:val="00B33B97"/>
    <w:rsid w:val="00B34366"/>
    <w:rsid w:val="00B3598A"/>
    <w:rsid w:val="00B36284"/>
    <w:rsid w:val="00B36D6C"/>
    <w:rsid w:val="00B37312"/>
    <w:rsid w:val="00B379EC"/>
    <w:rsid w:val="00B37A53"/>
    <w:rsid w:val="00B40237"/>
    <w:rsid w:val="00B40A6D"/>
    <w:rsid w:val="00B42E09"/>
    <w:rsid w:val="00B43586"/>
    <w:rsid w:val="00B43857"/>
    <w:rsid w:val="00B438C4"/>
    <w:rsid w:val="00B440D1"/>
    <w:rsid w:val="00B442B9"/>
    <w:rsid w:val="00B447B1"/>
    <w:rsid w:val="00B45041"/>
    <w:rsid w:val="00B45359"/>
    <w:rsid w:val="00B45A7E"/>
    <w:rsid w:val="00B45B69"/>
    <w:rsid w:val="00B45EB9"/>
    <w:rsid w:val="00B478AA"/>
    <w:rsid w:val="00B5125E"/>
    <w:rsid w:val="00B515A9"/>
    <w:rsid w:val="00B51D69"/>
    <w:rsid w:val="00B52343"/>
    <w:rsid w:val="00B53868"/>
    <w:rsid w:val="00B5428A"/>
    <w:rsid w:val="00B545A5"/>
    <w:rsid w:val="00B56D60"/>
    <w:rsid w:val="00B60031"/>
    <w:rsid w:val="00B612D8"/>
    <w:rsid w:val="00B6134E"/>
    <w:rsid w:val="00B61F78"/>
    <w:rsid w:val="00B627AE"/>
    <w:rsid w:val="00B63AB3"/>
    <w:rsid w:val="00B63FED"/>
    <w:rsid w:val="00B64092"/>
    <w:rsid w:val="00B65D80"/>
    <w:rsid w:val="00B66771"/>
    <w:rsid w:val="00B71221"/>
    <w:rsid w:val="00B718EF"/>
    <w:rsid w:val="00B71D57"/>
    <w:rsid w:val="00B731DE"/>
    <w:rsid w:val="00B73665"/>
    <w:rsid w:val="00B73BAD"/>
    <w:rsid w:val="00B74899"/>
    <w:rsid w:val="00B7494F"/>
    <w:rsid w:val="00B75073"/>
    <w:rsid w:val="00B764A4"/>
    <w:rsid w:val="00B76CAE"/>
    <w:rsid w:val="00B774F9"/>
    <w:rsid w:val="00B77718"/>
    <w:rsid w:val="00B80748"/>
    <w:rsid w:val="00B8113B"/>
    <w:rsid w:val="00B812DE"/>
    <w:rsid w:val="00B812E2"/>
    <w:rsid w:val="00B81F00"/>
    <w:rsid w:val="00B821F3"/>
    <w:rsid w:val="00B82DE7"/>
    <w:rsid w:val="00B832DB"/>
    <w:rsid w:val="00B8371E"/>
    <w:rsid w:val="00B84C94"/>
    <w:rsid w:val="00B86A34"/>
    <w:rsid w:val="00B86C16"/>
    <w:rsid w:val="00B86C50"/>
    <w:rsid w:val="00B86DE1"/>
    <w:rsid w:val="00B87671"/>
    <w:rsid w:val="00B90176"/>
    <w:rsid w:val="00B90A8F"/>
    <w:rsid w:val="00B91AC3"/>
    <w:rsid w:val="00B922A1"/>
    <w:rsid w:val="00B9264B"/>
    <w:rsid w:val="00B9295F"/>
    <w:rsid w:val="00B94723"/>
    <w:rsid w:val="00B94EC0"/>
    <w:rsid w:val="00B962F2"/>
    <w:rsid w:val="00B96B8F"/>
    <w:rsid w:val="00B96D15"/>
    <w:rsid w:val="00B96FDF"/>
    <w:rsid w:val="00B970EF"/>
    <w:rsid w:val="00B97844"/>
    <w:rsid w:val="00B979D9"/>
    <w:rsid w:val="00BA08BC"/>
    <w:rsid w:val="00BA0AEE"/>
    <w:rsid w:val="00BA0D2D"/>
    <w:rsid w:val="00BA0E0F"/>
    <w:rsid w:val="00BA2BE3"/>
    <w:rsid w:val="00BA2D1F"/>
    <w:rsid w:val="00BA2DF9"/>
    <w:rsid w:val="00BA36C6"/>
    <w:rsid w:val="00BA37D0"/>
    <w:rsid w:val="00BA5293"/>
    <w:rsid w:val="00BA54B1"/>
    <w:rsid w:val="00BA54CB"/>
    <w:rsid w:val="00BA6009"/>
    <w:rsid w:val="00BA7ACA"/>
    <w:rsid w:val="00BB0B55"/>
    <w:rsid w:val="00BB18C2"/>
    <w:rsid w:val="00BB1FE4"/>
    <w:rsid w:val="00BB2089"/>
    <w:rsid w:val="00BB316F"/>
    <w:rsid w:val="00BB4CD7"/>
    <w:rsid w:val="00BB5391"/>
    <w:rsid w:val="00BB5605"/>
    <w:rsid w:val="00BB6276"/>
    <w:rsid w:val="00BB699B"/>
    <w:rsid w:val="00BB7202"/>
    <w:rsid w:val="00BB74DE"/>
    <w:rsid w:val="00BC02A1"/>
    <w:rsid w:val="00BC0B8D"/>
    <w:rsid w:val="00BC27B1"/>
    <w:rsid w:val="00BC2DBE"/>
    <w:rsid w:val="00BC3274"/>
    <w:rsid w:val="00BC39B7"/>
    <w:rsid w:val="00BC3B0C"/>
    <w:rsid w:val="00BC47DE"/>
    <w:rsid w:val="00BC4D25"/>
    <w:rsid w:val="00BC4DD1"/>
    <w:rsid w:val="00BC5ED9"/>
    <w:rsid w:val="00BC6090"/>
    <w:rsid w:val="00BC60BD"/>
    <w:rsid w:val="00BC6889"/>
    <w:rsid w:val="00BC7433"/>
    <w:rsid w:val="00BD17A7"/>
    <w:rsid w:val="00BD1E75"/>
    <w:rsid w:val="00BD24D5"/>
    <w:rsid w:val="00BD284F"/>
    <w:rsid w:val="00BD33F4"/>
    <w:rsid w:val="00BD37EA"/>
    <w:rsid w:val="00BD391C"/>
    <w:rsid w:val="00BD3D4B"/>
    <w:rsid w:val="00BD4775"/>
    <w:rsid w:val="00BD4876"/>
    <w:rsid w:val="00BD5114"/>
    <w:rsid w:val="00BD72B3"/>
    <w:rsid w:val="00BE19C7"/>
    <w:rsid w:val="00BE2723"/>
    <w:rsid w:val="00BE38D5"/>
    <w:rsid w:val="00BE429C"/>
    <w:rsid w:val="00BE5AA3"/>
    <w:rsid w:val="00BE6D52"/>
    <w:rsid w:val="00BE78C5"/>
    <w:rsid w:val="00BE7CB9"/>
    <w:rsid w:val="00BF0CD2"/>
    <w:rsid w:val="00BF14FC"/>
    <w:rsid w:val="00BF2CB9"/>
    <w:rsid w:val="00BF2E80"/>
    <w:rsid w:val="00BF40D2"/>
    <w:rsid w:val="00BF56D4"/>
    <w:rsid w:val="00BF7D7F"/>
    <w:rsid w:val="00C0204D"/>
    <w:rsid w:val="00C02DBF"/>
    <w:rsid w:val="00C0358B"/>
    <w:rsid w:val="00C1169D"/>
    <w:rsid w:val="00C11A5A"/>
    <w:rsid w:val="00C11BBB"/>
    <w:rsid w:val="00C12476"/>
    <w:rsid w:val="00C12A3F"/>
    <w:rsid w:val="00C12B3A"/>
    <w:rsid w:val="00C12B68"/>
    <w:rsid w:val="00C12CB8"/>
    <w:rsid w:val="00C14A4F"/>
    <w:rsid w:val="00C14E08"/>
    <w:rsid w:val="00C14FCC"/>
    <w:rsid w:val="00C15416"/>
    <w:rsid w:val="00C16043"/>
    <w:rsid w:val="00C17186"/>
    <w:rsid w:val="00C21341"/>
    <w:rsid w:val="00C213F3"/>
    <w:rsid w:val="00C23B30"/>
    <w:rsid w:val="00C23B43"/>
    <w:rsid w:val="00C24199"/>
    <w:rsid w:val="00C24318"/>
    <w:rsid w:val="00C24CBE"/>
    <w:rsid w:val="00C2536A"/>
    <w:rsid w:val="00C25CF8"/>
    <w:rsid w:val="00C25EE6"/>
    <w:rsid w:val="00C265F5"/>
    <w:rsid w:val="00C27D0C"/>
    <w:rsid w:val="00C30925"/>
    <w:rsid w:val="00C30999"/>
    <w:rsid w:val="00C30E18"/>
    <w:rsid w:val="00C3218B"/>
    <w:rsid w:val="00C326EF"/>
    <w:rsid w:val="00C32CDC"/>
    <w:rsid w:val="00C335B9"/>
    <w:rsid w:val="00C3375D"/>
    <w:rsid w:val="00C33F4D"/>
    <w:rsid w:val="00C344CB"/>
    <w:rsid w:val="00C34D0F"/>
    <w:rsid w:val="00C35A5A"/>
    <w:rsid w:val="00C36980"/>
    <w:rsid w:val="00C40E46"/>
    <w:rsid w:val="00C41CFA"/>
    <w:rsid w:val="00C41E6D"/>
    <w:rsid w:val="00C425C7"/>
    <w:rsid w:val="00C43566"/>
    <w:rsid w:val="00C43B48"/>
    <w:rsid w:val="00C45C18"/>
    <w:rsid w:val="00C46187"/>
    <w:rsid w:val="00C471C7"/>
    <w:rsid w:val="00C4721C"/>
    <w:rsid w:val="00C47C96"/>
    <w:rsid w:val="00C50719"/>
    <w:rsid w:val="00C50F55"/>
    <w:rsid w:val="00C52720"/>
    <w:rsid w:val="00C53A34"/>
    <w:rsid w:val="00C54774"/>
    <w:rsid w:val="00C54C35"/>
    <w:rsid w:val="00C55A1A"/>
    <w:rsid w:val="00C55D00"/>
    <w:rsid w:val="00C56F2C"/>
    <w:rsid w:val="00C57324"/>
    <w:rsid w:val="00C60D54"/>
    <w:rsid w:val="00C62E13"/>
    <w:rsid w:val="00C64538"/>
    <w:rsid w:val="00C64FF9"/>
    <w:rsid w:val="00C6505B"/>
    <w:rsid w:val="00C65555"/>
    <w:rsid w:val="00C662B9"/>
    <w:rsid w:val="00C66676"/>
    <w:rsid w:val="00C666DA"/>
    <w:rsid w:val="00C667F0"/>
    <w:rsid w:val="00C6780E"/>
    <w:rsid w:val="00C67A5B"/>
    <w:rsid w:val="00C67CC1"/>
    <w:rsid w:val="00C710B2"/>
    <w:rsid w:val="00C71A53"/>
    <w:rsid w:val="00C727A5"/>
    <w:rsid w:val="00C731F6"/>
    <w:rsid w:val="00C73B88"/>
    <w:rsid w:val="00C74E91"/>
    <w:rsid w:val="00C75B92"/>
    <w:rsid w:val="00C7635D"/>
    <w:rsid w:val="00C769A7"/>
    <w:rsid w:val="00C80379"/>
    <w:rsid w:val="00C81150"/>
    <w:rsid w:val="00C815F7"/>
    <w:rsid w:val="00C826AE"/>
    <w:rsid w:val="00C82FE4"/>
    <w:rsid w:val="00C83472"/>
    <w:rsid w:val="00C835A0"/>
    <w:rsid w:val="00C83BC2"/>
    <w:rsid w:val="00C83D52"/>
    <w:rsid w:val="00C83EF2"/>
    <w:rsid w:val="00C844C0"/>
    <w:rsid w:val="00C84FA3"/>
    <w:rsid w:val="00C85F06"/>
    <w:rsid w:val="00C863D5"/>
    <w:rsid w:val="00C86770"/>
    <w:rsid w:val="00C90F66"/>
    <w:rsid w:val="00C911EB"/>
    <w:rsid w:val="00C912FD"/>
    <w:rsid w:val="00C91C38"/>
    <w:rsid w:val="00C91D76"/>
    <w:rsid w:val="00C9280E"/>
    <w:rsid w:val="00C93014"/>
    <w:rsid w:val="00C946A0"/>
    <w:rsid w:val="00C947A2"/>
    <w:rsid w:val="00C947A7"/>
    <w:rsid w:val="00C9724F"/>
    <w:rsid w:val="00C97929"/>
    <w:rsid w:val="00C97C58"/>
    <w:rsid w:val="00C97F86"/>
    <w:rsid w:val="00CA045F"/>
    <w:rsid w:val="00CA09B2"/>
    <w:rsid w:val="00CA13B1"/>
    <w:rsid w:val="00CA21F2"/>
    <w:rsid w:val="00CA30B8"/>
    <w:rsid w:val="00CA3222"/>
    <w:rsid w:val="00CA4751"/>
    <w:rsid w:val="00CA4774"/>
    <w:rsid w:val="00CA537D"/>
    <w:rsid w:val="00CA57A1"/>
    <w:rsid w:val="00CA6244"/>
    <w:rsid w:val="00CA7BA3"/>
    <w:rsid w:val="00CA7DDE"/>
    <w:rsid w:val="00CB0547"/>
    <w:rsid w:val="00CB0E59"/>
    <w:rsid w:val="00CB4128"/>
    <w:rsid w:val="00CB4786"/>
    <w:rsid w:val="00CB4D95"/>
    <w:rsid w:val="00CB559B"/>
    <w:rsid w:val="00CB5D16"/>
    <w:rsid w:val="00CB648B"/>
    <w:rsid w:val="00CB717B"/>
    <w:rsid w:val="00CC099D"/>
    <w:rsid w:val="00CC0D99"/>
    <w:rsid w:val="00CC2763"/>
    <w:rsid w:val="00CC309A"/>
    <w:rsid w:val="00CC5F07"/>
    <w:rsid w:val="00CC6FAC"/>
    <w:rsid w:val="00CC7990"/>
    <w:rsid w:val="00CD01C0"/>
    <w:rsid w:val="00CD14D3"/>
    <w:rsid w:val="00CD1803"/>
    <w:rsid w:val="00CD4970"/>
    <w:rsid w:val="00CD5388"/>
    <w:rsid w:val="00CD5BE2"/>
    <w:rsid w:val="00CD5F17"/>
    <w:rsid w:val="00CD6FAE"/>
    <w:rsid w:val="00CD7DB7"/>
    <w:rsid w:val="00CE386B"/>
    <w:rsid w:val="00CE48BC"/>
    <w:rsid w:val="00CE681E"/>
    <w:rsid w:val="00CE69E2"/>
    <w:rsid w:val="00CE7322"/>
    <w:rsid w:val="00CE7D71"/>
    <w:rsid w:val="00CE7F77"/>
    <w:rsid w:val="00CE7FA7"/>
    <w:rsid w:val="00CF1586"/>
    <w:rsid w:val="00CF25A7"/>
    <w:rsid w:val="00CF29C5"/>
    <w:rsid w:val="00CF37C5"/>
    <w:rsid w:val="00CF48C1"/>
    <w:rsid w:val="00CF4BFE"/>
    <w:rsid w:val="00CF4EE6"/>
    <w:rsid w:val="00CF7106"/>
    <w:rsid w:val="00D00CDE"/>
    <w:rsid w:val="00D0114D"/>
    <w:rsid w:val="00D01264"/>
    <w:rsid w:val="00D0255E"/>
    <w:rsid w:val="00D03C99"/>
    <w:rsid w:val="00D03F7C"/>
    <w:rsid w:val="00D04AE4"/>
    <w:rsid w:val="00D058CF"/>
    <w:rsid w:val="00D07466"/>
    <w:rsid w:val="00D1069D"/>
    <w:rsid w:val="00D106F2"/>
    <w:rsid w:val="00D11C91"/>
    <w:rsid w:val="00D11FB0"/>
    <w:rsid w:val="00D120A3"/>
    <w:rsid w:val="00D1352B"/>
    <w:rsid w:val="00D136B8"/>
    <w:rsid w:val="00D139A5"/>
    <w:rsid w:val="00D13F07"/>
    <w:rsid w:val="00D14361"/>
    <w:rsid w:val="00D14F33"/>
    <w:rsid w:val="00D17C69"/>
    <w:rsid w:val="00D2051F"/>
    <w:rsid w:val="00D206A6"/>
    <w:rsid w:val="00D20B14"/>
    <w:rsid w:val="00D218AF"/>
    <w:rsid w:val="00D21BD5"/>
    <w:rsid w:val="00D22BF1"/>
    <w:rsid w:val="00D22CB8"/>
    <w:rsid w:val="00D23077"/>
    <w:rsid w:val="00D242BB"/>
    <w:rsid w:val="00D24AE4"/>
    <w:rsid w:val="00D2631B"/>
    <w:rsid w:val="00D264EF"/>
    <w:rsid w:val="00D26915"/>
    <w:rsid w:val="00D26F69"/>
    <w:rsid w:val="00D2761D"/>
    <w:rsid w:val="00D27FEE"/>
    <w:rsid w:val="00D30561"/>
    <w:rsid w:val="00D30D04"/>
    <w:rsid w:val="00D30DA2"/>
    <w:rsid w:val="00D31240"/>
    <w:rsid w:val="00D319B2"/>
    <w:rsid w:val="00D32961"/>
    <w:rsid w:val="00D32B92"/>
    <w:rsid w:val="00D3447F"/>
    <w:rsid w:val="00D34F8D"/>
    <w:rsid w:val="00D35BA8"/>
    <w:rsid w:val="00D371DC"/>
    <w:rsid w:val="00D37B78"/>
    <w:rsid w:val="00D401CD"/>
    <w:rsid w:val="00D40B18"/>
    <w:rsid w:val="00D40E2B"/>
    <w:rsid w:val="00D41341"/>
    <w:rsid w:val="00D417AB"/>
    <w:rsid w:val="00D41C89"/>
    <w:rsid w:val="00D43DC1"/>
    <w:rsid w:val="00D441D2"/>
    <w:rsid w:val="00D475C6"/>
    <w:rsid w:val="00D4762C"/>
    <w:rsid w:val="00D477B3"/>
    <w:rsid w:val="00D51BDC"/>
    <w:rsid w:val="00D52809"/>
    <w:rsid w:val="00D5298D"/>
    <w:rsid w:val="00D547C2"/>
    <w:rsid w:val="00D550B2"/>
    <w:rsid w:val="00D55E38"/>
    <w:rsid w:val="00D5662B"/>
    <w:rsid w:val="00D5733F"/>
    <w:rsid w:val="00D5787B"/>
    <w:rsid w:val="00D61345"/>
    <w:rsid w:val="00D614E3"/>
    <w:rsid w:val="00D61C21"/>
    <w:rsid w:val="00D62818"/>
    <w:rsid w:val="00D637C6"/>
    <w:rsid w:val="00D63EBB"/>
    <w:rsid w:val="00D64BA7"/>
    <w:rsid w:val="00D655BE"/>
    <w:rsid w:val="00D664AB"/>
    <w:rsid w:val="00D6738C"/>
    <w:rsid w:val="00D70A5A"/>
    <w:rsid w:val="00D724BA"/>
    <w:rsid w:val="00D72D92"/>
    <w:rsid w:val="00D75ACF"/>
    <w:rsid w:val="00D76E4B"/>
    <w:rsid w:val="00D81A0F"/>
    <w:rsid w:val="00D82052"/>
    <w:rsid w:val="00D8234F"/>
    <w:rsid w:val="00D8303D"/>
    <w:rsid w:val="00D847C7"/>
    <w:rsid w:val="00D84A3F"/>
    <w:rsid w:val="00D84BA8"/>
    <w:rsid w:val="00D872DE"/>
    <w:rsid w:val="00D8777A"/>
    <w:rsid w:val="00D908C1"/>
    <w:rsid w:val="00D91F69"/>
    <w:rsid w:val="00D93111"/>
    <w:rsid w:val="00D94914"/>
    <w:rsid w:val="00D95396"/>
    <w:rsid w:val="00D9539E"/>
    <w:rsid w:val="00D9615E"/>
    <w:rsid w:val="00D965EC"/>
    <w:rsid w:val="00D9674B"/>
    <w:rsid w:val="00D96F3C"/>
    <w:rsid w:val="00D9731A"/>
    <w:rsid w:val="00D9792D"/>
    <w:rsid w:val="00DA1C08"/>
    <w:rsid w:val="00DA231F"/>
    <w:rsid w:val="00DA3260"/>
    <w:rsid w:val="00DA3D3A"/>
    <w:rsid w:val="00DA42E5"/>
    <w:rsid w:val="00DA4AD1"/>
    <w:rsid w:val="00DA5DE0"/>
    <w:rsid w:val="00DA6616"/>
    <w:rsid w:val="00DB087E"/>
    <w:rsid w:val="00DB2E28"/>
    <w:rsid w:val="00DB35AB"/>
    <w:rsid w:val="00DB5AE4"/>
    <w:rsid w:val="00DB5EE3"/>
    <w:rsid w:val="00DB65CD"/>
    <w:rsid w:val="00DB6805"/>
    <w:rsid w:val="00DB6C71"/>
    <w:rsid w:val="00DB760C"/>
    <w:rsid w:val="00DB7628"/>
    <w:rsid w:val="00DB7F1A"/>
    <w:rsid w:val="00DC0012"/>
    <w:rsid w:val="00DC0389"/>
    <w:rsid w:val="00DC1C12"/>
    <w:rsid w:val="00DC20CA"/>
    <w:rsid w:val="00DC251E"/>
    <w:rsid w:val="00DC2FFD"/>
    <w:rsid w:val="00DC378E"/>
    <w:rsid w:val="00DC39B6"/>
    <w:rsid w:val="00DC3C44"/>
    <w:rsid w:val="00DC6258"/>
    <w:rsid w:val="00DC6959"/>
    <w:rsid w:val="00DC6DF0"/>
    <w:rsid w:val="00DC74AF"/>
    <w:rsid w:val="00DD037B"/>
    <w:rsid w:val="00DD06AF"/>
    <w:rsid w:val="00DD0A53"/>
    <w:rsid w:val="00DD106C"/>
    <w:rsid w:val="00DD18F2"/>
    <w:rsid w:val="00DD1ACB"/>
    <w:rsid w:val="00DD3603"/>
    <w:rsid w:val="00DD367E"/>
    <w:rsid w:val="00DD381B"/>
    <w:rsid w:val="00DD42E1"/>
    <w:rsid w:val="00DD448D"/>
    <w:rsid w:val="00DD5753"/>
    <w:rsid w:val="00DD5B86"/>
    <w:rsid w:val="00DD5CC3"/>
    <w:rsid w:val="00DD6B1A"/>
    <w:rsid w:val="00DD6FF2"/>
    <w:rsid w:val="00DD7B2E"/>
    <w:rsid w:val="00DD7B45"/>
    <w:rsid w:val="00DE05DB"/>
    <w:rsid w:val="00DE0ACE"/>
    <w:rsid w:val="00DE0B6B"/>
    <w:rsid w:val="00DE1862"/>
    <w:rsid w:val="00DE3E08"/>
    <w:rsid w:val="00DE4C54"/>
    <w:rsid w:val="00DE57DB"/>
    <w:rsid w:val="00DE77A2"/>
    <w:rsid w:val="00DE7DBC"/>
    <w:rsid w:val="00DF009B"/>
    <w:rsid w:val="00DF064E"/>
    <w:rsid w:val="00DF2146"/>
    <w:rsid w:val="00DF457E"/>
    <w:rsid w:val="00DF6024"/>
    <w:rsid w:val="00DF63DD"/>
    <w:rsid w:val="00DF6D0E"/>
    <w:rsid w:val="00DF7395"/>
    <w:rsid w:val="00DF765E"/>
    <w:rsid w:val="00DF7BDA"/>
    <w:rsid w:val="00E012F5"/>
    <w:rsid w:val="00E01DED"/>
    <w:rsid w:val="00E036FB"/>
    <w:rsid w:val="00E04AEF"/>
    <w:rsid w:val="00E04E2D"/>
    <w:rsid w:val="00E05753"/>
    <w:rsid w:val="00E10BBF"/>
    <w:rsid w:val="00E1130E"/>
    <w:rsid w:val="00E13785"/>
    <w:rsid w:val="00E13BC5"/>
    <w:rsid w:val="00E13CD0"/>
    <w:rsid w:val="00E1446A"/>
    <w:rsid w:val="00E1566A"/>
    <w:rsid w:val="00E1765B"/>
    <w:rsid w:val="00E20310"/>
    <w:rsid w:val="00E20F89"/>
    <w:rsid w:val="00E21852"/>
    <w:rsid w:val="00E21A44"/>
    <w:rsid w:val="00E21A85"/>
    <w:rsid w:val="00E21B31"/>
    <w:rsid w:val="00E22FA0"/>
    <w:rsid w:val="00E23268"/>
    <w:rsid w:val="00E23BC5"/>
    <w:rsid w:val="00E269B5"/>
    <w:rsid w:val="00E27B18"/>
    <w:rsid w:val="00E308B7"/>
    <w:rsid w:val="00E31361"/>
    <w:rsid w:val="00E314F8"/>
    <w:rsid w:val="00E328BB"/>
    <w:rsid w:val="00E333D6"/>
    <w:rsid w:val="00E334C1"/>
    <w:rsid w:val="00E33C40"/>
    <w:rsid w:val="00E34A3D"/>
    <w:rsid w:val="00E362EF"/>
    <w:rsid w:val="00E36A93"/>
    <w:rsid w:val="00E36AEB"/>
    <w:rsid w:val="00E41B96"/>
    <w:rsid w:val="00E424FF"/>
    <w:rsid w:val="00E4255A"/>
    <w:rsid w:val="00E43E28"/>
    <w:rsid w:val="00E44FB1"/>
    <w:rsid w:val="00E45136"/>
    <w:rsid w:val="00E45580"/>
    <w:rsid w:val="00E45F7C"/>
    <w:rsid w:val="00E46073"/>
    <w:rsid w:val="00E46B69"/>
    <w:rsid w:val="00E47849"/>
    <w:rsid w:val="00E47F56"/>
    <w:rsid w:val="00E50050"/>
    <w:rsid w:val="00E514C4"/>
    <w:rsid w:val="00E5460F"/>
    <w:rsid w:val="00E55F14"/>
    <w:rsid w:val="00E57DA6"/>
    <w:rsid w:val="00E60800"/>
    <w:rsid w:val="00E6101F"/>
    <w:rsid w:val="00E61488"/>
    <w:rsid w:val="00E6165C"/>
    <w:rsid w:val="00E61881"/>
    <w:rsid w:val="00E61903"/>
    <w:rsid w:val="00E61A74"/>
    <w:rsid w:val="00E61B78"/>
    <w:rsid w:val="00E62283"/>
    <w:rsid w:val="00E635AC"/>
    <w:rsid w:val="00E650E8"/>
    <w:rsid w:val="00E65809"/>
    <w:rsid w:val="00E65D98"/>
    <w:rsid w:val="00E66715"/>
    <w:rsid w:val="00E66AA4"/>
    <w:rsid w:val="00E67B66"/>
    <w:rsid w:val="00E7037C"/>
    <w:rsid w:val="00E71EEF"/>
    <w:rsid w:val="00E71FBE"/>
    <w:rsid w:val="00E71FFE"/>
    <w:rsid w:val="00E72641"/>
    <w:rsid w:val="00E72BD3"/>
    <w:rsid w:val="00E73408"/>
    <w:rsid w:val="00E73784"/>
    <w:rsid w:val="00E74586"/>
    <w:rsid w:val="00E74CCA"/>
    <w:rsid w:val="00E75894"/>
    <w:rsid w:val="00E762CD"/>
    <w:rsid w:val="00E81993"/>
    <w:rsid w:val="00E8345A"/>
    <w:rsid w:val="00E856DF"/>
    <w:rsid w:val="00E85A31"/>
    <w:rsid w:val="00E8787D"/>
    <w:rsid w:val="00E90A0F"/>
    <w:rsid w:val="00E9225E"/>
    <w:rsid w:val="00E92BF2"/>
    <w:rsid w:val="00E92EBE"/>
    <w:rsid w:val="00E93700"/>
    <w:rsid w:val="00E93E2D"/>
    <w:rsid w:val="00E94AF7"/>
    <w:rsid w:val="00E96BED"/>
    <w:rsid w:val="00E9743A"/>
    <w:rsid w:val="00EA01EC"/>
    <w:rsid w:val="00EA03DD"/>
    <w:rsid w:val="00EA08A1"/>
    <w:rsid w:val="00EA0B05"/>
    <w:rsid w:val="00EA1370"/>
    <w:rsid w:val="00EA1653"/>
    <w:rsid w:val="00EA1E0E"/>
    <w:rsid w:val="00EA2A06"/>
    <w:rsid w:val="00EA2BA1"/>
    <w:rsid w:val="00EA2DC2"/>
    <w:rsid w:val="00EA3AE3"/>
    <w:rsid w:val="00EA3B64"/>
    <w:rsid w:val="00EA431E"/>
    <w:rsid w:val="00EB0A7C"/>
    <w:rsid w:val="00EB17DE"/>
    <w:rsid w:val="00EB1C81"/>
    <w:rsid w:val="00EB29F6"/>
    <w:rsid w:val="00EB3386"/>
    <w:rsid w:val="00EB3A99"/>
    <w:rsid w:val="00EB3BFB"/>
    <w:rsid w:val="00EB3D5E"/>
    <w:rsid w:val="00EB47A3"/>
    <w:rsid w:val="00EB5302"/>
    <w:rsid w:val="00EB624A"/>
    <w:rsid w:val="00EB656E"/>
    <w:rsid w:val="00EB6C00"/>
    <w:rsid w:val="00EB7549"/>
    <w:rsid w:val="00EB766B"/>
    <w:rsid w:val="00EB7971"/>
    <w:rsid w:val="00EB7F60"/>
    <w:rsid w:val="00EC03CE"/>
    <w:rsid w:val="00EC06E5"/>
    <w:rsid w:val="00EC26D0"/>
    <w:rsid w:val="00EC355A"/>
    <w:rsid w:val="00EC4D73"/>
    <w:rsid w:val="00ED06E0"/>
    <w:rsid w:val="00ED0BE3"/>
    <w:rsid w:val="00ED11E9"/>
    <w:rsid w:val="00ED20B1"/>
    <w:rsid w:val="00ED3116"/>
    <w:rsid w:val="00ED31D4"/>
    <w:rsid w:val="00ED33E2"/>
    <w:rsid w:val="00ED4B1C"/>
    <w:rsid w:val="00ED5E3E"/>
    <w:rsid w:val="00ED7645"/>
    <w:rsid w:val="00ED771B"/>
    <w:rsid w:val="00ED7F15"/>
    <w:rsid w:val="00EE1BA5"/>
    <w:rsid w:val="00EE1F1C"/>
    <w:rsid w:val="00EE25DC"/>
    <w:rsid w:val="00EE27DE"/>
    <w:rsid w:val="00EE2BEC"/>
    <w:rsid w:val="00EE3BCD"/>
    <w:rsid w:val="00EE3CA1"/>
    <w:rsid w:val="00EE3CF9"/>
    <w:rsid w:val="00EE467A"/>
    <w:rsid w:val="00EE61A2"/>
    <w:rsid w:val="00EE64A1"/>
    <w:rsid w:val="00EE662D"/>
    <w:rsid w:val="00EE6B95"/>
    <w:rsid w:val="00EE6CB6"/>
    <w:rsid w:val="00EE7401"/>
    <w:rsid w:val="00EF0A61"/>
    <w:rsid w:val="00EF0B92"/>
    <w:rsid w:val="00EF2299"/>
    <w:rsid w:val="00EF28FC"/>
    <w:rsid w:val="00EF380D"/>
    <w:rsid w:val="00EF3A81"/>
    <w:rsid w:val="00EF402B"/>
    <w:rsid w:val="00EF48CF"/>
    <w:rsid w:val="00EF5495"/>
    <w:rsid w:val="00EF5FD1"/>
    <w:rsid w:val="00EF6990"/>
    <w:rsid w:val="00F01160"/>
    <w:rsid w:val="00F0125C"/>
    <w:rsid w:val="00F0212C"/>
    <w:rsid w:val="00F02C0D"/>
    <w:rsid w:val="00F03365"/>
    <w:rsid w:val="00F0379D"/>
    <w:rsid w:val="00F06E18"/>
    <w:rsid w:val="00F06F94"/>
    <w:rsid w:val="00F07540"/>
    <w:rsid w:val="00F07732"/>
    <w:rsid w:val="00F07984"/>
    <w:rsid w:val="00F10459"/>
    <w:rsid w:val="00F108A5"/>
    <w:rsid w:val="00F115D3"/>
    <w:rsid w:val="00F11644"/>
    <w:rsid w:val="00F11D5D"/>
    <w:rsid w:val="00F11DFA"/>
    <w:rsid w:val="00F11EBC"/>
    <w:rsid w:val="00F12930"/>
    <w:rsid w:val="00F129B4"/>
    <w:rsid w:val="00F129EC"/>
    <w:rsid w:val="00F1383A"/>
    <w:rsid w:val="00F1385F"/>
    <w:rsid w:val="00F150DE"/>
    <w:rsid w:val="00F15E50"/>
    <w:rsid w:val="00F1711F"/>
    <w:rsid w:val="00F17FF7"/>
    <w:rsid w:val="00F22003"/>
    <w:rsid w:val="00F2291B"/>
    <w:rsid w:val="00F2427A"/>
    <w:rsid w:val="00F24EC9"/>
    <w:rsid w:val="00F259D2"/>
    <w:rsid w:val="00F25A09"/>
    <w:rsid w:val="00F25A7E"/>
    <w:rsid w:val="00F25C70"/>
    <w:rsid w:val="00F26660"/>
    <w:rsid w:val="00F268E3"/>
    <w:rsid w:val="00F26E8F"/>
    <w:rsid w:val="00F270BA"/>
    <w:rsid w:val="00F27E90"/>
    <w:rsid w:val="00F30722"/>
    <w:rsid w:val="00F3096A"/>
    <w:rsid w:val="00F30A22"/>
    <w:rsid w:val="00F30A56"/>
    <w:rsid w:val="00F31B03"/>
    <w:rsid w:val="00F31CC4"/>
    <w:rsid w:val="00F32FFC"/>
    <w:rsid w:val="00F333E8"/>
    <w:rsid w:val="00F33CA6"/>
    <w:rsid w:val="00F33CD4"/>
    <w:rsid w:val="00F33F7F"/>
    <w:rsid w:val="00F34564"/>
    <w:rsid w:val="00F34C44"/>
    <w:rsid w:val="00F3555F"/>
    <w:rsid w:val="00F35B6C"/>
    <w:rsid w:val="00F36212"/>
    <w:rsid w:val="00F40C77"/>
    <w:rsid w:val="00F41B16"/>
    <w:rsid w:val="00F42318"/>
    <w:rsid w:val="00F42508"/>
    <w:rsid w:val="00F42A46"/>
    <w:rsid w:val="00F430BD"/>
    <w:rsid w:val="00F4433C"/>
    <w:rsid w:val="00F4484C"/>
    <w:rsid w:val="00F44BF2"/>
    <w:rsid w:val="00F470A9"/>
    <w:rsid w:val="00F503B3"/>
    <w:rsid w:val="00F50A87"/>
    <w:rsid w:val="00F50B89"/>
    <w:rsid w:val="00F514AC"/>
    <w:rsid w:val="00F51E7C"/>
    <w:rsid w:val="00F5301D"/>
    <w:rsid w:val="00F5306F"/>
    <w:rsid w:val="00F5369E"/>
    <w:rsid w:val="00F53CDD"/>
    <w:rsid w:val="00F53E6A"/>
    <w:rsid w:val="00F54217"/>
    <w:rsid w:val="00F55219"/>
    <w:rsid w:val="00F561AE"/>
    <w:rsid w:val="00F565E1"/>
    <w:rsid w:val="00F57152"/>
    <w:rsid w:val="00F5729F"/>
    <w:rsid w:val="00F57821"/>
    <w:rsid w:val="00F57C02"/>
    <w:rsid w:val="00F601B1"/>
    <w:rsid w:val="00F615B0"/>
    <w:rsid w:val="00F6168B"/>
    <w:rsid w:val="00F61D3F"/>
    <w:rsid w:val="00F621EA"/>
    <w:rsid w:val="00F645A6"/>
    <w:rsid w:val="00F66601"/>
    <w:rsid w:val="00F6673F"/>
    <w:rsid w:val="00F66FA4"/>
    <w:rsid w:val="00F66FE8"/>
    <w:rsid w:val="00F6701E"/>
    <w:rsid w:val="00F67986"/>
    <w:rsid w:val="00F70039"/>
    <w:rsid w:val="00F70376"/>
    <w:rsid w:val="00F71389"/>
    <w:rsid w:val="00F71BEB"/>
    <w:rsid w:val="00F7220A"/>
    <w:rsid w:val="00F726B9"/>
    <w:rsid w:val="00F74000"/>
    <w:rsid w:val="00F74931"/>
    <w:rsid w:val="00F75BF2"/>
    <w:rsid w:val="00F77A3E"/>
    <w:rsid w:val="00F77B16"/>
    <w:rsid w:val="00F8081E"/>
    <w:rsid w:val="00F81273"/>
    <w:rsid w:val="00F81E4D"/>
    <w:rsid w:val="00F82999"/>
    <w:rsid w:val="00F82A7F"/>
    <w:rsid w:val="00F85F9D"/>
    <w:rsid w:val="00F86117"/>
    <w:rsid w:val="00F8693A"/>
    <w:rsid w:val="00F87988"/>
    <w:rsid w:val="00F90AA3"/>
    <w:rsid w:val="00F90EB7"/>
    <w:rsid w:val="00F91AC2"/>
    <w:rsid w:val="00F91CBF"/>
    <w:rsid w:val="00F922CE"/>
    <w:rsid w:val="00F92308"/>
    <w:rsid w:val="00F9350B"/>
    <w:rsid w:val="00F9355D"/>
    <w:rsid w:val="00F946DA"/>
    <w:rsid w:val="00F94AB6"/>
    <w:rsid w:val="00F94FAA"/>
    <w:rsid w:val="00F9551A"/>
    <w:rsid w:val="00F9556B"/>
    <w:rsid w:val="00F9584F"/>
    <w:rsid w:val="00F978AC"/>
    <w:rsid w:val="00F9791A"/>
    <w:rsid w:val="00F97A73"/>
    <w:rsid w:val="00F97BF0"/>
    <w:rsid w:val="00FA0135"/>
    <w:rsid w:val="00FA03D7"/>
    <w:rsid w:val="00FA1458"/>
    <w:rsid w:val="00FA18CC"/>
    <w:rsid w:val="00FA3E8A"/>
    <w:rsid w:val="00FA4917"/>
    <w:rsid w:val="00FA4DFF"/>
    <w:rsid w:val="00FA4E7F"/>
    <w:rsid w:val="00FA5171"/>
    <w:rsid w:val="00FA555E"/>
    <w:rsid w:val="00FA63CF"/>
    <w:rsid w:val="00FA666D"/>
    <w:rsid w:val="00FA67F8"/>
    <w:rsid w:val="00FA71DB"/>
    <w:rsid w:val="00FA73B3"/>
    <w:rsid w:val="00FB0C94"/>
    <w:rsid w:val="00FB1B97"/>
    <w:rsid w:val="00FB1BE1"/>
    <w:rsid w:val="00FB2DBA"/>
    <w:rsid w:val="00FB3860"/>
    <w:rsid w:val="00FB3D8E"/>
    <w:rsid w:val="00FB4542"/>
    <w:rsid w:val="00FB55C6"/>
    <w:rsid w:val="00FB59B6"/>
    <w:rsid w:val="00FB633C"/>
    <w:rsid w:val="00FB6F4B"/>
    <w:rsid w:val="00FB7821"/>
    <w:rsid w:val="00FB7DEC"/>
    <w:rsid w:val="00FC06BA"/>
    <w:rsid w:val="00FC1DC8"/>
    <w:rsid w:val="00FC1FFE"/>
    <w:rsid w:val="00FC23A3"/>
    <w:rsid w:val="00FC43AC"/>
    <w:rsid w:val="00FC490A"/>
    <w:rsid w:val="00FC579E"/>
    <w:rsid w:val="00FC6D2D"/>
    <w:rsid w:val="00FC765F"/>
    <w:rsid w:val="00FC7C4C"/>
    <w:rsid w:val="00FD16DA"/>
    <w:rsid w:val="00FD32C8"/>
    <w:rsid w:val="00FD373A"/>
    <w:rsid w:val="00FD3A39"/>
    <w:rsid w:val="00FD3C62"/>
    <w:rsid w:val="00FD5981"/>
    <w:rsid w:val="00FD5AB2"/>
    <w:rsid w:val="00FD5FBE"/>
    <w:rsid w:val="00FD6023"/>
    <w:rsid w:val="00FD64F3"/>
    <w:rsid w:val="00FD6570"/>
    <w:rsid w:val="00FD66DF"/>
    <w:rsid w:val="00FD6AD4"/>
    <w:rsid w:val="00FD6C29"/>
    <w:rsid w:val="00FD77B5"/>
    <w:rsid w:val="00FD793E"/>
    <w:rsid w:val="00FD7BE3"/>
    <w:rsid w:val="00FD7CF1"/>
    <w:rsid w:val="00FE042F"/>
    <w:rsid w:val="00FE0FF8"/>
    <w:rsid w:val="00FE176F"/>
    <w:rsid w:val="00FE1F21"/>
    <w:rsid w:val="00FE2FB5"/>
    <w:rsid w:val="00FE3B10"/>
    <w:rsid w:val="00FE3EE6"/>
    <w:rsid w:val="00FE404A"/>
    <w:rsid w:val="00FE55A3"/>
    <w:rsid w:val="00FE5812"/>
    <w:rsid w:val="00FE5AA0"/>
    <w:rsid w:val="00FE666B"/>
    <w:rsid w:val="00FE77BE"/>
    <w:rsid w:val="00FE7B16"/>
    <w:rsid w:val="00FF01C2"/>
    <w:rsid w:val="00FF1353"/>
    <w:rsid w:val="00FF1B11"/>
    <w:rsid w:val="00FF2726"/>
    <w:rsid w:val="00FF6017"/>
    <w:rsid w:val="00FF61C8"/>
    <w:rsid w:val="00FF7AF2"/>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D2578"/>
  <w15:docId w15:val="{0C629828-391A-4764-8C6B-7C5B1BCD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4D"/>
    <w:pPr>
      <w:jc w:val="both"/>
    </w:pPr>
    <w:rPr>
      <w:sz w:val="22"/>
      <w:szCs w:val="22"/>
      <w:lang w:val="es-CO"/>
    </w:rPr>
  </w:style>
  <w:style w:type="paragraph" w:styleId="Ttulo1">
    <w:name w:val="heading 1"/>
    <w:basedOn w:val="Normal"/>
    <w:next w:val="Normal"/>
    <w:link w:val="Ttulo1Car"/>
    <w:uiPriority w:val="9"/>
    <w:qFormat/>
    <w:rsid w:val="001C3BBF"/>
    <w:pPr>
      <w:keepNext/>
      <w:spacing w:before="240" w:after="60" w:line="360" w:lineRule="auto"/>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qFormat/>
    <w:rsid w:val="001C3BBF"/>
    <w:pPr>
      <w:keepNext/>
      <w:spacing w:before="240" w:after="60" w:line="360" w:lineRule="auto"/>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1C3BBF"/>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1C3BBF"/>
    <w:pPr>
      <w:spacing w:before="240" w:after="60" w:line="360" w:lineRule="auto"/>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1C3BBF"/>
    <w:pPr>
      <w:spacing w:before="240" w:after="60" w:line="360" w:lineRule="auto"/>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1C3BBF"/>
    <w:pPr>
      <w:spacing w:before="240" w:after="60" w:line="360" w:lineRule="auto"/>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C3BBF"/>
    <w:rPr>
      <w:rFonts w:ascii="Cambria" w:eastAsia="Times New Roman" w:hAnsi="Cambria"/>
      <w:b/>
      <w:kern w:val="32"/>
      <w:sz w:val="32"/>
      <w:lang w:val="es-ES" w:eastAsia="es-ES"/>
    </w:rPr>
  </w:style>
  <w:style w:type="character" w:customStyle="1" w:styleId="Ttulo3Car">
    <w:name w:val="Título 3 Car"/>
    <w:link w:val="Ttulo3"/>
    <w:uiPriority w:val="9"/>
    <w:rsid w:val="001C3BBF"/>
    <w:rPr>
      <w:rFonts w:ascii="Arial" w:eastAsia="Times New Roman" w:hAnsi="Arial"/>
      <w:b/>
      <w:sz w:val="26"/>
      <w:lang w:val="es-ES" w:eastAsia="es-ES"/>
    </w:rPr>
  </w:style>
  <w:style w:type="character" w:customStyle="1" w:styleId="Ttulo5Car">
    <w:name w:val="Título 5 Car"/>
    <w:link w:val="Ttulo5"/>
    <w:uiPriority w:val="9"/>
    <w:rsid w:val="001C3BBF"/>
    <w:rPr>
      <w:rFonts w:ascii="Arial" w:eastAsia="Times New Roman" w:hAnsi="Arial"/>
      <w:b/>
      <w:lang w:val="es-ES" w:eastAsia="es-ES"/>
    </w:rPr>
  </w:style>
  <w:style w:type="character" w:customStyle="1" w:styleId="Ttulo6Car">
    <w:name w:val="Título 6 Car"/>
    <w:link w:val="Ttulo6"/>
    <w:uiPriority w:val="9"/>
    <w:rsid w:val="001C3BBF"/>
    <w:rPr>
      <w:rFonts w:eastAsia="Times New Roman"/>
      <w:b/>
      <w:lang w:val="es-ES" w:eastAsia="es-ES"/>
    </w:rPr>
  </w:style>
  <w:style w:type="character" w:customStyle="1" w:styleId="Ttulo7Car">
    <w:name w:val="Título 7 Car"/>
    <w:link w:val="Ttulo7"/>
    <w:uiPriority w:val="9"/>
    <w:rsid w:val="001C3BBF"/>
    <w:rPr>
      <w:rFonts w:ascii="Arial" w:eastAsia="Times New Roman" w:hAnsi="Arial"/>
      <w:sz w:val="24"/>
      <w:lang w:val="es-ES" w:eastAsia="es-ES"/>
    </w:rPr>
  </w:style>
  <w:style w:type="character" w:customStyle="1" w:styleId="Ttulo9Car">
    <w:name w:val="Título 9 Car"/>
    <w:link w:val="Ttulo9"/>
    <w:uiPriority w:val="9"/>
    <w:rsid w:val="001C3BBF"/>
    <w:rPr>
      <w:rFonts w:ascii="Arial" w:eastAsia="Times New Roman" w:hAnsi="Arial"/>
      <w:lang w:val="es-ES" w:eastAsia="es-ES"/>
    </w:rPr>
  </w:style>
  <w:style w:type="numbering" w:customStyle="1" w:styleId="Sinlista1">
    <w:name w:val="Sin lista1"/>
    <w:next w:val="Sinlista"/>
    <w:uiPriority w:val="99"/>
    <w:semiHidden/>
    <w:unhideWhenUsed/>
    <w:rsid w:val="001C3BBF"/>
  </w:style>
  <w:style w:type="paragraph" w:styleId="Textoindependiente2">
    <w:name w:val="Body Text 2"/>
    <w:basedOn w:val="Normal"/>
    <w:link w:val="Textoindependiente2Car"/>
    <w:uiPriority w:val="99"/>
    <w:semiHidden/>
    <w:rsid w:val="001C3BBF"/>
    <w:pPr>
      <w:spacing w:after="120" w:line="360" w:lineRule="auto"/>
      <w:ind w:left="283"/>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1C3BBF"/>
    <w:rPr>
      <w:rFonts w:ascii="Arial" w:eastAsia="Times New Roman" w:hAnsi="Arial"/>
      <w:sz w:val="24"/>
      <w:lang w:val="es-ES" w:eastAsia="es-ES"/>
    </w:rPr>
  </w:style>
  <w:style w:type="paragraph" w:customStyle="1" w:styleId="Textoindependiente21">
    <w:name w:val="Texto independiente 21"/>
    <w:basedOn w:val="Normal"/>
    <w:uiPriority w:val="99"/>
    <w:rsid w:val="001C3BBF"/>
    <w:pPr>
      <w:tabs>
        <w:tab w:val="left" w:pos="3969"/>
      </w:tabs>
      <w:overflowPunct w:val="0"/>
      <w:autoSpaceDE w:val="0"/>
      <w:autoSpaceDN w:val="0"/>
      <w:adjustRightInd w:val="0"/>
      <w:spacing w:line="360" w:lineRule="auto"/>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1C3BBF"/>
    <w:rPr>
      <w:vertAlign w:val="superscript"/>
    </w:rPr>
  </w:style>
  <w:style w:type="paragraph" w:styleId="Textoindependiente">
    <w:name w:val="Body Text"/>
    <w:aliases w:val="Texto independiente Car Car Car"/>
    <w:basedOn w:val="Normal"/>
    <w:link w:val="TextoindependienteCar"/>
    <w:rsid w:val="001C3BBF"/>
    <w:pPr>
      <w:autoSpaceDE w:val="0"/>
      <w:autoSpaceDN w:val="0"/>
      <w:adjustRightInd w:val="0"/>
      <w:spacing w:line="360" w:lineRule="auto"/>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1C3BBF"/>
    <w:rPr>
      <w:rFonts w:ascii="Arial" w:eastAsia="Times New Roman" w:hAnsi="Arial"/>
      <w:sz w:val="24"/>
      <w:lang w:val="es-ES_tradnl" w:eastAsia="es-ES"/>
    </w:rPr>
  </w:style>
  <w:style w:type="paragraph" w:styleId="NormalWeb">
    <w:name w:val="Normal (Web)"/>
    <w:basedOn w:val="Normal"/>
    <w:uiPriority w:val="99"/>
    <w:rsid w:val="001C3BBF"/>
    <w:pPr>
      <w:spacing w:before="100" w:beforeAutospacing="1" w:after="100" w:afterAutospacing="1" w:line="360" w:lineRule="auto"/>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1C3BBF"/>
    <w:pPr>
      <w:overflowPunct w:val="0"/>
      <w:autoSpaceDE w:val="0"/>
      <w:autoSpaceDN w:val="0"/>
      <w:adjustRightInd w:val="0"/>
      <w:spacing w:line="360" w:lineRule="auto"/>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1C3BBF"/>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1C3BBF"/>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1C3BBF"/>
    <w:pPr>
      <w:spacing w:line="360" w:lineRule="auto"/>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1C3BBF"/>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1C3BBF"/>
    <w:rPr>
      <w:rFonts w:ascii="Arial" w:hAnsi="Arial"/>
    </w:rPr>
  </w:style>
  <w:style w:type="paragraph" w:styleId="Encabezado">
    <w:name w:val="header"/>
    <w:basedOn w:val="Normal"/>
    <w:link w:val="EncabezadoCar"/>
    <w:rsid w:val="001C3BBF"/>
    <w:pPr>
      <w:tabs>
        <w:tab w:val="center" w:pos="4419"/>
        <w:tab w:val="right" w:pos="8838"/>
      </w:tabs>
      <w:overflowPunct w:val="0"/>
      <w:autoSpaceDE w:val="0"/>
      <w:autoSpaceDN w:val="0"/>
      <w:adjustRightInd w:val="0"/>
      <w:spacing w:line="36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1C3BBF"/>
    <w:rPr>
      <w:rFonts w:ascii="Arial" w:eastAsia="Times New Roman" w:hAnsi="Arial"/>
      <w:sz w:val="24"/>
      <w:lang w:val="es-ES_tradnl" w:eastAsia="es-ES"/>
    </w:rPr>
  </w:style>
  <w:style w:type="paragraph" w:styleId="Piedepgina">
    <w:name w:val="footer"/>
    <w:basedOn w:val="Normal"/>
    <w:link w:val="PiedepginaCar"/>
    <w:uiPriority w:val="99"/>
    <w:rsid w:val="001C3BBF"/>
    <w:pPr>
      <w:tabs>
        <w:tab w:val="center" w:pos="4252"/>
        <w:tab w:val="right" w:pos="8504"/>
      </w:tabs>
      <w:spacing w:line="360" w:lineRule="auto"/>
    </w:pPr>
    <w:rPr>
      <w:rFonts w:ascii="Arial" w:eastAsia="Times New Roman" w:hAnsi="Arial"/>
      <w:sz w:val="24"/>
      <w:szCs w:val="20"/>
      <w:lang w:val="es-ES" w:eastAsia="es-ES"/>
    </w:rPr>
  </w:style>
  <w:style w:type="character" w:customStyle="1" w:styleId="PiedepginaCar">
    <w:name w:val="Pie de página Car"/>
    <w:link w:val="Piedepgina"/>
    <w:uiPriority w:val="99"/>
    <w:rsid w:val="001C3BBF"/>
    <w:rPr>
      <w:rFonts w:ascii="Arial" w:eastAsia="Times New Roman" w:hAnsi="Arial"/>
      <w:sz w:val="24"/>
      <w:lang w:val="es-ES" w:eastAsia="es-ES"/>
    </w:rPr>
  </w:style>
  <w:style w:type="character" w:styleId="Nmerodepgina">
    <w:name w:val="page number"/>
    <w:rsid w:val="001C3BBF"/>
  </w:style>
  <w:style w:type="paragraph" w:styleId="Textodebloque">
    <w:name w:val="Block Text"/>
    <w:basedOn w:val="Normal"/>
    <w:rsid w:val="001C3BBF"/>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pPr>
    <w:rPr>
      <w:rFonts w:ascii="Century Gothic" w:eastAsia="Times New Roman" w:hAnsi="Century Gothic" w:cs="Century Gothic"/>
      <w:lang w:val="es-ES" w:eastAsia="es-ES"/>
    </w:rPr>
  </w:style>
  <w:style w:type="paragraph" w:customStyle="1" w:styleId="Estilo">
    <w:name w:val="Estilo"/>
    <w:rsid w:val="001C3BBF"/>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1C3BBF"/>
    <w:pPr>
      <w:overflowPunct w:val="0"/>
      <w:autoSpaceDE w:val="0"/>
      <w:autoSpaceDN w:val="0"/>
      <w:adjustRightInd w:val="0"/>
      <w:spacing w:line="360" w:lineRule="auto"/>
      <w:ind w:firstLine="1418"/>
      <w:textAlignment w:val="baseline"/>
    </w:pPr>
    <w:rPr>
      <w:rFonts w:ascii="Arial" w:eastAsia="Times New Roman" w:hAnsi="Arial"/>
      <w:sz w:val="24"/>
      <w:szCs w:val="20"/>
      <w:lang w:val="es-ES" w:eastAsia="es-ES"/>
    </w:rPr>
  </w:style>
  <w:style w:type="paragraph" w:customStyle="1" w:styleId="CUERPO">
    <w:name w:val="CUERPO"/>
    <w:rsid w:val="001C3BBF"/>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1C3BBF"/>
    <w:pPr>
      <w:overflowPunct w:val="0"/>
      <w:autoSpaceDE w:val="0"/>
      <w:autoSpaceDN w:val="0"/>
      <w:adjustRightInd w:val="0"/>
      <w:spacing w:line="360" w:lineRule="auto"/>
      <w:ind w:left="851" w:right="851" w:firstLine="567"/>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1C3BBF"/>
    <w:pPr>
      <w:overflowPunct w:val="0"/>
      <w:autoSpaceDE w:val="0"/>
      <w:autoSpaceDN w:val="0"/>
      <w:adjustRightInd w:val="0"/>
      <w:spacing w:line="360" w:lineRule="auto"/>
      <w:ind w:firstLine="540"/>
      <w:textAlignment w:val="baseline"/>
    </w:pPr>
    <w:rPr>
      <w:rFonts w:ascii="Arial" w:eastAsia="Times New Roman" w:hAnsi="Arial"/>
      <w:b/>
      <w:sz w:val="24"/>
      <w:szCs w:val="20"/>
      <w:lang w:val="es-ES" w:eastAsia="es-ES"/>
    </w:rPr>
  </w:style>
  <w:style w:type="paragraph" w:customStyle="1" w:styleId="BodyText21">
    <w:name w:val="Body Text 21"/>
    <w:basedOn w:val="Normal"/>
    <w:uiPriority w:val="99"/>
    <w:rsid w:val="001C3BBF"/>
    <w:pPr>
      <w:overflowPunct w:val="0"/>
      <w:autoSpaceDE w:val="0"/>
      <w:autoSpaceDN w:val="0"/>
      <w:adjustRightInd w:val="0"/>
      <w:spacing w:line="360" w:lineRule="auto"/>
      <w:ind w:left="1418"/>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1C3BBF"/>
    <w:pPr>
      <w:overflowPunct w:val="0"/>
      <w:autoSpaceDE w:val="0"/>
      <w:autoSpaceDN w:val="0"/>
      <w:adjustRightInd w:val="0"/>
      <w:spacing w:after="120" w:line="360" w:lineRule="auto"/>
      <w:ind w:left="283"/>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1C3BBF"/>
    <w:rPr>
      <w:rFonts w:ascii="Arial" w:eastAsia="Times New Roman" w:hAnsi="Arial"/>
      <w:sz w:val="16"/>
      <w:lang w:val="es-ES" w:eastAsia="es-ES"/>
    </w:rPr>
  </w:style>
  <w:style w:type="paragraph" w:customStyle="1" w:styleId="Textonormal">
    <w:name w:val="Texto normal"/>
    <w:basedOn w:val="Normal"/>
    <w:rsid w:val="001C3BBF"/>
    <w:pPr>
      <w:spacing w:line="360" w:lineRule="atLeast"/>
    </w:pPr>
    <w:rPr>
      <w:rFonts w:ascii="Arial" w:eastAsia="Times New Roman" w:hAnsi="Arial"/>
      <w:sz w:val="24"/>
      <w:szCs w:val="20"/>
      <w:lang w:val="es-ES" w:eastAsia="es-ES"/>
    </w:rPr>
  </w:style>
  <w:style w:type="paragraph" w:customStyle="1" w:styleId="tesis">
    <w:name w:val="tesis"/>
    <w:basedOn w:val="Cuerpotexto"/>
    <w:rsid w:val="001C3BBF"/>
    <w:pPr>
      <w:spacing w:before="0" w:after="170"/>
      <w:ind w:left="567" w:right="0" w:firstLine="0"/>
    </w:pPr>
    <w:rPr>
      <w:b/>
      <w:color w:val="auto"/>
    </w:rPr>
  </w:style>
  <w:style w:type="paragraph" w:customStyle="1" w:styleId="Cuerpotexto">
    <w:name w:val="Cuerpo texto"/>
    <w:rsid w:val="001C3BBF"/>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1C3BBF"/>
    <w:rPr>
      <w:lang w:val="es-CO" w:eastAsia="es-ES"/>
    </w:rPr>
  </w:style>
  <w:style w:type="paragraph" w:styleId="Textonotaalfinal">
    <w:name w:val="endnote text"/>
    <w:basedOn w:val="Normal"/>
    <w:link w:val="TextonotaalfinalCar"/>
    <w:uiPriority w:val="99"/>
    <w:unhideWhenUsed/>
    <w:rsid w:val="001C3BBF"/>
    <w:pPr>
      <w:spacing w:line="360" w:lineRule="auto"/>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1C3BBF"/>
    <w:rPr>
      <w:rFonts w:ascii="Arial" w:eastAsia="Times New Roman" w:hAnsi="Arial"/>
      <w:lang w:val="es-ES" w:eastAsia="es-ES"/>
    </w:rPr>
  </w:style>
  <w:style w:type="paragraph" w:customStyle="1" w:styleId="BodyText22">
    <w:name w:val="Body Text 22"/>
    <w:basedOn w:val="Normal"/>
    <w:rsid w:val="001C3BBF"/>
    <w:pPr>
      <w:autoSpaceDE w:val="0"/>
      <w:autoSpaceDN w:val="0"/>
      <w:adjustRightInd w:val="0"/>
      <w:spacing w:line="360" w:lineRule="auto"/>
      <w:ind w:firstLine="708"/>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1C3BBF"/>
    <w:rPr>
      <w:rFonts w:ascii="Arial" w:hAnsi="Arial"/>
      <w:sz w:val="24"/>
      <w:lang w:val="es-ES_tradnl" w:eastAsia="es-ES"/>
    </w:rPr>
  </w:style>
  <w:style w:type="character" w:styleId="Hipervnculo">
    <w:name w:val="Hyperlink"/>
    <w:uiPriority w:val="99"/>
    <w:rsid w:val="001C3BBF"/>
    <w:rPr>
      <w:rFonts w:ascii="Arial" w:hAnsi="Arial"/>
      <w:color w:val="auto"/>
      <w:sz w:val="18"/>
      <w:u w:val="none"/>
      <w:effect w:val="none"/>
    </w:rPr>
  </w:style>
  <w:style w:type="character" w:customStyle="1" w:styleId="CarCar10">
    <w:name w:val="Car Car10"/>
    <w:rsid w:val="001C3BBF"/>
    <w:rPr>
      <w:rFonts w:ascii="Arial" w:hAnsi="Arial"/>
      <w:b/>
      <w:sz w:val="26"/>
      <w:lang w:eastAsia="es-ES"/>
    </w:rPr>
  </w:style>
  <w:style w:type="paragraph" w:customStyle="1" w:styleId="BodyText28">
    <w:name w:val="Body Text 28"/>
    <w:basedOn w:val="Normal"/>
    <w:rsid w:val="001C3BB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1C3BBF"/>
    <w:rPr>
      <w:rFonts w:ascii="Arial" w:hAnsi="Arial"/>
      <w:sz w:val="24"/>
      <w:lang w:val="es-ES_tradnl" w:eastAsia="es-ES"/>
    </w:rPr>
  </w:style>
  <w:style w:type="character" w:customStyle="1" w:styleId="CarCar11">
    <w:name w:val="Car Car11"/>
    <w:rsid w:val="001C3BBF"/>
    <w:rPr>
      <w:rFonts w:ascii="Arial" w:hAnsi="Arial"/>
      <w:b/>
      <w:sz w:val="26"/>
      <w:lang w:val="es-ES" w:eastAsia="es-ES"/>
    </w:rPr>
  </w:style>
  <w:style w:type="paragraph" w:styleId="Sangradetextonormal">
    <w:name w:val="Body Text Indent"/>
    <w:basedOn w:val="Normal"/>
    <w:link w:val="SangradetextonormalCar"/>
    <w:uiPriority w:val="99"/>
    <w:rsid w:val="001C3BBF"/>
    <w:pPr>
      <w:spacing w:after="120" w:line="360" w:lineRule="auto"/>
      <w:ind w:left="283"/>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1C3BBF"/>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1C3BBF"/>
    <w:pPr>
      <w:spacing w:after="120" w:line="480" w:lineRule="auto"/>
      <w:ind w:left="283"/>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1C3BBF"/>
    <w:rPr>
      <w:rFonts w:ascii="Times New Roman" w:eastAsia="Times New Roman" w:hAnsi="Times New Roman"/>
      <w:sz w:val="24"/>
      <w:lang w:val="es-ES" w:eastAsia="es-ES"/>
    </w:rPr>
  </w:style>
  <w:style w:type="paragraph" w:customStyle="1" w:styleId="Sangra3detindependiente11">
    <w:name w:val="Sangría 3 de t. independiente11"/>
    <w:basedOn w:val="Normal"/>
    <w:rsid w:val="001C3BBF"/>
    <w:pPr>
      <w:overflowPunct w:val="0"/>
      <w:autoSpaceDE w:val="0"/>
      <w:autoSpaceDN w:val="0"/>
      <w:adjustRightInd w:val="0"/>
      <w:spacing w:line="360" w:lineRule="auto"/>
      <w:ind w:firstLine="709"/>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1C3BBF"/>
    <w:pPr>
      <w:overflowPunct w:val="0"/>
      <w:autoSpaceDE w:val="0"/>
      <w:autoSpaceDN w:val="0"/>
      <w:adjustRightInd w:val="0"/>
      <w:spacing w:line="360" w:lineRule="auto"/>
      <w:ind w:left="1418"/>
      <w:textAlignment w:val="baseline"/>
    </w:pPr>
    <w:rPr>
      <w:rFonts w:ascii="Arial" w:eastAsia="Times New Roman" w:hAnsi="Arial"/>
      <w:sz w:val="24"/>
      <w:szCs w:val="20"/>
      <w:lang w:val="es-ES" w:eastAsia="es-ES"/>
    </w:rPr>
  </w:style>
  <w:style w:type="paragraph" w:customStyle="1" w:styleId="03Cuerpo">
    <w:name w:val="03Cuerpo"/>
    <w:rsid w:val="001C3BBF"/>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1C3BBF"/>
    <w:pPr>
      <w:widowControl w:val="0"/>
      <w:adjustRightInd w:val="0"/>
      <w:spacing w:line="360" w:lineRule="atLeast"/>
      <w:ind w:left="708"/>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1C3BBF"/>
    <w:pPr>
      <w:widowControl w:val="0"/>
      <w:adjustRightInd w:val="0"/>
      <w:spacing w:line="360" w:lineRule="atLeast"/>
      <w:ind w:left="283" w:hanging="283"/>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1C3BBF"/>
    <w:pPr>
      <w:widowControl w:val="0"/>
      <w:adjustRightInd w:val="0"/>
      <w:spacing w:after="120" w:line="360" w:lineRule="atLeast"/>
      <w:ind w:left="283"/>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1C3BBF"/>
    <w:rPr>
      <w:color w:val="800080"/>
      <w:u w:val="single"/>
    </w:rPr>
  </w:style>
  <w:style w:type="character" w:customStyle="1" w:styleId="CarCar13">
    <w:name w:val="Car Car13"/>
    <w:rsid w:val="001C3BBF"/>
    <w:rPr>
      <w:rFonts w:ascii="Arial" w:hAnsi="Arial"/>
      <w:sz w:val="24"/>
      <w:lang w:val="es-ES_tradnl" w:eastAsia="es-ES"/>
    </w:rPr>
  </w:style>
  <w:style w:type="paragraph" w:customStyle="1" w:styleId="07Resaltado">
    <w:name w:val="07Resaltado"/>
    <w:basedOn w:val="Normal"/>
    <w:rsid w:val="001C3BBF"/>
    <w:pPr>
      <w:overflowPunct w:val="0"/>
      <w:autoSpaceDE w:val="0"/>
      <w:autoSpaceDN w:val="0"/>
      <w:adjustRightInd w:val="0"/>
      <w:spacing w:line="240" w:lineRule="atLeast"/>
      <w:ind w:left="454" w:right="454"/>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1C3BBF"/>
    <w:pPr>
      <w:spacing w:line="360" w:lineRule="auto"/>
      <w:ind w:left="708"/>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1C3BBF"/>
    <w:rPr>
      <w:rFonts w:ascii="Arial" w:hAnsi="Arial"/>
      <w:sz w:val="24"/>
      <w:lang w:val="es-ES_tradnl" w:eastAsia="es-ES"/>
    </w:rPr>
  </w:style>
  <w:style w:type="paragraph" w:styleId="Textosinformato">
    <w:name w:val="Plain Text"/>
    <w:basedOn w:val="Normal"/>
    <w:link w:val="TextosinformatoCar"/>
    <w:uiPriority w:val="99"/>
    <w:rsid w:val="001C3BBF"/>
    <w:pPr>
      <w:spacing w:line="36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1C3BBF"/>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1C3BBF"/>
    <w:rPr>
      <w:lang w:val="es-ES" w:eastAsia="es-ES"/>
    </w:rPr>
  </w:style>
  <w:style w:type="table" w:styleId="Tablaconcuadrcula">
    <w:name w:val="Table Grid"/>
    <w:basedOn w:val="Tablanormal"/>
    <w:uiPriority w:val="59"/>
    <w:rsid w:val="001C3BBF"/>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3BBF"/>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1C3BBF"/>
    <w:rPr>
      <w:rFonts w:ascii="Tahoma" w:eastAsia="Times New Roman" w:hAnsi="Tahoma"/>
      <w:sz w:val="16"/>
      <w:lang w:val="es-ES" w:eastAsia="es-ES"/>
    </w:rPr>
  </w:style>
  <w:style w:type="paragraph" w:customStyle="1" w:styleId="Style11">
    <w:name w:val="Style11"/>
    <w:basedOn w:val="Normal"/>
    <w:rsid w:val="001C3BBF"/>
    <w:pPr>
      <w:widowControl w:val="0"/>
      <w:autoSpaceDE w:val="0"/>
      <w:autoSpaceDN w:val="0"/>
      <w:adjustRightInd w:val="0"/>
      <w:spacing w:line="230" w:lineRule="exact"/>
      <w:ind w:firstLine="264"/>
    </w:pPr>
    <w:rPr>
      <w:rFonts w:ascii="Arial" w:eastAsia="Times New Roman" w:hAnsi="Arial"/>
      <w:sz w:val="24"/>
      <w:szCs w:val="24"/>
      <w:lang w:val="es-ES" w:eastAsia="es-ES"/>
    </w:rPr>
  </w:style>
  <w:style w:type="character" w:customStyle="1" w:styleId="FontStyle92">
    <w:name w:val="Font Style92"/>
    <w:rsid w:val="001C3BBF"/>
    <w:rPr>
      <w:rFonts w:ascii="Times New Roman" w:hAnsi="Times New Roman"/>
      <w:sz w:val="18"/>
    </w:rPr>
  </w:style>
  <w:style w:type="paragraph" w:customStyle="1" w:styleId="Textodebloque2">
    <w:name w:val="Texto de bloque2"/>
    <w:basedOn w:val="Normal"/>
    <w:rsid w:val="001C3BBF"/>
    <w:pPr>
      <w:overflowPunct w:val="0"/>
      <w:autoSpaceDE w:val="0"/>
      <w:autoSpaceDN w:val="0"/>
      <w:adjustRightInd w:val="0"/>
      <w:ind w:left="576" w:right="576"/>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1C3BBF"/>
    <w:pPr>
      <w:overflowPunct w:val="0"/>
      <w:autoSpaceDE w:val="0"/>
      <w:autoSpaceDN w:val="0"/>
      <w:adjustRightInd w:val="0"/>
      <w:ind w:left="1418"/>
      <w:textAlignment w:val="baseline"/>
    </w:pPr>
    <w:rPr>
      <w:rFonts w:ascii="Arial" w:eastAsia="Times New Roman" w:hAnsi="Arial"/>
      <w:sz w:val="24"/>
      <w:szCs w:val="20"/>
      <w:lang w:val="es-ES" w:eastAsia="es-ES"/>
    </w:rPr>
  </w:style>
  <w:style w:type="character" w:customStyle="1" w:styleId="textonavy1">
    <w:name w:val="texto_navy1"/>
    <w:rsid w:val="001C3BBF"/>
    <w:rPr>
      <w:color w:val="000080"/>
    </w:rPr>
  </w:style>
  <w:style w:type="paragraph" w:customStyle="1" w:styleId="Enconsecueencia">
    <w:name w:val="En consecueencia"/>
    <w:basedOn w:val="Normal"/>
    <w:rsid w:val="001C3BBF"/>
    <w:pPr>
      <w:tabs>
        <w:tab w:val="left" w:pos="1276"/>
      </w:tabs>
    </w:pPr>
    <w:rPr>
      <w:rFonts w:ascii="Arial" w:eastAsia="Times New Roman" w:hAnsi="Arial"/>
      <w:szCs w:val="20"/>
      <w:lang w:val="es-ES_tradnl" w:eastAsia="es-ES"/>
    </w:rPr>
  </w:style>
  <w:style w:type="paragraph" w:customStyle="1" w:styleId="Ed">
    <w:name w:val="Ed"/>
    <w:basedOn w:val="Normal"/>
    <w:rsid w:val="001C3BBF"/>
    <w:pPr>
      <w:overflowPunct w:val="0"/>
      <w:autoSpaceDE w:val="0"/>
      <w:autoSpaceDN w:val="0"/>
      <w:adjustRightInd w:val="0"/>
      <w:spacing w:line="480" w:lineRule="auto"/>
      <w:textAlignment w:val="baseline"/>
    </w:pPr>
    <w:rPr>
      <w:rFonts w:ascii="Arial" w:eastAsia="Times New Roman" w:hAnsi="Arial"/>
      <w:sz w:val="24"/>
      <w:szCs w:val="20"/>
      <w:lang w:val="es-ES_tradnl" w:eastAsia="es-CO"/>
    </w:rPr>
  </w:style>
  <w:style w:type="character" w:styleId="Textoennegrita">
    <w:name w:val="Strong"/>
    <w:uiPriority w:val="22"/>
    <w:qFormat/>
    <w:rsid w:val="001C3BBF"/>
    <w:rPr>
      <w:b/>
    </w:rPr>
  </w:style>
  <w:style w:type="character" w:customStyle="1" w:styleId="apple-converted-space">
    <w:name w:val="apple-converted-space"/>
    <w:rsid w:val="001C3BBF"/>
  </w:style>
  <w:style w:type="paragraph" w:customStyle="1" w:styleId="Default">
    <w:name w:val="Default"/>
    <w:rsid w:val="001C3BBF"/>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1C3BBF"/>
  </w:style>
  <w:style w:type="character" w:customStyle="1" w:styleId="toctoggle">
    <w:name w:val="toctoggle"/>
    <w:rsid w:val="001C3BBF"/>
  </w:style>
  <w:style w:type="character" w:customStyle="1" w:styleId="t125">
    <w:name w:val="t125"/>
    <w:rsid w:val="001C3BBF"/>
  </w:style>
  <w:style w:type="paragraph" w:customStyle="1" w:styleId="parrafo-division">
    <w:name w:val="parrafo-division"/>
    <w:basedOn w:val="Normal"/>
    <w:rsid w:val="001C3BB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textonavy">
    <w:name w:val="texto_navy"/>
    <w:rsid w:val="001C3BBF"/>
  </w:style>
  <w:style w:type="paragraph" w:customStyle="1" w:styleId="Textoindependiente23">
    <w:name w:val="Texto independiente 23"/>
    <w:basedOn w:val="Normal"/>
    <w:rsid w:val="001C3BBF"/>
    <w:pPr>
      <w:overflowPunct w:val="0"/>
      <w:autoSpaceDE w:val="0"/>
      <w:autoSpaceDN w:val="0"/>
      <w:adjustRightInd w:val="0"/>
      <w:spacing w:line="360" w:lineRule="auto"/>
      <w:ind w:firstLine="1418"/>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1C3BBF"/>
    <w:pPr>
      <w:overflowPunct w:val="0"/>
      <w:autoSpaceDE w:val="0"/>
      <w:autoSpaceDN w:val="0"/>
      <w:adjustRightInd w:val="0"/>
      <w:spacing w:line="480" w:lineRule="auto"/>
      <w:textAlignment w:val="baseline"/>
    </w:pPr>
    <w:rPr>
      <w:rFonts w:ascii="Arial" w:eastAsia="Times New Roman" w:hAnsi="Arial"/>
      <w:sz w:val="24"/>
      <w:szCs w:val="20"/>
      <w:lang w:val="es-ES" w:eastAsia="es-ES"/>
    </w:rPr>
  </w:style>
  <w:style w:type="paragraph" w:customStyle="1" w:styleId="Puesto">
    <w:name w:val="Puesto"/>
    <w:basedOn w:val="Normal"/>
    <w:link w:val="PuestoCar"/>
    <w:qFormat/>
    <w:rsid w:val="001C3BBF"/>
    <w:pPr>
      <w:jc w:val="center"/>
    </w:pPr>
    <w:rPr>
      <w:rFonts w:ascii="Arial" w:eastAsia="Batang" w:hAnsi="Arial"/>
      <w:b/>
      <w:bCs/>
      <w:szCs w:val="24"/>
      <w:lang w:val="es-ES_tradnl" w:eastAsia="es-ES"/>
    </w:rPr>
  </w:style>
  <w:style w:type="character" w:customStyle="1" w:styleId="PuestoCar">
    <w:name w:val="Puesto Car"/>
    <w:link w:val="Puesto"/>
    <w:rsid w:val="001C3BBF"/>
    <w:rPr>
      <w:rFonts w:ascii="Arial" w:eastAsia="Batang" w:hAnsi="Arial" w:cs="Arial"/>
      <w:b/>
      <w:bCs/>
      <w:sz w:val="22"/>
      <w:szCs w:val="24"/>
      <w:lang w:val="es-ES_tradnl" w:eastAsia="es-ES"/>
    </w:rPr>
  </w:style>
  <w:style w:type="paragraph" w:customStyle="1" w:styleId="Textoindependiente25">
    <w:name w:val="Texto independiente 25"/>
    <w:basedOn w:val="Normal"/>
    <w:rsid w:val="001C3BBF"/>
    <w:pPr>
      <w:overflowPunct w:val="0"/>
      <w:autoSpaceDE w:val="0"/>
      <w:autoSpaceDN w:val="0"/>
      <w:adjustRightInd w:val="0"/>
      <w:spacing w:line="360" w:lineRule="auto"/>
      <w:ind w:firstLine="710"/>
      <w:textAlignment w:val="baseline"/>
    </w:pPr>
    <w:rPr>
      <w:rFonts w:ascii="Arial" w:eastAsia="Times New Roman" w:hAnsi="Arial"/>
      <w:sz w:val="24"/>
      <w:szCs w:val="20"/>
      <w:lang w:eastAsia="es-ES"/>
    </w:rPr>
  </w:style>
  <w:style w:type="paragraph" w:customStyle="1" w:styleId="textocaja">
    <w:name w:val="textocaja"/>
    <w:basedOn w:val="Normal"/>
    <w:rsid w:val="001C3BBF"/>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1C3BBF"/>
    <w:pPr>
      <w:overflowPunct w:val="0"/>
      <w:autoSpaceDE w:val="0"/>
      <w:autoSpaceDN w:val="0"/>
      <w:adjustRightInd w:val="0"/>
      <w:jc w:val="left"/>
      <w:textAlignment w:val="baseline"/>
    </w:pPr>
    <w:rPr>
      <w:rFonts w:ascii="Arial" w:eastAsia="Times New Roman" w:hAnsi="Arial"/>
      <w:i/>
      <w:szCs w:val="20"/>
      <w:lang w:eastAsia="es-ES"/>
    </w:rPr>
  </w:style>
  <w:style w:type="paragraph" w:styleId="Lista2">
    <w:name w:val="List 2"/>
    <w:basedOn w:val="Normal"/>
    <w:uiPriority w:val="99"/>
    <w:unhideWhenUsed/>
    <w:rsid w:val="001C3BBF"/>
    <w:pPr>
      <w:spacing w:line="360" w:lineRule="auto"/>
      <w:ind w:left="566" w:hanging="283"/>
      <w:contextualSpacing/>
    </w:pPr>
    <w:rPr>
      <w:rFonts w:ascii="Arial" w:eastAsia="Times New Roman" w:hAnsi="Arial"/>
      <w:sz w:val="24"/>
      <w:szCs w:val="24"/>
      <w:lang w:val="es-ES" w:eastAsia="es-ES"/>
    </w:rPr>
  </w:style>
  <w:style w:type="paragraph" w:styleId="Lista3">
    <w:name w:val="List 3"/>
    <w:basedOn w:val="Normal"/>
    <w:uiPriority w:val="99"/>
    <w:unhideWhenUsed/>
    <w:rsid w:val="001C3BBF"/>
    <w:pPr>
      <w:spacing w:line="360" w:lineRule="auto"/>
      <w:ind w:left="849" w:hanging="283"/>
      <w:contextualSpacing/>
    </w:pPr>
    <w:rPr>
      <w:rFonts w:ascii="Arial" w:eastAsia="Times New Roman" w:hAnsi="Arial"/>
      <w:sz w:val="24"/>
      <w:szCs w:val="24"/>
      <w:lang w:val="es-ES" w:eastAsia="es-ES"/>
    </w:rPr>
  </w:style>
  <w:style w:type="paragraph" w:styleId="Lista4">
    <w:name w:val="List 4"/>
    <w:basedOn w:val="Normal"/>
    <w:uiPriority w:val="99"/>
    <w:unhideWhenUsed/>
    <w:rsid w:val="001C3BBF"/>
    <w:pPr>
      <w:spacing w:line="360" w:lineRule="auto"/>
      <w:ind w:left="1132" w:hanging="283"/>
      <w:contextualSpacing/>
    </w:pPr>
    <w:rPr>
      <w:rFonts w:ascii="Arial" w:eastAsia="Times New Roman" w:hAnsi="Arial"/>
      <w:sz w:val="24"/>
      <w:szCs w:val="24"/>
      <w:lang w:val="es-ES" w:eastAsia="es-ES"/>
    </w:rPr>
  </w:style>
  <w:style w:type="paragraph" w:styleId="Lista5">
    <w:name w:val="List 5"/>
    <w:basedOn w:val="Normal"/>
    <w:uiPriority w:val="99"/>
    <w:unhideWhenUsed/>
    <w:rsid w:val="001C3BBF"/>
    <w:pPr>
      <w:spacing w:line="360" w:lineRule="auto"/>
      <w:ind w:left="1415" w:hanging="283"/>
      <w:contextualSpacing/>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1C3BBF"/>
    <w:pPr>
      <w:spacing w:line="360" w:lineRule="auto"/>
    </w:pPr>
    <w:rPr>
      <w:rFonts w:ascii="Arial" w:eastAsia="Times New Roman" w:hAnsi="Arial"/>
      <w:sz w:val="24"/>
      <w:szCs w:val="24"/>
      <w:lang w:val="es-ES" w:eastAsia="es-ES"/>
    </w:rPr>
  </w:style>
  <w:style w:type="character" w:customStyle="1" w:styleId="SaludoCar">
    <w:name w:val="Saludo Car"/>
    <w:link w:val="Saludo"/>
    <w:uiPriority w:val="99"/>
    <w:rsid w:val="001C3BBF"/>
    <w:rPr>
      <w:rFonts w:ascii="Arial" w:eastAsia="Times New Roman" w:hAnsi="Arial"/>
      <w:sz w:val="24"/>
      <w:szCs w:val="24"/>
      <w:lang w:val="es-ES" w:eastAsia="es-ES"/>
    </w:rPr>
  </w:style>
  <w:style w:type="paragraph" w:styleId="Continuarlista2">
    <w:name w:val="List Continue 2"/>
    <w:basedOn w:val="Normal"/>
    <w:uiPriority w:val="99"/>
    <w:unhideWhenUsed/>
    <w:rsid w:val="001C3BBF"/>
    <w:pPr>
      <w:spacing w:after="120" w:line="360" w:lineRule="auto"/>
      <w:ind w:left="566"/>
      <w:contextualSpacing/>
    </w:pPr>
    <w:rPr>
      <w:rFonts w:ascii="Arial" w:eastAsia="Times New Roman" w:hAnsi="Arial"/>
      <w:sz w:val="24"/>
      <w:szCs w:val="24"/>
      <w:lang w:val="es-ES" w:eastAsia="es-ES"/>
    </w:rPr>
  </w:style>
  <w:style w:type="paragraph" w:styleId="Continuarlista3">
    <w:name w:val="List Continue 3"/>
    <w:basedOn w:val="Normal"/>
    <w:uiPriority w:val="99"/>
    <w:unhideWhenUsed/>
    <w:rsid w:val="001C3BBF"/>
    <w:pPr>
      <w:spacing w:after="120" w:line="360" w:lineRule="auto"/>
      <w:ind w:left="849"/>
      <w:contextualSpacing/>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C3BBF"/>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1C3BBF"/>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1C3BBF"/>
    <w:pPr>
      <w:ind w:left="851" w:right="851"/>
      <w:contextualSpacing/>
    </w:pPr>
    <w:rPr>
      <w:rFonts w:ascii="Century Gothic" w:hAnsi="Century Gothic"/>
      <w:lang w:val="es-ES_tradnl"/>
    </w:rPr>
  </w:style>
  <w:style w:type="paragraph" w:customStyle="1" w:styleId="western">
    <w:name w:val="western"/>
    <w:basedOn w:val="Normal"/>
    <w:rsid w:val="001C3BB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apple-style-span">
    <w:name w:val="apple-style-span"/>
    <w:uiPriority w:val="99"/>
    <w:rsid w:val="00A749D6"/>
  </w:style>
  <w:style w:type="paragraph" w:customStyle="1" w:styleId="Textodebloque3">
    <w:name w:val="Texto de bloque3"/>
    <w:basedOn w:val="Normal"/>
    <w:rsid w:val="00A529B1"/>
    <w:pPr>
      <w:overflowPunct w:val="0"/>
      <w:autoSpaceDE w:val="0"/>
      <w:autoSpaceDN w:val="0"/>
      <w:adjustRightInd w:val="0"/>
      <w:ind w:left="576" w:right="576"/>
      <w:textAlignment w:val="baseline"/>
    </w:pPr>
    <w:rPr>
      <w:rFonts w:ascii="Arial" w:eastAsia="Times New Roman" w:hAnsi="Arial"/>
      <w:i/>
      <w:sz w:val="20"/>
      <w:szCs w:val="20"/>
      <w:lang w:val="es-ES_tradnl" w:eastAsia="es-ES"/>
    </w:rPr>
  </w:style>
  <w:style w:type="paragraph" w:customStyle="1" w:styleId="Cuerpo0">
    <w:name w:val="Cuerpo"/>
    <w:basedOn w:val="Normal"/>
    <w:autoRedefine/>
    <w:rsid w:val="000A3659"/>
    <w:pPr>
      <w:spacing w:after="120"/>
      <w:ind w:firstLine="1134"/>
    </w:pPr>
    <w:rPr>
      <w:rFonts w:ascii="Arial" w:eastAsia="Times New Roman" w:hAnsi="Arial"/>
      <w:szCs w:val="20"/>
      <w:lang w:val="es-ES" w:eastAsia="es-ES"/>
    </w:rPr>
  </w:style>
  <w:style w:type="paragraph" w:customStyle="1" w:styleId="auto-style30">
    <w:name w:val="auto-style30"/>
    <w:basedOn w:val="Normal"/>
    <w:rsid w:val="003D2CB6"/>
    <w:pPr>
      <w:spacing w:before="100" w:beforeAutospacing="1" w:after="100" w:afterAutospacing="1"/>
      <w:jc w:val="left"/>
    </w:pPr>
    <w:rPr>
      <w:rFonts w:ascii="Times New Roman" w:eastAsia="Times New Roman" w:hAnsi="Times New Roman"/>
      <w:sz w:val="24"/>
      <w:szCs w:val="24"/>
      <w:lang w:val="es-MX" w:eastAsia="es-MX"/>
    </w:rPr>
  </w:style>
  <w:style w:type="character" w:customStyle="1" w:styleId="SinespaciadoCar">
    <w:name w:val="Sin espaciado Car"/>
    <w:link w:val="Sinespaciado"/>
    <w:uiPriority w:val="1"/>
    <w:locked/>
    <w:rsid w:val="00383DD6"/>
    <w:rPr>
      <w:lang w:val="en-US" w:eastAsia="en-US" w:bidi="en-US"/>
    </w:rPr>
  </w:style>
  <w:style w:type="paragraph" w:styleId="Sinespaciado">
    <w:name w:val="No Spacing"/>
    <w:basedOn w:val="Normal"/>
    <w:link w:val="SinespaciadoCar"/>
    <w:uiPriority w:val="1"/>
    <w:qFormat/>
    <w:rsid w:val="00383DD6"/>
    <w:rPr>
      <w:sz w:val="20"/>
      <w:szCs w:val="20"/>
      <w:lang w:val="en-US" w:bidi="en-US"/>
    </w:rPr>
  </w:style>
  <w:style w:type="paragraph" w:customStyle="1" w:styleId="BodyText23">
    <w:name w:val="Body Text 23"/>
    <w:basedOn w:val="Normal"/>
    <w:uiPriority w:val="99"/>
    <w:rsid w:val="00383DD6"/>
    <w:pPr>
      <w:overflowPunct w:val="0"/>
      <w:autoSpaceDE w:val="0"/>
      <w:autoSpaceDN w:val="0"/>
      <w:adjustRightInd w:val="0"/>
      <w:spacing w:line="360" w:lineRule="auto"/>
    </w:pPr>
    <w:rPr>
      <w:rFonts w:ascii="Arial" w:eastAsia="Times New Roman" w:hAnsi="Arial"/>
      <w:sz w:val="24"/>
      <w:szCs w:val="20"/>
      <w:lang w:val="es-ES" w:eastAsia="es-ES"/>
    </w:rPr>
  </w:style>
  <w:style w:type="character" w:customStyle="1" w:styleId="CuerpodeltextoEspaciado-1pto">
    <w:name w:val="Cuerpo del texto + Espaciado -1 pto"/>
    <w:rsid w:val="00383DD6"/>
    <w:rPr>
      <w:rFonts w:ascii="Courier New" w:eastAsia="Courier New" w:hAnsi="Courier New" w:cs="Courier New" w:hint="default"/>
      <w:spacing w:val="-20"/>
      <w:sz w:val="23"/>
      <w:szCs w:val="23"/>
      <w:shd w:val="clear" w:color="auto" w:fill="FFFFFF"/>
    </w:rPr>
  </w:style>
  <w:style w:type="character" w:customStyle="1" w:styleId="FootnoteCharacters">
    <w:name w:val="Footnote Characters"/>
    <w:rsid w:val="005915F1"/>
    <w:rPr>
      <w:vertAlign w:val="superscript"/>
    </w:rPr>
  </w:style>
  <w:style w:type="character" w:styleId="nfasis">
    <w:name w:val="Emphasis"/>
    <w:uiPriority w:val="20"/>
    <w:qFormat/>
    <w:rsid w:val="00A155B7"/>
    <w:rPr>
      <w:i/>
      <w:iCs/>
    </w:rPr>
  </w:style>
  <w:style w:type="paragraph" w:customStyle="1" w:styleId="Citas">
    <w:name w:val="Citas"/>
    <w:basedOn w:val="Normal"/>
    <w:qFormat/>
    <w:rsid w:val="002E376E"/>
    <w:pPr>
      <w:overflowPunct w:val="0"/>
      <w:autoSpaceDE w:val="0"/>
      <w:autoSpaceDN w:val="0"/>
      <w:adjustRightInd w:val="0"/>
      <w:textAlignment w:val="baseline"/>
    </w:pPr>
    <w:rPr>
      <w:rFonts w:ascii="Arial" w:eastAsia="Times New Roman" w:hAnsi="Arial"/>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777">
      <w:bodyDiv w:val="1"/>
      <w:marLeft w:val="0"/>
      <w:marRight w:val="0"/>
      <w:marTop w:val="0"/>
      <w:marBottom w:val="0"/>
      <w:divBdr>
        <w:top w:val="none" w:sz="0" w:space="0" w:color="auto"/>
        <w:left w:val="none" w:sz="0" w:space="0" w:color="auto"/>
        <w:bottom w:val="none" w:sz="0" w:space="0" w:color="auto"/>
        <w:right w:val="none" w:sz="0" w:space="0" w:color="auto"/>
      </w:divBdr>
    </w:div>
    <w:div w:id="50810298">
      <w:bodyDiv w:val="1"/>
      <w:marLeft w:val="0"/>
      <w:marRight w:val="0"/>
      <w:marTop w:val="0"/>
      <w:marBottom w:val="0"/>
      <w:divBdr>
        <w:top w:val="none" w:sz="0" w:space="0" w:color="auto"/>
        <w:left w:val="none" w:sz="0" w:space="0" w:color="auto"/>
        <w:bottom w:val="none" w:sz="0" w:space="0" w:color="auto"/>
        <w:right w:val="none" w:sz="0" w:space="0" w:color="auto"/>
      </w:divBdr>
    </w:div>
    <w:div w:id="74477262">
      <w:bodyDiv w:val="1"/>
      <w:marLeft w:val="0"/>
      <w:marRight w:val="0"/>
      <w:marTop w:val="0"/>
      <w:marBottom w:val="0"/>
      <w:divBdr>
        <w:top w:val="none" w:sz="0" w:space="0" w:color="auto"/>
        <w:left w:val="none" w:sz="0" w:space="0" w:color="auto"/>
        <w:bottom w:val="none" w:sz="0" w:space="0" w:color="auto"/>
        <w:right w:val="none" w:sz="0" w:space="0" w:color="auto"/>
      </w:divBdr>
    </w:div>
    <w:div w:id="97414130">
      <w:bodyDiv w:val="1"/>
      <w:marLeft w:val="0"/>
      <w:marRight w:val="0"/>
      <w:marTop w:val="0"/>
      <w:marBottom w:val="0"/>
      <w:divBdr>
        <w:top w:val="none" w:sz="0" w:space="0" w:color="auto"/>
        <w:left w:val="none" w:sz="0" w:space="0" w:color="auto"/>
        <w:bottom w:val="none" w:sz="0" w:space="0" w:color="auto"/>
        <w:right w:val="none" w:sz="0" w:space="0" w:color="auto"/>
      </w:divBdr>
    </w:div>
    <w:div w:id="129329876">
      <w:bodyDiv w:val="1"/>
      <w:marLeft w:val="0"/>
      <w:marRight w:val="0"/>
      <w:marTop w:val="0"/>
      <w:marBottom w:val="0"/>
      <w:divBdr>
        <w:top w:val="none" w:sz="0" w:space="0" w:color="auto"/>
        <w:left w:val="none" w:sz="0" w:space="0" w:color="auto"/>
        <w:bottom w:val="none" w:sz="0" w:space="0" w:color="auto"/>
        <w:right w:val="none" w:sz="0" w:space="0" w:color="auto"/>
      </w:divBdr>
    </w:div>
    <w:div w:id="161438512">
      <w:bodyDiv w:val="1"/>
      <w:marLeft w:val="0"/>
      <w:marRight w:val="0"/>
      <w:marTop w:val="0"/>
      <w:marBottom w:val="0"/>
      <w:divBdr>
        <w:top w:val="none" w:sz="0" w:space="0" w:color="auto"/>
        <w:left w:val="none" w:sz="0" w:space="0" w:color="auto"/>
        <w:bottom w:val="none" w:sz="0" w:space="0" w:color="auto"/>
        <w:right w:val="none" w:sz="0" w:space="0" w:color="auto"/>
      </w:divBdr>
    </w:div>
    <w:div w:id="314800543">
      <w:bodyDiv w:val="1"/>
      <w:marLeft w:val="0"/>
      <w:marRight w:val="0"/>
      <w:marTop w:val="0"/>
      <w:marBottom w:val="0"/>
      <w:divBdr>
        <w:top w:val="none" w:sz="0" w:space="0" w:color="auto"/>
        <w:left w:val="none" w:sz="0" w:space="0" w:color="auto"/>
        <w:bottom w:val="none" w:sz="0" w:space="0" w:color="auto"/>
        <w:right w:val="none" w:sz="0" w:space="0" w:color="auto"/>
      </w:divBdr>
    </w:div>
    <w:div w:id="349183413">
      <w:bodyDiv w:val="1"/>
      <w:marLeft w:val="0"/>
      <w:marRight w:val="0"/>
      <w:marTop w:val="0"/>
      <w:marBottom w:val="0"/>
      <w:divBdr>
        <w:top w:val="none" w:sz="0" w:space="0" w:color="auto"/>
        <w:left w:val="none" w:sz="0" w:space="0" w:color="auto"/>
        <w:bottom w:val="none" w:sz="0" w:space="0" w:color="auto"/>
        <w:right w:val="none" w:sz="0" w:space="0" w:color="auto"/>
      </w:divBdr>
    </w:div>
    <w:div w:id="385878262">
      <w:bodyDiv w:val="1"/>
      <w:marLeft w:val="0"/>
      <w:marRight w:val="0"/>
      <w:marTop w:val="0"/>
      <w:marBottom w:val="0"/>
      <w:divBdr>
        <w:top w:val="none" w:sz="0" w:space="0" w:color="auto"/>
        <w:left w:val="none" w:sz="0" w:space="0" w:color="auto"/>
        <w:bottom w:val="none" w:sz="0" w:space="0" w:color="auto"/>
        <w:right w:val="none" w:sz="0" w:space="0" w:color="auto"/>
      </w:divBdr>
    </w:div>
    <w:div w:id="523054664">
      <w:bodyDiv w:val="1"/>
      <w:marLeft w:val="0"/>
      <w:marRight w:val="0"/>
      <w:marTop w:val="0"/>
      <w:marBottom w:val="0"/>
      <w:divBdr>
        <w:top w:val="none" w:sz="0" w:space="0" w:color="auto"/>
        <w:left w:val="none" w:sz="0" w:space="0" w:color="auto"/>
        <w:bottom w:val="none" w:sz="0" w:space="0" w:color="auto"/>
        <w:right w:val="none" w:sz="0" w:space="0" w:color="auto"/>
      </w:divBdr>
    </w:div>
    <w:div w:id="608781814">
      <w:bodyDiv w:val="1"/>
      <w:marLeft w:val="0"/>
      <w:marRight w:val="0"/>
      <w:marTop w:val="0"/>
      <w:marBottom w:val="0"/>
      <w:divBdr>
        <w:top w:val="none" w:sz="0" w:space="0" w:color="auto"/>
        <w:left w:val="none" w:sz="0" w:space="0" w:color="auto"/>
        <w:bottom w:val="none" w:sz="0" w:space="0" w:color="auto"/>
        <w:right w:val="none" w:sz="0" w:space="0" w:color="auto"/>
      </w:divBdr>
    </w:div>
    <w:div w:id="658843876">
      <w:bodyDiv w:val="1"/>
      <w:marLeft w:val="0"/>
      <w:marRight w:val="0"/>
      <w:marTop w:val="0"/>
      <w:marBottom w:val="0"/>
      <w:divBdr>
        <w:top w:val="none" w:sz="0" w:space="0" w:color="auto"/>
        <w:left w:val="none" w:sz="0" w:space="0" w:color="auto"/>
        <w:bottom w:val="none" w:sz="0" w:space="0" w:color="auto"/>
        <w:right w:val="none" w:sz="0" w:space="0" w:color="auto"/>
      </w:divBdr>
    </w:div>
    <w:div w:id="829635242">
      <w:bodyDiv w:val="1"/>
      <w:marLeft w:val="0"/>
      <w:marRight w:val="0"/>
      <w:marTop w:val="0"/>
      <w:marBottom w:val="0"/>
      <w:divBdr>
        <w:top w:val="none" w:sz="0" w:space="0" w:color="auto"/>
        <w:left w:val="none" w:sz="0" w:space="0" w:color="auto"/>
        <w:bottom w:val="none" w:sz="0" w:space="0" w:color="auto"/>
        <w:right w:val="none" w:sz="0" w:space="0" w:color="auto"/>
      </w:divBdr>
    </w:div>
    <w:div w:id="887959863">
      <w:bodyDiv w:val="1"/>
      <w:marLeft w:val="0"/>
      <w:marRight w:val="0"/>
      <w:marTop w:val="0"/>
      <w:marBottom w:val="0"/>
      <w:divBdr>
        <w:top w:val="none" w:sz="0" w:space="0" w:color="auto"/>
        <w:left w:val="none" w:sz="0" w:space="0" w:color="auto"/>
        <w:bottom w:val="none" w:sz="0" w:space="0" w:color="auto"/>
        <w:right w:val="none" w:sz="0" w:space="0" w:color="auto"/>
      </w:divBdr>
    </w:div>
    <w:div w:id="1240099906">
      <w:bodyDiv w:val="1"/>
      <w:marLeft w:val="0"/>
      <w:marRight w:val="0"/>
      <w:marTop w:val="0"/>
      <w:marBottom w:val="0"/>
      <w:divBdr>
        <w:top w:val="none" w:sz="0" w:space="0" w:color="auto"/>
        <w:left w:val="none" w:sz="0" w:space="0" w:color="auto"/>
        <w:bottom w:val="none" w:sz="0" w:space="0" w:color="auto"/>
        <w:right w:val="none" w:sz="0" w:space="0" w:color="auto"/>
      </w:divBdr>
    </w:div>
    <w:div w:id="1319698756">
      <w:bodyDiv w:val="1"/>
      <w:marLeft w:val="0"/>
      <w:marRight w:val="0"/>
      <w:marTop w:val="0"/>
      <w:marBottom w:val="0"/>
      <w:divBdr>
        <w:top w:val="none" w:sz="0" w:space="0" w:color="auto"/>
        <w:left w:val="none" w:sz="0" w:space="0" w:color="auto"/>
        <w:bottom w:val="none" w:sz="0" w:space="0" w:color="auto"/>
        <w:right w:val="none" w:sz="0" w:space="0" w:color="auto"/>
      </w:divBdr>
    </w:div>
    <w:div w:id="1425298208">
      <w:bodyDiv w:val="1"/>
      <w:marLeft w:val="0"/>
      <w:marRight w:val="0"/>
      <w:marTop w:val="0"/>
      <w:marBottom w:val="0"/>
      <w:divBdr>
        <w:top w:val="none" w:sz="0" w:space="0" w:color="auto"/>
        <w:left w:val="none" w:sz="0" w:space="0" w:color="auto"/>
        <w:bottom w:val="none" w:sz="0" w:space="0" w:color="auto"/>
        <w:right w:val="none" w:sz="0" w:space="0" w:color="auto"/>
      </w:divBdr>
    </w:div>
    <w:div w:id="1440493722">
      <w:bodyDiv w:val="1"/>
      <w:marLeft w:val="0"/>
      <w:marRight w:val="0"/>
      <w:marTop w:val="0"/>
      <w:marBottom w:val="0"/>
      <w:divBdr>
        <w:top w:val="none" w:sz="0" w:space="0" w:color="auto"/>
        <w:left w:val="none" w:sz="0" w:space="0" w:color="auto"/>
        <w:bottom w:val="none" w:sz="0" w:space="0" w:color="auto"/>
        <w:right w:val="none" w:sz="0" w:space="0" w:color="auto"/>
      </w:divBdr>
    </w:div>
    <w:div w:id="1608612715">
      <w:bodyDiv w:val="1"/>
      <w:marLeft w:val="0"/>
      <w:marRight w:val="0"/>
      <w:marTop w:val="0"/>
      <w:marBottom w:val="0"/>
      <w:divBdr>
        <w:top w:val="none" w:sz="0" w:space="0" w:color="auto"/>
        <w:left w:val="none" w:sz="0" w:space="0" w:color="auto"/>
        <w:bottom w:val="none" w:sz="0" w:space="0" w:color="auto"/>
        <w:right w:val="none" w:sz="0" w:space="0" w:color="auto"/>
      </w:divBdr>
    </w:div>
    <w:div w:id="1641113609">
      <w:bodyDiv w:val="1"/>
      <w:marLeft w:val="0"/>
      <w:marRight w:val="0"/>
      <w:marTop w:val="0"/>
      <w:marBottom w:val="0"/>
      <w:divBdr>
        <w:top w:val="none" w:sz="0" w:space="0" w:color="auto"/>
        <w:left w:val="none" w:sz="0" w:space="0" w:color="auto"/>
        <w:bottom w:val="none" w:sz="0" w:space="0" w:color="auto"/>
        <w:right w:val="none" w:sz="0" w:space="0" w:color="auto"/>
      </w:divBdr>
    </w:div>
    <w:div w:id="1739673957">
      <w:bodyDiv w:val="1"/>
      <w:marLeft w:val="0"/>
      <w:marRight w:val="0"/>
      <w:marTop w:val="0"/>
      <w:marBottom w:val="0"/>
      <w:divBdr>
        <w:top w:val="none" w:sz="0" w:space="0" w:color="auto"/>
        <w:left w:val="none" w:sz="0" w:space="0" w:color="auto"/>
        <w:bottom w:val="none" w:sz="0" w:space="0" w:color="auto"/>
        <w:right w:val="none" w:sz="0" w:space="0" w:color="auto"/>
      </w:divBdr>
    </w:div>
    <w:div w:id="1809128117">
      <w:bodyDiv w:val="1"/>
      <w:marLeft w:val="0"/>
      <w:marRight w:val="0"/>
      <w:marTop w:val="0"/>
      <w:marBottom w:val="0"/>
      <w:divBdr>
        <w:top w:val="none" w:sz="0" w:space="0" w:color="auto"/>
        <w:left w:val="none" w:sz="0" w:space="0" w:color="auto"/>
        <w:bottom w:val="none" w:sz="0" w:space="0" w:color="auto"/>
        <w:right w:val="none" w:sz="0" w:space="0" w:color="auto"/>
      </w:divBdr>
    </w:div>
    <w:div w:id="2093576942">
      <w:bodyDiv w:val="1"/>
      <w:marLeft w:val="0"/>
      <w:marRight w:val="0"/>
      <w:marTop w:val="0"/>
      <w:marBottom w:val="0"/>
      <w:divBdr>
        <w:top w:val="none" w:sz="0" w:space="0" w:color="auto"/>
        <w:left w:val="none" w:sz="0" w:space="0" w:color="auto"/>
        <w:bottom w:val="none" w:sz="0" w:space="0" w:color="auto"/>
        <w:right w:val="none" w:sz="0" w:space="0" w:color="auto"/>
      </w:divBdr>
    </w:div>
    <w:div w:id="2104184571">
      <w:bodyDiv w:val="1"/>
      <w:marLeft w:val="0"/>
      <w:marRight w:val="0"/>
      <w:marTop w:val="0"/>
      <w:marBottom w:val="0"/>
      <w:divBdr>
        <w:top w:val="none" w:sz="0" w:space="0" w:color="auto"/>
        <w:left w:val="none" w:sz="0" w:space="0" w:color="auto"/>
        <w:bottom w:val="none" w:sz="0" w:space="0" w:color="auto"/>
        <w:right w:val="none" w:sz="0" w:space="0" w:color="auto"/>
      </w:divBdr>
    </w:div>
    <w:div w:id="21126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3DAE5-A748-4C97-AF6E-6AA76CB1A224}">
  <ds:schemaRefs>
    <ds:schemaRef ds:uri="http://schemas.microsoft.com/sharepoint/v3/contenttype/forms"/>
  </ds:schemaRefs>
</ds:datastoreItem>
</file>

<file path=customXml/itemProps2.xml><?xml version="1.0" encoding="utf-8"?>
<ds:datastoreItem xmlns:ds="http://schemas.openxmlformats.org/officeDocument/2006/customXml" ds:itemID="{7607565F-6E66-42A7-BFA1-1AF16AB81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3EE9D-4D43-46AF-9F74-D19D1E029E2E}">
  <ds:schemaRefs>
    <ds:schemaRef ds:uri="http://schemas.openxmlformats.org/officeDocument/2006/bibliography"/>
  </ds:schemaRefs>
</ds:datastoreItem>
</file>

<file path=customXml/itemProps4.xml><?xml version="1.0" encoding="utf-8"?>
<ds:datastoreItem xmlns:ds="http://schemas.openxmlformats.org/officeDocument/2006/customXml" ds:itemID="{BB1DC098-2018-4B17-99AE-ED70429C5C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9402</Words>
  <Characters>51712</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MIRANDA</dc:creator>
  <cp:keywords/>
  <cp:lastModifiedBy>Carlos Mario Castrillón Endo</cp:lastModifiedBy>
  <cp:revision>2</cp:revision>
  <cp:lastPrinted>2017-06-20T13:53:00Z</cp:lastPrinted>
  <dcterms:created xsi:type="dcterms:W3CDTF">2020-07-01T19:38:00Z</dcterms:created>
  <dcterms:modified xsi:type="dcterms:W3CDTF">2020-07-01T19:38:00Z</dcterms:modified>
</cp:coreProperties>
</file>