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18045" w14:textId="77777777" w:rsidR="00D16D6D" w:rsidRPr="007A1327" w:rsidRDefault="007A1327" w:rsidP="00D16D6D">
      <w:pPr>
        <w:tabs>
          <w:tab w:val="left" w:pos="810"/>
          <w:tab w:val="left" w:pos="2085"/>
          <w:tab w:val="center" w:pos="4420"/>
          <w:tab w:val="left" w:pos="6570"/>
        </w:tabs>
        <w:jc w:val="both"/>
        <w:rPr>
          <w:rFonts w:ascii="Arial" w:hAnsi="Arial" w:cs="Arial"/>
          <w:bCs/>
          <w:sz w:val="22"/>
          <w:szCs w:val="22"/>
        </w:rPr>
      </w:pPr>
      <w:r w:rsidRPr="007A1327">
        <w:rPr>
          <w:rFonts w:ascii="Arial" w:hAnsi="Arial" w:cs="Arial"/>
          <w:b/>
          <w:sz w:val="22"/>
          <w:szCs w:val="22"/>
        </w:rPr>
        <w:t>APELACIÓN - Rechazo de la demanda - Procedencia</w:t>
      </w:r>
      <w:r w:rsidR="00D16D6D" w:rsidRPr="007A1327">
        <w:rPr>
          <w:rFonts w:ascii="Arial" w:hAnsi="Arial" w:cs="Arial"/>
          <w:bCs/>
          <w:sz w:val="22"/>
          <w:szCs w:val="22"/>
        </w:rPr>
        <w:t xml:space="preserve"> </w:t>
      </w:r>
    </w:p>
    <w:p w14:paraId="21C2BBFF" w14:textId="77777777" w:rsidR="00D16D6D" w:rsidRPr="007A1327" w:rsidRDefault="00D16D6D" w:rsidP="00D16D6D">
      <w:pPr>
        <w:tabs>
          <w:tab w:val="left" w:pos="810"/>
          <w:tab w:val="left" w:pos="2085"/>
          <w:tab w:val="center" w:pos="4420"/>
          <w:tab w:val="left" w:pos="6570"/>
        </w:tabs>
        <w:jc w:val="both"/>
        <w:rPr>
          <w:rFonts w:ascii="Arial" w:hAnsi="Arial" w:cs="Arial"/>
          <w:bCs/>
          <w:sz w:val="22"/>
          <w:szCs w:val="22"/>
        </w:rPr>
      </w:pPr>
    </w:p>
    <w:p w14:paraId="46B2F2E3" w14:textId="77777777" w:rsidR="00D16D6D" w:rsidRPr="007A1327" w:rsidRDefault="00D16D6D" w:rsidP="00D16D6D">
      <w:pPr>
        <w:tabs>
          <w:tab w:val="left" w:pos="810"/>
          <w:tab w:val="left" w:pos="2085"/>
          <w:tab w:val="center" w:pos="4420"/>
          <w:tab w:val="left" w:pos="6570"/>
        </w:tabs>
        <w:jc w:val="both"/>
        <w:rPr>
          <w:rFonts w:ascii="Arial" w:hAnsi="Arial" w:cs="Arial"/>
          <w:sz w:val="22"/>
          <w:szCs w:val="22"/>
          <w:lang w:val="es-CO"/>
        </w:rPr>
      </w:pPr>
      <w:r w:rsidRPr="007A1327">
        <w:rPr>
          <w:rFonts w:ascii="Arial" w:hAnsi="Arial" w:cs="Arial"/>
          <w:sz w:val="22"/>
          <w:szCs w:val="22"/>
        </w:rPr>
        <w:t xml:space="preserve">De conformidad con el artículo 243.1 del CPACA, el recurso de apelación es procedente contra el auto que rechaza la demanda, el cual se interpuso de manera oportuna y debidamente sustentado, en los términos del artículo 244 </w:t>
      </w:r>
      <w:r w:rsidRPr="007A1327">
        <w:rPr>
          <w:rFonts w:ascii="Arial" w:hAnsi="Arial" w:cs="Arial"/>
          <w:i/>
          <w:sz w:val="22"/>
          <w:szCs w:val="22"/>
        </w:rPr>
        <w:t>ibídem</w:t>
      </w:r>
      <w:r w:rsidRPr="007A1327">
        <w:rPr>
          <w:rFonts w:ascii="Arial" w:hAnsi="Arial" w:cs="Arial"/>
          <w:sz w:val="22"/>
          <w:szCs w:val="22"/>
        </w:rPr>
        <w:t xml:space="preserve">. </w:t>
      </w:r>
      <w:r w:rsidRPr="007A1327">
        <w:rPr>
          <w:rFonts w:ascii="Arial" w:hAnsi="Arial" w:cs="Arial"/>
          <w:sz w:val="22"/>
          <w:szCs w:val="22"/>
          <w:lang w:val="es-CO"/>
        </w:rPr>
        <w:t xml:space="preserve">A la Sala, en virtud de lo dispuesto en los artículos 125 y 150 del CPACA, le asiste competencia funcional para resolver la alzada, por tratarse de un auto dictado por el Tribunal y, además, porque se confirmará la decisión de rechazo de la demanda de reconvención, por las razones que se expondrán más adelante.  </w:t>
      </w:r>
    </w:p>
    <w:p w14:paraId="5A1CD2B8" w14:textId="77777777" w:rsidR="00BF421A" w:rsidRPr="007A1327" w:rsidRDefault="00BF421A" w:rsidP="00D16D6D">
      <w:pPr>
        <w:tabs>
          <w:tab w:val="left" w:pos="810"/>
          <w:tab w:val="left" w:pos="2085"/>
          <w:tab w:val="center" w:pos="4420"/>
          <w:tab w:val="left" w:pos="6570"/>
        </w:tabs>
        <w:jc w:val="both"/>
        <w:rPr>
          <w:rFonts w:ascii="Arial" w:hAnsi="Arial" w:cs="Arial"/>
          <w:sz w:val="22"/>
          <w:szCs w:val="22"/>
          <w:lang w:val="es-CO"/>
        </w:rPr>
      </w:pPr>
    </w:p>
    <w:p w14:paraId="1ECCB809" w14:textId="77777777" w:rsidR="00662F7E" w:rsidRPr="007A1327" w:rsidRDefault="00D16D6D" w:rsidP="00D16D6D">
      <w:pPr>
        <w:tabs>
          <w:tab w:val="left" w:pos="810"/>
          <w:tab w:val="left" w:pos="2085"/>
          <w:tab w:val="center" w:pos="4420"/>
          <w:tab w:val="left" w:pos="6570"/>
        </w:tabs>
        <w:jc w:val="both"/>
        <w:rPr>
          <w:rFonts w:ascii="Arial" w:hAnsi="Arial" w:cs="Arial"/>
          <w:sz w:val="22"/>
          <w:szCs w:val="22"/>
        </w:rPr>
      </w:pPr>
      <w:r w:rsidRPr="007A1327">
        <w:rPr>
          <w:rFonts w:ascii="Arial" w:hAnsi="Arial" w:cs="Arial"/>
          <w:b/>
          <w:sz w:val="22"/>
          <w:szCs w:val="22"/>
        </w:rPr>
        <w:t>DEMANDA DE RECONVENCIÓN</w:t>
      </w:r>
      <w:r w:rsidR="00BF421A" w:rsidRPr="007A1327">
        <w:rPr>
          <w:rFonts w:ascii="Arial" w:hAnsi="Arial" w:cs="Arial"/>
          <w:b/>
          <w:sz w:val="22"/>
          <w:szCs w:val="22"/>
        </w:rPr>
        <w:t xml:space="preserve"> </w:t>
      </w:r>
      <w:r w:rsidRPr="007A1327">
        <w:rPr>
          <w:rFonts w:ascii="Arial" w:hAnsi="Arial" w:cs="Arial"/>
          <w:b/>
          <w:sz w:val="22"/>
          <w:szCs w:val="22"/>
        </w:rPr>
        <w:t xml:space="preserve">- </w:t>
      </w:r>
      <w:r w:rsidR="00BF421A" w:rsidRPr="007A1327">
        <w:rPr>
          <w:rFonts w:ascii="Arial" w:hAnsi="Arial" w:cs="Arial"/>
          <w:b/>
          <w:sz w:val="22"/>
          <w:szCs w:val="22"/>
        </w:rPr>
        <w:t>R</w:t>
      </w:r>
      <w:r w:rsidR="00662F7E" w:rsidRPr="007A1327">
        <w:rPr>
          <w:rFonts w:ascii="Arial" w:hAnsi="Arial" w:cs="Arial"/>
          <w:b/>
          <w:sz w:val="22"/>
          <w:szCs w:val="22"/>
        </w:rPr>
        <w:t>echazo por vencimiento de términos</w:t>
      </w:r>
      <w:r w:rsidR="00662F7E" w:rsidRPr="007A1327">
        <w:rPr>
          <w:rFonts w:ascii="Arial" w:hAnsi="Arial" w:cs="Arial"/>
          <w:sz w:val="22"/>
          <w:szCs w:val="22"/>
        </w:rPr>
        <w:t xml:space="preserve"> </w:t>
      </w:r>
    </w:p>
    <w:p w14:paraId="2EBCE6EB" w14:textId="77777777" w:rsidR="00662F7E" w:rsidRPr="007A1327" w:rsidRDefault="00662F7E" w:rsidP="00D16D6D">
      <w:pPr>
        <w:tabs>
          <w:tab w:val="left" w:pos="810"/>
          <w:tab w:val="left" w:pos="2085"/>
          <w:tab w:val="center" w:pos="4420"/>
          <w:tab w:val="left" w:pos="6570"/>
        </w:tabs>
        <w:jc w:val="both"/>
        <w:rPr>
          <w:rFonts w:ascii="Arial" w:hAnsi="Arial" w:cs="Arial"/>
          <w:sz w:val="22"/>
          <w:szCs w:val="22"/>
        </w:rPr>
      </w:pPr>
    </w:p>
    <w:p w14:paraId="1FF3A14F" w14:textId="77777777" w:rsidR="00662F7E" w:rsidRPr="007A1327" w:rsidRDefault="00662F7E" w:rsidP="00662F7E">
      <w:pPr>
        <w:tabs>
          <w:tab w:val="left" w:pos="810"/>
          <w:tab w:val="left" w:pos="2085"/>
          <w:tab w:val="center" w:pos="4420"/>
          <w:tab w:val="left" w:pos="6570"/>
        </w:tabs>
        <w:jc w:val="both"/>
        <w:rPr>
          <w:rFonts w:ascii="Arial" w:hAnsi="Arial" w:cs="Arial"/>
          <w:sz w:val="22"/>
          <w:szCs w:val="22"/>
        </w:rPr>
      </w:pPr>
      <w:r w:rsidRPr="007A1327">
        <w:rPr>
          <w:rFonts w:ascii="Arial" w:hAnsi="Arial" w:cs="Arial"/>
          <w:sz w:val="22"/>
          <w:szCs w:val="22"/>
        </w:rPr>
        <w:t xml:space="preserve">Con el fin de abordar los argumentos expuestos por </w:t>
      </w:r>
      <w:proofErr w:type="spellStart"/>
      <w:r w:rsidRPr="007A1327">
        <w:rPr>
          <w:rFonts w:ascii="Arial" w:hAnsi="Arial" w:cs="Arial"/>
          <w:sz w:val="22"/>
          <w:szCs w:val="22"/>
        </w:rPr>
        <w:t>Inor</w:t>
      </w:r>
      <w:proofErr w:type="spellEnd"/>
      <w:r w:rsidRPr="007A1327">
        <w:rPr>
          <w:rFonts w:ascii="Arial" w:hAnsi="Arial" w:cs="Arial"/>
          <w:sz w:val="22"/>
          <w:szCs w:val="22"/>
        </w:rPr>
        <w:t xml:space="preserve"> contra el auto proferido por el Tribunal Administrativo de Bolívar, mediante el cual se rechazó por extemporánea la demanda de reconvención, es necesario precisar que esta figura procesal se encuentra prevista en los artículos 172 y 177 del CPACA…</w:t>
      </w:r>
      <w:r w:rsidRPr="007A1327">
        <w:rPr>
          <w:rFonts w:ascii="Arial" w:hAnsi="Arial" w:cs="Arial"/>
          <w:sz w:val="22"/>
          <w:szCs w:val="22"/>
          <w:lang w:val="es-CO"/>
        </w:rPr>
        <w:t xml:space="preserve">Por tratarse de una actuación autónoma, resulta lógico concluir que la demanda de reconvención está sujeta al cumplimiento de ciertos requisitos para su admisión, entre los cuales se destacan la observancia de presupuestos procesales como la caducidad, así como su presentación oportuna, es decir, dentro del término de traslado de la demanda inicial, según se advierte de las disposiciones normativas transcritas en precedencia. Bajo esta lógica y toda vez que el fundamento del recurso de apelación tiene que ver con el cómputo de términos realizado por el Tribunal y la aplicación de las normas atinentes a este preciso tema, la Sala procede a efectuar el estudio pertinente, en orden a verificar si la demanda de reconvención fue presentada oportunamente o no. La Sala parte por señalar que el auto admisorio de la demanda fue notificado por correo electrónico a las partes el 14 de julio de 2014, de ahí que el término de 25 días al que se refiere el artículo 199 del </w:t>
      </w:r>
      <w:proofErr w:type="gramStart"/>
      <w:r w:rsidRPr="007A1327">
        <w:rPr>
          <w:rFonts w:ascii="Arial" w:hAnsi="Arial" w:cs="Arial"/>
          <w:sz w:val="22"/>
          <w:szCs w:val="22"/>
          <w:lang w:val="es-CO"/>
        </w:rPr>
        <w:t>CPACA,  modificado</w:t>
      </w:r>
      <w:proofErr w:type="gramEnd"/>
      <w:r w:rsidRPr="007A1327">
        <w:rPr>
          <w:rFonts w:ascii="Arial" w:hAnsi="Arial" w:cs="Arial"/>
          <w:sz w:val="22"/>
          <w:szCs w:val="22"/>
          <w:lang w:val="es-CO"/>
        </w:rPr>
        <w:t xml:space="preserve"> por el artículo 612 del Código General del Proceso, venció el 20 de agosto del mismo año. Lo anterior significa que el término de traslado para contestar la demanda, el cual es de 30 días, según lo dispuesto en el artículo 172 del CPACA, corrió desde el 21 de agosto de 2014 hasta el 1º de octubre del mismo año. La contestación de la demanda y la demanda de reconvención fueron presentadas el 3 de octubre de 2014, esto es, por fuera del término de traslado de la demanda, como lo indicó el Tribunal de primera instancia. Un vez efectuado el cómputo de los términos para la contestación de la demanda y la formulación de la demanda de reconvención, la Sala evidencia que no le asiste razón al recurrente al sostener que se incurrió en un cálculo indebido, toda vez que la disposición normativa alegada no resultaba aplicable a la controversia, al haber sido modificada por una ley posterior.</w:t>
      </w:r>
      <w:r w:rsidRPr="007A1327">
        <w:rPr>
          <w:rFonts w:ascii="Arial" w:hAnsi="Arial" w:cs="Arial"/>
          <w:sz w:val="22"/>
          <w:szCs w:val="22"/>
        </w:rPr>
        <w:t xml:space="preserve">En este orden de ideas, resulta evidente que el supuesto normativo invocado por el recurrente no resultaba aplicable, en virtud de la modificación impuesta por el Código General del Proceso, de ahí que no le asista razón al sostener que al término computado debía agregársele los tres (3) días referidos en la redacción original del inciso quinto del artículo 199 del CPACA. Bajo esta óptica, se impone concluir </w:t>
      </w:r>
      <w:proofErr w:type="gramStart"/>
      <w:r w:rsidRPr="007A1327">
        <w:rPr>
          <w:rFonts w:ascii="Arial" w:hAnsi="Arial" w:cs="Arial"/>
          <w:sz w:val="22"/>
          <w:szCs w:val="22"/>
        </w:rPr>
        <w:t>que</w:t>
      </w:r>
      <w:proofErr w:type="gramEnd"/>
      <w:r w:rsidRPr="007A1327">
        <w:rPr>
          <w:rFonts w:ascii="Arial" w:hAnsi="Arial" w:cs="Arial"/>
          <w:sz w:val="22"/>
          <w:szCs w:val="22"/>
        </w:rPr>
        <w:t xml:space="preserve"> a la luz de las disposiciones normativas vigentes para la fecha de presentación de la demanda, de su contestación y de la demanda de reconvención, el conteo de términos que realizó el Tribunal para determinar la presentación oportuna de estas dos últimas fue acertado y, por tanto, adoptó la decisión de conformidad con el ordenamiento jurídico. Lo anterior guarda mayor sustento si se tiene en cuenta que, en el evento hipotético de realizar el conteo de términos con fundamento en el artículo 199 </w:t>
      </w:r>
      <w:proofErr w:type="gramStart"/>
      <w:r w:rsidRPr="007A1327">
        <w:rPr>
          <w:rFonts w:ascii="Arial" w:hAnsi="Arial" w:cs="Arial"/>
          <w:sz w:val="22"/>
          <w:szCs w:val="22"/>
        </w:rPr>
        <w:t>del  CPACA</w:t>
      </w:r>
      <w:proofErr w:type="gramEnd"/>
      <w:r w:rsidRPr="007A1327">
        <w:rPr>
          <w:rFonts w:ascii="Arial" w:hAnsi="Arial" w:cs="Arial"/>
          <w:sz w:val="22"/>
          <w:szCs w:val="22"/>
        </w:rPr>
        <w:t xml:space="preserve">, esto es, sin tener en cuenta la modificación del CGP, no habría lugar a computar los veinticinco (25) días a que se refiere el inciso quinto de este estatuto procesal y, con mayor razón, se entendería extemporánea la presentación de la demanda de reconvención. Así las cosas, lo que se evidencia es que el recurrente pretende la aplicación simultánea de dos leyes que regulan el cómputo de los días previos al traslado de la demanda -artículo 199 del CPACA y artículo 612 del CGP-, lo cual no resulta jurídicamente viable, por la elemental razón de que este último artículo modificó aquel, lo cual implica que no es posible predicar la coexistencia de ambas normas, como lo entiende el demandante en reconvención. Ahora, en lo que tiene que ver con la constancia secretarial que, en términos del recurrente, generó confusión y duda que debe ser resuelta a favor del demandante en reconvención, basta con señalar que la redacción del artículo 612 del CGP, así como los criterios de aplicación de la ley en el tiempo, máxime tratándose de modificaciones emanadas de una ley posterior, no dan lugar a incertidumbre alguna y, por </w:t>
      </w:r>
      <w:r w:rsidRPr="007A1327">
        <w:rPr>
          <w:rFonts w:ascii="Arial" w:hAnsi="Arial" w:cs="Arial"/>
          <w:sz w:val="22"/>
          <w:szCs w:val="22"/>
        </w:rPr>
        <w:lastRenderedPageBreak/>
        <w:t xml:space="preserve">ende, es deber tanto del juez como de las partes acatar las disposiciones alusivas a los términos para actuar en el juicio. Lo anterior para significar que la demanda de reconvención debe ejercerse dentro del término que la ley estableció para tal fin y su incumplimiento genera las consecuencias procesales correspondientes, en este caso, su rechazo de plano, por no haberse presentado dentro de los 30 días previstos en el artículo 172 del CPACA, previo agotamiento de los 25 días señalados en el artículo 612 del CGP. Es de anotar </w:t>
      </w:r>
      <w:proofErr w:type="gramStart"/>
      <w:r w:rsidRPr="007A1327">
        <w:rPr>
          <w:rFonts w:ascii="Arial" w:hAnsi="Arial" w:cs="Arial"/>
          <w:sz w:val="22"/>
          <w:szCs w:val="22"/>
        </w:rPr>
        <w:t>que</w:t>
      </w:r>
      <w:proofErr w:type="gramEnd"/>
      <w:r w:rsidRPr="007A1327">
        <w:rPr>
          <w:rFonts w:ascii="Arial" w:hAnsi="Arial" w:cs="Arial"/>
          <w:sz w:val="22"/>
          <w:szCs w:val="22"/>
        </w:rPr>
        <w:t xml:space="preserve"> si bien la presentación extemporánea de la demanda de reconvención no se enmarca dentro de las causales de rechazo previstas en el artículo 169 del CPACA, la decisión que aquí se confirma obedece a la sanción a la parte demandada por no ejercer su derecho dentro de la oportunidad legal, es decir, por no promover en tiempo los actos procesales a su cargo. Con fundamento en lo anterior, la Sala concluye que la sociedad </w:t>
      </w:r>
      <w:proofErr w:type="spellStart"/>
      <w:r w:rsidRPr="007A1327">
        <w:rPr>
          <w:rFonts w:ascii="Arial" w:hAnsi="Arial" w:cs="Arial"/>
          <w:sz w:val="22"/>
          <w:szCs w:val="22"/>
        </w:rPr>
        <w:t>Inor</w:t>
      </w:r>
      <w:proofErr w:type="spellEnd"/>
      <w:r w:rsidRPr="007A1327">
        <w:rPr>
          <w:rFonts w:ascii="Arial" w:hAnsi="Arial" w:cs="Arial"/>
          <w:sz w:val="22"/>
          <w:szCs w:val="22"/>
        </w:rPr>
        <w:t xml:space="preserve"> no presentó la demanda de reconvención dentro de la oportunidad prevista en los artículos 172 y 177 del CPACA, razón por la cual se confirmará el auto proferido por el Tribunal Administrativo de Bolívar.</w:t>
      </w:r>
    </w:p>
    <w:p w14:paraId="682C4D55" w14:textId="73B51230" w:rsidR="00D16D6D" w:rsidRPr="005603B9" w:rsidRDefault="00D16D6D" w:rsidP="00B6299B">
      <w:pPr>
        <w:tabs>
          <w:tab w:val="left" w:pos="810"/>
          <w:tab w:val="left" w:pos="2085"/>
          <w:tab w:val="center" w:pos="4420"/>
          <w:tab w:val="left" w:pos="6570"/>
        </w:tabs>
        <w:jc w:val="center"/>
        <w:rPr>
          <w:rFonts w:ascii="Arial" w:hAnsi="Arial" w:cs="Arial"/>
          <w:b/>
          <w:sz w:val="22"/>
          <w:szCs w:val="22"/>
        </w:rPr>
      </w:pPr>
    </w:p>
    <w:p w14:paraId="0487AB76" w14:textId="77777777" w:rsidR="005603B9" w:rsidRPr="005603B9" w:rsidRDefault="005603B9" w:rsidP="00B6299B">
      <w:pPr>
        <w:tabs>
          <w:tab w:val="left" w:pos="810"/>
          <w:tab w:val="left" w:pos="2085"/>
          <w:tab w:val="center" w:pos="4420"/>
          <w:tab w:val="left" w:pos="6570"/>
        </w:tabs>
        <w:jc w:val="center"/>
        <w:rPr>
          <w:rFonts w:ascii="Arial" w:hAnsi="Arial" w:cs="Arial"/>
          <w:b/>
          <w:sz w:val="22"/>
          <w:szCs w:val="22"/>
        </w:rPr>
      </w:pPr>
    </w:p>
    <w:p w14:paraId="069F921F" w14:textId="77777777" w:rsidR="00813B30" w:rsidRPr="001B5C4A" w:rsidRDefault="00813B30" w:rsidP="00B6299B">
      <w:pPr>
        <w:jc w:val="center"/>
        <w:rPr>
          <w:rFonts w:ascii="Arial" w:hAnsi="Arial" w:cs="Arial"/>
          <w:b/>
        </w:rPr>
      </w:pPr>
      <w:r w:rsidRPr="001B5C4A">
        <w:rPr>
          <w:rFonts w:ascii="Arial" w:hAnsi="Arial" w:cs="Arial"/>
          <w:b/>
        </w:rPr>
        <w:t>CONSEJO DE ESTADO</w:t>
      </w:r>
    </w:p>
    <w:p w14:paraId="32B55361" w14:textId="77777777" w:rsidR="00B6299B" w:rsidRPr="001B5C4A" w:rsidRDefault="00B6299B" w:rsidP="00B6299B">
      <w:pPr>
        <w:jc w:val="center"/>
        <w:rPr>
          <w:rFonts w:ascii="Arial" w:hAnsi="Arial" w:cs="Arial"/>
          <w:b/>
        </w:rPr>
      </w:pPr>
    </w:p>
    <w:p w14:paraId="714C78D7" w14:textId="77777777" w:rsidR="00813B30" w:rsidRPr="001B5C4A" w:rsidRDefault="00813B30" w:rsidP="00B6299B">
      <w:pPr>
        <w:jc w:val="center"/>
        <w:rPr>
          <w:rFonts w:ascii="Arial" w:hAnsi="Arial" w:cs="Arial"/>
          <w:b/>
        </w:rPr>
      </w:pPr>
      <w:r w:rsidRPr="001B5C4A">
        <w:rPr>
          <w:rFonts w:ascii="Arial" w:hAnsi="Arial" w:cs="Arial"/>
          <w:b/>
        </w:rPr>
        <w:t>SALA DE LO CONTENCIOSO ADMINISTRATIVO</w:t>
      </w:r>
    </w:p>
    <w:p w14:paraId="1DC4D0AF" w14:textId="77777777" w:rsidR="00B6299B" w:rsidRPr="001B5C4A" w:rsidRDefault="00B6299B" w:rsidP="00B6299B">
      <w:pPr>
        <w:jc w:val="center"/>
        <w:rPr>
          <w:rFonts w:ascii="Arial" w:hAnsi="Arial" w:cs="Arial"/>
          <w:b/>
        </w:rPr>
      </w:pPr>
    </w:p>
    <w:p w14:paraId="228697BA" w14:textId="77777777" w:rsidR="004E6120" w:rsidRPr="001B5C4A" w:rsidRDefault="00813B30" w:rsidP="00B6299B">
      <w:pPr>
        <w:jc w:val="center"/>
        <w:rPr>
          <w:rFonts w:ascii="Arial" w:hAnsi="Arial" w:cs="Arial"/>
          <w:b/>
        </w:rPr>
      </w:pPr>
      <w:r w:rsidRPr="001B5C4A">
        <w:rPr>
          <w:rFonts w:ascii="Arial" w:hAnsi="Arial" w:cs="Arial"/>
          <w:b/>
        </w:rPr>
        <w:t>SECCIÓN TERCERA</w:t>
      </w:r>
      <w:r w:rsidR="004E6120" w:rsidRPr="001B5C4A">
        <w:rPr>
          <w:rFonts w:ascii="Arial" w:hAnsi="Arial" w:cs="Arial"/>
          <w:b/>
        </w:rPr>
        <w:t xml:space="preserve"> </w:t>
      </w:r>
    </w:p>
    <w:p w14:paraId="20777F5B" w14:textId="77777777" w:rsidR="004E6120" w:rsidRPr="001B5C4A" w:rsidRDefault="004E6120" w:rsidP="00B6299B">
      <w:pPr>
        <w:jc w:val="center"/>
        <w:rPr>
          <w:rFonts w:ascii="Arial" w:hAnsi="Arial" w:cs="Arial"/>
          <w:b/>
        </w:rPr>
      </w:pPr>
    </w:p>
    <w:p w14:paraId="235D9629" w14:textId="77777777" w:rsidR="00813B30" w:rsidRPr="001B5C4A" w:rsidRDefault="00813B30" w:rsidP="00B6299B">
      <w:pPr>
        <w:jc w:val="center"/>
        <w:rPr>
          <w:rFonts w:ascii="Arial" w:hAnsi="Arial" w:cs="Arial"/>
          <w:b/>
        </w:rPr>
      </w:pPr>
      <w:r w:rsidRPr="001B5C4A">
        <w:rPr>
          <w:rFonts w:ascii="Arial" w:hAnsi="Arial" w:cs="Arial"/>
          <w:b/>
        </w:rPr>
        <w:t>SUBSECCIÓN A</w:t>
      </w:r>
    </w:p>
    <w:p w14:paraId="58565D0A" w14:textId="77777777" w:rsidR="00813B30" w:rsidRPr="001B5C4A" w:rsidRDefault="00813B30" w:rsidP="00B6299B">
      <w:pPr>
        <w:jc w:val="center"/>
        <w:rPr>
          <w:rFonts w:ascii="Arial" w:hAnsi="Arial" w:cs="Arial"/>
          <w:b/>
        </w:rPr>
      </w:pPr>
    </w:p>
    <w:p w14:paraId="043C20AD" w14:textId="77777777" w:rsidR="00813B30" w:rsidRPr="001B5C4A" w:rsidRDefault="001B5C4A" w:rsidP="00B6299B">
      <w:pPr>
        <w:jc w:val="center"/>
        <w:rPr>
          <w:rFonts w:ascii="Arial" w:hAnsi="Arial" w:cs="Arial"/>
          <w:b/>
          <w:lang w:val="es-ES_tradnl"/>
        </w:rPr>
      </w:pPr>
      <w:r w:rsidRPr="001B5C4A">
        <w:rPr>
          <w:rFonts w:ascii="Arial" w:hAnsi="Arial" w:cs="Arial"/>
          <w:b/>
        </w:rPr>
        <w:t>Consejera p</w:t>
      </w:r>
      <w:r w:rsidR="00813B30" w:rsidRPr="001B5C4A">
        <w:rPr>
          <w:rFonts w:ascii="Arial" w:hAnsi="Arial" w:cs="Arial"/>
          <w:b/>
        </w:rPr>
        <w:t xml:space="preserve">onente: </w:t>
      </w:r>
      <w:r w:rsidR="00813B30" w:rsidRPr="001B5C4A">
        <w:rPr>
          <w:rFonts w:ascii="Arial" w:hAnsi="Arial" w:cs="Arial"/>
          <w:b/>
          <w:caps/>
        </w:rPr>
        <w:t>Marta Nubia Velásquez Rico</w:t>
      </w:r>
    </w:p>
    <w:p w14:paraId="11BE50BC" w14:textId="77777777" w:rsidR="00813B30" w:rsidRPr="001B5C4A" w:rsidRDefault="00813B30" w:rsidP="00B6299B">
      <w:pPr>
        <w:jc w:val="both"/>
        <w:rPr>
          <w:rFonts w:ascii="Arial" w:hAnsi="Arial" w:cs="Arial"/>
        </w:rPr>
      </w:pPr>
    </w:p>
    <w:p w14:paraId="4D2C0580" w14:textId="77777777" w:rsidR="00813B30" w:rsidRPr="001B5C4A" w:rsidRDefault="00813B30" w:rsidP="00B6299B">
      <w:pPr>
        <w:jc w:val="both"/>
        <w:rPr>
          <w:rFonts w:ascii="Arial" w:hAnsi="Arial" w:cs="Arial"/>
        </w:rPr>
      </w:pPr>
      <w:r w:rsidRPr="001B5C4A">
        <w:rPr>
          <w:rFonts w:ascii="Arial" w:hAnsi="Arial" w:cs="Arial"/>
        </w:rPr>
        <w:t>Bogotá</w:t>
      </w:r>
      <w:r w:rsidR="00577BBE" w:rsidRPr="001B5C4A">
        <w:rPr>
          <w:rFonts w:ascii="Arial" w:hAnsi="Arial" w:cs="Arial"/>
        </w:rPr>
        <w:t>,</w:t>
      </w:r>
      <w:r w:rsidRPr="001B5C4A">
        <w:rPr>
          <w:rFonts w:ascii="Arial" w:hAnsi="Arial" w:cs="Arial"/>
        </w:rPr>
        <w:t xml:space="preserve"> D.C.,</w:t>
      </w:r>
      <w:r w:rsidR="00646952" w:rsidRPr="001B5C4A">
        <w:rPr>
          <w:rFonts w:ascii="Arial" w:hAnsi="Arial" w:cs="Arial"/>
        </w:rPr>
        <w:t xml:space="preserve"> </w:t>
      </w:r>
      <w:r w:rsidR="00182A88" w:rsidRPr="001B5C4A">
        <w:rPr>
          <w:rFonts w:ascii="Arial" w:hAnsi="Arial" w:cs="Arial"/>
        </w:rPr>
        <w:t>diecisiete (17) de agosto de dos mil diecisiete (2017)</w:t>
      </w:r>
    </w:p>
    <w:p w14:paraId="2CDBEB19" w14:textId="77777777" w:rsidR="00813B30" w:rsidRPr="001B5C4A" w:rsidRDefault="00813B30" w:rsidP="00B6299B">
      <w:pPr>
        <w:jc w:val="both"/>
        <w:rPr>
          <w:rFonts w:ascii="Arial" w:hAnsi="Arial" w:cs="Arial"/>
          <w:b/>
        </w:rPr>
      </w:pPr>
    </w:p>
    <w:p w14:paraId="0BD6F1A1" w14:textId="77777777" w:rsidR="00B6299B" w:rsidRPr="001B5C4A" w:rsidRDefault="00813B30" w:rsidP="00B6299B">
      <w:pPr>
        <w:jc w:val="both"/>
        <w:rPr>
          <w:rFonts w:ascii="Arial" w:hAnsi="Arial" w:cs="Arial"/>
          <w:b/>
        </w:rPr>
      </w:pPr>
      <w:r w:rsidRPr="001B5C4A">
        <w:rPr>
          <w:rFonts w:ascii="Arial" w:eastAsia="Calibri" w:hAnsi="Arial" w:cs="Arial"/>
          <w:b/>
          <w:lang w:eastAsia="en-US"/>
        </w:rPr>
        <w:t xml:space="preserve">Radicación número: </w:t>
      </w:r>
      <w:r w:rsidR="009B3D3D" w:rsidRPr="001B5C4A">
        <w:rPr>
          <w:rFonts w:ascii="Arial" w:eastAsia="Calibri" w:hAnsi="Arial" w:cs="Arial"/>
          <w:b/>
          <w:lang w:eastAsia="en-US"/>
        </w:rPr>
        <w:t>13001</w:t>
      </w:r>
      <w:r w:rsidRPr="001B5C4A">
        <w:rPr>
          <w:rFonts w:ascii="Arial" w:hAnsi="Arial" w:cs="Arial"/>
          <w:b/>
        </w:rPr>
        <w:t>-23-3</w:t>
      </w:r>
      <w:r w:rsidR="00431970" w:rsidRPr="001B5C4A">
        <w:rPr>
          <w:rFonts w:ascii="Arial" w:hAnsi="Arial" w:cs="Arial"/>
          <w:b/>
        </w:rPr>
        <w:t>3</w:t>
      </w:r>
      <w:r w:rsidRPr="001B5C4A">
        <w:rPr>
          <w:rFonts w:ascii="Arial" w:hAnsi="Arial" w:cs="Arial"/>
          <w:b/>
        </w:rPr>
        <w:t>-000-201</w:t>
      </w:r>
      <w:r w:rsidR="009B3D3D" w:rsidRPr="001B5C4A">
        <w:rPr>
          <w:rFonts w:ascii="Arial" w:hAnsi="Arial" w:cs="Arial"/>
          <w:b/>
        </w:rPr>
        <w:t>4</w:t>
      </w:r>
      <w:r w:rsidRPr="001B5C4A">
        <w:rPr>
          <w:rFonts w:ascii="Arial" w:hAnsi="Arial" w:cs="Arial"/>
          <w:b/>
        </w:rPr>
        <w:t>-00</w:t>
      </w:r>
      <w:r w:rsidR="009B3D3D" w:rsidRPr="001B5C4A">
        <w:rPr>
          <w:rFonts w:ascii="Arial" w:hAnsi="Arial" w:cs="Arial"/>
          <w:b/>
        </w:rPr>
        <w:t>0</w:t>
      </w:r>
      <w:r w:rsidR="00431970" w:rsidRPr="001B5C4A">
        <w:rPr>
          <w:rFonts w:ascii="Arial" w:hAnsi="Arial" w:cs="Arial"/>
          <w:b/>
        </w:rPr>
        <w:t>27</w:t>
      </w:r>
      <w:r w:rsidR="001B5C4A" w:rsidRPr="001B5C4A">
        <w:rPr>
          <w:rFonts w:ascii="Arial" w:hAnsi="Arial" w:cs="Arial"/>
          <w:b/>
        </w:rPr>
        <w:t>-01</w:t>
      </w:r>
      <w:r w:rsidRPr="001B5C4A">
        <w:rPr>
          <w:rFonts w:ascii="Arial" w:hAnsi="Arial" w:cs="Arial"/>
          <w:b/>
        </w:rPr>
        <w:t>(5</w:t>
      </w:r>
      <w:r w:rsidR="009B3D3D" w:rsidRPr="001B5C4A">
        <w:rPr>
          <w:rFonts w:ascii="Arial" w:hAnsi="Arial" w:cs="Arial"/>
          <w:b/>
        </w:rPr>
        <w:t>8744</w:t>
      </w:r>
      <w:r w:rsidRPr="001B5C4A">
        <w:rPr>
          <w:rFonts w:ascii="Arial" w:hAnsi="Arial" w:cs="Arial"/>
          <w:b/>
        </w:rPr>
        <w:t>)</w:t>
      </w:r>
    </w:p>
    <w:p w14:paraId="50007545" w14:textId="77777777" w:rsidR="002304A7" w:rsidRPr="001B5C4A" w:rsidRDefault="002304A7" w:rsidP="00B6299B">
      <w:pPr>
        <w:jc w:val="both"/>
        <w:rPr>
          <w:rFonts w:ascii="Arial" w:hAnsi="Arial" w:cs="Arial"/>
          <w:b/>
        </w:rPr>
      </w:pPr>
    </w:p>
    <w:p w14:paraId="3C9FB25B" w14:textId="77777777" w:rsidR="00B6299B" w:rsidRPr="001B5C4A" w:rsidRDefault="00813B30" w:rsidP="00B6299B">
      <w:pPr>
        <w:jc w:val="both"/>
        <w:rPr>
          <w:rFonts w:ascii="Arial" w:eastAsia="Calibri" w:hAnsi="Arial" w:cs="Arial"/>
          <w:b/>
          <w:lang w:eastAsia="en-US"/>
        </w:rPr>
      </w:pPr>
      <w:r w:rsidRPr="001B5C4A">
        <w:rPr>
          <w:rFonts w:ascii="Arial" w:eastAsia="Calibri" w:hAnsi="Arial" w:cs="Arial"/>
          <w:b/>
          <w:lang w:eastAsia="en-US"/>
        </w:rPr>
        <w:t xml:space="preserve">Actor: </w:t>
      </w:r>
      <w:r w:rsidR="009B3D3D" w:rsidRPr="001B5C4A">
        <w:rPr>
          <w:rFonts w:ascii="Arial" w:eastAsia="Calibri" w:hAnsi="Arial" w:cs="Arial"/>
          <w:b/>
          <w:lang w:eastAsia="en-US"/>
        </w:rPr>
        <w:t>ECOPETROL S.A.</w:t>
      </w:r>
    </w:p>
    <w:p w14:paraId="558A222D" w14:textId="77777777" w:rsidR="00B6299B" w:rsidRPr="001B5C4A" w:rsidRDefault="00B6299B" w:rsidP="00B6299B">
      <w:pPr>
        <w:jc w:val="both"/>
        <w:rPr>
          <w:rFonts w:ascii="Arial" w:eastAsia="Calibri" w:hAnsi="Arial" w:cs="Arial"/>
          <w:b/>
          <w:lang w:eastAsia="en-US"/>
        </w:rPr>
      </w:pPr>
    </w:p>
    <w:p w14:paraId="2F4DFF60" w14:textId="77777777" w:rsidR="00813B30" w:rsidRPr="001B5C4A" w:rsidRDefault="00813B30" w:rsidP="00B6299B">
      <w:pPr>
        <w:jc w:val="both"/>
        <w:rPr>
          <w:rFonts w:ascii="Arial" w:eastAsia="Calibri" w:hAnsi="Arial" w:cs="Arial"/>
          <w:b/>
          <w:lang w:eastAsia="en-US"/>
        </w:rPr>
      </w:pPr>
      <w:r w:rsidRPr="001B5C4A">
        <w:rPr>
          <w:rFonts w:ascii="Arial" w:eastAsia="Calibri" w:hAnsi="Arial" w:cs="Arial"/>
          <w:b/>
          <w:lang w:eastAsia="en-US"/>
        </w:rPr>
        <w:t>Demandado:</w:t>
      </w:r>
      <w:r w:rsidR="00577BBE" w:rsidRPr="001B5C4A">
        <w:rPr>
          <w:rFonts w:ascii="Arial" w:eastAsia="Calibri" w:hAnsi="Arial" w:cs="Arial"/>
          <w:b/>
          <w:lang w:eastAsia="en-US"/>
        </w:rPr>
        <w:t xml:space="preserve"> </w:t>
      </w:r>
      <w:r w:rsidR="009B3D3D" w:rsidRPr="001B5C4A">
        <w:rPr>
          <w:rFonts w:ascii="Arial" w:eastAsia="Calibri" w:hAnsi="Arial" w:cs="Arial"/>
          <w:b/>
          <w:lang w:eastAsia="en-US"/>
        </w:rPr>
        <w:t>INGENIERÍA ORINOCO Y C</w:t>
      </w:r>
      <w:r w:rsidR="001B5C4A" w:rsidRPr="001B5C4A">
        <w:rPr>
          <w:rFonts w:ascii="Arial" w:eastAsia="Calibri" w:hAnsi="Arial" w:cs="Arial"/>
          <w:b/>
          <w:lang w:eastAsia="en-US"/>
        </w:rPr>
        <w:t>OMPAÑÍ</w:t>
      </w:r>
      <w:r w:rsidR="009B3D3D" w:rsidRPr="001B5C4A">
        <w:rPr>
          <w:rFonts w:ascii="Arial" w:eastAsia="Calibri" w:hAnsi="Arial" w:cs="Arial"/>
          <w:b/>
          <w:lang w:eastAsia="en-US"/>
        </w:rPr>
        <w:t>A L</w:t>
      </w:r>
      <w:r w:rsidR="001B5C4A" w:rsidRPr="001B5C4A">
        <w:rPr>
          <w:rFonts w:ascii="Arial" w:eastAsia="Calibri" w:hAnsi="Arial" w:cs="Arial"/>
          <w:b/>
          <w:lang w:eastAsia="en-US"/>
        </w:rPr>
        <w:t>IMI</w:t>
      </w:r>
      <w:r w:rsidR="009B3D3D" w:rsidRPr="001B5C4A">
        <w:rPr>
          <w:rFonts w:ascii="Arial" w:eastAsia="Calibri" w:hAnsi="Arial" w:cs="Arial"/>
          <w:b/>
          <w:lang w:eastAsia="en-US"/>
        </w:rPr>
        <w:t>T</w:t>
      </w:r>
      <w:r w:rsidR="001B5C4A" w:rsidRPr="001B5C4A">
        <w:rPr>
          <w:rFonts w:ascii="Arial" w:eastAsia="Calibri" w:hAnsi="Arial" w:cs="Arial"/>
          <w:b/>
          <w:lang w:eastAsia="en-US"/>
        </w:rPr>
        <w:t>A</w:t>
      </w:r>
      <w:r w:rsidR="009B3D3D" w:rsidRPr="001B5C4A">
        <w:rPr>
          <w:rFonts w:ascii="Arial" w:eastAsia="Calibri" w:hAnsi="Arial" w:cs="Arial"/>
          <w:b/>
          <w:lang w:eastAsia="en-US"/>
        </w:rPr>
        <w:t>DA</w:t>
      </w:r>
    </w:p>
    <w:p w14:paraId="5E4AD659" w14:textId="77777777" w:rsidR="00B6299B" w:rsidRPr="001B5C4A" w:rsidRDefault="00B6299B" w:rsidP="00B6299B">
      <w:pPr>
        <w:jc w:val="both"/>
        <w:rPr>
          <w:rFonts w:ascii="Arial" w:eastAsia="Calibri" w:hAnsi="Arial" w:cs="Arial"/>
          <w:b/>
          <w:lang w:eastAsia="en-US"/>
        </w:rPr>
      </w:pPr>
    </w:p>
    <w:p w14:paraId="780DF151" w14:textId="77777777" w:rsidR="00B6299B" w:rsidRPr="001B5C4A" w:rsidRDefault="00B6299B" w:rsidP="00B6299B">
      <w:pPr>
        <w:jc w:val="both"/>
        <w:rPr>
          <w:rFonts w:ascii="Arial" w:eastAsia="Calibri" w:hAnsi="Arial" w:cs="Arial"/>
          <w:b/>
          <w:lang w:eastAsia="en-US"/>
        </w:rPr>
      </w:pPr>
    </w:p>
    <w:p w14:paraId="49EF9A39" w14:textId="77777777" w:rsidR="00813B30" w:rsidRPr="001B5C4A" w:rsidRDefault="00813B30" w:rsidP="00B6299B">
      <w:pPr>
        <w:jc w:val="both"/>
        <w:rPr>
          <w:rFonts w:ascii="Arial" w:eastAsia="Calibri" w:hAnsi="Arial" w:cs="Arial"/>
          <w:b/>
          <w:lang w:eastAsia="en-US"/>
        </w:rPr>
      </w:pPr>
    </w:p>
    <w:p w14:paraId="07FC68D5" w14:textId="77777777" w:rsidR="00813B30" w:rsidRPr="001B5C4A" w:rsidRDefault="00813B30" w:rsidP="00B6299B">
      <w:pPr>
        <w:jc w:val="both"/>
        <w:rPr>
          <w:rFonts w:ascii="Arial" w:eastAsia="Calibri" w:hAnsi="Arial" w:cs="Arial"/>
          <w:b/>
          <w:bCs/>
          <w:lang w:eastAsia="en-US"/>
        </w:rPr>
      </w:pPr>
      <w:r w:rsidRPr="001B5C4A">
        <w:rPr>
          <w:rFonts w:ascii="Arial" w:eastAsia="Calibri" w:hAnsi="Arial" w:cs="Arial"/>
          <w:b/>
          <w:lang w:eastAsia="en-US"/>
        </w:rPr>
        <w:t xml:space="preserve">Referencia: </w:t>
      </w:r>
      <w:r w:rsidRPr="001B5C4A">
        <w:rPr>
          <w:rFonts w:ascii="Arial" w:hAnsi="Arial" w:cs="Arial"/>
          <w:b/>
          <w:bCs/>
          <w:caps/>
        </w:rPr>
        <w:t xml:space="preserve">MEDIO DE CONTROL </w:t>
      </w:r>
      <w:r w:rsidR="001B5C4A" w:rsidRPr="001B5C4A">
        <w:rPr>
          <w:rFonts w:ascii="Arial" w:hAnsi="Arial" w:cs="Arial"/>
          <w:b/>
          <w:bCs/>
          <w:caps/>
        </w:rPr>
        <w:t xml:space="preserve">DE CONTROVERSIAS CONTRACTUALES - </w:t>
      </w:r>
      <w:r w:rsidRPr="001B5C4A">
        <w:rPr>
          <w:rFonts w:ascii="Arial" w:hAnsi="Arial" w:cs="Arial"/>
          <w:b/>
          <w:bCs/>
          <w:caps/>
        </w:rPr>
        <w:t>LEY 1437 DE 2011</w:t>
      </w:r>
    </w:p>
    <w:p w14:paraId="794E6AF9" w14:textId="77777777" w:rsidR="00D73DAE" w:rsidRPr="001B5C4A" w:rsidRDefault="00D73DAE" w:rsidP="00B6299B">
      <w:pPr>
        <w:jc w:val="both"/>
        <w:rPr>
          <w:rFonts w:ascii="Arial" w:hAnsi="Arial" w:cs="Arial"/>
          <w:b/>
        </w:rPr>
      </w:pPr>
    </w:p>
    <w:p w14:paraId="506ACA1E" w14:textId="77777777" w:rsidR="00B6299B" w:rsidRPr="001B5C4A" w:rsidRDefault="00B6299B" w:rsidP="00B6299B">
      <w:pPr>
        <w:jc w:val="both"/>
        <w:rPr>
          <w:rFonts w:ascii="Arial" w:hAnsi="Arial" w:cs="Arial"/>
          <w:b/>
        </w:rPr>
      </w:pPr>
    </w:p>
    <w:p w14:paraId="2BD8BDE3" w14:textId="77777777" w:rsidR="00B6299B" w:rsidRPr="001B5C4A" w:rsidRDefault="00B6299B" w:rsidP="00B6299B">
      <w:pPr>
        <w:jc w:val="both"/>
        <w:rPr>
          <w:rFonts w:ascii="Arial" w:hAnsi="Arial" w:cs="Arial"/>
          <w:b/>
        </w:rPr>
      </w:pPr>
    </w:p>
    <w:p w14:paraId="34F970E7" w14:textId="77777777" w:rsidR="00D73DAE" w:rsidRPr="001B5C4A" w:rsidRDefault="00D73DAE" w:rsidP="00B6299B">
      <w:pPr>
        <w:pStyle w:val="Textoindependiente"/>
        <w:jc w:val="both"/>
        <w:rPr>
          <w:rFonts w:cs="Arial"/>
          <w:sz w:val="24"/>
          <w:szCs w:val="24"/>
        </w:rPr>
      </w:pPr>
      <w:r w:rsidRPr="001B5C4A">
        <w:rPr>
          <w:rFonts w:cs="Arial"/>
          <w:sz w:val="24"/>
          <w:szCs w:val="24"/>
        </w:rPr>
        <w:t xml:space="preserve">Temas: </w:t>
      </w:r>
      <w:r w:rsidR="009B3D3D" w:rsidRPr="001B5C4A">
        <w:rPr>
          <w:rFonts w:cs="Arial"/>
          <w:sz w:val="24"/>
          <w:szCs w:val="24"/>
        </w:rPr>
        <w:t>DEMANDA DE RECONVENCIÓN</w:t>
      </w:r>
      <w:r w:rsidR="0016133C" w:rsidRPr="001B5C4A">
        <w:rPr>
          <w:rFonts w:cs="Arial"/>
          <w:sz w:val="24"/>
          <w:szCs w:val="24"/>
        </w:rPr>
        <w:t xml:space="preserve"> </w:t>
      </w:r>
      <w:r w:rsidR="009B3D3D" w:rsidRPr="001B5C4A">
        <w:rPr>
          <w:rFonts w:cs="Arial"/>
          <w:sz w:val="24"/>
          <w:szCs w:val="24"/>
        </w:rPr>
        <w:t xml:space="preserve">/ debe </w:t>
      </w:r>
      <w:r w:rsidR="000015A5" w:rsidRPr="001B5C4A">
        <w:rPr>
          <w:rFonts w:cs="Arial"/>
          <w:sz w:val="24"/>
          <w:szCs w:val="24"/>
        </w:rPr>
        <w:t>presentarse dentro de la oportunidad prevista en los artículos 172 y 177 del CPACA.</w:t>
      </w:r>
    </w:p>
    <w:p w14:paraId="606D13AD" w14:textId="77777777" w:rsidR="000015A5" w:rsidRPr="001B5C4A" w:rsidRDefault="000015A5" w:rsidP="00B6299B">
      <w:pPr>
        <w:pStyle w:val="Textoindependiente"/>
        <w:jc w:val="both"/>
        <w:rPr>
          <w:rFonts w:cs="Arial"/>
          <w:sz w:val="24"/>
          <w:szCs w:val="24"/>
        </w:rPr>
      </w:pPr>
    </w:p>
    <w:p w14:paraId="5398B1CF" w14:textId="77777777" w:rsidR="00813B30" w:rsidRPr="001B5C4A" w:rsidRDefault="00813B30" w:rsidP="00B6299B">
      <w:pPr>
        <w:pStyle w:val="BodyText21"/>
        <w:autoSpaceDE/>
        <w:autoSpaceDN/>
        <w:spacing w:line="360" w:lineRule="auto"/>
      </w:pPr>
      <w:r w:rsidRPr="001B5C4A">
        <w:t xml:space="preserve">Decide </w:t>
      </w:r>
      <w:r w:rsidR="000015A5" w:rsidRPr="001B5C4A">
        <w:t>la Sala el</w:t>
      </w:r>
      <w:r w:rsidRPr="001B5C4A">
        <w:rPr>
          <w:color w:val="000000"/>
        </w:rPr>
        <w:t xml:space="preserve"> recurso</w:t>
      </w:r>
      <w:r w:rsidRPr="001B5C4A">
        <w:t xml:space="preserve"> de apelación interpuesto por </w:t>
      </w:r>
      <w:r w:rsidR="000015A5" w:rsidRPr="001B5C4A">
        <w:t>la sociedad Ingeniería Orinoco y Comp</w:t>
      </w:r>
      <w:r w:rsidR="0030587E" w:rsidRPr="001B5C4A">
        <w:t>añía Limitada -</w:t>
      </w:r>
      <w:r w:rsidR="00B12295" w:rsidRPr="001B5C4A">
        <w:t>en adelante Inor</w:t>
      </w:r>
      <w:r w:rsidR="000015A5" w:rsidRPr="001B5C4A">
        <w:t>-</w:t>
      </w:r>
      <w:r w:rsidRPr="001B5C4A">
        <w:t xml:space="preserve"> contra el auto </w:t>
      </w:r>
      <w:r w:rsidR="00601671" w:rsidRPr="001B5C4A">
        <w:t>del</w:t>
      </w:r>
      <w:r w:rsidRPr="001B5C4A">
        <w:t xml:space="preserve"> </w:t>
      </w:r>
      <w:r w:rsidR="000015A5" w:rsidRPr="001B5C4A">
        <w:t>30 de julio de 2015</w:t>
      </w:r>
      <w:r w:rsidR="00601671" w:rsidRPr="001B5C4A">
        <w:t>, proferido</w:t>
      </w:r>
      <w:r w:rsidRPr="001B5C4A">
        <w:t xml:space="preserve"> por el Tribunal Administrativo d</w:t>
      </w:r>
      <w:r w:rsidR="000015A5" w:rsidRPr="001B5C4A">
        <w:t>e Bol</w:t>
      </w:r>
      <w:r w:rsidR="0030363B" w:rsidRPr="001B5C4A">
        <w:t>ívar</w:t>
      </w:r>
      <w:r w:rsidRPr="001B5C4A">
        <w:t xml:space="preserve">, mediante el cual </w:t>
      </w:r>
      <w:r w:rsidR="0030363B" w:rsidRPr="001B5C4A">
        <w:t xml:space="preserve">rechazó </w:t>
      </w:r>
      <w:r w:rsidR="00CF3C22" w:rsidRPr="001B5C4A">
        <w:t>la demanda de reconvención formulada contra Ecopetrol S.A.</w:t>
      </w:r>
      <w:r w:rsidR="004D618B" w:rsidRPr="001B5C4A">
        <w:rPr>
          <w:rStyle w:val="Refdenotaalpie"/>
        </w:rPr>
        <w:footnoteReference w:id="1"/>
      </w:r>
      <w:r w:rsidR="005D48BF" w:rsidRPr="001B5C4A">
        <w:t>.</w:t>
      </w:r>
    </w:p>
    <w:p w14:paraId="23EA2380" w14:textId="77777777" w:rsidR="00BB3FB1" w:rsidRPr="001B5C4A" w:rsidRDefault="00BB3FB1" w:rsidP="00B6299B">
      <w:pPr>
        <w:pStyle w:val="BodyText21"/>
        <w:autoSpaceDE/>
        <w:autoSpaceDN/>
        <w:spacing w:line="360" w:lineRule="auto"/>
      </w:pPr>
    </w:p>
    <w:p w14:paraId="68609C0C" w14:textId="77777777" w:rsidR="00A17400" w:rsidRPr="001B5C4A" w:rsidRDefault="0071317C" w:rsidP="00B6299B">
      <w:pPr>
        <w:spacing w:line="360" w:lineRule="auto"/>
        <w:jc w:val="center"/>
        <w:rPr>
          <w:rFonts w:ascii="Arial" w:hAnsi="Arial" w:cs="Arial"/>
          <w:b/>
          <w:lang w:val="es-MX"/>
        </w:rPr>
      </w:pPr>
      <w:r w:rsidRPr="001B5C4A">
        <w:rPr>
          <w:rFonts w:ascii="Arial" w:hAnsi="Arial" w:cs="Arial"/>
          <w:b/>
          <w:lang w:val="es-MX"/>
        </w:rPr>
        <w:t>I.</w:t>
      </w:r>
      <w:r w:rsidRPr="001B5C4A">
        <w:rPr>
          <w:rFonts w:ascii="Arial" w:hAnsi="Arial" w:cs="Arial"/>
          <w:b/>
          <w:lang w:val="es-MX"/>
        </w:rPr>
        <w:tab/>
        <w:t>A N T E C E D E N T E S</w:t>
      </w:r>
    </w:p>
    <w:p w14:paraId="5D4F5B30" w14:textId="77777777" w:rsidR="00E23D71" w:rsidRPr="001B5C4A" w:rsidRDefault="00E23D71" w:rsidP="00B6299B">
      <w:pPr>
        <w:spacing w:line="360" w:lineRule="auto"/>
        <w:jc w:val="center"/>
        <w:rPr>
          <w:rFonts w:ascii="Arial" w:hAnsi="Arial" w:cs="Arial"/>
          <w:b/>
          <w:lang w:val="es-MX"/>
        </w:rPr>
      </w:pPr>
    </w:p>
    <w:p w14:paraId="486A30AE" w14:textId="77777777" w:rsidR="0071317C" w:rsidRPr="001B5C4A" w:rsidRDefault="0071317C" w:rsidP="00B6299B">
      <w:pPr>
        <w:tabs>
          <w:tab w:val="left" w:pos="426"/>
        </w:tabs>
        <w:spacing w:line="360" w:lineRule="auto"/>
        <w:jc w:val="both"/>
        <w:rPr>
          <w:rFonts w:ascii="Arial" w:hAnsi="Arial" w:cs="Arial"/>
        </w:rPr>
      </w:pPr>
      <w:r w:rsidRPr="001B5C4A">
        <w:rPr>
          <w:rFonts w:ascii="Arial" w:hAnsi="Arial" w:cs="Arial"/>
          <w:b/>
        </w:rPr>
        <w:t>1.</w:t>
      </w:r>
      <w:r w:rsidRPr="001B5C4A">
        <w:rPr>
          <w:rFonts w:ascii="Arial" w:hAnsi="Arial" w:cs="Arial"/>
        </w:rPr>
        <w:t xml:space="preserve"> </w:t>
      </w:r>
      <w:r w:rsidRPr="001B5C4A">
        <w:rPr>
          <w:rFonts w:ascii="Arial" w:hAnsi="Arial" w:cs="Arial"/>
          <w:b/>
        </w:rPr>
        <w:t>La demanda</w:t>
      </w:r>
    </w:p>
    <w:p w14:paraId="2CDA60CC" w14:textId="77777777" w:rsidR="00E23D71" w:rsidRPr="001B5C4A" w:rsidRDefault="00E23D71" w:rsidP="00B6299B">
      <w:pPr>
        <w:tabs>
          <w:tab w:val="left" w:pos="426"/>
        </w:tabs>
        <w:jc w:val="both"/>
        <w:rPr>
          <w:rFonts w:ascii="Arial" w:hAnsi="Arial" w:cs="Arial"/>
        </w:rPr>
      </w:pPr>
    </w:p>
    <w:p w14:paraId="50C046ED" w14:textId="77777777" w:rsidR="00B12295" w:rsidRPr="001B5C4A" w:rsidRDefault="00AD721C" w:rsidP="00B6299B">
      <w:pPr>
        <w:tabs>
          <w:tab w:val="left" w:pos="426"/>
        </w:tabs>
        <w:spacing w:line="360" w:lineRule="auto"/>
        <w:jc w:val="both"/>
        <w:rPr>
          <w:rFonts w:ascii="Arial" w:hAnsi="Arial" w:cs="Arial"/>
          <w:i/>
        </w:rPr>
      </w:pPr>
      <w:r w:rsidRPr="001B5C4A">
        <w:rPr>
          <w:rFonts w:ascii="Arial" w:hAnsi="Arial" w:cs="Arial"/>
        </w:rPr>
        <w:t xml:space="preserve">El </w:t>
      </w:r>
      <w:r w:rsidR="00CF3C22" w:rsidRPr="001B5C4A">
        <w:rPr>
          <w:rFonts w:ascii="Arial" w:hAnsi="Arial" w:cs="Arial"/>
        </w:rPr>
        <w:t>23 de enero de 2014</w:t>
      </w:r>
      <w:r w:rsidRPr="001B5C4A">
        <w:rPr>
          <w:rFonts w:ascii="Arial" w:hAnsi="Arial" w:cs="Arial"/>
        </w:rPr>
        <w:t xml:space="preserve">, </w:t>
      </w:r>
      <w:r w:rsidR="00CF3C22" w:rsidRPr="001B5C4A">
        <w:rPr>
          <w:rFonts w:ascii="Arial" w:hAnsi="Arial" w:cs="Arial"/>
        </w:rPr>
        <w:t>Ecopetrol S.A.</w:t>
      </w:r>
      <w:r w:rsidRPr="001B5C4A">
        <w:rPr>
          <w:rFonts w:ascii="Arial" w:hAnsi="Arial" w:cs="Arial"/>
        </w:rPr>
        <w:t xml:space="preserve"> presentó demanda</w:t>
      </w:r>
      <w:r w:rsidR="0077621C" w:rsidRPr="001B5C4A">
        <w:rPr>
          <w:rFonts w:ascii="Arial" w:hAnsi="Arial" w:cs="Arial"/>
        </w:rPr>
        <w:t>,</w:t>
      </w:r>
      <w:r w:rsidR="00095372" w:rsidRPr="001B5C4A">
        <w:rPr>
          <w:rFonts w:ascii="Arial" w:hAnsi="Arial" w:cs="Arial"/>
        </w:rPr>
        <w:t xml:space="preserve"> </w:t>
      </w:r>
      <w:r w:rsidR="00BF01ED" w:rsidRPr="001B5C4A">
        <w:rPr>
          <w:rFonts w:ascii="Arial" w:hAnsi="Arial" w:cs="Arial"/>
        </w:rPr>
        <w:t>con pretensiones de naturaleza contractual</w:t>
      </w:r>
      <w:r w:rsidR="00A93AE2" w:rsidRPr="001B5C4A">
        <w:rPr>
          <w:rFonts w:ascii="Arial" w:hAnsi="Arial" w:cs="Arial"/>
        </w:rPr>
        <w:t>,</w:t>
      </w:r>
      <w:r w:rsidRPr="001B5C4A">
        <w:rPr>
          <w:rFonts w:ascii="Arial" w:hAnsi="Arial" w:cs="Arial"/>
        </w:rPr>
        <w:t xml:space="preserve"> contra</w:t>
      </w:r>
      <w:r w:rsidR="00B12295" w:rsidRPr="001B5C4A">
        <w:rPr>
          <w:rFonts w:ascii="Arial" w:hAnsi="Arial" w:cs="Arial"/>
        </w:rPr>
        <w:t xml:space="preserve"> la sociedad Inor</w:t>
      </w:r>
      <w:r w:rsidR="007E3BDC" w:rsidRPr="001B5C4A">
        <w:rPr>
          <w:rFonts w:ascii="Arial" w:hAnsi="Arial" w:cs="Arial"/>
        </w:rPr>
        <w:t>,</w:t>
      </w:r>
      <w:r w:rsidRPr="001B5C4A">
        <w:rPr>
          <w:rFonts w:ascii="Arial" w:hAnsi="Arial" w:cs="Arial"/>
        </w:rPr>
        <w:t xml:space="preserve"> con el fin de que se </w:t>
      </w:r>
      <w:r w:rsidR="00CF3C22" w:rsidRPr="001B5C4A">
        <w:rPr>
          <w:rFonts w:ascii="Arial" w:hAnsi="Arial" w:cs="Arial"/>
        </w:rPr>
        <w:t>declare que esta incumplió el contrato 0005420, cuyo objeto consistió en</w:t>
      </w:r>
      <w:r w:rsidR="00A434AA" w:rsidRPr="001B5C4A">
        <w:rPr>
          <w:rFonts w:ascii="Arial" w:hAnsi="Arial" w:cs="Arial"/>
        </w:rPr>
        <w:t xml:space="preserve"> la realización de</w:t>
      </w:r>
      <w:r w:rsidR="00CF3C22" w:rsidRPr="001B5C4A">
        <w:rPr>
          <w:rFonts w:ascii="Arial" w:hAnsi="Arial" w:cs="Arial"/>
        </w:rPr>
        <w:t xml:space="preserve"> “</w:t>
      </w:r>
      <w:r w:rsidR="00CF3C22" w:rsidRPr="001B5C4A">
        <w:rPr>
          <w:rFonts w:ascii="Arial" w:hAnsi="Arial" w:cs="Arial"/>
          <w:i/>
        </w:rPr>
        <w:t>obras de dragado para garantizar la navegación continua y confiable del Río Magdalena, en el sector comprendido entre Barrancabermeja y Calamar”</w:t>
      </w:r>
      <w:r w:rsidR="00B12295" w:rsidRPr="001B5C4A">
        <w:rPr>
          <w:rFonts w:ascii="Arial" w:hAnsi="Arial" w:cs="Arial"/>
          <w:i/>
        </w:rPr>
        <w:t xml:space="preserve">. </w:t>
      </w:r>
    </w:p>
    <w:p w14:paraId="7B6DE39C" w14:textId="77777777" w:rsidR="00B12295" w:rsidRPr="001B5C4A" w:rsidRDefault="00B12295" w:rsidP="00B6299B">
      <w:pPr>
        <w:tabs>
          <w:tab w:val="left" w:pos="426"/>
        </w:tabs>
        <w:spacing w:line="360" w:lineRule="auto"/>
        <w:jc w:val="both"/>
        <w:rPr>
          <w:rFonts w:ascii="Arial" w:hAnsi="Arial" w:cs="Arial"/>
          <w:i/>
        </w:rPr>
      </w:pPr>
    </w:p>
    <w:p w14:paraId="41C1DEFE" w14:textId="77777777" w:rsidR="00414893" w:rsidRPr="001B5C4A" w:rsidRDefault="00B12295" w:rsidP="00B6299B">
      <w:pPr>
        <w:tabs>
          <w:tab w:val="left" w:pos="426"/>
        </w:tabs>
        <w:spacing w:line="360" w:lineRule="auto"/>
        <w:jc w:val="both"/>
        <w:rPr>
          <w:rFonts w:ascii="Arial" w:hAnsi="Arial" w:cs="Arial"/>
          <w:i/>
        </w:rPr>
      </w:pPr>
      <w:r w:rsidRPr="001B5C4A">
        <w:rPr>
          <w:rFonts w:ascii="Arial" w:hAnsi="Arial" w:cs="Arial"/>
        </w:rPr>
        <w:t>C</w:t>
      </w:r>
      <w:r w:rsidR="006A1C8B" w:rsidRPr="001B5C4A">
        <w:rPr>
          <w:rFonts w:ascii="Arial" w:hAnsi="Arial" w:cs="Arial"/>
        </w:rPr>
        <w:t xml:space="preserve">omo consecuencia de </w:t>
      </w:r>
      <w:r w:rsidR="007C245C" w:rsidRPr="001B5C4A">
        <w:rPr>
          <w:rFonts w:ascii="Arial" w:hAnsi="Arial" w:cs="Arial"/>
        </w:rPr>
        <w:t>lo anterior</w:t>
      </w:r>
      <w:r w:rsidR="006A1C8B" w:rsidRPr="001B5C4A">
        <w:rPr>
          <w:rFonts w:ascii="Arial" w:hAnsi="Arial" w:cs="Arial"/>
        </w:rPr>
        <w:t xml:space="preserve">, </w:t>
      </w:r>
      <w:r w:rsidRPr="001B5C4A">
        <w:rPr>
          <w:rFonts w:ascii="Arial" w:hAnsi="Arial" w:cs="Arial"/>
        </w:rPr>
        <w:t xml:space="preserve">solicitó </w:t>
      </w:r>
      <w:r w:rsidR="007C245C" w:rsidRPr="001B5C4A">
        <w:rPr>
          <w:rFonts w:ascii="Arial" w:hAnsi="Arial" w:cs="Arial"/>
        </w:rPr>
        <w:t xml:space="preserve">que </w:t>
      </w:r>
      <w:r w:rsidR="006A1C8B" w:rsidRPr="001B5C4A">
        <w:rPr>
          <w:rFonts w:ascii="Arial" w:hAnsi="Arial" w:cs="Arial"/>
        </w:rPr>
        <w:t>se ordene el pago de la suma correspondiente a la sanción penal por incumplimiento.</w:t>
      </w:r>
    </w:p>
    <w:p w14:paraId="459491E9" w14:textId="77777777" w:rsidR="00931410" w:rsidRPr="001B5C4A" w:rsidRDefault="00931410" w:rsidP="00B6299B">
      <w:pPr>
        <w:tabs>
          <w:tab w:val="left" w:pos="426"/>
        </w:tabs>
        <w:spacing w:line="360" w:lineRule="auto"/>
        <w:jc w:val="both"/>
        <w:rPr>
          <w:rFonts w:ascii="Arial" w:hAnsi="Arial" w:cs="Arial"/>
        </w:rPr>
      </w:pPr>
    </w:p>
    <w:p w14:paraId="6FAE771A" w14:textId="77777777" w:rsidR="000E6D00" w:rsidRPr="001B5C4A" w:rsidRDefault="0095391C" w:rsidP="00B6299B">
      <w:pPr>
        <w:pStyle w:val="Textoindependiente"/>
        <w:tabs>
          <w:tab w:val="left" w:pos="8222"/>
        </w:tabs>
        <w:rPr>
          <w:rFonts w:cs="Arial"/>
          <w:b/>
          <w:bCs/>
          <w:sz w:val="24"/>
          <w:szCs w:val="24"/>
          <w:lang w:val="es-CO"/>
        </w:rPr>
      </w:pPr>
      <w:r w:rsidRPr="001B5C4A">
        <w:rPr>
          <w:rFonts w:cs="Arial"/>
          <w:b/>
          <w:bCs/>
          <w:sz w:val="24"/>
          <w:szCs w:val="24"/>
          <w:lang w:val="es-CO"/>
        </w:rPr>
        <w:t>2</w:t>
      </w:r>
      <w:r w:rsidR="000E6D00" w:rsidRPr="001B5C4A">
        <w:rPr>
          <w:rFonts w:cs="Arial"/>
          <w:b/>
          <w:bCs/>
          <w:sz w:val="24"/>
          <w:szCs w:val="24"/>
          <w:lang w:val="es-CO"/>
        </w:rPr>
        <w:t>. Trámite procesal previo a la expedición del auto apelado</w:t>
      </w:r>
    </w:p>
    <w:p w14:paraId="131C0A06" w14:textId="77777777" w:rsidR="000E6D00" w:rsidRPr="001B5C4A" w:rsidRDefault="000E6D00" w:rsidP="00B6299B">
      <w:pPr>
        <w:pStyle w:val="Textoindependiente"/>
        <w:tabs>
          <w:tab w:val="left" w:pos="8222"/>
        </w:tabs>
        <w:rPr>
          <w:rFonts w:cs="Arial"/>
          <w:b/>
          <w:bCs/>
          <w:sz w:val="24"/>
          <w:szCs w:val="24"/>
          <w:lang w:val="es-CO"/>
        </w:rPr>
      </w:pPr>
    </w:p>
    <w:p w14:paraId="35B9391C" w14:textId="77777777" w:rsidR="000E6D00" w:rsidRPr="001B5C4A" w:rsidRDefault="000E6D00" w:rsidP="00B6299B">
      <w:pPr>
        <w:pStyle w:val="Textoindependiente"/>
        <w:tabs>
          <w:tab w:val="left" w:pos="8222"/>
        </w:tabs>
        <w:rPr>
          <w:rFonts w:cs="Arial"/>
          <w:bCs/>
          <w:sz w:val="24"/>
          <w:szCs w:val="24"/>
          <w:lang w:val="es-CO"/>
        </w:rPr>
      </w:pPr>
      <w:r w:rsidRPr="001B5C4A">
        <w:rPr>
          <w:rFonts w:cs="Arial"/>
          <w:bCs/>
          <w:sz w:val="24"/>
          <w:szCs w:val="24"/>
          <w:lang w:val="es-CO"/>
        </w:rPr>
        <w:t xml:space="preserve"> </w:t>
      </w:r>
    </w:p>
    <w:p w14:paraId="1DD0B21A" w14:textId="77777777" w:rsidR="00824715" w:rsidRPr="001B5C4A" w:rsidRDefault="00824715" w:rsidP="00B6299B">
      <w:pPr>
        <w:pStyle w:val="Textoindependiente"/>
        <w:tabs>
          <w:tab w:val="left" w:pos="8222"/>
        </w:tabs>
        <w:spacing w:line="360" w:lineRule="auto"/>
        <w:jc w:val="both"/>
        <w:rPr>
          <w:rFonts w:cs="Arial"/>
          <w:b/>
          <w:bCs/>
          <w:sz w:val="24"/>
          <w:szCs w:val="24"/>
          <w:lang w:val="es-CO"/>
        </w:rPr>
      </w:pPr>
      <w:r w:rsidRPr="001B5C4A">
        <w:rPr>
          <w:rFonts w:cs="Arial"/>
          <w:b/>
          <w:bCs/>
          <w:sz w:val="24"/>
          <w:szCs w:val="24"/>
          <w:lang w:val="es-CO"/>
        </w:rPr>
        <w:t xml:space="preserve">2.1. Admisión de la demanda </w:t>
      </w:r>
    </w:p>
    <w:p w14:paraId="6A4D5B7F" w14:textId="77777777" w:rsidR="00824715" w:rsidRPr="001B5C4A" w:rsidRDefault="00824715" w:rsidP="00B6299B">
      <w:pPr>
        <w:pStyle w:val="Textoindependiente"/>
        <w:tabs>
          <w:tab w:val="left" w:pos="8222"/>
        </w:tabs>
        <w:spacing w:line="360" w:lineRule="auto"/>
        <w:jc w:val="both"/>
        <w:rPr>
          <w:rFonts w:cs="Arial"/>
          <w:bCs/>
          <w:sz w:val="24"/>
          <w:szCs w:val="24"/>
          <w:lang w:val="es-CO"/>
        </w:rPr>
      </w:pPr>
    </w:p>
    <w:p w14:paraId="34BBFEFD" w14:textId="77777777" w:rsidR="002717E5" w:rsidRPr="001B5C4A" w:rsidRDefault="002D0B72" w:rsidP="00B6299B">
      <w:pPr>
        <w:pStyle w:val="Textoindependiente"/>
        <w:tabs>
          <w:tab w:val="left" w:pos="8222"/>
        </w:tabs>
        <w:spacing w:line="360" w:lineRule="auto"/>
        <w:jc w:val="both"/>
        <w:rPr>
          <w:rFonts w:cs="Arial"/>
          <w:bCs/>
          <w:sz w:val="24"/>
          <w:szCs w:val="24"/>
          <w:lang w:val="es-CO"/>
        </w:rPr>
      </w:pPr>
      <w:r w:rsidRPr="001B5C4A">
        <w:rPr>
          <w:rFonts w:cs="Arial"/>
          <w:bCs/>
          <w:sz w:val="24"/>
          <w:szCs w:val="24"/>
          <w:lang w:val="es-CO"/>
        </w:rPr>
        <w:t xml:space="preserve">La demanda </w:t>
      </w:r>
      <w:r w:rsidR="000E6D00" w:rsidRPr="001B5C4A">
        <w:rPr>
          <w:rFonts w:cs="Arial"/>
          <w:bCs/>
          <w:sz w:val="24"/>
          <w:szCs w:val="24"/>
          <w:lang w:val="es-CO"/>
        </w:rPr>
        <w:t>fue admitida por el Tribunal Administrativo de</w:t>
      </w:r>
      <w:r w:rsidR="00950738" w:rsidRPr="001B5C4A">
        <w:rPr>
          <w:rFonts w:cs="Arial"/>
          <w:bCs/>
          <w:sz w:val="24"/>
          <w:szCs w:val="24"/>
          <w:lang w:val="es-CO"/>
        </w:rPr>
        <w:t xml:space="preserve"> Bolívar</w:t>
      </w:r>
      <w:r w:rsidR="00A93AE2" w:rsidRPr="001B5C4A">
        <w:rPr>
          <w:rFonts w:cs="Arial"/>
          <w:bCs/>
          <w:sz w:val="24"/>
          <w:szCs w:val="24"/>
          <w:lang w:val="es-CO"/>
        </w:rPr>
        <w:t>,</w:t>
      </w:r>
      <w:r w:rsidR="000E6D00" w:rsidRPr="001B5C4A">
        <w:rPr>
          <w:rFonts w:cs="Arial"/>
          <w:bCs/>
          <w:sz w:val="24"/>
          <w:szCs w:val="24"/>
          <w:lang w:val="es-CO"/>
        </w:rPr>
        <w:t xml:space="preserve"> mediante auto del </w:t>
      </w:r>
      <w:r w:rsidR="00950738" w:rsidRPr="001B5C4A">
        <w:rPr>
          <w:rFonts w:cs="Arial"/>
          <w:bCs/>
          <w:sz w:val="24"/>
          <w:szCs w:val="24"/>
          <w:lang w:val="es-CO"/>
        </w:rPr>
        <w:t>24 de junio de 2014</w:t>
      </w:r>
      <w:r w:rsidR="0077621C" w:rsidRPr="001B5C4A">
        <w:rPr>
          <w:rFonts w:cs="Arial"/>
          <w:bCs/>
          <w:sz w:val="24"/>
          <w:szCs w:val="24"/>
          <w:lang w:val="es-CO"/>
        </w:rPr>
        <w:t>.</w:t>
      </w:r>
    </w:p>
    <w:p w14:paraId="2B32004F" w14:textId="77777777" w:rsidR="00824715" w:rsidRPr="001B5C4A" w:rsidRDefault="00824715" w:rsidP="00B6299B">
      <w:pPr>
        <w:pStyle w:val="Textoindependiente"/>
        <w:tabs>
          <w:tab w:val="left" w:pos="8222"/>
        </w:tabs>
        <w:spacing w:line="360" w:lineRule="auto"/>
        <w:jc w:val="both"/>
        <w:rPr>
          <w:rFonts w:cs="Arial"/>
          <w:bCs/>
          <w:sz w:val="24"/>
          <w:szCs w:val="24"/>
          <w:lang w:val="es-CO"/>
        </w:rPr>
      </w:pPr>
    </w:p>
    <w:p w14:paraId="3842ACB8" w14:textId="77777777" w:rsidR="00694435" w:rsidRPr="001B5C4A" w:rsidRDefault="00694435" w:rsidP="00B6299B">
      <w:pPr>
        <w:pStyle w:val="Textoindependiente"/>
        <w:tabs>
          <w:tab w:val="left" w:pos="8222"/>
        </w:tabs>
        <w:spacing w:line="360" w:lineRule="auto"/>
        <w:jc w:val="both"/>
        <w:rPr>
          <w:rFonts w:cs="Arial"/>
          <w:b/>
          <w:bCs/>
          <w:sz w:val="24"/>
          <w:szCs w:val="24"/>
          <w:lang w:val="es-CO"/>
        </w:rPr>
      </w:pPr>
      <w:r w:rsidRPr="001B5C4A">
        <w:rPr>
          <w:rFonts w:cs="Arial"/>
          <w:b/>
          <w:bCs/>
          <w:sz w:val="24"/>
          <w:szCs w:val="24"/>
          <w:lang w:val="es-CO"/>
        </w:rPr>
        <w:t xml:space="preserve">2.2. Demanda de reconvención </w:t>
      </w:r>
    </w:p>
    <w:p w14:paraId="70E8D666" w14:textId="77777777" w:rsidR="00694435" w:rsidRPr="001B5C4A" w:rsidRDefault="001422C2" w:rsidP="00B6299B">
      <w:pPr>
        <w:pStyle w:val="Textoindependiente"/>
        <w:tabs>
          <w:tab w:val="left" w:pos="2621"/>
        </w:tabs>
        <w:spacing w:line="360" w:lineRule="auto"/>
        <w:jc w:val="both"/>
        <w:rPr>
          <w:rFonts w:cs="Arial"/>
          <w:b/>
          <w:bCs/>
          <w:sz w:val="24"/>
          <w:szCs w:val="24"/>
          <w:lang w:val="es-CO"/>
        </w:rPr>
      </w:pPr>
      <w:r w:rsidRPr="001B5C4A">
        <w:rPr>
          <w:rFonts w:cs="Arial"/>
          <w:b/>
          <w:bCs/>
          <w:sz w:val="24"/>
          <w:szCs w:val="24"/>
          <w:lang w:val="es-CO"/>
        </w:rPr>
        <w:tab/>
      </w:r>
    </w:p>
    <w:p w14:paraId="2F75F2CE" w14:textId="77777777" w:rsidR="00694435" w:rsidRPr="001B5C4A" w:rsidRDefault="00694435" w:rsidP="00B6299B">
      <w:pPr>
        <w:pStyle w:val="Textoindependiente"/>
        <w:tabs>
          <w:tab w:val="left" w:pos="8222"/>
        </w:tabs>
        <w:spacing w:line="360" w:lineRule="auto"/>
        <w:jc w:val="both"/>
        <w:rPr>
          <w:rFonts w:cs="Arial"/>
          <w:bCs/>
          <w:sz w:val="24"/>
          <w:szCs w:val="24"/>
          <w:lang w:val="es-CO"/>
        </w:rPr>
      </w:pPr>
      <w:r w:rsidRPr="001B5C4A">
        <w:rPr>
          <w:rFonts w:cs="Arial"/>
          <w:bCs/>
          <w:sz w:val="24"/>
          <w:szCs w:val="24"/>
          <w:lang w:val="es-CO"/>
        </w:rPr>
        <w:t xml:space="preserve">De manera simultánea con la contestación y mediante escrito separado, </w:t>
      </w:r>
      <w:r w:rsidR="00950738" w:rsidRPr="001B5C4A">
        <w:rPr>
          <w:rFonts w:cs="Arial"/>
          <w:bCs/>
          <w:sz w:val="24"/>
          <w:szCs w:val="24"/>
          <w:lang w:val="es-CO"/>
        </w:rPr>
        <w:t xml:space="preserve">Inor </w:t>
      </w:r>
      <w:r w:rsidRPr="001B5C4A">
        <w:rPr>
          <w:rFonts w:cs="Arial"/>
          <w:bCs/>
          <w:sz w:val="24"/>
          <w:szCs w:val="24"/>
          <w:lang w:val="es-CO"/>
        </w:rPr>
        <w:t xml:space="preserve">formuló demanda de reconvención contra </w:t>
      </w:r>
      <w:r w:rsidR="00950738" w:rsidRPr="001B5C4A">
        <w:rPr>
          <w:rFonts w:cs="Arial"/>
          <w:bCs/>
          <w:sz w:val="24"/>
          <w:szCs w:val="24"/>
          <w:lang w:val="es-CO"/>
        </w:rPr>
        <w:t>Ecopetrol S.A.</w:t>
      </w:r>
      <w:r w:rsidRPr="001B5C4A">
        <w:rPr>
          <w:rFonts w:cs="Arial"/>
          <w:bCs/>
          <w:sz w:val="24"/>
          <w:szCs w:val="24"/>
          <w:lang w:val="es-CO"/>
        </w:rPr>
        <w:t xml:space="preserve">, con el fin de que se declare </w:t>
      </w:r>
      <w:r w:rsidR="00950738" w:rsidRPr="001B5C4A">
        <w:rPr>
          <w:rFonts w:cs="Arial"/>
          <w:bCs/>
          <w:sz w:val="24"/>
          <w:szCs w:val="24"/>
          <w:lang w:val="es-CO"/>
        </w:rPr>
        <w:t>la nulidad del documento denominado “</w:t>
      </w:r>
      <w:r w:rsidR="00950738" w:rsidRPr="001B5C4A">
        <w:rPr>
          <w:rFonts w:cs="Arial"/>
          <w:bCs/>
          <w:i/>
          <w:sz w:val="24"/>
          <w:szCs w:val="24"/>
          <w:lang w:val="es-CO"/>
        </w:rPr>
        <w:t>acta de terminación unilateral del contrato 0005420”</w:t>
      </w:r>
      <w:r w:rsidR="00BF01ED" w:rsidRPr="001B5C4A">
        <w:rPr>
          <w:rFonts w:cs="Arial"/>
          <w:bCs/>
          <w:sz w:val="24"/>
          <w:szCs w:val="24"/>
          <w:lang w:val="es-CO"/>
        </w:rPr>
        <w:t xml:space="preserve">, así como </w:t>
      </w:r>
      <w:r w:rsidR="00950738" w:rsidRPr="001B5C4A">
        <w:rPr>
          <w:rFonts w:cs="Arial"/>
          <w:bCs/>
          <w:sz w:val="24"/>
          <w:szCs w:val="24"/>
          <w:lang w:val="es-CO"/>
        </w:rPr>
        <w:t>el incumplimiento contractual por parte de la mencionada entidad</w:t>
      </w:r>
      <w:r w:rsidR="00BF01ED" w:rsidRPr="001B5C4A">
        <w:rPr>
          <w:rFonts w:cs="Arial"/>
          <w:bCs/>
          <w:sz w:val="24"/>
          <w:szCs w:val="24"/>
          <w:lang w:val="es-CO"/>
        </w:rPr>
        <w:t xml:space="preserve"> y, por ende, se ordene el pago de la indemnización correspondiente</w:t>
      </w:r>
      <w:r w:rsidR="00BF01ED" w:rsidRPr="001B5C4A">
        <w:rPr>
          <w:rStyle w:val="Refdenotaalpie"/>
          <w:rFonts w:cs="Arial"/>
          <w:bCs/>
          <w:sz w:val="24"/>
          <w:szCs w:val="24"/>
          <w:lang w:val="es-CO"/>
        </w:rPr>
        <w:footnoteReference w:id="2"/>
      </w:r>
      <w:r w:rsidR="00BF01ED" w:rsidRPr="001B5C4A">
        <w:rPr>
          <w:rFonts w:cs="Arial"/>
          <w:bCs/>
          <w:sz w:val="24"/>
          <w:szCs w:val="24"/>
          <w:lang w:val="es-CO"/>
        </w:rPr>
        <w:t>.</w:t>
      </w:r>
    </w:p>
    <w:p w14:paraId="5AF0841A" w14:textId="77777777" w:rsidR="00694435" w:rsidRPr="001B5C4A" w:rsidRDefault="00694435" w:rsidP="00B6299B">
      <w:pPr>
        <w:pStyle w:val="Textoindependiente"/>
        <w:tabs>
          <w:tab w:val="left" w:pos="8222"/>
        </w:tabs>
        <w:spacing w:line="360" w:lineRule="auto"/>
        <w:jc w:val="both"/>
        <w:rPr>
          <w:rFonts w:cs="Arial"/>
          <w:bCs/>
          <w:sz w:val="24"/>
          <w:szCs w:val="24"/>
          <w:lang w:val="es-CO"/>
        </w:rPr>
      </w:pPr>
    </w:p>
    <w:p w14:paraId="5808CD49" w14:textId="77777777" w:rsidR="0071317C" w:rsidRPr="001B5C4A" w:rsidRDefault="00FD0C77" w:rsidP="00B6299B">
      <w:pPr>
        <w:pStyle w:val="Textoindependiente"/>
        <w:spacing w:line="360" w:lineRule="auto"/>
        <w:rPr>
          <w:rFonts w:cs="Arial"/>
          <w:b/>
          <w:bCs/>
          <w:sz w:val="24"/>
          <w:szCs w:val="24"/>
          <w:lang w:val="es-CO"/>
        </w:rPr>
      </w:pPr>
      <w:r w:rsidRPr="001B5C4A">
        <w:rPr>
          <w:rFonts w:cs="Arial"/>
          <w:b/>
          <w:bCs/>
          <w:sz w:val="24"/>
          <w:szCs w:val="24"/>
          <w:lang w:val="es-CO"/>
        </w:rPr>
        <w:t xml:space="preserve">3. </w:t>
      </w:r>
      <w:r w:rsidR="000B534A" w:rsidRPr="001B5C4A">
        <w:rPr>
          <w:rFonts w:cs="Arial"/>
          <w:b/>
          <w:bCs/>
          <w:sz w:val="24"/>
          <w:szCs w:val="24"/>
          <w:lang w:val="es-CO"/>
        </w:rPr>
        <w:t xml:space="preserve"> A</w:t>
      </w:r>
      <w:r w:rsidR="0071317C" w:rsidRPr="001B5C4A">
        <w:rPr>
          <w:rFonts w:cs="Arial"/>
          <w:b/>
          <w:bCs/>
          <w:sz w:val="24"/>
          <w:szCs w:val="24"/>
          <w:lang w:val="es-CO"/>
        </w:rPr>
        <w:t>uto apelado</w:t>
      </w:r>
    </w:p>
    <w:p w14:paraId="64B83C50" w14:textId="77777777" w:rsidR="0071317C" w:rsidRPr="001B5C4A" w:rsidRDefault="0071317C" w:rsidP="00B6299B">
      <w:pPr>
        <w:pStyle w:val="Textoindependiente"/>
        <w:spacing w:line="360" w:lineRule="auto"/>
        <w:rPr>
          <w:rFonts w:cs="Arial"/>
          <w:b/>
          <w:bCs/>
          <w:sz w:val="24"/>
          <w:szCs w:val="24"/>
          <w:lang w:val="es-CO"/>
        </w:rPr>
      </w:pPr>
    </w:p>
    <w:p w14:paraId="0AEEBE41" w14:textId="77777777" w:rsidR="00CE4762" w:rsidRPr="001B5C4A" w:rsidRDefault="0071317C" w:rsidP="00B6299B">
      <w:pPr>
        <w:pStyle w:val="Textoindependiente"/>
        <w:spacing w:line="360" w:lineRule="auto"/>
        <w:jc w:val="both"/>
        <w:rPr>
          <w:rFonts w:cs="Arial"/>
          <w:sz w:val="24"/>
          <w:szCs w:val="24"/>
          <w:lang w:val="es-CO"/>
        </w:rPr>
      </w:pPr>
      <w:r w:rsidRPr="001B5C4A">
        <w:rPr>
          <w:rFonts w:cs="Arial"/>
          <w:sz w:val="24"/>
          <w:szCs w:val="24"/>
          <w:lang w:val="es-CO"/>
        </w:rPr>
        <w:t>El Tribunal Administrativo de</w:t>
      </w:r>
      <w:r w:rsidR="00BF01ED" w:rsidRPr="001B5C4A">
        <w:rPr>
          <w:rFonts w:cs="Arial"/>
          <w:sz w:val="24"/>
          <w:szCs w:val="24"/>
          <w:lang w:val="es-CO"/>
        </w:rPr>
        <w:t xml:space="preserve"> Bolívar</w:t>
      </w:r>
      <w:r w:rsidRPr="001B5C4A">
        <w:rPr>
          <w:rFonts w:cs="Arial"/>
          <w:sz w:val="24"/>
          <w:szCs w:val="24"/>
          <w:lang w:val="es-CO"/>
        </w:rPr>
        <w:t xml:space="preserve">, mediante auto proferido </w:t>
      </w:r>
      <w:r w:rsidR="00BF01ED" w:rsidRPr="001B5C4A">
        <w:rPr>
          <w:rFonts w:cs="Arial"/>
          <w:sz w:val="24"/>
          <w:szCs w:val="24"/>
          <w:lang w:val="es-CO"/>
        </w:rPr>
        <w:t>el 30 de julio de 2015</w:t>
      </w:r>
      <w:r w:rsidR="00773AA0" w:rsidRPr="001B5C4A">
        <w:rPr>
          <w:rStyle w:val="Refdenotaalpie"/>
          <w:rFonts w:cs="Arial"/>
          <w:sz w:val="24"/>
          <w:szCs w:val="24"/>
          <w:lang w:val="es-CO"/>
        </w:rPr>
        <w:footnoteReference w:id="3"/>
      </w:r>
      <w:r w:rsidR="00FD0C77" w:rsidRPr="001B5C4A">
        <w:rPr>
          <w:rFonts w:cs="Arial"/>
          <w:sz w:val="24"/>
          <w:szCs w:val="24"/>
          <w:lang w:val="es-CO"/>
        </w:rPr>
        <w:t>,</w:t>
      </w:r>
      <w:r w:rsidR="00CE4762" w:rsidRPr="001B5C4A">
        <w:rPr>
          <w:rFonts w:cs="Arial"/>
          <w:sz w:val="24"/>
          <w:szCs w:val="24"/>
          <w:lang w:val="es-CO"/>
        </w:rPr>
        <w:t xml:space="preserve"> </w:t>
      </w:r>
      <w:r w:rsidR="00BF01ED" w:rsidRPr="001B5C4A">
        <w:rPr>
          <w:rFonts w:cs="Arial"/>
          <w:sz w:val="24"/>
          <w:szCs w:val="24"/>
          <w:lang w:val="es-CO"/>
        </w:rPr>
        <w:t>rechazó la demanda de reconvención</w:t>
      </w:r>
      <w:r w:rsidR="00B12295" w:rsidRPr="001B5C4A">
        <w:rPr>
          <w:rFonts w:cs="Arial"/>
          <w:sz w:val="24"/>
          <w:szCs w:val="24"/>
          <w:lang w:val="es-CO"/>
        </w:rPr>
        <w:t>,</w:t>
      </w:r>
      <w:r w:rsidR="00BF01ED" w:rsidRPr="001B5C4A">
        <w:rPr>
          <w:rFonts w:cs="Arial"/>
          <w:sz w:val="24"/>
          <w:szCs w:val="24"/>
          <w:lang w:val="es-CO"/>
        </w:rPr>
        <w:t xml:space="preserve"> por haber sido presentada por fuera de la oportunidad legal establecida para el efecto.</w:t>
      </w:r>
    </w:p>
    <w:p w14:paraId="04057A64" w14:textId="77777777" w:rsidR="00C16693" w:rsidRPr="001B5C4A" w:rsidRDefault="00C16693" w:rsidP="00B6299B">
      <w:pPr>
        <w:pStyle w:val="Textoindependiente"/>
        <w:spacing w:line="360" w:lineRule="auto"/>
        <w:jc w:val="both"/>
        <w:rPr>
          <w:rFonts w:cs="Arial"/>
          <w:sz w:val="24"/>
          <w:szCs w:val="24"/>
          <w:lang w:val="es-CO"/>
        </w:rPr>
      </w:pPr>
    </w:p>
    <w:p w14:paraId="6134F956" w14:textId="77777777" w:rsidR="0071317C" w:rsidRPr="001B5C4A" w:rsidRDefault="00BF01ED" w:rsidP="00B6299B">
      <w:pPr>
        <w:pStyle w:val="Textoindependiente"/>
        <w:spacing w:line="360" w:lineRule="auto"/>
        <w:jc w:val="both"/>
        <w:rPr>
          <w:rFonts w:cs="Arial"/>
          <w:sz w:val="24"/>
          <w:szCs w:val="24"/>
          <w:lang w:val="es-CO"/>
        </w:rPr>
      </w:pPr>
      <w:r w:rsidRPr="001B5C4A">
        <w:rPr>
          <w:rFonts w:cs="Arial"/>
          <w:sz w:val="24"/>
          <w:szCs w:val="24"/>
          <w:lang w:val="es-CO"/>
        </w:rPr>
        <w:lastRenderedPageBreak/>
        <w:t>Como sustento de la decisión, el Tribunal afirmó que la demanda de reconvención se presentó por fuera del término de traslado de la demanda inicial, esto es, el establecido en el artículo 172 del CPACA</w:t>
      </w:r>
      <w:r w:rsidR="00846E22" w:rsidRPr="001B5C4A">
        <w:rPr>
          <w:rFonts w:cs="Arial"/>
          <w:sz w:val="24"/>
          <w:szCs w:val="24"/>
          <w:lang w:val="es-CO"/>
        </w:rPr>
        <w:t xml:space="preserve">, para lo cual realizó el correspondiente cómputo, a la luz de lo dispuesto en el artículo 199 </w:t>
      </w:r>
      <w:r w:rsidR="00A434AA" w:rsidRPr="001B5C4A">
        <w:rPr>
          <w:rFonts w:cs="Arial"/>
          <w:sz w:val="24"/>
          <w:szCs w:val="24"/>
          <w:lang w:val="es-CO"/>
        </w:rPr>
        <w:t>del mencionado cuerpo normativo, modificado por el artículo 612 del CGP.</w:t>
      </w:r>
    </w:p>
    <w:p w14:paraId="484E3C1F" w14:textId="77777777" w:rsidR="00BF01ED" w:rsidRPr="001B5C4A" w:rsidRDefault="00BF01ED" w:rsidP="00B6299B">
      <w:pPr>
        <w:pStyle w:val="Textoindependiente"/>
        <w:spacing w:line="360" w:lineRule="auto"/>
        <w:rPr>
          <w:rFonts w:cs="Arial"/>
          <w:sz w:val="24"/>
          <w:szCs w:val="24"/>
          <w:lang w:val="es-CO"/>
        </w:rPr>
      </w:pPr>
    </w:p>
    <w:p w14:paraId="7C654FF8" w14:textId="77777777" w:rsidR="0071317C" w:rsidRPr="001B5C4A" w:rsidRDefault="0071317C" w:rsidP="00B6299B">
      <w:pPr>
        <w:pStyle w:val="Textoindependiente"/>
        <w:spacing w:line="360" w:lineRule="auto"/>
        <w:rPr>
          <w:rFonts w:cs="Arial"/>
          <w:b/>
          <w:sz w:val="24"/>
          <w:szCs w:val="24"/>
          <w:lang w:val="es-CO"/>
        </w:rPr>
      </w:pPr>
      <w:r w:rsidRPr="001B5C4A">
        <w:rPr>
          <w:rFonts w:cs="Arial"/>
          <w:b/>
          <w:bCs/>
          <w:sz w:val="24"/>
          <w:szCs w:val="24"/>
          <w:lang w:val="es-CO"/>
        </w:rPr>
        <w:t>4</w:t>
      </w:r>
      <w:r w:rsidR="00EB7CCB" w:rsidRPr="001B5C4A">
        <w:rPr>
          <w:rFonts w:cs="Arial"/>
          <w:b/>
          <w:bCs/>
          <w:sz w:val="24"/>
          <w:szCs w:val="24"/>
          <w:lang w:val="es-CO"/>
        </w:rPr>
        <w:t>.</w:t>
      </w:r>
      <w:r w:rsidR="00163143" w:rsidRPr="001B5C4A">
        <w:rPr>
          <w:rFonts w:cs="Arial"/>
          <w:b/>
          <w:bCs/>
          <w:sz w:val="24"/>
          <w:szCs w:val="24"/>
          <w:lang w:val="es-CO"/>
        </w:rPr>
        <w:t xml:space="preserve"> R</w:t>
      </w:r>
      <w:r w:rsidRPr="001B5C4A">
        <w:rPr>
          <w:rFonts w:cs="Arial"/>
          <w:b/>
          <w:bCs/>
          <w:sz w:val="24"/>
          <w:szCs w:val="24"/>
          <w:lang w:val="es-CO"/>
        </w:rPr>
        <w:t>ecurso de apelación</w:t>
      </w:r>
    </w:p>
    <w:p w14:paraId="55B9CDB6" w14:textId="77777777" w:rsidR="0071317C" w:rsidRPr="001B5C4A" w:rsidRDefault="0071317C" w:rsidP="00B6299B">
      <w:pPr>
        <w:pStyle w:val="Textoindependiente"/>
        <w:spacing w:line="360" w:lineRule="auto"/>
        <w:rPr>
          <w:rFonts w:cs="Arial"/>
          <w:b/>
          <w:sz w:val="24"/>
          <w:szCs w:val="24"/>
          <w:lang w:val="es-CO"/>
        </w:rPr>
      </w:pPr>
    </w:p>
    <w:p w14:paraId="54159941" w14:textId="77777777" w:rsidR="00EE2597" w:rsidRPr="001B5C4A" w:rsidRDefault="00EA144B" w:rsidP="00B6299B">
      <w:pPr>
        <w:pStyle w:val="Textoindependiente"/>
        <w:spacing w:line="360" w:lineRule="auto"/>
        <w:jc w:val="both"/>
        <w:rPr>
          <w:rFonts w:cs="Arial"/>
          <w:sz w:val="24"/>
          <w:szCs w:val="24"/>
          <w:lang w:val="es-CO"/>
        </w:rPr>
      </w:pPr>
      <w:r w:rsidRPr="001B5C4A">
        <w:rPr>
          <w:rFonts w:cs="Arial"/>
          <w:sz w:val="24"/>
          <w:szCs w:val="24"/>
          <w:lang w:val="es-CO"/>
        </w:rPr>
        <w:t>Inconforme</w:t>
      </w:r>
      <w:r w:rsidR="00211279" w:rsidRPr="001B5C4A">
        <w:rPr>
          <w:rFonts w:cs="Arial"/>
          <w:sz w:val="24"/>
          <w:szCs w:val="24"/>
          <w:lang w:val="es-CO"/>
        </w:rPr>
        <w:t xml:space="preserve"> con la anterior decisión, </w:t>
      </w:r>
      <w:r w:rsidR="00846E22" w:rsidRPr="001B5C4A">
        <w:rPr>
          <w:rFonts w:cs="Arial"/>
          <w:sz w:val="24"/>
          <w:szCs w:val="24"/>
          <w:lang w:val="es-CO"/>
        </w:rPr>
        <w:t>Inor</w:t>
      </w:r>
      <w:r w:rsidR="00B12295" w:rsidRPr="001B5C4A">
        <w:rPr>
          <w:rFonts w:cs="Arial"/>
          <w:sz w:val="24"/>
          <w:szCs w:val="24"/>
          <w:lang w:val="es-CO"/>
        </w:rPr>
        <w:t xml:space="preserve"> </w:t>
      </w:r>
      <w:r w:rsidR="00846E22" w:rsidRPr="001B5C4A">
        <w:rPr>
          <w:rFonts w:cs="Arial"/>
          <w:sz w:val="24"/>
          <w:szCs w:val="24"/>
          <w:lang w:val="es-CO"/>
        </w:rPr>
        <w:t>interpuso recurso de apelación,</w:t>
      </w:r>
      <w:r w:rsidR="00211279" w:rsidRPr="001B5C4A">
        <w:rPr>
          <w:rFonts w:cs="Arial"/>
          <w:sz w:val="24"/>
          <w:szCs w:val="24"/>
          <w:lang w:val="es-CO"/>
        </w:rPr>
        <w:t xml:space="preserve"> con el fin de que la misma sea revocada y, como consecuencia de ello, se admita la demanda de reconvención.</w:t>
      </w:r>
    </w:p>
    <w:p w14:paraId="5BA54028" w14:textId="77777777" w:rsidR="00211279" w:rsidRPr="001B5C4A" w:rsidRDefault="00211279" w:rsidP="00B6299B">
      <w:pPr>
        <w:pStyle w:val="Textoindependiente"/>
        <w:spacing w:line="360" w:lineRule="auto"/>
        <w:jc w:val="both"/>
        <w:rPr>
          <w:rFonts w:cs="Arial"/>
          <w:sz w:val="24"/>
          <w:szCs w:val="24"/>
          <w:lang w:val="es-CO"/>
        </w:rPr>
      </w:pPr>
    </w:p>
    <w:p w14:paraId="6D9B2DCC" w14:textId="77777777" w:rsidR="00D73DAE" w:rsidRPr="001B5C4A" w:rsidRDefault="00211279" w:rsidP="00B6299B">
      <w:pPr>
        <w:pStyle w:val="Textoindependiente"/>
        <w:spacing w:line="360" w:lineRule="auto"/>
        <w:jc w:val="both"/>
        <w:rPr>
          <w:rFonts w:cs="Arial"/>
          <w:sz w:val="24"/>
          <w:szCs w:val="24"/>
          <w:lang w:val="es-CO"/>
        </w:rPr>
      </w:pPr>
      <w:r w:rsidRPr="001B5C4A">
        <w:rPr>
          <w:rFonts w:cs="Arial"/>
          <w:sz w:val="24"/>
          <w:szCs w:val="24"/>
          <w:lang w:val="es-CO"/>
        </w:rPr>
        <w:t>Como sustento del recurso</w:t>
      </w:r>
      <w:r w:rsidR="00846E22" w:rsidRPr="001B5C4A">
        <w:rPr>
          <w:rFonts w:cs="Arial"/>
          <w:sz w:val="24"/>
          <w:szCs w:val="24"/>
          <w:lang w:val="es-CO"/>
        </w:rPr>
        <w:t>, cuestionó el cómputo de términos realizado por el Tribunal y señaló que no se tuvo en cuenta la disposición contenid</w:t>
      </w:r>
      <w:r w:rsidR="0030587E" w:rsidRPr="001B5C4A">
        <w:rPr>
          <w:rFonts w:cs="Arial"/>
          <w:sz w:val="24"/>
          <w:szCs w:val="24"/>
          <w:lang w:val="es-CO"/>
        </w:rPr>
        <w:t>a en el artículo 199 del CPACA -</w:t>
      </w:r>
      <w:r w:rsidR="00846E22" w:rsidRPr="001B5C4A">
        <w:rPr>
          <w:rFonts w:cs="Arial"/>
          <w:sz w:val="24"/>
          <w:szCs w:val="24"/>
          <w:lang w:val="es-CO"/>
        </w:rPr>
        <w:t>antes de la modificación efectuada por el Código General del Proceso-</w:t>
      </w:r>
      <w:r w:rsidR="00EB7CCB" w:rsidRPr="001B5C4A">
        <w:rPr>
          <w:rFonts w:cs="Arial"/>
          <w:sz w:val="24"/>
          <w:szCs w:val="24"/>
          <w:lang w:val="es-CO"/>
        </w:rPr>
        <w:t>.</w:t>
      </w:r>
    </w:p>
    <w:p w14:paraId="7538E132" w14:textId="77777777" w:rsidR="00846E22" w:rsidRPr="001B5C4A" w:rsidRDefault="00846E22" w:rsidP="00B6299B">
      <w:pPr>
        <w:pStyle w:val="Textoindependiente"/>
        <w:spacing w:line="360" w:lineRule="auto"/>
        <w:jc w:val="both"/>
        <w:rPr>
          <w:rFonts w:cs="Arial"/>
          <w:sz w:val="24"/>
          <w:szCs w:val="24"/>
          <w:lang w:val="es-CO"/>
        </w:rPr>
      </w:pPr>
    </w:p>
    <w:p w14:paraId="22241F32" w14:textId="77777777" w:rsidR="00846E22" w:rsidRPr="001B5C4A" w:rsidRDefault="00846E22" w:rsidP="00B6299B">
      <w:pPr>
        <w:pStyle w:val="Textoindependiente"/>
        <w:spacing w:line="360" w:lineRule="auto"/>
        <w:jc w:val="both"/>
        <w:rPr>
          <w:rFonts w:cs="Arial"/>
          <w:sz w:val="24"/>
          <w:szCs w:val="24"/>
          <w:lang w:val="es-CO"/>
        </w:rPr>
      </w:pPr>
      <w:r w:rsidRPr="001B5C4A">
        <w:rPr>
          <w:rFonts w:cs="Arial"/>
          <w:sz w:val="24"/>
          <w:szCs w:val="24"/>
          <w:lang w:val="es-CO"/>
        </w:rPr>
        <w:t>Para mayor claridad y dado que resulta relevante para la Sala, se transcribe el argumento expuesto en ese sentido por el recurrente, incluidos los posibles errores:</w:t>
      </w:r>
    </w:p>
    <w:p w14:paraId="5ECD8785" w14:textId="77777777" w:rsidR="00846E22" w:rsidRPr="001B5C4A" w:rsidRDefault="00846E22" w:rsidP="00B6299B">
      <w:pPr>
        <w:pStyle w:val="Textoindependiente"/>
        <w:spacing w:line="360" w:lineRule="auto"/>
        <w:jc w:val="both"/>
        <w:rPr>
          <w:rFonts w:cs="Arial"/>
          <w:sz w:val="24"/>
          <w:szCs w:val="24"/>
          <w:lang w:val="es-CO"/>
        </w:rPr>
      </w:pPr>
    </w:p>
    <w:p w14:paraId="0DD4E8AA" w14:textId="77777777" w:rsidR="00846E22" w:rsidRPr="001B5C4A" w:rsidRDefault="00A434AA" w:rsidP="00B6299B">
      <w:pPr>
        <w:pStyle w:val="Textoindependiente"/>
        <w:spacing w:line="276" w:lineRule="auto"/>
        <w:jc w:val="both"/>
        <w:rPr>
          <w:rFonts w:cs="Arial"/>
          <w:i/>
          <w:sz w:val="24"/>
          <w:szCs w:val="24"/>
          <w:lang w:val="es-CO"/>
        </w:rPr>
      </w:pPr>
      <w:r w:rsidRPr="001B5C4A">
        <w:rPr>
          <w:rFonts w:cs="Arial"/>
          <w:i/>
          <w:sz w:val="24"/>
          <w:szCs w:val="24"/>
          <w:lang w:val="es-CO"/>
        </w:rPr>
        <w:t>“Para</w:t>
      </w:r>
      <w:r w:rsidR="004E2426" w:rsidRPr="001B5C4A">
        <w:rPr>
          <w:rFonts w:cs="Arial"/>
          <w:i/>
          <w:sz w:val="24"/>
          <w:szCs w:val="24"/>
          <w:lang w:val="es-CO"/>
        </w:rPr>
        <w:t xml:space="preserve"> el caso que nos ocupa, deberá hacerse el siguiente conteo:</w:t>
      </w:r>
    </w:p>
    <w:p w14:paraId="3BEE7216" w14:textId="77777777" w:rsidR="004E2426" w:rsidRPr="001B5C4A" w:rsidRDefault="004E2426" w:rsidP="00B6299B">
      <w:pPr>
        <w:pStyle w:val="Textoindependiente"/>
        <w:spacing w:line="276" w:lineRule="auto"/>
        <w:jc w:val="both"/>
        <w:rPr>
          <w:rFonts w:cs="Arial"/>
          <w:i/>
          <w:sz w:val="24"/>
          <w:szCs w:val="24"/>
          <w:lang w:val="es-CO"/>
        </w:rPr>
      </w:pPr>
    </w:p>
    <w:p w14:paraId="459B95E6" w14:textId="77777777" w:rsidR="004E2426" w:rsidRPr="001B5C4A" w:rsidRDefault="004E2426" w:rsidP="00B6299B">
      <w:pPr>
        <w:pStyle w:val="Textoindependiente"/>
        <w:spacing w:line="276" w:lineRule="auto"/>
        <w:jc w:val="both"/>
        <w:rPr>
          <w:rFonts w:cs="Arial"/>
          <w:i/>
          <w:sz w:val="24"/>
          <w:szCs w:val="24"/>
          <w:lang w:val="es-CO"/>
        </w:rPr>
      </w:pPr>
      <w:r w:rsidRPr="001B5C4A">
        <w:rPr>
          <w:rFonts w:cs="Arial"/>
          <w:i/>
          <w:sz w:val="24"/>
          <w:szCs w:val="24"/>
          <w:lang w:val="es-CO"/>
        </w:rPr>
        <w:t>“- La última notificación a los demandados fue por correo electrónico el día 14 de julio de 2014.</w:t>
      </w:r>
    </w:p>
    <w:p w14:paraId="7CD28592" w14:textId="77777777" w:rsidR="0011491A" w:rsidRPr="001B5C4A" w:rsidRDefault="0011491A" w:rsidP="00B6299B">
      <w:pPr>
        <w:pStyle w:val="Textoindependiente"/>
        <w:spacing w:line="276" w:lineRule="auto"/>
        <w:jc w:val="both"/>
        <w:rPr>
          <w:rFonts w:cs="Arial"/>
          <w:i/>
          <w:sz w:val="24"/>
          <w:szCs w:val="24"/>
          <w:lang w:val="es-CO"/>
        </w:rPr>
      </w:pPr>
    </w:p>
    <w:p w14:paraId="335B3D42" w14:textId="77777777" w:rsidR="004E2426" w:rsidRPr="001B5C4A" w:rsidRDefault="004E2426" w:rsidP="00B6299B">
      <w:pPr>
        <w:pStyle w:val="Textoindependiente"/>
        <w:spacing w:line="276" w:lineRule="auto"/>
        <w:jc w:val="both"/>
        <w:rPr>
          <w:rFonts w:cs="Arial"/>
          <w:i/>
          <w:sz w:val="24"/>
          <w:szCs w:val="24"/>
          <w:lang w:val="es-CO"/>
        </w:rPr>
      </w:pPr>
      <w:r w:rsidRPr="001B5C4A">
        <w:rPr>
          <w:rFonts w:cs="Arial"/>
          <w:i/>
          <w:sz w:val="24"/>
          <w:szCs w:val="24"/>
          <w:lang w:val="es-CO"/>
        </w:rPr>
        <w:t>“- El término común de 25 días venció el 20 de agosto de 2014.</w:t>
      </w:r>
    </w:p>
    <w:p w14:paraId="4E49D355" w14:textId="77777777" w:rsidR="0011491A" w:rsidRPr="001B5C4A" w:rsidRDefault="0011491A" w:rsidP="00B6299B">
      <w:pPr>
        <w:pStyle w:val="Textoindependiente"/>
        <w:spacing w:line="276" w:lineRule="auto"/>
        <w:jc w:val="both"/>
        <w:rPr>
          <w:rFonts w:cs="Arial"/>
          <w:i/>
          <w:sz w:val="24"/>
          <w:szCs w:val="24"/>
          <w:lang w:val="es-CO"/>
        </w:rPr>
      </w:pPr>
    </w:p>
    <w:p w14:paraId="013D533A" w14:textId="77777777" w:rsidR="004E2426" w:rsidRPr="001B5C4A" w:rsidRDefault="004E2426" w:rsidP="00B6299B">
      <w:pPr>
        <w:pStyle w:val="Textoindependiente"/>
        <w:spacing w:line="276" w:lineRule="auto"/>
        <w:jc w:val="both"/>
        <w:rPr>
          <w:rFonts w:cs="Arial"/>
          <w:i/>
          <w:sz w:val="24"/>
          <w:szCs w:val="24"/>
          <w:lang w:val="es-CO"/>
        </w:rPr>
      </w:pPr>
      <w:r w:rsidRPr="001B5C4A">
        <w:rPr>
          <w:rFonts w:cs="Arial"/>
          <w:i/>
          <w:sz w:val="24"/>
          <w:szCs w:val="24"/>
          <w:lang w:val="es-CO"/>
        </w:rPr>
        <w:t xml:space="preserve">“- El traslado o los términos que concede el auto notificado </w:t>
      </w:r>
      <w:r w:rsidRPr="001B5C4A">
        <w:rPr>
          <w:rFonts w:cs="Arial"/>
          <w:i/>
          <w:sz w:val="24"/>
          <w:szCs w:val="24"/>
          <w:u w:val="single"/>
          <w:lang w:val="es-CO"/>
        </w:rPr>
        <w:t>solo comenzarán a correr 3 días después de la notificación</w:t>
      </w:r>
      <w:r w:rsidRPr="001B5C4A">
        <w:rPr>
          <w:rFonts w:cs="Arial"/>
          <w:i/>
          <w:sz w:val="24"/>
          <w:szCs w:val="24"/>
          <w:lang w:val="es-CO"/>
        </w:rPr>
        <w:t xml:space="preserve"> (21, 22 y 25 de agosto de 2014) es decir, a partir del 26 de agosto de 2014 (artículo 199, inciso 5º del Código Procesal Administrativo).</w:t>
      </w:r>
    </w:p>
    <w:p w14:paraId="28AE8867" w14:textId="77777777" w:rsidR="0011491A" w:rsidRPr="001B5C4A" w:rsidRDefault="0011491A" w:rsidP="00B6299B">
      <w:pPr>
        <w:pStyle w:val="Textoindependiente"/>
        <w:spacing w:line="276" w:lineRule="auto"/>
        <w:jc w:val="both"/>
        <w:rPr>
          <w:rFonts w:cs="Arial"/>
          <w:i/>
          <w:sz w:val="24"/>
          <w:szCs w:val="24"/>
          <w:lang w:val="es-CO"/>
        </w:rPr>
      </w:pPr>
    </w:p>
    <w:p w14:paraId="4AB390F7" w14:textId="77777777" w:rsidR="004E2426" w:rsidRPr="001B5C4A" w:rsidRDefault="004E2426" w:rsidP="00B6299B">
      <w:pPr>
        <w:pStyle w:val="Textoindependiente"/>
        <w:spacing w:line="276" w:lineRule="auto"/>
        <w:jc w:val="both"/>
        <w:rPr>
          <w:rFonts w:cs="Arial"/>
          <w:i/>
          <w:sz w:val="24"/>
          <w:szCs w:val="24"/>
          <w:lang w:val="es-CO"/>
        </w:rPr>
      </w:pPr>
      <w:r w:rsidRPr="001B5C4A">
        <w:rPr>
          <w:rFonts w:cs="Arial"/>
          <w:i/>
          <w:sz w:val="24"/>
          <w:szCs w:val="24"/>
          <w:lang w:val="es-CO"/>
        </w:rPr>
        <w:t>“- A partir del 26 de agosto de 2014 (y no del 21 de agosto de 2014, como erradamente lo señala la providencia impugnada) empezó a correr el término del traslado de la demanda, el cual es de 30 días (artículo 172 del Código de Procedimiento Administrativo).</w:t>
      </w:r>
    </w:p>
    <w:p w14:paraId="65CD25E3" w14:textId="77777777" w:rsidR="0011491A" w:rsidRPr="001B5C4A" w:rsidRDefault="0011491A" w:rsidP="00B6299B">
      <w:pPr>
        <w:pStyle w:val="Textoindependiente"/>
        <w:spacing w:line="276" w:lineRule="auto"/>
        <w:jc w:val="both"/>
        <w:rPr>
          <w:rFonts w:cs="Arial"/>
          <w:i/>
          <w:sz w:val="24"/>
          <w:szCs w:val="24"/>
          <w:lang w:val="es-CO"/>
        </w:rPr>
      </w:pPr>
    </w:p>
    <w:p w14:paraId="0A336902" w14:textId="77777777" w:rsidR="004E2426" w:rsidRPr="001B5C4A" w:rsidRDefault="004E2426" w:rsidP="00B6299B">
      <w:pPr>
        <w:pStyle w:val="Textoindependiente"/>
        <w:spacing w:line="276" w:lineRule="auto"/>
        <w:jc w:val="both"/>
        <w:rPr>
          <w:rFonts w:cs="Arial"/>
          <w:i/>
          <w:sz w:val="24"/>
          <w:szCs w:val="24"/>
          <w:lang w:val="es-CO"/>
        </w:rPr>
      </w:pPr>
      <w:r w:rsidRPr="001B5C4A">
        <w:rPr>
          <w:rFonts w:cs="Arial"/>
          <w:i/>
          <w:sz w:val="24"/>
          <w:szCs w:val="24"/>
          <w:lang w:val="es-CO"/>
        </w:rPr>
        <w:t>“- Dicho término de traslado va desde el 26 de agosto h</w:t>
      </w:r>
      <w:r w:rsidR="0011491A" w:rsidRPr="001B5C4A">
        <w:rPr>
          <w:rFonts w:cs="Arial"/>
          <w:i/>
          <w:sz w:val="24"/>
          <w:szCs w:val="24"/>
          <w:lang w:val="es-CO"/>
        </w:rPr>
        <w:t>a</w:t>
      </w:r>
      <w:r w:rsidRPr="001B5C4A">
        <w:rPr>
          <w:rFonts w:cs="Arial"/>
          <w:i/>
          <w:sz w:val="24"/>
          <w:szCs w:val="24"/>
          <w:lang w:val="es-CO"/>
        </w:rPr>
        <w:t>sta el lunes 6 de octubre de 2014.</w:t>
      </w:r>
    </w:p>
    <w:p w14:paraId="715028A5" w14:textId="77777777" w:rsidR="00A434AA" w:rsidRPr="001B5C4A" w:rsidRDefault="00A434AA" w:rsidP="00B6299B">
      <w:pPr>
        <w:pStyle w:val="Textoindependiente"/>
        <w:spacing w:line="276" w:lineRule="auto"/>
        <w:jc w:val="both"/>
        <w:rPr>
          <w:rFonts w:cs="Arial"/>
          <w:i/>
          <w:sz w:val="24"/>
          <w:szCs w:val="24"/>
          <w:lang w:val="es-CO"/>
        </w:rPr>
      </w:pPr>
    </w:p>
    <w:p w14:paraId="2B34479D" w14:textId="77777777" w:rsidR="004E2426" w:rsidRPr="001B5C4A" w:rsidRDefault="004E2426" w:rsidP="00B6299B">
      <w:pPr>
        <w:pStyle w:val="Textoindependiente"/>
        <w:spacing w:line="276" w:lineRule="auto"/>
        <w:jc w:val="both"/>
        <w:rPr>
          <w:rFonts w:cs="Arial"/>
          <w:i/>
          <w:sz w:val="24"/>
          <w:szCs w:val="24"/>
          <w:lang w:val="es-CO"/>
        </w:rPr>
      </w:pPr>
      <w:r w:rsidRPr="001B5C4A">
        <w:rPr>
          <w:rFonts w:cs="Arial"/>
          <w:i/>
          <w:sz w:val="24"/>
          <w:szCs w:val="24"/>
          <w:lang w:val="es-CO"/>
        </w:rPr>
        <w:lastRenderedPageBreak/>
        <w:t>“- La demanda de reconvención, junto con la contestación de la demanda primigenia fueron presentadas el 3 de octubre de 2014, es decir, un día antes del vencimiento del traslado y no 2 días después como lo enuncia el auto”</w:t>
      </w:r>
      <w:r w:rsidR="0011491A" w:rsidRPr="001B5C4A">
        <w:rPr>
          <w:rStyle w:val="Refdenotaalpie"/>
          <w:rFonts w:cs="Arial"/>
          <w:i/>
          <w:sz w:val="24"/>
          <w:szCs w:val="24"/>
          <w:lang w:val="es-CO"/>
        </w:rPr>
        <w:footnoteReference w:id="4"/>
      </w:r>
      <w:r w:rsidRPr="001B5C4A">
        <w:rPr>
          <w:rFonts w:cs="Arial"/>
          <w:i/>
          <w:sz w:val="24"/>
          <w:szCs w:val="24"/>
          <w:lang w:val="es-CO"/>
        </w:rPr>
        <w:t>.</w:t>
      </w:r>
    </w:p>
    <w:p w14:paraId="0FAC2DAD" w14:textId="77777777" w:rsidR="00333DB7" w:rsidRPr="001B5C4A" w:rsidRDefault="00333DB7" w:rsidP="00B6299B">
      <w:pPr>
        <w:pStyle w:val="Textoindependiente"/>
        <w:spacing w:line="360" w:lineRule="auto"/>
        <w:jc w:val="both"/>
        <w:rPr>
          <w:rFonts w:cs="Arial"/>
          <w:sz w:val="24"/>
          <w:szCs w:val="24"/>
          <w:lang w:val="es-CO"/>
        </w:rPr>
      </w:pPr>
    </w:p>
    <w:p w14:paraId="5B60FEF1" w14:textId="77777777" w:rsidR="0011491A" w:rsidRPr="001B5C4A" w:rsidRDefault="0011491A" w:rsidP="00B6299B">
      <w:pPr>
        <w:pStyle w:val="Textoindependiente"/>
        <w:spacing w:line="360" w:lineRule="auto"/>
        <w:jc w:val="both"/>
        <w:rPr>
          <w:rFonts w:cs="Arial"/>
          <w:sz w:val="24"/>
          <w:szCs w:val="24"/>
          <w:lang w:val="es-CO"/>
        </w:rPr>
      </w:pPr>
      <w:r w:rsidRPr="001B5C4A">
        <w:rPr>
          <w:rFonts w:cs="Arial"/>
          <w:sz w:val="24"/>
          <w:szCs w:val="24"/>
          <w:lang w:val="es-CO"/>
        </w:rPr>
        <w:t>Adicionalmente, adujo que la anotación secretarial contenida en la página de la Rama Judicial generó confusión en cuanto al cómputo de términos, por lo que solicitó que la duda en la interpretación y aplicación de la norma sea resuelta a favor del demandante en reconvención, en atención a los principios de favorabilidad y garantía procesal.</w:t>
      </w:r>
    </w:p>
    <w:p w14:paraId="33214D20" w14:textId="77777777" w:rsidR="0011491A" w:rsidRPr="001B5C4A" w:rsidRDefault="0011491A" w:rsidP="00B6299B">
      <w:pPr>
        <w:pStyle w:val="Textoindependiente"/>
        <w:spacing w:line="360" w:lineRule="auto"/>
        <w:jc w:val="both"/>
        <w:rPr>
          <w:rFonts w:cs="Arial"/>
          <w:sz w:val="24"/>
          <w:szCs w:val="24"/>
          <w:lang w:val="es-CO"/>
        </w:rPr>
      </w:pPr>
    </w:p>
    <w:p w14:paraId="1F989BD8" w14:textId="77777777" w:rsidR="008F166D" w:rsidRPr="001B5C4A" w:rsidRDefault="0071317C" w:rsidP="00B6299B">
      <w:pPr>
        <w:pStyle w:val="Textoindependiente210"/>
        <w:suppressAutoHyphens/>
        <w:spacing w:after="0"/>
        <w:jc w:val="center"/>
        <w:rPr>
          <w:rFonts w:ascii="Arial" w:hAnsi="Arial" w:cs="Arial"/>
          <w:b/>
          <w:iCs/>
          <w:sz w:val="24"/>
          <w:szCs w:val="24"/>
          <w:lang w:val="es-CO"/>
        </w:rPr>
      </w:pPr>
      <w:r w:rsidRPr="001B5C4A">
        <w:rPr>
          <w:rFonts w:ascii="Arial" w:hAnsi="Arial" w:cs="Arial"/>
          <w:b/>
          <w:iCs/>
          <w:sz w:val="24"/>
          <w:szCs w:val="24"/>
          <w:lang w:val="es-CO"/>
        </w:rPr>
        <w:t>II. C O N S I D E R A C I O N E S</w:t>
      </w:r>
    </w:p>
    <w:p w14:paraId="3C9F716E" w14:textId="77777777" w:rsidR="0092141F" w:rsidRPr="001B5C4A" w:rsidRDefault="0092141F" w:rsidP="00B6299B">
      <w:pPr>
        <w:jc w:val="both"/>
        <w:rPr>
          <w:rFonts w:ascii="Arial" w:hAnsi="Arial" w:cs="Arial"/>
          <w:b/>
        </w:rPr>
      </w:pPr>
      <w:r w:rsidRPr="001B5C4A">
        <w:rPr>
          <w:rFonts w:ascii="Arial" w:hAnsi="Arial" w:cs="Arial"/>
          <w:b/>
        </w:rPr>
        <w:t xml:space="preserve">1. </w:t>
      </w:r>
      <w:r w:rsidRPr="001B5C4A">
        <w:rPr>
          <w:rFonts w:ascii="Arial" w:hAnsi="Arial" w:cs="Arial"/>
          <w:b/>
          <w:bCs/>
        </w:rPr>
        <w:t>Procedencia del recurso de apelación y competencia de la Sala para conocerlo</w:t>
      </w:r>
    </w:p>
    <w:p w14:paraId="4BCF5922" w14:textId="77777777" w:rsidR="0092141F" w:rsidRPr="001B5C4A" w:rsidRDefault="0092141F" w:rsidP="00B6299B">
      <w:pPr>
        <w:spacing w:line="360" w:lineRule="auto"/>
        <w:jc w:val="both"/>
        <w:rPr>
          <w:rFonts w:ascii="Arial" w:eastAsia="Calibri" w:hAnsi="Arial" w:cs="Arial"/>
          <w:spacing w:val="2"/>
          <w:lang w:eastAsia="en-US"/>
        </w:rPr>
      </w:pPr>
    </w:p>
    <w:p w14:paraId="6C9B54D3" w14:textId="77777777" w:rsidR="0092141F" w:rsidRPr="001B5C4A" w:rsidRDefault="0092141F" w:rsidP="00B6299B">
      <w:pPr>
        <w:spacing w:line="360" w:lineRule="auto"/>
        <w:jc w:val="both"/>
        <w:rPr>
          <w:rFonts w:ascii="Arial" w:eastAsia="Calibri" w:hAnsi="Arial" w:cs="Arial"/>
          <w:lang w:eastAsia="en-US"/>
        </w:rPr>
      </w:pPr>
      <w:r w:rsidRPr="001B5C4A">
        <w:rPr>
          <w:rFonts w:ascii="Arial" w:eastAsia="Calibri" w:hAnsi="Arial" w:cs="Arial"/>
          <w:lang w:eastAsia="en-US"/>
        </w:rPr>
        <w:t>De conformidad con el artículo 243.1</w:t>
      </w:r>
      <w:r w:rsidRPr="001B5C4A">
        <w:rPr>
          <w:rFonts w:ascii="Arial" w:eastAsia="Calibri" w:hAnsi="Arial" w:cs="Arial"/>
          <w:vertAlign w:val="superscript"/>
          <w:lang w:eastAsia="en-US"/>
        </w:rPr>
        <w:footnoteReference w:id="5"/>
      </w:r>
      <w:r w:rsidRPr="001B5C4A">
        <w:rPr>
          <w:rFonts w:ascii="Arial" w:eastAsia="Calibri" w:hAnsi="Arial" w:cs="Arial"/>
          <w:lang w:eastAsia="en-US"/>
        </w:rPr>
        <w:t xml:space="preserve"> del CPACA, el recurso de apelación es procedente contra el auto que rechaza </w:t>
      </w:r>
      <w:r w:rsidR="00A434AA" w:rsidRPr="001B5C4A">
        <w:rPr>
          <w:rFonts w:ascii="Arial" w:eastAsia="Calibri" w:hAnsi="Arial" w:cs="Arial"/>
          <w:lang w:eastAsia="en-US"/>
        </w:rPr>
        <w:t xml:space="preserve">la </w:t>
      </w:r>
      <w:r w:rsidRPr="001B5C4A">
        <w:rPr>
          <w:rFonts w:ascii="Arial" w:eastAsia="Calibri" w:hAnsi="Arial" w:cs="Arial"/>
          <w:lang w:eastAsia="en-US"/>
        </w:rPr>
        <w:t xml:space="preserve">demanda, el cual se interpuso de manera oportuna y debidamente sustentado, en los términos del artículo 244 </w:t>
      </w:r>
      <w:r w:rsidRPr="001B5C4A">
        <w:rPr>
          <w:rFonts w:ascii="Arial" w:eastAsia="Calibri" w:hAnsi="Arial" w:cs="Arial"/>
          <w:i/>
          <w:lang w:eastAsia="en-US"/>
        </w:rPr>
        <w:t>ibídem</w:t>
      </w:r>
      <w:r w:rsidRPr="001B5C4A">
        <w:rPr>
          <w:rFonts w:ascii="Arial" w:eastAsia="Calibri" w:hAnsi="Arial" w:cs="Arial"/>
          <w:lang w:eastAsia="en-US"/>
        </w:rPr>
        <w:t xml:space="preserve">. </w:t>
      </w:r>
    </w:p>
    <w:p w14:paraId="1E121CF0" w14:textId="77777777" w:rsidR="0092141F" w:rsidRPr="001B5C4A" w:rsidRDefault="0092141F" w:rsidP="00B6299B">
      <w:pPr>
        <w:spacing w:line="360" w:lineRule="auto"/>
        <w:jc w:val="both"/>
        <w:rPr>
          <w:rFonts w:ascii="Arial" w:eastAsia="Calibri" w:hAnsi="Arial" w:cs="Arial"/>
          <w:lang w:eastAsia="en-US"/>
        </w:rPr>
      </w:pPr>
    </w:p>
    <w:p w14:paraId="37ECE773" w14:textId="77777777" w:rsidR="0092141F" w:rsidRPr="001B5C4A" w:rsidRDefault="00874768" w:rsidP="00B6299B">
      <w:pPr>
        <w:spacing w:line="360" w:lineRule="auto"/>
        <w:jc w:val="both"/>
        <w:rPr>
          <w:rFonts w:ascii="Arial" w:hAnsi="Arial" w:cs="Arial"/>
          <w:lang w:val="es-CO"/>
        </w:rPr>
      </w:pPr>
      <w:r w:rsidRPr="001B5C4A">
        <w:rPr>
          <w:rFonts w:ascii="Arial" w:hAnsi="Arial" w:cs="Arial"/>
          <w:lang w:val="es-CO"/>
        </w:rPr>
        <w:t xml:space="preserve">A la Sala, en virtud de lo dispuesto en </w:t>
      </w:r>
      <w:r w:rsidR="0092141F" w:rsidRPr="001B5C4A">
        <w:rPr>
          <w:rFonts w:ascii="Arial" w:hAnsi="Arial" w:cs="Arial"/>
          <w:lang w:val="es-CO"/>
        </w:rPr>
        <w:t>los artículos 125</w:t>
      </w:r>
      <w:r w:rsidR="0092141F" w:rsidRPr="001B5C4A">
        <w:rPr>
          <w:rFonts w:ascii="Arial" w:hAnsi="Arial" w:cs="Arial"/>
          <w:vertAlign w:val="superscript"/>
          <w:lang w:val="es-CO"/>
        </w:rPr>
        <w:footnoteReference w:id="6"/>
      </w:r>
      <w:r w:rsidR="0092141F" w:rsidRPr="001B5C4A">
        <w:rPr>
          <w:rFonts w:ascii="Arial" w:hAnsi="Arial" w:cs="Arial"/>
          <w:lang w:val="es-CO"/>
        </w:rPr>
        <w:t xml:space="preserve"> y 150</w:t>
      </w:r>
      <w:r w:rsidR="0092141F" w:rsidRPr="001B5C4A">
        <w:rPr>
          <w:rStyle w:val="Refdenotaalpie"/>
          <w:rFonts w:ascii="Arial" w:eastAsia="Calibri" w:hAnsi="Arial" w:cs="Arial"/>
          <w:spacing w:val="2"/>
          <w:lang w:eastAsia="en-US"/>
        </w:rPr>
        <w:footnoteReference w:id="7"/>
      </w:r>
      <w:r w:rsidR="0092141F" w:rsidRPr="001B5C4A">
        <w:rPr>
          <w:rFonts w:ascii="Arial" w:hAnsi="Arial" w:cs="Arial"/>
          <w:lang w:val="es-CO"/>
        </w:rPr>
        <w:t xml:space="preserve"> del CPACA, le asiste competencia funcional para resolver la alzada, por tratarse de un auto dictado por el Tribunal y, además, porque se confirmará la decisión de rechazo de</w:t>
      </w:r>
      <w:r w:rsidR="00A434AA" w:rsidRPr="001B5C4A">
        <w:rPr>
          <w:rFonts w:ascii="Arial" w:hAnsi="Arial" w:cs="Arial"/>
          <w:lang w:val="es-CO"/>
        </w:rPr>
        <w:t xml:space="preserve"> la</w:t>
      </w:r>
      <w:r w:rsidR="00B12295" w:rsidRPr="001B5C4A">
        <w:rPr>
          <w:rFonts w:ascii="Arial" w:hAnsi="Arial" w:cs="Arial"/>
          <w:lang w:val="es-CO"/>
        </w:rPr>
        <w:t xml:space="preserve"> demanda de reconvención, </w:t>
      </w:r>
      <w:r w:rsidR="0092141F" w:rsidRPr="001B5C4A">
        <w:rPr>
          <w:rFonts w:ascii="Arial" w:hAnsi="Arial" w:cs="Arial"/>
          <w:lang w:val="es-CO"/>
        </w:rPr>
        <w:t xml:space="preserve">por las razones que se expondrán más adelante.  </w:t>
      </w:r>
    </w:p>
    <w:p w14:paraId="1677EC77" w14:textId="77777777" w:rsidR="00B12295" w:rsidRPr="001B5C4A" w:rsidRDefault="00B12295" w:rsidP="00B6299B">
      <w:pPr>
        <w:pStyle w:val="Continuarlista2"/>
        <w:spacing w:after="0" w:line="360" w:lineRule="auto"/>
        <w:ind w:left="0"/>
        <w:jc w:val="both"/>
        <w:rPr>
          <w:rFonts w:ascii="Arial" w:hAnsi="Arial" w:cs="Arial"/>
          <w:lang w:val="es-CO"/>
        </w:rPr>
      </w:pPr>
    </w:p>
    <w:p w14:paraId="11B741DD" w14:textId="77777777" w:rsidR="0071317C" w:rsidRPr="001B5C4A" w:rsidRDefault="0071317C" w:rsidP="00B6299B">
      <w:pPr>
        <w:spacing w:line="360" w:lineRule="auto"/>
        <w:jc w:val="both"/>
        <w:rPr>
          <w:rFonts w:ascii="Arial" w:hAnsi="Arial" w:cs="Arial"/>
          <w:b/>
        </w:rPr>
      </w:pPr>
      <w:r w:rsidRPr="001B5C4A">
        <w:rPr>
          <w:rFonts w:ascii="Arial" w:hAnsi="Arial" w:cs="Arial"/>
          <w:b/>
        </w:rPr>
        <w:t xml:space="preserve">2. </w:t>
      </w:r>
      <w:r w:rsidR="000F4124" w:rsidRPr="001B5C4A">
        <w:rPr>
          <w:rFonts w:ascii="Arial" w:hAnsi="Arial" w:cs="Arial"/>
          <w:b/>
        </w:rPr>
        <w:t>Caso concreto</w:t>
      </w:r>
    </w:p>
    <w:p w14:paraId="3E666A57" w14:textId="77777777" w:rsidR="00177FEE" w:rsidRPr="001B5C4A" w:rsidRDefault="00177FEE" w:rsidP="00B6299B">
      <w:pPr>
        <w:spacing w:line="360" w:lineRule="auto"/>
        <w:jc w:val="both"/>
        <w:rPr>
          <w:rFonts w:ascii="Arial" w:hAnsi="Arial" w:cs="Arial"/>
          <w:b/>
        </w:rPr>
      </w:pPr>
    </w:p>
    <w:p w14:paraId="7A0A6824" w14:textId="77777777" w:rsidR="009E444E" w:rsidRPr="001B5C4A" w:rsidRDefault="00DC2925" w:rsidP="00B6299B">
      <w:pPr>
        <w:pStyle w:val="NormalWeb"/>
        <w:spacing w:before="0" w:beforeAutospacing="0" w:after="0" w:afterAutospacing="0" w:line="360" w:lineRule="auto"/>
        <w:jc w:val="both"/>
        <w:rPr>
          <w:rFonts w:ascii="Arial" w:hAnsi="Arial" w:cs="Arial"/>
        </w:rPr>
      </w:pPr>
      <w:r w:rsidRPr="001B5C4A">
        <w:rPr>
          <w:rFonts w:ascii="Arial" w:hAnsi="Arial" w:cs="Arial"/>
        </w:rPr>
        <w:t xml:space="preserve">Con el fin de abordar los argumentos expuestos por Inor contra el auto proferido por el Tribunal Administrativo de Bolívar, mediante el cual se rechazó por extemporánea la demanda de reconvención, es necesario precisar que esta figura procesal se </w:t>
      </w:r>
      <w:r w:rsidRPr="001B5C4A">
        <w:rPr>
          <w:rFonts w:ascii="Arial" w:hAnsi="Arial" w:cs="Arial"/>
        </w:rPr>
        <w:lastRenderedPageBreak/>
        <w:t>encuentra prevista en los artículos 172 y 177 del CPACA, normas que, en su orden, disponen lo siguiente:</w:t>
      </w:r>
    </w:p>
    <w:p w14:paraId="7C4A136D" w14:textId="77777777" w:rsidR="00DC2925" w:rsidRPr="001B5C4A" w:rsidRDefault="00DC2925" w:rsidP="00B6299B">
      <w:pPr>
        <w:pStyle w:val="NormalWeb"/>
        <w:spacing w:before="0" w:beforeAutospacing="0" w:after="0" w:afterAutospacing="0" w:line="360" w:lineRule="auto"/>
        <w:jc w:val="both"/>
        <w:rPr>
          <w:rFonts w:ascii="Arial" w:hAnsi="Arial" w:cs="Arial"/>
        </w:rPr>
      </w:pPr>
    </w:p>
    <w:p w14:paraId="40D84198" w14:textId="77777777" w:rsidR="00DC2925" w:rsidRPr="001B5C4A" w:rsidRDefault="00DC2925" w:rsidP="00B6299B">
      <w:pPr>
        <w:pStyle w:val="NormalWeb"/>
        <w:spacing w:before="0" w:beforeAutospacing="0" w:after="0" w:afterAutospacing="0" w:line="276" w:lineRule="auto"/>
        <w:jc w:val="both"/>
        <w:rPr>
          <w:rFonts w:ascii="Arial" w:hAnsi="Arial" w:cs="Arial"/>
          <w:b/>
          <w:i/>
          <w:u w:val="single"/>
        </w:rPr>
      </w:pPr>
      <w:bookmarkStart w:id="0" w:name="172"/>
      <w:r w:rsidRPr="001B5C4A">
        <w:rPr>
          <w:rFonts w:ascii="Arial" w:hAnsi="Arial" w:cs="Arial"/>
          <w:bCs/>
          <w:i/>
        </w:rPr>
        <w:t>“ARTÍCULO 172.</w:t>
      </w:r>
      <w:r w:rsidRPr="001B5C4A">
        <w:rPr>
          <w:rFonts w:ascii="Arial" w:hAnsi="Arial" w:cs="Arial"/>
          <w:b/>
          <w:bCs/>
          <w:i/>
        </w:rPr>
        <w:t xml:space="preserve"> </w:t>
      </w:r>
      <w:bookmarkEnd w:id="0"/>
      <w:r w:rsidRPr="001B5C4A">
        <w:rPr>
          <w:rFonts w:ascii="Arial" w:hAnsi="Arial" w:cs="Arial"/>
          <w:i/>
        </w:rPr>
        <w:t xml:space="preserve">De la demanda se correrá traslado al demandado, al Ministerio Público y a los sujetos que, según la demanda o las actuaciones acusadas, tengan interés directo en el resultado del proceso, </w:t>
      </w:r>
      <w:r w:rsidRPr="001B5C4A">
        <w:rPr>
          <w:rFonts w:ascii="Arial" w:hAnsi="Arial" w:cs="Arial"/>
          <w:b/>
          <w:i/>
        </w:rPr>
        <w:t>por el término de treinta (30) días, plazo que comenzará a correr de conformidad con lo previsto en los artículos </w:t>
      </w:r>
      <w:hyperlink r:id="rId11" w:anchor="199" w:history="1">
        <w:r w:rsidRPr="001B5C4A">
          <w:rPr>
            <w:rStyle w:val="Hipervnculo"/>
            <w:rFonts w:ascii="Arial" w:hAnsi="Arial" w:cs="Arial"/>
            <w:b/>
            <w:i/>
            <w:color w:val="auto"/>
            <w:u w:val="none"/>
          </w:rPr>
          <w:t>199</w:t>
        </w:r>
      </w:hyperlink>
      <w:r w:rsidRPr="001B5C4A">
        <w:rPr>
          <w:rFonts w:ascii="Arial" w:hAnsi="Arial" w:cs="Arial"/>
          <w:b/>
          <w:i/>
        </w:rPr>
        <w:t> y </w:t>
      </w:r>
      <w:hyperlink r:id="rId12" w:anchor="200" w:history="1">
        <w:r w:rsidRPr="001B5C4A">
          <w:rPr>
            <w:rStyle w:val="Hipervnculo"/>
            <w:rFonts w:ascii="Arial" w:hAnsi="Arial" w:cs="Arial"/>
            <w:b/>
            <w:i/>
            <w:color w:val="auto"/>
            <w:u w:val="none"/>
          </w:rPr>
          <w:t>200</w:t>
        </w:r>
      </w:hyperlink>
      <w:r w:rsidRPr="001B5C4A">
        <w:rPr>
          <w:rFonts w:ascii="Arial" w:hAnsi="Arial" w:cs="Arial"/>
          <w:b/>
          <w:i/>
        </w:rPr>
        <w:t> de este Código y dentro del cual deberán</w:t>
      </w:r>
      <w:r w:rsidRPr="001B5C4A">
        <w:rPr>
          <w:rFonts w:ascii="Arial" w:hAnsi="Arial" w:cs="Arial"/>
          <w:i/>
        </w:rPr>
        <w:t xml:space="preserve"> contestar la demanda, proponer excepciones, solicitar pruebas, llamar en garantía, </w:t>
      </w:r>
      <w:r w:rsidRPr="001B5C4A">
        <w:rPr>
          <w:rFonts w:ascii="Arial" w:hAnsi="Arial" w:cs="Arial"/>
          <w:b/>
          <w:i/>
          <w:u w:val="single"/>
        </w:rPr>
        <w:t>y en su caso, presentar demanda de reconvención</w:t>
      </w:r>
      <w:r w:rsidRPr="001B5C4A">
        <w:rPr>
          <w:rFonts w:ascii="Arial" w:hAnsi="Arial" w:cs="Arial"/>
          <w:i/>
        </w:rPr>
        <w:t>.</w:t>
      </w:r>
    </w:p>
    <w:p w14:paraId="43594DF1" w14:textId="77777777" w:rsidR="00DC2925" w:rsidRPr="001B5C4A" w:rsidRDefault="00DC2925" w:rsidP="00B6299B">
      <w:pPr>
        <w:pStyle w:val="NormalWeb"/>
        <w:spacing w:before="0" w:beforeAutospacing="0" w:after="0" w:afterAutospacing="0" w:line="276" w:lineRule="auto"/>
        <w:jc w:val="both"/>
        <w:rPr>
          <w:rFonts w:ascii="Arial" w:hAnsi="Arial" w:cs="Arial"/>
          <w:i/>
        </w:rPr>
      </w:pPr>
      <w:bookmarkStart w:id="1" w:name="177"/>
      <w:r w:rsidRPr="001B5C4A">
        <w:rPr>
          <w:rFonts w:ascii="Arial" w:hAnsi="Arial" w:cs="Arial"/>
          <w:bCs/>
          <w:i/>
        </w:rPr>
        <w:t>“ARTÍCULO 177</w:t>
      </w:r>
      <w:r w:rsidRPr="001B5C4A">
        <w:rPr>
          <w:rFonts w:ascii="Arial" w:hAnsi="Arial" w:cs="Arial"/>
          <w:b/>
          <w:bCs/>
          <w:i/>
        </w:rPr>
        <w:t xml:space="preserve">. </w:t>
      </w:r>
      <w:bookmarkEnd w:id="1"/>
      <w:r w:rsidRPr="001B5C4A">
        <w:rPr>
          <w:rFonts w:ascii="Arial" w:hAnsi="Arial" w:cs="Arial"/>
          <w:b/>
          <w:i/>
        </w:rPr>
        <w:t>Dentro del término de traslado de la admisión de la demanda o de su reforma, el demandado podrá proponer la de reconvención contra uno o varios de los demandantes</w:t>
      </w:r>
      <w:r w:rsidRPr="001B5C4A">
        <w:rPr>
          <w:rFonts w:ascii="Arial" w:hAnsi="Arial" w:cs="Arial"/>
          <w:i/>
        </w:rPr>
        <w:t>, siempre que sea de competencia del mismo juez y no esté sometida a trámite especial. Sin embargo, se podrá reconvenir sin consideración a la cuantía y al factor territorial.</w:t>
      </w:r>
    </w:p>
    <w:p w14:paraId="540FFBB4" w14:textId="77777777" w:rsidR="00DC2925" w:rsidRPr="001B5C4A" w:rsidRDefault="00DC2925" w:rsidP="00B6299B">
      <w:pPr>
        <w:pStyle w:val="NormalWeb"/>
        <w:spacing w:before="0" w:beforeAutospacing="0" w:after="0" w:afterAutospacing="0" w:line="276" w:lineRule="auto"/>
        <w:jc w:val="both"/>
        <w:rPr>
          <w:rFonts w:ascii="Arial" w:hAnsi="Arial" w:cs="Arial"/>
        </w:rPr>
      </w:pPr>
      <w:r w:rsidRPr="001B5C4A">
        <w:rPr>
          <w:rFonts w:ascii="Arial" w:hAnsi="Arial" w:cs="Arial"/>
          <w:i/>
        </w:rPr>
        <w:t xml:space="preserve">“Vencido el término del traslado de la demanda inicial a todos los demandados, se correrá traslado de la admisión de la demanda de reconvención al demandante por el mismo término de la inicial, mediante notificación por estado” </w:t>
      </w:r>
      <w:r w:rsidRPr="001B5C4A">
        <w:rPr>
          <w:rFonts w:ascii="Arial" w:hAnsi="Arial" w:cs="Arial"/>
        </w:rPr>
        <w:t>(se destaca).</w:t>
      </w:r>
    </w:p>
    <w:p w14:paraId="04380A7A" w14:textId="77777777" w:rsidR="00DC2925" w:rsidRPr="001B5C4A" w:rsidRDefault="00DC2925" w:rsidP="00B6299B">
      <w:pPr>
        <w:pStyle w:val="NormalWeb"/>
        <w:spacing w:before="0" w:beforeAutospacing="0" w:after="0" w:afterAutospacing="0" w:line="360" w:lineRule="auto"/>
        <w:jc w:val="both"/>
        <w:rPr>
          <w:rFonts w:ascii="Arial" w:hAnsi="Arial" w:cs="Arial"/>
        </w:rPr>
      </w:pPr>
      <w:r w:rsidRPr="001B5C4A">
        <w:rPr>
          <w:rFonts w:ascii="Arial" w:hAnsi="Arial" w:cs="Arial"/>
        </w:rPr>
        <w:t>De igual manera, resulta conveniente señalar que la demanda de reconvención es, por su naturaleza, una actuación autónoma que no tiene como finalidad enervar las pretensiones de la demanda principal, sino que está dirigida a obtener el reconocimiento de peticiones diferentes, de ahí que no sea consecuencia de aquella</w:t>
      </w:r>
      <w:r w:rsidRPr="001B5C4A">
        <w:rPr>
          <w:rStyle w:val="Refdenotaalpie"/>
          <w:rFonts w:ascii="Arial" w:hAnsi="Arial" w:cs="Arial"/>
        </w:rPr>
        <w:footnoteReference w:id="8"/>
      </w:r>
      <w:r w:rsidRPr="001B5C4A">
        <w:rPr>
          <w:rFonts w:ascii="Arial" w:hAnsi="Arial" w:cs="Arial"/>
        </w:rPr>
        <w:t>.</w:t>
      </w:r>
    </w:p>
    <w:p w14:paraId="74F694E0" w14:textId="77777777" w:rsidR="00DC2925" w:rsidRPr="001B5C4A" w:rsidRDefault="00DC2925" w:rsidP="00B6299B">
      <w:pPr>
        <w:pStyle w:val="NormalWeb"/>
        <w:spacing w:before="0" w:beforeAutospacing="0" w:after="0" w:afterAutospacing="0" w:line="360" w:lineRule="auto"/>
        <w:jc w:val="both"/>
        <w:rPr>
          <w:rFonts w:ascii="Arial" w:hAnsi="Arial" w:cs="Arial"/>
        </w:rPr>
      </w:pPr>
    </w:p>
    <w:p w14:paraId="32BA5C2C" w14:textId="77777777" w:rsidR="00144A1C" w:rsidRPr="001B5C4A" w:rsidRDefault="00DC2925" w:rsidP="00B6299B">
      <w:pPr>
        <w:pStyle w:val="NormalWeb"/>
        <w:spacing w:before="0" w:beforeAutospacing="0" w:after="0" w:afterAutospacing="0" w:line="360" w:lineRule="auto"/>
        <w:jc w:val="both"/>
        <w:rPr>
          <w:rFonts w:ascii="Arial" w:hAnsi="Arial" w:cs="Arial"/>
        </w:rPr>
      </w:pPr>
      <w:r w:rsidRPr="001B5C4A">
        <w:rPr>
          <w:rFonts w:ascii="Arial" w:hAnsi="Arial" w:cs="Arial"/>
        </w:rPr>
        <w:t xml:space="preserve">Por tratarse de una actuación autónoma, resulta lógico concluir que la demanda de reconvención está sujeta al cumplimiento de ciertos requisitos para su admisión, entre los cuales se destacan la observancia de presupuestos procesales como la caducidad, así como </w:t>
      </w:r>
      <w:r w:rsidR="00A434AA" w:rsidRPr="001B5C4A">
        <w:rPr>
          <w:rFonts w:ascii="Arial" w:hAnsi="Arial" w:cs="Arial"/>
        </w:rPr>
        <w:t>su</w:t>
      </w:r>
      <w:r w:rsidRPr="001B5C4A">
        <w:rPr>
          <w:rFonts w:ascii="Arial" w:hAnsi="Arial" w:cs="Arial"/>
        </w:rPr>
        <w:t xml:space="preserve"> presentación oportuna, es decir, dentro del término de traslado de la demanda inicial, según se advierte de las disposiciones normativas transcritas en precedencia.</w:t>
      </w:r>
    </w:p>
    <w:p w14:paraId="326ED522" w14:textId="77777777" w:rsidR="00144A1C" w:rsidRPr="001B5C4A" w:rsidRDefault="00144A1C" w:rsidP="00B6299B">
      <w:pPr>
        <w:pStyle w:val="NormalWeb"/>
        <w:spacing w:before="0" w:beforeAutospacing="0" w:after="0" w:afterAutospacing="0" w:line="360" w:lineRule="auto"/>
        <w:jc w:val="both"/>
        <w:rPr>
          <w:rFonts w:ascii="Arial" w:hAnsi="Arial" w:cs="Arial"/>
        </w:rPr>
      </w:pPr>
    </w:p>
    <w:p w14:paraId="60F34853" w14:textId="77777777" w:rsidR="00DC2925" w:rsidRPr="001B5C4A" w:rsidRDefault="00144A1C" w:rsidP="00B6299B">
      <w:pPr>
        <w:pStyle w:val="NormalWeb"/>
        <w:spacing w:before="0" w:beforeAutospacing="0" w:after="0" w:afterAutospacing="0" w:line="360" w:lineRule="auto"/>
        <w:jc w:val="both"/>
        <w:rPr>
          <w:rFonts w:ascii="Arial" w:hAnsi="Arial" w:cs="Arial"/>
        </w:rPr>
      </w:pPr>
      <w:r w:rsidRPr="001B5C4A">
        <w:rPr>
          <w:rFonts w:ascii="Arial" w:hAnsi="Arial" w:cs="Arial"/>
        </w:rPr>
        <w:t>Bajo esta lógica y toda vez que el fundamento del recurso de apelación tiene que ver con el cómputo de términos realizado por el Tribunal</w:t>
      </w:r>
      <w:r w:rsidR="00DC2925" w:rsidRPr="001B5C4A">
        <w:rPr>
          <w:rFonts w:ascii="Arial" w:hAnsi="Arial" w:cs="Arial"/>
        </w:rPr>
        <w:t xml:space="preserve"> </w:t>
      </w:r>
      <w:r w:rsidRPr="001B5C4A">
        <w:rPr>
          <w:rFonts w:ascii="Arial" w:hAnsi="Arial" w:cs="Arial"/>
        </w:rPr>
        <w:t>y la aplicación de las normas atinentes a este preciso tema, la Sala procede a efectuar el estudio pertinente, en orden a verificar si la demanda de reconvención fue presentada oportunamente o no.</w:t>
      </w:r>
    </w:p>
    <w:p w14:paraId="702A8339" w14:textId="77777777" w:rsidR="00DC2925" w:rsidRPr="001B5C4A" w:rsidRDefault="00DC2925" w:rsidP="00B6299B">
      <w:pPr>
        <w:pStyle w:val="NormalWeb"/>
        <w:spacing w:before="0" w:beforeAutospacing="0" w:after="0" w:afterAutospacing="0" w:line="360" w:lineRule="auto"/>
        <w:jc w:val="both"/>
        <w:rPr>
          <w:rFonts w:ascii="Arial" w:hAnsi="Arial" w:cs="Arial"/>
        </w:rPr>
      </w:pPr>
    </w:p>
    <w:p w14:paraId="29F91134" w14:textId="77777777" w:rsidR="00DC2925" w:rsidRPr="001B5C4A" w:rsidRDefault="005E6B65" w:rsidP="00B6299B">
      <w:pPr>
        <w:pStyle w:val="NormalWeb"/>
        <w:spacing w:before="0" w:beforeAutospacing="0" w:after="0" w:afterAutospacing="0" w:line="360" w:lineRule="auto"/>
        <w:jc w:val="both"/>
        <w:rPr>
          <w:rFonts w:ascii="Arial" w:hAnsi="Arial" w:cs="Arial"/>
        </w:rPr>
      </w:pPr>
      <w:r w:rsidRPr="001B5C4A">
        <w:rPr>
          <w:rFonts w:ascii="Arial" w:hAnsi="Arial" w:cs="Arial"/>
        </w:rPr>
        <w:lastRenderedPageBreak/>
        <w:t>La Sala parte por señalar que el auto admisorio de la demanda fue notificado por correo electrónico a las partes el 14 de julio de 2014</w:t>
      </w:r>
      <w:r w:rsidRPr="001B5C4A">
        <w:rPr>
          <w:rStyle w:val="Refdenotaalpie"/>
          <w:rFonts w:ascii="Arial" w:hAnsi="Arial" w:cs="Arial"/>
        </w:rPr>
        <w:footnoteReference w:id="9"/>
      </w:r>
      <w:r w:rsidRPr="001B5C4A">
        <w:rPr>
          <w:rFonts w:ascii="Arial" w:hAnsi="Arial" w:cs="Arial"/>
        </w:rPr>
        <w:t xml:space="preserve">, de ahí que el término de 25 días al que se refiere el </w:t>
      </w:r>
      <w:r w:rsidR="0023097C" w:rsidRPr="001B5C4A">
        <w:rPr>
          <w:rFonts w:ascii="Arial" w:hAnsi="Arial" w:cs="Arial"/>
        </w:rPr>
        <w:t>artículo 199 del CPACA,  modificado por el artículo 612 del Código General del Proceso, venció el 20 de agosto del mismo año.</w:t>
      </w:r>
    </w:p>
    <w:p w14:paraId="5315B628" w14:textId="77777777" w:rsidR="0023097C" w:rsidRPr="001B5C4A" w:rsidRDefault="0023097C" w:rsidP="00B6299B">
      <w:pPr>
        <w:pStyle w:val="NormalWeb"/>
        <w:spacing w:before="0" w:beforeAutospacing="0" w:after="0" w:afterAutospacing="0" w:line="360" w:lineRule="auto"/>
        <w:jc w:val="both"/>
        <w:rPr>
          <w:rFonts w:ascii="Arial" w:hAnsi="Arial" w:cs="Arial"/>
        </w:rPr>
      </w:pPr>
    </w:p>
    <w:p w14:paraId="02F9F434" w14:textId="77777777" w:rsidR="0023097C" w:rsidRPr="001B5C4A" w:rsidRDefault="0023097C" w:rsidP="00B6299B">
      <w:pPr>
        <w:pStyle w:val="NormalWeb"/>
        <w:spacing w:before="0" w:beforeAutospacing="0" w:after="0" w:afterAutospacing="0" w:line="360" w:lineRule="auto"/>
        <w:jc w:val="both"/>
        <w:rPr>
          <w:rFonts w:ascii="Arial" w:hAnsi="Arial" w:cs="Arial"/>
        </w:rPr>
      </w:pPr>
      <w:r w:rsidRPr="001B5C4A">
        <w:rPr>
          <w:rFonts w:ascii="Arial" w:hAnsi="Arial" w:cs="Arial"/>
        </w:rPr>
        <w:t>Lo anterior significa que el término de traslado para contestar la demanda, el cual es de 30 días, según lo dispuesto en el artículo 172 del CPACA, corrió desde el 21 de agosto de 2014 hasta el 1º de octubre del mismo año.</w:t>
      </w:r>
    </w:p>
    <w:p w14:paraId="4A1A0FEF" w14:textId="77777777" w:rsidR="0023097C" w:rsidRPr="001B5C4A" w:rsidRDefault="0023097C" w:rsidP="00B6299B">
      <w:pPr>
        <w:pStyle w:val="NormalWeb"/>
        <w:spacing w:before="0" w:beforeAutospacing="0" w:after="0" w:afterAutospacing="0" w:line="360" w:lineRule="auto"/>
        <w:jc w:val="both"/>
        <w:rPr>
          <w:rFonts w:ascii="Arial" w:hAnsi="Arial" w:cs="Arial"/>
        </w:rPr>
      </w:pPr>
    </w:p>
    <w:p w14:paraId="64E221A3" w14:textId="77777777" w:rsidR="0023097C" w:rsidRPr="001B5C4A" w:rsidRDefault="0023097C" w:rsidP="00B6299B">
      <w:pPr>
        <w:pStyle w:val="NormalWeb"/>
        <w:spacing w:before="0" w:beforeAutospacing="0" w:after="0" w:afterAutospacing="0" w:line="360" w:lineRule="auto"/>
        <w:jc w:val="both"/>
        <w:rPr>
          <w:rFonts w:ascii="Arial" w:hAnsi="Arial" w:cs="Arial"/>
        </w:rPr>
      </w:pPr>
      <w:r w:rsidRPr="001B5C4A">
        <w:rPr>
          <w:rFonts w:ascii="Arial" w:hAnsi="Arial" w:cs="Arial"/>
        </w:rPr>
        <w:t>La contestación de la demanda y la demanda de reconvención fueron presentadas el 3 de octubre de 2014</w:t>
      </w:r>
      <w:r w:rsidRPr="001B5C4A">
        <w:rPr>
          <w:rStyle w:val="Refdenotaalpie"/>
          <w:rFonts w:ascii="Arial" w:hAnsi="Arial" w:cs="Arial"/>
        </w:rPr>
        <w:footnoteReference w:id="10"/>
      </w:r>
      <w:r w:rsidRPr="001B5C4A">
        <w:rPr>
          <w:rFonts w:ascii="Arial" w:hAnsi="Arial" w:cs="Arial"/>
        </w:rPr>
        <w:t>, esto es, por fuera del término de traslado de la demanda, como lo indicó el Tribunal de primera instancia.</w:t>
      </w:r>
    </w:p>
    <w:p w14:paraId="52314494" w14:textId="77777777" w:rsidR="0023097C" w:rsidRPr="001B5C4A" w:rsidRDefault="0023097C" w:rsidP="00B6299B">
      <w:pPr>
        <w:pStyle w:val="NormalWeb"/>
        <w:spacing w:before="0" w:beforeAutospacing="0" w:after="0" w:afterAutospacing="0" w:line="360" w:lineRule="auto"/>
        <w:jc w:val="both"/>
        <w:rPr>
          <w:rFonts w:ascii="Arial" w:hAnsi="Arial" w:cs="Arial"/>
        </w:rPr>
      </w:pPr>
    </w:p>
    <w:p w14:paraId="4720BDDA" w14:textId="77777777" w:rsidR="0023097C" w:rsidRPr="001B5C4A" w:rsidRDefault="0023097C" w:rsidP="00B6299B">
      <w:pPr>
        <w:pStyle w:val="NormalWeb"/>
        <w:spacing w:before="0" w:beforeAutospacing="0" w:after="0" w:afterAutospacing="0" w:line="360" w:lineRule="auto"/>
        <w:jc w:val="both"/>
        <w:rPr>
          <w:rFonts w:ascii="Arial" w:hAnsi="Arial" w:cs="Arial"/>
        </w:rPr>
      </w:pPr>
      <w:r w:rsidRPr="001B5C4A">
        <w:rPr>
          <w:rFonts w:ascii="Arial" w:hAnsi="Arial" w:cs="Arial"/>
        </w:rPr>
        <w:t xml:space="preserve">Un vez efectuado el cómputo de los términos para la contestación de la demanda y la formulación de la demanda de reconvención, la Sala evidencia que no le asiste razón al recurrente al sostener que se incurrió en un cálculo indebido, toda vez que </w:t>
      </w:r>
      <w:r w:rsidR="00ED77EE" w:rsidRPr="001B5C4A">
        <w:rPr>
          <w:rFonts w:ascii="Arial" w:hAnsi="Arial" w:cs="Arial"/>
        </w:rPr>
        <w:t xml:space="preserve">la disposición normativa alegada no resultaba aplicable a la controversia, </w:t>
      </w:r>
      <w:r w:rsidR="006B7352" w:rsidRPr="001B5C4A">
        <w:rPr>
          <w:rFonts w:ascii="Arial" w:hAnsi="Arial" w:cs="Arial"/>
        </w:rPr>
        <w:t>al</w:t>
      </w:r>
      <w:r w:rsidR="00ED77EE" w:rsidRPr="001B5C4A">
        <w:rPr>
          <w:rFonts w:ascii="Arial" w:hAnsi="Arial" w:cs="Arial"/>
        </w:rPr>
        <w:t xml:space="preserve"> haber sido modificada por una ley posterior.</w:t>
      </w:r>
    </w:p>
    <w:p w14:paraId="4E20371A" w14:textId="77777777" w:rsidR="00ED77EE" w:rsidRPr="001B5C4A" w:rsidRDefault="00ED77EE" w:rsidP="00B6299B">
      <w:pPr>
        <w:pStyle w:val="NormalWeb"/>
        <w:spacing w:before="0" w:beforeAutospacing="0" w:after="0" w:afterAutospacing="0" w:line="360" w:lineRule="auto"/>
        <w:jc w:val="both"/>
        <w:rPr>
          <w:rFonts w:ascii="Arial" w:hAnsi="Arial" w:cs="Arial"/>
        </w:rPr>
      </w:pPr>
    </w:p>
    <w:p w14:paraId="44EEB14B" w14:textId="77777777" w:rsidR="00ED77EE" w:rsidRPr="001B5C4A" w:rsidRDefault="00ED77EE" w:rsidP="00B6299B">
      <w:pPr>
        <w:pStyle w:val="NormalWeb"/>
        <w:spacing w:before="0" w:beforeAutospacing="0" w:after="0" w:afterAutospacing="0" w:line="360" w:lineRule="auto"/>
        <w:jc w:val="both"/>
        <w:rPr>
          <w:rFonts w:ascii="Arial" w:hAnsi="Arial" w:cs="Arial"/>
        </w:rPr>
      </w:pPr>
      <w:r w:rsidRPr="001B5C4A">
        <w:rPr>
          <w:rFonts w:ascii="Arial" w:hAnsi="Arial" w:cs="Arial"/>
        </w:rPr>
        <w:t>En efecto, la soc</w:t>
      </w:r>
      <w:r w:rsidR="00B12295" w:rsidRPr="001B5C4A">
        <w:rPr>
          <w:rFonts w:ascii="Arial" w:hAnsi="Arial" w:cs="Arial"/>
        </w:rPr>
        <w:t>iedad demandada afirmó que</w:t>
      </w:r>
      <w:r w:rsidRPr="001B5C4A">
        <w:rPr>
          <w:rFonts w:ascii="Arial" w:hAnsi="Arial" w:cs="Arial"/>
        </w:rPr>
        <w:t xml:space="preserve"> debió </w:t>
      </w:r>
      <w:r w:rsidR="00B12295" w:rsidRPr="001B5C4A">
        <w:rPr>
          <w:rFonts w:ascii="Arial" w:hAnsi="Arial" w:cs="Arial"/>
        </w:rPr>
        <w:t>aplicarse</w:t>
      </w:r>
      <w:r w:rsidR="006B7352" w:rsidRPr="001B5C4A">
        <w:rPr>
          <w:rFonts w:ascii="Arial" w:hAnsi="Arial" w:cs="Arial"/>
        </w:rPr>
        <w:t xml:space="preserve"> el</w:t>
      </w:r>
      <w:r w:rsidRPr="001B5C4A">
        <w:rPr>
          <w:rFonts w:ascii="Arial" w:hAnsi="Arial" w:cs="Arial"/>
        </w:rPr>
        <w:t xml:space="preserve"> contenido original del artículo 199 de la Ley 1437, a cuyo tenor:</w:t>
      </w:r>
    </w:p>
    <w:p w14:paraId="141463B7" w14:textId="77777777" w:rsidR="00ED77EE" w:rsidRPr="001B5C4A" w:rsidRDefault="00ED77EE" w:rsidP="00B6299B">
      <w:pPr>
        <w:pStyle w:val="NormalWeb"/>
        <w:spacing w:before="0" w:beforeAutospacing="0" w:after="0" w:afterAutospacing="0" w:line="360" w:lineRule="auto"/>
        <w:jc w:val="both"/>
        <w:rPr>
          <w:rFonts w:ascii="Arial" w:hAnsi="Arial" w:cs="Arial"/>
        </w:rPr>
      </w:pPr>
    </w:p>
    <w:p w14:paraId="6D42124F" w14:textId="77777777" w:rsidR="00ED77EE" w:rsidRPr="001B5C4A" w:rsidRDefault="00ED77EE" w:rsidP="00B6299B">
      <w:pPr>
        <w:pStyle w:val="NormalWeb"/>
        <w:spacing w:before="0" w:beforeAutospacing="0" w:after="0" w:afterAutospacing="0" w:line="276" w:lineRule="auto"/>
        <w:jc w:val="both"/>
        <w:rPr>
          <w:rFonts w:ascii="Arial" w:hAnsi="Arial" w:cs="Arial"/>
          <w:i/>
        </w:rPr>
      </w:pPr>
      <w:r w:rsidRPr="001B5C4A">
        <w:rPr>
          <w:rFonts w:ascii="Arial" w:hAnsi="Arial" w:cs="Arial"/>
        </w:rPr>
        <w:t>“</w:t>
      </w:r>
      <w:r w:rsidRPr="001B5C4A">
        <w:rPr>
          <w:rFonts w:ascii="Arial" w:hAnsi="Arial" w:cs="Arial"/>
          <w:i/>
        </w:rPr>
        <w:t>El auto admisorio de la demanda y el mandamiento de pago contra las entidades públicas y las personas privadas que ejerzan funciones propias del Estado se deben notificar personalmente a sus representantes legales o a quienes estos hayan delegado la facultad de recibir notificaciones, o directamente a las personas naturales, según el caso, y al Ministerio Público, mediante mensaje dirigido al buzón electrónico para notificaciones judiciales a que se refiere el artículo </w:t>
      </w:r>
      <w:hyperlink r:id="rId13" w:anchor="197" w:history="1">
        <w:r w:rsidRPr="001B5C4A">
          <w:rPr>
            <w:rStyle w:val="Hipervnculo"/>
            <w:rFonts w:ascii="Arial" w:hAnsi="Arial" w:cs="Arial"/>
            <w:i/>
            <w:color w:val="auto"/>
          </w:rPr>
          <w:t>197</w:t>
        </w:r>
      </w:hyperlink>
      <w:r w:rsidRPr="001B5C4A">
        <w:rPr>
          <w:rFonts w:ascii="Arial" w:hAnsi="Arial" w:cs="Arial"/>
          <w:i/>
        </w:rPr>
        <w:t> de este Código.</w:t>
      </w:r>
    </w:p>
    <w:p w14:paraId="1AC54EB2" w14:textId="77777777" w:rsidR="00ED77EE" w:rsidRPr="001B5C4A" w:rsidRDefault="00ED77EE" w:rsidP="00B6299B">
      <w:pPr>
        <w:pStyle w:val="NormalWeb"/>
        <w:spacing w:before="0" w:beforeAutospacing="0" w:after="0" w:afterAutospacing="0" w:line="276" w:lineRule="auto"/>
        <w:jc w:val="both"/>
        <w:rPr>
          <w:rFonts w:ascii="Arial" w:hAnsi="Arial" w:cs="Arial"/>
          <w:i/>
        </w:rPr>
      </w:pPr>
    </w:p>
    <w:p w14:paraId="1E68CF05" w14:textId="77777777" w:rsidR="00ED77EE" w:rsidRPr="001B5C4A" w:rsidRDefault="00ED77EE" w:rsidP="00B6299B">
      <w:pPr>
        <w:pStyle w:val="NormalWeb"/>
        <w:spacing w:before="0" w:beforeAutospacing="0" w:after="0" w:afterAutospacing="0" w:line="276" w:lineRule="auto"/>
        <w:jc w:val="both"/>
        <w:rPr>
          <w:rFonts w:ascii="Arial" w:hAnsi="Arial" w:cs="Arial"/>
          <w:i/>
        </w:rPr>
      </w:pPr>
      <w:r w:rsidRPr="001B5C4A">
        <w:rPr>
          <w:rFonts w:ascii="Arial" w:hAnsi="Arial" w:cs="Arial"/>
          <w:i/>
        </w:rPr>
        <w:t>“De esta misma forma se deberá notificar el auto admisorio de la demanda a los particulares inscritos en el registro mercantil en la dirección electrónica por ellos dispuesta para recibir notificaciones judiciales.</w:t>
      </w:r>
    </w:p>
    <w:p w14:paraId="35DAA9D1" w14:textId="77777777" w:rsidR="00ED77EE" w:rsidRPr="001B5C4A" w:rsidRDefault="00ED77EE" w:rsidP="00B6299B">
      <w:pPr>
        <w:pStyle w:val="NormalWeb"/>
        <w:spacing w:before="0" w:beforeAutospacing="0" w:after="0" w:afterAutospacing="0" w:line="276" w:lineRule="auto"/>
        <w:jc w:val="both"/>
        <w:rPr>
          <w:rFonts w:ascii="Arial" w:hAnsi="Arial" w:cs="Arial"/>
          <w:i/>
        </w:rPr>
      </w:pPr>
    </w:p>
    <w:p w14:paraId="20B176D8" w14:textId="77777777" w:rsidR="00ED77EE" w:rsidRPr="001B5C4A" w:rsidRDefault="00ED77EE" w:rsidP="00B6299B">
      <w:pPr>
        <w:pStyle w:val="NormalWeb"/>
        <w:spacing w:before="0" w:beforeAutospacing="0" w:after="0" w:afterAutospacing="0" w:line="276" w:lineRule="auto"/>
        <w:jc w:val="both"/>
        <w:rPr>
          <w:rFonts w:ascii="Arial" w:hAnsi="Arial" w:cs="Arial"/>
          <w:i/>
        </w:rPr>
      </w:pPr>
      <w:r w:rsidRPr="001B5C4A">
        <w:rPr>
          <w:rFonts w:ascii="Arial" w:hAnsi="Arial" w:cs="Arial"/>
          <w:i/>
        </w:rPr>
        <w:t>“El mensaje deberá identificar la notificación que se realiza y contener copia de la providencia a notificar.</w:t>
      </w:r>
    </w:p>
    <w:p w14:paraId="5328ED9F" w14:textId="77777777" w:rsidR="00ED77EE" w:rsidRPr="001B5C4A" w:rsidRDefault="00ED77EE" w:rsidP="00B6299B">
      <w:pPr>
        <w:pStyle w:val="NormalWeb"/>
        <w:spacing w:before="0" w:beforeAutospacing="0" w:after="0" w:afterAutospacing="0" w:line="276" w:lineRule="auto"/>
        <w:jc w:val="both"/>
        <w:rPr>
          <w:rFonts w:ascii="Arial" w:hAnsi="Arial" w:cs="Arial"/>
          <w:i/>
        </w:rPr>
      </w:pPr>
    </w:p>
    <w:p w14:paraId="6430CC98" w14:textId="77777777" w:rsidR="00ED77EE" w:rsidRPr="001B5C4A" w:rsidRDefault="00ED77EE" w:rsidP="00B6299B">
      <w:pPr>
        <w:pStyle w:val="NormalWeb"/>
        <w:spacing w:before="0" w:beforeAutospacing="0" w:after="0" w:afterAutospacing="0" w:line="276" w:lineRule="auto"/>
        <w:jc w:val="both"/>
        <w:rPr>
          <w:rFonts w:ascii="Arial" w:hAnsi="Arial" w:cs="Arial"/>
          <w:i/>
        </w:rPr>
      </w:pPr>
      <w:r w:rsidRPr="001B5C4A">
        <w:rPr>
          <w:rFonts w:ascii="Arial" w:hAnsi="Arial" w:cs="Arial"/>
          <w:i/>
        </w:rPr>
        <w:lastRenderedPageBreak/>
        <w:t xml:space="preserve">“Se presumirá que el destinatario ha recibido la notificación cuando el iniciador </w:t>
      </w:r>
      <w:proofErr w:type="spellStart"/>
      <w:r w:rsidRPr="001B5C4A">
        <w:rPr>
          <w:rFonts w:ascii="Arial" w:hAnsi="Arial" w:cs="Arial"/>
          <w:i/>
        </w:rPr>
        <w:t>recepcione</w:t>
      </w:r>
      <w:proofErr w:type="spellEnd"/>
      <w:r w:rsidRPr="001B5C4A">
        <w:rPr>
          <w:rFonts w:ascii="Arial" w:hAnsi="Arial" w:cs="Arial"/>
          <w:i/>
        </w:rPr>
        <w:t xml:space="preserve"> acuse de recibo o se pueda por otro medio constatar el acceso del destinatario al mensaje. El secretario hará constar este hecho en el expediente.</w:t>
      </w:r>
    </w:p>
    <w:p w14:paraId="3F25C945" w14:textId="77777777" w:rsidR="00ED77EE" w:rsidRPr="001B5C4A" w:rsidRDefault="00ED77EE" w:rsidP="00B6299B">
      <w:pPr>
        <w:pStyle w:val="NormalWeb"/>
        <w:spacing w:before="0" w:beforeAutospacing="0" w:after="0" w:afterAutospacing="0" w:line="276" w:lineRule="auto"/>
        <w:jc w:val="both"/>
        <w:rPr>
          <w:rFonts w:ascii="Arial" w:hAnsi="Arial" w:cs="Arial"/>
          <w:b/>
          <w:i/>
        </w:rPr>
      </w:pPr>
    </w:p>
    <w:p w14:paraId="27A7450B" w14:textId="77777777" w:rsidR="009E444E" w:rsidRPr="001B5C4A" w:rsidRDefault="00ED77EE" w:rsidP="00B6299B">
      <w:pPr>
        <w:pStyle w:val="NormalWeb"/>
        <w:spacing w:before="0" w:beforeAutospacing="0" w:after="0" w:afterAutospacing="0" w:line="276" w:lineRule="auto"/>
        <w:jc w:val="both"/>
        <w:rPr>
          <w:rFonts w:ascii="Arial" w:hAnsi="Arial" w:cs="Arial"/>
          <w:i/>
        </w:rPr>
      </w:pPr>
      <w:r w:rsidRPr="001B5C4A">
        <w:rPr>
          <w:rFonts w:ascii="Arial" w:hAnsi="Arial" w:cs="Arial"/>
          <w:i/>
        </w:rPr>
        <w:t>“</w:t>
      </w:r>
      <w:r w:rsidRPr="001B5C4A">
        <w:rPr>
          <w:rFonts w:ascii="Arial" w:hAnsi="Arial" w:cs="Arial"/>
          <w:b/>
          <w:i/>
        </w:rPr>
        <w:t>En este evento, las copias de la demanda y de sus anexos quedarán en la Secretaría a disposición del notificado, y el traslado o los términos que conceda el auto notificado solo comenzarán a correr tres (3) días después de la notificación</w:t>
      </w:r>
      <w:r w:rsidRPr="001B5C4A">
        <w:rPr>
          <w:rFonts w:ascii="Arial" w:hAnsi="Arial" w:cs="Arial"/>
          <w:b/>
          <w:color w:val="4A6C6D"/>
        </w:rPr>
        <w:t xml:space="preserve"> </w:t>
      </w:r>
      <w:r w:rsidRPr="001B5C4A">
        <w:rPr>
          <w:rFonts w:ascii="Arial" w:hAnsi="Arial" w:cs="Arial"/>
        </w:rPr>
        <w:t>(…)”</w:t>
      </w:r>
      <w:r w:rsidRPr="001B5C4A">
        <w:rPr>
          <w:rFonts w:ascii="Arial" w:hAnsi="Arial" w:cs="Arial"/>
          <w:i/>
        </w:rPr>
        <w:t xml:space="preserve"> (Negrillas de la Sala).</w:t>
      </w:r>
    </w:p>
    <w:p w14:paraId="57107CD4" w14:textId="77777777" w:rsidR="009E444E" w:rsidRPr="001B5C4A" w:rsidRDefault="009E444E" w:rsidP="00B6299B">
      <w:pPr>
        <w:spacing w:line="360" w:lineRule="auto"/>
        <w:jc w:val="both"/>
        <w:rPr>
          <w:rFonts w:ascii="Arial" w:hAnsi="Arial" w:cs="Arial"/>
        </w:rPr>
      </w:pPr>
    </w:p>
    <w:p w14:paraId="2E91B5F2" w14:textId="77777777" w:rsidR="00ED77EE" w:rsidRPr="001B5C4A" w:rsidRDefault="00ED77EE" w:rsidP="00B6299B">
      <w:pPr>
        <w:spacing w:line="360" w:lineRule="auto"/>
        <w:jc w:val="both"/>
        <w:rPr>
          <w:rFonts w:ascii="Arial" w:hAnsi="Arial" w:cs="Arial"/>
        </w:rPr>
      </w:pPr>
      <w:r w:rsidRPr="001B5C4A">
        <w:rPr>
          <w:rFonts w:ascii="Arial" w:hAnsi="Arial" w:cs="Arial"/>
        </w:rPr>
        <w:t xml:space="preserve">El sustento del recurso de apelación tiene que ver con la previsión que estaba contenida en el inciso </w:t>
      </w:r>
      <w:r w:rsidR="00182A88" w:rsidRPr="001B5C4A">
        <w:rPr>
          <w:rFonts w:ascii="Arial" w:hAnsi="Arial" w:cs="Arial"/>
        </w:rPr>
        <w:t>quinto</w:t>
      </w:r>
      <w:r w:rsidR="00941AB1" w:rsidRPr="001B5C4A">
        <w:rPr>
          <w:rFonts w:ascii="Arial" w:hAnsi="Arial" w:cs="Arial"/>
        </w:rPr>
        <w:t xml:space="preserve"> del</w:t>
      </w:r>
      <w:r w:rsidRPr="001B5C4A">
        <w:rPr>
          <w:rFonts w:ascii="Arial" w:hAnsi="Arial" w:cs="Arial"/>
        </w:rPr>
        <w:t xml:space="preserve"> artículo 199</w:t>
      </w:r>
      <w:r w:rsidR="00FD5F89" w:rsidRPr="001B5C4A">
        <w:rPr>
          <w:rFonts w:ascii="Arial" w:hAnsi="Arial" w:cs="Arial"/>
        </w:rPr>
        <w:t xml:space="preserve"> del CPACA</w:t>
      </w:r>
      <w:r w:rsidR="00182A88" w:rsidRPr="001B5C4A">
        <w:rPr>
          <w:rFonts w:ascii="Arial" w:hAnsi="Arial" w:cs="Arial"/>
        </w:rPr>
        <w:t>;</w:t>
      </w:r>
      <w:r w:rsidR="00FD5F89" w:rsidRPr="001B5C4A">
        <w:rPr>
          <w:rFonts w:ascii="Arial" w:hAnsi="Arial" w:cs="Arial"/>
        </w:rPr>
        <w:t xml:space="preserve"> sin embargo, dicha norma</w:t>
      </w:r>
      <w:r w:rsidRPr="001B5C4A">
        <w:rPr>
          <w:rFonts w:ascii="Arial" w:hAnsi="Arial" w:cs="Arial"/>
        </w:rPr>
        <w:t xml:space="preserve"> fue modificada por el artículo 612 del Código General del Proceso</w:t>
      </w:r>
      <w:r w:rsidRPr="001B5C4A">
        <w:rPr>
          <w:rStyle w:val="Refdenotaalpie"/>
          <w:rFonts w:ascii="Arial" w:hAnsi="Arial" w:cs="Arial"/>
        </w:rPr>
        <w:footnoteReference w:id="11"/>
      </w:r>
      <w:r w:rsidRPr="001B5C4A">
        <w:rPr>
          <w:rFonts w:ascii="Arial" w:hAnsi="Arial" w:cs="Arial"/>
        </w:rPr>
        <w:t xml:space="preserve">, </w:t>
      </w:r>
      <w:r w:rsidR="00FD5F89" w:rsidRPr="001B5C4A">
        <w:rPr>
          <w:rFonts w:ascii="Arial" w:hAnsi="Arial" w:cs="Arial"/>
        </w:rPr>
        <w:t>q</w:t>
      </w:r>
      <w:r w:rsidRPr="001B5C4A">
        <w:rPr>
          <w:rFonts w:ascii="Arial" w:hAnsi="Arial" w:cs="Arial"/>
        </w:rPr>
        <w:t>ue dispone lo siguiente:</w:t>
      </w:r>
    </w:p>
    <w:p w14:paraId="26FDD218" w14:textId="77777777" w:rsidR="00ED77EE" w:rsidRPr="001B5C4A" w:rsidRDefault="00ED77EE" w:rsidP="00B6299B">
      <w:pPr>
        <w:spacing w:line="360" w:lineRule="auto"/>
        <w:jc w:val="both"/>
        <w:rPr>
          <w:rFonts w:ascii="Arial" w:hAnsi="Arial" w:cs="Arial"/>
        </w:rPr>
      </w:pPr>
    </w:p>
    <w:p w14:paraId="727199A3" w14:textId="77777777" w:rsidR="00ED77EE" w:rsidRPr="001B5C4A" w:rsidRDefault="00ED77EE" w:rsidP="00B6299B">
      <w:pPr>
        <w:pStyle w:val="NormalWeb"/>
        <w:spacing w:before="0" w:beforeAutospacing="0" w:after="0" w:afterAutospacing="0" w:line="276" w:lineRule="auto"/>
        <w:jc w:val="both"/>
        <w:rPr>
          <w:rFonts w:ascii="Arial" w:hAnsi="Arial" w:cs="Arial"/>
          <w:i/>
        </w:rPr>
      </w:pPr>
      <w:r w:rsidRPr="001B5C4A">
        <w:rPr>
          <w:rFonts w:ascii="Arial" w:hAnsi="Arial" w:cs="Arial"/>
        </w:rPr>
        <w:t>“</w:t>
      </w:r>
      <w:r w:rsidRPr="001B5C4A">
        <w:rPr>
          <w:rFonts w:ascii="Arial" w:hAnsi="Arial" w:cs="Arial"/>
          <w:i/>
        </w:rPr>
        <w:t>El auto admisorio de la demanda y el mandamiento de pago contra las entidades públicas y las personas privadas que ejerzan funciones propias del Estado se deben notificar personalmente a sus representantes legales o a quienes estos hayan delegado la facultad de recibir notificaciones, o directamente a las personas naturales, según el caso, y al Ministerio Público, mediante mensaje dirigido al buzón electrónico para notificaciones judiciales a que se refiere el artículo </w:t>
      </w:r>
      <w:hyperlink r:id="rId14" w:anchor="197" w:history="1">
        <w:r w:rsidRPr="001B5C4A">
          <w:rPr>
            <w:rStyle w:val="Hipervnculo"/>
            <w:rFonts w:ascii="Arial" w:hAnsi="Arial" w:cs="Arial"/>
            <w:i/>
            <w:color w:val="auto"/>
          </w:rPr>
          <w:t>197</w:t>
        </w:r>
      </w:hyperlink>
      <w:r w:rsidRPr="001B5C4A">
        <w:rPr>
          <w:rFonts w:ascii="Arial" w:hAnsi="Arial" w:cs="Arial"/>
          <w:i/>
        </w:rPr>
        <w:t> de este código.</w:t>
      </w:r>
    </w:p>
    <w:p w14:paraId="0B2007E4" w14:textId="77777777" w:rsidR="00AB41D4" w:rsidRPr="001B5C4A" w:rsidRDefault="00AB41D4" w:rsidP="00B6299B">
      <w:pPr>
        <w:pStyle w:val="NormalWeb"/>
        <w:spacing w:before="0" w:beforeAutospacing="0" w:after="0" w:afterAutospacing="0" w:line="276" w:lineRule="auto"/>
        <w:jc w:val="both"/>
        <w:rPr>
          <w:rFonts w:ascii="Arial" w:hAnsi="Arial" w:cs="Arial"/>
          <w:i/>
        </w:rPr>
      </w:pPr>
    </w:p>
    <w:p w14:paraId="66DB6B1A" w14:textId="77777777" w:rsidR="00ED77EE" w:rsidRPr="001B5C4A" w:rsidRDefault="00B12295" w:rsidP="00B6299B">
      <w:pPr>
        <w:pStyle w:val="NormalWeb"/>
        <w:spacing w:before="0" w:beforeAutospacing="0" w:after="0" w:afterAutospacing="0" w:line="276" w:lineRule="auto"/>
        <w:jc w:val="both"/>
        <w:rPr>
          <w:rFonts w:ascii="Arial" w:hAnsi="Arial" w:cs="Arial"/>
          <w:i/>
        </w:rPr>
      </w:pPr>
      <w:r w:rsidRPr="001B5C4A">
        <w:rPr>
          <w:rFonts w:ascii="Arial" w:hAnsi="Arial" w:cs="Arial"/>
          <w:i/>
        </w:rPr>
        <w:t>“</w:t>
      </w:r>
      <w:r w:rsidR="00ED77EE" w:rsidRPr="001B5C4A">
        <w:rPr>
          <w:rFonts w:ascii="Arial" w:hAnsi="Arial" w:cs="Arial"/>
          <w:i/>
        </w:rPr>
        <w:t>De esta misma forma se deberá notificar el auto admisorio de la demanda a los particulares inscritos en el registro mercantil en la dirección electrónica por ellos dispuesta para recibir notificaciones judiciales.</w:t>
      </w:r>
    </w:p>
    <w:p w14:paraId="0AA8A3E8" w14:textId="77777777" w:rsidR="00AB41D4" w:rsidRPr="001B5C4A" w:rsidRDefault="00AB41D4" w:rsidP="00B6299B">
      <w:pPr>
        <w:pStyle w:val="NormalWeb"/>
        <w:spacing w:before="0" w:beforeAutospacing="0" w:after="0" w:afterAutospacing="0" w:line="276" w:lineRule="auto"/>
        <w:jc w:val="both"/>
        <w:rPr>
          <w:rFonts w:ascii="Arial" w:hAnsi="Arial" w:cs="Arial"/>
          <w:i/>
        </w:rPr>
      </w:pPr>
    </w:p>
    <w:p w14:paraId="02A4BE7F" w14:textId="77777777" w:rsidR="00ED77EE" w:rsidRPr="001B5C4A" w:rsidRDefault="00B12295" w:rsidP="00B6299B">
      <w:pPr>
        <w:pStyle w:val="NormalWeb"/>
        <w:spacing w:before="0" w:beforeAutospacing="0" w:after="0" w:afterAutospacing="0" w:line="276" w:lineRule="auto"/>
        <w:jc w:val="both"/>
        <w:rPr>
          <w:rFonts w:ascii="Arial" w:hAnsi="Arial" w:cs="Arial"/>
          <w:i/>
        </w:rPr>
      </w:pPr>
      <w:r w:rsidRPr="001B5C4A">
        <w:rPr>
          <w:rFonts w:ascii="Arial" w:hAnsi="Arial" w:cs="Arial"/>
          <w:i/>
        </w:rPr>
        <w:t>“</w:t>
      </w:r>
      <w:r w:rsidR="00ED77EE" w:rsidRPr="001B5C4A">
        <w:rPr>
          <w:rFonts w:ascii="Arial" w:hAnsi="Arial" w:cs="Arial"/>
          <w:i/>
        </w:rPr>
        <w:t>El mensaje deberá identificar la notificación que se realiza y contener copia de la providencia a notificar y de la demanda.</w:t>
      </w:r>
    </w:p>
    <w:p w14:paraId="052CBEFE" w14:textId="77777777" w:rsidR="00AB41D4" w:rsidRPr="001B5C4A" w:rsidRDefault="00AB41D4" w:rsidP="00B6299B">
      <w:pPr>
        <w:pStyle w:val="NormalWeb"/>
        <w:spacing w:before="0" w:beforeAutospacing="0" w:after="0" w:afterAutospacing="0" w:line="276" w:lineRule="auto"/>
        <w:jc w:val="both"/>
        <w:rPr>
          <w:rFonts w:ascii="Arial" w:hAnsi="Arial" w:cs="Arial"/>
          <w:i/>
        </w:rPr>
      </w:pPr>
    </w:p>
    <w:p w14:paraId="20A7DA3D" w14:textId="77777777" w:rsidR="00ED77EE" w:rsidRPr="001B5C4A" w:rsidRDefault="00B12295" w:rsidP="00B6299B">
      <w:pPr>
        <w:pStyle w:val="NormalWeb"/>
        <w:spacing w:before="0" w:beforeAutospacing="0" w:after="0" w:afterAutospacing="0" w:line="276" w:lineRule="auto"/>
        <w:jc w:val="both"/>
        <w:rPr>
          <w:rFonts w:ascii="Arial" w:hAnsi="Arial" w:cs="Arial"/>
          <w:i/>
        </w:rPr>
      </w:pPr>
      <w:r w:rsidRPr="001B5C4A">
        <w:rPr>
          <w:rFonts w:ascii="Arial" w:hAnsi="Arial" w:cs="Arial"/>
          <w:i/>
        </w:rPr>
        <w:t>“</w:t>
      </w:r>
      <w:r w:rsidR="00ED77EE" w:rsidRPr="001B5C4A">
        <w:rPr>
          <w:rFonts w:ascii="Arial" w:hAnsi="Arial" w:cs="Arial"/>
          <w:i/>
        </w:rPr>
        <w:t xml:space="preserve">Se presumirá que el destinatario ha recibido la notificación cuando el iniciador </w:t>
      </w:r>
      <w:proofErr w:type="spellStart"/>
      <w:r w:rsidR="00ED77EE" w:rsidRPr="001B5C4A">
        <w:rPr>
          <w:rFonts w:ascii="Arial" w:hAnsi="Arial" w:cs="Arial"/>
          <w:i/>
        </w:rPr>
        <w:t>recepcione</w:t>
      </w:r>
      <w:proofErr w:type="spellEnd"/>
      <w:r w:rsidR="00ED77EE" w:rsidRPr="001B5C4A">
        <w:rPr>
          <w:rFonts w:ascii="Arial" w:hAnsi="Arial" w:cs="Arial"/>
          <w:i/>
        </w:rPr>
        <w:t xml:space="preserve"> acuse de recibo o se pueda por otro medio constatar el acceso del destinatario al mensaje. El secretario hará constar este hecho en el expediente.</w:t>
      </w:r>
    </w:p>
    <w:p w14:paraId="626C16F6" w14:textId="77777777" w:rsidR="00AB41D4" w:rsidRPr="001B5C4A" w:rsidRDefault="00AB41D4" w:rsidP="00B6299B">
      <w:pPr>
        <w:pStyle w:val="NormalWeb"/>
        <w:spacing w:before="0" w:beforeAutospacing="0" w:after="0" w:afterAutospacing="0" w:line="276" w:lineRule="auto"/>
        <w:jc w:val="both"/>
        <w:rPr>
          <w:rFonts w:ascii="Arial" w:hAnsi="Arial" w:cs="Arial"/>
          <w:i/>
        </w:rPr>
      </w:pPr>
    </w:p>
    <w:p w14:paraId="67B9D0E4" w14:textId="77777777" w:rsidR="00ED77EE" w:rsidRPr="001B5C4A" w:rsidRDefault="00B12295" w:rsidP="00B6299B">
      <w:pPr>
        <w:pStyle w:val="NormalWeb"/>
        <w:spacing w:before="0" w:beforeAutospacing="0" w:after="0" w:afterAutospacing="0" w:line="276" w:lineRule="auto"/>
        <w:jc w:val="both"/>
        <w:rPr>
          <w:rFonts w:ascii="Arial" w:hAnsi="Arial" w:cs="Arial"/>
          <w:i/>
        </w:rPr>
      </w:pPr>
      <w:r w:rsidRPr="001B5C4A">
        <w:rPr>
          <w:rFonts w:ascii="Arial" w:hAnsi="Arial" w:cs="Arial"/>
          <w:i/>
        </w:rPr>
        <w:t>“</w:t>
      </w:r>
      <w:r w:rsidR="00ED77EE" w:rsidRPr="001B5C4A">
        <w:rPr>
          <w:rFonts w:ascii="Arial" w:hAnsi="Arial" w:cs="Arial"/>
          <w:b/>
          <w:i/>
          <w:u w:val="single"/>
        </w:rPr>
        <w:t>En este evento, las copias de la demanda y de sus anexos quedarán en la secretaría a disposición del notificado y el traslado o los términos que conceda el auto notificado, sólo comenzarán a correr al vencimiento del término común de veinticinco (25) días después de surtida la última notificación</w:t>
      </w:r>
      <w:r w:rsidR="00ED77EE" w:rsidRPr="001B5C4A">
        <w:rPr>
          <w:rFonts w:ascii="Arial" w:hAnsi="Arial" w:cs="Arial"/>
          <w:i/>
        </w:rPr>
        <w:t>. Deberá remitirse de manera inmediata y a través del servicio postal autorizado, copia de la demanda, de sus anexos y del auto admisorio, sin perjuicio de las copias que deban quedar en el expediente a su disposición de conformidad co</w:t>
      </w:r>
      <w:r w:rsidR="00AB41D4" w:rsidRPr="001B5C4A">
        <w:rPr>
          <w:rFonts w:ascii="Arial" w:hAnsi="Arial" w:cs="Arial"/>
          <w:i/>
        </w:rPr>
        <w:t xml:space="preserve">n lo establecido en este inciso” </w:t>
      </w:r>
      <w:r w:rsidR="00AB41D4" w:rsidRPr="001B5C4A">
        <w:rPr>
          <w:rFonts w:ascii="Arial" w:hAnsi="Arial" w:cs="Arial"/>
        </w:rPr>
        <w:t>(se destaca).</w:t>
      </w:r>
    </w:p>
    <w:p w14:paraId="5E8FA42D" w14:textId="77777777" w:rsidR="00ED77EE" w:rsidRPr="001B5C4A" w:rsidRDefault="00ED77EE" w:rsidP="00B6299B">
      <w:pPr>
        <w:spacing w:line="360" w:lineRule="auto"/>
        <w:jc w:val="both"/>
        <w:rPr>
          <w:rFonts w:ascii="Arial" w:hAnsi="Arial" w:cs="Arial"/>
        </w:rPr>
      </w:pPr>
    </w:p>
    <w:p w14:paraId="479A3B06" w14:textId="77777777" w:rsidR="00ED77EE" w:rsidRPr="001B5C4A" w:rsidRDefault="00AB41D4" w:rsidP="00B6299B">
      <w:pPr>
        <w:spacing w:line="360" w:lineRule="auto"/>
        <w:jc w:val="both"/>
        <w:rPr>
          <w:rFonts w:ascii="Arial" w:hAnsi="Arial" w:cs="Arial"/>
        </w:rPr>
      </w:pPr>
      <w:r w:rsidRPr="001B5C4A">
        <w:rPr>
          <w:rFonts w:ascii="Arial" w:hAnsi="Arial" w:cs="Arial"/>
        </w:rPr>
        <w:lastRenderedPageBreak/>
        <w:t xml:space="preserve">En este orden de ideas, resulta evidente que el supuesto normativo invocado por el recurrente no resultaba aplicable, en virtud de la modificación impuesta por el Código General del Proceso, de ahí que no le asista razón al sostener que al término computado debía agregársele los </w:t>
      </w:r>
      <w:r w:rsidR="00FD5F89" w:rsidRPr="001B5C4A">
        <w:rPr>
          <w:rFonts w:ascii="Arial" w:hAnsi="Arial" w:cs="Arial"/>
        </w:rPr>
        <w:t>tres (3)</w:t>
      </w:r>
      <w:r w:rsidRPr="001B5C4A">
        <w:rPr>
          <w:rFonts w:ascii="Arial" w:hAnsi="Arial" w:cs="Arial"/>
        </w:rPr>
        <w:t xml:space="preserve"> días referidos en la redacción original del inciso </w:t>
      </w:r>
      <w:r w:rsidR="00182A88" w:rsidRPr="001B5C4A">
        <w:rPr>
          <w:rFonts w:ascii="Arial" w:hAnsi="Arial" w:cs="Arial"/>
        </w:rPr>
        <w:t>quinto d</w:t>
      </w:r>
      <w:r w:rsidRPr="001B5C4A">
        <w:rPr>
          <w:rFonts w:ascii="Arial" w:hAnsi="Arial" w:cs="Arial"/>
        </w:rPr>
        <w:t>el artículo 199 del CPACA.</w:t>
      </w:r>
    </w:p>
    <w:p w14:paraId="02D72582" w14:textId="77777777" w:rsidR="00AB41D4" w:rsidRPr="001B5C4A" w:rsidRDefault="00AB41D4" w:rsidP="00B6299B">
      <w:pPr>
        <w:spacing w:line="360" w:lineRule="auto"/>
        <w:jc w:val="both"/>
        <w:rPr>
          <w:rFonts w:ascii="Arial" w:hAnsi="Arial" w:cs="Arial"/>
        </w:rPr>
      </w:pPr>
    </w:p>
    <w:p w14:paraId="12C694EA" w14:textId="77777777" w:rsidR="00AB41D4" w:rsidRPr="001B5C4A" w:rsidRDefault="00AB41D4" w:rsidP="00B6299B">
      <w:pPr>
        <w:spacing w:line="360" w:lineRule="auto"/>
        <w:jc w:val="both"/>
        <w:rPr>
          <w:rFonts w:ascii="Arial" w:hAnsi="Arial" w:cs="Arial"/>
        </w:rPr>
      </w:pPr>
      <w:r w:rsidRPr="001B5C4A">
        <w:rPr>
          <w:rFonts w:ascii="Arial" w:hAnsi="Arial" w:cs="Arial"/>
        </w:rPr>
        <w:t>Bajo esta óptica, se impone concluir que a la luz de las disposiciones normativas vigentes para la fecha de presentación de la demanda, de su contestación y de la demanda de reconvención, el conteo de términos que realizó el Tribunal para determinar la presentación oportuna de estas dos últimas fue acertado y, por tanto, adoptó la decisión de conformidad con el ordenamiento jurídico.</w:t>
      </w:r>
    </w:p>
    <w:p w14:paraId="674BA0B0" w14:textId="77777777" w:rsidR="00AB41D4" w:rsidRPr="001B5C4A" w:rsidRDefault="00AB41D4" w:rsidP="00B6299B">
      <w:pPr>
        <w:spacing w:line="360" w:lineRule="auto"/>
        <w:jc w:val="both"/>
        <w:rPr>
          <w:rFonts w:ascii="Arial" w:hAnsi="Arial" w:cs="Arial"/>
        </w:rPr>
      </w:pPr>
    </w:p>
    <w:p w14:paraId="5B605BF3" w14:textId="77777777" w:rsidR="00AB41D4" w:rsidRPr="001B5C4A" w:rsidRDefault="00AB41D4" w:rsidP="00B6299B">
      <w:pPr>
        <w:spacing w:line="360" w:lineRule="auto"/>
        <w:jc w:val="both"/>
        <w:rPr>
          <w:rFonts w:ascii="Arial" w:hAnsi="Arial" w:cs="Arial"/>
        </w:rPr>
      </w:pPr>
      <w:r w:rsidRPr="001B5C4A">
        <w:rPr>
          <w:rFonts w:ascii="Arial" w:hAnsi="Arial" w:cs="Arial"/>
        </w:rPr>
        <w:t xml:space="preserve">Lo anterior guarda mayor sustento si se tiene en cuenta que, en el evento hipotético de realizar el conteo de términos </w:t>
      </w:r>
      <w:r w:rsidR="00FD5F89" w:rsidRPr="001B5C4A">
        <w:rPr>
          <w:rFonts w:ascii="Arial" w:hAnsi="Arial" w:cs="Arial"/>
        </w:rPr>
        <w:t xml:space="preserve">con fundamento en el </w:t>
      </w:r>
      <w:r w:rsidRPr="001B5C4A">
        <w:rPr>
          <w:rFonts w:ascii="Arial" w:hAnsi="Arial" w:cs="Arial"/>
        </w:rPr>
        <w:t xml:space="preserve">artículo 199 </w:t>
      </w:r>
      <w:proofErr w:type="gramStart"/>
      <w:r w:rsidRPr="001B5C4A">
        <w:rPr>
          <w:rFonts w:ascii="Arial" w:hAnsi="Arial" w:cs="Arial"/>
        </w:rPr>
        <w:t>del  CPACA</w:t>
      </w:r>
      <w:proofErr w:type="gramEnd"/>
      <w:r w:rsidRPr="001B5C4A">
        <w:rPr>
          <w:rFonts w:ascii="Arial" w:hAnsi="Arial" w:cs="Arial"/>
        </w:rPr>
        <w:t xml:space="preserve">, esto es, sin tener en cuenta la modificación del CGP, no habría lugar a computar los </w:t>
      </w:r>
      <w:r w:rsidR="00FD5F89" w:rsidRPr="001B5C4A">
        <w:rPr>
          <w:rFonts w:ascii="Arial" w:hAnsi="Arial" w:cs="Arial"/>
        </w:rPr>
        <w:t xml:space="preserve">veinticinco (25) </w:t>
      </w:r>
      <w:r w:rsidRPr="001B5C4A">
        <w:rPr>
          <w:rFonts w:ascii="Arial" w:hAnsi="Arial" w:cs="Arial"/>
        </w:rPr>
        <w:t xml:space="preserve">días a que se refiere el inciso </w:t>
      </w:r>
      <w:r w:rsidR="00182A88" w:rsidRPr="001B5C4A">
        <w:rPr>
          <w:rFonts w:ascii="Arial" w:hAnsi="Arial" w:cs="Arial"/>
        </w:rPr>
        <w:t>quinto</w:t>
      </w:r>
      <w:r w:rsidRPr="001B5C4A">
        <w:rPr>
          <w:rFonts w:ascii="Arial" w:hAnsi="Arial" w:cs="Arial"/>
        </w:rPr>
        <w:t xml:space="preserve"> de este estatuto procesal y, con mayor razón, se entendería extemporánea la presentación de la demanda de reconvención.</w:t>
      </w:r>
    </w:p>
    <w:p w14:paraId="1AB45538" w14:textId="77777777" w:rsidR="00FD5F89" w:rsidRPr="001B5C4A" w:rsidRDefault="00FD5F89" w:rsidP="00B6299B">
      <w:pPr>
        <w:spacing w:line="360" w:lineRule="auto"/>
        <w:jc w:val="both"/>
        <w:rPr>
          <w:rFonts w:ascii="Arial" w:hAnsi="Arial" w:cs="Arial"/>
        </w:rPr>
      </w:pPr>
    </w:p>
    <w:p w14:paraId="1335F3F4" w14:textId="77777777" w:rsidR="00AB41D4" w:rsidRPr="001B5C4A" w:rsidRDefault="00AB41D4" w:rsidP="00B6299B">
      <w:pPr>
        <w:spacing w:line="360" w:lineRule="auto"/>
        <w:jc w:val="both"/>
        <w:rPr>
          <w:rFonts w:ascii="Arial" w:hAnsi="Arial" w:cs="Arial"/>
        </w:rPr>
      </w:pPr>
      <w:r w:rsidRPr="001B5C4A">
        <w:rPr>
          <w:rFonts w:ascii="Arial" w:hAnsi="Arial" w:cs="Arial"/>
        </w:rPr>
        <w:t>Así las cosas, lo que se evidencia es que el recurrente pretende</w:t>
      </w:r>
      <w:r w:rsidR="00FD5F89" w:rsidRPr="001B5C4A">
        <w:rPr>
          <w:rFonts w:ascii="Arial" w:hAnsi="Arial" w:cs="Arial"/>
        </w:rPr>
        <w:t xml:space="preserve"> la aplicación simultánea de</w:t>
      </w:r>
      <w:r w:rsidRPr="001B5C4A">
        <w:rPr>
          <w:rFonts w:ascii="Arial" w:hAnsi="Arial" w:cs="Arial"/>
        </w:rPr>
        <w:t xml:space="preserve"> dos leyes que regulan el</w:t>
      </w:r>
      <w:r w:rsidR="009060CB" w:rsidRPr="001B5C4A">
        <w:rPr>
          <w:rFonts w:ascii="Arial" w:hAnsi="Arial" w:cs="Arial"/>
        </w:rPr>
        <w:t xml:space="preserve"> cómputo de los días previos al traslado de la demanda -artículo 199 del CPACA y artículo 612 del CGP-, lo cual no resulta jurídicamente </w:t>
      </w:r>
      <w:r w:rsidR="006B7352" w:rsidRPr="001B5C4A">
        <w:rPr>
          <w:rFonts w:ascii="Arial" w:hAnsi="Arial" w:cs="Arial"/>
        </w:rPr>
        <w:t>viable</w:t>
      </w:r>
      <w:r w:rsidR="009060CB" w:rsidRPr="001B5C4A">
        <w:rPr>
          <w:rFonts w:ascii="Arial" w:hAnsi="Arial" w:cs="Arial"/>
        </w:rPr>
        <w:t xml:space="preserve">, </w:t>
      </w:r>
      <w:r w:rsidR="00FD5F89" w:rsidRPr="001B5C4A">
        <w:rPr>
          <w:rFonts w:ascii="Arial" w:hAnsi="Arial" w:cs="Arial"/>
        </w:rPr>
        <w:t xml:space="preserve">por la elemental razón de que este último artículo modificó aquel, lo cual implica que no es posible predicar </w:t>
      </w:r>
      <w:r w:rsidR="00C21953" w:rsidRPr="001B5C4A">
        <w:rPr>
          <w:rFonts w:ascii="Arial" w:hAnsi="Arial" w:cs="Arial"/>
        </w:rPr>
        <w:t>la coexistencia de ambas normas, como lo entiende el demandante en reconvención.</w:t>
      </w:r>
    </w:p>
    <w:p w14:paraId="17DC8A5F" w14:textId="77777777" w:rsidR="009060CB" w:rsidRPr="001B5C4A" w:rsidRDefault="009060CB" w:rsidP="00B6299B">
      <w:pPr>
        <w:spacing w:line="360" w:lineRule="auto"/>
        <w:jc w:val="both"/>
        <w:rPr>
          <w:rFonts w:ascii="Arial" w:hAnsi="Arial" w:cs="Arial"/>
        </w:rPr>
      </w:pPr>
    </w:p>
    <w:p w14:paraId="02B510DE" w14:textId="77777777" w:rsidR="009060CB" w:rsidRPr="001B5C4A" w:rsidRDefault="009060CB" w:rsidP="00B6299B">
      <w:pPr>
        <w:spacing w:line="360" w:lineRule="auto"/>
        <w:jc w:val="both"/>
        <w:rPr>
          <w:rFonts w:ascii="Arial" w:hAnsi="Arial" w:cs="Arial"/>
        </w:rPr>
      </w:pPr>
      <w:r w:rsidRPr="001B5C4A">
        <w:rPr>
          <w:rFonts w:ascii="Arial" w:hAnsi="Arial" w:cs="Arial"/>
        </w:rPr>
        <w:t>Ahora, en lo que tiene que ver con la constancia secretarial que, en términos del recurrente, generó confusión y duda que debe ser resuelta a favor del demandante en reconvención, basta con señalar que la redacción del artículo 612 del CGP, así como los criterios de aplicación de la ley en el tiempo, máxime tratándose de modificaciones</w:t>
      </w:r>
      <w:r w:rsidR="006B7352" w:rsidRPr="001B5C4A">
        <w:rPr>
          <w:rFonts w:ascii="Arial" w:hAnsi="Arial" w:cs="Arial"/>
        </w:rPr>
        <w:t xml:space="preserve"> emanadas de una ley posterior</w:t>
      </w:r>
      <w:r w:rsidRPr="001B5C4A">
        <w:rPr>
          <w:rFonts w:ascii="Arial" w:hAnsi="Arial" w:cs="Arial"/>
        </w:rPr>
        <w:t xml:space="preserve">, no dan lugar a incertidumbre alguna y, por </w:t>
      </w:r>
      <w:r w:rsidR="006B7352" w:rsidRPr="001B5C4A">
        <w:rPr>
          <w:rFonts w:ascii="Arial" w:hAnsi="Arial" w:cs="Arial"/>
        </w:rPr>
        <w:t>ende</w:t>
      </w:r>
      <w:r w:rsidRPr="001B5C4A">
        <w:rPr>
          <w:rFonts w:ascii="Arial" w:hAnsi="Arial" w:cs="Arial"/>
        </w:rPr>
        <w:t>, es deber tanto del juez como de las partes acatar las disposiciones alusivas a los términos para actuar en el juicio.</w:t>
      </w:r>
    </w:p>
    <w:p w14:paraId="7754CA85" w14:textId="77777777" w:rsidR="009060CB" w:rsidRPr="001B5C4A" w:rsidRDefault="009060CB" w:rsidP="00B6299B">
      <w:pPr>
        <w:spacing w:line="360" w:lineRule="auto"/>
        <w:jc w:val="both"/>
        <w:rPr>
          <w:rFonts w:ascii="Arial" w:hAnsi="Arial" w:cs="Arial"/>
        </w:rPr>
      </w:pPr>
    </w:p>
    <w:p w14:paraId="0AEA412A" w14:textId="77777777" w:rsidR="009060CB" w:rsidRPr="001B5C4A" w:rsidRDefault="009060CB" w:rsidP="00B6299B">
      <w:pPr>
        <w:spacing w:line="360" w:lineRule="auto"/>
        <w:jc w:val="both"/>
        <w:rPr>
          <w:rFonts w:ascii="Arial" w:hAnsi="Arial" w:cs="Arial"/>
        </w:rPr>
      </w:pPr>
      <w:r w:rsidRPr="001B5C4A">
        <w:rPr>
          <w:rFonts w:ascii="Arial" w:hAnsi="Arial" w:cs="Arial"/>
        </w:rPr>
        <w:t>Lo anterior para significar que la demanda de reconvención debe ejercerse dentro del término que la ley estableció para tal fin y su incumplimiento genera las consecuencias procesales correspondientes, en este caso, su rechazo de plano</w:t>
      </w:r>
      <w:r w:rsidR="009F6ACF" w:rsidRPr="001B5C4A">
        <w:rPr>
          <w:rFonts w:ascii="Arial" w:hAnsi="Arial" w:cs="Arial"/>
        </w:rPr>
        <w:t xml:space="preserve">, </w:t>
      </w:r>
      <w:r w:rsidR="009F6ACF" w:rsidRPr="001B5C4A">
        <w:rPr>
          <w:rFonts w:ascii="Arial" w:hAnsi="Arial" w:cs="Arial"/>
        </w:rPr>
        <w:lastRenderedPageBreak/>
        <w:t>por no haberse presentado dentro de los 30 días previstos en el artículo 172 del CPACA, previo agotamiento de los 25 días señalados en el artículo 612 del CGP.</w:t>
      </w:r>
    </w:p>
    <w:p w14:paraId="57D2A194" w14:textId="77777777" w:rsidR="009F6ACF" w:rsidRPr="001B5C4A" w:rsidRDefault="009F6ACF" w:rsidP="00B6299B">
      <w:pPr>
        <w:spacing w:line="360" w:lineRule="auto"/>
        <w:jc w:val="both"/>
        <w:rPr>
          <w:rFonts w:ascii="Arial" w:hAnsi="Arial" w:cs="Arial"/>
        </w:rPr>
      </w:pPr>
    </w:p>
    <w:p w14:paraId="468D82E2" w14:textId="77777777" w:rsidR="009F6ACF" w:rsidRPr="001B5C4A" w:rsidRDefault="009F6ACF" w:rsidP="00B6299B">
      <w:pPr>
        <w:spacing w:line="360" w:lineRule="auto"/>
        <w:jc w:val="both"/>
        <w:rPr>
          <w:rFonts w:ascii="Arial" w:hAnsi="Arial" w:cs="Arial"/>
        </w:rPr>
      </w:pPr>
      <w:r w:rsidRPr="001B5C4A">
        <w:rPr>
          <w:rFonts w:ascii="Arial" w:hAnsi="Arial" w:cs="Arial"/>
        </w:rPr>
        <w:t>Es de anotar que si bien la presentación extemporánea de la demanda de reconvención no se enmarca dentro de las causales de rechazo previstas en el artículo 169 del CPACA, la decisión que aquí se confirma obedece a la sanción a la parte demandada por no ejercer su derecho dentro de la oportunidad legal, es decir, por no promover en tiempo los actos procesales a su cargo.</w:t>
      </w:r>
    </w:p>
    <w:p w14:paraId="3DE2E2F5" w14:textId="77777777" w:rsidR="009F6ACF" w:rsidRPr="001B5C4A" w:rsidRDefault="009F6ACF" w:rsidP="00B6299B">
      <w:pPr>
        <w:spacing w:line="360" w:lineRule="auto"/>
        <w:jc w:val="both"/>
        <w:rPr>
          <w:rFonts w:ascii="Arial" w:hAnsi="Arial" w:cs="Arial"/>
        </w:rPr>
      </w:pPr>
    </w:p>
    <w:p w14:paraId="44299616" w14:textId="77777777" w:rsidR="00ED77EE" w:rsidRPr="001B5C4A" w:rsidRDefault="009F6ACF" w:rsidP="00B6299B">
      <w:pPr>
        <w:spacing w:line="360" w:lineRule="auto"/>
        <w:jc w:val="both"/>
        <w:rPr>
          <w:rFonts w:ascii="Arial" w:hAnsi="Arial" w:cs="Arial"/>
        </w:rPr>
      </w:pPr>
      <w:r w:rsidRPr="001B5C4A">
        <w:rPr>
          <w:rFonts w:ascii="Arial" w:hAnsi="Arial" w:cs="Arial"/>
        </w:rPr>
        <w:t>Con fundamento en lo anterior, la Sala concluye que</w:t>
      </w:r>
      <w:r w:rsidR="00B12295" w:rsidRPr="001B5C4A">
        <w:rPr>
          <w:rFonts w:ascii="Arial" w:hAnsi="Arial" w:cs="Arial"/>
        </w:rPr>
        <w:t xml:space="preserve"> la sociedad</w:t>
      </w:r>
      <w:r w:rsidRPr="001B5C4A">
        <w:rPr>
          <w:rFonts w:ascii="Arial" w:hAnsi="Arial" w:cs="Arial"/>
        </w:rPr>
        <w:t xml:space="preserve"> Inor no presentó la demanda de reconvención dentro de la oportunidad prevista en los artículos 172</w:t>
      </w:r>
      <w:r w:rsidR="0077768C" w:rsidRPr="001B5C4A">
        <w:rPr>
          <w:rFonts w:ascii="Arial" w:hAnsi="Arial" w:cs="Arial"/>
        </w:rPr>
        <w:t xml:space="preserve"> y 177 del CPACA, razón por la cual se confirmará el auto proferido por el Tribunal Administrativo de Bolívar.</w:t>
      </w:r>
    </w:p>
    <w:p w14:paraId="0A6FB5F8" w14:textId="77777777" w:rsidR="00332685" w:rsidRPr="001B5C4A" w:rsidRDefault="00332685" w:rsidP="00B6299B">
      <w:pPr>
        <w:spacing w:line="360" w:lineRule="auto"/>
        <w:jc w:val="both"/>
        <w:rPr>
          <w:rFonts w:ascii="Arial" w:hAnsi="Arial" w:cs="Arial"/>
        </w:rPr>
      </w:pPr>
    </w:p>
    <w:p w14:paraId="7AA494C0" w14:textId="77777777" w:rsidR="00A17C15" w:rsidRPr="001B5C4A" w:rsidRDefault="00A17C15" w:rsidP="00B6299B">
      <w:pPr>
        <w:spacing w:line="360" w:lineRule="auto"/>
        <w:jc w:val="both"/>
        <w:rPr>
          <w:rFonts w:ascii="Arial" w:hAnsi="Arial" w:cs="Arial"/>
          <w:iCs/>
        </w:rPr>
      </w:pPr>
      <w:r w:rsidRPr="001B5C4A">
        <w:rPr>
          <w:rFonts w:ascii="Arial" w:hAnsi="Arial" w:cs="Arial"/>
          <w:iCs/>
        </w:rPr>
        <w:t>En mérito de lo expuesto, el Consejo de Estado, Sala de lo Contencioso Administrativo, Sección Tercera, Subsección A,</w:t>
      </w:r>
    </w:p>
    <w:p w14:paraId="16EB89A8" w14:textId="77777777" w:rsidR="00C21953" w:rsidRPr="001B5C4A" w:rsidRDefault="00C21953" w:rsidP="00B6299B">
      <w:pPr>
        <w:jc w:val="both"/>
        <w:rPr>
          <w:rFonts w:ascii="Arial" w:hAnsi="Arial" w:cs="Arial"/>
          <w:iCs/>
        </w:rPr>
      </w:pPr>
    </w:p>
    <w:p w14:paraId="650CA7E7" w14:textId="77777777" w:rsidR="00A17C15" w:rsidRPr="001B5C4A" w:rsidRDefault="00A17C15" w:rsidP="00B6299B">
      <w:pPr>
        <w:pStyle w:val="Textoindependiente"/>
        <w:spacing w:line="360" w:lineRule="auto"/>
        <w:jc w:val="center"/>
        <w:rPr>
          <w:rFonts w:cs="Arial"/>
          <w:sz w:val="24"/>
          <w:szCs w:val="24"/>
        </w:rPr>
      </w:pPr>
      <w:r w:rsidRPr="001B5C4A">
        <w:rPr>
          <w:rFonts w:cs="Arial"/>
          <w:b/>
          <w:sz w:val="24"/>
          <w:szCs w:val="24"/>
        </w:rPr>
        <w:t>RESUELVE</w:t>
      </w:r>
      <w:r w:rsidRPr="001B5C4A">
        <w:rPr>
          <w:rFonts w:cs="Arial"/>
          <w:sz w:val="24"/>
          <w:szCs w:val="24"/>
        </w:rPr>
        <w:t>:</w:t>
      </w:r>
    </w:p>
    <w:p w14:paraId="319239C3" w14:textId="77777777" w:rsidR="00ED6C6F" w:rsidRPr="001B5C4A" w:rsidRDefault="00ED6C6F" w:rsidP="00B6299B">
      <w:pPr>
        <w:pStyle w:val="Textoindependiente"/>
        <w:jc w:val="center"/>
        <w:rPr>
          <w:rFonts w:cs="Arial"/>
          <w:sz w:val="24"/>
          <w:szCs w:val="24"/>
        </w:rPr>
      </w:pPr>
    </w:p>
    <w:p w14:paraId="51BEB672" w14:textId="77777777" w:rsidR="00A17C15" w:rsidRPr="001B5C4A" w:rsidRDefault="00A17C15" w:rsidP="00B6299B">
      <w:pPr>
        <w:spacing w:line="360" w:lineRule="auto"/>
        <w:jc w:val="both"/>
        <w:rPr>
          <w:rFonts w:ascii="Arial" w:hAnsi="Arial" w:cs="Arial"/>
        </w:rPr>
      </w:pPr>
      <w:r w:rsidRPr="001B5C4A">
        <w:rPr>
          <w:rFonts w:ascii="Arial" w:hAnsi="Arial" w:cs="Arial"/>
          <w:b/>
        </w:rPr>
        <w:t xml:space="preserve">PRIMERO: </w:t>
      </w:r>
      <w:r w:rsidR="00332685" w:rsidRPr="001B5C4A">
        <w:rPr>
          <w:rFonts w:ascii="Arial" w:hAnsi="Arial" w:cs="Arial"/>
          <w:b/>
        </w:rPr>
        <w:t>CONFIRMAR</w:t>
      </w:r>
      <w:r w:rsidRPr="001B5C4A">
        <w:rPr>
          <w:rFonts w:ascii="Arial" w:hAnsi="Arial" w:cs="Arial"/>
          <w:b/>
        </w:rPr>
        <w:t xml:space="preserve"> </w:t>
      </w:r>
      <w:r w:rsidRPr="001B5C4A">
        <w:rPr>
          <w:rFonts w:ascii="Arial" w:hAnsi="Arial" w:cs="Arial"/>
        </w:rPr>
        <w:t>el auto proferido por el Tribunal Administrativo de</w:t>
      </w:r>
      <w:r w:rsidR="0077768C" w:rsidRPr="001B5C4A">
        <w:rPr>
          <w:rFonts w:ascii="Arial" w:hAnsi="Arial" w:cs="Arial"/>
        </w:rPr>
        <w:t xml:space="preserve"> Bolívar</w:t>
      </w:r>
      <w:r w:rsidRPr="001B5C4A">
        <w:rPr>
          <w:rFonts w:ascii="Arial" w:hAnsi="Arial" w:cs="Arial"/>
          <w:iCs/>
        </w:rPr>
        <w:t xml:space="preserve">, el </w:t>
      </w:r>
      <w:r w:rsidR="0077768C" w:rsidRPr="001B5C4A">
        <w:rPr>
          <w:rFonts w:ascii="Arial" w:hAnsi="Arial" w:cs="Arial"/>
          <w:iCs/>
        </w:rPr>
        <w:t>30 de julio de 2015</w:t>
      </w:r>
      <w:r w:rsidRPr="001B5C4A">
        <w:rPr>
          <w:rFonts w:ascii="Arial" w:hAnsi="Arial" w:cs="Arial"/>
          <w:iCs/>
        </w:rPr>
        <w:t xml:space="preserve">, mediante el cual </w:t>
      </w:r>
      <w:r w:rsidR="0077768C" w:rsidRPr="001B5C4A">
        <w:rPr>
          <w:rFonts w:ascii="Arial" w:hAnsi="Arial" w:cs="Arial"/>
          <w:iCs/>
        </w:rPr>
        <w:t>rechazó por extemporánea la demanda de reconvención formulada por la sociedad Inor Ltda.</w:t>
      </w:r>
    </w:p>
    <w:p w14:paraId="1C6A0DA1" w14:textId="77777777" w:rsidR="00A17C15" w:rsidRPr="001B5C4A" w:rsidRDefault="00A17C15" w:rsidP="00B6299B">
      <w:pPr>
        <w:overflowPunct w:val="0"/>
        <w:autoSpaceDE w:val="0"/>
        <w:autoSpaceDN w:val="0"/>
        <w:adjustRightInd w:val="0"/>
        <w:spacing w:line="360" w:lineRule="auto"/>
        <w:jc w:val="both"/>
        <w:textAlignment w:val="baseline"/>
        <w:rPr>
          <w:rFonts w:ascii="Arial" w:hAnsi="Arial" w:cs="Arial"/>
        </w:rPr>
      </w:pPr>
    </w:p>
    <w:p w14:paraId="2B99A7A4" w14:textId="77777777" w:rsidR="00A17C15" w:rsidRPr="001B5C4A" w:rsidRDefault="00A17C15" w:rsidP="00B6299B">
      <w:pPr>
        <w:spacing w:line="360" w:lineRule="auto"/>
        <w:jc w:val="both"/>
        <w:rPr>
          <w:rFonts w:ascii="Arial" w:hAnsi="Arial" w:cs="Arial"/>
        </w:rPr>
      </w:pPr>
      <w:r w:rsidRPr="001B5C4A">
        <w:rPr>
          <w:rFonts w:ascii="Arial" w:hAnsi="Arial" w:cs="Arial"/>
          <w:b/>
        </w:rPr>
        <w:t xml:space="preserve">SEGUNDO: </w:t>
      </w:r>
      <w:r w:rsidRPr="001B5C4A">
        <w:rPr>
          <w:rFonts w:ascii="Arial" w:hAnsi="Arial" w:cs="Arial"/>
        </w:rPr>
        <w:t xml:space="preserve">Por Secretaría de la Sección, una vez ejecutoriado este proveído, </w:t>
      </w:r>
      <w:r w:rsidRPr="001B5C4A">
        <w:rPr>
          <w:rFonts w:ascii="Arial" w:hAnsi="Arial" w:cs="Arial"/>
          <w:b/>
        </w:rPr>
        <w:t>DEV</w:t>
      </w:r>
      <w:r w:rsidR="00794207" w:rsidRPr="001B5C4A">
        <w:rPr>
          <w:rFonts w:ascii="Arial" w:hAnsi="Arial" w:cs="Arial"/>
          <w:b/>
        </w:rPr>
        <w:t>OLVER</w:t>
      </w:r>
      <w:r w:rsidRPr="001B5C4A">
        <w:rPr>
          <w:rFonts w:ascii="Arial" w:hAnsi="Arial" w:cs="Arial"/>
          <w:b/>
        </w:rPr>
        <w:t xml:space="preserve"> </w:t>
      </w:r>
      <w:r w:rsidRPr="001B5C4A">
        <w:rPr>
          <w:rFonts w:ascii="Arial" w:hAnsi="Arial" w:cs="Arial"/>
        </w:rPr>
        <w:t xml:space="preserve">el expediente al Tribunal de origen para </w:t>
      </w:r>
      <w:r w:rsidR="00AC3E4E" w:rsidRPr="001B5C4A">
        <w:rPr>
          <w:rFonts w:ascii="Arial" w:hAnsi="Arial" w:cs="Arial"/>
        </w:rPr>
        <w:t>lo de su cargo</w:t>
      </w:r>
      <w:r w:rsidRPr="001B5C4A">
        <w:rPr>
          <w:rFonts w:ascii="Arial" w:hAnsi="Arial" w:cs="Arial"/>
        </w:rPr>
        <w:t>.</w:t>
      </w:r>
    </w:p>
    <w:p w14:paraId="40C1035D" w14:textId="77777777" w:rsidR="00ED6C6F" w:rsidRPr="001B5C4A" w:rsidRDefault="00ED6C6F" w:rsidP="004729B4">
      <w:pPr>
        <w:pStyle w:val="Textoindependiente"/>
        <w:jc w:val="center"/>
        <w:rPr>
          <w:rFonts w:cs="Arial"/>
          <w:b/>
          <w:bCs/>
          <w:sz w:val="24"/>
          <w:szCs w:val="24"/>
        </w:rPr>
      </w:pPr>
    </w:p>
    <w:p w14:paraId="47AAD6E2" w14:textId="77777777" w:rsidR="00E0135B" w:rsidRPr="001B5C4A" w:rsidRDefault="00E0135B" w:rsidP="004729B4">
      <w:pPr>
        <w:pStyle w:val="Textoindependiente"/>
        <w:jc w:val="center"/>
        <w:rPr>
          <w:rFonts w:cs="Arial"/>
          <w:b/>
          <w:bCs/>
          <w:sz w:val="24"/>
          <w:szCs w:val="24"/>
        </w:rPr>
      </w:pPr>
    </w:p>
    <w:p w14:paraId="00027C9D" w14:textId="77777777" w:rsidR="00A94BC5" w:rsidRPr="001B5C4A" w:rsidRDefault="00A17C15" w:rsidP="004729B4">
      <w:pPr>
        <w:pStyle w:val="Textoindependiente"/>
        <w:jc w:val="center"/>
        <w:rPr>
          <w:rFonts w:cs="Arial"/>
          <w:b/>
          <w:bCs/>
          <w:sz w:val="24"/>
          <w:szCs w:val="24"/>
        </w:rPr>
      </w:pPr>
      <w:r w:rsidRPr="001B5C4A">
        <w:rPr>
          <w:rFonts w:cs="Arial"/>
          <w:b/>
          <w:bCs/>
          <w:sz w:val="24"/>
          <w:szCs w:val="24"/>
        </w:rPr>
        <w:t>NOTIFÍQUESE Y CÚMPLASE</w:t>
      </w:r>
    </w:p>
    <w:p w14:paraId="7A7344B6" w14:textId="77777777" w:rsidR="00A94BC5" w:rsidRPr="001B5C4A" w:rsidRDefault="00A94BC5" w:rsidP="004729B4">
      <w:pPr>
        <w:jc w:val="center"/>
        <w:rPr>
          <w:rFonts w:ascii="Arial" w:hAnsi="Arial" w:cs="Arial"/>
          <w:b/>
          <w:bCs/>
        </w:rPr>
      </w:pPr>
    </w:p>
    <w:p w14:paraId="331FE45E" w14:textId="77777777" w:rsidR="00B17FFD" w:rsidRPr="001B5C4A" w:rsidRDefault="00B17FFD" w:rsidP="004729B4">
      <w:pPr>
        <w:jc w:val="center"/>
        <w:rPr>
          <w:rFonts w:ascii="Arial" w:hAnsi="Arial" w:cs="Arial"/>
          <w:b/>
          <w:bCs/>
        </w:rPr>
      </w:pPr>
    </w:p>
    <w:p w14:paraId="6988C14A" w14:textId="77777777" w:rsidR="0077768C" w:rsidRPr="001B5C4A" w:rsidRDefault="0077768C" w:rsidP="004729B4">
      <w:pPr>
        <w:jc w:val="center"/>
        <w:rPr>
          <w:rFonts w:ascii="Arial" w:hAnsi="Arial" w:cs="Arial"/>
          <w:b/>
          <w:bCs/>
        </w:rPr>
      </w:pPr>
    </w:p>
    <w:p w14:paraId="3E6C173D" w14:textId="77777777" w:rsidR="0077768C" w:rsidRPr="001B5C4A" w:rsidRDefault="0077768C" w:rsidP="004729B4">
      <w:pPr>
        <w:jc w:val="center"/>
        <w:rPr>
          <w:rFonts w:ascii="Arial" w:hAnsi="Arial" w:cs="Arial"/>
          <w:b/>
          <w:bCs/>
        </w:rPr>
      </w:pPr>
    </w:p>
    <w:p w14:paraId="53C45374" w14:textId="77777777" w:rsidR="0077768C" w:rsidRPr="001B5C4A" w:rsidRDefault="00A17C15" w:rsidP="004729B4">
      <w:pPr>
        <w:jc w:val="center"/>
        <w:rPr>
          <w:rFonts w:ascii="Arial" w:hAnsi="Arial" w:cs="Arial"/>
          <w:b/>
        </w:rPr>
      </w:pPr>
      <w:r w:rsidRPr="001B5C4A">
        <w:rPr>
          <w:rFonts w:ascii="Arial" w:hAnsi="Arial" w:cs="Arial"/>
          <w:b/>
        </w:rPr>
        <w:t>MARTA NUBIA VELÁSQUEZ RICO</w:t>
      </w:r>
    </w:p>
    <w:p w14:paraId="2DC2703E" w14:textId="77777777" w:rsidR="0077768C" w:rsidRPr="001B5C4A" w:rsidRDefault="0077768C" w:rsidP="004729B4">
      <w:pPr>
        <w:jc w:val="center"/>
        <w:rPr>
          <w:rFonts w:ascii="Arial" w:hAnsi="Arial" w:cs="Arial"/>
          <w:b/>
        </w:rPr>
      </w:pPr>
    </w:p>
    <w:p w14:paraId="1758D1F8" w14:textId="77777777" w:rsidR="004729B4" w:rsidRPr="001B5C4A" w:rsidRDefault="004729B4" w:rsidP="004729B4">
      <w:pPr>
        <w:jc w:val="center"/>
        <w:rPr>
          <w:rFonts w:ascii="Arial" w:hAnsi="Arial" w:cs="Arial"/>
          <w:b/>
        </w:rPr>
      </w:pPr>
    </w:p>
    <w:p w14:paraId="457BC998" w14:textId="77777777" w:rsidR="00B12295" w:rsidRPr="001B5C4A" w:rsidRDefault="00B12295" w:rsidP="004729B4">
      <w:pPr>
        <w:jc w:val="center"/>
        <w:rPr>
          <w:rFonts w:ascii="Arial" w:hAnsi="Arial" w:cs="Arial"/>
          <w:b/>
        </w:rPr>
      </w:pPr>
    </w:p>
    <w:p w14:paraId="38F1B665" w14:textId="77777777" w:rsidR="00C21953" w:rsidRPr="001B5C4A" w:rsidRDefault="00C21953" w:rsidP="004729B4">
      <w:pPr>
        <w:jc w:val="center"/>
        <w:rPr>
          <w:rFonts w:ascii="Arial" w:hAnsi="Arial" w:cs="Arial"/>
          <w:b/>
        </w:rPr>
      </w:pPr>
    </w:p>
    <w:p w14:paraId="2BEF02EE" w14:textId="77777777" w:rsidR="00E96312" w:rsidRPr="001B5C4A" w:rsidRDefault="0077768C" w:rsidP="004729B4">
      <w:pPr>
        <w:jc w:val="center"/>
        <w:rPr>
          <w:rFonts w:ascii="Arial" w:hAnsi="Arial" w:cs="Arial"/>
          <w:b/>
        </w:rPr>
      </w:pPr>
      <w:r w:rsidRPr="001B5C4A">
        <w:rPr>
          <w:rFonts w:ascii="Arial" w:hAnsi="Arial" w:cs="Arial"/>
          <w:b/>
        </w:rPr>
        <w:t>CARLOS ALBERTO ZAMBRANO BARRERA</w:t>
      </w:r>
    </w:p>
    <w:p w14:paraId="0B502DD2" w14:textId="77777777" w:rsidR="0077768C" w:rsidRPr="001B5C4A" w:rsidRDefault="0077768C" w:rsidP="004729B4">
      <w:pPr>
        <w:jc w:val="center"/>
        <w:rPr>
          <w:rFonts w:ascii="Arial" w:hAnsi="Arial" w:cs="Arial"/>
          <w:b/>
        </w:rPr>
      </w:pPr>
    </w:p>
    <w:p w14:paraId="1DFA7E19" w14:textId="77777777" w:rsidR="00E96312" w:rsidRPr="001B5C4A" w:rsidRDefault="00E96312" w:rsidP="004729B4">
      <w:pPr>
        <w:jc w:val="center"/>
        <w:rPr>
          <w:rFonts w:ascii="Arial" w:hAnsi="Arial" w:cs="Arial"/>
        </w:rPr>
      </w:pPr>
      <w:r w:rsidRPr="001B5C4A">
        <w:rPr>
          <w:rFonts w:ascii="Arial" w:hAnsi="Arial" w:cs="Arial"/>
        </w:rPr>
        <w:t>LZ/MAMG</w:t>
      </w:r>
    </w:p>
    <w:sectPr w:rsidR="00E96312" w:rsidRPr="001B5C4A" w:rsidSect="001B5C4A">
      <w:pgSz w:w="12242" w:h="18722" w:code="120"/>
      <w:pgMar w:top="1701" w:right="1701" w:bottom="1701"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07C68" w14:textId="77777777" w:rsidR="000A7BDB" w:rsidRDefault="000A7BDB">
      <w:r>
        <w:separator/>
      </w:r>
    </w:p>
  </w:endnote>
  <w:endnote w:type="continuationSeparator" w:id="0">
    <w:p w14:paraId="04A99BF0" w14:textId="77777777" w:rsidR="000A7BDB" w:rsidRDefault="000A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A5748" w14:textId="77777777" w:rsidR="000A7BDB" w:rsidRDefault="000A7BDB">
      <w:r>
        <w:separator/>
      </w:r>
    </w:p>
  </w:footnote>
  <w:footnote w:type="continuationSeparator" w:id="0">
    <w:p w14:paraId="368E3115" w14:textId="77777777" w:rsidR="000A7BDB" w:rsidRDefault="000A7BDB">
      <w:r>
        <w:continuationSeparator/>
      </w:r>
    </w:p>
  </w:footnote>
  <w:footnote w:id="1">
    <w:p w14:paraId="4DDD0141" w14:textId="77777777" w:rsidR="004D618B" w:rsidRPr="007C245C" w:rsidRDefault="004D618B" w:rsidP="007C245C">
      <w:pPr>
        <w:pStyle w:val="Textonotapie"/>
        <w:jc w:val="both"/>
        <w:rPr>
          <w:rFonts w:ascii="Arial" w:hAnsi="Arial" w:cs="Arial"/>
          <w:lang w:val="es-CO"/>
        </w:rPr>
      </w:pPr>
      <w:r w:rsidRPr="007C245C">
        <w:rPr>
          <w:rStyle w:val="Refdenotaalpie"/>
          <w:rFonts w:ascii="Arial" w:hAnsi="Arial" w:cs="Arial"/>
        </w:rPr>
        <w:footnoteRef/>
      </w:r>
      <w:r w:rsidRPr="007C245C">
        <w:rPr>
          <w:rFonts w:ascii="Arial" w:hAnsi="Arial" w:cs="Arial"/>
        </w:rPr>
        <w:t xml:space="preserve"> Se aclara que el recurso de apelación fue concedido por el Tribunal Ad</w:t>
      </w:r>
      <w:r w:rsidR="007C245C" w:rsidRPr="007C245C">
        <w:rPr>
          <w:rFonts w:ascii="Arial" w:hAnsi="Arial" w:cs="Arial"/>
        </w:rPr>
        <w:t xml:space="preserve">ministrativo de Bolívar el 19 de </w:t>
      </w:r>
      <w:r w:rsidR="007C245C">
        <w:rPr>
          <w:rFonts w:ascii="Arial" w:hAnsi="Arial" w:cs="Arial"/>
        </w:rPr>
        <w:t>diciembre de 2016 e ingresó</w:t>
      </w:r>
      <w:r w:rsidR="0030587E">
        <w:rPr>
          <w:rFonts w:ascii="Arial" w:hAnsi="Arial" w:cs="Arial"/>
        </w:rPr>
        <w:t xml:space="preserve"> al D</w:t>
      </w:r>
      <w:r w:rsidR="007C245C" w:rsidRPr="007C245C">
        <w:rPr>
          <w:rFonts w:ascii="Arial" w:hAnsi="Arial" w:cs="Arial"/>
        </w:rPr>
        <w:t>espacho de la magistrada ponente el 27 de febrero del presente año.</w:t>
      </w:r>
    </w:p>
  </w:footnote>
  <w:footnote w:id="2">
    <w:p w14:paraId="3285FBCC" w14:textId="77777777" w:rsidR="00BF01ED" w:rsidRPr="00BF01ED" w:rsidRDefault="00BF01ED">
      <w:pPr>
        <w:pStyle w:val="Textonotapie"/>
        <w:rPr>
          <w:rFonts w:ascii="Arial" w:hAnsi="Arial" w:cs="Arial"/>
          <w:lang w:val="es-CO"/>
        </w:rPr>
      </w:pPr>
      <w:r w:rsidRPr="00BF01ED">
        <w:rPr>
          <w:rStyle w:val="Refdenotaalpie"/>
          <w:rFonts w:ascii="Arial" w:hAnsi="Arial" w:cs="Arial"/>
        </w:rPr>
        <w:footnoteRef/>
      </w:r>
      <w:r w:rsidRPr="00BF01ED">
        <w:rPr>
          <w:rFonts w:ascii="Arial" w:hAnsi="Arial" w:cs="Arial"/>
        </w:rPr>
        <w:t xml:space="preserve"> </w:t>
      </w:r>
      <w:r w:rsidRPr="00BF01ED">
        <w:rPr>
          <w:rFonts w:ascii="Arial" w:hAnsi="Arial" w:cs="Arial"/>
          <w:lang w:val="es-CO"/>
        </w:rPr>
        <w:t>Folios 1 a 14 del cuaderno No. 3.</w:t>
      </w:r>
    </w:p>
  </w:footnote>
  <w:footnote w:id="3">
    <w:p w14:paraId="59198B23" w14:textId="77777777" w:rsidR="00773AA0" w:rsidRPr="00773AA0" w:rsidRDefault="00773AA0">
      <w:pPr>
        <w:pStyle w:val="Textonotapie"/>
        <w:rPr>
          <w:rFonts w:ascii="Arial" w:hAnsi="Arial" w:cs="Arial"/>
          <w:lang w:val="es-CO"/>
        </w:rPr>
      </w:pPr>
      <w:r w:rsidRPr="00773AA0">
        <w:rPr>
          <w:rStyle w:val="Refdenotaalpie"/>
          <w:rFonts w:ascii="Arial" w:hAnsi="Arial" w:cs="Arial"/>
        </w:rPr>
        <w:footnoteRef/>
      </w:r>
      <w:r w:rsidRPr="00773AA0">
        <w:rPr>
          <w:rFonts w:ascii="Arial" w:hAnsi="Arial" w:cs="Arial"/>
        </w:rPr>
        <w:t xml:space="preserve"> </w:t>
      </w:r>
      <w:r w:rsidRPr="00773AA0">
        <w:rPr>
          <w:rFonts w:ascii="Arial" w:hAnsi="Arial" w:cs="Arial"/>
          <w:lang w:val="es-CO"/>
        </w:rPr>
        <w:t xml:space="preserve">Folios </w:t>
      </w:r>
      <w:r w:rsidR="00BF01ED">
        <w:rPr>
          <w:rFonts w:ascii="Arial" w:hAnsi="Arial" w:cs="Arial"/>
          <w:lang w:val="es-CO"/>
        </w:rPr>
        <w:t>567 y 568 del cuaderno del Consejo de Estado</w:t>
      </w:r>
      <w:r w:rsidRPr="00773AA0">
        <w:rPr>
          <w:rFonts w:ascii="Arial" w:hAnsi="Arial" w:cs="Arial"/>
          <w:lang w:val="es-CO"/>
        </w:rPr>
        <w:t>.</w:t>
      </w:r>
    </w:p>
  </w:footnote>
  <w:footnote w:id="4">
    <w:p w14:paraId="43FBA93D" w14:textId="77777777" w:rsidR="0011491A" w:rsidRPr="0011491A" w:rsidRDefault="0011491A">
      <w:pPr>
        <w:pStyle w:val="Textonotapie"/>
        <w:rPr>
          <w:rFonts w:ascii="Arial" w:hAnsi="Arial" w:cs="Arial"/>
          <w:lang w:val="es-CO"/>
        </w:rPr>
      </w:pPr>
      <w:r w:rsidRPr="0011491A">
        <w:rPr>
          <w:rStyle w:val="Refdenotaalpie"/>
          <w:rFonts w:ascii="Arial" w:hAnsi="Arial" w:cs="Arial"/>
        </w:rPr>
        <w:footnoteRef/>
      </w:r>
      <w:r w:rsidRPr="0011491A">
        <w:rPr>
          <w:rFonts w:ascii="Arial" w:hAnsi="Arial" w:cs="Arial"/>
        </w:rPr>
        <w:t xml:space="preserve"> </w:t>
      </w:r>
      <w:r w:rsidRPr="0011491A">
        <w:rPr>
          <w:rFonts w:ascii="Arial" w:hAnsi="Arial" w:cs="Arial"/>
          <w:lang w:val="es-CO"/>
        </w:rPr>
        <w:t>Folios 572 y 573 del cuaderno del Consejo de Estado.</w:t>
      </w:r>
    </w:p>
  </w:footnote>
  <w:footnote w:id="5">
    <w:p w14:paraId="289855BD" w14:textId="77777777" w:rsidR="0092141F" w:rsidRPr="00740CF0" w:rsidRDefault="0092141F" w:rsidP="0092141F">
      <w:pPr>
        <w:pStyle w:val="Textonotapie"/>
        <w:jc w:val="both"/>
        <w:rPr>
          <w:rFonts w:ascii="Arial" w:hAnsi="Arial" w:cs="Arial"/>
          <w:i/>
          <w:color w:val="000000"/>
          <w:shd w:val="clear" w:color="auto" w:fill="FFFFFF"/>
        </w:rPr>
      </w:pPr>
      <w:r w:rsidRPr="0097338D">
        <w:rPr>
          <w:rStyle w:val="Refdenotaalpie"/>
          <w:rFonts w:ascii="Arial" w:hAnsi="Arial" w:cs="Arial"/>
        </w:rPr>
        <w:footnoteRef/>
      </w:r>
      <w:r w:rsidRPr="0097338D">
        <w:rPr>
          <w:rFonts w:ascii="Arial" w:hAnsi="Arial" w:cs="Arial"/>
        </w:rPr>
        <w:t xml:space="preserve"> “</w:t>
      </w:r>
      <w:r w:rsidRPr="0097338D">
        <w:rPr>
          <w:rFonts w:ascii="Arial" w:hAnsi="Arial" w:cs="Arial"/>
          <w:i/>
          <w:lang w:val="es-CO"/>
        </w:rPr>
        <w:t xml:space="preserve">Artículo 243. Apelación. </w:t>
      </w:r>
      <w:r w:rsidRPr="0097338D">
        <w:rPr>
          <w:rFonts w:ascii="Arial" w:hAnsi="Arial" w:cs="Arial"/>
          <w:i/>
          <w:color w:val="000000"/>
          <w:shd w:val="clear" w:color="auto" w:fill="FFFFFF"/>
        </w:rPr>
        <w:t>Son apelables las sentencias de primera instancia de los Tribunales y de los Jueces. También serán apelables los siguientes autos proferidos en la misma instancia</w:t>
      </w:r>
      <w:r w:rsidRPr="0097338D">
        <w:rPr>
          <w:rStyle w:val="apple-converted-space"/>
          <w:rFonts w:ascii="Arial" w:hAnsi="Arial" w:cs="Arial"/>
          <w:i/>
          <w:color w:val="000000"/>
          <w:shd w:val="clear" w:color="auto" w:fill="FFFFFF"/>
        </w:rPr>
        <w:t> </w:t>
      </w:r>
      <w:r w:rsidRPr="0097338D">
        <w:rPr>
          <w:rFonts w:ascii="Arial" w:hAnsi="Arial" w:cs="Arial"/>
          <w:i/>
          <w:color w:val="000000"/>
          <w:shd w:val="clear" w:color="auto" w:fill="FFFFFF"/>
        </w:rPr>
        <w:t>por los jueces administrativos:</w:t>
      </w:r>
      <w:r>
        <w:rPr>
          <w:rFonts w:ascii="Arial" w:hAnsi="Arial" w:cs="Arial"/>
          <w:i/>
          <w:color w:val="000000"/>
          <w:shd w:val="clear" w:color="auto" w:fill="FFFFFF"/>
        </w:rPr>
        <w:t xml:space="preserve"> </w:t>
      </w:r>
      <w:r w:rsidRPr="0097338D">
        <w:rPr>
          <w:rFonts w:ascii="Arial" w:hAnsi="Arial" w:cs="Arial"/>
          <w:i/>
          <w:color w:val="000000"/>
          <w:shd w:val="clear" w:color="auto" w:fill="FFFFFF"/>
        </w:rPr>
        <w:t>1. El que re</w:t>
      </w:r>
      <w:r>
        <w:rPr>
          <w:rFonts w:ascii="Arial" w:hAnsi="Arial" w:cs="Arial"/>
          <w:i/>
          <w:color w:val="000000"/>
          <w:shd w:val="clear" w:color="auto" w:fill="FFFFFF"/>
        </w:rPr>
        <w:t xml:space="preserve">chace la demanda </w:t>
      </w:r>
      <w:r w:rsidRPr="0097338D">
        <w:rPr>
          <w:rFonts w:ascii="Arial" w:hAnsi="Arial" w:cs="Arial"/>
          <w:i/>
          <w:color w:val="000000"/>
          <w:shd w:val="clear" w:color="auto" w:fill="FFFFFF"/>
        </w:rPr>
        <w:t xml:space="preserve">(…)”. </w:t>
      </w:r>
    </w:p>
  </w:footnote>
  <w:footnote w:id="6">
    <w:p w14:paraId="771DFF8F" w14:textId="77777777" w:rsidR="0092141F" w:rsidRPr="0097338D" w:rsidRDefault="0092141F" w:rsidP="0092141F">
      <w:pPr>
        <w:pStyle w:val="Textonotapie"/>
        <w:jc w:val="both"/>
        <w:rPr>
          <w:rFonts w:ascii="Arial" w:hAnsi="Arial" w:cs="Arial"/>
          <w:lang w:val="es-CO"/>
        </w:rPr>
      </w:pPr>
      <w:r w:rsidRPr="0097338D">
        <w:rPr>
          <w:rStyle w:val="Refdenotaalpie"/>
          <w:rFonts w:ascii="Arial" w:hAnsi="Arial" w:cs="Arial"/>
        </w:rPr>
        <w:footnoteRef/>
      </w:r>
      <w:r w:rsidRPr="0097338D">
        <w:rPr>
          <w:rFonts w:ascii="Arial" w:hAnsi="Arial" w:cs="Arial"/>
        </w:rPr>
        <w:t xml:space="preserve"> </w:t>
      </w:r>
      <w:r w:rsidRPr="0097338D">
        <w:rPr>
          <w:rFonts w:ascii="Arial" w:hAnsi="Arial" w:cs="Arial"/>
          <w:lang w:val="es-CO"/>
        </w:rPr>
        <w:t>“</w:t>
      </w:r>
      <w:r w:rsidRPr="0097338D">
        <w:rPr>
          <w:rFonts w:ascii="Arial" w:hAnsi="Arial" w:cs="Arial"/>
          <w:i/>
          <w:lang w:val="es-CO"/>
        </w:rPr>
        <w:t xml:space="preserve">Artículo 125. De la expedición de providencias. </w:t>
      </w:r>
      <w:r w:rsidRPr="0097338D">
        <w:rPr>
          <w:rFonts w:ascii="Arial" w:hAnsi="Arial" w:cs="Arial"/>
          <w:i/>
          <w:color w:val="000000"/>
          <w:shd w:val="clear" w:color="auto" w:fill="FFFFFF"/>
        </w:rPr>
        <w:t>Será competencia del juez o Magistrado Ponente dictar los autos interlocutorios y de trámite; sin embargo, en el caso de los jueces colegiados, las decisiones a que se refieren los numerales 1, 2, 3 y 4 del artículo 243 de este Código serán de la sala, excepto en los procesos de única instancia. Corresponderá a los jueces, las salas, secciones y subsecciones de decisión dictar las sentencias. Los autos que resuelvan los recursos de súplica serán dictados por las salas, secciones y subsecciones de decisión con exclusión del Magistrado que hubiere proferido el auto objeto de la súplica</w:t>
      </w:r>
      <w:r w:rsidRPr="0097338D">
        <w:rPr>
          <w:rFonts w:ascii="Arial" w:hAnsi="Arial" w:cs="Arial"/>
          <w:color w:val="000000"/>
          <w:shd w:val="clear" w:color="auto" w:fill="FFFFFF"/>
        </w:rPr>
        <w:t>”.</w:t>
      </w:r>
    </w:p>
  </w:footnote>
  <w:footnote w:id="7">
    <w:p w14:paraId="54E2113A" w14:textId="77777777" w:rsidR="0092141F" w:rsidRPr="008A29DB" w:rsidRDefault="0092141F" w:rsidP="0092141F">
      <w:pPr>
        <w:pStyle w:val="Textonotapie"/>
        <w:jc w:val="both"/>
        <w:rPr>
          <w:rFonts w:ascii="Arial" w:hAnsi="Arial" w:cs="Arial"/>
          <w:lang w:val="es-CO"/>
        </w:rPr>
      </w:pPr>
      <w:r w:rsidRPr="008A29DB">
        <w:rPr>
          <w:rStyle w:val="Refdenotaalpie"/>
          <w:rFonts w:ascii="Arial" w:hAnsi="Arial" w:cs="Arial"/>
        </w:rPr>
        <w:footnoteRef/>
      </w:r>
      <w:r w:rsidRPr="008A29DB">
        <w:rPr>
          <w:rFonts w:ascii="Arial" w:hAnsi="Arial" w:cs="Arial"/>
          <w:i/>
        </w:rPr>
        <w:t xml:space="preserve"> “Artículo 150. El Consejo de Estado, en Sala de lo Contencioso Administrativo conocerá en segunda instancia de las apelaciones de las sentencia dictadas en primera instancia por los tribunales administrativos </w:t>
      </w:r>
      <w:r w:rsidRPr="00740CF0">
        <w:rPr>
          <w:rFonts w:ascii="Arial" w:hAnsi="Arial" w:cs="Arial"/>
          <w:b/>
          <w:i/>
          <w:u w:val="single"/>
        </w:rPr>
        <w:t>y de las apelaciones de autos susceptibles de este medio impugnación</w:t>
      </w:r>
      <w:r w:rsidRPr="008A29DB">
        <w:rPr>
          <w:rFonts w:ascii="Arial" w:hAnsi="Arial" w:cs="Arial"/>
          <w:i/>
        </w:rPr>
        <w:t xml:space="preserve"> (…)”</w:t>
      </w:r>
      <w:r>
        <w:rPr>
          <w:rFonts w:ascii="Arial" w:hAnsi="Arial" w:cs="Arial"/>
          <w:i/>
        </w:rPr>
        <w:t xml:space="preserve"> </w:t>
      </w:r>
      <w:r>
        <w:rPr>
          <w:rFonts w:ascii="Arial" w:hAnsi="Arial" w:cs="Arial"/>
        </w:rPr>
        <w:t>(se destaca)</w:t>
      </w:r>
      <w:r w:rsidRPr="008A29DB">
        <w:rPr>
          <w:rFonts w:ascii="Arial" w:hAnsi="Arial" w:cs="Arial"/>
          <w:i/>
        </w:rPr>
        <w:t>.</w:t>
      </w:r>
    </w:p>
  </w:footnote>
  <w:footnote w:id="8">
    <w:p w14:paraId="7FBBB6B5" w14:textId="77777777" w:rsidR="00DC2925" w:rsidRPr="00CB5D20" w:rsidRDefault="00DC2925" w:rsidP="00DC2925">
      <w:pPr>
        <w:pStyle w:val="Textonotapie"/>
        <w:jc w:val="both"/>
        <w:rPr>
          <w:rFonts w:ascii="Arial" w:hAnsi="Arial" w:cs="Arial"/>
          <w:lang w:val="es-CO"/>
        </w:rPr>
      </w:pPr>
      <w:r w:rsidRPr="00CB5D20">
        <w:rPr>
          <w:rStyle w:val="Refdenotaalpie"/>
          <w:rFonts w:ascii="Arial" w:hAnsi="Arial" w:cs="Arial"/>
        </w:rPr>
        <w:footnoteRef/>
      </w:r>
      <w:r w:rsidRPr="00CB5D20">
        <w:rPr>
          <w:rFonts w:ascii="Arial" w:hAnsi="Arial" w:cs="Arial"/>
        </w:rPr>
        <w:t xml:space="preserve"> </w:t>
      </w:r>
      <w:r w:rsidRPr="00CB5D20">
        <w:rPr>
          <w:rFonts w:ascii="Arial" w:hAnsi="Arial" w:cs="Arial"/>
          <w:lang w:val="es-CO"/>
        </w:rPr>
        <w:t>Respecto de la naturaleza de la demanda de reconvención se puede consul</w:t>
      </w:r>
      <w:r>
        <w:rPr>
          <w:rFonts w:ascii="Arial" w:hAnsi="Arial" w:cs="Arial"/>
          <w:lang w:val="es-CO"/>
        </w:rPr>
        <w:t>t</w:t>
      </w:r>
      <w:r w:rsidRPr="00CB5D20">
        <w:rPr>
          <w:rFonts w:ascii="Arial" w:hAnsi="Arial" w:cs="Arial"/>
          <w:lang w:val="es-CO"/>
        </w:rPr>
        <w:t>ar, entre otros, el auto proferido por el Consejo de Estado, Sala de lo Contencioso Administrativo, Sección Tercera, Subsección A, Conseje</w:t>
      </w:r>
      <w:r w:rsidR="00394F3D">
        <w:rPr>
          <w:rFonts w:ascii="Arial" w:hAnsi="Arial" w:cs="Arial"/>
          <w:lang w:val="es-CO"/>
        </w:rPr>
        <w:t>ro Ponente Hernán Andrade Rincón, exp. 45191</w:t>
      </w:r>
      <w:r w:rsidRPr="00CB5D20">
        <w:rPr>
          <w:rFonts w:ascii="Arial" w:hAnsi="Arial" w:cs="Arial"/>
          <w:lang w:val="es-CO"/>
        </w:rPr>
        <w:t>.</w:t>
      </w:r>
    </w:p>
  </w:footnote>
  <w:footnote w:id="9">
    <w:p w14:paraId="5F5D3962" w14:textId="77777777" w:rsidR="005E6B65" w:rsidRPr="006B7352" w:rsidRDefault="005E6B65" w:rsidP="005E6B65">
      <w:pPr>
        <w:pStyle w:val="Textonotapie"/>
        <w:jc w:val="both"/>
        <w:rPr>
          <w:rFonts w:ascii="Arial" w:hAnsi="Arial" w:cs="Arial"/>
          <w:lang w:val="es-CO"/>
        </w:rPr>
      </w:pPr>
      <w:r w:rsidRPr="006B7352">
        <w:rPr>
          <w:rStyle w:val="Refdenotaalpie"/>
          <w:rFonts w:ascii="Arial" w:hAnsi="Arial" w:cs="Arial"/>
        </w:rPr>
        <w:footnoteRef/>
      </w:r>
      <w:r w:rsidRPr="006B7352">
        <w:rPr>
          <w:rFonts w:ascii="Arial" w:hAnsi="Arial" w:cs="Arial"/>
        </w:rPr>
        <w:t xml:space="preserve"> </w:t>
      </w:r>
      <w:r w:rsidRPr="006B7352">
        <w:rPr>
          <w:rFonts w:ascii="Arial" w:hAnsi="Arial" w:cs="Arial"/>
          <w:lang w:val="es-CO"/>
        </w:rPr>
        <w:t>Folio 195 del cuaderno No. 1.</w:t>
      </w:r>
    </w:p>
  </w:footnote>
  <w:footnote w:id="10">
    <w:p w14:paraId="166F59B8" w14:textId="77777777" w:rsidR="0023097C" w:rsidRPr="0023097C" w:rsidRDefault="0023097C">
      <w:pPr>
        <w:pStyle w:val="Textonotapie"/>
        <w:rPr>
          <w:rFonts w:ascii="Arial" w:hAnsi="Arial" w:cs="Arial"/>
          <w:lang w:val="es-CO"/>
        </w:rPr>
      </w:pPr>
      <w:r w:rsidRPr="0023097C">
        <w:rPr>
          <w:rStyle w:val="Refdenotaalpie"/>
          <w:rFonts w:ascii="Arial" w:hAnsi="Arial" w:cs="Arial"/>
        </w:rPr>
        <w:footnoteRef/>
      </w:r>
      <w:r w:rsidRPr="0023097C">
        <w:rPr>
          <w:rFonts w:ascii="Arial" w:hAnsi="Arial" w:cs="Arial"/>
        </w:rPr>
        <w:t xml:space="preserve"> </w:t>
      </w:r>
      <w:r w:rsidRPr="0023097C">
        <w:rPr>
          <w:rFonts w:ascii="Arial" w:hAnsi="Arial" w:cs="Arial"/>
          <w:lang w:val="es-CO"/>
        </w:rPr>
        <w:t xml:space="preserve">Folios 272 del cuaderno No. 2 y </w:t>
      </w:r>
      <w:r>
        <w:rPr>
          <w:rFonts w:ascii="Arial" w:hAnsi="Arial" w:cs="Arial"/>
          <w:lang w:val="es-CO"/>
        </w:rPr>
        <w:t>1 del cuaderno No. 3, respectivamente.</w:t>
      </w:r>
    </w:p>
  </w:footnote>
  <w:footnote w:id="11">
    <w:p w14:paraId="48D197A6" w14:textId="77777777" w:rsidR="00ED77EE" w:rsidRPr="00ED77EE" w:rsidRDefault="00ED77EE" w:rsidP="00ED77EE">
      <w:pPr>
        <w:pStyle w:val="Textonotapie"/>
        <w:jc w:val="both"/>
        <w:rPr>
          <w:rFonts w:ascii="Arial" w:hAnsi="Arial" w:cs="Arial"/>
          <w:lang w:val="es-CO"/>
        </w:rPr>
      </w:pPr>
      <w:r w:rsidRPr="00ED77EE">
        <w:rPr>
          <w:rStyle w:val="Refdenotaalpie"/>
          <w:rFonts w:ascii="Arial" w:hAnsi="Arial" w:cs="Arial"/>
        </w:rPr>
        <w:footnoteRef/>
      </w:r>
      <w:r w:rsidRPr="00ED77EE">
        <w:rPr>
          <w:rFonts w:ascii="Arial" w:hAnsi="Arial" w:cs="Arial"/>
        </w:rPr>
        <w:t xml:space="preserve"> </w:t>
      </w:r>
      <w:r w:rsidRPr="00ED77EE">
        <w:rPr>
          <w:rFonts w:ascii="Arial" w:hAnsi="Arial" w:cs="Arial"/>
          <w:lang w:val="es-CO"/>
        </w:rPr>
        <w:t>Cuerpo normativo que entró en vigencia para esta jurisdicción el 1º de enero de 2014, es decir, antes de la presentación de la demanda que dio origen a este proceso.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0446A"/>
    <w:multiLevelType w:val="hybridMultilevel"/>
    <w:tmpl w:val="B1BE7026"/>
    <w:lvl w:ilvl="0" w:tplc="1FD463F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940D44"/>
    <w:multiLevelType w:val="hybridMultilevel"/>
    <w:tmpl w:val="FA4499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DC454D9"/>
    <w:multiLevelType w:val="hybridMultilevel"/>
    <w:tmpl w:val="81E488F4"/>
    <w:lvl w:ilvl="0" w:tplc="599E59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34B5900"/>
    <w:multiLevelType w:val="hybridMultilevel"/>
    <w:tmpl w:val="0486EEA8"/>
    <w:lvl w:ilvl="0" w:tplc="09E84A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89C4CA1"/>
    <w:multiLevelType w:val="hybridMultilevel"/>
    <w:tmpl w:val="52EEF85A"/>
    <w:lvl w:ilvl="0" w:tplc="BFB636C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40"/>
    <w:rsid w:val="000015A5"/>
    <w:rsid w:val="00003640"/>
    <w:rsid w:val="00006CE6"/>
    <w:rsid w:val="00010312"/>
    <w:rsid w:val="00012637"/>
    <w:rsid w:val="00017251"/>
    <w:rsid w:val="00017515"/>
    <w:rsid w:val="00023A70"/>
    <w:rsid w:val="00033085"/>
    <w:rsid w:val="000340E8"/>
    <w:rsid w:val="00044EF9"/>
    <w:rsid w:val="0004554F"/>
    <w:rsid w:val="00050019"/>
    <w:rsid w:val="00051800"/>
    <w:rsid w:val="00055A0D"/>
    <w:rsid w:val="00063F0D"/>
    <w:rsid w:val="000655F0"/>
    <w:rsid w:val="00066871"/>
    <w:rsid w:val="0007076F"/>
    <w:rsid w:val="000723C8"/>
    <w:rsid w:val="00072DC6"/>
    <w:rsid w:val="0007607F"/>
    <w:rsid w:val="0007632A"/>
    <w:rsid w:val="0007733C"/>
    <w:rsid w:val="000864B3"/>
    <w:rsid w:val="00092251"/>
    <w:rsid w:val="0009242C"/>
    <w:rsid w:val="000934D0"/>
    <w:rsid w:val="00095372"/>
    <w:rsid w:val="00097BE6"/>
    <w:rsid w:val="000A28E5"/>
    <w:rsid w:val="000A31F1"/>
    <w:rsid w:val="000A39C9"/>
    <w:rsid w:val="000A3E88"/>
    <w:rsid w:val="000A7BDB"/>
    <w:rsid w:val="000B534A"/>
    <w:rsid w:val="000C32F9"/>
    <w:rsid w:val="000C4B12"/>
    <w:rsid w:val="000D0471"/>
    <w:rsid w:val="000D1B28"/>
    <w:rsid w:val="000D5227"/>
    <w:rsid w:val="000D78C2"/>
    <w:rsid w:val="000E0AAD"/>
    <w:rsid w:val="000E3002"/>
    <w:rsid w:val="000E636D"/>
    <w:rsid w:val="000E6D00"/>
    <w:rsid w:val="000E7426"/>
    <w:rsid w:val="000F0DD1"/>
    <w:rsid w:val="000F10DB"/>
    <w:rsid w:val="000F4124"/>
    <w:rsid w:val="000F5344"/>
    <w:rsid w:val="000F73C4"/>
    <w:rsid w:val="000F7AF1"/>
    <w:rsid w:val="001006A4"/>
    <w:rsid w:val="001038BF"/>
    <w:rsid w:val="00103B3F"/>
    <w:rsid w:val="00106326"/>
    <w:rsid w:val="0011491A"/>
    <w:rsid w:val="00116E02"/>
    <w:rsid w:val="00120152"/>
    <w:rsid w:val="001211CC"/>
    <w:rsid w:val="001227DD"/>
    <w:rsid w:val="00122C7A"/>
    <w:rsid w:val="001235F3"/>
    <w:rsid w:val="00124515"/>
    <w:rsid w:val="00134D06"/>
    <w:rsid w:val="0014091C"/>
    <w:rsid w:val="001422C2"/>
    <w:rsid w:val="0014278C"/>
    <w:rsid w:val="00144A1C"/>
    <w:rsid w:val="00144D12"/>
    <w:rsid w:val="00147552"/>
    <w:rsid w:val="00150A8F"/>
    <w:rsid w:val="001539A1"/>
    <w:rsid w:val="001548E5"/>
    <w:rsid w:val="001569B0"/>
    <w:rsid w:val="00157002"/>
    <w:rsid w:val="0016133C"/>
    <w:rsid w:val="00161AE9"/>
    <w:rsid w:val="001624BC"/>
    <w:rsid w:val="00163143"/>
    <w:rsid w:val="00165FCF"/>
    <w:rsid w:val="00171921"/>
    <w:rsid w:val="00175D5C"/>
    <w:rsid w:val="00177FEE"/>
    <w:rsid w:val="00182A88"/>
    <w:rsid w:val="001901CB"/>
    <w:rsid w:val="001A104E"/>
    <w:rsid w:val="001A2A94"/>
    <w:rsid w:val="001A3A19"/>
    <w:rsid w:val="001A52E5"/>
    <w:rsid w:val="001A5517"/>
    <w:rsid w:val="001A78A4"/>
    <w:rsid w:val="001B1E5A"/>
    <w:rsid w:val="001B2E18"/>
    <w:rsid w:val="001B33FE"/>
    <w:rsid w:val="001B49C1"/>
    <w:rsid w:val="001B5B5A"/>
    <w:rsid w:val="001B5C4A"/>
    <w:rsid w:val="001B5FDD"/>
    <w:rsid w:val="001C1A70"/>
    <w:rsid w:val="001C5DDD"/>
    <w:rsid w:val="001C79A5"/>
    <w:rsid w:val="001D257C"/>
    <w:rsid w:val="001D3DB0"/>
    <w:rsid w:val="001E1717"/>
    <w:rsid w:val="001E3311"/>
    <w:rsid w:val="001E3F32"/>
    <w:rsid w:val="001E71A4"/>
    <w:rsid w:val="001E7FE1"/>
    <w:rsid w:val="001F011A"/>
    <w:rsid w:val="001F0C16"/>
    <w:rsid w:val="001F3263"/>
    <w:rsid w:val="001F67EA"/>
    <w:rsid w:val="001F6B11"/>
    <w:rsid w:val="002010C1"/>
    <w:rsid w:val="002042BE"/>
    <w:rsid w:val="00204409"/>
    <w:rsid w:val="00211279"/>
    <w:rsid w:val="00211F62"/>
    <w:rsid w:val="00212A9F"/>
    <w:rsid w:val="0021546B"/>
    <w:rsid w:val="00223888"/>
    <w:rsid w:val="0022537C"/>
    <w:rsid w:val="00225ADC"/>
    <w:rsid w:val="00227D11"/>
    <w:rsid w:val="002304A7"/>
    <w:rsid w:val="0023097C"/>
    <w:rsid w:val="00232562"/>
    <w:rsid w:val="00232733"/>
    <w:rsid w:val="00233C57"/>
    <w:rsid w:val="00234536"/>
    <w:rsid w:val="0023562D"/>
    <w:rsid w:val="00237309"/>
    <w:rsid w:val="002408DB"/>
    <w:rsid w:val="00243F28"/>
    <w:rsid w:val="00245777"/>
    <w:rsid w:val="00245A3B"/>
    <w:rsid w:val="00245AF0"/>
    <w:rsid w:val="00245BAF"/>
    <w:rsid w:val="002515E5"/>
    <w:rsid w:val="002522CA"/>
    <w:rsid w:val="002523D3"/>
    <w:rsid w:val="00254A83"/>
    <w:rsid w:val="0025559A"/>
    <w:rsid w:val="00256DF9"/>
    <w:rsid w:val="00262CBD"/>
    <w:rsid w:val="002717E5"/>
    <w:rsid w:val="0028096D"/>
    <w:rsid w:val="002821C8"/>
    <w:rsid w:val="00282B33"/>
    <w:rsid w:val="002926C6"/>
    <w:rsid w:val="00292DDC"/>
    <w:rsid w:val="002952BD"/>
    <w:rsid w:val="00296374"/>
    <w:rsid w:val="002A1755"/>
    <w:rsid w:val="002B0400"/>
    <w:rsid w:val="002B28CA"/>
    <w:rsid w:val="002B3EFB"/>
    <w:rsid w:val="002C22B2"/>
    <w:rsid w:val="002C6FEB"/>
    <w:rsid w:val="002D0B72"/>
    <w:rsid w:val="002D0C2B"/>
    <w:rsid w:val="002D165D"/>
    <w:rsid w:val="002D6D4F"/>
    <w:rsid w:val="002E31D2"/>
    <w:rsid w:val="002E4EA5"/>
    <w:rsid w:val="002E65BB"/>
    <w:rsid w:val="002F1F74"/>
    <w:rsid w:val="002F29CA"/>
    <w:rsid w:val="002F2DB1"/>
    <w:rsid w:val="002F3643"/>
    <w:rsid w:val="002F7AA7"/>
    <w:rsid w:val="00301B57"/>
    <w:rsid w:val="00301C90"/>
    <w:rsid w:val="0030363B"/>
    <w:rsid w:val="0030587E"/>
    <w:rsid w:val="003065E9"/>
    <w:rsid w:val="00306759"/>
    <w:rsid w:val="00307823"/>
    <w:rsid w:val="00312EBF"/>
    <w:rsid w:val="0031536A"/>
    <w:rsid w:val="00316E99"/>
    <w:rsid w:val="00317742"/>
    <w:rsid w:val="00324F65"/>
    <w:rsid w:val="00332685"/>
    <w:rsid w:val="00333DB7"/>
    <w:rsid w:val="003360E9"/>
    <w:rsid w:val="00340220"/>
    <w:rsid w:val="00340CFB"/>
    <w:rsid w:val="0034575D"/>
    <w:rsid w:val="00346819"/>
    <w:rsid w:val="00347EB3"/>
    <w:rsid w:val="00353439"/>
    <w:rsid w:val="0035642A"/>
    <w:rsid w:val="00357910"/>
    <w:rsid w:val="00357F81"/>
    <w:rsid w:val="00372E24"/>
    <w:rsid w:val="00373097"/>
    <w:rsid w:val="00374C16"/>
    <w:rsid w:val="00376D16"/>
    <w:rsid w:val="0038010B"/>
    <w:rsid w:val="00380701"/>
    <w:rsid w:val="00382289"/>
    <w:rsid w:val="00382F9E"/>
    <w:rsid w:val="003832E7"/>
    <w:rsid w:val="00394686"/>
    <w:rsid w:val="00394F3D"/>
    <w:rsid w:val="003A35CB"/>
    <w:rsid w:val="003A5DE3"/>
    <w:rsid w:val="003A5F31"/>
    <w:rsid w:val="003B04A8"/>
    <w:rsid w:val="003B1295"/>
    <w:rsid w:val="003B1427"/>
    <w:rsid w:val="003B2555"/>
    <w:rsid w:val="003B2C5A"/>
    <w:rsid w:val="003B4862"/>
    <w:rsid w:val="003B5022"/>
    <w:rsid w:val="003C116A"/>
    <w:rsid w:val="003C1A94"/>
    <w:rsid w:val="003C62AF"/>
    <w:rsid w:val="003E02B7"/>
    <w:rsid w:val="003E10AE"/>
    <w:rsid w:val="003E3B24"/>
    <w:rsid w:val="003E5C43"/>
    <w:rsid w:val="003E66C7"/>
    <w:rsid w:val="003F2DE8"/>
    <w:rsid w:val="003F5487"/>
    <w:rsid w:val="003F7BF5"/>
    <w:rsid w:val="0040086B"/>
    <w:rsid w:val="00403495"/>
    <w:rsid w:val="004049DC"/>
    <w:rsid w:val="00411654"/>
    <w:rsid w:val="0041287C"/>
    <w:rsid w:val="004143E7"/>
    <w:rsid w:val="00414893"/>
    <w:rsid w:val="00414C19"/>
    <w:rsid w:val="0041518C"/>
    <w:rsid w:val="00415C6F"/>
    <w:rsid w:val="004203F8"/>
    <w:rsid w:val="00420BE1"/>
    <w:rsid w:val="00423299"/>
    <w:rsid w:val="00426BB4"/>
    <w:rsid w:val="00431970"/>
    <w:rsid w:val="00431C15"/>
    <w:rsid w:val="004324E2"/>
    <w:rsid w:val="00433CB4"/>
    <w:rsid w:val="00436194"/>
    <w:rsid w:val="004375F3"/>
    <w:rsid w:val="004523D9"/>
    <w:rsid w:val="00452419"/>
    <w:rsid w:val="004614D5"/>
    <w:rsid w:val="00465E90"/>
    <w:rsid w:val="004666EF"/>
    <w:rsid w:val="00470B5C"/>
    <w:rsid w:val="00470E9A"/>
    <w:rsid w:val="004729B4"/>
    <w:rsid w:val="00473B16"/>
    <w:rsid w:val="0047421C"/>
    <w:rsid w:val="00475099"/>
    <w:rsid w:val="00476403"/>
    <w:rsid w:val="00477E38"/>
    <w:rsid w:val="00487028"/>
    <w:rsid w:val="004926C9"/>
    <w:rsid w:val="004934FA"/>
    <w:rsid w:val="00496846"/>
    <w:rsid w:val="004A4A0B"/>
    <w:rsid w:val="004A50B2"/>
    <w:rsid w:val="004A6259"/>
    <w:rsid w:val="004A69D5"/>
    <w:rsid w:val="004A797B"/>
    <w:rsid w:val="004A7B12"/>
    <w:rsid w:val="004B2766"/>
    <w:rsid w:val="004C4BC5"/>
    <w:rsid w:val="004C6C8D"/>
    <w:rsid w:val="004C752D"/>
    <w:rsid w:val="004D1010"/>
    <w:rsid w:val="004D27BE"/>
    <w:rsid w:val="004D30A2"/>
    <w:rsid w:val="004D35F3"/>
    <w:rsid w:val="004D618B"/>
    <w:rsid w:val="004E1462"/>
    <w:rsid w:val="004E2426"/>
    <w:rsid w:val="004E3F9D"/>
    <w:rsid w:val="004E442E"/>
    <w:rsid w:val="004E4E3B"/>
    <w:rsid w:val="004E6120"/>
    <w:rsid w:val="004E6622"/>
    <w:rsid w:val="004F224C"/>
    <w:rsid w:val="004F60BA"/>
    <w:rsid w:val="00505760"/>
    <w:rsid w:val="0051188C"/>
    <w:rsid w:val="005118AE"/>
    <w:rsid w:val="005118CA"/>
    <w:rsid w:val="00522486"/>
    <w:rsid w:val="00524294"/>
    <w:rsid w:val="005270FB"/>
    <w:rsid w:val="0053084D"/>
    <w:rsid w:val="00530B16"/>
    <w:rsid w:val="00535777"/>
    <w:rsid w:val="00542C66"/>
    <w:rsid w:val="0054633A"/>
    <w:rsid w:val="00551E53"/>
    <w:rsid w:val="005523CF"/>
    <w:rsid w:val="005553F9"/>
    <w:rsid w:val="0055698D"/>
    <w:rsid w:val="005603B9"/>
    <w:rsid w:val="00560A86"/>
    <w:rsid w:val="00561E40"/>
    <w:rsid w:val="0057116F"/>
    <w:rsid w:val="00571C39"/>
    <w:rsid w:val="0057503D"/>
    <w:rsid w:val="0057692E"/>
    <w:rsid w:val="00577BBE"/>
    <w:rsid w:val="00585B58"/>
    <w:rsid w:val="005906E8"/>
    <w:rsid w:val="00590ECC"/>
    <w:rsid w:val="00591421"/>
    <w:rsid w:val="00593CAA"/>
    <w:rsid w:val="00594483"/>
    <w:rsid w:val="005A0B87"/>
    <w:rsid w:val="005A0F40"/>
    <w:rsid w:val="005A1B1F"/>
    <w:rsid w:val="005A31E7"/>
    <w:rsid w:val="005A41F1"/>
    <w:rsid w:val="005A470F"/>
    <w:rsid w:val="005B01D7"/>
    <w:rsid w:val="005B202D"/>
    <w:rsid w:val="005B2F08"/>
    <w:rsid w:val="005B5504"/>
    <w:rsid w:val="005B6054"/>
    <w:rsid w:val="005C2016"/>
    <w:rsid w:val="005C44E1"/>
    <w:rsid w:val="005D1DB4"/>
    <w:rsid w:val="005D48BF"/>
    <w:rsid w:val="005D4A21"/>
    <w:rsid w:val="005E6B65"/>
    <w:rsid w:val="005F33D4"/>
    <w:rsid w:val="005F3868"/>
    <w:rsid w:val="005F49FC"/>
    <w:rsid w:val="005F7064"/>
    <w:rsid w:val="005F7B60"/>
    <w:rsid w:val="005F7F9E"/>
    <w:rsid w:val="00601671"/>
    <w:rsid w:val="0060477B"/>
    <w:rsid w:val="006049C1"/>
    <w:rsid w:val="0060603F"/>
    <w:rsid w:val="00606F5A"/>
    <w:rsid w:val="0060760E"/>
    <w:rsid w:val="006130CA"/>
    <w:rsid w:val="00615E50"/>
    <w:rsid w:val="00617FEE"/>
    <w:rsid w:val="0062090C"/>
    <w:rsid w:val="00620A25"/>
    <w:rsid w:val="006220A5"/>
    <w:rsid w:val="00624D4D"/>
    <w:rsid w:val="00626C0F"/>
    <w:rsid w:val="00626CD2"/>
    <w:rsid w:val="006277FE"/>
    <w:rsid w:val="00630CBB"/>
    <w:rsid w:val="00634A76"/>
    <w:rsid w:val="00634F4B"/>
    <w:rsid w:val="00642021"/>
    <w:rsid w:val="00642C54"/>
    <w:rsid w:val="00644842"/>
    <w:rsid w:val="00646191"/>
    <w:rsid w:val="00646952"/>
    <w:rsid w:val="006541BB"/>
    <w:rsid w:val="00662F7E"/>
    <w:rsid w:val="006637A1"/>
    <w:rsid w:val="006638EF"/>
    <w:rsid w:val="006710D8"/>
    <w:rsid w:val="0067246A"/>
    <w:rsid w:val="006744D1"/>
    <w:rsid w:val="00681DF7"/>
    <w:rsid w:val="006842FB"/>
    <w:rsid w:val="0069439E"/>
    <w:rsid w:val="00694435"/>
    <w:rsid w:val="00696CFE"/>
    <w:rsid w:val="006975E7"/>
    <w:rsid w:val="006A0248"/>
    <w:rsid w:val="006A1C8B"/>
    <w:rsid w:val="006B2C13"/>
    <w:rsid w:val="006B39D5"/>
    <w:rsid w:val="006B3F64"/>
    <w:rsid w:val="006B49EE"/>
    <w:rsid w:val="006B7352"/>
    <w:rsid w:val="006C28F0"/>
    <w:rsid w:val="006C4B9E"/>
    <w:rsid w:val="006C4CA2"/>
    <w:rsid w:val="006C5757"/>
    <w:rsid w:val="006C6308"/>
    <w:rsid w:val="006C70BF"/>
    <w:rsid w:val="006C7B36"/>
    <w:rsid w:val="006D0F27"/>
    <w:rsid w:val="006D138C"/>
    <w:rsid w:val="006D42DA"/>
    <w:rsid w:val="006E048A"/>
    <w:rsid w:val="006E1378"/>
    <w:rsid w:val="006E637C"/>
    <w:rsid w:val="006F1BC9"/>
    <w:rsid w:val="006F401B"/>
    <w:rsid w:val="00700924"/>
    <w:rsid w:val="00704EB5"/>
    <w:rsid w:val="00707CE3"/>
    <w:rsid w:val="0071317C"/>
    <w:rsid w:val="00713200"/>
    <w:rsid w:val="00714188"/>
    <w:rsid w:val="007156F7"/>
    <w:rsid w:val="0071599F"/>
    <w:rsid w:val="007229E3"/>
    <w:rsid w:val="0072360B"/>
    <w:rsid w:val="007237BB"/>
    <w:rsid w:val="007238D2"/>
    <w:rsid w:val="00726DC1"/>
    <w:rsid w:val="00730F6D"/>
    <w:rsid w:val="00731311"/>
    <w:rsid w:val="00732053"/>
    <w:rsid w:val="007320D0"/>
    <w:rsid w:val="00737B98"/>
    <w:rsid w:val="00742E5C"/>
    <w:rsid w:val="007447EC"/>
    <w:rsid w:val="0074521D"/>
    <w:rsid w:val="00753757"/>
    <w:rsid w:val="00753EFE"/>
    <w:rsid w:val="00764482"/>
    <w:rsid w:val="00764574"/>
    <w:rsid w:val="00765FEE"/>
    <w:rsid w:val="00771AB4"/>
    <w:rsid w:val="00773AA0"/>
    <w:rsid w:val="0077621C"/>
    <w:rsid w:val="0077768C"/>
    <w:rsid w:val="00794207"/>
    <w:rsid w:val="007948AC"/>
    <w:rsid w:val="007A1327"/>
    <w:rsid w:val="007A1508"/>
    <w:rsid w:val="007A3495"/>
    <w:rsid w:val="007A485E"/>
    <w:rsid w:val="007A5852"/>
    <w:rsid w:val="007B19D6"/>
    <w:rsid w:val="007B2E32"/>
    <w:rsid w:val="007B3A11"/>
    <w:rsid w:val="007B5B9A"/>
    <w:rsid w:val="007B6236"/>
    <w:rsid w:val="007B6481"/>
    <w:rsid w:val="007B6DB9"/>
    <w:rsid w:val="007C13F3"/>
    <w:rsid w:val="007C245C"/>
    <w:rsid w:val="007C613C"/>
    <w:rsid w:val="007D3231"/>
    <w:rsid w:val="007E3BDC"/>
    <w:rsid w:val="007F3605"/>
    <w:rsid w:val="007F5D10"/>
    <w:rsid w:val="00801946"/>
    <w:rsid w:val="00802A47"/>
    <w:rsid w:val="00803863"/>
    <w:rsid w:val="00805C58"/>
    <w:rsid w:val="0080691D"/>
    <w:rsid w:val="00810A44"/>
    <w:rsid w:val="00813B30"/>
    <w:rsid w:val="008164E3"/>
    <w:rsid w:val="00817403"/>
    <w:rsid w:val="00817D73"/>
    <w:rsid w:val="00822364"/>
    <w:rsid w:val="00823B4C"/>
    <w:rsid w:val="008241AF"/>
    <w:rsid w:val="00824715"/>
    <w:rsid w:val="00831DB3"/>
    <w:rsid w:val="00831E92"/>
    <w:rsid w:val="0083610A"/>
    <w:rsid w:val="00836263"/>
    <w:rsid w:val="00840B3B"/>
    <w:rsid w:val="00842AC5"/>
    <w:rsid w:val="00846E22"/>
    <w:rsid w:val="00853C49"/>
    <w:rsid w:val="00856B1B"/>
    <w:rsid w:val="008575EC"/>
    <w:rsid w:val="00862992"/>
    <w:rsid w:val="00871651"/>
    <w:rsid w:val="00874513"/>
    <w:rsid w:val="00874768"/>
    <w:rsid w:val="00875152"/>
    <w:rsid w:val="00875E3D"/>
    <w:rsid w:val="00881AE1"/>
    <w:rsid w:val="0088528B"/>
    <w:rsid w:val="0089278B"/>
    <w:rsid w:val="00892F27"/>
    <w:rsid w:val="008A2051"/>
    <w:rsid w:val="008A2711"/>
    <w:rsid w:val="008A48A7"/>
    <w:rsid w:val="008A55E0"/>
    <w:rsid w:val="008A5ACD"/>
    <w:rsid w:val="008B1DCE"/>
    <w:rsid w:val="008C2220"/>
    <w:rsid w:val="008D6749"/>
    <w:rsid w:val="008D7804"/>
    <w:rsid w:val="008E6552"/>
    <w:rsid w:val="008E6960"/>
    <w:rsid w:val="008F166D"/>
    <w:rsid w:val="008F316E"/>
    <w:rsid w:val="008F5103"/>
    <w:rsid w:val="0090212E"/>
    <w:rsid w:val="0090488D"/>
    <w:rsid w:val="009060CB"/>
    <w:rsid w:val="00906CFA"/>
    <w:rsid w:val="00913CF9"/>
    <w:rsid w:val="009154E5"/>
    <w:rsid w:val="00915FB6"/>
    <w:rsid w:val="0092141F"/>
    <w:rsid w:val="009218EC"/>
    <w:rsid w:val="00925B18"/>
    <w:rsid w:val="00930916"/>
    <w:rsid w:val="00931410"/>
    <w:rsid w:val="0093451B"/>
    <w:rsid w:val="009366C6"/>
    <w:rsid w:val="00937903"/>
    <w:rsid w:val="00941AB1"/>
    <w:rsid w:val="00942B47"/>
    <w:rsid w:val="00943E66"/>
    <w:rsid w:val="00945DCD"/>
    <w:rsid w:val="00945F95"/>
    <w:rsid w:val="00950738"/>
    <w:rsid w:val="0095391C"/>
    <w:rsid w:val="0095677C"/>
    <w:rsid w:val="0095681E"/>
    <w:rsid w:val="00956D37"/>
    <w:rsid w:val="0096035A"/>
    <w:rsid w:val="00975663"/>
    <w:rsid w:val="00975A40"/>
    <w:rsid w:val="00976EDB"/>
    <w:rsid w:val="00977E24"/>
    <w:rsid w:val="00980DEB"/>
    <w:rsid w:val="0098349B"/>
    <w:rsid w:val="009846E4"/>
    <w:rsid w:val="00986B10"/>
    <w:rsid w:val="00990D90"/>
    <w:rsid w:val="00991EAD"/>
    <w:rsid w:val="00993BC1"/>
    <w:rsid w:val="009A3096"/>
    <w:rsid w:val="009A4A0C"/>
    <w:rsid w:val="009A5C06"/>
    <w:rsid w:val="009A65EF"/>
    <w:rsid w:val="009A7E6E"/>
    <w:rsid w:val="009B1627"/>
    <w:rsid w:val="009B3217"/>
    <w:rsid w:val="009B3D3D"/>
    <w:rsid w:val="009C03D2"/>
    <w:rsid w:val="009C122F"/>
    <w:rsid w:val="009C2852"/>
    <w:rsid w:val="009C4121"/>
    <w:rsid w:val="009D2483"/>
    <w:rsid w:val="009D31F0"/>
    <w:rsid w:val="009D35C8"/>
    <w:rsid w:val="009D3D8F"/>
    <w:rsid w:val="009D6D58"/>
    <w:rsid w:val="009E444E"/>
    <w:rsid w:val="009F0E2F"/>
    <w:rsid w:val="009F34B2"/>
    <w:rsid w:val="009F3AC1"/>
    <w:rsid w:val="009F6ACF"/>
    <w:rsid w:val="00A02F46"/>
    <w:rsid w:val="00A0565A"/>
    <w:rsid w:val="00A12C91"/>
    <w:rsid w:val="00A15893"/>
    <w:rsid w:val="00A17400"/>
    <w:rsid w:val="00A17C15"/>
    <w:rsid w:val="00A20B36"/>
    <w:rsid w:val="00A21AB8"/>
    <w:rsid w:val="00A24A6F"/>
    <w:rsid w:val="00A264C2"/>
    <w:rsid w:val="00A32059"/>
    <w:rsid w:val="00A338FC"/>
    <w:rsid w:val="00A34AD5"/>
    <w:rsid w:val="00A35EF6"/>
    <w:rsid w:val="00A36542"/>
    <w:rsid w:val="00A40348"/>
    <w:rsid w:val="00A41573"/>
    <w:rsid w:val="00A42B1F"/>
    <w:rsid w:val="00A434AA"/>
    <w:rsid w:val="00A442C7"/>
    <w:rsid w:val="00A45867"/>
    <w:rsid w:val="00A46755"/>
    <w:rsid w:val="00A53A32"/>
    <w:rsid w:val="00A53BCE"/>
    <w:rsid w:val="00A60299"/>
    <w:rsid w:val="00A60D66"/>
    <w:rsid w:val="00A61EA6"/>
    <w:rsid w:val="00A621A8"/>
    <w:rsid w:val="00A62D87"/>
    <w:rsid w:val="00A66739"/>
    <w:rsid w:val="00A70888"/>
    <w:rsid w:val="00A749A2"/>
    <w:rsid w:val="00A823FC"/>
    <w:rsid w:val="00A8373B"/>
    <w:rsid w:val="00A83886"/>
    <w:rsid w:val="00A83BD2"/>
    <w:rsid w:val="00A84F2F"/>
    <w:rsid w:val="00A92A99"/>
    <w:rsid w:val="00A93AE2"/>
    <w:rsid w:val="00A93D8F"/>
    <w:rsid w:val="00A94802"/>
    <w:rsid w:val="00A94BC5"/>
    <w:rsid w:val="00AA000A"/>
    <w:rsid w:val="00AB2EDB"/>
    <w:rsid w:val="00AB41D4"/>
    <w:rsid w:val="00AB616C"/>
    <w:rsid w:val="00AB7AFC"/>
    <w:rsid w:val="00AC0B41"/>
    <w:rsid w:val="00AC10FB"/>
    <w:rsid w:val="00AC3E4E"/>
    <w:rsid w:val="00AC6602"/>
    <w:rsid w:val="00AC6923"/>
    <w:rsid w:val="00AD20DE"/>
    <w:rsid w:val="00AD35C8"/>
    <w:rsid w:val="00AD3C8E"/>
    <w:rsid w:val="00AD49D2"/>
    <w:rsid w:val="00AD721C"/>
    <w:rsid w:val="00AE113B"/>
    <w:rsid w:val="00B0418F"/>
    <w:rsid w:val="00B068CC"/>
    <w:rsid w:val="00B06F2A"/>
    <w:rsid w:val="00B1065E"/>
    <w:rsid w:val="00B1076D"/>
    <w:rsid w:val="00B12295"/>
    <w:rsid w:val="00B17041"/>
    <w:rsid w:val="00B17FFD"/>
    <w:rsid w:val="00B23571"/>
    <w:rsid w:val="00B24D37"/>
    <w:rsid w:val="00B268A0"/>
    <w:rsid w:val="00B3361E"/>
    <w:rsid w:val="00B3494D"/>
    <w:rsid w:val="00B374BC"/>
    <w:rsid w:val="00B41277"/>
    <w:rsid w:val="00B427D2"/>
    <w:rsid w:val="00B42E82"/>
    <w:rsid w:val="00B44E01"/>
    <w:rsid w:val="00B45AAE"/>
    <w:rsid w:val="00B547FA"/>
    <w:rsid w:val="00B60B29"/>
    <w:rsid w:val="00B61AF9"/>
    <w:rsid w:val="00B61FA0"/>
    <w:rsid w:val="00B6299B"/>
    <w:rsid w:val="00B63474"/>
    <w:rsid w:val="00B637B8"/>
    <w:rsid w:val="00B6764F"/>
    <w:rsid w:val="00B67CCF"/>
    <w:rsid w:val="00B72DF8"/>
    <w:rsid w:val="00B77B7F"/>
    <w:rsid w:val="00B844FC"/>
    <w:rsid w:val="00B9298A"/>
    <w:rsid w:val="00B9616D"/>
    <w:rsid w:val="00B96BF6"/>
    <w:rsid w:val="00BA0848"/>
    <w:rsid w:val="00BA1144"/>
    <w:rsid w:val="00BB3FB1"/>
    <w:rsid w:val="00BC04B4"/>
    <w:rsid w:val="00BC170A"/>
    <w:rsid w:val="00BE0C58"/>
    <w:rsid w:val="00BE46D3"/>
    <w:rsid w:val="00BF01ED"/>
    <w:rsid w:val="00BF2F12"/>
    <w:rsid w:val="00BF421A"/>
    <w:rsid w:val="00C0150A"/>
    <w:rsid w:val="00C04624"/>
    <w:rsid w:val="00C0593B"/>
    <w:rsid w:val="00C0604D"/>
    <w:rsid w:val="00C13017"/>
    <w:rsid w:val="00C1636F"/>
    <w:rsid w:val="00C16693"/>
    <w:rsid w:val="00C21953"/>
    <w:rsid w:val="00C279AD"/>
    <w:rsid w:val="00C35C5C"/>
    <w:rsid w:val="00C37303"/>
    <w:rsid w:val="00C4363A"/>
    <w:rsid w:val="00C47987"/>
    <w:rsid w:val="00C50205"/>
    <w:rsid w:val="00C55114"/>
    <w:rsid w:val="00C7133E"/>
    <w:rsid w:val="00C749BA"/>
    <w:rsid w:val="00C75850"/>
    <w:rsid w:val="00C76E24"/>
    <w:rsid w:val="00C80396"/>
    <w:rsid w:val="00C8154A"/>
    <w:rsid w:val="00C84EAF"/>
    <w:rsid w:val="00C8665D"/>
    <w:rsid w:val="00C87C6E"/>
    <w:rsid w:val="00C91A26"/>
    <w:rsid w:val="00CA61AF"/>
    <w:rsid w:val="00CA631F"/>
    <w:rsid w:val="00CB1307"/>
    <w:rsid w:val="00CB2029"/>
    <w:rsid w:val="00CB24F6"/>
    <w:rsid w:val="00CB305C"/>
    <w:rsid w:val="00CB366E"/>
    <w:rsid w:val="00CB7F3C"/>
    <w:rsid w:val="00CC2A38"/>
    <w:rsid w:val="00CC49ED"/>
    <w:rsid w:val="00CD2338"/>
    <w:rsid w:val="00CD2E9D"/>
    <w:rsid w:val="00CD401B"/>
    <w:rsid w:val="00CE2887"/>
    <w:rsid w:val="00CE3B84"/>
    <w:rsid w:val="00CE44CD"/>
    <w:rsid w:val="00CE4762"/>
    <w:rsid w:val="00CE5AF7"/>
    <w:rsid w:val="00CF29A5"/>
    <w:rsid w:val="00CF3C22"/>
    <w:rsid w:val="00CF7390"/>
    <w:rsid w:val="00D104EF"/>
    <w:rsid w:val="00D10BC0"/>
    <w:rsid w:val="00D11349"/>
    <w:rsid w:val="00D12A4C"/>
    <w:rsid w:val="00D1306A"/>
    <w:rsid w:val="00D13443"/>
    <w:rsid w:val="00D14347"/>
    <w:rsid w:val="00D16D6D"/>
    <w:rsid w:val="00D213C5"/>
    <w:rsid w:val="00D22291"/>
    <w:rsid w:val="00D23FCE"/>
    <w:rsid w:val="00D24B15"/>
    <w:rsid w:val="00D27D2D"/>
    <w:rsid w:val="00D303EB"/>
    <w:rsid w:val="00D3331F"/>
    <w:rsid w:val="00D33A9B"/>
    <w:rsid w:val="00D40F59"/>
    <w:rsid w:val="00D41166"/>
    <w:rsid w:val="00D44BA0"/>
    <w:rsid w:val="00D45CBC"/>
    <w:rsid w:val="00D50808"/>
    <w:rsid w:val="00D50DF1"/>
    <w:rsid w:val="00D51475"/>
    <w:rsid w:val="00D51944"/>
    <w:rsid w:val="00D51A68"/>
    <w:rsid w:val="00D5314F"/>
    <w:rsid w:val="00D53F77"/>
    <w:rsid w:val="00D542DD"/>
    <w:rsid w:val="00D54491"/>
    <w:rsid w:val="00D54815"/>
    <w:rsid w:val="00D57ACA"/>
    <w:rsid w:val="00D57C3A"/>
    <w:rsid w:val="00D60EBE"/>
    <w:rsid w:val="00D648E4"/>
    <w:rsid w:val="00D73DAE"/>
    <w:rsid w:val="00D741AA"/>
    <w:rsid w:val="00D77AEC"/>
    <w:rsid w:val="00D84785"/>
    <w:rsid w:val="00D86915"/>
    <w:rsid w:val="00D94CBB"/>
    <w:rsid w:val="00D95546"/>
    <w:rsid w:val="00D95935"/>
    <w:rsid w:val="00D97036"/>
    <w:rsid w:val="00DA32EE"/>
    <w:rsid w:val="00DA3DA5"/>
    <w:rsid w:val="00DB2AC3"/>
    <w:rsid w:val="00DB319B"/>
    <w:rsid w:val="00DB4630"/>
    <w:rsid w:val="00DC2760"/>
    <w:rsid w:val="00DC2925"/>
    <w:rsid w:val="00DC3531"/>
    <w:rsid w:val="00DC6095"/>
    <w:rsid w:val="00DC64DA"/>
    <w:rsid w:val="00DD3FEF"/>
    <w:rsid w:val="00DD49C7"/>
    <w:rsid w:val="00DD6D5F"/>
    <w:rsid w:val="00DE03F6"/>
    <w:rsid w:val="00DE31FF"/>
    <w:rsid w:val="00DE3712"/>
    <w:rsid w:val="00DE5F69"/>
    <w:rsid w:val="00DE6E31"/>
    <w:rsid w:val="00DF4010"/>
    <w:rsid w:val="00E0135B"/>
    <w:rsid w:val="00E03B3B"/>
    <w:rsid w:val="00E07E2C"/>
    <w:rsid w:val="00E106CF"/>
    <w:rsid w:val="00E10937"/>
    <w:rsid w:val="00E16099"/>
    <w:rsid w:val="00E1759D"/>
    <w:rsid w:val="00E17713"/>
    <w:rsid w:val="00E2025B"/>
    <w:rsid w:val="00E223A0"/>
    <w:rsid w:val="00E23D71"/>
    <w:rsid w:val="00E36D37"/>
    <w:rsid w:val="00E37C93"/>
    <w:rsid w:val="00E43C7A"/>
    <w:rsid w:val="00E52C4B"/>
    <w:rsid w:val="00E52F36"/>
    <w:rsid w:val="00E55B34"/>
    <w:rsid w:val="00E57869"/>
    <w:rsid w:val="00E61641"/>
    <w:rsid w:val="00E6602C"/>
    <w:rsid w:val="00E72994"/>
    <w:rsid w:val="00E731B9"/>
    <w:rsid w:val="00E83862"/>
    <w:rsid w:val="00E848DF"/>
    <w:rsid w:val="00E854C7"/>
    <w:rsid w:val="00E94CE2"/>
    <w:rsid w:val="00E96312"/>
    <w:rsid w:val="00E97676"/>
    <w:rsid w:val="00EA144B"/>
    <w:rsid w:val="00EA2B11"/>
    <w:rsid w:val="00EA2C7B"/>
    <w:rsid w:val="00EA2E2B"/>
    <w:rsid w:val="00EB0EDB"/>
    <w:rsid w:val="00EB1395"/>
    <w:rsid w:val="00EB46CF"/>
    <w:rsid w:val="00EB7037"/>
    <w:rsid w:val="00EB7A96"/>
    <w:rsid w:val="00EB7CCB"/>
    <w:rsid w:val="00EC073F"/>
    <w:rsid w:val="00EC13BD"/>
    <w:rsid w:val="00EC27EC"/>
    <w:rsid w:val="00ED1C71"/>
    <w:rsid w:val="00ED3762"/>
    <w:rsid w:val="00ED43F2"/>
    <w:rsid w:val="00ED5913"/>
    <w:rsid w:val="00ED6C6F"/>
    <w:rsid w:val="00ED77EE"/>
    <w:rsid w:val="00EE08A8"/>
    <w:rsid w:val="00EE1AAA"/>
    <w:rsid w:val="00EE2597"/>
    <w:rsid w:val="00EE4C9F"/>
    <w:rsid w:val="00EF0D39"/>
    <w:rsid w:val="00EF492F"/>
    <w:rsid w:val="00EF61BC"/>
    <w:rsid w:val="00F0275D"/>
    <w:rsid w:val="00F05D8C"/>
    <w:rsid w:val="00F108C2"/>
    <w:rsid w:val="00F1241F"/>
    <w:rsid w:val="00F15755"/>
    <w:rsid w:val="00F15B9F"/>
    <w:rsid w:val="00F20F79"/>
    <w:rsid w:val="00F2427E"/>
    <w:rsid w:val="00F248A3"/>
    <w:rsid w:val="00F24F0A"/>
    <w:rsid w:val="00F26B66"/>
    <w:rsid w:val="00F3040C"/>
    <w:rsid w:val="00F36074"/>
    <w:rsid w:val="00F37D7E"/>
    <w:rsid w:val="00F43298"/>
    <w:rsid w:val="00F4667E"/>
    <w:rsid w:val="00F47EDF"/>
    <w:rsid w:val="00F50CAD"/>
    <w:rsid w:val="00F5179F"/>
    <w:rsid w:val="00F51EC7"/>
    <w:rsid w:val="00F526A5"/>
    <w:rsid w:val="00F535EC"/>
    <w:rsid w:val="00F536AC"/>
    <w:rsid w:val="00F6480A"/>
    <w:rsid w:val="00F64908"/>
    <w:rsid w:val="00F66B27"/>
    <w:rsid w:val="00F71915"/>
    <w:rsid w:val="00F726E7"/>
    <w:rsid w:val="00F72D78"/>
    <w:rsid w:val="00F7615C"/>
    <w:rsid w:val="00F76180"/>
    <w:rsid w:val="00F76CCD"/>
    <w:rsid w:val="00F83B03"/>
    <w:rsid w:val="00F84A49"/>
    <w:rsid w:val="00F86554"/>
    <w:rsid w:val="00F86CCF"/>
    <w:rsid w:val="00F8773F"/>
    <w:rsid w:val="00F901AF"/>
    <w:rsid w:val="00F92EDD"/>
    <w:rsid w:val="00F9334D"/>
    <w:rsid w:val="00F9431C"/>
    <w:rsid w:val="00F979AC"/>
    <w:rsid w:val="00FA64CE"/>
    <w:rsid w:val="00FB403B"/>
    <w:rsid w:val="00FB5A04"/>
    <w:rsid w:val="00FC1AAD"/>
    <w:rsid w:val="00FC1BC7"/>
    <w:rsid w:val="00FC3C32"/>
    <w:rsid w:val="00FC611E"/>
    <w:rsid w:val="00FD0C77"/>
    <w:rsid w:val="00FD5519"/>
    <w:rsid w:val="00FD5F89"/>
    <w:rsid w:val="00FE308D"/>
    <w:rsid w:val="00FE64AB"/>
    <w:rsid w:val="00FF4DAE"/>
    <w:rsid w:val="00FF54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7FA44"/>
  <w15:chartTrackingRefBased/>
  <w15:docId w15:val="{DA34B4A5-1E19-442F-A240-665F879B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Arial" w:hAnsi="Arial" w:cs="Arial"/>
      <w:b/>
      <w:bCs/>
      <w:lang w:val="es-CO"/>
    </w:rPr>
  </w:style>
  <w:style w:type="paragraph" w:styleId="Ttulo2">
    <w:name w:val="heading 2"/>
    <w:basedOn w:val="Normal"/>
    <w:next w:val="Normal"/>
    <w:qFormat/>
    <w:pPr>
      <w:keepNext/>
      <w:spacing w:line="360" w:lineRule="auto"/>
      <w:jc w:val="both"/>
      <w:outlineLvl w:val="1"/>
    </w:pPr>
    <w:rPr>
      <w:rFonts w:ascii="Arial" w:hAnsi="Arial"/>
      <w:b/>
      <w:bCs/>
      <w:sz w:val="22"/>
      <w:szCs w:val="20"/>
    </w:rPr>
  </w:style>
  <w:style w:type="paragraph" w:styleId="Ttulo4">
    <w:name w:val="heading 4"/>
    <w:basedOn w:val="Normal"/>
    <w:next w:val="Normal"/>
    <w:qFormat/>
    <w:pPr>
      <w:keepNext/>
      <w:jc w:val="center"/>
      <w:outlineLvl w:val="3"/>
    </w:pPr>
    <w:rPr>
      <w:rFonts w:ascii="Arial" w:hAnsi="Arial"/>
      <w:b/>
      <w:snapToGrid w:val="0"/>
      <w:szCs w:val="20"/>
      <w:lang w:val="es-ES_tradnl"/>
    </w:rPr>
  </w:style>
  <w:style w:type="paragraph" w:styleId="Ttulo7">
    <w:name w:val="heading 7"/>
    <w:basedOn w:val="Normal"/>
    <w:next w:val="Normal"/>
    <w:link w:val="Ttulo7Car"/>
    <w:semiHidden/>
    <w:unhideWhenUsed/>
    <w:qFormat/>
    <w:rsid w:val="00374C16"/>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firstLine="3"/>
    </w:pPr>
    <w:rPr>
      <w:rFonts w:ascii="Arial" w:hAnsi="Arial"/>
      <w:snapToGrid w:val="0"/>
      <w:szCs w:val="20"/>
    </w:rPr>
  </w:style>
  <w:style w:type="paragraph" w:styleId="Ttulo">
    <w:name w:val="Title"/>
    <w:basedOn w:val="Normal"/>
    <w:qFormat/>
    <w:pPr>
      <w:jc w:val="center"/>
    </w:pPr>
    <w:rPr>
      <w:rFonts w:ascii="Arial" w:hAnsi="Arial"/>
      <w:b/>
      <w:snapToGrid w:val="0"/>
      <w:szCs w:val="20"/>
    </w:rPr>
  </w:style>
  <w:style w:type="paragraph" w:styleId="Encabezado">
    <w:name w:val="header"/>
    <w:basedOn w:val="Normal"/>
    <w:link w:val="EncabezadoCar"/>
    <w:pPr>
      <w:tabs>
        <w:tab w:val="center" w:pos="4252"/>
        <w:tab w:val="right" w:pos="8504"/>
      </w:tabs>
    </w:pPr>
    <w:rPr>
      <w:rFonts w:ascii="Arial" w:hAnsi="Arial"/>
      <w:b/>
      <w:i/>
      <w:snapToGrid w:val="0"/>
      <w:sz w:val="28"/>
      <w:szCs w:val="20"/>
      <w:lang w:val="es-ES_tradnl" w:eastAsia="x-none"/>
    </w:rPr>
  </w:style>
  <w:style w:type="character" w:styleId="Nmerodepgina">
    <w:name w:val="page number"/>
    <w:basedOn w:val="Fuentedeprrafopredeter"/>
  </w:style>
  <w:style w:type="paragraph" w:styleId="Textoindependiente">
    <w:name w:val="Body Text"/>
    <w:basedOn w:val="Normal"/>
    <w:rPr>
      <w:rFonts w:ascii="Arial" w:hAnsi="Arial"/>
      <w:sz w:val="22"/>
      <w:szCs w:val="20"/>
    </w:rPr>
  </w:style>
  <w:style w:type="paragraph" w:styleId="Subttulo">
    <w:name w:val="Subtitle"/>
    <w:basedOn w:val="Normal"/>
    <w:qFormat/>
    <w:pPr>
      <w:jc w:val="center"/>
    </w:pPr>
    <w:rPr>
      <w:rFonts w:ascii="Arial" w:hAnsi="Arial"/>
      <w:b/>
      <w:bCs/>
      <w:sz w:val="22"/>
      <w:szCs w:val="20"/>
    </w:rPr>
  </w:style>
  <w:style w:type="paragraph" w:styleId="Sangra2detindependiente">
    <w:name w:val="Body Text Indent 2"/>
    <w:basedOn w:val="Normal"/>
    <w:pPr>
      <w:ind w:left="2832" w:hanging="2832"/>
    </w:pPr>
    <w:rPr>
      <w:rFonts w:ascii="Arial" w:hAnsi="Arial" w:cs="Arial"/>
      <w:b/>
      <w:bCs/>
      <w:lang w:val="es-CO"/>
    </w:rPr>
  </w:style>
  <w:style w:type="paragraph" w:customStyle="1" w:styleId="Textoindependiente21">
    <w:name w:val="Texto independiente 21"/>
    <w:basedOn w:val="Normal"/>
    <w:rsid w:val="006C5757"/>
    <w:pPr>
      <w:overflowPunct w:val="0"/>
      <w:autoSpaceDE w:val="0"/>
      <w:autoSpaceDN w:val="0"/>
      <w:adjustRightInd w:val="0"/>
      <w:spacing w:line="360" w:lineRule="auto"/>
      <w:jc w:val="both"/>
    </w:pPr>
    <w:rPr>
      <w:rFonts w:ascii="Arial" w:hAnsi="Arial"/>
      <w:sz w:val="22"/>
      <w:szCs w:val="20"/>
      <w:lang w:val="es-ES_tradnl"/>
    </w:rPr>
  </w:style>
  <w:style w:type="paragraph" w:styleId="Piedepgina">
    <w:name w:val="footer"/>
    <w:basedOn w:val="Normal"/>
    <w:link w:val="PiedepginaCar"/>
    <w:uiPriority w:val="99"/>
    <w:rsid w:val="00055A0D"/>
    <w:pPr>
      <w:tabs>
        <w:tab w:val="center" w:pos="4252"/>
        <w:tab w:val="right" w:pos="8504"/>
      </w:tabs>
    </w:pPr>
  </w:style>
  <w:style w:type="paragraph" w:styleId="Textodeglobo">
    <w:name w:val="Balloon Text"/>
    <w:basedOn w:val="Normal"/>
    <w:link w:val="TextodegloboCar"/>
    <w:rsid w:val="008F5103"/>
    <w:rPr>
      <w:rFonts w:ascii="Tahoma" w:hAnsi="Tahoma"/>
      <w:sz w:val="16"/>
      <w:szCs w:val="16"/>
    </w:rPr>
  </w:style>
  <w:style w:type="character" w:customStyle="1" w:styleId="TextodegloboCar">
    <w:name w:val="Texto de globo Car"/>
    <w:link w:val="Textodeglobo"/>
    <w:rsid w:val="008F5103"/>
    <w:rPr>
      <w:rFonts w:ascii="Tahoma" w:hAnsi="Tahoma" w:cs="Tahoma"/>
      <w:sz w:val="16"/>
      <w:szCs w:val="16"/>
      <w:lang w:val="es-ES" w:eastAsia="es-ES"/>
    </w:rPr>
  </w:style>
  <w:style w:type="paragraph" w:styleId="Lista">
    <w:name w:val="List"/>
    <w:basedOn w:val="Normal"/>
    <w:rsid w:val="00F4667E"/>
    <w:pPr>
      <w:autoSpaceDE w:val="0"/>
      <w:autoSpaceDN w:val="0"/>
      <w:ind w:left="283" w:hanging="283"/>
    </w:pPr>
    <w:rPr>
      <w:rFonts w:ascii="Arial" w:hAnsi="Arial" w:cs="Arial"/>
      <w:sz w:val="28"/>
      <w:szCs w:val="28"/>
      <w:lang w:val="es-ES_tradnl"/>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7238D2"/>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
    <w:link w:val="Textonotapie"/>
    <w:rsid w:val="007238D2"/>
    <w:rPr>
      <w:lang w:val="es-ES" w:eastAsia="es-ES"/>
    </w:rPr>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qFormat/>
    <w:rsid w:val="007238D2"/>
    <w:rPr>
      <w:vertAlign w:val="superscript"/>
    </w:rPr>
  </w:style>
  <w:style w:type="character" w:customStyle="1" w:styleId="Ttulo7Car">
    <w:name w:val="Título 7 Car"/>
    <w:link w:val="Ttulo7"/>
    <w:semiHidden/>
    <w:rsid w:val="00374C16"/>
    <w:rPr>
      <w:rFonts w:ascii="Calibri" w:eastAsia="Times New Roman" w:hAnsi="Calibri" w:cs="Times New Roman"/>
      <w:sz w:val="24"/>
      <w:szCs w:val="24"/>
      <w:lang w:val="es-ES" w:eastAsia="es-ES"/>
    </w:rPr>
  </w:style>
  <w:style w:type="character" w:customStyle="1" w:styleId="PiedepginaCar">
    <w:name w:val="Pie de página Car"/>
    <w:link w:val="Piedepgina"/>
    <w:uiPriority w:val="99"/>
    <w:rsid w:val="00374C16"/>
    <w:rPr>
      <w:sz w:val="24"/>
      <w:szCs w:val="24"/>
      <w:lang w:val="es-ES" w:eastAsia="es-ES"/>
    </w:rPr>
  </w:style>
  <w:style w:type="paragraph" w:styleId="NormalWeb">
    <w:name w:val="Normal (Web)"/>
    <w:basedOn w:val="Normal"/>
    <w:uiPriority w:val="99"/>
    <w:unhideWhenUsed/>
    <w:rsid w:val="00374C16"/>
    <w:pPr>
      <w:spacing w:before="100" w:beforeAutospacing="1" w:after="100" w:afterAutospacing="1"/>
    </w:pPr>
    <w:rPr>
      <w:lang w:val="es-CO" w:eastAsia="es-CO"/>
    </w:rPr>
  </w:style>
  <w:style w:type="paragraph" w:customStyle="1" w:styleId="Textoindependiente210">
    <w:name w:val="Texto independiente 21"/>
    <w:basedOn w:val="Normal"/>
    <w:uiPriority w:val="99"/>
    <w:rsid w:val="00374C16"/>
    <w:pPr>
      <w:overflowPunct w:val="0"/>
      <w:autoSpaceDE w:val="0"/>
      <w:autoSpaceDN w:val="0"/>
      <w:adjustRightInd w:val="0"/>
      <w:spacing w:after="220" w:line="360" w:lineRule="auto"/>
      <w:ind w:firstLine="708"/>
      <w:jc w:val="both"/>
    </w:pPr>
    <w:rPr>
      <w:rFonts w:ascii="Century Gothic" w:hAnsi="Century Gothic" w:cs="Century Gothic"/>
      <w:sz w:val="22"/>
      <w:szCs w:val="22"/>
      <w:lang w:val="es-ES_tradnl"/>
    </w:rPr>
  </w:style>
  <w:style w:type="character" w:customStyle="1" w:styleId="EncabezadoCar">
    <w:name w:val="Encabezado Car"/>
    <w:link w:val="Encabezado"/>
    <w:rsid w:val="00A45867"/>
    <w:rPr>
      <w:rFonts w:ascii="Arial" w:hAnsi="Arial"/>
      <w:b/>
      <w:i/>
      <w:snapToGrid w:val="0"/>
      <w:sz w:val="28"/>
      <w:lang w:val="es-ES_tradnl"/>
    </w:rPr>
  </w:style>
  <w:style w:type="paragraph" w:styleId="Textoindependiente2">
    <w:name w:val="Body Text 2"/>
    <w:basedOn w:val="Normal"/>
    <w:link w:val="Textoindependiente2Car"/>
    <w:rsid w:val="00A45867"/>
    <w:pPr>
      <w:spacing w:after="120" w:line="480" w:lineRule="auto"/>
    </w:pPr>
    <w:rPr>
      <w:lang w:val="x-none" w:eastAsia="x-none"/>
    </w:rPr>
  </w:style>
  <w:style w:type="character" w:customStyle="1" w:styleId="Textoindependiente2Car">
    <w:name w:val="Texto independiente 2 Car"/>
    <w:link w:val="Textoindependiente2"/>
    <w:rsid w:val="00A45867"/>
    <w:rPr>
      <w:sz w:val="24"/>
      <w:szCs w:val="24"/>
    </w:rPr>
  </w:style>
  <w:style w:type="paragraph" w:styleId="Sinespaciado">
    <w:name w:val="No Spacing"/>
    <w:uiPriority w:val="1"/>
    <w:qFormat/>
    <w:rsid w:val="00A45867"/>
    <w:rPr>
      <w:rFonts w:ascii="Calibri" w:eastAsia="Calibri" w:hAnsi="Calibri"/>
      <w:sz w:val="22"/>
      <w:szCs w:val="22"/>
      <w:lang w:eastAsia="en-US"/>
    </w:rPr>
  </w:style>
  <w:style w:type="character" w:customStyle="1" w:styleId="apple-converted-space">
    <w:name w:val="apple-converted-space"/>
    <w:rsid w:val="006220A5"/>
  </w:style>
  <w:style w:type="paragraph" w:styleId="Continuarlista2">
    <w:name w:val="List Continue 2"/>
    <w:basedOn w:val="Normal"/>
    <w:rsid w:val="00EF492F"/>
    <w:pPr>
      <w:spacing w:after="120"/>
      <w:ind w:left="566"/>
      <w:contextualSpacing/>
    </w:p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ocked/>
    <w:rsid w:val="0071317C"/>
    <w:rPr>
      <w:rFonts w:ascii="Times New Roman" w:hAnsi="Times New Roman" w:cs="Times New Roman"/>
      <w:sz w:val="20"/>
      <w:szCs w:val="20"/>
      <w:lang w:val="es-ES" w:eastAsia="es-ES"/>
    </w:rPr>
  </w:style>
  <w:style w:type="paragraph" w:customStyle="1" w:styleId="BodyText21">
    <w:name w:val="Body Text 21"/>
    <w:basedOn w:val="Normal"/>
    <w:rsid w:val="0071317C"/>
    <w:pPr>
      <w:widowControl w:val="0"/>
      <w:autoSpaceDE w:val="0"/>
      <w:autoSpaceDN w:val="0"/>
      <w:spacing w:line="480" w:lineRule="auto"/>
      <w:jc w:val="both"/>
    </w:pPr>
    <w:rPr>
      <w:rFonts w:ascii="Arial" w:hAnsi="Arial" w:cs="Arial"/>
      <w:lang w:val="es-ES_tradnl"/>
    </w:rPr>
  </w:style>
  <w:style w:type="paragraph" w:styleId="Prrafodelista">
    <w:name w:val="List Paragraph"/>
    <w:basedOn w:val="Normal"/>
    <w:uiPriority w:val="34"/>
    <w:qFormat/>
    <w:rsid w:val="0071317C"/>
    <w:pPr>
      <w:ind w:left="720"/>
      <w:contextualSpacing/>
    </w:pPr>
    <w:rPr>
      <w:szCs w:val="20"/>
      <w:lang w:val="es-CO"/>
    </w:rPr>
  </w:style>
  <w:style w:type="character" w:styleId="Hipervnculo">
    <w:name w:val="Hyperlink"/>
    <w:uiPriority w:val="99"/>
    <w:unhideWhenUsed/>
    <w:rsid w:val="005118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9026">
      <w:bodyDiv w:val="1"/>
      <w:marLeft w:val="0"/>
      <w:marRight w:val="0"/>
      <w:marTop w:val="0"/>
      <w:marBottom w:val="0"/>
      <w:divBdr>
        <w:top w:val="none" w:sz="0" w:space="0" w:color="auto"/>
        <w:left w:val="none" w:sz="0" w:space="0" w:color="auto"/>
        <w:bottom w:val="none" w:sz="0" w:space="0" w:color="auto"/>
        <w:right w:val="none" w:sz="0" w:space="0" w:color="auto"/>
      </w:divBdr>
    </w:div>
    <w:div w:id="210967222">
      <w:bodyDiv w:val="1"/>
      <w:marLeft w:val="0"/>
      <w:marRight w:val="0"/>
      <w:marTop w:val="0"/>
      <w:marBottom w:val="0"/>
      <w:divBdr>
        <w:top w:val="none" w:sz="0" w:space="0" w:color="auto"/>
        <w:left w:val="none" w:sz="0" w:space="0" w:color="auto"/>
        <w:bottom w:val="none" w:sz="0" w:space="0" w:color="auto"/>
        <w:right w:val="none" w:sz="0" w:space="0" w:color="auto"/>
      </w:divBdr>
    </w:div>
    <w:div w:id="354699684">
      <w:bodyDiv w:val="1"/>
      <w:marLeft w:val="0"/>
      <w:marRight w:val="0"/>
      <w:marTop w:val="0"/>
      <w:marBottom w:val="0"/>
      <w:divBdr>
        <w:top w:val="none" w:sz="0" w:space="0" w:color="auto"/>
        <w:left w:val="none" w:sz="0" w:space="0" w:color="auto"/>
        <w:bottom w:val="none" w:sz="0" w:space="0" w:color="auto"/>
        <w:right w:val="none" w:sz="0" w:space="0" w:color="auto"/>
      </w:divBdr>
    </w:div>
    <w:div w:id="438530517">
      <w:bodyDiv w:val="1"/>
      <w:marLeft w:val="0"/>
      <w:marRight w:val="0"/>
      <w:marTop w:val="0"/>
      <w:marBottom w:val="0"/>
      <w:divBdr>
        <w:top w:val="none" w:sz="0" w:space="0" w:color="auto"/>
        <w:left w:val="none" w:sz="0" w:space="0" w:color="auto"/>
        <w:bottom w:val="none" w:sz="0" w:space="0" w:color="auto"/>
        <w:right w:val="none" w:sz="0" w:space="0" w:color="auto"/>
      </w:divBdr>
    </w:div>
    <w:div w:id="545146300">
      <w:bodyDiv w:val="1"/>
      <w:marLeft w:val="0"/>
      <w:marRight w:val="0"/>
      <w:marTop w:val="0"/>
      <w:marBottom w:val="0"/>
      <w:divBdr>
        <w:top w:val="none" w:sz="0" w:space="0" w:color="auto"/>
        <w:left w:val="none" w:sz="0" w:space="0" w:color="auto"/>
        <w:bottom w:val="none" w:sz="0" w:space="0" w:color="auto"/>
        <w:right w:val="none" w:sz="0" w:space="0" w:color="auto"/>
      </w:divBdr>
    </w:div>
    <w:div w:id="603734725">
      <w:bodyDiv w:val="1"/>
      <w:marLeft w:val="0"/>
      <w:marRight w:val="0"/>
      <w:marTop w:val="0"/>
      <w:marBottom w:val="0"/>
      <w:divBdr>
        <w:top w:val="none" w:sz="0" w:space="0" w:color="auto"/>
        <w:left w:val="none" w:sz="0" w:space="0" w:color="auto"/>
        <w:bottom w:val="none" w:sz="0" w:space="0" w:color="auto"/>
        <w:right w:val="none" w:sz="0" w:space="0" w:color="auto"/>
      </w:divBdr>
    </w:div>
    <w:div w:id="759836804">
      <w:bodyDiv w:val="1"/>
      <w:marLeft w:val="0"/>
      <w:marRight w:val="0"/>
      <w:marTop w:val="0"/>
      <w:marBottom w:val="0"/>
      <w:divBdr>
        <w:top w:val="none" w:sz="0" w:space="0" w:color="auto"/>
        <w:left w:val="none" w:sz="0" w:space="0" w:color="auto"/>
        <w:bottom w:val="none" w:sz="0" w:space="0" w:color="auto"/>
        <w:right w:val="none" w:sz="0" w:space="0" w:color="auto"/>
      </w:divBdr>
    </w:div>
    <w:div w:id="963922079">
      <w:bodyDiv w:val="1"/>
      <w:marLeft w:val="0"/>
      <w:marRight w:val="0"/>
      <w:marTop w:val="0"/>
      <w:marBottom w:val="0"/>
      <w:divBdr>
        <w:top w:val="none" w:sz="0" w:space="0" w:color="auto"/>
        <w:left w:val="none" w:sz="0" w:space="0" w:color="auto"/>
        <w:bottom w:val="none" w:sz="0" w:space="0" w:color="auto"/>
        <w:right w:val="none" w:sz="0" w:space="0" w:color="auto"/>
      </w:divBdr>
    </w:div>
    <w:div w:id="1173029808">
      <w:bodyDiv w:val="1"/>
      <w:marLeft w:val="0"/>
      <w:marRight w:val="0"/>
      <w:marTop w:val="0"/>
      <w:marBottom w:val="0"/>
      <w:divBdr>
        <w:top w:val="none" w:sz="0" w:space="0" w:color="auto"/>
        <w:left w:val="none" w:sz="0" w:space="0" w:color="auto"/>
        <w:bottom w:val="none" w:sz="0" w:space="0" w:color="auto"/>
        <w:right w:val="none" w:sz="0" w:space="0" w:color="auto"/>
      </w:divBdr>
    </w:div>
    <w:div w:id="1219247884">
      <w:bodyDiv w:val="1"/>
      <w:marLeft w:val="0"/>
      <w:marRight w:val="0"/>
      <w:marTop w:val="0"/>
      <w:marBottom w:val="0"/>
      <w:divBdr>
        <w:top w:val="none" w:sz="0" w:space="0" w:color="auto"/>
        <w:left w:val="none" w:sz="0" w:space="0" w:color="auto"/>
        <w:bottom w:val="none" w:sz="0" w:space="0" w:color="auto"/>
        <w:right w:val="none" w:sz="0" w:space="0" w:color="auto"/>
      </w:divBdr>
    </w:div>
    <w:div w:id="1258173968">
      <w:bodyDiv w:val="1"/>
      <w:marLeft w:val="0"/>
      <w:marRight w:val="0"/>
      <w:marTop w:val="0"/>
      <w:marBottom w:val="0"/>
      <w:divBdr>
        <w:top w:val="none" w:sz="0" w:space="0" w:color="auto"/>
        <w:left w:val="none" w:sz="0" w:space="0" w:color="auto"/>
        <w:bottom w:val="none" w:sz="0" w:space="0" w:color="auto"/>
        <w:right w:val="none" w:sz="0" w:space="0" w:color="auto"/>
      </w:divBdr>
    </w:div>
    <w:div w:id="1402363205">
      <w:bodyDiv w:val="1"/>
      <w:marLeft w:val="0"/>
      <w:marRight w:val="0"/>
      <w:marTop w:val="0"/>
      <w:marBottom w:val="0"/>
      <w:divBdr>
        <w:top w:val="none" w:sz="0" w:space="0" w:color="auto"/>
        <w:left w:val="none" w:sz="0" w:space="0" w:color="auto"/>
        <w:bottom w:val="none" w:sz="0" w:space="0" w:color="auto"/>
        <w:right w:val="none" w:sz="0" w:space="0" w:color="auto"/>
      </w:divBdr>
    </w:div>
    <w:div w:id="1411926075">
      <w:bodyDiv w:val="1"/>
      <w:marLeft w:val="0"/>
      <w:marRight w:val="0"/>
      <w:marTop w:val="0"/>
      <w:marBottom w:val="0"/>
      <w:divBdr>
        <w:top w:val="none" w:sz="0" w:space="0" w:color="auto"/>
        <w:left w:val="none" w:sz="0" w:space="0" w:color="auto"/>
        <w:bottom w:val="none" w:sz="0" w:space="0" w:color="auto"/>
        <w:right w:val="none" w:sz="0" w:space="0" w:color="auto"/>
      </w:divBdr>
    </w:div>
    <w:div w:id="1459639543">
      <w:bodyDiv w:val="1"/>
      <w:marLeft w:val="0"/>
      <w:marRight w:val="0"/>
      <w:marTop w:val="0"/>
      <w:marBottom w:val="0"/>
      <w:divBdr>
        <w:top w:val="none" w:sz="0" w:space="0" w:color="auto"/>
        <w:left w:val="none" w:sz="0" w:space="0" w:color="auto"/>
        <w:bottom w:val="none" w:sz="0" w:space="0" w:color="auto"/>
        <w:right w:val="none" w:sz="0" w:space="0" w:color="auto"/>
      </w:divBdr>
    </w:div>
    <w:div w:id="1520466466">
      <w:bodyDiv w:val="1"/>
      <w:marLeft w:val="0"/>
      <w:marRight w:val="0"/>
      <w:marTop w:val="0"/>
      <w:marBottom w:val="0"/>
      <w:divBdr>
        <w:top w:val="none" w:sz="0" w:space="0" w:color="auto"/>
        <w:left w:val="none" w:sz="0" w:space="0" w:color="auto"/>
        <w:bottom w:val="none" w:sz="0" w:space="0" w:color="auto"/>
        <w:right w:val="none" w:sz="0" w:space="0" w:color="auto"/>
      </w:divBdr>
    </w:div>
    <w:div w:id="1916817784">
      <w:bodyDiv w:val="1"/>
      <w:marLeft w:val="0"/>
      <w:marRight w:val="0"/>
      <w:marTop w:val="0"/>
      <w:marBottom w:val="0"/>
      <w:divBdr>
        <w:top w:val="none" w:sz="0" w:space="0" w:color="auto"/>
        <w:left w:val="none" w:sz="0" w:space="0" w:color="auto"/>
        <w:bottom w:val="none" w:sz="0" w:space="0" w:color="auto"/>
        <w:right w:val="none" w:sz="0" w:space="0" w:color="auto"/>
      </w:divBdr>
    </w:div>
    <w:div w:id="21100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1437_2011_pr004.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1437_2011_pr004.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1437_2011_pr004.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retariasenado.gov.co/senado/basedoc/ley_1437_2011_pr00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5A51AA-D1B8-4B01-AD59-EB6136E9EDFE}">
  <ds:schemaRefs>
    <ds:schemaRef ds:uri="http://schemas.openxmlformats.org/officeDocument/2006/bibliography"/>
  </ds:schemaRefs>
</ds:datastoreItem>
</file>

<file path=customXml/itemProps2.xml><?xml version="1.0" encoding="utf-8"?>
<ds:datastoreItem xmlns:ds="http://schemas.openxmlformats.org/officeDocument/2006/customXml" ds:itemID="{7ACB569A-4C85-4F38-8A9C-B840FA2FC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1BC78-BD42-4675-8EDD-60FB10A211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03525A-F9E8-4B20-BDFD-F00EC14465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3489</Words>
  <Characters>19195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CONSEJO DE ESTADO</vt:lpstr>
    </vt:vector>
  </TitlesOfParts>
  <Company>CSJ</Company>
  <LinksUpToDate>false</LinksUpToDate>
  <CharactersWithSpaces>22639</CharactersWithSpaces>
  <SharedDoc>false</SharedDoc>
  <HLinks>
    <vt:vector size="24" baseType="variant">
      <vt:variant>
        <vt:i4>1376354</vt:i4>
      </vt:variant>
      <vt:variant>
        <vt:i4>9</vt:i4>
      </vt:variant>
      <vt:variant>
        <vt:i4>0</vt:i4>
      </vt:variant>
      <vt:variant>
        <vt:i4>5</vt:i4>
      </vt:variant>
      <vt:variant>
        <vt:lpwstr>http://www.secretariasenado.gov.co/senado/basedoc/ley_1437_2011_pr004.html</vt:lpwstr>
      </vt:variant>
      <vt:variant>
        <vt:lpwstr>197</vt:lpwstr>
      </vt:variant>
      <vt:variant>
        <vt:i4>1376354</vt:i4>
      </vt:variant>
      <vt:variant>
        <vt:i4>6</vt:i4>
      </vt:variant>
      <vt:variant>
        <vt:i4>0</vt:i4>
      </vt:variant>
      <vt:variant>
        <vt:i4>5</vt:i4>
      </vt:variant>
      <vt:variant>
        <vt:lpwstr>http://www.secretariasenado.gov.co/senado/basedoc/ley_1437_2011_pr004.html</vt:lpwstr>
      </vt:variant>
      <vt:variant>
        <vt:lpwstr>197</vt:lpwstr>
      </vt:variant>
      <vt:variant>
        <vt:i4>1835105</vt:i4>
      </vt:variant>
      <vt:variant>
        <vt:i4>3</vt:i4>
      </vt:variant>
      <vt:variant>
        <vt:i4>0</vt:i4>
      </vt:variant>
      <vt:variant>
        <vt:i4>5</vt:i4>
      </vt:variant>
      <vt:variant>
        <vt:lpwstr>http://www.secretariasenado.gov.co/senado/basedoc/ley_1437_2011_pr004.html</vt:lpwstr>
      </vt:variant>
      <vt:variant>
        <vt:lpwstr>200</vt:lpwstr>
      </vt:variant>
      <vt:variant>
        <vt:i4>1376354</vt:i4>
      </vt:variant>
      <vt:variant>
        <vt:i4>0</vt:i4>
      </vt:variant>
      <vt:variant>
        <vt:i4>0</vt:i4>
      </vt:variant>
      <vt:variant>
        <vt:i4>5</vt:i4>
      </vt:variant>
      <vt:variant>
        <vt:lpwstr>http://www.secretariasenado.gov.co/senado/basedoc/ley_1437_2011_pr004.html</vt:lpwstr>
      </vt:variant>
      <vt:variant>
        <vt:lpwstr>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cp:lastModifiedBy>Carlos Mario Castrillón Endo</cp:lastModifiedBy>
  <cp:revision>2</cp:revision>
  <cp:lastPrinted>2017-08-22T14:18:00Z</cp:lastPrinted>
  <dcterms:created xsi:type="dcterms:W3CDTF">2020-07-01T20:04:00Z</dcterms:created>
  <dcterms:modified xsi:type="dcterms:W3CDTF">2020-07-01T20:04:00Z</dcterms:modified>
</cp:coreProperties>
</file>