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017E4" w14:textId="77777777" w:rsidR="00463724" w:rsidRPr="006A1170" w:rsidRDefault="005E114C" w:rsidP="00463724">
      <w:pPr>
        <w:jc w:val="both"/>
        <w:rPr>
          <w:rFonts w:ascii="Arial" w:hAnsi="Arial" w:cs="Arial"/>
          <w:b/>
        </w:rPr>
      </w:pPr>
      <w:r w:rsidRPr="005E114C">
        <w:rPr>
          <w:rFonts w:ascii="Arial" w:hAnsi="Arial" w:cs="Arial"/>
          <w:b/>
        </w:rPr>
        <w:t>INDEBIDA ESCOGENCIA DE LA ACCIÓN</w:t>
      </w:r>
      <w:r>
        <w:rPr>
          <w:rFonts w:ascii="Arial" w:hAnsi="Arial" w:cs="Arial"/>
          <w:b/>
        </w:rPr>
        <w:t xml:space="preserve"> –</w:t>
      </w:r>
      <w:r w:rsidR="00205A72" w:rsidRPr="006A1170">
        <w:rPr>
          <w:rFonts w:ascii="Arial" w:hAnsi="Arial" w:cs="Arial"/>
          <w:b/>
        </w:rPr>
        <w:t xml:space="preserve"> </w:t>
      </w:r>
      <w:r w:rsidRPr="005E114C">
        <w:rPr>
          <w:rFonts w:ascii="Arial" w:hAnsi="Arial" w:cs="Arial"/>
          <w:b/>
        </w:rPr>
        <w:t xml:space="preserve">Procedencia </w:t>
      </w:r>
      <w:r>
        <w:rPr>
          <w:rFonts w:ascii="Arial" w:hAnsi="Arial" w:cs="Arial"/>
          <w:b/>
        </w:rPr>
        <w:t xml:space="preserve">– </w:t>
      </w:r>
      <w:r w:rsidRPr="005E114C">
        <w:rPr>
          <w:rFonts w:ascii="Arial" w:hAnsi="Arial" w:cs="Arial"/>
          <w:b/>
        </w:rPr>
        <w:t>Controversias contractuales y de nulidad y restablecimiento del derecho</w:t>
      </w:r>
    </w:p>
    <w:p w14:paraId="7D1132EE" w14:textId="77777777" w:rsidR="00463724" w:rsidRPr="006A1170" w:rsidRDefault="00463724" w:rsidP="00153F87">
      <w:pPr>
        <w:jc w:val="both"/>
        <w:rPr>
          <w:rFonts w:ascii="Arial" w:hAnsi="Arial" w:cs="Arial"/>
          <w:b/>
        </w:rPr>
      </w:pPr>
    </w:p>
    <w:p w14:paraId="17DBE201" w14:textId="77777777" w:rsidR="00205A72" w:rsidRPr="006A1170" w:rsidRDefault="00827ED8" w:rsidP="00205A72">
      <w:pPr>
        <w:jc w:val="both"/>
        <w:rPr>
          <w:rFonts w:ascii="Arial" w:hAnsi="Arial" w:cs="Arial"/>
        </w:rPr>
      </w:pPr>
      <w:r w:rsidRPr="006A1170">
        <w:rPr>
          <w:rFonts w:ascii="Arial" w:hAnsi="Arial" w:cs="Arial"/>
        </w:rPr>
        <w:t>El a</w:t>
      </w:r>
      <w:r w:rsidR="00205A72" w:rsidRPr="006A1170">
        <w:rPr>
          <w:rFonts w:ascii="Arial" w:hAnsi="Arial" w:cs="Arial"/>
        </w:rPr>
        <w:t>cto administrativo demandado fue expedido por el municipio de Tuta -Boyacá- con posterioridad a la liquidación del contrato, es decir, se trata de un acto poscontractual, en relación con lo cual cabe recordar que la jurisprudencia de esta Corporación ha sostenido que tal tipo de actos pueden ser atacados en sede judicial por vía de la acción de controversias contractuales, únicamente, conforme a lo dispuesto en el artículo 77 de la ley 80 de 1993. En ese orden de ideas, se observa que la acción invocada por la parte demandante (nulidad y restablecimiento del derecho) no es la acción idónea para acudir a la jurisdicción contenciosa; sin embargo, con el fin de garantizar desde el inicio del litigio el debido proceso, el medio de control propuesto se adecuará, con base en el artículo 171 del C.PA.C.A., al de controversias contractuales.</w:t>
      </w:r>
    </w:p>
    <w:p w14:paraId="6979F87B" w14:textId="77777777" w:rsidR="00205A72" w:rsidRPr="006A1170" w:rsidRDefault="00205A72" w:rsidP="00205A72">
      <w:pPr>
        <w:jc w:val="both"/>
        <w:rPr>
          <w:rFonts w:ascii="Arial" w:hAnsi="Arial" w:cs="Arial"/>
        </w:rPr>
      </w:pPr>
    </w:p>
    <w:p w14:paraId="073E88C3" w14:textId="77777777" w:rsidR="00205A72" w:rsidRPr="006A1170" w:rsidRDefault="005E114C" w:rsidP="00205A72">
      <w:pPr>
        <w:jc w:val="both"/>
        <w:rPr>
          <w:rFonts w:ascii="Arial" w:hAnsi="Arial" w:cs="Arial"/>
          <w:b/>
        </w:rPr>
      </w:pPr>
      <w:r w:rsidRPr="005E114C">
        <w:rPr>
          <w:rFonts w:ascii="Arial" w:hAnsi="Arial" w:cs="Arial"/>
          <w:b/>
        </w:rPr>
        <w:t>CLÁUSULA COMPROMISORIA</w:t>
      </w:r>
      <w:r>
        <w:rPr>
          <w:rFonts w:ascii="Arial" w:hAnsi="Arial" w:cs="Arial"/>
          <w:b/>
        </w:rPr>
        <w:t xml:space="preserve"> –</w:t>
      </w:r>
      <w:r w:rsidR="00205A72" w:rsidRPr="006A1170">
        <w:rPr>
          <w:rFonts w:ascii="Arial" w:hAnsi="Arial" w:cs="Arial"/>
          <w:b/>
        </w:rPr>
        <w:t xml:space="preserve"> </w:t>
      </w:r>
      <w:r>
        <w:rPr>
          <w:rFonts w:ascii="Arial" w:hAnsi="Arial" w:cs="Arial"/>
          <w:b/>
        </w:rPr>
        <w:t xml:space="preserve">Declaración – Vía de excepción </w:t>
      </w:r>
      <w:r w:rsidR="00205A72" w:rsidRPr="006A1170">
        <w:rPr>
          <w:rFonts w:ascii="Arial" w:hAnsi="Arial" w:cs="Arial"/>
          <w:b/>
        </w:rPr>
        <w:t xml:space="preserve"> </w:t>
      </w:r>
    </w:p>
    <w:p w14:paraId="051160E8" w14:textId="77777777" w:rsidR="00205A72" w:rsidRPr="006A1170" w:rsidRDefault="00205A72" w:rsidP="00205A72">
      <w:pPr>
        <w:jc w:val="both"/>
        <w:rPr>
          <w:rFonts w:ascii="Arial" w:hAnsi="Arial" w:cs="Arial"/>
          <w:b/>
        </w:rPr>
      </w:pPr>
    </w:p>
    <w:p w14:paraId="06BF6360" w14:textId="2E7E2BDC" w:rsidR="00205A72" w:rsidRDefault="004F7B06" w:rsidP="00205A72">
      <w:pPr>
        <w:jc w:val="both"/>
        <w:rPr>
          <w:rFonts w:ascii="Arial" w:hAnsi="Arial" w:cs="Arial"/>
        </w:rPr>
      </w:pPr>
      <w:r w:rsidRPr="006A1170">
        <w:rPr>
          <w:rFonts w:ascii="Arial" w:hAnsi="Arial" w:cs="Arial"/>
        </w:rPr>
        <w:t>L</w:t>
      </w:r>
      <w:r w:rsidR="00205A72" w:rsidRPr="006A1170">
        <w:rPr>
          <w:rFonts w:ascii="Arial" w:hAnsi="Arial" w:cs="Arial"/>
        </w:rPr>
        <w:t>a demanda fue interpuesta el 13 de enero de 2015, es decir, cuando ya había entrado a regir la Ley 1563 de 2012, por medio de la cual se expidió el Estatuto de Arbitraje Nacional e Internacional (…) aun existiendo cláusula compromisoria, si se presenta la demanda ante la jurisdicción contenciosa y la parte demandada no propone la excepción respectiva, se debe entender que se renuncia al pacto arbitral. En el sub examine, el proceso apenas se encuentra en la etapa de admitir la demanda, de manera que aún no se ha abierto la posibilidad de que la demandada se pronuncie respecto de esa cláusula, razón por la cual deberá admitirse la demanda, siempre que se cumplan sus requisitos formales, y esta jurisdicción tendrá competencia para conocer del asunto a menos que la parte demandada excepcione en sentido contrario. Bajo esta lógica, el juez deberá esperar a la contestación de la demanda para ver si se propone la excepción, pues de lo contrario el asunto debe ser conocido por esta jurisdicción, conforme a lo señalado en el parágrafo del citado artículo 21, norma de carácter procesal de aplicación inmediata que, por tanto, rige para procesos que se inicien con posterioridad a su entrada en vigencia, como ocurre con el caso de la referencia. De acuerdo con lo anterior y ya que la jurisdicción de lo contencioso administrativo es la competente para conocer del presente caso mientras no se exceptúe lo contrario en la contestación de la demanda, se revocará la decisión apelada.</w:t>
      </w:r>
    </w:p>
    <w:p w14:paraId="39656E4A" w14:textId="77777777" w:rsidR="00F234C4" w:rsidRPr="006A1170" w:rsidRDefault="00F234C4" w:rsidP="00205A72">
      <w:pPr>
        <w:jc w:val="both"/>
        <w:rPr>
          <w:rFonts w:ascii="Arial" w:hAnsi="Arial" w:cs="Arial"/>
        </w:rPr>
      </w:pPr>
    </w:p>
    <w:p w14:paraId="77540B1A" w14:textId="77777777" w:rsidR="00153F87" w:rsidRPr="00F234C4" w:rsidRDefault="00153F87" w:rsidP="00153F87">
      <w:pPr>
        <w:jc w:val="both"/>
        <w:rPr>
          <w:rFonts w:ascii="Arial" w:hAnsi="Arial" w:cs="Arial"/>
        </w:rPr>
      </w:pPr>
    </w:p>
    <w:p w14:paraId="6E3ACB3F" w14:textId="77777777" w:rsidR="00B631FB" w:rsidRPr="00153F87" w:rsidRDefault="00B631FB" w:rsidP="00153F87">
      <w:pPr>
        <w:jc w:val="center"/>
        <w:rPr>
          <w:rFonts w:ascii="Arial" w:hAnsi="Arial" w:cs="Arial"/>
          <w:b/>
          <w:sz w:val="24"/>
          <w:szCs w:val="24"/>
        </w:rPr>
      </w:pPr>
      <w:r w:rsidRPr="00153F87">
        <w:rPr>
          <w:rFonts w:ascii="Arial" w:hAnsi="Arial" w:cs="Arial"/>
          <w:b/>
          <w:sz w:val="24"/>
          <w:szCs w:val="24"/>
        </w:rPr>
        <w:t>CONSEJO DE ESTADO</w:t>
      </w:r>
    </w:p>
    <w:p w14:paraId="609411D1" w14:textId="77777777" w:rsidR="00153F87" w:rsidRPr="00153F87" w:rsidRDefault="00153F87" w:rsidP="00153F87">
      <w:pPr>
        <w:jc w:val="center"/>
        <w:rPr>
          <w:rFonts w:ascii="Arial" w:hAnsi="Arial" w:cs="Arial"/>
          <w:b/>
          <w:sz w:val="24"/>
          <w:szCs w:val="24"/>
        </w:rPr>
      </w:pPr>
    </w:p>
    <w:p w14:paraId="2B7C685A" w14:textId="77777777" w:rsidR="00B631FB" w:rsidRPr="00153F87" w:rsidRDefault="00B631FB" w:rsidP="00153F87">
      <w:pPr>
        <w:jc w:val="center"/>
        <w:rPr>
          <w:rFonts w:ascii="Arial" w:hAnsi="Arial" w:cs="Arial"/>
          <w:b/>
          <w:sz w:val="24"/>
          <w:szCs w:val="24"/>
        </w:rPr>
      </w:pPr>
      <w:r w:rsidRPr="00153F87">
        <w:rPr>
          <w:rFonts w:ascii="Arial" w:hAnsi="Arial" w:cs="Arial"/>
          <w:b/>
          <w:sz w:val="24"/>
          <w:szCs w:val="24"/>
        </w:rPr>
        <w:t>SALA DE LO CONTENCIOSO ADMINISTRATIVO</w:t>
      </w:r>
    </w:p>
    <w:p w14:paraId="5EBC0DF9" w14:textId="77777777" w:rsidR="00153F87" w:rsidRPr="00153F87" w:rsidRDefault="00153F87" w:rsidP="00153F87">
      <w:pPr>
        <w:jc w:val="center"/>
        <w:rPr>
          <w:rFonts w:ascii="Arial" w:hAnsi="Arial" w:cs="Arial"/>
          <w:b/>
          <w:sz w:val="24"/>
          <w:szCs w:val="24"/>
        </w:rPr>
      </w:pPr>
    </w:p>
    <w:p w14:paraId="6F70FC05" w14:textId="77777777" w:rsidR="00B631FB" w:rsidRPr="00153F87" w:rsidRDefault="00153F87" w:rsidP="00153F87">
      <w:pPr>
        <w:jc w:val="center"/>
        <w:rPr>
          <w:rFonts w:ascii="Arial" w:hAnsi="Arial" w:cs="Arial"/>
          <w:b/>
          <w:sz w:val="24"/>
          <w:szCs w:val="24"/>
        </w:rPr>
      </w:pPr>
      <w:r w:rsidRPr="00153F87">
        <w:rPr>
          <w:rFonts w:ascii="Arial" w:hAnsi="Arial" w:cs="Arial"/>
          <w:b/>
          <w:sz w:val="24"/>
          <w:szCs w:val="24"/>
        </w:rPr>
        <w:t>SECCION TERCERA</w:t>
      </w:r>
    </w:p>
    <w:p w14:paraId="5C81419A" w14:textId="77777777" w:rsidR="00153F87" w:rsidRPr="00153F87" w:rsidRDefault="00153F87" w:rsidP="00153F87">
      <w:pPr>
        <w:jc w:val="center"/>
        <w:rPr>
          <w:rFonts w:ascii="Arial" w:hAnsi="Arial" w:cs="Arial"/>
          <w:b/>
          <w:sz w:val="24"/>
          <w:szCs w:val="24"/>
        </w:rPr>
      </w:pPr>
    </w:p>
    <w:p w14:paraId="65BE9F76" w14:textId="77777777" w:rsidR="00153F87" w:rsidRPr="00153F87" w:rsidRDefault="00153F87" w:rsidP="00153F87">
      <w:pPr>
        <w:jc w:val="center"/>
        <w:rPr>
          <w:rFonts w:ascii="Arial" w:hAnsi="Arial" w:cs="Arial"/>
          <w:b/>
          <w:sz w:val="24"/>
          <w:szCs w:val="24"/>
        </w:rPr>
      </w:pPr>
      <w:r w:rsidRPr="00153F87">
        <w:rPr>
          <w:rFonts w:ascii="Arial" w:hAnsi="Arial" w:cs="Arial"/>
          <w:b/>
          <w:sz w:val="24"/>
          <w:szCs w:val="24"/>
        </w:rPr>
        <w:t>SUBSE</w:t>
      </w:r>
      <w:r w:rsidR="00205A72">
        <w:rPr>
          <w:rFonts w:ascii="Arial" w:hAnsi="Arial" w:cs="Arial"/>
          <w:b/>
          <w:sz w:val="24"/>
          <w:szCs w:val="24"/>
        </w:rPr>
        <w:t>CCIÓ</w:t>
      </w:r>
      <w:r w:rsidRPr="00153F87">
        <w:rPr>
          <w:rFonts w:ascii="Arial" w:hAnsi="Arial" w:cs="Arial"/>
          <w:b/>
          <w:sz w:val="24"/>
          <w:szCs w:val="24"/>
        </w:rPr>
        <w:t>N A</w:t>
      </w:r>
    </w:p>
    <w:p w14:paraId="5CF86EFF" w14:textId="77777777" w:rsidR="00B631FB" w:rsidRPr="00153F87" w:rsidRDefault="00B631FB" w:rsidP="00153F87">
      <w:pPr>
        <w:jc w:val="center"/>
        <w:rPr>
          <w:rFonts w:ascii="Arial" w:hAnsi="Arial" w:cs="Arial"/>
          <w:b/>
          <w:sz w:val="24"/>
          <w:szCs w:val="24"/>
        </w:rPr>
      </w:pPr>
    </w:p>
    <w:p w14:paraId="41C71383" w14:textId="77777777" w:rsidR="00B631FB" w:rsidRPr="00153F87" w:rsidRDefault="00B631FB" w:rsidP="00153F87">
      <w:pPr>
        <w:jc w:val="center"/>
        <w:rPr>
          <w:rFonts w:ascii="Arial" w:hAnsi="Arial" w:cs="Arial"/>
          <w:b/>
          <w:sz w:val="24"/>
          <w:szCs w:val="24"/>
        </w:rPr>
      </w:pPr>
      <w:r w:rsidRPr="00153F87">
        <w:rPr>
          <w:rFonts w:ascii="Arial" w:hAnsi="Arial" w:cs="Arial"/>
          <w:b/>
          <w:sz w:val="24"/>
          <w:szCs w:val="24"/>
        </w:rPr>
        <w:t>C</w:t>
      </w:r>
      <w:r w:rsidR="00B871B7" w:rsidRPr="00153F87">
        <w:rPr>
          <w:rFonts w:ascii="Arial" w:hAnsi="Arial" w:cs="Arial"/>
          <w:b/>
          <w:sz w:val="24"/>
          <w:szCs w:val="24"/>
        </w:rPr>
        <w:t>onsejero ponente</w:t>
      </w:r>
      <w:r w:rsidRPr="00153F87">
        <w:rPr>
          <w:rFonts w:ascii="Arial" w:hAnsi="Arial" w:cs="Arial"/>
          <w:b/>
          <w:sz w:val="24"/>
          <w:szCs w:val="24"/>
        </w:rPr>
        <w:t>: CARLOS ALBERTO ZAMBRANO BARRERA</w:t>
      </w:r>
    </w:p>
    <w:p w14:paraId="0D44717E" w14:textId="77777777" w:rsidR="00B631FB" w:rsidRPr="00153F87" w:rsidRDefault="00B631FB" w:rsidP="00153F87">
      <w:pPr>
        <w:jc w:val="center"/>
        <w:rPr>
          <w:rFonts w:ascii="Arial" w:hAnsi="Arial" w:cs="Arial"/>
          <w:b/>
          <w:sz w:val="24"/>
          <w:szCs w:val="24"/>
        </w:rPr>
      </w:pPr>
    </w:p>
    <w:p w14:paraId="15C2ADA4" w14:textId="77777777" w:rsidR="00B631FB" w:rsidRPr="00153F87" w:rsidRDefault="00B631FB" w:rsidP="00153F87">
      <w:pPr>
        <w:jc w:val="both"/>
        <w:rPr>
          <w:rFonts w:ascii="Arial" w:hAnsi="Arial" w:cs="Arial"/>
          <w:sz w:val="24"/>
          <w:szCs w:val="24"/>
        </w:rPr>
      </w:pPr>
      <w:r w:rsidRPr="00153F87">
        <w:rPr>
          <w:rFonts w:ascii="Arial" w:hAnsi="Arial" w:cs="Arial"/>
          <w:sz w:val="24"/>
          <w:szCs w:val="24"/>
        </w:rPr>
        <w:t>Bogotá, D.C., veintiuno (21) de</w:t>
      </w:r>
      <w:r w:rsidR="00153F87" w:rsidRPr="00153F87">
        <w:rPr>
          <w:rFonts w:ascii="Arial" w:hAnsi="Arial" w:cs="Arial"/>
          <w:sz w:val="24"/>
          <w:szCs w:val="24"/>
        </w:rPr>
        <w:t xml:space="preserve"> abril de dos mil diecisiete (2</w:t>
      </w:r>
      <w:r w:rsidRPr="00153F87">
        <w:rPr>
          <w:rFonts w:ascii="Arial" w:hAnsi="Arial" w:cs="Arial"/>
          <w:sz w:val="24"/>
          <w:szCs w:val="24"/>
        </w:rPr>
        <w:t>017)</w:t>
      </w:r>
    </w:p>
    <w:p w14:paraId="688C2F43" w14:textId="77777777" w:rsidR="00153F87" w:rsidRPr="00153F87" w:rsidRDefault="00153F87" w:rsidP="00153F87">
      <w:pPr>
        <w:jc w:val="both"/>
        <w:rPr>
          <w:rFonts w:ascii="Arial" w:hAnsi="Arial" w:cs="Arial"/>
          <w:b/>
          <w:bCs/>
          <w:sz w:val="24"/>
          <w:szCs w:val="24"/>
        </w:rPr>
      </w:pPr>
    </w:p>
    <w:p w14:paraId="64FE1081" w14:textId="77777777" w:rsidR="00B631FB" w:rsidRPr="00153F87" w:rsidRDefault="00B631FB" w:rsidP="00153F87">
      <w:pPr>
        <w:jc w:val="both"/>
        <w:rPr>
          <w:rFonts w:ascii="Arial" w:hAnsi="Arial" w:cs="Arial"/>
          <w:b/>
          <w:sz w:val="24"/>
          <w:szCs w:val="24"/>
        </w:rPr>
      </w:pPr>
      <w:r w:rsidRPr="00153F87">
        <w:rPr>
          <w:rFonts w:ascii="Arial" w:hAnsi="Arial" w:cs="Arial"/>
          <w:b/>
          <w:bCs/>
          <w:sz w:val="24"/>
          <w:szCs w:val="24"/>
        </w:rPr>
        <w:t>Radicación</w:t>
      </w:r>
      <w:r w:rsidR="00153F87" w:rsidRPr="00153F87">
        <w:rPr>
          <w:rFonts w:ascii="Arial" w:hAnsi="Arial" w:cs="Arial"/>
          <w:b/>
          <w:bCs/>
          <w:sz w:val="24"/>
          <w:szCs w:val="24"/>
        </w:rPr>
        <w:t xml:space="preserve"> número</w:t>
      </w:r>
      <w:r w:rsidR="00153F87" w:rsidRPr="00153F87">
        <w:rPr>
          <w:rFonts w:ascii="Arial" w:hAnsi="Arial" w:cs="Arial"/>
          <w:b/>
          <w:sz w:val="24"/>
          <w:szCs w:val="24"/>
        </w:rPr>
        <w:t xml:space="preserve">: </w:t>
      </w:r>
      <w:r w:rsidRPr="00153F87">
        <w:rPr>
          <w:rFonts w:ascii="Arial" w:hAnsi="Arial" w:cs="Arial"/>
          <w:b/>
          <w:sz w:val="24"/>
          <w:szCs w:val="24"/>
        </w:rPr>
        <w:t>15001-23-33-000-2015-00010</w:t>
      </w:r>
      <w:r w:rsidR="00153F87" w:rsidRPr="00153F87">
        <w:rPr>
          <w:rFonts w:ascii="Arial" w:hAnsi="Arial" w:cs="Arial"/>
          <w:b/>
          <w:sz w:val="24"/>
          <w:szCs w:val="24"/>
        </w:rPr>
        <w:t>-01</w:t>
      </w:r>
      <w:r w:rsidRPr="00153F87">
        <w:rPr>
          <w:rFonts w:ascii="Arial" w:hAnsi="Arial" w:cs="Arial"/>
          <w:b/>
          <w:sz w:val="24"/>
          <w:szCs w:val="24"/>
        </w:rPr>
        <w:t>(</w:t>
      </w:r>
      <w:r w:rsidR="00153F87" w:rsidRPr="00153F87">
        <w:rPr>
          <w:rFonts w:ascii="Arial" w:hAnsi="Arial" w:cs="Arial"/>
          <w:b/>
          <w:sz w:val="24"/>
          <w:szCs w:val="24"/>
        </w:rPr>
        <w:t>54</w:t>
      </w:r>
      <w:r w:rsidRPr="00153F87">
        <w:rPr>
          <w:rFonts w:ascii="Arial" w:hAnsi="Arial" w:cs="Arial"/>
          <w:b/>
          <w:sz w:val="24"/>
          <w:szCs w:val="24"/>
        </w:rPr>
        <w:t>001)</w:t>
      </w:r>
    </w:p>
    <w:p w14:paraId="01CC05AD" w14:textId="77777777" w:rsidR="00153F87" w:rsidRPr="00153F87" w:rsidRDefault="00153F87" w:rsidP="00153F87">
      <w:pPr>
        <w:jc w:val="both"/>
        <w:rPr>
          <w:rFonts w:ascii="Arial" w:hAnsi="Arial" w:cs="Arial"/>
          <w:b/>
          <w:bCs/>
          <w:sz w:val="24"/>
          <w:szCs w:val="24"/>
        </w:rPr>
      </w:pPr>
    </w:p>
    <w:p w14:paraId="0B02650A" w14:textId="77777777" w:rsidR="00B631FB" w:rsidRPr="00153F87" w:rsidRDefault="00153F87" w:rsidP="00153F87">
      <w:pPr>
        <w:jc w:val="both"/>
        <w:rPr>
          <w:rFonts w:ascii="Arial" w:hAnsi="Arial" w:cs="Arial"/>
          <w:b/>
          <w:bCs/>
          <w:sz w:val="24"/>
          <w:szCs w:val="24"/>
        </w:rPr>
      </w:pPr>
      <w:r w:rsidRPr="00153F87">
        <w:rPr>
          <w:rFonts w:ascii="Arial" w:hAnsi="Arial" w:cs="Arial"/>
          <w:b/>
          <w:bCs/>
          <w:sz w:val="24"/>
          <w:szCs w:val="24"/>
        </w:rPr>
        <w:t xml:space="preserve">Actor: </w:t>
      </w:r>
      <w:r w:rsidRPr="00153F87">
        <w:rPr>
          <w:rFonts w:ascii="Arial" w:hAnsi="Arial" w:cs="Arial"/>
          <w:b/>
          <w:sz w:val="24"/>
          <w:szCs w:val="24"/>
        </w:rPr>
        <w:t>SUÁREZ FIGUEROA BUFETE DE ABOGADOS S.A.S.</w:t>
      </w:r>
      <w:r w:rsidRPr="00153F87">
        <w:rPr>
          <w:rFonts w:ascii="Arial" w:hAnsi="Arial" w:cs="Arial"/>
          <w:b/>
          <w:bCs/>
          <w:sz w:val="24"/>
          <w:szCs w:val="24"/>
        </w:rPr>
        <w:t xml:space="preserve"> </w:t>
      </w:r>
    </w:p>
    <w:p w14:paraId="75EAE408" w14:textId="77777777" w:rsidR="00153F87" w:rsidRPr="00153F87" w:rsidRDefault="00153F87" w:rsidP="00153F87">
      <w:pPr>
        <w:jc w:val="both"/>
        <w:rPr>
          <w:rFonts w:ascii="Arial" w:hAnsi="Arial" w:cs="Arial"/>
          <w:b/>
          <w:bCs/>
          <w:sz w:val="24"/>
          <w:szCs w:val="24"/>
        </w:rPr>
      </w:pPr>
    </w:p>
    <w:p w14:paraId="4F3B0EF7" w14:textId="77777777" w:rsidR="00153F87" w:rsidRPr="00153F87" w:rsidRDefault="00B631FB" w:rsidP="00153F87">
      <w:pPr>
        <w:jc w:val="both"/>
        <w:rPr>
          <w:rFonts w:ascii="Arial" w:hAnsi="Arial" w:cs="Arial"/>
          <w:b/>
          <w:sz w:val="24"/>
          <w:szCs w:val="24"/>
        </w:rPr>
      </w:pPr>
      <w:r w:rsidRPr="00153F87">
        <w:rPr>
          <w:rFonts w:ascii="Arial" w:hAnsi="Arial" w:cs="Arial"/>
          <w:b/>
          <w:bCs/>
          <w:sz w:val="24"/>
          <w:szCs w:val="24"/>
        </w:rPr>
        <w:t>Demandado:</w:t>
      </w:r>
      <w:r w:rsidR="00153F87" w:rsidRPr="00153F87">
        <w:rPr>
          <w:rFonts w:ascii="Arial" w:hAnsi="Arial" w:cs="Arial"/>
          <w:b/>
          <w:sz w:val="24"/>
          <w:szCs w:val="24"/>
        </w:rPr>
        <w:t xml:space="preserve"> MUNICIPIO DE TUTA -BOYACÁ- </w:t>
      </w:r>
    </w:p>
    <w:p w14:paraId="27BA0567" w14:textId="77777777" w:rsidR="00153F87" w:rsidRPr="00153F87" w:rsidRDefault="00153F87" w:rsidP="00153F87">
      <w:pPr>
        <w:jc w:val="both"/>
        <w:rPr>
          <w:rFonts w:ascii="Arial" w:hAnsi="Arial" w:cs="Arial"/>
          <w:b/>
          <w:bCs/>
          <w:sz w:val="24"/>
          <w:szCs w:val="24"/>
        </w:rPr>
      </w:pPr>
    </w:p>
    <w:p w14:paraId="266E1AEF" w14:textId="77777777" w:rsidR="00153F87" w:rsidRPr="00153F87" w:rsidRDefault="00153F87" w:rsidP="00153F87">
      <w:pPr>
        <w:jc w:val="both"/>
        <w:rPr>
          <w:rFonts w:ascii="Arial" w:hAnsi="Arial" w:cs="Arial"/>
          <w:b/>
          <w:bCs/>
          <w:sz w:val="24"/>
          <w:szCs w:val="24"/>
        </w:rPr>
      </w:pPr>
    </w:p>
    <w:p w14:paraId="690C067B" w14:textId="77777777" w:rsidR="00B631FB" w:rsidRPr="00153F87" w:rsidRDefault="00153F87" w:rsidP="00153F87">
      <w:pPr>
        <w:jc w:val="both"/>
        <w:rPr>
          <w:rFonts w:ascii="Arial" w:hAnsi="Arial" w:cs="Arial"/>
          <w:b/>
          <w:sz w:val="24"/>
          <w:szCs w:val="24"/>
        </w:rPr>
      </w:pPr>
      <w:r w:rsidRPr="00153F87">
        <w:rPr>
          <w:rFonts w:ascii="Arial" w:hAnsi="Arial" w:cs="Arial"/>
          <w:b/>
          <w:bCs/>
          <w:sz w:val="24"/>
          <w:szCs w:val="24"/>
        </w:rPr>
        <w:t xml:space="preserve">Referencia: </w:t>
      </w:r>
      <w:r w:rsidRPr="00153F87">
        <w:rPr>
          <w:rFonts w:ascii="Arial" w:hAnsi="Arial" w:cs="Arial"/>
          <w:b/>
          <w:sz w:val="24"/>
          <w:szCs w:val="24"/>
        </w:rPr>
        <w:t xml:space="preserve">NULIDAD Y RESTABLECIMIENTO DEL DERECHO </w:t>
      </w:r>
    </w:p>
    <w:p w14:paraId="0D619DB7" w14:textId="77777777" w:rsidR="00B631FB" w:rsidRPr="00153F87" w:rsidRDefault="00B631FB" w:rsidP="00153F87">
      <w:pPr>
        <w:jc w:val="both"/>
        <w:rPr>
          <w:rFonts w:ascii="Arial" w:hAnsi="Arial" w:cs="Arial"/>
          <w:b/>
          <w:sz w:val="24"/>
          <w:szCs w:val="24"/>
        </w:rPr>
      </w:pPr>
    </w:p>
    <w:p w14:paraId="74EC20B6" w14:textId="77777777" w:rsidR="00153F87" w:rsidRPr="00153F87" w:rsidRDefault="00153F87" w:rsidP="00153F87">
      <w:pPr>
        <w:jc w:val="both"/>
        <w:rPr>
          <w:rFonts w:ascii="Arial" w:hAnsi="Arial" w:cs="Arial"/>
          <w:b/>
          <w:sz w:val="24"/>
          <w:szCs w:val="24"/>
        </w:rPr>
      </w:pPr>
    </w:p>
    <w:p w14:paraId="21AFDEE7" w14:textId="77777777" w:rsidR="00153F87" w:rsidRPr="00153F87" w:rsidRDefault="00153F87" w:rsidP="00153F87">
      <w:pPr>
        <w:jc w:val="both"/>
        <w:rPr>
          <w:rFonts w:ascii="Arial" w:hAnsi="Arial" w:cs="Arial"/>
          <w:b/>
          <w:sz w:val="24"/>
          <w:szCs w:val="24"/>
        </w:rPr>
      </w:pPr>
    </w:p>
    <w:p w14:paraId="73071643" w14:textId="77777777" w:rsidR="00B631FB" w:rsidRPr="00B631FB" w:rsidRDefault="00B631FB" w:rsidP="00B631FB">
      <w:pPr>
        <w:overflowPunct w:val="0"/>
        <w:autoSpaceDE w:val="0"/>
        <w:autoSpaceDN w:val="0"/>
        <w:adjustRightInd w:val="0"/>
        <w:spacing w:line="360" w:lineRule="auto"/>
        <w:ind w:right="142"/>
        <w:jc w:val="both"/>
        <w:rPr>
          <w:rFonts w:ascii="Century Gothic" w:eastAsia="Times New Roman" w:hAnsi="Century Gothic" w:cs="Tahoma"/>
          <w:lang w:val="es-MX" w:eastAsia="es-ES"/>
        </w:rPr>
      </w:pPr>
      <w:r w:rsidRPr="00B631FB">
        <w:rPr>
          <w:rFonts w:ascii="Century Gothic" w:eastAsia="Times New Roman" w:hAnsi="Century Gothic" w:cs="Tahoma"/>
          <w:lang w:val="es-MX" w:eastAsia="es-ES"/>
        </w:rPr>
        <w:lastRenderedPageBreak/>
        <w:t>Decide la Despacho el recurso de apelación interpuesto por la</w:t>
      </w:r>
      <w:r>
        <w:rPr>
          <w:rFonts w:ascii="Century Gothic" w:eastAsia="Times New Roman" w:hAnsi="Century Gothic" w:cs="Tahoma"/>
          <w:lang w:val="es-MX" w:eastAsia="es-ES"/>
        </w:rPr>
        <w:t xml:space="preserve"> parte demandante</w:t>
      </w:r>
      <w:r w:rsidRPr="00B631FB">
        <w:rPr>
          <w:rFonts w:ascii="Century Gothic" w:eastAsia="Times New Roman" w:hAnsi="Century Gothic" w:cs="Tahoma"/>
          <w:lang w:val="es-MX" w:eastAsia="es-ES"/>
        </w:rPr>
        <w:t xml:space="preserve">, contra </w:t>
      </w:r>
      <w:r>
        <w:rPr>
          <w:rFonts w:ascii="Century Gothic" w:eastAsia="Times New Roman" w:hAnsi="Century Gothic" w:cs="Tahoma"/>
          <w:lang w:val="es-MX" w:eastAsia="es-ES"/>
        </w:rPr>
        <w:t xml:space="preserve">el auto del 27 de febrero de 2015, proferido </w:t>
      </w:r>
      <w:r w:rsidRPr="00B631FB">
        <w:rPr>
          <w:rFonts w:ascii="Century Gothic" w:eastAsia="Times New Roman" w:hAnsi="Century Gothic" w:cs="Tahoma"/>
          <w:lang w:val="es-MX" w:eastAsia="es-ES"/>
        </w:rPr>
        <w:t>por el Tribuna</w:t>
      </w:r>
      <w:r>
        <w:rPr>
          <w:rFonts w:ascii="Century Gothic" w:eastAsia="Times New Roman" w:hAnsi="Century Gothic" w:cs="Tahoma"/>
          <w:lang w:val="es-MX" w:eastAsia="es-ES"/>
        </w:rPr>
        <w:t>l Administrativo de Boyacá, a través del cual se rechazó la demanda</w:t>
      </w:r>
      <w:r w:rsidRPr="00B631FB">
        <w:rPr>
          <w:rFonts w:ascii="Century Gothic" w:eastAsia="Times New Roman" w:hAnsi="Century Gothic" w:cs="Tahoma"/>
          <w:lang w:val="es-MX" w:eastAsia="es-ES"/>
        </w:rPr>
        <w:t>.</w:t>
      </w:r>
    </w:p>
    <w:p w14:paraId="71EDFA14" w14:textId="77777777" w:rsidR="00B631FB" w:rsidRPr="00B631FB" w:rsidRDefault="00B631FB" w:rsidP="00B631FB"/>
    <w:p w14:paraId="519FC747" w14:textId="77777777" w:rsidR="00B631FB" w:rsidRPr="00B631FB" w:rsidRDefault="00B631FB" w:rsidP="00B631FB"/>
    <w:p w14:paraId="79ACCBED" w14:textId="77777777" w:rsidR="00B631FB" w:rsidRPr="00B631FB" w:rsidRDefault="00B631FB" w:rsidP="00B631FB">
      <w:pPr>
        <w:numPr>
          <w:ilvl w:val="0"/>
          <w:numId w:val="1"/>
        </w:numPr>
        <w:overflowPunct w:val="0"/>
        <w:autoSpaceDE w:val="0"/>
        <w:autoSpaceDN w:val="0"/>
        <w:adjustRightInd w:val="0"/>
        <w:spacing w:after="160" w:line="360" w:lineRule="auto"/>
        <w:ind w:right="142"/>
        <w:jc w:val="center"/>
        <w:rPr>
          <w:rFonts w:ascii="Century Gothic" w:eastAsia="Times New Roman" w:hAnsi="Century Gothic" w:cs="Tahoma"/>
          <w:b/>
          <w:bCs/>
          <w:lang w:val="es-ES" w:eastAsia="es-ES"/>
        </w:rPr>
      </w:pPr>
      <w:r w:rsidRPr="00B631FB">
        <w:rPr>
          <w:rFonts w:ascii="Century Gothic" w:eastAsia="Times New Roman" w:hAnsi="Century Gothic" w:cs="Tahoma"/>
          <w:b/>
          <w:bCs/>
          <w:lang w:val="es-ES" w:eastAsia="es-ES"/>
        </w:rPr>
        <w:t>ANTECEDENTES</w:t>
      </w:r>
    </w:p>
    <w:p w14:paraId="75183AD5" w14:textId="77777777" w:rsidR="00B631FB" w:rsidRPr="00B631FB" w:rsidRDefault="00B631FB" w:rsidP="00B631FB">
      <w:pPr>
        <w:spacing w:after="160" w:line="259" w:lineRule="auto"/>
      </w:pPr>
    </w:p>
    <w:p w14:paraId="3D95E169" w14:textId="77777777" w:rsidR="00B631FB" w:rsidRPr="00B631FB" w:rsidRDefault="00B631FB" w:rsidP="00B631FB">
      <w:pPr>
        <w:overflowPunct w:val="0"/>
        <w:autoSpaceDE w:val="0"/>
        <w:autoSpaceDN w:val="0"/>
        <w:adjustRightInd w:val="0"/>
        <w:spacing w:line="360" w:lineRule="auto"/>
        <w:jc w:val="both"/>
        <w:textAlignment w:val="baseline"/>
        <w:rPr>
          <w:rFonts w:ascii="Century Gothic" w:eastAsia="Times New Roman" w:hAnsi="Century Gothic" w:cs="Tahoma"/>
          <w:lang w:eastAsia="es-ES"/>
        </w:rPr>
      </w:pPr>
      <w:r w:rsidRPr="00B631FB">
        <w:rPr>
          <w:rFonts w:ascii="Century Gothic" w:hAnsi="Century Gothic"/>
        </w:rPr>
        <w:t xml:space="preserve">1. </w:t>
      </w:r>
      <w:r>
        <w:rPr>
          <w:rFonts w:ascii="Century Gothic" w:hAnsi="Century Gothic"/>
        </w:rPr>
        <w:t>El 13</w:t>
      </w:r>
      <w:r w:rsidRPr="00B631FB">
        <w:rPr>
          <w:rFonts w:ascii="Century Gothic" w:hAnsi="Century Gothic"/>
        </w:rPr>
        <w:t xml:space="preserve"> de </w:t>
      </w:r>
      <w:r>
        <w:rPr>
          <w:rFonts w:ascii="Century Gothic" w:hAnsi="Century Gothic"/>
        </w:rPr>
        <w:t>enero de 2015</w:t>
      </w:r>
      <w:r w:rsidRPr="00B631FB">
        <w:rPr>
          <w:rFonts w:ascii="Century Gothic" w:hAnsi="Century Gothic"/>
        </w:rPr>
        <w:t xml:space="preserve">, </w:t>
      </w:r>
      <w:r w:rsidR="000A58B6">
        <w:rPr>
          <w:rFonts w:ascii="Century Gothic" w:hAnsi="Century Gothic"/>
        </w:rPr>
        <w:t xml:space="preserve">actuando a través </w:t>
      </w:r>
      <w:r w:rsidRPr="00B631FB">
        <w:rPr>
          <w:rFonts w:ascii="Century Gothic" w:hAnsi="Century Gothic"/>
        </w:rPr>
        <w:t xml:space="preserve">de apoderado judicial, </w:t>
      </w:r>
      <w:r>
        <w:rPr>
          <w:rFonts w:ascii="Century Gothic" w:hAnsi="Century Gothic"/>
        </w:rPr>
        <w:t>PARRA &amp; SUÁREZ BUFETE DE ABOGADOS LTDA. (hoy SUÁREZ FIGUEROA BUFETE DE ABOGADOS S.A.S.)</w:t>
      </w:r>
      <w:r w:rsidRPr="00B631FB">
        <w:rPr>
          <w:rFonts w:ascii="Century Gothic" w:hAnsi="Century Gothic"/>
        </w:rPr>
        <w:t xml:space="preserve"> presentó demanda en ejercicio de</w:t>
      </w:r>
      <w:r w:rsidR="00E51941">
        <w:rPr>
          <w:rFonts w:ascii="Century Gothic" w:hAnsi="Century Gothic"/>
        </w:rPr>
        <w:t xml:space="preserve"> </w:t>
      </w:r>
      <w:r w:rsidRPr="00B631FB">
        <w:rPr>
          <w:rFonts w:ascii="Century Gothic" w:hAnsi="Century Gothic"/>
        </w:rPr>
        <w:t>l</w:t>
      </w:r>
      <w:r w:rsidR="00E51941">
        <w:rPr>
          <w:rFonts w:ascii="Century Gothic" w:hAnsi="Century Gothic"/>
        </w:rPr>
        <w:t>a</w:t>
      </w:r>
      <w:r w:rsidRPr="00B631FB">
        <w:rPr>
          <w:rFonts w:ascii="Century Gothic" w:hAnsi="Century Gothic"/>
        </w:rPr>
        <w:t xml:space="preserve"> </w:t>
      </w:r>
      <w:r w:rsidR="00E51941">
        <w:rPr>
          <w:rFonts w:ascii="Century Gothic" w:hAnsi="Century Gothic"/>
        </w:rPr>
        <w:t>acción de</w:t>
      </w:r>
      <w:r w:rsidRPr="00B631FB">
        <w:rPr>
          <w:rFonts w:ascii="Century Gothic" w:hAnsi="Century Gothic"/>
        </w:rPr>
        <w:t xml:space="preserve"> </w:t>
      </w:r>
      <w:r>
        <w:rPr>
          <w:rFonts w:ascii="Century Gothic" w:hAnsi="Century Gothic"/>
        </w:rPr>
        <w:t>nulidad y restablecimiento del derecho</w:t>
      </w:r>
      <w:r w:rsidRPr="00B631FB">
        <w:rPr>
          <w:rFonts w:ascii="Century Gothic" w:hAnsi="Century Gothic"/>
        </w:rPr>
        <w:t xml:space="preserve"> contra</w:t>
      </w:r>
      <w:r w:rsidR="00957EC5">
        <w:rPr>
          <w:rFonts w:ascii="Century Gothic" w:hAnsi="Century Gothic"/>
        </w:rPr>
        <w:t xml:space="preserve"> el municipio de Tuta -Boyacá-</w:t>
      </w:r>
      <w:r w:rsidRPr="00B631FB">
        <w:rPr>
          <w:rFonts w:ascii="Century Gothic" w:hAnsi="Century Gothic"/>
        </w:rPr>
        <w:t xml:space="preserve">, con el propósito de </w:t>
      </w:r>
      <w:r w:rsidR="000A58B6">
        <w:rPr>
          <w:rFonts w:ascii="Century Gothic" w:hAnsi="Century Gothic"/>
        </w:rPr>
        <w:t>que se declare</w:t>
      </w:r>
      <w:r w:rsidRPr="00B631FB">
        <w:rPr>
          <w:rFonts w:ascii="Century Gothic" w:hAnsi="Century Gothic"/>
        </w:rPr>
        <w:t xml:space="preserve"> la nulidad de</w:t>
      </w:r>
      <w:r w:rsidR="00957EC5">
        <w:rPr>
          <w:rFonts w:ascii="Century Gothic" w:hAnsi="Century Gothic"/>
        </w:rPr>
        <w:t>l</w:t>
      </w:r>
      <w:r w:rsidRPr="00B631FB">
        <w:rPr>
          <w:rFonts w:ascii="Century Gothic" w:hAnsi="Century Gothic"/>
        </w:rPr>
        <w:t xml:space="preserve"> </w:t>
      </w:r>
      <w:r w:rsidR="00957EC5">
        <w:rPr>
          <w:rFonts w:ascii="Century Gothic" w:hAnsi="Century Gothic"/>
        </w:rPr>
        <w:t>acto administrativo</w:t>
      </w:r>
      <w:r w:rsidR="000A58B6">
        <w:rPr>
          <w:rFonts w:ascii="Century Gothic" w:hAnsi="Century Gothic"/>
        </w:rPr>
        <w:t xml:space="preserve"> del 21 de abril de 2014</w:t>
      </w:r>
      <w:r w:rsidR="000A58B6">
        <w:rPr>
          <w:rStyle w:val="Refdenotaalpie"/>
        </w:rPr>
        <w:footnoteReference w:id="1"/>
      </w:r>
      <w:r w:rsidR="000A58B6">
        <w:rPr>
          <w:rFonts w:ascii="Century Gothic" w:hAnsi="Century Gothic"/>
        </w:rPr>
        <w:t xml:space="preserve"> y</w:t>
      </w:r>
      <w:r w:rsidR="00E51941">
        <w:rPr>
          <w:rFonts w:ascii="Century Gothic" w:hAnsi="Century Gothic"/>
        </w:rPr>
        <w:t>,</w:t>
      </w:r>
      <w:r w:rsidR="000A58B6">
        <w:rPr>
          <w:rFonts w:ascii="Century Gothic" w:hAnsi="Century Gothic"/>
        </w:rPr>
        <w:t xml:space="preserve"> como consecuencia de </w:t>
      </w:r>
      <w:r w:rsidR="00E51941">
        <w:rPr>
          <w:rFonts w:ascii="Century Gothic" w:hAnsi="Century Gothic"/>
        </w:rPr>
        <w:t>ello</w:t>
      </w:r>
      <w:r w:rsidR="00CE2D5D">
        <w:rPr>
          <w:rFonts w:ascii="Century Gothic" w:hAnsi="Century Gothic"/>
        </w:rPr>
        <w:t>,</w:t>
      </w:r>
      <w:r w:rsidR="000A58B6">
        <w:rPr>
          <w:rFonts w:ascii="Century Gothic" w:hAnsi="Century Gothic"/>
        </w:rPr>
        <w:t xml:space="preserve"> </w:t>
      </w:r>
      <w:r w:rsidR="00CE2D5D">
        <w:rPr>
          <w:rFonts w:ascii="Century Gothic" w:hAnsi="Century Gothic"/>
        </w:rPr>
        <w:t>le sean reconocidas unas sumas de dinero.</w:t>
      </w:r>
      <w:r w:rsidR="000A58B6">
        <w:rPr>
          <w:rFonts w:ascii="Century Gothic" w:hAnsi="Century Gothic"/>
        </w:rPr>
        <w:t xml:space="preserve"> </w:t>
      </w:r>
    </w:p>
    <w:p w14:paraId="39F53F81" w14:textId="77777777" w:rsidR="00B631FB" w:rsidRPr="00B631FB" w:rsidRDefault="00B631FB" w:rsidP="00B631FB">
      <w:pPr>
        <w:spacing w:after="160" w:line="259" w:lineRule="auto"/>
      </w:pPr>
      <w:r w:rsidRPr="00B631FB">
        <w:t xml:space="preserve"> </w:t>
      </w:r>
    </w:p>
    <w:p w14:paraId="109200D9" w14:textId="77777777" w:rsidR="00B631FB" w:rsidRPr="00B631FB" w:rsidRDefault="00B631FB" w:rsidP="00B631FB">
      <w:pPr>
        <w:spacing w:after="160" w:line="360" w:lineRule="auto"/>
        <w:jc w:val="both"/>
        <w:rPr>
          <w:rFonts w:ascii="Century Gothic" w:hAnsi="Century Gothic"/>
        </w:rPr>
      </w:pPr>
      <w:r w:rsidRPr="00B631FB">
        <w:rPr>
          <w:rFonts w:ascii="Century Gothic" w:hAnsi="Century Gothic"/>
        </w:rPr>
        <w:t xml:space="preserve">2. </w:t>
      </w:r>
      <w:r w:rsidR="00B15CBE">
        <w:rPr>
          <w:rFonts w:ascii="Century Gothic" w:hAnsi="Century Gothic"/>
        </w:rPr>
        <w:t>A través de auto del 27 de febrero de 2015</w:t>
      </w:r>
      <w:r w:rsidR="00CE2D5D">
        <w:rPr>
          <w:rFonts w:ascii="Century Gothic" w:hAnsi="Century Gothic"/>
        </w:rPr>
        <w:t>, el Tribunal Administrativo de Boyac</w:t>
      </w:r>
      <w:r w:rsidR="00B15CBE">
        <w:rPr>
          <w:rFonts w:ascii="Century Gothic" w:hAnsi="Century Gothic"/>
        </w:rPr>
        <w:t xml:space="preserve">á </w:t>
      </w:r>
      <w:r w:rsidR="00CE2D5D">
        <w:rPr>
          <w:rFonts w:ascii="Century Gothic" w:hAnsi="Century Gothic"/>
        </w:rPr>
        <w:t>rechazó</w:t>
      </w:r>
      <w:r w:rsidR="00B15CBE">
        <w:rPr>
          <w:rFonts w:ascii="Century Gothic" w:hAnsi="Century Gothic"/>
        </w:rPr>
        <w:t xml:space="preserve"> la demanda</w:t>
      </w:r>
      <w:r w:rsidR="00CE2D5D">
        <w:rPr>
          <w:rFonts w:ascii="Century Gothic" w:hAnsi="Century Gothic"/>
        </w:rPr>
        <w:t xml:space="preserve"> </w:t>
      </w:r>
      <w:r w:rsidR="00B15CBE">
        <w:rPr>
          <w:rFonts w:ascii="Century Gothic" w:hAnsi="Century Gothic"/>
        </w:rPr>
        <w:t xml:space="preserve">al considerar que, si </w:t>
      </w:r>
      <w:r w:rsidR="004E7342">
        <w:rPr>
          <w:rFonts w:ascii="Century Gothic" w:hAnsi="Century Gothic"/>
        </w:rPr>
        <w:t>bien</w:t>
      </w:r>
      <w:r w:rsidR="00B15CBE">
        <w:rPr>
          <w:rFonts w:ascii="Century Gothic" w:hAnsi="Century Gothic"/>
        </w:rPr>
        <w:t xml:space="preserve"> ésta busca la nulidad de un acto administrativo y, a título de restablecimiento del derecho, el pago de unas sumas de dinero</w:t>
      </w:r>
      <w:r w:rsidR="004E7342">
        <w:rPr>
          <w:rFonts w:ascii="Century Gothic" w:hAnsi="Century Gothic"/>
        </w:rPr>
        <w:t>,</w:t>
      </w:r>
      <w:r w:rsidR="00B15CBE">
        <w:rPr>
          <w:rFonts w:ascii="Century Gothic" w:hAnsi="Century Gothic"/>
        </w:rPr>
        <w:t xml:space="preserve"> lo cierto es que</w:t>
      </w:r>
      <w:r w:rsidR="004E7342">
        <w:rPr>
          <w:rFonts w:ascii="Century Gothic" w:hAnsi="Century Gothic"/>
        </w:rPr>
        <w:t xml:space="preserve"> el origen de ese cobro deviene de un incumplimiento al contrato celebrado entre el municipio de Tuta -Boyacá- y PARRA &amp; SUÁREZ BUFETE DE ABOGADOS LTDA.</w:t>
      </w:r>
      <w:r w:rsidR="004E7342">
        <w:rPr>
          <w:rStyle w:val="Refdenotaalpie"/>
        </w:rPr>
        <w:footnoteReference w:id="2"/>
      </w:r>
      <w:r w:rsidR="004E7342">
        <w:rPr>
          <w:rFonts w:ascii="Century Gothic" w:hAnsi="Century Gothic"/>
        </w:rPr>
        <w:t xml:space="preserve">, la acción idónea para haber acudido a la jurisdicción </w:t>
      </w:r>
      <w:r w:rsidR="007443D9">
        <w:rPr>
          <w:rFonts w:ascii="Century Gothic" w:hAnsi="Century Gothic"/>
        </w:rPr>
        <w:t xml:space="preserve">contenciosa </w:t>
      </w:r>
      <w:r w:rsidR="004E7342">
        <w:rPr>
          <w:rFonts w:ascii="Century Gothic" w:hAnsi="Century Gothic"/>
        </w:rPr>
        <w:t>era la</w:t>
      </w:r>
      <w:r w:rsidR="00E51941">
        <w:rPr>
          <w:rFonts w:ascii="Century Gothic" w:hAnsi="Century Gothic"/>
        </w:rPr>
        <w:t xml:space="preserve"> de controversias contractuales. En el mismo asunto, señaló el Tribunal </w:t>
      </w:r>
      <w:r w:rsidR="004E7342">
        <w:rPr>
          <w:rFonts w:ascii="Century Gothic" w:hAnsi="Century Gothic"/>
        </w:rPr>
        <w:t xml:space="preserve">que no podía adecuar la acción de conformidad con lo </w:t>
      </w:r>
      <w:r w:rsidR="00E51941">
        <w:rPr>
          <w:rFonts w:ascii="Century Gothic" w:hAnsi="Century Gothic"/>
        </w:rPr>
        <w:br/>
      </w:r>
      <w:r w:rsidR="00E51941">
        <w:rPr>
          <w:rFonts w:ascii="Century Gothic" w:hAnsi="Century Gothic"/>
        </w:rPr>
        <w:br/>
      </w:r>
      <w:r w:rsidR="004E7342">
        <w:rPr>
          <w:rFonts w:ascii="Century Gothic" w:hAnsi="Century Gothic"/>
        </w:rPr>
        <w:t>dispuesto en el artículo 171 del C.P.A.C.A., por cuanto la cláusula “DÉCIMA CUARTA” del contrato sometió a las partes a acudir a la justicia arbitral.</w:t>
      </w:r>
    </w:p>
    <w:p w14:paraId="4C373529" w14:textId="77777777" w:rsidR="00B631FB" w:rsidRPr="00B631FB" w:rsidRDefault="00B631FB" w:rsidP="00B631FB">
      <w:pPr>
        <w:rPr>
          <w:lang w:eastAsia="es-ES"/>
        </w:rPr>
      </w:pPr>
    </w:p>
    <w:p w14:paraId="7CFF45CD" w14:textId="77777777" w:rsidR="00B631FB" w:rsidRPr="00B631FB" w:rsidRDefault="00B631FB" w:rsidP="00B631FB">
      <w:pPr>
        <w:spacing w:line="360" w:lineRule="auto"/>
        <w:jc w:val="both"/>
        <w:rPr>
          <w:rFonts w:ascii="Century Gothic" w:hAnsi="Century Gothic"/>
          <w:lang w:eastAsia="es-ES"/>
        </w:rPr>
      </w:pPr>
      <w:r w:rsidRPr="00B631FB">
        <w:rPr>
          <w:rFonts w:ascii="Century Gothic" w:hAnsi="Century Gothic"/>
          <w:lang w:eastAsia="es-ES"/>
        </w:rPr>
        <w:t>3.</w:t>
      </w:r>
      <w:r w:rsidR="009C4E4A">
        <w:rPr>
          <w:rFonts w:ascii="Century Gothic" w:hAnsi="Century Gothic"/>
          <w:lang w:eastAsia="es-ES"/>
        </w:rPr>
        <w:t xml:space="preserve"> Inconforme con la anterior decisión, la parte demandante presentó recurso de apelación en el cual argument</w:t>
      </w:r>
      <w:r w:rsidR="000D4B9F">
        <w:rPr>
          <w:rFonts w:ascii="Century Gothic" w:hAnsi="Century Gothic"/>
          <w:lang w:eastAsia="es-ES"/>
        </w:rPr>
        <w:t>ó que, si bien la ejecución del contrato ya se encuentra culminada y éste ya fue liquidado, lo cierto es que los hechos en los qu</w:t>
      </w:r>
      <w:r w:rsidR="00767AAE">
        <w:rPr>
          <w:rFonts w:ascii="Century Gothic" w:hAnsi="Century Gothic"/>
          <w:lang w:eastAsia="es-ES"/>
        </w:rPr>
        <w:t>e se fundamenta el cobro de las</w:t>
      </w:r>
      <w:r w:rsidR="000D4B9F">
        <w:rPr>
          <w:rFonts w:ascii="Century Gothic" w:hAnsi="Century Gothic"/>
          <w:lang w:eastAsia="es-ES"/>
        </w:rPr>
        <w:t xml:space="preserve"> sumas de dinero </w:t>
      </w:r>
      <w:r w:rsidR="00E51941">
        <w:rPr>
          <w:rFonts w:ascii="Century Gothic" w:hAnsi="Century Gothic"/>
          <w:lang w:eastAsia="es-ES"/>
        </w:rPr>
        <w:t>constituyen hechos nuevos;</w:t>
      </w:r>
      <w:r w:rsidR="00767AAE">
        <w:rPr>
          <w:rFonts w:ascii="Century Gothic" w:hAnsi="Century Gothic"/>
          <w:lang w:eastAsia="es-ES"/>
        </w:rPr>
        <w:t xml:space="preserve"> por lo tanto, a juicio de la recurrente no se debe dar aplicación a la cláusula compromisoria y el conocimiento del proceso debe estar en cabeza de</w:t>
      </w:r>
      <w:r w:rsidR="007443D9">
        <w:rPr>
          <w:rFonts w:ascii="Century Gothic" w:hAnsi="Century Gothic"/>
          <w:lang w:eastAsia="es-ES"/>
        </w:rPr>
        <w:t>l juez administrativo</w:t>
      </w:r>
      <w:r w:rsidR="00767AAE">
        <w:rPr>
          <w:rFonts w:ascii="Century Gothic" w:hAnsi="Century Gothic"/>
          <w:lang w:eastAsia="es-ES"/>
        </w:rPr>
        <w:t>.</w:t>
      </w:r>
      <w:r w:rsidRPr="00B631FB">
        <w:rPr>
          <w:rFonts w:ascii="Century Gothic" w:hAnsi="Century Gothic"/>
          <w:lang w:eastAsia="es-ES"/>
        </w:rPr>
        <w:t xml:space="preserve"> </w:t>
      </w:r>
    </w:p>
    <w:p w14:paraId="6825B67E" w14:textId="77777777" w:rsidR="00B631FB" w:rsidRPr="00B631FB" w:rsidRDefault="00B631FB" w:rsidP="00B631FB">
      <w:pPr>
        <w:spacing w:after="160" w:line="259" w:lineRule="auto"/>
        <w:rPr>
          <w:lang w:eastAsia="es-ES"/>
        </w:rPr>
      </w:pPr>
    </w:p>
    <w:p w14:paraId="09D6E4B5" w14:textId="77777777" w:rsidR="00B631FB" w:rsidRPr="00B631FB" w:rsidRDefault="00B631FB" w:rsidP="00B631FB">
      <w:pPr>
        <w:spacing w:line="360" w:lineRule="auto"/>
        <w:ind w:left="360" w:hanging="76"/>
        <w:jc w:val="center"/>
        <w:rPr>
          <w:rFonts w:ascii="Century Gothic" w:eastAsia="Times New Roman" w:hAnsi="Century Gothic"/>
          <w:lang w:val="es-ES" w:eastAsia="es-ES"/>
        </w:rPr>
      </w:pPr>
      <w:r w:rsidRPr="00B631FB">
        <w:rPr>
          <w:rFonts w:ascii="Century Gothic" w:eastAsia="Times New Roman" w:hAnsi="Century Gothic"/>
          <w:b/>
          <w:lang w:val="es-ES" w:eastAsia="es-ES"/>
        </w:rPr>
        <w:t xml:space="preserve">C O N S I D E R A C I O N E S </w:t>
      </w:r>
    </w:p>
    <w:p w14:paraId="14109A92" w14:textId="77777777" w:rsidR="00B631FB" w:rsidRPr="00B631FB" w:rsidRDefault="00B631FB" w:rsidP="00B631FB">
      <w:pPr>
        <w:spacing w:line="360" w:lineRule="auto"/>
        <w:ind w:right="-91"/>
        <w:jc w:val="both"/>
        <w:rPr>
          <w:rFonts w:ascii="Century Gothic" w:eastAsia="Times New Roman" w:hAnsi="Century Gothic" w:cs="Tahoma"/>
          <w:lang w:val="es-ES" w:eastAsia="es-ES"/>
        </w:rPr>
      </w:pPr>
    </w:p>
    <w:p w14:paraId="5C0689F6" w14:textId="77777777" w:rsidR="00B631FB" w:rsidRPr="00B631FB" w:rsidRDefault="00767AAE" w:rsidP="00B631FB">
      <w:pPr>
        <w:overflowPunct w:val="0"/>
        <w:autoSpaceDE w:val="0"/>
        <w:autoSpaceDN w:val="0"/>
        <w:adjustRightInd w:val="0"/>
        <w:spacing w:after="240" w:line="360" w:lineRule="auto"/>
        <w:contextualSpacing/>
        <w:jc w:val="both"/>
        <w:rPr>
          <w:rFonts w:ascii="Century Gothic" w:eastAsia="Times New Roman" w:hAnsi="Century Gothic"/>
          <w:color w:val="000000"/>
          <w:lang w:val="es-ES_tradnl" w:eastAsia="es-ES"/>
        </w:rPr>
      </w:pPr>
      <w:r>
        <w:rPr>
          <w:rFonts w:ascii="Century Gothic" w:eastAsia="Times New Roman" w:hAnsi="Century Gothic" w:cs="Tahoma"/>
          <w:lang w:val="es-ES_tradnl" w:eastAsia="es-ES"/>
        </w:rPr>
        <w:t>El recurso de apelación resulta</w:t>
      </w:r>
      <w:r w:rsidR="00B631FB" w:rsidRPr="00B631FB">
        <w:rPr>
          <w:rFonts w:ascii="Century Gothic" w:eastAsia="Times New Roman" w:hAnsi="Century Gothic" w:cs="Tahoma"/>
          <w:lang w:val="es-ES_tradnl" w:eastAsia="es-ES"/>
        </w:rPr>
        <w:t xml:space="preserve"> pr</w:t>
      </w:r>
      <w:r>
        <w:rPr>
          <w:rFonts w:ascii="Century Gothic" w:eastAsia="Times New Roman" w:hAnsi="Century Gothic" w:cs="Tahoma"/>
          <w:lang w:val="es-ES_tradnl" w:eastAsia="es-ES"/>
        </w:rPr>
        <w:t xml:space="preserve">ocedente, comoquiera que fue interpuesto </w:t>
      </w:r>
      <w:r w:rsidR="00E51941">
        <w:rPr>
          <w:rFonts w:ascii="Century Gothic" w:eastAsia="Times New Roman" w:hAnsi="Century Gothic" w:cs="Tahoma"/>
          <w:lang w:val="es-ES_tradnl" w:eastAsia="es-ES"/>
        </w:rPr>
        <w:t>oportunamente y busca</w:t>
      </w:r>
      <w:r w:rsidR="00B631FB" w:rsidRPr="00B631FB">
        <w:rPr>
          <w:rFonts w:ascii="Century Gothic" w:eastAsia="Times New Roman" w:hAnsi="Century Gothic" w:cs="Tahoma"/>
          <w:lang w:val="es-ES_tradnl" w:eastAsia="es-ES"/>
        </w:rPr>
        <w:t xml:space="preserve"> controvertir una providencia apelable</w:t>
      </w:r>
      <w:r>
        <w:rPr>
          <w:rFonts w:ascii="Century Gothic" w:eastAsia="Times New Roman" w:hAnsi="Century Gothic"/>
          <w:color w:val="000000"/>
          <w:lang w:val="es-ES_tradnl" w:eastAsia="es-ES"/>
        </w:rPr>
        <w:t>, en los términos del numeral 1</w:t>
      </w:r>
      <w:r w:rsidR="00B631FB" w:rsidRPr="00B631FB">
        <w:rPr>
          <w:rFonts w:ascii="Century Gothic" w:eastAsia="Times New Roman" w:hAnsi="Century Gothic"/>
          <w:color w:val="000000"/>
          <w:lang w:val="es-ES_tradnl" w:eastAsia="es-ES"/>
        </w:rPr>
        <w:t xml:space="preserve"> del artículo </w:t>
      </w:r>
      <w:r>
        <w:rPr>
          <w:rFonts w:ascii="Century Gothic" w:eastAsia="Times New Roman" w:hAnsi="Century Gothic"/>
          <w:color w:val="000000"/>
          <w:lang w:val="es-ES_tradnl" w:eastAsia="es-ES"/>
        </w:rPr>
        <w:t xml:space="preserve">243 </w:t>
      </w:r>
      <w:r w:rsidR="00B631FB" w:rsidRPr="00B631FB">
        <w:rPr>
          <w:rFonts w:ascii="Century Gothic" w:eastAsia="Times New Roman" w:hAnsi="Century Gothic"/>
          <w:color w:val="000000"/>
          <w:lang w:val="es-ES_tradnl" w:eastAsia="es-ES"/>
        </w:rPr>
        <w:t>del C.P.A.C.A.</w:t>
      </w:r>
    </w:p>
    <w:p w14:paraId="01E781AE" w14:textId="77777777" w:rsidR="00B631FB" w:rsidRPr="00B631FB" w:rsidRDefault="00B631FB" w:rsidP="00B631FB">
      <w:pPr>
        <w:overflowPunct w:val="0"/>
        <w:autoSpaceDE w:val="0"/>
        <w:autoSpaceDN w:val="0"/>
        <w:adjustRightInd w:val="0"/>
        <w:spacing w:after="240" w:line="360" w:lineRule="auto"/>
        <w:contextualSpacing/>
        <w:jc w:val="both"/>
        <w:rPr>
          <w:rFonts w:ascii="Century Gothic" w:eastAsia="Times New Roman" w:hAnsi="Century Gothic"/>
          <w:color w:val="000000"/>
          <w:lang w:val="es-ES_tradnl" w:eastAsia="es-ES"/>
        </w:rPr>
      </w:pPr>
    </w:p>
    <w:p w14:paraId="2966A57D" w14:textId="77777777" w:rsidR="00CB4AAB" w:rsidRDefault="00CB4AAB" w:rsidP="00B631FB">
      <w:pPr>
        <w:spacing w:line="360" w:lineRule="auto"/>
        <w:ind w:right="-91"/>
        <w:jc w:val="both"/>
        <w:rPr>
          <w:rFonts w:ascii="Century Gothic" w:eastAsia="Times New Roman" w:hAnsi="Century Gothic" w:cs="Tahoma"/>
          <w:lang w:val="es-ES" w:eastAsia="es-ES"/>
        </w:rPr>
      </w:pPr>
      <w:r>
        <w:rPr>
          <w:rFonts w:ascii="Century Gothic" w:eastAsia="Times New Roman" w:hAnsi="Century Gothic" w:cs="Tahoma"/>
          <w:lang w:val="es-ES" w:eastAsia="es-ES"/>
        </w:rPr>
        <w:t>Revisados los argumentos del recurso de alzada, se impone al Despacho, como primera medida, establecer cuál es la acción procedente a través de la cual se debieron encauzar las pretensiones.</w:t>
      </w:r>
    </w:p>
    <w:p w14:paraId="61E76582" w14:textId="77777777" w:rsidR="00CB4AAB" w:rsidRDefault="00CB4AAB" w:rsidP="00B631FB">
      <w:pPr>
        <w:spacing w:line="360" w:lineRule="auto"/>
        <w:ind w:right="-91"/>
        <w:jc w:val="both"/>
        <w:rPr>
          <w:rFonts w:ascii="Century Gothic" w:eastAsia="Times New Roman" w:hAnsi="Century Gothic" w:cs="Tahoma"/>
          <w:lang w:val="es-ES" w:eastAsia="es-ES"/>
        </w:rPr>
      </w:pPr>
    </w:p>
    <w:p w14:paraId="052E0672" w14:textId="77777777" w:rsidR="00CB4AAB" w:rsidRDefault="00E51941" w:rsidP="00B631FB">
      <w:pPr>
        <w:spacing w:line="360" w:lineRule="auto"/>
        <w:ind w:right="-91"/>
        <w:jc w:val="both"/>
        <w:rPr>
          <w:rFonts w:ascii="Century Gothic" w:eastAsia="Times New Roman" w:hAnsi="Century Gothic" w:cs="Tahoma"/>
          <w:lang w:val="es-ES" w:eastAsia="es-ES"/>
        </w:rPr>
      </w:pPr>
      <w:r>
        <w:rPr>
          <w:rFonts w:ascii="Century Gothic" w:eastAsia="Times New Roman" w:hAnsi="Century Gothic" w:cs="Tahoma"/>
          <w:lang w:val="es-ES" w:eastAsia="es-ES"/>
        </w:rPr>
        <w:t>R</w:t>
      </w:r>
      <w:r w:rsidR="00195ECD">
        <w:rPr>
          <w:rFonts w:ascii="Century Gothic" w:eastAsia="Times New Roman" w:hAnsi="Century Gothic" w:cs="Tahoma"/>
          <w:lang w:val="es-ES" w:eastAsia="es-ES"/>
        </w:rPr>
        <w:t>evisados los hechos de la demanda se observa que el acto administrativo demandado fue expedido por el municipio de Tuta -Boyacá- con posterioridad a la liquidación del contrato, es decir</w:t>
      </w:r>
      <w:r>
        <w:rPr>
          <w:rFonts w:ascii="Century Gothic" w:eastAsia="Times New Roman" w:hAnsi="Century Gothic" w:cs="Tahoma"/>
          <w:lang w:val="es-ES" w:eastAsia="es-ES"/>
        </w:rPr>
        <w:t xml:space="preserve">, </w:t>
      </w:r>
      <w:r w:rsidR="00195ECD">
        <w:rPr>
          <w:rFonts w:ascii="Century Gothic" w:eastAsia="Times New Roman" w:hAnsi="Century Gothic" w:cs="Tahoma"/>
          <w:lang w:val="es-ES" w:eastAsia="es-ES"/>
        </w:rPr>
        <w:t xml:space="preserve">se trata de un acto </w:t>
      </w:r>
      <w:proofErr w:type="spellStart"/>
      <w:r w:rsidR="00195ECD">
        <w:rPr>
          <w:rFonts w:ascii="Century Gothic" w:eastAsia="Times New Roman" w:hAnsi="Century Gothic" w:cs="Tahoma"/>
          <w:lang w:val="es-ES" w:eastAsia="es-ES"/>
        </w:rPr>
        <w:t>poscontractual</w:t>
      </w:r>
      <w:proofErr w:type="spellEnd"/>
      <w:r w:rsidR="00FD058F">
        <w:rPr>
          <w:rFonts w:ascii="Century Gothic" w:eastAsia="Times New Roman" w:hAnsi="Century Gothic" w:cs="Tahoma"/>
          <w:lang w:val="es-ES" w:eastAsia="es-ES"/>
        </w:rPr>
        <w:t>,</w:t>
      </w:r>
      <w:r>
        <w:rPr>
          <w:rFonts w:ascii="Century Gothic" w:eastAsia="Times New Roman" w:hAnsi="Century Gothic" w:cs="Tahoma"/>
          <w:lang w:val="es-ES" w:eastAsia="es-ES"/>
        </w:rPr>
        <w:t xml:space="preserve"> en relación con lo cual cabe recordar que</w:t>
      </w:r>
      <w:r w:rsidR="00FD058F">
        <w:rPr>
          <w:rFonts w:ascii="Century Gothic" w:eastAsia="Times New Roman" w:hAnsi="Century Gothic" w:cs="Tahoma"/>
          <w:lang w:val="es-ES" w:eastAsia="es-ES"/>
        </w:rPr>
        <w:t xml:space="preserve"> </w:t>
      </w:r>
      <w:r w:rsidR="00CB4AAB">
        <w:rPr>
          <w:rFonts w:ascii="Century Gothic" w:eastAsia="Times New Roman" w:hAnsi="Century Gothic" w:cs="Tahoma"/>
          <w:lang w:val="es-ES" w:eastAsia="es-ES"/>
        </w:rPr>
        <w:t>la jurisprudencia de esta Corporación</w:t>
      </w:r>
      <w:r w:rsidR="00FD058F">
        <w:rPr>
          <w:rStyle w:val="Refdenotaalpie"/>
          <w:rFonts w:eastAsia="Times New Roman"/>
          <w:lang w:val="es-ES" w:eastAsia="es-ES"/>
        </w:rPr>
        <w:footnoteReference w:id="3"/>
      </w:r>
      <w:r w:rsidR="00CB4AAB">
        <w:rPr>
          <w:rFonts w:ascii="Century Gothic" w:eastAsia="Times New Roman" w:hAnsi="Century Gothic" w:cs="Tahoma"/>
          <w:lang w:val="es-ES" w:eastAsia="es-ES"/>
        </w:rPr>
        <w:t xml:space="preserve"> ha sostenido que </w:t>
      </w:r>
      <w:r>
        <w:rPr>
          <w:rFonts w:ascii="Century Gothic" w:eastAsia="Times New Roman" w:hAnsi="Century Gothic" w:cs="Tahoma"/>
          <w:lang w:val="es-ES" w:eastAsia="es-ES"/>
        </w:rPr>
        <w:t xml:space="preserve">tal tipo de actos </w:t>
      </w:r>
      <w:r w:rsidR="00FD058F">
        <w:rPr>
          <w:rFonts w:ascii="Century Gothic" w:eastAsia="Times New Roman" w:hAnsi="Century Gothic" w:cs="Tahoma"/>
          <w:lang w:val="es-ES" w:eastAsia="es-ES"/>
        </w:rPr>
        <w:t>pueden ser atacados en sede judicial</w:t>
      </w:r>
      <w:r>
        <w:rPr>
          <w:rFonts w:ascii="Century Gothic" w:eastAsia="Times New Roman" w:hAnsi="Century Gothic" w:cs="Tahoma"/>
          <w:lang w:val="es-ES" w:eastAsia="es-ES"/>
        </w:rPr>
        <w:t xml:space="preserve"> </w:t>
      </w:r>
      <w:r w:rsidR="008A521C">
        <w:rPr>
          <w:rFonts w:ascii="Century Gothic" w:eastAsia="Times New Roman" w:hAnsi="Century Gothic" w:cs="Tahoma"/>
          <w:lang w:val="es-ES" w:eastAsia="es-ES"/>
        </w:rPr>
        <w:t>por</w:t>
      </w:r>
      <w:r w:rsidR="00FD058F">
        <w:rPr>
          <w:rFonts w:ascii="Century Gothic" w:eastAsia="Times New Roman" w:hAnsi="Century Gothic" w:cs="Tahoma"/>
          <w:lang w:val="es-ES" w:eastAsia="es-ES"/>
        </w:rPr>
        <w:t xml:space="preserve"> vía de la acción</w:t>
      </w:r>
      <w:r w:rsidR="0051618A">
        <w:rPr>
          <w:rFonts w:ascii="Century Gothic" w:eastAsia="Times New Roman" w:hAnsi="Century Gothic" w:cs="Tahoma"/>
          <w:lang w:val="es-ES" w:eastAsia="es-ES"/>
        </w:rPr>
        <w:t xml:space="preserve"> de controversias contractuales</w:t>
      </w:r>
      <w:r>
        <w:rPr>
          <w:rFonts w:ascii="Century Gothic" w:eastAsia="Times New Roman" w:hAnsi="Century Gothic" w:cs="Tahoma"/>
          <w:lang w:val="es-ES" w:eastAsia="es-ES"/>
        </w:rPr>
        <w:t>, únicamente,</w:t>
      </w:r>
      <w:r w:rsidR="0051618A">
        <w:rPr>
          <w:rFonts w:ascii="Century Gothic" w:eastAsia="Times New Roman" w:hAnsi="Century Gothic" w:cs="Tahoma"/>
          <w:lang w:val="es-ES" w:eastAsia="es-ES"/>
        </w:rPr>
        <w:t xml:space="preserve"> </w:t>
      </w:r>
      <w:r w:rsidR="008A521C">
        <w:rPr>
          <w:rFonts w:ascii="Century Gothic" w:eastAsia="Times New Roman" w:hAnsi="Century Gothic" w:cs="Tahoma"/>
          <w:lang w:val="es-ES" w:eastAsia="es-ES"/>
        </w:rPr>
        <w:t xml:space="preserve">conforme a lo </w:t>
      </w:r>
      <w:r>
        <w:rPr>
          <w:rFonts w:ascii="Century Gothic" w:eastAsia="Times New Roman" w:hAnsi="Century Gothic" w:cs="Tahoma"/>
          <w:lang w:val="es-ES" w:eastAsia="es-ES"/>
        </w:rPr>
        <w:t>dispuesto</w:t>
      </w:r>
      <w:r w:rsidR="00FD058F">
        <w:rPr>
          <w:rFonts w:ascii="Century Gothic" w:eastAsia="Times New Roman" w:hAnsi="Century Gothic" w:cs="Tahoma"/>
          <w:lang w:val="es-ES" w:eastAsia="es-ES"/>
        </w:rPr>
        <w:t xml:space="preserve"> en el artículo 77 de la ley 80 de 1993</w:t>
      </w:r>
      <w:r w:rsidR="002C448A">
        <w:rPr>
          <w:rStyle w:val="Refdenotaalpie"/>
          <w:rFonts w:eastAsia="Times New Roman"/>
          <w:lang w:val="es-ES" w:eastAsia="es-ES"/>
        </w:rPr>
        <w:footnoteReference w:id="4"/>
      </w:r>
    </w:p>
    <w:p w14:paraId="51B9EB33" w14:textId="77777777" w:rsidR="00E51941" w:rsidRDefault="00E51941" w:rsidP="00B631FB">
      <w:pPr>
        <w:spacing w:line="360" w:lineRule="auto"/>
        <w:ind w:right="-91"/>
        <w:jc w:val="both"/>
        <w:rPr>
          <w:rFonts w:ascii="Century Gothic" w:eastAsia="Times New Roman" w:hAnsi="Century Gothic" w:cs="Tahoma"/>
          <w:lang w:val="es-ES" w:eastAsia="es-ES"/>
        </w:rPr>
      </w:pPr>
    </w:p>
    <w:p w14:paraId="6480EEAC" w14:textId="77777777" w:rsidR="00CB4AAB" w:rsidRDefault="00E51941" w:rsidP="00B631FB">
      <w:pPr>
        <w:spacing w:line="360" w:lineRule="auto"/>
        <w:ind w:right="-91"/>
        <w:jc w:val="both"/>
        <w:rPr>
          <w:rFonts w:ascii="Century Gothic" w:eastAsia="Times New Roman" w:hAnsi="Century Gothic" w:cs="Tahoma"/>
          <w:lang w:val="es-ES" w:eastAsia="es-ES"/>
        </w:rPr>
      </w:pPr>
      <w:r>
        <w:rPr>
          <w:rFonts w:ascii="Century Gothic" w:eastAsia="Times New Roman" w:hAnsi="Century Gothic" w:cs="Tahoma"/>
          <w:lang w:val="es-ES" w:eastAsia="es-ES"/>
        </w:rPr>
        <w:br/>
      </w:r>
      <w:r w:rsidR="0051618A">
        <w:rPr>
          <w:rFonts w:ascii="Century Gothic" w:eastAsia="Times New Roman" w:hAnsi="Century Gothic" w:cs="Tahoma"/>
          <w:lang w:val="es-ES" w:eastAsia="es-ES"/>
        </w:rPr>
        <w:t xml:space="preserve">En ese orden de ideas, </w:t>
      </w:r>
      <w:r w:rsidR="008A521C">
        <w:rPr>
          <w:rFonts w:ascii="Century Gothic" w:eastAsia="Times New Roman" w:hAnsi="Century Gothic" w:cs="Tahoma"/>
          <w:lang w:val="es-ES" w:eastAsia="es-ES"/>
        </w:rPr>
        <w:t xml:space="preserve">se </w:t>
      </w:r>
      <w:r w:rsidR="0051618A">
        <w:rPr>
          <w:rFonts w:ascii="Century Gothic" w:eastAsia="Times New Roman" w:hAnsi="Century Gothic" w:cs="Tahoma"/>
          <w:lang w:val="es-ES" w:eastAsia="es-ES"/>
        </w:rPr>
        <w:t>observa</w:t>
      </w:r>
      <w:r w:rsidR="008A521C">
        <w:rPr>
          <w:rFonts w:ascii="Century Gothic" w:eastAsia="Times New Roman" w:hAnsi="Century Gothic" w:cs="Tahoma"/>
          <w:lang w:val="es-ES" w:eastAsia="es-ES"/>
        </w:rPr>
        <w:t xml:space="preserve"> </w:t>
      </w:r>
      <w:r w:rsidR="0051618A">
        <w:rPr>
          <w:rFonts w:ascii="Century Gothic" w:eastAsia="Times New Roman" w:hAnsi="Century Gothic" w:cs="Tahoma"/>
          <w:lang w:val="es-ES" w:eastAsia="es-ES"/>
        </w:rPr>
        <w:t xml:space="preserve">que la acción invocada por la parte demandante (nulidad y restablecimiento del derecho) no </w:t>
      </w:r>
      <w:r w:rsidR="008A521C">
        <w:rPr>
          <w:rFonts w:ascii="Century Gothic" w:eastAsia="Times New Roman" w:hAnsi="Century Gothic" w:cs="Tahoma"/>
          <w:lang w:val="es-ES" w:eastAsia="es-ES"/>
        </w:rPr>
        <w:t>es la acción idónea para acudir a la jurisdicción contenciosa; sin embargo,</w:t>
      </w:r>
      <w:r w:rsidR="008A521C" w:rsidRPr="008A521C">
        <w:rPr>
          <w:rFonts w:ascii="Century Gothic" w:eastAsia="Times New Roman" w:hAnsi="Century Gothic" w:cs="Tahoma"/>
          <w:lang w:eastAsia="es-ES"/>
        </w:rPr>
        <w:t xml:space="preserve"> con el fin de garantizar desde el inicio del litigio el debido proceso, el medio de control propuesto se adecuará, con base en el artículo 171 del C.PA.C.A., al de</w:t>
      </w:r>
      <w:r w:rsidR="008A521C">
        <w:rPr>
          <w:rFonts w:ascii="Century Gothic" w:eastAsia="Times New Roman" w:hAnsi="Century Gothic" w:cs="Tahoma"/>
          <w:lang w:val="es-ES" w:eastAsia="es-ES"/>
        </w:rPr>
        <w:t xml:space="preserve"> controversias contractuales.</w:t>
      </w:r>
    </w:p>
    <w:p w14:paraId="415132F2" w14:textId="77777777" w:rsidR="008A521C" w:rsidRDefault="008A521C" w:rsidP="00D57E91">
      <w:pPr>
        <w:pStyle w:val="Sinespaciado"/>
        <w:rPr>
          <w:lang w:val="es-ES" w:eastAsia="es-ES"/>
        </w:rPr>
      </w:pPr>
    </w:p>
    <w:p w14:paraId="631C4E6B" w14:textId="77777777" w:rsidR="00CB4AAB" w:rsidRDefault="008A521C" w:rsidP="00B631FB">
      <w:pPr>
        <w:spacing w:line="360" w:lineRule="auto"/>
        <w:ind w:right="-91"/>
        <w:jc w:val="both"/>
        <w:rPr>
          <w:rFonts w:ascii="Century Gothic" w:eastAsia="Times New Roman" w:hAnsi="Century Gothic" w:cs="Tahoma"/>
          <w:lang w:val="es-ES" w:eastAsia="es-ES"/>
        </w:rPr>
      </w:pPr>
      <w:r>
        <w:rPr>
          <w:rFonts w:ascii="Century Gothic" w:eastAsia="Times New Roman" w:hAnsi="Century Gothic" w:cs="Tahoma"/>
          <w:lang w:val="es-ES" w:eastAsia="es-ES"/>
        </w:rPr>
        <w:t>Aclarado lo anterior</w:t>
      </w:r>
      <w:r w:rsidR="009D3CA5">
        <w:rPr>
          <w:rFonts w:ascii="Century Gothic" w:eastAsia="Times New Roman" w:hAnsi="Century Gothic" w:cs="Tahoma"/>
          <w:lang w:val="es-ES" w:eastAsia="es-ES"/>
        </w:rPr>
        <w:t xml:space="preserve">, </w:t>
      </w:r>
      <w:r w:rsidR="00E51941">
        <w:rPr>
          <w:rFonts w:ascii="Century Gothic" w:eastAsia="Times New Roman" w:hAnsi="Century Gothic" w:cs="Tahoma"/>
          <w:lang w:val="es-ES" w:eastAsia="es-ES"/>
        </w:rPr>
        <w:t>es necesario recordar</w:t>
      </w:r>
      <w:r w:rsidR="009D3CA5">
        <w:rPr>
          <w:rFonts w:ascii="Century Gothic" w:eastAsia="Times New Roman" w:hAnsi="Century Gothic" w:cs="Tahoma"/>
          <w:lang w:val="es-ES" w:eastAsia="es-ES"/>
        </w:rPr>
        <w:t xml:space="preserve"> que </w:t>
      </w:r>
      <w:r w:rsidR="0010268F">
        <w:rPr>
          <w:rFonts w:ascii="Century Gothic" w:eastAsia="Times New Roman" w:hAnsi="Century Gothic" w:cs="Tahoma"/>
          <w:lang w:val="es-ES" w:eastAsia="es-ES"/>
        </w:rPr>
        <w:t>la razón por la</w:t>
      </w:r>
      <w:r w:rsidR="009D3CA5">
        <w:rPr>
          <w:rFonts w:ascii="Century Gothic" w:eastAsia="Times New Roman" w:hAnsi="Century Gothic" w:cs="Tahoma"/>
          <w:lang w:val="es-ES" w:eastAsia="es-ES"/>
        </w:rPr>
        <w:t xml:space="preserve"> </w:t>
      </w:r>
      <w:r w:rsidR="0010268F">
        <w:rPr>
          <w:rFonts w:ascii="Century Gothic" w:eastAsia="Times New Roman" w:hAnsi="Century Gothic" w:cs="Tahoma"/>
          <w:lang w:val="es-ES" w:eastAsia="es-ES"/>
        </w:rPr>
        <w:t>que</w:t>
      </w:r>
      <w:r w:rsidR="009D3CA5">
        <w:rPr>
          <w:rFonts w:ascii="Century Gothic" w:eastAsia="Times New Roman" w:hAnsi="Century Gothic" w:cs="Tahoma"/>
          <w:lang w:val="es-ES" w:eastAsia="es-ES"/>
        </w:rPr>
        <w:t xml:space="preserve"> el tribunal de instancia rechazó la demanda fue </w:t>
      </w:r>
      <w:r w:rsidR="0010268F">
        <w:rPr>
          <w:rFonts w:ascii="Century Gothic" w:eastAsia="Times New Roman" w:hAnsi="Century Gothic" w:cs="Tahoma"/>
          <w:lang w:val="es-ES" w:eastAsia="es-ES"/>
        </w:rPr>
        <w:t>porque</w:t>
      </w:r>
      <w:r w:rsidR="009D3CA5">
        <w:rPr>
          <w:rFonts w:ascii="Century Gothic" w:eastAsia="Times New Roman" w:hAnsi="Century Gothic" w:cs="Tahoma"/>
          <w:lang w:val="es-ES" w:eastAsia="es-ES"/>
        </w:rPr>
        <w:t xml:space="preserve"> en el contrato de prestación de servicios celebrado entre el municipio de Tuta</w:t>
      </w:r>
      <w:r w:rsidR="00E51941">
        <w:rPr>
          <w:rFonts w:ascii="Century Gothic" w:eastAsia="Times New Roman" w:hAnsi="Century Gothic" w:cs="Tahoma"/>
          <w:lang w:val="es-ES" w:eastAsia="es-ES"/>
        </w:rPr>
        <w:t xml:space="preserve"> -Boyacá- y la ahora demandante</w:t>
      </w:r>
      <w:r w:rsidR="009D3CA5">
        <w:rPr>
          <w:rFonts w:ascii="Century Gothic" w:eastAsia="Times New Roman" w:hAnsi="Century Gothic" w:cs="Tahoma"/>
          <w:lang w:val="es-ES" w:eastAsia="es-ES"/>
        </w:rPr>
        <w:t xml:space="preserve"> se </w:t>
      </w:r>
      <w:r w:rsidR="00E51941">
        <w:rPr>
          <w:rFonts w:ascii="Century Gothic" w:eastAsia="Times New Roman" w:hAnsi="Century Gothic" w:cs="Tahoma"/>
          <w:lang w:val="es-ES" w:eastAsia="es-ES"/>
        </w:rPr>
        <w:t>pactó</w:t>
      </w:r>
      <w:r w:rsidR="009D3CA5">
        <w:rPr>
          <w:rFonts w:ascii="Century Gothic" w:eastAsia="Times New Roman" w:hAnsi="Century Gothic" w:cs="Tahoma"/>
          <w:lang w:val="es-ES" w:eastAsia="es-ES"/>
        </w:rPr>
        <w:t xml:space="preserve"> cláusula compromisoria.</w:t>
      </w:r>
    </w:p>
    <w:p w14:paraId="4FF95D46" w14:textId="77777777" w:rsidR="00CB4AAB" w:rsidRDefault="00CB4AAB" w:rsidP="00B631FB">
      <w:pPr>
        <w:spacing w:line="360" w:lineRule="auto"/>
        <w:ind w:right="-91"/>
        <w:jc w:val="both"/>
        <w:rPr>
          <w:rFonts w:ascii="Century Gothic" w:eastAsia="Times New Roman" w:hAnsi="Century Gothic" w:cs="Tahoma"/>
          <w:lang w:val="es-ES" w:eastAsia="es-ES"/>
        </w:rPr>
      </w:pPr>
    </w:p>
    <w:p w14:paraId="2C7C30AE" w14:textId="77777777" w:rsidR="00B631FB" w:rsidRPr="00B631FB" w:rsidRDefault="00B631FB" w:rsidP="00B631FB">
      <w:pPr>
        <w:spacing w:line="360" w:lineRule="auto"/>
        <w:ind w:right="-91"/>
        <w:jc w:val="both"/>
        <w:rPr>
          <w:rFonts w:ascii="Century Gothic" w:eastAsia="Times New Roman" w:hAnsi="Century Gothic" w:cs="Arial"/>
          <w:bCs/>
          <w:shd w:val="clear" w:color="auto" w:fill="FFFFFF"/>
          <w:lang w:eastAsia="es-CO"/>
        </w:rPr>
      </w:pPr>
      <w:r w:rsidRPr="00B631FB">
        <w:rPr>
          <w:rFonts w:ascii="Century Gothic" w:eastAsia="Times New Roman" w:hAnsi="Century Gothic"/>
          <w:szCs w:val="20"/>
          <w:lang w:eastAsia="es-ES"/>
        </w:rPr>
        <w:t xml:space="preserve">Frente a lo anterior, </w:t>
      </w:r>
      <w:r w:rsidR="00E51941">
        <w:rPr>
          <w:rFonts w:ascii="Century Gothic" w:eastAsia="Times New Roman" w:hAnsi="Century Gothic"/>
          <w:szCs w:val="20"/>
          <w:lang w:eastAsia="es-ES"/>
        </w:rPr>
        <w:t xml:space="preserve">se debe </w:t>
      </w:r>
      <w:r w:rsidR="0010268F">
        <w:rPr>
          <w:rFonts w:ascii="Century Gothic" w:eastAsia="Times New Roman" w:hAnsi="Century Gothic"/>
          <w:szCs w:val="20"/>
          <w:lang w:eastAsia="es-ES"/>
        </w:rPr>
        <w:t>señalar</w:t>
      </w:r>
      <w:r w:rsidRPr="00B631FB">
        <w:rPr>
          <w:rFonts w:ascii="Century Gothic" w:eastAsia="Times New Roman" w:hAnsi="Century Gothic" w:cs="Tahoma"/>
          <w:lang w:val="es-ES" w:eastAsia="es-ES"/>
        </w:rPr>
        <w:t xml:space="preserve"> que, en el caso concreto,</w:t>
      </w:r>
      <w:r w:rsidR="0010268F">
        <w:rPr>
          <w:rFonts w:ascii="Century Gothic" w:eastAsia="Times New Roman" w:hAnsi="Century Gothic" w:cs="Tahoma"/>
          <w:lang w:val="es-ES" w:eastAsia="es-ES"/>
        </w:rPr>
        <w:t xml:space="preserve"> la demanda fue interpuesta el 13 de enero de 2015</w:t>
      </w:r>
      <w:r w:rsidRPr="00B631FB">
        <w:rPr>
          <w:rFonts w:ascii="Century Gothic" w:eastAsia="Times New Roman" w:hAnsi="Century Gothic" w:cs="Tahoma"/>
          <w:lang w:val="es-ES" w:eastAsia="es-ES"/>
        </w:rPr>
        <w:t>, es decir, cuando ya había entrado a regir la Ley 1563 de 2012</w:t>
      </w:r>
      <w:r w:rsidRPr="00B631FB">
        <w:rPr>
          <w:rFonts w:ascii="Century Gothic" w:eastAsia="Times New Roman" w:hAnsi="Century Gothic"/>
          <w:vertAlign w:val="superscript"/>
          <w:lang w:val="es-ES" w:eastAsia="es-ES"/>
        </w:rPr>
        <w:footnoteReference w:id="5"/>
      </w:r>
      <w:r w:rsidRPr="00B631FB">
        <w:rPr>
          <w:rFonts w:ascii="Century Gothic" w:eastAsia="Times New Roman" w:hAnsi="Century Gothic" w:cs="Tahoma"/>
          <w:lang w:val="es-ES" w:eastAsia="es-ES"/>
        </w:rPr>
        <w:t xml:space="preserve">, </w:t>
      </w:r>
      <w:r w:rsidRPr="00B631FB">
        <w:rPr>
          <w:rFonts w:ascii="Century Gothic" w:eastAsia="Times New Roman" w:hAnsi="Century Gothic" w:cs="Arial"/>
          <w:bCs/>
          <w:shd w:val="clear" w:color="auto" w:fill="FFFFFF"/>
          <w:lang w:eastAsia="es-CO"/>
        </w:rPr>
        <w:t xml:space="preserve">por medio de la cual se expidió el Estatuto de Arbitraje Nacional e Internacional, norma que en su artículo 21 señaló lo siguiente: </w:t>
      </w:r>
    </w:p>
    <w:p w14:paraId="33644C6B" w14:textId="77777777" w:rsidR="00B631FB" w:rsidRPr="00B631FB" w:rsidRDefault="00B631FB" w:rsidP="00D57E91">
      <w:pPr>
        <w:pStyle w:val="Sinespaciado"/>
        <w:rPr>
          <w:shd w:val="clear" w:color="auto" w:fill="FFFFFF"/>
          <w:lang w:eastAsia="es-CO"/>
        </w:rPr>
      </w:pPr>
    </w:p>
    <w:p w14:paraId="29D46A1B" w14:textId="77777777" w:rsidR="00B631FB" w:rsidRPr="00B631FB" w:rsidRDefault="00B631FB" w:rsidP="00B631FB">
      <w:pPr>
        <w:shd w:val="clear" w:color="auto" w:fill="FFFFFF"/>
        <w:spacing w:before="100" w:beforeAutospacing="1" w:after="100" w:afterAutospacing="1"/>
        <w:ind w:left="227" w:right="227"/>
        <w:jc w:val="both"/>
        <w:rPr>
          <w:rFonts w:ascii="Century Gothic" w:eastAsia="Times New Roman" w:hAnsi="Century Gothic" w:cs="Arial"/>
          <w:sz w:val="20"/>
          <w:szCs w:val="27"/>
          <w:lang w:eastAsia="es-CO"/>
        </w:rPr>
      </w:pPr>
      <w:r w:rsidRPr="00B631FB">
        <w:rPr>
          <w:rFonts w:ascii="Century Gothic" w:eastAsia="Times New Roman" w:hAnsi="Century Gothic" w:cs="Arial"/>
          <w:bCs/>
          <w:iCs/>
          <w:sz w:val="20"/>
          <w:szCs w:val="27"/>
          <w:lang w:eastAsia="es-CO"/>
        </w:rPr>
        <w:t>“Traslado y contestación de la demanda.</w:t>
      </w:r>
      <w:r w:rsidRPr="00B631FB">
        <w:rPr>
          <w:rFonts w:ascii="Century Gothic" w:eastAsia="Times New Roman" w:hAnsi="Century Gothic" w:cs="Arial"/>
          <w:iCs/>
          <w:sz w:val="20"/>
          <w:szCs w:val="27"/>
          <w:lang w:eastAsia="es-CO"/>
        </w:rPr>
        <w:t> </w:t>
      </w:r>
      <w:r w:rsidRPr="00B631FB">
        <w:rPr>
          <w:rFonts w:ascii="Century Gothic" w:eastAsia="Times New Roman" w:hAnsi="Century Gothic" w:cs="Arial"/>
          <w:sz w:val="20"/>
          <w:szCs w:val="27"/>
          <w:lang w:eastAsia="es-CO"/>
        </w:rPr>
        <w:t>De la demanda se correrá traslado por el término de veinte (20) días. Vencido este, se correrá traslado al demandante por el término de cinco (5) días, dentro de los cuales podrá solicitar pruebas adicionales relacionadas con los hechos en que se funden las excepciones de mérito.</w:t>
      </w:r>
    </w:p>
    <w:p w14:paraId="54F7615A" w14:textId="77777777" w:rsidR="00B631FB" w:rsidRPr="00B631FB" w:rsidRDefault="00D57E91" w:rsidP="00B631FB">
      <w:pPr>
        <w:shd w:val="clear" w:color="auto" w:fill="FFFFFF"/>
        <w:spacing w:before="100" w:beforeAutospacing="1" w:after="100" w:afterAutospacing="1"/>
        <w:ind w:left="227" w:right="227"/>
        <w:jc w:val="both"/>
        <w:rPr>
          <w:rFonts w:ascii="Century Gothic" w:eastAsia="Times New Roman" w:hAnsi="Century Gothic" w:cs="Arial"/>
          <w:sz w:val="20"/>
          <w:szCs w:val="27"/>
          <w:lang w:eastAsia="es-CO"/>
        </w:rPr>
      </w:pPr>
      <w:r>
        <w:rPr>
          <w:rFonts w:ascii="Century Gothic" w:eastAsia="Times New Roman" w:hAnsi="Century Gothic" w:cs="Arial"/>
          <w:sz w:val="20"/>
          <w:szCs w:val="27"/>
          <w:lang w:eastAsia="es-CO"/>
        </w:rPr>
        <w:t>“</w:t>
      </w:r>
      <w:r w:rsidR="00B631FB" w:rsidRPr="00B631FB">
        <w:rPr>
          <w:rFonts w:ascii="Century Gothic" w:eastAsia="Times New Roman" w:hAnsi="Century Gothic" w:cs="Arial"/>
          <w:sz w:val="20"/>
          <w:szCs w:val="27"/>
          <w:lang w:eastAsia="es-CO"/>
        </w:rPr>
        <w:t>Es procedente la demanda de reconvención pero no las excepciones previas ni los incidentes. Salvo norma en contrario, los árbitros decidirán de plano toda cuestión que se suscite en el proceso.</w:t>
      </w:r>
    </w:p>
    <w:p w14:paraId="315EA7D7" w14:textId="77777777" w:rsidR="00B631FB" w:rsidRPr="00B631FB" w:rsidRDefault="00D57E91" w:rsidP="00B631FB">
      <w:pPr>
        <w:shd w:val="clear" w:color="auto" w:fill="FFFFFF"/>
        <w:spacing w:before="100" w:beforeAutospacing="1" w:after="100" w:afterAutospacing="1"/>
        <w:ind w:left="227" w:right="227"/>
        <w:jc w:val="both"/>
        <w:rPr>
          <w:rFonts w:ascii="Century Gothic" w:eastAsia="Times New Roman" w:hAnsi="Century Gothic" w:cs="Arial"/>
          <w:sz w:val="20"/>
          <w:szCs w:val="27"/>
          <w:lang w:eastAsia="es-CO"/>
        </w:rPr>
      </w:pPr>
      <w:r>
        <w:rPr>
          <w:rFonts w:ascii="Century Gothic" w:eastAsia="Times New Roman" w:hAnsi="Century Gothic" w:cs="Arial"/>
          <w:b/>
          <w:bCs/>
          <w:sz w:val="20"/>
          <w:szCs w:val="27"/>
          <w:lang w:eastAsia="es-CO"/>
        </w:rPr>
        <w:t>“</w:t>
      </w:r>
      <w:r w:rsidR="00B631FB" w:rsidRPr="00B631FB">
        <w:rPr>
          <w:rFonts w:ascii="Century Gothic" w:eastAsia="Times New Roman" w:hAnsi="Century Gothic" w:cs="Arial"/>
          <w:b/>
          <w:bCs/>
          <w:sz w:val="20"/>
          <w:szCs w:val="27"/>
          <w:lang w:eastAsia="es-CO"/>
        </w:rPr>
        <w:t>Parágrafo</w:t>
      </w:r>
      <w:r w:rsidR="00B631FB" w:rsidRPr="00B631FB">
        <w:rPr>
          <w:rFonts w:ascii="Century Gothic" w:eastAsia="Times New Roman" w:hAnsi="Century Gothic" w:cs="Arial"/>
          <w:b/>
          <w:sz w:val="20"/>
          <w:szCs w:val="27"/>
          <w:lang w:eastAsia="es-CO"/>
        </w:rPr>
        <w:t>. La no interposición de la excepción de compromiso o cláusula compromisoria ante el juez implica la renuncia al pacto arbitral para el caso concreto”</w:t>
      </w:r>
      <w:r w:rsidR="00B631FB" w:rsidRPr="00B631FB">
        <w:rPr>
          <w:rFonts w:ascii="Century Gothic" w:eastAsia="Times New Roman" w:hAnsi="Century Gothic" w:cs="Arial"/>
          <w:sz w:val="20"/>
          <w:szCs w:val="27"/>
          <w:lang w:eastAsia="es-CO"/>
        </w:rPr>
        <w:t xml:space="preserve"> (negrillas fuera del texto).</w:t>
      </w:r>
    </w:p>
    <w:p w14:paraId="1759BD66" w14:textId="77777777" w:rsidR="00B631FB" w:rsidRPr="00B631FB" w:rsidRDefault="00B631FB" w:rsidP="00D57E91">
      <w:pPr>
        <w:pStyle w:val="Sinespaciado"/>
        <w:rPr>
          <w:rFonts w:cs="Tahoma"/>
          <w:lang w:val="es-ES" w:eastAsia="es-ES"/>
        </w:rPr>
      </w:pPr>
      <w:r w:rsidRPr="00B631FB">
        <w:rPr>
          <w:shd w:val="clear" w:color="auto" w:fill="FFFFFF"/>
          <w:lang w:eastAsia="es-CO"/>
        </w:rPr>
        <w:t xml:space="preserve"> </w:t>
      </w:r>
    </w:p>
    <w:p w14:paraId="68C3A0CF" w14:textId="77777777" w:rsidR="00B631FB" w:rsidRDefault="00B631FB" w:rsidP="00B631FB">
      <w:pPr>
        <w:spacing w:line="360" w:lineRule="auto"/>
        <w:jc w:val="both"/>
        <w:rPr>
          <w:rFonts w:ascii="Century Gothic" w:eastAsia="Times New Roman" w:hAnsi="Century Gothic" w:cs="Arial"/>
          <w:lang w:val="es-ES" w:eastAsia="es-ES"/>
        </w:rPr>
      </w:pPr>
      <w:r w:rsidRPr="00B631FB">
        <w:rPr>
          <w:rFonts w:ascii="Century Gothic" w:eastAsia="Times New Roman" w:hAnsi="Century Gothic" w:cs="Tahoma"/>
          <w:lang w:val="es-ES" w:eastAsia="es-ES"/>
        </w:rPr>
        <w:t>Conforme a lo anterior, queda claro que, aun</w:t>
      </w:r>
      <w:r w:rsidRPr="00B631FB">
        <w:rPr>
          <w:rFonts w:ascii="Century Gothic" w:eastAsia="Times New Roman" w:hAnsi="Century Gothic" w:cs="Arial"/>
          <w:lang w:val="es-ES" w:eastAsia="es-ES"/>
        </w:rPr>
        <w:t xml:space="preserve"> existiendo cláusula compromisoria, si se presenta la demanda ante la jurisdicción contenciosa y la parte demandada no propone la excepción </w:t>
      </w:r>
      <w:r w:rsidR="00D57E91">
        <w:rPr>
          <w:rFonts w:ascii="Century Gothic" w:eastAsia="Times New Roman" w:hAnsi="Century Gothic" w:cs="Arial"/>
          <w:lang w:val="es-ES" w:eastAsia="es-ES"/>
        </w:rPr>
        <w:t>respectiva</w:t>
      </w:r>
      <w:r w:rsidRPr="00B631FB">
        <w:rPr>
          <w:rFonts w:ascii="Century Gothic" w:eastAsia="Times New Roman" w:hAnsi="Century Gothic" w:cs="Arial"/>
          <w:lang w:val="es-ES" w:eastAsia="es-ES"/>
        </w:rPr>
        <w:t xml:space="preserve">, se debe entender que se renuncia al pacto arbitral.  </w:t>
      </w:r>
    </w:p>
    <w:p w14:paraId="33FD0C3A" w14:textId="77777777" w:rsidR="0010268F" w:rsidRDefault="0010268F" w:rsidP="00D57E91">
      <w:pPr>
        <w:pStyle w:val="Sinespaciado"/>
        <w:rPr>
          <w:lang w:val="es-ES" w:eastAsia="es-ES"/>
        </w:rPr>
      </w:pPr>
    </w:p>
    <w:p w14:paraId="0DCADD8C" w14:textId="77777777" w:rsidR="00D57E91" w:rsidRDefault="00D57E91" w:rsidP="0015679D">
      <w:pPr>
        <w:spacing w:line="360" w:lineRule="auto"/>
        <w:jc w:val="both"/>
        <w:rPr>
          <w:rFonts w:ascii="Century Gothic" w:eastAsia="Times New Roman" w:hAnsi="Century Gothic" w:cs="Arial"/>
          <w:lang w:val="es-ES" w:eastAsia="es-ES"/>
        </w:rPr>
      </w:pPr>
      <w:r>
        <w:rPr>
          <w:rFonts w:ascii="Century Gothic" w:eastAsia="Times New Roman" w:hAnsi="Century Gothic" w:cs="Arial"/>
          <w:lang w:val="es-ES" w:eastAsia="es-ES"/>
        </w:rPr>
        <w:t>E</w:t>
      </w:r>
      <w:r w:rsidR="0010268F" w:rsidRPr="0015679D">
        <w:rPr>
          <w:rFonts w:ascii="Century Gothic" w:eastAsia="Times New Roman" w:hAnsi="Century Gothic" w:cs="Arial"/>
          <w:lang w:val="es-ES" w:eastAsia="es-ES"/>
        </w:rPr>
        <w:t xml:space="preserve">n el </w:t>
      </w:r>
      <w:r w:rsidR="0010268F" w:rsidRPr="0015679D">
        <w:rPr>
          <w:rFonts w:ascii="Century Gothic" w:eastAsia="Times New Roman" w:hAnsi="Century Gothic" w:cs="Arial"/>
          <w:i/>
          <w:lang w:val="es-ES" w:eastAsia="es-ES"/>
        </w:rPr>
        <w:t>sub examine</w:t>
      </w:r>
      <w:r w:rsidR="0010268F" w:rsidRPr="0010268F">
        <w:rPr>
          <w:rFonts w:ascii="Century Gothic" w:eastAsia="Times New Roman" w:hAnsi="Century Gothic" w:cs="Arial"/>
          <w:lang w:val="es-ES" w:eastAsia="es-ES"/>
        </w:rPr>
        <w:t xml:space="preserve">, el proceso </w:t>
      </w:r>
      <w:r>
        <w:rPr>
          <w:rFonts w:ascii="Century Gothic" w:eastAsia="Times New Roman" w:hAnsi="Century Gothic" w:cs="Arial"/>
          <w:lang w:val="es-ES" w:eastAsia="es-ES"/>
        </w:rPr>
        <w:t xml:space="preserve">apenas </w:t>
      </w:r>
      <w:r w:rsidR="0010268F" w:rsidRPr="0010268F">
        <w:rPr>
          <w:rFonts w:ascii="Century Gothic" w:eastAsia="Times New Roman" w:hAnsi="Century Gothic" w:cs="Arial"/>
          <w:lang w:val="es-ES" w:eastAsia="es-ES"/>
        </w:rPr>
        <w:t>se encuentra en la etapa de admitir la demanda, de manera que aún no se ha abier</w:t>
      </w:r>
      <w:r>
        <w:rPr>
          <w:rFonts w:ascii="Century Gothic" w:eastAsia="Times New Roman" w:hAnsi="Century Gothic" w:cs="Arial"/>
          <w:lang w:val="es-ES" w:eastAsia="es-ES"/>
        </w:rPr>
        <w:t>to la posibilidad de</w:t>
      </w:r>
      <w:r w:rsidR="0010268F" w:rsidRPr="0010268F">
        <w:rPr>
          <w:rFonts w:ascii="Century Gothic" w:eastAsia="Times New Roman" w:hAnsi="Century Gothic" w:cs="Arial"/>
          <w:lang w:val="es-ES" w:eastAsia="es-ES"/>
        </w:rPr>
        <w:t xml:space="preserve"> que la demandada se pronuncie</w:t>
      </w:r>
      <w:r>
        <w:rPr>
          <w:rFonts w:ascii="Century Gothic" w:eastAsia="Times New Roman" w:hAnsi="Century Gothic" w:cs="Arial"/>
          <w:lang w:val="es-ES" w:eastAsia="es-ES"/>
        </w:rPr>
        <w:t xml:space="preserve"> respecto de esa cláusula, ra</w:t>
      </w:r>
      <w:r w:rsidR="0010268F" w:rsidRPr="0010268F">
        <w:rPr>
          <w:rFonts w:ascii="Century Gothic" w:eastAsia="Times New Roman" w:hAnsi="Century Gothic" w:cs="Arial"/>
          <w:lang w:val="es-ES" w:eastAsia="es-ES"/>
        </w:rPr>
        <w:t>zón</w:t>
      </w:r>
      <w:r>
        <w:rPr>
          <w:rFonts w:ascii="Century Gothic" w:eastAsia="Times New Roman" w:hAnsi="Century Gothic" w:cs="Arial"/>
          <w:lang w:val="es-ES" w:eastAsia="es-ES"/>
        </w:rPr>
        <w:t xml:space="preserve"> por la cual</w:t>
      </w:r>
      <w:r w:rsidR="0010268F" w:rsidRPr="0010268F">
        <w:rPr>
          <w:rFonts w:ascii="Century Gothic" w:eastAsia="Times New Roman" w:hAnsi="Century Gothic" w:cs="Arial"/>
          <w:lang w:val="es-ES" w:eastAsia="es-ES"/>
        </w:rPr>
        <w:t xml:space="preserve"> deberá admitirse la demanda</w:t>
      </w:r>
      <w:r>
        <w:rPr>
          <w:rFonts w:ascii="Century Gothic" w:eastAsia="Times New Roman" w:hAnsi="Century Gothic" w:cs="Arial"/>
          <w:lang w:val="es-ES" w:eastAsia="es-ES"/>
        </w:rPr>
        <w:t>,</w:t>
      </w:r>
      <w:r w:rsidR="0010268F" w:rsidRPr="0010268F">
        <w:rPr>
          <w:rFonts w:ascii="Century Gothic" w:eastAsia="Times New Roman" w:hAnsi="Century Gothic" w:cs="Arial"/>
          <w:lang w:val="es-ES" w:eastAsia="es-ES"/>
        </w:rPr>
        <w:t xml:space="preserve"> siempre que se cumplan sus requisitos formales</w:t>
      </w:r>
      <w:r>
        <w:rPr>
          <w:rFonts w:ascii="Century Gothic" w:eastAsia="Times New Roman" w:hAnsi="Century Gothic" w:cs="Arial"/>
          <w:lang w:val="es-ES" w:eastAsia="es-ES"/>
        </w:rPr>
        <w:t>,</w:t>
      </w:r>
      <w:r w:rsidR="0010268F" w:rsidRPr="0010268F">
        <w:rPr>
          <w:rFonts w:ascii="Century Gothic" w:eastAsia="Times New Roman" w:hAnsi="Century Gothic" w:cs="Arial"/>
          <w:lang w:val="es-ES" w:eastAsia="es-ES"/>
        </w:rPr>
        <w:t xml:space="preserve"> y esta </w:t>
      </w:r>
      <w:r>
        <w:rPr>
          <w:rFonts w:ascii="Century Gothic" w:eastAsia="Times New Roman" w:hAnsi="Century Gothic" w:cs="Arial"/>
          <w:lang w:val="es-ES" w:eastAsia="es-ES"/>
        </w:rPr>
        <w:br/>
      </w:r>
      <w:r w:rsidR="0010268F" w:rsidRPr="0010268F">
        <w:rPr>
          <w:rFonts w:ascii="Century Gothic" w:eastAsia="Times New Roman" w:hAnsi="Century Gothic" w:cs="Arial"/>
          <w:lang w:val="es-ES" w:eastAsia="es-ES"/>
        </w:rPr>
        <w:t>jurisdicción tendrá competencia para conocer del asunt</w:t>
      </w:r>
      <w:r w:rsidR="0015679D">
        <w:rPr>
          <w:rFonts w:ascii="Century Gothic" w:eastAsia="Times New Roman" w:hAnsi="Century Gothic" w:cs="Arial"/>
          <w:lang w:val="es-ES" w:eastAsia="es-ES"/>
        </w:rPr>
        <w:t xml:space="preserve">o </w:t>
      </w:r>
      <w:r>
        <w:rPr>
          <w:rFonts w:ascii="Century Gothic" w:eastAsia="Times New Roman" w:hAnsi="Century Gothic" w:cs="Arial"/>
          <w:lang w:val="es-ES" w:eastAsia="es-ES"/>
        </w:rPr>
        <w:t>a menos que</w:t>
      </w:r>
      <w:r w:rsidR="0015679D">
        <w:rPr>
          <w:rFonts w:ascii="Century Gothic" w:eastAsia="Times New Roman" w:hAnsi="Century Gothic" w:cs="Arial"/>
          <w:lang w:val="es-ES" w:eastAsia="es-ES"/>
        </w:rPr>
        <w:t xml:space="preserve"> la parte demandada</w:t>
      </w:r>
      <w:r w:rsidR="0010268F" w:rsidRPr="0010268F">
        <w:rPr>
          <w:rFonts w:ascii="Century Gothic" w:eastAsia="Times New Roman" w:hAnsi="Century Gothic" w:cs="Arial"/>
          <w:lang w:val="es-ES" w:eastAsia="es-ES"/>
        </w:rPr>
        <w:t xml:space="preserve"> </w:t>
      </w:r>
      <w:r>
        <w:rPr>
          <w:rFonts w:ascii="Century Gothic" w:eastAsia="Times New Roman" w:hAnsi="Century Gothic" w:cs="Arial"/>
          <w:lang w:val="es-ES" w:eastAsia="es-ES"/>
        </w:rPr>
        <w:t>excepcione en sentido contrario.</w:t>
      </w:r>
    </w:p>
    <w:p w14:paraId="3AA1FA7C" w14:textId="77777777" w:rsidR="0010268F" w:rsidRPr="0010268F" w:rsidRDefault="00D57E91" w:rsidP="0015679D">
      <w:pPr>
        <w:spacing w:line="360" w:lineRule="auto"/>
        <w:jc w:val="both"/>
        <w:rPr>
          <w:rFonts w:ascii="Century Gothic" w:eastAsia="Times New Roman" w:hAnsi="Century Gothic" w:cs="Arial"/>
          <w:lang w:val="es-ES" w:eastAsia="es-ES"/>
        </w:rPr>
      </w:pPr>
      <w:r w:rsidRPr="0010268F">
        <w:rPr>
          <w:rFonts w:ascii="Century Gothic" w:eastAsia="Times New Roman" w:hAnsi="Century Gothic" w:cs="Arial"/>
          <w:lang w:val="es-ES" w:eastAsia="es-ES"/>
        </w:rPr>
        <w:t xml:space="preserve"> </w:t>
      </w:r>
    </w:p>
    <w:p w14:paraId="73132A7B" w14:textId="77777777" w:rsidR="0010268F" w:rsidRPr="0010268F" w:rsidRDefault="00D57E91" w:rsidP="0015679D">
      <w:pPr>
        <w:spacing w:line="360" w:lineRule="auto"/>
        <w:jc w:val="both"/>
        <w:rPr>
          <w:rFonts w:ascii="Century Gothic" w:eastAsia="Times New Roman" w:hAnsi="Century Gothic" w:cs="Arial"/>
          <w:lang w:val="es-ES" w:eastAsia="es-ES"/>
        </w:rPr>
      </w:pPr>
      <w:r>
        <w:rPr>
          <w:rFonts w:ascii="Century Gothic" w:eastAsia="Times New Roman" w:hAnsi="Century Gothic" w:cs="Arial"/>
          <w:lang w:val="es-ES" w:eastAsia="es-ES"/>
        </w:rPr>
        <w:t>B</w:t>
      </w:r>
      <w:r w:rsidR="0015679D" w:rsidRPr="0015679D">
        <w:rPr>
          <w:rFonts w:ascii="Century Gothic" w:eastAsia="Times New Roman" w:hAnsi="Century Gothic" w:cs="Arial"/>
          <w:lang w:val="es-ES" w:eastAsia="es-ES"/>
        </w:rPr>
        <w:t>ajo es</w:t>
      </w:r>
      <w:r>
        <w:rPr>
          <w:rFonts w:ascii="Century Gothic" w:eastAsia="Times New Roman" w:hAnsi="Century Gothic" w:cs="Arial"/>
          <w:lang w:val="es-ES" w:eastAsia="es-ES"/>
        </w:rPr>
        <w:t>t</w:t>
      </w:r>
      <w:r w:rsidR="0015679D" w:rsidRPr="0015679D">
        <w:rPr>
          <w:rFonts w:ascii="Century Gothic" w:eastAsia="Times New Roman" w:hAnsi="Century Gothic" w:cs="Arial"/>
          <w:lang w:val="es-ES" w:eastAsia="es-ES"/>
        </w:rPr>
        <w:t>a lógica, e</w:t>
      </w:r>
      <w:r w:rsidR="0010268F" w:rsidRPr="0010268F">
        <w:rPr>
          <w:rFonts w:ascii="Century Gothic" w:eastAsia="Times New Roman" w:hAnsi="Century Gothic" w:cs="Arial"/>
          <w:lang w:val="es-ES" w:eastAsia="es-ES"/>
        </w:rPr>
        <w:t>l juez deberá esperar a la contestación de la demanda para ver si</w:t>
      </w:r>
      <w:r>
        <w:rPr>
          <w:rFonts w:ascii="Century Gothic" w:eastAsia="Times New Roman" w:hAnsi="Century Gothic" w:cs="Arial"/>
          <w:lang w:val="es-ES" w:eastAsia="es-ES"/>
        </w:rPr>
        <w:t xml:space="preserve"> se propone la excepción, pues de lo contrario el asunto debe ser conocido por esta jurisdicción,</w:t>
      </w:r>
      <w:r w:rsidR="0015679D" w:rsidRPr="0015679D">
        <w:rPr>
          <w:rFonts w:ascii="Century Gothic" w:eastAsia="Times New Roman" w:hAnsi="Century Gothic" w:cs="Arial"/>
          <w:lang w:val="es-ES" w:eastAsia="es-ES"/>
        </w:rPr>
        <w:t xml:space="preserve"> conforme a lo señalado en el </w:t>
      </w:r>
      <w:r w:rsidR="0010268F" w:rsidRPr="0010268F">
        <w:rPr>
          <w:rFonts w:ascii="Century Gothic" w:eastAsia="Times New Roman" w:hAnsi="Century Gothic" w:cs="Arial"/>
          <w:lang w:val="es-ES" w:eastAsia="es-ES"/>
        </w:rPr>
        <w:t>p</w:t>
      </w:r>
      <w:r w:rsidR="007443D9">
        <w:rPr>
          <w:rFonts w:ascii="Century Gothic" w:eastAsia="Times New Roman" w:hAnsi="Century Gothic" w:cs="Arial"/>
          <w:lang w:val="es-ES" w:eastAsia="es-ES"/>
        </w:rPr>
        <w:t xml:space="preserve">arágrafo del citado artículo 21, </w:t>
      </w:r>
      <w:r>
        <w:rPr>
          <w:rFonts w:ascii="Century Gothic" w:eastAsia="Times New Roman" w:hAnsi="Century Gothic" w:cs="Arial"/>
          <w:lang w:val="es-ES" w:eastAsia="es-ES"/>
        </w:rPr>
        <w:t>norma</w:t>
      </w:r>
      <w:r w:rsidR="0010268F" w:rsidRPr="0010268F">
        <w:rPr>
          <w:rFonts w:ascii="Century Gothic" w:eastAsia="Times New Roman" w:hAnsi="Century Gothic" w:cs="Arial"/>
          <w:lang w:val="es-ES" w:eastAsia="es-ES"/>
        </w:rPr>
        <w:t xml:space="preserve"> de carácter procesal de aplicación inmediata</w:t>
      </w:r>
      <w:r>
        <w:rPr>
          <w:rFonts w:ascii="Century Gothic" w:eastAsia="Times New Roman" w:hAnsi="Century Gothic" w:cs="Arial"/>
          <w:lang w:val="es-ES" w:eastAsia="es-ES"/>
        </w:rPr>
        <w:t xml:space="preserve"> que, por tanto, </w:t>
      </w:r>
      <w:proofErr w:type="gramStart"/>
      <w:r>
        <w:rPr>
          <w:rFonts w:ascii="Century Gothic" w:eastAsia="Times New Roman" w:hAnsi="Century Gothic" w:cs="Arial"/>
          <w:lang w:val="es-ES" w:eastAsia="es-ES"/>
        </w:rPr>
        <w:t xml:space="preserve">rige </w:t>
      </w:r>
      <w:r w:rsidR="0010268F" w:rsidRPr="0010268F">
        <w:rPr>
          <w:rFonts w:ascii="Century Gothic" w:eastAsia="Times New Roman" w:hAnsi="Century Gothic" w:cs="Arial"/>
          <w:lang w:val="es-ES" w:eastAsia="es-ES"/>
        </w:rPr>
        <w:t xml:space="preserve"> para</w:t>
      </w:r>
      <w:proofErr w:type="gramEnd"/>
      <w:r w:rsidR="0010268F" w:rsidRPr="0010268F">
        <w:rPr>
          <w:rFonts w:ascii="Century Gothic" w:eastAsia="Times New Roman" w:hAnsi="Century Gothic" w:cs="Arial"/>
          <w:lang w:val="es-ES" w:eastAsia="es-ES"/>
        </w:rPr>
        <w:t xml:space="preserve"> procesos que se inicien con posterioridad a su entrada en vigencia, como ocurre con el caso de la referencia.</w:t>
      </w:r>
    </w:p>
    <w:p w14:paraId="41519CCE" w14:textId="77777777" w:rsidR="0010268F" w:rsidRPr="0010268F" w:rsidRDefault="0010268F" w:rsidP="0015679D">
      <w:pPr>
        <w:spacing w:line="360" w:lineRule="auto"/>
        <w:jc w:val="both"/>
        <w:rPr>
          <w:rFonts w:ascii="Century Gothic" w:eastAsia="Times New Roman" w:hAnsi="Century Gothic" w:cs="Arial"/>
          <w:lang w:val="es-ES" w:eastAsia="es-ES"/>
        </w:rPr>
      </w:pPr>
    </w:p>
    <w:p w14:paraId="72F968DE" w14:textId="77777777" w:rsidR="0010268F" w:rsidRDefault="00D57E91" w:rsidP="0015679D">
      <w:pPr>
        <w:spacing w:line="360" w:lineRule="auto"/>
        <w:jc w:val="both"/>
        <w:rPr>
          <w:rFonts w:ascii="Century Gothic" w:eastAsia="Times New Roman" w:hAnsi="Century Gothic" w:cs="Arial"/>
          <w:lang w:val="es-ES" w:eastAsia="es-ES"/>
        </w:rPr>
      </w:pPr>
      <w:r>
        <w:rPr>
          <w:rFonts w:ascii="Century Gothic" w:eastAsia="Times New Roman" w:hAnsi="Century Gothic" w:cs="Arial"/>
          <w:lang w:val="es-ES" w:eastAsia="es-ES"/>
        </w:rPr>
        <w:lastRenderedPageBreak/>
        <w:t>De acuerdo</w:t>
      </w:r>
      <w:r w:rsidR="0010268F" w:rsidRPr="0010268F">
        <w:rPr>
          <w:rFonts w:ascii="Century Gothic" w:eastAsia="Times New Roman" w:hAnsi="Century Gothic" w:cs="Arial"/>
          <w:lang w:val="es-ES" w:eastAsia="es-ES"/>
        </w:rPr>
        <w:t xml:space="preserve"> con lo anterior</w:t>
      </w:r>
      <w:r>
        <w:rPr>
          <w:rFonts w:ascii="Century Gothic" w:eastAsia="Times New Roman" w:hAnsi="Century Gothic" w:cs="Arial"/>
          <w:lang w:val="es-ES" w:eastAsia="es-ES"/>
        </w:rPr>
        <w:t xml:space="preserve"> y ya que</w:t>
      </w:r>
      <w:r w:rsidR="0015679D" w:rsidRPr="0015679D">
        <w:rPr>
          <w:rFonts w:ascii="Century Gothic" w:eastAsia="Times New Roman" w:hAnsi="Century Gothic" w:cs="Arial"/>
          <w:lang w:val="es-ES" w:eastAsia="es-ES"/>
        </w:rPr>
        <w:t xml:space="preserve"> la jurisdicción de lo contencioso a</w:t>
      </w:r>
      <w:r w:rsidR="0010268F" w:rsidRPr="0010268F">
        <w:rPr>
          <w:rFonts w:ascii="Century Gothic" w:eastAsia="Times New Roman" w:hAnsi="Century Gothic" w:cs="Arial"/>
          <w:lang w:val="es-ES" w:eastAsia="es-ES"/>
        </w:rPr>
        <w:t xml:space="preserve">dministrativo es la competente para conocer del presente caso </w:t>
      </w:r>
      <w:r>
        <w:rPr>
          <w:rFonts w:ascii="Century Gothic" w:eastAsia="Times New Roman" w:hAnsi="Century Gothic" w:cs="Arial"/>
          <w:lang w:val="es-ES" w:eastAsia="es-ES"/>
        </w:rPr>
        <w:t>mientras</w:t>
      </w:r>
      <w:r w:rsidR="0010268F" w:rsidRPr="0010268F">
        <w:rPr>
          <w:rFonts w:ascii="Century Gothic" w:eastAsia="Times New Roman" w:hAnsi="Century Gothic" w:cs="Arial"/>
          <w:lang w:val="es-ES" w:eastAsia="es-ES"/>
        </w:rPr>
        <w:t xml:space="preserve"> no se exceptúe lo contrario en la contestación de la demanda</w:t>
      </w:r>
      <w:r>
        <w:rPr>
          <w:rFonts w:ascii="Century Gothic" w:eastAsia="Times New Roman" w:hAnsi="Century Gothic" w:cs="Arial"/>
          <w:lang w:val="es-ES" w:eastAsia="es-ES"/>
        </w:rPr>
        <w:t>, se revocará la decisión apelada.</w:t>
      </w:r>
      <w:r w:rsidR="0010268F" w:rsidRPr="0010268F">
        <w:rPr>
          <w:rFonts w:ascii="Century Gothic" w:eastAsia="Times New Roman" w:hAnsi="Century Gothic" w:cs="Arial"/>
          <w:lang w:val="es-ES" w:eastAsia="es-ES"/>
        </w:rPr>
        <w:t xml:space="preserve"> </w:t>
      </w:r>
    </w:p>
    <w:p w14:paraId="65390B46" w14:textId="77777777" w:rsidR="0015679D" w:rsidRDefault="0015679D" w:rsidP="0015679D">
      <w:pPr>
        <w:spacing w:line="360" w:lineRule="auto"/>
        <w:jc w:val="both"/>
        <w:rPr>
          <w:rFonts w:ascii="Century Gothic" w:eastAsia="Times New Roman" w:hAnsi="Century Gothic" w:cs="Arial"/>
          <w:lang w:val="es-ES" w:eastAsia="es-ES"/>
        </w:rPr>
      </w:pPr>
    </w:p>
    <w:p w14:paraId="58727BBB" w14:textId="77777777" w:rsidR="0015679D" w:rsidRPr="0010268F" w:rsidRDefault="0015679D" w:rsidP="0015679D">
      <w:pPr>
        <w:spacing w:line="360" w:lineRule="auto"/>
        <w:jc w:val="both"/>
        <w:rPr>
          <w:rFonts w:ascii="Century Gothic" w:eastAsia="Times New Roman" w:hAnsi="Century Gothic" w:cs="Arial"/>
          <w:lang w:val="es-ES" w:eastAsia="es-ES"/>
        </w:rPr>
      </w:pPr>
      <w:r>
        <w:rPr>
          <w:rFonts w:ascii="Century Gothic" w:eastAsia="Times New Roman" w:hAnsi="Century Gothic" w:cs="Arial"/>
          <w:lang w:val="es-ES" w:eastAsia="es-ES"/>
        </w:rPr>
        <w:t>En mérito de lo expuesto, se</w:t>
      </w:r>
    </w:p>
    <w:p w14:paraId="3B01A613" w14:textId="77777777" w:rsidR="0010268F" w:rsidRPr="00B631FB" w:rsidRDefault="0010268F" w:rsidP="00B631FB">
      <w:pPr>
        <w:spacing w:line="360" w:lineRule="auto"/>
        <w:jc w:val="both"/>
        <w:rPr>
          <w:rFonts w:ascii="Century Gothic" w:eastAsia="Times New Roman" w:hAnsi="Century Gothic" w:cs="Arial"/>
          <w:lang w:val="es-ES" w:eastAsia="es-ES"/>
        </w:rPr>
      </w:pPr>
    </w:p>
    <w:p w14:paraId="494D0B62" w14:textId="77777777" w:rsidR="00B631FB" w:rsidRPr="00B631FB" w:rsidRDefault="00B631FB" w:rsidP="00B631FB">
      <w:pPr>
        <w:spacing w:line="360" w:lineRule="auto"/>
        <w:jc w:val="center"/>
        <w:rPr>
          <w:rFonts w:ascii="Century Gothic" w:eastAsia="Times New Roman" w:hAnsi="Century Gothic"/>
          <w:b/>
          <w:lang w:val="es-ES" w:eastAsia="es-ES"/>
        </w:rPr>
      </w:pPr>
      <w:r w:rsidRPr="00B631FB">
        <w:rPr>
          <w:rFonts w:ascii="Century Gothic" w:eastAsia="Times New Roman" w:hAnsi="Century Gothic"/>
          <w:b/>
          <w:lang w:val="es-ES" w:eastAsia="es-ES"/>
        </w:rPr>
        <w:t>R E S U E L V E:</w:t>
      </w:r>
    </w:p>
    <w:p w14:paraId="2BBA7855" w14:textId="77777777" w:rsidR="00B631FB" w:rsidRPr="00B631FB" w:rsidRDefault="00B631FB" w:rsidP="00B631FB">
      <w:pPr>
        <w:spacing w:line="360" w:lineRule="auto"/>
        <w:jc w:val="center"/>
        <w:rPr>
          <w:rFonts w:ascii="Century Gothic" w:eastAsia="Times New Roman" w:hAnsi="Century Gothic"/>
          <w:b/>
          <w:lang w:val="es-ES" w:eastAsia="es-ES"/>
        </w:rPr>
      </w:pPr>
    </w:p>
    <w:p w14:paraId="2BA72487" w14:textId="77777777" w:rsidR="0015679D" w:rsidRDefault="00B631FB" w:rsidP="00B631FB">
      <w:pPr>
        <w:overflowPunct w:val="0"/>
        <w:autoSpaceDE w:val="0"/>
        <w:autoSpaceDN w:val="0"/>
        <w:adjustRightInd w:val="0"/>
        <w:spacing w:line="360" w:lineRule="auto"/>
        <w:ind w:right="142"/>
        <w:jc w:val="both"/>
        <w:rPr>
          <w:rFonts w:ascii="Century Gothic" w:eastAsia="Times New Roman" w:hAnsi="Century Gothic" w:cs="Tahoma"/>
          <w:lang w:val="es-MX" w:eastAsia="es-ES"/>
        </w:rPr>
      </w:pPr>
      <w:r w:rsidRPr="00B631FB">
        <w:rPr>
          <w:rFonts w:ascii="Century Gothic" w:eastAsia="Times New Roman" w:hAnsi="Century Gothic"/>
          <w:b/>
          <w:lang w:val="es-ES" w:eastAsia="es-ES"/>
        </w:rPr>
        <w:t>PRIMERO:</w:t>
      </w:r>
      <w:r w:rsidRPr="00B631FB">
        <w:rPr>
          <w:rFonts w:ascii="Century Gothic" w:eastAsia="Times New Roman" w:hAnsi="Century Gothic"/>
          <w:lang w:val="es-ES" w:eastAsia="es-ES"/>
        </w:rPr>
        <w:t xml:space="preserve"> </w:t>
      </w:r>
      <w:r w:rsidRPr="00B631FB">
        <w:rPr>
          <w:rFonts w:ascii="Century Gothic" w:eastAsia="Times New Roman" w:hAnsi="Century Gothic"/>
          <w:b/>
          <w:lang w:val="es-ES" w:eastAsia="es-ES"/>
        </w:rPr>
        <w:t xml:space="preserve">REVÓCASE </w:t>
      </w:r>
      <w:r w:rsidRPr="00B631FB">
        <w:rPr>
          <w:rFonts w:ascii="Century Gothic" w:eastAsia="Times New Roman" w:hAnsi="Century Gothic" w:cs="Tahoma"/>
          <w:lang w:val="es-MX" w:eastAsia="es-ES"/>
        </w:rPr>
        <w:t xml:space="preserve">la decisión </w:t>
      </w:r>
      <w:r w:rsidR="007443D9">
        <w:rPr>
          <w:rFonts w:ascii="Century Gothic" w:eastAsia="Times New Roman" w:hAnsi="Century Gothic" w:cs="Tahoma"/>
          <w:lang w:val="es-MX" w:eastAsia="es-ES"/>
        </w:rPr>
        <w:t>proferida</w:t>
      </w:r>
      <w:r w:rsidRPr="00B631FB">
        <w:rPr>
          <w:rFonts w:ascii="Century Gothic" w:eastAsia="Times New Roman" w:hAnsi="Century Gothic" w:cs="Tahoma"/>
          <w:lang w:val="es-MX" w:eastAsia="es-ES"/>
        </w:rPr>
        <w:t xml:space="preserve"> </w:t>
      </w:r>
      <w:r w:rsidR="00D57E91" w:rsidRPr="00B631FB">
        <w:rPr>
          <w:rFonts w:ascii="Century Gothic" w:eastAsia="Times New Roman" w:hAnsi="Century Gothic" w:cs="Tahoma"/>
          <w:lang w:val="es-MX" w:eastAsia="es-ES"/>
        </w:rPr>
        <w:t>por el Tribuna</w:t>
      </w:r>
      <w:r w:rsidR="00D57E91">
        <w:rPr>
          <w:rFonts w:ascii="Century Gothic" w:eastAsia="Times New Roman" w:hAnsi="Century Gothic" w:cs="Tahoma"/>
          <w:lang w:val="es-MX" w:eastAsia="es-ES"/>
        </w:rPr>
        <w:t xml:space="preserve">l Administrativo de Boyacá </w:t>
      </w:r>
      <w:r w:rsidR="0015679D">
        <w:rPr>
          <w:rFonts w:ascii="Century Gothic" w:eastAsia="Times New Roman" w:hAnsi="Century Gothic" w:cs="Tahoma"/>
          <w:lang w:val="es-MX" w:eastAsia="es-ES"/>
        </w:rPr>
        <w:t>en a</w:t>
      </w:r>
      <w:r w:rsidR="00D57E91">
        <w:rPr>
          <w:rFonts w:ascii="Century Gothic" w:eastAsia="Times New Roman" w:hAnsi="Century Gothic" w:cs="Tahoma"/>
          <w:lang w:val="es-MX" w:eastAsia="es-ES"/>
        </w:rPr>
        <w:t xml:space="preserve">uto del 27 de febrero de 2015, </w:t>
      </w:r>
      <w:r w:rsidR="0015679D">
        <w:rPr>
          <w:rFonts w:ascii="Century Gothic" w:eastAsia="Times New Roman" w:hAnsi="Century Gothic" w:cs="Tahoma"/>
          <w:lang w:val="es-MX" w:eastAsia="es-ES"/>
        </w:rPr>
        <w:t>a través del cual se rechazó la demanda</w:t>
      </w:r>
      <w:r w:rsidR="0015679D" w:rsidRPr="00B631FB">
        <w:rPr>
          <w:rFonts w:ascii="Century Gothic" w:eastAsia="Times New Roman" w:hAnsi="Century Gothic" w:cs="Tahoma"/>
          <w:lang w:val="es-MX" w:eastAsia="es-ES"/>
        </w:rPr>
        <w:t>.</w:t>
      </w:r>
    </w:p>
    <w:p w14:paraId="46312C1B" w14:textId="77777777" w:rsidR="00B631FB" w:rsidRPr="00B631FB" w:rsidRDefault="0015679D" w:rsidP="00B631FB">
      <w:pPr>
        <w:overflowPunct w:val="0"/>
        <w:autoSpaceDE w:val="0"/>
        <w:autoSpaceDN w:val="0"/>
        <w:adjustRightInd w:val="0"/>
        <w:spacing w:line="360" w:lineRule="auto"/>
        <w:ind w:right="142"/>
        <w:jc w:val="both"/>
        <w:rPr>
          <w:rFonts w:ascii="Century Gothic" w:eastAsia="Times New Roman" w:hAnsi="Century Gothic"/>
          <w:lang w:val="es-ES" w:eastAsia="es-ES"/>
        </w:rPr>
      </w:pPr>
      <w:r w:rsidRPr="00B631FB">
        <w:rPr>
          <w:rFonts w:ascii="Century Gothic" w:eastAsia="Times New Roman" w:hAnsi="Century Gothic" w:cs="Tahoma"/>
          <w:lang w:val="es-MX" w:eastAsia="es-ES"/>
        </w:rPr>
        <w:t xml:space="preserve"> </w:t>
      </w:r>
      <w:r w:rsidR="00B631FB" w:rsidRPr="00B631FB">
        <w:rPr>
          <w:rFonts w:ascii="Century Gothic" w:eastAsia="Times New Roman" w:hAnsi="Century Gothic" w:cs="Tahoma"/>
          <w:lang w:val="es-MX" w:eastAsia="es-ES"/>
        </w:rPr>
        <w:br/>
      </w:r>
      <w:r w:rsidR="00B631FB" w:rsidRPr="00B631FB">
        <w:rPr>
          <w:rFonts w:ascii="Century Gothic" w:eastAsia="Times New Roman" w:hAnsi="Century Gothic"/>
          <w:b/>
          <w:lang w:val="es-ES" w:eastAsia="es-ES"/>
        </w:rPr>
        <w:t xml:space="preserve">SEGUNDO: </w:t>
      </w:r>
      <w:r w:rsidR="00B631FB" w:rsidRPr="00B631FB">
        <w:rPr>
          <w:rFonts w:ascii="Century Gothic" w:eastAsia="Times New Roman" w:hAnsi="Century Gothic"/>
          <w:lang w:val="es-ES" w:eastAsia="es-ES"/>
        </w:rPr>
        <w:t xml:space="preserve">En firme este proveído, por Secretaría de Sección </w:t>
      </w:r>
      <w:r w:rsidR="00B631FB" w:rsidRPr="00B631FB">
        <w:rPr>
          <w:rFonts w:ascii="Century Gothic" w:eastAsia="Times New Roman" w:hAnsi="Century Gothic"/>
          <w:b/>
          <w:lang w:val="es-ES" w:eastAsia="es-ES"/>
        </w:rPr>
        <w:t>ENVÍESE</w:t>
      </w:r>
      <w:r w:rsidR="00B631FB" w:rsidRPr="00B631FB">
        <w:rPr>
          <w:rFonts w:ascii="Century Gothic" w:eastAsia="Times New Roman" w:hAnsi="Century Gothic"/>
          <w:lang w:val="es-ES" w:eastAsia="es-ES"/>
        </w:rPr>
        <w:t xml:space="preserve"> el expediente al tribunal de origen, para lo de su cargo.</w:t>
      </w:r>
    </w:p>
    <w:p w14:paraId="6775D236" w14:textId="77777777" w:rsidR="00B631FB" w:rsidRPr="00B631FB" w:rsidRDefault="00B631FB" w:rsidP="00B631FB">
      <w:pPr>
        <w:jc w:val="both"/>
        <w:rPr>
          <w:rFonts w:ascii="Century Gothic" w:eastAsia="Times New Roman" w:hAnsi="Century Gothic"/>
          <w:lang w:val="es-ES" w:eastAsia="es-ES"/>
        </w:rPr>
      </w:pPr>
    </w:p>
    <w:p w14:paraId="2E0E499E" w14:textId="77777777" w:rsidR="00B631FB" w:rsidRPr="00B631FB" w:rsidRDefault="00B631FB" w:rsidP="00B631FB">
      <w:pPr>
        <w:jc w:val="both"/>
        <w:rPr>
          <w:rFonts w:ascii="Century Gothic" w:eastAsia="Times New Roman" w:hAnsi="Century Gothic"/>
          <w:lang w:val="es-ES" w:eastAsia="es-ES"/>
        </w:rPr>
      </w:pPr>
    </w:p>
    <w:p w14:paraId="752B10BB" w14:textId="77777777" w:rsidR="00B631FB" w:rsidRPr="00B631FB" w:rsidRDefault="00B631FB" w:rsidP="00B631FB">
      <w:pPr>
        <w:jc w:val="both"/>
        <w:rPr>
          <w:rFonts w:ascii="Century Gothic" w:eastAsia="Times New Roman" w:hAnsi="Century Gothic"/>
          <w:lang w:val="es-ES" w:eastAsia="es-ES"/>
        </w:rPr>
      </w:pPr>
    </w:p>
    <w:p w14:paraId="102DCA13" w14:textId="77777777" w:rsidR="00B631FB" w:rsidRDefault="00B631FB" w:rsidP="00B631FB">
      <w:pPr>
        <w:jc w:val="both"/>
        <w:rPr>
          <w:rFonts w:ascii="Century Gothic" w:eastAsia="Times New Roman" w:hAnsi="Century Gothic"/>
          <w:lang w:val="es-ES" w:eastAsia="es-ES"/>
        </w:rPr>
      </w:pPr>
    </w:p>
    <w:p w14:paraId="47AE035C" w14:textId="77777777" w:rsidR="00D57E91" w:rsidRPr="00B631FB" w:rsidRDefault="00D57E91" w:rsidP="00B631FB">
      <w:pPr>
        <w:jc w:val="both"/>
        <w:rPr>
          <w:rFonts w:ascii="Century Gothic" w:eastAsia="Times New Roman" w:hAnsi="Century Gothic"/>
          <w:lang w:val="es-ES" w:eastAsia="es-ES"/>
        </w:rPr>
      </w:pPr>
    </w:p>
    <w:p w14:paraId="79C3ACB2" w14:textId="77777777" w:rsidR="00B631FB" w:rsidRPr="00B631FB" w:rsidRDefault="00B631FB" w:rsidP="00B631FB">
      <w:pPr>
        <w:keepNext/>
        <w:spacing w:after="200"/>
        <w:jc w:val="center"/>
        <w:outlineLvl w:val="0"/>
        <w:rPr>
          <w:rFonts w:ascii="Century Gothic" w:eastAsia="Times New Roman" w:hAnsi="Century Gothic" w:cs="Arial"/>
          <w:b/>
          <w:bCs/>
          <w:lang w:eastAsia="es-ES"/>
        </w:rPr>
      </w:pPr>
      <w:r w:rsidRPr="00B631FB">
        <w:rPr>
          <w:rFonts w:ascii="Century Gothic" w:eastAsia="Times New Roman" w:hAnsi="Century Gothic" w:cs="Arial"/>
          <w:b/>
          <w:bCs/>
          <w:lang w:eastAsia="es-ES"/>
        </w:rPr>
        <w:t xml:space="preserve">      NOTIFÍQUESE Y CÚMPLASE</w:t>
      </w:r>
    </w:p>
    <w:p w14:paraId="62C5256B" w14:textId="77777777" w:rsidR="00B631FB" w:rsidRPr="00B631FB" w:rsidRDefault="00B631FB" w:rsidP="00B631FB">
      <w:pPr>
        <w:jc w:val="both"/>
        <w:rPr>
          <w:rFonts w:ascii="Century Gothic" w:eastAsia="Times New Roman" w:hAnsi="Century Gothic"/>
          <w:b/>
          <w:lang w:eastAsia="es-ES"/>
        </w:rPr>
      </w:pPr>
    </w:p>
    <w:p w14:paraId="40396458" w14:textId="77777777" w:rsidR="00B631FB" w:rsidRPr="00B631FB" w:rsidRDefault="00B631FB" w:rsidP="00B631FB">
      <w:pPr>
        <w:jc w:val="both"/>
        <w:rPr>
          <w:rFonts w:ascii="Century Gothic" w:eastAsia="Times New Roman" w:hAnsi="Century Gothic"/>
          <w:b/>
          <w:lang w:eastAsia="es-ES"/>
        </w:rPr>
      </w:pPr>
    </w:p>
    <w:p w14:paraId="74CB6213" w14:textId="77777777" w:rsidR="00B631FB" w:rsidRDefault="00B631FB" w:rsidP="00B631FB">
      <w:pPr>
        <w:jc w:val="both"/>
        <w:rPr>
          <w:rFonts w:ascii="Century Gothic" w:eastAsia="Times New Roman" w:hAnsi="Century Gothic"/>
          <w:b/>
          <w:lang w:eastAsia="es-ES"/>
        </w:rPr>
      </w:pPr>
    </w:p>
    <w:p w14:paraId="397E7880" w14:textId="77777777" w:rsidR="00D57E91" w:rsidRPr="00B631FB" w:rsidRDefault="00D57E91" w:rsidP="00B631FB">
      <w:pPr>
        <w:jc w:val="both"/>
        <w:rPr>
          <w:rFonts w:ascii="Century Gothic" w:eastAsia="Times New Roman" w:hAnsi="Century Gothic"/>
          <w:b/>
          <w:lang w:eastAsia="es-ES"/>
        </w:rPr>
      </w:pPr>
    </w:p>
    <w:p w14:paraId="43E19B3E" w14:textId="77777777" w:rsidR="00B631FB" w:rsidRPr="00B631FB" w:rsidRDefault="00B631FB" w:rsidP="00B631FB">
      <w:pPr>
        <w:spacing w:line="360" w:lineRule="auto"/>
        <w:ind w:right="-91"/>
        <w:jc w:val="both"/>
        <w:rPr>
          <w:rFonts w:ascii="Century Gothic" w:eastAsia="Times New Roman" w:hAnsi="Century Gothic"/>
          <w:b/>
          <w:lang w:eastAsia="es-ES"/>
        </w:rPr>
      </w:pPr>
      <w:r w:rsidRPr="00B631FB">
        <w:rPr>
          <w:rFonts w:ascii="Century Gothic" w:eastAsia="Times New Roman" w:hAnsi="Century Gothic"/>
          <w:b/>
          <w:lang w:eastAsia="es-ES"/>
        </w:rPr>
        <w:t xml:space="preserve"> </w:t>
      </w:r>
      <w:r w:rsidRPr="00B631FB">
        <w:rPr>
          <w:rFonts w:ascii="Century Gothic" w:eastAsia="Times New Roman" w:hAnsi="Century Gothic"/>
          <w:b/>
          <w:lang w:eastAsia="es-ES"/>
        </w:rPr>
        <w:tab/>
        <w:t xml:space="preserve"> </w:t>
      </w:r>
    </w:p>
    <w:p w14:paraId="410D8412" w14:textId="77777777" w:rsidR="00AC0E63" w:rsidRDefault="00B631FB" w:rsidP="007443D9">
      <w:pPr>
        <w:spacing w:line="360" w:lineRule="auto"/>
        <w:ind w:left="1416" w:right="-91" w:firstLine="708"/>
        <w:jc w:val="both"/>
      </w:pPr>
      <w:r w:rsidRPr="00B631FB">
        <w:rPr>
          <w:rFonts w:ascii="Century Gothic" w:eastAsia="Times New Roman" w:hAnsi="Century Gothic"/>
          <w:b/>
          <w:lang w:eastAsia="es-ES"/>
        </w:rPr>
        <w:t xml:space="preserve">       CARLOS ALBERTO ZAMBRANO BARRERA</w:t>
      </w:r>
    </w:p>
    <w:p w14:paraId="3E908B9E" w14:textId="77777777" w:rsidR="007443D9" w:rsidRDefault="007443D9" w:rsidP="007443D9">
      <w:pPr>
        <w:spacing w:line="360" w:lineRule="auto"/>
        <w:ind w:left="1416" w:right="-91" w:firstLine="708"/>
        <w:jc w:val="both"/>
      </w:pPr>
    </w:p>
    <w:p w14:paraId="4A490783" w14:textId="77777777" w:rsidR="007443D9" w:rsidRDefault="007443D9" w:rsidP="007443D9">
      <w:pPr>
        <w:spacing w:line="360" w:lineRule="auto"/>
        <w:ind w:right="-91"/>
        <w:jc w:val="both"/>
        <w:rPr>
          <w:rFonts w:ascii="Century Gothic" w:hAnsi="Century Gothic"/>
          <w:sz w:val="16"/>
          <w:szCs w:val="16"/>
        </w:rPr>
      </w:pPr>
    </w:p>
    <w:p w14:paraId="6EB201A2" w14:textId="77777777" w:rsidR="007443D9" w:rsidRDefault="007443D9" w:rsidP="007443D9">
      <w:pPr>
        <w:spacing w:line="360" w:lineRule="auto"/>
        <w:ind w:right="-91"/>
        <w:jc w:val="both"/>
        <w:rPr>
          <w:rFonts w:ascii="Century Gothic" w:hAnsi="Century Gothic"/>
          <w:sz w:val="16"/>
          <w:szCs w:val="16"/>
        </w:rPr>
      </w:pPr>
    </w:p>
    <w:p w14:paraId="3DF583E9" w14:textId="77777777" w:rsidR="007443D9" w:rsidRPr="007443D9" w:rsidRDefault="007443D9" w:rsidP="007443D9">
      <w:pPr>
        <w:spacing w:line="360" w:lineRule="auto"/>
        <w:ind w:right="-91"/>
        <w:jc w:val="both"/>
        <w:rPr>
          <w:rFonts w:ascii="Century Gothic" w:hAnsi="Century Gothic"/>
          <w:sz w:val="16"/>
          <w:szCs w:val="16"/>
        </w:rPr>
      </w:pPr>
      <w:r w:rsidRPr="007443D9">
        <w:rPr>
          <w:rFonts w:ascii="Century Gothic" w:hAnsi="Century Gothic"/>
          <w:sz w:val="16"/>
          <w:szCs w:val="16"/>
        </w:rPr>
        <w:t>C.2+4/(SV)</w:t>
      </w:r>
    </w:p>
    <w:sectPr w:rsidR="007443D9" w:rsidRPr="007443D9" w:rsidSect="00205A72">
      <w:headerReference w:type="default" r:id="rId11"/>
      <w:pgSz w:w="12242" w:h="18722" w:code="14"/>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869A5" w14:textId="77777777" w:rsidR="005D080C" w:rsidRDefault="005D080C" w:rsidP="00B631FB">
      <w:r>
        <w:separator/>
      </w:r>
    </w:p>
  </w:endnote>
  <w:endnote w:type="continuationSeparator" w:id="0">
    <w:p w14:paraId="3CD173A9" w14:textId="77777777" w:rsidR="005D080C" w:rsidRDefault="005D080C" w:rsidP="00B63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51C50" w14:textId="77777777" w:rsidR="005D080C" w:rsidRDefault="005D080C" w:rsidP="00B631FB">
      <w:r>
        <w:separator/>
      </w:r>
    </w:p>
  </w:footnote>
  <w:footnote w:type="continuationSeparator" w:id="0">
    <w:p w14:paraId="53620259" w14:textId="77777777" w:rsidR="005D080C" w:rsidRDefault="005D080C" w:rsidP="00B631FB">
      <w:r>
        <w:continuationSeparator/>
      </w:r>
    </w:p>
  </w:footnote>
  <w:footnote w:id="1">
    <w:p w14:paraId="6D8E0DB4" w14:textId="77777777" w:rsidR="000A58B6" w:rsidRPr="009C4E4A" w:rsidRDefault="000A58B6" w:rsidP="009C4E4A">
      <w:pPr>
        <w:pStyle w:val="Textonotapie"/>
        <w:spacing w:after="0"/>
        <w:jc w:val="both"/>
        <w:rPr>
          <w:rFonts w:ascii="Century Gothic" w:hAnsi="Century Gothic"/>
          <w:sz w:val="16"/>
          <w:szCs w:val="16"/>
        </w:rPr>
      </w:pPr>
      <w:r w:rsidRPr="009C4E4A">
        <w:rPr>
          <w:rStyle w:val="Refdenotaalpie"/>
          <w:rFonts w:ascii="Century Gothic" w:hAnsi="Century Gothic"/>
          <w:sz w:val="16"/>
          <w:szCs w:val="16"/>
        </w:rPr>
        <w:footnoteRef/>
      </w:r>
      <w:r w:rsidRPr="009C4E4A">
        <w:rPr>
          <w:rFonts w:ascii="Century Gothic" w:hAnsi="Century Gothic"/>
          <w:sz w:val="16"/>
          <w:szCs w:val="16"/>
        </w:rPr>
        <w:t xml:space="preserve"> </w:t>
      </w:r>
      <w:r w:rsidR="00CE2D5D" w:rsidRPr="009C4E4A">
        <w:rPr>
          <w:rFonts w:ascii="Century Gothic" w:hAnsi="Century Gothic"/>
          <w:sz w:val="16"/>
          <w:szCs w:val="16"/>
        </w:rPr>
        <w:t xml:space="preserve">Acto administrativo a través del cual el municipio manifestó que no tenía obligaciones dinerarias pendientes con la ahora demandante, toda vez que la relación contractual que las unía fue liquidada de manera bilateral y a satisfacción de las partes. </w:t>
      </w:r>
    </w:p>
  </w:footnote>
  <w:footnote w:id="2">
    <w:p w14:paraId="7DB09897" w14:textId="77777777" w:rsidR="004E7342" w:rsidRPr="009C4E4A" w:rsidRDefault="004E7342" w:rsidP="000D4B9F">
      <w:pPr>
        <w:pStyle w:val="Textonotapie"/>
        <w:spacing w:after="0"/>
        <w:jc w:val="both"/>
        <w:rPr>
          <w:rFonts w:ascii="Century Gothic" w:hAnsi="Century Gothic"/>
          <w:sz w:val="16"/>
          <w:szCs w:val="16"/>
        </w:rPr>
      </w:pPr>
      <w:r w:rsidRPr="009C4E4A">
        <w:rPr>
          <w:rStyle w:val="Refdenotaalpie"/>
          <w:rFonts w:ascii="Century Gothic" w:hAnsi="Century Gothic"/>
          <w:sz w:val="16"/>
          <w:szCs w:val="16"/>
        </w:rPr>
        <w:footnoteRef/>
      </w:r>
      <w:r w:rsidRPr="009C4E4A">
        <w:rPr>
          <w:rFonts w:ascii="Century Gothic" w:hAnsi="Century Gothic"/>
          <w:sz w:val="16"/>
          <w:szCs w:val="16"/>
        </w:rPr>
        <w:t xml:space="preserve"> </w:t>
      </w:r>
      <w:r w:rsidR="009C4E4A">
        <w:rPr>
          <w:rFonts w:ascii="Century Gothic" w:hAnsi="Century Gothic"/>
          <w:sz w:val="16"/>
          <w:szCs w:val="16"/>
        </w:rPr>
        <w:t>Contrato por medio del cual la ahora demandante de obligó a revisar, liquidar, cobrar, acompañar, sustanciar y llevar hasta su fin los expedientes que contienen las correspondientes denuncias del impuesto de Industria y Comercio, avisos y tablero</w:t>
      </w:r>
      <w:r w:rsidR="000D4B9F">
        <w:rPr>
          <w:rFonts w:ascii="Century Gothic" w:hAnsi="Century Gothic"/>
          <w:sz w:val="16"/>
          <w:szCs w:val="16"/>
        </w:rPr>
        <w:t>s, presentadas por los contribuyentes obligados a declarar en el municipio de Tuta.</w:t>
      </w:r>
    </w:p>
  </w:footnote>
  <w:footnote w:id="3">
    <w:p w14:paraId="7ADACFC3" w14:textId="77777777" w:rsidR="00FD058F" w:rsidRPr="002C448A" w:rsidRDefault="00FD058F" w:rsidP="002C448A">
      <w:pPr>
        <w:pStyle w:val="Textonotapie"/>
        <w:spacing w:after="0"/>
        <w:rPr>
          <w:rFonts w:ascii="Century Gothic" w:hAnsi="Century Gothic"/>
          <w:sz w:val="16"/>
          <w:szCs w:val="16"/>
        </w:rPr>
      </w:pPr>
      <w:r w:rsidRPr="002C448A">
        <w:rPr>
          <w:rStyle w:val="Refdenotaalpie"/>
          <w:rFonts w:ascii="Century Gothic" w:hAnsi="Century Gothic"/>
          <w:sz w:val="16"/>
          <w:szCs w:val="16"/>
        </w:rPr>
        <w:footnoteRef/>
      </w:r>
      <w:r w:rsidRPr="002C448A">
        <w:rPr>
          <w:rFonts w:ascii="Century Gothic" w:hAnsi="Century Gothic"/>
          <w:sz w:val="16"/>
          <w:szCs w:val="16"/>
        </w:rPr>
        <w:t xml:space="preserve"> Consejo de Estado, sentencia del 26 de febrero de 2015, expediente 2007-00006-00 (33.635).</w:t>
      </w:r>
    </w:p>
  </w:footnote>
  <w:footnote w:id="4">
    <w:p w14:paraId="3761763C" w14:textId="77777777" w:rsidR="002C448A" w:rsidRPr="0051618A" w:rsidRDefault="002C448A" w:rsidP="009B6CFA">
      <w:pPr>
        <w:pStyle w:val="Textonotapie"/>
        <w:spacing w:after="0"/>
        <w:jc w:val="both"/>
        <w:rPr>
          <w:rFonts w:ascii="Century Gothic" w:hAnsi="Century Gothic"/>
          <w:sz w:val="16"/>
          <w:szCs w:val="16"/>
        </w:rPr>
      </w:pPr>
      <w:r w:rsidRPr="002C448A">
        <w:rPr>
          <w:rStyle w:val="Refdenotaalpie"/>
          <w:rFonts w:ascii="Century Gothic" w:hAnsi="Century Gothic"/>
          <w:sz w:val="16"/>
          <w:szCs w:val="16"/>
        </w:rPr>
        <w:footnoteRef/>
      </w:r>
      <w:r>
        <w:t xml:space="preserve"> </w:t>
      </w:r>
      <w:r w:rsidR="00E51941">
        <w:t>“</w:t>
      </w:r>
      <w:r w:rsidRPr="009B6CFA">
        <w:rPr>
          <w:rFonts w:ascii="Century Gothic" w:hAnsi="Century Gothic"/>
          <w:sz w:val="16"/>
          <w:szCs w:val="16"/>
        </w:rPr>
        <w:t>Artículo 77. De la normatividad aplicable en las actuaciones administrativas. En cuanto sean compatibles con la</w:t>
      </w:r>
      <w:r>
        <w:t xml:space="preserve"> </w:t>
      </w:r>
      <w:r w:rsidR="009B6CFA" w:rsidRPr="0051618A">
        <w:rPr>
          <w:rFonts w:ascii="Century Gothic" w:hAnsi="Century Gothic"/>
          <w:sz w:val="16"/>
          <w:szCs w:val="16"/>
        </w:rPr>
        <w:t>finalidad y los principios de esta ley, las normas que rigen los procedimientos y actuaciones en el función administrativa, serán aplicables en las actuaciones contractuales. A falta de éstas, regirán las disposiciones del Código de Procedimiento Civil.</w:t>
      </w:r>
    </w:p>
    <w:p w14:paraId="3101A228" w14:textId="77777777" w:rsidR="009B6CFA" w:rsidRPr="0051618A" w:rsidRDefault="00E51941" w:rsidP="009B6CFA">
      <w:pPr>
        <w:pStyle w:val="Textonotapie"/>
        <w:spacing w:after="0"/>
        <w:jc w:val="both"/>
        <w:rPr>
          <w:rFonts w:ascii="Century Gothic" w:hAnsi="Century Gothic"/>
          <w:sz w:val="16"/>
          <w:szCs w:val="16"/>
        </w:rPr>
      </w:pPr>
      <w:r>
        <w:rPr>
          <w:rFonts w:ascii="Century Gothic" w:hAnsi="Century Gothic"/>
          <w:sz w:val="16"/>
          <w:szCs w:val="16"/>
        </w:rPr>
        <w:t>“</w:t>
      </w:r>
      <w:r w:rsidR="009B6CFA" w:rsidRPr="0051618A">
        <w:rPr>
          <w:rFonts w:ascii="Century Gothic" w:hAnsi="Century Gothic"/>
          <w:sz w:val="16"/>
          <w:szCs w:val="16"/>
        </w:rPr>
        <w:t xml:space="preserve">Los actos administrativos que se produzcan con motivo u ocasión de la actividad contractual sólo serán susceptibles de </w:t>
      </w:r>
      <w:r w:rsidR="0051618A" w:rsidRPr="0051618A">
        <w:rPr>
          <w:rFonts w:ascii="Century Gothic" w:hAnsi="Century Gothic"/>
          <w:sz w:val="16"/>
          <w:szCs w:val="16"/>
        </w:rPr>
        <w:t>recurso de reposición y del ejercicio de la acción contractual, de acuerdo con las reglas del Código Contencioso Administrativo.</w:t>
      </w:r>
    </w:p>
    <w:p w14:paraId="26B6A183" w14:textId="77777777" w:rsidR="0051618A" w:rsidRDefault="00E51941" w:rsidP="009B6CFA">
      <w:pPr>
        <w:pStyle w:val="Textonotapie"/>
        <w:spacing w:after="0"/>
        <w:jc w:val="both"/>
        <w:rPr>
          <w:rFonts w:ascii="Century Gothic" w:hAnsi="Century Gothic"/>
          <w:sz w:val="16"/>
          <w:szCs w:val="16"/>
        </w:rPr>
      </w:pPr>
      <w:r>
        <w:rPr>
          <w:rFonts w:ascii="Century Gothic" w:hAnsi="Century Gothic"/>
          <w:sz w:val="16"/>
          <w:szCs w:val="16"/>
        </w:rPr>
        <w:t>“</w:t>
      </w:r>
      <w:r w:rsidR="0051618A" w:rsidRPr="0051618A">
        <w:rPr>
          <w:rFonts w:ascii="Century Gothic" w:hAnsi="Century Gothic"/>
          <w:sz w:val="16"/>
          <w:szCs w:val="16"/>
        </w:rPr>
        <w:t>Parágrafo 1. El Acto de adjudicación no tendrá recursos por vía gubernativa. Este podrá impugnarse mediante el ejercicio de la acción de nulidad y restablecimiento del derecho, según las reglas del Código Contencioso Administrativo.</w:t>
      </w:r>
    </w:p>
    <w:p w14:paraId="475EF548" w14:textId="77777777" w:rsidR="0051618A" w:rsidRPr="0051618A" w:rsidRDefault="00E51941" w:rsidP="009B6CFA">
      <w:pPr>
        <w:pStyle w:val="Textonotapie"/>
        <w:spacing w:after="0"/>
        <w:jc w:val="both"/>
        <w:rPr>
          <w:rFonts w:ascii="Century Gothic" w:hAnsi="Century Gothic"/>
          <w:sz w:val="16"/>
          <w:szCs w:val="16"/>
        </w:rPr>
      </w:pPr>
      <w:r>
        <w:rPr>
          <w:rFonts w:ascii="Century Gothic" w:hAnsi="Century Gothic"/>
          <w:sz w:val="16"/>
          <w:szCs w:val="16"/>
        </w:rPr>
        <w:t>“</w:t>
      </w:r>
      <w:r w:rsidR="0051618A">
        <w:rPr>
          <w:rFonts w:ascii="Century Gothic" w:hAnsi="Century Gothic"/>
          <w:sz w:val="16"/>
          <w:szCs w:val="16"/>
        </w:rPr>
        <w:t>Parágrafo 2. Para el ejercicio de las acciones contra los actos administrativos de la actividad contractual no es necesario demandar el acto que los origina</w:t>
      </w:r>
      <w:r>
        <w:rPr>
          <w:rFonts w:ascii="Century Gothic" w:hAnsi="Century Gothic"/>
          <w:sz w:val="16"/>
          <w:szCs w:val="16"/>
        </w:rPr>
        <w:t>”</w:t>
      </w:r>
      <w:r w:rsidR="0051618A">
        <w:rPr>
          <w:rFonts w:ascii="Century Gothic" w:hAnsi="Century Gothic"/>
          <w:sz w:val="16"/>
          <w:szCs w:val="16"/>
        </w:rPr>
        <w:t>.</w:t>
      </w:r>
    </w:p>
  </w:footnote>
  <w:footnote w:id="5">
    <w:p w14:paraId="20F4AB11" w14:textId="77777777" w:rsidR="00B631FB" w:rsidRDefault="00B631FB" w:rsidP="00B631FB">
      <w:pPr>
        <w:pStyle w:val="Textonotapie"/>
        <w:jc w:val="both"/>
      </w:pPr>
      <w:r>
        <w:rPr>
          <w:rStyle w:val="Refdenotaalpie"/>
        </w:rPr>
        <w:footnoteRef/>
      </w:r>
      <w:r>
        <w:t xml:space="preserve"> </w:t>
      </w:r>
      <w:r w:rsidRPr="008122D3">
        <w:rPr>
          <w:rFonts w:ascii="Century Gothic" w:hAnsi="Century Gothic"/>
          <w:sz w:val="16"/>
        </w:rPr>
        <w:t>La Ley 1563 de 2012 empezó a regir el 12 de octubre de ese mismo año, de conformidad con lo expuesto en el artículo 119 de esa misma norma.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5F18C" w14:textId="77777777" w:rsidR="00AC0E63" w:rsidRDefault="00AC0E63" w:rsidP="00AC0E63">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163E5"/>
    <w:multiLevelType w:val="hybridMultilevel"/>
    <w:tmpl w:val="C7102DD6"/>
    <w:lvl w:ilvl="0" w:tplc="5B50704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1FB"/>
    <w:rsid w:val="00055950"/>
    <w:rsid w:val="000A58B6"/>
    <w:rsid w:val="000D4B9F"/>
    <w:rsid w:val="0010268F"/>
    <w:rsid w:val="00124D70"/>
    <w:rsid w:val="00153F87"/>
    <w:rsid w:val="0015679D"/>
    <w:rsid w:val="00195ECD"/>
    <w:rsid w:val="00205A72"/>
    <w:rsid w:val="002161ED"/>
    <w:rsid w:val="0023329E"/>
    <w:rsid w:val="002C448A"/>
    <w:rsid w:val="003F23B8"/>
    <w:rsid w:val="003F31EC"/>
    <w:rsid w:val="00463724"/>
    <w:rsid w:val="004E7342"/>
    <w:rsid w:val="004F3A42"/>
    <w:rsid w:val="004F7B06"/>
    <w:rsid w:val="00505E82"/>
    <w:rsid w:val="0051618A"/>
    <w:rsid w:val="005D080C"/>
    <w:rsid w:val="005E114C"/>
    <w:rsid w:val="006A1170"/>
    <w:rsid w:val="007443D9"/>
    <w:rsid w:val="00767AAE"/>
    <w:rsid w:val="00820727"/>
    <w:rsid w:val="00827ED8"/>
    <w:rsid w:val="008640FA"/>
    <w:rsid w:val="008A521C"/>
    <w:rsid w:val="00902B0E"/>
    <w:rsid w:val="00957EC5"/>
    <w:rsid w:val="00982527"/>
    <w:rsid w:val="009B6CFA"/>
    <w:rsid w:val="009C4E4A"/>
    <w:rsid w:val="009D3CA5"/>
    <w:rsid w:val="00A17FC8"/>
    <w:rsid w:val="00AC0E63"/>
    <w:rsid w:val="00B15CBE"/>
    <w:rsid w:val="00B631FB"/>
    <w:rsid w:val="00B871B7"/>
    <w:rsid w:val="00C92895"/>
    <w:rsid w:val="00CA00AC"/>
    <w:rsid w:val="00CB4AAB"/>
    <w:rsid w:val="00CE2D5D"/>
    <w:rsid w:val="00D57E91"/>
    <w:rsid w:val="00D708E8"/>
    <w:rsid w:val="00E27A42"/>
    <w:rsid w:val="00E51941"/>
    <w:rsid w:val="00F234C4"/>
    <w:rsid w:val="00F440BF"/>
    <w:rsid w:val="00F932F2"/>
    <w:rsid w:val="00FD0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0D02"/>
  <w15:chartTrackingRefBased/>
  <w15:docId w15:val="{E79CDB2B-0DC2-4770-B327-ADE2AD021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B631FB"/>
    <w:pPr>
      <w:spacing w:after="160" w:line="259" w:lineRule="auto"/>
    </w:pPr>
    <w:rPr>
      <w:sz w:val="20"/>
      <w:szCs w:val="20"/>
    </w:rPr>
  </w:style>
  <w:style w:type="character" w:customStyle="1" w:styleId="TextonotapieCar">
    <w:name w:val="Texto nota pie Car"/>
    <w:link w:val="Textonotapie"/>
    <w:uiPriority w:val="99"/>
    <w:rsid w:val="00B631FB"/>
    <w:rPr>
      <w:lang w:eastAsia="en-U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semiHidden/>
    <w:unhideWhenUsed/>
    <w:rsid w:val="00B631FB"/>
    <w:rPr>
      <w:rFonts w:ascii="Times New Roman" w:hAnsi="Times New Roman" w:cs="Times New Roman" w:hint="default"/>
      <w:vertAlign w:val="superscript"/>
    </w:rPr>
  </w:style>
  <w:style w:type="paragraph" w:styleId="Encabezado">
    <w:name w:val="header"/>
    <w:basedOn w:val="Normal"/>
    <w:link w:val="EncabezadoCar"/>
    <w:uiPriority w:val="99"/>
    <w:unhideWhenUsed/>
    <w:rsid w:val="00B631FB"/>
    <w:pPr>
      <w:tabs>
        <w:tab w:val="center" w:pos="4419"/>
        <w:tab w:val="right" w:pos="8838"/>
      </w:tabs>
      <w:spacing w:after="160" w:line="259" w:lineRule="auto"/>
    </w:pPr>
  </w:style>
  <w:style w:type="character" w:customStyle="1" w:styleId="EncabezadoCar">
    <w:name w:val="Encabezado Car"/>
    <w:link w:val="Encabezado"/>
    <w:uiPriority w:val="99"/>
    <w:rsid w:val="00B631FB"/>
    <w:rPr>
      <w:sz w:val="22"/>
      <w:szCs w:val="22"/>
      <w:lang w:eastAsia="en-US"/>
    </w:rPr>
  </w:style>
  <w:style w:type="paragraph" w:styleId="Sinespaciado">
    <w:name w:val="No Spacing"/>
    <w:uiPriority w:val="1"/>
    <w:qFormat/>
    <w:rsid w:val="00B15CBE"/>
    <w:rPr>
      <w:sz w:val="22"/>
      <w:szCs w:val="22"/>
      <w:lang w:val="es-CO"/>
    </w:rPr>
  </w:style>
  <w:style w:type="paragraph" w:styleId="Piedepgina">
    <w:name w:val="footer"/>
    <w:basedOn w:val="Normal"/>
    <w:link w:val="PiedepginaCar"/>
    <w:uiPriority w:val="99"/>
    <w:unhideWhenUsed/>
    <w:rsid w:val="000D4B9F"/>
    <w:pPr>
      <w:tabs>
        <w:tab w:val="center" w:pos="4419"/>
        <w:tab w:val="right" w:pos="8838"/>
      </w:tabs>
    </w:pPr>
  </w:style>
  <w:style w:type="character" w:customStyle="1" w:styleId="PiedepginaCar">
    <w:name w:val="Pie de página Car"/>
    <w:link w:val="Piedepgina"/>
    <w:uiPriority w:val="99"/>
    <w:rsid w:val="000D4B9F"/>
    <w:rPr>
      <w:sz w:val="22"/>
      <w:szCs w:val="22"/>
      <w:lang w:eastAsia="en-US"/>
    </w:rPr>
  </w:style>
  <w:style w:type="paragraph" w:styleId="NormalWeb">
    <w:name w:val="Normal (Web)"/>
    <w:basedOn w:val="Normal"/>
    <w:uiPriority w:val="99"/>
    <w:semiHidden/>
    <w:unhideWhenUsed/>
    <w:rsid w:val="00FD058F"/>
    <w:pPr>
      <w:spacing w:before="100" w:beforeAutospacing="1" w:after="100" w:afterAutospacing="1"/>
    </w:pPr>
    <w:rPr>
      <w:rFonts w:ascii="Times New Roman" w:eastAsia="Times New Roman" w:hAnsi="Times New Roman"/>
      <w:sz w:val="24"/>
      <w:szCs w:val="24"/>
      <w:lang w:eastAsia="es-CO"/>
    </w:rPr>
  </w:style>
  <w:style w:type="character" w:customStyle="1" w:styleId="apple-converted-space">
    <w:name w:val="apple-converted-space"/>
    <w:rsid w:val="00FD058F"/>
  </w:style>
  <w:style w:type="paragraph" w:styleId="Textodeglobo">
    <w:name w:val="Balloon Text"/>
    <w:basedOn w:val="Normal"/>
    <w:link w:val="TextodegloboCar"/>
    <w:uiPriority w:val="99"/>
    <w:semiHidden/>
    <w:unhideWhenUsed/>
    <w:rsid w:val="007443D9"/>
    <w:rPr>
      <w:rFonts w:ascii="Segoe UI" w:hAnsi="Segoe UI" w:cs="Segoe UI"/>
      <w:sz w:val="18"/>
      <w:szCs w:val="18"/>
    </w:rPr>
  </w:style>
  <w:style w:type="character" w:customStyle="1" w:styleId="TextodegloboCar">
    <w:name w:val="Texto de globo Car"/>
    <w:link w:val="Textodeglobo"/>
    <w:uiPriority w:val="99"/>
    <w:semiHidden/>
    <w:rsid w:val="007443D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813907">
      <w:bodyDiv w:val="1"/>
      <w:marLeft w:val="0"/>
      <w:marRight w:val="0"/>
      <w:marTop w:val="0"/>
      <w:marBottom w:val="0"/>
      <w:divBdr>
        <w:top w:val="none" w:sz="0" w:space="0" w:color="auto"/>
        <w:left w:val="none" w:sz="0" w:space="0" w:color="auto"/>
        <w:bottom w:val="none" w:sz="0" w:space="0" w:color="auto"/>
        <w:right w:val="none" w:sz="0" w:space="0" w:color="auto"/>
      </w:divBdr>
    </w:div>
    <w:div w:id="80940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FBEA2C-ABB4-C446-AF1C-4615B7855572}">
  <ds:schemaRefs>
    <ds:schemaRef ds:uri="http://schemas.openxmlformats.org/officeDocument/2006/bibliography"/>
  </ds:schemaRefs>
</ds:datastoreItem>
</file>

<file path=customXml/itemProps2.xml><?xml version="1.0" encoding="utf-8"?>
<ds:datastoreItem xmlns:ds="http://schemas.openxmlformats.org/officeDocument/2006/customXml" ds:itemID="{620B9348-400E-4BE5-9301-932A38146531}">
  <ds:schemaRefs>
    <ds:schemaRef ds:uri="http://schemas.microsoft.com/sharepoint/v3/contenttype/forms"/>
  </ds:schemaRefs>
</ds:datastoreItem>
</file>

<file path=customXml/itemProps3.xml><?xml version="1.0" encoding="utf-8"?>
<ds:datastoreItem xmlns:ds="http://schemas.openxmlformats.org/officeDocument/2006/customXml" ds:itemID="{01E90EE7-9DA4-4492-9547-404AACFF5E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1CC7CB-52CD-4C4B-8A08-BBF244FBD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1425</Words>
  <Characters>7842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EDUARDO VARGAS LAMPREA</dc:creator>
  <cp:keywords/>
  <cp:lastModifiedBy>Carlos Mario Castrillón Endo</cp:lastModifiedBy>
  <cp:revision>2</cp:revision>
  <cp:lastPrinted>2017-04-20T17:59:00Z</cp:lastPrinted>
  <dcterms:created xsi:type="dcterms:W3CDTF">2020-07-01T20:24:00Z</dcterms:created>
  <dcterms:modified xsi:type="dcterms:W3CDTF">2020-07-01T20:24:00Z</dcterms:modified>
</cp:coreProperties>
</file>