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13728" w14:textId="77777777" w:rsidR="00140130" w:rsidRPr="000F3197" w:rsidRDefault="005E20D1" w:rsidP="004306AA">
      <w:pPr>
        <w:rPr>
          <w:rFonts w:ascii="Arial" w:hAnsi="Arial" w:cs="Arial"/>
          <w:sz w:val="22"/>
          <w:szCs w:val="22"/>
          <w:lang w:val="es-CO"/>
        </w:rPr>
      </w:pPr>
      <w:r>
        <w:rPr>
          <w:rFonts w:ascii="Arial" w:hAnsi="Arial" w:cs="Arial"/>
          <w:b/>
          <w:sz w:val="22"/>
          <w:szCs w:val="22"/>
        </w:rPr>
        <w:t>CONT</w:t>
      </w:r>
      <w:r w:rsidR="000F3197" w:rsidRPr="000F3197">
        <w:rPr>
          <w:rFonts w:ascii="Arial" w:hAnsi="Arial" w:cs="Arial"/>
          <w:b/>
          <w:sz w:val="22"/>
          <w:szCs w:val="22"/>
        </w:rPr>
        <w:t>R</w:t>
      </w:r>
      <w:r>
        <w:rPr>
          <w:rFonts w:ascii="Arial" w:hAnsi="Arial" w:cs="Arial"/>
          <w:b/>
          <w:sz w:val="22"/>
          <w:szCs w:val="22"/>
        </w:rPr>
        <w:t>O</w:t>
      </w:r>
      <w:r w:rsidR="000F3197" w:rsidRPr="000F3197">
        <w:rPr>
          <w:rFonts w:ascii="Arial" w:hAnsi="Arial" w:cs="Arial"/>
          <w:b/>
          <w:sz w:val="22"/>
          <w:szCs w:val="22"/>
        </w:rPr>
        <w:t>VERSIAS CONTRACTUALES</w:t>
      </w:r>
      <w:r w:rsidR="004306AA" w:rsidRPr="000F3197">
        <w:rPr>
          <w:rFonts w:ascii="Arial" w:hAnsi="Arial" w:cs="Arial"/>
          <w:b/>
          <w:sz w:val="22"/>
          <w:szCs w:val="22"/>
          <w:lang w:val="es-CO"/>
        </w:rPr>
        <w:t xml:space="preserve"> - </w:t>
      </w:r>
      <w:r w:rsidR="00D52124" w:rsidRPr="000F3197">
        <w:rPr>
          <w:rFonts w:ascii="Arial" w:hAnsi="Arial" w:cs="Arial"/>
          <w:b/>
          <w:sz w:val="22"/>
          <w:szCs w:val="22"/>
          <w:lang w:val="es-CO"/>
        </w:rPr>
        <w:t>Definición</w:t>
      </w:r>
    </w:p>
    <w:p w14:paraId="007DBA0C" w14:textId="77777777" w:rsidR="004306AA" w:rsidRPr="000F3197" w:rsidRDefault="004306AA" w:rsidP="004306AA">
      <w:pPr>
        <w:jc w:val="both"/>
        <w:rPr>
          <w:rFonts w:ascii="Arial" w:hAnsi="Arial" w:cs="Arial"/>
          <w:sz w:val="22"/>
          <w:szCs w:val="22"/>
          <w:lang w:val="es-CO"/>
        </w:rPr>
      </w:pPr>
    </w:p>
    <w:p w14:paraId="725720E5" w14:textId="77777777" w:rsidR="004306AA" w:rsidRPr="000F3197" w:rsidRDefault="004306AA" w:rsidP="004306AA">
      <w:pPr>
        <w:jc w:val="both"/>
        <w:rPr>
          <w:rFonts w:ascii="Arial" w:eastAsia="MS Mincho" w:hAnsi="Arial" w:cs="Arial"/>
          <w:color w:val="0D0D0D"/>
          <w:sz w:val="22"/>
          <w:szCs w:val="22"/>
          <w:lang w:val="es-ES_tradnl"/>
        </w:rPr>
      </w:pPr>
      <w:r w:rsidRPr="000F3197">
        <w:rPr>
          <w:rFonts w:ascii="Arial" w:hAnsi="Arial" w:cs="Arial"/>
          <w:color w:val="0D0D0D"/>
          <w:sz w:val="22"/>
          <w:szCs w:val="22"/>
        </w:rPr>
        <w:t>El medio de control de controversias contractuales, es una vía procesal que cobija toda la variedad de situaciones problemáticas que hipotéticamente pueden tener lugar en el ámbito de las relaciones de carácter negociar que detente el Estado…</w:t>
      </w:r>
      <w:r w:rsidRPr="000F3197">
        <w:rPr>
          <w:rFonts w:ascii="Arial" w:hAnsi="Arial" w:cs="Arial"/>
          <w:bCs/>
          <w:color w:val="0D0D0D"/>
          <w:sz w:val="22"/>
          <w:szCs w:val="22"/>
        </w:rPr>
        <w:t xml:space="preserve"> En consecuencia, es posible usar esta herramienta procesal para cuestionar las </w:t>
      </w:r>
      <w:r w:rsidRPr="000F3197">
        <w:rPr>
          <w:rFonts w:ascii="Arial" w:eastAsia="MS Mincho" w:hAnsi="Arial" w:cs="Arial"/>
          <w:color w:val="0D0D0D"/>
          <w:sz w:val="22"/>
          <w:szCs w:val="22"/>
          <w:lang w:val="es-ES_tradnl"/>
        </w:rPr>
        <w:t>actuaciones desarrolladas durante la ejecución del contrato estatal, como la legalidad de los actos administrativos proferidos dentro del desarrollo del mismo. De esta manera puede cualquiera de las partes solicitar que se declare su incumplimiento, la nulidad de los actos administrativos contractuales y que se condene al responsable a indemnizar los perjuicios, y que se hagan otras declaraciones y condenas, teniendo en cuenta las pruebas que se practiquen al interior del proceso.</w:t>
      </w:r>
    </w:p>
    <w:p w14:paraId="1395D66C" w14:textId="77777777" w:rsidR="00D52124" w:rsidRPr="000F3197" w:rsidRDefault="00D52124" w:rsidP="004306AA">
      <w:pPr>
        <w:jc w:val="both"/>
        <w:rPr>
          <w:rFonts w:ascii="Arial" w:eastAsia="MS Mincho" w:hAnsi="Arial" w:cs="Arial"/>
          <w:color w:val="0D0D0D"/>
          <w:sz w:val="22"/>
          <w:szCs w:val="22"/>
          <w:lang w:val="es-ES_tradnl"/>
        </w:rPr>
      </w:pPr>
    </w:p>
    <w:p w14:paraId="764FBB88" w14:textId="77777777" w:rsidR="004306AA" w:rsidRPr="000F3197" w:rsidRDefault="000F3197" w:rsidP="004306AA">
      <w:pPr>
        <w:jc w:val="both"/>
        <w:rPr>
          <w:rFonts w:ascii="Arial" w:eastAsia="MS Mincho" w:hAnsi="Arial" w:cs="Arial"/>
          <w:color w:val="0D0D0D"/>
          <w:sz w:val="22"/>
          <w:szCs w:val="22"/>
          <w:lang w:val="es-ES_tradnl"/>
        </w:rPr>
      </w:pPr>
      <w:r w:rsidRPr="000F3197">
        <w:rPr>
          <w:rFonts w:ascii="Arial" w:eastAsia="MS Mincho" w:hAnsi="Arial" w:cs="Arial"/>
          <w:b/>
          <w:color w:val="0D0D0D"/>
          <w:sz w:val="22"/>
          <w:szCs w:val="22"/>
          <w:lang w:val="es-ES_tradnl"/>
        </w:rPr>
        <w:t>CADUCIDAD DE LA ACCIÓN</w:t>
      </w:r>
      <w:r w:rsidR="00D52124" w:rsidRPr="000F3197">
        <w:rPr>
          <w:rFonts w:ascii="Arial" w:eastAsia="MS Mincho" w:hAnsi="Arial" w:cs="Arial"/>
          <w:b/>
          <w:color w:val="0D0D0D"/>
          <w:sz w:val="22"/>
          <w:szCs w:val="22"/>
          <w:lang w:val="es-ES_tradnl"/>
        </w:rPr>
        <w:t xml:space="preserve"> </w:t>
      </w:r>
      <w:r w:rsidR="004306AA" w:rsidRPr="000F3197">
        <w:rPr>
          <w:rFonts w:ascii="Arial" w:eastAsia="MS Mincho" w:hAnsi="Arial" w:cs="Arial"/>
          <w:b/>
          <w:color w:val="0D0D0D"/>
          <w:sz w:val="22"/>
          <w:szCs w:val="22"/>
          <w:lang w:val="es-ES_tradnl"/>
        </w:rPr>
        <w:t>-</w:t>
      </w:r>
      <w:r w:rsidRPr="000F3197">
        <w:rPr>
          <w:rFonts w:ascii="Arial" w:eastAsia="MS Mincho" w:hAnsi="Arial" w:cs="Arial"/>
          <w:color w:val="0D0D0D"/>
          <w:sz w:val="22"/>
          <w:szCs w:val="22"/>
          <w:lang w:val="es-ES_tradnl"/>
        </w:rPr>
        <w:t xml:space="preserve"> </w:t>
      </w:r>
      <w:r w:rsidRPr="000F3197">
        <w:rPr>
          <w:rFonts w:ascii="Arial" w:eastAsia="MS Mincho" w:hAnsi="Arial" w:cs="Arial"/>
          <w:b/>
          <w:color w:val="0D0D0D"/>
          <w:sz w:val="22"/>
          <w:szCs w:val="22"/>
          <w:lang w:val="es-ES_tradnl"/>
        </w:rPr>
        <w:t>Término</w:t>
      </w:r>
    </w:p>
    <w:p w14:paraId="6BDA497D" w14:textId="77777777" w:rsidR="004306AA" w:rsidRPr="000F3197" w:rsidRDefault="004306AA" w:rsidP="004306AA">
      <w:pPr>
        <w:jc w:val="both"/>
        <w:rPr>
          <w:rFonts w:ascii="Arial" w:eastAsia="MS Mincho" w:hAnsi="Arial" w:cs="Arial"/>
          <w:color w:val="0D0D0D"/>
          <w:sz w:val="22"/>
          <w:szCs w:val="22"/>
          <w:lang w:val="es-ES_tradnl"/>
        </w:rPr>
      </w:pPr>
    </w:p>
    <w:p w14:paraId="30422EA2" w14:textId="77777777" w:rsidR="004306AA" w:rsidRPr="000F3197" w:rsidRDefault="004306AA" w:rsidP="004306AA">
      <w:pPr>
        <w:jc w:val="both"/>
        <w:rPr>
          <w:rFonts w:ascii="Arial" w:hAnsi="Arial" w:cs="Arial"/>
          <w:color w:val="0D0D0D"/>
          <w:sz w:val="22"/>
          <w:szCs w:val="22"/>
        </w:rPr>
      </w:pPr>
      <w:r w:rsidRPr="000F3197">
        <w:rPr>
          <w:rFonts w:ascii="Arial" w:hAnsi="Arial" w:cs="Arial"/>
          <w:color w:val="0D0D0D"/>
          <w:sz w:val="22"/>
          <w:szCs w:val="22"/>
        </w:rPr>
        <w:t>La caducidad de esta pretensión como instituto procesal obtiene soporte y fundamento en el artículo 228 de la Constitución Política. Dicho fundamento constitucional determina la aplicación de los términos procesales en el ordenamiento jurídico, buscando ante todo la protección material de los derechos y la resolución definitiva de los conflictos que surgen a diario en el complejo tejido social.</w:t>
      </w:r>
      <w:r w:rsidR="00D52124" w:rsidRPr="000F3197">
        <w:rPr>
          <w:rFonts w:ascii="Arial" w:hAnsi="Arial" w:cs="Arial"/>
          <w:color w:val="0D0D0D"/>
          <w:sz w:val="22"/>
          <w:szCs w:val="22"/>
        </w:rPr>
        <w:t xml:space="preserve"> </w:t>
      </w:r>
      <w:r w:rsidRPr="000F3197">
        <w:rPr>
          <w:rFonts w:ascii="Arial" w:hAnsi="Arial" w:cs="Arial"/>
          <w:color w:val="0D0D0D"/>
          <w:sz w:val="22"/>
          <w:szCs w:val="22"/>
        </w:rPr>
        <w:t>Conforme a la estructuración conceptual de nuestra legislación, la figura de la caducidad del medio de control es de estricto orden público y de obligatorio cumplimiento, innegociable e irrenunciable en cuanto implica el reconocimiento normativo de un lapso habilitador para el ejercicio de ciertas acciones judiciales. En esta perspectiva el legislador ha considerado que la no materialización del término límite establecido para la correspondiente caducidad constituye otro de los presupuestos para el debido ejercicio de la acción contencioso administrativa que estuvieren condicionadas para estos efectos por el elemento temporal.</w:t>
      </w:r>
      <w:r w:rsidR="00D52124" w:rsidRPr="000F3197">
        <w:rPr>
          <w:rFonts w:ascii="Arial" w:hAnsi="Arial" w:cs="Arial"/>
          <w:color w:val="0D0D0D"/>
          <w:sz w:val="22"/>
          <w:szCs w:val="22"/>
        </w:rPr>
        <w:t xml:space="preserve"> </w:t>
      </w:r>
      <w:r w:rsidRPr="000F3197">
        <w:rPr>
          <w:rFonts w:ascii="Arial" w:hAnsi="Arial" w:cs="Arial"/>
          <w:color w:val="0D0D0D"/>
          <w:sz w:val="22"/>
          <w:szCs w:val="22"/>
        </w:rPr>
        <w:t>Desde este punto de vista, la caducidad se institucionaliza como un concepto temporal, perentorio y preclusivo de orden, estabilidad, interés general y seguridad jurídica para los asociados y la administración desde la perspectiva procesal, generando certidumbre en cuanto a los tiempos de las personas para hacer valer sus derechos ante las autoridades judiciales. En este sentido, las consecuencias del acaecimiento de la condición temporal que es manifiesta en toda caducidad implica la pérdida de oportunidad para reclamar por la vía judicial los derechos que se consideren vulnerados por causa de la actividad de la administración pública…Es evidente que cuando se pretende la nulidad absoluta del contrato, la normativa ha establecido dos términos como se transcribieron en el cuadro, lo que hace relevante entrar a estudiar cuál de las dos normas anteriormente citadas será aplicable al caso bajo estudio y a partir de qué momento se debe contar la caducidad del medio de control incoado.</w:t>
      </w:r>
    </w:p>
    <w:p w14:paraId="7603B7D1" w14:textId="77777777" w:rsidR="004306AA" w:rsidRPr="000F3197" w:rsidRDefault="004306AA" w:rsidP="004306AA">
      <w:pPr>
        <w:jc w:val="both"/>
        <w:rPr>
          <w:rFonts w:ascii="Arial" w:hAnsi="Arial" w:cs="Arial"/>
          <w:b/>
          <w:bCs/>
          <w:color w:val="0D0D0D"/>
          <w:sz w:val="22"/>
          <w:szCs w:val="22"/>
        </w:rPr>
      </w:pPr>
    </w:p>
    <w:p w14:paraId="07AFCB42" w14:textId="77777777" w:rsidR="004306AA" w:rsidRPr="000F3197" w:rsidRDefault="004306AA" w:rsidP="004306AA">
      <w:pPr>
        <w:jc w:val="both"/>
        <w:rPr>
          <w:rFonts w:ascii="Arial" w:hAnsi="Arial" w:cs="Arial"/>
          <w:b/>
          <w:bCs/>
          <w:color w:val="0D0D0D"/>
          <w:sz w:val="22"/>
          <w:szCs w:val="22"/>
        </w:rPr>
      </w:pPr>
      <w:r w:rsidRPr="000F3197">
        <w:rPr>
          <w:rFonts w:ascii="Arial" w:hAnsi="Arial" w:cs="Arial"/>
          <w:b/>
          <w:bCs/>
          <w:color w:val="0D0D0D"/>
          <w:sz w:val="22"/>
          <w:szCs w:val="22"/>
        </w:rPr>
        <w:t>CADUCIDAD</w:t>
      </w:r>
      <w:r w:rsidR="00D52124" w:rsidRPr="000F3197">
        <w:rPr>
          <w:rFonts w:ascii="Arial" w:hAnsi="Arial" w:cs="Arial"/>
          <w:b/>
          <w:bCs/>
          <w:color w:val="0D0D0D"/>
          <w:sz w:val="22"/>
          <w:szCs w:val="22"/>
        </w:rPr>
        <w:t xml:space="preserve"> </w:t>
      </w:r>
      <w:r w:rsidR="000F3197" w:rsidRPr="000F3197">
        <w:rPr>
          <w:rFonts w:ascii="Arial" w:hAnsi="Arial" w:cs="Arial"/>
          <w:b/>
          <w:bCs/>
          <w:color w:val="0D0D0D"/>
          <w:sz w:val="22"/>
          <w:szCs w:val="22"/>
        </w:rPr>
        <w:t xml:space="preserve">DE LA ACCIÓN </w:t>
      </w:r>
      <w:r w:rsidRPr="000F3197">
        <w:rPr>
          <w:rFonts w:ascii="Arial" w:hAnsi="Arial" w:cs="Arial"/>
          <w:b/>
          <w:bCs/>
          <w:color w:val="0D0D0D"/>
          <w:sz w:val="22"/>
          <w:szCs w:val="22"/>
        </w:rPr>
        <w:t xml:space="preserve">- </w:t>
      </w:r>
      <w:r w:rsidR="00D52124" w:rsidRPr="000F3197">
        <w:rPr>
          <w:rFonts w:ascii="Arial" w:hAnsi="Arial" w:cs="Arial"/>
          <w:b/>
          <w:bCs/>
          <w:color w:val="0D0D0D"/>
          <w:sz w:val="22"/>
          <w:szCs w:val="22"/>
        </w:rPr>
        <w:t>T</w:t>
      </w:r>
      <w:r w:rsidR="00D52124" w:rsidRPr="000F3197">
        <w:rPr>
          <w:rFonts w:ascii="Arial" w:eastAsia="Calibri" w:hAnsi="Arial" w:cs="Arial"/>
          <w:b/>
          <w:color w:val="0D0D0D"/>
          <w:sz w:val="22"/>
          <w:szCs w:val="22"/>
          <w:lang w:eastAsia="en-US"/>
        </w:rPr>
        <w:t xml:space="preserve">érmino </w:t>
      </w:r>
      <w:r w:rsidR="000F3197" w:rsidRPr="000F3197">
        <w:rPr>
          <w:rFonts w:ascii="Arial" w:eastAsia="Calibri" w:hAnsi="Arial" w:cs="Arial"/>
          <w:b/>
          <w:color w:val="0D0D0D"/>
          <w:sz w:val="22"/>
          <w:szCs w:val="22"/>
          <w:lang w:eastAsia="en-US"/>
        </w:rPr>
        <w:t>- L</w:t>
      </w:r>
      <w:r w:rsidR="00D52124" w:rsidRPr="000F3197">
        <w:rPr>
          <w:rFonts w:ascii="Arial" w:eastAsia="Calibri" w:hAnsi="Arial" w:cs="Arial"/>
          <w:b/>
          <w:color w:val="0D0D0D"/>
          <w:sz w:val="22"/>
          <w:szCs w:val="22"/>
          <w:lang w:eastAsia="en-US"/>
        </w:rPr>
        <w:t>ey vigente al momento de su iniciación</w:t>
      </w:r>
    </w:p>
    <w:p w14:paraId="7E15600A" w14:textId="77777777" w:rsidR="004306AA" w:rsidRPr="000F3197" w:rsidRDefault="004306AA" w:rsidP="004306AA">
      <w:pPr>
        <w:jc w:val="both"/>
        <w:rPr>
          <w:rFonts w:ascii="Arial" w:hAnsi="Arial" w:cs="Arial"/>
          <w:bCs/>
          <w:color w:val="0D0D0D"/>
          <w:sz w:val="22"/>
          <w:szCs w:val="22"/>
        </w:rPr>
      </w:pPr>
    </w:p>
    <w:p w14:paraId="15126143" w14:textId="77777777" w:rsidR="004306AA" w:rsidRPr="000F3197" w:rsidRDefault="004306AA" w:rsidP="004306AA">
      <w:pPr>
        <w:jc w:val="both"/>
        <w:rPr>
          <w:rFonts w:ascii="Arial" w:hAnsi="Arial" w:cs="Arial"/>
          <w:bCs/>
          <w:color w:val="0D0D0D"/>
          <w:sz w:val="22"/>
          <w:szCs w:val="22"/>
        </w:rPr>
      </w:pPr>
      <w:r w:rsidRPr="000F3197">
        <w:rPr>
          <w:rFonts w:ascii="Arial" w:hAnsi="Arial" w:cs="Arial"/>
          <w:color w:val="0D0D0D"/>
          <w:sz w:val="22"/>
          <w:szCs w:val="22"/>
        </w:rPr>
        <w:t>En primer lugar, la Sala resalta que de conformidad con lo preceptuado en el artículo 624 del Código General del Proceso, por medio del cual modificó el artículo 40 de la Ley 153 de 1887, dispuso que las leyes concernientes a la sustanciación y ritualidad de los juicios prevalecían sobre las anteriores desde el momento en que empiezan a regir, no obstante, precisó que los términos que hubieren iniciado a correr se rigen por las leyes vigentes de cuando empezaron a correr los términos.</w:t>
      </w:r>
      <w:r w:rsidRPr="000F3197">
        <w:rPr>
          <w:rFonts w:ascii="Arial" w:eastAsia="Calibri" w:hAnsi="Arial" w:cs="Arial"/>
          <w:color w:val="0D0D0D"/>
          <w:sz w:val="22"/>
          <w:szCs w:val="22"/>
          <w:lang w:eastAsia="en-US"/>
        </w:rPr>
        <w:t xml:space="preserve"> Así las cosas, es menester determinar las normas vigentes aplicables, en lo que hace al término de caducidad, al contrato de concesión minera celebrado y perfeccionado entre las partes, las cuales se determinan al momento de su iniciación, según el caso y de conformidad con el artículo 40 de la Ley 153 de 1887 que dispone: “las leyes concernientes a la sustanciación y ritualidad de los juicios prevalecen sobre las anteriores desde el momento en que deben empezar a regir. Pero los términos que hubieren empezado a correr, y las actuaciones y diligencias que ya estuvieren iniciadas, se regirán por la ley vigente al tiempo de su iniciación” (resaltado propio). En otras palabras, el término de caducidad se contará de acuerdo a la ley vigente al momento de su iniciación, sin que se altere ello por el hecho de que la acción contenciosa sea entablada en vigencia de otra legislación procesal, pues en tal evento esa última gobernará todas las cuestiones procesales de rigor a excepción de la caducidad en razón a que ese término principió en época anterior a la nueva ley y por elementales razones de seguridad jurídica y de aplicación del artículo 40 de la Ley 153 de 1887 se impone su observancia preferente. </w:t>
      </w:r>
      <w:r w:rsidRPr="000F3197">
        <w:rPr>
          <w:rFonts w:ascii="Arial" w:eastAsia="Calibri" w:hAnsi="Arial" w:cs="Arial"/>
          <w:color w:val="0D0D0D"/>
          <w:sz w:val="22"/>
          <w:szCs w:val="22"/>
          <w:lang w:eastAsia="en-US"/>
        </w:rPr>
        <w:lastRenderedPageBreak/>
        <w:t>Con fundamento en lo expuesto se tiene que el artículo 40 de la Ley 153 de 1887, debe ser aplicado de manera sistemática, habida cuenta que de manera especial y concordante con lo expuesto, preceptúa que en los contratos se entienden incorporadas las leyes vigentes al momento de su celebración, por lo que en el caso que nos ocupa se tiene que el contrato de concesión GE6- 143 se celebró el 9 de noviembre de 2006 y se perfeccionó el 22 de junio de 2007 cuando</w:t>
      </w:r>
      <w:r w:rsidRPr="000F3197">
        <w:rPr>
          <w:rFonts w:ascii="Arial" w:hAnsi="Arial" w:cs="Arial"/>
          <w:color w:val="0D0D0D"/>
          <w:sz w:val="22"/>
          <w:szCs w:val="22"/>
        </w:rPr>
        <w:t xml:space="preserve"> se efectuó el registro minero. En consecuencia, ha de entenderse que al referido contrato le son aplicables las disposiciones contenidas en el Decreto 01 de 1984, norma que se encontraba vigente en el momento en que se celebró y perfeccionó el contrato de concesión GE6-143 (22 de junio de 2007), por lo expuesto se tendrán en cuenta las reglas que estableció esa legislación para </w:t>
      </w:r>
      <w:r w:rsidRPr="000F3197">
        <w:rPr>
          <w:rFonts w:ascii="Arial" w:hAnsi="Arial" w:cs="Arial"/>
          <w:bCs/>
          <w:color w:val="0D0D0D"/>
          <w:sz w:val="22"/>
          <w:szCs w:val="22"/>
        </w:rPr>
        <w:t xml:space="preserve">contar el término de caducidad en el numeral 10 del literal e) artículo 136 que establece que cuando se pretenda la nulidad absoluta del contrato se podrá solicitar a los dos (2) años siguientes a su perfeccionamiento y dado el caso que el término de la vigencia del contrato cuya nulidad se pretende fuere superior a dos (2) años, el término de caducidad será igual al de su vigencia, sin que en ningún caso exceda de cinco (5) años. Lo anterior sin perjuicio que la demanda hubiere sido formulada ya en vigencia de la Ley 1437 de 2011, pues esta última normativa procedimental regirá todo cuanto concierne a la ritualidad de ese juicio contencioso a excepción del ámbito de la caducidad del medio de control pues esta principió en vigencia de la antigua legislación la cual, por expreso mandato de la Ley 153 de 1887, tiene aplicación </w:t>
      </w:r>
      <w:proofErr w:type="spellStart"/>
      <w:r w:rsidRPr="000F3197">
        <w:rPr>
          <w:rFonts w:ascii="Arial" w:hAnsi="Arial" w:cs="Arial"/>
          <w:bCs/>
          <w:color w:val="0D0D0D"/>
          <w:sz w:val="22"/>
          <w:szCs w:val="22"/>
        </w:rPr>
        <w:t>ultractiva</w:t>
      </w:r>
      <w:proofErr w:type="spellEnd"/>
      <w:r w:rsidRPr="000F3197">
        <w:rPr>
          <w:rFonts w:ascii="Arial" w:hAnsi="Arial" w:cs="Arial"/>
          <w:bCs/>
          <w:color w:val="0D0D0D"/>
          <w:sz w:val="22"/>
          <w:szCs w:val="22"/>
        </w:rPr>
        <w:t xml:space="preserve"> en esta especial situación tratada.</w:t>
      </w:r>
    </w:p>
    <w:p w14:paraId="7D2A041A" w14:textId="77777777" w:rsidR="00D52124" w:rsidRPr="000F3197" w:rsidRDefault="00D52124" w:rsidP="004306AA">
      <w:pPr>
        <w:jc w:val="both"/>
        <w:rPr>
          <w:rFonts w:ascii="Arial" w:hAnsi="Arial" w:cs="Arial"/>
          <w:bCs/>
          <w:color w:val="0D0D0D"/>
          <w:sz w:val="22"/>
          <w:szCs w:val="22"/>
        </w:rPr>
      </w:pPr>
    </w:p>
    <w:p w14:paraId="4FEC6590" w14:textId="77777777" w:rsidR="004306AA" w:rsidRPr="000F3197" w:rsidRDefault="004306AA" w:rsidP="004306AA">
      <w:pPr>
        <w:jc w:val="both"/>
        <w:rPr>
          <w:rFonts w:ascii="Arial" w:hAnsi="Arial" w:cs="Arial"/>
          <w:color w:val="0D0D0D"/>
          <w:sz w:val="22"/>
          <w:szCs w:val="22"/>
        </w:rPr>
      </w:pPr>
      <w:r w:rsidRPr="000F3197">
        <w:rPr>
          <w:rFonts w:ascii="Arial" w:hAnsi="Arial" w:cs="Arial"/>
          <w:b/>
          <w:color w:val="0D0D0D"/>
          <w:sz w:val="22"/>
          <w:szCs w:val="22"/>
        </w:rPr>
        <w:t>CONTROVERSIAS CONTRACTUALES</w:t>
      </w:r>
      <w:r w:rsidR="00D52124" w:rsidRPr="000F3197">
        <w:rPr>
          <w:rFonts w:ascii="Arial" w:hAnsi="Arial" w:cs="Arial"/>
          <w:b/>
          <w:color w:val="0D0D0D"/>
          <w:sz w:val="22"/>
          <w:szCs w:val="22"/>
        </w:rPr>
        <w:t xml:space="preserve"> </w:t>
      </w:r>
      <w:r w:rsidRPr="000F3197">
        <w:rPr>
          <w:rFonts w:ascii="Arial" w:hAnsi="Arial" w:cs="Arial"/>
          <w:b/>
          <w:color w:val="0D0D0D"/>
          <w:sz w:val="22"/>
          <w:szCs w:val="22"/>
        </w:rPr>
        <w:t xml:space="preserve">- </w:t>
      </w:r>
      <w:r w:rsidR="00D52124" w:rsidRPr="000F3197">
        <w:rPr>
          <w:rFonts w:ascii="Arial" w:hAnsi="Arial" w:cs="Arial"/>
          <w:b/>
          <w:color w:val="0D0D0D"/>
          <w:sz w:val="22"/>
          <w:szCs w:val="22"/>
        </w:rPr>
        <w:t>C</w:t>
      </w:r>
      <w:r w:rsidRPr="000F3197">
        <w:rPr>
          <w:rFonts w:ascii="Arial" w:hAnsi="Arial" w:cs="Arial"/>
          <w:b/>
          <w:color w:val="0D0D0D"/>
          <w:sz w:val="22"/>
          <w:szCs w:val="22"/>
        </w:rPr>
        <w:t xml:space="preserve">aducidad </w:t>
      </w:r>
      <w:r w:rsidR="000F3197" w:rsidRPr="000F3197">
        <w:rPr>
          <w:rFonts w:ascii="Arial" w:hAnsi="Arial" w:cs="Arial"/>
          <w:b/>
          <w:color w:val="0D0D0D"/>
          <w:sz w:val="22"/>
          <w:szCs w:val="22"/>
        </w:rPr>
        <w:t>de la acción</w:t>
      </w:r>
    </w:p>
    <w:p w14:paraId="3B011290" w14:textId="77777777" w:rsidR="004306AA" w:rsidRPr="000F3197" w:rsidRDefault="004306AA" w:rsidP="004306AA">
      <w:pPr>
        <w:jc w:val="both"/>
        <w:rPr>
          <w:rFonts w:ascii="Arial" w:hAnsi="Arial" w:cs="Arial"/>
          <w:color w:val="0D0D0D"/>
          <w:sz w:val="22"/>
          <w:szCs w:val="22"/>
        </w:rPr>
      </w:pPr>
    </w:p>
    <w:p w14:paraId="33320291" w14:textId="77777777" w:rsidR="004306AA" w:rsidRPr="000F3197" w:rsidRDefault="004306AA" w:rsidP="004306AA">
      <w:pPr>
        <w:jc w:val="both"/>
        <w:rPr>
          <w:rFonts w:ascii="Arial" w:hAnsi="Arial" w:cs="Arial"/>
          <w:color w:val="0D0D0D"/>
          <w:sz w:val="22"/>
          <w:szCs w:val="22"/>
        </w:rPr>
      </w:pPr>
      <w:r w:rsidRPr="000F3197">
        <w:rPr>
          <w:rFonts w:ascii="Arial" w:hAnsi="Arial" w:cs="Arial"/>
          <w:color w:val="0D0D0D"/>
          <w:sz w:val="22"/>
          <w:szCs w:val="22"/>
        </w:rPr>
        <w:t xml:space="preserve">En el </w:t>
      </w:r>
      <w:r w:rsidRPr="000F3197">
        <w:rPr>
          <w:rFonts w:ascii="Arial" w:hAnsi="Arial" w:cs="Arial"/>
          <w:i/>
          <w:color w:val="0D0D0D"/>
          <w:sz w:val="22"/>
          <w:szCs w:val="22"/>
        </w:rPr>
        <w:t>sub lite</w:t>
      </w:r>
      <w:r w:rsidRPr="000F3197">
        <w:rPr>
          <w:rFonts w:ascii="Arial" w:hAnsi="Arial" w:cs="Arial"/>
          <w:color w:val="0D0D0D"/>
          <w:sz w:val="22"/>
          <w:szCs w:val="22"/>
        </w:rPr>
        <w:t xml:space="preserve">, procede analizar si el medio de control de controversias contractuales se encuentra caducado con fundamento en la ley aplicable esta es el literal e) numeral 10) del artículo 136 del Decreto 01 de 1984 de conformidad con lo preceptuado en el artículo 624 del Código General del Proceso, por medio del cual modificó el artículo 40 de la Ley 153 de 1887, dispuso que las leyes concernientes a la sustanciación y ritualidad de los juicios prevalecían sobre las anteriores desde el momento en que empiezan a regir, no obstante, precisó que los términos que hubieren iniciado a correr se rigen por las leyes vigentes de cuando empezaron a correr los </w:t>
      </w:r>
      <w:r w:rsidR="00514A09" w:rsidRPr="000F3197">
        <w:rPr>
          <w:rFonts w:ascii="Arial" w:hAnsi="Arial" w:cs="Arial"/>
          <w:color w:val="0D0D0D"/>
          <w:sz w:val="22"/>
          <w:szCs w:val="22"/>
        </w:rPr>
        <w:t>términos. Acorde</w:t>
      </w:r>
      <w:r w:rsidRPr="000F3197">
        <w:rPr>
          <w:rFonts w:ascii="Arial" w:hAnsi="Arial" w:cs="Arial"/>
          <w:color w:val="0D0D0D"/>
          <w:sz w:val="22"/>
          <w:szCs w:val="22"/>
        </w:rPr>
        <w:t xml:space="preserve"> con lo anterior, en el presente asunto encuentra la Sala que el contrato de concesión para la exploración y explotación de materiales de construcciones y demás minerales concesibles Nº GE6-143 celebrado entre el Instituto Colombiano de Geología y Minería – INGEOMINAS- </w:t>
      </w:r>
      <w:r w:rsidR="00D52124" w:rsidRPr="000F3197">
        <w:rPr>
          <w:rFonts w:ascii="Arial" w:hAnsi="Arial" w:cs="Arial"/>
          <w:color w:val="0D0D0D"/>
          <w:sz w:val="22"/>
          <w:szCs w:val="22"/>
        </w:rPr>
        <w:t xml:space="preserve">y </w:t>
      </w:r>
      <w:r w:rsidRPr="000F3197">
        <w:rPr>
          <w:rFonts w:ascii="Arial" w:hAnsi="Arial" w:cs="Arial"/>
          <w:color w:val="0D0D0D"/>
          <w:sz w:val="22"/>
          <w:szCs w:val="22"/>
        </w:rPr>
        <w:t xml:space="preserve">Mario Fernando Mendoza fue suscrito el 9 de noviembre de 2006, en el mismo se estableció en la cláusula cuarta que la duración del contrato será de treinta (30) años contados a partir de la fecha de inscripción en el Registro Minero Nacional que se realizó el 22 de junio de 2007, entonces es preciso indicar que con fundamento en lo probado en el expediente la norma que se debe tener en cuenta, con relación a la caducidad, es la prescrita en el Código Contencioso Administrativo -Decreto 01 de 1984-… Así, el término de caducidad del medio de control de controversias contractuales, cuando se solicita la nulidad absoluta del contrato, inicia desde el momento de su perfeccionamiento, y el término es de dos (2) años, salvo que el término de vigencia del negocio jurídico sea superior a dos (2) años, sin que pueda exceder el término de cinco (5) años que se contarán a partir de su </w:t>
      </w:r>
      <w:r w:rsidR="00514A09" w:rsidRPr="000F3197">
        <w:rPr>
          <w:rFonts w:ascii="Arial" w:hAnsi="Arial" w:cs="Arial"/>
          <w:color w:val="0D0D0D"/>
          <w:sz w:val="22"/>
          <w:szCs w:val="22"/>
        </w:rPr>
        <w:t>perfeccionamiento. Acorde</w:t>
      </w:r>
      <w:r w:rsidRPr="000F3197">
        <w:rPr>
          <w:rFonts w:ascii="Arial" w:hAnsi="Arial" w:cs="Arial"/>
          <w:color w:val="0D0D0D"/>
          <w:sz w:val="22"/>
          <w:szCs w:val="22"/>
        </w:rPr>
        <w:t xml:space="preserve"> con lo anterior, la Sala encuentra probado en el plenario que el contrato de concesión para la exploración y explotación de materiales de construcciones y demás minerales concesibles Nº GE6-143 suscrito entre el Instituto Colombiano de Geología y Minería – INGEOMINAS- y Mario Fernando Mendoza se celebró el 9 de noviembre de 2006, en el mismo se estableció en la cláusula cuarta que la duración del contrato será de treinta (30) años contados a partir de la fecha de celebración la cual se realizó ante el Instituto Colombiano de Geología y Minería el 22 de junio de 2007; de ahí que a tenor de lo prescrito en el artículo 50 de la Ley 685 de 2001, el perfeccionamiento del contrato ocurrió en esa última fecha con la inscripción en el Registro Minero </w:t>
      </w:r>
      <w:r w:rsidR="00514A09" w:rsidRPr="000F3197">
        <w:rPr>
          <w:rFonts w:ascii="Arial" w:hAnsi="Arial" w:cs="Arial"/>
          <w:color w:val="0D0D0D"/>
          <w:sz w:val="22"/>
          <w:szCs w:val="22"/>
        </w:rPr>
        <w:t>Nacional. Teniendo</w:t>
      </w:r>
      <w:r w:rsidRPr="000F3197">
        <w:rPr>
          <w:rFonts w:ascii="Arial" w:hAnsi="Arial" w:cs="Arial"/>
          <w:color w:val="0D0D0D"/>
          <w:sz w:val="22"/>
          <w:szCs w:val="22"/>
        </w:rPr>
        <w:t xml:space="preserve"> en cuenta que el contrato de concesión Nº GE6-143 se inscribió el 22 de junio de 2007, como en el mismo se estableció una vigencia de treinta (30) años y de conformidad con lo establecido en el literal e) del numeral 10 del artículo 136 del Código Contencioso Administrativo, cuando el término de su vigencia sea superior a dos (2) años el término de caducidad será igual al de su vigencia, sin que en ningún caso exceda de cinco (5) años contados a partir de su perfeccionamiento, se encuentra que en este asunto ese término para intentar la demanda de controversias contractuales, bajo la pretensión de nulidad absoluta, inició a partir del perfeccionamiento del contrato (22 de junio </w:t>
      </w:r>
      <w:r w:rsidRPr="000F3197">
        <w:rPr>
          <w:rFonts w:ascii="Arial" w:hAnsi="Arial" w:cs="Arial"/>
          <w:color w:val="0D0D0D"/>
          <w:sz w:val="22"/>
          <w:szCs w:val="22"/>
        </w:rPr>
        <w:lastRenderedPageBreak/>
        <w:t>de 2007) y feneció el 22 de junio de 2012. Como quiera que la demanda se presentó el 2 de septiembre de 2013, se concluye que operó la caducidad del medio de control.</w:t>
      </w:r>
    </w:p>
    <w:p w14:paraId="3499AD4C" w14:textId="77777777" w:rsidR="004306AA" w:rsidRPr="00CC0D68" w:rsidRDefault="004306AA" w:rsidP="000010D3">
      <w:pPr>
        <w:jc w:val="center"/>
        <w:rPr>
          <w:rFonts w:ascii="Arial" w:hAnsi="Arial" w:cs="Arial"/>
          <w:sz w:val="22"/>
          <w:szCs w:val="22"/>
          <w:lang w:val="es-CO"/>
        </w:rPr>
      </w:pPr>
    </w:p>
    <w:p w14:paraId="069A188D" w14:textId="77777777" w:rsidR="004306AA" w:rsidRPr="00CC0D68" w:rsidRDefault="004306AA" w:rsidP="000010D3">
      <w:pPr>
        <w:jc w:val="center"/>
        <w:rPr>
          <w:rFonts w:ascii="Arial" w:hAnsi="Arial" w:cs="Arial"/>
          <w:sz w:val="22"/>
          <w:szCs w:val="22"/>
          <w:lang w:val="es-CO"/>
        </w:rPr>
      </w:pPr>
    </w:p>
    <w:p w14:paraId="60AC87D4" w14:textId="77777777" w:rsidR="004E4BAC" w:rsidRPr="00140130" w:rsidRDefault="008D1806" w:rsidP="00140130">
      <w:pPr>
        <w:pStyle w:val="a"/>
        <w:ind w:right="0"/>
        <w:rPr>
          <w:rFonts w:cs="Arial"/>
          <w:color w:val="0D0D0D"/>
          <w:lang w:val="es-CO"/>
        </w:rPr>
      </w:pPr>
      <w:r w:rsidRPr="00140130">
        <w:rPr>
          <w:rFonts w:cs="Arial"/>
          <w:color w:val="0D0D0D"/>
          <w:lang w:val="es-CO"/>
        </w:rPr>
        <w:t>CONSEJO DE ESTADO</w:t>
      </w:r>
    </w:p>
    <w:p w14:paraId="55E3A91B" w14:textId="77777777" w:rsidR="008D1806" w:rsidRPr="008D1806" w:rsidRDefault="008D1806" w:rsidP="008D1806">
      <w:pPr>
        <w:jc w:val="center"/>
        <w:rPr>
          <w:rFonts w:ascii="Arial" w:hAnsi="Arial" w:cs="Arial"/>
          <w:b/>
          <w:lang w:val="es-CO"/>
        </w:rPr>
      </w:pPr>
    </w:p>
    <w:p w14:paraId="19DB4987" w14:textId="77777777" w:rsidR="008D1806" w:rsidRPr="008D1806" w:rsidRDefault="008D1806" w:rsidP="008D1806">
      <w:pPr>
        <w:jc w:val="center"/>
        <w:rPr>
          <w:rFonts w:ascii="Arial" w:hAnsi="Arial" w:cs="Arial"/>
          <w:b/>
          <w:lang w:val="es-CO"/>
        </w:rPr>
      </w:pPr>
      <w:r w:rsidRPr="008D1806">
        <w:rPr>
          <w:rFonts w:ascii="Arial" w:hAnsi="Arial" w:cs="Arial"/>
          <w:b/>
          <w:lang w:val="es-CO"/>
        </w:rPr>
        <w:t>SALA DE LO CONTENCIOSO ADMINISTRATIVO</w:t>
      </w:r>
    </w:p>
    <w:p w14:paraId="0CA075EB" w14:textId="77777777" w:rsidR="008D1806" w:rsidRPr="008D1806" w:rsidRDefault="008D1806" w:rsidP="008D1806">
      <w:pPr>
        <w:jc w:val="center"/>
        <w:rPr>
          <w:rFonts w:ascii="Arial" w:hAnsi="Arial" w:cs="Arial"/>
          <w:b/>
          <w:lang w:val="es-CO"/>
        </w:rPr>
      </w:pPr>
    </w:p>
    <w:p w14:paraId="02D882DB" w14:textId="77777777" w:rsidR="008D1806" w:rsidRPr="008D1806" w:rsidRDefault="008D1806" w:rsidP="008D1806">
      <w:pPr>
        <w:jc w:val="center"/>
        <w:rPr>
          <w:rFonts w:ascii="Arial" w:hAnsi="Arial" w:cs="Arial"/>
          <w:b/>
          <w:lang w:val="es-CO"/>
        </w:rPr>
      </w:pPr>
      <w:r w:rsidRPr="008D1806">
        <w:rPr>
          <w:rFonts w:ascii="Arial" w:hAnsi="Arial" w:cs="Arial"/>
          <w:b/>
          <w:lang w:val="es-CO"/>
        </w:rPr>
        <w:t>SECCION TERCERA</w:t>
      </w:r>
    </w:p>
    <w:p w14:paraId="4720ADCD" w14:textId="77777777" w:rsidR="008D1806" w:rsidRPr="008D1806" w:rsidRDefault="008D1806" w:rsidP="008D1806">
      <w:pPr>
        <w:jc w:val="center"/>
        <w:rPr>
          <w:rFonts w:ascii="Arial" w:hAnsi="Arial" w:cs="Arial"/>
          <w:b/>
          <w:lang w:val="es-CO"/>
        </w:rPr>
      </w:pPr>
    </w:p>
    <w:p w14:paraId="4BB86BB0" w14:textId="77777777" w:rsidR="008D1806" w:rsidRPr="008D1806" w:rsidRDefault="008D1806" w:rsidP="008D1806">
      <w:pPr>
        <w:jc w:val="center"/>
        <w:rPr>
          <w:rFonts w:ascii="Arial" w:hAnsi="Arial" w:cs="Arial"/>
          <w:b/>
          <w:lang w:val="es-CO"/>
        </w:rPr>
      </w:pPr>
      <w:r w:rsidRPr="008D1806">
        <w:rPr>
          <w:rFonts w:ascii="Arial" w:hAnsi="Arial" w:cs="Arial"/>
          <w:b/>
          <w:lang w:val="es-CO"/>
        </w:rPr>
        <w:t>SUBSECCION C</w:t>
      </w:r>
    </w:p>
    <w:p w14:paraId="7D082416" w14:textId="77777777" w:rsidR="008D1806" w:rsidRPr="008D1806" w:rsidRDefault="008D1806" w:rsidP="008D1806">
      <w:pPr>
        <w:jc w:val="center"/>
        <w:rPr>
          <w:rFonts w:ascii="Arial" w:hAnsi="Arial" w:cs="Arial"/>
          <w:b/>
          <w:lang w:val="es-CO"/>
        </w:rPr>
      </w:pPr>
    </w:p>
    <w:p w14:paraId="3C5D6870" w14:textId="77777777" w:rsidR="00AF39A6" w:rsidRPr="008D1806" w:rsidRDefault="00AF39A6" w:rsidP="008D1806">
      <w:pPr>
        <w:suppressAutoHyphens/>
        <w:ind w:hanging="426"/>
        <w:jc w:val="center"/>
        <w:rPr>
          <w:rFonts w:ascii="Arial" w:hAnsi="Arial" w:cs="Arial"/>
          <w:b/>
          <w:color w:val="0D0D0D"/>
          <w:lang w:val="es-CO"/>
        </w:rPr>
      </w:pPr>
      <w:r w:rsidRPr="008D1806">
        <w:rPr>
          <w:rFonts w:ascii="Arial" w:hAnsi="Arial" w:cs="Arial"/>
          <w:b/>
          <w:color w:val="0D0D0D"/>
        </w:rPr>
        <w:t>C</w:t>
      </w:r>
      <w:r w:rsidR="008D1806" w:rsidRPr="008D1806">
        <w:rPr>
          <w:rFonts w:ascii="Arial" w:hAnsi="Arial" w:cs="Arial"/>
          <w:b/>
          <w:color w:val="0D0D0D"/>
        </w:rPr>
        <w:t>onsejero ponente</w:t>
      </w:r>
      <w:r w:rsidRPr="008D1806">
        <w:rPr>
          <w:rFonts w:ascii="Arial" w:hAnsi="Arial" w:cs="Arial"/>
          <w:b/>
          <w:color w:val="0D0D0D"/>
        </w:rPr>
        <w:t xml:space="preserve">: </w:t>
      </w:r>
      <w:r w:rsidRPr="008D1806">
        <w:rPr>
          <w:rFonts w:ascii="Arial" w:hAnsi="Arial" w:cs="Arial"/>
          <w:b/>
          <w:bCs/>
          <w:color w:val="0D0D0D"/>
          <w:spacing w:val="-3"/>
        </w:rPr>
        <w:t>JAIME ORLANDO SANTOFIMIO GAMBOA</w:t>
      </w:r>
    </w:p>
    <w:p w14:paraId="667C61AF" w14:textId="77777777" w:rsidR="00AF39A6" w:rsidRPr="008D1806" w:rsidRDefault="00AF39A6" w:rsidP="008D1806">
      <w:pPr>
        <w:jc w:val="both"/>
        <w:rPr>
          <w:rFonts w:ascii="Arial" w:hAnsi="Arial" w:cs="Arial"/>
          <w:color w:val="0D0D0D"/>
        </w:rPr>
      </w:pPr>
    </w:p>
    <w:p w14:paraId="4CBC5DFA" w14:textId="77777777" w:rsidR="00AF39A6" w:rsidRPr="008D1806" w:rsidRDefault="00AF39A6" w:rsidP="008D1806">
      <w:pPr>
        <w:jc w:val="both"/>
        <w:rPr>
          <w:rFonts w:ascii="Arial" w:hAnsi="Arial" w:cs="Arial"/>
          <w:color w:val="0D0D0D"/>
        </w:rPr>
      </w:pPr>
      <w:r w:rsidRPr="008D1806">
        <w:rPr>
          <w:rFonts w:ascii="Arial" w:hAnsi="Arial" w:cs="Arial"/>
          <w:color w:val="0D0D0D"/>
        </w:rPr>
        <w:t>Bogotá D.</w:t>
      </w:r>
      <w:r w:rsidR="004733F6" w:rsidRPr="008D1806">
        <w:rPr>
          <w:rFonts w:ascii="Arial" w:hAnsi="Arial" w:cs="Arial"/>
          <w:color w:val="0D0D0D"/>
        </w:rPr>
        <w:t xml:space="preserve">C., </w:t>
      </w:r>
      <w:r w:rsidR="00133C05" w:rsidRPr="008D1806">
        <w:rPr>
          <w:rFonts w:ascii="Arial" w:hAnsi="Arial" w:cs="Arial"/>
          <w:color w:val="0D0D0D"/>
        </w:rPr>
        <w:t>veintitrés</w:t>
      </w:r>
      <w:r w:rsidR="009B40E6" w:rsidRPr="008D1806">
        <w:rPr>
          <w:rFonts w:ascii="Arial" w:hAnsi="Arial" w:cs="Arial"/>
          <w:color w:val="0D0D0D"/>
        </w:rPr>
        <w:t xml:space="preserve"> (</w:t>
      </w:r>
      <w:r w:rsidR="00133C05" w:rsidRPr="008D1806">
        <w:rPr>
          <w:rFonts w:ascii="Arial" w:hAnsi="Arial" w:cs="Arial"/>
          <w:color w:val="0D0D0D"/>
        </w:rPr>
        <w:t>23</w:t>
      </w:r>
      <w:r w:rsidR="009B40E6" w:rsidRPr="008D1806">
        <w:rPr>
          <w:rFonts w:ascii="Arial" w:hAnsi="Arial" w:cs="Arial"/>
          <w:color w:val="0D0D0D"/>
        </w:rPr>
        <w:t>)</w:t>
      </w:r>
      <w:r w:rsidR="00D23893" w:rsidRPr="008D1806">
        <w:rPr>
          <w:rFonts w:ascii="Arial" w:hAnsi="Arial" w:cs="Arial"/>
          <w:color w:val="0D0D0D"/>
        </w:rPr>
        <w:t xml:space="preserve"> de </w:t>
      </w:r>
      <w:r w:rsidR="00133C05" w:rsidRPr="008D1806">
        <w:rPr>
          <w:rFonts w:ascii="Arial" w:hAnsi="Arial" w:cs="Arial"/>
          <w:color w:val="0D0D0D"/>
        </w:rPr>
        <w:t xml:space="preserve">enero </w:t>
      </w:r>
      <w:r w:rsidR="004733F6" w:rsidRPr="008D1806">
        <w:rPr>
          <w:rFonts w:ascii="Arial" w:hAnsi="Arial" w:cs="Arial"/>
          <w:color w:val="0D0D0D"/>
        </w:rPr>
        <w:t>de</w:t>
      </w:r>
      <w:r w:rsidR="00F97D9C" w:rsidRPr="008D1806">
        <w:rPr>
          <w:rFonts w:ascii="Arial" w:hAnsi="Arial" w:cs="Arial"/>
          <w:color w:val="0D0D0D"/>
        </w:rPr>
        <w:t xml:space="preserve"> dos mil </w:t>
      </w:r>
      <w:r w:rsidR="00133C05" w:rsidRPr="008D1806">
        <w:rPr>
          <w:rFonts w:ascii="Arial" w:hAnsi="Arial" w:cs="Arial"/>
          <w:color w:val="0D0D0D"/>
        </w:rPr>
        <w:t xml:space="preserve">diecisiete </w:t>
      </w:r>
      <w:r w:rsidR="00F97D9C" w:rsidRPr="008D1806">
        <w:rPr>
          <w:rFonts w:ascii="Arial" w:hAnsi="Arial" w:cs="Arial"/>
          <w:color w:val="0D0D0D"/>
        </w:rPr>
        <w:t>(201</w:t>
      </w:r>
      <w:r w:rsidR="00133C05" w:rsidRPr="008D1806">
        <w:rPr>
          <w:rFonts w:ascii="Arial" w:hAnsi="Arial" w:cs="Arial"/>
          <w:color w:val="0D0D0D"/>
        </w:rPr>
        <w:t>7</w:t>
      </w:r>
      <w:r w:rsidRPr="008D1806">
        <w:rPr>
          <w:rFonts w:ascii="Arial" w:hAnsi="Arial" w:cs="Arial"/>
          <w:color w:val="0D0D0D"/>
        </w:rPr>
        <w:t>).</w:t>
      </w:r>
    </w:p>
    <w:p w14:paraId="716E0CC5" w14:textId="77777777" w:rsidR="00AF39A6" w:rsidRPr="008D1806" w:rsidRDefault="00AF39A6" w:rsidP="008D1806">
      <w:pPr>
        <w:jc w:val="both"/>
        <w:rPr>
          <w:rFonts w:ascii="Arial" w:hAnsi="Arial" w:cs="Arial"/>
          <w:b/>
          <w:color w:val="0D0D0D"/>
        </w:rPr>
      </w:pPr>
    </w:p>
    <w:p w14:paraId="25ECD050" w14:textId="77777777" w:rsidR="00AF39A6" w:rsidRDefault="00AF39A6" w:rsidP="008D1806">
      <w:pPr>
        <w:jc w:val="both"/>
        <w:rPr>
          <w:rFonts w:ascii="Arial" w:hAnsi="Arial" w:cs="Arial"/>
          <w:b/>
          <w:color w:val="0D0D0D"/>
        </w:rPr>
      </w:pPr>
      <w:r w:rsidRPr="008D1806">
        <w:rPr>
          <w:rFonts w:ascii="Arial" w:hAnsi="Arial" w:cs="Arial"/>
          <w:b/>
          <w:color w:val="0D0D0D"/>
        </w:rPr>
        <w:t>Radicación</w:t>
      </w:r>
      <w:r w:rsidR="008D1806">
        <w:rPr>
          <w:rFonts w:ascii="Arial" w:hAnsi="Arial" w:cs="Arial"/>
          <w:b/>
          <w:color w:val="0D0D0D"/>
        </w:rPr>
        <w:t xml:space="preserve"> número</w:t>
      </w:r>
      <w:r w:rsidRPr="008D1806">
        <w:rPr>
          <w:rFonts w:ascii="Arial" w:hAnsi="Arial" w:cs="Arial"/>
          <w:b/>
          <w:color w:val="0D0D0D"/>
        </w:rPr>
        <w:t>:</w:t>
      </w:r>
      <w:r w:rsidR="008D1806">
        <w:rPr>
          <w:rFonts w:ascii="Arial" w:hAnsi="Arial" w:cs="Arial"/>
          <w:b/>
          <w:color w:val="0D0D0D"/>
        </w:rPr>
        <w:t xml:space="preserve"> </w:t>
      </w:r>
      <w:r w:rsidR="00CB66A7" w:rsidRPr="008D1806">
        <w:rPr>
          <w:rFonts w:ascii="Arial" w:hAnsi="Arial" w:cs="Arial"/>
          <w:b/>
          <w:color w:val="0D0D0D"/>
        </w:rPr>
        <w:t>25000</w:t>
      </w:r>
      <w:r w:rsidR="00150442" w:rsidRPr="008D1806">
        <w:rPr>
          <w:rFonts w:ascii="Arial" w:hAnsi="Arial" w:cs="Arial"/>
          <w:b/>
          <w:color w:val="0D0D0D"/>
        </w:rPr>
        <w:t>-</w:t>
      </w:r>
      <w:r w:rsidR="00F97D9C" w:rsidRPr="008D1806">
        <w:rPr>
          <w:rFonts w:ascii="Arial" w:hAnsi="Arial" w:cs="Arial"/>
          <w:b/>
          <w:color w:val="0D0D0D"/>
        </w:rPr>
        <w:t>23</w:t>
      </w:r>
      <w:r w:rsidR="00150442" w:rsidRPr="008D1806">
        <w:rPr>
          <w:rFonts w:ascii="Arial" w:hAnsi="Arial" w:cs="Arial"/>
          <w:b/>
          <w:color w:val="0D0D0D"/>
        </w:rPr>
        <w:t>-</w:t>
      </w:r>
      <w:r w:rsidR="00D07DD0" w:rsidRPr="008D1806">
        <w:rPr>
          <w:rFonts w:ascii="Arial" w:hAnsi="Arial" w:cs="Arial"/>
          <w:b/>
          <w:color w:val="0D0D0D"/>
        </w:rPr>
        <w:t>3</w:t>
      </w:r>
      <w:r w:rsidR="00CB66A7" w:rsidRPr="008D1806">
        <w:rPr>
          <w:rFonts w:ascii="Arial" w:hAnsi="Arial" w:cs="Arial"/>
          <w:b/>
          <w:color w:val="0D0D0D"/>
        </w:rPr>
        <w:t>6</w:t>
      </w:r>
      <w:r w:rsidR="00150442" w:rsidRPr="008D1806">
        <w:rPr>
          <w:rFonts w:ascii="Arial" w:hAnsi="Arial" w:cs="Arial"/>
          <w:b/>
          <w:color w:val="0D0D0D"/>
        </w:rPr>
        <w:t>-</w:t>
      </w:r>
      <w:r w:rsidR="00CB66A7" w:rsidRPr="008D1806">
        <w:rPr>
          <w:rFonts w:ascii="Arial" w:hAnsi="Arial" w:cs="Arial"/>
          <w:b/>
          <w:color w:val="0D0D0D"/>
        </w:rPr>
        <w:t>000</w:t>
      </w:r>
      <w:r w:rsidR="00F97D9C" w:rsidRPr="008D1806">
        <w:rPr>
          <w:rFonts w:ascii="Arial" w:hAnsi="Arial" w:cs="Arial"/>
          <w:b/>
          <w:color w:val="0D0D0D"/>
        </w:rPr>
        <w:t>-20</w:t>
      </w:r>
      <w:r w:rsidR="00CB66A7" w:rsidRPr="008D1806">
        <w:rPr>
          <w:rFonts w:ascii="Arial" w:hAnsi="Arial" w:cs="Arial"/>
          <w:b/>
          <w:color w:val="0D0D0D"/>
        </w:rPr>
        <w:t>13-01554</w:t>
      </w:r>
      <w:r w:rsidR="00150442" w:rsidRPr="008D1806">
        <w:rPr>
          <w:rFonts w:ascii="Arial" w:hAnsi="Arial" w:cs="Arial"/>
          <w:b/>
          <w:color w:val="0D0D0D"/>
        </w:rPr>
        <w:t>-01</w:t>
      </w:r>
      <w:r w:rsidR="00CB66A7" w:rsidRPr="008D1806">
        <w:rPr>
          <w:rFonts w:ascii="Arial" w:hAnsi="Arial" w:cs="Arial"/>
          <w:b/>
          <w:color w:val="0D0D0D"/>
        </w:rPr>
        <w:t>(56014</w:t>
      </w:r>
      <w:r w:rsidR="00D07DD0" w:rsidRPr="008D1806">
        <w:rPr>
          <w:rFonts w:ascii="Arial" w:hAnsi="Arial" w:cs="Arial"/>
          <w:b/>
          <w:color w:val="0D0D0D"/>
        </w:rPr>
        <w:t>)</w:t>
      </w:r>
    </w:p>
    <w:p w14:paraId="09005286" w14:textId="77777777" w:rsidR="008D1806" w:rsidRPr="008D1806" w:rsidRDefault="008D1806" w:rsidP="008D1806">
      <w:pPr>
        <w:jc w:val="both"/>
        <w:rPr>
          <w:rFonts w:ascii="Arial" w:hAnsi="Arial" w:cs="Arial"/>
          <w:b/>
          <w:color w:val="0D0D0D"/>
        </w:rPr>
      </w:pPr>
    </w:p>
    <w:p w14:paraId="6C6AA0C4" w14:textId="77777777" w:rsidR="00EE2571" w:rsidRDefault="00AF39A6" w:rsidP="008D1806">
      <w:pPr>
        <w:jc w:val="both"/>
        <w:rPr>
          <w:rFonts w:ascii="Arial" w:hAnsi="Arial" w:cs="Arial"/>
          <w:b/>
          <w:color w:val="0D0D0D"/>
        </w:rPr>
      </w:pPr>
      <w:r w:rsidRPr="008D1806">
        <w:rPr>
          <w:rFonts w:ascii="Arial" w:hAnsi="Arial" w:cs="Arial"/>
          <w:b/>
          <w:color w:val="0D0D0D"/>
        </w:rPr>
        <w:t xml:space="preserve">Actor: </w:t>
      </w:r>
      <w:r w:rsidR="008D1806">
        <w:rPr>
          <w:rFonts w:ascii="Arial" w:hAnsi="Arial" w:cs="Arial"/>
          <w:b/>
          <w:color w:val="0D0D0D"/>
        </w:rPr>
        <w:t>CORPORACIO</w:t>
      </w:r>
      <w:r w:rsidR="00B21278" w:rsidRPr="008D1806">
        <w:rPr>
          <w:rFonts w:ascii="Arial" w:hAnsi="Arial" w:cs="Arial"/>
          <w:b/>
          <w:color w:val="0D0D0D"/>
        </w:rPr>
        <w:t>N AUT</w:t>
      </w:r>
      <w:r w:rsidR="008D1806">
        <w:rPr>
          <w:rFonts w:ascii="Arial" w:hAnsi="Arial" w:cs="Arial"/>
          <w:b/>
          <w:color w:val="0D0D0D"/>
        </w:rPr>
        <w:t>O</w:t>
      </w:r>
      <w:r w:rsidR="00B21278" w:rsidRPr="008D1806">
        <w:rPr>
          <w:rFonts w:ascii="Arial" w:hAnsi="Arial" w:cs="Arial"/>
          <w:b/>
          <w:color w:val="0D0D0D"/>
        </w:rPr>
        <w:t xml:space="preserve">NOMA DE CUNDINAMARCA </w:t>
      </w:r>
      <w:r w:rsidR="008D1806">
        <w:rPr>
          <w:rFonts w:ascii="Arial" w:hAnsi="Arial" w:cs="Arial"/>
          <w:b/>
          <w:color w:val="0D0D0D"/>
        </w:rPr>
        <w:t>- CAR</w:t>
      </w:r>
    </w:p>
    <w:p w14:paraId="51A660FC" w14:textId="77777777" w:rsidR="008D1806" w:rsidRPr="008D1806" w:rsidRDefault="008D1806" w:rsidP="008D1806">
      <w:pPr>
        <w:jc w:val="both"/>
        <w:rPr>
          <w:rFonts w:ascii="Arial" w:hAnsi="Arial" w:cs="Arial"/>
          <w:b/>
          <w:color w:val="0D0D0D"/>
        </w:rPr>
      </w:pPr>
    </w:p>
    <w:p w14:paraId="76E37F08" w14:textId="77777777" w:rsidR="00AF39A6" w:rsidRPr="008D1806" w:rsidRDefault="00EE2571" w:rsidP="008D1806">
      <w:pPr>
        <w:jc w:val="both"/>
        <w:rPr>
          <w:rFonts w:ascii="Arial" w:hAnsi="Arial" w:cs="Arial"/>
          <w:b/>
          <w:color w:val="0D0D0D"/>
        </w:rPr>
      </w:pPr>
      <w:r w:rsidRPr="008D1806">
        <w:rPr>
          <w:rFonts w:ascii="Arial" w:hAnsi="Arial" w:cs="Arial"/>
          <w:b/>
          <w:color w:val="0D0D0D"/>
        </w:rPr>
        <w:t>Dema</w:t>
      </w:r>
      <w:r w:rsidR="00AF39A6" w:rsidRPr="008D1806">
        <w:rPr>
          <w:rFonts w:ascii="Arial" w:hAnsi="Arial" w:cs="Arial"/>
          <w:b/>
          <w:color w:val="0D0D0D"/>
        </w:rPr>
        <w:t>ndado:</w:t>
      </w:r>
      <w:r w:rsidR="00F97D9C" w:rsidRPr="008D1806">
        <w:rPr>
          <w:rFonts w:ascii="Arial" w:hAnsi="Arial" w:cs="Arial"/>
          <w:b/>
          <w:color w:val="0D0D0D"/>
        </w:rPr>
        <w:t xml:space="preserve"> </w:t>
      </w:r>
      <w:r w:rsidR="00B21278" w:rsidRPr="008D1806">
        <w:rPr>
          <w:rFonts w:ascii="Arial" w:hAnsi="Arial" w:cs="Arial"/>
          <w:b/>
          <w:color w:val="0D0D0D"/>
        </w:rPr>
        <w:t>AGENCIA NAC</w:t>
      </w:r>
      <w:r w:rsidR="008D1806">
        <w:rPr>
          <w:rFonts w:ascii="Arial" w:hAnsi="Arial" w:cs="Arial"/>
          <w:b/>
          <w:color w:val="0D0D0D"/>
        </w:rPr>
        <w:t>IONAL DE MINERI</w:t>
      </w:r>
      <w:r w:rsidR="00B21278" w:rsidRPr="008D1806">
        <w:rPr>
          <w:rFonts w:ascii="Arial" w:hAnsi="Arial" w:cs="Arial"/>
          <w:b/>
          <w:color w:val="0D0D0D"/>
        </w:rPr>
        <w:t>A Y OTRO</w:t>
      </w:r>
    </w:p>
    <w:p w14:paraId="108D4DCB" w14:textId="77777777" w:rsidR="008D1806" w:rsidRDefault="008D1806" w:rsidP="008D1806">
      <w:pPr>
        <w:jc w:val="both"/>
        <w:rPr>
          <w:rFonts w:ascii="Arial" w:hAnsi="Arial" w:cs="Arial"/>
          <w:b/>
          <w:color w:val="0D0D0D"/>
        </w:rPr>
      </w:pPr>
    </w:p>
    <w:p w14:paraId="17EE3034" w14:textId="77777777" w:rsidR="008D1806" w:rsidRDefault="008D1806" w:rsidP="008D1806">
      <w:pPr>
        <w:jc w:val="both"/>
        <w:rPr>
          <w:rFonts w:ascii="Arial" w:hAnsi="Arial" w:cs="Arial"/>
          <w:b/>
          <w:color w:val="0D0D0D"/>
        </w:rPr>
      </w:pPr>
    </w:p>
    <w:p w14:paraId="27BBEAFF" w14:textId="77777777" w:rsidR="00AF39A6" w:rsidRDefault="008D1806" w:rsidP="008D1806">
      <w:pPr>
        <w:jc w:val="both"/>
        <w:rPr>
          <w:rFonts w:ascii="Arial" w:hAnsi="Arial" w:cs="Arial"/>
          <w:b/>
          <w:color w:val="0D0D0D"/>
        </w:rPr>
      </w:pPr>
      <w:r>
        <w:rPr>
          <w:rFonts w:ascii="Arial" w:hAnsi="Arial" w:cs="Arial"/>
          <w:b/>
          <w:color w:val="0D0D0D"/>
        </w:rPr>
        <w:t>Referencia</w:t>
      </w:r>
      <w:r w:rsidR="00AF39A6" w:rsidRPr="008D1806">
        <w:rPr>
          <w:rFonts w:ascii="Arial" w:hAnsi="Arial" w:cs="Arial"/>
          <w:b/>
          <w:color w:val="0D0D0D"/>
        </w:rPr>
        <w:t xml:space="preserve">: </w:t>
      </w:r>
      <w:r w:rsidR="00810713" w:rsidRPr="008D1806">
        <w:rPr>
          <w:rFonts w:ascii="Arial" w:hAnsi="Arial" w:cs="Arial"/>
          <w:b/>
          <w:color w:val="0D0D0D"/>
        </w:rPr>
        <w:t>MEDIO DE CONTROL</w:t>
      </w:r>
      <w:r w:rsidR="00A32617" w:rsidRPr="008D1806">
        <w:rPr>
          <w:rFonts w:ascii="Arial" w:hAnsi="Arial" w:cs="Arial"/>
          <w:b/>
          <w:color w:val="0D0D0D"/>
        </w:rPr>
        <w:t xml:space="preserve"> </w:t>
      </w:r>
      <w:r w:rsidR="00E94352" w:rsidRPr="008D1806">
        <w:rPr>
          <w:rFonts w:ascii="Arial" w:hAnsi="Arial" w:cs="Arial"/>
          <w:b/>
          <w:color w:val="0D0D0D"/>
        </w:rPr>
        <w:t>CONTROVERSIA</w:t>
      </w:r>
      <w:r>
        <w:rPr>
          <w:rFonts w:ascii="Arial" w:hAnsi="Arial" w:cs="Arial"/>
          <w:b/>
          <w:color w:val="0D0D0D"/>
        </w:rPr>
        <w:t>S</w:t>
      </w:r>
      <w:r w:rsidR="00E94352" w:rsidRPr="008D1806">
        <w:rPr>
          <w:rFonts w:ascii="Arial" w:hAnsi="Arial" w:cs="Arial"/>
          <w:b/>
          <w:color w:val="0D0D0D"/>
        </w:rPr>
        <w:t xml:space="preserve"> CONTRACTUAL</w:t>
      </w:r>
      <w:r>
        <w:rPr>
          <w:rFonts w:ascii="Arial" w:hAnsi="Arial" w:cs="Arial"/>
          <w:b/>
          <w:color w:val="0D0D0D"/>
        </w:rPr>
        <w:t>ES</w:t>
      </w:r>
      <w:r w:rsidR="00140130">
        <w:rPr>
          <w:rFonts w:ascii="Arial" w:hAnsi="Arial" w:cs="Arial"/>
          <w:b/>
          <w:color w:val="0D0D0D"/>
        </w:rPr>
        <w:t xml:space="preserve"> (APELACION SENTENCIA)</w:t>
      </w:r>
    </w:p>
    <w:p w14:paraId="6F3303A3" w14:textId="77777777" w:rsidR="00140130" w:rsidRDefault="00140130" w:rsidP="008D1806">
      <w:pPr>
        <w:jc w:val="both"/>
        <w:rPr>
          <w:rFonts w:ascii="Arial" w:hAnsi="Arial" w:cs="Arial"/>
          <w:b/>
          <w:color w:val="0D0D0D"/>
        </w:rPr>
      </w:pPr>
    </w:p>
    <w:p w14:paraId="131F7D9A" w14:textId="77777777" w:rsidR="008D1806" w:rsidRDefault="008D1806" w:rsidP="008D1806">
      <w:pPr>
        <w:jc w:val="both"/>
        <w:rPr>
          <w:rFonts w:ascii="Arial" w:hAnsi="Arial" w:cs="Arial"/>
          <w:b/>
          <w:color w:val="0D0D0D"/>
        </w:rPr>
      </w:pPr>
    </w:p>
    <w:p w14:paraId="3A223A50" w14:textId="77777777" w:rsidR="008D1806" w:rsidRPr="008D1806" w:rsidRDefault="008D1806" w:rsidP="008D1806">
      <w:pPr>
        <w:jc w:val="both"/>
        <w:rPr>
          <w:rFonts w:ascii="Arial" w:hAnsi="Arial" w:cs="Arial"/>
          <w:b/>
          <w:color w:val="0D0D0D"/>
        </w:rPr>
      </w:pPr>
    </w:p>
    <w:p w14:paraId="4E23DFD6" w14:textId="77777777" w:rsidR="00D23893" w:rsidRPr="00A73A56" w:rsidRDefault="00D23893" w:rsidP="00CB66A7">
      <w:pPr>
        <w:jc w:val="both"/>
        <w:rPr>
          <w:rFonts w:ascii="Arial" w:hAnsi="Arial" w:cs="Arial"/>
          <w:color w:val="0D0D0D"/>
          <w:sz w:val="22"/>
          <w:szCs w:val="22"/>
        </w:rPr>
      </w:pPr>
      <w:r w:rsidRPr="00A73A56">
        <w:rPr>
          <w:rFonts w:ascii="Arial" w:hAnsi="Arial" w:cs="Arial"/>
          <w:b/>
          <w:color w:val="0D0D0D"/>
          <w:sz w:val="22"/>
          <w:szCs w:val="22"/>
        </w:rPr>
        <w:t xml:space="preserve">Contenido: </w:t>
      </w:r>
      <w:r w:rsidRPr="00A73A56">
        <w:rPr>
          <w:rFonts w:ascii="Arial" w:hAnsi="Arial" w:cs="Arial"/>
          <w:color w:val="0D0D0D"/>
          <w:sz w:val="22"/>
          <w:szCs w:val="22"/>
        </w:rPr>
        <w:t xml:space="preserve">Descriptor: </w:t>
      </w:r>
      <w:r w:rsidR="008118B0" w:rsidRPr="00A73A56">
        <w:rPr>
          <w:rFonts w:ascii="Arial" w:hAnsi="Arial" w:cs="Arial"/>
          <w:color w:val="0D0D0D"/>
          <w:sz w:val="22"/>
          <w:szCs w:val="22"/>
        </w:rPr>
        <w:t xml:space="preserve">Se revoca la decisión </w:t>
      </w:r>
      <w:r w:rsidR="009D6A45" w:rsidRPr="00A73A56">
        <w:rPr>
          <w:rFonts w:ascii="Arial" w:hAnsi="Arial" w:cs="Arial"/>
          <w:color w:val="0D0D0D"/>
          <w:sz w:val="22"/>
          <w:szCs w:val="22"/>
        </w:rPr>
        <w:t xml:space="preserve">que declaró la nulidad absoluta parcial del contrato de concesión minera, y en su lugar se declara la caducidad </w:t>
      </w:r>
      <w:r w:rsidR="000F4F5C" w:rsidRPr="00A73A56">
        <w:rPr>
          <w:rFonts w:ascii="Arial" w:hAnsi="Arial" w:cs="Arial"/>
          <w:color w:val="0D0D0D"/>
          <w:sz w:val="22"/>
          <w:szCs w:val="22"/>
        </w:rPr>
        <w:t>de oficio del medio de control</w:t>
      </w:r>
      <w:r w:rsidR="008D225F" w:rsidRPr="00A73A56">
        <w:rPr>
          <w:rFonts w:ascii="Arial" w:hAnsi="Arial" w:cs="Arial"/>
          <w:color w:val="0D0D0D"/>
          <w:sz w:val="22"/>
          <w:szCs w:val="22"/>
        </w:rPr>
        <w:t xml:space="preserve"> </w:t>
      </w:r>
      <w:r w:rsidRPr="00A73A56">
        <w:rPr>
          <w:rFonts w:ascii="Arial" w:hAnsi="Arial" w:cs="Arial"/>
          <w:color w:val="0D0D0D"/>
          <w:sz w:val="22"/>
          <w:szCs w:val="22"/>
        </w:rPr>
        <w:t xml:space="preserve">/ Restrictor: </w:t>
      </w:r>
      <w:r w:rsidR="009D6A45" w:rsidRPr="00A73A56">
        <w:rPr>
          <w:rFonts w:ascii="Arial" w:hAnsi="Arial" w:cs="Arial"/>
          <w:color w:val="0D0D0D"/>
          <w:sz w:val="22"/>
          <w:szCs w:val="22"/>
        </w:rPr>
        <w:t>Del medio de control de controversias contractuales – caducidad del medio de control – Aplicación normativa artículo 269 del Código General del Proceso.</w:t>
      </w:r>
    </w:p>
    <w:p w14:paraId="514EE73D" w14:textId="77777777" w:rsidR="00D23893" w:rsidRPr="00A73A56" w:rsidRDefault="00D23893" w:rsidP="0068772A">
      <w:pPr>
        <w:spacing w:line="360" w:lineRule="auto"/>
        <w:ind w:right="-134"/>
        <w:jc w:val="both"/>
        <w:rPr>
          <w:rFonts w:ascii="Arial" w:hAnsi="Arial" w:cs="Arial"/>
          <w:color w:val="0D0D0D"/>
          <w:sz w:val="22"/>
          <w:szCs w:val="22"/>
        </w:rPr>
      </w:pPr>
    </w:p>
    <w:p w14:paraId="5B09E879" w14:textId="77777777" w:rsidR="00AF39A6" w:rsidRPr="00A73A56" w:rsidRDefault="00AF39A6" w:rsidP="0068772A">
      <w:pPr>
        <w:spacing w:line="360" w:lineRule="auto"/>
        <w:ind w:right="-134"/>
        <w:jc w:val="both"/>
        <w:rPr>
          <w:rFonts w:ascii="Arial" w:hAnsi="Arial" w:cs="Arial"/>
          <w:color w:val="0D0D0D"/>
          <w:sz w:val="22"/>
          <w:szCs w:val="22"/>
        </w:rPr>
      </w:pPr>
      <w:r w:rsidRPr="00A73A56">
        <w:rPr>
          <w:rFonts w:ascii="Arial" w:hAnsi="Arial" w:cs="Arial"/>
          <w:color w:val="0D0D0D"/>
          <w:sz w:val="22"/>
          <w:szCs w:val="22"/>
        </w:rPr>
        <w:t>Decide la Sala</w:t>
      </w:r>
      <w:r w:rsidR="00A032CA" w:rsidRPr="00A73A56">
        <w:rPr>
          <w:rFonts w:ascii="Arial" w:hAnsi="Arial" w:cs="Arial"/>
          <w:color w:val="0D0D0D"/>
          <w:sz w:val="22"/>
          <w:szCs w:val="22"/>
        </w:rPr>
        <w:t>, en audiencia pública,</w:t>
      </w:r>
      <w:r w:rsidRPr="00A73A56">
        <w:rPr>
          <w:rFonts w:ascii="Arial" w:hAnsi="Arial" w:cs="Arial"/>
          <w:color w:val="0D0D0D"/>
          <w:sz w:val="22"/>
          <w:szCs w:val="22"/>
        </w:rPr>
        <w:t xml:space="preserve"> el recurso de apelación interpuesto</w:t>
      </w:r>
      <w:r w:rsidR="00F97D9C" w:rsidRPr="00A73A56">
        <w:rPr>
          <w:rFonts w:ascii="Arial" w:hAnsi="Arial" w:cs="Arial"/>
          <w:color w:val="0D0D0D"/>
          <w:sz w:val="22"/>
          <w:szCs w:val="22"/>
        </w:rPr>
        <w:t xml:space="preserve"> por </w:t>
      </w:r>
      <w:r w:rsidR="00CB66A7" w:rsidRPr="00A73A56">
        <w:rPr>
          <w:rFonts w:ascii="Arial" w:hAnsi="Arial" w:cs="Arial"/>
          <w:color w:val="0D0D0D"/>
          <w:sz w:val="22"/>
          <w:szCs w:val="22"/>
        </w:rPr>
        <w:t xml:space="preserve">el apoderado de la Agencia Nacional de Minería </w:t>
      </w:r>
      <w:r w:rsidRPr="00A73A56">
        <w:rPr>
          <w:rFonts w:ascii="Arial" w:hAnsi="Arial" w:cs="Arial"/>
          <w:color w:val="0D0D0D"/>
          <w:sz w:val="22"/>
          <w:szCs w:val="22"/>
        </w:rPr>
        <w:t>contr</w:t>
      </w:r>
      <w:r w:rsidR="00336562" w:rsidRPr="00A73A56">
        <w:rPr>
          <w:rFonts w:ascii="Arial" w:hAnsi="Arial" w:cs="Arial"/>
          <w:color w:val="0D0D0D"/>
          <w:sz w:val="22"/>
          <w:szCs w:val="22"/>
        </w:rPr>
        <w:t xml:space="preserve">a la sentencia </w:t>
      </w:r>
      <w:r w:rsidR="00CB66A7" w:rsidRPr="00A73A56">
        <w:rPr>
          <w:rFonts w:ascii="Arial" w:hAnsi="Arial" w:cs="Arial"/>
          <w:color w:val="0D0D0D"/>
          <w:sz w:val="22"/>
          <w:szCs w:val="22"/>
        </w:rPr>
        <w:t>del 12 de agosto de 2015</w:t>
      </w:r>
      <w:r w:rsidR="002605FA" w:rsidRPr="00A73A56">
        <w:rPr>
          <w:rFonts w:ascii="Arial" w:hAnsi="Arial" w:cs="Arial"/>
          <w:color w:val="0D0D0D"/>
          <w:sz w:val="22"/>
          <w:szCs w:val="22"/>
        </w:rPr>
        <w:t xml:space="preserve">, </w:t>
      </w:r>
      <w:r w:rsidRPr="00A73A56">
        <w:rPr>
          <w:rFonts w:ascii="Arial" w:hAnsi="Arial" w:cs="Arial"/>
          <w:color w:val="0D0D0D"/>
          <w:sz w:val="22"/>
          <w:szCs w:val="22"/>
        </w:rPr>
        <w:t>proferida por el Tribuna</w:t>
      </w:r>
      <w:r w:rsidR="00130CC1" w:rsidRPr="00A73A56">
        <w:rPr>
          <w:rFonts w:ascii="Arial" w:hAnsi="Arial" w:cs="Arial"/>
          <w:color w:val="0D0D0D"/>
          <w:sz w:val="22"/>
          <w:szCs w:val="22"/>
        </w:rPr>
        <w:t>l Administrativo de</w:t>
      </w:r>
      <w:r w:rsidR="00F97D9C" w:rsidRPr="00A73A56">
        <w:rPr>
          <w:rFonts w:ascii="Arial" w:hAnsi="Arial" w:cs="Arial"/>
          <w:color w:val="0D0D0D"/>
          <w:sz w:val="22"/>
          <w:szCs w:val="22"/>
        </w:rPr>
        <w:t xml:space="preserve"> </w:t>
      </w:r>
      <w:r w:rsidR="00CB66A7" w:rsidRPr="00A73A56">
        <w:rPr>
          <w:rFonts w:ascii="Arial" w:hAnsi="Arial" w:cs="Arial"/>
          <w:color w:val="0D0D0D"/>
          <w:sz w:val="22"/>
          <w:szCs w:val="22"/>
        </w:rPr>
        <w:t xml:space="preserve">Cundinamarca, Sección Tercera Subsección “A” </w:t>
      </w:r>
      <w:r w:rsidR="009D6A45" w:rsidRPr="00A73A56">
        <w:rPr>
          <w:rFonts w:ascii="Arial" w:hAnsi="Arial" w:cs="Arial"/>
          <w:color w:val="0D0D0D"/>
          <w:sz w:val="22"/>
          <w:szCs w:val="22"/>
        </w:rPr>
        <w:t xml:space="preserve">en el marco de la audiencia inicial </w:t>
      </w:r>
      <w:r w:rsidR="00CB66A7" w:rsidRPr="00A73A56">
        <w:rPr>
          <w:rFonts w:ascii="Arial" w:hAnsi="Arial" w:cs="Arial"/>
          <w:color w:val="0D0D0D"/>
          <w:sz w:val="22"/>
          <w:szCs w:val="22"/>
        </w:rPr>
        <w:t>en la cual se declaró la nulidad absoluta parcial por objeto ilícito del contrato de concesión minera GE6-143 del 9 de noviembre de 2006 y ordenó que se inaplique con efectos interpartes</w:t>
      </w:r>
      <w:r w:rsidR="00312DBB" w:rsidRPr="00A73A56">
        <w:rPr>
          <w:rFonts w:ascii="Arial" w:hAnsi="Arial" w:cs="Arial"/>
          <w:color w:val="0D0D0D"/>
          <w:sz w:val="22"/>
          <w:szCs w:val="22"/>
        </w:rPr>
        <w:t xml:space="preserve"> la Resolución 1858 de 29 </w:t>
      </w:r>
      <w:r w:rsidR="00DC4A36" w:rsidRPr="00A73A56">
        <w:rPr>
          <w:rFonts w:ascii="Arial" w:hAnsi="Arial" w:cs="Arial"/>
          <w:color w:val="0D0D0D"/>
          <w:sz w:val="22"/>
          <w:szCs w:val="22"/>
        </w:rPr>
        <w:t>d</w:t>
      </w:r>
      <w:r w:rsidR="00312DBB" w:rsidRPr="00A73A56">
        <w:rPr>
          <w:rFonts w:ascii="Arial" w:hAnsi="Arial" w:cs="Arial"/>
          <w:color w:val="0D0D0D"/>
          <w:sz w:val="22"/>
          <w:szCs w:val="22"/>
        </w:rPr>
        <w:t>e agosto de 2008</w:t>
      </w:r>
      <w:r w:rsidR="00DC4A36" w:rsidRPr="00A73A56">
        <w:rPr>
          <w:rFonts w:ascii="Arial" w:hAnsi="Arial" w:cs="Arial"/>
          <w:color w:val="0D0D0D"/>
          <w:sz w:val="22"/>
          <w:szCs w:val="22"/>
        </w:rPr>
        <w:t>.</w:t>
      </w:r>
    </w:p>
    <w:p w14:paraId="26285794" w14:textId="77777777" w:rsidR="00AF39A6" w:rsidRPr="00A73A56" w:rsidRDefault="00AF39A6" w:rsidP="0068772A">
      <w:pPr>
        <w:spacing w:line="360" w:lineRule="auto"/>
        <w:ind w:right="-134"/>
        <w:jc w:val="both"/>
        <w:rPr>
          <w:rFonts w:ascii="Arial" w:hAnsi="Arial" w:cs="Arial"/>
          <w:color w:val="0D0D0D"/>
          <w:sz w:val="22"/>
          <w:szCs w:val="22"/>
        </w:rPr>
      </w:pPr>
    </w:p>
    <w:p w14:paraId="74B498A3" w14:textId="77777777" w:rsidR="00AF39A6" w:rsidRPr="00A73A56" w:rsidRDefault="00AF39A6" w:rsidP="00DC4A36">
      <w:pPr>
        <w:pStyle w:val="Listamedia2-nfasis41"/>
        <w:spacing w:line="360" w:lineRule="auto"/>
        <w:ind w:left="0" w:right="-134"/>
        <w:jc w:val="center"/>
        <w:rPr>
          <w:rFonts w:ascii="Arial" w:hAnsi="Arial" w:cs="Arial"/>
          <w:b/>
          <w:color w:val="0D0D0D"/>
          <w:sz w:val="22"/>
          <w:szCs w:val="22"/>
        </w:rPr>
      </w:pPr>
      <w:r w:rsidRPr="00A73A56">
        <w:rPr>
          <w:rFonts w:ascii="Arial" w:hAnsi="Arial" w:cs="Arial"/>
          <w:b/>
          <w:color w:val="0D0D0D"/>
          <w:sz w:val="22"/>
          <w:szCs w:val="22"/>
        </w:rPr>
        <w:t>ANTECEDENTES</w:t>
      </w:r>
    </w:p>
    <w:p w14:paraId="4F50972E" w14:textId="77777777" w:rsidR="00DC4A36" w:rsidRPr="00A73A56" w:rsidRDefault="00DC4A36" w:rsidP="00DC4A36">
      <w:pPr>
        <w:pStyle w:val="Listamedia2-nfasis41"/>
        <w:spacing w:line="360" w:lineRule="auto"/>
        <w:ind w:left="4515" w:right="-134"/>
        <w:rPr>
          <w:rFonts w:ascii="Arial" w:hAnsi="Arial" w:cs="Arial"/>
          <w:b/>
          <w:color w:val="0D0D0D"/>
          <w:sz w:val="22"/>
          <w:szCs w:val="22"/>
        </w:rPr>
      </w:pPr>
    </w:p>
    <w:p w14:paraId="61C4A430" w14:textId="77777777" w:rsidR="007E39BE" w:rsidRPr="00A73A56" w:rsidRDefault="007E39BE" w:rsidP="0068772A">
      <w:pPr>
        <w:pStyle w:val="Listamedia2-nfasis41"/>
        <w:numPr>
          <w:ilvl w:val="0"/>
          <w:numId w:val="3"/>
        </w:numPr>
        <w:spacing w:line="360" w:lineRule="auto"/>
        <w:ind w:right="-134"/>
        <w:rPr>
          <w:rFonts w:ascii="Arial" w:hAnsi="Arial" w:cs="Arial"/>
          <w:b/>
          <w:color w:val="0D0D0D"/>
          <w:sz w:val="22"/>
          <w:szCs w:val="22"/>
        </w:rPr>
      </w:pPr>
      <w:r w:rsidRPr="00A73A56">
        <w:rPr>
          <w:rFonts w:ascii="Arial" w:hAnsi="Arial" w:cs="Arial"/>
          <w:b/>
          <w:color w:val="0D0D0D"/>
          <w:sz w:val="22"/>
          <w:szCs w:val="22"/>
        </w:rPr>
        <w:t>L</w:t>
      </w:r>
      <w:r w:rsidR="00DC4A36" w:rsidRPr="00A73A56">
        <w:rPr>
          <w:rFonts w:ascii="Arial" w:hAnsi="Arial" w:cs="Arial"/>
          <w:b/>
          <w:color w:val="0D0D0D"/>
          <w:sz w:val="22"/>
          <w:szCs w:val="22"/>
        </w:rPr>
        <w:t>a demanda</w:t>
      </w:r>
    </w:p>
    <w:p w14:paraId="4FDBB588" w14:textId="77777777" w:rsidR="00AF39A6" w:rsidRPr="00A73A56" w:rsidRDefault="00AF39A6" w:rsidP="0068772A">
      <w:pPr>
        <w:spacing w:line="360" w:lineRule="auto"/>
        <w:ind w:right="-134"/>
        <w:jc w:val="both"/>
        <w:rPr>
          <w:rFonts w:ascii="Arial" w:hAnsi="Arial" w:cs="Arial"/>
          <w:b/>
          <w:color w:val="0D0D0D"/>
          <w:sz w:val="22"/>
          <w:szCs w:val="22"/>
        </w:rPr>
      </w:pPr>
    </w:p>
    <w:p w14:paraId="3ACFF20E" w14:textId="77777777" w:rsidR="00FE03C7" w:rsidRPr="00A73A56" w:rsidRDefault="00612654" w:rsidP="0068772A">
      <w:pPr>
        <w:widowControl w:val="0"/>
        <w:autoSpaceDE w:val="0"/>
        <w:autoSpaceDN w:val="0"/>
        <w:adjustRightInd w:val="0"/>
        <w:spacing w:line="360" w:lineRule="auto"/>
        <w:jc w:val="both"/>
        <w:rPr>
          <w:rFonts w:ascii="Arial" w:hAnsi="Arial" w:cs="Arial"/>
          <w:color w:val="0D0D0D"/>
          <w:sz w:val="22"/>
          <w:szCs w:val="22"/>
        </w:rPr>
      </w:pPr>
      <w:r w:rsidRPr="00A73A56">
        <w:rPr>
          <w:rFonts w:ascii="Arial" w:hAnsi="Arial" w:cs="Arial"/>
          <w:bCs/>
          <w:color w:val="0D0D0D"/>
          <w:sz w:val="22"/>
          <w:szCs w:val="22"/>
        </w:rPr>
        <w:t>El 2</w:t>
      </w:r>
      <w:r w:rsidR="00F97D9C" w:rsidRPr="00A73A56">
        <w:rPr>
          <w:rFonts w:ascii="Arial" w:hAnsi="Arial" w:cs="Arial"/>
          <w:bCs/>
          <w:color w:val="0D0D0D"/>
          <w:sz w:val="22"/>
          <w:szCs w:val="22"/>
        </w:rPr>
        <w:t xml:space="preserve"> de </w:t>
      </w:r>
      <w:r w:rsidRPr="00A73A56">
        <w:rPr>
          <w:rFonts w:ascii="Arial" w:hAnsi="Arial" w:cs="Arial"/>
          <w:bCs/>
          <w:color w:val="0D0D0D"/>
          <w:sz w:val="22"/>
          <w:szCs w:val="22"/>
        </w:rPr>
        <w:t>septiembre de 2013</w:t>
      </w:r>
      <w:r w:rsidR="00AF39A6" w:rsidRPr="00A73A56">
        <w:rPr>
          <w:rStyle w:val="Refdenotaalpie"/>
          <w:rFonts w:ascii="Arial" w:hAnsi="Arial" w:cs="Arial"/>
          <w:bCs/>
          <w:color w:val="0D0D0D"/>
          <w:sz w:val="22"/>
          <w:szCs w:val="22"/>
        </w:rPr>
        <w:footnoteReference w:id="1"/>
      </w:r>
      <w:r w:rsidR="00C84A2F" w:rsidRPr="00A73A56">
        <w:rPr>
          <w:rFonts w:ascii="Arial" w:hAnsi="Arial" w:cs="Arial"/>
          <w:bCs/>
          <w:color w:val="0D0D0D"/>
          <w:sz w:val="22"/>
          <w:szCs w:val="22"/>
        </w:rPr>
        <w:t xml:space="preserve"> </w:t>
      </w:r>
      <w:r w:rsidRPr="00A73A56">
        <w:rPr>
          <w:rFonts w:ascii="Arial" w:hAnsi="Arial" w:cs="Arial"/>
          <w:bCs/>
          <w:color w:val="0D0D0D"/>
          <w:sz w:val="22"/>
          <w:szCs w:val="22"/>
        </w:rPr>
        <w:t>la Corporación Autónoma Regional de Cundinamarca – CAR, por intermedio de apoderado judicial</w:t>
      </w:r>
      <w:r w:rsidR="00D33279" w:rsidRPr="00A73A56">
        <w:rPr>
          <w:rStyle w:val="Refdenotaalpie"/>
          <w:rFonts w:ascii="Arial" w:hAnsi="Arial" w:cs="Arial"/>
          <w:bCs/>
          <w:color w:val="0D0D0D"/>
          <w:sz w:val="22"/>
          <w:szCs w:val="22"/>
        </w:rPr>
        <w:footnoteReference w:id="2"/>
      </w:r>
      <w:r w:rsidRPr="00A73A56">
        <w:rPr>
          <w:rFonts w:ascii="Arial" w:hAnsi="Arial" w:cs="Arial"/>
          <w:bCs/>
          <w:color w:val="0D0D0D"/>
          <w:sz w:val="22"/>
          <w:szCs w:val="22"/>
        </w:rPr>
        <w:t xml:space="preserve">, </w:t>
      </w:r>
      <w:r w:rsidRPr="00A73A56">
        <w:rPr>
          <w:rFonts w:ascii="Arial" w:hAnsi="Arial" w:cs="Arial"/>
          <w:color w:val="0D0D0D"/>
          <w:sz w:val="22"/>
          <w:szCs w:val="22"/>
        </w:rPr>
        <w:t>presentó</w:t>
      </w:r>
      <w:r w:rsidR="00AF39A6" w:rsidRPr="00A73A56">
        <w:rPr>
          <w:rFonts w:ascii="Arial" w:hAnsi="Arial" w:cs="Arial"/>
          <w:color w:val="0D0D0D"/>
          <w:sz w:val="22"/>
          <w:szCs w:val="22"/>
        </w:rPr>
        <w:t xml:space="preserve"> demanda</w:t>
      </w:r>
      <w:r w:rsidRPr="00A73A56">
        <w:rPr>
          <w:rFonts w:ascii="Arial" w:hAnsi="Arial" w:cs="Arial"/>
          <w:color w:val="0D0D0D"/>
          <w:sz w:val="22"/>
          <w:szCs w:val="22"/>
        </w:rPr>
        <w:t xml:space="preserve"> de nulidad absoluta de contrato </w:t>
      </w:r>
      <w:r w:rsidRPr="00A73A56">
        <w:rPr>
          <w:rFonts w:ascii="Arial" w:hAnsi="Arial" w:cs="Arial"/>
          <w:color w:val="0D0D0D"/>
          <w:sz w:val="22"/>
          <w:szCs w:val="22"/>
        </w:rPr>
        <w:lastRenderedPageBreak/>
        <w:t>estatal, contra la Agencia Nacional de Minería y el Servicio Geológico Colombiano en la que solicitó</w:t>
      </w:r>
      <w:r w:rsidR="00FE03C7" w:rsidRPr="00A73A56">
        <w:rPr>
          <w:rFonts w:ascii="Arial" w:hAnsi="Arial" w:cs="Arial"/>
          <w:color w:val="0D0D0D"/>
          <w:sz w:val="22"/>
          <w:szCs w:val="22"/>
        </w:rPr>
        <w:t>, lo siguiente:</w:t>
      </w:r>
    </w:p>
    <w:p w14:paraId="5685E025"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p>
    <w:p w14:paraId="68F4DC35"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r w:rsidRPr="00A73A56">
        <w:rPr>
          <w:rFonts w:ascii="Arial" w:hAnsi="Arial" w:cs="Arial"/>
          <w:b/>
          <w:i/>
          <w:color w:val="0D0D0D"/>
          <w:sz w:val="22"/>
          <w:szCs w:val="22"/>
        </w:rPr>
        <w:t>“PRIMERO:</w:t>
      </w:r>
      <w:r w:rsidRPr="00A73A56">
        <w:rPr>
          <w:rFonts w:ascii="Arial" w:hAnsi="Arial" w:cs="Arial"/>
          <w:i/>
          <w:color w:val="0D0D0D"/>
          <w:sz w:val="22"/>
          <w:szCs w:val="22"/>
        </w:rPr>
        <w:t xml:space="preserve"> Q</w:t>
      </w:r>
      <w:r w:rsidR="00612654" w:rsidRPr="00A73A56">
        <w:rPr>
          <w:rFonts w:ascii="Arial" w:hAnsi="Arial" w:cs="Arial"/>
          <w:i/>
          <w:color w:val="0D0D0D"/>
          <w:sz w:val="22"/>
          <w:szCs w:val="22"/>
        </w:rPr>
        <w:t>ue se declare la nulidad absoluta del contrato de concesión minera GE6-143</w:t>
      </w:r>
      <w:r w:rsidRPr="00A73A56">
        <w:rPr>
          <w:rFonts w:ascii="Arial" w:hAnsi="Arial" w:cs="Arial"/>
          <w:i/>
          <w:color w:val="0D0D0D"/>
          <w:sz w:val="22"/>
          <w:szCs w:val="22"/>
        </w:rPr>
        <w:t xml:space="preserve"> suscrito entre el INGEOMINAS (hoy Agencia Nacional de Minería) y MARIO FERNANDO MENDOZA ROJAS,</w:t>
      </w:r>
      <w:r w:rsidR="00612654" w:rsidRPr="00A73A56">
        <w:rPr>
          <w:rFonts w:ascii="Arial" w:hAnsi="Arial" w:cs="Arial"/>
          <w:i/>
          <w:color w:val="0D0D0D"/>
          <w:sz w:val="22"/>
          <w:szCs w:val="22"/>
        </w:rPr>
        <w:t xml:space="preserve"> inscrito en el Registro Minero el 22 de junio de 2007</w:t>
      </w:r>
      <w:r w:rsidRPr="00A73A56">
        <w:rPr>
          <w:rFonts w:ascii="Arial" w:hAnsi="Arial" w:cs="Arial"/>
          <w:i/>
          <w:color w:val="0D0D0D"/>
          <w:sz w:val="22"/>
          <w:szCs w:val="22"/>
        </w:rPr>
        <w:t>, para la explotación de materiales de construcción, ubicado en la Reserva Forestal Protectora Cerro Quinini, con área de 38.12 hectáreas, correspondiéndole un porcentaje del 11.38% de la reserva forestal protectora Cerro Quinini, reserva protegida ambientalmente por normas de rango constitucional y legal, como se explicará más adelante, declarada y delimitada por el Acuerdo 29 de 1987 y Resolución 122 de 1987 del Ministerio de Agricultura y un porcentaje del 13.29% de la Reserva Forestal Protectora Cuchilla de Peñas Blancas, declarada por el Acuerdo 42 de 1983 de Inderena.</w:t>
      </w:r>
    </w:p>
    <w:p w14:paraId="14B0C542"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p>
    <w:p w14:paraId="5C8C2CF2"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r w:rsidRPr="00A73A56">
        <w:rPr>
          <w:rFonts w:ascii="Arial" w:hAnsi="Arial" w:cs="Arial"/>
          <w:b/>
          <w:i/>
          <w:color w:val="0D0D0D"/>
          <w:sz w:val="22"/>
          <w:szCs w:val="22"/>
        </w:rPr>
        <w:t>SEGUNDO:</w:t>
      </w:r>
      <w:r w:rsidRPr="00A73A56">
        <w:rPr>
          <w:rFonts w:ascii="Arial" w:hAnsi="Arial" w:cs="Arial"/>
          <w:i/>
          <w:color w:val="0D0D0D"/>
          <w:sz w:val="22"/>
          <w:szCs w:val="22"/>
        </w:rPr>
        <w:t xml:space="preserve"> Que como consecuencia de la declaratoria de nulidad absoluta del referido contrato de concesión, minera, se declare la nulidad de la inscripción del contrato de concesión GE6-143 suscrito entre el INGEOMINAS Y MARIO FERNANDO MENDOZA ROJAS, en el Registro Minero Nacional.</w:t>
      </w:r>
    </w:p>
    <w:p w14:paraId="08A5340E"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p>
    <w:p w14:paraId="44CAC564" w14:textId="77777777" w:rsidR="00FE03C7" w:rsidRPr="00A73A56" w:rsidRDefault="00FE03C7" w:rsidP="00FE03C7">
      <w:pPr>
        <w:widowControl w:val="0"/>
        <w:autoSpaceDE w:val="0"/>
        <w:autoSpaceDN w:val="0"/>
        <w:adjustRightInd w:val="0"/>
        <w:ind w:left="284"/>
        <w:jc w:val="both"/>
        <w:rPr>
          <w:rFonts w:ascii="Arial" w:hAnsi="Arial" w:cs="Arial"/>
          <w:i/>
          <w:color w:val="0D0D0D"/>
          <w:sz w:val="22"/>
          <w:szCs w:val="22"/>
        </w:rPr>
      </w:pPr>
      <w:r w:rsidRPr="00A73A56">
        <w:rPr>
          <w:rFonts w:ascii="Arial" w:hAnsi="Arial" w:cs="Arial"/>
          <w:b/>
          <w:i/>
          <w:color w:val="0D0D0D"/>
          <w:sz w:val="22"/>
          <w:szCs w:val="22"/>
        </w:rPr>
        <w:t>TERCERO:</w:t>
      </w:r>
      <w:r w:rsidRPr="00A73A56">
        <w:rPr>
          <w:rFonts w:ascii="Arial" w:hAnsi="Arial" w:cs="Arial"/>
          <w:i/>
          <w:color w:val="0D0D0D"/>
          <w:sz w:val="22"/>
          <w:szCs w:val="22"/>
        </w:rPr>
        <w:t xml:space="preserve"> Que se ordene la desanotación de la inscripción del contrato de concesión GE6-143 del Registro Minero Nacional”</w:t>
      </w:r>
      <w:r w:rsidRPr="00A73A56">
        <w:rPr>
          <w:rStyle w:val="Refdenotaalpie"/>
          <w:rFonts w:ascii="Arial" w:hAnsi="Arial" w:cs="Arial"/>
          <w:i/>
          <w:color w:val="0D0D0D"/>
          <w:sz w:val="22"/>
          <w:szCs w:val="22"/>
        </w:rPr>
        <w:footnoteReference w:id="3"/>
      </w:r>
      <w:r w:rsidRPr="00A73A56">
        <w:rPr>
          <w:rFonts w:ascii="Arial" w:hAnsi="Arial" w:cs="Arial"/>
          <w:i/>
          <w:color w:val="0D0D0D"/>
          <w:sz w:val="22"/>
          <w:szCs w:val="22"/>
        </w:rPr>
        <w:t>.</w:t>
      </w:r>
    </w:p>
    <w:p w14:paraId="32037208" w14:textId="77777777" w:rsidR="00FE03C7" w:rsidRPr="00A73A56" w:rsidRDefault="00FE03C7" w:rsidP="0068772A">
      <w:pPr>
        <w:widowControl w:val="0"/>
        <w:autoSpaceDE w:val="0"/>
        <w:autoSpaceDN w:val="0"/>
        <w:adjustRightInd w:val="0"/>
        <w:spacing w:line="360" w:lineRule="auto"/>
        <w:jc w:val="both"/>
        <w:rPr>
          <w:rFonts w:ascii="Arial" w:hAnsi="Arial" w:cs="Arial"/>
          <w:color w:val="0D0D0D"/>
          <w:sz w:val="22"/>
          <w:szCs w:val="22"/>
        </w:rPr>
      </w:pPr>
    </w:p>
    <w:p w14:paraId="493A7B8A" w14:textId="77777777" w:rsidR="00AF39A6" w:rsidRPr="00A73A56" w:rsidRDefault="007E39BE" w:rsidP="0068772A">
      <w:pPr>
        <w:pStyle w:val="Listamedia2-nfasis41"/>
        <w:numPr>
          <w:ilvl w:val="0"/>
          <w:numId w:val="3"/>
        </w:numPr>
        <w:spacing w:line="360" w:lineRule="auto"/>
        <w:ind w:right="-134"/>
        <w:jc w:val="both"/>
        <w:rPr>
          <w:rFonts w:ascii="Arial" w:hAnsi="Arial" w:cs="Arial"/>
          <w:b/>
          <w:bCs/>
          <w:color w:val="0D0D0D"/>
          <w:sz w:val="22"/>
          <w:szCs w:val="22"/>
        </w:rPr>
      </w:pPr>
      <w:r w:rsidRPr="00A73A56">
        <w:rPr>
          <w:rFonts w:ascii="Arial" w:hAnsi="Arial" w:cs="Arial"/>
          <w:b/>
          <w:bCs/>
          <w:color w:val="0D0D0D"/>
          <w:sz w:val="22"/>
          <w:szCs w:val="22"/>
        </w:rPr>
        <w:t>Los hechos en que se fundamentan las pretensiones</w:t>
      </w:r>
      <w:r w:rsidR="00751334" w:rsidRPr="00A73A56">
        <w:rPr>
          <w:rStyle w:val="Refdenotaalpie"/>
          <w:rFonts w:ascii="Arial" w:hAnsi="Arial" w:cs="Arial"/>
          <w:b/>
          <w:bCs/>
          <w:color w:val="0D0D0D"/>
          <w:sz w:val="22"/>
          <w:szCs w:val="22"/>
        </w:rPr>
        <w:footnoteReference w:id="4"/>
      </w:r>
      <w:r w:rsidRPr="00A73A56">
        <w:rPr>
          <w:rFonts w:ascii="Arial" w:hAnsi="Arial" w:cs="Arial"/>
          <w:b/>
          <w:bCs/>
          <w:color w:val="0D0D0D"/>
          <w:sz w:val="22"/>
          <w:szCs w:val="22"/>
        </w:rPr>
        <w:t>.</w:t>
      </w:r>
    </w:p>
    <w:p w14:paraId="63A246C8" w14:textId="77777777" w:rsidR="00AF39A6" w:rsidRPr="00A73A56" w:rsidRDefault="00AF39A6" w:rsidP="0068772A">
      <w:pPr>
        <w:spacing w:line="360" w:lineRule="auto"/>
        <w:ind w:right="-134"/>
        <w:jc w:val="both"/>
        <w:rPr>
          <w:rFonts w:ascii="Arial" w:hAnsi="Arial" w:cs="Arial"/>
          <w:bCs/>
          <w:color w:val="0D0D0D"/>
          <w:sz w:val="22"/>
          <w:szCs w:val="22"/>
        </w:rPr>
      </w:pPr>
    </w:p>
    <w:p w14:paraId="638244D7" w14:textId="77777777" w:rsidR="0038463B" w:rsidRPr="00A73A56" w:rsidRDefault="0038463B" w:rsidP="0068772A">
      <w:pPr>
        <w:spacing w:line="360" w:lineRule="auto"/>
        <w:ind w:right="-134"/>
        <w:jc w:val="both"/>
        <w:rPr>
          <w:rFonts w:ascii="Arial" w:hAnsi="Arial" w:cs="Arial"/>
          <w:bCs/>
          <w:color w:val="0D0D0D"/>
          <w:sz w:val="22"/>
          <w:szCs w:val="22"/>
        </w:rPr>
      </w:pPr>
      <w:r w:rsidRPr="00A73A56">
        <w:rPr>
          <w:rFonts w:ascii="Arial" w:hAnsi="Arial" w:cs="Arial"/>
          <w:bCs/>
          <w:color w:val="0D0D0D"/>
          <w:sz w:val="22"/>
          <w:szCs w:val="22"/>
        </w:rPr>
        <w:t xml:space="preserve">El 9 de noviembre de 2006 se celebró un contrato </w:t>
      </w:r>
      <w:r w:rsidR="00A87BF7" w:rsidRPr="00A73A56">
        <w:rPr>
          <w:rFonts w:ascii="Arial" w:hAnsi="Arial" w:cs="Arial"/>
          <w:bCs/>
          <w:color w:val="0D0D0D"/>
          <w:sz w:val="22"/>
          <w:szCs w:val="22"/>
        </w:rPr>
        <w:t xml:space="preserve">de concesión </w:t>
      </w:r>
      <w:r w:rsidRPr="00A73A56">
        <w:rPr>
          <w:rFonts w:ascii="Arial" w:hAnsi="Arial" w:cs="Arial"/>
          <w:bCs/>
          <w:color w:val="0D0D0D"/>
          <w:sz w:val="22"/>
          <w:szCs w:val="22"/>
        </w:rPr>
        <w:t>para la exploración y explotación de un yacimiento de materiales de construcción y demás</w:t>
      </w:r>
      <w:r w:rsidR="00135D0B" w:rsidRPr="00A73A56">
        <w:rPr>
          <w:rFonts w:ascii="Arial" w:hAnsi="Arial" w:cs="Arial"/>
          <w:bCs/>
          <w:color w:val="0D0D0D"/>
          <w:sz w:val="22"/>
          <w:szCs w:val="22"/>
        </w:rPr>
        <w:t xml:space="preserve"> elementos minero</w:t>
      </w:r>
      <w:r w:rsidRPr="00A73A56">
        <w:rPr>
          <w:rFonts w:ascii="Arial" w:hAnsi="Arial" w:cs="Arial"/>
          <w:bCs/>
          <w:color w:val="0D0D0D"/>
          <w:sz w:val="22"/>
          <w:szCs w:val="22"/>
        </w:rPr>
        <w:t>s concesibles Nº GE6-143 entre el Instituto Colombiano de Geología y Minería –INGEOMINAS- y el señor Mario Fernando Mendoza Rojas</w:t>
      </w:r>
      <w:r w:rsidR="00844CA1" w:rsidRPr="00A73A56">
        <w:rPr>
          <w:rFonts w:ascii="Arial" w:hAnsi="Arial" w:cs="Arial"/>
          <w:bCs/>
          <w:color w:val="0D0D0D"/>
          <w:sz w:val="22"/>
          <w:szCs w:val="22"/>
        </w:rPr>
        <w:t>, en el cual se estableció que el mismo se ejecutar</w:t>
      </w:r>
      <w:r w:rsidR="00135D0B" w:rsidRPr="00A73A56">
        <w:rPr>
          <w:rFonts w:ascii="Arial" w:hAnsi="Arial" w:cs="Arial"/>
          <w:bCs/>
          <w:color w:val="0D0D0D"/>
          <w:sz w:val="22"/>
          <w:szCs w:val="22"/>
        </w:rPr>
        <w:t>ía</w:t>
      </w:r>
      <w:r w:rsidR="00844CA1" w:rsidRPr="00A73A56">
        <w:rPr>
          <w:rFonts w:ascii="Arial" w:hAnsi="Arial" w:cs="Arial"/>
          <w:bCs/>
          <w:color w:val="0D0D0D"/>
          <w:sz w:val="22"/>
          <w:szCs w:val="22"/>
        </w:rPr>
        <w:t xml:space="preserve"> en el área total descrita en el mismo, la cual se encuentra en jurisdicción de los municipios de Tibacuy, departamento de Cundinamarca y comprende una extensión superficiaria total de 38 Hectáreas y 1250 metros cuadrados distribuidos en una zona.</w:t>
      </w:r>
    </w:p>
    <w:p w14:paraId="1797D24F" w14:textId="77777777" w:rsidR="0038463B" w:rsidRPr="00A73A56" w:rsidRDefault="0038463B" w:rsidP="0068772A">
      <w:pPr>
        <w:spacing w:line="360" w:lineRule="auto"/>
        <w:ind w:right="-134"/>
        <w:jc w:val="both"/>
        <w:rPr>
          <w:rFonts w:ascii="Arial" w:hAnsi="Arial" w:cs="Arial"/>
          <w:bCs/>
          <w:color w:val="0D0D0D"/>
          <w:sz w:val="22"/>
          <w:szCs w:val="22"/>
        </w:rPr>
      </w:pPr>
    </w:p>
    <w:p w14:paraId="366BF13F" w14:textId="77777777" w:rsidR="0072341E" w:rsidRPr="00A73A56" w:rsidRDefault="0038463B" w:rsidP="0068772A">
      <w:pPr>
        <w:spacing w:line="360" w:lineRule="auto"/>
        <w:ind w:right="-134"/>
        <w:jc w:val="both"/>
        <w:rPr>
          <w:rFonts w:ascii="Arial" w:hAnsi="Arial" w:cs="Arial"/>
          <w:bCs/>
          <w:color w:val="0D0D0D"/>
          <w:sz w:val="22"/>
          <w:szCs w:val="22"/>
        </w:rPr>
      </w:pPr>
      <w:r w:rsidRPr="00A73A56">
        <w:rPr>
          <w:rFonts w:ascii="Arial" w:hAnsi="Arial" w:cs="Arial"/>
          <w:bCs/>
          <w:color w:val="0D0D0D"/>
          <w:sz w:val="22"/>
          <w:szCs w:val="22"/>
        </w:rPr>
        <w:t xml:space="preserve">El 22 de junio de 2007 el contrato de concesión minera Nº GE6-143 </w:t>
      </w:r>
      <w:r w:rsidR="00844CA1" w:rsidRPr="00A73A56">
        <w:rPr>
          <w:rFonts w:ascii="Arial" w:hAnsi="Arial" w:cs="Arial"/>
          <w:bCs/>
          <w:color w:val="0D0D0D"/>
          <w:sz w:val="22"/>
          <w:szCs w:val="22"/>
        </w:rPr>
        <w:t>se inscribi</w:t>
      </w:r>
      <w:r w:rsidR="00CC594A" w:rsidRPr="00A73A56">
        <w:rPr>
          <w:rFonts w:ascii="Arial" w:hAnsi="Arial" w:cs="Arial"/>
          <w:bCs/>
          <w:color w:val="0D0D0D"/>
          <w:sz w:val="22"/>
          <w:szCs w:val="22"/>
        </w:rPr>
        <w:t>ó en el Registro Minero, el cual se encuentra vigente toda vez que éste fue otorgado por un término de 30 años, el cual vence el 21 de junio de 2037.</w:t>
      </w:r>
    </w:p>
    <w:p w14:paraId="6612E1D7" w14:textId="77777777" w:rsidR="00844CA1" w:rsidRPr="00A73A56" w:rsidRDefault="00844CA1" w:rsidP="0068772A">
      <w:pPr>
        <w:spacing w:line="360" w:lineRule="auto"/>
        <w:ind w:right="-134"/>
        <w:jc w:val="both"/>
        <w:rPr>
          <w:rFonts w:ascii="Arial" w:hAnsi="Arial" w:cs="Arial"/>
          <w:bCs/>
          <w:color w:val="0D0D0D"/>
          <w:sz w:val="22"/>
          <w:szCs w:val="22"/>
        </w:rPr>
      </w:pPr>
    </w:p>
    <w:p w14:paraId="7D6EDAC8" w14:textId="77777777" w:rsidR="00844CA1" w:rsidRPr="00A73A56" w:rsidRDefault="00844CA1" w:rsidP="0068772A">
      <w:pPr>
        <w:spacing w:line="360" w:lineRule="auto"/>
        <w:ind w:right="-134"/>
        <w:jc w:val="both"/>
        <w:rPr>
          <w:rFonts w:ascii="Arial" w:hAnsi="Arial" w:cs="Arial"/>
          <w:bCs/>
          <w:color w:val="0D0D0D"/>
          <w:sz w:val="22"/>
          <w:szCs w:val="22"/>
        </w:rPr>
      </w:pPr>
      <w:r w:rsidRPr="00A73A56">
        <w:rPr>
          <w:rFonts w:ascii="Arial" w:hAnsi="Arial" w:cs="Arial"/>
          <w:bCs/>
          <w:color w:val="0D0D0D"/>
          <w:sz w:val="22"/>
          <w:szCs w:val="22"/>
        </w:rPr>
        <w:t xml:space="preserve">Señaló la parte demandante que el área titulada mediante el contrato de </w:t>
      </w:r>
      <w:r w:rsidR="00914CFD" w:rsidRPr="00A73A56">
        <w:rPr>
          <w:rFonts w:ascii="Arial" w:hAnsi="Arial" w:cs="Arial"/>
          <w:bCs/>
          <w:color w:val="0D0D0D"/>
          <w:sz w:val="22"/>
          <w:szCs w:val="22"/>
        </w:rPr>
        <w:t>concesión minera, se encuentra ubicado dentro del área de Reserva Forestal Protectora Cerro Quinini, declarada y delimitada como reserva forestal, a través del Acuerdo Nº 0029 de 1987 expedido por la Junta Directiva del antiguo Instituto Nacional de Recursos Naturales Renovables y</w:t>
      </w:r>
      <w:r w:rsidR="00E4072E" w:rsidRPr="00A73A56">
        <w:rPr>
          <w:rFonts w:ascii="Arial" w:hAnsi="Arial" w:cs="Arial"/>
          <w:bCs/>
          <w:color w:val="0D0D0D"/>
          <w:sz w:val="22"/>
          <w:szCs w:val="22"/>
        </w:rPr>
        <w:t xml:space="preserve"> del Medio Ambiente INDERENA</w:t>
      </w:r>
      <w:r w:rsidR="00914CFD" w:rsidRPr="00A73A56">
        <w:rPr>
          <w:rFonts w:ascii="Arial" w:hAnsi="Arial" w:cs="Arial"/>
          <w:bCs/>
          <w:color w:val="0D0D0D"/>
          <w:sz w:val="22"/>
          <w:szCs w:val="22"/>
        </w:rPr>
        <w:t>, aprobada por Resolución Nº 122 de 1987</w:t>
      </w:r>
      <w:r w:rsidR="00914CFD" w:rsidRPr="00A73A56">
        <w:rPr>
          <w:rStyle w:val="Refdenotaalpie"/>
          <w:rFonts w:ascii="Arial" w:hAnsi="Arial" w:cs="Arial"/>
          <w:bCs/>
          <w:color w:val="0D0D0D"/>
          <w:sz w:val="22"/>
          <w:szCs w:val="22"/>
        </w:rPr>
        <w:footnoteReference w:id="5"/>
      </w:r>
      <w:r w:rsidR="00914CFD" w:rsidRPr="00A73A56">
        <w:rPr>
          <w:rFonts w:ascii="Arial" w:hAnsi="Arial" w:cs="Arial"/>
          <w:bCs/>
          <w:color w:val="0D0D0D"/>
          <w:sz w:val="22"/>
          <w:szCs w:val="22"/>
        </w:rPr>
        <w:t xml:space="preserve"> del Ministerio de Agricultura.</w:t>
      </w:r>
    </w:p>
    <w:p w14:paraId="20CC1728" w14:textId="77777777" w:rsidR="00A566C9" w:rsidRPr="00A73A56" w:rsidRDefault="00A566C9" w:rsidP="0068772A">
      <w:pPr>
        <w:spacing w:line="360" w:lineRule="auto"/>
        <w:ind w:right="-134"/>
        <w:jc w:val="both"/>
        <w:rPr>
          <w:rFonts w:ascii="Arial" w:hAnsi="Arial" w:cs="Arial"/>
          <w:bCs/>
          <w:color w:val="0D0D0D"/>
          <w:sz w:val="22"/>
          <w:szCs w:val="22"/>
        </w:rPr>
      </w:pPr>
    </w:p>
    <w:p w14:paraId="50A10D9B" w14:textId="77777777" w:rsidR="00E4072E" w:rsidRPr="00A73A56" w:rsidRDefault="00E4072E" w:rsidP="0068772A">
      <w:pPr>
        <w:spacing w:line="360" w:lineRule="auto"/>
        <w:ind w:right="-134"/>
        <w:jc w:val="both"/>
        <w:rPr>
          <w:rFonts w:ascii="Arial" w:hAnsi="Arial" w:cs="Arial"/>
          <w:bCs/>
          <w:i/>
          <w:color w:val="0D0D0D"/>
          <w:sz w:val="22"/>
          <w:szCs w:val="22"/>
        </w:rPr>
      </w:pPr>
      <w:r w:rsidRPr="00A73A56">
        <w:rPr>
          <w:rFonts w:ascii="Arial" w:hAnsi="Arial" w:cs="Arial"/>
          <w:bCs/>
          <w:color w:val="0D0D0D"/>
          <w:sz w:val="22"/>
          <w:szCs w:val="22"/>
        </w:rPr>
        <w:t xml:space="preserve">Indicó que la Corporación Autónoma Regional de Cundinamarca, </w:t>
      </w:r>
      <w:r w:rsidRPr="00A73A56">
        <w:rPr>
          <w:rFonts w:ascii="Arial" w:hAnsi="Arial" w:cs="Arial"/>
          <w:bCs/>
          <w:i/>
          <w:color w:val="0D0D0D"/>
          <w:sz w:val="22"/>
          <w:szCs w:val="22"/>
        </w:rPr>
        <w:t>“como máxima autoridad ambiental en el área de su jurisdicción y en cumplimiento de sus funciones establecidas en la Ley 99 de 1993, artículo 31, tiene el interés jurídico directo para impedir el desarrollo de actividades como la minería, que impacten y ponen en grave riesgo los recursos naturales renovables dentro de dicha área que goza de protección especial ambiental”.</w:t>
      </w:r>
    </w:p>
    <w:p w14:paraId="4D93D65D" w14:textId="77777777" w:rsidR="00E4072E" w:rsidRPr="00A73A56" w:rsidRDefault="00E4072E" w:rsidP="0068772A">
      <w:pPr>
        <w:spacing w:line="360" w:lineRule="auto"/>
        <w:ind w:right="-134"/>
        <w:jc w:val="both"/>
        <w:rPr>
          <w:rFonts w:ascii="Arial" w:hAnsi="Arial" w:cs="Arial"/>
          <w:bCs/>
          <w:i/>
          <w:color w:val="0D0D0D"/>
          <w:sz w:val="22"/>
          <w:szCs w:val="22"/>
        </w:rPr>
      </w:pPr>
    </w:p>
    <w:p w14:paraId="3B938C92" w14:textId="77777777" w:rsidR="00E4072E" w:rsidRPr="00A73A56" w:rsidRDefault="00E4072E" w:rsidP="0068772A">
      <w:pPr>
        <w:spacing w:line="360" w:lineRule="auto"/>
        <w:ind w:right="-134"/>
        <w:jc w:val="both"/>
        <w:rPr>
          <w:rFonts w:ascii="Arial" w:hAnsi="Arial" w:cs="Arial"/>
          <w:bCs/>
          <w:color w:val="0D0D0D"/>
          <w:sz w:val="22"/>
          <w:szCs w:val="22"/>
        </w:rPr>
      </w:pPr>
      <w:r w:rsidRPr="00A73A56">
        <w:rPr>
          <w:rFonts w:ascii="Arial" w:hAnsi="Arial" w:cs="Arial"/>
          <w:bCs/>
          <w:color w:val="0D0D0D"/>
          <w:sz w:val="22"/>
          <w:szCs w:val="22"/>
        </w:rPr>
        <w:t xml:space="preserve">Asimismo, trajo a colación lo establecido en el artículo 34 de la Ley 685 de 2001 la cual señala que en las zonas de reserva forestal protectora, declaradas y delimitadas, por ser áreas de especial importancia ecológica está prohibida el desarrollo de actividades mineras. </w:t>
      </w:r>
    </w:p>
    <w:p w14:paraId="26848E43" w14:textId="77777777" w:rsidR="00D77EB3" w:rsidRPr="00A73A56" w:rsidRDefault="00D77EB3" w:rsidP="0068772A">
      <w:pPr>
        <w:spacing w:line="360" w:lineRule="auto"/>
        <w:ind w:right="-134"/>
        <w:jc w:val="both"/>
        <w:rPr>
          <w:rFonts w:ascii="Arial" w:hAnsi="Arial" w:cs="Arial"/>
          <w:bCs/>
          <w:color w:val="0D0D0D"/>
          <w:sz w:val="22"/>
          <w:szCs w:val="22"/>
        </w:rPr>
      </w:pPr>
    </w:p>
    <w:p w14:paraId="46527648" w14:textId="77777777" w:rsidR="00AF39A6" w:rsidRPr="00A73A56" w:rsidRDefault="001C2A24" w:rsidP="0068772A">
      <w:pPr>
        <w:spacing w:line="360" w:lineRule="auto"/>
        <w:ind w:right="-134"/>
        <w:jc w:val="both"/>
        <w:rPr>
          <w:rFonts w:ascii="Arial" w:hAnsi="Arial" w:cs="Arial"/>
          <w:b/>
          <w:bCs/>
          <w:color w:val="0D0D0D"/>
          <w:sz w:val="22"/>
          <w:szCs w:val="22"/>
        </w:rPr>
      </w:pPr>
      <w:r w:rsidRPr="00A73A56">
        <w:rPr>
          <w:rFonts w:ascii="Arial" w:hAnsi="Arial" w:cs="Arial"/>
          <w:b/>
          <w:bCs/>
          <w:color w:val="0D0D0D"/>
          <w:sz w:val="22"/>
          <w:szCs w:val="22"/>
        </w:rPr>
        <w:t>3</w:t>
      </w:r>
      <w:r w:rsidR="00AF39A6" w:rsidRPr="00A73A56">
        <w:rPr>
          <w:rFonts w:ascii="Arial" w:hAnsi="Arial" w:cs="Arial"/>
          <w:b/>
          <w:bCs/>
          <w:color w:val="0D0D0D"/>
          <w:sz w:val="22"/>
          <w:szCs w:val="22"/>
        </w:rPr>
        <w:t>. El trámite procesal</w:t>
      </w:r>
      <w:r w:rsidR="00BE7378" w:rsidRPr="00A73A56">
        <w:rPr>
          <w:rFonts w:ascii="Arial" w:hAnsi="Arial" w:cs="Arial"/>
          <w:b/>
          <w:bCs/>
          <w:color w:val="0D0D0D"/>
          <w:sz w:val="22"/>
          <w:szCs w:val="22"/>
        </w:rPr>
        <w:t xml:space="preserve"> en primera instancia </w:t>
      </w:r>
    </w:p>
    <w:p w14:paraId="64908F1B" w14:textId="77777777" w:rsidR="001C2A24" w:rsidRPr="00A73A56" w:rsidRDefault="001C2A24" w:rsidP="0068772A">
      <w:pPr>
        <w:spacing w:line="360" w:lineRule="auto"/>
        <w:jc w:val="both"/>
        <w:rPr>
          <w:rFonts w:ascii="Arial" w:hAnsi="Arial" w:cs="Arial"/>
          <w:bCs/>
          <w:color w:val="0D0D0D"/>
          <w:sz w:val="22"/>
          <w:szCs w:val="22"/>
        </w:rPr>
      </w:pPr>
    </w:p>
    <w:p w14:paraId="18CEEEAE" w14:textId="77777777" w:rsidR="00AF39A6" w:rsidRPr="00A73A56" w:rsidRDefault="00AF39A6"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Admitid</w:t>
      </w:r>
      <w:r w:rsidR="00C40A08" w:rsidRPr="00A73A56">
        <w:rPr>
          <w:rFonts w:ascii="Arial" w:hAnsi="Arial" w:cs="Arial"/>
          <w:bCs/>
          <w:color w:val="0D0D0D"/>
          <w:sz w:val="22"/>
          <w:szCs w:val="22"/>
        </w:rPr>
        <w:t>a</w:t>
      </w:r>
      <w:r w:rsidR="00DD64AB" w:rsidRPr="00A73A56">
        <w:rPr>
          <w:rStyle w:val="Refdenotaalpie"/>
          <w:rFonts w:ascii="Arial" w:hAnsi="Arial" w:cs="Arial"/>
          <w:bCs/>
          <w:color w:val="0D0D0D"/>
          <w:sz w:val="22"/>
          <w:szCs w:val="22"/>
        </w:rPr>
        <w:footnoteReference w:id="6"/>
      </w:r>
      <w:r w:rsidR="00C40A08" w:rsidRPr="00A73A56">
        <w:rPr>
          <w:rFonts w:ascii="Arial" w:hAnsi="Arial" w:cs="Arial"/>
          <w:bCs/>
          <w:color w:val="0D0D0D"/>
          <w:sz w:val="22"/>
          <w:szCs w:val="22"/>
        </w:rPr>
        <w:t xml:space="preserve"> la demanda </w:t>
      </w:r>
      <w:r w:rsidR="00D77EB3" w:rsidRPr="00A73A56">
        <w:rPr>
          <w:rFonts w:ascii="Arial" w:hAnsi="Arial" w:cs="Arial"/>
          <w:bCs/>
          <w:color w:val="0D0D0D"/>
          <w:sz w:val="22"/>
          <w:szCs w:val="22"/>
        </w:rPr>
        <w:t>el 18</w:t>
      </w:r>
      <w:r w:rsidR="00DD64AB" w:rsidRPr="00A73A56">
        <w:rPr>
          <w:rFonts w:ascii="Arial" w:hAnsi="Arial" w:cs="Arial"/>
          <w:bCs/>
          <w:color w:val="0D0D0D"/>
          <w:sz w:val="22"/>
          <w:szCs w:val="22"/>
        </w:rPr>
        <w:t xml:space="preserve"> de </w:t>
      </w:r>
      <w:r w:rsidR="00D77EB3" w:rsidRPr="00A73A56">
        <w:rPr>
          <w:rFonts w:ascii="Arial" w:hAnsi="Arial" w:cs="Arial"/>
          <w:bCs/>
          <w:color w:val="0D0D0D"/>
          <w:sz w:val="22"/>
          <w:szCs w:val="22"/>
        </w:rPr>
        <w:t>septiembre de 2013</w:t>
      </w:r>
      <w:r w:rsidR="00DD64AB" w:rsidRPr="00A73A56">
        <w:rPr>
          <w:rFonts w:ascii="Arial" w:hAnsi="Arial" w:cs="Arial"/>
          <w:bCs/>
          <w:color w:val="0D0D0D"/>
          <w:sz w:val="22"/>
          <w:szCs w:val="22"/>
        </w:rPr>
        <w:t xml:space="preserve"> </w:t>
      </w:r>
      <w:r w:rsidR="001621AE" w:rsidRPr="00A73A56">
        <w:rPr>
          <w:rFonts w:ascii="Arial" w:hAnsi="Arial" w:cs="Arial"/>
          <w:bCs/>
          <w:color w:val="0D0D0D"/>
          <w:sz w:val="22"/>
          <w:szCs w:val="22"/>
        </w:rPr>
        <w:t>y noticiado a la demandada</w:t>
      </w:r>
      <w:r w:rsidR="00313E75" w:rsidRPr="00A73A56">
        <w:rPr>
          <w:rStyle w:val="Refdenotaalpie"/>
          <w:rFonts w:ascii="Arial" w:hAnsi="Arial" w:cs="Arial"/>
          <w:bCs/>
          <w:color w:val="0D0D0D"/>
          <w:sz w:val="22"/>
          <w:szCs w:val="22"/>
        </w:rPr>
        <w:footnoteReference w:id="7"/>
      </w:r>
      <w:r w:rsidR="00C40A08" w:rsidRPr="00A73A56">
        <w:rPr>
          <w:rFonts w:ascii="Arial" w:hAnsi="Arial" w:cs="Arial"/>
          <w:bCs/>
          <w:color w:val="0D0D0D"/>
          <w:sz w:val="22"/>
          <w:szCs w:val="22"/>
        </w:rPr>
        <w:t xml:space="preserve"> del </w:t>
      </w:r>
      <w:r w:rsidRPr="00A73A56">
        <w:rPr>
          <w:rFonts w:ascii="Arial" w:hAnsi="Arial" w:cs="Arial"/>
          <w:bCs/>
          <w:color w:val="0D0D0D"/>
          <w:sz w:val="22"/>
          <w:szCs w:val="22"/>
        </w:rPr>
        <w:t xml:space="preserve">auto admisorio, </w:t>
      </w:r>
      <w:r w:rsidR="001621AE" w:rsidRPr="00A73A56">
        <w:rPr>
          <w:rFonts w:ascii="Arial" w:hAnsi="Arial" w:cs="Arial"/>
          <w:bCs/>
          <w:color w:val="0D0D0D"/>
          <w:sz w:val="22"/>
          <w:szCs w:val="22"/>
        </w:rPr>
        <w:t xml:space="preserve">y </w:t>
      </w:r>
      <w:r w:rsidR="00135D0B" w:rsidRPr="00A73A56">
        <w:rPr>
          <w:rFonts w:ascii="Arial" w:hAnsi="Arial" w:cs="Arial"/>
          <w:bCs/>
          <w:color w:val="0D0D0D"/>
          <w:sz w:val="22"/>
          <w:szCs w:val="22"/>
        </w:rPr>
        <w:t>vinculado</w:t>
      </w:r>
      <w:r w:rsidR="001621AE" w:rsidRPr="00A73A56">
        <w:rPr>
          <w:rFonts w:ascii="Arial" w:hAnsi="Arial" w:cs="Arial"/>
          <w:bCs/>
          <w:color w:val="0D0D0D"/>
          <w:sz w:val="22"/>
          <w:szCs w:val="22"/>
        </w:rPr>
        <w:t xml:space="preserve"> </w:t>
      </w:r>
      <w:r w:rsidR="00135D0B" w:rsidRPr="00A73A56">
        <w:rPr>
          <w:rFonts w:ascii="Arial" w:hAnsi="Arial" w:cs="Arial"/>
          <w:bCs/>
          <w:color w:val="0D0D0D"/>
          <w:sz w:val="22"/>
          <w:szCs w:val="22"/>
        </w:rPr>
        <w:t>e</w:t>
      </w:r>
      <w:r w:rsidR="001621AE" w:rsidRPr="00A73A56">
        <w:rPr>
          <w:rFonts w:ascii="Arial" w:hAnsi="Arial" w:cs="Arial"/>
          <w:bCs/>
          <w:color w:val="0D0D0D"/>
          <w:sz w:val="22"/>
          <w:szCs w:val="22"/>
        </w:rPr>
        <w:t>l señor Mario Fernando Mendoza Rojas</w:t>
      </w:r>
      <w:r w:rsidR="00135D0B" w:rsidRPr="00A73A56">
        <w:rPr>
          <w:rFonts w:ascii="Arial" w:hAnsi="Arial" w:cs="Arial"/>
          <w:bCs/>
          <w:color w:val="0D0D0D"/>
          <w:sz w:val="22"/>
          <w:szCs w:val="22"/>
        </w:rPr>
        <w:t xml:space="preserve"> por tener interés en las resultas del proceso</w:t>
      </w:r>
      <w:r w:rsidR="001621AE" w:rsidRPr="00A73A56">
        <w:rPr>
          <w:rFonts w:ascii="Arial" w:hAnsi="Arial" w:cs="Arial"/>
          <w:bCs/>
          <w:color w:val="0D0D0D"/>
          <w:sz w:val="22"/>
          <w:szCs w:val="22"/>
        </w:rPr>
        <w:t>, se corrió traslado de la demanda</w:t>
      </w:r>
      <w:r w:rsidR="00135D0B" w:rsidRPr="00A73A56">
        <w:rPr>
          <w:rFonts w:ascii="Arial" w:hAnsi="Arial" w:cs="Arial"/>
          <w:bCs/>
          <w:color w:val="0D0D0D"/>
          <w:sz w:val="22"/>
          <w:szCs w:val="22"/>
        </w:rPr>
        <w:t>, a la parte accionada</w:t>
      </w:r>
      <w:r w:rsidR="001621AE" w:rsidRPr="00A73A56">
        <w:rPr>
          <w:rFonts w:ascii="Arial" w:hAnsi="Arial" w:cs="Arial"/>
          <w:bCs/>
          <w:color w:val="0D0D0D"/>
          <w:sz w:val="22"/>
          <w:szCs w:val="22"/>
        </w:rPr>
        <w:t xml:space="preserve"> </w:t>
      </w:r>
      <w:r w:rsidRPr="00A73A56">
        <w:rPr>
          <w:rFonts w:ascii="Arial" w:hAnsi="Arial" w:cs="Arial"/>
          <w:bCs/>
          <w:color w:val="0D0D0D"/>
          <w:sz w:val="22"/>
          <w:szCs w:val="22"/>
        </w:rPr>
        <w:t xml:space="preserve">y </w:t>
      </w:r>
      <w:r w:rsidR="00C40A08" w:rsidRPr="00A73A56">
        <w:rPr>
          <w:rFonts w:ascii="Arial" w:hAnsi="Arial" w:cs="Arial"/>
          <w:bCs/>
          <w:color w:val="0D0D0D"/>
          <w:sz w:val="22"/>
          <w:szCs w:val="22"/>
        </w:rPr>
        <w:t xml:space="preserve">dentro del término el </w:t>
      </w:r>
      <w:r w:rsidR="001621AE" w:rsidRPr="00A73A56">
        <w:rPr>
          <w:rFonts w:ascii="Arial" w:hAnsi="Arial" w:cs="Arial"/>
          <w:bCs/>
          <w:color w:val="0D0D0D"/>
          <w:sz w:val="22"/>
          <w:szCs w:val="22"/>
        </w:rPr>
        <w:t xml:space="preserve">apoderado de la Agencia Nacional de Minería </w:t>
      </w:r>
      <w:r w:rsidRPr="00A73A56">
        <w:rPr>
          <w:rFonts w:ascii="Arial" w:hAnsi="Arial" w:cs="Arial"/>
          <w:bCs/>
          <w:color w:val="0D0D0D"/>
          <w:sz w:val="22"/>
          <w:szCs w:val="22"/>
        </w:rPr>
        <w:t>dio respuesta</w:t>
      </w:r>
      <w:r w:rsidR="00313E75" w:rsidRPr="00A73A56">
        <w:rPr>
          <w:rStyle w:val="Refdenotaalpie"/>
          <w:rFonts w:ascii="Arial" w:hAnsi="Arial" w:cs="Arial"/>
          <w:bCs/>
          <w:color w:val="0D0D0D"/>
          <w:sz w:val="22"/>
          <w:szCs w:val="22"/>
        </w:rPr>
        <w:footnoteReference w:id="8"/>
      </w:r>
      <w:r w:rsidRPr="00A73A56">
        <w:rPr>
          <w:rFonts w:ascii="Arial" w:hAnsi="Arial" w:cs="Arial"/>
          <w:bCs/>
          <w:color w:val="0D0D0D"/>
          <w:sz w:val="22"/>
          <w:szCs w:val="22"/>
        </w:rPr>
        <w:t xml:space="preserve"> </w:t>
      </w:r>
      <w:r w:rsidR="00135D0B" w:rsidRPr="00A73A56">
        <w:rPr>
          <w:rFonts w:ascii="Arial" w:hAnsi="Arial" w:cs="Arial"/>
          <w:bCs/>
          <w:color w:val="0D0D0D"/>
          <w:sz w:val="22"/>
          <w:szCs w:val="22"/>
        </w:rPr>
        <w:t xml:space="preserve">a la misma </w:t>
      </w:r>
      <w:r w:rsidRPr="00A73A56">
        <w:rPr>
          <w:rFonts w:ascii="Arial" w:hAnsi="Arial" w:cs="Arial"/>
          <w:bCs/>
          <w:color w:val="0D0D0D"/>
          <w:sz w:val="22"/>
          <w:szCs w:val="22"/>
        </w:rPr>
        <w:t>oponiéndos</w:t>
      </w:r>
      <w:r w:rsidR="00334F54" w:rsidRPr="00A73A56">
        <w:rPr>
          <w:rFonts w:ascii="Arial" w:hAnsi="Arial" w:cs="Arial"/>
          <w:bCs/>
          <w:color w:val="0D0D0D"/>
          <w:sz w:val="22"/>
          <w:szCs w:val="22"/>
        </w:rPr>
        <w:t>e a las pretensiones formuladas, seguidamente, el abogado del señor Mario Fernando Mendoza Rojas indicó que se oponía a todas y cada una de las pretensiones soli</w:t>
      </w:r>
      <w:r w:rsidR="00756B07" w:rsidRPr="00A73A56">
        <w:rPr>
          <w:rFonts w:ascii="Arial" w:hAnsi="Arial" w:cs="Arial"/>
          <w:bCs/>
          <w:color w:val="0D0D0D"/>
          <w:sz w:val="22"/>
          <w:szCs w:val="22"/>
        </w:rPr>
        <w:t>ci</w:t>
      </w:r>
      <w:r w:rsidR="00334F54" w:rsidRPr="00A73A56">
        <w:rPr>
          <w:rFonts w:ascii="Arial" w:hAnsi="Arial" w:cs="Arial"/>
          <w:bCs/>
          <w:color w:val="0D0D0D"/>
          <w:sz w:val="22"/>
          <w:szCs w:val="22"/>
        </w:rPr>
        <w:t>tadas</w:t>
      </w:r>
      <w:r w:rsidR="00334F54" w:rsidRPr="00A73A56">
        <w:rPr>
          <w:rStyle w:val="Refdenotaalpie"/>
          <w:rFonts w:ascii="Arial" w:hAnsi="Arial" w:cs="Arial"/>
          <w:bCs/>
          <w:color w:val="0D0D0D"/>
          <w:sz w:val="22"/>
          <w:szCs w:val="22"/>
        </w:rPr>
        <w:footnoteReference w:id="9"/>
      </w:r>
      <w:r w:rsidR="00334F54" w:rsidRPr="00A73A56">
        <w:rPr>
          <w:rFonts w:ascii="Arial" w:hAnsi="Arial" w:cs="Arial"/>
          <w:bCs/>
          <w:color w:val="0D0D0D"/>
          <w:sz w:val="22"/>
          <w:szCs w:val="22"/>
        </w:rPr>
        <w:t>.</w:t>
      </w:r>
    </w:p>
    <w:p w14:paraId="55A743F4" w14:textId="77777777" w:rsidR="00AF39A6" w:rsidRPr="00A73A56" w:rsidRDefault="00AF39A6" w:rsidP="0068772A">
      <w:pPr>
        <w:spacing w:line="360" w:lineRule="auto"/>
        <w:jc w:val="both"/>
        <w:rPr>
          <w:rFonts w:ascii="Arial" w:hAnsi="Arial" w:cs="Arial"/>
          <w:bCs/>
          <w:color w:val="0D0D0D"/>
          <w:sz w:val="22"/>
          <w:szCs w:val="22"/>
        </w:rPr>
      </w:pPr>
    </w:p>
    <w:p w14:paraId="0CE6D111" w14:textId="77777777" w:rsidR="00D16726" w:rsidRPr="00A73A56" w:rsidRDefault="00756B07"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El 28 de abril de 2014 el magistrado ponente del Tribunal Administrativo de Cundinamarca,</w:t>
      </w:r>
      <w:r w:rsidR="00A87BF7" w:rsidRPr="00A73A56">
        <w:rPr>
          <w:rFonts w:ascii="Arial" w:hAnsi="Arial" w:cs="Arial"/>
          <w:bCs/>
          <w:color w:val="0D0D0D"/>
          <w:sz w:val="22"/>
          <w:szCs w:val="22"/>
        </w:rPr>
        <w:t xml:space="preserve"> Sección Tercera, Subsección A</w:t>
      </w:r>
      <w:r w:rsidRPr="00A73A56">
        <w:rPr>
          <w:rFonts w:ascii="Arial" w:hAnsi="Arial" w:cs="Arial"/>
          <w:bCs/>
          <w:color w:val="0D0D0D"/>
          <w:sz w:val="22"/>
          <w:szCs w:val="22"/>
        </w:rPr>
        <w:t xml:space="preserve"> fijó el 21 de julio de 2014 a las 9:00 AM </w:t>
      </w:r>
      <w:r w:rsidR="00135D0B" w:rsidRPr="00A73A56">
        <w:rPr>
          <w:rFonts w:ascii="Arial" w:hAnsi="Arial" w:cs="Arial"/>
          <w:bCs/>
          <w:color w:val="0D0D0D"/>
          <w:sz w:val="22"/>
          <w:szCs w:val="22"/>
        </w:rPr>
        <w:t xml:space="preserve">como fecha </w:t>
      </w:r>
      <w:r w:rsidRPr="00A73A56">
        <w:rPr>
          <w:rFonts w:ascii="Arial" w:hAnsi="Arial" w:cs="Arial"/>
          <w:bCs/>
          <w:color w:val="0D0D0D"/>
          <w:sz w:val="22"/>
          <w:szCs w:val="22"/>
        </w:rPr>
        <w:t>para llevar a cabo la audiencia inicial que trata el artículo 180 del C.P.A.C.A</w:t>
      </w:r>
      <w:r w:rsidRPr="00A73A56">
        <w:rPr>
          <w:rStyle w:val="Refdenotaalpie"/>
          <w:rFonts w:ascii="Arial" w:hAnsi="Arial" w:cs="Arial"/>
          <w:bCs/>
          <w:color w:val="0D0D0D"/>
          <w:sz w:val="22"/>
          <w:szCs w:val="22"/>
        </w:rPr>
        <w:footnoteReference w:id="10"/>
      </w:r>
      <w:r w:rsidRPr="00A73A56">
        <w:rPr>
          <w:rFonts w:ascii="Arial" w:hAnsi="Arial" w:cs="Arial"/>
          <w:bCs/>
          <w:color w:val="0D0D0D"/>
          <w:sz w:val="22"/>
          <w:szCs w:val="22"/>
        </w:rPr>
        <w:t xml:space="preserve">, decisión que modificó mediante providencia del 22 de julio de 2015 en la que fijó </w:t>
      </w:r>
      <w:r w:rsidR="00D16726" w:rsidRPr="00A73A56">
        <w:rPr>
          <w:rFonts w:ascii="Arial" w:hAnsi="Arial" w:cs="Arial"/>
          <w:bCs/>
          <w:color w:val="0D0D0D"/>
          <w:sz w:val="22"/>
          <w:szCs w:val="22"/>
        </w:rPr>
        <w:t>el</w:t>
      </w:r>
      <w:r w:rsidR="00135D0B" w:rsidRPr="00A73A56">
        <w:rPr>
          <w:rFonts w:ascii="Arial" w:hAnsi="Arial" w:cs="Arial"/>
          <w:bCs/>
          <w:color w:val="0D0D0D"/>
          <w:sz w:val="22"/>
          <w:szCs w:val="22"/>
        </w:rPr>
        <w:t xml:space="preserve"> día</w:t>
      </w:r>
      <w:r w:rsidR="00D16726" w:rsidRPr="00A73A56">
        <w:rPr>
          <w:rFonts w:ascii="Arial" w:hAnsi="Arial" w:cs="Arial"/>
          <w:bCs/>
          <w:color w:val="0D0D0D"/>
          <w:sz w:val="22"/>
          <w:szCs w:val="22"/>
        </w:rPr>
        <w:t xml:space="preserve"> 12 de agosto de 2015 a</w:t>
      </w:r>
      <w:r w:rsidR="000F4F5C" w:rsidRPr="00A73A56">
        <w:rPr>
          <w:rFonts w:ascii="Arial" w:hAnsi="Arial" w:cs="Arial"/>
          <w:bCs/>
          <w:color w:val="0D0D0D"/>
          <w:sz w:val="22"/>
          <w:szCs w:val="22"/>
        </w:rPr>
        <w:t xml:space="preserve"> las 11:00 AM, en la misma se</w:t>
      </w:r>
      <w:r w:rsidR="00D16726" w:rsidRPr="00A73A56">
        <w:rPr>
          <w:rFonts w:ascii="Arial" w:hAnsi="Arial" w:cs="Arial"/>
          <w:bCs/>
          <w:color w:val="0D0D0D"/>
          <w:sz w:val="22"/>
          <w:szCs w:val="22"/>
        </w:rPr>
        <w:t xml:space="preserve"> advirtió que si en la fijación del litigio se determina </w:t>
      </w:r>
      <w:r w:rsidR="00D16726" w:rsidRPr="00A73A56">
        <w:rPr>
          <w:rFonts w:ascii="Arial" w:hAnsi="Arial" w:cs="Arial"/>
          <w:bCs/>
          <w:color w:val="0D0D0D"/>
          <w:sz w:val="22"/>
          <w:szCs w:val="22"/>
        </w:rPr>
        <w:lastRenderedPageBreak/>
        <w:t>que el asunto es de puro derecho o que no fuera necesario la práctica de pruebas, se dictará la respectiva sentencia conforme lo dispuesto en el artículo 179 del CPACA.</w:t>
      </w:r>
      <w:r w:rsidR="00D16726" w:rsidRPr="00A73A56">
        <w:rPr>
          <w:rStyle w:val="Refdenotaalpie"/>
          <w:rFonts w:ascii="Arial" w:hAnsi="Arial" w:cs="Arial"/>
          <w:bCs/>
          <w:color w:val="0D0D0D"/>
          <w:sz w:val="22"/>
          <w:szCs w:val="22"/>
        </w:rPr>
        <w:footnoteReference w:id="11"/>
      </w:r>
    </w:p>
    <w:p w14:paraId="0DEF4276" w14:textId="77777777" w:rsidR="001B117B" w:rsidRPr="00A73A56" w:rsidRDefault="001B117B" w:rsidP="0068772A">
      <w:pPr>
        <w:spacing w:line="360" w:lineRule="auto"/>
        <w:jc w:val="both"/>
        <w:rPr>
          <w:rFonts w:ascii="Arial" w:hAnsi="Arial" w:cs="Arial"/>
          <w:bCs/>
          <w:color w:val="0D0D0D"/>
          <w:sz w:val="22"/>
          <w:szCs w:val="22"/>
        </w:rPr>
      </w:pPr>
    </w:p>
    <w:p w14:paraId="2ED54EB5" w14:textId="77777777" w:rsidR="001B117B" w:rsidRPr="00A73A56" w:rsidRDefault="001B117B"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El 21 de agosto de 2015 </w:t>
      </w:r>
      <w:r w:rsidR="000F4F5C" w:rsidRPr="00A73A56">
        <w:rPr>
          <w:rFonts w:ascii="Arial" w:hAnsi="Arial" w:cs="Arial"/>
          <w:bCs/>
          <w:color w:val="0D0D0D"/>
          <w:sz w:val="22"/>
          <w:szCs w:val="22"/>
        </w:rPr>
        <w:t xml:space="preserve">el Tribunal Administrativo de Cundinamarca, Sección Tercera, Subsección A </w:t>
      </w:r>
      <w:r w:rsidRPr="00A73A56">
        <w:rPr>
          <w:rFonts w:ascii="Arial" w:hAnsi="Arial" w:cs="Arial"/>
          <w:bCs/>
          <w:color w:val="0D0D0D"/>
          <w:sz w:val="22"/>
          <w:szCs w:val="22"/>
        </w:rPr>
        <w:t xml:space="preserve">adelantó la audiencia inicial </w:t>
      </w:r>
      <w:r w:rsidR="00135D0B" w:rsidRPr="00A73A56">
        <w:rPr>
          <w:rFonts w:ascii="Arial" w:hAnsi="Arial" w:cs="Arial"/>
          <w:bCs/>
          <w:color w:val="0D0D0D"/>
          <w:sz w:val="22"/>
          <w:szCs w:val="22"/>
        </w:rPr>
        <w:t>en</w:t>
      </w:r>
      <w:r w:rsidRPr="00A73A56">
        <w:rPr>
          <w:rFonts w:ascii="Arial" w:hAnsi="Arial" w:cs="Arial"/>
          <w:bCs/>
          <w:color w:val="0D0D0D"/>
          <w:sz w:val="22"/>
          <w:szCs w:val="22"/>
        </w:rPr>
        <w:t xml:space="preserve"> la que se indicó que en la misma se dictaría s</w:t>
      </w:r>
      <w:r w:rsidR="000F4F5C" w:rsidRPr="00A73A56">
        <w:rPr>
          <w:rFonts w:ascii="Arial" w:hAnsi="Arial" w:cs="Arial"/>
          <w:bCs/>
          <w:color w:val="0D0D0D"/>
          <w:sz w:val="22"/>
          <w:szCs w:val="22"/>
        </w:rPr>
        <w:t>entencia, previo a ello adelantó</w:t>
      </w:r>
      <w:r w:rsidRPr="00A73A56">
        <w:rPr>
          <w:rFonts w:ascii="Arial" w:hAnsi="Arial" w:cs="Arial"/>
          <w:bCs/>
          <w:color w:val="0D0D0D"/>
          <w:sz w:val="22"/>
          <w:szCs w:val="22"/>
        </w:rPr>
        <w:t xml:space="preserve"> las etapas establecidas en artículo 180 del CPACA, así:</w:t>
      </w:r>
    </w:p>
    <w:p w14:paraId="4839452D" w14:textId="77777777" w:rsidR="001B117B" w:rsidRPr="00A73A56" w:rsidRDefault="001B117B" w:rsidP="0068772A">
      <w:pPr>
        <w:spacing w:line="360" w:lineRule="auto"/>
        <w:jc w:val="both"/>
        <w:rPr>
          <w:rFonts w:ascii="Arial" w:hAnsi="Arial" w:cs="Arial"/>
          <w:bCs/>
          <w:color w:val="0D0D0D"/>
          <w:sz w:val="22"/>
          <w:szCs w:val="22"/>
        </w:rPr>
      </w:pPr>
    </w:p>
    <w:p w14:paraId="581FBDDE" w14:textId="77777777" w:rsidR="001B117B" w:rsidRPr="00A73A56" w:rsidRDefault="001B117B" w:rsidP="00133C05">
      <w:pPr>
        <w:numPr>
          <w:ilvl w:val="0"/>
          <w:numId w:val="25"/>
        </w:numPr>
        <w:spacing w:line="360" w:lineRule="auto"/>
        <w:ind w:left="426" w:hanging="284"/>
        <w:jc w:val="both"/>
        <w:rPr>
          <w:rFonts w:ascii="Arial" w:hAnsi="Arial" w:cs="Arial"/>
          <w:bCs/>
          <w:color w:val="0D0D0D"/>
          <w:sz w:val="22"/>
          <w:szCs w:val="22"/>
        </w:rPr>
      </w:pPr>
      <w:r w:rsidRPr="00A73A56">
        <w:rPr>
          <w:rFonts w:ascii="Arial" w:hAnsi="Arial" w:cs="Arial"/>
          <w:bCs/>
          <w:color w:val="0D0D0D"/>
          <w:sz w:val="22"/>
          <w:szCs w:val="22"/>
        </w:rPr>
        <w:t>Se identificaron a los sujetos procesales.</w:t>
      </w:r>
    </w:p>
    <w:p w14:paraId="54C3C46A" w14:textId="77777777" w:rsidR="001B117B" w:rsidRPr="00A73A56" w:rsidRDefault="001B117B" w:rsidP="00133C05">
      <w:pPr>
        <w:numPr>
          <w:ilvl w:val="0"/>
          <w:numId w:val="25"/>
        </w:numPr>
        <w:spacing w:line="360" w:lineRule="auto"/>
        <w:ind w:left="426" w:hanging="284"/>
        <w:jc w:val="both"/>
        <w:rPr>
          <w:rFonts w:ascii="Arial" w:hAnsi="Arial" w:cs="Arial"/>
          <w:bCs/>
          <w:color w:val="0D0D0D"/>
          <w:sz w:val="22"/>
          <w:szCs w:val="22"/>
        </w:rPr>
      </w:pPr>
      <w:r w:rsidRPr="00A73A56">
        <w:rPr>
          <w:rFonts w:ascii="Arial" w:hAnsi="Arial" w:cs="Arial"/>
          <w:bCs/>
          <w:color w:val="0D0D0D"/>
          <w:sz w:val="22"/>
          <w:szCs w:val="22"/>
        </w:rPr>
        <w:t xml:space="preserve">Se </w:t>
      </w:r>
      <w:r w:rsidR="000F4F5C" w:rsidRPr="00A73A56">
        <w:rPr>
          <w:rFonts w:ascii="Arial" w:hAnsi="Arial" w:cs="Arial"/>
          <w:bCs/>
          <w:color w:val="0D0D0D"/>
          <w:sz w:val="22"/>
          <w:szCs w:val="22"/>
        </w:rPr>
        <w:t>perfeccionó</w:t>
      </w:r>
      <w:r w:rsidRPr="00A73A56">
        <w:rPr>
          <w:rFonts w:ascii="Arial" w:hAnsi="Arial" w:cs="Arial"/>
          <w:bCs/>
          <w:color w:val="0D0D0D"/>
          <w:sz w:val="22"/>
          <w:szCs w:val="22"/>
        </w:rPr>
        <w:t xml:space="preserve"> la etapa de saneamiento del proceso, en la que se declaró que no existía causal de nulidad que impidiera continuar con la actuación procesal;</w:t>
      </w:r>
    </w:p>
    <w:p w14:paraId="7552FD62" w14:textId="77777777" w:rsidR="007538B3" w:rsidRPr="00A73A56" w:rsidRDefault="007538B3" w:rsidP="00133C05">
      <w:pPr>
        <w:numPr>
          <w:ilvl w:val="0"/>
          <w:numId w:val="25"/>
        </w:numPr>
        <w:spacing w:line="360" w:lineRule="auto"/>
        <w:ind w:left="426" w:hanging="284"/>
        <w:jc w:val="both"/>
        <w:rPr>
          <w:rFonts w:ascii="Arial" w:hAnsi="Arial" w:cs="Arial"/>
          <w:bCs/>
          <w:color w:val="0D0D0D"/>
          <w:sz w:val="22"/>
          <w:szCs w:val="22"/>
        </w:rPr>
      </w:pPr>
      <w:r w:rsidRPr="00A73A56">
        <w:rPr>
          <w:rFonts w:ascii="Arial" w:hAnsi="Arial" w:cs="Arial"/>
          <w:bCs/>
          <w:color w:val="0D0D0D"/>
          <w:sz w:val="22"/>
          <w:szCs w:val="22"/>
        </w:rPr>
        <w:t xml:space="preserve">Decidió las </w:t>
      </w:r>
      <w:r w:rsidR="001B117B" w:rsidRPr="00A73A56">
        <w:rPr>
          <w:rFonts w:ascii="Arial" w:hAnsi="Arial" w:cs="Arial"/>
          <w:bCs/>
          <w:color w:val="0D0D0D"/>
          <w:sz w:val="22"/>
          <w:szCs w:val="22"/>
        </w:rPr>
        <w:t>excepciones</w:t>
      </w:r>
      <w:r w:rsidRPr="00A73A56">
        <w:rPr>
          <w:rFonts w:ascii="Arial" w:hAnsi="Arial" w:cs="Arial"/>
          <w:bCs/>
          <w:color w:val="0D0D0D"/>
          <w:sz w:val="22"/>
          <w:szCs w:val="22"/>
        </w:rPr>
        <w:t xml:space="preserve"> previas, la cual fue propuesta por el contratista quien indicó que la demanda carecía del requisito de procedibilidad de conciliación prejudicial, sin embargo, el mismo desistió de la misma, solicitud que se le aceptó.</w:t>
      </w:r>
    </w:p>
    <w:p w14:paraId="0BCF8181" w14:textId="77777777" w:rsidR="007538B3" w:rsidRPr="00A73A56" w:rsidRDefault="007538B3" w:rsidP="00133C05">
      <w:pPr>
        <w:numPr>
          <w:ilvl w:val="0"/>
          <w:numId w:val="25"/>
        </w:numPr>
        <w:spacing w:line="360" w:lineRule="auto"/>
        <w:ind w:left="426" w:hanging="284"/>
        <w:jc w:val="both"/>
        <w:rPr>
          <w:rFonts w:ascii="Arial" w:hAnsi="Arial" w:cs="Arial"/>
          <w:bCs/>
          <w:color w:val="0D0D0D"/>
          <w:sz w:val="22"/>
          <w:szCs w:val="22"/>
        </w:rPr>
      </w:pPr>
      <w:r w:rsidRPr="00A73A56">
        <w:rPr>
          <w:rFonts w:ascii="Arial" w:hAnsi="Arial" w:cs="Arial"/>
          <w:bCs/>
          <w:color w:val="0D0D0D"/>
          <w:sz w:val="22"/>
          <w:szCs w:val="22"/>
        </w:rPr>
        <w:t>Se fijó el litigio en el siguiente sentido: “</w:t>
      </w:r>
      <w:r w:rsidRPr="00A73A56">
        <w:rPr>
          <w:rFonts w:ascii="Arial" w:hAnsi="Arial" w:cs="Arial"/>
          <w:bCs/>
          <w:i/>
          <w:color w:val="0D0D0D"/>
          <w:sz w:val="22"/>
          <w:szCs w:val="22"/>
        </w:rPr>
        <w:t>A que el contrato se adjudicó en un área de protección ambiental, circunstancia, que en criterio del demandante, configura la nulidad absoluta del contrato por objeto ilícito”.</w:t>
      </w:r>
    </w:p>
    <w:p w14:paraId="32A7F0BB" w14:textId="77777777" w:rsidR="007538B3" w:rsidRPr="00A73A56" w:rsidRDefault="007538B3" w:rsidP="00133C05">
      <w:pPr>
        <w:numPr>
          <w:ilvl w:val="0"/>
          <w:numId w:val="25"/>
        </w:numPr>
        <w:spacing w:line="360" w:lineRule="auto"/>
        <w:ind w:left="426" w:hanging="284"/>
        <w:jc w:val="both"/>
        <w:rPr>
          <w:rFonts w:ascii="Arial" w:hAnsi="Arial" w:cs="Arial"/>
          <w:bCs/>
          <w:color w:val="0D0D0D"/>
          <w:sz w:val="22"/>
          <w:szCs w:val="22"/>
        </w:rPr>
      </w:pPr>
      <w:r w:rsidRPr="00A73A56">
        <w:rPr>
          <w:rFonts w:ascii="Arial" w:hAnsi="Arial" w:cs="Arial"/>
          <w:bCs/>
          <w:color w:val="0D0D0D"/>
          <w:sz w:val="22"/>
          <w:szCs w:val="22"/>
        </w:rPr>
        <w:t xml:space="preserve">Con relación al decreto de medios de pruebas resolvió </w:t>
      </w:r>
      <w:r w:rsidR="000F4F5C" w:rsidRPr="00A73A56">
        <w:rPr>
          <w:rFonts w:ascii="Arial" w:hAnsi="Arial" w:cs="Arial"/>
          <w:bCs/>
          <w:color w:val="0D0D0D"/>
          <w:sz w:val="22"/>
          <w:szCs w:val="22"/>
        </w:rPr>
        <w:t>ot</w:t>
      </w:r>
      <w:r w:rsidRPr="00A73A56">
        <w:rPr>
          <w:rFonts w:ascii="Arial" w:hAnsi="Arial" w:cs="Arial"/>
          <w:bCs/>
          <w:color w:val="0D0D0D"/>
          <w:sz w:val="22"/>
          <w:szCs w:val="22"/>
        </w:rPr>
        <w:t>orga</w:t>
      </w:r>
      <w:r w:rsidR="000F4F5C" w:rsidRPr="00A73A56">
        <w:rPr>
          <w:rFonts w:ascii="Arial" w:hAnsi="Arial" w:cs="Arial"/>
          <w:bCs/>
          <w:color w:val="0D0D0D"/>
          <w:sz w:val="22"/>
          <w:szCs w:val="22"/>
        </w:rPr>
        <w:t>r</w:t>
      </w:r>
      <w:r w:rsidRPr="00A73A56">
        <w:rPr>
          <w:rFonts w:ascii="Arial" w:hAnsi="Arial" w:cs="Arial"/>
          <w:bCs/>
          <w:color w:val="0D0D0D"/>
          <w:sz w:val="22"/>
          <w:szCs w:val="22"/>
        </w:rPr>
        <w:t xml:space="preserve"> el v</w:t>
      </w:r>
      <w:r w:rsidR="000F4F5C" w:rsidRPr="00A73A56">
        <w:rPr>
          <w:rFonts w:ascii="Arial" w:hAnsi="Arial" w:cs="Arial"/>
          <w:bCs/>
          <w:color w:val="0D0D0D"/>
          <w:sz w:val="22"/>
          <w:szCs w:val="22"/>
        </w:rPr>
        <w:t>alor probatorio correspondiente</w:t>
      </w:r>
      <w:r w:rsidRPr="00A73A56">
        <w:rPr>
          <w:rFonts w:ascii="Arial" w:hAnsi="Arial" w:cs="Arial"/>
          <w:bCs/>
          <w:color w:val="0D0D0D"/>
          <w:sz w:val="22"/>
          <w:szCs w:val="22"/>
        </w:rPr>
        <w:t xml:space="preserve"> a los document</w:t>
      </w:r>
      <w:r w:rsidR="000F4F5C" w:rsidRPr="00A73A56">
        <w:rPr>
          <w:rFonts w:ascii="Arial" w:hAnsi="Arial" w:cs="Arial"/>
          <w:bCs/>
          <w:color w:val="0D0D0D"/>
          <w:sz w:val="22"/>
          <w:szCs w:val="22"/>
        </w:rPr>
        <w:t xml:space="preserve">os </w:t>
      </w:r>
      <w:r w:rsidRPr="00A73A56">
        <w:rPr>
          <w:rFonts w:ascii="Arial" w:hAnsi="Arial" w:cs="Arial"/>
          <w:bCs/>
          <w:color w:val="0D0D0D"/>
          <w:sz w:val="22"/>
          <w:szCs w:val="22"/>
        </w:rPr>
        <w:t>aport</w:t>
      </w:r>
      <w:r w:rsidR="000F4F5C" w:rsidRPr="00A73A56">
        <w:rPr>
          <w:rFonts w:ascii="Arial" w:hAnsi="Arial" w:cs="Arial"/>
          <w:bCs/>
          <w:color w:val="0D0D0D"/>
          <w:sz w:val="22"/>
          <w:szCs w:val="22"/>
        </w:rPr>
        <w:t>ados por los sujetos procesales</w:t>
      </w:r>
      <w:r w:rsidRPr="00A73A56">
        <w:rPr>
          <w:rFonts w:ascii="Arial" w:hAnsi="Arial" w:cs="Arial"/>
          <w:bCs/>
          <w:color w:val="0D0D0D"/>
          <w:sz w:val="22"/>
          <w:szCs w:val="22"/>
        </w:rPr>
        <w:t>, superadas estas etapas procedió a dictar;</w:t>
      </w:r>
    </w:p>
    <w:p w14:paraId="6FCAF89E" w14:textId="77777777" w:rsidR="00756B07" w:rsidRPr="00A73A56" w:rsidRDefault="00756B07" w:rsidP="00135D0B">
      <w:pPr>
        <w:spacing w:line="360" w:lineRule="auto"/>
        <w:jc w:val="center"/>
        <w:rPr>
          <w:rFonts w:ascii="Arial" w:hAnsi="Arial" w:cs="Arial"/>
          <w:b/>
          <w:bCs/>
          <w:color w:val="0D0D0D"/>
          <w:sz w:val="22"/>
          <w:szCs w:val="22"/>
        </w:rPr>
      </w:pPr>
    </w:p>
    <w:p w14:paraId="58B0B890" w14:textId="77777777" w:rsidR="004E4BAC" w:rsidRPr="00A73A56" w:rsidRDefault="007538B3" w:rsidP="00135D0B">
      <w:pPr>
        <w:spacing w:line="360" w:lineRule="auto"/>
        <w:jc w:val="center"/>
        <w:rPr>
          <w:rFonts w:ascii="Arial" w:hAnsi="Arial" w:cs="Arial"/>
          <w:b/>
          <w:bCs/>
          <w:color w:val="0D0D0D"/>
          <w:sz w:val="22"/>
          <w:szCs w:val="22"/>
        </w:rPr>
      </w:pPr>
      <w:r w:rsidRPr="00A73A56">
        <w:rPr>
          <w:rFonts w:ascii="Arial" w:hAnsi="Arial" w:cs="Arial"/>
          <w:b/>
          <w:bCs/>
          <w:color w:val="0D0D0D"/>
          <w:sz w:val="22"/>
          <w:szCs w:val="22"/>
        </w:rPr>
        <w:t xml:space="preserve">SENTENCIA ORAL EN AUDIENCIA INCIAL </w:t>
      </w:r>
    </w:p>
    <w:p w14:paraId="0EA54D33" w14:textId="77777777" w:rsidR="007538B3" w:rsidRPr="00A73A56" w:rsidRDefault="007538B3" w:rsidP="00135D0B">
      <w:pPr>
        <w:spacing w:line="360" w:lineRule="auto"/>
        <w:jc w:val="center"/>
        <w:rPr>
          <w:rFonts w:ascii="Arial" w:hAnsi="Arial" w:cs="Arial"/>
          <w:b/>
          <w:bCs/>
          <w:color w:val="0D0D0D"/>
          <w:sz w:val="22"/>
          <w:szCs w:val="22"/>
        </w:rPr>
      </w:pPr>
    </w:p>
    <w:p w14:paraId="768F4BAE" w14:textId="77777777" w:rsidR="007538B3" w:rsidRPr="00A73A56" w:rsidRDefault="000F4F5C"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En la cual el </w:t>
      </w:r>
      <w:r w:rsidRPr="00A73A56">
        <w:rPr>
          <w:rFonts w:ascii="Arial" w:hAnsi="Arial" w:cs="Arial"/>
          <w:bCs/>
          <w:i/>
          <w:color w:val="0D0D0D"/>
          <w:sz w:val="22"/>
          <w:szCs w:val="22"/>
        </w:rPr>
        <w:t>A quo</w:t>
      </w:r>
      <w:r w:rsidRPr="00A73A56">
        <w:rPr>
          <w:rFonts w:ascii="Arial" w:hAnsi="Arial" w:cs="Arial"/>
          <w:bCs/>
          <w:color w:val="0D0D0D"/>
          <w:sz w:val="22"/>
          <w:szCs w:val="22"/>
        </w:rPr>
        <w:t xml:space="preserve"> </w:t>
      </w:r>
      <w:r w:rsidR="007538B3" w:rsidRPr="00A73A56">
        <w:rPr>
          <w:rFonts w:ascii="Arial" w:hAnsi="Arial" w:cs="Arial"/>
          <w:bCs/>
          <w:color w:val="0D0D0D"/>
          <w:sz w:val="22"/>
          <w:szCs w:val="22"/>
        </w:rPr>
        <w:t xml:space="preserve">indicó que teniendo en cuenta que </w:t>
      </w:r>
      <w:r w:rsidR="00836093" w:rsidRPr="00A73A56">
        <w:rPr>
          <w:rFonts w:ascii="Arial" w:hAnsi="Arial" w:cs="Arial"/>
          <w:bCs/>
          <w:color w:val="0D0D0D"/>
          <w:sz w:val="22"/>
          <w:szCs w:val="22"/>
        </w:rPr>
        <w:t>el tema es de puro derecho y que de igual manera no se requiere la práctica de medios probatorios, resolvió prescindir de la etapa de pruebas y proferir sentencia dentro del desarrollo de la audiencia inicial, por lo que corrió traslado a las partes para que estos pronunciaran sus alegatos.</w:t>
      </w:r>
    </w:p>
    <w:p w14:paraId="72574E37" w14:textId="77777777" w:rsidR="00836093" w:rsidRPr="00A73A56" w:rsidRDefault="00836093" w:rsidP="0068772A">
      <w:pPr>
        <w:spacing w:line="360" w:lineRule="auto"/>
        <w:jc w:val="both"/>
        <w:rPr>
          <w:rFonts w:ascii="Arial" w:hAnsi="Arial" w:cs="Arial"/>
          <w:bCs/>
          <w:color w:val="0D0D0D"/>
          <w:sz w:val="22"/>
          <w:szCs w:val="22"/>
        </w:rPr>
      </w:pPr>
    </w:p>
    <w:p w14:paraId="1A608580" w14:textId="77777777" w:rsidR="00836093" w:rsidRPr="00A73A56" w:rsidRDefault="00836093"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En primer lugar, la Corporación Autónoma Regional de Cundinamarca afirmó que el contrato de explotación se encuentra superpuesto con un área de reserva forestal protectora, razón por la cual el objeto del contrato se torna ilícito.</w:t>
      </w:r>
    </w:p>
    <w:p w14:paraId="03EE3A2C" w14:textId="77777777" w:rsidR="00836093" w:rsidRPr="00A73A56" w:rsidRDefault="00836093" w:rsidP="0068772A">
      <w:pPr>
        <w:spacing w:line="360" w:lineRule="auto"/>
        <w:jc w:val="both"/>
        <w:rPr>
          <w:rFonts w:ascii="Arial" w:hAnsi="Arial" w:cs="Arial"/>
          <w:bCs/>
          <w:color w:val="0D0D0D"/>
          <w:sz w:val="22"/>
          <w:szCs w:val="22"/>
        </w:rPr>
      </w:pPr>
    </w:p>
    <w:p w14:paraId="653A6613" w14:textId="77777777" w:rsidR="00836093" w:rsidRPr="00A73A56" w:rsidRDefault="00836093"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Seguidamente, la Agencia Nacional de Minería </w:t>
      </w:r>
      <w:r w:rsidR="00560412" w:rsidRPr="00A73A56">
        <w:rPr>
          <w:rFonts w:ascii="Arial" w:hAnsi="Arial" w:cs="Arial"/>
          <w:bCs/>
          <w:color w:val="0D0D0D"/>
          <w:sz w:val="22"/>
          <w:szCs w:val="22"/>
        </w:rPr>
        <w:t xml:space="preserve">indicó que se declaró la caducidad del contrato, por otra parte, señaló que el mismo contaba con la respectiva licencia ambiental </w:t>
      </w:r>
      <w:r w:rsidR="008B2C6B" w:rsidRPr="00A73A56">
        <w:rPr>
          <w:rFonts w:ascii="Arial" w:hAnsi="Arial" w:cs="Arial"/>
          <w:bCs/>
          <w:color w:val="0D0D0D"/>
          <w:sz w:val="22"/>
          <w:szCs w:val="22"/>
        </w:rPr>
        <w:t>y que el área afectada es mínima la cual no perjudica la totalidad del contrato; por lo que solicitó que se excluyan del contrato las zonas afectadas.</w:t>
      </w:r>
    </w:p>
    <w:p w14:paraId="0C6ADAAC" w14:textId="77777777" w:rsidR="008B2C6B" w:rsidRPr="00A73A56" w:rsidRDefault="008B2C6B" w:rsidP="0068772A">
      <w:pPr>
        <w:spacing w:line="360" w:lineRule="auto"/>
        <w:jc w:val="both"/>
        <w:rPr>
          <w:rFonts w:ascii="Arial" w:hAnsi="Arial" w:cs="Arial"/>
          <w:bCs/>
          <w:color w:val="0D0D0D"/>
          <w:sz w:val="22"/>
          <w:szCs w:val="22"/>
        </w:rPr>
      </w:pPr>
    </w:p>
    <w:p w14:paraId="7A539DF2" w14:textId="77777777" w:rsidR="008B2C6B" w:rsidRPr="00A73A56" w:rsidRDefault="008B2C6B"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Por último, </w:t>
      </w:r>
      <w:r w:rsidR="000F4F5C" w:rsidRPr="00A73A56">
        <w:rPr>
          <w:rFonts w:ascii="Arial" w:hAnsi="Arial" w:cs="Arial"/>
          <w:bCs/>
          <w:color w:val="0D0D0D"/>
          <w:sz w:val="22"/>
          <w:szCs w:val="22"/>
        </w:rPr>
        <w:t>e</w:t>
      </w:r>
      <w:r w:rsidRPr="00A73A56">
        <w:rPr>
          <w:rFonts w:ascii="Arial" w:hAnsi="Arial" w:cs="Arial"/>
          <w:bCs/>
          <w:color w:val="0D0D0D"/>
          <w:sz w:val="22"/>
          <w:szCs w:val="22"/>
        </w:rPr>
        <w:t xml:space="preserve">l contratista se opuso a las pretensiones de la demanda, por cuanto en los contratos de concesión opera la exclusión de áreas de explotación, indicó que sobre esas </w:t>
      </w:r>
      <w:r w:rsidRPr="00A73A56">
        <w:rPr>
          <w:rFonts w:ascii="Arial" w:hAnsi="Arial" w:cs="Arial"/>
          <w:bCs/>
          <w:color w:val="0D0D0D"/>
          <w:sz w:val="22"/>
          <w:szCs w:val="22"/>
        </w:rPr>
        <w:lastRenderedPageBreak/>
        <w:t xml:space="preserve">zonas no ha realizado explotación alguna, recalcó que no es procedente pronunciamiento alguno, toda vez, que por ministerio de la ley opera la exclusión. </w:t>
      </w:r>
    </w:p>
    <w:p w14:paraId="74DF4638" w14:textId="77777777" w:rsidR="007538B3" w:rsidRPr="00A73A56" w:rsidRDefault="007538B3" w:rsidP="0068772A">
      <w:pPr>
        <w:spacing w:line="360" w:lineRule="auto"/>
        <w:jc w:val="both"/>
        <w:rPr>
          <w:rFonts w:ascii="Arial" w:hAnsi="Arial" w:cs="Arial"/>
          <w:bCs/>
          <w:color w:val="0D0D0D"/>
          <w:sz w:val="22"/>
          <w:szCs w:val="22"/>
        </w:rPr>
      </w:pPr>
    </w:p>
    <w:p w14:paraId="3495D58B" w14:textId="77777777" w:rsidR="006E7B04" w:rsidRPr="00A73A56" w:rsidRDefault="008B2C6B"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Escuchadas a las partes los magistrados que integran la Sala del Tribunal Administrativo de Cundinamarca,</w:t>
      </w:r>
      <w:r w:rsidR="00992564" w:rsidRPr="00A73A56">
        <w:rPr>
          <w:rFonts w:ascii="Arial" w:hAnsi="Arial" w:cs="Arial"/>
          <w:bCs/>
          <w:color w:val="0D0D0D"/>
          <w:sz w:val="22"/>
          <w:szCs w:val="22"/>
        </w:rPr>
        <w:t xml:space="preserve"> Sección Tercera, Subsección A</w:t>
      </w:r>
      <w:r w:rsidRPr="00A73A56">
        <w:rPr>
          <w:rFonts w:ascii="Arial" w:hAnsi="Arial" w:cs="Arial"/>
          <w:bCs/>
          <w:color w:val="0D0D0D"/>
          <w:sz w:val="22"/>
          <w:szCs w:val="22"/>
        </w:rPr>
        <w:t xml:space="preserve"> procedieron a resolver lo planteado en la demanda, respectivas contestaciones y alegatos, para ello se pronunciaron sobre: i) la res</w:t>
      </w:r>
      <w:r w:rsidR="00C47C3E" w:rsidRPr="00A73A56">
        <w:rPr>
          <w:rFonts w:ascii="Arial" w:hAnsi="Arial" w:cs="Arial"/>
          <w:bCs/>
          <w:color w:val="0D0D0D"/>
          <w:sz w:val="22"/>
          <w:szCs w:val="22"/>
        </w:rPr>
        <w:t>erva forestal protectora; ii)</w:t>
      </w:r>
      <w:r w:rsidRPr="00A73A56">
        <w:rPr>
          <w:rFonts w:ascii="Arial" w:hAnsi="Arial" w:cs="Arial"/>
          <w:bCs/>
          <w:color w:val="0D0D0D"/>
          <w:sz w:val="22"/>
          <w:szCs w:val="22"/>
        </w:rPr>
        <w:t xml:space="preserve"> los efectos de las licencias ambientales</w:t>
      </w:r>
      <w:r w:rsidR="009835C0" w:rsidRPr="00A73A56">
        <w:rPr>
          <w:rFonts w:ascii="Arial" w:hAnsi="Arial" w:cs="Arial"/>
          <w:bCs/>
          <w:color w:val="0D0D0D"/>
          <w:sz w:val="22"/>
          <w:szCs w:val="22"/>
        </w:rPr>
        <w:t xml:space="preserve"> </w:t>
      </w:r>
      <w:r w:rsidRPr="00A73A56">
        <w:rPr>
          <w:rFonts w:ascii="Arial" w:hAnsi="Arial" w:cs="Arial"/>
          <w:bCs/>
          <w:color w:val="0D0D0D"/>
          <w:sz w:val="22"/>
          <w:szCs w:val="22"/>
        </w:rPr>
        <w:t>del contrato de concesión minera GE6-143 del 9 de noviembre de 2006</w:t>
      </w:r>
      <w:r w:rsidR="00C47C3E" w:rsidRPr="00A73A56">
        <w:rPr>
          <w:rFonts w:ascii="Arial" w:hAnsi="Arial" w:cs="Arial"/>
          <w:bCs/>
          <w:color w:val="0D0D0D"/>
          <w:sz w:val="22"/>
          <w:szCs w:val="22"/>
        </w:rPr>
        <w:t xml:space="preserve">; iii) </w:t>
      </w:r>
      <w:r w:rsidR="009835C0" w:rsidRPr="00A73A56">
        <w:rPr>
          <w:rFonts w:ascii="Arial" w:hAnsi="Arial" w:cs="Arial"/>
          <w:bCs/>
          <w:color w:val="0D0D0D"/>
          <w:sz w:val="22"/>
          <w:szCs w:val="22"/>
        </w:rPr>
        <w:t>el objeto ilícito sobreviniente del contrato de concesión minera GE6-143 del 9 de noviembre de 2006;</w:t>
      </w:r>
      <w:r w:rsidR="000F4F5C" w:rsidRPr="00A73A56">
        <w:rPr>
          <w:rFonts w:ascii="Arial" w:hAnsi="Arial" w:cs="Arial"/>
          <w:bCs/>
          <w:color w:val="0D0D0D"/>
          <w:sz w:val="22"/>
          <w:szCs w:val="22"/>
        </w:rPr>
        <w:t xml:space="preserve"> y</w:t>
      </w:r>
      <w:r w:rsidR="009835C0" w:rsidRPr="00A73A56">
        <w:rPr>
          <w:rFonts w:ascii="Arial" w:hAnsi="Arial" w:cs="Arial"/>
          <w:bCs/>
          <w:color w:val="0D0D0D"/>
          <w:sz w:val="22"/>
          <w:szCs w:val="22"/>
        </w:rPr>
        <w:t xml:space="preserve"> iv) los efectos de la nulidad de contrato objeto de pleito, analizados todos estos puntos resolvi</w:t>
      </w:r>
      <w:r w:rsidR="006E7B04" w:rsidRPr="00A73A56">
        <w:rPr>
          <w:rFonts w:ascii="Arial" w:hAnsi="Arial" w:cs="Arial"/>
          <w:bCs/>
          <w:color w:val="0D0D0D"/>
          <w:sz w:val="22"/>
          <w:szCs w:val="22"/>
        </w:rPr>
        <w:t xml:space="preserve">ó: </w:t>
      </w:r>
    </w:p>
    <w:p w14:paraId="732E116E" w14:textId="77777777" w:rsidR="00EB331C" w:rsidRPr="00A73A56" w:rsidRDefault="00EB331C" w:rsidP="0068772A">
      <w:pPr>
        <w:spacing w:line="360" w:lineRule="auto"/>
        <w:jc w:val="both"/>
        <w:rPr>
          <w:rFonts w:ascii="Arial" w:hAnsi="Arial" w:cs="Arial"/>
          <w:bCs/>
          <w:color w:val="0D0D0D"/>
          <w:sz w:val="22"/>
          <w:szCs w:val="22"/>
        </w:rPr>
      </w:pPr>
    </w:p>
    <w:p w14:paraId="495FA44B" w14:textId="77777777" w:rsidR="008B2C6B" w:rsidRPr="00A73A56" w:rsidRDefault="006E7B04" w:rsidP="000F4F5C">
      <w:pPr>
        <w:ind w:left="284"/>
        <w:jc w:val="both"/>
        <w:rPr>
          <w:rFonts w:ascii="Arial" w:hAnsi="Arial" w:cs="Arial"/>
          <w:bCs/>
          <w:i/>
          <w:color w:val="0D0D0D"/>
          <w:sz w:val="22"/>
          <w:szCs w:val="22"/>
        </w:rPr>
      </w:pPr>
      <w:r w:rsidRPr="00A73A56">
        <w:rPr>
          <w:rFonts w:ascii="Arial" w:hAnsi="Arial" w:cs="Arial"/>
          <w:bCs/>
          <w:i/>
          <w:color w:val="0D0D0D"/>
          <w:sz w:val="22"/>
          <w:szCs w:val="22"/>
        </w:rPr>
        <w:t>“</w:t>
      </w:r>
      <w:r w:rsidRPr="00A73A56">
        <w:rPr>
          <w:rFonts w:ascii="Arial" w:hAnsi="Arial" w:cs="Arial"/>
          <w:b/>
          <w:bCs/>
          <w:i/>
          <w:color w:val="0D0D0D"/>
          <w:sz w:val="22"/>
          <w:szCs w:val="22"/>
        </w:rPr>
        <w:t>PRIMERO: DECLARAR</w:t>
      </w:r>
      <w:r w:rsidRPr="00A73A56">
        <w:rPr>
          <w:rFonts w:ascii="Arial" w:hAnsi="Arial" w:cs="Arial"/>
          <w:bCs/>
          <w:i/>
          <w:color w:val="0D0D0D"/>
          <w:sz w:val="22"/>
          <w:szCs w:val="22"/>
        </w:rPr>
        <w:t xml:space="preserve"> </w:t>
      </w:r>
      <w:r w:rsidR="009835C0" w:rsidRPr="00A73A56">
        <w:rPr>
          <w:rFonts w:ascii="Arial" w:hAnsi="Arial" w:cs="Arial"/>
          <w:b/>
          <w:bCs/>
          <w:i/>
          <w:color w:val="0D0D0D"/>
          <w:sz w:val="22"/>
          <w:szCs w:val="22"/>
        </w:rPr>
        <w:t>la nulidad absoluta parcial</w:t>
      </w:r>
      <w:r w:rsidR="009835C0" w:rsidRPr="00A73A56">
        <w:rPr>
          <w:rFonts w:ascii="Arial" w:hAnsi="Arial" w:cs="Arial"/>
          <w:bCs/>
          <w:i/>
          <w:color w:val="0D0D0D"/>
          <w:sz w:val="22"/>
          <w:szCs w:val="22"/>
        </w:rPr>
        <w:t xml:space="preserve"> por objeto ilícito del contrato de concesión minera GE6-143 de 9 de noviembre de 2006, de conformidad con la parte motiva de esta providencia. </w:t>
      </w:r>
      <w:r w:rsidR="009835C0" w:rsidRPr="00A73A56">
        <w:rPr>
          <w:rFonts w:ascii="Arial" w:hAnsi="Arial" w:cs="Arial"/>
          <w:b/>
          <w:bCs/>
          <w:i/>
          <w:color w:val="0D0D0D"/>
          <w:sz w:val="22"/>
          <w:szCs w:val="22"/>
        </w:rPr>
        <w:t>SEGUNDO</w:t>
      </w:r>
      <w:r w:rsidR="009835C0" w:rsidRPr="00A73A56">
        <w:rPr>
          <w:rFonts w:ascii="Arial" w:hAnsi="Arial" w:cs="Arial"/>
          <w:bCs/>
          <w:i/>
          <w:color w:val="0D0D0D"/>
          <w:sz w:val="22"/>
          <w:szCs w:val="22"/>
        </w:rPr>
        <w:t xml:space="preserve">: Se </w:t>
      </w:r>
      <w:r w:rsidR="009835C0" w:rsidRPr="00A73A56">
        <w:rPr>
          <w:rFonts w:ascii="Arial" w:hAnsi="Arial" w:cs="Arial"/>
          <w:b/>
          <w:bCs/>
          <w:i/>
          <w:color w:val="0D0D0D"/>
          <w:sz w:val="22"/>
          <w:szCs w:val="22"/>
        </w:rPr>
        <w:t>inaplica con efectos interpartes la Resolución 1858 de 29 de agosto de 2008</w:t>
      </w:r>
      <w:r w:rsidR="009835C0" w:rsidRPr="00A73A56">
        <w:rPr>
          <w:rFonts w:ascii="Arial" w:hAnsi="Arial" w:cs="Arial"/>
          <w:bCs/>
          <w:i/>
          <w:color w:val="0D0D0D"/>
          <w:sz w:val="22"/>
          <w:szCs w:val="22"/>
        </w:rPr>
        <w:t xml:space="preserve">, de conformidad con la parte motiva de esta providencia. </w:t>
      </w:r>
      <w:r w:rsidR="009835C0" w:rsidRPr="00A73A56">
        <w:rPr>
          <w:rFonts w:ascii="Arial" w:hAnsi="Arial" w:cs="Arial"/>
          <w:b/>
          <w:bCs/>
          <w:i/>
          <w:color w:val="0D0D0D"/>
          <w:sz w:val="22"/>
          <w:szCs w:val="22"/>
        </w:rPr>
        <w:t>TECERO:</w:t>
      </w:r>
      <w:r w:rsidR="009835C0" w:rsidRPr="00A73A56">
        <w:rPr>
          <w:rFonts w:ascii="Arial" w:hAnsi="Arial" w:cs="Arial"/>
          <w:bCs/>
          <w:i/>
          <w:color w:val="0D0D0D"/>
          <w:sz w:val="22"/>
          <w:szCs w:val="22"/>
        </w:rPr>
        <w:t xml:space="preserve"> se </w:t>
      </w:r>
      <w:r w:rsidR="009835C0" w:rsidRPr="00A73A56">
        <w:rPr>
          <w:rFonts w:ascii="Arial" w:hAnsi="Arial" w:cs="Arial"/>
          <w:b/>
          <w:bCs/>
          <w:i/>
          <w:color w:val="0D0D0D"/>
          <w:sz w:val="22"/>
          <w:szCs w:val="22"/>
        </w:rPr>
        <w:t>ORDENA</w:t>
      </w:r>
      <w:r w:rsidR="009835C0" w:rsidRPr="00A73A56">
        <w:rPr>
          <w:rFonts w:ascii="Arial" w:hAnsi="Arial" w:cs="Arial"/>
          <w:bCs/>
          <w:i/>
          <w:color w:val="0D0D0D"/>
          <w:sz w:val="22"/>
          <w:szCs w:val="22"/>
        </w:rPr>
        <w:t xml:space="preserve"> que se inscriba esta sentencia en el Registro Nacional Minero del contrato de concesión minera GE6-143 del 9 de noviembre de 2006. </w:t>
      </w:r>
      <w:r w:rsidR="009835C0" w:rsidRPr="00A73A56">
        <w:rPr>
          <w:rFonts w:ascii="Arial" w:hAnsi="Arial" w:cs="Arial"/>
          <w:b/>
          <w:bCs/>
          <w:i/>
          <w:color w:val="0D0D0D"/>
          <w:sz w:val="22"/>
          <w:szCs w:val="22"/>
        </w:rPr>
        <w:t>CUARTO:</w:t>
      </w:r>
      <w:r w:rsidR="009835C0" w:rsidRPr="00A73A56">
        <w:rPr>
          <w:rFonts w:ascii="Arial" w:hAnsi="Arial" w:cs="Arial"/>
          <w:bCs/>
          <w:i/>
          <w:color w:val="0D0D0D"/>
          <w:sz w:val="22"/>
          <w:szCs w:val="22"/>
        </w:rPr>
        <w:t xml:space="preserve"> Se </w:t>
      </w:r>
      <w:r w:rsidR="009835C0" w:rsidRPr="00A73A56">
        <w:rPr>
          <w:rFonts w:ascii="Arial" w:hAnsi="Arial" w:cs="Arial"/>
          <w:b/>
          <w:bCs/>
          <w:i/>
          <w:color w:val="0D0D0D"/>
          <w:sz w:val="22"/>
          <w:szCs w:val="22"/>
        </w:rPr>
        <w:t>ORDENA</w:t>
      </w:r>
      <w:r w:rsidR="009835C0" w:rsidRPr="00A73A56">
        <w:rPr>
          <w:rFonts w:ascii="Arial" w:hAnsi="Arial" w:cs="Arial"/>
          <w:bCs/>
          <w:i/>
          <w:color w:val="0D0D0D"/>
          <w:sz w:val="22"/>
          <w:szCs w:val="22"/>
        </w:rPr>
        <w:t xml:space="preserve"> al señor MARIO FERNANDO MENDOZA ROJAS, que una vez ejecutada esta providencia, se entregue el área objeto de explotación a la AGENCIA NACIONAL DE MINERÍA, sin derecho a ningún tipo de restitución de tipo económico”.</w:t>
      </w:r>
    </w:p>
    <w:p w14:paraId="752EAA7C" w14:textId="77777777" w:rsidR="009835C0" w:rsidRPr="00A73A56" w:rsidRDefault="009835C0" w:rsidP="0068772A">
      <w:pPr>
        <w:spacing w:line="360" w:lineRule="auto"/>
        <w:jc w:val="both"/>
        <w:rPr>
          <w:rFonts w:ascii="Arial" w:hAnsi="Arial" w:cs="Arial"/>
          <w:bCs/>
          <w:color w:val="0D0D0D"/>
          <w:sz w:val="22"/>
          <w:szCs w:val="22"/>
        </w:rPr>
      </w:pPr>
    </w:p>
    <w:p w14:paraId="1A4F3DB4" w14:textId="77777777" w:rsidR="00AF39A6" w:rsidRPr="00A73A56" w:rsidRDefault="00AF39A6" w:rsidP="0068772A">
      <w:pPr>
        <w:spacing w:line="360" w:lineRule="auto"/>
        <w:jc w:val="center"/>
        <w:rPr>
          <w:rFonts w:ascii="Arial" w:hAnsi="Arial" w:cs="Arial"/>
          <w:b/>
          <w:bCs/>
          <w:color w:val="0D0D0D"/>
          <w:sz w:val="22"/>
          <w:szCs w:val="22"/>
        </w:rPr>
      </w:pPr>
      <w:r w:rsidRPr="00A73A56">
        <w:rPr>
          <w:rFonts w:ascii="Arial" w:hAnsi="Arial" w:cs="Arial"/>
          <w:b/>
          <w:bCs/>
          <w:color w:val="0D0D0D"/>
          <w:sz w:val="22"/>
          <w:szCs w:val="22"/>
        </w:rPr>
        <w:t>EL RECURSO DE APELACIÓN</w:t>
      </w:r>
    </w:p>
    <w:p w14:paraId="6CFED02B" w14:textId="77777777" w:rsidR="0088774B" w:rsidRPr="00A73A56" w:rsidRDefault="0088774B" w:rsidP="0068772A">
      <w:pPr>
        <w:spacing w:line="360" w:lineRule="auto"/>
        <w:jc w:val="both"/>
        <w:rPr>
          <w:rFonts w:ascii="Arial" w:hAnsi="Arial" w:cs="Arial"/>
          <w:bCs/>
          <w:color w:val="0D0D0D"/>
          <w:sz w:val="22"/>
          <w:szCs w:val="22"/>
        </w:rPr>
      </w:pPr>
    </w:p>
    <w:p w14:paraId="06850127" w14:textId="77777777" w:rsidR="006E7B04" w:rsidRPr="00A73A56" w:rsidRDefault="0088774B"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Contra lo</w:t>
      </w:r>
      <w:r w:rsidR="00B32057" w:rsidRPr="00A73A56">
        <w:rPr>
          <w:rFonts w:ascii="Arial" w:hAnsi="Arial" w:cs="Arial"/>
          <w:bCs/>
          <w:color w:val="0D0D0D"/>
          <w:sz w:val="22"/>
          <w:szCs w:val="22"/>
        </w:rPr>
        <w:t xml:space="preserve"> así resuelto</w:t>
      </w:r>
      <w:r w:rsidR="004D105B" w:rsidRPr="00A73A56">
        <w:rPr>
          <w:rFonts w:ascii="Arial" w:hAnsi="Arial" w:cs="Arial"/>
          <w:bCs/>
          <w:color w:val="0D0D0D"/>
          <w:sz w:val="22"/>
          <w:szCs w:val="22"/>
        </w:rPr>
        <w:t>,</w:t>
      </w:r>
      <w:r w:rsidR="00B32057" w:rsidRPr="00A73A56">
        <w:rPr>
          <w:rFonts w:ascii="Arial" w:hAnsi="Arial" w:cs="Arial"/>
          <w:bCs/>
          <w:color w:val="0D0D0D"/>
          <w:sz w:val="22"/>
          <w:szCs w:val="22"/>
        </w:rPr>
        <w:t xml:space="preserve"> </w:t>
      </w:r>
      <w:r w:rsidR="006E7B04" w:rsidRPr="00A73A56">
        <w:rPr>
          <w:rFonts w:ascii="Arial" w:hAnsi="Arial" w:cs="Arial"/>
          <w:bCs/>
          <w:color w:val="0D0D0D"/>
          <w:sz w:val="22"/>
          <w:szCs w:val="22"/>
        </w:rPr>
        <w:t xml:space="preserve">el 27 de agosto de 2015 la Agencia Nacional de Minería radicó el recurso de apelación en el cual solicitó que se revoque la decisión de primera instancia, pues en su consideración el </w:t>
      </w:r>
      <w:r w:rsidR="006E7B04" w:rsidRPr="00A73A56">
        <w:rPr>
          <w:rFonts w:ascii="Arial" w:hAnsi="Arial" w:cs="Arial"/>
          <w:bCs/>
          <w:i/>
          <w:color w:val="0D0D0D"/>
          <w:sz w:val="22"/>
          <w:szCs w:val="22"/>
        </w:rPr>
        <w:t>A quo</w:t>
      </w:r>
      <w:r w:rsidR="006E7B04" w:rsidRPr="00A73A56">
        <w:rPr>
          <w:rFonts w:ascii="Arial" w:hAnsi="Arial" w:cs="Arial"/>
          <w:bCs/>
          <w:color w:val="0D0D0D"/>
          <w:sz w:val="22"/>
          <w:szCs w:val="22"/>
        </w:rPr>
        <w:t xml:space="preserve"> incurrió en errores fácticos y jurídicos </w:t>
      </w:r>
      <w:r w:rsidR="00AD32F3" w:rsidRPr="00A73A56">
        <w:rPr>
          <w:rFonts w:ascii="Arial" w:hAnsi="Arial" w:cs="Arial"/>
          <w:bCs/>
          <w:color w:val="0D0D0D"/>
          <w:sz w:val="22"/>
          <w:szCs w:val="22"/>
        </w:rPr>
        <w:t>pues no se debió declarar la nulidad absoluta parcial del Contrato de Concesión Minera N° GE6-143 por encontrarse superpuesto con un área declarada por la Autoridad Ambiental –CORPORACIÓN AUTONOMA REGIONAL DE CUNDINAMARCA –CAR, como Área de Reserva Forestal Protectora Cerro Quinini.</w:t>
      </w:r>
    </w:p>
    <w:p w14:paraId="3789EEA4" w14:textId="77777777" w:rsidR="00AD32F3" w:rsidRPr="00A73A56" w:rsidRDefault="00AD32F3" w:rsidP="0068772A">
      <w:pPr>
        <w:widowControl w:val="0"/>
        <w:spacing w:line="360" w:lineRule="auto"/>
        <w:jc w:val="both"/>
        <w:rPr>
          <w:rFonts w:ascii="Arial" w:hAnsi="Arial" w:cs="Arial"/>
          <w:bCs/>
          <w:color w:val="0D0D0D"/>
          <w:sz w:val="22"/>
          <w:szCs w:val="22"/>
        </w:rPr>
      </w:pPr>
    </w:p>
    <w:p w14:paraId="4194C944" w14:textId="77777777" w:rsidR="00AD32F3" w:rsidRPr="00A73A56" w:rsidRDefault="00AD32F3"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Por otra parte señaló que la norma aplicable </w:t>
      </w:r>
      <w:r w:rsidR="00C47C3E" w:rsidRPr="00A73A56">
        <w:rPr>
          <w:rFonts w:ascii="Arial" w:hAnsi="Arial" w:cs="Arial"/>
          <w:bCs/>
          <w:color w:val="0D0D0D"/>
          <w:sz w:val="22"/>
          <w:szCs w:val="22"/>
        </w:rPr>
        <w:t xml:space="preserve">al caso concreto </w:t>
      </w:r>
      <w:r w:rsidRPr="00A73A56">
        <w:rPr>
          <w:rFonts w:ascii="Arial" w:hAnsi="Arial" w:cs="Arial"/>
          <w:bCs/>
          <w:color w:val="0D0D0D"/>
          <w:sz w:val="22"/>
          <w:szCs w:val="22"/>
        </w:rPr>
        <w:t xml:space="preserve">es la Ley 685 de 2001 </w:t>
      </w:r>
      <w:r w:rsidR="00C47C3E" w:rsidRPr="00A73A56">
        <w:rPr>
          <w:rFonts w:ascii="Arial" w:hAnsi="Arial" w:cs="Arial"/>
          <w:bCs/>
          <w:color w:val="0D0D0D"/>
          <w:sz w:val="22"/>
          <w:szCs w:val="22"/>
        </w:rPr>
        <w:t xml:space="preserve">la cual si bien </w:t>
      </w:r>
      <w:r w:rsidR="005C0DE6" w:rsidRPr="00A73A56">
        <w:rPr>
          <w:rFonts w:ascii="Arial" w:hAnsi="Arial" w:cs="Arial"/>
          <w:bCs/>
          <w:color w:val="0D0D0D"/>
          <w:sz w:val="22"/>
          <w:szCs w:val="22"/>
        </w:rPr>
        <w:t xml:space="preserve">no </w:t>
      </w:r>
      <w:r w:rsidRPr="00A73A56">
        <w:rPr>
          <w:rFonts w:ascii="Arial" w:hAnsi="Arial" w:cs="Arial"/>
          <w:bCs/>
          <w:color w:val="0D0D0D"/>
          <w:sz w:val="22"/>
          <w:szCs w:val="22"/>
        </w:rPr>
        <w:t>estableció de manera expresa las causales de nulidad absoluta</w:t>
      </w:r>
      <w:r w:rsidR="005C0DE6" w:rsidRPr="00A73A56">
        <w:rPr>
          <w:rFonts w:ascii="Arial" w:hAnsi="Arial" w:cs="Arial"/>
          <w:bCs/>
          <w:color w:val="0D0D0D"/>
          <w:sz w:val="22"/>
          <w:szCs w:val="22"/>
        </w:rPr>
        <w:t xml:space="preserve"> y relativa</w:t>
      </w:r>
      <w:r w:rsidRPr="00A73A56">
        <w:rPr>
          <w:rFonts w:ascii="Arial" w:hAnsi="Arial" w:cs="Arial"/>
          <w:bCs/>
          <w:color w:val="0D0D0D"/>
          <w:sz w:val="22"/>
          <w:szCs w:val="22"/>
        </w:rPr>
        <w:t xml:space="preserve"> de los contratos mineros</w:t>
      </w:r>
      <w:r w:rsidR="00C47C3E" w:rsidRPr="00A73A56">
        <w:rPr>
          <w:rFonts w:ascii="Arial" w:hAnsi="Arial" w:cs="Arial"/>
          <w:bCs/>
          <w:color w:val="0D0D0D"/>
          <w:sz w:val="22"/>
          <w:szCs w:val="22"/>
        </w:rPr>
        <w:t xml:space="preserve">, se debe tener en cuenta </w:t>
      </w:r>
      <w:r w:rsidR="005C0DE6" w:rsidRPr="00A73A56">
        <w:rPr>
          <w:rFonts w:ascii="Arial" w:hAnsi="Arial" w:cs="Arial"/>
          <w:bCs/>
          <w:color w:val="0D0D0D"/>
          <w:sz w:val="22"/>
          <w:szCs w:val="22"/>
        </w:rPr>
        <w:t xml:space="preserve">el artículo 1741 del Código Civil, </w:t>
      </w:r>
      <w:r w:rsidR="00C47C3E" w:rsidRPr="00A73A56">
        <w:rPr>
          <w:rFonts w:ascii="Arial" w:hAnsi="Arial" w:cs="Arial"/>
          <w:bCs/>
          <w:color w:val="0D0D0D"/>
          <w:sz w:val="22"/>
          <w:szCs w:val="22"/>
        </w:rPr>
        <w:t xml:space="preserve">que </w:t>
      </w:r>
      <w:r w:rsidR="005C0DE6" w:rsidRPr="00A73A56">
        <w:rPr>
          <w:rFonts w:ascii="Arial" w:hAnsi="Arial" w:cs="Arial"/>
          <w:bCs/>
          <w:color w:val="0D0D0D"/>
          <w:sz w:val="22"/>
          <w:szCs w:val="22"/>
        </w:rPr>
        <w:t>prevé:</w:t>
      </w:r>
    </w:p>
    <w:p w14:paraId="03FA1EAF" w14:textId="77777777" w:rsidR="005C0DE6" w:rsidRPr="00A73A56" w:rsidRDefault="005C0DE6" w:rsidP="00C47C3E">
      <w:pPr>
        <w:widowControl w:val="0"/>
        <w:spacing w:line="360" w:lineRule="auto"/>
        <w:ind w:left="284"/>
        <w:jc w:val="both"/>
        <w:rPr>
          <w:rFonts w:ascii="Arial" w:hAnsi="Arial" w:cs="Arial"/>
          <w:bCs/>
          <w:color w:val="0D0D0D"/>
          <w:sz w:val="22"/>
          <w:szCs w:val="22"/>
        </w:rPr>
      </w:pPr>
    </w:p>
    <w:p w14:paraId="2D77BF0C" w14:textId="77777777" w:rsidR="005C0DE6" w:rsidRPr="00A73A56" w:rsidRDefault="005C0DE6" w:rsidP="00992564">
      <w:pPr>
        <w:pStyle w:val="NormalWeb"/>
        <w:shd w:val="clear" w:color="auto" w:fill="FFFFFF"/>
        <w:spacing w:before="2" w:after="2"/>
        <w:ind w:left="284"/>
        <w:jc w:val="both"/>
        <w:rPr>
          <w:rFonts w:ascii="Arial" w:hAnsi="Arial" w:cs="Arial"/>
          <w:i/>
          <w:color w:val="0D0D0D"/>
          <w:sz w:val="22"/>
          <w:szCs w:val="22"/>
          <w:lang w:val="es-CO" w:eastAsia="es-CO"/>
        </w:rPr>
      </w:pPr>
      <w:r w:rsidRPr="00A73A56">
        <w:rPr>
          <w:rFonts w:ascii="Arial" w:hAnsi="Arial" w:cs="Arial"/>
          <w:bCs/>
          <w:i/>
          <w:color w:val="0D0D0D"/>
          <w:sz w:val="22"/>
          <w:szCs w:val="22"/>
        </w:rPr>
        <w:t>“</w:t>
      </w:r>
      <w:r w:rsidRPr="00A73A56">
        <w:rPr>
          <w:rFonts w:ascii="Arial" w:hAnsi="Arial" w:cs="Arial"/>
          <w:i/>
          <w:color w:val="0D0D0D"/>
          <w:sz w:val="22"/>
          <w:szCs w:val="22"/>
          <w:lang w:val="es-CO" w:eastAsia="es-CO"/>
        </w:rPr>
        <w:t>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65E8EDEC" w14:textId="77777777" w:rsidR="005C0DE6" w:rsidRPr="00A73A56" w:rsidRDefault="005C0DE6" w:rsidP="00992564">
      <w:pPr>
        <w:shd w:val="clear" w:color="auto" w:fill="FFFFFF"/>
        <w:ind w:left="284"/>
        <w:jc w:val="both"/>
        <w:rPr>
          <w:rFonts w:ascii="Arial" w:hAnsi="Arial" w:cs="Arial"/>
          <w:i/>
          <w:color w:val="0D0D0D"/>
          <w:sz w:val="22"/>
          <w:szCs w:val="22"/>
          <w:lang w:val="es-CO" w:eastAsia="es-CO"/>
        </w:rPr>
      </w:pPr>
      <w:r w:rsidRPr="00A73A56">
        <w:rPr>
          <w:rFonts w:ascii="Arial" w:hAnsi="Arial" w:cs="Arial"/>
          <w:i/>
          <w:color w:val="0D0D0D"/>
          <w:sz w:val="22"/>
          <w:szCs w:val="22"/>
          <w:lang w:val="es-CO" w:eastAsia="es-CO"/>
        </w:rPr>
        <w:t>Hay así mismo nulidad absoluta en los actos y contratos de personas absolutamente incapaces.</w:t>
      </w:r>
    </w:p>
    <w:p w14:paraId="33FC6A46" w14:textId="77777777" w:rsidR="005C0DE6" w:rsidRPr="00A73A56" w:rsidRDefault="005C0DE6" w:rsidP="00992564">
      <w:pPr>
        <w:shd w:val="clear" w:color="auto" w:fill="FFFFFF"/>
        <w:ind w:left="284"/>
        <w:jc w:val="both"/>
        <w:rPr>
          <w:rFonts w:ascii="Arial" w:hAnsi="Arial" w:cs="Arial"/>
          <w:i/>
          <w:color w:val="0D0D0D"/>
          <w:sz w:val="22"/>
          <w:szCs w:val="22"/>
          <w:lang w:val="es-CO" w:eastAsia="es-CO"/>
        </w:rPr>
      </w:pPr>
      <w:r w:rsidRPr="00A73A56">
        <w:rPr>
          <w:rFonts w:ascii="Arial" w:hAnsi="Arial" w:cs="Arial"/>
          <w:i/>
          <w:color w:val="0D0D0D"/>
          <w:sz w:val="22"/>
          <w:szCs w:val="22"/>
          <w:lang w:val="es-CO" w:eastAsia="es-CO"/>
        </w:rPr>
        <w:t>Cualquiera otra especie de vicio produce nulidad relativa, y da derecho a la rescisión del acto o contrato”.</w:t>
      </w:r>
    </w:p>
    <w:p w14:paraId="7585DCB6" w14:textId="77777777" w:rsidR="005C0DE6" w:rsidRPr="00A73A56" w:rsidRDefault="005C0DE6" w:rsidP="0068772A">
      <w:pPr>
        <w:widowControl w:val="0"/>
        <w:spacing w:line="360" w:lineRule="auto"/>
        <w:jc w:val="both"/>
        <w:rPr>
          <w:rFonts w:ascii="Arial" w:hAnsi="Arial" w:cs="Arial"/>
          <w:bCs/>
          <w:color w:val="0D0D0D"/>
          <w:sz w:val="22"/>
          <w:szCs w:val="22"/>
        </w:rPr>
      </w:pPr>
    </w:p>
    <w:p w14:paraId="2B7137CA" w14:textId="77777777" w:rsidR="005C0DE6" w:rsidRPr="00A73A56" w:rsidRDefault="005C0DE6"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Con fundamento en lo expuesto indicó </w:t>
      </w:r>
      <w:r w:rsidR="000F4F5C" w:rsidRPr="00A73A56">
        <w:rPr>
          <w:rFonts w:ascii="Arial" w:hAnsi="Arial" w:cs="Arial"/>
          <w:bCs/>
          <w:color w:val="0D0D0D"/>
          <w:sz w:val="22"/>
          <w:szCs w:val="22"/>
        </w:rPr>
        <w:t>la</w:t>
      </w:r>
      <w:r w:rsidR="00992564" w:rsidRPr="00A73A56">
        <w:rPr>
          <w:rFonts w:ascii="Arial" w:hAnsi="Arial" w:cs="Arial"/>
          <w:bCs/>
          <w:color w:val="0D0D0D"/>
          <w:sz w:val="22"/>
          <w:szCs w:val="22"/>
        </w:rPr>
        <w:t xml:space="preserve"> A</w:t>
      </w:r>
      <w:r w:rsidRPr="00A73A56">
        <w:rPr>
          <w:rFonts w:ascii="Arial" w:hAnsi="Arial" w:cs="Arial"/>
          <w:bCs/>
          <w:color w:val="0D0D0D"/>
          <w:sz w:val="22"/>
          <w:szCs w:val="22"/>
        </w:rPr>
        <w:t>gencia demandada que el contrato cumple con los requisitos legales, asimismo este ha cumplid</w:t>
      </w:r>
      <w:r w:rsidR="00F335C2" w:rsidRPr="00A73A56">
        <w:rPr>
          <w:rFonts w:ascii="Arial" w:hAnsi="Arial" w:cs="Arial"/>
          <w:bCs/>
          <w:color w:val="0D0D0D"/>
          <w:sz w:val="22"/>
          <w:szCs w:val="22"/>
        </w:rPr>
        <w:t xml:space="preserve">o con los presupuesto de objeto, asimismo </w:t>
      </w:r>
      <w:r w:rsidR="00F335C2" w:rsidRPr="00A73A56">
        <w:rPr>
          <w:rFonts w:ascii="Arial" w:hAnsi="Arial" w:cs="Arial"/>
          <w:bCs/>
          <w:color w:val="0D0D0D"/>
          <w:sz w:val="22"/>
          <w:szCs w:val="22"/>
        </w:rPr>
        <w:lastRenderedPageBreak/>
        <w:t xml:space="preserve">es una </w:t>
      </w:r>
      <w:r w:rsidRPr="00A73A56">
        <w:rPr>
          <w:rFonts w:ascii="Arial" w:hAnsi="Arial" w:cs="Arial"/>
          <w:bCs/>
          <w:color w:val="0D0D0D"/>
          <w:sz w:val="22"/>
          <w:szCs w:val="22"/>
        </w:rPr>
        <w:t>causa lícita, y con observancia a las normas que se le aplicaban para su celebración, presupuestos que en ningún momento han sido desvirtuados por la Corporación Autónoma Regional de Cundinamarca.</w:t>
      </w:r>
    </w:p>
    <w:p w14:paraId="31761C05" w14:textId="77777777" w:rsidR="005C0DE6" w:rsidRPr="00A73A56" w:rsidRDefault="005C0DE6" w:rsidP="0068772A">
      <w:pPr>
        <w:widowControl w:val="0"/>
        <w:spacing w:line="360" w:lineRule="auto"/>
        <w:jc w:val="both"/>
        <w:rPr>
          <w:rFonts w:ascii="Arial" w:hAnsi="Arial" w:cs="Arial"/>
          <w:bCs/>
          <w:color w:val="0D0D0D"/>
          <w:sz w:val="22"/>
          <w:szCs w:val="22"/>
        </w:rPr>
      </w:pPr>
    </w:p>
    <w:p w14:paraId="1B1DCB47" w14:textId="77777777" w:rsidR="005C0DE6" w:rsidRPr="00A73A56" w:rsidRDefault="005C0DE6"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Por otra parte señaló que es evidente que el </w:t>
      </w:r>
      <w:r w:rsidRPr="00A73A56">
        <w:rPr>
          <w:rFonts w:ascii="Arial" w:hAnsi="Arial" w:cs="Arial"/>
          <w:bCs/>
          <w:i/>
          <w:color w:val="0D0D0D"/>
          <w:sz w:val="22"/>
          <w:szCs w:val="22"/>
        </w:rPr>
        <w:t>A quo</w:t>
      </w:r>
      <w:r w:rsidRPr="00A73A56">
        <w:rPr>
          <w:rFonts w:ascii="Arial" w:hAnsi="Arial" w:cs="Arial"/>
          <w:bCs/>
          <w:color w:val="0D0D0D"/>
          <w:sz w:val="22"/>
          <w:szCs w:val="22"/>
        </w:rPr>
        <w:t xml:space="preserve"> incurrió en un defecto sustancial o material al </w:t>
      </w:r>
      <w:r w:rsidR="00BE7378" w:rsidRPr="00A73A56">
        <w:rPr>
          <w:rFonts w:ascii="Arial" w:hAnsi="Arial" w:cs="Arial"/>
          <w:bCs/>
          <w:color w:val="0D0D0D"/>
          <w:sz w:val="22"/>
          <w:szCs w:val="22"/>
        </w:rPr>
        <w:t>darle alcance al Acuerdo 29 de 1987 del INDERENA, a la Resolución 122 de 1987 del Ministerio de Agricultura y al Acuerdo 42 de 1993 del INDERENA para la reserva Cuchilla de Peñas Blancas.</w:t>
      </w:r>
    </w:p>
    <w:p w14:paraId="610C2601" w14:textId="77777777" w:rsidR="00BE7378" w:rsidRPr="00A73A56" w:rsidRDefault="00BE7378" w:rsidP="0068772A">
      <w:pPr>
        <w:widowControl w:val="0"/>
        <w:spacing w:line="360" w:lineRule="auto"/>
        <w:jc w:val="both"/>
        <w:rPr>
          <w:rFonts w:ascii="Arial" w:hAnsi="Arial" w:cs="Arial"/>
          <w:bCs/>
          <w:color w:val="0D0D0D"/>
          <w:sz w:val="22"/>
          <w:szCs w:val="22"/>
        </w:rPr>
      </w:pPr>
    </w:p>
    <w:p w14:paraId="2A1ACB95" w14:textId="77777777" w:rsidR="00BE7378" w:rsidRPr="00A73A56" w:rsidRDefault="00BE7378"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Por último, exteriorizó que el</w:t>
      </w:r>
      <w:r w:rsidR="00F335C2" w:rsidRPr="00A73A56">
        <w:rPr>
          <w:rFonts w:ascii="Arial" w:hAnsi="Arial" w:cs="Arial"/>
          <w:bCs/>
          <w:color w:val="0D0D0D"/>
          <w:sz w:val="22"/>
          <w:szCs w:val="22"/>
        </w:rPr>
        <w:t xml:space="preserve"> juez de primera instancia</w:t>
      </w:r>
      <w:r w:rsidRPr="00A73A56">
        <w:rPr>
          <w:rFonts w:ascii="Arial" w:hAnsi="Arial" w:cs="Arial"/>
          <w:bCs/>
          <w:color w:val="0D0D0D"/>
          <w:sz w:val="22"/>
          <w:szCs w:val="22"/>
        </w:rPr>
        <w:t xml:space="preserve"> no realizó una debida valoración del material probatorio, pues decidió separarse por completo de los hechos debida y oportunamente probados, adopta</w:t>
      </w:r>
      <w:r w:rsidR="000F4F5C" w:rsidRPr="00A73A56">
        <w:rPr>
          <w:rFonts w:ascii="Arial" w:hAnsi="Arial" w:cs="Arial"/>
          <w:bCs/>
          <w:color w:val="0D0D0D"/>
          <w:sz w:val="22"/>
          <w:szCs w:val="22"/>
        </w:rPr>
        <w:t>n</w:t>
      </w:r>
      <w:r w:rsidRPr="00A73A56">
        <w:rPr>
          <w:rFonts w:ascii="Arial" w:hAnsi="Arial" w:cs="Arial"/>
          <w:bCs/>
          <w:color w:val="0D0D0D"/>
          <w:sz w:val="22"/>
          <w:szCs w:val="22"/>
        </w:rPr>
        <w:t xml:space="preserve">do una decisión sin </w:t>
      </w:r>
      <w:r w:rsidR="00F335C2" w:rsidRPr="00A73A56">
        <w:rPr>
          <w:rFonts w:ascii="Arial" w:hAnsi="Arial" w:cs="Arial"/>
          <w:bCs/>
          <w:color w:val="0D0D0D"/>
          <w:sz w:val="22"/>
          <w:szCs w:val="22"/>
        </w:rPr>
        <w:t xml:space="preserve">un </w:t>
      </w:r>
      <w:r w:rsidRPr="00A73A56">
        <w:rPr>
          <w:rFonts w:ascii="Arial" w:hAnsi="Arial" w:cs="Arial"/>
          <w:bCs/>
          <w:color w:val="0D0D0D"/>
          <w:sz w:val="22"/>
          <w:szCs w:val="22"/>
        </w:rPr>
        <w:t>apoyo claro fáctico.</w:t>
      </w:r>
    </w:p>
    <w:p w14:paraId="6100D716" w14:textId="77777777" w:rsidR="00EB331C" w:rsidRPr="00A73A56" w:rsidRDefault="00EB331C" w:rsidP="0068772A">
      <w:pPr>
        <w:widowControl w:val="0"/>
        <w:spacing w:line="360" w:lineRule="auto"/>
        <w:jc w:val="both"/>
        <w:rPr>
          <w:rFonts w:ascii="Arial" w:hAnsi="Arial" w:cs="Arial"/>
          <w:bCs/>
          <w:color w:val="0D0D0D"/>
          <w:sz w:val="22"/>
          <w:szCs w:val="22"/>
        </w:rPr>
      </w:pPr>
    </w:p>
    <w:p w14:paraId="78485D87" w14:textId="77777777" w:rsidR="00BE7378" w:rsidRPr="00A73A56" w:rsidRDefault="00BE7378"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El 9 de septiembre de 2015 el Tribunal Administrativo de Cundinamarca,</w:t>
      </w:r>
      <w:r w:rsidR="00992564" w:rsidRPr="00A73A56">
        <w:rPr>
          <w:rFonts w:ascii="Arial" w:hAnsi="Arial" w:cs="Arial"/>
          <w:bCs/>
          <w:color w:val="0D0D0D"/>
          <w:sz w:val="22"/>
          <w:szCs w:val="22"/>
        </w:rPr>
        <w:t xml:space="preserve"> Sección Tercera, Subsección A</w:t>
      </w:r>
      <w:r w:rsidRPr="00A73A56">
        <w:rPr>
          <w:rFonts w:ascii="Arial" w:hAnsi="Arial" w:cs="Arial"/>
          <w:bCs/>
          <w:color w:val="0D0D0D"/>
          <w:sz w:val="22"/>
          <w:szCs w:val="22"/>
        </w:rPr>
        <w:t xml:space="preserve"> concedió el recurso de apelación propuesto por el apoderado de la Agencia Nacional de Minería ante esta Corporación</w:t>
      </w:r>
      <w:r w:rsidRPr="00A73A56">
        <w:rPr>
          <w:rStyle w:val="Refdenotaalpie"/>
          <w:rFonts w:ascii="Arial" w:hAnsi="Arial" w:cs="Arial"/>
          <w:bCs/>
          <w:color w:val="0D0D0D"/>
          <w:sz w:val="22"/>
          <w:szCs w:val="22"/>
        </w:rPr>
        <w:footnoteReference w:id="12"/>
      </w:r>
      <w:r w:rsidRPr="00A73A56">
        <w:rPr>
          <w:rFonts w:ascii="Arial" w:hAnsi="Arial" w:cs="Arial"/>
          <w:bCs/>
          <w:color w:val="0D0D0D"/>
          <w:sz w:val="22"/>
          <w:szCs w:val="22"/>
        </w:rPr>
        <w:t>.</w:t>
      </w:r>
    </w:p>
    <w:p w14:paraId="0B38EB86" w14:textId="77777777" w:rsidR="00BE7378" w:rsidRPr="00A73A56" w:rsidRDefault="00BE7378" w:rsidP="0068772A">
      <w:pPr>
        <w:widowControl w:val="0"/>
        <w:spacing w:line="360" w:lineRule="auto"/>
        <w:jc w:val="both"/>
        <w:rPr>
          <w:rFonts w:ascii="Arial" w:hAnsi="Arial" w:cs="Arial"/>
          <w:bCs/>
          <w:color w:val="0D0D0D"/>
          <w:sz w:val="22"/>
          <w:szCs w:val="22"/>
        </w:rPr>
      </w:pPr>
    </w:p>
    <w:p w14:paraId="21B02150" w14:textId="77777777" w:rsidR="00BE7378" w:rsidRPr="00A73A56" w:rsidRDefault="00BE7378" w:rsidP="0068772A">
      <w:pPr>
        <w:widowControl w:val="0"/>
        <w:spacing w:line="360" w:lineRule="auto"/>
        <w:jc w:val="both"/>
        <w:rPr>
          <w:rFonts w:ascii="Arial" w:hAnsi="Arial" w:cs="Arial"/>
          <w:b/>
          <w:bCs/>
          <w:color w:val="0D0D0D"/>
          <w:sz w:val="22"/>
          <w:szCs w:val="22"/>
        </w:rPr>
      </w:pPr>
      <w:r w:rsidRPr="00A73A56">
        <w:rPr>
          <w:rFonts w:ascii="Arial" w:hAnsi="Arial" w:cs="Arial"/>
          <w:b/>
          <w:bCs/>
          <w:color w:val="0D0D0D"/>
          <w:sz w:val="22"/>
          <w:szCs w:val="22"/>
        </w:rPr>
        <w:t xml:space="preserve">4.- El trámite procesal en segunda instancia </w:t>
      </w:r>
    </w:p>
    <w:p w14:paraId="7CFAC54A" w14:textId="77777777" w:rsidR="004D105B" w:rsidRPr="00A73A56" w:rsidRDefault="004D105B" w:rsidP="0068772A">
      <w:pPr>
        <w:widowControl w:val="0"/>
        <w:spacing w:line="360" w:lineRule="auto"/>
        <w:jc w:val="both"/>
        <w:rPr>
          <w:rFonts w:ascii="Arial" w:hAnsi="Arial" w:cs="Arial"/>
          <w:bCs/>
          <w:color w:val="0D0D0D"/>
          <w:sz w:val="22"/>
          <w:szCs w:val="22"/>
        </w:rPr>
      </w:pPr>
    </w:p>
    <w:p w14:paraId="3B6F8FCF" w14:textId="77777777" w:rsidR="00BE7378" w:rsidRPr="00A73A56" w:rsidRDefault="00BE7378"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El 9 de diciembre de 2015 se admitió el recurso de apelación interpuesto por la entidad demandada -Agencia Nacional de Minería-</w:t>
      </w:r>
      <w:r w:rsidRPr="00A73A56">
        <w:rPr>
          <w:rStyle w:val="Refdenotaalpie"/>
          <w:rFonts w:ascii="Arial" w:hAnsi="Arial" w:cs="Arial"/>
          <w:bCs/>
          <w:color w:val="0D0D0D"/>
          <w:sz w:val="22"/>
          <w:szCs w:val="22"/>
        </w:rPr>
        <w:footnoteReference w:id="13"/>
      </w:r>
      <w:r w:rsidRPr="00A73A56">
        <w:rPr>
          <w:rFonts w:ascii="Arial" w:hAnsi="Arial" w:cs="Arial"/>
          <w:bCs/>
          <w:color w:val="0D0D0D"/>
          <w:sz w:val="22"/>
          <w:szCs w:val="22"/>
        </w:rPr>
        <w:t>.</w:t>
      </w:r>
    </w:p>
    <w:p w14:paraId="41ECCFA4" w14:textId="77777777" w:rsidR="00B908E8" w:rsidRPr="00A73A56" w:rsidRDefault="00B908E8" w:rsidP="0068772A">
      <w:pPr>
        <w:widowControl w:val="0"/>
        <w:spacing w:line="360" w:lineRule="auto"/>
        <w:jc w:val="both"/>
        <w:rPr>
          <w:rFonts w:ascii="Arial" w:hAnsi="Arial" w:cs="Arial"/>
          <w:bCs/>
          <w:color w:val="0D0D0D"/>
          <w:sz w:val="22"/>
          <w:szCs w:val="22"/>
        </w:rPr>
      </w:pPr>
    </w:p>
    <w:p w14:paraId="34E69F72" w14:textId="77777777" w:rsidR="00B908E8" w:rsidRPr="00A73A56" w:rsidRDefault="00B908E8"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El 8 de agosto de 2016 el magistrado Ponente fijó como fecha para llevar a cabo audiencia de alegatos de que trata el numeral 4 del artículo 247 del CPACA, el día 12 de octubre de 2016</w:t>
      </w:r>
      <w:r w:rsidRPr="00A73A56">
        <w:rPr>
          <w:rStyle w:val="Refdenotaalpie"/>
          <w:rFonts w:ascii="Arial" w:hAnsi="Arial" w:cs="Arial"/>
          <w:bCs/>
          <w:color w:val="0D0D0D"/>
          <w:sz w:val="22"/>
          <w:szCs w:val="22"/>
        </w:rPr>
        <w:footnoteReference w:id="14"/>
      </w:r>
      <w:r w:rsidRPr="00A73A56">
        <w:rPr>
          <w:rFonts w:ascii="Arial" w:hAnsi="Arial" w:cs="Arial"/>
          <w:bCs/>
          <w:color w:val="0D0D0D"/>
          <w:sz w:val="22"/>
          <w:szCs w:val="22"/>
        </w:rPr>
        <w:t>.</w:t>
      </w:r>
    </w:p>
    <w:p w14:paraId="0E7F9C3A" w14:textId="77777777" w:rsidR="00D877A4" w:rsidRPr="00A73A56" w:rsidRDefault="00D877A4" w:rsidP="0068772A">
      <w:pPr>
        <w:widowControl w:val="0"/>
        <w:spacing w:line="360" w:lineRule="auto"/>
        <w:jc w:val="both"/>
        <w:rPr>
          <w:rFonts w:ascii="Arial" w:hAnsi="Arial" w:cs="Arial"/>
          <w:bCs/>
          <w:color w:val="0D0D0D"/>
          <w:sz w:val="22"/>
          <w:szCs w:val="22"/>
        </w:rPr>
      </w:pPr>
    </w:p>
    <w:p w14:paraId="50991F4E" w14:textId="77777777" w:rsidR="00D877A4" w:rsidRPr="00A73A56" w:rsidRDefault="00D877A4"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El 12 de octubre de 2016 se llevó a cabo la audiencia de alegaciones en ella el Magi</w:t>
      </w:r>
      <w:r w:rsidR="00F335C2" w:rsidRPr="00A73A56">
        <w:rPr>
          <w:rFonts w:ascii="Arial" w:hAnsi="Arial" w:cs="Arial"/>
          <w:bCs/>
          <w:color w:val="0D0D0D"/>
          <w:sz w:val="22"/>
          <w:szCs w:val="22"/>
        </w:rPr>
        <w:t>strado Ponente informó sucintamente</w:t>
      </w:r>
      <w:r w:rsidRPr="00A73A56">
        <w:rPr>
          <w:rFonts w:ascii="Arial" w:hAnsi="Arial" w:cs="Arial"/>
          <w:bCs/>
          <w:color w:val="0D0D0D"/>
          <w:sz w:val="22"/>
          <w:szCs w:val="22"/>
        </w:rPr>
        <w:t xml:space="preserve"> el objeto de la audiencia, la cual tenía por finalidad escuchar las alegaciones d</w:t>
      </w:r>
      <w:r w:rsidR="000F0E22" w:rsidRPr="00A73A56">
        <w:rPr>
          <w:rFonts w:ascii="Arial" w:hAnsi="Arial" w:cs="Arial"/>
          <w:bCs/>
          <w:color w:val="0D0D0D"/>
          <w:sz w:val="22"/>
          <w:szCs w:val="22"/>
        </w:rPr>
        <w:t>e las partes y el concepto del M</w:t>
      </w:r>
      <w:r w:rsidRPr="00A73A56">
        <w:rPr>
          <w:rFonts w:ascii="Arial" w:hAnsi="Arial" w:cs="Arial"/>
          <w:bCs/>
          <w:color w:val="0D0D0D"/>
          <w:sz w:val="22"/>
          <w:szCs w:val="22"/>
        </w:rPr>
        <w:t xml:space="preserve">inisterio </w:t>
      </w:r>
      <w:r w:rsidR="000F0E22" w:rsidRPr="00A73A56">
        <w:rPr>
          <w:rFonts w:ascii="Arial" w:hAnsi="Arial" w:cs="Arial"/>
          <w:bCs/>
          <w:color w:val="0D0D0D"/>
          <w:sz w:val="22"/>
          <w:szCs w:val="22"/>
        </w:rPr>
        <w:t>P</w:t>
      </w:r>
      <w:r w:rsidRPr="00A73A56">
        <w:rPr>
          <w:rFonts w:ascii="Arial" w:hAnsi="Arial" w:cs="Arial"/>
          <w:bCs/>
          <w:color w:val="0D0D0D"/>
          <w:sz w:val="22"/>
          <w:szCs w:val="22"/>
        </w:rPr>
        <w:t>úblico, respectivamente, por lo que procedió a concederle</w:t>
      </w:r>
      <w:r w:rsidR="00F335C2" w:rsidRPr="00A73A56">
        <w:rPr>
          <w:rFonts w:ascii="Arial" w:hAnsi="Arial" w:cs="Arial"/>
          <w:bCs/>
          <w:color w:val="0D0D0D"/>
          <w:sz w:val="22"/>
          <w:szCs w:val="22"/>
        </w:rPr>
        <w:t>s</w:t>
      </w:r>
      <w:r w:rsidRPr="00A73A56">
        <w:rPr>
          <w:rFonts w:ascii="Arial" w:hAnsi="Arial" w:cs="Arial"/>
          <w:bCs/>
          <w:color w:val="0D0D0D"/>
          <w:sz w:val="22"/>
          <w:szCs w:val="22"/>
        </w:rPr>
        <w:t xml:space="preserve"> la palabra en el siguiente orden:</w:t>
      </w:r>
    </w:p>
    <w:p w14:paraId="1D52E30E" w14:textId="77777777" w:rsidR="00D877A4" w:rsidRPr="00A73A56" w:rsidRDefault="00D877A4" w:rsidP="0068772A">
      <w:pPr>
        <w:widowControl w:val="0"/>
        <w:spacing w:line="360" w:lineRule="auto"/>
        <w:jc w:val="both"/>
        <w:rPr>
          <w:rFonts w:ascii="Arial" w:hAnsi="Arial" w:cs="Arial"/>
          <w:bCs/>
          <w:color w:val="0D0D0D"/>
          <w:sz w:val="22"/>
          <w:szCs w:val="22"/>
        </w:rPr>
      </w:pPr>
    </w:p>
    <w:p w14:paraId="0FDD6342" w14:textId="77777777" w:rsidR="00D877A4" w:rsidRPr="00A73A56" w:rsidRDefault="00D877A4"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En primer lugar, </w:t>
      </w:r>
      <w:r w:rsidR="00F335C2" w:rsidRPr="00A73A56">
        <w:rPr>
          <w:rFonts w:ascii="Arial" w:hAnsi="Arial" w:cs="Arial"/>
          <w:bCs/>
          <w:color w:val="0D0D0D"/>
          <w:sz w:val="22"/>
          <w:szCs w:val="22"/>
        </w:rPr>
        <w:t xml:space="preserve">a </w:t>
      </w:r>
      <w:r w:rsidRPr="00A73A56">
        <w:rPr>
          <w:rFonts w:ascii="Arial" w:hAnsi="Arial" w:cs="Arial"/>
          <w:bCs/>
          <w:color w:val="0D0D0D"/>
          <w:sz w:val="22"/>
          <w:szCs w:val="22"/>
        </w:rPr>
        <w:t>la Corporación Autónom</w:t>
      </w:r>
      <w:r w:rsidR="00A12DB7" w:rsidRPr="00A73A56">
        <w:rPr>
          <w:rFonts w:ascii="Arial" w:hAnsi="Arial" w:cs="Arial"/>
          <w:bCs/>
          <w:color w:val="0D0D0D"/>
          <w:sz w:val="22"/>
          <w:szCs w:val="22"/>
        </w:rPr>
        <w:t xml:space="preserve">a Regional de Cundinamarca </w:t>
      </w:r>
      <w:r w:rsidR="00F335C2" w:rsidRPr="00A73A56">
        <w:rPr>
          <w:rFonts w:ascii="Arial" w:hAnsi="Arial" w:cs="Arial"/>
          <w:bCs/>
          <w:color w:val="0D0D0D"/>
          <w:sz w:val="22"/>
          <w:szCs w:val="22"/>
        </w:rPr>
        <w:t xml:space="preserve">quien </w:t>
      </w:r>
      <w:r w:rsidR="00A12DB7" w:rsidRPr="00A73A56">
        <w:rPr>
          <w:rFonts w:ascii="Arial" w:hAnsi="Arial" w:cs="Arial"/>
          <w:bCs/>
          <w:color w:val="0D0D0D"/>
          <w:sz w:val="22"/>
          <w:szCs w:val="22"/>
        </w:rPr>
        <w:t>solicitó que se confirme la decisión de primera instancia pues el contrato que es objeto del litigio puede ocasionar daños naturales a las reservas las cuales fueron establecidas por el INDERENA y confirmadas por el Ministerio de Agricultura, recalcó que es un deber del Estado velar por las zonas forestales.</w:t>
      </w:r>
    </w:p>
    <w:p w14:paraId="3B35A648" w14:textId="77777777" w:rsidR="00D877A4" w:rsidRPr="00A73A56" w:rsidRDefault="00D877A4" w:rsidP="0068772A">
      <w:pPr>
        <w:widowControl w:val="0"/>
        <w:spacing w:line="360" w:lineRule="auto"/>
        <w:jc w:val="both"/>
        <w:rPr>
          <w:rFonts w:ascii="Arial" w:hAnsi="Arial" w:cs="Arial"/>
          <w:bCs/>
          <w:color w:val="0D0D0D"/>
          <w:sz w:val="22"/>
          <w:szCs w:val="22"/>
        </w:rPr>
      </w:pPr>
    </w:p>
    <w:p w14:paraId="1438E0B1" w14:textId="77777777" w:rsidR="00D877A4" w:rsidRPr="00A73A56" w:rsidRDefault="00D877A4" w:rsidP="0068772A">
      <w:pPr>
        <w:widowControl w:val="0"/>
        <w:spacing w:line="360" w:lineRule="auto"/>
        <w:jc w:val="both"/>
        <w:rPr>
          <w:rFonts w:ascii="Arial" w:hAnsi="Arial" w:cs="Arial"/>
          <w:bCs/>
          <w:color w:val="0D0D0D"/>
          <w:sz w:val="22"/>
          <w:szCs w:val="22"/>
          <w:lang w:val="es-CO"/>
        </w:rPr>
      </w:pPr>
      <w:r w:rsidRPr="00A73A56">
        <w:rPr>
          <w:rFonts w:ascii="Arial" w:hAnsi="Arial" w:cs="Arial"/>
          <w:bCs/>
          <w:color w:val="0D0D0D"/>
          <w:sz w:val="22"/>
          <w:szCs w:val="22"/>
        </w:rPr>
        <w:lastRenderedPageBreak/>
        <w:t>Seguidamente</w:t>
      </w:r>
      <w:r w:rsidR="00F335C2" w:rsidRPr="00A73A56">
        <w:rPr>
          <w:rFonts w:ascii="Arial" w:hAnsi="Arial" w:cs="Arial"/>
          <w:bCs/>
          <w:color w:val="0D0D0D"/>
          <w:sz w:val="22"/>
          <w:szCs w:val="22"/>
        </w:rPr>
        <w:t>,</w:t>
      </w:r>
      <w:r w:rsidRPr="00A73A56">
        <w:rPr>
          <w:rFonts w:ascii="Arial" w:hAnsi="Arial" w:cs="Arial"/>
          <w:bCs/>
          <w:color w:val="0D0D0D"/>
          <w:sz w:val="22"/>
          <w:szCs w:val="22"/>
        </w:rPr>
        <w:t xml:space="preserve"> </w:t>
      </w:r>
      <w:r w:rsidR="00F335C2" w:rsidRPr="00A73A56">
        <w:rPr>
          <w:rFonts w:ascii="Arial" w:hAnsi="Arial" w:cs="Arial"/>
          <w:bCs/>
          <w:color w:val="0D0D0D"/>
          <w:sz w:val="22"/>
          <w:szCs w:val="22"/>
        </w:rPr>
        <w:t xml:space="preserve">se </w:t>
      </w:r>
      <w:r w:rsidRPr="00A73A56">
        <w:rPr>
          <w:rFonts w:ascii="Arial" w:hAnsi="Arial" w:cs="Arial"/>
          <w:bCs/>
          <w:color w:val="0D0D0D"/>
          <w:sz w:val="22"/>
          <w:szCs w:val="22"/>
        </w:rPr>
        <w:t>concedió la oportunidad para intervenir a la</w:t>
      </w:r>
      <w:r w:rsidR="00A12DB7" w:rsidRPr="00A73A56">
        <w:rPr>
          <w:rFonts w:ascii="Arial" w:hAnsi="Arial" w:cs="Arial"/>
          <w:bCs/>
          <w:color w:val="0D0D0D"/>
          <w:sz w:val="22"/>
          <w:szCs w:val="22"/>
        </w:rPr>
        <w:t xml:space="preserve"> </w:t>
      </w:r>
      <w:r w:rsidRPr="00A73A56">
        <w:rPr>
          <w:rFonts w:ascii="Arial" w:hAnsi="Arial" w:cs="Arial"/>
          <w:bCs/>
          <w:color w:val="0D0D0D"/>
          <w:sz w:val="22"/>
          <w:szCs w:val="22"/>
        </w:rPr>
        <w:t>Agencia Nacional de Miner</w:t>
      </w:r>
      <w:r w:rsidR="00A12DB7" w:rsidRPr="00A73A56">
        <w:rPr>
          <w:rFonts w:ascii="Arial" w:hAnsi="Arial" w:cs="Arial"/>
          <w:bCs/>
          <w:color w:val="0D0D0D"/>
          <w:sz w:val="22"/>
          <w:szCs w:val="22"/>
        </w:rPr>
        <w:t>ía,</w:t>
      </w:r>
      <w:r w:rsidR="00F335C2" w:rsidRPr="00A73A56">
        <w:rPr>
          <w:rFonts w:ascii="Arial" w:hAnsi="Arial" w:cs="Arial"/>
          <w:bCs/>
          <w:color w:val="0D0D0D"/>
          <w:sz w:val="22"/>
          <w:szCs w:val="22"/>
        </w:rPr>
        <w:t xml:space="preserve"> quien en primer lugar señaló que esa entidad </w:t>
      </w:r>
      <w:r w:rsidR="00A12DB7" w:rsidRPr="00A73A56">
        <w:rPr>
          <w:rFonts w:ascii="Arial" w:hAnsi="Arial" w:cs="Arial"/>
          <w:bCs/>
          <w:color w:val="0D0D0D"/>
          <w:sz w:val="22"/>
          <w:szCs w:val="22"/>
        </w:rPr>
        <w:t xml:space="preserve">mediante resolución N° VSC 000315 del 22 de marzo de 2013 declaró la caducidad del contrato de concesión </w:t>
      </w:r>
      <w:r w:rsidR="001050B0" w:rsidRPr="00A73A56">
        <w:rPr>
          <w:rFonts w:ascii="Arial" w:hAnsi="Arial" w:cs="Arial"/>
          <w:bCs/>
          <w:color w:val="0D0D0D"/>
          <w:sz w:val="22"/>
          <w:szCs w:val="22"/>
        </w:rPr>
        <w:t>N° GE6-143, decisión que fue confirmada mediante la resolución N° 00381 del 21 de abril de 2014, actualmente el título minero se encuentra caducado, es decir, terminado, en segundo lugar indicó que ratificaba lo expuesto en la contestación de la demanda y en el recurso de apelación.</w:t>
      </w:r>
    </w:p>
    <w:p w14:paraId="6510932E" w14:textId="77777777" w:rsidR="00D877A4" w:rsidRPr="00A73A56" w:rsidRDefault="00D877A4" w:rsidP="0068772A">
      <w:pPr>
        <w:widowControl w:val="0"/>
        <w:spacing w:line="360" w:lineRule="auto"/>
        <w:jc w:val="both"/>
        <w:rPr>
          <w:rFonts w:ascii="Arial" w:hAnsi="Arial" w:cs="Arial"/>
          <w:bCs/>
          <w:color w:val="0D0D0D"/>
          <w:sz w:val="22"/>
          <w:szCs w:val="22"/>
        </w:rPr>
      </w:pPr>
    </w:p>
    <w:p w14:paraId="47EB4458" w14:textId="77777777" w:rsidR="00D877A4" w:rsidRPr="00A73A56" w:rsidRDefault="00D877A4"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Por último,</w:t>
      </w:r>
      <w:r w:rsidR="00F335C2" w:rsidRPr="00A73A56">
        <w:rPr>
          <w:rFonts w:ascii="Arial" w:hAnsi="Arial" w:cs="Arial"/>
          <w:bCs/>
          <w:color w:val="0D0D0D"/>
          <w:sz w:val="22"/>
          <w:szCs w:val="22"/>
        </w:rPr>
        <w:t xml:space="preserve"> en la oportunidad legal</w:t>
      </w:r>
      <w:r w:rsidRPr="00A73A56">
        <w:rPr>
          <w:rFonts w:ascii="Arial" w:hAnsi="Arial" w:cs="Arial"/>
          <w:bCs/>
          <w:color w:val="0D0D0D"/>
          <w:sz w:val="22"/>
          <w:szCs w:val="22"/>
        </w:rPr>
        <w:t xml:space="preserve"> el representante del Ministerio Público rindió su concepto en el que solicitó que se revoque la decisión de primera instancia y en su lugar se denieguen las pretensiones de la demanda como quiera que operó la caducidad del medio de control</w:t>
      </w:r>
      <w:r w:rsidR="00DA36FF" w:rsidRPr="00A73A56">
        <w:rPr>
          <w:rFonts w:ascii="Arial" w:hAnsi="Arial" w:cs="Arial"/>
          <w:bCs/>
          <w:color w:val="0D0D0D"/>
          <w:sz w:val="22"/>
          <w:szCs w:val="22"/>
        </w:rPr>
        <w:t>, pues para la época en que se</w:t>
      </w:r>
      <w:r w:rsidR="00A90F93" w:rsidRPr="00A73A56">
        <w:rPr>
          <w:rFonts w:ascii="Arial" w:hAnsi="Arial" w:cs="Arial"/>
          <w:bCs/>
          <w:color w:val="0D0D0D"/>
          <w:sz w:val="22"/>
          <w:szCs w:val="22"/>
        </w:rPr>
        <w:t xml:space="preserve"> celebró</w:t>
      </w:r>
      <w:r w:rsidR="00DA36FF" w:rsidRPr="00A73A56">
        <w:rPr>
          <w:rFonts w:ascii="Arial" w:hAnsi="Arial" w:cs="Arial"/>
          <w:bCs/>
          <w:color w:val="0D0D0D"/>
          <w:sz w:val="22"/>
          <w:szCs w:val="22"/>
        </w:rPr>
        <w:t xml:space="preserve"> el contrato, esto es, para el 9 de noviembre de 2006, perfeccionado el 22 de junio de 2007 cuando se efectuó el registro minero, se encontraba vigente el Decreto 01 de 1984 el cual en el literal e) del numeral 10 del artículo 136, estableció:</w:t>
      </w:r>
    </w:p>
    <w:p w14:paraId="27A9CEBE" w14:textId="77777777" w:rsidR="00DA36FF" w:rsidRPr="00A73A56" w:rsidRDefault="00DA36FF" w:rsidP="0068772A">
      <w:pPr>
        <w:widowControl w:val="0"/>
        <w:spacing w:line="360" w:lineRule="auto"/>
        <w:jc w:val="both"/>
        <w:rPr>
          <w:rFonts w:ascii="Arial" w:hAnsi="Arial" w:cs="Arial"/>
          <w:bCs/>
          <w:color w:val="0D0D0D"/>
          <w:sz w:val="22"/>
          <w:szCs w:val="22"/>
        </w:rPr>
      </w:pPr>
    </w:p>
    <w:p w14:paraId="386D22A5" w14:textId="77777777" w:rsidR="00DA36FF" w:rsidRPr="00A73A56" w:rsidRDefault="00DA36FF" w:rsidP="00F335C2">
      <w:pPr>
        <w:widowControl w:val="0"/>
        <w:spacing w:line="360" w:lineRule="auto"/>
        <w:ind w:left="284"/>
        <w:jc w:val="both"/>
        <w:rPr>
          <w:rFonts w:ascii="Arial" w:hAnsi="Arial" w:cs="Arial"/>
          <w:bCs/>
          <w:i/>
          <w:color w:val="0D0D0D"/>
          <w:sz w:val="22"/>
          <w:szCs w:val="22"/>
        </w:rPr>
      </w:pPr>
      <w:r w:rsidRPr="00A73A56">
        <w:rPr>
          <w:rFonts w:ascii="Arial" w:hAnsi="Arial" w:cs="Arial"/>
          <w:bCs/>
          <w:i/>
          <w:color w:val="0D0D0D"/>
          <w:sz w:val="22"/>
          <w:szCs w:val="22"/>
        </w:rPr>
        <w:t>“Caducidad de las acciones.</w:t>
      </w:r>
    </w:p>
    <w:p w14:paraId="4DD6E2B1" w14:textId="77777777" w:rsidR="00DA36FF" w:rsidRPr="00A73A56" w:rsidRDefault="00DA36FF" w:rsidP="00F335C2">
      <w:pPr>
        <w:widowControl w:val="0"/>
        <w:ind w:left="284"/>
        <w:jc w:val="both"/>
        <w:rPr>
          <w:rFonts w:ascii="Arial" w:hAnsi="Arial" w:cs="Arial"/>
          <w:bCs/>
          <w:i/>
          <w:color w:val="0D0D0D"/>
          <w:sz w:val="22"/>
          <w:szCs w:val="22"/>
        </w:rPr>
      </w:pPr>
      <w:r w:rsidRPr="00A73A56">
        <w:rPr>
          <w:rFonts w:ascii="Arial" w:hAnsi="Arial" w:cs="Arial"/>
          <w:bCs/>
          <w:i/>
          <w:color w:val="0D0D0D"/>
          <w:sz w:val="22"/>
          <w:szCs w:val="22"/>
        </w:rPr>
        <w:t>(…)</w:t>
      </w:r>
    </w:p>
    <w:p w14:paraId="47C37678" w14:textId="77777777" w:rsidR="00DA36FF" w:rsidRPr="00A73A56" w:rsidRDefault="00DA36FF" w:rsidP="00F335C2">
      <w:pPr>
        <w:widowControl w:val="0"/>
        <w:ind w:left="284"/>
        <w:jc w:val="both"/>
        <w:rPr>
          <w:rFonts w:ascii="Arial" w:hAnsi="Arial" w:cs="Arial"/>
          <w:bCs/>
          <w:i/>
          <w:color w:val="0D0D0D"/>
          <w:sz w:val="22"/>
          <w:szCs w:val="22"/>
        </w:rPr>
      </w:pPr>
      <w:r w:rsidRPr="00A73A56">
        <w:rPr>
          <w:rFonts w:ascii="Arial" w:hAnsi="Arial" w:cs="Arial"/>
          <w:bCs/>
          <w:i/>
          <w:color w:val="0D0D0D"/>
          <w:sz w:val="22"/>
          <w:szCs w:val="22"/>
        </w:rPr>
        <w:t>10. En las relativas a contratos, el término de caducidad será de dos (2) años que se contará a partir del día siguiente a la ocurrencia de los motivos de hecho o de derecho que les sirvan de fundamento.</w:t>
      </w:r>
    </w:p>
    <w:p w14:paraId="30A4AF17" w14:textId="77777777" w:rsidR="00DA36FF" w:rsidRPr="00A73A56" w:rsidRDefault="00DA36FF" w:rsidP="00F335C2">
      <w:pPr>
        <w:widowControl w:val="0"/>
        <w:ind w:left="284"/>
        <w:jc w:val="both"/>
        <w:rPr>
          <w:rFonts w:ascii="Arial" w:hAnsi="Arial" w:cs="Arial"/>
          <w:bCs/>
          <w:i/>
          <w:color w:val="0D0D0D"/>
          <w:sz w:val="22"/>
          <w:szCs w:val="22"/>
        </w:rPr>
      </w:pPr>
      <w:r w:rsidRPr="00A73A56">
        <w:rPr>
          <w:rFonts w:ascii="Arial" w:hAnsi="Arial" w:cs="Arial"/>
          <w:bCs/>
          <w:i/>
          <w:color w:val="0D0D0D"/>
          <w:sz w:val="22"/>
          <w:szCs w:val="22"/>
        </w:rPr>
        <w:t xml:space="preserve">e) La nulidad absoluta del contrato podrá ser alegada por las partes contratantes, por el Ministerio Público o cualquier persona interesada, </w:t>
      </w:r>
      <w:r w:rsidRPr="00A73A56">
        <w:rPr>
          <w:rFonts w:ascii="Arial" w:hAnsi="Arial" w:cs="Arial"/>
          <w:b/>
          <w:bCs/>
          <w:i/>
          <w:color w:val="0D0D0D"/>
          <w:sz w:val="22"/>
          <w:szCs w:val="22"/>
        </w:rPr>
        <w:t>dentro de los dos (2) años siguientes a su perfeccionamiento. Si el término de vigencia del contrato fuere superior a dos (2) años, el término de caducidad será igual al de su vigencia, sin que en ningún caso exceda de cinco (5) años contados a partir de su perfeccionamiento</w:t>
      </w:r>
      <w:r w:rsidRPr="00A73A56">
        <w:rPr>
          <w:rFonts w:ascii="Arial" w:hAnsi="Arial" w:cs="Arial"/>
          <w:bCs/>
          <w:i/>
          <w:color w:val="0D0D0D"/>
          <w:sz w:val="22"/>
          <w:szCs w:val="22"/>
        </w:rPr>
        <w:t>. (…)”. (Negrita de la transcripción)</w:t>
      </w:r>
    </w:p>
    <w:p w14:paraId="38DDC27F" w14:textId="77777777" w:rsidR="00DA36FF" w:rsidRPr="00A73A56" w:rsidRDefault="00DA36FF" w:rsidP="00F335C2">
      <w:pPr>
        <w:widowControl w:val="0"/>
        <w:spacing w:line="360" w:lineRule="auto"/>
        <w:ind w:left="284"/>
        <w:jc w:val="both"/>
        <w:rPr>
          <w:rFonts w:ascii="Arial" w:hAnsi="Arial" w:cs="Arial"/>
          <w:bCs/>
          <w:i/>
          <w:color w:val="0D0D0D"/>
          <w:sz w:val="22"/>
          <w:szCs w:val="22"/>
        </w:rPr>
      </w:pPr>
    </w:p>
    <w:p w14:paraId="2E7B645E" w14:textId="77777777" w:rsidR="00BE7378" w:rsidRPr="00A73A56" w:rsidRDefault="00DA36FF" w:rsidP="0068772A">
      <w:pPr>
        <w:widowControl w:val="0"/>
        <w:spacing w:line="360" w:lineRule="auto"/>
        <w:jc w:val="both"/>
        <w:rPr>
          <w:rFonts w:ascii="Arial" w:hAnsi="Arial" w:cs="Arial"/>
          <w:bCs/>
          <w:color w:val="0D0D0D"/>
          <w:sz w:val="22"/>
          <w:szCs w:val="22"/>
        </w:rPr>
      </w:pPr>
      <w:r w:rsidRPr="00A73A56">
        <w:rPr>
          <w:rFonts w:ascii="Arial" w:hAnsi="Arial" w:cs="Arial"/>
          <w:bCs/>
          <w:color w:val="0D0D0D"/>
          <w:sz w:val="22"/>
          <w:szCs w:val="22"/>
        </w:rPr>
        <w:t>Por lo expuesto, el termino para incoar la acción de nulidad absoluta del contrato iba hasta el 23 de junio del 2012, pero como la demanda se presentó el 2 de septiembre de 2013, es decir, que se radicó un año después de la oportunidad legal para demandar en tiempo</w:t>
      </w:r>
      <w:r w:rsidR="005F70D2" w:rsidRPr="00A73A56">
        <w:rPr>
          <w:rFonts w:ascii="Arial" w:hAnsi="Arial" w:cs="Arial"/>
          <w:bCs/>
          <w:color w:val="0D0D0D"/>
          <w:sz w:val="22"/>
          <w:szCs w:val="22"/>
        </w:rPr>
        <w:t>, se encuentra caducada la acción</w:t>
      </w:r>
      <w:r w:rsidR="00DD2EE4" w:rsidRPr="00A73A56">
        <w:rPr>
          <w:rFonts w:ascii="Arial" w:hAnsi="Arial" w:cs="Arial"/>
          <w:bCs/>
          <w:color w:val="0D0D0D"/>
          <w:sz w:val="22"/>
          <w:szCs w:val="22"/>
        </w:rPr>
        <w:t>.</w:t>
      </w:r>
    </w:p>
    <w:p w14:paraId="4EC64902" w14:textId="77777777" w:rsidR="00D600B8" w:rsidRPr="00A73A56" w:rsidRDefault="00D600B8" w:rsidP="0068772A">
      <w:pPr>
        <w:widowControl w:val="0"/>
        <w:spacing w:line="360" w:lineRule="auto"/>
        <w:jc w:val="both"/>
        <w:rPr>
          <w:rFonts w:ascii="Arial" w:hAnsi="Arial" w:cs="Arial"/>
          <w:color w:val="0D0D0D"/>
          <w:sz w:val="22"/>
          <w:szCs w:val="22"/>
          <w:lang w:val="es-ES_tradnl"/>
        </w:rPr>
      </w:pPr>
    </w:p>
    <w:p w14:paraId="27EBA9EB" w14:textId="77777777" w:rsidR="001050B0" w:rsidRPr="00A73A56" w:rsidRDefault="001050B0" w:rsidP="0068772A">
      <w:pPr>
        <w:widowControl w:val="0"/>
        <w:spacing w:line="360" w:lineRule="auto"/>
        <w:jc w:val="both"/>
        <w:rPr>
          <w:rFonts w:ascii="Arial" w:hAnsi="Arial" w:cs="Arial"/>
          <w:color w:val="0D0D0D"/>
          <w:sz w:val="22"/>
          <w:szCs w:val="22"/>
          <w:lang w:val="es-ES_tradnl"/>
        </w:rPr>
      </w:pPr>
      <w:r w:rsidRPr="00A73A56">
        <w:rPr>
          <w:rFonts w:ascii="Arial" w:hAnsi="Arial" w:cs="Arial"/>
          <w:color w:val="0D0D0D"/>
          <w:sz w:val="22"/>
          <w:szCs w:val="22"/>
          <w:lang w:val="es-ES_tradnl"/>
        </w:rPr>
        <w:t xml:space="preserve">Agotada la intervención de las partes, el Magistrado Ponente indicó que para el 6 de diciembre de 2016 </w:t>
      </w:r>
      <w:r w:rsidR="005F70D2" w:rsidRPr="00A73A56">
        <w:rPr>
          <w:rFonts w:ascii="Arial" w:hAnsi="Arial" w:cs="Arial"/>
          <w:color w:val="0D0D0D"/>
          <w:sz w:val="22"/>
          <w:szCs w:val="22"/>
          <w:lang w:val="es-ES_tradnl"/>
        </w:rPr>
        <w:t>se llevaría a cabo la audiencia</w:t>
      </w:r>
      <w:r w:rsidRPr="00A73A56">
        <w:rPr>
          <w:rFonts w:ascii="Arial" w:hAnsi="Arial" w:cs="Arial"/>
          <w:color w:val="0D0D0D"/>
          <w:sz w:val="22"/>
          <w:szCs w:val="22"/>
          <w:lang w:val="es-ES_tradnl"/>
        </w:rPr>
        <w:t xml:space="preserve"> para la lectura del fallo de segunda instancia.</w:t>
      </w:r>
      <w:r w:rsidR="000F0E22" w:rsidRPr="00A73A56">
        <w:rPr>
          <w:rFonts w:ascii="Arial" w:hAnsi="Arial" w:cs="Arial"/>
          <w:color w:val="0D0D0D"/>
          <w:sz w:val="22"/>
          <w:szCs w:val="22"/>
          <w:lang w:val="es-ES_tradnl"/>
        </w:rPr>
        <w:t xml:space="preserve"> En auto </w:t>
      </w:r>
      <w:r w:rsidR="00492EA0" w:rsidRPr="00A73A56">
        <w:rPr>
          <w:rFonts w:ascii="Arial" w:hAnsi="Arial" w:cs="Arial"/>
          <w:color w:val="0D0D0D"/>
          <w:sz w:val="22"/>
          <w:szCs w:val="22"/>
          <w:lang w:val="es-ES_tradnl"/>
        </w:rPr>
        <w:t>28 de noviembre de 2016</w:t>
      </w:r>
      <w:r w:rsidR="000F0E22" w:rsidRPr="00A73A56">
        <w:rPr>
          <w:rFonts w:ascii="Arial" w:hAnsi="Arial" w:cs="Arial"/>
          <w:color w:val="0D0D0D"/>
          <w:sz w:val="22"/>
          <w:szCs w:val="22"/>
          <w:lang w:val="es-ES_tradnl"/>
        </w:rPr>
        <w:t xml:space="preserve"> se fij</w:t>
      </w:r>
      <w:r w:rsidR="00492EA0" w:rsidRPr="00A73A56">
        <w:rPr>
          <w:rFonts w:ascii="Arial" w:hAnsi="Arial" w:cs="Arial"/>
          <w:color w:val="0D0D0D"/>
          <w:sz w:val="22"/>
          <w:szCs w:val="22"/>
          <w:lang w:val="es-ES_tradnl"/>
        </w:rPr>
        <w:t>ó</w:t>
      </w:r>
      <w:r w:rsidR="000F0E22" w:rsidRPr="00A73A56">
        <w:rPr>
          <w:rFonts w:ascii="Arial" w:hAnsi="Arial" w:cs="Arial"/>
          <w:color w:val="0D0D0D"/>
          <w:sz w:val="22"/>
          <w:szCs w:val="22"/>
          <w:lang w:val="es-ES_tradnl"/>
        </w:rPr>
        <w:t xml:space="preserve"> el </w:t>
      </w:r>
      <w:r w:rsidR="00492EA0" w:rsidRPr="00A73A56">
        <w:rPr>
          <w:rFonts w:ascii="Arial" w:hAnsi="Arial" w:cs="Arial"/>
          <w:color w:val="0D0D0D"/>
          <w:sz w:val="22"/>
          <w:szCs w:val="22"/>
          <w:lang w:val="es-ES_tradnl"/>
        </w:rPr>
        <w:t>23 de enero de 2017</w:t>
      </w:r>
      <w:r w:rsidR="000F0E22" w:rsidRPr="00A73A56">
        <w:rPr>
          <w:rFonts w:ascii="Arial" w:hAnsi="Arial" w:cs="Arial"/>
          <w:color w:val="0D0D0D"/>
          <w:sz w:val="22"/>
          <w:szCs w:val="22"/>
          <w:lang w:val="es-ES_tradnl"/>
        </w:rPr>
        <w:t xml:space="preserve"> a las </w:t>
      </w:r>
      <w:r w:rsidR="00492EA0" w:rsidRPr="00A73A56">
        <w:rPr>
          <w:rFonts w:ascii="Arial" w:hAnsi="Arial" w:cs="Arial"/>
          <w:color w:val="0D0D0D"/>
          <w:sz w:val="22"/>
          <w:szCs w:val="22"/>
          <w:lang w:val="es-ES_tradnl"/>
        </w:rPr>
        <w:t>9.30 A.M</w:t>
      </w:r>
      <w:r w:rsidR="000F0E22" w:rsidRPr="00A73A56">
        <w:rPr>
          <w:rFonts w:ascii="Arial" w:hAnsi="Arial" w:cs="Arial"/>
          <w:color w:val="0D0D0D"/>
          <w:sz w:val="22"/>
          <w:szCs w:val="22"/>
          <w:lang w:val="es-ES_tradnl"/>
        </w:rPr>
        <w:t xml:space="preserve"> como nueva fecha y hora para surtir la antecitada diligencia.</w:t>
      </w:r>
    </w:p>
    <w:p w14:paraId="16E26E32" w14:textId="77777777" w:rsidR="001050B0" w:rsidRPr="00A73A56" w:rsidRDefault="001050B0" w:rsidP="0068772A">
      <w:pPr>
        <w:widowControl w:val="0"/>
        <w:spacing w:line="360" w:lineRule="auto"/>
        <w:jc w:val="both"/>
        <w:rPr>
          <w:rFonts w:ascii="Arial" w:hAnsi="Arial" w:cs="Arial"/>
          <w:color w:val="0D0D0D"/>
          <w:sz w:val="22"/>
          <w:szCs w:val="22"/>
          <w:lang w:val="es-ES_tradnl"/>
        </w:rPr>
      </w:pPr>
    </w:p>
    <w:p w14:paraId="07AA3521" w14:textId="77777777" w:rsidR="00AF39A6" w:rsidRPr="00A73A56" w:rsidRDefault="007879B7" w:rsidP="0068772A">
      <w:pPr>
        <w:spacing w:line="360" w:lineRule="auto"/>
        <w:jc w:val="center"/>
        <w:rPr>
          <w:rFonts w:ascii="Arial" w:hAnsi="Arial" w:cs="Arial"/>
          <w:b/>
          <w:bCs/>
          <w:color w:val="0D0D0D"/>
          <w:sz w:val="22"/>
          <w:szCs w:val="22"/>
        </w:rPr>
      </w:pPr>
      <w:r w:rsidRPr="00A73A56">
        <w:rPr>
          <w:rFonts w:ascii="Arial" w:hAnsi="Arial" w:cs="Arial"/>
          <w:b/>
          <w:bCs/>
          <w:color w:val="0D0D0D"/>
          <w:sz w:val="22"/>
          <w:szCs w:val="22"/>
        </w:rPr>
        <w:t xml:space="preserve">CONSIDERACIONES </w:t>
      </w:r>
    </w:p>
    <w:p w14:paraId="27C4F8F9" w14:textId="77777777" w:rsidR="00FF654A" w:rsidRPr="00A73A56" w:rsidRDefault="00FF654A" w:rsidP="0068772A">
      <w:pPr>
        <w:rPr>
          <w:rFonts w:ascii="Arial" w:hAnsi="Arial" w:cs="Arial"/>
          <w:color w:val="0D0D0D"/>
          <w:sz w:val="22"/>
          <w:szCs w:val="22"/>
        </w:rPr>
      </w:pPr>
    </w:p>
    <w:p w14:paraId="4A9034F5" w14:textId="77777777" w:rsidR="00842F2F" w:rsidRPr="00A73A56" w:rsidRDefault="00BE08D8" w:rsidP="0068772A">
      <w:pPr>
        <w:spacing w:line="360" w:lineRule="auto"/>
        <w:jc w:val="both"/>
        <w:rPr>
          <w:rFonts w:ascii="Arial" w:hAnsi="Arial" w:cs="Arial"/>
          <w:b/>
          <w:color w:val="0D0D0D"/>
          <w:sz w:val="22"/>
          <w:szCs w:val="22"/>
        </w:rPr>
      </w:pPr>
      <w:r w:rsidRPr="00A73A56">
        <w:rPr>
          <w:rFonts w:ascii="Arial" w:hAnsi="Arial" w:cs="Arial"/>
          <w:bCs/>
          <w:color w:val="0D0D0D"/>
          <w:sz w:val="22"/>
          <w:szCs w:val="22"/>
        </w:rPr>
        <w:t xml:space="preserve">La Sala previo a resolver la </w:t>
      </w:r>
      <w:r w:rsidR="00EA3B56" w:rsidRPr="00A73A56">
        <w:rPr>
          <w:rFonts w:ascii="Arial" w:hAnsi="Arial" w:cs="Arial"/>
          <w:bCs/>
          <w:color w:val="0D0D0D"/>
          <w:sz w:val="22"/>
          <w:szCs w:val="22"/>
        </w:rPr>
        <w:t>problemática jurí</w:t>
      </w:r>
      <w:r w:rsidR="005F70D2" w:rsidRPr="00A73A56">
        <w:rPr>
          <w:rFonts w:ascii="Arial" w:hAnsi="Arial" w:cs="Arial"/>
          <w:bCs/>
          <w:color w:val="0D0D0D"/>
          <w:sz w:val="22"/>
          <w:szCs w:val="22"/>
        </w:rPr>
        <w:t>dica propuesta por las pa</w:t>
      </w:r>
      <w:r w:rsidR="00A032CA" w:rsidRPr="00A73A56">
        <w:rPr>
          <w:rFonts w:ascii="Arial" w:hAnsi="Arial" w:cs="Arial"/>
          <w:bCs/>
          <w:color w:val="0D0D0D"/>
          <w:sz w:val="22"/>
          <w:szCs w:val="22"/>
        </w:rPr>
        <w:t>r</w:t>
      </w:r>
      <w:r w:rsidR="005F70D2" w:rsidRPr="00A73A56">
        <w:rPr>
          <w:rFonts w:ascii="Arial" w:hAnsi="Arial" w:cs="Arial"/>
          <w:bCs/>
          <w:color w:val="0D0D0D"/>
          <w:sz w:val="22"/>
          <w:szCs w:val="22"/>
        </w:rPr>
        <w:t>tes</w:t>
      </w:r>
      <w:r w:rsidRPr="00A73A56">
        <w:rPr>
          <w:rFonts w:ascii="Arial" w:hAnsi="Arial" w:cs="Arial"/>
          <w:bCs/>
          <w:color w:val="0D0D0D"/>
          <w:sz w:val="22"/>
          <w:szCs w:val="22"/>
        </w:rPr>
        <w:t>, analizará</w:t>
      </w:r>
      <w:r w:rsidR="00A032CA" w:rsidRPr="00A73A56">
        <w:rPr>
          <w:rFonts w:ascii="Arial" w:hAnsi="Arial" w:cs="Arial"/>
          <w:bCs/>
          <w:color w:val="0D0D0D"/>
          <w:sz w:val="22"/>
          <w:szCs w:val="22"/>
        </w:rPr>
        <w:t xml:space="preserve"> si se ha configurado la caducidad del medio de control propuesto, para lo cual </w:t>
      </w:r>
      <w:r w:rsidRPr="00A73A56">
        <w:rPr>
          <w:rFonts w:ascii="Arial" w:hAnsi="Arial" w:cs="Arial"/>
          <w:bCs/>
          <w:color w:val="0D0D0D"/>
          <w:sz w:val="22"/>
          <w:szCs w:val="22"/>
        </w:rPr>
        <w:t xml:space="preserve">se </w:t>
      </w:r>
      <w:r w:rsidR="005F70D2" w:rsidRPr="00A73A56">
        <w:rPr>
          <w:rFonts w:ascii="Arial" w:hAnsi="Arial" w:cs="Arial"/>
          <w:bCs/>
          <w:color w:val="0D0D0D"/>
          <w:sz w:val="22"/>
          <w:szCs w:val="22"/>
        </w:rPr>
        <w:t>examinaran</w:t>
      </w:r>
      <w:r w:rsidRPr="00A73A56">
        <w:rPr>
          <w:rFonts w:ascii="Arial" w:hAnsi="Arial" w:cs="Arial"/>
          <w:bCs/>
          <w:color w:val="0D0D0D"/>
          <w:sz w:val="22"/>
          <w:szCs w:val="22"/>
        </w:rPr>
        <w:t xml:space="preserve"> </w:t>
      </w:r>
      <w:r w:rsidR="00EA3B56" w:rsidRPr="00A73A56">
        <w:rPr>
          <w:rFonts w:ascii="Arial" w:hAnsi="Arial" w:cs="Arial"/>
          <w:bCs/>
          <w:color w:val="0D0D0D"/>
          <w:sz w:val="22"/>
          <w:szCs w:val="22"/>
        </w:rPr>
        <w:t>los</w:t>
      </w:r>
      <w:r w:rsidRPr="00A73A56">
        <w:rPr>
          <w:rFonts w:ascii="Arial" w:hAnsi="Arial" w:cs="Arial"/>
          <w:bCs/>
          <w:color w:val="0D0D0D"/>
          <w:sz w:val="22"/>
          <w:szCs w:val="22"/>
        </w:rPr>
        <w:t xml:space="preserve"> siguientes</w:t>
      </w:r>
      <w:r w:rsidR="00EA3B56" w:rsidRPr="00A73A56">
        <w:rPr>
          <w:rFonts w:ascii="Arial" w:hAnsi="Arial" w:cs="Arial"/>
          <w:bCs/>
          <w:color w:val="0D0D0D"/>
          <w:sz w:val="22"/>
          <w:szCs w:val="22"/>
        </w:rPr>
        <w:t xml:space="preserve"> conceptos </w:t>
      </w:r>
      <w:r w:rsidRPr="00A73A56">
        <w:rPr>
          <w:rFonts w:ascii="Arial" w:hAnsi="Arial" w:cs="Arial"/>
          <w:bCs/>
          <w:color w:val="0D0D0D"/>
          <w:sz w:val="22"/>
          <w:szCs w:val="22"/>
        </w:rPr>
        <w:t xml:space="preserve">los cuales serán fundamentales </w:t>
      </w:r>
      <w:r w:rsidR="00EA3B56" w:rsidRPr="00A73A56">
        <w:rPr>
          <w:rFonts w:ascii="Arial" w:hAnsi="Arial" w:cs="Arial"/>
          <w:bCs/>
          <w:color w:val="0D0D0D"/>
          <w:sz w:val="22"/>
          <w:szCs w:val="22"/>
        </w:rPr>
        <w:t xml:space="preserve">como </w:t>
      </w:r>
      <w:r w:rsidR="00EA3B56" w:rsidRPr="00A73A56">
        <w:rPr>
          <w:rFonts w:ascii="Arial" w:hAnsi="Arial" w:cs="Arial"/>
          <w:bCs/>
          <w:i/>
          <w:color w:val="0D0D0D"/>
          <w:sz w:val="22"/>
          <w:szCs w:val="22"/>
        </w:rPr>
        <w:t xml:space="preserve">ratio decidendi </w:t>
      </w:r>
      <w:r w:rsidR="00EA3B56" w:rsidRPr="00A73A56">
        <w:rPr>
          <w:rFonts w:ascii="Arial" w:hAnsi="Arial" w:cs="Arial"/>
          <w:bCs/>
          <w:color w:val="0D0D0D"/>
          <w:sz w:val="22"/>
          <w:szCs w:val="22"/>
        </w:rPr>
        <w:t xml:space="preserve">para sustentar </w:t>
      </w:r>
      <w:r w:rsidRPr="00A73A56">
        <w:rPr>
          <w:rFonts w:ascii="Arial" w:hAnsi="Arial" w:cs="Arial"/>
          <w:bCs/>
          <w:color w:val="0D0D0D"/>
          <w:sz w:val="22"/>
          <w:szCs w:val="22"/>
        </w:rPr>
        <w:t>la</w:t>
      </w:r>
      <w:r w:rsidR="00EA3B56" w:rsidRPr="00A73A56">
        <w:rPr>
          <w:rFonts w:ascii="Arial" w:hAnsi="Arial" w:cs="Arial"/>
          <w:bCs/>
          <w:color w:val="0D0D0D"/>
          <w:sz w:val="22"/>
          <w:szCs w:val="22"/>
        </w:rPr>
        <w:t xml:space="preserve"> decisión: 1)</w:t>
      </w:r>
      <w:r w:rsidR="00E826E5" w:rsidRPr="00A73A56">
        <w:rPr>
          <w:rFonts w:ascii="Arial" w:hAnsi="Arial" w:cs="Arial"/>
          <w:bCs/>
          <w:color w:val="0D0D0D"/>
          <w:sz w:val="22"/>
          <w:szCs w:val="22"/>
        </w:rPr>
        <w:t xml:space="preserve"> </w:t>
      </w:r>
      <w:r w:rsidRPr="00A73A56">
        <w:rPr>
          <w:rFonts w:ascii="Arial" w:hAnsi="Arial" w:cs="Arial"/>
          <w:bCs/>
          <w:color w:val="0D0D0D"/>
          <w:sz w:val="22"/>
          <w:szCs w:val="22"/>
        </w:rPr>
        <w:t>Del medio de control de controversias contractuales; 2) Caducidad del medio de control – Aplicación normativa;</w:t>
      </w:r>
      <w:r w:rsidR="005622C2" w:rsidRPr="00A73A56">
        <w:rPr>
          <w:rFonts w:ascii="Arial" w:hAnsi="Arial" w:cs="Arial"/>
          <w:bCs/>
          <w:color w:val="0D0D0D"/>
          <w:sz w:val="22"/>
          <w:szCs w:val="22"/>
        </w:rPr>
        <w:t xml:space="preserve"> y</w:t>
      </w:r>
      <w:r w:rsidRPr="00A73A56">
        <w:rPr>
          <w:rFonts w:ascii="Arial" w:hAnsi="Arial" w:cs="Arial"/>
          <w:bCs/>
          <w:color w:val="0D0D0D"/>
          <w:sz w:val="22"/>
          <w:szCs w:val="22"/>
        </w:rPr>
        <w:t xml:space="preserve"> </w:t>
      </w:r>
      <w:r w:rsidR="005F70D2" w:rsidRPr="00A73A56">
        <w:rPr>
          <w:rFonts w:ascii="Arial" w:hAnsi="Arial" w:cs="Arial"/>
          <w:bCs/>
          <w:color w:val="0D0D0D"/>
          <w:sz w:val="22"/>
          <w:szCs w:val="22"/>
        </w:rPr>
        <w:t>3</w:t>
      </w:r>
      <w:r w:rsidR="003917DF" w:rsidRPr="00A73A56">
        <w:rPr>
          <w:rFonts w:ascii="Arial" w:hAnsi="Arial" w:cs="Arial"/>
          <w:bCs/>
          <w:color w:val="0D0D0D"/>
          <w:sz w:val="22"/>
          <w:szCs w:val="22"/>
        </w:rPr>
        <w:t>)</w:t>
      </w:r>
      <w:r w:rsidR="00114FA8" w:rsidRPr="00A73A56">
        <w:rPr>
          <w:rFonts w:ascii="Arial" w:hAnsi="Arial" w:cs="Arial"/>
          <w:bCs/>
          <w:color w:val="0D0D0D"/>
          <w:sz w:val="22"/>
          <w:szCs w:val="22"/>
        </w:rPr>
        <w:t xml:space="preserve"> El caso concreto</w:t>
      </w:r>
      <w:r w:rsidR="0026737A" w:rsidRPr="00A73A56">
        <w:rPr>
          <w:rFonts w:ascii="Arial" w:hAnsi="Arial" w:cs="Arial"/>
          <w:bCs/>
          <w:color w:val="0D0D0D"/>
          <w:sz w:val="22"/>
          <w:szCs w:val="22"/>
        </w:rPr>
        <w:t xml:space="preserve">. </w:t>
      </w:r>
    </w:p>
    <w:p w14:paraId="194C864E" w14:textId="77777777" w:rsidR="00842F2F" w:rsidRPr="00A73A56" w:rsidRDefault="00842F2F" w:rsidP="0068772A">
      <w:pPr>
        <w:spacing w:line="360" w:lineRule="auto"/>
        <w:jc w:val="both"/>
        <w:rPr>
          <w:rFonts w:ascii="Arial" w:hAnsi="Arial" w:cs="Arial"/>
          <w:b/>
          <w:bCs/>
          <w:color w:val="0D0D0D"/>
          <w:sz w:val="22"/>
          <w:szCs w:val="22"/>
        </w:rPr>
      </w:pPr>
    </w:p>
    <w:p w14:paraId="27C91602" w14:textId="77777777" w:rsidR="00BE08D8" w:rsidRPr="00A73A56" w:rsidRDefault="00BE08D8" w:rsidP="00BE08D8">
      <w:pPr>
        <w:spacing w:line="360" w:lineRule="auto"/>
        <w:jc w:val="both"/>
        <w:rPr>
          <w:rFonts w:ascii="Arial" w:hAnsi="Arial" w:cs="Arial"/>
          <w:b/>
          <w:color w:val="0D0D0D"/>
          <w:sz w:val="22"/>
          <w:szCs w:val="22"/>
        </w:rPr>
      </w:pPr>
      <w:r w:rsidRPr="00A73A56">
        <w:rPr>
          <w:rFonts w:ascii="Arial" w:hAnsi="Arial" w:cs="Arial"/>
          <w:b/>
          <w:color w:val="0D0D0D"/>
          <w:sz w:val="22"/>
          <w:szCs w:val="22"/>
        </w:rPr>
        <w:t xml:space="preserve">1.- Del medio de control de controversias contractuales </w:t>
      </w:r>
    </w:p>
    <w:p w14:paraId="685E22FD" w14:textId="77777777" w:rsidR="00BE08D8" w:rsidRPr="00A73A56" w:rsidRDefault="00BE08D8" w:rsidP="00BE08D8">
      <w:pPr>
        <w:spacing w:line="360" w:lineRule="auto"/>
        <w:jc w:val="both"/>
        <w:rPr>
          <w:rFonts w:ascii="Arial" w:hAnsi="Arial" w:cs="Arial"/>
          <w:color w:val="0D0D0D"/>
          <w:sz w:val="22"/>
          <w:szCs w:val="22"/>
        </w:rPr>
      </w:pPr>
    </w:p>
    <w:p w14:paraId="7E71430F" w14:textId="77777777" w:rsidR="00BE08D8" w:rsidRPr="00A73A56" w:rsidRDefault="00BE08D8" w:rsidP="00BE08D8">
      <w:pPr>
        <w:widowControl w:val="0"/>
        <w:autoSpaceDE w:val="0"/>
        <w:autoSpaceDN w:val="0"/>
        <w:adjustRightInd w:val="0"/>
        <w:spacing w:line="360" w:lineRule="auto"/>
        <w:jc w:val="both"/>
        <w:rPr>
          <w:rFonts w:ascii="Arial" w:hAnsi="Arial" w:cs="Arial"/>
          <w:color w:val="0D0D0D"/>
          <w:sz w:val="22"/>
          <w:szCs w:val="22"/>
        </w:rPr>
      </w:pPr>
      <w:r w:rsidRPr="00A73A56">
        <w:rPr>
          <w:rFonts w:ascii="Arial" w:hAnsi="Arial" w:cs="Arial"/>
          <w:color w:val="0D0D0D"/>
          <w:sz w:val="22"/>
          <w:szCs w:val="22"/>
        </w:rPr>
        <w:t>El medio de control de controversias contractuales</w:t>
      </w:r>
      <w:r w:rsidR="006D03C5" w:rsidRPr="00A73A56">
        <w:rPr>
          <w:rStyle w:val="Refdenotaalpie"/>
          <w:rFonts w:ascii="Arial" w:hAnsi="Arial" w:cs="Arial"/>
          <w:color w:val="0D0D0D"/>
          <w:sz w:val="22"/>
          <w:szCs w:val="22"/>
        </w:rPr>
        <w:footnoteReference w:id="15"/>
      </w:r>
      <w:r w:rsidRPr="00A73A56">
        <w:rPr>
          <w:rFonts w:ascii="Arial" w:hAnsi="Arial" w:cs="Arial"/>
          <w:color w:val="0D0D0D"/>
          <w:sz w:val="22"/>
          <w:szCs w:val="22"/>
        </w:rPr>
        <w:t>, es una vía procesal que cobija toda la variedad de situaciones problemáticas que hipotéticamente pueden tener lugar en el ámbito de las relaciones de carácter negocial que detente el Estado. Sobre el particular es preciso recoger la siguiente precisión teórica y conceptual:</w:t>
      </w:r>
    </w:p>
    <w:p w14:paraId="5A26A004" w14:textId="77777777" w:rsidR="00BE08D8" w:rsidRPr="00A73A56" w:rsidRDefault="00BE08D8" w:rsidP="00BE08D8">
      <w:pPr>
        <w:widowControl w:val="0"/>
        <w:autoSpaceDE w:val="0"/>
        <w:autoSpaceDN w:val="0"/>
        <w:adjustRightInd w:val="0"/>
        <w:jc w:val="both"/>
        <w:rPr>
          <w:rFonts w:ascii="Arial" w:hAnsi="Arial" w:cs="Arial"/>
          <w:i/>
          <w:color w:val="0D0D0D"/>
          <w:sz w:val="22"/>
          <w:szCs w:val="22"/>
        </w:rPr>
      </w:pPr>
    </w:p>
    <w:p w14:paraId="16D5A62D" w14:textId="77777777" w:rsidR="00BE08D8" w:rsidRPr="00A73A56" w:rsidRDefault="00BE08D8" w:rsidP="00BE08D8">
      <w:pPr>
        <w:widowControl w:val="0"/>
        <w:autoSpaceDE w:val="0"/>
        <w:autoSpaceDN w:val="0"/>
        <w:adjustRightInd w:val="0"/>
        <w:ind w:left="709"/>
        <w:jc w:val="both"/>
        <w:rPr>
          <w:rFonts w:ascii="Arial" w:hAnsi="Arial" w:cs="Arial"/>
          <w:color w:val="0D0D0D"/>
          <w:sz w:val="22"/>
          <w:szCs w:val="22"/>
        </w:rPr>
      </w:pPr>
      <w:r w:rsidRPr="00A73A56">
        <w:rPr>
          <w:rFonts w:ascii="Arial" w:hAnsi="Arial" w:cs="Arial"/>
          <w:i/>
          <w:color w:val="0D0D0D"/>
          <w:sz w:val="22"/>
          <w:szCs w:val="22"/>
        </w:rPr>
        <w:t>“(…)</w:t>
      </w:r>
      <w:r w:rsidR="00343056" w:rsidRPr="00A73A56">
        <w:rPr>
          <w:rFonts w:ascii="Arial" w:hAnsi="Arial" w:cs="Arial"/>
          <w:i/>
          <w:color w:val="0D0D0D"/>
          <w:sz w:val="22"/>
          <w:szCs w:val="22"/>
        </w:rPr>
        <w:t xml:space="preserve"> </w:t>
      </w:r>
      <w:r w:rsidRPr="00A73A56">
        <w:rPr>
          <w:rFonts w:ascii="Arial" w:hAnsi="Arial" w:cs="Arial"/>
          <w:i/>
          <w:color w:val="0D0D0D"/>
          <w:sz w:val="22"/>
          <w:szCs w:val="22"/>
        </w:rPr>
        <w:t xml:space="preserve">es una acción, por regla general, de naturaleza subjetiva, individual, temporal, desistible y pluripretensional a través de la cual </w:t>
      </w:r>
      <w:r w:rsidRPr="00A73A56">
        <w:rPr>
          <w:rFonts w:ascii="Arial" w:hAnsi="Arial" w:cs="Arial"/>
          <w:i/>
          <w:color w:val="0D0D0D"/>
          <w:sz w:val="22"/>
          <w:szCs w:val="22"/>
          <w:u w:val="single"/>
        </w:rPr>
        <w:t>cualquiera de las partes de un contrato estatal podrá pedir</w:t>
      </w:r>
      <w:r w:rsidRPr="00A73A56">
        <w:rPr>
          <w:rFonts w:ascii="Arial" w:hAnsi="Arial" w:cs="Arial"/>
          <w:i/>
          <w:color w:val="0D0D0D"/>
          <w:sz w:val="22"/>
          <w:szCs w:val="22"/>
        </w:rPr>
        <w:t xml:space="preserve"> que se declare su existencia y que se hagan las declaraciones, condenaciones o restituciones consecuenciales; que se orden su revisión; </w:t>
      </w:r>
      <w:r w:rsidRPr="00A73A56">
        <w:rPr>
          <w:rFonts w:ascii="Arial" w:hAnsi="Arial" w:cs="Arial"/>
          <w:i/>
          <w:color w:val="0D0D0D"/>
          <w:sz w:val="22"/>
          <w:szCs w:val="22"/>
          <w:u w:val="single"/>
        </w:rPr>
        <w:t>que se declare su incumplimiento</w:t>
      </w:r>
      <w:r w:rsidRPr="00A73A56">
        <w:rPr>
          <w:rFonts w:ascii="Arial" w:hAnsi="Arial" w:cs="Arial"/>
          <w:i/>
          <w:color w:val="0D0D0D"/>
          <w:sz w:val="22"/>
          <w:szCs w:val="22"/>
        </w:rPr>
        <w:t xml:space="preserve"> y que se condene al contratante responsable a indemnizar los perjuicios, y que se hagan las demás declaraciones y condenaciones que sean pertinentes; </w:t>
      </w:r>
      <w:r w:rsidRPr="00A73A56">
        <w:rPr>
          <w:rFonts w:ascii="Arial" w:hAnsi="Arial" w:cs="Arial"/>
          <w:i/>
          <w:color w:val="0D0D0D"/>
          <w:sz w:val="22"/>
          <w:szCs w:val="22"/>
          <w:u w:val="single"/>
        </w:rPr>
        <w:t>así mismo, la nulidad de los actos administrativos contractuales y los restablecimientos a que haya lugar</w:t>
      </w:r>
      <w:r w:rsidRPr="00A73A56">
        <w:rPr>
          <w:rFonts w:ascii="Arial" w:hAnsi="Arial" w:cs="Arial"/>
          <w:i/>
          <w:color w:val="0D0D0D"/>
          <w:sz w:val="22"/>
          <w:szCs w:val="22"/>
        </w:rPr>
        <w:t>; como también las reparaciones e indemnizaciones relacionadas con los hechos, omisiones u operaciones propias de la ejecución del contrato.”</w:t>
      </w:r>
      <w:r w:rsidRPr="00A73A56">
        <w:rPr>
          <w:rFonts w:ascii="Arial" w:hAnsi="Arial" w:cs="Arial"/>
          <w:i/>
          <w:color w:val="0D0D0D"/>
          <w:sz w:val="22"/>
          <w:szCs w:val="22"/>
          <w:vertAlign w:val="superscript"/>
        </w:rPr>
        <w:footnoteReference w:id="16"/>
      </w:r>
      <w:r w:rsidRPr="00A73A56">
        <w:rPr>
          <w:rFonts w:ascii="Arial" w:hAnsi="Arial" w:cs="Arial"/>
          <w:i/>
          <w:color w:val="0D0D0D"/>
          <w:sz w:val="22"/>
          <w:szCs w:val="22"/>
        </w:rPr>
        <w:t xml:space="preserve"> </w:t>
      </w:r>
      <w:r w:rsidRPr="00A73A56">
        <w:rPr>
          <w:rFonts w:ascii="Arial" w:hAnsi="Arial" w:cs="Arial"/>
          <w:color w:val="0D0D0D"/>
          <w:sz w:val="22"/>
          <w:szCs w:val="22"/>
        </w:rPr>
        <w:t>(Subraya</w:t>
      </w:r>
      <w:r w:rsidR="00A032CA" w:rsidRPr="00A73A56">
        <w:rPr>
          <w:rFonts w:ascii="Arial" w:hAnsi="Arial" w:cs="Arial"/>
          <w:color w:val="0D0D0D"/>
          <w:sz w:val="22"/>
          <w:szCs w:val="22"/>
        </w:rPr>
        <w:t>do propio</w:t>
      </w:r>
      <w:r w:rsidRPr="00A73A56">
        <w:rPr>
          <w:rFonts w:ascii="Arial" w:hAnsi="Arial" w:cs="Arial"/>
          <w:color w:val="0D0D0D"/>
          <w:sz w:val="22"/>
          <w:szCs w:val="22"/>
        </w:rPr>
        <w:t>)</w:t>
      </w:r>
    </w:p>
    <w:p w14:paraId="1D54D555" w14:textId="77777777" w:rsidR="00BE08D8" w:rsidRPr="00A73A56" w:rsidRDefault="00BE08D8" w:rsidP="00BE08D8">
      <w:pPr>
        <w:widowControl w:val="0"/>
        <w:autoSpaceDE w:val="0"/>
        <w:autoSpaceDN w:val="0"/>
        <w:adjustRightInd w:val="0"/>
        <w:ind w:left="709"/>
        <w:jc w:val="both"/>
        <w:rPr>
          <w:rFonts w:ascii="Arial" w:hAnsi="Arial" w:cs="Arial"/>
          <w:i/>
          <w:color w:val="0D0D0D"/>
          <w:sz w:val="22"/>
          <w:szCs w:val="22"/>
        </w:rPr>
      </w:pPr>
    </w:p>
    <w:p w14:paraId="5A88CE35" w14:textId="77777777" w:rsidR="00BE08D8" w:rsidRPr="00A73A56" w:rsidRDefault="00BE08D8" w:rsidP="00BE08D8">
      <w:pPr>
        <w:spacing w:line="360" w:lineRule="auto"/>
        <w:jc w:val="both"/>
        <w:rPr>
          <w:rFonts w:ascii="Arial" w:eastAsia="MS Mincho" w:hAnsi="Arial" w:cs="Arial"/>
          <w:color w:val="0D0D0D"/>
          <w:sz w:val="22"/>
          <w:szCs w:val="22"/>
          <w:lang w:val="es-ES_tradnl"/>
        </w:rPr>
      </w:pPr>
      <w:r w:rsidRPr="00A73A56">
        <w:rPr>
          <w:rFonts w:ascii="Arial" w:hAnsi="Arial" w:cs="Arial"/>
          <w:bCs/>
          <w:color w:val="0D0D0D"/>
          <w:sz w:val="22"/>
          <w:szCs w:val="22"/>
        </w:rPr>
        <w:t xml:space="preserve">En consecuencia, es posible usar esta herramienta procesal para cuestionar las </w:t>
      </w:r>
      <w:r w:rsidRPr="00A73A56">
        <w:rPr>
          <w:rFonts w:ascii="Arial" w:eastAsia="MS Mincho" w:hAnsi="Arial" w:cs="Arial"/>
          <w:color w:val="0D0D0D"/>
          <w:sz w:val="22"/>
          <w:szCs w:val="22"/>
          <w:lang w:val="es-ES_tradnl"/>
        </w:rPr>
        <w:t>actuaciones desarrolladas durante la ejecución del contrato estatal, como la legalidad de los actos administrativos proferidos dentro del desarrollo del mismo. De esta manera puede cualquiera de las partes solicitar que se declare su incumplimiento, la nulidad de los actos administrativos contractuales y que se condene al responsable a indemnizar los perjuicios, y que se hagan otras declaraciones y condenas, teniendo en cuenta las pruebas que se practiquen al interior del proceso.</w:t>
      </w:r>
    </w:p>
    <w:p w14:paraId="4D5BA729" w14:textId="77777777" w:rsidR="00BE08D8" w:rsidRPr="00A73A56" w:rsidRDefault="00BE08D8" w:rsidP="00BE08D8">
      <w:pPr>
        <w:spacing w:line="360" w:lineRule="auto"/>
        <w:jc w:val="both"/>
        <w:rPr>
          <w:rFonts w:ascii="Arial" w:hAnsi="Arial" w:cs="Arial"/>
          <w:color w:val="0D0D0D"/>
          <w:sz w:val="22"/>
          <w:szCs w:val="22"/>
        </w:rPr>
      </w:pPr>
    </w:p>
    <w:p w14:paraId="5028BCEA" w14:textId="77777777" w:rsidR="00BE08D8" w:rsidRPr="00A73A56" w:rsidRDefault="00343056" w:rsidP="00BE08D8">
      <w:pPr>
        <w:widowControl w:val="0"/>
        <w:autoSpaceDE w:val="0"/>
        <w:autoSpaceDN w:val="0"/>
        <w:adjustRightInd w:val="0"/>
        <w:spacing w:line="360" w:lineRule="auto"/>
        <w:jc w:val="both"/>
        <w:rPr>
          <w:rFonts w:ascii="Arial" w:hAnsi="Arial" w:cs="Arial"/>
          <w:b/>
          <w:color w:val="0D0D0D"/>
          <w:sz w:val="22"/>
          <w:szCs w:val="22"/>
        </w:rPr>
      </w:pPr>
      <w:r w:rsidRPr="00A73A56">
        <w:rPr>
          <w:rFonts w:ascii="Arial" w:hAnsi="Arial" w:cs="Arial"/>
          <w:b/>
          <w:color w:val="0D0D0D"/>
          <w:sz w:val="22"/>
          <w:szCs w:val="22"/>
        </w:rPr>
        <w:t>2.</w:t>
      </w:r>
      <w:r w:rsidR="00827203" w:rsidRPr="00A73A56">
        <w:rPr>
          <w:rFonts w:ascii="Arial" w:hAnsi="Arial" w:cs="Arial"/>
          <w:b/>
          <w:color w:val="0D0D0D"/>
          <w:sz w:val="22"/>
          <w:szCs w:val="22"/>
        </w:rPr>
        <w:t>- La c</w:t>
      </w:r>
      <w:r w:rsidR="00BE08D8" w:rsidRPr="00A73A56">
        <w:rPr>
          <w:rFonts w:ascii="Arial" w:hAnsi="Arial" w:cs="Arial"/>
          <w:b/>
          <w:color w:val="0D0D0D"/>
          <w:sz w:val="22"/>
          <w:szCs w:val="22"/>
        </w:rPr>
        <w:t>aducidad del medio de control de controversias contractuales</w:t>
      </w:r>
      <w:r w:rsidR="00BE08D8" w:rsidRPr="00A73A56">
        <w:rPr>
          <w:rStyle w:val="Refdenotaalpie"/>
          <w:rFonts w:ascii="Arial" w:hAnsi="Arial" w:cs="Arial"/>
          <w:color w:val="0D0D0D"/>
          <w:sz w:val="22"/>
          <w:szCs w:val="22"/>
        </w:rPr>
        <w:footnoteReference w:id="17"/>
      </w:r>
      <w:r w:rsidR="00BE08D8" w:rsidRPr="00A73A56">
        <w:rPr>
          <w:rFonts w:ascii="Arial" w:hAnsi="Arial" w:cs="Arial"/>
          <w:b/>
          <w:color w:val="0D0D0D"/>
          <w:sz w:val="22"/>
          <w:szCs w:val="22"/>
        </w:rPr>
        <w:t xml:space="preserve">. </w:t>
      </w:r>
    </w:p>
    <w:p w14:paraId="45E441DC" w14:textId="77777777" w:rsidR="00BE08D8" w:rsidRPr="00A73A56" w:rsidRDefault="00BE08D8" w:rsidP="00BE08D8">
      <w:pPr>
        <w:widowControl w:val="0"/>
        <w:autoSpaceDE w:val="0"/>
        <w:autoSpaceDN w:val="0"/>
        <w:adjustRightInd w:val="0"/>
        <w:spacing w:line="360" w:lineRule="auto"/>
        <w:jc w:val="both"/>
        <w:rPr>
          <w:rFonts w:ascii="Arial" w:hAnsi="Arial" w:cs="Arial"/>
          <w:b/>
          <w:color w:val="0D0D0D"/>
          <w:sz w:val="22"/>
          <w:szCs w:val="22"/>
        </w:rPr>
      </w:pPr>
    </w:p>
    <w:p w14:paraId="60BF817E" w14:textId="77777777" w:rsidR="00BE08D8" w:rsidRPr="00A73A56" w:rsidRDefault="00BE08D8" w:rsidP="00BE08D8">
      <w:pPr>
        <w:widowControl w:val="0"/>
        <w:autoSpaceDE w:val="0"/>
        <w:autoSpaceDN w:val="0"/>
        <w:adjustRightInd w:val="0"/>
        <w:spacing w:line="360" w:lineRule="auto"/>
        <w:jc w:val="both"/>
        <w:rPr>
          <w:rFonts w:ascii="Arial" w:hAnsi="Arial" w:cs="Arial"/>
          <w:color w:val="0D0D0D"/>
          <w:sz w:val="22"/>
          <w:szCs w:val="22"/>
        </w:rPr>
      </w:pPr>
      <w:r w:rsidRPr="00A73A56">
        <w:rPr>
          <w:rFonts w:ascii="Arial" w:hAnsi="Arial" w:cs="Arial"/>
          <w:color w:val="0D0D0D"/>
          <w:sz w:val="22"/>
          <w:szCs w:val="22"/>
        </w:rPr>
        <w:t xml:space="preserve">La caducidad de esta pretensión como instituto procesal obtiene soporte y fundamento en el artículo 228 de la Constitución Política. Dicho fundamento constitucional determina la aplicación de los términos procesales en el ordenamiento jurídico, buscando ante todo la protección material de los derechos y la resolución definitiva de los conflictos que surgen a </w:t>
      </w:r>
      <w:r w:rsidRPr="00A73A56">
        <w:rPr>
          <w:rFonts w:ascii="Arial" w:hAnsi="Arial" w:cs="Arial"/>
          <w:color w:val="0D0D0D"/>
          <w:sz w:val="22"/>
          <w:szCs w:val="22"/>
        </w:rPr>
        <w:lastRenderedPageBreak/>
        <w:t>diario en el complejo tejido social</w:t>
      </w:r>
      <w:r w:rsidRPr="00A73A56">
        <w:rPr>
          <w:rFonts w:ascii="Arial" w:hAnsi="Arial" w:cs="Arial"/>
          <w:iCs/>
          <w:color w:val="0D0D0D"/>
          <w:sz w:val="22"/>
          <w:szCs w:val="22"/>
          <w:vertAlign w:val="superscript"/>
        </w:rPr>
        <w:footnoteReference w:id="18"/>
      </w:r>
      <w:r w:rsidRPr="00A73A56">
        <w:rPr>
          <w:rFonts w:ascii="Arial" w:hAnsi="Arial" w:cs="Arial"/>
          <w:color w:val="0D0D0D"/>
          <w:sz w:val="22"/>
          <w:szCs w:val="22"/>
        </w:rPr>
        <w:t>.</w:t>
      </w:r>
    </w:p>
    <w:p w14:paraId="2DD7A02F" w14:textId="77777777" w:rsidR="00BE08D8" w:rsidRPr="00A73A56" w:rsidRDefault="00BE08D8" w:rsidP="00BE08D8">
      <w:pPr>
        <w:widowControl w:val="0"/>
        <w:autoSpaceDE w:val="0"/>
        <w:autoSpaceDN w:val="0"/>
        <w:adjustRightInd w:val="0"/>
        <w:spacing w:line="360" w:lineRule="auto"/>
        <w:jc w:val="both"/>
        <w:rPr>
          <w:rFonts w:ascii="Arial" w:hAnsi="Arial" w:cs="Arial"/>
          <w:color w:val="0D0D0D"/>
          <w:sz w:val="22"/>
          <w:szCs w:val="22"/>
        </w:rPr>
      </w:pPr>
    </w:p>
    <w:p w14:paraId="4428E3A5" w14:textId="77777777" w:rsidR="00BE08D8" w:rsidRPr="00A73A56" w:rsidRDefault="00BE08D8" w:rsidP="00BE08D8">
      <w:pPr>
        <w:widowControl w:val="0"/>
        <w:autoSpaceDE w:val="0"/>
        <w:autoSpaceDN w:val="0"/>
        <w:adjustRightInd w:val="0"/>
        <w:spacing w:line="360" w:lineRule="auto"/>
        <w:jc w:val="both"/>
        <w:rPr>
          <w:rFonts w:ascii="Arial" w:hAnsi="Arial" w:cs="Arial"/>
          <w:color w:val="0D0D0D"/>
          <w:sz w:val="22"/>
          <w:szCs w:val="22"/>
        </w:rPr>
      </w:pPr>
      <w:r w:rsidRPr="00A73A56">
        <w:rPr>
          <w:rFonts w:ascii="Arial" w:hAnsi="Arial" w:cs="Arial"/>
          <w:color w:val="0D0D0D"/>
          <w:sz w:val="22"/>
          <w:szCs w:val="22"/>
        </w:rPr>
        <w:t>Conforme a la estructuración conceptual de nuestra legislación, la figura de la caducidad del medio de control es de estricto orden público y de obligatorio cumplimiento, innegociable e irrenunciable en cuanto implica el reconocimiento normativo de un lapso habilitador para el ejercicio de ciertas acciones judiciales</w:t>
      </w:r>
      <w:r w:rsidRPr="00A73A56">
        <w:rPr>
          <w:rFonts w:ascii="Arial" w:hAnsi="Arial" w:cs="Arial"/>
          <w:color w:val="0D0D0D"/>
          <w:position w:val="6"/>
          <w:sz w:val="22"/>
          <w:szCs w:val="22"/>
          <w:vertAlign w:val="superscript"/>
        </w:rPr>
        <w:footnoteReference w:id="19"/>
      </w:r>
      <w:r w:rsidRPr="00A73A56">
        <w:rPr>
          <w:rFonts w:ascii="Arial" w:hAnsi="Arial" w:cs="Arial"/>
          <w:color w:val="0D0D0D"/>
          <w:sz w:val="22"/>
          <w:szCs w:val="22"/>
        </w:rPr>
        <w:t>. En esta perspectiva el legislador ha considerado que la no materialización del término límite establecido para la correspondiente caducidad constituye otro de los presupuestos para el debido ejercicio de la acción contencioso administrativa que estuvieren condicionadas para estos efectos por el elemento temporal</w:t>
      </w:r>
      <w:r w:rsidRPr="00A73A56">
        <w:rPr>
          <w:rFonts w:ascii="Arial" w:hAnsi="Arial" w:cs="Arial"/>
          <w:color w:val="0D0D0D"/>
          <w:sz w:val="22"/>
          <w:szCs w:val="22"/>
          <w:vertAlign w:val="superscript"/>
        </w:rPr>
        <w:footnoteReference w:id="20"/>
      </w:r>
      <w:r w:rsidRPr="00A73A56">
        <w:rPr>
          <w:rFonts w:ascii="Arial" w:hAnsi="Arial" w:cs="Arial"/>
          <w:color w:val="0D0D0D"/>
          <w:sz w:val="22"/>
          <w:szCs w:val="22"/>
        </w:rPr>
        <w:t>.</w:t>
      </w:r>
    </w:p>
    <w:p w14:paraId="6FB21019" w14:textId="77777777" w:rsidR="00073883" w:rsidRPr="00A73A56" w:rsidRDefault="00073883" w:rsidP="00BE08D8">
      <w:pPr>
        <w:widowControl w:val="0"/>
        <w:autoSpaceDE w:val="0"/>
        <w:autoSpaceDN w:val="0"/>
        <w:adjustRightInd w:val="0"/>
        <w:spacing w:line="360" w:lineRule="auto"/>
        <w:jc w:val="both"/>
        <w:rPr>
          <w:rFonts w:ascii="Arial" w:hAnsi="Arial" w:cs="Arial"/>
          <w:color w:val="0D0D0D"/>
          <w:sz w:val="22"/>
          <w:szCs w:val="22"/>
        </w:rPr>
      </w:pPr>
    </w:p>
    <w:p w14:paraId="1D208326" w14:textId="77777777" w:rsidR="005622C2" w:rsidRPr="00A73A56" w:rsidRDefault="00BE08D8" w:rsidP="00BE08D8">
      <w:pPr>
        <w:spacing w:line="360" w:lineRule="auto"/>
        <w:jc w:val="both"/>
        <w:rPr>
          <w:rFonts w:ascii="Arial" w:hAnsi="Arial" w:cs="Arial"/>
          <w:color w:val="0D0D0D"/>
          <w:sz w:val="22"/>
          <w:szCs w:val="22"/>
        </w:rPr>
      </w:pPr>
      <w:r w:rsidRPr="00A73A56">
        <w:rPr>
          <w:rFonts w:ascii="Arial" w:hAnsi="Arial" w:cs="Arial"/>
          <w:color w:val="0D0D0D"/>
          <w:sz w:val="22"/>
          <w:szCs w:val="22"/>
        </w:rPr>
        <w:t>Desde este punto de vista, la caducidad se institucionaliza como un concepto temporal, perentorio y preclusivo de orden, estabilidad, interés general y seguridad jurídica para los asociados y la administración desde la perspectiva procesal, generando certidumbre en cuanto a los tiempos de las personas para hacer valer sus derechos ante las autoridades judiciales</w:t>
      </w:r>
      <w:r w:rsidRPr="00A73A56">
        <w:rPr>
          <w:rFonts w:ascii="Arial" w:hAnsi="Arial" w:cs="Arial"/>
          <w:color w:val="0D0D0D"/>
          <w:position w:val="6"/>
          <w:sz w:val="22"/>
          <w:szCs w:val="22"/>
          <w:vertAlign w:val="superscript"/>
        </w:rPr>
        <w:footnoteReference w:id="21"/>
      </w:r>
      <w:r w:rsidRPr="00A73A56">
        <w:rPr>
          <w:rFonts w:ascii="Arial" w:hAnsi="Arial" w:cs="Arial"/>
          <w:color w:val="0D0D0D"/>
          <w:sz w:val="22"/>
          <w:szCs w:val="22"/>
        </w:rPr>
        <w:t xml:space="preserve">. </w:t>
      </w:r>
    </w:p>
    <w:p w14:paraId="03540A39" w14:textId="77777777" w:rsidR="005622C2" w:rsidRPr="00A73A56" w:rsidRDefault="005622C2" w:rsidP="00BE08D8">
      <w:pPr>
        <w:spacing w:line="360" w:lineRule="auto"/>
        <w:jc w:val="both"/>
        <w:rPr>
          <w:rFonts w:ascii="Arial" w:hAnsi="Arial" w:cs="Arial"/>
          <w:color w:val="0D0D0D"/>
          <w:sz w:val="22"/>
          <w:szCs w:val="22"/>
        </w:rPr>
      </w:pPr>
    </w:p>
    <w:p w14:paraId="4A18CFC6" w14:textId="77777777" w:rsidR="00BE08D8" w:rsidRPr="00A73A56" w:rsidRDefault="00BE08D8" w:rsidP="00BE08D8">
      <w:pPr>
        <w:spacing w:line="360" w:lineRule="auto"/>
        <w:jc w:val="both"/>
        <w:rPr>
          <w:rFonts w:ascii="Arial" w:hAnsi="Arial" w:cs="Arial"/>
          <w:color w:val="0D0D0D"/>
          <w:sz w:val="22"/>
          <w:szCs w:val="22"/>
        </w:rPr>
      </w:pPr>
      <w:r w:rsidRPr="00A73A56">
        <w:rPr>
          <w:rFonts w:ascii="Arial" w:hAnsi="Arial" w:cs="Arial"/>
          <w:color w:val="0D0D0D"/>
          <w:sz w:val="22"/>
          <w:szCs w:val="22"/>
        </w:rPr>
        <w:t>En este sentido, las consecuencias del acaecimiento de la condición temporal que es manifiesta en toda caducidad implica la pérdida de oportunidad para reclamar por la vía judicial los derechos que se consideren vulnerados por causa de la actividad de la administración pública</w:t>
      </w:r>
      <w:r w:rsidRPr="00A73A56">
        <w:rPr>
          <w:rFonts w:ascii="Arial" w:hAnsi="Arial" w:cs="Arial"/>
          <w:color w:val="0D0D0D"/>
          <w:position w:val="6"/>
          <w:sz w:val="22"/>
          <w:szCs w:val="22"/>
          <w:vertAlign w:val="superscript"/>
        </w:rPr>
        <w:footnoteReference w:id="22"/>
      </w:r>
      <w:r w:rsidRPr="00A73A56">
        <w:rPr>
          <w:rFonts w:ascii="Arial" w:hAnsi="Arial" w:cs="Arial"/>
          <w:color w:val="0D0D0D"/>
          <w:sz w:val="22"/>
          <w:szCs w:val="22"/>
        </w:rPr>
        <w:t>.</w:t>
      </w:r>
    </w:p>
    <w:p w14:paraId="34E7B912" w14:textId="77777777" w:rsidR="005622C2" w:rsidRPr="00A73A56" w:rsidRDefault="005622C2" w:rsidP="00BE08D8">
      <w:pPr>
        <w:spacing w:line="360" w:lineRule="auto"/>
        <w:jc w:val="both"/>
        <w:rPr>
          <w:rFonts w:ascii="Arial" w:hAnsi="Arial" w:cs="Arial"/>
          <w:color w:val="0D0D0D"/>
          <w:sz w:val="22"/>
          <w:szCs w:val="22"/>
        </w:rPr>
      </w:pPr>
    </w:p>
    <w:p w14:paraId="38B3C5BA" w14:textId="77777777" w:rsidR="00073883" w:rsidRPr="00A73A56" w:rsidRDefault="00BE08D8" w:rsidP="00BE08D8">
      <w:pPr>
        <w:spacing w:line="360" w:lineRule="auto"/>
        <w:jc w:val="both"/>
        <w:rPr>
          <w:rFonts w:ascii="Arial" w:hAnsi="Arial" w:cs="Arial"/>
          <w:color w:val="0D0D0D"/>
          <w:sz w:val="22"/>
          <w:szCs w:val="22"/>
        </w:rPr>
      </w:pPr>
      <w:r w:rsidRPr="00A73A56">
        <w:rPr>
          <w:rFonts w:ascii="Arial" w:hAnsi="Arial" w:cs="Arial"/>
          <w:color w:val="0D0D0D"/>
          <w:sz w:val="22"/>
          <w:szCs w:val="22"/>
        </w:rPr>
        <w:t>De manera concreta, en relación con la caducidad del medio de control</w:t>
      </w:r>
      <w:r w:rsidR="00073883" w:rsidRPr="00A73A56">
        <w:rPr>
          <w:rFonts w:ascii="Arial" w:hAnsi="Arial" w:cs="Arial"/>
          <w:color w:val="0D0D0D"/>
          <w:sz w:val="22"/>
          <w:szCs w:val="22"/>
        </w:rPr>
        <w:t xml:space="preserve"> de controversias contractuales, la Sala </w:t>
      </w:r>
      <w:r w:rsidR="00D40CB1" w:rsidRPr="00A73A56">
        <w:rPr>
          <w:rFonts w:ascii="Arial" w:hAnsi="Arial" w:cs="Arial"/>
          <w:color w:val="0D0D0D"/>
          <w:sz w:val="22"/>
          <w:szCs w:val="22"/>
        </w:rPr>
        <w:t>trae a colación lo dispuesto en la normativa anterior y la vigente, así:</w:t>
      </w:r>
    </w:p>
    <w:p w14:paraId="63B53068" w14:textId="77777777" w:rsidR="00A566C9" w:rsidRPr="00A73A56" w:rsidRDefault="00A566C9" w:rsidP="00BE08D8">
      <w:pPr>
        <w:spacing w:line="360" w:lineRule="auto"/>
        <w:jc w:val="both"/>
        <w:rPr>
          <w:rFonts w:ascii="Arial" w:hAnsi="Arial" w:cs="Arial"/>
          <w:color w:val="0D0D0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4409"/>
      </w:tblGrid>
      <w:tr w:rsidR="00A566C9" w:rsidRPr="00A73A56" w14:paraId="0F00F642" w14:textId="77777777" w:rsidTr="00CD7F7B">
        <w:tc>
          <w:tcPr>
            <w:tcW w:w="9546" w:type="dxa"/>
            <w:gridSpan w:val="2"/>
            <w:shd w:val="clear" w:color="auto" w:fill="auto"/>
          </w:tcPr>
          <w:p w14:paraId="390EFCB1" w14:textId="77777777" w:rsidR="00073883" w:rsidRPr="00A73A56" w:rsidRDefault="00073883" w:rsidP="00CD7F7B">
            <w:pPr>
              <w:jc w:val="center"/>
              <w:rPr>
                <w:rFonts w:ascii="Arial" w:hAnsi="Arial" w:cs="Arial"/>
                <w:color w:val="0D0D0D"/>
                <w:sz w:val="22"/>
                <w:szCs w:val="22"/>
              </w:rPr>
            </w:pPr>
            <w:r w:rsidRPr="00A73A56">
              <w:rPr>
                <w:rFonts w:ascii="Arial" w:hAnsi="Arial" w:cs="Arial"/>
                <w:color w:val="0D0D0D"/>
                <w:sz w:val="22"/>
                <w:szCs w:val="22"/>
              </w:rPr>
              <w:t>CADUCIDAD DEL MEDIO DE CONTROL DE CONTROVERSIAS CONTRACTUALES ESTABLECIDO EN EL DECRETO 01 DE 1984 Y LA LEY 1437 DE 2011</w:t>
            </w:r>
          </w:p>
        </w:tc>
      </w:tr>
      <w:tr w:rsidR="00A566C9" w:rsidRPr="00A73A56" w14:paraId="2789EDCB" w14:textId="77777777" w:rsidTr="00CD7F7B">
        <w:tc>
          <w:tcPr>
            <w:tcW w:w="4773" w:type="dxa"/>
            <w:shd w:val="clear" w:color="auto" w:fill="auto"/>
          </w:tcPr>
          <w:p w14:paraId="32F4014B" w14:textId="77777777" w:rsidR="00073883" w:rsidRPr="00A73A56" w:rsidRDefault="003D18B9" w:rsidP="00CD7F7B">
            <w:pPr>
              <w:jc w:val="both"/>
              <w:rPr>
                <w:rFonts w:ascii="Arial" w:hAnsi="Arial" w:cs="Arial"/>
                <w:color w:val="0D0D0D"/>
                <w:sz w:val="22"/>
                <w:szCs w:val="22"/>
              </w:rPr>
            </w:pPr>
            <w:r w:rsidRPr="00A73A56">
              <w:rPr>
                <w:rFonts w:ascii="Arial" w:hAnsi="Arial" w:cs="Arial"/>
                <w:color w:val="0D0D0D"/>
                <w:sz w:val="22"/>
                <w:szCs w:val="22"/>
              </w:rPr>
              <w:t>Decreto 01 de 1984 Artículo 136 numeral 10 Literal e), reza:</w:t>
            </w:r>
          </w:p>
          <w:p w14:paraId="55E26061" w14:textId="77777777" w:rsidR="00931571" w:rsidRPr="00A73A56" w:rsidRDefault="00931571" w:rsidP="00CD7F7B">
            <w:pPr>
              <w:jc w:val="both"/>
              <w:rPr>
                <w:rFonts w:ascii="Arial" w:hAnsi="Arial" w:cs="Arial"/>
                <w:color w:val="0D0D0D"/>
                <w:sz w:val="22"/>
                <w:szCs w:val="22"/>
              </w:rPr>
            </w:pPr>
          </w:p>
          <w:p w14:paraId="689843AD" w14:textId="77777777" w:rsidR="00931571" w:rsidRPr="00A73A56" w:rsidRDefault="00931571" w:rsidP="00CD7F7B">
            <w:pPr>
              <w:pStyle w:val="NormalWeb"/>
              <w:spacing w:before="2" w:after="2" w:line="270" w:lineRule="atLeast"/>
              <w:jc w:val="both"/>
              <w:rPr>
                <w:rFonts w:ascii="Arial" w:hAnsi="Arial" w:cs="Arial"/>
                <w:i/>
                <w:color w:val="0D0D0D"/>
                <w:sz w:val="22"/>
                <w:szCs w:val="22"/>
                <w:lang w:val="es-ES" w:eastAsia="es-ES"/>
              </w:rPr>
            </w:pPr>
            <w:r w:rsidRPr="00A73A56">
              <w:rPr>
                <w:rFonts w:ascii="Arial" w:hAnsi="Arial" w:cs="Arial"/>
                <w:i/>
                <w:color w:val="0D0D0D"/>
                <w:sz w:val="22"/>
                <w:szCs w:val="22"/>
                <w:lang w:val="es-ES" w:eastAsia="es-ES"/>
              </w:rPr>
              <w:t>“(…)</w:t>
            </w:r>
          </w:p>
          <w:p w14:paraId="346926E7" w14:textId="77777777" w:rsidR="003D18B9" w:rsidRPr="00A73A56" w:rsidRDefault="003D18B9" w:rsidP="00CD7F7B">
            <w:pPr>
              <w:pStyle w:val="NormalWeb"/>
              <w:spacing w:before="2" w:after="2" w:line="270" w:lineRule="atLeast"/>
              <w:jc w:val="both"/>
              <w:rPr>
                <w:rFonts w:ascii="Arial" w:hAnsi="Arial" w:cs="Arial"/>
                <w:i/>
                <w:color w:val="0D0D0D"/>
                <w:sz w:val="22"/>
                <w:szCs w:val="22"/>
                <w:lang w:val="es-ES" w:eastAsia="es-ES"/>
              </w:rPr>
            </w:pPr>
            <w:r w:rsidRPr="00A73A56">
              <w:rPr>
                <w:rFonts w:ascii="Arial" w:hAnsi="Arial" w:cs="Arial"/>
                <w:i/>
                <w:color w:val="0D0D0D"/>
                <w:sz w:val="22"/>
                <w:szCs w:val="22"/>
                <w:lang w:val="es-ES" w:eastAsia="es-ES"/>
              </w:rPr>
              <w:t>10. En las relativas a contratos, el término de caducidad será de dos (2) años que se contará a partir del día siguiente a la ocurrencia de los motivos de hecho o de derecho que les sirvan de fundamento.</w:t>
            </w:r>
          </w:p>
          <w:p w14:paraId="41064AB4" w14:textId="77777777" w:rsidR="003D18B9" w:rsidRPr="00A73A56" w:rsidRDefault="003D18B9" w:rsidP="00CD7F7B">
            <w:pPr>
              <w:spacing w:before="100" w:beforeAutospacing="1" w:after="100" w:afterAutospacing="1" w:line="270" w:lineRule="atLeast"/>
              <w:jc w:val="both"/>
              <w:rPr>
                <w:rFonts w:ascii="Arial" w:hAnsi="Arial" w:cs="Arial"/>
                <w:i/>
                <w:color w:val="0D0D0D"/>
                <w:sz w:val="22"/>
                <w:szCs w:val="22"/>
              </w:rPr>
            </w:pPr>
            <w:r w:rsidRPr="00A73A56">
              <w:rPr>
                <w:rFonts w:ascii="Arial" w:hAnsi="Arial" w:cs="Arial"/>
                <w:i/>
                <w:color w:val="0D0D0D"/>
                <w:sz w:val="22"/>
                <w:szCs w:val="22"/>
              </w:rPr>
              <w:t>En los siguientes contratos, el término de caducidad se contará así:</w:t>
            </w:r>
          </w:p>
          <w:p w14:paraId="296CAC9D" w14:textId="77777777" w:rsidR="003D18B9" w:rsidRPr="00A73A56" w:rsidRDefault="00931571" w:rsidP="00CD7F7B">
            <w:pPr>
              <w:spacing w:before="100" w:beforeAutospacing="1" w:after="100" w:afterAutospacing="1" w:line="270" w:lineRule="atLeast"/>
              <w:jc w:val="both"/>
              <w:rPr>
                <w:rFonts w:ascii="Arial" w:hAnsi="Arial" w:cs="Arial"/>
                <w:color w:val="0D0D0D"/>
                <w:sz w:val="22"/>
                <w:szCs w:val="22"/>
              </w:rPr>
            </w:pPr>
            <w:r w:rsidRPr="00A73A56">
              <w:rPr>
                <w:rFonts w:ascii="Arial" w:hAnsi="Arial" w:cs="Arial"/>
                <w:i/>
                <w:color w:val="0D0D0D"/>
                <w:sz w:val="22"/>
                <w:szCs w:val="22"/>
              </w:rPr>
              <w:t xml:space="preserve">(…) </w:t>
            </w:r>
            <w:r w:rsidR="003D18B9" w:rsidRPr="00A73A56">
              <w:rPr>
                <w:rFonts w:ascii="Arial" w:hAnsi="Arial" w:cs="Arial"/>
                <w:i/>
                <w:color w:val="0D0D0D"/>
                <w:sz w:val="22"/>
                <w:szCs w:val="22"/>
              </w:rPr>
              <w:t xml:space="preserve">e) La nulidad absoluta del contrato podrá ser alegada por las partes contratantes, por el Ministerio Público o cualquier persona interesada, dentro de los dos (2) años siguientes a su perfeccionamiento. </w:t>
            </w:r>
            <w:r w:rsidR="003D18B9" w:rsidRPr="00A73A56">
              <w:rPr>
                <w:rFonts w:ascii="Arial" w:hAnsi="Arial" w:cs="Arial"/>
                <w:i/>
                <w:color w:val="0D0D0D"/>
                <w:sz w:val="22"/>
                <w:szCs w:val="22"/>
                <w:u w:val="single"/>
              </w:rPr>
              <w:t xml:space="preserve">Si el término de vigencia del contrato fuere superior a dos (2) años, el término de caducidad será igual al de su vigencia, </w:t>
            </w:r>
            <w:r w:rsidR="003D18B9" w:rsidRPr="00A73A56">
              <w:rPr>
                <w:rFonts w:ascii="Arial" w:hAnsi="Arial" w:cs="Arial"/>
                <w:b/>
                <w:i/>
                <w:color w:val="0D0D0D"/>
                <w:sz w:val="22"/>
                <w:szCs w:val="22"/>
                <w:u w:val="single"/>
              </w:rPr>
              <w:t>sin que en ningún caso exceda de cinco (5) años</w:t>
            </w:r>
            <w:r w:rsidR="003D18B9" w:rsidRPr="00A73A56">
              <w:rPr>
                <w:rFonts w:ascii="Arial" w:hAnsi="Arial" w:cs="Arial"/>
                <w:i/>
                <w:color w:val="0D0D0D"/>
                <w:sz w:val="22"/>
                <w:szCs w:val="22"/>
                <w:u w:val="single"/>
              </w:rPr>
              <w:t>, contados a partir de su perfeccionamiento</w:t>
            </w:r>
            <w:r w:rsidR="003D18B9" w:rsidRPr="00A73A56">
              <w:rPr>
                <w:rFonts w:ascii="Arial" w:hAnsi="Arial" w:cs="Arial"/>
                <w:i/>
                <w:color w:val="0D0D0D"/>
                <w:sz w:val="22"/>
                <w:szCs w:val="22"/>
              </w:rPr>
              <w:t xml:space="preserve">. </w:t>
            </w:r>
            <w:r w:rsidRPr="00A73A56">
              <w:rPr>
                <w:rFonts w:ascii="Arial" w:hAnsi="Arial" w:cs="Arial"/>
                <w:i/>
                <w:color w:val="0D0D0D"/>
                <w:sz w:val="22"/>
                <w:szCs w:val="22"/>
              </w:rPr>
              <w:t>(…)</w:t>
            </w:r>
            <w:r w:rsidR="003D18B9" w:rsidRPr="00A73A56">
              <w:rPr>
                <w:rFonts w:ascii="Arial" w:hAnsi="Arial" w:cs="Arial"/>
                <w:i/>
                <w:color w:val="0D0D0D"/>
                <w:sz w:val="22"/>
                <w:szCs w:val="22"/>
              </w:rPr>
              <w:t>".</w:t>
            </w:r>
          </w:p>
        </w:tc>
        <w:tc>
          <w:tcPr>
            <w:tcW w:w="4773" w:type="dxa"/>
            <w:shd w:val="clear" w:color="auto" w:fill="auto"/>
          </w:tcPr>
          <w:p w14:paraId="4926D8FA" w14:textId="77777777" w:rsidR="00073883" w:rsidRPr="00A73A56" w:rsidRDefault="003D18B9" w:rsidP="00CD7F7B">
            <w:pPr>
              <w:jc w:val="both"/>
              <w:rPr>
                <w:rFonts w:ascii="Arial" w:hAnsi="Arial" w:cs="Arial"/>
                <w:color w:val="0D0D0D"/>
                <w:sz w:val="22"/>
                <w:szCs w:val="22"/>
              </w:rPr>
            </w:pPr>
            <w:r w:rsidRPr="00A73A56">
              <w:rPr>
                <w:rFonts w:ascii="Arial" w:hAnsi="Arial" w:cs="Arial"/>
                <w:color w:val="0D0D0D"/>
                <w:sz w:val="22"/>
                <w:szCs w:val="22"/>
              </w:rPr>
              <w:t>Ley 1437 de 2011 artículo 164 numeral 1º literal j), establece:</w:t>
            </w:r>
          </w:p>
          <w:p w14:paraId="725ED5C5" w14:textId="77777777" w:rsidR="00931571" w:rsidRPr="00A73A56" w:rsidRDefault="00931571" w:rsidP="00CD7F7B">
            <w:pPr>
              <w:jc w:val="both"/>
              <w:rPr>
                <w:rFonts w:ascii="Arial" w:hAnsi="Arial" w:cs="Arial"/>
                <w:color w:val="0D0D0D"/>
                <w:sz w:val="22"/>
                <w:szCs w:val="22"/>
              </w:rPr>
            </w:pPr>
          </w:p>
          <w:p w14:paraId="3B3BD66F" w14:textId="77777777" w:rsidR="00931571" w:rsidRPr="00A73A56" w:rsidRDefault="00931571" w:rsidP="00CD7F7B">
            <w:pPr>
              <w:jc w:val="both"/>
              <w:rPr>
                <w:rFonts w:ascii="Arial" w:hAnsi="Arial" w:cs="Arial"/>
                <w:color w:val="0D0D0D"/>
                <w:sz w:val="22"/>
                <w:szCs w:val="22"/>
              </w:rPr>
            </w:pPr>
            <w:r w:rsidRPr="00A73A56">
              <w:rPr>
                <w:rFonts w:ascii="Arial" w:hAnsi="Arial" w:cs="Arial"/>
                <w:color w:val="0D0D0D"/>
                <w:sz w:val="22"/>
                <w:szCs w:val="22"/>
              </w:rPr>
              <w:t>“(…)</w:t>
            </w:r>
          </w:p>
          <w:p w14:paraId="019E4183" w14:textId="77777777" w:rsidR="00931571" w:rsidRPr="00A73A56" w:rsidRDefault="00931571" w:rsidP="00753E6C">
            <w:pPr>
              <w:pStyle w:val="NormalWeb"/>
              <w:spacing w:before="2" w:after="2" w:line="270" w:lineRule="atLeast"/>
              <w:jc w:val="both"/>
              <w:rPr>
                <w:rFonts w:ascii="Arial" w:hAnsi="Arial" w:cs="Arial"/>
                <w:i/>
                <w:color w:val="0D0D0D"/>
                <w:sz w:val="22"/>
                <w:szCs w:val="22"/>
              </w:rPr>
            </w:pPr>
            <w:r w:rsidRPr="00A73A56">
              <w:rPr>
                <w:rFonts w:ascii="Arial" w:hAnsi="Arial" w:cs="Arial"/>
                <w:i/>
                <w:color w:val="0D0D0D"/>
                <w:sz w:val="22"/>
                <w:szCs w:val="22"/>
              </w:rPr>
              <w:t xml:space="preserve">j) En las relativas a contratos el término para demandar será de dos (2) años que se contarán a partir del día siguiente a la ocurrencia de los </w:t>
            </w:r>
            <w:r w:rsidRPr="00A73A56">
              <w:rPr>
                <w:rFonts w:ascii="Arial" w:hAnsi="Arial" w:cs="Arial"/>
                <w:i/>
                <w:color w:val="0D0D0D"/>
                <w:sz w:val="22"/>
                <w:szCs w:val="22"/>
                <w:lang w:val="es-ES" w:eastAsia="es-ES"/>
              </w:rPr>
              <w:t>motivos</w:t>
            </w:r>
            <w:r w:rsidRPr="00A73A56">
              <w:rPr>
                <w:rFonts w:ascii="Arial" w:hAnsi="Arial" w:cs="Arial"/>
                <w:i/>
                <w:color w:val="0D0D0D"/>
                <w:sz w:val="22"/>
                <w:szCs w:val="22"/>
              </w:rPr>
              <w:t xml:space="preserve"> de hecho o de derecho que les sirvan de fundamento.</w:t>
            </w:r>
          </w:p>
          <w:p w14:paraId="2F43E242" w14:textId="77777777" w:rsidR="00931571" w:rsidRPr="00A73A56" w:rsidRDefault="00931571" w:rsidP="00CD7F7B">
            <w:pPr>
              <w:spacing w:before="100" w:beforeAutospacing="1" w:after="100" w:afterAutospacing="1" w:line="270" w:lineRule="atLeast"/>
              <w:jc w:val="both"/>
              <w:rPr>
                <w:rFonts w:ascii="Arial" w:hAnsi="Arial" w:cs="Arial"/>
                <w:i/>
                <w:color w:val="0D0D0D"/>
                <w:sz w:val="22"/>
                <w:szCs w:val="22"/>
              </w:rPr>
            </w:pPr>
            <w:r w:rsidRPr="00A73A56">
              <w:rPr>
                <w:rFonts w:ascii="Arial" w:hAnsi="Arial" w:cs="Arial"/>
                <w:i/>
                <w:color w:val="0D0D0D"/>
                <w:sz w:val="22"/>
                <w:szCs w:val="22"/>
              </w:rPr>
              <w:t>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w:t>
            </w:r>
          </w:p>
          <w:p w14:paraId="5A4BC323" w14:textId="77777777" w:rsidR="00931571" w:rsidRPr="00A73A56" w:rsidRDefault="00931571" w:rsidP="00CD7F7B">
            <w:pPr>
              <w:spacing w:before="100" w:beforeAutospacing="1" w:after="100" w:afterAutospacing="1" w:line="270" w:lineRule="atLeast"/>
              <w:jc w:val="both"/>
              <w:rPr>
                <w:rFonts w:ascii="Arial" w:hAnsi="Arial" w:cs="Arial"/>
                <w:color w:val="0D0D0D"/>
                <w:sz w:val="22"/>
                <w:szCs w:val="22"/>
              </w:rPr>
            </w:pPr>
            <w:r w:rsidRPr="00A73A56">
              <w:rPr>
                <w:rFonts w:ascii="Arial" w:hAnsi="Arial" w:cs="Arial"/>
                <w:i/>
                <w:color w:val="0D0D0D"/>
                <w:sz w:val="22"/>
                <w:szCs w:val="22"/>
              </w:rPr>
              <w:t>(...)”.</w:t>
            </w:r>
          </w:p>
        </w:tc>
      </w:tr>
    </w:tbl>
    <w:p w14:paraId="71745F42" w14:textId="77777777" w:rsidR="00073883" w:rsidRPr="00A73A56" w:rsidRDefault="00073883" w:rsidP="00BE08D8">
      <w:pPr>
        <w:spacing w:line="360" w:lineRule="auto"/>
        <w:jc w:val="both"/>
        <w:rPr>
          <w:rFonts w:ascii="Arial" w:hAnsi="Arial" w:cs="Arial"/>
          <w:color w:val="0D0D0D"/>
          <w:sz w:val="22"/>
          <w:szCs w:val="22"/>
        </w:rPr>
      </w:pPr>
    </w:p>
    <w:p w14:paraId="18775101" w14:textId="77777777" w:rsidR="00BE08D8" w:rsidRPr="00A73A56" w:rsidRDefault="00931571" w:rsidP="00BE08D8">
      <w:pPr>
        <w:spacing w:line="360" w:lineRule="auto"/>
        <w:jc w:val="both"/>
        <w:rPr>
          <w:rFonts w:ascii="Arial" w:hAnsi="Arial" w:cs="Arial"/>
          <w:color w:val="0D0D0D"/>
          <w:sz w:val="22"/>
          <w:szCs w:val="22"/>
        </w:rPr>
      </w:pPr>
      <w:r w:rsidRPr="00A73A56">
        <w:rPr>
          <w:rFonts w:ascii="Arial" w:hAnsi="Arial" w:cs="Arial"/>
          <w:color w:val="0D0D0D"/>
          <w:sz w:val="22"/>
          <w:szCs w:val="22"/>
        </w:rPr>
        <w:t>Es evidente que cuando se pretende l</w:t>
      </w:r>
      <w:r w:rsidR="00181623" w:rsidRPr="00A73A56">
        <w:rPr>
          <w:rFonts w:ascii="Arial" w:hAnsi="Arial" w:cs="Arial"/>
          <w:color w:val="0D0D0D"/>
          <w:sz w:val="22"/>
          <w:szCs w:val="22"/>
        </w:rPr>
        <w:t xml:space="preserve">a nulidad absoluta del contrato, </w:t>
      </w:r>
      <w:r w:rsidRPr="00A73A56">
        <w:rPr>
          <w:rFonts w:ascii="Arial" w:hAnsi="Arial" w:cs="Arial"/>
          <w:color w:val="0D0D0D"/>
          <w:sz w:val="22"/>
          <w:szCs w:val="22"/>
        </w:rPr>
        <w:t xml:space="preserve">la normativa ha establecido dos términos como se transcribieron en el cuadro, </w:t>
      </w:r>
      <w:r w:rsidR="00181623" w:rsidRPr="00A73A56">
        <w:rPr>
          <w:rFonts w:ascii="Arial" w:hAnsi="Arial" w:cs="Arial"/>
          <w:color w:val="0D0D0D"/>
          <w:sz w:val="22"/>
          <w:szCs w:val="22"/>
        </w:rPr>
        <w:t xml:space="preserve">lo que hace relevante entrar </w:t>
      </w:r>
      <w:r w:rsidR="00181623" w:rsidRPr="00A73A56">
        <w:rPr>
          <w:rFonts w:ascii="Arial" w:hAnsi="Arial" w:cs="Arial"/>
          <w:color w:val="0D0D0D"/>
          <w:sz w:val="22"/>
          <w:szCs w:val="22"/>
        </w:rPr>
        <w:lastRenderedPageBreak/>
        <w:t>a estudiar cuál de las dos normas anteriormente citadas será aplicable al caso bajo estudio y a partir de qué momento se debe co</w:t>
      </w:r>
      <w:r w:rsidR="00753E6C" w:rsidRPr="00A73A56">
        <w:rPr>
          <w:rFonts w:ascii="Arial" w:hAnsi="Arial" w:cs="Arial"/>
          <w:color w:val="0D0D0D"/>
          <w:sz w:val="22"/>
          <w:szCs w:val="22"/>
        </w:rPr>
        <w:t>ntar la caducidad del medio de control incoado.</w:t>
      </w:r>
    </w:p>
    <w:p w14:paraId="346B47BD" w14:textId="77777777" w:rsidR="00181623" w:rsidRPr="00A73A56" w:rsidRDefault="00181623" w:rsidP="00BE08D8">
      <w:pPr>
        <w:spacing w:line="360" w:lineRule="auto"/>
        <w:jc w:val="both"/>
        <w:rPr>
          <w:rFonts w:ascii="Arial" w:hAnsi="Arial" w:cs="Arial"/>
          <w:color w:val="0D0D0D"/>
          <w:sz w:val="22"/>
          <w:szCs w:val="22"/>
        </w:rPr>
      </w:pPr>
    </w:p>
    <w:p w14:paraId="12ABF63A" w14:textId="77777777" w:rsidR="00BE08D8" w:rsidRPr="00A73A56" w:rsidRDefault="00181623" w:rsidP="00BE08D8">
      <w:pPr>
        <w:spacing w:line="360" w:lineRule="auto"/>
        <w:jc w:val="both"/>
        <w:rPr>
          <w:rFonts w:ascii="Arial" w:hAnsi="Arial" w:cs="Arial"/>
          <w:b/>
          <w:bCs/>
          <w:color w:val="0D0D0D"/>
          <w:sz w:val="22"/>
          <w:szCs w:val="22"/>
        </w:rPr>
      </w:pPr>
      <w:r w:rsidRPr="00A73A56">
        <w:rPr>
          <w:rFonts w:ascii="Arial" w:hAnsi="Arial" w:cs="Arial"/>
          <w:b/>
          <w:bCs/>
          <w:color w:val="0D0D0D"/>
          <w:sz w:val="22"/>
          <w:szCs w:val="22"/>
        </w:rPr>
        <w:t>2.</w:t>
      </w:r>
      <w:r w:rsidR="00BE08D8" w:rsidRPr="00A73A56">
        <w:rPr>
          <w:rFonts w:ascii="Arial" w:hAnsi="Arial" w:cs="Arial"/>
          <w:b/>
          <w:bCs/>
          <w:color w:val="0D0D0D"/>
          <w:sz w:val="22"/>
          <w:szCs w:val="22"/>
        </w:rPr>
        <w:t xml:space="preserve">1. El momento a partir del cual se inicia el </w:t>
      </w:r>
      <w:r w:rsidR="00827203" w:rsidRPr="00A73A56">
        <w:rPr>
          <w:rFonts w:ascii="Arial" w:hAnsi="Arial" w:cs="Arial"/>
          <w:b/>
          <w:bCs/>
          <w:color w:val="0D0D0D"/>
          <w:sz w:val="22"/>
          <w:szCs w:val="22"/>
        </w:rPr>
        <w:t>cómputo</w:t>
      </w:r>
      <w:r w:rsidR="00BE08D8" w:rsidRPr="00A73A56">
        <w:rPr>
          <w:rFonts w:ascii="Arial" w:hAnsi="Arial" w:cs="Arial"/>
          <w:b/>
          <w:bCs/>
          <w:color w:val="0D0D0D"/>
          <w:sz w:val="22"/>
          <w:szCs w:val="22"/>
        </w:rPr>
        <w:t xml:space="preserve"> de la </w:t>
      </w:r>
      <w:r w:rsidR="00827203" w:rsidRPr="00A73A56">
        <w:rPr>
          <w:rFonts w:ascii="Arial" w:hAnsi="Arial" w:cs="Arial"/>
          <w:b/>
          <w:bCs/>
          <w:color w:val="0D0D0D"/>
          <w:sz w:val="22"/>
          <w:szCs w:val="22"/>
        </w:rPr>
        <w:t>caducidad del medio de control de</w:t>
      </w:r>
      <w:r w:rsidR="00BE08D8" w:rsidRPr="00A73A56">
        <w:rPr>
          <w:rFonts w:ascii="Arial" w:hAnsi="Arial" w:cs="Arial"/>
          <w:b/>
          <w:bCs/>
          <w:color w:val="0D0D0D"/>
          <w:sz w:val="22"/>
          <w:szCs w:val="22"/>
        </w:rPr>
        <w:t xml:space="preserve"> controversias contractuales, especialmente cuando se está ante </w:t>
      </w:r>
      <w:r w:rsidRPr="00A73A56">
        <w:rPr>
          <w:rFonts w:ascii="Arial" w:hAnsi="Arial" w:cs="Arial"/>
          <w:b/>
          <w:bCs/>
          <w:color w:val="0D0D0D"/>
          <w:sz w:val="22"/>
          <w:szCs w:val="22"/>
        </w:rPr>
        <w:t>una solicitud de nulidad absoluta del contrato</w:t>
      </w:r>
      <w:r w:rsidR="00BE08D8" w:rsidRPr="00A73A56">
        <w:rPr>
          <w:rStyle w:val="Refdenotaalpie"/>
          <w:rFonts w:ascii="Arial" w:hAnsi="Arial" w:cs="Arial"/>
          <w:b/>
          <w:bCs/>
          <w:color w:val="0D0D0D"/>
          <w:sz w:val="22"/>
          <w:szCs w:val="22"/>
        </w:rPr>
        <w:footnoteReference w:id="23"/>
      </w:r>
      <w:r w:rsidR="00BE08D8" w:rsidRPr="00A73A56">
        <w:rPr>
          <w:rFonts w:ascii="Arial" w:hAnsi="Arial" w:cs="Arial"/>
          <w:b/>
          <w:bCs/>
          <w:color w:val="0D0D0D"/>
          <w:sz w:val="22"/>
          <w:szCs w:val="22"/>
        </w:rPr>
        <w:t xml:space="preserve">. </w:t>
      </w:r>
    </w:p>
    <w:p w14:paraId="6A11DD5E" w14:textId="77777777" w:rsidR="00827203" w:rsidRPr="00A73A56" w:rsidRDefault="00827203" w:rsidP="009A4988">
      <w:pPr>
        <w:spacing w:line="360" w:lineRule="auto"/>
        <w:jc w:val="both"/>
        <w:rPr>
          <w:rFonts w:ascii="Arial" w:hAnsi="Arial" w:cs="Arial"/>
          <w:color w:val="0D0D0D"/>
          <w:sz w:val="16"/>
          <w:szCs w:val="22"/>
        </w:rPr>
      </w:pPr>
    </w:p>
    <w:p w14:paraId="4A66583B" w14:textId="77777777" w:rsidR="009A4988" w:rsidRPr="00A73A56" w:rsidRDefault="00BE08D8" w:rsidP="009A4988">
      <w:pPr>
        <w:spacing w:line="360" w:lineRule="auto"/>
        <w:jc w:val="both"/>
        <w:rPr>
          <w:rFonts w:ascii="Arial" w:hAnsi="Arial" w:cs="Arial"/>
          <w:color w:val="0D0D0D"/>
          <w:sz w:val="22"/>
          <w:szCs w:val="22"/>
        </w:rPr>
      </w:pPr>
      <w:r w:rsidRPr="00A73A56">
        <w:rPr>
          <w:rFonts w:ascii="Arial" w:hAnsi="Arial" w:cs="Arial"/>
          <w:color w:val="0D0D0D"/>
          <w:sz w:val="22"/>
          <w:szCs w:val="22"/>
        </w:rPr>
        <w:t xml:space="preserve">En primer lugar, </w:t>
      </w:r>
      <w:r w:rsidR="00181623" w:rsidRPr="00A73A56">
        <w:rPr>
          <w:rFonts w:ascii="Arial" w:hAnsi="Arial" w:cs="Arial"/>
          <w:color w:val="0D0D0D"/>
          <w:sz w:val="22"/>
          <w:szCs w:val="22"/>
        </w:rPr>
        <w:t xml:space="preserve">la Sala </w:t>
      </w:r>
      <w:r w:rsidR="009A4988" w:rsidRPr="00A73A56">
        <w:rPr>
          <w:rFonts w:ascii="Arial" w:hAnsi="Arial" w:cs="Arial"/>
          <w:color w:val="0D0D0D"/>
          <w:sz w:val="22"/>
          <w:szCs w:val="22"/>
        </w:rPr>
        <w:t>resalta que de conformidad con lo preceptuado en el artículo 624 del Código General del Proceso, por medio del cual modificó el artículo 40 de la Ley 153 de 1887, dispuso que las leyes concernientes a la sustanciación y ritualidad de los juicios prevalecían sobre las anteriores desde el momento en que empiezan a regir, no obstante, precisó que los términos que hubieren iniciado a correr se rigen por las leyes vigentes de cuando empezaron a correr los términos.</w:t>
      </w:r>
    </w:p>
    <w:p w14:paraId="5353BDA7" w14:textId="77777777" w:rsidR="00692FA7" w:rsidRPr="00A73A56" w:rsidRDefault="00692FA7" w:rsidP="00DD2F13">
      <w:pPr>
        <w:spacing w:line="360" w:lineRule="auto"/>
        <w:jc w:val="both"/>
        <w:rPr>
          <w:rFonts w:ascii="Arial" w:hAnsi="Arial" w:cs="Arial"/>
          <w:color w:val="0D0D0D"/>
          <w:sz w:val="22"/>
          <w:szCs w:val="22"/>
        </w:rPr>
      </w:pPr>
    </w:p>
    <w:p w14:paraId="4E9F90ED" w14:textId="77777777" w:rsidR="00D707C4" w:rsidRPr="00A73A56" w:rsidRDefault="009D5E19" w:rsidP="009D5E19">
      <w:pPr>
        <w:spacing w:line="360" w:lineRule="auto"/>
        <w:jc w:val="both"/>
        <w:rPr>
          <w:rFonts w:ascii="Arial" w:eastAsia="Calibri" w:hAnsi="Arial" w:cs="Arial"/>
          <w:color w:val="0D0D0D"/>
          <w:sz w:val="22"/>
          <w:szCs w:val="22"/>
          <w:lang w:eastAsia="en-US"/>
        </w:rPr>
      </w:pPr>
      <w:r w:rsidRPr="00A73A56">
        <w:rPr>
          <w:rFonts w:ascii="Arial" w:eastAsia="Calibri" w:hAnsi="Arial" w:cs="Arial"/>
          <w:color w:val="0D0D0D"/>
          <w:sz w:val="22"/>
          <w:szCs w:val="22"/>
          <w:lang w:eastAsia="en-US"/>
        </w:rPr>
        <w:t>Así las cosas, es menester determinar las normas vigentes aplicables</w:t>
      </w:r>
      <w:r w:rsidR="00176ECF" w:rsidRPr="00A73A56">
        <w:rPr>
          <w:rFonts w:ascii="Arial" w:eastAsia="Calibri" w:hAnsi="Arial" w:cs="Arial"/>
          <w:color w:val="0D0D0D"/>
          <w:sz w:val="22"/>
          <w:szCs w:val="22"/>
          <w:lang w:eastAsia="en-US"/>
        </w:rPr>
        <w:t>, en lo que hace al término de caducidad,</w:t>
      </w:r>
      <w:r w:rsidRPr="00A73A56">
        <w:rPr>
          <w:rFonts w:ascii="Arial" w:eastAsia="Calibri" w:hAnsi="Arial" w:cs="Arial"/>
          <w:color w:val="0D0D0D"/>
          <w:sz w:val="22"/>
          <w:szCs w:val="22"/>
          <w:lang w:eastAsia="en-US"/>
        </w:rPr>
        <w:t xml:space="preserve"> </w:t>
      </w:r>
      <w:r w:rsidR="00176ECF" w:rsidRPr="00A73A56">
        <w:rPr>
          <w:rFonts w:ascii="Arial" w:eastAsia="Calibri" w:hAnsi="Arial" w:cs="Arial"/>
          <w:color w:val="0D0D0D"/>
          <w:sz w:val="22"/>
          <w:szCs w:val="22"/>
          <w:lang w:eastAsia="en-US"/>
        </w:rPr>
        <w:t xml:space="preserve">al contrato de concesión minera celebrado </w:t>
      </w:r>
      <w:r w:rsidR="008C196E" w:rsidRPr="00A73A56">
        <w:rPr>
          <w:rFonts w:ascii="Arial" w:eastAsia="Calibri" w:hAnsi="Arial" w:cs="Arial"/>
          <w:color w:val="0D0D0D"/>
          <w:sz w:val="22"/>
          <w:szCs w:val="22"/>
          <w:lang w:eastAsia="en-US"/>
        </w:rPr>
        <w:t>y perfeccionado entre las partes</w:t>
      </w:r>
      <w:r w:rsidRPr="00A73A56">
        <w:rPr>
          <w:rFonts w:ascii="Arial" w:eastAsia="Calibri" w:hAnsi="Arial" w:cs="Arial"/>
          <w:color w:val="0D0D0D"/>
          <w:sz w:val="22"/>
          <w:szCs w:val="22"/>
          <w:lang w:eastAsia="en-US"/>
        </w:rPr>
        <w:t>, las cuales se determinan al momento de su iniciación, según el caso y de conformidad con el artículo 40 de la Ley 153 de 1887 que dispone: “</w:t>
      </w:r>
      <w:r w:rsidRPr="00A73A56">
        <w:rPr>
          <w:rFonts w:ascii="Arial" w:eastAsia="Calibri" w:hAnsi="Arial" w:cs="Arial"/>
          <w:i/>
          <w:color w:val="0D0D0D"/>
          <w:sz w:val="22"/>
          <w:szCs w:val="22"/>
          <w:lang w:eastAsia="en-US"/>
        </w:rPr>
        <w:t xml:space="preserve">las leyes concernientes a la sustanciación y ritualidad de los juicios prevalecen sobre las anteriores desde el momento en que deben empezar a regir. </w:t>
      </w:r>
      <w:r w:rsidRPr="00A73A56">
        <w:rPr>
          <w:rFonts w:ascii="Arial" w:eastAsia="Calibri" w:hAnsi="Arial" w:cs="Arial"/>
          <w:b/>
          <w:i/>
          <w:color w:val="0D0D0D"/>
          <w:sz w:val="22"/>
          <w:szCs w:val="22"/>
          <w:lang w:eastAsia="en-US"/>
        </w:rPr>
        <w:t xml:space="preserve">Pero los términos que hubieren empezado a correr, y las actuaciones y diligencias que ya estuvieren iniciadas, se regirán por la ley vigente al tiempo de su iniciación” </w:t>
      </w:r>
      <w:r w:rsidRPr="00A73A56">
        <w:rPr>
          <w:rFonts w:ascii="Arial" w:eastAsia="Calibri" w:hAnsi="Arial" w:cs="Arial"/>
          <w:color w:val="0D0D0D"/>
          <w:sz w:val="22"/>
          <w:szCs w:val="22"/>
          <w:lang w:eastAsia="en-US"/>
        </w:rPr>
        <w:t xml:space="preserve">(resaltado propio). </w:t>
      </w:r>
    </w:p>
    <w:p w14:paraId="5A87A518" w14:textId="77777777" w:rsidR="00D707C4" w:rsidRPr="00A73A56" w:rsidRDefault="00D707C4" w:rsidP="009D5E19">
      <w:pPr>
        <w:spacing w:line="360" w:lineRule="auto"/>
        <w:jc w:val="both"/>
        <w:rPr>
          <w:rFonts w:ascii="Arial" w:eastAsia="Calibri" w:hAnsi="Arial" w:cs="Arial"/>
          <w:color w:val="0D0D0D"/>
          <w:sz w:val="22"/>
          <w:szCs w:val="22"/>
          <w:lang w:eastAsia="en-US"/>
        </w:rPr>
      </w:pPr>
    </w:p>
    <w:p w14:paraId="20D5711F" w14:textId="77777777" w:rsidR="009D5E19" w:rsidRPr="00A73A56" w:rsidRDefault="009D5E19" w:rsidP="009D5E19">
      <w:pPr>
        <w:spacing w:line="360" w:lineRule="auto"/>
        <w:jc w:val="both"/>
        <w:rPr>
          <w:rFonts w:ascii="Arial" w:eastAsia="Calibri" w:hAnsi="Arial" w:cs="Arial"/>
          <w:color w:val="0D0D0D"/>
          <w:sz w:val="22"/>
          <w:szCs w:val="22"/>
          <w:lang w:eastAsia="en-US"/>
        </w:rPr>
      </w:pPr>
      <w:r w:rsidRPr="00A73A56">
        <w:rPr>
          <w:rFonts w:ascii="Arial" w:eastAsia="Calibri" w:hAnsi="Arial" w:cs="Arial"/>
          <w:color w:val="0D0D0D"/>
          <w:sz w:val="22"/>
          <w:szCs w:val="22"/>
          <w:lang w:eastAsia="en-US"/>
        </w:rPr>
        <w:t>En otras palabras, el término de caducidad se contará de acuerdo a la ley vigente al momento de su iniciación, sin que se altere ello por el hecho de que la acción contenciosa sea entablada en vigencia de otra legislación procesal, pues en tal evento esa última gobernará todas las cuestiones procesales de rigor a excepción de la caducidad en razón a que ese término principió en época anterior a la nueva ley y por elementales razones de seguridad jurídica y de aplicación del artículo 40 de la Ley 153 de 1887 se impone su observancia preferente</w:t>
      </w:r>
      <w:r w:rsidR="00176ECF" w:rsidRPr="00A73A56">
        <w:rPr>
          <w:rStyle w:val="Refdenotaalpie"/>
          <w:rFonts w:ascii="Arial" w:eastAsia="Calibri" w:hAnsi="Arial" w:cs="Arial"/>
          <w:color w:val="0D0D0D"/>
          <w:sz w:val="22"/>
          <w:szCs w:val="22"/>
          <w:lang w:eastAsia="en-US"/>
        </w:rPr>
        <w:footnoteReference w:id="24"/>
      </w:r>
      <w:r w:rsidRPr="00A73A56">
        <w:rPr>
          <w:rFonts w:ascii="Arial" w:eastAsia="Calibri" w:hAnsi="Arial" w:cs="Arial"/>
          <w:color w:val="0D0D0D"/>
          <w:sz w:val="22"/>
          <w:szCs w:val="22"/>
          <w:lang w:eastAsia="en-US"/>
        </w:rPr>
        <w:t>.</w:t>
      </w:r>
    </w:p>
    <w:p w14:paraId="37617F37" w14:textId="77777777" w:rsidR="006D522B" w:rsidRPr="00A73A56" w:rsidRDefault="006D522B" w:rsidP="00BE08D8">
      <w:pPr>
        <w:pStyle w:val="NormalWeb"/>
        <w:shd w:val="clear" w:color="auto" w:fill="FFFFFF"/>
        <w:spacing w:before="2" w:after="2" w:line="360" w:lineRule="auto"/>
        <w:jc w:val="both"/>
        <w:textAlignment w:val="baseline"/>
        <w:rPr>
          <w:rFonts w:ascii="Arial" w:hAnsi="Arial" w:cs="Arial"/>
          <w:bCs/>
          <w:color w:val="0D0D0D"/>
          <w:sz w:val="22"/>
          <w:szCs w:val="22"/>
        </w:rPr>
      </w:pPr>
    </w:p>
    <w:p w14:paraId="325A295D" w14:textId="77777777" w:rsidR="002640B9" w:rsidRPr="00A73A56" w:rsidRDefault="002640B9" w:rsidP="002640B9">
      <w:pPr>
        <w:spacing w:line="360" w:lineRule="auto"/>
        <w:jc w:val="both"/>
        <w:rPr>
          <w:rFonts w:ascii="Arial" w:hAnsi="Arial" w:cs="Arial"/>
          <w:color w:val="0D0D0D"/>
          <w:sz w:val="22"/>
          <w:szCs w:val="22"/>
        </w:rPr>
      </w:pPr>
      <w:r w:rsidRPr="00A73A56">
        <w:rPr>
          <w:rFonts w:ascii="Arial" w:hAnsi="Arial" w:cs="Arial"/>
          <w:color w:val="0D0D0D"/>
          <w:sz w:val="22"/>
          <w:szCs w:val="22"/>
        </w:rPr>
        <w:t>Con fundamento en lo expuesto se tiene que el artículo 40 de la Ley 153 de 1887, debe ser aplicado de manera sistemática, habida cuenta que de manera especial y concordante con lo expuesto, preceptúa que en los contratos se entienden incorporadas las leyes vigentes al momento de su celebración, por lo que en el caso que nos ocupa se tiene que el contrato de concesión GE6- 143 se celebró el 9 de noviembre de 2006 y se perfeccionó el 22 de junio de 2007 cuando se efectuó el registro minero.</w:t>
      </w:r>
    </w:p>
    <w:p w14:paraId="47F19A18" w14:textId="77777777" w:rsidR="002640B9" w:rsidRPr="00A73A56" w:rsidRDefault="002640B9" w:rsidP="002640B9">
      <w:pPr>
        <w:spacing w:line="360" w:lineRule="auto"/>
        <w:jc w:val="both"/>
        <w:rPr>
          <w:rFonts w:ascii="Arial" w:hAnsi="Arial" w:cs="Arial"/>
          <w:color w:val="0D0D0D"/>
          <w:sz w:val="22"/>
          <w:szCs w:val="22"/>
        </w:rPr>
      </w:pPr>
    </w:p>
    <w:p w14:paraId="1AB1653C" w14:textId="77777777" w:rsidR="00D308A0" w:rsidRPr="00A73A56" w:rsidRDefault="002640B9" w:rsidP="000D125E">
      <w:pPr>
        <w:spacing w:line="360" w:lineRule="auto"/>
        <w:jc w:val="both"/>
        <w:rPr>
          <w:rFonts w:ascii="Arial" w:hAnsi="Arial" w:cs="Arial"/>
          <w:color w:val="0D0D0D"/>
          <w:sz w:val="22"/>
          <w:szCs w:val="22"/>
        </w:rPr>
      </w:pPr>
      <w:r w:rsidRPr="00A73A56">
        <w:rPr>
          <w:rFonts w:ascii="Arial" w:hAnsi="Arial" w:cs="Arial"/>
          <w:color w:val="0D0D0D"/>
          <w:sz w:val="22"/>
          <w:szCs w:val="22"/>
        </w:rPr>
        <w:lastRenderedPageBreak/>
        <w:t>En consecuencia, ha de entenderse que al referido contrato le son aplicables las disposiciones contenidas en el Decreto 01 de 1984</w:t>
      </w:r>
      <w:r w:rsidR="00A746CA" w:rsidRPr="00A73A56">
        <w:rPr>
          <w:rFonts w:ascii="Arial" w:hAnsi="Arial" w:cs="Arial"/>
          <w:color w:val="0D0D0D"/>
          <w:sz w:val="22"/>
          <w:szCs w:val="22"/>
        </w:rPr>
        <w:t xml:space="preserve">, norma que se encontraba vigente en el </w:t>
      </w:r>
      <w:r w:rsidRPr="00A73A56">
        <w:rPr>
          <w:rFonts w:ascii="Arial" w:hAnsi="Arial" w:cs="Arial"/>
          <w:color w:val="0D0D0D"/>
          <w:sz w:val="22"/>
          <w:szCs w:val="22"/>
        </w:rPr>
        <w:t>momento en que se celebró</w:t>
      </w:r>
      <w:r w:rsidR="00A746CA" w:rsidRPr="00A73A56">
        <w:rPr>
          <w:rFonts w:ascii="Arial" w:hAnsi="Arial" w:cs="Arial"/>
          <w:color w:val="0D0D0D"/>
          <w:sz w:val="22"/>
          <w:szCs w:val="22"/>
        </w:rPr>
        <w:t xml:space="preserve"> </w:t>
      </w:r>
      <w:r w:rsidR="00B30458" w:rsidRPr="00A73A56">
        <w:rPr>
          <w:rFonts w:ascii="Arial" w:hAnsi="Arial" w:cs="Arial"/>
          <w:color w:val="0D0D0D"/>
          <w:sz w:val="22"/>
          <w:szCs w:val="22"/>
        </w:rPr>
        <w:t>y perfeccionó el contrato de concesión GE6-</w:t>
      </w:r>
      <w:r w:rsidR="00A746CA" w:rsidRPr="00A73A56">
        <w:rPr>
          <w:rFonts w:ascii="Arial" w:hAnsi="Arial" w:cs="Arial"/>
          <w:color w:val="0D0D0D"/>
          <w:sz w:val="22"/>
          <w:szCs w:val="22"/>
        </w:rPr>
        <w:t>143</w:t>
      </w:r>
      <w:r w:rsidR="00B30458" w:rsidRPr="00A73A56">
        <w:rPr>
          <w:rFonts w:ascii="Arial" w:hAnsi="Arial" w:cs="Arial"/>
          <w:color w:val="0D0D0D"/>
          <w:sz w:val="22"/>
          <w:szCs w:val="22"/>
        </w:rPr>
        <w:t xml:space="preserve"> (22 de junio de 2007)</w:t>
      </w:r>
      <w:r w:rsidRPr="00A73A56">
        <w:rPr>
          <w:rFonts w:ascii="Arial" w:hAnsi="Arial" w:cs="Arial"/>
          <w:color w:val="0D0D0D"/>
          <w:sz w:val="22"/>
          <w:szCs w:val="22"/>
        </w:rPr>
        <w:t xml:space="preserve">, por lo expuesto se tendrán en cuenta las reglas que estableció </w:t>
      </w:r>
      <w:r w:rsidR="00B30458" w:rsidRPr="00A73A56">
        <w:rPr>
          <w:rFonts w:ascii="Arial" w:hAnsi="Arial" w:cs="Arial"/>
          <w:color w:val="0D0D0D"/>
          <w:sz w:val="22"/>
          <w:szCs w:val="22"/>
        </w:rPr>
        <w:t xml:space="preserve">esa legislación para </w:t>
      </w:r>
      <w:r w:rsidR="00355F44" w:rsidRPr="00A73A56">
        <w:rPr>
          <w:rFonts w:ascii="Arial" w:hAnsi="Arial" w:cs="Arial"/>
          <w:bCs/>
          <w:color w:val="0D0D0D"/>
          <w:sz w:val="22"/>
          <w:szCs w:val="22"/>
        </w:rPr>
        <w:t>contar el término de caducidad</w:t>
      </w:r>
      <w:r w:rsidR="00A746CA" w:rsidRPr="00A73A56">
        <w:rPr>
          <w:rFonts w:ascii="Arial" w:hAnsi="Arial" w:cs="Arial"/>
          <w:bCs/>
          <w:color w:val="0D0D0D"/>
          <w:sz w:val="22"/>
          <w:szCs w:val="22"/>
        </w:rPr>
        <w:t xml:space="preserve"> en</w:t>
      </w:r>
      <w:r w:rsidR="000D125E" w:rsidRPr="00A73A56">
        <w:rPr>
          <w:rFonts w:ascii="Arial" w:hAnsi="Arial" w:cs="Arial"/>
          <w:bCs/>
          <w:color w:val="0D0D0D"/>
          <w:sz w:val="22"/>
          <w:szCs w:val="22"/>
        </w:rPr>
        <w:t xml:space="preserve"> el </w:t>
      </w:r>
      <w:r w:rsidR="00A746CA" w:rsidRPr="00A73A56">
        <w:rPr>
          <w:rFonts w:ascii="Arial" w:hAnsi="Arial" w:cs="Arial"/>
          <w:bCs/>
          <w:color w:val="0D0D0D"/>
          <w:sz w:val="22"/>
          <w:szCs w:val="22"/>
        </w:rPr>
        <w:t xml:space="preserve">numeral 10 del literal e) </w:t>
      </w:r>
      <w:r w:rsidR="000D125E" w:rsidRPr="00A73A56">
        <w:rPr>
          <w:rFonts w:ascii="Arial" w:hAnsi="Arial" w:cs="Arial"/>
          <w:bCs/>
          <w:color w:val="0D0D0D"/>
          <w:sz w:val="22"/>
          <w:szCs w:val="22"/>
        </w:rPr>
        <w:t>artículo 136</w:t>
      </w:r>
      <w:r w:rsidR="00A746CA" w:rsidRPr="00A73A56">
        <w:rPr>
          <w:rFonts w:ascii="Arial" w:hAnsi="Arial" w:cs="Arial"/>
          <w:bCs/>
          <w:color w:val="0D0D0D"/>
          <w:sz w:val="22"/>
          <w:szCs w:val="22"/>
        </w:rPr>
        <w:t xml:space="preserve"> que </w:t>
      </w:r>
      <w:r w:rsidR="000D125E" w:rsidRPr="00A73A56">
        <w:rPr>
          <w:rFonts w:ascii="Arial" w:hAnsi="Arial" w:cs="Arial"/>
          <w:bCs/>
          <w:color w:val="0D0D0D"/>
          <w:sz w:val="22"/>
          <w:szCs w:val="22"/>
        </w:rPr>
        <w:t>establece que cuando se pretenda la nulidad absoluta del contrato se podrá solicitar a los dos (2) años siguientes a su perfeccionamiento y dado el caso que el término de la vigencia del contrato cuya nulidad se pretende fuere superior a dos (2) años, el término de caducidad será igual al de su vigencia, sin que en ningún caso exceda de cinco (5) años.</w:t>
      </w:r>
      <w:r w:rsidR="004E449C" w:rsidRPr="00A73A56">
        <w:rPr>
          <w:rFonts w:ascii="Arial" w:hAnsi="Arial" w:cs="Arial"/>
          <w:bCs/>
          <w:color w:val="0D0D0D"/>
          <w:sz w:val="22"/>
          <w:szCs w:val="22"/>
        </w:rPr>
        <w:t xml:space="preserve"> </w:t>
      </w:r>
    </w:p>
    <w:p w14:paraId="22857276" w14:textId="77777777" w:rsidR="00D308A0" w:rsidRPr="00A73A56" w:rsidRDefault="00D308A0" w:rsidP="000D125E">
      <w:pPr>
        <w:spacing w:line="360" w:lineRule="auto"/>
        <w:jc w:val="both"/>
        <w:rPr>
          <w:rFonts w:ascii="Arial" w:hAnsi="Arial" w:cs="Arial"/>
          <w:bCs/>
          <w:color w:val="0D0D0D"/>
          <w:sz w:val="22"/>
          <w:szCs w:val="22"/>
        </w:rPr>
      </w:pPr>
    </w:p>
    <w:p w14:paraId="7484CD2A" w14:textId="77777777" w:rsidR="00A746CA" w:rsidRPr="00A73A56" w:rsidRDefault="004E449C" w:rsidP="000D125E">
      <w:pPr>
        <w:spacing w:line="360" w:lineRule="auto"/>
        <w:jc w:val="both"/>
        <w:rPr>
          <w:rFonts w:ascii="Arial" w:hAnsi="Arial" w:cs="Arial"/>
          <w:bCs/>
          <w:color w:val="0D0D0D"/>
          <w:sz w:val="22"/>
          <w:szCs w:val="22"/>
        </w:rPr>
      </w:pPr>
      <w:r w:rsidRPr="00A73A56">
        <w:rPr>
          <w:rFonts w:ascii="Arial" w:hAnsi="Arial" w:cs="Arial"/>
          <w:bCs/>
          <w:color w:val="0D0D0D"/>
          <w:sz w:val="22"/>
          <w:szCs w:val="22"/>
        </w:rPr>
        <w:t xml:space="preserve">Lo anterior sin perjuicio que la demanda hubiere sido formulada ya en vigencia de la Ley 1437 de 2011, pues esta última normativa procedimental regirá todo cuanto concierne a la ritualidad de ese juicio contencioso a excepción del ámbito de la caducidad </w:t>
      </w:r>
      <w:r w:rsidR="00D308A0" w:rsidRPr="00A73A56">
        <w:rPr>
          <w:rFonts w:ascii="Arial" w:hAnsi="Arial" w:cs="Arial"/>
          <w:bCs/>
          <w:color w:val="0D0D0D"/>
          <w:sz w:val="22"/>
          <w:szCs w:val="22"/>
        </w:rPr>
        <w:t xml:space="preserve">del medio de control </w:t>
      </w:r>
      <w:r w:rsidRPr="00A73A56">
        <w:rPr>
          <w:rFonts w:ascii="Arial" w:hAnsi="Arial" w:cs="Arial"/>
          <w:bCs/>
          <w:color w:val="0D0D0D"/>
          <w:sz w:val="22"/>
          <w:szCs w:val="22"/>
        </w:rPr>
        <w:t>pues esta principió en vigencia de la antigua legislación la cual, por expreso mandato de la Ley 153 de 1887, tiene aplicación ultractiva en esta especial situación tratada.</w:t>
      </w:r>
    </w:p>
    <w:p w14:paraId="25BFBC38" w14:textId="77777777" w:rsidR="00B30458" w:rsidRPr="00A73A56" w:rsidRDefault="00B30458" w:rsidP="0068772A">
      <w:pPr>
        <w:spacing w:line="360" w:lineRule="auto"/>
        <w:jc w:val="both"/>
        <w:rPr>
          <w:rFonts w:ascii="Arial" w:hAnsi="Arial" w:cs="Arial"/>
          <w:b/>
          <w:bCs/>
          <w:color w:val="0D0D0D"/>
          <w:sz w:val="22"/>
          <w:szCs w:val="22"/>
        </w:rPr>
      </w:pPr>
    </w:p>
    <w:p w14:paraId="47A482D7" w14:textId="77777777" w:rsidR="00FF654A" w:rsidRPr="00A73A56" w:rsidRDefault="00A746CA" w:rsidP="0068772A">
      <w:pPr>
        <w:spacing w:line="360" w:lineRule="auto"/>
        <w:jc w:val="both"/>
        <w:rPr>
          <w:rFonts w:ascii="Arial" w:hAnsi="Arial" w:cs="Arial"/>
          <w:b/>
          <w:bCs/>
          <w:color w:val="0D0D0D"/>
          <w:sz w:val="22"/>
          <w:szCs w:val="22"/>
        </w:rPr>
      </w:pPr>
      <w:r w:rsidRPr="00A73A56">
        <w:rPr>
          <w:rFonts w:ascii="Arial" w:hAnsi="Arial" w:cs="Arial"/>
          <w:b/>
          <w:bCs/>
          <w:color w:val="0D0D0D"/>
          <w:sz w:val="22"/>
          <w:szCs w:val="22"/>
        </w:rPr>
        <w:t>3</w:t>
      </w:r>
      <w:r w:rsidR="00B30458" w:rsidRPr="00A73A56">
        <w:rPr>
          <w:rFonts w:ascii="Arial" w:hAnsi="Arial" w:cs="Arial"/>
          <w:b/>
          <w:bCs/>
          <w:color w:val="0D0D0D"/>
          <w:sz w:val="22"/>
          <w:szCs w:val="22"/>
        </w:rPr>
        <w:t>.-</w:t>
      </w:r>
      <w:r w:rsidR="0075052A" w:rsidRPr="00A73A56">
        <w:rPr>
          <w:rFonts w:ascii="Arial" w:hAnsi="Arial" w:cs="Arial"/>
          <w:b/>
          <w:bCs/>
          <w:color w:val="0D0D0D"/>
          <w:sz w:val="22"/>
          <w:szCs w:val="22"/>
        </w:rPr>
        <w:t xml:space="preserve"> </w:t>
      </w:r>
      <w:r w:rsidR="00FF654A" w:rsidRPr="00A73A56">
        <w:rPr>
          <w:rFonts w:ascii="Arial" w:hAnsi="Arial" w:cs="Arial"/>
          <w:b/>
          <w:bCs/>
          <w:color w:val="0D0D0D"/>
          <w:sz w:val="22"/>
          <w:szCs w:val="22"/>
        </w:rPr>
        <w:t xml:space="preserve">El caso concreto. </w:t>
      </w:r>
    </w:p>
    <w:p w14:paraId="0D3C4B6C" w14:textId="77777777" w:rsidR="00E42212" w:rsidRPr="00A73A56" w:rsidRDefault="00E42212" w:rsidP="0068772A">
      <w:pPr>
        <w:spacing w:line="360" w:lineRule="auto"/>
        <w:jc w:val="both"/>
        <w:rPr>
          <w:rFonts w:ascii="Arial" w:hAnsi="Arial" w:cs="Arial"/>
          <w:b/>
          <w:bCs/>
          <w:color w:val="0D0D0D"/>
          <w:sz w:val="22"/>
          <w:szCs w:val="22"/>
        </w:rPr>
      </w:pPr>
    </w:p>
    <w:p w14:paraId="5D26357D" w14:textId="77777777" w:rsidR="00E42212" w:rsidRPr="00A73A56" w:rsidRDefault="00E42212" w:rsidP="00D707C4">
      <w:pPr>
        <w:widowControl w:val="0"/>
        <w:spacing w:line="360" w:lineRule="auto"/>
        <w:jc w:val="both"/>
        <w:rPr>
          <w:rFonts w:ascii="Arial" w:hAnsi="Arial" w:cs="Arial"/>
          <w:color w:val="0D0D0D"/>
          <w:sz w:val="22"/>
          <w:szCs w:val="22"/>
        </w:rPr>
      </w:pPr>
      <w:r w:rsidRPr="00A73A56">
        <w:rPr>
          <w:rFonts w:ascii="Arial" w:hAnsi="Arial" w:cs="Arial"/>
          <w:color w:val="0D0D0D"/>
          <w:sz w:val="22"/>
          <w:szCs w:val="22"/>
        </w:rPr>
        <w:t xml:space="preserve">En el </w:t>
      </w:r>
      <w:r w:rsidRPr="00A73A56">
        <w:rPr>
          <w:rFonts w:ascii="Arial" w:hAnsi="Arial" w:cs="Arial"/>
          <w:i/>
          <w:color w:val="0D0D0D"/>
          <w:sz w:val="22"/>
          <w:szCs w:val="22"/>
        </w:rPr>
        <w:t>sub lite</w:t>
      </w:r>
      <w:r w:rsidRPr="00A73A56">
        <w:rPr>
          <w:rFonts w:ascii="Arial" w:hAnsi="Arial" w:cs="Arial"/>
          <w:color w:val="0D0D0D"/>
          <w:sz w:val="22"/>
          <w:szCs w:val="22"/>
        </w:rPr>
        <w:t xml:space="preserve">, </w:t>
      </w:r>
      <w:r w:rsidR="000C4F2A" w:rsidRPr="00A73A56">
        <w:rPr>
          <w:rFonts w:ascii="Arial" w:hAnsi="Arial" w:cs="Arial"/>
          <w:color w:val="0D0D0D"/>
          <w:sz w:val="22"/>
          <w:szCs w:val="22"/>
        </w:rPr>
        <w:t xml:space="preserve">procede analizar si el medio de control de controversias contractuales se encuentra caducado con fundamento en la ley aplicable esta es </w:t>
      </w:r>
      <w:r w:rsidR="004164E3" w:rsidRPr="00A73A56">
        <w:rPr>
          <w:rFonts w:ascii="Arial" w:hAnsi="Arial" w:cs="Arial"/>
          <w:color w:val="0D0D0D"/>
          <w:sz w:val="22"/>
          <w:szCs w:val="22"/>
        </w:rPr>
        <w:t xml:space="preserve">el literal e) numeral 10) del artículo 136 del Decreto 01 de 1984 </w:t>
      </w:r>
      <w:r w:rsidRPr="00A73A56">
        <w:rPr>
          <w:rFonts w:ascii="Arial" w:hAnsi="Arial" w:cs="Arial"/>
          <w:color w:val="0D0D0D"/>
          <w:sz w:val="22"/>
          <w:szCs w:val="22"/>
        </w:rPr>
        <w:t>de conformidad con lo preceptuado en el artículo 624 del Código General del Proceso, por medio del cual modificó el artículo 40 de la Ley 153 de 1887, dispuso que las leyes concernientes a la sustanciación y ritualidad de los juicios prevalecían sobre las anteriores desde el momento en que empiezan a regir, no obstante, precisó que los términos que hubieren iniciado a correr se rigen por las leyes vigentes de cuando empezaron a correr los términos.</w:t>
      </w:r>
    </w:p>
    <w:p w14:paraId="1DDEF2A6" w14:textId="77777777" w:rsidR="00E42212" w:rsidRPr="00A73A56" w:rsidRDefault="00E42212" w:rsidP="00E42212">
      <w:pPr>
        <w:spacing w:line="360" w:lineRule="auto"/>
        <w:jc w:val="both"/>
        <w:rPr>
          <w:rFonts w:ascii="Arial" w:hAnsi="Arial" w:cs="Arial"/>
          <w:color w:val="0D0D0D"/>
          <w:sz w:val="22"/>
          <w:szCs w:val="22"/>
        </w:rPr>
      </w:pPr>
    </w:p>
    <w:p w14:paraId="0D0F95E9" w14:textId="77777777" w:rsidR="00517E5B" w:rsidRPr="00A73A56" w:rsidRDefault="00E42212" w:rsidP="00E42212">
      <w:pPr>
        <w:spacing w:line="360" w:lineRule="auto"/>
        <w:jc w:val="both"/>
        <w:rPr>
          <w:rFonts w:ascii="Arial" w:hAnsi="Arial" w:cs="Arial"/>
          <w:color w:val="0D0D0D"/>
          <w:sz w:val="22"/>
          <w:szCs w:val="22"/>
        </w:rPr>
      </w:pPr>
      <w:r w:rsidRPr="00A73A56">
        <w:rPr>
          <w:rFonts w:ascii="Arial" w:hAnsi="Arial" w:cs="Arial"/>
          <w:color w:val="0D0D0D"/>
          <w:sz w:val="22"/>
          <w:szCs w:val="22"/>
        </w:rPr>
        <w:t xml:space="preserve">Acorde con lo anterior, en el presente asunto </w:t>
      </w:r>
      <w:r w:rsidR="004164E3" w:rsidRPr="00A73A56">
        <w:rPr>
          <w:rFonts w:ascii="Arial" w:hAnsi="Arial" w:cs="Arial"/>
          <w:color w:val="0D0D0D"/>
          <w:sz w:val="22"/>
          <w:szCs w:val="22"/>
        </w:rPr>
        <w:t xml:space="preserve">encuentra la Sala que el contrato de concesión para la exploración y explotación de materiales de construcciones y demás minerales concesibles Nº GE6-143 celebrado entre el Instituto Colombiano de Geología y Minería – INGEOMINAS- Y Mario Fernando Mendoza fue suscrito el 9 de noviembre de 2006, en el mismo se estableció en la cláusula cuarta que la duración del contrato será de treinta (30) años contados a partir de la fecha de </w:t>
      </w:r>
      <w:r w:rsidR="00351EC7" w:rsidRPr="00A73A56">
        <w:rPr>
          <w:rFonts w:ascii="Arial" w:hAnsi="Arial" w:cs="Arial"/>
          <w:color w:val="0D0D0D"/>
          <w:sz w:val="22"/>
          <w:szCs w:val="22"/>
        </w:rPr>
        <w:t>inscripción en el Registro Minero Nacional</w:t>
      </w:r>
      <w:r w:rsidR="004164E3" w:rsidRPr="00A73A56">
        <w:rPr>
          <w:rStyle w:val="Refdenotaalpie"/>
          <w:rFonts w:ascii="Arial" w:hAnsi="Arial" w:cs="Arial"/>
          <w:color w:val="0D0D0D"/>
          <w:sz w:val="22"/>
          <w:szCs w:val="22"/>
        </w:rPr>
        <w:footnoteReference w:id="25"/>
      </w:r>
      <w:r w:rsidR="004164E3" w:rsidRPr="00A73A56">
        <w:rPr>
          <w:rFonts w:ascii="Arial" w:hAnsi="Arial" w:cs="Arial"/>
          <w:color w:val="0D0D0D"/>
          <w:sz w:val="22"/>
          <w:szCs w:val="22"/>
        </w:rPr>
        <w:t xml:space="preserve"> </w:t>
      </w:r>
      <w:r w:rsidR="00492EA0" w:rsidRPr="00A73A56">
        <w:rPr>
          <w:rFonts w:ascii="Arial" w:hAnsi="Arial" w:cs="Arial"/>
          <w:color w:val="0D0D0D"/>
          <w:sz w:val="22"/>
          <w:szCs w:val="22"/>
        </w:rPr>
        <w:t xml:space="preserve">que se </w:t>
      </w:r>
      <w:r w:rsidR="004164E3" w:rsidRPr="00A73A56">
        <w:rPr>
          <w:rFonts w:ascii="Arial" w:hAnsi="Arial" w:cs="Arial"/>
          <w:color w:val="0D0D0D"/>
          <w:sz w:val="22"/>
          <w:szCs w:val="22"/>
        </w:rPr>
        <w:t xml:space="preserve">realizó </w:t>
      </w:r>
      <w:r w:rsidR="00351EC7" w:rsidRPr="00A73A56">
        <w:rPr>
          <w:rFonts w:ascii="Arial" w:hAnsi="Arial" w:cs="Arial"/>
          <w:color w:val="0D0D0D"/>
          <w:sz w:val="22"/>
          <w:szCs w:val="22"/>
        </w:rPr>
        <w:t>el</w:t>
      </w:r>
      <w:r w:rsidR="004164E3" w:rsidRPr="00A73A56">
        <w:rPr>
          <w:rFonts w:ascii="Arial" w:hAnsi="Arial" w:cs="Arial"/>
          <w:color w:val="0D0D0D"/>
          <w:sz w:val="22"/>
          <w:szCs w:val="22"/>
        </w:rPr>
        <w:t xml:space="preserve"> </w:t>
      </w:r>
      <w:r w:rsidR="00AE0C88" w:rsidRPr="00A73A56">
        <w:rPr>
          <w:rFonts w:ascii="Arial" w:hAnsi="Arial" w:cs="Arial"/>
          <w:color w:val="0D0D0D"/>
          <w:sz w:val="22"/>
          <w:szCs w:val="22"/>
        </w:rPr>
        <w:t xml:space="preserve">22 de </w:t>
      </w:r>
      <w:r w:rsidR="00351EC7" w:rsidRPr="00A73A56">
        <w:rPr>
          <w:rFonts w:ascii="Arial" w:hAnsi="Arial" w:cs="Arial"/>
          <w:color w:val="0D0D0D"/>
          <w:sz w:val="22"/>
          <w:szCs w:val="22"/>
        </w:rPr>
        <w:t xml:space="preserve">junio </w:t>
      </w:r>
      <w:r w:rsidR="00AE0C88" w:rsidRPr="00A73A56">
        <w:rPr>
          <w:rFonts w:ascii="Arial" w:hAnsi="Arial" w:cs="Arial"/>
          <w:color w:val="0D0D0D"/>
          <w:sz w:val="22"/>
          <w:szCs w:val="22"/>
        </w:rPr>
        <w:t>de 2007</w:t>
      </w:r>
      <w:r w:rsidR="00AE0C88" w:rsidRPr="00A73A56">
        <w:rPr>
          <w:rStyle w:val="Refdenotaalpie"/>
          <w:rFonts w:ascii="Arial" w:hAnsi="Arial" w:cs="Arial"/>
          <w:color w:val="0D0D0D"/>
          <w:sz w:val="22"/>
          <w:szCs w:val="22"/>
        </w:rPr>
        <w:footnoteReference w:id="26"/>
      </w:r>
      <w:r w:rsidR="00517E5B" w:rsidRPr="00A73A56">
        <w:rPr>
          <w:rFonts w:ascii="Arial" w:hAnsi="Arial" w:cs="Arial"/>
          <w:color w:val="0D0D0D"/>
          <w:sz w:val="22"/>
          <w:szCs w:val="22"/>
        </w:rPr>
        <w:t>, entonces es preciso indicar que con fundamento en lo probado en el expediente la norma que se debe tener en cuenta</w:t>
      </w:r>
      <w:r w:rsidR="006D522B" w:rsidRPr="00A73A56">
        <w:rPr>
          <w:rFonts w:ascii="Arial" w:hAnsi="Arial" w:cs="Arial"/>
          <w:color w:val="0D0D0D"/>
          <w:sz w:val="22"/>
          <w:szCs w:val="22"/>
        </w:rPr>
        <w:t>,</w:t>
      </w:r>
      <w:r w:rsidR="00517E5B" w:rsidRPr="00A73A56">
        <w:rPr>
          <w:rFonts w:ascii="Arial" w:hAnsi="Arial" w:cs="Arial"/>
          <w:color w:val="0D0D0D"/>
          <w:sz w:val="22"/>
          <w:szCs w:val="22"/>
        </w:rPr>
        <w:t xml:space="preserve"> </w:t>
      </w:r>
      <w:r w:rsidR="00D707C4" w:rsidRPr="00A73A56">
        <w:rPr>
          <w:rFonts w:ascii="Arial" w:hAnsi="Arial" w:cs="Arial"/>
          <w:color w:val="0D0D0D"/>
          <w:sz w:val="22"/>
          <w:szCs w:val="22"/>
        </w:rPr>
        <w:t xml:space="preserve">con relación </w:t>
      </w:r>
      <w:r w:rsidR="00024F8C" w:rsidRPr="00A73A56">
        <w:rPr>
          <w:rFonts w:ascii="Arial" w:hAnsi="Arial" w:cs="Arial"/>
          <w:color w:val="0D0D0D"/>
          <w:sz w:val="22"/>
          <w:szCs w:val="22"/>
        </w:rPr>
        <w:t>a la caducidad</w:t>
      </w:r>
      <w:r w:rsidR="006D522B" w:rsidRPr="00A73A56">
        <w:rPr>
          <w:rFonts w:ascii="Arial" w:hAnsi="Arial" w:cs="Arial"/>
          <w:color w:val="0D0D0D"/>
          <w:sz w:val="22"/>
          <w:szCs w:val="22"/>
        </w:rPr>
        <w:t>,</w:t>
      </w:r>
      <w:r w:rsidR="00024F8C" w:rsidRPr="00A73A56">
        <w:rPr>
          <w:rFonts w:ascii="Arial" w:hAnsi="Arial" w:cs="Arial"/>
          <w:color w:val="0D0D0D"/>
          <w:sz w:val="22"/>
          <w:szCs w:val="22"/>
        </w:rPr>
        <w:t xml:space="preserve"> es la prescrita en el </w:t>
      </w:r>
      <w:r w:rsidRPr="00A73A56">
        <w:rPr>
          <w:rFonts w:ascii="Arial" w:hAnsi="Arial" w:cs="Arial"/>
          <w:color w:val="0D0D0D"/>
          <w:sz w:val="22"/>
          <w:szCs w:val="22"/>
        </w:rPr>
        <w:t>Código Contencioso Admi</w:t>
      </w:r>
      <w:r w:rsidR="00517E5B" w:rsidRPr="00A73A56">
        <w:rPr>
          <w:rFonts w:ascii="Arial" w:hAnsi="Arial" w:cs="Arial"/>
          <w:color w:val="0D0D0D"/>
          <w:sz w:val="22"/>
          <w:szCs w:val="22"/>
        </w:rPr>
        <w:t>nistrativo -Decreto 01 de 1984</w:t>
      </w:r>
      <w:r w:rsidR="00D707C4" w:rsidRPr="00A73A56">
        <w:rPr>
          <w:rFonts w:ascii="Arial" w:hAnsi="Arial" w:cs="Arial"/>
          <w:color w:val="0D0D0D"/>
          <w:sz w:val="22"/>
          <w:szCs w:val="22"/>
        </w:rPr>
        <w:t>-</w:t>
      </w:r>
      <w:r w:rsidR="00517E5B" w:rsidRPr="00A73A56">
        <w:rPr>
          <w:rFonts w:ascii="Arial" w:hAnsi="Arial" w:cs="Arial"/>
          <w:color w:val="0D0D0D"/>
          <w:sz w:val="22"/>
          <w:szCs w:val="22"/>
        </w:rPr>
        <w:t>.</w:t>
      </w:r>
    </w:p>
    <w:p w14:paraId="29F6C9B0" w14:textId="77777777" w:rsidR="00517E5B" w:rsidRPr="00A73A56" w:rsidRDefault="00517E5B" w:rsidP="00E42212">
      <w:pPr>
        <w:spacing w:line="360" w:lineRule="auto"/>
        <w:jc w:val="both"/>
        <w:rPr>
          <w:rFonts w:ascii="Arial" w:hAnsi="Arial" w:cs="Arial"/>
          <w:color w:val="0D0D0D"/>
          <w:sz w:val="22"/>
          <w:szCs w:val="22"/>
        </w:rPr>
      </w:pPr>
    </w:p>
    <w:p w14:paraId="7BA427B2" w14:textId="77777777" w:rsidR="00E42212" w:rsidRPr="00A73A56" w:rsidRDefault="00E42212" w:rsidP="00E42212">
      <w:pPr>
        <w:spacing w:line="360" w:lineRule="auto"/>
        <w:jc w:val="both"/>
        <w:rPr>
          <w:rFonts w:ascii="Arial" w:hAnsi="Arial" w:cs="Arial"/>
          <w:color w:val="0D0D0D"/>
          <w:sz w:val="22"/>
          <w:szCs w:val="22"/>
        </w:rPr>
      </w:pPr>
      <w:r w:rsidRPr="00A73A56">
        <w:rPr>
          <w:rFonts w:ascii="Arial" w:hAnsi="Arial" w:cs="Arial"/>
          <w:color w:val="0D0D0D"/>
          <w:sz w:val="22"/>
          <w:szCs w:val="22"/>
        </w:rPr>
        <w:lastRenderedPageBreak/>
        <w:t>Teniendo como premisa lo anterior, el artículo 136 del Código Contencioso Administrativo, dispone respecto a la oportunidad para presentar la demanda lo siguiente:</w:t>
      </w:r>
    </w:p>
    <w:p w14:paraId="6393D1CC" w14:textId="77777777" w:rsidR="00E42212" w:rsidRPr="00A73A56" w:rsidRDefault="00E42212" w:rsidP="00E42212">
      <w:pPr>
        <w:spacing w:line="360" w:lineRule="auto"/>
        <w:jc w:val="both"/>
        <w:rPr>
          <w:rFonts w:ascii="Arial" w:hAnsi="Arial" w:cs="Arial"/>
          <w:color w:val="0D0D0D"/>
          <w:sz w:val="22"/>
          <w:szCs w:val="22"/>
        </w:rPr>
      </w:pPr>
    </w:p>
    <w:p w14:paraId="38E45BF2" w14:textId="77777777" w:rsidR="00E42212" w:rsidRPr="00A73A56" w:rsidRDefault="00E42212" w:rsidP="00517E5B">
      <w:pPr>
        <w:ind w:left="284"/>
        <w:jc w:val="both"/>
        <w:rPr>
          <w:rFonts w:ascii="Arial" w:hAnsi="Arial" w:cs="Arial"/>
          <w:i/>
          <w:color w:val="0D0D0D"/>
          <w:sz w:val="22"/>
          <w:szCs w:val="22"/>
        </w:rPr>
      </w:pPr>
      <w:r w:rsidRPr="00A73A56">
        <w:rPr>
          <w:rFonts w:ascii="Arial" w:hAnsi="Arial" w:cs="Arial"/>
          <w:i/>
          <w:color w:val="0D0D0D"/>
          <w:sz w:val="22"/>
          <w:szCs w:val="22"/>
        </w:rPr>
        <w:t xml:space="preserve">“Artículo 136. </w:t>
      </w:r>
      <w:r w:rsidRPr="00A73A56">
        <w:rPr>
          <w:rFonts w:ascii="Arial" w:hAnsi="Arial" w:cs="Arial"/>
          <w:b/>
          <w:i/>
          <w:color w:val="0D0D0D"/>
          <w:sz w:val="22"/>
          <w:szCs w:val="22"/>
        </w:rPr>
        <w:t>Caducidad de las acciones.</w:t>
      </w:r>
      <w:r w:rsidRPr="00A73A56">
        <w:rPr>
          <w:rFonts w:ascii="Arial" w:hAnsi="Arial" w:cs="Arial"/>
          <w:i/>
          <w:color w:val="0D0D0D"/>
          <w:sz w:val="22"/>
          <w:szCs w:val="22"/>
        </w:rPr>
        <w:t xml:space="preserve"> (…)</w:t>
      </w:r>
    </w:p>
    <w:p w14:paraId="2BA82EC7" w14:textId="77777777" w:rsidR="00E42212" w:rsidRPr="00A73A56" w:rsidRDefault="00E42212" w:rsidP="00517E5B">
      <w:pPr>
        <w:ind w:left="284"/>
        <w:jc w:val="both"/>
        <w:rPr>
          <w:rFonts w:ascii="Arial" w:hAnsi="Arial" w:cs="Arial"/>
          <w:i/>
          <w:color w:val="0D0D0D"/>
          <w:sz w:val="22"/>
          <w:szCs w:val="22"/>
        </w:rPr>
      </w:pPr>
    </w:p>
    <w:p w14:paraId="6E17564A" w14:textId="77777777" w:rsidR="00E42212" w:rsidRPr="00A73A56" w:rsidRDefault="00E42212" w:rsidP="00517E5B">
      <w:pPr>
        <w:ind w:left="284"/>
        <w:jc w:val="both"/>
        <w:rPr>
          <w:rFonts w:ascii="Arial" w:hAnsi="Arial" w:cs="Arial"/>
          <w:i/>
          <w:color w:val="0D0D0D"/>
          <w:sz w:val="22"/>
          <w:szCs w:val="22"/>
        </w:rPr>
      </w:pPr>
      <w:r w:rsidRPr="00A73A56">
        <w:rPr>
          <w:rFonts w:ascii="Arial" w:hAnsi="Arial" w:cs="Arial"/>
          <w:b/>
          <w:i/>
          <w:color w:val="0D0D0D"/>
          <w:sz w:val="22"/>
          <w:szCs w:val="22"/>
        </w:rPr>
        <w:t xml:space="preserve">10. </w:t>
      </w:r>
      <w:r w:rsidRPr="00A73A56">
        <w:rPr>
          <w:rFonts w:ascii="Arial" w:hAnsi="Arial" w:cs="Arial"/>
          <w:i/>
          <w:color w:val="0D0D0D"/>
          <w:sz w:val="22"/>
          <w:szCs w:val="22"/>
        </w:rPr>
        <w:t>En las relativas a contratos, el término de caducidad será de dos (2) años que se contará a partir del día siguiente a la ocurrencia de los motivos de hecho o de derecho que les sirvan de fundamento.</w:t>
      </w:r>
    </w:p>
    <w:p w14:paraId="10565876" w14:textId="77777777" w:rsidR="00E42212" w:rsidRPr="00A73A56" w:rsidRDefault="00E42212" w:rsidP="00517E5B">
      <w:pPr>
        <w:ind w:left="284"/>
        <w:jc w:val="both"/>
        <w:rPr>
          <w:rFonts w:ascii="Arial" w:hAnsi="Arial" w:cs="Arial"/>
          <w:i/>
          <w:color w:val="0D0D0D"/>
          <w:sz w:val="22"/>
          <w:szCs w:val="22"/>
        </w:rPr>
      </w:pPr>
      <w:r w:rsidRPr="00A73A56">
        <w:rPr>
          <w:rFonts w:ascii="Arial" w:hAnsi="Arial" w:cs="Arial"/>
          <w:i/>
          <w:color w:val="0D0D0D"/>
          <w:sz w:val="22"/>
          <w:szCs w:val="22"/>
        </w:rPr>
        <w:t>En los siguientes contratos, el término de caducidad se contará así:</w:t>
      </w:r>
    </w:p>
    <w:p w14:paraId="5B8C58D8" w14:textId="77777777" w:rsidR="00E42212" w:rsidRPr="00A73A56" w:rsidRDefault="00E42212" w:rsidP="00517E5B">
      <w:pPr>
        <w:ind w:left="284"/>
        <w:jc w:val="both"/>
        <w:rPr>
          <w:rFonts w:ascii="Arial" w:hAnsi="Arial" w:cs="Arial"/>
          <w:i/>
          <w:color w:val="0D0D0D"/>
          <w:sz w:val="22"/>
          <w:szCs w:val="22"/>
        </w:rPr>
      </w:pPr>
    </w:p>
    <w:p w14:paraId="3239363A" w14:textId="77777777" w:rsidR="00E42212" w:rsidRPr="00A73A56" w:rsidRDefault="00E42212" w:rsidP="00517E5B">
      <w:pPr>
        <w:ind w:left="284"/>
        <w:jc w:val="both"/>
        <w:rPr>
          <w:rFonts w:ascii="Arial" w:hAnsi="Arial" w:cs="Arial"/>
          <w:i/>
          <w:color w:val="0D0D0D"/>
          <w:sz w:val="22"/>
          <w:szCs w:val="22"/>
        </w:rPr>
      </w:pPr>
      <w:r w:rsidRPr="00A73A56">
        <w:rPr>
          <w:rFonts w:ascii="Arial" w:hAnsi="Arial" w:cs="Arial"/>
          <w:i/>
          <w:color w:val="0D0D0D"/>
          <w:sz w:val="22"/>
          <w:szCs w:val="22"/>
        </w:rPr>
        <w:t>(…)</w:t>
      </w:r>
    </w:p>
    <w:p w14:paraId="57E22E27" w14:textId="77777777" w:rsidR="00E42212" w:rsidRPr="00A73A56" w:rsidRDefault="00E42212" w:rsidP="00517E5B">
      <w:pPr>
        <w:ind w:left="284"/>
        <w:jc w:val="both"/>
        <w:rPr>
          <w:rFonts w:ascii="Arial" w:hAnsi="Arial" w:cs="Arial"/>
          <w:i/>
          <w:color w:val="0D0D0D"/>
          <w:sz w:val="22"/>
          <w:szCs w:val="22"/>
        </w:rPr>
      </w:pPr>
      <w:r w:rsidRPr="00A73A56">
        <w:rPr>
          <w:rFonts w:ascii="Arial" w:hAnsi="Arial" w:cs="Arial"/>
          <w:b/>
          <w:i/>
          <w:color w:val="0D0D0D"/>
          <w:sz w:val="22"/>
          <w:szCs w:val="22"/>
        </w:rPr>
        <w:t>e)</w:t>
      </w:r>
      <w:r w:rsidRPr="00A73A56">
        <w:rPr>
          <w:rFonts w:ascii="Arial" w:hAnsi="Arial" w:cs="Arial"/>
          <w:i/>
          <w:color w:val="0D0D0D"/>
          <w:sz w:val="22"/>
          <w:szCs w:val="22"/>
        </w:rPr>
        <w:t xml:space="preserve"> La nulidad absoluta del contrato podrá ser alegada por las partes contratantes, por el Ministerio Público o cualquier persona interesada, dentro de los dos (2) años siguientes a su perfeccionamiento. Si el término de vigencia del contrato fuere superior a dos (2) años, el término de caducidad será igual al de su vigencia, sin que en ningún caso exceda de cinco (5) años contados a </w:t>
      </w:r>
      <w:r w:rsidR="00517E5B" w:rsidRPr="00A73A56">
        <w:rPr>
          <w:rFonts w:ascii="Arial" w:hAnsi="Arial" w:cs="Arial"/>
          <w:i/>
          <w:color w:val="0D0D0D"/>
          <w:sz w:val="22"/>
          <w:szCs w:val="22"/>
        </w:rPr>
        <w:t>partir de su perfeccionamiento (…)</w:t>
      </w:r>
      <w:r w:rsidRPr="00A73A56">
        <w:rPr>
          <w:rFonts w:ascii="Arial" w:hAnsi="Arial" w:cs="Arial"/>
          <w:i/>
          <w:color w:val="0D0D0D"/>
          <w:sz w:val="22"/>
          <w:szCs w:val="22"/>
        </w:rPr>
        <w:t>.</w:t>
      </w:r>
    </w:p>
    <w:p w14:paraId="1B117B44" w14:textId="77777777" w:rsidR="00EB331C" w:rsidRPr="00A73A56" w:rsidRDefault="00EB331C" w:rsidP="00517E5B">
      <w:pPr>
        <w:ind w:left="284"/>
        <w:jc w:val="both"/>
        <w:rPr>
          <w:rFonts w:ascii="Arial" w:hAnsi="Arial" w:cs="Arial"/>
          <w:i/>
          <w:color w:val="0D0D0D"/>
          <w:sz w:val="22"/>
          <w:szCs w:val="22"/>
        </w:rPr>
      </w:pPr>
    </w:p>
    <w:p w14:paraId="08B2A52A" w14:textId="77777777" w:rsidR="00E42212" w:rsidRPr="00A73A56" w:rsidRDefault="00E42212" w:rsidP="00E42212">
      <w:pPr>
        <w:spacing w:line="360" w:lineRule="auto"/>
        <w:jc w:val="both"/>
        <w:rPr>
          <w:rFonts w:ascii="Arial" w:hAnsi="Arial" w:cs="Arial"/>
          <w:color w:val="0D0D0D"/>
          <w:sz w:val="22"/>
          <w:szCs w:val="22"/>
        </w:rPr>
      </w:pPr>
      <w:r w:rsidRPr="00A73A56">
        <w:rPr>
          <w:rFonts w:ascii="Arial" w:hAnsi="Arial" w:cs="Arial"/>
          <w:color w:val="0D0D0D"/>
          <w:sz w:val="22"/>
          <w:szCs w:val="22"/>
        </w:rPr>
        <w:t xml:space="preserve">Así, el término de caducidad del medio de control de controversias contractuales, cuando se solicita la nulidad absoluta del contrato, inicia desde </w:t>
      </w:r>
      <w:r w:rsidR="00624385" w:rsidRPr="00A73A56">
        <w:rPr>
          <w:rFonts w:ascii="Arial" w:hAnsi="Arial" w:cs="Arial"/>
          <w:color w:val="0D0D0D"/>
          <w:sz w:val="22"/>
          <w:szCs w:val="22"/>
        </w:rPr>
        <w:t xml:space="preserve">el momento de </w:t>
      </w:r>
      <w:r w:rsidRPr="00A73A56">
        <w:rPr>
          <w:rFonts w:ascii="Arial" w:hAnsi="Arial" w:cs="Arial"/>
          <w:color w:val="0D0D0D"/>
          <w:sz w:val="22"/>
          <w:szCs w:val="22"/>
        </w:rPr>
        <w:t>su perfeccionamiento, y el término es de dos (2) años, salvo que el término de vigencia del negocio jurídico sea superior a dos (2) años, sin que pueda exceder el término de cinco (5) años que se contarán a partir de su perfeccionamiento.</w:t>
      </w:r>
    </w:p>
    <w:p w14:paraId="4876FE58" w14:textId="77777777" w:rsidR="00E42212" w:rsidRPr="00A73A56" w:rsidRDefault="00E42212" w:rsidP="00E42212">
      <w:pPr>
        <w:spacing w:line="360" w:lineRule="auto"/>
        <w:jc w:val="both"/>
        <w:rPr>
          <w:rFonts w:ascii="Arial" w:hAnsi="Arial" w:cs="Arial"/>
          <w:color w:val="0D0D0D"/>
          <w:sz w:val="22"/>
          <w:szCs w:val="22"/>
        </w:rPr>
      </w:pPr>
    </w:p>
    <w:p w14:paraId="180857C1" w14:textId="77777777" w:rsidR="00E42212" w:rsidRPr="00A73A56" w:rsidRDefault="00D707C4" w:rsidP="00E42212">
      <w:pPr>
        <w:spacing w:line="360" w:lineRule="auto"/>
        <w:jc w:val="both"/>
        <w:rPr>
          <w:rFonts w:ascii="Arial" w:hAnsi="Arial" w:cs="Arial"/>
          <w:color w:val="0D0D0D"/>
          <w:sz w:val="22"/>
          <w:szCs w:val="22"/>
        </w:rPr>
      </w:pPr>
      <w:r w:rsidRPr="00A73A56">
        <w:rPr>
          <w:rFonts w:ascii="Arial" w:hAnsi="Arial" w:cs="Arial"/>
          <w:color w:val="0D0D0D"/>
          <w:sz w:val="22"/>
          <w:szCs w:val="22"/>
        </w:rPr>
        <w:t xml:space="preserve">Acorde con lo anterior, la Sala encuentra probado en el plenario que el </w:t>
      </w:r>
      <w:r w:rsidR="00517E5B" w:rsidRPr="00A73A56">
        <w:rPr>
          <w:rFonts w:ascii="Arial" w:hAnsi="Arial" w:cs="Arial"/>
          <w:color w:val="0D0D0D"/>
          <w:sz w:val="22"/>
          <w:szCs w:val="22"/>
        </w:rPr>
        <w:t xml:space="preserve">contrato de concesión para la exploración y explotación de materiales de construcciones y demás minerales </w:t>
      </w:r>
      <w:r w:rsidR="009F6050" w:rsidRPr="00A73A56">
        <w:rPr>
          <w:rFonts w:ascii="Arial" w:hAnsi="Arial" w:cs="Arial"/>
          <w:color w:val="0D0D0D"/>
          <w:sz w:val="22"/>
          <w:szCs w:val="22"/>
        </w:rPr>
        <w:t xml:space="preserve">concesibles Nº GE6-143 suscrito </w:t>
      </w:r>
      <w:r w:rsidR="00517E5B" w:rsidRPr="00A73A56">
        <w:rPr>
          <w:rFonts w:ascii="Arial" w:hAnsi="Arial" w:cs="Arial"/>
          <w:color w:val="0D0D0D"/>
          <w:sz w:val="22"/>
          <w:szCs w:val="22"/>
        </w:rPr>
        <w:t>entre el Instituto Colombiano de Ge</w:t>
      </w:r>
      <w:r w:rsidR="000A0532" w:rsidRPr="00A73A56">
        <w:rPr>
          <w:rFonts w:ascii="Arial" w:hAnsi="Arial" w:cs="Arial"/>
          <w:color w:val="0D0D0D"/>
          <w:sz w:val="22"/>
          <w:szCs w:val="22"/>
        </w:rPr>
        <w:t>ología y Minería – INGEOMINAS- y</w:t>
      </w:r>
      <w:r w:rsidR="00517E5B" w:rsidRPr="00A73A56">
        <w:rPr>
          <w:rFonts w:ascii="Arial" w:hAnsi="Arial" w:cs="Arial"/>
          <w:color w:val="0D0D0D"/>
          <w:sz w:val="22"/>
          <w:szCs w:val="22"/>
        </w:rPr>
        <w:t xml:space="preserve"> Mario Fernando Mendoza </w:t>
      </w:r>
      <w:r w:rsidR="009F6050" w:rsidRPr="00A73A56">
        <w:rPr>
          <w:rFonts w:ascii="Arial" w:hAnsi="Arial" w:cs="Arial"/>
          <w:color w:val="0D0D0D"/>
          <w:sz w:val="22"/>
          <w:szCs w:val="22"/>
        </w:rPr>
        <w:t xml:space="preserve">se celebró </w:t>
      </w:r>
      <w:r w:rsidR="00517E5B" w:rsidRPr="00A73A56">
        <w:rPr>
          <w:rFonts w:ascii="Arial" w:hAnsi="Arial" w:cs="Arial"/>
          <w:color w:val="0D0D0D"/>
          <w:sz w:val="22"/>
          <w:szCs w:val="22"/>
        </w:rPr>
        <w:t>el 9 de noviembre de 2006, en el mismo se estableció en la cláusula cuarta que la duración del contrato será de treinta (30) años contados a partir de la fecha de</w:t>
      </w:r>
      <w:r w:rsidR="000A0532" w:rsidRPr="00A73A56">
        <w:rPr>
          <w:rFonts w:ascii="Arial" w:hAnsi="Arial" w:cs="Arial"/>
          <w:color w:val="0D0D0D"/>
          <w:sz w:val="22"/>
          <w:szCs w:val="22"/>
        </w:rPr>
        <w:t xml:space="preserve"> celebración</w:t>
      </w:r>
      <w:r w:rsidR="00517E5B" w:rsidRPr="00A73A56">
        <w:rPr>
          <w:rStyle w:val="Refdenotaalpie"/>
          <w:rFonts w:ascii="Arial" w:hAnsi="Arial" w:cs="Arial"/>
          <w:color w:val="0D0D0D"/>
          <w:sz w:val="22"/>
          <w:szCs w:val="22"/>
        </w:rPr>
        <w:footnoteReference w:id="27"/>
      </w:r>
      <w:r w:rsidR="00517E5B" w:rsidRPr="00A73A56">
        <w:rPr>
          <w:rFonts w:ascii="Arial" w:hAnsi="Arial" w:cs="Arial"/>
          <w:color w:val="0D0D0D"/>
          <w:sz w:val="22"/>
          <w:szCs w:val="22"/>
        </w:rPr>
        <w:t xml:space="preserve"> la cual se realizó ante el Instituto Colombiano de Geología y Minería el 22 de </w:t>
      </w:r>
      <w:r w:rsidR="00351EC7" w:rsidRPr="00A73A56">
        <w:rPr>
          <w:rFonts w:ascii="Arial" w:hAnsi="Arial" w:cs="Arial"/>
          <w:color w:val="0D0D0D"/>
          <w:sz w:val="22"/>
          <w:szCs w:val="22"/>
        </w:rPr>
        <w:t>junio</w:t>
      </w:r>
      <w:r w:rsidR="00517E5B" w:rsidRPr="00A73A56">
        <w:rPr>
          <w:rFonts w:ascii="Arial" w:hAnsi="Arial" w:cs="Arial"/>
          <w:color w:val="0D0D0D"/>
          <w:sz w:val="22"/>
          <w:szCs w:val="22"/>
        </w:rPr>
        <w:t xml:space="preserve"> de 2007</w:t>
      </w:r>
      <w:r w:rsidR="00517E5B" w:rsidRPr="00A73A56">
        <w:rPr>
          <w:rStyle w:val="Refdenotaalpie"/>
          <w:rFonts w:ascii="Arial" w:hAnsi="Arial" w:cs="Arial"/>
          <w:color w:val="0D0D0D"/>
          <w:sz w:val="22"/>
          <w:szCs w:val="22"/>
        </w:rPr>
        <w:footnoteReference w:id="28"/>
      </w:r>
      <w:r w:rsidR="000A0532" w:rsidRPr="00A73A56">
        <w:rPr>
          <w:rFonts w:ascii="Arial" w:hAnsi="Arial" w:cs="Arial"/>
          <w:color w:val="0D0D0D"/>
          <w:sz w:val="22"/>
          <w:szCs w:val="22"/>
        </w:rPr>
        <w:t>; de ahí que a tenor de lo prescrito en el artículo 50 de la Ley 685 de 2001</w:t>
      </w:r>
      <w:r w:rsidR="000A0532" w:rsidRPr="00A73A56">
        <w:rPr>
          <w:rStyle w:val="Refdenotaalpie"/>
          <w:rFonts w:ascii="Arial" w:hAnsi="Arial" w:cs="Arial"/>
          <w:color w:val="0D0D0D"/>
          <w:sz w:val="22"/>
          <w:szCs w:val="22"/>
        </w:rPr>
        <w:footnoteReference w:id="29"/>
      </w:r>
      <w:r w:rsidR="009F6050" w:rsidRPr="00A73A56">
        <w:rPr>
          <w:rFonts w:ascii="Arial" w:hAnsi="Arial" w:cs="Arial"/>
          <w:color w:val="0D0D0D"/>
          <w:sz w:val="22"/>
          <w:szCs w:val="22"/>
        </w:rPr>
        <w:t>,</w:t>
      </w:r>
      <w:r w:rsidR="000A0532" w:rsidRPr="00A73A56">
        <w:rPr>
          <w:rFonts w:ascii="Arial" w:hAnsi="Arial" w:cs="Arial"/>
          <w:color w:val="0D0D0D"/>
          <w:sz w:val="22"/>
          <w:szCs w:val="22"/>
        </w:rPr>
        <w:t xml:space="preserve"> el perfeccionamiento del contrato ocurrió en esa última fecha con la inscripción en el Registro Minero Nacional.</w:t>
      </w:r>
    </w:p>
    <w:p w14:paraId="131B3C2A" w14:textId="77777777" w:rsidR="000A0532" w:rsidRPr="00A73A56" w:rsidRDefault="000A0532" w:rsidP="00E42212">
      <w:pPr>
        <w:spacing w:line="360" w:lineRule="auto"/>
        <w:jc w:val="both"/>
        <w:rPr>
          <w:rFonts w:ascii="Arial" w:hAnsi="Arial" w:cs="Arial"/>
          <w:color w:val="0D0D0D"/>
          <w:sz w:val="22"/>
          <w:szCs w:val="22"/>
        </w:rPr>
      </w:pPr>
    </w:p>
    <w:p w14:paraId="16DFE1D0" w14:textId="77777777" w:rsidR="00FF603B" w:rsidRPr="00A73A56" w:rsidRDefault="00517E5B" w:rsidP="00E42212">
      <w:pPr>
        <w:spacing w:line="360" w:lineRule="auto"/>
        <w:jc w:val="both"/>
        <w:rPr>
          <w:rFonts w:ascii="Arial" w:hAnsi="Arial" w:cs="Arial"/>
          <w:color w:val="0D0D0D"/>
          <w:sz w:val="22"/>
          <w:szCs w:val="22"/>
        </w:rPr>
      </w:pPr>
      <w:r w:rsidRPr="00A73A56">
        <w:rPr>
          <w:rFonts w:ascii="Arial" w:hAnsi="Arial" w:cs="Arial"/>
          <w:color w:val="0D0D0D"/>
          <w:sz w:val="22"/>
          <w:szCs w:val="22"/>
        </w:rPr>
        <w:t xml:space="preserve">Teniendo en cuenta que el contrato de concesión Nº GE6-143 se </w:t>
      </w:r>
      <w:r w:rsidR="006003E1" w:rsidRPr="00A73A56">
        <w:rPr>
          <w:rFonts w:ascii="Arial" w:hAnsi="Arial" w:cs="Arial"/>
          <w:color w:val="0D0D0D"/>
          <w:sz w:val="22"/>
          <w:szCs w:val="22"/>
        </w:rPr>
        <w:t>inscribió</w:t>
      </w:r>
      <w:r w:rsidRPr="00A73A56">
        <w:rPr>
          <w:rFonts w:ascii="Arial" w:hAnsi="Arial" w:cs="Arial"/>
          <w:color w:val="0D0D0D"/>
          <w:sz w:val="22"/>
          <w:szCs w:val="22"/>
        </w:rPr>
        <w:t xml:space="preserve"> el 22 de </w:t>
      </w:r>
      <w:r w:rsidR="00351EC7" w:rsidRPr="00A73A56">
        <w:rPr>
          <w:rFonts w:ascii="Arial" w:hAnsi="Arial" w:cs="Arial"/>
          <w:color w:val="0D0D0D"/>
          <w:sz w:val="22"/>
          <w:szCs w:val="22"/>
        </w:rPr>
        <w:t>junio</w:t>
      </w:r>
      <w:r w:rsidRPr="00A73A56">
        <w:rPr>
          <w:rFonts w:ascii="Arial" w:hAnsi="Arial" w:cs="Arial"/>
          <w:color w:val="0D0D0D"/>
          <w:sz w:val="22"/>
          <w:szCs w:val="22"/>
        </w:rPr>
        <w:t xml:space="preserve"> de 2007</w:t>
      </w:r>
      <w:r w:rsidR="00BF5002" w:rsidRPr="00A73A56">
        <w:rPr>
          <w:rFonts w:ascii="Arial" w:hAnsi="Arial" w:cs="Arial"/>
          <w:color w:val="0D0D0D"/>
          <w:sz w:val="22"/>
          <w:szCs w:val="22"/>
        </w:rPr>
        <w:t xml:space="preserve">, como en el mismo se estableció una vigencia de </w:t>
      </w:r>
      <w:r w:rsidR="00FF603B" w:rsidRPr="00A73A56">
        <w:rPr>
          <w:rFonts w:ascii="Arial" w:hAnsi="Arial" w:cs="Arial"/>
          <w:color w:val="0D0D0D"/>
          <w:sz w:val="22"/>
          <w:szCs w:val="22"/>
        </w:rPr>
        <w:t>treinta (30)</w:t>
      </w:r>
      <w:r w:rsidR="00BF5002" w:rsidRPr="00A73A56">
        <w:rPr>
          <w:rFonts w:ascii="Arial" w:hAnsi="Arial" w:cs="Arial"/>
          <w:color w:val="0D0D0D"/>
          <w:sz w:val="22"/>
          <w:szCs w:val="22"/>
        </w:rPr>
        <w:t xml:space="preserve"> años y de conformidad con lo establecido en el</w:t>
      </w:r>
      <w:r w:rsidRPr="00A73A56">
        <w:rPr>
          <w:rFonts w:ascii="Arial" w:hAnsi="Arial" w:cs="Arial"/>
          <w:color w:val="0D0D0D"/>
          <w:sz w:val="22"/>
          <w:szCs w:val="22"/>
        </w:rPr>
        <w:t xml:space="preserve"> literal e) del numeral 10 del artículo 136 del Código Contencioso Administrativo, cuando e</w:t>
      </w:r>
      <w:r w:rsidR="00BF5002" w:rsidRPr="00A73A56">
        <w:rPr>
          <w:rFonts w:ascii="Arial" w:hAnsi="Arial" w:cs="Arial"/>
          <w:color w:val="0D0D0D"/>
          <w:sz w:val="22"/>
          <w:szCs w:val="22"/>
        </w:rPr>
        <w:t>l</w:t>
      </w:r>
      <w:r w:rsidRPr="00A73A56">
        <w:rPr>
          <w:rFonts w:ascii="Arial" w:hAnsi="Arial" w:cs="Arial"/>
          <w:color w:val="0D0D0D"/>
          <w:sz w:val="22"/>
          <w:szCs w:val="22"/>
        </w:rPr>
        <w:t xml:space="preserve"> término de su vigencia sea supe</w:t>
      </w:r>
      <w:r w:rsidR="00BF5002" w:rsidRPr="00A73A56">
        <w:rPr>
          <w:rFonts w:ascii="Arial" w:hAnsi="Arial" w:cs="Arial"/>
          <w:color w:val="0D0D0D"/>
          <w:sz w:val="22"/>
          <w:szCs w:val="22"/>
        </w:rPr>
        <w:t>rior a</w:t>
      </w:r>
      <w:r w:rsidR="00FF603B" w:rsidRPr="00A73A56">
        <w:rPr>
          <w:rFonts w:ascii="Arial" w:hAnsi="Arial" w:cs="Arial"/>
          <w:color w:val="0D0D0D"/>
          <w:sz w:val="22"/>
          <w:szCs w:val="22"/>
        </w:rPr>
        <w:t xml:space="preserve"> dos (2) años</w:t>
      </w:r>
      <w:r w:rsidRPr="00A73A56">
        <w:rPr>
          <w:rFonts w:ascii="Arial" w:hAnsi="Arial" w:cs="Arial"/>
          <w:color w:val="0D0D0D"/>
          <w:sz w:val="22"/>
          <w:szCs w:val="22"/>
        </w:rPr>
        <w:t xml:space="preserve"> el término de caducidad será igual al de su vigencia, sin que en ningún caso exceda de cinco (5) años contados a partir de su perfeccionamiento, </w:t>
      </w:r>
      <w:r w:rsidR="00FF603B" w:rsidRPr="00A73A56">
        <w:rPr>
          <w:rFonts w:ascii="Arial" w:hAnsi="Arial" w:cs="Arial"/>
          <w:color w:val="0D0D0D"/>
          <w:sz w:val="22"/>
          <w:szCs w:val="22"/>
        </w:rPr>
        <w:t xml:space="preserve">se encuentra que en este asunto ese término </w:t>
      </w:r>
      <w:r w:rsidR="00FC6D00" w:rsidRPr="00A73A56">
        <w:rPr>
          <w:rFonts w:ascii="Arial" w:hAnsi="Arial" w:cs="Arial"/>
          <w:color w:val="0D0D0D"/>
          <w:sz w:val="22"/>
          <w:szCs w:val="22"/>
        </w:rPr>
        <w:t xml:space="preserve">para intentar la demanda de controversias contractuales, bajo la pretensión de nulidad absoluta, </w:t>
      </w:r>
      <w:r w:rsidR="00FF603B" w:rsidRPr="00A73A56">
        <w:rPr>
          <w:rFonts w:ascii="Arial" w:hAnsi="Arial" w:cs="Arial"/>
          <w:color w:val="0D0D0D"/>
          <w:sz w:val="22"/>
          <w:szCs w:val="22"/>
        </w:rPr>
        <w:t xml:space="preserve">inició a partir del perfeccionamiento del contrato (22 de </w:t>
      </w:r>
      <w:r w:rsidR="00351EC7" w:rsidRPr="00A73A56">
        <w:rPr>
          <w:rFonts w:ascii="Arial" w:hAnsi="Arial" w:cs="Arial"/>
          <w:color w:val="0D0D0D"/>
          <w:sz w:val="22"/>
          <w:szCs w:val="22"/>
        </w:rPr>
        <w:t>junio</w:t>
      </w:r>
      <w:r w:rsidR="00FF603B" w:rsidRPr="00A73A56">
        <w:rPr>
          <w:rFonts w:ascii="Arial" w:hAnsi="Arial" w:cs="Arial"/>
          <w:color w:val="0D0D0D"/>
          <w:sz w:val="22"/>
          <w:szCs w:val="22"/>
        </w:rPr>
        <w:t xml:space="preserve"> de 2007)</w:t>
      </w:r>
      <w:r w:rsidR="005F2E58" w:rsidRPr="00A73A56">
        <w:rPr>
          <w:rFonts w:ascii="Arial" w:hAnsi="Arial" w:cs="Arial"/>
          <w:color w:val="0D0D0D"/>
          <w:sz w:val="22"/>
          <w:szCs w:val="22"/>
        </w:rPr>
        <w:t xml:space="preserve"> y feneció</w:t>
      </w:r>
      <w:r w:rsidR="00FC6D00" w:rsidRPr="00A73A56">
        <w:rPr>
          <w:rFonts w:ascii="Arial" w:hAnsi="Arial" w:cs="Arial"/>
          <w:color w:val="0D0D0D"/>
          <w:sz w:val="22"/>
          <w:szCs w:val="22"/>
        </w:rPr>
        <w:t xml:space="preserve"> </w:t>
      </w:r>
      <w:r w:rsidR="00FC6D00" w:rsidRPr="00A73A56">
        <w:rPr>
          <w:rFonts w:ascii="Arial" w:hAnsi="Arial" w:cs="Arial"/>
          <w:color w:val="0D0D0D"/>
          <w:sz w:val="22"/>
          <w:szCs w:val="22"/>
        </w:rPr>
        <w:lastRenderedPageBreak/>
        <w:t xml:space="preserve">el 22 de </w:t>
      </w:r>
      <w:r w:rsidR="00351EC7" w:rsidRPr="00A73A56">
        <w:rPr>
          <w:rFonts w:ascii="Arial" w:hAnsi="Arial" w:cs="Arial"/>
          <w:color w:val="0D0D0D"/>
          <w:sz w:val="22"/>
          <w:szCs w:val="22"/>
        </w:rPr>
        <w:t>junio</w:t>
      </w:r>
      <w:r w:rsidR="00FC6D00" w:rsidRPr="00A73A56">
        <w:rPr>
          <w:rFonts w:ascii="Arial" w:hAnsi="Arial" w:cs="Arial"/>
          <w:color w:val="0D0D0D"/>
          <w:sz w:val="22"/>
          <w:szCs w:val="22"/>
        </w:rPr>
        <w:t xml:space="preserve"> de 2012. Como quiera que la demanda se presentó el 2 de septiembre de 2013, se concluye que operó la caducidad del medio de control.</w:t>
      </w:r>
    </w:p>
    <w:p w14:paraId="25E6B823" w14:textId="77777777" w:rsidR="00FC6D00" w:rsidRPr="00A73A56" w:rsidRDefault="00FC6D00" w:rsidP="00E42212">
      <w:pPr>
        <w:spacing w:line="360" w:lineRule="auto"/>
        <w:jc w:val="both"/>
        <w:rPr>
          <w:rFonts w:ascii="Arial" w:hAnsi="Arial" w:cs="Arial"/>
          <w:color w:val="0D0D0D"/>
          <w:sz w:val="16"/>
          <w:szCs w:val="22"/>
        </w:rPr>
      </w:pPr>
    </w:p>
    <w:p w14:paraId="1F32ECCF" w14:textId="77777777" w:rsidR="00FC6D00" w:rsidRPr="00A73A56" w:rsidRDefault="009F6050" w:rsidP="00E42212">
      <w:pPr>
        <w:spacing w:line="360" w:lineRule="auto"/>
        <w:jc w:val="both"/>
        <w:rPr>
          <w:rFonts w:ascii="Arial" w:hAnsi="Arial" w:cs="Arial"/>
          <w:color w:val="0D0D0D"/>
          <w:sz w:val="22"/>
          <w:szCs w:val="22"/>
        </w:rPr>
      </w:pPr>
      <w:r w:rsidRPr="00A73A56">
        <w:rPr>
          <w:rFonts w:ascii="Arial" w:hAnsi="Arial" w:cs="Arial"/>
          <w:color w:val="0D0D0D"/>
          <w:sz w:val="22"/>
          <w:szCs w:val="22"/>
        </w:rPr>
        <w:t>En consecuencia de lo expuesto</w:t>
      </w:r>
      <w:r w:rsidR="00FC6D00" w:rsidRPr="00A73A56">
        <w:rPr>
          <w:rFonts w:ascii="Arial" w:hAnsi="Arial" w:cs="Arial"/>
          <w:color w:val="0D0D0D"/>
          <w:sz w:val="22"/>
          <w:szCs w:val="22"/>
        </w:rPr>
        <w:t>, se revocar</w:t>
      </w:r>
      <w:r w:rsidR="00005BF9" w:rsidRPr="00A73A56">
        <w:rPr>
          <w:rFonts w:ascii="Arial" w:hAnsi="Arial" w:cs="Arial"/>
          <w:color w:val="0D0D0D"/>
          <w:sz w:val="22"/>
          <w:szCs w:val="22"/>
        </w:rPr>
        <w:t xml:space="preserve">á el fallo de </w:t>
      </w:r>
      <w:r w:rsidRPr="00A73A56">
        <w:rPr>
          <w:rFonts w:ascii="Arial" w:hAnsi="Arial" w:cs="Arial"/>
          <w:color w:val="0D0D0D"/>
          <w:sz w:val="22"/>
          <w:szCs w:val="22"/>
        </w:rPr>
        <w:t xml:space="preserve">primera </w:t>
      </w:r>
      <w:r w:rsidR="00005BF9" w:rsidRPr="00A73A56">
        <w:rPr>
          <w:rFonts w:ascii="Arial" w:hAnsi="Arial" w:cs="Arial"/>
          <w:color w:val="0D0D0D"/>
          <w:sz w:val="22"/>
          <w:szCs w:val="22"/>
        </w:rPr>
        <w:t xml:space="preserve">instancia </w:t>
      </w:r>
      <w:r w:rsidRPr="00A73A56">
        <w:rPr>
          <w:rFonts w:ascii="Arial" w:hAnsi="Arial" w:cs="Arial"/>
          <w:color w:val="0D0D0D"/>
          <w:sz w:val="22"/>
          <w:szCs w:val="22"/>
        </w:rPr>
        <w:t xml:space="preserve">y </w:t>
      </w:r>
      <w:r w:rsidR="00005BF9" w:rsidRPr="00A73A56">
        <w:rPr>
          <w:rFonts w:ascii="Arial" w:hAnsi="Arial" w:cs="Arial"/>
          <w:color w:val="0D0D0D"/>
          <w:sz w:val="22"/>
          <w:szCs w:val="22"/>
        </w:rPr>
        <w:t>en su lugar,</w:t>
      </w:r>
      <w:r w:rsidRPr="00A73A56">
        <w:rPr>
          <w:rFonts w:ascii="Arial" w:hAnsi="Arial" w:cs="Arial"/>
          <w:color w:val="0D0D0D"/>
          <w:sz w:val="22"/>
          <w:szCs w:val="22"/>
        </w:rPr>
        <w:t xml:space="preserve"> se </w:t>
      </w:r>
      <w:r w:rsidR="00005BF9" w:rsidRPr="00A73A56">
        <w:rPr>
          <w:rFonts w:ascii="Arial" w:hAnsi="Arial" w:cs="Arial"/>
          <w:color w:val="0D0D0D"/>
          <w:sz w:val="22"/>
          <w:szCs w:val="22"/>
        </w:rPr>
        <w:t>declarar</w:t>
      </w:r>
      <w:r w:rsidRPr="00A73A56">
        <w:rPr>
          <w:rFonts w:ascii="Arial" w:hAnsi="Arial" w:cs="Arial"/>
          <w:color w:val="0D0D0D"/>
          <w:sz w:val="22"/>
          <w:szCs w:val="22"/>
        </w:rPr>
        <w:t xml:space="preserve">a de oficio </w:t>
      </w:r>
      <w:r w:rsidR="00005BF9" w:rsidRPr="00A73A56">
        <w:rPr>
          <w:rFonts w:ascii="Arial" w:hAnsi="Arial" w:cs="Arial"/>
          <w:color w:val="0D0D0D"/>
          <w:sz w:val="22"/>
          <w:szCs w:val="22"/>
        </w:rPr>
        <w:t>la caducidad del medio de control de controversias contractuales.</w:t>
      </w:r>
    </w:p>
    <w:p w14:paraId="7FB38FB8" w14:textId="77777777" w:rsidR="009F6050" w:rsidRPr="00A73A56" w:rsidRDefault="009F6050" w:rsidP="00E42212">
      <w:pPr>
        <w:spacing w:line="360" w:lineRule="auto"/>
        <w:jc w:val="both"/>
        <w:rPr>
          <w:rFonts w:ascii="Arial" w:hAnsi="Arial" w:cs="Arial"/>
          <w:color w:val="0D0D0D"/>
          <w:sz w:val="22"/>
          <w:szCs w:val="22"/>
        </w:rPr>
      </w:pPr>
    </w:p>
    <w:p w14:paraId="269D93D6" w14:textId="77777777" w:rsidR="00AF39A6" w:rsidRPr="00A73A56" w:rsidRDefault="00AF39A6" w:rsidP="0068772A">
      <w:pPr>
        <w:spacing w:line="360" w:lineRule="auto"/>
        <w:jc w:val="both"/>
        <w:rPr>
          <w:rFonts w:ascii="Arial" w:hAnsi="Arial" w:cs="Arial"/>
          <w:bCs/>
          <w:color w:val="0D0D0D"/>
          <w:sz w:val="22"/>
          <w:szCs w:val="22"/>
        </w:rPr>
      </w:pPr>
      <w:r w:rsidRPr="00A73A56">
        <w:rPr>
          <w:rFonts w:ascii="Arial" w:hAnsi="Arial" w:cs="Arial"/>
          <w:bCs/>
          <w:color w:val="0D0D0D"/>
          <w:sz w:val="22"/>
          <w:szCs w:val="22"/>
        </w:rPr>
        <w:t>En mérito de lo expuesto la Subsección C de la Sección Tercera de la Sala de lo Contencioso Administrativo del Consejo de Estado, administrando justicia en nombre</w:t>
      </w:r>
      <w:r w:rsidR="008C02B1" w:rsidRPr="00A73A56">
        <w:rPr>
          <w:rFonts w:ascii="Arial" w:hAnsi="Arial" w:cs="Arial"/>
          <w:bCs/>
          <w:color w:val="0D0D0D"/>
          <w:sz w:val="22"/>
          <w:szCs w:val="22"/>
        </w:rPr>
        <w:t xml:space="preserve"> la de la República </w:t>
      </w:r>
      <w:r w:rsidRPr="00A73A56">
        <w:rPr>
          <w:rFonts w:ascii="Arial" w:hAnsi="Arial" w:cs="Arial"/>
          <w:bCs/>
          <w:color w:val="0D0D0D"/>
          <w:sz w:val="22"/>
          <w:szCs w:val="22"/>
        </w:rPr>
        <w:t xml:space="preserve">y por autoridad de la ley, </w:t>
      </w:r>
    </w:p>
    <w:p w14:paraId="063D3450" w14:textId="77777777" w:rsidR="00BF5002" w:rsidRPr="00A73A56" w:rsidRDefault="00BF5002" w:rsidP="0068772A">
      <w:pPr>
        <w:spacing w:line="360" w:lineRule="auto"/>
        <w:jc w:val="both"/>
        <w:rPr>
          <w:rFonts w:ascii="Arial" w:hAnsi="Arial" w:cs="Arial"/>
          <w:bCs/>
          <w:color w:val="0D0D0D"/>
          <w:sz w:val="22"/>
          <w:szCs w:val="22"/>
        </w:rPr>
      </w:pPr>
    </w:p>
    <w:p w14:paraId="750CA40C" w14:textId="77777777" w:rsidR="00AF39A6" w:rsidRPr="00A73A56" w:rsidRDefault="00AF39A6" w:rsidP="0068772A">
      <w:pPr>
        <w:spacing w:line="360" w:lineRule="auto"/>
        <w:jc w:val="center"/>
        <w:rPr>
          <w:rFonts w:ascii="Arial" w:hAnsi="Arial" w:cs="Arial"/>
          <w:b/>
          <w:bCs/>
          <w:color w:val="0D0D0D"/>
          <w:sz w:val="22"/>
          <w:szCs w:val="22"/>
        </w:rPr>
      </w:pPr>
      <w:r w:rsidRPr="00A73A56">
        <w:rPr>
          <w:rFonts w:ascii="Arial" w:hAnsi="Arial" w:cs="Arial"/>
          <w:b/>
          <w:bCs/>
          <w:color w:val="0D0D0D"/>
          <w:sz w:val="22"/>
          <w:szCs w:val="22"/>
        </w:rPr>
        <w:t>RESUELVE</w:t>
      </w:r>
    </w:p>
    <w:p w14:paraId="00FE490A" w14:textId="77777777" w:rsidR="00AF39A6" w:rsidRPr="00A73A56" w:rsidRDefault="00AF39A6" w:rsidP="0068772A">
      <w:pPr>
        <w:spacing w:line="360" w:lineRule="auto"/>
        <w:jc w:val="both"/>
        <w:rPr>
          <w:rFonts w:ascii="Arial" w:hAnsi="Arial" w:cs="Arial"/>
          <w:b/>
          <w:bCs/>
          <w:color w:val="0D0D0D"/>
          <w:sz w:val="22"/>
          <w:szCs w:val="22"/>
        </w:rPr>
      </w:pPr>
    </w:p>
    <w:p w14:paraId="3644AEAB" w14:textId="77777777" w:rsidR="009F6267" w:rsidRPr="00A73A56" w:rsidRDefault="008D1806" w:rsidP="0068772A">
      <w:pPr>
        <w:spacing w:line="360" w:lineRule="auto"/>
        <w:jc w:val="both"/>
        <w:rPr>
          <w:rFonts w:ascii="Arial" w:hAnsi="Arial" w:cs="Arial"/>
          <w:bCs/>
          <w:color w:val="0D0D0D"/>
          <w:sz w:val="22"/>
          <w:szCs w:val="22"/>
        </w:rPr>
      </w:pPr>
      <w:r w:rsidRPr="00A73A56">
        <w:rPr>
          <w:rFonts w:ascii="Arial" w:hAnsi="Arial" w:cs="Arial"/>
          <w:b/>
          <w:bCs/>
          <w:color w:val="0D0D0D"/>
          <w:sz w:val="22"/>
          <w:szCs w:val="22"/>
        </w:rPr>
        <w:t>PRIMERO: REVOCAR</w:t>
      </w:r>
      <w:r w:rsidR="00576231" w:rsidRPr="00A73A56">
        <w:rPr>
          <w:rFonts w:ascii="Arial" w:hAnsi="Arial" w:cs="Arial"/>
          <w:b/>
          <w:bCs/>
          <w:color w:val="0D0D0D"/>
          <w:sz w:val="22"/>
          <w:szCs w:val="22"/>
        </w:rPr>
        <w:t xml:space="preserve"> </w:t>
      </w:r>
      <w:r>
        <w:rPr>
          <w:rFonts w:ascii="Arial" w:hAnsi="Arial" w:cs="Arial"/>
          <w:bCs/>
          <w:color w:val="0D0D0D"/>
          <w:sz w:val="22"/>
          <w:szCs w:val="22"/>
        </w:rPr>
        <w:t>la sentencia proferida por el T</w:t>
      </w:r>
      <w:r w:rsidR="00576231" w:rsidRPr="00A73A56">
        <w:rPr>
          <w:rFonts w:ascii="Arial" w:hAnsi="Arial" w:cs="Arial"/>
          <w:bCs/>
          <w:color w:val="0D0D0D"/>
          <w:sz w:val="22"/>
          <w:szCs w:val="22"/>
        </w:rPr>
        <w:t xml:space="preserve">ribunal </w:t>
      </w:r>
      <w:r>
        <w:rPr>
          <w:rFonts w:ascii="Arial" w:hAnsi="Arial" w:cs="Arial"/>
          <w:bCs/>
          <w:color w:val="0D0D0D"/>
          <w:sz w:val="22"/>
          <w:szCs w:val="22"/>
        </w:rPr>
        <w:t>A</w:t>
      </w:r>
      <w:r w:rsidR="00576231" w:rsidRPr="00A73A56">
        <w:rPr>
          <w:rFonts w:ascii="Arial" w:hAnsi="Arial" w:cs="Arial"/>
          <w:bCs/>
          <w:color w:val="0D0D0D"/>
          <w:sz w:val="22"/>
          <w:szCs w:val="22"/>
        </w:rPr>
        <w:t xml:space="preserve">dministrativo de </w:t>
      </w:r>
      <w:r>
        <w:rPr>
          <w:rFonts w:ascii="Arial" w:hAnsi="Arial" w:cs="Arial"/>
          <w:bCs/>
          <w:color w:val="0D0D0D"/>
          <w:sz w:val="22"/>
          <w:szCs w:val="22"/>
        </w:rPr>
        <w:t>C</w:t>
      </w:r>
      <w:r w:rsidR="00576231" w:rsidRPr="00A73A56">
        <w:rPr>
          <w:rFonts w:ascii="Arial" w:hAnsi="Arial" w:cs="Arial"/>
          <w:bCs/>
          <w:color w:val="0D0D0D"/>
          <w:sz w:val="22"/>
          <w:szCs w:val="22"/>
        </w:rPr>
        <w:t xml:space="preserve">undinamarca, </w:t>
      </w:r>
      <w:r>
        <w:rPr>
          <w:rFonts w:ascii="Arial" w:hAnsi="Arial" w:cs="Arial"/>
          <w:bCs/>
          <w:color w:val="0D0D0D"/>
          <w:sz w:val="22"/>
          <w:szCs w:val="22"/>
        </w:rPr>
        <w:t>S</w:t>
      </w:r>
      <w:r w:rsidR="00576231" w:rsidRPr="00A73A56">
        <w:rPr>
          <w:rFonts w:ascii="Arial" w:hAnsi="Arial" w:cs="Arial"/>
          <w:bCs/>
          <w:color w:val="0D0D0D"/>
          <w:sz w:val="22"/>
          <w:szCs w:val="22"/>
        </w:rPr>
        <w:t xml:space="preserve">ección </w:t>
      </w:r>
      <w:r>
        <w:rPr>
          <w:rFonts w:ascii="Arial" w:hAnsi="Arial" w:cs="Arial"/>
          <w:bCs/>
          <w:color w:val="0D0D0D"/>
          <w:sz w:val="22"/>
          <w:szCs w:val="22"/>
        </w:rPr>
        <w:t>T</w:t>
      </w:r>
      <w:r w:rsidR="00576231" w:rsidRPr="00A73A56">
        <w:rPr>
          <w:rFonts w:ascii="Arial" w:hAnsi="Arial" w:cs="Arial"/>
          <w:bCs/>
          <w:color w:val="0D0D0D"/>
          <w:sz w:val="22"/>
          <w:szCs w:val="22"/>
        </w:rPr>
        <w:t xml:space="preserve">ercera, </w:t>
      </w:r>
      <w:r>
        <w:rPr>
          <w:rFonts w:ascii="Arial" w:hAnsi="Arial" w:cs="Arial"/>
          <w:bCs/>
          <w:color w:val="0D0D0D"/>
          <w:sz w:val="22"/>
          <w:szCs w:val="22"/>
        </w:rPr>
        <w:t>S</w:t>
      </w:r>
      <w:r w:rsidR="00576231" w:rsidRPr="00A73A56">
        <w:rPr>
          <w:rFonts w:ascii="Arial" w:hAnsi="Arial" w:cs="Arial"/>
          <w:bCs/>
          <w:color w:val="0D0D0D"/>
          <w:sz w:val="22"/>
          <w:szCs w:val="22"/>
        </w:rPr>
        <w:t xml:space="preserve">ubsección </w:t>
      </w:r>
      <w:r w:rsidR="007E289A">
        <w:rPr>
          <w:rFonts w:ascii="Arial" w:hAnsi="Arial" w:cs="Arial"/>
          <w:bCs/>
          <w:color w:val="0D0D0D"/>
          <w:sz w:val="22"/>
          <w:szCs w:val="22"/>
        </w:rPr>
        <w:t>A</w:t>
      </w:r>
      <w:r w:rsidR="00576231" w:rsidRPr="00A73A56">
        <w:rPr>
          <w:rFonts w:ascii="Arial" w:hAnsi="Arial" w:cs="Arial"/>
          <w:bCs/>
          <w:color w:val="0D0D0D"/>
          <w:sz w:val="22"/>
          <w:szCs w:val="22"/>
        </w:rPr>
        <w:t xml:space="preserve"> en el marco de la audiencia inicial del 12 de agosto de 2015 y en su lugar </w:t>
      </w:r>
      <w:r w:rsidR="007E289A" w:rsidRPr="00A73A56">
        <w:rPr>
          <w:rFonts w:ascii="Arial" w:hAnsi="Arial" w:cs="Arial"/>
          <w:b/>
          <w:bCs/>
          <w:color w:val="0D0D0D"/>
          <w:sz w:val="22"/>
          <w:szCs w:val="22"/>
        </w:rPr>
        <w:t>DECLARAR</w:t>
      </w:r>
      <w:r w:rsidR="007E289A" w:rsidRPr="00A73A56">
        <w:rPr>
          <w:rFonts w:ascii="Arial" w:hAnsi="Arial" w:cs="Arial"/>
          <w:bCs/>
          <w:color w:val="0D0D0D"/>
          <w:sz w:val="22"/>
          <w:szCs w:val="22"/>
        </w:rPr>
        <w:t xml:space="preserve"> </w:t>
      </w:r>
      <w:r w:rsidR="00576231" w:rsidRPr="00A73A56">
        <w:rPr>
          <w:rFonts w:ascii="Arial" w:hAnsi="Arial" w:cs="Arial"/>
          <w:bCs/>
          <w:color w:val="0D0D0D"/>
          <w:sz w:val="22"/>
          <w:szCs w:val="22"/>
        </w:rPr>
        <w:t>de oficio la caducidad de la acción de controversias contractuales, por lo expuesto en esta providencia.</w:t>
      </w:r>
    </w:p>
    <w:p w14:paraId="03EDAC25" w14:textId="77777777" w:rsidR="00BF5002" w:rsidRPr="00A73A56" w:rsidRDefault="00BF5002" w:rsidP="0068772A">
      <w:pPr>
        <w:spacing w:line="360" w:lineRule="auto"/>
        <w:jc w:val="both"/>
        <w:rPr>
          <w:rFonts w:ascii="Arial" w:hAnsi="Arial" w:cs="Arial"/>
          <w:b/>
          <w:bCs/>
          <w:color w:val="0D0D0D"/>
          <w:sz w:val="22"/>
          <w:szCs w:val="22"/>
        </w:rPr>
      </w:pPr>
    </w:p>
    <w:p w14:paraId="4FF1B419" w14:textId="77777777" w:rsidR="00AF39A6" w:rsidRPr="00A73A56" w:rsidRDefault="007E289A" w:rsidP="0068772A">
      <w:pPr>
        <w:spacing w:line="360" w:lineRule="auto"/>
        <w:jc w:val="both"/>
        <w:rPr>
          <w:rFonts w:ascii="Arial" w:hAnsi="Arial" w:cs="Arial"/>
          <w:bCs/>
          <w:color w:val="0D0D0D"/>
          <w:sz w:val="22"/>
          <w:szCs w:val="22"/>
        </w:rPr>
      </w:pPr>
      <w:r w:rsidRPr="00A73A56">
        <w:rPr>
          <w:rFonts w:ascii="Arial" w:hAnsi="Arial" w:cs="Arial"/>
          <w:b/>
          <w:bCs/>
          <w:color w:val="0D0D0D"/>
          <w:sz w:val="22"/>
          <w:szCs w:val="22"/>
        </w:rPr>
        <w:t xml:space="preserve">SEGUNDO: DEVOLVER </w:t>
      </w:r>
      <w:r w:rsidR="00576231" w:rsidRPr="00A73A56">
        <w:rPr>
          <w:rFonts w:ascii="Arial" w:hAnsi="Arial" w:cs="Arial"/>
          <w:bCs/>
          <w:color w:val="0D0D0D"/>
          <w:sz w:val="22"/>
          <w:szCs w:val="22"/>
        </w:rPr>
        <w:t xml:space="preserve">el expediente al </w:t>
      </w:r>
      <w:r>
        <w:rPr>
          <w:rFonts w:ascii="Arial" w:hAnsi="Arial" w:cs="Arial"/>
          <w:bCs/>
          <w:color w:val="0D0D0D"/>
          <w:sz w:val="22"/>
          <w:szCs w:val="22"/>
        </w:rPr>
        <w:t>T</w:t>
      </w:r>
      <w:r w:rsidR="00576231" w:rsidRPr="00A73A56">
        <w:rPr>
          <w:rFonts w:ascii="Arial" w:hAnsi="Arial" w:cs="Arial"/>
          <w:bCs/>
          <w:color w:val="0D0D0D"/>
          <w:sz w:val="22"/>
          <w:szCs w:val="22"/>
        </w:rPr>
        <w:t>ribunal de origen</w:t>
      </w:r>
    </w:p>
    <w:p w14:paraId="069706D1" w14:textId="77777777" w:rsidR="00AF39A6" w:rsidRPr="007E289A" w:rsidRDefault="00AF39A6" w:rsidP="007E289A">
      <w:pPr>
        <w:widowControl w:val="0"/>
        <w:jc w:val="both"/>
        <w:rPr>
          <w:rFonts w:ascii="Arial" w:hAnsi="Arial" w:cs="Arial"/>
          <w:bCs/>
          <w:color w:val="0D0D0D"/>
        </w:rPr>
      </w:pPr>
    </w:p>
    <w:p w14:paraId="6AED2A55" w14:textId="77777777" w:rsidR="00AF39A6" w:rsidRPr="007E289A" w:rsidRDefault="00AF39A6" w:rsidP="007E289A">
      <w:pPr>
        <w:widowControl w:val="0"/>
        <w:jc w:val="center"/>
        <w:rPr>
          <w:rFonts w:ascii="Arial" w:hAnsi="Arial" w:cs="Arial"/>
          <w:b/>
          <w:bCs/>
          <w:color w:val="0D0D0D"/>
        </w:rPr>
      </w:pPr>
      <w:r w:rsidRPr="007E289A">
        <w:rPr>
          <w:rFonts w:ascii="Arial" w:hAnsi="Arial" w:cs="Arial"/>
          <w:b/>
          <w:bCs/>
          <w:color w:val="0D0D0D"/>
        </w:rPr>
        <w:t>CÓPIESE, NOTIFÍQUESE Y CÚMPLASE</w:t>
      </w:r>
    </w:p>
    <w:p w14:paraId="277DF7BD"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2695E70D"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5FCDABF2"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704A5507"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6EACDFE2" w14:textId="77777777" w:rsidR="00D32083" w:rsidRPr="007E289A" w:rsidRDefault="00D32083" w:rsidP="007E289A">
      <w:pPr>
        <w:pStyle w:val="Textoindependiente2"/>
        <w:widowControl w:val="0"/>
        <w:spacing w:after="0" w:line="240" w:lineRule="auto"/>
        <w:jc w:val="center"/>
        <w:rPr>
          <w:rFonts w:ascii="Arial" w:hAnsi="Arial" w:cs="Arial"/>
          <w:b/>
          <w:color w:val="0D0D0D"/>
        </w:rPr>
      </w:pPr>
      <w:r w:rsidRPr="007E289A">
        <w:rPr>
          <w:rFonts w:ascii="Arial" w:hAnsi="Arial" w:cs="Arial"/>
          <w:b/>
          <w:color w:val="0D0D0D"/>
        </w:rPr>
        <w:t>JAIME ENRIQUE RODRIGUEZ NAVAS</w:t>
      </w:r>
    </w:p>
    <w:p w14:paraId="7915C221" w14:textId="77777777" w:rsidR="00D32083" w:rsidRPr="007E289A" w:rsidRDefault="00D32083" w:rsidP="007E289A">
      <w:pPr>
        <w:pStyle w:val="Textoindependiente2"/>
        <w:widowControl w:val="0"/>
        <w:spacing w:after="0" w:line="240" w:lineRule="auto"/>
        <w:jc w:val="center"/>
        <w:rPr>
          <w:rFonts w:ascii="Arial" w:hAnsi="Arial" w:cs="Arial"/>
          <w:b/>
          <w:color w:val="0D0D0D"/>
        </w:rPr>
      </w:pPr>
      <w:r w:rsidRPr="007E289A">
        <w:rPr>
          <w:rFonts w:ascii="Arial" w:hAnsi="Arial" w:cs="Arial"/>
          <w:b/>
          <w:color w:val="0D0D0D"/>
        </w:rPr>
        <w:t>Magistrado</w:t>
      </w:r>
    </w:p>
    <w:p w14:paraId="52C574E2"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7C21D68B" w14:textId="77777777" w:rsidR="00D32083" w:rsidRPr="007E289A" w:rsidRDefault="00D32083" w:rsidP="007E289A">
      <w:pPr>
        <w:pStyle w:val="Textoindependiente2"/>
        <w:widowControl w:val="0"/>
        <w:spacing w:after="0" w:line="240" w:lineRule="auto"/>
        <w:jc w:val="center"/>
        <w:rPr>
          <w:rFonts w:ascii="Arial" w:hAnsi="Arial" w:cs="Arial"/>
          <w:b/>
          <w:color w:val="0D0D0D"/>
        </w:rPr>
      </w:pPr>
    </w:p>
    <w:p w14:paraId="39308789"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15CC621F"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5CDD0073" w14:textId="77777777" w:rsidR="00AF39A6" w:rsidRPr="007E289A" w:rsidRDefault="00BC4D4A" w:rsidP="007E289A">
      <w:pPr>
        <w:pStyle w:val="Textoindependiente2"/>
        <w:widowControl w:val="0"/>
        <w:spacing w:after="0" w:line="240" w:lineRule="auto"/>
        <w:jc w:val="center"/>
        <w:rPr>
          <w:rFonts w:ascii="Arial" w:hAnsi="Arial" w:cs="Arial"/>
          <w:b/>
          <w:color w:val="0D0D0D"/>
        </w:rPr>
      </w:pPr>
      <w:r w:rsidRPr="007E289A">
        <w:rPr>
          <w:rFonts w:ascii="Arial" w:hAnsi="Arial" w:cs="Arial"/>
          <w:b/>
          <w:color w:val="0D0D0D"/>
        </w:rPr>
        <w:t>GUILLERMO SÁNCHEZ LUQUE</w:t>
      </w:r>
    </w:p>
    <w:p w14:paraId="256716AB" w14:textId="77777777" w:rsidR="00BC4D4A" w:rsidRPr="007E289A" w:rsidRDefault="00BC4D4A" w:rsidP="007E289A">
      <w:pPr>
        <w:pStyle w:val="Textoindependiente2"/>
        <w:widowControl w:val="0"/>
        <w:spacing w:after="0" w:line="240" w:lineRule="auto"/>
        <w:jc w:val="center"/>
        <w:rPr>
          <w:rFonts w:ascii="Arial" w:hAnsi="Arial" w:cs="Arial"/>
          <w:b/>
          <w:color w:val="0D0D0D"/>
        </w:rPr>
      </w:pPr>
      <w:r w:rsidRPr="007E289A">
        <w:rPr>
          <w:rFonts w:ascii="Arial" w:hAnsi="Arial" w:cs="Arial"/>
          <w:b/>
          <w:color w:val="0D0D0D"/>
        </w:rPr>
        <w:t>Magistrado</w:t>
      </w:r>
    </w:p>
    <w:p w14:paraId="7EDD5E42" w14:textId="77777777" w:rsidR="00A72BDC" w:rsidRPr="007E289A" w:rsidRDefault="00A72BDC" w:rsidP="007E289A">
      <w:pPr>
        <w:pStyle w:val="Textoindependiente2"/>
        <w:widowControl w:val="0"/>
        <w:spacing w:after="0" w:line="240" w:lineRule="auto"/>
        <w:jc w:val="center"/>
        <w:rPr>
          <w:rFonts w:ascii="Arial" w:hAnsi="Arial" w:cs="Arial"/>
          <w:b/>
          <w:color w:val="0D0D0D"/>
        </w:rPr>
      </w:pPr>
    </w:p>
    <w:p w14:paraId="0D75F667"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017A7A9B"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52BE2DBA" w14:textId="77777777" w:rsidR="0023582E" w:rsidRPr="007E289A" w:rsidRDefault="0023582E" w:rsidP="007E289A">
      <w:pPr>
        <w:pStyle w:val="Textoindependiente2"/>
        <w:widowControl w:val="0"/>
        <w:spacing w:after="0" w:line="240" w:lineRule="auto"/>
        <w:jc w:val="center"/>
        <w:rPr>
          <w:rFonts w:ascii="Arial" w:hAnsi="Arial" w:cs="Arial"/>
          <w:b/>
          <w:color w:val="0D0D0D"/>
        </w:rPr>
      </w:pPr>
    </w:p>
    <w:p w14:paraId="64ED12DC" w14:textId="77777777" w:rsidR="00AF39A6" w:rsidRPr="007E289A" w:rsidRDefault="00AF39A6" w:rsidP="007E289A">
      <w:pPr>
        <w:pStyle w:val="Textoindependiente2"/>
        <w:widowControl w:val="0"/>
        <w:spacing w:after="0" w:line="240" w:lineRule="auto"/>
        <w:jc w:val="center"/>
        <w:rPr>
          <w:rFonts w:ascii="Arial" w:hAnsi="Arial" w:cs="Arial"/>
          <w:b/>
          <w:color w:val="0D0D0D"/>
        </w:rPr>
      </w:pPr>
      <w:r w:rsidRPr="007E289A">
        <w:rPr>
          <w:rFonts w:ascii="Arial" w:hAnsi="Arial" w:cs="Arial"/>
          <w:b/>
          <w:color w:val="0D0D0D"/>
        </w:rPr>
        <w:t>JAIME ORLANDO SANTOFIMIO GAMBOA</w:t>
      </w:r>
    </w:p>
    <w:p w14:paraId="75F96280" w14:textId="77777777" w:rsidR="00692FA7" w:rsidRPr="007E289A" w:rsidRDefault="00065A3D" w:rsidP="007E289A">
      <w:pPr>
        <w:widowControl w:val="0"/>
        <w:jc w:val="center"/>
        <w:rPr>
          <w:rFonts w:ascii="Arial" w:hAnsi="Arial" w:cs="Arial"/>
          <w:bCs/>
          <w:color w:val="0D0D0D"/>
        </w:rPr>
      </w:pPr>
      <w:r w:rsidRPr="007E289A">
        <w:rPr>
          <w:rFonts w:ascii="Arial" w:hAnsi="Arial" w:cs="Arial"/>
          <w:b/>
          <w:color w:val="0D0D0D"/>
        </w:rPr>
        <w:t>Magistrado Ponente</w:t>
      </w:r>
    </w:p>
    <w:sectPr w:rsidR="00692FA7" w:rsidRPr="007E289A" w:rsidSect="008D1806">
      <w:headerReference w:type="even" r:id="rId11"/>
      <w:headerReference w:type="first" r:id="rId12"/>
      <w:pgSz w:w="12242" w:h="18722" w:code="123"/>
      <w:pgMar w:top="1701" w:right="1701" w:bottom="1701" w:left="1701" w:header="0" w:footer="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FE90" w14:textId="77777777" w:rsidR="00D92377" w:rsidRDefault="00D92377" w:rsidP="00AF39A6">
      <w:r>
        <w:separator/>
      </w:r>
    </w:p>
  </w:endnote>
  <w:endnote w:type="continuationSeparator" w:id="0">
    <w:p w14:paraId="6347AF85" w14:textId="77777777" w:rsidR="00D92377" w:rsidRDefault="00D92377" w:rsidP="00AF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FB393" w14:textId="77777777" w:rsidR="00D92377" w:rsidRDefault="00D92377" w:rsidP="00AF39A6">
      <w:r>
        <w:separator/>
      </w:r>
    </w:p>
  </w:footnote>
  <w:footnote w:type="continuationSeparator" w:id="0">
    <w:p w14:paraId="2E6F73C6" w14:textId="77777777" w:rsidR="00D92377" w:rsidRDefault="00D92377" w:rsidP="00AF39A6">
      <w:r>
        <w:continuationSeparator/>
      </w:r>
    </w:p>
  </w:footnote>
  <w:footnote w:id="1">
    <w:p w14:paraId="00C9FECB" w14:textId="77777777" w:rsidR="00A12DB7" w:rsidRPr="008D1806" w:rsidRDefault="00A12DB7" w:rsidP="008D1806">
      <w:pPr>
        <w:pStyle w:val="Textonotapie"/>
        <w:tabs>
          <w:tab w:val="left" w:pos="5819"/>
        </w:tabs>
        <w:jc w:val="both"/>
        <w:rPr>
          <w:color w:val="0D0D0D"/>
          <w:sz w:val="20"/>
          <w:szCs w:val="20"/>
        </w:rPr>
      </w:pPr>
      <w:r w:rsidRPr="008D1806">
        <w:rPr>
          <w:rStyle w:val="Refdenotaalpie"/>
          <w:color w:val="0D0D0D"/>
          <w:sz w:val="20"/>
          <w:szCs w:val="20"/>
        </w:rPr>
        <w:footnoteRef/>
      </w:r>
      <w:r w:rsidRPr="008D1806">
        <w:rPr>
          <w:color w:val="0D0D0D"/>
          <w:sz w:val="20"/>
          <w:szCs w:val="20"/>
        </w:rPr>
        <w:t xml:space="preserve"> </w:t>
      </w:r>
      <w:proofErr w:type="spellStart"/>
      <w:r w:rsidRPr="008D1806">
        <w:rPr>
          <w:color w:val="0D0D0D"/>
          <w:sz w:val="20"/>
          <w:szCs w:val="20"/>
          <w:lang w:val="es-CO"/>
        </w:rPr>
        <w:t>Fls</w:t>
      </w:r>
      <w:proofErr w:type="spellEnd"/>
      <w:r w:rsidRPr="008D1806">
        <w:rPr>
          <w:color w:val="0D0D0D"/>
          <w:sz w:val="20"/>
          <w:szCs w:val="20"/>
          <w:lang w:val="es-CO"/>
        </w:rPr>
        <w:t>. 8 a 21 del C 1.</w:t>
      </w:r>
      <w:r w:rsidRPr="008D1806">
        <w:rPr>
          <w:color w:val="0D0D0D"/>
          <w:sz w:val="20"/>
          <w:szCs w:val="20"/>
          <w:lang w:val="es-CO"/>
        </w:rPr>
        <w:tab/>
      </w:r>
    </w:p>
  </w:footnote>
  <w:footnote w:id="2">
    <w:p w14:paraId="6040666B" w14:textId="77777777" w:rsidR="00A12DB7" w:rsidRPr="008D1806" w:rsidRDefault="00A12DB7" w:rsidP="008D1806">
      <w:pPr>
        <w:pStyle w:val="Textonotapie"/>
        <w:jc w:val="both"/>
        <w:rPr>
          <w:color w:val="0D0D0D"/>
          <w:sz w:val="20"/>
          <w:szCs w:val="20"/>
          <w:lang w:val="es-CO"/>
        </w:rPr>
      </w:pPr>
      <w:r w:rsidRPr="008D1806">
        <w:rPr>
          <w:rStyle w:val="Refdenotaalpie"/>
          <w:color w:val="0D0D0D"/>
          <w:sz w:val="20"/>
          <w:szCs w:val="20"/>
        </w:rPr>
        <w:footnoteRef/>
      </w:r>
      <w:r w:rsidRPr="008D1806">
        <w:rPr>
          <w:color w:val="0D0D0D"/>
          <w:sz w:val="20"/>
          <w:szCs w:val="20"/>
        </w:rPr>
        <w:t xml:space="preserve"> </w:t>
      </w:r>
      <w:r w:rsidRPr="008D1806">
        <w:rPr>
          <w:color w:val="0D0D0D"/>
          <w:sz w:val="20"/>
          <w:szCs w:val="20"/>
          <w:lang w:val="es-CO"/>
        </w:rPr>
        <w:t>Poder otorgado al doctor Gustavo Vargas Quintero, por la doctora Olga Lí Romero Delgado en su calidad del Subdirectora Jurídica (A quien mediante Resolución Nº 2123 de 3 de septiembre de 2012 se delega la facultad de otorgar poderes para designar apoderados especiales que representen a la CAR judicial y extrajudicialmente) de la Corporación Autónoma Regional de Cundinamarca –CAR la cual fue nombrada mediante Resolución Nº 2108 del 31 de agosto de 2012 (Fl.6 del C.1).</w:t>
      </w:r>
    </w:p>
  </w:footnote>
  <w:footnote w:id="3">
    <w:p w14:paraId="21A60B50" w14:textId="77777777" w:rsidR="00A12DB7" w:rsidRPr="008D1806" w:rsidRDefault="00A12DB7" w:rsidP="008D1806">
      <w:pPr>
        <w:pStyle w:val="Textonotapie"/>
        <w:jc w:val="both"/>
        <w:rPr>
          <w:color w:val="0D0D0D"/>
          <w:sz w:val="20"/>
          <w:szCs w:val="20"/>
          <w:lang w:val="es-CO"/>
        </w:rPr>
      </w:pPr>
      <w:r w:rsidRPr="008D1806">
        <w:rPr>
          <w:rStyle w:val="Refdenotaalpie"/>
          <w:color w:val="0D0D0D"/>
          <w:sz w:val="20"/>
          <w:szCs w:val="20"/>
        </w:rPr>
        <w:footnoteRef/>
      </w:r>
      <w:r w:rsidRPr="008D1806">
        <w:rPr>
          <w:color w:val="0D0D0D"/>
          <w:sz w:val="20"/>
          <w:szCs w:val="20"/>
        </w:rPr>
        <w:t xml:space="preserve"> </w:t>
      </w:r>
      <w:r w:rsidRPr="008D1806">
        <w:rPr>
          <w:color w:val="0D0D0D"/>
          <w:sz w:val="20"/>
          <w:szCs w:val="20"/>
          <w:lang w:val="es-CO"/>
        </w:rPr>
        <w:t>Fl. 9 del C.1</w:t>
      </w:r>
    </w:p>
  </w:footnote>
  <w:footnote w:id="4">
    <w:p w14:paraId="7A0CC557" w14:textId="77777777" w:rsidR="00A12DB7" w:rsidRPr="008D1806" w:rsidRDefault="00A12DB7" w:rsidP="008D1806">
      <w:pPr>
        <w:pStyle w:val="Textonotapie"/>
        <w:jc w:val="both"/>
        <w:rPr>
          <w:color w:val="0D0D0D"/>
          <w:sz w:val="20"/>
          <w:szCs w:val="20"/>
          <w:lang w:val="es-CO"/>
        </w:rPr>
      </w:pPr>
      <w:r w:rsidRPr="008D1806">
        <w:rPr>
          <w:rStyle w:val="Refdenotaalpie"/>
          <w:color w:val="0D0D0D"/>
          <w:sz w:val="20"/>
          <w:szCs w:val="20"/>
        </w:rPr>
        <w:footnoteRef/>
      </w:r>
      <w:r w:rsidRPr="008D1806">
        <w:rPr>
          <w:color w:val="0D0D0D"/>
          <w:sz w:val="20"/>
          <w:szCs w:val="20"/>
          <w:lang w:val="es-CO"/>
        </w:rPr>
        <w:t xml:space="preserve"> Fl. 9 al 11 del C.1</w:t>
      </w:r>
    </w:p>
  </w:footnote>
  <w:footnote w:id="5">
    <w:p w14:paraId="56FB8D2B" w14:textId="77777777" w:rsidR="00A12DB7" w:rsidRPr="008D1806" w:rsidRDefault="00A12DB7" w:rsidP="008D1806">
      <w:pPr>
        <w:pStyle w:val="Ttulo3"/>
        <w:keepNext w:val="0"/>
        <w:widowControl w:val="0"/>
        <w:spacing w:before="0" w:after="0"/>
        <w:jc w:val="both"/>
        <w:rPr>
          <w:rFonts w:ascii="Times New Roman" w:hAnsi="Times New Roman"/>
          <w:b w:val="0"/>
          <w:color w:val="0D0D0D"/>
          <w:sz w:val="20"/>
          <w:szCs w:val="20"/>
          <w:lang w:val="es-CO" w:eastAsia="es-CO"/>
        </w:rPr>
      </w:pPr>
      <w:r w:rsidRPr="008D1806">
        <w:rPr>
          <w:rStyle w:val="Refdenotaalpie"/>
          <w:rFonts w:ascii="Times New Roman" w:hAnsi="Times New Roman"/>
          <w:b w:val="0"/>
          <w:color w:val="0D0D0D"/>
          <w:sz w:val="20"/>
          <w:szCs w:val="20"/>
        </w:rPr>
        <w:footnoteRef/>
      </w:r>
      <w:r w:rsidRPr="008D1806">
        <w:rPr>
          <w:rFonts w:ascii="Times New Roman" w:hAnsi="Times New Roman"/>
          <w:b w:val="0"/>
          <w:bCs w:val="0"/>
          <w:color w:val="0D0D0D"/>
          <w:sz w:val="20"/>
          <w:szCs w:val="20"/>
          <w:lang w:val="es-CO" w:eastAsia="es-CO"/>
        </w:rPr>
        <w:t xml:space="preserve"> “</w:t>
      </w:r>
      <w:bookmarkStart w:id="0" w:name="75B03853-DA9A-4606-8B67-FE4ADA5EEA14"/>
      <w:bookmarkStart w:id="1" w:name="E5B4A670-3C87-4F86-873B-9DE96E46B170"/>
      <w:bookmarkStart w:id="2" w:name="F5181066-7F66-4A43-92E0-A386168CE685"/>
      <w:bookmarkEnd w:id="0"/>
      <w:bookmarkEnd w:id="1"/>
      <w:bookmarkEnd w:id="2"/>
      <w:r w:rsidRPr="008D1806">
        <w:rPr>
          <w:rFonts w:ascii="Times New Roman" w:hAnsi="Times New Roman"/>
          <w:b w:val="0"/>
          <w:color w:val="0D0D0D"/>
          <w:sz w:val="20"/>
          <w:szCs w:val="20"/>
          <w:lang w:val="es-CO" w:eastAsia="es-CO"/>
        </w:rPr>
        <w:t>Por la cual se aprueba el Acuerdo número 0029 de mayo 5 de 1987, de la Junta Directiva del Instituto Nacional de los Recursos Naturales Renovables y del Ambiente -INDERENA-.</w:t>
      </w:r>
    </w:p>
    <w:p w14:paraId="0B63A07D" w14:textId="77777777" w:rsidR="00A12DB7" w:rsidRPr="008D1806" w:rsidRDefault="00A12DB7" w:rsidP="008D1806">
      <w:pPr>
        <w:jc w:val="both"/>
        <w:outlineLvl w:val="2"/>
        <w:rPr>
          <w:color w:val="0D0D0D"/>
          <w:sz w:val="20"/>
          <w:szCs w:val="20"/>
          <w:lang w:val="es-CO" w:eastAsia="es-CO"/>
        </w:rPr>
      </w:pPr>
      <w:bookmarkStart w:id="3" w:name="BD1380BC-6CAF-4F1A-8495-B5B78D8684EB"/>
      <w:bookmarkStart w:id="4" w:name="DFBCDD0F-79EA-4702-8842-EADBCF325254"/>
      <w:bookmarkEnd w:id="3"/>
      <w:bookmarkEnd w:id="4"/>
      <w:r w:rsidRPr="008D1806">
        <w:rPr>
          <w:color w:val="0D0D0D"/>
          <w:sz w:val="20"/>
          <w:szCs w:val="20"/>
          <w:lang w:val="es-CO" w:eastAsia="es-CO"/>
        </w:rPr>
        <w:t>CONSIDERANDO:</w:t>
      </w:r>
    </w:p>
    <w:p w14:paraId="0810842D" w14:textId="77777777" w:rsidR="00A12DB7" w:rsidRPr="008D1806" w:rsidRDefault="00A12DB7" w:rsidP="008D1806">
      <w:pPr>
        <w:jc w:val="both"/>
        <w:rPr>
          <w:color w:val="0D0D0D"/>
          <w:sz w:val="20"/>
          <w:szCs w:val="20"/>
          <w:lang w:val="es-CO" w:eastAsia="es-CO"/>
        </w:rPr>
      </w:pPr>
      <w:bookmarkStart w:id="5" w:name="EDC7443E-BE60-49B8-AE09-930A5E191518"/>
      <w:bookmarkEnd w:id="5"/>
      <w:r w:rsidRPr="008D1806">
        <w:rPr>
          <w:color w:val="0D0D0D"/>
          <w:sz w:val="20"/>
          <w:szCs w:val="20"/>
          <w:lang w:val="es-CO" w:eastAsia="es-CO"/>
        </w:rPr>
        <w:t>Que la Junta Directiva del Instituto Nacional de los Recursos Naturales Renovables y del Ambiente -INDERENA-, en ejercicio de las funciones otorgadas por el artículo </w:t>
      </w:r>
      <w:hyperlink r:id="rId1" w:tgtFrame="_self" w:history="1">
        <w:r w:rsidRPr="008D1806">
          <w:rPr>
            <w:color w:val="0D0D0D"/>
            <w:sz w:val="20"/>
            <w:szCs w:val="20"/>
            <w:lang w:val="es-CO" w:eastAsia="es-CO"/>
          </w:rPr>
          <w:t>14</w:t>
        </w:r>
      </w:hyperlink>
      <w:r w:rsidRPr="008D1806">
        <w:rPr>
          <w:color w:val="0D0D0D"/>
          <w:sz w:val="20"/>
          <w:szCs w:val="20"/>
          <w:lang w:val="es-CO" w:eastAsia="es-CO"/>
        </w:rPr>
        <w:t> el Decreto 2683 de 1977, concordante con el artículo </w:t>
      </w:r>
      <w:hyperlink r:id="rId2" w:tgtFrame="_self" w:history="1">
        <w:r w:rsidRPr="008D1806">
          <w:rPr>
            <w:color w:val="0D0D0D"/>
            <w:sz w:val="20"/>
            <w:szCs w:val="20"/>
            <w:lang w:val="es-CO" w:eastAsia="es-CO"/>
          </w:rPr>
          <w:t>38</w:t>
        </w:r>
      </w:hyperlink>
      <w:r w:rsidRPr="008D1806">
        <w:rPr>
          <w:color w:val="0D0D0D"/>
          <w:sz w:val="20"/>
          <w:szCs w:val="20"/>
          <w:lang w:val="es-CO" w:eastAsia="es-CO"/>
        </w:rPr>
        <w:t> , literal b) del Decreto 133 de 1976, mediante Acuerdo número 0029 de 5 de mayo de 1987, ordenó declarar área de reserva forestal protectora el Cerro Quininí, ubicado en jurisdicción del Municipio de Tibacuy, Departamento de Cundinamarca;</w:t>
      </w:r>
      <w:bookmarkStart w:id="6" w:name="BF602050-8712-4B67-8345-12C00BD42E50"/>
      <w:bookmarkEnd w:id="6"/>
      <w:r w:rsidRPr="008D1806">
        <w:rPr>
          <w:color w:val="0D0D0D"/>
          <w:sz w:val="20"/>
          <w:szCs w:val="20"/>
          <w:lang w:val="es-CO" w:eastAsia="es-CO"/>
        </w:rPr>
        <w:t xml:space="preserve"> Que de conformidad con el Decreto </w:t>
      </w:r>
      <w:hyperlink r:id="rId3" w:tgtFrame="_self" w:history="1">
        <w:r w:rsidRPr="008D1806">
          <w:rPr>
            <w:color w:val="0D0D0D"/>
            <w:sz w:val="20"/>
            <w:szCs w:val="20"/>
            <w:lang w:val="es-CO" w:eastAsia="es-CO"/>
          </w:rPr>
          <w:t>133</w:t>
        </w:r>
      </w:hyperlink>
      <w:r w:rsidRPr="008D1806">
        <w:rPr>
          <w:color w:val="0D0D0D"/>
          <w:sz w:val="20"/>
          <w:szCs w:val="20"/>
          <w:lang w:val="es-CO" w:eastAsia="es-CO"/>
        </w:rPr>
        <w:t> de 1976, las declaraciones de reserva forestal, para su validez requieren de la aprobación del Gobierno Nacional,</w:t>
      </w:r>
    </w:p>
    <w:p w14:paraId="7CAB5EA0" w14:textId="77777777" w:rsidR="00A12DB7" w:rsidRPr="008D1806" w:rsidRDefault="00A12DB7" w:rsidP="008D1806">
      <w:pPr>
        <w:jc w:val="both"/>
        <w:outlineLvl w:val="2"/>
        <w:rPr>
          <w:b/>
          <w:color w:val="0D0D0D"/>
          <w:sz w:val="20"/>
          <w:szCs w:val="20"/>
          <w:lang w:val="es-CO" w:eastAsia="es-CO"/>
        </w:rPr>
      </w:pPr>
      <w:bookmarkStart w:id="7" w:name="CBD3E753-5CB1-4F48-BA71-27522D39D36B"/>
      <w:bookmarkEnd w:id="7"/>
      <w:r w:rsidRPr="008D1806">
        <w:rPr>
          <w:b/>
          <w:color w:val="0D0D0D"/>
          <w:sz w:val="20"/>
          <w:szCs w:val="20"/>
          <w:lang w:val="es-CO" w:eastAsia="es-CO"/>
        </w:rPr>
        <w:t>RESUELVE:</w:t>
      </w:r>
    </w:p>
    <w:p w14:paraId="555A2DBD" w14:textId="77777777" w:rsidR="00A12DB7" w:rsidRPr="008D1806" w:rsidRDefault="00A12DB7" w:rsidP="008D1806">
      <w:pPr>
        <w:jc w:val="both"/>
        <w:rPr>
          <w:color w:val="0D0D0D"/>
          <w:sz w:val="20"/>
          <w:szCs w:val="20"/>
          <w:lang w:val="es-CO" w:eastAsia="es-CO"/>
        </w:rPr>
      </w:pPr>
      <w:bookmarkStart w:id="8" w:name="BACF76B6-8569-42FE-B8FF-9AEE32442FF3"/>
      <w:bookmarkEnd w:id="8"/>
      <w:r w:rsidRPr="008D1806">
        <w:rPr>
          <w:b/>
          <w:color w:val="0D0D0D"/>
          <w:sz w:val="20"/>
          <w:szCs w:val="20"/>
          <w:lang w:val="es-CO" w:eastAsia="es-CO"/>
        </w:rPr>
        <w:t>ARTICULO 1o</w:t>
      </w:r>
      <w:r w:rsidRPr="008D1806">
        <w:rPr>
          <w:color w:val="0D0D0D"/>
          <w:sz w:val="20"/>
          <w:szCs w:val="20"/>
          <w:lang w:val="es-CO" w:eastAsia="es-CO"/>
        </w:rPr>
        <w:t>. Aprobar el Acuerdo número 0029 de 5 de mayo de 1987; de la Junta Directiva del Instituto Nacional de los Recursos Naturales Renovables y del Ambiente -INDERENA-, cuyo texto es el siguiente:</w:t>
      </w:r>
    </w:p>
    <w:p w14:paraId="7F99912F" w14:textId="77777777" w:rsidR="00A12DB7" w:rsidRPr="008D1806" w:rsidRDefault="00A12DB7" w:rsidP="008D1806">
      <w:pPr>
        <w:jc w:val="both"/>
        <w:rPr>
          <w:color w:val="0D0D0D"/>
          <w:sz w:val="20"/>
          <w:szCs w:val="20"/>
          <w:lang w:val="es-CO" w:eastAsia="es-CO"/>
        </w:rPr>
      </w:pPr>
      <w:bookmarkStart w:id="9" w:name="75A406A0-6708-45F5-A904-CD27C2A1340E"/>
      <w:bookmarkEnd w:id="9"/>
      <w:r w:rsidRPr="008D1806">
        <w:rPr>
          <w:color w:val="0D0D0D"/>
          <w:sz w:val="20"/>
          <w:szCs w:val="20"/>
          <w:lang w:val="es-CO" w:eastAsia="es-CO"/>
        </w:rPr>
        <w:t>INSTITUTO NACIONAL DE LOS RECURSOS NATURALES RENOVABLES Y DEL AMBIENTE -INDERENA-</w:t>
      </w:r>
    </w:p>
    <w:p w14:paraId="4163BCFF" w14:textId="77777777" w:rsidR="00A12DB7" w:rsidRPr="008D1806" w:rsidRDefault="00A12DB7" w:rsidP="008D1806">
      <w:pPr>
        <w:jc w:val="both"/>
        <w:rPr>
          <w:color w:val="0D0D0D"/>
          <w:sz w:val="20"/>
          <w:szCs w:val="20"/>
          <w:lang w:val="es-CO" w:eastAsia="es-CO"/>
        </w:rPr>
      </w:pPr>
      <w:bookmarkStart w:id="10" w:name="9187B2EE-6785-45AC-A8AD-A0E938FE3EC3"/>
      <w:bookmarkEnd w:id="10"/>
      <w:r w:rsidRPr="008D1806">
        <w:rPr>
          <w:color w:val="0D0D0D"/>
          <w:sz w:val="20"/>
          <w:szCs w:val="20"/>
          <w:lang w:val="es-CO" w:eastAsia="es-CO"/>
        </w:rPr>
        <w:t>ACUERDO No. 0029 DEL 5 DE MAYO DE 1987.</w:t>
      </w:r>
    </w:p>
    <w:p w14:paraId="2A566578" w14:textId="77777777" w:rsidR="00A12DB7" w:rsidRPr="008D1806" w:rsidRDefault="00A12DB7" w:rsidP="008D1806">
      <w:pPr>
        <w:pStyle w:val="Textonotapie"/>
        <w:jc w:val="both"/>
        <w:rPr>
          <w:color w:val="0D0D0D"/>
          <w:sz w:val="20"/>
          <w:szCs w:val="20"/>
          <w:lang w:val="es-CO"/>
        </w:rPr>
      </w:pPr>
      <w:bookmarkStart w:id="11" w:name="78A1B0AE-1016-46A3-AC8F-4174CFFC9150"/>
      <w:bookmarkStart w:id="12" w:name="B7231E09-FA8C-4634-BB4A-FE0D195FC0E6"/>
      <w:bookmarkEnd w:id="11"/>
      <w:bookmarkEnd w:id="12"/>
      <w:r w:rsidRPr="008D1806">
        <w:rPr>
          <w:color w:val="0D0D0D"/>
          <w:sz w:val="20"/>
          <w:szCs w:val="20"/>
          <w:lang w:val="es-CO"/>
        </w:rPr>
        <w:t>(…)”.</w:t>
      </w:r>
    </w:p>
  </w:footnote>
  <w:footnote w:id="6">
    <w:p w14:paraId="4F7F7679" w14:textId="77777777" w:rsidR="00A12DB7" w:rsidRPr="008D1806" w:rsidRDefault="00A12DB7" w:rsidP="008D1806">
      <w:pPr>
        <w:pStyle w:val="Textonotapie"/>
        <w:jc w:val="both"/>
        <w:rPr>
          <w:color w:val="0D0D0D"/>
          <w:sz w:val="20"/>
          <w:szCs w:val="20"/>
          <w:lang w:val="es-ES_tradnl"/>
        </w:rPr>
      </w:pPr>
      <w:r w:rsidRPr="008D1806">
        <w:rPr>
          <w:rStyle w:val="Refdenotaalpie"/>
          <w:color w:val="0D0D0D"/>
          <w:sz w:val="20"/>
          <w:szCs w:val="20"/>
        </w:rPr>
        <w:footnoteRef/>
      </w:r>
      <w:r w:rsidRPr="008D1806">
        <w:rPr>
          <w:color w:val="0D0D0D"/>
          <w:sz w:val="20"/>
          <w:szCs w:val="20"/>
        </w:rPr>
        <w:t xml:space="preserve"> Fls. 24 al 26 del C. 1</w:t>
      </w:r>
    </w:p>
  </w:footnote>
  <w:footnote w:id="7">
    <w:p w14:paraId="67F0DD8A" w14:textId="77777777" w:rsidR="00A12DB7" w:rsidRPr="008D1806" w:rsidRDefault="00A12DB7" w:rsidP="008D1806">
      <w:pPr>
        <w:pStyle w:val="Textonotapie"/>
        <w:jc w:val="both"/>
        <w:rPr>
          <w:color w:val="0D0D0D"/>
          <w:sz w:val="20"/>
          <w:szCs w:val="20"/>
          <w:lang w:val="es-CO"/>
        </w:rPr>
      </w:pPr>
      <w:r w:rsidRPr="008D1806">
        <w:rPr>
          <w:rStyle w:val="Refdenotaalpie"/>
          <w:color w:val="0D0D0D"/>
          <w:sz w:val="20"/>
          <w:szCs w:val="20"/>
        </w:rPr>
        <w:footnoteRef/>
      </w:r>
      <w:r w:rsidRPr="008D1806">
        <w:rPr>
          <w:color w:val="0D0D0D"/>
          <w:sz w:val="20"/>
          <w:szCs w:val="20"/>
          <w:lang w:val="es-CO"/>
        </w:rPr>
        <w:t xml:space="preserve"> Fls. 27 a 29 del C. 1</w:t>
      </w:r>
    </w:p>
  </w:footnote>
  <w:footnote w:id="8">
    <w:p w14:paraId="1E6FF251" w14:textId="77777777" w:rsidR="00A12DB7" w:rsidRPr="008D1806" w:rsidRDefault="00A12DB7" w:rsidP="008D1806">
      <w:pPr>
        <w:pStyle w:val="Textonotapie"/>
        <w:jc w:val="both"/>
        <w:rPr>
          <w:color w:val="0D0D0D"/>
          <w:sz w:val="20"/>
          <w:szCs w:val="20"/>
          <w:lang w:val="es-CO"/>
        </w:rPr>
      </w:pPr>
      <w:r w:rsidRPr="008D1806">
        <w:rPr>
          <w:rStyle w:val="Refdenotaalpie"/>
          <w:color w:val="0D0D0D"/>
          <w:sz w:val="20"/>
          <w:szCs w:val="20"/>
        </w:rPr>
        <w:footnoteRef/>
      </w:r>
      <w:r w:rsidRPr="008D1806">
        <w:rPr>
          <w:color w:val="0D0D0D"/>
          <w:sz w:val="20"/>
          <w:szCs w:val="20"/>
          <w:lang w:val="es-CO"/>
        </w:rPr>
        <w:t xml:space="preserve"> Fls. 66 al 78 del C. 1</w:t>
      </w:r>
    </w:p>
  </w:footnote>
  <w:footnote w:id="9">
    <w:p w14:paraId="47AFD894"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color w:val="0D0D0D"/>
          <w:sz w:val="20"/>
          <w:szCs w:val="20"/>
          <w:lang w:val="es-CO"/>
        </w:rPr>
        <w:t>Fls. 91 al 105 del C. 1</w:t>
      </w:r>
    </w:p>
  </w:footnote>
  <w:footnote w:id="10">
    <w:p w14:paraId="401486B9"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color w:val="0D0D0D"/>
          <w:sz w:val="20"/>
          <w:szCs w:val="20"/>
          <w:lang w:val="es-CO"/>
        </w:rPr>
        <w:t>Fl. 108 del C. 1</w:t>
      </w:r>
    </w:p>
  </w:footnote>
  <w:footnote w:id="11">
    <w:p w14:paraId="6E8142B1"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 114 del C.1</w:t>
      </w:r>
    </w:p>
  </w:footnote>
  <w:footnote w:id="12">
    <w:p w14:paraId="6FE8782F"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Fl.143 del C1</w:t>
      </w:r>
    </w:p>
  </w:footnote>
  <w:footnote w:id="13">
    <w:p w14:paraId="445794E4"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Fl.148 del C1</w:t>
      </w:r>
    </w:p>
  </w:footnote>
  <w:footnote w:id="14">
    <w:p w14:paraId="6EF7C55E" w14:textId="77777777" w:rsidR="00A12DB7" w:rsidRPr="008D1806" w:rsidRDefault="00A12DB7"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 150 del C1</w:t>
      </w:r>
    </w:p>
  </w:footnote>
  <w:footnote w:id="15">
    <w:p w14:paraId="325B9F7C" w14:textId="77777777" w:rsidR="00827203" w:rsidRPr="008D1806" w:rsidRDefault="006D03C5" w:rsidP="008D1806">
      <w:pPr>
        <w:pStyle w:val="NormalWeb"/>
        <w:shd w:val="clear" w:color="auto" w:fill="FFFFFF"/>
        <w:spacing w:beforeLines="0" w:afterLines="0"/>
        <w:jc w:val="both"/>
        <w:rPr>
          <w:rFonts w:ascii="Times New Roman" w:hAnsi="Times New Roman"/>
          <w:color w:val="000000"/>
          <w:lang w:val="es-CO" w:eastAsia="es-CO"/>
        </w:rPr>
      </w:pPr>
      <w:r w:rsidRPr="008D1806">
        <w:rPr>
          <w:rStyle w:val="Refdenotaalpie"/>
          <w:rFonts w:ascii="Times New Roman" w:hAnsi="Times New Roman"/>
        </w:rPr>
        <w:footnoteRef/>
      </w:r>
      <w:r w:rsidRPr="008D1806">
        <w:rPr>
          <w:rFonts w:ascii="Times New Roman" w:hAnsi="Times New Roman"/>
        </w:rPr>
        <w:t xml:space="preserve"> </w:t>
      </w:r>
      <w:r w:rsidR="00827203" w:rsidRPr="008D1806">
        <w:rPr>
          <w:rFonts w:ascii="Times New Roman" w:hAnsi="Times New Roman"/>
        </w:rPr>
        <w:t xml:space="preserve">Ley 1437 de 2011. </w:t>
      </w:r>
      <w:proofErr w:type="gramStart"/>
      <w:r w:rsidR="00827203" w:rsidRPr="008D1806">
        <w:rPr>
          <w:rFonts w:ascii="Times New Roman" w:hAnsi="Times New Roman"/>
          <w:bCs/>
          <w:color w:val="000000"/>
          <w:lang w:val="es-CO" w:eastAsia="es-CO"/>
        </w:rPr>
        <w:t>Artículo </w:t>
      </w:r>
      <w:bookmarkStart w:id="13" w:name="141"/>
      <w:r w:rsidR="00827203" w:rsidRPr="008D1806">
        <w:rPr>
          <w:rFonts w:ascii="Times New Roman" w:hAnsi="Times New Roman"/>
          <w:bCs/>
          <w:color w:val="000000"/>
          <w:lang w:val="es-CO" w:eastAsia="es-CO"/>
        </w:rPr>
        <w:t> </w:t>
      </w:r>
      <w:bookmarkEnd w:id="13"/>
      <w:r w:rsidR="00827203" w:rsidRPr="008D1806">
        <w:rPr>
          <w:rFonts w:ascii="Times New Roman" w:hAnsi="Times New Roman"/>
          <w:bCs/>
          <w:color w:val="000000"/>
          <w:lang w:val="es-CO" w:eastAsia="es-CO"/>
        </w:rPr>
        <w:t>141</w:t>
      </w:r>
      <w:proofErr w:type="gramEnd"/>
      <w:r w:rsidR="00827203" w:rsidRPr="008D1806">
        <w:rPr>
          <w:rFonts w:ascii="Times New Roman" w:hAnsi="Times New Roman"/>
          <w:bCs/>
          <w:color w:val="000000"/>
          <w:lang w:val="es-CO" w:eastAsia="es-CO"/>
        </w:rPr>
        <w:t>. </w:t>
      </w:r>
      <w:r w:rsidR="00827203" w:rsidRPr="008D1806">
        <w:rPr>
          <w:rFonts w:ascii="Times New Roman" w:hAnsi="Times New Roman"/>
          <w:bCs/>
          <w:i/>
          <w:iCs/>
          <w:color w:val="000000"/>
          <w:lang w:val="es-CO" w:eastAsia="es-CO"/>
        </w:rPr>
        <w:t>Controversias contractuales.</w:t>
      </w:r>
      <w:r w:rsidR="00827203" w:rsidRPr="008D1806">
        <w:rPr>
          <w:rFonts w:ascii="Times New Roman" w:hAnsi="Times New Roman"/>
          <w:i/>
          <w:iCs/>
          <w:color w:val="000000"/>
          <w:lang w:val="es-CO" w:eastAsia="es-CO"/>
        </w:rPr>
        <w:t> </w:t>
      </w:r>
      <w:r w:rsidR="00827203" w:rsidRPr="008D1806">
        <w:rPr>
          <w:rFonts w:ascii="Times New Roman" w:hAnsi="Times New Roman"/>
          <w:color w:val="000000"/>
          <w:lang w:val="es-CO" w:eastAsia="es-CO"/>
        </w:rPr>
        <w:t>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w:t>
      </w:r>
    </w:p>
    <w:p w14:paraId="0002271A" w14:textId="77777777" w:rsidR="00827203" w:rsidRPr="008D1806" w:rsidRDefault="00827203" w:rsidP="008D1806">
      <w:pPr>
        <w:shd w:val="clear" w:color="auto" w:fill="FFFFFF"/>
        <w:jc w:val="both"/>
        <w:rPr>
          <w:color w:val="000000"/>
          <w:sz w:val="20"/>
          <w:szCs w:val="20"/>
          <w:lang w:val="es-CO" w:eastAsia="es-CO"/>
        </w:rPr>
      </w:pPr>
      <w:r w:rsidRPr="008D1806">
        <w:rPr>
          <w:color w:val="000000"/>
          <w:sz w:val="20"/>
          <w:szCs w:val="20"/>
          <w:lang w:val="es-CO" w:eastAsia="es-CO"/>
        </w:rPr>
        <w:t>Los actos proferidos antes de la celebración del contrato, con ocasión de la actividad contractual, podrán demandarse en los términos de los artículos 137 y 138 de este Código, según el caso.</w:t>
      </w:r>
    </w:p>
    <w:p w14:paraId="6DA2B5C2" w14:textId="77777777" w:rsidR="006D03C5" w:rsidRPr="008D1806" w:rsidRDefault="00827203" w:rsidP="008D1806">
      <w:pPr>
        <w:shd w:val="clear" w:color="auto" w:fill="FFFFFF"/>
        <w:jc w:val="both"/>
        <w:rPr>
          <w:color w:val="000000"/>
          <w:sz w:val="20"/>
          <w:szCs w:val="20"/>
          <w:lang w:val="es-CO" w:eastAsia="es-CO"/>
        </w:rPr>
      </w:pPr>
      <w:r w:rsidRPr="008D1806">
        <w:rPr>
          <w:color w:val="000000"/>
          <w:sz w:val="20"/>
          <w:szCs w:val="20"/>
          <w:lang w:val="es-CO" w:eastAsia="es-CO"/>
        </w:rPr>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footnote>
  <w:footnote w:id="16">
    <w:p w14:paraId="1623BEDA" w14:textId="77777777" w:rsidR="00BE08D8" w:rsidRPr="008D1806" w:rsidRDefault="00BE08D8" w:rsidP="008D1806">
      <w:pPr>
        <w:pStyle w:val="Textonotapie"/>
        <w:jc w:val="both"/>
        <w:rPr>
          <w:color w:val="000000"/>
          <w:sz w:val="20"/>
          <w:szCs w:val="20"/>
        </w:rPr>
      </w:pPr>
      <w:r w:rsidRPr="008D1806">
        <w:rPr>
          <w:rStyle w:val="Refdenotaalpie"/>
          <w:color w:val="000000"/>
          <w:sz w:val="20"/>
          <w:szCs w:val="20"/>
        </w:rPr>
        <w:footnoteRef/>
      </w:r>
      <w:r w:rsidRPr="008D1806">
        <w:rPr>
          <w:color w:val="000000"/>
          <w:sz w:val="20"/>
          <w:szCs w:val="20"/>
        </w:rPr>
        <w:t xml:space="preserve"> SANTOFIMIO GAMBOA, Jaime Orlando. Tratado de Derecho Administrativo. Tomo III. Contencioso Administrativo. Bogotá, Universidad Externado de Colombia, 2004, p. 227-230.</w:t>
      </w:r>
    </w:p>
  </w:footnote>
  <w:footnote w:id="17">
    <w:p w14:paraId="745D7DB2" w14:textId="77777777" w:rsidR="00BE08D8" w:rsidRPr="008D1806" w:rsidRDefault="00BE08D8" w:rsidP="008D1806">
      <w:pPr>
        <w:pStyle w:val="Textonotapie"/>
        <w:jc w:val="both"/>
        <w:rPr>
          <w:color w:val="000000"/>
          <w:sz w:val="20"/>
          <w:szCs w:val="20"/>
          <w:lang w:val="es-CO"/>
        </w:rPr>
      </w:pPr>
      <w:r w:rsidRPr="008D1806">
        <w:rPr>
          <w:rStyle w:val="Refdenotaalpie"/>
          <w:color w:val="000000"/>
          <w:sz w:val="20"/>
          <w:szCs w:val="20"/>
        </w:rPr>
        <w:footnoteRef/>
      </w:r>
      <w:r w:rsidRPr="008D1806">
        <w:rPr>
          <w:color w:val="000000"/>
          <w:sz w:val="20"/>
          <w:szCs w:val="20"/>
        </w:rPr>
        <w:t xml:space="preserve"> </w:t>
      </w:r>
      <w:r w:rsidRPr="008D1806">
        <w:rPr>
          <w:color w:val="000000"/>
          <w:sz w:val="20"/>
          <w:szCs w:val="20"/>
          <w:lang w:val="es-CO"/>
        </w:rPr>
        <w:t>Consejo de Estado, Sala de lo Contencioso Administrativo, Sección Tercera, Subsección C. Auto de 12 de agosto de 2014. Exp. 25.052</w:t>
      </w:r>
    </w:p>
  </w:footnote>
  <w:footnote w:id="18">
    <w:p w14:paraId="41AC00F6" w14:textId="77777777" w:rsidR="00BE08D8" w:rsidRPr="008D1806" w:rsidRDefault="00BE08D8" w:rsidP="008D1806">
      <w:pPr>
        <w:jc w:val="both"/>
        <w:rPr>
          <w:color w:val="000000"/>
          <w:sz w:val="20"/>
          <w:szCs w:val="20"/>
        </w:rPr>
      </w:pPr>
      <w:r w:rsidRPr="008D1806">
        <w:rPr>
          <w:rStyle w:val="Refdenotaalpie"/>
          <w:color w:val="000000"/>
          <w:sz w:val="20"/>
          <w:szCs w:val="20"/>
        </w:rPr>
        <w:footnoteRef/>
      </w:r>
      <w:r w:rsidRPr="008D1806">
        <w:rPr>
          <w:color w:val="000000"/>
          <w:sz w:val="20"/>
          <w:szCs w:val="20"/>
        </w:rPr>
        <w:t xml:space="preserve"> Corte Constitucional, SC-165 de 1993.</w:t>
      </w:r>
      <w:r w:rsidRPr="008D1806">
        <w:rPr>
          <w:iCs/>
          <w:color w:val="000000"/>
          <w:sz w:val="20"/>
          <w:szCs w:val="20"/>
        </w:rPr>
        <w:t xml:space="preserve"> “Desde esta perspectiva, es claro que la justicia, entendida como la resultante de la efectiva y recta mediación y resolución con carácter definitivo de los conflictos surgidos en el transcurso del devenir social, se mide en términos del referente social y no de uno de sus miembros”.</w:t>
      </w:r>
    </w:p>
  </w:footnote>
  <w:footnote w:id="19">
    <w:p w14:paraId="7EADBB66" w14:textId="77777777" w:rsidR="00BE08D8" w:rsidRPr="008D1806" w:rsidRDefault="00BE08D8" w:rsidP="008D1806">
      <w:pPr>
        <w:widowControl w:val="0"/>
        <w:tabs>
          <w:tab w:val="left" w:pos="0"/>
        </w:tabs>
        <w:autoSpaceDE w:val="0"/>
        <w:autoSpaceDN w:val="0"/>
        <w:adjustRightInd w:val="0"/>
        <w:jc w:val="both"/>
        <w:rPr>
          <w:color w:val="000000"/>
          <w:sz w:val="20"/>
          <w:szCs w:val="20"/>
        </w:rPr>
      </w:pPr>
      <w:r w:rsidRPr="008D1806">
        <w:rPr>
          <w:rStyle w:val="Refdenotaalpie"/>
          <w:color w:val="000000"/>
          <w:sz w:val="20"/>
          <w:szCs w:val="20"/>
        </w:rPr>
        <w:footnoteRef/>
      </w:r>
      <w:r w:rsidRPr="008D1806">
        <w:rPr>
          <w:color w:val="000000"/>
          <w:sz w:val="20"/>
          <w:szCs w:val="20"/>
        </w:rPr>
        <w:t>Corte Constitucional. Sentencia C-832 del 8 de agosto de 2001, M. P.: Rodrigo Escobar Gil: “La caducidad es una institución jurídico procesal a través del cual el legislador, en uso de su potestad de configuración normativa, limita en el tiempo el derecho que tiene toda persona de acceder a la jurisdicción con el fin de obtener pronta y cumplida justicia. Su fundamento se halla en la necesidad por parte del conglomerado social de obtener seguridad jurídica, para evitar la paralización del tráfico jurídico. En esta medida, la caducidad no concede derechos subjetivos, sino que por el contrario apunta a la protección de un interés general. La caducidad impide el ejercicio de la acción, por lo cual cuando se ha configurado no puede iniciarse válidamente el proceso. Esta es una figura de orden público, lo que explica su carácter irrenunciable, y la posibilidad de ser declarada de oficio por parte del juez, cuando se verifique su ocurrencia”.</w:t>
      </w:r>
    </w:p>
  </w:footnote>
  <w:footnote w:id="20">
    <w:p w14:paraId="69FB36AE" w14:textId="77777777" w:rsidR="00BE08D8" w:rsidRPr="008D1806" w:rsidRDefault="00BE08D8" w:rsidP="008D1806">
      <w:pPr>
        <w:jc w:val="both"/>
        <w:outlineLvl w:val="0"/>
        <w:rPr>
          <w:color w:val="000000"/>
          <w:sz w:val="20"/>
          <w:szCs w:val="20"/>
        </w:rPr>
      </w:pPr>
      <w:r w:rsidRPr="008D1806">
        <w:rPr>
          <w:rStyle w:val="Refdenotaalpie"/>
          <w:color w:val="000000"/>
          <w:sz w:val="20"/>
          <w:szCs w:val="20"/>
        </w:rPr>
        <w:footnoteRef/>
      </w:r>
      <w:r w:rsidRPr="008D1806">
        <w:rPr>
          <w:color w:val="000000"/>
          <w:sz w:val="20"/>
          <w:szCs w:val="20"/>
        </w:rPr>
        <w:t xml:space="preserve"> Corte Constitucional, SC-351 de 1994. “Para nadie es desconocido que la sociedad entera tiene interés en que los procesos y controversias se cierren definitivamente, y que atendiendo ese propósito, se adoptan instituciones y mecanismos que pongan término a la posibilidad de realizar intemporal o indefinidamente actuaciones ante la administración de justicia, para que las partes actuen (sic) dentro de ciertos plazos y condiciones, desde luego, con observancia plena de las garantías constitucionales que aseguren amplias y plenas oportunidades de defensa y de contradicción del derecho en litigio”.</w:t>
      </w:r>
    </w:p>
  </w:footnote>
  <w:footnote w:id="21">
    <w:p w14:paraId="656DB083" w14:textId="77777777" w:rsidR="00BE08D8" w:rsidRPr="008D1806" w:rsidRDefault="00BE08D8" w:rsidP="008D1806">
      <w:pPr>
        <w:widowControl w:val="0"/>
        <w:tabs>
          <w:tab w:val="left" w:pos="0"/>
        </w:tabs>
        <w:autoSpaceDE w:val="0"/>
        <w:autoSpaceDN w:val="0"/>
        <w:adjustRightInd w:val="0"/>
        <w:jc w:val="both"/>
        <w:rPr>
          <w:color w:val="000000"/>
          <w:sz w:val="20"/>
          <w:szCs w:val="20"/>
        </w:rPr>
      </w:pPr>
      <w:r w:rsidRPr="008D1806">
        <w:rPr>
          <w:rStyle w:val="Refdenotaalpie"/>
          <w:color w:val="000000"/>
          <w:sz w:val="20"/>
          <w:szCs w:val="20"/>
        </w:rPr>
        <w:footnoteRef/>
      </w:r>
      <w:r w:rsidRPr="008D1806">
        <w:rPr>
          <w:color w:val="000000"/>
          <w:sz w:val="20"/>
          <w:szCs w:val="20"/>
        </w:rPr>
        <w:t>Corte Constitucional. Sentencia C-781 del 13 de octubre de 1999, M. P.: Carlos Gaviria Díaz: “De otro lado, resulta necesario dotar de firmeza a las determinaciones oficiales estableciendo un momento a partir del cual ya no es posible controvertir algunas actuaciones. De lo contrario, el sistema jurídico se vería avocado a un estado de permanente latencia en donde la incertidumbre e imprecisión que rodearían el quehacer estatal entorpecerían el desarrollo de las funciones públicas. Ha dicho la Corte: ‘La caducidad es la extinción del derecho a la acción por cualquier causa, como el transcurso del tiempo, de manera que si el actor deja transcurrir los plazos fijados por la ley en forma objetiva, sin presentar la demanda, el mencionado derecho fenece inexorablemente, sin que pueda alegarse excusas algunas para revivirlos.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Ahora bien: los términos de caducidad no pueden interpretarse como una forma de negar el acceso a la justicia, precisamente porque la limitación de plazo para impugnar ciertos actos –y es algo en lo que se debe insistir– está sustentada en el principio de seguridad jurídica y crea una carga proporcionada en cabeza de los ciudadanos para que se interesen y participen prontamente en el control de actos que vulneran el ordenamiento jurídico. Ha añadido la Corte: ‘El derecho de acceso a la administración de justicia sufriría grave distorsión en su verdadero significado si, como lo desean los demandantes, éste pudiera concebirse como una posibilidad ilimitada, abierta a los ciudadanos sin condicionamientos de ninguna especie. Semejante concepción conduciría a la parálisis absoluta del aparato encargado de administrar justicia. Implícitamente supondría además la exoneración del individuo de toda ética de compromiso con la buena marcha de la justicia, y con su prestación recta y eficaz. Y, en fin, el sacrificio de la colectividad, al prevalecer el interés particular sobre el general. En suma, esa concepción impediría su funcionamiento eficaz, y conduciría a la imposibilidad de que el Estado brindara a los ciudadanos reales posibilidades de resolución de sus conflictos. Todo lo cual sí resultaría francamente contrario a la Carta’”.</w:t>
      </w:r>
    </w:p>
  </w:footnote>
  <w:footnote w:id="22">
    <w:p w14:paraId="3C1982BB" w14:textId="77777777" w:rsidR="00BE08D8" w:rsidRPr="008D1806" w:rsidRDefault="00BE08D8" w:rsidP="008D1806">
      <w:pPr>
        <w:pStyle w:val="Textonotapie"/>
        <w:tabs>
          <w:tab w:val="left" w:pos="0"/>
        </w:tabs>
        <w:jc w:val="both"/>
        <w:rPr>
          <w:color w:val="000000"/>
          <w:sz w:val="20"/>
          <w:szCs w:val="20"/>
          <w:lang w:val="es-CO"/>
        </w:rPr>
      </w:pPr>
      <w:r w:rsidRPr="008D1806">
        <w:rPr>
          <w:rStyle w:val="Refdenotaalpie"/>
          <w:color w:val="000000"/>
          <w:sz w:val="20"/>
          <w:szCs w:val="20"/>
        </w:rPr>
        <w:footnoteRef/>
      </w:r>
      <w:r w:rsidRPr="008D1806">
        <w:rPr>
          <w:color w:val="000000"/>
          <w:sz w:val="20"/>
          <w:szCs w:val="20"/>
          <w:lang w:val="es-CO"/>
        </w:rPr>
        <w:t>Corte Constitucional. Sentencia C-115 de 1998, M. P.: Hernando Herrera Vergara: “</w:t>
      </w:r>
      <w:r w:rsidRPr="008D1806">
        <w:rPr>
          <w:i/>
          <w:color w:val="000000"/>
          <w:sz w:val="20"/>
          <w:szCs w:val="20"/>
          <w:lang w:val="es-CO"/>
        </w:rPr>
        <w:t xml:space="preserve">La ley establece un término para el ejercicio de las acciones contencioso administrativas (art. 136 </w:t>
      </w:r>
      <w:r w:rsidRPr="008D1806">
        <w:rPr>
          <w:i/>
          <w:smallCaps/>
          <w:color w:val="000000"/>
          <w:sz w:val="20"/>
          <w:szCs w:val="20"/>
          <w:lang w:val="es-CO"/>
        </w:rPr>
        <w:t>cca</w:t>
      </w:r>
      <w:r w:rsidRPr="008D1806">
        <w:rPr>
          <w:i/>
          <w:color w:val="000000"/>
          <w:sz w:val="20"/>
          <w:szCs w:val="20"/>
          <w:lang w:val="es-CO"/>
        </w:rPr>
        <w:t xml:space="preserve">), de manera que al no promoverse la acción dentro del mismo, se produce la caducidad. Ello surge a causa de la inactividad de los interesados para obtener por los medios judiciales requeridos la defensa y el reconocimiento de los daños antijurídicos imputables al Estado. Dichos plazos constituyen entonces una garantía para la seguridad jurídica y el interés general. Y es que la caducidad representa el límite dentro del cual el ciudadano debe reclamar del Estado determinado derecho; por ende, la actitud negligente de quien estuvo legitimado en la causa no puede ser objeto de protección, pues es un hecho cierto que quien dentro de las oportunidades procesales fijadas por la ley ejerce sus derechos, no se verá expuesto a perderlos por la ocurrencia del fenómeno indicado”. </w:t>
      </w:r>
    </w:p>
  </w:footnote>
  <w:footnote w:id="23">
    <w:p w14:paraId="39B9246A" w14:textId="77777777" w:rsidR="00BE08D8" w:rsidRPr="008D1806" w:rsidRDefault="00BE08D8" w:rsidP="008D1806">
      <w:pPr>
        <w:pStyle w:val="Textonotapie"/>
        <w:jc w:val="both"/>
        <w:rPr>
          <w:color w:val="000000"/>
          <w:sz w:val="20"/>
          <w:szCs w:val="20"/>
          <w:lang w:val="es-CO"/>
        </w:rPr>
      </w:pPr>
      <w:r w:rsidRPr="008D1806">
        <w:rPr>
          <w:rStyle w:val="Refdenotaalpie"/>
          <w:color w:val="000000"/>
          <w:sz w:val="20"/>
          <w:szCs w:val="20"/>
        </w:rPr>
        <w:footnoteRef/>
      </w:r>
      <w:r w:rsidRPr="008D1806">
        <w:rPr>
          <w:color w:val="000000"/>
          <w:sz w:val="20"/>
          <w:szCs w:val="20"/>
        </w:rPr>
        <w:t xml:space="preserve"> </w:t>
      </w:r>
      <w:r w:rsidRPr="008D1806">
        <w:rPr>
          <w:color w:val="000000"/>
          <w:sz w:val="20"/>
          <w:szCs w:val="20"/>
          <w:lang w:val="es-CO"/>
        </w:rPr>
        <w:t xml:space="preserve">Consejo de Estado, Sala de lo Contencioso Administrativo, Sección Tercera, Subsección C. </w:t>
      </w:r>
      <w:r w:rsidR="009A4988" w:rsidRPr="008D1806">
        <w:rPr>
          <w:color w:val="000000"/>
          <w:sz w:val="20"/>
          <w:szCs w:val="20"/>
          <w:lang w:val="es-CO"/>
        </w:rPr>
        <w:t>Auto de 8 de junio de 2016. Exp.: 54.067</w:t>
      </w:r>
    </w:p>
  </w:footnote>
  <w:footnote w:id="24">
    <w:p w14:paraId="0EB6C03E" w14:textId="77777777" w:rsidR="00176ECF" w:rsidRPr="008D1806" w:rsidRDefault="00176ECF" w:rsidP="008D1806">
      <w:pPr>
        <w:pStyle w:val="Textonotapie"/>
        <w:jc w:val="both"/>
        <w:rPr>
          <w:sz w:val="20"/>
          <w:szCs w:val="20"/>
        </w:rPr>
      </w:pPr>
      <w:r w:rsidRPr="008D1806">
        <w:rPr>
          <w:rStyle w:val="Refdenotaalpie"/>
          <w:sz w:val="20"/>
          <w:szCs w:val="20"/>
        </w:rPr>
        <w:footnoteRef/>
      </w:r>
      <w:r w:rsidRPr="008D1806">
        <w:rPr>
          <w:sz w:val="20"/>
          <w:szCs w:val="20"/>
        </w:rPr>
        <w:t xml:space="preserve"> Cfr. Corte Constitucional. Sentencia C-200 de 2002.</w:t>
      </w:r>
    </w:p>
  </w:footnote>
  <w:footnote w:id="25">
    <w:p w14:paraId="13F9B3D0" w14:textId="77777777" w:rsidR="004164E3" w:rsidRPr="008D1806" w:rsidRDefault="004164E3"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Fls 1al 10 del C.3</w:t>
      </w:r>
    </w:p>
  </w:footnote>
  <w:footnote w:id="26">
    <w:p w14:paraId="6D73E942" w14:textId="77777777" w:rsidR="00AE0C88" w:rsidRPr="008D1806" w:rsidRDefault="00AE0C88"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Fl.11 del C.3</w:t>
      </w:r>
    </w:p>
  </w:footnote>
  <w:footnote w:id="27">
    <w:p w14:paraId="12C879BF" w14:textId="77777777" w:rsidR="00517E5B" w:rsidRPr="008D1806" w:rsidRDefault="00517E5B"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Fls 1al 10 del C.3</w:t>
      </w:r>
    </w:p>
  </w:footnote>
  <w:footnote w:id="28">
    <w:p w14:paraId="2FF3561A" w14:textId="77777777" w:rsidR="00517E5B" w:rsidRPr="008D1806" w:rsidRDefault="00517E5B" w:rsidP="008D1806">
      <w:pPr>
        <w:pStyle w:val="Textonotapie"/>
        <w:jc w:val="both"/>
        <w:rPr>
          <w:sz w:val="20"/>
          <w:szCs w:val="20"/>
          <w:lang w:val="es-CO"/>
        </w:rPr>
      </w:pPr>
      <w:r w:rsidRPr="008D1806">
        <w:rPr>
          <w:rStyle w:val="Refdenotaalpie"/>
          <w:sz w:val="20"/>
          <w:szCs w:val="20"/>
        </w:rPr>
        <w:footnoteRef/>
      </w:r>
      <w:r w:rsidRPr="008D1806">
        <w:rPr>
          <w:sz w:val="20"/>
          <w:szCs w:val="20"/>
        </w:rPr>
        <w:t xml:space="preserve"> </w:t>
      </w:r>
      <w:r w:rsidRPr="008D1806">
        <w:rPr>
          <w:sz w:val="20"/>
          <w:szCs w:val="20"/>
          <w:lang w:val="es-CO"/>
        </w:rPr>
        <w:t>Fl.11 del C.3</w:t>
      </w:r>
    </w:p>
  </w:footnote>
  <w:footnote w:id="29">
    <w:p w14:paraId="253AE263" w14:textId="77777777" w:rsidR="000A0532" w:rsidRPr="000A0532" w:rsidRDefault="000A0532" w:rsidP="008D1806">
      <w:pPr>
        <w:pStyle w:val="Textonotapie"/>
        <w:jc w:val="both"/>
        <w:rPr>
          <w:rFonts w:ascii="Arial" w:hAnsi="Arial" w:cs="Arial"/>
          <w:sz w:val="18"/>
          <w:szCs w:val="18"/>
          <w:lang w:val="es-CO"/>
        </w:rPr>
      </w:pPr>
      <w:r w:rsidRPr="008D1806">
        <w:rPr>
          <w:rStyle w:val="Refdenotaalpie"/>
          <w:sz w:val="20"/>
          <w:szCs w:val="20"/>
        </w:rPr>
        <w:footnoteRef/>
      </w:r>
      <w:r w:rsidRPr="008D1806">
        <w:rPr>
          <w:sz w:val="20"/>
          <w:szCs w:val="20"/>
        </w:rPr>
        <w:t xml:space="preserve"> </w:t>
      </w:r>
      <w:r w:rsidRPr="008D1806">
        <w:rPr>
          <w:sz w:val="20"/>
          <w:szCs w:val="20"/>
          <w:lang w:val="es-CO"/>
        </w:rPr>
        <w:t>Ley 685 de 2001. Solemnidades. El contrato de concesión debe estar contenido en documento redactado en idioma castellano y estar a su vez suscrito por las partes. Para su perfeccionamiento y su prueba sólo se necesitará inscribirse en el Registro Minero Nacional.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78DD6" w14:textId="77777777" w:rsidR="00A12DB7" w:rsidRDefault="00A12DB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E909C1" w14:textId="77777777" w:rsidR="00A12DB7" w:rsidRDefault="00A12DB7">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3200" w14:textId="77777777" w:rsidR="00A12DB7" w:rsidRDefault="00D11750" w:rsidP="00EE2571">
    <w:pPr>
      <w:jc w:val="center"/>
      <w:rPr>
        <w:rFonts w:ascii="Arial" w:hAnsi="Arial" w:cs="Arial"/>
        <w:b/>
        <w:bCs/>
      </w:rPr>
    </w:pPr>
    <w:r>
      <w:rPr>
        <w:rFonts w:ascii="Arial" w:hAnsi="Arial" w:cs="Arial"/>
        <w:b/>
        <w:bCs/>
        <w:noProof/>
        <w:lang w:val="en-US" w:eastAsia="en-US"/>
      </w:rPr>
      <w:drawing>
        <wp:anchor distT="75565" distB="75565" distL="151130" distR="151130" simplePos="0" relativeHeight="251657728" behindDoc="0" locked="0" layoutInCell="0" allowOverlap="1" wp14:anchorId="76929E3F" wp14:editId="71CDD750">
          <wp:simplePos x="0" y="0"/>
          <wp:positionH relativeFrom="page">
            <wp:posOffset>328930</wp:posOffset>
          </wp:positionH>
          <wp:positionV relativeFrom="paragraph">
            <wp:posOffset>76200</wp:posOffset>
          </wp:positionV>
          <wp:extent cx="914400" cy="843280"/>
          <wp:effectExtent l="0" t="0" r="0" b="0"/>
          <wp:wrapThrough wrapText="bothSides">
            <wp:wrapPolygon edited="0">
              <wp:start x="0" y="0"/>
              <wp:lineTo x="0" y="20982"/>
              <wp:lineTo x="21150" y="20982"/>
              <wp:lineTo x="21150" y="0"/>
              <wp:lineTo x="0" y="0"/>
            </wp:wrapPolygon>
          </wp:wrapThrough>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4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631EB" w14:textId="77777777" w:rsidR="00A12DB7" w:rsidRPr="003B0696" w:rsidRDefault="00A12DB7" w:rsidP="00EE2571">
    <w:pPr>
      <w:jc w:val="center"/>
      <w:rPr>
        <w:rFonts w:ascii="Arial" w:hAnsi="Arial" w:cs="Arial"/>
        <w:b/>
        <w:bCs/>
      </w:rPr>
    </w:pPr>
    <w:r w:rsidRPr="003B0696">
      <w:rPr>
        <w:rFonts w:ascii="Arial" w:hAnsi="Arial" w:cs="Arial"/>
        <w:b/>
        <w:bCs/>
      </w:rPr>
      <w:t>CONSEJO DE ESTADO</w:t>
    </w:r>
  </w:p>
  <w:p w14:paraId="3195F165" w14:textId="77777777" w:rsidR="00A12DB7" w:rsidRPr="003B0696" w:rsidRDefault="00A12DB7" w:rsidP="00EE2571">
    <w:pPr>
      <w:jc w:val="center"/>
      <w:rPr>
        <w:rFonts w:ascii="Arial" w:hAnsi="Arial" w:cs="Arial"/>
        <w:b/>
        <w:bCs/>
        <w:color w:val="000000"/>
      </w:rPr>
    </w:pPr>
    <w:r w:rsidRPr="003B0696">
      <w:rPr>
        <w:rFonts w:ascii="Arial" w:hAnsi="Arial" w:cs="Arial"/>
        <w:b/>
        <w:bCs/>
        <w:color w:val="000000"/>
      </w:rPr>
      <w:t>SALA DE LO CONTENCIOSO ADMINISTRATIVO</w:t>
    </w:r>
  </w:p>
  <w:p w14:paraId="605A6E41" w14:textId="77777777" w:rsidR="00A12DB7" w:rsidRPr="003B0696" w:rsidRDefault="00A12DB7" w:rsidP="00EE2571">
    <w:pPr>
      <w:jc w:val="center"/>
      <w:rPr>
        <w:rFonts w:ascii="Arial" w:hAnsi="Arial" w:cs="Arial"/>
        <w:b/>
        <w:bCs/>
        <w:color w:val="000000"/>
      </w:rPr>
    </w:pPr>
    <w:r w:rsidRPr="003B0696">
      <w:rPr>
        <w:rFonts w:ascii="Arial" w:hAnsi="Arial" w:cs="Arial"/>
        <w:b/>
        <w:bCs/>
        <w:color w:val="000000"/>
      </w:rPr>
      <w:t>SECCIÓN TERCERA</w:t>
    </w:r>
  </w:p>
  <w:p w14:paraId="0844A728" w14:textId="77777777" w:rsidR="00A12DB7" w:rsidRPr="003B0696" w:rsidRDefault="00A12DB7" w:rsidP="00EE2571">
    <w:pPr>
      <w:jc w:val="center"/>
      <w:rPr>
        <w:rFonts w:ascii="Arial" w:hAnsi="Arial" w:cs="Arial"/>
        <w:spacing w:val="-3"/>
      </w:rPr>
    </w:pPr>
    <w:r w:rsidRPr="003B0696">
      <w:rPr>
        <w:rFonts w:ascii="Arial" w:hAnsi="Arial" w:cs="Arial"/>
        <w:b/>
        <w:bCs/>
        <w:color w:val="000000"/>
      </w:rPr>
      <w:t>SUBSECCIÓN C</w:t>
    </w:r>
  </w:p>
  <w:p w14:paraId="4CCD6074" w14:textId="77777777" w:rsidR="00A12DB7" w:rsidRDefault="00A12DB7" w:rsidP="00EE2571">
    <w:pPr>
      <w:pStyle w:val="Encabezado"/>
    </w:pPr>
  </w:p>
  <w:p w14:paraId="7DFA2172" w14:textId="77777777" w:rsidR="00A12DB7" w:rsidRDefault="00A12DB7" w:rsidP="00EE25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C52A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Calibri" w:hAnsi="Calibri" w:hint="default"/>
      </w:rPr>
    </w:lvl>
    <w:lvl w:ilvl="4">
      <w:start w:val="1"/>
      <w:numFmt w:val="bullet"/>
      <w:lvlText w:val=""/>
      <w:lvlJc w:val="left"/>
      <w:pPr>
        <w:tabs>
          <w:tab w:val="num" w:pos="2880"/>
        </w:tabs>
        <w:ind w:left="3240" w:hanging="360"/>
      </w:pPr>
      <w:rPr>
        <w:rFonts w:ascii="Calibri" w:hAnsi="Calibri"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Calibri" w:hAnsi="Calibri" w:hint="default"/>
      </w:rPr>
    </w:lvl>
    <w:lvl w:ilvl="8">
      <w:start w:val="1"/>
      <w:numFmt w:val="bullet"/>
      <w:lvlText w:val=""/>
      <w:lvlJc w:val="left"/>
      <w:pPr>
        <w:tabs>
          <w:tab w:val="num" w:pos="5760"/>
        </w:tabs>
        <w:ind w:left="6120" w:hanging="360"/>
      </w:pPr>
      <w:rPr>
        <w:rFonts w:ascii="Calibri" w:hAnsi="Calibri" w:hint="default"/>
      </w:rPr>
    </w:lvl>
  </w:abstractNum>
  <w:abstractNum w:abstractNumId="1" w15:restartNumberingAfterBreak="0">
    <w:nsid w:val="11FD55E6"/>
    <w:multiLevelType w:val="hybridMultilevel"/>
    <w:tmpl w:val="2604EE2E"/>
    <w:lvl w:ilvl="0" w:tplc="AD8EAF36">
      <w:start w:val="1"/>
      <w:numFmt w:val="decimal"/>
      <w:lvlText w:val="%1."/>
      <w:lvlJc w:val="left"/>
      <w:pPr>
        <w:ind w:left="720" w:hanging="360"/>
      </w:pPr>
      <w:rPr>
        <w:rFonts w:cs="Arial Narrow"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0B41EB"/>
    <w:multiLevelType w:val="hybridMultilevel"/>
    <w:tmpl w:val="BDC4B134"/>
    <w:lvl w:ilvl="0" w:tplc="8FF2A22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AE79B7"/>
    <w:multiLevelType w:val="hybridMultilevel"/>
    <w:tmpl w:val="EA2C3558"/>
    <w:lvl w:ilvl="0" w:tplc="64F218AC">
      <w:start w:val="1"/>
      <w:numFmt w:val="upperRoman"/>
      <w:pStyle w:val="Ttulo9"/>
      <w:lvlText w:val="%1."/>
      <w:lvlJc w:val="left"/>
      <w:pPr>
        <w:tabs>
          <w:tab w:val="num" w:pos="862"/>
        </w:tabs>
        <w:ind w:left="862" w:hanging="720"/>
      </w:pPr>
      <w:rPr>
        <w:rFonts w:ascii="Arial" w:hAnsi="Arial" w:cs="Arial" w:hint="default"/>
        <w:lang w:val="es-CO"/>
      </w:rPr>
    </w:lvl>
    <w:lvl w:ilvl="1" w:tplc="FE407EDA">
      <w:start w:val="1"/>
      <w:numFmt w:val="decimal"/>
      <w:lvlText w:val="%2."/>
      <w:lvlJc w:val="left"/>
      <w:pPr>
        <w:tabs>
          <w:tab w:val="num" w:pos="360"/>
        </w:tabs>
        <w:ind w:left="360" w:hanging="360"/>
      </w:pPr>
      <w:rPr>
        <w:rFonts w:hint="default"/>
        <w:lang w:val="es-CO"/>
      </w:rPr>
    </w:lvl>
    <w:lvl w:ilvl="2" w:tplc="795E74B8">
      <w:start w:val="1"/>
      <w:numFmt w:val="bullet"/>
      <w:lvlText w:val="-"/>
      <w:lvlJc w:val="left"/>
      <w:pPr>
        <w:tabs>
          <w:tab w:val="num" w:pos="2340"/>
        </w:tabs>
        <w:ind w:left="2340" w:hanging="360"/>
      </w:pPr>
      <w:rPr>
        <w:rFonts w:ascii="Times New Roman" w:eastAsia="Times New Roman" w:hAnsi="Times New Roman" w:cs="Times New Roman" w:hint="default"/>
      </w:rPr>
    </w:lvl>
    <w:lvl w:ilvl="3" w:tplc="19A65614">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BD6698"/>
    <w:multiLevelType w:val="hybridMultilevel"/>
    <w:tmpl w:val="FBF455C8"/>
    <w:lvl w:ilvl="0" w:tplc="54FA75A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972209"/>
    <w:multiLevelType w:val="hybridMultilevel"/>
    <w:tmpl w:val="BB704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Calibri" w:hAnsi="Calibr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Calibri" w:hAnsi="Calibri"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Calibri" w:hAnsi="Calibri" w:hint="default"/>
      </w:rPr>
    </w:lvl>
  </w:abstractNum>
  <w:abstractNum w:abstractNumId="6" w15:restartNumberingAfterBreak="0">
    <w:nsid w:val="2F563E45"/>
    <w:multiLevelType w:val="hybridMultilevel"/>
    <w:tmpl w:val="9E32738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2C61DEA"/>
    <w:multiLevelType w:val="hybridMultilevel"/>
    <w:tmpl w:val="111836CE"/>
    <w:lvl w:ilvl="0" w:tplc="3D5A1C2C">
      <w:start w:val="1"/>
      <w:numFmt w:val="decimal"/>
      <w:lvlText w:val="%1."/>
      <w:lvlJc w:val="left"/>
      <w:pPr>
        <w:ind w:left="360" w:hanging="360"/>
      </w:pPr>
      <w:rPr>
        <w:rFonts w:hint="default"/>
        <w:b/>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5AB1F03"/>
    <w:multiLevelType w:val="hybridMultilevel"/>
    <w:tmpl w:val="D3A4C4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D14188"/>
    <w:multiLevelType w:val="hybridMultilevel"/>
    <w:tmpl w:val="D7127E72"/>
    <w:lvl w:ilvl="0" w:tplc="2E26C86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39DA0F29"/>
    <w:multiLevelType w:val="hybridMultilevel"/>
    <w:tmpl w:val="2CB81546"/>
    <w:lvl w:ilvl="0" w:tplc="4C607626">
      <w:start w:val="1"/>
      <w:numFmt w:val="decimal"/>
      <w:lvlText w:val="%1."/>
      <w:lvlJc w:val="left"/>
      <w:pPr>
        <w:ind w:left="360" w:hanging="360"/>
      </w:pPr>
      <w:rPr>
        <w:rFonts w:hint="default"/>
        <w:color w:val="00000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C3C7F93"/>
    <w:multiLevelType w:val="hybridMultilevel"/>
    <w:tmpl w:val="F14CBA58"/>
    <w:lvl w:ilvl="0" w:tplc="4514612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Calibri" w:hAnsi="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Calibri" w:hAnsi="Calibri"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Calibri" w:hAnsi="Calibri" w:hint="default"/>
      </w:rPr>
    </w:lvl>
  </w:abstractNum>
  <w:abstractNum w:abstractNumId="12" w15:restartNumberingAfterBreak="0">
    <w:nsid w:val="4F954555"/>
    <w:multiLevelType w:val="hybridMultilevel"/>
    <w:tmpl w:val="03E81948"/>
    <w:lvl w:ilvl="0" w:tplc="4514612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Calibri" w:hAnsi="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Calibri" w:hAnsi="Calibri"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Calibri" w:hAnsi="Calibri" w:hint="default"/>
      </w:rPr>
    </w:lvl>
  </w:abstractNum>
  <w:abstractNum w:abstractNumId="13" w15:restartNumberingAfterBreak="0">
    <w:nsid w:val="54B97BDF"/>
    <w:multiLevelType w:val="hybridMultilevel"/>
    <w:tmpl w:val="A3BCE8A4"/>
    <w:lvl w:ilvl="0" w:tplc="947267CA">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73428E5"/>
    <w:multiLevelType w:val="hybridMultilevel"/>
    <w:tmpl w:val="28C2054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hint="default"/>
      </w:rPr>
    </w:lvl>
    <w:lvl w:ilvl="2" w:tplc="0C0A0005" w:tentative="1">
      <w:start w:val="1"/>
      <w:numFmt w:val="bullet"/>
      <w:lvlText w:val=""/>
      <w:lvlJc w:val="left"/>
      <w:pPr>
        <w:ind w:left="2220" w:hanging="360"/>
      </w:pPr>
      <w:rPr>
        <w:rFonts w:ascii="Calibri" w:hAnsi="Calibri"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hint="default"/>
      </w:rPr>
    </w:lvl>
    <w:lvl w:ilvl="5" w:tplc="0C0A0005" w:tentative="1">
      <w:start w:val="1"/>
      <w:numFmt w:val="bullet"/>
      <w:lvlText w:val=""/>
      <w:lvlJc w:val="left"/>
      <w:pPr>
        <w:ind w:left="4380" w:hanging="360"/>
      </w:pPr>
      <w:rPr>
        <w:rFonts w:ascii="Calibri" w:hAnsi="Calibri"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hint="default"/>
      </w:rPr>
    </w:lvl>
    <w:lvl w:ilvl="8" w:tplc="0C0A0005" w:tentative="1">
      <w:start w:val="1"/>
      <w:numFmt w:val="bullet"/>
      <w:lvlText w:val=""/>
      <w:lvlJc w:val="left"/>
      <w:pPr>
        <w:ind w:left="6540" w:hanging="360"/>
      </w:pPr>
      <w:rPr>
        <w:rFonts w:ascii="Calibri" w:hAnsi="Calibri" w:hint="default"/>
      </w:rPr>
    </w:lvl>
  </w:abstractNum>
  <w:abstractNum w:abstractNumId="15" w15:restartNumberingAfterBreak="0">
    <w:nsid w:val="575D5E9A"/>
    <w:multiLevelType w:val="hybridMultilevel"/>
    <w:tmpl w:val="9AB0CE6E"/>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5B2C6C9C"/>
    <w:multiLevelType w:val="hybridMultilevel"/>
    <w:tmpl w:val="DE888644"/>
    <w:lvl w:ilvl="0" w:tplc="B1743516">
      <w:start w:val="1"/>
      <w:numFmt w:val="upperRoman"/>
      <w:lvlText w:val="%1."/>
      <w:lvlJc w:val="left"/>
      <w:pPr>
        <w:ind w:left="4515" w:hanging="720"/>
      </w:pPr>
      <w:rPr>
        <w:rFonts w:hint="default"/>
      </w:rPr>
    </w:lvl>
    <w:lvl w:ilvl="1" w:tplc="240A0019" w:tentative="1">
      <w:start w:val="1"/>
      <w:numFmt w:val="lowerLetter"/>
      <w:lvlText w:val="%2."/>
      <w:lvlJc w:val="left"/>
      <w:pPr>
        <w:ind w:left="4875" w:hanging="360"/>
      </w:pPr>
    </w:lvl>
    <w:lvl w:ilvl="2" w:tplc="240A001B" w:tentative="1">
      <w:start w:val="1"/>
      <w:numFmt w:val="lowerRoman"/>
      <w:lvlText w:val="%3."/>
      <w:lvlJc w:val="right"/>
      <w:pPr>
        <w:ind w:left="5595" w:hanging="180"/>
      </w:pPr>
    </w:lvl>
    <w:lvl w:ilvl="3" w:tplc="240A000F" w:tentative="1">
      <w:start w:val="1"/>
      <w:numFmt w:val="decimal"/>
      <w:lvlText w:val="%4."/>
      <w:lvlJc w:val="left"/>
      <w:pPr>
        <w:ind w:left="6315" w:hanging="360"/>
      </w:pPr>
    </w:lvl>
    <w:lvl w:ilvl="4" w:tplc="240A0019" w:tentative="1">
      <w:start w:val="1"/>
      <w:numFmt w:val="lowerLetter"/>
      <w:lvlText w:val="%5."/>
      <w:lvlJc w:val="left"/>
      <w:pPr>
        <w:ind w:left="7035" w:hanging="360"/>
      </w:pPr>
    </w:lvl>
    <w:lvl w:ilvl="5" w:tplc="240A001B" w:tentative="1">
      <w:start w:val="1"/>
      <w:numFmt w:val="lowerRoman"/>
      <w:lvlText w:val="%6."/>
      <w:lvlJc w:val="right"/>
      <w:pPr>
        <w:ind w:left="7755" w:hanging="180"/>
      </w:pPr>
    </w:lvl>
    <w:lvl w:ilvl="6" w:tplc="240A000F" w:tentative="1">
      <w:start w:val="1"/>
      <w:numFmt w:val="decimal"/>
      <w:lvlText w:val="%7."/>
      <w:lvlJc w:val="left"/>
      <w:pPr>
        <w:ind w:left="8475" w:hanging="360"/>
      </w:pPr>
    </w:lvl>
    <w:lvl w:ilvl="7" w:tplc="240A0019" w:tentative="1">
      <w:start w:val="1"/>
      <w:numFmt w:val="lowerLetter"/>
      <w:lvlText w:val="%8."/>
      <w:lvlJc w:val="left"/>
      <w:pPr>
        <w:ind w:left="9195" w:hanging="360"/>
      </w:pPr>
    </w:lvl>
    <w:lvl w:ilvl="8" w:tplc="240A001B" w:tentative="1">
      <w:start w:val="1"/>
      <w:numFmt w:val="lowerRoman"/>
      <w:lvlText w:val="%9."/>
      <w:lvlJc w:val="right"/>
      <w:pPr>
        <w:ind w:left="9915" w:hanging="180"/>
      </w:pPr>
    </w:lvl>
  </w:abstractNum>
  <w:abstractNum w:abstractNumId="17" w15:restartNumberingAfterBreak="0">
    <w:nsid w:val="5CDD47A7"/>
    <w:multiLevelType w:val="hybridMultilevel"/>
    <w:tmpl w:val="83C46ED6"/>
    <w:lvl w:ilvl="0" w:tplc="B87E2CD0">
      <w:start w:val="2"/>
      <w:numFmt w:val="decimal"/>
      <w:lvlText w:val="%1."/>
      <w:lvlJc w:val="left"/>
      <w:pPr>
        <w:ind w:left="720" w:hanging="360"/>
      </w:pPr>
      <w:rPr>
        <w:rFonts w:cs="Arial Narrow"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5F55AB"/>
    <w:multiLevelType w:val="hybridMultilevel"/>
    <w:tmpl w:val="2BA25BCC"/>
    <w:lvl w:ilvl="0" w:tplc="ECCCDD4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57652C"/>
    <w:multiLevelType w:val="hybridMultilevel"/>
    <w:tmpl w:val="0C7A23C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1472E74"/>
    <w:multiLevelType w:val="hybridMultilevel"/>
    <w:tmpl w:val="BDB2F1CA"/>
    <w:lvl w:ilvl="0" w:tplc="4514612E">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Calibri" w:hAnsi="Calibri"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Calibri" w:hAnsi="Calibri"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Calibri" w:hAnsi="Calibri" w:hint="default"/>
      </w:rPr>
    </w:lvl>
  </w:abstractNum>
  <w:abstractNum w:abstractNumId="21" w15:restartNumberingAfterBreak="0">
    <w:nsid w:val="6496287F"/>
    <w:multiLevelType w:val="hybridMultilevel"/>
    <w:tmpl w:val="0F50F6FC"/>
    <w:lvl w:ilvl="0" w:tplc="C048164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B3F0D62"/>
    <w:multiLevelType w:val="hybridMultilevel"/>
    <w:tmpl w:val="D06EC84E"/>
    <w:lvl w:ilvl="0" w:tplc="FA8EC4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E4A5929"/>
    <w:multiLevelType w:val="hybridMultilevel"/>
    <w:tmpl w:val="E93898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8C11F0"/>
    <w:multiLevelType w:val="hybridMultilevel"/>
    <w:tmpl w:val="91F029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6"/>
  </w:num>
  <w:num w:numId="3">
    <w:abstractNumId w:val="13"/>
  </w:num>
  <w:num w:numId="4">
    <w:abstractNumId w:val="9"/>
  </w:num>
  <w:num w:numId="5">
    <w:abstractNumId w:val="10"/>
  </w:num>
  <w:num w:numId="6">
    <w:abstractNumId w:val="15"/>
  </w:num>
  <w:num w:numId="7">
    <w:abstractNumId w:val="7"/>
  </w:num>
  <w:num w:numId="8">
    <w:abstractNumId w:val="18"/>
  </w:num>
  <w:num w:numId="9">
    <w:abstractNumId w:val="17"/>
  </w:num>
  <w:num w:numId="10">
    <w:abstractNumId w:val="1"/>
  </w:num>
  <w:num w:numId="11">
    <w:abstractNumId w:val="22"/>
  </w:num>
  <w:num w:numId="12">
    <w:abstractNumId w:val="4"/>
  </w:num>
  <w:num w:numId="13">
    <w:abstractNumId w:val="0"/>
  </w:num>
  <w:num w:numId="14">
    <w:abstractNumId w:val="14"/>
  </w:num>
  <w:num w:numId="15">
    <w:abstractNumId w:val="24"/>
  </w:num>
  <w:num w:numId="16">
    <w:abstractNumId w:val="20"/>
  </w:num>
  <w:num w:numId="17">
    <w:abstractNumId w:val="5"/>
  </w:num>
  <w:num w:numId="18">
    <w:abstractNumId w:val="11"/>
  </w:num>
  <w:num w:numId="19">
    <w:abstractNumId w:val="12"/>
  </w:num>
  <w:num w:numId="20">
    <w:abstractNumId w:val="8"/>
  </w:num>
  <w:num w:numId="21">
    <w:abstractNumId w:val="2"/>
  </w:num>
  <w:num w:numId="22">
    <w:abstractNumId w:val="23"/>
  </w:num>
  <w:num w:numId="23">
    <w:abstractNumId w:val="3"/>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A6"/>
    <w:rsid w:val="000010D3"/>
    <w:rsid w:val="00001EFC"/>
    <w:rsid w:val="000037DB"/>
    <w:rsid w:val="00003A2A"/>
    <w:rsid w:val="00003E83"/>
    <w:rsid w:val="00004339"/>
    <w:rsid w:val="000051F7"/>
    <w:rsid w:val="00005AD1"/>
    <w:rsid w:val="00005BF9"/>
    <w:rsid w:val="00013D78"/>
    <w:rsid w:val="0002180A"/>
    <w:rsid w:val="00024AA7"/>
    <w:rsid w:val="00024F8C"/>
    <w:rsid w:val="00025566"/>
    <w:rsid w:val="00026693"/>
    <w:rsid w:val="000336AE"/>
    <w:rsid w:val="0003474A"/>
    <w:rsid w:val="000401AE"/>
    <w:rsid w:val="0004074D"/>
    <w:rsid w:val="000450CE"/>
    <w:rsid w:val="000477D9"/>
    <w:rsid w:val="000554E9"/>
    <w:rsid w:val="000573AB"/>
    <w:rsid w:val="00057452"/>
    <w:rsid w:val="00060E1E"/>
    <w:rsid w:val="00061E26"/>
    <w:rsid w:val="00062072"/>
    <w:rsid w:val="00064116"/>
    <w:rsid w:val="00065A3D"/>
    <w:rsid w:val="00066FB0"/>
    <w:rsid w:val="00070225"/>
    <w:rsid w:val="00070AC3"/>
    <w:rsid w:val="00073883"/>
    <w:rsid w:val="000768C6"/>
    <w:rsid w:val="00076935"/>
    <w:rsid w:val="00082815"/>
    <w:rsid w:val="00083561"/>
    <w:rsid w:val="00085C36"/>
    <w:rsid w:val="00090F1F"/>
    <w:rsid w:val="00092F08"/>
    <w:rsid w:val="00093BC2"/>
    <w:rsid w:val="000970D3"/>
    <w:rsid w:val="000A0532"/>
    <w:rsid w:val="000A14FE"/>
    <w:rsid w:val="000A1A3E"/>
    <w:rsid w:val="000A401E"/>
    <w:rsid w:val="000A7D86"/>
    <w:rsid w:val="000A7FA4"/>
    <w:rsid w:val="000C4F2A"/>
    <w:rsid w:val="000D125E"/>
    <w:rsid w:val="000D192A"/>
    <w:rsid w:val="000D1A83"/>
    <w:rsid w:val="000D5340"/>
    <w:rsid w:val="000D7089"/>
    <w:rsid w:val="000E25B6"/>
    <w:rsid w:val="000E6060"/>
    <w:rsid w:val="000F0839"/>
    <w:rsid w:val="000F0E22"/>
    <w:rsid w:val="000F3197"/>
    <w:rsid w:val="000F4F5C"/>
    <w:rsid w:val="000F61E6"/>
    <w:rsid w:val="001012B9"/>
    <w:rsid w:val="0010227F"/>
    <w:rsid w:val="001050B0"/>
    <w:rsid w:val="00112F96"/>
    <w:rsid w:val="0011395B"/>
    <w:rsid w:val="00114FA8"/>
    <w:rsid w:val="00116FC9"/>
    <w:rsid w:val="00120F36"/>
    <w:rsid w:val="00124805"/>
    <w:rsid w:val="0012732B"/>
    <w:rsid w:val="00130CC1"/>
    <w:rsid w:val="0013205C"/>
    <w:rsid w:val="00132171"/>
    <w:rsid w:val="00133C05"/>
    <w:rsid w:val="00134385"/>
    <w:rsid w:val="00135161"/>
    <w:rsid w:val="00135D0B"/>
    <w:rsid w:val="00135DA7"/>
    <w:rsid w:val="00140130"/>
    <w:rsid w:val="0014422A"/>
    <w:rsid w:val="00150442"/>
    <w:rsid w:val="00150A11"/>
    <w:rsid w:val="00154D49"/>
    <w:rsid w:val="00155EDE"/>
    <w:rsid w:val="00156E8F"/>
    <w:rsid w:val="00157E0E"/>
    <w:rsid w:val="001617B8"/>
    <w:rsid w:val="001621AE"/>
    <w:rsid w:val="0016447E"/>
    <w:rsid w:val="00170DFD"/>
    <w:rsid w:val="001710CB"/>
    <w:rsid w:val="00171906"/>
    <w:rsid w:val="001740B2"/>
    <w:rsid w:val="00176ECF"/>
    <w:rsid w:val="0018135D"/>
    <w:rsid w:val="00181623"/>
    <w:rsid w:val="00183609"/>
    <w:rsid w:val="001844AB"/>
    <w:rsid w:val="00184980"/>
    <w:rsid w:val="001851F7"/>
    <w:rsid w:val="0018765A"/>
    <w:rsid w:val="0019395B"/>
    <w:rsid w:val="001964DC"/>
    <w:rsid w:val="001A69D3"/>
    <w:rsid w:val="001A7343"/>
    <w:rsid w:val="001B117B"/>
    <w:rsid w:val="001C2A24"/>
    <w:rsid w:val="001D04A1"/>
    <w:rsid w:val="001D645E"/>
    <w:rsid w:val="001D6FF8"/>
    <w:rsid w:val="001E2D36"/>
    <w:rsid w:val="001E5282"/>
    <w:rsid w:val="001E63BD"/>
    <w:rsid w:val="001F48B8"/>
    <w:rsid w:val="001F7805"/>
    <w:rsid w:val="001F78FF"/>
    <w:rsid w:val="0020267C"/>
    <w:rsid w:val="0020399A"/>
    <w:rsid w:val="00203A38"/>
    <w:rsid w:val="00206728"/>
    <w:rsid w:val="00213498"/>
    <w:rsid w:val="002164EF"/>
    <w:rsid w:val="00220A21"/>
    <w:rsid w:val="0023582E"/>
    <w:rsid w:val="0023624E"/>
    <w:rsid w:val="00237C88"/>
    <w:rsid w:val="00241144"/>
    <w:rsid w:val="002438BF"/>
    <w:rsid w:val="002455D4"/>
    <w:rsid w:val="00245CF1"/>
    <w:rsid w:val="00250A83"/>
    <w:rsid w:val="00252820"/>
    <w:rsid w:val="00253E30"/>
    <w:rsid w:val="0025467B"/>
    <w:rsid w:val="002605FA"/>
    <w:rsid w:val="0026066C"/>
    <w:rsid w:val="002640B9"/>
    <w:rsid w:val="00265EE2"/>
    <w:rsid w:val="0026670C"/>
    <w:rsid w:val="0026737A"/>
    <w:rsid w:val="00270379"/>
    <w:rsid w:val="00273A8D"/>
    <w:rsid w:val="002824F1"/>
    <w:rsid w:val="002829D2"/>
    <w:rsid w:val="00286D68"/>
    <w:rsid w:val="00287A7F"/>
    <w:rsid w:val="002932D6"/>
    <w:rsid w:val="00293834"/>
    <w:rsid w:val="002A04F8"/>
    <w:rsid w:val="002B0C75"/>
    <w:rsid w:val="002B56CC"/>
    <w:rsid w:val="002C6054"/>
    <w:rsid w:val="002D2EB2"/>
    <w:rsid w:val="002D2FE5"/>
    <w:rsid w:val="002D4319"/>
    <w:rsid w:val="002D51A9"/>
    <w:rsid w:val="002D6D60"/>
    <w:rsid w:val="002D6D71"/>
    <w:rsid w:val="002D7CD7"/>
    <w:rsid w:val="002E48B3"/>
    <w:rsid w:val="002F156D"/>
    <w:rsid w:val="002F2EC5"/>
    <w:rsid w:val="002F6ED9"/>
    <w:rsid w:val="0030663D"/>
    <w:rsid w:val="00312DBB"/>
    <w:rsid w:val="00313E75"/>
    <w:rsid w:val="00321BD6"/>
    <w:rsid w:val="00325A63"/>
    <w:rsid w:val="003264CE"/>
    <w:rsid w:val="00334CF0"/>
    <w:rsid w:val="00334F54"/>
    <w:rsid w:val="00336562"/>
    <w:rsid w:val="003369B1"/>
    <w:rsid w:val="00337EFE"/>
    <w:rsid w:val="00343056"/>
    <w:rsid w:val="0034405D"/>
    <w:rsid w:val="00351EC7"/>
    <w:rsid w:val="00353DFC"/>
    <w:rsid w:val="0035533C"/>
    <w:rsid w:val="00355F44"/>
    <w:rsid w:val="00356E91"/>
    <w:rsid w:val="00372A33"/>
    <w:rsid w:val="003768FF"/>
    <w:rsid w:val="003772C7"/>
    <w:rsid w:val="00380A64"/>
    <w:rsid w:val="0038463B"/>
    <w:rsid w:val="003871C7"/>
    <w:rsid w:val="003917DF"/>
    <w:rsid w:val="00394FAC"/>
    <w:rsid w:val="00396C52"/>
    <w:rsid w:val="0039769E"/>
    <w:rsid w:val="003A5FEB"/>
    <w:rsid w:val="003C20B5"/>
    <w:rsid w:val="003C4E3B"/>
    <w:rsid w:val="003C6B2D"/>
    <w:rsid w:val="003D18B9"/>
    <w:rsid w:val="003D3F8A"/>
    <w:rsid w:val="003E6D68"/>
    <w:rsid w:val="003E77A5"/>
    <w:rsid w:val="003F1E7F"/>
    <w:rsid w:val="003F5EBB"/>
    <w:rsid w:val="00402B44"/>
    <w:rsid w:val="00404169"/>
    <w:rsid w:val="0041122C"/>
    <w:rsid w:val="0041218C"/>
    <w:rsid w:val="0041639E"/>
    <w:rsid w:val="004164E3"/>
    <w:rsid w:val="00423926"/>
    <w:rsid w:val="00424C6B"/>
    <w:rsid w:val="0042573E"/>
    <w:rsid w:val="00425A49"/>
    <w:rsid w:val="004306AA"/>
    <w:rsid w:val="00433BFD"/>
    <w:rsid w:val="004355E8"/>
    <w:rsid w:val="0044473A"/>
    <w:rsid w:val="00447B24"/>
    <w:rsid w:val="00450AC3"/>
    <w:rsid w:val="00450DA2"/>
    <w:rsid w:val="0045202F"/>
    <w:rsid w:val="00455384"/>
    <w:rsid w:val="004609AF"/>
    <w:rsid w:val="00460FDC"/>
    <w:rsid w:val="0046545B"/>
    <w:rsid w:val="00471B25"/>
    <w:rsid w:val="004733F6"/>
    <w:rsid w:val="00473AD1"/>
    <w:rsid w:val="0049090F"/>
    <w:rsid w:val="00492EA0"/>
    <w:rsid w:val="00495326"/>
    <w:rsid w:val="004964B4"/>
    <w:rsid w:val="004A128B"/>
    <w:rsid w:val="004A6FCD"/>
    <w:rsid w:val="004B09EE"/>
    <w:rsid w:val="004B68C2"/>
    <w:rsid w:val="004D105B"/>
    <w:rsid w:val="004E0B36"/>
    <w:rsid w:val="004E3D4D"/>
    <w:rsid w:val="004E449C"/>
    <w:rsid w:val="004E4BAC"/>
    <w:rsid w:val="004E6C85"/>
    <w:rsid w:val="004E7273"/>
    <w:rsid w:val="004F25F6"/>
    <w:rsid w:val="004F599E"/>
    <w:rsid w:val="005027F0"/>
    <w:rsid w:val="00502A74"/>
    <w:rsid w:val="00514A09"/>
    <w:rsid w:val="00516322"/>
    <w:rsid w:val="00517E5B"/>
    <w:rsid w:val="00526346"/>
    <w:rsid w:val="00543294"/>
    <w:rsid w:val="005511C7"/>
    <w:rsid w:val="005564C2"/>
    <w:rsid w:val="00556CBC"/>
    <w:rsid w:val="00560412"/>
    <w:rsid w:val="005622C2"/>
    <w:rsid w:val="0056325E"/>
    <w:rsid w:val="00563873"/>
    <w:rsid w:val="005716FF"/>
    <w:rsid w:val="00571746"/>
    <w:rsid w:val="00576231"/>
    <w:rsid w:val="00576F45"/>
    <w:rsid w:val="005824D6"/>
    <w:rsid w:val="00585E93"/>
    <w:rsid w:val="005875AB"/>
    <w:rsid w:val="00587DA4"/>
    <w:rsid w:val="00594DB5"/>
    <w:rsid w:val="005955DA"/>
    <w:rsid w:val="0059582D"/>
    <w:rsid w:val="00596E64"/>
    <w:rsid w:val="005A58D3"/>
    <w:rsid w:val="005A6794"/>
    <w:rsid w:val="005A75BB"/>
    <w:rsid w:val="005A7AAE"/>
    <w:rsid w:val="005B0284"/>
    <w:rsid w:val="005B11E7"/>
    <w:rsid w:val="005B2242"/>
    <w:rsid w:val="005B276E"/>
    <w:rsid w:val="005B66D6"/>
    <w:rsid w:val="005C05BD"/>
    <w:rsid w:val="005C0DE6"/>
    <w:rsid w:val="005C23E1"/>
    <w:rsid w:val="005C3AAF"/>
    <w:rsid w:val="005C4B67"/>
    <w:rsid w:val="005D04A0"/>
    <w:rsid w:val="005D4B28"/>
    <w:rsid w:val="005D5599"/>
    <w:rsid w:val="005D70FC"/>
    <w:rsid w:val="005E034B"/>
    <w:rsid w:val="005E20D1"/>
    <w:rsid w:val="005E25D9"/>
    <w:rsid w:val="005E4310"/>
    <w:rsid w:val="005E4FAC"/>
    <w:rsid w:val="005E7962"/>
    <w:rsid w:val="005F27DE"/>
    <w:rsid w:val="005F2E58"/>
    <w:rsid w:val="005F70D2"/>
    <w:rsid w:val="006003E1"/>
    <w:rsid w:val="0060114C"/>
    <w:rsid w:val="00603B1D"/>
    <w:rsid w:val="006044CF"/>
    <w:rsid w:val="00604D41"/>
    <w:rsid w:val="00606866"/>
    <w:rsid w:val="00610B61"/>
    <w:rsid w:val="00612654"/>
    <w:rsid w:val="00615F84"/>
    <w:rsid w:val="00621ECD"/>
    <w:rsid w:val="00623A0A"/>
    <w:rsid w:val="00623F64"/>
    <w:rsid w:val="00624385"/>
    <w:rsid w:val="006245FD"/>
    <w:rsid w:val="00626D2A"/>
    <w:rsid w:val="0063168A"/>
    <w:rsid w:val="00631934"/>
    <w:rsid w:val="00632773"/>
    <w:rsid w:val="00633164"/>
    <w:rsid w:val="00641247"/>
    <w:rsid w:val="00641F9F"/>
    <w:rsid w:val="00642B55"/>
    <w:rsid w:val="00644115"/>
    <w:rsid w:val="00651065"/>
    <w:rsid w:val="0065155A"/>
    <w:rsid w:val="006579BD"/>
    <w:rsid w:val="00661A87"/>
    <w:rsid w:val="00663A33"/>
    <w:rsid w:val="006745C1"/>
    <w:rsid w:val="00677B57"/>
    <w:rsid w:val="00677F78"/>
    <w:rsid w:val="0068772A"/>
    <w:rsid w:val="00687B13"/>
    <w:rsid w:val="00691838"/>
    <w:rsid w:val="006918AF"/>
    <w:rsid w:val="00692FA7"/>
    <w:rsid w:val="0069333B"/>
    <w:rsid w:val="006A57FF"/>
    <w:rsid w:val="006B134F"/>
    <w:rsid w:val="006B5C2D"/>
    <w:rsid w:val="006C1338"/>
    <w:rsid w:val="006C46F6"/>
    <w:rsid w:val="006C73E3"/>
    <w:rsid w:val="006D03C5"/>
    <w:rsid w:val="006D522B"/>
    <w:rsid w:val="006D5997"/>
    <w:rsid w:val="006D681C"/>
    <w:rsid w:val="006E4F7A"/>
    <w:rsid w:val="006E7834"/>
    <w:rsid w:val="006E7B04"/>
    <w:rsid w:val="006F014F"/>
    <w:rsid w:val="006F2367"/>
    <w:rsid w:val="00710F16"/>
    <w:rsid w:val="007115E4"/>
    <w:rsid w:val="00715407"/>
    <w:rsid w:val="00721F58"/>
    <w:rsid w:val="0072341E"/>
    <w:rsid w:val="00725791"/>
    <w:rsid w:val="00727CC1"/>
    <w:rsid w:val="00730387"/>
    <w:rsid w:val="00732802"/>
    <w:rsid w:val="00742360"/>
    <w:rsid w:val="0075052A"/>
    <w:rsid w:val="00751334"/>
    <w:rsid w:val="00752306"/>
    <w:rsid w:val="007538B3"/>
    <w:rsid w:val="00753E6C"/>
    <w:rsid w:val="007541E9"/>
    <w:rsid w:val="00756B07"/>
    <w:rsid w:val="007615BD"/>
    <w:rsid w:val="00766242"/>
    <w:rsid w:val="007667E9"/>
    <w:rsid w:val="00771733"/>
    <w:rsid w:val="0077636D"/>
    <w:rsid w:val="007764DA"/>
    <w:rsid w:val="00780E29"/>
    <w:rsid w:val="007825D1"/>
    <w:rsid w:val="0078720A"/>
    <w:rsid w:val="007879B7"/>
    <w:rsid w:val="007950FD"/>
    <w:rsid w:val="007A5416"/>
    <w:rsid w:val="007B0B75"/>
    <w:rsid w:val="007B131C"/>
    <w:rsid w:val="007B374F"/>
    <w:rsid w:val="007C2C1B"/>
    <w:rsid w:val="007C3363"/>
    <w:rsid w:val="007E289A"/>
    <w:rsid w:val="007E39BE"/>
    <w:rsid w:val="007E793B"/>
    <w:rsid w:val="007E7B95"/>
    <w:rsid w:val="007F08BA"/>
    <w:rsid w:val="007F608E"/>
    <w:rsid w:val="00800557"/>
    <w:rsid w:val="00810713"/>
    <w:rsid w:val="008118B0"/>
    <w:rsid w:val="00813A84"/>
    <w:rsid w:val="00816FC0"/>
    <w:rsid w:val="00817D14"/>
    <w:rsid w:val="00824B83"/>
    <w:rsid w:val="00827203"/>
    <w:rsid w:val="00827BCC"/>
    <w:rsid w:val="008300B7"/>
    <w:rsid w:val="0083074D"/>
    <w:rsid w:val="0083074F"/>
    <w:rsid w:val="008319FF"/>
    <w:rsid w:val="00833065"/>
    <w:rsid w:val="00834C9B"/>
    <w:rsid w:val="00836093"/>
    <w:rsid w:val="00836D77"/>
    <w:rsid w:val="00842785"/>
    <w:rsid w:val="00842F2F"/>
    <w:rsid w:val="00843567"/>
    <w:rsid w:val="00844CA1"/>
    <w:rsid w:val="00846790"/>
    <w:rsid w:val="0085057A"/>
    <w:rsid w:val="0085422E"/>
    <w:rsid w:val="00855345"/>
    <w:rsid w:val="00856921"/>
    <w:rsid w:val="00861F31"/>
    <w:rsid w:val="00871FEC"/>
    <w:rsid w:val="008738C7"/>
    <w:rsid w:val="00875652"/>
    <w:rsid w:val="00875E0F"/>
    <w:rsid w:val="00881EE4"/>
    <w:rsid w:val="00884961"/>
    <w:rsid w:val="008854BF"/>
    <w:rsid w:val="00885D27"/>
    <w:rsid w:val="0088774B"/>
    <w:rsid w:val="00890378"/>
    <w:rsid w:val="00890E68"/>
    <w:rsid w:val="008921F3"/>
    <w:rsid w:val="00894D6D"/>
    <w:rsid w:val="008A0CFB"/>
    <w:rsid w:val="008A366E"/>
    <w:rsid w:val="008A448F"/>
    <w:rsid w:val="008B2C6B"/>
    <w:rsid w:val="008B6854"/>
    <w:rsid w:val="008C02B1"/>
    <w:rsid w:val="008C1785"/>
    <w:rsid w:val="008C196E"/>
    <w:rsid w:val="008C1C48"/>
    <w:rsid w:val="008C43C8"/>
    <w:rsid w:val="008C6931"/>
    <w:rsid w:val="008D1806"/>
    <w:rsid w:val="008D225F"/>
    <w:rsid w:val="008D22D9"/>
    <w:rsid w:val="008D32A2"/>
    <w:rsid w:val="008D470A"/>
    <w:rsid w:val="008D4A71"/>
    <w:rsid w:val="008D5E07"/>
    <w:rsid w:val="008E269C"/>
    <w:rsid w:val="008F0EC7"/>
    <w:rsid w:val="008F4EAE"/>
    <w:rsid w:val="00905BB3"/>
    <w:rsid w:val="00911D66"/>
    <w:rsid w:val="00914CFD"/>
    <w:rsid w:val="00920157"/>
    <w:rsid w:val="00920678"/>
    <w:rsid w:val="0092426D"/>
    <w:rsid w:val="00931571"/>
    <w:rsid w:val="009343E3"/>
    <w:rsid w:val="00941AE3"/>
    <w:rsid w:val="0094349A"/>
    <w:rsid w:val="00945A2C"/>
    <w:rsid w:val="00950E08"/>
    <w:rsid w:val="009514B6"/>
    <w:rsid w:val="00951F0F"/>
    <w:rsid w:val="009554D1"/>
    <w:rsid w:val="00961D4F"/>
    <w:rsid w:val="009656FF"/>
    <w:rsid w:val="009674AF"/>
    <w:rsid w:val="00967FEF"/>
    <w:rsid w:val="0097336A"/>
    <w:rsid w:val="00980283"/>
    <w:rsid w:val="009804D0"/>
    <w:rsid w:val="009835C0"/>
    <w:rsid w:val="0098561E"/>
    <w:rsid w:val="00985E31"/>
    <w:rsid w:val="009869D5"/>
    <w:rsid w:val="00992564"/>
    <w:rsid w:val="009930B0"/>
    <w:rsid w:val="009934D4"/>
    <w:rsid w:val="009A10E3"/>
    <w:rsid w:val="009A1170"/>
    <w:rsid w:val="009A202B"/>
    <w:rsid w:val="009A3C39"/>
    <w:rsid w:val="009A4988"/>
    <w:rsid w:val="009A53DD"/>
    <w:rsid w:val="009B2B28"/>
    <w:rsid w:val="009B40E6"/>
    <w:rsid w:val="009B5BCC"/>
    <w:rsid w:val="009B6AFF"/>
    <w:rsid w:val="009C4171"/>
    <w:rsid w:val="009C6506"/>
    <w:rsid w:val="009D043D"/>
    <w:rsid w:val="009D0CE4"/>
    <w:rsid w:val="009D1DE1"/>
    <w:rsid w:val="009D5E19"/>
    <w:rsid w:val="009D6A45"/>
    <w:rsid w:val="009E2884"/>
    <w:rsid w:val="009F19B5"/>
    <w:rsid w:val="009F1B19"/>
    <w:rsid w:val="009F2630"/>
    <w:rsid w:val="009F577E"/>
    <w:rsid w:val="009F6050"/>
    <w:rsid w:val="009F6267"/>
    <w:rsid w:val="00A03073"/>
    <w:rsid w:val="00A032CA"/>
    <w:rsid w:val="00A12DB7"/>
    <w:rsid w:val="00A12F06"/>
    <w:rsid w:val="00A132B0"/>
    <w:rsid w:val="00A1401A"/>
    <w:rsid w:val="00A16803"/>
    <w:rsid w:val="00A172EB"/>
    <w:rsid w:val="00A240FC"/>
    <w:rsid w:val="00A271DE"/>
    <w:rsid w:val="00A32617"/>
    <w:rsid w:val="00A331DA"/>
    <w:rsid w:val="00A33328"/>
    <w:rsid w:val="00A400F3"/>
    <w:rsid w:val="00A41A86"/>
    <w:rsid w:val="00A420EA"/>
    <w:rsid w:val="00A430BE"/>
    <w:rsid w:val="00A438B4"/>
    <w:rsid w:val="00A444A8"/>
    <w:rsid w:val="00A47EF1"/>
    <w:rsid w:val="00A50494"/>
    <w:rsid w:val="00A5136C"/>
    <w:rsid w:val="00A535DA"/>
    <w:rsid w:val="00A566C9"/>
    <w:rsid w:val="00A5690C"/>
    <w:rsid w:val="00A60440"/>
    <w:rsid w:val="00A61269"/>
    <w:rsid w:val="00A6325D"/>
    <w:rsid w:val="00A65590"/>
    <w:rsid w:val="00A66189"/>
    <w:rsid w:val="00A66618"/>
    <w:rsid w:val="00A704D2"/>
    <w:rsid w:val="00A72BDC"/>
    <w:rsid w:val="00A73A56"/>
    <w:rsid w:val="00A740B5"/>
    <w:rsid w:val="00A746CA"/>
    <w:rsid w:val="00A74EDA"/>
    <w:rsid w:val="00A775D9"/>
    <w:rsid w:val="00A86F74"/>
    <w:rsid w:val="00A87BF7"/>
    <w:rsid w:val="00A87C62"/>
    <w:rsid w:val="00A90F93"/>
    <w:rsid w:val="00A925E1"/>
    <w:rsid w:val="00A93557"/>
    <w:rsid w:val="00A938C5"/>
    <w:rsid w:val="00AA1477"/>
    <w:rsid w:val="00AA1B6C"/>
    <w:rsid w:val="00AA3FF1"/>
    <w:rsid w:val="00AB0856"/>
    <w:rsid w:val="00AB0A22"/>
    <w:rsid w:val="00AB209F"/>
    <w:rsid w:val="00AB4BC0"/>
    <w:rsid w:val="00AC525D"/>
    <w:rsid w:val="00AD32F3"/>
    <w:rsid w:val="00AD4054"/>
    <w:rsid w:val="00AE0C88"/>
    <w:rsid w:val="00AE187F"/>
    <w:rsid w:val="00AE36E5"/>
    <w:rsid w:val="00AE70EC"/>
    <w:rsid w:val="00AE7FBC"/>
    <w:rsid w:val="00AF39A6"/>
    <w:rsid w:val="00AF6C64"/>
    <w:rsid w:val="00B006FC"/>
    <w:rsid w:val="00B04B6A"/>
    <w:rsid w:val="00B0659B"/>
    <w:rsid w:val="00B0771C"/>
    <w:rsid w:val="00B104F8"/>
    <w:rsid w:val="00B11849"/>
    <w:rsid w:val="00B1652F"/>
    <w:rsid w:val="00B16C17"/>
    <w:rsid w:val="00B21278"/>
    <w:rsid w:val="00B2205D"/>
    <w:rsid w:val="00B252B8"/>
    <w:rsid w:val="00B25A94"/>
    <w:rsid w:val="00B30287"/>
    <w:rsid w:val="00B30458"/>
    <w:rsid w:val="00B32015"/>
    <w:rsid w:val="00B32057"/>
    <w:rsid w:val="00B439B3"/>
    <w:rsid w:val="00B44E88"/>
    <w:rsid w:val="00B619A3"/>
    <w:rsid w:val="00B63645"/>
    <w:rsid w:val="00B651FB"/>
    <w:rsid w:val="00B65737"/>
    <w:rsid w:val="00B71ACB"/>
    <w:rsid w:val="00B80134"/>
    <w:rsid w:val="00B81806"/>
    <w:rsid w:val="00B83EEA"/>
    <w:rsid w:val="00B87FF9"/>
    <w:rsid w:val="00B908E8"/>
    <w:rsid w:val="00B95FC9"/>
    <w:rsid w:val="00B97E23"/>
    <w:rsid w:val="00BA562A"/>
    <w:rsid w:val="00BB021B"/>
    <w:rsid w:val="00BB5070"/>
    <w:rsid w:val="00BB580E"/>
    <w:rsid w:val="00BB59A0"/>
    <w:rsid w:val="00BC28D9"/>
    <w:rsid w:val="00BC4D4A"/>
    <w:rsid w:val="00BC66B7"/>
    <w:rsid w:val="00BD1B64"/>
    <w:rsid w:val="00BD33DF"/>
    <w:rsid w:val="00BD604A"/>
    <w:rsid w:val="00BD6A23"/>
    <w:rsid w:val="00BD742E"/>
    <w:rsid w:val="00BE08D8"/>
    <w:rsid w:val="00BE1084"/>
    <w:rsid w:val="00BE5BD0"/>
    <w:rsid w:val="00BE7378"/>
    <w:rsid w:val="00BF1F02"/>
    <w:rsid w:val="00BF5002"/>
    <w:rsid w:val="00BF540A"/>
    <w:rsid w:val="00BF77B9"/>
    <w:rsid w:val="00C017DF"/>
    <w:rsid w:val="00C02765"/>
    <w:rsid w:val="00C101B2"/>
    <w:rsid w:val="00C11720"/>
    <w:rsid w:val="00C12333"/>
    <w:rsid w:val="00C17769"/>
    <w:rsid w:val="00C17AE1"/>
    <w:rsid w:val="00C2073C"/>
    <w:rsid w:val="00C222ED"/>
    <w:rsid w:val="00C32677"/>
    <w:rsid w:val="00C336B8"/>
    <w:rsid w:val="00C35D4C"/>
    <w:rsid w:val="00C40A08"/>
    <w:rsid w:val="00C42113"/>
    <w:rsid w:val="00C4336D"/>
    <w:rsid w:val="00C44EA9"/>
    <w:rsid w:val="00C47386"/>
    <w:rsid w:val="00C47C3E"/>
    <w:rsid w:val="00C530B9"/>
    <w:rsid w:val="00C54293"/>
    <w:rsid w:val="00C560F3"/>
    <w:rsid w:val="00C56C99"/>
    <w:rsid w:val="00C601BF"/>
    <w:rsid w:val="00C62DA5"/>
    <w:rsid w:val="00C722D5"/>
    <w:rsid w:val="00C7231B"/>
    <w:rsid w:val="00C75C18"/>
    <w:rsid w:val="00C77138"/>
    <w:rsid w:val="00C77BF8"/>
    <w:rsid w:val="00C80852"/>
    <w:rsid w:val="00C80E3A"/>
    <w:rsid w:val="00C84A2F"/>
    <w:rsid w:val="00C8558A"/>
    <w:rsid w:val="00C959F7"/>
    <w:rsid w:val="00CA5A81"/>
    <w:rsid w:val="00CA740C"/>
    <w:rsid w:val="00CB1836"/>
    <w:rsid w:val="00CB66A7"/>
    <w:rsid w:val="00CC000A"/>
    <w:rsid w:val="00CC0D68"/>
    <w:rsid w:val="00CC1317"/>
    <w:rsid w:val="00CC20DB"/>
    <w:rsid w:val="00CC35AD"/>
    <w:rsid w:val="00CC423A"/>
    <w:rsid w:val="00CC52C7"/>
    <w:rsid w:val="00CC5442"/>
    <w:rsid w:val="00CC594A"/>
    <w:rsid w:val="00CC75CF"/>
    <w:rsid w:val="00CD2932"/>
    <w:rsid w:val="00CD3CD4"/>
    <w:rsid w:val="00CD64AA"/>
    <w:rsid w:val="00CD7F7B"/>
    <w:rsid w:val="00CE3CB8"/>
    <w:rsid w:val="00CE6452"/>
    <w:rsid w:val="00CF26BE"/>
    <w:rsid w:val="00CF3421"/>
    <w:rsid w:val="00CF478A"/>
    <w:rsid w:val="00D0529A"/>
    <w:rsid w:val="00D07D7A"/>
    <w:rsid w:val="00D07DD0"/>
    <w:rsid w:val="00D11750"/>
    <w:rsid w:val="00D161CE"/>
    <w:rsid w:val="00D16726"/>
    <w:rsid w:val="00D23893"/>
    <w:rsid w:val="00D253B8"/>
    <w:rsid w:val="00D308A0"/>
    <w:rsid w:val="00D31594"/>
    <w:rsid w:val="00D32083"/>
    <w:rsid w:val="00D32164"/>
    <w:rsid w:val="00D325AA"/>
    <w:rsid w:val="00D33279"/>
    <w:rsid w:val="00D3435D"/>
    <w:rsid w:val="00D34A30"/>
    <w:rsid w:val="00D40CB1"/>
    <w:rsid w:val="00D46D88"/>
    <w:rsid w:val="00D52124"/>
    <w:rsid w:val="00D52C24"/>
    <w:rsid w:val="00D600B8"/>
    <w:rsid w:val="00D60994"/>
    <w:rsid w:val="00D620F1"/>
    <w:rsid w:val="00D64DD5"/>
    <w:rsid w:val="00D707C4"/>
    <w:rsid w:val="00D77EB3"/>
    <w:rsid w:val="00D83334"/>
    <w:rsid w:val="00D8336B"/>
    <w:rsid w:val="00D877A4"/>
    <w:rsid w:val="00D90013"/>
    <w:rsid w:val="00D92377"/>
    <w:rsid w:val="00D937DF"/>
    <w:rsid w:val="00D93CEA"/>
    <w:rsid w:val="00D956E5"/>
    <w:rsid w:val="00D95B96"/>
    <w:rsid w:val="00D96412"/>
    <w:rsid w:val="00DA06AE"/>
    <w:rsid w:val="00DA0769"/>
    <w:rsid w:val="00DA2FCF"/>
    <w:rsid w:val="00DA36FF"/>
    <w:rsid w:val="00DA4B9C"/>
    <w:rsid w:val="00DA539B"/>
    <w:rsid w:val="00DB6118"/>
    <w:rsid w:val="00DC006E"/>
    <w:rsid w:val="00DC1BDF"/>
    <w:rsid w:val="00DC4140"/>
    <w:rsid w:val="00DC4A36"/>
    <w:rsid w:val="00DC61BD"/>
    <w:rsid w:val="00DD2EE4"/>
    <w:rsid w:val="00DD2F13"/>
    <w:rsid w:val="00DD64AB"/>
    <w:rsid w:val="00DE3503"/>
    <w:rsid w:val="00DE51AD"/>
    <w:rsid w:val="00DE7EB0"/>
    <w:rsid w:val="00DF0492"/>
    <w:rsid w:val="00DF0D5E"/>
    <w:rsid w:val="00E045BA"/>
    <w:rsid w:val="00E11EEB"/>
    <w:rsid w:val="00E162C0"/>
    <w:rsid w:val="00E16F9C"/>
    <w:rsid w:val="00E223AE"/>
    <w:rsid w:val="00E30FCD"/>
    <w:rsid w:val="00E32D11"/>
    <w:rsid w:val="00E338AA"/>
    <w:rsid w:val="00E37CF5"/>
    <w:rsid w:val="00E4072E"/>
    <w:rsid w:val="00E42189"/>
    <w:rsid w:val="00E42212"/>
    <w:rsid w:val="00E44CB0"/>
    <w:rsid w:val="00E45F3E"/>
    <w:rsid w:val="00E5322A"/>
    <w:rsid w:val="00E55829"/>
    <w:rsid w:val="00E60077"/>
    <w:rsid w:val="00E60380"/>
    <w:rsid w:val="00E61C0C"/>
    <w:rsid w:val="00E71D9A"/>
    <w:rsid w:val="00E72774"/>
    <w:rsid w:val="00E7408F"/>
    <w:rsid w:val="00E7537E"/>
    <w:rsid w:val="00E763AC"/>
    <w:rsid w:val="00E818F1"/>
    <w:rsid w:val="00E82198"/>
    <w:rsid w:val="00E826E5"/>
    <w:rsid w:val="00E85C84"/>
    <w:rsid w:val="00E91261"/>
    <w:rsid w:val="00E936C1"/>
    <w:rsid w:val="00E94352"/>
    <w:rsid w:val="00E96DE7"/>
    <w:rsid w:val="00E971E1"/>
    <w:rsid w:val="00E97C16"/>
    <w:rsid w:val="00EA3B56"/>
    <w:rsid w:val="00EB1E3C"/>
    <w:rsid w:val="00EB2D77"/>
    <w:rsid w:val="00EB331C"/>
    <w:rsid w:val="00EB4B32"/>
    <w:rsid w:val="00EC53B1"/>
    <w:rsid w:val="00ED4825"/>
    <w:rsid w:val="00EE2571"/>
    <w:rsid w:val="00EE599F"/>
    <w:rsid w:val="00EE6C8C"/>
    <w:rsid w:val="00EF534E"/>
    <w:rsid w:val="00EF7468"/>
    <w:rsid w:val="00F0001C"/>
    <w:rsid w:val="00F01EFE"/>
    <w:rsid w:val="00F03639"/>
    <w:rsid w:val="00F05D19"/>
    <w:rsid w:val="00F068D1"/>
    <w:rsid w:val="00F14F72"/>
    <w:rsid w:val="00F152E0"/>
    <w:rsid w:val="00F20C83"/>
    <w:rsid w:val="00F2260B"/>
    <w:rsid w:val="00F2453A"/>
    <w:rsid w:val="00F25EE9"/>
    <w:rsid w:val="00F26D11"/>
    <w:rsid w:val="00F312F7"/>
    <w:rsid w:val="00F321E8"/>
    <w:rsid w:val="00F335C2"/>
    <w:rsid w:val="00F336DD"/>
    <w:rsid w:val="00F53DDE"/>
    <w:rsid w:val="00F603D6"/>
    <w:rsid w:val="00F665CD"/>
    <w:rsid w:val="00F718CE"/>
    <w:rsid w:val="00F74C9F"/>
    <w:rsid w:val="00F75DFD"/>
    <w:rsid w:val="00F849DD"/>
    <w:rsid w:val="00F86DAD"/>
    <w:rsid w:val="00F90C44"/>
    <w:rsid w:val="00F96F7C"/>
    <w:rsid w:val="00F97D9C"/>
    <w:rsid w:val="00FA2122"/>
    <w:rsid w:val="00FA5597"/>
    <w:rsid w:val="00FA71B4"/>
    <w:rsid w:val="00FB0EEE"/>
    <w:rsid w:val="00FB4DF6"/>
    <w:rsid w:val="00FC6D00"/>
    <w:rsid w:val="00FC7BF1"/>
    <w:rsid w:val="00FD22A1"/>
    <w:rsid w:val="00FD4C8A"/>
    <w:rsid w:val="00FE03C7"/>
    <w:rsid w:val="00FE55B6"/>
    <w:rsid w:val="00FF2987"/>
    <w:rsid w:val="00FF603B"/>
    <w:rsid w:val="00FF65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BBD3C"/>
  <w15:chartTrackingRefBased/>
  <w15:docId w15:val="{D76A6B51-2FB3-4963-A393-1C1E0AB0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9A6"/>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F74C9F"/>
    <w:pPr>
      <w:keepNext/>
      <w:spacing w:before="240" w:after="60"/>
      <w:outlineLvl w:val="0"/>
    </w:pPr>
    <w:rPr>
      <w:rFonts w:ascii="Calibri Light" w:hAnsi="Calibri Light"/>
      <w:b/>
      <w:bCs/>
      <w:kern w:val="32"/>
      <w:sz w:val="32"/>
      <w:szCs w:val="32"/>
      <w:lang w:val="x-none" w:eastAsia="x-none"/>
    </w:rPr>
  </w:style>
  <w:style w:type="paragraph" w:styleId="Ttulo3">
    <w:name w:val="heading 3"/>
    <w:basedOn w:val="Normal"/>
    <w:next w:val="Normal"/>
    <w:link w:val="Ttulo3Car"/>
    <w:uiPriority w:val="9"/>
    <w:unhideWhenUsed/>
    <w:qFormat/>
    <w:rsid w:val="00914CFD"/>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qFormat/>
    <w:rsid w:val="00B006FC"/>
    <w:pPr>
      <w:keepNext/>
      <w:overflowPunct w:val="0"/>
      <w:autoSpaceDE w:val="0"/>
      <w:autoSpaceDN w:val="0"/>
      <w:adjustRightInd w:val="0"/>
      <w:spacing w:line="360" w:lineRule="auto"/>
      <w:ind w:right="-284"/>
      <w:jc w:val="both"/>
      <w:textAlignment w:val="baseline"/>
      <w:outlineLvl w:val="5"/>
    </w:pPr>
    <w:rPr>
      <w:rFonts w:ascii="Arial" w:hAnsi="Arial"/>
      <w:sz w:val="26"/>
      <w:szCs w:val="20"/>
      <w:lang w:val="es-ES_tradnl" w:eastAsia="x-none"/>
    </w:rPr>
  </w:style>
  <w:style w:type="paragraph" w:styleId="Ttulo9">
    <w:name w:val="heading 9"/>
    <w:basedOn w:val="Normal"/>
    <w:next w:val="Normal"/>
    <w:link w:val="Ttulo9Car"/>
    <w:qFormat/>
    <w:rsid w:val="001851F7"/>
    <w:pPr>
      <w:keepNext/>
      <w:numPr>
        <w:numId w:val="23"/>
      </w:numPr>
      <w:spacing w:line="360" w:lineRule="auto"/>
      <w:outlineLvl w:val="8"/>
    </w:pPr>
    <w:rPr>
      <w:rFonts w:ascii="Tahoma" w:hAnsi="Tahoma"/>
      <w:b/>
      <w:bCs/>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Normal"/>
    <w:link w:val="TtuloCar"/>
    <w:qFormat/>
    <w:rsid w:val="00AF39A6"/>
    <w:pPr>
      <w:suppressAutoHyphens/>
      <w:overflowPunct w:val="0"/>
      <w:autoSpaceDE w:val="0"/>
      <w:autoSpaceDN w:val="0"/>
      <w:adjustRightInd w:val="0"/>
      <w:ind w:right="360"/>
      <w:jc w:val="center"/>
      <w:textAlignment w:val="baseline"/>
    </w:pPr>
    <w:rPr>
      <w:rFonts w:ascii="Arial" w:hAnsi="Arial"/>
      <w:b/>
      <w:bCs/>
      <w:lang w:val="x-none"/>
    </w:rPr>
  </w:style>
  <w:style w:type="character" w:customStyle="1" w:styleId="TtuloCar">
    <w:name w:val="Título Car"/>
    <w:link w:val="a"/>
    <w:rsid w:val="00AF39A6"/>
    <w:rPr>
      <w:rFonts w:ascii="Arial" w:eastAsia="Times New Roman" w:hAnsi="Arial" w:cs="Arial"/>
      <w:b/>
      <w:bCs/>
      <w:sz w:val="24"/>
      <w:szCs w:val="24"/>
      <w:lang w:eastAsia="es-ES"/>
    </w:rPr>
  </w:style>
  <w:style w:type="character" w:styleId="Nmerodepgina">
    <w:name w:val="page number"/>
    <w:basedOn w:val="Fuentedeprrafopredeter"/>
    <w:rsid w:val="00AF39A6"/>
  </w:style>
  <w:style w:type="paragraph" w:styleId="Encabezado">
    <w:name w:val="header"/>
    <w:basedOn w:val="Normal"/>
    <w:link w:val="EncabezadoCar"/>
    <w:rsid w:val="00AF39A6"/>
    <w:pPr>
      <w:tabs>
        <w:tab w:val="center" w:pos="4419"/>
        <w:tab w:val="right" w:pos="8838"/>
      </w:tabs>
      <w:overflowPunct w:val="0"/>
      <w:autoSpaceDE w:val="0"/>
      <w:autoSpaceDN w:val="0"/>
      <w:adjustRightInd w:val="0"/>
      <w:textAlignment w:val="baseline"/>
    </w:pPr>
    <w:rPr>
      <w:rFonts w:ascii="Arial" w:hAnsi="Arial"/>
      <w:sz w:val="20"/>
      <w:szCs w:val="20"/>
      <w:lang w:val="es-ES_tradnl"/>
    </w:rPr>
  </w:style>
  <w:style w:type="character" w:customStyle="1" w:styleId="EncabezadoCar">
    <w:name w:val="Encabezado Car"/>
    <w:link w:val="Encabezado"/>
    <w:rsid w:val="00AF39A6"/>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AF39A6"/>
    <w:pPr>
      <w:spacing w:after="120" w:line="480" w:lineRule="auto"/>
    </w:pPr>
  </w:style>
  <w:style w:type="character" w:customStyle="1" w:styleId="Textoindependiente2Car">
    <w:name w:val="Texto independiente 2 Car"/>
    <w:link w:val="Textoindependiente2"/>
    <w:rsid w:val="00AF39A6"/>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Ca"/>
    <w:basedOn w:val="Normal"/>
    <w:link w:val="TextonotapieCar"/>
    <w:qFormat/>
    <w:rsid w:val="00AF39A6"/>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AF39A6"/>
    <w:rPr>
      <w:rFonts w:ascii="Times New Roman" w:eastAsia="Times New Roman" w:hAnsi="Times New Roman" w:cs="Times New Roman"/>
      <w:sz w:val="24"/>
      <w:szCs w:val="24"/>
      <w:lang w:val="es-ES" w:eastAsia="es-ES"/>
    </w:rPr>
  </w:style>
  <w:style w:type="character" w:styleId="Refdenotaalpie">
    <w:name w:val="footnote reference"/>
    <w:aliases w:val="Ref. de nota al pie 2,Pie de Página,FC,Ref,de nota al pie,Appel note de bas de p,Texto de nota al pie,Texto de nota al p,Pie de Pàgina,F,Pie de P_gin,Pie de P_,Texto de nota al pi,Pie de P_g,Footnotes refss,Appel note de bas de page"/>
    <w:qFormat/>
    <w:rsid w:val="00AF39A6"/>
    <w:rPr>
      <w:vertAlign w:val="superscript"/>
    </w:rPr>
  </w:style>
  <w:style w:type="paragraph" w:styleId="NormalWeb">
    <w:name w:val="Normal (Web)"/>
    <w:basedOn w:val="Normal"/>
    <w:uiPriority w:val="99"/>
    <w:rsid w:val="00AF39A6"/>
    <w:pPr>
      <w:spacing w:beforeLines="1" w:afterLines="1"/>
    </w:pPr>
    <w:rPr>
      <w:rFonts w:ascii="Times" w:hAnsi="Times"/>
      <w:sz w:val="20"/>
      <w:szCs w:val="20"/>
      <w:lang w:val="es-ES_tradnl" w:eastAsia="es-ES_tradnl"/>
    </w:rPr>
  </w:style>
  <w:style w:type="paragraph" w:styleId="Ttulo">
    <w:name w:val="Title"/>
    <w:basedOn w:val="Normal"/>
    <w:next w:val="Normal"/>
    <w:link w:val="TtuloCar1"/>
    <w:uiPriority w:val="10"/>
    <w:qFormat/>
    <w:rsid w:val="00AF39A6"/>
    <w:pPr>
      <w:contextualSpacing/>
    </w:pPr>
    <w:rPr>
      <w:rFonts w:ascii="Calibri Light" w:hAnsi="Calibri Light"/>
      <w:spacing w:val="-10"/>
      <w:kern w:val="28"/>
      <w:sz w:val="56"/>
      <w:szCs w:val="56"/>
    </w:rPr>
  </w:style>
  <w:style w:type="character" w:customStyle="1" w:styleId="TtuloCar1">
    <w:name w:val="Título Car1"/>
    <w:link w:val="Ttulo"/>
    <w:uiPriority w:val="10"/>
    <w:rsid w:val="00AF39A6"/>
    <w:rPr>
      <w:rFonts w:ascii="Calibri Light" w:eastAsia="Times New Roman" w:hAnsi="Calibri Light" w:cs="Times New Roman"/>
      <w:spacing w:val="-10"/>
      <w:kern w:val="28"/>
      <w:sz w:val="56"/>
      <w:szCs w:val="56"/>
      <w:lang w:val="es-ES" w:eastAsia="es-ES"/>
    </w:rPr>
  </w:style>
  <w:style w:type="paragraph" w:styleId="Piedepgina">
    <w:name w:val="footer"/>
    <w:basedOn w:val="Normal"/>
    <w:link w:val="PiedepginaCar"/>
    <w:unhideWhenUsed/>
    <w:rsid w:val="00D07DD0"/>
    <w:pPr>
      <w:tabs>
        <w:tab w:val="center" w:pos="4419"/>
        <w:tab w:val="right" w:pos="8838"/>
      </w:tabs>
    </w:pPr>
  </w:style>
  <w:style w:type="character" w:customStyle="1" w:styleId="PiedepginaCar">
    <w:name w:val="Pie de página Car"/>
    <w:link w:val="Piedepgina"/>
    <w:rsid w:val="00D07DD0"/>
    <w:rPr>
      <w:rFonts w:ascii="Times New Roman" w:eastAsia="Times New Roman" w:hAnsi="Times New Roman" w:cs="Times New Roman"/>
      <w:sz w:val="24"/>
      <w:szCs w:val="24"/>
      <w:lang w:val="es-ES" w:eastAsia="es-ES"/>
    </w:rPr>
  </w:style>
  <w:style w:type="paragraph" w:customStyle="1" w:styleId="Listamedia2-nfasis41">
    <w:name w:val="Lista media 2 - Énfasis 41"/>
    <w:basedOn w:val="Normal"/>
    <w:uiPriority w:val="34"/>
    <w:qFormat/>
    <w:rsid w:val="007E39BE"/>
    <w:pPr>
      <w:ind w:left="720"/>
      <w:contextualSpacing/>
    </w:pPr>
  </w:style>
  <w:style w:type="paragraph" w:styleId="Textodeglobo">
    <w:name w:val="Balloon Text"/>
    <w:basedOn w:val="Normal"/>
    <w:link w:val="TextodegloboCar"/>
    <w:uiPriority w:val="99"/>
    <w:semiHidden/>
    <w:unhideWhenUsed/>
    <w:rsid w:val="0004074D"/>
    <w:rPr>
      <w:rFonts w:ascii="Tahoma" w:hAnsi="Tahoma"/>
      <w:sz w:val="16"/>
      <w:szCs w:val="16"/>
    </w:rPr>
  </w:style>
  <w:style w:type="character" w:customStyle="1" w:styleId="TextodegloboCar">
    <w:name w:val="Texto de globo Car"/>
    <w:link w:val="Textodeglobo"/>
    <w:uiPriority w:val="99"/>
    <w:semiHidden/>
    <w:rsid w:val="0004074D"/>
    <w:rPr>
      <w:rFonts w:ascii="Tahoma" w:eastAsia="Times New Roman" w:hAnsi="Tahoma" w:cs="Tahoma"/>
      <w:sz w:val="16"/>
      <w:szCs w:val="16"/>
      <w:lang w:val="es-ES" w:eastAsia="es-ES"/>
    </w:rPr>
  </w:style>
  <w:style w:type="character" w:styleId="Refdecomentario">
    <w:name w:val="annotation reference"/>
    <w:uiPriority w:val="99"/>
    <w:semiHidden/>
    <w:unhideWhenUsed/>
    <w:rsid w:val="00A03073"/>
    <w:rPr>
      <w:sz w:val="18"/>
      <w:szCs w:val="18"/>
    </w:rPr>
  </w:style>
  <w:style w:type="paragraph" w:styleId="Textocomentario">
    <w:name w:val="annotation text"/>
    <w:basedOn w:val="Normal"/>
    <w:link w:val="TextocomentarioCar"/>
    <w:uiPriority w:val="99"/>
    <w:semiHidden/>
    <w:unhideWhenUsed/>
    <w:rsid w:val="00A03073"/>
    <w:rPr>
      <w:lang w:eastAsia="x-none"/>
    </w:rPr>
  </w:style>
  <w:style w:type="character" w:customStyle="1" w:styleId="TextocomentarioCar">
    <w:name w:val="Texto comentario Car"/>
    <w:link w:val="Textocomentario"/>
    <w:uiPriority w:val="99"/>
    <w:semiHidden/>
    <w:rsid w:val="00A03073"/>
    <w:rPr>
      <w:rFonts w:ascii="Times New Roman" w:eastAsia="Times New Roman" w:hAnsi="Times New Roman"/>
      <w:sz w:val="24"/>
      <w:szCs w:val="24"/>
      <w:lang w:val="es-ES"/>
    </w:rPr>
  </w:style>
  <w:style w:type="paragraph" w:styleId="Asuntodelcomentario">
    <w:name w:val="annotation subject"/>
    <w:basedOn w:val="Textocomentario"/>
    <w:next w:val="Textocomentario"/>
    <w:link w:val="AsuntodelcomentarioCar"/>
    <w:uiPriority w:val="99"/>
    <w:semiHidden/>
    <w:unhideWhenUsed/>
    <w:rsid w:val="00A03073"/>
    <w:rPr>
      <w:b/>
      <w:bCs/>
    </w:rPr>
  </w:style>
  <w:style w:type="character" w:customStyle="1" w:styleId="AsuntodelcomentarioCar">
    <w:name w:val="Asunto del comentario Car"/>
    <w:link w:val="Asuntodelcomentario"/>
    <w:uiPriority w:val="99"/>
    <w:semiHidden/>
    <w:rsid w:val="00A03073"/>
    <w:rPr>
      <w:rFonts w:ascii="Times New Roman" w:eastAsia="Times New Roman" w:hAnsi="Times New Roman"/>
      <w:b/>
      <w:bCs/>
      <w:sz w:val="24"/>
      <w:szCs w:val="24"/>
      <w:lang w:val="es-ES"/>
    </w:rPr>
  </w:style>
  <w:style w:type="paragraph" w:styleId="Sangradetextonormal">
    <w:name w:val="Body Text Indent"/>
    <w:basedOn w:val="Normal"/>
    <w:link w:val="SangradetextonormalCar"/>
    <w:rsid w:val="003917DF"/>
    <w:pPr>
      <w:spacing w:after="120"/>
      <w:ind w:left="283"/>
    </w:pPr>
    <w:rPr>
      <w:lang w:val="x-none" w:eastAsia="x-none"/>
    </w:rPr>
  </w:style>
  <w:style w:type="character" w:customStyle="1" w:styleId="SangradetextonormalCar">
    <w:name w:val="Sangría de texto normal Car"/>
    <w:link w:val="Sangradetextonormal"/>
    <w:rsid w:val="003917DF"/>
    <w:rPr>
      <w:rFonts w:ascii="Times New Roman" w:eastAsia="Times New Roman" w:hAnsi="Times New Roman"/>
      <w:sz w:val="24"/>
      <w:szCs w:val="24"/>
    </w:rPr>
  </w:style>
  <w:style w:type="character" w:customStyle="1" w:styleId="apple-converted-space">
    <w:name w:val="apple-converted-space"/>
    <w:rsid w:val="00EB1E3C"/>
  </w:style>
  <w:style w:type="character" w:customStyle="1" w:styleId="Ttulo6Car">
    <w:name w:val="Título 6 Car"/>
    <w:link w:val="Ttulo6"/>
    <w:rsid w:val="00B006FC"/>
    <w:rPr>
      <w:rFonts w:ascii="Arial" w:eastAsia="Times New Roman" w:hAnsi="Arial"/>
      <w:sz w:val="26"/>
      <w:lang w:val="es-ES_tradnl"/>
    </w:rPr>
  </w:style>
  <w:style w:type="paragraph" w:customStyle="1" w:styleId="Cuadrculaclara-nfasis31">
    <w:name w:val="Cuadrícula clara - Énfasis 31"/>
    <w:basedOn w:val="Normal"/>
    <w:uiPriority w:val="34"/>
    <w:qFormat/>
    <w:rsid w:val="00E55829"/>
    <w:pPr>
      <w:ind w:left="720"/>
      <w:contextualSpacing/>
    </w:pPr>
    <w:rPr>
      <w:rFonts w:ascii="Cambria" w:eastAsia="MS Mincho" w:hAnsi="Cambria"/>
      <w:lang w:val="es-ES_tradnl"/>
    </w:rPr>
  </w:style>
  <w:style w:type="paragraph" w:styleId="Textoindependiente">
    <w:name w:val="Body Text"/>
    <w:basedOn w:val="Normal"/>
    <w:link w:val="TextoindependienteCar"/>
    <w:uiPriority w:val="99"/>
    <w:semiHidden/>
    <w:unhideWhenUsed/>
    <w:rsid w:val="009656FF"/>
    <w:pPr>
      <w:spacing w:after="120"/>
    </w:pPr>
    <w:rPr>
      <w:lang w:val="x-none" w:eastAsia="x-none"/>
    </w:rPr>
  </w:style>
  <w:style w:type="character" w:customStyle="1" w:styleId="TextoindependienteCar">
    <w:name w:val="Texto independiente Car"/>
    <w:link w:val="Textoindependiente"/>
    <w:uiPriority w:val="99"/>
    <w:semiHidden/>
    <w:rsid w:val="009656FF"/>
    <w:rPr>
      <w:rFonts w:ascii="Times New Roman" w:eastAsia="Times New Roman" w:hAnsi="Times New Roman"/>
      <w:sz w:val="24"/>
      <w:szCs w:val="24"/>
    </w:rPr>
  </w:style>
  <w:style w:type="character" w:customStyle="1" w:styleId="Ttulo1Car">
    <w:name w:val="Título 1 Car"/>
    <w:link w:val="Ttulo1"/>
    <w:uiPriority w:val="9"/>
    <w:rsid w:val="00F74C9F"/>
    <w:rPr>
      <w:rFonts w:ascii="Calibri Light" w:eastAsia="Times New Roman" w:hAnsi="Calibri Light" w:cs="Times New Roman"/>
      <w:b/>
      <w:bCs/>
      <w:kern w:val="32"/>
      <w:sz w:val="32"/>
      <w:szCs w:val="32"/>
    </w:rPr>
  </w:style>
  <w:style w:type="paragraph" w:styleId="Sangra2detindependiente">
    <w:name w:val="Body Text Indent 2"/>
    <w:basedOn w:val="Normal"/>
    <w:link w:val="Sangra2detindependienteCar"/>
    <w:uiPriority w:val="99"/>
    <w:unhideWhenUsed/>
    <w:rsid w:val="00337EFE"/>
    <w:pPr>
      <w:spacing w:after="120" w:line="480" w:lineRule="auto"/>
      <w:ind w:left="283"/>
    </w:pPr>
    <w:rPr>
      <w:lang w:val="x-none" w:eastAsia="x-none"/>
    </w:rPr>
  </w:style>
  <w:style w:type="character" w:customStyle="1" w:styleId="Sangra2detindependienteCar">
    <w:name w:val="Sangría 2 de t. independiente Car"/>
    <w:link w:val="Sangra2detindependiente"/>
    <w:uiPriority w:val="99"/>
    <w:rsid w:val="00337EFE"/>
    <w:rPr>
      <w:rFonts w:ascii="Times New Roman" w:eastAsia="Times New Roman" w:hAnsi="Times New Roman"/>
      <w:sz w:val="24"/>
      <w:szCs w:val="24"/>
    </w:rPr>
  </w:style>
  <w:style w:type="character" w:customStyle="1" w:styleId="eabrv">
    <w:name w:val="eabrv"/>
    <w:rsid w:val="00337EFE"/>
  </w:style>
  <w:style w:type="character" w:customStyle="1" w:styleId="apple-style-span">
    <w:name w:val="apple-style-span"/>
    <w:rsid w:val="00337EFE"/>
  </w:style>
  <w:style w:type="character" w:styleId="Hipervnculo">
    <w:name w:val="Hyperlink"/>
    <w:uiPriority w:val="99"/>
    <w:semiHidden/>
    <w:unhideWhenUsed/>
    <w:rsid w:val="00843567"/>
    <w:rPr>
      <w:color w:val="0000FF"/>
      <w:u w:val="single"/>
    </w:rPr>
  </w:style>
  <w:style w:type="character" w:customStyle="1" w:styleId="Ttulo9Car">
    <w:name w:val="Título 9 Car"/>
    <w:link w:val="Ttulo9"/>
    <w:rsid w:val="001851F7"/>
    <w:rPr>
      <w:rFonts w:ascii="Tahoma" w:eastAsia="Times New Roman" w:hAnsi="Tahoma"/>
      <w:b/>
      <w:bCs/>
      <w:sz w:val="24"/>
      <w:szCs w:val="24"/>
      <w:lang w:val="es-ES"/>
    </w:rPr>
  </w:style>
  <w:style w:type="paragraph" w:customStyle="1" w:styleId="Cuadrculamedia1-nfasis21">
    <w:name w:val="Cuadrícula media 1 - Énfasis 21"/>
    <w:basedOn w:val="Normal"/>
    <w:uiPriority w:val="34"/>
    <w:qFormat/>
    <w:rsid w:val="008C6931"/>
    <w:pPr>
      <w:ind w:left="720"/>
      <w:contextualSpacing/>
    </w:pPr>
    <w:rPr>
      <w:rFonts w:ascii="Cambria" w:eastAsia="MS Mincho" w:hAnsi="Cambria"/>
      <w:lang w:val="es-ES_tradnl"/>
    </w:rPr>
  </w:style>
  <w:style w:type="character" w:customStyle="1" w:styleId="Ttulo3Car">
    <w:name w:val="Título 3 Car"/>
    <w:link w:val="Ttulo3"/>
    <w:uiPriority w:val="9"/>
    <w:rsid w:val="00914CFD"/>
    <w:rPr>
      <w:rFonts w:ascii="Calibri Light" w:eastAsia="Times New Roman" w:hAnsi="Calibri Light" w:cs="Times New Roman"/>
      <w:b/>
      <w:bCs/>
      <w:sz w:val="26"/>
      <w:szCs w:val="26"/>
      <w:lang w:val="es-ES" w:eastAsia="es-ES"/>
    </w:rPr>
  </w:style>
  <w:style w:type="table" w:styleId="Tablaconcuadrcula">
    <w:name w:val="Table Grid"/>
    <w:basedOn w:val="Tablanormal"/>
    <w:uiPriority w:val="39"/>
    <w:rsid w:val="00073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34162">
      <w:bodyDiv w:val="1"/>
      <w:marLeft w:val="0"/>
      <w:marRight w:val="0"/>
      <w:marTop w:val="0"/>
      <w:marBottom w:val="0"/>
      <w:divBdr>
        <w:top w:val="none" w:sz="0" w:space="0" w:color="auto"/>
        <w:left w:val="none" w:sz="0" w:space="0" w:color="auto"/>
        <w:bottom w:val="none" w:sz="0" w:space="0" w:color="auto"/>
        <w:right w:val="none" w:sz="0" w:space="0" w:color="auto"/>
      </w:divBdr>
    </w:div>
    <w:div w:id="125780651">
      <w:bodyDiv w:val="1"/>
      <w:marLeft w:val="0"/>
      <w:marRight w:val="0"/>
      <w:marTop w:val="0"/>
      <w:marBottom w:val="0"/>
      <w:divBdr>
        <w:top w:val="none" w:sz="0" w:space="0" w:color="auto"/>
        <w:left w:val="none" w:sz="0" w:space="0" w:color="auto"/>
        <w:bottom w:val="none" w:sz="0" w:space="0" w:color="auto"/>
        <w:right w:val="none" w:sz="0" w:space="0" w:color="auto"/>
      </w:divBdr>
    </w:div>
    <w:div w:id="453400804">
      <w:bodyDiv w:val="1"/>
      <w:marLeft w:val="0"/>
      <w:marRight w:val="0"/>
      <w:marTop w:val="0"/>
      <w:marBottom w:val="0"/>
      <w:divBdr>
        <w:top w:val="none" w:sz="0" w:space="0" w:color="auto"/>
        <w:left w:val="none" w:sz="0" w:space="0" w:color="auto"/>
        <w:bottom w:val="none" w:sz="0" w:space="0" w:color="auto"/>
        <w:right w:val="none" w:sz="0" w:space="0" w:color="auto"/>
      </w:divBdr>
    </w:div>
    <w:div w:id="468280075">
      <w:bodyDiv w:val="1"/>
      <w:marLeft w:val="0"/>
      <w:marRight w:val="0"/>
      <w:marTop w:val="0"/>
      <w:marBottom w:val="0"/>
      <w:divBdr>
        <w:top w:val="none" w:sz="0" w:space="0" w:color="auto"/>
        <w:left w:val="none" w:sz="0" w:space="0" w:color="auto"/>
        <w:bottom w:val="none" w:sz="0" w:space="0" w:color="auto"/>
        <w:right w:val="none" w:sz="0" w:space="0" w:color="auto"/>
      </w:divBdr>
    </w:div>
    <w:div w:id="482114703">
      <w:bodyDiv w:val="1"/>
      <w:marLeft w:val="0"/>
      <w:marRight w:val="0"/>
      <w:marTop w:val="0"/>
      <w:marBottom w:val="0"/>
      <w:divBdr>
        <w:top w:val="none" w:sz="0" w:space="0" w:color="auto"/>
        <w:left w:val="none" w:sz="0" w:space="0" w:color="auto"/>
        <w:bottom w:val="none" w:sz="0" w:space="0" w:color="auto"/>
        <w:right w:val="none" w:sz="0" w:space="0" w:color="auto"/>
      </w:divBdr>
    </w:div>
    <w:div w:id="497579181">
      <w:bodyDiv w:val="1"/>
      <w:marLeft w:val="0"/>
      <w:marRight w:val="0"/>
      <w:marTop w:val="0"/>
      <w:marBottom w:val="0"/>
      <w:divBdr>
        <w:top w:val="none" w:sz="0" w:space="0" w:color="auto"/>
        <w:left w:val="none" w:sz="0" w:space="0" w:color="auto"/>
        <w:bottom w:val="none" w:sz="0" w:space="0" w:color="auto"/>
        <w:right w:val="none" w:sz="0" w:space="0" w:color="auto"/>
      </w:divBdr>
    </w:div>
    <w:div w:id="666129978">
      <w:bodyDiv w:val="1"/>
      <w:marLeft w:val="0"/>
      <w:marRight w:val="0"/>
      <w:marTop w:val="0"/>
      <w:marBottom w:val="0"/>
      <w:divBdr>
        <w:top w:val="none" w:sz="0" w:space="0" w:color="auto"/>
        <w:left w:val="none" w:sz="0" w:space="0" w:color="auto"/>
        <w:bottom w:val="none" w:sz="0" w:space="0" w:color="auto"/>
        <w:right w:val="none" w:sz="0" w:space="0" w:color="auto"/>
      </w:divBdr>
    </w:div>
    <w:div w:id="950823178">
      <w:bodyDiv w:val="1"/>
      <w:marLeft w:val="0"/>
      <w:marRight w:val="0"/>
      <w:marTop w:val="0"/>
      <w:marBottom w:val="0"/>
      <w:divBdr>
        <w:top w:val="none" w:sz="0" w:space="0" w:color="auto"/>
        <w:left w:val="none" w:sz="0" w:space="0" w:color="auto"/>
        <w:bottom w:val="none" w:sz="0" w:space="0" w:color="auto"/>
        <w:right w:val="none" w:sz="0" w:space="0" w:color="auto"/>
      </w:divBdr>
    </w:div>
    <w:div w:id="1161430857">
      <w:bodyDiv w:val="1"/>
      <w:marLeft w:val="0"/>
      <w:marRight w:val="0"/>
      <w:marTop w:val="0"/>
      <w:marBottom w:val="0"/>
      <w:divBdr>
        <w:top w:val="none" w:sz="0" w:space="0" w:color="auto"/>
        <w:left w:val="none" w:sz="0" w:space="0" w:color="auto"/>
        <w:bottom w:val="none" w:sz="0" w:space="0" w:color="auto"/>
        <w:right w:val="none" w:sz="0" w:space="0" w:color="auto"/>
      </w:divBdr>
    </w:div>
    <w:div w:id="1241594306">
      <w:bodyDiv w:val="1"/>
      <w:marLeft w:val="0"/>
      <w:marRight w:val="0"/>
      <w:marTop w:val="0"/>
      <w:marBottom w:val="0"/>
      <w:divBdr>
        <w:top w:val="none" w:sz="0" w:space="0" w:color="auto"/>
        <w:left w:val="none" w:sz="0" w:space="0" w:color="auto"/>
        <w:bottom w:val="none" w:sz="0" w:space="0" w:color="auto"/>
        <w:right w:val="none" w:sz="0" w:space="0" w:color="auto"/>
      </w:divBdr>
    </w:div>
    <w:div w:id="1274937888">
      <w:bodyDiv w:val="1"/>
      <w:marLeft w:val="0"/>
      <w:marRight w:val="0"/>
      <w:marTop w:val="0"/>
      <w:marBottom w:val="0"/>
      <w:divBdr>
        <w:top w:val="none" w:sz="0" w:space="0" w:color="auto"/>
        <w:left w:val="none" w:sz="0" w:space="0" w:color="auto"/>
        <w:bottom w:val="none" w:sz="0" w:space="0" w:color="auto"/>
        <w:right w:val="none" w:sz="0" w:space="0" w:color="auto"/>
      </w:divBdr>
      <w:divsChild>
        <w:div w:id="1574240358">
          <w:marLeft w:val="0"/>
          <w:marRight w:val="0"/>
          <w:marTop w:val="0"/>
          <w:marBottom w:val="0"/>
          <w:divBdr>
            <w:top w:val="none" w:sz="0" w:space="0" w:color="auto"/>
            <w:left w:val="none" w:sz="0" w:space="0" w:color="auto"/>
            <w:bottom w:val="none" w:sz="0" w:space="0" w:color="auto"/>
            <w:right w:val="none" w:sz="0" w:space="0" w:color="auto"/>
          </w:divBdr>
          <w:divsChild>
            <w:div w:id="1279949998">
              <w:marLeft w:val="0"/>
              <w:marRight w:val="0"/>
              <w:marTop w:val="0"/>
              <w:marBottom w:val="0"/>
              <w:divBdr>
                <w:top w:val="none" w:sz="0" w:space="0" w:color="auto"/>
                <w:left w:val="none" w:sz="0" w:space="0" w:color="auto"/>
                <w:bottom w:val="none" w:sz="0" w:space="0" w:color="auto"/>
                <w:right w:val="none" w:sz="0" w:space="0" w:color="auto"/>
              </w:divBdr>
              <w:divsChild>
                <w:div w:id="17033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0457">
      <w:bodyDiv w:val="1"/>
      <w:marLeft w:val="0"/>
      <w:marRight w:val="0"/>
      <w:marTop w:val="0"/>
      <w:marBottom w:val="0"/>
      <w:divBdr>
        <w:top w:val="none" w:sz="0" w:space="0" w:color="auto"/>
        <w:left w:val="none" w:sz="0" w:space="0" w:color="auto"/>
        <w:bottom w:val="none" w:sz="0" w:space="0" w:color="auto"/>
        <w:right w:val="none" w:sz="0" w:space="0" w:color="auto"/>
      </w:divBdr>
    </w:div>
    <w:div w:id="1356737924">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1619607056">
      <w:bodyDiv w:val="1"/>
      <w:marLeft w:val="0"/>
      <w:marRight w:val="0"/>
      <w:marTop w:val="0"/>
      <w:marBottom w:val="0"/>
      <w:divBdr>
        <w:top w:val="none" w:sz="0" w:space="0" w:color="auto"/>
        <w:left w:val="none" w:sz="0" w:space="0" w:color="auto"/>
        <w:bottom w:val="none" w:sz="0" w:space="0" w:color="auto"/>
        <w:right w:val="none" w:sz="0" w:space="0" w:color="auto"/>
      </w:divBdr>
    </w:div>
    <w:div w:id="1740249584">
      <w:bodyDiv w:val="1"/>
      <w:marLeft w:val="0"/>
      <w:marRight w:val="0"/>
      <w:marTop w:val="0"/>
      <w:marBottom w:val="0"/>
      <w:divBdr>
        <w:top w:val="none" w:sz="0" w:space="0" w:color="auto"/>
        <w:left w:val="none" w:sz="0" w:space="0" w:color="auto"/>
        <w:bottom w:val="none" w:sz="0" w:space="0" w:color="auto"/>
        <w:right w:val="none" w:sz="0" w:space="0" w:color="auto"/>
      </w:divBdr>
    </w:div>
    <w:div w:id="1809743257">
      <w:bodyDiv w:val="1"/>
      <w:marLeft w:val="0"/>
      <w:marRight w:val="0"/>
      <w:marTop w:val="0"/>
      <w:marBottom w:val="0"/>
      <w:divBdr>
        <w:top w:val="none" w:sz="0" w:space="0" w:color="auto"/>
        <w:left w:val="none" w:sz="0" w:space="0" w:color="auto"/>
        <w:bottom w:val="none" w:sz="0" w:space="0" w:color="auto"/>
        <w:right w:val="none" w:sz="0" w:space="0" w:color="auto"/>
      </w:divBdr>
    </w:div>
    <w:div w:id="1927303762">
      <w:bodyDiv w:val="1"/>
      <w:marLeft w:val="0"/>
      <w:marRight w:val="0"/>
      <w:marTop w:val="0"/>
      <w:marBottom w:val="0"/>
      <w:divBdr>
        <w:top w:val="none" w:sz="0" w:space="0" w:color="auto"/>
        <w:left w:val="none" w:sz="0" w:space="0" w:color="auto"/>
        <w:bottom w:val="none" w:sz="0" w:space="0" w:color="auto"/>
        <w:right w:val="none" w:sz="0" w:space="0" w:color="auto"/>
      </w:divBdr>
    </w:div>
    <w:div w:id="1998341379">
      <w:bodyDiv w:val="1"/>
      <w:marLeft w:val="0"/>
      <w:marRight w:val="0"/>
      <w:marTop w:val="0"/>
      <w:marBottom w:val="0"/>
      <w:divBdr>
        <w:top w:val="none" w:sz="0" w:space="0" w:color="auto"/>
        <w:left w:val="none" w:sz="0" w:space="0" w:color="auto"/>
        <w:bottom w:val="none" w:sz="0" w:space="0" w:color="auto"/>
        <w:right w:val="none" w:sz="0" w:space="0" w:color="auto"/>
      </w:divBdr>
    </w:div>
    <w:div w:id="2070882989">
      <w:bodyDiv w:val="1"/>
      <w:marLeft w:val="0"/>
      <w:marRight w:val="0"/>
      <w:marTop w:val="0"/>
      <w:marBottom w:val="0"/>
      <w:divBdr>
        <w:top w:val="none" w:sz="0" w:space="0" w:color="auto"/>
        <w:left w:val="none" w:sz="0" w:space="0" w:color="auto"/>
        <w:bottom w:val="none" w:sz="0" w:space="0" w:color="auto"/>
        <w:right w:val="none" w:sz="0" w:space="0" w:color="auto"/>
      </w:divBdr>
    </w:div>
    <w:div w:id="2073457171">
      <w:bodyDiv w:val="1"/>
      <w:marLeft w:val="0"/>
      <w:marRight w:val="0"/>
      <w:marTop w:val="0"/>
      <w:marBottom w:val="0"/>
      <w:divBdr>
        <w:top w:val="none" w:sz="0" w:space="0" w:color="auto"/>
        <w:left w:val="none" w:sz="0" w:space="0" w:color="auto"/>
        <w:bottom w:val="none" w:sz="0" w:space="0" w:color="auto"/>
        <w:right w:val="none" w:sz="0" w:space="0" w:color="auto"/>
      </w:divBdr>
    </w:div>
    <w:div w:id="2085755638">
      <w:bodyDiv w:val="1"/>
      <w:marLeft w:val="0"/>
      <w:marRight w:val="0"/>
      <w:marTop w:val="0"/>
      <w:marBottom w:val="0"/>
      <w:divBdr>
        <w:top w:val="none" w:sz="0" w:space="0" w:color="auto"/>
        <w:left w:val="none" w:sz="0" w:space="0" w:color="auto"/>
        <w:bottom w:val="none" w:sz="0" w:space="0" w:color="auto"/>
        <w:right w:val="none" w:sz="0" w:space="0" w:color="auto"/>
      </w:divBdr>
    </w:div>
    <w:div w:id="2118985895">
      <w:bodyDiv w:val="1"/>
      <w:marLeft w:val="0"/>
      <w:marRight w:val="0"/>
      <w:marTop w:val="0"/>
      <w:marBottom w:val="0"/>
      <w:divBdr>
        <w:top w:val="none" w:sz="0" w:space="0" w:color="auto"/>
        <w:left w:val="none" w:sz="0" w:space="0" w:color="auto"/>
        <w:bottom w:val="none" w:sz="0" w:space="0" w:color="auto"/>
        <w:right w:val="none" w:sz="0" w:space="0" w:color="auto"/>
      </w:divBdr>
    </w:div>
    <w:div w:id="214184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djurista.com/Documents/resolucion_122_de_1987.aspx" TargetMode="External"/><Relationship Id="rId2" Type="http://schemas.openxmlformats.org/officeDocument/2006/relationships/hyperlink" Target="https://www.redjurista.com/Documents/resolucion_122_de_1987.aspx" TargetMode="External"/><Relationship Id="rId1" Type="http://schemas.openxmlformats.org/officeDocument/2006/relationships/hyperlink" Target="https://www.redjurista.com/Documents/resolucion_122_de_1987.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9A3D-82D9-4C63-B5A9-BC4D79913D8E}">
  <ds:schemaRefs>
    <ds:schemaRef ds:uri="http://schemas.microsoft.com/sharepoint/v3/contenttype/forms"/>
  </ds:schemaRefs>
</ds:datastoreItem>
</file>

<file path=customXml/itemProps2.xml><?xml version="1.0" encoding="utf-8"?>
<ds:datastoreItem xmlns:ds="http://schemas.openxmlformats.org/officeDocument/2006/customXml" ds:itemID="{13C3A883-3190-4CEC-B028-EE426B08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37C7E-7C0F-4ED0-B5B2-9B65DBA4E2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4E56A-5A81-4FAF-A1EB-F06D1A09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6273</Words>
  <Characters>34502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40694</CharactersWithSpaces>
  <SharedDoc>false</SharedDoc>
  <HLinks>
    <vt:vector size="18" baseType="variant">
      <vt:variant>
        <vt:i4>4456491</vt:i4>
      </vt:variant>
      <vt:variant>
        <vt:i4>6</vt:i4>
      </vt:variant>
      <vt:variant>
        <vt:i4>0</vt:i4>
      </vt:variant>
      <vt:variant>
        <vt:i4>5</vt:i4>
      </vt:variant>
      <vt:variant>
        <vt:lpwstr>https://www.redjurista.com/Documents/resolucion_122_de_1987.aspx</vt:lpwstr>
      </vt:variant>
      <vt:variant>
        <vt:lpwstr/>
      </vt:variant>
      <vt:variant>
        <vt:i4>4456491</vt:i4>
      </vt:variant>
      <vt:variant>
        <vt:i4>3</vt:i4>
      </vt:variant>
      <vt:variant>
        <vt:i4>0</vt:i4>
      </vt:variant>
      <vt:variant>
        <vt:i4>5</vt:i4>
      </vt:variant>
      <vt:variant>
        <vt:lpwstr>https://www.redjurista.com/Documents/resolucion_122_de_1987.aspx</vt:lpwstr>
      </vt:variant>
      <vt:variant>
        <vt:lpwstr/>
      </vt:variant>
      <vt:variant>
        <vt:i4>4456491</vt:i4>
      </vt:variant>
      <vt:variant>
        <vt:i4>0</vt:i4>
      </vt:variant>
      <vt:variant>
        <vt:i4>0</vt:i4>
      </vt:variant>
      <vt:variant>
        <vt:i4>5</vt:i4>
      </vt:variant>
      <vt:variant>
        <vt:lpwstr>https://www.redjurista.com/Documents/resolucion_122_de_1987.aspx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bonilla</dc:creator>
  <cp:keywords/>
  <cp:lastModifiedBy>Carlos Mario Castrillón Endo</cp:lastModifiedBy>
  <cp:revision>2</cp:revision>
  <cp:lastPrinted>2017-02-16T18:01:00Z</cp:lastPrinted>
  <dcterms:created xsi:type="dcterms:W3CDTF">2020-07-01T20:46:00Z</dcterms:created>
  <dcterms:modified xsi:type="dcterms:W3CDTF">2020-07-01T20:46:00Z</dcterms:modified>
</cp:coreProperties>
</file>