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BFD" w:rsidRPr="00EF36E6" w:rsidRDefault="006D1BFD" w:rsidP="006D1BFD">
      <w:pPr>
        <w:widowControl w:val="0"/>
        <w:spacing w:line="240" w:lineRule="auto"/>
        <w:rPr>
          <w:rFonts w:cs="Arial"/>
          <w:b/>
          <w:sz w:val="22"/>
          <w:szCs w:val="22"/>
        </w:rPr>
      </w:pPr>
      <w:r w:rsidRPr="00EF36E6">
        <w:rPr>
          <w:rFonts w:cs="Arial"/>
          <w:b/>
          <w:sz w:val="22"/>
          <w:szCs w:val="22"/>
        </w:rPr>
        <w:t xml:space="preserve">CONTROVERSIAS CONTRACTUALES – Competencia del Consejo de Estado – Negocios jurídicos </w:t>
      </w:r>
      <w:r w:rsidR="00463864" w:rsidRPr="00EF36E6">
        <w:rPr>
          <w:rFonts w:cs="Arial"/>
          <w:b/>
          <w:sz w:val="22"/>
          <w:szCs w:val="22"/>
        </w:rPr>
        <w:t>de</w:t>
      </w:r>
      <w:r w:rsidRPr="00EF36E6">
        <w:rPr>
          <w:rFonts w:cs="Arial"/>
          <w:b/>
          <w:sz w:val="22"/>
          <w:szCs w:val="22"/>
        </w:rPr>
        <w:t xml:space="preserve"> empresas de servicios públicos domiciliarios</w:t>
      </w:r>
    </w:p>
    <w:p w:rsidR="006D1BFD" w:rsidRPr="00EF36E6" w:rsidRDefault="006D1BFD" w:rsidP="006D1BFD">
      <w:pPr>
        <w:widowControl w:val="0"/>
        <w:spacing w:line="240" w:lineRule="auto"/>
        <w:rPr>
          <w:rFonts w:cs="Arial"/>
          <w:b/>
          <w:sz w:val="22"/>
          <w:szCs w:val="22"/>
        </w:rPr>
      </w:pPr>
    </w:p>
    <w:p w:rsidR="006D1BFD" w:rsidRPr="00EF36E6" w:rsidRDefault="006D1BFD" w:rsidP="006D1BFD">
      <w:pPr>
        <w:widowControl w:val="0"/>
        <w:spacing w:line="240" w:lineRule="auto"/>
        <w:rPr>
          <w:rFonts w:cs="Arial"/>
          <w:sz w:val="22"/>
          <w:szCs w:val="22"/>
        </w:rPr>
      </w:pPr>
      <w:r w:rsidRPr="00EF36E6">
        <w:rPr>
          <w:rFonts w:cs="Arial"/>
          <w:sz w:val="22"/>
          <w:szCs w:val="22"/>
        </w:rPr>
        <w:t>El problema jurídico que se planteó consistió en determinar si EPM tenía o no competencia para declarar la configuración del siniestro por incumplimiento en el contrato de suministro de tubería de cobre y para hacer exigible la póliza de seguro correspondiente. Se estableció que no procedía la anulación de las resoluciones acusadas, toda vez que, aunque EPM no tenía tal competencia a la luz de la Ley 142 de 1994, por el régimen del contrato, sí le asistía capacidad jurídica según las reglas del derecho privado, para efectos de afirmar la ocurrencia del siniestro y hacer exigible la garantía de cumplimiento, por la vía de la reclamación, que se adelantó en este caso. Se reafirma la obligatoriedad de la póliza, en tanto que la Compañía Agrícola de Seguros le otorgó cobertura a las multas y a la cláusula penal, en forma ajustada a la ley del contrato de seguro. (…) El contrato (…), en cuyo seno se generaron los actos administrativos que fueron impugnados en este proceso, se celebró por Empresas Públicas de Medellín E.S.P., como contratante, empresa de naturaleza oficial, prestadora de servicios públicos domiciliarios. La Ley 1107 de 26 de diciembre de 2006, vigente para la época de presentación de la demanda, reformó el artículo 82 del Código Contencioso Administrativo y reafirmó, como regla general, el criterio orgánico para asignar competencia a la jurisdicción de lo contencioso administrativo en todas las controversias surgidas en los contratos en que hiciera parte una entidad pública, con independencia del objeto del contrato o del régimen jurídico de la contratación. Lo anterior se dispuso sin perjuicio de establecer en el parágrafo del artículo 2º de la referida Ley 1107 la “vigencia en materia de competencia, de las Leyes 142 de 1994, 689 de 2001 y 712 de 2001”. Tratándose en este caso de una demanda entablada en vigencia del C.C.A., relacionada con las controversias surgidas en relación con los actos expedidos por una empresa oficial prestadora de servicios públicos domiciliarios, se confirma la competencia de la Jurisdicción de lo Contencioso Administrativo para conocer del presente litigio.</w:t>
      </w:r>
    </w:p>
    <w:p w:rsidR="006D1BFD" w:rsidRPr="00EF36E6" w:rsidRDefault="006D1BFD" w:rsidP="006D1BFD">
      <w:pPr>
        <w:widowControl w:val="0"/>
        <w:spacing w:line="240" w:lineRule="auto"/>
        <w:rPr>
          <w:rFonts w:cs="Arial"/>
          <w:sz w:val="22"/>
          <w:szCs w:val="22"/>
        </w:rPr>
      </w:pPr>
    </w:p>
    <w:p w:rsidR="006D1BFD" w:rsidRPr="00EF36E6" w:rsidRDefault="006D1BFD" w:rsidP="006D1BFD">
      <w:pPr>
        <w:widowControl w:val="0"/>
        <w:spacing w:line="240" w:lineRule="auto"/>
        <w:rPr>
          <w:rFonts w:cs="Arial"/>
          <w:b/>
          <w:sz w:val="22"/>
          <w:szCs w:val="22"/>
        </w:rPr>
      </w:pPr>
      <w:r w:rsidRPr="00EF36E6">
        <w:rPr>
          <w:rFonts w:cs="Arial"/>
          <w:b/>
          <w:sz w:val="22"/>
          <w:szCs w:val="22"/>
        </w:rPr>
        <w:t xml:space="preserve">CADUCIDAD </w:t>
      </w:r>
      <w:r w:rsidR="00172776" w:rsidRPr="00EF36E6">
        <w:rPr>
          <w:rFonts w:cs="Arial"/>
          <w:b/>
          <w:sz w:val="22"/>
          <w:szCs w:val="22"/>
        </w:rPr>
        <w:t xml:space="preserve">DE LA </w:t>
      </w:r>
      <w:r w:rsidRPr="00EF36E6">
        <w:rPr>
          <w:rFonts w:cs="Arial"/>
          <w:b/>
          <w:sz w:val="22"/>
          <w:szCs w:val="22"/>
        </w:rPr>
        <w:t xml:space="preserve">ACCIÓN </w:t>
      </w:r>
      <w:r w:rsidR="00E85EBA" w:rsidRPr="00EF36E6">
        <w:rPr>
          <w:rFonts w:cs="Arial"/>
          <w:b/>
          <w:sz w:val="22"/>
          <w:szCs w:val="22"/>
        </w:rPr>
        <w:t>–</w:t>
      </w:r>
      <w:r w:rsidRPr="00EF36E6">
        <w:rPr>
          <w:rFonts w:cs="Arial"/>
          <w:b/>
          <w:sz w:val="22"/>
          <w:szCs w:val="22"/>
        </w:rPr>
        <w:t xml:space="preserve"> Controversias contractuales – C</w:t>
      </w:r>
      <w:r w:rsidR="00ED5431" w:rsidRPr="00EF36E6">
        <w:rPr>
          <w:rFonts w:cs="Arial"/>
          <w:b/>
          <w:sz w:val="22"/>
          <w:szCs w:val="22"/>
        </w:rPr>
        <w:t>ómputo del</w:t>
      </w:r>
      <w:r w:rsidRPr="00EF36E6">
        <w:rPr>
          <w:rFonts w:cs="Arial"/>
          <w:b/>
          <w:sz w:val="22"/>
          <w:szCs w:val="22"/>
        </w:rPr>
        <w:t xml:space="preserve"> término</w:t>
      </w:r>
    </w:p>
    <w:p w:rsidR="006D1BFD" w:rsidRPr="00EF36E6" w:rsidRDefault="006D1BFD" w:rsidP="006D1BFD">
      <w:pPr>
        <w:widowControl w:val="0"/>
        <w:spacing w:line="240" w:lineRule="auto"/>
        <w:rPr>
          <w:rFonts w:cs="Arial"/>
          <w:b/>
          <w:sz w:val="22"/>
          <w:szCs w:val="22"/>
        </w:rPr>
      </w:pPr>
    </w:p>
    <w:p w:rsidR="006D1BFD" w:rsidRPr="00EF36E6" w:rsidRDefault="006D1BFD" w:rsidP="006D1BFD">
      <w:pPr>
        <w:widowControl w:val="0"/>
        <w:spacing w:line="240" w:lineRule="auto"/>
        <w:rPr>
          <w:rFonts w:cs="Arial"/>
          <w:sz w:val="22"/>
          <w:szCs w:val="22"/>
        </w:rPr>
      </w:pPr>
      <w:r w:rsidRPr="00EF36E6">
        <w:rPr>
          <w:rFonts w:cs="Arial"/>
          <w:sz w:val="22"/>
          <w:szCs w:val="22"/>
        </w:rPr>
        <w:t>De conformidad con el numeral 10 del artículo 136 del Código Contencioso Administrativo, el término de caducidad de la acción en el presente caso corrió por el lapso de dos años, contados desde la ejecutoria de los actos acusados. En este proceso se allegó el edicto correspondiente a la Resolución 003174 de 29 de enero de 2007, con constancia que refiere la notificación a la compañía de seguros el 26 de febrero de 2007. Así las cosas, toda vez que la caducidad de la acción contractual respecto de los actos acusados ocurría por el transcurso de dos años, lapso que vencía el 27 de febrero de 2009, se concluye que la demanda se presentó mucho antes de que se hubiera configurado la caducidad, el 26 de junio de 2007. Así las cosas, se reitera que no operó la caducidad de la acción y, por ello, asiste a esta Corporación competencia para conocer de la acción correspondiente a la controversia contractual instaurada.</w:t>
      </w:r>
    </w:p>
    <w:p w:rsidR="006D1BFD" w:rsidRPr="00EF36E6" w:rsidRDefault="006D1BFD" w:rsidP="006D1BFD">
      <w:pPr>
        <w:widowControl w:val="0"/>
        <w:spacing w:line="240" w:lineRule="auto"/>
        <w:rPr>
          <w:rFonts w:cs="Arial"/>
          <w:sz w:val="22"/>
          <w:szCs w:val="22"/>
        </w:rPr>
      </w:pPr>
    </w:p>
    <w:p w:rsidR="006D1BFD" w:rsidRPr="00EF36E6" w:rsidRDefault="006D1BFD" w:rsidP="006D1BFD">
      <w:pPr>
        <w:widowControl w:val="0"/>
        <w:spacing w:line="240" w:lineRule="auto"/>
        <w:rPr>
          <w:rFonts w:cs="Arial"/>
          <w:b/>
          <w:sz w:val="22"/>
          <w:szCs w:val="22"/>
        </w:rPr>
      </w:pPr>
      <w:r w:rsidRPr="00EF36E6">
        <w:rPr>
          <w:rFonts w:cs="Arial"/>
          <w:b/>
          <w:sz w:val="22"/>
          <w:szCs w:val="22"/>
        </w:rPr>
        <w:t>CONTRATO DE SEGURO – Régimen legal aplicable – Cláusulas exorbitantes</w:t>
      </w:r>
    </w:p>
    <w:p w:rsidR="006D1BFD" w:rsidRPr="00EF36E6" w:rsidRDefault="006D1BFD" w:rsidP="006D1BFD">
      <w:pPr>
        <w:widowControl w:val="0"/>
        <w:spacing w:line="240" w:lineRule="auto"/>
        <w:rPr>
          <w:rFonts w:cs="Arial"/>
          <w:b/>
          <w:sz w:val="22"/>
          <w:szCs w:val="22"/>
        </w:rPr>
      </w:pPr>
    </w:p>
    <w:p w:rsidR="006D1BFD" w:rsidRPr="00EF36E6" w:rsidRDefault="006D1BFD" w:rsidP="006D1BFD">
      <w:pPr>
        <w:widowControl w:val="0"/>
        <w:spacing w:line="240" w:lineRule="auto"/>
        <w:rPr>
          <w:rFonts w:cs="Arial"/>
          <w:sz w:val="22"/>
          <w:szCs w:val="22"/>
        </w:rPr>
      </w:pPr>
      <w:r w:rsidRPr="00EF36E6">
        <w:rPr>
          <w:rFonts w:cs="Arial"/>
          <w:sz w:val="22"/>
          <w:szCs w:val="22"/>
        </w:rPr>
        <w:t>Descendiendo al caso concreto, se observa: i) que el contrato 090325402 no contempló cláusulas exorbitantes, por lo cual no se encontraba en el supuesto excepcional de la aplicación de las reglas de la Ley 80 de 1993 y ii) que la Resolución 002950 de 31 de octubre de 2006, sobre cuya legalidad se discute en este proceso no era de aquellas requeridas para el uso de espacio público o bienes requeridos para la prestación del servicio, en los términos de los artículos 32 y 33 de la Ley 142 de 1994.  Así las cosas, es cierto que el contrato 090325402 de 2 de febrero de 2006 se rigió por el derecho privado y que ni ese texto contractual ni la Ley 142 de 1994 eran fuente de competencia sustantiva para expedir un acto administrativo mediante el cual se declarara la materialización del riesgo de incumplimiento y se dispusiera la efectividad de la póliza de seguro.</w:t>
      </w:r>
    </w:p>
    <w:p w:rsidR="006D1BFD" w:rsidRPr="00EF36E6" w:rsidRDefault="006D1BFD" w:rsidP="006D1BFD">
      <w:pPr>
        <w:widowControl w:val="0"/>
        <w:spacing w:line="240" w:lineRule="auto"/>
        <w:rPr>
          <w:rFonts w:cs="Arial"/>
          <w:sz w:val="22"/>
          <w:szCs w:val="22"/>
        </w:rPr>
      </w:pPr>
    </w:p>
    <w:p w:rsidR="006D1BFD" w:rsidRPr="00EF36E6" w:rsidRDefault="006D1BFD" w:rsidP="006D1BFD">
      <w:pPr>
        <w:widowControl w:val="0"/>
        <w:spacing w:line="240" w:lineRule="auto"/>
        <w:rPr>
          <w:rFonts w:cs="Arial"/>
          <w:b/>
          <w:sz w:val="22"/>
          <w:szCs w:val="22"/>
        </w:rPr>
      </w:pPr>
      <w:r w:rsidRPr="00EF36E6">
        <w:rPr>
          <w:rFonts w:cs="Arial"/>
          <w:b/>
          <w:sz w:val="22"/>
          <w:szCs w:val="22"/>
        </w:rPr>
        <w:t>NULIDAD OFICIOSA</w:t>
      </w:r>
      <w:r w:rsidR="00C426B4" w:rsidRPr="00EF36E6">
        <w:rPr>
          <w:rFonts w:cs="Arial"/>
          <w:b/>
          <w:sz w:val="22"/>
          <w:szCs w:val="22"/>
        </w:rPr>
        <w:t xml:space="preserve"> DEL PLIEGO DE CONDICIONES</w:t>
      </w:r>
      <w:r w:rsidRPr="00EF36E6">
        <w:rPr>
          <w:rFonts w:cs="Arial"/>
          <w:b/>
          <w:sz w:val="22"/>
          <w:szCs w:val="22"/>
        </w:rPr>
        <w:t xml:space="preserve"> – No es procedente por cuanto no se vinculó al contratista encargado del suministro – Vulner</w:t>
      </w:r>
      <w:r w:rsidR="00E85EBA" w:rsidRPr="00EF36E6">
        <w:rPr>
          <w:rFonts w:cs="Arial"/>
          <w:b/>
          <w:sz w:val="22"/>
          <w:szCs w:val="22"/>
        </w:rPr>
        <w:t>ación al</w:t>
      </w:r>
      <w:r w:rsidRPr="00EF36E6">
        <w:rPr>
          <w:rFonts w:cs="Arial"/>
          <w:b/>
          <w:sz w:val="22"/>
          <w:szCs w:val="22"/>
        </w:rPr>
        <w:t xml:space="preserve"> debido proceso del contratista</w:t>
      </w:r>
    </w:p>
    <w:p w:rsidR="006D1BFD" w:rsidRPr="00EF36E6" w:rsidRDefault="006D1BFD" w:rsidP="006D1BFD">
      <w:pPr>
        <w:widowControl w:val="0"/>
        <w:spacing w:line="240" w:lineRule="auto"/>
        <w:rPr>
          <w:rFonts w:cs="Arial"/>
          <w:b/>
          <w:sz w:val="22"/>
          <w:szCs w:val="22"/>
        </w:rPr>
      </w:pPr>
    </w:p>
    <w:p w:rsidR="006D1BFD" w:rsidRPr="00EF36E6" w:rsidRDefault="006D1BFD" w:rsidP="006D1BFD">
      <w:pPr>
        <w:widowControl w:val="0"/>
        <w:spacing w:line="240" w:lineRule="auto"/>
        <w:rPr>
          <w:rFonts w:cs="Arial"/>
          <w:sz w:val="22"/>
          <w:szCs w:val="22"/>
        </w:rPr>
      </w:pPr>
      <w:r w:rsidRPr="00EF36E6">
        <w:rPr>
          <w:rFonts w:cs="Arial"/>
          <w:sz w:val="22"/>
          <w:szCs w:val="22"/>
        </w:rPr>
        <w:t xml:space="preserve">La Sala revocará la declaración oficiosa de nulidad de los incisos primero y segundo del </w:t>
      </w:r>
      <w:r w:rsidRPr="00EF36E6">
        <w:rPr>
          <w:rFonts w:cs="Arial"/>
          <w:sz w:val="22"/>
          <w:szCs w:val="22"/>
        </w:rPr>
        <w:lastRenderedPageBreak/>
        <w:t>numeral 4.12 del pliego de condiciones que se integró al contrato de suministro 090325402, por la sencilla razón de que a este proceso no fue vinculada la sociedad AYCO LTDA, parte contratista en el referido contrato. La sociedad AYCO LTDA no fue llamada al presente proceso y entabló una demanda separada, en la cual discutió la nulidad de los mismos actos y su propio restablecimiento del derecho.  En la sentencia de primera instancia, el Tribunal a quo pasó por alto el carácter rogado de la jurisdicción, dado que ni la nulidad del contrato ni la de sus cláusulas eran materia del debate.  Por otra parte, el Tribunal a quo desbordó la potestad excepcional que permite al juez declarar la nulidad oficiosa, incurriendo en la violación del debido proceso, dado que, para pronunciarse sobre la nulidad del contrato o de algunas de sus cláusulas, debió verificar que el litigio se hubiera adelantado con la vinculación de todas las entidades que hicieron parte del respectivo contrato. En otras palabras, el Tribunal a quo declaró de oficio la nulidad sin advertir que la sociedad contratista no había hecho parte del proceso y que, por tanto, con la decisión de nulidad se le vulneraba el derecho a la contradicción y el principio del debido proceso, consagrado en el artículo 29 de la Constitución Política.</w:t>
      </w:r>
    </w:p>
    <w:p w:rsidR="006D1BFD" w:rsidRPr="00EF36E6" w:rsidRDefault="006D1BFD" w:rsidP="006D1BFD">
      <w:pPr>
        <w:widowControl w:val="0"/>
        <w:spacing w:line="240" w:lineRule="auto"/>
        <w:rPr>
          <w:rFonts w:cs="Arial"/>
          <w:b/>
          <w:sz w:val="22"/>
          <w:szCs w:val="22"/>
        </w:rPr>
      </w:pPr>
    </w:p>
    <w:p w:rsidR="006D1BFD" w:rsidRPr="00EF36E6" w:rsidRDefault="006D1BFD" w:rsidP="006D1BFD">
      <w:pPr>
        <w:widowControl w:val="0"/>
        <w:spacing w:line="240" w:lineRule="auto"/>
        <w:rPr>
          <w:rFonts w:cs="Arial"/>
          <w:b/>
          <w:sz w:val="22"/>
          <w:szCs w:val="22"/>
        </w:rPr>
      </w:pPr>
      <w:r w:rsidRPr="00EF36E6">
        <w:rPr>
          <w:rFonts w:cs="Arial"/>
          <w:b/>
          <w:sz w:val="22"/>
          <w:szCs w:val="22"/>
        </w:rPr>
        <w:t xml:space="preserve">COBRO DE PÓLIZA DE SEGURO – No constituyó uso de facultades exorbitantes de las Empresas de Servicios Públicos – Indemnización </w:t>
      </w:r>
    </w:p>
    <w:p w:rsidR="006D1BFD" w:rsidRPr="00EF36E6" w:rsidRDefault="006D1BFD" w:rsidP="006D1BFD">
      <w:pPr>
        <w:widowControl w:val="0"/>
        <w:spacing w:line="240" w:lineRule="auto"/>
        <w:rPr>
          <w:rFonts w:cs="Arial"/>
          <w:b/>
          <w:sz w:val="22"/>
          <w:szCs w:val="22"/>
        </w:rPr>
      </w:pPr>
    </w:p>
    <w:p w:rsidR="006D1BFD" w:rsidRPr="00EF36E6" w:rsidRDefault="006D1BFD" w:rsidP="006D1BFD">
      <w:pPr>
        <w:widowControl w:val="0"/>
        <w:spacing w:line="240" w:lineRule="auto"/>
        <w:rPr>
          <w:rFonts w:cs="Arial"/>
          <w:sz w:val="22"/>
          <w:szCs w:val="22"/>
        </w:rPr>
      </w:pPr>
      <w:r w:rsidRPr="00EF36E6">
        <w:rPr>
          <w:rFonts w:cs="Arial"/>
          <w:sz w:val="22"/>
          <w:szCs w:val="22"/>
        </w:rPr>
        <w:t>La cláusula (…) del pliego de condiciones, incorporada al contrato, estableció un porcentaje concreto para la multa, el evento del descuento o compensación de los valores correspondientes a las penas y la posibilidad de acudir al cobro de la póliza o a la vía judicial.  Como consecuencia, respecto de la disposición de hacer efectiva la póliza de seguro, materia de este litigio, no se configuró el pacto de objeto ilícito o ilegal que en forma errada se imputó por el Tribunal a quo, toda vez que esa cláusula se amparaba en el derecho común, dentro del cual era viable acordar el amparo de cumplimiento sobre el valor de las multas debidamente pactadas. (…) La Sala advierte que, de acuerdo con las pruebas obrantes en el proceso, no es cierto lo afirmado por la compañía de seguros, en cuanto a que las multas estaban excluidas de la garantía, si se observa el contenido de la póliza y de los certificados expedidos por la aseguradora (…) la compañía de seguros extendió el certificado correspondiente y EPM lo aceptó. Además, no se encuentra la violación de normas jurídicas aplicables a la delimitación de los riesgos en el contrato de seguro, de conformidad con el artículo 1056 del Código de Comercio, amén de que no fue alegado ese supuesto en los cargos expuestos en el sub lite. En el presente proceso se encuentra que el referido acuerdo de voluntades constituyó fuente de las obligaciones correspondientes, por cuanto la cobertura del seguro se desplegó frente a una cláusula específica de multas adoptada en el contrato amparado, teniendo en cuenta que ella se aplicó a un evento concreto de incumplimiento en la entrega de los pedidos, caso en el cual se puede concluir que el citado clausulado de la póliza de seguros no estaba prohibido por la ley, toda vez que se respetaron los principios del contrato de seguro en cuanto la garantía de cumplimiento se constituyó como una fuente de indemnización y no de enriquecimiento para EPM como beneficiaria.</w:t>
      </w:r>
    </w:p>
    <w:p w:rsidR="006D1BFD" w:rsidRPr="00EF36E6" w:rsidRDefault="006D1BFD" w:rsidP="006D1BFD">
      <w:pPr>
        <w:widowControl w:val="0"/>
        <w:spacing w:line="240" w:lineRule="auto"/>
        <w:rPr>
          <w:rFonts w:cs="Arial"/>
          <w:sz w:val="22"/>
          <w:szCs w:val="22"/>
        </w:rPr>
      </w:pPr>
    </w:p>
    <w:p w:rsidR="006D1BFD" w:rsidRPr="00EF36E6" w:rsidRDefault="006D1BFD" w:rsidP="006D1BFD">
      <w:pPr>
        <w:widowControl w:val="0"/>
        <w:spacing w:line="240" w:lineRule="auto"/>
        <w:rPr>
          <w:rFonts w:cs="Arial"/>
          <w:b/>
          <w:sz w:val="22"/>
          <w:szCs w:val="22"/>
        </w:rPr>
      </w:pPr>
      <w:r w:rsidRPr="00EF36E6">
        <w:rPr>
          <w:rFonts w:cs="Arial"/>
          <w:b/>
          <w:sz w:val="22"/>
          <w:szCs w:val="22"/>
        </w:rPr>
        <w:t>FACULTADES DE</w:t>
      </w:r>
      <w:r w:rsidR="0090324B" w:rsidRPr="00EF36E6">
        <w:rPr>
          <w:rFonts w:cs="Arial"/>
          <w:b/>
          <w:sz w:val="22"/>
          <w:szCs w:val="22"/>
        </w:rPr>
        <w:t>L</w:t>
      </w:r>
      <w:r w:rsidRPr="00EF36E6">
        <w:rPr>
          <w:rFonts w:cs="Arial"/>
          <w:b/>
          <w:sz w:val="22"/>
          <w:szCs w:val="22"/>
        </w:rPr>
        <w:t xml:space="preserve"> JUEZ –</w:t>
      </w:r>
      <w:r w:rsidR="00E85EBA" w:rsidRPr="00EF36E6">
        <w:rPr>
          <w:rFonts w:cs="Arial"/>
          <w:b/>
          <w:sz w:val="22"/>
          <w:szCs w:val="22"/>
        </w:rPr>
        <w:t xml:space="preserve"> </w:t>
      </w:r>
      <w:r w:rsidR="00463864" w:rsidRPr="00EF36E6">
        <w:rPr>
          <w:rFonts w:cs="Arial"/>
          <w:b/>
          <w:sz w:val="22"/>
          <w:szCs w:val="22"/>
        </w:rPr>
        <w:t>I</w:t>
      </w:r>
      <w:r w:rsidRPr="00EF36E6">
        <w:rPr>
          <w:rFonts w:cs="Arial"/>
          <w:b/>
          <w:sz w:val="22"/>
          <w:szCs w:val="22"/>
        </w:rPr>
        <w:t>nexistencia de usurpación de facultades del juez – Cobro de sanción impuesta al contratista</w:t>
      </w:r>
    </w:p>
    <w:p w:rsidR="006D1BFD" w:rsidRPr="00EF36E6" w:rsidRDefault="006D1BFD" w:rsidP="006D1BFD">
      <w:pPr>
        <w:widowControl w:val="0"/>
        <w:spacing w:line="240" w:lineRule="auto"/>
        <w:rPr>
          <w:rFonts w:cs="Arial"/>
          <w:b/>
          <w:sz w:val="22"/>
          <w:szCs w:val="22"/>
        </w:rPr>
      </w:pPr>
    </w:p>
    <w:p w:rsidR="006D1BFD" w:rsidRPr="00EF36E6" w:rsidRDefault="006D1BFD" w:rsidP="006D1BFD">
      <w:pPr>
        <w:widowControl w:val="0"/>
        <w:spacing w:line="240" w:lineRule="auto"/>
        <w:rPr>
          <w:rFonts w:cs="Arial"/>
          <w:sz w:val="22"/>
          <w:szCs w:val="22"/>
        </w:rPr>
      </w:pPr>
      <w:r w:rsidRPr="00EF36E6">
        <w:rPr>
          <w:rFonts w:cs="Arial"/>
          <w:sz w:val="22"/>
          <w:szCs w:val="22"/>
        </w:rPr>
        <w:t xml:space="preserve">De conformidad con las consideraciones de la Resolución 003174, EPM rechazó los argumentos de AYCO LTDA sobre la imprevisión, advirtiendo que, para el mes de octubre de 2005, cuando abrió la convocatoria pública, era “conocida la variabilidad del precio del cobre y el corto plazo del contrato”. Agrego que, según lo previsto en el pliego de condiciones, la contratista debía estimar sus costos. Además, EPM consideró que tenía derecho a aplicar las multas en el caso de incumplimiento de acuerdo con los textos contractuales. Tal cláusula no puede ser entendida en el sentido de haber facilitado una usurpación de las facultades del juez, dado que, desde la perspectiva que otorga este plenario, EPM respetó las reglas de la reclamación de la póliza, allegando el acto de declaración del siniestro como uno de los soportes del incumplimiento para efecto de buscar el pago de la póliza, en ejercicio de su derecho contractual como entidad asegurada y beneficiaria que pudo afirmar el incumplimiento y lo debió acreditar, no con su propia declaración, sino con los soportes que lo demostraron, que no eran otros que los relacionados y considerados en el citado acto, tal como se allegaron y reafirmaron en el </w:t>
      </w:r>
      <w:r w:rsidRPr="00EF36E6">
        <w:rPr>
          <w:rFonts w:cs="Arial"/>
          <w:sz w:val="22"/>
          <w:szCs w:val="22"/>
        </w:rPr>
        <w:lastRenderedPageBreak/>
        <w:t>presente proceso.</w:t>
      </w:r>
    </w:p>
    <w:p w:rsidR="006D1BFD" w:rsidRPr="00EF36E6" w:rsidRDefault="006D1BFD" w:rsidP="006D1BFD">
      <w:pPr>
        <w:widowControl w:val="0"/>
        <w:spacing w:line="240" w:lineRule="auto"/>
        <w:rPr>
          <w:rFonts w:cs="Arial"/>
          <w:sz w:val="22"/>
          <w:szCs w:val="22"/>
        </w:rPr>
      </w:pPr>
    </w:p>
    <w:p w:rsidR="006D1BFD" w:rsidRPr="00EF36E6" w:rsidRDefault="006D1BFD" w:rsidP="006D1BFD">
      <w:pPr>
        <w:widowControl w:val="0"/>
        <w:spacing w:line="240" w:lineRule="auto"/>
        <w:rPr>
          <w:rFonts w:cs="Arial"/>
          <w:b/>
          <w:sz w:val="22"/>
          <w:szCs w:val="22"/>
        </w:rPr>
      </w:pPr>
      <w:r w:rsidRPr="00EF36E6">
        <w:rPr>
          <w:rFonts w:cs="Arial"/>
          <w:b/>
          <w:sz w:val="22"/>
          <w:szCs w:val="22"/>
        </w:rPr>
        <w:t xml:space="preserve">EXIMENTES DE RESPONSABILIDAD – </w:t>
      </w:r>
      <w:r w:rsidR="00E85EBA" w:rsidRPr="00EF36E6">
        <w:rPr>
          <w:rFonts w:cs="Arial"/>
          <w:b/>
          <w:sz w:val="22"/>
          <w:szCs w:val="22"/>
        </w:rPr>
        <w:t>C</w:t>
      </w:r>
      <w:r w:rsidRPr="00EF36E6">
        <w:rPr>
          <w:rFonts w:cs="Arial"/>
          <w:b/>
          <w:sz w:val="22"/>
          <w:szCs w:val="22"/>
        </w:rPr>
        <w:t>onfigura</w:t>
      </w:r>
      <w:r w:rsidR="00463864" w:rsidRPr="00EF36E6">
        <w:rPr>
          <w:rFonts w:cs="Arial"/>
          <w:b/>
          <w:sz w:val="22"/>
          <w:szCs w:val="22"/>
        </w:rPr>
        <w:t>ción</w:t>
      </w:r>
      <w:r w:rsidRPr="00EF36E6">
        <w:rPr>
          <w:rFonts w:cs="Arial"/>
          <w:b/>
          <w:sz w:val="22"/>
          <w:szCs w:val="22"/>
        </w:rPr>
        <w:t xml:space="preserve"> para no hacer efectiva póliza de seguro – Nulidad del acto administrativo que impone el cumplimiento de la póliza </w:t>
      </w:r>
    </w:p>
    <w:p w:rsidR="006D1BFD" w:rsidRPr="00EF36E6" w:rsidRDefault="006D1BFD" w:rsidP="006D1BFD">
      <w:pPr>
        <w:widowControl w:val="0"/>
        <w:spacing w:line="240" w:lineRule="auto"/>
        <w:rPr>
          <w:rFonts w:cs="Arial"/>
          <w:b/>
          <w:sz w:val="22"/>
          <w:szCs w:val="22"/>
        </w:rPr>
      </w:pPr>
    </w:p>
    <w:p w:rsidR="006D1BFD" w:rsidRDefault="006D1BFD" w:rsidP="00EF36E6">
      <w:pPr>
        <w:widowControl w:val="0"/>
        <w:spacing w:line="240" w:lineRule="auto"/>
        <w:rPr>
          <w:rFonts w:cs="Arial"/>
          <w:sz w:val="22"/>
          <w:szCs w:val="22"/>
        </w:rPr>
      </w:pPr>
      <w:r w:rsidRPr="00EF36E6">
        <w:rPr>
          <w:rFonts w:cs="Arial"/>
          <w:sz w:val="22"/>
          <w:szCs w:val="22"/>
        </w:rPr>
        <w:t>No se acreditó la circunstancia que se invocó para exonerar a la contratista del cumplimiento del contrato afianzado, de manera que la compañía aseguradora se encontró obligada al pago del siniestro. No desconoce la Sala que existe otro litigio en curso, iniciado por AYCO LTDA en contra de EPM, en el cual se ha declarado en primera instancia la nulidad de las mismas resoluciones demandadas en este proceso, que se examinarán de acuerdo con la demanda y el acervo probatorio allí presentado. Por ello, es importante hacer constar que la presente decisión se produce en el marco de las pretensiones de la compañía de seguros y la póliza de cumplimiento por ella otorgada. Respecto del otro proceso en curso, por no tratarse de un litigio entre las mismas partes, esta decisión no hace tránsito a cosa juzgada en relación con las pretensiones de AYCO LTDA en la demanda presentada por esa sociedad. (…) No habiendo causa para anular las resoluciones 002950 de 2006 y 003174 de 2007, en atención a las consideraciones expuestas en esta providencia y a las pruebas allegadas en este proceso, se revocará la sentencia de primera instancia. Por otra parte, se concluye que se materializó el riesgo amparado por la póliza (…) expedida por la Compañía Agrícola de Seguros S.A. y que no proceden las exclusiones y pretensiones formuladas en la demanda. Finalmente, dado que no se accederá a la nulidad de los actos acusados, tampoco proceden las pretensiones sobre el restablecimiento del derecho en favor de la compañía de seguros ahora demandante</w:t>
      </w:r>
    </w:p>
    <w:p w:rsidR="00EF36E6" w:rsidRDefault="00EF36E6" w:rsidP="00EF36E6">
      <w:pPr>
        <w:widowControl w:val="0"/>
        <w:spacing w:line="240" w:lineRule="auto"/>
        <w:rPr>
          <w:rFonts w:cs="Arial"/>
          <w:b/>
        </w:rPr>
      </w:pPr>
    </w:p>
    <w:p w:rsidR="00EF36E6" w:rsidRPr="00876461" w:rsidRDefault="00EF36E6" w:rsidP="00EF36E6">
      <w:pPr>
        <w:widowControl w:val="0"/>
        <w:spacing w:line="240" w:lineRule="auto"/>
        <w:rPr>
          <w:rFonts w:cs="Arial"/>
          <w:b/>
        </w:rPr>
      </w:pPr>
      <w:bookmarkStart w:id="0" w:name="_GoBack"/>
      <w:bookmarkEnd w:id="0"/>
    </w:p>
    <w:p w:rsidR="006D1BFD" w:rsidRPr="00876461" w:rsidRDefault="006D1BFD" w:rsidP="006D1BFD">
      <w:pPr>
        <w:widowControl w:val="0"/>
        <w:spacing w:line="240" w:lineRule="auto"/>
        <w:jc w:val="center"/>
        <w:rPr>
          <w:rFonts w:cs="Arial"/>
          <w:b/>
        </w:rPr>
      </w:pPr>
      <w:r w:rsidRPr="00876461">
        <w:rPr>
          <w:rFonts w:cs="Arial"/>
          <w:b/>
        </w:rPr>
        <w:t>CONSEJO DE ESTADO</w:t>
      </w:r>
    </w:p>
    <w:p w:rsidR="006D1BFD" w:rsidRPr="00876461" w:rsidRDefault="006D1BFD" w:rsidP="006D1BFD">
      <w:pPr>
        <w:widowControl w:val="0"/>
        <w:spacing w:line="240" w:lineRule="auto"/>
        <w:jc w:val="center"/>
        <w:rPr>
          <w:rFonts w:cs="Arial"/>
          <w:b/>
        </w:rPr>
      </w:pPr>
    </w:p>
    <w:p w:rsidR="006D1BFD" w:rsidRPr="00876461" w:rsidRDefault="006D1BFD" w:rsidP="006D1BFD">
      <w:pPr>
        <w:widowControl w:val="0"/>
        <w:spacing w:line="240" w:lineRule="auto"/>
        <w:jc w:val="center"/>
        <w:rPr>
          <w:rFonts w:cs="Arial"/>
          <w:b/>
        </w:rPr>
      </w:pPr>
      <w:r w:rsidRPr="00876461">
        <w:rPr>
          <w:rFonts w:cs="Arial"/>
          <w:b/>
        </w:rPr>
        <w:t>SALA DE LO CONTENCIOSO ADMINISTRATIVO</w:t>
      </w:r>
    </w:p>
    <w:p w:rsidR="006D1BFD" w:rsidRPr="00876461" w:rsidRDefault="006D1BFD" w:rsidP="006D1BFD">
      <w:pPr>
        <w:widowControl w:val="0"/>
        <w:spacing w:line="240" w:lineRule="auto"/>
        <w:jc w:val="center"/>
        <w:rPr>
          <w:rFonts w:cs="Arial"/>
          <w:b/>
        </w:rPr>
      </w:pPr>
    </w:p>
    <w:p w:rsidR="006D1BFD" w:rsidRPr="00876461" w:rsidRDefault="006D1BFD" w:rsidP="006D1BFD">
      <w:pPr>
        <w:widowControl w:val="0"/>
        <w:spacing w:line="240" w:lineRule="auto"/>
        <w:jc w:val="center"/>
        <w:rPr>
          <w:rFonts w:cs="Arial"/>
          <w:b/>
        </w:rPr>
      </w:pPr>
      <w:r w:rsidRPr="00876461">
        <w:rPr>
          <w:rFonts w:cs="Arial"/>
          <w:b/>
        </w:rPr>
        <w:t>SECCIÓN TERCERA</w:t>
      </w:r>
    </w:p>
    <w:p w:rsidR="006D1BFD" w:rsidRPr="00876461" w:rsidRDefault="006D1BFD" w:rsidP="006D1BFD">
      <w:pPr>
        <w:widowControl w:val="0"/>
        <w:spacing w:line="240" w:lineRule="auto"/>
        <w:jc w:val="center"/>
        <w:rPr>
          <w:rFonts w:cs="Arial"/>
          <w:b/>
        </w:rPr>
      </w:pPr>
    </w:p>
    <w:p w:rsidR="006D1BFD" w:rsidRPr="00876461" w:rsidRDefault="006D1BFD" w:rsidP="006D1BFD">
      <w:pPr>
        <w:widowControl w:val="0"/>
        <w:spacing w:line="240" w:lineRule="auto"/>
        <w:jc w:val="center"/>
        <w:rPr>
          <w:rFonts w:cs="Arial"/>
          <w:b/>
        </w:rPr>
      </w:pPr>
      <w:r w:rsidRPr="00876461">
        <w:rPr>
          <w:rFonts w:cs="Arial"/>
          <w:b/>
        </w:rPr>
        <w:t>SUBSECCIÓN A</w:t>
      </w:r>
    </w:p>
    <w:p w:rsidR="006D1BFD" w:rsidRPr="00876461" w:rsidRDefault="006D1BFD" w:rsidP="006D1BFD">
      <w:pPr>
        <w:pStyle w:val="Encabezado"/>
        <w:widowControl w:val="0"/>
        <w:spacing w:line="240" w:lineRule="auto"/>
        <w:jc w:val="center"/>
        <w:rPr>
          <w:rFonts w:cs="Arial"/>
          <w:b/>
          <w:szCs w:val="24"/>
          <w:lang w:val="es-CO"/>
        </w:rPr>
      </w:pPr>
    </w:p>
    <w:p w:rsidR="006D1BFD" w:rsidRPr="00876461" w:rsidRDefault="006D1BFD" w:rsidP="006D1BFD">
      <w:pPr>
        <w:pStyle w:val="Encabezado"/>
        <w:widowControl w:val="0"/>
        <w:spacing w:line="240" w:lineRule="auto"/>
        <w:jc w:val="center"/>
        <w:rPr>
          <w:rFonts w:cs="Arial"/>
          <w:spacing w:val="-3"/>
          <w:szCs w:val="24"/>
          <w:lang w:val="es-CO"/>
        </w:rPr>
      </w:pPr>
      <w:r w:rsidRPr="00876461">
        <w:rPr>
          <w:rFonts w:cs="Arial"/>
          <w:b/>
          <w:szCs w:val="24"/>
          <w:lang w:val="es-CO"/>
        </w:rPr>
        <w:t>Consejera ponente: MARTA NUBIA VELÁ</w:t>
      </w:r>
      <w:r>
        <w:rPr>
          <w:rFonts w:cs="Arial"/>
          <w:b/>
          <w:szCs w:val="24"/>
          <w:lang w:val="es-CO"/>
        </w:rPr>
        <w:t>SQUEZ RICO</w:t>
      </w:r>
    </w:p>
    <w:p w:rsidR="006D1BFD" w:rsidRPr="00876461" w:rsidRDefault="006D1BFD" w:rsidP="006D1BFD">
      <w:pPr>
        <w:widowControl w:val="0"/>
        <w:spacing w:line="240" w:lineRule="auto"/>
        <w:rPr>
          <w:rFonts w:cs="Arial"/>
        </w:rPr>
      </w:pPr>
    </w:p>
    <w:p w:rsidR="006D1BFD" w:rsidRPr="00876461" w:rsidRDefault="006D1BFD" w:rsidP="006D1BFD">
      <w:pPr>
        <w:widowControl w:val="0"/>
        <w:spacing w:line="240" w:lineRule="auto"/>
        <w:jc w:val="left"/>
        <w:rPr>
          <w:rFonts w:cs="Arial"/>
        </w:rPr>
      </w:pPr>
      <w:r w:rsidRPr="00876461">
        <w:rPr>
          <w:rFonts w:cs="Arial"/>
        </w:rPr>
        <w:t>Bogotá, D.C., cinco (5) de julio de dos mil dieciocho (2018)</w:t>
      </w:r>
    </w:p>
    <w:p w:rsidR="006D1BFD" w:rsidRPr="00876461" w:rsidRDefault="006D1BFD" w:rsidP="006D1BFD">
      <w:pPr>
        <w:widowControl w:val="0"/>
        <w:spacing w:line="240" w:lineRule="auto"/>
        <w:rPr>
          <w:rFonts w:cs="Arial"/>
          <w:b/>
        </w:rPr>
      </w:pPr>
    </w:p>
    <w:p w:rsidR="006D1BFD" w:rsidRPr="00876461" w:rsidRDefault="006D1BFD" w:rsidP="006D1BFD">
      <w:pPr>
        <w:widowControl w:val="0"/>
        <w:spacing w:line="240" w:lineRule="auto"/>
        <w:rPr>
          <w:rFonts w:cs="Arial"/>
          <w:b/>
        </w:rPr>
      </w:pPr>
      <w:r w:rsidRPr="00876461">
        <w:rPr>
          <w:rFonts w:cs="Arial"/>
          <w:b/>
        </w:rPr>
        <w:t>Radicación número: 05001-23-31-000-2007-02466-01(54688)</w:t>
      </w:r>
    </w:p>
    <w:p w:rsidR="006D1BFD" w:rsidRPr="00876461" w:rsidRDefault="006D1BFD" w:rsidP="006D1BFD">
      <w:pPr>
        <w:widowControl w:val="0"/>
        <w:spacing w:line="240" w:lineRule="auto"/>
        <w:rPr>
          <w:rFonts w:cs="Arial"/>
          <w:b/>
        </w:rPr>
      </w:pPr>
    </w:p>
    <w:p w:rsidR="006D1BFD" w:rsidRPr="00876461" w:rsidRDefault="006D1BFD" w:rsidP="006D1BFD">
      <w:pPr>
        <w:widowControl w:val="0"/>
        <w:spacing w:line="240" w:lineRule="auto"/>
        <w:rPr>
          <w:rFonts w:cs="Arial"/>
          <w:b/>
        </w:rPr>
      </w:pPr>
      <w:r w:rsidRPr="00876461">
        <w:rPr>
          <w:rFonts w:cs="Arial"/>
          <w:b/>
        </w:rPr>
        <w:t>Actor: COMPAÑÍA AGRÍCOLA DE SEGUROS SA</w:t>
      </w:r>
    </w:p>
    <w:p w:rsidR="006D1BFD" w:rsidRPr="00876461" w:rsidRDefault="006D1BFD" w:rsidP="006D1BFD">
      <w:pPr>
        <w:widowControl w:val="0"/>
        <w:spacing w:line="240" w:lineRule="auto"/>
        <w:rPr>
          <w:rFonts w:cs="Arial"/>
          <w:b/>
        </w:rPr>
      </w:pPr>
    </w:p>
    <w:p w:rsidR="006D1BFD" w:rsidRPr="00876461" w:rsidRDefault="006D1BFD" w:rsidP="006D1BFD">
      <w:pPr>
        <w:widowControl w:val="0"/>
        <w:spacing w:line="240" w:lineRule="auto"/>
        <w:rPr>
          <w:rFonts w:cs="Arial"/>
          <w:b/>
        </w:rPr>
      </w:pPr>
      <w:r w:rsidRPr="00876461">
        <w:rPr>
          <w:rFonts w:cs="Arial"/>
          <w:b/>
        </w:rPr>
        <w:t>Demandado: EMPRESAS PÚBLICAS DE MEDELLÍN</w:t>
      </w:r>
    </w:p>
    <w:p w:rsidR="006D1BFD" w:rsidRPr="00876461" w:rsidRDefault="006D1BFD" w:rsidP="006D1BFD">
      <w:pPr>
        <w:widowControl w:val="0"/>
        <w:spacing w:line="240" w:lineRule="auto"/>
        <w:rPr>
          <w:rFonts w:cs="Arial"/>
          <w:b/>
        </w:rPr>
      </w:pPr>
    </w:p>
    <w:p w:rsidR="006D1BFD" w:rsidRPr="00876461" w:rsidRDefault="006D1BFD" w:rsidP="006D1BFD">
      <w:pPr>
        <w:widowControl w:val="0"/>
        <w:spacing w:line="240" w:lineRule="auto"/>
        <w:rPr>
          <w:rFonts w:cs="Arial"/>
          <w:b/>
        </w:rPr>
      </w:pPr>
    </w:p>
    <w:p w:rsidR="006D1BFD" w:rsidRPr="00876461" w:rsidRDefault="006D1BFD" w:rsidP="006D1BFD">
      <w:pPr>
        <w:widowControl w:val="0"/>
        <w:spacing w:line="240" w:lineRule="auto"/>
        <w:rPr>
          <w:rFonts w:cs="Arial"/>
          <w:b/>
        </w:rPr>
      </w:pPr>
    </w:p>
    <w:p w:rsidR="006D1BFD" w:rsidRPr="00876461" w:rsidRDefault="006D1BFD" w:rsidP="006D1BFD">
      <w:pPr>
        <w:widowControl w:val="0"/>
        <w:spacing w:line="240" w:lineRule="auto"/>
        <w:rPr>
          <w:rFonts w:cs="Arial"/>
          <w:b/>
        </w:rPr>
      </w:pPr>
      <w:r w:rsidRPr="00876461">
        <w:rPr>
          <w:rFonts w:cs="Arial"/>
          <w:b/>
        </w:rPr>
        <w:t>Referencia: APELACIÓN SENTENCIA – ACCIÓN DE CONTROVERSIAS CONTRACTUALES</w:t>
      </w:r>
    </w:p>
    <w:p w:rsidR="006D1BFD" w:rsidRPr="00876461" w:rsidRDefault="006D1BFD" w:rsidP="006D1BFD">
      <w:pPr>
        <w:widowControl w:val="0"/>
        <w:spacing w:line="240" w:lineRule="auto"/>
        <w:rPr>
          <w:rFonts w:cs="Arial"/>
          <w:b/>
        </w:rPr>
      </w:pPr>
    </w:p>
    <w:p w:rsidR="006D1BFD" w:rsidRPr="00876461" w:rsidRDefault="006D1BFD" w:rsidP="006D1BFD">
      <w:pPr>
        <w:widowControl w:val="0"/>
        <w:spacing w:line="240" w:lineRule="auto"/>
        <w:rPr>
          <w:rFonts w:cs="Arial"/>
          <w:b/>
        </w:rPr>
      </w:pPr>
    </w:p>
    <w:p w:rsidR="006D1BFD" w:rsidRPr="00876461" w:rsidRDefault="006D1BFD" w:rsidP="006D1BFD">
      <w:pPr>
        <w:widowControl w:val="0"/>
        <w:autoSpaceDE w:val="0"/>
        <w:autoSpaceDN w:val="0"/>
        <w:adjustRightInd w:val="0"/>
        <w:spacing w:line="240" w:lineRule="auto"/>
        <w:rPr>
          <w:rFonts w:cs="Arial"/>
          <w:b/>
        </w:rPr>
      </w:pPr>
    </w:p>
    <w:p w:rsidR="006D1BFD" w:rsidRPr="00876461" w:rsidRDefault="006D1BFD" w:rsidP="006D1BFD">
      <w:pPr>
        <w:widowControl w:val="0"/>
        <w:autoSpaceDE w:val="0"/>
        <w:autoSpaceDN w:val="0"/>
        <w:adjustRightInd w:val="0"/>
        <w:spacing w:line="276" w:lineRule="auto"/>
        <w:rPr>
          <w:rFonts w:cs="Arial"/>
        </w:rPr>
      </w:pPr>
      <w:r w:rsidRPr="00876461">
        <w:rPr>
          <w:rFonts w:cs="Arial"/>
          <w:b/>
        </w:rPr>
        <w:t>Temas</w:t>
      </w:r>
      <w:r w:rsidRPr="00876461">
        <w:rPr>
          <w:rFonts w:cs="Arial"/>
        </w:rPr>
        <w:t>: GARANTÍAS CONTRACTUALES – PÓLIZA DE SEGUROS -</w:t>
      </w:r>
      <w:r w:rsidRPr="00876461">
        <w:rPr>
          <w:rFonts w:cs="Arial"/>
          <w:b/>
          <w:lang w:val="es-MX"/>
        </w:rPr>
        <w:t xml:space="preserve"> </w:t>
      </w:r>
      <w:r>
        <w:rPr>
          <w:rFonts w:cs="Arial"/>
          <w:lang w:val="es-MX"/>
        </w:rPr>
        <w:t>C</w:t>
      </w:r>
      <w:r w:rsidRPr="00876461">
        <w:rPr>
          <w:rFonts w:cs="Arial"/>
        </w:rPr>
        <w:t xml:space="preserve">ompetencia para hacer exigible la garantía, en contratos que se rigen por el derecho privado / RÉGIMEN CONTRACTUAL DE LAS EMPRESAS DE SERVICIOS PÚBLICOS DOMICILIARIOS / se rigen por el derecho privado – de acuerdo con la Ley 142 de 1994, en la época de los hechos en este proceso, la empresa de servicios públicos debía seguir el procedimiento de reclamación del Código de Comercio, para efectos </w:t>
      </w:r>
      <w:r w:rsidRPr="00876461">
        <w:rPr>
          <w:rFonts w:cs="Arial"/>
        </w:rPr>
        <w:lastRenderedPageBreak/>
        <w:t xml:space="preserve">del cobro de la póliza – NO ACCEDE a las pretensiones. </w:t>
      </w:r>
    </w:p>
    <w:p w:rsidR="006D1BFD" w:rsidRPr="00876461" w:rsidRDefault="006D1BFD" w:rsidP="006D1BFD">
      <w:pPr>
        <w:widowControl w:val="0"/>
        <w:autoSpaceDE w:val="0"/>
        <w:autoSpaceDN w:val="0"/>
        <w:adjustRightInd w:val="0"/>
        <w:rPr>
          <w:rFonts w:cs="Arial"/>
        </w:rPr>
      </w:pPr>
    </w:p>
    <w:p w:rsidR="006D1BFD" w:rsidRPr="00876461" w:rsidRDefault="006D1BFD" w:rsidP="006D1BFD">
      <w:pPr>
        <w:widowControl w:val="0"/>
        <w:autoSpaceDE w:val="0"/>
        <w:autoSpaceDN w:val="0"/>
        <w:adjustRightInd w:val="0"/>
        <w:rPr>
          <w:rFonts w:cs="Arial"/>
        </w:rPr>
      </w:pPr>
      <w:r w:rsidRPr="00876461">
        <w:rPr>
          <w:rFonts w:cs="Arial"/>
        </w:rPr>
        <w:t>Conoce la Sala el</w:t>
      </w:r>
      <w:r w:rsidRPr="00876461">
        <w:rPr>
          <w:rFonts w:cs="Arial"/>
          <w:lang w:val="es-CO"/>
        </w:rPr>
        <w:t xml:space="preserve"> recurso de apelación presentado por la parte demandada contra la sentencia proferida por el Tribunal Administrativo de Antioquia, Sala Cuarta de Decisión, el 30 de septiembre de 2013,</w:t>
      </w:r>
      <w:r w:rsidRPr="00876461">
        <w:rPr>
          <w:rFonts w:cs="Arial"/>
        </w:rPr>
        <w:t xml:space="preserve"> mediante la cual se dispuso (se transcribe de forma literal):</w:t>
      </w:r>
    </w:p>
    <w:p w:rsidR="006D1BFD" w:rsidRPr="00876461" w:rsidRDefault="006D1BFD" w:rsidP="006D1BFD">
      <w:pPr>
        <w:widowControl w:val="0"/>
        <w:tabs>
          <w:tab w:val="left" w:pos="7938"/>
        </w:tabs>
        <w:overflowPunct w:val="0"/>
        <w:autoSpaceDE w:val="0"/>
        <w:autoSpaceDN w:val="0"/>
        <w:adjustRightInd w:val="0"/>
        <w:textAlignment w:val="baseline"/>
        <w:rPr>
          <w:rFonts w:cs="Arial"/>
          <w:i/>
        </w:rPr>
      </w:pPr>
    </w:p>
    <w:p w:rsidR="006D1BFD" w:rsidRPr="00876461" w:rsidRDefault="006D1BFD" w:rsidP="006D1BFD">
      <w:pPr>
        <w:widowControl w:val="0"/>
        <w:tabs>
          <w:tab w:val="left" w:pos="7938"/>
        </w:tabs>
        <w:autoSpaceDE w:val="0"/>
        <w:autoSpaceDN w:val="0"/>
        <w:adjustRightInd w:val="0"/>
        <w:spacing w:line="276" w:lineRule="auto"/>
        <w:rPr>
          <w:rFonts w:cs="Arial"/>
          <w:i/>
        </w:rPr>
      </w:pPr>
      <w:r w:rsidRPr="00876461">
        <w:rPr>
          <w:rFonts w:cs="Arial"/>
          <w:i/>
        </w:rPr>
        <w:t>“</w:t>
      </w:r>
      <w:r w:rsidRPr="00876461">
        <w:rPr>
          <w:rFonts w:cs="Arial"/>
          <w:b/>
          <w:i/>
        </w:rPr>
        <w:t>PRIMERO</w:t>
      </w:r>
      <w:r w:rsidRPr="00876461">
        <w:rPr>
          <w:rFonts w:cs="Arial"/>
          <w:i/>
        </w:rPr>
        <w:t xml:space="preserve">: </w:t>
      </w:r>
      <w:r w:rsidRPr="00876461">
        <w:rPr>
          <w:rFonts w:cs="Arial"/>
          <w:b/>
          <w:i/>
        </w:rPr>
        <w:t>DECLARAR</w:t>
      </w:r>
      <w:r w:rsidRPr="00876461">
        <w:rPr>
          <w:rFonts w:cs="Arial"/>
          <w:i/>
        </w:rPr>
        <w:t xml:space="preserve"> de oficio la nulidad absoluta parcial de los incisos primero y segundo del numeral 4.12 del Pliego de Condiciones – Proceso de Contratación No. 0280231, aplicable al Contrato No. 090325402, en virtud de lo dispuesto en la cláusula sexta del mismo.</w:t>
      </w:r>
    </w:p>
    <w:p w:rsidR="006D1BFD" w:rsidRPr="00876461" w:rsidRDefault="006D1BFD" w:rsidP="006D1BFD">
      <w:pPr>
        <w:widowControl w:val="0"/>
        <w:tabs>
          <w:tab w:val="left" w:pos="7938"/>
        </w:tabs>
        <w:autoSpaceDE w:val="0"/>
        <w:autoSpaceDN w:val="0"/>
        <w:adjustRightInd w:val="0"/>
        <w:spacing w:line="276" w:lineRule="auto"/>
        <w:rPr>
          <w:rFonts w:cs="Arial"/>
          <w:b/>
          <w:i/>
        </w:rPr>
      </w:pPr>
    </w:p>
    <w:p w:rsidR="006D1BFD" w:rsidRPr="00876461" w:rsidRDefault="006D1BFD" w:rsidP="006D1BFD">
      <w:pPr>
        <w:widowControl w:val="0"/>
        <w:tabs>
          <w:tab w:val="left" w:pos="7938"/>
        </w:tabs>
        <w:autoSpaceDE w:val="0"/>
        <w:autoSpaceDN w:val="0"/>
        <w:adjustRightInd w:val="0"/>
        <w:spacing w:line="276" w:lineRule="auto"/>
        <w:rPr>
          <w:rFonts w:cs="Arial"/>
          <w:i/>
        </w:rPr>
      </w:pPr>
      <w:r w:rsidRPr="00876461">
        <w:rPr>
          <w:rFonts w:cs="Arial"/>
          <w:i/>
        </w:rPr>
        <w:t>“</w:t>
      </w:r>
      <w:r w:rsidRPr="00876461">
        <w:rPr>
          <w:rFonts w:cs="Arial"/>
          <w:b/>
          <w:i/>
        </w:rPr>
        <w:t>SEGUNDO</w:t>
      </w:r>
      <w:r w:rsidRPr="00876461">
        <w:rPr>
          <w:rFonts w:cs="Arial"/>
          <w:i/>
        </w:rPr>
        <w:t xml:space="preserve">: Como consecuencia de lo anterior, </w:t>
      </w:r>
      <w:r w:rsidRPr="00876461">
        <w:rPr>
          <w:rFonts w:cs="Arial"/>
          <w:b/>
          <w:i/>
        </w:rPr>
        <w:t>DECLARAR LA NULIDAD</w:t>
      </w:r>
      <w:r w:rsidRPr="00876461">
        <w:rPr>
          <w:rFonts w:cs="Arial"/>
          <w:i/>
        </w:rPr>
        <w:t xml:space="preserve"> de las </w:t>
      </w:r>
      <w:r w:rsidRPr="00876461">
        <w:rPr>
          <w:rFonts w:cs="Arial"/>
          <w:b/>
          <w:i/>
        </w:rPr>
        <w:t>Resoluciones No. 002950 de octubre 31 de 2006</w:t>
      </w:r>
      <w:r w:rsidRPr="00876461">
        <w:rPr>
          <w:rFonts w:cs="Arial"/>
          <w:i/>
        </w:rPr>
        <w:t xml:space="preserve">, por medio de la cual se declara el riesgo de incumplimiento y se hace efectiva la garantía y </w:t>
      </w:r>
      <w:r w:rsidRPr="00876461">
        <w:rPr>
          <w:rFonts w:cs="Arial"/>
          <w:b/>
          <w:i/>
        </w:rPr>
        <w:t>No. 003174 de enero 29 de 2007</w:t>
      </w:r>
      <w:r w:rsidRPr="00876461">
        <w:rPr>
          <w:rFonts w:cs="Arial"/>
          <w:i/>
        </w:rPr>
        <w:t>, que resuelve el recurso de reposición en contra de la anterior, ambas expedidas por la Gerente General de Empresas Públicas de Medellín E.S.P.</w:t>
      </w:r>
    </w:p>
    <w:p w:rsidR="006D1BFD" w:rsidRPr="00876461" w:rsidRDefault="006D1BFD" w:rsidP="006D1BFD">
      <w:pPr>
        <w:widowControl w:val="0"/>
        <w:tabs>
          <w:tab w:val="left" w:pos="7938"/>
        </w:tabs>
        <w:autoSpaceDE w:val="0"/>
        <w:autoSpaceDN w:val="0"/>
        <w:adjustRightInd w:val="0"/>
        <w:spacing w:line="276" w:lineRule="auto"/>
        <w:rPr>
          <w:rFonts w:cs="Arial"/>
          <w:i/>
        </w:rPr>
      </w:pPr>
    </w:p>
    <w:p w:rsidR="006D1BFD" w:rsidRPr="00876461" w:rsidRDefault="006D1BFD" w:rsidP="006D1BFD">
      <w:pPr>
        <w:widowControl w:val="0"/>
        <w:tabs>
          <w:tab w:val="left" w:pos="7938"/>
        </w:tabs>
        <w:autoSpaceDE w:val="0"/>
        <w:autoSpaceDN w:val="0"/>
        <w:adjustRightInd w:val="0"/>
        <w:spacing w:line="276" w:lineRule="auto"/>
        <w:rPr>
          <w:rFonts w:cs="Arial"/>
          <w:i/>
        </w:rPr>
      </w:pPr>
      <w:r w:rsidRPr="00876461">
        <w:rPr>
          <w:rFonts w:cs="Arial"/>
          <w:i/>
        </w:rPr>
        <w:t>“</w:t>
      </w:r>
      <w:r w:rsidRPr="00876461">
        <w:rPr>
          <w:rFonts w:cs="Arial"/>
          <w:b/>
          <w:i/>
        </w:rPr>
        <w:t>TERCERO</w:t>
      </w:r>
      <w:r w:rsidRPr="00876461">
        <w:rPr>
          <w:rFonts w:cs="Arial"/>
          <w:i/>
        </w:rPr>
        <w:t xml:space="preserve">: A título de restablecimiento del derecho </w:t>
      </w:r>
      <w:r w:rsidRPr="00876461">
        <w:rPr>
          <w:rFonts w:cs="Arial"/>
          <w:b/>
          <w:i/>
        </w:rPr>
        <w:t>DECLARAR</w:t>
      </w:r>
      <w:r w:rsidRPr="00876461">
        <w:rPr>
          <w:rFonts w:cs="Arial"/>
          <w:i/>
        </w:rPr>
        <w:t xml:space="preserve"> que la </w:t>
      </w:r>
      <w:r w:rsidRPr="00876461">
        <w:rPr>
          <w:rFonts w:cs="Arial"/>
          <w:b/>
          <w:i/>
        </w:rPr>
        <w:t xml:space="preserve">COMPAÑÍA AGRÍCOLA DE SEGUROS S.A. </w:t>
      </w:r>
      <w:r w:rsidRPr="00876461">
        <w:rPr>
          <w:rFonts w:cs="Arial"/>
          <w:i/>
        </w:rPr>
        <w:t xml:space="preserve">no está obligada a pagar a </w:t>
      </w:r>
      <w:r w:rsidRPr="00876461">
        <w:rPr>
          <w:rFonts w:cs="Arial"/>
          <w:b/>
          <w:i/>
        </w:rPr>
        <w:t>EMPRESAS PÚBLICAS DE MEDELLÍN E.S.P.</w:t>
      </w:r>
      <w:r w:rsidRPr="00876461">
        <w:rPr>
          <w:rFonts w:cs="Arial"/>
          <w:i/>
        </w:rPr>
        <w:t>,</w:t>
      </w:r>
      <w:r w:rsidRPr="00876461">
        <w:rPr>
          <w:rFonts w:cs="Arial"/>
          <w:b/>
          <w:i/>
        </w:rPr>
        <w:t xml:space="preserve"> </w:t>
      </w:r>
      <w:r w:rsidRPr="00876461">
        <w:rPr>
          <w:rFonts w:cs="Arial"/>
          <w:i/>
        </w:rPr>
        <w:t xml:space="preserve">ninguna suma de dinero en razón de los actos administrativos anulados y con cargo a la póliza de cumplimiento que amparaba el contrato No. 090325402. </w:t>
      </w:r>
    </w:p>
    <w:p w:rsidR="006D1BFD" w:rsidRPr="00876461" w:rsidRDefault="006D1BFD" w:rsidP="006D1BFD">
      <w:pPr>
        <w:widowControl w:val="0"/>
        <w:tabs>
          <w:tab w:val="left" w:pos="7938"/>
        </w:tabs>
        <w:autoSpaceDE w:val="0"/>
        <w:autoSpaceDN w:val="0"/>
        <w:adjustRightInd w:val="0"/>
        <w:spacing w:line="276" w:lineRule="auto"/>
        <w:rPr>
          <w:rFonts w:cs="Arial"/>
          <w:i/>
        </w:rPr>
      </w:pPr>
    </w:p>
    <w:p w:rsidR="006D1BFD" w:rsidRPr="00876461" w:rsidRDefault="006D1BFD" w:rsidP="006D1BFD">
      <w:pPr>
        <w:widowControl w:val="0"/>
        <w:tabs>
          <w:tab w:val="left" w:pos="7938"/>
        </w:tabs>
        <w:autoSpaceDE w:val="0"/>
        <w:autoSpaceDN w:val="0"/>
        <w:adjustRightInd w:val="0"/>
        <w:spacing w:line="276" w:lineRule="auto"/>
        <w:rPr>
          <w:rFonts w:cs="Arial"/>
          <w:i/>
        </w:rPr>
      </w:pPr>
      <w:r w:rsidRPr="00876461">
        <w:rPr>
          <w:rFonts w:cs="Arial"/>
          <w:i/>
        </w:rPr>
        <w:t>“</w:t>
      </w:r>
      <w:r w:rsidRPr="00876461">
        <w:rPr>
          <w:rFonts w:cs="Arial"/>
          <w:b/>
          <w:i/>
        </w:rPr>
        <w:t>CUARTO</w:t>
      </w:r>
      <w:r w:rsidRPr="00876461">
        <w:rPr>
          <w:rFonts w:cs="Arial"/>
          <w:i/>
        </w:rPr>
        <w:t xml:space="preserve">: En caso de que la </w:t>
      </w:r>
      <w:r w:rsidRPr="00876461">
        <w:rPr>
          <w:rFonts w:cs="Arial"/>
          <w:b/>
          <w:i/>
        </w:rPr>
        <w:t>COMPAÑÍA AGRÍCOLA DE SEGUROS S.A.</w:t>
      </w:r>
      <w:r w:rsidRPr="00876461">
        <w:rPr>
          <w:rFonts w:cs="Arial"/>
          <w:i/>
        </w:rPr>
        <w:t xml:space="preserve"> hubiese pagado a </w:t>
      </w:r>
      <w:r w:rsidRPr="00876461">
        <w:rPr>
          <w:rFonts w:cs="Arial"/>
          <w:b/>
          <w:i/>
        </w:rPr>
        <w:t>EMPRESAS PÚBLICAS DE MEDELLÍN E.S.P.</w:t>
      </w:r>
      <w:r w:rsidRPr="00876461">
        <w:rPr>
          <w:rFonts w:cs="Arial"/>
          <w:i/>
        </w:rPr>
        <w:t xml:space="preserve">, suma alguna por concepto de la póliza de cumplimiento que amparaba el contrato No. 090325402, </w:t>
      </w:r>
      <w:r w:rsidRPr="00876461">
        <w:rPr>
          <w:rFonts w:cs="Arial"/>
          <w:b/>
          <w:i/>
        </w:rPr>
        <w:t>ORDENAR</w:t>
      </w:r>
      <w:r w:rsidRPr="00876461">
        <w:rPr>
          <w:rFonts w:cs="Arial"/>
          <w:i/>
        </w:rPr>
        <w:t xml:space="preserve"> la devolución de ésta a la accionante, indexada en los términos descritos en la parte motiva de la presente providencia.</w:t>
      </w:r>
    </w:p>
    <w:p w:rsidR="006D1BFD" w:rsidRPr="00876461" w:rsidRDefault="006D1BFD" w:rsidP="006D1BFD">
      <w:pPr>
        <w:widowControl w:val="0"/>
        <w:tabs>
          <w:tab w:val="left" w:pos="7938"/>
        </w:tabs>
        <w:autoSpaceDE w:val="0"/>
        <w:autoSpaceDN w:val="0"/>
        <w:adjustRightInd w:val="0"/>
        <w:spacing w:line="276" w:lineRule="auto"/>
        <w:rPr>
          <w:rFonts w:cs="Arial"/>
          <w:i/>
        </w:rPr>
      </w:pPr>
    </w:p>
    <w:p w:rsidR="006D1BFD" w:rsidRPr="00876461" w:rsidRDefault="006D1BFD" w:rsidP="006D1BFD">
      <w:pPr>
        <w:widowControl w:val="0"/>
        <w:tabs>
          <w:tab w:val="left" w:pos="7938"/>
        </w:tabs>
        <w:autoSpaceDE w:val="0"/>
        <w:autoSpaceDN w:val="0"/>
        <w:adjustRightInd w:val="0"/>
        <w:spacing w:line="276" w:lineRule="auto"/>
        <w:rPr>
          <w:rFonts w:cs="Arial"/>
          <w:i/>
        </w:rPr>
      </w:pPr>
      <w:r w:rsidRPr="00876461">
        <w:rPr>
          <w:rFonts w:cs="Arial"/>
          <w:i/>
        </w:rPr>
        <w:t>“</w:t>
      </w:r>
      <w:r w:rsidRPr="00876461">
        <w:rPr>
          <w:rFonts w:cs="Arial"/>
          <w:b/>
          <w:i/>
        </w:rPr>
        <w:t>QUINTO</w:t>
      </w:r>
      <w:r w:rsidRPr="00876461">
        <w:rPr>
          <w:rFonts w:cs="Arial"/>
          <w:i/>
        </w:rPr>
        <w:t>:</w:t>
      </w:r>
      <w:r w:rsidRPr="00876461">
        <w:rPr>
          <w:rFonts w:cs="Arial"/>
          <w:b/>
          <w:i/>
        </w:rPr>
        <w:t xml:space="preserve"> NEGAR </w:t>
      </w:r>
      <w:r w:rsidRPr="00876461">
        <w:rPr>
          <w:rFonts w:cs="Arial"/>
          <w:i/>
        </w:rPr>
        <w:t>las demás pretensiones de la demanda, por las razones expuestas.</w:t>
      </w:r>
    </w:p>
    <w:p w:rsidR="006D1BFD" w:rsidRPr="00876461" w:rsidRDefault="006D1BFD" w:rsidP="006D1BFD">
      <w:pPr>
        <w:widowControl w:val="0"/>
        <w:tabs>
          <w:tab w:val="left" w:pos="7938"/>
        </w:tabs>
        <w:autoSpaceDE w:val="0"/>
        <w:autoSpaceDN w:val="0"/>
        <w:adjustRightInd w:val="0"/>
        <w:spacing w:line="276" w:lineRule="auto"/>
        <w:rPr>
          <w:rFonts w:cs="Arial"/>
          <w:i/>
        </w:rPr>
      </w:pPr>
    </w:p>
    <w:p w:rsidR="006D1BFD" w:rsidRPr="00876461" w:rsidRDefault="006D1BFD" w:rsidP="006D1BFD">
      <w:pPr>
        <w:widowControl w:val="0"/>
        <w:tabs>
          <w:tab w:val="left" w:pos="7938"/>
        </w:tabs>
        <w:autoSpaceDE w:val="0"/>
        <w:autoSpaceDN w:val="0"/>
        <w:adjustRightInd w:val="0"/>
        <w:spacing w:line="276" w:lineRule="auto"/>
        <w:rPr>
          <w:rFonts w:cs="Arial"/>
          <w:i/>
        </w:rPr>
      </w:pPr>
      <w:r w:rsidRPr="00876461">
        <w:rPr>
          <w:rFonts w:cs="Arial"/>
          <w:i/>
        </w:rPr>
        <w:t>“</w:t>
      </w:r>
      <w:r w:rsidRPr="00876461">
        <w:rPr>
          <w:rFonts w:cs="Arial"/>
          <w:b/>
          <w:i/>
        </w:rPr>
        <w:t>SEXTO</w:t>
      </w:r>
      <w:r w:rsidRPr="00876461">
        <w:rPr>
          <w:rFonts w:cs="Arial"/>
          <w:i/>
        </w:rPr>
        <w:t>: Sin condena en costas.</w:t>
      </w:r>
    </w:p>
    <w:p w:rsidR="006D1BFD" w:rsidRPr="00876461" w:rsidRDefault="006D1BFD" w:rsidP="006D1BFD">
      <w:pPr>
        <w:widowControl w:val="0"/>
        <w:tabs>
          <w:tab w:val="left" w:pos="7938"/>
        </w:tabs>
        <w:autoSpaceDE w:val="0"/>
        <w:autoSpaceDN w:val="0"/>
        <w:adjustRightInd w:val="0"/>
        <w:spacing w:line="276" w:lineRule="auto"/>
        <w:rPr>
          <w:rFonts w:cs="Arial"/>
          <w:i/>
        </w:rPr>
      </w:pPr>
    </w:p>
    <w:p w:rsidR="006D1BFD" w:rsidRPr="00876461" w:rsidRDefault="006D1BFD" w:rsidP="006D1BFD">
      <w:pPr>
        <w:widowControl w:val="0"/>
        <w:tabs>
          <w:tab w:val="left" w:pos="7938"/>
        </w:tabs>
        <w:autoSpaceDE w:val="0"/>
        <w:autoSpaceDN w:val="0"/>
        <w:adjustRightInd w:val="0"/>
        <w:spacing w:line="276" w:lineRule="auto"/>
        <w:rPr>
          <w:rFonts w:cs="Arial"/>
          <w:i/>
        </w:rPr>
      </w:pPr>
      <w:r w:rsidRPr="00876461">
        <w:rPr>
          <w:rFonts w:cs="Arial"/>
          <w:i/>
        </w:rPr>
        <w:t>“</w:t>
      </w:r>
      <w:r w:rsidRPr="00876461">
        <w:rPr>
          <w:rFonts w:cs="Arial"/>
          <w:b/>
          <w:i/>
        </w:rPr>
        <w:t>SÉPTIMO</w:t>
      </w:r>
      <w:r w:rsidRPr="00876461">
        <w:rPr>
          <w:rFonts w:cs="Arial"/>
          <w:i/>
        </w:rPr>
        <w:t>: En firme esta providencia archívese el expediente”</w:t>
      </w:r>
      <w:r w:rsidRPr="00876461">
        <w:rPr>
          <w:rStyle w:val="Refdenotaalpie"/>
          <w:rFonts w:cs="Arial"/>
          <w:i/>
        </w:rPr>
        <w:footnoteReference w:id="1"/>
      </w:r>
      <w:r w:rsidRPr="00876461">
        <w:rPr>
          <w:rFonts w:cs="Arial"/>
          <w:i/>
        </w:rPr>
        <w:t xml:space="preserve">. </w:t>
      </w:r>
    </w:p>
    <w:p w:rsidR="006D1BFD" w:rsidRPr="00876461" w:rsidRDefault="006D1BFD" w:rsidP="006D1BFD">
      <w:pPr>
        <w:widowControl w:val="0"/>
        <w:tabs>
          <w:tab w:val="left" w:pos="7938"/>
        </w:tabs>
        <w:autoSpaceDE w:val="0"/>
        <w:autoSpaceDN w:val="0"/>
        <w:adjustRightInd w:val="0"/>
        <w:jc w:val="center"/>
        <w:rPr>
          <w:rFonts w:cs="Arial"/>
          <w:b/>
        </w:rPr>
      </w:pPr>
    </w:p>
    <w:p w:rsidR="006D1BFD" w:rsidRPr="00876461" w:rsidRDefault="006D1BFD" w:rsidP="006D1BFD">
      <w:pPr>
        <w:widowControl w:val="0"/>
        <w:autoSpaceDE w:val="0"/>
        <w:autoSpaceDN w:val="0"/>
        <w:adjustRightInd w:val="0"/>
        <w:jc w:val="center"/>
        <w:rPr>
          <w:rFonts w:cs="Arial"/>
          <w:b/>
        </w:rPr>
      </w:pPr>
      <w:r w:rsidRPr="00876461">
        <w:rPr>
          <w:rFonts w:cs="Arial"/>
          <w:b/>
        </w:rPr>
        <w:t>I. A N T E C E D E N T E S</w:t>
      </w:r>
    </w:p>
    <w:p w:rsidR="006D1BFD" w:rsidRPr="00876461" w:rsidRDefault="006D1BFD" w:rsidP="006D1BFD">
      <w:pPr>
        <w:widowControl w:val="0"/>
        <w:rPr>
          <w:rFonts w:cs="Arial"/>
          <w:b/>
        </w:rPr>
      </w:pPr>
    </w:p>
    <w:p w:rsidR="006D1BFD" w:rsidRPr="00876461" w:rsidRDefault="006D1BFD" w:rsidP="006D1BFD">
      <w:pPr>
        <w:widowControl w:val="0"/>
        <w:rPr>
          <w:rFonts w:cs="Arial"/>
        </w:rPr>
      </w:pPr>
      <w:r w:rsidRPr="00876461">
        <w:rPr>
          <w:rFonts w:cs="Arial"/>
          <w:b/>
        </w:rPr>
        <w:t>1. La demanda</w:t>
      </w:r>
    </w:p>
    <w:p w:rsidR="006D1BFD" w:rsidRPr="00876461" w:rsidRDefault="006D1BFD" w:rsidP="006D1BFD">
      <w:pPr>
        <w:widowControl w:val="0"/>
        <w:contextualSpacing/>
        <w:rPr>
          <w:rFonts w:cs="Arial"/>
        </w:rPr>
      </w:pPr>
    </w:p>
    <w:p w:rsidR="006D1BFD" w:rsidRPr="00876461" w:rsidRDefault="006D1BFD" w:rsidP="006D1BFD">
      <w:pPr>
        <w:widowControl w:val="0"/>
        <w:contextualSpacing/>
        <w:rPr>
          <w:rFonts w:cs="Arial"/>
          <w:i/>
          <w:lang w:val="es-MX"/>
        </w:rPr>
      </w:pPr>
      <w:r w:rsidRPr="00876461">
        <w:rPr>
          <w:rFonts w:cs="Arial"/>
        </w:rPr>
        <w:t xml:space="preserve">Mediante demanda presentada el 26 de junio de 2007, la Compañía Agrícola de </w:t>
      </w:r>
      <w:r w:rsidRPr="00876461">
        <w:rPr>
          <w:rFonts w:cs="Arial"/>
        </w:rPr>
        <w:lastRenderedPageBreak/>
        <w:t xml:space="preserve">Seguros S.A., en ejercicio de la acción contractual </w:t>
      </w:r>
      <w:r w:rsidRPr="00876461">
        <w:rPr>
          <w:rFonts w:cs="Arial"/>
          <w:i/>
        </w:rPr>
        <w:t>“con pretensiones de nulidad”</w:t>
      </w:r>
      <w:r w:rsidRPr="00876461">
        <w:rPr>
          <w:rFonts w:cs="Arial"/>
        </w:rPr>
        <w:t xml:space="preserve"> consagrada en el artículo 87 del Código Contencioso Administrativo, solicitó las siguientes declaraciones y condenas contra Empresas Públicas de Medellín E.S.P. (se transcribe literal incluso con errores)</w:t>
      </w:r>
      <w:r w:rsidRPr="00876461">
        <w:rPr>
          <w:rStyle w:val="Refdenotaalpie"/>
          <w:rFonts w:cs="Arial"/>
        </w:rPr>
        <w:footnoteReference w:id="2"/>
      </w:r>
      <w:r w:rsidRPr="00876461">
        <w:rPr>
          <w:rFonts w:cs="Arial"/>
        </w:rPr>
        <w:t>:</w:t>
      </w:r>
    </w:p>
    <w:p w:rsidR="006D1BFD" w:rsidRPr="00876461" w:rsidRDefault="006D1BFD" w:rsidP="006D1BFD">
      <w:pPr>
        <w:widowControl w:val="0"/>
        <w:spacing w:line="240" w:lineRule="auto"/>
        <w:contextualSpacing/>
        <w:rPr>
          <w:rFonts w:cs="Arial"/>
          <w:i/>
        </w:rPr>
      </w:pPr>
    </w:p>
    <w:p w:rsidR="006D1BFD" w:rsidRPr="00876461" w:rsidRDefault="006D1BFD" w:rsidP="006D1BFD">
      <w:pPr>
        <w:widowControl w:val="0"/>
        <w:spacing w:line="276" w:lineRule="auto"/>
        <w:contextualSpacing/>
        <w:rPr>
          <w:rFonts w:cs="Arial"/>
          <w:i/>
        </w:rPr>
      </w:pPr>
      <w:r w:rsidRPr="00876461">
        <w:rPr>
          <w:rFonts w:cs="Arial"/>
          <w:i/>
        </w:rPr>
        <w:t>“</w:t>
      </w:r>
      <w:r w:rsidRPr="00876461">
        <w:rPr>
          <w:rFonts w:cs="Arial"/>
          <w:b/>
          <w:i/>
        </w:rPr>
        <w:t>1.</w:t>
      </w:r>
      <w:r w:rsidRPr="00876461">
        <w:rPr>
          <w:rFonts w:cs="Arial"/>
          <w:i/>
        </w:rPr>
        <w:t xml:space="preserve"> Que se declare la nulidad de las siguientes Resoluciones, por infringir normas legales y por incompetencia de Empresas Públicas de Medellín, para declarar el incumplimiento del contrato y la afectación de la póliza.</w:t>
      </w:r>
    </w:p>
    <w:p w:rsidR="006D1BFD" w:rsidRPr="00876461" w:rsidRDefault="006D1BFD" w:rsidP="006D1BFD">
      <w:pPr>
        <w:widowControl w:val="0"/>
        <w:spacing w:line="276" w:lineRule="auto"/>
        <w:contextualSpacing/>
        <w:rPr>
          <w:rFonts w:cs="Arial"/>
          <w:i/>
          <w:lang w:val="es-MX"/>
        </w:rPr>
      </w:pPr>
    </w:p>
    <w:p w:rsidR="006D1BFD" w:rsidRPr="00876461" w:rsidRDefault="006D1BFD" w:rsidP="006D1BFD">
      <w:pPr>
        <w:pStyle w:val="Prrafodelista"/>
        <w:widowControl w:val="0"/>
        <w:numPr>
          <w:ilvl w:val="0"/>
          <w:numId w:val="26"/>
        </w:numPr>
        <w:spacing w:line="276" w:lineRule="auto"/>
        <w:ind w:left="0" w:firstLine="0"/>
        <w:contextualSpacing/>
        <w:rPr>
          <w:rFonts w:cs="Arial"/>
          <w:i/>
          <w:lang w:val="es-MX"/>
        </w:rPr>
      </w:pPr>
      <w:r w:rsidRPr="00876461">
        <w:rPr>
          <w:rFonts w:cs="Arial"/>
          <w:i/>
          <w:lang w:val="es-MX"/>
        </w:rPr>
        <w:t>“Resolución 002950 de 31 de octubre de 2006, expedida por el Gerente General de las Empresas Públicas de Medellín, mediante la cual se declara el incumplimiento del Contrato 090325402 y se afecta la póliza.</w:t>
      </w:r>
    </w:p>
    <w:p w:rsidR="006D1BFD" w:rsidRPr="00876461" w:rsidRDefault="006D1BFD" w:rsidP="006D1BFD">
      <w:pPr>
        <w:widowControl w:val="0"/>
        <w:spacing w:line="276" w:lineRule="auto"/>
        <w:contextualSpacing/>
        <w:rPr>
          <w:rFonts w:cs="Arial"/>
          <w:i/>
          <w:lang w:val="es-MX"/>
        </w:rPr>
      </w:pPr>
    </w:p>
    <w:p w:rsidR="006D1BFD" w:rsidRPr="00876461" w:rsidRDefault="006D1BFD" w:rsidP="006D1BFD">
      <w:pPr>
        <w:pStyle w:val="Prrafodelista"/>
        <w:widowControl w:val="0"/>
        <w:numPr>
          <w:ilvl w:val="0"/>
          <w:numId w:val="26"/>
        </w:numPr>
        <w:spacing w:line="276" w:lineRule="auto"/>
        <w:ind w:left="0" w:firstLine="0"/>
        <w:contextualSpacing/>
        <w:rPr>
          <w:rFonts w:cs="Arial"/>
          <w:i/>
          <w:lang w:val="es-MX"/>
        </w:rPr>
      </w:pPr>
      <w:r w:rsidRPr="00876461">
        <w:rPr>
          <w:rFonts w:cs="Arial"/>
          <w:i/>
          <w:lang w:val="es-MX"/>
        </w:rPr>
        <w:t>“Resolución 003179 de enero 29 de 2007, expedida por el Gerente General de las Empresas Públicas de Medellín, mediante la cual se confirma la Resolución 002950 de octubre 31 de 2006.</w:t>
      </w:r>
    </w:p>
    <w:p w:rsidR="006D1BFD" w:rsidRPr="00876461" w:rsidRDefault="006D1BFD" w:rsidP="006D1BFD">
      <w:pPr>
        <w:widowControl w:val="0"/>
        <w:spacing w:line="276" w:lineRule="auto"/>
        <w:contextualSpacing/>
        <w:rPr>
          <w:rFonts w:cs="Arial"/>
          <w:b/>
          <w:i/>
          <w:lang w:val="es-MX"/>
        </w:rPr>
      </w:pPr>
    </w:p>
    <w:p w:rsidR="006D1BFD" w:rsidRPr="00876461" w:rsidRDefault="006D1BFD" w:rsidP="006D1BFD">
      <w:pPr>
        <w:widowControl w:val="0"/>
        <w:spacing w:line="276" w:lineRule="auto"/>
        <w:contextualSpacing/>
        <w:rPr>
          <w:rFonts w:cs="Arial"/>
          <w:i/>
          <w:lang w:val="es-MX"/>
        </w:rPr>
      </w:pPr>
      <w:r w:rsidRPr="00876461">
        <w:rPr>
          <w:rFonts w:cs="Arial"/>
          <w:i/>
          <w:lang w:val="es-MX"/>
        </w:rPr>
        <w:t>“</w:t>
      </w:r>
      <w:r w:rsidRPr="00876461">
        <w:rPr>
          <w:rFonts w:cs="Arial"/>
          <w:b/>
          <w:i/>
          <w:lang w:val="es-MX"/>
        </w:rPr>
        <w:t>2.</w:t>
      </w:r>
      <w:r w:rsidRPr="00876461">
        <w:rPr>
          <w:rFonts w:cs="Arial"/>
          <w:i/>
          <w:lang w:val="es-MX"/>
        </w:rPr>
        <w:t xml:space="preserve"> Que se restablezca el derecho de la </w:t>
      </w:r>
      <w:r w:rsidRPr="00876461">
        <w:rPr>
          <w:rFonts w:cs="Arial"/>
          <w:b/>
          <w:i/>
          <w:lang w:val="es-MX"/>
        </w:rPr>
        <w:t>COMPAÑÍA AGRÍCOLA DE SEGUROS S.A.</w:t>
      </w:r>
      <w:r w:rsidRPr="00876461">
        <w:rPr>
          <w:rFonts w:cs="Arial"/>
          <w:i/>
          <w:lang w:val="es-MX"/>
        </w:rPr>
        <w:t xml:space="preserve"> en el sentido de que se declare que no está obligada a pagar a título de sanción o cláusula penal a las </w:t>
      </w:r>
      <w:r w:rsidRPr="00876461">
        <w:rPr>
          <w:rFonts w:cs="Arial"/>
          <w:b/>
          <w:i/>
          <w:lang w:val="es-MX"/>
        </w:rPr>
        <w:t>EMPRESAS PÚBLICAS DE MEDELLÍN E.S.P.</w:t>
      </w:r>
      <w:r w:rsidRPr="00876461">
        <w:rPr>
          <w:rFonts w:cs="Arial"/>
          <w:i/>
          <w:lang w:val="es-MX"/>
        </w:rPr>
        <w:t>, ninguna suma de dinero con cargo a la Póliza de Cumplimiento.</w:t>
      </w:r>
    </w:p>
    <w:p w:rsidR="006D1BFD" w:rsidRPr="00876461" w:rsidRDefault="006D1BFD" w:rsidP="006D1BFD">
      <w:pPr>
        <w:widowControl w:val="0"/>
        <w:spacing w:line="276" w:lineRule="auto"/>
        <w:contextualSpacing/>
        <w:rPr>
          <w:rFonts w:cs="Arial"/>
          <w:i/>
          <w:lang w:val="es-MX"/>
        </w:rPr>
      </w:pPr>
    </w:p>
    <w:p w:rsidR="006D1BFD" w:rsidRPr="00876461" w:rsidRDefault="006D1BFD" w:rsidP="006D1BFD">
      <w:pPr>
        <w:widowControl w:val="0"/>
        <w:spacing w:line="276" w:lineRule="auto"/>
        <w:contextualSpacing/>
        <w:rPr>
          <w:rFonts w:cs="Arial"/>
          <w:i/>
          <w:lang w:val="es-MX"/>
        </w:rPr>
      </w:pPr>
      <w:r w:rsidRPr="00876461">
        <w:rPr>
          <w:rFonts w:cs="Arial"/>
          <w:i/>
          <w:lang w:val="es-MX"/>
        </w:rPr>
        <w:t>“</w:t>
      </w:r>
      <w:r w:rsidRPr="00876461">
        <w:rPr>
          <w:rFonts w:cs="Arial"/>
          <w:b/>
          <w:i/>
          <w:lang w:val="es-MX"/>
        </w:rPr>
        <w:t>3.</w:t>
      </w:r>
      <w:r w:rsidRPr="00876461">
        <w:rPr>
          <w:rFonts w:cs="Arial"/>
          <w:i/>
          <w:lang w:val="es-MX"/>
        </w:rPr>
        <w:t xml:space="preserve"> Que en el evento de que, mientras se tramita el presente proceso, </w:t>
      </w:r>
      <w:r w:rsidRPr="00876461">
        <w:rPr>
          <w:rFonts w:cs="Arial"/>
          <w:b/>
          <w:i/>
          <w:lang w:val="es-MX"/>
        </w:rPr>
        <w:t>LA COMPAÑÍA AGRÍCOLA DE SEGUROS S.A</w:t>
      </w:r>
      <w:r w:rsidRPr="00876461">
        <w:rPr>
          <w:rFonts w:cs="Arial"/>
          <w:i/>
          <w:lang w:val="es-MX"/>
        </w:rPr>
        <w:t xml:space="preserve">. pague a </w:t>
      </w:r>
      <w:r w:rsidRPr="00876461">
        <w:rPr>
          <w:rFonts w:cs="Arial"/>
          <w:b/>
          <w:i/>
          <w:lang w:val="es-MX"/>
        </w:rPr>
        <w:t>EMPRESAS PÚBLICAS DE MEDELLÍN E.S.P.</w:t>
      </w:r>
      <w:r w:rsidRPr="00876461">
        <w:rPr>
          <w:rFonts w:cs="Arial"/>
          <w:i/>
          <w:lang w:val="es-MX"/>
        </w:rPr>
        <w:t xml:space="preserve">, alguna suma de dinero por concepto de multa o cláusula penal, se ordene a </w:t>
      </w:r>
      <w:r w:rsidRPr="00876461">
        <w:rPr>
          <w:rFonts w:cs="Arial"/>
          <w:b/>
          <w:i/>
          <w:lang w:val="es-MX"/>
        </w:rPr>
        <w:t>EMPRESAS PÚBLICAS DE MEDELLÍN E.S.P.</w:t>
      </w:r>
      <w:r w:rsidRPr="00876461">
        <w:rPr>
          <w:rFonts w:cs="Arial"/>
          <w:i/>
          <w:lang w:val="es-MX"/>
        </w:rPr>
        <w:t xml:space="preserve"> restituir a la </w:t>
      </w:r>
      <w:r w:rsidRPr="00876461">
        <w:rPr>
          <w:rFonts w:cs="Arial"/>
          <w:b/>
          <w:i/>
          <w:lang w:val="es-MX"/>
        </w:rPr>
        <w:t>COMPAÑÍA AGRÍCOLA DE SEGUROS S.A.,</w:t>
      </w:r>
      <w:r w:rsidRPr="00876461">
        <w:rPr>
          <w:rFonts w:cs="Arial"/>
          <w:i/>
          <w:lang w:val="es-MX"/>
        </w:rPr>
        <w:t xml:space="preserve"> la suma pagada; indexada a la fecha de la sentencia, y, adicionalmente, se ordene reconocerle y pagarle el lucro cesante que dicha suma haya debido producir.</w:t>
      </w:r>
    </w:p>
    <w:p w:rsidR="006D1BFD" w:rsidRPr="00876461" w:rsidRDefault="006D1BFD" w:rsidP="006D1BFD">
      <w:pPr>
        <w:widowControl w:val="0"/>
        <w:spacing w:line="276" w:lineRule="auto"/>
        <w:contextualSpacing/>
        <w:rPr>
          <w:rFonts w:cs="Arial"/>
          <w:i/>
          <w:lang w:val="es-MX"/>
        </w:rPr>
      </w:pPr>
    </w:p>
    <w:p w:rsidR="006D1BFD" w:rsidRPr="00876461" w:rsidRDefault="006D1BFD" w:rsidP="006D1BFD">
      <w:pPr>
        <w:widowControl w:val="0"/>
        <w:spacing w:line="276" w:lineRule="auto"/>
        <w:contextualSpacing/>
        <w:rPr>
          <w:rFonts w:cs="Arial"/>
          <w:i/>
          <w:lang w:val="es-MX"/>
        </w:rPr>
      </w:pPr>
      <w:r w:rsidRPr="00876461">
        <w:rPr>
          <w:rFonts w:cs="Arial"/>
          <w:i/>
          <w:lang w:val="es-MX"/>
        </w:rPr>
        <w:t>“</w:t>
      </w:r>
      <w:r w:rsidRPr="00876461">
        <w:rPr>
          <w:rFonts w:cs="Arial"/>
          <w:b/>
          <w:i/>
          <w:lang w:val="es-MX"/>
        </w:rPr>
        <w:t>4.</w:t>
      </w:r>
      <w:r w:rsidRPr="00876461">
        <w:rPr>
          <w:rFonts w:cs="Arial"/>
          <w:i/>
          <w:lang w:val="es-MX"/>
        </w:rPr>
        <w:t xml:space="preserve"> Que se dé cumplimiento a la sentencia respectiva, en los términos de los artículos 176, 177 y 178 del C.C.A.</w:t>
      </w:r>
    </w:p>
    <w:p w:rsidR="006D1BFD" w:rsidRPr="00876461" w:rsidRDefault="006D1BFD" w:rsidP="006D1BFD">
      <w:pPr>
        <w:widowControl w:val="0"/>
        <w:spacing w:line="276" w:lineRule="auto"/>
        <w:contextualSpacing/>
        <w:rPr>
          <w:rFonts w:cs="Arial"/>
          <w:i/>
          <w:lang w:val="es-MX"/>
        </w:rPr>
      </w:pPr>
    </w:p>
    <w:p w:rsidR="006D1BFD" w:rsidRPr="00876461" w:rsidRDefault="006D1BFD" w:rsidP="006D1BFD">
      <w:pPr>
        <w:widowControl w:val="0"/>
        <w:spacing w:line="276" w:lineRule="auto"/>
        <w:contextualSpacing/>
        <w:rPr>
          <w:rFonts w:cs="Arial"/>
          <w:i/>
          <w:lang w:val="es-MX"/>
        </w:rPr>
      </w:pPr>
      <w:r w:rsidRPr="00876461">
        <w:rPr>
          <w:rFonts w:cs="Arial"/>
          <w:i/>
          <w:lang w:val="es-MX"/>
        </w:rPr>
        <w:t>“</w:t>
      </w:r>
      <w:r w:rsidRPr="00876461">
        <w:rPr>
          <w:rFonts w:cs="Arial"/>
          <w:b/>
          <w:i/>
          <w:lang w:val="es-MX"/>
        </w:rPr>
        <w:t>5.</w:t>
      </w:r>
      <w:r w:rsidRPr="00876461">
        <w:rPr>
          <w:rFonts w:cs="Arial"/>
          <w:i/>
          <w:lang w:val="es-MX"/>
        </w:rPr>
        <w:t xml:space="preserve"> Que se condene en costas y agencias en derecho a </w:t>
      </w:r>
      <w:r w:rsidRPr="00876461">
        <w:rPr>
          <w:rFonts w:cs="Arial"/>
          <w:b/>
          <w:i/>
          <w:lang w:val="es-MX"/>
        </w:rPr>
        <w:t>EMPRESAS PÚBLICAS DE MEDELLÍN</w:t>
      </w:r>
      <w:r w:rsidRPr="00876461">
        <w:rPr>
          <w:rFonts w:cs="Arial"/>
          <w:i/>
          <w:lang w:val="es-MX"/>
        </w:rPr>
        <w:t>”</w:t>
      </w:r>
      <w:r w:rsidRPr="00876461">
        <w:rPr>
          <w:rStyle w:val="Refdenotaalpie"/>
          <w:rFonts w:cs="Arial"/>
          <w:i/>
          <w:lang w:val="es-MX"/>
        </w:rPr>
        <w:footnoteReference w:id="3"/>
      </w:r>
      <w:r w:rsidRPr="00876461">
        <w:rPr>
          <w:rFonts w:cs="Arial"/>
          <w:i/>
          <w:lang w:val="es-MX"/>
        </w:rPr>
        <w:t>.</w:t>
      </w:r>
    </w:p>
    <w:p w:rsidR="006D1BFD" w:rsidRPr="00876461" w:rsidRDefault="006D1BFD" w:rsidP="006D1BFD">
      <w:pPr>
        <w:widowControl w:val="0"/>
        <w:spacing w:line="276" w:lineRule="auto"/>
        <w:rPr>
          <w:rFonts w:cs="Arial"/>
          <w:b/>
          <w:bCs/>
          <w:iCs/>
        </w:rPr>
      </w:pPr>
    </w:p>
    <w:p w:rsidR="006D1BFD" w:rsidRPr="00876461" w:rsidRDefault="006D1BFD" w:rsidP="006D1BFD">
      <w:pPr>
        <w:widowControl w:val="0"/>
        <w:rPr>
          <w:rFonts w:cs="Arial"/>
          <w:b/>
          <w:bCs/>
        </w:rPr>
      </w:pPr>
      <w:r w:rsidRPr="00876461">
        <w:rPr>
          <w:rFonts w:cs="Arial"/>
          <w:b/>
          <w:bCs/>
          <w:iCs/>
        </w:rPr>
        <w:t>2. Los hechos</w:t>
      </w:r>
    </w:p>
    <w:p w:rsidR="006D1BFD" w:rsidRPr="00876461" w:rsidRDefault="006D1BFD" w:rsidP="006D1BFD">
      <w:pPr>
        <w:widowControl w:val="0"/>
        <w:autoSpaceDE w:val="0"/>
        <w:autoSpaceDN w:val="0"/>
        <w:adjustRightInd w:val="0"/>
        <w:rPr>
          <w:rFonts w:cs="Arial"/>
          <w:lang w:val="es-MX"/>
        </w:rPr>
      </w:pPr>
    </w:p>
    <w:p w:rsidR="006D1BFD" w:rsidRPr="00876461" w:rsidRDefault="006D1BFD" w:rsidP="006D1BFD">
      <w:pPr>
        <w:widowControl w:val="0"/>
        <w:autoSpaceDE w:val="0"/>
        <w:autoSpaceDN w:val="0"/>
        <w:adjustRightInd w:val="0"/>
        <w:rPr>
          <w:rFonts w:cs="Arial"/>
          <w:b/>
          <w:lang w:val="es-MX"/>
        </w:rPr>
      </w:pPr>
      <w:r w:rsidRPr="00876461">
        <w:rPr>
          <w:rFonts w:cs="Arial"/>
          <w:b/>
          <w:lang w:val="es-MX"/>
        </w:rPr>
        <w:t>Síntesis del caso</w:t>
      </w:r>
    </w:p>
    <w:p w:rsidR="006D1BFD" w:rsidRPr="00876461" w:rsidRDefault="006D1BFD" w:rsidP="006D1BFD">
      <w:pPr>
        <w:widowControl w:val="0"/>
        <w:autoSpaceDE w:val="0"/>
        <w:autoSpaceDN w:val="0"/>
        <w:adjustRightInd w:val="0"/>
        <w:rPr>
          <w:rFonts w:cs="Arial"/>
          <w:b/>
          <w:lang w:val="es-MX"/>
        </w:rPr>
      </w:pPr>
    </w:p>
    <w:p w:rsidR="006D1BFD" w:rsidRPr="00876461" w:rsidRDefault="006D1BFD" w:rsidP="006D1BFD">
      <w:pPr>
        <w:widowControl w:val="0"/>
        <w:autoSpaceDE w:val="0"/>
        <w:autoSpaceDN w:val="0"/>
        <w:adjustRightInd w:val="0"/>
        <w:rPr>
          <w:rFonts w:cs="Arial"/>
          <w:lang w:val="es-MX"/>
        </w:rPr>
      </w:pPr>
      <w:r w:rsidRPr="00876461">
        <w:rPr>
          <w:rFonts w:cs="Arial"/>
          <w:lang w:val="es-MX"/>
        </w:rPr>
        <w:t xml:space="preserve">EPM, empresa de servicios públicos domiciliarios, celebró el contrato </w:t>
      </w:r>
      <w:r w:rsidRPr="00876461">
        <w:rPr>
          <w:rFonts w:cs="Arial"/>
        </w:rPr>
        <w:t>090325402</w:t>
      </w:r>
      <w:r w:rsidRPr="00876461">
        <w:rPr>
          <w:rFonts w:cs="Arial"/>
          <w:lang w:val="es-MX"/>
        </w:rPr>
        <w:t xml:space="preserve"> </w:t>
      </w:r>
      <w:r w:rsidRPr="00876461">
        <w:rPr>
          <w:rFonts w:cs="Arial"/>
          <w:lang w:val="es-MX"/>
        </w:rPr>
        <w:lastRenderedPageBreak/>
        <w:t>de 2 de febrero de 2006 con AYCO LTDA, el cual tuvo por objeto el suministro de tubería de cobre. Por su parte, la Compañía Agrícola de Seguros S.A. otorgó la póliza de cumplimiento correspondiente al mencionado contrato. Ante el incumplimiento parcial de AYCO LTDA, EPM impuso una multa y, luego, mediante Resolución de 31 de octubre de 2006, confirmada el 29 de enero de 2007, declaró la configuración del riesgo por incumplimiento y dispuso hacer efectiva la garantía por el valor de la multa y de la cláusula penal pactada.</w:t>
      </w:r>
    </w:p>
    <w:p w:rsidR="006D1BFD" w:rsidRPr="00876461" w:rsidRDefault="006D1BFD" w:rsidP="006D1BFD">
      <w:pPr>
        <w:widowControl w:val="0"/>
        <w:autoSpaceDE w:val="0"/>
        <w:autoSpaceDN w:val="0"/>
        <w:adjustRightInd w:val="0"/>
        <w:rPr>
          <w:rFonts w:cs="Arial"/>
          <w:lang w:val="es-MX"/>
        </w:rPr>
      </w:pPr>
    </w:p>
    <w:p w:rsidR="006D1BFD" w:rsidRPr="00876461" w:rsidRDefault="006D1BFD" w:rsidP="006D1BFD">
      <w:pPr>
        <w:widowControl w:val="0"/>
        <w:autoSpaceDE w:val="0"/>
        <w:autoSpaceDN w:val="0"/>
        <w:adjustRightInd w:val="0"/>
        <w:rPr>
          <w:rFonts w:cs="Arial"/>
          <w:lang w:val="es-MX"/>
        </w:rPr>
      </w:pPr>
      <w:r w:rsidRPr="00876461">
        <w:rPr>
          <w:rFonts w:cs="Arial"/>
          <w:lang w:val="es-MX"/>
        </w:rPr>
        <w:t>EPM presentó la reclamación a la aseguradora, la compañía de seguros objetó dicha  reclamación y presentó la demanda que originó el presente proceso, fundándose en que el contrato se rigió por el derecho privado y, por ello, EPM no tenía competencia para expedir el acto administrativo demandado.</w:t>
      </w:r>
    </w:p>
    <w:p w:rsidR="006D1BFD" w:rsidRPr="00876461" w:rsidRDefault="006D1BFD" w:rsidP="006D1BFD">
      <w:pPr>
        <w:widowControl w:val="0"/>
        <w:autoSpaceDE w:val="0"/>
        <w:autoSpaceDN w:val="0"/>
        <w:adjustRightInd w:val="0"/>
        <w:rPr>
          <w:rFonts w:cs="Arial"/>
          <w:lang w:val="es-CO"/>
        </w:rPr>
      </w:pPr>
    </w:p>
    <w:p w:rsidR="006D1BFD" w:rsidRPr="00876461" w:rsidRDefault="006D1BFD" w:rsidP="006D1BFD">
      <w:pPr>
        <w:widowControl w:val="0"/>
        <w:autoSpaceDE w:val="0"/>
        <w:autoSpaceDN w:val="0"/>
        <w:adjustRightInd w:val="0"/>
        <w:rPr>
          <w:rFonts w:cs="Arial"/>
        </w:rPr>
      </w:pPr>
      <w:r w:rsidRPr="00876461">
        <w:rPr>
          <w:rFonts w:cs="Arial"/>
          <w:lang w:val="es-CO"/>
        </w:rPr>
        <w:lastRenderedPageBreak/>
        <w:t>E</w:t>
      </w:r>
      <w:r w:rsidRPr="00876461">
        <w:rPr>
          <w:rFonts w:cs="Arial"/>
        </w:rPr>
        <w:t>n el escrito de demanda, la parte actora detalló los siguientes hechos:</w:t>
      </w:r>
    </w:p>
    <w:p w:rsidR="006D1BFD" w:rsidRPr="00876461" w:rsidRDefault="006D1BFD" w:rsidP="006D1BFD">
      <w:pPr>
        <w:widowControl w:val="0"/>
        <w:autoSpaceDE w:val="0"/>
        <w:autoSpaceDN w:val="0"/>
        <w:adjustRightInd w:val="0"/>
        <w:rPr>
          <w:rFonts w:cs="Arial"/>
          <w:b/>
        </w:rPr>
      </w:pPr>
    </w:p>
    <w:p w:rsidR="006D1BFD" w:rsidRPr="00876461" w:rsidRDefault="006D1BFD" w:rsidP="006D1BFD">
      <w:pPr>
        <w:widowControl w:val="0"/>
        <w:autoSpaceDE w:val="0"/>
        <w:autoSpaceDN w:val="0"/>
        <w:adjustRightInd w:val="0"/>
        <w:rPr>
          <w:rFonts w:cs="Arial"/>
        </w:rPr>
      </w:pPr>
      <w:r w:rsidRPr="00876461">
        <w:rPr>
          <w:rFonts w:cs="Arial"/>
          <w:b/>
        </w:rPr>
        <w:t>2.1.</w:t>
      </w:r>
      <w:r w:rsidRPr="00876461">
        <w:rPr>
          <w:rFonts w:cs="Arial"/>
        </w:rPr>
        <w:t xml:space="preserve"> La Compañía Agrícola de Seguros S.A., teniendo en cuenta que el contrato era de derecho privado, expidió inicialmente la póliza de cumplimiento a favor de particulares, distinguida con el número 6000000381801, con amparo de cumplimiento por valor de $354’934.276. En las condiciones del clausulado anexo a ese tipo de pólizas se excluyeron los amparos para el pago de sanciones pecuniarias y cláusula penal, así como los eventos de fuerza mayor y caso fortuito.</w:t>
      </w:r>
    </w:p>
    <w:p w:rsidR="006D1BFD" w:rsidRPr="00876461" w:rsidRDefault="006D1BFD" w:rsidP="006D1BFD">
      <w:pPr>
        <w:widowControl w:val="0"/>
        <w:autoSpaceDE w:val="0"/>
        <w:autoSpaceDN w:val="0"/>
        <w:adjustRightInd w:val="0"/>
        <w:rPr>
          <w:rFonts w:cs="Arial"/>
        </w:rPr>
      </w:pPr>
    </w:p>
    <w:p w:rsidR="006D1BFD" w:rsidRPr="00876461" w:rsidRDefault="006D1BFD" w:rsidP="006D1BFD">
      <w:pPr>
        <w:widowControl w:val="0"/>
        <w:autoSpaceDE w:val="0"/>
        <w:autoSpaceDN w:val="0"/>
        <w:adjustRightInd w:val="0"/>
        <w:rPr>
          <w:rFonts w:cs="Arial"/>
        </w:rPr>
      </w:pPr>
      <w:r w:rsidRPr="00876461">
        <w:rPr>
          <w:rFonts w:cs="Arial"/>
          <w:b/>
        </w:rPr>
        <w:t>2.2.</w:t>
      </w:r>
      <w:r w:rsidRPr="00876461">
        <w:rPr>
          <w:rFonts w:cs="Arial"/>
        </w:rPr>
        <w:t xml:space="preserve"> En la comunicación de mayo 5 de 2006, AYCO LTDA informó a EPM la imposibilidad de atender los pedidos tres y cuatro, debido a variaciones inesperadas y desproporcionadas del precio del cobre. AYCO LTDA logró entregar 1.200 metros de tubería de cobre, cumpliendo en forma parcial el tercer pedido.</w:t>
      </w:r>
    </w:p>
    <w:p w:rsidR="006D1BFD" w:rsidRPr="00876461" w:rsidRDefault="006D1BFD" w:rsidP="006D1BFD">
      <w:pPr>
        <w:widowControl w:val="0"/>
        <w:autoSpaceDE w:val="0"/>
        <w:autoSpaceDN w:val="0"/>
        <w:adjustRightInd w:val="0"/>
        <w:rPr>
          <w:rFonts w:cs="Arial"/>
        </w:rPr>
      </w:pPr>
    </w:p>
    <w:p w:rsidR="006D1BFD" w:rsidRPr="00876461" w:rsidRDefault="006D1BFD" w:rsidP="006D1BFD">
      <w:pPr>
        <w:widowControl w:val="0"/>
        <w:autoSpaceDE w:val="0"/>
        <w:autoSpaceDN w:val="0"/>
        <w:adjustRightInd w:val="0"/>
        <w:rPr>
          <w:rFonts w:cs="Arial"/>
        </w:rPr>
      </w:pPr>
      <w:r w:rsidRPr="00876461">
        <w:rPr>
          <w:rFonts w:cs="Arial"/>
          <w:b/>
        </w:rPr>
        <w:t>2.3.</w:t>
      </w:r>
      <w:r w:rsidRPr="00876461">
        <w:rPr>
          <w:rFonts w:cs="Arial"/>
        </w:rPr>
        <w:t xml:space="preserve"> El 28 de junio de 2006, AYCO LTDA ratificó la imposibilidad de continuar con el suministro y solicitó la revisión de precios del contrato.</w:t>
      </w:r>
    </w:p>
    <w:p w:rsidR="006D1BFD" w:rsidRPr="00876461" w:rsidRDefault="006D1BFD" w:rsidP="006D1BFD">
      <w:pPr>
        <w:widowControl w:val="0"/>
        <w:autoSpaceDE w:val="0"/>
        <w:autoSpaceDN w:val="0"/>
        <w:adjustRightInd w:val="0"/>
        <w:rPr>
          <w:rFonts w:cs="Arial"/>
        </w:rPr>
      </w:pPr>
    </w:p>
    <w:p w:rsidR="006D1BFD" w:rsidRPr="00876461" w:rsidRDefault="006D1BFD" w:rsidP="006D1BFD">
      <w:pPr>
        <w:widowControl w:val="0"/>
        <w:autoSpaceDE w:val="0"/>
        <w:autoSpaceDN w:val="0"/>
        <w:adjustRightInd w:val="0"/>
        <w:rPr>
          <w:rFonts w:cs="Arial"/>
        </w:rPr>
      </w:pPr>
      <w:r w:rsidRPr="00876461">
        <w:rPr>
          <w:rFonts w:cs="Arial"/>
          <w:b/>
        </w:rPr>
        <w:t>2.4</w:t>
      </w:r>
      <w:r w:rsidRPr="00876461">
        <w:rPr>
          <w:rFonts w:cs="Arial"/>
        </w:rPr>
        <w:t>. Mediante comunicación de 4 de agosto de 2006, dirigida a AYCO LTDA, EPM le impuso una multa de $177’467.138,12, sin considerar –según la apreciación de la demandante- que el incumplimiento no era imputable a dicha contratista. De acuerdo con lo que estimó la compañía aseguradora, EPM se convirtió en el juez del contrato, usurpando una función jurisdiccional.</w:t>
      </w:r>
    </w:p>
    <w:p w:rsidR="006D1BFD" w:rsidRPr="00876461" w:rsidRDefault="006D1BFD" w:rsidP="006D1BFD">
      <w:pPr>
        <w:widowControl w:val="0"/>
        <w:autoSpaceDE w:val="0"/>
        <w:autoSpaceDN w:val="0"/>
        <w:adjustRightInd w:val="0"/>
        <w:rPr>
          <w:rFonts w:cs="Arial"/>
        </w:rPr>
      </w:pPr>
    </w:p>
    <w:p w:rsidR="006D1BFD" w:rsidRPr="00876461" w:rsidRDefault="006D1BFD" w:rsidP="006D1BFD">
      <w:pPr>
        <w:widowControl w:val="0"/>
        <w:autoSpaceDE w:val="0"/>
        <w:autoSpaceDN w:val="0"/>
        <w:adjustRightInd w:val="0"/>
        <w:rPr>
          <w:rFonts w:cs="Arial"/>
        </w:rPr>
      </w:pPr>
      <w:r w:rsidRPr="00876461">
        <w:rPr>
          <w:rFonts w:cs="Arial"/>
          <w:b/>
        </w:rPr>
        <w:t>2.5.</w:t>
      </w:r>
      <w:r w:rsidRPr="00876461">
        <w:rPr>
          <w:rFonts w:cs="Arial"/>
        </w:rPr>
        <w:t xml:space="preserve"> Mediante Resolución 002950 de 31 de octubre de 2006, EPM declaró la configuración del riesgo por incumplimiento y dispuso hacer efectiva la garantía de cumplimiento por la suma de $354’934.276, que correspondía al valor de la multa más el monto de la cláusula penal. </w:t>
      </w:r>
    </w:p>
    <w:p w:rsidR="006D1BFD" w:rsidRPr="00876461" w:rsidRDefault="006D1BFD" w:rsidP="006D1BFD">
      <w:pPr>
        <w:widowControl w:val="0"/>
        <w:autoSpaceDE w:val="0"/>
        <w:autoSpaceDN w:val="0"/>
        <w:adjustRightInd w:val="0"/>
        <w:rPr>
          <w:rFonts w:cs="Arial"/>
        </w:rPr>
      </w:pPr>
      <w:r w:rsidRPr="00876461">
        <w:rPr>
          <w:rFonts w:cs="Arial"/>
          <w:b/>
        </w:rPr>
        <w:t>2.6.</w:t>
      </w:r>
      <w:r w:rsidRPr="00876461">
        <w:rPr>
          <w:rFonts w:cs="Arial"/>
        </w:rPr>
        <w:t xml:space="preserve"> Mediante Resolución 003174 de 29 de enero de 2007, EPM resolvió el recurso de reposición que interpuso AYCO LTDA y confirmó la Resolución 002950 de 2006. </w:t>
      </w:r>
    </w:p>
    <w:p w:rsidR="006D1BFD" w:rsidRPr="00876461" w:rsidRDefault="006D1BFD" w:rsidP="006D1BFD">
      <w:pPr>
        <w:widowControl w:val="0"/>
        <w:autoSpaceDE w:val="0"/>
        <w:autoSpaceDN w:val="0"/>
        <w:adjustRightInd w:val="0"/>
        <w:rPr>
          <w:rFonts w:cs="Arial"/>
          <w:b/>
        </w:rPr>
      </w:pPr>
    </w:p>
    <w:p w:rsidR="006D1BFD" w:rsidRPr="00876461" w:rsidRDefault="006D1BFD" w:rsidP="006D1BFD">
      <w:pPr>
        <w:widowControl w:val="0"/>
        <w:autoSpaceDE w:val="0"/>
        <w:autoSpaceDN w:val="0"/>
        <w:adjustRightInd w:val="0"/>
        <w:rPr>
          <w:rFonts w:cs="Arial"/>
        </w:rPr>
      </w:pPr>
      <w:r w:rsidRPr="00876461">
        <w:rPr>
          <w:rFonts w:cs="Arial"/>
          <w:b/>
        </w:rPr>
        <w:t>2.7.</w:t>
      </w:r>
      <w:r w:rsidRPr="00876461">
        <w:rPr>
          <w:rFonts w:cs="Arial"/>
        </w:rPr>
        <w:t xml:space="preserve"> La demandante hizo notar que la multa no fue impuesta por acto administrativo, sino por un oficio suscrito por el jefe de la unidad de compras de EPM.</w:t>
      </w:r>
    </w:p>
    <w:p w:rsidR="006D1BFD" w:rsidRPr="00876461" w:rsidRDefault="006D1BFD" w:rsidP="006D1BFD">
      <w:pPr>
        <w:widowControl w:val="0"/>
        <w:autoSpaceDE w:val="0"/>
        <w:autoSpaceDN w:val="0"/>
        <w:adjustRightInd w:val="0"/>
        <w:rPr>
          <w:rFonts w:cs="Arial"/>
          <w:b/>
        </w:rPr>
      </w:pPr>
    </w:p>
    <w:p w:rsidR="006D1BFD" w:rsidRPr="00876461" w:rsidRDefault="006D1BFD" w:rsidP="006D1BFD">
      <w:pPr>
        <w:widowControl w:val="0"/>
        <w:autoSpaceDE w:val="0"/>
        <w:autoSpaceDN w:val="0"/>
        <w:adjustRightInd w:val="0"/>
        <w:rPr>
          <w:rFonts w:cs="Arial"/>
        </w:rPr>
      </w:pPr>
      <w:r w:rsidRPr="00876461">
        <w:rPr>
          <w:rFonts w:cs="Arial"/>
          <w:b/>
        </w:rPr>
        <w:t>2.8.</w:t>
      </w:r>
      <w:r w:rsidRPr="00876461">
        <w:rPr>
          <w:rFonts w:cs="Arial"/>
        </w:rPr>
        <w:t xml:space="preserve"> El 3 de mayo de 2007, EPM presentó reclamación ante la compañía de seguros para el pago correspondiente a la póliza. </w:t>
      </w:r>
    </w:p>
    <w:p w:rsidR="006D1BFD" w:rsidRPr="00876461" w:rsidRDefault="006D1BFD" w:rsidP="006D1BFD">
      <w:pPr>
        <w:widowControl w:val="0"/>
        <w:autoSpaceDE w:val="0"/>
        <w:autoSpaceDN w:val="0"/>
        <w:adjustRightInd w:val="0"/>
        <w:rPr>
          <w:rFonts w:cs="Arial"/>
        </w:rPr>
      </w:pPr>
    </w:p>
    <w:p w:rsidR="006D1BFD" w:rsidRPr="00876461" w:rsidRDefault="006D1BFD" w:rsidP="006D1BFD">
      <w:pPr>
        <w:widowControl w:val="0"/>
        <w:autoSpaceDE w:val="0"/>
        <w:autoSpaceDN w:val="0"/>
        <w:adjustRightInd w:val="0"/>
        <w:rPr>
          <w:rFonts w:cs="Arial"/>
        </w:rPr>
      </w:pPr>
      <w:r w:rsidRPr="00876461">
        <w:rPr>
          <w:rFonts w:cs="Arial"/>
          <w:b/>
        </w:rPr>
        <w:t>2.9.</w:t>
      </w:r>
      <w:r w:rsidRPr="00876461">
        <w:rPr>
          <w:rFonts w:cs="Arial"/>
        </w:rPr>
        <w:t xml:space="preserve"> La Compañía Agrícola de Seguros S.A. objetó la reclamación presentada por EPM, mediante comunicación de 29 de mayo de 2007.</w:t>
      </w:r>
    </w:p>
    <w:p w:rsidR="006D1BFD" w:rsidRPr="00876461" w:rsidRDefault="006D1BFD" w:rsidP="006D1BFD">
      <w:pPr>
        <w:widowControl w:val="0"/>
        <w:autoSpaceDE w:val="0"/>
        <w:autoSpaceDN w:val="0"/>
        <w:adjustRightInd w:val="0"/>
        <w:rPr>
          <w:rFonts w:cs="Arial"/>
        </w:rPr>
      </w:pPr>
    </w:p>
    <w:p w:rsidR="006D1BFD" w:rsidRPr="00876461" w:rsidRDefault="006D1BFD" w:rsidP="006D1BFD">
      <w:pPr>
        <w:widowControl w:val="0"/>
        <w:autoSpaceDE w:val="0"/>
        <w:autoSpaceDN w:val="0"/>
        <w:adjustRightInd w:val="0"/>
        <w:rPr>
          <w:rFonts w:cs="Arial"/>
        </w:rPr>
      </w:pPr>
      <w:r w:rsidRPr="00876461">
        <w:rPr>
          <w:rFonts w:cs="Arial"/>
          <w:b/>
        </w:rPr>
        <w:t>2.10.</w:t>
      </w:r>
      <w:r w:rsidRPr="00876461">
        <w:rPr>
          <w:rFonts w:cs="Arial"/>
        </w:rPr>
        <w:t xml:space="preserve"> De acuerdo con lo que concluyó la demandante, EPM no podía declarar la afectación de la póliza de seguro mediante acto administrativo, toda vez que se trataba de un contrato regido por el derecho privado. </w:t>
      </w:r>
    </w:p>
    <w:p w:rsidR="006D1BFD" w:rsidRPr="00876461" w:rsidRDefault="006D1BFD" w:rsidP="006D1BFD">
      <w:pPr>
        <w:widowControl w:val="0"/>
        <w:autoSpaceDE w:val="0"/>
        <w:autoSpaceDN w:val="0"/>
        <w:adjustRightInd w:val="0"/>
        <w:rPr>
          <w:rFonts w:cs="Arial"/>
        </w:rPr>
      </w:pPr>
    </w:p>
    <w:p w:rsidR="006D1BFD" w:rsidRPr="00876461" w:rsidRDefault="006D1BFD" w:rsidP="006D1BFD">
      <w:pPr>
        <w:widowControl w:val="0"/>
        <w:contextualSpacing/>
        <w:rPr>
          <w:rFonts w:cs="Arial"/>
          <w:b/>
          <w:lang w:val="es-MX"/>
        </w:rPr>
      </w:pPr>
      <w:r w:rsidRPr="00876461">
        <w:rPr>
          <w:rFonts w:cs="Arial"/>
          <w:b/>
          <w:lang w:val="es-MX"/>
        </w:rPr>
        <w:t>3. Concepto de violación</w:t>
      </w:r>
    </w:p>
    <w:p w:rsidR="006D1BFD" w:rsidRPr="00876461" w:rsidRDefault="006D1BFD" w:rsidP="006D1BFD">
      <w:pPr>
        <w:widowControl w:val="0"/>
        <w:contextualSpacing/>
        <w:rPr>
          <w:rFonts w:cs="Arial"/>
          <w:b/>
          <w:lang w:val="es-MX"/>
        </w:rPr>
      </w:pPr>
    </w:p>
    <w:p w:rsidR="006D1BFD" w:rsidRPr="00876461" w:rsidRDefault="006D1BFD" w:rsidP="006D1BFD">
      <w:pPr>
        <w:widowControl w:val="0"/>
        <w:contextualSpacing/>
        <w:rPr>
          <w:rFonts w:cs="Arial"/>
          <w:lang w:val="es-MX"/>
        </w:rPr>
      </w:pPr>
      <w:r w:rsidRPr="00876461">
        <w:rPr>
          <w:rFonts w:cs="Arial"/>
          <w:lang w:val="es-MX"/>
        </w:rPr>
        <w:t xml:space="preserve">La demandante invocó la violación de los artículos 1, 2, 29, 83, 121 y 123 de la Constitución Nacional; 3, 35, 36 y 56 del Código Contencioso Administrativo; 868, 968 y siguientes del Código de Comercio y la Ley 142 de 1994, esta última, en tanto que el contrato se rigió por el derecho privado y, por ello, afirmó que no se podían expedir los actos administrativos que declararan el riesgo por incumplimiento y la afectación de la póliza correspondiente. </w:t>
      </w:r>
    </w:p>
    <w:p w:rsidR="006D1BFD" w:rsidRPr="00876461" w:rsidRDefault="006D1BFD" w:rsidP="006D1BFD">
      <w:pPr>
        <w:widowControl w:val="0"/>
        <w:contextualSpacing/>
        <w:rPr>
          <w:rFonts w:cs="Arial"/>
          <w:b/>
          <w:bCs/>
          <w:iCs/>
        </w:rPr>
      </w:pPr>
    </w:p>
    <w:p w:rsidR="006D1BFD" w:rsidRPr="00876461" w:rsidRDefault="006D1BFD" w:rsidP="006D1BFD">
      <w:pPr>
        <w:widowControl w:val="0"/>
        <w:contextualSpacing/>
        <w:rPr>
          <w:rFonts w:cs="Arial"/>
          <w:b/>
          <w:bCs/>
          <w:iCs/>
        </w:rPr>
      </w:pPr>
      <w:r w:rsidRPr="00876461">
        <w:rPr>
          <w:rFonts w:cs="Arial"/>
          <w:b/>
          <w:bCs/>
          <w:iCs/>
        </w:rPr>
        <w:t>4. Actuación procesal</w:t>
      </w:r>
    </w:p>
    <w:p w:rsidR="006D1BFD" w:rsidRPr="00876461" w:rsidRDefault="006D1BFD" w:rsidP="006D1BFD">
      <w:pPr>
        <w:widowControl w:val="0"/>
        <w:rPr>
          <w:rFonts w:cs="Arial"/>
          <w:b/>
          <w:bCs/>
          <w:iCs/>
        </w:rPr>
      </w:pPr>
    </w:p>
    <w:p w:rsidR="006D1BFD" w:rsidRPr="00FF784B" w:rsidRDefault="006D1BFD" w:rsidP="006D1BFD">
      <w:pPr>
        <w:widowControl w:val="0"/>
        <w:rPr>
          <w:rFonts w:cs="Arial"/>
          <w:bCs/>
          <w:iCs/>
        </w:rPr>
      </w:pPr>
      <w:r w:rsidRPr="00876461">
        <w:rPr>
          <w:rFonts w:cs="Arial"/>
          <w:b/>
          <w:bCs/>
          <w:iCs/>
        </w:rPr>
        <w:t xml:space="preserve">4.1. </w:t>
      </w:r>
      <w:r w:rsidRPr="00876461">
        <w:rPr>
          <w:rFonts w:cs="Arial"/>
          <w:bCs/>
          <w:iCs/>
        </w:rPr>
        <w:t>El Tribunal Administrativo de Antioquia admitió la demanda mediante auto de 12 de septiembre de 2007</w:t>
      </w:r>
      <w:r w:rsidRPr="00876461">
        <w:rPr>
          <w:rStyle w:val="Refdenotaalpie"/>
          <w:rFonts w:cs="Arial"/>
          <w:bCs/>
          <w:iCs/>
        </w:rPr>
        <w:footnoteReference w:id="4"/>
      </w:r>
      <w:r w:rsidRPr="00876461">
        <w:rPr>
          <w:rFonts w:cs="Arial"/>
          <w:bCs/>
          <w:iCs/>
        </w:rPr>
        <w:t>.</w:t>
      </w:r>
    </w:p>
    <w:p w:rsidR="006D1BFD" w:rsidRPr="00876461" w:rsidRDefault="006D1BFD" w:rsidP="006D1BFD">
      <w:pPr>
        <w:widowControl w:val="0"/>
        <w:rPr>
          <w:rFonts w:cs="Arial"/>
          <w:b/>
          <w:bCs/>
          <w:iCs/>
        </w:rPr>
      </w:pPr>
    </w:p>
    <w:p w:rsidR="006D1BFD" w:rsidRPr="00876461" w:rsidRDefault="006D1BFD" w:rsidP="006D1BFD">
      <w:pPr>
        <w:widowControl w:val="0"/>
        <w:rPr>
          <w:rFonts w:cs="Arial"/>
          <w:bCs/>
          <w:iCs/>
        </w:rPr>
      </w:pPr>
      <w:r w:rsidRPr="00876461">
        <w:rPr>
          <w:rFonts w:cs="Arial"/>
          <w:b/>
          <w:bCs/>
          <w:iCs/>
        </w:rPr>
        <w:t xml:space="preserve">4.2. </w:t>
      </w:r>
      <w:r w:rsidRPr="00876461">
        <w:rPr>
          <w:rFonts w:cs="Arial"/>
          <w:bCs/>
          <w:iCs/>
        </w:rPr>
        <w:t>Una vez recibida la contestación a la demanda, a través de auto de 2 de febrero de 2008 se decretó la práctica de pruebas</w:t>
      </w:r>
      <w:r w:rsidRPr="00876461">
        <w:rPr>
          <w:rStyle w:val="Refdenotaalpie"/>
          <w:rFonts w:cs="Arial"/>
          <w:bCs/>
          <w:iCs/>
        </w:rPr>
        <w:footnoteReference w:id="5"/>
      </w:r>
      <w:r w:rsidRPr="00876461">
        <w:rPr>
          <w:rFonts w:cs="Arial"/>
          <w:bCs/>
          <w:iCs/>
        </w:rPr>
        <w:t>.</w:t>
      </w:r>
    </w:p>
    <w:p w:rsidR="006D1BFD" w:rsidRPr="00876461" w:rsidRDefault="006D1BFD" w:rsidP="006D1BFD">
      <w:pPr>
        <w:widowControl w:val="0"/>
        <w:rPr>
          <w:rFonts w:cs="Arial"/>
          <w:b/>
          <w:bCs/>
          <w:iCs/>
        </w:rPr>
      </w:pPr>
    </w:p>
    <w:p w:rsidR="006D1BFD" w:rsidRPr="00876461" w:rsidRDefault="006D1BFD" w:rsidP="006D1BFD">
      <w:pPr>
        <w:widowControl w:val="0"/>
        <w:rPr>
          <w:rFonts w:cs="Arial"/>
          <w:bCs/>
          <w:iCs/>
        </w:rPr>
      </w:pPr>
      <w:r w:rsidRPr="00876461">
        <w:rPr>
          <w:rFonts w:cs="Arial"/>
          <w:b/>
          <w:bCs/>
          <w:iCs/>
        </w:rPr>
        <w:t>4.3.</w:t>
      </w:r>
      <w:r w:rsidRPr="00876461">
        <w:rPr>
          <w:rFonts w:cs="Arial"/>
          <w:bCs/>
          <w:iCs/>
        </w:rPr>
        <w:t xml:space="preserve"> El 6 de febrero de 2008 se practicó la diligencia de exhibición de documentos en el Tribunal Administrativo de Antioquia, proceso 05-001-23-31-000-2007-02467-00, iniciado por ALYCO LTDA contra Empresas Públicas de Medellín</w:t>
      </w:r>
      <w:r w:rsidRPr="00876461">
        <w:rPr>
          <w:rStyle w:val="Refdenotaalpie"/>
          <w:rFonts w:cs="Arial"/>
          <w:bCs/>
          <w:iCs/>
        </w:rPr>
        <w:footnoteReference w:id="6"/>
      </w:r>
      <w:r w:rsidRPr="00876461">
        <w:rPr>
          <w:rFonts w:cs="Arial"/>
          <w:bCs/>
          <w:iCs/>
        </w:rPr>
        <w:t xml:space="preserve">. </w:t>
      </w:r>
    </w:p>
    <w:p w:rsidR="006D1BFD" w:rsidRPr="00876461" w:rsidRDefault="006D1BFD" w:rsidP="006D1BFD">
      <w:pPr>
        <w:widowControl w:val="0"/>
        <w:rPr>
          <w:rFonts w:cs="Arial"/>
          <w:bCs/>
          <w:iCs/>
        </w:rPr>
      </w:pPr>
    </w:p>
    <w:p w:rsidR="006D1BFD" w:rsidRPr="00876461" w:rsidRDefault="006D1BFD" w:rsidP="006D1BFD">
      <w:pPr>
        <w:widowControl w:val="0"/>
        <w:rPr>
          <w:rFonts w:cs="Arial"/>
          <w:bCs/>
          <w:iCs/>
        </w:rPr>
      </w:pPr>
      <w:r w:rsidRPr="00876461">
        <w:rPr>
          <w:rFonts w:cs="Arial"/>
          <w:b/>
          <w:bCs/>
          <w:iCs/>
        </w:rPr>
        <w:t>4.4.</w:t>
      </w:r>
      <w:r w:rsidRPr="00876461">
        <w:rPr>
          <w:rFonts w:cs="Arial"/>
          <w:bCs/>
          <w:iCs/>
        </w:rPr>
        <w:t xml:space="preserve"> El 1º de abril de 2008, el despacho conductor del proceso practicó la prueba testimonial.</w:t>
      </w:r>
    </w:p>
    <w:p w:rsidR="006D1BFD" w:rsidRPr="00876461" w:rsidRDefault="006D1BFD" w:rsidP="006D1BFD">
      <w:pPr>
        <w:widowControl w:val="0"/>
        <w:rPr>
          <w:rFonts w:cs="Arial"/>
          <w:bCs/>
          <w:iCs/>
        </w:rPr>
      </w:pPr>
    </w:p>
    <w:p w:rsidR="006D1BFD" w:rsidRPr="00876461" w:rsidRDefault="006D1BFD" w:rsidP="006D1BFD">
      <w:pPr>
        <w:widowControl w:val="0"/>
        <w:rPr>
          <w:rFonts w:cs="Arial"/>
          <w:b/>
          <w:bCs/>
          <w:iCs/>
        </w:rPr>
      </w:pPr>
      <w:r w:rsidRPr="00876461">
        <w:rPr>
          <w:rFonts w:cs="Arial"/>
          <w:b/>
          <w:bCs/>
          <w:iCs/>
        </w:rPr>
        <w:t>4.5. Contestación de la demanda</w:t>
      </w:r>
    </w:p>
    <w:p w:rsidR="006D1BFD" w:rsidRPr="00876461" w:rsidRDefault="006D1BFD" w:rsidP="006D1BFD">
      <w:pPr>
        <w:widowControl w:val="0"/>
        <w:rPr>
          <w:rFonts w:cs="Arial"/>
          <w:b/>
          <w:bCs/>
        </w:rPr>
      </w:pPr>
    </w:p>
    <w:p w:rsidR="006D1BFD" w:rsidRPr="00876461" w:rsidRDefault="006D1BFD" w:rsidP="006D1BFD">
      <w:pPr>
        <w:widowControl w:val="0"/>
        <w:rPr>
          <w:rFonts w:cs="Arial"/>
          <w:bCs/>
        </w:rPr>
      </w:pPr>
      <w:r w:rsidRPr="00876461">
        <w:rPr>
          <w:rFonts w:cs="Arial"/>
          <w:bCs/>
        </w:rPr>
        <w:t>EPM aceptó como ciertos algunos hechos, pero negó los supuestos referidos al contenido de la garantía, respecto de lo cual hizo notar que, finalmente, sí se otorgó bajo el clausulado correspondiente a la póliza en favor de entidades estatales y que amparó, en forma expresa, el evento de incumplimiento, las multas y la cláusula penal.</w:t>
      </w:r>
    </w:p>
    <w:p w:rsidR="006D1BFD" w:rsidRPr="00876461" w:rsidRDefault="006D1BFD" w:rsidP="006D1BFD">
      <w:pPr>
        <w:widowControl w:val="0"/>
        <w:rPr>
          <w:rFonts w:cs="Arial"/>
          <w:bCs/>
        </w:rPr>
      </w:pPr>
    </w:p>
    <w:p w:rsidR="006D1BFD" w:rsidRPr="00876461" w:rsidRDefault="006D1BFD" w:rsidP="006D1BFD">
      <w:pPr>
        <w:widowControl w:val="0"/>
        <w:rPr>
          <w:rFonts w:cs="Arial"/>
          <w:bCs/>
        </w:rPr>
      </w:pPr>
      <w:r w:rsidRPr="00876461">
        <w:rPr>
          <w:rFonts w:cs="Arial"/>
          <w:bCs/>
        </w:rPr>
        <w:t xml:space="preserve">Observó que AYCO LTDA no cumplió con los pedidos y que desde antes de la apertura del proceso de contratación se conocía la tendencia de alza de los precios del cobre, en la cual pretendió justificarse la referida contratista. </w:t>
      </w:r>
    </w:p>
    <w:p w:rsidR="006D1BFD" w:rsidRPr="00876461" w:rsidRDefault="006D1BFD" w:rsidP="006D1BFD">
      <w:pPr>
        <w:widowControl w:val="0"/>
        <w:rPr>
          <w:rFonts w:cs="Arial"/>
          <w:bCs/>
        </w:rPr>
      </w:pPr>
    </w:p>
    <w:p w:rsidR="006D1BFD" w:rsidRPr="00876461" w:rsidRDefault="006D1BFD" w:rsidP="006D1BFD">
      <w:pPr>
        <w:widowControl w:val="0"/>
        <w:rPr>
          <w:rFonts w:cs="Arial"/>
          <w:bCs/>
        </w:rPr>
      </w:pPr>
      <w:r w:rsidRPr="00876461">
        <w:rPr>
          <w:rFonts w:cs="Arial"/>
          <w:bCs/>
        </w:rPr>
        <w:t>Por otra parte, EPM advirtió que era una entidad estatal y que le asistía el derecho a expedir los actos administrativos para hacer efectiva la póliza de cumplimiento, por tratarse de una función administrativa.</w:t>
      </w:r>
      <w:r>
        <w:rPr>
          <w:rFonts w:cs="Arial"/>
          <w:bCs/>
        </w:rPr>
        <w:t xml:space="preserve"> </w:t>
      </w:r>
    </w:p>
    <w:p w:rsidR="006D1BFD" w:rsidRPr="00876461" w:rsidRDefault="006D1BFD" w:rsidP="006D1BFD">
      <w:pPr>
        <w:widowControl w:val="0"/>
        <w:rPr>
          <w:rFonts w:cs="Arial"/>
          <w:bCs/>
        </w:rPr>
      </w:pPr>
    </w:p>
    <w:p w:rsidR="006D1BFD" w:rsidRPr="00876461" w:rsidRDefault="006D1BFD" w:rsidP="006D1BFD">
      <w:pPr>
        <w:widowControl w:val="0"/>
        <w:numPr>
          <w:ilvl w:val="12"/>
          <w:numId w:val="0"/>
        </w:numPr>
        <w:rPr>
          <w:rFonts w:cs="Arial"/>
          <w:bCs/>
        </w:rPr>
      </w:pPr>
      <w:r w:rsidRPr="00876461">
        <w:rPr>
          <w:rFonts w:cs="Arial"/>
          <w:b/>
          <w:bCs/>
        </w:rPr>
        <w:t>4.6. La sentencia impugnada</w:t>
      </w:r>
    </w:p>
    <w:p w:rsidR="006D1BFD" w:rsidRPr="00876461" w:rsidRDefault="006D1BFD" w:rsidP="006D1BFD">
      <w:pPr>
        <w:widowControl w:val="0"/>
        <w:numPr>
          <w:ilvl w:val="12"/>
          <w:numId w:val="0"/>
        </w:numPr>
        <w:rPr>
          <w:rFonts w:cs="Arial"/>
          <w:bCs/>
        </w:rPr>
      </w:pPr>
    </w:p>
    <w:p w:rsidR="006D1BFD" w:rsidRPr="00876461" w:rsidRDefault="006D1BFD" w:rsidP="006D1BFD">
      <w:pPr>
        <w:widowControl w:val="0"/>
        <w:numPr>
          <w:ilvl w:val="12"/>
          <w:numId w:val="0"/>
        </w:numPr>
        <w:rPr>
          <w:rFonts w:cs="Arial"/>
          <w:bCs/>
        </w:rPr>
      </w:pPr>
      <w:r w:rsidRPr="00876461">
        <w:rPr>
          <w:rFonts w:cs="Arial"/>
          <w:bCs/>
        </w:rPr>
        <w:t xml:space="preserve">El Tribunal Administrativo de Antioquia, Sala Cuarta de Decisión, profirió sentencia el 30 de septiembre de 2013, mediante la cual declaró de oficio la nulidad de los incisos primero y segundo del numeral 4.12 del Pliego de Condiciones, referido a las </w:t>
      </w:r>
      <w:r w:rsidRPr="00876461">
        <w:rPr>
          <w:rFonts w:cs="Arial"/>
          <w:bCs/>
          <w:i/>
        </w:rPr>
        <w:t>“deducciones en el caso del incumplimiento (multas)”</w:t>
      </w:r>
      <w:r w:rsidRPr="00876461">
        <w:rPr>
          <w:rFonts w:cs="Arial"/>
          <w:bCs/>
        </w:rPr>
        <w:t xml:space="preserve"> del contrato 09325402 y, como consecuencia, anuló las Resoluciones demandadas, mediante las cuales se declaró el siniestro y se hizo efectiva la garantía de cumplimiento. </w:t>
      </w:r>
    </w:p>
    <w:p w:rsidR="006D1BFD" w:rsidRPr="00876461" w:rsidRDefault="006D1BFD" w:rsidP="006D1BFD">
      <w:pPr>
        <w:widowControl w:val="0"/>
        <w:autoSpaceDE w:val="0"/>
        <w:autoSpaceDN w:val="0"/>
        <w:adjustRightInd w:val="0"/>
        <w:rPr>
          <w:rFonts w:cs="Arial"/>
          <w:bCs/>
          <w:lang w:val="es-MX"/>
        </w:rPr>
      </w:pPr>
    </w:p>
    <w:p w:rsidR="006D1BFD" w:rsidRPr="00876461" w:rsidRDefault="006D1BFD" w:rsidP="006D1BFD">
      <w:pPr>
        <w:widowControl w:val="0"/>
        <w:autoSpaceDE w:val="0"/>
        <w:autoSpaceDN w:val="0"/>
        <w:adjustRightInd w:val="0"/>
        <w:rPr>
          <w:rFonts w:cs="Arial"/>
          <w:bCs/>
          <w:lang w:val="es-MX"/>
        </w:rPr>
      </w:pPr>
      <w:r w:rsidRPr="00876461">
        <w:rPr>
          <w:rFonts w:cs="Arial"/>
          <w:bCs/>
          <w:lang w:val="es-MX"/>
        </w:rPr>
        <w:t xml:space="preserve">El Tribunal </w:t>
      </w:r>
      <w:r w:rsidRPr="00876461">
        <w:rPr>
          <w:rFonts w:cs="Arial"/>
          <w:bCs/>
          <w:i/>
          <w:lang w:val="es-MX"/>
        </w:rPr>
        <w:t>a quo</w:t>
      </w:r>
      <w:r w:rsidRPr="00876461">
        <w:rPr>
          <w:rFonts w:cs="Arial"/>
          <w:bCs/>
          <w:lang w:val="es-MX"/>
        </w:rPr>
        <w:t xml:space="preserve"> apoyó su decisión en que las facultades de imponer multas y declarar el incumplimiento del contrato devienen del estatuto general de contratación – Ley 80 de 1993, Ley 446 de 1998 y Ley 1150 de 2007- y que en el caso sub júdice el contrato de suministro de cobre para gas natural, distinguido con el número </w:t>
      </w:r>
      <w:r w:rsidRPr="00876461">
        <w:rPr>
          <w:rFonts w:cs="Arial"/>
          <w:bCs/>
        </w:rPr>
        <w:t xml:space="preserve">09325402, </w:t>
      </w:r>
      <w:r w:rsidRPr="00876461">
        <w:rPr>
          <w:rFonts w:cs="Arial"/>
          <w:bCs/>
          <w:lang w:val="es-MX"/>
        </w:rPr>
        <w:t>se rigió por el derecho privado.</w:t>
      </w:r>
    </w:p>
    <w:p w:rsidR="006D1BFD" w:rsidRPr="00876461" w:rsidRDefault="006D1BFD" w:rsidP="006D1BFD">
      <w:pPr>
        <w:widowControl w:val="0"/>
        <w:autoSpaceDE w:val="0"/>
        <w:autoSpaceDN w:val="0"/>
        <w:adjustRightInd w:val="0"/>
        <w:rPr>
          <w:rFonts w:cs="Arial"/>
          <w:bCs/>
          <w:lang w:val="es-MX"/>
        </w:rPr>
      </w:pPr>
    </w:p>
    <w:p w:rsidR="006D1BFD" w:rsidRPr="00876461" w:rsidRDefault="006D1BFD" w:rsidP="006D1BFD">
      <w:pPr>
        <w:widowControl w:val="0"/>
        <w:rPr>
          <w:rFonts w:cs="Arial"/>
          <w:b/>
          <w:bCs/>
          <w:lang w:val="es-MX"/>
        </w:rPr>
      </w:pPr>
      <w:r w:rsidRPr="00876461">
        <w:rPr>
          <w:rFonts w:cs="Arial"/>
          <w:b/>
          <w:bCs/>
          <w:lang w:val="es-MX"/>
        </w:rPr>
        <w:t xml:space="preserve">5. El recurso de apelación </w:t>
      </w:r>
    </w:p>
    <w:p w:rsidR="006D1BFD" w:rsidRPr="00876461" w:rsidRDefault="006D1BFD" w:rsidP="006D1BFD">
      <w:pPr>
        <w:widowControl w:val="0"/>
        <w:rPr>
          <w:rFonts w:cs="Arial"/>
          <w:b/>
          <w:bCs/>
          <w:lang w:val="es-MX"/>
        </w:rPr>
      </w:pPr>
    </w:p>
    <w:p w:rsidR="006D1BFD" w:rsidRPr="00876461" w:rsidRDefault="006D1BFD" w:rsidP="006D1BFD">
      <w:pPr>
        <w:widowControl w:val="0"/>
        <w:rPr>
          <w:rFonts w:cs="Arial"/>
          <w:bCs/>
          <w:lang w:val="es-MX"/>
        </w:rPr>
      </w:pPr>
      <w:r w:rsidRPr="00876461">
        <w:rPr>
          <w:rFonts w:cs="Arial"/>
          <w:bCs/>
          <w:lang w:val="es-MX"/>
        </w:rPr>
        <w:t>EPM, obrando como parte demandada, impugnó la sentencia de primera instancia mediante escrito presentado el 21 de octubre de 2013, en el cual sustentó el recurso correspondiente</w:t>
      </w:r>
      <w:r w:rsidRPr="00876461">
        <w:rPr>
          <w:rStyle w:val="Refdenotaalpie"/>
          <w:rFonts w:cs="Arial"/>
          <w:bCs/>
          <w:lang w:val="es-MX"/>
        </w:rPr>
        <w:footnoteReference w:id="7"/>
      </w:r>
      <w:r w:rsidRPr="00876461">
        <w:rPr>
          <w:rFonts w:cs="Arial"/>
          <w:bCs/>
          <w:lang w:val="es-MX"/>
        </w:rPr>
        <w:t>, dentro del término procesal previsto para el efecto.</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Fundamentó su apelación en los siguientes argumentos:</w:t>
      </w:r>
    </w:p>
    <w:p w:rsidR="006D1BFD" w:rsidRPr="00876461" w:rsidRDefault="006D1BFD" w:rsidP="006D1BFD">
      <w:pPr>
        <w:widowControl w:val="0"/>
        <w:rPr>
          <w:rFonts w:cs="Arial"/>
          <w:b/>
          <w:bCs/>
          <w:lang w:val="es-MX"/>
        </w:rPr>
      </w:pPr>
    </w:p>
    <w:p w:rsidR="006D1BFD" w:rsidRPr="00876461" w:rsidRDefault="006D1BFD" w:rsidP="006D1BFD">
      <w:pPr>
        <w:widowControl w:val="0"/>
        <w:rPr>
          <w:rFonts w:cs="Arial"/>
          <w:bCs/>
          <w:lang w:val="es-MX"/>
        </w:rPr>
      </w:pPr>
      <w:r w:rsidRPr="00876461">
        <w:rPr>
          <w:rFonts w:cs="Arial"/>
          <w:b/>
          <w:bCs/>
          <w:lang w:val="es-MX"/>
        </w:rPr>
        <w:t xml:space="preserve">5.1. </w:t>
      </w:r>
      <w:r w:rsidRPr="00876461">
        <w:rPr>
          <w:rFonts w:cs="Arial"/>
          <w:bCs/>
          <w:lang w:val="es-MX"/>
        </w:rPr>
        <w:t xml:space="preserve">Las Resoluciones que fueron objeto de la demanda </w:t>
      </w:r>
      <w:r w:rsidRPr="00876461">
        <w:rPr>
          <w:rFonts w:cs="Arial"/>
          <w:bCs/>
          <w:i/>
          <w:lang w:val="es-MX"/>
        </w:rPr>
        <w:t>“no imponen multas (…) lo que de suyo implica dejar en evidencia el yerro en el sustento del fallo apelado (…)</w:t>
      </w:r>
      <w:r w:rsidRPr="00876461">
        <w:rPr>
          <w:rStyle w:val="Refdenotaalpie"/>
          <w:rFonts w:cs="Arial"/>
          <w:bCs/>
          <w:i/>
          <w:lang w:val="es-MX"/>
        </w:rPr>
        <w:footnoteReference w:id="8"/>
      </w:r>
      <w:r w:rsidRPr="00876461">
        <w:rPr>
          <w:rFonts w:cs="Arial"/>
          <w:bCs/>
          <w:i/>
          <w:lang w:val="es-MX"/>
        </w:rPr>
        <w:t>”</w:t>
      </w:r>
      <w:r w:rsidRPr="00876461">
        <w:rPr>
          <w:rFonts w:cs="Arial"/>
          <w:bCs/>
          <w:lang w:val="es-MX"/>
        </w:rPr>
        <w:t>. No obstante, advirtió que la imposición de la cláusula de multas se fundó en la autonomía de la voluntad de las partes y constituyó un pacto obligatorio para ellas.</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
          <w:bCs/>
          <w:lang w:val="es-MX"/>
        </w:rPr>
        <w:t>5.2.</w:t>
      </w:r>
      <w:r w:rsidRPr="00876461">
        <w:rPr>
          <w:rFonts w:cs="Arial"/>
          <w:bCs/>
          <w:lang w:val="es-MX"/>
        </w:rPr>
        <w:t xml:space="preserve"> Por otra parte, indicó que EPM es una entidad pública, con la naturaleza de empresa industrial y comercial del Estado, de conformidad con lo dispuesto en Ley 489 de 1998 y que, por tanto, en su actividad de la contratación para prestar servicios públicos domiciliarios desarrolla una función pública.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 xml:space="preserve">Como consecuencia, estimó que los actos administrativos que emite EPM en dicho ámbito contractual no son de derecho privado y que gozan del privilegio de lo previo para la consecución de los cometidos estatales.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 xml:space="preserve">Invocó el artículo 87 de la Ley 489 de 1998, en el cual se establece que las empresas industriales y comerciales del Estado </w:t>
      </w:r>
      <w:r w:rsidRPr="00876461">
        <w:rPr>
          <w:rFonts w:cs="Arial"/>
          <w:bCs/>
          <w:i/>
          <w:lang w:val="es-MX"/>
        </w:rPr>
        <w:t>“gozan de los mismos privilegios y prerrogativas que la Constitución Política y las leyes confieren a la Nación y a las entidades territoriales, según el caso”.</w:t>
      </w:r>
      <w:r w:rsidRPr="00876461">
        <w:rPr>
          <w:rFonts w:cs="Arial"/>
          <w:bCs/>
          <w:lang w:val="es-MX"/>
        </w:rPr>
        <w:t xml:space="preserve">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
          <w:bCs/>
          <w:lang w:val="es-MX"/>
        </w:rPr>
        <w:t>5.3.</w:t>
      </w:r>
      <w:r w:rsidRPr="00876461">
        <w:rPr>
          <w:rFonts w:cs="Arial"/>
          <w:bCs/>
          <w:lang w:val="es-MX"/>
        </w:rPr>
        <w:t xml:space="preserve"> En relación con la nulidad de las cláusulas del pliego de condiciones, declarada por el Tribunal a quo, EPM puntualizó que el pliego de condiciones es un acto previo, de carácter general, que no fue objeto de la demanda en el presente litigio y agregó que para la fecha en que se presentó dicha demanda ya había operado la caducidad de la acción contra los actos precontractuales.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
          <w:bCs/>
          <w:lang w:val="es-MX"/>
        </w:rPr>
        <w:t>5.4.</w:t>
      </w:r>
      <w:r w:rsidRPr="00876461">
        <w:rPr>
          <w:rFonts w:cs="Arial"/>
          <w:bCs/>
          <w:lang w:val="es-MX"/>
        </w:rPr>
        <w:t xml:space="preserve"> Observó que no existió incidencia entre las disposiciones del pliego de condiciones que fueron anuladas y el acto contractual que fue objeto de la demanda, dado que la exigibilidad de la garantía no se apoyó en el contenido del pliego de condiciones, sino en las cláusulas de la póliza de seguro.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
          <w:bCs/>
          <w:lang w:val="es-MX"/>
        </w:rPr>
        <w:t>5.5.</w:t>
      </w:r>
      <w:r w:rsidRPr="00876461">
        <w:rPr>
          <w:rFonts w:cs="Arial"/>
          <w:bCs/>
          <w:lang w:val="es-MX"/>
        </w:rPr>
        <w:t xml:space="preserve"> Insistió en que las disposiciones anuladas, en su momento, fueron </w:t>
      </w:r>
      <w:r w:rsidRPr="00876461">
        <w:rPr>
          <w:rFonts w:cs="Arial"/>
          <w:bCs/>
          <w:lang w:val="es-MX"/>
        </w:rPr>
        <w:lastRenderedPageBreak/>
        <w:t xml:space="preserve">voluntariamente aceptadas por las partes del contrato y que a nadie es permitido desconocer la fuerza vinculante de sus propios actos.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
          <w:bCs/>
          <w:lang w:val="es-MX"/>
        </w:rPr>
        <w:t>5.6.</w:t>
      </w:r>
      <w:r w:rsidRPr="00876461">
        <w:rPr>
          <w:rFonts w:cs="Arial"/>
          <w:bCs/>
          <w:lang w:val="es-MX"/>
        </w:rPr>
        <w:t xml:space="preserve"> En relación con la actividad aseguradora y la forma de reclamar el siniestro, explicó que en el clausulado de la póliza de seguro, aprobado bajo las reglas de la Superintendencia Financiera, se dispuso que el siniestro se entendería causado a través del acto administrativo de la entidad estatal contratante, en el que se declarara la ocurrencia del riesgo amparado.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Afirmó que EPM obró de conformidad con la jurisprudencia del Consejo de Estado, al amparo de la cual se entiende que la Administración Pública goza de la prerrogativa para hacer efectiva la garantía, incluso, sin lugar a aplicar el procedimiento del Código de Comercio, acerca de la reclamación</w:t>
      </w:r>
      <w:r w:rsidRPr="00876461">
        <w:rPr>
          <w:rStyle w:val="Refdenotaalpie"/>
          <w:rFonts w:cs="Arial"/>
          <w:bCs/>
          <w:lang w:val="es-MX"/>
        </w:rPr>
        <w:footnoteReference w:id="9"/>
      </w:r>
      <w:r w:rsidRPr="00876461">
        <w:rPr>
          <w:rFonts w:cs="Arial"/>
          <w:bCs/>
          <w:lang w:val="es-MX"/>
        </w:rPr>
        <w:t xml:space="preserve">.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i/>
          <w:lang w:val="es-MX"/>
        </w:rPr>
      </w:pPr>
      <w:r w:rsidRPr="00876461">
        <w:rPr>
          <w:rFonts w:cs="Arial"/>
          <w:b/>
          <w:bCs/>
          <w:lang w:val="es-MX"/>
        </w:rPr>
        <w:t xml:space="preserve">5.7. </w:t>
      </w:r>
      <w:r w:rsidRPr="00876461">
        <w:rPr>
          <w:rFonts w:cs="Arial"/>
          <w:bCs/>
          <w:lang w:val="es-MX"/>
        </w:rPr>
        <w:t>Por otra parte, EPM observó que en la sentencia de primera instancia existió</w:t>
      </w:r>
      <w:r w:rsidRPr="00876461">
        <w:rPr>
          <w:rFonts w:cs="Arial"/>
          <w:b/>
          <w:bCs/>
          <w:lang w:val="es-MX"/>
        </w:rPr>
        <w:t xml:space="preserve"> </w:t>
      </w:r>
      <w:r w:rsidRPr="00876461">
        <w:rPr>
          <w:rFonts w:cs="Arial"/>
          <w:bCs/>
          <w:i/>
          <w:lang w:val="es-MX"/>
        </w:rPr>
        <w:t>“una aplicación indebida de las normas del precedente jurisprudencial que deben servir para la solución del conflicto sometido a consideración de la jurisdicción, pues, partiendo de la existencia de un régimen contractual distinto al establecido en la Ley 80 de 1993, no podían ser los criterios y los antecedentes jurisprudenciales que han servido para sostener la incompetencia de las entidades sometidas a dicho estatuto de contratación, a las que debía acudirse para soportar la decisión que se impugna por el recurso de apelación”</w:t>
      </w:r>
      <w:r w:rsidRPr="00876461">
        <w:rPr>
          <w:rStyle w:val="Refdenotaalpie"/>
          <w:rFonts w:cs="Arial"/>
          <w:bCs/>
          <w:i/>
          <w:lang w:val="es-MX"/>
        </w:rPr>
        <w:footnoteReference w:id="10"/>
      </w:r>
      <w:r w:rsidRPr="00876461">
        <w:rPr>
          <w:rFonts w:cs="Arial"/>
          <w:bCs/>
          <w:i/>
          <w:lang w:val="es-MX"/>
        </w:rPr>
        <w:t>.</w:t>
      </w:r>
    </w:p>
    <w:p w:rsidR="006D1BFD" w:rsidRPr="00876461" w:rsidRDefault="006D1BFD" w:rsidP="006D1BFD">
      <w:pPr>
        <w:widowControl w:val="0"/>
        <w:rPr>
          <w:rFonts w:cs="Arial"/>
          <w:bCs/>
          <w:i/>
          <w:lang w:val="es-MX"/>
        </w:rPr>
      </w:pPr>
    </w:p>
    <w:p w:rsidR="006D1BFD" w:rsidRPr="00876461" w:rsidRDefault="006D1BFD" w:rsidP="006D1BFD">
      <w:pPr>
        <w:widowControl w:val="0"/>
        <w:rPr>
          <w:rFonts w:cs="Arial"/>
          <w:bCs/>
          <w:i/>
          <w:lang w:val="es-MX"/>
        </w:rPr>
      </w:pPr>
      <w:r w:rsidRPr="00876461">
        <w:rPr>
          <w:rFonts w:cs="Arial"/>
          <w:b/>
          <w:bCs/>
          <w:lang w:val="es-MX"/>
        </w:rPr>
        <w:t>5.8.</w:t>
      </w:r>
      <w:r w:rsidRPr="00876461">
        <w:rPr>
          <w:rFonts w:cs="Arial"/>
          <w:bCs/>
          <w:i/>
          <w:lang w:val="es-MX"/>
        </w:rPr>
        <w:t xml:space="preserve"> </w:t>
      </w:r>
      <w:r w:rsidRPr="00876461">
        <w:rPr>
          <w:rFonts w:cs="Arial"/>
          <w:bCs/>
          <w:lang w:val="es-MX"/>
        </w:rPr>
        <w:t>Por último, EPM manifestó su rechazo a las decisiones relacionadas con el restablecimiento del derecho, dispuestas en la sentencia de primera instancia para el evento en que la compañía de seguros hubiera realizado pagos, toda vez que la demandante no allegó pruebas sobre esa circunstancia.</w:t>
      </w:r>
      <w:r w:rsidRPr="00876461">
        <w:rPr>
          <w:rFonts w:cs="Arial"/>
          <w:bCs/>
          <w:i/>
          <w:lang w:val="es-MX"/>
        </w:rPr>
        <w:t xml:space="preserve"> </w:t>
      </w:r>
    </w:p>
    <w:p w:rsidR="006D1BFD" w:rsidRPr="00876461" w:rsidRDefault="006D1BFD" w:rsidP="006D1BFD">
      <w:pPr>
        <w:widowControl w:val="0"/>
        <w:rPr>
          <w:rFonts w:cs="Arial"/>
          <w:b/>
          <w:bCs/>
          <w:lang w:val="es-MX"/>
        </w:rPr>
      </w:pPr>
    </w:p>
    <w:p w:rsidR="006D1BFD" w:rsidRPr="00876461" w:rsidRDefault="006D1BFD" w:rsidP="006D1BFD">
      <w:pPr>
        <w:widowControl w:val="0"/>
        <w:rPr>
          <w:rFonts w:cs="Arial"/>
          <w:b/>
          <w:bCs/>
          <w:lang w:val="es-MX"/>
        </w:rPr>
      </w:pPr>
      <w:r w:rsidRPr="00876461">
        <w:rPr>
          <w:rFonts w:cs="Arial"/>
          <w:b/>
          <w:bCs/>
          <w:lang w:val="es-MX"/>
        </w:rPr>
        <w:t>6. Actuación en segunda instancia</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
          <w:bCs/>
          <w:lang w:val="es-MX"/>
        </w:rPr>
        <w:t>6.1.</w:t>
      </w:r>
      <w:r w:rsidRPr="00876461">
        <w:rPr>
          <w:rFonts w:cs="Arial"/>
          <w:bCs/>
          <w:lang w:val="es-MX"/>
        </w:rPr>
        <w:t xml:space="preserve"> El 5 de febrero de 2014 se llevó a cabo la audiencia de conciliación, la cual resultó fallida</w:t>
      </w:r>
      <w:r w:rsidRPr="00876461">
        <w:rPr>
          <w:rStyle w:val="Refdenotaalpie"/>
          <w:rFonts w:cs="Arial"/>
          <w:bCs/>
          <w:lang w:val="es-MX"/>
        </w:rPr>
        <w:footnoteReference w:id="11"/>
      </w:r>
      <w:r w:rsidRPr="00876461">
        <w:rPr>
          <w:rFonts w:cs="Arial"/>
          <w:bCs/>
          <w:lang w:val="es-MX"/>
        </w:rPr>
        <w:t xml:space="preserve">.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
          <w:bCs/>
          <w:lang w:val="es-MX"/>
        </w:rPr>
      </w:pPr>
      <w:r w:rsidRPr="00876461">
        <w:rPr>
          <w:rFonts w:cs="Arial"/>
          <w:b/>
          <w:bCs/>
          <w:lang w:val="es-MX"/>
        </w:rPr>
        <w:lastRenderedPageBreak/>
        <w:t>6.2. Alegatos en segunda instancia</w:t>
      </w:r>
    </w:p>
    <w:p w:rsidR="006D1BFD" w:rsidRPr="00876461" w:rsidRDefault="006D1BFD" w:rsidP="006D1BFD">
      <w:pPr>
        <w:widowControl w:val="0"/>
        <w:rPr>
          <w:rFonts w:cs="Arial"/>
          <w:b/>
          <w:bCs/>
          <w:lang w:val="es-MX"/>
        </w:rPr>
      </w:pPr>
    </w:p>
    <w:p w:rsidR="006D1BFD" w:rsidRPr="00876461" w:rsidRDefault="006D1BFD" w:rsidP="006D1BFD">
      <w:pPr>
        <w:widowControl w:val="0"/>
        <w:rPr>
          <w:rFonts w:cs="Arial"/>
          <w:bCs/>
          <w:lang w:val="es-MX"/>
        </w:rPr>
      </w:pPr>
      <w:r w:rsidRPr="00876461">
        <w:rPr>
          <w:rFonts w:cs="Arial"/>
          <w:b/>
          <w:bCs/>
          <w:lang w:val="es-MX"/>
        </w:rPr>
        <w:t>6.2.1.</w:t>
      </w:r>
      <w:r w:rsidRPr="00876461">
        <w:rPr>
          <w:rFonts w:cs="Arial"/>
          <w:bCs/>
          <w:lang w:val="es-MX"/>
        </w:rPr>
        <w:t xml:space="preserve"> EPM insistió en los argumentos presentados en el recurso de apelación. Puntualizó que la declaratoria del siniestro no configuró el ejercicio de una potestad excepcional, </w:t>
      </w:r>
      <w:r w:rsidRPr="00876461">
        <w:rPr>
          <w:rFonts w:cs="Arial"/>
          <w:bCs/>
          <w:i/>
          <w:lang w:val="es-MX"/>
        </w:rPr>
        <w:t>“no pudiendo ser los argumentos de incompetencia utilizados para declarar la nulidad oficiosa del pacto contractual de multas”.</w:t>
      </w:r>
      <w:r w:rsidRPr="00876461">
        <w:rPr>
          <w:rFonts w:cs="Arial"/>
          <w:bCs/>
          <w:lang w:val="es-MX"/>
        </w:rPr>
        <w:t xml:space="preserve"> Agregó que </w:t>
      </w:r>
      <w:r w:rsidRPr="00876461">
        <w:rPr>
          <w:rFonts w:cs="Arial"/>
          <w:bCs/>
          <w:i/>
          <w:lang w:val="es-MX"/>
        </w:rPr>
        <w:t>“la demostración de la configuración del siniestro se verifica mediante la expedición de un acto administrativo, como se presentó en el caso que nos ocupa”</w:t>
      </w:r>
      <w:r w:rsidRPr="00876461">
        <w:rPr>
          <w:rStyle w:val="Refdenotaalpie"/>
          <w:rFonts w:cs="Arial"/>
          <w:bCs/>
          <w:lang w:val="es-MX"/>
        </w:rPr>
        <w:footnoteReference w:id="12"/>
      </w:r>
      <w:r w:rsidRPr="00876461">
        <w:rPr>
          <w:rFonts w:cs="Arial"/>
          <w:bCs/>
          <w:lang w:val="es-MX"/>
        </w:rPr>
        <w:t>.</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
          <w:bCs/>
          <w:lang w:val="es-MX"/>
        </w:rPr>
        <w:t>6.2.2.</w:t>
      </w:r>
      <w:r w:rsidRPr="00876461">
        <w:rPr>
          <w:rFonts w:cs="Arial"/>
          <w:bCs/>
          <w:lang w:val="es-MX"/>
        </w:rPr>
        <w:t xml:space="preserve"> En la segunda instancia, la compañía aseguradora demandante guardó silencio.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
          <w:bCs/>
          <w:lang w:val="es-MX"/>
        </w:rPr>
        <w:t>6.3.</w:t>
      </w:r>
      <w:r w:rsidRPr="00876461">
        <w:rPr>
          <w:rFonts w:cs="Arial"/>
          <w:bCs/>
          <w:lang w:val="es-MX"/>
        </w:rPr>
        <w:t xml:space="preserve"> El Ministerio Público solicitó confirmar la sentencia de primera instancia, dado que, en su criterio, EPM careció de competencia -desde el momento de la celebración del contrato- para pactar las disposiciones que fueron anuladas en el presente proceso. También estimó que esa entidad obró sin competencia para expedir los actos unilaterales que fueron anulados, dado que la relación contractual se rigió por el derecho privado. </w:t>
      </w:r>
    </w:p>
    <w:p w:rsidR="006D1BFD" w:rsidRPr="00876461" w:rsidRDefault="006D1BFD" w:rsidP="006D1BFD">
      <w:pPr>
        <w:widowControl w:val="0"/>
        <w:jc w:val="center"/>
        <w:rPr>
          <w:rFonts w:cs="Arial"/>
          <w:b/>
        </w:rPr>
      </w:pPr>
    </w:p>
    <w:p w:rsidR="006D1BFD" w:rsidRPr="00876461" w:rsidRDefault="006D1BFD" w:rsidP="006D1BFD">
      <w:pPr>
        <w:widowControl w:val="0"/>
        <w:jc w:val="center"/>
        <w:rPr>
          <w:rFonts w:cs="Arial"/>
          <w:b/>
        </w:rPr>
      </w:pPr>
      <w:r w:rsidRPr="00876461">
        <w:rPr>
          <w:rFonts w:cs="Arial"/>
          <w:b/>
        </w:rPr>
        <w:t>II. C O N S I D E R A C I O N E S</w:t>
      </w:r>
    </w:p>
    <w:p w:rsidR="006D1BFD" w:rsidRPr="00876461" w:rsidRDefault="006D1BFD" w:rsidP="006D1BFD">
      <w:pPr>
        <w:widowControl w:val="0"/>
        <w:jc w:val="center"/>
        <w:rPr>
          <w:rFonts w:cs="Arial"/>
          <w:b/>
        </w:rPr>
      </w:pPr>
    </w:p>
    <w:p w:rsidR="006D1BFD" w:rsidRPr="00876461" w:rsidRDefault="006D1BFD" w:rsidP="006D1BFD">
      <w:pPr>
        <w:widowControl w:val="0"/>
        <w:rPr>
          <w:rFonts w:cs="Arial"/>
        </w:rPr>
      </w:pPr>
      <w:r w:rsidRPr="00876461">
        <w:rPr>
          <w:rFonts w:cs="Arial"/>
        </w:rPr>
        <w:t xml:space="preserve">Para resolver la segunda instancia de la presente </w:t>
      </w:r>
      <w:r w:rsidRPr="00876461">
        <w:rPr>
          <w:rFonts w:cs="Arial"/>
          <w:i/>
        </w:rPr>
        <w:t>litis</w:t>
      </w:r>
      <w:r w:rsidRPr="00876461">
        <w:rPr>
          <w:rFonts w:cs="Arial"/>
        </w:rPr>
        <w:t xml:space="preserve">, se abordarán los siguientes temas: </w:t>
      </w:r>
      <w:r w:rsidRPr="00876461">
        <w:rPr>
          <w:rFonts w:cs="Arial"/>
          <w:b/>
        </w:rPr>
        <w:t>1)</w:t>
      </w:r>
      <w:r w:rsidRPr="00876461">
        <w:rPr>
          <w:rFonts w:cs="Arial"/>
        </w:rPr>
        <w:t xml:space="preserve"> jurisdicción y competencia del Consejo de Estado en materia de la controversia contractual de las empresas prestadoras de servicios públicos domiciliarios; </w:t>
      </w:r>
      <w:r w:rsidRPr="00876461">
        <w:rPr>
          <w:rFonts w:cs="Arial"/>
          <w:b/>
          <w:lang w:val="es-MX"/>
        </w:rPr>
        <w:t xml:space="preserve">2) </w:t>
      </w:r>
      <w:r w:rsidRPr="00876461">
        <w:rPr>
          <w:rFonts w:cs="Arial"/>
          <w:lang w:val="es-MX"/>
        </w:rPr>
        <w:t>oportunidad en el ejercicio de la acción;</w:t>
      </w:r>
      <w:r w:rsidRPr="00876461">
        <w:rPr>
          <w:rFonts w:cs="Arial"/>
          <w:b/>
          <w:lang w:val="es-MX"/>
        </w:rPr>
        <w:t xml:space="preserve"> 3) </w:t>
      </w:r>
      <w:r w:rsidRPr="00876461">
        <w:rPr>
          <w:rFonts w:cs="Arial"/>
          <w:lang w:val="es-MX"/>
        </w:rPr>
        <w:t>legitimación activa de la compañía de seguros;</w:t>
      </w:r>
      <w:r w:rsidRPr="00876461">
        <w:rPr>
          <w:rFonts w:cs="Arial"/>
          <w:b/>
          <w:lang w:val="es-MX"/>
        </w:rPr>
        <w:t xml:space="preserve"> 4</w:t>
      </w:r>
      <w:r w:rsidRPr="00876461">
        <w:rPr>
          <w:rFonts w:cs="Arial"/>
          <w:lang w:val="es-MX"/>
        </w:rPr>
        <w:t>)</w:t>
      </w:r>
      <w:r w:rsidRPr="00876461">
        <w:rPr>
          <w:rFonts w:cs="Arial"/>
        </w:rPr>
        <w:t xml:space="preserve"> m</w:t>
      </w:r>
      <w:r w:rsidRPr="00876461">
        <w:rPr>
          <w:rFonts w:cs="Arial"/>
          <w:bCs/>
          <w:lang w:val="es-MX"/>
        </w:rPr>
        <w:t>arco legal de la contratación sub júdice;</w:t>
      </w:r>
      <w:r w:rsidRPr="00876461">
        <w:rPr>
          <w:rFonts w:cs="Arial"/>
          <w:b/>
          <w:bCs/>
          <w:lang w:val="es-MX"/>
        </w:rPr>
        <w:t xml:space="preserve"> 5) </w:t>
      </w:r>
      <w:r w:rsidRPr="00876461">
        <w:rPr>
          <w:rFonts w:cs="Arial"/>
          <w:bCs/>
          <w:lang w:val="es-MX"/>
        </w:rPr>
        <w:t>c</w:t>
      </w:r>
      <w:r w:rsidRPr="00876461">
        <w:rPr>
          <w:rFonts w:cs="Arial"/>
        </w:rPr>
        <w:t>ompetencia para declarar el siniestro y hacer exigible la garantía</w:t>
      </w:r>
      <w:r w:rsidRPr="00876461">
        <w:rPr>
          <w:rFonts w:cs="Arial"/>
          <w:b/>
        </w:rPr>
        <w:t xml:space="preserve">; 6) </w:t>
      </w:r>
      <w:r w:rsidRPr="00876461">
        <w:rPr>
          <w:rFonts w:cs="Arial"/>
        </w:rPr>
        <w:t xml:space="preserve">el caso concreto; </w:t>
      </w:r>
      <w:r w:rsidRPr="00876461">
        <w:rPr>
          <w:rFonts w:cs="Arial"/>
          <w:b/>
        </w:rPr>
        <w:t xml:space="preserve">7) </w:t>
      </w:r>
      <w:r w:rsidRPr="00876461">
        <w:rPr>
          <w:rFonts w:cs="Arial"/>
        </w:rPr>
        <w:t xml:space="preserve">conclusiones y </w:t>
      </w:r>
      <w:r w:rsidRPr="00876461">
        <w:rPr>
          <w:rFonts w:cs="Arial"/>
          <w:b/>
        </w:rPr>
        <w:t>8)</w:t>
      </w:r>
      <w:r w:rsidRPr="00876461">
        <w:rPr>
          <w:rFonts w:cs="Arial"/>
        </w:rPr>
        <w:t xml:space="preserve"> costas.</w:t>
      </w:r>
    </w:p>
    <w:p w:rsidR="006D1BFD" w:rsidRPr="00876461" w:rsidRDefault="006D1BFD" w:rsidP="006D1BFD">
      <w:pPr>
        <w:pStyle w:val="Textonotapie"/>
        <w:widowControl w:val="0"/>
        <w:rPr>
          <w:rFonts w:cs="Arial"/>
          <w:sz w:val="24"/>
          <w:szCs w:val="24"/>
        </w:rPr>
      </w:pPr>
    </w:p>
    <w:p w:rsidR="006D1BFD" w:rsidRPr="00876461" w:rsidRDefault="006D1BFD" w:rsidP="006D1BFD">
      <w:pPr>
        <w:pStyle w:val="Textonotapie"/>
        <w:widowControl w:val="0"/>
        <w:rPr>
          <w:rFonts w:cs="Arial"/>
          <w:sz w:val="24"/>
          <w:szCs w:val="24"/>
        </w:rPr>
      </w:pPr>
    </w:p>
    <w:p w:rsidR="006D1BFD" w:rsidRPr="00876461" w:rsidRDefault="006D1BFD" w:rsidP="006D1BFD">
      <w:pPr>
        <w:pStyle w:val="Textonotapie"/>
        <w:widowControl w:val="0"/>
        <w:rPr>
          <w:rFonts w:cs="Arial"/>
          <w:sz w:val="24"/>
          <w:szCs w:val="24"/>
        </w:rPr>
      </w:pPr>
      <w:r w:rsidRPr="00876461">
        <w:rPr>
          <w:rFonts w:cs="Arial"/>
          <w:sz w:val="24"/>
          <w:szCs w:val="24"/>
        </w:rPr>
        <w:t xml:space="preserve">En el caso concreto se analizarán: </w:t>
      </w:r>
      <w:r w:rsidRPr="00876461">
        <w:rPr>
          <w:rFonts w:cs="Arial"/>
          <w:b/>
          <w:sz w:val="24"/>
          <w:szCs w:val="24"/>
        </w:rPr>
        <w:t>6.1)</w:t>
      </w:r>
      <w:r w:rsidRPr="00876461">
        <w:rPr>
          <w:rFonts w:cs="Arial"/>
          <w:sz w:val="24"/>
          <w:szCs w:val="24"/>
        </w:rPr>
        <w:t xml:space="preserve"> la improcedencia de la nulidad oficiosa, </w:t>
      </w:r>
      <w:r w:rsidRPr="00876461">
        <w:rPr>
          <w:rFonts w:cs="Arial"/>
          <w:b/>
          <w:sz w:val="24"/>
          <w:szCs w:val="24"/>
        </w:rPr>
        <w:t>6.2)</w:t>
      </w:r>
      <w:r w:rsidRPr="00876461">
        <w:rPr>
          <w:rFonts w:cs="Arial"/>
          <w:sz w:val="24"/>
          <w:szCs w:val="24"/>
        </w:rPr>
        <w:t xml:space="preserve"> el pacto de multas en el contrato afianzado; </w:t>
      </w:r>
      <w:r w:rsidRPr="00876461">
        <w:rPr>
          <w:rFonts w:cs="Arial"/>
          <w:b/>
          <w:sz w:val="24"/>
          <w:szCs w:val="24"/>
        </w:rPr>
        <w:t>6.3</w:t>
      </w:r>
      <w:r w:rsidRPr="00876461">
        <w:rPr>
          <w:rFonts w:cs="Arial"/>
          <w:sz w:val="24"/>
          <w:szCs w:val="24"/>
        </w:rPr>
        <w:t xml:space="preserve">) la cobertura de la póliza de seguros; </w:t>
      </w:r>
      <w:r w:rsidRPr="00876461">
        <w:rPr>
          <w:rFonts w:cs="Arial"/>
          <w:b/>
          <w:sz w:val="24"/>
          <w:szCs w:val="24"/>
        </w:rPr>
        <w:t>6.4)</w:t>
      </w:r>
      <w:r w:rsidRPr="00876461">
        <w:rPr>
          <w:rFonts w:cs="Arial"/>
          <w:sz w:val="24"/>
          <w:szCs w:val="24"/>
        </w:rPr>
        <w:t xml:space="preserve"> la ocurrencia del siniestro amparado; </w:t>
      </w:r>
      <w:r w:rsidRPr="00876461">
        <w:rPr>
          <w:rFonts w:cs="Arial"/>
          <w:b/>
          <w:sz w:val="24"/>
          <w:szCs w:val="24"/>
        </w:rPr>
        <w:t>6.5)</w:t>
      </w:r>
      <w:r w:rsidRPr="00876461">
        <w:rPr>
          <w:rFonts w:cs="Arial"/>
          <w:sz w:val="24"/>
          <w:szCs w:val="24"/>
        </w:rPr>
        <w:t xml:space="preserve"> la reclamación; </w:t>
      </w:r>
      <w:r w:rsidRPr="00876461">
        <w:rPr>
          <w:rFonts w:cs="Arial"/>
          <w:b/>
          <w:sz w:val="24"/>
          <w:szCs w:val="24"/>
        </w:rPr>
        <w:t>6.6)</w:t>
      </w:r>
      <w:r w:rsidRPr="00876461">
        <w:rPr>
          <w:rFonts w:cs="Arial"/>
          <w:sz w:val="24"/>
          <w:szCs w:val="24"/>
        </w:rPr>
        <w:t xml:space="preserve"> la decisión de revocar la sentencia de primera instancia.</w:t>
      </w:r>
    </w:p>
    <w:p w:rsidR="006D1BFD" w:rsidRPr="00876461" w:rsidRDefault="006D1BFD" w:rsidP="006D1BFD">
      <w:pPr>
        <w:pStyle w:val="Textonotapie"/>
        <w:widowControl w:val="0"/>
        <w:rPr>
          <w:rFonts w:cs="Arial"/>
          <w:sz w:val="24"/>
          <w:szCs w:val="24"/>
        </w:rPr>
      </w:pPr>
    </w:p>
    <w:p w:rsidR="006D1BFD" w:rsidRPr="00876461" w:rsidRDefault="006D1BFD" w:rsidP="006D1BFD">
      <w:pPr>
        <w:widowControl w:val="0"/>
        <w:spacing w:line="240" w:lineRule="auto"/>
        <w:rPr>
          <w:rFonts w:cs="Arial"/>
          <w:b/>
        </w:rPr>
      </w:pPr>
      <w:r w:rsidRPr="00876461">
        <w:rPr>
          <w:rFonts w:cs="Arial"/>
          <w:b/>
        </w:rPr>
        <w:t>1. Jurisdicción y Competencia del Consejo de Estado en materia de la controversia contractual de las empresas prestadoras de servicios públicos domiciliarios</w:t>
      </w:r>
    </w:p>
    <w:p w:rsidR="006D1BFD" w:rsidRPr="00876461" w:rsidRDefault="006D1BFD" w:rsidP="006D1BFD">
      <w:pPr>
        <w:widowControl w:val="0"/>
        <w:spacing w:line="240" w:lineRule="auto"/>
        <w:rPr>
          <w:rFonts w:cs="Arial"/>
        </w:rPr>
      </w:pPr>
    </w:p>
    <w:p w:rsidR="006D1BFD" w:rsidRPr="00876461" w:rsidRDefault="006D1BFD" w:rsidP="006D1BFD">
      <w:pPr>
        <w:widowControl w:val="0"/>
        <w:rPr>
          <w:rFonts w:cs="Arial"/>
          <w:b/>
        </w:rPr>
      </w:pPr>
      <w:r w:rsidRPr="00876461">
        <w:rPr>
          <w:rFonts w:cs="Arial"/>
          <w:b/>
        </w:rPr>
        <w:t>1.1. Jurisdicción competente</w:t>
      </w:r>
    </w:p>
    <w:p w:rsidR="006D1BFD" w:rsidRPr="00876461" w:rsidRDefault="006D1BFD" w:rsidP="006D1BFD">
      <w:pPr>
        <w:widowControl w:val="0"/>
        <w:rPr>
          <w:rFonts w:cs="Arial"/>
        </w:rPr>
      </w:pPr>
    </w:p>
    <w:p w:rsidR="006D1BFD" w:rsidRPr="00876461" w:rsidRDefault="006D1BFD" w:rsidP="006D1BFD">
      <w:pPr>
        <w:widowControl w:val="0"/>
        <w:rPr>
          <w:rFonts w:cs="Arial"/>
        </w:rPr>
      </w:pPr>
      <w:r w:rsidRPr="00876461">
        <w:rPr>
          <w:rFonts w:cs="Arial"/>
        </w:rPr>
        <w:t>El contrato 090325402 de febrero 2 de 2006, en cuyo seno se generaron los actos administrativos que fueron impugnados en este proceso, se celebró por Empresas Públicas de Medellín E.S.P., como contratante, empresa de naturaleza oficial, prestadora de servicios públicos domiciliarios</w:t>
      </w:r>
      <w:r w:rsidRPr="00876461">
        <w:rPr>
          <w:rStyle w:val="Refdenotaalpie"/>
          <w:rFonts w:cs="Arial"/>
        </w:rPr>
        <w:footnoteReference w:id="13"/>
      </w:r>
      <w:r w:rsidRPr="00876461">
        <w:rPr>
          <w:rFonts w:cs="Arial"/>
        </w:rPr>
        <w:t>.</w:t>
      </w:r>
    </w:p>
    <w:p w:rsidR="006D1BFD" w:rsidRPr="00876461" w:rsidRDefault="006D1BFD" w:rsidP="006D1BFD">
      <w:pPr>
        <w:widowControl w:val="0"/>
        <w:tabs>
          <w:tab w:val="center" w:pos="0"/>
          <w:tab w:val="left" w:pos="1134"/>
        </w:tabs>
        <w:adjustRightInd w:val="0"/>
        <w:textAlignment w:val="center"/>
        <w:rPr>
          <w:rFonts w:cs="Arial"/>
        </w:rPr>
      </w:pPr>
    </w:p>
    <w:p w:rsidR="006D1BFD" w:rsidRPr="00876461" w:rsidRDefault="006D1BFD" w:rsidP="006D1BFD">
      <w:pPr>
        <w:widowControl w:val="0"/>
        <w:tabs>
          <w:tab w:val="center" w:pos="0"/>
          <w:tab w:val="left" w:pos="1134"/>
        </w:tabs>
        <w:adjustRightInd w:val="0"/>
        <w:textAlignment w:val="center"/>
        <w:rPr>
          <w:rFonts w:cs="Arial"/>
        </w:rPr>
      </w:pPr>
      <w:r w:rsidRPr="00876461">
        <w:rPr>
          <w:rFonts w:cs="Arial"/>
        </w:rPr>
        <w:t>La Ley 1107 de 26 de diciembre de 2006, vigente para la época de presentación de la demanda</w:t>
      </w:r>
      <w:r w:rsidRPr="00876461">
        <w:rPr>
          <w:rStyle w:val="Refdenotaalpie"/>
          <w:rFonts w:cs="Arial"/>
        </w:rPr>
        <w:footnoteReference w:id="14"/>
      </w:r>
      <w:r w:rsidRPr="00876461">
        <w:rPr>
          <w:rFonts w:cs="Arial"/>
        </w:rPr>
        <w:t>, reformó el artículo 82 del Código Contencioso Administrativo y reafirmó, como regla general, el criterio orgánico para asignar competencia a la jurisdicción de lo contencioso administrativo en todas las controversias surgidas en los contratos en que hiciera parte una entidad pública, con independencia del objeto del contrato o del régimen jurídico de la contratación</w:t>
      </w:r>
      <w:r w:rsidRPr="00876461">
        <w:rPr>
          <w:rStyle w:val="Refdenotaalpie"/>
          <w:rFonts w:cs="Arial"/>
        </w:rPr>
        <w:footnoteReference w:id="15"/>
      </w:r>
      <w:r w:rsidRPr="00876461">
        <w:rPr>
          <w:rFonts w:cs="Arial"/>
        </w:rPr>
        <w:t xml:space="preserve">. </w:t>
      </w:r>
    </w:p>
    <w:p w:rsidR="006D1BFD" w:rsidRPr="00876461" w:rsidRDefault="006D1BFD" w:rsidP="006D1BFD">
      <w:pPr>
        <w:widowControl w:val="0"/>
        <w:tabs>
          <w:tab w:val="center" w:pos="0"/>
          <w:tab w:val="left" w:pos="1134"/>
        </w:tabs>
        <w:adjustRightInd w:val="0"/>
        <w:textAlignment w:val="center"/>
        <w:rPr>
          <w:rFonts w:cs="Arial"/>
        </w:rPr>
      </w:pPr>
    </w:p>
    <w:p w:rsidR="006D1BFD" w:rsidRPr="00876461" w:rsidRDefault="006D1BFD" w:rsidP="006D1BFD">
      <w:pPr>
        <w:widowControl w:val="0"/>
        <w:tabs>
          <w:tab w:val="center" w:pos="0"/>
          <w:tab w:val="left" w:pos="1134"/>
        </w:tabs>
        <w:adjustRightInd w:val="0"/>
        <w:textAlignment w:val="center"/>
        <w:rPr>
          <w:rFonts w:cs="Arial"/>
          <w:lang w:val="es-ES_tradnl"/>
        </w:rPr>
      </w:pPr>
      <w:r w:rsidRPr="00876461">
        <w:rPr>
          <w:rFonts w:cs="Arial"/>
        </w:rPr>
        <w:t xml:space="preserve">Lo anterior se dispuso sin perjuicio de establecer en el parágrafo del artículo 2º de la referida Ley 1107 la “vigencia </w:t>
      </w:r>
      <w:r w:rsidRPr="00876461">
        <w:rPr>
          <w:rFonts w:cs="Arial"/>
          <w:i/>
          <w:iCs/>
          <w:lang w:val="es-ES_tradnl"/>
        </w:rPr>
        <w:t xml:space="preserve">en materia de competencia, de las Leyes 142 de 1994, 689 de 2001 y 712 de 2001”. </w:t>
      </w:r>
    </w:p>
    <w:p w:rsidR="006D1BFD" w:rsidRPr="00876461" w:rsidRDefault="006D1BFD" w:rsidP="006D1BFD">
      <w:pPr>
        <w:pStyle w:val="Textoindependiente"/>
        <w:widowControl w:val="0"/>
        <w:autoSpaceDE/>
        <w:autoSpaceDN/>
        <w:adjustRightInd/>
        <w:rPr>
          <w:rFonts w:cs="Arial"/>
          <w:szCs w:val="24"/>
        </w:rPr>
      </w:pPr>
    </w:p>
    <w:p w:rsidR="006D1BFD" w:rsidRPr="00876461" w:rsidRDefault="006D1BFD" w:rsidP="006D1BFD">
      <w:pPr>
        <w:pStyle w:val="Textoindependiente"/>
        <w:widowControl w:val="0"/>
        <w:autoSpaceDE/>
        <w:autoSpaceDN/>
        <w:adjustRightInd/>
        <w:rPr>
          <w:rFonts w:cs="Arial"/>
          <w:szCs w:val="24"/>
        </w:rPr>
      </w:pPr>
      <w:r w:rsidRPr="00876461">
        <w:rPr>
          <w:rFonts w:cs="Arial"/>
          <w:szCs w:val="24"/>
        </w:rPr>
        <w:t>Tratándose en este caso de una demanda entablada en vigencia del C.C.A., relacionada con las controversias surgidas en relación con los actos expedidos por una empresa oficial prestadora de servicios públicos domiciliarios, se confirma la competencia de la Jurisdicción de lo Contencioso Administrativo para conocer del presente litigio.</w:t>
      </w:r>
    </w:p>
    <w:p w:rsidR="006D1BFD" w:rsidRPr="00876461" w:rsidRDefault="006D1BFD" w:rsidP="006D1BFD">
      <w:pPr>
        <w:widowControl w:val="0"/>
        <w:rPr>
          <w:rFonts w:cs="Arial"/>
          <w:b/>
        </w:rPr>
      </w:pPr>
    </w:p>
    <w:p w:rsidR="006D1BFD" w:rsidRPr="00876461" w:rsidRDefault="006D1BFD" w:rsidP="006D1BFD">
      <w:pPr>
        <w:widowControl w:val="0"/>
        <w:rPr>
          <w:rFonts w:cs="Arial"/>
          <w:b/>
        </w:rPr>
      </w:pPr>
      <w:r w:rsidRPr="00876461">
        <w:rPr>
          <w:rFonts w:cs="Arial"/>
          <w:b/>
        </w:rPr>
        <w:t>1.2. Cuantía</w:t>
      </w:r>
    </w:p>
    <w:p w:rsidR="006D1BFD" w:rsidRPr="00876461" w:rsidRDefault="006D1BFD" w:rsidP="006D1BFD">
      <w:pPr>
        <w:widowControl w:val="0"/>
        <w:rPr>
          <w:rFonts w:cs="Arial"/>
        </w:rPr>
      </w:pPr>
    </w:p>
    <w:p w:rsidR="006D1BFD" w:rsidRPr="00876461" w:rsidRDefault="006D1BFD" w:rsidP="006D1BFD">
      <w:pPr>
        <w:widowControl w:val="0"/>
        <w:tabs>
          <w:tab w:val="left" w:pos="142"/>
        </w:tabs>
        <w:rPr>
          <w:rFonts w:cs="Arial"/>
        </w:rPr>
      </w:pPr>
      <w:r w:rsidRPr="00876461">
        <w:rPr>
          <w:rFonts w:cs="Arial"/>
        </w:rPr>
        <w:t>Precisa la Sala que le asiste competencia para conocer del presente proceso en segunda instancia, toda vez que la pretensión de mayor valor</w:t>
      </w:r>
      <w:r w:rsidRPr="00876461">
        <w:rPr>
          <w:rStyle w:val="Refdenotaalpie"/>
          <w:rFonts w:cs="Arial"/>
        </w:rPr>
        <w:footnoteReference w:id="16"/>
      </w:r>
      <w:r w:rsidRPr="00876461">
        <w:rPr>
          <w:rFonts w:cs="Arial"/>
        </w:rPr>
        <w:t>, considerada a la fecha de la presentación de la demanda, superó el monto equivalente a 500 S.M.L.M.V. ($216’850.000)</w:t>
      </w:r>
      <w:r w:rsidRPr="00876461">
        <w:rPr>
          <w:rStyle w:val="Refdenotaalpie"/>
          <w:rFonts w:cs="Arial"/>
        </w:rPr>
        <w:footnoteReference w:id="17"/>
      </w:r>
      <w:r w:rsidRPr="00876461">
        <w:rPr>
          <w:rFonts w:cs="Arial"/>
        </w:rPr>
        <w:t>, exigido de conformidad con la Ley 1450 de 2011</w:t>
      </w:r>
      <w:r w:rsidRPr="00876461">
        <w:rPr>
          <w:rStyle w:val="Refdenotaalpie"/>
          <w:rFonts w:cs="Arial"/>
        </w:rPr>
        <w:footnoteReference w:id="18"/>
      </w:r>
      <w:r w:rsidRPr="00876461">
        <w:rPr>
          <w:rFonts w:cs="Arial"/>
        </w:rPr>
        <w:t xml:space="preserve"> para que un proceso contractual tuviera vocación de doble instancia.</w:t>
      </w:r>
    </w:p>
    <w:p w:rsidR="006D1BFD" w:rsidRPr="00876461" w:rsidRDefault="006D1BFD" w:rsidP="006D1BFD">
      <w:pPr>
        <w:widowControl w:val="0"/>
        <w:tabs>
          <w:tab w:val="left" w:pos="142"/>
        </w:tabs>
        <w:rPr>
          <w:rFonts w:cs="Arial"/>
        </w:rPr>
      </w:pPr>
    </w:p>
    <w:p w:rsidR="006D1BFD" w:rsidRPr="00876461" w:rsidRDefault="006D1BFD" w:rsidP="006D1BFD">
      <w:pPr>
        <w:widowControl w:val="0"/>
        <w:spacing w:line="240" w:lineRule="auto"/>
        <w:rPr>
          <w:rFonts w:cs="Arial"/>
        </w:rPr>
      </w:pPr>
      <w:r w:rsidRPr="00876461">
        <w:rPr>
          <w:rFonts w:cs="Arial"/>
          <w:b/>
          <w:lang w:val="es-MX"/>
        </w:rPr>
        <w:t>2. Oportunidad en el ejercicio de la acción</w:t>
      </w:r>
    </w:p>
    <w:p w:rsidR="006D1BFD" w:rsidRPr="00876461" w:rsidRDefault="006D1BFD" w:rsidP="006D1BFD">
      <w:pPr>
        <w:widowControl w:val="0"/>
        <w:tabs>
          <w:tab w:val="left" w:pos="7797"/>
        </w:tabs>
        <w:rPr>
          <w:rFonts w:cs="Arial"/>
        </w:rPr>
      </w:pPr>
    </w:p>
    <w:p w:rsidR="006D1BFD" w:rsidRPr="00876461" w:rsidRDefault="006D1BFD" w:rsidP="006D1BFD">
      <w:pPr>
        <w:widowControl w:val="0"/>
        <w:rPr>
          <w:rFonts w:cs="Arial"/>
        </w:rPr>
      </w:pPr>
      <w:r w:rsidRPr="00876461">
        <w:rPr>
          <w:rFonts w:cs="Arial"/>
        </w:rPr>
        <w:t>La Sala advierte que la acción impetrada fue la prevista en el artículo 87 del Código Contencioso Administrativo</w:t>
      </w:r>
      <w:r w:rsidRPr="00876461">
        <w:rPr>
          <w:rStyle w:val="Refdenotaalpie"/>
          <w:rFonts w:cs="Arial"/>
        </w:rPr>
        <w:footnoteReference w:id="19"/>
      </w:r>
      <w:r w:rsidRPr="00876461">
        <w:rPr>
          <w:rFonts w:cs="Arial"/>
        </w:rPr>
        <w:t xml:space="preserve"> y que la controversia planteada se refirió a la pretendida nulidad de los actos mediante los cuales se declaró la configuración del </w:t>
      </w:r>
      <w:r w:rsidRPr="00876461">
        <w:rPr>
          <w:rFonts w:cs="Arial"/>
          <w:i/>
        </w:rPr>
        <w:t>“riesgo de incumplimiento”</w:t>
      </w:r>
      <w:r w:rsidRPr="00876461">
        <w:rPr>
          <w:rFonts w:cs="Arial"/>
        </w:rPr>
        <w:t xml:space="preserve"> y se resolvió “</w:t>
      </w:r>
      <w:r w:rsidRPr="00876461">
        <w:rPr>
          <w:rFonts w:cs="Arial"/>
          <w:i/>
        </w:rPr>
        <w:t>hacer efectiva la garantía de cumplimiento 60000003818001”</w:t>
      </w:r>
      <w:r w:rsidRPr="00876461">
        <w:rPr>
          <w:rStyle w:val="Refdenotaalpie"/>
          <w:rFonts w:cs="Arial"/>
        </w:rPr>
        <w:footnoteReference w:id="20"/>
      </w:r>
      <w:r w:rsidRPr="00876461">
        <w:rPr>
          <w:rFonts w:cs="Arial"/>
          <w:i/>
        </w:rPr>
        <w:t>,</w:t>
      </w:r>
      <w:r w:rsidRPr="00876461">
        <w:rPr>
          <w:rFonts w:cs="Arial"/>
        </w:rPr>
        <w:t xml:space="preserve"> expedida para amparar la ocurrencia del riesgo de incumplimiento en el contrato de </w:t>
      </w:r>
      <w:r w:rsidRPr="00876461">
        <w:rPr>
          <w:rFonts w:cs="Arial"/>
          <w:i/>
        </w:rPr>
        <w:t>“suministro de tubería de cobre para gas natural”</w:t>
      </w:r>
      <w:r w:rsidRPr="00876461">
        <w:rPr>
          <w:rFonts w:cs="Arial"/>
        </w:rPr>
        <w:t xml:space="preserve"> distinguido con el número 0928023 de 2 de febrero de 2006.</w:t>
      </w:r>
    </w:p>
    <w:p w:rsidR="006D1BFD" w:rsidRPr="00876461" w:rsidRDefault="006D1BFD" w:rsidP="006D1BFD">
      <w:pPr>
        <w:widowControl w:val="0"/>
        <w:rPr>
          <w:rFonts w:cs="Arial"/>
        </w:rPr>
      </w:pPr>
    </w:p>
    <w:p w:rsidR="006D1BFD" w:rsidRPr="00876461" w:rsidRDefault="006D1BFD" w:rsidP="006D1BFD">
      <w:pPr>
        <w:widowControl w:val="0"/>
        <w:rPr>
          <w:rFonts w:cs="Arial"/>
        </w:rPr>
      </w:pPr>
      <w:r w:rsidRPr="00876461">
        <w:rPr>
          <w:rFonts w:cs="Arial"/>
        </w:rPr>
        <w:t xml:space="preserve">Como consecuencia, de conformidad con el numeral 10 del artículo 136 del Código Contencioso Administrativo, el término de caducidad de la acción en el presente caso corrió por el lapso de dos años, contados desde la ejecutoria de los actos acusados. </w:t>
      </w:r>
    </w:p>
    <w:p w:rsidR="006D1BFD" w:rsidRPr="00876461" w:rsidRDefault="006D1BFD" w:rsidP="006D1BFD">
      <w:pPr>
        <w:widowControl w:val="0"/>
        <w:rPr>
          <w:rFonts w:cs="Arial"/>
        </w:rPr>
      </w:pPr>
    </w:p>
    <w:p w:rsidR="006D1BFD" w:rsidRPr="00876461" w:rsidRDefault="006D1BFD" w:rsidP="006D1BFD">
      <w:pPr>
        <w:widowControl w:val="0"/>
        <w:rPr>
          <w:rFonts w:cs="Arial"/>
        </w:rPr>
      </w:pPr>
      <w:r w:rsidRPr="00876461">
        <w:rPr>
          <w:rFonts w:cs="Arial"/>
        </w:rPr>
        <w:t xml:space="preserve">En forma concreta, la no ocurrencia de la caducidad se verifica con fundamento en la aplicación del numeral 10 citado, el cual disponía: </w:t>
      </w:r>
    </w:p>
    <w:p w:rsidR="006D1BFD" w:rsidRPr="00876461" w:rsidRDefault="006D1BFD" w:rsidP="006D1BFD">
      <w:pPr>
        <w:widowControl w:val="0"/>
        <w:spacing w:line="276" w:lineRule="auto"/>
        <w:rPr>
          <w:rFonts w:cs="Arial"/>
          <w:shd w:val="clear" w:color="auto" w:fill="FFFFFF"/>
        </w:rPr>
      </w:pPr>
    </w:p>
    <w:p w:rsidR="006D1BFD" w:rsidRPr="00876461" w:rsidRDefault="006D1BFD" w:rsidP="006D1BFD">
      <w:pPr>
        <w:widowControl w:val="0"/>
        <w:spacing w:line="276" w:lineRule="auto"/>
        <w:rPr>
          <w:rFonts w:cs="Arial"/>
          <w:i/>
          <w:shd w:val="clear" w:color="auto" w:fill="FFFFFF"/>
        </w:rPr>
      </w:pPr>
      <w:r w:rsidRPr="00876461">
        <w:rPr>
          <w:rFonts w:cs="Arial"/>
          <w:shd w:val="clear" w:color="auto" w:fill="FFFFFF"/>
        </w:rPr>
        <w:t>“10</w:t>
      </w:r>
      <w:r w:rsidRPr="00876461">
        <w:rPr>
          <w:rFonts w:cs="Arial"/>
          <w:i/>
          <w:shd w:val="clear" w:color="auto" w:fill="FFFFFF"/>
        </w:rPr>
        <w:t>. En las relativas a contratos, el término de caducidad será de dos (2) años que se contará a partir del día siguiente a la ocurrencia de los motivos de hecho o de derecho que les sirvan de fundamento”.</w:t>
      </w:r>
    </w:p>
    <w:p w:rsidR="006D1BFD" w:rsidRPr="00876461" w:rsidRDefault="006D1BFD" w:rsidP="006D1BFD">
      <w:pPr>
        <w:widowControl w:val="0"/>
        <w:tabs>
          <w:tab w:val="left" w:pos="7797"/>
        </w:tabs>
        <w:spacing w:line="276" w:lineRule="auto"/>
        <w:rPr>
          <w:rFonts w:cs="Arial"/>
          <w:lang w:val="es-MX"/>
        </w:rPr>
      </w:pPr>
    </w:p>
    <w:p w:rsidR="006D1BFD" w:rsidRPr="00876461" w:rsidRDefault="006D1BFD" w:rsidP="006D1BFD">
      <w:pPr>
        <w:widowControl w:val="0"/>
        <w:tabs>
          <w:tab w:val="left" w:pos="7797"/>
        </w:tabs>
        <w:rPr>
          <w:rFonts w:cs="Arial"/>
          <w:lang w:val="es-MX"/>
        </w:rPr>
      </w:pPr>
      <w:r w:rsidRPr="00876461">
        <w:rPr>
          <w:rFonts w:cs="Arial"/>
          <w:lang w:val="es-MX"/>
        </w:rPr>
        <w:t>En este proceso se allegó el edicto correspondiente a la Resolución 003174 de 29 de enero de 2007, con constancia que refiere la notificación a la compañía de seguros el 26 de febrero de 2007</w:t>
      </w:r>
      <w:r w:rsidRPr="00876461">
        <w:rPr>
          <w:rStyle w:val="Refdenotaalpie"/>
          <w:rFonts w:cs="Arial"/>
          <w:lang w:val="es-MX"/>
        </w:rPr>
        <w:footnoteReference w:id="21"/>
      </w:r>
      <w:r w:rsidRPr="00876461">
        <w:rPr>
          <w:rFonts w:cs="Arial"/>
          <w:lang w:val="es-MX"/>
        </w:rPr>
        <w:t xml:space="preserve">. </w:t>
      </w:r>
    </w:p>
    <w:p w:rsidR="006D1BFD" w:rsidRPr="00876461" w:rsidRDefault="006D1BFD" w:rsidP="006D1BFD">
      <w:pPr>
        <w:widowControl w:val="0"/>
        <w:tabs>
          <w:tab w:val="left" w:pos="7797"/>
        </w:tabs>
        <w:rPr>
          <w:rFonts w:cs="Arial"/>
          <w:lang w:val="es-MX"/>
        </w:rPr>
      </w:pPr>
    </w:p>
    <w:p w:rsidR="006D1BFD" w:rsidRPr="00876461" w:rsidRDefault="006D1BFD" w:rsidP="006D1BFD">
      <w:pPr>
        <w:widowControl w:val="0"/>
        <w:tabs>
          <w:tab w:val="left" w:pos="7797"/>
        </w:tabs>
        <w:rPr>
          <w:rFonts w:cs="Arial"/>
          <w:lang w:val="es-MX"/>
        </w:rPr>
      </w:pPr>
      <w:r w:rsidRPr="00876461">
        <w:rPr>
          <w:rFonts w:cs="Arial"/>
          <w:lang w:val="es-MX"/>
        </w:rPr>
        <w:t>Así las cosas, toda vez que la caducidad de la acción contractual respecto de los actos acusados ocurría por el transcurso de dos años, lapso que vencía el 27 de febrero de 2009, se concluye que la demanda se presentó mucho antes de que se hubiera configurado la caducidad, el 26 de junio de 2007.</w:t>
      </w:r>
    </w:p>
    <w:p w:rsidR="006D1BFD" w:rsidRPr="00876461" w:rsidRDefault="006D1BFD" w:rsidP="006D1BFD">
      <w:pPr>
        <w:widowControl w:val="0"/>
        <w:rPr>
          <w:rFonts w:cs="Arial"/>
          <w:lang w:val="es-MX"/>
        </w:rPr>
      </w:pPr>
    </w:p>
    <w:p w:rsidR="006D1BFD" w:rsidRPr="00876461" w:rsidRDefault="006D1BFD" w:rsidP="006D1BFD">
      <w:pPr>
        <w:widowControl w:val="0"/>
        <w:rPr>
          <w:rFonts w:cs="Arial"/>
          <w:lang w:val="es-MX"/>
        </w:rPr>
      </w:pPr>
      <w:r w:rsidRPr="00876461">
        <w:rPr>
          <w:rFonts w:cs="Arial"/>
          <w:lang w:val="es-MX"/>
        </w:rPr>
        <w:t xml:space="preserve">Así las cosas, se reitera que no operó la caducidad de la acción y, por ello, asiste a esta Corporación competencia para conocer de la acción correspondiente a la controversia contractual instaurada. </w:t>
      </w:r>
    </w:p>
    <w:p w:rsidR="006D1BFD" w:rsidRPr="00876461" w:rsidRDefault="006D1BFD" w:rsidP="006D1BFD">
      <w:pPr>
        <w:widowControl w:val="0"/>
        <w:rPr>
          <w:rFonts w:cs="Arial"/>
          <w:lang w:val="es-MX"/>
        </w:rPr>
      </w:pPr>
    </w:p>
    <w:p w:rsidR="006D1BFD" w:rsidRPr="00876461" w:rsidRDefault="006D1BFD" w:rsidP="006D1BFD">
      <w:pPr>
        <w:widowControl w:val="0"/>
        <w:rPr>
          <w:rFonts w:cs="Arial"/>
          <w:b/>
        </w:rPr>
      </w:pPr>
      <w:r w:rsidRPr="00876461">
        <w:rPr>
          <w:rFonts w:cs="Arial"/>
          <w:b/>
        </w:rPr>
        <w:t>3. Legitimación activa</w:t>
      </w:r>
    </w:p>
    <w:p w:rsidR="006D1BFD" w:rsidRPr="00876461" w:rsidRDefault="006D1BFD" w:rsidP="006D1BFD">
      <w:pPr>
        <w:widowControl w:val="0"/>
        <w:rPr>
          <w:rFonts w:cs="Arial"/>
          <w:b/>
        </w:rPr>
      </w:pPr>
    </w:p>
    <w:p w:rsidR="006D1BFD" w:rsidRPr="00876461" w:rsidRDefault="006D1BFD" w:rsidP="006D1BFD">
      <w:pPr>
        <w:pStyle w:val="Textoindependiente"/>
        <w:widowControl w:val="0"/>
        <w:rPr>
          <w:rFonts w:cs="Arial"/>
          <w:szCs w:val="24"/>
        </w:rPr>
      </w:pPr>
      <w:r w:rsidRPr="00876461">
        <w:rPr>
          <w:rFonts w:cs="Arial"/>
          <w:szCs w:val="24"/>
        </w:rPr>
        <w:t>A la luz del artículo 87 del C.C.A, teniendo en cuenta que la aseguradora garante es parte</w:t>
      </w:r>
      <w:r w:rsidRPr="00876461">
        <w:rPr>
          <w:rFonts w:cs="Arial"/>
          <w:i/>
          <w:szCs w:val="24"/>
        </w:rPr>
        <w:t xml:space="preserve"> del contrato de seguro</w:t>
      </w:r>
      <w:r w:rsidRPr="00876461">
        <w:rPr>
          <w:rFonts w:cs="Arial"/>
          <w:szCs w:val="24"/>
        </w:rPr>
        <w:t>, en el cual la entidad estatal es beneficiaria de la póliza de cumplimiento correspondiente, se concluye que está legitimada por activa o por pasiva, según sea el caso, para obrar como demandante o demandada en los litigios en los que se discute el siniestro por incumplimiento de las obligaciones contractuales por ella garantizadas</w:t>
      </w:r>
      <w:r w:rsidRPr="00876461">
        <w:rPr>
          <w:rStyle w:val="Refdenotaalpie"/>
          <w:rFonts w:cs="Arial"/>
          <w:szCs w:val="24"/>
        </w:rPr>
        <w:footnoteReference w:id="22"/>
      </w:r>
      <w:r w:rsidRPr="00876461">
        <w:rPr>
          <w:rFonts w:cs="Arial"/>
          <w:szCs w:val="24"/>
        </w:rPr>
        <w:t xml:space="preserve">. </w:t>
      </w:r>
    </w:p>
    <w:p w:rsidR="006D1BFD" w:rsidRPr="00876461" w:rsidRDefault="006D1BFD" w:rsidP="006D1BFD">
      <w:pPr>
        <w:pStyle w:val="Textoindependiente"/>
        <w:widowControl w:val="0"/>
        <w:rPr>
          <w:rFonts w:cs="Arial"/>
          <w:szCs w:val="24"/>
        </w:rPr>
      </w:pPr>
    </w:p>
    <w:p w:rsidR="006D1BFD" w:rsidRPr="00876461" w:rsidRDefault="006D1BFD" w:rsidP="006D1BFD">
      <w:pPr>
        <w:pStyle w:val="Textoindependiente"/>
        <w:widowControl w:val="0"/>
        <w:rPr>
          <w:rFonts w:cs="Arial"/>
          <w:szCs w:val="24"/>
        </w:rPr>
      </w:pPr>
      <w:r w:rsidRPr="00876461">
        <w:rPr>
          <w:rFonts w:cs="Arial"/>
          <w:szCs w:val="24"/>
        </w:rPr>
        <w:t>De la misma forma, la compañía de seguros está legitimada por activa para demandar los actos administrativos mediante los cuales se declara la ocurrencia o la configuración del siniestro y aquellos en que se ordena hacer efectiva la póliza de cumplimiento, toda vez que en esas decisiones la aseguradora garante es la directamente afectada, dado que puede ser compelida al pago del siniestro, con la fuerza obligatoria y la presunción de legalidad de tales actos administrativos.</w:t>
      </w:r>
    </w:p>
    <w:p w:rsidR="006D1BFD" w:rsidRPr="00876461" w:rsidRDefault="006D1BFD" w:rsidP="006D1BFD">
      <w:pPr>
        <w:pStyle w:val="Textoindependiente"/>
        <w:widowControl w:val="0"/>
        <w:rPr>
          <w:rFonts w:cs="Arial"/>
          <w:szCs w:val="24"/>
        </w:rPr>
      </w:pPr>
    </w:p>
    <w:p w:rsidR="006D1BFD" w:rsidRPr="00876461" w:rsidRDefault="006D1BFD" w:rsidP="006D1BFD">
      <w:pPr>
        <w:pStyle w:val="Textoindependiente"/>
        <w:widowControl w:val="0"/>
        <w:rPr>
          <w:rFonts w:cs="Arial"/>
          <w:szCs w:val="24"/>
        </w:rPr>
      </w:pPr>
      <w:r w:rsidRPr="00876461">
        <w:rPr>
          <w:rFonts w:cs="Arial"/>
          <w:szCs w:val="24"/>
        </w:rPr>
        <w:t xml:space="preserve">Como consecuencia, en el asunto litigioso que ahora se debate debe aceptarse la legitimación activa de la Compañía Agrícola de Seguros S.A. para demandar las resoluciones mediante las cuales se resolvió declarar configurado el riesgo por incumplimiento y hacer efectiva la póliza de seguro expedida por esa demandante. </w:t>
      </w:r>
    </w:p>
    <w:p w:rsidR="006D1BFD" w:rsidRPr="00876461" w:rsidRDefault="006D1BFD" w:rsidP="006D1BFD">
      <w:pPr>
        <w:pStyle w:val="Textoindependiente"/>
        <w:widowControl w:val="0"/>
        <w:rPr>
          <w:rFonts w:cs="Arial"/>
          <w:szCs w:val="24"/>
        </w:rPr>
      </w:pPr>
    </w:p>
    <w:p w:rsidR="006D1BFD" w:rsidRPr="00876461" w:rsidRDefault="006D1BFD" w:rsidP="006D1BFD">
      <w:pPr>
        <w:pStyle w:val="Textoindependiente"/>
        <w:widowControl w:val="0"/>
        <w:rPr>
          <w:rFonts w:cs="Arial"/>
          <w:szCs w:val="24"/>
        </w:rPr>
      </w:pPr>
      <w:r w:rsidRPr="00876461">
        <w:rPr>
          <w:rFonts w:cs="Arial"/>
          <w:szCs w:val="24"/>
        </w:rPr>
        <w:t xml:space="preserve">Se reafirma lo anterior, teniendo en cuenta que en los hechos de la demanda se narró, también, la reclamación presentada por EPM y las objeciones formalizadas por la aseguradora, asunto que sitúa el litigio en la relación jurídica entre la aseguradora demandante y la entidad pública demandada. </w:t>
      </w:r>
    </w:p>
    <w:p w:rsidR="006D1BFD" w:rsidRPr="00876461" w:rsidRDefault="006D1BFD" w:rsidP="006D1BFD">
      <w:pPr>
        <w:pStyle w:val="Textoindependiente"/>
        <w:widowControl w:val="0"/>
        <w:rPr>
          <w:rFonts w:cs="Arial"/>
          <w:szCs w:val="24"/>
        </w:rPr>
      </w:pPr>
    </w:p>
    <w:p w:rsidR="006D1BFD" w:rsidRPr="00876461" w:rsidRDefault="006D1BFD" w:rsidP="006D1BFD">
      <w:pPr>
        <w:pStyle w:val="Textoindependiente"/>
        <w:widowControl w:val="0"/>
        <w:rPr>
          <w:rFonts w:cs="Arial"/>
          <w:szCs w:val="24"/>
        </w:rPr>
      </w:pPr>
      <w:r w:rsidRPr="00876461">
        <w:rPr>
          <w:rFonts w:cs="Arial"/>
          <w:szCs w:val="24"/>
        </w:rPr>
        <w:t>Por otra parte, la Sala advierte que es viable proceder al fallo, con independencia del proceso judicial iniciado de manera separada por la contratista, teniendo en cuenta que las pretensiones del presente litigio se refieren a los actos concernientes a la póliza de seguro y que no se solicitó la acumulación de los aludidos procesos.</w:t>
      </w:r>
    </w:p>
    <w:p w:rsidR="006D1BFD" w:rsidRPr="00876461" w:rsidRDefault="006D1BFD" w:rsidP="006D1BFD">
      <w:pPr>
        <w:pStyle w:val="Textoindependiente"/>
        <w:widowControl w:val="0"/>
        <w:spacing w:line="240" w:lineRule="auto"/>
        <w:rPr>
          <w:rFonts w:cs="Arial"/>
          <w:b/>
          <w:szCs w:val="24"/>
        </w:rPr>
      </w:pPr>
    </w:p>
    <w:p w:rsidR="006D1BFD" w:rsidRPr="00876461" w:rsidRDefault="006D1BFD" w:rsidP="006D1BFD">
      <w:pPr>
        <w:widowControl w:val="0"/>
        <w:rPr>
          <w:rFonts w:cs="Arial"/>
          <w:b/>
          <w:bCs/>
          <w:lang w:val="es-MX"/>
        </w:rPr>
      </w:pPr>
      <w:r w:rsidRPr="00876461">
        <w:rPr>
          <w:rFonts w:cs="Arial"/>
          <w:b/>
          <w:bCs/>
          <w:lang w:val="es-MX"/>
        </w:rPr>
        <w:t>4. Marco legal de la contratación sub júdice</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 xml:space="preserve">Tal como lo reseñó la apelante, el Tribunal </w:t>
      </w:r>
      <w:r w:rsidRPr="00876461">
        <w:rPr>
          <w:rFonts w:cs="Arial"/>
          <w:bCs/>
          <w:i/>
          <w:lang w:val="es-MX"/>
        </w:rPr>
        <w:t>a quo</w:t>
      </w:r>
      <w:r w:rsidRPr="00876461">
        <w:rPr>
          <w:rFonts w:cs="Arial"/>
          <w:bCs/>
          <w:lang w:val="es-MX"/>
        </w:rPr>
        <w:t xml:space="preserve"> no se detuvo en el régimen legal de derecho privado que invocó EPM con fundamento en el artículo 85 de la Ley 489 de 1998</w:t>
      </w:r>
      <w:r w:rsidRPr="00876461">
        <w:rPr>
          <w:rStyle w:val="Refdenotaalpie"/>
          <w:rFonts w:cs="Arial"/>
          <w:bCs/>
          <w:lang w:val="es-MX"/>
        </w:rPr>
        <w:footnoteReference w:id="23"/>
      </w:r>
      <w:r w:rsidRPr="00876461">
        <w:rPr>
          <w:rFonts w:cs="Arial"/>
          <w:bCs/>
          <w:lang w:val="es-MX"/>
        </w:rPr>
        <w:t xml:space="preserve">.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 xml:space="preserve">Sin embargo, para el caso concreto, la norma especial que rigió en el contrato sub </w:t>
      </w:r>
      <w:r w:rsidRPr="00876461">
        <w:rPr>
          <w:rFonts w:cs="Arial"/>
          <w:bCs/>
          <w:lang w:val="es-MX"/>
        </w:rPr>
        <w:lastRenderedPageBreak/>
        <w:t xml:space="preserve">júdice fue la Ley 142 de 1994, la cual dispuso el régimen de derecho privado como regla general de la contratación de las entidades de servicios públicos, salvo algunas excepciones como, por ejemplo, las normas jurídicas relativas al contrato de concesión </w:t>
      </w:r>
      <w:r w:rsidRPr="00876461">
        <w:rPr>
          <w:rFonts w:cs="Arial"/>
          <w:shd w:val="clear" w:color="auto" w:fill="FFFFFF"/>
        </w:rPr>
        <w:t>para el uso de recursos naturales o del medio ambiente</w:t>
      </w:r>
      <w:r w:rsidRPr="00876461">
        <w:rPr>
          <w:rStyle w:val="Refdenotaalpie"/>
          <w:rFonts w:cs="Arial"/>
          <w:bCs/>
          <w:lang w:val="es-MX"/>
        </w:rPr>
        <w:footnoteReference w:id="24"/>
      </w:r>
      <w:r w:rsidRPr="00876461">
        <w:rPr>
          <w:rFonts w:cs="Arial"/>
          <w:bCs/>
          <w:lang w:val="es-MX"/>
        </w:rPr>
        <w:t>.</w:t>
      </w:r>
    </w:p>
    <w:p w:rsidR="006D1BFD" w:rsidRPr="00876461" w:rsidRDefault="006D1BFD" w:rsidP="006D1BFD">
      <w:pPr>
        <w:widowControl w:val="0"/>
        <w:rPr>
          <w:rFonts w:cs="Arial"/>
          <w:bCs/>
          <w:lang w:val="es-MX"/>
        </w:rPr>
      </w:pPr>
      <w:r w:rsidRPr="00876461">
        <w:rPr>
          <w:rFonts w:cs="Arial"/>
          <w:bCs/>
          <w:lang w:val="es-MX"/>
        </w:rPr>
        <w:t xml:space="preserve">En las siguientes disposiciones de la Ley 142 de 1994, modificada por la Ley 689 de 2001, se invocó el régimen exceptuado de la Ley 80, para los contratos de las entidades estatales prestadoras de servicios públicos, así: </w:t>
      </w:r>
    </w:p>
    <w:p w:rsidR="006D1BFD" w:rsidRPr="00876461" w:rsidRDefault="006D1BFD" w:rsidP="006D1BFD">
      <w:pPr>
        <w:widowControl w:val="0"/>
        <w:shd w:val="clear" w:color="auto" w:fill="FFFFFF"/>
        <w:spacing w:line="276" w:lineRule="auto"/>
        <w:rPr>
          <w:rFonts w:cs="Arial"/>
          <w:i/>
        </w:rPr>
      </w:pPr>
    </w:p>
    <w:p w:rsidR="006D1BFD" w:rsidRPr="00876461" w:rsidRDefault="006D1BFD" w:rsidP="006D1BFD">
      <w:pPr>
        <w:widowControl w:val="0"/>
        <w:shd w:val="clear" w:color="auto" w:fill="FFFFFF"/>
        <w:spacing w:line="276" w:lineRule="auto"/>
        <w:rPr>
          <w:rFonts w:cs="Arial"/>
          <w:b/>
          <w:i/>
        </w:rPr>
      </w:pPr>
      <w:r w:rsidRPr="00876461">
        <w:rPr>
          <w:rFonts w:cs="Arial"/>
          <w:i/>
        </w:rPr>
        <w:t xml:space="preserve">“Artículo 31. Régimen de la contratación. Los contratos que celebren las entidades estatales que prestan los servicios públicos a los que se refiere esta ley no estarán sujetos a las disposiciones del Estatuto General de Contratación de la Administración Pública, </w:t>
      </w:r>
      <w:r w:rsidRPr="00876461">
        <w:rPr>
          <w:rFonts w:cs="Arial"/>
          <w:b/>
          <w:i/>
        </w:rPr>
        <w:t>salvo en lo que la presente ley disponga otra cosa.</w:t>
      </w:r>
    </w:p>
    <w:p w:rsidR="006D1BFD" w:rsidRDefault="006D1BFD" w:rsidP="006D1BFD">
      <w:pPr>
        <w:widowControl w:val="0"/>
        <w:shd w:val="clear" w:color="auto" w:fill="FFFFFF"/>
        <w:spacing w:line="276" w:lineRule="auto"/>
        <w:rPr>
          <w:rFonts w:cs="Arial"/>
          <w:i/>
        </w:rPr>
      </w:pPr>
    </w:p>
    <w:p w:rsidR="006D1BFD" w:rsidRPr="00876461" w:rsidRDefault="006D1BFD" w:rsidP="006D1BFD">
      <w:pPr>
        <w:widowControl w:val="0"/>
        <w:shd w:val="clear" w:color="auto" w:fill="FFFFFF"/>
        <w:spacing w:line="276" w:lineRule="auto"/>
        <w:rPr>
          <w:rFonts w:cs="Arial"/>
          <w:i/>
        </w:rPr>
      </w:pPr>
      <w:r w:rsidRPr="00876461">
        <w:rPr>
          <w:rFonts w:cs="Arial"/>
          <w:i/>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rsidR="006D1BFD" w:rsidRDefault="006D1BFD" w:rsidP="006D1BFD">
      <w:pPr>
        <w:pStyle w:val="NormalWeb"/>
        <w:widowControl w:val="0"/>
        <w:spacing w:before="0" w:beforeAutospacing="0" w:after="0" w:afterAutospacing="0" w:line="276" w:lineRule="auto"/>
        <w:rPr>
          <w:rFonts w:cs="Arial"/>
          <w:bCs/>
          <w:i/>
          <w:color w:val="000000"/>
          <w:shd w:val="clear" w:color="auto" w:fill="FFFFFF"/>
        </w:rPr>
      </w:pPr>
    </w:p>
    <w:p w:rsidR="006D1BFD" w:rsidRPr="00876461" w:rsidRDefault="006D1BFD" w:rsidP="006D1BFD">
      <w:pPr>
        <w:pStyle w:val="NormalWeb"/>
        <w:widowControl w:val="0"/>
        <w:spacing w:before="0" w:beforeAutospacing="0" w:after="0" w:afterAutospacing="0" w:line="276" w:lineRule="auto"/>
        <w:rPr>
          <w:rFonts w:cs="Arial"/>
          <w:i/>
          <w:color w:val="000000"/>
          <w:shd w:val="clear" w:color="auto" w:fill="FFFFFF"/>
        </w:rPr>
      </w:pPr>
      <w:r w:rsidRPr="00876461">
        <w:rPr>
          <w:rFonts w:cs="Arial"/>
          <w:bCs/>
          <w:i/>
          <w:color w:val="000000"/>
          <w:shd w:val="clear" w:color="auto" w:fill="FFFFFF"/>
        </w:rPr>
        <w:t>“Artículo 32</w:t>
      </w:r>
      <w:r w:rsidRPr="00876461">
        <w:rPr>
          <w:rFonts w:cs="Arial"/>
          <w:i/>
          <w:color w:val="000000"/>
          <w:shd w:val="clear" w:color="auto" w:fill="FFFFFF"/>
        </w:rPr>
        <w:t>. </w:t>
      </w:r>
      <w:r w:rsidRPr="00876461">
        <w:rPr>
          <w:rFonts w:cs="Arial"/>
          <w:bCs/>
          <w:i/>
          <w:color w:val="000000"/>
          <w:shd w:val="clear" w:color="auto" w:fill="FFFFFF"/>
        </w:rPr>
        <w:t>Régimen de derecho privado para los actos de las empresas.</w:t>
      </w:r>
      <w:r w:rsidRPr="00876461">
        <w:rPr>
          <w:rFonts w:cs="Arial"/>
          <w:i/>
          <w:color w:val="000000"/>
          <w:shd w:val="clear" w:color="auto" w:fill="FFFFFF"/>
        </w:rPr>
        <w:t xml:space="preserve"> Salvo en cuanto la Constitución Política </w:t>
      </w:r>
      <w:r w:rsidRPr="00876461">
        <w:rPr>
          <w:rFonts w:cs="Arial"/>
          <w:b/>
          <w:i/>
          <w:color w:val="000000"/>
          <w:shd w:val="clear" w:color="auto" w:fill="FFFFFF"/>
        </w:rPr>
        <w:t xml:space="preserve">o </w:t>
      </w:r>
      <w:r w:rsidRPr="00876461">
        <w:rPr>
          <w:rFonts w:cs="Arial"/>
          <w:b/>
          <w:i/>
          <w:color w:val="000000"/>
          <w:u w:val="single"/>
          <w:shd w:val="clear" w:color="auto" w:fill="FFFFFF"/>
        </w:rPr>
        <w:t>esta Ley</w:t>
      </w:r>
      <w:r w:rsidRPr="00876461">
        <w:rPr>
          <w:rFonts w:cs="Arial"/>
          <w:b/>
          <w:i/>
          <w:color w:val="000000"/>
          <w:shd w:val="clear" w:color="auto" w:fill="FFFFFF"/>
        </w:rPr>
        <w:t xml:space="preserve"> dispongan expresamente lo contrario, </w:t>
      </w:r>
      <w:r w:rsidRPr="00876461">
        <w:rPr>
          <w:rFonts w:cs="Arial"/>
          <w:i/>
          <w:color w:val="000000"/>
          <w:shd w:val="clear" w:color="auto" w:fill="FFFFFF"/>
        </w:rPr>
        <w:t>la constitución, y</w:t>
      </w:r>
      <w:r w:rsidRPr="00876461">
        <w:rPr>
          <w:rFonts w:cs="Arial"/>
          <w:b/>
          <w:i/>
          <w:color w:val="000000"/>
          <w:shd w:val="clear" w:color="auto" w:fill="FFFFFF"/>
        </w:rPr>
        <w:t xml:space="preserve"> </w:t>
      </w:r>
      <w:r w:rsidRPr="00876461">
        <w:rPr>
          <w:rFonts w:cs="Arial"/>
          <w:b/>
          <w:i/>
          <w:color w:val="000000"/>
          <w:u w:val="single"/>
          <w:shd w:val="clear" w:color="auto" w:fill="FFFFFF"/>
        </w:rPr>
        <w:t>los actos de todas las empresas de servicios públicos</w:t>
      </w:r>
      <w:r w:rsidRPr="00876461">
        <w:rPr>
          <w:rFonts w:cs="Arial"/>
          <w:b/>
          <w:i/>
          <w:color w:val="000000"/>
          <w:shd w:val="clear" w:color="auto" w:fill="FFFFFF"/>
        </w:rPr>
        <w:t xml:space="preserve">, </w:t>
      </w:r>
      <w:r w:rsidRPr="00876461">
        <w:rPr>
          <w:rFonts w:cs="Arial"/>
          <w:i/>
          <w:color w:val="000000"/>
          <w:shd w:val="clear" w:color="auto" w:fill="FFFFFF"/>
        </w:rPr>
        <w:t xml:space="preserve">así como los requeridos para la administración y el ejercicio de los derechos de todas las personas que sean socias de ellas, </w:t>
      </w:r>
      <w:r w:rsidRPr="00876461">
        <w:rPr>
          <w:rFonts w:cs="Arial"/>
          <w:b/>
          <w:i/>
          <w:color w:val="000000"/>
          <w:u w:val="single"/>
          <w:shd w:val="clear" w:color="auto" w:fill="FFFFFF"/>
        </w:rPr>
        <w:t>en lo no dispuesto en esta Ley</w:t>
      </w:r>
      <w:r w:rsidRPr="00876461">
        <w:rPr>
          <w:rFonts w:cs="Arial"/>
          <w:b/>
          <w:i/>
          <w:color w:val="000000"/>
          <w:shd w:val="clear" w:color="auto" w:fill="FFFFFF"/>
        </w:rPr>
        <w:t>, se regirán exclusivamente por las reglas del derecho privado</w:t>
      </w:r>
      <w:r w:rsidRPr="00876461">
        <w:rPr>
          <w:rFonts w:cs="Arial"/>
          <w:i/>
          <w:color w:val="000000"/>
          <w:shd w:val="clear" w:color="auto" w:fill="FFFFFF"/>
        </w:rPr>
        <w:t>.</w:t>
      </w:r>
    </w:p>
    <w:p w:rsidR="006D1BFD" w:rsidRPr="00876461" w:rsidRDefault="006D1BFD" w:rsidP="006D1BFD">
      <w:pPr>
        <w:pStyle w:val="NormalWeb"/>
        <w:widowControl w:val="0"/>
        <w:shd w:val="clear" w:color="auto" w:fill="FFFFFF"/>
        <w:spacing w:before="0" w:beforeAutospacing="0" w:after="0" w:afterAutospacing="0" w:line="276" w:lineRule="auto"/>
        <w:rPr>
          <w:rFonts w:cs="Arial"/>
          <w:i/>
          <w:color w:val="000000"/>
        </w:rPr>
      </w:pPr>
      <w:r w:rsidRPr="00876461">
        <w:rPr>
          <w:rFonts w:cs="Arial"/>
          <w:i/>
          <w:color w:val="000000"/>
        </w:rPr>
        <w:t xml:space="preserve">“La regla precedente se aplicará, inclusive, a las sociedades en las que las entidades públicas sean parte, sin atender al porcentaje que sus aportes representen dentro del capital social, ni a la naturaleza del acto o del derecho que se ejerce” </w:t>
      </w:r>
      <w:r w:rsidRPr="00876461">
        <w:rPr>
          <w:rFonts w:cs="Arial"/>
          <w:color w:val="000000"/>
        </w:rPr>
        <w:t>(la subraya y la negrilla no son del texto).</w:t>
      </w:r>
      <w:r w:rsidRPr="00876461">
        <w:rPr>
          <w:rFonts w:cs="Arial"/>
          <w:i/>
          <w:color w:val="000000"/>
        </w:rPr>
        <w:t> </w:t>
      </w:r>
    </w:p>
    <w:p w:rsidR="006D1BFD" w:rsidRDefault="006D1BFD" w:rsidP="006D1BFD">
      <w:pPr>
        <w:pStyle w:val="NormalWeb"/>
        <w:widowControl w:val="0"/>
        <w:spacing w:before="0" w:beforeAutospacing="0" w:after="0" w:afterAutospacing="0"/>
        <w:rPr>
          <w:rFonts w:cs="Arial"/>
          <w:bCs/>
          <w:color w:val="000000"/>
          <w:shd w:val="clear" w:color="auto" w:fill="FFFFFF"/>
        </w:rPr>
      </w:pPr>
    </w:p>
    <w:p w:rsidR="006D1BFD" w:rsidRPr="00876461" w:rsidRDefault="006D1BFD" w:rsidP="006D1BFD">
      <w:pPr>
        <w:pStyle w:val="NormalWeb"/>
        <w:widowControl w:val="0"/>
        <w:spacing w:before="0" w:beforeAutospacing="0" w:after="0" w:afterAutospacing="0"/>
        <w:rPr>
          <w:rFonts w:cs="Arial"/>
          <w:bCs/>
          <w:color w:val="000000"/>
          <w:shd w:val="clear" w:color="auto" w:fill="FFFFFF"/>
        </w:rPr>
      </w:pPr>
      <w:r w:rsidRPr="00876461">
        <w:rPr>
          <w:rFonts w:cs="Arial"/>
          <w:bCs/>
          <w:color w:val="000000"/>
          <w:shd w:val="clear" w:color="auto" w:fill="FFFFFF"/>
        </w:rPr>
        <w:t xml:space="preserve">Por otra parte, el artículo 33 de la Ley 142 de 1994 delimitó, en forma taxativa, los actos administrativos </w:t>
      </w:r>
      <w:r w:rsidRPr="00876461">
        <w:rPr>
          <w:rFonts w:cs="Arial"/>
          <w:bCs/>
          <w:i/>
          <w:color w:val="000000"/>
          <w:shd w:val="clear" w:color="auto" w:fill="FFFFFF"/>
        </w:rPr>
        <w:t>“por la prestación de servicios públicos”</w:t>
      </w:r>
      <w:r w:rsidRPr="00876461">
        <w:rPr>
          <w:rFonts w:cs="Arial"/>
          <w:bCs/>
          <w:color w:val="000000"/>
          <w:shd w:val="clear" w:color="auto" w:fill="FFFFFF"/>
        </w:rPr>
        <w:t xml:space="preserve"> que podían expedirse para el uso del espacio público o la ocupación de bienes públicos o privados requeridos para la prestación del servicio, de acuerdo con la siguiente descripción: </w:t>
      </w:r>
    </w:p>
    <w:p w:rsidR="006D1BFD" w:rsidRDefault="006D1BFD" w:rsidP="006D1BFD">
      <w:pPr>
        <w:pStyle w:val="NormalWeb"/>
        <w:widowControl w:val="0"/>
        <w:spacing w:before="0" w:beforeAutospacing="0" w:after="0" w:afterAutospacing="0" w:line="276" w:lineRule="auto"/>
        <w:rPr>
          <w:rFonts w:cs="Arial"/>
          <w:bCs/>
          <w:i/>
          <w:color w:val="000000"/>
          <w:shd w:val="clear" w:color="auto" w:fill="FFFFFF"/>
        </w:rPr>
      </w:pPr>
    </w:p>
    <w:p w:rsidR="006D1BFD" w:rsidRPr="00876461" w:rsidRDefault="006D1BFD" w:rsidP="006D1BFD">
      <w:pPr>
        <w:pStyle w:val="NormalWeb"/>
        <w:widowControl w:val="0"/>
        <w:spacing w:before="0" w:beforeAutospacing="0" w:after="0" w:afterAutospacing="0" w:line="276" w:lineRule="auto"/>
        <w:rPr>
          <w:rFonts w:cs="Arial"/>
          <w:color w:val="000000"/>
          <w:shd w:val="clear" w:color="auto" w:fill="FFFFFF"/>
        </w:rPr>
      </w:pPr>
      <w:r w:rsidRPr="00876461">
        <w:rPr>
          <w:rFonts w:cs="Arial"/>
          <w:bCs/>
          <w:i/>
          <w:color w:val="000000"/>
          <w:shd w:val="clear" w:color="auto" w:fill="FFFFFF"/>
        </w:rPr>
        <w:t>“Artículo 33</w:t>
      </w:r>
      <w:r w:rsidRPr="00876461">
        <w:rPr>
          <w:rFonts w:cs="Arial"/>
          <w:i/>
          <w:color w:val="000000"/>
          <w:shd w:val="clear" w:color="auto" w:fill="FFFFFF"/>
        </w:rPr>
        <w:t>. </w:t>
      </w:r>
      <w:r w:rsidRPr="00876461">
        <w:rPr>
          <w:rFonts w:cs="Arial"/>
          <w:bCs/>
          <w:i/>
          <w:color w:val="000000"/>
          <w:shd w:val="clear" w:color="auto" w:fill="FFFFFF"/>
        </w:rPr>
        <w:t>Facultades especiales por la prestación de servicios públicos.</w:t>
      </w:r>
      <w:r w:rsidRPr="00876461">
        <w:rPr>
          <w:rFonts w:cs="Arial"/>
          <w:i/>
          <w:color w:val="000000"/>
          <w:shd w:val="clear" w:color="auto" w:fill="FFFFFF"/>
        </w:rPr>
        <w:t xml:space="preserve"> Quienes presten servicios públicos tienen los mismos derechos y prerrogativas que esta Ley u otras anteriores, confieren </w:t>
      </w:r>
      <w:r w:rsidRPr="00876461">
        <w:rPr>
          <w:rFonts w:cs="Arial"/>
          <w:b/>
          <w:i/>
          <w:color w:val="000000"/>
          <w:shd w:val="clear" w:color="auto" w:fill="FFFFFF"/>
        </w:rPr>
        <w:t>para el uso del espacio público, para la ocupación temporal de inmuebles, y para promover la constitución de servidumbres o la enajenación forzosa de los bienes que se requieran para la prestación del servicio; pero estarán sujetos al control de la jurisdicción en lo contencioso administrativo sobre la legalidad de sus actos</w:t>
      </w:r>
      <w:r w:rsidRPr="00876461">
        <w:rPr>
          <w:rFonts w:cs="Arial"/>
          <w:i/>
          <w:color w:val="000000"/>
          <w:shd w:val="clear" w:color="auto" w:fill="FFFFFF"/>
        </w:rPr>
        <w:t>, y a la responsabilidad por acción u omisión en el uso de tales derechos” (</w:t>
      </w:r>
      <w:r w:rsidRPr="00876461">
        <w:rPr>
          <w:rFonts w:cs="Arial"/>
          <w:color w:val="000000"/>
          <w:shd w:val="clear" w:color="auto" w:fill="FFFFFF"/>
        </w:rPr>
        <w:t>la negrilla no es del texto).</w:t>
      </w:r>
    </w:p>
    <w:p w:rsidR="006D1BFD" w:rsidRPr="00876461" w:rsidRDefault="006D1BFD" w:rsidP="006D1BFD">
      <w:pPr>
        <w:widowControl w:val="0"/>
        <w:spacing w:line="276" w:lineRule="auto"/>
        <w:rPr>
          <w:rFonts w:cs="Arial"/>
          <w:bCs/>
          <w:i/>
          <w:lang w:val="es-MX"/>
        </w:rPr>
      </w:pPr>
    </w:p>
    <w:p w:rsidR="006D1BFD" w:rsidRPr="00876461" w:rsidRDefault="006D1BFD" w:rsidP="006D1BFD">
      <w:pPr>
        <w:widowControl w:val="0"/>
        <w:rPr>
          <w:rFonts w:cs="Arial"/>
          <w:bCs/>
          <w:lang w:val="es-MX"/>
        </w:rPr>
      </w:pPr>
      <w:r w:rsidRPr="00876461">
        <w:rPr>
          <w:rFonts w:cs="Arial"/>
          <w:bCs/>
          <w:lang w:val="es-MX"/>
        </w:rPr>
        <w:t>En relación con las anteriores disposiciones, debe resaltarse que la Corte Constitucional declaró su exequibilidad y, con ello, la constitucionalidad del régimen de derecho privado para la generalidad de los respectivos actos y contratos de las empresas prestadoras de servicios públicos</w:t>
      </w:r>
      <w:r w:rsidRPr="00876461">
        <w:rPr>
          <w:rStyle w:val="Refdenotaalpie"/>
          <w:rFonts w:cs="Arial"/>
          <w:bCs/>
          <w:lang w:val="es-MX"/>
        </w:rPr>
        <w:footnoteReference w:id="25"/>
      </w:r>
      <w:r w:rsidRPr="00876461">
        <w:rPr>
          <w:rFonts w:cs="Arial"/>
          <w:bCs/>
          <w:lang w:val="es-MX"/>
        </w:rPr>
        <w:t xml:space="preserve">.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 xml:space="preserve">Por último, descendiendo al caso concreto, se observa: </w:t>
      </w:r>
      <w:r w:rsidRPr="00876461">
        <w:rPr>
          <w:rFonts w:cs="Arial"/>
          <w:b/>
          <w:bCs/>
          <w:lang w:val="es-MX"/>
        </w:rPr>
        <w:t xml:space="preserve">i) </w:t>
      </w:r>
      <w:r w:rsidRPr="00876461">
        <w:rPr>
          <w:rFonts w:cs="Arial"/>
          <w:bCs/>
          <w:lang w:val="es-MX"/>
        </w:rPr>
        <w:t xml:space="preserve">que el contrato 090325402 no contempló cláusulas exorbitantes, por lo cual no se encontraba en el supuesto excepcional de la aplicación de las reglas de la Ley 80 de 1993 y </w:t>
      </w:r>
      <w:r w:rsidRPr="00876461">
        <w:rPr>
          <w:rFonts w:cs="Arial"/>
          <w:b/>
          <w:bCs/>
          <w:lang w:val="es-MX"/>
        </w:rPr>
        <w:t>ii)</w:t>
      </w:r>
      <w:r w:rsidRPr="00876461">
        <w:rPr>
          <w:rFonts w:cs="Arial"/>
          <w:bCs/>
          <w:lang w:val="es-MX"/>
        </w:rPr>
        <w:t xml:space="preserve"> que la Resolución 002950 de 31 de octubre de 2006, sobre cuya legalidad se </w:t>
      </w:r>
      <w:r w:rsidRPr="00876461">
        <w:rPr>
          <w:rFonts w:cs="Arial"/>
          <w:bCs/>
          <w:lang w:val="es-MX"/>
        </w:rPr>
        <w:lastRenderedPageBreak/>
        <w:t xml:space="preserve">discute en este proceso no era de aquellas requeridas para el uso de espacio público o bienes requeridos para la prestación del servicio, en los términos de los artículos 32 y 33 de la Ley 142 de 1994. </w:t>
      </w:r>
    </w:p>
    <w:p w:rsidR="006D1BFD" w:rsidRPr="00876461" w:rsidRDefault="006D1BFD" w:rsidP="006D1BFD">
      <w:pPr>
        <w:widowControl w:val="0"/>
        <w:spacing w:line="240" w:lineRule="auto"/>
        <w:rPr>
          <w:rFonts w:cs="Arial"/>
          <w:b/>
        </w:rPr>
      </w:pPr>
    </w:p>
    <w:p w:rsidR="006D1BFD" w:rsidRPr="00876461" w:rsidRDefault="006D1BFD" w:rsidP="006D1BFD">
      <w:pPr>
        <w:widowControl w:val="0"/>
        <w:rPr>
          <w:rFonts w:cs="Arial"/>
        </w:rPr>
      </w:pPr>
      <w:r w:rsidRPr="00876461">
        <w:rPr>
          <w:rFonts w:cs="Arial"/>
        </w:rPr>
        <w:t xml:space="preserve">Así las cosas, es cierto que el contrato 090325402 de 2 de febrero de 2006 se rigió por el derecho privado y que ni ese texto contractual ni la Ley 142 de 1994 eran fuente de competencia sustantiva para expedir un acto administrativo mediante el cual se declarara la materialización del riesgo de incumplimiento y se dispusiera la efectividad de la póliza de seguro. </w:t>
      </w:r>
    </w:p>
    <w:p w:rsidR="006D1BFD" w:rsidRPr="00876461" w:rsidRDefault="006D1BFD" w:rsidP="006D1BFD">
      <w:pPr>
        <w:widowControl w:val="0"/>
        <w:rPr>
          <w:rFonts w:cs="Arial"/>
        </w:rPr>
      </w:pPr>
    </w:p>
    <w:p w:rsidR="006D1BFD" w:rsidRPr="00876461" w:rsidRDefault="006D1BFD" w:rsidP="006D1BFD">
      <w:pPr>
        <w:widowControl w:val="0"/>
        <w:rPr>
          <w:rFonts w:cs="Arial"/>
        </w:rPr>
      </w:pPr>
      <w:r w:rsidRPr="00876461">
        <w:rPr>
          <w:rFonts w:cs="Arial"/>
        </w:rPr>
        <w:t>Sin embargo, resulta pertinente analizar si el referido acto administrativo podía apoyarse en el artículo 68 del CCA, dado que EPM acreditó en este proceso que era una empresa industrial y comercial del estado, para la época de los hechos.</w:t>
      </w:r>
    </w:p>
    <w:p w:rsidR="006D1BFD" w:rsidRPr="00876461" w:rsidRDefault="006D1BFD" w:rsidP="006D1BFD">
      <w:pPr>
        <w:widowControl w:val="0"/>
        <w:spacing w:line="240" w:lineRule="auto"/>
        <w:rPr>
          <w:rFonts w:cs="Arial"/>
          <w:b/>
        </w:rPr>
      </w:pPr>
    </w:p>
    <w:p w:rsidR="006D1BFD" w:rsidRPr="00876461" w:rsidRDefault="006D1BFD" w:rsidP="006D1BFD">
      <w:pPr>
        <w:widowControl w:val="0"/>
        <w:spacing w:line="240" w:lineRule="auto"/>
        <w:rPr>
          <w:rFonts w:cs="Arial"/>
          <w:b/>
        </w:rPr>
      </w:pPr>
      <w:r w:rsidRPr="00876461">
        <w:rPr>
          <w:rFonts w:cs="Arial"/>
          <w:b/>
        </w:rPr>
        <w:t xml:space="preserve">5. Competencia para declarar el siniestro y hacer exigible la garantía, en contratos de empresas prestadoras de servicios públicos domiciliarios </w:t>
      </w:r>
    </w:p>
    <w:p w:rsidR="006D1BFD" w:rsidRPr="00876461" w:rsidRDefault="006D1BFD" w:rsidP="006D1BFD">
      <w:pPr>
        <w:widowControl w:val="0"/>
        <w:spacing w:line="240" w:lineRule="auto"/>
        <w:rPr>
          <w:rFonts w:cs="Arial"/>
          <w:lang w:val="es-CO"/>
        </w:rPr>
      </w:pPr>
    </w:p>
    <w:p w:rsidR="006D1BFD" w:rsidRPr="00876461" w:rsidRDefault="006D1BFD" w:rsidP="006D1BFD">
      <w:pPr>
        <w:widowControl w:val="0"/>
        <w:rPr>
          <w:rFonts w:cs="Arial"/>
          <w:lang w:val="es-CO"/>
        </w:rPr>
      </w:pPr>
      <w:r w:rsidRPr="00876461">
        <w:rPr>
          <w:rFonts w:cs="Arial"/>
          <w:lang w:val="es-CO"/>
        </w:rPr>
        <w:t xml:space="preserve">Lo primero que debe advertirse es que para la fecha en que se celebró el contrato de suministro y se otorgó la póliza de cumplimiento (febrero de 2006), la jurisprudencia vigente del Consejo de Estado había establecido que el acto administrativo que ordenaba la efectividad de la póliza de cumplimiento no constituía una manifestación de exorbitancia y que para expedirlo le asistía competencia a las entidades públicas a quienes aplicaba el artículo 68 del Código Contencioso Administrativo, así: </w:t>
      </w:r>
    </w:p>
    <w:p w:rsidR="006D1BFD" w:rsidRPr="00876461" w:rsidRDefault="006D1BFD" w:rsidP="006D1BFD">
      <w:pPr>
        <w:widowControl w:val="0"/>
        <w:rPr>
          <w:rFonts w:cs="Arial"/>
          <w:lang w:val="es-CO"/>
        </w:rPr>
      </w:pPr>
    </w:p>
    <w:p w:rsidR="006D1BFD" w:rsidRPr="00876461" w:rsidRDefault="006D1BFD" w:rsidP="006D1BFD">
      <w:pPr>
        <w:pStyle w:val="Textonotapie"/>
        <w:widowControl w:val="0"/>
        <w:rPr>
          <w:rFonts w:cs="Arial"/>
          <w:sz w:val="24"/>
          <w:szCs w:val="24"/>
        </w:rPr>
      </w:pPr>
      <w:r w:rsidRPr="00876461">
        <w:rPr>
          <w:rFonts w:cs="Arial"/>
          <w:b/>
          <w:sz w:val="24"/>
          <w:szCs w:val="24"/>
        </w:rPr>
        <w:t xml:space="preserve">i) </w:t>
      </w:r>
      <w:r w:rsidRPr="00876461">
        <w:rPr>
          <w:rFonts w:cs="Arial"/>
          <w:sz w:val="24"/>
          <w:szCs w:val="24"/>
        </w:rPr>
        <w:t xml:space="preserve">Consejo de Estado, Sala de lo Contencioso Administrativo, Sección Tercera, Consejero Ponente: Ricardo Hoyos Duque, sentencia del 18 de marzo de 2004, radicado 73001232100019970549501 (15936): </w:t>
      </w:r>
    </w:p>
    <w:p w:rsidR="006D1BFD" w:rsidRPr="00876461" w:rsidRDefault="006D1BFD" w:rsidP="006D1BFD">
      <w:pPr>
        <w:pStyle w:val="Textonotapie"/>
        <w:widowControl w:val="0"/>
        <w:spacing w:line="240" w:lineRule="auto"/>
        <w:rPr>
          <w:rFonts w:cs="Arial"/>
          <w:sz w:val="24"/>
          <w:szCs w:val="24"/>
        </w:rPr>
      </w:pPr>
    </w:p>
    <w:p w:rsidR="006D1BFD" w:rsidRPr="00876461" w:rsidRDefault="006D1BFD" w:rsidP="006D1BFD">
      <w:pPr>
        <w:pStyle w:val="Textonotapie"/>
        <w:widowControl w:val="0"/>
        <w:spacing w:line="276" w:lineRule="auto"/>
        <w:rPr>
          <w:rFonts w:cs="Arial"/>
          <w:i/>
          <w:sz w:val="24"/>
          <w:szCs w:val="24"/>
        </w:rPr>
      </w:pPr>
      <w:r w:rsidRPr="00876461">
        <w:rPr>
          <w:rFonts w:cs="Arial"/>
          <w:i/>
          <w:sz w:val="24"/>
          <w:szCs w:val="24"/>
        </w:rPr>
        <w:t xml:space="preserve">“Por último, ha precisado la Sala, que el acto que expide la administración pública con el fin de hacer efectiva alguna de las garantías que prestó el contratista para amparar el cumplimiento de sus obligaciones contractuales, no es en estricto sentido el ejercicio de una potestad exorbitante en la actividad contractual, como quiera que el acto es la forma que acredita el siniestro y de </w:t>
      </w:r>
      <w:r w:rsidRPr="00876461">
        <w:rPr>
          <w:rFonts w:cs="Arial"/>
          <w:sz w:val="24"/>
          <w:szCs w:val="24"/>
        </w:rPr>
        <w:t>[debe]</w:t>
      </w:r>
      <w:r w:rsidRPr="00876461">
        <w:rPr>
          <w:rFonts w:cs="Arial"/>
          <w:i/>
          <w:sz w:val="24"/>
          <w:szCs w:val="24"/>
        </w:rPr>
        <w:t xml:space="preserve"> integrar con la póliza el título ejecutivo, en los términos del artículo 68 del C.C.A.”.</w:t>
      </w:r>
    </w:p>
    <w:p w:rsidR="006D1BFD" w:rsidRPr="00876461" w:rsidRDefault="006D1BFD" w:rsidP="006D1BFD">
      <w:pPr>
        <w:pStyle w:val="Textonotapie"/>
        <w:widowControl w:val="0"/>
        <w:spacing w:line="276" w:lineRule="auto"/>
        <w:rPr>
          <w:rFonts w:cs="Arial"/>
          <w:i/>
          <w:sz w:val="24"/>
          <w:szCs w:val="24"/>
          <w:lang w:val="es-MX"/>
        </w:rPr>
      </w:pPr>
    </w:p>
    <w:p w:rsidR="006D1BFD" w:rsidRPr="00876461" w:rsidRDefault="006D1BFD" w:rsidP="006D1BFD">
      <w:pPr>
        <w:widowControl w:val="0"/>
        <w:rPr>
          <w:rFonts w:cs="Arial"/>
          <w:bCs/>
          <w:lang w:val="es-ES_tradnl"/>
        </w:rPr>
      </w:pPr>
      <w:r w:rsidRPr="00876461">
        <w:rPr>
          <w:rFonts w:cs="Arial"/>
          <w:b/>
          <w:lang w:val="es-CO"/>
        </w:rPr>
        <w:t xml:space="preserve">ii) </w:t>
      </w:r>
      <w:r w:rsidRPr="00876461">
        <w:rPr>
          <w:rFonts w:cs="Arial"/>
        </w:rPr>
        <w:t xml:space="preserve">Consejo de Estado, Sala de lo Contencioso Administrativo, </w:t>
      </w:r>
      <w:r w:rsidRPr="00876461">
        <w:rPr>
          <w:rFonts w:cs="Arial"/>
          <w:iCs/>
        </w:rPr>
        <w:t xml:space="preserve">Sección Tercera, </w:t>
      </w:r>
      <w:r w:rsidRPr="00876461">
        <w:rPr>
          <w:rFonts w:cs="Arial"/>
          <w:bCs/>
          <w:lang w:val="es-ES_tradnl"/>
        </w:rPr>
        <w:t xml:space="preserve">Consejero ponente: Alier E. Hernández Enríquez, sentencia de 14 de abril de 2005, radicación: 0297, No. interno: 13.599, actor: INGESA Ingenieros Civiles y Arquitectos Asociados Ltda., demandado: Fondo Rotatorio Vial Distrital – </w:t>
      </w:r>
      <w:r w:rsidRPr="00876461">
        <w:rPr>
          <w:rFonts w:cs="Arial"/>
          <w:bCs/>
          <w:lang w:val="es-ES_tradnl"/>
        </w:rPr>
        <w:lastRenderedPageBreak/>
        <w:t>FOSOP</w:t>
      </w:r>
      <w:r w:rsidRPr="00876461">
        <w:rPr>
          <w:rStyle w:val="Refdenotaalpie"/>
          <w:rFonts w:cs="Arial"/>
          <w:bCs/>
          <w:lang w:val="es-ES_tradnl"/>
        </w:rPr>
        <w:footnoteReference w:id="26"/>
      </w:r>
      <w:r w:rsidRPr="00876461">
        <w:rPr>
          <w:rFonts w:cs="Arial"/>
          <w:bCs/>
          <w:lang w:val="es-ES_tradnl"/>
        </w:rPr>
        <w:t xml:space="preserve">: </w:t>
      </w:r>
    </w:p>
    <w:p w:rsidR="006D1BFD" w:rsidRPr="00876461" w:rsidRDefault="006D1BFD" w:rsidP="006D1BFD">
      <w:pPr>
        <w:widowControl w:val="0"/>
        <w:rPr>
          <w:rFonts w:cs="Arial"/>
          <w:lang w:val="es-CO"/>
        </w:rPr>
      </w:pPr>
    </w:p>
    <w:p w:rsidR="006D1BFD" w:rsidRPr="00876461" w:rsidRDefault="006D1BFD" w:rsidP="006D1BFD">
      <w:pPr>
        <w:widowControl w:val="0"/>
        <w:spacing w:line="276" w:lineRule="auto"/>
        <w:rPr>
          <w:rFonts w:cs="Arial"/>
          <w:b/>
          <w:i/>
          <w:color w:val="000000"/>
        </w:rPr>
      </w:pPr>
      <w:r w:rsidRPr="00876461">
        <w:rPr>
          <w:rFonts w:cs="Arial"/>
          <w:i/>
          <w:color w:val="000000"/>
          <w:lang w:val="es-ES_tradnl"/>
        </w:rPr>
        <w:t xml:space="preserve">“Para la Sala estas dos normas </w:t>
      </w:r>
      <w:r w:rsidRPr="00876461">
        <w:rPr>
          <w:rFonts w:cs="Arial"/>
          <w:color w:val="000000"/>
          <w:lang w:val="es-ES_tradnl"/>
        </w:rPr>
        <w:t>[numerales. 4 y 5 del artículo 68 C.C.A.]</w:t>
      </w:r>
      <w:r w:rsidRPr="00876461">
        <w:rPr>
          <w:rFonts w:cs="Arial"/>
          <w:i/>
          <w:color w:val="000000"/>
          <w:lang w:val="es-ES_tradnl"/>
        </w:rPr>
        <w:t xml:space="preserve"> se deben integrar, para comprender su alcance y significado plenos, integración de la cual resulta que cualquier póliza contractual, constituida a favor del Estado, presta mérito ejecutivo - aunque. no por jurisdicción coactiva-, pues no es lógico -ni es el sentido de la norma- fraccionar el mérito ejecutivo de las garantías contractuales a favor del Estado, cuando es claro que el numeral citado incluye todos los amparos que puede contener una póliza; y el numeral 5 incluye cualquier otro tipo de garantía a favor del Estado, de donde se deduce que </w:t>
      </w:r>
      <w:r w:rsidRPr="00876461">
        <w:rPr>
          <w:rFonts w:cs="Arial"/>
          <w:b/>
          <w:i/>
          <w:color w:val="000000"/>
          <w:lang w:val="es-ES_tradnl"/>
        </w:rPr>
        <w:t>el propósito mismo de la norma es el de otorgar una prerrogativa a las entidades estatales para que puedan declarar ellas mismas el siniestro, y hacerlo exigible en forma efectiva.</w:t>
      </w:r>
    </w:p>
    <w:p w:rsidR="006D1BFD" w:rsidRPr="00876461" w:rsidRDefault="006D1BFD" w:rsidP="006D1BFD">
      <w:pPr>
        <w:widowControl w:val="0"/>
        <w:spacing w:line="276" w:lineRule="auto"/>
        <w:rPr>
          <w:rFonts w:cs="Arial"/>
          <w:i/>
          <w:color w:val="000000"/>
        </w:rPr>
      </w:pPr>
      <w:r w:rsidRPr="00876461">
        <w:rPr>
          <w:rFonts w:cs="Arial"/>
          <w:i/>
          <w:color w:val="000000"/>
          <w:lang w:val="es-ES_tradnl"/>
        </w:rPr>
        <w:t> </w:t>
      </w:r>
    </w:p>
    <w:p w:rsidR="006D1BFD" w:rsidRPr="00876461" w:rsidRDefault="006D1BFD" w:rsidP="006D1BFD">
      <w:pPr>
        <w:widowControl w:val="0"/>
        <w:spacing w:line="276" w:lineRule="auto"/>
        <w:rPr>
          <w:rFonts w:cs="Arial"/>
          <w:b/>
          <w:i/>
          <w:color w:val="000000"/>
        </w:rPr>
      </w:pPr>
      <w:r w:rsidRPr="00876461">
        <w:rPr>
          <w:rFonts w:cs="Arial"/>
          <w:i/>
          <w:color w:val="000000"/>
          <w:lang w:val="es-ES_tradnl"/>
        </w:rPr>
        <w:t xml:space="preserve">“Incluso una interpretación exegética de las normas citadas permite llegar a esta conclusión, pues bien </w:t>
      </w:r>
      <w:r w:rsidRPr="00876461">
        <w:rPr>
          <w:rFonts w:cs="Arial"/>
          <w:b/>
          <w:i/>
          <w:color w:val="000000"/>
          <w:lang w:val="es-ES_tradnl"/>
        </w:rPr>
        <w:t>dice el numeral 5 que todas las garantías constituidas a favor del Estado -sin exclusión- prestan mérito ejecutivo;</w:t>
      </w:r>
      <w:r w:rsidRPr="00876461">
        <w:rPr>
          <w:rFonts w:cs="Arial"/>
          <w:i/>
          <w:color w:val="000000"/>
          <w:lang w:val="es-ES_tradnl"/>
        </w:rPr>
        <w:t xml:space="preserve"> y el numeral 4 se refiere específicamente a las contractuales, normas </w:t>
      </w:r>
      <w:r w:rsidRPr="00876461">
        <w:rPr>
          <w:rFonts w:cs="Arial"/>
          <w:b/>
          <w:i/>
          <w:color w:val="000000"/>
          <w:lang w:val="es-ES_tradnl"/>
        </w:rPr>
        <w:t>estas que no se excluyen entre sí, sino que se complementan en su interpretación.</w:t>
      </w:r>
    </w:p>
    <w:p w:rsidR="006D1BFD" w:rsidRPr="00876461" w:rsidRDefault="006D1BFD" w:rsidP="006D1BFD">
      <w:pPr>
        <w:widowControl w:val="0"/>
        <w:spacing w:line="276" w:lineRule="auto"/>
        <w:rPr>
          <w:rFonts w:cs="Arial"/>
          <w:i/>
          <w:color w:val="000000"/>
        </w:rPr>
      </w:pPr>
      <w:r w:rsidRPr="00876461">
        <w:rPr>
          <w:rFonts w:cs="Arial"/>
          <w:i/>
          <w:color w:val="000000"/>
          <w:lang w:val="es-ES_tradnl"/>
        </w:rPr>
        <w:t> </w:t>
      </w:r>
    </w:p>
    <w:p w:rsidR="006D1BFD" w:rsidRPr="00876461" w:rsidRDefault="006D1BFD" w:rsidP="006D1BFD">
      <w:pPr>
        <w:widowControl w:val="0"/>
        <w:spacing w:line="276" w:lineRule="auto"/>
        <w:rPr>
          <w:rFonts w:cs="Arial"/>
          <w:i/>
          <w:color w:val="000000"/>
        </w:rPr>
      </w:pPr>
      <w:r w:rsidRPr="00876461">
        <w:rPr>
          <w:rFonts w:cs="Arial"/>
          <w:i/>
          <w:color w:val="000000"/>
          <w:lang w:val="es-ES_tradnl"/>
        </w:rPr>
        <w:t xml:space="preserve">“Con mayor razón un análisis finalístico de los numerales 4 y 5 citados ratifica esta posición, pues del haz de amparos que contienen las garantías a favor del Estado, </w:t>
      </w:r>
      <w:r w:rsidRPr="00876461">
        <w:rPr>
          <w:rFonts w:cs="Arial"/>
          <w:b/>
          <w:i/>
          <w:color w:val="000000"/>
          <w:lang w:val="es-ES_tradnl"/>
        </w:rPr>
        <w:t>resultaría que sólo en algunos casos -caducidad, terminación y liquidación- pudiere declararse el siniestro, lo que iría en contra de la filosofía de estos preceptos y del privilegio que ellos mismos pretenden otorgar a la administración pública</w:t>
      </w:r>
      <w:r w:rsidRPr="00876461">
        <w:rPr>
          <w:rFonts w:cs="Arial"/>
          <w:i/>
          <w:color w:val="000000"/>
          <w:lang w:val="es-ES_tradnl"/>
        </w:rPr>
        <w:t>.</w:t>
      </w:r>
    </w:p>
    <w:p w:rsidR="006D1BFD" w:rsidRPr="00876461" w:rsidRDefault="006D1BFD" w:rsidP="006D1BFD">
      <w:pPr>
        <w:widowControl w:val="0"/>
        <w:spacing w:line="276" w:lineRule="auto"/>
        <w:rPr>
          <w:rFonts w:cs="Arial"/>
          <w:i/>
          <w:lang w:val="es-CO"/>
        </w:rPr>
      </w:pPr>
    </w:p>
    <w:p w:rsidR="006D1BFD" w:rsidRPr="00876461" w:rsidRDefault="006D1BFD" w:rsidP="006D1BFD">
      <w:pPr>
        <w:widowControl w:val="0"/>
        <w:spacing w:line="276" w:lineRule="auto"/>
        <w:rPr>
          <w:rFonts w:cs="Arial"/>
          <w:i/>
          <w:lang w:val="es-CO"/>
        </w:rPr>
      </w:pPr>
      <w:r w:rsidRPr="00876461">
        <w:rPr>
          <w:rFonts w:cs="Arial"/>
          <w:i/>
          <w:lang w:val="es-CO"/>
        </w:rPr>
        <w:t>“(…).</w:t>
      </w:r>
    </w:p>
    <w:p w:rsidR="006D1BFD" w:rsidRPr="00876461" w:rsidRDefault="006D1BFD" w:rsidP="006D1BFD">
      <w:pPr>
        <w:widowControl w:val="0"/>
        <w:spacing w:line="276" w:lineRule="auto"/>
        <w:rPr>
          <w:rFonts w:cs="Arial"/>
          <w:i/>
          <w:lang w:val="es-CO"/>
        </w:rPr>
      </w:pPr>
    </w:p>
    <w:p w:rsidR="006D1BFD" w:rsidRPr="00876461" w:rsidRDefault="006D1BFD" w:rsidP="006D1BFD">
      <w:pPr>
        <w:widowControl w:val="0"/>
        <w:spacing w:line="276" w:lineRule="auto"/>
        <w:rPr>
          <w:rFonts w:cs="Arial"/>
          <w:b/>
          <w:color w:val="000000"/>
        </w:rPr>
      </w:pPr>
      <w:r w:rsidRPr="00876461">
        <w:rPr>
          <w:rFonts w:cs="Arial"/>
          <w:i/>
          <w:color w:val="000000"/>
          <w:lang w:val="es-ES_tradnl"/>
        </w:rPr>
        <w:t>“</w:t>
      </w:r>
      <w:r w:rsidRPr="00876461">
        <w:rPr>
          <w:rFonts w:cs="Arial"/>
          <w:b/>
          <w:i/>
          <w:color w:val="000000"/>
          <w:lang w:val="es-ES_tradnl"/>
        </w:rPr>
        <w:t>Así, puede considerarse que la Administración sí tiene una facultad especial consagrada en la ley, de declarar ocurrido el riesgo amparado en virtud de las garantías que en su favor se hayan otorgado</w:t>
      </w:r>
      <w:r w:rsidRPr="00876461">
        <w:rPr>
          <w:rFonts w:cs="Arial"/>
          <w:i/>
          <w:color w:val="000000"/>
          <w:lang w:val="es-ES_tradnl"/>
        </w:rPr>
        <w:t xml:space="preserve">, </w:t>
      </w:r>
      <w:r w:rsidRPr="00876461">
        <w:rPr>
          <w:rFonts w:cs="Arial"/>
          <w:b/>
          <w:i/>
          <w:color w:val="000000"/>
          <w:lang w:val="es-ES_tradnl"/>
        </w:rPr>
        <w:t>facultad que no tienen los particulares en el desarrollo de su actividad contractual</w:t>
      </w:r>
      <w:r w:rsidRPr="00876461">
        <w:rPr>
          <w:rFonts w:cs="Arial"/>
          <w:i/>
          <w:color w:val="000000"/>
          <w:lang w:val="es-ES_tradnl"/>
        </w:rPr>
        <w:t xml:space="preserve"> y que, por esa razón, constituye una auténtica prerrogativa del poder público, que no es más que un privilegio de que goza la administración</w:t>
      </w:r>
      <w:r w:rsidRPr="00876461">
        <w:rPr>
          <w:rFonts w:cs="Arial"/>
          <w:i/>
          <w:color w:val="000000"/>
          <w:vertAlign w:val="superscript"/>
          <w:lang w:val="es-ES_tradnl"/>
        </w:rPr>
        <w:t>3</w:t>
      </w:r>
      <w:r w:rsidRPr="00876461">
        <w:rPr>
          <w:rFonts w:cs="Arial"/>
          <w:i/>
          <w:color w:val="000000"/>
          <w:lang w:val="es-ES_tradnl"/>
        </w:rPr>
        <w:t xml:space="preserve">. Se aclara, entonces, que no es cierto lo expresado por el apelante, en el sentido de que el Tribunal consideró que las facultades exorbitantes de la Administración no son taxativas. Es evidente que las mismas -que, más que facultades exorbitantes, </w:t>
      </w:r>
      <w:r w:rsidRPr="00876461">
        <w:rPr>
          <w:rFonts w:cs="Arial"/>
          <w:b/>
          <w:i/>
          <w:color w:val="000000"/>
          <w:lang w:val="es-ES_tradnl"/>
        </w:rPr>
        <w:t>son prerrogativas de poder público-, tienen tal carácter, sin perjuicio de que puedan encontrarse establecidas en normas diferentes a los artículos 60 y siguientes del Decreto 222 de 1983 o a los artículos 14 y siguientes de la Ley 80 de 1993</w:t>
      </w:r>
      <w:r w:rsidRPr="00876461">
        <w:rPr>
          <w:rFonts w:cs="Arial"/>
          <w:i/>
          <w:color w:val="000000"/>
          <w:lang w:val="es-ES_tradnl"/>
        </w:rPr>
        <w:t xml:space="preserve">” </w:t>
      </w:r>
      <w:r w:rsidRPr="00876461">
        <w:rPr>
          <w:rFonts w:cs="Arial"/>
          <w:color w:val="000000"/>
          <w:lang w:val="es-ES_tradnl"/>
        </w:rPr>
        <w:t>(la negrilla no es del texto).</w:t>
      </w:r>
    </w:p>
    <w:p w:rsidR="006D1BFD" w:rsidRPr="00876461" w:rsidRDefault="006D1BFD" w:rsidP="006D1BFD">
      <w:pPr>
        <w:widowControl w:val="0"/>
        <w:spacing w:line="276" w:lineRule="auto"/>
        <w:rPr>
          <w:rFonts w:cs="Arial"/>
          <w:i/>
          <w:color w:val="000000"/>
        </w:rPr>
      </w:pPr>
    </w:p>
    <w:p w:rsidR="006D1BFD" w:rsidRPr="00876461" w:rsidRDefault="006D1BFD" w:rsidP="006D1BFD">
      <w:pPr>
        <w:widowControl w:val="0"/>
        <w:rPr>
          <w:rFonts w:cs="Arial"/>
          <w:lang w:val="es-CO"/>
        </w:rPr>
      </w:pPr>
      <w:r w:rsidRPr="00876461">
        <w:rPr>
          <w:rFonts w:cs="Arial"/>
          <w:lang w:val="es-CO"/>
        </w:rPr>
        <w:lastRenderedPageBreak/>
        <w:t>En segundo lugar, debe reconocerse que la tesis acerca de la competencia derivada del artículo 68 del CCA ha sido la más reiterada por la jurisprudencia de la Sección Tercera del Consejo de Estado y de sus Subsecciones</w:t>
      </w:r>
      <w:r w:rsidRPr="00876461">
        <w:rPr>
          <w:rStyle w:val="Refdenotaalpie"/>
          <w:rFonts w:cs="Arial"/>
          <w:lang w:val="es-CO"/>
        </w:rPr>
        <w:footnoteReference w:id="27"/>
      </w:r>
      <w:r w:rsidRPr="00876461">
        <w:rPr>
          <w:rFonts w:cs="Arial"/>
          <w:lang w:val="es-CO"/>
        </w:rPr>
        <w:t>, incluso frente a entidades públicas que –por virtud de leyes especiales- contrataron bajo las reglas del derecho privado</w:t>
      </w:r>
      <w:r w:rsidRPr="00876461">
        <w:rPr>
          <w:rStyle w:val="Refdenotaalpie"/>
          <w:rFonts w:cs="Arial"/>
          <w:lang w:val="es-CO"/>
        </w:rPr>
        <w:footnoteReference w:id="28"/>
      </w:r>
      <w:r w:rsidRPr="00876461">
        <w:rPr>
          <w:rFonts w:cs="Arial"/>
          <w:lang w:val="es-CO"/>
        </w:rPr>
        <w:t xml:space="preserve">. </w:t>
      </w:r>
    </w:p>
    <w:p w:rsidR="006D1BFD" w:rsidRPr="00876461" w:rsidRDefault="006D1BFD" w:rsidP="006D1BFD">
      <w:pPr>
        <w:widowControl w:val="0"/>
        <w:rPr>
          <w:rFonts w:cs="Arial"/>
          <w:lang w:val="es-CO"/>
        </w:rPr>
      </w:pPr>
    </w:p>
    <w:p w:rsidR="006D1BFD" w:rsidRPr="00876461" w:rsidRDefault="006D1BFD" w:rsidP="006D1BFD">
      <w:pPr>
        <w:widowControl w:val="0"/>
        <w:rPr>
          <w:rFonts w:cs="Arial"/>
          <w:lang w:val="es-CO"/>
        </w:rPr>
      </w:pPr>
      <w:r w:rsidRPr="00876461">
        <w:rPr>
          <w:rFonts w:cs="Arial"/>
          <w:lang w:val="es-CO"/>
        </w:rPr>
        <w:t xml:space="preserve">No puede dejar de advertirse que, por otra parte, para el cobro de la cláusula penal y las multas </w:t>
      </w:r>
      <w:r w:rsidRPr="00876461">
        <w:rPr>
          <w:rFonts w:cs="Arial"/>
          <w:i/>
          <w:lang w:val="es-CO"/>
        </w:rPr>
        <w:t>frente a los contratistas</w:t>
      </w:r>
      <w:r w:rsidRPr="00876461">
        <w:rPr>
          <w:rFonts w:cs="Arial"/>
          <w:lang w:val="es-CO"/>
        </w:rPr>
        <w:t>, la jurisprudencia de la Sección Tercera, para la misma época de los hechos en este proceso, había observado el imperativo de acudir al juez del contrato en orden a hacer valer las referidas cláusulas, dado que en esa jurisprudencia se advirtió que la Ley 80 de 1993 no contempló la facultad de declarar el incumplimiento del contrato y por ende, en diversos casos, se anularon los actos administrativos que declararon el incumplimiento del contrato y ordenaron al contratista el pago de la cláusula penal o las multas</w:t>
      </w:r>
      <w:r w:rsidRPr="00876461">
        <w:rPr>
          <w:rStyle w:val="Refdenotaalpie"/>
          <w:rFonts w:cs="Arial"/>
          <w:lang w:val="es-CO"/>
        </w:rPr>
        <w:footnoteReference w:id="29"/>
      </w:r>
      <w:r w:rsidRPr="00876461">
        <w:rPr>
          <w:rFonts w:cs="Arial"/>
          <w:lang w:val="es-CO"/>
        </w:rPr>
        <w:t>.</w:t>
      </w:r>
    </w:p>
    <w:p w:rsidR="006D1BFD" w:rsidRPr="00876461" w:rsidRDefault="006D1BFD" w:rsidP="006D1BFD">
      <w:pPr>
        <w:widowControl w:val="0"/>
        <w:rPr>
          <w:rFonts w:cs="Arial"/>
          <w:lang w:val="es-CO"/>
        </w:rPr>
      </w:pPr>
    </w:p>
    <w:p w:rsidR="006D1BFD" w:rsidRPr="00876461" w:rsidRDefault="006D1BFD" w:rsidP="006D1BFD">
      <w:pPr>
        <w:widowControl w:val="0"/>
        <w:rPr>
          <w:rFonts w:cs="Arial"/>
          <w:lang w:val="es-CO"/>
        </w:rPr>
      </w:pPr>
      <w:r w:rsidRPr="00876461">
        <w:rPr>
          <w:rFonts w:cs="Arial"/>
          <w:lang w:val="es-CO"/>
        </w:rPr>
        <w:t xml:space="preserve">Con posterioridad a los hechos materia de este proceso, la Sala de Consulta y </w:t>
      </w:r>
      <w:r w:rsidRPr="00876461">
        <w:rPr>
          <w:rFonts w:cs="Arial"/>
          <w:lang w:val="es-CO"/>
        </w:rPr>
        <w:lastRenderedPageBreak/>
        <w:t>Servicio Civil emitió un concepto frente al evento de cobro de la cláusula penal en los contratos regidos por la Ley 80 de 1993 en los que no existía la cláusula de caducidad. En ese concepto se razonó acerca de la operatividad de la póliza de seguros y de la obligatoriedad de presentar la reclamación para hacer efectiva la garantía, tratándose de la cláusula penal, en la siguiente forma (se transcribe literal):</w:t>
      </w:r>
    </w:p>
    <w:p w:rsidR="006D1BFD" w:rsidRPr="00876461" w:rsidRDefault="006D1BFD" w:rsidP="006D1BFD">
      <w:pPr>
        <w:widowControl w:val="0"/>
        <w:rPr>
          <w:rFonts w:cs="Arial"/>
          <w:lang w:val="es-CO"/>
        </w:rPr>
      </w:pPr>
    </w:p>
    <w:p w:rsidR="006D1BFD" w:rsidRPr="00876461" w:rsidRDefault="006D1BFD" w:rsidP="006D1BFD">
      <w:pPr>
        <w:widowControl w:val="0"/>
        <w:autoSpaceDE w:val="0"/>
        <w:autoSpaceDN w:val="0"/>
        <w:adjustRightInd w:val="0"/>
        <w:spacing w:line="276" w:lineRule="auto"/>
        <w:rPr>
          <w:rFonts w:cs="Arial"/>
          <w:i/>
          <w:lang w:val="es-ES_tradnl"/>
        </w:rPr>
      </w:pPr>
      <w:r w:rsidRPr="00876461">
        <w:rPr>
          <w:rFonts w:cs="Arial"/>
          <w:i/>
          <w:color w:val="000000"/>
        </w:rPr>
        <w:t>“</w:t>
      </w:r>
      <w:r w:rsidRPr="00876461">
        <w:rPr>
          <w:rFonts w:cs="Arial"/>
          <w:i/>
          <w:lang w:val="es-ES_tradnl"/>
        </w:rPr>
        <w:t>- Ante todo, y a riesgo de ser superflua la advertencia, los términos sanción y pena, no son exclusivos del derecho sancionador, y en materia de contratos, no necesariamente hay que ser autoridad pública para poderlas exigir.</w:t>
      </w:r>
    </w:p>
    <w:p w:rsidR="006D1BFD" w:rsidRPr="00876461" w:rsidRDefault="006D1BFD" w:rsidP="006D1BFD">
      <w:pPr>
        <w:pStyle w:val="NormalWeb"/>
        <w:widowControl w:val="0"/>
        <w:shd w:val="clear" w:color="auto" w:fill="FFFFFF"/>
        <w:spacing w:before="0" w:beforeAutospacing="0" w:after="0" w:afterAutospacing="0" w:line="276" w:lineRule="auto"/>
        <w:rPr>
          <w:rFonts w:cs="Arial"/>
          <w:i/>
          <w:color w:val="000000"/>
        </w:rPr>
      </w:pPr>
      <w:r w:rsidRPr="00876461">
        <w:rPr>
          <w:rFonts w:cs="Arial"/>
          <w:i/>
          <w:color w:val="000000"/>
        </w:rPr>
        <w:t>“(…).</w:t>
      </w:r>
    </w:p>
    <w:p w:rsidR="006D1BFD" w:rsidRPr="00876461" w:rsidRDefault="006D1BFD" w:rsidP="006D1BFD">
      <w:pPr>
        <w:widowControl w:val="0"/>
        <w:autoSpaceDE w:val="0"/>
        <w:autoSpaceDN w:val="0"/>
        <w:adjustRightInd w:val="0"/>
        <w:spacing w:line="276" w:lineRule="auto"/>
        <w:rPr>
          <w:rFonts w:cs="Arial"/>
          <w:i/>
          <w:lang w:val="es-ES_tradnl"/>
        </w:rPr>
      </w:pPr>
      <w:r w:rsidRPr="00876461">
        <w:rPr>
          <w:rFonts w:cs="Arial"/>
          <w:i/>
          <w:lang w:val="es-ES_tradnl"/>
        </w:rPr>
        <w:t>“- Por regla general, las cláusulas penales tienen como finalidad la de ser una apreciación anticipada de los perjuicios, y sólo mediante pacto expreso e inequívoco cumple las finalidades de servir de apremio o de garantía.</w:t>
      </w:r>
    </w:p>
    <w:p w:rsidR="006D1BFD" w:rsidRPr="00876461" w:rsidRDefault="006D1BFD" w:rsidP="006D1BFD">
      <w:pPr>
        <w:widowControl w:val="0"/>
        <w:autoSpaceDE w:val="0"/>
        <w:autoSpaceDN w:val="0"/>
        <w:adjustRightInd w:val="0"/>
        <w:spacing w:line="276" w:lineRule="auto"/>
        <w:rPr>
          <w:rFonts w:cs="Arial"/>
          <w:i/>
          <w:lang w:val="es-ES_tradnl"/>
        </w:rPr>
      </w:pPr>
    </w:p>
    <w:p w:rsidR="006D1BFD" w:rsidRPr="00876461" w:rsidRDefault="006D1BFD" w:rsidP="006D1BFD">
      <w:pPr>
        <w:widowControl w:val="0"/>
        <w:autoSpaceDE w:val="0"/>
        <w:autoSpaceDN w:val="0"/>
        <w:adjustRightInd w:val="0"/>
        <w:spacing w:line="276" w:lineRule="auto"/>
        <w:rPr>
          <w:rFonts w:cs="Arial"/>
          <w:i/>
          <w:lang w:val="es-ES_tradnl"/>
        </w:rPr>
      </w:pPr>
      <w:r w:rsidRPr="00876461">
        <w:rPr>
          <w:rFonts w:cs="Arial"/>
          <w:i/>
          <w:lang w:val="es-ES_tradnl"/>
        </w:rPr>
        <w:t>“- El pacto de las cláusulas penales facilita la exigibilidad del pago de los perjuicios causados, así como de la sanción convencional a manera de apremio o de garantía, pues al tenor del artículo 1599 del Código Civil ‘habrá lugar a exigir la pena en todos los casos en que se hubiere estipulado, sin que pueda alegarse por el deudor que la inejecución de lo pactado no ha inferido perjuicio al acreedor o le ha producido beneficio’.</w:t>
      </w:r>
    </w:p>
    <w:p w:rsidR="006D1BFD" w:rsidRPr="00876461" w:rsidRDefault="006D1BFD" w:rsidP="006D1BFD">
      <w:pPr>
        <w:widowControl w:val="0"/>
        <w:autoSpaceDE w:val="0"/>
        <w:autoSpaceDN w:val="0"/>
        <w:adjustRightInd w:val="0"/>
        <w:spacing w:line="276" w:lineRule="auto"/>
        <w:rPr>
          <w:rFonts w:cs="Arial"/>
          <w:i/>
          <w:lang w:val="es-ES_tradnl"/>
        </w:rPr>
      </w:pPr>
    </w:p>
    <w:p w:rsidR="006D1BFD" w:rsidRPr="00876461" w:rsidRDefault="006D1BFD" w:rsidP="006D1BFD">
      <w:pPr>
        <w:widowControl w:val="0"/>
        <w:autoSpaceDE w:val="0"/>
        <w:autoSpaceDN w:val="0"/>
        <w:adjustRightInd w:val="0"/>
        <w:spacing w:line="276" w:lineRule="auto"/>
        <w:rPr>
          <w:rFonts w:cs="Arial"/>
          <w:i/>
          <w:lang w:val="es-ES_tradnl"/>
        </w:rPr>
      </w:pPr>
      <w:r w:rsidRPr="00876461">
        <w:rPr>
          <w:rFonts w:cs="Arial"/>
          <w:i/>
          <w:lang w:val="es-ES_tradnl"/>
        </w:rPr>
        <w:t>“Este brevísimo recuento le permite a la Sala llamar la atención sobre el hecho de que en el derecho privado las cláusulas penales cumplen las funciones de apremio, de garantía y de valoración de perjuicios de conformidad con la jurisprudencia y doctrina citada que interpreta las reglas de los artículos 1592 al 1601 del Código Civil. Estas funciones las cumplían, al menos parcialmente, las derogadas disposiciones del decreto ley 222 de 1983 sobre multas y cláusula penal pecuniaria.</w:t>
      </w:r>
    </w:p>
    <w:p w:rsidR="006D1BFD" w:rsidRDefault="006D1BFD" w:rsidP="006D1BFD">
      <w:pPr>
        <w:pStyle w:val="NormalWeb"/>
        <w:widowControl w:val="0"/>
        <w:shd w:val="clear" w:color="auto" w:fill="FFFFFF"/>
        <w:spacing w:before="0" w:beforeAutospacing="0" w:after="0" w:afterAutospacing="0" w:line="276" w:lineRule="auto"/>
        <w:rPr>
          <w:rFonts w:cs="Arial"/>
          <w:i/>
          <w:color w:val="000000"/>
        </w:rPr>
      </w:pPr>
      <w:r w:rsidRPr="00876461">
        <w:rPr>
          <w:rFonts w:cs="Arial"/>
          <w:i/>
          <w:color w:val="000000"/>
        </w:rPr>
        <w:t>“(…)</w:t>
      </w:r>
    </w:p>
    <w:p w:rsidR="006D1BFD" w:rsidRPr="00876461" w:rsidRDefault="006D1BFD" w:rsidP="006D1BFD">
      <w:pPr>
        <w:pStyle w:val="NormalWeb"/>
        <w:widowControl w:val="0"/>
        <w:shd w:val="clear" w:color="auto" w:fill="FFFFFF"/>
        <w:spacing w:before="0" w:beforeAutospacing="0" w:after="0" w:afterAutospacing="0" w:line="276" w:lineRule="auto"/>
        <w:rPr>
          <w:rFonts w:cs="Arial"/>
          <w:i/>
          <w:color w:val="000000"/>
        </w:rPr>
      </w:pPr>
    </w:p>
    <w:p w:rsidR="006D1BFD" w:rsidRPr="00876461" w:rsidRDefault="006D1BFD" w:rsidP="006D1BFD">
      <w:pPr>
        <w:widowControl w:val="0"/>
        <w:autoSpaceDE w:val="0"/>
        <w:autoSpaceDN w:val="0"/>
        <w:adjustRightInd w:val="0"/>
        <w:spacing w:line="276" w:lineRule="auto"/>
        <w:rPr>
          <w:rFonts w:cs="Arial"/>
          <w:b/>
          <w:i/>
          <w:lang w:val="es-ES_tradnl"/>
        </w:rPr>
      </w:pPr>
      <w:r w:rsidRPr="00876461">
        <w:rPr>
          <w:rFonts w:cs="Arial"/>
          <w:i/>
          <w:lang w:val="es-ES_tradnl"/>
        </w:rPr>
        <w:t>“</w:t>
      </w:r>
      <w:r w:rsidRPr="00876461">
        <w:rPr>
          <w:rFonts w:cs="Arial"/>
          <w:b/>
          <w:i/>
          <w:lang w:val="es-ES_tradnl"/>
        </w:rPr>
        <w:t>b) La operatividad de las cláusulas penales en los contratos estatales que carecen de la cláusula de caducidad.</w:t>
      </w:r>
    </w:p>
    <w:p w:rsidR="006D1BFD" w:rsidRPr="00876461" w:rsidRDefault="006D1BFD" w:rsidP="006D1BFD">
      <w:pPr>
        <w:pStyle w:val="NormalWeb"/>
        <w:widowControl w:val="0"/>
        <w:shd w:val="clear" w:color="auto" w:fill="FFFFFF"/>
        <w:spacing w:before="0" w:beforeAutospacing="0" w:after="0" w:afterAutospacing="0" w:line="276" w:lineRule="auto"/>
        <w:rPr>
          <w:rFonts w:cs="Arial"/>
          <w:i/>
          <w:color w:val="000000"/>
        </w:rPr>
      </w:pPr>
      <w:r w:rsidRPr="00876461">
        <w:rPr>
          <w:rFonts w:cs="Arial"/>
          <w:i/>
          <w:color w:val="000000"/>
        </w:rPr>
        <w:t>“(…).</w:t>
      </w:r>
    </w:p>
    <w:p w:rsidR="006D1BFD" w:rsidRDefault="006D1BFD" w:rsidP="006D1BFD">
      <w:pPr>
        <w:pStyle w:val="NormalWeb"/>
        <w:widowControl w:val="0"/>
        <w:shd w:val="clear" w:color="auto" w:fill="FFFFFF"/>
        <w:spacing w:before="0" w:beforeAutospacing="0" w:after="0" w:afterAutospacing="0" w:line="276" w:lineRule="auto"/>
        <w:rPr>
          <w:rFonts w:cs="Arial"/>
          <w:i/>
          <w:color w:val="000000"/>
        </w:rPr>
      </w:pPr>
    </w:p>
    <w:p w:rsidR="006D1BFD" w:rsidRPr="00876461" w:rsidRDefault="006D1BFD" w:rsidP="006D1BFD">
      <w:pPr>
        <w:pStyle w:val="NormalWeb"/>
        <w:widowControl w:val="0"/>
        <w:shd w:val="clear" w:color="auto" w:fill="FFFFFF"/>
        <w:spacing w:before="0" w:beforeAutospacing="0" w:after="0" w:afterAutospacing="0" w:line="276" w:lineRule="auto"/>
        <w:rPr>
          <w:rFonts w:cs="Arial"/>
          <w:color w:val="000000"/>
        </w:rPr>
      </w:pPr>
      <w:r w:rsidRPr="00876461">
        <w:rPr>
          <w:rFonts w:cs="Arial"/>
          <w:i/>
          <w:color w:val="000000"/>
        </w:rPr>
        <w:t xml:space="preserve">“Para la Sala es claro que esta estipulación contractual carece de la fuerza necesaria para atribuirle una competencia o potestad administrativa a una entidad pública, no sólo porque la administración no es parte del contrato de seguro de cumplimiento, sino porque sólo la ley y los reglamentos que la desarrollen pueden asignar funciones públicas. Además sería inútil para la administración expedir unos actos administrativos para el cobro de las garantías que posteriormente serían anulados por la jurisdicción contencioso administrativa por falta de competencia. </w:t>
      </w:r>
      <w:r w:rsidRPr="00876461">
        <w:rPr>
          <w:rFonts w:cs="Arial"/>
          <w:b/>
          <w:i/>
          <w:color w:val="000000"/>
        </w:rPr>
        <w:t>Entonces, la única solución posible es la de aplicar en éste tema en su integridad las reglas del código de comercio, según las cuales es necesario presentar una reclamación ante las compañías de seguros</w:t>
      </w:r>
      <w:r w:rsidRPr="00876461">
        <w:rPr>
          <w:rFonts w:cs="Arial"/>
          <w:i/>
          <w:color w:val="000000"/>
        </w:rPr>
        <w:t xml:space="preserve">, quienes deberán proceder a pagar el siniestro o a objetarlo en forma motivada, </w:t>
      </w:r>
      <w:r w:rsidRPr="00876461">
        <w:rPr>
          <w:rFonts w:cs="Arial"/>
          <w:i/>
          <w:color w:val="000000"/>
        </w:rPr>
        <w:lastRenderedPageBreak/>
        <w:t>recordando además que la póliza presta mérito ejecutivo por sí sola en los casos del artículo 1053 del código de comercio”</w:t>
      </w:r>
      <w:r w:rsidRPr="00876461">
        <w:rPr>
          <w:rStyle w:val="Refdenotaalpie"/>
          <w:rFonts w:cs="Arial"/>
          <w:i/>
          <w:color w:val="000000"/>
        </w:rPr>
        <w:footnoteReference w:id="30"/>
      </w:r>
      <w:r w:rsidRPr="00876461">
        <w:rPr>
          <w:rFonts w:cs="Arial"/>
          <w:i/>
          <w:color w:val="000000"/>
        </w:rPr>
        <w:t xml:space="preserve"> </w:t>
      </w:r>
      <w:r w:rsidRPr="00876461">
        <w:rPr>
          <w:rFonts w:cs="Arial"/>
          <w:color w:val="000000"/>
        </w:rPr>
        <w:t>(la negrilla no es del texto).</w:t>
      </w:r>
    </w:p>
    <w:p w:rsidR="006D1BFD" w:rsidRPr="00876461" w:rsidRDefault="006D1BFD" w:rsidP="006D1BFD">
      <w:pPr>
        <w:pStyle w:val="Textonotapie"/>
        <w:widowControl w:val="0"/>
        <w:rPr>
          <w:rFonts w:cs="Arial"/>
          <w:sz w:val="24"/>
          <w:szCs w:val="24"/>
        </w:rPr>
      </w:pPr>
    </w:p>
    <w:p w:rsidR="006D1BFD" w:rsidRPr="00876461" w:rsidRDefault="006D1BFD" w:rsidP="006D1BFD">
      <w:pPr>
        <w:pStyle w:val="Textonotapie"/>
        <w:widowControl w:val="0"/>
        <w:rPr>
          <w:rFonts w:cs="Arial"/>
          <w:sz w:val="24"/>
          <w:szCs w:val="24"/>
        </w:rPr>
      </w:pPr>
      <w:r w:rsidRPr="00876461">
        <w:rPr>
          <w:rFonts w:cs="Arial"/>
          <w:sz w:val="24"/>
          <w:szCs w:val="24"/>
        </w:rPr>
        <w:t xml:space="preserve">De conformidad con el anterior recuento de la jurisprudencia y teniendo en cuenta las disposiciones de la Ley 142 de 1994, para la época de los hechos en este proceso, resulta pertinente observar que, como regla general, no existía competencia de las entidades prestadoras de servicios públicos para expedir actos administrativos mediante los cuales, de manera unilateral, se impusiera la efectividad de la póliza de seguros en los contratos que se regían por el derecho privado. </w:t>
      </w:r>
    </w:p>
    <w:p w:rsidR="006D1BFD" w:rsidRPr="00876461" w:rsidRDefault="006D1BFD" w:rsidP="006D1BFD">
      <w:pPr>
        <w:pStyle w:val="Textonotapie"/>
        <w:widowControl w:val="0"/>
        <w:rPr>
          <w:rFonts w:cs="Arial"/>
          <w:sz w:val="24"/>
          <w:szCs w:val="24"/>
        </w:rPr>
      </w:pPr>
    </w:p>
    <w:p w:rsidR="006D1BFD" w:rsidRPr="00876461" w:rsidRDefault="006D1BFD" w:rsidP="006D1BFD">
      <w:pPr>
        <w:pStyle w:val="Textonotapie"/>
        <w:widowControl w:val="0"/>
        <w:rPr>
          <w:rFonts w:cs="Arial"/>
          <w:sz w:val="24"/>
          <w:szCs w:val="24"/>
        </w:rPr>
      </w:pPr>
      <w:r w:rsidRPr="00876461">
        <w:rPr>
          <w:rFonts w:cs="Arial"/>
          <w:sz w:val="24"/>
          <w:szCs w:val="24"/>
        </w:rPr>
        <w:t xml:space="preserve">Se debe aceptar que la Ley 142 de 1994 estableció un régimen especial para las empresas de servicios públicos, en el cual no consagró la competencia para expedir actos unilaterales destinados a declarar el riesgo y hacer efectiva la póliza de seguro de cumplimiento por la vía administrativa. </w:t>
      </w:r>
    </w:p>
    <w:p w:rsidR="006D1BFD" w:rsidRPr="00876461" w:rsidRDefault="006D1BFD" w:rsidP="006D1BFD">
      <w:pPr>
        <w:pStyle w:val="Textonotapie"/>
        <w:widowControl w:val="0"/>
        <w:rPr>
          <w:rFonts w:cs="Arial"/>
          <w:sz w:val="24"/>
          <w:szCs w:val="24"/>
        </w:rPr>
      </w:pPr>
    </w:p>
    <w:p w:rsidR="006D1BFD" w:rsidRPr="00876461" w:rsidRDefault="006D1BFD" w:rsidP="006D1BFD">
      <w:pPr>
        <w:pStyle w:val="Textonotapie"/>
        <w:widowControl w:val="0"/>
        <w:rPr>
          <w:rFonts w:cs="Arial"/>
          <w:sz w:val="24"/>
          <w:szCs w:val="24"/>
        </w:rPr>
      </w:pPr>
      <w:r w:rsidRPr="00876461">
        <w:rPr>
          <w:rFonts w:cs="Arial"/>
          <w:sz w:val="24"/>
          <w:szCs w:val="24"/>
        </w:rPr>
        <w:t>Por tanto, en el análisis de los actos que se juzgan en este proceso no resulta viable identificar la competencia de la entidad contratante con fuente en el artículo 68 del CCA</w:t>
      </w:r>
      <w:r w:rsidRPr="00876461">
        <w:rPr>
          <w:rStyle w:val="Refdenotaalpie"/>
          <w:rFonts w:cs="Arial"/>
          <w:sz w:val="24"/>
          <w:szCs w:val="24"/>
        </w:rPr>
        <w:footnoteReference w:id="31"/>
      </w:r>
      <w:r w:rsidRPr="00876461">
        <w:rPr>
          <w:rFonts w:cs="Arial"/>
          <w:sz w:val="24"/>
          <w:szCs w:val="24"/>
        </w:rPr>
        <w:t xml:space="preserve"> o en la Ley 489 de 1998 que invocó EPM</w:t>
      </w:r>
      <w:r w:rsidRPr="00876461">
        <w:rPr>
          <w:rStyle w:val="Refdenotaalpie"/>
          <w:rFonts w:cs="Arial"/>
          <w:sz w:val="24"/>
          <w:szCs w:val="24"/>
        </w:rPr>
        <w:footnoteReference w:id="32"/>
      </w:r>
      <w:r w:rsidRPr="00876461">
        <w:rPr>
          <w:rFonts w:cs="Arial"/>
          <w:sz w:val="24"/>
          <w:szCs w:val="24"/>
        </w:rPr>
        <w:t>, en cuanto a la declaratoria del siniestro y el cobro de las pólizas de seguros mediante acto administrativo, por referirse al contrato de una empresa de servicios públicos domiciliarios sometido al régimen especial de la Ley 142 de 1994.</w:t>
      </w:r>
    </w:p>
    <w:p w:rsidR="006D1BFD" w:rsidRPr="00876461" w:rsidRDefault="006D1BFD" w:rsidP="006D1BFD">
      <w:pPr>
        <w:pStyle w:val="Textonotapie"/>
        <w:widowControl w:val="0"/>
        <w:rPr>
          <w:rFonts w:cs="Arial"/>
          <w:sz w:val="24"/>
          <w:szCs w:val="24"/>
        </w:rPr>
      </w:pPr>
      <w:r w:rsidRPr="00876461">
        <w:rPr>
          <w:rFonts w:cs="Arial"/>
          <w:sz w:val="24"/>
          <w:szCs w:val="24"/>
        </w:rPr>
        <w:t xml:space="preserve">Sin embargo, desde la perspectiva del derecho común que gobernó el referido </w:t>
      </w:r>
      <w:r w:rsidRPr="00876461">
        <w:rPr>
          <w:rFonts w:cs="Arial"/>
          <w:sz w:val="24"/>
          <w:szCs w:val="24"/>
        </w:rPr>
        <w:lastRenderedPageBreak/>
        <w:t>contrato de suministro, razonando sobre las disposiciones del Código de Comercio, también aplicables al contrato de seguro otorgado para amparar el cumplimiento contractual, se llega a concluir que existió capacidad jurídica de la entidad beneficiaria para hacer efectiva la póliza de seguro de cumplimiento, caso en el cual debía proceder por la vía de la reclamación, en forma similar a lo que expuso la Sala de Consulta y Servicio Civil en su concepto</w:t>
      </w:r>
      <w:r w:rsidRPr="00876461">
        <w:rPr>
          <w:rStyle w:val="Refdenotaalpie"/>
          <w:rFonts w:cs="Arial"/>
          <w:sz w:val="24"/>
          <w:szCs w:val="24"/>
        </w:rPr>
        <w:footnoteReference w:id="33"/>
      </w:r>
      <w:r w:rsidRPr="00876461">
        <w:rPr>
          <w:rFonts w:cs="Arial"/>
          <w:sz w:val="24"/>
          <w:szCs w:val="24"/>
        </w:rPr>
        <w:t xml:space="preserve">. </w:t>
      </w:r>
    </w:p>
    <w:p w:rsidR="006D1BFD" w:rsidRPr="00876461" w:rsidRDefault="006D1BFD" w:rsidP="006D1BFD">
      <w:pPr>
        <w:pStyle w:val="Textonotapie"/>
        <w:widowControl w:val="0"/>
        <w:rPr>
          <w:rFonts w:cs="Arial"/>
          <w:sz w:val="24"/>
          <w:szCs w:val="24"/>
        </w:rPr>
      </w:pPr>
    </w:p>
    <w:p w:rsidR="006D1BFD" w:rsidRPr="00876461" w:rsidRDefault="006D1BFD" w:rsidP="006D1BFD">
      <w:pPr>
        <w:pStyle w:val="Textonotapie"/>
        <w:widowControl w:val="0"/>
        <w:rPr>
          <w:rFonts w:cs="Arial"/>
          <w:sz w:val="24"/>
          <w:szCs w:val="24"/>
        </w:rPr>
      </w:pPr>
      <w:r w:rsidRPr="00876461">
        <w:rPr>
          <w:rFonts w:cs="Arial"/>
          <w:sz w:val="24"/>
          <w:szCs w:val="24"/>
        </w:rPr>
        <w:t>Se agrega que el objeto del contrato de seguro podía ser definido por la compañía de seguros dentro del concepto jurídico del riesgo asegurable, previsto en los términos del artículo 1054 del Código de Comercio</w:t>
      </w:r>
      <w:r w:rsidRPr="00876461">
        <w:rPr>
          <w:rStyle w:val="Refdenotaalpie"/>
          <w:rFonts w:cs="Arial"/>
          <w:sz w:val="24"/>
          <w:szCs w:val="24"/>
        </w:rPr>
        <w:footnoteReference w:id="34"/>
      </w:r>
      <w:r w:rsidRPr="00876461">
        <w:rPr>
          <w:rFonts w:cs="Arial"/>
          <w:sz w:val="24"/>
          <w:szCs w:val="24"/>
        </w:rPr>
        <w:t xml:space="preserve"> y, de la misma forma, las facultades de la entidad beneficiaria de la póliza en el seno de ese contrato se podían ejercer de acuerdo con las normas de la reclamación del citado código</w:t>
      </w:r>
      <w:r w:rsidRPr="00876461">
        <w:rPr>
          <w:rStyle w:val="Refdenotaalpie"/>
          <w:rFonts w:cs="Arial"/>
          <w:sz w:val="24"/>
          <w:szCs w:val="24"/>
        </w:rPr>
        <w:footnoteReference w:id="35"/>
      </w:r>
      <w:r w:rsidRPr="00876461">
        <w:rPr>
          <w:rFonts w:cs="Arial"/>
          <w:sz w:val="24"/>
          <w:szCs w:val="24"/>
        </w:rPr>
        <w:t>.</w:t>
      </w:r>
    </w:p>
    <w:p w:rsidR="006D1BFD" w:rsidRPr="00876461" w:rsidRDefault="006D1BFD" w:rsidP="006D1BFD">
      <w:pPr>
        <w:pStyle w:val="Textonotapie"/>
        <w:widowControl w:val="0"/>
        <w:rPr>
          <w:rFonts w:cs="Arial"/>
          <w:sz w:val="24"/>
          <w:szCs w:val="24"/>
        </w:rPr>
      </w:pPr>
    </w:p>
    <w:p w:rsidR="006D1BFD" w:rsidRPr="00876461" w:rsidRDefault="006D1BFD" w:rsidP="006D1BFD">
      <w:pPr>
        <w:pStyle w:val="Textonotapie"/>
        <w:widowControl w:val="0"/>
        <w:rPr>
          <w:rFonts w:cs="Arial"/>
          <w:sz w:val="24"/>
          <w:szCs w:val="24"/>
        </w:rPr>
      </w:pPr>
      <w:r w:rsidRPr="00876461">
        <w:rPr>
          <w:rFonts w:cs="Arial"/>
          <w:sz w:val="24"/>
          <w:szCs w:val="24"/>
        </w:rPr>
        <w:t xml:space="preserve">Examinando los supuestos del derecho privado se llega a distinguir que la configuración del riesgo por incumplimiento no puede </w:t>
      </w:r>
      <w:r w:rsidRPr="00876461">
        <w:rPr>
          <w:rFonts w:cs="Arial"/>
          <w:i/>
          <w:sz w:val="24"/>
          <w:szCs w:val="24"/>
        </w:rPr>
        <w:t>construirse</w:t>
      </w:r>
      <w:r w:rsidRPr="00876461">
        <w:rPr>
          <w:rFonts w:cs="Arial"/>
          <w:sz w:val="24"/>
          <w:szCs w:val="24"/>
        </w:rPr>
        <w:t xml:space="preserve"> a través de un acto unilateral de la entidad asegurada, en tanto, a falta de disposición legal específica, el riesgo no puede depender de la voluntad unilateral de la entidad asegurada. </w:t>
      </w:r>
    </w:p>
    <w:p w:rsidR="006D1BFD" w:rsidRPr="00876461" w:rsidRDefault="006D1BFD" w:rsidP="006D1BFD">
      <w:pPr>
        <w:pStyle w:val="Textonotapie"/>
        <w:widowControl w:val="0"/>
        <w:rPr>
          <w:rFonts w:cs="Arial"/>
          <w:sz w:val="24"/>
          <w:szCs w:val="24"/>
        </w:rPr>
      </w:pPr>
    </w:p>
    <w:p w:rsidR="006D1BFD" w:rsidRDefault="006D1BFD" w:rsidP="006D1BFD">
      <w:pPr>
        <w:pStyle w:val="Textonotapie"/>
        <w:widowControl w:val="0"/>
        <w:rPr>
          <w:rFonts w:cs="Arial"/>
          <w:sz w:val="24"/>
          <w:szCs w:val="24"/>
        </w:rPr>
      </w:pPr>
      <w:r w:rsidRPr="00876461">
        <w:rPr>
          <w:rFonts w:cs="Arial"/>
          <w:sz w:val="24"/>
          <w:szCs w:val="24"/>
        </w:rPr>
        <w:t>Sin embargo, en el derecho privado el riesgo materializado puede y debe evidenciarse por la beneficiaria de la póliza de seguros, para efectos del cobro de la misma, tal como sucedió en el caso sub lite, según se analizará más adelante.</w:t>
      </w:r>
    </w:p>
    <w:p w:rsidR="006D1BFD" w:rsidRPr="00876461" w:rsidRDefault="006D1BFD" w:rsidP="006D1BFD">
      <w:pPr>
        <w:pStyle w:val="Textonotapie"/>
        <w:widowControl w:val="0"/>
        <w:rPr>
          <w:rFonts w:cs="Arial"/>
          <w:sz w:val="24"/>
          <w:szCs w:val="24"/>
        </w:rPr>
      </w:pPr>
    </w:p>
    <w:p w:rsidR="006D1BFD" w:rsidRPr="00876461" w:rsidRDefault="006D1BFD" w:rsidP="006D1BFD">
      <w:pPr>
        <w:widowControl w:val="0"/>
        <w:rPr>
          <w:rFonts w:cs="Arial"/>
          <w:b/>
        </w:rPr>
      </w:pPr>
      <w:r w:rsidRPr="00876461">
        <w:rPr>
          <w:rFonts w:cs="Arial"/>
          <w:b/>
        </w:rPr>
        <w:t xml:space="preserve">6. El caso concreto </w:t>
      </w:r>
    </w:p>
    <w:p w:rsidR="006D1BFD" w:rsidRPr="00876461" w:rsidRDefault="006D1BFD" w:rsidP="006D1BFD">
      <w:pPr>
        <w:widowControl w:val="0"/>
        <w:rPr>
          <w:rFonts w:cs="Arial"/>
          <w:b/>
          <w:bCs/>
          <w:lang w:val="es-MX"/>
        </w:rPr>
      </w:pPr>
    </w:p>
    <w:p w:rsidR="006D1BFD" w:rsidRPr="00876461" w:rsidRDefault="006D1BFD" w:rsidP="006D1BFD">
      <w:pPr>
        <w:widowControl w:val="0"/>
        <w:rPr>
          <w:rFonts w:cs="Arial"/>
          <w:b/>
          <w:bCs/>
          <w:lang w:val="es-MX"/>
        </w:rPr>
      </w:pPr>
      <w:r w:rsidRPr="00876461">
        <w:rPr>
          <w:rFonts w:cs="Arial"/>
          <w:b/>
          <w:bCs/>
          <w:lang w:val="es-MX"/>
        </w:rPr>
        <w:t>6.1. Improcedencia de la nulidad oficiosa</w:t>
      </w:r>
    </w:p>
    <w:p w:rsidR="006D1BFD" w:rsidRPr="00876461" w:rsidRDefault="006D1BFD" w:rsidP="006D1BFD">
      <w:pPr>
        <w:widowControl w:val="0"/>
        <w:rPr>
          <w:rFonts w:cs="Arial"/>
          <w:bCs/>
          <w:lang w:val="es-MX"/>
        </w:rPr>
      </w:pPr>
      <w:r w:rsidRPr="00876461">
        <w:rPr>
          <w:rFonts w:cs="Arial"/>
          <w:bCs/>
          <w:lang w:val="es-MX"/>
        </w:rPr>
        <w:t xml:space="preserve">La Sala revocará la declaración oficiosa de nulidad de los incisos primero y </w:t>
      </w:r>
      <w:r w:rsidRPr="00876461">
        <w:rPr>
          <w:rFonts w:cs="Arial"/>
          <w:bCs/>
          <w:lang w:val="es-MX"/>
        </w:rPr>
        <w:lastRenderedPageBreak/>
        <w:t>segundo del numeral 4.12 del pliego de condiciones que se integró al contrato de suministro 090325402, por la sencilla razón de que a este proceso no fue vinculada la sociedad AYCO LTDA, parte contratista en el referido contrato.</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
          <w:bCs/>
          <w:lang w:val="es-MX"/>
        </w:rPr>
      </w:pPr>
      <w:r w:rsidRPr="00876461">
        <w:rPr>
          <w:rFonts w:cs="Arial"/>
          <w:bCs/>
          <w:lang w:val="es-MX"/>
        </w:rPr>
        <w:t>La sociedad AYCO LTDA no fue llamada al presente proceso y entabló una demanda separada, en la cual discutió la nulidad de los mismos actos y su propio restablecimiento del derecho.</w:t>
      </w:r>
      <w:r w:rsidRPr="00876461">
        <w:rPr>
          <w:rFonts w:cs="Arial"/>
          <w:b/>
          <w:bCs/>
          <w:lang w:val="es-MX"/>
        </w:rPr>
        <w:t xml:space="preserve">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 xml:space="preserve">En la sentencia de primera instancia, el Tribunal </w:t>
      </w:r>
      <w:r w:rsidRPr="00876461">
        <w:rPr>
          <w:rFonts w:cs="Arial"/>
          <w:bCs/>
          <w:i/>
          <w:lang w:val="es-MX"/>
        </w:rPr>
        <w:t>a quo</w:t>
      </w:r>
      <w:r w:rsidRPr="00876461">
        <w:rPr>
          <w:rFonts w:cs="Arial"/>
          <w:bCs/>
          <w:lang w:val="es-MX"/>
        </w:rPr>
        <w:t xml:space="preserve"> pasó por alto el carácter rogado de la jurisdicción, dado que ni la nulidad del contrato ni la de sus cláusulas eran materia del debate.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 xml:space="preserve">Por otra parte, el Tribunal </w:t>
      </w:r>
      <w:r w:rsidRPr="00876461">
        <w:rPr>
          <w:rFonts w:cs="Arial"/>
          <w:bCs/>
          <w:i/>
          <w:lang w:val="es-MX"/>
        </w:rPr>
        <w:t>a quo</w:t>
      </w:r>
      <w:r w:rsidRPr="00876461">
        <w:rPr>
          <w:rFonts w:cs="Arial"/>
          <w:bCs/>
          <w:lang w:val="es-MX"/>
        </w:rPr>
        <w:t xml:space="preserve"> desbordó la potestad excepcional que permite al juez declarar la nulidad oficiosa, incurriendo en la violación del debido proceso, dado que, para pronunciarse sobre la nulidad del contrato o de algunas de sus cláusulas, debió verificar que el litigio se hubiera adelantado con la vinculación de todas las entidades que hicieron parte del respectivo contrato.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En otras palabras, el Tribunal</w:t>
      </w:r>
      <w:r w:rsidRPr="00876461">
        <w:rPr>
          <w:rFonts w:cs="Arial"/>
          <w:bCs/>
          <w:i/>
          <w:lang w:val="es-MX"/>
        </w:rPr>
        <w:t xml:space="preserve"> a quo</w:t>
      </w:r>
      <w:r w:rsidRPr="00876461">
        <w:rPr>
          <w:rFonts w:cs="Arial"/>
          <w:bCs/>
          <w:lang w:val="es-MX"/>
        </w:rPr>
        <w:t xml:space="preserve"> declaró de oficio la nulidad sin advertir que la sociedad contratista no había hecho parte del proceso y que, por tanto, con la decisión de nulidad se le vulneraba el derecho a la contradicción y el principio del debido proceso, consagrado en el artículo 29 de la Constitución Política.</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 xml:space="preserve">No sobra anotar que, para fundar la nulidad, el Tribunal Administrativo de Antioquia acudió a citar en extenso la sentencia T 720 de 2005 que se refirió a que las empresas de servicios públicos no pueden imponer unilateralmente multas a los usuarios del servicio público, en caso de fraude, supuesto de hecho diferente al del contrato de suministro requerido para la prestación del servicio público de gas natural que fue afianzado por la compañía de seguros ahora demandante. </w:t>
      </w:r>
    </w:p>
    <w:p w:rsidR="006D1BFD" w:rsidRPr="00876461" w:rsidRDefault="006D1BFD" w:rsidP="006D1BFD">
      <w:pPr>
        <w:widowControl w:val="0"/>
        <w:rPr>
          <w:rFonts w:cs="Arial"/>
          <w:b/>
          <w:bCs/>
          <w:lang w:val="es-MX"/>
        </w:rPr>
      </w:pPr>
    </w:p>
    <w:p w:rsidR="006D1BFD" w:rsidRPr="00876461" w:rsidRDefault="006D1BFD" w:rsidP="006D1BFD">
      <w:pPr>
        <w:widowControl w:val="0"/>
        <w:rPr>
          <w:rFonts w:cs="Arial"/>
          <w:bCs/>
          <w:lang w:val="es-MX"/>
        </w:rPr>
      </w:pPr>
      <w:r w:rsidRPr="00876461">
        <w:rPr>
          <w:rFonts w:cs="Arial"/>
          <w:bCs/>
          <w:lang w:val="es-MX"/>
        </w:rPr>
        <w:t xml:space="preserve">También se observa que en la sentencia de primera instancia no resultaba procedente la invocación de la jurisprudencia relacionada con la facultad de pactar cláusulas exorbitantes de conformidad con la Ley 80 de 1993, toda vez que –se repite- el contrato de suministro referido en el </w:t>
      </w:r>
      <w:r w:rsidRPr="00876461">
        <w:rPr>
          <w:rFonts w:cs="Arial"/>
          <w:bCs/>
          <w:i/>
          <w:lang w:val="es-MX"/>
        </w:rPr>
        <w:t>sub lite</w:t>
      </w:r>
      <w:r w:rsidRPr="00876461">
        <w:rPr>
          <w:rFonts w:cs="Arial"/>
          <w:bCs/>
          <w:lang w:val="es-MX"/>
        </w:rPr>
        <w:t xml:space="preserve"> se rigió por el derecho privado, de acuerdo con la Ley 142 de 1994 y, por otra parte, no contempló ese tipo de cláusulas, a las cuales hizo referencia el artículo 31 de la Ley 142 de 1994.</w:t>
      </w:r>
    </w:p>
    <w:p w:rsidR="006D1BFD" w:rsidRPr="00876461" w:rsidRDefault="006D1BFD" w:rsidP="006D1BFD">
      <w:pPr>
        <w:widowControl w:val="0"/>
        <w:rPr>
          <w:rFonts w:cs="Arial"/>
          <w:b/>
          <w:bCs/>
          <w:lang w:val="es-MX"/>
        </w:rPr>
      </w:pPr>
    </w:p>
    <w:p w:rsidR="006D1BFD" w:rsidRPr="00876461" w:rsidRDefault="006D1BFD" w:rsidP="006D1BFD">
      <w:pPr>
        <w:widowControl w:val="0"/>
        <w:rPr>
          <w:rFonts w:cs="Arial"/>
          <w:b/>
          <w:bCs/>
          <w:lang w:val="es-MX"/>
        </w:rPr>
      </w:pPr>
      <w:r w:rsidRPr="00876461">
        <w:rPr>
          <w:rFonts w:cs="Arial"/>
          <w:b/>
          <w:bCs/>
          <w:lang w:val="es-MX"/>
        </w:rPr>
        <w:lastRenderedPageBreak/>
        <w:t>6.2. El pacto de multas en el contrato afianzado</w:t>
      </w:r>
    </w:p>
    <w:p w:rsidR="006D1BFD" w:rsidRPr="00876461" w:rsidRDefault="006D1BFD" w:rsidP="006D1BFD">
      <w:pPr>
        <w:widowControl w:val="0"/>
        <w:rPr>
          <w:rFonts w:cs="Arial"/>
          <w:b/>
          <w:bCs/>
          <w:lang w:val="es-MX"/>
        </w:rPr>
      </w:pPr>
    </w:p>
    <w:p w:rsidR="006D1BFD" w:rsidRPr="00876461" w:rsidRDefault="006D1BFD" w:rsidP="006D1BFD">
      <w:pPr>
        <w:widowControl w:val="0"/>
        <w:rPr>
          <w:rFonts w:cs="Arial"/>
          <w:bCs/>
          <w:lang w:val="es-MX"/>
        </w:rPr>
      </w:pPr>
      <w:r w:rsidRPr="00876461">
        <w:rPr>
          <w:rFonts w:cs="Arial"/>
          <w:bCs/>
          <w:lang w:val="es-MX"/>
        </w:rPr>
        <w:t xml:space="preserve">Es importante precisar, como lo advirtió EPM, que en la demanda no se pretendió la nulidad de un acto basado en la supuesta facultad para imponer unilateralmente multas a la contratista, toda vez que en este caso EPM no dispuso su cobro frente a la contratista sino que acudió a la aseguradora garante a través de la póliza de cumplimiento. </w:t>
      </w:r>
    </w:p>
    <w:p w:rsidR="006D1BFD" w:rsidRPr="00876461" w:rsidRDefault="006D1BFD" w:rsidP="006D1BFD">
      <w:pPr>
        <w:widowControl w:val="0"/>
        <w:rPr>
          <w:rFonts w:cs="Arial"/>
          <w:b/>
          <w:bCs/>
          <w:lang w:val="es-MX"/>
        </w:rPr>
      </w:pPr>
    </w:p>
    <w:p w:rsidR="006D1BFD" w:rsidRPr="00876461" w:rsidRDefault="006D1BFD" w:rsidP="006D1BFD">
      <w:pPr>
        <w:widowControl w:val="0"/>
        <w:rPr>
          <w:rFonts w:cs="Arial"/>
          <w:bCs/>
          <w:lang w:val="es-MX"/>
        </w:rPr>
      </w:pPr>
      <w:r w:rsidRPr="00876461">
        <w:rPr>
          <w:rFonts w:cs="Arial"/>
          <w:bCs/>
          <w:lang w:val="es-MX"/>
        </w:rPr>
        <w:t xml:space="preserve">Por otra parte, el análisis de la cláusula de multas escapa al contenido del presente litigio, toda vez que la contratista no se encontró vinculada al mismo.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Para este proceso basta con observar que, según el contrato, además de la deducción del valor de las multas sobre las sumas adeudadas al contratista</w:t>
      </w:r>
      <w:r w:rsidRPr="00876461">
        <w:rPr>
          <w:rStyle w:val="Refdenotaalpie"/>
          <w:rFonts w:cs="Arial"/>
          <w:bCs/>
          <w:lang w:val="es-MX"/>
        </w:rPr>
        <w:footnoteReference w:id="36"/>
      </w:r>
      <w:r w:rsidRPr="00876461">
        <w:rPr>
          <w:rFonts w:cs="Arial"/>
          <w:bCs/>
          <w:lang w:val="es-MX"/>
        </w:rPr>
        <w:t>, también estaba contemplada la posibilidad de hacerlas exigibles por virtud de la garantía o de cobrarlas por la vía judicial.</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 xml:space="preserve">En efecto, la cláusula 4.12 del pliego de condiciones, que pasó a formar parte del contrato de suministro afianzado, dispuso, en lo pertinente (se transcribe de forma literal): </w:t>
      </w:r>
    </w:p>
    <w:p w:rsidR="006D1BFD" w:rsidRPr="00876461" w:rsidRDefault="006D1BFD" w:rsidP="006D1BFD">
      <w:pPr>
        <w:widowControl w:val="0"/>
        <w:rPr>
          <w:rFonts w:cs="Arial"/>
          <w:bCs/>
          <w:lang w:val="es-MX"/>
        </w:rPr>
      </w:pPr>
    </w:p>
    <w:p w:rsidR="006D1BFD" w:rsidRPr="00876461" w:rsidRDefault="006D1BFD" w:rsidP="006D1BFD">
      <w:pPr>
        <w:widowControl w:val="0"/>
        <w:spacing w:line="276" w:lineRule="auto"/>
        <w:rPr>
          <w:rFonts w:cs="Arial"/>
          <w:bCs/>
          <w:i/>
          <w:lang w:val="es-MX"/>
        </w:rPr>
      </w:pPr>
      <w:r w:rsidRPr="00876461">
        <w:rPr>
          <w:rFonts w:cs="Arial"/>
          <w:bCs/>
          <w:i/>
          <w:lang w:val="es-MX"/>
        </w:rPr>
        <w:t>“(…) el valor de las deducciones por incumplimientos (multas) se tomará directamente de cualquier suma que adeude al contratista, si la hay, o se hará efectiva la garantía de cumplimiento del contrato, si lo anterior no es posible, se cobrará por la vía judicial”</w:t>
      </w:r>
      <w:r w:rsidRPr="00876461">
        <w:rPr>
          <w:rStyle w:val="Refdenotaalpie"/>
          <w:rFonts w:cs="Arial"/>
          <w:bCs/>
          <w:i/>
          <w:lang w:val="es-MX"/>
        </w:rPr>
        <w:footnoteReference w:id="37"/>
      </w:r>
      <w:r w:rsidRPr="00876461">
        <w:rPr>
          <w:rFonts w:cs="Arial"/>
          <w:bCs/>
          <w:i/>
          <w:lang w:val="es-MX"/>
        </w:rPr>
        <w:t>.</w:t>
      </w:r>
    </w:p>
    <w:p w:rsidR="006D1BFD" w:rsidRPr="00876461" w:rsidRDefault="006D1BFD" w:rsidP="006D1BFD">
      <w:pPr>
        <w:widowControl w:val="0"/>
        <w:spacing w:line="276" w:lineRule="auto"/>
        <w:rPr>
          <w:rFonts w:cs="Arial"/>
          <w:bCs/>
          <w:i/>
          <w:lang w:val="es-MX"/>
        </w:rPr>
      </w:pPr>
    </w:p>
    <w:p w:rsidR="006D1BFD" w:rsidRPr="00876461" w:rsidRDefault="006D1BFD" w:rsidP="006D1BFD">
      <w:pPr>
        <w:widowControl w:val="0"/>
        <w:rPr>
          <w:rFonts w:cs="Arial"/>
          <w:bCs/>
          <w:lang w:val="es-MX"/>
        </w:rPr>
      </w:pPr>
      <w:r w:rsidRPr="00876461">
        <w:rPr>
          <w:rFonts w:cs="Arial"/>
          <w:bCs/>
          <w:lang w:val="es-MX"/>
        </w:rPr>
        <w:t>Se agrega que la cláusula 4.12 del pliego de condiciones, incorporada al contrato, estableció un porcentaje concreto para la multa</w:t>
      </w:r>
      <w:r w:rsidRPr="00876461">
        <w:rPr>
          <w:rStyle w:val="Refdenotaalpie"/>
          <w:rFonts w:cs="Arial"/>
          <w:bCs/>
          <w:lang w:val="es-MX"/>
        </w:rPr>
        <w:footnoteReference w:id="38"/>
      </w:r>
      <w:r w:rsidRPr="00876461">
        <w:rPr>
          <w:rFonts w:cs="Arial"/>
          <w:bCs/>
          <w:lang w:val="es-MX"/>
        </w:rPr>
        <w:t xml:space="preserve">, el evento del descuento o compensación de los valores correspondientes a las penas y la posibilidad de acudir al cobro de la póliza o a la vía judicial.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 xml:space="preserve">Como consecuencia, respecto de la disposición de hacer efectiva la póliza de seguro, materia de este litigio, no se configuró el pacto de objeto ilícito o ilegal que en forma errada se imputó por el Tribunal </w:t>
      </w:r>
      <w:r w:rsidRPr="00876461">
        <w:rPr>
          <w:rFonts w:cs="Arial"/>
          <w:bCs/>
          <w:i/>
          <w:lang w:val="es-MX"/>
        </w:rPr>
        <w:t>a quo</w:t>
      </w:r>
      <w:r w:rsidRPr="00876461">
        <w:rPr>
          <w:rFonts w:cs="Arial"/>
          <w:bCs/>
          <w:lang w:val="es-MX"/>
        </w:rPr>
        <w:t xml:space="preserve">, toda vez que esa cláusula se amparaba en el derecho común, dentro del cual era viable acordar el amparo de </w:t>
      </w:r>
      <w:r w:rsidRPr="00876461">
        <w:rPr>
          <w:rFonts w:cs="Arial"/>
          <w:bCs/>
          <w:lang w:val="es-MX"/>
        </w:rPr>
        <w:lastRenderedPageBreak/>
        <w:t>cumplimiento sobre el valor de las multas debidamente pactadas.</w:t>
      </w:r>
    </w:p>
    <w:p w:rsidR="006D1BFD" w:rsidRPr="00876461" w:rsidRDefault="006D1BFD" w:rsidP="006D1BFD">
      <w:pPr>
        <w:widowControl w:val="0"/>
        <w:rPr>
          <w:rFonts w:cs="Arial"/>
          <w:bCs/>
          <w:lang w:val="es-MX"/>
        </w:rPr>
      </w:pPr>
    </w:p>
    <w:p w:rsidR="006D1BFD" w:rsidRPr="00876461" w:rsidRDefault="006D1BFD" w:rsidP="006D1BFD">
      <w:pPr>
        <w:pStyle w:val="Textoindependiente"/>
        <w:widowControl w:val="0"/>
        <w:spacing w:line="240" w:lineRule="auto"/>
        <w:rPr>
          <w:rFonts w:cs="Arial"/>
          <w:b/>
          <w:szCs w:val="24"/>
        </w:rPr>
      </w:pPr>
      <w:r w:rsidRPr="00876461">
        <w:rPr>
          <w:rFonts w:cs="Arial"/>
          <w:b/>
          <w:szCs w:val="24"/>
        </w:rPr>
        <w:t>6.3. La cobertura de la póliza de seguros</w:t>
      </w:r>
    </w:p>
    <w:p w:rsidR="006D1BFD" w:rsidRPr="00876461" w:rsidRDefault="006D1BFD" w:rsidP="006D1BFD">
      <w:pPr>
        <w:widowControl w:val="0"/>
        <w:rPr>
          <w:rFonts w:cs="Arial"/>
          <w:lang w:val="es-CO"/>
        </w:rPr>
      </w:pPr>
    </w:p>
    <w:p w:rsidR="006D1BFD" w:rsidRPr="00876461" w:rsidRDefault="006D1BFD" w:rsidP="006D1BFD">
      <w:pPr>
        <w:widowControl w:val="0"/>
        <w:rPr>
          <w:rFonts w:cs="Arial"/>
          <w:lang w:val="es-CO"/>
        </w:rPr>
      </w:pPr>
      <w:r w:rsidRPr="00876461">
        <w:rPr>
          <w:rFonts w:cs="Arial"/>
          <w:lang w:val="es-CO"/>
        </w:rPr>
        <w:t>De acuerdo con las pruebas que obran en el expediente, se establece que la Compañía Agrícola de Seguros S.A. expidió inicialmente la póliza de cumplimiento a favor de particulares, pero, posteriormente, procedió a ajustar su contenido, mediante certificado expedido del 2 de febrero de 2006, en el que hizo constar que la póliza era de aquellas emitidas “</w:t>
      </w:r>
      <w:r w:rsidRPr="00876461">
        <w:rPr>
          <w:rFonts w:cs="Arial"/>
          <w:i/>
          <w:lang w:val="es-CO"/>
        </w:rPr>
        <w:t>A FAVOR DE ENTIDADES ESTATALES”. P</w:t>
      </w:r>
      <w:r w:rsidRPr="00876461">
        <w:rPr>
          <w:rFonts w:cs="Arial"/>
          <w:lang w:val="es-CO"/>
        </w:rPr>
        <w:t>or otra parte, la propia compañía de seguros dejó constancia del levantamiento de las exclusiones de responsabilidad, según se indicó en los certificados 2 - 0  de 2 de febrero de 2006 y 3 – 0 de 3 de marzo de 2006</w:t>
      </w:r>
      <w:r w:rsidRPr="00876461">
        <w:rPr>
          <w:rStyle w:val="Refdenotaalpie"/>
          <w:rFonts w:cs="Arial"/>
          <w:lang w:val="es-CO"/>
        </w:rPr>
        <w:footnoteReference w:id="39"/>
      </w:r>
      <w:r w:rsidRPr="00876461">
        <w:rPr>
          <w:rFonts w:cs="Arial"/>
          <w:lang w:val="es-CO"/>
        </w:rPr>
        <w:t xml:space="preserve">. </w:t>
      </w:r>
    </w:p>
    <w:p w:rsidR="006D1BFD" w:rsidRDefault="006D1BFD" w:rsidP="006D1BFD">
      <w:pPr>
        <w:widowControl w:val="0"/>
        <w:rPr>
          <w:rFonts w:cs="Arial"/>
          <w:bCs/>
          <w:color w:val="000000"/>
        </w:rPr>
      </w:pPr>
    </w:p>
    <w:p w:rsidR="006D1BFD" w:rsidRPr="00876461" w:rsidRDefault="006D1BFD" w:rsidP="006D1BFD">
      <w:pPr>
        <w:widowControl w:val="0"/>
        <w:rPr>
          <w:rFonts w:cs="Arial"/>
          <w:lang w:val="es-CO"/>
        </w:rPr>
      </w:pPr>
      <w:r w:rsidRPr="00876461">
        <w:rPr>
          <w:rFonts w:cs="Arial"/>
          <w:bCs/>
          <w:color w:val="000000"/>
        </w:rPr>
        <w:t xml:space="preserve">Se agrega que, de conformidad con el documento contentivo del </w:t>
      </w:r>
      <w:r w:rsidRPr="00876461">
        <w:rPr>
          <w:rFonts w:cs="Arial"/>
          <w:bCs/>
          <w:i/>
          <w:color w:val="000000"/>
        </w:rPr>
        <w:t>“condicionamiento general de la garantía única de seguro cumplimiento en favor de entidades estatales”</w:t>
      </w:r>
      <w:r w:rsidRPr="00876461">
        <w:rPr>
          <w:rFonts w:cs="Arial"/>
          <w:bCs/>
          <w:color w:val="000000"/>
        </w:rPr>
        <w:t xml:space="preserve"> emanado de la compañía Agrícola de Seguros S.A.</w:t>
      </w:r>
      <w:r w:rsidRPr="00876461">
        <w:rPr>
          <w:rStyle w:val="Refdenotaalpie"/>
          <w:rFonts w:cs="Arial"/>
          <w:bCs/>
          <w:color w:val="000000"/>
        </w:rPr>
        <w:footnoteReference w:id="40"/>
      </w:r>
      <w:r w:rsidRPr="00876461">
        <w:rPr>
          <w:rFonts w:cs="Arial"/>
          <w:bCs/>
          <w:color w:val="000000"/>
        </w:rPr>
        <w:t xml:space="preserve">, </w:t>
      </w:r>
      <w:r w:rsidRPr="00876461">
        <w:rPr>
          <w:rFonts w:cs="Arial"/>
          <w:lang w:val="es-CO"/>
        </w:rPr>
        <w:t>el clausulado de la mencionada póliza amparaba en forma expresa las multas y la cláusula penal.</w:t>
      </w:r>
    </w:p>
    <w:p w:rsidR="006D1BFD"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Por ello, la Sala advierte que, de acuerdo con las pruebas obrantes en el proceso, no es cierto lo afirmado por la compañía de seguros, en cuanto a que las multas estaban excluidas de la garantía, si se observa el contenido de la póliza y de los certificados expedidos por la aseguradora.</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 xml:space="preserve">En efecto, el documento contentivo del clausulado del seguro de cumplimiento a favor de entidades estatales, aplicable en la póliza que se hizo exigible en los actos acusados en este proceso, acreditó la cobertura, así (se transcribe literal incluso con posibles errores): </w:t>
      </w:r>
    </w:p>
    <w:p w:rsidR="006D1BFD" w:rsidRPr="00876461" w:rsidRDefault="006D1BFD" w:rsidP="006D1BFD">
      <w:pPr>
        <w:widowControl w:val="0"/>
        <w:spacing w:line="276" w:lineRule="auto"/>
        <w:rPr>
          <w:rFonts w:cs="Arial"/>
          <w:bCs/>
          <w:lang w:val="es-MX"/>
        </w:rPr>
      </w:pPr>
    </w:p>
    <w:p w:rsidR="006D1BFD" w:rsidRPr="00876461" w:rsidRDefault="006D1BFD" w:rsidP="006D1BFD">
      <w:pPr>
        <w:widowControl w:val="0"/>
        <w:spacing w:line="276" w:lineRule="auto"/>
        <w:rPr>
          <w:rFonts w:cs="Arial"/>
          <w:bCs/>
          <w:i/>
          <w:lang w:val="es-MX"/>
        </w:rPr>
      </w:pPr>
      <w:r w:rsidRPr="00876461">
        <w:rPr>
          <w:rFonts w:cs="Arial"/>
          <w:bCs/>
          <w:i/>
          <w:lang w:val="es-MX"/>
        </w:rPr>
        <w:t>“1.3. AMPARO DE CUMPLIMIENTO DEL CONTRATO</w:t>
      </w:r>
    </w:p>
    <w:p w:rsidR="006D1BFD" w:rsidRPr="00876461" w:rsidRDefault="006D1BFD" w:rsidP="006D1BFD">
      <w:pPr>
        <w:widowControl w:val="0"/>
        <w:spacing w:line="276" w:lineRule="auto"/>
        <w:rPr>
          <w:rFonts w:cs="Arial"/>
          <w:bCs/>
          <w:lang w:val="es-MX"/>
        </w:rPr>
      </w:pPr>
    </w:p>
    <w:p w:rsidR="006D1BFD" w:rsidRPr="00876461" w:rsidRDefault="006D1BFD" w:rsidP="006D1BFD">
      <w:pPr>
        <w:widowControl w:val="0"/>
        <w:spacing w:line="276" w:lineRule="auto"/>
        <w:rPr>
          <w:rFonts w:cs="Arial"/>
          <w:bCs/>
          <w:lang w:val="es-MX"/>
        </w:rPr>
      </w:pPr>
      <w:r w:rsidRPr="00876461">
        <w:rPr>
          <w:rFonts w:cs="Arial"/>
          <w:bCs/>
          <w:i/>
          <w:lang w:val="es-MX"/>
        </w:rPr>
        <w:t xml:space="preserve">“EL AMPARO DE CUMPLIMIENTO DEL CONTRATO CUBRE A LAS ENTIDADES ESTATALES CONTRATANTES CONTRA LOS PERJUICIOS DERIVADOS DEL INCUMPLIMIENTO IMPUTABLE AL CONTRATISTA DE LAS OBLIGACIONES EMANADAS DEL CONTRATO GARANTIZADO. </w:t>
      </w:r>
      <w:r w:rsidRPr="00876461">
        <w:rPr>
          <w:rFonts w:cs="Arial"/>
          <w:b/>
          <w:bCs/>
          <w:i/>
          <w:lang w:val="es-MX"/>
        </w:rPr>
        <w:t xml:space="preserve">ESTE AMPARO COMPRENDE EL PAGO DE LAS MULTAS Y EL VALOR DE LA CLÁUSULA PENAL </w:t>
      </w:r>
      <w:r w:rsidRPr="00876461">
        <w:rPr>
          <w:rFonts w:cs="Arial"/>
          <w:b/>
          <w:bCs/>
          <w:i/>
          <w:lang w:val="es-MX"/>
        </w:rPr>
        <w:lastRenderedPageBreak/>
        <w:t>PECUNIARIA QUE SE HAGA EFECTIVA</w:t>
      </w:r>
      <w:r w:rsidRPr="00876461">
        <w:rPr>
          <w:rFonts w:cs="Arial"/>
          <w:bCs/>
          <w:i/>
          <w:lang w:val="es-MX"/>
        </w:rPr>
        <w:t xml:space="preserve">. EL PAGO DE LA CLÁUSULA PENAL SERÁ CONSIDERADO COMO PARCIAL PERO DEFINITIVO DE LOS PERJUICIOS CAUSADOS A LA ENTIDAD CONTRATANTE” </w:t>
      </w:r>
      <w:r w:rsidRPr="00876461">
        <w:rPr>
          <w:rFonts w:cs="Arial"/>
          <w:bCs/>
          <w:lang w:val="es-MX"/>
        </w:rPr>
        <w:t>(la negrilla no es del texto).</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Lo anterior constituyó una regla vinculante entre las partes del contrato de seguro de cumplimiento, toda vez que la compañía de seguros extendió el certificado correspondiente y EPM lo aceptó. Además, no se encuentra la violación de normas jurídicas aplicables a la delimitación de los riesgos en el contrato de seguro, de conformidad con el artículo 1056 del Código de Comercio</w:t>
      </w:r>
      <w:r w:rsidRPr="00876461">
        <w:rPr>
          <w:rStyle w:val="Refdenotaalpie"/>
          <w:rFonts w:cs="Arial"/>
          <w:bCs/>
          <w:lang w:val="es-MX"/>
        </w:rPr>
        <w:footnoteReference w:id="41"/>
      </w:r>
      <w:r w:rsidRPr="00876461">
        <w:rPr>
          <w:rFonts w:cs="Arial"/>
          <w:bCs/>
          <w:lang w:val="es-MX"/>
        </w:rPr>
        <w:t>, amén de que no fue alegado ese supuesto en los cargos expuestos en el sub lite.</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 xml:space="preserve">En el presente proceso se encuentra que el referido acuerdo de voluntades constituyó fuente de las obligaciones correspondientes, por cuanto la cobertura del seguro se desplegó frente a una cláusula específica de multas adoptada en el contrato amparado, teniendo en cuenta que ella se aplicó a un evento concreto de incumplimiento en la entrega de los pedidos, caso en el cual se puede concluir que el citado clausulado de la póliza de seguros no estaba prohibido por la ley, toda vez que se respetaron los principios del contrato de seguro en cuanto la garantía de cumplimiento se constituyó como una fuente de indemnización y no de enriquecimiento para EPM como beneficiaria. </w:t>
      </w:r>
    </w:p>
    <w:p w:rsidR="006D1BFD" w:rsidRPr="00876461" w:rsidRDefault="006D1BFD" w:rsidP="006D1BFD">
      <w:pPr>
        <w:widowControl w:val="0"/>
        <w:rPr>
          <w:rFonts w:cs="Arial"/>
          <w:b/>
          <w:bCs/>
          <w:lang w:val="es-MX"/>
        </w:rPr>
      </w:pPr>
    </w:p>
    <w:p w:rsidR="006D1BFD" w:rsidRPr="00876461" w:rsidRDefault="006D1BFD" w:rsidP="006D1BFD">
      <w:pPr>
        <w:widowControl w:val="0"/>
        <w:rPr>
          <w:rFonts w:cs="Arial"/>
          <w:b/>
          <w:lang w:val="es-CO"/>
        </w:rPr>
      </w:pPr>
      <w:r w:rsidRPr="00876461">
        <w:rPr>
          <w:rFonts w:cs="Arial"/>
          <w:b/>
          <w:lang w:val="es-CO"/>
        </w:rPr>
        <w:t>6.4. La ocurrencia del siniestro amparado</w:t>
      </w:r>
    </w:p>
    <w:p w:rsidR="006D1BFD" w:rsidRPr="00876461" w:rsidRDefault="006D1BFD" w:rsidP="006D1BFD">
      <w:pPr>
        <w:widowControl w:val="0"/>
        <w:rPr>
          <w:rFonts w:cs="Arial"/>
          <w:lang w:val="es-CO"/>
        </w:rPr>
      </w:pPr>
    </w:p>
    <w:p w:rsidR="006D1BFD" w:rsidRPr="00876461" w:rsidRDefault="006D1BFD" w:rsidP="006D1BFD">
      <w:pPr>
        <w:widowControl w:val="0"/>
        <w:rPr>
          <w:rFonts w:cs="Arial"/>
          <w:bCs/>
          <w:i/>
          <w:color w:val="000000"/>
        </w:rPr>
      </w:pPr>
      <w:r w:rsidRPr="00876461">
        <w:rPr>
          <w:rFonts w:cs="Arial"/>
          <w:lang w:val="es-CO"/>
        </w:rPr>
        <w:t>Obran en el expediente las comunicaciones mediante las cuales AYCO LTDA informó a EPM la imposibilidad de dar cumplimiento al contrato</w:t>
      </w:r>
      <w:r w:rsidRPr="00876461">
        <w:rPr>
          <w:rStyle w:val="Refdenotaalpie"/>
          <w:rFonts w:cs="Arial"/>
          <w:i/>
          <w:lang w:val="es-CO"/>
        </w:rPr>
        <w:footnoteReference w:id="42"/>
      </w:r>
      <w:r w:rsidRPr="00876461">
        <w:rPr>
          <w:rFonts w:cs="Arial"/>
          <w:lang w:val="es-CO"/>
        </w:rPr>
        <w:t xml:space="preserve"> y </w:t>
      </w:r>
      <w:r w:rsidRPr="00876461">
        <w:rPr>
          <w:rFonts w:cs="Arial"/>
          <w:bCs/>
          <w:color w:val="000000"/>
        </w:rPr>
        <w:t xml:space="preserve">solicitó que </w:t>
      </w:r>
      <w:r w:rsidRPr="00876461">
        <w:rPr>
          <w:rFonts w:cs="Arial"/>
          <w:bCs/>
          <w:i/>
          <w:color w:val="000000"/>
        </w:rPr>
        <w:t>se “atenúe el rigorismo frente a la ejecución del contrato”</w:t>
      </w:r>
      <w:r w:rsidRPr="00876461">
        <w:rPr>
          <w:rStyle w:val="Refdenotaalpie"/>
          <w:rFonts w:cs="Arial"/>
          <w:bCs/>
          <w:i/>
          <w:color w:val="000000"/>
        </w:rPr>
        <w:footnoteReference w:id="43"/>
      </w:r>
      <w:r w:rsidRPr="00876461">
        <w:rPr>
          <w:rFonts w:cs="Arial"/>
          <w:bCs/>
          <w:i/>
          <w:color w:val="000000"/>
        </w:rPr>
        <w:t>.</w:t>
      </w:r>
    </w:p>
    <w:p w:rsidR="006D1BFD" w:rsidRDefault="006D1BFD" w:rsidP="006D1BFD">
      <w:pPr>
        <w:widowControl w:val="0"/>
        <w:rPr>
          <w:rFonts w:cs="Arial"/>
          <w:bCs/>
          <w:color w:val="000000"/>
        </w:rPr>
      </w:pPr>
    </w:p>
    <w:p w:rsidR="006D1BFD" w:rsidRPr="00876461" w:rsidRDefault="006D1BFD" w:rsidP="006D1BFD">
      <w:pPr>
        <w:widowControl w:val="0"/>
        <w:rPr>
          <w:rFonts w:cs="Arial"/>
          <w:bCs/>
          <w:i/>
          <w:color w:val="000000"/>
        </w:rPr>
      </w:pPr>
      <w:r w:rsidRPr="00876461">
        <w:rPr>
          <w:rFonts w:cs="Arial"/>
          <w:bCs/>
          <w:color w:val="000000"/>
        </w:rPr>
        <w:t xml:space="preserve">De igual forma, se allegó al plenario la comunicación de octubre 4 de 2006, remitida por el jefe de la unidad de compras de EPM a la contratista, en la cual le manifestó que la situación de desequilibrio económico alegada por AYCO LTDA no fue plenamente justificada y, por ello, le indicó que quedaba </w:t>
      </w:r>
      <w:r w:rsidRPr="00876461">
        <w:rPr>
          <w:rFonts w:cs="Arial"/>
          <w:bCs/>
          <w:i/>
          <w:color w:val="000000"/>
        </w:rPr>
        <w:t xml:space="preserve">“en firme la deducción por incumplimiento”. </w:t>
      </w:r>
    </w:p>
    <w:p w:rsidR="006D1BFD" w:rsidRPr="00876461" w:rsidRDefault="006D1BFD" w:rsidP="006D1BFD">
      <w:pPr>
        <w:widowControl w:val="0"/>
        <w:rPr>
          <w:rFonts w:cs="Arial"/>
          <w:bCs/>
          <w:color w:val="000000"/>
        </w:rPr>
      </w:pPr>
      <w:r w:rsidRPr="00876461">
        <w:rPr>
          <w:rFonts w:cs="Arial"/>
          <w:bCs/>
          <w:color w:val="000000"/>
        </w:rPr>
        <w:lastRenderedPageBreak/>
        <w:t xml:space="preserve">Nótese que en esta comunicación se manifestó la procedencia de la deducción del valor de las multas por incumplimiento, empero, en los actos acusados se evidencia que no se presentó una declaratoria de incumplimiento ni el cobro directo de las multas contra los valores adeudados al contratista, dado que EPM primero informó a la compañías de seguros y, posteriormente, procedió a declarar la ocurrencia del riesgo y la efectividad de la póliza de seguro incluyendo el valor correspondiente a las multas y a la cláusula penal pactada. </w:t>
      </w:r>
    </w:p>
    <w:p w:rsidR="006D1BFD" w:rsidRPr="00876461" w:rsidRDefault="006D1BFD" w:rsidP="006D1BFD">
      <w:pPr>
        <w:widowControl w:val="0"/>
        <w:rPr>
          <w:rFonts w:cs="Arial"/>
          <w:lang w:val="es-CO"/>
        </w:rPr>
      </w:pPr>
      <w:r w:rsidRPr="00876461">
        <w:rPr>
          <w:rFonts w:cs="Arial"/>
          <w:lang w:val="es-CO"/>
        </w:rPr>
        <w:t>En efecto, mediante la</w:t>
      </w:r>
      <w:r w:rsidRPr="00876461">
        <w:rPr>
          <w:rFonts w:cs="Arial"/>
          <w:b/>
          <w:lang w:val="es-CO"/>
        </w:rPr>
        <w:t xml:space="preserve"> </w:t>
      </w:r>
      <w:r w:rsidRPr="00876461">
        <w:rPr>
          <w:rFonts w:cs="Arial"/>
          <w:lang w:val="es-CO"/>
        </w:rPr>
        <w:t xml:space="preserve">Resolución 002950 de 31 de octubre de 2006, </w:t>
      </w:r>
      <w:r w:rsidRPr="00876461">
        <w:rPr>
          <w:rFonts w:cs="Arial"/>
          <w:i/>
          <w:lang w:val="es-CO"/>
        </w:rPr>
        <w:t>“por medio de la cual se declara el riesgo de incumplimiento y se hace efectiva una garantía”</w:t>
      </w:r>
      <w:r w:rsidRPr="00876461">
        <w:rPr>
          <w:rFonts w:cs="Arial"/>
          <w:lang w:val="es-CO"/>
        </w:rPr>
        <w:t>, se dispuso (se transcribe de forma literal):</w:t>
      </w:r>
    </w:p>
    <w:p w:rsidR="006D1BFD" w:rsidRPr="00876461" w:rsidRDefault="006D1BFD" w:rsidP="006D1BFD">
      <w:pPr>
        <w:widowControl w:val="0"/>
        <w:rPr>
          <w:rFonts w:cs="Arial"/>
          <w:b/>
          <w:lang w:val="es-CO"/>
        </w:rPr>
      </w:pPr>
    </w:p>
    <w:p w:rsidR="006D1BFD" w:rsidRPr="00876461" w:rsidRDefault="006D1BFD" w:rsidP="006D1BFD">
      <w:pPr>
        <w:widowControl w:val="0"/>
        <w:spacing w:line="276" w:lineRule="auto"/>
        <w:jc w:val="center"/>
        <w:rPr>
          <w:rFonts w:cs="Arial"/>
          <w:i/>
          <w:lang w:val="es-CO"/>
        </w:rPr>
      </w:pPr>
      <w:r w:rsidRPr="00876461">
        <w:rPr>
          <w:rFonts w:cs="Arial"/>
          <w:i/>
          <w:lang w:val="es-CO"/>
        </w:rPr>
        <w:t>“CONSIDERANDO</w:t>
      </w:r>
    </w:p>
    <w:p w:rsidR="006D1BFD" w:rsidRPr="00876461" w:rsidRDefault="006D1BFD" w:rsidP="006D1BFD">
      <w:pPr>
        <w:widowControl w:val="0"/>
        <w:spacing w:line="276" w:lineRule="auto"/>
        <w:rPr>
          <w:rFonts w:cs="Arial"/>
          <w:i/>
          <w:lang w:val="es-CO"/>
        </w:rPr>
      </w:pPr>
    </w:p>
    <w:p w:rsidR="006D1BFD" w:rsidRPr="00876461" w:rsidRDefault="006D1BFD" w:rsidP="006D1BFD">
      <w:pPr>
        <w:widowControl w:val="0"/>
        <w:spacing w:line="276" w:lineRule="auto"/>
        <w:rPr>
          <w:rFonts w:cs="Arial"/>
          <w:i/>
          <w:lang w:val="es-CO"/>
        </w:rPr>
      </w:pPr>
      <w:r w:rsidRPr="00876461">
        <w:rPr>
          <w:rFonts w:cs="Arial"/>
          <w:i/>
          <w:lang w:val="es-CO"/>
        </w:rPr>
        <w:t>“</w:t>
      </w:r>
      <w:r w:rsidRPr="00876461">
        <w:rPr>
          <w:rFonts w:cs="Arial"/>
          <w:b/>
          <w:i/>
          <w:lang w:val="es-CO"/>
        </w:rPr>
        <w:t>8</w:t>
      </w:r>
      <w:r w:rsidRPr="00876461">
        <w:rPr>
          <w:rFonts w:cs="Arial"/>
          <w:i/>
          <w:lang w:val="es-CO"/>
        </w:rPr>
        <w:t xml:space="preserve">. Que la firma AYCO LTDA otorgó la póliza 6000000381801 expedida por la COMPAÑÍA AGRÍCOLA DE SEGUROS S.A., con vigencia desde el 3 de marzo de 2006 hasta el 3 de noviembre de 2006, que incluyó el pago de multas y la cláusula penal pecuniaria por un valor asegurado para el amparo de cumplimiento  de TRESCIENTOS CINCUENTA Y CUATRO MILLONES NOVECIENTOS TREINTA Y CUATRO MIL DOSCIENTOS SETENTA Y SEIS ($354’934.276,00)  PESOS. </w:t>
      </w:r>
    </w:p>
    <w:p w:rsidR="006D1BFD" w:rsidRPr="00876461" w:rsidRDefault="006D1BFD" w:rsidP="006D1BFD">
      <w:pPr>
        <w:widowControl w:val="0"/>
        <w:spacing w:line="276" w:lineRule="auto"/>
        <w:rPr>
          <w:rFonts w:cs="Arial"/>
          <w:i/>
          <w:lang w:val="es-CO"/>
        </w:rPr>
      </w:pPr>
      <w:r w:rsidRPr="00876461">
        <w:rPr>
          <w:rFonts w:cs="Arial"/>
          <w:i/>
          <w:lang w:val="es-CO"/>
        </w:rPr>
        <w:t xml:space="preserve"> </w:t>
      </w:r>
    </w:p>
    <w:p w:rsidR="006D1BFD" w:rsidRPr="00876461" w:rsidRDefault="006D1BFD" w:rsidP="006D1BFD">
      <w:pPr>
        <w:widowControl w:val="0"/>
        <w:spacing w:line="276" w:lineRule="auto"/>
        <w:rPr>
          <w:rFonts w:cs="Arial"/>
          <w:i/>
          <w:lang w:val="es-CO"/>
        </w:rPr>
      </w:pPr>
      <w:r w:rsidRPr="00876461">
        <w:rPr>
          <w:rFonts w:cs="Arial"/>
          <w:i/>
          <w:lang w:val="es-CO"/>
        </w:rPr>
        <w:t>“</w:t>
      </w:r>
      <w:r w:rsidRPr="00876461">
        <w:rPr>
          <w:rFonts w:cs="Arial"/>
          <w:b/>
          <w:i/>
          <w:lang w:val="es-CO"/>
        </w:rPr>
        <w:t>9</w:t>
      </w:r>
      <w:r w:rsidRPr="00876461">
        <w:rPr>
          <w:rFonts w:cs="Arial"/>
          <w:i/>
          <w:lang w:val="es-CO"/>
        </w:rPr>
        <w:t>. Que las Empresas avisaron a la compañía aseguradora mediante comunicaciones 131399 de agosto 4 de 2006 y 01322692 de 3 de octubre de 2006, sobre la renuencia del contratista para dar cumplimiento al objeto del contrato.</w:t>
      </w:r>
    </w:p>
    <w:p w:rsidR="006D1BFD" w:rsidRPr="00876461" w:rsidRDefault="006D1BFD" w:rsidP="006D1BFD">
      <w:pPr>
        <w:widowControl w:val="0"/>
        <w:spacing w:line="276" w:lineRule="auto"/>
        <w:rPr>
          <w:rFonts w:cs="Arial"/>
          <w:i/>
          <w:lang w:val="es-CO"/>
        </w:rPr>
      </w:pPr>
    </w:p>
    <w:p w:rsidR="006D1BFD" w:rsidRPr="00876461" w:rsidRDefault="006D1BFD" w:rsidP="006D1BFD">
      <w:pPr>
        <w:widowControl w:val="0"/>
        <w:spacing w:line="276" w:lineRule="auto"/>
        <w:rPr>
          <w:rFonts w:cs="Arial"/>
          <w:i/>
          <w:lang w:val="es-CO"/>
        </w:rPr>
      </w:pPr>
      <w:r w:rsidRPr="00876461">
        <w:rPr>
          <w:rFonts w:cs="Arial"/>
          <w:i/>
          <w:lang w:val="es-CO"/>
        </w:rPr>
        <w:t>“(…)</w:t>
      </w:r>
    </w:p>
    <w:p w:rsidR="006D1BFD" w:rsidRPr="00876461" w:rsidRDefault="006D1BFD" w:rsidP="006D1BFD">
      <w:pPr>
        <w:widowControl w:val="0"/>
        <w:spacing w:line="276" w:lineRule="auto"/>
        <w:rPr>
          <w:rFonts w:cs="Arial"/>
          <w:i/>
          <w:lang w:val="es-CO"/>
        </w:rPr>
      </w:pPr>
    </w:p>
    <w:p w:rsidR="006D1BFD" w:rsidRPr="00876461" w:rsidRDefault="006D1BFD" w:rsidP="006D1BFD">
      <w:pPr>
        <w:widowControl w:val="0"/>
        <w:spacing w:line="276" w:lineRule="auto"/>
        <w:jc w:val="center"/>
        <w:rPr>
          <w:rFonts w:cs="Arial"/>
          <w:i/>
          <w:lang w:val="es-CO"/>
        </w:rPr>
      </w:pPr>
      <w:r w:rsidRPr="00876461">
        <w:rPr>
          <w:rFonts w:cs="Arial"/>
          <w:i/>
          <w:lang w:val="es-CO"/>
        </w:rPr>
        <w:t>“RESUELVE</w:t>
      </w:r>
    </w:p>
    <w:p w:rsidR="006D1BFD" w:rsidRPr="00876461" w:rsidRDefault="006D1BFD" w:rsidP="006D1BFD">
      <w:pPr>
        <w:widowControl w:val="0"/>
        <w:spacing w:line="276" w:lineRule="auto"/>
        <w:jc w:val="center"/>
        <w:rPr>
          <w:rFonts w:cs="Arial"/>
          <w:i/>
          <w:lang w:val="es-CO"/>
        </w:rPr>
      </w:pPr>
    </w:p>
    <w:p w:rsidR="006D1BFD" w:rsidRPr="00876461" w:rsidRDefault="006D1BFD" w:rsidP="006D1BFD">
      <w:pPr>
        <w:widowControl w:val="0"/>
        <w:spacing w:line="276" w:lineRule="auto"/>
        <w:rPr>
          <w:rFonts w:cs="Arial"/>
          <w:i/>
          <w:lang w:val="es-CO"/>
        </w:rPr>
      </w:pPr>
      <w:r w:rsidRPr="00876461">
        <w:rPr>
          <w:rFonts w:cs="Arial"/>
          <w:i/>
          <w:lang w:val="es-CO"/>
        </w:rPr>
        <w:t xml:space="preserve">“Artículo 1. Declarar que se configuró el riesgo de incumplimiento de obligaciones previstas en el contrato 090325402, celebrado entre las Empresas y la firma AYCO LTDA, debido al incumplimiento de las entregas correspondientes a los pedidos 3 (parcialmente) y 4 ordenados por la entidad. </w:t>
      </w:r>
    </w:p>
    <w:p w:rsidR="006D1BFD" w:rsidRPr="00876461" w:rsidRDefault="006D1BFD" w:rsidP="006D1BFD">
      <w:pPr>
        <w:widowControl w:val="0"/>
        <w:spacing w:line="276" w:lineRule="auto"/>
        <w:rPr>
          <w:rFonts w:cs="Arial"/>
          <w:b/>
          <w:lang w:val="es-CO"/>
        </w:rPr>
      </w:pPr>
    </w:p>
    <w:p w:rsidR="006D1BFD" w:rsidRPr="00876461" w:rsidRDefault="006D1BFD" w:rsidP="006D1BFD">
      <w:pPr>
        <w:widowControl w:val="0"/>
        <w:spacing w:line="276" w:lineRule="auto"/>
        <w:rPr>
          <w:rFonts w:cs="Arial"/>
          <w:i/>
          <w:lang w:val="es-CO"/>
        </w:rPr>
      </w:pPr>
      <w:r w:rsidRPr="00876461">
        <w:rPr>
          <w:rFonts w:cs="Arial"/>
          <w:i/>
          <w:lang w:val="es-CO"/>
        </w:rPr>
        <w:t xml:space="preserve">“Artículo 2. Hacer efectiva la garantía de cumplimiento 6000000381801, expedida por la </w:t>
      </w:r>
      <w:r w:rsidRPr="00876461">
        <w:rPr>
          <w:rFonts w:cs="Arial"/>
          <w:b/>
          <w:i/>
          <w:lang w:val="es-CO"/>
        </w:rPr>
        <w:t>COMPAÑÍA AGRÍCOLA DE SEGUROS S.A.</w:t>
      </w:r>
      <w:r w:rsidRPr="00876461">
        <w:rPr>
          <w:rFonts w:cs="Arial"/>
          <w:i/>
          <w:lang w:val="es-CO"/>
        </w:rPr>
        <w:t xml:space="preserve"> por un valor de TRESCIENTOS CINCUENTA Y CUATRO MILLONES NOVECIENTOS TREINTA Y CUATRO MIL DOSCIENTOS SETENTA Y SEIS ($354’934.276,00) discriminados así: Valor de la multa: CIENTO SETENTA  Y SIETE MILLONES CUATROCIENTOS SESENTA Y SIETE MIL CIENTO TREINTA Y OCHO CON 12/100 ($177’467.138,12) PESOS, Valor de la cláusula penal pecuniaria: CIENTO SETENTA Y SIETE MILLONES CUATROCIENTOS SESENTA Y SIETE MIL </w:t>
      </w:r>
      <w:r w:rsidRPr="00876461">
        <w:rPr>
          <w:rFonts w:cs="Arial"/>
          <w:i/>
          <w:lang w:val="es-CO"/>
        </w:rPr>
        <w:lastRenderedPageBreak/>
        <w:t>CIENTO TREINTA Y OCHO CON 12/100 ($177’467.138,12) PESOS”</w:t>
      </w:r>
      <w:r w:rsidRPr="00876461">
        <w:rPr>
          <w:rStyle w:val="Refdenotaalpie"/>
          <w:rFonts w:cs="Arial"/>
          <w:i/>
          <w:lang w:val="es-CO"/>
        </w:rPr>
        <w:footnoteReference w:id="44"/>
      </w:r>
      <w:r w:rsidRPr="00876461">
        <w:rPr>
          <w:rFonts w:cs="Arial"/>
          <w:i/>
          <w:lang w:val="es-CO"/>
        </w:rPr>
        <w:t>.</w:t>
      </w:r>
    </w:p>
    <w:p w:rsidR="006D1BFD" w:rsidRPr="00876461" w:rsidRDefault="006D1BFD" w:rsidP="006D1BFD">
      <w:pPr>
        <w:widowControl w:val="0"/>
        <w:rPr>
          <w:rFonts w:cs="Arial"/>
          <w:i/>
          <w:lang w:val="es-CO"/>
        </w:rPr>
      </w:pPr>
    </w:p>
    <w:p w:rsidR="006D1BFD" w:rsidRPr="00876461" w:rsidRDefault="006D1BFD" w:rsidP="006D1BFD">
      <w:pPr>
        <w:widowControl w:val="0"/>
        <w:tabs>
          <w:tab w:val="left" w:pos="8789"/>
        </w:tabs>
        <w:rPr>
          <w:rFonts w:cs="Arial"/>
          <w:lang w:val="es-CO"/>
        </w:rPr>
      </w:pPr>
      <w:r w:rsidRPr="00876461">
        <w:rPr>
          <w:rFonts w:cs="Arial"/>
          <w:lang w:val="es-CO"/>
        </w:rPr>
        <w:t>En la citada resolución se ordenó la notificación a la contratista -AYCO LTDA- y a la compañía de seguros. Obra en el expediente la comunicación 01329480 de noviembre 9 de 2001, mediante la cual EPM citó a la Compañía Agrícola de Seguros S.A. para efectos de la notificación, en los términos del artículo 44 de Decreto 01 de 1984 y el edicto fijado el 22 de noviembre de 2006</w:t>
      </w:r>
      <w:r w:rsidRPr="00876461">
        <w:rPr>
          <w:rStyle w:val="Refdenotaalpie"/>
          <w:rFonts w:cs="Arial"/>
          <w:lang w:val="es-CO"/>
        </w:rPr>
        <w:footnoteReference w:id="45"/>
      </w:r>
      <w:r w:rsidRPr="00876461">
        <w:rPr>
          <w:rFonts w:cs="Arial"/>
          <w:lang w:val="es-CO"/>
        </w:rPr>
        <w:t xml:space="preserve">. </w:t>
      </w:r>
    </w:p>
    <w:p w:rsidR="006D1BFD" w:rsidRPr="00876461" w:rsidRDefault="006D1BFD" w:rsidP="006D1BFD">
      <w:pPr>
        <w:widowControl w:val="0"/>
        <w:tabs>
          <w:tab w:val="left" w:pos="8789"/>
        </w:tabs>
        <w:rPr>
          <w:rFonts w:cs="Arial"/>
          <w:lang w:val="es-CO"/>
        </w:rPr>
      </w:pPr>
    </w:p>
    <w:p w:rsidR="006D1BFD" w:rsidRPr="00876461" w:rsidRDefault="006D1BFD" w:rsidP="006D1BFD">
      <w:pPr>
        <w:widowControl w:val="0"/>
        <w:rPr>
          <w:rFonts w:cs="Arial"/>
          <w:lang w:val="es-CO"/>
        </w:rPr>
      </w:pPr>
      <w:r w:rsidRPr="00876461">
        <w:rPr>
          <w:rFonts w:cs="Arial"/>
          <w:lang w:val="es-CO"/>
        </w:rPr>
        <w:t xml:space="preserve">De la misma forma, se acreditó en el expediente la Resolución No. 003174 de enero 29 de 2007, mediante la cual se resolvió el recurso de reposición interpuesto por AYCO LTDA contra la Resolución No. 002950, antes citada. </w:t>
      </w:r>
    </w:p>
    <w:p w:rsidR="006D1BFD" w:rsidRPr="00876461" w:rsidRDefault="006D1BFD" w:rsidP="006D1BFD">
      <w:pPr>
        <w:widowControl w:val="0"/>
        <w:rPr>
          <w:rFonts w:cs="Arial"/>
          <w:lang w:val="es-CO"/>
        </w:rPr>
      </w:pPr>
    </w:p>
    <w:p w:rsidR="006D1BFD" w:rsidRPr="00876461" w:rsidRDefault="006D1BFD" w:rsidP="006D1BFD">
      <w:pPr>
        <w:widowControl w:val="0"/>
        <w:rPr>
          <w:rFonts w:cs="Arial"/>
          <w:lang w:val="es-CO"/>
        </w:rPr>
      </w:pPr>
      <w:r w:rsidRPr="00876461">
        <w:rPr>
          <w:rFonts w:cs="Arial"/>
          <w:lang w:val="es-CO"/>
        </w:rPr>
        <w:t>En la Resolución 003174, EPM resolvió confirmar en todas sus partes la Resolución 002950 de 2006. Allí también dispuso la notificación a la contratista y a la compañía de seguros.</w:t>
      </w:r>
    </w:p>
    <w:p w:rsidR="006D1BFD" w:rsidRPr="00876461" w:rsidRDefault="006D1BFD" w:rsidP="006D1BFD">
      <w:pPr>
        <w:widowControl w:val="0"/>
        <w:rPr>
          <w:rFonts w:cs="Arial"/>
          <w:lang w:val="es-CO"/>
        </w:rPr>
      </w:pPr>
    </w:p>
    <w:p w:rsidR="006D1BFD" w:rsidRPr="00876461" w:rsidRDefault="006D1BFD" w:rsidP="006D1BFD">
      <w:pPr>
        <w:widowControl w:val="0"/>
        <w:rPr>
          <w:rFonts w:cs="Arial"/>
          <w:lang w:val="es-CO"/>
        </w:rPr>
      </w:pPr>
      <w:r w:rsidRPr="00876461">
        <w:rPr>
          <w:rFonts w:cs="Arial"/>
          <w:lang w:val="es-CO"/>
        </w:rPr>
        <w:t xml:space="preserve">En los considerandos de la Resolución 003174 se presentó un recuento de las comunicaciones mediante las cuales AYCO LTDA manifestó la imposibilidad de cumplir con el contrato 090325402, aduciendo la variación de precios del cobre y las dificultades con su proveedor IUSA S.A. DE CV. </w:t>
      </w:r>
    </w:p>
    <w:p w:rsidR="006D1BFD" w:rsidRPr="00876461" w:rsidRDefault="006D1BFD" w:rsidP="006D1BFD">
      <w:pPr>
        <w:widowControl w:val="0"/>
        <w:rPr>
          <w:rFonts w:cs="Arial"/>
          <w:lang w:val="es-CO"/>
        </w:rPr>
      </w:pPr>
    </w:p>
    <w:p w:rsidR="006D1BFD" w:rsidRPr="00876461" w:rsidRDefault="006D1BFD" w:rsidP="006D1BFD">
      <w:pPr>
        <w:widowControl w:val="0"/>
        <w:rPr>
          <w:rFonts w:cs="Arial"/>
          <w:lang w:val="es-CO"/>
        </w:rPr>
      </w:pPr>
      <w:r w:rsidRPr="00876461">
        <w:rPr>
          <w:rFonts w:cs="Arial"/>
          <w:lang w:val="es-CO"/>
        </w:rPr>
        <w:t>Igualmente se relacionaron los oficios 131399 de 4 de agosto de 2006 y 01322693 de 4 de octubre de 2006 suscritos por el Jefe de la Unidad de Compras de EPM</w:t>
      </w:r>
      <w:r w:rsidRPr="00876461">
        <w:rPr>
          <w:rStyle w:val="Refdenotaalpie"/>
          <w:rFonts w:cs="Arial"/>
          <w:lang w:val="es-CO"/>
        </w:rPr>
        <w:footnoteReference w:id="46"/>
      </w:r>
      <w:r w:rsidRPr="00876461">
        <w:rPr>
          <w:rFonts w:cs="Arial"/>
          <w:lang w:val="es-CO"/>
        </w:rPr>
        <w:t xml:space="preserve">, en los que dio respuesta a AYCO LTDA, advirtiéndole que </w:t>
      </w:r>
      <w:r w:rsidRPr="00876461">
        <w:rPr>
          <w:rFonts w:cs="Arial"/>
          <w:i/>
          <w:lang w:val="es-CO"/>
        </w:rPr>
        <w:t>“si el contratista consideraba padecer una situación de desequilibrio económico aún se echaba de menos una debida justificación de su incumplimiento y la presentación de una reclamación formal debidamente respaldada y cuantificada”</w:t>
      </w:r>
      <w:r w:rsidRPr="00876461">
        <w:rPr>
          <w:rFonts w:cs="Arial"/>
          <w:lang w:val="es-CO"/>
        </w:rPr>
        <w:t xml:space="preserve"> sobre la supuesta situación de desequilibrio económico alegada por AYCO LTDA</w:t>
      </w:r>
      <w:r w:rsidRPr="00876461">
        <w:rPr>
          <w:rStyle w:val="Refdenotaalpie"/>
          <w:rFonts w:cs="Arial"/>
          <w:lang w:val="es-CO"/>
        </w:rPr>
        <w:footnoteReference w:id="47"/>
      </w:r>
      <w:r w:rsidRPr="00876461">
        <w:rPr>
          <w:rFonts w:cs="Arial"/>
          <w:lang w:val="es-CO"/>
        </w:rPr>
        <w:t>.</w:t>
      </w:r>
    </w:p>
    <w:p w:rsidR="006D1BFD" w:rsidRPr="00876461" w:rsidRDefault="006D1BFD" w:rsidP="006D1BFD">
      <w:pPr>
        <w:widowControl w:val="0"/>
        <w:rPr>
          <w:rFonts w:cs="Arial"/>
          <w:lang w:val="es-CO"/>
        </w:rPr>
      </w:pPr>
    </w:p>
    <w:p w:rsidR="006D1BFD" w:rsidRPr="00876461" w:rsidRDefault="006D1BFD" w:rsidP="006D1BFD">
      <w:pPr>
        <w:widowControl w:val="0"/>
        <w:rPr>
          <w:rFonts w:cs="Arial"/>
          <w:lang w:val="es-CO"/>
        </w:rPr>
      </w:pPr>
      <w:r w:rsidRPr="00876461">
        <w:rPr>
          <w:rFonts w:cs="Arial"/>
          <w:lang w:val="es-CO"/>
        </w:rPr>
        <w:t xml:space="preserve">De conformidad con las consideraciones de la Resolución 003174, EPM rechazó los argumentos de AYCO LTDA sobre la imprevisión, advirtiendo que para el mes de octubre de 2005, cuando abrió la convocatoria pública, era </w:t>
      </w:r>
      <w:r w:rsidRPr="00876461">
        <w:rPr>
          <w:rFonts w:cs="Arial"/>
          <w:i/>
          <w:lang w:val="es-CO"/>
        </w:rPr>
        <w:t>“conocida la variabilidad del precio del cobre y el corto plazo del contrato”</w:t>
      </w:r>
      <w:r w:rsidRPr="00876461">
        <w:rPr>
          <w:rFonts w:cs="Arial"/>
          <w:lang w:val="es-CO"/>
        </w:rPr>
        <w:t xml:space="preserve">. Agrego que, según </w:t>
      </w:r>
      <w:r w:rsidRPr="00876461">
        <w:rPr>
          <w:rFonts w:cs="Arial"/>
          <w:lang w:val="es-CO"/>
        </w:rPr>
        <w:lastRenderedPageBreak/>
        <w:t>lo previsto en el pliego de condiciones, la contratista debía estimar sus costos. Además, EPM consideró que tenía derecho a aplicar las multas en el caso de incumplimiento de acuerdo con los textos contractuales.</w:t>
      </w:r>
    </w:p>
    <w:p w:rsidR="006D1BFD" w:rsidRPr="00876461" w:rsidRDefault="006D1BFD" w:rsidP="006D1BFD">
      <w:pPr>
        <w:widowControl w:val="0"/>
        <w:rPr>
          <w:rFonts w:cs="Arial"/>
          <w:lang w:val="es-CO"/>
        </w:rPr>
      </w:pPr>
    </w:p>
    <w:p w:rsidR="006D1BFD" w:rsidRPr="00876461" w:rsidRDefault="006D1BFD" w:rsidP="006D1BFD">
      <w:pPr>
        <w:widowControl w:val="0"/>
        <w:rPr>
          <w:rFonts w:cs="Arial"/>
          <w:bCs/>
          <w:i/>
          <w:lang w:val="es-MX"/>
        </w:rPr>
      </w:pPr>
      <w:r w:rsidRPr="00876461">
        <w:rPr>
          <w:rFonts w:cs="Arial"/>
          <w:bCs/>
          <w:lang w:val="es-MX"/>
        </w:rPr>
        <w:t xml:space="preserve">Acerca de la actividad aseguradora y de la forma de reclamar el siniestro, es cierto – como lo expuso EPM- que en la respectiva póliza 6000000381801 se indicó que el siniestro se entendería </w:t>
      </w:r>
      <w:r w:rsidRPr="00876461">
        <w:rPr>
          <w:rFonts w:cs="Arial"/>
          <w:bCs/>
          <w:i/>
          <w:lang w:val="es-MX"/>
        </w:rPr>
        <w:t>“causado”</w:t>
      </w:r>
      <w:r w:rsidRPr="00876461">
        <w:rPr>
          <w:rFonts w:cs="Arial"/>
          <w:bCs/>
          <w:lang w:val="es-MX"/>
        </w:rPr>
        <w:t xml:space="preserve"> a través del acto administrativo de la entidad estatal contratante en el que declarara la </w:t>
      </w:r>
      <w:r w:rsidRPr="00876461">
        <w:rPr>
          <w:rFonts w:cs="Arial"/>
          <w:bCs/>
          <w:i/>
          <w:lang w:val="es-MX"/>
        </w:rPr>
        <w:t xml:space="preserve">“realización del riesgo amparado por causas imputables a la contratista”.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Tal cláusula no puede ser entendida en el sentido de haber facilitado una usurpación de las facultades del juez, dado que, desde la perspectiva que otorga este plenario, EPM respetó las reglas de la reclamación de la póliza, allegando el acto de declaración del siniestro como uno de los soportes del incumplimiento para efecto de buscar el pago de la póliza, en ejercicio de su derecho contractual como entidad   asegurada y beneficiaria que pudo afirmar el incumplimiento y lo debió acreditar, no con su propia declaración, sino con los soportes que lo demostraron, que no eran otros que los relacionados y considerados en el citado acto, tal como se allegaron y reafirmaron en el presente proceso.</w:t>
      </w:r>
    </w:p>
    <w:p w:rsidR="006D1BFD" w:rsidRPr="00876461" w:rsidRDefault="006D1BFD" w:rsidP="006D1BFD">
      <w:pPr>
        <w:widowControl w:val="0"/>
        <w:rPr>
          <w:rFonts w:cs="Arial"/>
          <w:bCs/>
          <w:color w:val="000000"/>
        </w:rPr>
      </w:pPr>
      <w:r w:rsidRPr="00876461">
        <w:rPr>
          <w:rFonts w:cs="Arial"/>
          <w:b/>
          <w:bCs/>
          <w:color w:val="000000"/>
        </w:rPr>
        <w:t xml:space="preserve">6.5. La reclamación de la póliza de cumplimiento </w:t>
      </w:r>
    </w:p>
    <w:p w:rsidR="006D1BFD" w:rsidRDefault="006D1BFD" w:rsidP="006D1BFD">
      <w:pPr>
        <w:widowControl w:val="0"/>
        <w:rPr>
          <w:rFonts w:cs="Arial"/>
          <w:lang w:val="es-MX"/>
        </w:rPr>
      </w:pPr>
      <w:r w:rsidRPr="00876461">
        <w:rPr>
          <w:rFonts w:cs="Arial"/>
          <w:b/>
          <w:bCs/>
          <w:color w:val="000000"/>
        </w:rPr>
        <w:t>6.5.1.</w:t>
      </w:r>
      <w:r w:rsidRPr="00876461">
        <w:rPr>
          <w:rFonts w:cs="Arial"/>
          <w:bCs/>
          <w:color w:val="000000"/>
        </w:rPr>
        <w:t xml:space="preserve"> Obra como prueba l</w:t>
      </w:r>
      <w:r w:rsidRPr="00876461">
        <w:rPr>
          <w:rFonts w:cs="Arial"/>
          <w:lang w:val="es-MX"/>
        </w:rPr>
        <w:t xml:space="preserve">a comunicación 01358526 de mayo 3 de 2007, mediante la cual EPM presentó a la Compañía Agrícola de Seguros S.A. la </w:t>
      </w:r>
      <w:r w:rsidRPr="00876461">
        <w:rPr>
          <w:rFonts w:cs="Arial"/>
          <w:i/>
          <w:lang w:val="es-MX"/>
        </w:rPr>
        <w:t>“solicitud de pago”</w:t>
      </w:r>
      <w:r w:rsidRPr="00876461">
        <w:rPr>
          <w:rFonts w:cs="Arial"/>
          <w:lang w:val="es-MX"/>
        </w:rPr>
        <w:t xml:space="preserve"> con respaldo en la póliza de cumplimiento 6000000381801, fundamentada en el contenido de la referida garantía y en las resoluciones 002950 y 003174, antes citadas</w:t>
      </w:r>
      <w:r w:rsidRPr="00876461">
        <w:rPr>
          <w:rStyle w:val="Refdenotaalpie"/>
          <w:rFonts w:cs="Arial"/>
          <w:lang w:val="es-MX"/>
        </w:rPr>
        <w:footnoteReference w:id="48"/>
      </w:r>
      <w:r w:rsidRPr="00876461">
        <w:rPr>
          <w:rFonts w:cs="Arial"/>
          <w:lang w:val="es-MX"/>
        </w:rPr>
        <w:t>.</w:t>
      </w:r>
    </w:p>
    <w:p w:rsidR="006D1BFD" w:rsidRPr="00876461" w:rsidRDefault="006D1BFD" w:rsidP="006D1BFD">
      <w:pPr>
        <w:widowControl w:val="0"/>
        <w:rPr>
          <w:rFonts w:cs="Arial"/>
          <w:b/>
          <w:bCs/>
          <w:color w:val="000000"/>
        </w:rPr>
      </w:pPr>
    </w:p>
    <w:p w:rsidR="006D1BFD" w:rsidRDefault="006D1BFD" w:rsidP="006D1BFD">
      <w:pPr>
        <w:widowControl w:val="0"/>
        <w:rPr>
          <w:rFonts w:cs="Arial"/>
          <w:bCs/>
          <w:color w:val="000000"/>
        </w:rPr>
      </w:pPr>
      <w:r w:rsidRPr="00876461">
        <w:rPr>
          <w:rFonts w:cs="Arial"/>
          <w:bCs/>
          <w:color w:val="000000"/>
        </w:rPr>
        <w:t xml:space="preserve">Finalmente, se observa que la compañía de seguros objetó la </w:t>
      </w:r>
      <w:r w:rsidRPr="00876461">
        <w:rPr>
          <w:rFonts w:cs="Arial"/>
          <w:bCs/>
          <w:i/>
          <w:color w:val="000000"/>
        </w:rPr>
        <w:t>“solicitud de pago”</w:t>
      </w:r>
      <w:r w:rsidRPr="00876461">
        <w:rPr>
          <w:rFonts w:cs="Arial"/>
          <w:bCs/>
          <w:color w:val="000000"/>
        </w:rPr>
        <w:t xml:space="preserve">, mediante escrito de 29 de mayo de 2007, y sostuvo que se trataba de una </w:t>
      </w:r>
      <w:r w:rsidRPr="00876461">
        <w:rPr>
          <w:rFonts w:cs="Arial"/>
          <w:bCs/>
          <w:i/>
          <w:color w:val="000000"/>
        </w:rPr>
        <w:t>“objeción seria y fundada a la solicitud de pago”</w:t>
      </w:r>
      <w:r w:rsidRPr="00876461">
        <w:rPr>
          <w:rStyle w:val="Refdenotaalpie"/>
          <w:rFonts w:cs="Arial"/>
          <w:bCs/>
          <w:color w:val="000000"/>
        </w:rPr>
        <w:footnoteReference w:id="49"/>
      </w:r>
      <w:r w:rsidRPr="00876461">
        <w:rPr>
          <w:rFonts w:cs="Arial"/>
          <w:bCs/>
          <w:color w:val="000000"/>
        </w:rPr>
        <w:t xml:space="preserve">. </w:t>
      </w:r>
    </w:p>
    <w:p w:rsidR="006D1BFD" w:rsidRPr="00876461" w:rsidRDefault="006D1BFD" w:rsidP="006D1BFD">
      <w:pPr>
        <w:widowControl w:val="0"/>
        <w:rPr>
          <w:rFonts w:cs="Arial"/>
          <w:bCs/>
          <w:color w:val="000000"/>
        </w:rPr>
      </w:pPr>
    </w:p>
    <w:p w:rsidR="006D1BFD" w:rsidRPr="00876461" w:rsidRDefault="006D1BFD" w:rsidP="006D1BFD">
      <w:pPr>
        <w:widowControl w:val="0"/>
        <w:rPr>
          <w:rFonts w:cs="Arial"/>
          <w:bCs/>
          <w:lang w:val="es-MX"/>
        </w:rPr>
      </w:pPr>
      <w:r w:rsidRPr="00876461">
        <w:rPr>
          <w:rFonts w:cs="Arial"/>
          <w:b/>
          <w:bCs/>
          <w:lang w:val="es-MX"/>
        </w:rPr>
        <w:t>6.5.2.</w:t>
      </w:r>
      <w:r w:rsidRPr="00876461">
        <w:rPr>
          <w:rFonts w:cs="Arial"/>
          <w:bCs/>
          <w:lang w:val="es-MX"/>
        </w:rPr>
        <w:t xml:space="preserve"> Resulta</w:t>
      </w:r>
      <w:r w:rsidRPr="00876461">
        <w:rPr>
          <w:rFonts w:cs="Arial"/>
          <w:b/>
          <w:bCs/>
          <w:lang w:val="es-MX"/>
        </w:rPr>
        <w:t xml:space="preserve"> </w:t>
      </w:r>
      <w:r w:rsidRPr="00876461">
        <w:rPr>
          <w:rFonts w:cs="Arial"/>
          <w:bCs/>
          <w:lang w:val="es-MX"/>
        </w:rPr>
        <w:t xml:space="preserve">útil precisar que los actos acusados en este proceso no contienen una declaración de incumplimiento del contrato 090325402 y que, en la presente </w:t>
      </w:r>
      <w:r w:rsidRPr="00876461">
        <w:rPr>
          <w:rFonts w:cs="Arial"/>
          <w:bCs/>
          <w:i/>
          <w:lang w:val="es-MX"/>
        </w:rPr>
        <w:t>litis</w:t>
      </w:r>
      <w:r w:rsidRPr="00876461">
        <w:rPr>
          <w:rFonts w:cs="Arial"/>
          <w:bCs/>
          <w:lang w:val="es-MX"/>
        </w:rPr>
        <w:t xml:space="preserve">, la compañía aseguradora no discutió sobre la ocurrencia o no del incumplimiento, sino que centró el debate en el contenido de la póliza y en el de </w:t>
      </w:r>
      <w:r w:rsidRPr="00876461">
        <w:rPr>
          <w:rFonts w:cs="Arial"/>
          <w:bCs/>
          <w:lang w:val="es-MX"/>
        </w:rPr>
        <w:lastRenderedPageBreak/>
        <w:t xml:space="preserve">sus exclusiones.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 xml:space="preserve">De hecho, está probado en este proceso que el incumplimiento del contrato 090325402 fue reconocido por AYCO LTDA, sociedad contratista, en las comunicaciones que dirigió a EPM, en mayo 5 y junio 28 de 2006, según se acredita en el acervo probatorio, sin perjuicio de que se observa igualmente que la contratista pretendió justificar la no entrega de los pedidos 3 (incumplimiento parcial) y 4 (incumplimiento total) con la ocurrencia de circunstancias imprevisibles, fundadas en la variación del precio del cobre y la negativa a efectuar despachos por parte de su proveedor, lo cual no fue aceptado por EPM.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 xml:space="preserve">Lo que indicó la compañía de seguros en los hechos de la demanda sobre el aspecto que ahora se desata fue que los actos mediante los cuales se declaró la existencia del siniestro y la exigibilidad de la póliza de cumplimiento eran ilegales, dado que excedían la garantía que la Compañía Agrícola de Seguros S.A. expidió, argumento que quedó desvirtuado con el material probatorio obrante en el plenario.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 xml:space="preserve">Por otra parte, la demandante invocó una supuesta exclusión de la póliza de seguro de cumplimiento, por tratarse de eventos de fuerza mayor o caso fortuito; sin embargo, esa compañía de seguros no logró demostrar las mencionadas exclusiones, según se explica a continuación.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 xml:space="preserve">De conformidad con lo acreditado en el plenario, el contrato afianzado se rigió por los precios fijos que hicieron parte de la oferta presentada por AYCO LTDA, bajo la cual se comprometió con EPM; no obstante, esa sociedad no cumplió con la entrega total de los pedidos, alegando la variación de los precios por parte de su proveedor.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En los puntos 2.1 y 2.2 del pliego de condiciones se dispuso la obligación, a cargo del oferente, de estimar los costos y la vigencia de los precios correspondientes, en la siguiente forma:</w:t>
      </w:r>
    </w:p>
    <w:p w:rsidR="006D1BFD" w:rsidRPr="00876461" w:rsidRDefault="006D1BFD" w:rsidP="006D1BFD">
      <w:pPr>
        <w:widowControl w:val="0"/>
        <w:rPr>
          <w:rFonts w:cs="Arial"/>
          <w:bCs/>
          <w:lang w:val="es-MX"/>
        </w:rPr>
      </w:pPr>
    </w:p>
    <w:p w:rsidR="006D1BFD" w:rsidRPr="00876461" w:rsidRDefault="006D1BFD" w:rsidP="006D1BFD">
      <w:pPr>
        <w:widowControl w:val="0"/>
        <w:spacing w:line="276" w:lineRule="auto"/>
        <w:rPr>
          <w:rFonts w:cs="Arial"/>
          <w:bCs/>
          <w:i/>
          <w:lang w:val="es-MX"/>
        </w:rPr>
      </w:pPr>
      <w:r w:rsidRPr="00876461">
        <w:rPr>
          <w:rFonts w:cs="Arial"/>
          <w:bCs/>
          <w:i/>
          <w:lang w:val="es-MX"/>
        </w:rPr>
        <w:t xml:space="preserve">“El OFERENTE deberá examinar cuidadosamente todos los documentos que se acompañen e informarse sobre todas las circunstancias que puedan influir, en alguna forma, sobre el contrato a ejecutar y sus costos. </w:t>
      </w:r>
    </w:p>
    <w:p w:rsidR="006D1BFD" w:rsidRPr="00876461" w:rsidRDefault="006D1BFD" w:rsidP="006D1BFD">
      <w:pPr>
        <w:widowControl w:val="0"/>
        <w:spacing w:line="276" w:lineRule="auto"/>
        <w:rPr>
          <w:rFonts w:cs="Arial"/>
          <w:bCs/>
          <w:i/>
          <w:lang w:val="es-MX"/>
        </w:rPr>
      </w:pPr>
    </w:p>
    <w:p w:rsidR="006D1BFD" w:rsidRPr="00876461" w:rsidRDefault="006D1BFD" w:rsidP="006D1BFD">
      <w:pPr>
        <w:widowControl w:val="0"/>
        <w:spacing w:line="276" w:lineRule="auto"/>
        <w:rPr>
          <w:rFonts w:cs="Arial"/>
          <w:bCs/>
          <w:i/>
          <w:lang w:val="es-MX"/>
        </w:rPr>
      </w:pPr>
      <w:r w:rsidRPr="00876461">
        <w:rPr>
          <w:rFonts w:cs="Arial"/>
          <w:bCs/>
          <w:i/>
          <w:lang w:val="es-MX"/>
        </w:rPr>
        <w:t>“(…).</w:t>
      </w:r>
    </w:p>
    <w:p w:rsidR="006D1BFD" w:rsidRPr="00876461" w:rsidRDefault="006D1BFD" w:rsidP="006D1BFD">
      <w:pPr>
        <w:widowControl w:val="0"/>
        <w:spacing w:line="276" w:lineRule="auto"/>
        <w:rPr>
          <w:rFonts w:cs="Arial"/>
          <w:bCs/>
          <w:i/>
          <w:lang w:val="es-MX"/>
        </w:rPr>
      </w:pPr>
    </w:p>
    <w:p w:rsidR="006D1BFD" w:rsidRPr="00876461" w:rsidRDefault="006D1BFD" w:rsidP="006D1BFD">
      <w:pPr>
        <w:widowControl w:val="0"/>
        <w:spacing w:line="276" w:lineRule="auto"/>
        <w:rPr>
          <w:rFonts w:cs="Arial"/>
          <w:bCs/>
          <w:i/>
          <w:lang w:val="es-MX"/>
        </w:rPr>
      </w:pPr>
      <w:r w:rsidRPr="00876461">
        <w:rPr>
          <w:rFonts w:cs="Arial"/>
          <w:bCs/>
          <w:i/>
          <w:lang w:val="es-MX"/>
        </w:rPr>
        <w:t>“2.2. PRECIOS DE LA OFERTA</w:t>
      </w:r>
    </w:p>
    <w:p w:rsidR="006D1BFD" w:rsidRPr="00876461" w:rsidRDefault="006D1BFD" w:rsidP="006D1BFD">
      <w:pPr>
        <w:widowControl w:val="0"/>
        <w:spacing w:line="276" w:lineRule="auto"/>
        <w:rPr>
          <w:rFonts w:cs="Arial"/>
          <w:bCs/>
          <w:i/>
          <w:lang w:val="es-MX"/>
        </w:rPr>
      </w:pPr>
    </w:p>
    <w:p w:rsidR="006D1BFD" w:rsidRPr="00876461" w:rsidRDefault="006D1BFD" w:rsidP="006D1BFD">
      <w:pPr>
        <w:widowControl w:val="0"/>
        <w:spacing w:line="276" w:lineRule="auto"/>
        <w:rPr>
          <w:rFonts w:cs="Arial"/>
          <w:bCs/>
          <w:i/>
          <w:lang w:val="es-MX"/>
        </w:rPr>
      </w:pPr>
      <w:r w:rsidRPr="00876461">
        <w:rPr>
          <w:rFonts w:cs="Arial"/>
          <w:bCs/>
          <w:i/>
          <w:lang w:val="es-MX"/>
        </w:rPr>
        <w:t>“(…).</w:t>
      </w:r>
    </w:p>
    <w:p w:rsidR="006D1BFD" w:rsidRPr="00876461" w:rsidRDefault="006D1BFD" w:rsidP="006D1BFD">
      <w:pPr>
        <w:widowControl w:val="0"/>
        <w:spacing w:line="276" w:lineRule="auto"/>
        <w:rPr>
          <w:rFonts w:cs="Arial"/>
          <w:bCs/>
          <w:i/>
          <w:lang w:val="es-MX"/>
        </w:rPr>
      </w:pPr>
    </w:p>
    <w:p w:rsidR="006D1BFD" w:rsidRPr="00876461" w:rsidRDefault="006D1BFD" w:rsidP="006D1BFD">
      <w:pPr>
        <w:widowControl w:val="0"/>
        <w:spacing w:line="276" w:lineRule="auto"/>
        <w:rPr>
          <w:rFonts w:cs="Arial"/>
          <w:bCs/>
          <w:i/>
          <w:lang w:val="es-MX"/>
        </w:rPr>
      </w:pPr>
      <w:r w:rsidRPr="00876461">
        <w:rPr>
          <w:rFonts w:cs="Arial"/>
          <w:bCs/>
          <w:i/>
          <w:lang w:val="es-MX"/>
        </w:rPr>
        <w:t>“El precio deberá ser firme durante la ejecución del contrato”</w:t>
      </w:r>
      <w:r w:rsidRPr="00876461">
        <w:rPr>
          <w:rStyle w:val="Refdenotaalpie"/>
          <w:rFonts w:cs="Arial"/>
          <w:bCs/>
          <w:i/>
          <w:lang w:val="es-MX"/>
        </w:rPr>
        <w:footnoteReference w:id="50"/>
      </w:r>
      <w:r w:rsidRPr="00876461">
        <w:rPr>
          <w:rFonts w:cs="Arial"/>
          <w:bCs/>
          <w:i/>
          <w:lang w:val="es-MX"/>
        </w:rPr>
        <w:t>.</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
          <w:bCs/>
          <w:lang w:val="es-MX"/>
        </w:rPr>
        <w:t>6.5.3.</w:t>
      </w:r>
      <w:r w:rsidRPr="00876461">
        <w:rPr>
          <w:rFonts w:cs="Arial"/>
          <w:bCs/>
          <w:lang w:val="es-MX"/>
        </w:rPr>
        <w:t xml:space="preserve"> Se precisa que la compañía de seguros no demostró en este proceso la ocurrencia de una circunstancia constitutiva de fuerza mayor, puesto que las condiciones de negociación entre IUSA S.A. de C.V. y AYCO LTDA eran de cargo de la contratista y, según se infiere del pliego de condiciones, estaba bajo el riesgo de AYCO LTDA el cumplimiento de los pedidos, con independencia de que tuviera o no una negociación de precio firme con su proveedor durante el respectivo período contractual.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 xml:space="preserve">Como consecuencia, no se acreditó la circunstancia que se invocó para exonerar a la contratista del cumplimiento del contrato afianzado, de manera que la compañía aseguradora se encontró obligada al pago del siniestro. </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
          <w:bCs/>
          <w:lang w:val="es-MX"/>
        </w:rPr>
        <w:t>6.5.5.</w:t>
      </w:r>
      <w:r w:rsidRPr="00876461">
        <w:rPr>
          <w:rFonts w:cs="Arial"/>
          <w:bCs/>
          <w:lang w:val="es-MX"/>
        </w:rPr>
        <w:t xml:space="preserve"> No desconoce la Sala que existe otro litigio en curso, iniciado por AYCO LTDA en contra de EPM, en el cual se ha declarado en primera instancia la nulidad de las mismas resoluciones demandadas en este proceso, que se examinarán de acuerdo con la demanda y el acervo probatorio allí presentado.</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Por ello, es importante hacer constar que la presente decisión se produce en el marco de las pretensiones de la compañía de seguros y  la póliza de cumplimiento por ella otorgada. Respecto del otro proceso en curso</w:t>
      </w:r>
      <w:r w:rsidRPr="00876461">
        <w:rPr>
          <w:rStyle w:val="Refdenotaalpie"/>
          <w:rFonts w:cs="Arial"/>
          <w:bCs/>
          <w:lang w:val="es-MX"/>
        </w:rPr>
        <w:footnoteReference w:id="51"/>
      </w:r>
      <w:r w:rsidRPr="00876461">
        <w:rPr>
          <w:rFonts w:cs="Arial"/>
          <w:bCs/>
          <w:lang w:val="es-MX"/>
        </w:rPr>
        <w:t>, por no tratarse de un litigio entre las mismas partes, esta decisión no hace tránsito a cosa juzgada en relación con las pretensiones de AYCO LTDA en la demanda presentada por esa sociedad.</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
          <w:bCs/>
          <w:lang w:val="es-MX"/>
        </w:rPr>
      </w:pPr>
      <w:r w:rsidRPr="00876461">
        <w:rPr>
          <w:rFonts w:cs="Arial"/>
          <w:b/>
          <w:bCs/>
          <w:lang w:val="es-MX"/>
        </w:rPr>
        <w:t>6.6. La decisión de revocar la sentencia de primera instancia</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No habiendo causa para anular las resoluciones 002950 de 2006 y 003174 de 2007, en atención a las consideraciones expuestas en esta providencia y a las pruebas allegadas en este proceso, se revocará la sentencia de primera instancia.</w:t>
      </w:r>
    </w:p>
    <w:p w:rsidR="006D1BFD" w:rsidRPr="00876461" w:rsidRDefault="006D1BFD" w:rsidP="006D1BFD">
      <w:pPr>
        <w:widowControl w:val="0"/>
        <w:rPr>
          <w:rFonts w:cs="Arial"/>
          <w:bCs/>
          <w:lang w:val="es-MX"/>
        </w:rPr>
      </w:pPr>
    </w:p>
    <w:p w:rsidR="006D1BFD" w:rsidRPr="00876461" w:rsidRDefault="006D1BFD" w:rsidP="006D1BFD">
      <w:pPr>
        <w:widowControl w:val="0"/>
        <w:rPr>
          <w:rFonts w:cs="Arial"/>
          <w:bCs/>
          <w:lang w:val="es-MX"/>
        </w:rPr>
      </w:pPr>
      <w:r w:rsidRPr="00876461">
        <w:rPr>
          <w:rFonts w:cs="Arial"/>
          <w:bCs/>
          <w:lang w:val="es-MX"/>
        </w:rPr>
        <w:t xml:space="preserve">Por otra parte, se concluye que se materializó el riesgo amparado por la póliza 600000381801 expedida por la Compañía Agrícola de Seguros S.A. y que no proceden las exclusiones y pretensiones formuladas en la demanda. </w:t>
      </w:r>
    </w:p>
    <w:p w:rsidR="006D1BFD" w:rsidRPr="00876461" w:rsidRDefault="006D1BFD" w:rsidP="006D1BFD">
      <w:pPr>
        <w:widowControl w:val="0"/>
        <w:rPr>
          <w:rFonts w:cs="Arial"/>
          <w:b/>
          <w:bCs/>
          <w:lang w:val="es-MX"/>
        </w:rPr>
      </w:pPr>
    </w:p>
    <w:p w:rsidR="006D1BFD" w:rsidRPr="00876461" w:rsidRDefault="006D1BFD" w:rsidP="006D1BFD">
      <w:pPr>
        <w:widowControl w:val="0"/>
        <w:rPr>
          <w:rFonts w:cs="Arial"/>
          <w:bCs/>
          <w:lang w:val="es-MX"/>
        </w:rPr>
      </w:pPr>
      <w:r w:rsidRPr="00876461">
        <w:rPr>
          <w:rFonts w:cs="Arial"/>
          <w:bCs/>
          <w:lang w:val="es-MX"/>
        </w:rPr>
        <w:t>Finalmente, dado que no se accederá a la nulidad de los actos acusados, tampoco proceden las pretensiones sobre el restablecimiento del derecho en favor de la compañía de seguros ahora demandante.</w:t>
      </w:r>
    </w:p>
    <w:p w:rsidR="006D1BFD" w:rsidRPr="00876461" w:rsidRDefault="006D1BFD" w:rsidP="006D1BFD">
      <w:pPr>
        <w:widowControl w:val="0"/>
        <w:autoSpaceDE w:val="0"/>
        <w:autoSpaceDN w:val="0"/>
        <w:adjustRightInd w:val="0"/>
        <w:rPr>
          <w:rFonts w:cs="Arial"/>
          <w:b/>
        </w:rPr>
      </w:pPr>
    </w:p>
    <w:p w:rsidR="006D1BFD" w:rsidRPr="00876461" w:rsidRDefault="006D1BFD" w:rsidP="006D1BFD">
      <w:pPr>
        <w:widowControl w:val="0"/>
        <w:autoSpaceDE w:val="0"/>
        <w:autoSpaceDN w:val="0"/>
        <w:adjustRightInd w:val="0"/>
        <w:rPr>
          <w:rFonts w:cs="Arial"/>
          <w:b/>
        </w:rPr>
      </w:pPr>
      <w:r w:rsidRPr="00876461">
        <w:rPr>
          <w:rFonts w:cs="Arial"/>
          <w:b/>
        </w:rPr>
        <w:t>7. Conclusiones</w:t>
      </w:r>
    </w:p>
    <w:p w:rsidR="006D1BFD" w:rsidRPr="00876461" w:rsidRDefault="006D1BFD" w:rsidP="006D1BFD">
      <w:pPr>
        <w:widowControl w:val="0"/>
        <w:autoSpaceDE w:val="0"/>
        <w:autoSpaceDN w:val="0"/>
        <w:adjustRightInd w:val="0"/>
        <w:rPr>
          <w:rFonts w:cs="Arial"/>
        </w:rPr>
      </w:pPr>
    </w:p>
    <w:p w:rsidR="006D1BFD" w:rsidRPr="00876461" w:rsidRDefault="006D1BFD" w:rsidP="006D1BFD">
      <w:pPr>
        <w:widowControl w:val="0"/>
        <w:rPr>
          <w:rFonts w:cs="Arial"/>
        </w:rPr>
      </w:pPr>
      <w:r w:rsidRPr="00876461">
        <w:rPr>
          <w:rFonts w:cs="Arial"/>
        </w:rPr>
        <w:t xml:space="preserve">El </w:t>
      </w:r>
      <w:r w:rsidRPr="00876461">
        <w:rPr>
          <w:rFonts w:cs="Arial"/>
          <w:b/>
        </w:rPr>
        <w:t>problema jurídico</w:t>
      </w:r>
      <w:r w:rsidRPr="00876461">
        <w:rPr>
          <w:rFonts w:cs="Arial"/>
        </w:rPr>
        <w:t xml:space="preserve"> que se planteó consistió en determinar si EPM tenía o no competencia para declarar la configuración del siniestro por incumplimiento en el contrato de suministro de tubería de cobre y para hacer exigible la póliza de seguro correspondiente.</w:t>
      </w:r>
    </w:p>
    <w:p w:rsidR="006D1BFD" w:rsidRPr="00876461" w:rsidRDefault="006D1BFD" w:rsidP="006D1BFD">
      <w:pPr>
        <w:widowControl w:val="0"/>
        <w:rPr>
          <w:rFonts w:cs="Arial"/>
          <w:b/>
        </w:rPr>
      </w:pPr>
    </w:p>
    <w:p w:rsidR="006D1BFD" w:rsidRPr="00876461" w:rsidRDefault="006D1BFD" w:rsidP="006D1BFD">
      <w:pPr>
        <w:widowControl w:val="0"/>
        <w:rPr>
          <w:rFonts w:cs="Arial"/>
        </w:rPr>
      </w:pPr>
      <w:r w:rsidRPr="00876461">
        <w:rPr>
          <w:rFonts w:cs="Arial"/>
        </w:rPr>
        <w:t>Se estableció que no procedía la anulación de las resoluciones acusadas, toda vez que aunque EPM no tenía tal competencia a la luz de la Ley 142 de 1994, por el régimen del contrato, sí le asistía capacidad jurídica según las reglas del derecho privado</w:t>
      </w:r>
      <w:r w:rsidRPr="00876461">
        <w:rPr>
          <w:rStyle w:val="Refdenotaalpie"/>
          <w:rFonts w:cs="Arial"/>
        </w:rPr>
        <w:footnoteReference w:id="52"/>
      </w:r>
      <w:r w:rsidRPr="00876461">
        <w:rPr>
          <w:rFonts w:cs="Arial"/>
        </w:rPr>
        <w:t xml:space="preserve">, para efectos de afirmar la ocurrencia del siniestro y hacer exigible la garantía de cumplimiento, por la vía de la reclamación, que se adelantó en este caso. </w:t>
      </w:r>
    </w:p>
    <w:p w:rsidR="006D1BFD" w:rsidRPr="00876461" w:rsidRDefault="006D1BFD" w:rsidP="006D1BFD">
      <w:pPr>
        <w:widowControl w:val="0"/>
        <w:rPr>
          <w:rFonts w:cs="Arial"/>
        </w:rPr>
      </w:pPr>
    </w:p>
    <w:p w:rsidR="006D1BFD" w:rsidRPr="00876461" w:rsidRDefault="006D1BFD" w:rsidP="006D1BFD">
      <w:pPr>
        <w:widowControl w:val="0"/>
        <w:rPr>
          <w:rFonts w:cs="Arial"/>
        </w:rPr>
      </w:pPr>
      <w:r w:rsidRPr="00876461">
        <w:rPr>
          <w:rFonts w:cs="Arial"/>
        </w:rPr>
        <w:t xml:space="preserve">Se reafirma la obligatoriedad de la póliza, en tanto que la Compañía Agrícola de </w:t>
      </w:r>
      <w:r w:rsidRPr="00876461">
        <w:rPr>
          <w:rFonts w:cs="Arial"/>
        </w:rPr>
        <w:lastRenderedPageBreak/>
        <w:t>Seguros le otorgó cobertura a las multas y a la cláusula penal, en forma ajustada a la ley del contrato de seguro</w:t>
      </w:r>
      <w:r w:rsidRPr="00876461">
        <w:rPr>
          <w:rStyle w:val="Refdenotaalpie"/>
          <w:rFonts w:cs="Arial"/>
        </w:rPr>
        <w:footnoteReference w:id="53"/>
      </w:r>
      <w:r w:rsidRPr="00876461">
        <w:rPr>
          <w:rFonts w:cs="Arial"/>
        </w:rPr>
        <w:t xml:space="preserve">. </w:t>
      </w:r>
    </w:p>
    <w:p w:rsidR="006D1BFD" w:rsidRPr="00876461" w:rsidRDefault="006D1BFD" w:rsidP="006D1BFD">
      <w:pPr>
        <w:widowControl w:val="0"/>
        <w:rPr>
          <w:rFonts w:cs="Arial"/>
        </w:rPr>
      </w:pPr>
    </w:p>
    <w:p w:rsidR="006D1BFD" w:rsidRPr="00876461" w:rsidRDefault="006D1BFD" w:rsidP="006D1BFD">
      <w:pPr>
        <w:widowControl w:val="0"/>
        <w:rPr>
          <w:rFonts w:cs="Arial"/>
        </w:rPr>
      </w:pPr>
      <w:r w:rsidRPr="00876461">
        <w:rPr>
          <w:rFonts w:cs="Arial"/>
        </w:rPr>
        <w:t xml:space="preserve">En el escenario del derecho comercial aplicable al contrato </w:t>
      </w:r>
      <w:r w:rsidRPr="00876461">
        <w:rPr>
          <w:rFonts w:cs="Arial"/>
          <w:i/>
        </w:rPr>
        <w:t>sub lite</w:t>
      </w:r>
      <w:r w:rsidRPr="00876461">
        <w:rPr>
          <w:rFonts w:cs="Arial"/>
        </w:rPr>
        <w:t>, se precisa que el riesgo asegurado no dependió de la voluntad de EPM y, por el contrario, se soportó en el hecho objetivo del incumplimiento de los pedidos que fue reconocido e informado por la propia sociedad contratista.</w:t>
      </w:r>
    </w:p>
    <w:p w:rsidR="006D1BFD" w:rsidRPr="00876461" w:rsidRDefault="006D1BFD" w:rsidP="006D1BFD">
      <w:pPr>
        <w:widowControl w:val="0"/>
        <w:rPr>
          <w:rFonts w:cs="Arial"/>
        </w:rPr>
      </w:pPr>
    </w:p>
    <w:p w:rsidR="006D1BFD" w:rsidRPr="00876461" w:rsidRDefault="006D1BFD" w:rsidP="006D1BFD">
      <w:pPr>
        <w:widowControl w:val="0"/>
        <w:rPr>
          <w:rFonts w:cs="Arial"/>
        </w:rPr>
      </w:pPr>
      <w:r w:rsidRPr="00876461">
        <w:rPr>
          <w:rFonts w:cs="Arial"/>
        </w:rPr>
        <w:t>Se tiene en cuenta que la declaración del riesgo por incumplimiento correspondió a una constatación de los hechos que configuraban el evento de incumplimiento, es decir, que la afirmación de EPM acerca de la realización u ocurrencia del riesgo asegurado constituyó un acto ajustado a derecho, al tenor del artículo 1072 del C.Co</w:t>
      </w:r>
      <w:r w:rsidRPr="00876461">
        <w:rPr>
          <w:rStyle w:val="Refdenotaalpie"/>
          <w:rFonts w:cs="Arial"/>
        </w:rPr>
        <w:footnoteReference w:id="54"/>
      </w:r>
      <w:r w:rsidRPr="00876461">
        <w:rPr>
          <w:rFonts w:cs="Arial"/>
        </w:rPr>
        <w:t xml:space="preserve">. </w:t>
      </w:r>
    </w:p>
    <w:p w:rsidR="006D1BFD" w:rsidRPr="00876461" w:rsidRDefault="006D1BFD" w:rsidP="006D1BFD">
      <w:pPr>
        <w:widowControl w:val="0"/>
        <w:rPr>
          <w:rFonts w:cs="Arial"/>
        </w:rPr>
      </w:pPr>
    </w:p>
    <w:p w:rsidR="006D1BFD" w:rsidRPr="00876461" w:rsidRDefault="006D1BFD" w:rsidP="006D1BFD">
      <w:pPr>
        <w:widowControl w:val="0"/>
        <w:rPr>
          <w:rFonts w:cs="Arial"/>
        </w:rPr>
      </w:pPr>
      <w:r w:rsidRPr="00876461">
        <w:rPr>
          <w:rFonts w:cs="Arial"/>
        </w:rPr>
        <w:t>No se puede entender que con ese acto se ejercieron las competencias propias del juez del contrato frente a la compañía de seguros, como las que ahora se despliegan en este proceso, en tanto que la disputa sobre la exigibilidad de la póliza quedó deferida a la jurisdicción.</w:t>
      </w:r>
    </w:p>
    <w:p w:rsidR="006D1BFD" w:rsidRPr="00876461" w:rsidRDefault="006D1BFD" w:rsidP="006D1BFD">
      <w:pPr>
        <w:widowControl w:val="0"/>
        <w:rPr>
          <w:rFonts w:cs="Arial"/>
        </w:rPr>
      </w:pPr>
    </w:p>
    <w:p w:rsidR="006D1BFD" w:rsidRPr="00876461" w:rsidRDefault="006D1BFD" w:rsidP="006D1BFD">
      <w:pPr>
        <w:widowControl w:val="0"/>
        <w:rPr>
          <w:rFonts w:cs="Arial"/>
        </w:rPr>
      </w:pPr>
      <w:r w:rsidRPr="00876461">
        <w:rPr>
          <w:rFonts w:cs="Arial"/>
        </w:rPr>
        <w:t xml:space="preserve">Por otra parte, se observó que EPM siguió el procedimiento de reclamación previsto en el artículo 1077 del Código de Comercio, en cuanto a la demostración del siniestro y la cuantificación correspondiente, el cual dispone: </w:t>
      </w:r>
    </w:p>
    <w:p w:rsidR="006D1BFD" w:rsidRPr="00876461" w:rsidRDefault="006D1BFD" w:rsidP="006D1BFD">
      <w:pPr>
        <w:widowControl w:val="0"/>
        <w:shd w:val="clear" w:color="auto" w:fill="FFFFFF"/>
        <w:spacing w:line="276" w:lineRule="auto"/>
        <w:rPr>
          <w:rFonts w:cs="Arial"/>
          <w:i/>
          <w:color w:val="000000"/>
        </w:rPr>
      </w:pPr>
      <w:r w:rsidRPr="00876461">
        <w:rPr>
          <w:rFonts w:cs="Arial"/>
          <w:bCs/>
          <w:i/>
          <w:color w:val="000000"/>
        </w:rPr>
        <w:t>“Artículo</w:t>
      </w:r>
      <w:r w:rsidRPr="00876461">
        <w:rPr>
          <w:rFonts w:cs="Arial"/>
          <w:i/>
          <w:color w:val="000000"/>
        </w:rPr>
        <w:t> </w:t>
      </w:r>
      <w:r w:rsidRPr="00876461">
        <w:rPr>
          <w:rFonts w:cs="Arial"/>
          <w:bCs/>
          <w:i/>
          <w:color w:val="000000"/>
        </w:rPr>
        <w:t>1077. Carga de la Prueba.</w:t>
      </w:r>
      <w:r w:rsidRPr="00876461">
        <w:rPr>
          <w:rFonts w:cs="Arial"/>
          <w:i/>
          <w:color w:val="000000"/>
        </w:rPr>
        <w:t> Corresponderá al asegurado demostrar la ocurrencia del siniestro, así como la cuantía de la pérdida, si fuere el caso.</w:t>
      </w:r>
    </w:p>
    <w:p w:rsidR="006D1BFD" w:rsidRPr="00876461" w:rsidRDefault="006D1BFD" w:rsidP="006D1BFD">
      <w:pPr>
        <w:widowControl w:val="0"/>
        <w:shd w:val="clear" w:color="auto" w:fill="FFFFFF"/>
        <w:spacing w:line="276" w:lineRule="auto"/>
        <w:rPr>
          <w:rFonts w:cs="Arial"/>
          <w:i/>
          <w:color w:val="000000"/>
        </w:rPr>
      </w:pPr>
      <w:r w:rsidRPr="00876461">
        <w:rPr>
          <w:rFonts w:cs="Arial"/>
          <w:i/>
          <w:color w:val="000000"/>
        </w:rPr>
        <w:t>“El asegurador deberá demostrar los hechos o circunstancias excluyentes de su responsabilidad”.</w:t>
      </w:r>
    </w:p>
    <w:p w:rsidR="006D1BFD" w:rsidRDefault="006D1BFD" w:rsidP="006D1BFD">
      <w:pPr>
        <w:widowControl w:val="0"/>
        <w:rPr>
          <w:rFonts w:cs="Arial"/>
        </w:rPr>
      </w:pPr>
    </w:p>
    <w:p w:rsidR="006D1BFD" w:rsidRPr="00876461" w:rsidRDefault="006D1BFD" w:rsidP="006D1BFD">
      <w:pPr>
        <w:widowControl w:val="0"/>
        <w:rPr>
          <w:rFonts w:cs="Arial"/>
        </w:rPr>
      </w:pPr>
      <w:r w:rsidRPr="00876461">
        <w:rPr>
          <w:rFonts w:cs="Arial"/>
        </w:rPr>
        <w:t xml:space="preserve">Se añade que la compañía de seguros actuó en uso de su potestad para delimitar los riesgos que estaba dispuesta a cubrir frente a EPM, de acuerdo con el artículo </w:t>
      </w:r>
      <w:r w:rsidRPr="00876461">
        <w:rPr>
          <w:rFonts w:cs="Arial"/>
        </w:rPr>
        <w:lastRenderedPageBreak/>
        <w:t>1056 del Código de Comercio</w:t>
      </w:r>
      <w:r w:rsidRPr="00876461">
        <w:rPr>
          <w:rStyle w:val="Refdenotaalpie"/>
          <w:rFonts w:cs="Arial"/>
        </w:rPr>
        <w:footnoteReference w:id="55"/>
      </w:r>
      <w:r w:rsidRPr="00876461">
        <w:rPr>
          <w:rFonts w:cs="Arial"/>
        </w:rPr>
        <w:t>, el cual establece el marco de configuración del seguro, que no puede ahora desconocer.</w:t>
      </w:r>
    </w:p>
    <w:p w:rsidR="006D1BFD" w:rsidRPr="00876461" w:rsidRDefault="006D1BFD" w:rsidP="006D1BFD">
      <w:pPr>
        <w:widowControl w:val="0"/>
        <w:rPr>
          <w:rFonts w:cs="Arial"/>
        </w:rPr>
      </w:pPr>
    </w:p>
    <w:p w:rsidR="006D1BFD" w:rsidRPr="00876461" w:rsidRDefault="006D1BFD" w:rsidP="006D1BFD">
      <w:pPr>
        <w:widowControl w:val="0"/>
        <w:autoSpaceDE w:val="0"/>
        <w:autoSpaceDN w:val="0"/>
        <w:adjustRightInd w:val="0"/>
        <w:rPr>
          <w:rFonts w:cs="Arial"/>
          <w:lang w:val="es-CO"/>
        </w:rPr>
      </w:pPr>
      <w:r w:rsidRPr="00876461">
        <w:rPr>
          <w:rFonts w:cs="Arial"/>
          <w:lang w:val="es-CO"/>
        </w:rPr>
        <w:t>Así las cosas, prospera el recurso de apelación y se decide revocar la sentencia de primera instancia y denegar las pretensiones de la demanda.</w:t>
      </w:r>
    </w:p>
    <w:p w:rsidR="006D1BFD" w:rsidRPr="00876461" w:rsidRDefault="006D1BFD" w:rsidP="006D1BFD">
      <w:pPr>
        <w:widowControl w:val="0"/>
        <w:rPr>
          <w:rFonts w:cs="Arial"/>
          <w:b/>
        </w:rPr>
      </w:pPr>
    </w:p>
    <w:p w:rsidR="006D1BFD" w:rsidRPr="00876461" w:rsidRDefault="006D1BFD" w:rsidP="006D1BFD">
      <w:pPr>
        <w:widowControl w:val="0"/>
        <w:rPr>
          <w:rFonts w:cs="Arial"/>
          <w:b/>
        </w:rPr>
      </w:pPr>
      <w:r w:rsidRPr="00876461">
        <w:rPr>
          <w:rFonts w:cs="Arial"/>
          <w:b/>
        </w:rPr>
        <w:t>8. Costas</w:t>
      </w:r>
    </w:p>
    <w:p w:rsidR="006D1BFD" w:rsidRPr="00876461" w:rsidRDefault="006D1BFD" w:rsidP="006D1BFD">
      <w:pPr>
        <w:widowControl w:val="0"/>
        <w:rPr>
          <w:rFonts w:cs="Arial"/>
        </w:rPr>
      </w:pPr>
    </w:p>
    <w:p w:rsidR="006D1BFD" w:rsidRPr="00876461" w:rsidRDefault="006D1BFD" w:rsidP="006D1BFD">
      <w:pPr>
        <w:widowControl w:val="0"/>
        <w:rPr>
          <w:rFonts w:cs="Arial"/>
          <w:bCs/>
        </w:rPr>
      </w:pPr>
      <w:r w:rsidRPr="00876461">
        <w:rPr>
          <w:rFonts w:cs="Arial"/>
          <w:bCs/>
        </w:rPr>
        <w:t xml:space="preserve">De acuerdo con las normas vigentes para el presente proceso, se tiene en cuenta que el artículo 55 de la Ley 446 de 1998 indica que sólo hay lugar a la imposición de costas cuando alguna de las partes hubiere actuado temerariamente y, en el </w:t>
      </w:r>
      <w:r w:rsidRPr="00876461">
        <w:rPr>
          <w:rFonts w:cs="Arial"/>
          <w:bCs/>
          <w:i/>
          <w:iCs/>
        </w:rPr>
        <w:t>sub lite</w:t>
      </w:r>
      <w:r w:rsidRPr="00876461">
        <w:rPr>
          <w:rFonts w:cs="Arial"/>
          <w:bCs/>
        </w:rPr>
        <w:t>, ninguna actuó de esa forma, razón por la cual, en el presente asunto no habrá lugar a imponerlas.</w:t>
      </w:r>
    </w:p>
    <w:p w:rsidR="006D1BFD" w:rsidRPr="00876461" w:rsidRDefault="006D1BFD" w:rsidP="006D1BFD">
      <w:pPr>
        <w:pStyle w:val="Textoindependiente22"/>
        <w:widowControl w:val="0"/>
        <w:numPr>
          <w:ilvl w:val="12"/>
          <w:numId w:val="0"/>
        </w:numPr>
        <w:overflowPunct/>
        <w:autoSpaceDE/>
        <w:autoSpaceDN/>
        <w:adjustRightInd/>
        <w:textAlignment w:val="auto"/>
        <w:rPr>
          <w:rFonts w:cs="Arial"/>
          <w:szCs w:val="24"/>
        </w:rPr>
      </w:pPr>
    </w:p>
    <w:p w:rsidR="006D1BFD" w:rsidRPr="00876461" w:rsidRDefault="006D1BFD" w:rsidP="006D1BFD">
      <w:pPr>
        <w:pStyle w:val="Textoindependiente22"/>
        <w:widowControl w:val="0"/>
        <w:numPr>
          <w:ilvl w:val="12"/>
          <w:numId w:val="0"/>
        </w:numPr>
        <w:overflowPunct/>
        <w:autoSpaceDE/>
        <w:autoSpaceDN/>
        <w:adjustRightInd/>
        <w:textAlignment w:val="auto"/>
        <w:rPr>
          <w:rFonts w:cs="Arial"/>
          <w:szCs w:val="24"/>
        </w:rPr>
      </w:pPr>
      <w:r w:rsidRPr="00876461">
        <w:rPr>
          <w:rFonts w:cs="Arial"/>
          <w:szCs w:val="24"/>
        </w:rPr>
        <w:t>En mérito de lo expuesto, el Consejo de Estado, en Sala de lo Contencioso Administrativo, Sección Tercera, Subsección A, administrando justicia en nombre de la República de Colombia y por autoridad de la ley,</w:t>
      </w:r>
    </w:p>
    <w:p w:rsidR="006D1BFD" w:rsidRPr="00876461" w:rsidRDefault="006D1BFD" w:rsidP="006D1BFD">
      <w:pPr>
        <w:pStyle w:val="Ttulo5"/>
        <w:keepNext w:val="0"/>
        <w:widowControl w:val="0"/>
        <w:spacing w:line="240" w:lineRule="auto"/>
        <w:rPr>
          <w:rFonts w:cs="Arial"/>
          <w:bCs/>
          <w:sz w:val="24"/>
          <w:szCs w:val="24"/>
        </w:rPr>
      </w:pPr>
    </w:p>
    <w:p w:rsidR="006D1BFD" w:rsidRPr="00876461" w:rsidRDefault="006D1BFD" w:rsidP="006D1BFD">
      <w:pPr>
        <w:pStyle w:val="Ttulo5"/>
        <w:keepNext w:val="0"/>
        <w:widowControl w:val="0"/>
        <w:spacing w:line="240" w:lineRule="auto"/>
        <w:rPr>
          <w:rFonts w:cs="Arial"/>
          <w:bCs/>
          <w:sz w:val="24"/>
          <w:szCs w:val="24"/>
        </w:rPr>
      </w:pPr>
      <w:r w:rsidRPr="00876461">
        <w:rPr>
          <w:rFonts w:cs="Arial"/>
          <w:bCs/>
          <w:sz w:val="24"/>
          <w:szCs w:val="24"/>
        </w:rPr>
        <w:t>F A L L A</w:t>
      </w:r>
    </w:p>
    <w:p w:rsidR="006D1BFD" w:rsidRPr="00876461" w:rsidRDefault="006D1BFD" w:rsidP="006D1BFD">
      <w:pPr>
        <w:widowControl w:val="0"/>
        <w:spacing w:line="240" w:lineRule="auto"/>
        <w:rPr>
          <w:rFonts w:cs="Arial"/>
          <w:b/>
          <w:bCs/>
        </w:rPr>
      </w:pPr>
    </w:p>
    <w:p w:rsidR="006D1BFD" w:rsidRPr="00876461" w:rsidRDefault="006D1BFD" w:rsidP="006D1BFD">
      <w:pPr>
        <w:widowControl w:val="0"/>
        <w:spacing w:line="240" w:lineRule="auto"/>
        <w:rPr>
          <w:rFonts w:cs="Arial"/>
          <w:bCs/>
        </w:rPr>
      </w:pPr>
      <w:r w:rsidRPr="00876461">
        <w:rPr>
          <w:rFonts w:cs="Arial"/>
          <w:b/>
          <w:bCs/>
        </w:rPr>
        <w:t xml:space="preserve">PRIMERO: REVOCAR </w:t>
      </w:r>
      <w:r w:rsidRPr="00876461">
        <w:rPr>
          <w:rFonts w:cs="Arial"/>
          <w:bCs/>
        </w:rPr>
        <w:t>la sentencia proferida por el Tribunal Administrativo de Antioquia, Sala Cuarta de Decisión, el 30 de septiembre de 2013 y en su lugar se niegan las pretensiones de la demanda.</w:t>
      </w:r>
    </w:p>
    <w:p w:rsidR="006D1BFD" w:rsidRPr="00876461" w:rsidRDefault="006D1BFD" w:rsidP="006D1BFD">
      <w:pPr>
        <w:widowControl w:val="0"/>
        <w:spacing w:line="240" w:lineRule="auto"/>
        <w:rPr>
          <w:rFonts w:cs="Arial"/>
          <w:b/>
          <w:bCs/>
        </w:rPr>
      </w:pPr>
    </w:p>
    <w:p w:rsidR="006D1BFD" w:rsidRPr="00876461" w:rsidRDefault="006D1BFD" w:rsidP="006D1BFD">
      <w:pPr>
        <w:widowControl w:val="0"/>
        <w:spacing w:line="240" w:lineRule="auto"/>
        <w:rPr>
          <w:rFonts w:cs="Arial"/>
          <w:bCs/>
        </w:rPr>
      </w:pPr>
      <w:r w:rsidRPr="00876461">
        <w:rPr>
          <w:rFonts w:cs="Arial"/>
          <w:b/>
          <w:bCs/>
        </w:rPr>
        <w:t>SEGUNDO: SIN</w:t>
      </w:r>
      <w:r w:rsidRPr="00876461">
        <w:rPr>
          <w:rFonts w:cs="Arial"/>
          <w:bCs/>
        </w:rPr>
        <w:t xml:space="preserve"> condena en costas. </w:t>
      </w:r>
    </w:p>
    <w:p w:rsidR="006D1BFD" w:rsidRPr="00876461" w:rsidRDefault="006D1BFD" w:rsidP="006D1BFD">
      <w:pPr>
        <w:widowControl w:val="0"/>
        <w:spacing w:line="240" w:lineRule="auto"/>
        <w:rPr>
          <w:rFonts w:cs="Arial"/>
          <w:bCs/>
        </w:rPr>
      </w:pPr>
    </w:p>
    <w:p w:rsidR="006D1BFD" w:rsidRPr="00876461" w:rsidRDefault="006D1BFD" w:rsidP="006D1BFD">
      <w:pPr>
        <w:widowControl w:val="0"/>
        <w:spacing w:line="240" w:lineRule="auto"/>
        <w:rPr>
          <w:rFonts w:cs="Arial"/>
        </w:rPr>
      </w:pPr>
      <w:r w:rsidRPr="00876461">
        <w:rPr>
          <w:rFonts w:cs="Arial"/>
          <w:b/>
          <w:bCs/>
        </w:rPr>
        <w:t>TERCERO</w:t>
      </w:r>
      <w:r w:rsidRPr="00876461">
        <w:rPr>
          <w:rFonts w:cs="Arial"/>
          <w:bCs/>
        </w:rPr>
        <w:t>: En firme esta providencia, devuélvase al Tribunal de Origen.</w:t>
      </w:r>
    </w:p>
    <w:p w:rsidR="006D1BFD" w:rsidRPr="00876461" w:rsidRDefault="006D1BFD" w:rsidP="006D1BFD">
      <w:pPr>
        <w:widowControl w:val="0"/>
        <w:spacing w:line="240" w:lineRule="auto"/>
        <w:jc w:val="center"/>
        <w:rPr>
          <w:rFonts w:cs="Arial"/>
        </w:rPr>
      </w:pPr>
    </w:p>
    <w:p w:rsidR="006D1BFD" w:rsidRPr="00876461" w:rsidRDefault="006D1BFD" w:rsidP="006D1BFD">
      <w:pPr>
        <w:widowControl w:val="0"/>
        <w:spacing w:line="240" w:lineRule="auto"/>
        <w:jc w:val="center"/>
        <w:rPr>
          <w:rFonts w:cs="Arial"/>
        </w:rPr>
      </w:pPr>
    </w:p>
    <w:p w:rsidR="006D1BFD" w:rsidRPr="00876461" w:rsidRDefault="006D1BFD" w:rsidP="006D1BFD">
      <w:pPr>
        <w:pStyle w:val="Ttulo5"/>
        <w:keepNext w:val="0"/>
        <w:widowControl w:val="0"/>
        <w:spacing w:line="240" w:lineRule="auto"/>
        <w:rPr>
          <w:rFonts w:cs="Arial"/>
          <w:sz w:val="24"/>
          <w:szCs w:val="24"/>
        </w:rPr>
      </w:pPr>
      <w:r w:rsidRPr="00876461">
        <w:rPr>
          <w:rFonts w:cs="Arial"/>
          <w:sz w:val="24"/>
          <w:szCs w:val="24"/>
        </w:rPr>
        <w:t>NOTIFÍQUESE Y CÚMPLASE</w:t>
      </w:r>
    </w:p>
    <w:p w:rsidR="006D1BFD" w:rsidRPr="00876461" w:rsidRDefault="006D1BFD" w:rsidP="006D1BFD">
      <w:pPr>
        <w:widowControl w:val="0"/>
        <w:spacing w:line="240" w:lineRule="auto"/>
        <w:jc w:val="center"/>
        <w:rPr>
          <w:rFonts w:cs="Arial"/>
        </w:rPr>
      </w:pPr>
    </w:p>
    <w:p w:rsidR="006D1BFD" w:rsidRPr="00876461" w:rsidRDefault="006D1BFD" w:rsidP="006D1BFD">
      <w:pPr>
        <w:widowControl w:val="0"/>
        <w:spacing w:line="240" w:lineRule="auto"/>
        <w:jc w:val="center"/>
        <w:rPr>
          <w:rFonts w:cs="Arial"/>
        </w:rPr>
      </w:pPr>
    </w:p>
    <w:p w:rsidR="006D1BFD" w:rsidRPr="00876461" w:rsidRDefault="006D1BFD" w:rsidP="006D1BFD">
      <w:pPr>
        <w:widowControl w:val="0"/>
        <w:spacing w:line="240" w:lineRule="auto"/>
        <w:jc w:val="center"/>
        <w:rPr>
          <w:rFonts w:cs="Arial"/>
        </w:rPr>
      </w:pPr>
    </w:p>
    <w:p w:rsidR="006D1BFD" w:rsidRPr="00876461" w:rsidRDefault="006D1BFD" w:rsidP="006D1BFD">
      <w:pPr>
        <w:widowControl w:val="0"/>
        <w:spacing w:line="240" w:lineRule="auto"/>
        <w:jc w:val="center"/>
        <w:rPr>
          <w:rFonts w:cs="Arial"/>
          <w:b/>
          <w:lang w:val="es-CO"/>
        </w:rPr>
      </w:pPr>
      <w:r w:rsidRPr="00876461">
        <w:rPr>
          <w:rFonts w:cs="Arial"/>
          <w:b/>
          <w:lang w:val="es-CO"/>
        </w:rPr>
        <w:t>MARIA ADRIANA MARIN</w:t>
      </w:r>
    </w:p>
    <w:p w:rsidR="006D1BFD" w:rsidRPr="00876461" w:rsidRDefault="006D1BFD" w:rsidP="006D1BFD">
      <w:pPr>
        <w:widowControl w:val="0"/>
        <w:spacing w:line="240" w:lineRule="auto"/>
        <w:jc w:val="center"/>
        <w:rPr>
          <w:rFonts w:cs="Arial"/>
          <w:b/>
          <w:lang w:val="es-CO"/>
        </w:rPr>
      </w:pPr>
    </w:p>
    <w:p w:rsidR="006D1BFD" w:rsidRPr="00876461" w:rsidRDefault="006D1BFD" w:rsidP="006D1BFD">
      <w:pPr>
        <w:widowControl w:val="0"/>
        <w:spacing w:line="240" w:lineRule="auto"/>
        <w:jc w:val="center"/>
        <w:rPr>
          <w:rFonts w:cs="Arial"/>
          <w:b/>
          <w:lang w:val="es-CO"/>
        </w:rPr>
      </w:pPr>
    </w:p>
    <w:p w:rsidR="006D1BFD" w:rsidRPr="00876461" w:rsidRDefault="006D1BFD" w:rsidP="006D1BFD">
      <w:pPr>
        <w:widowControl w:val="0"/>
        <w:spacing w:line="240" w:lineRule="auto"/>
        <w:jc w:val="center"/>
        <w:rPr>
          <w:rFonts w:cs="Arial"/>
          <w:b/>
          <w:lang w:val="es-CO"/>
        </w:rPr>
      </w:pPr>
    </w:p>
    <w:p w:rsidR="006D1BFD" w:rsidRPr="00876461" w:rsidRDefault="006D1BFD" w:rsidP="006D1BFD">
      <w:pPr>
        <w:widowControl w:val="0"/>
        <w:spacing w:line="240" w:lineRule="auto"/>
        <w:jc w:val="center"/>
        <w:rPr>
          <w:rFonts w:cs="Arial"/>
          <w:b/>
        </w:rPr>
      </w:pPr>
      <w:r w:rsidRPr="00876461">
        <w:rPr>
          <w:rFonts w:cs="Arial"/>
          <w:b/>
          <w:lang w:val="es-CO"/>
        </w:rPr>
        <w:t>MARTA NUBIA VELÁSQUEZ RICO</w:t>
      </w:r>
    </w:p>
    <w:p w:rsidR="006D1BFD" w:rsidRPr="00876461" w:rsidRDefault="006D1BFD" w:rsidP="006D1BFD">
      <w:pPr>
        <w:widowControl w:val="0"/>
        <w:spacing w:line="240" w:lineRule="auto"/>
        <w:jc w:val="center"/>
        <w:rPr>
          <w:rFonts w:cs="Arial"/>
          <w:b/>
        </w:rPr>
      </w:pPr>
    </w:p>
    <w:p w:rsidR="006D1BFD" w:rsidRPr="00876461" w:rsidRDefault="006D1BFD" w:rsidP="006D1BFD">
      <w:pPr>
        <w:widowControl w:val="0"/>
        <w:spacing w:line="240" w:lineRule="auto"/>
        <w:jc w:val="center"/>
        <w:rPr>
          <w:rFonts w:cs="Arial"/>
          <w:b/>
        </w:rPr>
      </w:pPr>
    </w:p>
    <w:p w:rsidR="006D1BFD" w:rsidRPr="00876461" w:rsidRDefault="006D1BFD" w:rsidP="006D1BFD">
      <w:pPr>
        <w:widowControl w:val="0"/>
        <w:spacing w:line="240" w:lineRule="auto"/>
        <w:jc w:val="center"/>
        <w:rPr>
          <w:rFonts w:cs="Arial"/>
          <w:b/>
        </w:rPr>
      </w:pPr>
    </w:p>
    <w:p w:rsidR="006D1BFD" w:rsidRPr="00876461" w:rsidRDefault="006D1BFD" w:rsidP="006D1BFD">
      <w:pPr>
        <w:widowControl w:val="0"/>
        <w:spacing w:line="240" w:lineRule="auto"/>
        <w:jc w:val="center"/>
        <w:rPr>
          <w:rFonts w:cs="Arial"/>
        </w:rPr>
      </w:pPr>
      <w:r w:rsidRPr="00876461">
        <w:rPr>
          <w:rFonts w:cs="Arial"/>
          <w:b/>
        </w:rPr>
        <w:t>CARLOS ALBERTO ZAMBRANO BARRERA</w:t>
      </w:r>
    </w:p>
    <w:p w:rsidR="008F5924" w:rsidRPr="006D1BFD" w:rsidRDefault="008F5924" w:rsidP="006D1BFD"/>
    <w:sectPr w:rsidR="008F5924" w:rsidRPr="006D1BFD" w:rsidSect="00F3495B">
      <w:headerReference w:type="even" r:id="rId11"/>
      <w:headerReference w:type="default" r:id="rId12"/>
      <w:footerReference w:type="even" r:id="rId13"/>
      <w:pgSz w:w="12242" w:h="18722" w:code="120"/>
      <w:pgMar w:top="1701" w:right="1701" w:bottom="1701" w:left="1701" w:header="0" w:footer="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655" w:rsidRDefault="008C6655" w:rsidP="00C85395">
      <w:r>
        <w:separator/>
      </w:r>
    </w:p>
  </w:endnote>
  <w:endnote w:type="continuationSeparator" w:id="0">
    <w:p w:rsidR="008C6655" w:rsidRDefault="008C6655"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D2" w:rsidRDefault="000660D2"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660D2" w:rsidRDefault="000660D2" w:rsidP="0064345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655" w:rsidRDefault="008C6655" w:rsidP="00C85395">
      <w:r>
        <w:separator/>
      </w:r>
    </w:p>
  </w:footnote>
  <w:footnote w:type="continuationSeparator" w:id="0">
    <w:p w:rsidR="008C6655" w:rsidRDefault="008C6655" w:rsidP="00C85395">
      <w:r>
        <w:continuationSeparator/>
      </w:r>
    </w:p>
  </w:footnote>
  <w:footnote w:id="1">
    <w:p w:rsidR="006D1BFD" w:rsidRPr="00A21070" w:rsidRDefault="006D1BFD" w:rsidP="006D1BFD">
      <w:pPr>
        <w:pStyle w:val="Textonotapie"/>
        <w:rPr>
          <w:lang w:val="es-CO"/>
        </w:rPr>
      </w:pPr>
      <w:r>
        <w:rPr>
          <w:rStyle w:val="Refdenotaalpie"/>
        </w:rPr>
        <w:footnoteRef/>
      </w:r>
      <w:r>
        <w:t xml:space="preserve"> </w:t>
      </w:r>
      <w:r>
        <w:rPr>
          <w:lang w:val="es-CO"/>
        </w:rPr>
        <w:t>Folio 38, cuaderno principal segunda instancia.</w:t>
      </w:r>
    </w:p>
  </w:footnote>
  <w:footnote w:id="2">
    <w:p w:rsidR="006D1BFD" w:rsidRPr="00680CCF" w:rsidRDefault="006D1BFD" w:rsidP="006D1BFD">
      <w:pPr>
        <w:pStyle w:val="Textonotapie"/>
        <w:rPr>
          <w:lang w:val="es-CO"/>
        </w:rPr>
      </w:pPr>
      <w:r>
        <w:rPr>
          <w:rStyle w:val="Refdenotaalpie"/>
        </w:rPr>
        <w:footnoteRef/>
      </w:r>
      <w:r>
        <w:t xml:space="preserve"> </w:t>
      </w:r>
      <w:r>
        <w:rPr>
          <w:lang w:val="es-CO"/>
        </w:rPr>
        <w:t xml:space="preserve">En adelante se podrá denominar EPM. </w:t>
      </w:r>
    </w:p>
  </w:footnote>
  <w:footnote w:id="3">
    <w:p w:rsidR="006D1BFD" w:rsidRPr="0060363E" w:rsidRDefault="006D1BFD" w:rsidP="006D1BFD">
      <w:pPr>
        <w:pStyle w:val="Textonotapie"/>
        <w:rPr>
          <w:lang w:val="es-CO"/>
        </w:rPr>
      </w:pPr>
      <w:r>
        <w:rPr>
          <w:rStyle w:val="Refdenotaalpie"/>
        </w:rPr>
        <w:footnoteRef/>
      </w:r>
      <w:r>
        <w:t xml:space="preserve"> </w:t>
      </w:r>
      <w:r>
        <w:rPr>
          <w:lang w:val="es-CO"/>
        </w:rPr>
        <w:t>Folios 2 y 3, cuaderno 1.</w:t>
      </w:r>
    </w:p>
  </w:footnote>
  <w:footnote w:id="4">
    <w:p w:rsidR="006D1BFD" w:rsidRPr="00AF6029" w:rsidRDefault="006D1BFD" w:rsidP="006D1BFD">
      <w:pPr>
        <w:pStyle w:val="Textonotapie"/>
        <w:rPr>
          <w:lang w:val="es-CO"/>
        </w:rPr>
      </w:pPr>
      <w:r>
        <w:rPr>
          <w:rStyle w:val="Refdenotaalpie"/>
        </w:rPr>
        <w:footnoteRef/>
      </w:r>
      <w:r>
        <w:t xml:space="preserve"> </w:t>
      </w:r>
      <w:r>
        <w:rPr>
          <w:lang w:val="es-CO"/>
        </w:rPr>
        <w:t>Folio 391 cuaderno 1.</w:t>
      </w:r>
    </w:p>
  </w:footnote>
  <w:footnote w:id="5">
    <w:p w:rsidR="006D1BFD" w:rsidRPr="009B3062" w:rsidRDefault="006D1BFD" w:rsidP="006D1BFD">
      <w:pPr>
        <w:pStyle w:val="Textonotapie"/>
        <w:rPr>
          <w:lang w:val="es-CO"/>
        </w:rPr>
      </w:pPr>
      <w:r>
        <w:rPr>
          <w:rStyle w:val="Refdenotaalpie"/>
        </w:rPr>
        <w:footnoteRef/>
      </w:r>
      <w:r>
        <w:t xml:space="preserve"> </w:t>
      </w:r>
      <w:r>
        <w:rPr>
          <w:lang w:val="es-CO"/>
        </w:rPr>
        <w:t>Folio 391 y 392, cuaderno 2.</w:t>
      </w:r>
    </w:p>
  </w:footnote>
  <w:footnote w:id="6">
    <w:p w:rsidR="006D1BFD" w:rsidRPr="00F301E2" w:rsidRDefault="006D1BFD" w:rsidP="006D1BFD">
      <w:pPr>
        <w:pStyle w:val="Textonotapie"/>
        <w:rPr>
          <w:lang w:val="es-CO"/>
        </w:rPr>
      </w:pPr>
      <w:r>
        <w:rPr>
          <w:rStyle w:val="Refdenotaalpie"/>
        </w:rPr>
        <w:footnoteRef/>
      </w:r>
      <w:r>
        <w:t xml:space="preserve"> </w:t>
      </w:r>
      <w:r>
        <w:rPr>
          <w:lang w:val="es-CO"/>
        </w:rPr>
        <w:t>Folio 435, cuaderno 2.</w:t>
      </w:r>
    </w:p>
  </w:footnote>
  <w:footnote w:id="7">
    <w:p w:rsidR="006D1BFD" w:rsidRPr="00105590" w:rsidRDefault="006D1BFD" w:rsidP="006D1BFD">
      <w:pPr>
        <w:pStyle w:val="Textonotapie"/>
        <w:rPr>
          <w:lang w:val="es-CO"/>
        </w:rPr>
      </w:pPr>
      <w:r>
        <w:rPr>
          <w:rStyle w:val="Refdenotaalpie"/>
        </w:rPr>
        <w:footnoteRef/>
      </w:r>
      <w:r>
        <w:t xml:space="preserve"> </w:t>
      </w:r>
      <w:r>
        <w:rPr>
          <w:lang w:val="es-CO"/>
        </w:rPr>
        <w:t>Folios 538 a 553, cuaderno principal, segunda instancia.</w:t>
      </w:r>
    </w:p>
  </w:footnote>
  <w:footnote w:id="8">
    <w:p w:rsidR="006D1BFD" w:rsidRPr="00322240" w:rsidRDefault="006D1BFD" w:rsidP="006D1BFD">
      <w:pPr>
        <w:pStyle w:val="Textonotapie"/>
        <w:rPr>
          <w:lang w:val="es-CO"/>
        </w:rPr>
      </w:pPr>
      <w:r>
        <w:rPr>
          <w:rStyle w:val="Refdenotaalpie"/>
        </w:rPr>
        <w:footnoteRef/>
      </w:r>
      <w:r>
        <w:t xml:space="preserve"> </w:t>
      </w:r>
      <w:r>
        <w:rPr>
          <w:lang w:val="es-CO"/>
        </w:rPr>
        <w:t>Folio 539, cuaderno principal segunda instancia.</w:t>
      </w:r>
    </w:p>
  </w:footnote>
  <w:footnote w:id="9">
    <w:p w:rsidR="006D1BFD" w:rsidRDefault="006D1BFD" w:rsidP="006D1BFD">
      <w:pPr>
        <w:pStyle w:val="Textonotapie"/>
        <w:spacing w:line="240" w:lineRule="auto"/>
        <w:rPr>
          <w:lang w:val="es-CO"/>
        </w:rPr>
      </w:pPr>
      <w:r>
        <w:rPr>
          <w:rStyle w:val="Refdenotaalpie"/>
        </w:rPr>
        <w:footnoteRef/>
      </w:r>
      <w:r>
        <w:t xml:space="preserve"> Citó la </w:t>
      </w:r>
      <w:r>
        <w:rPr>
          <w:lang w:val="es-CO"/>
        </w:rPr>
        <w:t>sentencia de 22 de abril de 2009, consejera ponente Myriam Guerrero de Escobar,</w:t>
      </w:r>
      <w:r>
        <w:t xml:space="preserve"> </w:t>
      </w:r>
      <w:r>
        <w:rPr>
          <w:lang w:val="es-CO"/>
        </w:rPr>
        <w:t>Expediente 14467.</w:t>
      </w:r>
    </w:p>
    <w:p w:rsidR="006D1BFD" w:rsidRPr="0011163C" w:rsidRDefault="006D1BFD" w:rsidP="006D1BFD">
      <w:pPr>
        <w:pStyle w:val="Textonotapie"/>
        <w:spacing w:line="240" w:lineRule="auto"/>
        <w:rPr>
          <w:lang w:val="es-CO"/>
        </w:rPr>
      </w:pPr>
    </w:p>
  </w:footnote>
  <w:footnote w:id="10">
    <w:p w:rsidR="006D1BFD" w:rsidRPr="007A3C67" w:rsidRDefault="006D1BFD" w:rsidP="006D1BFD">
      <w:pPr>
        <w:pStyle w:val="Textonotapie"/>
        <w:rPr>
          <w:lang w:val="es-CO"/>
        </w:rPr>
      </w:pPr>
      <w:r>
        <w:rPr>
          <w:rStyle w:val="Refdenotaalpie"/>
        </w:rPr>
        <w:footnoteRef/>
      </w:r>
      <w:r>
        <w:t xml:space="preserve"> </w:t>
      </w:r>
      <w:r>
        <w:rPr>
          <w:lang w:val="es-CO"/>
        </w:rPr>
        <w:t>Folio 352, cuaderno principal, segunda instancia.</w:t>
      </w:r>
    </w:p>
  </w:footnote>
  <w:footnote w:id="11">
    <w:p w:rsidR="006D1BFD" w:rsidRPr="00846313" w:rsidRDefault="006D1BFD" w:rsidP="006D1BFD">
      <w:pPr>
        <w:pStyle w:val="Textonotapie"/>
        <w:rPr>
          <w:lang w:val="es-CO"/>
        </w:rPr>
      </w:pPr>
      <w:r>
        <w:rPr>
          <w:rStyle w:val="Refdenotaalpie"/>
        </w:rPr>
        <w:footnoteRef/>
      </w:r>
      <w:r>
        <w:t xml:space="preserve"> </w:t>
      </w:r>
      <w:r>
        <w:rPr>
          <w:lang w:val="es-CO"/>
        </w:rPr>
        <w:t>Folio 357, cuaderno principal segunda instancia.</w:t>
      </w:r>
    </w:p>
  </w:footnote>
  <w:footnote w:id="12">
    <w:p w:rsidR="006D1BFD" w:rsidRPr="00036F2C" w:rsidRDefault="006D1BFD" w:rsidP="006D1BFD">
      <w:pPr>
        <w:pStyle w:val="Textonotapie"/>
        <w:rPr>
          <w:lang w:val="es-CO"/>
        </w:rPr>
      </w:pPr>
      <w:r>
        <w:rPr>
          <w:rStyle w:val="Refdenotaalpie"/>
        </w:rPr>
        <w:footnoteRef/>
      </w:r>
      <w:r>
        <w:t xml:space="preserve"> </w:t>
      </w:r>
      <w:r>
        <w:rPr>
          <w:lang w:val="es-CO"/>
        </w:rPr>
        <w:t>Folios 377 y 378, cuaderno principal, segunda instancia.</w:t>
      </w:r>
    </w:p>
  </w:footnote>
  <w:footnote w:id="13">
    <w:p w:rsidR="006D1BFD" w:rsidRDefault="006D1BFD" w:rsidP="006D1BFD">
      <w:pPr>
        <w:pStyle w:val="Textonotapie"/>
        <w:spacing w:line="240" w:lineRule="auto"/>
        <w:rPr>
          <w:rFonts w:cs="Arial"/>
        </w:rPr>
      </w:pPr>
      <w:r w:rsidRPr="00552667">
        <w:rPr>
          <w:rStyle w:val="Refdenotaalpie"/>
        </w:rPr>
        <w:footnoteRef/>
      </w:r>
      <w:r w:rsidRPr="00552667">
        <w:t xml:space="preserve"> La entidad demandada allegó copia del </w:t>
      </w:r>
      <w:r w:rsidRPr="00552667">
        <w:rPr>
          <w:rFonts w:cs="Arial"/>
        </w:rPr>
        <w:t xml:space="preserve">Acuerdo 69 expedido por el Concejo Municipal de Medellín el 23 de diciembre de 1997, mediante el cual se </w:t>
      </w:r>
      <w:r w:rsidRPr="00552667">
        <w:rPr>
          <w:rFonts w:cs="Arial"/>
          <w:i/>
        </w:rPr>
        <w:t>“transforma el establecimiento público denominado EMPRESAS P</w:t>
      </w:r>
      <w:r>
        <w:rPr>
          <w:rFonts w:cs="Arial"/>
          <w:i/>
        </w:rPr>
        <w:t>Ú</w:t>
      </w:r>
      <w:r w:rsidRPr="00552667">
        <w:rPr>
          <w:rFonts w:cs="Arial"/>
          <w:i/>
        </w:rPr>
        <w:t>B</w:t>
      </w:r>
      <w:r>
        <w:rPr>
          <w:rFonts w:cs="Arial"/>
          <w:i/>
        </w:rPr>
        <w:t>L</w:t>
      </w:r>
      <w:r w:rsidRPr="00552667">
        <w:rPr>
          <w:rFonts w:cs="Arial"/>
          <w:i/>
        </w:rPr>
        <w:t xml:space="preserve">ICAS DE MEDELLÍN en una Empresa Industrial y Comercial del Estado”, </w:t>
      </w:r>
      <w:r w:rsidRPr="00552667">
        <w:rPr>
          <w:rFonts w:cs="Arial"/>
        </w:rPr>
        <w:t xml:space="preserve">bajo el nombre de </w:t>
      </w:r>
      <w:r w:rsidRPr="00552667">
        <w:rPr>
          <w:rFonts w:cs="Arial"/>
          <w:i/>
        </w:rPr>
        <w:t>EMPRESAS PÚBLICAS DE MEDELLÍN E.S.P</w:t>
      </w:r>
      <w:r w:rsidRPr="00552667">
        <w:rPr>
          <w:rFonts w:cs="Arial"/>
        </w:rPr>
        <w:t>.</w:t>
      </w:r>
      <w:r w:rsidRPr="00552667">
        <w:rPr>
          <w:rFonts w:cs="Arial"/>
          <w:i/>
        </w:rPr>
        <w:t>,</w:t>
      </w:r>
      <w:r w:rsidRPr="00552667">
        <w:rPr>
          <w:rFonts w:cs="Arial"/>
        </w:rPr>
        <w:t xml:space="preserve"> cuyo objeto social es </w:t>
      </w:r>
      <w:r w:rsidRPr="00552667">
        <w:rPr>
          <w:rFonts w:cs="Arial"/>
          <w:i/>
        </w:rPr>
        <w:t xml:space="preserve">“la prestación de servicios públicos domiciliarios” </w:t>
      </w:r>
      <w:r w:rsidRPr="00552667">
        <w:rPr>
          <w:rFonts w:cs="Arial"/>
        </w:rPr>
        <w:t>(artículos 1 y 2).</w:t>
      </w:r>
      <w:r w:rsidRPr="00552667">
        <w:rPr>
          <w:rFonts w:cs="Arial"/>
          <w:i/>
        </w:rPr>
        <w:t xml:space="preserve"> </w:t>
      </w:r>
      <w:r w:rsidRPr="00552667">
        <w:rPr>
          <w:rFonts w:cs="Arial"/>
        </w:rPr>
        <w:t>Folios 223 a 225, cuaderno 1.</w:t>
      </w:r>
      <w:r>
        <w:rPr>
          <w:rFonts w:cs="Arial"/>
        </w:rPr>
        <w:t xml:space="preserve"> </w:t>
      </w:r>
    </w:p>
    <w:p w:rsidR="006D1BFD" w:rsidRPr="00B53AFE" w:rsidRDefault="006D1BFD" w:rsidP="006D1BFD">
      <w:pPr>
        <w:pStyle w:val="Textonotapie"/>
        <w:spacing w:line="240" w:lineRule="auto"/>
        <w:rPr>
          <w:lang w:val="es-CO"/>
        </w:rPr>
      </w:pPr>
    </w:p>
  </w:footnote>
  <w:footnote w:id="14">
    <w:p w:rsidR="006D1BFD" w:rsidRPr="004F1190" w:rsidRDefault="006D1BFD" w:rsidP="006D1BFD">
      <w:pPr>
        <w:pStyle w:val="Textonotapie"/>
        <w:rPr>
          <w:lang w:val="es-CO"/>
        </w:rPr>
      </w:pPr>
      <w:r>
        <w:rPr>
          <w:rStyle w:val="Refdenotaalpie"/>
        </w:rPr>
        <w:footnoteRef/>
      </w:r>
      <w:r>
        <w:t xml:space="preserve"> </w:t>
      </w:r>
      <w:r>
        <w:rPr>
          <w:lang w:val="es-CO"/>
        </w:rPr>
        <w:t>26 de junio de 2007.</w:t>
      </w:r>
    </w:p>
  </w:footnote>
  <w:footnote w:id="15">
    <w:p w:rsidR="006D1BFD" w:rsidRPr="00911AE7" w:rsidRDefault="006D1BFD" w:rsidP="006D1BFD">
      <w:pPr>
        <w:pStyle w:val="NormalWeb"/>
        <w:shd w:val="clear" w:color="auto" w:fill="FFFFFF"/>
        <w:spacing w:line="240" w:lineRule="auto"/>
        <w:ind w:right="-232"/>
        <w:rPr>
          <w:rFonts w:cs="Arial"/>
          <w:i/>
          <w:color w:val="000000"/>
          <w:sz w:val="20"/>
          <w:szCs w:val="20"/>
        </w:rPr>
      </w:pPr>
      <w:r w:rsidRPr="008220AC">
        <w:rPr>
          <w:rStyle w:val="Refdenotaalpie"/>
          <w:rFonts w:cs="Arial"/>
          <w:sz w:val="20"/>
          <w:szCs w:val="20"/>
        </w:rPr>
        <w:footnoteRef/>
      </w:r>
      <w:r w:rsidRPr="008220AC">
        <w:rPr>
          <w:rFonts w:cs="Arial"/>
          <w:sz w:val="20"/>
          <w:szCs w:val="20"/>
        </w:rPr>
        <w:t xml:space="preserve"> </w:t>
      </w:r>
      <w:r>
        <w:rPr>
          <w:rFonts w:cs="Arial"/>
          <w:sz w:val="20"/>
          <w:szCs w:val="20"/>
        </w:rPr>
        <w:t>“</w:t>
      </w:r>
      <w:r w:rsidRPr="00911AE7">
        <w:rPr>
          <w:rStyle w:val="Textoennegrita"/>
          <w:rFonts w:cs="Arial"/>
          <w:b w:val="0"/>
          <w:i/>
          <w:color w:val="000000"/>
          <w:sz w:val="20"/>
          <w:szCs w:val="20"/>
        </w:rPr>
        <w:t>Artículo 1°.</w:t>
      </w:r>
      <w:r w:rsidRPr="00911AE7">
        <w:rPr>
          <w:rStyle w:val="apple-converted-space"/>
          <w:rFonts w:cs="Arial"/>
          <w:b/>
          <w:bCs/>
          <w:i/>
          <w:color w:val="000000"/>
          <w:sz w:val="20"/>
          <w:szCs w:val="20"/>
        </w:rPr>
        <w:t> </w:t>
      </w:r>
      <w:r w:rsidRPr="00911AE7">
        <w:rPr>
          <w:rFonts w:cs="Arial"/>
          <w:i/>
          <w:color w:val="000000"/>
          <w:sz w:val="20"/>
          <w:szCs w:val="20"/>
        </w:rPr>
        <w:t>El artículo</w:t>
      </w:r>
      <w:r w:rsidRPr="00911AE7">
        <w:rPr>
          <w:rStyle w:val="apple-converted-space"/>
          <w:rFonts w:cs="Arial"/>
          <w:i/>
          <w:color w:val="000000"/>
          <w:sz w:val="20"/>
          <w:szCs w:val="20"/>
        </w:rPr>
        <w:t> </w:t>
      </w:r>
      <w:hyperlink r:id="rId1" w:anchor="82" w:history="1">
        <w:r w:rsidRPr="00911AE7">
          <w:rPr>
            <w:rStyle w:val="Hipervnculo"/>
            <w:rFonts w:cs="Arial"/>
            <w:i/>
            <w:sz w:val="20"/>
            <w:szCs w:val="20"/>
          </w:rPr>
          <w:t>82</w:t>
        </w:r>
      </w:hyperlink>
      <w:r w:rsidRPr="00911AE7">
        <w:rPr>
          <w:rStyle w:val="apple-converted-space"/>
          <w:rFonts w:cs="Arial"/>
          <w:i/>
          <w:color w:val="000000"/>
          <w:sz w:val="20"/>
          <w:szCs w:val="20"/>
        </w:rPr>
        <w:t> </w:t>
      </w:r>
      <w:r w:rsidRPr="00911AE7">
        <w:rPr>
          <w:rFonts w:cs="Arial"/>
          <w:i/>
          <w:color w:val="000000"/>
          <w:sz w:val="20"/>
          <w:szCs w:val="20"/>
        </w:rPr>
        <w:t>del Código Contencioso Administrativo modificado por el artículo 30 de la Ley 446 de 1998, quedará así:</w:t>
      </w:r>
    </w:p>
    <w:p w:rsidR="006D1BFD" w:rsidRPr="00911AE7" w:rsidRDefault="006D1BFD" w:rsidP="006D1BFD">
      <w:pPr>
        <w:pStyle w:val="NormalWeb"/>
        <w:shd w:val="clear" w:color="auto" w:fill="FFFFFF"/>
        <w:spacing w:line="240" w:lineRule="auto"/>
        <w:ind w:right="-232"/>
        <w:rPr>
          <w:rFonts w:cs="Arial"/>
          <w:i/>
          <w:color w:val="000000"/>
          <w:sz w:val="20"/>
          <w:szCs w:val="20"/>
        </w:rPr>
      </w:pPr>
      <w:r w:rsidRPr="008D774C">
        <w:rPr>
          <w:rFonts w:cs="Arial"/>
          <w:bCs/>
          <w:i/>
          <w:color w:val="000000"/>
          <w:sz w:val="20"/>
          <w:szCs w:val="20"/>
        </w:rPr>
        <w:t>"</w:t>
      </w:r>
      <w:r w:rsidRPr="00911AE7">
        <w:rPr>
          <w:rFonts w:cs="Arial"/>
          <w:bCs/>
          <w:i/>
          <w:color w:val="000000"/>
          <w:sz w:val="20"/>
          <w:szCs w:val="20"/>
        </w:rPr>
        <w:t>Artículo 82.</w:t>
      </w:r>
      <w:r w:rsidRPr="00911AE7">
        <w:rPr>
          <w:rStyle w:val="apple-converted-space"/>
          <w:rFonts w:cs="Arial"/>
          <w:b/>
          <w:bCs/>
          <w:i/>
          <w:color w:val="000000"/>
          <w:sz w:val="20"/>
          <w:szCs w:val="20"/>
        </w:rPr>
        <w:t> </w:t>
      </w:r>
      <w:r w:rsidRPr="00911AE7">
        <w:rPr>
          <w:rFonts w:cs="Arial"/>
          <w:i/>
          <w:color w:val="000000"/>
          <w:sz w:val="20"/>
          <w:szCs w:val="20"/>
        </w:rPr>
        <w:t>Objeto de la jurisdicción de lo contencioso administrativo. La jurisdicción de lo contencioso administrativo está instituida para juzgar las controversias y litigios originados en la actividad de las entidades públicas 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p>
    <w:p w:rsidR="006D1BFD" w:rsidRPr="00C92971" w:rsidRDefault="006D1BFD" w:rsidP="006D1BFD">
      <w:pPr>
        <w:pStyle w:val="NormalWeb"/>
        <w:shd w:val="clear" w:color="auto" w:fill="FFFFFF"/>
        <w:spacing w:line="240" w:lineRule="auto"/>
        <w:ind w:right="-232"/>
        <w:rPr>
          <w:rFonts w:cs="Arial"/>
          <w:i/>
          <w:color w:val="000000"/>
          <w:sz w:val="20"/>
          <w:szCs w:val="20"/>
        </w:rPr>
      </w:pPr>
      <w:r>
        <w:rPr>
          <w:rFonts w:cs="Arial"/>
          <w:i/>
          <w:color w:val="000000"/>
          <w:sz w:val="20"/>
          <w:szCs w:val="20"/>
        </w:rPr>
        <w:t>“</w:t>
      </w:r>
      <w:r w:rsidRPr="00C92971">
        <w:rPr>
          <w:rFonts w:cs="Arial"/>
          <w:i/>
          <w:color w:val="000000"/>
          <w:sz w:val="20"/>
          <w:szCs w:val="20"/>
        </w:rPr>
        <w:t>Esta jurisdicción podrá juzgar, inclusive, las controversias que se originen en actos políticos o de Gobierno.</w:t>
      </w:r>
    </w:p>
    <w:p w:rsidR="006D1BFD" w:rsidRPr="00E379F4" w:rsidRDefault="006D1BFD" w:rsidP="006D1BFD">
      <w:pPr>
        <w:pStyle w:val="NormalWeb"/>
        <w:shd w:val="clear" w:color="auto" w:fill="FFFFFF"/>
        <w:spacing w:line="240" w:lineRule="auto"/>
        <w:ind w:right="-232"/>
        <w:rPr>
          <w:lang w:val="es-CO"/>
        </w:rPr>
      </w:pPr>
      <w:r>
        <w:rPr>
          <w:rFonts w:cs="Arial"/>
          <w:i/>
          <w:color w:val="000000"/>
          <w:sz w:val="20"/>
          <w:szCs w:val="20"/>
        </w:rPr>
        <w:t>“</w:t>
      </w:r>
      <w:r w:rsidRPr="00C92971">
        <w:rPr>
          <w:rFonts w:cs="Arial"/>
          <w:i/>
          <w:color w:val="000000"/>
          <w:sz w:val="20"/>
          <w:szCs w:val="20"/>
        </w:rPr>
        <w:t xml:space="preserve">La jurisdicción de lo contencioso administrativo no juzga las decisiones proferidas en juicios de policía regulados especialmente por la ley. Las decisiones jurisdiccionales adoptadas por las Salas Jurisdiccionales Disciplinarias del Consejo Superior de la Judicatura y de los Consejos Seccionales de la Judicatura, no tendrán control </w:t>
      </w:r>
      <w:r w:rsidRPr="00C92971">
        <w:rPr>
          <w:rFonts w:cs="Arial"/>
          <w:color w:val="000000"/>
          <w:sz w:val="20"/>
          <w:szCs w:val="20"/>
        </w:rPr>
        <w:t>jurisdiccional".</w:t>
      </w:r>
    </w:p>
  </w:footnote>
  <w:footnote w:id="16">
    <w:p w:rsidR="006D1BFD" w:rsidRDefault="006D1BFD" w:rsidP="006D1BFD">
      <w:pPr>
        <w:pStyle w:val="Textonotapie"/>
        <w:spacing w:line="240" w:lineRule="auto"/>
        <w:ind w:right="-232"/>
        <w:rPr>
          <w:lang w:val="es-CO"/>
        </w:rPr>
      </w:pPr>
      <w:r w:rsidRPr="00665769">
        <w:rPr>
          <w:rStyle w:val="Refdenotaalpie"/>
        </w:rPr>
        <w:footnoteRef/>
      </w:r>
      <w:r w:rsidRPr="00665769">
        <w:t xml:space="preserve"> </w:t>
      </w:r>
      <w:r>
        <w:t>L</w:t>
      </w:r>
      <w:r w:rsidRPr="00665769">
        <w:rPr>
          <w:lang w:val="es-CO"/>
        </w:rPr>
        <w:t>a estimación razonada de la cuantía que presentó la demandante (folio</w:t>
      </w:r>
      <w:r>
        <w:rPr>
          <w:lang w:val="es-CO"/>
        </w:rPr>
        <w:t xml:space="preserve"> 35</w:t>
      </w:r>
      <w:r w:rsidRPr="00665769">
        <w:rPr>
          <w:lang w:val="es-CO"/>
        </w:rPr>
        <w:t>, cuaderno 1), ascendió a $</w:t>
      </w:r>
      <w:r>
        <w:rPr>
          <w:lang w:val="es-CO"/>
        </w:rPr>
        <w:t>354’934.276.</w:t>
      </w:r>
    </w:p>
    <w:p w:rsidR="006D1BFD" w:rsidRPr="00665769" w:rsidRDefault="006D1BFD" w:rsidP="006D1BFD">
      <w:pPr>
        <w:pStyle w:val="Textonotapie"/>
        <w:spacing w:line="240" w:lineRule="auto"/>
        <w:ind w:right="-232"/>
        <w:rPr>
          <w:lang w:val="es-CO"/>
        </w:rPr>
      </w:pPr>
    </w:p>
  </w:footnote>
  <w:footnote w:id="17">
    <w:p w:rsidR="006D1BFD" w:rsidRDefault="006D1BFD" w:rsidP="006D1BFD">
      <w:pPr>
        <w:pStyle w:val="Textonotapie"/>
        <w:spacing w:line="240" w:lineRule="auto"/>
        <w:rPr>
          <w:i/>
          <w:lang w:val="es-CO"/>
        </w:rPr>
      </w:pPr>
      <w:r w:rsidRPr="00665769">
        <w:rPr>
          <w:rStyle w:val="Refdenotaalpie"/>
        </w:rPr>
        <w:footnoteRef/>
      </w:r>
      <w:r w:rsidRPr="00665769">
        <w:t xml:space="preserve"> De acuerdo con el salario mínimo mensual legal vigente del año 200</w:t>
      </w:r>
      <w:r>
        <w:t>7</w:t>
      </w:r>
      <w:r w:rsidRPr="00665769">
        <w:t xml:space="preserve"> ($4</w:t>
      </w:r>
      <w:r>
        <w:t>33.700</w:t>
      </w:r>
      <w:r w:rsidRPr="00665769">
        <w:t xml:space="preserve">), toda vez que la demanda se presentó el </w:t>
      </w:r>
      <w:r>
        <w:t>26</w:t>
      </w:r>
      <w:r w:rsidRPr="00665769">
        <w:t xml:space="preserve"> de </w:t>
      </w:r>
      <w:r>
        <w:t xml:space="preserve">junio </w:t>
      </w:r>
      <w:r w:rsidRPr="00665769">
        <w:t>de 20</w:t>
      </w:r>
      <w:r>
        <w:t>07</w:t>
      </w:r>
      <w:r w:rsidRPr="00665769">
        <w:t xml:space="preserve"> y el recurso de apelación se interpuso el </w:t>
      </w:r>
      <w:r>
        <w:t>21</w:t>
      </w:r>
      <w:r w:rsidRPr="00665769">
        <w:t xml:space="preserve"> de </w:t>
      </w:r>
      <w:r>
        <w:t>octubre</w:t>
      </w:r>
      <w:r w:rsidRPr="00665769">
        <w:t xml:space="preserve"> de 201</w:t>
      </w:r>
      <w:r>
        <w:t>3.</w:t>
      </w:r>
      <w:r w:rsidRPr="00665769">
        <w:t xml:space="preserve"> </w:t>
      </w:r>
      <w:r>
        <w:rPr>
          <w:lang w:val="es-CO"/>
        </w:rPr>
        <w:t xml:space="preserve">La apelación se presentó habiendo entrado a regir la Ley 1450 de 2011 – 16 de junio de 2011- de conformidad con la cual se permitió la aplicación del artículo 57 de  la Ley 1437 de 2011 (C.P.A.C.A.) para las demandas presentadas antes del 2 de julio de 2012 </w:t>
      </w:r>
      <w:r w:rsidRPr="00720EE7">
        <w:rPr>
          <w:i/>
          <w:lang w:val="es-CO"/>
        </w:rPr>
        <w:t>“con el propósito de evitar la congestión de los Tribunales Administrativos y del Consejo de Estado”.</w:t>
      </w:r>
    </w:p>
    <w:p w:rsidR="006D1BFD" w:rsidRPr="009F63C0" w:rsidRDefault="006D1BFD" w:rsidP="006D1BFD">
      <w:pPr>
        <w:pStyle w:val="Textonotapie"/>
        <w:spacing w:line="240" w:lineRule="auto"/>
        <w:ind w:right="-284"/>
        <w:rPr>
          <w:sz w:val="18"/>
          <w:szCs w:val="18"/>
          <w:lang w:val="es-CO"/>
        </w:rPr>
      </w:pPr>
    </w:p>
  </w:footnote>
  <w:footnote w:id="18">
    <w:p w:rsidR="006D1BFD" w:rsidRDefault="006D1BFD" w:rsidP="006D1BFD">
      <w:pPr>
        <w:pStyle w:val="Textonotapie"/>
        <w:spacing w:line="240" w:lineRule="auto"/>
        <w:rPr>
          <w:lang w:val="es-CO"/>
        </w:rPr>
      </w:pPr>
      <w:r>
        <w:rPr>
          <w:rStyle w:val="Refdenotaalpie"/>
        </w:rPr>
        <w:footnoteRef/>
      </w:r>
      <w:r>
        <w:t xml:space="preserve"> De acuerdo con el escrito que obra en los folios 538 a 553, cuaderno principal de la segunda instancia, e</w:t>
      </w:r>
      <w:r w:rsidRPr="00665769">
        <w:t xml:space="preserve">l recurso de apelación se interpuso el </w:t>
      </w:r>
      <w:r>
        <w:t>21</w:t>
      </w:r>
      <w:r w:rsidRPr="00665769">
        <w:t xml:space="preserve"> de </w:t>
      </w:r>
      <w:r>
        <w:t>octubre</w:t>
      </w:r>
      <w:r w:rsidRPr="00665769">
        <w:t xml:space="preserve"> de 201</w:t>
      </w:r>
      <w:r>
        <w:t>3. Por tanto, l</w:t>
      </w:r>
      <w:r>
        <w:rPr>
          <w:lang w:val="es-CO"/>
        </w:rPr>
        <w:t>a apelación se presentó habiendo entrado a regir la Ley 1450 de 2011.</w:t>
      </w:r>
    </w:p>
    <w:p w:rsidR="006D1BFD" w:rsidRPr="00441B93" w:rsidRDefault="006D1BFD" w:rsidP="006D1BFD">
      <w:pPr>
        <w:pStyle w:val="Textonotapie"/>
        <w:spacing w:line="240" w:lineRule="auto"/>
        <w:rPr>
          <w:lang w:val="es-CO"/>
        </w:rPr>
      </w:pPr>
    </w:p>
  </w:footnote>
  <w:footnote w:id="19">
    <w:p w:rsidR="006D1BFD" w:rsidRPr="00FE2A94" w:rsidRDefault="006D1BFD" w:rsidP="006D1BFD">
      <w:pPr>
        <w:pStyle w:val="Textonotapie"/>
        <w:spacing w:line="240" w:lineRule="auto"/>
        <w:rPr>
          <w:rFonts w:cs="Arial"/>
          <w:shd w:val="clear" w:color="auto" w:fill="FFFFFF"/>
        </w:rPr>
      </w:pPr>
      <w:r w:rsidRPr="00FE2A94">
        <w:rPr>
          <w:rStyle w:val="Refdenotaalpie"/>
        </w:rPr>
        <w:footnoteRef/>
      </w:r>
      <w:r w:rsidRPr="00FE2A94">
        <w:t xml:space="preserve"> </w:t>
      </w:r>
      <w:r w:rsidRPr="00FE2A94">
        <w:rPr>
          <w:i/>
        </w:rPr>
        <w:t>“</w:t>
      </w:r>
      <w:r w:rsidRPr="00FE2A94">
        <w:rPr>
          <w:rFonts w:cs="Arial"/>
          <w:bCs/>
          <w:i/>
          <w:shd w:val="clear" w:color="auto" w:fill="FFFFFF"/>
        </w:rPr>
        <w:t>Artículo</w:t>
      </w:r>
      <w:bookmarkStart w:id="1" w:name="87"/>
      <w:r w:rsidRPr="00FE2A94">
        <w:rPr>
          <w:rFonts w:cs="Arial"/>
          <w:bCs/>
          <w:i/>
          <w:shd w:val="clear" w:color="auto" w:fill="FFFFFF"/>
        </w:rPr>
        <w:t> </w:t>
      </w:r>
      <w:bookmarkEnd w:id="1"/>
      <w:r w:rsidRPr="00FE2A94">
        <w:rPr>
          <w:rFonts w:cs="Arial"/>
          <w:bCs/>
          <w:i/>
          <w:shd w:val="clear" w:color="auto" w:fill="FFFFFF"/>
        </w:rPr>
        <w:t>87 C.C.A.</w:t>
      </w:r>
      <w:r w:rsidRPr="00FE2A94">
        <w:rPr>
          <w:rStyle w:val="apple-converted-space"/>
          <w:rFonts w:cs="Arial"/>
          <w:i/>
          <w:shd w:val="clear" w:color="auto" w:fill="FFFFFF"/>
        </w:rPr>
        <w:t> </w:t>
      </w:r>
      <w:r w:rsidRPr="00FE2A94">
        <w:rPr>
          <w:rFonts w:cs="Arial"/>
          <w:i/>
          <w:shd w:val="clear" w:color="auto" w:fill="FFFFFF"/>
        </w:rPr>
        <w:t xml:space="preserve">De las controversias 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w:t>
      </w:r>
      <w:r w:rsidRPr="00FE2A94">
        <w:rPr>
          <w:rFonts w:cs="Arial"/>
          <w:b/>
          <w:i/>
          <w:shd w:val="clear" w:color="auto" w:fill="FFFFFF"/>
        </w:rPr>
        <w:t>y que se hagan otras declaraciones y condenas</w:t>
      </w:r>
      <w:r w:rsidRPr="00FE2A94">
        <w:rPr>
          <w:rFonts w:cs="Arial"/>
          <w:i/>
          <w:shd w:val="clear" w:color="auto" w:fill="FFFFFF"/>
        </w:rPr>
        <w:t xml:space="preserve">” </w:t>
      </w:r>
      <w:r w:rsidRPr="00FE2A94">
        <w:rPr>
          <w:rFonts w:cs="Arial"/>
          <w:shd w:val="clear" w:color="auto" w:fill="FFFFFF"/>
        </w:rPr>
        <w:t>(la negrilla  no es del texto).</w:t>
      </w:r>
    </w:p>
    <w:p w:rsidR="006D1BFD" w:rsidRPr="00FE2A94" w:rsidRDefault="006D1BFD" w:rsidP="006D1BFD">
      <w:pPr>
        <w:pStyle w:val="Textonotapie"/>
        <w:spacing w:line="240" w:lineRule="auto"/>
        <w:rPr>
          <w:i/>
          <w:lang w:val="es-CO"/>
        </w:rPr>
      </w:pPr>
    </w:p>
  </w:footnote>
  <w:footnote w:id="20">
    <w:p w:rsidR="006D1BFD" w:rsidRPr="00FE2A94" w:rsidRDefault="006D1BFD" w:rsidP="006D1BFD">
      <w:pPr>
        <w:pStyle w:val="Textonotapie"/>
        <w:rPr>
          <w:lang w:val="es-CO"/>
        </w:rPr>
      </w:pPr>
      <w:r w:rsidRPr="00FE2A94">
        <w:rPr>
          <w:rStyle w:val="Refdenotaalpie"/>
        </w:rPr>
        <w:footnoteRef/>
      </w:r>
      <w:r w:rsidRPr="00FE2A94">
        <w:t xml:space="preserve"> </w:t>
      </w:r>
      <w:r w:rsidRPr="00FE2A94">
        <w:rPr>
          <w:lang w:val="es-CO"/>
        </w:rPr>
        <w:t>Artículos primero y segundo de la Resolución 2950 de 2006, folio 391, cuaderno 1.</w:t>
      </w:r>
    </w:p>
  </w:footnote>
  <w:footnote w:id="21">
    <w:p w:rsidR="006D1BFD" w:rsidRPr="00FE2A94" w:rsidRDefault="006D1BFD" w:rsidP="006D1BFD">
      <w:pPr>
        <w:pStyle w:val="Textonotapie"/>
        <w:rPr>
          <w:lang w:val="es-CO"/>
        </w:rPr>
      </w:pPr>
      <w:r w:rsidRPr="00FE2A94">
        <w:rPr>
          <w:rStyle w:val="Refdenotaalpie"/>
        </w:rPr>
        <w:footnoteRef/>
      </w:r>
      <w:r w:rsidRPr="00FE2A94">
        <w:t xml:space="preserve"> </w:t>
      </w:r>
      <w:r w:rsidRPr="00FE2A94">
        <w:rPr>
          <w:lang w:val="es-CO"/>
        </w:rPr>
        <w:t>Folio 101, cuaderno 2.</w:t>
      </w:r>
    </w:p>
  </w:footnote>
  <w:footnote w:id="22">
    <w:p w:rsidR="006D1BFD" w:rsidRPr="00771632" w:rsidRDefault="006D1BFD" w:rsidP="006D1BFD">
      <w:pPr>
        <w:spacing w:line="240" w:lineRule="auto"/>
        <w:ind w:right="-1"/>
        <w:rPr>
          <w:sz w:val="20"/>
          <w:szCs w:val="20"/>
          <w:lang w:val="es-CO"/>
        </w:rPr>
      </w:pPr>
      <w:r w:rsidRPr="008D774C">
        <w:rPr>
          <w:rStyle w:val="Refdenotaalpie"/>
          <w:sz w:val="20"/>
          <w:szCs w:val="20"/>
        </w:rPr>
        <w:footnoteRef/>
      </w:r>
      <w:r w:rsidRPr="008D774C">
        <w:rPr>
          <w:sz w:val="20"/>
          <w:szCs w:val="20"/>
        </w:rPr>
        <w:t xml:space="preserve"> Así se ha observado en diversas providencias, entre otras: </w:t>
      </w:r>
      <w:r w:rsidRPr="008D774C">
        <w:rPr>
          <w:b/>
          <w:sz w:val="20"/>
          <w:szCs w:val="20"/>
        </w:rPr>
        <w:t>1.</w:t>
      </w:r>
      <w:r w:rsidRPr="008D774C">
        <w:rPr>
          <w:sz w:val="20"/>
          <w:szCs w:val="20"/>
        </w:rPr>
        <w:t xml:space="preserve"> C</w:t>
      </w:r>
      <w:r w:rsidRPr="008D774C">
        <w:rPr>
          <w:rFonts w:cs="Arial"/>
          <w:sz w:val="20"/>
          <w:szCs w:val="20"/>
        </w:rPr>
        <w:t>onsejo de Estado, Sala de lo Contencioso Administrativo, Sección Tercera – Subsección A,</w:t>
      </w:r>
      <w:r w:rsidRPr="008D774C">
        <w:rPr>
          <w:sz w:val="20"/>
          <w:szCs w:val="20"/>
        </w:rPr>
        <w:t xml:space="preserve"> sentencia de 19 de noviembre de 2015, radicación: </w:t>
      </w:r>
      <w:r w:rsidRPr="008D774C">
        <w:rPr>
          <w:rFonts w:cs="Arial"/>
          <w:sz w:val="20"/>
          <w:szCs w:val="20"/>
        </w:rPr>
        <w:t>05001233100020060257901 (43324) actor: Compañía Mundial de Seguros S.A., demandado: Empresas Públicas de Medellín;</w:t>
      </w:r>
      <w:r>
        <w:rPr>
          <w:rFonts w:cs="Arial"/>
          <w:sz w:val="20"/>
          <w:szCs w:val="20"/>
        </w:rPr>
        <w:t xml:space="preserve"> </w:t>
      </w:r>
      <w:r w:rsidRPr="00995CD4">
        <w:rPr>
          <w:rFonts w:cs="Arial"/>
          <w:b/>
          <w:sz w:val="20"/>
          <w:szCs w:val="20"/>
        </w:rPr>
        <w:t>2.</w:t>
      </w:r>
      <w:r>
        <w:rPr>
          <w:rFonts w:cs="Arial"/>
          <w:b/>
          <w:sz w:val="20"/>
          <w:szCs w:val="20"/>
        </w:rPr>
        <w:t xml:space="preserve"> </w:t>
      </w:r>
      <w:r>
        <w:rPr>
          <w:sz w:val="20"/>
          <w:szCs w:val="20"/>
        </w:rPr>
        <w:t>C</w:t>
      </w:r>
      <w:r w:rsidRPr="00771632">
        <w:rPr>
          <w:rFonts w:cs="Arial"/>
          <w:sz w:val="20"/>
          <w:szCs w:val="20"/>
        </w:rPr>
        <w:t xml:space="preserve">onsejo de Estado, Sala de lo Contencioso Administrativo, Sección Tercera – Subsección A, </w:t>
      </w:r>
      <w:r w:rsidRPr="00771632">
        <w:rPr>
          <w:rFonts w:cs="Arial"/>
          <w:sz w:val="20"/>
          <w:szCs w:val="20"/>
          <w:lang w:val="es-CO"/>
        </w:rPr>
        <w:t xml:space="preserve">sentencia de </w:t>
      </w:r>
      <w:r w:rsidRPr="00771632">
        <w:rPr>
          <w:rFonts w:cs="Arial"/>
          <w:sz w:val="20"/>
          <w:szCs w:val="20"/>
        </w:rPr>
        <w:t>23 de noviembre de 2017, radicación: 25000233600020130206301 (53861), actor: Seguros Colpatria S.A., demandado: Ministerio de Transporte, referencia: acción contractual (Ley 1437 de 2011)</w:t>
      </w:r>
      <w:r>
        <w:rPr>
          <w:rFonts w:cs="Arial"/>
          <w:sz w:val="20"/>
          <w:szCs w:val="20"/>
        </w:rPr>
        <w:t>.</w:t>
      </w:r>
    </w:p>
  </w:footnote>
  <w:footnote w:id="23">
    <w:p w:rsidR="006D1BFD" w:rsidRDefault="006D1BFD" w:rsidP="006D1BFD">
      <w:pPr>
        <w:pStyle w:val="NormalWeb"/>
        <w:shd w:val="clear" w:color="auto" w:fill="FFFFFF"/>
        <w:spacing w:before="0" w:beforeAutospacing="0" w:after="0" w:afterAutospacing="0" w:line="240" w:lineRule="auto"/>
        <w:ind w:right="51"/>
        <w:rPr>
          <w:rFonts w:cs="Arial"/>
          <w:color w:val="000000"/>
          <w:sz w:val="20"/>
          <w:szCs w:val="20"/>
        </w:rPr>
      </w:pPr>
      <w:r w:rsidRPr="007C01CB">
        <w:rPr>
          <w:rStyle w:val="Refdenotaalpie"/>
          <w:sz w:val="20"/>
          <w:szCs w:val="20"/>
        </w:rPr>
        <w:footnoteRef/>
      </w:r>
      <w:r>
        <w:rPr>
          <w:rFonts w:cs="Arial"/>
          <w:bCs/>
          <w:i/>
          <w:color w:val="000000"/>
          <w:sz w:val="20"/>
          <w:szCs w:val="20"/>
        </w:rPr>
        <w:t xml:space="preserve"> </w:t>
      </w:r>
      <w:r w:rsidRPr="007C01CB">
        <w:rPr>
          <w:rFonts w:cs="Arial"/>
          <w:bCs/>
          <w:i/>
          <w:color w:val="000000"/>
          <w:sz w:val="20"/>
          <w:szCs w:val="20"/>
        </w:rPr>
        <w:t>“Ley 489 de 1998. Artículo 85º.-</w:t>
      </w:r>
      <w:r w:rsidRPr="007C01CB">
        <w:rPr>
          <w:rFonts w:cs="Arial"/>
          <w:i/>
          <w:iCs/>
          <w:color w:val="000000"/>
          <w:sz w:val="20"/>
          <w:szCs w:val="20"/>
        </w:rPr>
        <w:t> </w:t>
      </w:r>
      <w:r w:rsidRPr="007C01CB">
        <w:rPr>
          <w:rFonts w:cs="Arial"/>
          <w:bCs/>
          <w:i/>
          <w:iCs/>
          <w:color w:val="000000"/>
          <w:sz w:val="20"/>
          <w:szCs w:val="20"/>
        </w:rPr>
        <w:t>Empresas industriales y comerciales del Estado.</w:t>
      </w:r>
      <w:r w:rsidRPr="007C01CB">
        <w:rPr>
          <w:rFonts w:cs="Arial"/>
          <w:i/>
          <w:color w:val="000000"/>
          <w:sz w:val="20"/>
          <w:szCs w:val="20"/>
        </w:rPr>
        <w:t xml:space="preserve"> Las empresas industriales y comerciales del Estado son organismos creados por la ley o autorizados por ésta, </w:t>
      </w:r>
      <w:r w:rsidRPr="007C01CB">
        <w:rPr>
          <w:rFonts w:cs="Arial"/>
          <w:b/>
          <w:i/>
          <w:color w:val="000000"/>
          <w:sz w:val="20"/>
          <w:szCs w:val="20"/>
        </w:rPr>
        <w:t>que desarrollan actividades de naturaleza industrial o comercial y de gestión económica conforme a las reglas del Derecho Privado,</w:t>
      </w:r>
      <w:r w:rsidRPr="007C01CB">
        <w:rPr>
          <w:rFonts w:cs="Arial"/>
          <w:i/>
          <w:color w:val="000000"/>
          <w:sz w:val="20"/>
          <w:szCs w:val="20"/>
        </w:rPr>
        <w:t xml:space="preserve"> salvo las excepciones que consagra la ley, y que reúnen las siguientes características:(…)”</w:t>
      </w:r>
      <w:r>
        <w:rPr>
          <w:rFonts w:cs="Arial"/>
          <w:i/>
          <w:color w:val="000000"/>
          <w:sz w:val="20"/>
          <w:szCs w:val="20"/>
        </w:rPr>
        <w:t xml:space="preserve"> </w:t>
      </w:r>
      <w:r w:rsidRPr="00195E74">
        <w:rPr>
          <w:rFonts w:cs="Arial"/>
          <w:color w:val="000000"/>
          <w:sz w:val="20"/>
          <w:szCs w:val="20"/>
        </w:rPr>
        <w:t>(la negrilla no es del texto).</w:t>
      </w:r>
    </w:p>
    <w:p w:rsidR="006D1BFD" w:rsidRPr="00195E74" w:rsidRDefault="006D1BFD" w:rsidP="006D1BFD">
      <w:pPr>
        <w:pStyle w:val="NormalWeb"/>
        <w:shd w:val="clear" w:color="auto" w:fill="FFFFFF"/>
        <w:spacing w:before="0" w:beforeAutospacing="0" w:after="0" w:afterAutospacing="0" w:line="240" w:lineRule="auto"/>
        <w:ind w:right="51"/>
        <w:rPr>
          <w:sz w:val="20"/>
          <w:szCs w:val="20"/>
          <w:lang w:val="es-CO"/>
        </w:rPr>
      </w:pPr>
    </w:p>
  </w:footnote>
  <w:footnote w:id="24">
    <w:p w:rsidR="006D1BFD" w:rsidRPr="00AB1E77" w:rsidRDefault="006D1BFD" w:rsidP="006D1BFD">
      <w:pPr>
        <w:pStyle w:val="Textonotapie"/>
        <w:rPr>
          <w:lang w:val="es-CO"/>
        </w:rPr>
      </w:pPr>
      <w:r>
        <w:rPr>
          <w:rStyle w:val="Refdenotaalpie"/>
        </w:rPr>
        <w:footnoteRef/>
      </w:r>
      <w:r>
        <w:t xml:space="preserve"> </w:t>
      </w:r>
      <w:r>
        <w:rPr>
          <w:lang w:val="es-CO"/>
        </w:rPr>
        <w:t>Artículo 39 - numeral 39.1.</w:t>
      </w:r>
    </w:p>
  </w:footnote>
  <w:footnote w:id="25">
    <w:p w:rsidR="006D1BFD" w:rsidRPr="00AC7B19" w:rsidRDefault="006D1BFD" w:rsidP="006D1BFD">
      <w:pPr>
        <w:pStyle w:val="NormalWeb"/>
        <w:shd w:val="clear" w:color="auto" w:fill="FFFFFF"/>
        <w:spacing w:line="240" w:lineRule="auto"/>
        <w:rPr>
          <w:rFonts w:cs="Arial"/>
          <w:bCs/>
          <w:color w:val="000000"/>
          <w:sz w:val="20"/>
          <w:szCs w:val="20"/>
          <w:shd w:val="clear" w:color="auto" w:fill="FFFFFF"/>
        </w:rPr>
      </w:pPr>
      <w:r w:rsidRPr="00AC7B19">
        <w:rPr>
          <w:rStyle w:val="Refdenotaalpie"/>
          <w:sz w:val="20"/>
          <w:szCs w:val="20"/>
        </w:rPr>
        <w:footnoteRef/>
      </w:r>
      <w:r w:rsidRPr="00AC7B19">
        <w:rPr>
          <w:sz w:val="20"/>
          <w:szCs w:val="20"/>
        </w:rPr>
        <w:t xml:space="preserve"> </w:t>
      </w:r>
      <w:r w:rsidRPr="00AC7B19">
        <w:rPr>
          <w:rFonts w:cs="Arial"/>
          <w:bCs/>
          <w:color w:val="000000"/>
          <w:sz w:val="20"/>
          <w:szCs w:val="20"/>
        </w:rPr>
        <w:t>Corte Constitucional, s</w:t>
      </w:r>
      <w:r w:rsidRPr="00AC7B19">
        <w:rPr>
          <w:rFonts w:cs="Arial"/>
          <w:bCs/>
          <w:color w:val="000000"/>
          <w:sz w:val="20"/>
          <w:szCs w:val="20"/>
          <w:shd w:val="clear" w:color="auto" w:fill="FFFFFF"/>
        </w:rPr>
        <w:t>entencia C-066/97, referencia: expediente D-1394, acción pública de inconstitucionalidad contra los artículos 24 (parcial), 27 (parcial), 30, 31, 32 (parcial), 35 (parcial), 37, 38 (parcial) y 39 (parcial) de la Ley 142 de 1994, por medio de la cual se establece el régimen de los servicios públicos domiciliarios y se dictan otras disposiciones.</w:t>
      </w:r>
    </w:p>
    <w:p w:rsidR="006D1BFD" w:rsidRPr="00AC7B19" w:rsidRDefault="006D1BFD" w:rsidP="006D1BFD">
      <w:pPr>
        <w:pStyle w:val="NormalWeb"/>
        <w:spacing w:line="240" w:lineRule="auto"/>
        <w:rPr>
          <w:rFonts w:cs="Arial"/>
          <w:i/>
          <w:color w:val="000000"/>
          <w:sz w:val="20"/>
          <w:szCs w:val="20"/>
        </w:rPr>
      </w:pPr>
      <w:r w:rsidRPr="00AC7B19">
        <w:rPr>
          <w:rFonts w:cs="Arial"/>
          <w:bCs/>
          <w:i/>
          <w:color w:val="000000"/>
          <w:sz w:val="20"/>
          <w:szCs w:val="20"/>
          <w:shd w:val="clear" w:color="auto" w:fill="FFFFFF"/>
        </w:rPr>
        <w:t xml:space="preserve">“4. REGIMEN JURIDICO DE LOS ACTOS Y CONTRATOS DE LAS EMPRESAS DE SERVICIOS PUBLICOS DOMICILIARIOS. </w:t>
      </w:r>
      <w:r w:rsidRPr="00AC7B19">
        <w:rPr>
          <w:rFonts w:cs="Arial"/>
          <w:i/>
          <w:color w:val="000000"/>
          <w:sz w:val="20"/>
          <w:szCs w:val="20"/>
        </w:rPr>
        <w:t xml:space="preserve">(…). // En efecto, pretende la ley objeto de control </w:t>
      </w:r>
      <w:r w:rsidRPr="00AC7B19">
        <w:rPr>
          <w:rFonts w:cs="Arial"/>
          <w:b/>
          <w:i/>
          <w:color w:val="000000"/>
          <w:sz w:val="20"/>
          <w:szCs w:val="20"/>
        </w:rPr>
        <w:t>someter a un régimen de derecho privado los actos y contratos que celebren las empresas prestadoras de servicios públicos domiciliarios</w:t>
      </w:r>
      <w:r w:rsidRPr="00AC7B19">
        <w:rPr>
          <w:rFonts w:cs="Arial"/>
          <w:i/>
          <w:color w:val="000000"/>
          <w:sz w:val="20"/>
          <w:szCs w:val="20"/>
        </w:rPr>
        <w:t xml:space="preserve">. No es otro el objetivo del envío que el artículo 31 de la ley 142 de 1994 hace, en tratándose de contratos celebrados por dichas empresas, al parágrafo 1° del artículo 32 del Estatuto General de la Contratación Administrativa, salvo cuando la primera ley citada disponga otra cosa. En igual forma y directamente, </w:t>
      </w:r>
      <w:r w:rsidRPr="00AC7B19">
        <w:rPr>
          <w:rFonts w:cs="Arial"/>
          <w:b/>
          <w:i/>
          <w:color w:val="000000"/>
          <w:sz w:val="20"/>
          <w:szCs w:val="20"/>
        </w:rPr>
        <w:t>el artículo 32 de la misma ley deja en manos de las reglas propias del derecho privado, salvo en cuanto la Constitución Política o la misma ley dispongan lo contrario</w:t>
      </w:r>
      <w:r w:rsidRPr="00AC7B19">
        <w:rPr>
          <w:rFonts w:cs="Arial"/>
          <w:i/>
          <w:color w:val="000000"/>
          <w:sz w:val="20"/>
          <w:szCs w:val="20"/>
        </w:rPr>
        <w:t>, la constitución y demás actos de las empresas de servicios públicos, así como los requeridos para su administración y el ejercicio de los derechos de todas las personas socias de ellas.</w:t>
      </w:r>
    </w:p>
    <w:p w:rsidR="006D1BFD" w:rsidRPr="00B55E88" w:rsidRDefault="006D1BFD" w:rsidP="006D1BFD">
      <w:pPr>
        <w:shd w:val="clear" w:color="auto" w:fill="FFFFFF"/>
        <w:spacing w:before="100" w:beforeAutospacing="1" w:after="100" w:afterAutospacing="1" w:line="240" w:lineRule="auto"/>
        <w:rPr>
          <w:lang w:val="es-CO"/>
        </w:rPr>
      </w:pPr>
      <w:r w:rsidRPr="00AC7B19">
        <w:rPr>
          <w:rFonts w:cs="Arial"/>
          <w:i/>
          <w:color w:val="000000"/>
          <w:sz w:val="20"/>
          <w:szCs w:val="20"/>
        </w:rPr>
        <w:t>“Pero independientemente de la anterior discusión doctrinal sobre qué debe ser objeto de normas del derecho público o del derecho privado, considera la Corte que esa sola apreciación no puede constituir base suficiente para declarar la inexequibilidad del régimen establecido por el legislador para la prestación de los servicios públicos domiciliarios, en vista de que la norma constitucional que los organiza no lo determina expresa y menos privativamente. Al respecto, simplemente el Constituyente dejó en manos de la ley, sin tener en cuenta su pertenencia a un régimen de derecho público o privado, la fijación de las competencias y responsabilidades relativas a la prestación de tales servicios, su cobertura, calidad, financiación, tarifas, etc.</w:t>
      </w:r>
      <w:r w:rsidRPr="00AC7B19">
        <w:rPr>
          <w:rFonts w:cs="Arial"/>
          <w:b/>
          <w:i/>
          <w:color w:val="000000"/>
          <w:sz w:val="20"/>
          <w:szCs w:val="20"/>
        </w:rPr>
        <w:t xml:space="preserve"> Luego, el legislador, en uso de la facultad constitucional consagrada en los artículos 365 y 367 de la Carta, expidió en el año de 1994 la ley 142 y entregó a las normas que regulan la conducta de los particulares la forma de actuar y contratar de las empresas prestadoras de los servicios</w:t>
      </w:r>
      <w:r w:rsidRPr="00AC7B19">
        <w:rPr>
          <w:rFonts w:cs="Arial"/>
          <w:b/>
          <w:color w:val="000000"/>
          <w:sz w:val="20"/>
          <w:szCs w:val="20"/>
        </w:rPr>
        <w:t xml:space="preserve"> </w:t>
      </w:r>
      <w:r w:rsidRPr="00AC7B19">
        <w:rPr>
          <w:rFonts w:cs="Arial"/>
          <w:b/>
          <w:i/>
          <w:color w:val="000000"/>
          <w:sz w:val="20"/>
          <w:szCs w:val="20"/>
        </w:rPr>
        <w:t>tantas veces citados, sin transgredir con ello la normatividad Superior</w:t>
      </w:r>
      <w:r w:rsidRPr="00AC7B19">
        <w:rPr>
          <w:rFonts w:cs="Arial"/>
          <w:i/>
          <w:color w:val="000000"/>
          <w:sz w:val="20"/>
          <w:szCs w:val="20"/>
        </w:rPr>
        <w:t>”</w:t>
      </w:r>
      <w:r w:rsidRPr="00AC7B19">
        <w:rPr>
          <w:rFonts w:cs="Arial"/>
          <w:color w:val="000000"/>
          <w:sz w:val="20"/>
          <w:szCs w:val="20"/>
        </w:rPr>
        <w:t xml:space="preserve"> (la negrilla no es del texto).</w:t>
      </w:r>
    </w:p>
  </w:footnote>
  <w:footnote w:id="26">
    <w:p w:rsidR="006D1BFD" w:rsidRPr="0000629A" w:rsidRDefault="006D1BFD" w:rsidP="006D1BFD">
      <w:pPr>
        <w:spacing w:line="240" w:lineRule="auto"/>
        <w:rPr>
          <w:i/>
          <w:sz w:val="20"/>
          <w:szCs w:val="20"/>
          <w:lang w:val="es-CO"/>
        </w:rPr>
      </w:pPr>
      <w:r w:rsidRPr="0000629A">
        <w:rPr>
          <w:rStyle w:val="Refdenotaalpie"/>
          <w:i/>
          <w:sz w:val="20"/>
          <w:szCs w:val="20"/>
        </w:rPr>
        <w:footnoteRef/>
      </w:r>
      <w:r w:rsidRPr="0000629A">
        <w:rPr>
          <w:i/>
          <w:sz w:val="20"/>
          <w:szCs w:val="20"/>
        </w:rPr>
        <w:t xml:space="preserve"> </w:t>
      </w:r>
      <w:r w:rsidRPr="0000629A">
        <w:rPr>
          <w:rFonts w:cs="Arial"/>
          <w:bCs/>
          <w:i/>
          <w:color w:val="000000"/>
          <w:sz w:val="20"/>
          <w:szCs w:val="20"/>
          <w:lang w:val="es-ES_tradnl"/>
        </w:rPr>
        <w:t xml:space="preserve">En ese proceso se estudió la </w:t>
      </w:r>
      <w:r w:rsidRPr="0000629A">
        <w:rPr>
          <w:i/>
          <w:sz w:val="20"/>
          <w:szCs w:val="20"/>
          <w:lang w:val="es-CO"/>
        </w:rPr>
        <w:t>nulidad del acto que hizo exigible el amparo de estabilidad de obra. Se confirmó la sentencia de primera instancia y se denegaron las pretensiones.</w:t>
      </w:r>
    </w:p>
    <w:p w:rsidR="006D1BFD" w:rsidRPr="00E77187" w:rsidRDefault="006D1BFD" w:rsidP="006D1BFD">
      <w:pPr>
        <w:pStyle w:val="Textonotapie"/>
        <w:rPr>
          <w:lang w:val="es-CO"/>
        </w:rPr>
      </w:pPr>
    </w:p>
  </w:footnote>
  <w:footnote w:id="27">
    <w:p w:rsidR="006D1BFD" w:rsidRDefault="006D1BFD" w:rsidP="006D1BFD">
      <w:pPr>
        <w:pStyle w:val="Textonotapie"/>
        <w:spacing w:line="240" w:lineRule="auto"/>
        <w:ind w:right="-91"/>
        <w:rPr>
          <w:rFonts w:cs="Arial"/>
        </w:rPr>
      </w:pPr>
      <w:r w:rsidRPr="009C717E">
        <w:rPr>
          <w:rStyle w:val="Refdenotaalpie"/>
        </w:rPr>
        <w:footnoteRef/>
      </w:r>
      <w:r w:rsidRPr="009C717E">
        <w:t xml:space="preserve"> </w:t>
      </w:r>
      <w:r w:rsidRPr="009C717E">
        <w:rPr>
          <w:b/>
        </w:rPr>
        <w:t>1.</w:t>
      </w:r>
      <w:r>
        <w:t xml:space="preserve"> </w:t>
      </w:r>
      <w:r w:rsidRPr="009C717E">
        <w:t xml:space="preserve">Consejo de Estado, Sala de lo Contencioso Administrativo, </w:t>
      </w:r>
      <w:r w:rsidRPr="009C717E">
        <w:rPr>
          <w:iCs/>
        </w:rPr>
        <w:t xml:space="preserve">Sección Tercera, </w:t>
      </w:r>
      <w:r w:rsidRPr="009C717E">
        <w:t xml:space="preserve">Consejera ponente: Myriam Guerrero de Escobar, sentencia de 22 de abril de 2009, radicación: 190012331000199409004-01 (14667), actor: Seguros Generales Aurora S.A., demandado: departamento del Cauca, referencia: acción contractual. </w:t>
      </w:r>
      <w:r w:rsidRPr="009C717E">
        <w:rPr>
          <w:b/>
        </w:rPr>
        <w:t>2.</w:t>
      </w:r>
      <w:r w:rsidRPr="009C717E">
        <w:rPr>
          <w:rFonts w:cs="Arial"/>
        </w:rPr>
        <w:t xml:space="preserve"> Consejo de Estado, </w:t>
      </w:r>
      <w:r w:rsidRPr="009C717E">
        <w:rPr>
          <w:rFonts w:cs="Arial"/>
          <w:bCs/>
        </w:rPr>
        <w:t xml:space="preserve">Sala de lo Contencioso Administrativo, Sección Tercera, Consejero ponente: Enrique Gil Botero, sentencia de  23 de junio de 2010, radicación: 25000-23-26-000-1995-00862-01(16494), actor: Hernán Duarte Esguerra y otro, demandado: Instituto de Desarrollo Urbano -IDU-, referencia: apelación sentencia contractual. </w:t>
      </w:r>
      <w:r w:rsidRPr="009C717E">
        <w:rPr>
          <w:rFonts w:cs="Arial"/>
          <w:b/>
          <w:bCs/>
        </w:rPr>
        <w:t>3.</w:t>
      </w:r>
      <w:r w:rsidRPr="009C717E">
        <w:rPr>
          <w:rFonts w:cs="Arial"/>
          <w:bCs/>
        </w:rPr>
        <w:t xml:space="preserve"> Consejo de Estado, Sala de lo Contencioso Administrativo, Sección Tercera, Subsección B, </w:t>
      </w:r>
      <w:r w:rsidRPr="009C717E">
        <w:rPr>
          <w:rFonts w:cs="Arial"/>
          <w:bCs/>
          <w:lang w:val="es-CO"/>
        </w:rPr>
        <w:t>Consejero ponente: Danilo Rojas Betancourth, sentencia de 27 de m</w:t>
      </w:r>
      <w:r w:rsidRPr="009C717E">
        <w:rPr>
          <w:rFonts w:cs="Arial"/>
          <w:lang w:val="es-CO"/>
        </w:rPr>
        <w:t>arzo de 2014, radicación número: 25000-23-26-000-2001-02301-01(29857), actor: Compañía Aseguradora de Fianzas Confianza S.A., demandado: Empresa Nacional de Telecomunicaciones TELECOM, referencia: contractual.</w:t>
      </w:r>
      <w:r>
        <w:rPr>
          <w:rFonts w:cs="Arial"/>
          <w:lang w:val="es-CO"/>
        </w:rPr>
        <w:t xml:space="preserve"> </w:t>
      </w:r>
      <w:r w:rsidRPr="009C717E">
        <w:rPr>
          <w:rFonts w:cs="Arial"/>
          <w:b/>
          <w:lang w:val="es-CO"/>
        </w:rPr>
        <w:t>4.</w:t>
      </w:r>
      <w:r w:rsidRPr="009C717E">
        <w:rPr>
          <w:rFonts w:cs="Arial"/>
        </w:rPr>
        <w:t xml:space="preserve"> Consejo de Estado, S</w:t>
      </w:r>
      <w:r w:rsidRPr="009C717E">
        <w:rPr>
          <w:rFonts w:cs="Arial"/>
          <w:bCs/>
        </w:rPr>
        <w:t>ala de lo Contencioso Administrativo, Sección Tercera, S</w:t>
      </w:r>
      <w:r w:rsidRPr="009C717E">
        <w:rPr>
          <w:rFonts w:cs="Arial"/>
        </w:rPr>
        <w:t xml:space="preserve">ubsección C, Consejero ponente: </w:t>
      </w:r>
      <w:r w:rsidRPr="009C717E">
        <w:rPr>
          <w:rFonts w:cs="Arial"/>
          <w:bCs/>
          <w:spacing w:val="-3"/>
        </w:rPr>
        <w:t xml:space="preserve">Jaime Orlando Santofimio Gamboa, sentencia de </w:t>
      </w:r>
      <w:r w:rsidRPr="009C717E">
        <w:rPr>
          <w:rFonts w:cs="Arial"/>
        </w:rPr>
        <w:t>28 de enero de 2015, radicación: 25000232600020010244501 (29.431), actor: Compañía Aseguradora de Fianzas S.A –CONFIANZA S.A.-, demandado: Ministerio de Transporte,  proceso: acción contractual, asunto: recurso de apelación.</w:t>
      </w:r>
    </w:p>
    <w:p w:rsidR="006D1BFD" w:rsidRPr="009C717E" w:rsidRDefault="006D1BFD" w:rsidP="006D1BFD">
      <w:pPr>
        <w:pStyle w:val="Textonotapie"/>
        <w:spacing w:line="240" w:lineRule="auto"/>
        <w:ind w:right="-91"/>
        <w:rPr>
          <w:lang w:val="es-CO"/>
        </w:rPr>
      </w:pPr>
    </w:p>
  </w:footnote>
  <w:footnote w:id="28">
    <w:p w:rsidR="006D1BFD" w:rsidRPr="009C717E" w:rsidRDefault="006D1BFD" w:rsidP="006D1BFD">
      <w:pPr>
        <w:pStyle w:val="Textonotapie"/>
        <w:spacing w:line="240" w:lineRule="auto"/>
        <w:ind w:right="-91"/>
        <w:rPr>
          <w:lang w:val="es-CO"/>
        </w:rPr>
      </w:pPr>
      <w:r w:rsidRPr="009C717E">
        <w:rPr>
          <w:rStyle w:val="Refdenotaalpie"/>
        </w:rPr>
        <w:footnoteRef/>
      </w:r>
      <w:r w:rsidRPr="009C717E">
        <w:t xml:space="preserve"> </w:t>
      </w:r>
      <w:r w:rsidRPr="009C717E">
        <w:rPr>
          <w:rFonts w:cs="Arial"/>
          <w:lang w:val="es-CO"/>
        </w:rPr>
        <w:t>Consejo de Estado,</w:t>
      </w:r>
      <w:r w:rsidRPr="009C717E">
        <w:rPr>
          <w:rFonts w:cs="Arial"/>
          <w:b/>
          <w:lang w:val="es-CO"/>
        </w:rPr>
        <w:t xml:space="preserve"> </w:t>
      </w:r>
      <w:r w:rsidRPr="009C717E">
        <w:rPr>
          <w:rFonts w:cs="Arial"/>
          <w:lang w:val="es-CO"/>
        </w:rPr>
        <w:t>Sala de lo Contencioso Administrativo, Sección Tercera, Subsección A, Consejero Ponente: Carlos Alberto Zambrano Barrera, sentencia de 11 de julio de 2012, r</w:t>
      </w:r>
      <w:r w:rsidRPr="009C717E">
        <w:rPr>
          <w:rFonts w:cs="Arial"/>
          <w:bCs/>
          <w:lang w:val="es-CO"/>
        </w:rPr>
        <w:t>adicación: 85001-23-31-000-2000-0032</w:t>
      </w:r>
      <w:r w:rsidRPr="009C717E">
        <w:rPr>
          <w:rFonts w:cs="Arial"/>
          <w:lang w:val="es-CO"/>
        </w:rPr>
        <w:t>-01, e</w:t>
      </w:r>
      <w:r w:rsidRPr="009C717E">
        <w:rPr>
          <w:rFonts w:cs="Arial"/>
          <w:bCs/>
          <w:lang w:val="es-CO"/>
        </w:rPr>
        <w:t>xpediente: 19.519, d</w:t>
      </w:r>
      <w:r w:rsidRPr="009C717E">
        <w:rPr>
          <w:rFonts w:cs="Arial"/>
          <w:lang w:val="es-CO"/>
        </w:rPr>
        <w:t>emandante: Seguros Tequendama S.A., demandado: Nación – Ministerio de Agricultura y Desarrollo Rural, n</w:t>
      </w:r>
      <w:r w:rsidRPr="009C717E">
        <w:rPr>
          <w:rFonts w:cs="Arial"/>
          <w:bCs/>
          <w:lang w:val="es-CO"/>
        </w:rPr>
        <w:t xml:space="preserve">aturaleza: contratos (Resoluciones emanadas del IDEMA </w:t>
      </w:r>
      <w:r w:rsidRPr="009C717E">
        <w:rPr>
          <w:rFonts w:cs="Arial"/>
          <w:bCs/>
          <w:i/>
          <w:lang w:val="es-CO"/>
        </w:rPr>
        <w:t xml:space="preserve">en relación con un contrato celebrado con la </w:t>
      </w:r>
      <w:r w:rsidRPr="009C717E">
        <w:rPr>
          <w:rFonts w:cs="Arial"/>
          <w:i/>
          <w:color w:val="000000"/>
          <w:spacing w:val="1"/>
          <w:lang w:val="es-CO"/>
        </w:rPr>
        <w:t xml:space="preserve">Cooperativa de Trabajo Asociado Empresarial y Social del Meta). </w:t>
      </w:r>
    </w:p>
  </w:footnote>
  <w:footnote w:id="29">
    <w:p w:rsidR="006D1BFD" w:rsidRPr="00226D7A" w:rsidRDefault="006D1BFD" w:rsidP="006D1BFD">
      <w:pPr>
        <w:spacing w:line="240" w:lineRule="auto"/>
        <w:rPr>
          <w:rFonts w:cs="Arial"/>
          <w:bCs/>
          <w:sz w:val="20"/>
          <w:szCs w:val="20"/>
          <w:lang w:val="es-CO"/>
        </w:rPr>
      </w:pPr>
      <w:r w:rsidRPr="009C717E">
        <w:rPr>
          <w:rStyle w:val="Refdenotaalpie"/>
        </w:rPr>
        <w:footnoteRef/>
      </w:r>
      <w:r w:rsidRPr="009C717E">
        <w:t xml:space="preserve"> </w:t>
      </w:r>
      <w:r w:rsidRPr="00254A51">
        <w:rPr>
          <w:b/>
          <w:sz w:val="20"/>
          <w:szCs w:val="20"/>
        </w:rPr>
        <w:t>1.</w:t>
      </w:r>
      <w:r w:rsidRPr="00254A51">
        <w:rPr>
          <w:sz w:val="20"/>
          <w:szCs w:val="20"/>
        </w:rPr>
        <w:t xml:space="preserve"> </w:t>
      </w:r>
      <w:r w:rsidRPr="00254A51">
        <w:rPr>
          <w:rFonts w:cs="Arial"/>
          <w:sz w:val="20"/>
          <w:szCs w:val="20"/>
        </w:rPr>
        <w:t>C</w:t>
      </w:r>
      <w:r w:rsidRPr="00226D7A">
        <w:rPr>
          <w:rFonts w:cs="Arial"/>
          <w:sz w:val="20"/>
          <w:szCs w:val="20"/>
        </w:rPr>
        <w:t>onsejo de Estado, Sala de lo Contencioso Administrativo, Sección Tercera, Consejero ponente: Germán Rodríguez Villamizar, sentencia de 20 de octubre de 2005, radicación</w:t>
      </w:r>
      <w:r w:rsidRPr="00226D7A">
        <w:rPr>
          <w:rFonts w:cs="Arial"/>
          <w:i/>
          <w:sz w:val="20"/>
          <w:szCs w:val="20"/>
        </w:rPr>
        <w:t xml:space="preserve"> </w:t>
      </w:r>
      <w:r w:rsidRPr="00226D7A">
        <w:rPr>
          <w:rFonts w:cs="Arial"/>
          <w:sz w:val="20"/>
          <w:szCs w:val="20"/>
        </w:rPr>
        <w:t>14579,</w:t>
      </w:r>
      <w:r w:rsidRPr="00226D7A">
        <w:rPr>
          <w:rFonts w:cs="Arial"/>
          <w:b/>
          <w:bCs/>
          <w:color w:val="000000"/>
          <w:sz w:val="20"/>
          <w:szCs w:val="20"/>
        </w:rPr>
        <w:t xml:space="preserve"> </w:t>
      </w:r>
      <w:r w:rsidRPr="00226D7A">
        <w:rPr>
          <w:rFonts w:cs="Arial"/>
          <w:bCs/>
          <w:color w:val="000000"/>
          <w:sz w:val="20"/>
          <w:szCs w:val="20"/>
        </w:rPr>
        <w:t xml:space="preserve">actor: sociedad Consorcio Nacional de Ingenieros Contratistas Conic S.A. demandado: Fondo Rotatorio Vial Distrital de la Secretaría de Obras Públicas del Distrito Capital de Bogotá – Fosop. </w:t>
      </w:r>
      <w:r w:rsidRPr="00226D7A">
        <w:rPr>
          <w:rFonts w:cs="Arial"/>
          <w:b/>
          <w:bCs/>
          <w:color w:val="000000"/>
          <w:sz w:val="20"/>
          <w:szCs w:val="20"/>
        </w:rPr>
        <w:t>2</w:t>
      </w:r>
      <w:r w:rsidRPr="00226D7A">
        <w:rPr>
          <w:rFonts w:cs="Arial"/>
          <w:bCs/>
          <w:color w:val="000000"/>
          <w:sz w:val="20"/>
          <w:szCs w:val="20"/>
        </w:rPr>
        <w:t>.</w:t>
      </w:r>
      <w:r w:rsidRPr="00226D7A">
        <w:rPr>
          <w:rFonts w:cs="Arial"/>
          <w:b/>
          <w:bCs/>
          <w:sz w:val="20"/>
          <w:szCs w:val="20"/>
        </w:rPr>
        <w:t xml:space="preserve"> </w:t>
      </w:r>
      <w:r w:rsidRPr="00226D7A">
        <w:rPr>
          <w:rFonts w:cs="Arial"/>
          <w:bCs/>
          <w:sz w:val="20"/>
          <w:szCs w:val="20"/>
        </w:rPr>
        <w:t xml:space="preserve">Consejo de Estado, Sala de lo Contencioso Administrativo, Sección Tercera,  Subsección A, </w:t>
      </w:r>
      <w:r w:rsidRPr="00226D7A">
        <w:rPr>
          <w:bCs/>
          <w:sz w:val="20"/>
          <w:szCs w:val="20"/>
        </w:rPr>
        <w:t xml:space="preserve">Consejero ponente: Mauricio Fajardo Gómez, sentencia de 24 de </w:t>
      </w:r>
      <w:r w:rsidRPr="00226D7A">
        <w:rPr>
          <w:rFonts w:cs="Arial"/>
          <w:sz w:val="20"/>
          <w:szCs w:val="20"/>
        </w:rPr>
        <w:t>marzo de 2011, r</w:t>
      </w:r>
      <w:r w:rsidRPr="00226D7A">
        <w:rPr>
          <w:rFonts w:cs="Arial"/>
          <w:bCs/>
          <w:sz w:val="20"/>
          <w:szCs w:val="20"/>
          <w:lang w:val="es-CO"/>
        </w:rPr>
        <w:t xml:space="preserve">adicación: 25000-23260001997-03662 (19446), </w:t>
      </w:r>
      <w:r w:rsidRPr="00226D7A">
        <w:rPr>
          <w:rFonts w:cs="Arial"/>
          <w:bCs/>
          <w:sz w:val="20"/>
          <w:szCs w:val="20"/>
        </w:rPr>
        <w:t>actor: Sociedad Industrias Famoc Depanel S.A., d</w:t>
      </w:r>
      <w:r w:rsidRPr="00226D7A">
        <w:rPr>
          <w:rFonts w:cs="Arial"/>
          <w:bCs/>
          <w:sz w:val="20"/>
          <w:szCs w:val="20"/>
          <w:lang w:val="es-CO"/>
        </w:rPr>
        <w:t>emandado: Nación - Contraloría General de la República, referencia: contractual –apelación sentencia.</w:t>
      </w:r>
    </w:p>
    <w:p w:rsidR="006D1BFD" w:rsidRPr="00226D7A" w:rsidRDefault="006D1BFD" w:rsidP="006D1BFD">
      <w:pPr>
        <w:pStyle w:val="Estilo"/>
        <w:ind w:left="6" w:right="6"/>
        <w:rPr>
          <w:sz w:val="20"/>
          <w:szCs w:val="20"/>
        </w:rPr>
      </w:pPr>
    </w:p>
    <w:p w:rsidR="006D1BFD" w:rsidRPr="009C717E" w:rsidRDefault="006D1BFD" w:rsidP="006D1BFD">
      <w:pPr>
        <w:pStyle w:val="Textonotapie"/>
        <w:spacing w:line="240" w:lineRule="auto"/>
        <w:rPr>
          <w:lang w:val="es-CO"/>
        </w:rPr>
      </w:pPr>
    </w:p>
  </w:footnote>
  <w:footnote w:id="30">
    <w:p w:rsidR="006D1BFD" w:rsidRPr="00D038CB" w:rsidRDefault="006D1BFD" w:rsidP="006D1BFD">
      <w:pPr>
        <w:pStyle w:val="NormalWeb"/>
        <w:shd w:val="clear" w:color="auto" w:fill="FFFFFF"/>
        <w:spacing w:line="240" w:lineRule="auto"/>
        <w:rPr>
          <w:i/>
          <w:sz w:val="20"/>
          <w:szCs w:val="20"/>
          <w:lang w:val="es-CO"/>
        </w:rPr>
      </w:pPr>
      <w:r w:rsidRPr="00D038CB">
        <w:rPr>
          <w:rStyle w:val="Refdenotaalpie"/>
          <w:sz w:val="20"/>
          <w:szCs w:val="20"/>
        </w:rPr>
        <w:footnoteRef/>
      </w:r>
      <w:r w:rsidRPr="00D038CB">
        <w:rPr>
          <w:sz w:val="20"/>
          <w:szCs w:val="20"/>
        </w:rPr>
        <w:t xml:space="preserve"> </w:t>
      </w:r>
      <w:r w:rsidRPr="00D038CB">
        <w:rPr>
          <w:rStyle w:val="Textoennegrita"/>
          <w:rFonts w:cs="Arial"/>
          <w:b w:val="0"/>
          <w:sz w:val="20"/>
          <w:szCs w:val="20"/>
        </w:rPr>
        <w:t xml:space="preserve">Consejo de Estado, </w:t>
      </w:r>
      <w:r w:rsidRPr="00D038CB">
        <w:rPr>
          <w:rStyle w:val="Textoennegrita"/>
          <w:rFonts w:cs="Arial"/>
          <w:b w:val="0"/>
          <w:sz w:val="20"/>
          <w:szCs w:val="20"/>
          <w:shd w:val="clear" w:color="auto" w:fill="FFFFFF"/>
        </w:rPr>
        <w:t xml:space="preserve">Sala de Consulta y Servicio Civil, Consejero ponente: Enrique José Arboleda Perdomo, Bogotá, D.C, mayo 25 de 2006, radicación: 1.748, número único: 11001-03-06-000-2006-00050-00. </w:t>
      </w:r>
      <w:r w:rsidRPr="000E1E7D">
        <w:rPr>
          <w:rStyle w:val="Textoennegrita"/>
          <w:rFonts w:cs="Arial"/>
          <w:b w:val="0"/>
          <w:i/>
          <w:sz w:val="20"/>
          <w:szCs w:val="20"/>
          <w:shd w:val="clear" w:color="auto" w:fill="FFFFFF"/>
        </w:rPr>
        <w:t>“</w:t>
      </w:r>
      <w:r w:rsidRPr="000E1E7D">
        <w:rPr>
          <w:rFonts w:cs="Arial"/>
          <w:i/>
          <w:sz w:val="20"/>
          <w:szCs w:val="20"/>
          <w:shd w:val="clear" w:color="auto" w:fill="FFFFFF"/>
        </w:rPr>
        <w:t>El señor Ministro de Defensa Nacional, (…), consulta a la Sala sobre la aplicación del principio de la autonomía de la voluntad al pacto de multas dentro de los contratos estatales, y sus efectos jurídicos”.</w:t>
      </w:r>
    </w:p>
  </w:footnote>
  <w:footnote w:id="31">
    <w:p w:rsidR="006D1BFD" w:rsidRPr="00DE71FA" w:rsidRDefault="006D1BFD" w:rsidP="006D1BFD">
      <w:pPr>
        <w:pStyle w:val="NormalWeb"/>
        <w:shd w:val="clear" w:color="auto" w:fill="FFFFFF"/>
        <w:spacing w:before="0" w:beforeAutospacing="0" w:after="150" w:afterAutospacing="0" w:line="240" w:lineRule="auto"/>
        <w:rPr>
          <w:rFonts w:cs="Arial"/>
          <w:i/>
          <w:sz w:val="20"/>
          <w:szCs w:val="20"/>
        </w:rPr>
      </w:pPr>
      <w:r w:rsidRPr="00DE71FA">
        <w:rPr>
          <w:rStyle w:val="Refdenotaalpie"/>
          <w:sz w:val="20"/>
          <w:szCs w:val="20"/>
        </w:rPr>
        <w:footnoteRef/>
      </w:r>
      <w:r w:rsidRPr="00DE71FA">
        <w:rPr>
          <w:sz w:val="20"/>
          <w:szCs w:val="20"/>
        </w:rPr>
        <w:t xml:space="preserve"> </w:t>
      </w:r>
      <w:r w:rsidRPr="00DE71FA">
        <w:rPr>
          <w:i/>
          <w:sz w:val="20"/>
          <w:szCs w:val="20"/>
        </w:rPr>
        <w:t>“</w:t>
      </w:r>
      <w:r w:rsidRPr="00DE71FA">
        <w:rPr>
          <w:rFonts w:cs="Arial"/>
          <w:bCs/>
          <w:i/>
          <w:sz w:val="20"/>
          <w:szCs w:val="20"/>
        </w:rPr>
        <w:t>Artículo 68 C.C.A.</w:t>
      </w:r>
      <w:r w:rsidRPr="00DE71FA">
        <w:rPr>
          <w:rFonts w:cs="Arial"/>
          <w:b/>
          <w:bCs/>
          <w:i/>
          <w:sz w:val="20"/>
          <w:szCs w:val="20"/>
        </w:rPr>
        <w:t> </w:t>
      </w:r>
      <w:r w:rsidRPr="00DE71FA">
        <w:rPr>
          <w:rFonts w:cs="Arial"/>
          <w:i/>
          <w:sz w:val="20"/>
          <w:szCs w:val="20"/>
        </w:rPr>
        <w:t>Prestarán mérito ejecutivo por jurisdicción coactiva, siempre que en ellos conste una obligación clara, expresa y actualmente exigible, los siguientes documentos:</w:t>
      </w:r>
    </w:p>
    <w:p w:rsidR="006D1BFD" w:rsidRPr="00DE71FA" w:rsidRDefault="006D1BFD" w:rsidP="006D1BFD">
      <w:pPr>
        <w:shd w:val="clear" w:color="auto" w:fill="FFFFFF"/>
        <w:spacing w:after="150" w:line="240" w:lineRule="auto"/>
        <w:rPr>
          <w:rFonts w:cs="Arial"/>
          <w:i/>
          <w:sz w:val="20"/>
          <w:szCs w:val="20"/>
        </w:rPr>
      </w:pPr>
      <w:r w:rsidRPr="00DE71FA">
        <w:rPr>
          <w:rFonts w:cs="Arial"/>
          <w:i/>
          <w:sz w:val="20"/>
          <w:szCs w:val="20"/>
        </w:rPr>
        <w:t>“4. Los contratos, las pólizas de seguro y las demás garantías que otorguen los contratistas a favor de entidades públicas, que integrarán título ejecutivo con el acto administrativo de liquidación final del contrato, o con la resolución ejecutoriada que decrete la caducidad, o la terminación según el caso.</w:t>
      </w:r>
    </w:p>
    <w:p w:rsidR="006D1BFD" w:rsidRPr="00DE71FA" w:rsidRDefault="006D1BFD" w:rsidP="006D1BFD">
      <w:pPr>
        <w:shd w:val="clear" w:color="auto" w:fill="FFFFFF"/>
        <w:spacing w:after="150" w:line="240" w:lineRule="auto"/>
        <w:rPr>
          <w:rFonts w:cs="Arial"/>
          <w:i/>
          <w:sz w:val="20"/>
          <w:szCs w:val="20"/>
        </w:rPr>
      </w:pPr>
      <w:r w:rsidRPr="00DE71FA">
        <w:rPr>
          <w:rFonts w:cs="Arial"/>
          <w:i/>
          <w:sz w:val="20"/>
          <w:szCs w:val="20"/>
        </w:rPr>
        <w:t>“5. Las demás garantías que a favor de las entidades públicas se presten por cualquier concepto, las cuales se integrarán con el acto administrativo ejecutoriado que declare la obligación”.</w:t>
      </w:r>
    </w:p>
    <w:p w:rsidR="006D1BFD" w:rsidRPr="00DE71FA" w:rsidRDefault="006D1BFD" w:rsidP="006D1BFD">
      <w:pPr>
        <w:pStyle w:val="Textonotapie"/>
        <w:spacing w:line="240" w:lineRule="auto"/>
        <w:rPr>
          <w:lang w:val="es-CO"/>
        </w:rPr>
      </w:pPr>
    </w:p>
  </w:footnote>
  <w:footnote w:id="32">
    <w:p w:rsidR="006D1BFD" w:rsidRPr="0069249C" w:rsidRDefault="006D1BFD" w:rsidP="006D1BFD">
      <w:pPr>
        <w:pStyle w:val="Textonotapie"/>
        <w:spacing w:line="240" w:lineRule="auto"/>
        <w:rPr>
          <w:rFonts w:cs="Arial"/>
          <w:bCs/>
          <w:i/>
          <w:iCs/>
          <w:shd w:val="clear" w:color="auto" w:fill="FFFFFF"/>
        </w:rPr>
      </w:pPr>
      <w:r w:rsidRPr="00DE71FA">
        <w:rPr>
          <w:rStyle w:val="Refdenotaalpie"/>
        </w:rPr>
        <w:footnoteRef/>
      </w:r>
      <w:r w:rsidRPr="00DE71FA">
        <w:t xml:space="preserve"> “</w:t>
      </w:r>
      <w:r w:rsidRPr="00DE71FA">
        <w:rPr>
          <w:rFonts w:cs="Arial"/>
          <w:bCs/>
          <w:i/>
          <w:iCs/>
          <w:shd w:val="clear" w:color="auto" w:fill="FFFFFF"/>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p w:rsidR="006D1BFD" w:rsidRPr="0069249C" w:rsidRDefault="006D1BFD" w:rsidP="006D1BFD">
      <w:pPr>
        <w:pStyle w:val="Textonotapie"/>
        <w:spacing w:line="240" w:lineRule="auto"/>
        <w:rPr>
          <w:lang w:val="es-CO"/>
        </w:rPr>
      </w:pPr>
    </w:p>
  </w:footnote>
  <w:footnote w:id="33">
    <w:p w:rsidR="006D1BFD" w:rsidRPr="0069249C" w:rsidRDefault="006D1BFD" w:rsidP="006D1BFD">
      <w:pPr>
        <w:pStyle w:val="Textonotapie"/>
        <w:spacing w:line="240" w:lineRule="auto"/>
        <w:rPr>
          <w:lang w:val="es-CO"/>
        </w:rPr>
      </w:pPr>
      <w:r w:rsidRPr="00254A51">
        <w:rPr>
          <w:rStyle w:val="Refdenotaalpie"/>
        </w:rPr>
        <w:footnoteRef/>
      </w:r>
      <w:r w:rsidRPr="00254A51">
        <w:t xml:space="preserve"> </w:t>
      </w:r>
      <w:r w:rsidRPr="00254A51">
        <w:rPr>
          <w:lang w:val="es-CO"/>
        </w:rPr>
        <w:t>Aunque el concepto no se solicitó para el supuesto de la Ley 142 de 1994, la Sala de Consulta y Servicio Civil examinó el asunto para el caso de los contratos en el que no existía la competencia para declarar el incumplimiento en los términos de la Ley 80 de 1993, antes de expedirse la Ley 1150 de 2007.</w:t>
      </w:r>
      <w:r w:rsidRPr="0069249C">
        <w:rPr>
          <w:lang w:val="es-CO"/>
        </w:rPr>
        <w:t xml:space="preserve"> </w:t>
      </w:r>
    </w:p>
    <w:p w:rsidR="006D1BFD" w:rsidRPr="00885449" w:rsidRDefault="006D1BFD" w:rsidP="006D1BFD">
      <w:pPr>
        <w:pStyle w:val="Textonotapie"/>
        <w:spacing w:line="240" w:lineRule="auto"/>
        <w:rPr>
          <w:lang w:val="es-CO"/>
        </w:rPr>
      </w:pPr>
    </w:p>
  </w:footnote>
  <w:footnote w:id="34">
    <w:p w:rsidR="006D1BFD" w:rsidRDefault="006D1BFD" w:rsidP="006D1BFD">
      <w:pPr>
        <w:pStyle w:val="Textonotapie"/>
        <w:spacing w:line="240" w:lineRule="auto"/>
        <w:ind w:right="-232"/>
        <w:rPr>
          <w:rFonts w:cs="Arial"/>
          <w:i/>
          <w:color w:val="000000"/>
          <w:shd w:val="clear" w:color="auto" w:fill="FFFFFF"/>
        </w:rPr>
      </w:pPr>
      <w:r w:rsidRPr="004C0364">
        <w:rPr>
          <w:rStyle w:val="Refdenotaalpie"/>
          <w:i/>
        </w:rPr>
        <w:footnoteRef/>
      </w:r>
      <w:r w:rsidRPr="004C0364">
        <w:rPr>
          <w:i/>
        </w:rPr>
        <w:t xml:space="preserve"> </w:t>
      </w:r>
      <w:r>
        <w:rPr>
          <w:i/>
        </w:rPr>
        <w:t>“</w:t>
      </w:r>
      <w:r w:rsidRPr="004C0364">
        <w:rPr>
          <w:rFonts w:cs="Arial"/>
          <w:bCs/>
          <w:i/>
          <w:color w:val="000000"/>
          <w:shd w:val="clear" w:color="auto" w:fill="FFFFFF"/>
        </w:rPr>
        <w:t xml:space="preserve">Artículo 1054 C.Co. Definición </w:t>
      </w:r>
      <w:r>
        <w:rPr>
          <w:rFonts w:cs="Arial"/>
          <w:bCs/>
          <w:i/>
          <w:color w:val="000000"/>
          <w:shd w:val="clear" w:color="auto" w:fill="FFFFFF"/>
        </w:rPr>
        <w:t>d</w:t>
      </w:r>
      <w:r w:rsidRPr="004C0364">
        <w:rPr>
          <w:rFonts w:cs="Arial"/>
          <w:bCs/>
          <w:i/>
          <w:color w:val="000000"/>
          <w:shd w:val="clear" w:color="auto" w:fill="FFFFFF"/>
        </w:rPr>
        <w:t>e Riesgo</w:t>
      </w:r>
      <w:r w:rsidRPr="004C0364">
        <w:rPr>
          <w:rFonts w:cs="Arial"/>
          <w:b/>
          <w:bCs/>
          <w:i/>
          <w:color w:val="000000"/>
          <w:shd w:val="clear" w:color="auto" w:fill="FFFFFF"/>
        </w:rPr>
        <w:t>.</w:t>
      </w:r>
      <w:r w:rsidRPr="004C0364">
        <w:rPr>
          <w:rStyle w:val="apple-converted-space"/>
          <w:rFonts w:cs="Arial"/>
          <w:i/>
          <w:color w:val="000000"/>
          <w:shd w:val="clear" w:color="auto" w:fill="FFFFFF"/>
        </w:rPr>
        <w:t> </w:t>
      </w:r>
      <w:r w:rsidRPr="004C0364">
        <w:rPr>
          <w:rFonts w:cs="Arial"/>
          <w:i/>
          <w:color w:val="000000"/>
          <w:shd w:val="clear" w:color="auto" w:fill="FFFFFF"/>
        </w:rPr>
        <w:t>Denom</w:t>
      </w:r>
      <w:r>
        <w:rPr>
          <w:rFonts w:cs="Arial"/>
          <w:i/>
          <w:color w:val="000000"/>
          <w:shd w:val="clear" w:color="auto" w:fill="FFFFFF"/>
        </w:rPr>
        <w:t>í</w:t>
      </w:r>
      <w:r w:rsidRPr="004C0364">
        <w:rPr>
          <w:rFonts w:cs="Arial"/>
          <w:i/>
          <w:color w:val="000000"/>
          <w:shd w:val="clear" w:color="auto" w:fill="FFFFFF"/>
        </w:rPr>
        <w:t>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Pr>
          <w:rFonts w:cs="Arial"/>
          <w:i/>
          <w:color w:val="000000"/>
          <w:shd w:val="clear" w:color="auto" w:fill="FFFFFF"/>
        </w:rPr>
        <w:t>”</w:t>
      </w:r>
      <w:r w:rsidRPr="004C0364">
        <w:rPr>
          <w:rFonts w:cs="Arial"/>
          <w:i/>
          <w:color w:val="000000"/>
          <w:shd w:val="clear" w:color="auto" w:fill="FFFFFF"/>
        </w:rPr>
        <w:t>.</w:t>
      </w:r>
    </w:p>
    <w:p w:rsidR="006D1BFD" w:rsidRPr="005464BA" w:rsidRDefault="006D1BFD" w:rsidP="006D1BFD">
      <w:pPr>
        <w:pStyle w:val="Textonotapie"/>
        <w:spacing w:line="240" w:lineRule="auto"/>
        <w:ind w:right="-232"/>
        <w:rPr>
          <w:i/>
          <w:lang w:val="es-CO"/>
        </w:rPr>
      </w:pPr>
    </w:p>
  </w:footnote>
  <w:footnote w:id="35">
    <w:p w:rsidR="006D1BFD" w:rsidRDefault="006D1BFD" w:rsidP="006D1BFD">
      <w:pPr>
        <w:pStyle w:val="Textonotapie"/>
        <w:spacing w:line="240" w:lineRule="auto"/>
        <w:rPr>
          <w:lang w:val="es-CO"/>
        </w:rPr>
      </w:pPr>
      <w:r>
        <w:rPr>
          <w:rStyle w:val="Refdenotaalpie"/>
        </w:rPr>
        <w:footnoteRef/>
      </w:r>
      <w:r>
        <w:t xml:space="preserve"> </w:t>
      </w:r>
      <w:r>
        <w:rPr>
          <w:lang w:val="es-CO"/>
        </w:rPr>
        <w:t>Salvo las disposiciones especiales, como ocurrió con el procedimiento previsto en la Ley 1150 de 2007, posterior a los hechos materia de este proceso.</w:t>
      </w:r>
    </w:p>
    <w:p w:rsidR="006D1BFD" w:rsidRPr="00DF2B01" w:rsidRDefault="006D1BFD" w:rsidP="006D1BFD">
      <w:pPr>
        <w:pStyle w:val="Textonotapie"/>
        <w:rPr>
          <w:lang w:val="es-CO"/>
        </w:rPr>
      </w:pPr>
      <w:r>
        <w:rPr>
          <w:lang w:val="es-CO"/>
        </w:rPr>
        <w:t>,</w:t>
      </w:r>
    </w:p>
  </w:footnote>
  <w:footnote w:id="36">
    <w:p w:rsidR="006D1BFD" w:rsidRPr="0024479A" w:rsidRDefault="006D1BFD" w:rsidP="006D1BFD">
      <w:pPr>
        <w:pStyle w:val="Textonotapie"/>
        <w:rPr>
          <w:i/>
          <w:lang w:val="es-CO"/>
        </w:rPr>
      </w:pPr>
      <w:r>
        <w:rPr>
          <w:rStyle w:val="Refdenotaalpie"/>
        </w:rPr>
        <w:footnoteRef/>
      </w:r>
      <w:r>
        <w:t xml:space="preserve"> “</w:t>
      </w:r>
      <w:r w:rsidRPr="0024479A">
        <w:rPr>
          <w:i/>
          <w:lang w:val="es-CO"/>
        </w:rPr>
        <w:t>4.12. DEDUCCIONES POR INCUMPLIMI</w:t>
      </w:r>
      <w:r>
        <w:rPr>
          <w:i/>
          <w:lang w:val="es-CO"/>
        </w:rPr>
        <w:t>E</w:t>
      </w:r>
      <w:r w:rsidRPr="0024479A">
        <w:rPr>
          <w:i/>
          <w:lang w:val="es-CO"/>
        </w:rPr>
        <w:t>NTOS (MULTAS)”</w:t>
      </w:r>
      <w:r>
        <w:rPr>
          <w:i/>
          <w:lang w:val="es-CO"/>
        </w:rPr>
        <w:t>.</w:t>
      </w:r>
      <w:r w:rsidRPr="0024479A">
        <w:rPr>
          <w:i/>
          <w:lang w:val="es-CO"/>
        </w:rPr>
        <w:t xml:space="preserve"> </w:t>
      </w:r>
    </w:p>
  </w:footnote>
  <w:footnote w:id="37">
    <w:p w:rsidR="006D1BFD" w:rsidRPr="00AB0AEB" w:rsidRDefault="006D1BFD" w:rsidP="006D1BFD">
      <w:pPr>
        <w:pStyle w:val="Textonotapie"/>
        <w:rPr>
          <w:lang w:val="es-CO"/>
        </w:rPr>
      </w:pPr>
      <w:r>
        <w:rPr>
          <w:rStyle w:val="Refdenotaalpie"/>
        </w:rPr>
        <w:footnoteRef/>
      </w:r>
      <w:r>
        <w:t xml:space="preserve"> Cláusula 4.12, folio 72,  cuaderno 1. </w:t>
      </w:r>
    </w:p>
  </w:footnote>
  <w:footnote w:id="38">
    <w:p w:rsidR="006D1BFD" w:rsidRDefault="006D1BFD" w:rsidP="006D1BFD">
      <w:pPr>
        <w:pStyle w:val="Textonotapie"/>
        <w:spacing w:line="240" w:lineRule="auto"/>
        <w:rPr>
          <w:rFonts w:cs="Arial"/>
          <w:bCs/>
          <w:lang w:val="es-MX"/>
        </w:rPr>
      </w:pPr>
      <w:r w:rsidRPr="009E5A8F">
        <w:rPr>
          <w:rStyle w:val="Refdenotaalpie"/>
          <w:i/>
        </w:rPr>
        <w:footnoteRef/>
      </w:r>
      <w:r w:rsidRPr="009E5A8F">
        <w:rPr>
          <w:i/>
        </w:rPr>
        <w:t xml:space="preserve"> “</w:t>
      </w:r>
      <w:r w:rsidRPr="009E5A8F">
        <w:rPr>
          <w:rFonts w:cs="Arial"/>
          <w:bCs/>
          <w:i/>
          <w:lang w:val="es-MX"/>
        </w:rPr>
        <w:t>aplicar una deducción por una cantidad igual al cero coma cinco por ciento 0.5% del valor de la entrega atrasada, por cada día de mora</w:t>
      </w:r>
      <w:r>
        <w:rPr>
          <w:rFonts w:cs="Arial"/>
          <w:bCs/>
          <w:lang w:val="es-MX"/>
        </w:rPr>
        <w:t>”.</w:t>
      </w:r>
    </w:p>
    <w:p w:rsidR="006D1BFD" w:rsidRPr="00BB053D" w:rsidRDefault="006D1BFD" w:rsidP="006D1BFD">
      <w:pPr>
        <w:pStyle w:val="Textonotapie"/>
        <w:spacing w:line="240" w:lineRule="auto"/>
        <w:rPr>
          <w:lang w:val="es-CO"/>
        </w:rPr>
      </w:pPr>
    </w:p>
  </w:footnote>
  <w:footnote w:id="39">
    <w:p w:rsidR="006D1BFD" w:rsidRDefault="006D1BFD" w:rsidP="006D1BFD">
      <w:pPr>
        <w:pStyle w:val="Textonotapie"/>
        <w:rPr>
          <w:rFonts w:cs="Calibri"/>
          <w:lang w:val="es-CO"/>
        </w:rPr>
      </w:pPr>
      <w:r>
        <w:rPr>
          <w:rStyle w:val="Refdenotaalpie"/>
        </w:rPr>
        <w:footnoteRef/>
      </w:r>
      <w:r>
        <w:t xml:space="preserve"> Folios 302 y 303 cuaderno 1.</w:t>
      </w:r>
    </w:p>
  </w:footnote>
  <w:footnote w:id="40">
    <w:p w:rsidR="006D1BFD" w:rsidRDefault="006D1BFD" w:rsidP="006D1BFD">
      <w:pPr>
        <w:pStyle w:val="Textonotapie"/>
        <w:rPr>
          <w:lang w:val="es-CO"/>
        </w:rPr>
      </w:pPr>
      <w:r>
        <w:rPr>
          <w:rStyle w:val="Refdenotaalpie"/>
        </w:rPr>
        <w:footnoteRef/>
      </w:r>
      <w:r>
        <w:t xml:space="preserve"> </w:t>
      </w:r>
      <w:r>
        <w:rPr>
          <w:lang w:val="es-CO"/>
        </w:rPr>
        <w:t>Folios 376 a 382, cuaderno 1.</w:t>
      </w:r>
    </w:p>
  </w:footnote>
  <w:footnote w:id="41">
    <w:p w:rsidR="006D1BFD" w:rsidRPr="00595F82" w:rsidRDefault="006D1BFD" w:rsidP="006D1BFD">
      <w:pPr>
        <w:pStyle w:val="Textonotapie"/>
        <w:spacing w:line="240" w:lineRule="auto"/>
        <w:rPr>
          <w:lang w:val="es-CO"/>
        </w:rPr>
      </w:pPr>
      <w:r>
        <w:rPr>
          <w:rStyle w:val="Refdenotaalpie"/>
        </w:rPr>
        <w:footnoteRef/>
      </w:r>
      <w:r>
        <w:t xml:space="preserve"> </w:t>
      </w:r>
      <w:r w:rsidRPr="0020024D">
        <w:rPr>
          <w:i/>
        </w:rPr>
        <w:t>“</w:t>
      </w:r>
      <w:r w:rsidRPr="0020024D">
        <w:rPr>
          <w:rFonts w:cs="Arial"/>
          <w:bCs/>
          <w:i/>
          <w:shd w:val="clear" w:color="auto" w:fill="FFFFFF"/>
        </w:rPr>
        <w:t>Artículo 1056 C.Co. Asunción de Riesgos</w:t>
      </w:r>
      <w:r w:rsidRPr="00F06A73">
        <w:rPr>
          <w:rFonts w:cs="Arial"/>
          <w:bCs/>
          <w:shd w:val="clear" w:color="auto" w:fill="FFFFFF"/>
        </w:rPr>
        <w:t>.</w:t>
      </w:r>
      <w:r>
        <w:rPr>
          <w:rFonts w:cs="Arial"/>
          <w:bCs/>
          <w:shd w:val="clear" w:color="auto" w:fill="FFFFFF"/>
        </w:rPr>
        <w:t xml:space="preserve"> </w:t>
      </w:r>
      <w:r w:rsidRPr="00595F82">
        <w:rPr>
          <w:rFonts w:cs="Arial"/>
          <w:i/>
          <w:shd w:val="clear" w:color="auto" w:fill="FFFFFF"/>
        </w:rPr>
        <w:t>Con las restricciones legales, el asegurador pondrá, a su arbitrio, asumir todos o algunos de los riesgos a que</w:t>
      </w:r>
      <w:r w:rsidRPr="00595F82">
        <w:rPr>
          <w:rFonts w:cs="Arial"/>
          <w:shd w:val="clear" w:color="auto" w:fill="FFFFFF"/>
        </w:rPr>
        <w:t xml:space="preserve"> estén expuestos el interés o la cosa asegurados, el patrimonio o la persona del asegurado</w:t>
      </w:r>
      <w:r>
        <w:rPr>
          <w:rFonts w:cs="Arial"/>
          <w:shd w:val="clear" w:color="auto" w:fill="FFFFFF"/>
        </w:rPr>
        <w:t>”</w:t>
      </w:r>
      <w:r w:rsidRPr="00595F82">
        <w:rPr>
          <w:rFonts w:cs="Arial"/>
          <w:shd w:val="clear" w:color="auto" w:fill="FFFFFF"/>
        </w:rPr>
        <w:t>.</w:t>
      </w:r>
    </w:p>
  </w:footnote>
  <w:footnote w:id="42">
    <w:p w:rsidR="006D1BFD" w:rsidRDefault="006D1BFD" w:rsidP="006D1BFD">
      <w:pPr>
        <w:pStyle w:val="Textonotapie"/>
        <w:rPr>
          <w:rFonts w:cs="Calibri"/>
          <w:lang w:val="es-CO"/>
        </w:rPr>
      </w:pPr>
      <w:r>
        <w:rPr>
          <w:rStyle w:val="Refdenotaalpie"/>
        </w:rPr>
        <w:footnoteRef/>
      </w:r>
      <w:r>
        <w:t xml:space="preserve"> </w:t>
      </w:r>
      <w:r>
        <w:rPr>
          <w:lang w:val="es-CO"/>
        </w:rPr>
        <w:t>Folio 198, 201, 202 y 207,  cuaderno 1.</w:t>
      </w:r>
    </w:p>
  </w:footnote>
  <w:footnote w:id="43">
    <w:p w:rsidR="006D1BFD" w:rsidRDefault="006D1BFD" w:rsidP="006D1BFD">
      <w:pPr>
        <w:pStyle w:val="Textonotapie"/>
        <w:rPr>
          <w:lang w:val="es-CO"/>
        </w:rPr>
      </w:pPr>
      <w:r>
        <w:rPr>
          <w:rStyle w:val="Refdenotaalpie"/>
        </w:rPr>
        <w:footnoteRef/>
      </w:r>
      <w:r>
        <w:t xml:space="preserve"> </w:t>
      </w:r>
      <w:r>
        <w:rPr>
          <w:lang w:val="es-CO"/>
        </w:rPr>
        <w:t>Folio 207, cuaderno 1.</w:t>
      </w:r>
    </w:p>
  </w:footnote>
  <w:footnote w:id="44">
    <w:p w:rsidR="006D1BFD" w:rsidRDefault="006D1BFD" w:rsidP="006D1BFD">
      <w:pPr>
        <w:pStyle w:val="Textonotapie"/>
        <w:rPr>
          <w:lang w:val="es-CO"/>
        </w:rPr>
      </w:pPr>
      <w:r>
        <w:rPr>
          <w:rStyle w:val="Refdenotaalpie"/>
        </w:rPr>
        <w:footnoteRef/>
      </w:r>
      <w:r>
        <w:t xml:space="preserve"> </w:t>
      </w:r>
      <w:r>
        <w:rPr>
          <w:lang w:val="es-CO"/>
        </w:rPr>
        <w:t>Folios 289 y 290, cuaderno 1.</w:t>
      </w:r>
    </w:p>
  </w:footnote>
  <w:footnote w:id="45">
    <w:p w:rsidR="006D1BFD" w:rsidRDefault="006D1BFD" w:rsidP="006D1BFD">
      <w:pPr>
        <w:pStyle w:val="Textonotapie"/>
        <w:rPr>
          <w:lang w:val="es-CO"/>
        </w:rPr>
      </w:pPr>
      <w:r>
        <w:rPr>
          <w:rStyle w:val="Refdenotaalpie"/>
        </w:rPr>
        <w:footnoteRef/>
      </w:r>
      <w:r>
        <w:t xml:space="preserve"> </w:t>
      </w:r>
      <w:r>
        <w:rPr>
          <w:lang w:val="es-CO"/>
        </w:rPr>
        <w:t>Folios 84 a 88, cuaderno 1.</w:t>
      </w:r>
    </w:p>
  </w:footnote>
  <w:footnote w:id="46">
    <w:p w:rsidR="006D1BFD" w:rsidRPr="00D95150" w:rsidRDefault="006D1BFD" w:rsidP="006D1BFD">
      <w:pPr>
        <w:pStyle w:val="Textonotapie"/>
        <w:rPr>
          <w:lang w:val="es-CO"/>
        </w:rPr>
      </w:pPr>
      <w:r w:rsidRPr="0062548E">
        <w:rPr>
          <w:rStyle w:val="Refdenotaalpie"/>
        </w:rPr>
        <w:footnoteRef/>
      </w:r>
      <w:r w:rsidRPr="0062548E">
        <w:t xml:space="preserve"> Estos oficios obran en el expediente, folios 200, 201, 204 y 205, cuaderno 1.</w:t>
      </w:r>
      <w:r>
        <w:t xml:space="preserve"> </w:t>
      </w:r>
    </w:p>
  </w:footnote>
  <w:footnote w:id="47">
    <w:p w:rsidR="006D1BFD" w:rsidRPr="00B66CDE" w:rsidRDefault="006D1BFD" w:rsidP="006D1BFD">
      <w:pPr>
        <w:pStyle w:val="Textonotapie"/>
        <w:rPr>
          <w:lang w:val="es-CO"/>
        </w:rPr>
      </w:pPr>
      <w:r>
        <w:rPr>
          <w:rStyle w:val="Refdenotaalpie"/>
        </w:rPr>
        <w:footnoteRef/>
      </w:r>
      <w:r>
        <w:t xml:space="preserve"> </w:t>
      </w:r>
      <w:r>
        <w:rPr>
          <w:lang w:val="es-CO"/>
        </w:rPr>
        <w:t xml:space="preserve">Folio 295, cuaderno 1.  </w:t>
      </w:r>
    </w:p>
  </w:footnote>
  <w:footnote w:id="48">
    <w:p w:rsidR="006D1BFD" w:rsidRDefault="006D1BFD" w:rsidP="006D1BFD">
      <w:pPr>
        <w:pStyle w:val="Textonotapie"/>
        <w:rPr>
          <w:lang w:val="es-CO"/>
        </w:rPr>
      </w:pPr>
      <w:r>
        <w:rPr>
          <w:rStyle w:val="Refdenotaalpie"/>
        </w:rPr>
        <w:footnoteRef/>
      </w:r>
      <w:r>
        <w:t xml:space="preserve"> </w:t>
      </w:r>
      <w:r>
        <w:rPr>
          <w:lang w:val="es-CO"/>
        </w:rPr>
        <w:t xml:space="preserve">Folios 238 a 241, cuaderno 2. </w:t>
      </w:r>
    </w:p>
  </w:footnote>
  <w:footnote w:id="49">
    <w:p w:rsidR="006D1BFD" w:rsidRDefault="006D1BFD" w:rsidP="006D1BFD">
      <w:pPr>
        <w:pStyle w:val="Textonotapie"/>
        <w:rPr>
          <w:lang w:val="es-CO"/>
        </w:rPr>
      </w:pPr>
      <w:r>
        <w:rPr>
          <w:rStyle w:val="Refdenotaalpie"/>
        </w:rPr>
        <w:footnoteRef/>
      </w:r>
      <w:r>
        <w:t xml:space="preserve"> </w:t>
      </w:r>
      <w:r>
        <w:rPr>
          <w:lang w:val="es-CO"/>
        </w:rPr>
        <w:t>Folios 246 a 251, cuaderno 2.</w:t>
      </w:r>
    </w:p>
  </w:footnote>
  <w:footnote w:id="50">
    <w:p w:rsidR="006D1BFD" w:rsidRPr="006036E0" w:rsidRDefault="006D1BFD" w:rsidP="006D1BFD">
      <w:pPr>
        <w:pStyle w:val="Textonotapie"/>
        <w:rPr>
          <w:lang w:val="es-CO"/>
        </w:rPr>
      </w:pPr>
      <w:r>
        <w:rPr>
          <w:rStyle w:val="Refdenotaalpie"/>
        </w:rPr>
        <w:footnoteRef/>
      </w:r>
      <w:r>
        <w:t xml:space="preserve"> </w:t>
      </w:r>
      <w:r>
        <w:rPr>
          <w:lang w:val="es-CO"/>
        </w:rPr>
        <w:t xml:space="preserve">Folio 55, vuelto cuaderno 1. </w:t>
      </w:r>
    </w:p>
  </w:footnote>
  <w:footnote w:id="51">
    <w:p w:rsidR="006D1BFD" w:rsidRDefault="006D1BFD" w:rsidP="006D1BFD">
      <w:pPr>
        <w:pStyle w:val="Textonotapie"/>
        <w:spacing w:line="240" w:lineRule="auto"/>
        <w:rPr>
          <w:lang w:val="es-CO"/>
        </w:rPr>
      </w:pPr>
      <w:r>
        <w:rPr>
          <w:rStyle w:val="Refdenotaalpie"/>
        </w:rPr>
        <w:footnoteRef/>
      </w:r>
      <w:r>
        <w:t xml:space="preserve"> </w:t>
      </w:r>
      <w:r>
        <w:rPr>
          <w:lang w:val="es-CO"/>
        </w:rPr>
        <w:t>De acuerdo con la información allegada al expediente, mediante sentencia de 26 de abril de 2012, en proceso radicado bajo el número 05001233100020070246700, demandante AYCO LTDA, demandado: Empresas Públicas de Medellín, el Tribunal Administrativo de Antioquia, Sala Segunda de Decisión, declaró la nulidad de las resoluciones 2950 de 2006 y 3174 de 2007. En la consulta de procesos ante esta Corporación figura el expediente radicado con el número 05001233100020070246701 (46.589) en trámite de segunda instancia, pendiente de fallo.</w:t>
      </w:r>
    </w:p>
    <w:p w:rsidR="006D1BFD" w:rsidRPr="000772DA" w:rsidRDefault="006D1BFD" w:rsidP="006D1BFD">
      <w:pPr>
        <w:pStyle w:val="Textonotapie"/>
        <w:rPr>
          <w:lang w:val="es-CO"/>
        </w:rPr>
      </w:pPr>
    </w:p>
  </w:footnote>
  <w:footnote w:id="52">
    <w:p w:rsidR="006D1BFD" w:rsidRPr="00255BC6" w:rsidRDefault="006D1BFD" w:rsidP="006D1BFD">
      <w:pPr>
        <w:pStyle w:val="NormalWeb"/>
        <w:shd w:val="clear" w:color="auto" w:fill="FFFFFF"/>
        <w:spacing w:before="0" w:beforeAutospacing="0" w:after="0" w:afterAutospacing="0"/>
        <w:rPr>
          <w:rFonts w:cs="Arial"/>
          <w:i/>
          <w:sz w:val="20"/>
          <w:szCs w:val="20"/>
        </w:rPr>
      </w:pPr>
      <w:r w:rsidRPr="00255BC6">
        <w:rPr>
          <w:rStyle w:val="Refdenotaalpie"/>
          <w:sz w:val="20"/>
          <w:szCs w:val="20"/>
        </w:rPr>
        <w:footnoteRef/>
      </w:r>
      <w:r w:rsidRPr="00255BC6">
        <w:rPr>
          <w:sz w:val="20"/>
          <w:szCs w:val="20"/>
        </w:rPr>
        <w:t xml:space="preserve"> </w:t>
      </w:r>
      <w:r w:rsidRPr="00255BC6">
        <w:rPr>
          <w:i/>
          <w:sz w:val="20"/>
          <w:szCs w:val="20"/>
        </w:rPr>
        <w:t>A</w:t>
      </w:r>
      <w:r w:rsidRPr="00255BC6">
        <w:rPr>
          <w:rFonts w:cs="Arial"/>
          <w:bCs/>
          <w:i/>
          <w:sz w:val="20"/>
          <w:szCs w:val="20"/>
        </w:rPr>
        <w:t>rticulo</w:t>
      </w:r>
      <w:r w:rsidRPr="00255BC6">
        <w:rPr>
          <w:rFonts w:cs="Arial"/>
          <w:i/>
          <w:sz w:val="20"/>
          <w:szCs w:val="20"/>
        </w:rPr>
        <w:t> </w:t>
      </w:r>
      <w:r w:rsidRPr="00255BC6">
        <w:rPr>
          <w:rFonts w:cs="Arial"/>
          <w:bCs/>
          <w:i/>
          <w:sz w:val="20"/>
          <w:szCs w:val="20"/>
        </w:rPr>
        <w:t>1502 c.c. R</w:t>
      </w:r>
      <w:r w:rsidRPr="00255BC6">
        <w:rPr>
          <w:rFonts w:cs="Arial"/>
          <w:bCs/>
          <w:i/>
          <w:iCs/>
          <w:sz w:val="20"/>
          <w:szCs w:val="20"/>
        </w:rPr>
        <w:t>equisitos para obligarse</w:t>
      </w:r>
      <w:r w:rsidRPr="00255BC6">
        <w:rPr>
          <w:rFonts w:cs="Arial"/>
          <w:bCs/>
          <w:i/>
          <w:sz w:val="20"/>
          <w:szCs w:val="20"/>
        </w:rPr>
        <w:t>.</w:t>
      </w:r>
      <w:r w:rsidRPr="00255BC6">
        <w:rPr>
          <w:rFonts w:cs="Arial"/>
          <w:i/>
          <w:sz w:val="20"/>
          <w:szCs w:val="20"/>
        </w:rPr>
        <w:t> “Para que una persona se obligue a otra por un acto o declaración de voluntad, es necesario:</w:t>
      </w:r>
    </w:p>
    <w:p w:rsidR="006D1BFD" w:rsidRPr="00255BC6" w:rsidRDefault="006D1BFD" w:rsidP="006D1BFD">
      <w:pPr>
        <w:shd w:val="clear" w:color="auto" w:fill="FFFFFF"/>
        <w:spacing w:line="240" w:lineRule="auto"/>
        <w:jc w:val="left"/>
        <w:rPr>
          <w:rFonts w:cs="Arial"/>
          <w:i/>
          <w:sz w:val="20"/>
          <w:szCs w:val="20"/>
        </w:rPr>
      </w:pPr>
      <w:r w:rsidRPr="00255BC6">
        <w:rPr>
          <w:rFonts w:cs="Arial"/>
          <w:i/>
          <w:sz w:val="20"/>
          <w:szCs w:val="20"/>
        </w:rPr>
        <w:t>“</w:t>
      </w:r>
      <w:r w:rsidRPr="006E5749">
        <w:rPr>
          <w:rFonts w:cs="Arial"/>
          <w:i/>
          <w:sz w:val="20"/>
          <w:szCs w:val="20"/>
        </w:rPr>
        <w:t>1o.) que sea legalmente capaz.</w:t>
      </w:r>
    </w:p>
    <w:p w:rsidR="006D1BFD" w:rsidRPr="006E5749" w:rsidRDefault="006D1BFD" w:rsidP="006D1BFD">
      <w:pPr>
        <w:shd w:val="clear" w:color="auto" w:fill="FFFFFF"/>
        <w:spacing w:line="240" w:lineRule="auto"/>
        <w:jc w:val="left"/>
        <w:rPr>
          <w:rFonts w:cs="Arial"/>
          <w:i/>
          <w:sz w:val="20"/>
          <w:szCs w:val="20"/>
        </w:rPr>
      </w:pPr>
    </w:p>
    <w:p w:rsidR="006D1BFD" w:rsidRPr="00255BC6" w:rsidRDefault="006D1BFD" w:rsidP="006D1BFD">
      <w:pPr>
        <w:shd w:val="clear" w:color="auto" w:fill="FFFFFF"/>
        <w:spacing w:line="240" w:lineRule="auto"/>
        <w:jc w:val="left"/>
        <w:rPr>
          <w:rFonts w:cs="Arial"/>
          <w:i/>
          <w:sz w:val="20"/>
          <w:szCs w:val="20"/>
        </w:rPr>
      </w:pPr>
      <w:r w:rsidRPr="00255BC6">
        <w:rPr>
          <w:rFonts w:cs="Arial"/>
          <w:i/>
          <w:sz w:val="20"/>
          <w:szCs w:val="20"/>
        </w:rPr>
        <w:t>“</w:t>
      </w:r>
      <w:r w:rsidRPr="006E5749">
        <w:rPr>
          <w:rFonts w:cs="Arial"/>
          <w:i/>
          <w:sz w:val="20"/>
          <w:szCs w:val="20"/>
        </w:rPr>
        <w:t>2o.) que consienta en dicho acto o declaración y su consentimiento no adolezca de vicio.</w:t>
      </w:r>
    </w:p>
    <w:p w:rsidR="006D1BFD" w:rsidRPr="006E5749" w:rsidRDefault="006D1BFD" w:rsidP="006D1BFD">
      <w:pPr>
        <w:shd w:val="clear" w:color="auto" w:fill="FFFFFF"/>
        <w:spacing w:line="240" w:lineRule="auto"/>
        <w:jc w:val="left"/>
        <w:rPr>
          <w:rFonts w:cs="Arial"/>
          <w:i/>
          <w:sz w:val="20"/>
          <w:szCs w:val="20"/>
        </w:rPr>
      </w:pPr>
    </w:p>
    <w:p w:rsidR="006D1BFD" w:rsidRPr="00255BC6" w:rsidRDefault="006D1BFD" w:rsidP="006D1BFD">
      <w:pPr>
        <w:shd w:val="clear" w:color="auto" w:fill="FFFFFF"/>
        <w:spacing w:line="240" w:lineRule="auto"/>
        <w:jc w:val="left"/>
        <w:rPr>
          <w:rFonts w:cs="Arial"/>
          <w:i/>
          <w:sz w:val="20"/>
          <w:szCs w:val="20"/>
        </w:rPr>
      </w:pPr>
      <w:r w:rsidRPr="00255BC6">
        <w:rPr>
          <w:rFonts w:cs="Arial"/>
          <w:i/>
          <w:sz w:val="20"/>
          <w:szCs w:val="20"/>
        </w:rPr>
        <w:t>“</w:t>
      </w:r>
      <w:r w:rsidRPr="006E5749">
        <w:rPr>
          <w:rFonts w:cs="Arial"/>
          <w:i/>
          <w:sz w:val="20"/>
          <w:szCs w:val="20"/>
        </w:rPr>
        <w:t>3o.) que recaiga sobre un objeto lícito.</w:t>
      </w:r>
    </w:p>
    <w:p w:rsidR="006D1BFD" w:rsidRPr="006E5749" w:rsidRDefault="006D1BFD" w:rsidP="006D1BFD">
      <w:pPr>
        <w:shd w:val="clear" w:color="auto" w:fill="FFFFFF"/>
        <w:spacing w:line="240" w:lineRule="auto"/>
        <w:jc w:val="left"/>
        <w:rPr>
          <w:rFonts w:cs="Arial"/>
          <w:i/>
          <w:sz w:val="20"/>
          <w:szCs w:val="20"/>
        </w:rPr>
      </w:pPr>
    </w:p>
    <w:p w:rsidR="006D1BFD" w:rsidRPr="00255BC6" w:rsidRDefault="006D1BFD" w:rsidP="006D1BFD">
      <w:pPr>
        <w:shd w:val="clear" w:color="auto" w:fill="FFFFFF"/>
        <w:spacing w:line="240" w:lineRule="auto"/>
        <w:jc w:val="left"/>
        <w:rPr>
          <w:rFonts w:cs="Arial"/>
          <w:i/>
          <w:sz w:val="20"/>
          <w:szCs w:val="20"/>
        </w:rPr>
      </w:pPr>
      <w:r w:rsidRPr="00255BC6">
        <w:rPr>
          <w:rFonts w:cs="Arial"/>
          <w:i/>
          <w:sz w:val="20"/>
          <w:szCs w:val="20"/>
        </w:rPr>
        <w:t>“</w:t>
      </w:r>
      <w:r w:rsidRPr="006E5749">
        <w:rPr>
          <w:rFonts w:cs="Arial"/>
          <w:i/>
          <w:sz w:val="20"/>
          <w:szCs w:val="20"/>
        </w:rPr>
        <w:t>4o.) que tenga una causa lícita.</w:t>
      </w:r>
    </w:p>
    <w:p w:rsidR="006D1BFD" w:rsidRPr="006E5749" w:rsidRDefault="006D1BFD" w:rsidP="006D1BFD">
      <w:pPr>
        <w:shd w:val="clear" w:color="auto" w:fill="FFFFFF"/>
        <w:spacing w:line="240" w:lineRule="auto"/>
        <w:jc w:val="left"/>
        <w:rPr>
          <w:rFonts w:cs="Arial"/>
          <w:i/>
          <w:sz w:val="20"/>
          <w:szCs w:val="20"/>
        </w:rPr>
      </w:pPr>
    </w:p>
    <w:p w:rsidR="006D1BFD" w:rsidRPr="006E5749" w:rsidRDefault="006D1BFD" w:rsidP="006D1BFD">
      <w:pPr>
        <w:shd w:val="clear" w:color="auto" w:fill="FFFFFF"/>
        <w:spacing w:line="240" w:lineRule="auto"/>
        <w:jc w:val="left"/>
        <w:rPr>
          <w:rFonts w:cs="Arial"/>
          <w:i/>
          <w:sz w:val="20"/>
          <w:szCs w:val="20"/>
        </w:rPr>
      </w:pPr>
      <w:r w:rsidRPr="00255BC6">
        <w:rPr>
          <w:rFonts w:cs="Arial"/>
          <w:i/>
          <w:sz w:val="20"/>
          <w:szCs w:val="20"/>
        </w:rPr>
        <w:t>“</w:t>
      </w:r>
      <w:r w:rsidRPr="006E5749">
        <w:rPr>
          <w:rFonts w:cs="Arial"/>
          <w:i/>
          <w:sz w:val="20"/>
          <w:szCs w:val="20"/>
        </w:rPr>
        <w:t>La capacidad legal de una persona consiste en poderse obligar por sí misma, sin el ministerio o la autorización de otra</w:t>
      </w:r>
      <w:r w:rsidRPr="00255BC6">
        <w:rPr>
          <w:rFonts w:cs="Arial"/>
          <w:i/>
          <w:sz w:val="20"/>
          <w:szCs w:val="20"/>
        </w:rPr>
        <w:t>”</w:t>
      </w:r>
      <w:r w:rsidRPr="006E5749">
        <w:rPr>
          <w:rFonts w:cs="Arial"/>
          <w:i/>
          <w:sz w:val="20"/>
          <w:szCs w:val="20"/>
        </w:rPr>
        <w:t>.</w:t>
      </w:r>
    </w:p>
    <w:p w:rsidR="006D1BFD" w:rsidRPr="00255BC6" w:rsidRDefault="006D1BFD" w:rsidP="006D1BFD">
      <w:pPr>
        <w:pStyle w:val="Textonotapie"/>
        <w:rPr>
          <w:lang w:val="es-CO"/>
        </w:rPr>
      </w:pPr>
    </w:p>
  </w:footnote>
  <w:footnote w:id="53">
    <w:p w:rsidR="006D1BFD" w:rsidRPr="007A0530" w:rsidRDefault="006D1BFD" w:rsidP="006D1BFD">
      <w:pPr>
        <w:spacing w:line="240" w:lineRule="auto"/>
        <w:ind w:right="-232"/>
        <w:rPr>
          <w:rFonts w:cs="Arial"/>
          <w:i/>
          <w:sz w:val="20"/>
          <w:szCs w:val="20"/>
        </w:rPr>
      </w:pPr>
      <w:r>
        <w:rPr>
          <w:rStyle w:val="Refdenotaalpie"/>
        </w:rPr>
        <w:footnoteRef/>
      </w:r>
      <w:r>
        <w:t xml:space="preserve"> </w:t>
      </w:r>
      <w:r w:rsidRPr="007A0530">
        <w:rPr>
          <w:rFonts w:cs="Arial"/>
          <w:bCs/>
          <w:i/>
          <w:color w:val="000000"/>
          <w:sz w:val="20"/>
          <w:szCs w:val="20"/>
          <w:shd w:val="clear" w:color="auto" w:fill="FFFFFF"/>
        </w:rPr>
        <w:t>“Artículo</w:t>
      </w:r>
      <w:r w:rsidRPr="007A0530">
        <w:rPr>
          <w:rFonts w:cs="Arial"/>
          <w:i/>
          <w:color w:val="000000"/>
          <w:sz w:val="20"/>
          <w:szCs w:val="20"/>
          <w:shd w:val="clear" w:color="auto" w:fill="FFFFFF"/>
        </w:rPr>
        <w:t> </w:t>
      </w:r>
      <w:r w:rsidRPr="007A0530">
        <w:rPr>
          <w:rFonts w:cs="Arial"/>
          <w:bCs/>
          <w:i/>
          <w:color w:val="000000"/>
          <w:sz w:val="20"/>
          <w:szCs w:val="20"/>
          <w:shd w:val="clear" w:color="auto" w:fill="FFFFFF"/>
        </w:rPr>
        <w:t>1054</w:t>
      </w:r>
      <w:r>
        <w:rPr>
          <w:rFonts w:cs="Arial"/>
          <w:bCs/>
          <w:i/>
          <w:color w:val="000000"/>
          <w:sz w:val="20"/>
          <w:szCs w:val="20"/>
          <w:shd w:val="clear" w:color="auto" w:fill="FFFFFF"/>
        </w:rPr>
        <w:t xml:space="preserve"> C.Co.</w:t>
      </w:r>
      <w:r w:rsidRPr="007A0530">
        <w:rPr>
          <w:rFonts w:cs="Arial"/>
          <w:bCs/>
          <w:i/>
          <w:color w:val="000000"/>
          <w:sz w:val="20"/>
          <w:szCs w:val="20"/>
          <w:shd w:val="clear" w:color="auto" w:fill="FFFFFF"/>
        </w:rPr>
        <w:t xml:space="preserve"> Definición de Riesgo</w:t>
      </w:r>
      <w:r w:rsidRPr="007A0530">
        <w:rPr>
          <w:rFonts w:cs="Arial"/>
          <w:b/>
          <w:bCs/>
          <w:i/>
          <w:color w:val="000000"/>
          <w:sz w:val="20"/>
          <w:szCs w:val="20"/>
          <w:shd w:val="clear" w:color="auto" w:fill="FFFFFF"/>
        </w:rPr>
        <w:t>.</w:t>
      </w:r>
      <w:r w:rsidRPr="007A0530">
        <w:rPr>
          <w:rFonts w:cs="Arial"/>
          <w:i/>
          <w:color w:val="000000"/>
          <w:sz w:val="20"/>
          <w:szCs w:val="20"/>
          <w:shd w:val="clear" w:color="auto" w:fill="FFFFFF"/>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006D1BFD" w:rsidRPr="00CA17BF" w:rsidRDefault="006D1BFD" w:rsidP="006D1BFD">
      <w:pPr>
        <w:pStyle w:val="Textonotapie"/>
        <w:spacing w:line="240" w:lineRule="auto"/>
        <w:rPr>
          <w:lang w:val="es-CO"/>
        </w:rPr>
      </w:pPr>
    </w:p>
  </w:footnote>
  <w:footnote w:id="54">
    <w:p w:rsidR="006D1BFD" w:rsidRPr="00364A14" w:rsidRDefault="006D1BFD" w:rsidP="006D1BFD">
      <w:pPr>
        <w:pStyle w:val="Textonotapie"/>
        <w:spacing w:line="240" w:lineRule="auto"/>
        <w:rPr>
          <w:rFonts w:cs="Arial"/>
          <w:i/>
          <w:color w:val="000000"/>
          <w:shd w:val="clear" w:color="auto" w:fill="FFFFFF"/>
        </w:rPr>
      </w:pPr>
      <w:r>
        <w:rPr>
          <w:rStyle w:val="Refdenotaalpie"/>
        </w:rPr>
        <w:footnoteRef/>
      </w:r>
      <w:r>
        <w:t xml:space="preserve"> </w:t>
      </w:r>
      <w:r w:rsidRPr="007A0530">
        <w:rPr>
          <w:i/>
        </w:rPr>
        <w:t>“</w:t>
      </w:r>
      <w:r w:rsidRPr="00364A14">
        <w:rPr>
          <w:rFonts w:cs="Arial"/>
          <w:bCs/>
          <w:i/>
          <w:color w:val="000000"/>
          <w:shd w:val="clear" w:color="auto" w:fill="FFFFFF"/>
        </w:rPr>
        <w:t>Artículo</w:t>
      </w:r>
      <w:r w:rsidRPr="00364A14">
        <w:rPr>
          <w:rFonts w:cs="Arial"/>
          <w:i/>
          <w:color w:val="000000"/>
          <w:shd w:val="clear" w:color="auto" w:fill="FFFFFF"/>
        </w:rPr>
        <w:t> </w:t>
      </w:r>
      <w:r w:rsidRPr="00364A14">
        <w:rPr>
          <w:rFonts w:cs="Arial"/>
          <w:bCs/>
          <w:i/>
          <w:color w:val="000000"/>
          <w:shd w:val="clear" w:color="auto" w:fill="FFFFFF"/>
        </w:rPr>
        <w:t>1072</w:t>
      </w:r>
      <w:r>
        <w:rPr>
          <w:rFonts w:cs="Arial"/>
          <w:bCs/>
          <w:i/>
          <w:color w:val="000000"/>
          <w:shd w:val="clear" w:color="auto" w:fill="FFFFFF"/>
        </w:rPr>
        <w:t xml:space="preserve"> C.Co</w:t>
      </w:r>
      <w:r w:rsidRPr="00364A14">
        <w:rPr>
          <w:rFonts w:cs="Arial"/>
          <w:bCs/>
          <w:i/>
          <w:color w:val="000000"/>
          <w:shd w:val="clear" w:color="auto" w:fill="FFFFFF"/>
        </w:rPr>
        <w:t>. Definición de Siniestro</w:t>
      </w:r>
      <w:r w:rsidRPr="00364A14">
        <w:rPr>
          <w:rFonts w:cs="Arial"/>
          <w:b/>
          <w:bCs/>
          <w:i/>
          <w:color w:val="000000"/>
          <w:shd w:val="clear" w:color="auto" w:fill="FFFFFF"/>
        </w:rPr>
        <w:t>.</w:t>
      </w:r>
      <w:r w:rsidRPr="00364A14">
        <w:rPr>
          <w:rFonts w:cs="Arial"/>
          <w:i/>
          <w:color w:val="000000"/>
          <w:shd w:val="clear" w:color="auto" w:fill="FFFFFF"/>
        </w:rPr>
        <w:t> Se denomina siniestro la realización del riesgo asegurado”.</w:t>
      </w:r>
    </w:p>
    <w:p w:rsidR="006D1BFD" w:rsidRPr="00364A14" w:rsidRDefault="006D1BFD" w:rsidP="006D1BFD">
      <w:pPr>
        <w:pStyle w:val="Textonotapie"/>
        <w:spacing w:line="240" w:lineRule="auto"/>
        <w:rPr>
          <w:i/>
          <w:lang w:val="es-CO"/>
        </w:rPr>
      </w:pPr>
    </w:p>
  </w:footnote>
  <w:footnote w:id="55">
    <w:p w:rsidR="006D1BFD" w:rsidRPr="00B63571" w:rsidRDefault="006D1BFD" w:rsidP="006D1BFD">
      <w:pPr>
        <w:spacing w:line="240" w:lineRule="auto"/>
        <w:ind w:right="-232"/>
        <w:rPr>
          <w:rFonts w:cs="Arial"/>
          <w:b/>
          <w:i/>
          <w:sz w:val="22"/>
          <w:szCs w:val="22"/>
        </w:rPr>
      </w:pPr>
      <w:r w:rsidRPr="00364A14">
        <w:rPr>
          <w:rStyle w:val="Refdenotaalpie"/>
          <w:sz w:val="20"/>
          <w:szCs w:val="20"/>
        </w:rPr>
        <w:footnoteRef/>
      </w:r>
      <w:r w:rsidRPr="00364A14">
        <w:rPr>
          <w:sz w:val="20"/>
          <w:szCs w:val="20"/>
        </w:rPr>
        <w:t xml:space="preserve"> </w:t>
      </w:r>
      <w:r w:rsidRPr="00364A14">
        <w:rPr>
          <w:rFonts w:cs="Arial"/>
          <w:bCs/>
          <w:i/>
          <w:color w:val="000000"/>
          <w:sz w:val="20"/>
          <w:szCs w:val="20"/>
          <w:shd w:val="clear" w:color="auto" w:fill="FFFFFF"/>
        </w:rPr>
        <w:t>“Artículo 1056 C.Co. Asunción de Riesgos</w:t>
      </w:r>
      <w:r w:rsidRPr="00364A14">
        <w:rPr>
          <w:rFonts w:cs="Arial"/>
          <w:b/>
          <w:bCs/>
          <w:i/>
          <w:color w:val="000000"/>
          <w:sz w:val="20"/>
          <w:szCs w:val="20"/>
          <w:shd w:val="clear" w:color="auto" w:fill="FFFFFF"/>
        </w:rPr>
        <w:t>.</w:t>
      </w:r>
      <w:r w:rsidRPr="00364A14">
        <w:rPr>
          <w:rFonts w:cs="Arial"/>
          <w:i/>
          <w:color w:val="000000"/>
          <w:sz w:val="20"/>
          <w:szCs w:val="20"/>
          <w:shd w:val="clear" w:color="auto" w:fill="FFFFFF"/>
        </w:rPr>
        <w:t> Con las restricciones legales, el asegurador pondrá, a su arbitrio, asumir todos o algunos de los riesgos a que estén expuestos el interés o la cosa asegurados, el patrimonio o la persona del asegurado</w:t>
      </w:r>
      <w:r w:rsidRPr="00B63571">
        <w:rPr>
          <w:rFonts w:cs="Arial"/>
          <w:i/>
          <w:color w:val="000000"/>
          <w:sz w:val="22"/>
          <w:szCs w:val="22"/>
          <w:shd w:val="clear" w:color="auto" w:fill="FFFFFF"/>
        </w:rPr>
        <w:t>”.</w:t>
      </w:r>
    </w:p>
    <w:p w:rsidR="006D1BFD" w:rsidRDefault="006D1BFD" w:rsidP="006D1BFD">
      <w:pPr>
        <w:ind w:right="-232"/>
        <w:rPr>
          <w:rFonts w:cs="Arial"/>
          <w:b/>
        </w:rPr>
      </w:pPr>
    </w:p>
    <w:p w:rsidR="006D1BFD" w:rsidRPr="00CD3891" w:rsidRDefault="006D1BFD" w:rsidP="006D1BFD">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D2" w:rsidRDefault="000660D2"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660D2" w:rsidRDefault="000660D2" w:rsidP="00643457">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D2" w:rsidRDefault="000660D2" w:rsidP="00643457">
    <w:pPr>
      <w:widowControl w:val="0"/>
      <w:autoSpaceDE w:val="0"/>
      <w:autoSpaceDN w:val="0"/>
      <w:adjustRightInd w:val="0"/>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5EC0"/>
    <w:multiLevelType w:val="multilevel"/>
    <w:tmpl w:val="0AA837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C82026D"/>
    <w:multiLevelType w:val="hybridMultilevel"/>
    <w:tmpl w:val="BCE40DFA"/>
    <w:lvl w:ilvl="0" w:tplc="7B24893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6B401F"/>
    <w:multiLevelType w:val="hybridMultilevel"/>
    <w:tmpl w:val="0E6CCB9E"/>
    <w:lvl w:ilvl="0" w:tplc="4DB6D70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212B1A"/>
    <w:multiLevelType w:val="hybridMultilevel"/>
    <w:tmpl w:val="666CDD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1F76EF"/>
    <w:multiLevelType w:val="hybridMultilevel"/>
    <w:tmpl w:val="D7F2FA5A"/>
    <w:lvl w:ilvl="0" w:tplc="7384318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ED6F7D"/>
    <w:multiLevelType w:val="hybridMultilevel"/>
    <w:tmpl w:val="BC2682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364B08"/>
    <w:multiLevelType w:val="multilevel"/>
    <w:tmpl w:val="0CEE47B2"/>
    <w:lvl w:ilvl="0">
      <w:start w:val="1"/>
      <w:numFmt w:val="decimal"/>
      <w:lvlText w:val="%1."/>
      <w:lvlJc w:val="left"/>
      <w:pPr>
        <w:ind w:left="607" w:hanging="465"/>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775" w:hanging="108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837" w:hanging="1440"/>
      </w:pPr>
      <w:rPr>
        <w:rFonts w:hint="default"/>
      </w:rPr>
    </w:lvl>
    <w:lvl w:ilvl="6">
      <w:start w:val="1"/>
      <w:numFmt w:val="decimal"/>
      <w:lvlText w:val="%1.%2.%3.%4.%5.%6.%7."/>
      <w:lvlJc w:val="left"/>
      <w:pPr>
        <w:ind w:left="6688" w:hanging="1440"/>
      </w:pPr>
      <w:rPr>
        <w:rFonts w:hint="default"/>
      </w:rPr>
    </w:lvl>
    <w:lvl w:ilvl="7">
      <w:start w:val="1"/>
      <w:numFmt w:val="decimal"/>
      <w:lvlText w:val="%1.%2.%3.%4.%5.%6.%7.%8."/>
      <w:lvlJc w:val="left"/>
      <w:pPr>
        <w:ind w:left="7899" w:hanging="1800"/>
      </w:pPr>
      <w:rPr>
        <w:rFonts w:hint="default"/>
      </w:rPr>
    </w:lvl>
    <w:lvl w:ilvl="8">
      <w:start w:val="1"/>
      <w:numFmt w:val="decimal"/>
      <w:lvlText w:val="%1.%2.%3.%4.%5.%6.%7.%8.%9."/>
      <w:lvlJc w:val="left"/>
      <w:pPr>
        <w:ind w:left="9110" w:hanging="2160"/>
      </w:pPr>
      <w:rPr>
        <w:rFonts w:hint="default"/>
      </w:rPr>
    </w:lvl>
  </w:abstractNum>
  <w:abstractNum w:abstractNumId="8" w15:restartNumberingAfterBreak="0">
    <w:nsid w:val="257655EE"/>
    <w:multiLevelType w:val="hybridMultilevel"/>
    <w:tmpl w:val="1C2C4BE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27411D57"/>
    <w:multiLevelType w:val="hybridMultilevel"/>
    <w:tmpl w:val="185858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1" w15:restartNumberingAfterBreak="0">
    <w:nsid w:val="2B9F1DC5"/>
    <w:multiLevelType w:val="hybridMultilevel"/>
    <w:tmpl w:val="E7D453B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A119F4"/>
    <w:multiLevelType w:val="multilevel"/>
    <w:tmpl w:val="56569F44"/>
    <w:lvl w:ilvl="0">
      <w:start w:val="1"/>
      <w:numFmt w:val="lowerLetter"/>
      <w:lvlText w:val="%1."/>
      <w:lvlJc w:val="left"/>
      <w:pPr>
        <w:tabs>
          <w:tab w:val="num" w:pos="1353"/>
        </w:tabs>
        <w:ind w:left="1353" w:hanging="360"/>
      </w:pPr>
      <w:rPr>
        <w:sz w:val="20"/>
        <w:szCs w:val="20"/>
      </w:rPr>
    </w:lvl>
    <w:lvl w:ilvl="1" w:tentative="1">
      <w:start w:val="1"/>
      <w:numFmt w:val="lowerLetter"/>
      <w:lvlText w:val="%2."/>
      <w:lvlJc w:val="left"/>
      <w:pPr>
        <w:tabs>
          <w:tab w:val="num" w:pos="2073"/>
        </w:tabs>
        <w:ind w:left="2073" w:hanging="360"/>
      </w:pPr>
    </w:lvl>
    <w:lvl w:ilvl="2" w:tentative="1">
      <w:start w:val="1"/>
      <w:numFmt w:val="lowerLetter"/>
      <w:lvlText w:val="%3."/>
      <w:lvlJc w:val="left"/>
      <w:pPr>
        <w:tabs>
          <w:tab w:val="num" w:pos="2793"/>
        </w:tabs>
        <w:ind w:left="2793" w:hanging="360"/>
      </w:pPr>
    </w:lvl>
    <w:lvl w:ilvl="3" w:tentative="1">
      <w:start w:val="1"/>
      <w:numFmt w:val="lowerLetter"/>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Letter"/>
      <w:lvlText w:val="%6."/>
      <w:lvlJc w:val="left"/>
      <w:pPr>
        <w:tabs>
          <w:tab w:val="num" w:pos="4953"/>
        </w:tabs>
        <w:ind w:left="4953" w:hanging="360"/>
      </w:pPr>
    </w:lvl>
    <w:lvl w:ilvl="6" w:tentative="1">
      <w:start w:val="1"/>
      <w:numFmt w:val="lowerLetter"/>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Letter"/>
      <w:lvlText w:val="%9."/>
      <w:lvlJc w:val="left"/>
      <w:pPr>
        <w:tabs>
          <w:tab w:val="num" w:pos="7113"/>
        </w:tabs>
        <w:ind w:left="7113" w:hanging="360"/>
      </w:pPr>
    </w:lvl>
  </w:abstractNum>
  <w:abstractNum w:abstractNumId="15" w15:restartNumberingAfterBreak="0">
    <w:nsid w:val="3BC4035E"/>
    <w:multiLevelType w:val="multilevel"/>
    <w:tmpl w:val="2446EE86"/>
    <w:lvl w:ilvl="0">
      <w:start w:val="4"/>
      <w:numFmt w:val="decimal"/>
      <w:lvlText w:val="%1."/>
      <w:lvlJc w:val="left"/>
      <w:pPr>
        <w:ind w:left="585" w:hanging="585"/>
      </w:pPr>
      <w:rPr>
        <w:rFonts w:hint="default"/>
      </w:rPr>
    </w:lvl>
    <w:lvl w:ilvl="1">
      <w:start w:val="1"/>
      <w:numFmt w:val="decimal"/>
      <w:lvlText w:val="%1.%2."/>
      <w:lvlJc w:val="left"/>
      <w:pPr>
        <w:ind w:left="1642" w:hanging="720"/>
      </w:pPr>
      <w:rPr>
        <w:rFonts w:hint="default"/>
      </w:rPr>
    </w:lvl>
    <w:lvl w:ilvl="2">
      <w:start w:val="1"/>
      <w:numFmt w:val="decimal"/>
      <w:lvlText w:val="%1.%2.%3."/>
      <w:lvlJc w:val="left"/>
      <w:pPr>
        <w:ind w:left="2564" w:hanging="720"/>
      </w:pPr>
      <w:rPr>
        <w:rFonts w:hint="default"/>
        <w:b/>
      </w:rPr>
    </w:lvl>
    <w:lvl w:ilvl="3">
      <w:start w:val="1"/>
      <w:numFmt w:val="decimal"/>
      <w:lvlText w:val="%1.%2.%3.%4."/>
      <w:lvlJc w:val="left"/>
      <w:pPr>
        <w:ind w:left="3846"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536" w:hanging="2160"/>
      </w:pPr>
      <w:rPr>
        <w:rFonts w:hint="default"/>
      </w:rPr>
    </w:lvl>
  </w:abstractNum>
  <w:abstractNum w:abstractNumId="16" w15:restartNumberingAfterBreak="0">
    <w:nsid w:val="3D787269"/>
    <w:multiLevelType w:val="hybridMultilevel"/>
    <w:tmpl w:val="11C61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4D5CFE"/>
    <w:multiLevelType w:val="hybridMultilevel"/>
    <w:tmpl w:val="D4CE9094"/>
    <w:lvl w:ilvl="0" w:tplc="E834AC32">
      <w:start w:val="1"/>
      <w:numFmt w:val="decimal"/>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0D868C5"/>
    <w:multiLevelType w:val="hybridMultilevel"/>
    <w:tmpl w:val="44388166"/>
    <w:lvl w:ilvl="0" w:tplc="FE7C8754">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9" w15:restartNumberingAfterBreak="0">
    <w:nsid w:val="46E32843"/>
    <w:multiLevelType w:val="hybridMultilevel"/>
    <w:tmpl w:val="6CF2E330"/>
    <w:lvl w:ilvl="0" w:tplc="270EC8F0">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3F4508"/>
    <w:multiLevelType w:val="hybridMultilevel"/>
    <w:tmpl w:val="8CB2261C"/>
    <w:lvl w:ilvl="0" w:tplc="BDD8AFC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1C83079"/>
    <w:multiLevelType w:val="hybridMultilevel"/>
    <w:tmpl w:val="C0D41780"/>
    <w:lvl w:ilvl="0" w:tplc="51A4987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5BF383B"/>
    <w:multiLevelType w:val="multilevel"/>
    <w:tmpl w:val="C6AA2270"/>
    <w:lvl w:ilvl="0">
      <w:start w:val="1"/>
      <w:numFmt w:val="decimal"/>
      <w:lvlText w:val="%1."/>
      <w:lvlJc w:val="left"/>
      <w:pPr>
        <w:ind w:left="465" w:hanging="46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66F7160"/>
    <w:multiLevelType w:val="hybridMultilevel"/>
    <w:tmpl w:val="DCA2B336"/>
    <w:lvl w:ilvl="0" w:tplc="2AD477F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EEF1109"/>
    <w:multiLevelType w:val="hybridMultilevel"/>
    <w:tmpl w:val="BD62D62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ABD7BC5"/>
    <w:multiLevelType w:val="multilevel"/>
    <w:tmpl w:val="31A86154"/>
    <w:lvl w:ilvl="0">
      <w:start w:val="4"/>
      <w:numFmt w:val="decimal"/>
      <w:lvlText w:val="%1."/>
      <w:lvlJc w:val="left"/>
      <w:pPr>
        <w:ind w:left="585" w:hanging="585"/>
      </w:pPr>
      <w:rPr>
        <w:rFonts w:hint="default"/>
      </w:rPr>
    </w:lvl>
    <w:lvl w:ilvl="1">
      <w:start w:val="1"/>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29" w15:restartNumberingAfterBreak="0">
    <w:nsid w:val="7E391C5D"/>
    <w:multiLevelType w:val="multilevel"/>
    <w:tmpl w:val="2446EE86"/>
    <w:lvl w:ilvl="0">
      <w:start w:val="4"/>
      <w:numFmt w:val="decimal"/>
      <w:lvlText w:val="%1."/>
      <w:lvlJc w:val="left"/>
      <w:pPr>
        <w:ind w:left="585" w:hanging="585"/>
      </w:pPr>
      <w:rPr>
        <w:rFonts w:hint="default"/>
      </w:rPr>
    </w:lvl>
    <w:lvl w:ilvl="1">
      <w:start w:val="1"/>
      <w:numFmt w:val="decimal"/>
      <w:lvlText w:val="%1.%2."/>
      <w:lvlJc w:val="left"/>
      <w:pPr>
        <w:ind w:left="1642" w:hanging="720"/>
      </w:pPr>
      <w:rPr>
        <w:rFonts w:hint="default"/>
      </w:rPr>
    </w:lvl>
    <w:lvl w:ilvl="2">
      <w:start w:val="1"/>
      <w:numFmt w:val="decimal"/>
      <w:lvlText w:val="%1.%2.%3."/>
      <w:lvlJc w:val="left"/>
      <w:pPr>
        <w:ind w:left="2564" w:hanging="720"/>
      </w:pPr>
      <w:rPr>
        <w:rFonts w:hint="default"/>
        <w:b/>
      </w:rPr>
    </w:lvl>
    <w:lvl w:ilvl="3">
      <w:start w:val="1"/>
      <w:numFmt w:val="decimal"/>
      <w:lvlText w:val="%1.%2.%3.%4."/>
      <w:lvlJc w:val="left"/>
      <w:pPr>
        <w:ind w:left="3846"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536" w:hanging="2160"/>
      </w:pPr>
      <w:rPr>
        <w:rFonts w:hint="default"/>
      </w:rPr>
    </w:lvl>
  </w:abstractNum>
  <w:num w:numId="1">
    <w:abstractNumId w:val="13"/>
  </w:num>
  <w:num w:numId="2">
    <w:abstractNumId w:val="25"/>
  </w:num>
  <w:num w:numId="3">
    <w:abstractNumId w:val="23"/>
  </w:num>
  <w:num w:numId="4">
    <w:abstractNumId w:val="10"/>
  </w:num>
  <w:num w:numId="5">
    <w:abstractNumId w:val="12"/>
  </w:num>
  <w:num w:numId="6">
    <w:abstractNumId w:val="4"/>
  </w:num>
  <w:num w:numId="7">
    <w:abstractNumId w:val="24"/>
  </w:num>
  <w:num w:numId="8">
    <w:abstractNumId w:val="5"/>
  </w:num>
  <w:num w:numId="9">
    <w:abstractNumId w:val="2"/>
  </w:num>
  <w:num w:numId="10">
    <w:abstractNumId w:val="17"/>
  </w:num>
  <w:num w:numId="11">
    <w:abstractNumId w:val="0"/>
  </w:num>
  <w:num w:numId="12">
    <w:abstractNumId w:val="1"/>
  </w:num>
  <w:num w:numId="13">
    <w:abstractNumId w:val="21"/>
  </w:num>
  <w:num w:numId="14">
    <w:abstractNumId w:val="9"/>
  </w:num>
  <w:num w:numId="15">
    <w:abstractNumId w:val="22"/>
  </w:num>
  <w:num w:numId="16">
    <w:abstractNumId w:val="18"/>
  </w:num>
  <w:num w:numId="17">
    <w:abstractNumId w:val="20"/>
  </w:num>
  <w:num w:numId="18">
    <w:abstractNumId w:val="7"/>
  </w:num>
  <w:num w:numId="19">
    <w:abstractNumId w:val="28"/>
  </w:num>
  <w:num w:numId="20">
    <w:abstractNumId w:val="15"/>
  </w:num>
  <w:num w:numId="21">
    <w:abstractNumId w:val="29"/>
  </w:num>
  <w:num w:numId="22">
    <w:abstractNumId w:val="16"/>
  </w:num>
  <w:num w:numId="23">
    <w:abstractNumId w:val="19"/>
  </w:num>
  <w:num w:numId="24">
    <w:abstractNumId w:val="26"/>
  </w:num>
  <w:num w:numId="25">
    <w:abstractNumId w:val="3"/>
  </w:num>
  <w:num w:numId="26">
    <w:abstractNumId w:val="8"/>
  </w:num>
  <w:num w:numId="27">
    <w:abstractNumId w:val="14"/>
  </w:num>
  <w:num w:numId="28">
    <w:abstractNumId w:val="6"/>
  </w:num>
  <w:num w:numId="29">
    <w:abstractNumId w:val="11"/>
  </w:num>
  <w:num w:numId="30">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95"/>
    <w:rsid w:val="000004FE"/>
    <w:rsid w:val="00000683"/>
    <w:rsid w:val="0000068F"/>
    <w:rsid w:val="0000071A"/>
    <w:rsid w:val="0000092F"/>
    <w:rsid w:val="00000A99"/>
    <w:rsid w:val="00000DFA"/>
    <w:rsid w:val="00000F07"/>
    <w:rsid w:val="00001193"/>
    <w:rsid w:val="00001334"/>
    <w:rsid w:val="00001679"/>
    <w:rsid w:val="00001828"/>
    <w:rsid w:val="0000194D"/>
    <w:rsid w:val="00001F90"/>
    <w:rsid w:val="000023FB"/>
    <w:rsid w:val="00002540"/>
    <w:rsid w:val="00002E38"/>
    <w:rsid w:val="00003330"/>
    <w:rsid w:val="00003632"/>
    <w:rsid w:val="00003639"/>
    <w:rsid w:val="00003649"/>
    <w:rsid w:val="000036B8"/>
    <w:rsid w:val="000039FF"/>
    <w:rsid w:val="000041F0"/>
    <w:rsid w:val="00004616"/>
    <w:rsid w:val="000049E1"/>
    <w:rsid w:val="00004D46"/>
    <w:rsid w:val="00004E1B"/>
    <w:rsid w:val="00004EA5"/>
    <w:rsid w:val="00004F05"/>
    <w:rsid w:val="000055D4"/>
    <w:rsid w:val="00005C71"/>
    <w:rsid w:val="00006254"/>
    <w:rsid w:val="00006BE4"/>
    <w:rsid w:val="000072F1"/>
    <w:rsid w:val="0000789A"/>
    <w:rsid w:val="00010098"/>
    <w:rsid w:val="000104E1"/>
    <w:rsid w:val="000107A5"/>
    <w:rsid w:val="00010DB5"/>
    <w:rsid w:val="00013045"/>
    <w:rsid w:val="00013063"/>
    <w:rsid w:val="00013590"/>
    <w:rsid w:val="00013D1A"/>
    <w:rsid w:val="00013DED"/>
    <w:rsid w:val="00013E02"/>
    <w:rsid w:val="00013EC4"/>
    <w:rsid w:val="000142B3"/>
    <w:rsid w:val="000144BA"/>
    <w:rsid w:val="00014595"/>
    <w:rsid w:val="000148A2"/>
    <w:rsid w:val="0001495C"/>
    <w:rsid w:val="000150BD"/>
    <w:rsid w:val="000151C6"/>
    <w:rsid w:val="000152A8"/>
    <w:rsid w:val="0001553B"/>
    <w:rsid w:val="00015C11"/>
    <w:rsid w:val="00015CA7"/>
    <w:rsid w:val="0001600A"/>
    <w:rsid w:val="0001611B"/>
    <w:rsid w:val="00016B27"/>
    <w:rsid w:val="00016B62"/>
    <w:rsid w:val="00016C41"/>
    <w:rsid w:val="00016F18"/>
    <w:rsid w:val="00017066"/>
    <w:rsid w:val="0001706A"/>
    <w:rsid w:val="00017A24"/>
    <w:rsid w:val="00017C26"/>
    <w:rsid w:val="00017F4B"/>
    <w:rsid w:val="000201DF"/>
    <w:rsid w:val="000203FE"/>
    <w:rsid w:val="00020AE9"/>
    <w:rsid w:val="00021148"/>
    <w:rsid w:val="00021342"/>
    <w:rsid w:val="000215B7"/>
    <w:rsid w:val="00021A58"/>
    <w:rsid w:val="0002287B"/>
    <w:rsid w:val="0002326F"/>
    <w:rsid w:val="000232F7"/>
    <w:rsid w:val="0002353C"/>
    <w:rsid w:val="00023675"/>
    <w:rsid w:val="00023946"/>
    <w:rsid w:val="00023B1F"/>
    <w:rsid w:val="00024457"/>
    <w:rsid w:val="00024E21"/>
    <w:rsid w:val="00025559"/>
    <w:rsid w:val="0002571A"/>
    <w:rsid w:val="0002581D"/>
    <w:rsid w:val="00025A21"/>
    <w:rsid w:val="00025C0C"/>
    <w:rsid w:val="00025C7D"/>
    <w:rsid w:val="000260FB"/>
    <w:rsid w:val="000262BF"/>
    <w:rsid w:val="000262F8"/>
    <w:rsid w:val="000263A9"/>
    <w:rsid w:val="000264E5"/>
    <w:rsid w:val="00026A6C"/>
    <w:rsid w:val="00026C64"/>
    <w:rsid w:val="00027837"/>
    <w:rsid w:val="00027A49"/>
    <w:rsid w:val="0003004D"/>
    <w:rsid w:val="00030283"/>
    <w:rsid w:val="000306DE"/>
    <w:rsid w:val="00031256"/>
    <w:rsid w:val="000313C0"/>
    <w:rsid w:val="00031536"/>
    <w:rsid w:val="00031AE2"/>
    <w:rsid w:val="00031CB4"/>
    <w:rsid w:val="00031F50"/>
    <w:rsid w:val="000320EB"/>
    <w:rsid w:val="000321D5"/>
    <w:rsid w:val="000323EA"/>
    <w:rsid w:val="00032C85"/>
    <w:rsid w:val="0003316F"/>
    <w:rsid w:val="00033185"/>
    <w:rsid w:val="00033A87"/>
    <w:rsid w:val="00033E47"/>
    <w:rsid w:val="0003405A"/>
    <w:rsid w:val="0003425B"/>
    <w:rsid w:val="00034270"/>
    <w:rsid w:val="00034796"/>
    <w:rsid w:val="000351EB"/>
    <w:rsid w:val="0003543C"/>
    <w:rsid w:val="00035DEC"/>
    <w:rsid w:val="0003621A"/>
    <w:rsid w:val="0003632B"/>
    <w:rsid w:val="0003635B"/>
    <w:rsid w:val="00036767"/>
    <w:rsid w:val="00036F1E"/>
    <w:rsid w:val="00036F2C"/>
    <w:rsid w:val="0003781F"/>
    <w:rsid w:val="0003790C"/>
    <w:rsid w:val="000379D8"/>
    <w:rsid w:val="0004070A"/>
    <w:rsid w:val="00040A0A"/>
    <w:rsid w:val="00041042"/>
    <w:rsid w:val="00041167"/>
    <w:rsid w:val="00041B7D"/>
    <w:rsid w:val="00041D8F"/>
    <w:rsid w:val="000422A5"/>
    <w:rsid w:val="00042364"/>
    <w:rsid w:val="00042941"/>
    <w:rsid w:val="00042A37"/>
    <w:rsid w:val="00042AFC"/>
    <w:rsid w:val="000433CD"/>
    <w:rsid w:val="000438CC"/>
    <w:rsid w:val="000439A7"/>
    <w:rsid w:val="00043A8A"/>
    <w:rsid w:val="00043A8D"/>
    <w:rsid w:val="000442CE"/>
    <w:rsid w:val="00044ABB"/>
    <w:rsid w:val="00044F75"/>
    <w:rsid w:val="000450DF"/>
    <w:rsid w:val="00045319"/>
    <w:rsid w:val="0004539B"/>
    <w:rsid w:val="00045652"/>
    <w:rsid w:val="00045C62"/>
    <w:rsid w:val="00045C63"/>
    <w:rsid w:val="000460C4"/>
    <w:rsid w:val="000462A9"/>
    <w:rsid w:val="0004636C"/>
    <w:rsid w:val="00046590"/>
    <w:rsid w:val="00046662"/>
    <w:rsid w:val="00047316"/>
    <w:rsid w:val="0004774F"/>
    <w:rsid w:val="00047AFA"/>
    <w:rsid w:val="00050CA0"/>
    <w:rsid w:val="00050E71"/>
    <w:rsid w:val="00051050"/>
    <w:rsid w:val="0005135E"/>
    <w:rsid w:val="000526AD"/>
    <w:rsid w:val="000527C6"/>
    <w:rsid w:val="00052B55"/>
    <w:rsid w:val="00052C48"/>
    <w:rsid w:val="00053041"/>
    <w:rsid w:val="0005333F"/>
    <w:rsid w:val="00053778"/>
    <w:rsid w:val="00053A3B"/>
    <w:rsid w:val="000540A5"/>
    <w:rsid w:val="0005420C"/>
    <w:rsid w:val="00054863"/>
    <w:rsid w:val="00054E45"/>
    <w:rsid w:val="00055411"/>
    <w:rsid w:val="00055A2C"/>
    <w:rsid w:val="00055D62"/>
    <w:rsid w:val="00056023"/>
    <w:rsid w:val="00056118"/>
    <w:rsid w:val="00056F8F"/>
    <w:rsid w:val="000570EE"/>
    <w:rsid w:val="0005739B"/>
    <w:rsid w:val="0005756D"/>
    <w:rsid w:val="0006047E"/>
    <w:rsid w:val="0006071E"/>
    <w:rsid w:val="00060962"/>
    <w:rsid w:val="00060A10"/>
    <w:rsid w:val="00060D51"/>
    <w:rsid w:val="00061169"/>
    <w:rsid w:val="00061758"/>
    <w:rsid w:val="000619AB"/>
    <w:rsid w:val="00061A5A"/>
    <w:rsid w:val="00061F45"/>
    <w:rsid w:val="000625ED"/>
    <w:rsid w:val="00062A8C"/>
    <w:rsid w:val="00062B3C"/>
    <w:rsid w:val="00062B77"/>
    <w:rsid w:val="00062EC8"/>
    <w:rsid w:val="0006314A"/>
    <w:rsid w:val="0006319A"/>
    <w:rsid w:val="00063833"/>
    <w:rsid w:val="00063E3C"/>
    <w:rsid w:val="00063FDB"/>
    <w:rsid w:val="000641E1"/>
    <w:rsid w:val="00064582"/>
    <w:rsid w:val="000646E6"/>
    <w:rsid w:val="00064D83"/>
    <w:rsid w:val="00064FE5"/>
    <w:rsid w:val="0006558B"/>
    <w:rsid w:val="00065764"/>
    <w:rsid w:val="0006576C"/>
    <w:rsid w:val="000660D2"/>
    <w:rsid w:val="0006631C"/>
    <w:rsid w:val="00066448"/>
    <w:rsid w:val="00067317"/>
    <w:rsid w:val="00067971"/>
    <w:rsid w:val="00067D9E"/>
    <w:rsid w:val="000701BA"/>
    <w:rsid w:val="00070556"/>
    <w:rsid w:val="00070591"/>
    <w:rsid w:val="000705E6"/>
    <w:rsid w:val="000708AE"/>
    <w:rsid w:val="00070961"/>
    <w:rsid w:val="00070CA3"/>
    <w:rsid w:val="00070F01"/>
    <w:rsid w:val="0007118E"/>
    <w:rsid w:val="000716A6"/>
    <w:rsid w:val="0007176F"/>
    <w:rsid w:val="00071BC7"/>
    <w:rsid w:val="00071DAB"/>
    <w:rsid w:val="000722F8"/>
    <w:rsid w:val="00073531"/>
    <w:rsid w:val="000739F5"/>
    <w:rsid w:val="00073DB3"/>
    <w:rsid w:val="00074474"/>
    <w:rsid w:val="000744DC"/>
    <w:rsid w:val="00074C0F"/>
    <w:rsid w:val="00074C56"/>
    <w:rsid w:val="00074E28"/>
    <w:rsid w:val="00075175"/>
    <w:rsid w:val="00075779"/>
    <w:rsid w:val="00075C94"/>
    <w:rsid w:val="00075D03"/>
    <w:rsid w:val="00076353"/>
    <w:rsid w:val="00076631"/>
    <w:rsid w:val="0007666C"/>
    <w:rsid w:val="0007684C"/>
    <w:rsid w:val="000769EB"/>
    <w:rsid w:val="00076AFF"/>
    <w:rsid w:val="00076E6A"/>
    <w:rsid w:val="000772DA"/>
    <w:rsid w:val="000775AE"/>
    <w:rsid w:val="00077B7D"/>
    <w:rsid w:val="00077E42"/>
    <w:rsid w:val="00077F0F"/>
    <w:rsid w:val="00080157"/>
    <w:rsid w:val="00080E5B"/>
    <w:rsid w:val="00081445"/>
    <w:rsid w:val="00081EC1"/>
    <w:rsid w:val="00081F74"/>
    <w:rsid w:val="00082852"/>
    <w:rsid w:val="00082E5A"/>
    <w:rsid w:val="00082FB7"/>
    <w:rsid w:val="0008343C"/>
    <w:rsid w:val="000838AB"/>
    <w:rsid w:val="00083AEA"/>
    <w:rsid w:val="00084197"/>
    <w:rsid w:val="00084306"/>
    <w:rsid w:val="000843C9"/>
    <w:rsid w:val="00084419"/>
    <w:rsid w:val="0008441D"/>
    <w:rsid w:val="00084F1A"/>
    <w:rsid w:val="0008509A"/>
    <w:rsid w:val="00085283"/>
    <w:rsid w:val="00085297"/>
    <w:rsid w:val="00085443"/>
    <w:rsid w:val="00086D58"/>
    <w:rsid w:val="00087092"/>
    <w:rsid w:val="00087372"/>
    <w:rsid w:val="00087597"/>
    <w:rsid w:val="0008798C"/>
    <w:rsid w:val="00087B20"/>
    <w:rsid w:val="00087C29"/>
    <w:rsid w:val="000902CC"/>
    <w:rsid w:val="000903DB"/>
    <w:rsid w:val="0009054D"/>
    <w:rsid w:val="00090768"/>
    <w:rsid w:val="00090865"/>
    <w:rsid w:val="00090A63"/>
    <w:rsid w:val="00090C49"/>
    <w:rsid w:val="00090E7D"/>
    <w:rsid w:val="00090F62"/>
    <w:rsid w:val="00091289"/>
    <w:rsid w:val="00091462"/>
    <w:rsid w:val="00091880"/>
    <w:rsid w:val="000923E9"/>
    <w:rsid w:val="000926A8"/>
    <w:rsid w:val="000926CF"/>
    <w:rsid w:val="0009298F"/>
    <w:rsid w:val="00093188"/>
    <w:rsid w:val="000931CB"/>
    <w:rsid w:val="000934F5"/>
    <w:rsid w:val="000935A8"/>
    <w:rsid w:val="00093953"/>
    <w:rsid w:val="00093C0F"/>
    <w:rsid w:val="00093CE2"/>
    <w:rsid w:val="00093DFF"/>
    <w:rsid w:val="00093FAE"/>
    <w:rsid w:val="0009429B"/>
    <w:rsid w:val="000946D8"/>
    <w:rsid w:val="000951D6"/>
    <w:rsid w:val="000954D9"/>
    <w:rsid w:val="00095753"/>
    <w:rsid w:val="000958F8"/>
    <w:rsid w:val="00095DC4"/>
    <w:rsid w:val="00095DE2"/>
    <w:rsid w:val="000964A2"/>
    <w:rsid w:val="0009687C"/>
    <w:rsid w:val="00097392"/>
    <w:rsid w:val="00097454"/>
    <w:rsid w:val="00097E28"/>
    <w:rsid w:val="00097FFE"/>
    <w:rsid w:val="000A0632"/>
    <w:rsid w:val="000A0D5E"/>
    <w:rsid w:val="000A0D60"/>
    <w:rsid w:val="000A10EB"/>
    <w:rsid w:val="000A1448"/>
    <w:rsid w:val="000A2287"/>
    <w:rsid w:val="000A272D"/>
    <w:rsid w:val="000A2F71"/>
    <w:rsid w:val="000A344C"/>
    <w:rsid w:val="000A39F7"/>
    <w:rsid w:val="000A3F4D"/>
    <w:rsid w:val="000A4053"/>
    <w:rsid w:val="000A43A4"/>
    <w:rsid w:val="000A4F3A"/>
    <w:rsid w:val="000A5AB6"/>
    <w:rsid w:val="000A5CC8"/>
    <w:rsid w:val="000A5F64"/>
    <w:rsid w:val="000A6106"/>
    <w:rsid w:val="000A6E70"/>
    <w:rsid w:val="000A700C"/>
    <w:rsid w:val="000A70F2"/>
    <w:rsid w:val="000A7800"/>
    <w:rsid w:val="000A79D1"/>
    <w:rsid w:val="000A7E9B"/>
    <w:rsid w:val="000A7F66"/>
    <w:rsid w:val="000B057D"/>
    <w:rsid w:val="000B0BFA"/>
    <w:rsid w:val="000B194A"/>
    <w:rsid w:val="000B1A77"/>
    <w:rsid w:val="000B1BC1"/>
    <w:rsid w:val="000B1DF9"/>
    <w:rsid w:val="000B23A8"/>
    <w:rsid w:val="000B2574"/>
    <w:rsid w:val="000B2B00"/>
    <w:rsid w:val="000B2B5A"/>
    <w:rsid w:val="000B2BFA"/>
    <w:rsid w:val="000B2C5A"/>
    <w:rsid w:val="000B3002"/>
    <w:rsid w:val="000B3567"/>
    <w:rsid w:val="000B393A"/>
    <w:rsid w:val="000B3BA8"/>
    <w:rsid w:val="000B3DD9"/>
    <w:rsid w:val="000B3DED"/>
    <w:rsid w:val="000B42D6"/>
    <w:rsid w:val="000B4594"/>
    <w:rsid w:val="000B45E5"/>
    <w:rsid w:val="000B46F7"/>
    <w:rsid w:val="000B48A9"/>
    <w:rsid w:val="000B4984"/>
    <w:rsid w:val="000B4DDE"/>
    <w:rsid w:val="000B511B"/>
    <w:rsid w:val="000B5679"/>
    <w:rsid w:val="000B572D"/>
    <w:rsid w:val="000B5AC9"/>
    <w:rsid w:val="000B5B53"/>
    <w:rsid w:val="000B5BD6"/>
    <w:rsid w:val="000B5D70"/>
    <w:rsid w:val="000B5DB0"/>
    <w:rsid w:val="000B60B3"/>
    <w:rsid w:val="000B615D"/>
    <w:rsid w:val="000B6230"/>
    <w:rsid w:val="000B67CE"/>
    <w:rsid w:val="000B697D"/>
    <w:rsid w:val="000B6B84"/>
    <w:rsid w:val="000B7682"/>
    <w:rsid w:val="000B7709"/>
    <w:rsid w:val="000B771B"/>
    <w:rsid w:val="000C0124"/>
    <w:rsid w:val="000C084B"/>
    <w:rsid w:val="000C0E08"/>
    <w:rsid w:val="000C0E6F"/>
    <w:rsid w:val="000C1256"/>
    <w:rsid w:val="000C160D"/>
    <w:rsid w:val="000C1CDB"/>
    <w:rsid w:val="000C1EB8"/>
    <w:rsid w:val="000C2328"/>
    <w:rsid w:val="000C26D8"/>
    <w:rsid w:val="000C2A8B"/>
    <w:rsid w:val="000C2EEE"/>
    <w:rsid w:val="000C3490"/>
    <w:rsid w:val="000C3779"/>
    <w:rsid w:val="000C3C31"/>
    <w:rsid w:val="000C3E07"/>
    <w:rsid w:val="000C4433"/>
    <w:rsid w:val="000C4568"/>
    <w:rsid w:val="000C4728"/>
    <w:rsid w:val="000C4880"/>
    <w:rsid w:val="000C55C9"/>
    <w:rsid w:val="000C6608"/>
    <w:rsid w:val="000C695F"/>
    <w:rsid w:val="000C6B13"/>
    <w:rsid w:val="000C6E1B"/>
    <w:rsid w:val="000C7086"/>
    <w:rsid w:val="000C74FA"/>
    <w:rsid w:val="000C7716"/>
    <w:rsid w:val="000C7A5D"/>
    <w:rsid w:val="000C7AAF"/>
    <w:rsid w:val="000C7D37"/>
    <w:rsid w:val="000C7F9D"/>
    <w:rsid w:val="000C7FA2"/>
    <w:rsid w:val="000D04CC"/>
    <w:rsid w:val="000D07BE"/>
    <w:rsid w:val="000D094E"/>
    <w:rsid w:val="000D0B34"/>
    <w:rsid w:val="000D0BCC"/>
    <w:rsid w:val="000D0BE5"/>
    <w:rsid w:val="000D12CC"/>
    <w:rsid w:val="000D1942"/>
    <w:rsid w:val="000D24AB"/>
    <w:rsid w:val="000D2564"/>
    <w:rsid w:val="000D25BF"/>
    <w:rsid w:val="000D27BB"/>
    <w:rsid w:val="000D2D7B"/>
    <w:rsid w:val="000D31B0"/>
    <w:rsid w:val="000D32C3"/>
    <w:rsid w:val="000D3467"/>
    <w:rsid w:val="000D3769"/>
    <w:rsid w:val="000D3852"/>
    <w:rsid w:val="000D3FCD"/>
    <w:rsid w:val="000D4055"/>
    <w:rsid w:val="000D44D5"/>
    <w:rsid w:val="000D47FA"/>
    <w:rsid w:val="000D4DED"/>
    <w:rsid w:val="000D501B"/>
    <w:rsid w:val="000D554F"/>
    <w:rsid w:val="000D5877"/>
    <w:rsid w:val="000D5D2D"/>
    <w:rsid w:val="000D5D3A"/>
    <w:rsid w:val="000D626B"/>
    <w:rsid w:val="000D6865"/>
    <w:rsid w:val="000D69A6"/>
    <w:rsid w:val="000D6B56"/>
    <w:rsid w:val="000D718B"/>
    <w:rsid w:val="000D7488"/>
    <w:rsid w:val="000E005F"/>
    <w:rsid w:val="000E0D85"/>
    <w:rsid w:val="000E17DE"/>
    <w:rsid w:val="000E1E7D"/>
    <w:rsid w:val="000E20DD"/>
    <w:rsid w:val="000E249D"/>
    <w:rsid w:val="000E2CB1"/>
    <w:rsid w:val="000E325E"/>
    <w:rsid w:val="000E353A"/>
    <w:rsid w:val="000E363C"/>
    <w:rsid w:val="000E3BA3"/>
    <w:rsid w:val="000E3F75"/>
    <w:rsid w:val="000E4030"/>
    <w:rsid w:val="000E41A9"/>
    <w:rsid w:val="000E41BC"/>
    <w:rsid w:val="000E4683"/>
    <w:rsid w:val="000E48A6"/>
    <w:rsid w:val="000E4DCC"/>
    <w:rsid w:val="000E4E92"/>
    <w:rsid w:val="000E52CC"/>
    <w:rsid w:val="000E52FF"/>
    <w:rsid w:val="000E531B"/>
    <w:rsid w:val="000E6697"/>
    <w:rsid w:val="000E68BA"/>
    <w:rsid w:val="000E6C2F"/>
    <w:rsid w:val="000E7239"/>
    <w:rsid w:val="000E76A0"/>
    <w:rsid w:val="000E7815"/>
    <w:rsid w:val="000E7A40"/>
    <w:rsid w:val="000F056B"/>
    <w:rsid w:val="000F05E1"/>
    <w:rsid w:val="000F08FA"/>
    <w:rsid w:val="000F0C2F"/>
    <w:rsid w:val="000F0C94"/>
    <w:rsid w:val="000F180A"/>
    <w:rsid w:val="000F1D02"/>
    <w:rsid w:val="000F22FF"/>
    <w:rsid w:val="000F2394"/>
    <w:rsid w:val="000F265A"/>
    <w:rsid w:val="000F26E1"/>
    <w:rsid w:val="000F2726"/>
    <w:rsid w:val="000F2A6A"/>
    <w:rsid w:val="000F2F49"/>
    <w:rsid w:val="000F3037"/>
    <w:rsid w:val="000F34A9"/>
    <w:rsid w:val="000F3716"/>
    <w:rsid w:val="000F3986"/>
    <w:rsid w:val="000F3BC3"/>
    <w:rsid w:val="000F3DF5"/>
    <w:rsid w:val="000F48E0"/>
    <w:rsid w:val="000F495A"/>
    <w:rsid w:val="000F5496"/>
    <w:rsid w:val="000F55D2"/>
    <w:rsid w:val="000F59B3"/>
    <w:rsid w:val="000F5B4E"/>
    <w:rsid w:val="000F5C20"/>
    <w:rsid w:val="000F61E7"/>
    <w:rsid w:val="000F65E7"/>
    <w:rsid w:val="000F68CB"/>
    <w:rsid w:val="000F6F29"/>
    <w:rsid w:val="000F7158"/>
    <w:rsid w:val="000F7BB7"/>
    <w:rsid w:val="000F7F26"/>
    <w:rsid w:val="001002CF"/>
    <w:rsid w:val="001004F9"/>
    <w:rsid w:val="00100AD0"/>
    <w:rsid w:val="00100AD9"/>
    <w:rsid w:val="00100C07"/>
    <w:rsid w:val="00100E68"/>
    <w:rsid w:val="001011E7"/>
    <w:rsid w:val="0010130B"/>
    <w:rsid w:val="00101534"/>
    <w:rsid w:val="0010199F"/>
    <w:rsid w:val="00101D70"/>
    <w:rsid w:val="00101FD2"/>
    <w:rsid w:val="00102224"/>
    <w:rsid w:val="00102685"/>
    <w:rsid w:val="00102F2B"/>
    <w:rsid w:val="00102F73"/>
    <w:rsid w:val="00102F9E"/>
    <w:rsid w:val="0010300A"/>
    <w:rsid w:val="001031B3"/>
    <w:rsid w:val="001031B7"/>
    <w:rsid w:val="001036A6"/>
    <w:rsid w:val="00103A87"/>
    <w:rsid w:val="00103DD6"/>
    <w:rsid w:val="001047F6"/>
    <w:rsid w:val="001048CF"/>
    <w:rsid w:val="0010497F"/>
    <w:rsid w:val="00104A1A"/>
    <w:rsid w:val="00104C98"/>
    <w:rsid w:val="00104D98"/>
    <w:rsid w:val="00104DE5"/>
    <w:rsid w:val="0010526A"/>
    <w:rsid w:val="0010554B"/>
    <w:rsid w:val="00105590"/>
    <w:rsid w:val="0010587D"/>
    <w:rsid w:val="00105C2B"/>
    <w:rsid w:val="0010609E"/>
    <w:rsid w:val="001069BB"/>
    <w:rsid w:val="0010721D"/>
    <w:rsid w:val="001072BE"/>
    <w:rsid w:val="0011056D"/>
    <w:rsid w:val="00110674"/>
    <w:rsid w:val="00110775"/>
    <w:rsid w:val="00110C75"/>
    <w:rsid w:val="0011113C"/>
    <w:rsid w:val="00111357"/>
    <w:rsid w:val="00111495"/>
    <w:rsid w:val="0011163C"/>
    <w:rsid w:val="001116E5"/>
    <w:rsid w:val="00111767"/>
    <w:rsid w:val="001118A8"/>
    <w:rsid w:val="0011227D"/>
    <w:rsid w:val="001126A8"/>
    <w:rsid w:val="001128FC"/>
    <w:rsid w:val="00112D09"/>
    <w:rsid w:val="001130E7"/>
    <w:rsid w:val="0011390B"/>
    <w:rsid w:val="00113F61"/>
    <w:rsid w:val="0011406E"/>
    <w:rsid w:val="001143E9"/>
    <w:rsid w:val="0011467E"/>
    <w:rsid w:val="001146DB"/>
    <w:rsid w:val="00114CA2"/>
    <w:rsid w:val="00115037"/>
    <w:rsid w:val="001152F9"/>
    <w:rsid w:val="001160A0"/>
    <w:rsid w:val="0011628F"/>
    <w:rsid w:val="0011633A"/>
    <w:rsid w:val="001165F5"/>
    <w:rsid w:val="0011692D"/>
    <w:rsid w:val="00116C60"/>
    <w:rsid w:val="00116ED6"/>
    <w:rsid w:val="00117245"/>
    <w:rsid w:val="00117B6F"/>
    <w:rsid w:val="00117F62"/>
    <w:rsid w:val="0012011C"/>
    <w:rsid w:val="0012045C"/>
    <w:rsid w:val="001204EE"/>
    <w:rsid w:val="00120A14"/>
    <w:rsid w:val="00120E8F"/>
    <w:rsid w:val="00120EA7"/>
    <w:rsid w:val="00120F4B"/>
    <w:rsid w:val="00122FBE"/>
    <w:rsid w:val="0012337E"/>
    <w:rsid w:val="001235E1"/>
    <w:rsid w:val="0012381F"/>
    <w:rsid w:val="00123982"/>
    <w:rsid w:val="00123BA8"/>
    <w:rsid w:val="00123C45"/>
    <w:rsid w:val="00123C47"/>
    <w:rsid w:val="00123D2C"/>
    <w:rsid w:val="00123E3F"/>
    <w:rsid w:val="00124A49"/>
    <w:rsid w:val="00124B07"/>
    <w:rsid w:val="001250FD"/>
    <w:rsid w:val="00125331"/>
    <w:rsid w:val="00125551"/>
    <w:rsid w:val="0012558D"/>
    <w:rsid w:val="00125C69"/>
    <w:rsid w:val="00125C6C"/>
    <w:rsid w:val="00126510"/>
    <w:rsid w:val="0012681B"/>
    <w:rsid w:val="0012685E"/>
    <w:rsid w:val="00126EFE"/>
    <w:rsid w:val="00126F79"/>
    <w:rsid w:val="001273CB"/>
    <w:rsid w:val="00127748"/>
    <w:rsid w:val="00127976"/>
    <w:rsid w:val="00127E59"/>
    <w:rsid w:val="001302AE"/>
    <w:rsid w:val="00130534"/>
    <w:rsid w:val="001306FC"/>
    <w:rsid w:val="00130FC6"/>
    <w:rsid w:val="00131311"/>
    <w:rsid w:val="0013154C"/>
    <w:rsid w:val="00131638"/>
    <w:rsid w:val="001316F1"/>
    <w:rsid w:val="00132027"/>
    <w:rsid w:val="0013204A"/>
    <w:rsid w:val="0013208D"/>
    <w:rsid w:val="001328E3"/>
    <w:rsid w:val="001329D5"/>
    <w:rsid w:val="00132B51"/>
    <w:rsid w:val="00132BA9"/>
    <w:rsid w:val="00132BAD"/>
    <w:rsid w:val="00132E1A"/>
    <w:rsid w:val="00133085"/>
    <w:rsid w:val="0013334F"/>
    <w:rsid w:val="00133452"/>
    <w:rsid w:val="00133490"/>
    <w:rsid w:val="0013389B"/>
    <w:rsid w:val="00133A67"/>
    <w:rsid w:val="00134B7A"/>
    <w:rsid w:val="00135176"/>
    <w:rsid w:val="001351DD"/>
    <w:rsid w:val="00135BE0"/>
    <w:rsid w:val="00135CC1"/>
    <w:rsid w:val="00135D10"/>
    <w:rsid w:val="00136419"/>
    <w:rsid w:val="00136487"/>
    <w:rsid w:val="0013679B"/>
    <w:rsid w:val="00136A61"/>
    <w:rsid w:val="001371BA"/>
    <w:rsid w:val="0013728F"/>
    <w:rsid w:val="00137937"/>
    <w:rsid w:val="00137A2F"/>
    <w:rsid w:val="00137C26"/>
    <w:rsid w:val="00137FBB"/>
    <w:rsid w:val="00140307"/>
    <w:rsid w:val="0014059F"/>
    <w:rsid w:val="00140CB5"/>
    <w:rsid w:val="00141037"/>
    <w:rsid w:val="001413E7"/>
    <w:rsid w:val="001414A3"/>
    <w:rsid w:val="001415A6"/>
    <w:rsid w:val="001416DF"/>
    <w:rsid w:val="00141EFE"/>
    <w:rsid w:val="00142212"/>
    <w:rsid w:val="0014265D"/>
    <w:rsid w:val="00142720"/>
    <w:rsid w:val="00142BCC"/>
    <w:rsid w:val="00142D43"/>
    <w:rsid w:val="00143350"/>
    <w:rsid w:val="00143396"/>
    <w:rsid w:val="001438E4"/>
    <w:rsid w:val="00143A81"/>
    <w:rsid w:val="00143CB4"/>
    <w:rsid w:val="00144304"/>
    <w:rsid w:val="001449DF"/>
    <w:rsid w:val="00144B4E"/>
    <w:rsid w:val="00144F7A"/>
    <w:rsid w:val="0014571E"/>
    <w:rsid w:val="0014576C"/>
    <w:rsid w:val="00145AB1"/>
    <w:rsid w:val="00145DE9"/>
    <w:rsid w:val="00146AFC"/>
    <w:rsid w:val="00146C5F"/>
    <w:rsid w:val="00146E52"/>
    <w:rsid w:val="00146E64"/>
    <w:rsid w:val="00147069"/>
    <w:rsid w:val="0014732D"/>
    <w:rsid w:val="001475AF"/>
    <w:rsid w:val="00147764"/>
    <w:rsid w:val="00147F6D"/>
    <w:rsid w:val="00147F79"/>
    <w:rsid w:val="0015002B"/>
    <w:rsid w:val="00150215"/>
    <w:rsid w:val="001502AE"/>
    <w:rsid w:val="0015078A"/>
    <w:rsid w:val="001509CA"/>
    <w:rsid w:val="00150D74"/>
    <w:rsid w:val="00150FB5"/>
    <w:rsid w:val="00151003"/>
    <w:rsid w:val="00151904"/>
    <w:rsid w:val="0015205C"/>
    <w:rsid w:val="00152390"/>
    <w:rsid w:val="001524DF"/>
    <w:rsid w:val="001526E5"/>
    <w:rsid w:val="00152DDD"/>
    <w:rsid w:val="00152F97"/>
    <w:rsid w:val="00153236"/>
    <w:rsid w:val="00153240"/>
    <w:rsid w:val="001535AA"/>
    <w:rsid w:val="001539DF"/>
    <w:rsid w:val="00153A2E"/>
    <w:rsid w:val="00153C48"/>
    <w:rsid w:val="00153CED"/>
    <w:rsid w:val="001543DC"/>
    <w:rsid w:val="00154990"/>
    <w:rsid w:val="0015562B"/>
    <w:rsid w:val="00155AE7"/>
    <w:rsid w:val="00155D82"/>
    <w:rsid w:val="001562E5"/>
    <w:rsid w:val="001565FF"/>
    <w:rsid w:val="0015683C"/>
    <w:rsid w:val="001569A9"/>
    <w:rsid w:val="00156D10"/>
    <w:rsid w:val="0015713B"/>
    <w:rsid w:val="00157168"/>
    <w:rsid w:val="0015721D"/>
    <w:rsid w:val="00157224"/>
    <w:rsid w:val="0015741E"/>
    <w:rsid w:val="001579CD"/>
    <w:rsid w:val="001579E6"/>
    <w:rsid w:val="00157AEB"/>
    <w:rsid w:val="00157F93"/>
    <w:rsid w:val="0016029B"/>
    <w:rsid w:val="0016034B"/>
    <w:rsid w:val="0016078C"/>
    <w:rsid w:val="001609BE"/>
    <w:rsid w:val="001617B8"/>
    <w:rsid w:val="00161891"/>
    <w:rsid w:val="00161AF9"/>
    <w:rsid w:val="00162082"/>
    <w:rsid w:val="001621B3"/>
    <w:rsid w:val="00162248"/>
    <w:rsid w:val="001629CA"/>
    <w:rsid w:val="00162B64"/>
    <w:rsid w:val="0016305C"/>
    <w:rsid w:val="00163E82"/>
    <w:rsid w:val="00163FD6"/>
    <w:rsid w:val="001642D5"/>
    <w:rsid w:val="001642FC"/>
    <w:rsid w:val="00164C0A"/>
    <w:rsid w:val="00164C96"/>
    <w:rsid w:val="00164F12"/>
    <w:rsid w:val="00165507"/>
    <w:rsid w:val="00165628"/>
    <w:rsid w:val="00165A48"/>
    <w:rsid w:val="00166260"/>
    <w:rsid w:val="001664D1"/>
    <w:rsid w:val="00166D9A"/>
    <w:rsid w:val="00167243"/>
    <w:rsid w:val="00167551"/>
    <w:rsid w:val="00167BBD"/>
    <w:rsid w:val="00167C33"/>
    <w:rsid w:val="00167F39"/>
    <w:rsid w:val="001700B5"/>
    <w:rsid w:val="001701C9"/>
    <w:rsid w:val="00170494"/>
    <w:rsid w:val="001709C8"/>
    <w:rsid w:val="00170D1E"/>
    <w:rsid w:val="00170DDF"/>
    <w:rsid w:val="00171121"/>
    <w:rsid w:val="001711CC"/>
    <w:rsid w:val="0017137C"/>
    <w:rsid w:val="00171503"/>
    <w:rsid w:val="0017160B"/>
    <w:rsid w:val="00171E82"/>
    <w:rsid w:val="00171F50"/>
    <w:rsid w:val="00172353"/>
    <w:rsid w:val="00172776"/>
    <w:rsid w:val="00172942"/>
    <w:rsid w:val="00172F16"/>
    <w:rsid w:val="001739E1"/>
    <w:rsid w:val="00174312"/>
    <w:rsid w:val="001744E6"/>
    <w:rsid w:val="00174DF7"/>
    <w:rsid w:val="00174E81"/>
    <w:rsid w:val="001751B7"/>
    <w:rsid w:val="00175220"/>
    <w:rsid w:val="0017535F"/>
    <w:rsid w:val="001755CA"/>
    <w:rsid w:val="001758E1"/>
    <w:rsid w:val="00175A7E"/>
    <w:rsid w:val="00175E59"/>
    <w:rsid w:val="00175E8E"/>
    <w:rsid w:val="0017601B"/>
    <w:rsid w:val="00176100"/>
    <w:rsid w:val="00176402"/>
    <w:rsid w:val="00176B30"/>
    <w:rsid w:val="00177780"/>
    <w:rsid w:val="0017791F"/>
    <w:rsid w:val="0017792F"/>
    <w:rsid w:val="00177A9C"/>
    <w:rsid w:val="00177DB2"/>
    <w:rsid w:val="00177FC8"/>
    <w:rsid w:val="0018002C"/>
    <w:rsid w:val="00180F1F"/>
    <w:rsid w:val="0018164E"/>
    <w:rsid w:val="001818F4"/>
    <w:rsid w:val="00181F73"/>
    <w:rsid w:val="00181F94"/>
    <w:rsid w:val="00182253"/>
    <w:rsid w:val="00182311"/>
    <w:rsid w:val="001824DF"/>
    <w:rsid w:val="001826B1"/>
    <w:rsid w:val="001827DC"/>
    <w:rsid w:val="00182860"/>
    <w:rsid w:val="001830A1"/>
    <w:rsid w:val="00183325"/>
    <w:rsid w:val="00183754"/>
    <w:rsid w:val="00183B36"/>
    <w:rsid w:val="00183B89"/>
    <w:rsid w:val="00183F9E"/>
    <w:rsid w:val="00184384"/>
    <w:rsid w:val="0018480F"/>
    <w:rsid w:val="00184823"/>
    <w:rsid w:val="00184883"/>
    <w:rsid w:val="00184F7D"/>
    <w:rsid w:val="001852A9"/>
    <w:rsid w:val="00185455"/>
    <w:rsid w:val="0018589B"/>
    <w:rsid w:val="00185BE8"/>
    <w:rsid w:val="00185DF2"/>
    <w:rsid w:val="00186433"/>
    <w:rsid w:val="0018667A"/>
    <w:rsid w:val="00186AC5"/>
    <w:rsid w:val="00186F53"/>
    <w:rsid w:val="00186FCD"/>
    <w:rsid w:val="00187254"/>
    <w:rsid w:val="00187564"/>
    <w:rsid w:val="00187BDF"/>
    <w:rsid w:val="001900B1"/>
    <w:rsid w:val="00190526"/>
    <w:rsid w:val="001905C0"/>
    <w:rsid w:val="00190B67"/>
    <w:rsid w:val="00190BDA"/>
    <w:rsid w:val="00191284"/>
    <w:rsid w:val="00191445"/>
    <w:rsid w:val="001917CF"/>
    <w:rsid w:val="001917E3"/>
    <w:rsid w:val="00191B9E"/>
    <w:rsid w:val="00191C4E"/>
    <w:rsid w:val="00192133"/>
    <w:rsid w:val="00192322"/>
    <w:rsid w:val="00192934"/>
    <w:rsid w:val="0019295B"/>
    <w:rsid w:val="00192B55"/>
    <w:rsid w:val="00193652"/>
    <w:rsid w:val="001937A3"/>
    <w:rsid w:val="00193A12"/>
    <w:rsid w:val="00193F58"/>
    <w:rsid w:val="00194C71"/>
    <w:rsid w:val="0019524F"/>
    <w:rsid w:val="00195370"/>
    <w:rsid w:val="00195542"/>
    <w:rsid w:val="001956DD"/>
    <w:rsid w:val="001957C6"/>
    <w:rsid w:val="00195920"/>
    <w:rsid w:val="001959D7"/>
    <w:rsid w:val="00195C37"/>
    <w:rsid w:val="00195E74"/>
    <w:rsid w:val="0019641F"/>
    <w:rsid w:val="00196B97"/>
    <w:rsid w:val="00196EE5"/>
    <w:rsid w:val="00197331"/>
    <w:rsid w:val="00197EC0"/>
    <w:rsid w:val="00197FE9"/>
    <w:rsid w:val="001A061D"/>
    <w:rsid w:val="001A06B6"/>
    <w:rsid w:val="001A0C60"/>
    <w:rsid w:val="001A0DD9"/>
    <w:rsid w:val="001A1402"/>
    <w:rsid w:val="001A1538"/>
    <w:rsid w:val="001A18EA"/>
    <w:rsid w:val="001A1E10"/>
    <w:rsid w:val="001A24FD"/>
    <w:rsid w:val="001A25F0"/>
    <w:rsid w:val="001A2665"/>
    <w:rsid w:val="001A2840"/>
    <w:rsid w:val="001A2E45"/>
    <w:rsid w:val="001A2FA2"/>
    <w:rsid w:val="001A3165"/>
    <w:rsid w:val="001A3250"/>
    <w:rsid w:val="001A3396"/>
    <w:rsid w:val="001A3504"/>
    <w:rsid w:val="001A35F8"/>
    <w:rsid w:val="001A3F9A"/>
    <w:rsid w:val="001A4082"/>
    <w:rsid w:val="001A41AC"/>
    <w:rsid w:val="001A4485"/>
    <w:rsid w:val="001A4BF5"/>
    <w:rsid w:val="001A508D"/>
    <w:rsid w:val="001A52EB"/>
    <w:rsid w:val="001A604A"/>
    <w:rsid w:val="001A632A"/>
    <w:rsid w:val="001A6BB4"/>
    <w:rsid w:val="001A72AD"/>
    <w:rsid w:val="001A7DB3"/>
    <w:rsid w:val="001B09CA"/>
    <w:rsid w:val="001B0A12"/>
    <w:rsid w:val="001B0F84"/>
    <w:rsid w:val="001B1497"/>
    <w:rsid w:val="001B15F6"/>
    <w:rsid w:val="001B177E"/>
    <w:rsid w:val="001B1C4A"/>
    <w:rsid w:val="001B1D26"/>
    <w:rsid w:val="001B1EFF"/>
    <w:rsid w:val="001B22E6"/>
    <w:rsid w:val="001B2325"/>
    <w:rsid w:val="001B2647"/>
    <w:rsid w:val="001B2C3D"/>
    <w:rsid w:val="001B2F11"/>
    <w:rsid w:val="001B3038"/>
    <w:rsid w:val="001B3221"/>
    <w:rsid w:val="001B332A"/>
    <w:rsid w:val="001B33F6"/>
    <w:rsid w:val="001B36E3"/>
    <w:rsid w:val="001B4382"/>
    <w:rsid w:val="001B4C11"/>
    <w:rsid w:val="001B4C5E"/>
    <w:rsid w:val="001B5156"/>
    <w:rsid w:val="001B54C5"/>
    <w:rsid w:val="001B60FB"/>
    <w:rsid w:val="001B6109"/>
    <w:rsid w:val="001B6359"/>
    <w:rsid w:val="001B6A1E"/>
    <w:rsid w:val="001B7012"/>
    <w:rsid w:val="001B7088"/>
    <w:rsid w:val="001B7687"/>
    <w:rsid w:val="001B7AEB"/>
    <w:rsid w:val="001C0C73"/>
    <w:rsid w:val="001C0F3C"/>
    <w:rsid w:val="001C1042"/>
    <w:rsid w:val="001C11DD"/>
    <w:rsid w:val="001C1313"/>
    <w:rsid w:val="001C170F"/>
    <w:rsid w:val="001C1747"/>
    <w:rsid w:val="001C1BD5"/>
    <w:rsid w:val="001C2C4F"/>
    <w:rsid w:val="001C2C99"/>
    <w:rsid w:val="001C2F3E"/>
    <w:rsid w:val="001C3642"/>
    <w:rsid w:val="001C375D"/>
    <w:rsid w:val="001C38DA"/>
    <w:rsid w:val="001C39B0"/>
    <w:rsid w:val="001C3B9D"/>
    <w:rsid w:val="001C47A1"/>
    <w:rsid w:val="001C4F32"/>
    <w:rsid w:val="001C5631"/>
    <w:rsid w:val="001C5671"/>
    <w:rsid w:val="001C5A82"/>
    <w:rsid w:val="001C5C30"/>
    <w:rsid w:val="001C5E87"/>
    <w:rsid w:val="001C5EAC"/>
    <w:rsid w:val="001C6080"/>
    <w:rsid w:val="001C6370"/>
    <w:rsid w:val="001C6985"/>
    <w:rsid w:val="001C6D0F"/>
    <w:rsid w:val="001C7217"/>
    <w:rsid w:val="001C7304"/>
    <w:rsid w:val="001C74AD"/>
    <w:rsid w:val="001C7B79"/>
    <w:rsid w:val="001D002B"/>
    <w:rsid w:val="001D06AE"/>
    <w:rsid w:val="001D07EF"/>
    <w:rsid w:val="001D085D"/>
    <w:rsid w:val="001D1009"/>
    <w:rsid w:val="001D10FB"/>
    <w:rsid w:val="001D150E"/>
    <w:rsid w:val="001D176C"/>
    <w:rsid w:val="001D1863"/>
    <w:rsid w:val="001D1D8A"/>
    <w:rsid w:val="001D1E1B"/>
    <w:rsid w:val="001D22F7"/>
    <w:rsid w:val="001D2492"/>
    <w:rsid w:val="001D29F0"/>
    <w:rsid w:val="001D2CF4"/>
    <w:rsid w:val="001D2E8C"/>
    <w:rsid w:val="001D3352"/>
    <w:rsid w:val="001D370C"/>
    <w:rsid w:val="001D3841"/>
    <w:rsid w:val="001D391B"/>
    <w:rsid w:val="001D3CA3"/>
    <w:rsid w:val="001D3DEB"/>
    <w:rsid w:val="001D3F14"/>
    <w:rsid w:val="001D3F65"/>
    <w:rsid w:val="001D4334"/>
    <w:rsid w:val="001D4502"/>
    <w:rsid w:val="001D45B7"/>
    <w:rsid w:val="001D469F"/>
    <w:rsid w:val="001D4EAE"/>
    <w:rsid w:val="001D4F2A"/>
    <w:rsid w:val="001D52E5"/>
    <w:rsid w:val="001D585C"/>
    <w:rsid w:val="001D5BBA"/>
    <w:rsid w:val="001D5FF4"/>
    <w:rsid w:val="001D6366"/>
    <w:rsid w:val="001D6B91"/>
    <w:rsid w:val="001D6FE4"/>
    <w:rsid w:val="001D71F2"/>
    <w:rsid w:val="001D735C"/>
    <w:rsid w:val="001D7B51"/>
    <w:rsid w:val="001E01AD"/>
    <w:rsid w:val="001E0457"/>
    <w:rsid w:val="001E067D"/>
    <w:rsid w:val="001E0757"/>
    <w:rsid w:val="001E098D"/>
    <w:rsid w:val="001E0E48"/>
    <w:rsid w:val="001E170E"/>
    <w:rsid w:val="001E2054"/>
    <w:rsid w:val="001E2183"/>
    <w:rsid w:val="001E26A9"/>
    <w:rsid w:val="001E2A77"/>
    <w:rsid w:val="001E32C6"/>
    <w:rsid w:val="001E33B4"/>
    <w:rsid w:val="001E3495"/>
    <w:rsid w:val="001E3566"/>
    <w:rsid w:val="001E39F0"/>
    <w:rsid w:val="001E3D8D"/>
    <w:rsid w:val="001E4055"/>
    <w:rsid w:val="001E4547"/>
    <w:rsid w:val="001E4FCD"/>
    <w:rsid w:val="001E5708"/>
    <w:rsid w:val="001E57FC"/>
    <w:rsid w:val="001E6A84"/>
    <w:rsid w:val="001E7059"/>
    <w:rsid w:val="001E7166"/>
    <w:rsid w:val="001E71EC"/>
    <w:rsid w:val="001E7400"/>
    <w:rsid w:val="001E7632"/>
    <w:rsid w:val="001E78C1"/>
    <w:rsid w:val="001E799E"/>
    <w:rsid w:val="001E79C3"/>
    <w:rsid w:val="001E7E8B"/>
    <w:rsid w:val="001E7F63"/>
    <w:rsid w:val="001F0210"/>
    <w:rsid w:val="001F05AB"/>
    <w:rsid w:val="001F0996"/>
    <w:rsid w:val="001F0D0F"/>
    <w:rsid w:val="001F0F10"/>
    <w:rsid w:val="001F15AC"/>
    <w:rsid w:val="001F17DB"/>
    <w:rsid w:val="001F278D"/>
    <w:rsid w:val="001F2827"/>
    <w:rsid w:val="001F2CEB"/>
    <w:rsid w:val="001F2F82"/>
    <w:rsid w:val="001F39A1"/>
    <w:rsid w:val="001F3C2B"/>
    <w:rsid w:val="001F40B8"/>
    <w:rsid w:val="001F495C"/>
    <w:rsid w:val="001F4A51"/>
    <w:rsid w:val="001F4BD7"/>
    <w:rsid w:val="001F6263"/>
    <w:rsid w:val="001F6A33"/>
    <w:rsid w:val="001F6B09"/>
    <w:rsid w:val="001F6D86"/>
    <w:rsid w:val="001F75A8"/>
    <w:rsid w:val="0020024D"/>
    <w:rsid w:val="0020045A"/>
    <w:rsid w:val="0020067C"/>
    <w:rsid w:val="002006C8"/>
    <w:rsid w:val="00200792"/>
    <w:rsid w:val="002009B9"/>
    <w:rsid w:val="00200C9E"/>
    <w:rsid w:val="00200D1D"/>
    <w:rsid w:val="0020130B"/>
    <w:rsid w:val="00201352"/>
    <w:rsid w:val="0020160A"/>
    <w:rsid w:val="00201AF5"/>
    <w:rsid w:val="00202244"/>
    <w:rsid w:val="00202E63"/>
    <w:rsid w:val="00202E7C"/>
    <w:rsid w:val="002031E2"/>
    <w:rsid w:val="00203279"/>
    <w:rsid w:val="002034FF"/>
    <w:rsid w:val="00203525"/>
    <w:rsid w:val="0020361E"/>
    <w:rsid w:val="002037DD"/>
    <w:rsid w:val="00203893"/>
    <w:rsid w:val="00204031"/>
    <w:rsid w:val="00204067"/>
    <w:rsid w:val="00204316"/>
    <w:rsid w:val="00204397"/>
    <w:rsid w:val="00204534"/>
    <w:rsid w:val="002045F2"/>
    <w:rsid w:val="00205B0C"/>
    <w:rsid w:val="00205B82"/>
    <w:rsid w:val="00205D5C"/>
    <w:rsid w:val="002070F6"/>
    <w:rsid w:val="002100B9"/>
    <w:rsid w:val="00211132"/>
    <w:rsid w:val="0021125D"/>
    <w:rsid w:val="002116A2"/>
    <w:rsid w:val="00211948"/>
    <w:rsid w:val="00211FC5"/>
    <w:rsid w:val="00212366"/>
    <w:rsid w:val="00212825"/>
    <w:rsid w:val="00212A33"/>
    <w:rsid w:val="00212A42"/>
    <w:rsid w:val="00212EAB"/>
    <w:rsid w:val="0021342F"/>
    <w:rsid w:val="00213686"/>
    <w:rsid w:val="00213F54"/>
    <w:rsid w:val="00214B0C"/>
    <w:rsid w:val="00215250"/>
    <w:rsid w:val="002153E3"/>
    <w:rsid w:val="0021540C"/>
    <w:rsid w:val="0021593F"/>
    <w:rsid w:val="00215AFE"/>
    <w:rsid w:val="00215DEE"/>
    <w:rsid w:val="002162F9"/>
    <w:rsid w:val="002167A0"/>
    <w:rsid w:val="002168BD"/>
    <w:rsid w:val="002168EA"/>
    <w:rsid w:val="00216FD6"/>
    <w:rsid w:val="002178D8"/>
    <w:rsid w:val="00217BA1"/>
    <w:rsid w:val="00217C2E"/>
    <w:rsid w:val="0022009C"/>
    <w:rsid w:val="002200AD"/>
    <w:rsid w:val="002203AE"/>
    <w:rsid w:val="00220564"/>
    <w:rsid w:val="00220B84"/>
    <w:rsid w:val="00220BA7"/>
    <w:rsid w:val="00220C9D"/>
    <w:rsid w:val="002214C8"/>
    <w:rsid w:val="00221732"/>
    <w:rsid w:val="00221DCA"/>
    <w:rsid w:val="00221E02"/>
    <w:rsid w:val="002223D8"/>
    <w:rsid w:val="0022266B"/>
    <w:rsid w:val="00222E93"/>
    <w:rsid w:val="00223036"/>
    <w:rsid w:val="00223AB3"/>
    <w:rsid w:val="00223F9C"/>
    <w:rsid w:val="00224546"/>
    <w:rsid w:val="00225071"/>
    <w:rsid w:val="002255BB"/>
    <w:rsid w:val="002256F7"/>
    <w:rsid w:val="0022602D"/>
    <w:rsid w:val="002261AE"/>
    <w:rsid w:val="002261B3"/>
    <w:rsid w:val="00226384"/>
    <w:rsid w:val="002265BE"/>
    <w:rsid w:val="002266BC"/>
    <w:rsid w:val="00226776"/>
    <w:rsid w:val="0022690D"/>
    <w:rsid w:val="00226D7A"/>
    <w:rsid w:val="00227053"/>
    <w:rsid w:val="0022714C"/>
    <w:rsid w:val="0022719A"/>
    <w:rsid w:val="00227797"/>
    <w:rsid w:val="00227C2C"/>
    <w:rsid w:val="00227DAF"/>
    <w:rsid w:val="0023051E"/>
    <w:rsid w:val="002307B9"/>
    <w:rsid w:val="0023109E"/>
    <w:rsid w:val="00231315"/>
    <w:rsid w:val="002314B2"/>
    <w:rsid w:val="00231EC7"/>
    <w:rsid w:val="002321B9"/>
    <w:rsid w:val="0023220D"/>
    <w:rsid w:val="00232862"/>
    <w:rsid w:val="0023287D"/>
    <w:rsid w:val="002329C2"/>
    <w:rsid w:val="00232ADE"/>
    <w:rsid w:val="0023350E"/>
    <w:rsid w:val="00233A07"/>
    <w:rsid w:val="002342B7"/>
    <w:rsid w:val="00234489"/>
    <w:rsid w:val="002348DC"/>
    <w:rsid w:val="002348F0"/>
    <w:rsid w:val="00234C75"/>
    <w:rsid w:val="00235279"/>
    <w:rsid w:val="0023538B"/>
    <w:rsid w:val="0023539B"/>
    <w:rsid w:val="002355E3"/>
    <w:rsid w:val="00235846"/>
    <w:rsid w:val="00236121"/>
    <w:rsid w:val="00236252"/>
    <w:rsid w:val="00236353"/>
    <w:rsid w:val="00236684"/>
    <w:rsid w:val="002369BE"/>
    <w:rsid w:val="00236B7D"/>
    <w:rsid w:val="00236E91"/>
    <w:rsid w:val="00237176"/>
    <w:rsid w:val="0023724D"/>
    <w:rsid w:val="0023743B"/>
    <w:rsid w:val="00237769"/>
    <w:rsid w:val="00237896"/>
    <w:rsid w:val="00237C23"/>
    <w:rsid w:val="0024050D"/>
    <w:rsid w:val="00240752"/>
    <w:rsid w:val="00240DAF"/>
    <w:rsid w:val="00240E0F"/>
    <w:rsid w:val="0024164C"/>
    <w:rsid w:val="0024190F"/>
    <w:rsid w:val="002420FF"/>
    <w:rsid w:val="00242225"/>
    <w:rsid w:val="002423FD"/>
    <w:rsid w:val="002432E8"/>
    <w:rsid w:val="00243429"/>
    <w:rsid w:val="00243F2B"/>
    <w:rsid w:val="00244301"/>
    <w:rsid w:val="002445A4"/>
    <w:rsid w:val="002446B5"/>
    <w:rsid w:val="0024479A"/>
    <w:rsid w:val="00244C30"/>
    <w:rsid w:val="00244F5D"/>
    <w:rsid w:val="002453D0"/>
    <w:rsid w:val="002461E8"/>
    <w:rsid w:val="00246749"/>
    <w:rsid w:val="00246BDB"/>
    <w:rsid w:val="00246EB1"/>
    <w:rsid w:val="00246F78"/>
    <w:rsid w:val="00247527"/>
    <w:rsid w:val="00247C59"/>
    <w:rsid w:val="00250035"/>
    <w:rsid w:val="002504A7"/>
    <w:rsid w:val="0025072E"/>
    <w:rsid w:val="002507D5"/>
    <w:rsid w:val="00250AF9"/>
    <w:rsid w:val="00251132"/>
    <w:rsid w:val="00251351"/>
    <w:rsid w:val="002517A0"/>
    <w:rsid w:val="00251DAB"/>
    <w:rsid w:val="002522C2"/>
    <w:rsid w:val="002524F1"/>
    <w:rsid w:val="00252B5E"/>
    <w:rsid w:val="00252BC4"/>
    <w:rsid w:val="0025303C"/>
    <w:rsid w:val="002532CD"/>
    <w:rsid w:val="002532E2"/>
    <w:rsid w:val="002537AA"/>
    <w:rsid w:val="00253A56"/>
    <w:rsid w:val="00253AB7"/>
    <w:rsid w:val="00253C4E"/>
    <w:rsid w:val="00254220"/>
    <w:rsid w:val="00254286"/>
    <w:rsid w:val="00254A51"/>
    <w:rsid w:val="00254A92"/>
    <w:rsid w:val="00254BB6"/>
    <w:rsid w:val="00254BEE"/>
    <w:rsid w:val="002552CF"/>
    <w:rsid w:val="0025532D"/>
    <w:rsid w:val="002558C1"/>
    <w:rsid w:val="00255AF4"/>
    <w:rsid w:val="00255BC6"/>
    <w:rsid w:val="00255FD9"/>
    <w:rsid w:val="0025686C"/>
    <w:rsid w:val="0025692F"/>
    <w:rsid w:val="00256BC5"/>
    <w:rsid w:val="002571B8"/>
    <w:rsid w:val="00257483"/>
    <w:rsid w:val="00257805"/>
    <w:rsid w:val="00257B4D"/>
    <w:rsid w:val="00257CDE"/>
    <w:rsid w:val="00257E22"/>
    <w:rsid w:val="002601B4"/>
    <w:rsid w:val="00261B56"/>
    <w:rsid w:val="0026213D"/>
    <w:rsid w:val="002624DE"/>
    <w:rsid w:val="002625B1"/>
    <w:rsid w:val="0026260D"/>
    <w:rsid w:val="0026267C"/>
    <w:rsid w:val="00262EE4"/>
    <w:rsid w:val="00262F16"/>
    <w:rsid w:val="00262FB9"/>
    <w:rsid w:val="0026396B"/>
    <w:rsid w:val="002639F9"/>
    <w:rsid w:val="00263CBC"/>
    <w:rsid w:val="00263E1D"/>
    <w:rsid w:val="00263F56"/>
    <w:rsid w:val="00263F5E"/>
    <w:rsid w:val="00263FA2"/>
    <w:rsid w:val="002643F7"/>
    <w:rsid w:val="00264775"/>
    <w:rsid w:val="002647C3"/>
    <w:rsid w:val="0026514F"/>
    <w:rsid w:val="002652D6"/>
    <w:rsid w:val="0026563D"/>
    <w:rsid w:val="002659C4"/>
    <w:rsid w:val="00265ACF"/>
    <w:rsid w:val="00265CBC"/>
    <w:rsid w:val="00265D85"/>
    <w:rsid w:val="00266100"/>
    <w:rsid w:val="0026623F"/>
    <w:rsid w:val="0026626E"/>
    <w:rsid w:val="00266298"/>
    <w:rsid w:val="00266472"/>
    <w:rsid w:val="00266A3D"/>
    <w:rsid w:val="00266CC7"/>
    <w:rsid w:val="0026750D"/>
    <w:rsid w:val="0026788E"/>
    <w:rsid w:val="0027012B"/>
    <w:rsid w:val="00270187"/>
    <w:rsid w:val="0027040D"/>
    <w:rsid w:val="00271675"/>
    <w:rsid w:val="00271AC8"/>
    <w:rsid w:val="00271E94"/>
    <w:rsid w:val="0027215F"/>
    <w:rsid w:val="00272594"/>
    <w:rsid w:val="00272861"/>
    <w:rsid w:val="002728AF"/>
    <w:rsid w:val="00272D37"/>
    <w:rsid w:val="00273A64"/>
    <w:rsid w:val="00273A80"/>
    <w:rsid w:val="00273BC0"/>
    <w:rsid w:val="002748C9"/>
    <w:rsid w:val="00274A86"/>
    <w:rsid w:val="00274BD0"/>
    <w:rsid w:val="00274C15"/>
    <w:rsid w:val="002752EE"/>
    <w:rsid w:val="002753DC"/>
    <w:rsid w:val="00275467"/>
    <w:rsid w:val="002756BE"/>
    <w:rsid w:val="002759BF"/>
    <w:rsid w:val="00275A73"/>
    <w:rsid w:val="00275BD1"/>
    <w:rsid w:val="0027664A"/>
    <w:rsid w:val="00276B82"/>
    <w:rsid w:val="00276D7E"/>
    <w:rsid w:val="00276EA5"/>
    <w:rsid w:val="00277145"/>
    <w:rsid w:val="0027714A"/>
    <w:rsid w:val="002775B8"/>
    <w:rsid w:val="00277E44"/>
    <w:rsid w:val="002800AE"/>
    <w:rsid w:val="002801A0"/>
    <w:rsid w:val="002804FA"/>
    <w:rsid w:val="00280B4B"/>
    <w:rsid w:val="00280BBE"/>
    <w:rsid w:val="00280C95"/>
    <w:rsid w:val="00280F23"/>
    <w:rsid w:val="00281262"/>
    <w:rsid w:val="002812AE"/>
    <w:rsid w:val="00281636"/>
    <w:rsid w:val="002818F2"/>
    <w:rsid w:val="00281FE6"/>
    <w:rsid w:val="002821DB"/>
    <w:rsid w:val="0028245D"/>
    <w:rsid w:val="002824A1"/>
    <w:rsid w:val="00282623"/>
    <w:rsid w:val="002827B9"/>
    <w:rsid w:val="00283254"/>
    <w:rsid w:val="00283897"/>
    <w:rsid w:val="00283A2B"/>
    <w:rsid w:val="00284571"/>
    <w:rsid w:val="00284742"/>
    <w:rsid w:val="00284979"/>
    <w:rsid w:val="00284B77"/>
    <w:rsid w:val="00284DE2"/>
    <w:rsid w:val="00284E7D"/>
    <w:rsid w:val="00284F4A"/>
    <w:rsid w:val="00285144"/>
    <w:rsid w:val="00285331"/>
    <w:rsid w:val="0028580D"/>
    <w:rsid w:val="00286738"/>
    <w:rsid w:val="00286DC0"/>
    <w:rsid w:val="002878B7"/>
    <w:rsid w:val="00287979"/>
    <w:rsid w:val="002879B9"/>
    <w:rsid w:val="00290FB3"/>
    <w:rsid w:val="00291070"/>
    <w:rsid w:val="002919F1"/>
    <w:rsid w:val="00291BF8"/>
    <w:rsid w:val="00291C5F"/>
    <w:rsid w:val="00291C94"/>
    <w:rsid w:val="00292500"/>
    <w:rsid w:val="00292C17"/>
    <w:rsid w:val="00292E39"/>
    <w:rsid w:val="002931F3"/>
    <w:rsid w:val="00293449"/>
    <w:rsid w:val="00293488"/>
    <w:rsid w:val="00293661"/>
    <w:rsid w:val="00293817"/>
    <w:rsid w:val="00293EA2"/>
    <w:rsid w:val="00294062"/>
    <w:rsid w:val="0029411C"/>
    <w:rsid w:val="002945BC"/>
    <w:rsid w:val="002949F2"/>
    <w:rsid w:val="00294B7C"/>
    <w:rsid w:val="00294CA6"/>
    <w:rsid w:val="0029533C"/>
    <w:rsid w:val="00295B53"/>
    <w:rsid w:val="00295DBC"/>
    <w:rsid w:val="00295E4B"/>
    <w:rsid w:val="00295FFC"/>
    <w:rsid w:val="0029732D"/>
    <w:rsid w:val="0029772C"/>
    <w:rsid w:val="00297F59"/>
    <w:rsid w:val="00297FF0"/>
    <w:rsid w:val="002A0CD2"/>
    <w:rsid w:val="002A0D0B"/>
    <w:rsid w:val="002A0F75"/>
    <w:rsid w:val="002A10CB"/>
    <w:rsid w:val="002A1561"/>
    <w:rsid w:val="002A1626"/>
    <w:rsid w:val="002A1A21"/>
    <w:rsid w:val="002A1F47"/>
    <w:rsid w:val="002A20E0"/>
    <w:rsid w:val="002A2123"/>
    <w:rsid w:val="002A216E"/>
    <w:rsid w:val="002A242E"/>
    <w:rsid w:val="002A249C"/>
    <w:rsid w:val="002A2E36"/>
    <w:rsid w:val="002A302A"/>
    <w:rsid w:val="002A351A"/>
    <w:rsid w:val="002A38C1"/>
    <w:rsid w:val="002A39E7"/>
    <w:rsid w:val="002A3D62"/>
    <w:rsid w:val="002A40F4"/>
    <w:rsid w:val="002A4298"/>
    <w:rsid w:val="002A43B8"/>
    <w:rsid w:val="002A452D"/>
    <w:rsid w:val="002A464F"/>
    <w:rsid w:val="002A477D"/>
    <w:rsid w:val="002A496D"/>
    <w:rsid w:val="002A4EA5"/>
    <w:rsid w:val="002A5DA1"/>
    <w:rsid w:val="002A5F66"/>
    <w:rsid w:val="002A5FB0"/>
    <w:rsid w:val="002A60BD"/>
    <w:rsid w:val="002A61FF"/>
    <w:rsid w:val="002A6236"/>
    <w:rsid w:val="002A6841"/>
    <w:rsid w:val="002A69BD"/>
    <w:rsid w:val="002A6D09"/>
    <w:rsid w:val="002A6EC6"/>
    <w:rsid w:val="002A7168"/>
    <w:rsid w:val="002A747D"/>
    <w:rsid w:val="002A78D6"/>
    <w:rsid w:val="002A7AB1"/>
    <w:rsid w:val="002A7E8A"/>
    <w:rsid w:val="002B042F"/>
    <w:rsid w:val="002B0CBE"/>
    <w:rsid w:val="002B0D30"/>
    <w:rsid w:val="002B1151"/>
    <w:rsid w:val="002B13A9"/>
    <w:rsid w:val="002B142B"/>
    <w:rsid w:val="002B1792"/>
    <w:rsid w:val="002B18FC"/>
    <w:rsid w:val="002B212D"/>
    <w:rsid w:val="002B2C34"/>
    <w:rsid w:val="002B32EC"/>
    <w:rsid w:val="002B38D8"/>
    <w:rsid w:val="002B39DD"/>
    <w:rsid w:val="002B3F0F"/>
    <w:rsid w:val="002B42E0"/>
    <w:rsid w:val="002B5240"/>
    <w:rsid w:val="002B52F4"/>
    <w:rsid w:val="002B5417"/>
    <w:rsid w:val="002B5548"/>
    <w:rsid w:val="002B5645"/>
    <w:rsid w:val="002B5674"/>
    <w:rsid w:val="002B5767"/>
    <w:rsid w:val="002B58EC"/>
    <w:rsid w:val="002B5979"/>
    <w:rsid w:val="002B5AF6"/>
    <w:rsid w:val="002B5B51"/>
    <w:rsid w:val="002B5F3D"/>
    <w:rsid w:val="002B6536"/>
    <w:rsid w:val="002B6579"/>
    <w:rsid w:val="002B6A76"/>
    <w:rsid w:val="002B6A8A"/>
    <w:rsid w:val="002B6D07"/>
    <w:rsid w:val="002B7631"/>
    <w:rsid w:val="002B7E65"/>
    <w:rsid w:val="002C0054"/>
    <w:rsid w:val="002C02D4"/>
    <w:rsid w:val="002C0BE4"/>
    <w:rsid w:val="002C0CA0"/>
    <w:rsid w:val="002C109F"/>
    <w:rsid w:val="002C1BAC"/>
    <w:rsid w:val="002C1DCF"/>
    <w:rsid w:val="002C1E98"/>
    <w:rsid w:val="002C2325"/>
    <w:rsid w:val="002C24E6"/>
    <w:rsid w:val="002C254E"/>
    <w:rsid w:val="002C293B"/>
    <w:rsid w:val="002C329E"/>
    <w:rsid w:val="002C336C"/>
    <w:rsid w:val="002C37C1"/>
    <w:rsid w:val="002C3C8F"/>
    <w:rsid w:val="002C428D"/>
    <w:rsid w:val="002C45D0"/>
    <w:rsid w:val="002C4749"/>
    <w:rsid w:val="002C4799"/>
    <w:rsid w:val="002C492B"/>
    <w:rsid w:val="002C496F"/>
    <w:rsid w:val="002C4B26"/>
    <w:rsid w:val="002C4B98"/>
    <w:rsid w:val="002C4E93"/>
    <w:rsid w:val="002C4FD7"/>
    <w:rsid w:val="002C4FE8"/>
    <w:rsid w:val="002C520F"/>
    <w:rsid w:val="002C544D"/>
    <w:rsid w:val="002C5DA3"/>
    <w:rsid w:val="002C6088"/>
    <w:rsid w:val="002C6089"/>
    <w:rsid w:val="002C61F9"/>
    <w:rsid w:val="002C6C64"/>
    <w:rsid w:val="002C6EA1"/>
    <w:rsid w:val="002C75F0"/>
    <w:rsid w:val="002C798C"/>
    <w:rsid w:val="002C7C95"/>
    <w:rsid w:val="002C7E38"/>
    <w:rsid w:val="002D0555"/>
    <w:rsid w:val="002D0710"/>
    <w:rsid w:val="002D0DB5"/>
    <w:rsid w:val="002D0FD8"/>
    <w:rsid w:val="002D0FF6"/>
    <w:rsid w:val="002D15F0"/>
    <w:rsid w:val="002D195E"/>
    <w:rsid w:val="002D1C6C"/>
    <w:rsid w:val="002D1D9B"/>
    <w:rsid w:val="002D2994"/>
    <w:rsid w:val="002D2A78"/>
    <w:rsid w:val="002D2C81"/>
    <w:rsid w:val="002D31E4"/>
    <w:rsid w:val="002D339F"/>
    <w:rsid w:val="002D41DE"/>
    <w:rsid w:val="002D4371"/>
    <w:rsid w:val="002D494C"/>
    <w:rsid w:val="002D4F82"/>
    <w:rsid w:val="002D5E88"/>
    <w:rsid w:val="002D6D54"/>
    <w:rsid w:val="002D6EAA"/>
    <w:rsid w:val="002D7849"/>
    <w:rsid w:val="002D7B63"/>
    <w:rsid w:val="002D7C61"/>
    <w:rsid w:val="002D7F97"/>
    <w:rsid w:val="002E012E"/>
    <w:rsid w:val="002E0228"/>
    <w:rsid w:val="002E0A64"/>
    <w:rsid w:val="002E0E48"/>
    <w:rsid w:val="002E0FF1"/>
    <w:rsid w:val="002E1395"/>
    <w:rsid w:val="002E18D7"/>
    <w:rsid w:val="002E2418"/>
    <w:rsid w:val="002E272C"/>
    <w:rsid w:val="002E2C97"/>
    <w:rsid w:val="002E305F"/>
    <w:rsid w:val="002E3228"/>
    <w:rsid w:val="002E35B5"/>
    <w:rsid w:val="002E37B1"/>
    <w:rsid w:val="002E43E0"/>
    <w:rsid w:val="002E4493"/>
    <w:rsid w:val="002E454F"/>
    <w:rsid w:val="002E4B61"/>
    <w:rsid w:val="002E50D4"/>
    <w:rsid w:val="002E52A1"/>
    <w:rsid w:val="002E56F3"/>
    <w:rsid w:val="002E5FCA"/>
    <w:rsid w:val="002E6392"/>
    <w:rsid w:val="002E6DFF"/>
    <w:rsid w:val="002E6EDC"/>
    <w:rsid w:val="002E6F6B"/>
    <w:rsid w:val="002E7086"/>
    <w:rsid w:val="002E784C"/>
    <w:rsid w:val="002E786D"/>
    <w:rsid w:val="002E798D"/>
    <w:rsid w:val="002E7A9D"/>
    <w:rsid w:val="002F015B"/>
    <w:rsid w:val="002F04F2"/>
    <w:rsid w:val="002F06E7"/>
    <w:rsid w:val="002F07A8"/>
    <w:rsid w:val="002F07B2"/>
    <w:rsid w:val="002F0AFA"/>
    <w:rsid w:val="002F0F27"/>
    <w:rsid w:val="002F10B7"/>
    <w:rsid w:val="002F1835"/>
    <w:rsid w:val="002F1B05"/>
    <w:rsid w:val="002F2165"/>
    <w:rsid w:val="002F238F"/>
    <w:rsid w:val="002F2E85"/>
    <w:rsid w:val="002F2F89"/>
    <w:rsid w:val="002F34A7"/>
    <w:rsid w:val="002F3D1B"/>
    <w:rsid w:val="002F42B5"/>
    <w:rsid w:val="002F4A73"/>
    <w:rsid w:val="002F4AB3"/>
    <w:rsid w:val="002F513A"/>
    <w:rsid w:val="002F561F"/>
    <w:rsid w:val="002F5A66"/>
    <w:rsid w:val="002F5C3D"/>
    <w:rsid w:val="002F5F83"/>
    <w:rsid w:val="002F6165"/>
    <w:rsid w:val="002F6B7F"/>
    <w:rsid w:val="002F6FA4"/>
    <w:rsid w:val="002F7320"/>
    <w:rsid w:val="002F749F"/>
    <w:rsid w:val="002F79B0"/>
    <w:rsid w:val="002F7A71"/>
    <w:rsid w:val="002F7D0C"/>
    <w:rsid w:val="002F7EDB"/>
    <w:rsid w:val="003006D5"/>
    <w:rsid w:val="00300761"/>
    <w:rsid w:val="0030085F"/>
    <w:rsid w:val="00300893"/>
    <w:rsid w:val="0030142D"/>
    <w:rsid w:val="003014FA"/>
    <w:rsid w:val="00301A21"/>
    <w:rsid w:val="00301B1C"/>
    <w:rsid w:val="00301CA7"/>
    <w:rsid w:val="003020A5"/>
    <w:rsid w:val="00302139"/>
    <w:rsid w:val="003021D8"/>
    <w:rsid w:val="00302582"/>
    <w:rsid w:val="00302BC7"/>
    <w:rsid w:val="00302CA8"/>
    <w:rsid w:val="00302E4A"/>
    <w:rsid w:val="00302E6C"/>
    <w:rsid w:val="00303092"/>
    <w:rsid w:val="003034A0"/>
    <w:rsid w:val="00303592"/>
    <w:rsid w:val="003036CF"/>
    <w:rsid w:val="003036E6"/>
    <w:rsid w:val="00303965"/>
    <w:rsid w:val="00303E1A"/>
    <w:rsid w:val="00304F03"/>
    <w:rsid w:val="00304FB2"/>
    <w:rsid w:val="00305567"/>
    <w:rsid w:val="00305689"/>
    <w:rsid w:val="00305770"/>
    <w:rsid w:val="003057D3"/>
    <w:rsid w:val="003067FF"/>
    <w:rsid w:val="0030683C"/>
    <w:rsid w:val="0030684A"/>
    <w:rsid w:val="0030685B"/>
    <w:rsid w:val="0030699A"/>
    <w:rsid w:val="003070A1"/>
    <w:rsid w:val="003073E8"/>
    <w:rsid w:val="00307426"/>
    <w:rsid w:val="003075D9"/>
    <w:rsid w:val="003076F9"/>
    <w:rsid w:val="00307AA5"/>
    <w:rsid w:val="00307DC8"/>
    <w:rsid w:val="00307FCC"/>
    <w:rsid w:val="003110AB"/>
    <w:rsid w:val="00311266"/>
    <w:rsid w:val="003117AC"/>
    <w:rsid w:val="003117BE"/>
    <w:rsid w:val="00311EEF"/>
    <w:rsid w:val="00311F99"/>
    <w:rsid w:val="0031298C"/>
    <w:rsid w:val="00312A43"/>
    <w:rsid w:val="00312F12"/>
    <w:rsid w:val="003134D3"/>
    <w:rsid w:val="0031355B"/>
    <w:rsid w:val="00313735"/>
    <w:rsid w:val="00313BFF"/>
    <w:rsid w:val="003148E4"/>
    <w:rsid w:val="00314C04"/>
    <w:rsid w:val="00314C3A"/>
    <w:rsid w:val="0031523B"/>
    <w:rsid w:val="00315247"/>
    <w:rsid w:val="00315316"/>
    <w:rsid w:val="003155F2"/>
    <w:rsid w:val="00315634"/>
    <w:rsid w:val="00315645"/>
    <w:rsid w:val="003157E6"/>
    <w:rsid w:val="00315857"/>
    <w:rsid w:val="00316713"/>
    <w:rsid w:val="003168F0"/>
    <w:rsid w:val="00316B3D"/>
    <w:rsid w:val="0031706C"/>
    <w:rsid w:val="00317346"/>
    <w:rsid w:val="003173DA"/>
    <w:rsid w:val="003200BE"/>
    <w:rsid w:val="003204AD"/>
    <w:rsid w:val="00320721"/>
    <w:rsid w:val="00320862"/>
    <w:rsid w:val="00320998"/>
    <w:rsid w:val="00320A42"/>
    <w:rsid w:val="00320EA1"/>
    <w:rsid w:val="00320F20"/>
    <w:rsid w:val="00321DB8"/>
    <w:rsid w:val="00322199"/>
    <w:rsid w:val="00322240"/>
    <w:rsid w:val="0032228F"/>
    <w:rsid w:val="00322D3B"/>
    <w:rsid w:val="00322EE0"/>
    <w:rsid w:val="00322F6B"/>
    <w:rsid w:val="00323032"/>
    <w:rsid w:val="003231D6"/>
    <w:rsid w:val="00323369"/>
    <w:rsid w:val="0032340E"/>
    <w:rsid w:val="00323492"/>
    <w:rsid w:val="003234E6"/>
    <w:rsid w:val="003246E3"/>
    <w:rsid w:val="00324961"/>
    <w:rsid w:val="0032511B"/>
    <w:rsid w:val="003252EF"/>
    <w:rsid w:val="003255C6"/>
    <w:rsid w:val="003256DB"/>
    <w:rsid w:val="00325835"/>
    <w:rsid w:val="00325EE5"/>
    <w:rsid w:val="00325F08"/>
    <w:rsid w:val="003263A9"/>
    <w:rsid w:val="0032684B"/>
    <w:rsid w:val="003269EA"/>
    <w:rsid w:val="00326B68"/>
    <w:rsid w:val="00327181"/>
    <w:rsid w:val="003274AC"/>
    <w:rsid w:val="003278F7"/>
    <w:rsid w:val="00327C74"/>
    <w:rsid w:val="003300B2"/>
    <w:rsid w:val="0033019F"/>
    <w:rsid w:val="003301C9"/>
    <w:rsid w:val="003301CF"/>
    <w:rsid w:val="003301D9"/>
    <w:rsid w:val="00330509"/>
    <w:rsid w:val="003306B0"/>
    <w:rsid w:val="003308E5"/>
    <w:rsid w:val="0033132A"/>
    <w:rsid w:val="00331570"/>
    <w:rsid w:val="00331C95"/>
    <w:rsid w:val="003320FA"/>
    <w:rsid w:val="00332549"/>
    <w:rsid w:val="00332651"/>
    <w:rsid w:val="00332D87"/>
    <w:rsid w:val="00332DCC"/>
    <w:rsid w:val="0033319E"/>
    <w:rsid w:val="00333536"/>
    <w:rsid w:val="0033354E"/>
    <w:rsid w:val="003335B9"/>
    <w:rsid w:val="00333719"/>
    <w:rsid w:val="00333A07"/>
    <w:rsid w:val="00333F5D"/>
    <w:rsid w:val="00334E06"/>
    <w:rsid w:val="00334E6C"/>
    <w:rsid w:val="00334F5C"/>
    <w:rsid w:val="0033510A"/>
    <w:rsid w:val="003353E9"/>
    <w:rsid w:val="00335620"/>
    <w:rsid w:val="00335AA7"/>
    <w:rsid w:val="00335B9F"/>
    <w:rsid w:val="00335FED"/>
    <w:rsid w:val="0033603F"/>
    <w:rsid w:val="003360F4"/>
    <w:rsid w:val="00336A59"/>
    <w:rsid w:val="00336C78"/>
    <w:rsid w:val="00336F21"/>
    <w:rsid w:val="00336F89"/>
    <w:rsid w:val="00337006"/>
    <w:rsid w:val="00337382"/>
    <w:rsid w:val="00337490"/>
    <w:rsid w:val="0033755D"/>
    <w:rsid w:val="00337B19"/>
    <w:rsid w:val="00340286"/>
    <w:rsid w:val="00340357"/>
    <w:rsid w:val="00340528"/>
    <w:rsid w:val="00340569"/>
    <w:rsid w:val="00340754"/>
    <w:rsid w:val="00340A56"/>
    <w:rsid w:val="00341146"/>
    <w:rsid w:val="0034161F"/>
    <w:rsid w:val="003419FF"/>
    <w:rsid w:val="00341BC4"/>
    <w:rsid w:val="00341DA2"/>
    <w:rsid w:val="003423C5"/>
    <w:rsid w:val="00342D98"/>
    <w:rsid w:val="00343824"/>
    <w:rsid w:val="00343C2D"/>
    <w:rsid w:val="00343E53"/>
    <w:rsid w:val="003441BC"/>
    <w:rsid w:val="00344797"/>
    <w:rsid w:val="00344BA0"/>
    <w:rsid w:val="003452F7"/>
    <w:rsid w:val="00345799"/>
    <w:rsid w:val="0034598C"/>
    <w:rsid w:val="00345E62"/>
    <w:rsid w:val="003460F6"/>
    <w:rsid w:val="0034623C"/>
    <w:rsid w:val="003462E7"/>
    <w:rsid w:val="00346464"/>
    <w:rsid w:val="0034695C"/>
    <w:rsid w:val="00346AA3"/>
    <w:rsid w:val="00346E5F"/>
    <w:rsid w:val="00346E7A"/>
    <w:rsid w:val="00346FF5"/>
    <w:rsid w:val="00347195"/>
    <w:rsid w:val="003471AB"/>
    <w:rsid w:val="0034727B"/>
    <w:rsid w:val="0034765D"/>
    <w:rsid w:val="003479C2"/>
    <w:rsid w:val="003501D4"/>
    <w:rsid w:val="00350314"/>
    <w:rsid w:val="00350430"/>
    <w:rsid w:val="0035060B"/>
    <w:rsid w:val="0035084D"/>
    <w:rsid w:val="003509F2"/>
    <w:rsid w:val="00350D2D"/>
    <w:rsid w:val="00350E83"/>
    <w:rsid w:val="00350FAB"/>
    <w:rsid w:val="003513A6"/>
    <w:rsid w:val="00351447"/>
    <w:rsid w:val="00351596"/>
    <w:rsid w:val="003518D2"/>
    <w:rsid w:val="00351B6F"/>
    <w:rsid w:val="00351C71"/>
    <w:rsid w:val="00351CD6"/>
    <w:rsid w:val="00351CEB"/>
    <w:rsid w:val="00351EEE"/>
    <w:rsid w:val="0035212A"/>
    <w:rsid w:val="00352389"/>
    <w:rsid w:val="003526AF"/>
    <w:rsid w:val="00352B80"/>
    <w:rsid w:val="003532A3"/>
    <w:rsid w:val="00353572"/>
    <w:rsid w:val="00353E99"/>
    <w:rsid w:val="003540F3"/>
    <w:rsid w:val="00355664"/>
    <w:rsid w:val="0035574F"/>
    <w:rsid w:val="003557A8"/>
    <w:rsid w:val="003557AC"/>
    <w:rsid w:val="00355BC4"/>
    <w:rsid w:val="00356145"/>
    <w:rsid w:val="00356205"/>
    <w:rsid w:val="00356240"/>
    <w:rsid w:val="00356363"/>
    <w:rsid w:val="0035654C"/>
    <w:rsid w:val="003565FB"/>
    <w:rsid w:val="003566ED"/>
    <w:rsid w:val="00356DF2"/>
    <w:rsid w:val="0035706D"/>
    <w:rsid w:val="00357777"/>
    <w:rsid w:val="003578A6"/>
    <w:rsid w:val="0036024B"/>
    <w:rsid w:val="00360DDE"/>
    <w:rsid w:val="00360E9B"/>
    <w:rsid w:val="003610C7"/>
    <w:rsid w:val="00362925"/>
    <w:rsid w:val="003629AD"/>
    <w:rsid w:val="00362C8F"/>
    <w:rsid w:val="00363149"/>
    <w:rsid w:val="003634D9"/>
    <w:rsid w:val="003636F5"/>
    <w:rsid w:val="00364520"/>
    <w:rsid w:val="00364676"/>
    <w:rsid w:val="00364A14"/>
    <w:rsid w:val="0036502C"/>
    <w:rsid w:val="00366048"/>
    <w:rsid w:val="003665C9"/>
    <w:rsid w:val="00366AB8"/>
    <w:rsid w:val="00366DEC"/>
    <w:rsid w:val="00366E7B"/>
    <w:rsid w:val="0036705C"/>
    <w:rsid w:val="003671A3"/>
    <w:rsid w:val="0036742C"/>
    <w:rsid w:val="00367B03"/>
    <w:rsid w:val="0037012D"/>
    <w:rsid w:val="003708C7"/>
    <w:rsid w:val="00370C14"/>
    <w:rsid w:val="00370F5B"/>
    <w:rsid w:val="00371089"/>
    <w:rsid w:val="0037159A"/>
    <w:rsid w:val="00371E5E"/>
    <w:rsid w:val="00371F2B"/>
    <w:rsid w:val="003728AB"/>
    <w:rsid w:val="00372D1F"/>
    <w:rsid w:val="00373820"/>
    <w:rsid w:val="00373F22"/>
    <w:rsid w:val="00374161"/>
    <w:rsid w:val="003743A2"/>
    <w:rsid w:val="0037467B"/>
    <w:rsid w:val="003748AB"/>
    <w:rsid w:val="003749C4"/>
    <w:rsid w:val="00374FCC"/>
    <w:rsid w:val="0037551F"/>
    <w:rsid w:val="003755D1"/>
    <w:rsid w:val="003756FA"/>
    <w:rsid w:val="00375BCB"/>
    <w:rsid w:val="00376B13"/>
    <w:rsid w:val="00376F4A"/>
    <w:rsid w:val="00377032"/>
    <w:rsid w:val="003771FE"/>
    <w:rsid w:val="003773AC"/>
    <w:rsid w:val="003773C4"/>
    <w:rsid w:val="00377656"/>
    <w:rsid w:val="0038069C"/>
    <w:rsid w:val="00380755"/>
    <w:rsid w:val="00381092"/>
    <w:rsid w:val="003810E2"/>
    <w:rsid w:val="00381223"/>
    <w:rsid w:val="00381878"/>
    <w:rsid w:val="00381AD6"/>
    <w:rsid w:val="0038289F"/>
    <w:rsid w:val="003829B7"/>
    <w:rsid w:val="00383080"/>
    <w:rsid w:val="00383BE8"/>
    <w:rsid w:val="00383C34"/>
    <w:rsid w:val="00384468"/>
    <w:rsid w:val="0038452E"/>
    <w:rsid w:val="003846CB"/>
    <w:rsid w:val="00384AE3"/>
    <w:rsid w:val="00384B85"/>
    <w:rsid w:val="00384C72"/>
    <w:rsid w:val="003851FD"/>
    <w:rsid w:val="00385741"/>
    <w:rsid w:val="0038585C"/>
    <w:rsid w:val="003858FC"/>
    <w:rsid w:val="00385A78"/>
    <w:rsid w:val="00385E41"/>
    <w:rsid w:val="00385E4A"/>
    <w:rsid w:val="00385F63"/>
    <w:rsid w:val="00386006"/>
    <w:rsid w:val="003863F8"/>
    <w:rsid w:val="003865B6"/>
    <w:rsid w:val="00386991"/>
    <w:rsid w:val="00386CE1"/>
    <w:rsid w:val="00387367"/>
    <w:rsid w:val="003876C0"/>
    <w:rsid w:val="003900DC"/>
    <w:rsid w:val="00390DED"/>
    <w:rsid w:val="00391B76"/>
    <w:rsid w:val="00391EDE"/>
    <w:rsid w:val="0039201C"/>
    <w:rsid w:val="003923DA"/>
    <w:rsid w:val="003924CB"/>
    <w:rsid w:val="00392853"/>
    <w:rsid w:val="00393027"/>
    <w:rsid w:val="00393040"/>
    <w:rsid w:val="00393203"/>
    <w:rsid w:val="003939D6"/>
    <w:rsid w:val="00393B17"/>
    <w:rsid w:val="00393CE2"/>
    <w:rsid w:val="00394165"/>
    <w:rsid w:val="00394284"/>
    <w:rsid w:val="00394584"/>
    <w:rsid w:val="00394839"/>
    <w:rsid w:val="00394FC4"/>
    <w:rsid w:val="003956F6"/>
    <w:rsid w:val="00395EC3"/>
    <w:rsid w:val="00395FF8"/>
    <w:rsid w:val="00396226"/>
    <w:rsid w:val="00396CFF"/>
    <w:rsid w:val="00396D6A"/>
    <w:rsid w:val="00396D82"/>
    <w:rsid w:val="00396E27"/>
    <w:rsid w:val="00396F5E"/>
    <w:rsid w:val="0039708A"/>
    <w:rsid w:val="003970F7"/>
    <w:rsid w:val="00397D10"/>
    <w:rsid w:val="00397D43"/>
    <w:rsid w:val="003A0218"/>
    <w:rsid w:val="003A0441"/>
    <w:rsid w:val="003A06A2"/>
    <w:rsid w:val="003A0767"/>
    <w:rsid w:val="003A0821"/>
    <w:rsid w:val="003A098D"/>
    <w:rsid w:val="003A0A54"/>
    <w:rsid w:val="003A0C0C"/>
    <w:rsid w:val="003A16EA"/>
    <w:rsid w:val="003A1E62"/>
    <w:rsid w:val="003A1EA2"/>
    <w:rsid w:val="003A209A"/>
    <w:rsid w:val="003A2D52"/>
    <w:rsid w:val="003A3003"/>
    <w:rsid w:val="003A3104"/>
    <w:rsid w:val="003A3111"/>
    <w:rsid w:val="003A3408"/>
    <w:rsid w:val="003A36EB"/>
    <w:rsid w:val="003A3955"/>
    <w:rsid w:val="003A3BA5"/>
    <w:rsid w:val="003A4362"/>
    <w:rsid w:val="003A463C"/>
    <w:rsid w:val="003A4979"/>
    <w:rsid w:val="003A4BAD"/>
    <w:rsid w:val="003A54A2"/>
    <w:rsid w:val="003A559E"/>
    <w:rsid w:val="003A58E9"/>
    <w:rsid w:val="003A6663"/>
    <w:rsid w:val="003A67BF"/>
    <w:rsid w:val="003A6C61"/>
    <w:rsid w:val="003A7311"/>
    <w:rsid w:val="003A745F"/>
    <w:rsid w:val="003A746B"/>
    <w:rsid w:val="003A78F3"/>
    <w:rsid w:val="003A7908"/>
    <w:rsid w:val="003B00EE"/>
    <w:rsid w:val="003B117F"/>
    <w:rsid w:val="003B1291"/>
    <w:rsid w:val="003B148D"/>
    <w:rsid w:val="003B1621"/>
    <w:rsid w:val="003B1C58"/>
    <w:rsid w:val="003B1E14"/>
    <w:rsid w:val="003B2738"/>
    <w:rsid w:val="003B27C3"/>
    <w:rsid w:val="003B29E1"/>
    <w:rsid w:val="003B2A11"/>
    <w:rsid w:val="003B2A8F"/>
    <w:rsid w:val="003B3121"/>
    <w:rsid w:val="003B34A9"/>
    <w:rsid w:val="003B34B2"/>
    <w:rsid w:val="003B36B8"/>
    <w:rsid w:val="003B375B"/>
    <w:rsid w:val="003B3931"/>
    <w:rsid w:val="003B3AB9"/>
    <w:rsid w:val="003B42B5"/>
    <w:rsid w:val="003B489B"/>
    <w:rsid w:val="003B4B46"/>
    <w:rsid w:val="003B4DC3"/>
    <w:rsid w:val="003B5031"/>
    <w:rsid w:val="003B519F"/>
    <w:rsid w:val="003B6025"/>
    <w:rsid w:val="003B60A8"/>
    <w:rsid w:val="003B61E5"/>
    <w:rsid w:val="003B693C"/>
    <w:rsid w:val="003B6D47"/>
    <w:rsid w:val="003B70B2"/>
    <w:rsid w:val="003B7984"/>
    <w:rsid w:val="003B7AC4"/>
    <w:rsid w:val="003B7C2D"/>
    <w:rsid w:val="003B7E57"/>
    <w:rsid w:val="003C00AD"/>
    <w:rsid w:val="003C02C4"/>
    <w:rsid w:val="003C02F8"/>
    <w:rsid w:val="003C0DB3"/>
    <w:rsid w:val="003C1126"/>
    <w:rsid w:val="003C13A4"/>
    <w:rsid w:val="003C1975"/>
    <w:rsid w:val="003C1A31"/>
    <w:rsid w:val="003C1AA7"/>
    <w:rsid w:val="003C1C06"/>
    <w:rsid w:val="003C2652"/>
    <w:rsid w:val="003C2CC2"/>
    <w:rsid w:val="003C2E5E"/>
    <w:rsid w:val="003C32EF"/>
    <w:rsid w:val="003C3583"/>
    <w:rsid w:val="003C3747"/>
    <w:rsid w:val="003C3C76"/>
    <w:rsid w:val="003C400E"/>
    <w:rsid w:val="003C40F2"/>
    <w:rsid w:val="003C4224"/>
    <w:rsid w:val="003C4435"/>
    <w:rsid w:val="003C49BF"/>
    <w:rsid w:val="003C4ABB"/>
    <w:rsid w:val="003C4DEF"/>
    <w:rsid w:val="003C4EDE"/>
    <w:rsid w:val="003C518F"/>
    <w:rsid w:val="003C519C"/>
    <w:rsid w:val="003C542E"/>
    <w:rsid w:val="003C573B"/>
    <w:rsid w:val="003C5748"/>
    <w:rsid w:val="003C584C"/>
    <w:rsid w:val="003C5A32"/>
    <w:rsid w:val="003C60B3"/>
    <w:rsid w:val="003C6198"/>
    <w:rsid w:val="003C63FD"/>
    <w:rsid w:val="003C69EF"/>
    <w:rsid w:val="003C6D15"/>
    <w:rsid w:val="003C6D57"/>
    <w:rsid w:val="003C6F0A"/>
    <w:rsid w:val="003D07F9"/>
    <w:rsid w:val="003D0869"/>
    <w:rsid w:val="003D08D1"/>
    <w:rsid w:val="003D0C67"/>
    <w:rsid w:val="003D15F7"/>
    <w:rsid w:val="003D17D0"/>
    <w:rsid w:val="003D1863"/>
    <w:rsid w:val="003D194C"/>
    <w:rsid w:val="003D1CAD"/>
    <w:rsid w:val="003D2764"/>
    <w:rsid w:val="003D279C"/>
    <w:rsid w:val="003D28B9"/>
    <w:rsid w:val="003D28BE"/>
    <w:rsid w:val="003D2FD5"/>
    <w:rsid w:val="003D3385"/>
    <w:rsid w:val="003D3945"/>
    <w:rsid w:val="003D3AB4"/>
    <w:rsid w:val="003D3B07"/>
    <w:rsid w:val="003D3C3D"/>
    <w:rsid w:val="003D4074"/>
    <w:rsid w:val="003D40BF"/>
    <w:rsid w:val="003D4403"/>
    <w:rsid w:val="003D4878"/>
    <w:rsid w:val="003D4F1D"/>
    <w:rsid w:val="003D5599"/>
    <w:rsid w:val="003D59B6"/>
    <w:rsid w:val="003D5F05"/>
    <w:rsid w:val="003D61BE"/>
    <w:rsid w:val="003D6258"/>
    <w:rsid w:val="003D6383"/>
    <w:rsid w:val="003D6462"/>
    <w:rsid w:val="003D6625"/>
    <w:rsid w:val="003D682A"/>
    <w:rsid w:val="003D69A1"/>
    <w:rsid w:val="003D7896"/>
    <w:rsid w:val="003D7B6C"/>
    <w:rsid w:val="003D7C66"/>
    <w:rsid w:val="003D7F77"/>
    <w:rsid w:val="003D7FE4"/>
    <w:rsid w:val="003E027E"/>
    <w:rsid w:val="003E02DC"/>
    <w:rsid w:val="003E0312"/>
    <w:rsid w:val="003E05AF"/>
    <w:rsid w:val="003E0B65"/>
    <w:rsid w:val="003E0CD2"/>
    <w:rsid w:val="003E1065"/>
    <w:rsid w:val="003E1237"/>
    <w:rsid w:val="003E1756"/>
    <w:rsid w:val="003E188F"/>
    <w:rsid w:val="003E19EC"/>
    <w:rsid w:val="003E1D24"/>
    <w:rsid w:val="003E1E71"/>
    <w:rsid w:val="003E1EC9"/>
    <w:rsid w:val="003E209B"/>
    <w:rsid w:val="003E2657"/>
    <w:rsid w:val="003E2A22"/>
    <w:rsid w:val="003E2ADF"/>
    <w:rsid w:val="003E31D4"/>
    <w:rsid w:val="003E37A2"/>
    <w:rsid w:val="003E38F6"/>
    <w:rsid w:val="003E3D5C"/>
    <w:rsid w:val="003E3F0C"/>
    <w:rsid w:val="003E44B8"/>
    <w:rsid w:val="003E4910"/>
    <w:rsid w:val="003E4D75"/>
    <w:rsid w:val="003E4DCC"/>
    <w:rsid w:val="003E51BD"/>
    <w:rsid w:val="003E55E5"/>
    <w:rsid w:val="003E55F2"/>
    <w:rsid w:val="003E58F1"/>
    <w:rsid w:val="003E598A"/>
    <w:rsid w:val="003E5F18"/>
    <w:rsid w:val="003E6098"/>
    <w:rsid w:val="003E637A"/>
    <w:rsid w:val="003E661E"/>
    <w:rsid w:val="003E7472"/>
    <w:rsid w:val="003E7661"/>
    <w:rsid w:val="003E7C5E"/>
    <w:rsid w:val="003F0457"/>
    <w:rsid w:val="003F0846"/>
    <w:rsid w:val="003F0AE4"/>
    <w:rsid w:val="003F0E64"/>
    <w:rsid w:val="003F104A"/>
    <w:rsid w:val="003F16B1"/>
    <w:rsid w:val="003F2208"/>
    <w:rsid w:val="003F2643"/>
    <w:rsid w:val="003F29E0"/>
    <w:rsid w:val="003F2AAB"/>
    <w:rsid w:val="003F31EE"/>
    <w:rsid w:val="003F331E"/>
    <w:rsid w:val="003F3629"/>
    <w:rsid w:val="003F36DC"/>
    <w:rsid w:val="003F4C1C"/>
    <w:rsid w:val="003F505D"/>
    <w:rsid w:val="003F5B6F"/>
    <w:rsid w:val="003F5D88"/>
    <w:rsid w:val="003F5DA9"/>
    <w:rsid w:val="003F5DB3"/>
    <w:rsid w:val="003F6130"/>
    <w:rsid w:val="003F63C9"/>
    <w:rsid w:val="003F648B"/>
    <w:rsid w:val="003F6636"/>
    <w:rsid w:val="003F6E9A"/>
    <w:rsid w:val="003F70BC"/>
    <w:rsid w:val="003F78B7"/>
    <w:rsid w:val="003F7912"/>
    <w:rsid w:val="003F7A06"/>
    <w:rsid w:val="003F7CB1"/>
    <w:rsid w:val="003F7D06"/>
    <w:rsid w:val="00400544"/>
    <w:rsid w:val="00400673"/>
    <w:rsid w:val="00400828"/>
    <w:rsid w:val="00400B67"/>
    <w:rsid w:val="004018B8"/>
    <w:rsid w:val="004028FC"/>
    <w:rsid w:val="00402DE6"/>
    <w:rsid w:val="0040329A"/>
    <w:rsid w:val="004039DF"/>
    <w:rsid w:val="00403E0A"/>
    <w:rsid w:val="0040433E"/>
    <w:rsid w:val="00404405"/>
    <w:rsid w:val="00404542"/>
    <w:rsid w:val="00404B3E"/>
    <w:rsid w:val="00404B46"/>
    <w:rsid w:val="004052A3"/>
    <w:rsid w:val="0040564C"/>
    <w:rsid w:val="00405C53"/>
    <w:rsid w:val="004065E6"/>
    <w:rsid w:val="0040672E"/>
    <w:rsid w:val="00406883"/>
    <w:rsid w:val="00406A39"/>
    <w:rsid w:val="00406B37"/>
    <w:rsid w:val="00406F60"/>
    <w:rsid w:val="004078A2"/>
    <w:rsid w:val="00407934"/>
    <w:rsid w:val="00407E75"/>
    <w:rsid w:val="00407EA2"/>
    <w:rsid w:val="0041036D"/>
    <w:rsid w:val="004103C1"/>
    <w:rsid w:val="004105D1"/>
    <w:rsid w:val="00411210"/>
    <w:rsid w:val="00411436"/>
    <w:rsid w:val="00411441"/>
    <w:rsid w:val="004116D3"/>
    <w:rsid w:val="00411B2B"/>
    <w:rsid w:val="00411BD1"/>
    <w:rsid w:val="00411D06"/>
    <w:rsid w:val="004125DF"/>
    <w:rsid w:val="004128E3"/>
    <w:rsid w:val="00412AC8"/>
    <w:rsid w:val="0041356D"/>
    <w:rsid w:val="00413BBC"/>
    <w:rsid w:val="00413CC6"/>
    <w:rsid w:val="004143D6"/>
    <w:rsid w:val="00414521"/>
    <w:rsid w:val="0041456C"/>
    <w:rsid w:val="004145B2"/>
    <w:rsid w:val="00414640"/>
    <w:rsid w:val="004147BF"/>
    <w:rsid w:val="00414A64"/>
    <w:rsid w:val="00414C42"/>
    <w:rsid w:val="00414DAB"/>
    <w:rsid w:val="00415FE3"/>
    <w:rsid w:val="004164D9"/>
    <w:rsid w:val="0041663C"/>
    <w:rsid w:val="00416729"/>
    <w:rsid w:val="00416AF2"/>
    <w:rsid w:val="00416B59"/>
    <w:rsid w:val="00416BC1"/>
    <w:rsid w:val="00416FA1"/>
    <w:rsid w:val="00416FBB"/>
    <w:rsid w:val="00417396"/>
    <w:rsid w:val="004177F3"/>
    <w:rsid w:val="00417926"/>
    <w:rsid w:val="00420581"/>
    <w:rsid w:val="004206AC"/>
    <w:rsid w:val="00420A36"/>
    <w:rsid w:val="004210D7"/>
    <w:rsid w:val="0042116F"/>
    <w:rsid w:val="004226D6"/>
    <w:rsid w:val="004226E0"/>
    <w:rsid w:val="0042289E"/>
    <w:rsid w:val="004228CD"/>
    <w:rsid w:val="00422B0C"/>
    <w:rsid w:val="00422D28"/>
    <w:rsid w:val="00422F34"/>
    <w:rsid w:val="004236A8"/>
    <w:rsid w:val="004239F6"/>
    <w:rsid w:val="004243F4"/>
    <w:rsid w:val="004243F8"/>
    <w:rsid w:val="00424634"/>
    <w:rsid w:val="00425008"/>
    <w:rsid w:val="004250D8"/>
    <w:rsid w:val="004254CB"/>
    <w:rsid w:val="004254DF"/>
    <w:rsid w:val="004259E2"/>
    <w:rsid w:val="004264B4"/>
    <w:rsid w:val="0042654B"/>
    <w:rsid w:val="004265A1"/>
    <w:rsid w:val="0042686D"/>
    <w:rsid w:val="004269CA"/>
    <w:rsid w:val="00426AC4"/>
    <w:rsid w:val="00426D1C"/>
    <w:rsid w:val="00426E70"/>
    <w:rsid w:val="00427509"/>
    <w:rsid w:val="004300F2"/>
    <w:rsid w:val="00430A90"/>
    <w:rsid w:val="00431336"/>
    <w:rsid w:val="00431889"/>
    <w:rsid w:val="004318E7"/>
    <w:rsid w:val="00431DC9"/>
    <w:rsid w:val="004323C6"/>
    <w:rsid w:val="0043258F"/>
    <w:rsid w:val="00432602"/>
    <w:rsid w:val="00432DEA"/>
    <w:rsid w:val="004332C1"/>
    <w:rsid w:val="004333F8"/>
    <w:rsid w:val="004337F0"/>
    <w:rsid w:val="0043399D"/>
    <w:rsid w:val="00433CC7"/>
    <w:rsid w:val="00433FD9"/>
    <w:rsid w:val="00434222"/>
    <w:rsid w:val="004342ED"/>
    <w:rsid w:val="004345D5"/>
    <w:rsid w:val="00434FB7"/>
    <w:rsid w:val="00435553"/>
    <w:rsid w:val="00435C78"/>
    <w:rsid w:val="00435D22"/>
    <w:rsid w:val="00435D8E"/>
    <w:rsid w:val="00436400"/>
    <w:rsid w:val="0043780F"/>
    <w:rsid w:val="004378B3"/>
    <w:rsid w:val="00437958"/>
    <w:rsid w:val="004401AB"/>
    <w:rsid w:val="004406C0"/>
    <w:rsid w:val="00440786"/>
    <w:rsid w:val="004407B2"/>
    <w:rsid w:val="004408BD"/>
    <w:rsid w:val="00440BE9"/>
    <w:rsid w:val="00441125"/>
    <w:rsid w:val="0044132F"/>
    <w:rsid w:val="00441354"/>
    <w:rsid w:val="00441434"/>
    <w:rsid w:val="0044168E"/>
    <w:rsid w:val="004418F7"/>
    <w:rsid w:val="00441B93"/>
    <w:rsid w:val="00442122"/>
    <w:rsid w:val="00442344"/>
    <w:rsid w:val="00442402"/>
    <w:rsid w:val="00442483"/>
    <w:rsid w:val="004425FA"/>
    <w:rsid w:val="00442A5E"/>
    <w:rsid w:val="00442D25"/>
    <w:rsid w:val="004435A6"/>
    <w:rsid w:val="00443966"/>
    <w:rsid w:val="00443B39"/>
    <w:rsid w:val="0044410A"/>
    <w:rsid w:val="00444844"/>
    <w:rsid w:val="004449A2"/>
    <w:rsid w:val="00444FDB"/>
    <w:rsid w:val="0044517B"/>
    <w:rsid w:val="00445973"/>
    <w:rsid w:val="00445A76"/>
    <w:rsid w:val="00445DF3"/>
    <w:rsid w:val="00445E0C"/>
    <w:rsid w:val="004462F0"/>
    <w:rsid w:val="0044654D"/>
    <w:rsid w:val="0044672C"/>
    <w:rsid w:val="00446834"/>
    <w:rsid w:val="00446BFD"/>
    <w:rsid w:val="00446F74"/>
    <w:rsid w:val="004474F8"/>
    <w:rsid w:val="00447922"/>
    <w:rsid w:val="004479AF"/>
    <w:rsid w:val="00447BDD"/>
    <w:rsid w:val="004502E7"/>
    <w:rsid w:val="0045050A"/>
    <w:rsid w:val="00450F73"/>
    <w:rsid w:val="0045101C"/>
    <w:rsid w:val="00451073"/>
    <w:rsid w:val="004510BF"/>
    <w:rsid w:val="00451469"/>
    <w:rsid w:val="00451522"/>
    <w:rsid w:val="00451B84"/>
    <w:rsid w:val="00452085"/>
    <w:rsid w:val="004521BA"/>
    <w:rsid w:val="00452461"/>
    <w:rsid w:val="00452763"/>
    <w:rsid w:val="00452CCF"/>
    <w:rsid w:val="00453119"/>
    <w:rsid w:val="004532D7"/>
    <w:rsid w:val="004533EA"/>
    <w:rsid w:val="0045365B"/>
    <w:rsid w:val="00453667"/>
    <w:rsid w:val="004537FA"/>
    <w:rsid w:val="00453BEE"/>
    <w:rsid w:val="00453D83"/>
    <w:rsid w:val="004540B6"/>
    <w:rsid w:val="004544E2"/>
    <w:rsid w:val="00454932"/>
    <w:rsid w:val="00454BC8"/>
    <w:rsid w:val="0045551D"/>
    <w:rsid w:val="00455A2A"/>
    <w:rsid w:val="00455CAA"/>
    <w:rsid w:val="00456344"/>
    <w:rsid w:val="00456969"/>
    <w:rsid w:val="00457942"/>
    <w:rsid w:val="00460860"/>
    <w:rsid w:val="00460A20"/>
    <w:rsid w:val="00460B03"/>
    <w:rsid w:val="00460C58"/>
    <w:rsid w:val="00460D69"/>
    <w:rsid w:val="004610E9"/>
    <w:rsid w:val="00461326"/>
    <w:rsid w:val="00461F2A"/>
    <w:rsid w:val="00461F8B"/>
    <w:rsid w:val="00462315"/>
    <w:rsid w:val="00462391"/>
    <w:rsid w:val="0046253A"/>
    <w:rsid w:val="0046266B"/>
    <w:rsid w:val="00462B0A"/>
    <w:rsid w:val="00463864"/>
    <w:rsid w:val="00463BC4"/>
    <w:rsid w:val="0046415E"/>
    <w:rsid w:val="004642D0"/>
    <w:rsid w:val="00464C91"/>
    <w:rsid w:val="00464E7A"/>
    <w:rsid w:val="00464FFC"/>
    <w:rsid w:val="0046527B"/>
    <w:rsid w:val="004653E7"/>
    <w:rsid w:val="00465744"/>
    <w:rsid w:val="0046630C"/>
    <w:rsid w:val="00466B86"/>
    <w:rsid w:val="00466C21"/>
    <w:rsid w:val="00466F78"/>
    <w:rsid w:val="004671FF"/>
    <w:rsid w:val="00467896"/>
    <w:rsid w:val="00467BCD"/>
    <w:rsid w:val="00467DF1"/>
    <w:rsid w:val="00467FA2"/>
    <w:rsid w:val="004703AD"/>
    <w:rsid w:val="00470D3B"/>
    <w:rsid w:val="004712D6"/>
    <w:rsid w:val="00471353"/>
    <w:rsid w:val="0047153F"/>
    <w:rsid w:val="0047180E"/>
    <w:rsid w:val="004718F8"/>
    <w:rsid w:val="00471959"/>
    <w:rsid w:val="00471D30"/>
    <w:rsid w:val="00471FF3"/>
    <w:rsid w:val="00472EB7"/>
    <w:rsid w:val="004731B8"/>
    <w:rsid w:val="00473617"/>
    <w:rsid w:val="00473CC9"/>
    <w:rsid w:val="00473F85"/>
    <w:rsid w:val="0047431E"/>
    <w:rsid w:val="00474545"/>
    <w:rsid w:val="004747F4"/>
    <w:rsid w:val="00474C99"/>
    <w:rsid w:val="00474CBA"/>
    <w:rsid w:val="00474D3B"/>
    <w:rsid w:val="0047557B"/>
    <w:rsid w:val="00475823"/>
    <w:rsid w:val="00475A41"/>
    <w:rsid w:val="00475B47"/>
    <w:rsid w:val="004760FF"/>
    <w:rsid w:val="0047617F"/>
    <w:rsid w:val="00476C38"/>
    <w:rsid w:val="00477472"/>
    <w:rsid w:val="00477595"/>
    <w:rsid w:val="00477A3E"/>
    <w:rsid w:val="004800C2"/>
    <w:rsid w:val="0048042B"/>
    <w:rsid w:val="004804D5"/>
    <w:rsid w:val="004806ED"/>
    <w:rsid w:val="00480828"/>
    <w:rsid w:val="0048082C"/>
    <w:rsid w:val="004808DE"/>
    <w:rsid w:val="00480E41"/>
    <w:rsid w:val="00480E6E"/>
    <w:rsid w:val="00481088"/>
    <w:rsid w:val="004810F1"/>
    <w:rsid w:val="004821C2"/>
    <w:rsid w:val="00482642"/>
    <w:rsid w:val="00482786"/>
    <w:rsid w:val="00482B91"/>
    <w:rsid w:val="00482E58"/>
    <w:rsid w:val="004832D9"/>
    <w:rsid w:val="0048398E"/>
    <w:rsid w:val="00483E29"/>
    <w:rsid w:val="00484746"/>
    <w:rsid w:val="0048477B"/>
    <w:rsid w:val="00485139"/>
    <w:rsid w:val="004852EB"/>
    <w:rsid w:val="004857EA"/>
    <w:rsid w:val="0048581E"/>
    <w:rsid w:val="00485832"/>
    <w:rsid w:val="004858D1"/>
    <w:rsid w:val="00485C5D"/>
    <w:rsid w:val="0048632A"/>
    <w:rsid w:val="00486536"/>
    <w:rsid w:val="0048662D"/>
    <w:rsid w:val="00486729"/>
    <w:rsid w:val="0048689F"/>
    <w:rsid w:val="0048692D"/>
    <w:rsid w:val="0048739B"/>
    <w:rsid w:val="00490589"/>
    <w:rsid w:val="004909A1"/>
    <w:rsid w:val="00490E18"/>
    <w:rsid w:val="0049176E"/>
    <w:rsid w:val="00491835"/>
    <w:rsid w:val="00491D94"/>
    <w:rsid w:val="004921C4"/>
    <w:rsid w:val="004926C2"/>
    <w:rsid w:val="00492DE4"/>
    <w:rsid w:val="00492E6C"/>
    <w:rsid w:val="004932F4"/>
    <w:rsid w:val="004935B3"/>
    <w:rsid w:val="00493C80"/>
    <w:rsid w:val="00494029"/>
    <w:rsid w:val="00494291"/>
    <w:rsid w:val="0049465F"/>
    <w:rsid w:val="0049475C"/>
    <w:rsid w:val="00494D4E"/>
    <w:rsid w:val="00495722"/>
    <w:rsid w:val="00495BAC"/>
    <w:rsid w:val="004960F5"/>
    <w:rsid w:val="00496BC1"/>
    <w:rsid w:val="00496FDF"/>
    <w:rsid w:val="004970DC"/>
    <w:rsid w:val="00497520"/>
    <w:rsid w:val="004976A4"/>
    <w:rsid w:val="004977CD"/>
    <w:rsid w:val="004A060A"/>
    <w:rsid w:val="004A0838"/>
    <w:rsid w:val="004A0E21"/>
    <w:rsid w:val="004A17A8"/>
    <w:rsid w:val="004A187B"/>
    <w:rsid w:val="004A1CB6"/>
    <w:rsid w:val="004A29D8"/>
    <w:rsid w:val="004A3226"/>
    <w:rsid w:val="004A3E8A"/>
    <w:rsid w:val="004A4130"/>
    <w:rsid w:val="004A43F5"/>
    <w:rsid w:val="004A4896"/>
    <w:rsid w:val="004A4973"/>
    <w:rsid w:val="004A4BDE"/>
    <w:rsid w:val="004A53CE"/>
    <w:rsid w:val="004A54B5"/>
    <w:rsid w:val="004A58FB"/>
    <w:rsid w:val="004A5C06"/>
    <w:rsid w:val="004A5CC0"/>
    <w:rsid w:val="004A6552"/>
    <w:rsid w:val="004A6623"/>
    <w:rsid w:val="004A6802"/>
    <w:rsid w:val="004A6B0C"/>
    <w:rsid w:val="004A6B35"/>
    <w:rsid w:val="004A71EC"/>
    <w:rsid w:val="004A7A0D"/>
    <w:rsid w:val="004A7E65"/>
    <w:rsid w:val="004B05FC"/>
    <w:rsid w:val="004B0CD5"/>
    <w:rsid w:val="004B0CDF"/>
    <w:rsid w:val="004B10D9"/>
    <w:rsid w:val="004B1263"/>
    <w:rsid w:val="004B195F"/>
    <w:rsid w:val="004B19FB"/>
    <w:rsid w:val="004B1C4D"/>
    <w:rsid w:val="004B1CCC"/>
    <w:rsid w:val="004B1DBF"/>
    <w:rsid w:val="004B25F6"/>
    <w:rsid w:val="004B287C"/>
    <w:rsid w:val="004B2ECC"/>
    <w:rsid w:val="004B2EFD"/>
    <w:rsid w:val="004B33F7"/>
    <w:rsid w:val="004B3699"/>
    <w:rsid w:val="004B3A33"/>
    <w:rsid w:val="004B3F63"/>
    <w:rsid w:val="004B41DF"/>
    <w:rsid w:val="004B420E"/>
    <w:rsid w:val="004B42FE"/>
    <w:rsid w:val="004B44C0"/>
    <w:rsid w:val="004B47B4"/>
    <w:rsid w:val="004B4ED7"/>
    <w:rsid w:val="004B4FB9"/>
    <w:rsid w:val="004B5048"/>
    <w:rsid w:val="004B5101"/>
    <w:rsid w:val="004B5105"/>
    <w:rsid w:val="004B5390"/>
    <w:rsid w:val="004B5834"/>
    <w:rsid w:val="004B5BD1"/>
    <w:rsid w:val="004B5C0F"/>
    <w:rsid w:val="004B5F58"/>
    <w:rsid w:val="004B6064"/>
    <w:rsid w:val="004B6146"/>
    <w:rsid w:val="004B6191"/>
    <w:rsid w:val="004B652C"/>
    <w:rsid w:val="004B714A"/>
    <w:rsid w:val="004B7D86"/>
    <w:rsid w:val="004B7F73"/>
    <w:rsid w:val="004C067E"/>
    <w:rsid w:val="004C06E9"/>
    <w:rsid w:val="004C0766"/>
    <w:rsid w:val="004C098C"/>
    <w:rsid w:val="004C0A26"/>
    <w:rsid w:val="004C0EF0"/>
    <w:rsid w:val="004C13F7"/>
    <w:rsid w:val="004C1F31"/>
    <w:rsid w:val="004C2148"/>
    <w:rsid w:val="004C22B6"/>
    <w:rsid w:val="004C24F7"/>
    <w:rsid w:val="004C27B3"/>
    <w:rsid w:val="004C2E8C"/>
    <w:rsid w:val="004C3D28"/>
    <w:rsid w:val="004C3E94"/>
    <w:rsid w:val="004C421C"/>
    <w:rsid w:val="004C4C6B"/>
    <w:rsid w:val="004C5447"/>
    <w:rsid w:val="004C5FF5"/>
    <w:rsid w:val="004C60BB"/>
    <w:rsid w:val="004C615E"/>
    <w:rsid w:val="004C61C6"/>
    <w:rsid w:val="004C6440"/>
    <w:rsid w:val="004C64BB"/>
    <w:rsid w:val="004C6557"/>
    <w:rsid w:val="004C683D"/>
    <w:rsid w:val="004C6EED"/>
    <w:rsid w:val="004C6F21"/>
    <w:rsid w:val="004C704B"/>
    <w:rsid w:val="004C71B7"/>
    <w:rsid w:val="004C762D"/>
    <w:rsid w:val="004C7672"/>
    <w:rsid w:val="004C7E06"/>
    <w:rsid w:val="004C7EB7"/>
    <w:rsid w:val="004D07FA"/>
    <w:rsid w:val="004D0CA7"/>
    <w:rsid w:val="004D101F"/>
    <w:rsid w:val="004D13EE"/>
    <w:rsid w:val="004D166B"/>
    <w:rsid w:val="004D17A4"/>
    <w:rsid w:val="004D1AD5"/>
    <w:rsid w:val="004D1B24"/>
    <w:rsid w:val="004D1C3A"/>
    <w:rsid w:val="004D1E76"/>
    <w:rsid w:val="004D1E96"/>
    <w:rsid w:val="004D2045"/>
    <w:rsid w:val="004D2855"/>
    <w:rsid w:val="004D2A2D"/>
    <w:rsid w:val="004D2C73"/>
    <w:rsid w:val="004D2CF5"/>
    <w:rsid w:val="004D3300"/>
    <w:rsid w:val="004D36D2"/>
    <w:rsid w:val="004D3965"/>
    <w:rsid w:val="004D3D4B"/>
    <w:rsid w:val="004D3F1C"/>
    <w:rsid w:val="004D4F8B"/>
    <w:rsid w:val="004D5238"/>
    <w:rsid w:val="004D5262"/>
    <w:rsid w:val="004D54F8"/>
    <w:rsid w:val="004D56AA"/>
    <w:rsid w:val="004D5A40"/>
    <w:rsid w:val="004D6118"/>
    <w:rsid w:val="004D630A"/>
    <w:rsid w:val="004D6498"/>
    <w:rsid w:val="004D6EFA"/>
    <w:rsid w:val="004D772B"/>
    <w:rsid w:val="004D7779"/>
    <w:rsid w:val="004D7BE9"/>
    <w:rsid w:val="004D7D70"/>
    <w:rsid w:val="004E08A1"/>
    <w:rsid w:val="004E0AF9"/>
    <w:rsid w:val="004E0FC2"/>
    <w:rsid w:val="004E126D"/>
    <w:rsid w:val="004E138D"/>
    <w:rsid w:val="004E1694"/>
    <w:rsid w:val="004E20E1"/>
    <w:rsid w:val="004E2853"/>
    <w:rsid w:val="004E2B9A"/>
    <w:rsid w:val="004E3385"/>
    <w:rsid w:val="004E35F7"/>
    <w:rsid w:val="004E3AD7"/>
    <w:rsid w:val="004E3B35"/>
    <w:rsid w:val="004E3B76"/>
    <w:rsid w:val="004E3C01"/>
    <w:rsid w:val="004E3C71"/>
    <w:rsid w:val="004E3D35"/>
    <w:rsid w:val="004E43BE"/>
    <w:rsid w:val="004E4416"/>
    <w:rsid w:val="004E4A1F"/>
    <w:rsid w:val="004E4A38"/>
    <w:rsid w:val="004E5329"/>
    <w:rsid w:val="004E5838"/>
    <w:rsid w:val="004E5BC2"/>
    <w:rsid w:val="004E5C0A"/>
    <w:rsid w:val="004E5D24"/>
    <w:rsid w:val="004E5E98"/>
    <w:rsid w:val="004E63B9"/>
    <w:rsid w:val="004E64F3"/>
    <w:rsid w:val="004E6C4A"/>
    <w:rsid w:val="004E6E35"/>
    <w:rsid w:val="004E6F20"/>
    <w:rsid w:val="004E6FE1"/>
    <w:rsid w:val="004E703B"/>
    <w:rsid w:val="004E73A8"/>
    <w:rsid w:val="004E76A4"/>
    <w:rsid w:val="004E7744"/>
    <w:rsid w:val="004E7C85"/>
    <w:rsid w:val="004F0341"/>
    <w:rsid w:val="004F0657"/>
    <w:rsid w:val="004F1190"/>
    <w:rsid w:val="004F1469"/>
    <w:rsid w:val="004F23DD"/>
    <w:rsid w:val="004F23E7"/>
    <w:rsid w:val="004F24C0"/>
    <w:rsid w:val="004F25AA"/>
    <w:rsid w:val="004F2670"/>
    <w:rsid w:val="004F2DFD"/>
    <w:rsid w:val="004F30E7"/>
    <w:rsid w:val="004F30EB"/>
    <w:rsid w:val="004F3227"/>
    <w:rsid w:val="004F3296"/>
    <w:rsid w:val="004F366F"/>
    <w:rsid w:val="004F3C9F"/>
    <w:rsid w:val="004F4A7F"/>
    <w:rsid w:val="004F4EDB"/>
    <w:rsid w:val="004F5667"/>
    <w:rsid w:val="004F56B1"/>
    <w:rsid w:val="004F585B"/>
    <w:rsid w:val="004F5FC7"/>
    <w:rsid w:val="004F6031"/>
    <w:rsid w:val="004F64C2"/>
    <w:rsid w:val="004F64ED"/>
    <w:rsid w:val="004F6644"/>
    <w:rsid w:val="004F6C7A"/>
    <w:rsid w:val="004F6E57"/>
    <w:rsid w:val="004F703F"/>
    <w:rsid w:val="004F7174"/>
    <w:rsid w:val="004F7BA8"/>
    <w:rsid w:val="004F7BC7"/>
    <w:rsid w:val="005011BA"/>
    <w:rsid w:val="00501652"/>
    <w:rsid w:val="00501E0D"/>
    <w:rsid w:val="0050266A"/>
    <w:rsid w:val="005026E3"/>
    <w:rsid w:val="00502CE5"/>
    <w:rsid w:val="00503050"/>
    <w:rsid w:val="0050351D"/>
    <w:rsid w:val="005036B6"/>
    <w:rsid w:val="005039FB"/>
    <w:rsid w:val="00503B1A"/>
    <w:rsid w:val="00503CB6"/>
    <w:rsid w:val="00503E4D"/>
    <w:rsid w:val="00503E99"/>
    <w:rsid w:val="0050480C"/>
    <w:rsid w:val="00504EFD"/>
    <w:rsid w:val="00504FDE"/>
    <w:rsid w:val="005052F2"/>
    <w:rsid w:val="005053B3"/>
    <w:rsid w:val="005053B7"/>
    <w:rsid w:val="00505BAB"/>
    <w:rsid w:val="00505CAF"/>
    <w:rsid w:val="00505D58"/>
    <w:rsid w:val="00505E80"/>
    <w:rsid w:val="0050635E"/>
    <w:rsid w:val="005069F6"/>
    <w:rsid w:val="00506C39"/>
    <w:rsid w:val="00507896"/>
    <w:rsid w:val="00510253"/>
    <w:rsid w:val="005104CB"/>
    <w:rsid w:val="0051097A"/>
    <w:rsid w:val="00510B76"/>
    <w:rsid w:val="00510C80"/>
    <w:rsid w:val="00510F9A"/>
    <w:rsid w:val="005110F0"/>
    <w:rsid w:val="00511348"/>
    <w:rsid w:val="00511CA4"/>
    <w:rsid w:val="00511DE7"/>
    <w:rsid w:val="0051206A"/>
    <w:rsid w:val="005121C9"/>
    <w:rsid w:val="005121E3"/>
    <w:rsid w:val="0051229D"/>
    <w:rsid w:val="005124CE"/>
    <w:rsid w:val="00512B04"/>
    <w:rsid w:val="00512B90"/>
    <w:rsid w:val="00513A11"/>
    <w:rsid w:val="00514163"/>
    <w:rsid w:val="0051442C"/>
    <w:rsid w:val="00514ABC"/>
    <w:rsid w:val="00514CEC"/>
    <w:rsid w:val="00514E96"/>
    <w:rsid w:val="0051505B"/>
    <w:rsid w:val="00515E5D"/>
    <w:rsid w:val="00516799"/>
    <w:rsid w:val="0051680A"/>
    <w:rsid w:val="00516BD1"/>
    <w:rsid w:val="005173D2"/>
    <w:rsid w:val="005174D1"/>
    <w:rsid w:val="005179C9"/>
    <w:rsid w:val="00517A65"/>
    <w:rsid w:val="00517D31"/>
    <w:rsid w:val="00520076"/>
    <w:rsid w:val="00520769"/>
    <w:rsid w:val="00520B31"/>
    <w:rsid w:val="00520BBD"/>
    <w:rsid w:val="005211BF"/>
    <w:rsid w:val="00521343"/>
    <w:rsid w:val="00521C7B"/>
    <w:rsid w:val="00521C7C"/>
    <w:rsid w:val="005220B2"/>
    <w:rsid w:val="005221BC"/>
    <w:rsid w:val="0052220F"/>
    <w:rsid w:val="00522622"/>
    <w:rsid w:val="0052280D"/>
    <w:rsid w:val="005228E8"/>
    <w:rsid w:val="005229F9"/>
    <w:rsid w:val="00522A3B"/>
    <w:rsid w:val="00522D29"/>
    <w:rsid w:val="00522E81"/>
    <w:rsid w:val="00522FE3"/>
    <w:rsid w:val="0052300E"/>
    <w:rsid w:val="005236F3"/>
    <w:rsid w:val="0052386F"/>
    <w:rsid w:val="00523B2D"/>
    <w:rsid w:val="005243F4"/>
    <w:rsid w:val="00524545"/>
    <w:rsid w:val="00524928"/>
    <w:rsid w:val="005249F9"/>
    <w:rsid w:val="00524A73"/>
    <w:rsid w:val="00524B7A"/>
    <w:rsid w:val="00524D62"/>
    <w:rsid w:val="00524DAF"/>
    <w:rsid w:val="0052500E"/>
    <w:rsid w:val="00525202"/>
    <w:rsid w:val="0052529B"/>
    <w:rsid w:val="0052591F"/>
    <w:rsid w:val="00525A5F"/>
    <w:rsid w:val="00526286"/>
    <w:rsid w:val="00526692"/>
    <w:rsid w:val="0052692F"/>
    <w:rsid w:val="00526BB8"/>
    <w:rsid w:val="00526DB6"/>
    <w:rsid w:val="00526E68"/>
    <w:rsid w:val="0052717D"/>
    <w:rsid w:val="00527382"/>
    <w:rsid w:val="00527514"/>
    <w:rsid w:val="00527B79"/>
    <w:rsid w:val="00527BF9"/>
    <w:rsid w:val="00527D66"/>
    <w:rsid w:val="00527D89"/>
    <w:rsid w:val="00527EE6"/>
    <w:rsid w:val="00527F03"/>
    <w:rsid w:val="00527F13"/>
    <w:rsid w:val="00527F5A"/>
    <w:rsid w:val="00530285"/>
    <w:rsid w:val="0053069F"/>
    <w:rsid w:val="00530853"/>
    <w:rsid w:val="005308CC"/>
    <w:rsid w:val="00530E44"/>
    <w:rsid w:val="00531024"/>
    <w:rsid w:val="0053176B"/>
    <w:rsid w:val="00531B91"/>
    <w:rsid w:val="00531C99"/>
    <w:rsid w:val="00531D0C"/>
    <w:rsid w:val="00531E8A"/>
    <w:rsid w:val="00532178"/>
    <w:rsid w:val="00532322"/>
    <w:rsid w:val="00532561"/>
    <w:rsid w:val="00532568"/>
    <w:rsid w:val="0053257C"/>
    <w:rsid w:val="00532936"/>
    <w:rsid w:val="00532B4A"/>
    <w:rsid w:val="00532E6A"/>
    <w:rsid w:val="0053357D"/>
    <w:rsid w:val="0053425C"/>
    <w:rsid w:val="005346C4"/>
    <w:rsid w:val="005349B2"/>
    <w:rsid w:val="00534A88"/>
    <w:rsid w:val="00534EDF"/>
    <w:rsid w:val="0053534C"/>
    <w:rsid w:val="005357BA"/>
    <w:rsid w:val="005357F1"/>
    <w:rsid w:val="00535CBD"/>
    <w:rsid w:val="00536247"/>
    <w:rsid w:val="005366E7"/>
    <w:rsid w:val="0053690E"/>
    <w:rsid w:val="005369BF"/>
    <w:rsid w:val="00536E00"/>
    <w:rsid w:val="005371F7"/>
    <w:rsid w:val="0053731E"/>
    <w:rsid w:val="005377F2"/>
    <w:rsid w:val="00537E80"/>
    <w:rsid w:val="00537F07"/>
    <w:rsid w:val="005400FF"/>
    <w:rsid w:val="00540385"/>
    <w:rsid w:val="005407AB"/>
    <w:rsid w:val="0054082A"/>
    <w:rsid w:val="00540B98"/>
    <w:rsid w:val="00540E9D"/>
    <w:rsid w:val="005412BA"/>
    <w:rsid w:val="0054135E"/>
    <w:rsid w:val="00541B1F"/>
    <w:rsid w:val="0054244D"/>
    <w:rsid w:val="005425A5"/>
    <w:rsid w:val="00542950"/>
    <w:rsid w:val="00542A89"/>
    <w:rsid w:val="00542B69"/>
    <w:rsid w:val="00542E49"/>
    <w:rsid w:val="00543327"/>
    <w:rsid w:val="0054354F"/>
    <w:rsid w:val="00543619"/>
    <w:rsid w:val="00543624"/>
    <w:rsid w:val="00544099"/>
    <w:rsid w:val="005443AA"/>
    <w:rsid w:val="00544563"/>
    <w:rsid w:val="00544812"/>
    <w:rsid w:val="00544B45"/>
    <w:rsid w:val="00545CC1"/>
    <w:rsid w:val="00545CC3"/>
    <w:rsid w:val="005461D4"/>
    <w:rsid w:val="005464BA"/>
    <w:rsid w:val="0054678C"/>
    <w:rsid w:val="005467E9"/>
    <w:rsid w:val="005471A5"/>
    <w:rsid w:val="005472AF"/>
    <w:rsid w:val="005472FC"/>
    <w:rsid w:val="005478C9"/>
    <w:rsid w:val="005478D9"/>
    <w:rsid w:val="00547A0D"/>
    <w:rsid w:val="0055034E"/>
    <w:rsid w:val="005506DA"/>
    <w:rsid w:val="00550713"/>
    <w:rsid w:val="00550CED"/>
    <w:rsid w:val="00550D8C"/>
    <w:rsid w:val="005514B5"/>
    <w:rsid w:val="005514F4"/>
    <w:rsid w:val="00551580"/>
    <w:rsid w:val="00551649"/>
    <w:rsid w:val="00551F16"/>
    <w:rsid w:val="00552016"/>
    <w:rsid w:val="00552667"/>
    <w:rsid w:val="00552C81"/>
    <w:rsid w:val="00552EDD"/>
    <w:rsid w:val="005533D8"/>
    <w:rsid w:val="00553804"/>
    <w:rsid w:val="00554026"/>
    <w:rsid w:val="005542A4"/>
    <w:rsid w:val="0055451E"/>
    <w:rsid w:val="005545BB"/>
    <w:rsid w:val="00554710"/>
    <w:rsid w:val="00554A38"/>
    <w:rsid w:val="00554CEE"/>
    <w:rsid w:val="00554D48"/>
    <w:rsid w:val="00555194"/>
    <w:rsid w:val="005552E7"/>
    <w:rsid w:val="0055564C"/>
    <w:rsid w:val="00555A1F"/>
    <w:rsid w:val="00555B54"/>
    <w:rsid w:val="00555E2B"/>
    <w:rsid w:val="00556047"/>
    <w:rsid w:val="005561EB"/>
    <w:rsid w:val="00556490"/>
    <w:rsid w:val="00556858"/>
    <w:rsid w:val="00556E36"/>
    <w:rsid w:val="00557D18"/>
    <w:rsid w:val="00557DF0"/>
    <w:rsid w:val="00560568"/>
    <w:rsid w:val="00560606"/>
    <w:rsid w:val="00560701"/>
    <w:rsid w:val="00560A13"/>
    <w:rsid w:val="00560D67"/>
    <w:rsid w:val="00560DC9"/>
    <w:rsid w:val="00561E71"/>
    <w:rsid w:val="00561E93"/>
    <w:rsid w:val="00562143"/>
    <w:rsid w:val="00562528"/>
    <w:rsid w:val="005631AE"/>
    <w:rsid w:val="00563446"/>
    <w:rsid w:val="0056352B"/>
    <w:rsid w:val="005639FC"/>
    <w:rsid w:val="0056404D"/>
    <w:rsid w:val="00564568"/>
    <w:rsid w:val="005648BD"/>
    <w:rsid w:val="00564ACF"/>
    <w:rsid w:val="00564B5E"/>
    <w:rsid w:val="00564DB8"/>
    <w:rsid w:val="00564E67"/>
    <w:rsid w:val="00565175"/>
    <w:rsid w:val="00565312"/>
    <w:rsid w:val="00565A49"/>
    <w:rsid w:val="00565A4C"/>
    <w:rsid w:val="00566293"/>
    <w:rsid w:val="00566E97"/>
    <w:rsid w:val="00566FCB"/>
    <w:rsid w:val="00567342"/>
    <w:rsid w:val="00567438"/>
    <w:rsid w:val="0056765A"/>
    <w:rsid w:val="00567871"/>
    <w:rsid w:val="00567C87"/>
    <w:rsid w:val="00570B58"/>
    <w:rsid w:val="00570EB0"/>
    <w:rsid w:val="00570F4E"/>
    <w:rsid w:val="005715D5"/>
    <w:rsid w:val="00571A28"/>
    <w:rsid w:val="00571E3C"/>
    <w:rsid w:val="00571FA1"/>
    <w:rsid w:val="00572AE3"/>
    <w:rsid w:val="00572C0C"/>
    <w:rsid w:val="00572CA4"/>
    <w:rsid w:val="00572E86"/>
    <w:rsid w:val="005730F1"/>
    <w:rsid w:val="0057326B"/>
    <w:rsid w:val="005732ED"/>
    <w:rsid w:val="00573397"/>
    <w:rsid w:val="00573A32"/>
    <w:rsid w:val="00573F73"/>
    <w:rsid w:val="005740EE"/>
    <w:rsid w:val="00574271"/>
    <w:rsid w:val="0057439C"/>
    <w:rsid w:val="0057449A"/>
    <w:rsid w:val="0057489F"/>
    <w:rsid w:val="00574990"/>
    <w:rsid w:val="00574995"/>
    <w:rsid w:val="00574A45"/>
    <w:rsid w:val="00574E1E"/>
    <w:rsid w:val="00574EA9"/>
    <w:rsid w:val="00575E61"/>
    <w:rsid w:val="00575E88"/>
    <w:rsid w:val="0057611F"/>
    <w:rsid w:val="0057694D"/>
    <w:rsid w:val="00576C83"/>
    <w:rsid w:val="00576CB9"/>
    <w:rsid w:val="005771E9"/>
    <w:rsid w:val="00577651"/>
    <w:rsid w:val="005777E9"/>
    <w:rsid w:val="00577B0B"/>
    <w:rsid w:val="00577BFE"/>
    <w:rsid w:val="00580687"/>
    <w:rsid w:val="005807EC"/>
    <w:rsid w:val="00580D0D"/>
    <w:rsid w:val="00581454"/>
    <w:rsid w:val="00581F99"/>
    <w:rsid w:val="0058216F"/>
    <w:rsid w:val="005821CB"/>
    <w:rsid w:val="005821FE"/>
    <w:rsid w:val="005822DC"/>
    <w:rsid w:val="00583231"/>
    <w:rsid w:val="005834F2"/>
    <w:rsid w:val="00583744"/>
    <w:rsid w:val="005841C2"/>
    <w:rsid w:val="00584341"/>
    <w:rsid w:val="00584FC7"/>
    <w:rsid w:val="005859F0"/>
    <w:rsid w:val="00585B61"/>
    <w:rsid w:val="005870BD"/>
    <w:rsid w:val="005870E7"/>
    <w:rsid w:val="0058745F"/>
    <w:rsid w:val="0058758F"/>
    <w:rsid w:val="005877C7"/>
    <w:rsid w:val="0058790B"/>
    <w:rsid w:val="00587C97"/>
    <w:rsid w:val="00587EAB"/>
    <w:rsid w:val="00590112"/>
    <w:rsid w:val="005906A9"/>
    <w:rsid w:val="005906DD"/>
    <w:rsid w:val="00590BB9"/>
    <w:rsid w:val="00590C87"/>
    <w:rsid w:val="00590DF3"/>
    <w:rsid w:val="00590FB6"/>
    <w:rsid w:val="0059115E"/>
    <w:rsid w:val="00591908"/>
    <w:rsid w:val="00591F55"/>
    <w:rsid w:val="00592028"/>
    <w:rsid w:val="0059261F"/>
    <w:rsid w:val="00592BAD"/>
    <w:rsid w:val="00593096"/>
    <w:rsid w:val="0059365F"/>
    <w:rsid w:val="00593E21"/>
    <w:rsid w:val="00593EA3"/>
    <w:rsid w:val="00594203"/>
    <w:rsid w:val="0059468F"/>
    <w:rsid w:val="00594A0E"/>
    <w:rsid w:val="005952E9"/>
    <w:rsid w:val="00595F82"/>
    <w:rsid w:val="005963F7"/>
    <w:rsid w:val="005969DB"/>
    <w:rsid w:val="00596B22"/>
    <w:rsid w:val="00596E02"/>
    <w:rsid w:val="005972B0"/>
    <w:rsid w:val="00597628"/>
    <w:rsid w:val="005977CF"/>
    <w:rsid w:val="00597F4F"/>
    <w:rsid w:val="005A0177"/>
    <w:rsid w:val="005A0341"/>
    <w:rsid w:val="005A074A"/>
    <w:rsid w:val="005A0AA4"/>
    <w:rsid w:val="005A11EF"/>
    <w:rsid w:val="005A1375"/>
    <w:rsid w:val="005A179D"/>
    <w:rsid w:val="005A1CD6"/>
    <w:rsid w:val="005A1E24"/>
    <w:rsid w:val="005A21A4"/>
    <w:rsid w:val="005A2659"/>
    <w:rsid w:val="005A2755"/>
    <w:rsid w:val="005A29A0"/>
    <w:rsid w:val="005A2B7E"/>
    <w:rsid w:val="005A2BFC"/>
    <w:rsid w:val="005A2FF5"/>
    <w:rsid w:val="005A30CA"/>
    <w:rsid w:val="005A3854"/>
    <w:rsid w:val="005A3E3C"/>
    <w:rsid w:val="005A48E9"/>
    <w:rsid w:val="005A4CED"/>
    <w:rsid w:val="005A5197"/>
    <w:rsid w:val="005A51AE"/>
    <w:rsid w:val="005A5C5C"/>
    <w:rsid w:val="005A5D99"/>
    <w:rsid w:val="005A6612"/>
    <w:rsid w:val="005A670B"/>
    <w:rsid w:val="005A6895"/>
    <w:rsid w:val="005A69EA"/>
    <w:rsid w:val="005A6C56"/>
    <w:rsid w:val="005A75E6"/>
    <w:rsid w:val="005A7732"/>
    <w:rsid w:val="005A7A7A"/>
    <w:rsid w:val="005A7CAB"/>
    <w:rsid w:val="005A7ED9"/>
    <w:rsid w:val="005A7F4B"/>
    <w:rsid w:val="005B071D"/>
    <w:rsid w:val="005B0C6C"/>
    <w:rsid w:val="005B0D46"/>
    <w:rsid w:val="005B0F01"/>
    <w:rsid w:val="005B1AE1"/>
    <w:rsid w:val="005B1EF0"/>
    <w:rsid w:val="005B1F6E"/>
    <w:rsid w:val="005B2046"/>
    <w:rsid w:val="005B2077"/>
    <w:rsid w:val="005B217E"/>
    <w:rsid w:val="005B2597"/>
    <w:rsid w:val="005B2892"/>
    <w:rsid w:val="005B2B9F"/>
    <w:rsid w:val="005B328B"/>
    <w:rsid w:val="005B3419"/>
    <w:rsid w:val="005B35BA"/>
    <w:rsid w:val="005B39EA"/>
    <w:rsid w:val="005B3B75"/>
    <w:rsid w:val="005B3C9D"/>
    <w:rsid w:val="005B3D81"/>
    <w:rsid w:val="005B4C72"/>
    <w:rsid w:val="005B5013"/>
    <w:rsid w:val="005B5169"/>
    <w:rsid w:val="005B532B"/>
    <w:rsid w:val="005B5750"/>
    <w:rsid w:val="005B58F5"/>
    <w:rsid w:val="005B5A37"/>
    <w:rsid w:val="005B5A71"/>
    <w:rsid w:val="005B5C8D"/>
    <w:rsid w:val="005B5F01"/>
    <w:rsid w:val="005B6291"/>
    <w:rsid w:val="005B6425"/>
    <w:rsid w:val="005B65F0"/>
    <w:rsid w:val="005B6AB5"/>
    <w:rsid w:val="005B7327"/>
    <w:rsid w:val="005B756F"/>
    <w:rsid w:val="005B76F2"/>
    <w:rsid w:val="005B7A0E"/>
    <w:rsid w:val="005B7B3B"/>
    <w:rsid w:val="005C0017"/>
    <w:rsid w:val="005C03E7"/>
    <w:rsid w:val="005C0F19"/>
    <w:rsid w:val="005C109F"/>
    <w:rsid w:val="005C11E3"/>
    <w:rsid w:val="005C14D2"/>
    <w:rsid w:val="005C1602"/>
    <w:rsid w:val="005C179F"/>
    <w:rsid w:val="005C197B"/>
    <w:rsid w:val="005C19BF"/>
    <w:rsid w:val="005C1AC2"/>
    <w:rsid w:val="005C1C12"/>
    <w:rsid w:val="005C2CDA"/>
    <w:rsid w:val="005C2EC1"/>
    <w:rsid w:val="005C306B"/>
    <w:rsid w:val="005C320F"/>
    <w:rsid w:val="005C32C4"/>
    <w:rsid w:val="005C3887"/>
    <w:rsid w:val="005C38AE"/>
    <w:rsid w:val="005C3B28"/>
    <w:rsid w:val="005C3D2F"/>
    <w:rsid w:val="005C4071"/>
    <w:rsid w:val="005C4F51"/>
    <w:rsid w:val="005C509D"/>
    <w:rsid w:val="005C55BE"/>
    <w:rsid w:val="005C5750"/>
    <w:rsid w:val="005C5B55"/>
    <w:rsid w:val="005C5ED6"/>
    <w:rsid w:val="005C5F45"/>
    <w:rsid w:val="005C602E"/>
    <w:rsid w:val="005C650B"/>
    <w:rsid w:val="005C66E5"/>
    <w:rsid w:val="005C6C9C"/>
    <w:rsid w:val="005C6CA8"/>
    <w:rsid w:val="005C6CB3"/>
    <w:rsid w:val="005C704D"/>
    <w:rsid w:val="005C70F2"/>
    <w:rsid w:val="005C7932"/>
    <w:rsid w:val="005C7B13"/>
    <w:rsid w:val="005D1F62"/>
    <w:rsid w:val="005D1FCB"/>
    <w:rsid w:val="005D2211"/>
    <w:rsid w:val="005D2567"/>
    <w:rsid w:val="005D2A59"/>
    <w:rsid w:val="005D4085"/>
    <w:rsid w:val="005D4305"/>
    <w:rsid w:val="005D4B0D"/>
    <w:rsid w:val="005D4BB5"/>
    <w:rsid w:val="005D4DE5"/>
    <w:rsid w:val="005D4F00"/>
    <w:rsid w:val="005D5D8C"/>
    <w:rsid w:val="005D67A3"/>
    <w:rsid w:val="005D6C55"/>
    <w:rsid w:val="005D6F26"/>
    <w:rsid w:val="005D72B7"/>
    <w:rsid w:val="005D791C"/>
    <w:rsid w:val="005D7B3B"/>
    <w:rsid w:val="005D7B65"/>
    <w:rsid w:val="005D7B76"/>
    <w:rsid w:val="005D7CD4"/>
    <w:rsid w:val="005E0015"/>
    <w:rsid w:val="005E04D2"/>
    <w:rsid w:val="005E09F5"/>
    <w:rsid w:val="005E12E1"/>
    <w:rsid w:val="005E15F5"/>
    <w:rsid w:val="005E1892"/>
    <w:rsid w:val="005E1B30"/>
    <w:rsid w:val="005E1DA9"/>
    <w:rsid w:val="005E249F"/>
    <w:rsid w:val="005E2658"/>
    <w:rsid w:val="005E275B"/>
    <w:rsid w:val="005E299B"/>
    <w:rsid w:val="005E2BD7"/>
    <w:rsid w:val="005E2FE2"/>
    <w:rsid w:val="005E33C9"/>
    <w:rsid w:val="005E3769"/>
    <w:rsid w:val="005E39B4"/>
    <w:rsid w:val="005E3BB9"/>
    <w:rsid w:val="005E4D0D"/>
    <w:rsid w:val="005E5199"/>
    <w:rsid w:val="005E559D"/>
    <w:rsid w:val="005E5647"/>
    <w:rsid w:val="005E5892"/>
    <w:rsid w:val="005E59F4"/>
    <w:rsid w:val="005E5BDE"/>
    <w:rsid w:val="005E6015"/>
    <w:rsid w:val="005E612E"/>
    <w:rsid w:val="005E634C"/>
    <w:rsid w:val="005E65FE"/>
    <w:rsid w:val="005E69F5"/>
    <w:rsid w:val="005E6C38"/>
    <w:rsid w:val="005E6EA6"/>
    <w:rsid w:val="005E6FD2"/>
    <w:rsid w:val="005E7805"/>
    <w:rsid w:val="005E7CB8"/>
    <w:rsid w:val="005E7EDF"/>
    <w:rsid w:val="005F0023"/>
    <w:rsid w:val="005F0461"/>
    <w:rsid w:val="005F0768"/>
    <w:rsid w:val="005F08CB"/>
    <w:rsid w:val="005F099D"/>
    <w:rsid w:val="005F0E42"/>
    <w:rsid w:val="005F1773"/>
    <w:rsid w:val="005F17D5"/>
    <w:rsid w:val="005F1E5F"/>
    <w:rsid w:val="005F20C7"/>
    <w:rsid w:val="005F20E8"/>
    <w:rsid w:val="005F24ED"/>
    <w:rsid w:val="005F2B2F"/>
    <w:rsid w:val="005F2C0A"/>
    <w:rsid w:val="005F2DB8"/>
    <w:rsid w:val="005F2E8A"/>
    <w:rsid w:val="005F30DA"/>
    <w:rsid w:val="005F348B"/>
    <w:rsid w:val="005F3562"/>
    <w:rsid w:val="005F3651"/>
    <w:rsid w:val="005F36CB"/>
    <w:rsid w:val="005F37E5"/>
    <w:rsid w:val="005F3D01"/>
    <w:rsid w:val="005F460C"/>
    <w:rsid w:val="005F48DA"/>
    <w:rsid w:val="005F4BD5"/>
    <w:rsid w:val="005F4C89"/>
    <w:rsid w:val="005F537F"/>
    <w:rsid w:val="005F6015"/>
    <w:rsid w:val="005F6058"/>
    <w:rsid w:val="005F64B0"/>
    <w:rsid w:val="005F6914"/>
    <w:rsid w:val="005F69EA"/>
    <w:rsid w:val="005F7012"/>
    <w:rsid w:val="005F729F"/>
    <w:rsid w:val="005F753D"/>
    <w:rsid w:val="005F7801"/>
    <w:rsid w:val="005F7D19"/>
    <w:rsid w:val="006001C2"/>
    <w:rsid w:val="0060188E"/>
    <w:rsid w:val="00601BB2"/>
    <w:rsid w:val="00601D07"/>
    <w:rsid w:val="00602070"/>
    <w:rsid w:val="006022A8"/>
    <w:rsid w:val="00602349"/>
    <w:rsid w:val="006023A5"/>
    <w:rsid w:val="006023AA"/>
    <w:rsid w:val="006023D3"/>
    <w:rsid w:val="00602DA3"/>
    <w:rsid w:val="00602F73"/>
    <w:rsid w:val="00603065"/>
    <w:rsid w:val="006030E9"/>
    <w:rsid w:val="0060326B"/>
    <w:rsid w:val="0060363E"/>
    <w:rsid w:val="00603688"/>
    <w:rsid w:val="006036E0"/>
    <w:rsid w:val="006039AB"/>
    <w:rsid w:val="00603A0E"/>
    <w:rsid w:val="00603CE6"/>
    <w:rsid w:val="00604478"/>
    <w:rsid w:val="00604498"/>
    <w:rsid w:val="00604A77"/>
    <w:rsid w:val="00604BC9"/>
    <w:rsid w:val="00604F8B"/>
    <w:rsid w:val="006052B9"/>
    <w:rsid w:val="00605319"/>
    <w:rsid w:val="006054E1"/>
    <w:rsid w:val="00605564"/>
    <w:rsid w:val="0060558C"/>
    <w:rsid w:val="00605B35"/>
    <w:rsid w:val="00605BA1"/>
    <w:rsid w:val="00605EEF"/>
    <w:rsid w:val="00605FDB"/>
    <w:rsid w:val="00606163"/>
    <w:rsid w:val="00606632"/>
    <w:rsid w:val="00606BCC"/>
    <w:rsid w:val="00606E77"/>
    <w:rsid w:val="00606EFF"/>
    <w:rsid w:val="006073D0"/>
    <w:rsid w:val="006077BD"/>
    <w:rsid w:val="00607A2F"/>
    <w:rsid w:val="00607E59"/>
    <w:rsid w:val="00607E85"/>
    <w:rsid w:val="00610094"/>
    <w:rsid w:val="00610487"/>
    <w:rsid w:val="0061051E"/>
    <w:rsid w:val="0061183F"/>
    <w:rsid w:val="00611AA3"/>
    <w:rsid w:val="006130F3"/>
    <w:rsid w:val="00613220"/>
    <w:rsid w:val="0061387E"/>
    <w:rsid w:val="00613C19"/>
    <w:rsid w:val="006145CA"/>
    <w:rsid w:val="006149DF"/>
    <w:rsid w:val="00614ED8"/>
    <w:rsid w:val="00614FB2"/>
    <w:rsid w:val="00615D66"/>
    <w:rsid w:val="00616542"/>
    <w:rsid w:val="0061661E"/>
    <w:rsid w:val="00616896"/>
    <w:rsid w:val="00616A1C"/>
    <w:rsid w:val="00616D69"/>
    <w:rsid w:val="00617453"/>
    <w:rsid w:val="00617867"/>
    <w:rsid w:val="00620092"/>
    <w:rsid w:val="00620150"/>
    <w:rsid w:val="00620217"/>
    <w:rsid w:val="00620226"/>
    <w:rsid w:val="0062046F"/>
    <w:rsid w:val="006207A1"/>
    <w:rsid w:val="0062084E"/>
    <w:rsid w:val="00620933"/>
    <w:rsid w:val="00620AA4"/>
    <w:rsid w:val="00620B4E"/>
    <w:rsid w:val="00620CE4"/>
    <w:rsid w:val="00620E47"/>
    <w:rsid w:val="00620FA3"/>
    <w:rsid w:val="006213A7"/>
    <w:rsid w:val="0062143C"/>
    <w:rsid w:val="00622025"/>
    <w:rsid w:val="00622891"/>
    <w:rsid w:val="006228C6"/>
    <w:rsid w:val="006229EF"/>
    <w:rsid w:val="006237F3"/>
    <w:rsid w:val="006238BB"/>
    <w:rsid w:val="00623C7F"/>
    <w:rsid w:val="0062407C"/>
    <w:rsid w:val="00624830"/>
    <w:rsid w:val="006248E0"/>
    <w:rsid w:val="00624B00"/>
    <w:rsid w:val="00624D3B"/>
    <w:rsid w:val="00624E0E"/>
    <w:rsid w:val="00624E1F"/>
    <w:rsid w:val="0062548E"/>
    <w:rsid w:val="00625ED9"/>
    <w:rsid w:val="00626005"/>
    <w:rsid w:val="00626059"/>
    <w:rsid w:val="0062695B"/>
    <w:rsid w:val="00626D3B"/>
    <w:rsid w:val="006270DA"/>
    <w:rsid w:val="006277A9"/>
    <w:rsid w:val="00627D80"/>
    <w:rsid w:val="00627FA8"/>
    <w:rsid w:val="0063059B"/>
    <w:rsid w:val="006313CA"/>
    <w:rsid w:val="006321AF"/>
    <w:rsid w:val="00632580"/>
    <w:rsid w:val="00632820"/>
    <w:rsid w:val="00632BE3"/>
    <w:rsid w:val="00632E9B"/>
    <w:rsid w:val="00632F00"/>
    <w:rsid w:val="0063301E"/>
    <w:rsid w:val="006331D0"/>
    <w:rsid w:val="00633393"/>
    <w:rsid w:val="00633803"/>
    <w:rsid w:val="00633813"/>
    <w:rsid w:val="006338C3"/>
    <w:rsid w:val="006344E5"/>
    <w:rsid w:val="0063497A"/>
    <w:rsid w:val="00634C6E"/>
    <w:rsid w:val="00635331"/>
    <w:rsid w:val="00635AA9"/>
    <w:rsid w:val="006364B2"/>
    <w:rsid w:val="00636ABD"/>
    <w:rsid w:val="0063701B"/>
    <w:rsid w:val="006379C8"/>
    <w:rsid w:val="006404A2"/>
    <w:rsid w:val="0064072C"/>
    <w:rsid w:val="006413E7"/>
    <w:rsid w:val="00641421"/>
    <w:rsid w:val="00641545"/>
    <w:rsid w:val="00641A19"/>
    <w:rsid w:val="006420D9"/>
    <w:rsid w:val="00642114"/>
    <w:rsid w:val="00642340"/>
    <w:rsid w:val="0064263D"/>
    <w:rsid w:val="00642679"/>
    <w:rsid w:val="006429E6"/>
    <w:rsid w:val="00642A28"/>
    <w:rsid w:val="0064307B"/>
    <w:rsid w:val="00643457"/>
    <w:rsid w:val="00643971"/>
    <w:rsid w:val="006444BF"/>
    <w:rsid w:val="00644A66"/>
    <w:rsid w:val="00644D3A"/>
    <w:rsid w:val="00645475"/>
    <w:rsid w:val="0064591E"/>
    <w:rsid w:val="00645CD9"/>
    <w:rsid w:val="00646060"/>
    <w:rsid w:val="00646187"/>
    <w:rsid w:val="006463CC"/>
    <w:rsid w:val="00646ECF"/>
    <w:rsid w:val="00647283"/>
    <w:rsid w:val="006477F8"/>
    <w:rsid w:val="00647B34"/>
    <w:rsid w:val="00647CF0"/>
    <w:rsid w:val="00647D8B"/>
    <w:rsid w:val="00647FFE"/>
    <w:rsid w:val="00650C5C"/>
    <w:rsid w:val="006513B2"/>
    <w:rsid w:val="00651D72"/>
    <w:rsid w:val="006520F6"/>
    <w:rsid w:val="006523E9"/>
    <w:rsid w:val="00652676"/>
    <w:rsid w:val="00652B83"/>
    <w:rsid w:val="00652E25"/>
    <w:rsid w:val="006531EA"/>
    <w:rsid w:val="00653664"/>
    <w:rsid w:val="006538E5"/>
    <w:rsid w:val="00653A06"/>
    <w:rsid w:val="00653C9D"/>
    <w:rsid w:val="00653E55"/>
    <w:rsid w:val="00654256"/>
    <w:rsid w:val="0065433E"/>
    <w:rsid w:val="006547DA"/>
    <w:rsid w:val="00654FB9"/>
    <w:rsid w:val="006558C8"/>
    <w:rsid w:val="006563C4"/>
    <w:rsid w:val="0065693B"/>
    <w:rsid w:val="00656E06"/>
    <w:rsid w:val="00656E16"/>
    <w:rsid w:val="00656FEA"/>
    <w:rsid w:val="00656FFD"/>
    <w:rsid w:val="006572DC"/>
    <w:rsid w:val="006574C5"/>
    <w:rsid w:val="006574EF"/>
    <w:rsid w:val="00657650"/>
    <w:rsid w:val="006576C1"/>
    <w:rsid w:val="00657A30"/>
    <w:rsid w:val="00657E62"/>
    <w:rsid w:val="00657FA9"/>
    <w:rsid w:val="00660353"/>
    <w:rsid w:val="006607D6"/>
    <w:rsid w:val="00660B62"/>
    <w:rsid w:val="0066196A"/>
    <w:rsid w:val="00661CCA"/>
    <w:rsid w:val="0066224C"/>
    <w:rsid w:val="00662B1D"/>
    <w:rsid w:val="006630F8"/>
    <w:rsid w:val="00663238"/>
    <w:rsid w:val="006638A6"/>
    <w:rsid w:val="0066395B"/>
    <w:rsid w:val="00663A5A"/>
    <w:rsid w:val="00663ECF"/>
    <w:rsid w:val="00663F07"/>
    <w:rsid w:val="0066423B"/>
    <w:rsid w:val="006645B5"/>
    <w:rsid w:val="00664D64"/>
    <w:rsid w:val="00665055"/>
    <w:rsid w:val="0066543D"/>
    <w:rsid w:val="006655CA"/>
    <w:rsid w:val="00665666"/>
    <w:rsid w:val="00665769"/>
    <w:rsid w:val="00665ADB"/>
    <w:rsid w:val="00665F78"/>
    <w:rsid w:val="0066676B"/>
    <w:rsid w:val="00667359"/>
    <w:rsid w:val="00667994"/>
    <w:rsid w:val="00670171"/>
    <w:rsid w:val="00670220"/>
    <w:rsid w:val="006707DD"/>
    <w:rsid w:val="00670E32"/>
    <w:rsid w:val="00670E7A"/>
    <w:rsid w:val="006710F9"/>
    <w:rsid w:val="006711F1"/>
    <w:rsid w:val="00671370"/>
    <w:rsid w:val="00671493"/>
    <w:rsid w:val="0067212C"/>
    <w:rsid w:val="0067260F"/>
    <w:rsid w:val="00672CFB"/>
    <w:rsid w:val="00672D3E"/>
    <w:rsid w:val="00673BC7"/>
    <w:rsid w:val="0067427A"/>
    <w:rsid w:val="00674359"/>
    <w:rsid w:val="00674694"/>
    <w:rsid w:val="006746FD"/>
    <w:rsid w:val="00674826"/>
    <w:rsid w:val="00674888"/>
    <w:rsid w:val="00674DBE"/>
    <w:rsid w:val="00675374"/>
    <w:rsid w:val="00675A6E"/>
    <w:rsid w:val="00675B44"/>
    <w:rsid w:val="00675C10"/>
    <w:rsid w:val="00675C90"/>
    <w:rsid w:val="00675CBE"/>
    <w:rsid w:val="00675D8B"/>
    <w:rsid w:val="006767A8"/>
    <w:rsid w:val="00676950"/>
    <w:rsid w:val="00676AFC"/>
    <w:rsid w:val="006772E7"/>
    <w:rsid w:val="0067754E"/>
    <w:rsid w:val="006776D6"/>
    <w:rsid w:val="006779BE"/>
    <w:rsid w:val="006802F8"/>
    <w:rsid w:val="00680380"/>
    <w:rsid w:val="00680831"/>
    <w:rsid w:val="00680CCF"/>
    <w:rsid w:val="00681729"/>
    <w:rsid w:val="00681758"/>
    <w:rsid w:val="0068178A"/>
    <w:rsid w:val="00681885"/>
    <w:rsid w:val="00681D34"/>
    <w:rsid w:val="00682115"/>
    <w:rsid w:val="00682333"/>
    <w:rsid w:val="006823D2"/>
    <w:rsid w:val="006823F8"/>
    <w:rsid w:val="006827AB"/>
    <w:rsid w:val="00682951"/>
    <w:rsid w:val="00682CCB"/>
    <w:rsid w:val="00683108"/>
    <w:rsid w:val="006832DE"/>
    <w:rsid w:val="00683B49"/>
    <w:rsid w:val="00684135"/>
    <w:rsid w:val="0068514D"/>
    <w:rsid w:val="006851D6"/>
    <w:rsid w:val="00685DCB"/>
    <w:rsid w:val="006862A1"/>
    <w:rsid w:val="006862B4"/>
    <w:rsid w:val="006863D3"/>
    <w:rsid w:val="0068684A"/>
    <w:rsid w:val="00687C70"/>
    <w:rsid w:val="00687E3E"/>
    <w:rsid w:val="00687EEB"/>
    <w:rsid w:val="00690057"/>
    <w:rsid w:val="006903F6"/>
    <w:rsid w:val="0069071B"/>
    <w:rsid w:val="00690A75"/>
    <w:rsid w:val="00690B04"/>
    <w:rsid w:val="00690C82"/>
    <w:rsid w:val="00691075"/>
    <w:rsid w:val="00691568"/>
    <w:rsid w:val="00691682"/>
    <w:rsid w:val="00691816"/>
    <w:rsid w:val="00691ADE"/>
    <w:rsid w:val="00691F98"/>
    <w:rsid w:val="0069249C"/>
    <w:rsid w:val="0069453B"/>
    <w:rsid w:val="006947AE"/>
    <w:rsid w:val="006949D3"/>
    <w:rsid w:val="00694CD6"/>
    <w:rsid w:val="00694F08"/>
    <w:rsid w:val="00694F89"/>
    <w:rsid w:val="0069507A"/>
    <w:rsid w:val="00695838"/>
    <w:rsid w:val="006965CC"/>
    <w:rsid w:val="00696703"/>
    <w:rsid w:val="006969CD"/>
    <w:rsid w:val="00696D73"/>
    <w:rsid w:val="00697394"/>
    <w:rsid w:val="006A00C4"/>
    <w:rsid w:val="006A087D"/>
    <w:rsid w:val="006A153D"/>
    <w:rsid w:val="006A16C1"/>
    <w:rsid w:val="006A17E4"/>
    <w:rsid w:val="006A189C"/>
    <w:rsid w:val="006A18B8"/>
    <w:rsid w:val="006A1A9C"/>
    <w:rsid w:val="006A1D1F"/>
    <w:rsid w:val="006A24A2"/>
    <w:rsid w:val="006A28F6"/>
    <w:rsid w:val="006A32F8"/>
    <w:rsid w:val="006A3823"/>
    <w:rsid w:val="006A3D01"/>
    <w:rsid w:val="006A4770"/>
    <w:rsid w:val="006A48D1"/>
    <w:rsid w:val="006A4B3F"/>
    <w:rsid w:val="006A4C75"/>
    <w:rsid w:val="006A4D70"/>
    <w:rsid w:val="006A4E39"/>
    <w:rsid w:val="006A551E"/>
    <w:rsid w:val="006A5712"/>
    <w:rsid w:val="006A5AF6"/>
    <w:rsid w:val="006A5B9E"/>
    <w:rsid w:val="006A5F42"/>
    <w:rsid w:val="006A6B66"/>
    <w:rsid w:val="006A70F4"/>
    <w:rsid w:val="006A7A39"/>
    <w:rsid w:val="006A7EF7"/>
    <w:rsid w:val="006B0A2A"/>
    <w:rsid w:val="006B0A73"/>
    <w:rsid w:val="006B0BA6"/>
    <w:rsid w:val="006B153B"/>
    <w:rsid w:val="006B16B4"/>
    <w:rsid w:val="006B2004"/>
    <w:rsid w:val="006B2498"/>
    <w:rsid w:val="006B289F"/>
    <w:rsid w:val="006B2C66"/>
    <w:rsid w:val="006B325D"/>
    <w:rsid w:val="006B3552"/>
    <w:rsid w:val="006B3771"/>
    <w:rsid w:val="006B37DA"/>
    <w:rsid w:val="006B391C"/>
    <w:rsid w:val="006B3AFC"/>
    <w:rsid w:val="006B3B65"/>
    <w:rsid w:val="006B40F4"/>
    <w:rsid w:val="006B44DB"/>
    <w:rsid w:val="006B4607"/>
    <w:rsid w:val="006B49DB"/>
    <w:rsid w:val="006B4C18"/>
    <w:rsid w:val="006B4FD9"/>
    <w:rsid w:val="006B5306"/>
    <w:rsid w:val="006B54A1"/>
    <w:rsid w:val="006B5B35"/>
    <w:rsid w:val="006B610B"/>
    <w:rsid w:val="006B6234"/>
    <w:rsid w:val="006B62D9"/>
    <w:rsid w:val="006B6F06"/>
    <w:rsid w:val="006B7A9E"/>
    <w:rsid w:val="006B7ADE"/>
    <w:rsid w:val="006C04E3"/>
    <w:rsid w:val="006C0521"/>
    <w:rsid w:val="006C0BBA"/>
    <w:rsid w:val="006C0CCC"/>
    <w:rsid w:val="006C107B"/>
    <w:rsid w:val="006C1380"/>
    <w:rsid w:val="006C1F59"/>
    <w:rsid w:val="006C2515"/>
    <w:rsid w:val="006C3426"/>
    <w:rsid w:val="006C4508"/>
    <w:rsid w:val="006C4A4B"/>
    <w:rsid w:val="006C4B97"/>
    <w:rsid w:val="006C5039"/>
    <w:rsid w:val="006C567E"/>
    <w:rsid w:val="006C59A7"/>
    <w:rsid w:val="006C59BF"/>
    <w:rsid w:val="006C5B24"/>
    <w:rsid w:val="006C5C74"/>
    <w:rsid w:val="006C5E04"/>
    <w:rsid w:val="006C643A"/>
    <w:rsid w:val="006C664D"/>
    <w:rsid w:val="006C7148"/>
    <w:rsid w:val="006C71F5"/>
    <w:rsid w:val="006C7343"/>
    <w:rsid w:val="006C73BC"/>
    <w:rsid w:val="006C7407"/>
    <w:rsid w:val="006C74F9"/>
    <w:rsid w:val="006C7652"/>
    <w:rsid w:val="006C780F"/>
    <w:rsid w:val="006C7EDE"/>
    <w:rsid w:val="006D08B1"/>
    <w:rsid w:val="006D139C"/>
    <w:rsid w:val="006D1AE7"/>
    <w:rsid w:val="006D1BFD"/>
    <w:rsid w:val="006D1F3D"/>
    <w:rsid w:val="006D2492"/>
    <w:rsid w:val="006D24BE"/>
    <w:rsid w:val="006D2A89"/>
    <w:rsid w:val="006D34C9"/>
    <w:rsid w:val="006D38E6"/>
    <w:rsid w:val="006D3F6C"/>
    <w:rsid w:val="006D4026"/>
    <w:rsid w:val="006D4E21"/>
    <w:rsid w:val="006D4FCF"/>
    <w:rsid w:val="006D5136"/>
    <w:rsid w:val="006D6579"/>
    <w:rsid w:val="006D6665"/>
    <w:rsid w:val="006D68B9"/>
    <w:rsid w:val="006D69DF"/>
    <w:rsid w:val="006D6C2E"/>
    <w:rsid w:val="006D6D7C"/>
    <w:rsid w:val="006D705E"/>
    <w:rsid w:val="006D72A0"/>
    <w:rsid w:val="006D7303"/>
    <w:rsid w:val="006D765F"/>
    <w:rsid w:val="006D7845"/>
    <w:rsid w:val="006D79F1"/>
    <w:rsid w:val="006E051B"/>
    <w:rsid w:val="006E07DA"/>
    <w:rsid w:val="006E08F8"/>
    <w:rsid w:val="006E1484"/>
    <w:rsid w:val="006E174C"/>
    <w:rsid w:val="006E1781"/>
    <w:rsid w:val="006E1DB3"/>
    <w:rsid w:val="006E1F2D"/>
    <w:rsid w:val="006E2650"/>
    <w:rsid w:val="006E3350"/>
    <w:rsid w:val="006E33F8"/>
    <w:rsid w:val="006E36DB"/>
    <w:rsid w:val="006E3D11"/>
    <w:rsid w:val="006E3DA9"/>
    <w:rsid w:val="006E40E6"/>
    <w:rsid w:val="006E4369"/>
    <w:rsid w:val="006E4440"/>
    <w:rsid w:val="006E4739"/>
    <w:rsid w:val="006E4C15"/>
    <w:rsid w:val="006E5749"/>
    <w:rsid w:val="006E5912"/>
    <w:rsid w:val="006E5B7D"/>
    <w:rsid w:val="006E607D"/>
    <w:rsid w:val="006E6102"/>
    <w:rsid w:val="006E632C"/>
    <w:rsid w:val="006E6580"/>
    <w:rsid w:val="006E6A31"/>
    <w:rsid w:val="006E6ADC"/>
    <w:rsid w:val="006E7E1A"/>
    <w:rsid w:val="006F0135"/>
    <w:rsid w:val="006F0203"/>
    <w:rsid w:val="006F0627"/>
    <w:rsid w:val="006F13EF"/>
    <w:rsid w:val="006F169E"/>
    <w:rsid w:val="006F16CD"/>
    <w:rsid w:val="006F16D2"/>
    <w:rsid w:val="006F18C1"/>
    <w:rsid w:val="006F1A76"/>
    <w:rsid w:val="006F1E24"/>
    <w:rsid w:val="006F1E5F"/>
    <w:rsid w:val="006F2810"/>
    <w:rsid w:val="006F37A1"/>
    <w:rsid w:val="006F3914"/>
    <w:rsid w:val="006F3EC8"/>
    <w:rsid w:val="006F40A8"/>
    <w:rsid w:val="006F4820"/>
    <w:rsid w:val="006F522F"/>
    <w:rsid w:val="006F58F6"/>
    <w:rsid w:val="006F5977"/>
    <w:rsid w:val="006F5DD1"/>
    <w:rsid w:val="006F62FC"/>
    <w:rsid w:val="006F6DD4"/>
    <w:rsid w:val="006F77AD"/>
    <w:rsid w:val="006F7C9B"/>
    <w:rsid w:val="006F7FB9"/>
    <w:rsid w:val="007001D5"/>
    <w:rsid w:val="007003D0"/>
    <w:rsid w:val="007006F1"/>
    <w:rsid w:val="007008E2"/>
    <w:rsid w:val="00700DD4"/>
    <w:rsid w:val="0070148B"/>
    <w:rsid w:val="0070187E"/>
    <w:rsid w:val="00701F85"/>
    <w:rsid w:val="007025D1"/>
    <w:rsid w:val="00702741"/>
    <w:rsid w:val="00702A93"/>
    <w:rsid w:val="0070392D"/>
    <w:rsid w:val="0070398D"/>
    <w:rsid w:val="00703F30"/>
    <w:rsid w:val="00704107"/>
    <w:rsid w:val="0070454C"/>
    <w:rsid w:val="0070474A"/>
    <w:rsid w:val="00704960"/>
    <w:rsid w:val="00704F1A"/>
    <w:rsid w:val="0070527E"/>
    <w:rsid w:val="00705999"/>
    <w:rsid w:val="00705C19"/>
    <w:rsid w:val="00706032"/>
    <w:rsid w:val="00706366"/>
    <w:rsid w:val="00706368"/>
    <w:rsid w:val="00706DCB"/>
    <w:rsid w:val="00706DF8"/>
    <w:rsid w:val="00706DFC"/>
    <w:rsid w:val="0070717C"/>
    <w:rsid w:val="007106B3"/>
    <w:rsid w:val="0071072A"/>
    <w:rsid w:val="007107AA"/>
    <w:rsid w:val="00710880"/>
    <w:rsid w:val="00710D8F"/>
    <w:rsid w:val="00711019"/>
    <w:rsid w:val="0071123B"/>
    <w:rsid w:val="0071145C"/>
    <w:rsid w:val="00711A0C"/>
    <w:rsid w:val="00711E0B"/>
    <w:rsid w:val="00711FFC"/>
    <w:rsid w:val="00712E3C"/>
    <w:rsid w:val="00712E75"/>
    <w:rsid w:val="00713B28"/>
    <w:rsid w:val="00713FBA"/>
    <w:rsid w:val="00714706"/>
    <w:rsid w:val="0071472C"/>
    <w:rsid w:val="00714813"/>
    <w:rsid w:val="00714EC6"/>
    <w:rsid w:val="0071572B"/>
    <w:rsid w:val="007157FE"/>
    <w:rsid w:val="0071581D"/>
    <w:rsid w:val="007159AB"/>
    <w:rsid w:val="007159CB"/>
    <w:rsid w:val="00715DD7"/>
    <w:rsid w:val="00716F1D"/>
    <w:rsid w:val="00717156"/>
    <w:rsid w:val="007176AF"/>
    <w:rsid w:val="00717B6E"/>
    <w:rsid w:val="00717C78"/>
    <w:rsid w:val="00721762"/>
    <w:rsid w:val="0072178A"/>
    <w:rsid w:val="007219EE"/>
    <w:rsid w:val="00721A74"/>
    <w:rsid w:val="007222BC"/>
    <w:rsid w:val="00723389"/>
    <w:rsid w:val="007249A7"/>
    <w:rsid w:val="00724A7D"/>
    <w:rsid w:val="007254A4"/>
    <w:rsid w:val="007255DF"/>
    <w:rsid w:val="0072567B"/>
    <w:rsid w:val="0072570E"/>
    <w:rsid w:val="00725DD5"/>
    <w:rsid w:val="00726753"/>
    <w:rsid w:val="00726F87"/>
    <w:rsid w:val="0072777D"/>
    <w:rsid w:val="00727C07"/>
    <w:rsid w:val="00727CD1"/>
    <w:rsid w:val="00727D3E"/>
    <w:rsid w:val="00727D4D"/>
    <w:rsid w:val="0073012B"/>
    <w:rsid w:val="0073023F"/>
    <w:rsid w:val="00730301"/>
    <w:rsid w:val="00730702"/>
    <w:rsid w:val="00730B7E"/>
    <w:rsid w:val="00730C38"/>
    <w:rsid w:val="00730C5B"/>
    <w:rsid w:val="007310FF"/>
    <w:rsid w:val="007315ED"/>
    <w:rsid w:val="00731653"/>
    <w:rsid w:val="00731AB5"/>
    <w:rsid w:val="00732266"/>
    <w:rsid w:val="007326DF"/>
    <w:rsid w:val="0073288C"/>
    <w:rsid w:val="00732FC2"/>
    <w:rsid w:val="007337C5"/>
    <w:rsid w:val="00733813"/>
    <w:rsid w:val="00733A59"/>
    <w:rsid w:val="00733D2F"/>
    <w:rsid w:val="0073400F"/>
    <w:rsid w:val="00734265"/>
    <w:rsid w:val="007343D8"/>
    <w:rsid w:val="00734EE6"/>
    <w:rsid w:val="007350A4"/>
    <w:rsid w:val="00735103"/>
    <w:rsid w:val="0073556E"/>
    <w:rsid w:val="0073558C"/>
    <w:rsid w:val="0073584C"/>
    <w:rsid w:val="007359B9"/>
    <w:rsid w:val="007362CA"/>
    <w:rsid w:val="00736498"/>
    <w:rsid w:val="00736587"/>
    <w:rsid w:val="007366F1"/>
    <w:rsid w:val="00736AC2"/>
    <w:rsid w:val="00736B01"/>
    <w:rsid w:val="00736DA1"/>
    <w:rsid w:val="00736FD2"/>
    <w:rsid w:val="007370F1"/>
    <w:rsid w:val="00737DE2"/>
    <w:rsid w:val="00737ED0"/>
    <w:rsid w:val="00740D0A"/>
    <w:rsid w:val="00740D86"/>
    <w:rsid w:val="00741209"/>
    <w:rsid w:val="007416D9"/>
    <w:rsid w:val="00741BF7"/>
    <w:rsid w:val="00741D9F"/>
    <w:rsid w:val="00741FFD"/>
    <w:rsid w:val="00742173"/>
    <w:rsid w:val="007429A5"/>
    <w:rsid w:val="00742B95"/>
    <w:rsid w:val="00742E08"/>
    <w:rsid w:val="0074337C"/>
    <w:rsid w:val="007437CC"/>
    <w:rsid w:val="00743B34"/>
    <w:rsid w:val="00744107"/>
    <w:rsid w:val="007441D6"/>
    <w:rsid w:val="007443DA"/>
    <w:rsid w:val="007443F9"/>
    <w:rsid w:val="0074465F"/>
    <w:rsid w:val="007448FB"/>
    <w:rsid w:val="0074490E"/>
    <w:rsid w:val="00744E0E"/>
    <w:rsid w:val="00745108"/>
    <w:rsid w:val="007454FE"/>
    <w:rsid w:val="00745E7A"/>
    <w:rsid w:val="0074692B"/>
    <w:rsid w:val="00746A18"/>
    <w:rsid w:val="00746F53"/>
    <w:rsid w:val="0074706F"/>
    <w:rsid w:val="00747761"/>
    <w:rsid w:val="00747C9A"/>
    <w:rsid w:val="00747CB1"/>
    <w:rsid w:val="00750679"/>
    <w:rsid w:val="0075073C"/>
    <w:rsid w:val="00750822"/>
    <w:rsid w:val="00750828"/>
    <w:rsid w:val="00750E67"/>
    <w:rsid w:val="00750E78"/>
    <w:rsid w:val="00750EDC"/>
    <w:rsid w:val="00751039"/>
    <w:rsid w:val="00751628"/>
    <w:rsid w:val="00751B7F"/>
    <w:rsid w:val="00751D35"/>
    <w:rsid w:val="0075253D"/>
    <w:rsid w:val="007526C7"/>
    <w:rsid w:val="007528AF"/>
    <w:rsid w:val="00752D2C"/>
    <w:rsid w:val="00752DAB"/>
    <w:rsid w:val="00752E35"/>
    <w:rsid w:val="00754389"/>
    <w:rsid w:val="007544F4"/>
    <w:rsid w:val="007547A7"/>
    <w:rsid w:val="00755B2D"/>
    <w:rsid w:val="007562A9"/>
    <w:rsid w:val="007562E9"/>
    <w:rsid w:val="00756491"/>
    <w:rsid w:val="00756ABC"/>
    <w:rsid w:val="00756E69"/>
    <w:rsid w:val="00756FD0"/>
    <w:rsid w:val="00757A5E"/>
    <w:rsid w:val="0076011B"/>
    <w:rsid w:val="00760179"/>
    <w:rsid w:val="00760BD7"/>
    <w:rsid w:val="00760D2F"/>
    <w:rsid w:val="0076104B"/>
    <w:rsid w:val="0076106D"/>
    <w:rsid w:val="007614A2"/>
    <w:rsid w:val="0076163F"/>
    <w:rsid w:val="00761999"/>
    <w:rsid w:val="00761CCC"/>
    <w:rsid w:val="00761D13"/>
    <w:rsid w:val="00762220"/>
    <w:rsid w:val="007629A8"/>
    <w:rsid w:val="00762B2D"/>
    <w:rsid w:val="0076371A"/>
    <w:rsid w:val="007637A6"/>
    <w:rsid w:val="00763B53"/>
    <w:rsid w:val="007644FA"/>
    <w:rsid w:val="007647E8"/>
    <w:rsid w:val="007648D0"/>
    <w:rsid w:val="00764B32"/>
    <w:rsid w:val="007652ED"/>
    <w:rsid w:val="0076533F"/>
    <w:rsid w:val="00765689"/>
    <w:rsid w:val="00765C1D"/>
    <w:rsid w:val="00765CF4"/>
    <w:rsid w:val="00765F6E"/>
    <w:rsid w:val="007662A6"/>
    <w:rsid w:val="00766D55"/>
    <w:rsid w:val="00766EF5"/>
    <w:rsid w:val="00767183"/>
    <w:rsid w:val="00767612"/>
    <w:rsid w:val="00767925"/>
    <w:rsid w:val="00767926"/>
    <w:rsid w:val="00767BD1"/>
    <w:rsid w:val="00770555"/>
    <w:rsid w:val="007707C5"/>
    <w:rsid w:val="00770A92"/>
    <w:rsid w:val="00770F0B"/>
    <w:rsid w:val="00771331"/>
    <w:rsid w:val="00771632"/>
    <w:rsid w:val="00772217"/>
    <w:rsid w:val="007722F4"/>
    <w:rsid w:val="007734F6"/>
    <w:rsid w:val="00773817"/>
    <w:rsid w:val="00773856"/>
    <w:rsid w:val="00773BD8"/>
    <w:rsid w:val="00773FFD"/>
    <w:rsid w:val="00774802"/>
    <w:rsid w:val="00774CF9"/>
    <w:rsid w:val="00774E73"/>
    <w:rsid w:val="007751B6"/>
    <w:rsid w:val="00775376"/>
    <w:rsid w:val="00775A4F"/>
    <w:rsid w:val="00775B45"/>
    <w:rsid w:val="00775E12"/>
    <w:rsid w:val="007762A6"/>
    <w:rsid w:val="007767A1"/>
    <w:rsid w:val="007769DD"/>
    <w:rsid w:val="00776D29"/>
    <w:rsid w:val="00777040"/>
    <w:rsid w:val="00777128"/>
    <w:rsid w:val="007772AA"/>
    <w:rsid w:val="00777AAC"/>
    <w:rsid w:val="00777C48"/>
    <w:rsid w:val="00777C6E"/>
    <w:rsid w:val="00777D51"/>
    <w:rsid w:val="0078021A"/>
    <w:rsid w:val="0078049E"/>
    <w:rsid w:val="00781015"/>
    <w:rsid w:val="0078207E"/>
    <w:rsid w:val="00782473"/>
    <w:rsid w:val="0078251C"/>
    <w:rsid w:val="007826BA"/>
    <w:rsid w:val="00782D13"/>
    <w:rsid w:val="00782F6C"/>
    <w:rsid w:val="00783065"/>
    <w:rsid w:val="007832E4"/>
    <w:rsid w:val="00783488"/>
    <w:rsid w:val="00783A58"/>
    <w:rsid w:val="00783CD9"/>
    <w:rsid w:val="00783DC8"/>
    <w:rsid w:val="00783F37"/>
    <w:rsid w:val="0078400A"/>
    <w:rsid w:val="0078427A"/>
    <w:rsid w:val="007842B5"/>
    <w:rsid w:val="00784CEE"/>
    <w:rsid w:val="00784D65"/>
    <w:rsid w:val="00784EB4"/>
    <w:rsid w:val="0078505A"/>
    <w:rsid w:val="0078530E"/>
    <w:rsid w:val="007854B9"/>
    <w:rsid w:val="007854F3"/>
    <w:rsid w:val="00785567"/>
    <w:rsid w:val="007857A3"/>
    <w:rsid w:val="00785851"/>
    <w:rsid w:val="00785909"/>
    <w:rsid w:val="00785CCB"/>
    <w:rsid w:val="00785E83"/>
    <w:rsid w:val="00785F06"/>
    <w:rsid w:val="007861E1"/>
    <w:rsid w:val="007862DD"/>
    <w:rsid w:val="00786344"/>
    <w:rsid w:val="007868E9"/>
    <w:rsid w:val="007871AB"/>
    <w:rsid w:val="00787431"/>
    <w:rsid w:val="00787AAB"/>
    <w:rsid w:val="0079020B"/>
    <w:rsid w:val="007908A3"/>
    <w:rsid w:val="007908DD"/>
    <w:rsid w:val="00790A53"/>
    <w:rsid w:val="00790C0A"/>
    <w:rsid w:val="00790EA6"/>
    <w:rsid w:val="00791549"/>
    <w:rsid w:val="00791729"/>
    <w:rsid w:val="00791CF6"/>
    <w:rsid w:val="007922C7"/>
    <w:rsid w:val="007928B4"/>
    <w:rsid w:val="007928BC"/>
    <w:rsid w:val="00792A7F"/>
    <w:rsid w:val="00792B5B"/>
    <w:rsid w:val="00792B83"/>
    <w:rsid w:val="00792CC3"/>
    <w:rsid w:val="00792E5B"/>
    <w:rsid w:val="00793982"/>
    <w:rsid w:val="007939DB"/>
    <w:rsid w:val="00793C53"/>
    <w:rsid w:val="007940F3"/>
    <w:rsid w:val="007940F7"/>
    <w:rsid w:val="0079427B"/>
    <w:rsid w:val="007944E1"/>
    <w:rsid w:val="00794AED"/>
    <w:rsid w:val="00794D4E"/>
    <w:rsid w:val="00794F2E"/>
    <w:rsid w:val="00795333"/>
    <w:rsid w:val="00795348"/>
    <w:rsid w:val="007959BC"/>
    <w:rsid w:val="00795CC2"/>
    <w:rsid w:val="007962B6"/>
    <w:rsid w:val="00796588"/>
    <w:rsid w:val="0079739C"/>
    <w:rsid w:val="007975D2"/>
    <w:rsid w:val="00797C17"/>
    <w:rsid w:val="00797C49"/>
    <w:rsid w:val="00797C53"/>
    <w:rsid w:val="00797D54"/>
    <w:rsid w:val="00797F15"/>
    <w:rsid w:val="007A003C"/>
    <w:rsid w:val="007A0224"/>
    <w:rsid w:val="007A030C"/>
    <w:rsid w:val="007A0530"/>
    <w:rsid w:val="007A05B9"/>
    <w:rsid w:val="007A16C4"/>
    <w:rsid w:val="007A1B12"/>
    <w:rsid w:val="007A1E1B"/>
    <w:rsid w:val="007A1F63"/>
    <w:rsid w:val="007A229D"/>
    <w:rsid w:val="007A2358"/>
    <w:rsid w:val="007A23BF"/>
    <w:rsid w:val="007A2462"/>
    <w:rsid w:val="007A25B2"/>
    <w:rsid w:val="007A2616"/>
    <w:rsid w:val="007A274B"/>
    <w:rsid w:val="007A2CBA"/>
    <w:rsid w:val="007A2D1A"/>
    <w:rsid w:val="007A332C"/>
    <w:rsid w:val="007A3C67"/>
    <w:rsid w:val="007A3CEA"/>
    <w:rsid w:val="007A3D46"/>
    <w:rsid w:val="007A3F48"/>
    <w:rsid w:val="007A3FC8"/>
    <w:rsid w:val="007A45A5"/>
    <w:rsid w:val="007A474C"/>
    <w:rsid w:val="007A4CEE"/>
    <w:rsid w:val="007A5126"/>
    <w:rsid w:val="007A52C2"/>
    <w:rsid w:val="007A53D8"/>
    <w:rsid w:val="007A5D50"/>
    <w:rsid w:val="007A5E1A"/>
    <w:rsid w:val="007A5FA8"/>
    <w:rsid w:val="007A62C9"/>
    <w:rsid w:val="007A6CB2"/>
    <w:rsid w:val="007A7836"/>
    <w:rsid w:val="007A7C17"/>
    <w:rsid w:val="007A7D76"/>
    <w:rsid w:val="007A7EDE"/>
    <w:rsid w:val="007A7FCD"/>
    <w:rsid w:val="007A7FF3"/>
    <w:rsid w:val="007B0B28"/>
    <w:rsid w:val="007B0D07"/>
    <w:rsid w:val="007B0FB0"/>
    <w:rsid w:val="007B0FEB"/>
    <w:rsid w:val="007B1ED8"/>
    <w:rsid w:val="007B2008"/>
    <w:rsid w:val="007B22E6"/>
    <w:rsid w:val="007B25B2"/>
    <w:rsid w:val="007B2680"/>
    <w:rsid w:val="007B3311"/>
    <w:rsid w:val="007B338C"/>
    <w:rsid w:val="007B39DB"/>
    <w:rsid w:val="007B3B39"/>
    <w:rsid w:val="007B3E04"/>
    <w:rsid w:val="007B3EBC"/>
    <w:rsid w:val="007B413E"/>
    <w:rsid w:val="007B4E55"/>
    <w:rsid w:val="007B525E"/>
    <w:rsid w:val="007B5F41"/>
    <w:rsid w:val="007B61EE"/>
    <w:rsid w:val="007B6331"/>
    <w:rsid w:val="007B6867"/>
    <w:rsid w:val="007B6AB5"/>
    <w:rsid w:val="007B7145"/>
    <w:rsid w:val="007B77F8"/>
    <w:rsid w:val="007B7BD2"/>
    <w:rsid w:val="007C01CB"/>
    <w:rsid w:val="007C0A00"/>
    <w:rsid w:val="007C0D5A"/>
    <w:rsid w:val="007C100E"/>
    <w:rsid w:val="007C11A3"/>
    <w:rsid w:val="007C1332"/>
    <w:rsid w:val="007C1398"/>
    <w:rsid w:val="007C161F"/>
    <w:rsid w:val="007C166F"/>
    <w:rsid w:val="007C1A6E"/>
    <w:rsid w:val="007C2207"/>
    <w:rsid w:val="007C2268"/>
    <w:rsid w:val="007C289C"/>
    <w:rsid w:val="007C2AB4"/>
    <w:rsid w:val="007C3395"/>
    <w:rsid w:val="007C355E"/>
    <w:rsid w:val="007C3B12"/>
    <w:rsid w:val="007C4523"/>
    <w:rsid w:val="007C45A5"/>
    <w:rsid w:val="007C4981"/>
    <w:rsid w:val="007C4C0C"/>
    <w:rsid w:val="007C5CC7"/>
    <w:rsid w:val="007C621A"/>
    <w:rsid w:val="007C6574"/>
    <w:rsid w:val="007C6828"/>
    <w:rsid w:val="007C69CA"/>
    <w:rsid w:val="007C6E98"/>
    <w:rsid w:val="007C7589"/>
    <w:rsid w:val="007C7717"/>
    <w:rsid w:val="007C7DB9"/>
    <w:rsid w:val="007C7DFA"/>
    <w:rsid w:val="007D01E2"/>
    <w:rsid w:val="007D0359"/>
    <w:rsid w:val="007D039D"/>
    <w:rsid w:val="007D0B01"/>
    <w:rsid w:val="007D106A"/>
    <w:rsid w:val="007D1531"/>
    <w:rsid w:val="007D1D04"/>
    <w:rsid w:val="007D2271"/>
    <w:rsid w:val="007D2366"/>
    <w:rsid w:val="007D2473"/>
    <w:rsid w:val="007D2785"/>
    <w:rsid w:val="007D2825"/>
    <w:rsid w:val="007D2CC9"/>
    <w:rsid w:val="007D2F34"/>
    <w:rsid w:val="007D3575"/>
    <w:rsid w:val="007D382F"/>
    <w:rsid w:val="007D4EDB"/>
    <w:rsid w:val="007D51A7"/>
    <w:rsid w:val="007D5364"/>
    <w:rsid w:val="007D549B"/>
    <w:rsid w:val="007D56CB"/>
    <w:rsid w:val="007D5C60"/>
    <w:rsid w:val="007D5E7E"/>
    <w:rsid w:val="007D6365"/>
    <w:rsid w:val="007D6D4D"/>
    <w:rsid w:val="007D6EE6"/>
    <w:rsid w:val="007D76FA"/>
    <w:rsid w:val="007E00AA"/>
    <w:rsid w:val="007E06D5"/>
    <w:rsid w:val="007E0B27"/>
    <w:rsid w:val="007E0B49"/>
    <w:rsid w:val="007E1719"/>
    <w:rsid w:val="007E184C"/>
    <w:rsid w:val="007E1A71"/>
    <w:rsid w:val="007E1B7B"/>
    <w:rsid w:val="007E1D31"/>
    <w:rsid w:val="007E1E5F"/>
    <w:rsid w:val="007E26B9"/>
    <w:rsid w:val="007E2762"/>
    <w:rsid w:val="007E2FA5"/>
    <w:rsid w:val="007E319A"/>
    <w:rsid w:val="007E3514"/>
    <w:rsid w:val="007E3929"/>
    <w:rsid w:val="007E3F35"/>
    <w:rsid w:val="007E4317"/>
    <w:rsid w:val="007E5224"/>
    <w:rsid w:val="007E573D"/>
    <w:rsid w:val="007E604B"/>
    <w:rsid w:val="007E6394"/>
    <w:rsid w:val="007E64A2"/>
    <w:rsid w:val="007E6851"/>
    <w:rsid w:val="007E6CD0"/>
    <w:rsid w:val="007E7249"/>
    <w:rsid w:val="007E7366"/>
    <w:rsid w:val="007E737B"/>
    <w:rsid w:val="007E73F6"/>
    <w:rsid w:val="007E7783"/>
    <w:rsid w:val="007F0702"/>
    <w:rsid w:val="007F07CF"/>
    <w:rsid w:val="007F12C1"/>
    <w:rsid w:val="007F1365"/>
    <w:rsid w:val="007F1C9A"/>
    <w:rsid w:val="007F21F4"/>
    <w:rsid w:val="007F2247"/>
    <w:rsid w:val="007F25A5"/>
    <w:rsid w:val="007F2A4A"/>
    <w:rsid w:val="007F2A7C"/>
    <w:rsid w:val="007F2FDD"/>
    <w:rsid w:val="007F3124"/>
    <w:rsid w:val="007F347C"/>
    <w:rsid w:val="007F365E"/>
    <w:rsid w:val="007F3A4D"/>
    <w:rsid w:val="007F4119"/>
    <w:rsid w:val="007F4473"/>
    <w:rsid w:val="007F48D6"/>
    <w:rsid w:val="007F4ADC"/>
    <w:rsid w:val="007F4B3A"/>
    <w:rsid w:val="007F4B78"/>
    <w:rsid w:val="007F56FE"/>
    <w:rsid w:val="007F585B"/>
    <w:rsid w:val="007F62C3"/>
    <w:rsid w:val="007F65FB"/>
    <w:rsid w:val="007F65FD"/>
    <w:rsid w:val="007F673E"/>
    <w:rsid w:val="007F6D4B"/>
    <w:rsid w:val="007F7B1F"/>
    <w:rsid w:val="008006A9"/>
    <w:rsid w:val="008006F9"/>
    <w:rsid w:val="00800A70"/>
    <w:rsid w:val="0080191F"/>
    <w:rsid w:val="00801B70"/>
    <w:rsid w:val="00801E41"/>
    <w:rsid w:val="0080221D"/>
    <w:rsid w:val="008024C8"/>
    <w:rsid w:val="008026E9"/>
    <w:rsid w:val="00802DAC"/>
    <w:rsid w:val="0080326C"/>
    <w:rsid w:val="008032EC"/>
    <w:rsid w:val="00803683"/>
    <w:rsid w:val="0080388B"/>
    <w:rsid w:val="008038B5"/>
    <w:rsid w:val="00803FFA"/>
    <w:rsid w:val="00804058"/>
    <w:rsid w:val="0080489D"/>
    <w:rsid w:val="00804A90"/>
    <w:rsid w:val="00804D16"/>
    <w:rsid w:val="00805095"/>
    <w:rsid w:val="00805203"/>
    <w:rsid w:val="0080540F"/>
    <w:rsid w:val="00805448"/>
    <w:rsid w:val="00805481"/>
    <w:rsid w:val="0080575A"/>
    <w:rsid w:val="00805893"/>
    <w:rsid w:val="008059C7"/>
    <w:rsid w:val="00805A15"/>
    <w:rsid w:val="00805B4D"/>
    <w:rsid w:val="00805D43"/>
    <w:rsid w:val="00806371"/>
    <w:rsid w:val="00806A6C"/>
    <w:rsid w:val="00806C74"/>
    <w:rsid w:val="00806E61"/>
    <w:rsid w:val="00807207"/>
    <w:rsid w:val="008073FF"/>
    <w:rsid w:val="00807646"/>
    <w:rsid w:val="00807777"/>
    <w:rsid w:val="00810424"/>
    <w:rsid w:val="00810624"/>
    <w:rsid w:val="00810DEE"/>
    <w:rsid w:val="0081152F"/>
    <w:rsid w:val="00811580"/>
    <w:rsid w:val="008115B7"/>
    <w:rsid w:val="008116B6"/>
    <w:rsid w:val="00811715"/>
    <w:rsid w:val="008117D3"/>
    <w:rsid w:val="0081188A"/>
    <w:rsid w:val="00811ECF"/>
    <w:rsid w:val="0081205A"/>
    <w:rsid w:val="00812B35"/>
    <w:rsid w:val="00812BCB"/>
    <w:rsid w:val="00812E7E"/>
    <w:rsid w:val="0081337E"/>
    <w:rsid w:val="00813484"/>
    <w:rsid w:val="00813619"/>
    <w:rsid w:val="008137EE"/>
    <w:rsid w:val="00813BFC"/>
    <w:rsid w:val="0081446B"/>
    <w:rsid w:val="008145BA"/>
    <w:rsid w:val="00814D65"/>
    <w:rsid w:val="008154FD"/>
    <w:rsid w:val="00815A0F"/>
    <w:rsid w:val="00815ABF"/>
    <w:rsid w:val="00815E22"/>
    <w:rsid w:val="0081633F"/>
    <w:rsid w:val="00816EE6"/>
    <w:rsid w:val="0081729C"/>
    <w:rsid w:val="008176F0"/>
    <w:rsid w:val="00817C73"/>
    <w:rsid w:val="00817D21"/>
    <w:rsid w:val="008203B6"/>
    <w:rsid w:val="00820D8C"/>
    <w:rsid w:val="008219EF"/>
    <w:rsid w:val="00821C07"/>
    <w:rsid w:val="00821D52"/>
    <w:rsid w:val="00821F60"/>
    <w:rsid w:val="008220AC"/>
    <w:rsid w:val="00822D59"/>
    <w:rsid w:val="008236E5"/>
    <w:rsid w:val="00823F3B"/>
    <w:rsid w:val="008248B0"/>
    <w:rsid w:val="00824A74"/>
    <w:rsid w:val="00824D4D"/>
    <w:rsid w:val="00825475"/>
    <w:rsid w:val="00825A26"/>
    <w:rsid w:val="00825E83"/>
    <w:rsid w:val="00825FC0"/>
    <w:rsid w:val="0082674D"/>
    <w:rsid w:val="00827289"/>
    <w:rsid w:val="0082732F"/>
    <w:rsid w:val="00827899"/>
    <w:rsid w:val="008278D4"/>
    <w:rsid w:val="00827A08"/>
    <w:rsid w:val="00827D03"/>
    <w:rsid w:val="008301DB"/>
    <w:rsid w:val="0083024A"/>
    <w:rsid w:val="00830379"/>
    <w:rsid w:val="00831565"/>
    <w:rsid w:val="008319AB"/>
    <w:rsid w:val="00831AF5"/>
    <w:rsid w:val="008321AA"/>
    <w:rsid w:val="008322F8"/>
    <w:rsid w:val="008325B6"/>
    <w:rsid w:val="00832998"/>
    <w:rsid w:val="00833220"/>
    <w:rsid w:val="00833809"/>
    <w:rsid w:val="00833BE6"/>
    <w:rsid w:val="00833EF8"/>
    <w:rsid w:val="008341D9"/>
    <w:rsid w:val="00834AA4"/>
    <w:rsid w:val="00834BF3"/>
    <w:rsid w:val="00835586"/>
    <w:rsid w:val="0083566A"/>
    <w:rsid w:val="00835921"/>
    <w:rsid w:val="00835B00"/>
    <w:rsid w:val="00835BF2"/>
    <w:rsid w:val="00835C93"/>
    <w:rsid w:val="008361FD"/>
    <w:rsid w:val="00836578"/>
    <w:rsid w:val="00836CC1"/>
    <w:rsid w:val="00837382"/>
    <w:rsid w:val="00837471"/>
    <w:rsid w:val="00837A87"/>
    <w:rsid w:val="00840160"/>
    <w:rsid w:val="008405BB"/>
    <w:rsid w:val="008406DC"/>
    <w:rsid w:val="00840AAD"/>
    <w:rsid w:val="00840E3E"/>
    <w:rsid w:val="00841482"/>
    <w:rsid w:val="008417EC"/>
    <w:rsid w:val="00841C3D"/>
    <w:rsid w:val="008420A7"/>
    <w:rsid w:val="00842103"/>
    <w:rsid w:val="00842515"/>
    <w:rsid w:val="00843058"/>
    <w:rsid w:val="0084348E"/>
    <w:rsid w:val="008435AA"/>
    <w:rsid w:val="008443DD"/>
    <w:rsid w:val="00844929"/>
    <w:rsid w:val="00844BE6"/>
    <w:rsid w:val="00844F51"/>
    <w:rsid w:val="00844F70"/>
    <w:rsid w:val="00844FAA"/>
    <w:rsid w:val="0084523B"/>
    <w:rsid w:val="00845B73"/>
    <w:rsid w:val="00845CB5"/>
    <w:rsid w:val="008462BA"/>
    <w:rsid w:val="00846313"/>
    <w:rsid w:val="0084646F"/>
    <w:rsid w:val="00846512"/>
    <w:rsid w:val="008468E3"/>
    <w:rsid w:val="00847056"/>
    <w:rsid w:val="0084720E"/>
    <w:rsid w:val="008473A1"/>
    <w:rsid w:val="00847D60"/>
    <w:rsid w:val="00847EFF"/>
    <w:rsid w:val="00850264"/>
    <w:rsid w:val="00850648"/>
    <w:rsid w:val="00850EE2"/>
    <w:rsid w:val="008518B0"/>
    <w:rsid w:val="008519C5"/>
    <w:rsid w:val="00851D0D"/>
    <w:rsid w:val="00851E28"/>
    <w:rsid w:val="00852782"/>
    <w:rsid w:val="00852B26"/>
    <w:rsid w:val="00852D3E"/>
    <w:rsid w:val="00852D4B"/>
    <w:rsid w:val="00852EF0"/>
    <w:rsid w:val="00853716"/>
    <w:rsid w:val="00853957"/>
    <w:rsid w:val="00853961"/>
    <w:rsid w:val="008539F4"/>
    <w:rsid w:val="00853CCA"/>
    <w:rsid w:val="00853D66"/>
    <w:rsid w:val="008543E8"/>
    <w:rsid w:val="00854DBC"/>
    <w:rsid w:val="00854F51"/>
    <w:rsid w:val="00855254"/>
    <w:rsid w:val="0085549C"/>
    <w:rsid w:val="00856441"/>
    <w:rsid w:val="00856570"/>
    <w:rsid w:val="0085677A"/>
    <w:rsid w:val="00856A4F"/>
    <w:rsid w:val="00856B4E"/>
    <w:rsid w:val="00856CB6"/>
    <w:rsid w:val="00856F57"/>
    <w:rsid w:val="008576C8"/>
    <w:rsid w:val="00857758"/>
    <w:rsid w:val="00860D5A"/>
    <w:rsid w:val="00860EFE"/>
    <w:rsid w:val="00860FF7"/>
    <w:rsid w:val="00861495"/>
    <w:rsid w:val="008620D8"/>
    <w:rsid w:val="00862654"/>
    <w:rsid w:val="00862882"/>
    <w:rsid w:val="00862E89"/>
    <w:rsid w:val="00862F75"/>
    <w:rsid w:val="00863552"/>
    <w:rsid w:val="0086389F"/>
    <w:rsid w:val="008638CF"/>
    <w:rsid w:val="00863904"/>
    <w:rsid w:val="00863C73"/>
    <w:rsid w:val="00864467"/>
    <w:rsid w:val="00864BBA"/>
    <w:rsid w:val="00865814"/>
    <w:rsid w:val="0086636E"/>
    <w:rsid w:val="0086649B"/>
    <w:rsid w:val="00866680"/>
    <w:rsid w:val="00866EF2"/>
    <w:rsid w:val="00866FFC"/>
    <w:rsid w:val="008670FC"/>
    <w:rsid w:val="0086766A"/>
    <w:rsid w:val="00867C00"/>
    <w:rsid w:val="0087045C"/>
    <w:rsid w:val="008704AE"/>
    <w:rsid w:val="00870516"/>
    <w:rsid w:val="00870C56"/>
    <w:rsid w:val="00870EBF"/>
    <w:rsid w:val="00870ED8"/>
    <w:rsid w:val="00870EDF"/>
    <w:rsid w:val="00871B22"/>
    <w:rsid w:val="00871F2E"/>
    <w:rsid w:val="00872095"/>
    <w:rsid w:val="008720D3"/>
    <w:rsid w:val="00872C1B"/>
    <w:rsid w:val="00873151"/>
    <w:rsid w:val="008732A5"/>
    <w:rsid w:val="00873668"/>
    <w:rsid w:val="00874182"/>
    <w:rsid w:val="008741C3"/>
    <w:rsid w:val="0087471D"/>
    <w:rsid w:val="00874796"/>
    <w:rsid w:val="0087484C"/>
    <w:rsid w:val="00874B3B"/>
    <w:rsid w:val="00874D8A"/>
    <w:rsid w:val="008757EB"/>
    <w:rsid w:val="00875F93"/>
    <w:rsid w:val="008761C1"/>
    <w:rsid w:val="00876461"/>
    <w:rsid w:val="00876917"/>
    <w:rsid w:val="00876C7F"/>
    <w:rsid w:val="00876F7E"/>
    <w:rsid w:val="0087708A"/>
    <w:rsid w:val="00877443"/>
    <w:rsid w:val="00877833"/>
    <w:rsid w:val="008779FC"/>
    <w:rsid w:val="0088008C"/>
    <w:rsid w:val="008804AD"/>
    <w:rsid w:val="00880932"/>
    <w:rsid w:val="00880D1C"/>
    <w:rsid w:val="00881522"/>
    <w:rsid w:val="00881831"/>
    <w:rsid w:val="00881C0F"/>
    <w:rsid w:val="00882012"/>
    <w:rsid w:val="00882530"/>
    <w:rsid w:val="0088269B"/>
    <w:rsid w:val="008828BD"/>
    <w:rsid w:val="00882D51"/>
    <w:rsid w:val="00882DA6"/>
    <w:rsid w:val="00883266"/>
    <w:rsid w:val="008833C7"/>
    <w:rsid w:val="00883990"/>
    <w:rsid w:val="00883CAE"/>
    <w:rsid w:val="00883CE1"/>
    <w:rsid w:val="0088424B"/>
    <w:rsid w:val="008847D9"/>
    <w:rsid w:val="00884A23"/>
    <w:rsid w:val="00884B7F"/>
    <w:rsid w:val="00885394"/>
    <w:rsid w:val="00885449"/>
    <w:rsid w:val="00885781"/>
    <w:rsid w:val="00885A4A"/>
    <w:rsid w:val="00885B39"/>
    <w:rsid w:val="00885D27"/>
    <w:rsid w:val="00885FCF"/>
    <w:rsid w:val="00886064"/>
    <w:rsid w:val="008862A5"/>
    <w:rsid w:val="0088648E"/>
    <w:rsid w:val="008867DF"/>
    <w:rsid w:val="008869FA"/>
    <w:rsid w:val="0088761C"/>
    <w:rsid w:val="00887FEB"/>
    <w:rsid w:val="008901DA"/>
    <w:rsid w:val="008906ED"/>
    <w:rsid w:val="00890C69"/>
    <w:rsid w:val="0089123E"/>
    <w:rsid w:val="008912A0"/>
    <w:rsid w:val="00891771"/>
    <w:rsid w:val="008917EA"/>
    <w:rsid w:val="00891D37"/>
    <w:rsid w:val="00892335"/>
    <w:rsid w:val="00892A84"/>
    <w:rsid w:val="00892C9A"/>
    <w:rsid w:val="008935E2"/>
    <w:rsid w:val="00893914"/>
    <w:rsid w:val="00894024"/>
    <w:rsid w:val="0089424A"/>
    <w:rsid w:val="008944E1"/>
    <w:rsid w:val="00894532"/>
    <w:rsid w:val="00894B32"/>
    <w:rsid w:val="00894BFE"/>
    <w:rsid w:val="00894E2E"/>
    <w:rsid w:val="00894E5B"/>
    <w:rsid w:val="00895126"/>
    <w:rsid w:val="00895192"/>
    <w:rsid w:val="008951E1"/>
    <w:rsid w:val="00895977"/>
    <w:rsid w:val="00895B24"/>
    <w:rsid w:val="00895EB4"/>
    <w:rsid w:val="00895F3B"/>
    <w:rsid w:val="0089648F"/>
    <w:rsid w:val="0089671B"/>
    <w:rsid w:val="0089691C"/>
    <w:rsid w:val="008970A1"/>
    <w:rsid w:val="008A0257"/>
    <w:rsid w:val="008A0827"/>
    <w:rsid w:val="008A0B0A"/>
    <w:rsid w:val="008A0CEB"/>
    <w:rsid w:val="008A0DE0"/>
    <w:rsid w:val="008A0E7E"/>
    <w:rsid w:val="008A0EAA"/>
    <w:rsid w:val="008A1073"/>
    <w:rsid w:val="008A2096"/>
    <w:rsid w:val="008A20DD"/>
    <w:rsid w:val="008A229A"/>
    <w:rsid w:val="008A23F4"/>
    <w:rsid w:val="008A2C14"/>
    <w:rsid w:val="008A31B0"/>
    <w:rsid w:val="008A3A21"/>
    <w:rsid w:val="008A3C56"/>
    <w:rsid w:val="008A4062"/>
    <w:rsid w:val="008A4461"/>
    <w:rsid w:val="008A4A62"/>
    <w:rsid w:val="008A4AD4"/>
    <w:rsid w:val="008A4C3C"/>
    <w:rsid w:val="008A4D34"/>
    <w:rsid w:val="008A4DFC"/>
    <w:rsid w:val="008A528A"/>
    <w:rsid w:val="008A5647"/>
    <w:rsid w:val="008A5697"/>
    <w:rsid w:val="008A5A9E"/>
    <w:rsid w:val="008A5EA8"/>
    <w:rsid w:val="008A5EE3"/>
    <w:rsid w:val="008A6062"/>
    <w:rsid w:val="008A6480"/>
    <w:rsid w:val="008A657C"/>
    <w:rsid w:val="008A68B0"/>
    <w:rsid w:val="008A6AA0"/>
    <w:rsid w:val="008A6EC1"/>
    <w:rsid w:val="008A7852"/>
    <w:rsid w:val="008A7CE4"/>
    <w:rsid w:val="008A7D2A"/>
    <w:rsid w:val="008B0331"/>
    <w:rsid w:val="008B044C"/>
    <w:rsid w:val="008B05A7"/>
    <w:rsid w:val="008B0B7D"/>
    <w:rsid w:val="008B0E4F"/>
    <w:rsid w:val="008B1727"/>
    <w:rsid w:val="008B1989"/>
    <w:rsid w:val="008B1A3C"/>
    <w:rsid w:val="008B261F"/>
    <w:rsid w:val="008B277D"/>
    <w:rsid w:val="008B27CA"/>
    <w:rsid w:val="008B2827"/>
    <w:rsid w:val="008B2DC1"/>
    <w:rsid w:val="008B33A5"/>
    <w:rsid w:val="008B35EC"/>
    <w:rsid w:val="008B3C30"/>
    <w:rsid w:val="008B4051"/>
    <w:rsid w:val="008B42D3"/>
    <w:rsid w:val="008B4888"/>
    <w:rsid w:val="008B48B5"/>
    <w:rsid w:val="008B48EF"/>
    <w:rsid w:val="008B4A1C"/>
    <w:rsid w:val="008B50D9"/>
    <w:rsid w:val="008B5161"/>
    <w:rsid w:val="008B5FF9"/>
    <w:rsid w:val="008B6838"/>
    <w:rsid w:val="008B692B"/>
    <w:rsid w:val="008B69A2"/>
    <w:rsid w:val="008B6A19"/>
    <w:rsid w:val="008B743E"/>
    <w:rsid w:val="008B75B2"/>
    <w:rsid w:val="008B764B"/>
    <w:rsid w:val="008B7C4F"/>
    <w:rsid w:val="008B7E4C"/>
    <w:rsid w:val="008C0398"/>
    <w:rsid w:val="008C05B1"/>
    <w:rsid w:val="008C1191"/>
    <w:rsid w:val="008C1B95"/>
    <w:rsid w:val="008C2107"/>
    <w:rsid w:val="008C2233"/>
    <w:rsid w:val="008C254A"/>
    <w:rsid w:val="008C2B22"/>
    <w:rsid w:val="008C3133"/>
    <w:rsid w:val="008C459E"/>
    <w:rsid w:val="008C466B"/>
    <w:rsid w:val="008C4ABA"/>
    <w:rsid w:val="008C4D1C"/>
    <w:rsid w:val="008C4F9A"/>
    <w:rsid w:val="008C567A"/>
    <w:rsid w:val="008C5A2F"/>
    <w:rsid w:val="008C5F24"/>
    <w:rsid w:val="008C60B5"/>
    <w:rsid w:val="008C6655"/>
    <w:rsid w:val="008C67A0"/>
    <w:rsid w:val="008C699A"/>
    <w:rsid w:val="008C6B82"/>
    <w:rsid w:val="008C6F2F"/>
    <w:rsid w:val="008C70F4"/>
    <w:rsid w:val="008C7909"/>
    <w:rsid w:val="008C7968"/>
    <w:rsid w:val="008C7AA5"/>
    <w:rsid w:val="008C7BEA"/>
    <w:rsid w:val="008D0EAA"/>
    <w:rsid w:val="008D11B7"/>
    <w:rsid w:val="008D1A5C"/>
    <w:rsid w:val="008D1D9A"/>
    <w:rsid w:val="008D1DD7"/>
    <w:rsid w:val="008D1E1D"/>
    <w:rsid w:val="008D1F3A"/>
    <w:rsid w:val="008D1F4C"/>
    <w:rsid w:val="008D2212"/>
    <w:rsid w:val="008D25A6"/>
    <w:rsid w:val="008D2C95"/>
    <w:rsid w:val="008D32BE"/>
    <w:rsid w:val="008D3BC2"/>
    <w:rsid w:val="008D3C0E"/>
    <w:rsid w:val="008D3E15"/>
    <w:rsid w:val="008D3E7B"/>
    <w:rsid w:val="008D401A"/>
    <w:rsid w:val="008D4096"/>
    <w:rsid w:val="008D450A"/>
    <w:rsid w:val="008D485B"/>
    <w:rsid w:val="008D487E"/>
    <w:rsid w:val="008D48AC"/>
    <w:rsid w:val="008D4A87"/>
    <w:rsid w:val="008D4AE7"/>
    <w:rsid w:val="008D4B28"/>
    <w:rsid w:val="008D4E77"/>
    <w:rsid w:val="008D4F01"/>
    <w:rsid w:val="008D5203"/>
    <w:rsid w:val="008D54BE"/>
    <w:rsid w:val="008D5616"/>
    <w:rsid w:val="008D58C8"/>
    <w:rsid w:val="008D5E2E"/>
    <w:rsid w:val="008D5EE5"/>
    <w:rsid w:val="008D5F4D"/>
    <w:rsid w:val="008D607A"/>
    <w:rsid w:val="008D60C7"/>
    <w:rsid w:val="008D6D52"/>
    <w:rsid w:val="008D774C"/>
    <w:rsid w:val="008D7B69"/>
    <w:rsid w:val="008D7ED7"/>
    <w:rsid w:val="008E00B5"/>
    <w:rsid w:val="008E0345"/>
    <w:rsid w:val="008E0461"/>
    <w:rsid w:val="008E0631"/>
    <w:rsid w:val="008E063F"/>
    <w:rsid w:val="008E0807"/>
    <w:rsid w:val="008E0995"/>
    <w:rsid w:val="008E09A7"/>
    <w:rsid w:val="008E0BAF"/>
    <w:rsid w:val="008E0CFD"/>
    <w:rsid w:val="008E1270"/>
    <w:rsid w:val="008E1860"/>
    <w:rsid w:val="008E1B41"/>
    <w:rsid w:val="008E1BA8"/>
    <w:rsid w:val="008E1BD8"/>
    <w:rsid w:val="008E1CD6"/>
    <w:rsid w:val="008E31DD"/>
    <w:rsid w:val="008E3204"/>
    <w:rsid w:val="008E382F"/>
    <w:rsid w:val="008E3BC5"/>
    <w:rsid w:val="008E4153"/>
    <w:rsid w:val="008E4C6C"/>
    <w:rsid w:val="008E4E8C"/>
    <w:rsid w:val="008E5331"/>
    <w:rsid w:val="008E55E9"/>
    <w:rsid w:val="008E56F2"/>
    <w:rsid w:val="008E57E9"/>
    <w:rsid w:val="008E595B"/>
    <w:rsid w:val="008E619B"/>
    <w:rsid w:val="008E6253"/>
    <w:rsid w:val="008E66E5"/>
    <w:rsid w:val="008E6811"/>
    <w:rsid w:val="008E69CF"/>
    <w:rsid w:val="008E6ED1"/>
    <w:rsid w:val="008E7759"/>
    <w:rsid w:val="008E787A"/>
    <w:rsid w:val="008E7A48"/>
    <w:rsid w:val="008E7D7B"/>
    <w:rsid w:val="008F027D"/>
    <w:rsid w:val="008F099C"/>
    <w:rsid w:val="008F0FD4"/>
    <w:rsid w:val="008F12D8"/>
    <w:rsid w:val="008F14BC"/>
    <w:rsid w:val="008F164B"/>
    <w:rsid w:val="008F1781"/>
    <w:rsid w:val="008F17A2"/>
    <w:rsid w:val="008F1AED"/>
    <w:rsid w:val="008F216F"/>
    <w:rsid w:val="008F2283"/>
    <w:rsid w:val="008F2333"/>
    <w:rsid w:val="008F234F"/>
    <w:rsid w:val="008F2935"/>
    <w:rsid w:val="008F2E1A"/>
    <w:rsid w:val="008F2E5B"/>
    <w:rsid w:val="008F310F"/>
    <w:rsid w:val="008F33B4"/>
    <w:rsid w:val="008F3871"/>
    <w:rsid w:val="008F38DE"/>
    <w:rsid w:val="008F3904"/>
    <w:rsid w:val="008F3AB8"/>
    <w:rsid w:val="008F404E"/>
    <w:rsid w:val="008F47A3"/>
    <w:rsid w:val="008F4B9B"/>
    <w:rsid w:val="008F4BFB"/>
    <w:rsid w:val="008F4D08"/>
    <w:rsid w:val="008F509F"/>
    <w:rsid w:val="008F53BD"/>
    <w:rsid w:val="008F53EB"/>
    <w:rsid w:val="008F5638"/>
    <w:rsid w:val="008F56CB"/>
    <w:rsid w:val="008F5778"/>
    <w:rsid w:val="008F5924"/>
    <w:rsid w:val="008F5A70"/>
    <w:rsid w:val="008F5C7C"/>
    <w:rsid w:val="008F5E45"/>
    <w:rsid w:val="008F60AA"/>
    <w:rsid w:val="008F60E4"/>
    <w:rsid w:val="008F6282"/>
    <w:rsid w:val="008F635E"/>
    <w:rsid w:val="008F6A1B"/>
    <w:rsid w:val="008F6A39"/>
    <w:rsid w:val="008F6B5F"/>
    <w:rsid w:val="008F78EE"/>
    <w:rsid w:val="009006DC"/>
    <w:rsid w:val="009008AE"/>
    <w:rsid w:val="00900913"/>
    <w:rsid w:val="00900A8E"/>
    <w:rsid w:val="00900C39"/>
    <w:rsid w:val="0090155D"/>
    <w:rsid w:val="00901945"/>
    <w:rsid w:val="00901AE6"/>
    <w:rsid w:val="00901D16"/>
    <w:rsid w:val="0090258A"/>
    <w:rsid w:val="00902696"/>
    <w:rsid w:val="00902FF9"/>
    <w:rsid w:val="0090324B"/>
    <w:rsid w:val="009034F0"/>
    <w:rsid w:val="009036E6"/>
    <w:rsid w:val="00903827"/>
    <w:rsid w:val="00903A0B"/>
    <w:rsid w:val="00904101"/>
    <w:rsid w:val="00904910"/>
    <w:rsid w:val="00904BBC"/>
    <w:rsid w:val="00904C0E"/>
    <w:rsid w:val="00904CF0"/>
    <w:rsid w:val="00904DCD"/>
    <w:rsid w:val="00904E16"/>
    <w:rsid w:val="009057C6"/>
    <w:rsid w:val="00905C28"/>
    <w:rsid w:val="00905D4C"/>
    <w:rsid w:val="00905F77"/>
    <w:rsid w:val="009060C9"/>
    <w:rsid w:val="0090782C"/>
    <w:rsid w:val="00910107"/>
    <w:rsid w:val="0091034A"/>
    <w:rsid w:val="0091089B"/>
    <w:rsid w:val="0091119E"/>
    <w:rsid w:val="00911208"/>
    <w:rsid w:val="0091143C"/>
    <w:rsid w:val="0091151B"/>
    <w:rsid w:val="009115C4"/>
    <w:rsid w:val="0091184E"/>
    <w:rsid w:val="0091197C"/>
    <w:rsid w:val="00911AE7"/>
    <w:rsid w:val="009121AF"/>
    <w:rsid w:val="009125CC"/>
    <w:rsid w:val="009125F9"/>
    <w:rsid w:val="009126DE"/>
    <w:rsid w:val="00912778"/>
    <w:rsid w:val="00912B35"/>
    <w:rsid w:val="00912DAE"/>
    <w:rsid w:val="00913701"/>
    <w:rsid w:val="009138AB"/>
    <w:rsid w:val="00914197"/>
    <w:rsid w:val="009151D3"/>
    <w:rsid w:val="00915326"/>
    <w:rsid w:val="00915544"/>
    <w:rsid w:val="009155CE"/>
    <w:rsid w:val="0091597B"/>
    <w:rsid w:val="00915AA2"/>
    <w:rsid w:val="00915AC0"/>
    <w:rsid w:val="00916031"/>
    <w:rsid w:val="00916597"/>
    <w:rsid w:val="009169FB"/>
    <w:rsid w:val="00916DA1"/>
    <w:rsid w:val="00917307"/>
    <w:rsid w:val="00917351"/>
    <w:rsid w:val="00917560"/>
    <w:rsid w:val="00917A88"/>
    <w:rsid w:val="00917F35"/>
    <w:rsid w:val="0092007C"/>
    <w:rsid w:val="00920284"/>
    <w:rsid w:val="009202DD"/>
    <w:rsid w:val="009209DE"/>
    <w:rsid w:val="00920C00"/>
    <w:rsid w:val="00920ED7"/>
    <w:rsid w:val="00921340"/>
    <w:rsid w:val="00921432"/>
    <w:rsid w:val="00921A9E"/>
    <w:rsid w:val="00921CED"/>
    <w:rsid w:val="00921D46"/>
    <w:rsid w:val="0092225E"/>
    <w:rsid w:val="00922643"/>
    <w:rsid w:val="00922ADD"/>
    <w:rsid w:val="00922ADF"/>
    <w:rsid w:val="00922BB7"/>
    <w:rsid w:val="00923DFA"/>
    <w:rsid w:val="00923E80"/>
    <w:rsid w:val="00923EC2"/>
    <w:rsid w:val="00924384"/>
    <w:rsid w:val="00924A16"/>
    <w:rsid w:val="00924B50"/>
    <w:rsid w:val="00924BB7"/>
    <w:rsid w:val="009252B9"/>
    <w:rsid w:val="009255A4"/>
    <w:rsid w:val="00925D8E"/>
    <w:rsid w:val="009260F9"/>
    <w:rsid w:val="009262C6"/>
    <w:rsid w:val="00926850"/>
    <w:rsid w:val="00926E65"/>
    <w:rsid w:val="00926F25"/>
    <w:rsid w:val="00926F4F"/>
    <w:rsid w:val="0092719F"/>
    <w:rsid w:val="00927AB5"/>
    <w:rsid w:val="00927BE0"/>
    <w:rsid w:val="00927CB6"/>
    <w:rsid w:val="00927FD1"/>
    <w:rsid w:val="00930497"/>
    <w:rsid w:val="00930629"/>
    <w:rsid w:val="00930E03"/>
    <w:rsid w:val="00930E3E"/>
    <w:rsid w:val="00931107"/>
    <w:rsid w:val="009312C3"/>
    <w:rsid w:val="009313E3"/>
    <w:rsid w:val="0093155B"/>
    <w:rsid w:val="0093196C"/>
    <w:rsid w:val="00931AF9"/>
    <w:rsid w:val="00932519"/>
    <w:rsid w:val="00932A3B"/>
    <w:rsid w:val="00932BA8"/>
    <w:rsid w:val="00933945"/>
    <w:rsid w:val="00933DFA"/>
    <w:rsid w:val="00933F29"/>
    <w:rsid w:val="0093460D"/>
    <w:rsid w:val="0093471F"/>
    <w:rsid w:val="009347BD"/>
    <w:rsid w:val="009347F4"/>
    <w:rsid w:val="00934C7B"/>
    <w:rsid w:val="0093535C"/>
    <w:rsid w:val="009356DD"/>
    <w:rsid w:val="009364EB"/>
    <w:rsid w:val="0093786C"/>
    <w:rsid w:val="00937A8B"/>
    <w:rsid w:val="00940022"/>
    <w:rsid w:val="009401A8"/>
    <w:rsid w:val="009406C7"/>
    <w:rsid w:val="009407FD"/>
    <w:rsid w:val="009411DD"/>
    <w:rsid w:val="00941263"/>
    <w:rsid w:val="00941962"/>
    <w:rsid w:val="00941B33"/>
    <w:rsid w:val="00941B79"/>
    <w:rsid w:val="00941C3F"/>
    <w:rsid w:val="00941D13"/>
    <w:rsid w:val="00941EF0"/>
    <w:rsid w:val="0094221D"/>
    <w:rsid w:val="00942482"/>
    <w:rsid w:val="009424FB"/>
    <w:rsid w:val="009426F3"/>
    <w:rsid w:val="00942706"/>
    <w:rsid w:val="00942C83"/>
    <w:rsid w:val="00942FDF"/>
    <w:rsid w:val="00943B2F"/>
    <w:rsid w:val="00943B9C"/>
    <w:rsid w:val="00943EA3"/>
    <w:rsid w:val="00943EDA"/>
    <w:rsid w:val="00943F96"/>
    <w:rsid w:val="009443D1"/>
    <w:rsid w:val="00944422"/>
    <w:rsid w:val="00944513"/>
    <w:rsid w:val="00944AB1"/>
    <w:rsid w:val="00944C03"/>
    <w:rsid w:val="00945402"/>
    <w:rsid w:val="00945C65"/>
    <w:rsid w:val="00946343"/>
    <w:rsid w:val="009465C9"/>
    <w:rsid w:val="00946A3B"/>
    <w:rsid w:val="00946F71"/>
    <w:rsid w:val="0094729E"/>
    <w:rsid w:val="00947571"/>
    <w:rsid w:val="009477AC"/>
    <w:rsid w:val="009479F7"/>
    <w:rsid w:val="00947A9D"/>
    <w:rsid w:val="00947DAF"/>
    <w:rsid w:val="00947FD1"/>
    <w:rsid w:val="00950CC6"/>
    <w:rsid w:val="00950CD5"/>
    <w:rsid w:val="00951388"/>
    <w:rsid w:val="009517D7"/>
    <w:rsid w:val="0095216D"/>
    <w:rsid w:val="009523BA"/>
    <w:rsid w:val="00952896"/>
    <w:rsid w:val="00952A71"/>
    <w:rsid w:val="009538FC"/>
    <w:rsid w:val="00954271"/>
    <w:rsid w:val="009547D7"/>
    <w:rsid w:val="00954957"/>
    <w:rsid w:val="00954A4F"/>
    <w:rsid w:val="0095516E"/>
    <w:rsid w:val="009552CC"/>
    <w:rsid w:val="009553E3"/>
    <w:rsid w:val="00955A40"/>
    <w:rsid w:val="00955C3B"/>
    <w:rsid w:val="00956555"/>
    <w:rsid w:val="0095657E"/>
    <w:rsid w:val="009565C1"/>
    <w:rsid w:val="009565FA"/>
    <w:rsid w:val="009574C8"/>
    <w:rsid w:val="0095769B"/>
    <w:rsid w:val="009577D0"/>
    <w:rsid w:val="00957A6B"/>
    <w:rsid w:val="00957AE8"/>
    <w:rsid w:val="00957F3C"/>
    <w:rsid w:val="00960001"/>
    <w:rsid w:val="0096023D"/>
    <w:rsid w:val="00960A76"/>
    <w:rsid w:val="00960C6A"/>
    <w:rsid w:val="00960F3F"/>
    <w:rsid w:val="00960FAE"/>
    <w:rsid w:val="0096119F"/>
    <w:rsid w:val="009611CD"/>
    <w:rsid w:val="009612E9"/>
    <w:rsid w:val="009615E3"/>
    <w:rsid w:val="00961903"/>
    <w:rsid w:val="00961F97"/>
    <w:rsid w:val="00962119"/>
    <w:rsid w:val="00962344"/>
    <w:rsid w:val="00962520"/>
    <w:rsid w:val="00962974"/>
    <w:rsid w:val="00962CA5"/>
    <w:rsid w:val="00962E12"/>
    <w:rsid w:val="00963207"/>
    <w:rsid w:val="009639C2"/>
    <w:rsid w:val="00963AF0"/>
    <w:rsid w:val="00963C7C"/>
    <w:rsid w:val="009644D6"/>
    <w:rsid w:val="009649B2"/>
    <w:rsid w:val="00964CF9"/>
    <w:rsid w:val="00964D70"/>
    <w:rsid w:val="00965365"/>
    <w:rsid w:val="009657C2"/>
    <w:rsid w:val="00965C09"/>
    <w:rsid w:val="009667F3"/>
    <w:rsid w:val="009667FE"/>
    <w:rsid w:val="009669C2"/>
    <w:rsid w:val="00967079"/>
    <w:rsid w:val="00967089"/>
    <w:rsid w:val="00967BE7"/>
    <w:rsid w:val="00967D70"/>
    <w:rsid w:val="00967F8A"/>
    <w:rsid w:val="00970187"/>
    <w:rsid w:val="0097018E"/>
    <w:rsid w:val="00970690"/>
    <w:rsid w:val="00970766"/>
    <w:rsid w:val="0097111B"/>
    <w:rsid w:val="00971435"/>
    <w:rsid w:val="0097153D"/>
    <w:rsid w:val="0097179D"/>
    <w:rsid w:val="00971880"/>
    <w:rsid w:val="00972368"/>
    <w:rsid w:val="0097249F"/>
    <w:rsid w:val="00972694"/>
    <w:rsid w:val="00972744"/>
    <w:rsid w:val="00972CD9"/>
    <w:rsid w:val="0097306F"/>
    <w:rsid w:val="0097355E"/>
    <w:rsid w:val="0097390C"/>
    <w:rsid w:val="00973AE0"/>
    <w:rsid w:val="00973D06"/>
    <w:rsid w:val="00973D74"/>
    <w:rsid w:val="00973DE9"/>
    <w:rsid w:val="0097409A"/>
    <w:rsid w:val="0097462A"/>
    <w:rsid w:val="0097492B"/>
    <w:rsid w:val="0097492D"/>
    <w:rsid w:val="00974DF7"/>
    <w:rsid w:val="009757B8"/>
    <w:rsid w:val="00975976"/>
    <w:rsid w:val="0097630E"/>
    <w:rsid w:val="009764ED"/>
    <w:rsid w:val="0097660B"/>
    <w:rsid w:val="00976759"/>
    <w:rsid w:val="009769C7"/>
    <w:rsid w:val="00976AEE"/>
    <w:rsid w:val="00976BF6"/>
    <w:rsid w:val="00976F90"/>
    <w:rsid w:val="00977186"/>
    <w:rsid w:val="00977710"/>
    <w:rsid w:val="00977961"/>
    <w:rsid w:val="00977BF2"/>
    <w:rsid w:val="00977CFA"/>
    <w:rsid w:val="00977D13"/>
    <w:rsid w:val="009804D6"/>
    <w:rsid w:val="009804F0"/>
    <w:rsid w:val="00980D7C"/>
    <w:rsid w:val="009812F7"/>
    <w:rsid w:val="009815EC"/>
    <w:rsid w:val="009818C5"/>
    <w:rsid w:val="0098196E"/>
    <w:rsid w:val="009822A1"/>
    <w:rsid w:val="009823E2"/>
    <w:rsid w:val="00982615"/>
    <w:rsid w:val="009841A1"/>
    <w:rsid w:val="0098477E"/>
    <w:rsid w:val="009848AA"/>
    <w:rsid w:val="0098499A"/>
    <w:rsid w:val="00984C54"/>
    <w:rsid w:val="00984D60"/>
    <w:rsid w:val="00984F29"/>
    <w:rsid w:val="0098514C"/>
    <w:rsid w:val="00985697"/>
    <w:rsid w:val="009856BD"/>
    <w:rsid w:val="009858FF"/>
    <w:rsid w:val="0098592E"/>
    <w:rsid w:val="00985A1E"/>
    <w:rsid w:val="00985A33"/>
    <w:rsid w:val="00985ED1"/>
    <w:rsid w:val="0098623F"/>
    <w:rsid w:val="0098651B"/>
    <w:rsid w:val="009866CB"/>
    <w:rsid w:val="0098690F"/>
    <w:rsid w:val="00986B73"/>
    <w:rsid w:val="00986FF0"/>
    <w:rsid w:val="009874E5"/>
    <w:rsid w:val="0098786B"/>
    <w:rsid w:val="00987881"/>
    <w:rsid w:val="009879CB"/>
    <w:rsid w:val="00987C6A"/>
    <w:rsid w:val="00990381"/>
    <w:rsid w:val="00990515"/>
    <w:rsid w:val="0099063B"/>
    <w:rsid w:val="00990853"/>
    <w:rsid w:val="0099126E"/>
    <w:rsid w:val="0099188D"/>
    <w:rsid w:val="00992121"/>
    <w:rsid w:val="00992924"/>
    <w:rsid w:val="00992F4A"/>
    <w:rsid w:val="00993377"/>
    <w:rsid w:val="009936F4"/>
    <w:rsid w:val="009937EE"/>
    <w:rsid w:val="00994147"/>
    <w:rsid w:val="00994204"/>
    <w:rsid w:val="00994761"/>
    <w:rsid w:val="00994A15"/>
    <w:rsid w:val="00994DEC"/>
    <w:rsid w:val="009952E5"/>
    <w:rsid w:val="009954FD"/>
    <w:rsid w:val="00995528"/>
    <w:rsid w:val="00995CD4"/>
    <w:rsid w:val="00995D4B"/>
    <w:rsid w:val="00995FE9"/>
    <w:rsid w:val="0099682D"/>
    <w:rsid w:val="00996BD3"/>
    <w:rsid w:val="00996CAA"/>
    <w:rsid w:val="0099754A"/>
    <w:rsid w:val="00997BF7"/>
    <w:rsid w:val="00997C6B"/>
    <w:rsid w:val="00997C92"/>
    <w:rsid w:val="00997FE1"/>
    <w:rsid w:val="009A01B7"/>
    <w:rsid w:val="009A02B4"/>
    <w:rsid w:val="009A05E8"/>
    <w:rsid w:val="009A08B7"/>
    <w:rsid w:val="009A090D"/>
    <w:rsid w:val="009A18EE"/>
    <w:rsid w:val="009A1A39"/>
    <w:rsid w:val="009A1CF9"/>
    <w:rsid w:val="009A2063"/>
    <w:rsid w:val="009A25E1"/>
    <w:rsid w:val="009A26E2"/>
    <w:rsid w:val="009A274F"/>
    <w:rsid w:val="009A280B"/>
    <w:rsid w:val="009A2BE8"/>
    <w:rsid w:val="009A30FA"/>
    <w:rsid w:val="009A3250"/>
    <w:rsid w:val="009A367E"/>
    <w:rsid w:val="009A3FFD"/>
    <w:rsid w:val="009A4527"/>
    <w:rsid w:val="009A4E28"/>
    <w:rsid w:val="009A4E91"/>
    <w:rsid w:val="009A5503"/>
    <w:rsid w:val="009A5983"/>
    <w:rsid w:val="009A5AD2"/>
    <w:rsid w:val="009A60E5"/>
    <w:rsid w:val="009A67A7"/>
    <w:rsid w:val="009A685C"/>
    <w:rsid w:val="009A6A46"/>
    <w:rsid w:val="009A6A5A"/>
    <w:rsid w:val="009A6B54"/>
    <w:rsid w:val="009A6D72"/>
    <w:rsid w:val="009A7138"/>
    <w:rsid w:val="009A7257"/>
    <w:rsid w:val="009A7DF8"/>
    <w:rsid w:val="009A7F6B"/>
    <w:rsid w:val="009B0078"/>
    <w:rsid w:val="009B038A"/>
    <w:rsid w:val="009B040C"/>
    <w:rsid w:val="009B0743"/>
    <w:rsid w:val="009B0814"/>
    <w:rsid w:val="009B0973"/>
    <w:rsid w:val="009B106F"/>
    <w:rsid w:val="009B12BF"/>
    <w:rsid w:val="009B1B3F"/>
    <w:rsid w:val="009B2E5C"/>
    <w:rsid w:val="009B3062"/>
    <w:rsid w:val="009B34E0"/>
    <w:rsid w:val="009B3530"/>
    <w:rsid w:val="009B3FA4"/>
    <w:rsid w:val="009B41AA"/>
    <w:rsid w:val="009B4D13"/>
    <w:rsid w:val="009B51BE"/>
    <w:rsid w:val="009B5523"/>
    <w:rsid w:val="009B5881"/>
    <w:rsid w:val="009B58EF"/>
    <w:rsid w:val="009B5B00"/>
    <w:rsid w:val="009B5FE7"/>
    <w:rsid w:val="009B67D1"/>
    <w:rsid w:val="009B6814"/>
    <w:rsid w:val="009B70C0"/>
    <w:rsid w:val="009B7770"/>
    <w:rsid w:val="009C0180"/>
    <w:rsid w:val="009C026B"/>
    <w:rsid w:val="009C0915"/>
    <w:rsid w:val="009C0AA3"/>
    <w:rsid w:val="009C173E"/>
    <w:rsid w:val="009C18B9"/>
    <w:rsid w:val="009C314A"/>
    <w:rsid w:val="009C34C8"/>
    <w:rsid w:val="009C36D7"/>
    <w:rsid w:val="009C3722"/>
    <w:rsid w:val="009C4C30"/>
    <w:rsid w:val="009C4EC5"/>
    <w:rsid w:val="009C5373"/>
    <w:rsid w:val="009C57B6"/>
    <w:rsid w:val="009C5A0C"/>
    <w:rsid w:val="009C5B27"/>
    <w:rsid w:val="009C5EFF"/>
    <w:rsid w:val="009C611F"/>
    <w:rsid w:val="009C640F"/>
    <w:rsid w:val="009C717E"/>
    <w:rsid w:val="009C7477"/>
    <w:rsid w:val="009C7ED7"/>
    <w:rsid w:val="009D01E2"/>
    <w:rsid w:val="009D03CB"/>
    <w:rsid w:val="009D05EB"/>
    <w:rsid w:val="009D06B4"/>
    <w:rsid w:val="009D077C"/>
    <w:rsid w:val="009D0F31"/>
    <w:rsid w:val="009D1574"/>
    <w:rsid w:val="009D1633"/>
    <w:rsid w:val="009D165F"/>
    <w:rsid w:val="009D19F8"/>
    <w:rsid w:val="009D1A98"/>
    <w:rsid w:val="009D1D5C"/>
    <w:rsid w:val="009D1E57"/>
    <w:rsid w:val="009D2851"/>
    <w:rsid w:val="009D2947"/>
    <w:rsid w:val="009D2A60"/>
    <w:rsid w:val="009D2EBA"/>
    <w:rsid w:val="009D326E"/>
    <w:rsid w:val="009D328E"/>
    <w:rsid w:val="009D34C7"/>
    <w:rsid w:val="009D35D3"/>
    <w:rsid w:val="009D3B56"/>
    <w:rsid w:val="009D4524"/>
    <w:rsid w:val="009D5817"/>
    <w:rsid w:val="009D5BFD"/>
    <w:rsid w:val="009D6586"/>
    <w:rsid w:val="009D66A1"/>
    <w:rsid w:val="009D6830"/>
    <w:rsid w:val="009D6961"/>
    <w:rsid w:val="009D6B05"/>
    <w:rsid w:val="009D6EB2"/>
    <w:rsid w:val="009D7836"/>
    <w:rsid w:val="009D7E34"/>
    <w:rsid w:val="009E108A"/>
    <w:rsid w:val="009E10B3"/>
    <w:rsid w:val="009E159C"/>
    <w:rsid w:val="009E1B0A"/>
    <w:rsid w:val="009E1E3C"/>
    <w:rsid w:val="009E252F"/>
    <w:rsid w:val="009E2CF8"/>
    <w:rsid w:val="009E2FD2"/>
    <w:rsid w:val="009E32C2"/>
    <w:rsid w:val="009E358C"/>
    <w:rsid w:val="009E3B49"/>
    <w:rsid w:val="009E44E8"/>
    <w:rsid w:val="009E45D7"/>
    <w:rsid w:val="009E4612"/>
    <w:rsid w:val="009E4AE3"/>
    <w:rsid w:val="009E4B5C"/>
    <w:rsid w:val="009E57B9"/>
    <w:rsid w:val="009E5A8F"/>
    <w:rsid w:val="009E5B2F"/>
    <w:rsid w:val="009E5C74"/>
    <w:rsid w:val="009E5CB0"/>
    <w:rsid w:val="009E6098"/>
    <w:rsid w:val="009E6272"/>
    <w:rsid w:val="009E6653"/>
    <w:rsid w:val="009E6772"/>
    <w:rsid w:val="009E69FC"/>
    <w:rsid w:val="009E6EEE"/>
    <w:rsid w:val="009E7A62"/>
    <w:rsid w:val="009E7D36"/>
    <w:rsid w:val="009E7F7F"/>
    <w:rsid w:val="009F0786"/>
    <w:rsid w:val="009F095A"/>
    <w:rsid w:val="009F0B73"/>
    <w:rsid w:val="009F1CBA"/>
    <w:rsid w:val="009F2597"/>
    <w:rsid w:val="009F28D6"/>
    <w:rsid w:val="009F2BFE"/>
    <w:rsid w:val="009F2C0B"/>
    <w:rsid w:val="009F2CDD"/>
    <w:rsid w:val="009F2E3F"/>
    <w:rsid w:val="009F2E8D"/>
    <w:rsid w:val="009F38C8"/>
    <w:rsid w:val="009F3A72"/>
    <w:rsid w:val="009F3D3D"/>
    <w:rsid w:val="009F3FB1"/>
    <w:rsid w:val="009F3FFB"/>
    <w:rsid w:val="009F4549"/>
    <w:rsid w:val="009F45B5"/>
    <w:rsid w:val="009F48F1"/>
    <w:rsid w:val="009F5A4E"/>
    <w:rsid w:val="009F5AC5"/>
    <w:rsid w:val="009F6209"/>
    <w:rsid w:val="009F63C0"/>
    <w:rsid w:val="009F658F"/>
    <w:rsid w:val="009F6A11"/>
    <w:rsid w:val="009F7193"/>
    <w:rsid w:val="009F73AA"/>
    <w:rsid w:val="009F7605"/>
    <w:rsid w:val="009F7E65"/>
    <w:rsid w:val="00A00A3E"/>
    <w:rsid w:val="00A00B72"/>
    <w:rsid w:val="00A01375"/>
    <w:rsid w:val="00A0251A"/>
    <w:rsid w:val="00A029BF"/>
    <w:rsid w:val="00A02C85"/>
    <w:rsid w:val="00A02D0F"/>
    <w:rsid w:val="00A03260"/>
    <w:rsid w:val="00A033DF"/>
    <w:rsid w:val="00A03B5B"/>
    <w:rsid w:val="00A03C80"/>
    <w:rsid w:val="00A04177"/>
    <w:rsid w:val="00A041D8"/>
    <w:rsid w:val="00A0486E"/>
    <w:rsid w:val="00A04E46"/>
    <w:rsid w:val="00A0513D"/>
    <w:rsid w:val="00A05239"/>
    <w:rsid w:val="00A055DD"/>
    <w:rsid w:val="00A05CFE"/>
    <w:rsid w:val="00A06475"/>
    <w:rsid w:val="00A064AC"/>
    <w:rsid w:val="00A069BD"/>
    <w:rsid w:val="00A06D06"/>
    <w:rsid w:val="00A077CA"/>
    <w:rsid w:val="00A078E1"/>
    <w:rsid w:val="00A07E5A"/>
    <w:rsid w:val="00A07FD7"/>
    <w:rsid w:val="00A10418"/>
    <w:rsid w:val="00A106E3"/>
    <w:rsid w:val="00A107FF"/>
    <w:rsid w:val="00A10ACC"/>
    <w:rsid w:val="00A10CCB"/>
    <w:rsid w:val="00A110F9"/>
    <w:rsid w:val="00A11170"/>
    <w:rsid w:val="00A11188"/>
    <w:rsid w:val="00A1166E"/>
    <w:rsid w:val="00A11693"/>
    <w:rsid w:val="00A11A69"/>
    <w:rsid w:val="00A11F49"/>
    <w:rsid w:val="00A123F8"/>
    <w:rsid w:val="00A12611"/>
    <w:rsid w:val="00A128B4"/>
    <w:rsid w:val="00A12DA4"/>
    <w:rsid w:val="00A12E02"/>
    <w:rsid w:val="00A12E7E"/>
    <w:rsid w:val="00A12EE5"/>
    <w:rsid w:val="00A13124"/>
    <w:rsid w:val="00A13148"/>
    <w:rsid w:val="00A13193"/>
    <w:rsid w:val="00A13381"/>
    <w:rsid w:val="00A1338F"/>
    <w:rsid w:val="00A13566"/>
    <w:rsid w:val="00A13E15"/>
    <w:rsid w:val="00A13FC8"/>
    <w:rsid w:val="00A14173"/>
    <w:rsid w:val="00A14748"/>
    <w:rsid w:val="00A14C4B"/>
    <w:rsid w:val="00A1543B"/>
    <w:rsid w:val="00A15D12"/>
    <w:rsid w:val="00A15E12"/>
    <w:rsid w:val="00A15F2E"/>
    <w:rsid w:val="00A16011"/>
    <w:rsid w:val="00A16119"/>
    <w:rsid w:val="00A161CE"/>
    <w:rsid w:val="00A17099"/>
    <w:rsid w:val="00A171BD"/>
    <w:rsid w:val="00A174C2"/>
    <w:rsid w:val="00A17572"/>
    <w:rsid w:val="00A179CD"/>
    <w:rsid w:val="00A17BD5"/>
    <w:rsid w:val="00A17C8C"/>
    <w:rsid w:val="00A2028D"/>
    <w:rsid w:val="00A2053E"/>
    <w:rsid w:val="00A205E9"/>
    <w:rsid w:val="00A206A7"/>
    <w:rsid w:val="00A20FA1"/>
    <w:rsid w:val="00A21070"/>
    <w:rsid w:val="00A225CF"/>
    <w:rsid w:val="00A225D4"/>
    <w:rsid w:val="00A22BA8"/>
    <w:rsid w:val="00A23B58"/>
    <w:rsid w:val="00A23F79"/>
    <w:rsid w:val="00A2423A"/>
    <w:rsid w:val="00A2475D"/>
    <w:rsid w:val="00A24972"/>
    <w:rsid w:val="00A254E9"/>
    <w:rsid w:val="00A256EF"/>
    <w:rsid w:val="00A258C2"/>
    <w:rsid w:val="00A25B5A"/>
    <w:rsid w:val="00A25C02"/>
    <w:rsid w:val="00A25D2C"/>
    <w:rsid w:val="00A25EA8"/>
    <w:rsid w:val="00A26CA2"/>
    <w:rsid w:val="00A26EB5"/>
    <w:rsid w:val="00A27C64"/>
    <w:rsid w:val="00A30132"/>
    <w:rsid w:val="00A3018E"/>
    <w:rsid w:val="00A30302"/>
    <w:rsid w:val="00A30444"/>
    <w:rsid w:val="00A30CE5"/>
    <w:rsid w:val="00A30D83"/>
    <w:rsid w:val="00A30E64"/>
    <w:rsid w:val="00A31155"/>
    <w:rsid w:val="00A31522"/>
    <w:rsid w:val="00A3159F"/>
    <w:rsid w:val="00A31861"/>
    <w:rsid w:val="00A31E85"/>
    <w:rsid w:val="00A31F19"/>
    <w:rsid w:val="00A32199"/>
    <w:rsid w:val="00A323E8"/>
    <w:rsid w:val="00A324BD"/>
    <w:rsid w:val="00A32998"/>
    <w:rsid w:val="00A32AE8"/>
    <w:rsid w:val="00A32E09"/>
    <w:rsid w:val="00A3316E"/>
    <w:rsid w:val="00A3352B"/>
    <w:rsid w:val="00A33EDD"/>
    <w:rsid w:val="00A34A3A"/>
    <w:rsid w:val="00A34BF0"/>
    <w:rsid w:val="00A3557E"/>
    <w:rsid w:val="00A355EF"/>
    <w:rsid w:val="00A35770"/>
    <w:rsid w:val="00A358B3"/>
    <w:rsid w:val="00A35A8B"/>
    <w:rsid w:val="00A36078"/>
    <w:rsid w:val="00A3609B"/>
    <w:rsid w:val="00A363E5"/>
    <w:rsid w:val="00A36486"/>
    <w:rsid w:val="00A364B8"/>
    <w:rsid w:val="00A365FC"/>
    <w:rsid w:val="00A36875"/>
    <w:rsid w:val="00A36C9D"/>
    <w:rsid w:val="00A37031"/>
    <w:rsid w:val="00A37132"/>
    <w:rsid w:val="00A3776C"/>
    <w:rsid w:val="00A377EA"/>
    <w:rsid w:val="00A37B1E"/>
    <w:rsid w:val="00A37B80"/>
    <w:rsid w:val="00A37F6F"/>
    <w:rsid w:val="00A40346"/>
    <w:rsid w:val="00A406A3"/>
    <w:rsid w:val="00A40782"/>
    <w:rsid w:val="00A40A9B"/>
    <w:rsid w:val="00A40C92"/>
    <w:rsid w:val="00A40D65"/>
    <w:rsid w:val="00A40F01"/>
    <w:rsid w:val="00A40FD9"/>
    <w:rsid w:val="00A41AE7"/>
    <w:rsid w:val="00A41C82"/>
    <w:rsid w:val="00A420D8"/>
    <w:rsid w:val="00A4214D"/>
    <w:rsid w:val="00A42A42"/>
    <w:rsid w:val="00A42AF9"/>
    <w:rsid w:val="00A42BD7"/>
    <w:rsid w:val="00A4346C"/>
    <w:rsid w:val="00A435D4"/>
    <w:rsid w:val="00A43895"/>
    <w:rsid w:val="00A43898"/>
    <w:rsid w:val="00A438CD"/>
    <w:rsid w:val="00A43BAA"/>
    <w:rsid w:val="00A44369"/>
    <w:rsid w:val="00A44AAE"/>
    <w:rsid w:val="00A45360"/>
    <w:rsid w:val="00A45AD1"/>
    <w:rsid w:val="00A46C4C"/>
    <w:rsid w:val="00A472B6"/>
    <w:rsid w:val="00A47866"/>
    <w:rsid w:val="00A47BF7"/>
    <w:rsid w:val="00A47CF1"/>
    <w:rsid w:val="00A506E6"/>
    <w:rsid w:val="00A50912"/>
    <w:rsid w:val="00A50BE3"/>
    <w:rsid w:val="00A50DE1"/>
    <w:rsid w:val="00A50DFA"/>
    <w:rsid w:val="00A50E1D"/>
    <w:rsid w:val="00A5146E"/>
    <w:rsid w:val="00A51FF4"/>
    <w:rsid w:val="00A5298C"/>
    <w:rsid w:val="00A52BEA"/>
    <w:rsid w:val="00A52F30"/>
    <w:rsid w:val="00A5328C"/>
    <w:rsid w:val="00A538C9"/>
    <w:rsid w:val="00A54CAE"/>
    <w:rsid w:val="00A54CE0"/>
    <w:rsid w:val="00A5586C"/>
    <w:rsid w:val="00A55A6A"/>
    <w:rsid w:val="00A560A5"/>
    <w:rsid w:val="00A569FA"/>
    <w:rsid w:val="00A56EDB"/>
    <w:rsid w:val="00A5709E"/>
    <w:rsid w:val="00A60BDE"/>
    <w:rsid w:val="00A61006"/>
    <w:rsid w:val="00A6110F"/>
    <w:rsid w:val="00A6139A"/>
    <w:rsid w:val="00A61814"/>
    <w:rsid w:val="00A6196E"/>
    <w:rsid w:val="00A61BD7"/>
    <w:rsid w:val="00A61C10"/>
    <w:rsid w:val="00A61CD5"/>
    <w:rsid w:val="00A621F0"/>
    <w:rsid w:val="00A621FF"/>
    <w:rsid w:val="00A6239D"/>
    <w:rsid w:val="00A6255C"/>
    <w:rsid w:val="00A625EB"/>
    <w:rsid w:val="00A62BDA"/>
    <w:rsid w:val="00A63096"/>
    <w:rsid w:val="00A633B8"/>
    <w:rsid w:val="00A63529"/>
    <w:rsid w:val="00A63991"/>
    <w:rsid w:val="00A64343"/>
    <w:rsid w:val="00A6449F"/>
    <w:rsid w:val="00A64562"/>
    <w:rsid w:val="00A6464B"/>
    <w:rsid w:val="00A6470E"/>
    <w:rsid w:val="00A649DB"/>
    <w:rsid w:val="00A64ADC"/>
    <w:rsid w:val="00A6516A"/>
    <w:rsid w:val="00A651AB"/>
    <w:rsid w:val="00A65757"/>
    <w:rsid w:val="00A65BC9"/>
    <w:rsid w:val="00A6616D"/>
    <w:rsid w:val="00A66577"/>
    <w:rsid w:val="00A665F2"/>
    <w:rsid w:val="00A667D7"/>
    <w:rsid w:val="00A669F2"/>
    <w:rsid w:val="00A66A42"/>
    <w:rsid w:val="00A66EFD"/>
    <w:rsid w:val="00A67019"/>
    <w:rsid w:val="00A67A97"/>
    <w:rsid w:val="00A67C23"/>
    <w:rsid w:val="00A67CC1"/>
    <w:rsid w:val="00A71D26"/>
    <w:rsid w:val="00A71E5F"/>
    <w:rsid w:val="00A72430"/>
    <w:rsid w:val="00A72AE0"/>
    <w:rsid w:val="00A72C70"/>
    <w:rsid w:val="00A72E58"/>
    <w:rsid w:val="00A735F7"/>
    <w:rsid w:val="00A73A41"/>
    <w:rsid w:val="00A73EB1"/>
    <w:rsid w:val="00A74653"/>
    <w:rsid w:val="00A748D8"/>
    <w:rsid w:val="00A74CB7"/>
    <w:rsid w:val="00A750BA"/>
    <w:rsid w:val="00A752CE"/>
    <w:rsid w:val="00A757C5"/>
    <w:rsid w:val="00A7590D"/>
    <w:rsid w:val="00A75A8B"/>
    <w:rsid w:val="00A75CF3"/>
    <w:rsid w:val="00A76233"/>
    <w:rsid w:val="00A762D9"/>
    <w:rsid w:val="00A7690B"/>
    <w:rsid w:val="00A76D29"/>
    <w:rsid w:val="00A77550"/>
    <w:rsid w:val="00A775D2"/>
    <w:rsid w:val="00A7799D"/>
    <w:rsid w:val="00A779D0"/>
    <w:rsid w:val="00A806DF"/>
    <w:rsid w:val="00A80747"/>
    <w:rsid w:val="00A807F2"/>
    <w:rsid w:val="00A808A1"/>
    <w:rsid w:val="00A80990"/>
    <w:rsid w:val="00A80A0A"/>
    <w:rsid w:val="00A8166B"/>
    <w:rsid w:val="00A816C2"/>
    <w:rsid w:val="00A82692"/>
    <w:rsid w:val="00A8299E"/>
    <w:rsid w:val="00A82A0C"/>
    <w:rsid w:val="00A838FB"/>
    <w:rsid w:val="00A839C7"/>
    <w:rsid w:val="00A83A98"/>
    <w:rsid w:val="00A83C1F"/>
    <w:rsid w:val="00A84290"/>
    <w:rsid w:val="00A8430C"/>
    <w:rsid w:val="00A843E2"/>
    <w:rsid w:val="00A85311"/>
    <w:rsid w:val="00A854D3"/>
    <w:rsid w:val="00A85719"/>
    <w:rsid w:val="00A85879"/>
    <w:rsid w:val="00A85BE6"/>
    <w:rsid w:val="00A865CF"/>
    <w:rsid w:val="00A86C66"/>
    <w:rsid w:val="00A86EC0"/>
    <w:rsid w:val="00A877CA"/>
    <w:rsid w:val="00A87E2B"/>
    <w:rsid w:val="00A9096C"/>
    <w:rsid w:val="00A90AF3"/>
    <w:rsid w:val="00A90EFD"/>
    <w:rsid w:val="00A912B5"/>
    <w:rsid w:val="00A91450"/>
    <w:rsid w:val="00A914F8"/>
    <w:rsid w:val="00A91826"/>
    <w:rsid w:val="00A919D8"/>
    <w:rsid w:val="00A91A0D"/>
    <w:rsid w:val="00A91C14"/>
    <w:rsid w:val="00A92499"/>
    <w:rsid w:val="00A925E9"/>
    <w:rsid w:val="00A928AE"/>
    <w:rsid w:val="00A92CBD"/>
    <w:rsid w:val="00A92ECA"/>
    <w:rsid w:val="00A93636"/>
    <w:rsid w:val="00A936FB"/>
    <w:rsid w:val="00A93BE9"/>
    <w:rsid w:val="00A93D32"/>
    <w:rsid w:val="00A9440E"/>
    <w:rsid w:val="00A947C9"/>
    <w:rsid w:val="00A94830"/>
    <w:rsid w:val="00A94B57"/>
    <w:rsid w:val="00A9556F"/>
    <w:rsid w:val="00A958CE"/>
    <w:rsid w:val="00A95C8F"/>
    <w:rsid w:val="00A96685"/>
    <w:rsid w:val="00A967D2"/>
    <w:rsid w:val="00A9681A"/>
    <w:rsid w:val="00A969FB"/>
    <w:rsid w:val="00A96A60"/>
    <w:rsid w:val="00A96EE4"/>
    <w:rsid w:val="00A97615"/>
    <w:rsid w:val="00A97BEB"/>
    <w:rsid w:val="00A97FBD"/>
    <w:rsid w:val="00AA0F1C"/>
    <w:rsid w:val="00AA1149"/>
    <w:rsid w:val="00AA14D3"/>
    <w:rsid w:val="00AA179D"/>
    <w:rsid w:val="00AA182B"/>
    <w:rsid w:val="00AA1ADA"/>
    <w:rsid w:val="00AA1C6E"/>
    <w:rsid w:val="00AA1F14"/>
    <w:rsid w:val="00AA1F6F"/>
    <w:rsid w:val="00AA2041"/>
    <w:rsid w:val="00AA2341"/>
    <w:rsid w:val="00AA2407"/>
    <w:rsid w:val="00AA2EC8"/>
    <w:rsid w:val="00AA2ED9"/>
    <w:rsid w:val="00AA32F6"/>
    <w:rsid w:val="00AA3AF7"/>
    <w:rsid w:val="00AA3B8F"/>
    <w:rsid w:val="00AA3D05"/>
    <w:rsid w:val="00AA3EBA"/>
    <w:rsid w:val="00AA3F85"/>
    <w:rsid w:val="00AA45BF"/>
    <w:rsid w:val="00AA4748"/>
    <w:rsid w:val="00AA4ACC"/>
    <w:rsid w:val="00AA5074"/>
    <w:rsid w:val="00AA5342"/>
    <w:rsid w:val="00AA54F5"/>
    <w:rsid w:val="00AA5972"/>
    <w:rsid w:val="00AA59FA"/>
    <w:rsid w:val="00AA5C99"/>
    <w:rsid w:val="00AA5D97"/>
    <w:rsid w:val="00AA5EB2"/>
    <w:rsid w:val="00AA62B9"/>
    <w:rsid w:val="00AA6412"/>
    <w:rsid w:val="00AA646B"/>
    <w:rsid w:val="00AA65E3"/>
    <w:rsid w:val="00AA66F1"/>
    <w:rsid w:val="00AA67A0"/>
    <w:rsid w:val="00AA6803"/>
    <w:rsid w:val="00AA6CC3"/>
    <w:rsid w:val="00AA6E65"/>
    <w:rsid w:val="00AA79E6"/>
    <w:rsid w:val="00AA7A75"/>
    <w:rsid w:val="00AA7BB0"/>
    <w:rsid w:val="00AA7ECA"/>
    <w:rsid w:val="00AA7F80"/>
    <w:rsid w:val="00AB00B4"/>
    <w:rsid w:val="00AB0384"/>
    <w:rsid w:val="00AB0AEB"/>
    <w:rsid w:val="00AB0E1C"/>
    <w:rsid w:val="00AB1027"/>
    <w:rsid w:val="00AB1813"/>
    <w:rsid w:val="00AB1B4C"/>
    <w:rsid w:val="00AB1C78"/>
    <w:rsid w:val="00AB1D5A"/>
    <w:rsid w:val="00AB1E77"/>
    <w:rsid w:val="00AB2143"/>
    <w:rsid w:val="00AB2C4D"/>
    <w:rsid w:val="00AB2F1E"/>
    <w:rsid w:val="00AB35D0"/>
    <w:rsid w:val="00AB36AE"/>
    <w:rsid w:val="00AB3BF4"/>
    <w:rsid w:val="00AB4CCE"/>
    <w:rsid w:val="00AB4D82"/>
    <w:rsid w:val="00AB5614"/>
    <w:rsid w:val="00AB5A67"/>
    <w:rsid w:val="00AB65AD"/>
    <w:rsid w:val="00AB68AF"/>
    <w:rsid w:val="00AB6B62"/>
    <w:rsid w:val="00AB6D08"/>
    <w:rsid w:val="00AB6D47"/>
    <w:rsid w:val="00AB6EF3"/>
    <w:rsid w:val="00AB70EE"/>
    <w:rsid w:val="00AB7942"/>
    <w:rsid w:val="00AB7E4C"/>
    <w:rsid w:val="00AC00E0"/>
    <w:rsid w:val="00AC00F6"/>
    <w:rsid w:val="00AC01A0"/>
    <w:rsid w:val="00AC051B"/>
    <w:rsid w:val="00AC061A"/>
    <w:rsid w:val="00AC0866"/>
    <w:rsid w:val="00AC0D50"/>
    <w:rsid w:val="00AC0DC6"/>
    <w:rsid w:val="00AC1025"/>
    <w:rsid w:val="00AC10AC"/>
    <w:rsid w:val="00AC13BB"/>
    <w:rsid w:val="00AC15D4"/>
    <w:rsid w:val="00AC1EC3"/>
    <w:rsid w:val="00AC25E3"/>
    <w:rsid w:val="00AC2D68"/>
    <w:rsid w:val="00AC2F9F"/>
    <w:rsid w:val="00AC317C"/>
    <w:rsid w:val="00AC33F5"/>
    <w:rsid w:val="00AC3891"/>
    <w:rsid w:val="00AC3AAE"/>
    <w:rsid w:val="00AC3C21"/>
    <w:rsid w:val="00AC4903"/>
    <w:rsid w:val="00AC4A9F"/>
    <w:rsid w:val="00AC4DBF"/>
    <w:rsid w:val="00AC52BC"/>
    <w:rsid w:val="00AC54BF"/>
    <w:rsid w:val="00AC596F"/>
    <w:rsid w:val="00AC5ADC"/>
    <w:rsid w:val="00AC5E56"/>
    <w:rsid w:val="00AC5F8D"/>
    <w:rsid w:val="00AC641D"/>
    <w:rsid w:val="00AC64C9"/>
    <w:rsid w:val="00AC6AD1"/>
    <w:rsid w:val="00AC6E75"/>
    <w:rsid w:val="00AC6F9A"/>
    <w:rsid w:val="00AC7090"/>
    <w:rsid w:val="00AC71A8"/>
    <w:rsid w:val="00AC71B8"/>
    <w:rsid w:val="00AC7385"/>
    <w:rsid w:val="00AC77BF"/>
    <w:rsid w:val="00AC7B19"/>
    <w:rsid w:val="00AD0050"/>
    <w:rsid w:val="00AD035D"/>
    <w:rsid w:val="00AD102F"/>
    <w:rsid w:val="00AD14B5"/>
    <w:rsid w:val="00AD151B"/>
    <w:rsid w:val="00AD193B"/>
    <w:rsid w:val="00AD1B13"/>
    <w:rsid w:val="00AD1E8F"/>
    <w:rsid w:val="00AD20DF"/>
    <w:rsid w:val="00AD2296"/>
    <w:rsid w:val="00AD2373"/>
    <w:rsid w:val="00AD2B5A"/>
    <w:rsid w:val="00AD37E8"/>
    <w:rsid w:val="00AD37F7"/>
    <w:rsid w:val="00AD386F"/>
    <w:rsid w:val="00AD3D58"/>
    <w:rsid w:val="00AD43E2"/>
    <w:rsid w:val="00AD4DBE"/>
    <w:rsid w:val="00AD519B"/>
    <w:rsid w:val="00AD56E2"/>
    <w:rsid w:val="00AD5890"/>
    <w:rsid w:val="00AD605B"/>
    <w:rsid w:val="00AD6196"/>
    <w:rsid w:val="00AD626E"/>
    <w:rsid w:val="00AD63D0"/>
    <w:rsid w:val="00AD69F4"/>
    <w:rsid w:val="00AD6E13"/>
    <w:rsid w:val="00AD6EA4"/>
    <w:rsid w:val="00AD76CA"/>
    <w:rsid w:val="00AD7B02"/>
    <w:rsid w:val="00AD7E95"/>
    <w:rsid w:val="00AD7EEC"/>
    <w:rsid w:val="00AE01EC"/>
    <w:rsid w:val="00AE0420"/>
    <w:rsid w:val="00AE07BC"/>
    <w:rsid w:val="00AE0CC9"/>
    <w:rsid w:val="00AE1B40"/>
    <w:rsid w:val="00AE1C9F"/>
    <w:rsid w:val="00AE2327"/>
    <w:rsid w:val="00AE2348"/>
    <w:rsid w:val="00AE26B1"/>
    <w:rsid w:val="00AE2760"/>
    <w:rsid w:val="00AE2E18"/>
    <w:rsid w:val="00AE32A0"/>
    <w:rsid w:val="00AE33FE"/>
    <w:rsid w:val="00AE348C"/>
    <w:rsid w:val="00AE3700"/>
    <w:rsid w:val="00AE3873"/>
    <w:rsid w:val="00AE3B27"/>
    <w:rsid w:val="00AE3D94"/>
    <w:rsid w:val="00AE3DA3"/>
    <w:rsid w:val="00AE3F2A"/>
    <w:rsid w:val="00AE4417"/>
    <w:rsid w:val="00AE4421"/>
    <w:rsid w:val="00AE470F"/>
    <w:rsid w:val="00AE4753"/>
    <w:rsid w:val="00AE4DD9"/>
    <w:rsid w:val="00AE5573"/>
    <w:rsid w:val="00AE5725"/>
    <w:rsid w:val="00AE572F"/>
    <w:rsid w:val="00AE5A75"/>
    <w:rsid w:val="00AE5C4E"/>
    <w:rsid w:val="00AE64DE"/>
    <w:rsid w:val="00AE6767"/>
    <w:rsid w:val="00AE6811"/>
    <w:rsid w:val="00AE6B4A"/>
    <w:rsid w:val="00AE6BD2"/>
    <w:rsid w:val="00AE7DDA"/>
    <w:rsid w:val="00AE7FA4"/>
    <w:rsid w:val="00AF02AA"/>
    <w:rsid w:val="00AF034F"/>
    <w:rsid w:val="00AF055B"/>
    <w:rsid w:val="00AF05F1"/>
    <w:rsid w:val="00AF09CA"/>
    <w:rsid w:val="00AF0CE7"/>
    <w:rsid w:val="00AF0F34"/>
    <w:rsid w:val="00AF13F9"/>
    <w:rsid w:val="00AF1475"/>
    <w:rsid w:val="00AF15AB"/>
    <w:rsid w:val="00AF17EA"/>
    <w:rsid w:val="00AF1889"/>
    <w:rsid w:val="00AF18D5"/>
    <w:rsid w:val="00AF1CD2"/>
    <w:rsid w:val="00AF2437"/>
    <w:rsid w:val="00AF24F2"/>
    <w:rsid w:val="00AF2566"/>
    <w:rsid w:val="00AF2A92"/>
    <w:rsid w:val="00AF2DDD"/>
    <w:rsid w:val="00AF3116"/>
    <w:rsid w:val="00AF3684"/>
    <w:rsid w:val="00AF3C26"/>
    <w:rsid w:val="00AF3CA2"/>
    <w:rsid w:val="00AF3EFE"/>
    <w:rsid w:val="00AF4007"/>
    <w:rsid w:val="00AF406E"/>
    <w:rsid w:val="00AF42A3"/>
    <w:rsid w:val="00AF4528"/>
    <w:rsid w:val="00AF45AB"/>
    <w:rsid w:val="00AF4875"/>
    <w:rsid w:val="00AF4E10"/>
    <w:rsid w:val="00AF5550"/>
    <w:rsid w:val="00AF59A2"/>
    <w:rsid w:val="00AF5B68"/>
    <w:rsid w:val="00AF5B6A"/>
    <w:rsid w:val="00AF6029"/>
    <w:rsid w:val="00AF61B0"/>
    <w:rsid w:val="00AF788F"/>
    <w:rsid w:val="00AF795C"/>
    <w:rsid w:val="00B00134"/>
    <w:rsid w:val="00B0068D"/>
    <w:rsid w:val="00B00DCD"/>
    <w:rsid w:val="00B00F79"/>
    <w:rsid w:val="00B01276"/>
    <w:rsid w:val="00B019DF"/>
    <w:rsid w:val="00B01D31"/>
    <w:rsid w:val="00B02306"/>
    <w:rsid w:val="00B02311"/>
    <w:rsid w:val="00B0281D"/>
    <w:rsid w:val="00B02834"/>
    <w:rsid w:val="00B02E35"/>
    <w:rsid w:val="00B02F5B"/>
    <w:rsid w:val="00B03B8C"/>
    <w:rsid w:val="00B03D39"/>
    <w:rsid w:val="00B0434B"/>
    <w:rsid w:val="00B04421"/>
    <w:rsid w:val="00B045B4"/>
    <w:rsid w:val="00B046B4"/>
    <w:rsid w:val="00B0486A"/>
    <w:rsid w:val="00B04A7A"/>
    <w:rsid w:val="00B04CBA"/>
    <w:rsid w:val="00B04EFB"/>
    <w:rsid w:val="00B04FF9"/>
    <w:rsid w:val="00B0539B"/>
    <w:rsid w:val="00B05577"/>
    <w:rsid w:val="00B059F7"/>
    <w:rsid w:val="00B05BC4"/>
    <w:rsid w:val="00B05C9D"/>
    <w:rsid w:val="00B069C2"/>
    <w:rsid w:val="00B06F4A"/>
    <w:rsid w:val="00B07261"/>
    <w:rsid w:val="00B075C1"/>
    <w:rsid w:val="00B07AC7"/>
    <w:rsid w:val="00B07FEE"/>
    <w:rsid w:val="00B10427"/>
    <w:rsid w:val="00B10769"/>
    <w:rsid w:val="00B11D3F"/>
    <w:rsid w:val="00B1255B"/>
    <w:rsid w:val="00B126F7"/>
    <w:rsid w:val="00B12C4D"/>
    <w:rsid w:val="00B141CD"/>
    <w:rsid w:val="00B143A4"/>
    <w:rsid w:val="00B1440C"/>
    <w:rsid w:val="00B144BC"/>
    <w:rsid w:val="00B14550"/>
    <w:rsid w:val="00B147C1"/>
    <w:rsid w:val="00B147C3"/>
    <w:rsid w:val="00B14BA6"/>
    <w:rsid w:val="00B14F3E"/>
    <w:rsid w:val="00B15007"/>
    <w:rsid w:val="00B15876"/>
    <w:rsid w:val="00B1616D"/>
    <w:rsid w:val="00B1659A"/>
    <w:rsid w:val="00B16996"/>
    <w:rsid w:val="00B16A9B"/>
    <w:rsid w:val="00B16E1A"/>
    <w:rsid w:val="00B1759E"/>
    <w:rsid w:val="00B176B8"/>
    <w:rsid w:val="00B1784C"/>
    <w:rsid w:val="00B17AA7"/>
    <w:rsid w:val="00B17E7F"/>
    <w:rsid w:val="00B204BD"/>
    <w:rsid w:val="00B209C5"/>
    <w:rsid w:val="00B20BE0"/>
    <w:rsid w:val="00B20D79"/>
    <w:rsid w:val="00B20D88"/>
    <w:rsid w:val="00B21067"/>
    <w:rsid w:val="00B21262"/>
    <w:rsid w:val="00B218FF"/>
    <w:rsid w:val="00B21DA9"/>
    <w:rsid w:val="00B21DCB"/>
    <w:rsid w:val="00B21F1E"/>
    <w:rsid w:val="00B2270A"/>
    <w:rsid w:val="00B22BE1"/>
    <w:rsid w:val="00B22E67"/>
    <w:rsid w:val="00B233BE"/>
    <w:rsid w:val="00B233E6"/>
    <w:rsid w:val="00B23617"/>
    <w:rsid w:val="00B2369E"/>
    <w:rsid w:val="00B24DED"/>
    <w:rsid w:val="00B24F2D"/>
    <w:rsid w:val="00B25162"/>
    <w:rsid w:val="00B253ED"/>
    <w:rsid w:val="00B257C7"/>
    <w:rsid w:val="00B25AA2"/>
    <w:rsid w:val="00B25B67"/>
    <w:rsid w:val="00B25C9D"/>
    <w:rsid w:val="00B25D62"/>
    <w:rsid w:val="00B2612E"/>
    <w:rsid w:val="00B268AD"/>
    <w:rsid w:val="00B27308"/>
    <w:rsid w:val="00B2768F"/>
    <w:rsid w:val="00B27DD6"/>
    <w:rsid w:val="00B304E2"/>
    <w:rsid w:val="00B30792"/>
    <w:rsid w:val="00B30861"/>
    <w:rsid w:val="00B31564"/>
    <w:rsid w:val="00B3171C"/>
    <w:rsid w:val="00B31754"/>
    <w:rsid w:val="00B319C9"/>
    <w:rsid w:val="00B31C88"/>
    <w:rsid w:val="00B321F1"/>
    <w:rsid w:val="00B3260B"/>
    <w:rsid w:val="00B326D0"/>
    <w:rsid w:val="00B32ACD"/>
    <w:rsid w:val="00B32AEA"/>
    <w:rsid w:val="00B32CF0"/>
    <w:rsid w:val="00B3387E"/>
    <w:rsid w:val="00B33C88"/>
    <w:rsid w:val="00B3415C"/>
    <w:rsid w:val="00B347B3"/>
    <w:rsid w:val="00B34845"/>
    <w:rsid w:val="00B34AE1"/>
    <w:rsid w:val="00B34EF4"/>
    <w:rsid w:val="00B34F52"/>
    <w:rsid w:val="00B3587F"/>
    <w:rsid w:val="00B359AD"/>
    <w:rsid w:val="00B360F4"/>
    <w:rsid w:val="00B3631F"/>
    <w:rsid w:val="00B36710"/>
    <w:rsid w:val="00B36B91"/>
    <w:rsid w:val="00B36C4C"/>
    <w:rsid w:val="00B3739E"/>
    <w:rsid w:val="00B37693"/>
    <w:rsid w:val="00B3790F"/>
    <w:rsid w:val="00B379C8"/>
    <w:rsid w:val="00B37B58"/>
    <w:rsid w:val="00B37E14"/>
    <w:rsid w:val="00B37F29"/>
    <w:rsid w:val="00B400DF"/>
    <w:rsid w:val="00B4013E"/>
    <w:rsid w:val="00B4026E"/>
    <w:rsid w:val="00B404D3"/>
    <w:rsid w:val="00B40843"/>
    <w:rsid w:val="00B40F37"/>
    <w:rsid w:val="00B41448"/>
    <w:rsid w:val="00B41B04"/>
    <w:rsid w:val="00B41BD2"/>
    <w:rsid w:val="00B41C3B"/>
    <w:rsid w:val="00B41CA3"/>
    <w:rsid w:val="00B41DFB"/>
    <w:rsid w:val="00B4203C"/>
    <w:rsid w:val="00B42203"/>
    <w:rsid w:val="00B423C0"/>
    <w:rsid w:val="00B4362D"/>
    <w:rsid w:val="00B43686"/>
    <w:rsid w:val="00B436C3"/>
    <w:rsid w:val="00B4389E"/>
    <w:rsid w:val="00B43D5E"/>
    <w:rsid w:val="00B4434F"/>
    <w:rsid w:val="00B448E8"/>
    <w:rsid w:val="00B44C79"/>
    <w:rsid w:val="00B44DCD"/>
    <w:rsid w:val="00B44F4A"/>
    <w:rsid w:val="00B45A7C"/>
    <w:rsid w:val="00B45E14"/>
    <w:rsid w:val="00B46415"/>
    <w:rsid w:val="00B46441"/>
    <w:rsid w:val="00B464AF"/>
    <w:rsid w:val="00B46A48"/>
    <w:rsid w:val="00B46BCE"/>
    <w:rsid w:val="00B4710F"/>
    <w:rsid w:val="00B472D8"/>
    <w:rsid w:val="00B47BD8"/>
    <w:rsid w:val="00B47DC7"/>
    <w:rsid w:val="00B500CE"/>
    <w:rsid w:val="00B5026B"/>
    <w:rsid w:val="00B50380"/>
    <w:rsid w:val="00B50F87"/>
    <w:rsid w:val="00B51BE5"/>
    <w:rsid w:val="00B51DE9"/>
    <w:rsid w:val="00B51E5E"/>
    <w:rsid w:val="00B524B6"/>
    <w:rsid w:val="00B527F3"/>
    <w:rsid w:val="00B5287C"/>
    <w:rsid w:val="00B528DD"/>
    <w:rsid w:val="00B52A45"/>
    <w:rsid w:val="00B53AFE"/>
    <w:rsid w:val="00B53EBD"/>
    <w:rsid w:val="00B54024"/>
    <w:rsid w:val="00B54151"/>
    <w:rsid w:val="00B54548"/>
    <w:rsid w:val="00B547B3"/>
    <w:rsid w:val="00B54C28"/>
    <w:rsid w:val="00B54E08"/>
    <w:rsid w:val="00B54E6E"/>
    <w:rsid w:val="00B55026"/>
    <w:rsid w:val="00B55362"/>
    <w:rsid w:val="00B55B2C"/>
    <w:rsid w:val="00B55D75"/>
    <w:rsid w:val="00B55DBF"/>
    <w:rsid w:val="00B55E88"/>
    <w:rsid w:val="00B5604E"/>
    <w:rsid w:val="00B56608"/>
    <w:rsid w:val="00B56BBC"/>
    <w:rsid w:val="00B5719A"/>
    <w:rsid w:val="00B57479"/>
    <w:rsid w:val="00B57727"/>
    <w:rsid w:val="00B57CF0"/>
    <w:rsid w:val="00B57E79"/>
    <w:rsid w:val="00B57E9E"/>
    <w:rsid w:val="00B57FEA"/>
    <w:rsid w:val="00B60459"/>
    <w:rsid w:val="00B6061D"/>
    <w:rsid w:val="00B60BCA"/>
    <w:rsid w:val="00B60D10"/>
    <w:rsid w:val="00B614A3"/>
    <w:rsid w:val="00B616ED"/>
    <w:rsid w:val="00B61842"/>
    <w:rsid w:val="00B61B13"/>
    <w:rsid w:val="00B62153"/>
    <w:rsid w:val="00B6228E"/>
    <w:rsid w:val="00B62654"/>
    <w:rsid w:val="00B62AEC"/>
    <w:rsid w:val="00B631D8"/>
    <w:rsid w:val="00B6337B"/>
    <w:rsid w:val="00B63571"/>
    <w:rsid w:val="00B637F8"/>
    <w:rsid w:val="00B63ED8"/>
    <w:rsid w:val="00B641EB"/>
    <w:rsid w:val="00B64275"/>
    <w:rsid w:val="00B64A4B"/>
    <w:rsid w:val="00B64A51"/>
    <w:rsid w:val="00B64B92"/>
    <w:rsid w:val="00B64FDF"/>
    <w:rsid w:val="00B65159"/>
    <w:rsid w:val="00B65224"/>
    <w:rsid w:val="00B653D9"/>
    <w:rsid w:val="00B654C1"/>
    <w:rsid w:val="00B655B4"/>
    <w:rsid w:val="00B66073"/>
    <w:rsid w:val="00B6640B"/>
    <w:rsid w:val="00B66643"/>
    <w:rsid w:val="00B66C39"/>
    <w:rsid w:val="00B66DB6"/>
    <w:rsid w:val="00B6797E"/>
    <w:rsid w:val="00B67BA1"/>
    <w:rsid w:val="00B67E7D"/>
    <w:rsid w:val="00B7045F"/>
    <w:rsid w:val="00B70617"/>
    <w:rsid w:val="00B70A37"/>
    <w:rsid w:val="00B70D13"/>
    <w:rsid w:val="00B70EF5"/>
    <w:rsid w:val="00B70F8C"/>
    <w:rsid w:val="00B70FE6"/>
    <w:rsid w:val="00B7122E"/>
    <w:rsid w:val="00B7134C"/>
    <w:rsid w:val="00B71782"/>
    <w:rsid w:val="00B719AF"/>
    <w:rsid w:val="00B71C0F"/>
    <w:rsid w:val="00B71DE5"/>
    <w:rsid w:val="00B71FD7"/>
    <w:rsid w:val="00B72305"/>
    <w:rsid w:val="00B726B9"/>
    <w:rsid w:val="00B72994"/>
    <w:rsid w:val="00B72AF9"/>
    <w:rsid w:val="00B72E37"/>
    <w:rsid w:val="00B72F3B"/>
    <w:rsid w:val="00B7326B"/>
    <w:rsid w:val="00B73A31"/>
    <w:rsid w:val="00B73E8E"/>
    <w:rsid w:val="00B74FF0"/>
    <w:rsid w:val="00B750D9"/>
    <w:rsid w:val="00B7529B"/>
    <w:rsid w:val="00B758C3"/>
    <w:rsid w:val="00B7591D"/>
    <w:rsid w:val="00B75959"/>
    <w:rsid w:val="00B75ACC"/>
    <w:rsid w:val="00B7607C"/>
    <w:rsid w:val="00B765D2"/>
    <w:rsid w:val="00B76B75"/>
    <w:rsid w:val="00B77076"/>
    <w:rsid w:val="00B774A4"/>
    <w:rsid w:val="00B77774"/>
    <w:rsid w:val="00B77B8C"/>
    <w:rsid w:val="00B77BA8"/>
    <w:rsid w:val="00B77F26"/>
    <w:rsid w:val="00B80502"/>
    <w:rsid w:val="00B80A4A"/>
    <w:rsid w:val="00B80B74"/>
    <w:rsid w:val="00B80C34"/>
    <w:rsid w:val="00B80C36"/>
    <w:rsid w:val="00B80C45"/>
    <w:rsid w:val="00B8118F"/>
    <w:rsid w:val="00B81580"/>
    <w:rsid w:val="00B8174F"/>
    <w:rsid w:val="00B817BF"/>
    <w:rsid w:val="00B81D4B"/>
    <w:rsid w:val="00B820EB"/>
    <w:rsid w:val="00B82202"/>
    <w:rsid w:val="00B822B8"/>
    <w:rsid w:val="00B825EC"/>
    <w:rsid w:val="00B82A0F"/>
    <w:rsid w:val="00B831C4"/>
    <w:rsid w:val="00B8384A"/>
    <w:rsid w:val="00B83D14"/>
    <w:rsid w:val="00B84360"/>
    <w:rsid w:val="00B84583"/>
    <w:rsid w:val="00B845B8"/>
    <w:rsid w:val="00B84659"/>
    <w:rsid w:val="00B8484F"/>
    <w:rsid w:val="00B84B45"/>
    <w:rsid w:val="00B84F6C"/>
    <w:rsid w:val="00B850E1"/>
    <w:rsid w:val="00B85AA4"/>
    <w:rsid w:val="00B85AEC"/>
    <w:rsid w:val="00B85E43"/>
    <w:rsid w:val="00B85E58"/>
    <w:rsid w:val="00B86091"/>
    <w:rsid w:val="00B863EE"/>
    <w:rsid w:val="00B868B1"/>
    <w:rsid w:val="00B86B46"/>
    <w:rsid w:val="00B86E4C"/>
    <w:rsid w:val="00B87333"/>
    <w:rsid w:val="00B87CAB"/>
    <w:rsid w:val="00B87F7D"/>
    <w:rsid w:val="00B90152"/>
    <w:rsid w:val="00B90C54"/>
    <w:rsid w:val="00B90C87"/>
    <w:rsid w:val="00B9131D"/>
    <w:rsid w:val="00B9133C"/>
    <w:rsid w:val="00B91412"/>
    <w:rsid w:val="00B91D63"/>
    <w:rsid w:val="00B920A3"/>
    <w:rsid w:val="00B922D1"/>
    <w:rsid w:val="00B92EC2"/>
    <w:rsid w:val="00B92F3A"/>
    <w:rsid w:val="00B930ED"/>
    <w:rsid w:val="00B930F5"/>
    <w:rsid w:val="00B931E1"/>
    <w:rsid w:val="00B93E2B"/>
    <w:rsid w:val="00B93F59"/>
    <w:rsid w:val="00B946B6"/>
    <w:rsid w:val="00B94739"/>
    <w:rsid w:val="00B947B7"/>
    <w:rsid w:val="00B94CB6"/>
    <w:rsid w:val="00B9511A"/>
    <w:rsid w:val="00B959BB"/>
    <w:rsid w:val="00B96354"/>
    <w:rsid w:val="00B96C33"/>
    <w:rsid w:val="00B96EB2"/>
    <w:rsid w:val="00B96F3A"/>
    <w:rsid w:val="00B97448"/>
    <w:rsid w:val="00B978E8"/>
    <w:rsid w:val="00B97AB8"/>
    <w:rsid w:val="00BA0296"/>
    <w:rsid w:val="00BA0AB0"/>
    <w:rsid w:val="00BA0E2A"/>
    <w:rsid w:val="00BA1420"/>
    <w:rsid w:val="00BA1486"/>
    <w:rsid w:val="00BA1B26"/>
    <w:rsid w:val="00BA1EA9"/>
    <w:rsid w:val="00BA1FFF"/>
    <w:rsid w:val="00BA218C"/>
    <w:rsid w:val="00BA2321"/>
    <w:rsid w:val="00BA2D73"/>
    <w:rsid w:val="00BA3214"/>
    <w:rsid w:val="00BA34DD"/>
    <w:rsid w:val="00BA358E"/>
    <w:rsid w:val="00BA385D"/>
    <w:rsid w:val="00BA3B30"/>
    <w:rsid w:val="00BA3B3F"/>
    <w:rsid w:val="00BA3C1A"/>
    <w:rsid w:val="00BA3F93"/>
    <w:rsid w:val="00BA4AA5"/>
    <w:rsid w:val="00BA4BFF"/>
    <w:rsid w:val="00BA4C20"/>
    <w:rsid w:val="00BA4C89"/>
    <w:rsid w:val="00BA533D"/>
    <w:rsid w:val="00BA5444"/>
    <w:rsid w:val="00BA54B5"/>
    <w:rsid w:val="00BA5CAC"/>
    <w:rsid w:val="00BA5CF6"/>
    <w:rsid w:val="00BA5DE3"/>
    <w:rsid w:val="00BA6887"/>
    <w:rsid w:val="00BA6D32"/>
    <w:rsid w:val="00BA6F01"/>
    <w:rsid w:val="00BA7A72"/>
    <w:rsid w:val="00BA7D7C"/>
    <w:rsid w:val="00BB0124"/>
    <w:rsid w:val="00BB053D"/>
    <w:rsid w:val="00BB077B"/>
    <w:rsid w:val="00BB092C"/>
    <w:rsid w:val="00BB0995"/>
    <w:rsid w:val="00BB09E6"/>
    <w:rsid w:val="00BB0DF2"/>
    <w:rsid w:val="00BB0FF0"/>
    <w:rsid w:val="00BB152D"/>
    <w:rsid w:val="00BB1829"/>
    <w:rsid w:val="00BB233C"/>
    <w:rsid w:val="00BB3037"/>
    <w:rsid w:val="00BB3075"/>
    <w:rsid w:val="00BB312D"/>
    <w:rsid w:val="00BB3146"/>
    <w:rsid w:val="00BB3215"/>
    <w:rsid w:val="00BB34E9"/>
    <w:rsid w:val="00BB37A1"/>
    <w:rsid w:val="00BB38EB"/>
    <w:rsid w:val="00BB3E9F"/>
    <w:rsid w:val="00BB3ECA"/>
    <w:rsid w:val="00BB4639"/>
    <w:rsid w:val="00BB4A30"/>
    <w:rsid w:val="00BB4ADB"/>
    <w:rsid w:val="00BB4D17"/>
    <w:rsid w:val="00BB4D69"/>
    <w:rsid w:val="00BB4DB9"/>
    <w:rsid w:val="00BB4DFB"/>
    <w:rsid w:val="00BB505A"/>
    <w:rsid w:val="00BB5DE0"/>
    <w:rsid w:val="00BB5DE1"/>
    <w:rsid w:val="00BB64AD"/>
    <w:rsid w:val="00BB659C"/>
    <w:rsid w:val="00BB71D2"/>
    <w:rsid w:val="00BC0091"/>
    <w:rsid w:val="00BC0B50"/>
    <w:rsid w:val="00BC1110"/>
    <w:rsid w:val="00BC1239"/>
    <w:rsid w:val="00BC1388"/>
    <w:rsid w:val="00BC15E6"/>
    <w:rsid w:val="00BC1A1F"/>
    <w:rsid w:val="00BC1FE4"/>
    <w:rsid w:val="00BC2930"/>
    <w:rsid w:val="00BC2B8B"/>
    <w:rsid w:val="00BC2BC7"/>
    <w:rsid w:val="00BC300F"/>
    <w:rsid w:val="00BC3C30"/>
    <w:rsid w:val="00BC40F2"/>
    <w:rsid w:val="00BC4149"/>
    <w:rsid w:val="00BC4322"/>
    <w:rsid w:val="00BC44A5"/>
    <w:rsid w:val="00BC44C4"/>
    <w:rsid w:val="00BC4576"/>
    <w:rsid w:val="00BC46B5"/>
    <w:rsid w:val="00BC474C"/>
    <w:rsid w:val="00BC4D47"/>
    <w:rsid w:val="00BC4EF6"/>
    <w:rsid w:val="00BC5092"/>
    <w:rsid w:val="00BC5094"/>
    <w:rsid w:val="00BC53CE"/>
    <w:rsid w:val="00BC556B"/>
    <w:rsid w:val="00BC597A"/>
    <w:rsid w:val="00BC5D36"/>
    <w:rsid w:val="00BC6D07"/>
    <w:rsid w:val="00BC6E76"/>
    <w:rsid w:val="00BC72BA"/>
    <w:rsid w:val="00BC759A"/>
    <w:rsid w:val="00BC77C0"/>
    <w:rsid w:val="00BD024A"/>
    <w:rsid w:val="00BD0A8B"/>
    <w:rsid w:val="00BD0BE5"/>
    <w:rsid w:val="00BD0FE7"/>
    <w:rsid w:val="00BD1216"/>
    <w:rsid w:val="00BD131C"/>
    <w:rsid w:val="00BD1570"/>
    <w:rsid w:val="00BD1596"/>
    <w:rsid w:val="00BD1E53"/>
    <w:rsid w:val="00BD2142"/>
    <w:rsid w:val="00BD23F5"/>
    <w:rsid w:val="00BD2873"/>
    <w:rsid w:val="00BD2892"/>
    <w:rsid w:val="00BD28C7"/>
    <w:rsid w:val="00BD2AF7"/>
    <w:rsid w:val="00BD2C79"/>
    <w:rsid w:val="00BD3675"/>
    <w:rsid w:val="00BD387F"/>
    <w:rsid w:val="00BD3A1C"/>
    <w:rsid w:val="00BD4032"/>
    <w:rsid w:val="00BD4730"/>
    <w:rsid w:val="00BD485E"/>
    <w:rsid w:val="00BD4C06"/>
    <w:rsid w:val="00BD534F"/>
    <w:rsid w:val="00BD5491"/>
    <w:rsid w:val="00BD562C"/>
    <w:rsid w:val="00BD56C8"/>
    <w:rsid w:val="00BD56D1"/>
    <w:rsid w:val="00BD57D3"/>
    <w:rsid w:val="00BD5F95"/>
    <w:rsid w:val="00BD669F"/>
    <w:rsid w:val="00BD671E"/>
    <w:rsid w:val="00BD6F70"/>
    <w:rsid w:val="00BD75A8"/>
    <w:rsid w:val="00BD75AB"/>
    <w:rsid w:val="00BD782D"/>
    <w:rsid w:val="00BD7876"/>
    <w:rsid w:val="00BD7995"/>
    <w:rsid w:val="00BD7A68"/>
    <w:rsid w:val="00BE04D3"/>
    <w:rsid w:val="00BE0B5E"/>
    <w:rsid w:val="00BE0E48"/>
    <w:rsid w:val="00BE103E"/>
    <w:rsid w:val="00BE171D"/>
    <w:rsid w:val="00BE1B83"/>
    <w:rsid w:val="00BE1D32"/>
    <w:rsid w:val="00BE1D6E"/>
    <w:rsid w:val="00BE2136"/>
    <w:rsid w:val="00BE241D"/>
    <w:rsid w:val="00BE2759"/>
    <w:rsid w:val="00BE2C63"/>
    <w:rsid w:val="00BE2DA0"/>
    <w:rsid w:val="00BE33C6"/>
    <w:rsid w:val="00BE352B"/>
    <w:rsid w:val="00BE364C"/>
    <w:rsid w:val="00BE38AA"/>
    <w:rsid w:val="00BE3F1E"/>
    <w:rsid w:val="00BE418D"/>
    <w:rsid w:val="00BE4404"/>
    <w:rsid w:val="00BE441E"/>
    <w:rsid w:val="00BE4740"/>
    <w:rsid w:val="00BE4E64"/>
    <w:rsid w:val="00BE5AA2"/>
    <w:rsid w:val="00BE5AF0"/>
    <w:rsid w:val="00BE6267"/>
    <w:rsid w:val="00BE6614"/>
    <w:rsid w:val="00BE7096"/>
    <w:rsid w:val="00BE73D1"/>
    <w:rsid w:val="00BE74BF"/>
    <w:rsid w:val="00BE7943"/>
    <w:rsid w:val="00BE7AA6"/>
    <w:rsid w:val="00BE7D2F"/>
    <w:rsid w:val="00BE7D45"/>
    <w:rsid w:val="00BE7FA3"/>
    <w:rsid w:val="00BF041C"/>
    <w:rsid w:val="00BF0435"/>
    <w:rsid w:val="00BF06E1"/>
    <w:rsid w:val="00BF072E"/>
    <w:rsid w:val="00BF094B"/>
    <w:rsid w:val="00BF0968"/>
    <w:rsid w:val="00BF0B5E"/>
    <w:rsid w:val="00BF0F57"/>
    <w:rsid w:val="00BF127B"/>
    <w:rsid w:val="00BF1845"/>
    <w:rsid w:val="00BF20E2"/>
    <w:rsid w:val="00BF2197"/>
    <w:rsid w:val="00BF2842"/>
    <w:rsid w:val="00BF2925"/>
    <w:rsid w:val="00BF2A53"/>
    <w:rsid w:val="00BF349C"/>
    <w:rsid w:val="00BF3570"/>
    <w:rsid w:val="00BF37FB"/>
    <w:rsid w:val="00BF3E21"/>
    <w:rsid w:val="00BF3EEF"/>
    <w:rsid w:val="00BF44E8"/>
    <w:rsid w:val="00BF45D7"/>
    <w:rsid w:val="00BF464C"/>
    <w:rsid w:val="00BF4846"/>
    <w:rsid w:val="00BF4AA1"/>
    <w:rsid w:val="00BF5F9E"/>
    <w:rsid w:val="00BF6040"/>
    <w:rsid w:val="00BF6248"/>
    <w:rsid w:val="00BF6A77"/>
    <w:rsid w:val="00BF6E64"/>
    <w:rsid w:val="00BF70C1"/>
    <w:rsid w:val="00BF7197"/>
    <w:rsid w:val="00BF72A8"/>
    <w:rsid w:val="00BF72CB"/>
    <w:rsid w:val="00BF7D2D"/>
    <w:rsid w:val="00C00575"/>
    <w:rsid w:val="00C00A66"/>
    <w:rsid w:val="00C00C01"/>
    <w:rsid w:val="00C00FEE"/>
    <w:rsid w:val="00C017AE"/>
    <w:rsid w:val="00C01B07"/>
    <w:rsid w:val="00C01C72"/>
    <w:rsid w:val="00C01C82"/>
    <w:rsid w:val="00C02379"/>
    <w:rsid w:val="00C0290E"/>
    <w:rsid w:val="00C029E5"/>
    <w:rsid w:val="00C02C88"/>
    <w:rsid w:val="00C02EBB"/>
    <w:rsid w:val="00C02F33"/>
    <w:rsid w:val="00C02FC8"/>
    <w:rsid w:val="00C031C1"/>
    <w:rsid w:val="00C034E2"/>
    <w:rsid w:val="00C04731"/>
    <w:rsid w:val="00C04A89"/>
    <w:rsid w:val="00C04B38"/>
    <w:rsid w:val="00C04C22"/>
    <w:rsid w:val="00C04C98"/>
    <w:rsid w:val="00C05477"/>
    <w:rsid w:val="00C05922"/>
    <w:rsid w:val="00C06160"/>
    <w:rsid w:val="00C06757"/>
    <w:rsid w:val="00C069B0"/>
    <w:rsid w:val="00C06A9E"/>
    <w:rsid w:val="00C06B28"/>
    <w:rsid w:val="00C06D84"/>
    <w:rsid w:val="00C06E43"/>
    <w:rsid w:val="00C07133"/>
    <w:rsid w:val="00C071C8"/>
    <w:rsid w:val="00C074FB"/>
    <w:rsid w:val="00C0752E"/>
    <w:rsid w:val="00C078BD"/>
    <w:rsid w:val="00C07D73"/>
    <w:rsid w:val="00C100FD"/>
    <w:rsid w:val="00C105B8"/>
    <w:rsid w:val="00C105CE"/>
    <w:rsid w:val="00C109CA"/>
    <w:rsid w:val="00C10C2D"/>
    <w:rsid w:val="00C10FAD"/>
    <w:rsid w:val="00C111AA"/>
    <w:rsid w:val="00C11444"/>
    <w:rsid w:val="00C11B13"/>
    <w:rsid w:val="00C11C72"/>
    <w:rsid w:val="00C12C4F"/>
    <w:rsid w:val="00C13016"/>
    <w:rsid w:val="00C1361C"/>
    <w:rsid w:val="00C139F1"/>
    <w:rsid w:val="00C13F37"/>
    <w:rsid w:val="00C1461A"/>
    <w:rsid w:val="00C15338"/>
    <w:rsid w:val="00C154BE"/>
    <w:rsid w:val="00C15596"/>
    <w:rsid w:val="00C1583F"/>
    <w:rsid w:val="00C15D00"/>
    <w:rsid w:val="00C16260"/>
    <w:rsid w:val="00C16A57"/>
    <w:rsid w:val="00C16C22"/>
    <w:rsid w:val="00C170B1"/>
    <w:rsid w:val="00C171E0"/>
    <w:rsid w:val="00C172D3"/>
    <w:rsid w:val="00C172E5"/>
    <w:rsid w:val="00C174F0"/>
    <w:rsid w:val="00C176ED"/>
    <w:rsid w:val="00C178D0"/>
    <w:rsid w:val="00C17D9D"/>
    <w:rsid w:val="00C17DB5"/>
    <w:rsid w:val="00C17E0A"/>
    <w:rsid w:val="00C200BD"/>
    <w:rsid w:val="00C20128"/>
    <w:rsid w:val="00C20E65"/>
    <w:rsid w:val="00C21D7D"/>
    <w:rsid w:val="00C220FA"/>
    <w:rsid w:val="00C2212A"/>
    <w:rsid w:val="00C227EB"/>
    <w:rsid w:val="00C23021"/>
    <w:rsid w:val="00C233A9"/>
    <w:rsid w:val="00C24356"/>
    <w:rsid w:val="00C2487E"/>
    <w:rsid w:val="00C24AC8"/>
    <w:rsid w:val="00C24B43"/>
    <w:rsid w:val="00C24B97"/>
    <w:rsid w:val="00C24C4E"/>
    <w:rsid w:val="00C24CAA"/>
    <w:rsid w:val="00C25040"/>
    <w:rsid w:val="00C2546F"/>
    <w:rsid w:val="00C255E7"/>
    <w:rsid w:val="00C258A1"/>
    <w:rsid w:val="00C25AAF"/>
    <w:rsid w:val="00C25B2B"/>
    <w:rsid w:val="00C25CA1"/>
    <w:rsid w:val="00C261EB"/>
    <w:rsid w:val="00C27311"/>
    <w:rsid w:val="00C27409"/>
    <w:rsid w:val="00C27542"/>
    <w:rsid w:val="00C27BBA"/>
    <w:rsid w:val="00C27FE7"/>
    <w:rsid w:val="00C30097"/>
    <w:rsid w:val="00C30211"/>
    <w:rsid w:val="00C30799"/>
    <w:rsid w:val="00C30F98"/>
    <w:rsid w:val="00C31072"/>
    <w:rsid w:val="00C31292"/>
    <w:rsid w:val="00C3135C"/>
    <w:rsid w:val="00C32762"/>
    <w:rsid w:val="00C32B00"/>
    <w:rsid w:val="00C32E80"/>
    <w:rsid w:val="00C3310A"/>
    <w:rsid w:val="00C332A3"/>
    <w:rsid w:val="00C33699"/>
    <w:rsid w:val="00C33CEF"/>
    <w:rsid w:val="00C33E23"/>
    <w:rsid w:val="00C33EA3"/>
    <w:rsid w:val="00C341D1"/>
    <w:rsid w:val="00C34273"/>
    <w:rsid w:val="00C36000"/>
    <w:rsid w:val="00C36010"/>
    <w:rsid w:val="00C360E6"/>
    <w:rsid w:val="00C36356"/>
    <w:rsid w:val="00C36796"/>
    <w:rsid w:val="00C368F0"/>
    <w:rsid w:val="00C369B5"/>
    <w:rsid w:val="00C36DC0"/>
    <w:rsid w:val="00C36F83"/>
    <w:rsid w:val="00C376BD"/>
    <w:rsid w:val="00C3781B"/>
    <w:rsid w:val="00C37AFE"/>
    <w:rsid w:val="00C37D8D"/>
    <w:rsid w:val="00C37F5A"/>
    <w:rsid w:val="00C406F3"/>
    <w:rsid w:val="00C407D1"/>
    <w:rsid w:val="00C410B6"/>
    <w:rsid w:val="00C4118D"/>
    <w:rsid w:val="00C4119D"/>
    <w:rsid w:val="00C41405"/>
    <w:rsid w:val="00C415D7"/>
    <w:rsid w:val="00C41912"/>
    <w:rsid w:val="00C4201E"/>
    <w:rsid w:val="00C426B4"/>
    <w:rsid w:val="00C42A9F"/>
    <w:rsid w:val="00C42B5B"/>
    <w:rsid w:val="00C42B8C"/>
    <w:rsid w:val="00C43210"/>
    <w:rsid w:val="00C432A4"/>
    <w:rsid w:val="00C43645"/>
    <w:rsid w:val="00C43CE6"/>
    <w:rsid w:val="00C447F5"/>
    <w:rsid w:val="00C44CEC"/>
    <w:rsid w:val="00C45201"/>
    <w:rsid w:val="00C45896"/>
    <w:rsid w:val="00C459A8"/>
    <w:rsid w:val="00C45B1A"/>
    <w:rsid w:val="00C46289"/>
    <w:rsid w:val="00C46879"/>
    <w:rsid w:val="00C469D5"/>
    <w:rsid w:val="00C46D25"/>
    <w:rsid w:val="00C46F8D"/>
    <w:rsid w:val="00C471B1"/>
    <w:rsid w:val="00C4758A"/>
    <w:rsid w:val="00C47B0D"/>
    <w:rsid w:val="00C47FCD"/>
    <w:rsid w:val="00C50198"/>
    <w:rsid w:val="00C50236"/>
    <w:rsid w:val="00C508FC"/>
    <w:rsid w:val="00C50BB6"/>
    <w:rsid w:val="00C50DDB"/>
    <w:rsid w:val="00C51539"/>
    <w:rsid w:val="00C519DF"/>
    <w:rsid w:val="00C51AF1"/>
    <w:rsid w:val="00C52121"/>
    <w:rsid w:val="00C52422"/>
    <w:rsid w:val="00C52776"/>
    <w:rsid w:val="00C52A44"/>
    <w:rsid w:val="00C52CA5"/>
    <w:rsid w:val="00C53418"/>
    <w:rsid w:val="00C53980"/>
    <w:rsid w:val="00C53C60"/>
    <w:rsid w:val="00C53E02"/>
    <w:rsid w:val="00C540B2"/>
    <w:rsid w:val="00C54127"/>
    <w:rsid w:val="00C543BD"/>
    <w:rsid w:val="00C54A56"/>
    <w:rsid w:val="00C550FC"/>
    <w:rsid w:val="00C552FF"/>
    <w:rsid w:val="00C5541A"/>
    <w:rsid w:val="00C5615F"/>
    <w:rsid w:val="00C56CEC"/>
    <w:rsid w:val="00C56E5E"/>
    <w:rsid w:val="00C57026"/>
    <w:rsid w:val="00C57BA0"/>
    <w:rsid w:val="00C57DCF"/>
    <w:rsid w:val="00C57DF2"/>
    <w:rsid w:val="00C60D9E"/>
    <w:rsid w:val="00C60F7B"/>
    <w:rsid w:val="00C60F92"/>
    <w:rsid w:val="00C61127"/>
    <w:rsid w:val="00C6113E"/>
    <w:rsid w:val="00C61251"/>
    <w:rsid w:val="00C61390"/>
    <w:rsid w:val="00C61876"/>
    <w:rsid w:val="00C61936"/>
    <w:rsid w:val="00C61B2B"/>
    <w:rsid w:val="00C61E82"/>
    <w:rsid w:val="00C6209C"/>
    <w:rsid w:val="00C622D5"/>
    <w:rsid w:val="00C6249C"/>
    <w:rsid w:val="00C62536"/>
    <w:rsid w:val="00C62A62"/>
    <w:rsid w:val="00C62BEB"/>
    <w:rsid w:val="00C62D6E"/>
    <w:rsid w:val="00C62E57"/>
    <w:rsid w:val="00C62EE4"/>
    <w:rsid w:val="00C62F35"/>
    <w:rsid w:val="00C63945"/>
    <w:rsid w:val="00C63DC0"/>
    <w:rsid w:val="00C63E58"/>
    <w:rsid w:val="00C640BD"/>
    <w:rsid w:val="00C6412C"/>
    <w:rsid w:val="00C64603"/>
    <w:rsid w:val="00C64B59"/>
    <w:rsid w:val="00C651FF"/>
    <w:rsid w:val="00C65729"/>
    <w:rsid w:val="00C65F0E"/>
    <w:rsid w:val="00C65F4B"/>
    <w:rsid w:val="00C65F71"/>
    <w:rsid w:val="00C66202"/>
    <w:rsid w:val="00C66206"/>
    <w:rsid w:val="00C6638B"/>
    <w:rsid w:val="00C6639D"/>
    <w:rsid w:val="00C6664A"/>
    <w:rsid w:val="00C6668E"/>
    <w:rsid w:val="00C667BC"/>
    <w:rsid w:val="00C66849"/>
    <w:rsid w:val="00C672AD"/>
    <w:rsid w:val="00C675FB"/>
    <w:rsid w:val="00C67648"/>
    <w:rsid w:val="00C67C03"/>
    <w:rsid w:val="00C67FEB"/>
    <w:rsid w:val="00C706C8"/>
    <w:rsid w:val="00C709A4"/>
    <w:rsid w:val="00C709DE"/>
    <w:rsid w:val="00C71339"/>
    <w:rsid w:val="00C715F0"/>
    <w:rsid w:val="00C717A1"/>
    <w:rsid w:val="00C71CF5"/>
    <w:rsid w:val="00C72423"/>
    <w:rsid w:val="00C7256E"/>
    <w:rsid w:val="00C73353"/>
    <w:rsid w:val="00C734A3"/>
    <w:rsid w:val="00C739B9"/>
    <w:rsid w:val="00C73C0D"/>
    <w:rsid w:val="00C74570"/>
    <w:rsid w:val="00C75319"/>
    <w:rsid w:val="00C75516"/>
    <w:rsid w:val="00C759A5"/>
    <w:rsid w:val="00C7611A"/>
    <w:rsid w:val="00C7651D"/>
    <w:rsid w:val="00C7698E"/>
    <w:rsid w:val="00C769B5"/>
    <w:rsid w:val="00C77205"/>
    <w:rsid w:val="00C77372"/>
    <w:rsid w:val="00C7743B"/>
    <w:rsid w:val="00C77573"/>
    <w:rsid w:val="00C77FE1"/>
    <w:rsid w:val="00C807DD"/>
    <w:rsid w:val="00C80C3F"/>
    <w:rsid w:val="00C80FF8"/>
    <w:rsid w:val="00C812A8"/>
    <w:rsid w:val="00C818B3"/>
    <w:rsid w:val="00C818DA"/>
    <w:rsid w:val="00C81C86"/>
    <w:rsid w:val="00C81F08"/>
    <w:rsid w:val="00C820F7"/>
    <w:rsid w:val="00C82632"/>
    <w:rsid w:val="00C8342C"/>
    <w:rsid w:val="00C84263"/>
    <w:rsid w:val="00C8432B"/>
    <w:rsid w:val="00C84366"/>
    <w:rsid w:val="00C84395"/>
    <w:rsid w:val="00C845ED"/>
    <w:rsid w:val="00C84A4D"/>
    <w:rsid w:val="00C84D90"/>
    <w:rsid w:val="00C850E1"/>
    <w:rsid w:val="00C85245"/>
    <w:rsid w:val="00C8524F"/>
    <w:rsid w:val="00C85395"/>
    <w:rsid w:val="00C854AB"/>
    <w:rsid w:val="00C85BA3"/>
    <w:rsid w:val="00C8608C"/>
    <w:rsid w:val="00C86543"/>
    <w:rsid w:val="00C86763"/>
    <w:rsid w:val="00C86B04"/>
    <w:rsid w:val="00C86BAC"/>
    <w:rsid w:val="00C873EB"/>
    <w:rsid w:val="00C8781B"/>
    <w:rsid w:val="00C87B52"/>
    <w:rsid w:val="00C87E5D"/>
    <w:rsid w:val="00C902A2"/>
    <w:rsid w:val="00C90332"/>
    <w:rsid w:val="00C916C0"/>
    <w:rsid w:val="00C91C0F"/>
    <w:rsid w:val="00C91FEC"/>
    <w:rsid w:val="00C9204F"/>
    <w:rsid w:val="00C924F0"/>
    <w:rsid w:val="00C92971"/>
    <w:rsid w:val="00C92BC0"/>
    <w:rsid w:val="00C932A5"/>
    <w:rsid w:val="00C9336F"/>
    <w:rsid w:val="00C937BA"/>
    <w:rsid w:val="00C94059"/>
    <w:rsid w:val="00C940F8"/>
    <w:rsid w:val="00C945C7"/>
    <w:rsid w:val="00C9568F"/>
    <w:rsid w:val="00C959B0"/>
    <w:rsid w:val="00C95F1E"/>
    <w:rsid w:val="00C95F45"/>
    <w:rsid w:val="00C95FF8"/>
    <w:rsid w:val="00C961EA"/>
    <w:rsid w:val="00C9664E"/>
    <w:rsid w:val="00C96680"/>
    <w:rsid w:val="00C966DC"/>
    <w:rsid w:val="00C966E0"/>
    <w:rsid w:val="00C96836"/>
    <w:rsid w:val="00C968C6"/>
    <w:rsid w:val="00C969E0"/>
    <w:rsid w:val="00C96B5E"/>
    <w:rsid w:val="00C96C6A"/>
    <w:rsid w:val="00C96CFD"/>
    <w:rsid w:val="00C971B9"/>
    <w:rsid w:val="00C9721A"/>
    <w:rsid w:val="00C97AE8"/>
    <w:rsid w:val="00C97E25"/>
    <w:rsid w:val="00CA00D2"/>
    <w:rsid w:val="00CA09CD"/>
    <w:rsid w:val="00CA0BB8"/>
    <w:rsid w:val="00CA14F1"/>
    <w:rsid w:val="00CA17BF"/>
    <w:rsid w:val="00CA1A08"/>
    <w:rsid w:val="00CA1C8B"/>
    <w:rsid w:val="00CA1FED"/>
    <w:rsid w:val="00CA2196"/>
    <w:rsid w:val="00CA2227"/>
    <w:rsid w:val="00CA268F"/>
    <w:rsid w:val="00CA27BE"/>
    <w:rsid w:val="00CA2F00"/>
    <w:rsid w:val="00CA2FA9"/>
    <w:rsid w:val="00CA3381"/>
    <w:rsid w:val="00CA3469"/>
    <w:rsid w:val="00CA3495"/>
    <w:rsid w:val="00CA380B"/>
    <w:rsid w:val="00CA39BF"/>
    <w:rsid w:val="00CA3E4C"/>
    <w:rsid w:val="00CA4077"/>
    <w:rsid w:val="00CA40C6"/>
    <w:rsid w:val="00CA462B"/>
    <w:rsid w:val="00CA4DFF"/>
    <w:rsid w:val="00CA505D"/>
    <w:rsid w:val="00CA5487"/>
    <w:rsid w:val="00CA6BC9"/>
    <w:rsid w:val="00CA6F72"/>
    <w:rsid w:val="00CA7000"/>
    <w:rsid w:val="00CA7090"/>
    <w:rsid w:val="00CA7654"/>
    <w:rsid w:val="00CA7A16"/>
    <w:rsid w:val="00CA7A52"/>
    <w:rsid w:val="00CA7C97"/>
    <w:rsid w:val="00CA7E58"/>
    <w:rsid w:val="00CB0BF9"/>
    <w:rsid w:val="00CB0F84"/>
    <w:rsid w:val="00CB1066"/>
    <w:rsid w:val="00CB1917"/>
    <w:rsid w:val="00CB1E5C"/>
    <w:rsid w:val="00CB2251"/>
    <w:rsid w:val="00CB2541"/>
    <w:rsid w:val="00CB2794"/>
    <w:rsid w:val="00CB2975"/>
    <w:rsid w:val="00CB2BAC"/>
    <w:rsid w:val="00CB2C7B"/>
    <w:rsid w:val="00CB3478"/>
    <w:rsid w:val="00CB3B3B"/>
    <w:rsid w:val="00CB3EA4"/>
    <w:rsid w:val="00CB3FC5"/>
    <w:rsid w:val="00CB409E"/>
    <w:rsid w:val="00CB4F0E"/>
    <w:rsid w:val="00CB4F9F"/>
    <w:rsid w:val="00CB5E7A"/>
    <w:rsid w:val="00CB6105"/>
    <w:rsid w:val="00CB6224"/>
    <w:rsid w:val="00CB6523"/>
    <w:rsid w:val="00CB6638"/>
    <w:rsid w:val="00CB6E1D"/>
    <w:rsid w:val="00CB7169"/>
    <w:rsid w:val="00CB748E"/>
    <w:rsid w:val="00CC013C"/>
    <w:rsid w:val="00CC0855"/>
    <w:rsid w:val="00CC0C0F"/>
    <w:rsid w:val="00CC1110"/>
    <w:rsid w:val="00CC132E"/>
    <w:rsid w:val="00CC13B0"/>
    <w:rsid w:val="00CC1410"/>
    <w:rsid w:val="00CC19FA"/>
    <w:rsid w:val="00CC1B4D"/>
    <w:rsid w:val="00CC1EFA"/>
    <w:rsid w:val="00CC26C0"/>
    <w:rsid w:val="00CC2A10"/>
    <w:rsid w:val="00CC2C08"/>
    <w:rsid w:val="00CC2CBA"/>
    <w:rsid w:val="00CC3AE2"/>
    <w:rsid w:val="00CC3D6E"/>
    <w:rsid w:val="00CC3E7F"/>
    <w:rsid w:val="00CC3FF0"/>
    <w:rsid w:val="00CC4910"/>
    <w:rsid w:val="00CC4B4E"/>
    <w:rsid w:val="00CC510B"/>
    <w:rsid w:val="00CC5226"/>
    <w:rsid w:val="00CC5486"/>
    <w:rsid w:val="00CC5B79"/>
    <w:rsid w:val="00CC5F0E"/>
    <w:rsid w:val="00CC62E3"/>
    <w:rsid w:val="00CC64E7"/>
    <w:rsid w:val="00CC676D"/>
    <w:rsid w:val="00CC6901"/>
    <w:rsid w:val="00CC695D"/>
    <w:rsid w:val="00CC6C05"/>
    <w:rsid w:val="00CC72CE"/>
    <w:rsid w:val="00CC7A01"/>
    <w:rsid w:val="00CD07B8"/>
    <w:rsid w:val="00CD0932"/>
    <w:rsid w:val="00CD0C78"/>
    <w:rsid w:val="00CD0D61"/>
    <w:rsid w:val="00CD1359"/>
    <w:rsid w:val="00CD13F1"/>
    <w:rsid w:val="00CD1708"/>
    <w:rsid w:val="00CD1C33"/>
    <w:rsid w:val="00CD1CCE"/>
    <w:rsid w:val="00CD1F03"/>
    <w:rsid w:val="00CD200A"/>
    <w:rsid w:val="00CD2299"/>
    <w:rsid w:val="00CD256B"/>
    <w:rsid w:val="00CD27CC"/>
    <w:rsid w:val="00CD2E0E"/>
    <w:rsid w:val="00CD2FE9"/>
    <w:rsid w:val="00CD336C"/>
    <w:rsid w:val="00CD3891"/>
    <w:rsid w:val="00CD4030"/>
    <w:rsid w:val="00CD417A"/>
    <w:rsid w:val="00CD419C"/>
    <w:rsid w:val="00CD4680"/>
    <w:rsid w:val="00CD4798"/>
    <w:rsid w:val="00CD49AC"/>
    <w:rsid w:val="00CD4ABF"/>
    <w:rsid w:val="00CD4B41"/>
    <w:rsid w:val="00CD4F4C"/>
    <w:rsid w:val="00CD5693"/>
    <w:rsid w:val="00CD58A1"/>
    <w:rsid w:val="00CD58EF"/>
    <w:rsid w:val="00CD5B28"/>
    <w:rsid w:val="00CD620F"/>
    <w:rsid w:val="00CD69C8"/>
    <w:rsid w:val="00CD69FD"/>
    <w:rsid w:val="00CD6AEC"/>
    <w:rsid w:val="00CD6CFD"/>
    <w:rsid w:val="00CE0754"/>
    <w:rsid w:val="00CE107E"/>
    <w:rsid w:val="00CE1542"/>
    <w:rsid w:val="00CE1711"/>
    <w:rsid w:val="00CE1F5A"/>
    <w:rsid w:val="00CE1F6C"/>
    <w:rsid w:val="00CE28D6"/>
    <w:rsid w:val="00CE30DF"/>
    <w:rsid w:val="00CE393F"/>
    <w:rsid w:val="00CE3D31"/>
    <w:rsid w:val="00CE403B"/>
    <w:rsid w:val="00CE45BA"/>
    <w:rsid w:val="00CE4C40"/>
    <w:rsid w:val="00CE4D6D"/>
    <w:rsid w:val="00CE4F38"/>
    <w:rsid w:val="00CE53C4"/>
    <w:rsid w:val="00CE56F3"/>
    <w:rsid w:val="00CE58FA"/>
    <w:rsid w:val="00CE59CD"/>
    <w:rsid w:val="00CE5FDA"/>
    <w:rsid w:val="00CE6503"/>
    <w:rsid w:val="00CE689A"/>
    <w:rsid w:val="00CE7205"/>
    <w:rsid w:val="00CE76FA"/>
    <w:rsid w:val="00CE7847"/>
    <w:rsid w:val="00CE7EAC"/>
    <w:rsid w:val="00CF0303"/>
    <w:rsid w:val="00CF046D"/>
    <w:rsid w:val="00CF06B3"/>
    <w:rsid w:val="00CF0749"/>
    <w:rsid w:val="00CF0A80"/>
    <w:rsid w:val="00CF0D3F"/>
    <w:rsid w:val="00CF101F"/>
    <w:rsid w:val="00CF1183"/>
    <w:rsid w:val="00CF11BE"/>
    <w:rsid w:val="00CF1310"/>
    <w:rsid w:val="00CF16F5"/>
    <w:rsid w:val="00CF18AD"/>
    <w:rsid w:val="00CF1DE9"/>
    <w:rsid w:val="00CF22C9"/>
    <w:rsid w:val="00CF24AD"/>
    <w:rsid w:val="00CF26F1"/>
    <w:rsid w:val="00CF2B2B"/>
    <w:rsid w:val="00CF2C58"/>
    <w:rsid w:val="00CF31DA"/>
    <w:rsid w:val="00CF3546"/>
    <w:rsid w:val="00CF374A"/>
    <w:rsid w:val="00CF37F7"/>
    <w:rsid w:val="00CF4133"/>
    <w:rsid w:val="00CF4478"/>
    <w:rsid w:val="00CF460E"/>
    <w:rsid w:val="00CF4BD5"/>
    <w:rsid w:val="00CF4E21"/>
    <w:rsid w:val="00CF56BC"/>
    <w:rsid w:val="00CF6288"/>
    <w:rsid w:val="00CF6B59"/>
    <w:rsid w:val="00CF6F67"/>
    <w:rsid w:val="00CF76FD"/>
    <w:rsid w:val="00CF7820"/>
    <w:rsid w:val="00D001C4"/>
    <w:rsid w:val="00D00385"/>
    <w:rsid w:val="00D0045E"/>
    <w:rsid w:val="00D00478"/>
    <w:rsid w:val="00D00911"/>
    <w:rsid w:val="00D01151"/>
    <w:rsid w:val="00D012B4"/>
    <w:rsid w:val="00D01476"/>
    <w:rsid w:val="00D01627"/>
    <w:rsid w:val="00D01C27"/>
    <w:rsid w:val="00D01DD4"/>
    <w:rsid w:val="00D023B5"/>
    <w:rsid w:val="00D028E2"/>
    <w:rsid w:val="00D02B2B"/>
    <w:rsid w:val="00D02BE1"/>
    <w:rsid w:val="00D03561"/>
    <w:rsid w:val="00D038CB"/>
    <w:rsid w:val="00D03C09"/>
    <w:rsid w:val="00D03D3D"/>
    <w:rsid w:val="00D046C3"/>
    <w:rsid w:val="00D04D07"/>
    <w:rsid w:val="00D04EA4"/>
    <w:rsid w:val="00D063AC"/>
    <w:rsid w:val="00D06510"/>
    <w:rsid w:val="00D0664E"/>
    <w:rsid w:val="00D06A78"/>
    <w:rsid w:val="00D06A91"/>
    <w:rsid w:val="00D06FC3"/>
    <w:rsid w:val="00D071B2"/>
    <w:rsid w:val="00D078F9"/>
    <w:rsid w:val="00D07BC5"/>
    <w:rsid w:val="00D07DB4"/>
    <w:rsid w:val="00D07DE2"/>
    <w:rsid w:val="00D07ED3"/>
    <w:rsid w:val="00D10258"/>
    <w:rsid w:val="00D102F2"/>
    <w:rsid w:val="00D1038B"/>
    <w:rsid w:val="00D104E0"/>
    <w:rsid w:val="00D10530"/>
    <w:rsid w:val="00D10613"/>
    <w:rsid w:val="00D10A24"/>
    <w:rsid w:val="00D1155A"/>
    <w:rsid w:val="00D119CF"/>
    <w:rsid w:val="00D11C4E"/>
    <w:rsid w:val="00D12059"/>
    <w:rsid w:val="00D1209D"/>
    <w:rsid w:val="00D12302"/>
    <w:rsid w:val="00D12435"/>
    <w:rsid w:val="00D1258A"/>
    <w:rsid w:val="00D125E5"/>
    <w:rsid w:val="00D1308D"/>
    <w:rsid w:val="00D13800"/>
    <w:rsid w:val="00D13F27"/>
    <w:rsid w:val="00D1401D"/>
    <w:rsid w:val="00D14297"/>
    <w:rsid w:val="00D14732"/>
    <w:rsid w:val="00D148D4"/>
    <w:rsid w:val="00D14C96"/>
    <w:rsid w:val="00D14E0D"/>
    <w:rsid w:val="00D1502B"/>
    <w:rsid w:val="00D152B5"/>
    <w:rsid w:val="00D15F59"/>
    <w:rsid w:val="00D15FCB"/>
    <w:rsid w:val="00D165F4"/>
    <w:rsid w:val="00D16940"/>
    <w:rsid w:val="00D16C96"/>
    <w:rsid w:val="00D16F5F"/>
    <w:rsid w:val="00D17512"/>
    <w:rsid w:val="00D178D3"/>
    <w:rsid w:val="00D200DD"/>
    <w:rsid w:val="00D202A8"/>
    <w:rsid w:val="00D2092D"/>
    <w:rsid w:val="00D20DE3"/>
    <w:rsid w:val="00D210C6"/>
    <w:rsid w:val="00D2125C"/>
    <w:rsid w:val="00D213C4"/>
    <w:rsid w:val="00D213DC"/>
    <w:rsid w:val="00D216E9"/>
    <w:rsid w:val="00D216FD"/>
    <w:rsid w:val="00D221D6"/>
    <w:rsid w:val="00D22446"/>
    <w:rsid w:val="00D2248D"/>
    <w:rsid w:val="00D22F0C"/>
    <w:rsid w:val="00D23163"/>
    <w:rsid w:val="00D235D3"/>
    <w:rsid w:val="00D23604"/>
    <w:rsid w:val="00D23878"/>
    <w:rsid w:val="00D247B7"/>
    <w:rsid w:val="00D24ADA"/>
    <w:rsid w:val="00D24E63"/>
    <w:rsid w:val="00D2506C"/>
    <w:rsid w:val="00D2548D"/>
    <w:rsid w:val="00D255CB"/>
    <w:rsid w:val="00D25B08"/>
    <w:rsid w:val="00D2684A"/>
    <w:rsid w:val="00D26AFB"/>
    <w:rsid w:val="00D26C56"/>
    <w:rsid w:val="00D26EB7"/>
    <w:rsid w:val="00D26F86"/>
    <w:rsid w:val="00D273FA"/>
    <w:rsid w:val="00D2787E"/>
    <w:rsid w:val="00D27BB0"/>
    <w:rsid w:val="00D27BC5"/>
    <w:rsid w:val="00D27E59"/>
    <w:rsid w:val="00D300B4"/>
    <w:rsid w:val="00D302C2"/>
    <w:rsid w:val="00D30407"/>
    <w:rsid w:val="00D30DB1"/>
    <w:rsid w:val="00D3140D"/>
    <w:rsid w:val="00D31663"/>
    <w:rsid w:val="00D31DA6"/>
    <w:rsid w:val="00D31E93"/>
    <w:rsid w:val="00D32333"/>
    <w:rsid w:val="00D327E7"/>
    <w:rsid w:val="00D3288A"/>
    <w:rsid w:val="00D3299A"/>
    <w:rsid w:val="00D336DB"/>
    <w:rsid w:val="00D337FE"/>
    <w:rsid w:val="00D33D3E"/>
    <w:rsid w:val="00D33E6C"/>
    <w:rsid w:val="00D34301"/>
    <w:rsid w:val="00D343C0"/>
    <w:rsid w:val="00D343F7"/>
    <w:rsid w:val="00D343FF"/>
    <w:rsid w:val="00D35476"/>
    <w:rsid w:val="00D355E3"/>
    <w:rsid w:val="00D35BB7"/>
    <w:rsid w:val="00D360A8"/>
    <w:rsid w:val="00D3620E"/>
    <w:rsid w:val="00D3653D"/>
    <w:rsid w:val="00D366FC"/>
    <w:rsid w:val="00D36766"/>
    <w:rsid w:val="00D36CBE"/>
    <w:rsid w:val="00D37741"/>
    <w:rsid w:val="00D37884"/>
    <w:rsid w:val="00D37D1A"/>
    <w:rsid w:val="00D4009E"/>
    <w:rsid w:val="00D4011A"/>
    <w:rsid w:val="00D40541"/>
    <w:rsid w:val="00D40D56"/>
    <w:rsid w:val="00D40F6A"/>
    <w:rsid w:val="00D4101C"/>
    <w:rsid w:val="00D41202"/>
    <w:rsid w:val="00D41218"/>
    <w:rsid w:val="00D41499"/>
    <w:rsid w:val="00D414E8"/>
    <w:rsid w:val="00D41DAA"/>
    <w:rsid w:val="00D421E7"/>
    <w:rsid w:val="00D43150"/>
    <w:rsid w:val="00D43162"/>
    <w:rsid w:val="00D431F2"/>
    <w:rsid w:val="00D4332F"/>
    <w:rsid w:val="00D43375"/>
    <w:rsid w:val="00D43617"/>
    <w:rsid w:val="00D43652"/>
    <w:rsid w:val="00D43818"/>
    <w:rsid w:val="00D4398C"/>
    <w:rsid w:val="00D43AE4"/>
    <w:rsid w:val="00D43C8D"/>
    <w:rsid w:val="00D44056"/>
    <w:rsid w:val="00D440B4"/>
    <w:rsid w:val="00D44207"/>
    <w:rsid w:val="00D44948"/>
    <w:rsid w:val="00D44B87"/>
    <w:rsid w:val="00D44D68"/>
    <w:rsid w:val="00D45019"/>
    <w:rsid w:val="00D4522C"/>
    <w:rsid w:val="00D4562D"/>
    <w:rsid w:val="00D457FB"/>
    <w:rsid w:val="00D45945"/>
    <w:rsid w:val="00D45ABC"/>
    <w:rsid w:val="00D45B65"/>
    <w:rsid w:val="00D46289"/>
    <w:rsid w:val="00D46743"/>
    <w:rsid w:val="00D467F1"/>
    <w:rsid w:val="00D46AA4"/>
    <w:rsid w:val="00D47605"/>
    <w:rsid w:val="00D4761B"/>
    <w:rsid w:val="00D47FB6"/>
    <w:rsid w:val="00D500EE"/>
    <w:rsid w:val="00D50A49"/>
    <w:rsid w:val="00D50E52"/>
    <w:rsid w:val="00D51462"/>
    <w:rsid w:val="00D5156B"/>
    <w:rsid w:val="00D516B3"/>
    <w:rsid w:val="00D51ABC"/>
    <w:rsid w:val="00D51E0B"/>
    <w:rsid w:val="00D522A8"/>
    <w:rsid w:val="00D52632"/>
    <w:rsid w:val="00D526BB"/>
    <w:rsid w:val="00D52987"/>
    <w:rsid w:val="00D52BC6"/>
    <w:rsid w:val="00D533A4"/>
    <w:rsid w:val="00D53503"/>
    <w:rsid w:val="00D53589"/>
    <w:rsid w:val="00D537CD"/>
    <w:rsid w:val="00D53CDB"/>
    <w:rsid w:val="00D53F1B"/>
    <w:rsid w:val="00D54007"/>
    <w:rsid w:val="00D54BD4"/>
    <w:rsid w:val="00D550F9"/>
    <w:rsid w:val="00D55D06"/>
    <w:rsid w:val="00D56298"/>
    <w:rsid w:val="00D563A2"/>
    <w:rsid w:val="00D567B5"/>
    <w:rsid w:val="00D56892"/>
    <w:rsid w:val="00D5689F"/>
    <w:rsid w:val="00D56B82"/>
    <w:rsid w:val="00D575DE"/>
    <w:rsid w:val="00D577DF"/>
    <w:rsid w:val="00D57D66"/>
    <w:rsid w:val="00D60131"/>
    <w:rsid w:val="00D604AB"/>
    <w:rsid w:val="00D607B7"/>
    <w:rsid w:val="00D60975"/>
    <w:rsid w:val="00D60AA7"/>
    <w:rsid w:val="00D60B38"/>
    <w:rsid w:val="00D61385"/>
    <w:rsid w:val="00D61640"/>
    <w:rsid w:val="00D61788"/>
    <w:rsid w:val="00D61CBC"/>
    <w:rsid w:val="00D623A4"/>
    <w:rsid w:val="00D62DA7"/>
    <w:rsid w:val="00D6319F"/>
    <w:rsid w:val="00D63695"/>
    <w:rsid w:val="00D63853"/>
    <w:rsid w:val="00D63C42"/>
    <w:rsid w:val="00D63F93"/>
    <w:rsid w:val="00D63FD6"/>
    <w:rsid w:val="00D6417B"/>
    <w:rsid w:val="00D6459F"/>
    <w:rsid w:val="00D6465C"/>
    <w:rsid w:val="00D6495C"/>
    <w:rsid w:val="00D64CC7"/>
    <w:rsid w:val="00D64D84"/>
    <w:rsid w:val="00D64FBD"/>
    <w:rsid w:val="00D650CD"/>
    <w:rsid w:val="00D6515E"/>
    <w:rsid w:val="00D65193"/>
    <w:rsid w:val="00D651A9"/>
    <w:rsid w:val="00D65406"/>
    <w:rsid w:val="00D6573D"/>
    <w:rsid w:val="00D65A6E"/>
    <w:rsid w:val="00D66042"/>
    <w:rsid w:val="00D6606D"/>
    <w:rsid w:val="00D66247"/>
    <w:rsid w:val="00D66317"/>
    <w:rsid w:val="00D66621"/>
    <w:rsid w:val="00D667AD"/>
    <w:rsid w:val="00D66AD7"/>
    <w:rsid w:val="00D66BE9"/>
    <w:rsid w:val="00D6723F"/>
    <w:rsid w:val="00D672F0"/>
    <w:rsid w:val="00D67590"/>
    <w:rsid w:val="00D6786E"/>
    <w:rsid w:val="00D67A55"/>
    <w:rsid w:val="00D704CB"/>
    <w:rsid w:val="00D708D0"/>
    <w:rsid w:val="00D71043"/>
    <w:rsid w:val="00D71401"/>
    <w:rsid w:val="00D716C7"/>
    <w:rsid w:val="00D71990"/>
    <w:rsid w:val="00D71AE5"/>
    <w:rsid w:val="00D71CBC"/>
    <w:rsid w:val="00D71DCE"/>
    <w:rsid w:val="00D72008"/>
    <w:rsid w:val="00D72559"/>
    <w:rsid w:val="00D72ABD"/>
    <w:rsid w:val="00D72BED"/>
    <w:rsid w:val="00D72C2C"/>
    <w:rsid w:val="00D72F5B"/>
    <w:rsid w:val="00D733A2"/>
    <w:rsid w:val="00D73A53"/>
    <w:rsid w:val="00D73F30"/>
    <w:rsid w:val="00D7418D"/>
    <w:rsid w:val="00D7442C"/>
    <w:rsid w:val="00D74512"/>
    <w:rsid w:val="00D7464A"/>
    <w:rsid w:val="00D74C4B"/>
    <w:rsid w:val="00D7577D"/>
    <w:rsid w:val="00D7589B"/>
    <w:rsid w:val="00D75AC2"/>
    <w:rsid w:val="00D75CF5"/>
    <w:rsid w:val="00D76116"/>
    <w:rsid w:val="00D76708"/>
    <w:rsid w:val="00D76A2A"/>
    <w:rsid w:val="00D76C0D"/>
    <w:rsid w:val="00D76CCB"/>
    <w:rsid w:val="00D77354"/>
    <w:rsid w:val="00D804A5"/>
    <w:rsid w:val="00D80716"/>
    <w:rsid w:val="00D80E81"/>
    <w:rsid w:val="00D8115A"/>
    <w:rsid w:val="00D811FB"/>
    <w:rsid w:val="00D81658"/>
    <w:rsid w:val="00D81807"/>
    <w:rsid w:val="00D81D81"/>
    <w:rsid w:val="00D81DEC"/>
    <w:rsid w:val="00D82486"/>
    <w:rsid w:val="00D82818"/>
    <w:rsid w:val="00D83148"/>
    <w:rsid w:val="00D83725"/>
    <w:rsid w:val="00D8398F"/>
    <w:rsid w:val="00D83FF9"/>
    <w:rsid w:val="00D84C2F"/>
    <w:rsid w:val="00D84D60"/>
    <w:rsid w:val="00D853ED"/>
    <w:rsid w:val="00D85882"/>
    <w:rsid w:val="00D85E16"/>
    <w:rsid w:val="00D86386"/>
    <w:rsid w:val="00D86AC9"/>
    <w:rsid w:val="00D87078"/>
    <w:rsid w:val="00D87088"/>
    <w:rsid w:val="00D87459"/>
    <w:rsid w:val="00D8769A"/>
    <w:rsid w:val="00D87934"/>
    <w:rsid w:val="00D90567"/>
    <w:rsid w:val="00D9060D"/>
    <w:rsid w:val="00D907EF"/>
    <w:rsid w:val="00D908BC"/>
    <w:rsid w:val="00D909A4"/>
    <w:rsid w:val="00D90CB3"/>
    <w:rsid w:val="00D90EAA"/>
    <w:rsid w:val="00D91008"/>
    <w:rsid w:val="00D9108A"/>
    <w:rsid w:val="00D91189"/>
    <w:rsid w:val="00D912CE"/>
    <w:rsid w:val="00D913C4"/>
    <w:rsid w:val="00D91472"/>
    <w:rsid w:val="00D917A9"/>
    <w:rsid w:val="00D918B5"/>
    <w:rsid w:val="00D923E1"/>
    <w:rsid w:val="00D925AA"/>
    <w:rsid w:val="00D92776"/>
    <w:rsid w:val="00D92DB9"/>
    <w:rsid w:val="00D92F40"/>
    <w:rsid w:val="00D93004"/>
    <w:rsid w:val="00D93988"/>
    <w:rsid w:val="00D9398E"/>
    <w:rsid w:val="00D941F0"/>
    <w:rsid w:val="00D948AD"/>
    <w:rsid w:val="00D94917"/>
    <w:rsid w:val="00D94C0B"/>
    <w:rsid w:val="00D95034"/>
    <w:rsid w:val="00D95150"/>
    <w:rsid w:val="00D95315"/>
    <w:rsid w:val="00D953F3"/>
    <w:rsid w:val="00D9543B"/>
    <w:rsid w:val="00D9568F"/>
    <w:rsid w:val="00D95ADE"/>
    <w:rsid w:val="00D95B78"/>
    <w:rsid w:val="00D96124"/>
    <w:rsid w:val="00D96226"/>
    <w:rsid w:val="00D96EEB"/>
    <w:rsid w:val="00D97394"/>
    <w:rsid w:val="00D973ED"/>
    <w:rsid w:val="00D97861"/>
    <w:rsid w:val="00D97978"/>
    <w:rsid w:val="00D979F6"/>
    <w:rsid w:val="00D97A13"/>
    <w:rsid w:val="00D97E97"/>
    <w:rsid w:val="00DA0016"/>
    <w:rsid w:val="00DA0CC8"/>
    <w:rsid w:val="00DA0F2B"/>
    <w:rsid w:val="00DA0FFB"/>
    <w:rsid w:val="00DA169A"/>
    <w:rsid w:val="00DA1C5B"/>
    <w:rsid w:val="00DA1F03"/>
    <w:rsid w:val="00DA1F7D"/>
    <w:rsid w:val="00DA230F"/>
    <w:rsid w:val="00DA25D3"/>
    <w:rsid w:val="00DA2B28"/>
    <w:rsid w:val="00DA3495"/>
    <w:rsid w:val="00DA37DD"/>
    <w:rsid w:val="00DA3D5F"/>
    <w:rsid w:val="00DA437F"/>
    <w:rsid w:val="00DA4F55"/>
    <w:rsid w:val="00DA543E"/>
    <w:rsid w:val="00DA568E"/>
    <w:rsid w:val="00DA5699"/>
    <w:rsid w:val="00DA5AB6"/>
    <w:rsid w:val="00DA5B39"/>
    <w:rsid w:val="00DA5CDE"/>
    <w:rsid w:val="00DA653E"/>
    <w:rsid w:val="00DA6564"/>
    <w:rsid w:val="00DA6659"/>
    <w:rsid w:val="00DA6B22"/>
    <w:rsid w:val="00DA7386"/>
    <w:rsid w:val="00DA7530"/>
    <w:rsid w:val="00DA7979"/>
    <w:rsid w:val="00DA7E8C"/>
    <w:rsid w:val="00DB015D"/>
    <w:rsid w:val="00DB06C0"/>
    <w:rsid w:val="00DB0A6B"/>
    <w:rsid w:val="00DB0B04"/>
    <w:rsid w:val="00DB1273"/>
    <w:rsid w:val="00DB1313"/>
    <w:rsid w:val="00DB141E"/>
    <w:rsid w:val="00DB1581"/>
    <w:rsid w:val="00DB1A74"/>
    <w:rsid w:val="00DB1AE7"/>
    <w:rsid w:val="00DB1E3C"/>
    <w:rsid w:val="00DB207C"/>
    <w:rsid w:val="00DB2098"/>
    <w:rsid w:val="00DB2490"/>
    <w:rsid w:val="00DB27AE"/>
    <w:rsid w:val="00DB286C"/>
    <w:rsid w:val="00DB2E06"/>
    <w:rsid w:val="00DB3A29"/>
    <w:rsid w:val="00DB3B2D"/>
    <w:rsid w:val="00DB3D89"/>
    <w:rsid w:val="00DB40D0"/>
    <w:rsid w:val="00DB424A"/>
    <w:rsid w:val="00DB4D94"/>
    <w:rsid w:val="00DB503D"/>
    <w:rsid w:val="00DB5533"/>
    <w:rsid w:val="00DB560F"/>
    <w:rsid w:val="00DB5759"/>
    <w:rsid w:val="00DB5FAD"/>
    <w:rsid w:val="00DB6019"/>
    <w:rsid w:val="00DB64D5"/>
    <w:rsid w:val="00DB6793"/>
    <w:rsid w:val="00DB78BD"/>
    <w:rsid w:val="00DC049D"/>
    <w:rsid w:val="00DC0933"/>
    <w:rsid w:val="00DC0B94"/>
    <w:rsid w:val="00DC0EF1"/>
    <w:rsid w:val="00DC0F1E"/>
    <w:rsid w:val="00DC1505"/>
    <w:rsid w:val="00DC16D1"/>
    <w:rsid w:val="00DC1726"/>
    <w:rsid w:val="00DC224D"/>
    <w:rsid w:val="00DC2515"/>
    <w:rsid w:val="00DC2528"/>
    <w:rsid w:val="00DC26B4"/>
    <w:rsid w:val="00DC297E"/>
    <w:rsid w:val="00DC2C77"/>
    <w:rsid w:val="00DC2EB9"/>
    <w:rsid w:val="00DC3235"/>
    <w:rsid w:val="00DC3519"/>
    <w:rsid w:val="00DC378C"/>
    <w:rsid w:val="00DC3A6B"/>
    <w:rsid w:val="00DC403C"/>
    <w:rsid w:val="00DC403D"/>
    <w:rsid w:val="00DC4263"/>
    <w:rsid w:val="00DC4882"/>
    <w:rsid w:val="00DC519D"/>
    <w:rsid w:val="00DC575B"/>
    <w:rsid w:val="00DC61A4"/>
    <w:rsid w:val="00DC641E"/>
    <w:rsid w:val="00DC67A5"/>
    <w:rsid w:val="00DC6924"/>
    <w:rsid w:val="00DC6C9B"/>
    <w:rsid w:val="00DC6E63"/>
    <w:rsid w:val="00DD070A"/>
    <w:rsid w:val="00DD08B7"/>
    <w:rsid w:val="00DD10AC"/>
    <w:rsid w:val="00DD13F7"/>
    <w:rsid w:val="00DD155B"/>
    <w:rsid w:val="00DD214C"/>
    <w:rsid w:val="00DD242F"/>
    <w:rsid w:val="00DD2A2C"/>
    <w:rsid w:val="00DD2A87"/>
    <w:rsid w:val="00DD30CB"/>
    <w:rsid w:val="00DD3D85"/>
    <w:rsid w:val="00DD3E54"/>
    <w:rsid w:val="00DD42B7"/>
    <w:rsid w:val="00DD4ED7"/>
    <w:rsid w:val="00DD4F20"/>
    <w:rsid w:val="00DD525C"/>
    <w:rsid w:val="00DD550A"/>
    <w:rsid w:val="00DD5A5E"/>
    <w:rsid w:val="00DD5FF5"/>
    <w:rsid w:val="00DD6030"/>
    <w:rsid w:val="00DD60ED"/>
    <w:rsid w:val="00DD6177"/>
    <w:rsid w:val="00DD62E0"/>
    <w:rsid w:val="00DD693C"/>
    <w:rsid w:val="00DD6B36"/>
    <w:rsid w:val="00DD6EDD"/>
    <w:rsid w:val="00DD723B"/>
    <w:rsid w:val="00DD79E3"/>
    <w:rsid w:val="00DD7E7E"/>
    <w:rsid w:val="00DE094F"/>
    <w:rsid w:val="00DE0B15"/>
    <w:rsid w:val="00DE0BE8"/>
    <w:rsid w:val="00DE0CAD"/>
    <w:rsid w:val="00DE119E"/>
    <w:rsid w:val="00DE16E9"/>
    <w:rsid w:val="00DE181C"/>
    <w:rsid w:val="00DE1BF2"/>
    <w:rsid w:val="00DE1D42"/>
    <w:rsid w:val="00DE1E2F"/>
    <w:rsid w:val="00DE21FD"/>
    <w:rsid w:val="00DE27C1"/>
    <w:rsid w:val="00DE2CAE"/>
    <w:rsid w:val="00DE2E8F"/>
    <w:rsid w:val="00DE318B"/>
    <w:rsid w:val="00DE31B4"/>
    <w:rsid w:val="00DE3502"/>
    <w:rsid w:val="00DE3878"/>
    <w:rsid w:val="00DE3DBC"/>
    <w:rsid w:val="00DE3F88"/>
    <w:rsid w:val="00DE3FE7"/>
    <w:rsid w:val="00DE42B2"/>
    <w:rsid w:val="00DE4951"/>
    <w:rsid w:val="00DE637D"/>
    <w:rsid w:val="00DE6673"/>
    <w:rsid w:val="00DE6854"/>
    <w:rsid w:val="00DE68AE"/>
    <w:rsid w:val="00DE6C42"/>
    <w:rsid w:val="00DE6FCF"/>
    <w:rsid w:val="00DE7161"/>
    <w:rsid w:val="00DE71FA"/>
    <w:rsid w:val="00DE74D7"/>
    <w:rsid w:val="00DE7EF6"/>
    <w:rsid w:val="00DF08E4"/>
    <w:rsid w:val="00DF09F9"/>
    <w:rsid w:val="00DF0D46"/>
    <w:rsid w:val="00DF1365"/>
    <w:rsid w:val="00DF16E7"/>
    <w:rsid w:val="00DF2492"/>
    <w:rsid w:val="00DF29AD"/>
    <w:rsid w:val="00DF2B01"/>
    <w:rsid w:val="00DF2B16"/>
    <w:rsid w:val="00DF2B9E"/>
    <w:rsid w:val="00DF2D10"/>
    <w:rsid w:val="00DF2E47"/>
    <w:rsid w:val="00DF378B"/>
    <w:rsid w:val="00DF4031"/>
    <w:rsid w:val="00DF4277"/>
    <w:rsid w:val="00DF4F51"/>
    <w:rsid w:val="00DF5268"/>
    <w:rsid w:val="00DF536C"/>
    <w:rsid w:val="00DF5A9B"/>
    <w:rsid w:val="00DF6AE8"/>
    <w:rsid w:val="00DF6BD5"/>
    <w:rsid w:val="00DF6CE0"/>
    <w:rsid w:val="00DF77D9"/>
    <w:rsid w:val="00DF78AA"/>
    <w:rsid w:val="00DF7AC6"/>
    <w:rsid w:val="00E00E90"/>
    <w:rsid w:val="00E011FE"/>
    <w:rsid w:val="00E01316"/>
    <w:rsid w:val="00E01743"/>
    <w:rsid w:val="00E01C27"/>
    <w:rsid w:val="00E024F1"/>
    <w:rsid w:val="00E0257F"/>
    <w:rsid w:val="00E02BC7"/>
    <w:rsid w:val="00E02E8C"/>
    <w:rsid w:val="00E03EDD"/>
    <w:rsid w:val="00E03FC7"/>
    <w:rsid w:val="00E04144"/>
    <w:rsid w:val="00E04A9E"/>
    <w:rsid w:val="00E04BE8"/>
    <w:rsid w:val="00E04D00"/>
    <w:rsid w:val="00E04EA8"/>
    <w:rsid w:val="00E05181"/>
    <w:rsid w:val="00E051C2"/>
    <w:rsid w:val="00E053AC"/>
    <w:rsid w:val="00E057C8"/>
    <w:rsid w:val="00E059CC"/>
    <w:rsid w:val="00E05E41"/>
    <w:rsid w:val="00E06381"/>
    <w:rsid w:val="00E066FE"/>
    <w:rsid w:val="00E06C03"/>
    <w:rsid w:val="00E06C1E"/>
    <w:rsid w:val="00E06CDB"/>
    <w:rsid w:val="00E070D4"/>
    <w:rsid w:val="00E07A4A"/>
    <w:rsid w:val="00E07D1C"/>
    <w:rsid w:val="00E100E3"/>
    <w:rsid w:val="00E1014D"/>
    <w:rsid w:val="00E10167"/>
    <w:rsid w:val="00E10229"/>
    <w:rsid w:val="00E10B40"/>
    <w:rsid w:val="00E10F44"/>
    <w:rsid w:val="00E11007"/>
    <w:rsid w:val="00E11055"/>
    <w:rsid w:val="00E112F7"/>
    <w:rsid w:val="00E11493"/>
    <w:rsid w:val="00E11736"/>
    <w:rsid w:val="00E11A33"/>
    <w:rsid w:val="00E11F17"/>
    <w:rsid w:val="00E11F72"/>
    <w:rsid w:val="00E1206C"/>
    <w:rsid w:val="00E1287E"/>
    <w:rsid w:val="00E1336F"/>
    <w:rsid w:val="00E13B2F"/>
    <w:rsid w:val="00E13E5F"/>
    <w:rsid w:val="00E14129"/>
    <w:rsid w:val="00E14476"/>
    <w:rsid w:val="00E14794"/>
    <w:rsid w:val="00E1511F"/>
    <w:rsid w:val="00E157AA"/>
    <w:rsid w:val="00E15D1E"/>
    <w:rsid w:val="00E160B1"/>
    <w:rsid w:val="00E16378"/>
    <w:rsid w:val="00E165DE"/>
    <w:rsid w:val="00E16CB1"/>
    <w:rsid w:val="00E172A1"/>
    <w:rsid w:val="00E17364"/>
    <w:rsid w:val="00E17411"/>
    <w:rsid w:val="00E177C8"/>
    <w:rsid w:val="00E17D49"/>
    <w:rsid w:val="00E200B3"/>
    <w:rsid w:val="00E2028F"/>
    <w:rsid w:val="00E2069E"/>
    <w:rsid w:val="00E20897"/>
    <w:rsid w:val="00E20B4E"/>
    <w:rsid w:val="00E20D8A"/>
    <w:rsid w:val="00E20FF7"/>
    <w:rsid w:val="00E2153F"/>
    <w:rsid w:val="00E218CA"/>
    <w:rsid w:val="00E21CC3"/>
    <w:rsid w:val="00E21DC7"/>
    <w:rsid w:val="00E21E06"/>
    <w:rsid w:val="00E220FF"/>
    <w:rsid w:val="00E22315"/>
    <w:rsid w:val="00E22630"/>
    <w:rsid w:val="00E22747"/>
    <w:rsid w:val="00E22900"/>
    <w:rsid w:val="00E22A07"/>
    <w:rsid w:val="00E22AA2"/>
    <w:rsid w:val="00E23508"/>
    <w:rsid w:val="00E236C4"/>
    <w:rsid w:val="00E23B48"/>
    <w:rsid w:val="00E24C7C"/>
    <w:rsid w:val="00E24F42"/>
    <w:rsid w:val="00E25B48"/>
    <w:rsid w:val="00E25FAA"/>
    <w:rsid w:val="00E262AF"/>
    <w:rsid w:val="00E26ACE"/>
    <w:rsid w:val="00E26DE9"/>
    <w:rsid w:val="00E27506"/>
    <w:rsid w:val="00E27753"/>
    <w:rsid w:val="00E277D3"/>
    <w:rsid w:val="00E27898"/>
    <w:rsid w:val="00E279F8"/>
    <w:rsid w:val="00E27A87"/>
    <w:rsid w:val="00E3006A"/>
    <w:rsid w:val="00E30106"/>
    <w:rsid w:val="00E302BB"/>
    <w:rsid w:val="00E30613"/>
    <w:rsid w:val="00E30A0E"/>
    <w:rsid w:val="00E30E09"/>
    <w:rsid w:val="00E31A21"/>
    <w:rsid w:val="00E322FB"/>
    <w:rsid w:val="00E3287D"/>
    <w:rsid w:val="00E32A93"/>
    <w:rsid w:val="00E336F7"/>
    <w:rsid w:val="00E33E42"/>
    <w:rsid w:val="00E3413B"/>
    <w:rsid w:val="00E3471B"/>
    <w:rsid w:val="00E34A9F"/>
    <w:rsid w:val="00E34C5B"/>
    <w:rsid w:val="00E35359"/>
    <w:rsid w:val="00E35E5A"/>
    <w:rsid w:val="00E363E9"/>
    <w:rsid w:val="00E36512"/>
    <w:rsid w:val="00E36A19"/>
    <w:rsid w:val="00E36B88"/>
    <w:rsid w:val="00E371BB"/>
    <w:rsid w:val="00E3726F"/>
    <w:rsid w:val="00E3744F"/>
    <w:rsid w:val="00E37594"/>
    <w:rsid w:val="00E37867"/>
    <w:rsid w:val="00E379F4"/>
    <w:rsid w:val="00E37A55"/>
    <w:rsid w:val="00E37AEF"/>
    <w:rsid w:val="00E37F26"/>
    <w:rsid w:val="00E37F9A"/>
    <w:rsid w:val="00E400E2"/>
    <w:rsid w:val="00E40496"/>
    <w:rsid w:val="00E40837"/>
    <w:rsid w:val="00E4093D"/>
    <w:rsid w:val="00E40BCF"/>
    <w:rsid w:val="00E412D2"/>
    <w:rsid w:val="00E41441"/>
    <w:rsid w:val="00E41DE5"/>
    <w:rsid w:val="00E4299E"/>
    <w:rsid w:val="00E430D1"/>
    <w:rsid w:val="00E437F6"/>
    <w:rsid w:val="00E437FA"/>
    <w:rsid w:val="00E43CC0"/>
    <w:rsid w:val="00E44544"/>
    <w:rsid w:val="00E448D8"/>
    <w:rsid w:val="00E44C2C"/>
    <w:rsid w:val="00E44CD9"/>
    <w:rsid w:val="00E44F0C"/>
    <w:rsid w:val="00E4592D"/>
    <w:rsid w:val="00E45C87"/>
    <w:rsid w:val="00E4688F"/>
    <w:rsid w:val="00E47564"/>
    <w:rsid w:val="00E476E7"/>
    <w:rsid w:val="00E477FD"/>
    <w:rsid w:val="00E50557"/>
    <w:rsid w:val="00E513C9"/>
    <w:rsid w:val="00E51D7F"/>
    <w:rsid w:val="00E51FD8"/>
    <w:rsid w:val="00E521AA"/>
    <w:rsid w:val="00E522AC"/>
    <w:rsid w:val="00E52614"/>
    <w:rsid w:val="00E52FA9"/>
    <w:rsid w:val="00E53024"/>
    <w:rsid w:val="00E532A1"/>
    <w:rsid w:val="00E5405C"/>
    <w:rsid w:val="00E5408F"/>
    <w:rsid w:val="00E5414A"/>
    <w:rsid w:val="00E54450"/>
    <w:rsid w:val="00E54F16"/>
    <w:rsid w:val="00E54FE9"/>
    <w:rsid w:val="00E550ED"/>
    <w:rsid w:val="00E5521E"/>
    <w:rsid w:val="00E55444"/>
    <w:rsid w:val="00E55D2D"/>
    <w:rsid w:val="00E562B6"/>
    <w:rsid w:val="00E566F4"/>
    <w:rsid w:val="00E566FD"/>
    <w:rsid w:val="00E569C8"/>
    <w:rsid w:val="00E57389"/>
    <w:rsid w:val="00E576C6"/>
    <w:rsid w:val="00E579AB"/>
    <w:rsid w:val="00E57A65"/>
    <w:rsid w:val="00E60461"/>
    <w:rsid w:val="00E60592"/>
    <w:rsid w:val="00E60858"/>
    <w:rsid w:val="00E608E5"/>
    <w:rsid w:val="00E6127E"/>
    <w:rsid w:val="00E61574"/>
    <w:rsid w:val="00E61771"/>
    <w:rsid w:val="00E6182C"/>
    <w:rsid w:val="00E61849"/>
    <w:rsid w:val="00E61C0F"/>
    <w:rsid w:val="00E61FFF"/>
    <w:rsid w:val="00E6222F"/>
    <w:rsid w:val="00E632C0"/>
    <w:rsid w:val="00E634C6"/>
    <w:rsid w:val="00E635C6"/>
    <w:rsid w:val="00E63691"/>
    <w:rsid w:val="00E639E3"/>
    <w:rsid w:val="00E63CCD"/>
    <w:rsid w:val="00E640F3"/>
    <w:rsid w:val="00E643ED"/>
    <w:rsid w:val="00E64588"/>
    <w:rsid w:val="00E64802"/>
    <w:rsid w:val="00E64ED8"/>
    <w:rsid w:val="00E651A8"/>
    <w:rsid w:val="00E6548B"/>
    <w:rsid w:val="00E655C5"/>
    <w:rsid w:val="00E65D30"/>
    <w:rsid w:val="00E65DB0"/>
    <w:rsid w:val="00E66229"/>
    <w:rsid w:val="00E66299"/>
    <w:rsid w:val="00E662AA"/>
    <w:rsid w:val="00E66673"/>
    <w:rsid w:val="00E66712"/>
    <w:rsid w:val="00E66856"/>
    <w:rsid w:val="00E66B55"/>
    <w:rsid w:val="00E66E25"/>
    <w:rsid w:val="00E674EC"/>
    <w:rsid w:val="00E67570"/>
    <w:rsid w:val="00E6768D"/>
    <w:rsid w:val="00E678C9"/>
    <w:rsid w:val="00E67AD5"/>
    <w:rsid w:val="00E67B35"/>
    <w:rsid w:val="00E67ED5"/>
    <w:rsid w:val="00E70484"/>
    <w:rsid w:val="00E7091E"/>
    <w:rsid w:val="00E70CE5"/>
    <w:rsid w:val="00E710F5"/>
    <w:rsid w:val="00E71131"/>
    <w:rsid w:val="00E71328"/>
    <w:rsid w:val="00E714FD"/>
    <w:rsid w:val="00E718E0"/>
    <w:rsid w:val="00E71AD1"/>
    <w:rsid w:val="00E71F35"/>
    <w:rsid w:val="00E720E4"/>
    <w:rsid w:val="00E728C4"/>
    <w:rsid w:val="00E73034"/>
    <w:rsid w:val="00E730A9"/>
    <w:rsid w:val="00E7398E"/>
    <w:rsid w:val="00E73B7A"/>
    <w:rsid w:val="00E73DEA"/>
    <w:rsid w:val="00E74A58"/>
    <w:rsid w:val="00E74A67"/>
    <w:rsid w:val="00E74BD8"/>
    <w:rsid w:val="00E75283"/>
    <w:rsid w:val="00E7531A"/>
    <w:rsid w:val="00E75909"/>
    <w:rsid w:val="00E7598C"/>
    <w:rsid w:val="00E75C39"/>
    <w:rsid w:val="00E75E82"/>
    <w:rsid w:val="00E76405"/>
    <w:rsid w:val="00E768C6"/>
    <w:rsid w:val="00E7767B"/>
    <w:rsid w:val="00E77B6D"/>
    <w:rsid w:val="00E8039D"/>
    <w:rsid w:val="00E8061F"/>
    <w:rsid w:val="00E80B39"/>
    <w:rsid w:val="00E813A8"/>
    <w:rsid w:val="00E8149C"/>
    <w:rsid w:val="00E8161D"/>
    <w:rsid w:val="00E81D03"/>
    <w:rsid w:val="00E8227B"/>
    <w:rsid w:val="00E82963"/>
    <w:rsid w:val="00E82E09"/>
    <w:rsid w:val="00E836F7"/>
    <w:rsid w:val="00E83B39"/>
    <w:rsid w:val="00E83EB7"/>
    <w:rsid w:val="00E8408B"/>
    <w:rsid w:val="00E84424"/>
    <w:rsid w:val="00E844A3"/>
    <w:rsid w:val="00E847BA"/>
    <w:rsid w:val="00E84AB0"/>
    <w:rsid w:val="00E850F6"/>
    <w:rsid w:val="00E857BF"/>
    <w:rsid w:val="00E85EBA"/>
    <w:rsid w:val="00E863A9"/>
    <w:rsid w:val="00E867CF"/>
    <w:rsid w:val="00E86E9C"/>
    <w:rsid w:val="00E87149"/>
    <w:rsid w:val="00E8723A"/>
    <w:rsid w:val="00E87356"/>
    <w:rsid w:val="00E8751A"/>
    <w:rsid w:val="00E875E6"/>
    <w:rsid w:val="00E87794"/>
    <w:rsid w:val="00E8782F"/>
    <w:rsid w:val="00E87FAE"/>
    <w:rsid w:val="00E90115"/>
    <w:rsid w:val="00E90234"/>
    <w:rsid w:val="00E90293"/>
    <w:rsid w:val="00E90730"/>
    <w:rsid w:val="00E90C78"/>
    <w:rsid w:val="00E90F4D"/>
    <w:rsid w:val="00E911CC"/>
    <w:rsid w:val="00E91905"/>
    <w:rsid w:val="00E91D83"/>
    <w:rsid w:val="00E9260B"/>
    <w:rsid w:val="00E928A7"/>
    <w:rsid w:val="00E92FB4"/>
    <w:rsid w:val="00E9353C"/>
    <w:rsid w:val="00E936F5"/>
    <w:rsid w:val="00E93D8F"/>
    <w:rsid w:val="00E93FA0"/>
    <w:rsid w:val="00E9418D"/>
    <w:rsid w:val="00E946C3"/>
    <w:rsid w:val="00E94942"/>
    <w:rsid w:val="00E95061"/>
    <w:rsid w:val="00E950A2"/>
    <w:rsid w:val="00E955E3"/>
    <w:rsid w:val="00E956A1"/>
    <w:rsid w:val="00E95A07"/>
    <w:rsid w:val="00E95A5F"/>
    <w:rsid w:val="00E96569"/>
    <w:rsid w:val="00E967DA"/>
    <w:rsid w:val="00E96E92"/>
    <w:rsid w:val="00E9722C"/>
    <w:rsid w:val="00E97B3B"/>
    <w:rsid w:val="00E97C2B"/>
    <w:rsid w:val="00E97D54"/>
    <w:rsid w:val="00EA038B"/>
    <w:rsid w:val="00EA05CF"/>
    <w:rsid w:val="00EA086E"/>
    <w:rsid w:val="00EA0A6D"/>
    <w:rsid w:val="00EA0EB1"/>
    <w:rsid w:val="00EA1311"/>
    <w:rsid w:val="00EA182B"/>
    <w:rsid w:val="00EA19C4"/>
    <w:rsid w:val="00EA1D0D"/>
    <w:rsid w:val="00EA1D80"/>
    <w:rsid w:val="00EA1F23"/>
    <w:rsid w:val="00EA2300"/>
    <w:rsid w:val="00EA25C3"/>
    <w:rsid w:val="00EA25F5"/>
    <w:rsid w:val="00EA2603"/>
    <w:rsid w:val="00EA285A"/>
    <w:rsid w:val="00EA2961"/>
    <w:rsid w:val="00EA29FD"/>
    <w:rsid w:val="00EA2A08"/>
    <w:rsid w:val="00EA3113"/>
    <w:rsid w:val="00EA3171"/>
    <w:rsid w:val="00EA33E0"/>
    <w:rsid w:val="00EA3960"/>
    <w:rsid w:val="00EA3A5A"/>
    <w:rsid w:val="00EA3AF0"/>
    <w:rsid w:val="00EA4088"/>
    <w:rsid w:val="00EA4226"/>
    <w:rsid w:val="00EA4ADC"/>
    <w:rsid w:val="00EA4B61"/>
    <w:rsid w:val="00EA501B"/>
    <w:rsid w:val="00EA52C7"/>
    <w:rsid w:val="00EA5953"/>
    <w:rsid w:val="00EA650B"/>
    <w:rsid w:val="00EA6A34"/>
    <w:rsid w:val="00EA6A98"/>
    <w:rsid w:val="00EA6FB8"/>
    <w:rsid w:val="00EA713F"/>
    <w:rsid w:val="00EB02BB"/>
    <w:rsid w:val="00EB0334"/>
    <w:rsid w:val="00EB11A6"/>
    <w:rsid w:val="00EB1ACE"/>
    <w:rsid w:val="00EB1BAA"/>
    <w:rsid w:val="00EB20F5"/>
    <w:rsid w:val="00EB2476"/>
    <w:rsid w:val="00EB24C5"/>
    <w:rsid w:val="00EB2710"/>
    <w:rsid w:val="00EB2C46"/>
    <w:rsid w:val="00EB3291"/>
    <w:rsid w:val="00EB35B4"/>
    <w:rsid w:val="00EB3D53"/>
    <w:rsid w:val="00EB3DC9"/>
    <w:rsid w:val="00EB448B"/>
    <w:rsid w:val="00EB4510"/>
    <w:rsid w:val="00EB4F1B"/>
    <w:rsid w:val="00EB5972"/>
    <w:rsid w:val="00EB5D4C"/>
    <w:rsid w:val="00EB6DB8"/>
    <w:rsid w:val="00EB7743"/>
    <w:rsid w:val="00EB7DAA"/>
    <w:rsid w:val="00EC014A"/>
    <w:rsid w:val="00EC01CA"/>
    <w:rsid w:val="00EC028C"/>
    <w:rsid w:val="00EC0D27"/>
    <w:rsid w:val="00EC187C"/>
    <w:rsid w:val="00EC1EAC"/>
    <w:rsid w:val="00EC1F2F"/>
    <w:rsid w:val="00EC226E"/>
    <w:rsid w:val="00EC2813"/>
    <w:rsid w:val="00EC294E"/>
    <w:rsid w:val="00EC2AFF"/>
    <w:rsid w:val="00EC321D"/>
    <w:rsid w:val="00EC3479"/>
    <w:rsid w:val="00EC36AC"/>
    <w:rsid w:val="00EC37E2"/>
    <w:rsid w:val="00EC4168"/>
    <w:rsid w:val="00EC4212"/>
    <w:rsid w:val="00EC42AC"/>
    <w:rsid w:val="00EC43C5"/>
    <w:rsid w:val="00EC4986"/>
    <w:rsid w:val="00EC4AE5"/>
    <w:rsid w:val="00EC4DEB"/>
    <w:rsid w:val="00EC4F17"/>
    <w:rsid w:val="00EC5594"/>
    <w:rsid w:val="00EC5D45"/>
    <w:rsid w:val="00EC5DB1"/>
    <w:rsid w:val="00EC5DB9"/>
    <w:rsid w:val="00EC5E17"/>
    <w:rsid w:val="00EC606F"/>
    <w:rsid w:val="00EC66F3"/>
    <w:rsid w:val="00EC6AEA"/>
    <w:rsid w:val="00EC729E"/>
    <w:rsid w:val="00EC72E4"/>
    <w:rsid w:val="00EC7A2D"/>
    <w:rsid w:val="00EC7CBF"/>
    <w:rsid w:val="00ED00AB"/>
    <w:rsid w:val="00ED0160"/>
    <w:rsid w:val="00ED02CE"/>
    <w:rsid w:val="00ED03AF"/>
    <w:rsid w:val="00ED03BB"/>
    <w:rsid w:val="00ED05B8"/>
    <w:rsid w:val="00ED05E7"/>
    <w:rsid w:val="00ED0622"/>
    <w:rsid w:val="00ED06D7"/>
    <w:rsid w:val="00ED0937"/>
    <w:rsid w:val="00ED13A5"/>
    <w:rsid w:val="00ED13AC"/>
    <w:rsid w:val="00ED1571"/>
    <w:rsid w:val="00ED1952"/>
    <w:rsid w:val="00ED1C06"/>
    <w:rsid w:val="00ED1D82"/>
    <w:rsid w:val="00ED1D86"/>
    <w:rsid w:val="00ED233C"/>
    <w:rsid w:val="00ED2BFA"/>
    <w:rsid w:val="00ED2FDA"/>
    <w:rsid w:val="00ED341E"/>
    <w:rsid w:val="00ED3AD9"/>
    <w:rsid w:val="00ED3C21"/>
    <w:rsid w:val="00ED3EDA"/>
    <w:rsid w:val="00ED3FE0"/>
    <w:rsid w:val="00ED4051"/>
    <w:rsid w:val="00ED45F2"/>
    <w:rsid w:val="00ED50F7"/>
    <w:rsid w:val="00ED5431"/>
    <w:rsid w:val="00ED5C2C"/>
    <w:rsid w:val="00ED5FB4"/>
    <w:rsid w:val="00ED68FD"/>
    <w:rsid w:val="00ED6957"/>
    <w:rsid w:val="00ED69E3"/>
    <w:rsid w:val="00ED6A8C"/>
    <w:rsid w:val="00ED6BEF"/>
    <w:rsid w:val="00ED74A7"/>
    <w:rsid w:val="00ED7518"/>
    <w:rsid w:val="00ED782B"/>
    <w:rsid w:val="00ED78CF"/>
    <w:rsid w:val="00ED7964"/>
    <w:rsid w:val="00ED7BB4"/>
    <w:rsid w:val="00EE02C7"/>
    <w:rsid w:val="00EE051F"/>
    <w:rsid w:val="00EE0921"/>
    <w:rsid w:val="00EE0C88"/>
    <w:rsid w:val="00EE0CAA"/>
    <w:rsid w:val="00EE1096"/>
    <w:rsid w:val="00EE14D8"/>
    <w:rsid w:val="00EE1DD2"/>
    <w:rsid w:val="00EE20F3"/>
    <w:rsid w:val="00EE27E3"/>
    <w:rsid w:val="00EE2890"/>
    <w:rsid w:val="00EE2C4F"/>
    <w:rsid w:val="00EE33FF"/>
    <w:rsid w:val="00EE3519"/>
    <w:rsid w:val="00EE38A0"/>
    <w:rsid w:val="00EE397B"/>
    <w:rsid w:val="00EE3BF9"/>
    <w:rsid w:val="00EE4344"/>
    <w:rsid w:val="00EE4F79"/>
    <w:rsid w:val="00EE509E"/>
    <w:rsid w:val="00EE5424"/>
    <w:rsid w:val="00EE5652"/>
    <w:rsid w:val="00EE5A01"/>
    <w:rsid w:val="00EE5BA0"/>
    <w:rsid w:val="00EE5EFA"/>
    <w:rsid w:val="00EE5FBB"/>
    <w:rsid w:val="00EE6122"/>
    <w:rsid w:val="00EE63FD"/>
    <w:rsid w:val="00EE6461"/>
    <w:rsid w:val="00EE66BA"/>
    <w:rsid w:val="00EE6916"/>
    <w:rsid w:val="00EE6CCA"/>
    <w:rsid w:val="00EE6DC1"/>
    <w:rsid w:val="00EE7858"/>
    <w:rsid w:val="00EE7F14"/>
    <w:rsid w:val="00EF00C5"/>
    <w:rsid w:val="00EF0138"/>
    <w:rsid w:val="00EF0198"/>
    <w:rsid w:val="00EF030D"/>
    <w:rsid w:val="00EF03EE"/>
    <w:rsid w:val="00EF0E4C"/>
    <w:rsid w:val="00EF0E69"/>
    <w:rsid w:val="00EF13F7"/>
    <w:rsid w:val="00EF173F"/>
    <w:rsid w:val="00EF1B22"/>
    <w:rsid w:val="00EF1F43"/>
    <w:rsid w:val="00EF35AA"/>
    <w:rsid w:val="00EF36E6"/>
    <w:rsid w:val="00EF39AB"/>
    <w:rsid w:val="00EF3D8B"/>
    <w:rsid w:val="00EF3EC4"/>
    <w:rsid w:val="00EF425B"/>
    <w:rsid w:val="00EF47F3"/>
    <w:rsid w:val="00EF4C02"/>
    <w:rsid w:val="00EF5281"/>
    <w:rsid w:val="00EF5640"/>
    <w:rsid w:val="00EF5684"/>
    <w:rsid w:val="00EF5DB4"/>
    <w:rsid w:val="00EF6057"/>
    <w:rsid w:val="00EF60BC"/>
    <w:rsid w:val="00EF66D2"/>
    <w:rsid w:val="00EF66EC"/>
    <w:rsid w:val="00EF6B09"/>
    <w:rsid w:val="00EF6CDE"/>
    <w:rsid w:val="00EF7318"/>
    <w:rsid w:val="00EF7344"/>
    <w:rsid w:val="00EF7472"/>
    <w:rsid w:val="00EF7F59"/>
    <w:rsid w:val="00F0028F"/>
    <w:rsid w:val="00F00372"/>
    <w:rsid w:val="00F0038F"/>
    <w:rsid w:val="00F00968"/>
    <w:rsid w:val="00F00A7F"/>
    <w:rsid w:val="00F00B55"/>
    <w:rsid w:val="00F00D63"/>
    <w:rsid w:val="00F00D92"/>
    <w:rsid w:val="00F012D3"/>
    <w:rsid w:val="00F01706"/>
    <w:rsid w:val="00F0181F"/>
    <w:rsid w:val="00F0183B"/>
    <w:rsid w:val="00F019AD"/>
    <w:rsid w:val="00F019E6"/>
    <w:rsid w:val="00F01D8C"/>
    <w:rsid w:val="00F01E81"/>
    <w:rsid w:val="00F020AB"/>
    <w:rsid w:val="00F023D8"/>
    <w:rsid w:val="00F027C1"/>
    <w:rsid w:val="00F0283A"/>
    <w:rsid w:val="00F02D08"/>
    <w:rsid w:val="00F03063"/>
    <w:rsid w:val="00F03153"/>
    <w:rsid w:val="00F03CC3"/>
    <w:rsid w:val="00F03DC2"/>
    <w:rsid w:val="00F042D3"/>
    <w:rsid w:val="00F0483C"/>
    <w:rsid w:val="00F04BDF"/>
    <w:rsid w:val="00F05264"/>
    <w:rsid w:val="00F0537E"/>
    <w:rsid w:val="00F05AF0"/>
    <w:rsid w:val="00F05E61"/>
    <w:rsid w:val="00F06392"/>
    <w:rsid w:val="00F064D2"/>
    <w:rsid w:val="00F06844"/>
    <w:rsid w:val="00F06956"/>
    <w:rsid w:val="00F06A73"/>
    <w:rsid w:val="00F06BDE"/>
    <w:rsid w:val="00F06E54"/>
    <w:rsid w:val="00F0748C"/>
    <w:rsid w:val="00F075C0"/>
    <w:rsid w:val="00F076FD"/>
    <w:rsid w:val="00F07D2B"/>
    <w:rsid w:val="00F07E68"/>
    <w:rsid w:val="00F07F9F"/>
    <w:rsid w:val="00F100BC"/>
    <w:rsid w:val="00F10347"/>
    <w:rsid w:val="00F106A9"/>
    <w:rsid w:val="00F10920"/>
    <w:rsid w:val="00F10E82"/>
    <w:rsid w:val="00F112C3"/>
    <w:rsid w:val="00F113AB"/>
    <w:rsid w:val="00F11622"/>
    <w:rsid w:val="00F117EC"/>
    <w:rsid w:val="00F11973"/>
    <w:rsid w:val="00F12140"/>
    <w:rsid w:val="00F12230"/>
    <w:rsid w:val="00F125A4"/>
    <w:rsid w:val="00F1276E"/>
    <w:rsid w:val="00F128A2"/>
    <w:rsid w:val="00F128B7"/>
    <w:rsid w:val="00F12DCB"/>
    <w:rsid w:val="00F130A4"/>
    <w:rsid w:val="00F13105"/>
    <w:rsid w:val="00F13259"/>
    <w:rsid w:val="00F13651"/>
    <w:rsid w:val="00F13892"/>
    <w:rsid w:val="00F1391E"/>
    <w:rsid w:val="00F13974"/>
    <w:rsid w:val="00F13C84"/>
    <w:rsid w:val="00F13D1F"/>
    <w:rsid w:val="00F1409C"/>
    <w:rsid w:val="00F14A3D"/>
    <w:rsid w:val="00F14AB0"/>
    <w:rsid w:val="00F14BC7"/>
    <w:rsid w:val="00F1524D"/>
    <w:rsid w:val="00F15D91"/>
    <w:rsid w:val="00F15DBF"/>
    <w:rsid w:val="00F15FE0"/>
    <w:rsid w:val="00F16231"/>
    <w:rsid w:val="00F166BB"/>
    <w:rsid w:val="00F16740"/>
    <w:rsid w:val="00F16CBC"/>
    <w:rsid w:val="00F17792"/>
    <w:rsid w:val="00F1783B"/>
    <w:rsid w:val="00F17A14"/>
    <w:rsid w:val="00F17A93"/>
    <w:rsid w:val="00F17CD8"/>
    <w:rsid w:val="00F17D87"/>
    <w:rsid w:val="00F17F85"/>
    <w:rsid w:val="00F20286"/>
    <w:rsid w:val="00F202D1"/>
    <w:rsid w:val="00F20760"/>
    <w:rsid w:val="00F20860"/>
    <w:rsid w:val="00F20C1B"/>
    <w:rsid w:val="00F20DB3"/>
    <w:rsid w:val="00F20ECC"/>
    <w:rsid w:val="00F21177"/>
    <w:rsid w:val="00F212BB"/>
    <w:rsid w:val="00F213FD"/>
    <w:rsid w:val="00F21484"/>
    <w:rsid w:val="00F21667"/>
    <w:rsid w:val="00F216BA"/>
    <w:rsid w:val="00F2197E"/>
    <w:rsid w:val="00F21BB8"/>
    <w:rsid w:val="00F22103"/>
    <w:rsid w:val="00F2220C"/>
    <w:rsid w:val="00F22385"/>
    <w:rsid w:val="00F233A0"/>
    <w:rsid w:val="00F2342B"/>
    <w:rsid w:val="00F2376B"/>
    <w:rsid w:val="00F23E91"/>
    <w:rsid w:val="00F247A1"/>
    <w:rsid w:val="00F24A0B"/>
    <w:rsid w:val="00F24E31"/>
    <w:rsid w:val="00F24E98"/>
    <w:rsid w:val="00F2526B"/>
    <w:rsid w:val="00F25726"/>
    <w:rsid w:val="00F25AAA"/>
    <w:rsid w:val="00F25C04"/>
    <w:rsid w:val="00F25EFD"/>
    <w:rsid w:val="00F263F6"/>
    <w:rsid w:val="00F26B9D"/>
    <w:rsid w:val="00F26DE6"/>
    <w:rsid w:val="00F26E4B"/>
    <w:rsid w:val="00F27562"/>
    <w:rsid w:val="00F27936"/>
    <w:rsid w:val="00F27C61"/>
    <w:rsid w:val="00F27F36"/>
    <w:rsid w:val="00F300CB"/>
    <w:rsid w:val="00F301E2"/>
    <w:rsid w:val="00F30473"/>
    <w:rsid w:val="00F3111F"/>
    <w:rsid w:val="00F316E4"/>
    <w:rsid w:val="00F31D39"/>
    <w:rsid w:val="00F3214C"/>
    <w:rsid w:val="00F32355"/>
    <w:rsid w:val="00F32842"/>
    <w:rsid w:val="00F3288A"/>
    <w:rsid w:val="00F32C88"/>
    <w:rsid w:val="00F32ED0"/>
    <w:rsid w:val="00F336CC"/>
    <w:rsid w:val="00F3388E"/>
    <w:rsid w:val="00F33AC4"/>
    <w:rsid w:val="00F345E2"/>
    <w:rsid w:val="00F3489D"/>
    <w:rsid w:val="00F3495B"/>
    <w:rsid w:val="00F34DCB"/>
    <w:rsid w:val="00F35519"/>
    <w:rsid w:val="00F356E9"/>
    <w:rsid w:val="00F35810"/>
    <w:rsid w:val="00F35B47"/>
    <w:rsid w:val="00F365AE"/>
    <w:rsid w:val="00F367C4"/>
    <w:rsid w:val="00F3687A"/>
    <w:rsid w:val="00F36A64"/>
    <w:rsid w:val="00F36AC1"/>
    <w:rsid w:val="00F36CF8"/>
    <w:rsid w:val="00F3712F"/>
    <w:rsid w:val="00F371BA"/>
    <w:rsid w:val="00F3764A"/>
    <w:rsid w:val="00F3771B"/>
    <w:rsid w:val="00F378D7"/>
    <w:rsid w:val="00F40717"/>
    <w:rsid w:val="00F40EEA"/>
    <w:rsid w:val="00F40F57"/>
    <w:rsid w:val="00F4104F"/>
    <w:rsid w:val="00F410D0"/>
    <w:rsid w:val="00F4145F"/>
    <w:rsid w:val="00F41DF9"/>
    <w:rsid w:val="00F42111"/>
    <w:rsid w:val="00F42766"/>
    <w:rsid w:val="00F4278D"/>
    <w:rsid w:val="00F42A6B"/>
    <w:rsid w:val="00F436DA"/>
    <w:rsid w:val="00F4370E"/>
    <w:rsid w:val="00F4376D"/>
    <w:rsid w:val="00F437B5"/>
    <w:rsid w:val="00F43902"/>
    <w:rsid w:val="00F43A2F"/>
    <w:rsid w:val="00F43D7C"/>
    <w:rsid w:val="00F44032"/>
    <w:rsid w:val="00F445A5"/>
    <w:rsid w:val="00F4479C"/>
    <w:rsid w:val="00F452CC"/>
    <w:rsid w:val="00F455B6"/>
    <w:rsid w:val="00F45B67"/>
    <w:rsid w:val="00F45CA9"/>
    <w:rsid w:val="00F45E63"/>
    <w:rsid w:val="00F45F08"/>
    <w:rsid w:val="00F47291"/>
    <w:rsid w:val="00F47494"/>
    <w:rsid w:val="00F47600"/>
    <w:rsid w:val="00F47C1E"/>
    <w:rsid w:val="00F47EA4"/>
    <w:rsid w:val="00F50042"/>
    <w:rsid w:val="00F500FC"/>
    <w:rsid w:val="00F50461"/>
    <w:rsid w:val="00F5083F"/>
    <w:rsid w:val="00F50D0C"/>
    <w:rsid w:val="00F50E7D"/>
    <w:rsid w:val="00F50F9E"/>
    <w:rsid w:val="00F51124"/>
    <w:rsid w:val="00F51372"/>
    <w:rsid w:val="00F51B41"/>
    <w:rsid w:val="00F51D8E"/>
    <w:rsid w:val="00F524DA"/>
    <w:rsid w:val="00F52B0D"/>
    <w:rsid w:val="00F52EA4"/>
    <w:rsid w:val="00F5300D"/>
    <w:rsid w:val="00F530D0"/>
    <w:rsid w:val="00F53188"/>
    <w:rsid w:val="00F533BE"/>
    <w:rsid w:val="00F53424"/>
    <w:rsid w:val="00F5352D"/>
    <w:rsid w:val="00F53CD4"/>
    <w:rsid w:val="00F53D8C"/>
    <w:rsid w:val="00F53E65"/>
    <w:rsid w:val="00F53FED"/>
    <w:rsid w:val="00F545D5"/>
    <w:rsid w:val="00F546BE"/>
    <w:rsid w:val="00F5477F"/>
    <w:rsid w:val="00F54987"/>
    <w:rsid w:val="00F54FC7"/>
    <w:rsid w:val="00F55049"/>
    <w:rsid w:val="00F556DB"/>
    <w:rsid w:val="00F560A8"/>
    <w:rsid w:val="00F560FD"/>
    <w:rsid w:val="00F5645B"/>
    <w:rsid w:val="00F5672A"/>
    <w:rsid w:val="00F56804"/>
    <w:rsid w:val="00F568A1"/>
    <w:rsid w:val="00F56A84"/>
    <w:rsid w:val="00F56BF1"/>
    <w:rsid w:val="00F57310"/>
    <w:rsid w:val="00F57679"/>
    <w:rsid w:val="00F60B58"/>
    <w:rsid w:val="00F616C1"/>
    <w:rsid w:val="00F62100"/>
    <w:rsid w:val="00F622A1"/>
    <w:rsid w:val="00F622DF"/>
    <w:rsid w:val="00F6238C"/>
    <w:rsid w:val="00F62432"/>
    <w:rsid w:val="00F62708"/>
    <w:rsid w:val="00F6275A"/>
    <w:rsid w:val="00F6299C"/>
    <w:rsid w:val="00F62AF5"/>
    <w:rsid w:val="00F62CED"/>
    <w:rsid w:val="00F62D29"/>
    <w:rsid w:val="00F6324B"/>
    <w:rsid w:val="00F63BC6"/>
    <w:rsid w:val="00F64138"/>
    <w:rsid w:val="00F64398"/>
    <w:rsid w:val="00F646AC"/>
    <w:rsid w:val="00F64D87"/>
    <w:rsid w:val="00F64DDC"/>
    <w:rsid w:val="00F65597"/>
    <w:rsid w:val="00F65618"/>
    <w:rsid w:val="00F6563A"/>
    <w:rsid w:val="00F657AC"/>
    <w:rsid w:val="00F65B0C"/>
    <w:rsid w:val="00F65BAF"/>
    <w:rsid w:val="00F6619E"/>
    <w:rsid w:val="00F665CB"/>
    <w:rsid w:val="00F66757"/>
    <w:rsid w:val="00F66979"/>
    <w:rsid w:val="00F669C4"/>
    <w:rsid w:val="00F66A85"/>
    <w:rsid w:val="00F66B64"/>
    <w:rsid w:val="00F66E1E"/>
    <w:rsid w:val="00F66F21"/>
    <w:rsid w:val="00F67096"/>
    <w:rsid w:val="00F6758B"/>
    <w:rsid w:val="00F67997"/>
    <w:rsid w:val="00F67E05"/>
    <w:rsid w:val="00F704A3"/>
    <w:rsid w:val="00F70AB5"/>
    <w:rsid w:val="00F71372"/>
    <w:rsid w:val="00F71487"/>
    <w:rsid w:val="00F71B6D"/>
    <w:rsid w:val="00F72021"/>
    <w:rsid w:val="00F723C7"/>
    <w:rsid w:val="00F72534"/>
    <w:rsid w:val="00F7260C"/>
    <w:rsid w:val="00F727A9"/>
    <w:rsid w:val="00F72CF3"/>
    <w:rsid w:val="00F73B18"/>
    <w:rsid w:val="00F73E3D"/>
    <w:rsid w:val="00F73EFB"/>
    <w:rsid w:val="00F73FEC"/>
    <w:rsid w:val="00F7404D"/>
    <w:rsid w:val="00F740D2"/>
    <w:rsid w:val="00F7425C"/>
    <w:rsid w:val="00F74577"/>
    <w:rsid w:val="00F7485A"/>
    <w:rsid w:val="00F75052"/>
    <w:rsid w:val="00F75E25"/>
    <w:rsid w:val="00F76319"/>
    <w:rsid w:val="00F7673C"/>
    <w:rsid w:val="00F767A0"/>
    <w:rsid w:val="00F7684E"/>
    <w:rsid w:val="00F774B1"/>
    <w:rsid w:val="00F779C8"/>
    <w:rsid w:val="00F77A8A"/>
    <w:rsid w:val="00F77BAB"/>
    <w:rsid w:val="00F80B52"/>
    <w:rsid w:val="00F80D7F"/>
    <w:rsid w:val="00F810DD"/>
    <w:rsid w:val="00F813EB"/>
    <w:rsid w:val="00F8153A"/>
    <w:rsid w:val="00F81556"/>
    <w:rsid w:val="00F82112"/>
    <w:rsid w:val="00F82630"/>
    <w:rsid w:val="00F82AC5"/>
    <w:rsid w:val="00F82F8C"/>
    <w:rsid w:val="00F83696"/>
    <w:rsid w:val="00F836D1"/>
    <w:rsid w:val="00F83C8D"/>
    <w:rsid w:val="00F844B1"/>
    <w:rsid w:val="00F84576"/>
    <w:rsid w:val="00F84FA4"/>
    <w:rsid w:val="00F850F3"/>
    <w:rsid w:val="00F85305"/>
    <w:rsid w:val="00F855A8"/>
    <w:rsid w:val="00F85B4A"/>
    <w:rsid w:val="00F85C09"/>
    <w:rsid w:val="00F85D97"/>
    <w:rsid w:val="00F86276"/>
    <w:rsid w:val="00F8684A"/>
    <w:rsid w:val="00F868AF"/>
    <w:rsid w:val="00F86B9A"/>
    <w:rsid w:val="00F86C23"/>
    <w:rsid w:val="00F87022"/>
    <w:rsid w:val="00F901AB"/>
    <w:rsid w:val="00F90790"/>
    <w:rsid w:val="00F90999"/>
    <w:rsid w:val="00F90F19"/>
    <w:rsid w:val="00F912B6"/>
    <w:rsid w:val="00F914CC"/>
    <w:rsid w:val="00F91B00"/>
    <w:rsid w:val="00F91B3A"/>
    <w:rsid w:val="00F91E45"/>
    <w:rsid w:val="00F92352"/>
    <w:rsid w:val="00F9256F"/>
    <w:rsid w:val="00F92A73"/>
    <w:rsid w:val="00F92B85"/>
    <w:rsid w:val="00F92D64"/>
    <w:rsid w:val="00F9302C"/>
    <w:rsid w:val="00F93614"/>
    <w:rsid w:val="00F93C64"/>
    <w:rsid w:val="00F940E2"/>
    <w:rsid w:val="00F949E7"/>
    <w:rsid w:val="00F94A61"/>
    <w:rsid w:val="00F94C30"/>
    <w:rsid w:val="00F94CC2"/>
    <w:rsid w:val="00F94F23"/>
    <w:rsid w:val="00F95131"/>
    <w:rsid w:val="00F95294"/>
    <w:rsid w:val="00F95753"/>
    <w:rsid w:val="00F95ABC"/>
    <w:rsid w:val="00F95DF1"/>
    <w:rsid w:val="00F961D3"/>
    <w:rsid w:val="00F962E0"/>
    <w:rsid w:val="00F96559"/>
    <w:rsid w:val="00F968C8"/>
    <w:rsid w:val="00F96959"/>
    <w:rsid w:val="00F971E0"/>
    <w:rsid w:val="00F9723E"/>
    <w:rsid w:val="00F97838"/>
    <w:rsid w:val="00F97E23"/>
    <w:rsid w:val="00F97E3D"/>
    <w:rsid w:val="00FA0033"/>
    <w:rsid w:val="00FA027C"/>
    <w:rsid w:val="00FA0870"/>
    <w:rsid w:val="00FA0882"/>
    <w:rsid w:val="00FA0B13"/>
    <w:rsid w:val="00FA1C42"/>
    <w:rsid w:val="00FA1CE9"/>
    <w:rsid w:val="00FA24CE"/>
    <w:rsid w:val="00FA2A08"/>
    <w:rsid w:val="00FA2EC7"/>
    <w:rsid w:val="00FA303C"/>
    <w:rsid w:val="00FA3445"/>
    <w:rsid w:val="00FA3C13"/>
    <w:rsid w:val="00FA3FB6"/>
    <w:rsid w:val="00FA4048"/>
    <w:rsid w:val="00FA4696"/>
    <w:rsid w:val="00FA4721"/>
    <w:rsid w:val="00FA4978"/>
    <w:rsid w:val="00FA4B04"/>
    <w:rsid w:val="00FA5011"/>
    <w:rsid w:val="00FA54BE"/>
    <w:rsid w:val="00FA56A2"/>
    <w:rsid w:val="00FA587B"/>
    <w:rsid w:val="00FA59BE"/>
    <w:rsid w:val="00FA5A5D"/>
    <w:rsid w:val="00FA5B5A"/>
    <w:rsid w:val="00FA5BE1"/>
    <w:rsid w:val="00FA5F69"/>
    <w:rsid w:val="00FA65B2"/>
    <w:rsid w:val="00FA6636"/>
    <w:rsid w:val="00FA66BD"/>
    <w:rsid w:val="00FA66F1"/>
    <w:rsid w:val="00FA67D5"/>
    <w:rsid w:val="00FA6EC9"/>
    <w:rsid w:val="00FA6EE8"/>
    <w:rsid w:val="00FA6FA5"/>
    <w:rsid w:val="00FA7224"/>
    <w:rsid w:val="00FA727B"/>
    <w:rsid w:val="00FA7647"/>
    <w:rsid w:val="00FA7C43"/>
    <w:rsid w:val="00FB0261"/>
    <w:rsid w:val="00FB040D"/>
    <w:rsid w:val="00FB05AE"/>
    <w:rsid w:val="00FB08B0"/>
    <w:rsid w:val="00FB08F3"/>
    <w:rsid w:val="00FB0C5B"/>
    <w:rsid w:val="00FB0D60"/>
    <w:rsid w:val="00FB0FF4"/>
    <w:rsid w:val="00FB125A"/>
    <w:rsid w:val="00FB127E"/>
    <w:rsid w:val="00FB18CA"/>
    <w:rsid w:val="00FB1A42"/>
    <w:rsid w:val="00FB1A9B"/>
    <w:rsid w:val="00FB1D0B"/>
    <w:rsid w:val="00FB1D17"/>
    <w:rsid w:val="00FB20DC"/>
    <w:rsid w:val="00FB21B1"/>
    <w:rsid w:val="00FB2553"/>
    <w:rsid w:val="00FB31B3"/>
    <w:rsid w:val="00FB336A"/>
    <w:rsid w:val="00FB337B"/>
    <w:rsid w:val="00FB3658"/>
    <w:rsid w:val="00FB3A3C"/>
    <w:rsid w:val="00FB3EC5"/>
    <w:rsid w:val="00FB4716"/>
    <w:rsid w:val="00FB4B10"/>
    <w:rsid w:val="00FB4C64"/>
    <w:rsid w:val="00FB4DC5"/>
    <w:rsid w:val="00FB4E50"/>
    <w:rsid w:val="00FB5003"/>
    <w:rsid w:val="00FB508D"/>
    <w:rsid w:val="00FB5381"/>
    <w:rsid w:val="00FB55FF"/>
    <w:rsid w:val="00FB5841"/>
    <w:rsid w:val="00FB5A03"/>
    <w:rsid w:val="00FB665B"/>
    <w:rsid w:val="00FB699F"/>
    <w:rsid w:val="00FB6AD8"/>
    <w:rsid w:val="00FB6CA5"/>
    <w:rsid w:val="00FB70DB"/>
    <w:rsid w:val="00FB7173"/>
    <w:rsid w:val="00FB73E5"/>
    <w:rsid w:val="00FB7447"/>
    <w:rsid w:val="00FB75BC"/>
    <w:rsid w:val="00FB7901"/>
    <w:rsid w:val="00FB7AAF"/>
    <w:rsid w:val="00FB7E1F"/>
    <w:rsid w:val="00FB7EDC"/>
    <w:rsid w:val="00FC0865"/>
    <w:rsid w:val="00FC0B26"/>
    <w:rsid w:val="00FC0B57"/>
    <w:rsid w:val="00FC10D9"/>
    <w:rsid w:val="00FC1205"/>
    <w:rsid w:val="00FC1561"/>
    <w:rsid w:val="00FC1D5A"/>
    <w:rsid w:val="00FC2817"/>
    <w:rsid w:val="00FC3574"/>
    <w:rsid w:val="00FC3ADF"/>
    <w:rsid w:val="00FC3E97"/>
    <w:rsid w:val="00FC3F76"/>
    <w:rsid w:val="00FC3FBF"/>
    <w:rsid w:val="00FC4125"/>
    <w:rsid w:val="00FC42BC"/>
    <w:rsid w:val="00FC44EE"/>
    <w:rsid w:val="00FC4D3E"/>
    <w:rsid w:val="00FC4DDA"/>
    <w:rsid w:val="00FC534C"/>
    <w:rsid w:val="00FC5728"/>
    <w:rsid w:val="00FC58FF"/>
    <w:rsid w:val="00FC5B0F"/>
    <w:rsid w:val="00FC5EB5"/>
    <w:rsid w:val="00FC6016"/>
    <w:rsid w:val="00FC603D"/>
    <w:rsid w:val="00FC6185"/>
    <w:rsid w:val="00FC6BC2"/>
    <w:rsid w:val="00FC7178"/>
    <w:rsid w:val="00FC74DB"/>
    <w:rsid w:val="00FC783C"/>
    <w:rsid w:val="00FD0148"/>
    <w:rsid w:val="00FD0598"/>
    <w:rsid w:val="00FD062D"/>
    <w:rsid w:val="00FD0A3A"/>
    <w:rsid w:val="00FD0B27"/>
    <w:rsid w:val="00FD0EB5"/>
    <w:rsid w:val="00FD11E5"/>
    <w:rsid w:val="00FD14B4"/>
    <w:rsid w:val="00FD1D12"/>
    <w:rsid w:val="00FD1E8D"/>
    <w:rsid w:val="00FD249A"/>
    <w:rsid w:val="00FD26D0"/>
    <w:rsid w:val="00FD2CC7"/>
    <w:rsid w:val="00FD3480"/>
    <w:rsid w:val="00FD3A95"/>
    <w:rsid w:val="00FD40F2"/>
    <w:rsid w:val="00FD4223"/>
    <w:rsid w:val="00FD43C4"/>
    <w:rsid w:val="00FD44FB"/>
    <w:rsid w:val="00FD478D"/>
    <w:rsid w:val="00FD47A4"/>
    <w:rsid w:val="00FD4F53"/>
    <w:rsid w:val="00FD5088"/>
    <w:rsid w:val="00FD50B8"/>
    <w:rsid w:val="00FD5421"/>
    <w:rsid w:val="00FD5B49"/>
    <w:rsid w:val="00FD6572"/>
    <w:rsid w:val="00FD6D41"/>
    <w:rsid w:val="00FD6E92"/>
    <w:rsid w:val="00FD7028"/>
    <w:rsid w:val="00FD7189"/>
    <w:rsid w:val="00FD71B5"/>
    <w:rsid w:val="00FD72EE"/>
    <w:rsid w:val="00FD7380"/>
    <w:rsid w:val="00FD76C4"/>
    <w:rsid w:val="00FD7CB4"/>
    <w:rsid w:val="00FE0C8A"/>
    <w:rsid w:val="00FE0CF7"/>
    <w:rsid w:val="00FE1CA1"/>
    <w:rsid w:val="00FE22E6"/>
    <w:rsid w:val="00FE231C"/>
    <w:rsid w:val="00FE252F"/>
    <w:rsid w:val="00FE28DE"/>
    <w:rsid w:val="00FE2A94"/>
    <w:rsid w:val="00FE2CBE"/>
    <w:rsid w:val="00FE2DFE"/>
    <w:rsid w:val="00FE3128"/>
    <w:rsid w:val="00FE3C33"/>
    <w:rsid w:val="00FE4760"/>
    <w:rsid w:val="00FE5BBE"/>
    <w:rsid w:val="00FE5EA8"/>
    <w:rsid w:val="00FE618D"/>
    <w:rsid w:val="00FE648A"/>
    <w:rsid w:val="00FE6757"/>
    <w:rsid w:val="00FE6877"/>
    <w:rsid w:val="00FE6970"/>
    <w:rsid w:val="00FE6BDE"/>
    <w:rsid w:val="00FE709F"/>
    <w:rsid w:val="00FE737F"/>
    <w:rsid w:val="00FF068E"/>
    <w:rsid w:val="00FF06EA"/>
    <w:rsid w:val="00FF0BE2"/>
    <w:rsid w:val="00FF0C0B"/>
    <w:rsid w:val="00FF0F68"/>
    <w:rsid w:val="00FF131E"/>
    <w:rsid w:val="00FF172F"/>
    <w:rsid w:val="00FF1985"/>
    <w:rsid w:val="00FF1E67"/>
    <w:rsid w:val="00FF2EFB"/>
    <w:rsid w:val="00FF3250"/>
    <w:rsid w:val="00FF3328"/>
    <w:rsid w:val="00FF3426"/>
    <w:rsid w:val="00FF34A7"/>
    <w:rsid w:val="00FF3AA9"/>
    <w:rsid w:val="00FF3C2E"/>
    <w:rsid w:val="00FF3F99"/>
    <w:rsid w:val="00FF4065"/>
    <w:rsid w:val="00FF4196"/>
    <w:rsid w:val="00FF436C"/>
    <w:rsid w:val="00FF437A"/>
    <w:rsid w:val="00FF448D"/>
    <w:rsid w:val="00FF46A7"/>
    <w:rsid w:val="00FF48CD"/>
    <w:rsid w:val="00FF49F4"/>
    <w:rsid w:val="00FF4B9D"/>
    <w:rsid w:val="00FF4D6E"/>
    <w:rsid w:val="00FF550D"/>
    <w:rsid w:val="00FF573E"/>
    <w:rsid w:val="00FF5818"/>
    <w:rsid w:val="00FF5A5E"/>
    <w:rsid w:val="00FF5AD7"/>
    <w:rsid w:val="00FF5FE3"/>
    <w:rsid w:val="00FF63D6"/>
    <w:rsid w:val="00FF652A"/>
    <w:rsid w:val="00FF659D"/>
    <w:rsid w:val="00FF66F1"/>
    <w:rsid w:val="00FF6A3D"/>
    <w:rsid w:val="00FF6ABB"/>
    <w:rsid w:val="00FF6B04"/>
    <w:rsid w:val="00FF7398"/>
    <w:rsid w:val="00FF7782"/>
    <w:rsid w:val="00FF784B"/>
    <w:rsid w:val="00FF7979"/>
    <w:rsid w:val="00FF7AD8"/>
    <w:rsid w:val="00FF7C88"/>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5427F1"/>
  <w15:docId w15:val="{BDE6F55E-1F75-499F-AB6B-3F018B96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2B9"/>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2">
    <w:name w:val="heading 2"/>
    <w:basedOn w:val="Normal"/>
    <w:next w:val="Normal"/>
    <w:link w:val="Ttulo2Car"/>
    <w:uiPriority w:val="9"/>
    <w:semiHidden/>
    <w:unhideWhenUsed/>
    <w:qFormat/>
    <w:rsid w:val="0007447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FA Fu Car Car1"/>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uiPriority w:val="99"/>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uiPriority w:val="99"/>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uiPriority w:val="99"/>
    <w:rsid w:val="00C85395"/>
    <w:pPr>
      <w:tabs>
        <w:tab w:val="center" w:pos="4252"/>
        <w:tab w:val="right" w:pos="8504"/>
      </w:tabs>
    </w:pPr>
    <w:rPr>
      <w:szCs w:val="20"/>
    </w:rPr>
  </w:style>
  <w:style w:type="character" w:customStyle="1" w:styleId="PiedepginaCar">
    <w:name w:val="Pie de página Car"/>
    <w:link w:val="Piedepgina"/>
    <w:uiPriority w:val="99"/>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uiPriority w:val="99"/>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styleId="Puesto">
    <w:name w:val="Puesto"/>
    <w:aliases w:val=" Car"/>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aliases w:val=" Car Car"/>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customStyle="1" w:styleId="Citas">
    <w:name w:val="Citas"/>
    <w:basedOn w:val="Normal"/>
    <w:qFormat/>
    <w:rsid w:val="00D16C96"/>
    <w:pPr>
      <w:overflowPunct w:val="0"/>
      <w:autoSpaceDE w:val="0"/>
      <w:autoSpaceDN w:val="0"/>
      <w:adjustRightInd w:val="0"/>
      <w:spacing w:line="240" w:lineRule="auto"/>
      <w:textAlignment w:val="baseline"/>
    </w:pPr>
    <w:rPr>
      <w:sz w:val="20"/>
      <w:szCs w:val="20"/>
      <w:lang w:val="es-ES_tradnl"/>
    </w:rPr>
  </w:style>
  <w:style w:type="character" w:customStyle="1" w:styleId="Ttulo2Car">
    <w:name w:val="Título 2 Car"/>
    <w:link w:val="Ttulo2"/>
    <w:uiPriority w:val="9"/>
    <w:semiHidden/>
    <w:rsid w:val="00074474"/>
    <w:rPr>
      <w:rFonts w:ascii="Cambria" w:eastAsia="Times New Roman" w:hAnsi="Cambria" w:cs="Times New Roman"/>
      <w:b/>
      <w:bCs/>
      <w:color w:val="4F81BD"/>
      <w:sz w:val="26"/>
      <w:szCs w:val="26"/>
    </w:rPr>
  </w:style>
  <w:style w:type="paragraph" w:customStyle="1" w:styleId="BodyText26">
    <w:name w:val="Body Text 26"/>
    <w:basedOn w:val="Normal"/>
    <w:rsid w:val="00074474"/>
    <w:pPr>
      <w:overflowPunct w:val="0"/>
      <w:autoSpaceDE w:val="0"/>
      <w:autoSpaceDN w:val="0"/>
      <w:adjustRightInd w:val="0"/>
      <w:spacing w:line="240" w:lineRule="auto"/>
      <w:textAlignment w:val="baseline"/>
    </w:pPr>
    <w:rPr>
      <w:sz w:val="20"/>
      <w:szCs w:val="20"/>
    </w:rPr>
  </w:style>
  <w:style w:type="paragraph" w:styleId="Subttulo">
    <w:name w:val="Subtitle"/>
    <w:basedOn w:val="Normal"/>
    <w:link w:val="SubttuloCar"/>
    <w:qFormat/>
    <w:rsid w:val="00AA5EB2"/>
    <w:pPr>
      <w:jc w:val="center"/>
    </w:pPr>
    <w:rPr>
      <w:rFonts w:ascii="Century Gothic" w:hAnsi="Century Gothic" w:cs="Tahoma"/>
      <w:b/>
      <w:sz w:val="22"/>
      <w:lang w:val="es-MX"/>
    </w:rPr>
  </w:style>
  <w:style w:type="character" w:customStyle="1" w:styleId="SubttuloCar">
    <w:name w:val="Subtítulo Car"/>
    <w:link w:val="Subttulo"/>
    <w:rsid w:val="00AA5EB2"/>
    <w:rPr>
      <w:rFonts w:ascii="Century Gothic" w:hAnsi="Century Gothic" w:cs="Tahoma"/>
      <w:b/>
      <w:sz w:val="22"/>
      <w:szCs w:val="24"/>
      <w:lang w:val="es-MX"/>
    </w:rPr>
  </w:style>
  <w:style w:type="paragraph" w:customStyle="1" w:styleId="unico">
    <w:name w:val="unico"/>
    <w:basedOn w:val="Normal"/>
    <w:rsid w:val="00381092"/>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942">
      <w:bodyDiv w:val="1"/>
      <w:marLeft w:val="0"/>
      <w:marRight w:val="0"/>
      <w:marTop w:val="0"/>
      <w:marBottom w:val="0"/>
      <w:divBdr>
        <w:top w:val="none" w:sz="0" w:space="0" w:color="auto"/>
        <w:left w:val="none" w:sz="0" w:space="0" w:color="auto"/>
        <w:bottom w:val="none" w:sz="0" w:space="0" w:color="auto"/>
        <w:right w:val="none" w:sz="0" w:space="0" w:color="auto"/>
      </w:divBdr>
    </w:div>
    <w:div w:id="95908175">
      <w:bodyDiv w:val="1"/>
      <w:marLeft w:val="0"/>
      <w:marRight w:val="0"/>
      <w:marTop w:val="0"/>
      <w:marBottom w:val="0"/>
      <w:divBdr>
        <w:top w:val="none" w:sz="0" w:space="0" w:color="auto"/>
        <w:left w:val="none" w:sz="0" w:space="0" w:color="auto"/>
        <w:bottom w:val="none" w:sz="0" w:space="0" w:color="auto"/>
        <w:right w:val="none" w:sz="0" w:space="0" w:color="auto"/>
      </w:divBdr>
    </w:div>
    <w:div w:id="196241586">
      <w:bodyDiv w:val="1"/>
      <w:marLeft w:val="0"/>
      <w:marRight w:val="0"/>
      <w:marTop w:val="0"/>
      <w:marBottom w:val="0"/>
      <w:divBdr>
        <w:top w:val="none" w:sz="0" w:space="0" w:color="auto"/>
        <w:left w:val="none" w:sz="0" w:space="0" w:color="auto"/>
        <w:bottom w:val="none" w:sz="0" w:space="0" w:color="auto"/>
        <w:right w:val="none" w:sz="0" w:space="0" w:color="auto"/>
      </w:divBdr>
    </w:div>
    <w:div w:id="210190860">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68511974">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61051873">
      <w:bodyDiv w:val="1"/>
      <w:marLeft w:val="0"/>
      <w:marRight w:val="0"/>
      <w:marTop w:val="0"/>
      <w:marBottom w:val="0"/>
      <w:divBdr>
        <w:top w:val="none" w:sz="0" w:space="0" w:color="auto"/>
        <w:left w:val="none" w:sz="0" w:space="0" w:color="auto"/>
        <w:bottom w:val="none" w:sz="0" w:space="0" w:color="auto"/>
        <w:right w:val="none" w:sz="0" w:space="0" w:color="auto"/>
      </w:divBdr>
    </w:div>
    <w:div w:id="388118141">
      <w:bodyDiv w:val="1"/>
      <w:marLeft w:val="0"/>
      <w:marRight w:val="0"/>
      <w:marTop w:val="0"/>
      <w:marBottom w:val="0"/>
      <w:divBdr>
        <w:top w:val="none" w:sz="0" w:space="0" w:color="auto"/>
        <w:left w:val="none" w:sz="0" w:space="0" w:color="auto"/>
        <w:bottom w:val="none" w:sz="0" w:space="0" w:color="auto"/>
        <w:right w:val="none" w:sz="0" w:space="0" w:color="auto"/>
      </w:divBdr>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17678693">
      <w:bodyDiv w:val="1"/>
      <w:marLeft w:val="0"/>
      <w:marRight w:val="0"/>
      <w:marTop w:val="0"/>
      <w:marBottom w:val="0"/>
      <w:divBdr>
        <w:top w:val="none" w:sz="0" w:space="0" w:color="auto"/>
        <w:left w:val="none" w:sz="0" w:space="0" w:color="auto"/>
        <w:bottom w:val="none" w:sz="0" w:space="0" w:color="auto"/>
        <w:right w:val="none" w:sz="0" w:space="0" w:color="auto"/>
      </w:divBdr>
    </w:div>
    <w:div w:id="442652929">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79632459">
      <w:bodyDiv w:val="1"/>
      <w:marLeft w:val="0"/>
      <w:marRight w:val="0"/>
      <w:marTop w:val="0"/>
      <w:marBottom w:val="0"/>
      <w:divBdr>
        <w:top w:val="none" w:sz="0" w:space="0" w:color="auto"/>
        <w:left w:val="none" w:sz="0" w:space="0" w:color="auto"/>
        <w:bottom w:val="none" w:sz="0" w:space="0" w:color="auto"/>
        <w:right w:val="none" w:sz="0" w:space="0" w:color="auto"/>
      </w:divBdr>
    </w:div>
    <w:div w:id="589002137">
      <w:bodyDiv w:val="1"/>
      <w:marLeft w:val="0"/>
      <w:marRight w:val="0"/>
      <w:marTop w:val="0"/>
      <w:marBottom w:val="0"/>
      <w:divBdr>
        <w:top w:val="none" w:sz="0" w:space="0" w:color="auto"/>
        <w:left w:val="none" w:sz="0" w:space="0" w:color="auto"/>
        <w:bottom w:val="none" w:sz="0" w:space="0" w:color="auto"/>
        <w:right w:val="none" w:sz="0" w:space="0" w:color="auto"/>
      </w:divBdr>
    </w:div>
    <w:div w:id="618951521">
      <w:bodyDiv w:val="1"/>
      <w:marLeft w:val="0"/>
      <w:marRight w:val="0"/>
      <w:marTop w:val="0"/>
      <w:marBottom w:val="0"/>
      <w:divBdr>
        <w:top w:val="none" w:sz="0" w:space="0" w:color="auto"/>
        <w:left w:val="none" w:sz="0" w:space="0" w:color="auto"/>
        <w:bottom w:val="none" w:sz="0" w:space="0" w:color="auto"/>
        <w:right w:val="none" w:sz="0" w:space="0" w:color="auto"/>
      </w:divBdr>
    </w:div>
    <w:div w:id="647366261">
      <w:bodyDiv w:val="1"/>
      <w:marLeft w:val="0"/>
      <w:marRight w:val="0"/>
      <w:marTop w:val="0"/>
      <w:marBottom w:val="0"/>
      <w:divBdr>
        <w:top w:val="none" w:sz="0" w:space="0" w:color="auto"/>
        <w:left w:val="none" w:sz="0" w:space="0" w:color="auto"/>
        <w:bottom w:val="none" w:sz="0" w:space="0" w:color="auto"/>
        <w:right w:val="none" w:sz="0" w:space="0" w:color="auto"/>
      </w:divBdr>
    </w:div>
    <w:div w:id="648558662">
      <w:bodyDiv w:val="1"/>
      <w:marLeft w:val="0"/>
      <w:marRight w:val="0"/>
      <w:marTop w:val="0"/>
      <w:marBottom w:val="0"/>
      <w:divBdr>
        <w:top w:val="none" w:sz="0" w:space="0" w:color="auto"/>
        <w:left w:val="none" w:sz="0" w:space="0" w:color="auto"/>
        <w:bottom w:val="none" w:sz="0" w:space="0" w:color="auto"/>
        <w:right w:val="none" w:sz="0" w:space="0" w:color="auto"/>
      </w:divBdr>
    </w:div>
    <w:div w:id="699743408">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16743361">
      <w:bodyDiv w:val="1"/>
      <w:marLeft w:val="0"/>
      <w:marRight w:val="0"/>
      <w:marTop w:val="0"/>
      <w:marBottom w:val="0"/>
      <w:divBdr>
        <w:top w:val="none" w:sz="0" w:space="0" w:color="auto"/>
        <w:left w:val="none" w:sz="0" w:space="0" w:color="auto"/>
        <w:bottom w:val="none" w:sz="0" w:space="0" w:color="auto"/>
        <w:right w:val="none" w:sz="0" w:space="0" w:color="auto"/>
      </w:divBdr>
    </w:div>
    <w:div w:id="924654789">
      <w:bodyDiv w:val="1"/>
      <w:marLeft w:val="0"/>
      <w:marRight w:val="0"/>
      <w:marTop w:val="0"/>
      <w:marBottom w:val="0"/>
      <w:divBdr>
        <w:top w:val="none" w:sz="0" w:space="0" w:color="auto"/>
        <w:left w:val="none" w:sz="0" w:space="0" w:color="auto"/>
        <w:bottom w:val="none" w:sz="0" w:space="0" w:color="auto"/>
        <w:right w:val="none" w:sz="0" w:space="0" w:color="auto"/>
      </w:divBdr>
    </w:div>
    <w:div w:id="927928834">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2389125">
      <w:bodyDiv w:val="1"/>
      <w:marLeft w:val="0"/>
      <w:marRight w:val="0"/>
      <w:marTop w:val="0"/>
      <w:marBottom w:val="0"/>
      <w:divBdr>
        <w:top w:val="none" w:sz="0" w:space="0" w:color="auto"/>
        <w:left w:val="none" w:sz="0" w:space="0" w:color="auto"/>
        <w:bottom w:val="none" w:sz="0" w:space="0" w:color="auto"/>
        <w:right w:val="none" w:sz="0" w:space="0" w:color="auto"/>
      </w:divBdr>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178349144">
      <w:bodyDiv w:val="1"/>
      <w:marLeft w:val="0"/>
      <w:marRight w:val="0"/>
      <w:marTop w:val="0"/>
      <w:marBottom w:val="0"/>
      <w:divBdr>
        <w:top w:val="none" w:sz="0" w:space="0" w:color="auto"/>
        <w:left w:val="none" w:sz="0" w:space="0" w:color="auto"/>
        <w:bottom w:val="none" w:sz="0" w:space="0" w:color="auto"/>
        <w:right w:val="none" w:sz="0" w:space="0" w:color="auto"/>
      </w:divBdr>
    </w:div>
    <w:div w:id="1222136583">
      <w:bodyDiv w:val="1"/>
      <w:marLeft w:val="0"/>
      <w:marRight w:val="0"/>
      <w:marTop w:val="0"/>
      <w:marBottom w:val="0"/>
      <w:divBdr>
        <w:top w:val="none" w:sz="0" w:space="0" w:color="auto"/>
        <w:left w:val="none" w:sz="0" w:space="0" w:color="auto"/>
        <w:bottom w:val="none" w:sz="0" w:space="0" w:color="auto"/>
        <w:right w:val="none" w:sz="0" w:space="0" w:color="auto"/>
      </w:divBdr>
    </w:div>
    <w:div w:id="1299993352">
      <w:bodyDiv w:val="1"/>
      <w:marLeft w:val="0"/>
      <w:marRight w:val="0"/>
      <w:marTop w:val="0"/>
      <w:marBottom w:val="0"/>
      <w:divBdr>
        <w:top w:val="none" w:sz="0" w:space="0" w:color="auto"/>
        <w:left w:val="none" w:sz="0" w:space="0" w:color="auto"/>
        <w:bottom w:val="none" w:sz="0" w:space="0" w:color="auto"/>
        <w:right w:val="none" w:sz="0" w:space="0" w:color="auto"/>
      </w:divBdr>
    </w:div>
    <w:div w:id="1305506665">
      <w:bodyDiv w:val="1"/>
      <w:marLeft w:val="0"/>
      <w:marRight w:val="0"/>
      <w:marTop w:val="0"/>
      <w:marBottom w:val="0"/>
      <w:divBdr>
        <w:top w:val="none" w:sz="0" w:space="0" w:color="auto"/>
        <w:left w:val="none" w:sz="0" w:space="0" w:color="auto"/>
        <w:bottom w:val="none" w:sz="0" w:space="0" w:color="auto"/>
        <w:right w:val="none" w:sz="0" w:space="0" w:color="auto"/>
      </w:divBdr>
    </w:div>
    <w:div w:id="1307472660">
      <w:bodyDiv w:val="1"/>
      <w:marLeft w:val="0"/>
      <w:marRight w:val="0"/>
      <w:marTop w:val="0"/>
      <w:marBottom w:val="0"/>
      <w:divBdr>
        <w:top w:val="none" w:sz="0" w:space="0" w:color="auto"/>
        <w:left w:val="none" w:sz="0" w:space="0" w:color="auto"/>
        <w:bottom w:val="none" w:sz="0" w:space="0" w:color="auto"/>
        <w:right w:val="none" w:sz="0" w:space="0" w:color="auto"/>
      </w:divBdr>
    </w:div>
    <w:div w:id="1340810329">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508517527">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72345313">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49171416">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76048642">
      <w:bodyDiv w:val="1"/>
      <w:marLeft w:val="0"/>
      <w:marRight w:val="0"/>
      <w:marTop w:val="0"/>
      <w:marBottom w:val="0"/>
      <w:divBdr>
        <w:top w:val="none" w:sz="0" w:space="0" w:color="auto"/>
        <w:left w:val="none" w:sz="0" w:space="0" w:color="auto"/>
        <w:bottom w:val="none" w:sz="0" w:space="0" w:color="auto"/>
        <w:right w:val="none" w:sz="0" w:space="0" w:color="auto"/>
      </w:divBdr>
    </w:div>
    <w:div w:id="1782265838">
      <w:bodyDiv w:val="1"/>
      <w:marLeft w:val="0"/>
      <w:marRight w:val="0"/>
      <w:marTop w:val="0"/>
      <w:marBottom w:val="0"/>
      <w:divBdr>
        <w:top w:val="none" w:sz="0" w:space="0" w:color="auto"/>
        <w:left w:val="none" w:sz="0" w:space="0" w:color="auto"/>
        <w:bottom w:val="none" w:sz="0" w:space="0" w:color="auto"/>
        <w:right w:val="none" w:sz="0" w:space="0" w:color="auto"/>
      </w:divBdr>
    </w:div>
    <w:div w:id="1805271109">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54048842">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654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03D0E-F9BC-4A7D-806B-E7BC8F18B8E6}">
  <ds:schemaRefs>
    <ds:schemaRef ds:uri="http://schemas.microsoft.com/sharepoint/v3/contenttype/forms"/>
  </ds:schemaRefs>
</ds:datastoreItem>
</file>

<file path=customXml/itemProps2.xml><?xml version="1.0" encoding="utf-8"?>
<ds:datastoreItem xmlns:ds="http://schemas.openxmlformats.org/officeDocument/2006/customXml" ds:itemID="{2C433B49-2A6E-49C3-9ABC-1E413BAD4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4A2F7-4568-4C74-9F14-80F5BEACD86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A25A5E2-86A1-455E-808A-7CDECFB5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10758</Words>
  <Characters>61321</Characters>
  <Application>Microsoft Office Word</Application>
  <DocSecurity>0</DocSecurity>
  <Lines>511</Lines>
  <Paragraphs>143</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71936</CharactersWithSpaces>
  <SharedDoc>false</SharedDoc>
  <HLinks>
    <vt:vector size="6" baseType="variant">
      <vt:variant>
        <vt:i4>6291517</vt:i4>
      </vt:variant>
      <vt:variant>
        <vt:i4>0</vt:i4>
      </vt:variant>
      <vt:variant>
        <vt:i4>0</vt:i4>
      </vt:variant>
      <vt:variant>
        <vt:i4>5</vt:i4>
      </vt:variant>
      <vt:variant>
        <vt:lpwstr>http://www.alcaldiabogota.gov.co/sisjur/normas/Norma1.jsp?i=6543</vt:lpwstr>
      </vt:variant>
      <vt:variant>
        <vt:lpwstr>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Silvia Juliana Saavedra Arguello</cp:lastModifiedBy>
  <cp:revision>2</cp:revision>
  <cp:lastPrinted>2018-06-25T20:33:00Z</cp:lastPrinted>
  <dcterms:created xsi:type="dcterms:W3CDTF">2020-07-01T21:22:00Z</dcterms:created>
  <dcterms:modified xsi:type="dcterms:W3CDTF">2020-07-01T21:22:00Z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