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F86C3" w14:textId="0C64FEFF" w:rsidR="008F19AB" w:rsidRPr="006172DB" w:rsidRDefault="008F19AB" w:rsidP="000C49B4">
      <w:pPr>
        <w:widowControl w:val="0"/>
        <w:autoSpaceDE w:val="0"/>
        <w:autoSpaceDN w:val="0"/>
        <w:adjustRightInd w:val="0"/>
        <w:spacing w:line="240" w:lineRule="auto"/>
        <w:rPr>
          <w:rFonts w:cs="Arial"/>
          <w:b/>
          <w:sz w:val="22"/>
          <w:szCs w:val="22"/>
        </w:rPr>
      </w:pPr>
      <w:r w:rsidRPr="006172DB">
        <w:rPr>
          <w:rFonts w:cs="Arial"/>
          <w:b/>
          <w:sz w:val="22"/>
          <w:szCs w:val="22"/>
        </w:rPr>
        <w:t>CONTROVERSIAS CONTRACTUALES – Competencia y jurisdicción del Consejo de Estado para conocer del asunto</w:t>
      </w:r>
    </w:p>
    <w:p w14:paraId="6B71B703" w14:textId="77777777" w:rsidR="008F19AB" w:rsidRPr="006172DB" w:rsidRDefault="008F19AB" w:rsidP="000C49B4">
      <w:pPr>
        <w:widowControl w:val="0"/>
        <w:autoSpaceDE w:val="0"/>
        <w:autoSpaceDN w:val="0"/>
        <w:adjustRightInd w:val="0"/>
        <w:spacing w:line="240" w:lineRule="auto"/>
        <w:rPr>
          <w:rFonts w:cs="Arial"/>
          <w:sz w:val="22"/>
          <w:szCs w:val="22"/>
        </w:rPr>
      </w:pPr>
    </w:p>
    <w:p w14:paraId="0486D592" w14:textId="77777777" w:rsidR="008F19AB" w:rsidRPr="006172DB" w:rsidRDefault="008F19AB" w:rsidP="000C49B4">
      <w:pPr>
        <w:widowControl w:val="0"/>
        <w:autoSpaceDE w:val="0"/>
        <w:autoSpaceDN w:val="0"/>
        <w:adjustRightInd w:val="0"/>
        <w:spacing w:line="240" w:lineRule="auto"/>
        <w:rPr>
          <w:rFonts w:cs="Arial"/>
          <w:sz w:val="22"/>
          <w:szCs w:val="22"/>
        </w:rPr>
      </w:pPr>
      <w:r w:rsidRPr="006172DB">
        <w:rPr>
          <w:rFonts w:cs="Arial"/>
          <w:sz w:val="22"/>
          <w:szCs w:val="22"/>
        </w:rPr>
        <w:t>Con fundamento en el criterio orgánico que se adoptó en la Ley 80 de 1993, en concordancia con el artículo 82 del Código Contencioso Administrativo, siendo en este caso una de las partes del contrato sub júdice una entidad territorial de carácter estatal, se confirma la competencia de la Jurisdicción de lo Contencioso Administrativo para conocer del presente proceso.</w:t>
      </w:r>
    </w:p>
    <w:p w14:paraId="43BBEFAC" w14:textId="77777777" w:rsidR="008F19AB" w:rsidRPr="006172DB" w:rsidRDefault="008F19AB" w:rsidP="000C49B4">
      <w:pPr>
        <w:widowControl w:val="0"/>
        <w:autoSpaceDE w:val="0"/>
        <w:autoSpaceDN w:val="0"/>
        <w:adjustRightInd w:val="0"/>
        <w:spacing w:line="240" w:lineRule="auto"/>
        <w:rPr>
          <w:rFonts w:cs="Arial"/>
          <w:sz w:val="22"/>
          <w:szCs w:val="22"/>
        </w:rPr>
      </w:pPr>
    </w:p>
    <w:p w14:paraId="0B33B75E" w14:textId="19972A58" w:rsidR="008F19AB" w:rsidRPr="006172DB" w:rsidRDefault="000601D7" w:rsidP="000C49B4">
      <w:pPr>
        <w:widowControl w:val="0"/>
        <w:autoSpaceDE w:val="0"/>
        <w:autoSpaceDN w:val="0"/>
        <w:adjustRightInd w:val="0"/>
        <w:spacing w:line="240" w:lineRule="auto"/>
        <w:rPr>
          <w:rFonts w:cs="Arial"/>
          <w:b/>
          <w:sz w:val="22"/>
          <w:szCs w:val="22"/>
        </w:rPr>
      </w:pPr>
      <w:r w:rsidRPr="006172DB">
        <w:rPr>
          <w:rFonts w:cs="Arial"/>
          <w:b/>
          <w:sz w:val="22"/>
          <w:szCs w:val="22"/>
        </w:rPr>
        <w:t>LIQUIDACIÓN</w:t>
      </w:r>
      <w:r w:rsidR="008F19AB" w:rsidRPr="006172DB">
        <w:rPr>
          <w:rFonts w:cs="Arial"/>
          <w:b/>
          <w:sz w:val="22"/>
          <w:szCs w:val="22"/>
        </w:rPr>
        <w:t xml:space="preserve"> DEL CONTRATO</w:t>
      </w:r>
      <w:r w:rsidRPr="006172DB">
        <w:rPr>
          <w:rFonts w:cs="Arial"/>
          <w:b/>
          <w:sz w:val="22"/>
          <w:szCs w:val="22"/>
        </w:rPr>
        <w:t xml:space="preserve"> ESTATAL</w:t>
      </w:r>
      <w:r w:rsidR="008F19AB" w:rsidRPr="006172DB">
        <w:rPr>
          <w:rFonts w:cs="Arial"/>
          <w:b/>
          <w:sz w:val="22"/>
          <w:szCs w:val="22"/>
        </w:rPr>
        <w:t xml:space="preserve"> – Acta de liquidación unilateral – Reiteración de la jurisprudencia – Obligatoriedad de incluir en las pretensiones la nulidad del acto de liquidación unilateral del contrato</w:t>
      </w:r>
    </w:p>
    <w:p w14:paraId="5A0E3CD5" w14:textId="77777777" w:rsidR="008F19AB" w:rsidRPr="006172DB" w:rsidRDefault="008F19AB" w:rsidP="000C49B4">
      <w:pPr>
        <w:widowControl w:val="0"/>
        <w:autoSpaceDE w:val="0"/>
        <w:autoSpaceDN w:val="0"/>
        <w:adjustRightInd w:val="0"/>
        <w:spacing w:line="240" w:lineRule="auto"/>
        <w:rPr>
          <w:rFonts w:cs="Arial"/>
          <w:sz w:val="22"/>
          <w:szCs w:val="22"/>
        </w:rPr>
      </w:pPr>
    </w:p>
    <w:p w14:paraId="6F408D3F" w14:textId="13A76FB4" w:rsidR="008F19AB" w:rsidRPr="006172DB" w:rsidRDefault="008F19AB" w:rsidP="000C49B4">
      <w:pPr>
        <w:widowControl w:val="0"/>
        <w:autoSpaceDE w:val="0"/>
        <w:autoSpaceDN w:val="0"/>
        <w:adjustRightInd w:val="0"/>
        <w:spacing w:line="240" w:lineRule="auto"/>
        <w:rPr>
          <w:rFonts w:cs="Arial"/>
          <w:sz w:val="22"/>
          <w:szCs w:val="22"/>
        </w:rPr>
      </w:pPr>
      <w:r w:rsidRPr="006172DB">
        <w:rPr>
          <w:rFonts w:cs="Arial"/>
          <w:sz w:val="22"/>
          <w:szCs w:val="22"/>
        </w:rPr>
        <w:t>La jurisprudencia reiterada del Consejo de Estado ha declarado la ineptitud de la demanda en aquellos procesos en los cuales el contratista solicita que se condene a la entidad estatal por el incumplimiento del contrato o por la ruptura de la ecuación contractual, sin incluir en las pretensiones de su demanda aquella orientada a que se declare la nulidad del acto de liquidación unilateral del contrato, cuando el acto ha sido conocido por dicho contratista con anterioridad a la demanda o a la oportunidad procesal para reformarla. La razón de fondo de estas decisiones estriba en la presunción de legalidad del acto administrativo de liquidación unilateral del contrato, además de que se advierte que en su contenido material dicho acto condensa los aspectos concernientes al cruce final de cuentas relacionados con el cumplimiento o incumplimiento de las prestaciones contractuales y define las reclamaciones, que, en caso como estos, constituyen el centro del litigio propuesto por la parte demandante.</w:t>
      </w:r>
    </w:p>
    <w:p w14:paraId="1A7789DF" w14:textId="77777777" w:rsidR="008F19AB" w:rsidRPr="006172DB" w:rsidRDefault="008F19AB" w:rsidP="000C49B4">
      <w:pPr>
        <w:widowControl w:val="0"/>
        <w:autoSpaceDE w:val="0"/>
        <w:autoSpaceDN w:val="0"/>
        <w:adjustRightInd w:val="0"/>
        <w:spacing w:line="240" w:lineRule="auto"/>
        <w:rPr>
          <w:rFonts w:cs="Arial"/>
          <w:sz w:val="22"/>
          <w:szCs w:val="22"/>
        </w:rPr>
      </w:pPr>
    </w:p>
    <w:p w14:paraId="76F0FDB6" w14:textId="4ED96FEB" w:rsidR="008F19AB" w:rsidRPr="006172DB" w:rsidRDefault="000601D7" w:rsidP="000C49B4">
      <w:pPr>
        <w:widowControl w:val="0"/>
        <w:autoSpaceDE w:val="0"/>
        <w:autoSpaceDN w:val="0"/>
        <w:adjustRightInd w:val="0"/>
        <w:spacing w:line="240" w:lineRule="auto"/>
        <w:rPr>
          <w:rFonts w:cs="Arial"/>
          <w:b/>
          <w:sz w:val="22"/>
          <w:szCs w:val="22"/>
        </w:rPr>
      </w:pPr>
      <w:r w:rsidRPr="006172DB">
        <w:rPr>
          <w:rFonts w:cs="Arial"/>
          <w:b/>
          <w:sz w:val="22"/>
          <w:szCs w:val="22"/>
        </w:rPr>
        <w:t>PRESUNCIÓN</w:t>
      </w:r>
      <w:r w:rsidR="008F19AB" w:rsidRPr="006172DB">
        <w:rPr>
          <w:rFonts w:cs="Arial"/>
          <w:b/>
          <w:sz w:val="22"/>
          <w:szCs w:val="22"/>
        </w:rPr>
        <w:t xml:space="preserve"> DE LEGALIDAD – Nulidad de</w:t>
      </w:r>
      <w:r w:rsidR="009017EA" w:rsidRPr="006172DB">
        <w:rPr>
          <w:rFonts w:cs="Arial"/>
          <w:b/>
          <w:sz w:val="22"/>
          <w:szCs w:val="22"/>
        </w:rPr>
        <w:t xml:space="preserve"> </w:t>
      </w:r>
      <w:r w:rsidR="008F19AB" w:rsidRPr="006172DB">
        <w:rPr>
          <w:rFonts w:cs="Arial"/>
          <w:b/>
          <w:sz w:val="22"/>
          <w:szCs w:val="22"/>
        </w:rPr>
        <w:t>l</w:t>
      </w:r>
      <w:r w:rsidR="009017EA" w:rsidRPr="006172DB">
        <w:rPr>
          <w:rFonts w:cs="Arial"/>
          <w:b/>
          <w:sz w:val="22"/>
          <w:szCs w:val="22"/>
        </w:rPr>
        <w:t>a</w:t>
      </w:r>
      <w:r w:rsidR="008F19AB" w:rsidRPr="006172DB">
        <w:rPr>
          <w:rFonts w:cs="Arial"/>
          <w:b/>
          <w:sz w:val="22"/>
          <w:szCs w:val="22"/>
        </w:rPr>
        <w:t xml:space="preserve"> liquidación unilateral del contrato – Requisito de la demanda en forma</w:t>
      </w:r>
    </w:p>
    <w:p w14:paraId="164216D2" w14:textId="77777777" w:rsidR="008F19AB" w:rsidRPr="006172DB" w:rsidRDefault="008F19AB" w:rsidP="000C49B4">
      <w:pPr>
        <w:widowControl w:val="0"/>
        <w:autoSpaceDE w:val="0"/>
        <w:autoSpaceDN w:val="0"/>
        <w:adjustRightInd w:val="0"/>
        <w:spacing w:line="240" w:lineRule="auto"/>
        <w:rPr>
          <w:rFonts w:cs="Arial"/>
          <w:sz w:val="22"/>
          <w:szCs w:val="22"/>
        </w:rPr>
      </w:pPr>
    </w:p>
    <w:p w14:paraId="1C8BC5E7" w14:textId="48BA08A2" w:rsidR="000601D7" w:rsidRDefault="008F19AB" w:rsidP="006172DB">
      <w:pPr>
        <w:widowControl w:val="0"/>
        <w:autoSpaceDE w:val="0"/>
        <w:autoSpaceDN w:val="0"/>
        <w:adjustRightInd w:val="0"/>
        <w:spacing w:line="240" w:lineRule="auto"/>
        <w:rPr>
          <w:rFonts w:cs="Arial"/>
          <w:sz w:val="22"/>
          <w:szCs w:val="22"/>
        </w:rPr>
      </w:pPr>
      <w:r w:rsidRPr="006172DB">
        <w:rPr>
          <w:rFonts w:cs="Arial"/>
          <w:sz w:val="22"/>
          <w:szCs w:val="22"/>
        </w:rPr>
        <w:t>No puede perderse de vista que el acto de liquidación unilateral es un estado financiero de propósito específico y en esa medida contiene el balance que define las cifras de ejecución final del contrato, a lo cual se agrega la fuerza de la presunción de legalidad del acto administrativo, de manera tal que dicho acto define: quién debe a quién, cuánto se debe y los conceptos que originan y componen la obligación resultante. (…) Se afirma lo anterior, toda vez que su contenido resulta amparado por la presunción de legalidad y, por ello, la decisión que consta en el acto administrativo de liquidación unilateral no puede modificarse a través de un proceso judicial en el que dicho acto no ha sido expuesto a su juzgamiento, como sucede en el supuesto de la demanda que pretende el reconocimiento de un mayor valor por concepto de la misma ejecución del contrato que se encuentra definida en el acto de liquidación unilateral del mismo. En este orden de ideas, en procesos como el que ahora ocupa la atención de la Sala, el requisito de la demanda en forma, exigido a través de la debida integración de la pretensión de nulidad del acto administrativo de liquidación unilateral, no es un arbitrio caprichoso de la jurisprudencia, ni puede imputarse como una denegación de justicia; por el contrario, se evidencia como un mecanismo de protección a la congruencia e integridad de la sentencia, que debe ser adoptada con fundamento en la ejecución completa del contrato y en el acto de liquidación correspondiente. (…) Como consecuencia, se confirmará la sentencia de primera instancia.</w:t>
      </w:r>
    </w:p>
    <w:p w14:paraId="23EA0206" w14:textId="77777777" w:rsidR="006172DB" w:rsidRDefault="006172DB" w:rsidP="006172DB">
      <w:pPr>
        <w:widowControl w:val="0"/>
        <w:autoSpaceDE w:val="0"/>
        <w:autoSpaceDN w:val="0"/>
        <w:adjustRightInd w:val="0"/>
        <w:spacing w:line="240" w:lineRule="auto"/>
        <w:rPr>
          <w:rFonts w:cs="Arial"/>
          <w:b/>
        </w:rPr>
      </w:pPr>
      <w:bookmarkStart w:id="0" w:name="_GoBack"/>
      <w:bookmarkEnd w:id="0"/>
    </w:p>
    <w:p w14:paraId="5F9CAC34" w14:textId="77777777" w:rsidR="008F19AB" w:rsidRPr="00343FF4" w:rsidRDefault="008F19AB" w:rsidP="008F19AB">
      <w:pPr>
        <w:tabs>
          <w:tab w:val="left" w:pos="810"/>
          <w:tab w:val="left" w:pos="2085"/>
          <w:tab w:val="center" w:pos="4420"/>
          <w:tab w:val="left" w:pos="6570"/>
        </w:tabs>
        <w:spacing w:line="240" w:lineRule="auto"/>
        <w:rPr>
          <w:rFonts w:cs="Arial"/>
          <w:b/>
        </w:rPr>
      </w:pPr>
    </w:p>
    <w:p w14:paraId="3933E072" w14:textId="77777777" w:rsidR="008F19AB" w:rsidRPr="004648C4" w:rsidRDefault="008F19AB" w:rsidP="008F19AB">
      <w:pPr>
        <w:tabs>
          <w:tab w:val="left" w:pos="810"/>
          <w:tab w:val="left" w:pos="2085"/>
          <w:tab w:val="center" w:pos="4420"/>
          <w:tab w:val="left" w:pos="6570"/>
        </w:tabs>
        <w:spacing w:line="240" w:lineRule="auto"/>
        <w:jc w:val="center"/>
        <w:rPr>
          <w:rFonts w:cs="Arial"/>
          <w:b/>
        </w:rPr>
      </w:pPr>
      <w:r w:rsidRPr="004648C4">
        <w:rPr>
          <w:rFonts w:cs="Arial"/>
          <w:b/>
        </w:rPr>
        <w:t>CONSEJO DE ESTADO</w:t>
      </w:r>
    </w:p>
    <w:p w14:paraId="163651BB" w14:textId="77777777" w:rsidR="008F19AB" w:rsidRPr="004648C4" w:rsidRDefault="008F19AB" w:rsidP="008F19AB">
      <w:pPr>
        <w:spacing w:line="240" w:lineRule="auto"/>
        <w:jc w:val="center"/>
        <w:rPr>
          <w:rFonts w:cs="Arial"/>
          <w:b/>
        </w:rPr>
      </w:pPr>
    </w:p>
    <w:p w14:paraId="3CEA1E05" w14:textId="77777777" w:rsidR="008F19AB" w:rsidRPr="004648C4" w:rsidRDefault="008F19AB" w:rsidP="008F19AB">
      <w:pPr>
        <w:spacing w:line="240" w:lineRule="auto"/>
        <w:jc w:val="center"/>
        <w:rPr>
          <w:rFonts w:cs="Arial"/>
          <w:b/>
        </w:rPr>
      </w:pPr>
      <w:r w:rsidRPr="004648C4">
        <w:rPr>
          <w:rFonts w:cs="Arial"/>
          <w:b/>
        </w:rPr>
        <w:t>SALA DE LO CONTENCIOSO ADMINISTRATIVO</w:t>
      </w:r>
    </w:p>
    <w:p w14:paraId="7C8E6A4C" w14:textId="77777777" w:rsidR="008F19AB" w:rsidRPr="004648C4" w:rsidRDefault="008F19AB" w:rsidP="008F19AB">
      <w:pPr>
        <w:spacing w:line="240" w:lineRule="auto"/>
        <w:jc w:val="center"/>
        <w:rPr>
          <w:rFonts w:cs="Arial"/>
          <w:b/>
        </w:rPr>
      </w:pPr>
    </w:p>
    <w:p w14:paraId="7E90E68F" w14:textId="77777777" w:rsidR="008F19AB" w:rsidRPr="004648C4" w:rsidRDefault="008F19AB" w:rsidP="008F19AB">
      <w:pPr>
        <w:spacing w:line="240" w:lineRule="auto"/>
        <w:jc w:val="center"/>
        <w:rPr>
          <w:rFonts w:cs="Arial"/>
          <w:b/>
        </w:rPr>
      </w:pPr>
      <w:r w:rsidRPr="004648C4">
        <w:rPr>
          <w:rFonts w:cs="Arial"/>
          <w:b/>
        </w:rPr>
        <w:t>SECCIÓN TERCERA</w:t>
      </w:r>
    </w:p>
    <w:p w14:paraId="17E9ED05" w14:textId="77777777" w:rsidR="008F19AB" w:rsidRPr="004648C4" w:rsidRDefault="008F19AB" w:rsidP="008F19AB">
      <w:pPr>
        <w:spacing w:line="240" w:lineRule="auto"/>
        <w:jc w:val="center"/>
        <w:rPr>
          <w:rFonts w:cs="Arial"/>
          <w:b/>
        </w:rPr>
      </w:pPr>
    </w:p>
    <w:p w14:paraId="0436900B" w14:textId="77777777" w:rsidR="008F19AB" w:rsidRPr="004648C4" w:rsidRDefault="008F19AB" w:rsidP="008F19AB">
      <w:pPr>
        <w:tabs>
          <w:tab w:val="center" w:pos="4420"/>
          <w:tab w:val="left" w:pos="6060"/>
        </w:tabs>
        <w:spacing w:line="240" w:lineRule="auto"/>
        <w:jc w:val="center"/>
        <w:rPr>
          <w:rFonts w:cs="Arial"/>
          <w:b/>
        </w:rPr>
      </w:pPr>
      <w:r w:rsidRPr="004648C4">
        <w:rPr>
          <w:rFonts w:cs="Arial"/>
          <w:b/>
        </w:rPr>
        <w:t>SUBSECCIÓN A</w:t>
      </w:r>
    </w:p>
    <w:p w14:paraId="3C40A474" w14:textId="77777777" w:rsidR="008F19AB" w:rsidRPr="004648C4" w:rsidRDefault="008F19AB" w:rsidP="008F19AB">
      <w:pPr>
        <w:spacing w:line="240" w:lineRule="auto"/>
        <w:jc w:val="center"/>
        <w:rPr>
          <w:rFonts w:cs="Arial"/>
          <w:b/>
        </w:rPr>
      </w:pPr>
    </w:p>
    <w:p w14:paraId="16F1C14C" w14:textId="77777777" w:rsidR="008F19AB" w:rsidRPr="004648C4" w:rsidRDefault="008F19AB" w:rsidP="008F19AB">
      <w:pPr>
        <w:spacing w:line="240" w:lineRule="auto"/>
        <w:jc w:val="center"/>
        <w:rPr>
          <w:rFonts w:cs="Arial"/>
          <w:b/>
        </w:rPr>
      </w:pPr>
      <w:r w:rsidRPr="004648C4">
        <w:rPr>
          <w:rFonts w:cs="Arial"/>
          <w:b/>
        </w:rPr>
        <w:t>Consejera ponente: MARTA NUBIA VELÁSQUEZ RICO</w:t>
      </w:r>
    </w:p>
    <w:p w14:paraId="53913B34" w14:textId="77777777" w:rsidR="008F19AB" w:rsidRPr="004648C4" w:rsidRDefault="008F19AB" w:rsidP="008F19AB">
      <w:pPr>
        <w:pStyle w:val="Saludo"/>
        <w:spacing w:line="240" w:lineRule="auto"/>
        <w:rPr>
          <w:rFonts w:cs="Arial"/>
        </w:rPr>
      </w:pPr>
    </w:p>
    <w:p w14:paraId="05991562" w14:textId="77777777" w:rsidR="008F19AB" w:rsidRPr="004648C4" w:rsidRDefault="008F19AB" w:rsidP="008F19AB">
      <w:pPr>
        <w:pStyle w:val="Saludo"/>
        <w:spacing w:line="240" w:lineRule="auto"/>
        <w:rPr>
          <w:rFonts w:cs="Arial"/>
        </w:rPr>
      </w:pPr>
      <w:r w:rsidRPr="004648C4">
        <w:rPr>
          <w:rFonts w:cs="Arial"/>
        </w:rPr>
        <w:lastRenderedPageBreak/>
        <w:t>Bogotá, D.C., veintiuno (21) de junio de dos mil dieciocho (2018)</w:t>
      </w:r>
    </w:p>
    <w:p w14:paraId="5CD5FBC2" w14:textId="77777777" w:rsidR="008F19AB" w:rsidRPr="004648C4" w:rsidRDefault="008F19AB" w:rsidP="008F19AB">
      <w:pPr>
        <w:spacing w:line="240" w:lineRule="auto"/>
        <w:rPr>
          <w:rFonts w:cs="Arial"/>
          <w:b/>
        </w:rPr>
      </w:pPr>
    </w:p>
    <w:p w14:paraId="1828334C" w14:textId="77777777" w:rsidR="008F19AB" w:rsidRPr="004648C4" w:rsidRDefault="008F19AB" w:rsidP="008F19AB">
      <w:pPr>
        <w:widowControl w:val="0"/>
        <w:autoSpaceDE w:val="0"/>
        <w:autoSpaceDN w:val="0"/>
        <w:adjustRightInd w:val="0"/>
        <w:spacing w:line="240" w:lineRule="auto"/>
        <w:rPr>
          <w:rFonts w:cs="Arial"/>
          <w:b/>
        </w:rPr>
      </w:pPr>
      <w:r w:rsidRPr="004648C4">
        <w:rPr>
          <w:rFonts w:cs="Arial"/>
          <w:b/>
        </w:rPr>
        <w:t>Radicación número: 05001-23-31-000-2012-00808-01(56488)</w:t>
      </w:r>
    </w:p>
    <w:p w14:paraId="59449AB6" w14:textId="77777777" w:rsidR="008F19AB" w:rsidRPr="004648C4" w:rsidRDefault="008F19AB" w:rsidP="008F19AB">
      <w:pPr>
        <w:widowControl w:val="0"/>
        <w:autoSpaceDE w:val="0"/>
        <w:autoSpaceDN w:val="0"/>
        <w:adjustRightInd w:val="0"/>
        <w:spacing w:line="240" w:lineRule="auto"/>
        <w:rPr>
          <w:rFonts w:cs="Arial"/>
          <w:b/>
        </w:rPr>
      </w:pPr>
    </w:p>
    <w:p w14:paraId="37F0297C" w14:textId="77777777" w:rsidR="008F19AB" w:rsidRPr="004648C4" w:rsidRDefault="008F19AB" w:rsidP="008F19AB">
      <w:pPr>
        <w:widowControl w:val="0"/>
        <w:autoSpaceDE w:val="0"/>
        <w:autoSpaceDN w:val="0"/>
        <w:adjustRightInd w:val="0"/>
        <w:spacing w:line="240" w:lineRule="auto"/>
        <w:rPr>
          <w:rFonts w:cs="Arial"/>
          <w:b/>
        </w:rPr>
      </w:pPr>
      <w:r w:rsidRPr="004648C4">
        <w:rPr>
          <w:rFonts w:cs="Arial"/>
          <w:b/>
        </w:rPr>
        <w:t>Actor: UNIÓN TEMPORAL INTERVENTORÍAS SOCIOECONÓMICAS MEJÍA MESA Y OTROS</w:t>
      </w:r>
    </w:p>
    <w:p w14:paraId="13744D12" w14:textId="77777777" w:rsidR="008F19AB" w:rsidRPr="004648C4" w:rsidRDefault="008F19AB" w:rsidP="008F19AB">
      <w:pPr>
        <w:widowControl w:val="0"/>
        <w:autoSpaceDE w:val="0"/>
        <w:autoSpaceDN w:val="0"/>
        <w:adjustRightInd w:val="0"/>
        <w:spacing w:line="240" w:lineRule="auto"/>
        <w:rPr>
          <w:rFonts w:cs="Arial"/>
          <w:b/>
        </w:rPr>
      </w:pPr>
    </w:p>
    <w:p w14:paraId="6FBD68E7" w14:textId="77777777" w:rsidR="008F19AB" w:rsidRPr="004648C4" w:rsidRDefault="008F19AB" w:rsidP="008F19AB">
      <w:pPr>
        <w:widowControl w:val="0"/>
        <w:autoSpaceDE w:val="0"/>
        <w:autoSpaceDN w:val="0"/>
        <w:adjustRightInd w:val="0"/>
        <w:spacing w:line="240" w:lineRule="auto"/>
        <w:rPr>
          <w:rFonts w:cs="Arial"/>
          <w:b/>
        </w:rPr>
      </w:pPr>
      <w:r w:rsidRPr="004648C4">
        <w:rPr>
          <w:rFonts w:cs="Arial"/>
          <w:b/>
        </w:rPr>
        <w:t>Demandado: MUNICIPIO DE MEDELLÍN</w:t>
      </w:r>
    </w:p>
    <w:p w14:paraId="506E5D0E" w14:textId="77777777" w:rsidR="008F19AB" w:rsidRPr="004648C4" w:rsidRDefault="008F19AB" w:rsidP="008F19AB">
      <w:pPr>
        <w:widowControl w:val="0"/>
        <w:autoSpaceDE w:val="0"/>
        <w:autoSpaceDN w:val="0"/>
        <w:adjustRightInd w:val="0"/>
        <w:spacing w:line="240" w:lineRule="auto"/>
        <w:rPr>
          <w:rFonts w:cs="Arial"/>
          <w:b/>
        </w:rPr>
      </w:pPr>
    </w:p>
    <w:p w14:paraId="34F4B4BC" w14:textId="77777777" w:rsidR="008F19AB" w:rsidRPr="004648C4" w:rsidRDefault="008F19AB" w:rsidP="008F19AB">
      <w:pPr>
        <w:widowControl w:val="0"/>
        <w:autoSpaceDE w:val="0"/>
        <w:autoSpaceDN w:val="0"/>
        <w:adjustRightInd w:val="0"/>
        <w:spacing w:line="240" w:lineRule="auto"/>
        <w:rPr>
          <w:rFonts w:cs="Arial"/>
          <w:b/>
        </w:rPr>
      </w:pPr>
    </w:p>
    <w:p w14:paraId="2AC65130" w14:textId="77777777" w:rsidR="008F19AB" w:rsidRPr="004648C4" w:rsidRDefault="008F19AB" w:rsidP="008F19AB">
      <w:pPr>
        <w:widowControl w:val="0"/>
        <w:autoSpaceDE w:val="0"/>
        <w:autoSpaceDN w:val="0"/>
        <w:adjustRightInd w:val="0"/>
        <w:spacing w:line="240" w:lineRule="auto"/>
        <w:rPr>
          <w:rFonts w:cs="Arial"/>
          <w:b/>
        </w:rPr>
      </w:pPr>
    </w:p>
    <w:p w14:paraId="15255D75" w14:textId="77777777" w:rsidR="008F19AB" w:rsidRPr="004648C4" w:rsidRDefault="008F19AB" w:rsidP="008F19AB">
      <w:pPr>
        <w:widowControl w:val="0"/>
        <w:autoSpaceDE w:val="0"/>
        <w:autoSpaceDN w:val="0"/>
        <w:adjustRightInd w:val="0"/>
        <w:spacing w:line="240" w:lineRule="auto"/>
        <w:rPr>
          <w:rFonts w:cs="Arial"/>
          <w:b/>
        </w:rPr>
      </w:pPr>
      <w:r w:rsidRPr="004648C4">
        <w:rPr>
          <w:rFonts w:cs="Arial"/>
          <w:b/>
        </w:rPr>
        <w:t xml:space="preserve">Referencia: APELACIÓN SENTENCIA - MEDIO DE CONTROL DE CONTROVERSIAS CONTRACTUALES </w:t>
      </w:r>
    </w:p>
    <w:p w14:paraId="557EFBC3" w14:textId="77777777" w:rsidR="008F19AB" w:rsidRPr="004648C4" w:rsidRDefault="008F19AB" w:rsidP="008F19AB">
      <w:pPr>
        <w:widowControl w:val="0"/>
        <w:autoSpaceDE w:val="0"/>
        <w:autoSpaceDN w:val="0"/>
        <w:adjustRightInd w:val="0"/>
        <w:spacing w:line="240" w:lineRule="auto"/>
        <w:rPr>
          <w:rFonts w:cs="Arial"/>
          <w:b/>
        </w:rPr>
      </w:pPr>
    </w:p>
    <w:p w14:paraId="038D52C4" w14:textId="77777777" w:rsidR="008F19AB" w:rsidRPr="004648C4" w:rsidRDefault="008F19AB" w:rsidP="008F19AB">
      <w:pPr>
        <w:widowControl w:val="0"/>
        <w:autoSpaceDE w:val="0"/>
        <w:autoSpaceDN w:val="0"/>
        <w:adjustRightInd w:val="0"/>
        <w:spacing w:line="240" w:lineRule="auto"/>
        <w:rPr>
          <w:rFonts w:cs="Arial"/>
          <w:b/>
        </w:rPr>
      </w:pPr>
    </w:p>
    <w:p w14:paraId="5FACE465" w14:textId="77777777" w:rsidR="008F19AB" w:rsidRPr="004648C4" w:rsidRDefault="008F19AB" w:rsidP="008F19AB">
      <w:pPr>
        <w:widowControl w:val="0"/>
        <w:autoSpaceDE w:val="0"/>
        <w:autoSpaceDN w:val="0"/>
        <w:adjustRightInd w:val="0"/>
        <w:spacing w:line="240" w:lineRule="auto"/>
        <w:rPr>
          <w:rFonts w:cs="Arial"/>
          <w:b/>
        </w:rPr>
      </w:pPr>
    </w:p>
    <w:p w14:paraId="06C2E391" w14:textId="77777777" w:rsidR="008F19AB" w:rsidRPr="004648C4" w:rsidRDefault="008F19AB" w:rsidP="008F19AB">
      <w:pPr>
        <w:widowControl w:val="0"/>
        <w:autoSpaceDE w:val="0"/>
        <w:autoSpaceDN w:val="0"/>
        <w:adjustRightInd w:val="0"/>
        <w:spacing w:line="240" w:lineRule="auto"/>
        <w:rPr>
          <w:rFonts w:cs="Arial"/>
        </w:rPr>
      </w:pPr>
      <w:r w:rsidRPr="004648C4">
        <w:rPr>
          <w:rFonts w:cs="Arial"/>
          <w:b/>
        </w:rPr>
        <w:t>Temas</w:t>
      </w:r>
      <w:r w:rsidRPr="004648C4">
        <w:rPr>
          <w:rFonts w:cs="Arial"/>
        </w:rPr>
        <w:t xml:space="preserve">: INCUMPLIMIENTO DEL CONTRATO - LIQUIDACIÓN UNILATERAL DEL CONTRATO – INEPTA DEMANDA, reiteración de jurisprudencia. </w:t>
      </w:r>
    </w:p>
    <w:p w14:paraId="7DA0E23A" w14:textId="77777777" w:rsidR="008F19AB" w:rsidRPr="004648C4" w:rsidRDefault="008F19AB" w:rsidP="008F19AB">
      <w:pPr>
        <w:widowControl w:val="0"/>
        <w:autoSpaceDE w:val="0"/>
        <w:autoSpaceDN w:val="0"/>
        <w:adjustRightInd w:val="0"/>
        <w:spacing w:line="240" w:lineRule="auto"/>
        <w:rPr>
          <w:rFonts w:cs="Arial"/>
        </w:rPr>
      </w:pPr>
    </w:p>
    <w:p w14:paraId="2013BFE3" w14:textId="77777777" w:rsidR="008F19AB" w:rsidRPr="004648C4" w:rsidRDefault="008F19AB" w:rsidP="008F19AB">
      <w:pPr>
        <w:widowControl w:val="0"/>
        <w:autoSpaceDE w:val="0"/>
        <w:autoSpaceDN w:val="0"/>
        <w:adjustRightInd w:val="0"/>
        <w:spacing w:line="240" w:lineRule="auto"/>
        <w:rPr>
          <w:rFonts w:cs="Arial"/>
        </w:rPr>
      </w:pPr>
    </w:p>
    <w:p w14:paraId="30B521D6" w14:textId="77777777" w:rsidR="008F19AB" w:rsidRPr="004648C4" w:rsidRDefault="008F19AB" w:rsidP="008F19AB">
      <w:pPr>
        <w:widowControl w:val="0"/>
        <w:autoSpaceDE w:val="0"/>
        <w:autoSpaceDN w:val="0"/>
        <w:adjustRightInd w:val="0"/>
        <w:rPr>
          <w:rFonts w:cs="Arial"/>
        </w:rPr>
      </w:pPr>
      <w:r w:rsidRPr="004648C4">
        <w:rPr>
          <w:rFonts w:cs="Arial"/>
        </w:rPr>
        <w:t xml:space="preserve">Procede la Sala a resolver el recurso de apelación presentado por la parte demandante contra la sentencia proferida por el Tribunal Administrativo de Antioquia, Sala Sexta de Descongestión, el 16 de octubre de 2015, mediante la cual se dispuso (se transcribe de forma literal): </w:t>
      </w:r>
    </w:p>
    <w:p w14:paraId="2FDFD553" w14:textId="77777777" w:rsidR="008F19AB" w:rsidRPr="004648C4" w:rsidRDefault="008F19AB" w:rsidP="008F19AB">
      <w:pPr>
        <w:pStyle w:val="Textoindependienteprimerasangra2"/>
        <w:ind w:left="0" w:firstLine="0"/>
        <w:jc w:val="left"/>
        <w:rPr>
          <w:rFonts w:cs="Arial"/>
          <w:b/>
          <w:i/>
        </w:rPr>
      </w:pPr>
    </w:p>
    <w:p w14:paraId="3907AF0A" w14:textId="77777777" w:rsidR="008F19AB" w:rsidRPr="004648C4" w:rsidRDefault="008F19AB" w:rsidP="008F19AB">
      <w:pPr>
        <w:pStyle w:val="Textoindependienteprimerasangra2"/>
        <w:spacing w:line="276" w:lineRule="auto"/>
        <w:ind w:left="0" w:firstLine="0"/>
        <w:rPr>
          <w:rFonts w:cs="Arial"/>
          <w:i/>
        </w:rPr>
      </w:pPr>
      <w:r w:rsidRPr="004648C4">
        <w:rPr>
          <w:rFonts w:cs="Arial"/>
          <w:i/>
        </w:rPr>
        <w:t>“</w:t>
      </w:r>
      <w:r w:rsidRPr="004648C4">
        <w:rPr>
          <w:rFonts w:cs="Arial"/>
          <w:b/>
          <w:i/>
        </w:rPr>
        <w:t>PRIMERO</w:t>
      </w:r>
      <w:r w:rsidRPr="004648C4">
        <w:rPr>
          <w:rFonts w:cs="Arial"/>
          <w:i/>
        </w:rPr>
        <w:t xml:space="preserve">: </w:t>
      </w:r>
      <w:r w:rsidRPr="004648C4">
        <w:rPr>
          <w:rFonts w:cs="Arial"/>
          <w:b/>
          <w:i/>
        </w:rPr>
        <w:t>SE DECLARA</w:t>
      </w:r>
      <w:r w:rsidRPr="004648C4">
        <w:rPr>
          <w:rFonts w:cs="Arial"/>
          <w:i/>
        </w:rPr>
        <w:t xml:space="preserve"> probada la excepción de ineptitud sustancial de la demanda, propuesta por el municipio de Medellín, de conformidad con lo dispuesto en la parte motiva de la presente providencia.</w:t>
      </w:r>
    </w:p>
    <w:p w14:paraId="76D2DCF5" w14:textId="77777777" w:rsidR="008F19AB" w:rsidRPr="004648C4" w:rsidRDefault="008F19AB" w:rsidP="008F19AB">
      <w:pPr>
        <w:pStyle w:val="Textoindependienteprimerasangra2"/>
        <w:spacing w:line="276" w:lineRule="auto"/>
        <w:ind w:left="0" w:firstLine="0"/>
        <w:rPr>
          <w:rFonts w:cs="Arial"/>
          <w:i/>
        </w:rPr>
      </w:pPr>
    </w:p>
    <w:p w14:paraId="1273AA67" w14:textId="77777777" w:rsidR="008F19AB" w:rsidRPr="004648C4" w:rsidRDefault="008F19AB" w:rsidP="008F19AB">
      <w:pPr>
        <w:pStyle w:val="Textoindependienteprimerasangra2"/>
        <w:spacing w:line="276" w:lineRule="auto"/>
        <w:ind w:left="0" w:firstLine="0"/>
        <w:rPr>
          <w:rFonts w:cs="Arial"/>
          <w:i/>
        </w:rPr>
      </w:pPr>
      <w:r w:rsidRPr="004648C4">
        <w:rPr>
          <w:rFonts w:cs="Arial"/>
          <w:i/>
        </w:rPr>
        <w:t>“</w:t>
      </w:r>
      <w:r w:rsidRPr="004648C4">
        <w:rPr>
          <w:rFonts w:cs="Arial"/>
          <w:b/>
          <w:i/>
        </w:rPr>
        <w:t>SEGUNDO</w:t>
      </w:r>
      <w:r w:rsidRPr="004648C4">
        <w:rPr>
          <w:rFonts w:cs="Arial"/>
          <w:i/>
        </w:rPr>
        <w:t xml:space="preserve">: </w:t>
      </w:r>
      <w:r w:rsidRPr="004648C4">
        <w:rPr>
          <w:rFonts w:cs="Arial"/>
          <w:b/>
          <w:i/>
        </w:rPr>
        <w:t>SE INHIBE</w:t>
      </w:r>
      <w:r w:rsidRPr="004648C4">
        <w:rPr>
          <w:rFonts w:cs="Arial"/>
          <w:i/>
        </w:rPr>
        <w:t xml:space="preserve"> de pronunciarse de fondo, acorde con lo expresado de manera antecedente.</w:t>
      </w:r>
    </w:p>
    <w:p w14:paraId="7A5CED95" w14:textId="77777777" w:rsidR="008F19AB" w:rsidRPr="004648C4" w:rsidRDefault="008F19AB" w:rsidP="008F19AB">
      <w:pPr>
        <w:pStyle w:val="Textoindependienteprimerasangra2"/>
        <w:spacing w:line="276" w:lineRule="auto"/>
        <w:ind w:left="0" w:firstLine="0"/>
        <w:rPr>
          <w:rFonts w:cs="Arial"/>
          <w:i/>
        </w:rPr>
      </w:pPr>
    </w:p>
    <w:p w14:paraId="5A1367DC" w14:textId="77777777" w:rsidR="008F19AB" w:rsidRPr="004648C4" w:rsidRDefault="008F19AB" w:rsidP="008F19AB">
      <w:pPr>
        <w:pStyle w:val="Textoindependienteprimerasangra2"/>
        <w:spacing w:line="276" w:lineRule="auto"/>
        <w:ind w:left="0" w:firstLine="0"/>
        <w:rPr>
          <w:rFonts w:cs="Arial"/>
          <w:i/>
        </w:rPr>
      </w:pPr>
      <w:r w:rsidRPr="004648C4">
        <w:rPr>
          <w:rFonts w:cs="Arial"/>
          <w:i/>
        </w:rPr>
        <w:t>“</w:t>
      </w:r>
      <w:r w:rsidRPr="004648C4">
        <w:rPr>
          <w:rFonts w:cs="Arial"/>
          <w:b/>
          <w:i/>
        </w:rPr>
        <w:t>TERCERO</w:t>
      </w:r>
      <w:r w:rsidRPr="004648C4">
        <w:rPr>
          <w:rFonts w:cs="Arial"/>
          <w:i/>
        </w:rPr>
        <w:t xml:space="preserve">: </w:t>
      </w:r>
      <w:r w:rsidRPr="004648C4">
        <w:rPr>
          <w:rFonts w:cs="Arial"/>
          <w:b/>
          <w:i/>
        </w:rPr>
        <w:t>SIN CONDENA EN COSTAS</w:t>
      </w:r>
      <w:r w:rsidRPr="004648C4">
        <w:rPr>
          <w:rFonts w:cs="Arial"/>
          <w:i/>
        </w:rPr>
        <w:t>, en esta instancia.</w:t>
      </w:r>
    </w:p>
    <w:p w14:paraId="35845124" w14:textId="77777777" w:rsidR="008F19AB" w:rsidRPr="004648C4" w:rsidRDefault="008F19AB" w:rsidP="008F19AB">
      <w:pPr>
        <w:pStyle w:val="Textoindependienteprimerasangra2"/>
        <w:spacing w:line="276" w:lineRule="auto"/>
        <w:ind w:left="0" w:firstLine="0"/>
        <w:rPr>
          <w:rFonts w:cs="Arial"/>
          <w:i/>
        </w:rPr>
      </w:pPr>
    </w:p>
    <w:p w14:paraId="3029B356" w14:textId="77777777" w:rsidR="008F19AB" w:rsidRPr="004648C4" w:rsidRDefault="008F19AB" w:rsidP="008F19AB">
      <w:pPr>
        <w:pStyle w:val="Textoindependienteprimerasangra2"/>
        <w:spacing w:line="276" w:lineRule="auto"/>
        <w:ind w:left="0" w:firstLine="0"/>
        <w:rPr>
          <w:rFonts w:cs="Arial"/>
          <w:i/>
        </w:rPr>
      </w:pPr>
      <w:r w:rsidRPr="004648C4">
        <w:rPr>
          <w:rFonts w:cs="Arial"/>
          <w:i/>
        </w:rPr>
        <w:t>“</w:t>
      </w:r>
      <w:r w:rsidRPr="004648C4">
        <w:rPr>
          <w:rFonts w:cs="Arial"/>
          <w:b/>
          <w:i/>
        </w:rPr>
        <w:t>CUARTO</w:t>
      </w:r>
      <w:r w:rsidRPr="004648C4">
        <w:rPr>
          <w:rFonts w:cs="Arial"/>
          <w:i/>
        </w:rPr>
        <w:t>: Ejecutoriada la decisión, archívese el expediente”.</w:t>
      </w:r>
    </w:p>
    <w:p w14:paraId="4AD1BB3D" w14:textId="77777777" w:rsidR="008F19AB" w:rsidRPr="004648C4" w:rsidRDefault="008F19AB" w:rsidP="008F19AB">
      <w:pPr>
        <w:pStyle w:val="Textoindependienteprimerasangra2"/>
        <w:spacing w:line="240" w:lineRule="auto"/>
        <w:ind w:left="0" w:firstLine="0"/>
        <w:rPr>
          <w:rFonts w:cs="Arial"/>
          <w:i/>
        </w:rPr>
      </w:pPr>
    </w:p>
    <w:p w14:paraId="6B08FA8F" w14:textId="77777777" w:rsidR="008F19AB" w:rsidRPr="004648C4" w:rsidRDefault="008F19AB" w:rsidP="008F19AB">
      <w:pPr>
        <w:widowControl w:val="0"/>
        <w:autoSpaceDE w:val="0"/>
        <w:autoSpaceDN w:val="0"/>
        <w:adjustRightInd w:val="0"/>
        <w:spacing w:line="240" w:lineRule="auto"/>
        <w:jc w:val="center"/>
        <w:rPr>
          <w:rFonts w:cs="Arial"/>
          <w:b/>
        </w:rPr>
      </w:pPr>
    </w:p>
    <w:p w14:paraId="52813343" w14:textId="77777777" w:rsidR="008F19AB" w:rsidRPr="004648C4" w:rsidRDefault="008F19AB" w:rsidP="008F19AB">
      <w:pPr>
        <w:widowControl w:val="0"/>
        <w:autoSpaceDE w:val="0"/>
        <w:autoSpaceDN w:val="0"/>
        <w:adjustRightInd w:val="0"/>
        <w:spacing w:line="240" w:lineRule="auto"/>
        <w:jc w:val="center"/>
        <w:rPr>
          <w:rFonts w:cs="Arial"/>
          <w:b/>
        </w:rPr>
      </w:pPr>
    </w:p>
    <w:p w14:paraId="41988029" w14:textId="77777777" w:rsidR="008F19AB" w:rsidRPr="004648C4" w:rsidRDefault="008F19AB" w:rsidP="008F19AB">
      <w:pPr>
        <w:pStyle w:val="Lista"/>
        <w:ind w:left="0"/>
        <w:jc w:val="center"/>
        <w:rPr>
          <w:rFonts w:ascii="Arial" w:hAnsi="Arial" w:cs="Arial"/>
          <w:b/>
        </w:rPr>
      </w:pPr>
      <w:r w:rsidRPr="004648C4">
        <w:rPr>
          <w:rFonts w:ascii="Arial" w:hAnsi="Arial" w:cs="Arial"/>
          <w:b/>
        </w:rPr>
        <w:t>I.</w:t>
      </w:r>
      <w:r w:rsidRPr="004648C4">
        <w:rPr>
          <w:rFonts w:ascii="Arial" w:hAnsi="Arial" w:cs="Arial"/>
          <w:b/>
        </w:rPr>
        <w:tab/>
        <w:t>A N T E C E D E N T E S</w:t>
      </w:r>
    </w:p>
    <w:p w14:paraId="1279712D" w14:textId="77777777" w:rsidR="008F19AB" w:rsidRPr="004648C4" w:rsidRDefault="008F19AB" w:rsidP="008F19AB">
      <w:pPr>
        <w:rPr>
          <w:rFonts w:cs="Arial"/>
          <w:b/>
        </w:rPr>
      </w:pPr>
    </w:p>
    <w:p w14:paraId="57F77B60" w14:textId="77777777" w:rsidR="008F19AB" w:rsidRPr="004648C4" w:rsidRDefault="008F19AB" w:rsidP="008F19AB">
      <w:pPr>
        <w:pStyle w:val="Lista2"/>
        <w:ind w:left="0" w:firstLine="0"/>
        <w:rPr>
          <w:rFonts w:cs="Arial"/>
        </w:rPr>
      </w:pPr>
      <w:r w:rsidRPr="004648C4">
        <w:rPr>
          <w:rFonts w:cs="Arial"/>
        </w:rPr>
        <w:t xml:space="preserve">En </w:t>
      </w:r>
      <w:r w:rsidRPr="004648C4">
        <w:rPr>
          <w:rFonts w:cs="Arial"/>
          <w:b/>
        </w:rPr>
        <w:t>síntesis</w:t>
      </w:r>
      <w:r w:rsidRPr="004648C4">
        <w:rPr>
          <w:rFonts w:cs="Arial"/>
        </w:rPr>
        <w:t>, el presente proceso se refiere al contrato de interventoría 4600022823 de 2009, en relación con el cual el contratista consideró que no le había sido reconocido el valor completo y demandó su incumplimiento y la consecuente indemnización de perjuicios. Sin embargo, el municipio contratante allegó al proceso el acto administrativo de liquidación unilateral, en el cual la cuenta final arrojaba un saldo a reintegrar a favor del municipio.</w:t>
      </w:r>
    </w:p>
    <w:p w14:paraId="4C44FC46" w14:textId="77777777" w:rsidR="008F19AB" w:rsidRPr="004648C4" w:rsidRDefault="008F19AB" w:rsidP="008F19AB">
      <w:pPr>
        <w:pStyle w:val="Lista2"/>
        <w:ind w:left="0" w:firstLine="0"/>
        <w:rPr>
          <w:rFonts w:cs="Arial"/>
          <w:b/>
        </w:rPr>
      </w:pPr>
    </w:p>
    <w:p w14:paraId="0D8EE093" w14:textId="77777777" w:rsidR="008F19AB" w:rsidRPr="004648C4" w:rsidRDefault="008F19AB" w:rsidP="008F19AB">
      <w:pPr>
        <w:pStyle w:val="Lista2"/>
        <w:ind w:left="0" w:firstLine="0"/>
        <w:rPr>
          <w:rFonts w:cs="Arial"/>
          <w:b/>
        </w:rPr>
      </w:pPr>
      <w:r w:rsidRPr="004648C4">
        <w:rPr>
          <w:rFonts w:cs="Arial"/>
          <w:b/>
        </w:rPr>
        <w:lastRenderedPageBreak/>
        <w:t>1. La demanda</w:t>
      </w:r>
    </w:p>
    <w:p w14:paraId="3D4A2465" w14:textId="77777777" w:rsidR="008F19AB" w:rsidRPr="004648C4" w:rsidRDefault="008F19AB" w:rsidP="008F19AB">
      <w:pPr>
        <w:widowControl w:val="0"/>
        <w:autoSpaceDE w:val="0"/>
        <w:autoSpaceDN w:val="0"/>
        <w:adjustRightInd w:val="0"/>
        <w:rPr>
          <w:rFonts w:cs="Arial"/>
        </w:rPr>
      </w:pPr>
    </w:p>
    <w:p w14:paraId="60630AFC" w14:textId="77777777" w:rsidR="008F19AB" w:rsidRPr="004648C4" w:rsidRDefault="008F19AB" w:rsidP="008F19AB">
      <w:pPr>
        <w:pStyle w:val="Continuarlista2"/>
        <w:spacing w:after="0"/>
        <w:ind w:left="0"/>
        <w:rPr>
          <w:rFonts w:cs="Arial"/>
        </w:rPr>
      </w:pPr>
      <w:r w:rsidRPr="004648C4">
        <w:rPr>
          <w:rFonts w:cs="Arial"/>
        </w:rPr>
        <w:t>Mediante demanda presentada el primero (1º) de junio de dos mil doce (2012) Fernando de Jesús Mesa Sierra y Gema Mejía de Izquierdo</w:t>
      </w:r>
      <w:r w:rsidRPr="004648C4">
        <w:rPr>
          <w:rStyle w:val="Refdenotaalpie"/>
          <w:rFonts w:cs="Arial"/>
        </w:rPr>
        <w:footnoteReference w:id="1"/>
      </w:r>
      <w:r w:rsidRPr="004648C4">
        <w:rPr>
          <w:rFonts w:cs="Arial"/>
        </w:rPr>
        <w:t>, integrantes de la Unión Temporal U.T. Interventorías Socio-Económicas Mejía Mesa Asociados</w:t>
      </w:r>
      <w:r w:rsidRPr="004648C4">
        <w:rPr>
          <w:rStyle w:val="Refdenotaalpie"/>
          <w:rFonts w:cs="Arial"/>
        </w:rPr>
        <w:footnoteReference w:id="2"/>
      </w:r>
      <w:r w:rsidRPr="004648C4">
        <w:rPr>
          <w:rFonts w:cs="Arial"/>
        </w:rPr>
        <w:t xml:space="preserve">, en ejercicio de la acción contractual referida en el artículo 87 del Código Contencioso Administrativo, solicitaron las declaraciones y condenas contra el municipio de Medellín, por concepto de: </w:t>
      </w:r>
      <w:r w:rsidRPr="004648C4">
        <w:rPr>
          <w:rFonts w:cs="Arial"/>
          <w:b/>
        </w:rPr>
        <w:t>i)</w:t>
      </w:r>
      <w:r w:rsidRPr="004648C4">
        <w:rPr>
          <w:rFonts w:cs="Arial"/>
        </w:rPr>
        <w:t xml:space="preserve"> incumplimiento del contrato de consultoría No. 4600022823 de 2009 y la condena a los consecuentes perjuicios materiales y morales; </w:t>
      </w:r>
      <w:r w:rsidRPr="004648C4">
        <w:rPr>
          <w:rFonts w:cs="Arial"/>
          <w:b/>
        </w:rPr>
        <w:t>ii)</w:t>
      </w:r>
      <w:r w:rsidRPr="004648C4">
        <w:rPr>
          <w:rFonts w:cs="Arial"/>
        </w:rPr>
        <w:t xml:space="preserve"> el precio de ejecución plena por razón de la mayor obra realizada en los convenios objeto de intervención; </w:t>
      </w:r>
      <w:r w:rsidRPr="004648C4">
        <w:rPr>
          <w:rFonts w:cs="Arial"/>
          <w:b/>
        </w:rPr>
        <w:t>iii)</w:t>
      </w:r>
      <w:r w:rsidRPr="004648C4">
        <w:rPr>
          <w:rFonts w:cs="Arial"/>
        </w:rPr>
        <w:t xml:space="preserve"> el reconocimiento de una mayor permanencia en obra en los convenios objeto de intervención; </w:t>
      </w:r>
      <w:r w:rsidRPr="004648C4">
        <w:rPr>
          <w:rFonts w:cs="Arial"/>
          <w:b/>
        </w:rPr>
        <w:t>iv)</w:t>
      </w:r>
      <w:r w:rsidRPr="004648C4">
        <w:rPr>
          <w:rFonts w:cs="Arial"/>
        </w:rPr>
        <w:t xml:space="preserve"> intereses de la primera factura; </w:t>
      </w:r>
      <w:r w:rsidRPr="004648C4">
        <w:rPr>
          <w:rFonts w:cs="Arial"/>
          <w:b/>
        </w:rPr>
        <w:t>vi)</w:t>
      </w:r>
      <w:r w:rsidRPr="004648C4">
        <w:rPr>
          <w:rFonts w:cs="Arial"/>
        </w:rPr>
        <w:t xml:space="preserve"> intereses de la última factura; </w:t>
      </w:r>
      <w:r w:rsidRPr="004648C4">
        <w:rPr>
          <w:rFonts w:cs="Arial"/>
          <w:b/>
        </w:rPr>
        <w:t>vii)</w:t>
      </w:r>
      <w:r w:rsidRPr="004648C4">
        <w:rPr>
          <w:rFonts w:cs="Arial"/>
        </w:rPr>
        <w:t xml:space="preserve"> liquidación de intereses moratorios de acuerdo con el artículo 4 de la Ley 80 de 1993 y </w:t>
      </w:r>
      <w:r w:rsidRPr="004648C4">
        <w:rPr>
          <w:rFonts w:cs="Arial"/>
          <w:b/>
        </w:rPr>
        <w:t>viii)</w:t>
      </w:r>
      <w:r w:rsidRPr="004648C4">
        <w:rPr>
          <w:rFonts w:cs="Arial"/>
        </w:rPr>
        <w:t xml:space="preserve"> utilidades del contrato no obtenidas</w:t>
      </w:r>
      <w:r w:rsidRPr="004648C4">
        <w:rPr>
          <w:rStyle w:val="Refdenotaalpie"/>
          <w:rFonts w:cs="Arial"/>
        </w:rPr>
        <w:footnoteReference w:id="3"/>
      </w:r>
      <w:r w:rsidRPr="004648C4">
        <w:rPr>
          <w:rFonts w:cs="Arial"/>
        </w:rPr>
        <w:t>.</w:t>
      </w:r>
    </w:p>
    <w:p w14:paraId="52A94CA6" w14:textId="77777777" w:rsidR="008F19AB" w:rsidRPr="004648C4" w:rsidRDefault="008F19AB" w:rsidP="008F19AB">
      <w:pPr>
        <w:pStyle w:val="Textoindependienteprimerasangra2"/>
        <w:spacing w:line="240" w:lineRule="auto"/>
        <w:ind w:left="0" w:firstLine="0"/>
        <w:rPr>
          <w:rFonts w:cs="Arial"/>
          <w:i/>
        </w:rPr>
      </w:pPr>
    </w:p>
    <w:p w14:paraId="43EE53BF" w14:textId="77777777" w:rsidR="008F19AB" w:rsidRPr="004648C4" w:rsidRDefault="008F19AB" w:rsidP="008F19AB">
      <w:pPr>
        <w:pStyle w:val="Lista3"/>
        <w:ind w:left="0" w:firstLine="0"/>
        <w:rPr>
          <w:rFonts w:cs="Arial"/>
          <w:b/>
        </w:rPr>
      </w:pPr>
      <w:r w:rsidRPr="004648C4">
        <w:rPr>
          <w:rFonts w:cs="Arial"/>
          <w:b/>
        </w:rPr>
        <w:t>2. Los hechos</w:t>
      </w:r>
    </w:p>
    <w:p w14:paraId="290F9F41" w14:textId="77777777" w:rsidR="008F19AB" w:rsidRPr="004648C4" w:rsidRDefault="008F19AB" w:rsidP="008F19AB">
      <w:pPr>
        <w:widowControl w:val="0"/>
        <w:autoSpaceDE w:val="0"/>
        <w:autoSpaceDN w:val="0"/>
        <w:adjustRightInd w:val="0"/>
        <w:rPr>
          <w:rFonts w:cs="Arial"/>
          <w:lang w:val="es-MX"/>
        </w:rPr>
      </w:pPr>
    </w:p>
    <w:p w14:paraId="575D446C" w14:textId="77777777" w:rsidR="008F19AB" w:rsidRPr="004648C4" w:rsidRDefault="008F19AB" w:rsidP="008F19AB">
      <w:pPr>
        <w:pStyle w:val="Textoindependiente"/>
        <w:rPr>
          <w:rFonts w:cs="Arial"/>
          <w:szCs w:val="24"/>
        </w:rPr>
      </w:pPr>
      <w:r w:rsidRPr="004648C4">
        <w:rPr>
          <w:rFonts w:cs="Arial"/>
          <w:szCs w:val="24"/>
          <w:lang w:val="es-CO"/>
        </w:rPr>
        <w:t>E</w:t>
      </w:r>
      <w:r w:rsidRPr="004648C4">
        <w:rPr>
          <w:rFonts w:cs="Arial"/>
          <w:szCs w:val="24"/>
        </w:rPr>
        <w:t>n el escrito de demanda, la parte actora narró los siguientes hechos:</w:t>
      </w:r>
    </w:p>
    <w:p w14:paraId="3016CBD6" w14:textId="77777777" w:rsidR="008F19AB" w:rsidRPr="004648C4" w:rsidRDefault="008F19AB" w:rsidP="008F19AB">
      <w:pPr>
        <w:pStyle w:val="Textoindependiente"/>
        <w:rPr>
          <w:rFonts w:cs="Arial"/>
          <w:szCs w:val="24"/>
        </w:rPr>
      </w:pPr>
    </w:p>
    <w:p w14:paraId="75969A18" w14:textId="77777777" w:rsidR="008F19AB" w:rsidRPr="004648C4" w:rsidRDefault="008F19AB" w:rsidP="008F19AB">
      <w:pPr>
        <w:pStyle w:val="Continuarlista2"/>
        <w:spacing w:after="0"/>
        <w:ind w:left="0"/>
        <w:rPr>
          <w:rFonts w:cs="Arial"/>
        </w:rPr>
      </w:pPr>
      <w:r w:rsidRPr="004648C4">
        <w:rPr>
          <w:rFonts w:cs="Arial"/>
          <w:b/>
        </w:rPr>
        <w:t>2.1.</w:t>
      </w:r>
      <w:r w:rsidRPr="004648C4">
        <w:rPr>
          <w:rFonts w:cs="Arial"/>
        </w:rPr>
        <w:t xml:space="preserve"> El contrato de interventoría 4600022823 de 2009, celebrado entre el municipio de Medellín y la Unión Temporal U.T. Interventorías Socio-Económicas Mejía Mesa Asociados, previo el trámite del concurso de méritos 0020000920 de 2009, tuvo por objeto la interventoría técnica, administrativa, legal y financiera de los contratos y convenios de asociación dentro del programa </w:t>
      </w:r>
      <w:r w:rsidRPr="004648C4">
        <w:rPr>
          <w:rFonts w:cs="Arial"/>
          <w:i/>
        </w:rPr>
        <w:t>“Línea Tres, Desarrollo Económico e Innovación vigencia 2009”</w:t>
      </w:r>
      <w:r w:rsidRPr="004648C4">
        <w:rPr>
          <w:rFonts w:cs="Arial"/>
        </w:rPr>
        <w:t>.</w:t>
      </w:r>
    </w:p>
    <w:p w14:paraId="2DA28441" w14:textId="77777777" w:rsidR="008F19AB" w:rsidRPr="004648C4" w:rsidRDefault="008F19AB" w:rsidP="008F19AB">
      <w:pPr>
        <w:pStyle w:val="Continuarlista2"/>
        <w:spacing w:after="0"/>
        <w:ind w:left="0"/>
        <w:rPr>
          <w:rFonts w:cs="Arial"/>
        </w:rPr>
      </w:pPr>
    </w:p>
    <w:p w14:paraId="4EB87D11" w14:textId="77777777" w:rsidR="008F19AB" w:rsidRPr="004648C4" w:rsidRDefault="008F19AB" w:rsidP="008F19AB">
      <w:pPr>
        <w:pStyle w:val="Continuarlista2"/>
        <w:spacing w:after="0"/>
        <w:ind w:left="0"/>
        <w:rPr>
          <w:rFonts w:cs="Arial"/>
        </w:rPr>
      </w:pPr>
      <w:r w:rsidRPr="004648C4">
        <w:rPr>
          <w:rFonts w:cs="Arial"/>
          <w:b/>
        </w:rPr>
        <w:t>2.2.</w:t>
      </w:r>
      <w:r w:rsidRPr="004648C4">
        <w:rPr>
          <w:rFonts w:cs="Arial"/>
        </w:rPr>
        <w:t xml:space="preserve"> El trabajo inicial consistía en intervenir 15 convenios. Sin embargo, la secretaría de desarrollo social del municipio de Medellín dispuso ampliaciones, suspensiones y adiciones de los convenios suscritos con sus cooperantes y/o asociados, dentro del marco del respectivo programa, lo cual llevó a varias adiciones de plazo, que </w:t>
      </w:r>
      <w:r w:rsidRPr="004648C4">
        <w:rPr>
          <w:rFonts w:cs="Arial"/>
        </w:rPr>
        <w:lastRenderedPageBreak/>
        <w:t>ocasionaron mayor trabajo para la U.T., así como mayores costos y gastos administrativos.</w:t>
      </w:r>
    </w:p>
    <w:p w14:paraId="16A2CBA5" w14:textId="77777777" w:rsidR="008F19AB" w:rsidRPr="004648C4" w:rsidRDefault="008F19AB" w:rsidP="008F19AB">
      <w:pPr>
        <w:pStyle w:val="Continuarlista2"/>
        <w:spacing w:after="0"/>
        <w:ind w:left="0"/>
        <w:rPr>
          <w:rFonts w:cs="Arial"/>
        </w:rPr>
      </w:pPr>
    </w:p>
    <w:p w14:paraId="7E6B43F1" w14:textId="77777777" w:rsidR="008F19AB" w:rsidRPr="004648C4" w:rsidRDefault="008F19AB" w:rsidP="008F19AB">
      <w:pPr>
        <w:pStyle w:val="Continuarlista2"/>
        <w:spacing w:after="0"/>
        <w:ind w:left="0"/>
        <w:rPr>
          <w:rFonts w:cs="Arial"/>
        </w:rPr>
      </w:pPr>
      <w:r w:rsidRPr="004648C4">
        <w:rPr>
          <w:rFonts w:cs="Arial"/>
          <w:b/>
        </w:rPr>
        <w:t>2.3.</w:t>
      </w:r>
      <w:r w:rsidRPr="004648C4">
        <w:rPr>
          <w:rFonts w:cs="Arial"/>
        </w:rPr>
        <w:t xml:space="preserve"> En su oportunidad, la U.T. reclamó el reconocimiento correspondiente, pero, según afirmó la demandante, no recibió una respuesta del municipio de Medellín.</w:t>
      </w:r>
    </w:p>
    <w:p w14:paraId="741A6DEF" w14:textId="77777777" w:rsidR="008F19AB" w:rsidRPr="004648C4" w:rsidRDefault="008F19AB" w:rsidP="008F19AB">
      <w:pPr>
        <w:pStyle w:val="Continuarlista2"/>
        <w:spacing w:after="0"/>
        <w:ind w:left="0"/>
        <w:rPr>
          <w:rFonts w:cs="Arial"/>
        </w:rPr>
      </w:pPr>
    </w:p>
    <w:p w14:paraId="34F84D8E" w14:textId="77777777" w:rsidR="008F19AB" w:rsidRPr="004648C4" w:rsidRDefault="008F19AB" w:rsidP="008F19AB">
      <w:pPr>
        <w:pStyle w:val="Continuarlista2"/>
        <w:spacing w:after="0"/>
        <w:ind w:left="0"/>
        <w:rPr>
          <w:rFonts w:cs="Arial"/>
        </w:rPr>
      </w:pPr>
      <w:r w:rsidRPr="004648C4">
        <w:rPr>
          <w:rFonts w:cs="Arial"/>
          <w:b/>
        </w:rPr>
        <w:t>2.4.</w:t>
      </w:r>
      <w:r w:rsidRPr="004648C4">
        <w:rPr>
          <w:rFonts w:cs="Arial"/>
        </w:rPr>
        <w:t xml:space="preserve"> El término del contrato de interventoría se amplió y, como consecuencia, se extendió hasta el 12 de noviembre de 2010, </w:t>
      </w:r>
      <w:r w:rsidRPr="004648C4">
        <w:rPr>
          <w:rFonts w:cs="Arial"/>
          <w:i/>
        </w:rPr>
        <w:t>“cuando el municipio recibió”</w:t>
      </w:r>
      <w:r w:rsidRPr="004648C4">
        <w:rPr>
          <w:rStyle w:val="Refdenotaalpie"/>
          <w:rFonts w:cs="Arial"/>
          <w:i/>
        </w:rPr>
        <w:footnoteReference w:id="4"/>
      </w:r>
      <w:r w:rsidRPr="004648C4">
        <w:rPr>
          <w:rFonts w:cs="Arial"/>
          <w:i/>
        </w:rPr>
        <w:t>.</w:t>
      </w:r>
    </w:p>
    <w:p w14:paraId="34C4116F" w14:textId="77777777" w:rsidR="008F19AB" w:rsidRPr="004648C4" w:rsidRDefault="008F19AB" w:rsidP="008F19AB">
      <w:pPr>
        <w:pStyle w:val="Continuarlista2"/>
        <w:spacing w:after="0"/>
        <w:ind w:left="0"/>
        <w:rPr>
          <w:rFonts w:cs="Arial"/>
        </w:rPr>
      </w:pPr>
    </w:p>
    <w:p w14:paraId="60DDA8C9" w14:textId="77777777" w:rsidR="008F19AB" w:rsidRPr="004648C4" w:rsidRDefault="008F19AB" w:rsidP="008F19AB">
      <w:pPr>
        <w:pStyle w:val="Continuarlista2"/>
        <w:spacing w:after="0"/>
        <w:ind w:left="0"/>
        <w:rPr>
          <w:rFonts w:cs="Arial"/>
        </w:rPr>
      </w:pPr>
      <w:r w:rsidRPr="004648C4">
        <w:rPr>
          <w:rFonts w:cs="Arial"/>
          <w:b/>
        </w:rPr>
        <w:t>2.5.</w:t>
      </w:r>
      <w:r w:rsidRPr="004648C4">
        <w:rPr>
          <w:rFonts w:cs="Arial"/>
        </w:rPr>
        <w:t xml:space="preserve"> El municipio de Medellín retardó 4 meses el recibo material del contrato, toda vez que desde el 15 de junio de 2010 la U.T. había cumplido con la entrega de todos los productos.</w:t>
      </w:r>
    </w:p>
    <w:p w14:paraId="32A12294" w14:textId="77777777" w:rsidR="008F19AB" w:rsidRPr="004648C4" w:rsidRDefault="008F19AB" w:rsidP="008F19AB">
      <w:pPr>
        <w:pStyle w:val="Continuarlista2"/>
        <w:spacing w:after="0"/>
        <w:ind w:left="0"/>
        <w:rPr>
          <w:rFonts w:cs="Arial"/>
        </w:rPr>
      </w:pPr>
    </w:p>
    <w:p w14:paraId="6AB84F65" w14:textId="77777777" w:rsidR="008F19AB" w:rsidRPr="004648C4" w:rsidRDefault="008F19AB" w:rsidP="008F19AB">
      <w:pPr>
        <w:pStyle w:val="Continuarlista2"/>
        <w:spacing w:after="0"/>
        <w:ind w:left="0"/>
        <w:rPr>
          <w:rFonts w:cs="Arial"/>
        </w:rPr>
      </w:pPr>
      <w:r w:rsidRPr="004648C4">
        <w:rPr>
          <w:rFonts w:cs="Arial"/>
          <w:b/>
        </w:rPr>
        <w:t>2.6.</w:t>
      </w:r>
      <w:r w:rsidRPr="004648C4">
        <w:rPr>
          <w:rFonts w:cs="Arial"/>
        </w:rPr>
        <w:t xml:space="preserve"> La primera factura se entregó el 18 de diciembre de 2009 y solo se pagó el 19 de marzo de 2010. De la misma forma, la última factura se pagó tardíamente y generó intereses de mora que tampoco se le reconocieron.</w:t>
      </w:r>
    </w:p>
    <w:p w14:paraId="3BCAC868" w14:textId="77777777" w:rsidR="008F19AB" w:rsidRPr="004648C4" w:rsidRDefault="008F19AB" w:rsidP="008F19AB">
      <w:pPr>
        <w:pStyle w:val="Continuarlista2"/>
        <w:spacing w:after="0"/>
        <w:ind w:left="0"/>
        <w:rPr>
          <w:rFonts w:cs="Arial"/>
        </w:rPr>
      </w:pPr>
    </w:p>
    <w:p w14:paraId="6D771B24" w14:textId="77777777" w:rsidR="008F19AB" w:rsidRPr="004648C4" w:rsidRDefault="008F19AB" w:rsidP="008F19AB">
      <w:pPr>
        <w:pStyle w:val="Continuarlista2"/>
        <w:spacing w:after="0"/>
        <w:ind w:left="0"/>
        <w:rPr>
          <w:rFonts w:cs="Arial"/>
        </w:rPr>
      </w:pPr>
      <w:r w:rsidRPr="004648C4">
        <w:rPr>
          <w:rFonts w:cs="Arial"/>
          <w:b/>
        </w:rPr>
        <w:t>2.7.</w:t>
      </w:r>
      <w:r w:rsidRPr="004648C4">
        <w:rPr>
          <w:rFonts w:cs="Arial"/>
        </w:rPr>
        <w:t xml:space="preserve"> La U.T. no percibió la utilidad que le correspondía por la mayor cantidad de obra realizada en los convenios que fueron objeto de la la interventoría.</w:t>
      </w:r>
    </w:p>
    <w:p w14:paraId="0D591A5C" w14:textId="77777777" w:rsidR="008F19AB" w:rsidRPr="004648C4" w:rsidRDefault="008F19AB" w:rsidP="008F19AB">
      <w:pPr>
        <w:pStyle w:val="Lista3"/>
        <w:ind w:left="0" w:firstLine="0"/>
        <w:rPr>
          <w:rFonts w:cs="Arial"/>
        </w:rPr>
      </w:pPr>
    </w:p>
    <w:p w14:paraId="2E54ECA7" w14:textId="77777777" w:rsidR="008F19AB" w:rsidRPr="004648C4" w:rsidRDefault="008F19AB" w:rsidP="008F19AB">
      <w:pPr>
        <w:pStyle w:val="Lista3"/>
        <w:ind w:left="0" w:firstLine="0"/>
        <w:rPr>
          <w:rFonts w:cs="Arial"/>
          <w:b/>
        </w:rPr>
      </w:pPr>
      <w:r w:rsidRPr="004648C4">
        <w:rPr>
          <w:rFonts w:cs="Arial"/>
          <w:b/>
        </w:rPr>
        <w:t>3. Actuación procesal</w:t>
      </w:r>
    </w:p>
    <w:p w14:paraId="0B07831C" w14:textId="77777777" w:rsidR="008F19AB" w:rsidRPr="004648C4" w:rsidRDefault="008F19AB" w:rsidP="008F19AB">
      <w:pPr>
        <w:rPr>
          <w:rFonts w:cs="Arial"/>
          <w:bCs/>
          <w:iCs/>
        </w:rPr>
      </w:pPr>
    </w:p>
    <w:p w14:paraId="3A3D84BE" w14:textId="77777777" w:rsidR="008F19AB" w:rsidRPr="004648C4" w:rsidRDefault="008F19AB" w:rsidP="008F19AB">
      <w:pPr>
        <w:pStyle w:val="Lista4"/>
        <w:ind w:left="0" w:firstLine="0"/>
        <w:rPr>
          <w:rFonts w:cs="Arial"/>
          <w:b/>
          <w:bCs/>
          <w:iCs/>
        </w:rPr>
      </w:pPr>
      <w:r w:rsidRPr="004648C4">
        <w:rPr>
          <w:rFonts w:cs="Arial"/>
          <w:b/>
        </w:rPr>
        <w:t xml:space="preserve">3.1. </w:t>
      </w:r>
      <w:r w:rsidRPr="004648C4">
        <w:rPr>
          <w:rFonts w:cs="Arial"/>
        </w:rPr>
        <w:t>El Tribunal Administrativo de Antioquia admitió la demanda mediante auto de 23 de abril de 2013.</w:t>
      </w:r>
      <w:r w:rsidRPr="004648C4">
        <w:rPr>
          <w:rFonts w:cs="Arial"/>
          <w:b/>
          <w:bCs/>
          <w:iCs/>
        </w:rPr>
        <w:t xml:space="preserve"> </w:t>
      </w:r>
    </w:p>
    <w:p w14:paraId="651A3002" w14:textId="77777777" w:rsidR="008F19AB" w:rsidRPr="004648C4" w:rsidRDefault="008F19AB" w:rsidP="008F19AB">
      <w:pPr>
        <w:pStyle w:val="Lista4"/>
        <w:ind w:left="0" w:firstLine="0"/>
        <w:rPr>
          <w:rFonts w:cs="Arial"/>
          <w:b/>
          <w:bCs/>
          <w:iCs/>
        </w:rPr>
      </w:pPr>
    </w:p>
    <w:p w14:paraId="38B0A567" w14:textId="77777777" w:rsidR="008F19AB" w:rsidRPr="004648C4" w:rsidRDefault="008F19AB" w:rsidP="008F19AB">
      <w:pPr>
        <w:pStyle w:val="Lista2"/>
        <w:ind w:left="0" w:firstLine="0"/>
        <w:rPr>
          <w:rFonts w:cs="Arial"/>
          <w:b/>
        </w:rPr>
      </w:pPr>
      <w:r w:rsidRPr="004648C4">
        <w:rPr>
          <w:rFonts w:cs="Arial"/>
          <w:b/>
        </w:rPr>
        <w:t>3.2. Contestación de la demanda</w:t>
      </w:r>
    </w:p>
    <w:p w14:paraId="6BC630BD" w14:textId="77777777" w:rsidR="008F19AB" w:rsidRPr="004648C4" w:rsidRDefault="008F19AB" w:rsidP="008F19AB">
      <w:pPr>
        <w:rPr>
          <w:rFonts w:cs="Arial"/>
          <w:b/>
          <w:bCs/>
          <w:iCs/>
        </w:rPr>
      </w:pPr>
    </w:p>
    <w:p w14:paraId="2D48B813" w14:textId="77777777" w:rsidR="008F19AB" w:rsidRPr="004648C4" w:rsidRDefault="008F19AB" w:rsidP="008F19AB">
      <w:pPr>
        <w:pStyle w:val="Continuarlista2"/>
        <w:spacing w:after="0"/>
        <w:ind w:left="0"/>
        <w:rPr>
          <w:rFonts w:cs="Arial"/>
        </w:rPr>
      </w:pPr>
      <w:r w:rsidRPr="004648C4">
        <w:rPr>
          <w:rFonts w:cs="Arial"/>
        </w:rPr>
        <w:t xml:space="preserve">En la contestación de la demanda, el municipio aceptó algunos hechos y, en relación con otros, advirtió lo siguiente: </w:t>
      </w:r>
      <w:r w:rsidRPr="004648C4">
        <w:rPr>
          <w:rFonts w:cs="Arial"/>
          <w:b/>
        </w:rPr>
        <w:t>i)</w:t>
      </w:r>
      <w:r w:rsidRPr="004648C4">
        <w:rPr>
          <w:rFonts w:cs="Arial"/>
        </w:rPr>
        <w:t xml:space="preserve"> el contrato tuvo una prórroga, de dos meses y 15 días, hasta el 26 de julio de 2010, en la cual se indicó que no se generaba reconocimiento adicional alguno y </w:t>
      </w:r>
      <w:r w:rsidRPr="004648C4">
        <w:rPr>
          <w:rFonts w:cs="Arial"/>
          <w:b/>
        </w:rPr>
        <w:t>ii)</w:t>
      </w:r>
      <w:r w:rsidRPr="004648C4">
        <w:rPr>
          <w:rFonts w:cs="Arial"/>
        </w:rPr>
        <w:t xml:space="preserve"> mediante documento fechado el 4 de abril de 2011, el municipio remitió a la representante legal de la U.T. el proyecto de liquidación bilateral aprobado por la interventoría y le reiteró que no se generaba reconocimiento adicional.</w:t>
      </w:r>
    </w:p>
    <w:p w14:paraId="59CA7CA7" w14:textId="77777777" w:rsidR="008F19AB" w:rsidRPr="004648C4" w:rsidRDefault="008F19AB" w:rsidP="008F19AB">
      <w:pPr>
        <w:pStyle w:val="Continuarlista2"/>
        <w:spacing w:after="0"/>
        <w:ind w:left="0"/>
        <w:rPr>
          <w:rFonts w:cs="Arial"/>
        </w:rPr>
      </w:pPr>
    </w:p>
    <w:p w14:paraId="481D0502" w14:textId="77777777" w:rsidR="008F19AB" w:rsidRPr="004648C4" w:rsidRDefault="008F19AB" w:rsidP="008F19AB">
      <w:pPr>
        <w:pStyle w:val="Continuarlista2"/>
        <w:spacing w:after="0"/>
        <w:ind w:left="0"/>
        <w:rPr>
          <w:rFonts w:cs="Arial"/>
        </w:rPr>
      </w:pPr>
      <w:r w:rsidRPr="004648C4">
        <w:rPr>
          <w:rFonts w:cs="Arial"/>
        </w:rPr>
        <w:lastRenderedPageBreak/>
        <w:t xml:space="preserve">El municipio se opuso a todas las pretensiones de la demanda y presentó las siguientes </w:t>
      </w:r>
      <w:r w:rsidRPr="004648C4">
        <w:rPr>
          <w:rFonts w:cs="Arial"/>
          <w:b/>
        </w:rPr>
        <w:t>excepciones</w:t>
      </w:r>
      <w:r w:rsidRPr="004648C4">
        <w:rPr>
          <w:rFonts w:cs="Arial"/>
        </w:rPr>
        <w:t xml:space="preserve">: </w:t>
      </w:r>
    </w:p>
    <w:p w14:paraId="1C55FE9D" w14:textId="77777777" w:rsidR="008F19AB" w:rsidRPr="004648C4" w:rsidRDefault="008F19AB" w:rsidP="008F19AB">
      <w:pPr>
        <w:pStyle w:val="Continuarlista2"/>
        <w:spacing w:after="0"/>
        <w:ind w:left="0"/>
        <w:rPr>
          <w:rFonts w:cs="Arial"/>
        </w:rPr>
      </w:pPr>
    </w:p>
    <w:p w14:paraId="2A157B31" w14:textId="77777777" w:rsidR="008F19AB" w:rsidRPr="004648C4" w:rsidRDefault="008F19AB" w:rsidP="008F19AB">
      <w:pPr>
        <w:pStyle w:val="Continuarlista2"/>
        <w:spacing w:after="0"/>
        <w:ind w:left="0"/>
        <w:rPr>
          <w:rFonts w:cs="Arial"/>
        </w:rPr>
      </w:pPr>
      <w:r w:rsidRPr="004648C4">
        <w:rPr>
          <w:rFonts w:cs="Arial"/>
          <w:b/>
        </w:rPr>
        <w:t>i)</w:t>
      </w:r>
      <w:r w:rsidRPr="004648C4">
        <w:rPr>
          <w:rFonts w:cs="Arial"/>
        </w:rPr>
        <w:t xml:space="preserve"> Cumplimiento de condiciones y contrato.</w:t>
      </w:r>
    </w:p>
    <w:p w14:paraId="1523DC72" w14:textId="77777777" w:rsidR="008F19AB" w:rsidRPr="004648C4" w:rsidRDefault="008F19AB" w:rsidP="008F19AB">
      <w:pPr>
        <w:pStyle w:val="Continuarlista2"/>
        <w:spacing w:after="0"/>
        <w:ind w:left="0"/>
        <w:rPr>
          <w:rFonts w:cs="Arial"/>
        </w:rPr>
      </w:pPr>
    </w:p>
    <w:p w14:paraId="1BCCCC7F" w14:textId="77777777" w:rsidR="008F19AB" w:rsidRPr="004648C4" w:rsidRDefault="008F19AB" w:rsidP="008F19AB">
      <w:pPr>
        <w:pStyle w:val="Continuarlista2"/>
        <w:spacing w:after="0"/>
        <w:ind w:left="0"/>
        <w:rPr>
          <w:rFonts w:cs="Arial"/>
        </w:rPr>
      </w:pPr>
      <w:r w:rsidRPr="004648C4">
        <w:rPr>
          <w:rFonts w:cs="Arial"/>
          <w:b/>
        </w:rPr>
        <w:t>ii)</w:t>
      </w:r>
      <w:r w:rsidRPr="004648C4">
        <w:rPr>
          <w:rFonts w:cs="Arial"/>
        </w:rPr>
        <w:t xml:space="preserve"> Observancia y cumplimiento de disposiciones legales. En este punto invocó el artículo 88 del C.P.C.A.</w:t>
      </w:r>
      <w:r w:rsidRPr="004648C4">
        <w:rPr>
          <w:rStyle w:val="Refdenotaalpie"/>
          <w:rFonts w:cs="Arial"/>
        </w:rPr>
        <w:footnoteReference w:id="5"/>
      </w:r>
      <w:r w:rsidRPr="004648C4">
        <w:rPr>
          <w:rFonts w:cs="Arial"/>
        </w:rPr>
        <w:t xml:space="preserve">, contentivo de presunción de legalidad de los actos administrativos, en relación con el </w:t>
      </w:r>
      <w:r w:rsidRPr="004648C4">
        <w:rPr>
          <w:rFonts w:cs="Arial"/>
          <w:b/>
        </w:rPr>
        <w:t>acto de liquidación unilateral</w:t>
      </w:r>
      <w:r w:rsidRPr="004648C4">
        <w:rPr>
          <w:rFonts w:cs="Arial"/>
        </w:rPr>
        <w:t>, contenido en la Resolución 268 de 2 de septiembre de 2011, notificado por edicto fijado el 22 de septiembre de 2011 y desfijado el 5 de octubre de 2011, “</w:t>
      </w:r>
      <w:r w:rsidRPr="004648C4">
        <w:rPr>
          <w:rFonts w:cs="Arial"/>
          <w:i/>
        </w:rPr>
        <w:t>acto contra el cual no se interpuso recurso alguno”</w:t>
      </w:r>
      <w:r w:rsidRPr="004648C4">
        <w:rPr>
          <w:rStyle w:val="Refdenotaalpie"/>
          <w:rFonts w:cs="Arial"/>
        </w:rPr>
        <w:footnoteReference w:id="6"/>
      </w:r>
      <w:r w:rsidRPr="004648C4">
        <w:rPr>
          <w:rFonts w:cs="Arial"/>
        </w:rPr>
        <w:t>. El municipio allegó como prueba la copia del acto administrativo de liquidación unilateral, copia del edicto y la constancia de la guía de la notificación enviada a la contratista.</w:t>
      </w:r>
    </w:p>
    <w:p w14:paraId="1ACDD7C4" w14:textId="77777777" w:rsidR="008F19AB" w:rsidRPr="004648C4" w:rsidRDefault="008F19AB" w:rsidP="008F19AB">
      <w:pPr>
        <w:pStyle w:val="Continuarlista2"/>
        <w:spacing w:after="0"/>
        <w:ind w:left="0"/>
        <w:rPr>
          <w:rFonts w:cs="Arial"/>
        </w:rPr>
      </w:pPr>
    </w:p>
    <w:p w14:paraId="65DB3372" w14:textId="77777777" w:rsidR="008F19AB" w:rsidRPr="004648C4" w:rsidRDefault="008F19AB" w:rsidP="008F19AB">
      <w:pPr>
        <w:pStyle w:val="Continuarlista2"/>
        <w:spacing w:after="0"/>
        <w:ind w:left="0"/>
        <w:rPr>
          <w:rFonts w:cs="Arial"/>
        </w:rPr>
      </w:pPr>
      <w:r w:rsidRPr="004648C4">
        <w:rPr>
          <w:rFonts w:cs="Arial"/>
          <w:b/>
        </w:rPr>
        <w:t>iii)</w:t>
      </w:r>
      <w:r w:rsidRPr="004648C4">
        <w:rPr>
          <w:rFonts w:cs="Arial"/>
        </w:rPr>
        <w:t xml:space="preserve"> Igualmente, el municipio expuso la excepción de caducidad e inepta demanda, teniendo en cuenta el referido acto de liquidación unilateral del contrato.</w:t>
      </w:r>
    </w:p>
    <w:p w14:paraId="255193ED" w14:textId="77777777" w:rsidR="008F19AB" w:rsidRPr="004648C4" w:rsidRDefault="008F19AB" w:rsidP="008F19AB">
      <w:pPr>
        <w:pStyle w:val="Continuarlista2"/>
        <w:spacing w:after="0"/>
        <w:ind w:left="0"/>
        <w:rPr>
          <w:rFonts w:cs="Arial"/>
        </w:rPr>
      </w:pPr>
    </w:p>
    <w:p w14:paraId="45A4BA12" w14:textId="77777777" w:rsidR="008F19AB" w:rsidRPr="004648C4" w:rsidRDefault="008F19AB" w:rsidP="008F19AB">
      <w:pPr>
        <w:pStyle w:val="Continuarlista2"/>
        <w:spacing w:after="0"/>
        <w:ind w:left="0"/>
        <w:rPr>
          <w:rFonts w:cs="Arial"/>
        </w:rPr>
      </w:pPr>
      <w:r w:rsidRPr="004648C4">
        <w:rPr>
          <w:rFonts w:cs="Arial"/>
          <w:b/>
        </w:rPr>
        <w:t>iv)</w:t>
      </w:r>
      <w:r w:rsidRPr="004648C4">
        <w:rPr>
          <w:rFonts w:cs="Arial"/>
        </w:rPr>
        <w:t xml:space="preserve"> Por último, afirmó la falta de causa para pedir, respecto de lo cual observó que las prórrogas fueron solicitadas por el propio interventor. </w:t>
      </w:r>
    </w:p>
    <w:p w14:paraId="5B832F9C" w14:textId="77777777" w:rsidR="008F19AB" w:rsidRPr="004648C4" w:rsidRDefault="008F19AB" w:rsidP="008F19AB">
      <w:pPr>
        <w:pStyle w:val="Continuarlista2"/>
        <w:spacing w:after="0"/>
        <w:ind w:left="0"/>
        <w:rPr>
          <w:rFonts w:cs="Arial"/>
        </w:rPr>
      </w:pPr>
    </w:p>
    <w:p w14:paraId="52C6632A" w14:textId="77777777" w:rsidR="008F19AB" w:rsidRPr="004648C4" w:rsidRDefault="008F19AB" w:rsidP="008F19AB">
      <w:pPr>
        <w:rPr>
          <w:rFonts w:cs="Arial"/>
          <w:bCs/>
          <w:iCs/>
        </w:rPr>
      </w:pPr>
      <w:r w:rsidRPr="004648C4">
        <w:rPr>
          <w:rFonts w:cs="Arial"/>
          <w:b/>
          <w:bCs/>
          <w:iCs/>
        </w:rPr>
        <w:t xml:space="preserve">3.3. </w:t>
      </w:r>
      <w:r w:rsidRPr="004648C4">
        <w:rPr>
          <w:rFonts w:cs="Arial"/>
          <w:bCs/>
          <w:iCs/>
        </w:rPr>
        <w:t xml:space="preserve">El Tribunal Administrativo de Antioquia decretó las pruebas solicitadas por las partes, mediante auto de 5 de noviembre de 2013. </w:t>
      </w:r>
    </w:p>
    <w:p w14:paraId="1FD726E4" w14:textId="77777777" w:rsidR="008F19AB" w:rsidRPr="004648C4" w:rsidRDefault="008F19AB" w:rsidP="008F19AB">
      <w:pPr>
        <w:pStyle w:val="Lista2"/>
        <w:ind w:left="0" w:firstLine="0"/>
        <w:rPr>
          <w:rFonts w:cs="Arial"/>
          <w:b/>
        </w:rPr>
      </w:pPr>
    </w:p>
    <w:p w14:paraId="1BFBAA22" w14:textId="77777777" w:rsidR="008F19AB" w:rsidRPr="004648C4" w:rsidRDefault="008F19AB" w:rsidP="008F19AB">
      <w:pPr>
        <w:pStyle w:val="Lista2"/>
        <w:ind w:left="0" w:firstLine="0"/>
        <w:rPr>
          <w:rFonts w:cs="Arial"/>
          <w:b/>
        </w:rPr>
      </w:pPr>
      <w:r w:rsidRPr="004648C4">
        <w:rPr>
          <w:rFonts w:cs="Arial"/>
          <w:b/>
        </w:rPr>
        <w:t>4. La sentencia impugnada</w:t>
      </w:r>
    </w:p>
    <w:p w14:paraId="20BAA1C3" w14:textId="77777777" w:rsidR="008F19AB" w:rsidRPr="004648C4" w:rsidRDefault="008F19AB" w:rsidP="008F19AB">
      <w:pPr>
        <w:numPr>
          <w:ilvl w:val="12"/>
          <w:numId w:val="0"/>
        </w:numPr>
        <w:rPr>
          <w:rFonts w:cs="Arial"/>
          <w:bCs/>
        </w:rPr>
      </w:pPr>
    </w:p>
    <w:p w14:paraId="32DC6D4A" w14:textId="77777777" w:rsidR="008F19AB" w:rsidRPr="004648C4" w:rsidRDefault="008F19AB" w:rsidP="008F19AB">
      <w:pPr>
        <w:pStyle w:val="Continuarlista2"/>
        <w:spacing w:after="0"/>
        <w:ind w:left="0"/>
        <w:rPr>
          <w:rFonts w:cs="Arial"/>
        </w:rPr>
      </w:pPr>
      <w:r w:rsidRPr="004648C4">
        <w:rPr>
          <w:rFonts w:cs="Arial"/>
        </w:rPr>
        <w:t xml:space="preserve">El Tribunal Administrativo de Antioquia profirió sentencia el 16 de octubre de 2015. </w:t>
      </w:r>
    </w:p>
    <w:p w14:paraId="4D59733E" w14:textId="77777777" w:rsidR="008F19AB" w:rsidRPr="004648C4" w:rsidRDefault="008F19AB" w:rsidP="008F19AB">
      <w:pPr>
        <w:pStyle w:val="Continuarlista2"/>
        <w:spacing w:after="0"/>
        <w:ind w:left="0"/>
        <w:rPr>
          <w:rFonts w:cs="Arial"/>
        </w:rPr>
      </w:pPr>
    </w:p>
    <w:p w14:paraId="7BA6F6AC" w14:textId="77777777" w:rsidR="008F19AB" w:rsidRPr="004648C4" w:rsidRDefault="008F19AB" w:rsidP="008F19AB">
      <w:pPr>
        <w:pStyle w:val="Continuarlista2"/>
        <w:spacing w:after="0"/>
        <w:ind w:left="0"/>
        <w:rPr>
          <w:rFonts w:cs="Arial"/>
        </w:rPr>
      </w:pPr>
      <w:r w:rsidRPr="004648C4">
        <w:rPr>
          <w:rFonts w:cs="Arial"/>
        </w:rPr>
        <w:t xml:space="preserve">En primer lugar, observó que no había ocurrido la caducidad de la acción, dado que la Resolución 268, mediante la cual se liquidó el contrato, se expidió el 2 de septiembre de 2011, y el edicto correspondiente se desfijó el 5 de octubre de 2011, al paso que la demanda se presentó el 1º de junio de 2012, en forma oportuna, toda </w:t>
      </w:r>
      <w:r w:rsidRPr="004648C4">
        <w:rPr>
          <w:rFonts w:cs="Arial"/>
        </w:rPr>
        <w:lastRenderedPageBreak/>
        <w:t>vez que no había transcurrido el plazo de dos años fijado en el literal c) del numeral 10 del artículo 136 del C.C.A.</w:t>
      </w:r>
    </w:p>
    <w:p w14:paraId="4F522CEE" w14:textId="77777777" w:rsidR="008F19AB" w:rsidRPr="004648C4" w:rsidRDefault="008F19AB" w:rsidP="008F19AB">
      <w:pPr>
        <w:pStyle w:val="Lista2"/>
        <w:ind w:left="0" w:firstLine="0"/>
        <w:rPr>
          <w:rFonts w:cs="Arial"/>
          <w:lang w:val="es-MX"/>
        </w:rPr>
      </w:pPr>
    </w:p>
    <w:p w14:paraId="1E927776" w14:textId="77777777" w:rsidR="008F19AB" w:rsidRPr="004648C4" w:rsidRDefault="008F19AB" w:rsidP="008F19AB">
      <w:pPr>
        <w:pStyle w:val="Lista2"/>
        <w:ind w:left="0" w:firstLine="0"/>
        <w:rPr>
          <w:rFonts w:cs="Arial"/>
          <w:lang w:val="es-MX"/>
        </w:rPr>
      </w:pPr>
      <w:r w:rsidRPr="004648C4">
        <w:rPr>
          <w:rFonts w:cs="Arial"/>
          <w:lang w:val="es-MX"/>
        </w:rPr>
        <w:t xml:space="preserve">En segundo lugar, el Tribunal </w:t>
      </w:r>
      <w:r w:rsidRPr="004648C4">
        <w:rPr>
          <w:rFonts w:cs="Arial"/>
          <w:i/>
          <w:lang w:val="es-MX"/>
        </w:rPr>
        <w:t>a quo</w:t>
      </w:r>
      <w:r w:rsidRPr="004648C4">
        <w:rPr>
          <w:rFonts w:cs="Arial"/>
          <w:lang w:val="es-MX"/>
        </w:rPr>
        <w:t xml:space="preserve"> consideró que, de acuerdo con la jurisprudencia del Consejo de Estado</w:t>
      </w:r>
      <w:r w:rsidRPr="004648C4">
        <w:rPr>
          <w:rStyle w:val="Refdenotaalpie"/>
          <w:rFonts w:cs="Arial"/>
          <w:lang w:val="es-MX"/>
        </w:rPr>
        <w:footnoteReference w:id="7"/>
      </w:r>
      <w:r w:rsidRPr="004648C4">
        <w:rPr>
          <w:rFonts w:cs="Arial"/>
          <w:lang w:val="es-MX"/>
        </w:rPr>
        <w:t>, una vez que se profiere el acto administrativo de liquidación unilateral del contrato, solamente es factible alegar en sede judicial el incumplimiento, realizando una censura de legalidad contra el referido acto administrativo.</w:t>
      </w:r>
    </w:p>
    <w:p w14:paraId="73FDAAE7" w14:textId="77777777" w:rsidR="008F19AB" w:rsidRPr="004648C4" w:rsidRDefault="008F19AB" w:rsidP="008F19AB">
      <w:pPr>
        <w:pStyle w:val="Lista2"/>
        <w:ind w:left="0" w:firstLine="0"/>
        <w:rPr>
          <w:rFonts w:cs="Arial"/>
          <w:lang w:val="es-MX"/>
        </w:rPr>
      </w:pPr>
    </w:p>
    <w:p w14:paraId="6592533B" w14:textId="77777777" w:rsidR="008F19AB" w:rsidRPr="004648C4" w:rsidRDefault="008F19AB" w:rsidP="008F19AB">
      <w:pPr>
        <w:pStyle w:val="Lista2"/>
        <w:ind w:left="0" w:firstLine="0"/>
        <w:rPr>
          <w:rFonts w:cs="Arial"/>
          <w:lang w:val="es-MX"/>
        </w:rPr>
      </w:pPr>
      <w:r w:rsidRPr="004648C4">
        <w:rPr>
          <w:rFonts w:cs="Arial"/>
          <w:lang w:val="es-MX"/>
        </w:rPr>
        <w:t>Así las cosas, encontrando probado el acto administrativo de liquidación unilateral del contrato sub júdice, contenido en la Resolución 268 del 2 de septiembre de 2011, con su notificación por correo, dirigida a la representante de la unión temporal demandante y teniendo en cuenta que dicho acto administrativo no fue demandado a través de la acción de controversias contractuales que se impetró, el Tribunal Administrativo de Antioquia declaró probada la excepción de ineptitud sustantiva de la demanda y se inhibió para pronunciarse de fondo.</w:t>
      </w:r>
    </w:p>
    <w:p w14:paraId="398FED41" w14:textId="77777777" w:rsidR="008F19AB" w:rsidRPr="004648C4" w:rsidRDefault="008F19AB" w:rsidP="008F19AB">
      <w:pPr>
        <w:pStyle w:val="Lista2"/>
        <w:ind w:left="0" w:firstLine="0"/>
        <w:rPr>
          <w:rFonts w:cs="Arial"/>
          <w:b/>
          <w:lang w:val="es-MX"/>
        </w:rPr>
      </w:pPr>
    </w:p>
    <w:p w14:paraId="618DA2E3" w14:textId="77777777" w:rsidR="008F19AB" w:rsidRPr="004648C4" w:rsidRDefault="008F19AB" w:rsidP="008F19AB">
      <w:pPr>
        <w:pStyle w:val="Lista2"/>
        <w:ind w:left="0" w:firstLine="0"/>
        <w:rPr>
          <w:rFonts w:cs="Arial"/>
          <w:b/>
          <w:lang w:val="es-MX"/>
        </w:rPr>
      </w:pPr>
      <w:r w:rsidRPr="004648C4">
        <w:rPr>
          <w:rFonts w:cs="Arial"/>
          <w:b/>
          <w:lang w:val="es-MX"/>
        </w:rPr>
        <w:t xml:space="preserve">5. El recurso de apelación </w:t>
      </w:r>
    </w:p>
    <w:p w14:paraId="11AEDB39" w14:textId="77777777" w:rsidR="008F19AB" w:rsidRPr="004648C4" w:rsidRDefault="008F19AB" w:rsidP="008F19AB">
      <w:pPr>
        <w:rPr>
          <w:rFonts w:cs="Arial"/>
          <w:bCs/>
          <w:lang w:val="es-MX"/>
        </w:rPr>
      </w:pPr>
    </w:p>
    <w:p w14:paraId="7C1CDDBD" w14:textId="77777777" w:rsidR="008F19AB" w:rsidRPr="004648C4" w:rsidRDefault="008F19AB" w:rsidP="008F19AB">
      <w:pPr>
        <w:pStyle w:val="Textoindependiente"/>
        <w:rPr>
          <w:rFonts w:cs="Arial"/>
          <w:szCs w:val="24"/>
        </w:rPr>
      </w:pPr>
      <w:r w:rsidRPr="004648C4">
        <w:rPr>
          <w:rFonts w:cs="Arial"/>
          <w:szCs w:val="24"/>
        </w:rPr>
        <w:t xml:space="preserve">La parte demandante impugnó la sentencia de primera instancia el 29 de octubre de 2015 y sustentó su recurso mediante dos escritos presentados ante el Tribunal </w:t>
      </w:r>
      <w:r w:rsidRPr="004648C4">
        <w:rPr>
          <w:rFonts w:cs="Arial"/>
          <w:i/>
          <w:szCs w:val="24"/>
        </w:rPr>
        <w:t>a quo</w:t>
      </w:r>
      <w:r w:rsidRPr="004648C4">
        <w:rPr>
          <w:rFonts w:cs="Arial"/>
          <w:szCs w:val="24"/>
        </w:rPr>
        <w:t xml:space="preserve">. </w:t>
      </w:r>
    </w:p>
    <w:p w14:paraId="7A739929" w14:textId="77777777" w:rsidR="008F19AB" w:rsidRPr="004648C4" w:rsidRDefault="008F19AB" w:rsidP="008F19AB">
      <w:pPr>
        <w:pStyle w:val="Textoindependiente"/>
        <w:rPr>
          <w:rFonts w:cs="Arial"/>
          <w:szCs w:val="24"/>
        </w:rPr>
      </w:pPr>
    </w:p>
    <w:p w14:paraId="3FC7C3B0" w14:textId="77777777" w:rsidR="008F19AB" w:rsidRPr="004648C4" w:rsidRDefault="008F19AB" w:rsidP="008F19AB">
      <w:pPr>
        <w:pStyle w:val="Textoindependiente"/>
        <w:rPr>
          <w:rFonts w:cs="Arial"/>
          <w:szCs w:val="24"/>
        </w:rPr>
      </w:pPr>
      <w:r w:rsidRPr="004648C4">
        <w:rPr>
          <w:rFonts w:cs="Arial"/>
          <w:szCs w:val="24"/>
        </w:rPr>
        <w:t>El 25 de febrero de 2016, esta Corporación admitió el recurso de apelación.</w:t>
      </w:r>
    </w:p>
    <w:p w14:paraId="6DAB1246" w14:textId="77777777" w:rsidR="008F19AB" w:rsidRPr="004648C4" w:rsidRDefault="008F19AB" w:rsidP="008F19AB">
      <w:pPr>
        <w:pStyle w:val="Textoindependiente"/>
        <w:rPr>
          <w:rFonts w:cs="Arial"/>
          <w:szCs w:val="24"/>
        </w:rPr>
      </w:pPr>
    </w:p>
    <w:p w14:paraId="56E8F161" w14:textId="77777777" w:rsidR="008F19AB" w:rsidRPr="004648C4" w:rsidRDefault="008F19AB" w:rsidP="008F19AB">
      <w:pPr>
        <w:pStyle w:val="Textoindependiente"/>
        <w:rPr>
          <w:rFonts w:cs="Arial"/>
          <w:szCs w:val="24"/>
          <w:lang w:val="es-MX"/>
        </w:rPr>
      </w:pPr>
      <w:r w:rsidRPr="004648C4">
        <w:rPr>
          <w:rFonts w:cs="Arial"/>
          <w:szCs w:val="24"/>
          <w:lang w:val="es-MX"/>
        </w:rPr>
        <w:t xml:space="preserve">La parte demandante manifestó su inconformidad con la sentencia de primera instancia, fundándose en los siguientes argumentos: </w:t>
      </w:r>
    </w:p>
    <w:p w14:paraId="4180EA15" w14:textId="77777777" w:rsidR="008F19AB" w:rsidRPr="004648C4" w:rsidRDefault="008F19AB" w:rsidP="008F19AB">
      <w:pPr>
        <w:rPr>
          <w:rFonts w:cs="Arial"/>
          <w:bCs/>
          <w:lang w:val="es-MX"/>
        </w:rPr>
      </w:pPr>
    </w:p>
    <w:p w14:paraId="09A10B4A" w14:textId="77777777" w:rsidR="008F19AB" w:rsidRPr="004648C4" w:rsidRDefault="008F19AB" w:rsidP="008F19AB">
      <w:pPr>
        <w:rPr>
          <w:rFonts w:cs="Arial"/>
          <w:bCs/>
          <w:lang w:val="es-MX"/>
        </w:rPr>
      </w:pPr>
      <w:r w:rsidRPr="004648C4">
        <w:rPr>
          <w:rFonts w:cs="Arial"/>
          <w:b/>
          <w:bCs/>
          <w:lang w:val="es-MX"/>
        </w:rPr>
        <w:t>i)</w:t>
      </w:r>
      <w:r w:rsidRPr="004648C4">
        <w:rPr>
          <w:rFonts w:cs="Arial"/>
          <w:bCs/>
          <w:lang w:val="es-MX"/>
        </w:rPr>
        <w:t xml:space="preserve"> La existencia del contrato es independiente de su liquidación.</w:t>
      </w:r>
    </w:p>
    <w:p w14:paraId="023AB954" w14:textId="77777777" w:rsidR="008F19AB" w:rsidRPr="004648C4" w:rsidRDefault="008F19AB" w:rsidP="008F19AB">
      <w:pPr>
        <w:rPr>
          <w:rFonts w:cs="Arial"/>
          <w:bCs/>
          <w:lang w:val="es-MX"/>
        </w:rPr>
      </w:pPr>
    </w:p>
    <w:p w14:paraId="21E47BC6" w14:textId="77777777" w:rsidR="008F19AB" w:rsidRPr="004648C4" w:rsidRDefault="008F19AB" w:rsidP="008F19AB">
      <w:pPr>
        <w:rPr>
          <w:rFonts w:cs="Arial"/>
          <w:bCs/>
          <w:lang w:val="es-MX"/>
        </w:rPr>
      </w:pPr>
      <w:r w:rsidRPr="004648C4">
        <w:rPr>
          <w:rFonts w:cs="Arial"/>
          <w:b/>
          <w:bCs/>
          <w:lang w:val="es-MX"/>
        </w:rPr>
        <w:t>ii)</w:t>
      </w:r>
      <w:r w:rsidRPr="004648C4">
        <w:rPr>
          <w:rFonts w:cs="Arial"/>
          <w:bCs/>
          <w:lang w:val="es-MX"/>
        </w:rPr>
        <w:t xml:space="preserve"> La ley no exige en parte alguna que se demande el acto de liquidación para efectos de que se pueda debatir una pretensión contractual.</w:t>
      </w:r>
    </w:p>
    <w:p w14:paraId="556D0D82" w14:textId="77777777" w:rsidR="008F19AB" w:rsidRPr="004648C4" w:rsidRDefault="008F19AB" w:rsidP="008F19AB">
      <w:pPr>
        <w:rPr>
          <w:rFonts w:cs="Arial"/>
          <w:bCs/>
          <w:lang w:val="es-MX"/>
        </w:rPr>
      </w:pPr>
    </w:p>
    <w:p w14:paraId="53AC1602" w14:textId="77777777" w:rsidR="008F19AB" w:rsidRPr="004648C4" w:rsidRDefault="008F19AB" w:rsidP="008F19AB">
      <w:pPr>
        <w:rPr>
          <w:rFonts w:cs="Arial"/>
          <w:bCs/>
          <w:lang w:val="es-MX"/>
        </w:rPr>
      </w:pPr>
      <w:r w:rsidRPr="004648C4">
        <w:rPr>
          <w:rFonts w:cs="Arial"/>
          <w:b/>
          <w:bCs/>
          <w:lang w:val="es-MX"/>
        </w:rPr>
        <w:lastRenderedPageBreak/>
        <w:t>iii)</w:t>
      </w:r>
      <w:r w:rsidRPr="004648C4">
        <w:rPr>
          <w:rFonts w:cs="Arial"/>
          <w:bCs/>
          <w:lang w:val="es-MX"/>
        </w:rPr>
        <w:t xml:space="preserve"> El municipio de Medellín rechazó los reclamos de la U.T. y siempre se negó a aceptar la liquidación. Agregó que el municipio desplegó una estrategia para no realizar la liquidación debida y desconocer las peticiones que la U.T. le presentó oportunamente.</w:t>
      </w:r>
    </w:p>
    <w:p w14:paraId="0BD52625" w14:textId="77777777" w:rsidR="008F19AB" w:rsidRPr="004648C4" w:rsidRDefault="008F19AB" w:rsidP="008F19AB">
      <w:pPr>
        <w:rPr>
          <w:rFonts w:cs="Arial"/>
          <w:bCs/>
          <w:lang w:val="es-MX"/>
        </w:rPr>
      </w:pPr>
    </w:p>
    <w:p w14:paraId="0B24FDA3" w14:textId="77777777" w:rsidR="008F19AB" w:rsidRPr="004648C4" w:rsidRDefault="008F19AB" w:rsidP="008F19AB">
      <w:pPr>
        <w:rPr>
          <w:rFonts w:cs="Arial"/>
          <w:bCs/>
          <w:lang w:val="es-MX"/>
        </w:rPr>
      </w:pPr>
      <w:r w:rsidRPr="004648C4">
        <w:rPr>
          <w:rFonts w:cs="Arial"/>
          <w:b/>
          <w:bCs/>
          <w:lang w:val="es-MX"/>
        </w:rPr>
        <w:t>iv)</w:t>
      </w:r>
      <w:r w:rsidRPr="004648C4">
        <w:rPr>
          <w:rFonts w:cs="Arial"/>
          <w:bCs/>
          <w:lang w:val="es-MX"/>
        </w:rPr>
        <w:t xml:space="preserve"> Está demostrado que tuvo lugar un mayor volumen de trabajo, por razón de las adiciones de los contratos y convenios que se allegaron al plenario.</w:t>
      </w:r>
    </w:p>
    <w:p w14:paraId="2522FF6D" w14:textId="77777777" w:rsidR="008F19AB" w:rsidRPr="004648C4" w:rsidRDefault="008F19AB" w:rsidP="008F19AB">
      <w:pPr>
        <w:rPr>
          <w:rFonts w:cs="Arial"/>
          <w:bCs/>
          <w:lang w:val="es-MX"/>
        </w:rPr>
      </w:pPr>
    </w:p>
    <w:p w14:paraId="4AADCEB1" w14:textId="77777777" w:rsidR="008F19AB" w:rsidRPr="004648C4" w:rsidRDefault="008F19AB" w:rsidP="008F19AB">
      <w:pPr>
        <w:rPr>
          <w:rFonts w:cs="Arial"/>
          <w:bCs/>
          <w:lang w:val="es-MX"/>
        </w:rPr>
      </w:pPr>
      <w:r w:rsidRPr="004648C4">
        <w:rPr>
          <w:rFonts w:cs="Arial"/>
          <w:b/>
          <w:bCs/>
          <w:lang w:val="es-MX"/>
        </w:rPr>
        <w:t>v)</w:t>
      </w:r>
      <w:r w:rsidRPr="004648C4">
        <w:rPr>
          <w:rFonts w:cs="Arial"/>
          <w:bCs/>
          <w:lang w:val="es-MX"/>
        </w:rPr>
        <w:t xml:space="preserve"> En criterio de la apelante, está probado que el municipio incurrió en un incumplimiento por no haber reconocido </w:t>
      </w:r>
      <w:r w:rsidRPr="004648C4">
        <w:rPr>
          <w:rFonts w:cs="Arial"/>
          <w:bCs/>
          <w:i/>
          <w:lang w:val="es-MX"/>
        </w:rPr>
        <w:t>“los días de más que tuvo que trabajar”</w:t>
      </w:r>
      <w:r w:rsidRPr="004648C4">
        <w:rPr>
          <w:rFonts w:cs="Arial"/>
          <w:bCs/>
          <w:lang w:val="es-MX"/>
        </w:rPr>
        <w:t xml:space="preserve"> la unión temporal</w:t>
      </w:r>
      <w:r w:rsidRPr="004648C4">
        <w:rPr>
          <w:rStyle w:val="Refdenotaalpie"/>
          <w:rFonts w:cs="Arial"/>
          <w:bCs/>
          <w:lang w:val="es-MX"/>
        </w:rPr>
        <w:footnoteReference w:id="8"/>
      </w:r>
      <w:r w:rsidRPr="004648C4">
        <w:rPr>
          <w:rFonts w:cs="Arial"/>
          <w:bCs/>
          <w:lang w:val="es-MX"/>
        </w:rPr>
        <w:t xml:space="preserve">. Para soportar este punto, la apelante se detuvo en el análisis de las pruebas testimoniales y de la documentales allegadas al plenario, en especial, en los certificados de ejecución de los convenios objeto de la interventoría. </w:t>
      </w:r>
    </w:p>
    <w:p w14:paraId="08DF2AD4" w14:textId="77777777" w:rsidR="008F19AB" w:rsidRPr="004648C4" w:rsidRDefault="008F19AB" w:rsidP="008F19AB">
      <w:pPr>
        <w:rPr>
          <w:rFonts w:cs="Arial"/>
          <w:bCs/>
          <w:lang w:val="es-MX"/>
        </w:rPr>
      </w:pPr>
    </w:p>
    <w:p w14:paraId="747AC846" w14:textId="77777777" w:rsidR="008F19AB" w:rsidRPr="004648C4" w:rsidRDefault="008F19AB" w:rsidP="008F19AB">
      <w:pPr>
        <w:rPr>
          <w:rFonts w:cs="Arial"/>
          <w:bCs/>
          <w:lang w:val="es-MX"/>
        </w:rPr>
      </w:pPr>
      <w:r w:rsidRPr="004648C4">
        <w:rPr>
          <w:rFonts w:cs="Arial"/>
          <w:b/>
          <w:bCs/>
          <w:lang w:val="es-MX"/>
        </w:rPr>
        <w:t>vi)</w:t>
      </w:r>
      <w:r w:rsidRPr="004648C4">
        <w:rPr>
          <w:rFonts w:cs="Arial"/>
          <w:bCs/>
          <w:lang w:val="es-MX"/>
        </w:rPr>
        <w:t xml:space="preserve"> En igual forma, la apelante solicitó que se acoja el concepto que el Ministerio Público presentó en la primera instancia, en el cual se evidenció que el municipio no incluyó el monto de las contrapartidas de los convenios para estimar el valor del contrato de  interventoría y que de esa circunstancia se dejó constancia en el acta de 17 de diciembre de 2009, para efectos de revisarla al finalizar el contrato</w:t>
      </w:r>
      <w:r w:rsidRPr="004648C4">
        <w:rPr>
          <w:rStyle w:val="Refdenotaalpie"/>
          <w:rFonts w:cs="Arial"/>
          <w:bCs/>
          <w:lang w:val="es-MX"/>
        </w:rPr>
        <w:footnoteReference w:id="9"/>
      </w:r>
      <w:r w:rsidRPr="004648C4">
        <w:rPr>
          <w:rFonts w:cs="Arial"/>
          <w:bCs/>
          <w:lang w:val="es-MX"/>
        </w:rPr>
        <w:t xml:space="preserve">. </w:t>
      </w:r>
    </w:p>
    <w:p w14:paraId="25622DA7" w14:textId="77777777" w:rsidR="008F19AB" w:rsidRPr="004648C4" w:rsidRDefault="008F19AB" w:rsidP="008F19AB">
      <w:pPr>
        <w:rPr>
          <w:rFonts w:cs="Arial"/>
          <w:bCs/>
          <w:lang w:val="es-MX"/>
        </w:rPr>
      </w:pPr>
    </w:p>
    <w:p w14:paraId="427E1BD6" w14:textId="77777777" w:rsidR="008F19AB" w:rsidRPr="004648C4" w:rsidRDefault="008F19AB" w:rsidP="008F19AB">
      <w:pPr>
        <w:rPr>
          <w:rFonts w:cs="Arial"/>
          <w:b/>
          <w:bCs/>
          <w:lang w:val="es-MX"/>
        </w:rPr>
      </w:pPr>
      <w:r w:rsidRPr="004648C4">
        <w:rPr>
          <w:rFonts w:cs="Arial"/>
          <w:b/>
          <w:bCs/>
          <w:lang w:val="es-MX"/>
        </w:rPr>
        <w:t>6. Alegatos en segunda instancia</w:t>
      </w:r>
    </w:p>
    <w:p w14:paraId="7AFEB51C" w14:textId="77777777" w:rsidR="008F19AB" w:rsidRPr="004648C4" w:rsidRDefault="008F19AB" w:rsidP="008F19AB">
      <w:pPr>
        <w:rPr>
          <w:rFonts w:cs="Arial"/>
          <w:bCs/>
          <w:lang w:val="es-MX"/>
        </w:rPr>
      </w:pPr>
    </w:p>
    <w:p w14:paraId="1876E13F" w14:textId="77777777" w:rsidR="008F19AB" w:rsidRPr="004648C4" w:rsidRDefault="008F19AB" w:rsidP="008F19AB">
      <w:pPr>
        <w:rPr>
          <w:rFonts w:cs="Arial"/>
          <w:bCs/>
          <w:lang w:val="es-MX"/>
        </w:rPr>
      </w:pPr>
      <w:r w:rsidRPr="004648C4">
        <w:rPr>
          <w:rFonts w:cs="Arial"/>
          <w:bCs/>
          <w:lang w:val="es-MX"/>
        </w:rPr>
        <w:t xml:space="preserve">Dentro del término concedido para alegar, la U.T. reiteró los argumentos del escrito de apelación e invocó la aplicación del principio </w:t>
      </w:r>
      <w:r w:rsidRPr="004648C4">
        <w:rPr>
          <w:rFonts w:cs="Arial"/>
          <w:bCs/>
          <w:i/>
          <w:lang w:val="es-MX"/>
        </w:rPr>
        <w:t>iura novit curia,</w:t>
      </w:r>
      <w:r w:rsidRPr="004648C4">
        <w:rPr>
          <w:rFonts w:cs="Arial"/>
          <w:bCs/>
          <w:lang w:val="es-MX"/>
        </w:rPr>
        <w:t xml:space="preserve"> junto con el deber de decidir de fondo y la prohibición de </w:t>
      </w:r>
      <w:r w:rsidRPr="004648C4">
        <w:rPr>
          <w:rFonts w:cs="Arial"/>
          <w:bCs/>
          <w:i/>
          <w:lang w:val="es-MX"/>
        </w:rPr>
        <w:t>non liquet</w:t>
      </w:r>
      <w:r w:rsidRPr="004648C4">
        <w:rPr>
          <w:rFonts w:cs="Arial"/>
          <w:bCs/>
          <w:lang w:val="es-MX"/>
        </w:rPr>
        <w:t>, que en Colombia se traduce en el deber de otorgar una tutela judicial efectiva</w:t>
      </w:r>
      <w:r w:rsidRPr="004648C4">
        <w:rPr>
          <w:rStyle w:val="Refdenotaalpie"/>
          <w:rFonts w:cs="Arial"/>
          <w:bCs/>
          <w:lang w:val="es-MX"/>
        </w:rPr>
        <w:footnoteReference w:id="10"/>
      </w:r>
      <w:r w:rsidRPr="004648C4">
        <w:rPr>
          <w:rFonts w:cs="Arial"/>
          <w:bCs/>
          <w:lang w:val="es-MX"/>
        </w:rPr>
        <w:t xml:space="preserve">. </w:t>
      </w:r>
    </w:p>
    <w:p w14:paraId="23ABDAEC" w14:textId="77777777" w:rsidR="008F19AB" w:rsidRPr="004648C4" w:rsidRDefault="008F19AB" w:rsidP="008F19AB">
      <w:pPr>
        <w:rPr>
          <w:rFonts w:cs="Arial"/>
          <w:bCs/>
          <w:lang w:val="es-MX"/>
        </w:rPr>
      </w:pPr>
    </w:p>
    <w:p w14:paraId="12FA4995" w14:textId="77777777" w:rsidR="008F19AB" w:rsidRPr="004648C4" w:rsidRDefault="008F19AB" w:rsidP="008F19AB">
      <w:pPr>
        <w:rPr>
          <w:rFonts w:cs="Arial"/>
          <w:bCs/>
          <w:lang w:val="es-MX"/>
        </w:rPr>
      </w:pPr>
      <w:r w:rsidRPr="004648C4">
        <w:rPr>
          <w:rFonts w:cs="Arial"/>
          <w:bCs/>
          <w:lang w:val="es-MX"/>
        </w:rPr>
        <w:t>La parte demandada y el Ministerio Público guardaron silencio en esa oportunidad</w:t>
      </w:r>
      <w:r w:rsidRPr="004648C4">
        <w:rPr>
          <w:rStyle w:val="Refdenotaalpie"/>
          <w:rFonts w:cs="Arial"/>
          <w:bCs/>
          <w:lang w:val="es-MX"/>
        </w:rPr>
        <w:footnoteReference w:id="11"/>
      </w:r>
      <w:r w:rsidRPr="004648C4">
        <w:rPr>
          <w:rFonts w:cs="Arial"/>
          <w:bCs/>
          <w:lang w:val="es-MX"/>
        </w:rPr>
        <w:t>.</w:t>
      </w:r>
    </w:p>
    <w:p w14:paraId="26E5954C" w14:textId="77777777" w:rsidR="008F19AB" w:rsidRPr="004648C4" w:rsidRDefault="008F19AB" w:rsidP="008F19AB">
      <w:pPr>
        <w:jc w:val="center"/>
        <w:rPr>
          <w:rFonts w:cs="Arial"/>
          <w:b/>
        </w:rPr>
      </w:pPr>
    </w:p>
    <w:p w14:paraId="509D58FA" w14:textId="77777777" w:rsidR="008F19AB" w:rsidRPr="004648C4" w:rsidRDefault="008F19AB" w:rsidP="008F19AB">
      <w:pPr>
        <w:jc w:val="center"/>
        <w:rPr>
          <w:rFonts w:cs="Arial"/>
          <w:b/>
        </w:rPr>
      </w:pPr>
    </w:p>
    <w:p w14:paraId="3F6B5CE4" w14:textId="77777777" w:rsidR="008F19AB" w:rsidRPr="004648C4" w:rsidRDefault="008F19AB" w:rsidP="008F19AB">
      <w:pPr>
        <w:pStyle w:val="Lista"/>
        <w:ind w:left="0"/>
        <w:jc w:val="center"/>
        <w:rPr>
          <w:rFonts w:ascii="Arial" w:hAnsi="Arial" w:cs="Arial"/>
          <w:b/>
        </w:rPr>
      </w:pPr>
      <w:r w:rsidRPr="004648C4">
        <w:rPr>
          <w:rFonts w:ascii="Arial" w:hAnsi="Arial" w:cs="Arial"/>
          <w:b/>
        </w:rPr>
        <w:t>II.</w:t>
      </w:r>
      <w:r w:rsidRPr="004648C4">
        <w:rPr>
          <w:rFonts w:ascii="Arial" w:hAnsi="Arial" w:cs="Arial"/>
          <w:b/>
        </w:rPr>
        <w:tab/>
        <w:t>C O N S I D E R A C I O N E S</w:t>
      </w:r>
    </w:p>
    <w:p w14:paraId="14D76A27" w14:textId="77777777" w:rsidR="008F19AB" w:rsidRPr="004648C4" w:rsidRDefault="008F19AB" w:rsidP="008F19AB">
      <w:pPr>
        <w:jc w:val="center"/>
        <w:rPr>
          <w:rFonts w:cs="Arial"/>
          <w:b/>
        </w:rPr>
      </w:pPr>
    </w:p>
    <w:p w14:paraId="27100D0C" w14:textId="77777777" w:rsidR="008F19AB" w:rsidRPr="004648C4" w:rsidRDefault="008F19AB" w:rsidP="008F19AB">
      <w:pPr>
        <w:rPr>
          <w:rFonts w:cs="Arial"/>
        </w:rPr>
      </w:pPr>
    </w:p>
    <w:p w14:paraId="2DD145A6" w14:textId="77777777" w:rsidR="008F19AB" w:rsidRPr="004648C4" w:rsidRDefault="008F19AB" w:rsidP="008F19AB">
      <w:pPr>
        <w:widowControl w:val="0"/>
        <w:rPr>
          <w:rFonts w:cs="Arial"/>
        </w:rPr>
      </w:pPr>
      <w:r w:rsidRPr="004648C4">
        <w:rPr>
          <w:rFonts w:cs="Arial"/>
        </w:rPr>
        <w:t xml:space="preserve">Para resolver la segunda instancia de la presente </w:t>
      </w:r>
      <w:r w:rsidRPr="004648C4">
        <w:rPr>
          <w:rFonts w:cs="Arial"/>
          <w:i/>
        </w:rPr>
        <w:t>litis</w:t>
      </w:r>
      <w:r w:rsidRPr="004648C4">
        <w:rPr>
          <w:rFonts w:cs="Arial"/>
        </w:rPr>
        <w:t xml:space="preserve">, se abordarán los siguientes temas: </w:t>
      </w:r>
      <w:r w:rsidRPr="004648C4">
        <w:rPr>
          <w:rFonts w:cs="Arial"/>
          <w:b/>
        </w:rPr>
        <w:t>1)</w:t>
      </w:r>
      <w:r w:rsidRPr="004648C4">
        <w:rPr>
          <w:rFonts w:cs="Arial"/>
        </w:rPr>
        <w:t xml:space="preserve"> jurisdicción y competencia del Consejo de Estado; </w:t>
      </w:r>
      <w:r w:rsidRPr="004648C4">
        <w:rPr>
          <w:rFonts w:cs="Arial"/>
          <w:b/>
        </w:rPr>
        <w:t>2)</w:t>
      </w:r>
      <w:r w:rsidRPr="004648C4">
        <w:rPr>
          <w:rFonts w:cs="Arial"/>
        </w:rPr>
        <w:t xml:space="preserve"> oportunidad de la demanda; </w:t>
      </w:r>
      <w:r w:rsidRPr="004648C4">
        <w:rPr>
          <w:rFonts w:cs="Arial"/>
          <w:b/>
        </w:rPr>
        <w:t>3)</w:t>
      </w:r>
      <w:r w:rsidRPr="004648C4">
        <w:rPr>
          <w:rFonts w:cs="Arial"/>
        </w:rPr>
        <w:t xml:space="preserve"> reiteración de la jurisprudencia acerca de la demanda en forma en relación con un contrato que ha sido objeto del acto de liquidación unilateral; </w:t>
      </w:r>
      <w:r w:rsidRPr="004648C4">
        <w:rPr>
          <w:rFonts w:cs="Arial"/>
          <w:b/>
        </w:rPr>
        <w:t>4)</w:t>
      </w:r>
      <w:r w:rsidRPr="004648C4">
        <w:rPr>
          <w:rFonts w:cs="Arial"/>
          <w:bCs/>
          <w:color w:val="000000"/>
        </w:rPr>
        <w:t xml:space="preserve"> </w:t>
      </w:r>
      <w:r w:rsidRPr="004648C4">
        <w:rPr>
          <w:rFonts w:cs="Arial"/>
          <w:color w:val="000000"/>
        </w:rPr>
        <w:t xml:space="preserve">pruebas aportadas al proceso; </w:t>
      </w:r>
      <w:r w:rsidRPr="004648C4">
        <w:rPr>
          <w:rFonts w:cs="Arial"/>
          <w:b/>
        </w:rPr>
        <w:t>5)</w:t>
      </w:r>
      <w:r w:rsidRPr="004648C4">
        <w:rPr>
          <w:rFonts w:cs="Arial"/>
        </w:rPr>
        <w:t xml:space="preserve"> el caso concreto y </w:t>
      </w:r>
      <w:r w:rsidRPr="004648C4">
        <w:rPr>
          <w:rFonts w:cs="Arial"/>
          <w:b/>
        </w:rPr>
        <w:t>6)</w:t>
      </w:r>
      <w:r w:rsidRPr="004648C4">
        <w:rPr>
          <w:rFonts w:cs="Arial"/>
        </w:rPr>
        <w:t xml:space="preserve"> costas.</w:t>
      </w:r>
    </w:p>
    <w:p w14:paraId="5069C54C" w14:textId="77777777" w:rsidR="008F19AB" w:rsidRPr="004648C4" w:rsidRDefault="008F19AB" w:rsidP="008F19AB">
      <w:pPr>
        <w:pStyle w:val="NormalWeb"/>
        <w:spacing w:before="0" w:beforeAutospacing="0" w:after="0" w:afterAutospacing="0"/>
        <w:rPr>
          <w:rFonts w:cs="Arial"/>
        </w:rPr>
      </w:pPr>
    </w:p>
    <w:p w14:paraId="04C2E634" w14:textId="77777777" w:rsidR="008F19AB" w:rsidRPr="004648C4" w:rsidRDefault="008F19AB" w:rsidP="008F19AB">
      <w:pPr>
        <w:rPr>
          <w:rFonts w:cs="Arial"/>
          <w:b/>
          <w:lang w:val="es-CO"/>
        </w:rPr>
      </w:pPr>
      <w:r w:rsidRPr="004648C4">
        <w:rPr>
          <w:rFonts w:cs="Arial"/>
          <w:b/>
          <w:lang w:val="es-CO"/>
        </w:rPr>
        <w:t>1. Jurisdicción y competencia del Consejo de Estado</w:t>
      </w:r>
    </w:p>
    <w:p w14:paraId="44061A74" w14:textId="77777777" w:rsidR="008F19AB" w:rsidRPr="004648C4" w:rsidRDefault="008F19AB" w:rsidP="008F19AB">
      <w:pPr>
        <w:rPr>
          <w:rFonts w:cs="Arial"/>
          <w:b/>
          <w:lang w:val="es-CO"/>
        </w:rPr>
      </w:pPr>
    </w:p>
    <w:p w14:paraId="3931AB82" w14:textId="77777777" w:rsidR="008F19AB" w:rsidRPr="004648C4" w:rsidRDefault="008F19AB" w:rsidP="008F19AB">
      <w:pPr>
        <w:rPr>
          <w:rFonts w:cs="Arial"/>
          <w:b/>
          <w:lang w:val="es-CO"/>
        </w:rPr>
      </w:pPr>
      <w:r w:rsidRPr="004648C4">
        <w:rPr>
          <w:rFonts w:cs="Arial"/>
          <w:b/>
          <w:lang w:val="es-CO"/>
        </w:rPr>
        <w:t>1.1. Jurisdicción competente</w:t>
      </w:r>
    </w:p>
    <w:p w14:paraId="418D6C20" w14:textId="77777777" w:rsidR="008F19AB" w:rsidRPr="004648C4" w:rsidRDefault="008F19AB" w:rsidP="008F19AB">
      <w:pPr>
        <w:pStyle w:val="Textoindependiente"/>
        <w:autoSpaceDE/>
        <w:adjustRightInd/>
        <w:rPr>
          <w:rFonts w:cs="Arial"/>
          <w:szCs w:val="24"/>
          <w:lang w:val="es-CO"/>
        </w:rPr>
      </w:pPr>
    </w:p>
    <w:p w14:paraId="6979CF8E" w14:textId="77777777" w:rsidR="008F19AB" w:rsidRPr="004648C4" w:rsidRDefault="008F19AB" w:rsidP="008F19AB">
      <w:pPr>
        <w:rPr>
          <w:rFonts w:cs="Arial"/>
        </w:rPr>
      </w:pPr>
      <w:r w:rsidRPr="004648C4">
        <w:rPr>
          <w:rFonts w:cs="Arial"/>
        </w:rPr>
        <w:t>Con fundamento en el criterio orgánico que se adoptó en la Ley 80 de 1993</w:t>
      </w:r>
      <w:r w:rsidRPr="004648C4">
        <w:rPr>
          <w:rStyle w:val="Refdenotaalpie"/>
          <w:rFonts w:cs="Arial"/>
        </w:rPr>
        <w:footnoteReference w:id="12"/>
      </w:r>
      <w:r w:rsidRPr="004648C4">
        <w:rPr>
          <w:rFonts w:cs="Arial"/>
        </w:rPr>
        <w:t>, en concordancia con el artículo 82 del Código Contencioso Administrativo</w:t>
      </w:r>
      <w:r w:rsidRPr="004648C4">
        <w:rPr>
          <w:rStyle w:val="Refdenotaalpie"/>
          <w:rFonts w:cs="Arial"/>
        </w:rPr>
        <w:footnoteReference w:id="13"/>
      </w:r>
      <w:r w:rsidRPr="004648C4">
        <w:rPr>
          <w:rFonts w:cs="Arial"/>
        </w:rPr>
        <w:t>, siendo en este caso una de las partes del contrato sub júdice una entidad territorial de carácter estatal, se confirma la competencia de la Jurisdicción de lo Contencioso Administrativo para conocer del presente proceso.</w:t>
      </w:r>
    </w:p>
    <w:p w14:paraId="011C62D1" w14:textId="77777777" w:rsidR="008F19AB" w:rsidRPr="004648C4" w:rsidRDefault="008F19AB" w:rsidP="008F19AB">
      <w:pPr>
        <w:rPr>
          <w:rFonts w:cs="Arial"/>
        </w:rPr>
      </w:pPr>
    </w:p>
    <w:p w14:paraId="39079271" w14:textId="77777777" w:rsidR="008F19AB" w:rsidRPr="004648C4" w:rsidRDefault="008F19AB" w:rsidP="008F19AB">
      <w:pPr>
        <w:rPr>
          <w:rFonts w:cs="Arial"/>
          <w:b/>
          <w:color w:val="000000"/>
        </w:rPr>
      </w:pPr>
      <w:r w:rsidRPr="004648C4">
        <w:rPr>
          <w:rFonts w:cs="Arial"/>
          <w:b/>
          <w:color w:val="000000"/>
        </w:rPr>
        <w:t>1.2. Cuantía</w:t>
      </w:r>
    </w:p>
    <w:p w14:paraId="7289BA76" w14:textId="77777777" w:rsidR="008F19AB" w:rsidRPr="004648C4" w:rsidRDefault="008F19AB" w:rsidP="008F19AB">
      <w:pPr>
        <w:rPr>
          <w:rFonts w:cs="Arial"/>
        </w:rPr>
      </w:pPr>
    </w:p>
    <w:p w14:paraId="28C33C20" w14:textId="77777777" w:rsidR="008F19AB" w:rsidRPr="004648C4" w:rsidRDefault="008F19AB" w:rsidP="008F19AB">
      <w:pPr>
        <w:rPr>
          <w:rFonts w:cs="Arial"/>
        </w:rPr>
      </w:pPr>
      <w:r w:rsidRPr="004648C4">
        <w:rPr>
          <w:rFonts w:cs="Arial"/>
          <w:color w:val="000000"/>
        </w:rPr>
        <w:t>P</w:t>
      </w:r>
      <w:r w:rsidRPr="004648C4">
        <w:rPr>
          <w:rFonts w:cs="Arial"/>
        </w:rPr>
        <w:t>recisa la Sala que le asiste competencia para conocer del presente proceso, toda vez que los perjuicios se estimaron por la demandante en una suma superior a 500 S.M.L.M.V</w:t>
      </w:r>
      <w:r w:rsidRPr="004648C4">
        <w:rPr>
          <w:rStyle w:val="Refdenotaalpie"/>
          <w:rFonts w:cs="Arial"/>
        </w:rPr>
        <w:footnoteReference w:id="14"/>
      </w:r>
      <w:r w:rsidRPr="004648C4">
        <w:rPr>
          <w:rFonts w:cs="Arial"/>
        </w:rPr>
        <w:t>, establecida de conformidad con la Ley 1450 de 2011, para que en el presente proceso se cumpla con la segunda instancia ante el Consejo de Estado.</w:t>
      </w:r>
    </w:p>
    <w:p w14:paraId="64E669D2" w14:textId="77777777" w:rsidR="008F19AB" w:rsidRPr="004648C4" w:rsidRDefault="008F19AB" w:rsidP="008F19AB">
      <w:pPr>
        <w:rPr>
          <w:rFonts w:cs="Arial"/>
        </w:rPr>
      </w:pPr>
    </w:p>
    <w:p w14:paraId="76768117" w14:textId="77777777" w:rsidR="008F19AB" w:rsidRPr="004648C4" w:rsidRDefault="008F19AB" w:rsidP="008F19AB">
      <w:pPr>
        <w:spacing w:line="240" w:lineRule="auto"/>
        <w:rPr>
          <w:rFonts w:cs="Arial"/>
          <w:b/>
        </w:rPr>
      </w:pPr>
      <w:r w:rsidRPr="004648C4">
        <w:rPr>
          <w:rFonts w:cs="Arial"/>
          <w:b/>
        </w:rPr>
        <w:t xml:space="preserve">2. Oportunidad de la acción contractual </w:t>
      </w:r>
    </w:p>
    <w:p w14:paraId="3B434D76" w14:textId="77777777" w:rsidR="008F19AB" w:rsidRPr="004648C4" w:rsidRDefault="008F19AB" w:rsidP="008F19AB">
      <w:pPr>
        <w:rPr>
          <w:rFonts w:cs="Arial"/>
          <w:shd w:val="clear" w:color="auto" w:fill="FFFFFF"/>
        </w:rPr>
      </w:pPr>
    </w:p>
    <w:p w14:paraId="1FFF7652" w14:textId="77777777" w:rsidR="008F19AB" w:rsidRPr="004648C4" w:rsidRDefault="008F19AB" w:rsidP="008F19AB">
      <w:pPr>
        <w:rPr>
          <w:rFonts w:cs="Arial"/>
          <w:shd w:val="clear" w:color="auto" w:fill="FFFFFF"/>
        </w:rPr>
      </w:pPr>
      <w:r w:rsidRPr="004648C4">
        <w:rPr>
          <w:rFonts w:cs="Arial"/>
          <w:shd w:val="clear" w:color="auto" w:fill="FFFFFF"/>
        </w:rPr>
        <w:lastRenderedPageBreak/>
        <w:t>La Sala verifica que no ocurrió la caducidad de la acción contractual, toda vez que la demanda se presentó en término, tal como se expuso en la sentencia de primera instancia.</w:t>
      </w:r>
    </w:p>
    <w:p w14:paraId="266AE216" w14:textId="77777777" w:rsidR="008F19AB" w:rsidRPr="004648C4" w:rsidRDefault="008F19AB" w:rsidP="008F19AB">
      <w:pPr>
        <w:pStyle w:val="Sangradetextonormal"/>
        <w:spacing w:after="0"/>
        <w:ind w:left="0"/>
        <w:rPr>
          <w:rFonts w:ascii="Arial" w:hAnsi="Arial" w:cs="Arial"/>
          <w:szCs w:val="24"/>
          <w:lang w:val="es-CO" w:eastAsia="ar-SA"/>
        </w:rPr>
      </w:pPr>
    </w:p>
    <w:p w14:paraId="6D70259B" w14:textId="77777777" w:rsidR="008F19AB" w:rsidRPr="004648C4" w:rsidRDefault="008F19AB" w:rsidP="008F19AB">
      <w:pPr>
        <w:widowControl w:val="0"/>
        <w:spacing w:line="240" w:lineRule="auto"/>
        <w:rPr>
          <w:rFonts w:cs="Arial"/>
          <w:b/>
        </w:rPr>
      </w:pPr>
      <w:r w:rsidRPr="004648C4">
        <w:rPr>
          <w:rFonts w:cs="Arial"/>
          <w:b/>
        </w:rPr>
        <w:t>3. Reiteración de la jurisprudencia acerca de la demanda en forma en relación con un contrato que ha sido objeto del acto de liquidación unilateral</w:t>
      </w:r>
    </w:p>
    <w:p w14:paraId="025F8D52" w14:textId="77777777" w:rsidR="008F19AB" w:rsidRPr="004648C4" w:rsidRDefault="008F19AB" w:rsidP="008F19AB">
      <w:pPr>
        <w:widowControl w:val="0"/>
        <w:rPr>
          <w:rFonts w:cs="Arial"/>
          <w:b/>
        </w:rPr>
      </w:pPr>
    </w:p>
    <w:p w14:paraId="26BD2662" w14:textId="77777777" w:rsidR="008F19AB" w:rsidRPr="004648C4" w:rsidRDefault="008F19AB" w:rsidP="008F19AB">
      <w:pPr>
        <w:widowControl w:val="0"/>
        <w:rPr>
          <w:rFonts w:cs="Arial"/>
        </w:rPr>
      </w:pPr>
      <w:r w:rsidRPr="004648C4">
        <w:rPr>
          <w:rFonts w:cs="Arial"/>
        </w:rPr>
        <w:t>La jurisprudencia reiterada del Consejo de Estado</w:t>
      </w:r>
      <w:r w:rsidRPr="004648C4">
        <w:rPr>
          <w:rFonts w:cs="Arial"/>
          <w:vertAlign w:val="superscript"/>
        </w:rPr>
        <w:footnoteReference w:id="15"/>
      </w:r>
      <w:r w:rsidRPr="004648C4">
        <w:rPr>
          <w:rFonts w:cs="Arial"/>
        </w:rPr>
        <w:t xml:space="preserve"> ha declarado la ineptitud de la demanda en aquellos procesos en los cuales el contratista solicita que se condene a la entidad estatal por el incumplimiento del contrato o por la ruptura de la ecuación contractual, sin incluir en las pretensiones de su demanda aquella orientada a que se declare la nulidad del acto de liquidación unilateral del contrato, cuando el acto ha sido conocido por dicho contratista con anterioridad a la demanda o a la oportunidad procesal para reformarla. </w:t>
      </w:r>
    </w:p>
    <w:p w14:paraId="41763BCB" w14:textId="77777777" w:rsidR="008F19AB" w:rsidRPr="004648C4" w:rsidRDefault="008F19AB" w:rsidP="008F19AB">
      <w:pPr>
        <w:widowControl w:val="0"/>
        <w:rPr>
          <w:rFonts w:cs="Arial"/>
        </w:rPr>
      </w:pPr>
    </w:p>
    <w:p w14:paraId="6FE0C272" w14:textId="77777777" w:rsidR="008F19AB" w:rsidRPr="004648C4" w:rsidRDefault="008F19AB" w:rsidP="008F19AB">
      <w:pPr>
        <w:widowControl w:val="0"/>
        <w:rPr>
          <w:rFonts w:cs="Arial"/>
        </w:rPr>
      </w:pPr>
      <w:r w:rsidRPr="004648C4">
        <w:rPr>
          <w:rFonts w:cs="Arial"/>
        </w:rPr>
        <w:t>La razón de fondo de estas decisiones estriba en la presunción de legalidad del acto administrativo de liquidación unilateral del contrato, además de que se advierte que en su contenido material dicho acto condensa los aspectos concernientes al cruce final de cuentas relacionados con el cumplimiento o incumplimiento de las prestaciones contractuales y define las reclamaciones, que en caso como estos, constituyen el centro del litigio propuesto por la parte demandante.</w:t>
      </w:r>
    </w:p>
    <w:p w14:paraId="1C90783E" w14:textId="77777777" w:rsidR="008F19AB" w:rsidRPr="004648C4" w:rsidRDefault="008F19AB" w:rsidP="008F19AB">
      <w:pPr>
        <w:widowControl w:val="0"/>
        <w:rPr>
          <w:rFonts w:cs="Arial"/>
        </w:rPr>
      </w:pPr>
    </w:p>
    <w:p w14:paraId="6D619A7E" w14:textId="77777777" w:rsidR="008F19AB" w:rsidRPr="004648C4" w:rsidRDefault="008F19AB" w:rsidP="008F19AB">
      <w:pPr>
        <w:widowControl w:val="0"/>
        <w:rPr>
          <w:rFonts w:cs="Arial"/>
        </w:rPr>
      </w:pPr>
      <w:r w:rsidRPr="004648C4">
        <w:rPr>
          <w:rFonts w:cs="Arial"/>
        </w:rPr>
        <w:lastRenderedPageBreak/>
        <w:t>En esa línea, la Subsección A ha observado que resulta inaceptable que el demandante pretenda escindir la realidad de la ejecución contractual cuando reclama perjuicios por la inobservancia del contenido obligacional del contrato, sin llevar al debate procesal el acto de liquidación unilateral del contrato, postura que en ocasiones ha sido advertida como un mecanismo del contratista para evitar que se alleguen al proceso las decisiones que involucran el rechazo a los pagos reclamados o las que implican compensaciones realizadas en el acto de liquidación</w:t>
      </w:r>
      <w:r w:rsidRPr="004648C4">
        <w:rPr>
          <w:rFonts w:cs="Arial"/>
          <w:vertAlign w:val="superscript"/>
        </w:rPr>
        <w:footnoteReference w:id="16"/>
      </w:r>
      <w:r w:rsidRPr="004648C4">
        <w:rPr>
          <w:rFonts w:cs="Arial"/>
        </w:rPr>
        <w:t xml:space="preserve">. </w:t>
      </w:r>
    </w:p>
    <w:p w14:paraId="5470C7E9" w14:textId="77777777" w:rsidR="008F19AB" w:rsidRPr="004648C4" w:rsidRDefault="008F19AB" w:rsidP="008F19AB">
      <w:pPr>
        <w:widowControl w:val="0"/>
        <w:rPr>
          <w:rFonts w:cs="Arial"/>
        </w:rPr>
      </w:pPr>
    </w:p>
    <w:p w14:paraId="05B22478" w14:textId="77777777" w:rsidR="008F19AB" w:rsidRPr="004648C4" w:rsidRDefault="008F19AB" w:rsidP="008F19AB">
      <w:pPr>
        <w:widowControl w:val="0"/>
        <w:rPr>
          <w:rFonts w:cs="Arial"/>
        </w:rPr>
      </w:pPr>
      <w:r w:rsidRPr="004648C4">
        <w:rPr>
          <w:rFonts w:cs="Arial"/>
        </w:rPr>
        <w:t>No puede perderse de vista que el acto de liquidación unilateral es un estado financiero de propósito específico y en esa medida contiene el balance que define las cifras de ejecución final del contrato, a lo cual se agrega la fuerza de la presunción de legalidad del acto administrativo, de manera tal que dicho acto define: quién debe a quién, cuánto se debe y los conceptos que originan y componen la obligación resultante.</w:t>
      </w:r>
    </w:p>
    <w:p w14:paraId="1E2DB583" w14:textId="77777777" w:rsidR="008F19AB" w:rsidRPr="004648C4" w:rsidRDefault="008F19AB" w:rsidP="008F19AB">
      <w:pPr>
        <w:widowControl w:val="0"/>
        <w:rPr>
          <w:rFonts w:cs="Arial"/>
        </w:rPr>
      </w:pPr>
    </w:p>
    <w:p w14:paraId="5A99129E" w14:textId="77777777" w:rsidR="008F19AB" w:rsidRPr="004648C4" w:rsidRDefault="008F19AB" w:rsidP="008F19AB">
      <w:pPr>
        <w:widowControl w:val="0"/>
        <w:rPr>
          <w:rFonts w:cs="Arial"/>
        </w:rPr>
      </w:pPr>
      <w:r w:rsidRPr="004648C4">
        <w:rPr>
          <w:rFonts w:cs="Arial"/>
        </w:rPr>
        <w:t>Con fundamento en las anteriores consideraciones, en respeto del debido proceso y con apoyo en las disposiciones que definen el contenido de la demanda, el principio de congruencia y la presunción de legalidad del acto administrativo</w:t>
      </w:r>
      <w:r w:rsidRPr="004648C4">
        <w:rPr>
          <w:rStyle w:val="Refdenotaalpie"/>
          <w:rFonts w:cs="Arial"/>
        </w:rPr>
        <w:footnoteReference w:id="17"/>
      </w:r>
      <w:r w:rsidRPr="004648C4">
        <w:rPr>
          <w:rFonts w:cs="Arial"/>
        </w:rPr>
        <w:t xml:space="preserve">, se reitera la jurisprudencia en el sentido de que se debe declarar la ineptitud de la demanda frente a las pretensiones de incumplimiento o de restablecimiento del equilibrio económico en aquellos casos en que, habiéndose notificado el acto de liquidación unilateral, el mismo no es objeto de demanda de nulidad. Se afirma lo anterior, toda vez que su contenido resulta amparado por la presunción de legalidad y, por ello, la decisión que consta en el acto administrativo de liquidación unilateral no puede modificarse a través de un proceso judicial en el que dicho acto no ha sido </w:t>
      </w:r>
      <w:r w:rsidRPr="004648C4">
        <w:rPr>
          <w:rFonts w:cs="Arial"/>
        </w:rPr>
        <w:lastRenderedPageBreak/>
        <w:t xml:space="preserve">expuesto a su juzgamiento, como sucede en el supuesto de la demanda que pretende el reconocimiento de un mayor valor por concepto de la misma ejecución del contrato que se encuentra definida en el acto de liquidación unilateral del mismo. </w:t>
      </w:r>
    </w:p>
    <w:p w14:paraId="3D6C21CC" w14:textId="77777777" w:rsidR="008F19AB" w:rsidRPr="004648C4" w:rsidRDefault="008F19AB" w:rsidP="008F19AB">
      <w:pPr>
        <w:widowControl w:val="0"/>
        <w:rPr>
          <w:rFonts w:cs="Arial"/>
        </w:rPr>
      </w:pPr>
    </w:p>
    <w:p w14:paraId="7859663F" w14:textId="77777777" w:rsidR="008F19AB" w:rsidRPr="004648C4" w:rsidRDefault="008F19AB" w:rsidP="008F19AB">
      <w:pPr>
        <w:widowControl w:val="0"/>
        <w:rPr>
          <w:rFonts w:cs="Arial"/>
        </w:rPr>
      </w:pPr>
      <w:r w:rsidRPr="004648C4">
        <w:rPr>
          <w:rFonts w:cs="Arial"/>
        </w:rPr>
        <w:t>En este orden de ideas, en procesos como el que ahora ocupa la atención de la Sala, el requisito de la demanda en forma, exigido a través de la debida integración de la pretensión de nulidad del acto administrativo de liquidación unilateral, no es un arbitrio caprichoso de la jurisprudencia, ni puede imputarse como una denegación de justicia; por el contrario, se evidencia como un mecanismo de protección a la congruencia e integridad de la sentencia, que debe ser adoptada con fundamento en la ejecución completa del contrato y en el acto de liquidación correspondiente.</w:t>
      </w:r>
    </w:p>
    <w:p w14:paraId="18B4889C" w14:textId="77777777" w:rsidR="008F19AB" w:rsidRPr="004648C4" w:rsidRDefault="008F19AB" w:rsidP="008F19AB">
      <w:pPr>
        <w:widowControl w:val="0"/>
        <w:rPr>
          <w:rFonts w:cs="Arial"/>
        </w:rPr>
      </w:pPr>
    </w:p>
    <w:p w14:paraId="60E976C0" w14:textId="77777777" w:rsidR="008F19AB" w:rsidRPr="004648C4" w:rsidRDefault="008F19AB" w:rsidP="008F19AB">
      <w:pPr>
        <w:widowControl w:val="0"/>
        <w:rPr>
          <w:rFonts w:cs="Arial"/>
        </w:rPr>
      </w:pPr>
      <w:r w:rsidRPr="004648C4">
        <w:rPr>
          <w:rFonts w:cs="Arial"/>
        </w:rPr>
        <w:t>Por otra parte, se recuerda que de acuerdo con los artículos 60 de la Ley 80 de 1993 y 11 de la Ley 1150 de 2007</w:t>
      </w:r>
      <w:r w:rsidRPr="004648C4">
        <w:rPr>
          <w:rStyle w:val="Refdenotaalpie"/>
          <w:rFonts w:cs="Arial"/>
        </w:rPr>
        <w:footnoteReference w:id="18"/>
      </w:r>
      <w:r w:rsidRPr="004648C4">
        <w:rPr>
          <w:rFonts w:cs="Arial"/>
        </w:rPr>
        <w:t>, tratándose de un contrato de tracto sucesivo, es imperativa su liquidación y, en caso de que no se logre el acuerdo para la liquidación bilateral, la entidad estatal contratante tiene la potestad para liquidar el contrato en forma unilateral.</w:t>
      </w:r>
    </w:p>
    <w:p w14:paraId="777D98C9" w14:textId="77777777" w:rsidR="008F19AB" w:rsidRPr="004648C4" w:rsidRDefault="008F19AB" w:rsidP="008F19AB">
      <w:pPr>
        <w:widowControl w:val="0"/>
        <w:rPr>
          <w:rFonts w:cs="Arial"/>
        </w:rPr>
      </w:pPr>
    </w:p>
    <w:p w14:paraId="285B4C95" w14:textId="77777777" w:rsidR="008F19AB" w:rsidRPr="004648C4" w:rsidRDefault="008F19AB" w:rsidP="008F19AB">
      <w:pPr>
        <w:widowControl w:val="0"/>
        <w:autoSpaceDE w:val="0"/>
        <w:autoSpaceDN w:val="0"/>
        <w:adjustRightInd w:val="0"/>
        <w:rPr>
          <w:rFonts w:cs="Arial"/>
          <w:b/>
        </w:rPr>
      </w:pPr>
      <w:r w:rsidRPr="004648C4">
        <w:rPr>
          <w:rFonts w:cs="Arial"/>
          <w:b/>
        </w:rPr>
        <w:t xml:space="preserve">4. El caso concreto </w:t>
      </w:r>
    </w:p>
    <w:p w14:paraId="5195C9D1" w14:textId="77777777" w:rsidR="008F19AB" w:rsidRPr="004648C4" w:rsidRDefault="008F19AB" w:rsidP="008F19AB">
      <w:pPr>
        <w:widowControl w:val="0"/>
        <w:autoSpaceDE w:val="0"/>
        <w:autoSpaceDN w:val="0"/>
        <w:adjustRightInd w:val="0"/>
        <w:rPr>
          <w:rFonts w:cs="Arial"/>
        </w:rPr>
      </w:pPr>
    </w:p>
    <w:p w14:paraId="7A6C4105" w14:textId="77777777" w:rsidR="008F19AB" w:rsidRPr="004648C4" w:rsidRDefault="008F19AB" w:rsidP="008F19AB">
      <w:pPr>
        <w:pStyle w:val="Lista2"/>
        <w:ind w:left="0" w:firstLine="0"/>
        <w:rPr>
          <w:rFonts w:cs="Arial"/>
        </w:rPr>
      </w:pPr>
      <w:r w:rsidRPr="004648C4">
        <w:rPr>
          <w:rFonts w:cs="Arial"/>
        </w:rPr>
        <w:t xml:space="preserve">El </w:t>
      </w:r>
      <w:r w:rsidRPr="004648C4">
        <w:rPr>
          <w:rFonts w:cs="Arial"/>
          <w:b/>
        </w:rPr>
        <w:t>problema jurídico</w:t>
      </w:r>
      <w:r w:rsidRPr="004648C4">
        <w:rPr>
          <w:rFonts w:cs="Arial"/>
        </w:rPr>
        <w:t xml:space="preserve"> que se plantea en esta instancia consiste en determinar si se confirma o no la ineptitud de la demanda que fue declarada por el Tribunal </w:t>
      </w:r>
      <w:r w:rsidRPr="004648C4">
        <w:rPr>
          <w:rFonts w:cs="Arial"/>
          <w:i/>
        </w:rPr>
        <w:t xml:space="preserve">a quo, </w:t>
      </w:r>
      <w:r w:rsidRPr="004648C4">
        <w:rPr>
          <w:rFonts w:cs="Arial"/>
        </w:rPr>
        <w:t xml:space="preserve">teniendo en cuenta que la contratista no demandó la nulidad del acto de liquidación </w:t>
      </w:r>
      <w:r w:rsidRPr="004648C4">
        <w:rPr>
          <w:rFonts w:cs="Arial"/>
        </w:rPr>
        <w:lastRenderedPageBreak/>
        <w:t>unilateral del contrato</w:t>
      </w:r>
      <w:r w:rsidRPr="004648C4">
        <w:rPr>
          <w:rFonts w:cs="Arial"/>
          <w:i/>
        </w:rPr>
        <w:t>.</w:t>
      </w:r>
      <w:r w:rsidRPr="004648C4">
        <w:rPr>
          <w:rFonts w:cs="Arial"/>
        </w:rPr>
        <w:t xml:space="preserve"> Como consecuencia, sólo en el evento de que se revoque la sentencia de primera instancia, se abrirá paso el análisis de las pretensiones de la demanda. </w:t>
      </w:r>
    </w:p>
    <w:p w14:paraId="260764D0" w14:textId="77777777" w:rsidR="008F19AB" w:rsidRPr="004648C4" w:rsidRDefault="008F19AB" w:rsidP="008F19AB">
      <w:pPr>
        <w:widowControl w:val="0"/>
        <w:autoSpaceDE w:val="0"/>
        <w:autoSpaceDN w:val="0"/>
        <w:adjustRightInd w:val="0"/>
        <w:rPr>
          <w:rFonts w:cs="Arial"/>
        </w:rPr>
      </w:pPr>
    </w:p>
    <w:p w14:paraId="04B34D1E" w14:textId="77777777" w:rsidR="008F19AB" w:rsidRPr="004648C4" w:rsidRDefault="008F19AB" w:rsidP="008F19AB">
      <w:pPr>
        <w:widowControl w:val="0"/>
        <w:autoSpaceDE w:val="0"/>
        <w:autoSpaceDN w:val="0"/>
        <w:adjustRightInd w:val="0"/>
        <w:rPr>
          <w:rFonts w:cs="Arial"/>
        </w:rPr>
      </w:pPr>
      <w:r w:rsidRPr="004648C4">
        <w:rPr>
          <w:rFonts w:cs="Arial"/>
        </w:rPr>
        <w:t>En el presente proceso, la excepción presentada por el municipio de Medellín -y acogida en la sentencia de primera instancia- se fundó en la prueba de la Resolución No. 268 del 2 de septiembre de 2011, en la cual el municipio consideró las reclamaciones de la demandante y denegó los pagos adicionales, resolviendo liquidar unilateralmente el contrato 4600022823 de 2009.</w:t>
      </w:r>
    </w:p>
    <w:p w14:paraId="6DA22B4C" w14:textId="77777777" w:rsidR="008F19AB" w:rsidRPr="004648C4" w:rsidRDefault="008F19AB" w:rsidP="008F19AB">
      <w:pPr>
        <w:widowControl w:val="0"/>
        <w:autoSpaceDE w:val="0"/>
        <w:autoSpaceDN w:val="0"/>
        <w:adjustRightInd w:val="0"/>
        <w:rPr>
          <w:rFonts w:cs="Arial"/>
        </w:rPr>
      </w:pPr>
    </w:p>
    <w:p w14:paraId="0163F3AE" w14:textId="77777777" w:rsidR="008F19AB" w:rsidRPr="004648C4" w:rsidRDefault="008F19AB" w:rsidP="008F19AB">
      <w:pPr>
        <w:widowControl w:val="0"/>
        <w:autoSpaceDE w:val="0"/>
        <w:autoSpaceDN w:val="0"/>
        <w:adjustRightInd w:val="0"/>
        <w:rPr>
          <w:rFonts w:cs="Arial"/>
        </w:rPr>
      </w:pPr>
      <w:r w:rsidRPr="004648C4">
        <w:rPr>
          <w:rFonts w:cs="Arial"/>
        </w:rPr>
        <w:t>Es de la mayor importancia advertir que en dicho acto administrativo se detallaron las partidas ejecutadas y no ejecutadas del contrato, los dineros desembolsados por el municipio, así como el valor del anticipo y los pagos realizados a la U.T., lo cual arrojó un valor a reintegrar de $49’511.547 a favor del municipio</w:t>
      </w:r>
      <w:r w:rsidRPr="004648C4">
        <w:rPr>
          <w:rStyle w:val="Refdenotaalpie"/>
          <w:rFonts w:cs="Arial"/>
        </w:rPr>
        <w:footnoteReference w:id="19"/>
      </w:r>
      <w:r w:rsidRPr="004648C4">
        <w:rPr>
          <w:rFonts w:cs="Arial"/>
        </w:rPr>
        <w:t>.</w:t>
      </w:r>
    </w:p>
    <w:p w14:paraId="7288116E" w14:textId="77777777" w:rsidR="008F19AB" w:rsidRPr="004648C4" w:rsidRDefault="008F19AB" w:rsidP="008F19AB">
      <w:pPr>
        <w:widowControl w:val="0"/>
        <w:autoSpaceDE w:val="0"/>
        <w:autoSpaceDN w:val="0"/>
        <w:adjustRightInd w:val="0"/>
        <w:rPr>
          <w:rFonts w:cs="Arial"/>
        </w:rPr>
      </w:pPr>
    </w:p>
    <w:p w14:paraId="6911A424" w14:textId="77777777" w:rsidR="008F19AB" w:rsidRPr="004648C4" w:rsidRDefault="008F19AB" w:rsidP="008F19AB">
      <w:pPr>
        <w:widowControl w:val="0"/>
        <w:autoSpaceDE w:val="0"/>
        <w:autoSpaceDN w:val="0"/>
        <w:adjustRightInd w:val="0"/>
        <w:rPr>
          <w:rFonts w:cs="Arial"/>
        </w:rPr>
      </w:pPr>
      <w:r w:rsidRPr="004648C4">
        <w:rPr>
          <w:rFonts w:cs="Arial"/>
        </w:rPr>
        <w:t xml:space="preserve">Por su parte, la U.T. omitió demandar ese acto administrativo, que ya le había sido notificado cuando presentó la demanda y no se refirió a la ejecución financiera del contrato, a los valores que se dejaron de ejecutar en los convenios materia de la interventoría, ni a la liquidación de la suma que recibió como anticipo. </w:t>
      </w:r>
    </w:p>
    <w:p w14:paraId="64D2F622" w14:textId="77777777" w:rsidR="008F19AB" w:rsidRPr="004648C4" w:rsidRDefault="008F19AB" w:rsidP="008F19AB">
      <w:pPr>
        <w:widowControl w:val="0"/>
        <w:autoSpaceDE w:val="0"/>
        <w:autoSpaceDN w:val="0"/>
        <w:adjustRightInd w:val="0"/>
        <w:rPr>
          <w:rFonts w:cs="Arial"/>
        </w:rPr>
      </w:pPr>
    </w:p>
    <w:p w14:paraId="0C395643" w14:textId="77777777" w:rsidR="008F19AB" w:rsidRPr="004648C4" w:rsidRDefault="008F19AB" w:rsidP="008F19AB">
      <w:pPr>
        <w:widowControl w:val="0"/>
        <w:autoSpaceDE w:val="0"/>
        <w:autoSpaceDN w:val="0"/>
        <w:adjustRightInd w:val="0"/>
        <w:rPr>
          <w:rFonts w:cs="Arial"/>
        </w:rPr>
      </w:pPr>
      <w:r w:rsidRPr="004648C4">
        <w:rPr>
          <w:rFonts w:cs="Arial"/>
        </w:rPr>
        <w:t>De esta forma, no se puede acceder al estudio de las pretensiones de la demandante, toda vez que se estaría evaluando solo el aspecto al que quiere acotar la demanda, al paso que se desconocería el alcance de la excepción que, con razón, interpuso el municipio de Medellín, acompañando la prueba que hizo parte de las documentales decretadas en el proceso.</w:t>
      </w:r>
    </w:p>
    <w:p w14:paraId="0EAF0F00" w14:textId="77777777" w:rsidR="008F19AB" w:rsidRPr="004648C4" w:rsidRDefault="008F19AB" w:rsidP="008F19AB">
      <w:pPr>
        <w:widowControl w:val="0"/>
        <w:autoSpaceDE w:val="0"/>
        <w:autoSpaceDN w:val="0"/>
        <w:adjustRightInd w:val="0"/>
        <w:rPr>
          <w:rFonts w:cs="Arial"/>
        </w:rPr>
      </w:pPr>
    </w:p>
    <w:p w14:paraId="6CDF317D" w14:textId="77777777" w:rsidR="008F19AB" w:rsidRPr="004648C4" w:rsidRDefault="008F19AB" w:rsidP="008F19AB">
      <w:pPr>
        <w:widowControl w:val="0"/>
        <w:autoSpaceDE w:val="0"/>
        <w:autoSpaceDN w:val="0"/>
        <w:adjustRightInd w:val="0"/>
        <w:rPr>
          <w:rFonts w:cs="Arial"/>
        </w:rPr>
      </w:pPr>
      <w:r w:rsidRPr="004648C4">
        <w:rPr>
          <w:rFonts w:cs="Arial"/>
        </w:rPr>
        <w:t>Cobra sentido para el debido proceso y la tutela efectiva de los derechos de las partes en litigio acceder a las excepciones del municipio demandado y reiterar la ineptitud de la demanda por omisión del requisito de la demanda en forma, referido a la debida integración de las pretensiones de incumplimiento del contrato con las de nulidad del acto administrativo de liquidación unilateral.</w:t>
      </w:r>
    </w:p>
    <w:p w14:paraId="497A74FB" w14:textId="77777777" w:rsidR="008F19AB" w:rsidRPr="004648C4" w:rsidRDefault="008F19AB" w:rsidP="008F19AB">
      <w:pPr>
        <w:widowControl w:val="0"/>
        <w:autoSpaceDE w:val="0"/>
        <w:autoSpaceDN w:val="0"/>
        <w:adjustRightInd w:val="0"/>
        <w:rPr>
          <w:rFonts w:cs="Arial"/>
        </w:rPr>
      </w:pPr>
    </w:p>
    <w:p w14:paraId="79E6A2A9" w14:textId="77777777" w:rsidR="008F19AB" w:rsidRPr="004648C4" w:rsidRDefault="008F19AB" w:rsidP="008F19AB">
      <w:pPr>
        <w:widowControl w:val="0"/>
        <w:autoSpaceDE w:val="0"/>
        <w:autoSpaceDN w:val="0"/>
        <w:adjustRightInd w:val="0"/>
        <w:rPr>
          <w:rFonts w:cs="Arial"/>
        </w:rPr>
      </w:pPr>
      <w:r w:rsidRPr="004648C4">
        <w:rPr>
          <w:rFonts w:cs="Arial"/>
        </w:rPr>
        <w:t xml:space="preserve">Se puede agregar que el concepto del Ministerio Público, allegado en la primera instancia, no se refirió al acto de liquidación unilateral, ni a la jurisprudencia reiterada de esta Corporación en los litigios como el que ahora se debate, amén de que en el </w:t>
      </w:r>
      <w:r w:rsidRPr="004648C4">
        <w:rPr>
          <w:rFonts w:cs="Arial"/>
          <w:i/>
        </w:rPr>
        <w:lastRenderedPageBreak/>
        <w:t>“acta de instalación”,</w:t>
      </w:r>
      <w:r w:rsidRPr="004648C4">
        <w:rPr>
          <w:rFonts w:cs="Arial"/>
        </w:rPr>
        <w:t xml:space="preserve"> invocada en ese concepto</w:t>
      </w:r>
      <w:r w:rsidRPr="004648C4">
        <w:rPr>
          <w:rStyle w:val="Refdenotaalpie"/>
          <w:rFonts w:cs="Arial"/>
        </w:rPr>
        <w:footnoteReference w:id="20"/>
      </w:r>
      <w:r w:rsidRPr="004648C4">
        <w:rPr>
          <w:rFonts w:cs="Arial"/>
        </w:rPr>
        <w:t xml:space="preserve">, se estableció con claridad que se debía consolidar la ejecución financiera </w:t>
      </w:r>
      <w:r w:rsidRPr="004648C4">
        <w:rPr>
          <w:rFonts w:cs="Arial"/>
          <w:i/>
        </w:rPr>
        <w:t>“real y global de los convenios”</w:t>
      </w:r>
      <w:r w:rsidRPr="004648C4">
        <w:rPr>
          <w:rFonts w:cs="Arial"/>
        </w:rPr>
        <w:t xml:space="preserve"> para efectos de establecer si procedía una </w:t>
      </w:r>
      <w:r w:rsidRPr="004648C4">
        <w:rPr>
          <w:rFonts w:cs="Arial"/>
          <w:i/>
        </w:rPr>
        <w:t xml:space="preserve">“adición” </w:t>
      </w:r>
      <w:r w:rsidRPr="004648C4">
        <w:rPr>
          <w:rFonts w:cs="Arial"/>
        </w:rPr>
        <w:t>económica, asunto que precisamente quedó definido en la cuenta final de liquidación contenida en el acto administrativo que la demandante no impugnó.</w:t>
      </w:r>
    </w:p>
    <w:p w14:paraId="1FFB39AA" w14:textId="77777777" w:rsidR="008F19AB" w:rsidRPr="004648C4" w:rsidRDefault="008F19AB" w:rsidP="008F19AB">
      <w:pPr>
        <w:widowControl w:val="0"/>
        <w:autoSpaceDE w:val="0"/>
        <w:autoSpaceDN w:val="0"/>
        <w:adjustRightInd w:val="0"/>
        <w:rPr>
          <w:rFonts w:cs="Arial"/>
        </w:rPr>
      </w:pPr>
      <w:r w:rsidRPr="004648C4">
        <w:rPr>
          <w:rFonts w:cs="Arial"/>
        </w:rPr>
        <w:t xml:space="preserve"> </w:t>
      </w:r>
    </w:p>
    <w:p w14:paraId="03DFE370" w14:textId="77777777" w:rsidR="008F19AB" w:rsidRPr="004648C4" w:rsidRDefault="008F19AB" w:rsidP="008F19AB">
      <w:pPr>
        <w:widowControl w:val="0"/>
        <w:autoSpaceDE w:val="0"/>
        <w:autoSpaceDN w:val="0"/>
        <w:adjustRightInd w:val="0"/>
        <w:rPr>
          <w:rFonts w:cs="Arial"/>
        </w:rPr>
      </w:pPr>
      <w:r w:rsidRPr="004648C4">
        <w:rPr>
          <w:rFonts w:cs="Arial"/>
        </w:rPr>
        <w:t>Como consecuencia, se confirmará la sentencia de primera instancia.</w:t>
      </w:r>
    </w:p>
    <w:p w14:paraId="3F24E766" w14:textId="77777777" w:rsidR="008F19AB" w:rsidRPr="004648C4" w:rsidRDefault="008F19AB" w:rsidP="008F19AB">
      <w:pPr>
        <w:pStyle w:val="Sangradetextonormal"/>
        <w:spacing w:after="0"/>
        <w:ind w:left="0"/>
        <w:rPr>
          <w:rFonts w:ascii="Arial" w:hAnsi="Arial" w:cs="Arial"/>
          <w:szCs w:val="24"/>
          <w:lang w:val="es-CO" w:eastAsia="ar-SA"/>
        </w:rPr>
      </w:pPr>
    </w:p>
    <w:p w14:paraId="05CE183D" w14:textId="77777777" w:rsidR="008F19AB" w:rsidRPr="004648C4" w:rsidRDefault="008F19AB" w:rsidP="008F19AB">
      <w:pPr>
        <w:pStyle w:val="Lista2"/>
        <w:ind w:left="0" w:firstLine="0"/>
        <w:rPr>
          <w:rFonts w:cs="Arial"/>
          <w:b/>
        </w:rPr>
      </w:pPr>
      <w:r w:rsidRPr="004648C4">
        <w:rPr>
          <w:rFonts w:cs="Arial"/>
          <w:b/>
        </w:rPr>
        <w:t>5. Costas</w:t>
      </w:r>
    </w:p>
    <w:p w14:paraId="4E848A04" w14:textId="77777777" w:rsidR="008F19AB" w:rsidRPr="004648C4" w:rsidRDefault="008F19AB" w:rsidP="008F19AB">
      <w:pPr>
        <w:rPr>
          <w:rFonts w:cs="Arial"/>
        </w:rPr>
      </w:pPr>
    </w:p>
    <w:p w14:paraId="4DAF9B96" w14:textId="77777777" w:rsidR="008F19AB" w:rsidRPr="004648C4" w:rsidRDefault="008F19AB" w:rsidP="008F19AB">
      <w:pPr>
        <w:pStyle w:val="Continuarlista2"/>
        <w:spacing w:after="0"/>
        <w:ind w:left="0"/>
        <w:rPr>
          <w:rFonts w:cs="Arial"/>
        </w:rPr>
      </w:pPr>
      <w:r w:rsidRPr="004648C4">
        <w:rPr>
          <w:rFonts w:cs="Arial"/>
        </w:rPr>
        <w:t xml:space="preserve">Habida cuenta de que para el presente proceso aplica el artículo 55 de la Ley 446 de 1998, el cual indica que sólo hay lugar a la imposición de costas cuando alguna de las partes hubiere actuado temerariamente y, en el </w:t>
      </w:r>
      <w:r w:rsidRPr="004648C4">
        <w:rPr>
          <w:rFonts w:cs="Arial"/>
          <w:i/>
          <w:iCs/>
        </w:rPr>
        <w:t>sub lite</w:t>
      </w:r>
      <w:r w:rsidRPr="004648C4">
        <w:rPr>
          <w:rFonts w:cs="Arial"/>
        </w:rPr>
        <w:t>, ninguna de ellas actuó de esa forma, en el presente asunto no habrá lugar a imponer costas.</w:t>
      </w:r>
    </w:p>
    <w:p w14:paraId="64F0A50D" w14:textId="77777777" w:rsidR="008F19AB" w:rsidRPr="004648C4" w:rsidRDefault="008F19AB" w:rsidP="008F19AB">
      <w:pPr>
        <w:pStyle w:val="Textoindependiente22"/>
        <w:numPr>
          <w:ilvl w:val="12"/>
          <w:numId w:val="0"/>
        </w:numPr>
        <w:overflowPunct/>
        <w:autoSpaceDE/>
        <w:autoSpaceDN/>
        <w:adjustRightInd/>
        <w:textAlignment w:val="auto"/>
        <w:rPr>
          <w:rFonts w:cs="Arial"/>
          <w:szCs w:val="24"/>
        </w:rPr>
      </w:pPr>
    </w:p>
    <w:p w14:paraId="7EF8E293" w14:textId="77777777" w:rsidR="008F19AB" w:rsidRPr="004648C4" w:rsidRDefault="008F19AB" w:rsidP="008F19AB">
      <w:pPr>
        <w:pStyle w:val="Textoindependiente22"/>
        <w:numPr>
          <w:ilvl w:val="12"/>
          <w:numId w:val="0"/>
        </w:numPr>
        <w:overflowPunct/>
        <w:autoSpaceDE/>
        <w:autoSpaceDN/>
        <w:adjustRightInd/>
        <w:textAlignment w:val="auto"/>
        <w:rPr>
          <w:rFonts w:cs="Arial"/>
          <w:szCs w:val="24"/>
        </w:rPr>
      </w:pPr>
      <w:r w:rsidRPr="004648C4">
        <w:rPr>
          <w:rFonts w:cs="Arial"/>
          <w:szCs w:val="24"/>
        </w:rPr>
        <w:t>En mérito de lo expuesto, el Consejo de Estado, en Sala de lo Contencioso Administrativo, Sección Tercera, Subsección A, administrando justicia en nombre de la República de Colombia y por autoridad de la ley,</w:t>
      </w:r>
    </w:p>
    <w:p w14:paraId="2D190F19" w14:textId="77777777" w:rsidR="008F19AB" w:rsidRPr="004648C4" w:rsidRDefault="008F19AB" w:rsidP="008F19AB">
      <w:pPr>
        <w:rPr>
          <w:rFonts w:cs="Arial"/>
        </w:rPr>
      </w:pPr>
    </w:p>
    <w:p w14:paraId="356508ED" w14:textId="77777777" w:rsidR="008F19AB" w:rsidRPr="004648C4" w:rsidRDefault="008F19AB" w:rsidP="008F19AB">
      <w:pPr>
        <w:pStyle w:val="Ttulo5"/>
        <w:rPr>
          <w:rFonts w:cs="Arial"/>
          <w:bCs/>
          <w:sz w:val="24"/>
          <w:szCs w:val="24"/>
        </w:rPr>
      </w:pPr>
      <w:r w:rsidRPr="004648C4">
        <w:rPr>
          <w:rFonts w:cs="Arial"/>
          <w:bCs/>
          <w:sz w:val="24"/>
          <w:szCs w:val="24"/>
        </w:rPr>
        <w:t>F A L L A</w:t>
      </w:r>
    </w:p>
    <w:p w14:paraId="00143395" w14:textId="77777777" w:rsidR="008F19AB" w:rsidRPr="004648C4" w:rsidRDefault="008F19AB" w:rsidP="008F19AB">
      <w:pPr>
        <w:widowControl w:val="0"/>
        <w:autoSpaceDE w:val="0"/>
        <w:autoSpaceDN w:val="0"/>
        <w:adjustRightInd w:val="0"/>
        <w:rPr>
          <w:rFonts w:cs="Arial"/>
          <w:b/>
        </w:rPr>
      </w:pPr>
    </w:p>
    <w:p w14:paraId="220B998C" w14:textId="77777777" w:rsidR="008F19AB" w:rsidRPr="004648C4" w:rsidRDefault="008F19AB" w:rsidP="008F19AB">
      <w:pPr>
        <w:widowControl w:val="0"/>
        <w:autoSpaceDE w:val="0"/>
        <w:autoSpaceDN w:val="0"/>
        <w:adjustRightInd w:val="0"/>
        <w:rPr>
          <w:rFonts w:cs="Arial"/>
          <w:lang w:val="es-CO"/>
        </w:rPr>
      </w:pPr>
      <w:r w:rsidRPr="004648C4">
        <w:rPr>
          <w:rFonts w:cs="Arial"/>
          <w:b/>
        </w:rPr>
        <w:t xml:space="preserve">PRIMERO: CONFIRMAR </w:t>
      </w:r>
      <w:r w:rsidRPr="004648C4">
        <w:rPr>
          <w:rFonts w:cs="Arial"/>
          <w:lang w:val="es-CO"/>
        </w:rPr>
        <w:t>la sentencia proferida por el Tribunal Administrativo de Antioquia, Sala Sexta de Descongestión, el 16 de octubre de 2015.</w:t>
      </w:r>
    </w:p>
    <w:p w14:paraId="320E4F1A" w14:textId="77777777" w:rsidR="008F19AB" w:rsidRPr="004648C4" w:rsidRDefault="008F19AB" w:rsidP="008F19AB">
      <w:pPr>
        <w:widowControl w:val="0"/>
        <w:rPr>
          <w:rFonts w:cs="Arial"/>
        </w:rPr>
      </w:pPr>
    </w:p>
    <w:p w14:paraId="69FD653F" w14:textId="77777777" w:rsidR="008F19AB" w:rsidRPr="004648C4" w:rsidRDefault="008F19AB" w:rsidP="008F19AB">
      <w:pPr>
        <w:widowControl w:val="0"/>
        <w:autoSpaceDE w:val="0"/>
        <w:autoSpaceDN w:val="0"/>
        <w:adjustRightInd w:val="0"/>
        <w:rPr>
          <w:rFonts w:cs="Arial"/>
        </w:rPr>
      </w:pPr>
      <w:r w:rsidRPr="004648C4">
        <w:rPr>
          <w:rFonts w:cs="Arial"/>
          <w:b/>
        </w:rPr>
        <w:t xml:space="preserve">SEGUNDO: </w:t>
      </w:r>
      <w:r w:rsidRPr="004648C4">
        <w:rPr>
          <w:rFonts w:cs="Arial"/>
        </w:rPr>
        <w:t>Sin condena en costas.</w:t>
      </w:r>
    </w:p>
    <w:p w14:paraId="392202B2" w14:textId="77777777" w:rsidR="008F19AB" w:rsidRPr="004648C4" w:rsidRDefault="008F19AB" w:rsidP="008F19AB">
      <w:pPr>
        <w:widowControl w:val="0"/>
        <w:autoSpaceDE w:val="0"/>
        <w:autoSpaceDN w:val="0"/>
        <w:adjustRightInd w:val="0"/>
        <w:rPr>
          <w:rFonts w:cs="Arial"/>
        </w:rPr>
      </w:pPr>
    </w:p>
    <w:p w14:paraId="68CE3436" w14:textId="77777777" w:rsidR="008F19AB" w:rsidRPr="004648C4" w:rsidRDefault="008F19AB" w:rsidP="008F19AB">
      <w:pPr>
        <w:widowControl w:val="0"/>
        <w:autoSpaceDE w:val="0"/>
        <w:autoSpaceDN w:val="0"/>
        <w:adjustRightInd w:val="0"/>
        <w:rPr>
          <w:rFonts w:cs="Arial"/>
        </w:rPr>
      </w:pPr>
      <w:r w:rsidRPr="004648C4">
        <w:rPr>
          <w:rFonts w:cs="Arial"/>
          <w:b/>
        </w:rPr>
        <w:t xml:space="preserve">TERCERO: </w:t>
      </w:r>
      <w:r w:rsidRPr="004648C4">
        <w:rPr>
          <w:rFonts w:cs="Arial"/>
        </w:rPr>
        <w:t>En firme esta providencia, devuélvase el expediente al Tribunal de origen.</w:t>
      </w:r>
    </w:p>
    <w:p w14:paraId="49B5FBBF" w14:textId="77777777" w:rsidR="008F19AB" w:rsidRPr="004648C4" w:rsidRDefault="008F19AB" w:rsidP="008F19AB">
      <w:pPr>
        <w:jc w:val="center"/>
        <w:rPr>
          <w:rFonts w:cs="Arial"/>
          <w:b/>
          <w:bCs/>
          <w:noProof/>
        </w:rPr>
      </w:pPr>
    </w:p>
    <w:p w14:paraId="65879917" w14:textId="77777777" w:rsidR="008F19AB" w:rsidRPr="004648C4" w:rsidRDefault="008F19AB" w:rsidP="008F19AB">
      <w:pPr>
        <w:jc w:val="center"/>
        <w:rPr>
          <w:rFonts w:cs="Arial"/>
          <w:b/>
          <w:bCs/>
          <w:noProof/>
        </w:rPr>
      </w:pPr>
    </w:p>
    <w:p w14:paraId="1E08E4DE" w14:textId="77777777" w:rsidR="008F19AB" w:rsidRPr="004648C4" w:rsidRDefault="008F19AB" w:rsidP="008F19AB">
      <w:pPr>
        <w:jc w:val="center"/>
        <w:rPr>
          <w:rFonts w:cs="Arial"/>
          <w:b/>
          <w:bCs/>
          <w:noProof/>
        </w:rPr>
      </w:pPr>
      <w:r w:rsidRPr="004648C4">
        <w:rPr>
          <w:rFonts w:cs="Arial"/>
          <w:b/>
          <w:bCs/>
          <w:noProof/>
        </w:rPr>
        <w:t>CÓPIESE, NOTIFÍQUESE Y CÚMPLASE</w:t>
      </w:r>
    </w:p>
    <w:p w14:paraId="5640E67F" w14:textId="77777777" w:rsidR="008F19AB" w:rsidRPr="004648C4" w:rsidRDefault="008F19AB" w:rsidP="008F19AB">
      <w:pPr>
        <w:jc w:val="center"/>
        <w:rPr>
          <w:rFonts w:cs="Arial"/>
        </w:rPr>
      </w:pPr>
    </w:p>
    <w:p w14:paraId="12D78BC7" w14:textId="77777777" w:rsidR="008F19AB" w:rsidRPr="004648C4" w:rsidRDefault="008F19AB" w:rsidP="008F19AB">
      <w:pPr>
        <w:jc w:val="center"/>
        <w:rPr>
          <w:rFonts w:cs="Arial"/>
        </w:rPr>
      </w:pPr>
    </w:p>
    <w:p w14:paraId="721A0B82" w14:textId="77777777" w:rsidR="008F19AB" w:rsidRPr="004648C4" w:rsidRDefault="008F19AB" w:rsidP="008F19AB">
      <w:pPr>
        <w:jc w:val="center"/>
        <w:rPr>
          <w:rFonts w:cs="Arial"/>
        </w:rPr>
      </w:pPr>
    </w:p>
    <w:p w14:paraId="6C387F99" w14:textId="77777777" w:rsidR="008F19AB" w:rsidRDefault="008F19AB" w:rsidP="008F19AB">
      <w:pPr>
        <w:jc w:val="center"/>
        <w:rPr>
          <w:rFonts w:cs="Arial"/>
        </w:rPr>
      </w:pPr>
      <w:r w:rsidRPr="004648C4">
        <w:rPr>
          <w:rFonts w:cs="Arial"/>
          <w:b/>
        </w:rPr>
        <w:t>MARÍA ADRIANA MARÍN</w:t>
      </w:r>
    </w:p>
    <w:p w14:paraId="4E83F6B5" w14:textId="77777777" w:rsidR="008F19AB" w:rsidRDefault="008F19AB" w:rsidP="008F19AB">
      <w:pPr>
        <w:jc w:val="center"/>
        <w:rPr>
          <w:rFonts w:cs="Arial"/>
        </w:rPr>
      </w:pPr>
    </w:p>
    <w:p w14:paraId="379C6DC6" w14:textId="77777777" w:rsidR="008F19AB" w:rsidRDefault="008F19AB" w:rsidP="008F19AB">
      <w:pPr>
        <w:jc w:val="center"/>
        <w:rPr>
          <w:rFonts w:cs="Arial"/>
        </w:rPr>
      </w:pPr>
    </w:p>
    <w:p w14:paraId="072C0D9D" w14:textId="77777777" w:rsidR="008F19AB" w:rsidRDefault="008F19AB" w:rsidP="008F19AB">
      <w:pPr>
        <w:jc w:val="center"/>
        <w:rPr>
          <w:rFonts w:cs="Arial"/>
        </w:rPr>
      </w:pPr>
    </w:p>
    <w:p w14:paraId="4012FADB" w14:textId="77777777" w:rsidR="008F19AB" w:rsidRPr="004648C4" w:rsidRDefault="008F19AB" w:rsidP="008F19AB">
      <w:pPr>
        <w:jc w:val="center"/>
        <w:rPr>
          <w:rFonts w:cs="Arial"/>
          <w:b/>
          <w:lang w:val="es-CO"/>
        </w:rPr>
      </w:pPr>
      <w:r w:rsidRPr="004648C4">
        <w:rPr>
          <w:rFonts w:cs="Arial"/>
          <w:b/>
          <w:lang w:val="es-CO"/>
        </w:rPr>
        <w:t>MARTA NUBIA VELÁSQUEZ RICO</w:t>
      </w:r>
    </w:p>
    <w:p w14:paraId="332E6D97" w14:textId="77777777" w:rsidR="008F19AB" w:rsidRPr="004648C4" w:rsidRDefault="008F19AB" w:rsidP="008F19AB">
      <w:pPr>
        <w:widowControl w:val="0"/>
        <w:autoSpaceDE w:val="0"/>
        <w:autoSpaceDN w:val="0"/>
        <w:adjustRightInd w:val="0"/>
        <w:jc w:val="center"/>
        <w:rPr>
          <w:rFonts w:cs="Arial"/>
          <w:b/>
        </w:rPr>
      </w:pPr>
    </w:p>
    <w:p w14:paraId="172EFF04" w14:textId="77777777" w:rsidR="008F19AB" w:rsidRPr="004648C4" w:rsidRDefault="008F19AB" w:rsidP="008F19AB">
      <w:pPr>
        <w:widowControl w:val="0"/>
        <w:autoSpaceDE w:val="0"/>
        <w:autoSpaceDN w:val="0"/>
        <w:adjustRightInd w:val="0"/>
        <w:jc w:val="center"/>
        <w:rPr>
          <w:rFonts w:cs="Arial"/>
          <w:b/>
        </w:rPr>
      </w:pPr>
    </w:p>
    <w:p w14:paraId="00FA0909" w14:textId="77777777" w:rsidR="008F19AB" w:rsidRPr="004648C4" w:rsidRDefault="008F19AB" w:rsidP="008F19AB">
      <w:pPr>
        <w:widowControl w:val="0"/>
        <w:autoSpaceDE w:val="0"/>
        <w:autoSpaceDN w:val="0"/>
        <w:adjustRightInd w:val="0"/>
        <w:jc w:val="center"/>
        <w:rPr>
          <w:rFonts w:cs="Arial"/>
          <w:b/>
        </w:rPr>
      </w:pPr>
    </w:p>
    <w:p w14:paraId="133943D0" w14:textId="77777777" w:rsidR="008F19AB" w:rsidRPr="004648C4" w:rsidRDefault="008F19AB" w:rsidP="008F19AB">
      <w:pPr>
        <w:widowControl w:val="0"/>
        <w:jc w:val="center"/>
        <w:rPr>
          <w:rFonts w:cs="Arial"/>
          <w:b/>
        </w:rPr>
      </w:pPr>
      <w:r w:rsidRPr="004648C4">
        <w:rPr>
          <w:rFonts w:cs="Arial"/>
          <w:b/>
        </w:rPr>
        <w:t>CARLOS ALBERTO ZAMBRANO BARRERA</w:t>
      </w:r>
    </w:p>
    <w:p w14:paraId="55144352" w14:textId="31BC6731" w:rsidR="004648C4" w:rsidRPr="008F19AB" w:rsidRDefault="004648C4" w:rsidP="008F19AB"/>
    <w:sectPr w:rsidR="004648C4" w:rsidRPr="008F19AB" w:rsidSect="002B3E76">
      <w:headerReference w:type="even" r:id="rId11"/>
      <w:footerReference w:type="even" r:id="rId12"/>
      <w:headerReference w:type="first" r:id="rId13"/>
      <w:footerReference w:type="first" r:id="rId14"/>
      <w:pgSz w:w="12242" w:h="18722" w:code="14"/>
      <w:pgMar w:top="1701" w:right="1701" w:bottom="1701" w:left="1701" w:header="0" w:footer="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80F5D" w14:textId="77777777" w:rsidR="002B08C2" w:rsidRDefault="002B08C2" w:rsidP="00C85395">
      <w:r>
        <w:separator/>
      </w:r>
    </w:p>
  </w:endnote>
  <w:endnote w:type="continuationSeparator" w:id="0">
    <w:p w14:paraId="41300AC1" w14:textId="77777777" w:rsidR="002B08C2" w:rsidRDefault="002B08C2"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ECE0" w14:textId="77777777" w:rsidR="0032749C" w:rsidRDefault="0032749C"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401F6B" w14:textId="77777777" w:rsidR="0032749C" w:rsidRDefault="0032749C" w:rsidP="0064345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A8E1" w14:textId="77777777" w:rsidR="0032749C" w:rsidRDefault="0032749C">
    <w:pPr>
      <w:pStyle w:val="Piedepgina"/>
      <w:jc w:val="center"/>
    </w:pPr>
    <w:r>
      <w:fldChar w:fldCharType="begin"/>
    </w:r>
    <w:r>
      <w:instrText>PAGE   \* MERGEFORMAT</w:instrText>
    </w:r>
    <w:r>
      <w:fldChar w:fldCharType="separate"/>
    </w:r>
    <w:r w:rsidR="004648C4">
      <w:rPr>
        <w:noProof/>
      </w:rPr>
      <w:t>1</w:t>
    </w:r>
    <w:r>
      <w:fldChar w:fldCharType="end"/>
    </w:r>
  </w:p>
  <w:p w14:paraId="5B4282F3" w14:textId="77777777" w:rsidR="0032749C" w:rsidRDefault="003274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B4F9" w14:textId="77777777" w:rsidR="002B08C2" w:rsidRDefault="002B08C2" w:rsidP="00C85395">
      <w:r>
        <w:separator/>
      </w:r>
    </w:p>
  </w:footnote>
  <w:footnote w:type="continuationSeparator" w:id="0">
    <w:p w14:paraId="4AE4D7B2" w14:textId="77777777" w:rsidR="002B08C2" w:rsidRDefault="002B08C2" w:rsidP="00C85395">
      <w:r>
        <w:continuationSeparator/>
      </w:r>
    </w:p>
  </w:footnote>
  <w:footnote w:id="1">
    <w:p w14:paraId="16EB361E" w14:textId="77777777" w:rsidR="008F19AB" w:rsidRPr="004648C4" w:rsidRDefault="008F19AB" w:rsidP="008F19AB">
      <w:pPr>
        <w:pStyle w:val="Textonotapie"/>
        <w:spacing w:line="240" w:lineRule="auto"/>
        <w:rPr>
          <w:lang w:val="es-CO"/>
        </w:rPr>
      </w:pPr>
      <w:r w:rsidRPr="004648C4">
        <w:rPr>
          <w:rStyle w:val="Refdenotaalpie"/>
        </w:rPr>
        <w:footnoteRef/>
      </w:r>
      <w:r w:rsidRPr="004648C4">
        <w:t xml:space="preserve"> </w:t>
      </w:r>
      <w:r w:rsidRPr="004648C4">
        <w:rPr>
          <w:lang w:val="es-CO"/>
        </w:rPr>
        <w:t>La señora Gema Mejía de Izquierdo actuó en nombre propio y a su vez como representante legal de la unión temporal (folios 1, 24 Y 25, cuaderno 1).</w:t>
      </w:r>
    </w:p>
    <w:p w14:paraId="5887DAAD" w14:textId="77777777" w:rsidR="008F19AB" w:rsidRPr="004648C4" w:rsidRDefault="008F19AB" w:rsidP="008F19AB">
      <w:pPr>
        <w:pStyle w:val="Textonotapie"/>
        <w:spacing w:line="240" w:lineRule="auto"/>
        <w:rPr>
          <w:lang w:val="es-CO"/>
        </w:rPr>
      </w:pPr>
      <w:r w:rsidRPr="004648C4">
        <w:rPr>
          <w:lang w:val="es-CO"/>
        </w:rPr>
        <w:t xml:space="preserve"> </w:t>
      </w:r>
    </w:p>
  </w:footnote>
  <w:footnote w:id="2">
    <w:p w14:paraId="6EDD02C3" w14:textId="77777777" w:rsidR="008F19AB" w:rsidRPr="004648C4" w:rsidRDefault="008F19AB" w:rsidP="008F19AB">
      <w:pPr>
        <w:pStyle w:val="Textonotapie"/>
        <w:rPr>
          <w:lang w:val="es-CO"/>
        </w:rPr>
      </w:pPr>
      <w:r w:rsidRPr="004648C4">
        <w:rPr>
          <w:rStyle w:val="Refdenotaalpie"/>
        </w:rPr>
        <w:footnoteRef/>
      </w:r>
      <w:r w:rsidRPr="004648C4">
        <w:t xml:space="preserve"> </w:t>
      </w:r>
      <w:r w:rsidRPr="004648C4">
        <w:rPr>
          <w:lang w:val="es-CO"/>
        </w:rPr>
        <w:t>En adelante se podrá denominar la U.T.</w:t>
      </w:r>
    </w:p>
  </w:footnote>
  <w:footnote w:id="3">
    <w:p w14:paraId="2FBFE82E" w14:textId="77777777" w:rsidR="008F19AB" w:rsidRPr="004648C4" w:rsidRDefault="008F19AB" w:rsidP="008F19AB">
      <w:pPr>
        <w:pStyle w:val="Textonotapie"/>
        <w:spacing w:line="240" w:lineRule="auto"/>
        <w:rPr>
          <w:lang w:val="es-CO"/>
        </w:rPr>
      </w:pPr>
      <w:r w:rsidRPr="004648C4">
        <w:rPr>
          <w:rStyle w:val="Refdenotaalpie"/>
        </w:rPr>
        <w:footnoteRef/>
      </w:r>
      <w:r w:rsidRPr="004648C4">
        <w:t xml:space="preserve"> </w:t>
      </w:r>
      <w:r w:rsidRPr="004648C4">
        <w:rPr>
          <w:lang w:val="es-CO"/>
        </w:rPr>
        <w:t>De acuerdo con las pretensiones principales expuestas en el escrito de aclaraciones presentado en cumplimiento de lo requerido mediante auto de 8 de noviembre de 2012, previo a la admisión de la demanda (folios 29 a 33, cuaderno 1).</w:t>
      </w:r>
    </w:p>
    <w:p w14:paraId="703AF191" w14:textId="77777777" w:rsidR="008F19AB" w:rsidRPr="004648C4" w:rsidRDefault="008F19AB" w:rsidP="008F19AB">
      <w:pPr>
        <w:pStyle w:val="Textonotapie"/>
        <w:rPr>
          <w:lang w:val="es-CO"/>
        </w:rPr>
      </w:pPr>
    </w:p>
  </w:footnote>
  <w:footnote w:id="4">
    <w:p w14:paraId="2052451C" w14:textId="77777777" w:rsidR="008F19AB" w:rsidRPr="004648C4" w:rsidRDefault="008F19AB" w:rsidP="008F19AB">
      <w:pPr>
        <w:pStyle w:val="Textonotapie"/>
        <w:rPr>
          <w:lang w:val="es-CO"/>
        </w:rPr>
      </w:pPr>
      <w:r w:rsidRPr="004648C4">
        <w:rPr>
          <w:rStyle w:val="Refdenotaalpie"/>
        </w:rPr>
        <w:footnoteRef/>
      </w:r>
      <w:r w:rsidRPr="004648C4">
        <w:t xml:space="preserve"> </w:t>
      </w:r>
      <w:r w:rsidRPr="004648C4">
        <w:rPr>
          <w:lang w:val="es-CO"/>
        </w:rPr>
        <w:t>Folio 5, cuaderno 1.</w:t>
      </w:r>
    </w:p>
  </w:footnote>
  <w:footnote w:id="5">
    <w:p w14:paraId="0F31F959" w14:textId="77777777" w:rsidR="008F19AB" w:rsidRPr="004648C4" w:rsidRDefault="008F19AB" w:rsidP="008F19AB">
      <w:pPr>
        <w:pStyle w:val="Textonotapie"/>
        <w:spacing w:line="240" w:lineRule="auto"/>
        <w:rPr>
          <w:rFonts w:cs="Arial"/>
          <w:i/>
          <w:shd w:val="clear" w:color="auto" w:fill="FFFFFF"/>
        </w:rPr>
      </w:pPr>
      <w:r w:rsidRPr="004648C4">
        <w:rPr>
          <w:rStyle w:val="Refdenotaalpie"/>
        </w:rPr>
        <w:footnoteRef/>
      </w:r>
      <w:r w:rsidRPr="004648C4">
        <w:t xml:space="preserve"> </w:t>
      </w:r>
      <w:r w:rsidRPr="004648C4">
        <w:rPr>
          <w:i/>
        </w:rPr>
        <w:t>“</w:t>
      </w:r>
      <w:r w:rsidRPr="004648C4">
        <w:rPr>
          <w:rFonts w:cs="Arial"/>
          <w:bCs/>
          <w:i/>
          <w:shd w:val="clear" w:color="auto" w:fill="FFFFFF"/>
        </w:rPr>
        <w:t>Artículo 88 C.P.A.C.A. </w:t>
      </w:r>
      <w:r w:rsidRPr="004648C4">
        <w:rPr>
          <w:rFonts w:cs="Arial"/>
          <w:bCs/>
          <w:i/>
          <w:iCs/>
          <w:shd w:val="clear" w:color="auto" w:fill="FFFFFF"/>
        </w:rPr>
        <w:t>Presunción de legalidad del acto administrativo.</w:t>
      </w:r>
      <w:r w:rsidRPr="004648C4">
        <w:rPr>
          <w:rFonts w:cs="Arial"/>
          <w:i/>
          <w:iCs/>
          <w:shd w:val="clear" w:color="auto" w:fill="FFFFFF"/>
        </w:rPr>
        <w:t> </w:t>
      </w:r>
      <w:r w:rsidRPr="004648C4">
        <w:rPr>
          <w:rFonts w:cs="Arial"/>
          <w:i/>
          <w:shd w:val="clear" w:color="auto" w:fill="FFFFFF"/>
        </w:rPr>
        <w:t>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p w14:paraId="0B378B53" w14:textId="77777777" w:rsidR="008F19AB" w:rsidRPr="004648C4" w:rsidRDefault="008F19AB" w:rsidP="008F19AB">
      <w:pPr>
        <w:pStyle w:val="Textonotapie"/>
        <w:spacing w:line="240" w:lineRule="auto"/>
        <w:rPr>
          <w:i/>
          <w:lang w:val="es-CO"/>
        </w:rPr>
      </w:pPr>
    </w:p>
  </w:footnote>
  <w:footnote w:id="6">
    <w:p w14:paraId="6CE8A745" w14:textId="77777777" w:rsidR="008F19AB" w:rsidRPr="004648C4" w:rsidRDefault="008F19AB" w:rsidP="008F19AB">
      <w:pPr>
        <w:pStyle w:val="Textonotapie"/>
        <w:spacing w:line="240" w:lineRule="auto"/>
        <w:rPr>
          <w:lang w:val="es-CO"/>
        </w:rPr>
      </w:pPr>
      <w:r w:rsidRPr="004648C4">
        <w:rPr>
          <w:rStyle w:val="Refdenotaalpie"/>
        </w:rPr>
        <w:footnoteRef/>
      </w:r>
      <w:r w:rsidRPr="004648C4">
        <w:t xml:space="preserve"> </w:t>
      </w:r>
      <w:r w:rsidRPr="004648C4">
        <w:rPr>
          <w:lang w:val="es-CO"/>
        </w:rPr>
        <w:t>Folio 59, cuaderno 1.</w:t>
      </w:r>
    </w:p>
  </w:footnote>
  <w:footnote w:id="7">
    <w:p w14:paraId="34660425" w14:textId="77777777" w:rsidR="008F19AB" w:rsidRPr="004648C4" w:rsidRDefault="008F19AB" w:rsidP="008F19AB">
      <w:pPr>
        <w:pStyle w:val="Textonotapie"/>
        <w:spacing w:line="240" w:lineRule="auto"/>
        <w:rPr>
          <w:lang w:val="es-CO"/>
        </w:rPr>
      </w:pPr>
      <w:r w:rsidRPr="004648C4">
        <w:rPr>
          <w:rStyle w:val="Refdenotaalpie"/>
        </w:rPr>
        <w:footnoteRef/>
      </w:r>
      <w:r w:rsidRPr="004648C4">
        <w:t xml:space="preserve"> Citó la sentencia de la Sección Tercera del Consejo de Estado,  11 de agosto de 2010, CP Enrique Gil, expediente 16941.</w:t>
      </w:r>
    </w:p>
  </w:footnote>
  <w:footnote w:id="8">
    <w:p w14:paraId="48B9BF81" w14:textId="77777777" w:rsidR="008F19AB" w:rsidRPr="004648C4" w:rsidRDefault="008F19AB" w:rsidP="008F19AB">
      <w:pPr>
        <w:pStyle w:val="Textonotapie"/>
        <w:rPr>
          <w:lang w:val="es-CO"/>
        </w:rPr>
      </w:pPr>
      <w:r w:rsidRPr="004648C4">
        <w:rPr>
          <w:rStyle w:val="Refdenotaalpie"/>
        </w:rPr>
        <w:footnoteRef/>
      </w:r>
      <w:r w:rsidRPr="004648C4">
        <w:t xml:space="preserve"> </w:t>
      </w:r>
      <w:r w:rsidRPr="004648C4">
        <w:rPr>
          <w:lang w:val="es-CO"/>
        </w:rPr>
        <w:t>Folio 519, cuaderno principal.</w:t>
      </w:r>
    </w:p>
  </w:footnote>
  <w:footnote w:id="9">
    <w:p w14:paraId="18F49D52" w14:textId="77777777" w:rsidR="008F19AB" w:rsidRPr="004648C4" w:rsidRDefault="008F19AB" w:rsidP="008F19AB">
      <w:pPr>
        <w:pStyle w:val="Textonotapie"/>
        <w:rPr>
          <w:lang w:val="es-CO"/>
        </w:rPr>
      </w:pPr>
      <w:r w:rsidRPr="004648C4">
        <w:rPr>
          <w:rStyle w:val="Refdenotaalpie"/>
        </w:rPr>
        <w:footnoteRef/>
      </w:r>
      <w:r w:rsidRPr="004648C4">
        <w:t xml:space="preserve"> </w:t>
      </w:r>
      <w:r w:rsidRPr="004648C4">
        <w:rPr>
          <w:lang w:val="es-CO"/>
        </w:rPr>
        <w:t>Folios 546, 547, 553 y 554, cuaderno principal.</w:t>
      </w:r>
    </w:p>
  </w:footnote>
  <w:footnote w:id="10">
    <w:p w14:paraId="7B440403" w14:textId="77777777" w:rsidR="008F19AB" w:rsidRPr="004648C4" w:rsidRDefault="008F19AB" w:rsidP="008F19AB">
      <w:pPr>
        <w:pStyle w:val="Textonotapie"/>
        <w:rPr>
          <w:lang w:val="es-CO"/>
        </w:rPr>
      </w:pPr>
      <w:r w:rsidRPr="004648C4">
        <w:rPr>
          <w:rStyle w:val="Refdenotaalpie"/>
        </w:rPr>
        <w:footnoteRef/>
      </w:r>
      <w:r w:rsidRPr="004648C4">
        <w:t xml:space="preserve"> </w:t>
      </w:r>
      <w:r w:rsidRPr="004648C4">
        <w:rPr>
          <w:lang w:val="es-CO"/>
        </w:rPr>
        <w:t>Folios 583 a 585, cuaderno principal.</w:t>
      </w:r>
    </w:p>
  </w:footnote>
  <w:footnote w:id="11">
    <w:p w14:paraId="7B5AF440" w14:textId="77777777" w:rsidR="008F19AB" w:rsidRPr="004648C4" w:rsidRDefault="008F19AB" w:rsidP="008F19AB">
      <w:pPr>
        <w:pStyle w:val="Textonotapie"/>
        <w:rPr>
          <w:lang w:val="es-CO"/>
        </w:rPr>
      </w:pPr>
      <w:r w:rsidRPr="004648C4">
        <w:rPr>
          <w:rStyle w:val="Refdenotaalpie"/>
        </w:rPr>
        <w:footnoteRef/>
      </w:r>
      <w:r w:rsidRPr="004648C4">
        <w:t xml:space="preserve"> </w:t>
      </w:r>
      <w:r w:rsidRPr="004648C4">
        <w:rPr>
          <w:lang w:val="es-CO"/>
        </w:rPr>
        <w:t>Folio 632, cuaderno principal.</w:t>
      </w:r>
    </w:p>
  </w:footnote>
  <w:footnote w:id="12">
    <w:p w14:paraId="6B59438B" w14:textId="77777777" w:rsidR="008F19AB" w:rsidRPr="004648C4" w:rsidRDefault="008F19AB" w:rsidP="008F19AB">
      <w:pPr>
        <w:pStyle w:val="Textonotapie"/>
        <w:rPr>
          <w:lang w:val="es-CO"/>
        </w:rPr>
      </w:pPr>
      <w:r w:rsidRPr="004648C4">
        <w:rPr>
          <w:rStyle w:val="Refdenotaalpie"/>
        </w:rPr>
        <w:footnoteRef/>
      </w:r>
      <w:r w:rsidRPr="004648C4">
        <w:t xml:space="preserve"> </w:t>
      </w:r>
      <w:r w:rsidRPr="004648C4">
        <w:rPr>
          <w:lang w:val="es-CO"/>
        </w:rPr>
        <w:t>Artículos 2 y 75.</w:t>
      </w:r>
    </w:p>
  </w:footnote>
  <w:footnote w:id="13">
    <w:p w14:paraId="5A8114EB" w14:textId="77777777" w:rsidR="008F19AB" w:rsidRPr="004648C4" w:rsidRDefault="008F19AB" w:rsidP="008F19AB">
      <w:pPr>
        <w:pStyle w:val="Textonotapie"/>
        <w:spacing w:line="240" w:lineRule="auto"/>
        <w:rPr>
          <w:lang w:val="es-CO"/>
        </w:rPr>
      </w:pPr>
      <w:r w:rsidRPr="004648C4">
        <w:rPr>
          <w:rStyle w:val="Refdenotaalpie"/>
        </w:rPr>
        <w:footnoteRef/>
      </w:r>
      <w:r w:rsidRPr="004648C4">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sidRPr="004648C4">
        <w:rPr>
          <w:lang w:val="es-CO"/>
        </w:rPr>
        <w:t>la Ley 446 de 1998, la cual entró a regir el 8 de julio de 1998 y por el artículo 1º de la Ley 1106 de 27 de diciembre 2007.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14:paraId="250C6B17" w14:textId="77777777" w:rsidR="008F19AB" w:rsidRPr="004648C4" w:rsidRDefault="008F19AB" w:rsidP="008F19AB">
      <w:pPr>
        <w:pStyle w:val="Textonotapie"/>
        <w:spacing w:line="240" w:lineRule="auto"/>
        <w:rPr>
          <w:lang w:val="es-CO"/>
        </w:rPr>
      </w:pPr>
    </w:p>
  </w:footnote>
  <w:footnote w:id="14">
    <w:p w14:paraId="68752486" w14:textId="77777777" w:rsidR="008F19AB" w:rsidRPr="004648C4" w:rsidRDefault="008F19AB" w:rsidP="008F19AB">
      <w:pPr>
        <w:pStyle w:val="Textonotapie"/>
        <w:spacing w:line="240" w:lineRule="auto"/>
      </w:pPr>
      <w:r w:rsidRPr="004648C4">
        <w:rPr>
          <w:rStyle w:val="Refdenotaalpie"/>
        </w:rPr>
        <w:footnoteRef/>
      </w:r>
      <w:r w:rsidRPr="004648C4">
        <w:t xml:space="preserve"> Los perjuicios se estimaron en $358.306.477. La cuantía se determina de acuerdo con el salario mínimo mensual legal vigente para el año 2012, toda vez que la demanda se presentó el 1º de junio de 2012 y el recurso de apelación se interpuso el 29 de octubre de 2015, bajo la aplicación del artículo 198 de la Ley 1450 de 2011, en materia de cuantía. </w:t>
      </w:r>
    </w:p>
    <w:p w14:paraId="71071A58" w14:textId="77777777" w:rsidR="008F19AB" w:rsidRPr="004648C4" w:rsidRDefault="008F19AB" w:rsidP="008F19AB">
      <w:pPr>
        <w:pStyle w:val="Textonotapie"/>
        <w:spacing w:line="240" w:lineRule="auto"/>
        <w:rPr>
          <w:lang w:val="es-CO"/>
        </w:rPr>
      </w:pPr>
    </w:p>
  </w:footnote>
  <w:footnote w:id="15">
    <w:p w14:paraId="388A90DD" w14:textId="77777777" w:rsidR="008F19AB" w:rsidRPr="004648C4" w:rsidRDefault="008F19AB" w:rsidP="008F19AB">
      <w:pPr>
        <w:pStyle w:val="Puesto"/>
        <w:jc w:val="both"/>
        <w:rPr>
          <w:b w:val="0"/>
          <w:sz w:val="20"/>
          <w:szCs w:val="20"/>
        </w:rPr>
      </w:pPr>
      <w:r w:rsidRPr="004648C4">
        <w:rPr>
          <w:rStyle w:val="Refdenotaalpie"/>
          <w:sz w:val="20"/>
          <w:szCs w:val="20"/>
        </w:rPr>
        <w:footnoteRef/>
      </w:r>
      <w:r w:rsidRPr="004648C4">
        <w:rPr>
          <w:sz w:val="20"/>
          <w:szCs w:val="20"/>
        </w:rPr>
        <w:t xml:space="preserve"> </w:t>
      </w:r>
      <w:r w:rsidRPr="004648C4">
        <w:rPr>
          <w:b w:val="0"/>
          <w:sz w:val="20"/>
          <w:szCs w:val="20"/>
        </w:rPr>
        <w:t>Pueden citarse, entre otras, las siguientes sentencias de la Sección Tercera y de sus distintas subsecciones:</w:t>
      </w:r>
      <w:r w:rsidRPr="004648C4">
        <w:rPr>
          <w:sz w:val="20"/>
          <w:szCs w:val="20"/>
        </w:rPr>
        <w:t xml:space="preserve"> 1</w:t>
      </w:r>
      <w:r w:rsidRPr="004648C4">
        <w:rPr>
          <w:b w:val="0"/>
          <w:sz w:val="20"/>
          <w:szCs w:val="20"/>
        </w:rPr>
        <w:t xml:space="preserve">. Consejo de Estado, Sala de lo Contencioso Administrativo, Sección Tercera, C.P: Enrique Gil Botero, 11 de agosto de 2010, radicación: 76001-23-25-000-1995-01884-01(16941), actor: Corporación Cívica Daniel Gillard, demandado: Instituto Colombiano de Bienestar Familiar -ICBF-, referencia: acción contractual; </w:t>
      </w:r>
      <w:r w:rsidRPr="004648C4">
        <w:rPr>
          <w:sz w:val="20"/>
          <w:szCs w:val="20"/>
        </w:rPr>
        <w:t>2.</w:t>
      </w:r>
      <w:r w:rsidRPr="004648C4">
        <w:rPr>
          <w:b w:val="0"/>
          <w:sz w:val="20"/>
          <w:szCs w:val="20"/>
        </w:rPr>
        <w:t xml:space="preserve"> Consejo de Estado, Sala de lo Contencioso Administrativo, Sección Tercera, Subsección B, C.P. Danilo Rojas Betancourth, 10 de marzo de 2011</w:t>
      </w:r>
      <w:r w:rsidRPr="004648C4">
        <w:rPr>
          <w:b w:val="0"/>
          <w:i/>
          <w:sz w:val="20"/>
          <w:szCs w:val="20"/>
        </w:rPr>
        <w:t>, r</w:t>
      </w:r>
      <w:r w:rsidRPr="004648C4">
        <w:rPr>
          <w:b w:val="0"/>
          <w:sz w:val="20"/>
          <w:szCs w:val="20"/>
        </w:rPr>
        <w:t xml:space="preserve">adicación: 68001-23-15-000-1996-02191-01(17963), actor: Prada Rojas Ingenieros Civiles Asociados Ltda., demandado: departamento de Santander, referencia: acción de controversias contractuales (sentencia), </w:t>
      </w:r>
      <w:r w:rsidRPr="004648C4">
        <w:rPr>
          <w:sz w:val="20"/>
          <w:szCs w:val="20"/>
        </w:rPr>
        <w:t>3.</w:t>
      </w:r>
      <w:r w:rsidRPr="004648C4">
        <w:rPr>
          <w:b w:val="0"/>
          <w:sz w:val="20"/>
          <w:szCs w:val="20"/>
        </w:rPr>
        <w:t xml:space="preserve"> Consejo de Estado, Sala de lo Contencioso Administrativo, Sección Tercera, </w:t>
      </w:r>
      <w:r w:rsidRPr="004648C4">
        <w:rPr>
          <w:b w:val="0"/>
          <w:sz w:val="20"/>
          <w:szCs w:val="20"/>
          <w:lang w:val="es-CO"/>
        </w:rPr>
        <w:t>Subsección A,</w:t>
      </w:r>
      <w:r w:rsidRPr="004648C4">
        <w:rPr>
          <w:b w:val="0"/>
          <w:sz w:val="20"/>
          <w:szCs w:val="20"/>
        </w:rPr>
        <w:t xml:space="preserve"> </w:t>
      </w:r>
      <w:r w:rsidRPr="004648C4">
        <w:rPr>
          <w:b w:val="0"/>
          <w:iCs/>
          <w:sz w:val="20"/>
          <w:szCs w:val="20"/>
        </w:rPr>
        <w:t xml:space="preserve">C.P. Mauricio Fajardo Gómez, </w:t>
      </w:r>
      <w:r w:rsidRPr="004648C4">
        <w:rPr>
          <w:b w:val="0"/>
          <w:sz w:val="20"/>
          <w:szCs w:val="20"/>
        </w:rPr>
        <w:t xml:space="preserve">17 de octubre de 2012, radicación número: 44001-23-31-000-2000-00315-02(25290), actor: Alcides Choles López, demandado: Instituto Nacional de Vías, referencia: apelación sentencia - acción contractual; </w:t>
      </w:r>
      <w:r w:rsidRPr="004648C4">
        <w:rPr>
          <w:sz w:val="20"/>
          <w:szCs w:val="20"/>
        </w:rPr>
        <w:t>4.</w:t>
      </w:r>
      <w:r w:rsidRPr="004648C4">
        <w:rPr>
          <w:b w:val="0"/>
          <w:sz w:val="20"/>
          <w:szCs w:val="20"/>
        </w:rPr>
        <w:t xml:space="preserve"> Consejo de Estado, </w:t>
      </w:r>
      <w:r w:rsidRPr="004648C4">
        <w:rPr>
          <w:b w:val="0"/>
          <w:bCs w:val="0"/>
          <w:sz w:val="20"/>
          <w:szCs w:val="20"/>
        </w:rPr>
        <w:t xml:space="preserve">Sala de lo Contencioso Administrativo, Sección Tercera, </w:t>
      </w:r>
      <w:r w:rsidRPr="004648C4">
        <w:rPr>
          <w:b w:val="0"/>
          <w:sz w:val="20"/>
          <w:szCs w:val="20"/>
        </w:rPr>
        <w:t>Subsección  C, C.P.:</w:t>
      </w:r>
      <w:r w:rsidRPr="004648C4">
        <w:rPr>
          <w:sz w:val="20"/>
          <w:szCs w:val="20"/>
        </w:rPr>
        <w:t xml:space="preserve"> </w:t>
      </w:r>
      <w:r w:rsidRPr="004648C4">
        <w:rPr>
          <w:b w:val="0"/>
          <w:bCs w:val="0"/>
          <w:spacing w:val="-3"/>
          <w:sz w:val="20"/>
          <w:szCs w:val="20"/>
        </w:rPr>
        <w:t xml:space="preserve">Jaime Orlando Santofimio Gamboa, </w:t>
      </w:r>
      <w:r w:rsidRPr="004648C4">
        <w:rPr>
          <w:b w:val="0"/>
          <w:sz w:val="20"/>
          <w:szCs w:val="20"/>
        </w:rPr>
        <w:t>30 de enero de 2013,</w:t>
      </w:r>
      <w:r w:rsidRPr="004648C4">
        <w:rPr>
          <w:sz w:val="20"/>
          <w:szCs w:val="20"/>
        </w:rPr>
        <w:t xml:space="preserve"> r</w:t>
      </w:r>
      <w:r w:rsidRPr="004648C4">
        <w:rPr>
          <w:b w:val="0"/>
          <w:sz w:val="20"/>
          <w:szCs w:val="20"/>
        </w:rPr>
        <w:t xml:space="preserve">adicación: 85001-23-31-000-2000-00553-01 (23.904), actor: Ingeniería de Servicios Integrales para el Medio Ambiente Ltda - IDSPAIM LTDA.-, demandado: departamento de Casanare, proceso: acción contractual, asunto: recurso de apelación; </w:t>
      </w:r>
      <w:r w:rsidRPr="004648C4">
        <w:rPr>
          <w:sz w:val="20"/>
          <w:szCs w:val="20"/>
        </w:rPr>
        <w:t xml:space="preserve">5 </w:t>
      </w:r>
      <w:r w:rsidRPr="004648C4">
        <w:rPr>
          <w:b w:val="0"/>
          <w:sz w:val="20"/>
          <w:szCs w:val="20"/>
        </w:rPr>
        <w:t xml:space="preserve">Consejo de Estado, </w:t>
      </w:r>
      <w:r w:rsidRPr="004648C4">
        <w:rPr>
          <w:b w:val="0"/>
          <w:spacing w:val="-3"/>
          <w:sz w:val="20"/>
          <w:szCs w:val="20"/>
        </w:rPr>
        <w:t xml:space="preserve">Sala de lo Contencioso Administrativo, </w:t>
      </w:r>
      <w:r w:rsidRPr="004648C4">
        <w:rPr>
          <w:b w:val="0"/>
          <w:sz w:val="20"/>
          <w:szCs w:val="20"/>
        </w:rPr>
        <w:t xml:space="preserve">Sección Tercera, Subsección A, </w:t>
      </w:r>
      <w:r w:rsidRPr="004648C4">
        <w:rPr>
          <w:b w:val="0"/>
          <w:spacing w:val="-3"/>
          <w:sz w:val="20"/>
          <w:szCs w:val="20"/>
        </w:rPr>
        <w:t>sentencia de 2 de mayo de 2013, r</w:t>
      </w:r>
      <w:r w:rsidRPr="004648C4">
        <w:rPr>
          <w:b w:val="0"/>
          <w:sz w:val="20"/>
          <w:szCs w:val="20"/>
        </w:rPr>
        <w:t xml:space="preserve">adicación número: 3949, </w:t>
      </w:r>
      <w:r w:rsidRPr="004648C4">
        <w:rPr>
          <w:b w:val="0"/>
          <w:spacing w:val="-3"/>
          <w:sz w:val="20"/>
          <w:szCs w:val="20"/>
        </w:rPr>
        <w:t>C.P: Hernán Andrade Rincón</w:t>
      </w:r>
      <w:r w:rsidRPr="004648C4">
        <w:rPr>
          <w:b w:val="0"/>
          <w:sz w:val="20"/>
          <w:szCs w:val="20"/>
        </w:rPr>
        <w:t xml:space="preserve">; </w:t>
      </w:r>
      <w:r w:rsidRPr="004648C4">
        <w:rPr>
          <w:sz w:val="20"/>
          <w:szCs w:val="20"/>
        </w:rPr>
        <w:t>6</w:t>
      </w:r>
      <w:r w:rsidRPr="004648C4">
        <w:rPr>
          <w:spacing w:val="4"/>
          <w:sz w:val="20"/>
          <w:szCs w:val="20"/>
        </w:rPr>
        <w:t>.</w:t>
      </w:r>
      <w:r w:rsidRPr="004648C4">
        <w:rPr>
          <w:b w:val="0"/>
          <w:spacing w:val="4"/>
          <w:sz w:val="20"/>
          <w:szCs w:val="20"/>
        </w:rPr>
        <w:t xml:space="preserve"> </w:t>
      </w:r>
      <w:r w:rsidRPr="004648C4">
        <w:rPr>
          <w:b w:val="0"/>
          <w:sz w:val="20"/>
          <w:szCs w:val="20"/>
        </w:rPr>
        <w:t xml:space="preserve">Consejo de Estado, Sala de lo Contencioso Administrativo, Sección Tercera, Subsección A, </w:t>
      </w:r>
      <w:r w:rsidRPr="004648C4">
        <w:rPr>
          <w:b w:val="0"/>
          <w:spacing w:val="4"/>
          <w:sz w:val="20"/>
          <w:szCs w:val="20"/>
        </w:rPr>
        <w:t xml:space="preserve">sentencia de </w:t>
      </w:r>
      <w:r w:rsidRPr="004648C4">
        <w:rPr>
          <w:b w:val="0"/>
          <w:spacing w:val="2"/>
          <w:sz w:val="20"/>
          <w:szCs w:val="20"/>
        </w:rPr>
        <w:t>13 de abril de 2016, radicación número:</w:t>
      </w:r>
      <w:r w:rsidRPr="004648C4">
        <w:rPr>
          <w:b w:val="0"/>
          <w:spacing w:val="4"/>
          <w:sz w:val="20"/>
          <w:szCs w:val="20"/>
        </w:rPr>
        <w:t>33792, C.P: Hernán Andrade Rincón;</w:t>
      </w:r>
      <w:r w:rsidRPr="004648C4">
        <w:rPr>
          <w:b w:val="0"/>
          <w:sz w:val="20"/>
          <w:szCs w:val="20"/>
        </w:rPr>
        <w:t xml:space="preserve"> </w:t>
      </w:r>
      <w:r w:rsidRPr="004648C4">
        <w:rPr>
          <w:sz w:val="20"/>
          <w:szCs w:val="20"/>
        </w:rPr>
        <w:t>7.</w:t>
      </w:r>
      <w:r w:rsidRPr="004648C4">
        <w:rPr>
          <w:b w:val="0"/>
          <w:sz w:val="20"/>
          <w:szCs w:val="20"/>
        </w:rPr>
        <w:t xml:space="preserve"> </w:t>
      </w:r>
      <w:r w:rsidRPr="004648C4">
        <w:rPr>
          <w:b w:val="0"/>
          <w:spacing w:val="4"/>
          <w:sz w:val="20"/>
          <w:szCs w:val="20"/>
        </w:rPr>
        <w:t>Consejo de Estado, Sala de lo Contencioso Administrativo, Sección Tercera, Subsección A, 30 de agosto de 2017, radicación número</w:t>
      </w:r>
      <w:r w:rsidRPr="004648C4">
        <w:rPr>
          <w:b w:val="0"/>
          <w:sz w:val="20"/>
          <w:szCs w:val="20"/>
        </w:rPr>
        <w:t xml:space="preserve"> </w:t>
      </w:r>
      <w:r w:rsidRPr="004648C4">
        <w:rPr>
          <w:b w:val="0"/>
          <w:spacing w:val="4"/>
          <w:sz w:val="20"/>
          <w:szCs w:val="20"/>
        </w:rPr>
        <w:t xml:space="preserve">52.510; </w:t>
      </w:r>
      <w:r w:rsidRPr="004648C4">
        <w:rPr>
          <w:spacing w:val="4"/>
          <w:sz w:val="20"/>
          <w:szCs w:val="20"/>
        </w:rPr>
        <w:t>8.</w:t>
      </w:r>
      <w:r w:rsidRPr="004648C4">
        <w:rPr>
          <w:b w:val="0"/>
          <w:sz w:val="20"/>
          <w:szCs w:val="20"/>
        </w:rPr>
        <w:t xml:space="preserve"> Consejo de Estado, Sala de lo Contencioso Administrativo, Sección Tercera, Subsección A, </w:t>
      </w:r>
      <w:r w:rsidRPr="004648C4">
        <w:rPr>
          <w:b w:val="0"/>
          <w:sz w:val="20"/>
          <w:szCs w:val="20"/>
          <w:lang w:val="es-CO"/>
        </w:rPr>
        <w:t>14 de marzo de 2018, r</w:t>
      </w:r>
      <w:r w:rsidRPr="004648C4">
        <w:rPr>
          <w:b w:val="0"/>
          <w:sz w:val="20"/>
          <w:szCs w:val="20"/>
        </w:rPr>
        <w:t xml:space="preserve">adicación: 130012331000201000419 01 (55.671), actor: Anpala SAS y otro, demandado: Agencia Logística de las Fuerzas Militares, referencia: acción contractual. </w:t>
      </w:r>
    </w:p>
    <w:p w14:paraId="36E44188" w14:textId="77777777" w:rsidR="008F19AB" w:rsidRPr="004648C4" w:rsidRDefault="008F19AB" w:rsidP="008F19AB">
      <w:pPr>
        <w:pStyle w:val="Puesto"/>
        <w:ind w:right="-134"/>
        <w:jc w:val="both"/>
        <w:rPr>
          <w:sz w:val="20"/>
          <w:szCs w:val="20"/>
          <w:lang w:val="es-CO"/>
        </w:rPr>
      </w:pPr>
    </w:p>
  </w:footnote>
  <w:footnote w:id="16">
    <w:p w14:paraId="6DB2D0AD" w14:textId="77777777" w:rsidR="008F19AB" w:rsidRPr="004648C4" w:rsidRDefault="008F19AB" w:rsidP="008F19AB">
      <w:pPr>
        <w:spacing w:line="240" w:lineRule="auto"/>
        <w:rPr>
          <w:rFonts w:cs="Arial"/>
          <w:sz w:val="20"/>
          <w:szCs w:val="20"/>
        </w:rPr>
      </w:pPr>
      <w:r w:rsidRPr="004648C4">
        <w:rPr>
          <w:rStyle w:val="Refdenotaalpie"/>
          <w:rFonts w:cs="Arial"/>
          <w:sz w:val="20"/>
          <w:szCs w:val="20"/>
        </w:rPr>
        <w:footnoteRef/>
      </w:r>
      <w:r w:rsidRPr="004648C4">
        <w:rPr>
          <w:rFonts w:cs="Arial"/>
          <w:sz w:val="20"/>
          <w:szCs w:val="20"/>
        </w:rPr>
        <w:t xml:space="preserve"> Consejo de Estado, Sala de lo Contencioso Administrativo, Sección Tercera, </w:t>
      </w:r>
      <w:r w:rsidRPr="004648C4">
        <w:rPr>
          <w:rFonts w:cs="Arial"/>
          <w:sz w:val="20"/>
          <w:szCs w:val="20"/>
          <w:lang w:val="es-CO"/>
        </w:rPr>
        <w:t xml:space="preserve">Subsección A, </w:t>
      </w:r>
      <w:r w:rsidRPr="004648C4">
        <w:rPr>
          <w:rFonts w:cs="Arial"/>
          <w:sz w:val="20"/>
          <w:szCs w:val="20"/>
        </w:rPr>
        <w:t>Consejero ponente:</w:t>
      </w:r>
      <w:r w:rsidRPr="004648C4">
        <w:rPr>
          <w:rFonts w:cs="Arial"/>
          <w:sz w:val="20"/>
          <w:szCs w:val="20"/>
          <w:lang w:val="es-CO"/>
        </w:rPr>
        <w:t xml:space="preserve"> Mauricio Fajardo Gómez,</w:t>
      </w:r>
      <w:r w:rsidRPr="004648C4">
        <w:rPr>
          <w:rFonts w:cs="Arial"/>
          <w:sz w:val="20"/>
          <w:szCs w:val="20"/>
        </w:rPr>
        <w:t xml:space="preserve"> sentencia del </w:t>
      </w:r>
      <w:r w:rsidRPr="004648C4">
        <w:rPr>
          <w:rFonts w:cs="Arial"/>
          <w:sz w:val="20"/>
          <w:szCs w:val="20"/>
          <w:lang w:val="es-CO"/>
        </w:rPr>
        <w:t>7</w:t>
      </w:r>
      <w:r w:rsidRPr="004648C4">
        <w:rPr>
          <w:rFonts w:cs="Arial"/>
          <w:sz w:val="20"/>
          <w:szCs w:val="20"/>
        </w:rPr>
        <w:t xml:space="preserve"> de </w:t>
      </w:r>
      <w:r w:rsidRPr="004648C4">
        <w:rPr>
          <w:rFonts w:cs="Arial"/>
          <w:sz w:val="20"/>
          <w:szCs w:val="20"/>
          <w:lang w:val="es-CO"/>
        </w:rPr>
        <w:t xml:space="preserve">noviembre </w:t>
      </w:r>
      <w:r w:rsidRPr="004648C4">
        <w:rPr>
          <w:rFonts w:cs="Arial"/>
          <w:sz w:val="20"/>
          <w:szCs w:val="20"/>
        </w:rPr>
        <w:t xml:space="preserve">de </w:t>
      </w:r>
      <w:r w:rsidRPr="004648C4">
        <w:rPr>
          <w:rFonts w:cs="Arial"/>
          <w:sz w:val="20"/>
          <w:szCs w:val="20"/>
          <w:lang w:val="es-CO"/>
        </w:rPr>
        <w:t>2012</w:t>
      </w:r>
      <w:r w:rsidRPr="004648C4">
        <w:rPr>
          <w:rFonts w:cs="Arial"/>
          <w:sz w:val="20"/>
          <w:szCs w:val="20"/>
        </w:rPr>
        <w:t>; radicación número:</w:t>
      </w:r>
      <w:r w:rsidRPr="004648C4">
        <w:rPr>
          <w:rFonts w:cs="Arial"/>
          <w:sz w:val="20"/>
          <w:szCs w:val="20"/>
          <w:lang w:val="es-CO"/>
        </w:rPr>
        <w:t xml:space="preserve"> </w:t>
      </w:r>
      <w:r w:rsidRPr="004648C4">
        <w:rPr>
          <w:rFonts w:cs="Arial"/>
          <w:sz w:val="20"/>
          <w:szCs w:val="20"/>
        </w:rPr>
        <w:t>440012331000200000293 01 (</w:t>
      </w:r>
      <w:r w:rsidRPr="004648C4">
        <w:rPr>
          <w:rFonts w:cs="Arial"/>
          <w:sz w:val="20"/>
          <w:szCs w:val="20"/>
          <w:lang w:val="es-CO"/>
        </w:rPr>
        <w:t xml:space="preserve">25915), </w:t>
      </w:r>
      <w:r w:rsidRPr="004648C4">
        <w:rPr>
          <w:rFonts w:cs="Arial"/>
          <w:sz w:val="20"/>
          <w:szCs w:val="20"/>
        </w:rPr>
        <w:t>actor: Laureano Quintero Gómez, demandado: Instituto Nacional de Vías ─INVÍAS─.</w:t>
      </w:r>
    </w:p>
    <w:p w14:paraId="7FFC679E" w14:textId="77777777" w:rsidR="008F19AB" w:rsidRPr="004648C4" w:rsidRDefault="008F19AB" w:rsidP="008F19AB">
      <w:pPr>
        <w:rPr>
          <w:rFonts w:cs="Arial"/>
          <w:sz w:val="20"/>
          <w:szCs w:val="20"/>
        </w:rPr>
      </w:pPr>
    </w:p>
    <w:p w14:paraId="11201276" w14:textId="77777777" w:rsidR="008F19AB" w:rsidRPr="004648C4" w:rsidRDefault="008F19AB" w:rsidP="008F19AB">
      <w:pPr>
        <w:spacing w:line="240" w:lineRule="auto"/>
        <w:rPr>
          <w:rFonts w:cs="Arial"/>
          <w:i/>
          <w:sz w:val="20"/>
          <w:szCs w:val="20"/>
        </w:rPr>
      </w:pPr>
      <w:r w:rsidRPr="004648C4">
        <w:rPr>
          <w:rFonts w:cs="Arial"/>
          <w:i/>
          <w:sz w:val="20"/>
          <w:szCs w:val="20"/>
        </w:rPr>
        <w:t xml:space="preserve">“De esta manera, si el Tribunal estimara apta la demanda presentada sobre el incumplimiento contractual sin incluir el acto de liquidación del contrato, y diera curso a una decisión, tendría que limitarse a la causa petendi planteada por el accionante, caso en el cual escindiría la realidad financiera del contrato de obra cuya controversia evalúa y llegaría a administrar justicia prevaleciendo la pretensión del accionante, que con su acción, limitaría al Juzgador para conocer y pronunciarse sobre la situación contractual en forma integral. Por ello, no debe permitirse la autonomía de la acción contractual de </w:t>
      </w:r>
      <w:r w:rsidRPr="004648C4">
        <w:rPr>
          <w:rFonts w:cs="Arial"/>
          <w:i/>
          <w:sz w:val="20"/>
          <w:szCs w:val="20"/>
          <w:shd w:val="clear" w:color="auto" w:fill="FFFFFF"/>
        </w:rPr>
        <w:t>incumplimiento cuando existe un acto administrativo de liquidación unilateral del contrato”.</w:t>
      </w:r>
    </w:p>
    <w:p w14:paraId="1670E84D" w14:textId="77777777" w:rsidR="008F19AB" w:rsidRPr="004648C4" w:rsidRDefault="008F19AB" w:rsidP="008F19AB">
      <w:pPr>
        <w:pStyle w:val="Textonotapie"/>
        <w:spacing w:line="240" w:lineRule="auto"/>
        <w:rPr>
          <w:rFonts w:cs="Arial"/>
          <w:i/>
          <w:lang w:val="es-CO"/>
        </w:rPr>
      </w:pPr>
    </w:p>
  </w:footnote>
  <w:footnote w:id="17">
    <w:p w14:paraId="048C84A1" w14:textId="77777777" w:rsidR="008F19AB" w:rsidRPr="004648C4" w:rsidRDefault="008F19AB" w:rsidP="008F19AB">
      <w:pPr>
        <w:pStyle w:val="NormalWeb"/>
        <w:shd w:val="clear" w:color="auto" w:fill="FFFFFF"/>
        <w:spacing w:before="0" w:beforeAutospacing="0" w:after="150" w:afterAutospacing="0" w:line="240" w:lineRule="auto"/>
        <w:rPr>
          <w:rFonts w:cs="Arial"/>
          <w:sz w:val="20"/>
          <w:szCs w:val="20"/>
        </w:rPr>
      </w:pPr>
      <w:r w:rsidRPr="004648C4">
        <w:rPr>
          <w:rStyle w:val="Refdenotaalpie"/>
          <w:sz w:val="20"/>
          <w:szCs w:val="20"/>
        </w:rPr>
        <w:footnoteRef/>
      </w:r>
      <w:r w:rsidRPr="004648C4">
        <w:rPr>
          <w:sz w:val="20"/>
          <w:szCs w:val="20"/>
        </w:rPr>
        <w:t xml:space="preserve"> Artículos 64, 137, 138 y 170 del C.C.A., hoy, a</w:t>
      </w:r>
      <w:r w:rsidRPr="004648C4">
        <w:rPr>
          <w:rFonts w:cs="Arial"/>
          <w:bCs/>
          <w:sz w:val="20"/>
          <w:szCs w:val="20"/>
        </w:rPr>
        <w:t>rtículos 88,</w:t>
      </w:r>
      <w:r w:rsidRPr="004648C4">
        <w:rPr>
          <w:rFonts w:cs="Arial"/>
          <w:sz w:val="20"/>
          <w:szCs w:val="20"/>
        </w:rPr>
        <w:t> </w:t>
      </w:r>
      <w:r w:rsidRPr="004648C4">
        <w:rPr>
          <w:rFonts w:cs="Arial"/>
          <w:bCs/>
          <w:sz w:val="20"/>
          <w:szCs w:val="20"/>
        </w:rPr>
        <w:t>162, 163 y 187 del C.P.A.C.A. </w:t>
      </w:r>
    </w:p>
    <w:p w14:paraId="1DC8BFE0" w14:textId="77777777" w:rsidR="008F19AB" w:rsidRPr="004648C4" w:rsidRDefault="008F19AB" w:rsidP="008F19AB">
      <w:pPr>
        <w:pStyle w:val="Textonotapie"/>
        <w:spacing w:line="240" w:lineRule="auto"/>
        <w:rPr>
          <w:lang w:val="es-CO"/>
        </w:rPr>
      </w:pPr>
    </w:p>
  </w:footnote>
  <w:footnote w:id="18">
    <w:p w14:paraId="3975AE5F" w14:textId="77777777" w:rsidR="008F19AB" w:rsidRPr="004648C4" w:rsidRDefault="008F19AB" w:rsidP="008F19AB">
      <w:pPr>
        <w:pStyle w:val="NormalWeb"/>
        <w:shd w:val="clear" w:color="auto" w:fill="FFFFFF"/>
        <w:spacing w:before="0" w:beforeAutospacing="0" w:after="150" w:afterAutospacing="0" w:line="240" w:lineRule="auto"/>
        <w:rPr>
          <w:rFonts w:cs="Arial"/>
          <w:i/>
          <w:sz w:val="20"/>
          <w:szCs w:val="20"/>
        </w:rPr>
      </w:pPr>
      <w:r w:rsidRPr="004648C4">
        <w:rPr>
          <w:rStyle w:val="Refdenotaalpie"/>
          <w:i/>
          <w:sz w:val="20"/>
          <w:szCs w:val="20"/>
        </w:rPr>
        <w:footnoteRef/>
      </w:r>
      <w:r w:rsidRPr="004648C4">
        <w:rPr>
          <w:i/>
          <w:sz w:val="20"/>
          <w:szCs w:val="20"/>
        </w:rPr>
        <w:t xml:space="preserve"> “Ley 1150 de 2007 </w:t>
      </w:r>
      <w:r w:rsidRPr="004648C4">
        <w:rPr>
          <w:rFonts w:cs="Arial"/>
          <w:bCs/>
          <w:i/>
          <w:sz w:val="20"/>
          <w:szCs w:val="20"/>
        </w:rPr>
        <w:t>Artículo 11. </w:t>
      </w:r>
      <w:r w:rsidRPr="004648C4">
        <w:rPr>
          <w:rFonts w:cs="Arial"/>
          <w:i/>
          <w:iCs/>
          <w:sz w:val="20"/>
          <w:szCs w:val="20"/>
        </w:rPr>
        <w:t>Del plazo para la liquidación de los contratos</w:t>
      </w:r>
      <w:r w:rsidRPr="004648C4">
        <w:rPr>
          <w:rFonts w:cs="Arial"/>
          <w:i/>
          <w:sz w:val="20"/>
          <w:szCs w:val="20"/>
        </w:rPr>
        <w:t>.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72AF3C9D" w14:textId="77777777" w:rsidR="008F19AB" w:rsidRPr="004648C4" w:rsidRDefault="008F19AB" w:rsidP="008F19AB">
      <w:pPr>
        <w:shd w:val="clear" w:color="auto" w:fill="FFFFFF"/>
        <w:spacing w:after="150" w:line="240" w:lineRule="auto"/>
        <w:rPr>
          <w:rFonts w:cs="Arial"/>
          <w:i/>
          <w:sz w:val="20"/>
          <w:szCs w:val="20"/>
        </w:rPr>
      </w:pPr>
      <w:r w:rsidRPr="004648C4">
        <w:rPr>
          <w:rFonts w:cs="Arial"/>
          <w:i/>
          <w:sz w:val="20"/>
          <w:szCs w:val="20"/>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47B54587" w14:textId="77777777" w:rsidR="008F19AB" w:rsidRPr="004648C4" w:rsidRDefault="008F19AB" w:rsidP="008F19AB">
      <w:pPr>
        <w:shd w:val="clear" w:color="auto" w:fill="FFFFFF"/>
        <w:spacing w:after="150" w:line="240" w:lineRule="auto"/>
        <w:rPr>
          <w:rFonts w:cs="Arial"/>
          <w:i/>
          <w:sz w:val="20"/>
          <w:szCs w:val="20"/>
        </w:rPr>
      </w:pPr>
      <w:r w:rsidRPr="004648C4">
        <w:rPr>
          <w:rFonts w:cs="Arial"/>
          <w:i/>
          <w:sz w:val="20"/>
          <w:szCs w:val="20"/>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10391480" w14:textId="77777777" w:rsidR="008F19AB" w:rsidRPr="004648C4" w:rsidRDefault="008F19AB" w:rsidP="008F19AB">
      <w:pPr>
        <w:shd w:val="clear" w:color="auto" w:fill="FFFFFF"/>
        <w:spacing w:after="150" w:line="240" w:lineRule="auto"/>
        <w:rPr>
          <w:rFonts w:cs="Arial"/>
          <w:i/>
          <w:sz w:val="20"/>
          <w:szCs w:val="20"/>
        </w:rPr>
      </w:pPr>
      <w:r w:rsidRPr="004648C4">
        <w:rPr>
          <w:rFonts w:cs="Arial"/>
          <w:i/>
          <w:sz w:val="20"/>
          <w:szCs w:val="20"/>
        </w:rPr>
        <w:t>“Los contratistas tendrán derecho a efectuar salvedades a la liquidación por mutuo acuerdo, y en este evento la liquidación unilateral solo procederá en relación con los aspectos que no hayan sido objeto de acuerdo.</w:t>
      </w:r>
    </w:p>
    <w:p w14:paraId="78D43EC6" w14:textId="77777777" w:rsidR="008F19AB" w:rsidRPr="004648C4" w:rsidRDefault="008F19AB" w:rsidP="008F19AB">
      <w:pPr>
        <w:pStyle w:val="Textonotapie"/>
        <w:rPr>
          <w:lang w:val="es-CO"/>
        </w:rPr>
      </w:pPr>
    </w:p>
  </w:footnote>
  <w:footnote w:id="19">
    <w:p w14:paraId="01792EB0" w14:textId="77777777" w:rsidR="008F19AB" w:rsidRPr="004648C4" w:rsidRDefault="008F19AB" w:rsidP="008F19AB">
      <w:pPr>
        <w:pStyle w:val="Textonotapie"/>
        <w:rPr>
          <w:lang w:val="es-CO"/>
        </w:rPr>
      </w:pPr>
      <w:r w:rsidRPr="004648C4">
        <w:rPr>
          <w:rStyle w:val="Refdenotaalpie"/>
        </w:rPr>
        <w:footnoteRef/>
      </w:r>
      <w:r w:rsidRPr="004648C4">
        <w:t xml:space="preserve"> </w:t>
      </w:r>
      <w:r w:rsidRPr="004648C4">
        <w:rPr>
          <w:lang w:val="es-CO"/>
        </w:rPr>
        <w:t>Folios 531 a 533, cuaderno1.</w:t>
      </w:r>
    </w:p>
  </w:footnote>
  <w:footnote w:id="20">
    <w:p w14:paraId="2100DA0D" w14:textId="77777777" w:rsidR="008F19AB" w:rsidRPr="004648C4" w:rsidRDefault="008F19AB" w:rsidP="008F19AB">
      <w:pPr>
        <w:pStyle w:val="Textonotapie"/>
        <w:rPr>
          <w:lang w:val="es-CO"/>
        </w:rPr>
      </w:pPr>
      <w:r w:rsidRPr="004648C4">
        <w:rPr>
          <w:rStyle w:val="Refdenotaalpie"/>
        </w:rPr>
        <w:footnoteRef/>
      </w:r>
      <w:r w:rsidRPr="004648C4">
        <w:t xml:space="preserve"> </w:t>
      </w:r>
      <w:r w:rsidRPr="004648C4">
        <w:rPr>
          <w:lang w:val="es-CO"/>
        </w:rPr>
        <w:t>Folio 118, cuaderno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1593" w14:textId="77777777" w:rsidR="0032749C" w:rsidRDefault="0032749C"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AB73A2" w14:textId="77777777" w:rsidR="0032749C" w:rsidRDefault="0032749C"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ED94" w14:textId="091F9584" w:rsidR="0032749C" w:rsidRDefault="008F19AB">
    <w:pPr>
      <w:pStyle w:val="Encabezado"/>
    </w:pPr>
    <w:r>
      <w:rPr>
        <w:noProof/>
        <w:lang w:val="en-US" w:eastAsia="en-US"/>
      </w:rPr>
      <w:drawing>
        <wp:inline distT="0" distB="0" distL="0" distR="0" wp14:anchorId="476B3E41" wp14:editId="13F7164F">
          <wp:extent cx="895985" cy="8223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5"/>
  </w:num>
  <w:num w:numId="14">
    <w:abstractNumId w:val="23"/>
  </w:num>
  <w:num w:numId="15">
    <w:abstractNumId w:val="3"/>
  </w:num>
  <w:num w:numId="16">
    <w:abstractNumId w:val="12"/>
  </w:num>
  <w:num w:numId="17">
    <w:abstractNumId w:val="7"/>
  </w:num>
  <w:num w:numId="18">
    <w:abstractNumId w:val="16"/>
  </w:num>
  <w:num w:numId="19">
    <w:abstractNumId w:val="22"/>
  </w:num>
  <w:num w:numId="20">
    <w:abstractNumId w:val="27"/>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12E0"/>
    <w:rsid w:val="00001679"/>
    <w:rsid w:val="0000193E"/>
    <w:rsid w:val="00001C09"/>
    <w:rsid w:val="00001C23"/>
    <w:rsid w:val="00001F90"/>
    <w:rsid w:val="00002764"/>
    <w:rsid w:val="00002E38"/>
    <w:rsid w:val="00003330"/>
    <w:rsid w:val="00003649"/>
    <w:rsid w:val="000036B8"/>
    <w:rsid w:val="000039FF"/>
    <w:rsid w:val="00003C47"/>
    <w:rsid w:val="000041F0"/>
    <w:rsid w:val="00004616"/>
    <w:rsid w:val="000049E1"/>
    <w:rsid w:val="0000511F"/>
    <w:rsid w:val="00006466"/>
    <w:rsid w:val="00006BE4"/>
    <w:rsid w:val="000072F1"/>
    <w:rsid w:val="00007C4A"/>
    <w:rsid w:val="00007CAE"/>
    <w:rsid w:val="00010098"/>
    <w:rsid w:val="00010466"/>
    <w:rsid w:val="000104E1"/>
    <w:rsid w:val="0001067B"/>
    <w:rsid w:val="000107A5"/>
    <w:rsid w:val="00010DB5"/>
    <w:rsid w:val="00012DB3"/>
    <w:rsid w:val="00013063"/>
    <w:rsid w:val="00013615"/>
    <w:rsid w:val="00013C26"/>
    <w:rsid w:val="00013E02"/>
    <w:rsid w:val="00013EC4"/>
    <w:rsid w:val="00014013"/>
    <w:rsid w:val="00014595"/>
    <w:rsid w:val="000148A2"/>
    <w:rsid w:val="0001495C"/>
    <w:rsid w:val="000150BD"/>
    <w:rsid w:val="000151C6"/>
    <w:rsid w:val="000152A8"/>
    <w:rsid w:val="0001539B"/>
    <w:rsid w:val="0001540B"/>
    <w:rsid w:val="000155C2"/>
    <w:rsid w:val="00015C11"/>
    <w:rsid w:val="00016B27"/>
    <w:rsid w:val="00016B62"/>
    <w:rsid w:val="0001706A"/>
    <w:rsid w:val="000170A9"/>
    <w:rsid w:val="00017F4B"/>
    <w:rsid w:val="000203FE"/>
    <w:rsid w:val="00020AE9"/>
    <w:rsid w:val="00020F82"/>
    <w:rsid w:val="00021148"/>
    <w:rsid w:val="00021342"/>
    <w:rsid w:val="00021A58"/>
    <w:rsid w:val="000223BC"/>
    <w:rsid w:val="0002287B"/>
    <w:rsid w:val="0002326F"/>
    <w:rsid w:val="000232F7"/>
    <w:rsid w:val="0002353C"/>
    <w:rsid w:val="00023675"/>
    <w:rsid w:val="00023933"/>
    <w:rsid w:val="00024457"/>
    <w:rsid w:val="000247CD"/>
    <w:rsid w:val="0002571A"/>
    <w:rsid w:val="00025A21"/>
    <w:rsid w:val="00025C0C"/>
    <w:rsid w:val="00025C7D"/>
    <w:rsid w:val="000260FB"/>
    <w:rsid w:val="000262BF"/>
    <w:rsid w:val="000263A9"/>
    <w:rsid w:val="000264FE"/>
    <w:rsid w:val="00026D42"/>
    <w:rsid w:val="00027837"/>
    <w:rsid w:val="00027A49"/>
    <w:rsid w:val="0003004D"/>
    <w:rsid w:val="00030283"/>
    <w:rsid w:val="000302C0"/>
    <w:rsid w:val="000304FF"/>
    <w:rsid w:val="00030B1A"/>
    <w:rsid w:val="00030C95"/>
    <w:rsid w:val="00031536"/>
    <w:rsid w:val="00031646"/>
    <w:rsid w:val="0003177A"/>
    <w:rsid w:val="00031F50"/>
    <w:rsid w:val="000320EB"/>
    <w:rsid w:val="000321D5"/>
    <w:rsid w:val="000323EA"/>
    <w:rsid w:val="00032C85"/>
    <w:rsid w:val="0003316F"/>
    <w:rsid w:val="00033185"/>
    <w:rsid w:val="000335CC"/>
    <w:rsid w:val="00033A87"/>
    <w:rsid w:val="00033E47"/>
    <w:rsid w:val="00033E59"/>
    <w:rsid w:val="00034270"/>
    <w:rsid w:val="00034796"/>
    <w:rsid w:val="000353CD"/>
    <w:rsid w:val="00035DEC"/>
    <w:rsid w:val="0003632B"/>
    <w:rsid w:val="0003635B"/>
    <w:rsid w:val="000363FD"/>
    <w:rsid w:val="00036F1E"/>
    <w:rsid w:val="000400F3"/>
    <w:rsid w:val="00040808"/>
    <w:rsid w:val="00040A0A"/>
    <w:rsid w:val="00041150"/>
    <w:rsid w:val="00041167"/>
    <w:rsid w:val="000411C9"/>
    <w:rsid w:val="00041BC1"/>
    <w:rsid w:val="00041D8F"/>
    <w:rsid w:val="00042364"/>
    <w:rsid w:val="0004266C"/>
    <w:rsid w:val="00042AFC"/>
    <w:rsid w:val="000439A7"/>
    <w:rsid w:val="00043C20"/>
    <w:rsid w:val="000442CE"/>
    <w:rsid w:val="00044360"/>
    <w:rsid w:val="00044ABB"/>
    <w:rsid w:val="00044F75"/>
    <w:rsid w:val="0004539B"/>
    <w:rsid w:val="00045C62"/>
    <w:rsid w:val="00045C63"/>
    <w:rsid w:val="00045DCF"/>
    <w:rsid w:val="00045FCB"/>
    <w:rsid w:val="000460C4"/>
    <w:rsid w:val="0004636C"/>
    <w:rsid w:val="0004675A"/>
    <w:rsid w:val="00047466"/>
    <w:rsid w:val="00047AFA"/>
    <w:rsid w:val="00050A3E"/>
    <w:rsid w:val="00050CA0"/>
    <w:rsid w:val="00050E71"/>
    <w:rsid w:val="00050EC2"/>
    <w:rsid w:val="00051050"/>
    <w:rsid w:val="0005134F"/>
    <w:rsid w:val="0005135E"/>
    <w:rsid w:val="000519A7"/>
    <w:rsid w:val="00051B2B"/>
    <w:rsid w:val="000527C6"/>
    <w:rsid w:val="00052B55"/>
    <w:rsid w:val="00053041"/>
    <w:rsid w:val="00053778"/>
    <w:rsid w:val="00054130"/>
    <w:rsid w:val="0005420C"/>
    <w:rsid w:val="00054863"/>
    <w:rsid w:val="00054E45"/>
    <w:rsid w:val="00055411"/>
    <w:rsid w:val="00055A2C"/>
    <w:rsid w:val="00056023"/>
    <w:rsid w:val="00056F8F"/>
    <w:rsid w:val="000570EE"/>
    <w:rsid w:val="0005739B"/>
    <w:rsid w:val="00057514"/>
    <w:rsid w:val="000601D7"/>
    <w:rsid w:val="0006047E"/>
    <w:rsid w:val="0006071E"/>
    <w:rsid w:val="00060962"/>
    <w:rsid w:val="00060A10"/>
    <w:rsid w:val="00060D51"/>
    <w:rsid w:val="00061160"/>
    <w:rsid w:val="00061169"/>
    <w:rsid w:val="00061758"/>
    <w:rsid w:val="000619AB"/>
    <w:rsid w:val="00062A8C"/>
    <w:rsid w:val="00062AE2"/>
    <w:rsid w:val="00062EC8"/>
    <w:rsid w:val="0006314A"/>
    <w:rsid w:val="00063601"/>
    <w:rsid w:val="00063833"/>
    <w:rsid w:val="00063FDB"/>
    <w:rsid w:val="00064173"/>
    <w:rsid w:val="000641E1"/>
    <w:rsid w:val="00064582"/>
    <w:rsid w:val="0006488A"/>
    <w:rsid w:val="00064D83"/>
    <w:rsid w:val="00064FE5"/>
    <w:rsid w:val="000657C5"/>
    <w:rsid w:val="00065E78"/>
    <w:rsid w:val="00066448"/>
    <w:rsid w:val="000701BA"/>
    <w:rsid w:val="000705E6"/>
    <w:rsid w:val="000708AE"/>
    <w:rsid w:val="00070FC0"/>
    <w:rsid w:val="00071336"/>
    <w:rsid w:val="00071BC7"/>
    <w:rsid w:val="00071DAB"/>
    <w:rsid w:val="000722F8"/>
    <w:rsid w:val="0007265F"/>
    <w:rsid w:val="00073360"/>
    <w:rsid w:val="00073519"/>
    <w:rsid w:val="0007367B"/>
    <w:rsid w:val="000739F5"/>
    <w:rsid w:val="00073C49"/>
    <w:rsid w:val="00073DB3"/>
    <w:rsid w:val="000745CE"/>
    <w:rsid w:val="00074C0F"/>
    <w:rsid w:val="00074C56"/>
    <w:rsid w:val="0007558A"/>
    <w:rsid w:val="00075779"/>
    <w:rsid w:val="00075DF6"/>
    <w:rsid w:val="0007608D"/>
    <w:rsid w:val="00076631"/>
    <w:rsid w:val="0007667D"/>
    <w:rsid w:val="00076AFF"/>
    <w:rsid w:val="000775AE"/>
    <w:rsid w:val="0007792C"/>
    <w:rsid w:val="00077B4B"/>
    <w:rsid w:val="00077B7D"/>
    <w:rsid w:val="00077DF1"/>
    <w:rsid w:val="00077E42"/>
    <w:rsid w:val="00077F0F"/>
    <w:rsid w:val="00080157"/>
    <w:rsid w:val="0008074F"/>
    <w:rsid w:val="000813E9"/>
    <w:rsid w:val="00081E4F"/>
    <w:rsid w:val="00081F74"/>
    <w:rsid w:val="00082852"/>
    <w:rsid w:val="00082D93"/>
    <w:rsid w:val="00082FB7"/>
    <w:rsid w:val="0008343C"/>
    <w:rsid w:val="00083937"/>
    <w:rsid w:val="00083AEA"/>
    <w:rsid w:val="00083BB5"/>
    <w:rsid w:val="00083C1D"/>
    <w:rsid w:val="00084000"/>
    <w:rsid w:val="000843C9"/>
    <w:rsid w:val="00084419"/>
    <w:rsid w:val="0008441D"/>
    <w:rsid w:val="00084943"/>
    <w:rsid w:val="00084A15"/>
    <w:rsid w:val="0008509A"/>
    <w:rsid w:val="00085283"/>
    <w:rsid w:val="00085297"/>
    <w:rsid w:val="00085443"/>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AF5"/>
    <w:rsid w:val="00090C49"/>
    <w:rsid w:val="00090F3F"/>
    <w:rsid w:val="00091462"/>
    <w:rsid w:val="000923E9"/>
    <w:rsid w:val="00092A06"/>
    <w:rsid w:val="00093234"/>
    <w:rsid w:val="000935A8"/>
    <w:rsid w:val="00093655"/>
    <w:rsid w:val="00093953"/>
    <w:rsid w:val="00093CE2"/>
    <w:rsid w:val="00093FAE"/>
    <w:rsid w:val="000940BA"/>
    <w:rsid w:val="0009429B"/>
    <w:rsid w:val="000946D8"/>
    <w:rsid w:val="00094990"/>
    <w:rsid w:val="000949AA"/>
    <w:rsid w:val="000954D9"/>
    <w:rsid w:val="000958F8"/>
    <w:rsid w:val="00095DC4"/>
    <w:rsid w:val="00095DE2"/>
    <w:rsid w:val="00096035"/>
    <w:rsid w:val="0009606A"/>
    <w:rsid w:val="0009634B"/>
    <w:rsid w:val="000964A2"/>
    <w:rsid w:val="0009687C"/>
    <w:rsid w:val="00097392"/>
    <w:rsid w:val="00097454"/>
    <w:rsid w:val="00097E28"/>
    <w:rsid w:val="00097FFE"/>
    <w:rsid w:val="000A024C"/>
    <w:rsid w:val="000A0632"/>
    <w:rsid w:val="000A10EB"/>
    <w:rsid w:val="000A15C5"/>
    <w:rsid w:val="000A1C44"/>
    <w:rsid w:val="000A2287"/>
    <w:rsid w:val="000A263C"/>
    <w:rsid w:val="000A2EF8"/>
    <w:rsid w:val="000A2F71"/>
    <w:rsid w:val="000A2F9E"/>
    <w:rsid w:val="000A3282"/>
    <w:rsid w:val="000A344C"/>
    <w:rsid w:val="000A3D13"/>
    <w:rsid w:val="000A3F4D"/>
    <w:rsid w:val="000A43A4"/>
    <w:rsid w:val="000A4AC6"/>
    <w:rsid w:val="000A551F"/>
    <w:rsid w:val="000A5AB6"/>
    <w:rsid w:val="000A5CC8"/>
    <w:rsid w:val="000A5F64"/>
    <w:rsid w:val="000A6106"/>
    <w:rsid w:val="000A6819"/>
    <w:rsid w:val="000A6E70"/>
    <w:rsid w:val="000A700C"/>
    <w:rsid w:val="000A7800"/>
    <w:rsid w:val="000A79D1"/>
    <w:rsid w:val="000A7F66"/>
    <w:rsid w:val="000B00FB"/>
    <w:rsid w:val="000B0BFA"/>
    <w:rsid w:val="000B1216"/>
    <w:rsid w:val="000B194A"/>
    <w:rsid w:val="000B1BC1"/>
    <w:rsid w:val="000B1E8C"/>
    <w:rsid w:val="000B2B5A"/>
    <w:rsid w:val="000B3002"/>
    <w:rsid w:val="000B3773"/>
    <w:rsid w:val="000B380C"/>
    <w:rsid w:val="000B393A"/>
    <w:rsid w:val="000B3DED"/>
    <w:rsid w:val="000B42EC"/>
    <w:rsid w:val="000B4594"/>
    <w:rsid w:val="000B45E5"/>
    <w:rsid w:val="000B48A9"/>
    <w:rsid w:val="000B4DDE"/>
    <w:rsid w:val="000B572D"/>
    <w:rsid w:val="000B5AC9"/>
    <w:rsid w:val="000B5B53"/>
    <w:rsid w:val="000B5BD6"/>
    <w:rsid w:val="000B5D70"/>
    <w:rsid w:val="000B5DB0"/>
    <w:rsid w:val="000B5F09"/>
    <w:rsid w:val="000B60B3"/>
    <w:rsid w:val="000B6230"/>
    <w:rsid w:val="000B6431"/>
    <w:rsid w:val="000B697D"/>
    <w:rsid w:val="000B6FE1"/>
    <w:rsid w:val="000B75ED"/>
    <w:rsid w:val="000B7705"/>
    <w:rsid w:val="000B7709"/>
    <w:rsid w:val="000B771B"/>
    <w:rsid w:val="000C0124"/>
    <w:rsid w:val="000C0E6F"/>
    <w:rsid w:val="000C160D"/>
    <w:rsid w:val="000C1611"/>
    <w:rsid w:val="000C189E"/>
    <w:rsid w:val="000C1CDB"/>
    <w:rsid w:val="000C1EB8"/>
    <w:rsid w:val="000C2328"/>
    <w:rsid w:val="000C26D8"/>
    <w:rsid w:val="000C2852"/>
    <w:rsid w:val="000C29B5"/>
    <w:rsid w:val="000C3490"/>
    <w:rsid w:val="000C3C31"/>
    <w:rsid w:val="000C4289"/>
    <w:rsid w:val="000C4728"/>
    <w:rsid w:val="000C49B4"/>
    <w:rsid w:val="000C4C7A"/>
    <w:rsid w:val="000C55C9"/>
    <w:rsid w:val="000C62FD"/>
    <w:rsid w:val="000C6608"/>
    <w:rsid w:val="000C6624"/>
    <w:rsid w:val="000C695F"/>
    <w:rsid w:val="000C7086"/>
    <w:rsid w:val="000C74FA"/>
    <w:rsid w:val="000C7A5D"/>
    <w:rsid w:val="000C7AAF"/>
    <w:rsid w:val="000C7D37"/>
    <w:rsid w:val="000C7F42"/>
    <w:rsid w:val="000C7FA2"/>
    <w:rsid w:val="000D094E"/>
    <w:rsid w:val="000D099B"/>
    <w:rsid w:val="000D0AB6"/>
    <w:rsid w:val="000D0BCC"/>
    <w:rsid w:val="000D12CC"/>
    <w:rsid w:val="000D13B1"/>
    <w:rsid w:val="000D1F94"/>
    <w:rsid w:val="000D24AB"/>
    <w:rsid w:val="000D25BF"/>
    <w:rsid w:val="000D27BB"/>
    <w:rsid w:val="000D2D7B"/>
    <w:rsid w:val="000D2E0D"/>
    <w:rsid w:val="000D30CA"/>
    <w:rsid w:val="000D32C3"/>
    <w:rsid w:val="000D331B"/>
    <w:rsid w:val="000D36F4"/>
    <w:rsid w:val="000D3740"/>
    <w:rsid w:val="000D3769"/>
    <w:rsid w:val="000D3852"/>
    <w:rsid w:val="000D39E6"/>
    <w:rsid w:val="000D44D5"/>
    <w:rsid w:val="000D47FA"/>
    <w:rsid w:val="000D4DED"/>
    <w:rsid w:val="000D501B"/>
    <w:rsid w:val="000D5033"/>
    <w:rsid w:val="000D6865"/>
    <w:rsid w:val="000D69A6"/>
    <w:rsid w:val="000D7488"/>
    <w:rsid w:val="000D7509"/>
    <w:rsid w:val="000E0D85"/>
    <w:rsid w:val="000E17DE"/>
    <w:rsid w:val="000E1A1B"/>
    <w:rsid w:val="000E1F75"/>
    <w:rsid w:val="000E20DD"/>
    <w:rsid w:val="000E2AD6"/>
    <w:rsid w:val="000E2CB1"/>
    <w:rsid w:val="000E2CF7"/>
    <w:rsid w:val="000E325E"/>
    <w:rsid w:val="000E3283"/>
    <w:rsid w:val="000E334F"/>
    <w:rsid w:val="000E353A"/>
    <w:rsid w:val="000E35AE"/>
    <w:rsid w:val="000E363C"/>
    <w:rsid w:val="000E3BA3"/>
    <w:rsid w:val="000E3FCB"/>
    <w:rsid w:val="000E41A9"/>
    <w:rsid w:val="000E4216"/>
    <w:rsid w:val="000E426D"/>
    <w:rsid w:val="000E4364"/>
    <w:rsid w:val="000E4683"/>
    <w:rsid w:val="000E4DCC"/>
    <w:rsid w:val="000E4E92"/>
    <w:rsid w:val="000E52CC"/>
    <w:rsid w:val="000E559B"/>
    <w:rsid w:val="000E61D2"/>
    <w:rsid w:val="000E6697"/>
    <w:rsid w:val="000E6AEE"/>
    <w:rsid w:val="000E6C2F"/>
    <w:rsid w:val="000E6F56"/>
    <w:rsid w:val="000E76A0"/>
    <w:rsid w:val="000E7986"/>
    <w:rsid w:val="000F03E0"/>
    <w:rsid w:val="000F05E1"/>
    <w:rsid w:val="000F0C2F"/>
    <w:rsid w:val="000F0C94"/>
    <w:rsid w:val="000F180A"/>
    <w:rsid w:val="000F22FF"/>
    <w:rsid w:val="000F265A"/>
    <w:rsid w:val="000F26E1"/>
    <w:rsid w:val="000F2F49"/>
    <w:rsid w:val="000F3037"/>
    <w:rsid w:val="000F3104"/>
    <w:rsid w:val="000F34A9"/>
    <w:rsid w:val="000F3716"/>
    <w:rsid w:val="000F3BDF"/>
    <w:rsid w:val="000F3DF5"/>
    <w:rsid w:val="000F48E0"/>
    <w:rsid w:val="000F494D"/>
    <w:rsid w:val="000F4D86"/>
    <w:rsid w:val="000F55D2"/>
    <w:rsid w:val="000F59B3"/>
    <w:rsid w:val="000F5B4E"/>
    <w:rsid w:val="000F61E7"/>
    <w:rsid w:val="000F6382"/>
    <w:rsid w:val="000F65E7"/>
    <w:rsid w:val="000F7158"/>
    <w:rsid w:val="000F7BB7"/>
    <w:rsid w:val="000F7F26"/>
    <w:rsid w:val="001002CF"/>
    <w:rsid w:val="00100AD0"/>
    <w:rsid w:val="00100AD9"/>
    <w:rsid w:val="00100C07"/>
    <w:rsid w:val="00100E68"/>
    <w:rsid w:val="001011E1"/>
    <w:rsid w:val="001011E7"/>
    <w:rsid w:val="0010130B"/>
    <w:rsid w:val="00101519"/>
    <w:rsid w:val="00101534"/>
    <w:rsid w:val="0010169B"/>
    <w:rsid w:val="001017D8"/>
    <w:rsid w:val="00101FD2"/>
    <w:rsid w:val="0010218A"/>
    <w:rsid w:val="00102224"/>
    <w:rsid w:val="00102685"/>
    <w:rsid w:val="00102D36"/>
    <w:rsid w:val="0010300A"/>
    <w:rsid w:val="001031B3"/>
    <w:rsid w:val="001031B7"/>
    <w:rsid w:val="001036A6"/>
    <w:rsid w:val="00103A87"/>
    <w:rsid w:val="00103DD6"/>
    <w:rsid w:val="00103E88"/>
    <w:rsid w:val="00103ED3"/>
    <w:rsid w:val="00103EEF"/>
    <w:rsid w:val="001048BA"/>
    <w:rsid w:val="0010497F"/>
    <w:rsid w:val="00104C98"/>
    <w:rsid w:val="00104DE5"/>
    <w:rsid w:val="0010526A"/>
    <w:rsid w:val="001055E6"/>
    <w:rsid w:val="0010587D"/>
    <w:rsid w:val="00105AB1"/>
    <w:rsid w:val="00105C2B"/>
    <w:rsid w:val="00106711"/>
    <w:rsid w:val="00106CCD"/>
    <w:rsid w:val="0010721D"/>
    <w:rsid w:val="001072BE"/>
    <w:rsid w:val="00107852"/>
    <w:rsid w:val="00107FB9"/>
    <w:rsid w:val="0011056D"/>
    <w:rsid w:val="00110674"/>
    <w:rsid w:val="00110AF3"/>
    <w:rsid w:val="00110C75"/>
    <w:rsid w:val="0011113C"/>
    <w:rsid w:val="00111357"/>
    <w:rsid w:val="001116E5"/>
    <w:rsid w:val="001118A8"/>
    <w:rsid w:val="00111F1F"/>
    <w:rsid w:val="0011227D"/>
    <w:rsid w:val="001126A8"/>
    <w:rsid w:val="001127A4"/>
    <w:rsid w:val="001128E0"/>
    <w:rsid w:val="001128FC"/>
    <w:rsid w:val="0011390B"/>
    <w:rsid w:val="00113E4F"/>
    <w:rsid w:val="00113F61"/>
    <w:rsid w:val="001141DE"/>
    <w:rsid w:val="00114348"/>
    <w:rsid w:val="001143E9"/>
    <w:rsid w:val="0011467E"/>
    <w:rsid w:val="001146DB"/>
    <w:rsid w:val="00114BD0"/>
    <w:rsid w:val="00114CA2"/>
    <w:rsid w:val="00115037"/>
    <w:rsid w:val="00115723"/>
    <w:rsid w:val="001158A2"/>
    <w:rsid w:val="001160A0"/>
    <w:rsid w:val="0011628F"/>
    <w:rsid w:val="001168FB"/>
    <w:rsid w:val="00116C60"/>
    <w:rsid w:val="00116CBD"/>
    <w:rsid w:val="00117245"/>
    <w:rsid w:val="0011743F"/>
    <w:rsid w:val="00117A4A"/>
    <w:rsid w:val="00117B56"/>
    <w:rsid w:val="00117B6F"/>
    <w:rsid w:val="00117C54"/>
    <w:rsid w:val="00117F62"/>
    <w:rsid w:val="001201FB"/>
    <w:rsid w:val="00120249"/>
    <w:rsid w:val="0012045C"/>
    <w:rsid w:val="001204EE"/>
    <w:rsid w:val="001206FC"/>
    <w:rsid w:val="00120A14"/>
    <w:rsid w:val="00120E8F"/>
    <w:rsid w:val="00120EA7"/>
    <w:rsid w:val="00120EDB"/>
    <w:rsid w:val="00120F4B"/>
    <w:rsid w:val="0012136D"/>
    <w:rsid w:val="001216ED"/>
    <w:rsid w:val="00121D61"/>
    <w:rsid w:val="00122629"/>
    <w:rsid w:val="001229B1"/>
    <w:rsid w:val="00122FBE"/>
    <w:rsid w:val="00123510"/>
    <w:rsid w:val="001235E1"/>
    <w:rsid w:val="001239DC"/>
    <w:rsid w:val="00123C45"/>
    <w:rsid w:val="00123D2C"/>
    <w:rsid w:val="00123E03"/>
    <w:rsid w:val="00124102"/>
    <w:rsid w:val="00124221"/>
    <w:rsid w:val="0012464E"/>
    <w:rsid w:val="0012473C"/>
    <w:rsid w:val="00124B07"/>
    <w:rsid w:val="00124BCC"/>
    <w:rsid w:val="001250FD"/>
    <w:rsid w:val="00125331"/>
    <w:rsid w:val="00125551"/>
    <w:rsid w:val="0012558D"/>
    <w:rsid w:val="00125C69"/>
    <w:rsid w:val="001261D1"/>
    <w:rsid w:val="001263EB"/>
    <w:rsid w:val="0012681B"/>
    <w:rsid w:val="00126933"/>
    <w:rsid w:val="00126EFE"/>
    <w:rsid w:val="00127103"/>
    <w:rsid w:val="001273CB"/>
    <w:rsid w:val="00127748"/>
    <w:rsid w:val="00127B3D"/>
    <w:rsid w:val="00127E59"/>
    <w:rsid w:val="001302AE"/>
    <w:rsid w:val="001306FC"/>
    <w:rsid w:val="00130EAA"/>
    <w:rsid w:val="00130FC6"/>
    <w:rsid w:val="00131311"/>
    <w:rsid w:val="0013144C"/>
    <w:rsid w:val="0013154C"/>
    <w:rsid w:val="001316F1"/>
    <w:rsid w:val="0013204A"/>
    <w:rsid w:val="00132875"/>
    <w:rsid w:val="001329D5"/>
    <w:rsid w:val="00132A98"/>
    <w:rsid w:val="00132BAD"/>
    <w:rsid w:val="0013334F"/>
    <w:rsid w:val="00133490"/>
    <w:rsid w:val="00134B7A"/>
    <w:rsid w:val="00135CC1"/>
    <w:rsid w:val="00135EF2"/>
    <w:rsid w:val="001361E1"/>
    <w:rsid w:val="00136487"/>
    <w:rsid w:val="001365E1"/>
    <w:rsid w:val="0013679B"/>
    <w:rsid w:val="0013687B"/>
    <w:rsid w:val="00136A61"/>
    <w:rsid w:val="001371BA"/>
    <w:rsid w:val="0013754B"/>
    <w:rsid w:val="00137C26"/>
    <w:rsid w:val="00140307"/>
    <w:rsid w:val="0014059F"/>
    <w:rsid w:val="001407A0"/>
    <w:rsid w:val="00140D45"/>
    <w:rsid w:val="00141037"/>
    <w:rsid w:val="001414A3"/>
    <w:rsid w:val="001415A6"/>
    <w:rsid w:val="001416DF"/>
    <w:rsid w:val="00141BE3"/>
    <w:rsid w:val="00142212"/>
    <w:rsid w:val="0014233F"/>
    <w:rsid w:val="00143396"/>
    <w:rsid w:val="00143B6E"/>
    <w:rsid w:val="00143CB4"/>
    <w:rsid w:val="00143D0D"/>
    <w:rsid w:val="00143DEC"/>
    <w:rsid w:val="00143E4D"/>
    <w:rsid w:val="00143E64"/>
    <w:rsid w:val="00143EDE"/>
    <w:rsid w:val="001449DF"/>
    <w:rsid w:val="00144D5C"/>
    <w:rsid w:val="00145AB1"/>
    <w:rsid w:val="00146202"/>
    <w:rsid w:val="0014688F"/>
    <w:rsid w:val="00146993"/>
    <w:rsid w:val="00146AFC"/>
    <w:rsid w:val="00146C5F"/>
    <w:rsid w:val="00147456"/>
    <w:rsid w:val="00147CA9"/>
    <w:rsid w:val="00147F6D"/>
    <w:rsid w:val="00147F79"/>
    <w:rsid w:val="0015002B"/>
    <w:rsid w:val="00150215"/>
    <w:rsid w:val="001502AE"/>
    <w:rsid w:val="001504CA"/>
    <w:rsid w:val="00150B9F"/>
    <w:rsid w:val="00150BC8"/>
    <w:rsid w:val="00150D74"/>
    <w:rsid w:val="00150FB5"/>
    <w:rsid w:val="00151664"/>
    <w:rsid w:val="001524DF"/>
    <w:rsid w:val="0015263D"/>
    <w:rsid w:val="00152DDD"/>
    <w:rsid w:val="00152F97"/>
    <w:rsid w:val="00153240"/>
    <w:rsid w:val="001535AA"/>
    <w:rsid w:val="001539DF"/>
    <w:rsid w:val="00153A2E"/>
    <w:rsid w:val="00153B22"/>
    <w:rsid w:val="00153CED"/>
    <w:rsid w:val="001540C2"/>
    <w:rsid w:val="00154172"/>
    <w:rsid w:val="0015437A"/>
    <w:rsid w:val="00154F12"/>
    <w:rsid w:val="00155915"/>
    <w:rsid w:val="00155D82"/>
    <w:rsid w:val="00156060"/>
    <w:rsid w:val="0015683C"/>
    <w:rsid w:val="00156D10"/>
    <w:rsid w:val="001571FF"/>
    <w:rsid w:val="0015721D"/>
    <w:rsid w:val="00157224"/>
    <w:rsid w:val="0015741E"/>
    <w:rsid w:val="001579E6"/>
    <w:rsid w:val="00157AEB"/>
    <w:rsid w:val="00157F93"/>
    <w:rsid w:val="00160378"/>
    <w:rsid w:val="001603D6"/>
    <w:rsid w:val="00161891"/>
    <w:rsid w:val="00161AF9"/>
    <w:rsid w:val="0016213E"/>
    <w:rsid w:val="001621B3"/>
    <w:rsid w:val="00162248"/>
    <w:rsid w:val="001629CA"/>
    <w:rsid w:val="00162B64"/>
    <w:rsid w:val="0016305C"/>
    <w:rsid w:val="001631E3"/>
    <w:rsid w:val="0016353A"/>
    <w:rsid w:val="00163E82"/>
    <w:rsid w:val="00163FD6"/>
    <w:rsid w:val="0016412E"/>
    <w:rsid w:val="001642C0"/>
    <w:rsid w:val="001642D5"/>
    <w:rsid w:val="00164819"/>
    <w:rsid w:val="00164C0A"/>
    <w:rsid w:val="00164F12"/>
    <w:rsid w:val="00165085"/>
    <w:rsid w:val="00165A48"/>
    <w:rsid w:val="00166260"/>
    <w:rsid w:val="0016681E"/>
    <w:rsid w:val="00167243"/>
    <w:rsid w:val="001674C0"/>
    <w:rsid w:val="0016750F"/>
    <w:rsid w:val="00167F39"/>
    <w:rsid w:val="001702DD"/>
    <w:rsid w:val="00170494"/>
    <w:rsid w:val="00170BDE"/>
    <w:rsid w:val="001711CC"/>
    <w:rsid w:val="0017137C"/>
    <w:rsid w:val="00171503"/>
    <w:rsid w:val="001718D9"/>
    <w:rsid w:val="00171AD6"/>
    <w:rsid w:val="00171E82"/>
    <w:rsid w:val="00171F50"/>
    <w:rsid w:val="001721EC"/>
    <w:rsid w:val="00172414"/>
    <w:rsid w:val="00172746"/>
    <w:rsid w:val="00172979"/>
    <w:rsid w:val="00172F16"/>
    <w:rsid w:val="00173A1D"/>
    <w:rsid w:val="00173DD1"/>
    <w:rsid w:val="00174312"/>
    <w:rsid w:val="001749C7"/>
    <w:rsid w:val="00175220"/>
    <w:rsid w:val="0017535F"/>
    <w:rsid w:val="001753C3"/>
    <w:rsid w:val="001758E1"/>
    <w:rsid w:val="00175A7E"/>
    <w:rsid w:val="00175E8E"/>
    <w:rsid w:val="00176100"/>
    <w:rsid w:val="00176402"/>
    <w:rsid w:val="00176469"/>
    <w:rsid w:val="001767F3"/>
    <w:rsid w:val="00176B30"/>
    <w:rsid w:val="00176E12"/>
    <w:rsid w:val="00177780"/>
    <w:rsid w:val="00177B46"/>
    <w:rsid w:val="00177DB2"/>
    <w:rsid w:val="0018002C"/>
    <w:rsid w:val="00180EA4"/>
    <w:rsid w:val="00181451"/>
    <w:rsid w:val="00181F73"/>
    <w:rsid w:val="00181F94"/>
    <w:rsid w:val="00182253"/>
    <w:rsid w:val="001826B1"/>
    <w:rsid w:val="00182860"/>
    <w:rsid w:val="00182930"/>
    <w:rsid w:val="00182E44"/>
    <w:rsid w:val="0018328F"/>
    <w:rsid w:val="00183325"/>
    <w:rsid w:val="00183754"/>
    <w:rsid w:val="00183B36"/>
    <w:rsid w:val="00183B89"/>
    <w:rsid w:val="001840AD"/>
    <w:rsid w:val="00184268"/>
    <w:rsid w:val="00184384"/>
    <w:rsid w:val="001843EA"/>
    <w:rsid w:val="00184BCB"/>
    <w:rsid w:val="00184F7D"/>
    <w:rsid w:val="001852A9"/>
    <w:rsid w:val="00185455"/>
    <w:rsid w:val="00185DF2"/>
    <w:rsid w:val="00186AC5"/>
    <w:rsid w:val="00186F26"/>
    <w:rsid w:val="00186F53"/>
    <w:rsid w:val="00186FCD"/>
    <w:rsid w:val="00187208"/>
    <w:rsid w:val="0018721E"/>
    <w:rsid w:val="00187254"/>
    <w:rsid w:val="001873FD"/>
    <w:rsid w:val="0018754D"/>
    <w:rsid w:val="00187564"/>
    <w:rsid w:val="001900B1"/>
    <w:rsid w:val="001905C0"/>
    <w:rsid w:val="00190B67"/>
    <w:rsid w:val="00190BBE"/>
    <w:rsid w:val="00190BDA"/>
    <w:rsid w:val="00191284"/>
    <w:rsid w:val="00191329"/>
    <w:rsid w:val="00191445"/>
    <w:rsid w:val="00191712"/>
    <w:rsid w:val="0019190A"/>
    <w:rsid w:val="00191C4E"/>
    <w:rsid w:val="00192133"/>
    <w:rsid w:val="0019265A"/>
    <w:rsid w:val="00192934"/>
    <w:rsid w:val="001931C4"/>
    <w:rsid w:val="00193652"/>
    <w:rsid w:val="001937A3"/>
    <w:rsid w:val="001946DE"/>
    <w:rsid w:val="00194AAF"/>
    <w:rsid w:val="001957C6"/>
    <w:rsid w:val="001957C8"/>
    <w:rsid w:val="00195920"/>
    <w:rsid w:val="001959D7"/>
    <w:rsid w:val="00195F15"/>
    <w:rsid w:val="00196B97"/>
    <w:rsid w:val="00196EE5"/>
    <w:rsid w:val="00197000"/>
    <w:rsid w:val="0019721F"/>
    <w:rsid w:val="00197961"/>
    <w:rsid w:val="00197FE9"/>
    <w:rsid w:val="001A0DD9"/>
    <w:rsid w:val="001A1538"/>
    <w:rsid w:val="001A1942"/>
    <w:rsid w:val="001A2665"/>
    <w:rsid w:val="001A3250"/>
    <w:rsid w:val="001A332C"/>
    <w:rsid w:val="001A3504"/>
    <w:rsid w:val="001A3F9A"/>
    <w:rsid w:val="001A4082"/>
    <w:rsid w:val="001A41AC"/>
    <w:rsid w:val="001A45EE"/>
    <w:rsid w:val="001A52B2"/>
    <w:rsid w:val="001A5C66"/>
    <w:rsid w:val="001A5D20"/>
    <w:rsid w:val="001A604A"/>
    <w:rsid w:val="001A73A4"/>
    <w:rsid w:val="001A77F6"/>
    <w:rsid w:val="001B08DC"/>
    <w:rsid w:val="001B09CA"/>
    <w:rsid w:val="001B0F84"/>
    <w:rsid w:val="001B1206"/>
    <w:rsid w:val="001B1497"/>
    <w:rsid w:val="001B15F6"/>
    <w:rsid w:val="001B1C4A"/>
    <w:rsid w:val="001B1D26"/>
    <w:rsid w:val="001B22E6"/>
    <w:rsid w:val="001B26A4"/>
    <w:rsid w:val="001B26CD"/>
    <w:rsid w:val="001B28D2"/>
    <w:rsid w:val="001B2F11"/>
    <w:rsid w:val="001B3038"/>
    <w:rsid w:val="001B332A"/>
    <w:rsid w:val="001B3436"/>
    <w:rsid w:val="001B36E3"/>
    <w:rsid w:val="001B3D0C"/>
    <w:rsid w:val="001B4C5E"/>
    <w:rsid w:val="001B5156"/>
    <w:rsid w:val="001B523A"/>
    <w:rsid w:val="001B54C5"/>
    <w:rsid w:val="001B5E36"/>
    <w:rsid w:val="001B60FB"/>
    <w:rsid w:val="001B6109"/>
    <w:rsid w:val="001B6466"/>
    <w:rsid w:val="001B6A1E"/>
    <w:rsid w:val="001B7012"/>
    <w:rsid w:val="001B7AEB"/>
    <w:rsid w:val="001C07A1"/>
    <w:rsid w:val="001C08EB"/>
    <w:rsid w:val="001C0F3C"/>
    <w:rsid w:val="001C10C6"/>
    <w:rsid w:val="001C11DD"/>
    <w:rsid w:val="001C1419"/>
    <w:rsid w:val="001C1747"/>
    <w:rsid w:val="001C181C"/>
    <w:rsid w:val="001C1BD5"/>
    <w:rsid w:val="001C2A4B"/>
    <w:rsid w:val="001C2C4F"/>
    <w:rsid w:val="001C2C99"/>
    <w:rsid w:val="001C3642"/>
    <w:rsid w:val="001C3851"/>
    <w:rsid w:val="001C47A1"/>
    <w:rsid w:val="001C4863"/>
    <w:rsid w:val="001C5898"/>
    <w:rsid w:val="001C59EF"/>
    <w:rsid w:val="001C5E87"/>
    <w:rsid w:val="001C6080"/>
    <w:rsid w:val="001C69E1"/>
    <w:rsid w:val="001C6C9D"/>
    <w:rsid w:val="001C6D0F"/>
    <w:rsid w:val="001C6D5B"/>
    <w:rsid w:val="001C7217"/>
    <w:rsid w:val="001C795F"/>
    <w:rsid w:val="001D01DA"/>
    <w:rsid w:val="001D01E0"/>
    <w:rsid w:val="001D04B3"/>
    <w:rsid w:val="001D07EF"/>
    <w:rsid w:val="001D0D8E"/>
    <w:rsid w:val="001D10FB"/>
    <w:rsid w:val="001D11D4"/>
    <w:rsid w:val="001D176C"/>
    <w:rsid w:val="001D1D8A"/>
    <w:rsid w:val="001D1E1B"/>
    <w:rsid w:val="001D22F7"/>
    <w:rsid w:val="001D29F0"/>
    <w:rsid w:val="001D2F1E"/>
    <w:rsid w:val="001D370C"/>
    <w:rsid w:val="001D3841"/>
    <w:rsid w:val="001D3A14"/>
    <w:rsid w:val="001D3DEB"/>
    <w:rsid w:val="001D3EBA"/>
    <w:rsid w:val="001D45B7"/>
    <w:rsid w:val="001D469F"/>
    <w:rsid w:val="001D4F2A"/>
    <w:rsid w:val="001D52E5"/>
    <w:rsid w:val="001D5BBA"/>
    <w:rsid w:val="001D6366"/>
    <w:rsid w:val="001D6B91"/>
    <w:rsid w:val="001D6FE4"/>
    <w:rsid w:val="001D735C"/>
    <w:rsid w:val="001D7B51"/>
    <w:rsid w:val="001E0457"/>
    <w:rsid w:val="001E056A"/>
    <w:rsid w:val="001E0757"/>
    <w:rsid w:val="001E13FB"/>
    <w:rsid w:val="001E26A9"/>
    <w:rsid w:val="001E2A0B"/>
    <w:rsid w:val="001E2CCD"/>
    <w:rsid w:val="001E32C6"/>
    <w:rsid w:val="001E3B25"/>
    <w:rsid w:val="001E4055"/>
    <w:rsid w:val="001E4547"/>
    <w:rsid w:val="001E4FCD"/>
    <w:rsid w:val="001E5619"/>
    <w:rsid w:val="001E5708"/>
    <w:rsid w:val="001E57FC"/>
    <w:rsid w:val="001E5BA6"/>
    <w:rsid w:val="001E5E54"/>
    <w:rsid w:val="001E643F"/>
    <w:rsid w:val="001E6A84"/>
    <w:rsid w:val="001E7059"/>
    <w:rsid w:val="001E7166"/>
    <w:rsid w:val="001E71EC"/>
    <w:rsid w:val="001E730E"/>
    <w:rsid w:val="001E739D"/>
    <w:rsid w:val="001E742E"/>
    <w:rsid w:val="001E7632"/>
    <w:rsid w:val="001E78C1"/>
    <w:rsid w:val="001E7A1C"/>
    <w:rsid w:val="001E7B8F"/>
    <w:rsid w:val="001E7E8B"/>
    <w:rsid w:val="001E7F63"/>
    <w:rsid w:val="001F0064"/>
    <w:rsid w:val="001F02F1"/>
    <w:rsid w:val="001F0525"/>
    <w:rsid w:val="001F05AB"/>
    <w:rsid w:val="001F0996"/>
    <w:rsid w:val="001F09F2"/>
    <w:rsid w:val="001F0D0F"/>
    <w:rsid w:val="001F0F10"/>
    <w:rsid w:val="001F1071"/>
    <w:rsid w:val="001F17DB"/>
    <w:rsid w:val="001F1B6A"/>
    <w:rsid w:val="001F278D"/>
    <w:rsid w:val="001F2F82"/>
    <w:rsid w:val="001F36E8"/>
    <w:rsid w:val="001F3870"/>
    <w:rsid w:val="001F3B44"/>
    <w:rsid w:val="001F4664"/>
    <w:rsid w:val="001F48D2"/>
    <w:rsid w:val="001F495C"/>
    <w:rsid w:val="001F4A51"/>
    <w:rsid w:val="001F4BD7"/>
    <w:rsid w:val="001F5566"/>
    <w:rsid w:val="001F57DC"/>
    <w:rsid w:val="001F597A"/>
    <w:rsid w:val="001F5AA1"/>
    <w:rsid w:val="001F6597"/>
    <w:rsid w:val="001F6B09"/>
    <w:rsid w:val="001F72C1"/>
    <w:rsid w:val="001F75A8"/>
    <w:rsid w:val="002001B2"/>
    <w:rsid w:val="0020045A"/>
    <w:rsid w:val="00200792"/>
    <w:rsid w:val="00200C9E"/>
    <w:rsid w:val="00200D1D"/>
    <w:rsid w:val="0020130B"/>
    <w:rsid w:val="00201352"/>
    <w:rsid w:val="0020160A"/>
    <w:rsid w:val="00201AF5"/>
    <w:rsid w:val="00201B92"/>
    <w:rsid w:val="00202244"/>
    <w:rsid w:val="002025B2"/>
    <w:rsid w:val="002028B9"/>
    <w:rsid w:val="00202E63"/>
    <w:rsid w:val="00202E7C"/>
    <w:rsid w:val="002031E2"/>
    <w:rsid w:val="00203279"/>
    <w:rsid w:val="002034FF"/>
    <w:rsid w:val="002037DD"/>
    <w:rsid w:val="00204316"/>
    <w:rsid w:val="00204534"/>
    <w:rsid w:val="00204628"/>
    <w:rsid w:val="0020506A"/>
    <w:rsid w:val="0020578A"/>
    <w:rsid w:val="00205871"/>
    <w:rsid w:val="00205B0C"/>
    <w:rsid w:val="00205D5C"/>
    <w:rsid w:val="00206350"/>
    <w:rsid w:val="002106E1"/>
    <w:rsid w:val="00210801"/>
    <w:rsid w:val="00210A27"/>
    <w:rsid w:val="0021125D"/>
    <w:rsid w:val="002114CA"/>
    <w:rsid w:val="002116A2"/>
    <w:rsid w:val="00212A33"/>
    <w:rsid w:val="00212D7A"/>
    <w:rsid w:val="00213686"/>
    <w:rsid w:val="00213F54"/>
    <w:rsid w:val="00214B0C"/>
    <w:rsid w:val="00215026"/>
    <w:rsid w:val="00215250"/>
    <w:rsid w:val="0021540C"/>
    <w:rsid w:val="0021593F"/>
    <w:rsid w:val="002163F4"/>
    <w:rsid w:val="002168EA"/>
    <w:rsid w:val="00216962"/>
    <w:rsid w:val="00216E20"/>
    <w:rsid w:val="00217BA1"/>
    <w:rsid w:val="0022009C"/>
    <w:rsid w:val="002200AD"/>
    <w:rsid w:val="002203AE"/>
    <w:rsid w:val="002204A4"/>
    <w:rsid w:val="00220976"/>
    <w:rsid w:val="00220BA7"/>
    <w:rsid w:val="00220DE1"/>
    <w:rsid w:val="00221732"/>
    <w:rsid w:val="00221A92"/>
    <w:rsid w:val="00221DCA"/>
    <w:rsid w:val="00221E02"/>
    <w:rsid w:val="002222FB"/>
    <w:rsid w:val="002227B4"/>
    <w:rsid w:val="00223036"/>
    <w:rsid w:val="00223AB3"/>
    <w:rsid w:val="00223F9C"/>
    <w:rsid w:val="00224546"/>
    <w:rsid w:val="00225217"/>
    <w:rsid w:val="0022528E"/>
    <w:rsid w:val="002255C6"/>
    <w:rsid w:val="002256F7"/>
    <w:rsid w:val="002261AE"/>
    <w:rsid w:val="00226410"/>
    <w:rsid w:val="002265BE"/>
    <w:rsid w:val="002266BC"/>
    <w:rsid w:val="00226776"/>
    <w:rsid w:val="00226B31"/>
    <w:rsid w:val="002271EE"/>
    <w:rsid w:val="002272ED"/>
    <w:rsid w:val="002275C2"/>
    <w:rsid w:val="002276F5"/>
    <w:rsid w:val="002277E4"/>
    <w:rsid w:val="00227C2C"/>
    <w:rsid w:val="00227DAF"/>
    <w:rsid w:val="002302F7"/>
    <w:rsid w:val="002302F9"/>
    <w:rsid w:val="0023051E"/>
    <w:rsid w:val="002307B9"/>
    <w:rsid w:val="00231315"/>
    <w:rsid w:val="00231799"/>
    <w:rsid w:val="002320B9"/>
    <w:rsid w:val="0023220D"/>
    <w:rsid w:val="002324A0"/>
    <w:rsid w:val="0023287D"/>
    <w:rsid w:val="002329C2"/>
    <w:rsid w:val="00232BD9"/>
    <w:rsid w:val="00232DE0"/>
    <w:rsid w:val="0023311E"/>
    <w:rsid w:val="002332F2"/>
    <w:rsid w:val="00233346"/>
    <w:rsid w:val="00233A07"/>
    <w:rsid w:val="002342B7"/>
    <w:rsid w:val="00234489"/>
    <w:rsid w:val="00234644"/>
    <w:rsid w:val="002348DC"/>
    <w:rsid w:val="00235167"/>
    <w:rsid w:val="00235279"/>
    <w:rsid w:val="0023538B"/>
    <w:rsid w:val="0023539B"/>
    <w:rsid w:val="00235F3E"/>
    <w:rsid w:val="00236353"/>
    <w:rsid w:val="00236684"/>
    <w:rsid w:val="002369BE"/>
    <w:rsid w:val="00236B13"/>
    <w:rsid w:val="00236B7D"/>
    <w:rsid w:val="00237896"/>
    <w:rsid w:val="002403DB"/>
    <w:rsid w:val="0024050D"/>
    <w:rsid w:val="002406D6"/>
    <w:rsid w:val="00240752"/>
    <w:rsid w:val="00240DAF"/>
    <w:rsid w:val="00240E5A"/>
    <w:rsid w:val="00241255"/>
    <w:rsid w:val="0024164C"/>
    <w:rsid w:val="0024168A"/>
    <w:rsid w:val="0024190F"/>
    <w:rsid w:val="002420FF"/>
    <w:rsid w:val="002423FD"/>
    <w:rsid w:val="002424FE"/>
    <w:rsid w:val="002426F4"/>
    <w:rsid w:val="00242D65"/>
    <w:rsid w:val="00243105"/>
    <w:rsid w:val="002432E8"/>
    <w:rsid w:val="0024369C"/>
    <w:rsid w:val="002436C7"/>
    <w:rsid w:val="00243C72"/>
    <w:rsid w:val="00243F2B"/>
    <w:rsid w:val="002446B5"/>
    <w:rsid w:val="00245C45"/>
    <w:rsid w:val="00245DAE"/>
    <w:rsid w:val="0024630C"/>
    <w:rsid w:val="00246749"/>
    <w:rsid w:val="00246BDB"/>
    <w:rsid w:val="00247FE6"/>
    <w:rsid w:val="00250035"/>
    <w:rsid w:val="002504A7"/>
    <w:rsid w:val="0025072E"/>
    <w:rsid w:val="002507D5"/>
    <w:rsid w:val="00250D86"/>
    <w:rsid w:val="00251132"/>
    <w:rsid w:val="00251351"/>
    <w:rsid w:val="00251826"/>
    <w:rsid w:val="00251B6D"/>
    <w:rsid w:val="00251DAB"/>
    <w:rsid w:val="002522C2"/>
    <w:rsid w:val="00252527"/>
    <w:rsid w:val="00252B5E"/>
    <w:rsid w:val="00252BA5"/>
    <w:rsid w:val="00252BC4"/>
    <w:rsid w:val="0025303C"/>
    <w:rsid w:val="002532CD"/>
    <w:rsid w:val="002537E4"/>
    <w:rsid w:val="00253A56"/>
    <w:rsid w:val="00253AB7"/>
    <w:rsid w:val="00253F37"/>
    <w:rsid w:val="0025419D"/>
    <w:rsid w:val="00254286"/>
    <w:rsid w:val="002542F6"/>
    <w:rsid w:val="00254A92"/>
    <w:rsid w:val="00254BB6"/>
    <w:rsid w:val="00254FF7"/>
    <w:rsid w:val="002552CF"/>
    <w:rsid w:val="0025532D"/>
    <w:rsid w:val="002558C1"/>
    <w:rsid w:val="00255ED6"/>
    <w:rsid w:val="0025686C"/>
    <w:rsid w:val="00256BC5"/>
    <w:rsid w:val="002571B8"/>
    <w:rsid w:val="00257805"/>
    <w:rsid w:val="00257B4D"/>
    <w:rsid w:val="00257CD1"/>
    <w:rsid w:val="00257CDE"/>
    <w:rsid w:val="00257E22"/>
    <w:rsid w:val="00257F1A"/>
    <w:rsid w:val="00260EC7"/>
    <w:rsid w:val="00262450"/>
    <w:rsid w:val="002625B1"/>
    <w:rsid w:val="0026267C"/>
    <w:rsid w:val="002629D6"/>
    <w:rsid w:val="00262C70"/>
    <w:rsid w:val="00262FB9"/>
    <w:rsid w:val="002636B7"/>
    <w:rsid w:val="002639F9"/>
    <w:rsid w:val="00263CBC"/>
    <w:rsid w:val="00263F56"/>
    <w:rsid w:val="00263F5E"/>
    <w:rsid w:val="00263FA2"/>
    <w:rsid w:val="002643F7"/>
    <w:rsid w:val="002647C3"/>
    <w:rsid w:val="00264DED"/>
    <w:rsid w:val="00264DF5"/>
    <w:rsid w:val="002652D6"/>
    <w:rsid w:val="0026563D"/>
    <w:rsid w:val="002657BA"/>
    <w:rsid w:val="00265AB0"/>
    <w:rsid w:val="00265D85"/>
    <w:rsid w:val="00266100"/>
    <w:rsid w:val="002661CD"/>
    <w:rsid w:val="0026623F"/>
    <w:rsid w:val="00266472"/>
    <w:rsid w:val="002665F3"/>
    <w:rsid w:val="00266A3D"/>
    <w:rsid w:val="00266CB6"/>
    <w:rsid w:val="00267437"/>
    <w:rsid w:val="0027012B"/>
    <w:rsid w:val="0027040D"/>
    <w:rsid w:val="00270A3D"/>
    <w:rsid w:val="00271675"/>
    <w:rsid w:val="00271AC8"/>
    <w:rsid w:val="0027215F"/>
    <w:rsid w:val="00272594"/>
    <w:rsid w:val="002728AF"/>
    <w:rsid w:val="00273A64"/>
    <w:rsid w:val="00273C8B"/>
    <w:rsid w:val="00273EC6"/>
    <w:rsid w:val="00274A86"/>
    <w:rsid w:val="00274BD0"/>
    <w:rsid w:val="00275125"/>
    <w:rsid w:val="002752EE"/>
    <w:rsid w:val="002753DC"/>
    <w:rsid w:val="002756BE"/>
    <w:rsid w:val="00275819"/>
    <w:rsid w:val="00275A30"/>
    <w:rsid w:val="00275A73"/>
    <w:rsid w:val="00275E16"/>
    <w:rsid w:val="00276074"/>
    <w:rsid w:val="002767D6"/>
    <w:rsid w:val="00277145"/>
    <w:rsid w:val="002800AE"/>
    <w:rsid w:val="00280108"/>
    <w:rsid w:val="002801A0"/>
    <w:rsid w:val="002804FA"/>
    <w:rsid w:val="00280A5B"/>
    <w:rsid w:val="00280BBE"/>
    <w:rsid w:val="00280C95"/>
    <w:rsid w:val="00280F23"/>
    <w:rsid w:val="00281262"/>
    <w:rsid w:val="002812AE"/>
    <w:rsid w:val="002812FE"/>
    <w:rsid w:val="00281CE6"/>
    <w:rsid w:val="00281FE6"/>
    <w:rsid w:val="00283192"/>
    <w:rsid w:val="00283254"/>
    <w:rsid w:val="00283A2B"/>
    <w:rsid w:val="00284571"/>
    <w:rsid w:val="0028487F"/>
    <w:rsid w:val="00284B2E"/>
    <w:rsid w:val="00284B77"/>
    <w:rsid w:val="00284E7D"/>
    <w:rsid w:val="00285144"/>
    <w:rsid w:val="00285331"/>
    <w:rsid w:val="002854DE"/>
    <w:rsid w:val="0028580D"/>
    <w:rsid w:val="00285A0C"/>
    <w:rsid w:val="002862F4"/>
    <w:rsid w:val="00286525"/>
    <w:rsid w:val="00286DC0"/>
    <w:rsid w:val="002878B7"/>
    <w:rsid w:val="00290523"/>
    <w:rsid w:val="00290AE9"/>
    <w:rsid w:val="00290C4F"/>
    <w:rsid w:val="00290EAA"/>
    <w:rsid w:val="002912B8"/>
    <w:rsid w:val="00291C94"/>
    <w:rsid w:val="00292500"/>
    <w:rsid w:val="00292C17"/>
    <w:rsid w:val="00292E39"/>
    <w:rsid w:val="00293449"/>
    <w:rsid w:val="00293488"/>
    <w:rsid w:val="00293661"/>
    <w:rsid w:val="00293EA2"/>
    <w:rsid w:val="00294062"/>
    <w:rsid w:val="0029411C"/>
    <w:rsid w:val="002949F2"/>
    <w:rsid w:val="002951D3"/>
    <w:rsid w:val="002956BD"/>
    <w:rsid w:val="00295DBC"/>
    <w:rsid w:val="00295FFC"/>
    <w:rsid w:val="002966C1"/>
    <w:rsid w:val="0029712D"/>
    <w:rsid w:val="0029732D"/>
    <w:rsid w:val="0029772C"/>
    <w:rsid w:val="002977A9"/>
    <w:rsid w:val="00297F59"/>
    <w:rsid w:val="00297F73"/>
    <w:rsid w:val="00297FF0"/>
    <w:rsid w:val="002A014F"/>
    <w:rsid w:val="002A094E"/>
    <w:rsid w:val="002A0D0B"/>
    <w:rsid w:val="002A0DC8"/>
    <w:rsid w:val="002A0F75"/>
    <w:rsid w:val="002A10CB"/>
    <w:rsid w:val="002A1626"/>
    <w:rsid w:val="002A1A21"/>
    <w:rsid w:val="002A1E9F"/>
    <w:rsid w:val="002A20E0"/>
    <w:rsid w:val="002A2123"/>
    <w:rsid w:val="002A216E"/>
    <w:rsid w:val="002A249C"/>
    <w:rsid w:val="002A3299"/>
    <w:rsid w:val="002A351A"/>
    <w:rsid w:val="002A39E7"/>
    <w:rsid w:val="002A40F4"/>
    <w:rsid w:val="002A452D"/>
    <w:rsid w:val="002A46B6"/>
    <w:rsid w:val="002A477D"/>
    <w:rsid w:val="002A496D"/>
    <w:rsid w:val="002A4AED"/>
    <w:rsid w:val="002A4C62"/>
    <w:rsid w:val="002A5DA1"/>
    <w:rsid w:val="002A5DA2"/>
    <w:rsid w:val="002A5F66"/>
    <w:rsid w:val="002A5FB0"/>
    <w:rsid w:val="002A6236"/>
    <w:rsid w:val="002A6841"/>
    <w:rsid w:val="002A69BD"/>
    <w:rsid w:val="002A6D09"/>
    <w:rsid w:val="002A7168"/>
    <w:rsid w:val="002A747D"/>
    <w:rsid w:val="002A76A7"/>
    <w:rsid w:val="002A78D6"/>
    <w:rsid w:val="002A7AB1"/>
    <w:rsid w:val="002A7E8A"/>
    <w:rsid w:val="002A7F9B"/>
    <w:rsid w:val="002B042F"/>
    <w:rsid w:val="002B08C2"/>
    <w:rsid w:val="002B0CBE"/>
    <w:rsid w:val="002B0D30"/>
    <w:rsid w:val="002B13A9"/>
    <w:rsid w:val="002B142B"/>
    <w:rsid w:val="002B1792"/>
    <w:rsid w:val="002B18FC"/>
    <w:rsid w:val="002B212D"/>
    <w:rsid w:val="002B2D32"/>
    <w:rsid w:val="002B2E2B"/>
    <w:rsid w:val="002B32EC"/>
    <w:rsid w:val="002B35E5"/>
    <w:rsid w:val="002B3E76"/>
    <w:rsid w:val="002B4081"/>
    <w:rsid w:val="002B42E0"/>
    <w:rsid w:val="002B4FE1"/>
    <w:rsid w:val="002B5548"/>
    <w:rsid w:val="002B5767"/>
    <w:rsid w:val="002B58EC"/>
    <w:rsid w:val="002B5979"/>
    <w:rsid w:val="002B5AF6"/>
    <w:rsid w:val="002B5B51"/>
    <w:rsid w:val="002B5EAB"/>
    <w:rsid w:val="002B5F3D"/>
    <w:rsid w:val="002B6248"/>
    <w:rsid w:val="002B64D4"/>
    <w:rsid w:val="002B6536"/>
    <w:rsid w:val="002B6579"/>
    <w:rsid w:val="002B6A76"/>
    <w:rsid w:val="002B6A96"/>
    <w:rsid w:val="002B6B08"/>
    <w:rsid w:val="002B749B"/>
    <w:rsid w:val="002B7E65"/>
    <w:rsid w:val="002B7F95"/>
    <w:rsid w:val="002C0328"/>
    <w:rsid w:val="002C0CA0"/>
    <w:rsid w:val="002C109F"/>
    <w:rsid w:val="002C11EE"/>
    <w:rsid w:val="002C1221"/>
    <w:rsid w:val="002C1DCF"/>
    <w:rsid w:val="002C24E6"/>
    <w:rsid w:val="002C254E"/>
    <w:rsid w:val="002C256F"/>
    <w:rsid w:val="002C284C"/>
    <w:rsid w:val="002C30EE"/>
    <w:rsid w:val="002C329E"/>
    <w:rsid w:val="002C336C"/>
    <w:rsid w:val="002C35E4"/>
    <w:rsid w:val="002C37C1"/>
    <w:rsid w:val="002C3C8F"/>
    <w:rsid w:val="002C3F82"/>
    <w:rsid w:val="002C428D"/>
    <w:rsid w:val="002C439A"/>
    <w:rsid w:val="002C45D0"/>
    <w:rsid w:val="002C4749"/>
    <w:rsid w:val="002C492B"/>
    <w:rsid w:val="002C4B26"/>
    <w:rsid w:val="002C4DFB"/>
    <w:rsid w:val="002C4E93"/>
    <w:rsid w:val="002C4FD7"/>
    <w:rsid w:val="002C4FE8"/>
    <w:rsid w:val="002C520F"/>
    <w:rsid w:val="002C5418"/>
    <w:rsid w:val="002C544D"/>
    <w:rsid w:val="002C5DA3"/>
    <w:rsid w:val="002C6EA1"/>
    <w:rsid w:val="002C75F0"/>
    <w:rsid w:val="002C774C"/>
    <w:rsid w:val="002C798C"/>
    <w:rsid w:val="002C7C7E"/>
    <w:rsid w:val="002C7C95"/>
    <w:rsid w:val="002C7E38"/>
    <w:rsid w:val="002D06C7"/>
    <w:rsid w:val="002D0DAD"/>
    <w:rsid w:val="002D0DB5"/>
    <w:rsid w:val="002D1D9B"/>
    <w:rsid w:val="002D2A78"/>
    <w:rsid w:val="002D31E4"/>
    <w:rsid w:val="002D339F"/>
    <w:rsid w:val="002D41DE"/>
    <w:rsid w:val="002D423B"/>
    <w:rsid w:val="002D4371"/>
    <w:rsid w:val="002D494C"/>
    <w:rsid w:val="002D55BA"/>
    <w:rsid w:val="002D5E88"/>
    <w:rsid w:val="002D6703"/>
    <w:rsid w:val="002D6D54"/>
    <w:rsid w:val="002D6EAA"/>
    <w:rsid w:val="002D7265"/>
    <w:rsid w:val="002E012E"/>
    <w:rsid w:val="002E0228"/>
    <w:rsid w:val="002E07A2"/>
    <w:rsid w:val="002E08CD"/>
    <w:rsid w:val="002E0E48"/>
    <w:rsid w:val="002E133B"/>
    <w:rsid w:val="002E22D0"/>
    <w:rsid w:val="002E23F5"/>
    <w:rsid w:val="002E2418"/>
    <w:rsid w:val="002E2935"/>
    <w:rsid w:val="002E29BD"/>
    <w:rsid w:val="002E3228"/>
    <w:rsid w:val="002E37B1"/>
    <w:rsid w:val="002E43E0"/>
    <w:rsid w:val="002E454F"/>
    <w:rsid w:val="002E50D4"/>
    <w:rsid w:val="002E52D3"/>
    <w:rsid w:val="002E5983"/>
    <w:rsid w:val="002E5CBD"/>
    <w:rsid w:val="002E6029"/>
    <w:rsid w:val="002E6392"/>
    <w:rsid w:val="002E64C5"/>
    <w:rsid w:val="002E68CF"/>
    <w:rsid w:val="002E6DFF"/>
    <w:rsid w:val="002E6F6B"/>
    <w:rsid w:val="002E7086"/>
    <w:rsid w:val="002E784C"/>
    <w:rsid w:val="002E798D"/>
    <w:rsid w:val="002F04F2"/>
    <w:rsid w:val="002F07A8"/>
    <w:rsid w:val="002F07B2"/>
    <w:rsid w:val="002F0AFA"/>
    <w:rsid w:val="002F0F27"/>
    <w:rsid w:val="002F10B7"/>
    <w:rsid w:val="002F1EE5"/>
    <w:rsid w:val="002F2165"/>
    <w:rsid w:val="002F2CB7"/>
    <w:rsid w:val="002F2D8B"/>
    <w:rsid w:val="002F2EDC"/>
    <w:rsid w:val="002F2F89"/>
    <w:rsid w:val="002F34A7"/>
    <w:rsid w:val="002F3D1B"/>
    <w:rsid w:val="002F42B5"/>
    <w:rsid w:val="002F4A61"/>
    <w:rsid w:val="002F4A73"/>
    <w:rsid w:val="002F513A"/>
    <w:rsid w:val="002F5868"/>
    <w:rsid w:val="002F59D3"/>
    <w:rsid w:val="002F5A66"/>
    <w:rsid w:val="002F6165"/>
    <w:rsid w:val="002F61F3"/>
    <w:rsid w:val="002F6FA4"/>
    <w:rsid w:val="002F720A"/>
    <w:rsid w:val="002F7320"/>
    <w:rsid w:val="002F79A2"/>
    <w:rsid w:val="002F79B0"/>
    <w:rsid w:val="002F7A71"/>
    <w:rsid w:val="002F7D0C"/>
    <w:rsid w:val="003002F1"/>
    <w:rsid w:val="003006D5"/>
    <w:rsid w:val="00300761"/>
    <w:rsid w:val="00300893"/>
    <w:rsid w:val="003013CA"/>
    <w:rsid w:val="003013DC"/>
    <w:rsid w:val="00301814"/>
    <w:rsid w:val="00301A21"/>
    <w:rsid w:val="00302139"/>
    <w:rsid w:val="003021D8"/>
    <w:rsid w:val="003024F7"/>
    <w:rsid w:val="00302582"/>
    <w:rsid w:val="003028EA"/>
    <w:rsid w:val="00302A0B"/>
    <w:rsid w:val="00302A9A"/>
    <w:rsid w:val="00302BC7"/>
    <w:rsid w:val="00302CA8"/>
    <w:rsid w:val="00302E4A"/>
    <w:rsid w:val="00302E6C"/>
    <w:rsid w:val="00303092"/>
    <w:rsid w:val="003034A0"/>
    <w:rsid w:val="00303592"/>
    <w:rsid w:val="003036CF"/>
    <w:rsid w:val="003036E6"/>
    <w:rsid w:val="00303965"/>
    <w:rsid w:val="003039D9"/>
    <w:rsid w:val="00303E1A"/>
    <w:rsid w:val="0030440C"/>
    <w:rsid w:val="0030485C"/>
    <w:rsid w:val="00304F03"/>
    <w:rsid w:val="00304FB2"/>
    <w:rsid w:val="00305567"/>
    <w:rsid w:val="00305689"/>
    <w:rsid w:val="003057D3"/>
    <w:rsid w:val="003058B0"/>
    <w:rsid w:val="003067FF"/>
    <w:rsid w:val="0030684A"/>
    <w:rsid w:val="0030685B"/>
    <w:rsid w:val="0030696C"/>
    <w:rsid w:val="003073E8"/>
    <w:rsid w:val="00307674"/>
    <w:rsid w:val="003076F9"/>
    <w:rsid w:val="00307DC8"/>
    <w:rsid w:val="00307FCC"/>
    <w:rsid w:val="00310AAE"/>
    <w:rsid w:val="003117AC"/>
    <w:rsid w:val="003117BE"/>
    <w:rsid w:val="003117FE"/>
    <w:rsid w:val="00312187"/>
    <w:rsid w:val="0031298C"/>
    <w:rsid w:val="00312A7A"/>
    <w:rsid w:val="00312D07"/>
    <w:rsid w:val="00312E2A"/>
    <w:rsid w:val="00313735"/>
    <w:rsid w:val="00313DA5"/>
    <w:rsid w:val="00313EC4"/>
    <w:rsid w:val="00314376"/>
    <w:rsid w:val="00314C04"/>
    <w:rsid w:val="00314C3A"/>
    <w:rsid w:val="00314D45"/>
    <w:rsid w:val="00315316"/>
    <w:rsid w:val="003155F2"/>
    <w:rsid w:val="00315645"/>
    <w:rsid w:val="00315CBF"/>
    <w:rsid w:val="0031657D"/>
    <w:rsid w:val="00316628"/>
    <w:rsid w:val="00316713"/>
    <w:rsid w:val="00317346"/>
    <w:rsid w:val="003200BE"/>
    <w:rsid w:val="00320253"/>
    <w:rsid w:val="00320451"/>
    <w:rsid w:val="00320862"/>
    <w:rsid w:val="00320998"/>
    <w:rsid w:val="00320A42"/>
    <w:rsid w:val="00321512"/>
    <w:rsid w:val="00321DB8"/>
    <w:rsid w:val="00322199"/>
    <w:rsid w:val="003225A7"/>
    <w:rsid w:val="00322EB1"/>
    <w:rsid w:val="00322F6B"/>
    <w:rsid w:val="00323032"/>
    <w:rsid w:val="003231D6"/>
    <w:rsid w:val="00323369"/>
    <w:rsid w:val="00323492"/>
    <w:rsid w:val="00323DE4"/>
    <w:rsid w:val="00324961"/>
    <w:rsid w:val="0032511B"/>
    <w:rsid w:val="003255C6"/>
    <w:rsid w:val="003256DB"/>
    <w:rsid w:val="00325EE5"/>
    <w:rsid w:val="003263A9"/>
    <w:rsid w:val="003269EA"/>
    <w:rsid w:val="00326B68"/>
    <w:rsid w:val="00326BF6"/>
    <w:rsid w:val="0032714E"/>
    <w:rsid w:val="00327181"/>
    <w:rsid w:val="0032749C"/>
    <w:rsid w:val="003274AC"/>
    <w:rsid w:val="003300B2"/>
    <w:rsid w:val="00330134"/>
    <w:rsid w:val="003301C9"/>
    <w:rsid w:val="003301CF"/>
    <w:rsid w:val="003301D9"/>
    <w:rsid w:val="003306B0"/>
    <w:rsid w:val="0033132A"/>
    <w:rsid w:val="003315CD"/>
    <w:rsid w:val="003320FA"/>
    <w:rsid w:val="00332CAF"/>
    <w:rsid w:val="00332D87"/>
    <w:rsid w:val="00332DCC"/>
    <w:rsid w:val="0033319E"/>
    <w:rsid w:val="0033342F"/>
    <w:rsid w:val="00333536"/>
    <w:rsid w:val="0033354E"/>
    <w:rsid w:val="003335B9"/>
    <w:rsid w:val="00333EDE"/>
    <w:rsid w:val="00334E06"/>
    <w:rsid w:val="00334E6C"/>
    <w:rsid w:val="00334F5C"/>
    <w:rsid w:val="0033510A"/>
    <w:rsid w:val="003353E9"/>
    <w:rsid w:val="00335B9F"/>
    <w:rsid w:val="00335FED"/>
    <w:rsid w:val="0033603F"/>
    <w:rsid w:val="003360F4"/>
    <w:rsid w:val="00336183"/>
    <w:rsid w:val="003364BA"/>
    <w:rsid w:val="00336A59"/>
    <w:rsid w:val="00336C78"/>
    <w:rsid w:val="00336F21"/>
    <w:rsid w:val="00336F89"/>
    <w:rsid w:val="0033755D"/>
    <w:rsid w:val="00337B19"/>
    <w:rsid w:val="00340286"/>
    <w:rsid w:val="00340754"/>
    <w:rsid w:val="00340CAB"/>
    <w:rsid w:val="0034161F"/>
    <w:rsid w:val="0034197D"/>
    <w:rsid w:val="00341A9C"/>
    <w:rsid w:val="00341BC4"/>
    <w:rsid w:val="00341DA2"/>
    <w:rsid w:val="00341EFB"/>
    <w:rsid w:val="00341FAC"/>
    <w:rsid w:val="0034274C"/>
    <w:rsid w:val="00342976"/>
    <w:rsid w:val="00342D98"/>
    <w:rsid w:val="0034305A"/>
    <w:rsid w:val="00343824"/>
    <w:rsid w:val="00343C66"/>
    <w:rsid w:val="00343FF4"/>
    <w:rsid w:val="003441BC"/>
    <w:rsid w:val="00344797"/>
    <w:rsid w:val="00344AF4"/>
    <w:rsid w:val="00344BA0"/>
    <w:rsid w:val="0034598C"/>
    <w:rsid w:val="003460F6"/>
    <w:rsid w:val="003462E7"/>
    <w:rsid w:val="00346464"/>
    <w:rsid w:val="0034695C"/>
    <w:rsid w:val="00346B74"/>
    <w:rsid w:val="00346E8A"/>
    <w:rsid w:val="00346F7D"/>
    <w:rsid w:val="00346FF5"/>
    <w:rsid w:val="0034765D"/>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5C9"/>
    <w:rsid w:val="003526AF"/>
    <w:rsid w:val="003527DF"/>
    <w:rsid w:val="00353572"/>
    <w:rsid w:val="00353E99"/>
    <w:rsid w:val="003540F3"/>
    <w:rsid w:val="00354389"/>
    <w:rsid w:val="003550AA"/>
    <w:rsid w:val="00355664"/>
    <w:rsid w:val="0035574F"/>
    <w:rsid w:val="003557A8"/>
    <w:rsid w:val="003557AC"/>
    <w:rsid w:val="0035706D"/>
    <w:rsid w:val="00357082"/>
    <w:rsid w:val="003576E2"/>
    <w:rsid w:val="00357777"/>
    <w:rsid w:val="003578A6"/>
    <w:rsid w:val="00357AC2"/>
    <w:rsid w:val="0036009F"/>
    <w:rsid w:val="0036024B"/>
    <w:rsid w:val="003607B3"/>
    <w:rsid w:val="00360DDE"/>
    <w:rsid w:val="003615A0"/>
    <w:rsid w:val="0036194C"/>
    <w:rsid w:val="00361F13"/>
    <w:rsid w:val="0036264B"/>
    <w:rsid w:val="003626C4"/>
    <w:rsid w:val="00362735"/>
    <w:rsid w:val="00362925"/>
    <w:rsid w:val="003636A7"/>
    <w:rsid w:val="003636F5"/>
    <w:rsid w:val="00364520"/>
    <w:rsid w:val="0036502C"/>
    <w:rsid w:val="0036514F"/>
    <w:rsid w:val="003651FD"/>
    <w:rsid w:val="003654DD"/>
    <w:rsid w:val="00365E02"/>
    <w:rsid w:val="00366431"/>
    <w:rsid w:val="00366AB8"/>
    <w:rsid w:val="00366DEC"/>
    <w:rsid w:val="0036705C"/>
    <w:rsid w:val="00367535"/>
    <w:rsid w:val="00367B03"/>
    <w:rsid w:val="00370132"/>
    <w:rsid w:val="003708C7"/>
    <w:rsid w:val="00370C14"/>
    <w:rsid w:val="00371089"/>
    <w:rsid w:val="0037159A"/>
    <w:rsid w:val="00371CA4"/>
    <w:rsid w:val="00372635"/>
    <w:rsid w:val="003728AB"/>
    <w:rsid w:val="003728FC"/>
    <w:rsid w:val="00372D1F"/>
    <w:rsid w:val="0037352E"/>
    <w:rsid w:val="00373820"/>
    <w:rsid w:val="00373F22"/>
    <w:rsid w:val="00374161"/>
    <w:rsid w:val="0037467B"/>
    <w:rsid w:val="00374689"/>
    <w:rsid w:val="003749C4"/>
    <w:rsid w:val="003756FA"/>
    <w:rsid w:val="00375BCB"/>
    <w:rsid w:val="00376B13"/>
    <w:rsid w:val="00376F4A"/>
    <w:rsid w:val="003773AC"/>
    <w:rsid w:val="003773C4"/>
    <w:rsid w:val="00377656"/>
    <w:rsid w:val="00377B26"/>
    <w:rsid w:val="003802C8"/>
    <w:rsid w:val="00380430"/>
    <w:rsid w:val="0038069C"/>
    <w:rsid w:val="00380755"/>
    <w:rsid w:val="003815D5"/>
    <w:rsid w:val="00381878"/>
    <w:rsid w:val="003818DC"/>
    <w:rsid w:val="00381AD6"/>
    <w:rsid w:val="00381CA6"/>
    <w:rsid w:val="003821E2"/>
    <w:rsid w:val="003827BD"/>
    <w:rsid w:val="003829B7"/>
    <w:rsid w:val="003829E8"/>
    <w:rsid w:val="00383012"/>
    <w:rsid w:val="00383080"/>
    <w:rsid w:val="003830F8"/>
    <w:rsid w:val="003834BA"/>
    <w:rsid w:val="003835F9"/>
    <w:rsid w:val="00383C34"/>
    <w:rsid w:val="00384468"/>
    <w:rsid w:val="003846CB"/>
    <w:rsid w:val="00384B85"/>
    <w:rsid w:val="00384C72"/>
    <w:rsid w:val="00385448"/>
    <w:rsid w:val="00385741"/>
    <w:rsid w:val="0038585C"/>
    <w:rsid w:val="003858FC"/>
    <w:rsid w:val="00385A78"/>
    <w:rsid w:val="00385E41"/>
    <w:rsid w:val="00385E4A"/>
    <w:rsid w:val="00385F63"/>
    <w:rsid w:val="00386006"/>
    <w:rsid w:val="003865B6"/>
    <w:rsid w:val="00386991"/>
    <w:rsid w:val="00386A3E"/>
    <w:rsid w:val="00386CE1"/>
    <w:rsid w:val="00386D40"/>
    <w:rsid w:val="00387033"/>
    <w:rsid w:val="00387114"/>
    <w:rsid w:val="00387367"/>
    <w:rsid w:val="00387748"/>
    <w:rsid w:val="0039006A"/>
    <w:rsid w:val="00390CE7"/>
    <w:rsid w:val="00391B14"/>
    <w:rsid w:val="00391B76"/>
    <w:rsid w:val="00391EDE"/>
    <w:rsid w:val="0039201C"/>
    <w:rsid w:val="00392CA5"/>
    <w:rsid w:val="00392CF9"/>
    <w:rsid w:val="00393040"/>
    <w:rsid w:val="00393203"/>
    <w:rsid w:val="003939D6"/>
    <w:rsid w:val="00393B17"/>
    <w:rsid w:val="00394284"/>
    <w:rsid w:val="00394839"/>
    <w:rsid w:val="0039521E"/>
    <w:rsid w:val="00395CBD"/>
    <w:rsid w:val="003961BA"/>
    <w:rsid w:val="00396226"/>
    <w:rsid w:val="00396CFF"/>
    <w:rsid w:val="00396D0A"/>
    <w:rsid w:val="00396D6A"/>
    <w:rsid w:val="00396E27"/>
    <w:rsid w:val="00396F5E"/>
    <w:rsid w:val="00397D10"/>
    <w:rsid w:val="00397EAC"/>
    <w:rsid w:val="00397F26"/>
    <w:rsid w:val="00397F52"/>
    <w:rsid w:val="003A00AA"/>
    <w:rsid w:val="003A06A2"/>
    <w:rsid w:val="003A0767"/>
    <w:rsid w:val="003A0C0C"/>
    <w:rsid w:val="003A1EA2"/>
    <w:rsid w:val="003A21AB"/>
    <w:rsid w:val="003A2786"/>
    <w:rsid w:val="003A2C38"/>
    <w:rsid w:val="003A2C6A"/>
    <w:rsid w:val="003A2D52"/>
    <w:rsid w:val="003A3003"/>
    <w:rsid w:val="003A3104"/>
    <w:rsid w:val="003A3111"/>
    <w:rsid w:val="003A3408"/>
    <w:rsid w:val="003A36EB"/>
    <w:rsid w:val="003A3955"/>
    <w:rsid w:val="003A4362"/>
    <w:rsid w:val="003A4979"/>
    <w:rsid w:val="003A54A2"/>
    <w:rsid w:val="003A559E"/>
    <w:rsid w:val="003A66C0"/>
    <w:rsid w:val="003A6C61"/>
    <w:rsid w:val="003A7311"/>
    <w:rsid w:val="003A745F"/>
    <w:rsid w:val="003A746B"/>
    <w:rsid w:val="003A76A2"/>
    <w:rsid w:val="003B00EE"/>
    <w:rsid w:val="003B01C0"/>
    <w:rsid w:val="003B0D5D"/>
    <w:rsid w:val="003B1033"/>
    <w:rsid w:val="003B10EC"/>
    <w:rsid w:val="003B1291"/>
    <w:rsid w:val="003B1347"/>
    <w:rsid w:val="003B148D"/>
    <w:rsid w:val="003B1977"/>
    <w:rsid w:val="003B1C58"/>
    <w:rsid w:val="003B214C"/>
    <w:rsid w:val="003B264B"/>
    <w:rsid w:val="003B2738"/>
    <w:rsid w:val="003B2A11"/>
    <w:rsid w:val="003B2A8F"/>
    <w:rsid w:val="003B2E34"/>
    <w:rsid w:val="003B34A9"/>
    <w:rsid w:val="003B3931"/>
    <w:rsid w:val="003B3F95"/>
    <w:rsid w:val="003B42B5"/>
    <w:rsid w:val="003B4B46"/>
    <w:rsid w:val="003B4F61"/>
    <w:rsid w:val="003B60A8"/>
    <w:rsid w:val="003B61E5"/>
    <w:rsid w:val="003B669A"/>
    <w:rsid w:val="003B67FC"/>
    <w:rsid w:val="003B7984"/>
    <w:rsid w:val="003B7AC4"/>
    <w:rsid w:val="003B7B8A"/>
    <w:rsid w:val="003C00AD"/>
    <w:rsid w:val="003C02F8"/>
    <w:rsid w:val="003C057F"/>
    <w:rsid w:val="003C0A9F"/>
    <w:rsid w:val="003C117D"/>
    <w:rsid w:val="003C13A4"/>
    <w:rsid w:val="003C1975"/>
    <w:rsid w:val="003C1C06"/>
    <w:rsid w:val="003C1CCD"/>
    <w:rsid w:val="003C1FB0"/>
    <w:rsid w:val="003C2299"/>
    <w:rsid w:val="003C2652"/>
    <w:rsid w:val="003C2B0F"/>
    <w:rsid w:val="003C2C8E"/>
    <w:rsid w:val="003C2E5E"/>
    <w:rsid w:val="003C32EF"/>
    <w:rsid w:val="003C3C76"/>
    <w:rsid w:val="003C400E"/>
    <w:rsid w:val="003C40F2"/>
    <w:rsid w:val="003C4224"/>
    <w:rsid w:val="003C4435"/>
    <w:rsid w:val="003C49BF"/>
    <w:rsid w:val="003C4ABB"/>
    <w:rsid w:val="003C519C"/>
    <w:rsid w:val="003C584C"/>
    <w:rsid w:val="003C5A32"/>
    <w:rsid w:val="003C6067"/>
    <w:rsid w:val="003C6089"/>
    <w:rsid w:val="003C632F"/>
    <w:rsid w:val="003C63FD"/>
    <w:rsid w:val="003C6495"/>
    <w:rsid w:val="003C69EF"/>
    <w:rsid w:val="003C6AE4"/>
    <w:rsid w:val="003C6D0A"/>
    <w:rsid w:val="003C6F0A"/>
    <w:rsid w:val="003D07F9"/>
    <w:rsid w:val="003D08D1"/>
    <w:rsid w:val="003D15F7"/>
    <w:rsid w:val="003D178D"/>
    <w:rsid w:val="003D1863"/>
    <w:rsid w:val="003D1CAD"/>
    <w:rsid w:val="003D1E49"/>
    <w:rsid w:val="003D1F91"/>
    <w:rsid w:val="003D2359"/>
    <w:rsid w:val="003D279C"/>
    <w:rsid w:val="003D283B"/>
    <w:rsid w:val="003D28BE"/>
    <w:rsid w:val="003D2FD5"/>
    <w:rsid w:val="003D3074"/>
    <w:rsid w:val="003D3385"/>
    <w:rsid w:val="003D3670"/>
    <w:rsid w:val="003D36B0"/>
    <w:rsid w:val="003D3945"/>
    <w:rsid w:val="003D3AB4"/>
    <w:rsid w:val="003D3B07"/>
    <w:rsid w:val="003D3C09"/>
    <w:rsid w:val="003D4403"/>
    <w:rsid w:val="003D5398"/>
    <w:rsid w:val="003D5599"/>
    <w:rsid w:val="003D5654"/>
    <w:rsid w:val="003D5E15"/>
    <w:rsid w:val="003D5F05"/>
    <w:rsid w:val="003D61BE"/>
    <w:rsid w:val="003D6258"/>
    <w:rsid w:val="003D6383"/>
    <w:rsid w:val="003D6625"/>
    <w:rsid w:val="003D6731"/>
    <w:rsid w:val="003D682A"/>
    <w:rsid w:val="003D69A1"/>
    <w:rsid w:val="003D7C66"/>
    <w:rsid w:val="003D7F77"/>
    <w:rsid w:val="003E027E"/>
    <w:rsid w:val="003E02DC"/>
    <w:rsid w:val="003E0421"/>
    <w:rsid w:val="003E05AF"/>
    <w:rsid w:val="003E0B80"/>
    <w:rsid w:val="003E0CD2"/>
    <w:rsid w:val="003E0E40"/>
    <w:rsid w:val="003E1E71"/>
    <w:rsid w:val="003E209B"/>
    <w:rsid w:val="003E25A3"/>
    <w:rsid w:val="003E2ADF"/>
    <w:rsid w:val="003E2FA8"/>
    <w:rsid w:val="003E3029"/>
    <w:rsid w:val="003E31D4"/>
    <w:rsid w:val="003E343D"/>
    <w:rsid w:val="003E37A2"/>
    <w:rsid w:val="003E38F6"/>
    <w:rsid w:val="003E3D5C"/>
    <w:rsid w:val="003E44B8"/>
    <w:rsid w:val="003E4910"/>
    <w:rsid w:val="003E51BD"/>
    <w:rsid w:val="003E55F2"/>
    <w:rsid w:val="003E5890"/>
    <w:rsid w:val="003E598A"/>
    <w:rsid w:val="003E5D5F"/>
    <w:rsid w:val="003E5EE1"/>
    <w:rsid w:val="003E609D"/>
    <w:rsid w:val="003E60F8"/>
    <w:rsid w:val="003E60FC"/>
    <w:rsid w:val="003E637A"/>
    <w:rsid w:val="003E661E"/>
    <w:rsid w:val="003E66EA"/>
    <w:rsid w:val="003E6CE9"/>
    <w:rsid w:val="003E73B5"/>
    <w:rsid w:val="003E768F"/>
    <w:rsid w:val="003E7C5E"/>
    <w:rsid w:val="003F02C4"/>
    <w:rsid w:val="003F0457"/>
    <w:rsid w:val="003F0746"/>
    <w:rsid w:val="003F0E64"/>
    <w:rsid w:val="003F104A"/>
    <w:rsid w:val="003F2208"/>
    <w:rsid w:val="003F22B5"/>
    <w:rsid w:val="003F2643"/>
    <w:rsid w:val="003F2653"/>
    <w:rsid w:val="003F2F8B"/>
    <w:rsid w:val="003F45A4"/>
    <w:rsid w:val="003F505D"/>
    <w:rsid w:val="003F56B8"/>
    <w:rsid w:val="003F5D88"/>
    <w:rsid w:val="003F5DA9"/>
    <w:rsid w:val="003F6130"/>
    <w:rsid w:val="003F63C9"/>
    <w:rsid w:val="003F7886"/>
    <w:rsid w:val="003F78B7"/>
    <w:rsid w:val="003F7AA5"/>
    <w:rsid w:val="003F7BB3"/>
    <w:rsid w:val="004003C1"/>
    <w:rsid w:val="00400836"/>
    <w:rsid w:val="00400B67"/>
    <w:rsid w:val="00401E91"/>
    <w:rsid w:val="004028FC"/>
    <w:rsid w:val="00402D19"/>
    <w:rsid w:val="00402DE6"/>
    <w:rsid w:val="00402E8C"/>
    <w:rsid w:val="00402F72"/>
    <w:rsid w:val="0040329A"/>
    <w:rsid w:val="004033DC"/>
    <w:rsid w:val="00403752"/>
    <w:rsid w:val="004039DF"/>
    <w:rsid w:val="00403D69"/>
    <w:rsid w:val="00403E0A"/>
    <w:rsid w:val="004041CA"/>
    <w:rsid w:val="0040433E"/>
    <w:rsid w:val="00404542"/>
    <w:rsid w:val="00404B3E"/>
    <w:rsid w:val="00404EC6"/>
    <w:rsid w:val="00405244"/>
    <w:rsid w:val="004052A3"/>
    <w:rsid w:val="0040545B"/>
    <w:rsid w:val="00405499"/>
    <w:rsid w:val="0040564C"/>
    <w:rsid w:val="004056BB"/>
    <w:rsid w:val="004057D4"/>
    <w:rsid w:val="00405A0B"/>
    <w:rsid w:val="00405C53"/>
    <w:rsid w:val="0040605D"/>
    <w:rsid w:val="004063E9"/>
    <w:rsid w:val="00406883"/>
    <w:rsid w:val="00406B37"/>
    <w:rsid w:val="004071F0"/>
    <w:rsid w:val="0040728D"/>
    <w:rsid w:val="00407346"/>
    <w:rsid w:val="00407934"/>
    <w:rsid w:val="00407E75"/>
    <w:rsid w:val="00407EA2"/>
    <w:rsid w:val="004105D1"/>
    <w:rsid w:val="00410D24"/>
    <w:rsid w:val="004111B9"/>
    <w:rsid w:val="004119A7"/>
    <w:rsid w:val="00411BD1"/>
    <w:rsid w:val="00411D06"/>
    <w:rsid w:val="00412182"/>
    <w:rsid w:val="004128E3"/>
    <w:rsid w:val="004129E2"/>
    <w:rsid w:val="00414361"/>
    <w:rsid w:val="00414521"/>
    <w:rsid w:val="004145B2"/>
    <w:rsid w:val="00414640"/>
    <w:rsid w:val="00414DAB"/>
    <w:rsid w:val="004157AD"/>
    <w:rsid w:val="00415EF3"/>
    <w:rsid w:val="00415FE3"/>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10D7"/>
    <w:rsid w:val="0042116F"/>
    <w:rsid w:val="0042193F"/>
    <w:rsid w:val="004219B0"/>
    <w:rsid w:val="00421EA7"/>
    <w:rsid w:val="00422545"/>
    <w:rsid w:val="004226E0"/>
    <w:rsid w:val="00422752"/>
    <w:rsid w:val="00422B0C"/>
    <w:rsid w:val="00422CD1"/>
    <w:rsid w:val="00422D28"/>
    <w:rsid w:val="004236A8"/>
    <w:rsid w:val="004239F6"/>
    <w:rsid w:val="00423DF6"/>
    <w:rsid w:val="00423EC8"/>
    <w:rsid w:val="00424634"/>
    <w:rsid w:val="004250D8"/>
    <w:rsid w:val="0042541A"/>
    <w:rsid w:val="004254CB"/>
    <w:rsid w:val="004259E2"/>
    <w:rsid w:val="00425FB1"/>
    <w:rsid w:val="00426165"/>
    <w:rsid w:val="0042654B"/>
    <w:rsid w:val="004269CA"/>
    <w:rsid w:val="00426AC4"/>
    <w:rsid w:val="00426D1C"/>
    <w:rsid w:val="00426E70"/>
    <w:rsid w:val="00427509"/>
    <w:rsid w:val="00427A4A"/>
    <w:rsid w:val="004300C8"/>
    <w:rsid w:val="00430650"/>
    <w:rsid w:val="00430A90"/>
    <w:rsid w:val="004318E7"/>
    <w:rsid w:val="00431A3B"/>
    <w:rsid w:val="00431DC9"/>
    <w:rsid w:val="00432307"/>
    <w:rsid w:val="004323C6"/>
    <w:rsid w:val="0043258F"/>
    <w:rsid w:val="00432602"/>
    <w:rsid w:val="00432816"/>
    <w:rsid w:val="00432DEA"/>
    <w:rsid w:val="0043338F"/>
    <w:rsid w:val="004333F8"/>
    <w:rsid w:val="004337E4"/>
    <w:rsid w:val="004337F0"/>
    <w:rsid w:val="0043399D"/>
    <w:rsid w:val="00433FD9"/>
    <w:rsid w:val="0043453E"/>
    <w:rsid w:val="004345D5"/>
    <w:rsid w:val="00434DE1"/>
    <w:rsid w:val="00434FB7"/>
    <w:rsid w:val="00435553"/>
    <w:rsid w:val="00435C78"/>
    <w:rsid w:val="00436400"/>
    <w:rsid w:val="004378B3"/>
    <w:rsid w:val="00437958"/>
    <w:rsid w:val="00440786"/>
    <w:rsid w:val="004407B2"/>
    <w:rsid w:val="004408BD"/>
    <w:rsid w:val="00440D49"/>
    <w:rsid w:val="00441125"/>
    <w:rsid w:val="00441A8C"/>
    <w:rsid w:val="00441C05"/>
    <w:rsid w:val="00441C82"/>
    <w:rsid w:val="00442344"/>
    <w:rsid w:val="00442483"/>
    <w:rsid w:val="004425FA"/>
    <w:rsid w:val="00443966"/>
    <w:rsid w:val="00443B39"/>
    <w:rsid w:val="00443CF5"/>
    <w:rsid w:val="004442A0"/>
    <w:rsid w:val="00444838"/>
    <w:rsid w:val="004449A2"/>
    <w:rsid w:val="00445009"/>
    <w:rsid w:val="0044564D"/>
    <w:rsid w:val="00445973"/>
    <w:rsid w:val="00445A76"/>
    <w:rsid w:val="00445DF3"/>
    <w:rsid w:val="00445E0C"/>
    <w:rsid w:val="004462F0"/>
    <w:rsid w:val="0044654D"/>
    <w:rsid w:val="0044672C"/>
    <w:rsid w:val="00446834"/>
    <w:rsid w:val="00446E91"/>
    <w:rsid w:val="00446F74"/>
    <w:rsid w:val="004474F8"/>
    <w:rsid w:val="00447922"/>
    <w:rsid w:val="004479A4"/>
    <w:rsid w:val="004479AF"/>
    <w:rsid w:val="004502E7"/>
    <w:rsid w:val="0045050A"/>
    <w:rsid w:val="00450A50"/>
    <w:rsid w:val="0045101C"/>
    <w:rsid w:val="00451469"/>
    <w:rsid w:val="00452085"/>
    <w:rsid w:val="00452461"/>
    <w:rsid w:val="00452CCF"/>
    <w:rsid w:val="004532D7"/>
    <w:rsid w:val="004533EA"/>
    <w:rsid w:val="0045365B"/>
    <w:rsid w:val="004537FA"/>
    <w:rsid w:val="00453BEE"/>
    <w:rsid w:val="00454A42"/>
    <w:rsid w:val="00456187"/>
    <w:rsid w:val="00456344"/>
    <w:rsid w:val="0045671B"/>
    <w:rsid w:val="00456969"/>
    <w:rsid w:val="00456E50"/>
    <w:rsid w:val="00457612"/>
    <w:rsid w:val="00457AD3"/>
    <w:rsid w:val="00457C37"/>
    <w:rsid w:val="00460860"/>
    <w:rsid w:val="00460A20"/>
    <w:rsid w:val="00460D69"/>
    <w:rsid w:val="004610E9"/>
    <w:rsid w:val="0046111E"/>
    <w:rsid w:val="00461308"/>
    <w:rsid w:val="00461326"/>
    <w:rsid w:val="00461893"/>
    <w:rsid w:val="00461F2A"/>
    <w:rsid w:val="00461F8B"/>
    <w:rsid w:val="0046266B"/>
    <w:rsid w:val="00462B0A"/>
    <w:rsid w:val="0046340E"/>
    <w:rsid w:val="004642BC"/>
    <w:rsid w:val="004645BE"/>
    <w:rsid w:val="004648C4"/>
    <w:rsid w:val="00464C91"/>
    <w:rsid w:val="00464E7A"/>
    <w:rsid w:val="00464FFC"/>
    <w:rsid w:val="0046527B"/>
    <w:rsid w:val="004655A1"/>
    <w:rsid w:val="00465D91"/>
    <w:rsid w:val="0046630C"/>
    <w:rsid w:val="00466B86"/>
    <w:rsid w:val="00466C21"/>
    <w:rsid w:val="00466D73"/>
    <w:rsid w:val="004672FB"/>
    <w:rsid w:val="00467A8C"/>
    <w:rsid w:val="00467BCD"/>
    <w:rsid w:val="004707A9"/>
    <w:rsid w:val="00471353"/>
    <w:rsid w:val="004713A8"/>
    <w:rsid w:val="0047153F"/>
    <w:rsid w:val="00471727"/>
    <w:rsid w:val="0047180E"/>
    <w:rsid w:val="004718F8"/>
    <w:rsid w:val="00471959"/>
    <w:rsid w:val="00471D30"/>
    <w:rsid w:val="00471FF3"/>
    <w:rsid w:val="00472C38"/>
    <w:rsid w:val="00472EB7"/>
    <w:rsid w:val="00473008"/>
    <w:rsid w:val="004731B8"/>
    <w:rsid w:val="00473353"/>
    <w:rsid w:val="00473431"/>
    <w:rsid w:val="00473596"/>
    <w:rsid w:val="00473617"/>
    <w:rsid w:val="00473CC9"/>
    <w:rsid w:val="00473F85"/>
    <w:rsid w:val="0047431E"/>
    <w:rsid w:val="00474381"/>
    <w:rsid w:val="00474545"/>
    <w:rsid w:val="00474858"/>
    <w:rsid w:val="00474CBA"/>
    <w:rsid w:val="0047541B"/>
    <w:rsid w:val="004757C0"/>
    <w:rsid w:val="00475823"/>
    <w:rsid w:val="00475FE0"/>
    <w:rsid w:val="004760FF"/>
    <w:rsid w:val="0047617F"/>
    <w:rsid w:val="00476915"/>
    <w:rsid w:val="00477472"/>
    <w:rsid w:val="00477595"/>
    <w:rsid w:val="004800C2"/>
    <w:rsid w:val="0048042B"/>
    <w:rsid w:val="00480828"/>
    <w:rsid w:val="0048082C"/>
    <w:rsid w:val="004808DE"/>
    <w:rsid w:val="00480F0B"/>
    <w:rsid w:val="00481155"/>
    <w:rsid w:val="00481E5E"/>
    <w:rsid w:val="00481EDD"/>
    <w:rsid w:val="004821C2"/>
    <w:rsid w:val="00482642"/>
    <w:rsid w:val="00482EFA"/>
    <w:rsid w:val="004832D9"/>
    <w:rsid w:val="00483B19"/>
    <w:rsid w:val="00483DE5"/>
    <w:rsid w:val="00483E29"/>
    <w:rsid w:val="00483F76"/>
    <w:rsid w:val="00484746"/>
    <w:rsid w:val="0048477B"/>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90589"/>
    <w:rsid w:val="004909A1"/>
    <w:rsid w:val="004913FE"/>
    <w:rsid w:val="0049176E"/>
    <w:rsid w:val="004918D7"/>
    <w:rsid w:val="004921C4"/>
    <w:rsid w:val="0049385E"/>
    <w:rsid w:val="00493A1E"/>
    <w:rsid w:val="00493C80"/>
    <w:rsid w:val="00494029"/>
    <w:rsid w:val="00494813"/>
    <w:rsid w:val="00495722"/>
    <w:rsid w:val="004959E1"/>
    <w:rsid w:val="00495BAC"/>
    <w:rsid w:val="004960F5"/>
    <w:rsid w:val="0049624D"/>
    <w:rsid w:val="00496BC1"/>
    <w:rsid w:val="00496DDF"/>
    <w:rsid w:val="004970DB"/>
    <w:rsid w:val="004970DC"/>
    <w:rsid w:val="00497EB1"/>
    <w:rsid w:val="004A0066"/>
    <w:rsid w:val="004A1FAE"/>
    <w:rsid w:val="004A30D9"/>
    <w:rsid w:val="004A3226"/>
    <w:rsid w:val="004A3DFF"/>
    <w:rsid w:val="004A3E8A"/>
    <w:rsid w:val="004A43F5"/>
    <w:rsid w:val="004A46AC"/>
    <w:rsid w:val="004A4896"/>
    <w:rsid w:val="004A4973"/>
    <w:rsid w:val="004A49A0"/>
    <w:rsid w:val="004A50B6"/>
    <w:rsid w:val="004A5E7D"/>
    <w:rsid w:val="004A6623"/>
    <w:rsid w:val="004A67AB"/>
    <w:rsid w:val="004A6802"/>
    <w:rsid w:val="004A6EE8"/>
    <w:rsid w:val="004A71EC"/>
    <w:rsid w:val="004A7E65"/>
    <w:rsid w:val="004B00CD"/>
    <w:rsid w:val="004B05FC"/>
    <w:rsid w:val="004B0AEE"/>
    <w:rsid w:val="004B0CD5"/>
    <w:rsid w:val="004B0CDF"/>
    <w:rsid w:val="004B10D9"/>
    <w:rsid w:val="004B195F"/>
    <w:rsid w:val="004B19DD"/>
    <w:rsid w:val="004B19FB"/>
    <w:rsid w:val="004B1C4D"/>
    <w:rsid w:val="004B25F6"/>
    <w:rsid w:val="004B2700"/>
    <w:rsid w:val="004B287C"/>
    <w:rsid w:val="004B2E84"/>
    <w:rsid w:val="004B3A33"/>
    <w:rsid w:val="004B3F63"/>
    <w:rsid w:val="004B41DF"/>
    <w:rsid w:val="004B41F5"/>
    <w:rsid w:val="004B47B4"/>
    <w:rsid w:val="004B4921"/>
    <w:rsid w:val="004B4ED7"/>
    <w:rsid w:val="004B5048"/>
    <w:rsid w:val="004B5834"/>
    <w:rsid w:val="004B596A"/>
    <w:rsid w:val="004B5ABA"/>
    <w:rsid w:val="004B5BD1"/>
    <w:rsid w:val="004B5C0F"/>
    <w:rsid w:val="004B5DD7"/>
    <w:rsid w:val="004B6191"/>
    <w:rsid w:val="004B717B"/>
    <w:rsid w:val="004B723D"/>
    <w:rsid w:val="004B729C"/>
    <w:rsid w:val="004B75E0"/>
    <w:rsid w:val="004B7968"/>
    <w:rsid w:val="004C06E9"/>
    <w:rsid w:val="004C0766"/>
    <w:rsid w:val="004C098C"/>
    <w:rsid w:val="004C0EF0"/>
    <w:rsid w:val="004C13F7"/>
    <w:rsid w:val="004C1F31"/>
    <w:rsid w:val="004C21CC"/>
    <w:rsid w:val="004C2E8C"/>
    <w:rsid w:val="004C3F58"/>
    <w:rsid w:val="004C4383"/>
    <w:rsid w:val="004C47A3"/>
    <w:rsid w:val="004C5078"/>
    <w:rsid w:val="004C5447"/>
    <w:rsid w:val="004C5AD5"/>
    <w:rsid w:val="004C5FF5"/>
    <w:rsid w:val="004C61C6"/>
    <w:rsid w:val="004C64BB"/>
    <w:rsid w:val="004C683D"/>
    <w:rsid w:val="004C6C95"/>
    <w:rsid w:val="004C6EED"/>
    <w:rsid w:val="004C704B"/>
    <w:rsid w:val="004C71B7"/>
    <w:rsid w:val="004C72AE"/>
    <w:rsid w:val="004C73F1"/>
    <w:rsid w:val="004C762D"/>
    <w:rsid w:val="004C7E06"/>
    <w:rsid w:val="004C7F19"/>
    <w:rsid w:val="004D038A"/>
    <w:rsid w:val="004D07CD"/>
    <w:rsid w:val="004D0CFF"/>
    <w:rsid w:val="004D101F"/>
    <w:rsid w:val="004D113B"/>
    <w:rsid w:val="004D13EE"/>
    <w:rsid w:val="004D1AD5"/>
    <w:rsid w:val="004D1B24"/>
    <w:rsid w:val="004D1E96"/>
    <w:rsid w:val="004D2045"/>
    <w:rsid w:val="004D2855"/>
    <w:rsid w:val="004D2BAE"/>
    <w:rsid w:val="004D3300"/>
    <w:rsid w:val="004D36D2"/>
    <w:rsid w:val="004D3965"/>
    <w:rsid w:val="004D3A1C"/>
    <w:rsid w:val="004D3D4B"/>
    <w:rsid w:val="004D3E47"/>
    <w:rsid w:val="004D3F1C"/>
    <w:rsid w:val="004D440D"/>
    <w:rsid w:val="004D460E"/>
    <w:rsid w:val="004D4F8B"/>
    <w:rsid w:val="004D5238"/>
    <w:rsid w:val="004D54F8"/>
    <w:rsid w:val="004D5589"/>
    <w:rsid w:val="004D56AA"/>
    <w:rsid w:val="004D6118"/>
    <w:rsid w:val="004D6498"/>
    <w:rsid w:val="004D7779"/>
    <w:rsid w:val="004D7BE9"/>
    <w:rsid w:val="004E0042"/>
    <w:rsid w:val="004E041F"/>
    <w:rsid w:val="004E0476"/>
    <w:rsid w:val="004E0AF9"/>
    <w:rsid w:val="004E0FC2"/>
    <w:rsid w:val="004E136C"/>
    <w:rsid w:val="004E138D"/>
    <w:rsid w:val="004E1694"/>
    <w:rsid w:val="004E1A86"/>
    <w:rsid w:val="004E1FF5"/>
    <w:rsid w:val="004E20E1"/>
    <w:rsid w:val="004E2853"/>
    <w:rsid w:val="004E2DA0"/>
    <w:rsid w:val="004E3C01"/>
    <w:rsid w:val="004E3C71"/>
    <w:rsid w:val="004E3D35"/>
    <w:rsid w:val="004E43BE"/>
    <w:rsid w:val="004E4416"/>
    <w:rsid w:val="004E47BA"/>
    <w:rsid w:val="004E47ED"/>
    <w:rsid w:val="004E4A38"/>
    <w:rsid w:val="004E5006"/>
    <w:rsid w:val="004E53A4"/>
    <w:rsid w:val="004E5838"/>
    <w:rsid w:val="004E5A5F"/>
    <w:rsid w:val="004E5BC2"/>
    <w:rsid w:val="004E5BFC"/>
    <w:rsid w:val="004E5C0A"/>
    <w:rsid w:val="004E5D24"/>
    <w:rsid w:val="004E5E3B"/>
    <w:rsid w:val="004E5E98"/>
    <w:rsid w:val="004E64F3"/>
    <w:rsid w:val="004E6704"/>
    <w:rsid w:val="004E6C4A"/>
    <w:rsid w:val="004E6E35"/>
    <w:rsid w:val="004E6FE1"/>
    <w:rsid w:val="004E703B"/>
    <w:rsid w:val="004E73A8"/>
    <w:rsid w:val="004E76A4"/>
    <w:rsid w:val="004E7C85"/>
    <w:rsid w:val="004F0657"/>
    <w:rsid w:val="004F0988"/>
    <w:rsid w:val="004F1469"/>
    <w:rsid w:val="004F24C0"/>
    <w:rsid w:val="004F2953"/>
    <w:rsid w:val="004F2CEA"/>
    <w:rsid w:val="004F30EB"/>
    <w:rsid w:val="004F3227"/>
    <w:rsid w:val="004F3296"/>
    <w:rsid w:val="004F381C"/>
    <w:rsid w:val="004F3C9F"/>
    <w:rsid w:val="004F3CAB"/>
    <w:rsid w:val="004F3F46"/>
    <w:rsid w:val="004F404D"/>
    <w:rsid w:val="004F4DE2"/>
    <w:rsid w:val="004F4EDB"/>
    <w:rsid w:val="004F585B"/>
    <w:rsid w:val="004F5AB7"/>
    <w:rsid w:val="004F5BF0"/>
    <w:rsid w:val="004F5F0D"/>
    <w:rsid w:val="004F5FC7"/>
    <w:rsid w:val="004F64C2"/>
    <w:rsid w:val="004F64ED"/>
    <w:rsid w:val="004F6644"/>
    <w:rsid w:val="004F6C7A"/>
    <w:rsid w:val="004F703F"/>
    <w:rsid w:val="004F7174"/>
    <w:rsid w:val="004F7530"/>
    <w:rsid w:val="004F7BA8"/>
    <w:rsid w:val="004F7CCD"/>
    <w:rsid w:val="00500534"/>
    <w:rsid w:val="005009AF"/>
    <w:rsid w:val="005016BD"/>
    <w:rsid w:val="00501E0D"/>
    <w:rsid w:val="005020E5"/>
    <w:rsid w:val="00502232"/>
    <w:rsid w:val="0050266A"/>
    <w:rsid w:val="005026E3"/>
    <w:rsid w:val="00502800"/>
    <w:rsid w:val="00502C21"/>
    <w:rsid w:val="00502CE5"/>
    <w:rsid w:val="00502D19"/>
    <w:rsid w:val="0050351D"/>
    <w:rsid w:val="00503B1A"/>
    <w:rsid w:val="00503E4D"/>
    <w:rsid w:val="005043FD"/>
    <w:rsid w:val="0050480C"/>
    <w:rsid w:val="00505206"/>
    <w:rsid w:val="005054AD"/>
    <w:rsid w:val="005055FE"/>
    <w:rsid w:val="00505DD5"/>
    <w:rsid w:val="00505E80"/>
    <w:rsid w:val="0050635E"/>
    <w:rsid w:val="005064F7"/>
    <w:rsid w:val="005065F1"/>
    <w:rsid w:val="00506A0A"/>
    <w:rsid w:val="00506AFC"/>
    <w:rsid w:val="00506C39"/>
    <w:rsid w:val="00506DDD"/>
    <w:rsid w:val="00507C18"/>
    <w:rsid w:val="0051097A"/>
    <w:rsid w:val="00510B76"/>
    <w:rsid w:val="00510C80"/>
    <w:rsid w:val="005110F0"/>
    <w:rsid w:val="005114BC"/>
    <w:rsid w:val="005116D5"/>
    <w:rsid w:val="00511CA4"/>
    <w:rsid w:val="00511F18"/>
    <w:rsid w:val="005121E3"/>
    <w:rsid w:val="0051229D"/>
    <w:rsid w:val="00512605"/>
    <w:rsid w:val="00512666"/>
    <w:rsid w:val="00512715"/>
    <w:rsid w:val="00512B04"/>
    <w:rsid w:val="00513A11"/>
    <w:rsid w:val="0051426B"/>
    <w:rsid w:val="0051448B"/>
    <w:rsid w:val="00514901"/>
    <w:rsid w:val="00514ABC"/>
    <w:rsid w:val="00514E96"/>
    <w:rsid w:val="00514EF4"/>
    <w:rsid w:val="0051505B"/>
    <w:rsid w:val="00515109"/>
    <w:rsid w:val="00515BB9"/>
    <w:rsid w:val="00515C6F"/>
    <w:rsid w:val="0051656F"/>
    <w:rsid w:val="00516799"/>
    <w:rsid w:val="005171E3"/>
    <w:rsid w:val="005173D2"/>
    <w:rsid w:val="005174D1"/>
    <w:rsid w:val="005179C9"/>
    <w:rsid w:val="00517FC4"/>
    <w:rsid w:val="00520076"/>
    <w:rsid w:val="00520B31"/>
    <w:rsid w:val="00521475"/>
    <w:rsid w:val="005220B2"/>
    <w:rsid w:val="005220F8"/>
    <w:rsid w:val="005221BC"/>
    <w:rsid w:val="0052220F"/>
    <w:rsid w:val="005228E8"/>
    <w:rsid w:val="005229F9"/>
    <w:rsid w:val="00522D29"/>
    <w:rsid w:val="00522E69"/>
    <w:rsid w:val="00522E81"/>
    <w:rsid w:val="00522F45"/>
    <w:rsid w:val="0052386F"/>
    <w:rsid w:val="00523B2D"/>
    <w:rsid w:val="005243F4"/>
    <w:rsid w:val="00524545"/>
    <w:rsid w:val="00524928"/>
    <w:rsid w:val="005249F9"/>
    <w:rsid w:val="00524A73"/>
    <w:rsid w:val="00524DAF"/>
    <w:rsid w:val="00524FA6"/>
    <w:rsid w:val="0052500E"/>
    <w:rsid w:val="0052509D"/>
    <w:rsid w:val="0052529B"/>
    <w:rsid w:val="00525395"/>
    <w:rsid w:val="005258BD"/>
    <w:rsid w:val="0052591F"/>
    <w:rsid w:val="00525A5F"/>
    <w:rsid w:val="00526286"/>
    <w:rsid w:val="0052692F"/>
    <w:rsid w:val="005269B3"/>
    <w:rsid w:val="005269B7"/>
    <w:rsid w:val="00526BB8"/>
    <w:rsid w:val="00526E68"/>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D4B"/>
    <w:rsid w:val="00530E44"/>
    <w:rsid w:val="0053176B"/>
    <w:rsid w:val="00531AC9"/>
    <w:rsid w:val="00531B91"/>
    <w:rsid w:val="00532390"/>
    <w:rsid w:val="0053257C"/>
    <w:rsid w:val="0053285C"/>
    <w:rsid w:val="00532936"/>
    <w:rsid w:val="00532B4A"/>
    <w:rsid w:val="005333B8"/>
    <w:rsid w:val="00533A58"/>
    <w:rsid w:val="00534978"/>
    <w:rsid w:val="005349B2"/>
    <w:rsid w:val="00534A88"/>
    <w:rsid w:val="00534D4A"/>
    <w:rsid w:val="0053534C"/>
    <w:rsid w:val="005357BA"/>
    <w:rsid w:val="00536950"/>
    <w:rsid w:val="005369BF"/>
    <w:rsid w:val="00536E00"/>
    <w:rsid w:val="005371F7"/>
    <w:rsid w:val="005377F2"/>
    <w:rsid w:val="005378C7"/>
    <w:rsid w:val="00537E80"/>
    <w:rsid w:val="005405BF"/>
    <w:rsid w:val="00540610"/>
    <w:rsid w:val="0054082A"/>
    <w:rsid w:val="00540B98"/>
    <w:rsid w:val="00540E9D"/>
    <w:rsid w:val="00541B1F"/>
    <w:rsid w:val="0054244D"/>
    <w:rsid w:val="00542950"/>
    <w:rsid w:val="00542A89"/>
    <w:rsid w:val="005431B3"/>
    <w:rsid w:val="0054354F"/>
    <w:rsid w:val="00543619"/>
    <w:rsid w:val="00543624"/>
    <w:rsid w:val="00543CB5"/>
    <w:rsid w:val="00544273"/>
    <w:rsid w:val="0054431B"/>
    <w:rsid w:val="005445E9"/>
    <w:rsid w:val="00544750"/>
    <w:rsid w:val="00544DA9"/>
    <w:rsid w:val="00545091"/>
    <w:rsid w:val="00545CC1"/>
    <w:rsid w:val="00545E71"/>
    <w:rsid w:val="005463BF"/>
    <w:rsid w:val="0054678C"/>
    <w:rsid w:val="00546B5E"/>
    <w:rsid w:val="005472AF"/>
    <w:rsid w:val="005472FC"/>
    <w:rsid w:val="0054734B"/>
    <w:rsid w:val="005478C9"/>
    <w:rsid w:val="005478D9"/>
    <w:rsid w:val="0054793A"/>
    <w:rsid w:val="00547A0D"/>
    <w:rsid w:val="0055034E"/>
    <w:rsid w:val="00550CED"/>
    <w:rsid w:val="005514B5"/>
    <w:rsid w:val="00551580"/>
    <w:rsid w:val="00551649"/>
    <w:rsid w:val="00552016"/>
    <w:rsid w:val="00552C81"/>
    <w:rsid w:val="00552EDD"/>
    <w:rsid w:val="005533D8"/>
    <w:rsid w:val="005535E3"/>
    <w:rsid w:val="00554026"/>
    <w:rsid w:val="00554A38"/>
    <w:rsid w:val="00555051"/>
    <w:rsid w:val="0055519F"/>
    <w:rsid w:val="005551EE"/>
    <w:rsid w:val="00555A1F"/>
    <w:rsid w:val="00556047"/>
    <w:rsid w:val="005561EB"/>
    <w:rsid w:val="00556858"/>
    <w:rsid w:val="00556E36"/>
    <w:rsid w:val="00557D18"/>
    <w:rsid w:val="00560485"/>
    <w:rsid w:val="00560568"/>
    <w:rsid w:val="00560595"/>
    <w:rsid w:val="00560606"/>
    <w:rsid w:val="00560701"/>
    <w:rsid w:val="00560E4B"/>
    <w:rsid w:val="00561378"/>
    <w:rsid w:val="00561947"/>
    <w:rsid w:val="00561B8A"/>
    <w:rsid w:val="00561E71"/>
    <w:rsid w:val="00561E93"/>
    <w:rsid w:val="00562528"/>
    <w:rsid w:val="00562E55"/>
    <w:rsid w:val="00563351"/>
    <w:rsid w:val="00563446"/>
    <w:rsid w:val="0056352B"/>
    <w:rsid w:val="0056432A"/>
    <w:rsid w:val="00564ACF"/>
    <w:rsid w:val="00564DB8"/>
    <w:rsid w:val="00564E67"/>
    <w:rsid w:val="00565175"/>
    <w:rsid w:val="00565312"/>
    <w:rsid w:val="005654F4"/>
    <w:rsid w:val="00566293"/>
    <w:rsid w:val="00566E31"/>
    <w:rsid w:val="00566FCB"/>
    <w:rsid w:val="00567342"/>
    <w:rsid w:val="00567504"/>
    <w:rsid w:val="0056773E"/>
    <w:rsid w:val="00567871"/>
    <w:rsid w:val="00567C87"/>
    <w:rsid w:val="00567DA6"/>
    <w:rsid w:val="00570A0C"/>
    <w:rsid w:val="005711BE"/>
    <w:rsid w:val="005714EE"/>
    <w:rsid w:val="005715D5"/>
    <w:rsid w:val="00571D58"/>
    <w:rsid w:val="00571E3C"/>
    <w:rsid w:val="00572248"/>
    <w:rsid w:val="00572585"/>
    <w:rsid w:val="0057263C"/>
    <w:rsid w:val="00572AE3"/>
    <w:rsid w:val="00572C0C"/>
    <w:rsid w:val="00572CA4"/>
    <w:rsid w:val="0057326B"/>
    <w:rsid w:val="005740EE"/>
    <w:rsid w:val="00574163"/>
    <w:rsid w:val="00574271"/>
    <w:rsid w:val="0057430B"/>
    <w:rsid w:val="0057439C"/>
    <w:rsid w:val="0057449A"/>
    <w:rsid w:val="005746D6"/>
    <w:rsid w:val="00574990"/>
    <w:rsid w:val="00574995"/>
    <w:rsid w:val="00574EA9"/>
    <w:rsid w:val="005750BC"/>
    <w:rsid w:val="00575954"/>
    <w:rsid w:val="00575A4C"/>
    <w:rsid w:val="00575AC1"/>
    <w:rsid w:val="0057611F"/>
    <w:rsid w:val="0057634F"/>
    <w:rsid w:val="0057694D"/>
    <w:rsid w:val="00576CB9"/>
    <w:rsid w:val="00577651"/>
    <w:rsid w:val="00577653"/>
    <w:rsid w:val="005777E9"/>
    <w:rsid w:val="005807EC"/>
    <w:rsid w:val="00580D0D"/>
    <w:rsid w:val="00581454"/>
    <w:rsid w:val="00581F99"/>
    <w:rsid w:val="0058216F"/>
    <w:rsid w:val="005821CB"/>
    <w:rsid w:val="00582E11"/>
    <w:rsid w:val="00583180"/>
    <w:rsid w:val="00583231"/>
    <w:rsid w:val="00583697"/>
    <w:rsid w:val="00583744"/>
    <w:rsid w:val="00584341"/>
    <w:rsid w:val="00584FB8"/>
    <w:rsid w:val="00585561"/>
    <w:rsid w:val="005859F0"/>
    <w:rsid w:val="00585B61"/>
    <w:rsid w:val="00586FD6"/>
    <w:rsid w:val="005870BD"/>
    <w:rsid w:val="005870E7"/>
    <w:rsid w:val="00587295"/>
    <w:rsid w:val="0058758F"/>
    <w:rsid w:val="00587CE9"/>
    <w:rsid w:val="00587EAB"/>
    <w:rsid w:val="005902AE"/>
    <w:rsid w:val="005906DD"/>
    <w:rsid w:val="00590BB9"/>
    <w:rsid w:val="00590BBB"/>
    <w:rsid w:val="00590C87"/>
    <w:rsid w:val="00590DF3"/>
    <w:rsid w:val="00590FB6"/>
    <w:rsid w:val="00591908"/>
    <w:rsid w:val="00591F55"/>
    <w:rsid w:val="00592028"/>
    <w:rsid w:val="00592036"/>
    <w:rsid w:val="0059261F"/>
    <w:rsid w:val="00592980"/>
    <w:rsid w:val="00592BAD"/>
    <w:rsid w:val="00593096"/>
    <w:rsid w:val="00593208"/>
    <w:rsid w:val="0059365F"/>
    <w:rsid w:val="00593E3C"/>
    <w:rsid w:val="00593EA3"/>
    <w:rsid w:val="00594872"/>
    <w:rsid w:val="00594A0E"/>
    <w:rsid w:val="00595E09"/>
    <w:rsid w:val="005963F7"/>
    <w:rsid w:val="005969DB"/>
    <w:rsid w:val="00596E02"/>
    <w:rsid w:val="005975A2"/>
    <w:rsid w:val="00597628"/>
    <w:rsid w:val="005977CF"/>
    <w:rsid w:val="005A01F7"/>
    <w:rsid w:val="005A036C"/>
    <w:rsid w:val="005A0389"/>
    <w:rsid w:val="005A074A"/>
    <w:rsid w:val="005A08D2"/>
    <w:rsid w:val="005A0AA4"/>
    <w:rsid w:val="005A0F8E"/>
    <w:rsid w:val="005A11EF"/>
    <w:rsid w:val="005A179D"/>
    <w:rsid w:val="005A1CD6"/>
    <w:rsid w:val="005A29A0"/>
    <w:rsid w:val="005A2BFC"/>
    <w:rsid w:val="005A3C81"/>
    <w:rsid w:val="005A3E3C"/>
    <w:rsid w:val="005A4225"/>
    <w:rsid w:val="005A4E9A"/>
    <w:rsid w:val="005A514A"/>
    <w:rsid w:val="005A5197"/>
    <w:rsid w:val="005A5C5C"/>
    <w:rsid w:val="005A6612"/>
    <w:rsid w:val="005A670B"/>
    <w:rsid w:val="005A6716"/>
    <w:rsid w:val="005A6895"/>
    <w:rsid w:val="005A6C56"/>
    <w:rsid w:val="005A75E6"/>
    <w:rsid w:val="005A7732"/>
    <w:rsid w:val="005A7A7A"/>
    <w:rsid w:val="005A7B07"/>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97"/>
    <w:rsid w:val="005B2892"/>
    <w:rsid w:val="005B2B9F"/>
    <w:rsid w:val="005B313E"/>
    <w:rsid w:val="005B328B"/>
    <w:rsid w:val="005B35BA"/>
    <w:rsid w:val="005B3B75"/>
    <w:rsid w:val="005B3C70"/>
    <w:rsid w:val="005B3D81"/>
    <w:rsid w:val="005B441D"/>
    <w:rsid w:val="005B4D2B"/>
    <w:rsid w:val="005B5013"/>
    <w:rsid w:val="005B532B"/>
    <w:rsid w:val="005B5750"/>
    <w:rsid w:val="005B5A36"/>
    <w:rsid w:val="005B5A37"/>
    <w:rsid w:val="005B5A71"/>
    <w:rsid w:val="005B5C3F"/>
    <w:rsid w:val="005B5CC8"/>
    <w:rsid w:val="005B5F01"/>
    <w:rsid w:val="005B5FDA"/>
    <w:rsid w:val="005B6291"/>
    <w:rsid w:val="005B6425"/>
    <w:rsid w:val="005B65F0"/>
    <w:rsid w:val="005B6AB5"/>
    <w:rsid w:val="005B76F2"/>
    <w:rsid w:val="005B7A0E"/>
    <w:rsid w:val="005B7B3B"/>
    <w:rsid w:val="005B7B41"/>
    <w:rsid w:val="005C03E7"/>
    <w:rsid w:val="005C0928"/>
    <w:rsid w:val="005C0C13"/>
    <w:rsid w:val="005C109F"/>
    <w:rsid w:val="005C11E3"/>
    <w:rsid w:val="005C14D2"/>
    <w:rsid w:val="005C1602"/>
    <w:rsid w:val="005C1722"/>
    <w:rsid w:val="005C1921"/>
    <w:rsid w:val="005C197B"/>
    <w:rsid w:val="005C1AC2"/>
    <w:rsid w:val="005C1C12"/>
    <w:rsid w:val="005C1DED"/>
    <w:rsid w:val="005C2766"/>
    <w:rsid w:val="005C29DE"/>
    <w:rsid w:val="005C2A89"/>
    <w:rsid w:val="005C2CDA"/>
    <w:rsid w:val="005C2EC1"/>
    <w:rsid w:val="005C306B"/>
    <w:rsid w:val="005C32C4"/>
    <w:rsid w:val="005C3887"/>
    <w:rsid w:val="005C38AE"/>
    <w:rsid w:val="005C4420"/>
    <w:rsid w:val="005C4608"/>
    <w:rsid w:val="005C4930"/>
    <w:rsid w:val="005C55BE"/>
    <w:rsid w:val="005C5750"/>
    <w:rsid w:val="005C5B55"/>
    <w:rsid w:val="005C5C10"/>
    <w:rsid w:val="005C5F45"/>
    <w:rsid w:val="005C5F78"/>
    <w:rsid w:val="005C66E5"/>
    <w:rsid w:val="005C68CB"/>
    <w:rsid w:val="005C69F3"/>
    <w:rsid w:val="005C6A33"/>
    <w:rsid w:val="005C6C9C"/>
    <w:rsid w:val="005C6CB3"/>
    <w:rsid w:val="005C704D"/>
    <w:rsid w:val="005C707E"/>
    <w:rsid w:val="005C70F2"/>
    <w:rsid w:val="005C7722"/>
    <w:rsid w:val="005D011C"/>
    <w:rsid w:val="005D05CB"/>
    <w:rsid w:val="005D12F2"/>
    <w:rsid w:val="005D16E2"/>
    <w:rsid w:val="005D1F62"/>
    <w:rsid w:val="005D2211"/>
    <w:rsid w:val="005D2567"/>
    <w:rsid w:val="005D287C"/>
    <w:rsid w:val="005D4085"/>
    <w:rsid w:val="005D4305"/>
    <w:rsid w:val="005D48DD"/>
    <w:rsid w:val="005D490D"/>
    <w:rsid w:val="005D4B0D"/>
    <w:rsid w:val="005D4F00"/>
    <w:rsid w:val="005D5D8C"/>
    <w:rsid w:val="005D6C55"/>
    <w:rsid w:val="005D6EBE"/>
    <w:rsid w:val="005D6F26"/>
    <w:rsid w:val="005D791C"/>
    <w:rsid w:val="005D7CD4"/>
    <w:rsid w:val="005E0015"/>
    <w:rsid w:val="005E04D2"/>
    <w:rsid w:val="005E06E1"/>
    <w:rsid w:val="005E09F5"/>
    <w:rsid w:val="005E1592"/>
    <w:rsid w:val="005E15F5"/>
    <w:rsid w:val="005E1B87"/>
    <w:rsid w:val="005E1FDA"/>
    <w:rsid w:val="005E249F"/>
    <w:rsid w:val="005E299B"/>
    <w:rsid w:val="005E33C9"/>
    <w:rsid w:val="005E3769"/>
    <w:rsid w:val="005E376E"/>
    <w:rsid w:val="005E37AB"/>
    <w:rsid w:val="005E39B4"/>
    <w:rsid w:val="005E3BB9"/>
    <w:rsid w:val="005E3C01"/>
    <w:rsid w:val="005E3E37"/>
    <w:rsid w:val="005E3E56"/>
    <w:rsid w:val="005E409B"/>
    <w:rsid w:val="005E41C8"/>
    <w:rsid w:val="005E4C23"/>
    <w:rsid w:val="005E5103"/>
    <w:rsid w:val="005E5199"/>
    <w:rsid w:val="005E559D"/>
    <w:rsid w:val="005E5647"/>
    <w:rsid w:val="005E5816"/>
    <w:rsid w:val="005E595C"/>
    <w:rsid w:val="005E5BDE"/>
    <w:rsid w:val="005E5F3F"/>
    <w:rsid w:val="005E612E"/>
    <w:rsid w:val="005E616B"/>
    <w:rsid w:val="005E634C"/>
    <w:rsid w:val="005E65FE"/>
    <w:rsid w:val="005E69F5"/>
    <w:rsid w:val="005E6C38"/>
    <w:rsid w:val="005E6D56"/>
    <w:rsid w:val="005E6EA6"/>
    <w:rsid w:val="005E6FD2"/>
    <w:rsid w:val="005E709B"/>
    <w:rsid w:val="005E71B2"/>
    <w:rsid w:val="005E7744"/>
    <w:rsid w:val="005E7CB8"/>
    <w:rsid w:val="005E7EDF"/>
    <w:rsid w:val="005F0023"/>
    <w:rsid w:val="005F02F3"/>
    <w:rsid w:val="005F099D"/>
    <w:rsid w:val="005F1698"/>
    <w:rsid w:val="005F1773"/>
    <w:rsid w:val="005F1E5F"/>
    <w:rsid w:val="005F20C7"/>
    <w:rsid w:val="005F24ED"/>
    <w:rsid w:val="005F2B2F"/>
    <w:rsid w:val="005F2C0A"/>
    <w:rsid w:val="005F2DB8"/>
    <w:rsid w:val="005F3065"/>
    <w:rsid w:val="005F30DA"/>
    <w:rsid w:val="005F3562"/>
    <w:rsid w:val="005F36CB"/>
    <w:rsid w:val="005F37E5"/>
    <w:rsid w:val="005F4984"/>
    <w:rsid w:val="005F4BD5"/>
    <w:rsid w:val="005F4C89"/>
    <w:rsid w:val="005F4F50"/>
    <w:rsid w:val="005F508F"/>
    <w:rsid w:val="005F585A"/>
    <w:rsid w:val="005F6058"/>
    <w:rsid w:val="005F64B0"/>
    <w:rsid w:val="005F69EA"/>
    <w:rsid w:val="005F729F"/>
    <w:rsid w:val="005F791C"/>
    <w:rsid w:val="005F7D19"/>
    <w:rsid w:val="005F7F46"/>
    <w:rsid w:val="006001C2"/>
    <w:rsid w:val="006003F3"/>
    <w:rsid w:val="0060086E"/>
    <w:rsid w:val="0060188E"/>
    <w:rsid w:val="00601A76"/>
    <w:rsid w:val="00601BB2"/>
    <w:rsid w:val="00601D05"/>
    <w:rsid w:val="00601D07"/>
    <w:rsid w:val="00601DF5"/>
    <w:rsid w:val="00602070"/>
    <w:rsid w:val="006022A8"/>
    <w:rsid w:val="006023A5"/>
    <w:rsid w:val="006023AA"/>
    <w:rsid w:val="00602F73"/>
    <w:rsid w:val="0060326B"/>
    <w:rsid w:val="00603688"/>
    <w:rsid w:val="006039AB"/>
    <w:rsid w:val="00603D67"/>
    <w:rsid w:val="006042AE"/>
    <w:rsid w:val="00604478"/>
    <w:rsid w:val="00604539"/>
    <w:rsid w:val="00604A77"/>
    <w:rsid w:val="00604BC9"/>
    <w:rsid w:val="006052B9"/>
    <w:rsid w:val="00605319"/>
    <w:rsid w:val="006054E1"/>
    <w:rsid w:val="00605564"/>
    <w:rsid w:val="0060558C"/>
    <w:rsid w:val="0060597F"/>
    <w:rsid w:val="006069D8"/>
    <w:rsid w:val="00606B72"/>
    <w:rsid w:val="00606E77"/>
    <w:rsid w:val="006073D0"/>
    <w:rsid w:val="00607E59"/>
    <w:rsid w:val="00607E85"/>
    <w:rsid w:val="00610094"/>
    <w:rsid w:val="006103A9"/>
    <w:rsid w:val="00610487"/>
    <w:rsid w:val="0061051E"/>
    <w:rsid w:val="0061152A"/>
    <w:rsid w:val="006118F7"/>
    <w:rsid w:val="00611AA3"/>
    <w:rsid w:val="00611E8C"/>
    <w:rsid w:val="006134F7"/>
    <w:rsid w:val="00613C19"/>
    <w:rsid w:val="00613E67"/>
    <w:rsid w:val="006144E0"/>
    <w:rsid w:val="006145CA"/>
    <w:rsid w:val="006149DF"/>
    <w:rsid w:val="00614CED"/>
    <w:rsid w:val="00614E7A"/>
    <w:rsid w:val="00615081"/>
    <w:rsid w:val="00615298"/>
    <w:rsid w:val="00615805"/>
    <w:rsid w:val="00615AB4"/>
    <w:rsid w:val="00616060"/>
    <w:rsid w:val="00616542"/>
    <w:rsid w:val="00616A1C"/>
    <w:rsid w:val="00616F53"/>
    <w:rsid w:val="00617159"/>
    <w:rsid w:val="006172DB"/>
    <w:rsid w:val="0062005A"/>
    <w:rsid w:val="00620092"/>
    <w:rsid w:val="00620150"/>
    <w:rsid w:val="00620307"/>
    <w:rsid w:val="00620366"/>
    <w:rsid w:val="0062046F"/>
    <w:rsid w:val="00620933"/>
    <w:rsid w:val="00620A51"/>
    <w:rsid w:val="00620AA4"/>
    <w:rsid w:val="00620CE4"/>
    <w:rsid w:val="00620DC9"/>
    <w:rsid w:val="006213A7"/>
    <w:rsid w:val="0062143C"/>
    <w:rsid w:val="006217F3"/>
    <w:rsid w:val="00621C7A"/>
    <w:rsid w:val="006221C6"/>
    <w:rsid w:val="00622891"/>
    <w:rsid w:val="0062320A"/>
    <w:rsid w:val="006238BB"/>
    <w:rsid w:val="00624545"/>
    <w:rsid w:val="00624830"/>
    <w:rsid w:val="006248E0"/>
    <w:rsid w:val="00624B00"/>
    <w:rsid w:val="00624D3B"/>
    <w:rsid w:val="00624E1F"/>
    <w:rsid w:val="006252DC"/>
    <w:rsid w:val="0062588A"/>
    <w:rsid w:val="00625BA7"/>
    <w:rsid w:val="00625EBB"/>
    <w:rsid w:val="00625ED9"/>
    <w:rsid w:val="00626059"/>
    <w:rsid w:val="006270DA"/>
    <w:rsid w:val="00627269"/>
    <w:rsid w:val="00627659"/>
    <w:rsid w:val="00627D80"/>
    <w:rsid w:val="00627FA8"/>
    <w:rsid w:val="0063059B"/>
    <w:rsid w:val="006311A7"/>
    <w:rsid w:val="006316A4"/>
    <w:rsid w:val="00631A8A"/>
    <w:rsid w:val="0063210E"/>
    <w:rsid w:val="006323F5"/>
    <w:rsid w:val="006324D8"/>
    <w:rsid w:val="00632580"/>
    <w:rsid w:val="00632F00"/>
    <w:rsid w:val="00632F04"/>
    <w:rsid w:val="0063301E"/>
    <w:rsid w:val="00633813"/>
    <w:rsid w:val="006338C3"/>
    <w:rsid w:val="00633AF1"/>
    <w:rsid w:val="00634202"/>
    <w:rsid w:val="006344E5"/>
    <w:rsid w:val="0063497A"/>
    <w:rsid w:val="00634C6E"/>
    <w:rsid w:val="00635AA9"/>
    <w:rsid w:val="00635B65"/>
    <w:rsid w:val="00635F72"/>
    <w:rsid w:val="006364B2"/>
    <w:rsid w:val="006369B3"/>
    <w:rsid w:val="00636ABD"/>
    <w:rsid w:val="0063714C"/>
    <w:rsid w:val="00637A6B"/>
    <w:rsid w:val="00637CEB"/>
    <w:rsid w:val="006404A2"/>
    <w:rsid w:val="00640D79"/>
    <w:rsid w:val="006413E7"/>
    <w:rsid w:val="00641421"/>
    <w:rsid w:val="00641545"/>
    <w:rsid w:val="0064182B"/>
    <w:rsid w:val="00641A19"/>
    <w:rsid w:val="00642114"/>
    <w:rsid w:val="0064263D"/>
    <w:rsid w:val="0064307B"/>
    <w:rsid w:val="00643457"/>
    <w:rsid w:val="006438D5"/>
    <w:rsid w:val="00643971"/>
    <w:rsid w:val="00643A63"/>
    <w:rsid w:val="00644A66"/>
    <w:rsid w:val="00644AC6"/>
    <w:rsid w:val="00644D3A"/>
    <w:rsid w:val="0064591E"/>
    <w:rsid w:val="00645B24"/>
    <w:rsid w:val="00645CD9"/>
    <w:rsid w:val="00645DDE"/>
    <w:rsid w:val="00646082"/>
    <w:rsid w:val="00646187"/>
    <w:rsid w:val="006467ED"/>
    <w:rsid w:val="0064722C"/>
    <w:rsid w:val="006477F8"/>
    <w:rsid w:val="00647B34"/>
    <w:rsid w:val="00647CF0"/>
    <w:rsid w:val="00647D8B"/>
    <w:rsid w:val="00647EB7"/>
    <w:rsid w:val="00647FFE"/>
    <w:rsid w:val="00650CFF"/>
    <w:rsid w:val="00650DE7"/>
    <w:rsid w:val="006510BB"/>
    <w:rsid w:val="006513B2"/>
    <w:rsid w:val="006515AE"/>
    <w:rsid w:val="00651987"/>
    <w:rsid w:val="00651B45"/>
    <w:rsid w:val="00651D72"/>
    <w:rsid w:val="006520F6"/>
    <w:rsid w:val="006523E9"/>
    <w:rsid w:val="00652676"/>
    <w:rsid w:val="00652E25"/>
    <w:rsid w:val="006531EA"/>
    <w:rsid w:val="00653209"/>
    <w:rsid w:val="00653664"/>
    <w:rsid w:val="006538E5"/>
    <w:rsid w:val="00653E55"/>
    <w:rsid w:val="00654256"/>
    <w:rsid w:val="0065433E"/>
    <w:rsid w:val="006547DA"/>
    <w:rsid w:val="00654EC5"/>
    <w:rsid w:val="006553F7"/>
    <w:rsid w:val="0065605F"/>
    <w:rsid w:val="0065649E"/>
    <w:rsid w:val="00656E06"/>
    <w:rsid w:val="00656FFD"/>
    <w:rsid w:val="006572DC"/>
    <w:rsid w:val="00657413"/>
    <w:rsid w:val="00657650"/>
    <w:rsid w:val="00657A30"/>
    <w:rsid w:val="00657FA9"/>
    <w:rsid w:val="00660B62"/>
    <w:rsid w:val="00660BF0"/>
    <w:rsid w:val="00660C52"/>
    <w:rsid w:val="00660F40"/>
    <w:rsid w:val="0066124A"/>
    <w:rsid w:val="00661C22"/>
    <w:rsid w:val="0066224C"/>
    <w:rsid w:val="00663011"/>
    <w:rsid w:val="00663695"/>
    <w:rsid w:val="0066395B"/>
    <w:rsid w:val="0066396D"/>
    <w:rsid w:val="00663A5A"/>
    <w:rsid w:val="00663ECF"/>
    <w:rsid w:val="00663F07"/>
    <w:rsid w:val="00664055"/>
    <w:rsid w:val="00664B5A"/>
    <w:rsid w:val="00664DEB"/>
    <w:rsid w:val="00664E85"/>
    <w:rsid w:val="006655CA"/>
    <w:rsid w:val="006658C6"/>
    <w:rsid w:val="00665ADB"/>
    <w:rsid w:val="006665F1"/>
    <w:rsid w:val="006678F3"/>
    <w:rsid w:val="00667994"/>
    <w:rsid w:val="00667B47"/>
    <w:rsid w:val="00670171"/>
    <w:rsid w:val="006710F9"/>
    <w:rsid w:val="0067260F"/>
    <w:rsid w:val="00672648"/>
    <w:rsid w:val="006732C7"/>
    <w:rsid w:val="00673979"/>
    <w:rsid w:val="00673BC7"/>
    <w:rsid w:val="00673DDA"/>
    <w:rsid w:val="00674359"/>
    <w:rsid w:val="00674694"/>
    <w:rsid w:val="006746FD"/>
    <w:rsid w:val="00674826"/>
    <w:rsid w:val="00675B44"/>
    <w:rsid w:val="00675C10"/>
    <w:rsid w:val="00675C90"/>
    <w:rsid w:val="00675D8B"/>
    <w:rsid w:val="006763BD"/>
    <w:rsid w:val="006767A8"/>
    <w:rsid w:val="00676950"/>
    <w:rsid w:val="00676AFC"/>
    <w:rsid w:val="00676BA7"/>
    <w:rsid w:val="006776D6"/>
    <w:rsid w:val="00677F25"/>
    <w:rsid w:val="006802F8"/>
    <w:rsid w:val="00680380"/>
    <w:rsid w:val="00680831"/>
    <w:rsid w:val="00680ABE"/>
    <w:rsid w:val="00680ECB"/>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14"/>
    <w:rsid w:val="006832DE"/>
    <w:rsid w:val="00683B49"/>
    <w:rsid w:val="00684135"/>
    <w:rsid w:val="00684570"/>
    <w:rsid w:val="00684D74"/>
    <w:rsid w:val="006851D6"/>
    <w:rsid w:val="006863DF"/>
    <w:rsid w:val="0068765F"/>
    <w:rsid w:val="006879FC"/>
    <w:rsid w:val="00687CC8"/>
    <w:rsid w:val="00687EEB"/>
    <w:rsid w:val="00690057"/>
    <w:rsid w:val="006903F6"/>
    <w:rsid w:val="0069071B"/>
    <w:rsid w:val="00690A75"/>
    <w:rsid w:val="00691568"/>
    <w:rsid w:val="00691682"/>
    <w:rsid w:val="00691816"/>
    <w:rsid w:val="00693480"/>
    <w:rsid w:val="006934D4"/>
    <w:rsid w:val="006938D2"/>
    <w:rsid w:val="00693A93"/>
    <w:rsid w:val="0069453B"/>
    <w:rsid w:val="0069499B"/>
    <w:rsid w:val="006949D3"/>
    <w:rsid w:val="00694AB8"/>
    <w:rsid w:val="00694CAE"/>
    <w:rsid w:val="00694F08"/>
    <w:rsid w:val="00694F89"/>
    <w:rsid w:val="00695400"/>
    <w:rsid w:val="00695838"/>
    <w:rsid w:val="0069636C"/>
    <w:rsid w:val="00696370"/>
    <w:rsid w:val="00696703"/>
    <w:rsid w:val="006969CD"/>
    <w:rsid w:val="00696D73"/>
    <w:rsid w:val="00697225"/>
    <w:rsid w:val="006A087D"/>
    <w:rsid w:val="006A0B8D"/>
    <w:rsid w:val="006A117B"/>
    <w:rsid w:val="006A153D"/>
    <w:rsid w:val="006A16C1"/>
    <w:rsid w:val="006A17E4"/>
    <w:rsid w:val="006A189C"/>
    <w:rsid w:val="006A18A3"/>
    <w:rsid w:val="006A18B8"/>
    <w:rsid w:val="006A1A9C"/>
    <w:rsid w:val="006A1D4A"/>
    <w:rsid w:val="006A24A2"/>
    <w:rsid w:val="006A2B1E"/>
    <w:rsid w:val="006A2E97"/>
    <w:rsid w:val="006A2FAC"/>
    <w:rsid w:val="006A32F8"/>
    <w:rsid w:val="006A3823"/>
    <w:rsid w:val="006A452A"/>
    <w:rsid w:val="006A4887"/>
    <w:rsid w:val="006A49F1"/>
    <w:rsid w:val="006A4B3F"/>
    <w:rsid w:val="006A4D70"/>
    <w:rsid w:val="006A551E"/>
    <w:rsid w:val="006A5712"/>
    <w:rsid w:val="006A5A57"/>
    <w:rsid w:val="006A5AF6"/>
    <w:rsid w:val="006A5B9E"/>
    <w:rsid w:val="006A6101"/>
    <w:rsid w:val="006A6B66"/>
    <w:rsid w:val="006A763E"/>
    <w:rsid w:val="006A7F33"/>
    <w:rsid w:val="006B0164"/>
    <w:rsid w:val="006B0A2A"/>
    <w:rsid w:val="006B0BA6"/>
    <w:rsid w:val="006B153B"/>
    <w:rsid w:val="006B1903"/>
    <w:rsid w:val="006B1989"/>
    <w:rsid w:val="006B1AD7"/>
    <w:rsid w:val="006B2004"/>
    <w:rsid w:val="006B26B6"/>
    <w:rsid w:val="006B26C4"/>
    <w:rsid w:val="006B289F"/>
    <w:rsid w:val="006B2C66"/>
    <w:rsid w:val="006B325D"/>
    <w:rsid w:val="006B3307"/>
    <w:rsid w:val="006B3552"/>
    <w:rsid w:val="006B391C"/>
    <w:rsid w:val="006B3AFC"/>
    <w:rsid w:val="006B40F4"/>
    <w:rsid w:val="006B44F9"/>
    <w:rsid w:val="006B4607"/>
    <w:rsid w:val="006B47E6"/>
    <w:rsid w:val="006B4BD9"/>
    <w:rsid w:val="006B4FD9"/>
    <w:rsid w:val="006B54A1"/>
    <w:rsid w:val="006B5B35"/>
    <w:rsid w:val="006B6234"/>
    <w:rsid w:val="006B6D7D"/>
    <w:rsid w:val="006B7495"/>
    <w:rsid w:val="006B7ADE"/>
    <w:rsid w:val="006C04E3"/>
    <w:rsid w:val="006C0521"/>
    <w:rsid w:val="006C0924"/>
    <w:rsid w:val="006C0CCC"/>
    <w:rsid w:val="006C1380"/>
    <w:rsid w:val="006C1AAC"/>
    <w:rsid w:val="006C1F59"/>
    <w:rsid w:val="006C2416"/>
    <w:rsid w:val="006C2515"/>
    <w:rsid w:val="006C3426"/>
    <w:rsid w:val="006C3ED3"/>
    <w:rsid w:val="006C4372"/>
    <w:rsid w:val="006C4508"/>
    <w:rsid w:val="006C4B97"/>
    <w:rsid w:val="006C5039"/>
    <w:rsid w:val="006C567E"/>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E46"/>
    <w:rsid w:val="006C7EDE"/>
    <w:rsid w:val="006C7FCE"/>
    <w:rsid w:val="006D16F5"/>
    <w:rsid w:val="006D1826"/>
    <w:rsid w:val="006D1F96"/>
    <w:rsid w:val="006D211D"/>
    <w:rsid w:val="006D2492"/>
    <w:rsid w:val="006D2A89"/>
    <w:rsid w:val="006D2C28"/>
    <w:rsid w:val="006D2E8D"/>
    <w:rsid w:val="006D34C9"/>
    <w:rsid w:val="006D38BE"/>
    <w:rsid w:val="006D38E6"/>
    <w:rsid w:val="006D3F6C"/>
    <w:rsid w:val="006D42F4"/>
    <w:rsid w:val="006D5136"/>
    <w:rsid w:val="006D5BD3"/>
    <w:rsid w:val="006D5C59"/>
    <w:rsid w:val="006D6665"/>
    <w:rsid w:val="006D68B9"/>
    <w:rsid w:val="006D69DF"/>
    <w:rsid w:val="006D736A"/>
    <w:rsid w:val="006D765F"/>
    <w:rsid w:val="006D7845"/>
    <w:rsid w:val="006E051B"/>
    <w:rsid w:val="006E0634"/>
    <w:rsid w:val="006E07DA"/>
    <w:rsid w:val="006E0F9A"/>
    <w:rsid w:val="006E11C4"/>
    <w:rsid w:val="006E1484"/>
    <w:rsid w:val="006E1781"/>
    <w:rsid w:val="006E183C"/>
    <w:rsid w:val="006E195D"/>
    <w:rsid w:val="006E1A3B"/>
    <w:rsid w:val="006E1DB3"/>
    <w:rsid w:val="006E1F2D"/>
    <w:rsid w:val="006E2650"/>
    <w:rsid w:val="006E2E13"/>
    <w:rsid w:val="006E3350"/>
    <w:rsid w:val="006E33B0"/>
    <w:rsid w:val="006E36DB"/>
    <w:rsid w:val="006E3D11"/>
    <w:rsid w:val="006E405D"/>
    <w:rsid w:val="006E4368"/>
    <w:rsid w:val="006E4369"/>
    <w:rsid w:val="006E4440"/>
    <w:rsid w:val="006E4C15"/>
    <w:rsid w:val="006E5912"/>
    <w:rsid w:val="006E607D"/>
    <w:rsid w:val="006E6102"/>
    <w:rsid w:val="006E632C"/>
    <w:rsid w:val="006E6580"/>
    <w:rsid w:val="006E68DA"/>
    <w:rsid w:val="006E6A31"/>
    <w:rsid w:val="006E6FD2"/>
    <w:rsid w:val="006E7440"/>
    <w:rsid w:val="006E7F5D"/>
    <w:rsid w:val="006F0203"/>
    <w:rsid w:val="006F04AE"/>
    <w:rsid w:val="006F055A"/>
    <w:rsid w:val="006F0954"/>
    <w:rsid w:val="006F14E8"/>
    <w:rsid w:val="006F16CD"/>
    <w:rsid w:val="006F17E1"/>
    <w:rsid w:val="006F1E5F"/>
    <w:rsid w:val="006F27C6"/>
    <w:rsid w:val="006F2810"/>
    <w:rsid w:val="006F2CAE"/>
    <w:rsid w:val="006F37A1"/>
    <w:rsid w:val="006F3EC8"/>
    <w:rsid w:val="006F40A8"/>
    <w:rsid w:val="006F4820"/>
    <w:rsid w:val="006F4DA6"/>
    <w:rsid w:val="006F4E47"/>
    <w:rsid w:val="006F522F"/>
    <w:rsid w:val="006F5355"/>
    <w:rsid w:val="006F5381"/>
    <w:rsid w:val="006F58F6"/>
    <w:rsid w:val="006F5977"/>
    <w:rsid w:val="006F5DD1"/>
    <w:rsid w:val="006F62FC"/>
    <w:rsid w:val="006F77AD"/>
    <w:rsid w:val="006F79EE"/>
    <w:rsid w:val="006F7C9B"/>
    <w:rsid w:val="006F7FB9"/>
    <w:rsid w:val="007001D5"/>
    <w:rsid w:val="007006F1"/>
    <w:rsid w:val="00700A70"/>
    <w:rsid w:val="00700DD4"/>
    <w:rsid w:val="0070148B"/>
    <w:rsid w:val="00702A93"/>
    <w:rsid w:val="00702BB5"/>
    <w:rsid w:val="0070398D"/>
    <w:rsid w:val="00703CAF"/>
    <w:rsid w:val="00703E2D"/>
    <w:rsid w:val="0070454C"/>
    <w:rsid w:val="0070474A"/>
    <w:rsid w:val="00704E0A"/>
    <w:rsid w:val="0070527E"/>
    <w:rsid w:val="00705999"/>
    <w:rsid w:val="00705C19"/>
    <w:rsid w:val="00706032"/>
    <w:rsid w:val="007062CE"/>
    <w:rsid w:val="00706366"/>
    <w:rsid w:val="00706368"/>
    <w:rsid w:val="00706ACD"/>
    <w:rsid w:val="00706DCB"/>
    <w:rsid w:val="00707220"/>
    <w:rsid w:val="00711019"/>
    <w:rsid w:val="0071114E"/>
    <w:rsid w:val="0071123B"/>
    <w:rsid w:val="0071145C"/>
    <w:rsid w:val="0071176E"/>
    <w:rsid w:val="0071193A"/>
    <w:rsid w:val="00711CAF"/>
    <w:rsid w:val="00711FFC"/>
    <w:rsid w:val="007126A5"/>
    <w:rsid w:val="007127A5"/>
    <w:rsid w:val="007134A1"/>
    <w:rsid w:val="00713968"/>
    <w:rsid w:val="0071457A"/>
    <w:rsid w:val="00714706"/>
    <w:rsid w:val="0071472C"/>
    <w:rsid w:val="00714813"/>
    <w:rsid w:val="00714EC6"/>
    <w:rsid w:val="007159AB"/>
    <w:rsid w:val="007159CB"/>
    <w:rsid w:val="00715B46"/>
    <w:rsid w:val="00715DD7"/>
    <w:rsid w:val="00716F1D"/>
    <w:rsid w:val="0071715E"/>
    <w:rsid w:val="00717688"/>
    <w:rsid w:val="0071781A"/>
    <w:rsid w:val="00717B6E"/>
    <w:rsid w:val="00717C78"/>
    <w:rsid w:val="00720FDC"/>
    <w:rsid w:val="00721684"/>
    <w:rsid w:val="00721762"/>
    <w:rsid w:val="007219EE"/>
    <w:rsid w:val="00721A74"/>
    <w:rsid w:val="007222BC"/>
    <w:rsid w:val="007229B8"/>
    <w:rsid w:val="00723389"/>
    <w:rsid w:val="00723C2E"/>
    <w:rsid w:val="00723EF9"/>
    <w:rsid w:val="00724307"/>
    <w:rsid w:val="007247C9"/>
    <w:rsid w:val="00724A7D"/>
    <w:rsid w:val="007255DF"/>
    <w:rsid w:val="0072567B"/>
    <w:rsid w:val="0072570E"/>
    <w:rsid w:val="00726172"/>
    <w:rsid w:val="00726753"/>
    <w:rsid w:val="00726F87"/>
    <w:rsid w:val="00727197"/>
    <w:rsid w:val="00727390"/>
    <w:rsid w:val="0072777D"/>
    <w:rsid w:val="00727CD1"/>
    <w:rsid w:val="00727D4D"/>
    <w:rsid w:val="0073012B"/>
    <w:rsid w:val="00730301"/>
    <w:rsid w:val="00730462"/>
    <w:rsid w:val="0073051A"/>
    <w:rsid w:val="00730616"/>
    <w:rsid w:val="00730702"/>
    <w:rsid w:val="00730B7E"/>
    <w:rsid w:val="00730C38"/>
    <w:rsid w:val="00730C5B"/>
    <w:rsid w:val="007315ED"/>
    <w:rsid w:val="00731653"/>
    <w:rsid w:val="007318E5"/>
    <w:rsid w:val="00731AB5"/>
    <w:rsid w:val="0073288C"/>
    <w:rsid w:val="00732BA4"/>
    <w:rsid w:val="00732FC2"/>
    <w:rsid w:val="007337C5"/>
    <w:rsid w:val="00733A59"/>
    <w:rsid w:val="0073400F"/>
    <w:rsid w:val="00734265"/>
    <w:rsid w:val="007343D8"/>
    <w:rsid w:val="00735103"/>
    <w:rsid w:val="0073556E"/>
    <w:rsid w:val="0073558C"/>
    <w:rsid w:val="0073584C"/>
    <w:rsid w:val="00736498"/>
    <w:rsid w:val="00736587"/>
    <w:rsid w:val="007366F1"/>
    <w:rsid w:val="00736AC2"/>
    <w:rsid w:val="00736DA1"/>
    <w:rsid w:val="00737BFA"/>
    <w:rsid w:val="00737E47"/>
    <w:rsid w:val="00737ED0"/>
    <w:rsid w:val="00740258"/>
    <w:rsid w:val="0074095D"/>
    <w:rsid w:val="00740A52"/>
    <w:rsid w:val="00740AB2"/>
    <w:rsid w:val="00740D0A"/>
    <w:rsid w:val="00740D86"/>
    <w:rsid w:val="00741091"/>
    <w:rsid w:val="007416D9"/>
    <w:rsid w:val="00741D9F"/>
    <w:rsid w:val="00741FFD"/>
    <w:rsid w:val="0074242A"/>
    <w:rsid w:val="0074248D"/>
    <w:rsid w:val="00742E08"/>
    <w:rsid w:val="00742E7C"/>
    <w:rsid w:val="00742ECE"/>
    <w:rsid w:val="00742FD6"/>
    <w:rsid w:val="0074320D"/>
    <w:rsid w:val="0074337C"/>
    <w:rsid w:val="007441D6"/>
    <w:rsid w:val="00744274"/>
    <w:rsid w:val="0074461B"/>
    <w:rsid w:val="007448FB"/>
    <w:rsid w:val="0074490E"/>
    <w:rsid w:val="00744930"/>
    <w:rsid w:val="00744E0E"/>
    <w:rsid w:val="00745108"/>
    <w:rsid w:val="007454FE"/>
    <w:rsid w:val="00745C76"/>
    <w:rsid w:val="00745E7A"/>
    <w:rsid w:val="0074692B"/>
    <w:rsid w:val="00746EE0"/>
    <w:rsid w:val="00746FD4"/>
    <w:rsid w:val="00747761"/>
    <w:rsid w:val="00747CB1"/>
    <w:rsid w:val="00750679"/>
    <w:rsid w:val="0075073C"/>
    <w:rsid w:val="00750828"/>
    <w:rsid w:val="00750AEA"/>
    <w:rsid w:val="00750E67"/>
    <w:rsid w:val="00750EDC"/>
    <w:rsid w:val="00751B7F"/>
    <w:rsid w:val="00751D35"/>
    <w:rsid w:val="007523D5"/>
    <w:rsid w:val="007528AF"/>
    <w:rsid w:val="00752B49"/>
    <w:rsid w:val="00752D2C"/>
    <w:rsid w:val="00752DAB"/>
    <w:rsid w:val="007544F4"/>
    <w:rsid w:val="00755022"/>
    <w:rsid w:val="00755183"/>
    <w:rsid w:val="0075571C"/>
    <w:rsid w:val="007559B0"/>
    <w:rsid w:val="00755B2D"/>
    <w:rsid w:val="007562A9"/>
    <w:rsid w:val="007562E9"/>
    <w:rsid w:val="00756491"/>
    <w:rsid w:val="00756698"/>
    <w:rsid w:val="00756ABC"/>
    <w:rsid w:val="007577F5"/>
    <w:rsid w:val="00757A5E"/>
    <w:rsid w:val="0076011B"/>
    <w:rsid w:val="00760D2F"/>
    <w:rsid w:val="00761999"/>
    <w:rsid w:val="00761A7B"/>
    <w:rsid w:val="00761C0D"/>
    <w:rsid w:val="00761CCC"/>
    <w:rsid w:val="00761D13"/>
    <w:rsid w:val="00762220"/>
    <w:rsid w:val="00762490"/>
    <w:rsid w:val="00762768"/>
    <w:rsid w:val="007629A8"/>
    <w:rsid w:val="00762B2D"/>
    <w:rsid w:val="00763010"/>
    <w:rsid w:val="00763814"/>
    <w:rsid w:val="0076476E"/>
    <w:rsid w:val="007648D0"/>
    <w:rsid w:val="007652ED"/>
    <w:rsid w:val="0076533F"/>
    <w:rsid w:val="00765470"/>
    <w:rsid w:val="00765689"/>
    <w:rsid w:val="00765A1A"/>
    <w:rsid w:val="00765CF4"/>
    <w:rsid w:val="00765D51"/>
    <w:rsid w:val="00765F6E"/>
    <w:rsid w:val="007662A6"/>
    <w:rsid w:val="00766B81"/>
    <w:rsid w:val="00766BC4"/>
    <w:rsid w:val="00767231"/>
    <w:rsid w:val="00767925"/>
    <w:rsid w:val="00767BD1"/>
    <w:rsid w:val="007707C5"/>
    <w:rsid w:val="00770A92"/>
    <w:rsid w:val="00770DC0"/>
    <w:rsid w:val="00770F0B"/>
    <w:rsid w:val="00770F3C"/>
    <w:rsid w:val="00771331"/>
    <w:rsid w:val="00771917"/>
    <w:rsid w:val="007722F4"/>
    <w:rsid w:val="0077299C"/>
    <w:rsid w:val="00772AC2"/>
    <w:rsid w:val="00773597"/>
    <w:rsid w:val="00773817"/>
    <w:rsid w:val="00773856"/>
    <w:rsid w:val="00773FFD"/>
    <w:rsid w:val="0077434A"/>
    <w:rsid w:val="00774802"/>
    <w:rsid w:val="00774869"/>
    <w:rsid w:val="00775A4F"/>
    <w:rsid w:val="00775B45"/>
    <w:rsid w:val="00775E12"/>
    <w:rsid w:val="00776037"/>
    <w:rsid w:val="007762A6"/>
    <w:rsid w:val="007767A1"/>
    <w:rsid w:val="007768D1"/>
    <w:rsid w:val="00777040"/>
    <w:rsid w:val="007772AA"/>
    <w:rsid w:val="00777C6E"/>
    <w:rsid w:val="00777EA9"/>
    <w:rsid w:val="0078021A"/>
    <w:rsid w:val="0078049E"/>
    <w:rsid w:val="00780BE8"/>
    <w:rsid w:val="00780C72"/>
    <w:rsid w:val="00781015"/>
    <w:rsid w:val="00781D96"/>
    <w:rsid w:val="00781DC3"/>
    <w:rsid w:val="0078251C"/>
    <w:rsid w:val="00782D13"/>
    <w:rsid w:val="00782F6C"/>
    <w:rsid w:val="00783065"/>
    <w:rsid w:val="00783309"/>
    <w:rsid w:val="00783488"/>
    <w:rsid w:val="007834A4"/>
    <w:rsid w:val="007838A3"/>
    <w:rsid w:val="00783A58"/>
    <w:rsid w:val="00783E4E"/>
    <w:rsid w:val="0078400A"/>
    <w:rsid w:val="0078427A"/>
    <w:rsid w:val="0078435F"/>
    <w:rsid w:val="00784CEE"/>
    <w:rsid w:val="00784D65"/>
    <w:rsid w:val="00784EB4"/>
    <w:rsid w:val="007850B1"/>
    <w:rsid w:val="007854B9"/>
    <w:rsid w:val="00785567"/>
    <w:rsid w:val="007857A3"/>
    <w:rsid w:val="00785909"/>
    <w:rsid w:val="00785CCB"/>
    <w:rsid w:val="00785F06"/>
    <w:rsid w:val="007861E1"/>
    <w:rsid w:val="007862DD"/>
    <w:rsid w:val="007868E9"/>
    <w:rsid w:val="00786D6E"/>
    <w:rsid w:val="007870C8"/>
    <w:rsid w:val="007871AB"/>
    <w:rsid w:val="00787431"/>
    <w:rsid w:val="00787512"/>
    <w:rsid w:val="007875D0"/>
    <w:rsid w:val="00787B6C"/>
    <w:rsid w:val="00790169"/>
    <w:rsid w:val="0079020B"/>
    <w:rsid w:val="007908A3"/>
    <w:rsid w:val="00790B7A"/>
    <w:rsid w:val="00790EA6"/>
    <w:rsid w:val="00790F8F"/>
    <w:rsid w:val="00791076"/>
    <w:rsid w:val="007911BA"/>
    <w:rsid w:val="007914E0"/>
    <w:rsid w:val="00791549"/>
    <w:rsid w:val="00791729"/>
    <w:rsid w:val="007917FB"/>
    <w:rsid w:val="007921EA"/>
    <w:rsid w:val="007922C7"/>
    <w:rsid w:val="007922EE"/>
    <w:rsid w:val="0079266A"/>
    <w:rsid w:val="007928B4"/>
    <w:rsid w:val="00792B5B"/>
    <w:rsid w:val="00792CC3"/>
    <w:rsid w:val="00792E5B"/>
    <w:rsid w:val="00793575"/>
    <w:rsid w:val="007939DB"/>
    <w:rsid w:val="00793A09"/>
    <w:rsid w:val="007940F3"/>
    <w:rsid w:val="007940F7"/>
    <w:rsid w:val="00794AED"/>
    <w:rsid w:val="00794D4E"/>
    <w:rsid w:val="0079526E"/>
    <w:rsid w:val="00795348"/>
    <w:rsid w:val="00795C54"/>
    <w:rsid w:val="00795CC2"/>
    <w:rsid w:val="007962B6"/>
    <w:rsid w:val="007968FD"/>
    <w:rsid w:val="00796E33"/>
    <w:rsid w:val="0079706D"/>
    <w:rsid w:val="0079739C"/>
    <w:rsid w:val="007975D2"/>
    <w:rsid w:val="00797C17"/>
    <w:rsid w:val="00797C49"/>
    <w:rsid w:val="00797DE5"/>
    <w:rsid w:val="00797FD7"/>
    <w:rsid w:val="007A0224"/>
    <w:rsid w:val="007A0264"/>
    <w:rsid w:val="007A030C"/>
    <w:rsid w:val="007A05B9"/>
    <w:rsid w:val="007A16C4"/>
    <w:rsid w:val="007A1B12"/>
    <w:rsid w:val="007A1E1B"/>
    <w:rsid w:val="007A1E98"/>
    <w:rsid w:val="007A1EF9"/>
    <w:rsid w:val="007A1F63"/>
    <w:rsid w:val="007A20F9"/>
    <w:rsid w:val="007A2358"/>
    <w:rsid w:val="007A23BF"/>
    <w:rsid w:val="007A2462"/>
    <w:rsid w:val="007A25B2"/>
    <w:rsid w:val="007A274B"/>
    <w:rsid w:val="007A2D1A"/>
    <w:rsid w:val="007A330C"/>
    <w:rsid w:val="007A332C"/>
    <w:rsid w:val="007A33E0"/>
    <w:rsid w:val="007A3A2E"/>
    <w:rsid w:val="007A3A6A"/>
    <w:rsid w:val="007A3CEA"/>
    <w:rsid w:val="007A3D46"/>
    <w:rsid w:val="007A3F48"/>
    <w:rsid w:val="007A45A5"/>
    <w:rsid w:val="007A50E1"/>
    <w:rsid w:val="007A5126"/>
    <w:rsid w:val="007A52C2"/>
    <w:rsid w:val="007A53D8"/>
    <w:rsid w:val="007A5E1A"/>
    <w:rsid w:val="007A5E68"/>
    <w:rsid w:val="007A62C9"/>
    <w:rsid w:val="007A65B3"/>
    <w:rsid w:val="007A6BA3"/>
    <w:rsid w:val="007A6C8D"/>
    <w:rsid w:val="007A6CB2"/>
    <w:rsid w:val="007A7C17"/>
    <w:rsid w:val="007A7EDE"/>
    <w:rsid w:val="007A7FCD"/>
    <w:rsid w:val="007B013C"/>
    <w:rsid w:val="007B0A94"/>
    <w:rsid w:val="007B0B28"/>
    <w:rsid w:val="007B0D07"/>
    <w:rsid w:val="007B0FB0"/>
    <w:rsid w:val="007B0FEB"/>
    <w:rsid w:val="007B141B"/>
    <w:rsid w:val="007B196B"/>
    <w:rsid w:val="007B1CB3"/>
    <w:rsid w:val="007B2008"/>
    <w:rsid w:val="007B2316"/>
    <w:rsid w:val="007B25B2"/>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7145"/>
    <w:rsid w:val="007B73F9"/>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F1"/>
    <w:rsid w:val="007C2AB4"/>
    <w:rsid w:val="007C3395"/>
    <w:rsid w:val="007C3B64"/>
    <w:rsid w:val="007C40F2"/>
    <w:rsid w:val="007C45A5"/>
    <w:rsid w:val="007C49BB"/>
    <w:rsid w:val="007C4C0C"/>
    <w:rsid w:val="007C4C39"/>
    <w:rsid w:val="007C5623"/>
    <w:rsid w:val="007C65FE"/>
    <w:rsid w:val="007C6828"/>
    <w:rsid w:val="007C6CD4"/>
    <w:rsid w:val="007C7828"/>
    <w:rsid w:val="007D039D"/>
    <w:rsid w:val="007D0B01"/>
    <w:rsid w:val="007D0B11"/>
    <w:rsid w:val="007D120D"/>
    <w:rsid w:val="007D1531"/>
    <w:rsid w:val="007D153F"/>
    <w:rsid w:val="007D1CAC"/>
    <w:rsid w:val="007D1D04"/>
    <w:rsid w:val="007D2083"/>
    <w:rsid w:val="007D2271"/>
    <w:rsid w:val="007D2366"/>
    <w:rsid w:val="007D2BE5"/>
    <w:rsid w:val="007D2C3D"/>
    <w:rsid w:val="007D2F34"/>
    <w:rsid w:val="007D3637"/>
    <w:rsid w:val="007D382F"/>
    <w:rsid w:val="007D3847"/>
    <w:rsid w:val="007D3BA8"/>
    <w:rsid w:val="007D4EDB"/>
    <w:rsid w:val="007D5364"/>
    <w:rsid w:val="007D54DA"/>
    <w:rsid w:val="007D560E"/>
    <w:rsid w:val="007D56CB"/>
    <w:rsid w:val="007D5C60"/>
    <w:rsid w:val="007D6C82"/>
    <w:rsid w:val="007D6D4D"/>
    <w:rsid w:val="007E00AA"/>
    <w:rsid w:val="007E06D5"/>
    <w:rsid w:val="007E0B27"/>
    <w:rsid w:val="007E0B49"/>
    <w:rsid w:val="007E12D5"/>
    <w:rsid w:val="007E1719"/>
    <w:rsid w:val="007E184C"/>
    <w:rsid w:val="007E1A71"/>
    <w:rsid w:val="007E1E5F"/>
    <w:rsid w:val="007E2258"/>
    <w:rsid w:val="007E2762"/>
    <w:rsid w:val="007E2FA5"/>
    <w:rsid w:val="007E319A"/>
    <w:rsid w:val="007E3252"/>
    <w:rsid w:val="007E3929"/>
    <w:rsid w:val="007E40B3"/>
    <w:rsid w:val="007E4317"/>
    <w:rsid w:val="007E46A8"/>
    <w:rsid w:val="007E475A"/>
    <w:rsid w:val="007E5754"/>
    <w:rsid w:val="007E5C7E"/>
    <w:rsid w:val="007E604B"/>
    <w:rsid w:val="007E62B0"/>
    <w:rsid w:val="007E6394"/>
    <w:rsid w:val="007E6851"/>
    <w:rsid w:val="007E68B4"/>
    <w:rsid w:val="007E7249"/>
    <w:rsid w:val="007E7366"/>
    <w:rsid w:val="007E73F6"/>
    <w:rsid w:val="007E7418"/>
    <w:rsid w:val="007E7783"/>
    <w:rsid w:val="007E79BC"/>
    <w:rsid w:val="007F0011"/>
    <w:rsid w:val="007F0702"/>
    <w:rsid w:val="007F0D0D"/>
    <w:rsid w:val="007F1365"/>
    <w:rsid w:val="007F168A"/>
    <w:rsid w:val="007F176C"/>
    <w:rsid w:val="007F1FFF"/>
    <w:rsid w:val="007F23EA"/>
    <w:rsid w:val="007F25A5"/>
    <w:rsid w:val="007F2A4A"/>
    <w:rsid w:val="007F2A7C"/>
    <w:rsid w:val="007F3124"/>
    <w:rsid w:val="007F365E"/>
    <w:rsid w:val="007F4119"/>
    <w:rsid w:val="007F4473"/>
    <w:rsid w:val="007F46A1"/>
    <w:rsid w:val="007F48D6"/>
    <w:rsid w:val="007F4ADC"/>
    <w:rsid w:val="007F4B78"/>
    <w:rsid w:val="007F585B"/>
    <w:rsid w:val="007F600F"/>
    <w:rsid w:val="007F6217"/>
    <w:rsid w:val="007F62C3"/>
    <w:rsid w:val="007F65FB"/>
    <w:rsid w:val="007F673E"/>
    <w:rsid w:val="007F6848"/>
    <w:rsid w:val="007F6C11"/>
    <w:rsid w:val="007F6D4B"/>
    <w:rsid w:val="007F6FA6"/>
    <w:rsid w:val="007F723B"/>
    <w:rsid w:val="007F7ACF"/>
    <w:rsid w:val="007F7B1F"/>
    <w:rsid w:val="00800305"/>
    <w:rsid w:val="008006F9"/>
    <w:rsid w:val="00800A70"/>
    <w:rsid w:val="00801036"/>
    <w:rsid w:val="00801243"/>
    <w:rsid w:val="0080151B"/>
    <w:rsid w:val="00801B70"/>
    <w:rsid w:val="00801E41"/>
    <w:rsid w:val="00802DAC"/>
    <w:rsid w:val="00803680"/>
    <w:rsid w:val="00803683"/>
    <w:rsid w:val="00803FFA"/>
    <w:rsid w:val="0080449C"/>
    <w:rsid w:val="0080485B"/>
    <w:rsid w:val="0080489D"/>
    <w:rsid w:val="00804D16"/>
    <w:rsid w:val="00805133"/>
    <w:rsid w:val="00805203"/>
    <w:rsid w:val="0080540F"/>
    <w:rsid w:val="00805448"/>
    <w:rsid w:val="00805481"/>
    <w:rsid w:val="00805812"/>
    <w:rsid w:val="00805893"/>
    <w:rsid w:val="00805D43"/>
    <w:rsid w:val="0080602D"/>
    <w:rsid w:val="0080697B"/>
    <w:rsid w:val="008069D9"/>
    <w:rsid w:val="00806A6C"/>
    <w:rsid w:val="00806C74"/>
    <w:rsid w:val="00807029"/>
    <w:rsid w:val="008073FF"/>
    <w:rsid w:val="00807646"/>
    <w:rsid w:val="00810424"/>
    <w:rsid w:val="00810624"/>
    <w:rsid w:val="00810E49"/>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BFC"/>
    <w:rsid w:val="008145BA"/>
    <w:rsid w:val="00814D65"/>
    <w:rsid w:val="00814E8B"/>
    <w:rsid w:val="008154D6"/>
    <w:rsid w:val="00815E22"/>
    <w:rsid w:val="0081633F"/>
    <w:rsid w:val="008168B7"/>
    <w:rsid w:val="008168C7"/>
    <w:rsid w:val="00816EE6"/>
    <w:rsid w:val="008170EC"/>
    <w:rsid w:val="0081729C"/>
    <w:rsid w:val="00817476"/>
    <w:rsid w:val="00817C73"/>
    <w:rsid w:val="00817E6C"/>
    <w:rsid w:val="00820D8C"/>
    <w:rsid w:val="00821C07"/>
    <w:rsid w:val="00821F60"/>
    <w:rsid w:val="00822994"/>
    <w:rsid w:val="00822B54"/>
    <w:rsid w:val="008236E5"/>
    <w:rsid w:val="00824264"/>
    <w:rsid w:val="008248B0"/>
    <w:rsid w:val="00824A74"/>
    <w:rsid w:val="00825475"/>
    <w:rsid w:val="00825A26"/>
    <w:rsid w:val="00825E83"/>
    <w:rsid w:val="00826C7B"/>
    <w:rsid w:val="00826FBD"/>
    <w:rsid w:val="0082732F"/>
    <w:rsid w:val="00827899"/>
    <w:rsid w:val="008278D4"/>
    <w:rsid w:val="00827A08"/>
    <w:rsid w:val="00827BA1"/>
    <w:rsid w:val="00827D03"/>
    <w:rsid w:val="00827D28"/>
    <w:rsid w:val="008301C1"/>
    <w:rsid w:val="008301DB"/>
    <w:rsid w:val="0083024A"/>
    <w:rsid w:val="008308C4"/>
    <w:rsid w:val="008321AA"/>
    <w:rsid w:val="0083229F"/>
    <w:rsid w:val="008325B6"/>
    <w:rsid w:val="00833220"/>
    <w:rsid w:val="00833361"/>
    <w:rsid w:val="00833809"/>
    <w:rsid w:val="00833BE6"/>
    <w:rsid w:val="008341D9"/>
    <w:rsid w:val="008348D0"/>
    <w:rsid w:val="00834BF3"/>
    <w:rsid w:val="00835228"/>
    <w:rsid w:val="00835586"/>
    <w:rsid w:val="008355A8"/>
    <w:rsid w:val="0083566A"/>
    <w:rsid w:val="00835921"/>
    <w:rsid w:val="00835BF2"/>
    <w:rsid w:val="00835C93"/>
    <w:rsid w:val="00835DC2"/>
    <w:rsid w:val="008361FD"/>
    <w:rsid w:val="00836578"/>
    <w:rsid w:val="00836CC1"/>
    <w:rsid w:val="00836CD7"/>
    <w:rsid w:val="00837A87"/>
    <w:rsid w:val="00840160"/>
    <w:rsid w:val="008405BB"/>
    <w:rsid w:val="0084083E"/>
    <w:rsid w:val="00840A0D"/>
    <w:rsid w:val="00840AAD"/>
    <w:rsid w:val="00840E3E"/>
    <w:rsid w:val="00841482"/>
    <w:rsid w:val="008417EC"/>
    <w:rsid w:val="00841922"/>
    <w:rsid w:val="00841C3D"/>
    <w:rsid w:val="00841CBB"/>
    <w:rsid w:val="008420A7"/>
    <w:rsid w:val="00843058"/>
    <w:rsid w:val="0084329E"/>
    <w:rsid w:val="008435B1"/>
    <w:rsid w:val="008435EC"/>
    <w:rsid w:val="008438A7"/>
    <w:rsid w:val="00844258"/>
    <w:rsid w:val="0084426A"/>
    <w:rsid w:val="00844897"/>
    <w:rsid w:val="00844AAA"/>
    <w:rsid w:val="00844FAA"/>
    <w:rsid w:val="0084523B"/>
    <w:rsid w:val="0084555D"/>
    <w:rsid w:val="00845CB5"/>
    <w:rsid w:val="008462BA"/>
    <w:rsid w:val="0084646F"/>
    <w:rsid w:val="00847056"/>
    <w:rsid w:val="0084720E"/>
    <w:rsid w:val="00847D60"/>
    <w:rsid w:val="00850264"/>
    <w:rsid w:val="00850648"/>
    <w:rsid w:val="008506F9"/>
    <w:rsid w:val="00850C11"/>
    <w:rsid w:val="00850FF1"/>
    <w:rsid w:val="008512EE"/>
    <w:rsid w:val="008517EF"/>
    <w:rsid w:val="008518B0"/>
    <w:rsid w:val="008519C5"/>
    <w:rsid w:val="00851D0D"/>
    <w:rsid w:val="00851E28"/>
    <w:rsid w:val="00852782"/>
    <w:rsid w:val="00853002"/>
    <w:rsid w:val="00853716"/>
    <w:rsid w:val="00853961"/>
    <w:rsid w:val="008539F4"/>
    <w:rsid w:val="00853C94"/>
    <w:rsid w:val="00853CCA"/>
    <w:rsid w:val="00853D66"/>
    <w:rsid w:val="0085432E"/>
    <w:rsid w:val="008543E8"/>
    <w:rsid w:val="00854DBC"/>
    <w:rsid w:val="00855254"/>
    <w:rsid w:val="008556A8"/>
    <w:rsid w:val="00855C1B"/>
    <w:rsid w:val="00855F32"/>
    <w:rsid w:val="00856441"/>
    <w:rsid w:val="00856570"/>
    <w:rsid w:val="00856CB6"/>
    <w:rsid w:val="00856EB8"/>
    <w:rsid w:val="00856F57"/>
    <w:rsid w:val="00857758"/>
    <w:rsid w:val="00857CB7"/>
    <w:rsid w:val="00860496"/>
    <w:rsid w:val="0086055D"/>
    <w:rsid w:val="008609D2"/>
    <w:rsid w:val="00860D5A"/>
    <w:rsid w:val="00860FF7"/>
    <w:rsid w:val="008620D8"/>
    <w:rsid w:val="00863552"/>
    <w:rsid w:val="008635C4"/>
    <w:rsid w:val="008638CF"/>
    <w:rsid w:val="00863C73"/>
    <w:rsid w:val="00863D08"/>
    <w:rsid w:val="00863DF4"/>
    <w:rsid w:val="008641C7"/>
    <w:rsid w:val="00864467"/>
    <w:rsid w:val="00864789"/>
    <w:rsid w:val="00864AE3"/>
    <w:rsid w:val="0086611F"/>
    <w:rsid w:val="0086649B"/>
    <w:rsid w:val="00866680"/>
    <w:rsid w:val="00867C00"/>
    <w:rsid w:val="00867F1A"/>
    <w:rsid w:val="008702C8"/>
    <w:rsid w:val="0087045C"/>
    <w:rsid w:val="008704AE"/>
    <w:rsid w:val="00870516"/>
    <w:rsid w:val="008705C5"/>
    <w:rsid w:val="00870ED8"/>
    <w:rsid w:val="00871F2E"/>
    <w:rsid w:val="00872095"/>
    <w:rsid w:val="008720D3"/>
    <w:rsid w:val="00872C1B"/>
    <w:rsid w:val="00873151"/>
    <w:rsid w:val="008733E6"/>
    <w:rsid w:val="008741C3"/>
    <w:rsid w:val="0087471D"/>
    <w:rsid w:val="00874796"/>
    <w:rsid w:val="008747D7"/>
    <w:rsid w:val="008747EC"/>
    <w:rsid w:val="00875F93"/>
    <w:rsid w:val="008768A4"/>
    <w:rsid w:val="00876917"/>
    <w:rsid w:val="00876C7F"/>
    <w:rsid w:val="00876D61"/>
    <w:rsid w:val="00876F7E"/>
    <w:rsid w:val="0087708A"/>
    <w:rsid w:val="00877443"/>
    <w:rsid w:val="008779FC"/>
    <w:rsid w:val="00877EFB"/>
    <w:rsid w:val="0088008C"/>
    <w:rsid w:val="00880B1C"/>
    <w:rsid w:val="00880EA2"/>
    <w:rsid w:val="00882012"/>
    <w:rsid w:val="00882136"/>
    <w:rsid w:val="008828BD"/>
    <w:rsid w:val="00882D51"/>
    <w:rsid w:val="00882DA6"/>
    <w:rsid w:val="00883990"/>
    <w:rsid w:val="00883CE1"/>
    <w:rsid w:val="0088424B"/>
    <w:rsid w:val="0088444B"/>
    <w:rsid w:val="008848C7"/>
    <w:rsid w:val="00884A23"/>
    <w:rsid w:val="00884C5B"/>
    <w:rsid w:val="008856FC"/>
    <w:rsid w:val="00885781"/>
    <w:rsid w:val="00885A4A"/>
    <w:rsid w:val="00885AE0"/>
    <w:rsid w:val="00885B39"/>
    <w:rsid w:val="00885D27"/>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6ED"/>
    <w:rsid w:val="008910E0"/>
    <w:rsid w:val="0089123E"/>
    <w:rsid w:val="008917EA"/>
    <w:rsid w:val="00891D37"/>
    <w:rsid w:val="0089281D"/>
    <w:rsid w:val="00892A84"/>
    <w:rsid w:val="00892C9A"/>
    <w:rsid w:val="00893755"/>
    <w:rsid w:val="00893914"/>
    <w:rsid w:val="0089424A"/>
    <w:rsid w:val="008943CD"/>
    <w:rsid w:val="00894759"/>
    <w:rsid w:val="00894B32"/>
    <w:rsid w:val="00894BFE"/>
    <w:rsid w:val="00894E5B"/>
    <w:rsid w:val="008951E1"/>
    <w:rsid w:val="008954B2"/>
    <w:rsid w:val="00895977"/>
    <w:rsid w:val="00895B24"/>
    <w:rsid w:val="00895B30"/>
    <w:rsid w:val="00895F3B"/>
    <w:rsid w:val="0089648F"/>
    <w:rsid w:val="0089671B"/>
    <w:rsid w:val="00896C68"/>
    <w:rsid w:val="008A0308"/>
    <w:rsid w:val="008A048D"/>
    <w:rsid w:val="008A0B0A"/>
    <w:rsid w:val="008A0EAA"/>
    <w:rsid w:val="008A0EDF"/>
    <w:rsid w:val="008A0FC6"/>
    <w:rsid w:val="008A1200"/>
    <w:rsid w:val="008A229A"/>
    <w:rsid w:val="008A23F4"/>
    <w:rsid w:val="008A24D8"/>
    <w:rsid w:val="008A2556"/>
    <w:rsid w:val="008A25F0"/>
    <w:rsid w:val="008A2C14"/>
    <w:rsid w:val="008A2F0A"/>
    <w:rsid w:val="008A2F1C"/>
    <w:rsid w:val="008A31B0"/>
    <w:rsid w:val="008A328B"/>
    <w:rsid w:val="008A3C56"/>
    <w:rsid w:val="008A4461"/>
    <w:rsid w:val="008A4AD4"/>
    <w:rsid w:val="008A4D34"/>
    <w:rsid w:val="008A4DFC"/>
    <w:rsid w:val="008A5271"/>
    <w:rsid w:val="008A528A"/>
    <w:rsid w:val="008A5647"/>
    <w:rsid w:val="008A5A9E"/>
    <w:rsid w:val="008A5EA8"/>
    <w:rsid w:val="008A68B0"/>
    <w:rsid w:val="008A6964"/>
    <w:rsid w:val="008A6AA0"/>
    <w:rsid w:val="008A6C60"/>
    <w:rsid w:val="008A6EC1"/>
    <w:rsid w:val="008A7852"/>
    <w:rsid w:val="008A7A7F"/>
    <w:rsid w:val="008A7D2A"/>
    <w:rsid w:val="008B0331"/>
    <w:rsid w:val="008B03BA"/>
    <w:rsid w:val="008B05A7"/>
    <w:rsid w:val="008B0B7D"/>
    <w:rsid w:val="008B0D97"/>
    <w:rsid w:val="008B0E4F"/>
    <w:rsid w:val="008B0F99"/>
    <w:rsid w:val="008B1989"/>
    <w:rsid w:val="008B277D"/>
    <w:rsid w:val="008B2827"/>
    <w:rsid w:val="008B2B9E"/>
    <w:rsid w:val="008B2DC1"/>
    <w:rsid w:val="008B2EC5"/>
    <w:rsid w:val="008B33A5"/>
    <w:rsid w:val="008B35EC"/>
    <w:rsid w:val="008B3602"/>
    <w:rsid w:val="008B3807"/>
    <w:rsid w:val="008B3C30"/>
    <w:rsid w:val="008B4033"/>
    <w:rsid w:val="008B4051"/>
    <w:rsid w:val="008B42D3"/>
    <w:rsid w:val="008B4888"/>
    <w:rsid w:val="008B48B5"/>
    <w:rsid w:val="008B48EF"/>
    <w:rsid w:val="008B525F"/>
    <w:rsid w:val="008B5FF9"/>
    <w:rsid w:val="008B6206"/>
    <w:rsid w:val="008B65A3"/>
    <w:rsid w:val="008B6838"/>
    <w:rsid w:val="008B692B"/>
    <w:rsid w:val="008B6A19"/>
    <w:rsid w:val="008B6D1E"/>
    <w:rsid w:val="008B743E"/>
    <w:rsid w:val="008B75B2"/>
    <w:rsid w:val="008B7E4C"/>
    <w:rsid w:val="008B7FC2"/>
    <w:rsid w:val="008C0045"/>
    <w:rsid w:val="008C05B1"/>
    <w:rsid w:val="008C08B2"/>
    <w:rsid w:val="008C0BE7"/>
    <w:rsid w:val="008C0C6B"/>
    <w:rsid w:val="008C10E6"/>
    <w:rsid w:val="008C1B95"/>
    <w:rsid w:val="008C2107"/>
    <w:rsid w:val="008C254A"/>
    <w:rsid w:val="008C26B1"/>
    <w:rsid w:val="008C2B22"/>
    <w:rsid w:val="008C3414"/>
    <w:rsid w:val="008C3726"/>
    <w:rsid w:val="008C3C31"/>
    <w:rsid w:val="008C4479"/>
    <w:rsid w:val="008C466B"/>
    <w:rsid w:val="008C4ABA"/>
    <w:rsid w:val="008C4D1C"/>
    <w:rsid w:val="008C4F9A"/>
    <w:rsid w:val="008C567A"/>
    <w:rsid w:val="008C5A2F"/>
    <w:rsid w:val="008C5F24"/>
    <w:rsid w:val="008C6693"/>
    <w:rsid w:val="008C699A"/>
    <w:rsid w:val="008C6B82"/>
    <w:rsid w:val="008C6F2F"/>
    <w:rsid w:val="008C6F5B"/>
    <w:rsid w:val="008C70F4"/>
    <w:rsid w:val="008C7909"/>
    <w:rsid w:val="008C7968"/>
    <w:rsid w:val="008C7AB1"/>
    <w:rsid w:val="008D0A63"/>
    <w:rsid w:val="008D0D47"/>
    <w:rsid w:val="008D0EFE"/>
    <w:rsid w:val="008D11B7"/>
    <w:rsid w:val="008D142B"/>
    <w:rsid w:val="008D18E6"/>
    <w:rsid w:val="008D1A5C"/>
    <w:rsid w:val="008D1D9A"/>
    <w:rsid w:val="008D1E1D"/>
    <w:rsid w:val="008D2212"/>
    <w:rsid w:val="008D22E9"/>
    <w:rsid w:val="008D25A6"/>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8C8"/>
    <w:rsid w:val="008D5EE5"/>
    <w:rsid w:val="008D60C7"/>
    <w:rsid w:val="008D6267"/>
    <w:rsid w:val="008D6471"/>
    <w:rsid w:val="008D777A"/>
    <w:rsid w:val="008D7B69"/>
    <w:rsid w:val="008D7ED7"/>
    <w:rsid w:val="008E063F"/>
    <w:rsid w:val="008E08FB"/>
    <w:rsid w:val="008E098E"/>
    <w:rsid w:val="008E0995"/>
    <w:rsid w:val="008E0BAF"/>
    <w:rsid w:val="008E0CFD"/>
    <w:rsid w:val="008E1105"/>
    <w:rsid w:val="008E1B41"/>
    <w:rsid w:val="008E1BA8"/>
    <w:rsid w:val="008E1BD8"/>
    <w:rsid w:val="008E3204"/>
    <w:rsid w:val="008E34CE"/>
    <w:rsid w:val="008E3518"/>
    <w:rsid w:val="008E3BC5"/>
    <w:rsid w:val="008E4153"/>
    <w:rsid w:val="008E5331"/>
    <w:rsid w:val="008E55E9"/>
    <w:rsid w:val="008E56F2"/>
    <w:rsid w:val="008E57E9"/>
    <w:rsid w:val="008E595B"/>
    <w:rsid w:val="008E619B"/>
    <w:rsid w:val="008E6253"/>
    <w:rsid w:val="008E66E5"/>
    <w:rsid w:val="008E6ED1"/>
    <w:rsid w:val="008E711E"/>
    <w:rsid w:val="008E7D7B"/>
    <w:rsid w:val="008F09A8"/>
    <w:rsid w:val="008F0E1A"/>
    <w:rsid w:val="008F0FD4"/>
    <w:rsid w:val="008F12D8"/>
    <w:rsid w:val="008F12E3"/>
    <w:rsid w:val="008F164B"/>
    <w:rsid w:val="008F19AB"/>
    <w:rsid w:val="008F1A6E"/>
    <w:rsid w:val="008F1D9F"/>
    <w:rsid w:val="008F2333"/>
    <w:rsid w:val="008F234F"/>
    <w:rsid w:val="008F2644"/>
    <w:rsid w:val="008F2813"/>
    <w:rsid w:val="008F292E"/>
    <w:rsid w:val="008F2935"/>
    <w:rsid w:val="008F2E5B"/>
    <w:rsid w:val="008F2EA9"/>
    <w:rsid w:val="008F310F"/>
    <w:rsid w:val="008F3904"/>
    <w:rsid w:val="008F3AB8"/>
    <w:rsid w:val="008F478A"/>
    <w:rsid w:val="008F47A3"/>
    <w:rsid w:val="008F4D08"/>
    <w:rsid w:val="008F504C"/>
    <w:rsid w:val="008F54DE"/>
    <w:rsid w:val="008F5638"/>
    <w:rsid w:val="008F56CB"/>
    <w:rsid w:val="008F5E45"/>
    <w:rsid w:val="008F5E92"/>
    <w:rsid w:val="008F60AA"/>
    <w:rsid w:val="008F60E4"/>
    <w:rsid w:val="008F635E"/>
    <w:rsid w:val="008F6A1B"/>
    <w:rsid w:val="008F6A39"/>
    <w:rsid w:val="008F6EB6"/>
    <w:rsid w:val="008F7D30"/>
    <w:rsid w:val="009002EC"/>
    <w:rsid w:val="009006DC"/>
    <w:rsid w:val="009008AE"/>
    <w:rsid w:val="00900913"/>
    <w:rsid w:val="00900A8E"/>
    <w:rsid w:val="00900C39"/>
    <w:rsid w:val="0090155D"/>
    <w:rsid w:val="0090169C"/>
    <w:rsid w:val="009017EA"/>
    <w:rsid w:val="00901945"/>
    <w:rsid w:val="00901A1D"/>
    <w:rsid w:val="00901A4D"/>
    <w:rsid w:val="00901D16"/>
    <w:rsid w:val="0090258A"/>
    <w:rsid w:val="009025AF"/>
    <w:rsid w:val="00902696"/>
    <w:rsid w:val="009034F0"/>
    <w:rsid w:val="00903537"/>
    <w:rsid w:val="00903784"/>
    <w:rsid w:val="00903827"/>
    <w:rsid w:val="00903974"/>
    <w:rsid w:val="00903A0B"/>
    <w:rsid w:val="00904101"/>
    <w:rsid w:val="00904910"/>
    <w:rsid w:val="00904BBC"/>
    <w:rsid w:val="00904CF0"/>
    <w:rsid w:val="00904DCD"/>
    <w:rsid w:val="00905C28"/>
    <w:rsid w:val="009060C9"/>
    <w:rsid w:val="0090634D"/>
    <w:rsid w:val="00906B25"/>
    <w:rsid w:val="00906FBE"/>
    <w:rsid w:val="0090701A"/>
    <w:rsid w:val="009070F3"/>
    <w:rsid w:val="0090782C"/>
    <w:rsid w:val="00907985"/>
    <w:rsid w:val="00910107"/>
    <w:rsid w:val="0091034A"/>
    <w:rsid w:val="0091089B"/>
    <w:rsid w:val="009109C6"/>
    <w:rsid w:val="00911192"/>
    <w:rsid w:val="0091143C"/>
    <w:rsid w:val="009115C4"/>
    <w:rsid w:val="009115DD"/>
    <w:rsid w:val="0091197C"/>
    <w:rsid w:val="009121AF"/>
    <w:rsid w:val="00912B35"/>
    <w:rsid w:val="00912DAE"/>
    <w:rsid w:val="009138AB"/>
    <w:rsid w:val="00914197"/>
    <w:rsid w:val="009142F1"/>
    <w:rsid w:val="009151D3"/>
    <w:rsid w:val="009155CE"/>
    <w:rsid w:val="00915866"/>
    <w:rsid w:val="0091597B"/>
    <w:rsid w:val="00915AC0"/>
    <w:rsid w:val="00916031"/>
    <w:rsid w:val="009163AD"/>
    <w:rsid w:val="009169FB"/>
    <w:rsid w:val="00916B68"/>
    <w:rsid w:val="00916DA1"/>
    <w:rsid w:val="00917351"/>
    <w:rsid w:val="00917941"/>
    <w:rsid w:val="00917F35"/>
    <w:rsid w:val="00917FFC"/>
    <w:rsid w:val="0092007C"/>
    <w:rsid w:val="00920284"/>
    <w:rsid w:val="009202DD"/>
    <w:rsid w:val="00920C00"/>
    <w:rsid w:val="00920ED7"/>
    <w:rsid w:val="00921097"/>
    <w:rsid w:val="0092109D"/>
    <w:rsid w:val="00921432"/>
    <w:rsid w:val="00921946"/>
    <w:rsid w:val="00921A9E"/>
    <w:rsid w:val="00921CED"/>
    <w:rsid w:val="00921D4C"/>
    <w:rsid w:val="0092225E"/>
    <w:rsid w:val="00922ADD"/>
    <w:rsid w:val="00922BB7"/>
    <w:rsid w:val="00922DB5"/>
    <w:rsid w:val="0092314A"/>
    <w:rsid w:val="0092372A"/>
    <w:rsid w:val="00923DFA"/>
    <w:rsid w:val="00923E80"/>
    <w:rsid w:val="00923F62"/>
    <w:rsid w:val="00924384"/>
    <w:rsid w:val="00924A16"/>
    <w:rsid w:val="00924B50"/>
    <w:rsid w:val="00924F9C"/>
    <w:rsid w:val="00925488"/>
    <w:rsid w:val="009255A4"/>
    <w:rsid w:val="00925D8E"/>
    <w:rsid w:val="009260F9"/>
    <w:rsid w:val="009262C6"/>
    <w:rsid w:val="009262CC"/>
    <w:rsid w:val="00926354"/>
    <w:rsid w:val="00926557"/>
    <w:rsid w:val="009265BB"/>
    <w:rsid w:val="00926E65"/>
    <w:rsid w:val="00926F25"/>
    <w:rsid w:val="00926F4F"/>
    <w:rsid w:val="0092719F"/>
    <w:rsid w:val="00927BE0"/>
    <w:rsid w:val="00927FD1"/>
    <w:rsid w:val="00930497"/>
    <w:rsid w:val="00930629"/>
    <w:rsid w:val="00930E3E"/>
    <w:rsid w:val="009312C3"/>
    <w:rsid w:val="009313E3"/>
    <w:rsid w:val="00931AF9"/>
    <w:rsid w:val="00932800"/>
    <w:rsid w:val="009328B7"/>
    <w:rsid w:val="00932BA8"/>
    <w:rsid w:val="009337C1"/>
    <w:rsid w:val="009339E5"/>
    <w:rsid w:val="00933DFA"/>
    <w:rsid w:val="00933F29"/>
    <w:rsid w:val="0093445F"/>
    <w:rsid w:val="0093460D"/>
    <w:rsid w:val="0093471F"/>
    <w:rsid w:val="009347F4"/>
    <w:rsid w:val="00934B6A"/>
    <w:rsid w:val="00934C7B"/>
    <w:rsid w:val="0093535C"/>
    <w:rsid w:val="009356DD"/>
    <w:rsid w:val="00935892"/>
    <w:rsid w:val="00935F7A"/>
    <w:rsid w:val="009364EB"/>
    <w:rsid w:val="009374F0"/>
    <w:rsid w:val="0093786C"/>
    <w:rsid w:val="00937CC0"/>
    <w:rsid w:val="00937EE7"/>
    <w:rsid w:val="00940022"/>
    <w:rsid w:val="009406C7"/>
    <w:rsid w:val="009407FD"/>
    <w:rsid w:val="00940C0D"/>
    <w:rsid w:val="00941962"/>
    <w:rsid w:val="00941B33"/>
    <w:rsid w:val="00941C3F"/>
    <w:rsid w:val="00941EF0"/>
    <w:rsid w:val="00942482"/>
    <w:rsid w:val="009424FB"/>
    <w:rsid w:val="009426F3"/>
    <w:rsid w:val="00942AD4"/>
    <w:rsid w:val="00942FDF"/>
    <w:rsid w:val="00943181"/>
    <w:rsid w:val="00943601"/>
    <w:rsid w:val="009437FA"/>
    <w:rsid w:val="0094382E"/>
    <w:rsid w:val="009438EE"/>
    <w:rsid w:val="00943EDA"/>
    <w:rsid w:val="00944723"/>
    <w:rsid w:val="0094487E"/>
    <w:rsid w:val="00944AB1"/>
    <w:rsid w:val="00944E95"/>
    <w:rsid w:val="009450B2"/>
    <w:rsid w:val="0094555B"/>
    <w:rsid w:val="009465C9"/>
    <w:rsid w:val="00946A3B"/>
    <w:rsid w:val="00946B9D"/>
    <w:rsid w:val="009470DF"/>
    <w:rsid w:val="00947571"/>
    <w:rsid w:val="009477AC"/>
    <w:rsid w:val="009479F7"/>
    <w:rsid w:val="00947A9D"/>
    <w:rsid w:val="00950963"/>
    <w:rsid w:val="00950B4A"/>
    <w:rsid w:val="00950C9B"/>
    <w:rsid w:val="00950CD5"/>
    <w:rsid w:val="00951388"/>
    <w:rsid w:val="00951472"/>
    <w:rsid w:val="0095216D"/>
    <w:rsid w:val="00952896"/>
    <w:rsid w:val="009529D7"/>
    <w:rsid w:val="00952A71"/>
    <w:rsid w:val="00953F45"/>
    <w:rsid w:val="009540A3"/>
    <w:rsid w:val="009542D6"/>
    <w:rsid w:val="00954957"/>
    <w:rsid w:val="00954A4F"/>
    <w:rsid w:val="009552CC"/>
    <w:rsid w:val="009559C8"/>
    <w:rsid w:val="00955C3B"/>
    <w:rsid w:val="00955CBA"/>
    <w:rsid w:val="0095656E"/>
    <w:rsid w:val="009565FA"/>
    <w:rsid w:val="00956CBA"/>
    <w:rsid w:val="0095733D"/>
    <w:rsid w:val="009574C8"/>
    <w:rsid w:val="009578AD"/>
    <w:rsid w:val="00957AE8"/>
    <w:rsid w:val="00957F2A"/>
    <w:rsid w:val="00957F3C"/>
    <w:rsid w:val="00960012"/>
    <w:rsid w:val="0096023D"/>
    <w:rsid w:val="00960A76"/>
    <w:rsid w:val="00960C6A"/>
    <w:rsid w:val="00960EB0"/>
    <w:rsid w:val="00960F3F"/>
    <w:rsid w:val="009611CD"/>
    <w:rsid w:val="009612E9"/>
    <w:rsid w:val="009615E3"/>
    <w:rsid w:val="009618FE"/>
    <w:rsid w:val="00961FDA"/>
    <w:rsid w:val="009622A6"/>
    <w:rsid w:val="00962520"/>
    <w:rsid w:val="009629A7"/>
    <w:rsid w:val="00962C3C"/>
    <w:rsid w:val="00962CA5"/>
    <w:rsid w:val="00962E12"/>
    <w:rsid w:val="00963207"/>
    <w:rsid w:val="00963AF0"/>
    <w:rsid w:val="00963C7C"/>
    <w:rsid w:val="00964D70"/>
    <w:rsid w:val="009657C2"/>
    <w:rsid w:val="009667FE"/>
    <w:rsid w:val="009669C2"/>
    <w:rsid w:val="00966D8C"/>
    <w:rsid w:val="00966FF0"/>
    <w:rsid w:val="00967BE7"/>
    <w:rsid w:val="00967D70"/>
    <w:rsid w:val="00967F30"/>
    <w:rsid w:val="00967F73"/>
    <w:rsid w:val="00967FE3"/>
    <w:rsid w:val="0097018E"/>
    <w:rsid w:val="0097047A"/>
    <w:rsid w:val="00970766"/>
    <w:rsid w:val="00970B58"/>
    <w:rsid w:val="0097111B"/>
    <w:rsid w:val="00971435"/>
    <w:rsid w:val="0097179D"/>
    <w:rsid w:val="00971B5A"/>
    <w:rsid w:val="00972368"/>
    <w:rsid w:val="009723C6"/>
    <w:rsid w:val="00972CD9"/>
    <w:rsid w:val="00972F57"/>
    <w:rsid w:val="0097306E"/>
    <w:rsid w:val="0097306F"/>
    <w:rsid w:val="0097308F"/>
    <w:rsid w:val="0097355E"/>
    <w:rsid w:val="0097390C"/>
    <w:rsid w:val="00973AE0"/>
    <w:rsid w:val="00973D06"/>
    <w:rsid w:val="00973DE9"/>
    <w:rsid w:val="0097409A"/>
    <w:rsid w:val="0097492B"/>
    <w:rsid w:val="00974DF7"/>
    <w:rsid w:val="00974E68"/>
    <w:rsid w:val="009755CF"/>
    <w:rsid w:val="00975741"/>
    <w:rsid w:val="009757B8"/>
    <w:rsid w:val="00975976"/>
    <w:rsid w:val="0097630E"/>
    <w:rsid w:val="00976BF6"/>
    <w:rsid w:val="00976C76"/>
    <w:rsid w:val="00976EC0"/>
    <w:rsid w:val="00976F90"/>
    <w:rsid w:val="00977710"/>
    <w:rsid w:val="00977BF2"/>
    <w:rsid w:val="00980747"/>
    <w:rsid w:val="00980D7C"/>
    <w:rsid w:val="009812F7"/>
    <w:rsid w:val="009818C5"/>
    <w:rsid w:val="0098196E"/>
    <w:rsid w:val="00981C4D"/>
    <w:rsid w:val="009823E2"/>
    <w:rsid w:val="00982615"/>
    <w:rsid w:val="00982634"/>
    <w:rsid w:val="00982BCC"/>
    <w:rsid w:val="0098368A"/>
    <w:rsid w:val="009848AA"/>
    <w:rsid w:val="00984C54"/>
    <w:rsid w:val="00984F29"/>
    <w:rsid w:val="00985270"/>
    <w:rsid w:val="00985377"/>
    <w:rsid w:val="009858FF"/>
    <w:rsid w:val="0098592E"/>
    <w:rsid w:val="00985A33"/>
    <w:rsid w:val="00985DA9"/>
    <w:rsid w:val="009861C4"/>
    <w:rsid w:val="0098623F"/>
    <w:rsid w:val="009866CB"/>
    <w:rsid w:val="00986B73"/>
    <w:rsid w:val="00986FF0"/>
    <w:rsid w:val="009874E5"/>
    <w:rsid w:val="009874EF"/>
    <w:rsid w:val="0098786B"/>
    <w:rsid w:val="00987881"/>
    <w:rsid w:val="009878EC"/>
    <w:rsid w:val="00987AEE"/>
    <w:rsid w:val="00987CAD"/>
    <w:rsid w:val="0099063B"/>
    <w:rsid w:val="00990B32"/>
    <w:rsid w:val="0099102F"/>
    <w:rsid w:val="0099126E"/>
    <w:rsid w:val="0099188D"/>
    <w:rsid w:val="009918D1"/>
    <w:rsid w:val="00992046"/>
    <w:rsid w:val="00992273"/>
    <w:rsid w:val="00992ACA"/>
    <w:rsid w:val="00992F4A"/>
    <w:rsid w:val="0099301C"/>
    <w:rsid w:val="0099367F"/>
    <w:rsid w:val="009936F4"/>
    <w:rsid w:val="00993C18"/>
    <w:rsid w:val="00994761"/>
    <w:rsid w:val="00994968"/>
    <w:rsid w:val="00994A15"/>
    <w:rsid w:val="00994AD0"/>
    <w:rsid w:val="009951F0"/>
    <w:rsid w:val="009952E5"/>
    <w:rsid w:val="009954FD"/>
    <w:rsid w:val="00995B43"/>
    <w:rsid w:val="00995D4B"/>
    <w:rsid w:val="0099612A"/>
    <w:rsid w:val="0099682D"/>
    <w:rsid w:val="00997BF7"/>
    <w:rsid w:val="00997C6B"/>
    <w:rsid w:val="00997C92"/>
    <w:rsid w:val="00997FE1"/>
    <w:rsid w:val="009A0012"/>
    <w:rsid w:val="009A02B4"/>
    <w:rsid w:val="009A05E8"/>
    <w:rsid w:val="009A090D"/>
    <w:rsid w:val="009A15C9"/>
    <w:rsid w:val="009A1CF9"/>
    <w:rsid w:val="009A2401"/>
    <w:rsid w:val="009A25E1"/>
    <w:rsid w:val="009A26E2"/>
    <w:rsid w:val="009A274F"/>
    <w:rsid w:val="009A280B"/>
    <w:rsid w:val="009A30FA"/>
    <w:rsid w:val="009A3250"/>
    <w:rsid w:val="009A366D"/>
    <w:rsid w:val="009A367E"/>
    <w:rsid w:val="009A3FFD"/>
    <w:rsid w:val="009A41D3"/>
    <w:rsid w:val="009A479F"/>
    <w:rsid w:val="009A4DB0"/>
    <w:rsid w:val="009A4E28"/>
    <w:rsid w:val="009A4E46"/>
    <w:rsid w:val="009A5AD2"/>
    <w:rsid w:val="009A5B50"/>
    <w:rsid w:val="009A60E5"/>
    <w:rsid w:val="009A663B"/>
    <w:rsid w:val="009A6A46"/>
    <w:rsid w:val="009A6B54"/>
    <w:rsid w:val="009A6B91"/>
    <w:rsid w:val="009A6D72"/>
    <w:rsid w:val="009A70E8"/>
    <w:rsid w:val="009A7138"/>
    <w:rsid w:val="009A7257"/>
    <w:rsid w:val="009A7A0D"/>
    <w:rsid w:val="009A7B66"/>
    <w:rsid w:val="009B055A"/>
    <w:rsid w:val="009B0743"/>
    <w:rsid w:val="009B0814"/>
    <w:rsid w:val="009B0C94"/>
    <w:rsid w:val="009B106F"/>
    <w:rsid w:val="009B1131"/>
    <w:rsid w:val="009B142D"/>
    <w:rsid w:val="009B1B3F"/>
    <w:rsid w:val="009B2364"/>
    <w:rsid w:val="009B356F"/>
    <w:rsid w:val="009B49FC"/>
    <w:rsid w:val="009B4B03"/>
    <w:rsid w:val="009B4F08"/>
    <w:rsid w:val="009B5FAF"/>
    <w:rsid w:val="009B618F"/>
    <w:rsid w:val="009B6468"/>
    <w:rsid w:val="009B67D1"/>
    <w:rsid w:val="009B681A"/>
    <w:rsid w:val="009B70C0"/>
    <w:rsid w:val="009B75F0"/>
    <w:rsid w:val="009C0180"/>
    <w:rsid w:val="009C026B"/>
    <w:rsid w:val="009C0387"/>
    <w:rsid w:val="009C0630"/>
    <w:rsid w:val="009C0915"/>
    <w:rsid w:val="009C0AA3"/>
    <w:rsid w:val="009C142F"/>
    <w:rsid w:val="009C16DA"/>
    <w:rsid w:val="009C1707"/>
    <w:rsid w:val="009C18B9"/>
    <w:rsid w:val="009C1C05"/>
    <w:rsid w:val="009C31BA"/>
    <w:rsid w:val="009C34C8"/>
    <w:rsid w:val="009C36D7"/>
    <w:rsid w:val="009C3722"/>
    <w:rsid w:val="009C4EC5"/>
    <w:rsid w:val="009C5061"/>
    <w:rsid w:val="009C5B27"/>
    <w:rsid w:val="009C5EFF"/>
    <w:rsid w:val="009C611F"/>
    <w:rsid w:val="009C640F"/>
    <w:rsid w:val="009C6F6E"/>
    <w:rsid w:val="009C7477"/>
    <w:rsid w:val="009C7E1A"/>
    <w:rsid w:val="009D05EB"/>
    <w:rsid w:val="009D06B4"/>
    <w:rsid w:val="009D0836"/>
    <w:rsid w:val="009D0F27"/>
    <w:rsid w:val="009D0F31"/>
    <w:rsid w:val="009D102B"/>
    <w:rsid w:val="009D14E8"/>
    <w:rsid w:val="009D1633"/>
    <w:rsid w:val="009D1818"/>
    <w:rsid w:val="009D19F8"/>
    <w:rsid w:val="009D1A98"/>
    <w:rsid w:val="009D205B"/>
    <w:rsid w:val="009D2947"/>
    <w:rsid w:val="009D2A60"/>
    <w:rsid w:val="009D2CB7"/>
    <w:rsid w:val="009D2EBA"/>
    <w:rsid w:val="009D35D3"/>
    <w:rsid w:val="009D4524"/>
    <w:rsid w:val="009D46D5"/>
    <w:rsid w:val="009D4AD8"/>
    <w:rsid w:val="009D5817"/>
    <w:rsid w:val="009D5A8F"/>
    <w:rsid w:val="009D5BFD"/>
    <w:rsid w:val="009D5F33"/>
    <w:rsid w:val="009D66A1"/>
    <w:rsid w:val="009D6830"/>
    <w:rsid w:val="009D6B05"/>
    <w:rsid w:val="009D7414"/>
    <w:rsid w:val="009D7752"/>
    <w:rsid w:val="009D7836"/>
    <w:rsid w:val="009D7E34"/>
    <w:rsid w:val="009E1B0A"/>
    <w:rsid w:val="009E1E3C"/>
    <w:rsid w:val="009E24F0"/>
    <w:rsid w:val="009E252F"/>
    <w:rsid w:val="009E2A37"/>
    <w:rsid w:val="009E2CF8"/>
    <w:rsid w:val="009E2FD2"/>
    <w:rsid w:val="009E32C2"/>
    <w:rsid w:val="009E358C"/>
    <w:rsid w:val="009E3A7D"/>
    <w:rsid w:val="009E3AD1"/>
    <w:rsid w:val="009E3B49"/>
    <w:rsid w:val="009E3E34"/>
    <w:rsid w:val="009E4AE3"/>
    <w:rsid w:val="009E4B5C"/>
    <w:rsid w:val="009E4E38"/>
    <w:rsid w:val="009E516A"/>
    <w:rsid w:val="009E57B9"/>
    <w:rsid w:val="009E5B2F"/>
    <w:rsid w:val="009E5C74"/>
    <w:rsid w:val="009E6653"/>
    <w:rsid w:val="009E69FC"/>
    <w:rsid w:val="009E6EEE"/>
    <w:rsid w:val="009E7A62"/>
    <w:rsid w:val="009E7F7F"/>
    <w:rsid w:val="009F03DD"/>
    <w:rsid w:val="009F072F"/>
    <w:rsid w:val="009F0786"/>
    <w:rsid w:val="009F1CBA"/>
    <w:rsid w:val="009F267C"/>
    <w:rsid w:val="009F28D6"/>
    <w:rsid w:val="009F2BFE"/>
    <w:rsid w:val="009F2C0B"/>
    <w:rsid w:val="009F2CDD"/>
    <w:rsid w:val="009F2E3F"/>
    <w:rsid w:val="009F2E8D"/>
    <w:rsid w:val="009F3122"/>
    <w:rsid w:val="009F3D3D"/>
    <w:rsid w:val="009F4549"/>
    <w:rsid w:val="009F48DE"/>
    <w:rsid w:val="009F4A80"/>
    <w:rsid w:val="009F4EB9"/>
    <w:rsid w:val="009F5339"/>
    <w:rsid w:val="009F54C7"/>
    <w:rsid w:val="009F5A4E"/>
    <w:rsid w:val="009F5AC5"/>
    <w:rsid w:val="009F6209"/>
    <w:rsid w:val="009F73AA"/>
    <w:rsid w:val="009F7E65"/>
    <w:rsid w:val="00A005D1"/>
    <w:rsid w:val="00A0081B"/>
    <w:rsid w:val="00A00A3E"/>
    <w:rsid w:val="00A00B72"/>
    <w:rsid w:val="00A00FDA"/>
    <w:rsid w:val="00A01FF6"/>
    <w:rsid w:val="00A02C85"/>
    <w:rsid w:val="00A02D0F"/>
    <w:rsid w:val="00A02E32"/>
    <w:rsid w:val="00A03090"/>
    <w:rsid w:val="00A03260"/>
    <w:rsid w:val="00A033DF"/>
    <w:rsid w:val="00A039B9"/>
    <w:rsid w:val="00A041D8"/>
    <w:rsid w:val="00A0486E"/>
    <w:rsid w:val="00A05239"/>
    <w:rsid w:val="00A055DD"/>
    <w:rsid w:val="00A060E1"/>
    <w:rsid w:val="00A06475"/>
    <w:rsid w:val="00A064AC"/>
    <w:rsid w:val="00A06D06"/>
    <w:rsid w:val="00A077CA"/>
    <w:rsid w:val="00A07D52"/>
    <w:rsid w:val="00A07E5A"/>
    <w:rsid w:val="00A10418"/>
    <w:rsid w:val="00A106E3"/>
    <w:rsid w:val="00A107FF"/>
    <w:rsid w:val="00A10867"/>
    <w:rsid w:val="00A10ACC"/>
    <w:rsid w:val="00A10CCB"/>
    <w:rsid w:val="00A11170"/>
    <w:rsid w:val="00A1166E"/>
    <w:rsid w:val="00A11693"/>
    <w:rsid w:val="00A11A69"/>
    <w:rsid w:val="00A123F8"/>
    <w:rsid w:val="00A12A47"/>
    <w:rsid w:val="00A12D9B"/>
    <w:rsid w:val="00A12DA4"/>
    <w:rsid w:val="00A12E02"/>
    <w:rsid w:val="00A12E7E"/>
    <w:rsid w:val="00A12EE5"/>
    <w:rsid w:val="00A13124"/>
    <w:rsid w:val="00A13148"/>
    <w:rsid w:val="00A13193"/>
    <w:rsid w:val="00A13381"/>
    <w:rsid w:val="00A1338F"/>
    <w:rsid w:val="00A13566"/>
    <w:rsid w:val="00A13948"/>
    <w:rsid w:val="00A13E15"/>
    <w:rsid w:val="00A13FC8"/>
    <w:rsid w:val="00A14173"/>
    <w:rsid w:val="00A145C9"/>
    <w:rsid w:val="00A14748"/>
    <w:rsid w:val="00A14892"/>
    <w:rsid w:val="00A15E12"/>
    <w:rsid w:val="00A15F2E"/>
    <w:rsid w:val="00A16119"/>
    <w:rsid w:val="00A16135"/>
    <w:rsid w:val="00A17099"/>
    <w:rsid w:val="00A171BD"/>
    <w:rsid w:val="00A174C2"/>
    <w:rsid w:val="00A17572"/>
    <w:rsid w:val="00A17826"/>
    <w:rsid w:val="00A179CD"/>
    <w:rsid w:val="00A17E98"/>
    <w:rsid w:val="00A20048"/>
    <w:rsid w:val="00A2053E"/>
    <w:rsid w:val="00A20D95"/>
    <w:rsid w:val="00A22349"/>
    <w:rsid w:val="00A225D4"/>
    <w:rsid w:val="00A23031"/>
    <w:rsid w:val="00A2362C"/>
    <w:rsid w:val="00A23BF7"/>
    <w:rsid w:val="00A23F79"/>
    <w:rsid w:val="00A2423A"/>
    <w:rsid w:val="00A24972"/>
    <w:rsid w:val="00A24F9A"/>
    <w:rsid w:val="00A254E9"/>
    <w:rsid w:val="00A25554"/>
    <w:rsid w:val="00A258C2"/>
    <w:rsid w:val="00A25B5A"/>
    <w:rsid w:val="00A25D2C"/>
    <w:rsid w:val="00A25E83"/>
    <w:rsid w:val="00A26CA2"/>
    <w:rsid w:val="00A2701E"/>
    <w:rsid w:val="00A272E8"/>
    <w:rsid w:val="00A3018E"/>
    <w:rsid w:val="00A30302"/>
    <w:rsid w:val="00A30444"/>
    <w:rsid w:val="00A307E4"/>
    <w:rsid w:val="00A30CE5"/>
    <w:rsid w:val="00A30D83"/>
    <w:rsid w:val="00A30E64"/>
    <w:rsid w:val="00A314F2"/>
    <w:rsid w:val="00A31522"/>
    <w:rsid w:val="00A3159F"/>
    <w:rsid w:val="00A31E65"/>
    <w:rsid w:val="00A31E85"/>
    <w:rsid w:val="00A31F9E"/>
    <w:rsid w:val="00A32199"/>
    <w:rsid w:val="00A323E8"/>
    <w:rsid w:val="00A324BD"/>
    <w:rsid w:val="00A32AF1"/>
    <w:rsid w:val="00A32E09"/>
    <w:rsid w:val="00A32F64"/>
    <w:rsid w:val="00A3349D"/>
    <w:rsid w:val="00A3352B"/>
    <w:rsid w:val="00A34416"/>
    <w:rsid w:val="00A34598"/>
    <w:rsid w:val="00A34A3A"/>
    <w:rsid w:val="00A351BB"/>
    <w:rsid w:val="00A3557E"/>
    <w:rsid w:val="00A355EF"/>
    <w:rsid w:val="00A358B3"/>
    <w:rsid w:val="00A35A8B"/>
    <w:rsid w:val="00A35D46"/>
    <w:rsid w:val="00A36078"/>
    <w:rsid w:val="00A3609B"/>
    <w:rsid w:val="00A36486"/>
    <w:rsid w:val="00A364B8"/>
    <w:rsid w:val="00A36875"/>
    <w:rsid w:val="00A36B05"/>
    <w:rsid w:val="00A36C9D"/>
    <w:rsid w:val="00A36D2E"/>
    <w:rsid w:val="00A37132"/>
    <w:rsid w:val="00A377EA"/>
    <w:rsid w:val="00A37B80"/>
    <w:rsid w:val="00A37CCE"/>
    <w:rsid w:val="00A37F6F"/>
    <w:rsid w:val="00A40346"/>
    <w:rsid w:val="00A40377"/>
    <w:rsid w:val="00A403E0"/>
    <w:rsid w:val="00A406A3"/>
    <w:rsid w:val="00A40A9B"/>
    <w:rsid w:val="00A40C92"/>
    <w:rsid w:val="00A40D65"/>
    <w:rsid w:val="00A416EC"/>
    <w:rsid w:val="00A41AE7"/>
    <w:rsid w:val="00A41C82"/>
    <w:rsid w:val="00A420D8"/>
    <w:rsid w:val="00A42A42"/>
    <w:rsid w:val="00A42BD7"/>
    <w:rsid w:val="00A42E16"/>
    <w:rsid w:val="00A42FA1"/>
    <w:rsid w:val="00A43131"/>
    <w:rsid w:val="00A4346C"/>
    <w:rsid w:val="00A43895"/>
    <w:rsid w:val="00A43898"/>
    <w:rsid w:val="00A43BAA"/>
    <w:rsid w:val="00A44123"/>
    <w:rsid w:val="00A44AAE"/>
    <w:rsid w:val="00A44F2D"/>
    <w:rsid w:val="00A453E0"/>
    <w:rsid w:val="00A45AD1"/>
    <w:rsid w:val="00A46604"/>
    <w:rsid w:val="00A46799"/>
    <w:rsid w:val="00A46C4C"/>
    <w:rsid w:val="00A47866"/>
    <w:rsid w:val="00A47BD8"/>
    <w:rsid w:val="00A47D03"/>
    <w:rsid w:val="00A505AE"/>
    <w:rsid w:val="00A506E6"/>
    <w:rsid w:val="00A50912"/>
    <w:rsid w:val="00A509DC"/>
    <w:rsid w:val="00A50BE3"/>
    <w:rsid w:val="00A50DE1"/>
    <w:rsid w:val="00A50F0F"/>
    <w:rsid w:val="00A51173"/>
    <w:rsid w:val="00A51250"/>
    <w:rsid w:val="00A5146E"/>
    <w:rsid w:val="00A5152B"/>
    <w:rsid w:val="00A51FF4"/>
    <w:rsid w:val="00A5298C"/>
    <w:rsid w:val="00A52BEA"/>
    <w:rsid w:val="00A5328C"/>
    <w:rsid w:val="00A538C9"/>
    <w:rsid w:val="00A539C4"/>
    <w:rsid w:val="00A53A4D"/>
    <w:rsid w:val="00A53CBA"/>
    <w:rsid w:val="00A53E3D"/>
    <w:rsid w:val="00A543A1"/>
    <w:rsid w:val="00A54640"/>
    <w:rsid w:val="00A54A81"/>
    <w:rsid w:val="00A54CAE"/>
    <w:rsid w:val="00A554A9"/>
    <w:rsid w:val="00A5586C"/>
    <w:rsid w:val="00A55A6A"/>
    <w:rsid w:val="00A560A5"/>
    <w:rsid w:val="00A569FA"/>
    <w:rsid w:val="00A56EDB"/>
    <w:rsid w:val="00A60268"/>
    <w:rsid w:val="00A602C9"/>
    <w:rsid w:val="00A60701"/>
    <w:rsid w:val="00A60BDE"/>
    <w:rsid w:val="00A61006"/>
    <w:rsid w:val="00A61337"/>
    <w:rsid w:val="00A6139A"/>
    <w:rsid w:val="00A617A9"/>
    <w:rsid w:val="00A6196E"/>
    <w:rsid w:val="00A61BD7"/>
    <w:rsid w:val="00A61CD5"/>
    <w:rsid w:val="00A621F0"/>
    <w:rsid w:val="00A6239D"/>
    <w:rsid w:val="00A6255C"/>
    <w:rsid w:val="00A625EB"/>
    <w:rsid w:val="00A6278E"/>
    <w:rsid w:val="00A62EFC"/>
    <w:rsid w:val="00A62F38"/>
    <w:rsid w:val="00A63096"/>
    <w:rsid w:val="00A630E2"/>
    <w:rsid w:val="00A633B8"/>
    <w:rsid w:val="00A63529"/>
    <w:rsid w:val="00A64343"/>
    <w:rsid w:val="00A6464B"/>
    <w:rsid w:val="00A6470E"/>
    <w:rsid w:val="00A649DB"/>
    <w:rsid w:val="00A64ADC"/>
    <w:rsid w:val="00A651AB"/>
    <w:rsid w:val="00A65794"/>
    <w:rsid w:val="00A65B49"/>
    <w:rsid w:val="00A65BC9"/>
    <w:rsid w:val="00A6603F"/>
    <w:rsid w:val="00A6616D"/>
    <w:rsid w:val="00A66577"/>
    <w:rsid w:val="00A665F2"/>
    <w:rsid w:val="00A667D7"/>
    <w:rsid w:val="00A67C23"/>
    <w:rsid w:val="00A67CC1"/>
    <w:rsid w:val="00A67D52"/>
    <w:rsid w:val="00A708B0"/>
    <w:rsid w:val="00A7090B"/>
    <w:rsid w:val="00A70D48"/>
    <w:rsid w:val="00A71D26"/>
    <w:rsid w:val="00A71E5F"/>
    <w:rsid w:val="00A72430"/>
    <w:rsid w:val="00A72AA6"/>
    <w:rsid w:val="00A72AE0"/>
    <w:rsid w:val="00A7341D"/>
    <w:rsid w:val="00A73EB1"/>
    <w:rsid w:val="00A74653"/>
    <w:rsid w:val="00A748D8"/>
    <w:rsid w:val="00A750BA"/>
    <w:rsid w:val="00A752CE"/>
    <w:rsid w:val="00A757C5"/>
    <w:rsid w:val="00A75A8B"/>
    <w:rsid w:val="00A766C4"/>
    <w:rsid w:val="00A7690B"/>
    <w:rsid w:val="00A76941"/>
    <w:rsid w:val="00A76D29"/>
    <w:rsid w:val="00A76DF1"/>
    <w:rsid w:val="00A778A1"/>
    <w:rsid w:val="00A779D0"/>
    <w:rsid w:val="00A80747"/>
    <w:rsid w:val="00A807F2"/>
    <w:rsid w:val="00A80990"/>
    <w:rsid w:val="00A8135A"/>
    <w:rsid w:val="00A81980"/>
    <w:rsid w:val="00A824C5"/>
    <w:rsid w:val="00A827B7"/>
    <w:rsid w:val="00A8299E"/>
    <w:rsid w:val="00A829D5"/>
    <w:rsid w:val="00A82A0C"/>
    <w:rsid w:val="00A82CA2"/>
    <w:rsid w:val="00A82D4A"/>
    <w:rsid w:val="00A8319E"/>
    <w:rsid w:val="00A83524"/>
    <w:rsid w:val="00A838FB"/>
    <w:rsid w:val="00A83A98"/>
    <w:rsid w:val="00A83C1F"/>
    <w:rsid w:val="00A84290"/>
    <w:rsid w:val="00A84B26"/>
    <w:rsid w:val="00A854D3"/>
    <w:rsid w:val="00A8559A"/>
    <w:rsid w:val="00A85719"/>
    <w:rsid w:val="00A85854"/>
    <w:rsid w:val="00A86BF5"/>
    <w:rsid w:val="00A86EC0"/>
    <w:rsid w:val="00A87E2B"/>
    <w:rsid w:val="00A90448"/>
    <w:rsid w:val="00A905B6"/>
    <w:rsid w:val="00A9096C"/>
    <w:rsid w:val="00A90AF3"/>
    <w:rsid w:val="00A90F95"/>
    <w:rsid w:val="00A912B5"/>
    <w:rsid w:val="00A914F8"/>
    <w:rsid w:val="00A91826"/>
    <w:rsid w:val="00A919D8"/>
    <w:rsid w:val="00A91A0D"/>
    <w:rsid w:val="00A92499"/>
    <w:rsid w:val="00A925E9"/>
    <w:rsid w:val="00A93797"/>
    <w:rsid w:val="00A94114"/>
    <w:rsid w:val="00A9440E"/>
    <w:rsid w:val="00A947C9"/>
    <w:rsid w:val="00A948B2"/>
    <w:rsid w:val="00A94B57"/>
    <w:rsid w:val="00A95647"/>
    <w:rsid w:val="00A95991"/>
    <w:rsid w:val="00A95C65"/>
    <w:rsid w:val="00A96685"/>
    <w:rsid w:val="00A967BA"/>
    <w:rsid w:val="00A969FB"/>
    <w:rsid w:val="00A97615"/>
    <w:rsid w:val="00A97A96"/>
    <w:rsid w:val="00A97BEB"/>
    <w:rsid w:val="00A97E70"/>
    <w:rsid w:val="00A97FBD"/>
    <w:rsid w:val="00AA0C81"/>
    <w:rsid w:val="00AA0DBD"/>
    <w:rsid w:val="00AA0F1C"/>
    <w:rsid w:val="00AA1149"/>
    <w:rsid w:val="00AA14D3"/>
    <w:rsid w:val="00AA1F14"/>
    <w:rsid w:val="00AA2041"/>
    <w:rsid w:val="00AA2407"/>
    <w:rsid w:val="00AA2EC8"/>
    <w:rsid w:val="00AA3457"/>
    <w:rsid w:val="00AA39D8"/>
    <w:rsid w:val="00AA3B8F"/>
    <w:rsid w:val="00AA3D05"/>
    <w:rsid w:val="00AA3EBA"/>
    <w:rsid w:val="00AA3F85"/>
    <w:rsid w:val="00AA45BF"/>
    <w:rsid w:val="00AA4748"/>
    <w:rsid w:val="00AA4ACC"/>
    <w:rsid w:val="00AA5074"/>
    <w:rsid w:val="00AA5342"/>
    <w:rsid w:val="00AA54F5"/>
    <w:rsid w:val="00AA550A"/>
    <w:rsid w:val="00AA5972"/>
    <w:rsid w:val="00AA5C99"/>
    <w:rsid w:val="00AA5D97"/>
    <w:rsid w:val="00AA65E3"/>
    <w:rsid w:val="00AA66F1"/>
    <w:rsid w:val="00AA67A0"/>
    <w:rsid w:val="00AA6803"/>
    <w:rsid w:val="00AA6A25"/>
    <w:rsid w:val="00AA6BD2"/>
    <w:rsid w:val="00AA6CC3"/>
    <w:rsid w:val="00AA6E65"/>
    <w:rsid w:val="00AA7201"/>
    <w:rsid w:val="00AA79E6"/>
    <w:rsid w:val="00AA7A75"/>
    <w:rsid w:val="00AA7BB0"/>
    <w:rsid w:val="00AA7ECA"/>
    <w:rsid w:val="00AB00B4"/>
    <w:rsid w:val="00AB0384"/>
    <w:rsid w:val="00AB0E1C"/>
    <w:rsid w:val="00AB0E50"/>
    <w:rsid w:val="00AB1027"/>
    <w:rsid w:val="00AB1262"/>
    <w:rsid w:val="00AB16EE"/>
    <w:rsid w:val="00AB1C78"/>
    <w:rsid w:val="00AB2C4D"/>
    <w:rsid w:val="00AB2F1E"/>
    <w:rsid w:val="00AB3522"/>
    <w:rsid w:val="00AB35D0"/>
    <w:rsid w:val="00AB36AE"/>
    <w:rsid w:val="00AB372B"/>
    <w:rsid w:val="00AB3BF4"/>
    <w:rsid w:val="00AB4F52"/>
    <w:rsid w:val="00AB5445"/>
    <w:rsid w:val="00AB5614"/>
    <w:rsid w:val="00AB56D7"/>
    <w:rsid w:val="00AB5854"/>
    <w:rsid w:val="00AB5A67"/>
    <w:rsid w:val="00AB61C3"/>
    <w:rsid w:val="00AB65AD"/>
    <w:rsid w:val="00AB67E3"/>
    <w:rsid w:val="00AB6C88"/>
    <w:rsid w:val="00AB6D47"/>
    <w:rsid w:val="00AB70EE"/>
    <w:rsid w:val="00AB7942"/>
    <w:rsid w:val="00AB7E4C"/>
    <w:rsid w:val="00AC00F6"/>
    <w:rsid w:val="00AC0260"/>
    <w:rsid w:val="00AC061A"/>
    <w:rsid w:val="00AC0866"/>
    <w:rsid w:val="00AC0D50"/>
    <w:rsid w:val="00AC0F8A"/>
    <w:rsid w:val="00AC13BB"/>
    <w:rsid w:val="00AC13D3"/>
    <w:rsid w:val="00AC1829"/>
    <w:rsid w:val="00AC1D7F"/>
    <w:rsid w:val="00AC1EC3"/>
    <w:rsid w:val="00AC28CC"/>
    <w:rsid w:val="00AC2D68"/>
    <w:rsid w:val="00AC30A1"/>
    <w:rsid w:val="00AC317C"/>
    <w:rsid w:val="00AC3891"/>
    <w:rsid w:val="00AC3900"/>
    <w:rsid w:val="00AC3AAE"/>
    <w:rsid w:val="00AC3C21"/>
    <w:rsid w:val="00AC45B0"/>
    <w:rsid w:val="00AC4903"/>
    <w:rsid w:val="00AC4A22"/>
    <w:rsid w:val="00AC4A9F"/>
    <w:rsid w:val="00AC4AD3"/>
    <w:rsid w:val="00AC4DBF"/>
    <w:rsid w:val="00AC52BC"/>
    <w:rsid w:val="00AC54BF"/>
    <w:rsid w:val="00AC596F"/>
    <w:rsid w:val="00AC5ADC"/>
    <w:rsid w:val="00AC5F8D"/>
    <w:rsid w:val="00AC6209"/>
    <w:rsid w:val="00AC64D6"/>
    <w:rsid w:val="00AC6513"/>
    <w:rsid w:val="00AC6645"/>
    <w:rsid w:val="00AC6AD1"/>
    <w:rsid w:val="00AC6E15"/>
    <w:rsid w:val="00AC6F9A"/>
    <w:rsid w:val="00AC706E"/>
    <w:rsid w:val="00AC7142"/>
    <w:rsid w:val="00AC78E6"/>
    <w:rsid w:val="00AD102F"/>
    <w:rsid w:val="00AD12E8"/>
    <w:rsid w:val="00AD151B"/>
    <w:rsid w:val="00AD193B"/>
    <w:rsid w:val="00AD1B13"/>
    <w:rsid w:val="00AD20DF"/>
    <w:rsid w:val="00AD2296"/>
    <w:rsid w:val="00AD2B5A"/>
    <w:rsid w:val="00AD3D58"/>
    <w:rsid w:val="00AD3FD1"/>
    <w:rsid w:val="00AD40C5"/>
    <w:rsid w:val="00AD47D8"/>
    <w:rsid w:val="00AD4D82"/>
    <w:rsid w:val="00AD4DBE"/>
    <w:rsid w:val="00AD519B"/>
    <w:rsid w:val="00AD5294"/>
    <w:rsid w:val="00AD5340"/>
    <w:rsid w:val="00AD56E2"/>
    <w:rsid w:val="00AD5890"/>
    <w:rsid w:val="00AD5A9D"/>
    <w:rsid w:val="00AD5BC5"/>
    <w:rsid w:val="00AD5D74"/>
    <w:rsid w:val="00AD5DB8"/>
    <w:rsid w:val="00AD6196"/>
    <w:rsid w:val="00AD63D0"/>
    <w:rsid w:val="00AD688F"/>
    <w:rsid w:val="00AD693C"/>
    <w:rsid w:val="00AD69F4"/>
    <w:rsid w:val="00AD6E13"/>
    <w:rsid w:val="00AD76CA"/>
    <w:rsid w:val="00AD7E95"/>
    <w:rsid w:val="00AD7EEC"/>
    <w:rsid w:val="00AE01EC"/>
    <w:rsid w:val="00AE065C"/>
    <w:rsid w:val="00AE0CC9"/>
    <w:rsid w:val="00AE1B40"/>
    <w:rsid w:val="00AE1C9F"/>
    <w:rsid w:val="00AE2327"/>
    <w:rsid w:val="00AE2348"/>
    <w:rsid w:val="00AE2715"/>
    <w:rsid w:val="00AE2760"/>
    <w:rsid w:val="00AE2BEE"/>
    <w:rsid w:val="00AE2E18"/>
    <w:rsid w:val="00AE3873"/>
    <w:rsid w:val="00AE3D24"/>
    <w:rsid w:val="00AE3F2A"/>
    <w:rsid w:val="00AE4417"/>
    <w:rsid w:val="00AE4421"/>
    <w:rsid w:val="00AE51B8"/>
    <w:rsid w:val="00AE5355"/>
    <w:rsid w:val="00AE5573"/>
    <w:rsid w:val="00AE569D"/>
    <w:rsid w:val="00AE572F"/>
    <w:rsid w:val="00AE577A"/>
    <w:rsid w:val="00AE5C4E"/>
    <w:rsid w:val="00AE67EC"/>
    <w:rsid w:val="00AE6B4A"/>
    <w:rsid w:val="00AE6BD2"/>
    <w:rsid w:val="00AE7DDA"/>
    <w:rsid w:val="00AE7F8F"/>
    <w:rsid w:val="00AF02AA"/>
    <w:rsid w:val="00AF034F"/>
    <w:rsid w:val="00AF0CE7"/>
    <w:rsid w:val="00AF0F34"/>
    <w:rsid w:val="00AF13F9"/>
    <w:rsid w:val="00AF146F"/>
    <w:rsid w:val="00AF1889"/>
    <w:rsid w:val="00AF1CD2"/>
    <w:rsid w:val="00AF1E7A"/>
    <w:rsid w:val="00AF1F91"/>
    <w:rsid w:val="00AF2437"/>
    <w:rsid w:val="00AF2A92"/>
    <w:rsid w:val="00AF2AC4"/>
    <w:rsid w:val="00AF2F71"/>
    <w:rsid w:val="00AF3116"/>
    <w:rsid w:val="00AF3479"/>
    <w:rsid w:val="00AF3CA2"/>
    <w:rsid w:val="00AF3EFE"/>
    <w:rsid w:val="00AF4007"/>
    <w:rsid w:val="00AF406E"/>
    <w:rsid w:val="00AF4274"/>
    <w:rsid w:val="00AF5550"/>
    <w:rsid w:val="00AF5755"/>
    <w:rsid w:val="00AF5B68"/>
    <w:rsid w:val="00AF5E48"/>
    <w:rsid w:val="00AF714C"/>
    <w:rsid w:val="00AF788F"/>
    <w:rsid w:val="00AF795C"/>
    <w:rsid w:val="00AF7F51"/>
    <w:rsid w:val="00B00134"/>
    <w:rsid w:val="00B002F3"/>
    <w:rsid w:val="00B00AF1"/>
    <w:rsid w:val="00B01372"/>
    <w:rsid w:val="00B01C40"/>
    <w:rsid w:val="00B01C90"/>
    <w:rsid w:val="00B01D31"/>
    <w:rsid w:val="00B02021"/>
    <w:rsid w:val="00B02311"/>
    <w:rsid w:val="00B02576"/>
    <w:rsid w:val="00B0281D"/>
    <w:rsid w:val="00B02BC3"/>
    <w:rsid w:val="00B02E35"/>
    <w:rsid w:val="00B02E78"/>
    <w:rsid w:val="00B02F5B"/>
    <w:rsid w:val="00B0344E"/>
    <w:rsid w:val="00B03694"/>
    <w:rsid w:val="00B03B8C"/>
    <w:rsid w:val="00B03C88"/>
    <w:rsid w:val="00B04115"/>
    <w:rsid w:val="00B04421"/>
    <w:rsid w:val="00B045B4"/>
    <w:rsid w:val="00B046B4"/>
    <w:rsid w:val="00B04A7A"/>
    <w:rsid w:val="00B04EFB"/>
    <w:rsid w:val="00B04FF9"/>
    <w:rsid w:val="00B0539B"/>
    <w:rsid w:val="00B05577"/>
    <w:rsid w:val="00B059DA"/>
    <w:rsid w:val="00B059F7"/>
    <w:rsid w:val="00B05C9D"/>
    <w:rsid w:val="00B05DB5"/>
    <w:rsid w:val="00B06D49"/>
    <w:rsid w:val="00B06F4A"/>
    <w:rsid w:val="00B07261"/>
    <w:rsid w:val="00B07467"/>
    <w:rsid w:val="00B10427"/>
    <w:rsid w:val="00B11D3F"/>
    <w:rsid w:val="00B126F7"/>
    <w:rsid w:val="00B13699"/>
    <w:rsid w:val="00B140CE"/>
    <w:rsid w:val="00B143A4"/>
    <w:rsid w:val="00B14550"/>
    <w:rsid w:val="00B147C3"/>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F4"/>
    <w:rsid w:val="00B17DF6"/>
    <w:rsid w:val="00B17E7F"/>
    <w:rsid w:val="00B20BE0"/>
    <w:rsid w:val="00B21067"/>
    <w:rsid w:val="00B21262"/>
    <w:rsid w:val="00B216FF"/>
    <w:rsid w:val="00B21DA9"/>
    <w:rsid w:val="00B21F22"/>
    <w:rsid w:val="00B226C2"/>
    <w:rsid w:val="00B2270A"/>
    <w:rsid w:val="00B233BE"/>
    <w:rsid w:val="00B233E6"/>
    <w:rsid w:val="00B23617"/>
    <w:rsid w:val="00B24C4A"/>
    <w:rsid w:val="00B25162"/>
    <w:rsid w:val="00B25426"/>
    <w:rsid w:val="00B25AA2"/>
    <w:rsid w:val="00B25B82"/>
    <w:rsid w:val="00B25C9D"/>
    <w:rsid w:val="00B25CEE"/>
    <w:rsid w:val="00B2612E"/>
    <w:rsid w:val="00B26427"/>
    <w:rsid w:val="00B26BBA"/>
    <w:rsid w:val="00B27308"/>
    <w:rsid w:val="00B27352"/>
    <w:rsid w:val="00B2768F"/>
    <w:rsid w:val="00B27AFF"/>
    <w:rsid w:val="00B27DD6"/>
    <w:rsid w:val="00B304E2"/>
    <w:rsid w:val="00B30861"/>
    <w:rsid w:val="00B311AF"/>
    <w:rsid w:val="00B31754"/>
    <w:rsid w:val="00B319C9"/>
    <w:rsid w:val="00B31FC9"/>
    <w:rsid w:val="00B32235"/>
    <w:rsid w:val="00B3260B"/>
    <w:rsid w:val="00B328A1"/>
    <w:rsid w:val="00B32AEA"/>
    <w:rsid w:val="00B3328F"/>
    <w:rsid w:val="00B3387E"/>
    <w:rsid w:val="00B3415C"/>
    <w:rsid w:val="00B347B3"/>
    <w:rsid w:val="00B34845"/>
    <w:rsid w:val="00B34EF4"/>
    <w:rsid w:val="00B351C7"/>
    <w:rsid w:val="00B35501"/>
    <w:rsid w:val="00B359AD"/>
    <w:rsid w:val="00B36710"/>
    <w:rsid w:val="00B3790F"/>
    <w:rsid w:val="00B37950"/>
    <w:rsid w:val="00B37B58"/>
    <w:rsid w:val="00B37E14"/>
    <w:rsid w:val="00B37F29"/>
    <w:rsid w:val="00B400DF"/>
    <w:rsid w:val="00B4013E"/>
    <w:rsid w:val="00B4026E"/>
    <w:rsid w:val="00B4037E"/>
    <w:rsid w:val="00B40F37"/>
    <w:rsid w:val="00B4124B"/>
    <w:rsid w:val="00B41B04"/>
    <w:rsid w:val="00B41BD2"/>
    <w:rsid w:val="00B41C3B"/>
    <w:rsid w:val="00B41DFB"/>
    <w:rsid w:val="00B4203C"/>
    <w:rsid w:val="00B420BB"/>
    <w:rsid w:val="00B423C0"/>
    <w:rsid w:val="00B42BD9"/>
    <w:rsid w:val="00B4362D"/>
    <w:rsid w:val="00B43686"/>
    <w:rsid w:val="00B4384A"/>
    <w:rsid w:val="00B43B84"/>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8D7"/>
    <w:rsid w:val="00B47BD8"/>
    <w:rsid w:val="00B500CE"/>
    <w:rsid w:val="00B5026B"/>
    <w:rsid w:val="00B50380"/>
    <w:rsid w:val="00B51305"/>
    <w:rsid w:val="00B51BE5"/>
    <w:rsid w:val="00B51DE9"/>
    <w:rsid w:val="00B51E5E"/>
    <w:rsid w:val="00B51F48"/>
    <w:rsid w:val="00B520BD"/>
    <w:rsid w:val="00B524B6"/>
    <w:rsid w:val="00B5287C"/>
    <w:rsid w:val="00B52A45"/>
    <w:rsid w:val="00B52C93"/>
    <w:rsid w:val="00B53BF7"/>
    <w:rsid w:val="00B53EBD"/>
    <w:rsid w:val="00B5401D"/>
    <w:rsid w:val="00B54024"/>
    <w:rsid w:val="00B54151"/>
    <w:rsid w:val="00B547B3"/>
    <w:rsid w:val="00B54863"/>
    <w:rsid w:val="00B54C28"/>
    <w:rsid w:val="00B54E6E"/>
    <w:rsid w:val="00B55D75"/>
    <w:rsid w:val="00B55DBF"/>
    <w:rsid w:val="00B56259"/>
    <w:rsid w:val="00B5719A"/>
    <w:rsid w:val="00B5728B"/>
    <w:rsid w:val="00B57479"/>
    <w:rsid w:val="00B57CE2"/>
    <w:rsid w:val="00B57CF0"/>
    <w:rsid w:val="00B57E79"/>
    <w:rsid w:val="00B57F84"/>
    <w:rsid w:val="00B57FEA"/>
    <w:rsid w:val="00B6061D"/>
    <w:rsid w:val="00B615B5"/>
    <w:rsid w:val="00B616D6"/>
    <w:rsid w:val="00B61842"/>
    <w:rsid w:val="00B62153"/>
    <w:rsid w:val="00B62654"/>
    <w:rsid w:val="00B63089"/>
    <w:rsid w:val="00B63212"/>
    <w:rsid w:val="00B6386B"/>
    <w:rsid w:val="00B6390D"/>
    <w:rsid w:val="00B63ED8"/>
    <w:rsid w:val="00B641EB"/>
    <w:rsid w:val="00B6487A"/>
    <w:rsid w:val="00B64A51"/>
    <w:rsid w:val="00B64B92"/>
    <w:rsid w:val="00B64CDC"/>
    <w:rsid w:val="00B653D9"/>
    <w:rsid w:val="00B654C1"/>
    <w:rsid w:val="00B655B4"/>
    <w:rsid w:val="00B66073"/>
    <w:rsid w:val="00B660B2"/>
    <w:rsid w:val="00B6640B"/>
    <w:rsid w:val="00B66643"/>
    <w:rsid w:val="00B66BCD"/>
    <w:rsid w:val="00B66C39"/>
    <w:rsid w:val="00B6765D"/>
    <w:rsid w:val="00B6797E"/>
    <w:rsid w:val="00B679EC"/>
    <w:rsid w:val="00B67BA1"/>
    <w:rsid w:val="00B67DA1"/>
    <w:rsid w:val="00B67E7D"/>
    <w:rsid w:val="00B70411"/>
    <w:rsid w:val="00B7045F"/>
    <w:rsid w:val="00B705A4"/>
    <w:rsid w:val="00B70D13"/>
    <w:rsid w:val="00B70EF5"/>
    <w:rsid w:val="00B7171D"/>
    <w:rsid w:val="00B71782"/>
    <w:rsid w:val="00B71DE5"/>
    <w:rsid w:val="00B71FD7"/>
    <w:rsid w:val="00B721AF"/>
    <w:rsid w:val="00B72305"/>
    <w:rsid w:val="00B726B9"/>
    <w:rsid w:val="00B72994"/>
    <w:rsid w:val="00B72E37"/>
    <w:rsid w:val="00B72F3B"/>
    <w:rsid w:val="00B7326B"/>
    <w:rsid w:val="00B73A31"/>
    <w:rsid w:val="00B73A7F"/>
    <w:rsid w:val="00B73E86"/>
    <w:rsid w:val="00B740C1"/>
    <w:rsid w:val="00B742B6"/>
    <w:rsid w:val="00B743E6"/>
    <w:rsid w:val="00B750D9"/>
    <w:rsid w:val="00B7516E"/>
    <w:rsid w:val="00B7529B"/>
    <w:rsid w:val="00B75542"/>
    <w:rsid w:val="00B7591D"/>
    <w:rsid w:val="00B75959"/>
    <w:rsid w:val="00B75ACC"/>
    <w:rsid w:val="00B7607C"/>
    <w:rsid w:val="00B765D2"/>
    <w:rsid w:val="00B77076"/>
    <w:rsid w:val="00B77319"/>
    <w:rsid w:val="00B774A4"/>
    <w:rsid w:val="00B77ABA"/>
    <w:rsid w:val="00B77B8C"/>
    <w:rsid w:val="00B77BEC"/>
    <w:rsid w:val="00B80502"/>
    <w:rsid w:val="00B80C34"/>
    <w:rsid w:val="00B80C36"/>
    <w:rsid w:val="00B80C45"/>
    <w:rsid w:val="00B80EBF"/>
    <w:rsid w:val="00B811A4"/>
    <w:rsid w:val="00B81580"/>
    <w:rsid w:val="00B817BF"/>
    <w:rsid w:val="00B81C84"/>
    <w:rsid w:val="00B81D4B"/>
    <w:rsid w:val="00B820EB"/>
    <w:rsid w:val="00B82202"/>
    <w:rsid w:val="00B825EC"/>
    <w:rsid w:val="00B82A0F"/>
    <w:rsid w:val="00B82FEE"/>
    <w:rsid w:val="00B831C4"/>
    <w:rsid w:val="00B833A2"/>
    <w:rsid w:val="00B83402"/>
    <w:rsid w:val="00B8384A"/>
    <w:rsid w:val="00B839C8"/>
    <w:rsid w:val="00B83D14"/>
    <w:rsid w:val="00B83DC2"/>
    <w:rsid w:val="00B841D8"/>
    <w:rsid w:val="00B84360"/>
    <w:rsid w:val="00B84583"/>
    <w:rsid w:val="00B845B8"/>
    <w:rsid w:val="00B84659"/>
    <w:rsid w:val="00B8484F"/>
    <w:rsid w:val="00B84B45"/>
    <w:rsid w:val="00B850E1"/>
    <w:rsid w:val="00B85AA4"/>
    <w:rsid w:val="00B85E43"/>
    <w:rsid w:val="00B85E58"/>
    <w:rsid w:val="00B863EE"/>
    <w:rsid w:val="00B868B1"/>
    <w:rsid w:val="00B86B46"/>
    <w:rsid w:val="00B86E4C"/>
    <w:rsid w:val="00B87333"/>
    <w:rsid w:val="00B8777B"/>
    <w:rsid w:val="00B87F7D"/>
    <w:rsid w:val="00B90C87"/>
    <w:rsid w:val="00B9114E"/>
    <w:rsid w:val="00B9131E"/>
    <w:rsid w:val="00B9133C"/>
    <w:rsid w:val="00B91D63"/>
    <w:rsid w:val="00B920A3"/>
    <w:rsid w:val="00B922D1"/>
    <w:rsid w:val="00B92E1D"/>
    <w:rsid w:val="00B92F3A"/>
    <w:rsid w:val="00B930ED"/>
    <w:rsid w:val="00B931E1"/>
    <w:rsid w:val="00B93952"/>
    <w:rsid w:val="00B939A9"/>
    <w:rsid w:val="00B93A00"/>
    <w:rsid w:val="00B93E2B"/>
    <w:rsid w:val="00B94232"/>
    <w:rsid w:val="00B94739"/>
    <w:rsid w:val="00B947B7"/>
    <w:rsid w:val="00B94D63"/>
    <w:rsid w:val="00B9511A"/>
    <w:rsid w:val="00B9521D"/>
    <w:rsid w:val="00B96484"/>
    <w:rsid w:val="00B96F3A"/>
    <w:rsid w:val="00B97448"/>
    <w:rsid w:val="00B97AB8"/>
    <w:rsid w:val="00BA0048"/>
    <w:rsid w:val="00BA0296"/>
    <w:rsid w:val="00BA0AB0"/>
    <w:rsid w:val="00BA0E2A"/>
    <w:rsid w:val="00BA1990"/>
    <w:rsid w:val="00BA1DB2"/>
    <w:rsid w:val="00BA1FFF"/>
    <w:rsid w:val="00BA218C"/>
    <w:rsid w:val="00BA289C"/>
    <w:rsid w:val="00BA2A50"/>
    <w:rsid w:val="00BA307F"/>
    <w:rsid w:val="00BA3B30"/>
    <w:rsid w:val="00BA3B3F"/>
    <w:rsid w:val="00BA3C1A"/>
    <w:rsid w:val="00BA3F93"/>
    <w:rsid w:val="00BA49ED"/>
    <w:rsid w:val="00BA4BFF"/>
    <w:rsid w:val="00BA4C89"/>
    <w:rsid w:val="00BA5444"/>
    <w:rsid w:val="00BA54B5"/>
    <w:rsid w:val="00BA5890"/>
    <w:rsid w:val="00BA5CF6"/>
    <w:rsid w:val="00BA6144"/>
    <w:rsid w:val="00BA67A9"/>
    <w:rsid w:val="00BA6887"/>
    <w:rsid w:val="00BA6C9E"/>
    <w:rsid w:val="00BA6D32"/>
    <w:rsid w:val="00BA6EF7"/>
    <w:rsid w:val="00BA6F01"/>
    <w:rsid w:val="00BA77BD"/>
    <w:rsid w:val="00BA7A72"/>
    <w:rsid w:val="00BB0521"/>
    <w:rsid w:val="00BB077B"/>
    <w:rsid w:val="00BB089A"/>
    <w:rsid w:val="00BB092C"/>
    <w:rsid w:val="00BB0995"/>
    <w:rsid w:val="00BB0DF2"/>
    <w:rsid w:val="00BB0FF0"/>
    <w:rsid w:val="00BB13AB"/>
    <w:rsid w:val="00BB3075"/>
    <w:rsid w:val="00BB3146"/>
    <w:rsid w:val="00BB34E9"/>
    <w:rsid w:val="00BB37A1"/>
    <w:rsid w:val="00BB3E9F"/>
    <w:rsid w:val="00BB4205"/>
    <w:rsid w:val="00BB42FE"/>
    <w:rsid w:val="00BB45F0"/>
    <w:rsid w:val="00BB4639"/>
    <w:rsid w:val="00BB4DB9"/>
    <w:rsid w:val="00BB505A"/>
    <w:rsid w:val="00BB5AC0"/>
    <w:rsid w:val="00BB5DE0"/>
    <w:rsid w:val="00BB600E"/>
    <w:rsid w:val="00BB64AD"/>
    <w:rsid w:val="00BB659C"/>
    <w:rsid w:val="00BB6697"/>
    <w:rsid w:val="00BB67AC"/>
    <w:rsid w:val="00BB6985"/>
    <w:rsid w:val="00BB7A0B"/>
    <w:rsid w:val="00BC0091"/>
    <w:rsid w:val="00BC0312"/>
    <w:rsid w:val="00BC0B50"/>
    <w:rsid w:val="00BC0CF7"/>
    <w:rsid w:val="00BC0EC4"/>
    <w:rsid w:val="00BC1110"/>
    <w:rsid w:val="00BC1A46"/>
    <w:rsid w:val="00BC2930"/>
    <w:rsid w:val="00BC2B8B"/>
    <w:rsid w:val="00BC2BC7"/>
    <w:rsid w:val="00BC300F"/>
    <w:rsid w:val="00BC3664"/>
    <w:rsid w:val="00BC37C0"/>
    <w:rsid w:val="00BC4149"/>
    <w:rsid w:val="00BC429F"/>
    <w:rsid w:val="00BC44A5"/>
    <w:rsid w:val="00BC4576"/>
    <w:rsid w:val="00BC46B5"/>
    <w:rsid w:val="00BC4EF6"/>
    <w:rsid w:val="00BC5092"/>
    <w:rsid w:val="00BC5493"/>
    <w:rsid w:val="00BC597A"/>
    <w:rsid w:val="00BC6D07"/>
    <w:rsid w:val="00BC72BA"/>
    <w:rsid w:val="00BC759A"/>
    <w:rsid w:val="00BC78EC"/>
    <w:rsid w:val="00BC7A07"/>
    <w:rsid w:val="00BC7D56"/>
    <w:rsid w:val="00BD024A"/>
    <w:rsid w:val="00BD09B8"/>
    <w:rsid w:val="00BD0FE7"/>
    <w:rsid w:val="00BD1216"/>
    <w:rsid w:val="00BD1570"/>
    <w:rsid w:val="00BD1E53"/>
    <w:rsid w:val="00BD2142"/>
    <w:rsid w:val="00BD2270"/>
    <w:rsid w:val="00BD23F5"/>
    <w:rsid w:val="00BD2873"/>
    <w:rsid w:val="00BD2892"/>
    <w:rsid w:val="00BD2B77"/>
    <w:rsid w:val="00BD2C79"/>
    <w:rsid w:val="00BD3675"/>
    <w:rsid w:val="00BD3729"/>
    <w:rsid w:val="00BD3A1C"/>
    <w:rsid w:val="00BD4730"/>
    <w:rsid w:val="00BD485E"/>
    <w:rsid w:val="00BD4C06"/>
    <w:rsid w:val="00BD534F"/>
    <w:rsid w:val="00BD5491"/>
    <w:rsid w:val="00BD562C"/>
    <w:rsid w:val="00BD56C8"/>
    <w:rsid w:val="00BD56D1"/>
    <w:rsid w:val="00BD57D3"/>
    <w:rsid w:val="00BD6F70"/>
    <w:rsid w:val="00BD748C"/>
    <w:rsid w:val="00BD75A8"/>
    <w:rsid w:val="00BD782D"/>
    <w:rsid w:val="00BD7876"/>
    <w:rsid w:val="00BD7995"/>
    <w:rsid w:val="00BD7C53"/>
    <w:rsid w:val="00BE0084"/>
    <w:rsid w:val="00BE04D3"/>
    <w:rsid w:val="00BE0B5E"/>
    <w:rsid w:val="00BE0E48"/>
    <w:rsid w:val="00BE103E"/>
    <w:rsid w:val="00BE171D"/>
    <w:rsid w:val="00BE1CD9"/>
    <w:rsid w:val="00BE1D6E"/>
    <w:rsid w:val="00BE2759"/>
    <w:rsid w:val="00BE2EDE"/>
    <w:rsid w:val="00BE3091"/>
    <w:rsid w:val="00BE33C6"/>
    <w:rsid w:val="00BE362C"/>
    <w:rsid w:val="00BE364C"/>
    <w:rsid w:val="00BE38AA"/>
    <w:rsid w:val="00BE3F1E"/>
    <w:rsid w:val="00BE4740"/>
    <w:rsid w:val="00BE4E64"/>
    <w:rsid w:val="00BE5AA2"/>
    <w:rsid w:val="00BE5AF0"/>
    <w:rsid w:val="00BE67C2"/>
    <w:rsid w:val="00BE68EB"/>
    <w:rsid w:val="00BE6FE8"/>
    <w:rsid w:val="00BE73D1"/>
    <w:rsid w:val="00BE78E3"/>
    <w:rsid w:val="00BE793C"/>
    <w:rsid w:val="00BE7AA6"/>
    <w:rsid w:val="00BE7FA3"/>
    <w:rsid w:val="00BF00C8"/>
    <w:rsid w:val="00BF0435"/>
    <w:rsid w:val="00BF0B5E"/>
    <w:rsid w:val="00BF0B91"/>
    <w:rsid w:val="00BF0F57"/>
    <w:rsid w:val="00BF1182"/>
    <w:rsid w:val="00BF1502"/>
    <w:rsid w:val="00BF1F0C"/>
    <w:rsid w:val="00BF2197"/>
    <w:rsid w:val="00BF2334"/>
    <w:rsid w:val="00BF2842"/>
    <w:rsid w:val="00BF2925"/>
    <w:rsid w:val="00BF349C"/>
    <w:rsid w:val="00BF3E21"/>
    <w:rsid w:val="00BF3EEF"/>
    <w:rsid w:val="00BF3EF6"/>
    <w:rsid w:val="00BF44E8"/>
    <w:rsid w:val="00BF45D7"/>
    <w:rsid w:val="00BF464C"/>
    <w:rsid w:val="00BF4852"/>
    <w:rsid w:val="00BF4903"/>
    <w:rsid w:val="00BF4AA1"/>
    <w:rsid w:val="00BF5C59"/>
    <w:rsid w:val="00BF5F44"/>
    <w:rsid w:val="00BF603B"/>
    <w:rsid w:val="00BF6A77"/>
    <w:rsid w:val="00BF6B47"/>
    <w:rsid w:val="00BF6E64"/>
    <w:rsid w:val="00BF70C1"/>
    <w:rsid w:val="00BF7197"/>
    <w:rsid w:val="00BF72A8"/>
    <w:rsid w:val="00BF72CB"/>
    <w:rsid w:val="00BF7A62"/>
    <w:rsid w:val="00C00FEE"/>
    <w:rsid w:val="00C016CC"/>
    <w:rsid w:val="00C017AE"/>
    <w:rsid w:val="00C021DE"/>
    <w:rsid w:val="00C02379"/>
    <w:rsid w:val="00C023DA"/>
    <w:rsid w:val="00C0262D"/>
    <w:rsid w:val="00C0290E"/>
    <w:rsid w:val="00C02C88"/>
    <w:rsid w:val="00C02FC8"/>
    <w:rsid w:val="00C0389F"/>
    <w:rsid w:val="00C0407D"/>
    <w:rsid w:val="00C045C1"/>
    <w:rsid w:val="00C045C9"/>
    <w:rsid w:val="00C04A89"/>
    <w:rsid w:val="00C04C22"/>
    <w:rsid w:val="00C04C98"/>
    <w:rsid w:val="00C05477"/>
    <w:rsid w:val="00C05573"/>
    <w:rsid w:val="00C05661"/>
    <w:rsid w:val="00C05758"/>
    <w:rsid w:val="00C05C0E"/>
    <w:rsid w:val="00C060E8"/>
    <w:rsid w:val="00C06160"/>
    <w:rsid w:val="00C06543"/>
    <w:rsid w:val="00C06B28"/>
    <w:rsid w:val="00C06D84"/>
    <w:rsid w:val="00C06E43"/>
    <w:rsid w:val="00C07133"/>
    <w:rsid w:val="00C07D73"/>
    <w:rsid w:val="00C1059A"/>
    <w:rsid w:val="00C105B8"/>
    <w:rsid w:val="00C105CE"/>
    <w:rsid w:val="00C109CA"/>
    <w:rsid w:val="00C10C2D"/>
    <w:rsid w:val="00C11444"/>
    <w:rsid w:val="00C11C72"/>
    <w:rsid w:val="00C12134"/>
    <w:rsid w:val="00C123DD"/>
    <w:rsid w:val="00C1240F"/>
    <w:rsid w:val="00C12A41"/>
    <w:rsid w:val="00C12F78"/>
    <w:rsid w:val="00C13016"/>
    <w:rsid w:val="00C13236"/>
    <w:rsid w:val="00C139F1"/>
    <w:rsid w:val="00C13F37"/>
    <w:rsid w:val="00C1429E"/>
    <w:rsid w:val="00C1443F"/>
    <w:rsid w:val="00C144E6"/>
    <w:rsid w:val="00C1495C"/>
    <w:rsid w:val="00C14D22"/>
    <w:rsid w:val="00C15267"/>
    <w:rsid w:val="00C15574"/>
    <w:rsid w:val="00C15596"/>
    <w:rsid w:val="00C156FE"/>
    <w:rsid w:val="00C1583F"/>
    <w:rsid w:val="00C1584C"/>
    <w:rsid w:val="00C16260"/>
    <w:rsid w:val="00C1672E"/>
    <w:rsid w:val="00C170B1"/>
    <w:rsid w:val="00C171E0"/>
    <w:rsid w:val="00C171FE"/>
    <w:rsid w:val="00C172D3"/>
    <w:rsid w:val="00C172E5"/>
    <w:rsid w:val="00C174F0"/>
    <w:rsid w:val="00C176ED"/>
    <w:rsid w:val="00C17DB5"/>
    <w:rsid w:val="00C17E0A"/>
    <w:rsid w:val="00C200BD"/>
    <w:rsid w:val="00C20128"/>
    <w:rsid w:val="00C22027"/>
    <w:rsid w:val="00C23021"/>
    <w:rsid w:val="00C233A9"/>
    <w:rsid w:val="00C238AC"/>
    <w:rsid w:val="00C24356"/>
    <w:rsid w:val="00C24B43"/>
    <w:rsid w:val="00C24B97"/>
    <w:rsid w:val="00C255E7"/>
    <w:rsid w:val="00C258A1"/>
    <w:rsid w:val="00C25AAF"/>
    <w:rsid w:val="00C25CA1"/>
    <w:rsid w:val="00C25DA7"/>
    <w:rsid w:val="00C25F84"/>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B32"/>
    <w:rsid w:val="00C327FD"/>
    <w:rsid w:val="00C32B00"/>
    <w:rsid w:val="00C32FD1"/>
    <w:rsid w:val="00C32FF8"/>
    <w:rsid w:val="00C332A3"/>
    <w:rsid w:val="00C33526"/>
    <w:rsid w:val="00C335DF"/>
    <w:rsid w:val="00C33699"/>
    <w:rsid w:val="00C33E0C"/>
    <w:rsid w:val="00C33EA3"/>
    <w:rsid w:val="00C34C23"/>
    <w:rsid w:val="00C355F6"/>
    <w:rsid w:val="00C35BFE"/>
    <w:rsid w:val="00C36356"/>
    <w:rsid w:val="00C369B5"/>
    <w:rsid w:val="00C36DC0"/>
    <w:rsid w:val="00C376BD"/>
    <w:rsid w:val="00C37AFE"/>
    <w:rsid w:val="00C37D8D"/>
    <w:rsid w:val="00C37EB2"/>
    <w:rsid w:val="00C37F5A"/>
    <w:rsid w:val="00C401B2"/>
    <w:rsid w:val="00C406F3"/>
    <w:rsid w:val="00C407D1"/>
    <w:rsid w:val="00C410B6"/>
    <w:rsid w:val="00C4119D"/>
    <w:rsid w:val="00C4122A"/>
    <w:rsid w:val="00C41F98"/>
    <w:rsid w:val="00C4201E"/>
    <w:rsid w:val="00C429F5"/>
    <w:rsid w:val="00C42A9F"/>
    <w:rsid w:val="00C42B8C"/>
    <w:rsid w:val="00C42C21"/>
    <w:rsid w:val="00C43112"/>
    <w:rsid w:val="00C432A4"/>
    <w:rsid w:val="00C43A9D"/>
    <w:rsid w:val="00C43CE6"/>
    <w:rsid w:val="00C44863"/>
    <w:rsid w:val="00C44CEC"/>
    <w:rsid w:val="00C45158"/>
    <w:rsid w:val="00C45201"/>
    <w:rsid w:val="00C4545D"/>
    <w:rsid w:val="00C45896"/>
    <w:rsid w:val="00C459A8"/>
    <w:rsid w:val="00C45B1A"/>
    <w:rsid w:val="00C46280"/>
    <w:rsid w:val="00C46289"/>
    <w:rsid w:val="00C46532"/>
    <w:rsid w:val="00C467A0"/>
    <w:rsid w:val="00C46879"/>
    <w:rsid w:val="00C469D5"/>
    <w:rsid w:val="00C46F8D"/>
    <w:rsid w:val="00C471B1"/>
    <w:rsid w:val="00C47D02"/>
    <w:rsid w:val="00C50162"/>
    <w:rsid w:val="00C50236"/>
    <w:rsid w:val="00C508FC"/>
    <w:rsid w:val="00C519DF"/>
    <w:rsid w:val="00C51AF1"/>
    <w:rsid w:val="00C51D12"/>
    <w:rsid w:val="00C51DEE"/>
    <w:rsid w:val="00C521E3"/>
    <w:rsid w:val="00C52422"/>
    <w:rsid w:val="00C52776"/>
    <w:rsid w:val="00C53418"/>
    <w:rsid w:val="00C53A4C"/>
    <w:rsid w:val="00C53C60"/>
    <w:rsid w:val="00C54127"/>
    <w:rsid w:val="00C543BD"/>
    <w:rsid w:val="00C54422"/>
    <w:rsid w:val="00C5459E"/>
    <w:rsid w:val="00C548D8"/>
    <w:rsid w:val="00C54A56"/>
    <w:rsid w:val="00C550FC"/>
    <w:rsid w:val="00C552FF"/>
    <w:rsid w:val="00C558D2"/>
    <w:rsid w:val="00C55CEF"/>
    <w:rsid w:val="00C567F2"/>
    <w:rsid w:val="00C56CEC"/>
    <w:rsid w:val="00C56CF1"/>
    <w:rsid w:val="00C56D81"/>
    <w:rsid w:val="00C56E5E"/>
    <w:rsid w:val="00C56FC0"/>
    <w:rsid w:val="00C575C0"/>
    <w:rsid w:val="00C6113E"/>
    <w:rsid w:val="00C61251"/>
    <w:rsid w:val="00C61390"/>
    <w:rsid w:val="00C61806"/>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945"/>
    <w:rsid w:val="00C6499D"/>
    <w:rsid w:val="00C64B59"/>
    <w:rsid w:val="00C64C74"/>
    <w:rsid w:val="00C651FF"/>
    <w:rsid w:val="00C6529F"/>
    <w:rsid w:val="00C658A3"/>
    <w:rsid w:val="00C65D72"/>
    <w:rsid w:val="00C65F0E"/>
    <w:rsid w:val="00C65F4B"/>
    <w:rsid w:val="00C66202"/>
    <w:rsid w:val="00C664F9"/>
    <w:rsid w:val="00C6667B"/>
    <w:rsid w:val="00C6668E"/>
    <w:rsid w:val="00C667BC"/>
    <w:rsid w:val="00C66849"/>
    <w:rsid w:val="00C66A52"/>
    <w:rsid w:val="00C66FE0"/>
    <w:rsid w:val="00C675FB"/>
    <w:rsid w:val="00C67648"/>
    <w:rsid w:val="00C67C03"/>
    <w:rsid w:val="00C709A4"/>
    <w:rsid w:val="00C70C9D"/>
    <w:rsid w:val="00C70EA8"/>
    <w:rsid w:val="00C7107A"/>
    <w:rsid w:val="00C715F0"/>
    <w:rsid w:val="00C71714"/>
    <w:rsid w:val="00C717A1"/>
    <w:rsid w:val="00C72199"/>
    <w:rsid w:val="00C72423"/>
    <w:rsid w:val="00C7256E"/>
    <w:rsid w:val="00C72910"/>
    <w:rsid w:val="00C72A55"/>
    <w:rsid w:val="00C72C1A"/>
    <w:rsid w:val="00C73353"/>
    <w:rsid w:val="00C7355D"/>
    <w:rsid w:val="00C739B9"/>
    <w:rsid w:val="00C7441B"/>
    <w:rsid w:val="00C74B22"/>
    <w:rsid w:val="00C75319"/>
    <w:rsid w:val="00C7569E"/>
    <w:rsid w:val="00C7611A"/>
    <w:rsid w:val="00C7651D"/>
    <w:rsid w:val="00C776B6"/>
    <w:rsid w:val="00C77886"/>
    <w:rsid w:val="00C77C5F"/>
    <w:rsid w:val="00C8016B"/>
    <w:rsid w:val="00C807DD"/>
    <w:rsid w:val="00C80C3F"/>
    <w:rsid w:val="00C80C44"/>
    <w:rsid w:val="00C80D13"/>
    <w:rsid w:val="00C80FF8"/>
    <w:rsid w:val="00C810AB"/>
    <w:rsid w:val="00C818DA"/>
    <w:rsid w:val="00C81C86"/>
    <w:rsid w:val="00C81F08"/>
    <w:rsid w:val="00C8342C"/>
    <w:rsid w:val="00C84061"/>
    <w:rsid w:val="00C8432B"/>
    <w:rsid w:val="00C845ED"/>
    <w:rsid w:val="00C84D90"/>
    <w:rsid w:val="00C850E1"/>
    <w:rsid w:val="00C8524F"/>
    <w:rsid w:val="00C85395"/>
    <w:rsid w:val="00C854AB"/>
    <w:rsid w:val="00C8608C"/>
    <w:rsid w:val="00C86543"/>
    <w:rsid w:val="00C86844"/>
    <w:rsid w:val="00C86BAC"/>
    <w:rsid w:val="00C86EEA"/>
    <w:rsid w:val="00C870D7"/>
    <w:rsid w:val="00C874B4"/>
    <w:rsid w:val="00C8781B"/>
    <w:rsid w:val="00C87887"/>
    <w:rsid w:val="00C87E5D"/>
    <w:rsid w:val="00C902A2"/>
    <w:rsid w:val="00C90332"/>
    <w:rsid w:val="00C90583"/>
    <w:rsid w:val="00C906B5"/>
    <w:rsid w:val="00C90C3E"/>
    <w:rsid w:val="00C91C0F"/>
    <w:rsid w:val="00C920A2"/>
    <w:rsid w:val="00C924F0"/>
    <w:rsid w:val="00C924F2"/>
    <w:rsid w:val="00C9336F"/>
    <w:rsid w:val="00C93DFD"/>
    <w:rsid w:val="00C940F8"/>
    <w:rsid w:val="00C94172"/>
    <w:rsid w:val="00C945C7"/>
    <w:rsid w:val="00C94C1D"/>
    <w:rsid w:val="00C94CE6"/>
    <w:rsid w:val="00C94CF4"/>
    <w:rsid w:val="00C9568F"/>
    <w:rsid w:val="00C95BB6"/>
    <w:rsid w:val="00C95DB1"/>
    <w:rsid w:val="00C95F1E"/>
    <w:rsid w:val="00C95F45"/>
    <w:rsid w:val="00C96836"/>
    <w:rsid w:val="00C969E0"/>
    <w:rsid w:val="00C96B5E"/>
    <w:rsid w:val="00C96C6A"/>
    <w:rsid w:val="00C971B9"/>
    <w:rsid w:val="00C9721A"/>
    <w:rsid w:val="00C97AE8"/>
    <w:rsid w:val="00CA00D2"/>
    <w:rsid w:val="00CA09CD"/>
    <w:rsid w:val="00CA0BB8"/>
    <w:rsid w:val="00CA0CF7"/>
    <w:rsid w:val="00CA1C2A"/>
    <w:rsid w:val="00CA1EB0"/>
    <w:rsid w:val="00CA2196"/>
    <w:rsid w:val="00CA2227"/>
    <w:rsid w:val="00CA2374"/>
    <w:rsid w:val="00CA2580"/>
    <w:rsid w:val="00CA2F00"/>
    <w:rsid w:val="00CA3381"/>
    <w:rsid w:val="00CA3469"/>
    <w:rsid w:val="00CA380B"/>
    <w:rsid w:val="00CA3E4C"/>
    <w:rsid w:val="00CA4181"/>
    <w:rsid w:val="00CA462B"/>
    <w:rsid w:val="00CA4DFF"/>
    <w:rsid w:val="00CA505D"/>
    <w:rsid w:val="00CA5188"/>
    <w:rsid w:val="00CA5487"/>
    <w:rsid w:val="00CA6044"/>
    <w:rsid w:val="00CA7654"/>
    <w:rsid w:val="00CA7A16"/>
    <w:rsid w:val="00CA7A52"/>
    <w:rsid w:val="00CB02BC"/>
    <w:rsid w:val="00CB0A90"/>
    <w:rsid w:val="00CB1066"/>
    <w:rsid w:val="00CB15FD"/>
    <w:rsid w:val="00CB2251"/>
    <w:rsid w:val="00CB2794"/>
    <w:rsid w:val="00CB2C7B"/>
    <w:rsid w:val="00CB3478"/>
    <w:rsid w:val="00CB370D"/>
    <w:rsid w:val="00CB3C74"/>
    <w:rsid w:val="00CB43BD"/>
    <w:rsid w:val="00CB4F0E"/>
    <w:rsid w:val="00CB4F9F"/>
    <w:rsid w:val="00CB5348"/>
    <w:rsid w:val="00CB5E7A"/>
    <w:rsid w:val="00CB6523"/>
    <w:rsid w:val="00CB6638"/>
    <w:rsid w:val="00CB6E1D"/>
    <w:rsid w:val="00CB6F60"/>
    <w:rsid w:val="00CB7169"/>
    <w:rsid w:val="00CC013C"/>
    <w:rsid w:val="00CC0855"/>
    <w:rsid w:val="00CC0F02"/>
    <w:rsid w:val="00CC19FA"/>
    <w:rsid w:val="00CC1EFA"/>
    <w:rsid w:val="00CC2127"/>
    <w:rsid w:val="00CC2563"/>
    <w:rsid w:val="00CC2D1C"/>
    <w:rsid w:val="00CC3933"/>
    <w:rsid w:val="00CC3AE2"/>
    <w:rsid w:val="00CC3C4B"/>
    <w:rsid w:val="00CC3D6E"/>
    <w:rsid w:val="00CC3F6F"/>
    <w:rsid w:val="00CC4910"/>
    <w:rsid w:val="00CC4B8A"/>
    <w:rsid w:val="00CC510B"/>
    <w:rsid w:val="00CC53EF"/>
    <w:rsid w:val="00CC5486"/>
    <w:rsid w:val="00CC5F0E"/>
    <w:rsid w:val="00CC64E7"/>
    <w:rsid w:val="00CC676D"/>
    <w:rsid w:val="00CC6901"/>
    <w:rsid w:val="00CC6C05"/>
    <w:rsid w:val="00CC72CE"/>
    <w:rsid w:val="00CC76E3"/>
    <w:rsid w:val="00CC7A01"/>
    <w:rsid w:val="00CC7A5F"/>
    <w:rsid w:val="00CC7DEB"/>
    <w:rsid w:val="00CD07B8"/>
    <w:rsid w:val="00CD0932"/>
    <w:rsid w:val="00CD1359"/>
    <w:rsid w:val="00CD1708"/>
    <w:rsid w:val="00CD1892"/>
    <w:rsid w:val="00CD1F03"/>
    <w:rsid w:val="00CD200A"/>
    <w:rsid w:val="00CD256B"/>
    <w:rsid w:val="00CD2724"/>
    <w:rsid w:val="00CD27CC"/>
    <w:rsid w:val="00CD292E"/>
    <w:rsid w:val="00CD2FE9"/>
    <w:rsid w:val="00CD336C"/>
    <w:rsid w:val="00CD4030"/>
    <w:rsid w:val="00CD419C"/>
    <w:rsid w:val="00CD461C"/>
    <w:rsid w:val="00CD4680"/>
    <w:rsid w:val="00CD4798"/>
    <w:rsid w:val="00CD49AC"/>
    <w:rsid w:val="00CD4ABF"/>
    <w:rsid w:val="00CD4B41"/>
    <w:rsid w:val="00CD4E67"/>
    <w:rsid w:val="00CD4F4C"/>
    <w:rsid w:val="00CD5693"/>
    <w:rsid w:val="00CD5B28"/>
    <w:rsid w:val="00CD5F12"/>
    <w:rsid w:val="00CD6154"/>
    <w:rsid w:val="00CD620F"/>
    <w:rsid w:val="00CD6721"/>
    <w:rsid w:val="00CD69C8"/>
    <w:rsid w:val="00CD6AEC"/>
    <w:rsid w:val="00CD6CFD"/>
    <w:rsid w:val="00CD6D0A"/>
    <w:rsid w:val="00CD7D57"/>
    <w:rsid w:val="00CD7F20"/>
    <w:rsid w:val="00CE1600"/>
    <w:rsid w:val="00CE1711"/>
    <w:rsid w:val="00CE1F6C"/>
    <w:rsid w:val="00CE279E"/>
    <w:rsid w:val="00CE27F1"/>
    <w:rsid w:val="00CE28D6"/>
    <w:rsid w:val="00CE2A05"/>
    <w:rsid w:val="00CE2A56"/>
    <w:rsid w:val="00CE393F"/>
    <w:rsid w:val="00CE3A70"/>
    <w:rsid w:val="00CE3D31"/>
    <w:rsid w:val="00CE403B"/>
    <w:rsid w:val="00CE45BA"/>
    <w:rsid w:val="00CE53C4"/>
    <w:rsid w:val="00CE54E0"/>
    <w:rsid w:val="00CE54E1"/>
    <w:rsid w:val="00CE5782"/>
    <w:rsid w:val="00CE58FA"/>
    <w:rsid w:val="00CE59CD"/>
    <w:rsid w:val="00CE5F51"/>
    <w:rsid w:val="00CE5FDA"/>
    <w:rsid w:val="00CE66C8"/>
    <w:rsid w:val="00CE76FA"/>
    <w:rsid w:val="00CE7847"/>
    <w:rsid w:val="00CE7889"/>
    <w:rsid w:val="00CE7EAC"/>
    <w:rsid w:val="00CF0047"/>
    <w:rsid w:val="00CF0303"/>
    <w:rsid w:val="00CF046D"/>
    <w:rsid w:val="00CF0675"/>
    <w:rsid w:val="00CF06B3"/>
    <w:rsid w:val="00CF101F"/>
    <w:rsid w:val="00CF11BE"/>
    <w:rsid w:val="00CF1310"/>
    <w:rsid w:val="00CF16F5"/>
    <w:rsid w:val="00CF1943"/>
    <w:rsid w:val="00CF2B2B"/>
    <w:rsid w:val="00CF3030"/>
    <w:rsid w:val="00CF31DA"/>
    <w:rsid w:val="00CF3B2E"/>
    <w:rsid w:val="00CF42B4"/>
    <w:rsid w:val="00CF4384"/>
    <w:rsid w:val="00CF4478"/>
    <w:rsid w:val="00CF44F9"/>
    <w:rsid w:val="00CF4B33"/>
    <w:rsid w:val="00CF4BD5"/>
    <w:rsid w:val="00CF56BC"/>
    <w:rsid w:val="00CF5DE2"/>
    <w:rsid w:val="00CF60BE"/>
    <w:rsid w:val="00CF65F3"/>
    <w:rsid w:val="00CF6B59"/>
    <w:rsid w:val="00CF76FD"/>
    <w:rsid w:val="00CF7E2C"/>
    <w:rsid w:val="00D001C4"/>
    <w:rsid w:val="00D0045E"/>
    <w:rsid w:val="00D00478"/>
    <w:rsid w:val="00D005C3"/>
    <w:rsid w:val="00D00911"/>
    <w:rsid w:val="00D00A78"/>
    <w:rsid w:val="00D01151"/>
    <w:rsid w:val="00D012B4"/>
    <w:rsid w:val="00D01476"/>
    <w:rsid w:val="00D01627"/>
    <w:rsid w:val="00D01665"/>
    <w:rsid w:val="00D01C27"/>
    <w:rsid w:val="00D02898"/>
    <w:rsid w:val="00D02C74"/>
    <w:rsid w:val="00D03C09"/>
    <w:rsid w:val="00D03D3D"/>
    <w:rsid w:val="00D046C3"/>
    <w:rsid w:val="00D05AEF"/>
    <w:rsid w:val="00D05B72"/>
    <w:rsid w:val="00D06201"/>
    <w:rsid w:val="00D063AC"/>
    <w:rsid w:val="00D0645D"/>
    <w:rsid w:val="00D06521"/>
    <w:rsid w:val="00D06746"/>
    <w:rsid w:val="00D06A78"/>
    <w:rsid w:val="00D06A91"/>
    <w:rsid w:val="00D06FC3"/>
    <w:rsid w:val="00D071B2"/>
    <w:rsid w:val="00D07561"/>
    <w:rsid w:val="00D078F9"/>
    <w:rsid w:val="00D07DB4"/>
    <w:rsid w:val="00D07ED3"/>
    <w:rsid w:val="00D10258"/>
    <w:rsid w:val="00D104E0"/>
    <w:rsid w:val="00D10530"/>
    <w:rsid w:val="00D10A24"/>
    <w:rsid w:val="00D10D1B"/>
    <w:rsid w:val="00D1114F"/>
    <w:rsid w:val="00D119CF"/>
    <w:rsid w:val="00D11B39"/>
    <w:rsid w:val="00D11C4E"/>
    <w:rsid w:val="00D11C84"/>
    <w:rsid w:val="00D12059"/>
    <w:rsid w:val="00D1209D"/>
    <w:rsid w:val="00D125E5"/>
    <w:rsid w:val="00D12C2C"/>
    <w:rsid w:val="00D1308D"/>
    <w:rsid w:val="00D137FD"/>
    <w:rsid w:val="00D1408D"/>
    <w:rsid w:val="00D14239"/>
    <w:rsid w:val="00D148D4"/>
    <w:rsid w:val="00D14E0D"/>
    <w:rsid w:val="00D152B5"/>
    <w:rsid w:val="00D15D58"/>
    <w:rsid w:val="00D15F59"/>
    <w:rsid w:val="00D15FCB"/>
    <w:rsid w:val="00D165F4"/>
    <w:rsid w:val="00D16940"/>
    <w:rsid w:val="00D178D3"/>
    <w:rsid w:val="00D17B48"/>
    <w:rsid w:val="00D202A8"/>
    <w:rsid w:val="00D206FC"/>
    <w:rsid w:val="00D2092D"/>
    <w:rsid w:val="00D20DE3"/>
    <w:rsid w:val="00D210C6"/>
    <w:rsid w:val="00D2125C"/>
    <w:rsid w:val="00D21845"/>
    <w:rsid w:val="00D21D1F"/>
    <w:rsid w:val="00D2248D"/>
    <w:rsid w:val="00D22F0C"/>
    <w:rsid w:val="00D23163"/>
    <w:rsid w:val="00D233FD"/>
    <w:rsid w:val="00D235D3"/>
    <w:rsid w:val="00D240BC"/>
    <w:rsid w:val="00D247B7"/>
    <w:rsid w:val="00D24ADA"/>
    <w:rsid w:val="00D2506C"/>
    <w:rsid w:val="00D25462"/>
    <w:rsid w:val="00D25B08"/>
    <w:rsid w:val="00D2611B"/>
    <w:rsid w:val="00D26AFB"/>
    <w:rsid w:val="00D26C56"/>
    <w:rsid w:val="00D26EB7"/>
    <w:rsid w:val="00D276E8"/>
    <w:rsid w:val="00D2787E"/>
    <w:rsid w:val="00D27BB0"/>
    <w:rsid w:val="00D27C44"/>
    <w:rsid w:val="00D27D5D"/>
    <w:rsid w:val="00D302C2"/>
    <w:rsid w:val="00D3031D"/>
    <w:rsid w:val="00D30407"/>
    <w:rsid w:val="00D30C3C"/>
    <w:rsid w:val="00D30E08"/>
    <w:rsid w:val="00D31283"/>
    <w:rsid w:val="00D31DA6"/>
    <w:rsid w:val="00D322AB"/>
    <w:rsid w:val="00D327E7"/>
    <w:rsid w:val="00D3288A"/>
    <w:rsid w:val="00D3299A"/>
    <w:rsid w:val="00D32D41"/>
    <w:rsid w:val="00D33234"/>
    <w:rsid w:val="00D336DB"/>
    <w:rsid w:val="00D339F2"/>
    <w:rsid w:val="00D33E6C"/>
    <w:rsid w:val="00D34301"/>
    <w:rsid w:val="00D34338"/>
    <w:rsid w:val="00D3477B"/>
    <w:rsid w:val="00D35476"/>
    <w:rsid w:val="00D355E3"/>
    <w:rsid w:val="00D35BB7"/>
    <w:rsid w:val="00D360A8"/>
    <w:rsid w:val="00D3620E"/>
    <w:rsid w:val="00D363DE"/>
    <w:rsid w:val="00D3653D"/>
    <w:rsid w:val="00D36E6C"/>
    <w:rsid w:val="00D371DF"/>
    <w:rsid w:val="00D37741"/>
    <w:rsid w:val="00D4011A"/>
    <w:rsid w:val="00D404CD"/>
    <w:rsid w:val="00D4101C"/>
    <w:rsid w:val="00D41218"/>
    <w:rsid w:val="00D414E8"/>
    <w:rsid w:val="00D41B85"/>
    <w:rsid w:val="00D41EBD"/>
    <w:rsid w:val="00D42F40"/>
    <w:rsid w:val="00D43162"/>
    <w:rsid w:val="00D4343B"/>
    <w:rsid w:val="00D43617"/>
    <w:rsid w:val="00D43652"/>
    <w:rsid w:val="00D436A4"/>
    <w:rsid w:val="00D43935"/>
    <w:rsid w:val="00D43AE4"/>
    <w:rsid w:val="00D44056"/>
    <w:rsid w:val="00D440B4"/>
    <w:rsid w:val="00D44207"/>
    <w:rsid w:val="00D44948"/>
    <w:rsid w:val="00D44B87"/>
    <w:rsid w:val="00D45019"/>
    <w:rsid w:val="00D4522C"/>
    <w:rsid w:val="00D45595"/>
    <w:rsid w:val="00D4562D"/>
    <w:rsid w:val="00D45945"/>
    <w:rsid w:val="00D45ABC"/>
    <w:rsid w:val="00D45B0F"/>
    <w:rsid w:val="00D45B65"/>
    <w:rsid w:val="00D461BC"/>
    <w:rsid w:val="00D46289"/>
    <w:rsid w:val="00D46743"/>
    <w:rsid w:val="00D46AA4"/>
    <w:rsid w:val="00D4761B"/>
    <w:rsid w:val="00D47D8F"/>
    <w:rsid w:val="00D50682"/>
    <w:rsid w:val="00D50970"/>
    <w:rsid w:val="00D509DE"/>
    <w:rsid w:val="00D50A49"/>
    <w:rsid w:val="00D51260"/>
    <w:rsid w:val="00D51386"/>
    <w:rsid w:val="00D51749"/>
    <w:rsid w:val="00D5184E"/>
    <w:rsid w:val="00D51ABC"/>
    <w:rsid w:val="00D51E0B"/>
    <w:rsid w:val="00D522A8"/>
    <w:rsid w:val="00D52632"/>
    <w:rsid w:val="00D52987"/>
    <w:rsid w:val="00D52FE5"/>
    <w:rsid w:val="00D53410"/>
    <w:rsid w:val="00D53CDB"/>
    <w:rsid w:val="00D53DA3"/>
    <w:rsid w:val="00D53F1B"/>
    <w:rsid w:val="00D53F42"/>
    <w:rsid w:val="00D54136"/>
    <w:rsid w:val="00D54835"/>
    <w:rsid w:val="00D54BD4"/>
    <w:rsid w:val="00D550F9"/>
    <w:rsid w:val="00D55D06"/>
    <w:rsid w:val="00D56298"/>
    <w:rsid w:val="00D563A2"/>
    <w:rsid w:val="00D56892"/>
    <w:rsid w:val="00D5706F"/>
    <w:rsid w:val="00D577DF"/>
    <w:rsid w:val="00D57D66"/>
    <w:rsid w:val="00D607B7"/>
    <w:rsid w:val="00D60AA7"/>
    <w:rsid w:val="00D60B38"/>
    <w:rsid w:val="00D60BAA"/>
    <w:rsid w:val="00D61385"/>
    <w:rsid w:val="00D61640"/>
    <w:rsid w:val="00D61715"/>
    <w:rsid w:val="00D61788"/>
    <w:rsid w:val="00D61865"/>
    <w:rsid w:val="00D61896"/>
    <w:rsid w:val="00D61CBC"/>
    <w:rsid w:val="00D623A4"/>
    <w:rsid w:val="00D62C09"/>
    <w:rsid w:val="00D6344D"/>
    <w:rsid w:val="00D634CB"/>
    <w:rsid w:val="00D63FD6"/>
    <w:rsid w:val="00D6417B"/>
    <w:rsid w:val="00D641E6"/>
    <w:rsid w:val="00D6465C"/>
    <w:rsid w:val="00D64D84"/>
    <w:rsid w:val="00D651A9"/>
    <w:rsid w:val="00D65406"/>
    <w:rsid w:val="00D65A6E"/>
    <w:rsid w:val="00D65BDF"/>
    <w:rsid w:val="00D6606D"/>
    <w:rsid w:val="00D667AD"/>
    <w:rsid w:val="00D66BE9"/>
    <w:rsid w:val="00D67045"/>
    <w:rsid w:val="00D6723F"/>
    <w:rsid w:val="00D672F0"/>
    <w:rsid w:val="00D67590"/>
    <w:rsid w:val="00D6786E"/>
    <w:rsid w:val="00D67ADD"/>
    <w:rsid w:val="00D67DE1"/>
    <w:rsid w:val="00D704CB"/>
    <w:rsid w:val="00D70853"/>
    <w:rsid w:val="00D708D0"/>
    <w:rsid w:val="00D71401"/>
    <w:rsid w:val="00D716C7"/>
    <w:rsid w:val="00D71990"/>
    <w:rsid w:val="00D71AE5"/>
    <w:rsid w:val="00D71CBC"/>
    <w:rsid w:val="00D71DCE"/>
    <w:rsid w:val="00D72008"/>
    <w:rsid w:val="00D72256"/>
    <w:rsid w:val="00D72315"/>
    <w:rsid w:val="00D72533"/>
    <w:rsid w:val="00D72ABD"/>
    <w:rsid w:val="00D72BED"/>
    <w:rsid w:val="00D72C2C"/>
    <w:rsid w:val="00D732FE"/>
    <w:rsid w:val="00D73570"/>
    <w:rsid w:val="00D7418D"/>
    <w:rsid w:val="00D7442C"/>
    <w:rsid w:val="00D74834"/>
    <w:rsid w:val="00D7502B"/>
    <w:rsid w:val="00D75292"/>
    <w:rsid w:val="00D7552B"/>
    <w:rsid w:val="00D75582"/>
    <w:rsid w:val="00D756ED"/>
    <w:rsid w:val="00D7589B"/>
    <w:rsid w:val="00D75AC2"/>
    <w:rsid w:val="00D76116"/>
    <w:rsid w:val="00D76432"/>
    <w:rsid w:val="00D766A4"/>
    <w:rsid w:val="00D7671E"/>
    <w:rsid w:val="00D76A3E"/>
    <w:rsid w:val="00D804A5"/>
    <w:rsid w:val="00D80FB9"/>
    <w:rsid w:val="00D8115A"/>
    <w:rsid w:val="00D811FB"/>
    <w:rsid w:val="00D81276"/>
    <w:rsid w:val="00D8136A"/>
    <w:rsid w:val="00D81807"/>
    <w:rsid w:val="00D81D81"/>
    <w:rsid w:val="00D81DA1"/>
    <w:rsid w:val="00D81EFA"/>
    <w:rsid w:val="00D82486"/>
    <w:rsid w:val="00D82818"/>
    <w:rsid w:val="00D83148"/>
    <w:rsid w:val="00D833DE"/>
    <w:rsid w:val="00D83725"/>
    <w:rsid w:val="00D8398F"/>
    <w:rsid w:val="00D83DAE"/>
    <w:rsid w:val="00D83FF9"/>
    <w:rsid w:val="00D84432"/>
    <w:rsid w:val="00D84D60"/>
    <w:rsid w:val="00D85337"/>
    <w:rsid w:val="00D853ED"/>
    <w:rsid w:val="00D85E16"/>
    <w:rsid w:val="00D86386"/>
    <w:rsid w:val="00D864A6"/>
    <w:rsid w:val="00D86AC9"/>
    <w:rsid w:val="00D86C93"/>
    <w:rsid w:val="00D8702A"/>
    <w:rsid w:val="00D87078"/>
    <w:rsid w:val="00D87088"/>
    <w:rsid w:val="00D87459"/>
    <w:rsid w:val="00D8769A"/>
    <w:rsid w:val="00D876CD"/>
    <w:rsid w:val="00D87934"/>
    <w:rsid w:val="00D87B9E"/>
    <w:rsid w:val="00D90494"/>
    <w:rsid w:val="00D90567"/>
    <w:rsid w:val="00D90669"/>
    <w:rsid w:val="00D907EF"/>
    <w:rsid w:val="00D90834"/>
    <w:rsid w:val="00D90C09"/>
    <w:rsid w:val="00D90C29"/>
    <w:rsid w:val="00D90CE7"/>
    <w:rsid w:val="00D90EAA"/>
    <w:rsid w:val="00D91189"/>
    <w:rsid w:val="00D925AA"/>
    <w:rsid w:val="00D92AA2"/>
    <w:rsid w:val="00D92DB9"/>
    <w:rsid w:val="00D92F1A"/>
    <w:rsid w:val="00D92F40"/>
    <w:rsid w:val="00D93D7D"/>
    <w:rsid w:val="00D941F0"/>
    <w:rsid w:val="00D943A4"/>
    <w:rsid w:val="00D94C0B"/>
    <w:rsid w:val="00D95034"/>
    <w:rsid w:val="00D952A6"/>
    <w:rsid w:val="00D953F3"/>
    <w:rsid w:val="00D955D9"/>
    <w:rsid w:val="00D9568F"/>
    <w:rsid w:val="00D95ADE"/>
    <w:rsid w:val="00D95B78"/>
    <w:rsid w:val="00D97394"/>
    <w:rsid w:val="00D973ED"/>
    <w:rsid w:val="00D977DE"/>
    <w:rsid w:val="00D97B9D"/>
    <w:rsid w:val="00DA0016"/>
    <w:rsid w:val="00DA08B5"/>
    <w:rsid w:val="00DA0CC8"/>
    <w:rsid w:val="00DA1C9A"/>
    <w:rsid w:val="00DA1F03"/>
    <w:rsid w:val="00DA1F7D"/>
    <w:rsid w:val="00DA25D3"/>
    <w:rsid w:val="00DA2AB1"/>
    <w:rsid w:val="00DA3495"/>
    <w:rsid w:val="00DA3D5F"/>
    <w:rsid w:val="00DA4013"/>
    <w:rsid w:val="00DA437F"/>
    <w:rsid w:val="00DA4F55"/>
    <w:rsid w:val="00DA5276"/>
    <w:rsid w:val="00DA53A8"/>
    <w:rsid w:val="00DA543E"/>
    <w:rsid w:val="00DA568E"/>
    <w:rsid w:val="00DA5699"/>
    <w:rsid w:val="00DA5AB6"/>
    <w:rsid w:val="00DA5B39"/>
    <w:rsid w:val="00DA5CDE"/>
    <w:rsid w:val="00DA5EEC"/>
    <w:rsid w:val="00DA653E"/>
    <w:rsid w:val="00DA6564"/>
    <w:rsid w:val="00DA6659"/>
    <w:rsid w:val="00DA6E96"/>
    <w:rsid w:val="00DA6F4B"/>
    <w:rsid w:val="00DA7530"/>
    <w:rsid w:val="00DA758D"/>
    <w:rsid w:val="00DA7754"/>
    <w:rsid w:val="00DA7979"/>
    <w:rsid w:val="00DA7ED2"/>
    <w:rsid w:val="00DB015D"/>
    <w:rsid w:val="00DB030A"/>
    <w:rsid w:val="00DB0A6B"/>
    <w:rsid w:val="00DB0B04"/>
    <w:rsid w:val="00DB0F5E"/>
    <w:rsid w:val="00DB141E"/>
    <w:rsid w:val="00DB1A74"/>
    <w:rsid w:val="00DB1AE7"/>
    <w:rsid w:val="00DB1E3C"/>
    <w:rsid w:val="00DB1E93"/>
    <w:rsid w:val="00DB2098"/>
    <w:rsid w:val="00DB2154"/>
    <w:rsid w:val="00DB27AE"/>
    <w:rsid w:val="00DB2A33"/>
    <w:rsid w:val="00DB2C9A"/>
    <w:rsid w:val="00DB2E06"/>
    <w:rsid w:val="00DB2FB5"/>
    <w:rsid w:val="00DB2FCD"/>
    <w:rsid w:val="00DB35BB"/>
    <w:rsid w:val="00DB37C6"/>
    <w:rsid w:val="00DB3C15"/>
    <w:rsid w:val="00DB3D89"/>
    <w:rsid w:val="00DB40D0"/>
    <w:rsid w:val="00DB4D94"/>
    <w:rsid w:val="00DB50AC"/>
    <w:rsid w:val="00DB54DF"/>
    <w:rsid w:val="00DB560F"/>
    <w:rsid w:val="00DB6019"/>
    <w:rsid w:val="00DB617F"/>
    <w:rsid w:val="00DB78BD"/>
    <w:rsid w:val="00DC049D"/>
    <w:rsid w:val="00DC0933"/>
    <w:rsid w:val="00DC0A97"/>
    <w:rsid w:val="00DC0B94"/>
    <w:rsid w:val="00DC14DC"/>
    <w:rsid w:val="00DC1726"/>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5324"/>
    <w:rsid w:val="00DC5743"/>
    <w:rsid w:val="00DC575B"/>
    <w:rsid w:val="00DC5892"/>
    <w:rsid w:val="00DC6072"/>
    <w:rsid w:val="00DC61A4"/>
    <w:rsid w:val="00DC641E"/>
    <w:rsid w:val="00DC6C2C"/>
    <w:rsid w:val="00DC6D48"/>
    <w:rsid w:val="00DD00A3"/>
    <w:rsid w:val="00DD070A"/>
    <w:rsid w:val="00DD086F"/>
    <w:rsid w:val="00DD13F7"/>
    <w:rsid w:val="00DD1F00"/>
    <w:rsid w:val="00DD214C"/>
    <w:rsid w:val="00DD2969"/>
    <w:rsid w:val="00DD2A87"/>
    <w:rsid w:val="00DD2B15"/>
    <w:rsid w:val="00DD2B4D"/>
    <w:rsid w:val="00DD2D30"/>
    <w:rsid w:val="00DD2EBC"/>
    <w:rsid w:val="00DD2F37"/>
    <w:rsid w:val="00DD3D85"/>
    <w:rsid w:val="00DD3E54"/>
    <w:rsid w:val="00DD42B7"/>
    <w:rsid w:val="00DD4764"/>
    <w:rsid w:val="00DD4F20"/>
    <w:rsid w:val="00DD54F7"/>
    <w:rsid w:val="00DD550A"/>
    <w:rsid w:val="00DD560C"/>
    <w:rsid w:val="00DD5F9B"/>
    <w:rsid w:val="00DD5FF5"/>
    <w:rsid w:val="00DD60ED"/>
    <w:rsid w:val="00DD693C"/>
    <w:rsid w:val="00DD6B36"/>
    <w:rsid w:val="00DD723B"/>
    <w:rsid w:val="00DD72AC"/>
    <w:rsid w:val="00DD7335"/>
    <w:rsid w:val="00DD7ADB"/>
    <w:rsid w:val="00DD7E7E"/>
    <w:rsid w:val="00DE0B15"/>
    <w:rsid w:val="00DE0BE8"/>
    <w:rsid w:val="00DE0CAD"/>
    <w:rsid w:val="00DE119E"/>
    <w:rsid w:val="00DE181C"/>
    <w:rsid w:val="00DE1BF2"/>
    <w:rsid w:val="00DE1E29"/>
    <w:rsid w:val="00DE27C1"/>
    <w:rsid w:val="00DE287B"/>
    <w:rsid w:val="00DE2CAE"/>
    <w:rsid w:val="00DE2D15"/>
    <w:rsid w:val="00DE318B"/>
    <w:rsid w:val="00DE31B4"/>
    <w:rsid w:val="00DE3502"/>
    <w:rsid w:val="00DE3878"/>
    <w:rsid w:val="00DE3E88"/>
    <w:rsid w:val="00DE3F88"/>
    <w:rsid w:val="00DE3FE7"/>
    <w:rsid w:val="00DE42B2"/>
    <w:rsid w:val="00DE4951"/>
    <w:rsid w:val="00DE4B7C"/>
    <w:rsid w:val="00DE544D"/>
    <w:rsid w:val="00DE59B3"/>
    <w:rsid w:val="00DE5B48"/>
    <w:rsid w:val="00DE70B7"/>
    <w:rsid w:val="00DF0788"/>
    <w:rsid w:val="00DF08E4"/>
    <w:rsid w:val="00DF09F9"/>
    <w:rsid w:val="00DF0D46"/>
    <w:rsid w:val="00DF1009"/>
    <w:rsid w:val="00DF1365"/>
    <w:rsid w:val="00DF16E7"/>
    <w:rsid w:val="00DF2193"/>
    <w:rsid w:val="00DF2492"/>
    <w:rsid w:val="00DF2B16"/>
    <w:rsid w:val="00DF2B9E"/>
    <w:rsid w:val="00DF2D10"/>
    <w:rsid w:val="00DF2E47"/>
    <w:rsid w:val="00DF3006"/>
    <w:rsid w:val="00DF4031"/>
    <w:rsid w:val="00DF40B5"/>
    <w:rsid w:val="00DF4F51"/>
    <w:rsid w:val="00DF6A3E"/>
    <w:rsid w:val="00DF6AE8"/>
    <w:rsid w:val="00DF6BD5"/>
    <w:rsid w:val="00DF6CE0"/>
    <w:rsid w:val="00DF6E80"/>
    <w:rsid w:val="00DF7CDA"/>
    <w:rsid w:val="00E00AAD"/>
    <w:rsid w:val="00E00E90"/>
    <w:rsid w:val="00E01743"/>
    <w:rsid w:val="00E01B74"/>
    <w:rsid w:val="00E020C0"/>
    <w:rsid w:val="00E021CF"/>
    <w:rsid w:val="00E024F1"/>
    <w:rsid w:val="00E02AFB"/>
    <w:rsid w:val="00E02BC7"/>
    <w:rsid w:val="00E02D0E"/>
    <w:rsid w:val="00E0345B"/>
    <w:rsid w:val="00E040C1"/>
    <w:rsid w:val="00E04144"/>
    <w:rsid w:val="00E04B6C"/>
    <w:rsid w:val="00E04BE8"/>
    <w:rsid w:val="00E04CB4"/>
    <w:rsid w:val="00E04D00"/>
    <w:rsid w:val="00E05181"/>
    <w:rsid w:val="00E051C2"/>
    <w:rsid w:val="00E056CD"/>
    <w:rsid w:val="00E057C8"/>
    <w:rsid w:val="00E06381"/>
    <w:rsid w:val="00E06563"/>
    <w:rsid w:val="00E068AD"/>
    <w:rsid w:val="00E06C03"/>
    <w:rsid w:val="00E06C1E"/>
    <w:rsid w:val="00E06E5B"/>
    <w:rsid w:val="00E06EAC"/>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7EB"/>
    <w:rsid w:val="00E119E1"/>
    <w:rsid w:val="00E11A33"/>
    <w:rsid w:val="00E123F0"/>
    <w:rsid w:val="00E12FAB"/>
    <w:rsid w:val="00E1395F"/>
    <w:rsid w:val="00E13B2F"/>
    <w:rsid w:val="00E13E5F"/>
    <w:rsid w:val="00E14129"/>
    <w:rsid w:val="00E14476"/>
    <w:rsid w:val="00E14586"/>
    <w:rsid w:val="00E14794"/>
    <w:rsid w:val="00E15D1E"/>
    <w:rsid w:val="00E16378"/>
    <w:rsid w:val="00E16538"/>
    <w:rsid w:val="00E165DE"/>
    <w:rsid w:val="00E16CB1"/>
    <w:rsid w:val="00E177C8"/>
    <w:rsid w:val="00E177E0"/>
    <w:rsid w:val="00E17BAF"/>
    <w:rsid w:val="00E17D49"/>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6C4"/>
    <w:rsid w:val="00E23B48"/>
    <w:rsid w:val="00E23CA9"/>
    <w:rsid w:val="00E24157"/>
    <w:rsid w:val="00E24226"/>
    <w:rsid w:val="00E2497F"/>
    <w:rsid w:val="00E24F0F"/>
    <w:rsid w:val="00E259C5"/>
    <w:rsid w:val="00E259EC"/>
    <w:rsid w:val="00E25B48"/>
    <w:rsid w:val="00E25FAA"/>
    <w:rsid w:val="00E26ACE"/>
    <w:rsid w:val="00E27368"/>
    <w:rsid w:val="00E27608"/>
    <w:rsid w:val="00E27753"/>
    <w:rsid w:val="00E27898"/>
    <w:rsid w:val="00E27A87"/>
    <w:rsid w:val="00E3006A"/>
    <w:rsid w:val="00E302BB"/>
    <w:rsid w:val="00E30587"/>
    <w:rsid w:val="00E30D6E"/>
    <w:rsid w:val="00E30E09"/>
    <w:rsid w:val="00E31A21"/>
    <w:rsid w:val="00E31EBB"/>
    <w:rsid w:val="00E323E2"/>
    <w:rsid w:val="00E3287D"/>
    <w:rsid w:val="00E32C35"/>
    <w:rsid w:val="00E33045"/>
    <w:rsid w:val="00E33373"/>
    <w:rsid w:val="00E336F7"/>
    <w:rsid w:val="00E33973"/>
    <w:rsid w:val="00E33A83"/>
    <w:rsid w:val="00E33E42"/>
    <w:rsid w:val="00E3413B"/>
    <w:rsid w:val="00E3471B"/>
    <w:rsid w:val="00E3491A"/>
    <w:rsid w:val="00E34AED"/>
    <w:rsid w:val="00E34C5B"/>
    <w:rsid w:val="00E35615"/>
    <w:rsid w:val="00E36512"/>
    <w:rsid w:val="00E36658"/>
    <w:rsid w:val="00E36BBC"/>
    <w:rsid w:val="00E3705B"/>
    <w:rsid w:val="00E371BB"/>
    <w:rsid w:val="00E37594"/>
    <w:rsid w:val="00E375A5"/>
    <w:rsid w:val="00E37792"/>
    <w:rsid w:val="00E37867"/>
    <w:rsid w:val="00E37A62"/>
    <w:rsid w:val="00E37F26"/>
    <w:rsid w:val="00E37F9A"/>
    <w:rsid w:val="00E4087C"/>
    <w:rsid w:val="00E4093D"/>
    <w:rsid w:val="00E40E31"/>
    <w:rsid w:val="00E4166F"/>
    <w:rsid w:val="00E41DE5"/>
    <w:rsid w:val="00E4299E"/>
    <w:rsid w:val="00E42C70"/>
    <w:rsid w:val="00E430D1"/>
    <w:rsid w:val="00E4322A"/>
    <w:rsid w:val="00E4385F"/>
    <w:rsid w:val="00E44544"/>
    <w:rsid w:val="00E44F0C"/>
    <w:rsid w:val="00E44FDC"/>
    <w:rsid w:val="00E45325"/>
    <w:rsid w:val="00E4592D"/>
    <w:rsid w:val="00E45C87"/>
    <w:rsid w:val="00E46700"/>
    <w:rsid w:val="00E46712"/>
    <w:rsid w:val="00E4688F"/>
    <w:rsid w:val="00E46DD5"/>
    <w:rsid w:val="00E477FD"/>
    <w:rsid w:val="00E47DD3"/>
    <w:rsid w:val="00E5008F"/>
    <w:rsid w:val="00E50557"/>
    <w:rsid w:val="00E513C9"/>
    <w:rsid w:val="00E51E1B"/>
    <w:rsid w:val="00E522AC"/>
    <w:rsid w:val="00E5296F"/>
    <w:rsid w:val="00E53545"/>
    <w:rsid w:val="00E5414A"/>
    <w:rsid w:val="00E54450"/>
    <w:rsid w:val="00E54FE9"/>
    <w:rsid w:val="00E550ED"/>
    <w:rsid w:val="00E5513B"/>
    <w:rsid w:val="00E5521E"/>
    <w:rsid w:val="00E55444"/>
    <w:rsid w:val="00E55D2D"/>
    <w:rsid w:val="00E562B6"/>
    <w:rsid w:val="00E566F4"/>
    <w:rsid w:val="00E566FD"/>
    <w:rsid w:val="00E569C8"/>
    <w:rsid w:val="00E56FFE"/>
    <w:rsid w:val="00E5706F"/>
    <w:rsid w:val="00E57389"/>
    <w:rsid w:val="00E576C6"/>
    <w:rsid w:val="00E60461"/>
    <w:rsid w:val="00E60487"/>
    <w:rsid w:val="00E60858"/>
    <w:rsid w:val="00E608E5"/>
    <w:rsid w:val="00E61BB2"/>
    <w:rsid w:val="00E61BC7"/>
    <w:rsid w:val="00E62142"/>
    <w:rsid w:val="00E6222F"/>
    <w:rsid w:val="00E625DE"/>
    <w:rsid w:val="00E632C0"/>
    <w:rsid w:val="00E635C6"/>
    <w:rsid w:val="00E63E80"/>
    <w:rsid w:val="00E640F3"/>
    <w:rsid w:val="00E64255"/>
    <w:rsid w:val="00E643ED"/>
    <w:rsid w:val="00E64588"/>
    <w:rsid w:val="00E64FC2"/>
    <w:rsid w:val="00E651A8"/>
    <w:rsid w:val="00E655C5"/>
    <w:rsid w:val="00E65D30"/>
    <w:rsid w:val="00E65DB0"/>
    <w:rsid w:val="00E65EB4"/>
    <w:rsid w:val="00E66299"/>
    <w:rsid w:val="00E66673"/>
    <w:rsid w:val="00E67280"/>
    <w:rsid w:val="00E67570"/>
    <w:rsid w:val="00E678C9"/>
    <w:rsid w:val="00E67B35"/>
    <w:rsid w:val="00E70030"/>
    <w:rsid w:val="00E70484"/>
    <w:rsid w:val="00E7091E"/>
    <w:rsid w:val="00E710F5"/>
    <w:rsid w:val="00E71131"/>
    <w:rsid w:val="00E714FD"/>
    <w:rsid w:val="00E717F8"/>
    <w:rsid w:val="00E718E0"/>
    <w:rsid w:val="00E71F35"/>
    <w:rsid w:val="00E7236A"/>
    <w:rsid w:val="00E72584"/>
    <w:rsid w:val="00E728C4"/>
    <w:rsid w:val="00E730A9"/>
    <w:rsid w:val="00E73832"/>
    <w:rsid w:val="00E7398E"/>
    <w:rsid w:val="00E73DEA"/>
    <w:rsid w:val="00E73F52"/>
    <w:rsid w:val="00E74526"/>
    <w:rsid w:val="00E75283"/>
    <w:rsid w:val="00E752C9"/>
    <w:rsid w:val="00E7531A"/>
    <w:rsid w:val="00E7557C"/>
    <w:rsid w:val="00E75909"/>
    <w:rsid w:val="00E759BE"/>
    <w:rsid w:val="00E75E82"/>
    <w:rsid w:val="00E75FEB"/>
    <w:rsid w:val="00E763B3"/>
    <w:rsid w:val="00E76553"/>
    <w:rsid w:val="00E76615"/>
    <w:rsid w:val="00E76773"/>
    <w:rsid w:val="00E77A8B"/>
    <w:rsid w:val="00E8039D"/>
    <w:rsid w:val="00E804C6"/>
    <w:rsid w:val="00E8061F"/>
    <w:rsid w:val="00E8149C"/>
    <w:rsid w:val="00E8161D"/>
    <w:rsid w:val="00E8227B"/>
    <w:rsid w:val="00E827B5"/>
    <w:rsid w:val="00E8348B"/>
    <w:rsid w:val="00E83B39"/>
    <w:rsid w:val="00E83EB7"/>
    <w:rsid w:val="00E8408B"/>
    <w:rsid w:val="00E84152"/>
    <w:rsid w:val="00E84D5D"/>
    <w:rsid w:val="00E84FE1"/>
    <w:rsid w:val="00E8504A"/>
    <w:rsid w:val="00E850F6"/>
    <w:rsid w:val="00E857BF"/>
    <w:rsid w:val="00E85BF2"/>
    <w:rsid w:val="00E85EC3"/>
    <w:rsid w:val="00E861E0"/>
    <w:rsid w:val="00E862D7"/>
    <w:rsid w:val="00E863A9"/>
    <w:rsid w:val="00E86E9C"/>
    <w:rsid w:val="00E86F81"/>
    <w:rsid w:val="00E87356"/>
    <w:rsid w:val="00E8751A"/>
    <w:rsid w:val="00E875E6"/>
    <w:rsid w:val="00E87794"/>
    <w:rsid w:val="00E8782F"/>
    <w:rsid w:val="00E87FAE"/>
    <w:rsid w:val="00E90115"/>
    <w:rsid w:val="00E90234"/>
    <w:rsid w:val="00E90537"/>
    <w:rsid w:val="00E90730"/>
    <w:rsid w:val="00E91945"/>
    <w:rsid w:val="00E91D83"/>
    <w:rsid w:val="00E921E7"/>
    <w:rsid w:val="00E9260B"/>
    <w:rsid w:val="00E928A7"/>
    <w:rsid w:val="00E92D40"/>
    <w:rsid w:val="00E92FB4"/>
    <w:rsid w:val="00E9353C"/>
    <w:rsid w:val="00E936F5"/>
    <w:rsid w:val="00E9378A"/>
    <w:rsid w:val="00E939A0"/>
    <w:rsid w:val="00E93D8F"/>
    <w:rsid w:val="00E93FA0"/>
    <w:rsid w:val="00E9418D"/>
    <w:rsid w:val="00E94469"/>
    <w:rsid w:val="00E946C3"/>
    <w:rsid w:val="00E94B00"/>
    <w:rsid w:val="00E94F4E"/>
    <w:rsid w:val="00E956A1"/>
    <w:rsid w:val="00E95A5F"/>
    <w:rsid w:val="00E95DD2"/>
    <w:rsid w:val="00E96569"/>
    <w:rsid w:val="00E966F5"/>
    <w:rsid w:val="00E96ACF"/>
    <w:rsid w:val="00E9722C"/>
    <w:rsid w:val="00E97D54"/>
    <w:rsid w:val="00EA038B"/>
    <w:rsid w:val="00EA0A6D"/>
    <w:rsid w:val="00EA0EB1"/>
    <w:rsid w:val="00EA148C"/>
    <w:rsid w:val="00EA19C4"/>
    <w:rsid w:val="00EA1F23"/>
    <w:rsid w:val="00EA24BE"/>
    <w:rsid w:val="00EA2611"/>
    <w:rsid w:val="00EA285A"/>
    <w:rsid w:val="00EA29FD"/>
    <w:rsid w:val="00EA2A08"/>
    <w:rsid w:val="00EA2BBC"/>
    <w:rsid w:val="00EA2D93"/>
    <w:rsid w:val="00EA2F02"/>
    <w:rsid w:val="00EA3113"/>
    <w:rsid w:val="00EA33E0"/>
    <w:rsid w:val="00EA363B"/>
    <w:rsid w:val="00EA3960"/>
    <w:rsid w:val="00EA3A5A"/>
    <w:rsid w:val="00EA4226"/>
    <w:rsid w:val="00EA4236"/>
    <w:rsid w:val="00EA4ADC"/>
    <w:rsid w:val="00EA4B2D"/>
    <w:rsid w:val="00EA4B61"/>
    <w:rsid w:val="00EA4B84"/>
    <w:rsid w:val="00EA4FA9"/>
    <w:rsid w:val="00EA501B"/>
    <w:rsid w:val="00EA52C7"/>
    <w:rsid w:val="00EA5882"/>
    <w:rsid w:val="00EA5953"/>
    <w:rsid w:val="00EA68D8"/>
    <w:rsid w:val="00EA6A98"/>
    <w:rsid w:val="00EB0334"/>
    <w:rsid w:val="00EB042D"/>
    <w:rsid w:val="00EB11A6"/>
    <w:rsid w:val="00EB1443"/>
    <w:rsid w:val="00EB1ACE"/>
    <w:rsid w:val="00EB1B3E"/>
    <w:rsid w:val="00EB20F5"/>
    <w:rsid w:val="00EB24C5"/>
    <w:rsid w:val="00EB2710"/>
    <w:rsid w:val="00EB2C46"/>
    <w:rsid w:val="00EB3DC9"/>
    <w:rsid w:val="00EB448B"/>
    <w:rsid w:val="00EB4510"/>
    <w:rsid w:val="00EB4B28"/>
    <w:rsid w:val="00EB50F4"/>
    <w:rsid w:val="00EB5972"/>
    <w:rsid w:val="00EB5D4C"/>
    <w:rsid w:val="00EB736A"/>
    <w:rsid w:val="00EC02BC"/>
    <w:rsid w:val="00EC0C4A"/>
    <w:rsid w:val="00EC0E87"/>
    <w:rsid w:val="00EC187C"/>
    <w:rsid w:val="00EC1F2F"/>
    <w:rsid w:val="00EC226E"/>
    <w:rsid w:val="00EC26FC"/>
    <w:rsid w:val="00EC294E"/>
    <w:rsid w:val="00EC3479"/>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60DD"/>
    <w:rsid w:val="00EC6AEA"/>
    <w:rsid w:val="00EC70C7"/>
    <w:rsid w:val="00EC729E"/>
    <w:rsid w:val="00EC72E4"/>
    <w:rsid w:val="00EC75B4"/>
    <w:rsid w:val="00ED0160"/>
    <w:rsid w:val="00ED03AF"/>
    <w:rsid w:val="00ED03BB"/>
    <w:rsid w:val="00ED05B8"/>
    <w:rsid w:val="00ED06D7"/>
    <w:rsid w:val="00ED08EF"/>
    <w:rsid w:val="00ED0E1D"/>
    <w:rsid w:val="00ED13A5"/>
    <w:rsid w:val="00ED13AC"/>
    <w:rsid w:val="00ED13FC"/>
    <w:rsid w:val="00ED1571"/>
    <w:rsid w:val="00ED164D"/>
    <w:rsid w:val="00ED1A31"/>
    <w:rsid w:val="00ED1C06"/>
    <w:rsid w:val="00ED1D82"/>
    <w:rsid w:val="00ED1D86"/>
    <w:rsid w:val="00ED1DF3"/>
    <w:rsid w:val="00ED2BFA"/>
    <w:rsid w:val="00ED2FDA"/>
    <w:rsid w:val="00ED3788"/>
    <w:rsid w:val="00ED3AD9"/>
    <w:rsid w:val="00ED3C21"/>
    <w:rsid w:val="00ED3D80"/>
    <w:rsid w:val="00ED3EDA"/>
    <w:rsid w:val="00ED4051"/>
    <w:rsid w:val="00ED433B"/>
    <w:rsid w:val="00ED4F33"/>
    <w:rsid w:val="00ED5008"/>
    <w:rsid w:val="00ED552B"/>
    <w:rsid w:val="00ED5723"/>
    <w:rsid w:val="00ED5C2C"/>
    <w:rsid w:val="00ED5FB4"/>
    <w:rsid w:val="00ED66C7"/>
    <w:rsid w:val="00ED68FD"/>
    <w:rsid w:val="00ED6957"/>
    <w:rsid w:val="00ED69E3"/>
    <w:rsid w:val="00ED6BEF"/>
    <w:rsid w:val="00ED6D3F"/>
    <w:rsid w:val="00ED7518"/>
    <w:rsid w:val="00ED776E"/>
    <w:rsid w:val="00ED77A2"/>
    <w:rsid w:val="00EE02C7"/>
    <w:rsid w:val="00EE051F"/>
    <w:rsid w:val="00EE0C88"/>
    <w:rsid w:val="00EE0CAA"/>
    <w:rsid w:val="00EE1096"/>
    <w:rsid w:val="00EE14D8"/>
    <w:rsid w:val="00EE16D3"/>
    <w:rsid w:val="00EE20F3"/>
    <w:rsid w:val="00EE2B7E"/>
    <w:rsid w:val="00EE2C4F"/>
    <w:rsid w:val="00EE368E"/>
    <w:rsid w:val="00EE38A0"/>
    <w:rsid w:val="00EE3AB2"/>
    <w:rsid w:val="00EE4344"/>
    <w:rsid w:val="00EE457B"/>
    <w:rsid w:val="00EE491E"/>
    <w:rsid w:val="00EE4EFD"/>
    <w:rsid w:val="00EE4F79"/>
    <w:rsid w:val="00EE509E"/>
    <w:rsid w:val="00EE5194"/>
    <w:rsid w:val="00EE51D0"/>
    <w:rsid w:val="00EE5424"/>
    <w:rsid w:val="00EE5652"/>
    <w:rsid w:val="00EE5A01"/>
    <w:rsid w:val="00EE5FBB"/>
    <w:rsid w:val="00EE6122"/>
    <w:rsid w:val="00EE63FD"/>
    <w:rsid w:val="00EE6461"/>
    <w:rsid w:val="00EE651A"/>
    <w:rsid w:val="00EE66BA"/>
    <w:rsid w:val="00EE6CCA"/>
    <w:rsid w:val="00EE6DC1"/>
    <w:rsid w:val="00EE703A"/>
    <w:rsid w:val="00EE7F14"/>
    <w:rsid w:val="00EF0138"/>
    <w:rsid w:val="00EF0198"/>
    <w:rsid w:val="00EF0E69"/>
    <w:rsid w:val="00EF149D"/>
    <w:rsid w:val="00EF15AD"/>
    <w:rsid w:val="00EF17A5"/>
    <w:rsid w:val="00EF1B22"/>
    <w:rsid w:val="00EF1F43"/>
    <w:rsid w:val="00EF2FB7"/>
    <w:rsid w:val="00EF34A8"/>
    <w:rsid w:val="00EF35AA"/>
    <w:rsid w:val="00EF39AB"/>
    <w:rsid w:val="00EF3D8B"/>
    <w:rsid w:val="00EF3DBE"/>
    <w:rsid w:val="00EF425B"/>
    <w:rsid w:val="00EF425F"/>
    <w:rsid w:val="00EF43C5"/>
    <w:rsid w:val="00EF4751"/>
    <w:rsid w:val="00EF47F3"/>
    <w:rsid w:val="00EF4C02"/>
    <w:rsid w:val="00EF50EF"/>
    <w:rsid w:val="00EF5281"/>
    <w:rsid w:val="00EF5640"/>
    <w:rsid w:val="00EF5BD3"/>
    <w:rsid w:val="00EF6B09"/>
    <w:rsid w:val="00EF6B94"/>
    <w:rsid w:val="00EF7318"/>
    <w:rsid w:val="00EF7344"/>
    <w:rsid w:val="00EF7472"/>
    <w:rsid w:val="00EF7D3F"/>
    <w:rsid w:val="00EF7F59"/>
    <w:rsid w:val="00F0011A"/>
    <w:rsid w:val="00F0028F"/>
    <w:rsid w:val="00F006C6"/>
    <w:rsid w:val="00F00732"/>
    <w:rsid w:val="00F00A7F"/>
    <w:rsid w:val="00F00B55"/>
    <w:rsid w:val="00F00C50"/>
    <w:rsid w:val="00F00D63"/>
    <w:rsid w:val="00F0138F"/>
    <w:rsid w:val="00F017AA"/>
    <w:rsid w:val="00F0181F"/>
    <w:rsid w:val="00F0183B"/>
    <w:rsid w:val="00F019AD"/>
    <w:rsid w:val="00F019E6"/>
    <w:rsid w:val="00F01D8C"/>
    <w:rsid w:val="00F01E81"/>
    <w:rsid w:val="00F020AB"/>
    <w:rsid w:val="00F027C1"/>
    <w:rsid w:val="00F02D08"/>
    <w:rsid w:val="00F03153"/>
    <w:rsid w:val="00F0358D"/>
    <w:rsid w:val="00F03793"/>
    <w:rsid w:val="00F03CC3"/>
    <w:rsid w:val="00F03DC2"/>
    <w:rsid w:val="00F042D3"/>
    <w:rsid w:val="00F0440E"/>
    <w:rsid w:val="00F04777"/>
    <w:rsid w:val="00F04AC0"/>
    <w:rsid w:val="00F04BDF"/>
    <w:rsid w:val="00F050CE"/>
    <w:rsid w:val="00F0537B"/>
    <w:rsid w:val="00F0537E"/>
    <w:rsid w:val="00F064D2"/>
    <w:rsid w:val="00F06557"/>
    <w:rsid w:val="00F06733"/>
    <w:rsid w:val="00F06BDE"/>
    <w:rsid w:val="00F06E54"/>
    <w:rsid w:val="00F0748C"/>
    <w:rsid w:val="00F075C0"/>
    <w:rsid w:val="00F07B71"/>
    <w:rsid w:val="00F07D2B"/>
    <w:rsid w:val="00F07E24"/>
    <w:rsid w:val="00F07E68"/>
    <w:rsid w:val="00F100BC"/>
    <w:rsid w:val="00F10421"/>
    <w:rsid w:val="00F105AD"/>
    <w:rsid w:val="00F106A9"/>
    <w:rsid w:val="00F10920"/>
    <w:rsid w:val="00F10E82"/>
    <w:rsid w:val="00F10F16"/>
    <w:rsid w:val="00F112C3"/>
    <w:rsid w:val="00F11F08"/>
    <w:rsid w:val="00F12140"/>
    <w:rsid w:val="00F12230"/>
    <w:rsid w:val="00F12537"/>
    <w:rsid w:val="00F125A4"/>
    <w:rsid w:val="00F12724"/>
    <w:rsid w:val="00F1276E"/>
    <w:rsid w:val="00F127C6"/>
    <w:rsid w:val="00F130A4"/>
    <w:rsid w:val="00F133CD"/>
    <w:rsid w:val="00F13892"/>
    <w:rsid w:val="00F1391E"/>
    <w:rsid w:val="00F13974"/>
    <w:rsid w:val="00F13A73"/>
    <w:rsid w:val="00F13C84"/>
    <w:rsid w:val="00F1409C"/>
    <w:rsid w:val="00F14D29"/>
    <w:rsid w:val="00F1524D"/>
    <w:rsid w:val="00F1588C"/>
    <w:rsid w:val="00F15D91"/>
    <w:rsid w:val="00F15DBF"/>
    <w:rsid w:val="00F15FE0"/>
    <w:rsid w:val="00F160F3"/>
    <w:rsid w:val="00F16231"/>
    <w:rsid w:val="00F163C4"/>
    <w:rsid w:val="00F16740"/>
    <w:rsid w:val="00F16CBC"/>
    <w:rsid w:val="00F17440"/>
    <w:rsid w:val="00F17792"/>
    <w:rsid w:val="00F17A93"/>
    <w:rsid w:val="00F17CD8"/>
    <w:rsid w:val="00F17D56"/>
    <w:rsid w:val="00F17D5C"/>
    <w:rsid w:val="00F17D87"/>
    <w:rsid w:val="00F17F85"/>
    <w:rsid w:val="00F202D1"/>
    <w:rsid w:val="00F20760"/>
    <w:rsid w:val="00F2082B"/>
    <w:rsid w:val="00F20860"/>
    <w:rsid w:val="00F20C1B"/>
    <w:rsid w:val="00F21177"/>
    <w:rsid w:val="00F212BB"/>
    <w:rsid w:val="00F21484"/>
    <w:rsid w:val="00F21667"/>
    <w:rsid w:val="00F216BA"/>
    <w:rsid w:val="00F21CFE"/>
    <w:rsid w:val="00F21D7B"/>
    <w:rsid w:val="00F2220C"/>
    <w:rsid w:val="00F227B1"/>
    <w:rsid w:val="00F235BA"/>
    <w:rsid w:val="00F2376B"/>
    <w:rsid w:val="00F23D20"/>
    <w:rsid w:val="00F24105"/>
    <w:rsid w:val="00F247A1"/>
    <w:rsid w:val="00F24A0B"/>
    <w:rsid w:val="00F24C92"/>
    <w:rsid w:val="00F24E6A"/>
    <w:rsid w:val="00F25AAA"/>
    <w:rsid w:val="00F25C04"/>
    <w:rsid w:val="00F25EFD"/>
    <w:rsid w:val="00F26482"/>
    <w:rsid w:val="00F26DE6"/>
    <w:rsid w:val="00F27068"/>
    <w:rsid w:val="00F271CC"/>
    <w:rsid w:val="00F27562"/>
    <w:rsid w:val="00F276CB"/>
    <w:rsid w:val="00F27936"/>
    <w:rsid w:val="00F27F36"/>
    <w:rsid w:val="00F30437"/>
    <w:rsid w:val="00F31596"/>
    <w:rsid w:val="00F316E4"/>
    <w:rsid w:val="00F31D39"/>
    <w:rsid w:val="00F31F35"/>
    <w:rsid w:val="00F320B2"/>
    <w:rsid w:val="00F3214C"/>
    <w:rsid w:val="00F3295C"/>
    <w:rsid w:val="00F32A10"/>
    <w:rsid w:val="00F32C88"/>
    <w:rsid w:val="00F32ED0"/>
    <w:rsid w:val="00F3349F"/>
    <w:rsid w:val="00F336CC"/>
    <w:rsid w:val="00F3388E"/>
    <w:rsid w:val="00F3448A"/>
    <w:rsid w:val="00F346AC"/>
    <w:rsid w:val="00F3489D"/>
    <w:rsid w:val="00F34DCB"/>
    <w:rsid w:val="00F350B2"/>
    <w:rsid w:val="00F3517E"/>
    <w:rsid w:val="00F356E9"/>
    <w:rsid w:val="00F35810"/>
    <w:rsid w:val="00F358A8"/>
    <w:rsid w:val="00F3656B"/>
    <w:rsid w:val="00F365AE"/>
    <w:rsid w:val="00F367C4"/>
    <w:rsid w:val="00F36A64"/>
    <w:rsid w:val="00F36AC1"/>
    <w:rsid w:val="00F36CF8"/>
    <w:rsid w:val="00F370AF"/>
    <w:rsid w:val="00F372CE"/>
    <w:rsid w:val="00F37490"/>
    <w:rsid w:val="00F3764A"/>
    <w:rsid w:val="00F377CB"/>
    <w:rsid w:val="00F404F0"/>
    <w:rsid w:val="00F4086D"/>
    <w:rsid w:val="00F40A82"/>
    <w:rsid w:val="00F40EEA"/>
    <w:rsid w:val="00F40F57"/>
    <w:rsid w:val="00F410D0"/>
    <w:rsid w:val="00F41F98"/>
    <w:rsid w:val="00F42111"/>
    <w:rsid w:val="00F4278D"/>
    <w:rsid w:val="00F4293C"/>
    <w:rsid w:val="00F437B5"/>
    <w:rsid w:val="00F43902"/>
    <w:rsid w:val="00F43908"/>
    <w:rsid w:val="00F43A2F"/>
    <w:rsid w:val="00F43A74"/>
    <w:rsid w:val="00F44032"/>
    <w:rsid w:val="00F447FA"/>
    <w:rsid w:val="00F44CCB"/>
    <w:rsid w:val="00F452CC"/>
    <w:rsid w:val="00F455B6"/>
    <w:rsid w:val="00F45B67"/>
    <w:rsid w:val="00F45E63"/>
    <w:rsid w:val="00F461C3"/>
    <w:rsid w:val="00F46A63"/>
    <w:rsid w:val="00F4727F"/>
    <w:rsid w:val="00F47C1E"/>
    <w:rsid w:val="00F47CB8"/>
    <w:rsid w:val="00F47EA4"/>
    <w:rsid w:val="00F50042"/>
    <w:rsid w:val="00F50461"/>
    <w:rsid w:val="00F5087A"/>
    <w:rsid w:val="00F50D0C"/>
    <w:rsid w:val="00F50F0B"/>
    <w:rsid w:val="00F51372"/>
    <w:rsid w:val="00F51ABB"/>
    <w:rsid w:val="00F51B41"/>
    <w:rsid w:val="00F51D8E"/>
    <w:rsid w:val="00F5263D"/>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56DB"/>
    <w:rsid w:val="00F55E0B"/>
    <w:rsid w:val="00F560FD"/>
    <w:rsid w:val="00F5645B"/>
    <w:rsid w:val="00F5672A"/>
    <w:rsid w:val="00F568A1"/>
    <w:rsid w:val="00F56BF1"/>
    <w:rsid w:val="00F57323"/>
    <w:rsid w:val="00F57787"/>
    <w:rsid w:val="00F57CAA"/>
    <w:rsid w:val="00F608C6"/>
    <w:rsid w:val="00F60EA8"/>
    <w:rsid w:val="00F616C1"/>
    <w:rsid w:val="00F618AC"/>
    <w:rsid w:val="00F622A1"/>
    <w:rsid w:val="00F622DF"/>
    <w:rsid w:val="00F62432"/>
    <w:rsid w:val="00F6275A"/>
    <w:rsid w:val="00F6299C"/>
    <w:rsid w:val="00F62A9B"/>
    <w:rsid w:val="00F62CED"/>
    <w:rsid w:val="00F6324B"/>
    <w:rsid w:val="00F63BC6"/>
    <w:rsid w:val="00F64138"/>
    <w:rsid w:val="00F64DDC"/>
    <w:rsid w:val="00F65244"/>
    <w:rsid w:val="00F65597"/>
    <w:rsid w:val="00F657AC"/>
    <w:rsid w:val="00F65A6F"/>
    <w:rsid w:val="00F65BAF"/>
    <w:rsid w:val="00F66497"/>
    <w:rsid w:val="00F665CB"/>
    <w:rsid w:val="00F66979"/>
    <w:rsid w:val="00F66A85"/>
    <w:rsid w:val="00F66B64"/>
    <w:rsid w:val="00F66F21"/>
    <w:rsid w:val="00F67419"/>
    <w:rsid w:val="00F67997"/>
    <w:rsid w:val="00F702E5"/>
    <w:rsid w:val="00F70AB5"/>
    <w:rsid w:val="00F7117C"/>
    <w:rsid w:val="00F71487"/>
    <w:rsid w:val="00F72007"/>
    <w:rsid w:val="00F72021"/>
    <w:rsid w:val="00F72534"/>
    <w:rsid w:val="00F72CF3"/>
    <w:rsid w:val="00F72E18"/>
    <w:rsid w:val="00F73538"/>
    <w:rsid w:val="00F73E3D"/>
    <w:rsid w:val="00F73EFB"/>
    <w:rsid w:val="00F7404D"/>
    <w:rsid w:val="00F740D2"/>
    <w:rsid w:val="00F7425C"/>
    <w:rsid w:val="00F74577"/>
    <w:rsid w:val="00F74F73"/>
    <w:rsid w:val="00F75052"/>
    <w:rsid w:val="00F754BD"/>
    <w:rsid w:val="00F76319"/>
    <w:rsid w:val="00F7684E"/>
    <w:rsid w:val="00F76F69"/>
    <w:rsid w:val="00F773C8"/>
    <w:rsid w:val="00F774B1"/>
    <w:rsid w:val="00F779C8"/>
    <w:rsid w:val="00F77A31"/>
    <w:rsid w:val="00F77A8A"/>
    <w:rsid w:val="00F77DCC"/>
    <w:rsid w:val="00F80CF2"/>
    <w:rsid w:val="00F80D7F"/>
    <w:rsid w:val="00F810DD"/>
    <w:rsid w:val="00F813EB"/>
    <w:rsid w:val="00F8153A"/>
    <w:rsid w:val="00F81556"/>
    <w:rsid w:val="00F81EB2"/>
    <w:rsid w:val="00F82E49"/>
    <w:rsid w:val="00F82F8C"/>
    <w:rsid w:val="00F832F1"/>
    <w:rsid w:val="00F83C8D"/>
    <w:rsid w:val="00F84576"/>
    <w:rsid w:val="00F84FA4"/>
    <w:rsid w:val="00F8520D"/>
    <w:rsid w:val="00F855A8"/>
    <w:rsid w:val="00F85977"/>
    <w:rsid w:val="00F85D97"/>
    <w:rsid w:val="00F86316"/>
    <w:rsid w:val="00F8684A"/>
    <w:rsid w:val="00F868AF"/>
    <w:rsid w:val="00F86C23"/>
    <w:rsid w:val="00F87022"/>
    <w:rsid w:val="00F87343"/>
    <w:rsid w:val="00F87383"/>
    <w:rsid w:val="00F873DC"/>
    <w:rsid w:val="00F901AB"/>
    <w:rsid w:val="00F90790"/>
    <w:rsid w:val="00F90BF5"/>
    <w:rsid w:val="00F90F19"/>
    <w:rsid w:val="00F91B00"/>
    <w:rsid w:val="00F91E45"/>
    <w:rsid w:val="00F92084"/>
    <w:rsid w:val="00F9256F"/>
    <w:rsid w:val="00F92E6B"/>
    <w:rsid w:val="00F938A9"/>
    <w:rsid w:val="00F93B15"/>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70D8"/>
    <w:rsid w:val="00F971DB"/>
    <w:rsid w:val="00F971E0"/>
    <w:rsid w:val="00F97205"/>
    <w:rsid w:val="00F9723E"/>
    <w:rsid w:val="00F9788F"/>
    <w:rsid w:val="00F97DD3"/>
    <w:rsid w:val="00F97DEF"/>
    <w:rsid w:val="00F97E23"/>
    <w:rsid w:val="00F97F79"/>
    <w:rsid w:val="00FA0870"/>
    <w:rsid w:val="00FA0B13"/>
    <w:rsid w:val="00FA1C42"/>
    <w:rsid w:val="00FA1C68"/>
    <w:rsid w:val="00FA1CE9"/>
    <w:rsid w:val="00FA1E79"/>
    <w:rsid w:val="00FA223B"/>
    <w:rsid w:val="00FA24CE"/>
    <w:rsid w:val="00FA2556"/>
    <w:rsid w:val="00FA2625"/>
    <w:rsid w:val="00FA288C"/>
    <w:rsid w:val="00FA2A08"/>
    <w:rsid w:val="00FA2EC7"/>
    <w:rsid w:val="00FA303C"/>
    <w:rsid w:val="00FA3445"/>
    <w:rsid w:val="00FA36BA"/>
    <w:rsid w:val="00FA3FB6"/>
    <w:rsid w:val="00FA4048"/>
    <w:rsid w:val="00FA5011"/>
    <w:rsid w:val="00FA545F"/>
    <w:rsid w:val="00FA56A2"/>
    <w:rsid w:val="00FA57B9"/>
    <w:rsid w:val="00FA587B"/>
    <w:rsid w:val="00FA5A5D"/>
    <w:rsid w:val="00FA5B5A"/>
    <w:rsid w:val="00FA5F69"/>
    <w:rsid w:val="00FA66BD"/>
    <w:rsid w:val="00FA66F1"/>
    <w:rsid w:val="00FA6EC9"/>
    <w:rsid w:val="00FA6EE8"/>
    <w:rsid w:val="00FA6FA5"/>
    <w:rsid w:val="00FA727B"/>
    <w:rsid w:val="00FA75F2"/>
    <w:rsid w:val="00FA7C43"/>
    <w:rsid w:val="00FB040D"/>
    <w:rsid w:val="00FB0549"/>
    <w:rsid w:val="00FB05AE"/>
    <w:rsid w:val="00FB08F3"/>
    <w:rsid w:val="00FB095D"/>
    <w:rsid w:val="00FB0D60"/>
    <w:rsid w:val="00FB1191"/>
    <w:rsid w:val="00FB127E"/>
    <w:rsid w:val="00FB18CA"/>
    <w:rsid w:val="00FB1A9B"/>
    <w:rsid w:val="00FB1D17"/>
    <w:rsid w:val="00FB20DC"/>
    <w:rsid w:val="00FB20F4"/>
    <w:rsid w:val="00FB23C7"/>
    <w:rsid w:val="00FB2E10"/>
    <w:rsid w:val="00FB31B3"/>
    <w:rsid w:val="00FB336A"/>
    <w:rsid w:val="00FB3520"/>
    <w:rsid w:val="00FB3DAE"/>
    <w:rsid w:val="00FB3DB2"/>
    <w:rsid w:val="00FB4187"/>
    <w:rsid w:val="00FB4240"/>
    <w:rsid w:val="00FB48F3"/>
    <w:rsid w:val="00FB49DC"/>
    <w:rsid w:val="00FB4B10"/>
    <w:rsid w:val="00FB4C64"/>
    <w:rsid w:val="00FB4D57"/>
    <w:rsid w:val="00FB4DC5"/>
    <w:rsid w:val="00FB4E50"/>
    <w:rsid w:val="00FB5003"/>
    <w:rsid w:val="00FB53C9"/>
    <w:rsid w:val="00FB5841"/>
    <w:rsid w:val="00FB6952"/>
    <w:rsid w:val="00FB699F"/>
    <w:rsid w:val="00FB6AD8"/>
    <w:rsid w:val="00FB70DB"/>
    <w:rsid w:val="00FB73E5"/>
    <w:rsid w:val="00FB7445"/>
    <w:rsid w:val="00FB7447"/>
    <w:rsid w:val="00FB75BC"/>
    <w:rsid w:val="00FB7AAF"/>
    <w:rsid w:val="00FB7EDC"/>
    <w:rsid w:val="00FC1205"/>
    <w:rsid w:val="00FC1928"/>
    <w:rsid w:val="00FC192D"/>
    <w:rsid w:val="00FC1C91"/>
    <w:rsid w:val="00FC2817"/>
    <w:rsid w:val="00FC2EE7"/>
    <w:rsid w:val="00FC3574"/>
    <w:rsid w:val="00FC3ADF"/>
    <w:rsid w:val="00FC3D85"/>
    <w:rsid w:val="00FC3E97"/>
    <w:rsid w:val="00FC3F76"/>
    <w:rsid w:val="00FC3FBF"/>
    <w:rsid w:val="00FC4D3E"/>
    <w:rsid w:val="00FC4DDA"/>
    <w:rsid w:val="00FC534C"/>
    <w:rsid w:val="00FC5966"/>
    <w:rsid w:val="00FC5C11"/>
    <w:rsid w:val="00FC603D"/>
    <w:rsid w:val="00FC6E28"/>
    <w:rsid w:val="00FC7178"/>
    <w:rsid w:val="00FC7867"/>
    <w:rsid w:val="00FC7E2A"/>
    <w:rsid w:val="00FC7F88"/>
    <w:rsid w:val="00FD0148"/>
    <w:rsid w:val="00FD0168"/>
    <w:rsid w:val="00FD0598"/>
    <w:rsid w:val="00FD062D"/>
    <w:rsid w:val="00FD0A3A"/>
    <w:rsid w:val="00FD0B27"/>
    <w:rsid w:val="00FD11E5"/>
    <w:rsid w:val="00FD14B4"/>
    <w:rsid w:val="00FD15F4"/>
    <w:rsid w:val="00FD1E8D"/>
    <w:rsid w:val="00FD249A"/>
    <w:rsid w:val="00FD2CC7"/>
    <w:rsid w:val="00FD2E89"/>
    <w:rsid w:val="00FD324B"/>
    <w:rsid w:val="00FD3455"/>
    <w:rsid w:val="00FD3858"/>
    <w:rsid w:val="00FD3A95"/>
    <w:rsid w:val="00FD3DDB"/>
    <w:rsid w:val="00FD4223"/>
    <w:rsid w:val="00FD44FB"/>
    <w:rsid w:val="00FD478D"/>
    <w:rsid w:val="00FD47A4"/>
    <w:rsid w:val="00FD5088"/>
    <w:rsid w:val="00FD50B8"/>
    <w:rsid w:val="00FD568E"/>
    <w:rsid w:val="00FD5B49"/>
    <w:rsid w:val="00FD6AD6"/>
    <w:rsid w:val="00FD6D41"/>
    <w:rsid w:val="00FD6E92"/>
    <w:rsid w:val="00FD7189"/>
    <w:rsid w:val="00FD72EE"/>
    <w:rsid w:val="00FD76C4"/>
    <w:rsid w:val="00FD7C79"/>
    <w:rsid w:val="00FE0C8A"/>
    <w:rsid w:val="00FE17F0"/>
    <w:rsid w:val="00FE22D4"/>
    <w:rsid w:val="00FE22E6"/>
    <w:rsid w:val="00FE2BAB"/>
    <w:rsid w:val="00FE2DFE"/>
    <w:rsid w:val="00FE3128"/>
    <w:rsid w:val="00FE3C33"/>
    <w:rsid w:val="00FE3E93"/>
    <w:rsid w:val="00FE42DF"/>
    <w:rsid w:val="00FE490F"/>
    <w:rsid w:val="00FE494F"/>
    <w:rsid w:val="00FE5761"/>
    <w:rsid w:val="00FE5EA8"/>
    <w:rsid w:val="00FE6103"/>
    <w:rsid w:val="00FE618D"/>
    <w:rsid w:val="00FE648A"/>
    <w:rsid w:val="00FE64F0"/>
    <w:rsid w:val="00FE6757"/>
    <w:rsid w:val="00FE698D"/>
    <w:rsid w:val="00FE737F"/>
    <w:rsid w:val="00FF068E"/>
    <w:rsid w:val="00FF0BE2"/>
    <w:rsid w:val="00FF0C0B"/>
    <w:rsid w:val="00FF0F68"/>
    <w:rsid w:val="00FF131E"/>
    <w:rsid w:val="00FF14B2"/>
    <w:rsid w:val="00FF15EF"/>
    <w:rsid w:val="00FF1634"/>
    <w:rsid w:val="00FF1985"/>
    <w:rsid w:val="00FF1E67"/>
    <w:rsid w:val="00FF1F63"/>
    <w:rsid w:val="00FF276D"/>
    <w:rsid w:val="00FF27DC"/>
    <w:rsid w:val="00FF27E5"/>
    <w:rsid w:val="00FF2EFB"/>
    <w:rsid w:val="00FF3250"/>
    <w:rsid w:val="00FF3328"/>
    <w:rsid w:val="00FF3426"/>
    <w:rsid w:val="00FF34C4"/>
    <w:rsid w:val="00FF3AA9"/>
    <w:rsid w:val="00FF3ED9"/>
    <w:rsid w:val="00FF3F99"/>
    <w:rsid w:val="00FF474C"/>
    <w:rsid w:val="00FF49F4"/>
    <w:rsid w:val="00FF4C3A"/>
    <w:rsid w:val="00FF4E9A"/>
    <w:rsid w:val="00FF5232"/>
    <w:rsid w:val="00FF550D"/>
    <w:rsid w:val="00FF573E"/>
    <w:rsid w:val="00FF5A26"/>
    <w:rsid w:val="00FF5AD7"/>
    <w:rsid w:val="00FF652A"/>
    <w:rsid w:val="00FF659D"/>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1DE233"/>
  <w15:docId w15:val="{80FB0413-4CDA-474A-9F82-8C9DFD80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78A"/>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paragraph" w:customStyle="1" w:styleId="Textoindependiente31">
    <w:name w:val="Texto independiente 31"/>
    <w:basedOn w:val="Normal"/>
    <w:rsid w:val="00386D40"/>
    <w:pPr>
      <w:overflowPunct w:val="0"/>
      <w:autoSpaceDE w:val="0"/>
      <w:autoSpaceDN w:val="0"/>
      <w:adjustRightInd w:val="0"/>
      <w:textAlignment w:val="baseline"/>
    </w:pPr>
    <w:rPr>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7287">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02922446">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29081647">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5C47-C41A-4C37-9DB0-F17CA575E5D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07FFC5F-921E-43B3-B60E-1A333143F7B5}">
  <ds:schemaRefs>
    <ds:schemaRef ds:uri="http://schemas.microsoft.com/sharepoint/v3/contenttype/forms"/>
  </ds:schemaRefs>
</ds:datastoreItem>
</file>

<file path=customXml/itemProps3.xml><?xml version="1.0" encoding="utf-8"?>
<ds:datastoreItem xmlns:ds="http://schemas.openxmlformats.org/officeDocument/2006/customXml" ds:itemID="{36A0B077-AF2C-41F8-BD2B-FA54AE81C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2BE36-8C0B-49D1-82B3-4CF03919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3432</Words>
  <Characters>19569</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2018-06-27T21:31:00Z</cp:lastPrinted>
  <dcterms:created xsi:type="dcterms:W3CDTF">2020-07-01T21:21:00Z</dcterms:created>
  <dcterms:modified xsi:type="dcterms:W3CDTF">2020-07-01T21:21:00Z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