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2139" w14:textId="18C4BC56" w:rsidR="00FB42CA" w:rsidRPr="00714305" w:rsidRDefault="00FB42CA" w:rsidP="00FB42CA">
      <w:pPr>
        <w:spacing w:line="240" w:lineRule="auto"/>
        <w:rPr>
          <w:rFonts w:cs="Arial"/>
          <w:b/>
          <w:sz w:val="22"/>
          <w:szCs w:val="22"/>
        </w:rPr>
      </w:pPr>
      <w:r w:rsidRPr="00714305">
        <w:rPr>
          <w:rFonts w:cs="Arial"/>
          <w:b/>
          <w:sz w:val="22"/>
          <w:szCs w:val="22"/>
        </w:rPr>
        <w:t>NULIDAD Y RESTABLECIMIENTO DEL DERECHO – Caducidad de la acción</w:t>
      </w:r>
    </w:p>
    <w:p w14:paraId="6C0A5AE0" w14:textId="77777777" w:rsidR="00FB42CA" w:rsidRPr="00714305" w:rsidRDefault="00FB42CA" w:rsidP="00FB42CA">
      <w:pPr>
        <w:spacing w:line="240" w:lineRule="auto"/>
        <w:rPr>
          <w:rFonts w:cs="Arial"/>
          <w:sz w:val="22"/>
          <w:szCs w:val="22"/>
        </w:rPr>
      </w:pPr>
    </w:p>
    <w:p w14:paraId="644D350A" w14:textId="77777777" w:rsidR="00FB42CA" w:rsidRPr="00714305" w:rsidRDefault="00FB42CA" w:rsidP="00FB42CA">
      <w:pPr>
        <w:spacing w:line="240" w:lineRule="auto"/>
        <w:rPr>
          <w:rFonts w:cs="Arial"/>
          <w:sz w:val="22"/>
          <w:szCs w:val="22"/>
        </w:rPr>
      </w:pPr>
      <w:r w:rsidRPr="00714305">
        <w:rPr>
          <w:rFonts w:cs="Arial"/>
          <w:sz w:val="22"/>
          <w:szCs w:val="22"/>
        </w:rPr>
        <w:t>En virtud de la figura de la acumulación de pretensiones a la cual alude el artículo 165 del C.P.A.C.A., en las demandas presentadas ante esta jurisdicción resulta procedente acumular diferentes clases de pretensiones, siempre que sean conexas entre sí y se cumplan los siguientes requisitos (…) Se somete a consideración de la Sala tanto la declaratoria de nulidad del acto administrativo de adjudicación del concurso de méritos No. 003 de 2014, el restablecimiento del derecho, como la nulidad del contrato de interventoría No. 164 del 17 de julio de 2014, celebrado como producto del mismo, pretensiones cuya acumulación resulta procedente a través de la presente demanda. (…) Habida consideración de que la Resolución en comento se profirió en vigencia de la Ley 1437 de 2012, el respectivo término de caducidad para su impugnación en sede judicial debe computarse con arreglo a lo dispuesto en la norma que se deja transcrita.  En relación con la pretensión de nulidad absoluta del Contrato No. 164, también fue acatado el término previsto en el literal j) del artículo 164 del C.P.A.C.A, con apego al cual “Cuando se pretenda la nulidad absoluta o relativa del contrato, el término para demandar será de dos (2) años que se empezarán a contar desde el día siguiente al de su perfeccionamiento…”, toda vez que, para la fecha en que se radicó la demanda, no habían trascurrido los dos años contados desde el día siguiente a su suscripción, lo cual tuvo lugar el 17 de julio de 2014 .</w:t>
      </w:r>
    </w:p>
    <w:p w14:paraId="00F8AF9B" w14:textId="77777777" w:rsidR="00FB42CA" w:rsidRPr="00714305" w:rsidRDefault="00FB42CA" w:rsidP="00FB42CA">
      <w:pPr>
        <w:spacing w:line="240" w:lineRule="auto"/>
        <w:rPr>
          <w:rFonts w:cs="Arial"/>
          <w:sz w:val="22"/>
          <w:szCs w:val="22"/>
        </w:rPr>
      </w:pPr>
    </w:p>
    <w:p w14:paraId="5F758128" w14:textId="12BF610D" w:rsidR="00FB42CA" w:rsidRPr="00714305" w:rsidRDefault="00FB42CA" w:rsidP="00FB42CA">
      <w:pPr>
        <w:spacing w:line="240" w:lineRule="auto"/>
        <w:rPr>
          <w:rFonts w:cs="Arial"/>
          <w:b/>
          <w:sz w:val="22"/>
          <w:szCs w:val="22"/>
        </w:rPr>
      </w:pPr>
      <w:r w:rsidRPr="00714305">
        <w:rPr>
          <w:rFonts w:cs="Arial"/>
          <w:b/>
          <w:sz w:val="22"/>
          <w:szCs w:val="22"/>
        </w:rPr>
        <w:t>AUTORIDAD NACIONAL DE TELEVISIÓN – Régimen jurídico – Concurso de méritos</w:t>
      </w:r>
    </w:p>
    <w:p w14:paraId="39E8D00C" w14:textId="77777777" w:rsidR="00FB42CA" w:rsidRPr="00714305" w:rsidRDefault="00FB42CA" w:rsidP="00FB42CA">
      <w:pPr>
        <w:spacing w:line="240" w:lineRule="auto"/>
        <w:rPr>
          <w:rFonts w:cs="Arial"/>
          <w:sz w:val="22"/>
          <w:szCs w:val="22"/>
        </w:rPr>
      </w:pPr>
    </w:p>
    <w:p w14:paraId="33822C9C" w14:textId="77777777" w:rsidR="00FB42CA" w:rsidRPr="00714305" w:rsidRDefault="00FB42CA" w:rsidP="00FB42CA">
      <w:pPr>
        <w:spacing w:line="240" w:lineRule="auto"/>
        <w:rPr>
          <w:rFonts w:cs="Arial"/>
          <w:sz w:val="22"/>
          <w:szCs w:val="22"/>
        </w:rPr>
      </w:pPr>
      <w:r w:rsidRPr="00714305">
        <w:rPr>
          <w:rFonts w:cs="Arial"/>
          <w:sz w:val="22"/>
          <w:szCs w:val="22"/>
        </w:rPr>
        <w:t xml:space="preserve">La Sala observa que el Concurso de Méritos No. 003 de 2014 que dio origen al acto y al contrato acusados de nulidad fue adelantado por la Autoridad Nacional de Televisión, entidad creada por la Ley 1507 de 2012 (…) se dispuso que, para efectos de sus actos y contratos, esa autoridad se asimilaría a un establecimiento público del orden nacional (…) Como consecuencia, en acopio de lo dispuesto en el artículo primero en concordancia con lo señalado en el literal a) del ordinal 1 del artículo 2 de la Ley 80 de 1993, al hallarse la actividad contractual de los establecimientos públicos sometida el amparo de las disposiciones del Estatuto de Contratación Estatal </w:t>
      </w:r>
    </w:p>
    <w:p w14:paraId="23F624C1" w14:textId="77777777" w:rsidR="00FB42CA" w:rsidRPr="00714305" w:rsidRDefault="00FB42CA" w:rsidP="00FB42CA">
      <w:pPr>
        <w:spacing w:line="240" w:lineRule="auto"/>
        <w:rPr>
          <w:rFonts w:cs="Arial"/>
          <w:sz w:val="22"/>
          <w:szCs w:val="22"/>
        </w:rPr>
      </w:pPr>
    </w:p>
    <w:p w14:paraId="34ECCFEA" w14:textId="6405071F" w:rsidR="00FB42CA" w:rsidRPr="00714305" w:rsidRDefault="00FB42CA" w:rsidP="00FB42CA">
      <w:pPr>
        <w:spacing w:line="240" w:lineRule="auto"/>
        <w:rPr>
          <w:rFonts w:cs="Arial"/>
          <w:b/>
          <w:sz w:val="22"/>
          <w:szCs w:val="22"/>
        </w:rPr>
      </w:pPr>
      <w:r w:rsidRPr="00714305">
        <w:rPr>
          <w:rFonts w:cs="Arial"/>
          <w:b/>
          <w:sz w:val="22"/>
          <w:szCs w:val="22"/>
        </w:rPr>
        <w:t>CONCURSO DE MÉRITOS – Equipo de trabajo – Experiencia espec</w:t>
      </w:r>
      <w:r w:rsidR="00384E9C" w:rsidRPr="00714305">
        <w:rPr>
          <w:rFonts w:cs="Arial"/>
          <w:b/>
          <w:sz w:val="22"/>
          <w:szCs w:val="22"/>
        </w:rPr>
        <w:t>í</w:t>
      </w:r>
      <w:r w:rsidRPr="00714305">
        <w:rPr>
          <w:rFonts w:cs="Arial"/>
          <w:b/>
          <w:sz w:val="22"/>
          <w:szCs w:val="22"/>
        </w:rPr>
        <w:t>fica</w:t>
      </w:r>
    </w:p>
    <w:p w14:paraId="7BF108A4" w14:textId="77777777" w:rsidR="00FB42CA" w:rsidRPr="00714305" w:rsidRDefault="00FB42CA" w:rsidP="00FB42CA">
      <w:pPr>
        <w:spacing w:line="240" w:lineRule="auto"/>
        <w:rPr>
          <w:rFonts w:cs="Arial"/>
          <w:sz w:val="22"/>
          <w:szCs w:val="22"/>
        </w:rPr>
      </w:pPr>
    </w:p>
    <w:p w14:paraId="68E5641A" w14:textId="7F65F88E" w:rsidR="00FB42CA" w:rsidRPr="00714305" w:rsidRDefault="00786A11" w:rsidP="00FB42CA">
      <w:pPr>
        <w:spacing w:line="240" w:lineRule="auto"/>
        <w:rPr>
          <w:rFonts w:cs="Arial"/>
          <w:sz w:val="22"/>
          <w:szCs w:val="22"/>
        </w:rPr>
      </w:pPr>
      <w:r w:rsidRPr="00714305">
        <w:rPr>
          <w:rFonts w:cs="Arial"/>
          <w:sz w:val="22"/>
          <w:szCs w:val="22"/>
        </w:rPr>
        <w:t>L</w:t>
      </w:r>
      <w:r w:rsidR="00FB42CA" w:rsidRPr="00714305">
        <w:rPr>
          <w:rFonts w:cs="Arial"/>
          <w:sz w:val="22"/>
          <w:szCs w:val="22"/>
        </w:rPr>
        <w:t>a Sala precisa que, aun cuando en el escrito de la impugnación la parte actora igualmente elevó cargos de reproche en relación con el puntaje otorgado al asesor administrativo y financiero ofrecido como parte del equipo de trabajo presentado por el consorcio adjudicatario, se evidencia que dicho planeamiento constituye un argumento nuevo que se adiciona en esta instancia a los discutidos en la causa petendi plasmada en la demanda, situación que, en acatamiento del principio de congruencia y en procura de la observancia del derecho de defensa de la entidad demandada, se impone a la improcedencia de su análisis de fondo por esta Corporación. Bajo esta precisión, el estudio de la apelación se restringirá a los puntos relacionados con la valoración de la experiencia del equipo de trabajo ofrecido por el consorcio Interventoría Concesión TV, exclusivamente al director general y al asesor jurídico.</w:t>
      </w:r>
    </w:p>
    <w:p w14:paraId="433E2245" w14:textId="77777777" w:rsidR="00FB42CA" w:rsidRPr="00714305" w:rsidRDefault="00FB42CA" w:rsidP="00FB42CA">
      <w:pPr>
        <w:spacing w:line="240" w:lineRule="auto"/>
        <w:rPr>
          <w:rFonts w:cs="Arial"/>
          <w:sz w:val="22"/>
          <w:szCs w:val="22"/>
        </w:rPr>
      </w:pPr>
    </w:p>
    <w:p w14:paraId="41B58F54" w14:textId="4F6872AF" w:rsidR="00FB42CA" w:rsidRPr="00714305" w:rsidRDefault="00FB42CA" w:rsidP="00FB42CA">
      <w:pPr>
        <w:spacing w:line="240" w:lineRule="auto"/>
        <w:rPr>
          <w:rFonts w:cs="Arial"/>
          <w:b/>
          <w:sz w:val="22"/>
          <w:szCs w:val="22"/>
        </w:rPr>
      </w:pPr>
      <w:r w:rsidRPr="00714305">
        <w:rPr>
          <w:rFonts w:cs="Arial"/>
          <w:b/>
          <w:sz w:val="22"/>
          <w:szCs w:val="22"/>
        </w:rPr>
        <w:t xml:space="preserve">PLIEGO DE CONDICIONES – </w:t>
      </w:r>
      <w:r w:rsidR="00786A11" w:rsidRPr="00714305">
        <w:rPr>
          <w:rFonts w:cs="Arial"/>
          <w:b/>
          <w:sz w:val="22"/>
          <w:szCs w:val="22"/>
        </w:rPr>
        <w:t>Requisitos habilitantes</w:t>
      </w:r>
      <w:r w:rsidRPr="00714305">
        <w:rPr>
          <w:rFonts w:cs="Arial"/>
          <w:b/>
          <w:sz w:val="22"/>
          <w:szCs w:val="22"/>
        </w:rPr>
        <w:t xml:space="preserve"> – </w:t>
      </w:r>
      <w:r w:rsidR="00786A11" w:rsidRPr="00714305">
        <w:rPr>
          <w:rFonts w:cs="Arial"/>
          <w:b/>
          <w:sz w:val="22"/>
          <w:szCs w:val="22"/>
        </w:rPr>
        <w:t>E</w:t>
      </w:r>
      <w:r w:rsidRPr="00714305">
        <w:rPr>
          <w:rFonts w:cs="Arial"/>
          <w:b/>
          <w:sz w:val="22"/>
          <w:szCs w:val="22"/>
        </w:rPr>
        <w:t>quipo de trabajo</w:t>
      </w:r>
    </w:p>
    <w:p w14:paraId="6D485052" w14:textId="77777777" w:rsidR="00FB42CA" w:rsidRPr="00714305" w:rsidRDefault="00FB42CA" w:rsidP="00FB42CA">
      <w:pPr>
        <w:spacing w:line="240" w:lineRule="auto"/>
        <w:rPr>
          <w:rFonts w:cs="Arial"/>
          <w:sz w:val="22"/>
          <w:szCs w:val="22"/>
        </w:rPr>
      </w:pPr>
    </w:p>
    <w:p w14:paraId="0A3E4C95" w14:textId="77777777" w:rsidR="00FB42CA" w:rsidRPr="00714305" w:rsidRDefault="00FB42CA" w:rsidP="00FB42CA">
      <w:pPr>
        <w:spacing w:line="240" w:lineRule="auto"/>
        <w:rPr>
          <w:rFonts w:cs="Arial"/>
          <w:sz w:val="22"/>
          <w:szCs w:val="22"/>
        </w:rPr>
      </w:pPr>
      <w:r w:rsidRPr="00714305">
        <w:rPr>
          <w:rFonts w:cs="Arial"/>
          <w:sz w:val="22"/>
          <w:szCs w:val="22"/>
        </w:rPr>
        <w:t xml:space="preserve">Como se aprecia de la lectura de las reglas de la convocatoria, la experiencia del equipo de trabajo ofrecido fue dotada de un doble rol. Por un lado, fue concebida como criterio habilitante que se activaría a partir del cumplimiento de unos requisitos de formación académica y de experiencia laboral general y específica, determinada en función del tipo de actividades ejecutadas, del tipo de cargo desempeñado y del tiempo servido. Simultáneamente, se contempló como factor de evaluación frente al cumplimiento de los mismos requisitos relacionados con la experiencia laboral, pero la calificación recaería sobre el período adicional que superara la experiencia temporal mínima habilitante y, en otros casos, sobre el número de contratos que excedieran el mínimo establecido para habilitar la propuesta. Dentro del equipo de trabajo requerido se encontraban el director general del proyecto y el asesor jurídico, que son los dos profesionales sobre cuya experiencia recayó la discusión por parte de la parte apelante y respecto de los cuales, se reitera, se circunscribirá el análisis de la presente controversia. Pues bien, del recuento </w:t>
      </w:r>
      <w:r w:rsidRPr="00714305">
        <w:rPr>
          <w:rFonts w:cs="Arial"/>
          <w:sz w:val="22"/>
          <w:szCs w:val="22"/>
        </w:rPr>
        <w:lastRenderedPageBreak/>
        <w:t>efectuado, la Sala recuerda que la experiencia del equipo de trabajo fue ubicada en la categoría de requisito habilitante, mientras que la experiencia adicional que excediera la mínima exigida sería objeto de calificación.</w:t>
      </w:r>
    </w:p>
    <w:p w14:paraId="130CAE19" w14:textId="77777777" w:rsidR="00FB42CA" w:rsidRPr="00714305" w:rsidRDefault="00FB42CA" w:rsidP="00FB42CA">
      <w:pPr>
        <w:spacing w:line="240" w:lineRule="auto"/>
        <w:rPr>
          <w:rFonts w:cs="Arial"/>
          <w:sz w:val="22"/>
          <w:szCs w:val="22"/>
        </w:rPr>
      </w:pPr>
    </w:p>
    <w:p w14:paraId="687FB0DF" w14:textId="4626E331" w:rsidR="00FB42CA" w:rsidRPr="00714305" w:rsidRDefault="00FB42CA" w:rsidP="00FB42CA">
      <w:pPr>
        <w:spacing w:line="240" w:lineRule="auto"/>
        <w:rPr>
          <w:rFonts w:cs="Arial"/>
          <w:b/>
          <w:sz w:val="22"/>
          <w:szCs w:val="22"/>
        </w:rPr>
      </w:pPr>
      <w:r w:rsidRPr="00714305">
        <w:rPr>
          <w:rFonts w:cs="Arial"/>
          <w:b/>
          <w:sz w:val="22"/>
          <w:szCs w:val="22"/>
        </w:rPr>
        <w:t xml:space="preserve">EXPERIENCIA </w:t>
      </w:r>
      <w:r w:rsidR="00786A11" w:rsidRPr="00714305">
        <w:rPr>
          <w:rFonts w:cs="Arial"/>
          <w:b/>
          <w:sz w:val="22"/>
          <w:szCs w:val="22"/>
        </w:rPr>
        <w:t xml:space="preserve">– Factores puntuables </w:t>
      </w:r>
      <w:r w:rsidRPr="00714305">
        <w:rPr>
          <w:rFonts w:cs="Arial"/>
          <w:b/>
          <w:sz w:val="22"/>
          <w:szCs w:val="22"/>
        </w:rPr>
        <w:t>–</w:t>
      </w:r>
      <w:r w:rsidR="00786A11" w:rsidRPr="00714305">
        <w:rPr>
          <w:rFonts w:cs="Arial"/>
          <w:b/>
          <w:sz w:val="22"/>
          <w:szCs w:val="22"/>
        </w:rPr>
        <w:t xml:space="preserve"> </w:t>
      </w:r>
      <w:r w:rsidRPr="00714305">
        <w:rPr>
          <w:rFonts w:cs="Arial"/>
          <w:b/>
          <w:sz w:val="22"/>
          <w:szCs w:val="22"/>
        </w:rPr>
        <w:t>Subsana</w:t>
      </w:r>
      <w:r w:rsidR="002556A2" w:rsidRPr="00714305">
        <w:rPr>
          <w:rFonts w:cs="Arial"/>
          <w:b/>
          <w:sz w:val="22"/>
          <w:szCs w:val="22"/>
        </w:rPr>
        <w:t>bilidad</w:t>
      </w:r>
      <w:r w:rsidR="00404BD6" w:rsidRPr="00714305">
        <w:rPr>
          <w:rFonts w:cs="Arial"/>
          <w:b/>
          <w:sz w:val="22"/>
          <w:szCs w:val="22"/>
        </w:rPr>
        <w:t xml:space="preserve"> </w:t>
      </w:r>
      <w:r w:rsidRPr="00714305">
        <w:rPr>
          <w:rFonts w:cs="Arial"/>
          <w:b/>
          <w:sz w:val="22"/>
          <w:szCs w:val="22"/>
        </w:rPr>
        <w:t>– Irregularidades</w:t>
      </w:r>
    </w:p>
    <w:p w14:paraId="05B15945" w14:textId="77777777" w:rsidR="00FB42CA" w:rsidRPr="00714305" w:rsidRDefault="00FB42CA" w:rsidP="00FB42CA">
      <w:pPr>
        <w:spacing w:line="240" w:lineRule="auto"/>
        <w:rPr>
          <w:rFonts w:cs="Arial"/>
          <w:sz w:val="22"/>
          <w:szCs w:val="22"/>
        </w:rPr>
      </w:pPr>
    </w:p>
    <w:p w14:paraId="7FBA6203" w14:textId="77777777" w:rsidR="00FB42CA" w:rsidRPr="00714305" w:rsidRDefault="00FB42CA" w:rsidP="00FB42CA">
      <w:pPr>
        <w:spacing w:line="240" w:lineRule="auto"/>
        <w:rPr>
          <w:rFonts w:cs="Arial"/>
          <w:sz w:val="22"/>
          <w:szCs w:val="22"/>
        </w:rPr>
      </w:pPr>
      <w:r w:rsidRPr="00714305">
        <w:rPr>
          <w:rFonts w:cs="Arial"/>
          <w:sz w:val="22"/>
          <w:szCs w:val="22"/>
        </w:rPr>
        <w:t>En el caso del director de obra, la propuesta tendría 65 puntos por acreditar dos años o más adicionales en cargos directivos, en empresas de servicios públicos o entidades estatales correspondientes al sector de TIC, servicios públicos, entidades de control o Superintendencias y 65 puntos más por demostrar la participación en dos o más proyectos, adicionales a los habilitantes, de interventoría o consultoría a contratos estatales diferentes de obra pública; en total tendría un puntaje de 130 por el director de obra. Lo primero que hay que destacar en relación con este punto es que la manera en que fue diseñado el cumplimiento del requisito de experiencia de trabajo como factor puntuable se hallaba directamente ligado a la previa observancia del requisito habilitante, en tanto la calificación recaería sobre aquello que excediera el cumplimiento de este último. De ahí resulta claro que sí, de entrada, no se reunía el requisito de la experiencia del director de obra como factor habilitante, tampoco podía reputarse cumplido de inicio como factor puntuable. Se insiste en que se sometería a evaluación aquello que superara el mínimo habilitante, tanto en tiempo como en número de contratos intervenidos. Siguiendo ese mismo esquema de pensamiento, de aceptarse la subsanación de ese requisito en orden a habilitar el proponente, tal circunstancia habría de impactar de manera directa ese factor de calificación. la Sala observa que durante la etapa de subsanación y calificación de la oferta del consorcio interventoría Concesiones TV se configuraron ciertas inconsistencias en relación con el cumplimiento del requisito de la experiencia del director de obra. (… Una vez sometida su propuesta a la etapa preliminar de evaluación, el comité evaluador conceptuó que no cumplía con el requisito habilitante relativo a la experiencia general y específica mínima del director de la obra. (…) La Sala encuentra que no resultaba indispensable que el oferente subsanara los requisitos concernientes al director general ofrecido, relacionados con la explicación sobre la naturaleza del Fondo Nacional del Ahorro, ni con la postura jurisprudencial que considera a la actividad financiera un servicio público, como tampoco en lo asociado a las labores de interventoría desempeñadas por el jefe de informática de esa entidad, dado que así constaba en las resoluciones internas aportadas junto con la propuesta.</w:t>
      </w:r>
    </w:p>
    <w:p w14:paraId="2C4F04E7" w14:textId="77777777" w:rsidR="00FB42CA" w:rsidRPr="00714305" w:rsidRDefault="00FB42CA" w:rsidP="00FB42CA">
      <w:pPr>
        <w:spacing w:line="240" w:lineRule="auto"/>
        <w:rPr>
          <w:rFonts w:cs="Arial"/>
          <w:sz w:val="22"/>
          <w:szCs w:val="22"/>
        </w:rPr>
      </w:pPr>
    </w:p>
    <w:p w14:paraId="1FDFE7E1" w14:textId="1A97C696" w:rsidR="00FB42CA" w:rsidRPr="00714305" w:rsidRDefault="00FB42CA" w:rsidP="00FB42CA">
      <w:pPr>
        <w:spacing w:line="240" w:lineRule="auto"/>
        <w:rPr>
          <w:rFonts w:cs="Arial"/>
          <w:b/>
          <w:sz w:val="22"/>
          <w:szCs w:val="22"/>
        </w:rPr>
      </w:pPr>
      <w:r w:rsidRPr="00714305">
        <w:rPr>
          <w:rFonts w:cs="Arial"/>
          <w:b/>
          <w:sz w:val="22"/>
          <w:szCs w:val="22"/>
        </w:rPr>
        <w:t xml:space="preserve">EXPERIENCIA – </w:t>
      </w:r>
      <w:r w:rsidR="00786A11" w:rsidRPr="00714305">
        <w:rPr>
          <w:rFonts w:cs="Arial"/>
          <w:b/>
          <w:sz w:val="22"/>
          <w:szCs w:val="22"/>
        </w:rPr>
        <w:t>A</w:t>
      </w:r>
      <w:r w:rsidRPr="00714305">
        <w:rPr>
          <w:rFonts w:cs="Arial"/>
          <w:b/>
          <w:sz w:val="22"/>
          <w:szCs w:val="22"/>
        </w:rPr>
        <w:t xml:space="preserve">djudicación del contrato </w:t>
      </w:r>
      <w:r w:rsidR="00786A11" w:rsidRPr="00714305">
        <w:rPr>
          <w:rFonts w:cs="Arial"/>
          <w:b/>
          <w:sz w:val="22"/>
          <w:szCs w:val="22"/>
        </w:rPr>
        <w:t>–</w:t>
      </w:r>
      <w:r w:rsidRPr="00714305">
        <w:rPr>
          <w:rFonts w:cs="Arial"/>
          <w:b/>
          <w:sz w:val="22"/>
          <w:szCs w:val="22"/>
        </w:rPr>
        <w:t xml:space="preserve"> </w:t>
      </w:r>
      <w:r w:rsidR="00786A11" w:rsidRPr="00714305">
        <w:rPr>
          <w:rFonts w:cs="Arial"/>
          <w:b/>
          <w:sz w:val="22"/>
          <w:szCs w:val="22"/>
        </w:rPr>
        <w:t>P</w:t>
      </w:r>
      <w:r w:rsidRPr="00714305">
        <w:rPr>
          <w:rFonts w:cs="Arial"/>
          <w:b/>
          <w:sz w:val="22"/>
          <w:szCs w:val="22"/>
        </w:rPr>
        <w:t xml:space="preserve">resunción de legalidad </w:t>
      </w:r>
      <w:r w:rsidR="00786A11" w:rsidRPr="00714305">
        <w:rPr>
          <w:rFonts w:cs="Arial"/>
          <w:b/>
          <w:sz w:val="22"/>
          <w:szCs w:val="22"/>
        </w:rPr>
        <w:t>–P</w:t>
      </w:r>
      <w:r w:rsidRPr="00714305">
        <w:rPr>
          <w:rFonts w:cs="Arial"/>
          <w:b/>
          <w:sz w:val="22"/>
          <w:szCs w:val="22"/>
        </w:rPr>
        <w:t>rincipio de selección objetiva</w:t>
      </w:r>
    </w:p>
    <w:p w14:paraId="4BAA325F" w14:textId="77777777" w:rsidR="00786A11" w:rsidRPr="00714305" w:rsidRDefault="00786A11" w:rsidP="00FB42CA">
      <w:pPr>
        <w:spacing w:line="240" w:lineRule="auto"/>
        <w:rPr>
          <w:rFonts w:cs="Arial"/>
          <w:sz w:val="22"/>
          <w:szCs w:val="22"/>
        </w:rPr>
      </w:pPr>
    </w:p>
    <w:p w14:paraId="0F0B2C8C" w14:textId="3604AA55" w:rsidR="00FB42CA" w:rsidRPr="00FE3771" w:rsidRDefault="00FB42CA" w:rsidP="00FB42CA">
      <w:pPr>
        <w:spacing w:line="240" w:lineRule="auto"/>
        <w:rPr>
          <w:rFonts w:cs="Arial"/>
          <w:sz w:val="22"/>
          <w:szCs w:val="22"/>
        </w:rPr>
      </w:pPr>
      <w:r w:rsidRPr="00714305">
        <w:rPr>
          <w:rFonts w:cs="Arial"/>
          <w:sz w:val="22"/>
          <w:szCs w:val="22"/>
        </w:rPr>
        <w:t xml:space="preserve">Por contera, la ausencia del requisito de habilitación impedía considerar apta de inicio la experiencia adicional a la mínima para otorgamiento de puntaje. A la inversa, al subsanarse la falta de acreditación del requisito de experiencia mínima, tal circunstancia impactó de manera directa el otorgamiento de puntaje a la experiencia adicional. Como conclusión de todo lo expuesto, es claro que la subsanación del requisito habilitante de experiencia del director general del proyecto afectó los factores de experiencia adicional susceptibles de calificación, tanto en su aspecto temporal, como en el número de proyectos ejecutados, contrariando lo dispuesto sobre el particular por el Estatuto de Contratación Estatal, dado que a pesar de que el oferente contaba con la experiencia habilitante desde antes del cierre del procedimiento de selección, la subsanación que sobre el mismo recayó incidió en la experiencia adicional requerida para otorgamiento de puntaje, lo que por contera, respecto de este último comportó un mejoramiento de la oferta. Retomando el aspecto relacionado con la improcedencia de otorgar puntaje por el factor de experiencia del director general ofrecido por el consorcio Interventoría Concesión TV, la Sala evidencia que, incluso, en el escenario de restar el puntaje asignado por ese criterio de ponderación, su oferta, luego de ser calificada atendiendo a esa premisa, habría continuado ocupando el primer lugar en el orden de elegibilidad y, por tanto, no se habría concretado la vulneración del principio de selección objetiva (…) De ahí se concluye que en el supuesto de haberse abstenido de otorgar puntaje por la experiencia del director general presentado por el consorcio Interventoría Concesión TV, el orden de elegibilidad no se habría alterado y, en esa medida, no existe vocación para anular el acto de adjudicación demandado, debido a que no se materializó un desconocimiento al principio de selección objetiva que se alega transgredido. </w:t>
      </w:r>
      <w:r w:rsidRPr="00714305">
        <w:rPr>
          <w:rFonts w:cs="Arial"/>
          <w:sz w:val="22"/>
          <w:szCs w:val="22"/>
        </w:rPr>
        <w:lastRenderedPageBreak/>
        <w:t>Como consecuencia, la sentencia apelada merece ser confirmada en cuanto negó las pretensiones de la demanda. En estas circunstancias, se impone despachar desfavorablemente los argumentos del recurso de apelación interpuesto por el demandante y confirmar la sentencia proferida el 22 de junio de 2016 por el Tribunal Administrativo de Cundinamarca – Sección Tercera – Subsección B.</w:t>
      </w:r>
      <w:bookmarkStart w:id="0" w:name="_GoBack"/>
      <w:bookmarkEnd w:id="0"/>
    </w:p>
    <w:p w14:paraId="3AB8BD38" w14:textId="77777777" w:rsidR="00FB42CA" w:rsidRPr="00DF17E0" w:rsidRDefault="00FB42CA" w:rsidP="00FB42CA">
      <w:pPr>
        <w:spacing w:line="240" w:lineRule="auto"/>
        <w:jc w:val="center"/>
        <w:rPr>
          <w:rFonts w:cs="Arial"/>
        </w:rPr>
      </w:pPr>
    </w:p>
    <w:p w14:paraId="5C3FD653" w14:textId="77777777" w:rsidR="00FB42CA" w:rsidRDefault="00FB42CA" w:rsidP="00FB42CA">
      <w:pPr>
        <w:spacing w:line="240" w:lineRule="auto"/>
        <w:jc w:val="center"/>
        <w:rPr>
          <w:rFonts w:cs="Arial"/>
          <w:b/>
        </w:rPr>
      </w:pPr>
    </w:p>
    <w:p w14:paraId="180E04D9" w14:textId="77777777" w:rsidR="00FB42CA" w:rsidRDefault="00FB42CA" w:rsidP="00FB42CA">
      <w:pPr>
        <w:spacing w:line="240" w:lineRule="auto"/>
        <w:jc w:val="center"/>
        <w:rPr>
          <w:rFonts w:cs="Arial"/>
          <w:b/>
        </w:rPr>
      </w:pPr>
      <w:r w:rsidRPr="008E399A">
        <w:rPr>
          <w:rFonts w:cs="Arial"/>
          <w:b/>
        </w:rPr>
        <w:t>CONSEJO DE ESTADO</w:t>
      </w:r>
    </w:p>
    <w:p w14:paraId="6CDCB260" w14:textId="77777777" w:rsidR="00FB42CA" w:rsidRPr="008E399A" w:rsidRDefault="00FB42CA" w:rsidP="00FB42CA">
      <w:pPr>
        <w:spacing w:line="240" w:lineRule="auto"/>
        <w:jc w:val="center"/>
        <w:rPr>
          <w:rFonts w:cs="Arial"/>
          <w:b/>
        </w:rPr>
      </w:pPr>
    </w:p>
    <w:p w14:paraId="69B3F9E5" w14:textId="77777777" w:rsidR="00FB42CA" w:rsidRDefault="00FB42CA" w:rsidP="00FB42CA">
      <w:pPr>
        <w:spacing w:line="240" w:lineRule="auto"/>
        <w:jc w:val="center"/>
        <w:rPr>
          <w:rFonts w:cs="Arial"/>
          <w:b/>
        </w:rPr>
      </w:pPr>
      <w:r w:rsidRPr="008E399A">
        <w:rPr>
          <w:rFonts w:cs="Arial"/>
          <w:b/>
        </w:rPr>
        <w:t>SALA DE LO CONTENCIOSO ADMINISTRATIVO</w:t>
      </w:r>
    </w:p>
    <w:p w14:paraId="3886AB1F" w14:textId="77777777" w:rsidR="00FB42CA" w:rsidRPr="008E399A" w:rsidRDefault="00FB42CA" w:rsidP="00FB42CA">
      <w:pPr>
        <w:spacing w:line="240" w:lineRule="auto"/>
        <w:jc w:val="center"/>
        <w:rPr>
          <w:rFonts w:cs="Arial"/>
          <w:b/>
        </w:rPr>
      </w:pPr>
    </w:p>
    <w:p w14:paraId="215F9171" w14:textId="77777777" w:rsidR="00FB42CA" w:rsidRDefault="00FB42CA" w:rsidP="00FB42CA">
      <w:pPr>
        <w:spacing w:line="240" w:lineRule="auto"/>
        <w:jc w:val="center"/>
        <w:rPr>
          <w:rFonts w:cs="Arial"/>
          <w:b/>
        </w:rPr>
      </w:pPr>
      <w:r w:rsidRPr="008E399A">
        <w:rPr>
          <w:rFonts w:cs="Arial"/>
          <w:b/>
        </w:rPr>
        <w:t>SECCIÓN TERCERA</w:t>
      </w:r>
    </w:p>
    <w:p w14:paraId="6A5B52F9" w14:textId="77777777" w:rsidR="00FB42CA" w:rsidRDefault="00FB42CA" w:rsidP="00FB42CA">
      <w:pPr>
        <w:spacing w:line="240" w:lineRule="auto"/>
        <w:jc w:val="center"/>
        <w:rPr>
          <w:rFonts w:cs="Arial"/>
          <w:b/>
        </w:rPr>
      </w:pPr>
    </w:p>
    <w:p w14:paraId="4C8AF9C4" w14:textId="77777777" w:rsidR="00FB42CA" w:rsidRPr="008E399A" w:rsidRDefault="00FB42CA" w:rsidP="00FB42CA">
      <w:pPr>
        <w:spacing w:line="240" w:lineRule="auto"/>
        <w:jc w:val="center"/>
        <w:rPr>
          <w:rFonts w:cs="Arial"/>
          <w:b/>
        </w:rPr>
      </w:pPr>
      <w:r w:rsidRPr="008E399A">
        <w:rPr>
          <w:rFonts w:cs="Arial"/>
          <w:b/>
        </w:rPr>
        <w:t>SUBSECCIÓN A</w:t>
      </w:r>
    </w:p>
    <w:p w14:paraId="0A9CAFD8" w14:textId="77777777" w:rsidR="00FB42CA" w:rsidRPr="008E399A" w:rsidRDefault="00FB42CA" w:rsidP="00FB42CA">
      <w:pPr>
        <w:pStyle w:val="Encabezado"/>
        <w:spacing w:line="240" w:lineRule="auto"/>
        <w:jc w:val="center"/>
        <w:rPr>
          <w:rFonts w:cs="Arial"/>
          <w:b/>
          <w:szCs w:val="24"/>
          <w:lang w:val="es-CO"/>
        </w:rPr>
      </w:pPr>
    </w:p>
    <w:p w14:paraId="3812AA91" w14:textId="77777777" w:rsidR="00FB42CA" w:rsidRPr="008E399A" w:rsidRDefault="00FB42CA" w:rsidP="00FB42CA">
      <w:pPr>
        <w:pStyle w:val="Encabezado"/>
        <w:spacing w:line="240" w:lineRule="auto"/>
        <w:jc w:val="center"/>
        <w:rPr>
          <w:rFonts w:cs="Arial"/>
          <w:spacing w:val="-3"/>
          <w:szCs w:val="24"/>
          <w:lang w:val="es-CO"/>
        </w:rPr>
      </w:pPr>
      <w:r w:rsidRPr="008E399A">
        <w:rPr>
          <w:rFonts w:cs="Arial"/>
          <w:b/>
          <w:szCs w:val="24"/>
          <w:lang w:val="es-CO"/>
        </w:rPr>
        <w:t>Consejera ponente: MARTA NUBIA VELÁSQUEZ RICO</w:t>
      </w:r>
    </w:p>
    <w:p w14:paraId="3F263FE3" w14:textId="77777777" w:rsidR="00FB42CA" w:rsidRPr="008E399A" w:rsidRDefault="00FB42CA" w:rsidP="00FB42CA">
      <w:pPr>
        <w:spacing w:line="240" w:lineRule="auto"/>
        <w:rPr>
          <w:rFonts w:cs="Arial"/>
        </w:rPr>
      </w:pPr>
    </w:p>
    <w:p w14:paraId="396DBEAF" w14:textId="77777777" w:rsidR="00FB42CA" w:rsidRPr="008E399A" w:rsidRDefault="00FB42CA" w:rsidP="00FB42CA">
      <w:pPr>
        <w:spacing w:line="240" w:lineRule="auto"/>
        <w:jc w:val="left"/>
        <w:rPr>
          <w:rFonts w:cs="Arial"/>
        </w:rPr>
      </w:pPr>
      <w:r w:rsidRPr="008E399A">
        <w:rPr>
          <w:rFonts w:cs="Arial"/>
        </w:rPr>
        <w:t>Bogotá</w:t>
      </w:r>
      <w:r>
        <w:rPr>
          <w:rFonts w:cs="Arial"/>
        </w:rPr>
        <w:t>,</w:t>
      </w:r>
      <w:r w:rsidRPr="008E399A">
        <w:rPr>
          <w:rFonts w:cs="Arial"/>
        </w:rPr>
        <w:t xml:space="preserve"> D.C., veintinueve (29) de noviembre de dos mil dieciocho (2018)</w:t>
      </w:r>
    </w:p>
    <w:p w14:paraId="42390389" w14:textId="77777777" w:rsidR="00FB42CA" w:rsidRPr="008E399A" w:rsidRDefault="00FB42CA" w:rsidP="00FB42CA">
      <w:pPr>
        <w:spacing w:line="240" w:lineRule="auto"/>
        <w:rPr>
          <w:rFonts w:cs="Arial"/>
          <w:b/>
        </w:rPr>
      </w:pPr>
    </w:p>
    <w:p w14:paraId="20496EF2" w14:textId="77777777" w:rsidR="00FB42CA" w:rsidRDefault="00FB42CA" w:rsidP="00FB42CA">
      <w:pPr>
        <w:spacing w:line="240" w:lineRule="auto"/>
        <w:rPr>
          <w:rFonts w:cs="Arial"/>
          <w:b/>
        </w:rPr>
      </w:pPr>
      <w:r w:rsidRPr="008E399A">
        <w:rPr>
          <w:rFonts w:cs="Arial"/>
          <w:b/>
        </w:rPr>
        <w:t>Radicación</w:t>
      </w:r>
      <w:r>
        <w:rPr>
          <w:rFonts w:cs="Arial"/>
          <w:b/>
        </w:rPr>
        <w:t xml:space="preserve"> número: </w:t>
      </w:r>
      <w:r w:rsidRPr="008E399A">
        <w:rPr>
          <w:rFonts w:cs="Arial"/>
          <w:b/>
        </w:rPr>
        <w:t>25000-23-36-000-2015-00085-02(57936)</w:t>
      </w:r>
    </w:p>
    <w:p w14:paraId="3C31FB07" w14:textId="77777777" w:rsidR="00FB42CA" w:rsidRPr="008E399A" w:rsidRDefault="00FB42CA" w:rsidP="00FB42CA">
      <w:pPr>
        <w:spacing w:line="240" w:lineRule="auto"/>
        <w:rPr>
          <w:rFonts w:cs="Arial"/>
          <w:b/>
        </w:rPr>
      </w:pPr>
    </w:p>
    <w:p w14:paraId="64780F76" w14:textId="77777777" w:rsidR="00FB42CA" w:rsidRDefault="00FB42CA" w:rsidP="00FB42CA">
      <w:pPr>
        <w:spacing w:line="240" w:lineRule="auto"/>
        <w:rPr>
          <w:rFonts w:cs="Arial"/>
          <w:b/>
        </w:rPr>
      </w:pPr>
      <w:r>
        <w:rPr>
          <w:rFonts w:cs="Arial"/>
          <w:b/>
        </w:rPr>
        <w:t>Actor: JAHV MACGREGOR S.A.</w:t>
      </w:r>
    </w:p>
    <w:p w14:paraId="6CF60C7D" w14:textId="77777777" w:rsidR="00FB42CA" w:rsidRPr="008E399A" w:rsidRDefault="00FB42CA" w:rsidP="00FB42CA">
      <w:pPr>
        <w:spacing w:line="240" w:lineRule="auto"/>
        <w:rPr>
          <w:rFonts w:cs="Arial"/>
          <w:b/>
        </w:rPr>
      </w:pPr>
    </w:p>
    <w:p w14:paraId="364A0375" w14:textId="77777777" w:rsidR="00FB42CA" w:rsidRDefault="00FB42CA" w:rsidP="00FB42CA">
      <w:pPr>
        <w:spacing w:line="240" w:lineRule="auto"/>
        <w:rPr>
          <w:rFonts w:cs="Arial"/>
          <w:b/>
        </w:rPr>
      </w:pPr>
      <w:r>
        <w:rPr>
          <w:rFonts w:cs="Arial"/>
          <w:b/>
        </w:rPr>
        <w:t xml:space="preserve">Demandado: </w:t>
      </w:r>
      <w:r w:rsidRPr="008E399A">
        <w:rPr>
          <w:rFonts w:cs="Arial"/>
          <w:b/>
        </w:rPr>
        <w:t>AUTORIDAD NACIONAL DE TELEVISIÓN</w:t>
      </w:r>
    </w:p>
    <w:p w14:paraId="507376A5" w14:textId="77777777" w:rsidR="00FB42CA" w:rsidRDefault="00FB42CA" w:rsidP="00FB42CA">
      <w:pPr>
        <w:spacing w:line="240" w:lineRule="auto"/>
        <w:rPr>
          <w:rFonts w:cs="Arial"/>
          <w:b/>
        </w:rPr>
      </w:pPr>
    </w:p>
    <w:p w14:paraId="789B7B4B" w14:textId="77777777" w:rsidR="00FB42CA" w:rsidRDefault="00FB42CA" w:rsidP="00FB42CA">
      <w:pPr>
        <w:spacing w:line="240" w:lineRule="auto"/>
        <w:rPr>
          <w:rFonts w:cs="Arial"/>
          <w:b/>
        </w:rPr>
      </w:pPr>
    </w:p>
    <w:p w14:paraId="7FD5E6E6" w14:textId="77777777" w:rsidR="00FB42CA" w:rsidRPr="008E399A" w:rsidRDefault="00FB42CA" w:rsidP="00FB42CA">
      <w:pPr>
        <w:spacing w:line="240" w:lineRule="auto"/>
        <w:rPr>
          <w:rFonts w:cs="Arial"/>
          <w:b/>
        </w:rPr>
      </w:pPr>
    </w:p>
    <w:p w14:paraId="4C081318" w14:textId="77777777" w:rsidR="00FB42CA" w:rsidRPr="008E399A" w:rsidRDefault="00FB42CA" w:rsidP="00FB42CA">
      <w:pPr>
        <w:spacing w:line="240" w:lineRule="auto"/>
        <w:rPr>
          <w:rFonts w:cs="Arial"/>
          <w:b/>
        </w:rPr>
      </w:pPr>
      <w:r>
        <w:rPr>
          <w:rFonts w:cs="Arial"/>
          <w:b/>
        </w:rPr>
        <w:t xml:space="preserve">Referencia: MEDIO DE CONTROL DE </w:t>
      </w:r>
      <w:r w:rsidRPr="008E399A">
        <w:rPr>
          <w:rFonts w:cs="Arial"/>
          <w:b/>
        </w:rPr>
        <w:t>NULIDAD Y RESTABLECIMIENTO DEL DERECHO</w:t>
      </w:r>
      <w:r>
        <w:rPr>
          <w:rFonts w:cs="Arial"/>
          <w:b/>
        </w:rPr>
        <w:t xml:space="preserve"> </w:t>
      </w:r>
      <w:r w:rsidRPr="008E399A">
        <w:rPr>
          <w:rFonts w:cs="Arial"/>
          <w:b/>
        </w:rPr>
        <w:t>- CONTRACTUAL (Ley 1437 de 2011)</w:t>
      </w:r>
    </w:p>
    <w:p w14:paraId="6CD15E33" w14:textId="77777777" w:rsidR="00FB42CA" w:rsidRDefault="00FB42CA" w:rsidP="00FB42CA">
      <w:pPr>
        <w:widowControl w:val="0"/>
        <w:autoSpaceDE w:val="0"/>
        <w:autoSpaceDN w:val="0"/>
        <w:adjustRightInd w:val="0"/>
        <w:spacing w:line="240" w:lineRule="auto"/>
        <w:ind w:right="-1"/>
        <w:rPr>
          <w:rFonts w:cs="Arial"/>
        </w:rPr>
      </w:pPr>
    </w:p>
    <w:p w14:paraId="3717CC9B" w14:textId="77777777" w:rsidR="00FB42CA" w:rsidRDefault="00FB42CA" w:rsidP="00FB42CA">
      <w:pPr>
        <w:widowControl w:val="0"/>
        <w:autoSpaceDE w:val="0"/>
        <w:autoSpaceDN w:val="0"/>
        <w:adjustRightInd w:val="0"/>
        <w:spacing w:line="240" w:lineRule="auto"/>
        <w:ind w:right="-1"/>
        <w:rPr>
          <w:rFonts w:cs="Arial"/>
        </w:rPr>
      </w:pPr>
    </w:p>
    <w:p w14:paraId="27111660" w14:textId="77777777" w:rsidR="00FB42CA" w:rsidRPr="008E399A" w:rsidRDefault="00FB42CA" w:rsidP="00FB42CA">
      <w:pPr>
        <w:widowControl w:val="0"/>
        <w:autoSpaceDE w:val="0"/>
        <w:autoSpaceDN w:val="0"/>
        <w:adjustRightInd w:val="0"/>
        <w:spacing w:line="240" w:lineRule="auto"/>
        <w:ind w:right="-1"/>
        <w:rPr>
          <w:rFonts w:cs="Arial"/>
        </w:rPr>
      </w:pPr>
    </w:p>
    <w:p w14:paraId="55941FF7" w14:textId="77777777" w:rsidR="00FB42CA" w:rsidRPr="008E399A" w:rsidRDefault="00FB42CA" w:rsidP="00FB42CA">
      <w:pPr>
        <w:widowControl w:val="0"/>
        <w:autoSpaceDE w:val="0"/>
        <w:autoSpaceDN w:val="0"/>
        <w:adjustRightInd w:val="0"/>
        <w:spacing w:line="240" w:lineRule="auto"/>
        <w:ind w:right="-1"/>
        <w:rPr>
          <w:rFonts w:cs="Arial"/>
        </w:rPr>
      </w:pPr>
      <w:r w:rsidRPr="008E399A">
        <w:rPr>
          <w:rFonts w:cs="Arial"/>
        </w:rPr>
        <w:t xml:space="preserve">Temas: RÉGIMEN CONTRACTUAL DE LA ANTV / su actividad contractual se rige por la Ley 80 de 1993 – IMPROCEDENCIA DE SUBSANAR ASPECTOS QUE AFECTAN LA ASIGNACIÓN DE PUNTAJE / debe restarse el puntaje otorgado a aspectos subsanados - NO SE DEMOSTRÓ QUE LA DEMANDANTE TUVIERA LA MEJOR PROPUESTA / el acto de adjudicación debe conservar su presunción de legalidad. </w:t>
      </w:r>
    </w:p>
    <w:p w14:paraId="2E9B1E53" w14:textId="77777777" w:rsidR="00FB42CA" w:rsidRPr="008E399A" w:rsidRDefault="00FB42CA" w:rsidP="00FB42CA">
      <w:pPr>
        <w:widowControl w:val="0"/>
        <w:autoSpaceDE w:val="0"/>
        <w:autoSpaceDN w:val="0"/>
        <w:adjustRightInd w:val="0"/>
        <w:spacing w:line="240" w:lineRule="auto"/>
        <w:ind w:left="2124" w:right="-1" w:hanging="2124"/>
        <w:rPr>
          <w:rFonts w:cs="Arial"/>
        </w:rPr>
      </w:pPr>
    </w:p>
    <w:p w14:paraId="0FE71698" w14:textId="77777777" w:rsidR="00FB42CA" w:rsidRPr="008E399A" w:rsidRDefault="00FB42CA" w:rsidP="00FB42CA">
      <w:pPr>
        <w:widowControl w:val="0"/>
        <w:autoSpaceDE w:val="0"/>
        <w:autoSpaceDN w:val="0"/>
        <w:adjustRightInd w:val="0"/>
        <w:spacing w:line="240" w:lineRule="auto"/>
        <w:ind w:left="2124" w:right="-1" w:hanging="2124"/>
        <w:rPr>
          <w:rFonts w:cs="Arial"/>
        </w:rPr>
      </w:pPr>
    </w:p>
    <w:p w14:paraId="2F5A80CA" w14:textId="77777777" w:rsidR="00FB42CA" w:rsidRPr="008E399A" w:rsidRDefault="00FB42CA" w:rsidP="00FB42CA">
      <w:pPr>
        <w:widowControl w:val="0"/>
        <w:autoSpaceDE w:val="0"/>
        <w:autoSpaceDN w:val="0"/>
        <w:adjustRightInd w:val="0"/>
        <w:ind w:right="-1"/>
        <w:rPr>
          <w:rFonts w:cs="Arial"/>
        </w:rPr>
      </w:pPr>
      <w:r w:rsidRPr="008E399A">
        <w:rPr>
          <w:rFonts w:cs="Arial"/>
        </w:rPr>
        <w:t>Procede la Sala a resolver el recurso de apelación interpuesto por la parte actora</w:t>
      </w:r>
      <w:r w:rsidRPr="008E399A">
        <w:rPr>
          <w:rFonts w:cs="Arial"/>
          <w:lang w:val="es-CO"/>
        </w:rPr>
        <w:t xml:space="preserve"> contra la sentencia proferida por el Tribunal Administrativo de Cundinamarca – Sección Tercera – Subsección B, el 22 de junio de 2016</w:t>
      </w:r>
      <w:r w:rsidRPr="008E399A">
        <w:rPr>
          <w:rFonts w:cs="Arial"/>
        </w:rPr>
        <w:t>, mediante la cual se resolvió:</w:t>
      </w:r>
    </w:p>
    <w:p w14:paraId="3E0B885F" w14:textId="77777777" w:rsidR="00FB42CA" w:rsidRPr="008E399A" w:rsidRDefault="00FB42CA" w:rsidP="00FB42CA">
      <w:pPr>
        <w:widowControl w:val="0"/>
        <w:autoSpaceDE w:val="0"/>
        <w:autoSpaceDN w:val="0"/>
        <w:adjustRightInd w:val="0"/>
        <w:ind w:right="-1"/>
        <w:rPr>
          <w:rFonts w:cs="Arial"/>
        </w:rPr>
      </w:pPr>
    </w:p>
    <w:p w14:paraId="5B7B66D2" w14:textId="77777777" w:rsidR="00FB42CA" w:rsidRPr="008E399A" w:rsidRDefault="00FB42CA" w:rsidP="00FB42CA">
      <w:pPr>
        <w:widowControl w:val="0"/>
        <w:autoSpaceDE w:val="0"/>
        <w:autoSpaceDN w:val="0"/>
        <w:adjustRightInd w:val="0"/>
        <w:spacing w:line="276" w:lineRule="auto"/>
        <w:ind w:left="567" w:right="567"/>
        <w:rPr>
          <w:rFonts w:cs="Arial"/>
          <w:i/>
        </w:rPr>
      </w:pPr>
      <w:r w:rsidRPr="008E399A">
        <w:rPr>
          <w:rFonts w:cs="Arial"/>
          <w:i/>
        </w:rPr>
        <w:t>“PRIMERO: Negar la objeción por error grave.</w:t>
      </w:r>
    </w:p>
    <w:p w14:paraId="28247CFA" w14:textId="77777777" w:rsidR="00FB42CA" w:rsidRPr="008E399A" w:rsidRDefault="00FB42CA" w:rsidP="00FB42CA">
      <w:pPr>
        <w:widowControl w:val="0"/>
        <w:autoSpaceDE w:val="0"/>
        <w:autoSpaceDN w:val="0"/>
        <w:adjustRightInd w:val="0"/>
        <w:spacing w:line="276" w:lineRule="auto"/>
        <w:ind w:left="567" w:right="567"/>
        <w:rPr>
          <w:rFonts w:cs="Arial"/>
          <w:i/>
        </w:rPr>
      </w:pPr>
    </w:p>
    <w:p w14:paraId="1ADB51DF" w14:textId="77777777" w:rsidR="00FB42CA" w:rsidRPr="008E399A" w:rsidRDefault="00FB42CA" w:rsidP="00FB42CA">
      <w:pPr>
        <w:widowControl w:val="0"/>
        <w:autoSpaceDE w:val="0"/>
        <w:autoSpaceDN w:val="0"/>
        <w:adjustRightInd w:val="0"/>
        <w:spacing w:line="276" w:lineRule="auto"/>
        <w:ind w:left="567" w:right="567"/>
        <w:rPr>
          <w:rFonts w:cs="Arial"/>
          <w:i/>
        </w:rPr>
      </w:pPr>
      <w:r w:rsidRPr="008E399A">
        <w:rPr>
          <w:rFonts w:cs="Arial"/>
          <w:i/>
        </w:rPr>
        <w:t>“SEGUNDO: Negar las pretensiones de la demanda.</w:t>
      </w:r>
    </w:p>
    <w:p w14:paraId="6AE0A3B0" w14:textId="77777777" w:rsidR="00FB42CA" w:rsidRPr="008E399A" w:rsidRDefault="00FB42CA" w:rsidP="00FB42CA">
      <w:pPr>
        <w:widowControl w:val="0"/>
        <w:autoSpaceDE w:val="0"/>
        <w:autoSpaceDN w:val="0"/>
        <w:adjustRightInd w:val="0"/>
        <w:spacing w:line="276" w:lineRule="auto"/>
        <w:ind w:left="567" w:right="567"/>
        <w:rPr>
          <w:rFonts w:cs="Arial"/>
          <w:i/>
        </w:rPr>
      </w:pPr>
    </w:p>
    <w:p w14:paraId="46F4824F" w14:textId="77777777" w:rsidR="00FB42CA" w:rsidRPr="008E399A" w:rsidRDefault="00FB42CA" w:rsidP="00FB42CA">
      <w:pPr>
        <w:widowControl w:val="0"/>
        <w:autoSpaceDE w:val="0"/>
        <w:autoSpaceDN w:val="0"/>
        <w:adjustRightInd w:val="0"/>
        <w:spacing w:line="276" w:lineRule="auto"/>
        <w:ind w:left="567" w:right="567"/>
        <w:rPr>
          <w:rFonts w:cs="Arial"/>
          <w:i/>
        </w:rPr>
      </w:pPr>
      <w:r w:rsidRPr="008E399A">
        <w:rPr>
          <w:rFonts w:cs="Arial"/>
          <w:i/>
        </w:rPr>
        <w:t>“TERCERO: Las costas del proceso serán fijadas por el magistrado ponente, mediante auto susceptible de reposición.</w:t>
      </w:r>
    </w:p>
    <w:p w14:paraId="2D37F5C7" w14:textId="77777777" w:rsidR="00FB42CA" w:rsidRPr="008E399A" w:rsidRDefault="00FB42CA" w:rsidP="00FB42CA">
      <w:pPr>
        <w:widowControl w:val="0"/>
        <w:autoSpaceDE w:val="0"/>
        <w:autoSpaceDN w:val="0"/>
        <w:adjustRightInd w:val="0"/>
        <w:spacing w:line="276" w:lineRule="auto"/>
        <w:ind w:left="567" w:right="567"/>
        <w:rPr>
          <w:rFonts w:cs="Arial"/>
          <w:i/>
        </w:rPr>
      </w:pPr>
    </w:p>
    <w:p w14:paraId="56DCAE68" w14:textId="77777777" w:rsidR="00FB42CA" w:rsidRPr="008E399A" w:rsidRDefault="00FB42CA" w:rsidP="00FB42CA">
      <w:pPr>
        <w:widowControl w:val="0"/>
        <w:autoSpaceDE w:val="0"/>
        <w:autoSpaceDN w:val="0"/>
        <w:adjustRightInd w:val="0"/>
        <w:spacing w:line="276" w:lineRule="auto"/>
        <w:ind w:left="567" w:right="567"/>
        <w:rPr>
          <w:rFonts w:cs="Arial"/>
          <w:i/>
        </w:rPr>
      </w:pPr>
      <w:r w:rsidRPr="008E399A">
        <w:rPr>
          <w:rFonts w:cs="Arial"/>
          <w:i/>
        </w:rPr>
        <w:lastRenderedPageBreak/>
        <w:t>“Los gastos del proceso serán liquidados por secretaría de la sección, con fundamento en los gastos debidamente demostrados, de conformidad con lo establecido en el art. 366 del Código General del Proceso”.</w:t>
      </w:r>
    </w:p>
    <w:p w14:paraId="6B1BA0D3" w14:textId="77777777" w:rsidR="00FB42CA" w:rsidRPr="008E399A" w:rsidRDefault="00FB42CA" w:rsidP="00FB42CA">
      <w:pPr>
        <w:widowControl w:val="0"/>
        <w:autoSpaceDE w:val="0"/>
        <w:autoSpaceDN w:val="0"/>
        <w:adjustRightInd w:val="0"/>
        <w:spacing w:line="276" w:lineRule="auto"/>
        <w:ind w:left="567" w:right="567"/>
        <w:rPr>
          <w:rFonts w:cs="Arial"/>
          <w:i/>
        </w:rPr>
      </w:pPr>
    </w:p>
    <w:p w14:paraId="1DF59EB6" w14:textId="77777777" w:rsidR="00FB42CA" w:rsidRPr="008E399A" w:rsidRDefault="00FB42CA" w:rsidP="00FB42CA">
      <w:pPr>
        <w:widowControl w:val="0"/>
        <w:autoSpaceDE w:val="0"/>
        <w:autoSpaceDN w:val="0"/>
        <w:adjustRightInd w:val="0"/>
        <w:ind w:right="-1"/>
        <w:rPr>
          <w:rFonts w:cs="Arial"/>
          <w:b/>
        </w:rPr>
      </w:pPr>
    </w:p>
    <w:p w14:paraId="72D680DC" w14:textId="77777777" w:rsidR="00FB42CA" w:rsidRPr="008E399A" w:rsidRDefault="00FB42CA" w:rsidP="00FB42CA">
      <w:pPr>
        <w:widowControl w:val="0"/>
        <w:autoSpaceDE w:val="0"/>
        <w:autoSpaceDN w:val="0"/>
        <w:adjustRightInd w:val="0"/>
        <w:ind w:right="-1"/>
        <w:jc w:val="center"/>
        <w:rPr>
          <w:rFonts w:cs="Arial"/>
          <w:b/>
        </w:rPr>
      </w:pPr>
      <w:r w:rsidRPr="008E399A">
        <w:rPr>
          <w:rFonts w:cs="Arial"/>
          <w:b/>
        </w:rPr>
        <w:t>I. A N T E C E D E N T E S</w:t>
      </w:r>
    </w:p>
    <w:p w14:paraId="2A1A6279" w14:textId="77777777" w:rsidR="00FB42CA" w:rsidRPr="008E399A" w:rsidRDefault="00FB42CA" w:rsidP="00FB42CA">
      <w:pPr>
        <w:ind w:right="-1"/>
        <w:rPr>
          <w:rFonts w:cs="Arial"/>
          <w:b/>
        </w:rPr>
      </w:pPr>
    </w:p>
    <w:p w14:paraId="51407AD2" w14:textId="77777777" w:rsidR="00FB42CA" w:rsidRPr="008E399A" w:rsidRDefault="00FB42CA" w:rsidP="00FB42CA">
      <w:pPr>
        <w:ind w:right="-1"/>
        <w:rPr>
          <w:rFonts w:cs="Arial"/>
          <w:b/>
        </w:rPr>
      </w:pPr>
      <w:r w:rsidRPr="008E399A">
        <w:rPr>
          <w:rFonts w:cs="Arial"/>
          <w:b/>
        </w:rPr>
        <w:t>1. La demanda</w:t>
      </w:r>
    </w:p>
    <w:p w14:paraId="31B4B357" w14:textId="77777777" w:rsidR="00FB42CA" w:rsidRPr="008E399A" w:rsidRDefault="00FB42CA" w:rsidP="00FB42CA">
      <w:pPr>
        <w:widowControl w:val="0"/>
        <w:autoSpaceDE w:val="0"/>
        <w:autoSpaceDN w:val="0"/>
        <w:adjustRightInd w:val="0"/>
        <w:ind w:right="-1"/>
        <w:rPr>
          <w:rFonts w:cs="Arial"/>
        </w:rPr>
      </w:pPr>
    </w:p>
    <w:p w14:paraId="7C50DD67" w14:textId="77777777" w:rsidR="00FB42CA" w:rsidRPr="008E399A" w:rsidRDefault="00FB42CA" w:rsidP="00FB42CA">
      <w:pPr>
        <w:ind w:right="-1"/>
        <w:contextualSpacing/>
        <w:rPr>
          <w:rFonts w:cs="Arial"/>
        </w:rPr>
      </w:pPr>
      <w:r w:rsidRPr="008E399A">
        <w:rPr>
          <w:rFonts w:cs="Arial"/>
        </w:rPr>
        <w:t xml:space="preserve">La demanda con la que se inició este litigio fue presentada el 13 de enero de 2015 por la sociedad Jahv Mcgregor S.A., en ejercicio del medio de control consagrado en el artículo 141, en concordancia con el artículo 138 del Código de Procedimiento Administrativo y de lo Contencioso Administrativo (Ley 1437 de 2011), contra la Autoridad Nacional de Televisión – ANTV y de las sociedades Sertic S.A.S. y KBT S.A.S. miembros del consorcio Interventoría Concesión TV, con el fin de que: i) se declarara la nulidad de la Resolución 2077 del 11 de julio de 2014, por la cual se adjudicó el Concurso de Méritos No. 03 de 2014, al consorcio Interventoría Concesión TV; ii) se declarara la nulidad absoluta del Contrato No. 164 del 17 de julio de 2014, celebrado entre la Autoridad Nacional de Televisión – ANTV y el consorcio Interventoría Concesión TV; iii) se declarara que la sociedad Jahv Mcgregor S.A. presentó la mejor oferta y que le correspondía ser la adjudicataria del Concurso de Méritos No. 03 de 2014; iv) a título de restablecimiento del derecho, se condenara al Autoridad Nacional de Televisión ANTV a pagar a la demandante la suma de $473’978.690, por concepto de la utilidad que habría percibido, derivada de la ejecución del contrato producto del Concurso de Méritos 03 de 2014; v) se condenara a la demandada a pagar las costas del proceso. </w:t>
      </w:r>
    </w:p>
    <w:p w14:paraId="454ABF97" w14:textId="77777777" w:rsidR="00FB42CA" w:rsidRPr="008E399A" w:rsidRDefault="00FB42CA" w:rsidP="00FB42CA">
      <w:pPr>
        <w:ind w:right="-1"/>
        <w:contextualSpacing/>
        <w:rPr>
          <w:rFonts w:cs="Arial"/>
        </w:rPr>
      </w:pPr>
      <w:r w:rsidRPr="008E399A">
        <w:rPr>
          <w:rFonts w:cs="Arial"/>
        </w:rPr>
        <w:t xml:space="preserve"> </w:t>
      </w:r>
    </w:p>
    <w:p w14:paraId="5FA4D168" w14:textId="77777777" w:rsidR="00FB42CA" w:rsidRPr="008E399A" w:rsidRDefault="00FB42CA" w:rsidP="00FB42CA">
      <w:pPr>
        <w:ind w:right="-1"/>
        <w:contextualSpacing/>
        <w:rPr>
          <w:rFonts w:cs="Arial"/>
          <w:b/>
          <w:bCs/>
          <w:iCs/>
        </w:rPr>
      </w:pPr>
      <w:r w:rsidRPr="008E399A">
        <w:rPr>
          <w:rFonts w:cs="Arial"/>
          <w:b/>
          <w:bCs/>
          <w:iCs/>
        </w:rPr>
        <w:t>2. Los hechos</w:t>
      </w:r>
    </w:p>
    <w:p w14:paraId="51025C8B" w14:textId="77777777" w:rsidR="00FB42CA" w:rsidRPr="008E399A" w:rsidRDefault="00FB42CA" w:rsidP="00FB42CA">
      <w:pPr>
        <w:widowControl w:val="0"/>
        <w:autoSpaceDE w:val="0"/>
        <w:autoSpaceDN w:val="0"/>
        <w:adjustRightInd w:val="0"/>
        <w:rPr>
          <w:rFonts w:cs="Arial"/>
          <w:lang w:val="es-CO"/>
        </w:rPr>
      </w:pPr>
    </w:p>
    <w:p w14:paraId="62A53190" w14:textId="77777777" w:rsidR="00FB42CA" w:rsidRPr="008E399A" w:rsidRDefault="00FB42CA" w:rsidP="00FB42CA">
      <w:pPr>
        <w:widowControl w:val="0"/>
        <w:autoSpaceDE w:val="0"/>
        <w:autoSpaceDN w:val="0"/>
        <w:adjustRightInd w:val="0"/>
        <w:rPr>
          <w:rFonts w:cs="Arial"/>
        </w:rPr>
      </w:pPr>
      <w:r w:rsidRPr="008E399A">
        <w:rPr>
          <w:rFonts w:cs="Arial"/>
          <w:lang w:val="es-CO"/>
        </w:rPr>
        <w:t>E</w:t>
      </w:r>
      <w:r w:rsidRPr="008E399A">
        <w:rPr>
          <w:rFonts w:cs="Arial"/>
        </w:rPr>
        <w:t>n el escrito de demanda y en el de su subsanación, en síntesis, la parte actora narró los siguientes hechos relevantes:</w:t>
      </w:r>
    </w:p>
    <w:p w14:paraId="766B3ED2" w14:textId="77777777" w:rsidR="00FB42CA" w:rsidRPr="008E399A" w:rsidRDefault="00FB42CA" w:rsidP="00FB42CA">
      <w:pPr>
        <w:widowControl w:val="0"/>
        <w:autoSpaceDE w:val="0"/>
        <w:autoSpaceDN w:val="0"/>
        <w:adjustRightInd w:val="0"/>
        <w:rPr>
          <w:rFonts w:cs="Arial"/>
        </w:rPr>
      </w:pPr>
    </w:p>
    <w:p w14:paraId="0B55F282" w14:textId="77777777" w:rsidR="00FB42CA" w:rsidRPr="008E399A" w:rsidRDefault="00FB42CA" w:rsidP="00FB42CA">
      <w:pPr>
        <w:widowControl w:val="0"/>
        <w:autoSpaceDE w:val="0"/>
        <w:autoSpaceDN w:val="0"/>
        <w:adjustRightInd w:val="0"/>
        <w:rPr>
          <w:rFonts w:cs="Arial"/>
          <w:lang w:val="es-MX"/>
        </w:rPr>
      </w:pPr>
      <w:r w:rsidRPr="008E399A">
        <w:rPr>
          <w:rFonts w:cs="Arial"/>
          <w:b/>
          <w:lang w:val="es-MX"/>
        </w:rPr>
        <w:t>2.1.</w:t>
      </w:r>
      <w:r w:rsidRPr="008E399A">
        <w:rPr>
          <w:rFonts w:cs="Arial"/>
          <w:lang w:val="es-MX"/>
        </w:rPr>
        <w:t xml:space="preserve"> Mediante Resolución No. 1729 del 3 de junio de 2014, la Autoridad Nacional de Televisión ANTV ordenó la apertura del Concurso de Méritos Abierto No. 003 de 2014, con el objeto de contratar (se transcribe de forma literal, incluso con posibles errores): </w:t>
      </w:r>
    </w:p>
    <w:p w14:paraId="7B450E36" w14:textId="77777777" w:rsidR="00FB42CA" w:rsidRPr="008E399A" w:rsidRDefault="00FB42CA" w:rsidP="00FB42CA">
      <w:pPr>
        <w:widowControl w:val="0"/>
        <w:autoSpaceDE w:val="0"/>
        <w:autoSpaceDN w:val="0"/>
        <w:adjustRightInd w:val="0"/>
        <w:rPr>
          <w:rFonts w:cs="Arial"/>
          <w:lang w:val="es-MX"/>
        </w:rPr>
      </w:pPr>
    </w:p>
    <w:p w14:paraId="233F152C" w14:textId="77777777" w:rsidR="00FB42CA" w:rsidRPr="008E399A" w:rsidRDefault="00FB42CA" w:rsidP="00FB42CA">
      <w:pPr>
        <w:widowControl w:val="0"/>
        <w:autoSpaceDE w:val="0"/>
        <w:autoSpaceDN w:val="0"/>
        <w:adjustRightInd w:val="0"/>
        <w:spacing w:line="276" w:lineRule="auto"/>
        <w:ind w:left="567" w:right="624"/>
        <w:rPr>
          <w:rFonts w:cs="Arial"/>
          <w:lang w:val="es-MX"/>
        </w:rPr>
      </w:pPr>
      <w:r w:rsidRPr="008E399A">
        <w:rPr>
          <w:rFonts w:cs="Arial"/>
          <w:lang w:val="es-MX"/>
        </w:rPr>
        <w:lastRenderedPageBreak/>
        <w:t>“</w:t>
      </w:r>
      <w:r w:rsidRPr="008E399A">
        <w:rPr>
          <w:rFonts w:cs="Arial"/>
          <w:i/>
          <w:lang w:val="es-MX"/>
        </w:rPr>
        <w:t>la interventoría integral en aspectos jurídicos, financieros, administrativos y de programación y contenidos a los contratos de concesión de televisión abierta nacional privada No. 136 y 140 de 1997, a los contratos de concesión de espacios de televisión en el canal uno No. 085, 086, 087 de 2003, al contrato de concesión de televisión local con ánimo de lucro No. 167 de 1998, a los contratos de concesión de televisión por suscripción No. (…), a partir de las obligaciones pactadas en los contratos y sus respectivas prórrogas o ampliaciones y de conformidad con las normas reglamentarias y regulatorias del servicio público de televisión, con un presupuesto de dos mil ochocientos treinta millones quinientos dos mil novecientos noventa y seis pesos M/cte (2.830’502.996,oo), por un plazo comprendido entre la fecha de firma del acta de inicio hasta el 31 de diciembre de 2014</w:t>
      </w:r>
      <w:r w:rsidRPr="008E399A">
        <w:rPr>
          <w:rFonts w:cs="Arial"/>
          <w:lang w:val="es-MX"/>
        </w:rPr>
        <w:t xml:space="preserve">”.  </w:t>
      </w:r>
    </w:p>
    <w:p w14:paraId="461BEDA9" w14:textId="77777777" w:rsidR="00FB42CA" w:rsidRPr="008E399A" w:rsidRDefault="00FB42CA" w:rsidP="00FB42CA">
      <w:pPr>
        <w:widowControl w:val="0"/>
        <w:autoSpaceDE w:val="0"/>
        <w:autoSpaceDN w:val="0"/>
        <w:adjustRightInd w:val="0"/>
        <w:rPr>
          <w:rFonts w:cs="Arial"/>
          <w:lang w:val="es-MX"/>
        </w:rPr>
      </w:pPr>
    </w:p>
    <w:p w14:paraId="38793A78" w14:textId="77777777" w:rsidR="00FB42CA" w:rsidRPr="008E399A" w:rsidRDefault="00FB42CA" w:rsidP="00FB42CA">
      <w:pPr>
        <w:widowControl w:val="0"/>
        <w:autoSpaceDE w:val="0"/>
        <w:autoSpaceDN w:val="0"/>
        <w:adjustRightInd w:val="0"/>
        <w:rPr>
          <w:rFonts w:cs="Arial"/>
          <w:lang w:val="es-MX"/>
        </w:rPr>
      </w:pPr>
      <w:r w:rsidRPr="008E399A">
        <w:rPr>
          <w:rFonts w:cs="Arial"/>
          <w:b/>
          <w:lang w:val="es-MX"/>
        </w:rPr>
        <w:t xml:space="preserve">2.2. </w:t>
      </w:r>
      <w:r w:rsidRPr="008E399A">
        <w:rPr>
          <w:rFonts w:cs="Arial"/>
          <w:lang w:val="es-MX"/>
        </w:rPr>
        <w:t>A la invitación acudieron cuatro proponentes, entre ellos, el consorcio Interventoría Concesión TV y la sociedad Jahv Mcgregor S.A.</w:t>
      </w:r>
    </w:p>
    <w:p w14:paraId="1DC4F1C6" w14:textId="77777777" w:rsidR="00FB42CA" w:rsidRPr="008E399A" w:rsidRDefault="00FB42CA" w:rsidP="00FB42CA">
      <w:pPr>
        <w:widowControl w:val="0"/>
        <w:autoSpaceDE w:val="0"/>
        <w:autoSpaceDN w:val="0"/>
        <w:adjustRightInd w:val="0"/>
        <w:rPr>
          <w:rFonts w:cs="Arial"/>
          <w:b/>
          <w:lang w:val="es-MX"/>
        </w:rPr>
      </w:pPr>
    </w:p>
    <w:p w14:paraId="277C0D27" w14:textId="77777777" w:rsidR="00FB42CA" w:rsidRPr="008E399A" w:rsidRDefault="00FB42CA" w:rsidP="00FB42CA">
      <w:pPr>
        <w:widowControl w:val="0"/>
        <w:autoSpaceDE w:val="0"/>
        <w:autoSpaceDN w:val="0"/>
        <w:adjustRightInd w:val="0"/>
        <w:rPr>
          <w:rFonts w:cs="Arial"/>
          <w:lang w:val="es-MX"/>
        </w:rPr>
      </w:pPr>
      <w:r w:rsidRPr="008E399A">
        <w:rPr>
          <w:rFonts w:cs="Arial"/>
          <w:b/>
          <w:lang w:val="es-MX"/>
        </w:rPr>
        <w:t>2.3.</w:t>
      </w:r>
      <w:r w:rsidRPr="008E399A">
        <w:rPr>
          <w:rFonts w:cs="Arial"/>
          <w:lang w:val="es-MX"/>
        </w:rPr>
        <w:t xml:space="preserve"> De conformidad con el informe de evaluación rendido por el comité, el consorcio Interventoría Concesiones TV ocupó el primer orden de elegibilidad con 810 puntos y la sociedad Jahv Macgregor se ubicó en el segundo con 635 puntos. </w:t>
      </w:r>
    </w:p>
    <w:p w14:paraId="5D114AF0" w14:textId="77777777" w:rsidR="00FB42CA" w:rsidRPr="008E399A" w:rsidRDefault="00FB42CA" w:rsidP="00FB42CA">
      <w:pPr>
        <w:widowControl w:val="0"/>
        <w:autoSpaceDE w:val="0"/>
        <w:autoSpaceDN w:val="0"/>
        <w:adjustRightInd w:val="0"/>
        <w:rPr>
          <w:rFonts w:cs="Arial"/>
          <w:lang w:val="es-MX"/>
        </w:rPr>
      </w:pPr>
    </w:p>
    <w:p w14:paraId="7B74B4BF" w14:textId="77777777" w:rsidR="00FB42CA" w:rsidRPr="008E399A" w:rsidRDefault="00FB42CA" w:rsidP="00FB42CA">
      <w:pPr>
        <w:widowControl w:val="0"/>
        <w:autoSpaceDE w:val="0"/>
        <w:autoSpaceDN w:val="0"/>
        <w:adjustRightInd w:val="0"/>
        <w:rPr>
          <w:rFonts w:cs="Arial"/>
        </w:rPr>
      </w:pPr>
      <w:r w:rsidRPr="008E399A">
        <w:rPr>
          <w:rFonts w:cs="Arial"/>
          <w:b/>
          <w:lang w:val="es-MX"/>
        </w:rPr>
        <w:t xml:space="preserve">2.4. </w:t>
      </w:r>
      <w:r w:rsidRPr="008E399A">
        <w:rPr>
          <w:rFonts w:cs="Arial"/>
          <w:lang w:val="es-MX"/>
        </w:rPr>
        <w:t>Mediante</w:t>
      </w:r>
      <w:r w:rsidRPr="008E399A">
        <w:rPr>
          <w:rFonts w:cs="Arial"/>
        </w:rPr>
        <w:t xml:space="preserve"> Resolución 2077 del 11 de julio de 2014, la Autoridad Nacional de Televisión ANTV adjudicó el concurso de méritos al consorcio Interventoría Concesión TV</w:t>
      </w:r>
      <w:r w:rsidRPr="008E399A">
        <w:rPr>
          <w:rFonts w:cs="Arial"/>
          <w:lang w:val="es-MX"/>
        </w:rPr>
        <w:t>.</w:t>
      </w:r>
    </w:p>
    <w:p w14:paraId="4747023D" w14:textId="77777777" w:rsidR="00FB42CA" w:rsidRPr="008E399A" w:rsidRDefault="00FB42CA" w:rsidP="00FB42CA">
      <w:pPr>
        <w:widowControl w:val="0"/>
        <w:autoSpaceDE w:val="0"/>
        <w:autoSpaceDN w:val="0"/>
        <w:adjustRightInd w:val="0"/>
        <w:rPr>
          <w:rFonts w:cs="Arial"/>
          <w:lang w:val="es-MX"/>
        </w:rPr>
      </w:pPr>
    </w:p>
    <w:p w14:paraId="0A2DCBEF" w14:textId="77777777" w:rsidR="00FB42CA" w:rsidRPr="008E399A" w:rsidRDefault="00FB42CA" w:rsidP="00FB42CA">
      <w:pPr>
        <w:widowControl w:val="0"/>
        <w:autoSpaceDE w:val="0"/>
        <w:autoSpaceDN w:val="0"/>
        <w:adjustRightInd w:val="0"/>
        <w:rPr>
          <w:rFonts w:cs="Arial"/>
          <w:lang w:val="es-MX"/>
        </w:rPr>
      </w:pPr>
      <w:r w:rsidRPr="008E399A">
        <w:rPr>
          <w:rFonts w:cs="Arial"/>
          <w:b/>
          <w:lang w:val="es-MX"/>
        </w:rPr>
        <w:t>2.5.</w:t>
      </w:r>
      <w:r w:rsidRPr="008E399A">
        <w:rPr>
          <w:rFonts w:cs="Arial"/>
          <w:lang w:val="es-MX"/>
        </w:rPr>
        <w:t xml:space="preserve"> Se sostiene en la demanda que la propuesta del consorcio </w:t>
      </w:r>
      <w:r w:rsidRPr="008E399A">
        <w:rPr>
          <w:rFonts w:cs="Arial"/>
        </w:rPr>
        <w:t>Interventoría Concesión</w:t>
      </w:r>
      <w:r w:rsidRPr="008E399A">
        <w:rPr>
          <w:rFonts w:cs="Arial"/>
          <w:lang w:val="es-MX"/>
        </w:rPr>
        <w:t xml:space="preserve"> TV no debió resultar favorecida con la adjudicación, por las siguientes falencias: </w:t>
      </w:r>
    </w:p>
    <w:p w14:paraId="19F54746" w14:textId="77777777" w:rsidR="00FB42CA" w:rsidRPr="008E399A" w:rsidRDefault="00FB42CA" w:rsidP="00FB42CA">
      <w:pPr>
        <w:widowControl w:val="0"/>
        <w:autoSpaceDE w:val="0"/>
        <w:autoSpaceDN w:val="0"/>
        <w:adjustRightInd w:val="0"/>
        <w:rPr>
          <w:rFonts w:cs="Arial"/>
          <w:lang w:val="es-MX"/>
        </w:rPr>
      </w:pPr>
    </w:p>
    <w:p w14:paraId="71BC0BCA" w14:textId="77777777" w:rsidR="00FB42CA" w:rsidRPr="008E399A" w:rsidRDefault="00FB42CA" w:rsidP="00FB42CA">
      <w:pPr>
        <w:pStyle w:val="Prrafodelista"/>
        <w:widowControl w:val="0"/>
        <w:numPr>
          <w:ilvl w:val="0"/>
          <w:numId w:val="33"/>
        </w:numPr>
        <w:autoSpaceDE w:val="0"/>
        <w:autoSpaceDN w:val="0"/>
        <w:adjustRightInd w:val="0"/>
        <w:rPr>
          <w:rFonts w:cs="Arial"/>
          <w:lang w:val="es-MX"/>
        </w:rPr>
      </w:pPr>
      <w:r w:rsidRPr="008E399A">
        <w:rPr>
          <w:rFonts w:cs="Arial"/>
          <w:lang w:val="es-MX"/>
        </w:rPr>
        <w:t xml:space="preserve">Se presentaron certificaciones nuevas que acreditaban la experiencia del director del proyecto, con lo cual se permitió la mejora de su propuesta y se le asignó indebidamente puntaje a ese factor de ponderación. </w:t>
      </w:r>
    </w:p>
    <w:p w14:paraId="561D2989" w14:textId="77777777" w:rsidR="00FB42CA" w:rsidRPr="008E399A" w:rsidRDefault="00FB42CA" w:rsidP="00FB42CA">
      <w:pPr>
        <w:pStyle w:val="Prrafodelista"/>
        <w:widowControl w:val="0"/>
        <w:autoSpaceDE w:val="0"/>
        <w:autoSpaceDN w:val="0"/>
        <w:adjustRightInd w:val="0"/>
        <w:ind w:left="720"/>
        <w:rPr>
          <w:rFonts w:cs="Arial"/>
          <w:lang w:val="es-MX"/>
        </w:rPr>
      </w:pPr>
    </w:p>
    <w:p w14:paraId="37CF4F00" w14:textId="77777777" w:rsidR="00FB42CA" w:rsidRPr="008E399A" w:rsidRDefault="00FB42CA" w:rsidP="00FB42CA">
      <w:pPr>
        <w:pStyle w:val="Prrafodelista"/>
        <w:widowControl w:val="0"/>
        <w:numPr>
          <w:ilvl w:val="0"/>
          <w:numId w:val="33"/>
        </w:numPr>
        <w:autoSpaceDE w:val="0"/>
        <w:autoSpaceDN w:val="0"/>
        <w:adjustRightInd w:val="0"/>
        <w:rPr>
          <w:rFonts w:cs="Arial"/>
          <w:lang w:val="es-MX"/>
        </w:rPr>
      </w:pPr>
      <w:r w:rsidRPr="008E399A">
        <w:rPr>
          <w:rFonts w:cs="Arial"/>
          <w:lang w:val="es-MX"/>
        </w:rPr>
        <w:t>No acreditó la experiencia profesional del asesor jurídico exigida en el pliego de condiciones, por cuanto los contratos ejecutados no guardaban correspondencia con temas de contratación estatal o interventoría, como lo demandaban las reglas del concurso y, por tanto, solo acreditó 21 meses de los dos años que se requerían de experiencia profesional específica.</w:t>
      </w:r>
    </w:p>
    <w:p w14:paraId="271691DC" w14:textId="77777777" w:rsidR="00FB42CA" w:rsidRPr="008E399A" w:rsidRDefault="00FB42CA" w:rsidP="00FB42CA">
      <w:pPr>
        <w:widowControl w:val="0"/>
        <w:autoSpaceDE w:val="0"/>
        <w:autoSpaceDN w:val="0"/>
        <w:adjustRightInd w:val="0"/>
        <w:rPr>
          <w:rFonts w:cs="Arial"/>
          <w:lang w:val="es-MX"/>
        </w:rPr>
      </w:pPr>
    </w:p>
    <w:p w14:paraId="27E67D1D" w14:textId="77777777" w:rsidR="00FB42CA" w:rsidRPr="008E399A" w:rsidRDefault="00FB42CA" w:rsidP="00FB42CA">
      <w:pPr>
        <w:ind w:right="-1"/>
        <w:contextualSpacing/>
        <w:rPr>
          <w:rFonts w:cs="Arial"/>
          <w:b/>
          <w:bCs/>
          <w:iCs/>
        </w:rPr>
      </w:pPr>
      <w:r w:rsidRPr="008E399A">
        <w:rPr>
          <w:rFonts w:cs="Arial"/>
          <w:b/>
          <w:bCs/>
          <w:iCs/>
        </w:rPr>
        <w:lastRenderedPageBreak/>
        <w:t xml:space="preserve">3. Normas violadas y concepto de la violación </w:t>
      </w:r>
    </w:p>
    <w:p w14:paraId="505A935B" w14:textId="77777777" w:rsidR="00FB42CA" w:rsidRPr="008E399A" w:rsidRDefault="00FB42CA" w:rsidP="00FB42CA">
      <w:pPr>
        <w:ind w:right="-1"/>
        <w:contextualSpacing/>
        <w:rPr>
          <w:rFonts w:cs="Arial"/>
          <w:bCs/>
          <w:iCs/>
        </w:rPr>
      </w:pPr>
    </w:p>
    <w:p w14:paraId="3DD3F163" w14:textId="77777777" w:rsidR="00FB42CA" w:rsidRPr="008E399A" w:rsidRDefault="00FB42CA" w:rsidP="00FB42CA">
      <w:pPr>
        <w:ind w:right="-1"/>
        <w:contextualSpacing/>
        <w:rPr>
          <w:rFonts w:cs="Arial"/>
          <w:bCs/>
          <w:iCs/>
        </w:rPr>
      </w:pPr>
      <w:r w:rsidRPr="008E399A">
        <w:rPr>
          <w:rFonts w:cs="Arial"/>
          <w:bCs/>
          <w:iCs/>
        </w:rPr>
        <w:t xml:space="preserve">Como apoyo jurídico de sus pretensiones, la parte demandante señaló que la resolución acusada incurrió en falsa motivación y desconoció el principio de selección objetiva consagrado en el artículo 5 de la Ley 1150 de 2007, por cuanto la evaluación de la propuesta presentada por el consorcio Interventoría Concesión TV no se ciñó a las exigencias del pliego de condiciones respecto de la experiencia del director del proyecto y de su asesor jurídico. Adujo que la ANTV, al solicitar que se aclarara la certificación expedida por el Fondo Nacional del Ahorro en relación con la experiencia del ingeniero de sistemas ofrecido como director del proyecto, permitió que se acreditaran hechos posteriores e información nueva a la suministrada en la época del cierre y valoró certificaciones que hacían constar hechos posteriores a la fecha en que fueron expedidas. Precisó que la valoración de las certificaciones en cometo no solo concernía a la verificación de un requisito habilitante sino también a uno puntuable, por lo que al proceder en esa dirección transgredió las normas del pliego de condiciones. </w:t>
      </w:r>
    </w:p>
    <w:p w14:paraId="06E028F4" w14:textId="77777777" w:rsidR="00FB42CA" w:rsidRPr="008E399A" w:rsidRDefault="00FB42CA" w:rsidP="00FB42CA">
      <w:pPr>
        <w:ind w:right="-1"/>
        <w:contextualSpacing/>
        <w:rPr>
          <w:rFonts w:cs="Arial"/>
          <w:bCs/>
          <w:iCs/>
        </w:rPr>
      </w:pPr>
    </w:p>
    <w:p w14:paraId="608FBEC7" w14:textId="77777777" w:rsidR="00FB42CA" w:rsidRPr="008E399A" w:rsidRDefault="00FB42CA" w:rsidP="00FB42CA">
      <w:pPr>
        <w:ind w:right="-1"/>
        <w:contextualSpacing/>
        <w:rPr>
          <w:rFonts w:cs="Arial"/>
          <w:bCs/>
          <w:iCs/>
        </w:rPr>
      </w:pPr>
      <w:r w:rsidRPr="008E399A">
        <w:rPr>
          <w:rFonts w:cs="Arial"/>
          <w:bCs/>
          <w:iCs/>
        </w:rPr>
        <w:t>Para el accionante, ante la existencia de inconsistencias en la información suministrada, la entidad debió rechazar la propuesta. Agregó que la entidad evaluó indebidamente la experiencia del asesor jurídico ofrecido por la adjudicataria, en razón a que las certificaciones aportadas daban cuenta de la ejecución de varios contratos que no guardaban relación con temas de contratación estatal o interventoría, como lo demandaba el documento precontractual.</w:t>
      </w:r>
    </w:p>
    <w:p w14:paraId="0596C398" w14:textId="77777777" w:rsidR="00FB42CA" w:rsidRPr="008E399A" w:rsidRDefault="00FB42CA" w:rsidP="00FB42CA">
      <w:pPr>
        <w:ind w:right="-1"/>
        <w:contextualSpacing/>
        <w:rPr>
          <w:rFonts w:cs="Arial"/>
          <w:bCs/>
          <w:iCs/>
        </w:rPr>
      </w:pPr>
    </w:p>
    <w:p w14:paraId="03DA55E5" w14:textId="77777777" w:rsidR="00FB42CA" w:rsidRPr="008E399A" w:rsidRDefault="00FB42CA" w:rsidP="00FB42CA">
      <w:pPr>
        <w:ind w:right="-1"/>
        <w:contextualSpacing/>
        <w:rPr>
          <w:rFonts w:cs="Arial"/>
          <w:b/>
          <w:bCs/>
          <w:iCs/>
        </w:rPr>
      </w:pPr>
      <w:r w:rsidRPr="008E399A">
        <w:rPr>
          <w:rFonts w:cs="Arial"/>
          <w:b/>
          <w:bCs/>
          <w:iCs/>
        </w:rPr>
        <w:t>4. Actuación procesal</w:t>
      </w:r>
    </w:p>
    <w:p w14:paraId="6A1DE417" w14:textId="77777777" w:rsidR="00FB42CA" w:rsidRPr="008E399A" w:rsidRDefault="00FB42CA" w:rsidP="00FB42CA">
      <w:pPr>
        <w:ind w:right="-1"/>
        <w:rPr>
          <w:rFonts w:cs="Arial"/>
          <w:bCs/>
          <w:iCs/>
        </w:rPr>
      </w:pPr>
    </w:p>
    <w:p w14:paraId="17C44583" w14:textId="77777777" w:rsidR="00FB42CA" w:rsidRPr="008E399A" w:rsidRDefault="00FB42CA" w:rsidP="00FB42CA">
      <w:pPr>
        <w:ind w:right="-1"/>
        <w:rPr>
          <w:rFonts w:cs="Arial"/>
          <w:bCs/>
          <w:iCs/>
        </w:rPr>
      </w:pPr>
      <w:r w:rsidRPr="008E399A">
        <w:rPr>
          <w:rFonts w:cs="Arial"/>
          <w:b/>
          <w:bCs/>
          <w:iCs/>
        </w:rPr>
        <w:t xml:space="preserve">4.1. </w:t>
      </w:r>
      <w:r w:rsidRPr="008E399A">
        <w:rPr>
          <w:rFonts w:cs="Arial"/>
          <w:bCs/>
          <w:iCs/>
        </w:rPr>
        <w:t xml:space="preserve">Por auto de 11 de marzo de 2015, el Tribunal Administrativo de Cundinamarca admitió la demanda, ordenó la notificación a la entidad demandada y a los integrantes del consorcio Interventoría Concesión TV, en calidad de adjudicatario, por tener un interés directo en el resultado del proceso. </w:t>
      </w:r>
    </w:p>
    <w:p w14:paraId="5FAB6F6E" w14:textId="77777777" w:rsidR="00FB42CA" w:rsidRPr="008E399A" w:rsidRDefault="00FB42CA" w:rsidP="00FB42CA">
      <w:pPr>
        <w:ind w:right="-1"/>
        <w:rPr>
          <w:rFonts w:cs="Arial"/>
          <w:bCs/>
          <w:iCs/>
        </w:rPr>
      </w:pPr>
    </w:p>
    <w:p w14:paraId="4EDEBBAE" w14:textId="77777777" w:rsidR="00FB42CA" w:rsidRPr="008E399A" w:rsidRDefault="00FB42CA" w:rsidP="00FB42CA">
      <w:pPr>
        <w:ind w:right="-1"/>
        <w:rPr>
          <w:rFonts w:cs="Arial"/>
          <w:b/>
          <w:bCs/>
          <w:iCs/>
        </w:rPr>
      </w:pPr>
      <w:r w:rsidRPr="008E399A">
        <w:rPr>
          <w:rFonts w:cs="Arial"/>
          <w:b/>
          <w:bCs/>
          <w:iCs/>
        </w:rPr>
        <w:t>4.2. Contestación de la demanda</w:t>
      </w:r>
    </w:p>
    <w:p w14:paraId="51D2F18E" w14:textId="77777777" w:rsidR="00FB42CA" w:rsidRPr="008E399A" w:rsidRDefault="00FB42CA" w:rsidP="00FB42CA">
      <w:pPr>
        <w:ind w:right="-1"/>
        <w:rPr>
          <w:rFonts w:cs="Arial"/>
          <w:b/>
          <w:bCs/>
          <w:iCs/>
        </w:rPr>
      </w:pPr>
    </w:p>
    <w:p w14:paraId="2489AB48" w14:textId="77777777" w:rsidR="00FB42CA" w:rsidRPr="008E399A" w:rsidRDefault="00FB42CA" w:rsidP="00FB42CA">
      <w:pPr>
        <w:ind w:right="-1"/>
        <w:rPr>
          <w:rFonts w:cs="Arial"/>
          <w:b/>
          <w:bCs/>
          <w:iCs/>
        </w:rPr>
      </w:pPr>
      <w:r w:rsidRPr="008E399A">
        <w:rPr>
          <w:rFonts w:cs="Arial"/>
          <w:b/>
          <w:bCs/>
          <w:iCs/>
        </w:rPr>
        <w:t xml:space="preserve">Autoridad Nacional de Televisión – ANTV </w:t>
      </w:r>
    </w:p>
    <w:p w14:paraId="507CA2B3" w14:textId="77777777" w:rsidR="00FB42CA" w:rsidRPr="008E399A" w:rsidRDefault="00FB42CA" w:rsidP="00FB42CA">
      <w:pPr>
        <w:ind w:right="-1"/>
        <w:rPr>
          <w:rFonts w:cs="Arial"/>
          <w:b/>
          <w:bCs/>
          <w:iCs/>
        </w:rPr>
      </w:pPr>
    </w:p>
    <w:p w14:paraId="587A9A0C" w14:textId="77777777" w:rsidR="00FB42CA" w:rsidRPr="008E399A" w:rsidRDefault="00FB42CA" w:rsidP="00FB42CA">
      <w:pPr>
        <w:ind w:right="-1"/>
        <w:rPr>
          <w:rFonts w:cs="Arial"/>
        </w:rPr>
      </w:pPr>
      <w:r w:rsidRPr="008E399A">
        <w:rPr>
          <w:rFonts w:cs="Arial"/>
        </w:rPr>
        <w:t xml:space="preserve">La entidad demandada contestó la demanda dentro de la oportunidad legal. Se opuso a las pretensiones y a toda situación encaminada a deslegitimar la facultad de la entidad para adelantar el concurso de méritos y adjudicarlo. En ese sentido, señaló que el acto acusado y el contrato demandado fueron expedidos y celebrados con apego a las disposiciones legales aplicables al caso. </w:t>
      </w:r>
    </w:p>
    <w:p w14:paraId="7274A336" w14:textId="77777777" w:rsidR="00FB42CA" w:rsidRPr="008E399A" w:rsidRDefault="00FB42CA" w:rsidP="00FB42CA">
      <w:pPr>
        <w:ind w:right="-1"/>
        <w:rPr>
          <w:rFonts w:cs="Arial"/>
        </w:rPr>
      </w:pPr>
      <w:r w:rsidRPr="008E399A">
        <w:rPr>
          <w:rFonts w:cs="Arial"/>
        </w:rPr>
        <w:t xml:space="preserve">Frente a los hechos de la demanda refirió que el consorcio Interventoría Concesión TV presentó dos documentos de observaciones el 7 de julio de 2014 con los cuales: i) acreditó los requisitos de habilitación, ii) solicitó la corrección del informe preliminar, en razón a que se había escrito que no cumplía la experiencia habilitante del proponente, lo cual era un error mecanográfico porque desde un inicio sí cumplía; iii) aportó certificación relacionada con el director general de interventoría; iv) argumentó por qué debía tenerse en cuenta la certificación del Fondo Nacional del Ahorro, relacionada con el director general; v) solicitó que se le tuviera en cuenta la experiencia certificada por la Procuraduría General de la Nación al director general; vi) solicitó la asignación de puntaje como consecuencia de la habitación; vii) aportó certificaciones relacionadas con los asesores financiero y jurídico viii) aportó copia de la cédula de ciudadanía del asesor de contenidos.  </w:t>
      </w:r>
    </w:p>
    <w:p w14:paraId="7FA63B2F" w14:textId="77777777" w:rsidR="00FB42CA" w:rsidRPr="008E399A" w:rsidRDefault="00FB42CA" w:rsidP="00FB42CA">
      <w:pPr>
        <w:ind w:right="-1"/>
        <w:rPr>
          <w:rFonts w:cs="Arial"/>
        </w:rPr>
      </w:pPr>
    </w:p>
    <w:p w14:paraId="273981EC" w14:textId="77777777" w:rsidR="00FB42CA" w:rsidRPr="008E399A" w:rsidRDefault="00FB42CA" w:rsidP="00FB42CA">
      <w:pPr>
        <w:ind w:right="-1"/>
        <w:rPr>
          <w:rFonts w:cs="Arial"/>
        </w:rPr>
      </w:pPr>
      <w:r w:rsidRPr="008E399A">
        <w:rPr>
          <w:rFonts w:cs="Arial"/>
        </w:rPr>
        <w:t>Puso de presente lo ocurrido en la audiencia de adjudicación e indicó que los hechos debían leerse en contexto y no de manera fragmentada, como lo plasmaba el libelista.</w:t>
      </w:r>
    </w:p>
    <w:p w14:paraId="6439FA59" w14:textId="77777777" w:rsidR="00FB42CA" w:rsidRPr="008E399A" w:rsidRDefault="00FB42CA" w:rsidP="00FB42CA">
      <w:pPr>
        <w:ind w:right="-1"/>
        <w:rPr>
          <w:rFonts w:cs="Arial"/>
        </w:rPr>
      </w:pPr>
    </w:p>
    <w:p w14:paraId="1F460A57" w14:textId="77777777" w:rsidR="00FB42CA" w:rsidRPr="008E399A" w:rsidRDefault="00FB42CA" w:rsidP="00FB42CA">
      <w:pPr>
        <w:ind w:right="-1"/>
        <w:rPr>
          <w:rFonts w:cs="Arial"/>
        </w:rPr>
      </w:pPr>
      <w:r w:rsidRPr="008E399A">
        <w:rPr>
          <w:rFonts w:cs="Arial"/>
        </w:rPr>
        <w:t xml:space="preserve">Como argumento de la contradicción replicó que la asignación de puntaje a la propuesta de la adjudicataria por la experiencia del director general del proyecto se obtuvo como consecuencia de la documentación aportada inicialmente con la </w:t>
      </w:r>
      <w:r w:rsidRPr="008E399A">
        <w:rPr>
          <w:rFonts w:cs="Arial"/>
        </w:rPr>
        <w:lastRenderedPageBreak/>
        <w:t xml:space="preserve">propuesta y que, incluso, de aceptar que fue con ocasión de la certificación expedida por KBT, igual en el caso de restar el puntaje correspondiente a la misma, la oferta de consorcio Interventoría Concesión TV continuaría ocupando el primer lugar en el orden de elegibilidad. </w:t>
      </w:r>
    </w:p>
    <w:p w14:paraId="5D07758F" w14:textId="77777777" w:rsidR="00FB42CA" w:rsidRPr="008E399A" w:rsidRDefault="00FB42CA" w:rsidP="00FB42CA">
      <w:pPr>
        <w:ind w:right="-1"/>
        <w:rPr>
          <w:rFonts w:cs="Arial"/>
        </w:rPr>
      </w:pPr>
    </w:p>
    <w:p w14:paraId="0235D382" w14:textId="77777777" w:rsidR="00FB42CA" w:rsidRPr="008E399A" w:rsidRDefault="00FB42CA" w:rsidP="00FB42CA">
      <w:pPr>
        <w:ind w:right="-1"/>
        <w:rPr>
          <w:rFonts w:cs="Arial"/>
        </w:rPr>
      </w:pPr>
      <w:r w:rsidRPr="008E399A">
        <w:rPr>
          <w:rFonts w:cs="Arial"/>
        </w:rPr>
        <w:t xml:space="preserve">Respecto de la experiencia del asesor jurídico explicó que, desde el informe preliminar de evaluación, dicho profesional cumplió con los requisitos habilitantes, a pesar de lo cual en ese momento no se asignó puntaje, por cuanto la oferta en su integridad no se hallaba habilitada. Agregó que, para el momento del informe final de evaluación, la oferta del consorcio Interventoría Concesión TV estaba habilitada y resultaba procedente otorgarle puntaje al asesor jurídico presentado, a quien en efecto se le concedieron 50 puntos por acreditar su título de magister en derecho, hecho probado cuando se allegó la propuesta. </w:t>
      </w:r>
    </w:p>
    <w:p w14:paraId="65FFCC8F" w14:textId="77777777" w:rsidR="00FB42CA" w:rsidRPr="008E399A" w:rsidRDefault="00FB42CA" w:rsidP="00FB42CA">
      <w:pPr>
        <w:ind w:right="-1"/>
        <w:rPr>
          <w:rFonts w:cs="Arial"/>
        </w:rPr>
      </w:pPr>
      <w:r w:rsidRPr="008E399A">
        <w:rPr>
          <w:rFonts w:cs="Arial"/>
        </w:rPr>
        <w:t>Por último, formuló las excepciones que denominó “</w:t>
      </w:r>
      <w:r w:rsidRPr="008E399A">
        <w:rPr>
          <w:rFonts w:cs="Arial"/>
          <w:i/>
        </w:rPr>
        <w:t>improcedencia de la acción por cuanto los actos demandados fueron expedidos con observancia de las disposiciones que regulan la materia</w:t>
      </w:r>
      <w:r w:rsidRPr="008E399A">
        <w:rPr>
          <w:rFonts w:cs="Arial"/>
        </w:rPr>
        <w:t>” y “</w:t>
      </w:r>
      <w:r w:rsidRPr="008E399A">
        <w:rPr>
          <w:rFonts w:cs="Arial"/>
          <w:i/>
        </w:rPr>
        <w:t>caducidad de la acción</w:t>
      </w:r>
      <w:r w:rsidRPr="008E399A">
        <w:rPr>
          <w:rFonts w:cs="Arial"/>
        </w:rPr>
        <w:t xml:space="preserve">”. </w:t>
      </w:r>
    </w:p>
    <w:p w14:paraId="21577BD8" w14:textId="77777777" w:rsidR="00FB42CA" w:rsidRPr="008E399A" w:rsidRDefault="00FB42CA" w:rsidP="00FB42CA">
      <w:pPr>
        <w:ind w:right="-1"/>
        <w:rPr>
          <w:rFonts w:cs="Arial"/>
          <w:bCs/>
        </w:rPr>
      </w:pPr>
    </w:p>
    <w:p w14:paraId="3436DB8C" w14:textId="77777777" w:rsidR="00FB42CA" w:rsidRPr="008E399A" w:rsidRDefault="00FB42CA" w:rsidP="00FB42CA">
      <w:pPr>
        <w:ind w:right="-1"/>
        <w:rPr>
          <w:rFonts w:cs="Arial"/>
          <w:b/>
          <w:bCs/>
        </w:rPr>
      </w:pPr>
      <w:r w:rsidRPr="008E399A">
        <w:rPr>
          <w:rFonts w:cs="Arial"/>
          <w:b/>
          <w:bCs/>
        </w:rPr>
        <w:t xml:space="preserve">Consorcio Interventoría Concesión TV  </w:t>
      </w:r>
    </w:p>
    <w:p w14:paraId="379147AD" w14:textId="77777777" w:rsidR="00FB42CA" w:rsidRPr="008E399A" w:rsidRDefault="00FB42CA" w:rsidP="00FB42CA">
      <w:pPr>
        <w:ind w:right="-1"/>
        <w:rPr>
          <w:rFonts w:cs="Arial"/>
          <w:b/>
          <w:bCs/>
        </w:rPr>
      </w:pPr>
    </w:p>
    <w:p w14:paraId="5B778C11" w14:textId="77777777" w:rsidR="00FB42CA" w:rsidRPr="008E399A" w:rsidRDefault="00FB42CA" w:rsidP="00FB42CA">
      <w:pPr>
        <w:ind w:right="-1"/>
        <w:rPr>
          <w:rFonts w:cs="Arial"/>
          <w:bCs/>
        </w:rPr>
      </w:pPr>
      <w:r w:rsidRPr="008E399A">
        <w:rPr>
          <w:rFonts w:cs="Arial"/>
          <w:bCs/>
        </w:rPr>
        <w:t xml:space="preserve">El consorcio demandado presentó escrito de oposición dentro del término legal. </w:t>
      </w:r>
    </w:p>
    <w:p w14:paraId="14454850" w14:textId="77777777" w:rsidR="00FB42CA" w:rsidRPr="008E399A" w:rsidRDefault="00FB42CA" w:rsidP="00FB42CA">
      <w:pPr>
        <w:ind w:right="-1"/>
        <w:rPr>
          <w:rFonts w:cs="Arial"/>
          <w:bCs/>
        </w:rPr>
      </w:pPr>
    </w:p>
    <w:p w14:paraId="40F3DA43" w14:textId="77777777" w:rsidR="00FB42CA" w:rsidRPr="008E399A" w:rsidRDefault="00FB42CA" w:rsidP="00FB42CA">
      <w:pPr>
        <w:ind w:right="-1"/>
        <w:rPr>
          <w:rFonts w:cs="Arial"/>
          <w:bCs/>
        </w:rPr>
      </w:pPr>
      <w:r w:rsidRPr="008E399A">
        <w:rPr>
          <w:rFonts w:cs="Arial"/>
          <w:bCs/>
        </w:rPr>
        <w:t>Esgrimió que las pretensiones carecían de fundamentos jurídicos y fácticos en razón a que su propuesta resultó ajustada al pliego de condiciones y la más favorable para la entidad contratante.</w:t>
      </w:r>
    </w:p>
    <w:p w14:paraId="660914D4" w14:textId="77777777" w:rsidR="00FB42CA" w:rsidRPr="008E399A" w:rsidRDefault="00FB42CA" w:rsidP="00FB42CA">
      <w:pPr>
        <w:ind w:right="-1"/>
        <w:rPr>
          <w:rFonts w:cs="Arial"/>
          <w:bCs/>
        </w:rPr>
      </w:pPr>
    </w:p>
    <w:p w14:paraId="0570F6B7" w14:textId="77777777" w:rsidR="00FB42CA" w:rsidRPr="008E399A" w:rsidRDefault="00FB42CA" w:rsidP="00FB42CA">
      <w:pPr>
        <w:ind w:right="-1"/>
        <w:rPr>
          <w:rFonts w:cs="Arial"/>
          <w:bCs/>
        </w:rPr>
      </w:pPr>
      <w:r w:rsidRPr="008E399A">
        <w:rPr>
          <w:rFonts w:cs="Arial"/>
          <w:bCs/>
        </w:rPr>
        <w:t>Adicionalmente, presentó las excepciones que se transcriben a continuación: “</w:t>
      </w:r>
      <w:r w:rsidRPr="008E399A">
        <w:rPr>
          <w:rFonts w:cs="Arial"/>
          <w:bCs/>
          <w:i/>
        </w:rPr>
        <w:t>caducidad de la acción</w:t>
      </w:r>
      <w:r w:rsidRPr="008E399A">
        <w:rPr>
          <w:rFonts w:cs="Arial"/>
          <w:bCs/>
        </w:rPr>
        <w:t>”, “</w:t>
      </w:r>
      <w:r w:rsidRPr="008E399A">
        <w:rPr>
          <w:rFonts w:cs="Arial"/>
          <w:bCs/>
          <w:i/>
        </w:rPr>
        <w:t>ineptitud formal de la demanda por indebida acumulación de pretensiones”, “falta de requisitos formales de la demanda por cuanto no se presentó el juramento estimatorio de cuantía</w:t>
      </w:r>
      <w:r w:rsidRPr="008E399A">
        <w:rPr>
          <w:rFonts w:cs="Arial"/>
          <w:bCs/>
        </w:rPr>
        <w:t>”, “</w:t>
      </w:r>
      <w:r w:rsidRPr="008E399A">
        <w:rPr>
          <w:rFonts w:cs="Arial"/>
          <w:bCs/>
          <w:i/>
        </w:rPr>
        <w:t>falta de invocación y sustentación de una causal específica de nulidad absoluta del contrato y del acto de adjudicación</w:t>
      </w:r>
      <w:r w:rsidRPr="008E399A">
        <w:rPr>
          <w:rFonts w:cs="Arial"/>
          <w:bCs/>
        </w:rPr>
        <w:t>”, “</w:t>
      </w:r>
      <w:r w:rsidRPr="008E399A">
        <w:rPr>
          <w:rFonts w:cs="Arial"/>
          <w:bCs/>
          <w:i/>
        </w:rPr>
        <w:t>la adjudicación se dio al proponente mejor calificado y habilitado</w:t>
      </w:r>
      <w:r w:rsidRPr="008E399A">
        <w:rPr>
          <w:rFonts w:cs="Arial"/>
          <w:bCs/>
        </w:rPr>
        <w:t>”, “f</w:t>
      </w:r>
      <w:r w:rsidRPr="008E399A">
        <w:rPr>
          <w:rFonts w:cs="Arial"/>
          <w:bCs/>
          <w:i/>
        </w:rPr>
        <w:t>alta de legitimación por activa</w:t>
      </w:r>
      <w:r w:rsidRPr="008E399A">
        <w:rPr>
          <w:rFonts w:cs="Arial"/>
          <w:bCs/>
        </w:rPr>
        <w:t>” y “</w:t>
      </w:r>
      <w:r w:rsidRPr="008E399A">
        <w:rPr>
          <w:rFonts w:cs="Arial"/>
          <w:bCs/>
          <w:i/>
        </w:rPr>
        <w:t>proceso de adjudicación surtido con todas las formalidades previstas en la ley y los pliegos de condiciones</w:t>
      </w:r>
      <w:r w:rsidRPr="008E399A">
        <w:rPr>
          <w:rFonts w:cs="Arial"/>
          <w:bCs/>
        </w:rPr>
        <w:t xml:space="preserve">”. </w:t>
      </w:r>
    </w:p>
    <w:p w14:paraId="59B57AF5" w14:textId="77777777" w:rsidR="00FB42CA" w:rsidRPr="008E399A" w:rsidRDefault="00FB42CA" w:rsidP="00FB42CA">
      <w:pPr>
        <w:ind w:right="-1"/>
        <w:rPr>
          <w:rFonts w:cs="Arial"/>
          <w:bCs/>
        </w:rPr>
      </w:pPr>
    </w:p>
    <w:p w14:paraId="223AF6DA" w14:textId="77777777" w:rsidR="00FB42CA" w:rsidRPr="008E399A" w:rsidRDefault="00FB42CA" w:rsidP="00FB42CA">
      <w:pPr>
        <w:ind w:right="-1"/>
        <w:rPr>
          <w:rFonts w:cs="Arial"/>
          <w:b/>
          <w:bCs/>
        </w:rPr>
      </w:pPr>
      <w:r w:rsidRPr="008E399A">
        <w:rPr>
          <w:rFonts w:cs="Arial"/>
          <w:b/>
          <w:bCs/>
        </w:rPr>
        <w:t xml:space="preserve">4.3. Audiencia Inicial </w:t>
      </w:r>
    </w:p>
    <w:p w14:paraId="4B1CC79C" w14:textId="77777777" w:rsidR="00FB42CA" w:rsidRPr="008E399A" w:rsidRDefault="00FB42CA" w:rsidP="00FB42CA">
      <w:pPr>
        <w:ind w:right="-1"/>
        <w:rPr>
          <w:rFonts w:cs="Arial"/>
          <w:bCs/>
        </w:rPr>
      </w:pPr>
    </w:p>
    <w:p w14:paraId="2A229147" w14:textId="77777777" w:rsidR="00FB42CA" w:rsidRPr="008E399A" w:rsidRDefault="00FB42CA" w:rsidP="00FB42CA">
      <w:pPr>
        <w:ind w:right="-1"/>
        <w:rPr>
          <w:rFonts w:cs="Arial"/>
          <w:bCs/>
        </w:rPr>
      </w:pPr>
      <w:r w:rsidRPr="008E399A">
        <w:rPr>
          <w:rFonts w:cs="Arial"/>
          <w:bCs/>
        </w:rPr>
        <w:lastRenderedPageBreak/>
        <w:t>El 23 de septiembre de 2015 se llevó a cabo la audiencia inicial de que trata el artículo 180 del Código de Procedimiento Administrativo y Contencioso Administrativo, en la cual tuvo lugar la etapa de saneamiento. En esa oportunidad, se puso de presente la inobservancia de vicio alguno que afectara de nulidad lo actuado. Las partes convalidaron lo dicho.</w:t>
      </w:r>
    </w:p>
    <w:p w14:paraId="0B2C0FF6" w14:textId="77777777" w:rsidR="00FB42CA" w:rsidRPr="008E399A" w:rsidRDefault="00FB42CA" w:rsidP="00FB42CA">
      <w:pPr>
        <w:ind w:right="-1"/>
        <w:rPr>
          <w:rFonts w:cs="Arial"/>
          <w:bCs/>
        </w:rPr>
      </w:pPr>
    </w:p>
    <w:p w14:paraId="346D0890" w14:textId="77777777" w:rsidR="00FB42CA" w:rsidRPr="008E399A" w:rsidRDefault="00FB42CA" w:rsidP="00FB42CA">
      <w:pPr>
        <w:ind w:right="-1"/>
        <w:rPr>
          <w:rFonts w:cs="Arial"/>
          <w:bCs/>
        </w:rPr>
      </w:pPr>
      <w:r w:rsidRPr="008E399A">
        <w:rPr>
          <w:rFonts w:cs="Arial"/>
          <w:bCs/>
        </w:rPr>
        <w:t xml:space="preserve">Luego se dio paso a la resolución de excepciones previas. Frente a la caducidad de la acción, se estimó que debía darse aplicación al término prescrito en el segundo inciso del artículo 141 del C.P.A.C.A., a partir de lo cual concluyó que el acto de adjudicación cobró ejecutoria el 11 de julio de 2014, y a partir de entonces se contaban cuatro meses para incoar la demanda en su contra, los cuales vencían el 12 de noviembre de la misma anualidad. Advirtió que, faltando 13 días para cumplirse, el término se interrumpió el 30 de octubre de 2014 por la solicitud de conciliación extrajudicial, trámite que se declaró fallido el 5 de diciembre siguiente, por lo que al día siguiente se reanudó el tiempo restante, el cual venció el 18 de diciembre. Se explicó que, sin embargo, en esa fecha la Rama Judicial atravesaba por un período de cese de actividades. De ahí que, al haberse interpuesto la demanda el 13 de enero del año siguiente, cuando se reiniciaron labores, concluyó que la acción se ejerció oportunamente. </w:t>
      </w:r>
    </w:p>
    <w:p w14:paraId="55EE5EFE" w14:textId="77777777" w:rsidR="00FB42CA" w:rsidRPr="008E399A" w:rsidRDefault="00FB42CA" w:rsidP="00FB42CA">
      <w:pPr>
        <w:ind w:right="-1"/>
        <w:rPr>
          <w:rFonts w:cs="Arial"/>
          <w:bCs/>
        </w:rPr>
      </w:pPr>
    </w:p>
    <w:p w14:paraId="34BF1895" w14:textId="77777777" w:rsidR="00FB42CA" w:rsidRPr="008E399A" w:rsidRDefault="00FB42CA" w:rsidP="00FB42CA">
      <w:pPr>
        <w:ind w:right="-1"/>
        <w:rPr>
          <w:rFonts w:cs="Arial"/>
          <w:bCs/>
        </w:rPr>
      </w:pPr>
      <w:r w:rsidRPr="008E399A">
        <w:rPr>
          <w:rFonts w:cs="Arial"/>
          <w:bCs/>
        </w:rPr>
        <w:t>Declaró probada parcialmente la excepción de ineptitud sustantiva de la demanda, bajo la comprensión de que el restablecimiento solicitado debía circunscribirse al análisis de la actuación de la ANTV, por ser esa la entidad que expidió el acto fuente del daño, cuestión que no cobijaba al consorcio demandado.</w:t>
      </w:r>
    </w:p>
    <w:p w14:paraId="221ECB98" w14:textId="77777777" w:rsidR="00FB42CA" w:rsidRPr="008E399A" w:rsidRDefault="00FB42CA" w:rsidP="00FB42CA">
      <w:pPr>
        <w:ind w:right="-1"/>
        <w:rPr>
          <w:rFonts w:cs="Arial"/>
          <w:bCs/>
        </w:rPr>
      </w:pPr>
    </w:p>
    <w:p w14:paraId="12755A4B" w14:textId="77777777" w:rsidR="00FB42CA" w:rsidRPr="008E399A" w:rsidRDefault="00FB42CA" w:rsidP="00FB42CA">
      <w:pPr>
        <w:ind w:right="-1"/>
        <w:rPr>
          <w:rFonts w:cs="Arial"/>
          <w:bCs/>
        </w:rPr>
      </w:pPr>
      <w:r w:rsidRPr="008E399A">
        <w:rPr>
          <w:rFonts w:cs="Arial"/>
          <w:bCs/>
        </w:rPr>
        <w:t xml:space="preserve">Desestimó la excepción de falta de requisitos formales de la demanda, por considerar que la Ley 1437 del C.P.A.C.A no contemplaba el juramento estimatorio como un requisito para presentarla. </w:t>
      </w:r>
    </w:p>
    <w:p w14:paraId="3B159B14" w14:textId="77777777" w:rsidR="00FB42CA" w:rsidRPr="008E399A" w:rsidRDefault="00FB42CA" w:rsidP="00FB42CA">
      <w:pPr>
        <w:ind w:right="-1"/>
        <w:rPr>
          <w:rFonts w:cs="Arial"/>
          <w:bCs/>
        </w:rPr>
      </w:pPr>
    </w:p>
    <w:p w14:paraId="46EB3212" w14:textId="77777777" w:rsidR="00FB42CA" w:rsidRPr="008E399A" w:rsidRDefault="00FB42CA" w:rsidP="00FB42CA">
      <w:pPr>
        <w:ind w:right="-1"/>
        <w:rPr>
          <w:rFonts w:cs="Arial"/>
          <w:bCs/>
        </w:rPr>
      </w:pPr>
      <w:r w:rsidRPr="008E399A">
        <w:rPr>
          <w:rFonts w:cs="Arial"/>
          <w:bCs/>
        </w:rPr>
        <w:t xml:space="preserve">Después de hacer un recuento de los hechos en contienda, procedió a fijar el litigio y lo circunscribió a responder los siguientes interrogantes: ¿Cuáles fueron los documentos inicialmente presentados por todos los oferentes como soporte de sus ofertas, respecto del director de proyectos y el asesor jurídico de cada uno de los participantes en el concurso de méritos?; ¿si no estaba facultado para pedir aclaraciones, cómo quedarían las calificaciones?; ¿si esos documentos adicionales aportados alteraron los requisitos habilitantes o de ponderación?; ¿si la calificación o evaluación del director y el asesor jurídico se hizo de conformidad con el pliego </w:t>
      </w:r>
      <w:r w:rsidRPr="008E399A">
        <w:rPr>
          <w:rFonts w:cs="Arial"/>
          <w:bCs/>
        </w:rPr>
        <w:lastRenderedPageBreak/>
        <w:t xml:space="preserve">de condiciones?; ¿si hubo o no falsa motivación del acto administrativo?; ¿si la evaluación de todos los proponentes se ajustó al pliego respecto del director del proyecto o asesor jurídico para verificar quien hubiera sido el ganador?. </w:t>
      </w:r>
    </w:p>
    <w:p w14:paraId="47ECB448" w14:textId="77777777" w:rsidR="00FB42CA" w:rsidRPr="008E399A" w:rsidRDefault="00FB42CA" w:rsidP="00FB42CA">
      <w:pPr>
        <w:ind w:right="-1"/>
        <w:rPr>
          <w:rFonts w:cs="Arial"/>
          <w:bCs/>
        </w:rPr>
      </w:pPr>
    </w:p>
    <w:p w14:paraId="5ECCFC88" w14:textId="77777777" w:rsidR="00FB42CA" w:rsidRDefault="00FB42CA" w:rsidP="00FB42CA">
      <w:pPr>
        <w:ind w:right="-1"/>
        <w:rPr>
          <w:rFonts w:cs="Arial"/>
          <w:bCs/>
        </w:rPr>
      </w:pPr>
      <w:r w:rsidRPr="008E399A">
        <w:rPr>
          <w:rFonts w:cs="Arial"/>
          <w:bCs/>
        </w:rPr>
        <w:t>Por último, la Sala Unitaria se pronunció frente al valor de las pruebas aportadas al plenario y decretó las solicitadas por las partes.</w:t>
      </w:r>
    </w:p>
    <w:p w14:paraId="7900C718" w14:textId="77777777" w:rsidR="00FB42CA" w:rsidRPr="008E399A" w:rsidRDefault="00FB42CA" w:rsidP="00FB42CA">
      <w:pPr>
        <w:ind w:right="-1"/>
        <w:rPr>
          <w:rFonts w:cs="Arial"/>
          <w:bCs/>
        </w:rPr>
      </w:pPr>
    </w:p>
    <w:p w14:paraId="2DE2CDD2" w14:textId="77777777" w:rsidR="00FB42CA" w:rsidRPr="008E399A" w:rsidRDefault="00FB42CA" w:rsidP="00FB42CA">
      <w:pPr>
        <w:ind w:right="-1"/>
        <w:rPr>
          <w:rFonts w:cs="Arial"/>
          <w:b/>
          <w:bCs/>
        </w:rPr>
      </w:pPr>
      <w:r w:rsidRPr="008E399A">
        <w:rPr>
          <w:rFonts w:cs="Arial"/>
          <w:b/>
          <w:bCs/>
        </w:rPr>
        <w:t xml:space="preserve">4.4. Audiencia de pruebas </w:t>
      </w:r>
    </w:p>
    <w:p w14:paraId="70FEAC8E" w14:textId="77777777" w:rsidR="00FB42CA" w:rsidRPr="008E399A" w:rsidRDefault="00FB42CA" w:rsidP="00FB42CA">
      <w:pPr>
        <w:ind w:right="-1"/>
        <w:rPr>
          <w:rFonts w:cs="Arial"/>
          <w:bCs/>
        </w:rPr>
      </w:pPr>
    </w:p>
    <w:p w14:paraId="752EB76C" w14:textId="77777777" w:rsidR="00FB42CA" w:rsidRPr="008E399A" w:rsidRDefault="00FB42CA" w:rsidP="00FB42CA">
      <w:pPr>
        <w:ind w:right="-1"/>
        <w:rPr>
          <w:rFonts w:cs="Arial"/>
          <w:bCs/>
        </w:rPr>
      </w:pPr>
      <w:r w:rsidRPr="008E399A">
        <w:rPr>
          <w:rFonts w:cs="Arial"/>
          <w:bCs/>
        </w:rPr>
        <w:t>El 14 de marzo de junio de 2016</w:t>
      </w:r>
      <w:r w:rsidRPr="008E399A">
        <w:rPr>
          <w:rFonts w:cs="Arial"/>
          <w:bCs/>
          <w:vertAlign w:val="superscript"/>
        </w:rPr>
        <w:footnoteReference w:id="1"/>
      </w:r>
      <w:r w:rsidRPr="008E399A">
        <w:rPr>
          <w:rFonts w:cs="Arial"/>
          <w:bCs/>
        </w:rPr>
        <w:t xml:space="preserve"> se llevó a cabo la audiencia de pruebas, en desarrollo de la cual se decretaron varias pruebas documentales, se corrió el traslado del dictamen solicitado por la parte actora y, luego de ser objeto de solicitud de aclaración, dicha petición fue absuelta por el perito en el curso de la diligencia.</w:t>
      </w:r>
    </w:p>
    <w:p w14:paraId="1C3FA38C" w14:textId="77777777" w:rsidR="00FB42CA" w:rsidRPr="008E399A" w:rsidRDefault="00FB42CA" w:rsidP="00FB42CA">
      <w:pPr>
        <w:ind w:right="-1"/>
        <w:rPr>
          <w:rFonts w:cs="Arial"/>
          <w:bCs/>
        </w:rPr>
      </w:pPr>
      <w:r w:rsidRPr="008E399A">
        <w:rPr>
          <w:rFonts w:cs="Arial"/>
          <w:bCs/>
        </w:rPr>
        <w:t xml:space="preserve"> </w:t>
      </w:r>
    </w:p>
    <w:p w14:paraId="5071E855" w14:textId="77777777" w:rsidR="00FB42CA" w:rsidRPr="008E399A" w:rsidRDefault="00FB42CA" w:rsidP="00FB42CA">
      <w:pPr>
        <w:ind w:right="-1"/>
        <w:rPr>
          <w:rFonts w:cs="Arial"/>
          <w:b/>
          <w:bCs/>
        </w:rPr>
      </w:pPr>
      <w:r w:rsidRPr="008E399A">
        <w:rPr>
          <w:rFonts w:cs="Arial"/>
          <w:b/>
          <w:bCs/>
        </w:rPr>
        <w:t>4.5. Alegatos de conclusión</w:t>
      </w:r>
    </w:p>
    <w:p w14:paraId="3CEAE0BE" w14:textId="77777777" w:rsidR="00FB42CA" w:rsidRPr="008E399A" w:rsidRDefault="00FB42CA" w:rsidP="00FB42CA">
      <w:pPr>
        <w:ind w:right="-1"/>
        <w:rPr>
          <w:rFonts w:cs="Arial"/>
          <w:b/>
          <w:bCs/>
        </w:rPr>
      </w:pPr>
    </w:p>
    <w:p w14:paraId="19BCA707" w14:textId="77777777" w:rsidR="00FB42CA" w:rsidRPr="008E399A" w:rsidRDefault="00FB42CA" w:rsidP="00FB42CA">
      <w:pPr>
        <w:ind w:right="-1"/>
        <w:rPr>
          <w:rFonts w:cs="Arial"/>
          <w:bCs/>
        </w:rPr>
      </w:pPr>
      <w:r w:rsidRPr="008E399A">
        <w:rPr>
          <w:rFonts w:cs="Arial"/>
          <w:bCs/>
        </w:rPr>
        <w:t>El 25 de abril de 2016, en continuación de la audiencia de pruebas</w:t>
      </w:r>
      <w:r w:rsidRPr="008E399A">
        <w:rPr>
          <w:rFonts w:cs="Arial"/>
          <w:bCs/>
          <w:vertAlign w:val="superscript"/>
        </w:rPr>
        <w:footnoteReference w:id="2"/>
      </w:r>
      <w:r w:rsidRPr="008E399A">
        <w:rPr>
          <w:rFonts w:cs="Arial"/>
          <w:bCs/>
        </w:rPr>
        <w:t xml:space="preserve">, el </w:t>
      </w:r>
      <w:r w:rsidRPr="008E399A">
        <w:rPr>
          <w:rFonts w:cs="Arial"/>
          <w:bCs/>
          <w:i/>
        </w:rPr>
        <w:t>a quo</w:t>
      </w:r>
      <w:r w:rsidRPr="008E399A">
        <w:rPr>
          <w:rFonts w:cs="Arial"/>
          <w:bCs/>
        </w:rPr>
        <w:t xml:space="preserv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w:t>
      </w:r>
    </w:p>
    <w:p w14:paraId="75606E63" w14:textId="77777777" w:rsidR="00FB42CA" w:rsidRPr="008E399A" w:rsidRDefault="00FB42CA" w:rsidP="00FB42CA">
      <w:pPr>
        <w:ind w:right="-1"/>
        <w:rPr>
          <w:rFonts w:cs="Arial"/>
          <w:bCs/>
        </w:rPr>
      </w:pPr>
    </w:p>
    <w:p w14:paraId="0F77CAAC" w14:textId="77777777" w:rsidR="00FB42CA" w:rsidRPr="008E399A" w:rsidRDefault="00FB42CA" w:rsidP="00FB42CA">
      <w:pPr>
        <w:ind w:right="-1"/>
        <w:rPr>
          <w:rFonts w:cs="Arial"/>
          <w:bCs/>
        </w:rPr>
      </w:pPr>
      <w:r w:rsidRPr="008E399A">
        <w:rPr>
          <w:rFonts w:cs="Arial"/>
          <w:bCs/>
        </w:rPr>
        <w:t>El Ministerio Público guardó silencio.</w:t>
      </w:r>
    </w:p>
    <w:p w14:paraId="01A6E1F5" w14:textId="77777777" w:rsidR="00FB42CA" w:rsidRPr="008E399A" w:rsidRDefault="00FB42CA" w:rsidP="00FB42CA">
      <w:pPr>
        <w:ind w:right="-1"/>
        <w:rPr>
          <w:rFonts w:cs="Arial"/>
          <w:bCs/>
        </w:rPr>
      </w:pPr>
    </w:p>
    <w:p w14:paraId="7A3733B1" w14:textId="77777777" w:rsidR="00FB42CA" w:rsidRPr="008E399A" w:rsidRDefault="00FB42CA" w:rsidP="00FB42CA">
      <w:pPr>
        <w:ind w:right="-1"/>
        <w:rPr>
          <w:rFonts w:cs="Arial"/>
          <w:b/>
          <w:bCs/>
          <w:lang w:val="es-MX"/>
        </w:rPr>
      </w:pPr>
      <w:r w:rsidRPr="008E399A">
        <w:rPr>
          <w:rFonts w:cs="Arial"/>
          <w:b/>
          <w:bCs/>
          <w:lang w:val="es-MX"/>
        </w:rPr>
        <w:t xml:space="preserve">4.6. La sentencia de primera instancia </w:t>
      </w:r>
    </w:p>
    <w:p w14:paraId="32C6F647" w14:textId="77777777" w:rsidR="00FB42CA" w:rsidRPr="008E399A" w:rsidRDefault="00FB42CA" w:rsidP="00FB42CA">
      <w:pPr>
        <w:ind w:right="-1"/>
        <w:rPr>
          <w:rFonts w:cs="Arial"/>
          <w:b/>
          <w:bCs/>
          <w:lang w:val="es-MX"/>
        </w:rPr>
      </w:pPr>
    </w:p>
    <w:p w14:paraId="15E2D33E" w14:textId="77777777" w:rsidR="00FB42CA" w:rsidRPr="008E399A" w:rsidRDefault="00FB42CA" w:rsidP="00FB42CA">
      <w:pPr>
        <w:numPr>
          <w:ilvl w:val="12"/>
          <w:numId w:val="0"/>
        </w:numPr>
        <w:rPr>
          <w:rFonts w:cs="Arial"/>
          <w:bCs/>
        </w:rPr>
      </w:pPr>
      <w:r w:rsidRPr="008E399A">
        <w:rPr>
          <w:rFonts w:cs="Arial"/>
          <w:bCs/>
        </w:rPr>
        <w:t xml:space="preserve">El Tribunal Administrativo de Cundinamarca negó las pretensiones de la demanda. </w:t>
      </w:r>
    </w:p>
    <w:p w14:paraId="39CEB602" w14:textId="77777777" w:rsidR="00FB42CA" w:rsidRPr="008E399A" w:rsidRDefault="00FB42CA" w:rsidP="00FB42CA">
      <w:pPr>
        <w:ind w:right="-1"/>
        <w:rPr>
          <w:rFonts w:cs="Arial"/>
          <w:b/>
          <w:bCs/>
        </w:rPr>
      </w:pPr>
    </w:p>
    <w:p w14:paraId="4A294551" w14:textId="77777777" w:rsidR="00FB42CA" w:rsidRPr="008E399A" w:rsidRDefault="00FB42CA" w:rsidP="00FB42CA">
      <w:pPr>
        <w:ind w:right="-1"/>
        <w:rPr>
          <w:rFonts w:cs="Arial"/>
          <w:bCs/>
          <w:lang w:val="es-MX"/>
        </w:rPr>
      </w:pPr>
      <w:r w:rsidRPr="008E399A">
        <w:rPr>
          <w:rFonts w:cs="Arial"/>
          <w:bCs/>
          <w:lang w:val="es-MX"/>
        </w:rPr>
        <w:t>Después de efectuar</w:t>
      </w:r>
      <w:r w:rsidRPr="008E399A">
        <w:rPr>
          <w:rFonts w:cs="Arial"/>
          <w:b/>
          <w:bCs/>
          <w:lang w:val="es-MX"/>
        </w:rPr>
        <w:t xml:space="preserve"> </w:t>
      </w:r>
      <w:r w:rsidRPr="008E399A">
        <w:rPr>
          <w:rFonts w:cs="Arial"/>
          <w:bCs/>
          <w:lang w:val="es-MX"/>
        </w:rPr>
        <w:t xml:space="preserve">el recorrido probatorio, el operador de primer grado advirtió que los documentos habilitantes aportados por los oferentes fueron objeto de observación porque la ANTV estableció la posibilidad de solicitar aclaraciones a las ofertas presentadas. </w:t>
      </w:r>
    </w:p>
    <w:p w14:paraId="2C54FF0E" w14:textId="77777777" w:rsidR="00FB42CA" w:rsidRPr="008E399A" w:rsidRDefault="00FB42CA" w:rsidP="00FB42CA">
      <w:pPr>
        <w:ind w:right="-1"/>
        <w:rPr>
          <w:rFonts w:cs="Arial"/>
          <w:bCs/>
          <w:lang w:val="es-MX"/>
        </w:rPr>
      </w:pPr>
    </w:p>
    <w:p w14:paraId="53C992A1" w14:textId="77777777" w:rsidR="00FB42CA" w:rsidRPr="008E399A" w:rsidRDefault="00FB42CA" w:rsidP="00FB42CA">
      <w:pPr>
        <w:ind w:right="-1"/>
        <w:rPr>
          <w:rFonts w:cs="Arial"/>
          <w:bCs/>
          <w:lang w:val="es-MX"/>
        </w:rPr>
      </w:pPr>
      <w:r w:rsidRPr="008E399A">
        <w:rPr>
          <w:rFonts w:cs="Arial"/>
          <w:bCs/>
          <w:lang w:val="es-MX"/>
        </w:rPr>
        <w:lastRenderedPageBreak/>
        <w:t xml:space="preserve">Al analizar los argumentos expuestos en contra de la valoración de la experiencia del director del proyecto ofrecido por el consorcio adjudicatario, señaló que cuando la entidad revisó la certificación del Fondo Nacional del Ahorro evidenció que el lapso certificado no coincidía con el cuadro aportado en la propuesta, cuestión que llevó a la ANTV a solicitar a aclaración respecto de ese punto. Observó que esta falencia fue subsanaba por el consorcio, a través del escrito de aclaración, en el cual se indicó que la fecha a tener en cuenta era la de expedición de la certificación, es decir, el 30 de julio de 2010, período que en total sumaba 11.97 años de experiencia. </w:t>
      </w:r>
    </w:p>
    <w:p w14:paraId="770AFC75" w14:textId="77777777" w:rsidR="00FB42CA" w:rsidRPr="008E399A" w:rsidRDefault="00FB42CA" w:rsidP="00FB42CA">
      <w:pPr>
        <w:ind w:right="-1"/>
        <w:rPr>
          <w:rFonts w:cs="Arial"/>
          <w:bCs/>
          <w:lang w:val="es-MX"/>
        </w:rPr>
      </w:pPr>
    </w:p>
    <w:p w14:paraId="7B8409C3" w14:textId="77777777" w:rsidR="00FB42CA" w:rsidRPr="008E399A" w:rsidRDefault="00FB42CA" w:rsidP="00FB42CA">
      <w:pPr>
        <w:ind w:right="-1"/>
        <w:rPr>
          <w:rFonts w:cs="Arial"/>
          <w:bCs/>
          <w:lang w:val="es-MX"/>
        </w:rPr>
      </w:pPr>
      <w:r w:rsidRPr="008E399A">
        <w:rPr>
          <w:rFonts w:cs="Arial"/>
          <w:bCs/>
          <w:lang w:val="es-MX"/>
        </w:rPr>
        <w:t xml:space="preserve">Con base en lo anterior, el </w:t>
      </w:r>
      <w:r w:rsidRPr="008E399A">
        <w:rPr>
          <w:rFonts w:cs="Arial"/>
          <w:bCs/>
          <w:i/>
          <w:lang w:val="es-MX"/>
        </w:rPr>
        <w:t>a quo</w:t>
      </w:r>
      <w:r w:rsidRPr="008E399A">
        <w:rPr>
          <w:rFonts w:cs="Arial"/>
          <w:bCs/>
          <w:lang w:val="es-MX"/>
        </w:rPr>
        <w:t xml:space="preserve"> consideró que el director del proyecto cumplió las exigencias de la experiencia, pues, aun cuando fue necesario precisar el tiempo laborado, el certificado que aclaraba esa circunstancia fue aportado con la propuesta y, como consecuencia, fue apreciado como requisito habilitante, pero no así para efectos de asignación de puntaje. </w:t>
      </w:r>
    </w:p>
    <w:p w14:paraId="13778863" w14:textId="77777777" w:rsidR="00FB42CA" w:rsidRPr="008E399A" w:rsidRDefault="00FB42CA" w:rsidP="00FB42CA">
      <w:pPr>
        <w:ind w:right="-1"/>
        <w:rPr>
          <w:rFonts w:cs="Arial"/>
          <w:bCs/>
          <w:lang w:val="es-MX"/>
        </w:rPr>
      </w:pPr>
    </w:p>
    <w:p w14:paraId="6BB7EBE5" w14:textId="77777777" w:rsidR="00FB42CA" w:rsidRPr="008E399A" w:rsidRDefault="00FB42CA" w:rsidP="00FB42CA">
      <w:pPr>
        <w:ind w:right="-1"/>
        <w:rPr>
          <w:rFonts w:cs="Arial"/>
          <w:bCs/>
          <w:lang w:val="es-MX"/>
        </w:rPr>
      </w:pPr>
      <w:r w:rsidRPr="008E399A">
        <w:rPr>
          <w:rFonts w:cs="Arial"/>
          <w:bCs/>
          <w:lang w:val="es-MX"/>
        </w:rPr>
        <w:t>Igualmente, estimó que la certificación expedida por el Fondo Nacional del Ahorro se ajustaba a lo solicitado en el pliego, en cuanto el objeto envuelto en el contrato certificado debía corresponder a un servicio público. Sobre esa misma certificación señaló que daba cuenta del ejercicio de un cargo directivo, tal y como lo establecía el documento precontractual.</w:t>
      </w:r>
    </w:p>
    <w:p w14:paraId="09E1974C" w14:textId="77777777" w:rsidR="00FB42CA" w:rsidRPr="008E399A" w:rsidRDefault="00FB42CA" w:rsidP="00FB42CA">
      <w:pPr>
        <w:ind w:right="-1"/>
        <w:rPr>
          <w:rFonts w:cs="Arial"/>
          <w:bCs/>
          <w:lang w:val="es-MX"/>
        </w:rPr>
      </w:pPr>
    </w:p>
    <w:p w14:paraId="2E75EFB0" w14:textId="77777777" w:rsidR="00FB42CA" w:rsidRPr="008E399A" w:rsidRDefault="00FB42CA" w:rsidP="00FB42CA">
      <w:pPr>
        <w:ind w:right="-1"/>
        <w:rPr>
          <w:rFonts w:cs="Arial"/>
          <w:bCs/>
          <w:lang w:val="es-MX"/>
        </w:rPr>
      </w:pPr>
      <w:r w:rsidRPr="008E399A">
        <w:rPr>
          <w:rFonts w:cs="Arial"/>
          <w:bCs/>
          <w:lang w:val="es-MX"/>
        </w:rPr>
        <w:t xml:space="preserve">Respecto de la certificación expedida por la Agencia Nacional de Hidrocarburos para acreditar la experiencia del asesor jurídico, la cual, según el actor, no se refería a temas de contratación estatal o interventoría, señaló que ese profesional se encontraba habilitado con los documentos aportados con la propuesta y no obtuvo puntaje adicional derivado de la mencionada certificación. </w:t>
      </w:r>
    </w:p>
    <w:p w14:paraId="7D790BCD" w14:textId="77777777" w:rsidR="00FB42CA" w:rsidRPr="008E399A" w:rsidRDefault="00FB42CA" w:rsidP="00FB42CA">
      <w:pPr>
        <w:ind w:right="-1"/>
        <w:rPr>
          <w:rFonts w:cs="Arial"/>
          <w:bCs/>
          <w:lang w:val="es-MX"/>
        </w:rPr>
      </w:pPr>
    </w:p>
    <w:p w14:paraId="27C6A1A6" w14:textId="77777777" w:rsidR="00FB42CA" w:rsidRDefault="00FB42CA" w:rsidP="00FB42CA">
      <w:pPr>
        <w:ind w:right="-1"/>
        <w:rPr>
          <w:rFonts w:cs="Arial"/>
          <w:bCs/>
          <w:lang w:val="es-MX"/>
        </w:rPr>
      </w:pPr>
      <w:r w:rsidRPr="008E399A">
        <w:rPr>
          <w:rFonts w:cs="Arial"/>
          <w:bCs/>
          <w:lang w:val="es-MX"/>
        </w:rPr>
        <w:t>Con fundamento en lo anterior, concluyó que no se logró desvirtuar</w:t>
      </w:r>
      <w:r>
        <w:rPr>
          <w:rFonts w:cs="Arial"/>
          <w:bCs/>
          <w:lang w:val="es-MX"/>
        </w:rPr>
        <w:t xml:space="preserve"> la legalidad del acto acusado.</w:t>
      </w:r>
    </w:p>
    <w:p w14:paraId="0A341F9F" w14:textId="77777777" w:rsidR="00FB42CA" w:rsidRPr="008E399A" w:rsidRDefault="00FB42CA" w:rsidP="00FB42CA">
      <w:pPr>
        <w:ind w:right="-1"/>
        <w:rPr>
          <w:rFonts w:cs="Arial"/>
          <w:bCs/>
          <w:lang w:val="es-MX"/>
        </w:rPr>
      </w:pPr>
    </w:p>
    <w:p w14:paraId="0CADC0BA" w14:textId="77777777" w:rsidR="00FB42CA" w:rsidRPr="008E399A" w:rsidRDefault="00FB42CA" w:rsidP="00FB42CA">
      <w:pPr>
        <w:ind w:right="-1"/>
        <w:rPr>
          <w:rFonts w:cs="Arial"/>
          <w:b/>
          <w:bCs/>
          <w:lang w:val="es-MX"/>
        </w:rPr>
      </w:pPr>
      <w:r w:rsidRPr="008E399A">
        <w:rPr>
          <w:rFonts w:cs="Arial"/>
          <w:b/>
          <w:bCs/>
          <w:lang w:val="es-MX"/>
        </w:rPr>
        <w:t xml:space="preserve">4.5. El recurso de apelación </w:t>
      </w:r>
    </w:p>
    <w:p w14:paraId="00C74843" w14:textId="77777777" w:rsidR="00FB42CA" w:rsidRPr="008E399A" w:rsidRDefault="00FB42CA" w:rsidP="00FB42CA">
      <w:pPr>
        <w:ind w:right="-1"/>
        <w:rPr>
          <w:rFonts w:cs="Arial"/>
          <w:b/>
          <w:bCs/>
          <w:lang w:val="es-MX"/>
        </w:rPr>
      </w:pPr>
    </w:p>
    <w:p w14:paraId="782BD7A7" w14:textId="77777777" w:rsidR="00FB42CA" w:rsidRPr="008E399A" w:rsidRDefault="00FB42CA" w:rsidP="00FB42CA">
      <w:pPr>
        <w:ind w:right="-1"/>
        <w:rPr>
          <w:rFonts w:cs="Arial"/>
          <w:bCs/>
          <w:lang w:val="es-MX"/>
        </w:rPr>
      </w:pPr>
      <w:r w:rsidRPr="008E399A">
        <w:rPr>
          <w:rFonts w:cs="Arial"/>
          <w:bCs/>
          <w:lang w:val="es-MX"/>
        </w:rPr>
        <w:t>La parte actora presentó oportunamente el recurso de apelación contra la sentencia de primera instancia.</w:t>
      </w:r>
    </w:p>
    <w:p w14:paraId="44FD0D0B" w14:textId="77777777" w:rsidR="00FB42CA" w:rsidRPr="008E399A" w:rsidRDefault="00FB42CA" w:rsidP="00FB42CA">
      <w:pPr>
        <w:ind w:right="-1"/>
        <w:rPr>
          <w:rFonts w:cs="Arial"/>
          <w:bCs/>
          <w:lang w:val="es-MX"/>
        </w:rPr>
      </w:pPr>
    </w:p>
    <w:p w14:paraId="3AEA2940" w14:textId="77777777" w:rsidR="00FB42CA" w:rsidRPr="008E399A" w:rsidRDefault="00FB42CA" w:rsidP="00FB42CA">
      <w:pPr>
        <w:ind w:right="-1"/>
        <w:rPr>
          <w:rFonts w:cs="Arial"/>
          <w:bCs/>
          <w:lang w:val="es-MX"/>
        </w:rPr>
      </w:pPr>
      <w:r w:rsidRPr="008E399A">
        <w:rPr>
          <w:rFonts w:cs="Arial"/>
          <w:bCs/>
          <w:lang w:val="es-MX"/>
        </w:rPr>
        <w:lastRenderedPageBreak/>
        <w:t xml:space="preserve">1) En el primer punto de la apelación insistió en que en el fallo no se apreció como correspondía la valoración y calificación dada por la ANTV a la experiencia profesional del director del proyecto ofrecido por el consorcio adjudicatario. </w:t>
      </w:r>
    </w:p>
    <w:p w14:paraId="443D5650" w14:textId="77777777" w:rsidR="00FB42CA" w:rsidRPr="008E399A" w:rsidRDefault="00FB42CA" w:rsidP="00FB42CA">
      <w:pPr>
        <w:ind w:right="-1"/>
        <w:rPr>
          <w:rFonts w:cs="Arial"/>
          <w:bCs/>
          <w:lang w:val="es-MX"/>
        </w:rPr>
      </w:pPr>
    </w:p>
    <w:p w14:paraId="002521A5" w14:textId="77777777" w:rsidR="00FB42CA" w:rsidRPr="008E399A" w:rsidRDefault="00FB42CA" w:rsidP="00FB42CA">
      <w:pPr>
        <w:ind w:right="-1"/>
        <w:rPr>
          <w:rFonts w:cs="Arial"/>
          <w:bCs/>
          <w:lang w:val="es-MX"/>
        </w:rPr>
      </w:pPr>
      <w:r w:rsidRPr="008E399A">
        <w:rPr>
          <w:rFonts w:cs="Arial"/>
          <w:bCs/>
          <w:lang w:val="es-MX"/>
        </w:rPr>
        <w:t xml:space="preserve">En su criterio, la entidad aceptó documentos nuevos con posterioridad al cierre del concurso y, además, calificó la certificación expedida por el Fondo Nacional del Ahorro, la cual no cumplía con los requisitos del pliego para recibir puntaje, pues presentaba inconsistencias. Indicó que, de conformidad con la aplicación de las reglas del procedimiento de selección los documentos aportados para acreditar experiencia del equipo de trabajo, como parte de los requisitos habilitantes, no debían ser tenidos en cuenta para la calificación de la experiencia. </w:t>
      </w:r>
    </w:p>
    <w:p w14:paraId="2B885D9B" w14:textId="77777777" w:rsidR="00FB42CA" w:rsidRPr="008E399A" w:rsidRDefault="00FB42CA" w:rsidP="00FB42CA">
      <w:pPr>
        <w:ind w:right="-1"/>
        <w:rPr>
          <w:rFonts w:cs="Arial"/>
          <w:bCs/>
          <w:lang w:val="es-MX"/>
        </w:rPr>
      </w:pPr>
    </w:p>
    <w:p w14:paraId="297BD2A9" w14:textId="77777777" w:rsidR="00FB42CA" w:rsidRPr="008E399A" w:rsidRDefault="00FB42CA" w:rsidP="00FB42CA">
      <w:pPr>
        <w:ind w:right="-1"/>
        <w:rPr>
          <w:rFonts w:cs="Arial"/>
          <w:bCs/>
          <w:lang w:val="es-MX"/>
        </w:rPr>
      </w:pPr>
      <w:r w:rsidRPr="008E399A">
        <w:rPr>
          <w:rFonts w:cs="Arial"/>
          <w:bCs/>
          <w:lang w:val="es-MX"/>
        </w:rPr>
        <w:t>Siguiendo su argumentación, explicó que, al ser tenida en cuenta la certificación expedida por el Fondo Nacional del Ahorro como requisito habilitante, luego de ser subsanada no podía considerarse para calificar la oferta, como en efecto procedió la entidad.</w:t>
      </w:r>
    </w:p>
    <w:p w14:paraId="0E4D6CF9" w14:textId="77777777" w:rsidR="00FB42CA" w:rsidRPr="008E399A" w:rsidRDefault="00FB42CA" w:rsidP="00FB42CA">
      <w:pPr>
        <w:ind w:right="-1"/>
        <w:rPr>
          <w:rFonts w:cs="Arial"/>
          <w:bCs/>
          <w:lang w:val="es-MX"/>
        </w:rPr>
      </w:pPr>
    </w:p>
    <w:p w14:paraId="4B5A3C30" w14:textId="77777777" w:rsidR="00FB42CA" w:rsidRPr="008E399A" w:rsidRDefault="00FB42CA" w:rsidP="00FB42CA">
      <w:pPr>
        <w:ind w:right="-1"/>
        <w:rPr>
          <w:rFonts w:cs="Arial"/>
          <w:bCs/>
          <w:lang w:val="es-MX"/>
        </w:rPr>
      </w:pPr>
      <w:r w:rsidRPr="008E399A">
        <w:rPr>
          <w:rFonts w:cs="Arial"/>
          <w:bCs/>
          <w:lang w:val="es-MX"/>
        </w:rPr>
        <w:t>Para la recurrente, las certificaciones que ofrecían inconsistencias o falta de solidez y coherencia, como la del Fondo Nacional del Ahorro, debían rechazarse.</w:t>
      </w:r>
    </w:p>
    <w:p w14:paraId="5FC3CBF6" w14:textId="77777777" w:rsidR="00FB42CA" w:rsidRPr="008E399A" w:rsidRDefault="00FB42CA" w:rsidP="00FB42CA">
      <w:pPr>
        <w:ind w:right="-1"/>
        <w:rPr>
          <w:rFonts w:cs="Arial"/>
          <w:bCs/>
          <w:lang w:val="es-MX"/>
        </w:rPr>
      </w:pPr>
    </w:p>
    <w:p w14:paraId="757483FD" w14:textId="77777777" w:rsidR="00FB42CA" w:rsidRPr="008E399A" w:rsidRDefault="00FB42CA" w:rsidP="00FB42CA">
      <w:pPr>
        <w:ind w:right="-1"/>
        <w:rPr>
          <w:rFonts w:cs="Arial"/>
          <w:bCs/>
          <w:lang w:val="es-MX"/>
        </w:rPr>
      </w:pPr>
      <w:r w:rsidRPr="008E399A">
        <w:rPr>
          <w:rFonts w:cs="Arial"/>
          <w:bCs/>
          <w:lang w:val="es-MX"/>
        </w:rPr>
        <w:t xml:space="preserve">2) </w:t>
      </w:r>
      <w:bookmarkStart w:id="1" w:name="_Hlk529771092"/>
      <w:r w:rsidRPr="008E399A">
        <w:rPr>
          <w:rFonts w:cs="Arial"/>
          <w:bCs/>
          <w:lang w:val="es-MX"/>
        </w:rPr>
        <w:t xml:space="preserve">En relación con la valoración de la hoja de vida del asesor jurídico ofrecido por el consorcio adjudicatario, esgrimió que la certificación sobre su experiencia, expedida por la Agencia Nacional de Hidrocarburos, no se ajustaba a los requerimientos del pliego, habida consideración de que las labores certificadas no versaban sobre interventoría o contratación estatal, por lo que lo procedente era disponer su rechazo. Manifestó que las demás certificaciones aportadas para acreditar el cumplimiento de esos requisitos no sumaban la experiencia requerida, amén de que tampoco fueron aportadas con la propuesta sino con posterioridad. </w:t>
      </w:r>
    </w:p>
    <w:p w14:paraId="11F88922" w14:textId="77777777" w:rsidR="00FB42CA" w:rsidRPr="008E399A" w:rsidRDefault="00FB42CA" w:rsidP="00FB42CA">
      <w:pPr>
        <w:ind w:right="-1"/>
        <w:rPr>
          <w:rFonts w:cs="Arial"/>
          <w:bCs/>
          <w:lang w:val="es-MX"/>
        </w:rPr>
      </w:pPr>
    </w:p>
    <w:p w14:paraId="06B19986" w14:textId="77777777" w:rsidR="00FB42CA" w:rsidRPr="008E399A" w:rsidRDefault="00FB42CA" w:rsidP="00FB42CA">
      <w:pPr>
        <w:ind w:right="-1"/>
        <w:rPr>
          <w:rFonts w:cs="Arial"/>
          <w:bCs/>
          <w:lang w:val="es-MX"/>
        </w:rPr>
      </w:pPr>
      <w:r w:rsidRPr="008E399A">
        <w:rPr>
          <w:rFonts w:cs="Arial"/>
          <w:bCs/>
          <w:lang w:val="es-MX"/>
        </w:rPr>
        <w:t xml:space="preserve">3) Agregó que la ANTV no debió tener en cuenta la hoja de vida del asesor financiero y administrativo ofrecido por el consorcio adjudicatario, debido a que la experiencia certificada no se hallaba asociada a una consultoría sino a labores de tercerización, a través de un outsourcing que llevaba a cabo todas las labores materiales y de logística encomendadas. </w:t>
      </w:r>
    </w:p>
    <w:bookmarkEnd w:id="1"/>
    <w:p w14:paraId="665B57AF" w14:textId="77777777" w:rsidR="00FB42CA" w:rsidRPr="008E399A" w:rsidRDefault="00FB42CA" w:rsidP="00FB42CA">
      <w:pPr>
        <w:rPr>
          <w:rFonts w:cs="Arial"/>
          <w:b/>
          <w:bCs/>
          <w:lang w:val="es-MX"/>
        </w:rPr>
      </w:pPr>
    </w:p>
    <w:p w14:paraId="593FC2A5" w14:textId="77777777" w:rsidR="00FB42CA" w:rsidRPr="008E399A" w:rsidRDefault="00FB42CA" w:rsidP="00FB42CA">
      <w:pPr>
        <w:rPr>
          <w:rFonts w:cs="Arial"/>
          <w:b/>
          <w:bCs/>
          <w:lang w:val="es-MX"/>
        </w:rPr>
      </w:pPr>
      <w:r w:rsidRPr="008E399A">
        <w:rPr>
          <w:rFonts w:cs="Arial"/>
          <w:b/>
          <w:bCs/>
          <w:lang w:val="es-MX"/>
        </w:rPr>
        <w:t>5. Actuación en segunda instancia</w:t>
      </w:r>
    </w:p>
    <w:p w14:paraId="7E1B0742" w14:textId="77777777" w:rsidR="00FB42CA" w:rsidRPr="008E399A" w:rsidRDefault="00FB42CA" w:rsidP="00FB42CA">
      <w:pPr>
        <w:rPr>
          <w:rFonts w:cs="Arial"/>
          <w:bCs/>
          <w:lang w:val="es-MX"/>
        </w:rPr>
      </w:pPr>
      <w:r w:rsidRPr="008E399A">
        <w:rPr>
          <w:rFonts w:cs="Arial"/>
          <w:bCs/>
          <w:lang w:val="es-MX"/>
        </w:rPr>
        <w:t xml:space="preserve"> </w:t>
      </w:r>
    </w:p>
    <w:p w14:paraId="6DF26E94" w14:textId="77777777" w:rsidR="00FB42CA" w:rsidRPr="008E399A" w:rsidRDefault="00FB42CA" w:rsidP="00FB42CA">
      <w:pPr>
        <w:rPr>
          <w:rFonts w:cs="Arial"/>
        </w:rPr>
      </w:pPr>
      <w:r w:rsidRPr="008E399A">
        <w:rPr>
          <w:rFonts w:cs="Arial"/>
          <w:b/>
        </w:rPr>
        <w:lastRenderedPageBreak/>
        <w:t>5.1.</w:t>
      </w:r>
      <w:r w:rsidRPr="008E399A">
        <w:rPr>
          <w:rFonts w:cs="Arial"/>
        </w:rPr>
        <w:t xml:space="preserve"> Mediante providencia del 5 de octubre de 2016, la Sección Tercera de esta Corporación admitió el recurso de apelación interpuesto por la parte actora. </w:t>
      </w:r>
    </w:p>
    <w:p w14:paraId="08890A7F" w14:textId="77777777" w:rsidR="00FB42CA" w:rsidRPr="008E399A" w:rsidRDefault="00FB42CA" w:rsidP="00FB42CA">
      <w:pPr>
        <w:widowControl w:val="0"/>
        <w:autoSpaceDE w:val="0"/>
        <w:autoSpaceDN w:val="0"/>
        <w:adjustRightInd w:val="0"/>
        <w:rPr>
          <w:rFonts w:cs="Arial"/>
          <w:b/>
        </w:rPr>
      </w:pPr>
    </w:p>
    <w:p w14:paraId="0C645ED1" w14:textId="77777777" w:rsidR="00FB42CA" w:rsidRPr="008E399A" w:rsidRDefault="00FB42CA" w:rsidP="00FB42CA">
      <w:pPr>
        <w:rPr>
          <w:rFonts w:cs="Arial"/>
          <w:lang w:val="es-MX"/>
        </w:rPr>
      </w:pPr>
      <w:r w:rsidRPr="008E399A">
        <w:rPr>
          <w:rFonts w:cs="Arial"/>
          <w:b/>
          <w:lang w:val="es-CO"/>
        </w:rPr>
        <w:t>5.2.</w:t>
      </w:r>
      <w:r w:rsidRPr="008E399A">
        <w:rPr>
          <w:rFonts w:cs="Arial"/>
          <w:lang w:val="es-CO"/>
        </w:rPr>
        <w:t xml:space="preserve"> </w:t>
      </w:r>
      <w:r w:rsidRPr="008E399A">
        <w:rPr>
          <w:rFonts w:cs="Arial"/>
          <w:lang w:val="es-MX"/>
        </w:rPr>
        <w:t>Por medio de auto del 7 de diciembre del mismo año, se corrió traslado a las partes para que presentaran sus alegaciones finales y al Ministerio Público para que rindiese su concepto. En el término otorgado, los sujetos procesales presentaron su escrito de alegaciones, en el cual, en esencia, reiteraron los argumentos que soportaron la causa y la contradicción. El Ministerio Público guardó silencio.</w:t>
      </w:r>
    </w:p>
    <w:p w14:paraId="01961FA4" w14:textId="77777777" w:rsidR="00FB42CA" w:rsidRPr="008E399A" w:rsidRDefault="00FB42CA" w:rsidP="00FB42CA">
      <w:pPr>
        <w:rPr>
          <w:rFonts w:cs="Arial"/>
          <w:b/>
          <w:lang w:val="es-MX"/>
        </w:rPr>
      </w:pPr>
    </w:p>
    <w:p w14:paraId="77489464" w14:textId="77777777" w:rsidR="00FB42CA" w:rsidRPr="008E399A" w:rsidRDefault="00FB42CA" w:rsidP="00FB42CA">
      <w:pPr>
        <w:jc w:val="center"/>
        <w:rPr>
          <w:rFonts w:cs="Arial"/>
          <w:b/>
        </w:rPr>
      </w:pPr>
      <w:r w:rsidRPr="008E399A">
        <w:rPr>
          <w:rFonts w:cs="Arial"/>
          <w:b/>
        </w:rPr>
        <w:t>II. C O N S I D E R A C I O N E S</w:t>
      </w:r>
    </w:p>
    <w:p w14:paraId="3671BAEA" w14:textId="77777777" w:rsidR="00FB42CA" w:rsidRPr="008E399A" w:rsidRDefault="00FB42CA" w:rsidP="00FB42CA">
      <w:pPr>
        <w:ind w:right="-1"/>
        <w:jc w:val="center"/>
        <w:rPr>
          <w:rFonts w:cs="Arial"/>
          <w:b/>
        </w:rPr>
      </w:pPr>
    </w:p>
    <w:p w14:paraId="441C6851" w14:textId="77777777" w:rsidR="00FB42CA" w:rsidRPr="008E399A" w:rsidRDefault="00FB42CA" w:rsidP="00FB42CA">
      <w:pPr>
        <w:ind w:right="-1"/>
        <w:rPr>
          <w:rFonts w:cs="Arial"/>
          <w:bCs/>
          <w:lang w:val="es-MX"/>
        </w:rPr>
      </w:pPr>
      <w:r w:rsidRPr="008E399A">
        <w:rPr>
          <w:rFonts w:cs="Arial"/>
        </w:rPr>
        <w:t xml:space="preserve">Para resolver la segunda instancia de la presente </w:t>
      </w:r>
      <w:r w:rsidRPr="008E399A">
        <w:rPr>
          <w:rFonts w:cs="Arial"/>
          <w:i/>
        </w:rPr>
        <w:t>litis</w:t>
      </w:r>
      <w:r w:rsidRPr="008E399A">
        <w:rPr>
          <w:rFonts w:cs="Arial"/>
        </w:rPr>
        <w:t xml:space="preserve">, se abordarán los siguientes temas: </w:t>
      </w:r>
      <w:r w:rsidRPr="008E399A">
        <w:rPr>
          <w:rFonts w:cs="Arial"/>
          <w:b/>
        </w:rPr>
        <w:t>1)</w:t>
      </w:r>
      <w:r w:rsidRPr="008E399A">
        <w:rPr>
          <w:rFonts w:cs="Arial"/>
        </w:rPr>
        <w:t xml:space="preserve"> competencia del Consejo de Estado; </w:t>
      </w:r>
      <w:r w:rsidRPr="008E399A">
        <w:rPr>
          <w:rFonts w:cs="Arial"/>
          <w:b/>
        </w:rPr>
        <w:t>2)</w:t>
      </w:r>
      <w:r w:rsidRPr="008E399A">
        <w:rPr>
          <w:rFonts w:cs="Arial"/>
        </w:rPr>
        <w:t xml:space="preserve"> procedencia y oportunidad para el ejercicio del medio de control de nulidad y restablecimiento del derecho y controversias contractuales; </w:t>
      </w:r>
      <w:r w:rsidRPr="008E399A">
        <w:rPr>
          <w:rFonts w:cs="Arial"/>
          <w:b/>
        </w:rPr>
        <w:t xml:space="preserve">3) </w:t>
      </w:r>
      <w:r w:rsidRPr="008E399A">
        <w:rPr>
          <w:rFonts w:cs="Arial"/>
        </w:rPr>
        <w:t xml:space="preserve">legitimación en la causa; </w:t>
      </w:r>
      <w:r w:rsidRPr="008E399A">
        <w:rPr>
          <w:rFonts w:cs="Arial"/>
          <w:b/>
        </w:rPr>
        <w:t xml:space="preserve">4) </w:t>
      </w:r>
      <w:r w:rsidRPr="008E399A">
        <w:rPr>
          <w:rFonts w:cs="Arial"/>
        </w:rPr>
        <w:t xml:space="preserve">el régimen jurídico que informó el Concurso de Méritos No. 003 de 2014 adelantado por la ANTV; </w:t>
      </w:r>
      <w:r w:rsidRPr="008E399A">
        <w:rPr>
          <w:rFonts w:cs="Arial"/>
          <w:b/>
        </w:rPr>
        <w:t>5)</w:t>
      </w:r>
      <w:r w:rsidRPr="008E399A">
        <w:rPr>
          <w:rFonts w:cs="Arial"/>
        </w:rPr>
        <w:t xml:space="preserve"> los límites del recurso de apelación; </w:t>
      </w:r>
      <w:r w:rsidRPr="008E399A">
        <w:rPr>
          <w:rFonts w:cs="Arial"/>
          <w:b/>
          <w:lang w:val="es-MX"/>
        </w:rPr>
        <w:t>5.1</w:t>
      </w:r>
      <w:r w:rsidRPr="008E399A">
        <w:rPr>
          <w:rFonts w:cs="Arial"/>
          <w:lang w:val="es-MX"/>
        </w:rPr>
        <w:t xml:space="preserve">) las exigencias previstas en el pliego de condiciones para habilitar y otorgar puntaje al equipo de trabajo ofrecido por los oferentes; </w:t>
      </w:r>
      <w:r w:rsidRPr="008E399A">
        <w:rPr>
          <w:rFonts w:cs="Arial"/>
          <w:b/>
          <w:lang w:val="es-MX"/>
        </w:rPr>
        <w:t xml:space="preserve">5.2) </w:t>
      </w:r>
      <w:r w:rsidRPr="008E399A">
        <w:rPr>
          <w:rFonts w:cs="Arial"/>
          <w:lang w:val="es-MX"/>
        </w:rPr>
        <w:t xml:space="preserve">la experiencia del director general del proyecto ofrecido por el consorcio Interventoría Concesión TV; </w:t>
      </w:r>
      <w:r w:rsidRPr="008E399A">
        <w:rPr>
          <w:rFonts w:cs="Arial"/>
          <w:b/>
          <w:color w:val="000000"/>
        </w:rPr>
        <w:t xml:space="preserve">5.3) </w:t>
      </w:r>
      <w:r w:rsidRPr="008E399A">
        <w:rPr>
          <w:rFonts w:cs="Arial"/>
          <w:color w:val="000000"/>
        </w:rPr>
        <w:t>la valoración de la experiencia del asesor jurídico presentado por el consorcio Interventoría Concesión TV;</w:t>
      </w:r>
      <w:r w:rsidRPr="008E399A">
        <w:rPr>
          <w:rFonts w:cs="Arial"/>
          <w:b/>
          <w:bCs/>
          <w:lang w:val="es-MX"/>
        </w:rPr>
        <w:t xml:space="preserve"> 5.4) </w:t>
      </w:r>
      <w:r w:rsidRPr="008E399A">
        <w:rPr>
          <w:rFonts w:cs="Arial"/>
          <w:bCs/>
          <w:lang w:val="es-MX"/>
        </w:rPr>
        <w:t xml:space="preserve">la validez de la resolución de adjudicación por no desvirtuarse que la propuesta del consorcio Interventoría Concesión TV era la mejor oferta </w:t>
      </w:r>
      <w:r w:rsidRPr="008E399A">
        <w:rPr>
          <w:rFonts w:cs="Arial"/>
        </w:rPr>
        <w:t>y</w:t>
      </w:r>
      <w:r w:rsidRPr="008E399A">
        <w:rPr>
          <w:rFonts w:cs="Arial"/>
          <w:b/>
        </w:rPr>
        <w:t xml:space="preserve"> 6) </w:t>
      </w:r>
      <w:r w:rsidRPr="008E399A">
        <w:rPr>
          <w:rFonts w:cs="Arial"/>
        </w:rPr>
        <w:t>costas.</w:t>
      </w:r>
    </w:p>
    <w:p w14:paraId="10DAC5F1" w14:textId="77777777" w:rsidR="00FB42CA" w:rsidRPr="008E399A" w:rsidRDefault="00FB42CA" w:rsidP="00FB42CA">
      <w:pPr>
        <w:ind w:right="-1"/>
        <w:rPr>
          <w:rFonts w:cs="Arial"/>
        </w:rPr>
      </w:pPr>
    </w:p>
    <w:p w14:paraId="33E87236" w14:textId="77777777" w:rsidR="00FB42CA" w:rsidRPr="008E399A" w:rsidRDefault="00FB42CA" w:rsidP="00FB42CA">
      <w:pPr>
        <w:ind w:right="-1"/>
        <w:rPr>
          <w:rFonts w:cs="Arial"/>
          <w:b/>
        </w:rPr>
      </w:pPr>
      <w:r w:rsidRPr="008E399A">
        <w:rPr>
          <w:rFonts w:cs="Arial"/>
          <w:b/>
        </w:rPr>
        <w:t>1.- Competencia del Consejo de Estado</w:t>
      </w:r>
    </w:p>
    <w:p w14:paraId="77725C47" w14:textId="77777777" w:rsidR="00FB42CA" w:rsidRPr="008E399A" w:rsidRDefault="00FB42CA" w:rsidP="00FB42CA">
      <w:pPr>
        <w:ind w:right="-1"/>
        <w:rPr>
          <w:rFonts w:cs="Arial"/>
        </w:rPr>
      </w:pPr>
    </w:p>
    <w:p w14:paraId="794B07C0" w14:textId="77777777" w:rsidR="00FB42CA" w:rsidRPr="008E399A" w:rsidRDefault="00FB42CA" w:rsidP="00FB42CA">
      <w:pPr>
        <w:ind w:right="-1"/>
        <w:rPr>
          <w:rFonts w:cs="Arial"/>
        </w:rPr>
      </w:pPr>
      <w:r w:rsidRPr="008E399A">
        <w:rPr>
          <w:rFonts w:cs="Arial"/>
        </w:rPr>
        <w:t>A continuación, la Sala verificará la competencia para conocer del recurso de apelación:</w:t>
      </w:r>
    </w:p>
    <w:p w14:paraId="4E75499C" w14:textId="77777777" w:rsidR="00FB42CA" w:rsidRPr="008E399A" w:rsidRDefault="00FB42CA" w:rsidP="00FB42CA">
      <w:pPr>
        <w:pStyle w:val="Textoindependiente"/>
        <w:autoSpaceDE/>
        <w:autoSpaceDN/>
        <w:adjustRightInd/>
        <w:ind w:right="-1"/>
        <w:rPr>
          <w:rFonts w:cs="Arial"/>
          <w:szCs w:val="24"/>
          <w:lang w:val="es-ES"/>
        </w:rPr>
      </w:pPr>
    </w:p>
    <w:p w14:paraId="0495BF11" w14:textId="77777777" w:rsidR="00FB42CA" w:rsidRPr="008E399A" w:rsidRDefault="00FB42CA" w:rsidP="00FB42CA">
      <w:pPr>
        <w:pStyle w:val="Textoindependiente"/>
        <w:autoSpaceDE/>
        <w:autoSpaceDN/>
        <w:adjustRightInd/>
        <w:ind w:right="-1"/>
        <w:rPr>
          <w:rFonts w:cs="Arial"/>
          <w:szCs w:val="24"/>
        </w:rPr>
      </w:pPr>
      <w:r w:rsidRPr="008E399A">
        <w:rPr>
          <w:rFonts w:cs="Arial"/>
          <w:szCs w:val="24"/>
          <w:lang w:val="es-ES"/>
        </w:rPr>
        <w:t xml:space="preserve">Se tiene presente que </w:t>
      </w:r>
      <w:r w:rsidRPr="008E399A">
        <w:rPr>
          <w:rFonts w:cs="Arial"/>
          <w:szCs w:val="24"/>
          <w:lang w:val="es-CO"/>
        </w:rPr>
        <w:t xml:space="preserve">el </w:t>
      </w:r>
      <w:r w:rsidRPr="008E399A">
        <w:rPr>
          <w:rFonts w:cs="Arial"/>
          <w:szCs w:val="24"/>
          <w:lang w:val="es-ES"/>
        </w:rPr>
        <w:t>artículo 104</w:t>
      </w:r>
      <w:r w:rsidRPr="008E399A">
        <w:rPr>
          <w:rStyle w:val="Refdenotaalpie"/>
          <w:rFonts w:cs="Arial"/>
          <w:szCs w:val="24"/>
          <w:lang w:val="es-ES"/>
        </w:rPr>
        <w:footnoteReference w:id="3"/>
      </w:r>
      <w:r w:rsidRPr="008E399A">
        <w:rPr>
          <w:rFonts w:cs="Arial"/>
          <w:szCs w:val="24"/>
          <w:lang w:val="es-ES"/>
        </w:rPr>
        <w:t xml:space="preserve"> de la Ley 1437 expedida en 2011 (C.P.A.C.A.), vigente a partir de 2 de julio de 2012, prescribe que l</w:t>
      </w:r>
      <w:r w:rsidRPr="008E399A">
        <w:rPr>
          <w:rFonts w:cs="Arial"/>
          <w:szCs w:val="24"/>
        </w:rPr>
        <w:t xml:space="preserve">a Jurisdicción de </w:t>
      </w:r>
      <w:r w:rsidRPr="008E399A">
        <w:rPr>
          <w:rFonts w:cs="Arial"/>
          <w:szCs w:val="24"/>
        </w:rPr>
        <w:lastRenderedPageBreak/>
        <w:t>lo Contencioso Administrativo se encuentra instituida para juzgar las controversias y litigios originados en los contratos “</w:t>
      </w:r>
      <w:r w:rsidRPr="008E399A">
        <w:rPr>
          <w:rFonts w:cs="Arial"/>
          <w:i/>
          <w:szCs w:val="24"/>
        </w:rPr>
        <w:t>sujetos al derecho administrativo, en los que estén involucradas las entidades públicas”</w:t>
      </w:r>
      <w:r w:rsidRPr="008E399A">
        <w:rPr>
          <w:rFonts w:cs="Arial"/>
          <w:szCs w:val="24"/>
        </w:rPr>
        <w:t xml:space="preserve"> e igualmente le corresponde conocer de los contratos “</w:t>
      </w:r>
      <w:r w:rsidRPr="008E399A">
        <w:rPr>
          <w:rFonts w:cs="Arial"/>
          <w:i/>
          <w:szCs w:val="24"/>
        </w:rPr>
        <w:t>cualquiera que sea su régimen, en los que sea parte una entidad pública o un particular en ejercicio de funciones propias del Estado”.</w:t>
      </w:r>
      <w:r w:rsidRPr="008E399A">
        <w:rPr>
          <w:rFonts w:cs="Arial"/>
          <w:szCs w:val="24"/>
        </w:rPr>
        <w:t xml:space="preserve"> </w:t>
      </w:r>
    </w:p>
    <w:p w14:paraId="7FCF9709" w14:textId="77777777" w:rsidR="00FB42CA" w:rsidRPr="008E399A" w:rsidRDefault="00FB42CA" w:rsidP="00FB42CA">
      <w:pPr>
        <w:ind w:right="-1"/>
        <w:rPr>
          <w:rFonts w:cs="Arial"/>
        </w:rPr>
      </w:pPr>
    </w:p>
    <w:p w14:paraId="59E22662" w14:textId="77777777" w:rsidR="00FB42CA" w:rsidRPr="008E399A" w:rsidRDefault="00FB42CA" w:rsidP="00FB42CA">
      <w:pPr>
        <w:ind w:right="-1"/>
        <w:rPr>
          <w:rFonts w:cs="Arial"/>
        </w:rPr>
      </w:pPr>
      <w:r w:rsidRPr="008E399A">
        <w:rPr>
          <w:rFonts w:cs="Arial"/>
        </w:rPr>
        <w:t xml:space="preserve">El acto administrativo de adjudicación del Concurso de Méritos No. 003 de 2014, objeto de demanda, fue proferido por la Autoridad Nacional de Televisión ANTV y el contrato celebrado como el producto del mismo fue celebrado por el esa misma entidad, que concurre como demandada en la presente causa. </w:t>
      </w:r>
      <w:r w:rsidRPr="008E399A">
        <w:rPr>
          <w:rFonts w:cs="Arial"/>
          <w:lang w:val="es-CO"/>
        </w:rPr>
        <w:t>Así las cosas, al ser la parte demandada,</w:t>
      </w:r>
      <w:r w:rsidRPr="008E399A">
        <w:rPr>
          <w:rFonts w:cs="Arial"/>
        </w:rPr>
        <w:t xml:space="preserve"> ANTV</w:t>
      </w:r>
      <w:r w:rsidRPr="008E399A">
        <w:rPr>
          <w:rStyle w:val="Refdenotaalpie"/>
          <w:rFonts w:cs="Arial"/>
        </w:rPr>
        <w:footnoteReference w:id="4"/>
      </w:r>
      <w:r w:rsidRPr="008E399A">
        <w:rPr>
          <w:rFonts w:cs="Arial"/>
          <w:lang w:val="es-CO"/>
        </w:rPr>
        <w:t>, una agencia estatal de naturaleza especial y que para efectos contractuales se asimila a un establecimiento público, con sujeción a lo dispuesto en</w:t>
      </w:r>
      <w:r w:rsidRPr="008E399A">
        <w:rPr>
          <w:rFonts w:cs="Arial"/>
        </w:rPr>
        <w:t xml:space="preserve"> la Ley 489 de 1998</w:t>
      </w:r>
      <w:r w:rsidRPr="008E399A">
        <w:rPr>
          <w:rStyle w:val="Refdenotaalpie"/>
          <w:rFonts w:cs="Arial"/>
        </w:rPr>
        <w:footnoteReference w:id="5"/>
      </w:r>
      <w:r w:rsidRPr="008E399A">
        <w:rPr>
          <w:rFonts w:cs="Arial"/>
        </w:rPr>
        <w:t xml:space="preserve"> </w:t>
      </w:r>
      <w:r w:rsidRPr="008E399A">
        <w:rPr>
          <w:rFonts w:cs="Arial"/>
          <w:lang w:val="es-CO"/>
        </w:rPr>
        <w:t>ostenta la naturaleza de entidad pública. Por la razón advertida, esta jurisdicción es competente para conocer del presente asunto.</w:t>
      </w:r>
    </w:p>
    <w:p w14:paraId="53E77004" w14:textId="77777777" w:rsidR="00FB42CA" w:rsidRPr="008E399A" w:rsidRDefault="00FB42CA" w:rsidP="00FB42CA">
      <w:pPr>
        <w:ind w:right="-1"/>
        <w:rPr>
          <w:rFonts w:cs="Arial"/>
          <w:color w:val="000000"/>
        </w:rPr>
      </w:pPr>
    </w:p>
    <w:p w14:paraId="70C1314D" w14:textId="77777777" w:rsidR="00FB42CA" w:rsidRPr="008E399A" w:rsidRDefault="00FB42CA" w:rsidP="00FB42CA">
      <w:pPr>
        <w:ind w:right="-1"/>
        <w:rPr>
          <w:rFonts w:cs="Arial"/>
          <w:color w:val="000000"/>
        </w:rPr>
      </w:pPr>
      <w:r w:rsidRPr="008E399A">
        <w:rPr>
          <w:rFonts w:cs="Arial"/>
          <w:color w:val="000000"/>
        </w:rPr>
        <w:t>1.2.- En consideración que en el caso se presentaron pretensiones encaminadas a obtener la nulidad de acto de adjudicación contenido en la Resolución 2077 del 11 de julio de 2004, y al consecuencial restablecimiento del derecho, por ser un acto proferido con ocasión de la actividad contractual del Estado, con fundamento en el numeral 3 del artículo 152 de la Ley 1437 de 2011 y teniendo en cuenta que el valor de la pretensión mayor</w:t>
      </w:r>
      <w:r w:rsidRPr="008E399A">
        <w:rPr>
          <w:rStyle w:val="Refdenotaalpie"/>
          <w:rFonts w:cs="Arial"/>
          <w:color w:val="000000"/>
        </w:rPr>
        <w:footnoteReference w:id="6"/>
      </w:r>
      <w:r w:rsidRPr="008E399A">
        <w:rPr>
          <w:rFonts w:cs="Arial"/>
          <w:color w:val="000000"/>
        </w:rPr>
        <w:t xml:space="preserve"> resulta superior al monto equivalente a 300 salarios mínimos legales vigentes a la fecha de presentación de la demanda, se concluye que el proceso tiene vocación de doble instancia.</w:t>
      </w:r>
    </w:p>
    <w:p w14:paraId="3E8D4DBC" w14:textId="77777777" w:rsidR="00FB42CA" w:rsidRPr="008E399A" w:rsidRDefault="00FB42CA" w:rsidP="00FB42CA">
      <w:pPr>
        <w:ind w:right="-1"/>
        <w:rPr>
          <w:rFonts w:cs="Arial"/>
          <w:color w:val="000000"/>
        </w:rPr>
      </w:pPr>
      <w:r w:rsidRPr="008E399A">
        <w:rPr>
          <w:rFonts w:cs="Arial"/>
          <w:color w:val="000000"/>
        </w:rPr>
        <w:t xml:space="preserve"> </w:t>
      </w:r>
    </w:p>
    <w:p w14:paraId="4DEBFB64" w14:textId="77777777" w:rsidR="00FB42CA" w:rsidRPr="008E399A" w:rsidRDefault="00FB42CA" w:rsidP="00FB42CA">
      <w:pPr>
        <w:ind w:right="-1"/>
        <w:rPr>
          <w:rFonts w:cs="Arial"/>
          <w:color w:val="000000"/>
        </w:rPr>
      </w:pPr>
      <w:r w:rsidRPr="008E399A">
        <w:rPr>
          <w:rFonts w:cs="Arial"/>
          <w:color w:val="000000"/>
        </w:rPr>
        <w:t>A la misma conclusión se llega desde la óptica de la pretensión de nulidad absoluta del Contrato No. 1364 del 17 de julio 2014, celebrado como resultado del procedimiento de selección, formulada también en el escrito introductorio, en tanto que, en aplicación a lo dispuesto el numeral 5 del artículo 152 de la Ley 1437 de 2011, y toda vez que el valor de la pretensión mayor</w:t>
      </w:r>
      <w:r w:rsidRPr="008E399A">
        <w:rPr>
          <w:rStyle w:val="Refdenotaalpie"/>
          <w:rFonts w:cs="Arial"/>
          <w:color w:val="000000"/>
        </w:rPr>
        <w:footnoteReference w:id="7"/>
      </w:r>
      <w:r w:rsidRPr="008E399A">
        <w:rPr>
          <w:rFonts w:cs="Arial"/>
          <w:color w:val="000000"/>
        </w:rPr>
        <w:t xml:space="preserve"> excede al monto equivalente a 500 salarios mínimos legales vigentes</w:t>
      </w:r>
      <w:r w:rsidRPr="008E399A">
        <w:rPr>
          <w:rStyle w:val="Refdenotaalpie"/>
          <w:rFonts w:cs="Arial"/>
          <w:color w:val="000000"/>
        </w:rPr>
        <w:footnoteReference w:id="8"/>
      </w:r>
      <w:r w:rsidRPr="008E399A">
        <w:rPr>
          <w:rFonts w:cs="Arial"/>
          <w:color w:val="000000"/>
        </w:rPr>
        <w:t xml:space="preserve"> a la fecha de presentación de la demanda, se evidencia que esta Corporación tiene competencia funcional para asumir el conocimiento del caso en segunda instancia. </w:t>
      </w:r>
    </w:p>
    <w:p w14:paraId="7117F9DA" w14:textId="77777777" w:rsidR="00FB42CA" w:rsidRPr="008E399A" w:rsidRDefault="00FB42CA" w:rsidP="00FB42CA">
      <w:pPr>
        <w:ind w:right="-1"/>
        <w:rPr>
          <w:rFonts w:cs="Arial"/>
          <w:color w:val="000000"/>
        </w:rPr>
      </w:pPr>
    </w:p>
    <w:p w14:paraId="3FD907D2" w14:textId="77777777" w:rsidR="00FB42CA" w:rsidRPr="008E399A" w:rsidRDefault="00FB42CA" w:rsidP="00FB42CA">
      <w:pPr>
        <w:spacing w:line="240" w:lineRule="auto"/>
        <w:ind w:right="-1"/>
        <w:rPr>
          <w:rFonts w:cs="Arial"/>
          <w:b/>
        </w:rPr>
      </w:pPr>
      <w:r w:rsidRPr="008E399A">
        <w:rPr>
          <w:rFonts w:cs="Arial"/>
          <w:b/>
        </w:rPr>
        <w:t>2.- Procedencia y oportunidad del medio de nulidad y restablecimiento del derecho y de controversias contractuales</w:t>
      </w:r>
    </w:p>
    <w:p w14:paraId="040DE539" w14:textId="77777777" w:rsidR="00FB42CA" w:rsidRPr="008E399A" w:rsidRDefault="00FB42CA" w:rsidP="00FB42CA">
      <w:pPr>
        <w:spacing w:line="240" w:lineRule="auto"/>
        <w:ind w:right="-1"/>
        <w:rPr>
          <w:rFonts w:cs="Arial"/>
          <w:b/>
        </w:rPr>
      </w:pPr>
    </w:p>
    <w:p w14:paraId="241F7EB2" w14:textId="77777777" w:rsidR="00FB42CA" w:rsidRPr="008E399A" w:rsidRDefault="00FB42CA" w:rsidP="00FB42CA">
      <w:pPr>
        <w:pStyle w:val="Puesto"/>
        <w:spacing w:line="360" w:lineRule="auto"/>
        <w:jc w:val="both"/>
        <w:rPr>
          <w:b w:val="0"/>
          <w:sz w:val="24"/>
        </w:rPr>
      </w:pPr>
      <w:r w:rsidRPr="008E399A">
        <w:rPr>
          <w:b w:val="0"/>
          <w:sz w:val="24"/>
        </w:rPr>
        <w:t>En virtud de la figura de la acumulación de pretensiones a la cual alude el artículo 165 del C.P.A.C.A., en las demandas presentadas ante esta jurisdicción resulta procedente acumular diferentes clases de pretensiones, siempre que sean conexas entre sí y se cumplan los siguientes requisitos:</w:t>
      </w:r>
    </w:p>
    <w:p w14:paraId="674C34F9" w14:textId="77777777" w:rsidR="00FB42CA" w:rsidRPr="008E399A" w:rsidRDefault="00FB42CA" w:rsidP="00FB42CA">
      <w:pPr>
        <w:pStyle w:val="Puesto"/>
        <w:spacing w:line="360" w:lineRule="auto"/>
        <w:jc w:val="both"/>
        <w:rPr>
          <w:b w:val="0"/>
          <w:sz w:val="24"/>
        </w:rPr>
      </w:pPr>
      <w:r w:rsidRPr="008E399A">
        <w:rPr>
          <w:b w:val="0"/>
          <w:sz w:val="24"/>
        </w:rPr>
        <w:t> </w:t>
      </w:r>
    </w:p>
    <w:p w14:paraId="71992B24" w14:textId="77777777" w:rsidR="00FB42CA" w:rsidRPr="008E399A" w:rsidRDefault="00FB42CA" w:rsidP="00FB42CA">
      <w:pPr>
        <w:pStyle w:val="Puesto"/>
        <w:ind w:left="567" w:right="567"/>
        <w:jc w:val="both"/>
        <w:rPr>
          <w:b w:val="0"/>
          <w:i/>
          <w:sz w:val="24"/>
        </w:rPr>
      </w:pPr>
      <w:r w:rsidRPr="008E399A">
        <w:rPr>
          <w:b w:val="0"/>
          <w:sz w:val="24"/>
        </w:rPr>
        <w:t>“</w:t>
      </w:r>
      <w:r w:rsidRPr="008E399A">
        <w:rPr>
          <w:b w:val="0"/>
          <w:i/>
          <w:sz w:val="24"/>
        </w:rPr>
        <w:t>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w:t>
      </w:r>
    </w:p>
    <w:p w14:paraId="1C18F97E" w14:textId="77777777" w:rsidR="00FB42CA" w:rsidRPr="008E399A" w:rsidRDefault="00FB42CA" w:rsidP="00FB42CA">
      <w:pPr>
        <w:pStyle w:val="Puesto"/>
        <w:ind w:left="567" w:right="567"/>
        <w:jc w:val="both"/>
        <w:rPr>
          <w:b w:val="0"/>
          <w:i/>
          <w:sz w:val="24"/>
        </w:rPr>
      </w:pPr>
    </w:p>
    <w:p w14:paraId="05282288" w14:textId="77777777" w:rsidR="00FB42CA" w:rsidRPr="008E399A" w:rsidRDefault="00FB42CA" w:rsidP="00FB42CA">
      <w:pPr>
        <w:pStyle w:val="Puesto"/>
        <w:ind w:left="567" w:right="567"/>
        <w:jc w:val="both"/>
        <w:rPr>
          <w:b w:val="0"/>
          <w:i/>
          <w:sz w:val="24"/>
        </w:rPr>
      </w:pPr>
      <w:r w:rsidRPr="008E399A">
        <w:rPr>
          <w:b w:val="0"/>
          <w:i/>
          <w:sz w:val="24"/>
        </w:rPr>
        <w:t>“2. Que las pretensiones no se excluyan entre sí, salvo que se propongan como principales y subsidiarias.</w:t>
      </w:r>
    </w:p>
    <w:p w14:paraId="6FC16105" w14:textId="77777777" w:rsidR="00FB42CA" w:rsidRPr="008E399A" w:rsidRDefault="00FB42CA" w:rsidP="00FB42CA">
      <w:pPr>
        <w:pStyle w:val="Puesto"/>
        <w:ind w:left="567" w:right="567"/>
        <w:jc w:val="both"/>
        <w:rPr>
          <w:b w:val="0"/>
          <w:i/>
          <w:sz w:val="24"/>
        </w:rPr>
      </w:pPr>
    </w:p>
    <w:p w14:paraId="68B3DDB2" w14:textId="77777777" w:rsidR="00FB42CA" w:rsidRPr="008E399A" w:rsidRDefault="00FB42CA" w:rsidP="00FB42CA">
      <w:pPr>
        <w:pStyle w:val="Puesto"/>
        <w:ind w:left="567" w:right="567"/>
        <w:jc w:val="both"/>
        <w:rPr>
          <w:b w:val="0"/>
          <w:i/>
          <w:sz w:val="24"/>
        </w:rPr>
      </w:pPr>
      <w:r w:rsidRPr="008E399A">
        <w:rPr>
          <w:b w:val="0"/>
          <w:i/>
          <w:sz w:val="24"/>
        </w:rPr>
        <w:t>“3. Que no haya operado la caducidad respecto de alguna de ellas.</w:t>
      </w:r>
    </w:p>
    <w:p w14:paraId="574CF09F" w14:textId="77777777" w:rsidR="00FB42CA" w:rsidRPr="008E399A" w:rsidRDefault="00FB42CA" w:rsidP="00FB42CA">
      <w:pPr>
        <w:pStyle w:val="Puesto"/>
        <w:ind w:left="567" w:right="567"/>
        <w:jc w:val="both"/>
        <w:rPr>
          <w:b w:val="0"/>
          <w:i/>
          <w:sz w:val="24"/>
        </w:rPr>
      </w:pPr>
    </w:p>
    <w:p w14:paraId="3DB7E060" w14:textId="77777777" w:rsidR="00FB42CA" w:rsidRPr="008E399A" w:rsidRDefault="00FB42CA" w:rsidP="00FB42CA">
      <w:pPr>
        <w:pStyle w:val="Puesto"/>
        <w:ind w:left="567" w:right="567"/>
        <w:jc w:val="both"/>
        <w:rPr>
          <w:b w:val="0"/>
          <w:sz w:val="24"/>
        </w:rPr>
      </w:pPr>
      <w:r w:rsidRPr="008E399A">
        <w:rPr>
          <w:b w:val="0"/>
          <w:i/>
          <w:sz w:val="24"/>
        </w:rPr>
        <w:t>“4. Que todas deban tramitarse por el mismo procedimiento</w:t>
      </w:r>
      <w:r w:rsidRPr="008E399A">
        <w:rPr>
          <w:b w:val="0"/>
          <w:sz w:val="24"/>
        </w:rPr>
        <w:t>”.</w:t>
      </w:r>
    </w:p>
    <w:p w14:paraId="522789D5" w14:textId="77777777" w:rsidR="00FB42CA" w:rsidRPr="008E399A" w:rsidRDefault="00FB42CA" w:rsidP="00FB42CA">
      <w:pPr>
        <w:pStyle w:val="Puesto"/>
        <w:ind w:left="567" w:right="567"/>
        <w:jc w:val="both"/>
        <w:rPr>
          <w:b w:val="0"/>
          <w:sz w:val="24"/>
          <w:lang w:val="es-ES"/>
        </w:rPr>
      </w:pPr>
    </w:p>
    <w:p w14:paraId="51DF8ABE" w14:textId="77777777" w:rsidR="00FB42CA" w:rsidRPr="008E399A" w:rsidRDefault="00FB42CA" w:rsidP="00FB42CA">
      <w:pPr>
        <w:pStyle w:val="Puesto"/>
        <w:spacing w:line="276" w:lineRule="auto"/>
        <w:ind w:left="567" w:right="567"/>
        <w:jc w:val="both"/>
        <w:rPr>
          <w:b w:val="0"/>
          <w:sz w:val="24"/>
        </w:rPr>
      </w:pPr>
      <w:r w:rsidRPr="008E399A">
        <w:rPr>
          <w:b w:val="0"/>
          <w:sz w:val="24"/>
        </w:rPr>
        <w:t> </w:t>
      </w:r>
    </w:p>
    <w:p w14:paraId="07DA771D" w14:textId="77777777" w:rsidR="00FB42CA" w:rsidRPr="008E399A" w:rsidRDefault="00FB42CA" w:rsidP="00FB42CA">
      <w:pPr>
        <w:rPr>
          <w:rStyle w:val="Refdenotaalpie"/>
          <w:rFonts w:cs="Arial"/>
          <w:vertAlign w:val="baseline"/>
        </w:rPr>
      </w:pPr>
      <w:r w:rsidRPr="008E399A">
        <w:rPr>
          <w:rStyle w:val="Refdenotaalpie"/>
          <w:rFonts w:cs="Arial"/>
          <w:vertAlign w:val="baseline"/>
        </w:rPr>
        <w:t xml:space="preserve">El artículo 141 del CPACA, que regula el medio de control de controversias contractuales, establece que las partes de un contrato </w:t>
      </w:r>
      <w:r w:rsidRPr="008E399A">
        <w:rPr>
          <w:rFonts w:cs="Arial"/>
        </w:rPr>
        <w:t xml:space="preserve">del Estado </w:t>
      </w:r>
      <w:r w:rsidRPr="008E399A">
        <w:rPr>
          <w:rStyle w:val="Refdenotaalpie"/>
          <w:rFonts w:cs="Arial"/>
          <w:vertAlign w:val="baseline"/>
        </w:rPr>
        <w:t>pueden pedir que “</w:t>
      </w:r>
      <w:r w:rsidRPr="008E399A">
        <w:rPr>
          <w:rFonts w:cs="Arial"/>
          <w:i/>
        </w:rPr>
        <w:t xml:space="preserve">… </w:t>
      </w:r>
      <w:r w:rsidRPr="008E399A">
        <w:rPr>
          <w:rStyle w:val="Refdenotaalpie"/>
          <w:rFonts w:cs="Arial"/>
          <w:i/>
          <w:vertAlign w:val="baseline"/>
        </w:rPr>
        <w:t>se declare su existencia o su nulidad, que se ordene su revisión, que se declare su incumplimiento, que se declare la nulidad de los actos administrativos contractuales, que se condene al responsable a indemnizar los perjuicios, y que se hagan otras declaraciones y condenas</w:t>
      </w:r>
      <w:r w:rsidRPr="008E399A">
        <w:rPr>
          <w:rFonts w:cs="Arial"/>
          <w:i/>
        </w:rPr>
        <w:t>”</w:t>
      </w:r>
      <w:r w:rsidRPr="008E399A">
        <w:rPr>
          <w:rStyle w:val="Refdenotaalpie"/>
          <w:rFonts w:cs="Arial"/>
          <w:vertAlign w:val="baseline"/>
        </w:rPr>
        <w:t xml:space="preserve">. </w:t>
      </w:r>
    </w:p>
    <w:p w14:paraId="63185013" w14:textId="77777777" w:rsidR="00FB42CA" w:rsidRPr="008E399A" w:rsidRDefault="00FB42CA" w:rsidP="00FB42CA">
      <w:pPr>
        <w:rPr>
          <w:rFonts w:cs="Arial"/>
          <w:lang w:val="es-CO"/>
        </w:rPr>
      </w:pPr>
    </w:p>
    <w:p w14:paraId="36C4E01D" w14:textId="77777777" w:rsidR="00FB42CA" w:rsidRPr="008E399A" w:rsidRDefault="00FB42CA" w:rsidP="00FB42CA">
      <w:pPr>
        <w:rPr>
          <w:rFonts w:cs="Arial"/>
          <w:lang w:val="es-CO"/>
        </w:rPr>
      </w:pPr>
      <w:r w:rsidRPr="008E399A">
        <w:rPr>
          <w:rFonts w:cs="Arial"/>
          <w:lang w:val="es-CO"/>
        </w:rPr>
        <w:t xml:space="preserve">El inciso 2º del artículo en mención dispuso que los </w:t>
      </w:r>
      <w:r w:rsidRPr="008E399A">
        <w:rPr>
          <w:rFonts w:cs="Arial"/>
          <w:u w:val="single"/>
          <w:lang w:val="es-CO"/>
        </w:rPr>
        <w:t>actos proferidos antes de la celebración del contrato, con ocasión de la actividad contractual</w:t>
      </w:r>
      <w:r w:rsidRPr="008E399A">
        <w:rPr>
          <w:rFonts w:cs="Arial"/>
          <w:lang w:val="es-CO"/>
        </w:rPr>
        <w:t xml:space="preserve">, podrán demandarse a través de los medios de control de </w:t>
      </w:r>
      <w:r w:rsidRPr="008E399A">
        <w:rPr>
          <w:rFonts w:cs="Arial"/>
          <w:i/>
          <w:lang w:val="es-CO"/>
        </w:rPr>
        <w:t>nulidad</w:t>
      </w:r>
      <w:r w:rsidRPr="008E399A">
        <w:rPr>
          <w:rFonts w:cs="Arial"/>
          <w:lang w:val="es-CO"/>
        </w:rPr>
        <w:t xml:space="preserve"> (artículo 137) o de </w:t>
      </w:r>
      <w:r w:rsidRPr="008E399A">
        <w:rPr>
          <w:rFonts w:cs="Arial"/>
          <w:i/>
          <w:lang w:val="es-CO"/>
        </w:rPr>
        <w:t>nulidad y restablecimiento del derecho</w:t>
      </w:r>
      <w:r w:rsidRPr="008E399A">
        <w:rPr>
          <w:rFonts w:cs="Arial"/>
          <w:lang w:val="es-CO"/>
        </w:rPr>
        <w:t xml:space="preserve"> (artículo 138). </w:t>
      </w:r>
    </w:p>
    <w:p w14:paraId="39D69200" w14:textId="77777777" w:rsidR="00FB42CA" w:rsidRPr="008E399A" w:rsidRDefault="00FB42CA" w:rsidP="00FB42CA">
      <w:pPr>
        <w:rPr>
          <w:rFonts w:cs="Arial"/>
          <w:bCs/>
        </w:rPr>
      </w:pPr>
    </w:p>
    <w:p w14:paraId="77ABDF31" w14:textId="77777777" w:rsidR="00FB42CA" w:rsidRPr="008E399A" w:rsidRDefault="00FB42CA" w:rsidP="00FB42CA">
      <w:pPr>
        <w:rPr>
          <w:rFonts w:cs="Arial"/>
          <w:bCs/>
        </w:rPr>
      </w:pPr>
      <w:r w:rsidRPr="008E399A">
        <w:rPr>
          <w:rFonts w:cs="Arial"/>
          <w:bCs/>
        </w:rPr>
        <w:t>Se somete a consideración de la Sala tanto la declaratoria de nulidad del acto administrativo de adjudicación del concurso de méritos No. 003 de 2014, el restablecimiento del derecho, como la nulidad del contrato de interventoría No. 164 del 17 de julio de 2014, celebrado como producto del mismo, pretensiones cuya acumulación resulta procedente a través de la presente demanda.</w:t>
      </w:r>
    </w:p>
    <w:p w14:paraId="179E48CC" w14:textId="77777777" w:rsidR="00FB42CA" w:rsidRPr="008E399A" w:rsidRDefault="00FB42CA" w:rsidP="00FB42CA">
      <w:pPr>
        <w:rPr>
          <w:rFonts w:cs="Arial"/>
          <w:bCs/>
        </w:rPr>
      </w:pPr>
    </w:p>
    <w:p w14:paraId="2E5B8676" w14:textId="77777777" w:rsidR="00FB42CA" w:rsidRPr="008E399A" w:rsidRDefault="00FB42CA" w:rsidP="00FB42CA">
      <w:pPr>
        <w:rPr>
          <w:rFonts w:cs="Arial"/>
          <w:i/>
        </w:rPr>
      </w:pPr>
      <w:r w:rsidRPr="008E399A">
        <w:rPr>
          <w:rFonts w:cs="Arial"/>
          <w:bCs/>
        </w:rPr>
        <w:t>Así, con el propósito de establecer la oportunidad en el ejercicio de la pretensión del acto precontractual impugnado, debe acudirse a lo dispuesto en el artículo</w:t>
      </w:r>
      <w:r w:rsidRPr="008E399A">
        <w:rPr>
          <w:rFonts w:cs="Arial"/>
          <w:lang w:val="es-CO" w:eastAsia="es-CO"/>
        </w:rPr>
        <w:t xml:space="preserve"> </w:t>
      </w:r>
      <w:r w:rsidRPr="008E399A">
        <w:rPr>
          <w:rFonts w:cs="Arial"/>
          <w:bCs/>
        </w:rPr>
        <w:t>164 de la Ley 1437 de 2011 (C.P.A.C.A.), al tenor del cual “</w:t>
      </w:r>
      <w:r w:rsidRPr="008E399A">
        <w:rPr>
          <w:rFonts w:cs="Arial"/>
          <w:i/>
        </w:rPr>
        <w:t>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p w14:paraId="08423A3B" w14:textId="77777777" w:rsidR="00FB42CA" w:rsidRPr="008E399A" w:rsidRDefault="00FB42CA" w:rsidP="00FB42CA">
      <w:pPr>
        <w:rPr>
          <w:rFonts w:cs="Arial"/>
          <w:i/>
        </w:rPr>
      </w:pPr>
    </w:p>
    <w:p w14:paraId="6FC0A958" w14:textId="77777777" w:rsidR="00FB42CA" w:rsidRPr="008E399A" w:rsidRDefault="00FB42CA" w:rsidP="00FB42CA">
      <w:pPr>
        <w:tabs>
          <w:tab w:val="left" w:pos="7797"/>
        </w:tabs>
        <w:ind w:right="-1"/>
        <w:rPr>
          <w:rFonts w:cs="Arial"/>
          <w:lang w:val="es-MX"/>
        </w:rPr>
      </w:pPr>
      <w:r w:rsidRPr="008E399A">
        <w:rPr>
          <w:rFonts w:cs="Arial"/>
        </w:rPr>
        <w:t xml:space="preserve">Dicho esto, la Resolución 2077 del 11 de julio de 2014, por medio de la cual la ANTV </w:t>
      </w:r>
      <w:r w:rsidRPr="008E399A">
        <w:rPr>
          <w:rFonts w:cs="Arial"/>
          <w:lang w:val="es-MX"/>
        </w:rPr>
        <w:t>adjudicó el Concurso de Méritos No. 003 de 2014, fue publicada en esa fecha en el SECOP</w:t>
      </w:r>
      <w:r w:rsidRPr="008E399A">
        <w:rPr>
          <w:rStyle w:val="Refdenotaalpie"/>
          <w:rFonts w:cs="Arial"/>
          <w:lang w:val="es-MX"/>
        </w:rPr>
        <w:footnoteReference w:id="9"/>
      </w:r>
      <w:r w:rsidRPr="008E399A">
        <w:rPr>
          <w:rFonts w:cs="Arial"/>
          <w:lang w:val="es-MX"/>
        </w:rPr>
        <w:t>, a lo que se añade que el contrato de interventoría celebrado como resultado de esa convocatoria fue suscrito el 17 de julio del mismo año.</w:t>
      </w:r>
    </w:p>
    <w:p w14:paraId="4D2D92D9" w14:textId="77777777" w:rsidR="00FB42CA" w:rsidRPr="008E399A" w:rsidRDefault="00FB42CA" w:rsidP="00FB42CA">
      <w:pPr>
        <w:tabs>
          <w:tab w:val="left" w:pos="7797"/>
        </w:tabs>
        <w:ind w:right="-1"/>
        <w:rPr>
          <w:rFonts w:cs="Arial"/>
          <w:lang w:val="es-MX"/>
        </w:rPr>
      </w:pPr>
    </w:p>
    <w:p w14:paraId="68676EAA" w14:textId="77777777" w:rsidR="00FB42CA" w:rsidRDefault="00FB42CA" w:rsidP="00FB42CA">
      <w:pPr>
        <w:tabs>
          <w:tab w:val="left" w:pos="7797"/>
        </w:tabs>
        <w:ind w:right="-1"/>
        <w:rPr>
          <w:rFonts w:cs="Arial"/>
          <w:lang w:val="es-MX"/>
        </w:rPr>
      </w:pPr>
      <w:r w:rsidRPr="008E399A">
        <w:rPr>
          <w:rFonts w:cs="Arial"/>
          <w:lang w:val="es-MX"/>
        </w:rPr>
        <w:lastRenderedPageBreak/>
        <w:t>Habida consideración de que la Resolución en comento se profirió en vigencia de la Ley 1437 de 2012</w:t>
      </w:r>
      <w:r w:rsidRPr="008E399A">
        <w:rPr>
          <w:rStyle w:val="Refdenotaalpie"/>
          <w:rFonts w:cs="Arial"/>
          <w:lang w:val="es-MX"/>
        </w:rPr>
        <w:footnoteReference w:id="10"/>
      </w:r>
      <w:r w:rsidRPr="008E399A">
        <w:rPr>
          <w:rFonts w:cs="Arial"/>
          <w:lang w:val="es-MX"/>
        </w:rPr>
        <w:t>, el respectivo término de caducidad para su impugnación en sede judicial debe computarse con arreglo a lo dispuesto en la norma que se deja transcrita. Así, dado que la publicación del acto enjuiciado se produjo el 11 de julio de 2014, la fecha inicial del conteo se ubica al día siguiente, esto es, el 12 de julio de 2014, por lo que los cuatro meses de caducidad se habrían de cumplir el 12 de noviembre de 2014.</w:t>
      </w:r>
    </w:p>
    <w:p w14:paraId="630D55CF" w14:textId="77777777" w:rsidR="00FB42CA" w:rsidRPr="008E399A" w:rsidRDefault="00FB42CA" w:rsidP="00FB42CA">
      <w:pPr>
        <w:tabs>
          <w:tab w:val="left" w:pos="7797"/>
        </w:tabs>
        <w:ind w:right="-1"/>
        <w:rPr>
          <w:rFonts w:cs="Arial"/>
          <w:lang w:val="es-MX"/>
        </w:rPr>
      </w:pPr>
    </w:p>
    <w:p w14:paraId="11A1CF2D" w14:textId="77777777" w:rsidR="00FB42CA" w:rsidRPr="008E399A" w:rsidRDefault="00FB42CA" w:rsidP="00FB42CA">
      <w:pPr>
        <w:rPr>
          <w:rFonts w:cs="Arial"/>
          <w:lang w:val="es-ES_tradnl"/>
        </w:rPr>
      </w:pPr>
      <w:r w:rsidRPr="008E399A">
        <w:rPr>
          <w:rFonts w:cs="Arial"/>
          <w:lang w:val="es-ES_tradnl"/>
        </w:rPr>
        <w:t>En este punto, es imperativo señalar que el 30 de octubre de 2014, faltando trece días para vencerse el plazo, la parte actora presentó solicitud de conciliación extrajudicial ante la Procuraduría 137 Judicial II para Asuntos Administrativos</w:t>
      </w:r>
      <w:r w:rsidRPr="008E399A">
        <w:rPr>
          <w:rStyle w:val="Refdenotaalpie"/>
          <w:rFonts w:cs="Arial"/>
          <w:lang w:val="es-ES_tradnl"/>
        </w:rPr>
        <w:footnoteReference w:id="11"/>
      </w:r>
      <w:r w:rsidRPr="008E399A">
        <w:rPr>
          <w:rFonts w:cs="Arial"/>
          <w:lang w:val="es-ES_tradnl"/>
        </w:rPr>
        <w:t>, trámite que culminó el 5 de diciembre del mismo año</w:t>
      </w:r>
      <w:r w:rsidRPr="008E399A">
        <w:rPr>
          <w:rStyle w:val="Refdenotaalpie"/>
          <w:rFonts w:cs="Arial"/>
          <w:lang w:val="es-ES_tradnl"/>
        </w:rPr>
        <w:footnoteReference w:id="12"/>
      </w:r>
      <w:r w:rsidRPr="008E399A">
        <w:rPr>
          <w:rFonts w:cs="Arial"/>
          <w:lang w:val="es-ES_tradnl"/>
        </w:rPr>
        <w:t>, tras expedirse la constancia en la cual se daba cuenta de que la audiencia se declaró fallida por ausencia de ánimo conciliatorio</w:t>
      </w:r>
      <w:r w:rsidRPr="008E399A">
        <w:rPr>
          <w:rFonts w:cs="Arial"/>
          <w:vertAlign w:val="superscript"/>
          <w:lang w:val="es-ES_tradnl"/>
        </w:rPr>
        <w:footnoteReference w:id="13"/>
      </w:r>
      <w:r w:rsidRPr="008E399A">
        <w:rPr>
          <w:rFonts w:cs="Arial"/>
          <w:lang w:val="es-ES_tradnl"/>
        </w:rPr>
        <w:t>.  A partir del día siguiente se reanudaron los trece días restantes para completar los cuatro meses, los cuales vencían el 18 de diciembre de 2014; sin embargo, según informó el Tribunal Administrativo de Cundinamarca</w:t>
      </w:r>
      <w:r w:rsidRPr="008E399A">
        <w:rPr>
          <w:rStyle w:val="Refdenotaalpie"/>
          <w:rFonts w:cs="Arial"/>
          <w:lang w:val="es-ES_tradnl"/>
        </w:rPr>
        <w:footnoteReference w:id="14"/>
      </w:r>
      <w:r w:rsidRPr="008E399A">
        <w:rPr>
          <w:rFonts w:cs="Arial"/>
          <w:lang w:val="es-ES_tradnl"/>
        </w:rPr>
        <w:t xml:space="preserve">, </w:t>
      </w:r>
      <w:r w:rsidRPr="008E399A">
        <w:rPr>
          <w:rFonts w:cs="Arial"/>
          <w:lang w:val="es-ES_tradnl"/>
        </w:rPr>
        <w:lastRenderedPageBreak/>
        <w:t>para esa fecha esa Corporación se encontraba en cese de actividades por paro judicial hasta el 13 de enero de 2015, día en que reiniciaron labores.</w:t>
      </w:r>
    </w:p>
    <w:p w14:paraId="0795B72F" w14:textId="77777777" w:rsidR="00FB42CA" w:rsidRPr="008E399A" w:rsidRDefault="00FB42CA" w:rsidP="00FB42CA">
      <w:pPr>
        <w:rPr>
          <w:rFonts w:cs="Arial"/>
          <w:lang w:val="es-ES_tradnl"/>
        </w:rPr>
      </w:pPr>
    </w:p>
    <w:p w14:paraId="15A144A4" w14:textId="77777777" w:rsidR="00FB42CA" w:rsidRPr="008E399A" w:rsidRDefault="00FB42CA" w:rsidP="00FB42CA">
      <w:pPr>
        <w:rPr>
          <w:rFonts w:cs="Arial"/>
          <w:lang w:val="es-ES_tradnl"/>
        </w:rPr>
      </w:pPr>
      <w:r w:rsidRPr="008E399A">
        <w:rPr>
          <w:rFonts w:cs="Arial"/>
          <w:lang w:val="es-ES_tradnl"/>
        </w:rPr>
        <w:t xml:space="preserve">Habida cuenta de que la demanda se interpuso el 13 de enero de 2015, se concluye que su ejercicio para pretender la nulidad del acto precontractual fue oportuno. </w:t>
      </w:r>
    </w:p>
    <w:p w14:paraId="66D314C1" w14:textId="77777777" w:rsidR="00FB42CA" w:rsidRPr="008E399A" w:rsidRDefault="00FB42CA" w:rsidP="00FB42CA">
      <w:pPr>
        <w:rPr>
          <w:rFonts w:cs="Arial"/>
          <w:lang w:val="es-ES_tradnl"/>
        </w:rPr>
      </w:pPr>
    </w:p>
    <w:p w14:paraId="4AD00D66" w14:textId="77777777" w:rsidR="00FB42CA" w:rsidRPr="008E399A" w:rsidRDefault="00FB42CA" w:rsidP="00FB42CA">
      <w:pPr>
        <w:pStyle w:val="Textonotapie"/>
        <w:rPr>
          <w:rFonts w:cs="Arial"/>
          <w:i/>
          <w:sz w:val="24"/>
          <w:szCs w:val="24"/>
        </w:rPr>
      </w:pPr>
      <w:r w:rsidRPr="008E399A">
        <w:rPr>
          <w:rFonts w:cs="Arial"/>
          <w:sz w:val="24"/>
          <w:szCs w:val="24"/>
          <w:lang w:val="es-ES_tradnl"/>
        </w:rPr>
        <w:t>En relación con la pretensión de nulidad absoluta del Contrato No. 164, también fue acatado el término previsto en el literal j) del artículo 164 del C.P.A.C.A, con apego al cual “</w:t>
      </w:r>
      <w:r w:rsidRPr="008E399A">
        <w:rPr>
          <w:rFonts w:cs="Arial"/>
          <w:i/>
          <w:sz w:val="24"/>
          <w:szCs w:val="24"/>
        </w:rPr>
        <w:t>Cuando se pretenda la nulidad absoluta o relativa del contrato, el término para demandar será de dos (2) años que se empezarán a contar desde el día siguiente al de su perfeccionamiento…”</w:t>
      </w:r>
      <w:r w:rsidRPr="008E399A">
        <w:rPr>
          <w:rFonts w:cs="Arial"/>
          <w:sz w:val="24"/>
          <w:szCs w:val="24"/>
          <w:lang w:val="es-ES_tradnl"/>
        </w:rPr>
        <w:t>, toda vez que, para la fecha en que se radicó la demanda, no habían trascurrido los dos años contados desde el día siguiente a su suscripción, lo cual tuvo lugar el 17 de julio de 2014</w:t>
      </w:r>
      <w:r w:rsidRPr="008E399A">
        <w:rPr>
          <w:rStyle w:val="Refdenotaalpie"/>
          <w:rFonts w:cs="Arial"/>
          <w:sz w:val="24"/>
          <w:szCs w:val="24"/>
          <w:lang w:val="es-ES_tradnl"/>
        </w:rPr>
        <w:footnoteReference w:id="15"/>
      </w:r>
      <w:r w:rsidRPr="008E399A">
        <w:rPr>
          <w:rFonts w:cs="Arial"/>
          <w:sz w:val="24"/>
          <w:szCs w:val="24"/>
          <w:lang w:val="es-ES_tradnl"/>
        </w:rPr>
        <w:t xml:space="preserve">. </w:t>
      </w:r>
    </w:p>
    <w:p w14:paraId="2A9EE15D" w14:textId="77777777" w:rsidR="00FB42CA" w:rsidRPr="008E399A" w:rsidRDefault="00FB42CA" w:rsidP="00FB42CA">
      <w:pPr>
        <w:rPr>
          <w:rFonts w:cs="Arial"/>
          <w:b/>
        </w:rPr>
      </w:pPr>
    </w:p>
    <w:p w14:paraId="2C38886D" w14:textId="77777777" w:rsidR="00FB42CA" w:rsidRPr="008E399A" w:rsidRDefault="00FB42CA" w:rsidP="00FB42CA">
      <w:pPr>
        <w:rPr>
          <w:rFonts w:cs="Arial"/>
        </w:rPr>
      </w:pPr>
      <w:r w:rsidRPr="008E399A">
        <w:rPr>
          <w:rFonts w:cs="Arial"/>
          <w:b/>
        </w:rPr>
        <w:t>3.- Legitimación en la causa</w:t>
      </w:r>
      <w:r w:rsidRPr="008E399A">
        <w:rPr>
          <w:rFonts w:cs="Arial"/>
        </w:rPr>
        <w:t xml:space="preserve"> </w:t>
      </w:r>
    </w:p>
    <w:p w14:paraId="0FD676B2" w14:textId="77777777" w:rsidR="00FB42CA" w:rsidRPr="008E399A" w:rsidRDefault="00FB42CA" w:rsidP="00FB42CA">
      <w:pPr>
        <w:rPr>
          <w:rFonts w:cs="Arial"/>
        </w:rPr>
      </w:pPr>
    </w:p>
    <w:p w14:paraId="31944DE0" w14:textId="77777777" w:rsidR="00FB42CA" w:rsidRPr="008E399A" w:rsidRDefault="00FB42CA" w:rsidP="00FB42CA">
      <w:pPr>
        <w:rPr>
          <w:rFonts w:cs="Arial"/>
        </w:rPr>
      </w:pPr>
      <w:r w:rsidRPr="008E399A">
        <w:rPr>
          <w:rFonts w:cs="Arial"/>
        </w:rPr>
        <w:t>Le asiste legitimación en la causa por activa a la sociedad Jahv Mcgregor S.A. para integrar el extremo demandante, en consideración a que, después de participar en el Concurso de Méritos No. 003 de 2014, no resultó favorecida con el acto de adjudicación de cuya legalidad se ocupa la Sala en esta oportunidad.</w:t>
      </w:r>
    </w:p>
    <w:p w14:paraId="217C6198" w14:textId="77777777" w:rsidR="00FB42CA" w:rsidRPr="008E399A" w:rsidRDefault="00FB42CA" w:rsidP="00FB42CA">
      <w:pPr>
        <w:rPr>
          <w:rFonts w:cs="Arial"/>
        </w:rPr>
      </w:pPr>
    </w:p>
    <w:p w14:paraId="3BB8C82E" w14:textId="77777777" w:rsidR="00FB42CA" w:rsidRPr="008E399A" w:rsidRDefault="00FB42CA" w:rsidP="00FB42CA">
      <w:pPr>
        <w:rPr>
          <w:rFonts w:cs="Arial"/>
          <w:lang w:val="es-CO"/>
        </w:rPr>
      </w:pPr>
      <w:r w:rsidRPr="008E399A">
        <w:rPr>
          <w:rFonts w:cs="Arial"/>
        </w:rPr>
        <w:t>Igualmente, halla la Sala legitimada en la causa por pasiva a</w:t>
      </w:r>
      <w:r w:rsidRPr="008E399A">
        <w:rPr>
          <w:rFonts w:cs="Arial"/>
          <w:lang w:val="es-MX"/>
        </w:rPr>
        <w:t xml:space="preserve"> la Autoridad Nacional </w:t>
      </w:r>
      <w:r w:rsidRPr="008E399A">
        <w:rPr>
          <w:rFonts w:cs="Arial"/>
          <w:lang w:val="es-CO"/>
        </w:rPr>
        <w:t xml:space="preserve"> de Televisión ANTV, en atención a que, en su calidad de entidad pre-contratante dentro del procedimiento de selección No. 003 de 2014, fue la que expidió el acto administrativo impugnado y suscribió el acuerdo que tuvo allí su génesis.</w:t>
      </w:r>
    </w:p>
    <w:p w14:paraId="3AE45CE3" w14:textId="77777777" w:rsidR="00FB42CA" w:rsidRPr="008E399A" w:rsidRDefault="00FB42CA" w:rsidP="00FB42CA">
      <w:pPr>
        <w:rPr>
          <w:rFonts w:cs="Arial"/>
          <w:lang w:val="es-CO"/>
        </w:rPr>
      </w:pPr>
    </w:p>
    <w:p w14:paraId="65CC3193" w14:textId="77777777" w:rsidR="00FB42CA" w:rsidRPr="008E399A" w:rsidRDefault="00FB42CA" w:rsidP="00FB42CA">
      <w:pPr>
        <w:ind w:right="-1"/>
        <w:rPr>
          <w:rFonts w:cs="Arial"/>
          <w:lang w:val="es-CO"/>
        </w:rPr>
      </w:pPr>
      <w:r w:rsidRPr="008E399A">
        <w:rPr>
          <w:rFonts w:cs="Arial"/>
          <w:lang w:val="es-CO"/>
        </w:rPr>
        <w:t>Por último,</w:t>
      </w:r>
      <w:r w:rsidRPr="008E399A">
        <w:rPr>
          <w:rFonts w:cs="Arial"/>
        </w:rPr>
        <w:t xml:space="preserve"> el consorcio Interventoría Concesión TV </w:t>
      </w:r>
      <w:r w:rsidRPr="008E399A">
        <w:rPr>
          <w:rFonts w:cs="Arial"/>
          <w:lang w:val="es-CO"/>
        </w:rPr>
        <w:t xml:space="preserve">se encuentra legitimado en la causa por pasiva, </w:t>
      </w:r>
      <w:r w:rsidRPr="008E399A">
        <w:rPr>
          <w:rFonts w:cs="Arial"/>
          <w:bCs/>
        </w:rPr>
        <w:t>como tercero con interés en el resultado del proceso</w:t>
      </w:r>
      <w:r w:rsidRPr="008E399A">
        <w:rPr>
          <w:rFonts w:cs="Arial"/>
          <w:lang w:val="es-CO"/>
        </w:rPr>
        <w:t xml:space="preserve">, en calidad </w:t>
      </w:r>
      <w:r w:rsidRPr="008E399A">
        <w:rPr>
          <w:rFonts w:cs="Arial"/>
          <w:lang w:val="es-CO"/>
        </w:rPr>
        <w:lastRenderedPageBreak/>
        <w:t>de favorecido con el Concurso de Méritos No. 003 de 2014, adjudicado mediante el acto acusado de nulidad y como contratista del negocio cuya nulidad se pretende.</w:t>
      </w:r>
    </w:p>
    <w:p w14:paraId="6596CEAF" w14:textId="77777777" w:rsidR="00FB42CA" w:rsidRPr="008E399A" w:rsidRDefault="00FB42CA" w:rsidP="00FB42CA">
      <w:pPr>
        <w:ind w:right="-1"/>
        <w:rPr>
          <w:rFonts w:cs="Arial"/>
        </w:rPr>
      </w:pPr>
    </w:p>
    <w:p w14:paraId="6583FA32" w14:textId="77777777" w:rsidR="00FB42CA" w:rsidRPr="008E399A" w:rsidRDefault="00FB42CA" w:rsidP="00FB42CA">
      <w:pPr>
        <w:ind w:right="-1"/>
        <w:rPr>
          <w:rFonts w:cs="Arial"/>
          <w:b/>
        </w:rPr>
      </w:pPr>
      <w:r w:rsidRPr="008E399A">
        <w:rPr>
          <w:rFonts w:cs="Arial"/>
          <w:b/>
        </w:rPr>
        <w:t>4. El régimen jurídico que informó el Concurso de Méritos No. 003 de 2014 adelantado por la ANTV</w:t>
      </w:r>
    </w:p>
    <w:p w14:paraId="13223C37" w14:textId="77777777" w:rsidR="00FB42CA" w:rsidRPr="008E399A" w:rsidRDefault="00FB42CA" w:rsidP="00FB42CA">
      <w:pPr>
        <w:ind w:right="-1"/>
        <w:rPr>
          <w:rFonts w:cs="Arial"/>
          <w:b/>
        </w:rPr>
      </w:pPr>
    </w:p>
    <w:p w14:paraId="236CBA9C" w14:textId="77777777" w:rsidR="00FB42CA" w:rsidRPr="008E399A" w:rsidRDefault="00FB42CA" w:rsidP="00FB42CA">
      <w:pPr>
        <w:ind w:right="-1"/>
        <w:rPr>
          <w:rFonts w:cs="Arial"/>
        </w:rPr>
      </w:pPr>
      <w:r w:rsidRPr="008E399A">
        <w:rPr>
          <w:rFonts w:cs="Arial"/>
        </w:rPr>
        <w:t>La Sala observa que el Concurso de Méritos No. 003 de 2014 que dio origen al acto y al contrato acusados de nulidad fue adelantado por la Autoridad Nacional de Televisión, entidad creada por la Ley 1507 de 2012, por la cual “</w:t>
      </w:r>
      <w:r w:rsidRPr="008E399A">
        <w:rPr>
          <w:rFonts w:cs="Arial"/>
          <w:i/>
        </w:rPr>
        <w:t>se establece la distribución de competencias entre las entidades del Estado en materia de televisión</w:t>
      </w:r>
      <w:r w:rsidRPr="008E399A">
        <w:rPr>
          <w:rFonts w:cs="Arial"/>
        </w:rPr>
        <w:t>…”, como una autoridad nacional estatal de carácter especial.</w:t>
      </w:r>
    </w:p>
    <w:p w14:paraId="1D3FC818" w14:textId="77777777" w:rsidR="00FB42CA" w:rsidRPr="008E399A" w:rsidRDefault="00FB42CA" w:rsidP="00FB42CA">
      <w:pPr>
        <w:ind w:right="-1"/>
        <w:rPr>
          <w:rFonts w:cs="Arial"/>
        </w:rPr>
      </w:pPr>
    </w:p>
    <w:p w14:paraId="32EBF6E5" w14:textId="77777777" w:rsidR="00FB42CA" w:rsidRPr="008E399A" w:rsidRDefault="00FB42CA" w:rsidP="00FB42CA">
      <w:pPr>
        <w:ind w:right="-1"/>
        <w:rPr>
          <w:rFonts w:cs="Arial"/>
        </w:rPr>
      </w:pPr>
      <w:r w:rsidRPr="008E399A">
        <w:rPr>
          <w:rFonts w:cs="Arial"/>
        </w:rPr>
        <w:t>Igualmente, en el parágrafo del artículo primero de esta normativa se dispuso que, para efectos de sus actos y contratos, esa autoridad se asimilaría a un establecimiento público del orden nacional.</w:t>
      </w:r>
    </w:p>
    <w:p w14:paraId="216B6F2F" w14:textId="77777777" w:rsidR="00FB42CA" w:rsidRPr="008E399A" w:rsidRDefault="00FB42CA" w:rsidP="00FB42CA">
      <w:pPr>
        <w:ind w:right="-1"/>
        <w:rPr>
          <w:rFonts w:cs="Arial"/>
        </w:rPr>
      </w:pPr>
    </w:p>
    <w:p w14:paraId="31951632" w14:textId="77777777" w:rsidR="00FB42CA" w:rsidRPr="008E399A" w:rsidRDefault="00FB42CA" w:rsidP="00FB42CA">
      <w:pPr>
        <w:ind w:right="-1"/>
        <w:rPr>
          <w:rFonts w:cs="Arial"/>
        </w:rPr>
      </w:pPr>
      <w:r w:rsidRPr="008E399A">
        <w:rPr>
          <w:rFonts w:cs="Arial"/>
        </w:rPr>
        <w:t>Como consecuencia, en acopio de lo dispuesto en el artículo primero en concordancia con lo señalado en el literal a) del ordinal 1 del artículo 2 de la Ley 80 de 1993, al hallarse la actividad contractual de los establecimientos públicos sometida el amparo de las disposiciones del Estatuto de Contratación Estatal, resulta propio colegir que el concurso de méritos que centra la atención de la Sala fue regido por las disposiciones contenidas en la Ley 80 de 1993</w:t>
      </w:r>
      <w:r w:rsidRPr="008E399A">
        <w:rPr>
          <w:rStyle w:val="Refdenotaalpie"/>
          <w:rFonts w:cs="Arial"/>
        </w:rPr>
        <w:footnoteReference w:id="16"/>
      </w:r>
      <w:r w:rsidRPr="008E399A">
        <w:rPr>
          <w:rFonts w:cs="Arial"/>
        </w:rPr>
        <w:t xml:space="preserve">, como por todas aquellas que la modificaron y la reglamentaron vigentes al momento en que se dio apertura a la convocatoria. </w:t>
      </w:r>
    </w:p>
    <w:p w14:paraId="3F8157E0" w14:textId="77777777" w:rsidR="00FB42CA" w:rsidRPr="008E399A" w:rsidRDefault="00FB42CA" w:rsidP="00FB42CA">
      <w:pPr>
        <w:ind w:right="-1"/>
        <w:rPr>
          <w:rFonts w:cs="Arial"/>
          <w:color w:val="666666"/>
          <w:shd w:val="clear" w:color="auto" w:fill="FFFFFF"/>
        </w:rPr>
      </w:pPr>
    </w:p>
    <w:p w14:paraId="601512CD" w14:textId="77777777" w:rsidR="00FB42CA" w:rsidRPr="008E399A" w:rsidRDefault="00FB42CA" w:rsidP="00FB42CA">
      <w:pPr>
        <w:ind w:right="-1"/>
        <w:rPr>
          <w:rFonts w:cs="Arial"/>
          <w:b/>
        </w:rPr>
      </w:pPr>
      <w:r w:rsidRPr="008E399A">
        <w:rPr>
          <w:rFonts w:cs="Arial"/>
          <w:b/>
        </w:rPr>
        <w:t>5.- Los límites del recurso de apelación</w:t>
      </w:r>
    </w:p>
    <w:p w14:paraId="237F27ED" w14:textId="77777777" w:rsidR="00FB42CA" w:rsidRPr="008E399A" w:rsidRDefault="00FB42CA" w:rsidP="00FB42CA">
      <w:pPr>
        <w:widowControl w:val="0"/>
        <w:autoSpaceDE w:val="0"/>
        <w:autoSpaceDN w:val="0"/>
        <w:adjustRightInd w:val="0"/>
        <w:rPr>
          <w:rFonts w:cs="Arial"/>
          <w:b/>
          <w:lang w:val="es-MX"/>
        </w:rPr>
      </w:pPr>
    </w:p>
    <w:p w14:paraId="602B86B0"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La censura estriba en cuestionar el otorgamiento de puntaje a la propuesta presentada por el consorcio Interventoría Concesión TV, en lo concerniente a la experiencia del director general ofrecido como parte del equipo de trabajo y la habilitación de la experiencia específica del asesor jurídico presentado como personal del proyecto.</w:t>
      </w:r>
    </w:p>
    <w:p w14:paraId="00DAF4BE" w14:textId="77777777" w:rsidR="00FB42CA" w:rsidRPr="008E399A" w:rsidRDefault="00FB42CA" w:rsidP="00FB42CA">
      <w:pPr>
        <w:widowControl w:val="0"/>
        <w:autoSpaceDE w:val="0"/>
        <w:autoSpaceDN w:val="0"/>
        <w:adjustRightInd w:val="0"/>
        <w:rPr>
          <w:rFonts w:cs="Arial"/>
          <w:lang w:val="es-MX"/>
        </w:rPr>
      </w:pPr>
    </w:p>
    <w:p w14:paraId="6AEBD897"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lastRenderedPageBreak/>
        <w:t xml:space="preserve">En este punto, la Sala precisa que, aun cuando en el escrito de la impugnación la parte actora igualmente elevó cargos de reproche en relación con el puntaje otorgado al asesor administrativo y financiero ofrecido como parte del equipo de trabajo presentado por el consorcio adjudicatario, se evidencia que dicho planeamiento constituye un argumento nuevo que se adiciona en esta instancia a los discutidos en la </w:t>
      </w:r>
      <w:r w:rsidRPr="008E399A">
        <w:rPr>
          <w:rFonts w:cs="Arial"/>
          <w:i/>
          <w:lang w:val="es-MX"/>
        </w:rPr>
        <w:t>causa petendi</w:t>
      </w:r>
      <w:r w:rsidRPr="008E399A">
        <w:rPr>
          <w:rFonts w:cs="Arial"/>
          <w:lang w:val="es-MX"/>
        </w:rPr>
        <w:t xml:space="preserve"> plasmada en la demanda, situación que, en acatamiento del principio de congruencia y en procura de la observancia del derecho de defensa de la entidad demandada, se impone a la improcedencia de su análisis de fondo por esta Corporación.</w:t>
      </w:r>
    </w:p>
    <w:p w14:paraId="74E10234" w14:textId="77777777" w:rsidR="00FB42CA" w:rsidRPr="008E399A" w:rsidRDefault="00FB42CA" w:rsidP="00FB42CA">
      <w:pPr>
        <w:widowControl w:val="0"/>
        <w:autoSpaceDE w:val="0"/>
        <w:autoSpaceDN w:val="0"/>
        <w:adjustRightInd w:val="0"/>
        <w:rPr>
          <w:rFonts w:cs="Arial"/>
          <w:lang w:val="es-MX"/>
        </w:rPr>
      </w:pPr>
    </w:p>
    <w:p w14:paraId="771E791A"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Bajo esta precisión, el estudio de la apelación se restringirá a los puntos relacionados con la valoración de la experiencia del equipo de trabajo ofrecido por el consorcio Interventoría Concesión TV, exclusivamente al director general y al asesor jurídico. </w:t>
      </w:r>
    </w:p>
    <w:p w14:paraId="6718D028" w14:textId="77777777" w:rsidR="00FB42CA" w:rsidRPr="008E399A" w:rsidRDefault="00FB42CA" w:rsidP="00FB42CA">
      <w:pPr>
        <w:widowControl w:val="0"/>
        <w:autoSpaceDE w:val="0"/>
        <w:autoSpaceDN w:val="0"/>
        <w:adjustRightInd w:val="0"/>
        <w:rPr>
          <w:rFonts w:cs="Arial"/>
          <w:lang w:val="es-MX"/>
        </w:rPr>
      </w:pPr>
    </w:p>
    <w:p w14:paraId="3DF67628" w14:textId="77777777" w:rsidR="00FB42CA" w:rsidRPr="008E399A" w:rsidRDefault="00FB42CA" w:rsidP="00FB42CA">
      <w:pPr>
        <w:widowControl w:val="0"/>
        <w:autoSpaceDE w:val="0"/>
        <w:autoSpaceDN w:val="0"/>
        <w:adjustRightInd w:val="0"/>
        <w:rPr>
          <w:rFonts w:cs="Arial"/>
          <w:b/>
          <w:lang w:val="es-MX"/>
        </w:rPr>
      </w:pPr>
      <w:r w:rsidRPr="008E399A">
        <w:rPr>
          <w:rFonts w:cs="Arial"/>
          <w:b/>
          <w:lang w:val="es-MX"/>
        </w:rPr>
        <w:t>5.1. Las exigencias previstas en el pliego de condiciones para habilitar y otorgar puntaje al equipo de trabajo ofrecido por los oferentes</w:t>
      </w:r>
    </w:p>
    <w:p w14:paraId="331FBE64" w14:textId="77777777" w:rsidR="00FB42CA" w:rsidRPr="008E399A" w:rsidRDefault="00FB42CA" w:rsidP="00FB42CA">
      <w:pPr>
        <w:widowControl w:val="0"/>
        <w:autoSpaceDE w:val="0"/>
        <w:autoSpaceDN w:val="0"/>
        <w:adjustRightInd w:val="0"/>
        <w:rPr>
          <w:rFonts w:cs="Arial"/>
          <w:b/>
          <w:lang w:val="es-MX"/>
        </w:rPr>
      </w:pPr>
    </w:p>
    <w:p w14:paraId="63D7BE58"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Para abordar el examen de los argumentos de la apelación, la Sala partirá de realizar un breve recuento sobre lo probado en relación con los aspectos que interesan al debate.</w:t>
      </w:r>
    </w:p>
    <w:p w14:paraId="66AE22C3" w14:textId="77777777" w:rsidR="00FB42CA" w:rsidRPr="008E399A" w:rsidRDefault="00FB42CA" w:rsidP="00FB42CA">
      <w:pPr>
        <w:widowControl w:val="0"/>
        <w:autoSpaceDE w:val="0"/>
        <w:autoSpaceDN w:val="0"/>
        <w:adjustRightInd w:val="0"/>
        <w:rPr>
          <w:rFonts w:cs="Arial"/>
          <w:b/>
          <w:lang w:val="es-MX"/>
        </w:rPr>
      </w:pPr>
    </w:p>
    <w:p w14:paraId="41788927"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Sobre el particular está acreditado que mediante de Resolución No. 1729 del 3 de junio de 2014, la Autoridad Nacional de Televisión ordenó la apertura del Concurso de Méritos Abierto No. CM-003 de 2014, cuyo objeto consistió en (se transcribe literal, incluso con posibles errores):</w:t>
      </w:r>
    </w:p>
    <w:p w14:paraId="48326FBD" w14:textId="77777777" w:rsidR="00FB42CA" w:rsidRPr="008E399A" w:rsidRDefault="00FB42CA" w:rsidP="00FB42CA">
      <w:pPr>
        <w:widowControl w:val="0"/>
        <w:autoSpaceDE w:val="0"/>
        <w:autoSpaceDN w:val="0"/>
        <w:adjustRightInd w:val="0"/>
        <w:rPr>
          <w:rFonts w:cs="Arial"/>
          <w:lang w:val="es-MX"/>
        </w:rPr>
      </w:pPr>
    </w:p>
    <w:p w14:paraId="51F585F1" w14:textId="77777777" w:rsidR="00FB42CA" w:rsidRPr="008E399A" w:rsidRDefault="00FB42CA" w:rsidP="00FB42CA">
      <w:pPr>
        <w:widowControl w:val="0"/>
        <w:autoSpaceDE w:val="0"/>
        <w:autoSpaceDN w:val="0"/>
        <w:adjustRightInd w:val="0"/>
        <w:spacing w:line="276" w:lineRule="auto"/>
        <w:ind w:left="567" w:right="567"/>
        <w:rPr>
          <w:rFonts w:cs="Arial"/>
          <w:lang w:val="es-MX"/>
        </w:rPr>
      </w:pPr>
      <w:r w:rsidRPr="008E399A">
        <w:rPr>
          <w:rFonts w:cs="Arial"/>
          <w:lang w:val="es-MX"/>
        </w:rPr>
        <w:t>“</w:t>
      </w:r>
      <w:r w:rsidRPr="008E399A">
        <w:rPr>
          <w:rFonts w:cs="Arial"/>
          <w:i/>
          <w:lang w:val="es-MX"/>
        </w:rPr>
        <w:t xml:space="preserve">la selección del proponente que se obliga a realizar la interventoría integral, en aspectos jurídicos, financieros, administrativos y de programación y contenidos, a los contratos de concesión de Televisión Abierta Nacional Privada No. 136 y 140 de 1997, de los Contratos de Concesión de Espacios de Televisión en el canal uno No. 085, 086 y 087 de 2003y del Contrato de Concesión de Televisión Local con Ánimo de Lucro No. 167 de 1998, de los Contratos de Concesión de Televisión por suscripción No. 005 de 1986, 012 de 1987, 057 de 1996, 106, 107, 110, 112, 113, 115, 117, 119, 120, 122, 132, 134, 141, 142, 143, 147, 148, 149, 151, 152, 155, 160, 163, 167, 172, 177, 181, 182, 183, 186, 189, 190, 200, 201, 203, 204, 205 y 206 de 1999, 017 de 2007, 013, 054, 055, 065, 066, 067, 068, 069, 070, 071, 072, 073, 074, 075, 076, 077, 078, </w:t>
      </w:r>
      <w:r w:rsidRPr="008E399A">
        <w:rPr>
          <w:rFonts w:cs="Arial"/>
          <w:i/>
          <w:lang w:val="es-MX"/>
        </w:rPr>
        <w:lastRenderedPageBreak/>
        <w:t>079 y 080 de 2012…</w:t>
      </w:r>
      <w:r w:rsidRPr="008E399A">
        <w:rPr>
          <w:rFonts w:cs="Arial"/>
          <w:lang w:val="es-MX"/>
        </w:rPr>
        <w:t>”</w:t>
      </w:r>
      <w:r w:rsidRPr="008E399A">
        <w:rPr>
          <w:rStyle w:val="Refdenotaalpie"/>
          <w:rFonts w:cs="Arial"/>
          <w:lang w:val="es-MX"/>
        </w:rPr>
        <w:footnoteReference w:id="17"/>
      </w:r>
      <w:r w:rsidRPr="008E399A">
        <w:rPr>
          <w:rFonts w:cs="Arial"/>
          <w:lang w:val="es-MX"/>
        </w:rPr>
        <w:t>.</w:t>
      </w:r>
    </w:p>
    <w:p w14:paraId="5320580D" w14:textId="77777777" w:rsidR="00FB42CA" w:rsidRPr="008E399A" w:rsidRDefault="00FB42CA" w:rsidP="00FB42CA">
      <w:pPr>
        <w:widowControl w:val="0"/>
        <w:autoSpaceDE w:val="0"/>
        <w:autoSpaceDN w:val="0"/>
        <w:adjustRightInd w:val="0"/>
        <w:rPr>
          <w:rFonts w:cs="Arial"/>
          <w:lang w:val="es-MX"/>
        </w:rPr>
      </w:pPr>
    </w:p>
    <w:p w14:paraId="1ADEBAF9"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Del pliego de condiciones que gobernó el Concurso de Méritos Abierto No. 03 del 2014, se destaca el siguiente clausulado</w:t>
      </w:r>
      <w:r w:rsidRPr="008E399A">
        <w:rPr>
          <w:rStyle w:val="Refdenotaalpie"/>
          <w:rFonts w:cs="Arial"/>
          <w:lang w:val="es-MX"/>
        </w:rPr>
        <w:footnoteReference w:id="18"/>
      </w:r>
      <w:r w:rsidRPr="008E399A">
        <w:rPr>
          <w:rFonts w:cs="Arial"/>
          <w:lang w:val="es-MX"/>
        </w:rPr>
        <w:t xml:space="preserve">: </w:t>
      </w:r>
    </w:p>
    <w:p w14:paraId="6DB7AA89" w14:textId="77777777" w:rsidR="00FB42CA" w:rsidRPr="008E399A" w:rsidRDefault="00FB42CA" w:rsidP="00FB42CA">
      <w:pPr>
        <w:widowControl w:val="0"/>
        <w:autoSpaceDE w:val="0"/>
        <w:autoSpaceDN w:val="0"/>
        <w:adjustRightInd w:val="0"/>
        <w:rPr>
          <w:rFonts w:cs="Arial"/>
          <w:lang w:val="es-MX"/>
        </w:rPr>
      </w:pPr>
    </w:p>
    <w:p w14:paraId="3A163FEF"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En el numeral 4 se establecieron como requisitos habilitantes para participar en el concurso de méritos: la capacidad jurídica, la capacidad financiera, la capacidad organizacional y la capacidad técnica.</w:t>
      </w:r>
    </w:p>
    <w:p w14:paraId="029F788A" w14:textId="77777777" w:rsidR="00FB42CA" w:rsidRPr="008E399A" w:rsidRDefault="00FB42CA" w:rsidP="00FB42CA">
      <w:pPr>
        <w:widowControl w:val="0"/>
        <w:autoSpaceDE w:val="0"/>
        <w:autoSpaceDN w:val="0"/>
        <w:adjustRightInd w:val="0"/>
        <w:rPr>
          <w:rFonts w:cs="Arial"/>
          <w:lang w:val="es-MX"/>
        </w:rPr>
      </w:pPr>
    </w:p>
    <w:p w14:paraId="3ADFE8E6"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Frente al contenido de la propuesta técnica se estableció (se transcribe de forma literal, incluso con posibles errores):</w:t>
      </w:r>
    </w:p>
    <w:p w14:paraId="3AF6A430" w14:textId="77777777" w:rsidR="00FB42CA" w:rsidRPr="008E399A" w:rsidRDefault="00FB42CA" w:rsidP="00FB42CA">
      <w:pPr>
        <w:widowControl w:val="0"/>
        <w:autoSpaceDE w:val="0"/>
        <w:autoSpaceDN w:val="0"/>
        <w:adjustRightInd w:val="0"/>
        <w:rPr>
          <w:rFonts w:cs="Arial"/>
          <w:lang w:val="es-MX"/>
        </w:rPr>
      </w:pPr>
    </w:p>
    <w:p w14:paraId="23058DBF"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 “4.4.3. La propuesta técnica deberá contener: </w:t>
      </w:r>
    </w:p>
    <w:p w14:paraId="271B96B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68723C34" w14:textId="77777777" w:rsidR="00FB42CA" w:rsidRPr="008E399A" w:rsidRDefault="00FB42CA" w:rsidP="00FB42CA">
      <w:pPr>
        <w:pStyle w:val="Prrafodelista"/>
        <w:widowControl w:val="0"/>
        <w:numPr>
          <w:ilvl w:val="0"/>
          <w:numId w:val="35"/>
        </w:numPr>
        <w:autoSpaceDE w:val="0"/>
        <w:autoSpaceDN w:val="0"/>
        <w:adjustRightInd w:val="0"/>
        <w:spacing w:line="276" w:lineRule="auto"/>
        <w:ind w:left="567" w:right="567"/>
        <w:rPr>
          <w:rFonts w:cs="Arial"/>
          <w:i/>
          <w:lang w:val="es-MX"/>
        </w:rPr>
      </w:pPr>
      <w:r w:rsidRPr="008E399A">
        <w:rPr>
          <w:rFonts w:cs="Arial"/>
          <w:i/>
          <w:lang w:val="es-MX"/>
        </w:rPr>
        <w:t>El plan de trabajo propuesto, que desarrolle los objetivos, alcance y actividades que son objeto de esta contratación.</w:t>
      </w:r>
    </w:p>
    <w:p w14:paraId="017C808B" w14:textId="77777777" w:rsidR="00FB42CA" w:rsidRPr="008E399A" w:rsidRDefault="00FB42CA" w:rsidP="00FB42CA">
      <w:pPr>
        <w:pStyle w:val="Prrafodelista"/>
        <w:widowControl w:val="0"/>
        <w:numPr>
          <w:ilvl w:val="0"/>
          <w:numId w:val="35"/>
        </w:numPr>
        <w:autoSpaceDE w:val="0"/>
        <w:autoSpaceDN w:val="0"/>
        <w:adjustRightInd w:val="0"/>
        <w:spacing w:line="276" w:lineRule="auto"/>
        <w:ind w:left="567" w:right="567"/>
        <w:rPr>
          <w:rFonts w:cs="Arial"/>
          <w:i/>
          <w:lang w:val="es-MX"/>
        </w:rPr>
      </w:pPr>
      <w:r w:rsidRPr="008E399A">
        <w:rPr>
          <w:rFonts w:cs="Arial"/>
          <w:i/>
          <w:lang w:val="es-MX"/>
        </w:rPr>
        <w:t>El organigrama sobre la organización propuesta para ejecutar el contrato.</w:t>
      </w:r>
    </w:p>
    <w:p w14:paraId="205C0C52" w14:textId="77777777" w:rsidR="00FB42CA" w:rsidRPr="008E399A" w:rsidRDefault="00FB42CA" w:rsidP="00FB42CA">
      <w:pPr>
        <w:pStyle w:val="Prrafodelista"/>
        <w:widowControl w:val="0"/>
        <w:numPr>
          <w:ilvl w:val="0"/>
          <w:numId w:val="35"/>
        </w:numPr>
        <w:autoSpaceDE w:val="0"/>
        <w:autoSpaceDN w:val="0"/>
        <w:adjustRightInd w:val="0"/>
        <w:spacing w:line="276" w:lineRule="auto"/>
        <w:ind w:left="567" w:right="567"/>
        <w:rPr>
          <w:rFonts w:cs="Arial"/>
          <w:i/>
          <w:lang w:val="es-MX"/>
        </w:rPr>
      </w:pPr>
      <w:r w:rsidRPr="008E399A">
        <w:rPr>
          <w:rFonts w:cs="Arial"/>
          <w:i/>
          <w:lang w:val="es-MX"/>
        </w:rPr>
        <w:t>El cronograma para la ejecución del contrato, el cual deberá reflejar el cumplimiento de los objetivos y actividades descritas en el pliego.</w:t>
      </w:r>
    </w:p>
    <w:p w14:paraId="065165A2" w14:textId="77777777" w:rsidR="00FB42CA" w:rsidRPr="008E399A" w:rsidRDefault="00FB42CA" w:rsidP="00FB42CA">
      <w:pPr>
        <w:pStyle w:val="Prrafodelista"/>
        <w:widowControl w:val="0"/>
        <w:numPr>
          <w:ilvl w:val="0"/>
          <w:numId w:val="35"/>
        </w:numPr>
        <w:autoSpaceDE w:val="0"/>
        <w:autoSpaceDN w:val="0"/>
        <w:adjustRightInd w:val="0"/>
        <w:spacing w:line="276" w:lineRule="auto"/>
        <w:ind w:left="567" w:right="567"/>
        <w:rPr>
          <w:rFonts w:cs="Arial"/>
          <w:i/>
          <w:lang w:val="es-MX"/>
        </w:rPr>
      </w:pPr>
      <w:r w:rsidRPr="008E399A">
        <w:rPr>
          <w:rFonts w:cs="Arial"/>
          <w:i/>
          <w:lang w:val="es-MX"/>
        </w:rPr>
        <w:t xml:space="preserve">Relación del personal ofrecido que es objeto de calificación, así como del personal adicional que se empleará para la ejecución del contrato, indicado los roles y actividades que desarrollará en la ejecución contractual. </w:t>
      </w:r>
    </w:p>
    <w:p w14:paraId="7BB4AD8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D72535F"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“4.4.4. EQUIPO DE TRABAJO:</w:t>
      </w:r>
    </w:p>
    <w:p w14:paraId="05F549A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2E16E229" w14:textId="77777777" w:rsidR="00FB42CA" w:rsidRPr="008E399A" w:rsidRDefault="00FB42CA" w:rsidP="00FB42CA">
      <w:pPr>
        <w:widowControl w:val="0"/>
        <w:autoSpaceDE w:val="0"/>
        <w:autoSpaceDN w:val="0"/>
        <w:adjustRightInd w:val="0"/>
        <w:spacing w:line="276" w:lineRule="auto"/>
        <w:ind w:left="567" w:right="567"/>
        <w:rPr>
          <w:rFonts w:cs="Arial"/>
          <w:lang w:val="es-MX"/>
        </w:rPr>
      </w:pPr>
      <w:r w:rsidRPr="008E399A">
        <w:rPr>
          <w:rFonts w:cs="Arial"/>
          <w:i/>
          <w:u w:val="single"/>
          <w:lang w:val="es-MX"/>
        </w:rPr>
        <w:t>“El siguiente es el personal básico que debe ofrecer el proponente y sobre el cual se realizará la verificación de requisitos habilitantes y la asignación de puntaje, según se indica más adelante</w:t>
      </w:r>
      <w:r w:rsidRPr="008E399A">
        <w:rPr>
          <w:rFonts w:cs="Arial"/>
          <w:i/>
          <w:lang w:val="es-MX"/>
        </w:rPr>
        <w:t xml:space="preserve">, el cual deberá relacionarse en los formatos del anexo 5 – Equipo de Trabajo del Pliego de Condiciones </w:t>
      </w:r>
      <w:r w:rsidRPr="008E399A">
        <w:rPr>
          <w:rFonts w:cs="Arial"/>
          <w:lang w:val="es-MX"/>
        </w:rPr>
        <w:t>(destaca la Sala).</w:t>
      </w:r>
    </w:p>
    <w:p w14:paraId="3EEF009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1F71F9C"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“En todo caso, será responsabilidad del oferente contar con el personal adicional que requiera para ejecutar satisfactoria y oportunamente el contrato.</w:t>
      </w:r>
    </w:p>
    <w:p w14:paraId="308493B1" w14:textId="77777777" w:rsidR="00FB42CA" w:rsidRPr="008E399A" w:rsidRDefault="00FB42CA" w:rsidP="00FB42CA">
      <w:pPr>
        <w:widowControl w:val="0"/>
        <w:autoSpaceDE w:val="0"/>
        <w:autoSpaceDN w:val="0"/>
        <w:adjustRightInd w:val="0"/>
        <w:rPr>
          <w:rFonts w:cs="Arial"/>
          <w:lang w:val="es-MX"/>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4462"/>
        <w:gridCol w:w="1626"/>
        <w:gridCol w:w="350"/>
      </w:tblGrid>
      <w:tr w:rsidR="00FB42CA" w:rsidRPr="008E399A" w14:paraId="631B6ED4" w14:textId="77777777" w:rsidTr="00F208D4">
        <w:tc>
          <w:tcPr>
            <w:tcW w:w="1365" w:type="dxa"/>
            <w:shd w:val="clear" w:color="auto" w:fill="auto"/>
          </w:tcPr>
          <w:p w14:paraId="6922B60E"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CARGO</w:t>
            </w:r>
          </w:p>
        </w:tc>
        <w:tc>
          <w:tcPr>
            <w:tcW w:w="0" w:type="auto"/>
            <w:shd w:val="clear" w:color="auto" w:fill="auto"/>
          </w:tcPr>
          <w:p w14:paraId="73AF1F3C"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 xml:space="preserve">DIRECTOR GENERAL </w:t>
            </w:r>
          </w:p>
        </w:tc>
        <w:tc>
          <w:tcPr>
            <w:tcW w:w="0" w:type="auto"/>
            <w:shd w:val="clear" w:color="auto" w:fill="auto"/>
          </w:tcPr>
          <w:p w14:paraId="204E2D12"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 xml:space="preserve">No. DE PERSONAS </w:t>
            </w:r>
          </w:p>
        </w:tc>
        <w:tc>
          <w:tcPr>
            <w:tcW w:w="0" w:type="auto"/>
            <w:shd w:val="clear" w:color="auto" w:fill="auto"/>
          </w:tcPr>
          <w:p w14:paraId="7223D125"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1</w:t>
            </w:r>
          </w:p>
        </w:tc>
      </w:tr>
      <w:tr w:rsidR="00FB42CA" w:rsidRPr="008E399A" w14:paraId="23359504" w14:textId="77777777" w:rsidTr="00F208D4">
        <w:tc>
          <w:tcPr>
            <w:tcW w:w="1365" w:type="dxa"/>
            <w:shd w:val="clear" w:color="auto" w:fill="auto"/>
          </w:tcPr>
          <w:p w14:paraId="2E77948E"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DEDICACIÓN </w:t>
            </w:r>
          </w:p>
        </w:tc>
        <w:tc>
          <w:tcPr>
            <w:tcW w:w="0" w:type="auto"/>
            <w:shd w:val="clear" w:color="auto" w:fill="auto"/>
          </w:tcPr>
          <w:p w14:paraId="3C8AE7C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Permanente y durante todo el tiempo de la ejecución del contrato.</w:t>
            </w:r>
          </w:p>
        </w:tc>
        <w:tc>
          <w:tcPr>
            <w:tcW w:w="0" w:type="auto"/>
            <w:shd w:val="clear" w:color="auto" w:fill="auto"/>
          </w:tcPr>
          <w:p w14:paraId="37E97443"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121DFB12"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1C1DD9B6" w14:textId="77777777" w:rsidTr="00F208D4">
        <w:tc>
          <w:tcPr>
            <w:tcW w:w="1365" w:type="dxa"/>
            <w:shd w:val="clear" w:color="auto" w:fill="auto"/>
          </w:tcPr>
          <w:p w14:paraId="59A28C2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PROFESIÓN </w:t>
            </w:r>
          </w:p>
        </w:tc>
        <w:tc>
          <w:tcPr>
            <w:tcW w:w="0" w:type="auto"/>
            <w:shd w:val="clear" w:color="auto" w:fill="auto"/>
          </w:tcPr>
          <w:p w14:paraId="4BE68104"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Economista o Ingeniero o </w:t>
            </w:r>
            <w:r w:rsidRPr="008E399A">
              <w:rPr>
                <w:rFonts w:cs="Arial"/>
                <w:i/>
                <w:lang w:val="es-MX"/>
              </w:rPr>
              <w:lastRenderedPageBreak/>
              <w:t>Administración de Empresas o Abogado o Profesional Financiero o Contador Público o Administrador Público</w:t>
            </w:r>
          </w:p>
        </w:tc>
        <w:tc>
          <w:tcPr>
            <w:tcW w:w="0" w:type="auto"/>
            <w:shd w:val="clear" w:color="auto" w:fill="auto"/>
          </w:tcPr>
          <w:p w14:paraId="64F044AD"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708792F6"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593D9C10" w14:textId="77777777" w:rsidTr="00F208D4">
        <w:tc>
          <w:tcPr>
            <w:tcW w:w="1365" w:type="dxa"/>
            <w:shd w:val="clear" w:color="auto" w:fill="auto"/>
          </w:tcPr>
          <w:p w14:paraId="4035D5C9"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lastRenderedPageBreak/>
              <w:t xml:space="preserve">POSGRADO </w:t>
            </w:r>
          </w:p>
        </w:tc>
        <w:tc>
          <w:tcPr>
            <w:tcW w:w="0" w:type="auto"/>
            <w:shd w:val="clear" w:color="auto" w:fill="auto"/>
          </w:tcPr>
          <w:p w14:paraId="6C576279"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Especialización o maestría en Ciencias Económicas, Jurídicas, de Administración, de Auditoria, de Gestión de Calidad, particularmente: </w:t>
            </w:r>
          </w:p>
          <w:p w14:paraId="6F69AFB8"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 xml:space="preserve">Administración (de empresas, de negocios o pública) o </w:t>
            </w:r>
          </w:p>
          <w:p w14:paraId="4487181C"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Economía o</w:t>
            </w:r>
          </w:p>
          <w:p w14:paraId="0DB4C42A"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Gerencia de proyectos o</w:t>
            </w:r>
          </w:p>
          <w:p w14:paraId="6AD63880"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 xml:space="preserve">Alta gerencia o </w:t>
            </w:r>
          </w:p>
          <w:p w14:paraId="37427E03"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 xml:space="preserve">Contratación estatal o </w:t>
            </w:r>
          </w:p>
          <w:p w14:paraId="0CE90825"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Derecho de Telecomunicaciones o administrativo o público o</w:t>
            </w:r>
          </w:p>
          <w:p w14:paraId="62EA18C1"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Servicios públicos o</w:t>
            </w:r>
          </w:p>
          <w:p w14:paraId="49C48F7C"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Finanzas públicas</w:t>
            </w:r>
          </w:p>
          <w:p w14:paraId="14C16D0E"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 xml:space="preserve">Telecomunicaciones </w:t>
            </w:r>
          </w:p>
          <w:p w14:paraId="5B815FDE"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Teleinformática</w:t>
            </w:r>
          </w:p>
          <w:p w14:paraId="0D47A0D1"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Ciencias de la Información y las comunicaciones</w:t>
            </w:r>
          </w:p>
          <w:p w14:paraId="0FF12B40"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 xml:space="preserve">Derecho Financiero </w:t>
            </w:r>
          </w:p>
          <w:p w14:paraId="3214E801" w14:textId="77777777" w:rsidR="00FB42CA" w:rsidRPr="008E399A" w:rsidRDefault="00FB42CA" w:rsidP="00F208D4">
            <w:pPr>
              <w:pStyle w:val="Prrafodelista"/>
              <w:widowControl w:val="0"/>
              <w:numPr>
                <w:ilvl w:val="0"/>
                <w:numId w:val="36"/>
              </w:numPr>
              <w:autoSpaceDE w:val="0"/>
              <w:autoSpaceDN w:val="0"/>
              <w:adjustRightInd w:val="0"/>
              <w:spacing w:line="240" w:lineRule="auto"/>
              <w:ind w:left="0"/>
              <w:rPr>
                <w:rFonts w:cs="Arial"/>
                <w:i/>
                <w:lang w:val="es-MX"/>
              </w:rPr>
            </w:pPr>
            <w:r w:rsidRPr="008E399A">
              <w:rPr>
                <w:rFonts w:cs="Arial"/>
                <w:i/>
                <w:lang w:val="es-MX"/>
              </w:rPr>
              <w:t xml:space="preserve">Gestión Pública </w:t>
            </w:r>
          </w:p>
          <w:p w14:paraId="67153937"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3440DE6E"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37A1E792"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14D98591" w14:textId="77777777" w:rsidTr="00F208D4">
        <w:tc>
          <w:tcPr>
            <w:tcW w:w="1365" w:type="dxa"/>
            <w:shd w:val="clear" w:color="auto" w:fill="auto"/>
          </w:tcPr>
          <w:p w14:paraId="2B98EB5A"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EXPERIENCIA GENERAL MÍNIMA Y MÁXIMA (EN AÑOS)</w:t>
            </w:r>
          </w:p>
        </w:tc>
        <w:tc>
          <w:tcPr>
            <w:tcW w:w="0" w:type="auto"/>
            <w:shd w:val="clear" w:color="auto" w:fill="auto"/>
          </w:tcPr>
          <w:p w14:paraId="2489B7DC"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Mínimo 8 años en los últimos 12 años.</w:t>
            </w:r>
          </w:p>
        </w:tc>
        <w:tc>
          <w:tcPr>
            <w:tcW w:w="0" w:type="auto"/>
            <w:shd w:val="clear" w:color="auto" w:fill="auto"/>
          </w:tcPr>
          <w:p w14:paraId="525F366E"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29B80D0D"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77E6CC24" w14:textId="77777777" w:rsidTr="00F208D4">
        <w:tc>
          <w:tcPr>
            <w:tcW w:w="1365" w:type="dxa"/>
            <w:shd w:val="clear" w:color="auto" w:fill="auto"/>
          </w:tcPr>
          <w:p w14:paraId="77E5B6FB"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EXPERIENCIA ESPECIFICA </w:t>
            </w:r>
          </w:p>
        </w:tc>
        <w:tc>
          <w:tcPr>
            <w:tcW w:w="0" w:type="auto"/>
            <w:shd w:val="clear" w:color="auto" w:fill="auto"/>
          </w:tcPr>
          <w:p w14:paraId="42A9BAF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Haber participado en calidad de Director o Coordinador o Gerente o en cargos de dirección equivalentes, en:</w:t>
            </w:r>
          </w:p>
          <w:p w14:paraId="0475577E" w14:textId="77777777" w:rsidR="00FB42CA" w:rsidRPr="008E399A" w:rsidRDefault="00FB42CA" w:rsidP="00F208D4">
            <w:pPr>
              <w:widowControl w:val="0"/>
              <w:autoSpaceDE w:val="0"/>
              <w:autoSpaceDN w:val="0"/>
              <w:adjustRightInd w:val="0"/>
              <w:spacing w:line="240" w:lineRule="auto"/>
              <w:rPr>
                <w:rFonts w:cs="Arial"/>
                <w:i/>
                <w:lang w:val="es-MX"/>
              </w:rPr>
            </w:pPr>
          </w:p>
          <w:p w14:paraId="24AA2922" w14:textId="77777777" w:rsidR="00FB42CA" w:rsidRPr="008E399A" w:rsidRDefault="00FB42CA" w:rsidP="00F208D4">
            <w:pPr>
              <w:pStyle w:val="Prrafodelista"/>
              <w:widowControl w:val="0"/>
              <w:numPr>
                <w:ilvl w:val="0"/>
                <w:numId w:val="37"/>
              </w:numPr>
              <w:autoSpaceDE w:val="0"/>
              <w:autoSpaceDN w:val="0"/>
              <w:adjustRightInd w:val="0"/>
              <w:spacing w:line="240" w:lineRule="auto"/>
              <w:ind w:left="0"/>
              <w:rPr>
                <w:rFonts w:cs="Arial"/>
                <w:i/>
                <w:lang w:val="es-MX"/>
              </w:rPr>
            </w:pPr>
            <w:r w:rsidRPr="008E399A">
              <w:rPr>
                <w:rFonts w:cs="Arial"/>
                <w:i/>
                <w:lang w:val="es-MX"/>
              </w:rPr>
              <w:t>a). Mínimos tres (3) proyectos de consultoría o interventoría a proyectos o contratos estatales diferentes de obra pública, ejecutados en sectores en TIC, servicios públicos, entidades de control, superintendencias, proyectos de política pública; y</w:t>
            </w:r>
          </w:p>
          <w:p w14:paraId="2EF8C536" w14:textId="77777777" w:rsidR="00FB42CA" w:rsidRPr="008E399A" w:rsidRDefault="00FB42CA" w:rsidP="00F208D4">
            <w:pPr>
              <w:pStyle w:val="Prrafodelista"/>
              <w:widowControl w:val="0"/>
              <w:numPr>
                <w:ilvl w:val="0"/>
                <w:numId w:val="37"/>
              </w:numPr>
              <w:autoSpaceDE w:val="0"/>
              <w:autoSpaceDN w:val="0"/>
              <w:adjustRightInd w:val="0"/>
              <w:spacing w:line="240" w:lineRule="auto"/>
              <w:ind w:left="0"/>
              <w:rPr>
                <w:rFonts w:cs="Arial"/>
                <w:i/>
                <w:lang w:val="es-MX"/>
              </w:rPr>
            </w:pPr>
          </w:p>
          <w:p w14:paraId="18B26383" w14:textId="77777777" w:rsidR="00FB42CA" w:rsidRPr="008E399A" w:rsidRDefault="00FB42CA" w:rsidP="00F208D4">
            <w:pPr>
              <w:pStyle w:val="Prrafodelista"/>
              <w:widowControl w:val="0"/>
              <w:numPr>
                <w:ilvl w:val="0"/>
                <w:numId w:val="37"/>
              </w:numPr>
              <w:autoSpaceDE w:val="0"/>
              <w:autoSpaceDN w:val="0"/>
              <w:adjustRightInd w:val="0"/>
              <w:spacing w:line="240" w:lineRule="auto"/>
              <w:ind w:left="0"/>
              <w:rPr>
                <w:rFonts w:cs="Arial"/>
                <w:i/>
                <w:lang w:val="es-MX"/>
              </w:rPr>
            </w:pPr>
            <w:r w:rsidRPr="008E399A">
              <w:rPr>
                <w:rFonts w:cs="Arial"/>
                <w:i/>
                <w:lang w:val="es-MX"/>
              </w:rPr>
              <w:t>b). Haber ejercido cargos directivos en empresas de servicios públicos o entidades estatales, cuyas funciones involucran o en desarrollo de las cuales haya realizado interventoría a proyectos o contractos estatales diferentes de obra pública, por un período mínimo de tres (3) años.</w:t>
            </w:r>
          </w:p>
        </w:tc>
        <w:tc>
          <w:tcPr>
            <w:tcW w:w="0" w:type="auto"/>
            <w:shd w:val="clear" w:color="auto" w:fill="auto"/>
          </w:tcPr>
          <w:p w14:paraId="0EA06997"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3AFF86E5"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410ED7CD" w14:textId="77777777" w:rsidTr="00F208D4">
        <w:tc>
          <w:tcPr>
            <w:tcW w:w="1365" w:type="dxa"/>
            <w:shd w:val="clear" w:color="auto" w:fill="auto"/>
          </w:tcPr>
          <w:p w14:paraId="6C326FD2"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CARGO </w:t>
            </w:r>
          </w:p>
        </w:tc>
        <w:tc>
          <w:tcPr>
            <w:tcW w:w="0" w:type="auto"/>
            <w:shd w:val="clear" w:color="auto" w:fill="auto"/>
          </w:tcPr>
          <w:p w14:paraId="65F8B71C"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ASESOR FINANCIERO Y ADMINISTRATIVO </w:t>
            </w:r>
          </w:p>
        </w:tc>
        <w:tc>
          <w:tcPr>
            <w:tcW w:w="0" w:type="auto"/>
            <w:shd w:val="clear" w:color="auto" w:fill="auto"/>
          </w:tcPr>
          <w:p w14:paraId="119595B3"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1</w:t>
            </w:r>
          </w:p>
        </w:tc>
        <w:tc>
          <w:tcPr>
            <w:tcW w:w="0" w:type="auto"/>
            <w:shd w:val="clear" w:color="auto" w:fill="auto"/>
          </w:tcPr>
          <w:p w14:paraId="329CB66A"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52A4FC78" w14:textId="77777777" w:rsidTr="00F208D4">
        <w:tc>
          <w:tcPr>
            <w:tcW w:w="1365" w:type="dxa"/>
            <w:shd w:val="clear" w:color="auto" w:fill="auto"/>
          </w:tcPr>
          <w:p w14:paraId="71799E66"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DEDICACION </w:t>
            </w:r>
          </w:p>
        </w:tc>
        <w:tc>
          <w:tcPr>
            <w:tcW w:w="0" w:type="auto"/>
            <w:shd w:val="clear" w:color="auto" w:fill="auto"/>
          </w:tcPr>
          <w:p w14:paraId="61BEA178"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Permanente y durante todo el tiempo de la ejecución del contrato. </w:t>
            </w:r>
          </w:p>
        </w:tc>
        <w:tc>
          <w:tcPr>
            <w:tcW w:w="0" w:type="auto"/>
            <w:shd w:val="clear" w:color="auto" w:fill="auto"/>
          </w:tcPr>
          <w:p w14:paraId="69456084"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2594A5AF"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7F132F0D" w14:textId="77777777" w:rsidTr="00F208D4">
        <w:tc>
          <w:tcPr>
            <w:tcW w:w="1365" w:type="dxa"/>
            <w:shd w:val="clear" w:color="auto" w:fill="auto"/>
          </w:tcPr>
          <w:p w14:paraId="1E7675E4"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PROFESIÓN </w:t>
            </w:r>
          </w:p>
        </w:tc>
        <w:tc>
          <w:tcPr>
            <w:tcW w:w="0" w:type="auto"/>
            <w:shd w:val="clear" w:color="auto" w:fill="auto"/>
          </w:tcPr>
          <w:p w14:paraId="41956DB1"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Economista o Administrador de </w:t>
            </w:r>
            <w:r w:rsidRPr="008E399A">
              <w:rPr>
                <w:rFonts w:cs="Arial"/>
                <w:i/>
                <w:lang w:val="es-MX"/>
              </w:rPr>
              <w:lastRenderedPageBreak/>
              <w:t xml:space="preserve">Empresas o Ingeniero Financiero o Ingeniero Industrial o Profesional Financiero o Contador Público. </w:t>
            </w:r>
          </w:p>
        </w:tc>
        <w:tc>
          <w:tcPr>
            <w:tcW w:w="0" w:type="auto"/>
            <w:shd w:val="clear" w:color="auto" w:fill="auto"/>
          </w:tcPr>
          <w:p w14:paraId="1C9DEC2E"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717A621F"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5CB69564" w14:textId="77777777" w:rsidTr="00F208D4">
        <w:tc>
          <w:tcPr>
            <w:tcW w:w="1365" w:type="dxa"/>
            <w:shd w:val="clear" w:color="auto" w:fill="auto"/>
          </w:tcPr>
          <w:p w14:paraId="1E01063A"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lastRenderedPageBreak/>
              <w:t xml:space="preserve">POSGRADO </w:t>
            </w:r>
          </w:p>
        </w:tc>
        <w:tc>
          <w:tcPr>
            <w:tcW w:w="0" w:type="auto"/>
            <w:shd w:val="clear" w:color="auto" w:fill="auto"/>
          </w:tcPr>
          <w:p w14:paraId="2858A654"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Especialización o maestría en Ciencias Economista, Jurídicas, de Administración, o de Auditoría, de Gestión de Calidad, particularmente: </w:t>
            </w:r>
          </w:p>
          <w:p w14:paraId="6BF1B463" w14:textId="77777777" w:rsidR="00FB42CA" w:rsidRPr="008E399A" w:rsidRDefault="00FB42CA" w:rsidP="00F208D4">
            <w:pPr>
              <w:widowControl w:val="0"/>
              <w:autoSpaceDE w:val="0"/>
              <w:autoSpaceDN w:val="0"/>
              <w:adjustRightInd w:val="0"/>
              <w:spacing w:line="240" w:lineRule="auto"/>
              <w:rPr>
                <w:rFonts w:cs="Arial"/>
                <w:i/>
                <w:lang w:val="es-MX"/>
              </w:rPr>
            </w:pPr>
          </w:p>
          <w:p w14:paraId="32A22BEF"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 xml:space="preserve">Administración (de empresas, de negocios o pública) o </w:t>
            </w:r>
          </w:p>
          <w:p w14:paraId="127C2DF1"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Finanzas o</w:t>
            </w:r>
          </w:p>
          <w:p w14:paraId="40FB4048"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 xml:space="preserve">Gerencia de proyectos o </w:t>
            </w:r>
          </w:p>
          <w:p w14:paraId="01DDD9CF"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Gerencia financiera o</w:t>
            </w:r>
          </w:p>
          <w:p w14:paraId="36F990E6"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 xml:space="preserve">Ciencias financieras y de sistemas o </w:t>
            </w:r>
          </w:p>
          <w:p w14:paraId="1F3891F7"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 xml:space="preserve">Auditoría o </w:t>
            </w:r>
          </w:p>
          <w:p w14:paraId="58446302" w14:textId="77777777" w:rsidR="00FB42CA" w:rsidRPr="008E399A" w:rsidRDefault="00FB42CA" w:rsidP="00F208D4">
            <w:pPr>
              <w:pStyle w:val="Prrafodelista"/>
              <w:widowControl w:val="0"/>
              <w:numPr>
                <w:ilvl w:val="0"/>
                <w:numId w:val="38"/>
              </w:numPr>
              <w:autoSpaceDE w:val="0"/>
              <w:autoSpaceDN w:val="0"/>
              <w:adjustRightInd w:val="0"/>
              <w:spacing w:line="240" w:lineRule="auto"/>
              <w:ind w:left="0"/>
              <w:rPr>
                <w:rFonts w:cs="Arial"/>
                <w:i/>
                <w:lang w:val="es-MX"/>
              </w:rPr>
            </w:pPr>
            <w:r w:rsidRPr="008E399A">
              <w:rPr>
                <w:rFonts w:cs="Arial"/>
                <w:i/>
                <w:lang w:val="es-MX"/>
              </w:rPr>
              <w:t>Revisoría fiscal</w:t>
            </w:r>
          </w:p>
        </w:tc>
        <w:tc>
          <w:tcPr>
            <w:tcW w:w="0" w:type="auto"/>
            <w:shd w:val="clear" w:color="auto" w:fill="auto"/>
          </w:tcPr>
          <w:p w14:paraId="529718FF"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09A6BD3D"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684CF2F2" w14:textId="77777777" w:rsidTr="00F208D4">
        <w:tc>
          <w:tcPr>
            <w:tcW w:w="1365" w:type="dxa"/>
            <w:shd w:val="clear" w:color="auto" w:fill="auto"/>
          </w:tcPr>
          <w:p w14:paraId="638DFB1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EXPERIENCIA GENERAL MÍNIMA Y MAXIMA (EN AÑOS)</w:t>
            </w:r>
          </w:p>
        </w:tc>
        <w:tc>
          <w:tcPr>
            <w:tcW w:w="0" w:type="auto"/>
            <w:shd w:val="clear" w:color="auto" w:fill="auto"/>
          </w:tcPr>
          <w:p w14:paraId="58E57791" w14:textId="77777777" w:rsidR="00FB42CA" w:rsidRPr="008E399A" w:rsidRDefault="00FB42CA" w:rsidP="00F208D4">
            <w:pPr>
              <w:widowControl w:val="0"/>
              <w:autoSpaceDE w:val="0"/>
              <w:autoSpaceDN w:val="0"/>
              <w:adjustRightInd w:val="0"/>
              <w:spacing w:line="240" w:lineRule="auto"/>
              <w:rPr>
                <w:rFonts w:cs="Arial"/>
                <w:i/>
                <w:lang w:val="es-MX"/>
              </w:rPr>
            </w:pPr>
          </w:p>
          <w:p w14:paraId="7628DEF2"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Mínimo 5 años en los últimos 10 años. </w:t>
            </w:r>
          </w:p>
        </w:tc>
        <w:tc>
          <w:tcPr>
            <w:tcW w:w="0" w:type="auto"/>
            <w:shd w:val="clear" w:color="auto" w:fill="auto"/>
          </w:tcPr>
          <w:p w14:paraId="18FDF1FD"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613924FD"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1828B6AE" w14:textId="77777777" w:rsidTr="00F208D4">
        <w:trPr>
          <w:trHeight w:val="382"/>
        </w:trPr>
        <w:tc>
          <w:tcPr>
            <w:tcW w:w="1365" w:type="dxa"/>
            <w:shd w:val="clear" w:color="auto" w:fill="auto"/>
          </w:tcPr>
          <w:p w14:paraId="6B112379"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EXPERIENCIA ESPECÍFICA </w:t>
            </w:r>
          </w:p>
        </w:tc>
        <w:tc>
          <w:tcPr>
            <w:tcW w:w="0" w:type="auto"/>
            <w:shd w:val="clear" w:color="auto" w:fill="auto"/>
          </w:tcPr>
          <w:p w14:paraId="0B8AD8F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Haber participado en calidad de Director o Coordinador o Gerente o Asesor, Consultor en cargos equivalentes de acuerdo con las funciones ejercidas, en:</w:t>
            </w:r>
          </w:p>
          <w:p w14:paraId="68B12BF4" w14:textId="77777777" w:rsidR="00FB42CA" w:rsidRPr="008E399A" w:rsidRDefault="00FB42CA" w:rsidP="00F208D4">
            <w:pPr>
              <w:widowControl w:val="0"/>
              <w:autoSpaceDE w:val="0"/>
              <w:autoSpaceDN w:val="0"/>
              <w:adjustRightInd w:val="0"/>
              <w:spacing w:line="240" w:lineRule="auto"/>
              <w:rPr>
                <w:rFonts w:cs="Arial"/>
                <w:i/>
                <w:lang w:val="es-MX"/>
              </w:rPr>
            </w:pPr>
          </w:p>
          <w:p w14:paraId="6FF01564" w14:textId="77777777" w:rsidR="00FB42CA" w:rsidRPr="008E399A" w:rsidRDefault="00FB42CA" w:rsidP="00F208D4">
            <w:pPr>
              <w:pStyle w:val="Prrafodelista"/>
              <w:widowControl w:val="0"/>
              <w:numPr>
                <w:ilvl w:val="0"/>
                <w:numId w:val="39"/>
              </w:numPr>
              <w:autoSpaceDE w:val="0"/>
              <w:autoSpaceDN w:val="0"/>
              <w:adjustRightInd w:val="0"/>
              <w:spacing w:line="240" w:lineRule="auto"/>
              <w:ind w:left="0"/>
              <w:rPr>
                <w:rFonts w:cs="Arial"/>
                <w:i/>
                <w:lang w:val="es-MX"/>
              </w:rPr>
            </w:pPr>
            <w:r w:rsidRPr="008E399A">
              <w:rPr>
                <w:rFonts w:cs="Arial"/>
                <w:i/>
                <w:lang w:val="es-MX"/>
              </w:rPr>
              <w:t xml:space="preserve">Mínimo dos (2) proyectos de consultoría o interventoría diferentes a obra pública; y </w:t>
            </w:r>
          </w:p>
          <w:p w14:paraId="687190CA" w14:textId="77777777" w:rsidR="00FB42CA" w:rsidRPr="008E399A" w:rsidRDefault="00FB42CA" w:rsidP="00F208D4">
            <w:pPr>
              <w:pStyle w:val="Prrafodelista"/>
              <w:widowControl w:val="0"/>
              <w:numPr>
                <w:ilvl w:val="0"/>
                <w:numId w:val="39"/>
              </w:numPr>
              <w:autoSpaceDE w:val="0"/>
              <w:autoSpaceDN w:val="0"/>
              <w:adjustRightInd w:val="0"/>
              <w:spacing w:line="240" w:lineRule="auto"/>
              <w:ind w:left="0"/>
              <w:rPr>
                <w:rFonts w:cs="Arial"/>
                <w:i/>
                <w:lang w:val="es-MX"/>
              </w:rPr>
            </w:pPr>
            <w:r w:rsidRPr="008E399A">
              <w:rPr>
                <w:rFonts w:cs="Arial"/>
                <w:i/>
                <w:lang w:val="es-MX"/>
              </w:rPr>
              <w:t xml:space="preserve">Haber ejercido cargos de Director, Gerente, Coordinador, Asesor o profesional en empresas de servicios públicos o entidades estatales por un período mínimo de dos (2) años, cuyas funciones se hayan relacionado con el manejo administrativo o financiero de la empresa o entidad. </w:t>
            </w:r>
          </w:p>
        </w:tc>
        <w:tc>
          <w:tcPr>
            <w:tcW w:w="0" w:type="auto"/>
            <w:shd w:val="clear" w:color="auto" w:fill="auto"/>
          </w:tcPr>
          <w:p w14:paraId="67CC9223"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2E0F331D"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42571423" w14:textId="77777777" w:rsidTr="00F208D4">
        <w:trPr>
          <w:trHeight w:val="382"/>
        </w:trPr>
        <w:tc>
          <w:tcPr>
            <w:tcW w:w="1365" w:type="dxa"/>
            <w:shd w:val="clear" w:color="auto" w:fill="auto"/>
          </w:tcPr>
          <w:p w14:paraId="6CF4EE33"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 xml:space="preserve">CARGO </w:t>
            </w:r>
          </w:p>
        </w:tc>
        <w:tc>
          <w:tcPr>
            <w:tcW w:w="0" w:type="auto"/>
            <w:shd w:val="clear" w:color="auto" w:fill="auto"/>
          </w:tcPr>
          <w:p w14:paraId="0B631530"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 xml:space="preserve">ASESOR JURÍDICO </w:t>
            </w:r>
          </w:p>
        </w:tc>
        <w:tc>
          <w:tcPr>
            <w:tcW w:w="0" w:type="auto"/>
            <w:shd w:val="clear" w:color="auto" w:fill="auto"/>
          </w:tcPr>
          <w:p w14:paraId="7330933F"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1</w:t>
            </w:r>
          </w:p>
        </w:tc>
        <w:tc>
          <w:tcPr>
            <w:tcW w:w="0" w:type="auto"/>
            <w:shd w:val="clear" w:color="auto" w:fill="auto"/>
          </w:tcPr>
          <w:p w14:paraId="298DDCA9"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66249BE9" w14:textId="77777777" w:rsidTr="00F208D4">
        <w:trPr>
          <w:trHeight w:val="382"/>
        </w:trPr>
        <w:tc>
          <w:tcPr>
            <w:tcW w:w="1365" w:type="dxa"/>
            <w:shd w:val="clear" w:color="auto" w:fill="auto"/>
          </w:tcPr>
          <w:p w14:paraId="21AC6D44"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DEDICACIÓN </w:t>
            </w:r>
          </w:p>
        </w:tc>
        <w:tc>
          <w:tcPr>
            <w:tcW w:w="0" w:type="auto"/>
            <w:shd w:val="clear" w:color="auto" w:fill="auto"/>
          </w:tcPr>
          <w:p w14:paraId="6EE8886A"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Permanente y durante todo el tiempo de la ejecución del contrato.</w:t>
            </w:r>
          </w:p>
        </w:tc>
        <w:tc>
          <w:tcPr>
            <w:tcW w:w="0" w:type="auto"/>
            <w:shd w:val="clear" w:color="auto" w:fill="auto"/>
          </w:tcPr>
          <w:p w14:paraId="69C64BFB"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775DD796"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429182A3" w14:textId="77777777" w:rsidTr="00F208D4">
        <w:trPr>
          <w:trHeight w:val="382"/>
        </w:trPr>
        <w:tc>
          <w:tcPr>
            <w:tcW w:w="1365" w:type="dxa"/>
            <w:shd w:val="clear" w:color="auto" w:fill="auto"/>
          </w:tcPr>
          <w:p w14:paraId="257E34C1"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PROFESIÓN </w:t>
            </w:r>
          </w:p>
        </w:tc>
        <w:tc>
          <w:tcPr>
            <w:tcW w:w="0" w:type="auto"/>
            <w:shd w:val="clear" w:color="auto" w:fill="auto"/>
          </w:tcPr>
          <w:p w14:paraId="75BA944C"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Abogado </w:t>
            </w:r>
          </w:p>
        </w:tc>
        <w:tc>
          <w:tcPr>
            <w:tcW w:w="0" w:type="auto"/>
            <w:shd w:val="clear" w:color="auto" w:fill="auto"/>
          </w:tcPr>
          <w:p w14:paraId="11D80CB1"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286B9721"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7014253C" w14:textId="77777777" w:rsidTr="00F208D4">
        <w:trPr>
          <w:trHeight w:val="382"/>
        </w:trPr>
        <w:tc>
          <w:tcPr>
            <w:tcW w:w="1365" w:type="dxa"/>
            <w:shd w:val="clear" w:color="auto" w:fill="auto"/>
          </w:tcPr>
          <w:p w14:paraId="634D8326"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POSGRADO </w:t>
            </w:r>
          </w:p>
        </w:tc>
        <w:tc>
          <w:tcPr>
            <w:tcW w:w="0" w:type="auto"/>
            <w:shd w:val="clear" w:color="auto" w:fill="auto"/>
          </w:tcPr>
          <w:p w14:paraId="2FAD4423"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Especialización o maestría en: </w:t>
            </w:r>
          </w:p>
          <w:p w14:paraId="251BCBCE"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Derecho administrativo o</w:t>
            </w:r>
          </w:p>
          <w:p w14:paraId="3666768D"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 xml:space="preserve">Derecho contencioso administrativo o </w:t>
            </w:r>
          </w:p>
          <w:p w14:paraId="13DEDB76"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Derecho de telecomunicaciones o</w:t>
            </w:r>
          </w:p>
          <w:p w14:paraId="67960858"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Derecho público o</w:t>
            </w:r>
          </w:p>
          <w:p w14:paraId="01CB06F1"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Derecho público para la gestión administrativo o contratación estatal o</w:t>
            </w:r>
          </w:p>
          <w:p w14:paraId="64D5FF66"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 xml:space="preserve">Derecho contractual público o privado p </w:t>
            </w:r>
          </w:p>
          <w:p w14:paraId="00B3E093"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Gestión pública o</w:t>
            </w:r>
          </w:p>
          <w:p w14:paraId="0FBB1CD4"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Servicios públicos o</w:t>
            </w:r>
          </w:p>
          <w:p w14:paraId="184DB80D" w14:textId="77777777" w:rsidR="00FB42CA" w:rsidRPr="008E399A" w:rsidRDefault="00FB42CA" w:rsidP="00F208D4">
            <w:pPr>
              <w:pStyle w:val="Prrafodelista"/>
              <w:widowControl w:val="0"/>
              <w:numPr>
                <w:ilvl w:val="0"/>
                <w:numId w:val="40"/>
              </w:numPr>
              <w:autoSpaceDE w:val="0"/>
              <w:autoSpaceDN w:val="0"/>
              <w:adjustRightInd w:val="0"/>
              <w:spacing w:line="240" w:lineRule="auto"/>
              <w:ind w:left="0"/>
              <w:rPr>
                <w:rFonts w:cs="Arial"/>
                <w:i/>
                <w:lang w:val="es-MX"/>
              </w:rPr>
            </w:pPr>
            <w:r w:rsidRPr="008E399A">
              <w:rPr>
                <w:rFonts w:cs="Arial"/>
                <w:i/>
                <w:lang w:val="es-MX"/>
              </w:rPr>
              <w:t xml:space="preserve">Afines a las anteriores </w:t>
            </w:r>
          </w:p>
        </w:tc>
        <w:tc>
          <w:tcPr>
            <w:tcW w:w="0" w:type="auto"/>
            <w:shd w:val="clear" w:color="auto" w:fill="auto"/>
          </w:tcPr>
          <w:p w14:paraId="789A9131"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5CC0EB6A"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1933C711" w14:textId="77777777" w:rsidTr="00F208D4">
        <w:trPr>
          <w:trHeight w:val="382"/>
        </w:trPr>
        <w:tc>
          <w:tcPr>
            <w:tcW w:w="1365" w:type="dxa"/>
            <w:shd w:val="clear" w:color="auto" w:fill="auto"/>
          </w:tcPr>
          <w:p w14:paraId="4FE565EF"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EXPERIENCIA </w:t>
            </w:r>
            <w:r w:rsidRPr="008E399A">
              <w:rPr>
                <w:rFonts w:cs="Arial"/>
                <w:i/>
                <w:lang w:val="es-MX"/>
              </w:rPr>
              <w:lastRenderedPageBreak/>
              <w:t>GENERAL MÍNIMA Y MÁXIMA (EN AÑOS)</w:t>
            </w:r>
          </w:p>
        </w:tc>
        <w:tc>
          <w:tcPr>
            <w:tcW w:w="0" w:type="auto"/>
            <w:shd w:val="clear" w:color="auto" w:fill="auto"/>
          </w:tcPr>
          <w:p w14:paraId="2E845479" w14:textId="77777777" w:rsidR="00FB42CA" w:rsidRPr="008E399A" w:rsidRDefault="00FB42CA" w:rsidP="00F208D4">
            <w:pPr>
              <w:widowControl w:val="0"/>
              <w:autoSpaceDE w:val="0"/>
              <w:autoSpaceDN w:val="0"/>
              <w:adjustRightInd w:val="0"/>
              <w:spacing w:line="240" w:lineRule="auto"/>
              <w:rPr>
                <w:rFonts w:cs="Arial"/>
                <w:i/>
                <w:lang w:val="es-MX"/>
              </w:rPr>
            </w:pPr>
          </w:p>
          <w:p w14:paraId="25A966D9"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lastRenderedPageBreak/>
              <w:t>Mínimo 5 años en los últimos 10 años.</w:t>
            </w:r>
          </w:p>
        </w:tc>
        <w:tc>
          <w:tcPr>
            <w:tcW w:w="0" w:type="auto"/>
            <w:shd w:val="clear" w:color="auto" w:fill="auto"/>
          </w:tcPr>
          <w:p w14:paraId="6EDB51D8"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6EDFC274" w14:textId="77777777" w:rsidR="00FB42CA" w:rsidRPr="008E399A" w:rsidRDefault="00FB42CA" w:rsidP="00F208D4">
            <w:pPr>
              <w:widowControl w:val="0"/>
              <w:autoSpaceDE w:val="0"/>
              <w:autoSpaceDN w:val="0"/>
              <w:adjustRightInd w:val="0"/>
              <w:spacing w:line="240" w:lineRule="auto"/>
              <w:rPr>
                <w:rFonts w:cs="Arial"/>
                <w:i/>
                <w:lang w:val="es-MX"/>
              </w:rPr>
            </w:pPr>
          </w:p>
        </w:tc>
      </w:tr>
      <w:tr w:rsidR="00FB42CA" w:rsidRPr="008E399A" w14:paraId="665A5B3F" w14:textId="77777777" w:rsidTr="00F208D4">
        <w:trPr>
          <w:trHeight w:val="382"/>
        </w:trPr>
        <w:tc>
          <w:tcPr>
            <w:tcW w:w="1365" w:type="dxa"/>
            <w:shd w:val="clear" w:color="auto" w:fill="auto"/>
          </w:tcPr>
          <w:p w14:paraId="72689271"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lastRenderedPageBreak/>
              <w:t xml:space="preserve">EXPERIENCIA ESPECÍFICA </w:t>
            </w:r>
          </w:p>
        </w:tc>
        <w:tc>
          <w:tcPr>
            <w:tcW w:w="0" w:type="auto"/>
            <w:shd w:val="clear" w:color="auto" w:fill="auto"/>
          </w:tcPr>
          <w:p w14:paraId="30C6ECE4"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Haber participado en calidad de Director o Coordinador o Gerente o Asesor o Consultor o en cargos o roles equivalentes de acuerdo con las funciones ejercidas, en:</w:t>
            </w:r>
          </w:p>
          <w:p w14:paraId="5A7AB9C6" w14:textId="77777777" w:rsidR="00FB42CA" w:rsidRPr="008E399A" w:rsidRDefault="00FB42CA" w:rsidP="00F208D4">
            <w:pPr>
              <w:widowControl w:val="0"/>
              <w:autoSpaceDE w:val="0"/>
              <w:autoSpaceDN w:val="0"/>
              <w:adjustRightInd w:val="0"/>
              <w:spacing w:line="240" w:lineRule="auto"/>
              <w:rPr>
                <w:rFonts w:cs="Arial"/>
                <w:i/>
                <w:lang w:val="es-MX"/>
              </w:rPr>
            </w:pPr>
          </w:p>
          <w:p w14:paraId="3135BDB1" w14:textId="77777777" w:rsidR="00FB42CA" w:rsidRPr="008E399A" w:rsidRDefault="00FB42CA" w:rsidP="00F208D4">
            <w:pPr>
              <w:pStyle w:val="Prrafodelista"/>
              <w:widowControl w:val="0"/>
              <w:numPr>
                <w:ilvl w:val="0"/>
                <w:numId w:val="41"/>
              </w:numPr>
              <w:autoSpaceDE w:val="0"/>
              <w:autoSpaceDN w:val="0"/>
              <w:adjustRightInd w:val="0"/>
              <w:spacing w:line="240" w:lineRule="auto"/>
              <w:ind w:left="0"/>
              <w:rPr>
                <w:rFonts w:cs="Arial"/>
                <w:i/>
                <w:lang w:val="es-MX"/>
              </w:rPr>
            </w:pPr>
          </w:p>
          <w:p w14:paraId="75BB0431" w14:textId="77777777" w:rsidR="00FB42CA" w:rsidRPr="008E399A" w:rsidRDefault="00FB42CA" w:rsidP="00F208D4">
            <w:pPr>
              <w:pStyle w:val="Prrafodelista"/>
              <w:widowControl w:val="0"/>
              <w:autoSpaceDE w:val="0"/>
              <w:autoSpaceDN w:val="0"/>
              <w:adjustRightInd w:val="0"/>
              <w:spacing w:line="240" w:lineRule="auto"/>
              <w:ind w:left="0"/>
              <w:rPr>
                <w:rFonts w:cs="Arial"/>
                <w:i/>
                <w:lang w:val="es-MX"/>
              </w:rPr>
            </w:pPr>
            <w:r w:rsidRPr="008E399A">
              <w:rPr>
                <w:rFonts w:cs="Arial"/>
                <w:i/>
                <w:lang w:val="es-MX"/>
              </w:rPr>
              <w:t>a) Mínimo dos (2) proyectos de consultoría o interventoría, y</w:t>
            </w:r>
          </w:p>
          <w:p w14:paraId="229CC44A" w14:textId="77777777" w:rsidR="00FB42CA" w:rsidRPr="008E399A" w:rsidRDefault="00FB42CA" w:rsidP="00F208D4">
            <w:pPr>
              <w:pStyle w:val="Prrafodelista"/>
              <w:widowControl w:val="0"/>
              <w:numPr>
                <w:ilvl w:val="0"/>
                <w:numId w:val="41"/>
              </w:numPr>
              <w:autoSpaceDE w:val="0"/>
              <w:autoSpaceDN w:val="0"/>
              <w:adjustRightInd w:val="0"/>
              <w:spacing w:line="240" w:lineRule="auto"/>
              <w:ind w:left="0"/>
              <w:rPr>
                <w:rFonts w:cs="Arial"/>
                <w:i/>
                <w:lang w:val="es-MX"/>
              </w:rPr>
            </w:pPr>
          </w:p>
          <w:p w14:paraId="7323015A" w14:textId="77777777" w:rsidR="00FB42CA" w:rsidRPr="008E399A" w:rsidRDefault="00FB42CA" w:rsidP="00F208D4">
            <w:pPr>
              <w:pStyle w:val="Prrafodelista"/>
              <w:widowControl w:val="0"/>
              <w:numPr>
                <w:ilvl w:val="0"/>
                <w:numId w:val="41"/>
              </w:numPr>
              <w:autoSpaceDE w:val="0"/>
              <w:autoSpaceDN w:val="0"/>
              <w:adjustRightInd w:val="0"/>
              <w:spacing w:line="240" w:lineRule="auto"/>
              <w:ind w:left="0"/>
              <w:rPr>
                <w:rFonts w:cs="Arial"/>
                <w:i/>
                <w:lang w:val="es-MX"/>
              </w:rPr>
            </w:pPr>
            <w:r w:rsidRPr="008E399A">
              <w:rPr>
                <w:rFonts w:cs="Arial"/>
                <w:i/>
                <w:lang w:val="es-MX"/>
              </w:rPr>
              <w:t>b) Haber ejercido cargos de Director, Coordinador, Gerente, o haber sido Asesor en temas de contratación estatal o interventoría en empresas de servicios públicos o entidades estatales por un período mínimo de dos (2) años.</w:t>
            </w:r>
          </w:p>
        </w:tc>
        <w:tc>
          <w:tcPr>
            <w:tcW w:w="0" w:type="auto"/>
            <w:shd w:val="clear" w:color="auto" w:fill="auto"/>
          </w:tcPr>
          <w:p w14:paraId="20F7DBEC" w14:textId="77777777" w:rsidR="00FB42CA" w:rsidRPr="008E399A" w:rsidRDefault="00FB42CA" w:rsidP="00F208D4">
            <w:pPr>
              <w:widowControl w:val="0"/>
              <w:autoSpaceDE w:val="0"/>
              <w:autoSpaceDN w:val="0"/>
              <w:adjustRightInd w:val="0"/>
              <w:spacing w:line="240" w:lineRule="auto"/>
              <w:rPr>
                <w:rFonts w:cs="Arial"/>
                <w:i/>
                <w:lang w:val="es-MX"/>
              </w:rPr>
            </w:pPr>
          </w:p>
        </w:tc>
        <w:tc>
          <w:tcPr>
            <w:tcW w:w="0" w:type="auto"/>
            <w:shd w:val="clear" w:color="auto" w:fill="auto"/>
          </w:tcPr>
          <w:p w14:paraId="5FBCBAE2" w14:textId="77777777" w:rsidR="00FB42CA" w:rsidRPr="008E399A" w:rsidRDefault="00FB42CA" w:rsidP="00F208D4">
            <w:pPr>
              <w:widowControl w:val="0"/>
              <w:autoSpaceDE w:val="0"/>
              <w:autoSpaceDN w:val="0"/>
              <w:adjustRightInd w:val="0"/>
              <w:spacing w:line="240" w:lineRule="auto"/>
              <w:rPr>
                <w:rFonts w:cs="Arial"/>
                <w:i/>
                <w:lang w:val="es-MX"/>
              </w:rPr>
            </w:pPr>
          </w:p>
        </w:tc>
      </w:tr>
    </w:tbl>
    <w:p w14:paraId="336B7659" w14:textId="77777777" w:rsidR="00FB42CA" w:rsidRPr="008E399A" w:rsidRDefault="00FB42CA" w:rsidP="00FB42CA">
      <w:pPr>
        <w:widowControl w:val="0"/>
        <w:autoSpaceDE w:val="0"/>
        <w:autoSpaceDN w:val="0"/>
        <w:adjustRightInd w:val="0"/>
        <w:rPr>
          <w:rFonts w:cs="Arial"/>
          <w:i/>
          <w:lang w:val="es-MX"/>
        </w:rPr>
      </w:pPr>
    </w:p>
    <w:p w14:paraId="3CA814D7"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17345426"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“4.4.4.2. EXPERIENCIA DEL PERSONAL.</w:t>
      </w:r>
    </w:p>
    <w:p w14:paraId="4D8CF9B0"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453C482"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“Las experiencias certificadas y acreditadas deben corresponder en su totalidad a las relacionadas en los formatos 5 A y 5 C del Anexo No. 5 al pliego de condiciones.</w:t>
      </w:r>
    </w:p>
    <w:p w14:paraId="0CA67477"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68CEA66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“Para los efectos de contabilización tanto de la Experiencia General como Específica los años y los meses de experiencia profesional certificada se computarán como de 360 y 30 días, respectivamente. </w:t>
      </w:r>
    </w:p>
    <w:p w14:paraId="5AD2F84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6A8C092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“La certificación expedida por la entidad a la cual prestaron sus servicios debe identificar como mínimo los siguientes datos: </w:t>
      </w:r>
    </w:p>
    <w:p w14:paraId="1948B21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14E5767A" w14:textId="77777777" w:rsidR="00FB42CA" w:rsidRPr="008E399A" w:rsidRDefault="00FB42CA" w:rsidP="00FB42CA">
      <w:pPr>
        <w:pStyle w:val="Prrafodelista"/>
        <w:widowControl w:val="0"/>
        <w:numPr>
          <w:ilvl w:val="0"/>
          <w:numId w:val="42"/>
        </w:numPr>
        <w:autoSpaceDE w:val="0"/>
        <w:autoSpaceDN w:val="0"/>
        <w:adjustRightInd w:val="0"/>
        <w:spacing w:line="276" w:lineRule="auto"/>
        <w:ind w:left="567" w:right="567"/>
        <w:rPr>
          <w:rFonts w:cs="Arial"/>
          <w:i/>
          <w:lang w:val="es-MX"/>
        </w:rPr>
      </w:pPr>
      <w:r w:rsidRPr="008E399A">
        <w:rPr>
          <w:rFonts w:cs="Arial"/>
          <w:i/>
          <w:lang w:val="es-MX"/>
        </w:rPr>
        <w:t>Nombre de la persona natural o jurídica contratante.</w:t>
      </w:r>
    </w:p>
    <w:p w14:paraId="41FED06E" w14:textId="77777777" w:rsidR="00FB42CA" w:rsidRPr="008E399A" w:rsidRDefault="00FB42CA" w:rsidP="00FB42CA">
      <w:pPr>
        <w:pStyle w:val="Prrafodelista"/>
        <w:widowControl w:val="0"/>
        <w:numPr>
          <w:ilvl w:val="0"/>
          <w:numId w:val="42"/>
        </w:numPr>
        <w:autoSpaceDE w:val="0"/>
        <w:autoSpaceDN w:val="0"/>
        <w:adjustRightInd w:val="0"/>
        <w:spacing w:line="276" w:lineRule="auto"/>
        <w:ind w:left="567" w:right="567"/>
        <w:rPr>
          <w:rFonts w:cs="Arial"/>
          <w:i/>
          <w:lang w:val="es-MX"/>
        </w:rPr>
      </w:pPr>
      <w:r w:rsidRPr="008E399A">
        <w:rPr>
          <w:rFonts w:cs="Arial"/>
          <w:i/>
          <w:lang w:val="es-MX"/>
        </w:rPr>
        <w:t>Nombre del contratista o empleado.</w:t>
      </w:r>
    </w:p>
    <w:p w14:paraId="678EE8F2" w14:textId="77777777" w:rsidR="00FB42CA" w:rsidRPr="008E399A" w:rsidRDefault="00FB42CA" w:rsidP="00FB42CA">
      <w:pPr>
        <w:pStyle w:val="Prrafodelista"/>
        <w:widowControl w:val="0"/>
        <w:numPr>
          <w:ilvl w:val="0"/>
          <w:numId w:val="42"/>
        </w:numPr>
        <w:autoSpaceDE w:val="0"/>
        <w:autoSpaceDN w:val="0"/>
        <w:adjustRightInd w:val="0"/>
        <w:spacing w:line="276" w:lineRule="auto"/>
        <w:ind w:left="567" w:right="567"/>
        <w:rPr>
          <w:rFonts w:cs="Arial"/>
          <w:i/>
          <w:lang w:val="es-MX"/>
        </w:rPr>
      </w:pPr>
      <w:r w:rsidRPr="008E399A">
        <w:rPr>
          <w:rFonts w:cs="Arial"/>
          <w:i/>
          <w:lang w:val="es-MX"/>
        </w:rPr>
        <w:t>Numero de contrato o del acto administrativo de nombramiento.</w:t>
      </w:r>
    </w:p>
    <w:p w14:paraId="708B75B6" w14:textId="77777777" w:rsidR="00FB42CA" w:rsidRPr="008E399A" w:rsidRDefault="00FB42CA" w:rsidP="00FB42CA">
      <w:pPr>
        <w:pStyle w:val="Prrafodelista"/>
        <w:widowControl w:val="0"/>
        <w:numPr>
          <w:ilvl w:val="0"/>
          <w:numId w:val="42"/>
        </w:numPr>
        <w:autoSpaceDE w:val="0"/>
        <w:autoSpaceDN w:val="0"/>
        <w:adjustRightInd w:val="0"/>
        <w:spacing w:line="276" w:lineRule="auto"/>
        <w:ind w:left="567" w:right="567"/>
        <w:rPr>
          <w:rFonts w:cs="Arial"/>
          <w:i/>
          <w:lang w:val="es-MX"/>
        </w:rPr>
      </w:pPr>
      <w:r w:rsidRPr="008E399A">
        <w:rPr>
          <w:rFonts w:cs="Arial"/>
          <w:i/>
          <w:lang w:val="es-MX"/>
        </w:rPr>
        <w:t>Objeto del contrato o funciones /obligaciones y actividades específicas desarrolladas dentro del mismo.</w:t>
      </w:r>
    </w:p>
    <w:p w14:paraId="312FB33D" w14:textId="77777777" w:rsidR="00FB42CA" w:rsidRPr="008E399A" w:rsidRDefault="00FB42CA" w:rsidP="00FB42CA">
      <w:pPr>
        <w:pStyle w:val="Prrafodelista"/>
        <w:widowControl w:val="0"/>
        <w:numPr>
          <w:ilvl w:val="0"/>
          <w:numId w:val="42"/>
        </w:numPr>
        <w:autoSpaceDE w:val="0"/>
        <w:autoSpaceDN w:val="0"/>
        <w:adjustRightInd w:val="0"/>
        <w:spacing w:line="276" w:lineRule="auto"/>
        <w:ind w:left="567" w:right="567"/>
        <w:rPr>
          <w:rFonts w:cs="Arial"/>
          <w:i/>
          <w:lang w:val="es-MX"/>
        </w:rPr>
      </w:pPr>
      <w:r w:rsidRPr="008E399A">
        <w:rPr>
          <w:rFonts w:cs="Arial"/>
          <w:i/>
          <w:lang w:val="es-MX"/>
        </w:rPr>
        <w:t>Fecha de inicio del contrato (día, mes y año).</w:t>
      </w:r>
    </w:p>
    <w:p w14:paraId="0DFC0933" w14:textId="77777777" w:rsidR="00FB42CA" w:rsidRPr="008E399A" w:rsidRDefault="00FB42CA" w:rsidP="00FB42CA">
      <w:pPr>
        <w:pStyle w:val="Prrafodelista"/>
        <w:widowControl w:val="0"/>
        <w:numPr>
          <w:ilvl w:val="0"/>
          <w:numId w:val="42"/>
        </w:numPr>
        <w:autoSpaceDE w:val="0"/>
        <w:autoSpaceDN w:val="0"/>
        <w:adjustRightInd w:val="0"/>
        <w:spacing w:line="276" w:lineRule="auto"/>
        <w:ind w:left="567" w:right="567"/>
        <w:rPr>
          <w:rFonts w:cs="Arial"/>
          <w:i/>
          <w:lang w:val="es-MX"/>
        </w:rPr>
      </w:pPr>
      <w:r w:rsidRPr="008E399A">
        <w:rPr>
          <w:rFonts w:cs="Arial"/>
          <w:i/>
          <w:lang w:val="es-MX"/>
        </w:rPr>
        <w:t>Fecha de terminación (día, mes y año).</w:t>
      </w:r>
    </w:p>
    <w:p w14:paraId="18F99B6F"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ACCA3C0"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57B2DFF4" w14:textId="77777777" w:rsidR="00FB42CA" w:rsidRPr="008E399A" w:rsidRDefault="00FB42CA" w:rsidP="00FB42CA">
      <w:pPr>
        <w:widowControl w:val="0"/>
        <w:autoSpaceDE w:val="0"/>
        <w:autoSpaceDN w:val="0"/>
        <w:adjustRightInd w:val="0"/>
        <w:rPr>
          <w:rFonts w:cs="Arial"/>
          <w:lang w:val="es-MX"/>
        </w:rPr>
      </w:pPr>
    </w:p>
    <w:p w14:paraId="0446805E"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Como factores de evaluación de las propuestas, se introdujeron los siguientes (se transcribe de forma literal, incluso con posibles errores):</w:t>
      </w:r>
    </w:p>
    <w:p w14:paraId="1FB738C5" w14:textId="77777777" w:rsidR="00FB42CA" w:rsidRPr="008E399A" w:rsidRDefault="00FB42CA" w:rsidP="00FB42CA">
      <w:pPr>
        <w:widowControl w:val="0"/>
        <w:autoSpaceDE w:val="0"/>
        <w:autoSpaceDN w:val="0"/>
        <w:adjustRightInd w:val="0"/>
        <w:rPr>
          <w:rFonts w:cs="Arial"/>
          <w:lang w:val="es-MX"/>
        </w:rPr>
      </w:pPr>
    </w:p>
    <w:tbl>
      <w:tblPr>
        <w:tblW w:w="0" w:type="auto"/>
        <w:tblInd w:w="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003"/>
        <w:gridCol w:w="1217"/>
      </w:tblGrid>
      <w:tr w:rsidR="00FB42CA" w:rsidRPr="008E399A" w14:paraId="7439804C" w14:textId="77777777" w:rsidTr="00F208D4">
        <w:tc>
          <w:tcPr>
            <w:tcW w:w="0" w:type="auto"/>
            <w:shd w:val="clear" w:color="auto" w:fill="auto"/>
          </w:tcPr>
          <w:p w14:paraId="53098DE5"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FACTOR DE EVALUACIÓN </w:t>
            </w:r>
          </w:p>
        </w:tc>
        <w:tc>
          <w:tcPr>
            <w:tcW w:w="0" w:type="auto"/>
            <w:shd w:val="clear" w:color="auto" w:fill="auto"/>
          </w:tcPr>
          <w:p w14:paraId="30956A1A"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PUNTAJE </w:t>
            </w:r>
          </w:p>
        </w:tc>
        <w:tc>
          <w:tcPr>
            <w:tcW w:w="0" w:type="auto"/>
            <w:shd w:val="clear" w:color="auto" w:fill="auto"/>
          </w:tcPr>
          <w:p w14:paraId="6F142E1A" w14:textId="77777777" w:rsidR="00FB42CA" w:rsidRPr="008E399A" w:rsidRDefault="00FB42CA" w:rsidP="00F208D4">
            <w:pPr>
              <w:widowControl w:val="0"/>
              <w:autoSpaceDE w:val="0"/>
              <w:autoSpaceDN w:val="0"/>
              <w:adjustRightInd w:val="0"/>
              <w:spacing w:line="276" w:lineRule="auto"/>
              <w:rPr>
                <w:rFonts w:cs="Arial"/>
                <w:i/>
                <w:lang w:val="es-MX"/>
              </w:rPr>
            </w:pPr>
          </w:p>
        </w:tc>
      </w:tr>
      <w:tr w:rsidR="00FB42CA" w:rsidRPr="008E399A" w14:paraId="0A4823D6" w14:textId="77777777" w:rsidTr="00F208D4">
        <w:tc>
          <w:tcPr>
            <w:tcW w:w="0" w:type="auto"/>
            <w:shd w:val="clear" w:color="auto" w:fill="auto"/>
          </w:tcPr>
          <w:p w14:paraId="5CFBD054" w14:textId="77777777" w:rsidR="00FB42CA" w:rsidRPr="008E399A" w:rsidRDefault="00FB42CA" w:rsidP="00F208D4">
            <w:pPr>
              <w:widowControl w:val="0"/>
              <w:autoSpaceDE w:val="0"/>
              <w:autoSpaceDN w:val="0"/>
              <w:adjustRightInd w:val="0"/>
              <w:spacing w:line="276" w:lineRule="auto"/>
              <w:rPr>
                <w:rFonts w:cs="Arial"/>
                <w:i/>
                <w:lang w:val="es-MX"/>
              </w:rPr>
            </w:pPr>
          </w:p>
        </w:tc>
        <w:tc>
          <w:tcPr>
            <w:tcW w:w="0" w:type="auto"/>
            <w:shd w:val="clear" w:color="auto" w:fill="auto"/>
          </w:tcPr>
          <w:p w14:paraId="437415EF"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PONDERACIÓN </w:t>
            </w:r>
          </w:p>
        </w:tc>
        <w:tc>
          <w:tcPr>
            <w:tcW w:w="0" w:type="auto"/>
            <w:shd w:val="clear" w:color="auto" w:fill="auto"/>
          </w:tcPr>
          <w:p w14:paraId="577A4F7C"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PUNTOS </w:t>
            </w:r>
          </w:p>
        </w:tc>
      </w:tr>
      <w:tr w:rsidR="00FB42CA" w:rsidRPr="008E399A" w14:paraId="2D102D9E" w14:textId="77777777" w:rsidTr="00F208D4">
        <w:tc>
          <w:tcPr>
            <w:tcW w:w="0" w:type="auto"/>
            <w:shd w:val="clear" w:color="auto" w:fill="auto"/>
          </w:tcPr>
          <w:p w14:paraId="0C938FC7"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Experiencia específica del proponente  </w:t>
            </w:r>
          </w:p>
        </w:tc>
        <w:tc>
          <w:tcPr>
            <w:tcW w:w="0" w:type="auto"/>
            <w:shd w:val="clear" w:color="auto" w:fill="auto"/>
          </w:tcPr>
          <w:p w14:paraId="13FF8044"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40%</w:t>
            </w:r>
          </w:p>
        </w:tc>
        <w:tc>
          <w:tcPr>
            <w:tcW w:w="0" w:type="auto"/>
            <w:shd w:val="clear" w:color="auto" w:fill="auto"/>
          </w:tcPr>
          <w:p w14:paraId="4BE8624E"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400</w:t>
            </w:r>
          </w:p>
        </w:tc>
      </w:tr>
      <w:tr w:rsidR="00FB42CA" w:rsidRPr="008E399A" w14:paraId="0059F2EF" w14:textId="77777777" w:rsidTr="00F208D4">
        <w:tc>
          <w:tcPr>
            <w:tcW w:w="0" w:type="auto"/>
            <w:shd w:val="clear" w:color="auto" w:fill="auto"/>
          </w:tcPr>
          <w:p w14:paraId="60B2D3B9"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Formación y Experiencia del equipo de trabajo</w:t>
            </w:r>
          </w:p>
        </w:tc>
        <w:tc>
          <w:tcPr>
            <w:tcW w:w="0" w:type="auto"/>
            <w:shd w:val="clear" w:color="auto" w:fill="auto"/>
          </w:tcPr>
          <w:p w14:paraId="47714B6E"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50%</w:t>
            </w:r>
          </w:p>
        </w:tc>
        <w:tc>
          <w:tcPr>
            <w:tcW w:w="0" w:type="auto"/>
            <w:shd w:val="clear" w:color="auto" w:fill="auto"/>
          </w:tcPr>
          <w:p w14:paraId="60679207"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500</w:t>
            </w:r>
          </w:p>
        </w:tc>
      </w:tr>
      <w:tr w:rsidR="00FB42CA" w:rsidRPr="008E399A" w14:paraId="6A3CC68B" w14:textId="77777777" w:rsidTr="00F208D4">
        <w:tc>
          <w:tcPr>
            <w:tcW w:w="0" w:type="auto"/>
            <w:shd w:val="clear" w:color="auto" w:fill="auto"/>
          </w:tcPr>
          <w:p w14:paraId="15C96CE1"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Apoyo a la Industria Nacional (Ley 816 de 2003)</w:t>
            </w:r>
          </w:p>
        </w:tc>
        <w:tc>
          <w:tcPr>
            <w:tcW w:w="0" w:type="auto"/>
            <w:shd w:val="clear" w:color="auto" w:fill="auto"/>
          </w:tcPr>
          <w:p w14:paraId="6B62B41A"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10%</w:t>
            </w:r>
          </w:p>
        </w:tc>
        <w:tc>
          <w:tcPr>
            <w:tcW w:w="0" w:type="auto"/>
            <w:shd w:val="clear" w:color="auto" w:fill="auto"/>
          </w:tcPr>
          <w:p w14:paraId="44A432C7"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100</w:t>
            </w:r>
          </w:p>
        </w:tc>
      </w:tr>
      <w:tr w:rsidR="00FB42CA" w:rsidRPr="008E399A" w14:paraId="78B7D1B4" w14:textId="77777777" w:rsidTr="00F208D4">
        <w:tc>
          <w:tcPr>
            <w:tcW w:w="0" w:type="auto"/>
            <w:shd w:val="clear" w:color="auto" w:fill="auto"/>
          </w:tcPr>
          <w:p w14:paraId="3899C2ED"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Total</w:t>
            </w:r>
          </w:p>
        </w:tc>
        <w:tc>
          <w:tcPr>
            <w:tcW w:w="0" w:type="auto"/>
            <w:shd w:val="clear" w:color="auto" w:fill="auto"/>
          </w:tcPr>
          <w:p w14:paraId="7DD7BE4F"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100%</w:t>
            </w:r>
          </w:p>
        </w:tc>
        <w:tc>
          <w:tcPr>
            <w:tcW w:w="0" w:type="auto"/>
            <w:shd w:val="clear" w:color="auto" w:fill="auto"/>
          </w:tcPr>
          <w:p w14:paraId="58ACD016"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1.000</w:t>
            </w:r>
          </w:p>
        </w:tc>
      </w:tr>
    </w:tbl>
    <w:p w14:paraId="3EF4CDF1"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08D7197"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5D4B7BEE"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3DE3DA4"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“5.1.2. FORMACIÓN Y EXPERIENCIA DEL EQUIPO DE TRABAJO (HASTA 500 PUNTOS).</w:t>
      </w:r>
    </w:p>
    <w:p w14:paraId="6FEF90CC"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492C23E"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“La ANTV le asignará el cincuenta (50%) de la calificación, hasta 500 puntos del total de la puntuación, al equipo de trabajo que posea mayores competencias para la ejecución de contrato (formación y experiencia adicional a la mínima habilitante), de la siguiente manera: </w:t>
      </w:r>
    </w:p>
    <w:p w14:paraId="1D32A02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A37245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707A7A44"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25B1804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“FORMACIÓN ADICIONAL DEL EQUIPO DE TRABAJO (HASTA 250 PUNTOS) </w:t>
      </w:r>
    </w:p>
    <w:p w14:paraId="2593347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6056"/>
        <w:gridCol w:w="951"/>
      </w:tblGrid>
      <w:tr w:rsidR="00FB42CA" w:rsidRPr="008E399A" w14:paraId="1A896010" w14:textId="77777777" w:rsidTr="00F208D4">
        <w:tc>
          <w:tcPr>
            <w:tcW w:w="1357" w:type="dxa"/>
            <w:shd w:val="clear" w:color="auto" w:fill="auto"/>
          </w:tcPr>
          <w:p w14:paraId="1B5122DC"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EXPERIENCIA ADICIONAL DEL EQUIPO DE TRABAJO </w:t>
            </w:r>
          </w:p>
        </w:tc>
        <w:tc>
          <w:tcPr>
            <w:tcW w:w="6056" w:type="dxa"/>
            <w:shd w:val="clear" w:color="auto" w:fill="auto"/>
          </w:tcPr>
          <w:p w14:paraId="12B3130A" w14:textId="77777777" w:rsidR="00FB42CA" w:rsidRPr="008E399A" w:rsidRDefault="00FB42CA" w:rsidP="00F208D4">
            <w:pPr>
              <w:widowControl w:val="0"/>
              <w:autoSpaceDE w:val="0"/>
              <w:autoSpaceDN w:val="0"/>
              <w:adjustRightInd w:val="0"/>
              <w:spacing w:line="276" w:lineRule="auto"/>
              <w:rPr>
                <w:rFonts w:cs="Arial"/>
                <w:i/>
                <w:lang w:val="es-MX"/>
              </w:rPr>
            </w:pPr>
          </w:p>
        </w:tc>
        <w:tc>
          <w:tcPr>
            <w:tcW w:w="951" w:type="dxa"/>
            <w:shd w:val="clear" w:color="auto" w:fill="auto"/>
          </w:tcPr>
          <w:p w14:paraId="7AEE1430" w14:textId="77777777" w:rsidR="00FB42CA" w:rsidRPr="008E399A" w:rsidRDefault="00FB42CA" w:rsidP="00F208D4">
            <w:pPr>
              <w:widowControl w:val="0"/>
              <w:autoSpaceDE w:val="0"/>
              <w:autoSpaceDN w:val="0"/>
              <w:adjustRightInd w:val="0"/>
              <w:spacing w:line="276" w:lineRule="auto"/>
              <w:rPr>
                <w:rFonts w:cs="Arial"/>
                <w:i/>
                <w:lang w:val="es-MX"/>
              </w:rPr>
            </w:pPr>
          </w:p>
        </w:tc>
      </w:tr>
      <w:tr w:rsidR="00FB42CA" w:rsidRPr="008E399A" w14:paraId="0DBC5B86" w14:textId="77777777" w:rsidTr="00F208D4">
        <w:tc>
          <w:tcPr>
            <w:tcW w:w="1357" w:type="dxa"/>
            <w:shd w:val="clear" w:color="auto" w:fill="auto"/>
          </w:tcPr>
          <w:p w14:paraId="23370B93"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CARGO </w:t>
            </w:r>
          </w:p>
        </w:tc>
        <w:tc>
          <w:tcPr>
            <w:tcW w:w="6056" w:type="dxa"/>
            <w:shd w:val="clear" w:color="auto" w:fill="auto"/>
          </w:tcPr>
          <w:p w14:paraId="11C3BE01"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REQUISITO</w:t>
            </w:r>
          </w:p>
        </w:tc>
        <w:tc>
          <w:tcPr>
            <w:tcW w:w="951" w:type="dxa"/>
            <w:shd w:val="clear" w:color="auto" w:fill="auto"/>
          </w:tcPr>
          <w:p w14:paraId="1D5CD74D"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PUNTAJE </w:t>
            </w:r>
          </w:p>
        </w:tc>
      </w:tr>
      <w:tr w:rsidR="00FB42CA" w:rsidRPr="008E399A" w14:paraId="4901EC89" w14:textId="77777777" w:rsidTr="00F208D4">
        <w:tc>
          <w:tcPr>
            <w:tcW w:w="1357" w:type="dxa"/>
            <w:shd w:val="clear" w:color="auto" w:fill="auto"/>
          </w:tcPr>
          <w:p w14:paraId="0E0FE026"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 xml:space="preserve">Director de Proyecto </w:t>
            </w:r>
          </w:p>
        </w:tc>
        <w:tc>
          <w:tcPr>
            <w:tcW w:w="6056" w:type="dxa"/>
            <w:shd w:val="clear" w:color="auto" w:fill="auto"/>
          </w:tcPr>
          <w:p w14:paraId="1216DBB0"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Dos (2) años o más de experiencia (Adicional a la mínima habilitante) en cargos directivos en empresas de servicios públicos o entidades estatales, (ejecutados en los sectores TIC, servicios públicos, entidades de control o Superintendencias).</w:t>
            </w:r>
          </w:p>
          <w:p w14:paraId="11F6A62A" w14:textId="77777777" w:rsidR="00FB42CA" w:rsidRPr="008E399A" w:rsidRDefault="00FB42CA" w:rsidP="00F208D4">
            <w:pPr>
              <w:widowControl w:val="0"/>
              <w:autoSpaceDE w:val="0"/>
              <w:autoSpaceDN w:val="0"/>
              <w:adjustRightInd w:val="0"/>
              <w:spacing w:line="276" w:lineRule="auto"/>
              <w:rPr>
                <w:rFonts w:cs="Arial"/>
                <w:b/>
                <w:i/>
                <w:lang w:val="es-MX"/>
              </w:rPr>
            </w:pPr>
          </w:p>
          <w:p w14:paraId="3E5147B7"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 xml:space="preserve">Haber participado en dos (2) o más proyectos (adicionales a los mínimos habilitantes) de consultoría o interventoría a proyectos o contratos estatales diferentes de obra pública; y cuyas funciones involucren o en desarrollo de las cuales haya realizado interventoría a proyectos diferentes de obra pública.  </w:t>
            </w:r>
          </w:p>
        </w:tc>
        <w:tc>
          <w:tcPr>
            <w:tcW w:w="951" w:type="dxa"/>
            <w:shd w:val="clear" w:color="auto" w:fill="auto"/>
          </w:tcPr>
          <w:p w14:paraId="4F3902A2"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65 </w:t>
            </w:r>
          </w:p>
          <w:p w14:paraId="5926E1CF" w14:textId="77777777" w:rsidR="00FB42CA" w:rsidRPr="008E399A" w:rsidRDefault="00FB42CA" w:rsidP="00F208D4">
            <w:pPr>
              <w:spacing w:line="276" w:lineRule="auto"/>
              <w:rPr>
                <w:rFonts w:cs="Arial"/>
                <w:i/>
                <w:lang w:val="es-MX"/>
              </w:rPr>
            </w:pPr>
          </w:p>
          <w:p w14:paraId="43B19DB0" w14:textId="77777777" w:rsidR="00FB42CA" w:rsidRPr="008E399A" w:rsidRDefault="00FB42CA" w:rsidP="00F208D4">
            <w:pPr>
              <w:spacing w:line="276" w:lineRule="auto"/>
              <w:rPr>
                <w:rFonts w:cs="Arial"/>
                <w:i/>
                <w:lang w:val="es-MX"/>
              </w:rPr>
            </w:pPr>
          </w:p>
          <w:p w14:paraId="0FFB3A76" w14:textId="77777777" w:rsidR="00FB42CA" w:rsidRPr="008E399A" w:rsidRDefault="00FB42CA" w:rsidP="00F208D4">
            <w:pPr>
              <w:spacing w:line="276" w:lineRule="auto"/>
              <w:rPr>
                <w:rFonts w:cs="Arial"/>
                <w:i/>
                <w:lang w:val="es-MX"/>
              </w:rPr>
            </w:pPr>
          </w:p>
          <w:p w14:paraId="33FE8C52" w14:textId="77777777" w:rsidR="00FB42CA" w:rsidRPr="008E399A" w:rsidRDefault="00FB42CA" w:rsidP="00F208D4">
            <w:pPr>
              <w:spacing w:line="276" w:lineRule="auto"/>
              <w:rPr>
                <w:rFonts w:cs="Arial"/>
                <w:i/>
                <w:lang w:val="es-MX"/>
              </w:rPr>
            </w:pPr>
          </w:p>
          <w:p w14:paraId="4759FC42" w14:textId="77777777" w:rsidR="00FB42CA" w:rsidRPr="008E399A" w:rsidRDefault="00FB42CA" w:rsidP="00F208D4">
            <w:pPr>
              <w:spacing w:line="276" w:lineRule="auto"/>
              <w:rPr>
                <w:rFonts w:cs="Arial"/>
                <w:i/>
                <w:lang w:val="es-MX"/>
              </w:rPr>
            </w:pPr>
          </w:p>
          <w:p w14:paraId="622F3AFA" w14:textId="77777777" w:rsidR="00FB42CA" w:rsidRPr="008E399A" w:rsidRDefault="00FB42CA" w:rsidP="00F208D4">
            <w:pPr>
              <w:spacing w:line="276" w:lineRule="auto"/>
              <w:rPr>
                <w:rFonts w:cs="Arial"/>
                <w:i/>
                <w:lang w:val="es-MX"/>
              </w:rPr>
            </w:pPr>
          </w:p>
          <w:p w14:paraId="48F68234" w14:textId="77777777" w:rsidR="00FB42CA" w:rsidRPr="008E399A" w:rsidRDefault="00FB42CA" w:rsidP="00F208D4">
            <w:pPr>
              <w:spacing w:line="276" w:lineRule="auto"/>
              <w:rPr>
                <w:rFonts w:cs="Arial"/>
                <w:i/>
                <w:lang w:val="es-MX"/>
              </w:rPr>
            </w:pPr>
          </w:p>
          <w:p w14:paraId="33EDE89F" w14:textId="77777777" w:rsidR="00FB42CA" w:rsidRPr="008E399A" w:rsidRDefault="00FB42CA" w:rsidP="00F208D4">
            <w:pPr>
              <w:spacing w:line="276" w:lineRule="auto"/>
              <w:rPr>
                <w:rFonts w:cs="Arial"/>
                <w:i/>
                <w:lang w:val="es-MX"/>
              </w:rPr>
            </w:pPr>
            <w:r w:rsidRPr="008E399A">
              <w:rPr>
                <w:rFonts w:cs="Arial"/>
                <w:i/>
                <w:lang w:val="es-MX"/>
              </w:rPr>
              <w:t>65</w:t>
            </w:r>
          </w:p>
        </w:tc>
      </w:tr>
      <w:tr w:rsidR="00FB42CA" w:rsidRPr="008E399A" w14:paraId="52F8FBC6" w14:textId="77777777" w:rsidTr="00F208D4">
        <w:tc>
          <w:tcPr>
            <w:tcW w:w="1357" w:type="dxa"/>
            <w:shd w:val="clear" w:color="auto" w:fill="auto"/>
          </w:tcPr>
          <w:p w14:paraId="69DC1643"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lastRenderedPageBreak/>
              <w:t xml:space="preserve">Asesor Jurídico </w:t>
            </w:r>
          </w:p>
        </w:tc>
        <w:tc>
          <w:tcPr>
            <w:tcW w:w="6056" w:type="dxa"/>
            <w:shd w:val="clear" w:color="auto" w:fill="auto"/>
          </w:tcPr>
          <w:p w14:paraId="3B4F0805" w14:textId="77777777" w:rsidR="00FB42CA" w:rsidRPr="008E399A" w:rsidRDefault="00FB42CA" w:rsidP="00F208D4">
            <w:pPr>
              <w:widowControl w:val="0"/>
              <w:autoSpaceDE w:val="0"/>
              <w:autoSpaceDN w:val="0"/>
              <w:adjustRightInd w:val="0"/>
              <w:spacing w:line="276" w:lineRule="auto"/>
              <w:rPr>
                <w:rFonts w:cs="Arial"/>
                <w:b/>
                <w:i/>
                <w:lang w:val="es-MX"/>
              </w:rPr>
            </w:pPr>
            <w:r w:rsidRPr="008E399A">
              <w:rPr>
                <w:rFonts w:cs="Arial"/>
                <w:b/>
                <w:i/>
                <w:lang w:val="es-MX"/>
              </w:rPr>
              <w:t xml:space="preserve">Contar con una experiencia de dos (2) años (adicional a la mínima habilitante) en cargos de Director, Coordinador, Gerente o haber sido Asesor en temas de contratación estatal o interventoría, en empresas de servicios públicos o entidades estatales. </w:t>
            </w:r>
          </w:p>
        </w:tc>
        <w:tc>
          <w:tcPr>
            <w:tcW w:w="951" w:type="dxa"/>
            <w:shd w:val="clear" w:color="auto" w:fill="auto"/>
          </w:tcPr>
          <w:p w14:paraId="61F36F12"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40</w:t>
            </w:r>
          </w:p>
        </w:tc>
      </w:tr>
      <w:tr w:rsidR="00FB42CA" w:rsidRPr="008E399A" w14:paraId="04218CBE" w14:textId="77777777" w:rsidTr="00F208D4">
        <w:tc>
          <w:tcPr>
            <w:tcW w:w="1357" w:type="dxa"/>
            <w:shd w:val="clear" w:color="auto" w:fill="auto"/>
          </w:tcPr>
          <w:p w14:paraId="34DFCCE6"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Asesor Financiero </w:t>
            </w:r>
          </w:p>
        </w:tc>
        <w:tc>
          <w:tcPr>
            <w:tcW w:w="6056" w:type="dxa"/>
            <w:shd w:val="clear" w:color="auto" w:fill="auto"/>
          </w:tcPr>
          <w:p w14:paraId="08C45199"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Contar con experiencia de dos años (Adicional a la mínima habilitante) o en el ejercicio cargo de Director, Gerente, Coordinador, Asesor o Profesional de Empresas de servicios públicos o entidades estatales, cuyas funciones se hayan relacionado con el manejo administrativo o financiero de la empresa o entidad.</w:t>
            </w:r>
          </w:p>
        </w:tc>
        <w:tc>
          <w:tcPr>
            <w:tcW w:w="951" w:type="dxa"/>
            <w:shd w:val="clear" w:color="auto" w:fill="auto"/>
          </w:tcPr>
          <w:p w14:paraId="6E7B1D57"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40</w:t>
            </w:r>
          </w:p>
        </w:tc>
      </w:tr>
      <w:tr w:rsidR="00FB42CA" w:rsidRPr="008E399A" w14:paraId="18E2EE37" w14:textId="77777777" w:rsidTr="00F208D4">
        <w:tc>
          <w:tcPr>
            <w:tcW w:w="1357" w:type="dxa"/>
            <w:shd w:val="clear" w:color="auto" w:fill="auto"/>
          </w:tcPr>
          <w:p w14:paraId="16210B80"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Asesor de Contenidos </w:t>
            </w:r>
          </w:p>
        </w:tc>
        <w:tc>
          <w:tcPr>
            <w:tcW w:w="6056" w:type="dxa"/>
            <w:shd w:val="clear" w:color="auto" w:fill="auto"/>
          </w:tcPr>
          <w:p w14:paraId="0CC2E301"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Haber participado en un (1) proyecto adicional al mínimo habilitante, de producción y programación de televisión</w:t>
            </w:r>
          </w:p>
        </w:tc>
        <w:tc>
          <w:tcPr>
            <w:tcW w:w="951" w:type="dxa"/>
            <w:shd w:val="clear" w:color="auto" w:fill="auto"/>
          </w:tcPr>
          <w:p w14:paraId="2B8B4500"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40</w:t>
            </w:r>
          </w:p>
        </w:tc>
      </w:tr>
      <w:tr w:rsidR="00FB42CA" w:rsidRPr="008E399A" w14:paraId="56B864D4" w14:textId="77777777" w:rsidTr="00F208D4">
        <w:tc>
          <w:tcPr>
            <w:tcW w:w="1357" w:type="dxa"/>
            <w:shd w:val="clear" w:color="auto" w:fill="auto"/>
          </w:tcPr>
          <w:p w14:paraId="54D965F5" w14:textId="77777777" w:rsidR="00FB42CA" w:rsidRPr="008E399A" w:rsidRDefault="00FB42CA" w:rsidP="00F208D4">
            <w:pPr>
              <w:widowControl w:val="0"/>
              <w:autoSpaceDE w:val="0"/>
              <w:autoSpaceDN w:val="0"/>
              <w:adjustRightInd w:val="0"/>
              <w:spacing w:line="276" w:lineRule="auto"/>
              <w:rPr>
                <w:rFonts w:cs="Arial"/>
                <w:i/>
                <w:lang w:val="es-MX"/>
              </w:rPr>
            </w:pPr>
          </w:p>
        </w:tc>
        <w:tc>
          <w:tcPr>
            <w:tcW w:w="6056" w:type="dxa"/>
            <w:shd w:val="clear" w:color="auto" w:fill="auto"/>
          </w:tcPr>
          <w:p w14:paraId="332947C3"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 xml:space="preserve">TOTAL </w:t>
            </w:r>
          </w:p>
        </w:tc>
        <w:tc>
          <w:tcPr>
            <w:tcW w:w="951" w:type="dxa"/>
            <w:shd w:val="clear" w:color="auto" w:fill="auto"/>
          </w:tcPr>
          <w:p w14:paraId="51B2E2EC" w14:textId="77777777" w:rsidR="00FB42CA" w:rsidRPr="008E399A" w:rsidRDefault="00FB42CA" w:rsidP="00F208D4">
            <w:pPr>
              <w:widowControl w:val="0"/>
              <w:autoSpaceDE w:val="0"/>
              <w:autoSpaceDN w:val="0"/>
              <w:adjustRightInd w:val="0"/>
              <w:spacing w:line="276" w:lineRule="auto"/>
              <w:rPr>
                <w:rFonts w:cs="Arial"/>
                <w:i/>
                <w:lang w:val="es-MX"/>
              </w:rPr>
            </w:pPr>
            <w:r w:rsidRPr="008E399A">
              <w:rPr>
                <w:rFonts w:cs="Arial"/>
                <w:i/>
                <w:lang w:val="es-MX"/>
              </w:rPr>
              <w:t>250</w:t>
            </w:r>
          </w:p>
        </w:tc>
      </w:tr>
    </w:tbl>
    <w:p w14:paraId="7B0104D6" w14:textId="77777777" w:rsidR="00FB42CA" w:rsidRPr="008E399A" w:rsidRDefault="00FB42CA" w:rsidP="00FB42CA">
      <w:pPr>
        <w:widowControl w:val="0"/>
        <w:autoSpaceDE w:val="0"/>
        <w:autoSpaceDN w:val="0"/>
        <w:adjustRightInd w:val="0"/>
        <w:rPr>
          <w:rFonts w:cs="Arial"/>
          <w:lang w:val="es-MX"/>
        </w:rPr>
      </w:pPr>
    </w:p>
    <w:p w14:paraId="71236E31"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El reseñado pliego de condiciones sufrió varias modificaciones en su cronograma, en los criterios de desempate, en el plan de trabajo y en lo referente a la inscripción en el sistema de clasificación de bienes y servicios UNSPSC, las cuales se instrumentaron en tres adendas expedidas los días 13, 17 y 19 de junio de 2014</w:t>
      </w:r>
      <w:r w:rsidRPr="008E399A">
        <w:rPr>
          <w:rStyle w:val="Refdenotaalpie"/>
          <w:rFonts w:cs="Arial"/>
          <w:lang w:val="es-MX"/>
        </w:rPr>
        <w:footnoteReference w:id="19"/>
      </w:r>
      <w:r w:rsidRPr="008E399A">
        <w:rPr>
          <w:rFonts w:cs="Arial"/>
          <w:lang w:val="es-MX"/>
        </w:rPr>
        <w:t>.</w:t>
      </w:r>
    </w:p>
    <w:p w14:paraId="77472FBB" w14:textId="77777777" w:rsidR="00FB42CA" w:rsidRPr="008E399A" w:rsidRDefault="00FB42CA" w:rsidP="00FB42CA">
      <w:pPr>
        <w:widowControl w:val="0"/>
        <w:autoSpaceDE w:val="0"/>
        <w:autoSpaceDN w:val="0"/>
        <w:adjustRightInd w:val="0"/>
        <w:rPr>
          <w:rFonts w:cs="Arial"/>
          <w:lang w:val="es-MX"/>
        </w:rPr>
      </w:pPr>
    </w:p>
    <w:p w14:paraId="00FF025D"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Como se aprecia de la lectura de las reglas de la convocatoria, la experiencia del equipo de trabajo ofrecido fue dotada de un doble rol. </w:t>
      </w:r>
    </w:p>
    <w:p w14:paraId="520A4CC7" w14:textId="77777777" w:rsidR="00FB42CA" w:rsidRPr="008E399A" w:rsidRDefault="00FB42CA" w:rsidP="00FB42CA">
      <w:pPr>
        <w:widowControl w:val="0"/>
        <w:autoSpaceDE w:val="0"/>
        <w:autoSpaceDN w:val="0"/>
        <w:adjustRightInd w:val="0"/>
        <w:rPr>
          <w:rFonts w:cs="Arial"/>
          <w:lang w:val="es-MX"/>
        </w:rPr>
      </w:pPr>
    </w:p>
    <w:p w14:paraId="70304176"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Por un lado, fue concebida como criterio habilitante que se activaría a partir del cumplimiento de unos requisitos de formación académica y de experiencia laboral general y específica, determinada en función del tipo de actividades ejecutadas, del tipo de cargo desempeñado y del tiempo servido. </w:t>
      </w:r>
    </w:p>
    <w:p w14:paraId="064C4900" w14:textId="77777777" w:rsidR="00FB42CA" w:rsidRPr="008E399A" w:rsidRDefault="00FB42CA" w:rsidP="00FB42CA">
      <w:pPr>
        <w:widowControl w:val="0"/>
        <w:autoSpaceDE w:val="0"/>
        <w:autoSpaceDN w:val="0"/>
        <w:adjustRightInd w:val="0"/>
        <w:rPr>
          <w:rFonts w:cs="Arial"/>
          <w:lang w:val="es-MX"/>
        </w:rPr>
      </w:pPr>
    </w:p>
    <w:p w14:paraId="379945AA"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Simultáneamente, se contempló como factor de evaluación frente al cumplimiento de los mismos requisitos relacionados con la experiencia laboral, pero la calificación recaería sobre el período adicional que superara la experiencia temporal mínima habilitante y, en otros casos, sobre el número de contratos que excedieran el mínimo establecido para habilitar la propuesta. </w:t>
      </w:r>
    </w:p>
    <w:p w14:paraId="0E125B3C" w14:textId="77777777" w:rsidR="00FB42CA" w:rsidRPr="008E399A" w:rsidRDefault="00FB42CA" w:rsidP="00FB42CA">
      <w:pPr>
        <w:widowControl w:val="0"/>
        <w:autoSpaceDE w:val="0"/>
        <w:autoSpaceDN w:val="0"/>
        <w:adjustRightInd w:val="0"/>
        <w:rPr>
          <w:rFonts w:cs="Arial"/>
          <w:lang w:val="es-MX"/>
        </w:rPr>
      </w:pPr>
    </w:p>
    <w:p w14:paraId="7142C36B"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Dentro del equipo de trabajo requerido se encontraban el director general del proyecto y el asesor jurídico, que son los dos profesionales sobre cuya experiencia </w:t>
      </w:r>
      <w:r w:rsidRPr="008E399A">
        <w:rPr>
          <w:rFonts w:cs="Arial"/>
          <w:lang w:val="es-MX"/>
        </w:rPr>
        <w:lastRenderedPageBreak/>
        <w:t xml:space="preserve">recayó la discusión por parte de la parte apelante y respecto de los cuales, se reitera, se circunscribirá el análisis de la presente controversia. </w:t>
      </w:r>
    </w:p>
    <w:p w14:paraId="294FC9AC" w14:textId="77777777" w:rsidR="00FB42CA" w:rsidRPr="008E399A" w:rsidRDefault="00FB42CA" w:rsidP="00FB42CA">
      <w:pPr>
        <w:widowControl w:val="0"/>
        <w:autoSpaceDE w:val="0"/>
        <w:autoSpaceDN w:val="0"/>
        <w:adjustRightInd w:val="0"/>
        <w:rPr>
          <w:rFonts w:cs="Arial"/>
          <w:lang w:val="es-MX"/>
        </w:rPr>
      </w:pPr>
    </w:p>
    <w:p w14:paraId="74F8913D" w14:textId="77777777" w:rsidR="00FB42CA" w:rsidRPr="008E399A" w:rsidRDefault="00FB42CA" w:rsidP="00FB42CA">
      <w:pPr>
        <w:widowControl w:val="0"/>
        <w:autoSpaceDE w:val="0"/>
        <w:autoSpaceDN w:val="0"/>
        <w:adjustRightInd w:val="0"/>
        <w:rPr>
          <w:rFonts w:cs="Arial"/>
          <w:b/>
          <w:lang w:val="es-MX"/>
        </w:rPr>
      </w:pPr>
      <w:r w:rsidRPr="008E399A">
        <w:rPr>
          <w:rFonts w:cs="Arial"/>
          <w:b/>
          <w:lang w:val="es-MX"/>
        </w:rPr>
        <w:t xml:space="preserve">5.2. La experiencia del director general del proyecto ofrecido por el consorcio Interventoría Concesión TV </w:t>
      </w:r>
    </w:p>
    <w:p w14:paraId="7EE8D57B" w14:textId="77777777" w:rsidR="00FB42CA" w:rsidRPr="008E399A" w:rsidRDefault="00FB42CA" w:rsidP="00FB42CA">
      <w:pPr>
        <w:widowControl w:val="0"/>
        <w:autoSpaceDE w:val="0"/>
        <w:autoSpaceDN w:val="0"/>
        <w:adjustRightInd w:val="0"/>
        <w:rPr>
          <w:rFonts w:cs="Arial"/>
          <w:b/>
          <w:lang w:val="es-MX"/>
        </w:rPr>
      </w:pPr>
    </w:p>
    <w:p w14:paraId="4552C77E" w14:textId="77777777" w:rsidR="00FB42CA" w:rsidRPr="008E399A" w:rsidRDefault="00FB42CA" w:rsidP="00FB42CA">
      <w:pPr>
        <w:ind w:right="-1"/>
        <w:rPr>
          <w:rFonts w:cs="Arial"/>
          <w:bCs/>
          <w:lang w:val="es-MX"/>
        </w:rPr>
      </w:pPr>
      <w:r w:rsidRPr="008E399A">
        <w:rPr>
          <w:rFonts w:cs="Arial"/>
          <w:bCs/>
          <w:lang w:val="es-MX"/>
        </w:rPr>
        <w:t xml:space="preserve">La discrepancia de la parte actora, en síntesis, radicó en que la entidad aceptó documentación nueva con posterioridad al cierre del procedimiento de selección y, además, calificó la certificación expedida por el Fondo Nacional del Ahorro que no cumplía con los requisitos del pliego para recibir puntaje, pues presentaba inconsistencias. Indicó que, de conformidad con la aplicación de las reglas del pliego de condiciones, los documentos aportados para experiencia del equipo de trabajo para acreditar los requisitos habilitantes no serían tenidos en cuenta para calificación de la experiencia. </w:t>
      </w:r>
    </w:p>
    <w:p w14:paraId="13BC17B3" w14:textId="77777777" w:rsidR="00FB42CA" w:rsidRPr="008E399A" w:rsidRDefault="00FB42CA" w:rsidP="00FB42CA">
      <w:pPr>
        <w:ind w:right="-1"/>
        <w:rPr>
          <w:rFonts w:cs="Arial"/>
          <w:bCs/>
          <w:lang w:val="es-MX"/>
        </w:rPr>
      </w:pPr>
    </w:p>
    <w:p w14:paraId="31E5E939" w14:textId="77777777" w:rsidR="00FB42CA" w:rsidRPr="008E399A" w:rsidRDefault="00FB42CA" w:rsidP="00FB42CA">
      <w:pPr>
        <w:ind w:right="-1"/>
        <w:rPr>
          <w:rFonts w:cs="Arial"/>
          <w:bCs/>
          <w:lang w:val="es-MX"/>
        </w:rPr>
      </w:pPr>
      <w:r w:rsidRPr="008E399A">
        <w:rPr>
          <w:rFonts w:cs="Arial"/>
          <w:bCs/>
          <w:lang w:val="es-MX"/>
        </w:rPr>
        <w:t>En ese sentido explicó que, al ser tenida en cuenta la certificación expedida por el Fondo Nacional del Ahorro como requisito habilitante, luego de ser subsanada, no podía considerarse para calificar la oferta, como, según afirmó, en efecto procedió la entidad. Señaló, además, que las certificaciones que ofrecían inconsistencias o falta de solidez y coherencia, como la del Fondo Nacional del Ahorro, debían rechazarse.</w:t>
      </w:r>
    </w:p>
    <w:p w14:paraId="5C30F637"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 </w:t>
      </w:r>
    </w:p>
    <w:p w14:paraId="5D6272E5"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En orden a desatar este cargo, la Sala evidencia que:</w:t>
      </w:r>
    </w:p>
    <w:p w14:paraId="24DEB002" w14:textId="77777777" w:rsidR="00FB42CA" w:rsidRPr="008E399A" w:rsidRDefault="00FB42CA" w:rsidP="00FB42CA">
      <w:pPr>
        <w:widowControl w:val="0"/>
        <w:autoSpaceDE w:val="0"/>
        <w:autoSpaceDN w:val="0"/>
        <w:adjustRightInd w:val="0"/>
        <w:rPr>
          <w:rFonts w:cs="Arial"/>
          <w:lang w:val="es-MX"/>
        </w:rPr>
      </w:pPr>
    </w:p>
    <w:p w14:paraId="0E12F706"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Para atender el cumplimiento del requisito de experiencia del equipo de trabajo, en lo concerniente al director general ofrecido, ingeniero de sistemas Edgar Augusto Fuertes Puerto, tanto en su aspecto habilitante como también puntuable, el consorcio Interventoría Concesión TV, junto con su propuesta allegó las siguientes certificaciones: </w:t>
      </w:r>
    </w:p>
    <w:p w14:paraId="089B60CC" w14:textId="77777777" w:rsidR="00FB42CA" w:rsidRPr="008E399A" w:rsidRDefault="00FB42CA" w:rsidP="00FB42CA">
      <w:pPr>
        <w:widowControl w:val="0"/>
        <w:autoSpaceDE w:val="0"/>
        <w:autoSpaceDN w:val="0"/>
        <w:adjustRightInd w:val="0"/>
        <w:rPr>
          <w:rFonts w:cs="Arial"/>
          <w:lang w:val="es-MX"/>
        </w:rPr>
      </w:pPr>
    </w:p>
    <w:p w14:paraId="4BDD2DC0" w14:textId="77777777" w:rsidR="00FB42CA" w:rsidRPr="008E399A" w:rsidRDefault="00FB42CA" w:rsidP="00FB42CA">
      <w:pPr>
        <w:pStyle w:val="Prrafodelista"/>
        <w:widowControl w:val="0"/>
        <w:numPr>
          <w:ilvl w:val="0"/>
          <w:numId w:val="43"/>
        </w:numPr>
        <w:autoSpaceDE w:val="0"/>
        <w:autoSpaceDN w:val="0"/>
        <w:adjustRightInd w:val="0"/>
        <w:rPr>
          <w:rFonts w:cs="Arial"/>
          <w:lang w:val="es-MX"/>
        </w:rPr>
      </w:pPr>
      <w:r w:rsidRPr="008E399A">
        <w:rPr>
          <w:rFonts w:cs="Arial"/>
          <w:lang w:val="es-MX"/>
        </w:rPr>
        <w:t>Certificación expedida el 8 de agosto de 2002 por el jefe de recursos humanos de Procálculo, en la cual hizo constar que el señor Edgar Augusto Fuertes Puerto laboró en esa empresa desde el 1 de noviembre de 2000 hasta el 9 de junio de 2002 como Gerente de Proyecto</w:t>
      </w:r>
      <w:r w:rsidRPr="008E399A">
        <w:rPr>
          <w:rStyle w:val="Refdenotaalpie"/>
          <w:rFonts w:cs="Arial"/>
          <w:lang w:val="es-MX"/>
        </w:rPr>
        <w:footnoteReference w:id="20"/>
      </w:r>
      <w:r w:rsidRPr="008E399A">
        <w:rPr>
          <w:rFonts w:cs="Arial"/>
          <w:lang w:val="es-MX"/>
        </w:rPr>
        <w:t xml:space="preserve">. </w:t>
      </w:r>
    </w:p>
    <w:p w14:paraId="7F310F10" w14:textId="77777777" w:rsidR="00FB42CA" w:rsidRPr="008E399A" w:rsidRDefault="00FB42CA" w:rsidP="00FB42CA">
      <w:pPr>
        <w:pStyle w:val="Prrafodelista"/>
        <w:widowControl w:val="0"/>
        <w:autoSpaceDE w:val="0"/>
        <w:autoSpaceDN w:val="0"/>
        <w:adjustRightInd w:val="0"/>
        <w:ind w:left="720"/>
        <w:rPr>
          <w:rFonts w:cs="Arial"/>
          <w:lang w:val="es-MX"/>
        </w:rPr>
      </w:pPr>
    </w:p>
    <w:p w14:paraId="181BE3BB" w14:textId="77777777" w:rsidR="00FB42CA" w:rsidRPr="008E399A" w:rsidRDefault="00FB42CA" w:rsidP="00FB42CA">
      <w:pPr>
        <w:pStyle w:val="Prrafodelista"/>
        <w:widowControl w:val="0"/>
        <w:numPr>
          <w:ilvl w:val="0"/>
          <w:numId w:val="43"/>
        </w:numPr>
        <w:autoSpaceDE w:val="0"/>
        <w:autoSpaceDN w:val="0"/>
        <w:adjustRightInd w:val="0"/>
        <w:rPr>
          <w:rFonts w:cs="Arial"/>
          <w:lang w:val="es-MX"/>
        </w:rPr>
      </w:pPr>
      <w:r w:rsidRPr="008E399A">
        <w:rPr>
          <w:rFonts w:cs="Arial"/>
          <w:lang w:val="es-MX"/>
        </w:rPr>
        <w:lastRenderedPageBreak/>
        <w:t>Certificación expedida el 25 de junio de 2002 por el jefe de división de la Procuraduría General de la Nación, en el que hizo constar que Edgar Augusto Fuertes Puerto laboró en esa entidad desde el 2 de agosto de 1990 hasta el 1 de noviembre de 2000, período en el que desempeñó el cargo de asesor grado 19 de la división de sistemas</w:t>
      </w:r>
      <w:r w:rsidRPr="008E399A">
        <w:rPr>
          <w:rStyle w:val="Refdenotaalpie"/>
          <w:rFonts w:cs="Arial"/>
          <w:lang w:val="es-MX"/>
        </w:rPr>
        <w:footnoteReference w:id="21"/>
      </w:r>
      <w:r w:rsidRPr="008E399A">
        <w:rPr>
          <w:rFonts w:cs="Arial"/>
          <w:lang w:val="es-MX"/>
        </w:rPr>
        <w:t xml:space="preserve">. </w:t>
      </w:r>
    </w:p>
    <w:p w14:paraId="00FC4DC9" w14:textId="77777777" w:rsidR="00FB42CA" w:rsidRPr="008E399A" w:rsidRDefault="00FB42CA" w:rsidP="00FB42CA">
      <w:pPr>
        <w:pStyle w:val="Prrafodelista"/>
        <w:widowControl w:val="0"/>
        <w:autoSpaceDE w:val="0"/>
        <w:autoSpaceDN w:val="0"/>
        <w:adjustRightInd w:val="0"/>
        <w:ind w:left="720"/>
        <w:rPr>
          <w:rFonts w:cs="Arial"/>
          <w:lang w:val="es-MX"/>
        </w:rPr>
      </w:pPr>
    </w:p>
    <w:p w14:paraId="6A40CB1E" w14:textId="77777777" w:rsidR="00FB42CA" w:rsidRPr="008E399A" w:rsidRDefault="00FB42CA" w:rsidP="00FB42CA">
      <w:pPr>
        <w:pStyle w:val="Prrafodelista"/>
        <w:widowControl w:val="0"/>
        <w:numPr>
          <w:ilvl w:val="0"/>
          <w:numId w:val="43"/>
        </w:numPr>
        <w:autoSpaceDE w:val="0"/>
        <w:autoSpaceDN w:val="0"/>
        <w:adjustRightInd w:val="0"/>
        <w:rPr>
          <w:rFonts w:cs="Arial"/>
          <w:lang w:val="es-MX"/>
        </w:rPr>
      </w:pPr>
      <w:r w:rsidRPr="008E399A">
        <w:rPr>
          <w:rFonts w:cs="Arial"/>
          <w:lang w:val="es-MX"/>
        </w:rPr>
        <w:t xml:space="preserve">Certificación expedida el </w:t>
      </w:r>
      <w:r w:rsidRPr="008E399A">
        <w:rPr>
          <w:rFonts w:cs="Arial"/>
          <w:u w:val="single"/>
          <w:lang w:val="es-MX"/>
        </w:rPr>
        <w:t>30 de julio de 2010</w:t>
      </w:r>
      <w:r w:rsidRPr="008E399A">
        <w:rPr>
          <w:rFonts w:cs="Arial"/>
          <w:lang w:val="es-MX"/>
        </w:rPr>
        <w:t xml:space="preserve"> por el presidente del Fondo Nacional del Ahorro, en la cual hizo constar que Edgar Augusto Fuertes Puerto “</w:t>
      </w:r>
      <w:r w:rsidRPr="008E399A">
        <w:rPr>
          <w:rFonts w:cs="Arial"/>
          <w:i/>
          <w:lang w:val="es-MX"/>
        </w:rPr>
        <w:t>desempeñó o está desempeñando las labores de Gerente del Proyecto y/o interventor de los siguientes proyectos en su calidad de Jefe de Oficina de informática durante el lapso comprendido entre el 22 de octubre de 2002 y la fecha de expedición de la presente”</w:t>
      </w:r>
      <w:r w:rsidRPr="008E399A">
        <w:rPr>
          <w:rStyle w:val="Refdenotaalpie"/>
          <w:rFonts w:cs="Arial"/>
          <w:i/>
          <w:lang w:val="es-MX"/>
        </w:rPr>
        <w:footnoteReference w:id="22"/>
      </w:r>
      <w:r w:rsidRPr="008E399A">
        <w:rPr>
          <w:rFonts w:cs="Arial"/>
          <w:lang w:val="es-MX"/>
        </w:rPr>
        <w:t xml:space="preserve">. </w:t>
      </w:r>
    </w:p>
    <w:p w14:paraId="52BD3975" w14:textId="77777777" w:rsidR="00FB42CA" w:rsidRPr="008E399A" w:rsidRDefault="00FB42CA" w:rsidP="00FB42CA">
      <w:pPr>
        <w:widowControl w:val="0"/>
        <w:autoSpaceDE w:val="0"/>
        <w:autoSpaceDN w:val="0"/>
        <w:adjustRightInd w:val="0"/>
        <w:rPr>
          <w:rFonts w:cs="Arial"/>
          <w:lang w:val="es-MX"/>
        </w:rPr>
      </w:pPr>
    </w:p>
    <w:p w14:paraId="4052109A" w14:textId="77777777" w:rsidR="00FB42CA" w:rsidRPr="008E399A" w:rsidRDefault="00FB42CA" w:rsidP="00FB42CA">
      <w:pPr>
        <w:widowControl w:val="0"/>
        <w:autoSpaceDE w:val="0"/>
        <w:autoSpaceDN w:val="0"/>
        <w:adjustRightInd w:val="0"/>
        <w:ind w:left="927"/>
        <w:rPr>
          <w:rFonts w:cs="Arial"/>
          <w:lang w:val="es-MX"/>
        </w:rPr>
      </w:pPr>
      <w:r w:rsidRPr="008E399A">
        <w:rPr>
          <w:rFonts w:cs="Arial"/>
          <w:lang w:val="es-MX"/>
        </w:rPr>
        <w:t xml:space="preserve">A continuación del texto anterior, se plasmó un cuadro en el que se relacionaron treinta tres contratos, discriminando en sus columnas el número del contrato, el objeto del mismo, el período de ejecución y el valor del proyecto. De esa gráfica se extrae que la ejecución de actividades como interventor de los proyectos allí relacionados se llevó a cabo entre el 31 de diciembre de 2002 y </w:t>
      </w:r>
      <w:r w:rsidRPr="008E399A">
        <w:rPr>
          <w:rFonts w:cs="Arial"/>
          <w:u w:val="single"/>
          <w:lang w:val="es-MX"/>
        </w:rPr>
        <w:t>el 5 de mayo de 2011</w:t>
      </w:r>
      <w:r w:rsidRPr="008E399A">
        <w:rPr>
          <w:rFonts w:cs="Arial"/>
          <w:lang w:val="es-MX"/>
        </w:rPr>
        <w:t xml:space="preserve">. </w:t>
      </w:r>
    </w:p>
    <w:p w14:paraId="2753A848" w14:textId="77777777" w:rsidR="00FB42CA" w:rsidRPr="008E399A" w:rsidRDefault="00FB42CA" w:rsidP="00FB42CA">
      <w:pPr>
        <w:widowControl w:val="0"/>
        <w:autoSpaceDE w:val="0"/>
        <w:autoSpaceDN w:val="0"/>
        <w:adjustRightInd w:val="0"/>
        <w:rPr>
          <w:rFonts w:cs="Arial"/>
          <w:lang w:val="es-MX"/>
        </w:rPr>
      </w:pPr>
    </w:p>
    <w:p w14:paraId="4F6B9ECF"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El 2 de julio de 2014, el comité evaluador de la ANTV rindió informe preliminar, en el cual se concluyó lo siguiente frente a la valoración técnica habilitante</w:t>
      </w:r>
      <w:r w:rsidRPr="008E399A">
        <w:rPr>
          <w:rStyle w:val="Refdenotaalpie"/>
          <w:rFonts w:cs="Arial"/>
          <w:lang w:val="es-MX"/>
        </w:rPr>
        <w:footnoteReference w:id="23"/>
      </w:r>
      <w:r w:rsidRPr="008E399A">
        <w:rPr>
          <w:rFonts w:cs="Arial"/>
          <w:lang w:val="es-MX"/>
        </w:rPr>
        <w:t xml:space="preserve"> (se transcribe literal, incluso con posibles errores): </w:t>
      </w:r>
    </w:p>
    <w:p w14:paraId="6EB83E11" w14:textId="77777777" w:rsidR="00FB42CA" w:rsidRPr="008E399A" w:rsidRDefault="00FB42CA" w:rsidP="00FB42CA">
      <w:pPr>
        <w:widowControl w:val="0"/>
        <w:autoSpaceDE w:val="0"/>
        <w:autoSpaceDN w:val="0"/>
        <w:adjustRightInd w:val="0"/>
        <w:rPr>
          <w:rFonts w:cs="Arial"/>
          <w: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489"/>
        <w:gridCol w:w="1498"/>
        <w:gridCol w:w="871"/>
        <w:gridCol w:w="1044"/>
        <w:gridCol w:w="1263"/>
        <w:gridCol w:w="1332"/>
      </w:tblGrid>
      <w:tr w:rsidR="00FB42CA" w:rsidRPr="008E399A" w14:paraId="61FDE4AB" w14:textId="77777777" w:rsidTr="00F208D4">
        <w:tc>
          <w:tcPr>
            <w:tcW w:w="0" w:type="auto"/>
            <w:shd w:val="clear" w:color="auto" w:fill="auto"/>
          </w:tcPr>
          <w:p w14:paraId="2D320E55"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REQUISITOS HABILITANTES TECNICOS</w:t>
            </w:r>
          </w:p>
        </w:tc>
        <w:tc>
          <w:tcPr>
            <w:tcW w:w="0" w:type="auto"/>
            <w:shd w:val="clear" w:color="auto" w:fill="auto"/>
          </w:tcPr>
          <w:p w14:paraId="745CABF7"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UNION TEMPORAL INTERVENTORIA CONCESIONES</w:t>
            </w:r>
          </w:p>
        </w:tc>
        <w:tc>
          <w:tcPr>
            <w:tcW w:w="0" w:type="auto"/>
            <w:shd w:val="clear" w:color="auto" w:fill="auto"/>
          </w:tcPr>
          <w:p w14:paraId="223E21D0" w14:textId="77777777" w:rsidR="00FB42CA" w:rsidRPr="008E399A" w:rsidRDefault="00FB42CA" w:rsidP="00F208D4">
            <w:pPr>
              <w:widowControl w:val="0"/>
              <w:autoSpaceDE w:val="0"/>
              <w:autoSpaceDN w:val="0"/>
              <w:adjustRightInd w:val="0"/>
              <w:rPr>
                <w:rFonts w:cs="Arial"/>
                <w:b/>
                <w:i/>
                <w:lang w:val="es-MX"/>
              </w:rPr>
            </w:pPr>
            <w:r w:rsidRPr="008E399A">
              <w:rPr>
                <w:rFonts w:cs="Arial"/>
                <w:b/>
                <w:i/>
                <w:lang w:val="es-MX"/>
              </w:rPr>
              <w:t>CONSORCIO INTERVENTORIA CONCESIONES TV</w:t>
            </w:r>
          </w:p>
        </w:tc>
        <w:tc>
          <w:tcPr>
            <w:tcW w:w="0" w:type="auto"/>
            <w:shd w:val="clear" w:color="auto" w:fill="auto"/>
          </w:tcPr>
          <w:p w14:paraId="44A3DE70"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BDO AUDIT S.A.</w:t>
            </w:r>
          </w:p>
        </w:tc>
        <w:tc>
          <w:tcPr>
            <w:tcW w:w="0" w:type="auto"/>
            <w:shd w:val="clear" w:color="auto" w:fill="auto"/>
          </w:tcPr>
          <w:p w14:paraId="5D99392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WSP COLOMBIA S.A.S.</w:t>
            </w:r>
          </w:p>
        </w:tc>
        <w:tc>
          <w:tcPr>
            <w:tcW w:w="0" w:type="auto"/>
            <w:shd w:val="clear" w:color="auto" w:fill="auto"/>
          </w:tcPr>
          <w:p w14:paraId="5A32EF3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JAHV MACGREGOR S.A. </w:t>
            </w:r>
          </w:p>
        </w:tc>
        <w:tc>
          <w:tcPr>
            <w:tcW w:w="0" w:type="auto"/>
            <w:shd w:val="clear" w:color="auto" w:fill="auto"/>
          </w:tcPr>
          <w:p w14:paraId="6F105E48"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APPLUIS NORCONTROL COLOMBIA LTDA.</w:t>
            </w:r>
          </w:p>
        </w:tc>
      </w:tr>
      <w:tr w:rsidR="00FB42CA" w:rsidRPr="008E399A" w14:paraId="77FC32BE" w14:textId="77777777" w:rsidTr="00F208D4">
        <w:tc>
          <w:tcPr>
            <w:tcW w:w="0" w:type="auto"/>
            <w:shd w:val="clear" w:color="auto" w:fill="auto"/>
          </w:tcPr>
          <w:p w14:paraId="643A5F57"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EXPERIENCIA </w:t>
            </w:r>
            <w:r w:rsidRPr="008E399A">
              <w:rPr>
                <w:rFonts w:cs="Arial"/>
                <w:i/>
                <w:lang w:val="es-MX"/>
              </w:rPr>
              <w:lastRenderedPageBreak/>
              <w:t>PROPONENTE</w:t>
            </w:r>
          </w:p>
        </w:tc>
        <w:tc>
          <w:tcPr>
            <w:tcW w:w="0" w:type="auto"/>
            <w:shd w:val="clear" w:color="auto" w:fill="auto"/>
          </w:tcPr>
          <w:p w14:paraId="2E688A0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lastRenderedPageBreak/>
              <w:t xml:space="preserve">CUMPLE </w:t>
            </w:r>
          </w:p>
        </w:tc>
        <w:tc>
          <w:tcPr>
            <w:tcW w:w="0" w:type="auto"/>
            <w:shd w:val="clear" w:color="auto" w:fill="auto"/>
          </w:tcPr>
          <w:p w14:paraId="7B8457A7"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1F23A073"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w:t>
            </w:r>
            <w:r w:rsidRPr="008E399A">
              <w:rPr>
                <w:rFonts w:cs="Arial"/>
                <w:i/>
                <w:lang w:val="es-MX"/>
              </w:rPr>
              <w:lastRenderedPageBreak/>
              <w:t>PLE</w:t>
            </w:r>
          </w:p>
        </w:tc>
        <w:tc>
          <w:tcPr>
            <w:tcW w:w="0" w:type="auto"/>
            <w:shd w:val="clear" w:color="auto" w:fill="auto"/>
          </w:tcPr>
          <w:p w14:paraId="34CF1C24"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lastRenderedPageBreak/>
              <w:t>NO CUMP</w:t>
            </w:r>
            <w:r w:rsidRPr="008E399A">
              <w:rPr>
                <w:rFonts w:cs="Arial"/>
                <w:i/>
                <w:lang w:val="es-MX"/>
              </w:rPr>
              <w:lastRenderedPageBreak/>
              <w:t>LE</w:t>
            </w:r>
          </w:p>
        </w:tc>
        <w:tc>
          <w:tcPr>
            <w:tcW w:w="0" w:type="auto"/>
            <w:shd w:val="clear" w:color="auto" w:fill="auto"/>
          </w:tcPr>
          <w:p w14:paraId="08776C0B"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lastRenderedPageBreak/>
              <w:t>CUMPLE</w:t>
            </w:r>
          </w:p>
        </w:tc>
        <w:tc>
          <w:tcPr>
            <w:tcW w:w="0" w:type="auto"/>
            <w:shd w:val="clear" w:color="auto" w:fill="auto"/>
          </w:tcPr>
          <w:p w14:paraId="6878A91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r>
      <w:tr w:rsidR="00FB42CA" w:rsidRPr="008E399A" w14:paraId="614CE790" w14:textId="77777777" w:rsidTr="00F208D4">
        <w:tc>
          <w:tcPr>
            <w:tcW w:w="0" w:type="auto"/>
            <w:shd w:val="clear" w:color="auto" w:fill="auto"/>
          </w:tcPr>
          <w:p w14:paraId="21339D3C" w14:textId="77777777" w:rsidR="00FB42CA" w:rsidRPr="008E399A" w:rsidRDefault="00FB42CA" w:rsidP="00F208D4">
            <w:pPr>
              <w:widowControl w:val="0"/>
              <w:autoSpaceDE w:val="0"/>
              <w:autoSpaceDN w:val="0"/>
              <w:adjustRightInd w:val="0"/>
              <w:rPr>
                <w:rFonts w:cs="Arial"/>
                <w:b/>
                <w:i/>
                <w:lang w:val="es-MX"/>
              </w:rPr>
            </w:pPr>
            <w:r w:rsidRPr="008E399A">
              <w:rPr>
                <w:rFonts w:cs="Arial"/>
                <w:b/>
                <w:i/>
                <w:lang w:val="es-MX"/>
              </w:rPr>
              <w:lastRenderedPageBreak/>
              <w:t xml:space="preserve">FORMACIÓN Y EXPERIENCIA EQUIPO DE TRABAJO </w:t>
            </w:r>
          </w:p>
        </w:tc>
        <w:tc>
          <w:tcPr>
            <w:tcW w:w="0" w:type="auto"/>
            <w:shd w:val="clear" w:color="auto" w:fill="auto"/>
          </w:tcPr>
          <w:p w14:paraId="5423C42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7B295007" w14:textId="77777777" w:rsidR="00FB42CA" w:rsidRPr="008E399A" w:rsidRDefault="00FB42CA" w:rsidP="00F208D4">
            <w:pPr>
              <w:widowControl w:val="0"/>
              <w:autoSpaceDE w:val="0"/>
              <w:autoSpaceDN w:val="0"/>
              <w:adjustRightInd w:val="0"/>
              <w:rPr>
                <w:rFonts w:cs="Arial"/>
                <w:b/>
                <w:i/>
                <w:lang w:val="es-MX"/>
              </w:rPr>
            </w:pPr>
            <w:r w:rsidRPr="008E399A">
              <w:rPr>
                <w:rFonts w:cs="Arial"/>
                <w:b/>
                <w:i/>
                <w:lang w:val="es-MX"/>
              </w:rPr>
              <w:t xml:space="preserve">NO CUMPLE </w:t>
            </w:r>
          </w:p>
        </w:tc>
        <w:tc>
          <w:tcPr>
            <w:tcW w:w="0" w:type="auto"/>
            <w:shd w:val="clear" w:color="auto" w:fill="auto"/>
          </w:tcPr>
          <w:p w14:paraId="7AF0156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c>
          <w:tcPr>
            <w:tcW w:w="0" w:type="auto"/>
            <w:shd w:val="clear" w:color="auto" w:fill="auto"/>
          </w:tcPr>
          <w:p w14:paraId="6771E9CE"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c>
          <w:tcPr>
            <w:tcW w:w="0" w:type="auto"/>
            <w:shd w:val="clear" w:color="auto" w:fill="auto"/>
          </w:tcPr>
          <w:p w14:paraId="18237881"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23D2993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r>
      <w:tr w:rsidR="00FB42CA" w:rsidRPr="008E399A" w14:paraId="709665FD" w14:textId="77777777" w:rsidTr="00F208D4">
        <w:tc>
          <w:tcPr>
            <w:tcW w:w="0" w:type="auto"/>
            <w:shd w:val="clear" w:color="auto" w:fill="auto"/>
          </w:tcPr>
          <w:p w14:paraId="5E5C6091"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Director Proyecto </w:t>
            </w:r>
          </w:p>
        </w:tc>
        <w:tc>
          <w:tcPr>
            <w:tcW w:w="0" w:type="auto"/>
            <w:shd w:val="clear" w:color="auto" w:fill="auto"/>
          </w:tcPr>
          <w:p w14:paraId="18F1920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067C4AAD"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6949756F"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CUMPLE </w:t>
            </w:r>
          </w:p>
        </w:tc>
        <w:tc>
          <w:tcPr>
            <w:tcW w:w="0" w:type="auto"/>
            <w:shd w:val="clear" w:color="auto" w:fill="auto"/>
          </w:tcPr>
          <w:p w14:paraId="422B1212"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 CUMPLE</w:t>
            </w:r>
          </w:p>
        </w:tc>
        <w:tc>
          <w:tcPr>
            <w:tcW w:w="0" w:type="auto"/>
            <w:shd w:val="clear" w:color="auto" w:fill="auto"/>
          </w:tcPr>
          <w:p w14:paraId="096101D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6990BC58"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r>
      <w:tr w:rsidR="00FB42CA" w:rsidRPr="008E399A" w14:paraId="7F82A81D" w14:textId="77777777" w:rsidTr="00F208D4">
        <w:tc>
          <w:tcPr>
            <w:tcW w:w="0" w:type="auto"/>
            <w:shd w:val="clear" w:color="auto" w:fill="auto"/>
          </w:tcPr>
          <w:p w14:paraId="54D39BF0"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Asesor Financiero</w:t>
            </w:r>
          </w:p>
        </w:tc>
        <w:tc>
          <w:tcPr>
            <w:tcW w:w="0" w:type="auto"/>
            <w:shd w:val="clear" w:color="auto" w:fill="auto"/>
          </w:tcPr>
          <w:p w14:paraId="551217EF"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c>
          <w:tcPr>
            <w:tcW w:w="0" w:type="auto"/>
            <w:shd w:val="clear" w:color="auto" w:fill="auto"/>
          </w:tcPr>
          <w:p w14:paraId="322D0C2F"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0539312F"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7E207DD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3F886990"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6F4685A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r>
      <w:tr w:rsidR="00FB42CA" w:rsidRPr="008E399A" w14:paraId="31CD39C1" w14:textId="77777777" w:rsidTr="00F208D4">
        <w:tc>
          <w:tcPr>
            <w:tcW w:w="0" w:type="auto"/>
            <w:shd w:val="clear" w:color="auto" w:fill="auto"/>
          </w:tcPr>
          <w:p w14:paraId="52786D53"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Asesor Jurídico </w:t>
            </w:r>
          </w:p>
        </w:tc>
        <w:tc>
          <w:tcPr>
            <w:tcW w:w="0" w:type="auto"/>
            <w:shd w:val="clear" w:color="auto" w:fill="auto"/>
          </w:tcPr>
          <w:p w14:paraId="7106EEAD"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c>
          <w:tcPr>
            <w:tcW w:w="0" w:type="auto"/>
            <w:shd w:val="clear" w:color="auto" w:fill="auto"/>
          </w:tcPr>
          <w:p w14:paraId="31FF67C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2E3CD36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6E86B9EE"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4197E36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7AFC080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r>
      <w:tr w:rsidR="00FB42CA" w:rsidRPr="008E399A" w14:paraId="7A55FE3C" w14:textId="77777777" w:rsidTr="00F208D4">
        <w:tc>
          <w:tcPr>
            <w:tcW w:w="0" w:type="auto"/>
            <w:shd w:val="clear" w:color="auto" w:fill="auto"/>
          </w:tcPr>
          <w:p w14:paraId="292D7DF3"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Asesor de Prog. y Contenidos </w:t>
            </w:r>
          </w:p>
        </w:tc>
        <w:tc>
          <w:tcPr>
            <w:tcW w:w="0" w:type="auto"/>
            <w:shd w:val="clear" w:color="auto" w:fill="auto"/>
          </w:tcPr>
          <w:p w14:paraId="5145AF24"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CUMPLE </w:t>
            </w:r>
          </w:p>
        </w:tc>
        <w:tc>
          <w:tcPr>
            <w:tcW w:w="0" w:type="auto"/>
            <w:shd w:val="clear" w:color="auto" w:fill="auto"/>
          </w:tcPr>
          <w:p w14:paraId="795CC613"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7727CA7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4C8F82A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38946D3B"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312F3020"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NO CUMPLE</w:t>
            </w:r>
          </w:p>
        </w:tc>
      </w:tr>
      <w:tr w:rsidR="00FB42CA" w:rsidRPr="008E399A" w14:paraId="5F2E46E2" w14:textId="77777777" w:rsidTr="00F208D4">
        <w:tc>
          <w:tcPr>
            <w:tcW w:w="0" w:type="auto"/>
            <w:shd w:val="clear" w:color="auto" w:fill="auto"/>
          </w:tcPr>
          <w:p w14:paraId="50072FFE"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OFERTA TÉCNICA /Num. 4.4.3.) </w:t>
            </w:r>
          </w:p>
        </w:tc>
        <w:tc>
          <w:tcPr>
            <w:tcW w:w="0" w:type="auto"/>
            <w:shd w:val="clear" w:color="auto" w:fill="auto"/>
          </w:tcPr>
          <w:p w14:paraId="3EC90834"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CUMPLE </w:t>
            </w:r>
          </w:p>
        </w:tc>
        <w:tc>
          <w:tcPr>
            <w:tcW w:w="0" w:type="auto"/>
            <w:shd w:val="clear" w:color="auto" w:fill="auto"/>
          </w:tcPr>
          <w:p w14:paraId="414C8011"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2ED9E97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NO CUMPLE </w:t>
            </w:r>
          </w:p>
        </w:tc>
        <w:tc>
          <w:tcPr>
            <w:tcW w:w="0" w:type="auto"/>
            <w:shd w:val="clear" w:color="auto" w:fill="auto"/>
          </w:tcPr>
          <w:p w14:paraId="78DE332C"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7F5E20FB"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CUMPLE</w:t>
            </w:r>
          </w:p>
        </w:tc>
        <w:tc>
          <w:tcPr>
            <w:tcW w:w="0" w:type="auto"/>
            <w:shd w:val="clear" w:color="auto" w:fill="auto"/>
          </w:tcPr>
          <w:p w14:paraId="59244314"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CUMPLE </w:t>
            </w:r>
          </w:p>
        </w:tc>
      </w:tr>
      <w:tr w:rsidR="00FB42CA" w:rsidRPr="008E399A" w14:paraId="2F648FD1" w14:textId="77777777" w:rsidTr="00F208D4">
        <w:tc>
          <w:tcPr>
            <w:tcW w:w="0" w:type="auto"/>
            <w:shd w:val="clear" w:color="auto" w:fill="auto"/>
          </w:tcPr>
          <w:p w14:paraId="0D62262B" w14:textId="77777777" w:rsidR="00FB42CA" w:rsidRPr="008E399A" w:rsidRDefault="00FB42CA" w:rsidP="00F208D4">
            <w:pPr>
              <w:widowControl w:val="0"/>
              <w:autoSpaceDE w:val="0"/>
              <w:autoSpaceDN w:val="0"/>
              <w:adjustRightInd w:val="0"/>
              <w:rPr>
                <w:rFonts w:cs="Arial"/>
                <w:i/>
                <w:lang w:val="es-MX"/>
              </w:rPr>
            </w:pPr>
          </w:p>
        </w:tc>
        <w:tc>
          <w:tcPr>
            <w:tcW w:w="0" w:type="auto"/>
            <w:shd w:val="clear" w:color="auto" w:fill="auto"/>
          </w:tcPr>
          <w:p w14:paraId="095EFFD7" w14:textId="77777777" w:rsidR="00FB42CA" w:rsidRPr="008E399A" w:rsidRDefault="00FB42CA" w:rsidP="00F208D4">
            <w:pPr>
              <w:widowControl w:val="0"/>
              <w:autoSpaceDE w:val="0"/>
              <w:autoSpaceDN w:val="0"/>
              <w:adjustRightInd w:val="0"/>
              <w:rPr>
                <w:rFonts w:cs="Arial"/>
                <w:i/>
                <w:lang w:val="es-MX"/>
              </w:rPr>
            </w:pPr>
          </w:p>
        </w:tc>
        <w:tc>
          <w:tcPr>
            <w:tcW w:w="0" w:type="auto"/>
            <w:shd w:val="clear" w:color="auto" w:fill="auto"/>
          </w:tcPr>
          <w:p w14:paraId="1C8981C5" w14:textId="77777777" w:rsidR="00FB42CA" w:rsidRPr="008E399A" w:rsidRDefault="00FB42CA" w:rsidP="00F208D4">
            <w:pPr>
              <w:widowControl w:val="0"/>
              <w:autoSpaceDE w:val="0"/>
              <w:autoSpaceDN w:val="0"/>
              <w:adjustRightInd w:val="0"/>
              <w:rPr>
                <w:rFonts w:cs="Arial"/>
                <w:i/>
                <w:lang w:val="es-MX"/>
              </w:rPr>
            </w:pPr>
          </w:p>
        </w:tc>
        <w:tc>
          <w:tcPr>
            <w:tcW w:w="0" w:type="auto"/>
            <w:shd w:val="clear" w:color="auto" w:fill="auto"/>
          </w:tcPr>
          <w:p w14:paraId="624431EA" w14:textId="77777777" w:rsidR="00FB42CA" w:rsidRPr="008E399A" w:rsidRDefault="00FB42CA" w:rsidP="00F208D4">
            <w:pPr>
              <w:widowControl w:val="0"/>
              <w:autoSpaceDE w:val="0"/>
              <w:autoSpaceDN w:val="0"/>
              <w:adjustRightInd w:val="0"/>
              <w:rPr>
                <w:rFonts w:cs="Arial"/>
                <w:i/>
                <w:lang w:val="es-MX"/>
              </w:rPr>
            </w:pPr>
          </w:p>
        </w:tc>
        <w:tc>
          <w:tcPr>
            <w:tcW w:w="0" w:type="auto"/>
            <w:shd w:val="clear" w:color="auto" w:fill="auto"/>
          </w:tcPr>
          <w:p w14:paraId="6D3BC58E" w14:textId="77777777" w:rsidR="00FB42CA" w:rsidRPr="008E399A" w:rsidRDefault="00FB42CA" w:rsidP="00F208D4">
            <w:pPr>
              <w:widowControl w:val="0"/>
              <w:autoSpaceDE w:val="0"/>
              <w:autoSpaceDN w:val="0"/>
              <w:adjustRightInd w:val="0"/>
              <w:rPr>
                <w:rFonts w:cs="Arial"/>
                <w:i/>
                <w:lang w:val="es-MX"/>
              </w:rPr>
            </w:pPr>
          </w:p>
        </w:tc>
        <w:tc>
          <w:tcPr>
            <w:tcW w:w="0" w:type="auto"/>
            <w:shd w:val="clear" w:color="auto" w:fill="auto"/>
          </w:tcPr>
          <w:p w14:paraId="2916D9D7" w14:textId="77777777" w:rsidR="00FB42CA" w:rsidRPr="008E399A" w:rsidRDefault="00FB42CA" w:rsidP="00F208D4">
            <w:pPr>
              <w:widowControl w:val="0"/>
              <w:autoSpaceDE w:val="0"/>
              <w:autoSpaceDN w:val="0"/>
              <w:adjustRightInd w:val="0"/>
              <w:rPr>
                <w:rFonts w:cs="Arial"/>
                <w:i/>
                <w:lang w:val="es-MX"/>
              </w:rPr>
            </w:pPr>
          </w:p>
        </w:tc>
        <w:tc>
          <w:tcPr>
            <w:tcW w:w="0" w:type="auto"/>
            <w:shd w:val="clear" w:color="auto" w:fill="auto"/>
          </w:tcPr>
          <w:p w14:paraId="6CAFCD51" w14:textId="77777777" w:rsidR="00FB42CA" w:rsidRPr="008E399A" w:rsidRDefault="00FB42CA" w:rsidP="00F208D4">
            <w:pPr>
              <w:widowControl w:val="0"/>
              <w:autoSpaceDE w:val="0"/>
              <w:autoSpaceDN w:val="0"/>
              <w:adjustRightInd w:val="0"/>
              <w:rPr>
                <w:rFonts w:cs="Arial"/>
                <w:i/>
                <w:lang w:val="es-MX"/>
              </w:rPr>
            </w:pPr>
          </w:p>
        </w:tc>
      </w:tr>
    </w:tbl>
    <w:p w14:paraId="3FEE1446" w14:textId="77777777" w:rsidR="00FB42CA" w:rsidRPr="008E399A" w:rsidRDefault="00FB42CA" w:rsidP="00FB42CA">
      <w:pPr>
        <w:widowControl w:val="0"/>
        <w:autoSpaceDE w:val="0"/>
        <w:autoSpaceDN w:val="0"/>
        <w:adjustRightInd w:val="0"/>
        <w:rPr>
          <w:rFonts w:cs="Arial"/>
          <w:i/>
          <w:lang w:val="es-MX"/>
        </w:rPr>
      </w:pPr>
      <w:r w:rsidRPr="008E399A">
        <w:rPr>
          <w:rFonts w:cs="Arial"/>
          <w:i/>
          <w:lang w:val="es-MX"/>
        </w:rPr>
        <w:t xml:space="preserve"> </w:t>
      </w:r>
    </w:p>
    <w:p w14:paraId="2B8CA8F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“NOTA: Acorde con lo señalado en el detalle de evaluación técnica publicado junto con el presente documento, los proponentes podrán subsanar aquellos requisitos de carácter habilitante según lo indicado en cada caso, dentro del término de traslado del informe de evaluación conforme lo establecido en el parágrafo del artículo 5 de la Ley 1150 de 2007.</w:t>
      </w:r>
    </w:p>
    <w:p w14:paraId="4E3B8012" w14:textId="77777777" w:rsidR="00FB42CA" w:rsidRPr="008E399A" w:rsidRDefault="00FB42CA" w:rsidP="00FB42CA">
      <w:pPr>
        <w:widowControl w:val="0"/>
        <w:autoSpaceDE w:val="0"/>
        <w:autoSpaceDN w:val="0"/>
        <w:adjustRightInd w:val="0"/>
        <w:rPr>
          <w:rFonts w:cs="Arial"/>
          <w:i/>
          <w:lang w:val="es-MX"/>
        </w:rPr>
      </w:pPr>
    </w:p>
    <w:p w14:paraId="5BAD190A" w14:textId="77777777" w:rsidR="00FB42CA" w:rsidRPr="008E399A" w:rsidRDefault="00FB42CA" w:rsidP="00FB42CA">
      <w:pPr>
        <w:widowControl w:val="0"/>
        <w:autoSpaceDE w:val="0"/>
        <w:autoSpaceDN w:val="0"/>
        <w:adjustRightInd w:val="0"/>
        <w:ind w:firstLine="567"/>
        <w:rPr>
          <w:rFonts w:cs="Arial"/>
          <w:i/>
          <w:lang w:val="es-MX"/>
        </w:rPr>
      </w:pPr>
      <w:r w:rsidRPr="008E399A">
        <w:rPr>
          <w:rFonts w:cs="Arial"/>
          <w:i/>
          <w:lang w:val="es-MX"/>
        </w:rPr>
        <w:t xml:space="preserve">“IV. ASIGNACIÓN DE PUNTAJE: </w:t>
      </w:r>
    </w:p>
    <w:p w14:paraId="1AA6810F" w14:textId="77777777" w:rsidR="00FB42CA" w:rsidRPr="008E399A" w:rsidRDefault="00FB42CA" w:rsidP="00FB42CA">
      <w:pPr>
        <w:widowControl w:val="0"/>
        <w:autoSpaceDE w:val="0"/>
        <w:autoSpaceDN w:val="0"/>
        <w:adjustRightInd w:val="0"/>
        <w:rPr>
          <w:rFonts w:cs="Arial"/>
          <w: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217"/>
      </w:tblGrid>
      <w:tr w:rsidR="00FB42CA" w:rsidRPr="008E399A" w14:paraId="4D649E40" w14:textId="77777777" w:rsidTr="00F208D4">
        <w:tc>
          <w:tcPr>
            <w:tcW w:w="0" w:type="auto"/>
            <w:shd w:val="clear" w:color="auto" w:fill="auto"/>
          </w:tcPr>
          <w:p w14:paraId="00B1C98F"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lastRenderedPageBreak/>
              <w:t xml:space="preserve">ASIGNACION DE PUNTAJE </w:t>
            </w:r>
          </w:p>
        </w:tc>
        <w:tc>
          <w:tcPr>
            <w:tcW w:w="0" w:type="auto"/>
            <w:shd w:val="clear" w:color="auto" w:fill="auto"/>
          </w:tcPr>
          <w:p w14:paraId="3F8E33C3" w14:textId="77777777" w:rsidR="00FB42CA" w:rsidRPr="008E399A" w:rsidRDefault="00FB42CA" w:rsidP="00F208D4">
            <w:pPr>
              <w:widowControl w:val="0"/>
              <w:autoSpaceDE w:val="0"/>
              <w:autoSpaceDN w:val="0"/>
              <w:adjustRightInd w:val="0"/>
              <w:rPr>
                <w:rFonts w:cs="Arial"/>
                <w:i/>
                <w:lang w:val="es-MX"/>
              </w:rPr>
            </w:pPr>
          </w:p>
        </w:tc>
      </w:tr>
      <w:tr w:rsidR="00FB42CA" w:rsidRPr="008E399A" w14:paraId="74E291A3" w14:textId="77777777" w:rsidTr="00F208D4">
        <w:tc>
          <w:tcPr>
            <w:tcW w:w="0" w:type="auto"/>
            <w:shd w:val="clear" w:color="auto" w:fill="auto"/>
          </w:tcPr>
          <w:p w14:paraId="2817DD7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PROPONENTE: JAHV MC GREGOR S.A.</w:t>
            </w:r>
          </w:p>
        </w:tc>
        <w:tc>
          <w:tcPr>
            <w:tcW w:w="0" w:type="auto"/>
            <w:shd w:val="clear" w:color="auto" w:fill="auto"/>
          </w:tcPr>
          <w:p w14:paraId="3697B409" w14:textId="77777777" w:rsidR="00FB42CA" w:rsidRPr="008E399A" w:rsidRDefault="00FB42CA" w:rsidP="00F208D4">
            <w:pPr>
              <w:widowControl w:val="0"/>
              <w:autoSpaceDE w:val="0"/>
              <w:autoSpaceDN w:val="0"/>
              <w:adjustRightInd w:val="0"/>
              <w:rPr>
                <w:rFonts w:cs="Arial"/>
                <w:i/>
                <w:lang w:val="es-MX"/>
              </w:rPr>
            </w:pPr>
          </w:p>
        </w:tc>
      </w:tr>
      <w:tr w:rsidR="00FB42CA" w:rsidRPr="008E399A" w14:paraId="0FFC1038" w14:textId="77777777" w:rsidTr="00F208D4">
        <w:tc>
          <w:tcPr>
            <w:tcW w:w="0" w:type="auto"/>
            <w:shd w:val="clear" w:color="auto" w:fill="auto"/>
          </w:tcPr>
          <w:p w14:paraId="32FA084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CRITERIO </w:t>
            </w:r>
          </w:p>
        </w:tc>
        <w:tc>
          <w:tcPr>
            <w:tcW w:w="0" w:type="auto"/>
            <w:shd w:val="clear" w:color="auto" w:fill="auto"/>
          </w:tcPr>
          <w:p w14:paraId="3D1CABEA"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PUNTOS </w:t>
            </w:r>
          </w:p>
        </w:tc>
      </w:tr>
      <w:tr w:rsidR="00FB42CA" w:rsidRPr="008E399A" w14:paraId="6FFC9612" w14:textId="77777777" w:rsidTr="00F208D4">
        <w:tc>
          <w:tcPr>
            <w:tcW w:w="0" w:type="auto"/>
            <w:shd w:val="clear" w:color="auto" w:fill="auto"/>
          </w:tcPr>
          <w:p w14:paraId="5406F083"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EXPERIENCIA ESPECIFICA DEL PROPONENTE </w:t>
            </w:r>
          </w:p>
        </w:tc>
        <w:tc>
          <w:tcPr>
            <w:tcW w:w="0" w:type="auto"/>
            <w:shd w:val="clear" w:color="auto" w:fill="auto"/>
          </w:tcPr>
          <w:p w14:paraId="2945A5F6"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300</w:t>
            </w:r>
          </w:p>
        </w:tc>
      </w:tr>
      <w:tr w:rsidR="00FB42CA" w:rsidRPr="008E399A" w14:paraId="6B111B90" w14:textId="77777777" w:rsidTr="00F208D4">
        <w:tc>
          <w:tcPr>
            <w:tcW w:w="0" w:type="auto"/>
            <w:shd w:val="clear" w:color="auto" w:fill="auto"/>
          </w:tcPr>
          <w:p w14:paraId="48162A3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EXPERIENCIA EQUIPO DE TRABAJO </w:t>
            </w:r>
          </w:p>
        </w:tc>
        <w:tc>
          <w:tcPr>
            <w:tcW w:w="0" w:type="auto"/>
            <w:shd w:val="clear" w:color="auto" w:fill="auto"/>
          </w:tcPr>
          <w:p w14:paraId="155EA5F3"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185</w:t>
            </w:r>
          </w:p>
        </w:tc>
      </w:tr>
      <w:tr w:rsidR="00FB42CA" w:rsidRPr="008E399A" w14:paraId="2A18BFEA" w14:textId="77777777" w:rsidTr="00F208D4">
        <w:tc>
          <w:tcPr>
            <w:tcW w:w="0" w:type="auto"/>
            <w:shd w:val="clear" w:color="auto" w:fill="auto"/>
          </w:tcPr>
          <w:p w14:paraId="0A5B5DAD"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APOYO INDUSTRIA NACIONAL</w:t>
            </w:r>
          </w:p>
        </w:tc>
        <w:tc>
          <w:tcPr>
            <w:tcW w:w="0" w:type="auto"/>
            <w:shd w:val="clear" w:color="auto" w:fill="auto"/>
          </w:tcPr>
          <w:p w14:paraId="6E255AC9"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100</w:t>
            </w:r>
          </w:p>
        </w:tc>
      </w:tr>
      <w:tr w:rsidR="00FB42CA" w:rsidRPr="008E399A" w14:paraId="303C7AE0" w14:textId="77777777" w:rsidTr="00F208D4">
        <w:tc>
          <w:tcPr>
            <w:tcW w:w="0" w:type="auto"/>
            <w:shd w:val="clear" w:color="auto" w:fill="auto"/>
          </w:tcPr>
          <w:p w14:paraId="12874742"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 xml:space="preserve">TOTAL </w:t>
            </w:r>
          </w:p>
        </w:tc>
        <w:tc>
          <w:tcPr>
            <w:tcW w:w="0" w:type="auto"/>
            <w:shd w:val="clear" w:color="auto" w:fill="auto"/>
          </w:tcPr>
          <w:p w14:paraId="6AC55AE2" w14:textId="77777777" w:rsidR="00FB42CA" w:rsidRPr="008E399A" w:rsidRDefault="00FB42CA" w:rsidP="00F208D4">
            <w:pPr>
              <w:widowControl w:val="0"/>
              <w:autoSpaceDE w:val="0"/>
              <w:autoSpaceDN w:val="0"/>
              <w:adjustRightInd w:val="0"/>
              <w:rPr>
                <w:rFonts w:cs="Arial"/>
                <w:i/>
                <w:lang w:val="es-MX"/>
              </w:rPr>
            </w:pPr>
            <w:r w:rsidRPr="008E399A">
              <w:rPr>
                <w:rFonts w:cs="Arial"/>
                <w:i/>
                <w:lang w:val="es-MX"/>
              </w:rPr>
              <w:t>585</w:t>
            </w:r>
          </w:p>
        </w:tc>
      </w:tr>
    </w:tbl>
    <w:p w14:paraId="1B42B713" w14:textId="77777777" w:rsidR="00FB42CA" w:rsidRPr="008E399A" w:rsidRDefault="00FB42CA" w:rsidP="00FB42CA">
      <w:pPr>
        <w:widowControl w:val="0"/>
        <w:autoSpaceDE w:val="0"/>
        <w:autoSpaceDN w:val="0"/>
        <w:adjustRightInd w:val="0"/>
        <w:rPr>
          <w:rFonts w:cs="Arial"/>
        </w:rPr>
      </w:pPr>
    </w:p>
    <w:p w14:paraId="69760341"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Mediante escrito del 7 de julio de 2014, el consorcio Interventoría Concesión TV presentó algunas aclaraciones, subsanaciones y observaciones en relación con el informe de evaluación preliminar que a continuación se destaca en lo pertinente</w:t>
      </w:r>
      <w:r w:rsidRPr="008E399A">
        <w:rPr>
          <w:rStyle w:val="Refdenotaalpie"/>
          <w:rFonts w:cs="Arial"/>
          <w:lang w:val="es-MX"/>
        </w:rPr>
        <w:footnoteReference w:id="24"/>
      </w:r>
      <w:r w:rsidRPr="008E399A">
        <w:rPr>
          <w:rFonts w:cs="Arial"/>
          <w:lang w:val="es-MX"/>
        </w:rPr>
        <w:t xml:space="preserve"> (se transcribe literal, incluso con posibles errores): </w:t>
      </w:r>
    </w:p>
    <w:p w14:paraId="6F67CD05"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 </w:t>
      </w:r>
    </w:p>
    <w:p w14:paraId="7C31350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“2.1. En lo que respecta específicamente al factor habilitante experiencia general mínima y máxima (en años), solicitada para el director general:</w:t>
      </w:r>
    </w:p>
    <w:p w14:paraId="06CCED7F" w14:textId="77777777" w:rsidR="00FB42CA" w:rsidRPr="008E399A" w:rsidRDefault="00FB42CA" w:rsidP="00FB42CA">
      <w:pPr>
        <w:widowControl w:val="0"/>
        <w:autoSpaceDE w:val="0"/>
        <w:autoSpaceDN w:val="0"/>
        <w:adjustRightInd w:val="0"/>
        <w:rPr>
          <w:rFonts w:cs="Arial"/>
          <w:lang w:val="es-MX"/>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312"/>
      </w:tblGrid>
      <w:tr w:rsidR="00FB42CA" w:rsidRPr="008E399A" w14:paraId="032752AC" w14:textId="77777777" w:rsidTr="00F208D4">
        <w:tc>
          <w:tcPr>
            <w:tcW w:w="1365" w:type="dxa"/>
            <w:shd w:val="clear" w:color="auto" w:fill="auto"/>
          </w:tcPr>
          <w:p w14:paraId="7EBFD668" w14:textId="77777777" w:rsidR="00FB42CA" w:rsidRPr="008E399A" w:rsidRDefault="00FB42CA" w:rsidP="00F208D4">
            <w:pPr>
              <w:widowControl w:val="0"/>
              <w:autoSpaceDE w:val="0"/>
              <w:autoSpaceDN w:val="0"/>
              <w:adjustRightInd w:val="0"/>
              <w:spacing w:line="240" w:lineRule="auto"/>
              <w:rPr>
                <w:rFonts w:cs="Arial"/>
                <w:b/>
                <w:i/>
                <w:lang w:val="es-MX"/>
              </w:rPr>
            </w:pPr>
            <w:r w:rsidRPr="008E399A">
              <w:rPr>
                <w:rFonts w:cs="Arial"/>
                <w:b/>
                <w:i/>
                <w:lang w:val="es-MX"/>
              </w:rPr>
              <w:t>EXPERIENCIA GENERAL MÍNIMA Y MÁXIMA (EN AÑOS)</w:t>
            </w:r>
          </w:p>
        </w:tc>
        <w:tc>
          <w:tcPr>
            <w:tcW w:w="0" w:type="auto"/>
            <w:shd w:val="clear" w:color="auto" w:fill="auto"/>
          </w:tcPr>
          <w:p w14:paraId="2091599B"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Mínimo 8 años en los últimos 12 años.</w:t>
            </w:r>
          </w:p>
        </w:tc>
      </w:tr>
    </w:tbl>
    <w:p w14:paraId="169B4F47" w14:textId="77777777" w:rsidR="00FB42CA" w:rsidRPr="008E399A" w:rsidRDefault="00FB42CA" w:rsidP="00FB42CA">
      <w:pPr>
        <w:widowControl w:val="0"/>
        <w:autoSpaceDE w:val="0"/>
        <w:autoSpaceDN w:val="0"/>
        <w:adjustRightInd w:val="0"/>
        <w:rPr>
          <w:rFonts w:cs="Arial"/>
          <w:lang w:val="es-MX"/>
        </w:rPr>
      </w:pPr>
    </w:p>
    <w:p w14:paraId="5F3D1283"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u w:val="single"/>
          <w:lang w:val="es-MX"/>
        </w:rPr>
        <w:t>“El consorcio interventoría Concesión TV, se permite subsanar el factor habilitante experiencia general con las siguientes certificaciones laborales, complementarias y/o aclaratorias del señor Edgar Augusto Fuertes Puerto</w:t>
      </w:r>
      <w:r w:rsidRPr="008E399A">
        <w:rPr>
          <w:rFonts w:cs="Arial"/>
          <w:i/>
          <w:lang w:val="es-MX"/>
        </w:rPr>
        <w:t xml:space="preserve">, identificado con cédula de ciudadanía No. 79’054.250 de Bogotá, el cual está propuesto para el cargo de Director General. </w:t>
      </w:r>
    </w:p>
    <w:p w14:paraId="44FC1384" w14:textId="77777777" w:rsidR="00FB42CA" w:rsidRPr="008E399A" w:rsidRDefault="00FB42CA" w:rsidP="00FB42CA">
      <w:pPr>
        <w:widowControl w:val="0"/>
        <w:autoSpaceDE w:val="0"/>
        <w:autoSpaceDN w:val="0"/>
        <w:adjustRightInd w:val="0"/>
        <w:rPr>
          <w:rFonts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749"/>
        <w:gridCol w:w="1298"/>
        <w:gridCol w:w="1440"/>
        <w:gridCol w:w="1002"/>
        <w:gridCol w:w="1761"/>
      </w:tblGrid>
      <w:tr w:rsidR="00FB42CA" w:rsidRPr="008E399A" w14:paraId="3CD24EB7" w14:textId="77777777" w:rsidTr="00F208D4">
        <w:tc>
          <w:tcPr>
            <w:tcW w:w="0" w:type="auto"/>
            <w:shd w:val="clear" w:color="auto" w:fill="auto"/>
          </w:tcPr>
          <w:p w14:paraId="15858653"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Empresa y entidad certificante </w:t>
            </w:r>
          </w:p>
        </w:tc>
        <w:tc>
          <w:tcPr>
            <w:tcW w:w="0" w:type="auto"/>
            <w:shd w:val="clear" w:color="auto" w:fill="auto"/>
          </w:tcPr>
          <w:p w14:paraId="3E7EC9B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Cargo desempeñado </w:t>
            </w:r>
          </w:p>
        </w:tc>
        <w:tc>
          <w:tcPr>
            <w:tcW w:w="0" w:type="auto"/>
            <w:shd w:val="clear" w:color="auto" w:fill="auto"/>
          </w:tcPr>
          <w:p w14:paraId="210C2CDF"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Fecha de inicio </w:t>
            </w:r>
          </w:p>
        </w:tc>
        <w:tc>
          <w:tcPr>
            <w:tcW w:w="0" w:type="auto"/>
            <w:shd w:val="clear" w:color="auto" w:fill="auto"/>
          </w:tcPr>
          <w:p w14:paraId="6B2228DF"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Fecha de terminación </w:t>
            </w:r>
          </w:p>
        </w:tc>
        <w:tc>
          <w:tcPr>
            <w:tcW w:w="0" w:type="auto"/>
            <w:shd w:val="clear" w:color="auto" w:fill="auto"/>
          </w:tcPr>
          <w:p w14:paraId="1886E641"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Tiempo de servicio (en años) </w:t>
            </w:r>
          </w:p>
        </w:tc>
        <w:tc>
          <w:tcPr>
            <w:tcW w:w="0" w:type="auto"/>
            <w:shd w:val="clear" w:color="auto" w:fill="auto"/>
          </w:tcPr>
          <w:p w14:paraId="0A3C0D2E"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Observaciones </w:t>
            </w:r>
          </w:p>
        </w:tc>
      </w:tr>
      <w:tr w:rsidR="00FB42CA" w:rsidRPr="008E399A" w14:paraId="59395BE1" w14:textId="77777777" w:rsidTr="00F208D4">
        <w:tc>
          <w:tcPr>
            <w:tcW w:w="0" w:type="auto"/>
            <w:shd w:val="clear" w:color="auto" w:fill="auto"/>
          </w:tcPr>
          <w:p w14:paraId="6B229460"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KBT Sociedad por acciones Simplificadas con sigla KBYT SAS  Anexo No. 2</w:t>
            </w:r>
          </w:p>
        </w:tc>
        <w:tc>
          <w:tcPr>
            <w:tcW w:w="0" w:type="auto"/>
            <w:shd w:val="clear" w:color="auto" w:fill="auto"/>
          </w:tcPr>
          <w:p w14:paraId="28A3152C"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Vicepresidente de servicios Tecnológicos Consultoría y socio </w:t>
            </w:r>
          </w:p>
        </w:tc>
        <w:tc>
          <w:tcPr>
            <w:tcW w:w="0" w:type="auto"/>
            <w:shd w:val="clear" w:color="auto" w:fill="auto"/>
          </w:tcPr>
          <w:p w14:paraId="136FFAD9"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Diecisiete (17) de noviembre de 2010</w:t>
            </w:r>
          </w:p>
        </w:tc>
        <w:tc>
          <w:tcPr>
            <w:tcW w:w="0" w:type="auto"/>
            <w:shd w:val="clear" w:color="auto" w:fill="auto"/>
          </w:tcPr>
          <w:p w14:paraId="49F723B5"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A la fecha de expedición de la presente certificación continúa laborando en la compañía </w:t>
            </w:r>
            <w:r w:rsidRPr="008E399A">
              <w:rPr>
                <w:rFonts w:cs="Arial"/>
                <w:i/>
                <w:lang w:val="es-MX"/>
              </w:rPr>
              <w:lastRenderedPageBreak/>
              <w:t xml:space="preserve">(20 de junio de 2014) </w:t>
            </w:r>
          </w:p>
        </w:tc>
        <w:tc>
          <w:tcPr>
            <w:tcW w:w="0" w:type="auto"/>
            <w:shd w:val="clear" w:color="auto" w:fill="auto"/>
          </w:tcPr>
          <w:p w14:paraId="2921BE88"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lastRenderedPageBreak/>
              <w:t>3,59</w:t>
            </w:r>
          </w:p>
        </w:tc>
        <w:tc>
          <w:tcPr>
            <w:tcW w:w="0" w:type="auto"/>
            <w:shd w:val="clear" w:color="auto" w:fill="auto"/>
          </w:tcPr>
          <w:p w14:paraId="0E9730D7"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A esta certificación se tuvo en cuenta el tiempo entre el 17 de noviembre de 2010 y el 20 de junio de 2014</w:t>
            </w:r>
          </w:p>
        </w:tc>
      </w:tr>
      <w:tr w:rsidR="00FB42CA" w:rsidRPr="008E399A" w14:paraId="32A65F52" w14:textId="77777777" w:rsidTr="00F208D4">
        <w:tc>
          <w:tcPr>
            <w:tcW w:w="0" w:type="auto"/>
            <w:shd w:val="clear" w:color="auto" w:fill="auto"/>
          </w:tcPr>
          <w:p w14:paraId="0886B44A"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lastRenderedPageBreak/>
              <w:t xml:space="preserve">Fondo Nacional del Ahorro -FNA (Esta certificación confirma la fecha de retiro, toda vez que la certificación anexa a nuestra propuesta en folios 315 al 324 ya certificaba su vinculación al FNA desde el 22 de octubre de 2002 y su continuación laborando para la fecha de expedición de la certificación. (Anexo 3) </w:t>
            </w:r>
          </w:p>
        </w:tc>
        <w:tc>
          <w:tcPr>
            <w:tcW w:w="0" w:type="auto"/>
            <w:shd w:val="clear" w:color="auto" w:fill="auto"/>
          </w:tcPr>
          <w:p w14:paraId="32BF1D6D"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Jefe de la Oficina Informática </w:t>
            </w:r>
          </w:p>
        </w:tc>
        <w:tc>
          <w:tcPr>
            <w:tcW w:w="0" w:type="auto"/>
            <w:shd w:val="clear" w:color="auto" w:fill="auto"/>
          </w:tcPr>
          <w:p w14:paraId="68D8AE52"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Veintidós (22) de octubre de 2002 </w:t>
            </w:r>
          </w:p>
        </w:tc>
        <w:tc>
          <w:tcPr>
            <w:tcW w:w="0" w:type="auto"/>
            <w:shd w:val="clear" w:color="auto" w:fill="auto"/>
          </w:tcPr>
          <w:p w14:paraId="5BA463D1"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Cuatro de noviembre de 2010</w:t>
            </w:r>
          </w:p>
        </w:tc>
        <w:tc>
          <w:tcPr>
            <w:tcW w:w="0" w:type="auto"/>
            <w:shd w:val="clear" w:color="auto" w:fill="auto"/>
          </w:tcPr>
          <w:p w14:paraId="4C963592"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8,04</w:t>
            </w:r>
          </w:p>
        </w:tc>
        <w:tc>
          <w:tcPr>
            <w:tcW w:w="0" w:type="auto"/>
            <w:shd w:val="clear" w:color="auto" w:fill="auto"/>
          </w:tcPr>
          <w:p w14:paraId="39920A6A"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A esta certificación se le tuvo en cuenta el tiempo entre el 22 de octubre de 2002 y el 4 de noviembre de 2010</w:t>
            </w:r>
          </w:p>
        </w:tc>
      </w:tr>
      <w:tr w:rsidR="00FB42CA" w:rsidRPr="008E399A" w14:paraId="15FF29B6" w14:textId="77777777" w:rsidTr="00F208D4">
        <w:tc>
          <w:tcPr>
            <w:tcW w:w="0" w:type="auto"/>
            <w:shd w:val="clear" w:color="auto" w:fill="auto"/>
          </w:tcPr>
          <w:p w14:paraId="33A3AC53"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Universidad de los Libertadores </w:t>
            </w:r>
          </w:p>
        </w:tc>
        <w:tc>
          <w:tcPr>
            <w:tcW w:w="0" w:type="auto"/>
            <w:shd w:val="clear" w:color="auto" w:fill="auto"/>
          </w:tcPr>
          <w:p w14:paraId="2916B655"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Profesor </w:t>
            </w:r>
          </w:p>
        </w:tc>
        <w:tc>
          <w:tcPr>
            <w:tcW w:w="0" w:type="auto"/>
            <w:shd w:val="clear" w:color="auto" w:fill="auto"/>
          </w:tcPr>
          <w:p w14:paraId="675DADF9"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Veintitrés (23) de octubre de 1999 </w:t>
            </w:r>
          </w:p>
        </w:tc>
        <w:tc>
          <w:tcPr>
            <w:tcW w:w="0" w:type="auto"/>
            <w:shd w:val="clear" w:color="auto" w:fill="auto"/>
          </w:tcPr>
          <w:p w14:paraId="0FE81428"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 xml:space="preserve">Quince (15) de noviembre de 2002 </w:t>
            </w:r>
          </w:p>
        </w:tc>
        <w:tc>
          <w:tcPr>
            <w:tcW w:w="0" w:type="auto"/>
            <w:shd w:val="clear" w:color="auto" w:fill="auto"/>
          </w:tcPr>
          <w:p w14:paraId="555A0F2F"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0,34</w:t>
            </w:r>
          </w:p>
        </w:tc>
        <w:tc>
          <w:tcPr>
            <w:tcW w:w="0" w:type="auto"/>
            <w:shd w:val="clear" w:color="auto" w:fill="auto"/>
          </w:tcPr>
          <w:p w14:paraId="7B0550F1" w14:textId="77777777" w:rsidR="00FB42CA" w:rsidRPr="008E399A" w:rsidRDefault="00FB42CA" w:rsidP="00F208D4">
            <w:pPr>
              <w:widowControl w:val="0"/>
              <w:autoSpaceDE w:val="0"/>
              <w:autoSpaceDN w:val="0"/>
              <w:adjustRightInd w:val="0"/>
              <w:spacing w:line="240" w:lineRule="auto"/>
              <w:rPr>
                <w:rFonts w:cs="Arial"/>
                <w:i/>
                <w:lang w:val="es-MX"/>
              </w:rPr>
            </w:pPr>
            <w:r w:rsidRPr="008E399A">
              <w:rPr>
                <w:rFonts w:cs="Arial"/>
                <w:i/>
                <w:lang w:val="es-MX"/>
              </w:rPr>
              <w:t>A esta certificación se le tuvo en cuenta el tiempo entre el 20 de junio de 202 y el 21 de octubre de 2002</w:t>
            </w:r>
          </w:p>
        </w:tc>
      </w:tr>
    </w:tbl>
    <w:p w14:paraId="78EFDDD7" w14:textId="77777777" w:rsidR="00FB42CA" w:rsidRPr="008E399A" w:rsidRDefault="00FB42CA" w:rsidP="00FB42CA">
      <w:pPr>
        <w:widowControl w:val="0"/>
        <w:autoSpaceDE w:val="0"/>
        <w:autoSpaceDN w:val="0"/>
        <w:adjustRightInd w:val="0"/>
        <w:spacing w:line="240" w:lineRule="auto"/>
        <w:rPr>
          <w:rFonts w:cs="Arial"/>
          <w:lang w:val="es-MX"/>
        </w:rPr>
      </w:pPr>
    </w:p>
    <w:p w14:paraId="251E8030"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“Sumados todos los años laborados en el período comprendido entre el 20 de junio de 2002 y el 20 de junio de 2014, es decir, durante los últimos doce (12 años), el total es de años de experiencia general habilitante de nuestro candidato. </w:t>
      </w:r>
    </w:p>
    <w:p w14:paraId="1E286750"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0F10328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“SOLICITUD</w:t>
      </w:r>
    </w:p>
    <w:p w14:paraId="7B6FC71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“De acuerdo con lo establecido en los pliego de condiciones página 68 en lo que respecta a EXPERIENCIA GENERAL MINIMA Y MAXIMA (EN AÑOS), lo cual es un factor habilitante, solicitamos corregir la evaluación preliminar realizar por la ANTV en lo que respecta al total en años de Experiencia GENERAL con que cuenta nuestro candidato a Director </w:t>
      </w:r>
      <w:r w:rsidRPr="008E399A">
        <w:rPr>
          <w:rFonts w:cs="Arial"/>
          <w:i/>
          <w:lang w:val="es-MX"/>
        </w:rPr>
        <w:lastRenderedPageBreak/>
        <w:t xml:space="preserve">General del Proyecto en los último doce (12) años, toda vez que como se soporta con las certificaciones, el tiempo  de experiencia general de nuestro candidato a Director General del Proyecto es de (11,97) años. </w:t>
      </w:r>
    </w:p>
    <w:p w14:paraId="0A360AA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643C38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00B196A6"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7ED080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“Como ya se había mencionado en la certificación anexa a la propuesta en los folios 0315 al 0324, certificación de fecha treinta (30) de julio de 2010 y firmada por el entonces Presidente y Representante Legal del Fondo Nacional del Ahorro en el folio 0315, aparece mencionado específicamente que el candidato ejerció el cargo o rol de Gerente y/o interventor en su calidad de jefe de la oficina Informática al Fondo Nacional del Ahorro – FNA.</w:t>
      </w:r>
    </w:p>
    <w:p w14:paraId="1B5A482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18E709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“Vale mencionar que el cargo de jefe de la Oficina de Informática en el FNA durante todo el tiempo en el que lo desempeñó nuestro candidato a Director General del Proyecto y hasta la fecha, ha sido un cargo Directivo en el FNA, cargo que le reportaba y le sigue actualmente reportando al Presidente de la entidad.</w:t>
      </w:r>
    </w:p>
    <w:p w14:paraId="0081E65D"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 </w:t>
      </w:r>
    </w:p>
    <w:p w14:paraId="126F365C"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“Dentro de las funciones propias del cargo que ostentó en el FNA, en los folios 325 a 327, se relacionó la resolución No. 215 del 4 de noviembre de 2003, por la cual el Presidente del Fondo Nacional del Ahorro de la época reglamentó las funciones de interventoría y supervisión de los contratos que suscribe el FNA.</w:t>
      </w:r>
    </w:p>
    <w:p w14:paraId="4F85203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4131DD8C"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310D13E2"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DC09EA4"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“También debemos aclarar que ninguno de los Proyectos o contratos relacionados en el anexo 5 folio 0301 de nuestra propuesta, para efectos de cumplimiento del habilitante establecido en los pliegos de condiciones en lo que respecta a la experiencia específica literal a) del Director General se encuentran sus fechas de inicio y de terminación fuera de las fechas de inicio y de terminación de la actividad laboral en el en el FNA de nuestro candidato a Director General.</w:t>
      </w:r>
    </w:p>
    <w:p w14:paraId="4192D5BD"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91E9D8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668E5D7E"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EA5AAF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“De los treinta y tres proyectos o contratos, en los últimos seis (6) y relacionados en los folios 0322, 0323 y 0324 se supera la fecha de terminación de los contratos con respecto a la finalización de la actividad laboral de nuestro candidato a Director General.</w:t>
      </w:r>
    </w:p>
    <w:p w14:paraId="349D0A7E"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07A85D51"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“La razón que las fechas de terminación de estos seis (6) contratos sea posterior, significa que nuestro candidato a Director General fue el Gerente y/o interventor de los mismos hasta el último día de labores en el FNA, fecha a partir de la cual su sucesor continuo ejerciendo las labores de Gerente y/o interventor . Todas las entidades y/o empresas </w:t>
      </w:r>
      <w:r w:rsidRPr="008E399A">
        <w:rPr>
          <w:rFonts w:cs="Arial"/>
          <w:i/>
          <w:lang w:val="es-MX"/>
        </w:rPr>
        <w:lastRenderedPageBreak/>
        <w:t>estatales de acuerdo con la legislación cada vez que haya cambio de un directivo presentan este tipo de situaciones.</w:t>
      </w:r>
    </w:p>
    <w:p w14:paraId="6110A23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62C4E94"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 </w:t>
      </w:r>
    </w:p>
    <w:p w14:paraId="7CCF76D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3E0F8966"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“En el certificado anexa a nuestra propuesta en los folios 0315 al 0324, en el encabezado de la certificación folio 0315, quedó claramente establecido que nuestro candidato a Director General desempeñó el cargo de jefe de la Oficina de informática del FNA en el lapso comprendido entre el veinte dos (22) de octubre de 2002 y el cuatro (4) de noviembre de 2010, es decir, por un lapso de 8 años y 13 días.</w:t>
      </w:r>
    </w:p>
    <w:p w14:paraId="7516DFCC"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09949BD6"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252B04A3"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E5D94E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“De igual forma en los folios 325 al 327 de nuestra propuesta, se relacionó la resolución No. 215 del 4 de noviembre de 2003, por la cual el Presidente del fondo Nacional de Ahorro de la época reglamentó las funciones de interventoría y Supervisión de los contratos que suscribe el FNA, es decir, el Jefe de la Oficina Informática del FNA tenía dentro de sus funciones la responsabilidad de los proyectos o contratos estatales.</w:t>
      </w:r>
    </w:p>
    <w:p w14:paraId="6726BB9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3F7369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4DF63B8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A56DA32"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“Reafirma este requisito habilitante la certificación expedida el veinte y uno (21) de febrero de 2011 por la jefe de la División de Gestión Humana del FNA en donde consta que nuestro candidato a Director General laboró en el Fondo Nacional del Ahorro – FNA, empresa industrial y comercial del Estado, en el lapso comprendido entre el veinte y dos (22) de octubre de 2002 y el cuatro (4) de noviembre de 2010, es decir, laboró durante ocho (8) años y trece (13) días. </w:t>
      </w:r>
    </w:p>
    <w:p w14:paraId="70FDB1C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4F9A7583"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“Con la certificación anexa en los folios 0315 al 0324 de nuestra propuesta, no solo se cumple con lo solicitado como habilitante en el literal b) de los pliegos de condiciones, sino que se cumple con el factor calificable de  experiencia adicional del equipo de trabajo solicitado para el director del proyecto en la página 78 del pliego de condiciones y que dice que se otorgaran 65 puntos adicionales, al director del proyecto que cuente con dos (2) años o más de experiencia (adicional a la mínima habilitante) en cargo directivos en empresas de servicios públicos o entidades estatales, (ejecutados en los sectores TIC, servicios públicos, entidades de control o Superintendencias).</w:t>
      </w:r>
    </w:p>
    <w:p w14:paraId="739B086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1D9EC4F1"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“SOLICITUD</w:t>
      </w:r>
    </w:p>
    <w:p w14:paraId="6EF623E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“Asignar los sesenta y cinco (65) puntos que indican en la página 78, se le asignarán al Director de proyecto que cuente con una experiencia de Dos (2= años o más de experiencia (Adicional a la mínima habilitante) en cargos directivos en empresas de servicios públicos, entidades de control o Superintendencias).</w:t>
      </w:r>
    </w:p>
    <w:p w14:paraId="73CBF9EE"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340157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“SOLICITUD</w:t>
      </w:r>
    </w:p>
    <w:p w14:paraId="7C84A017"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“asignar los sesenta y cinco (65) puntos que indican en la página 79, se le asignaran al Director de proyecto que Haber participado en dos (2) o más proyectos (adicionales a los mínimos habilitantes) de consultoría o interventoría a proyectos o contratos estatales diferentes de obra pública; y cuyas funciones involucren o en desarrollo de las cuales haya realizado interventoría a proyectos diferentes de obra pública”. </w:t>
      </w:r>
    </w:p>
    <w:p w14:paraId="06FE8A2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6E07582E"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El anexo No. 3 anunciado correspondió a la certificación expedida el 21 de febrero de 2011 por el jefe de división de gestión humana del Fondo Nacional del Ahorro</w:t>
      </w:r>
      <w:r w:rsidRPr="008E399A">
        <w:rPr>
          <w:rStyle w:val="Refdenotaalpie"/>
          <w:rFonts w:cs="Arial"/>
          <w:lang w:val="es-MX"/>
        </w:rPr>
        <w:footnoteReference w:id="25"/>
      </w:r>
      <w:r w:rsidRPr="008E399A">
        <w:rPr>
          <w:rFonts w:cs="Arial"/>
          <w:lang w:val="es-MX"/>
        </w:rPr>
        <w:t xml:space="preserve"> (se transcribe literal, incluso con posibles errores): </w:t>
      </w:r>
    </w:p>
    <w:p w14:paraId="2ACEBE4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86623B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“Que el doctor EDGAR AUGUSTO FUERTES PUERTO, identificado con cédula de ciudadanía No. 79’054.250, prestó sus servicios en esta Entidad desde el día 22 de octubre de 2002, de conformidad con el Contrato Individual de Trabajo No. 0063 de Igual fecha, hasta el día 4 de noviembre de 2010, en el cargo de Jefe de la Oficina de Informática, siendo este su último cargo en la Entidad.</w:t>
      </w:r>
    </w:p>
    <w:p w14:paraId="6175550F"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6D4D0D05"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“Que durante el tiempo en que estuvo vinculado a la Entidad, fue encargado de las funciones de Jefe de la Oficina de Planeación mediante Resolución No. 0276 de fecha 19 de diciembre de 2003, entre el 22 de diciembre de 2001 y el 14 de enero de 2004; y mediante Resolución No. 148 de fecha 16 de julio de 2009 entre el 23 de julio y el 13 de agosto de 2009.</w:t>
      </w:r>
    </w:p>
    <w:p w14:paraId="3FF95A3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C071BA4"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“Que el doctor EDGAR AUGUSTO FUERTES PUERTO, fue encargado como Presidente de la Entidad desde el día 7 al 21 de mayo de 2010, según Decreto No. 0775 de fecha 22 de abril de 2010; desde el día 25 al 28 de mayo de 2010 según Decreto No. 0948 de fecha 19 de mayo de 2010; desde el 16 al 8 de junio de 2010 según Decreto No. 1072 de fecha 8 de junio de 2010. Desde el día 3 de agosto de 2010 fue encargado de las funciones del Despacho del presidente, de conformidad con el Decreto No. 2765 de 2010 de fecha 3 de agosto de 2010 hasta el día 14 de septiembre de 2010”.</w:t>
      </w:r>
    </w:p>
    <w:p w14:paraId="17BC41BD" w14:textId="77777777" w:rsidR="00FB42CA" w:rsidRPr="008E399A" w:rsidRDefault="00FB42CA" w:rsidP="00FB42CA">
      <w:pPr>
        <w:widowControl w:val="0"/>
        <w:autoSpaceDE w:val="0"/>
        <w:autoSpaceDN w:val="0"/>
        <w:adjustRightInd w:val="0"/>
        <w:rPr>
          <w:rFonts w:cs="Arial"/>
          <w:lang w:val="es-MX"/>
        </w:rPr>
      </w:pPr>
    </w:p>
    <w:p w14:paraId="2C32BD5D"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 En documento del 9 de julio de 2014, la ANTV condensó las observaciones formuladas por los proponentes frente al informe preliminar de evaluación y las respuestas a las mismas, en los siguientes términos: </w:t>
      </w:r>
    </w:p>
    <w:p w14:paraId="31975A20"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  </w:t>
      </w:r>
    </w:p>
    <w:p w14:paraId="16694017"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Respecto de las observaciones presentadas por el oferente consorcio Interventoría </w:t>
      </w:r>
      <w:r w:rsidRPr="008E399A">
        <w:rPr>
          <w:rFonts w:cs="Arial"/>
          <w:lang w:val="es-MX"/>
        </w:rPr>
        <w:lastRenderedPageBreak/>
        <w:t xml:space="preserve">Concesión TV se lee (se transcribe literal, incluso con posibles errores): </w:t>
      </w:r>
    </w:p>
    <w:p w14:paraId="5ECC6A40" w14:textId="77777777" w:rsidR="00FB42CA" w:rsidRPr="008E399A" w:rsidRDefault="00FB42CA" w:rsidP="00FB42CA">
      <w:pPr>
        <w:widowControl w:val="0"/>
        <w:autoSpaceDE w:val="0"/>
        <w:autoSpaceDN w:val="0"/>
        <w:adjustRightInd w:val="0"/>
        <w:rPr>
          <w:rFonts w:cs="Arial"/>
          <w:lang w:val="es-MX"/>
        </w:rPr>
      </w:pPr>
    </w:p>
    <w:p w14:paraId="6315066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“3.- En cuanto a la solicitud del numeral 2.1., sobre el cargo del Director General, entendiéndose que los documentos aportados por el proponente hacen referencia a requisitos habilitantes dentro del presente concurso de méritos, de conformidad con lo establecido en parágrafo 1 del artículo 5 de la ley 1150 de 2007, los mismos serán objeto de valoración acorde con lo señalado en el pliego de condiciones.</w:t>
      </w:r>
    </w:p>
    <w:p w14:paraId="38A429A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“Por tanto, para efectos de habilitación y puntaje se tendrá en cuanto la certificación aportada por el proponente, expedida por el Fondo Nacional del Ahorro, dentro de los plazos señalados en la certificación, esto es entre el 22 de octubre de 2002 y el 04 de noviembre de 2010; en tanto que, en relación con la certificación expedida por sociedad KBT S.A.S., ésta será incluida en la evaluación solo para efectos habilitantes.</w:t>
      </w:r>
    </w:p>
    <w:p w14:paraId="0CDF1CB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665DC75C"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“4.- Respecto de la solicitud del numeral 2.2. sobre el cargo del Director General, una vez analizada la posición del proponente y verificada la perspectiva que al respecto ha sumido la honorable Corte Constitucional, se aceptan los argumentos presentados por el Consorcio Interventoría Concesión T.V. </w:t>
      </w:r>
    </w:p>
    <w:p w14:paraId="36B612AD"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01F7532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“Lo anterior, toda vez que tal y como lo señale el proponente, en el pliego de condiciones no se definió para efectos del concurso de mérito la expresión “servicios públicos”.</w:t>
      </w:r>
    </w:p>
    <w:p w14:paraId="083E1D5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1F87D74"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“Así, considerando que en sentencia C-244 de 2009 la Corte calificó la actividad financiera, esfera dentro de la cual desarrollo sus actividades en el FNA, como un ‘servicio público’, la certificación expedida por esa Entidad será tenida en cuenta para el cumplimiento de lo establecida en el literal a) de la experiencia especifica exigida al Director del Proyecto.</w:t>
      </w:r>
    </w:p>
    <w:p w14:paraId="44F1BCB9" w14:textId="77777777" w:rsidR="00FB42CA" w:rsidRPr="008E399A" w:rsidRDefault="00FB42CA" w:rsidP="00FB42CA">
      <w:pPr>
        <w:widowControl w:val="0"/>
        <w:autoSpaceDE w:val="0"/>
        <w:autoSpaceDN w:val="0"/>
        <w:adjustRightInd w:val="0"/>
        <w:spacing w:line="276" w:lineRule="auto"/>
        <w:ind w:right="567"/>
        <w:rPr>
          <w:rFonts w:cs="Arial"/>
          <w:i/>
          <w:lang w:val="es-MX"/>
        </w:rPr>
      </w:pPr>
    </w:p>
    <w:p w14:paraId="08E1DDDA"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“En cuanto hace alusión a la experiencia certificada PGN, aportada con el escrito de subsanación, esta no se incluirá en la experiencia general, por cuanto el lapso en ella certificado resulta anterior es decir al señalado en el pliego de condiciones, es decir, es anterior al 20 de junio de 2002. Tampoco será tenida en cuenta para el cómputo de la experiencia específica, por cuanto no reúne los requisitos establecidos en los literales a) y b)  del aparte pertinente a la experiencia especifica del Director General.</w:t>
      </w:r>
    </w:p>
    <w:p w14:paraId="5C08A319"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265EB0B"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w:t>
      </w:r>
    </w:p>
    <w:p w14:paraId="2AF6F39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5EEBC597"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“7. En cuanto a la solicitud del numeral 3.1., sobre el cargo de Asesor Financiero y Administrativo, aunque se acepta el aporte de certificaciones tendientes a respaldar el cumplimiento de la experiencia mínima habilitante, no se incluyen las mismas, toda vez que con las certificaciones aportadas inicialmente, se reúnen los requisitos </w:t>
      </w:r>
      <w:r w:rsidRPr="008E399A">
        <w:rPr>
          <w:rFonts w:cs="Arial"/>
          <w:i/>
          <w:lang w:val="es-MX"/>
        </w:rPr>
        <w:lastRenderedPageBreak/>
        <w:t>habilitantes exigidos en el pliego de condiciones.</w:t>
      </w:r>
    </w:p>
    <w:p w14:paraId="1608149D"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4F0B8DF2"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 “(…).</w:t>
      </w:r>
    </w:p>
    <w:p w14:paraId="09515EA0"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11A7CE36"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“9.- En cuanto a la solicitud del numeral 4.1 sobre el Cargo de Asesor Jurídico, procede igual comentario que el realizado frente al aporte de certificaciones del candidato al cargo de Asesor Financiero Administrativo, es decir, este profesional ya se encontraba habilitado, y solo se otorgara el respectivo puntaje en caso de que la propuesta resulte habilitada”.</w:t>
      </w:r>
    </w:p>
    <w:p w14:paraId="6D9E95ED"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7EA9AA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7E3C1F15"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Pues bien, del recuento efectuado, la Sala recuerda que la experiencia del equipo de trabajo fue ubicada en la categoría de requisito habilitante, mientras que la experiencia adicional que excediera la mínima exigida sería objeto de calificación.</w:t>
      </w:r>
    </w:p>
    <w:p w14:paraId="638152CD" w14:textId="77777777" w:rsidR="00FB42CA" w:rsidRPr="008E399A" w:rsidRDefault="00FB42CA" w:rsidP="00FB42CA">
      <w:pPr>
        <w:widowControl w:val="0"/>
        <w:autoSpaceDE w:val="0"/>
        <w:autoSpaceDN w:val="0"/>
        <w:adjustRightInd w:val="0"/>
        <w:rPr>
          <w:rFonts w:cs="Arial"/>
          <w:lang w:val="es-MX"/>
        </w:rPr>
      </w:pPr>
    </w:p>
    <w:p w14:paraId="73526B25"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En el caso del director de obra, la propuesta tendría 65 puntos por acreditar dos años o más adicionales en cargos directivos, en empresas de servicios públicos o entidades estatales correspondientes al sector de TIC, servicios públicos, entidades de control o Superintendencias y 65 puntos más por demostrar la participación en dos o más proyectos, adicionales a los habilitantes, de interventoría o consultoría a contratos estatales diferentes de obra pública; en total tendría un puntaje de 130 por el director de obra. </w:t>
      </w:r>
    </w:p>
    <w:p w14:paraId="3BE56121" w14:textId="77777777" w:rsidR="00FB42CA" w:rsidRPr="008E399A" w:rsidRDefault="00FB42CA" w:rsidP="00FB42CA">
      <w:pPr>
        <w:widowControl w:val="0"/>
        <w:autoSpaceDE w:val="0"/>
        <w:autoSpaceDN w:val="0"/>
        <w:adjustRightInd w:val="0"/>
        <w:rPr>
          <w:rFonts w:cs="Arial"/>
          <w:lang w:val="es-MX"/>
        </w:rPr>
      </w:pPr>
    </w:p>
    <w:p w14:paraId="69CBFE09"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Lo primero que hay que destacar en relación con este punto es que la manera en que fue diseñado el cumplimiento del requisito de experiencia de trabajo como factor puntuable se hallaba directamente ligado a la previa observancia del requisito habilitante, en tanto la calificación recaería sobre aquello que excediera el cumplimiento de este último. De ahí resulta claro que sí, de entrada, no se reunía el requisito de la experiencia del director de obra como factor habilitante, tampoco podía reputarse cumplido de inicio como factor puntuable. Se insiste en que se sometería a evaluación aquello que superara el mínimo habilitante, tanto en tiempo como en número de contratos intervenidos.</w:t>
      </w:r>
    </w:p>
    <w:p w14:paraId="51DD914F" w14:textId="77777777" w:rsidR="00FB42CA" w:rsidRPr="008E399A" w:rsidRDefault="00FB42CA" w:rsidP="00FB42CA">
      <w:pPr>
        <w:widowControl w:val="0"/>
        <w:autoSpaceDE w:val="0"/>
        <w:autoSpaceDN w:val="0"/>
        <w:adjustRightInd w:val="0"/>
        <w:rPr>
          <w:rFonts w:cs="Arial"/>
          <w:lang w:val="es-MX"/>
        </w:rPr>
      </w:pPr>
    </w:p>
    <w:p w14:paraId="3C1C6F12"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Siguiendo ese mismo esquema de pensamiento, de aceptarse la subsanación de ese requisito en orden a habilitar el proponente, tal circunstancia habría de impactar de manera directa ese factor de calificación. </w:t>
      </w:r>
    </w:p>
    <w:p w14:paraId="29DDEA8B" w14:textId="77777777" w:rsidR="00FB42CA" w:rsidRPr="008E399A" w:rsidRDefault="00FB42CA" w:rsidP="00FB42CA">
      <w:pPr>
        <w:widowControl w:val="0"/>
        <w:autoSpaceDE w:val="0"/>
        <w:autoSpaceDN w:val="0"/>
        <w:adjustRightInd w:val="0"/>
        <w:rPr>
          <w:rFonts w:cs="Arial"/>
          <w:lang w:val="es-MX"/>
        </w:rPr>
      </w:pPr>
    </w:p>
    <w:p w14:paraId="417BAAA4"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Dicho esto, la Sala observa que durante la etapa de subsanación y calificación de la oferta del </w:t>
      </w:r>
      <w:bookmarkStart w:id="3" w:name="_Hlk529606572"/>
      <w:r w:rsidRPr="008E399A">
        <w:rPr>
          <w:rFonts w:cs="Arial"/>
          <w:lang w:val="es-MX"/>
        </w:rPr>
        <w:t xml:space="preserve">consorcio interventoría Concesiones TV </w:t>
      </w:r>
      <w:bookmarkEnd w:id="3"/>
      <w:r w:rsidRPr="008E399A">
        <w:rPr>
          <w:rFonts w:cs="Arial"/>
          <w:lang w:val="es-MX"/>
        </w:rPr>
        <w:t xml:space="preserve">se configuraron ciertas </w:t>
      </w:r>
      <w:r w:rsidRPr="008E399A">
        <w:rPr>
          <w:rFonts w:cs="Arial"/>
          <w:lang w:val="es-MX"/>
        </w:rPr>
        <w:lastRenderedPageBreak/>
        <w:t xml:space="preserve">inconsistencias en relación con el cumplimiento del requisito de la experiencia del director de obra. Ciertamente, con el propósito de cumplir el requisito de experiencia del equipo de trabajo – director de obra, el consorcio interventoría Concesiones TV allegó con la propuesta tres certificaciones: una expedida por Procálculo, la segunda emitida por la Procuraduría General de la Nación y la tercera por el Fondo Nacional del Ahorro. </w:t>
      </w:r>
    </w:p>
    <w:p w14:paraId="404E2EBE" w14:textId="77777777" w:rsidR="00FB42CA" w:rsidRPr="008E399A" w:rsidRDefault="00FB42CA" w:rsidP="00FB42CA">
      <w:pPr>
        <w:widowControl w:val="0"/>
        <w:autoSpaceDE w:val="0"/>
        <w:autoSpaceDN w:val="0"/>
        <w:adjustRightInd w:val="0"/>
        <w:rPr>
          <w:rFonts w:cs="Arial"/>
          <w:lang w:val="es-MX"/>
        </w:rPr>
      </w:pPr>
    </w:p>
    <w:p w14:paraId="12640EB6"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Una vez sometida su propuesta a la etapa preliminar de evaluación, el comité evaluador conceptuó que no cumplía con el requisito habilitante relativo a la experiencia general y específica mínima del director de la obra. Consideró que no podían tenerse en cuenta las certificaciones procedentes de Procálculo y de la Procuraduría General de la Nación, por cuanto los períodos que en su contenido se hacían constar cobijaban un lapso cuya fecha de inicio no se encontraba dentro de los límites temporales previstos en el pliego para acreditar la experiencia mínima general (8 años durante los últimos 12 años).</w:t>
      </w:r>
    </w:p>
    <w:p w14:paraId="23950DDF" w14:textId="77777777" w:rsidR="00FB42CA" w:rsidRPr="008E399A" w:rsidRDefault="00FB42CA" w:rsidP="00FB42CA">
      <w:pPr>
        <w:widowControl w:val="0"/>
        <w:autoSpaceDE w:val="0"/>
        <w:autoSpaceDN w:val="0"/>
        <w:adjustRightInd w:val="0"/>
        <w:rPr>
          <w:rFonts w:cs="Arial"/>
          <w:lang w:val="es-MX"/>
        </w:rPr>
      </w:pPr>
    </w:p>
    <w:p w14:paraId="2841EEDE"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Frente a la certificación expedida por el Fondo Nacional de Ahorro, la entidad advirtió inconsistencias en las fechas registradas sobre la ejecución de contratos, toda vez que la certificación databa del 30 de julio de 2010 y las labores certificadas se extendía a una fecha posterior a su expedición, esto es, hasta el 5 de mayo de 2011; igualmente, la entidad formuló reparo respecto de las actividades certificadas y su correspondencia con un servicio público, con el ejercicio de cargos directivos y con su identidad con labores de interventoría, como lo exigía el pliego </w:t>
      </w:r>
    </w:p>
    <w:p w14:paraId="04757FBC" w14:textId="77777777" w:rsidR="00FB42CA" w:rsidRPr="008E399A" w:rsidRDefault="00FB42CA" w:rsidP="00FB42CA">
      <w:pPr>
        <w:widowControl w:val="0"/>
        <w:autoSpaceDE w:val="0"/>
        <w:autoSpaceDN w:val="0"/>
        <w:adjustRightInd w:val="0"/>
        <w:rPr>
          <w:rFonts w:cs="Arial"/>
          <w:lang w:val="es-MX"/>
        </w:rPr>
      </w:pPr>
    </w:p>
    <w:p w14:paraId="2AB214E8"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Ello motivó que, en el término de traslado del informe preliminar, el consorcio Interventoría Concesión TV presentara su escrito de observaciones a las demás propuestas y de subsanación y aclaración a la suya. </w:t>
      </w:r>
    </w:p>
    <w:p w14:paraId="0CD8D84F" w14:textId="77777777" w:rsidR="00FB42CA" w:rsidRPr="008E399A" w:rsidRDefault="00FB42CA" w:rsidP="00FB42CA">
      <w:pPr>
        <w:widowControl w:val="0"/>
        <w:autoSpaceDE w:val="0"/>
        <w:autoSpaceDN w:val="0"/>
        <w:adjustRightInd w:val="0"/>
        <w:rPr>
          <w:rFonts w:cs="Arial"/>
          <w:lang w:val="es-MX"/>
        </w:rPr>
      </w:pPr>
    </w:p>
    <w:p w14:paraId="75EF01DF"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En desarrollo de su argumentación explicó: i) que el Fondo Nacional del Ahorro era una entidad de naturaleza pública, que las actividades financieras que desempeñaba eran concebidas como servicios públicos, en términos de la jurisprudencia constitucional; ii) que, de conformidad con el reglamento del Fondo, el director general propuesto, en su condición de jefe de informática, llevaba a cabo las funciones de interventoría y supervisión de los contratos celebrados por el Fondo; iii) que la razón por la cual en la certificación aportada con la propuesta se aludía a una fecha de ejecución de contratos posterior a la de su expedición era porque, si bien el director ofrecido finalizó su actividad en ese fondo el 4 de </w:t>
      </w:r>
      <w:r w:rsidRPr="008E399A">
        <w:rPr>
          <w:rFonts w:cs="Arial"/>
          <w:lang w:val="es-MX"/>
        </w:rPr>
        <w:lastRenderedPageBreak/>
        <w:t xml:space="preserve">noviembre de 2010, su sucesor continuó ejerciendo las labores de interventoría hasta la fecha en que estaba prevista la terminación de esos contratos. </w:t>
      </w:r>
    </w:p>
    <w:p w14:paraId="6D27CA89" w14:textId="77777777" w:rsidR="00FB42CA" w:rsidRPr="008E399A" w:rsidRDefault="00FB42CA" w:rsidP="00FB42CA">
      <w:pPr>
        <w:widowControl w:val="0"/>
        <w:autoSpaceDE w:val="0"/>
        <w:autoSpaceDN w:val="0"/>
        <w:adjustRightInd w:val="0"/>
        <w:rPr>
          <w:rFonts w:cs="Arial"/>
          <w:lang w:val="es-MX"/>
        </w:rPr>
      </w:pPr>
    </w:p>
    <w:p w14:paraId="2A91D3CB"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A su escrito de subsanación el consorcio acompañó una nueva certificación expedida el 21 de febrero de 2011 por el Fondo Nacional del Ahorro, en la cual consignó que el ingeniero de sistemas Edgar Augusto Puerto laboró en esa entidad </w:t>
      </w:r>
      <w:r w:rsidRPr="008E399A">
        <w:rPr>
          <w:rFonts w:cs="Arial"/>
          <w:u w:val="single"/>
          <w:lang w:val="es-MX"/>
        </w:rPr>
        <w:t>entre el 22 de octubre de 2002 y el 4 de noviembre de 2010</w:t>
      </w:r>
      <w:r w:rsidRPr="008E399A">
        <w:rPr>
          <w:rFonts w:cs="Arial"/>
          <w:lang w:val="es-MX"/>
        </w:rPr>
        <w:t xml:space="preserve">. Adicionalmente, en ese escrito se especificaron los demás cargos desempeñados por ese funcionario dentro de esa entidad, en calidad de encargado, tales como jefe de la oficina de planeación, vicepresidente de riesgos y presidente del FNA. </w:t>
      </w:r>
    </w:p>
    <w:p w14:paraId="3776ED7C" w14:textId="77777777" w:rsidR="00FB42CA" w:rsidRPr="008E399A" w:rsidRDefault="00FB42CA" w:rsidP="00FB42CA">
      <w:pPr>
        <w:widowControl w:val="0"/>
        <w:autoSpaceDE w:val="0"/>
        <w:autoSpaceDN w:val="0"/>
        <w:adjustRightInd w:val="0"/>
        <w:rPr>
          <w:rFonts w:cs="Arial"/>
          <w:lang w:val="es-MX"/>
        </w:rPr>
      </w:pPr>
    </w:p>
    <w:p w14:paraId="6881869C"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En esa misma oportunidad, el consorcio allegó una nueva certificación expedida por la sociedad KBT, en la cual hizo constar que el ingeniero Edgar Augusto Fuertes Puerto se encontraba vinculado a esa sociedad desde el 17 de noviembre de 2010 y hasta la fecha, como vicepresidente de servicios tecnológicos y de consultoría, desempeñando funciones de gerencia de proyectos de interventoría y consultoría, dirección de proyectos e implementación de servicios de tecnologías de la información y de las telecomunicaciones. </w:t>
      </w:r>
    </w:p>
    <w:p w14:paraId="4C160356" w14:textId="77777777" w:rsidR="00FB42CA" w:rsidRPr="008E399A" w:rsidRDefault="00FB42CA" w:rsidP="00FB42CA">
      <w:pPr>
        <w:widowControl w:val="0"/>
        <w:autoSpaceDE w:val="0"/>
        <w:autoSpaceDN w:val="0"/>
        <w:adjustRightInd w:val="0"/>
        <w:rPr>
          <w:rFonts w:cs="Arial"/>
          <w:lang w:val="es-MX"/>
        </w:rPr>
      </w:pPr>
    </w:p>
    <w:p w14:paraId="038ACCF8"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 xml:space="preserve">Con base en lo anterior, la Autoridad Nacional de Televisión consideró que las aclaraciones y documentos aportados oportunamente por el consorcio permitían convalidar la ausencia de requisitos habilitantes relacionados con la experiencia del equipo de trabajo - director general y precisó que no se estaban aceptando esos documentos para efectos de otorgar puntaje, toda vez que para ese propósito se tendría en cuenta la certificación del Fondo Nacional del Ahorro de fecha 30 de julio de 2010, presentada por el oferente junto con la propuesta, e indicó que las precisiones derivadas de la nueva certificación aportada y procedente del Fondo Nacional del Ahorro y de aquella expedida por la sociedad KTB se tomarían en cuenta como requisitos de habilitación. </w:t>
      </w:r>
    </w:p>
    <w:p w14:paraId="7EE5E795" w14:textId="77777777" w:rsidR="00FB42CA" w:rsidRPr="008E399A" w:rsidRDefault="00FB42CA" w:rsidP="00FB42CA">
      <w:pPr>
        <w:widowControl w:val="0"/>
        <w:autoSpaceDE w:val="0"/>
        <w:autoSpaceDN w:val="0"/>
        <w:adjustRightInd w:val="0"/>
        <w:rPr>
          <w:rFonts w:cs="Arial"/>
          <w:lang w:val="es-MX"/>
        </w:rPr>
      </w:pPr>
    </w:p>
    <w:p w14:paraId="54F246C0"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Con sustento en lo dicho procedió a calificar con 130 puntos la experiencia del equipo de trabajo – director gen</w:t>
      </w:r>
      <w:r>
        <w:rPr>
          <w:rFonts w:cs="Arial"/>
          <w:lang w:val="es-MX"/>
        </w:rPr>
        <w:t xml:space="preserve">eral ofrecido por el consorcio </w:t>
      </w:r>
      <w:r w:rsidRPr="008E399A">
        <w:rPr>
          <w:rFonts w:cs="Arial"/>
          <w:lang w:val="es-MX"/>
        </w:rPr>
        <w:t>nterventoría Concesión TV, discriminados en 65 puntos por los dos años de experiencia adicional y por los dos proyectos adicionales en labores de consultoría. Todo lo anterior, se evaluó con base en la certificación del 30 de julio de 2010, expedida por el Fondo Nacional del Ahorro y allegada con la propuesta.</w:t>
      </w:r>
    </w:p>
    <w:p w14:paraId="6D9104E5" w14:textId="77777777" w:rsidR="00FB42CA" w:rsidRPr="008E399A" w:rsidRDefault="00FB42CA" w:rsidP="00FB42CA">
      <w:pPr>
        <w:widowControl w:val="0"/>
        <w:autoSpaceDE w:val="0"/>
        <w:autoSpaceDN w:val="0"/>
        <w:adjustRightInd w:val="0"/>
        <w:rPr>
          <w:rFonts w:cs="Arial"/>
          <w:lang w:val="es-MX"/>
        </w:rPr>
      </w:pPr>
    </w:p>
    <w:p w14:paraId="6F75BA87" w14:textId="77777777" w:rsidR="00FB42CA" w:rsidRPr="008E399A" w:rsidRDefault="00FB42CA" w:rsidP="00FB42CA">
      <w:pPr>
        <w:widowControl w:val="0"/>
        <w:autoSpaceDE w:val="0"/>
        <w:autoSpaceDN w:val="0"/>
        <w:adjustRightInd w:val="0"/>
        <w:rPr>
          <w:rFonts w:cs="Arial"/>
        </w:rPr>
      </w:pPr>
      <w:r w:rsidRPr="008E399A">
        <w:rPr>
          <w:rFonts w:cs="Arial"/>
          <w:lang w:val="es-MX"/>
        </w:rPr>
        <w:lastRenderedPageBreak/>
        <w:t>Al respecto la Sala observa que lo ocurrido transgredió lo dispuesto en el parágrafo 1 del artículo 4 de la Ley 1150</w:t>
      </w:r>
      <w:r w:rsidRPr="008E399A">
        <w:rPr>
          <w:rFonts w:cs="Arial"/>
        </w:rPr>
        <w:t xml:space="preserve"> a la luz del cual, “</w:t>
      </w:r>
      <w:r w:rsidRPr="008E399A">
        <w:rPr>
          <w:rFonts w:cs="Arial"/>
          <w:i/>
        </w:rPr>
        <w:t>todos aquellos requisitos de la propuesta que no afecten la asignación de puntaje podrán ser solicitados por las entidades en cualquier momento, hasta la adjudicación</w:t>
      </w:r>
      <w:r w:rsidRPr="008E399A">
        <w:rPr>
          <w:rFonts w:cs="Arial"/>
        </w:rPr>
        <w:t>”, que desarrolla el principio de selección objetiva.</w:t>
      </w:r>
    </w:p>
    <w:p w14:paraId="1281B845" w14:textId="77777777" w:rsidR="00FB42CA" w:rsidRPr="008E399A" w:rsidRDefault="00FB42CA" w:rsidP="00FB42CA">
      <w:pPr>
        <w:widowControl w:val="0"/>
        <w:autoSpaceDE w:val="0"/>
        <w:autoSpaceDN w:val="0"/>
        <w:adjustRightInd w:val="0"/>
        <w:rPr>
          <w:rFonts w:cs="Arial"/>
        </w:rPr>
      </w:pPr>
    </w:p>
    <w:p w14:paraId="1586DFD9" w14:textId="77777777" w:rsidR="00FB42CA" w:rsidRPr="008E399A" w:rsidRDefault="00FB42CA" w:rsidP="00FB42CA">
      <w:pPr>
        <w:widowControl w:val="0"/>
        <w:autoSpaceDE w:val="0"/>
        <w:autoSpaceDN w:val="0"/>
        <w:adjustRightInd w:val="0"/>
        <w:rPr>
          <w:rFonts w:cs="Arial"/>
        </w:rPr>
      </w:pPr>
      <w:r w:rsidRPr="008E399A">
        <w:rPr>
          <w:rFonts w:cs="Arial"/>
        </w:rPr>
        <w:t>La Sala encuentra que no resultaba indispensable que el oferente subsanara los requisitos concernientes al director general ofrecido, relacionados con la explicación sobre la naturaleza del Fondo Nacional del Ahorro, ni con la postura jurisprudencial que considera a la actividad financiera un servicio público, como tampoco en lo asociado a las labores de interventoría desempeñadas por el jefe de informática de esa entidad, dado que así constaba en las resoluciones internas aportadas junto con la propuesta.</w:t>
      </w:r>
    </w:p>
    <w:p w14:paraId="724644D2" w14:textId="77777777" w:rsidR="00FB42CA" w:rsidRPr="008E399A" w:rsidRDefault="00FB42CA" w:rsidP="00FB42CA">
      <w:pPr>
        <w:widowControl w:val="0"/>
        <w:autoSpaceDE w:val="0"/>
        <w:autoSpaceDN w:val="0"/>
        <w:adjustRightInd w:val="0"/>
        <w:rPr>
          <w:rFonts w:cs="Arial"/>
        </w:rPr>
      </w:pPr>
    </w:p>
    <w:p w14:paraId="0CCB26F3" w14:textId="77777777" w:rsidR="00FB42CA" w:rsidRPr="008E399A" w:rsidRDefault="00FB42CA" w:rsidP="00FB42CA">
      <w:pPr>
        <w:widowControl w:val="0"/>
        <w:autoSpaceDE w:val="0"/>
        <w:autoSpaceDN w:val="0"/>
        <w:adjustRightInd w:val="0"/>
        <w:rPr>
          <w:rFonts w:cs="Arial"/>
        </w:rPr>
      </w:pPr>
      <w:r w:rsidRPr="008E399A">
        <w:rPr>
          <w:rFonts w:cs="Arial"/>
        </w:rPr>
        <w:t>Sin embargo, se llama la atención sobre las siguientes irregularidades relacionadas con la subsanación de requisitos que impactaron la asignación de puntaje:</w:t>
      </w:r>
    </w:p>
    <w:p w14:paraId="68A1F917" w14:textId="77777777" w:rsidR="00FB42CA" w:rsidRPr="008E399A" w:rsidRDefault="00FB42CA" w:rsidP="00FB42CA">
      <w:pPr>
        <w:widowControl w:val="0"/>
        <w:autoSpaceDE w:val="0"/>
        <w:autoSpaceDN w:val="0"/>
        <w:adjustRightInd w:val="0"/>
        <w:rPr>
          <w:rFonts w:cs="Arial"/>
        </w:rPr>
      </w:pPr>
    </w:p>
    <w:p w14:paraId="28DDC5C4" w14:textId="77777777" w:rsidR="00FB42CA" w:rsidRPr="008E399A" w:rsidRDefault="00FB42CA" w:rsidP="00FB42CA">
      <w:pPr>
        <w:pStyle w:val="Prrafodelista"/>
        <w:widowControl w:val="0"/>
        <w:numPr>
          <w:ilvl w:val="0"/>
          <w:numId w:val="44"/>
        </w:numPr>
        <w:autoSpaceDE w:val="0"/>
        <w:autoSpaceDN w:val="0"/>
        <w:adjustRightInd w:val="0"/>
        <w:rPr>
          <w:rFonts w:cs="Arial"/>
        </w:rPr>
      </w:pPr>
      <w:r w:rsidRPr="008E399A">
        <w:rPr>
          <w:rFonts w:cs="Arial"/>
        </w:rPr>
        <w:t>En relación con el requisito puntuable de experiencia del equipo de trabajo – director general, consistente en “</w:t>
      </w:r>
      <w:r w:rsidRPr="008E399A">
        <w:rPr>
          <w:rFonts w:cs="Arial"/>
          <w:i/>
          <w:lang w:val="es-MX"/>
        </w:rPr>
        <w:t>Dos (2) años o más de experiencia (Adicional a la mínima habilitante) en cargos directivos en empresas de servicios públicos o entidades estatales, (ejecutados en los sectores TIC, servicios públicos, entidades de control o Superintendencias”).</w:t>
      </w:r>
    </w:p>
    <w:p w14:paraId="5EF8C4F2" w14:textId="77777777" w:rsidR="00FB42CA" w:rsidRPr="008E399A" w:rsidRDefault="00FB42CA" w:rsidP="00FB42CA">
      <w:pPr>
        <w:widowControl w:val="0"/>
        <w:autoSpaceDE w:val="0"/>
        <w:autoSpaceDN w:val="0"/>
        <w:adjustRightInd w:val="0"/>
        <w:spacing w:line="276" w:lineRule="auto"/>
        <w:rPr>
          <w:rFonts w:cs="Arial"/>
          <w:i/>
          <w:lang w:val="es-MX"/>
        </w:rPr>
      </w:pPr>
    </w:p>
    <w:p w14:paraId="08A86277" w14:textId="77777777" w:rsidR="00FB42CA" w:rsidRPr="008E399A" w:rsidRDefault="00FB42CA" w:rsidP="00FB42CA">
      <w:pPr>
        <w:widowControl w:val="0"/>
        <w:autoSpaceDE w:val="0"/>
        <w:autoSpaceDN w:val="0"/>
        <w:adjustRightInd w:val="0"/>
        <w:rPr>
          <w:rFonts w:cs="Arial"/>
        </w:rPr>
      </w:pPr>
      <w:r w:rsidRPr="008E399A">
        <w:rPr>
          <w:rFonts w:cs="Arial"/>
          <w:lang w:val="es-MX"/>
        </w:rPr>
        <w:t>E</w:t>
      </w:r>
      <w:r w:rsidRPr="008E399A">
        <w:rPr>
          <w:rFonts w:cs="Arial"/>
        </w:rPr>
        <w:t xml:space="preserve">merge con claridad que en la oportunidad otorgada por la entidad para subsanar las falencias de los requisitos habilitantes, el oferente, como se vio en precedencia, allegó una certificación nueva expedida por el Fondo Nacional del Ahorro en la que reposaba información distinta a aquella suministrada en el documento expedido por ese mismo Fondo el 30 de julio de 2010 y que fue adjuntado a su oferta. </w:t>
      </w:r>
    </w:p>
    <w:p w14:paraId="3ED62DF2" w14:textId="77777777" w:rsidR="00FB42CA" w:rsidRPr="008E399A" w:rsidRDefault="00FB42CA" w:rsidP="00FB42CA">
      <w:pPr>
        <w:widowControl w:val="0"/>
        <w:autoSpaceDE w:val="0"/>
        <w:autoSpaceDN w:val="0"/>
        <w:adjustRightInd w:val="0"/>
        <w:rPr>
          <w:rFonts w:cs="Arial"/>
        </w:rPr>
      </w:pPr>
    </w:p>
    <w:p w14:paraId="39AD7807" w14:textId="77777777" w:rsidR="00FB42CA" w:rsidRPr="008E399A" w:rsidRDefault="00FB42CA" w:rsidP="00FB42CA">
      <w:pPr>
        <w:widowControl w:val="0"/>
        <w:autoSpaceDE w:val="0"/>
        <w:autoSpaceDN w:val="0"/>
        <w:adjustRightInd w:val="0"/>
        <w:rPr>
          <w:rFonts w:cs="Arial"/>
        </w:rPr>
      </w:pPr>
      <w:r w:rsidRPr="008E399A">
        <w:rPr>
          <w:rFonts w:cs="Arial"/>
        </w:rPr>
        <w:t xml:space="preserve">En efecto, en la certificación presentada con la oferta y adiada el 30 de julio de 2010, el Fondo Nacional del Ahorro registró que el ingeniero de sistemas Edgar Augusto Fuertes laboraba en esa entidad desde el 22 de octubre de 2002 y hasta la fecha en que se expedía el documento, es decir, hasta el 30 de julio de 2010, época en la cual continuaba desempeñando las labores de jefe de informática y ejerciendo funciones de interventoría en los contratos celebrados por el FNA. </w:t>
      </w:r>
    </w:p>
    <w:p w14:paraId="4EE27996" w14:textId="77777777" w:rsidR="00FB42CA" w:rsidRPr="008E399A" w:rsidRDefault="00FB42CA" w:rsidP="00FB42CA">
      <w:pPr>
        <w:widowControl w:val="0"/>
        <w:autoSpaceDE w:val="0"/>
        <w:autoSpaceDN w:val="0"/>
        <w:adjustRightInd w:val="0"/>
        <w:rPr>
          <w:rFonts w:cs="Arial"/>
        </w:rPr>
      </w:pPr>
    </w:p>
    <w:p w14:paraId="615F4F8C" w14:textId="77777777" w:rsidR="00FB42CA" w:rsidRPr="008E399A" w:rsidRDefault="00FB42CA" w:rsidP="00FB42CA">
      <w:pPr>
        <w:widowControl w:val="0"/>
        <w:autoSpaceDE w:val="0"/>
        <w:autoSpaceDN w:val="0"/>
        <w:adjustRightInd w:val="0"/>
        <w:rPr>
          <w:rFonts w:cs="Arial"/>
        </w:rPr>
      </w:pPr>
      <w:r w:rsidRPr="008E399A">
        <w:rPr>
          <w:rFonts w:cs="Arial"/>
        </w:rPr>
        <w:t xml:space="preserve">Del contenido de esa certificación, la cual, se reitera, fue la única, de las aportadas </w:t>
      </w:r>
      <w:r w:rsidRPr="008E399A">
        <w:rPr>
          <w:rFonts w:cs="Arial"/>
        </w:rPr>
        <w:lastRenderedPageBreak/>
        <w:t xml:space="preserve">junto con la propuesta, que fue tenida en consideración por la entidad para efectos de habilitación, dado que las expedidas por la Procuraduría y por Procálculo no reunían las condiciones plasmadas en el pliego, se evidencia que no se acreditaba la experiencia habilitante requerida en el documento precontractual, pues el lapso certificado, comprendido entre el 22 de octubre de 2002 y 30 julio de 2010, no sumaba los ochos años demandados en el pliego como experiencia mínima. </w:t>
      </w:r>
    </w:p>
    <w:p w14:paraId="207BA8D2" w14:textId="77777777" w:rsidR="00FB42CA" w:rsidRPr="008E399A" w:rsidRDefault="00FB42CA" w:rsidP="00FB42CA">
      <w:pPr>
        <w:widowControl w:val="0"/>
        <w:autoSpaceDE w:val="0"/>
        <w:autoSpaceDN w:val="0"/>
        <w:adjustRightInd w:val="0"/>
        <w:rPr>
          <w:rFonts w:cs="Arial"/>
        </w:rPr>
      </w:pPr>
    </w:p>
    <w:p w14:paraId="4308368A" w14:textId="77777777" w:rsidR="00FB42CA" w:rsidRPr="008E399A" w:rsidRDefault="00FB42CA" w:rsidP="00FB42CA">
      <w:pPr>
        <w:widowControl w:val="0"/>
        <w:autoSpaceDE w:val="0"/>
        <w:autoSpaceDN w:val="0"/>
        <w:adjustRightInd w:val="0"/>
        <w:rPr>
          <w:rFonts w:cs="Arial"/>
        </w:rPr>
      </w:pPr>
      <w:r w:rsidRPr="008E399A">
        <w:rPr>
          <w:rFonts w:cs="Arial"/>
        </w:rPr>
        <w:t xml:space="preserve">A diferencia de lo advertido por el consorcio Interventoría Concesión TV en su oficio aclaratorio del 7 de julio de 2014, fue con la nueva certificación expedida por el Fondo Nacional del Ahorro de fecha 21 de febrero de 2011, aportada en el término de subsanación de los requisitos habilitantes en la cual se indicó que el período laborado por ese profesional abarcó desde el 22 de octubre de 2002 hasta el 4 de noviembre de 2010 y con la que se acreditó, según la entidad, el cumplimiento de los 8 años exigidos como período mínimo de experiencia general. </w:t>
      </w:r>
    </w:p>
    <w:p w14:paraId="2D211317" w14:textId="77777777" w:rsidR="00FB42CA" w:rsidRPr="008E399A" w:rsidRDefault="00FB42CA" w:rsidP="00FB42CA">
      <w:pPr>
        <w:widowControl w:val="0"/>
        <w:autoSpaceDE w:val="0"/>
        <w:autoSpaceDN w:val="0"/>
        <w:adjustRightInd w:val="0"/>
        <w:rPr>
          <w:rFonts w:cs="Arial"/>
        </w:rPr>
      </w:pPr>
    </w:p>
    <w:p w14:paraId="68E633B8" w14:textId="77777777" w:rsidR="00FB42CA" w:rsidRPr="008E399A" w:rsidRDefault="00FB42CA" w:rsidP="00FB42CA">
      <w:pPr>
        <w:widowControl w:val="0"/>
        <w:autoSpaceDE w:val="0"/>
        <w:autoSpaceDN w:val="0"/>
        <w:adjustRightInd w:val="0"/>
        <w:rPr>
          <w:rFonts w:cs="Arial"/>
        </w:rPr>
      </w:pPr>
      <w:r w:rsidRPr="00F26C56">
        <w:rPr>
          <w:rFonts w:cs="Arial"/>
        </w:rPr>
        <w:t>Dicho esto, para la Sala no resultan de recibo las razones de defensa argüidas por la entidad pública, de acuerdo con las cuales el puntaje otorgado a la experiencia del director general se realizó con base en los documentos inicialmente aportados, los cuales no fueron modificados, pues, como se anotó, la forma en que se concibió el doble rol del requisito de experiencia del equipo de trabajo impedía que se entendiera cumplido el requisito puntuable sin antes estar configurado el requisito habilitante, de ahí que lo que ocurriera en relación con este último habría de irradiar de forma directa y decidida sobre aquel. Dicho de otro modo, si para el momento de presentación de las ofertas no se cumplía el requisito habilitante, la misma suerte corría como criterio de puntuación. Se deduce que con los documentos aportados con la propuesta del consorcio interventoría Concesión TV no se acreditó el cumplimiento de los ocho años de experiencia mínima general, la cual fue acreditada en el término de subsanación.</w:t>
      </w:r>
      <w:r w:rsidRPr="008E399A">
        <w:rPr>
          <w:rFonts w:cs="Arial"/>
        </w:rPr>
        <w:t xml:space="preserve"> </w:t>
      </w:r>
    </w:p>
    <w:p w14:paraId="625AF5EE" w14:textId="77777777" w:rsidR="00FB42CA" w:rsidRPr="008E399A" w:rsidRDefault="00FB42CA" w:rsidP="00FB42CA">
      <w:pPr>
        <w:widowControl w:val="0"/>
        <w:autoSpaceDE w:val="0"/>
        <w:autoSpaceDN w:val="0"/>
        <w:adjustRightInd w:val="0"/>
        <w:rPr>
          <w:rFonts w:cs="Arial"/>
        </w:rPr>
      </w:pPr>
    </w:p>
    <w:p w14:paraId="56998E5D" w14:textId="77777777" w:rsidR="00FB42CA" w:rsidRPr="008E399A" w:rsidRDefault="00FB42CA" w:rsidP="00FB42CA">
      <w:pPr>
        <w:widowControl w:val="0"/>
        <w:autoSpaceDE w:val="0"/>
        <w:autoSpaceDN w:val="0"/>
        <w:adjustRightInd w:val="0"/>
        <w:rPr>
          <w:rFonts w:cs="Arial"/>
        </w:rPr>
      </w:pPr>
      <w:r w:rsidRPr="008E399A">
        <w:rPr>
          <w:rFonts w:cs="Arial"/>
        </w:rPr>
        <w:t xml:space="preserve">Siendo ello así, dentro de un esquema lógico de pensamiento no cabría afirmar que al presentar la oferta no se acreditó el requisito mínimo de experiencia, pero sí el período adicional al mismo que la hacía merecedora de puntaje. En estas condiciones, solo a partir de la subsanación de la experiencia mínima podría configurarse el cumplimiento del plazo adicional sobre el cual recaería la evaluación. </w:t>
      </w:r>
    </w:p>
    <w:p w14:paraId="5BF77CFF" w14:textId="77777777" w:rsidR="00FB42CA" w:rsidRPr="008E399A" w:rsidRDefault="00FB42CA" w:rsidP="00FB42CA">
      <w:pPr>
        <w:widowControl w:val="0"/>
        <w:autoSpaceDE w:val="0"/>
        <w:autoSpaceDN w:val="0"/>
        <w:adjustRightInd w:val="0"/>
        <w:rPr>
          <w:rFonts w:cs="Arial"/>
        </w:rPr>
      </w:pPr>
    </w:p>
    <w:p w14:paraId="40831C1A" w14:textId="77777777" w:rsidR="00FB42CA" w:rsidRPr="008E399A" w:rsidRDefault="00FB42CA" w:rsidP="00FB42CA">
      <w:pPr>
        <w:widowControl w:val="0"/>
        <w:autoSpaceDE w:val="0"/>
        <w:autoSpaceDN w:val="0"/>
        <w:adjustRightInd w:val="0"/>
        <w:rPr>
          <w:rFonts w:cs="Arial"/>
        </w:rPr>
      </w:pPr>
      <w:r w:rsidRPr="008E399A">
        <w:rPr>
          <w:rFonts w:cs="Arial"/>
        </w:rPr>
        <w:t xml:space="preserve">Por contera, la ausencia del requisito de habilitación impedía considerar apta de inicio la experiencia adicional a la mínima para otorgamiento de puntaje. A la </w:t>
      </w:r>
      <w:r w:rsidRPr="008E399A">
        <w:rPr>
          <w:rFonts w:cs="Arial"/>
        </w:rPr>
        <w:lastRenderedPageBreak/>
        <w:t>inversa, al subsanarse la falta de acreditación del requisito de experiencia mínima, tal circunstancia impactó de manera directa el otorgamiento de puntaje a la experiencia adicional.</w:t>
      </w:r>
    </w:p>
    <w:p w14:paraId="00D9E6A5" w14:textId="77777777" w:rsidR="00FB42CA" w:rsidRPr="008E399A" w:rsidRDefault="00FB42CA" w:rsidP="00FB42CA">
      <w:pPr>
        <w:widowControl w:val="0"/>
        <w:autoSpaceDE w:val="0"/>
        <w:autoSpaceDN w:val="0"/>
        <w:adjustRightInd w:val="0"/>
        <w:rPr>
          <w:rFonts w:cs="Arial"/>
          <w:i/>
          <w:lang w:val="es-MX"/>
        </w:rPr>
      </w:pPr>
    </w:p>
    <w:p w14:paraId="4271E936" w14:textId="77777777" w:rsidR="00FB42CA" w:rsidRPr="008E399A" w:rsidRDefault="00FB42CA" w:rsidP="00FB42CA">
      <w:pPr>
        <w:pStyle w:val="Prrafodelista"/>
        <w:widowControl w:val="0"/>
        <w:numPr>
          <w:ilvl w:val="0"/>
          <w:numId w:val="44"/>
        </w:numPr>
        <w:autoSpaceDE w:val="0"/>
        <w:autoSpaceDN w:val="0"/>
        <w:adjustRightInd w:val="0"/>
        <w:rPr>
          <w:rFonts w:cs="Arial"/>
          <w:i/>
        </w:rPr>
      </w:pPr>
      <w:r w:rsidRPr="008E399A">
        <w:rPr>
          <w:rFonts w:cs="Arial"/>
        </w:rPr>
        <w:t>En relación con el requisito puntuable de experiencia del equipo de trabajo – director general consistente en “</w:t>
      </w:r>
      <w:r w:rsidRPr="008E399A">
        <w:rPr>
          <w:rFonts w:cs="Arial"/>
          <w:i/>
          <w:lang w:val="es-MX"/>
        </w:rPr>
        <w:t xml:space="preserve">Haber participado en dos (2) o más proyectos (adicionales a los mínimos habilitantes) de consultoría o interventoría a proyectos o contratos estatales diferentes de obra pública; y cuyas funciones involucren o en desarrollo de las cuales haya realizado interventoría a proyectos diferentes de obra pública”.  </w:t>
      </w:r>
    </w:p>
    <w:p w14:paraId="270C88F9" w14:textId="77777777" w:rsidR="00FB42CA" w:rsidRPr="008E399A" w:rsidRDefault="00FB42CA" w:rsidP="00FB42CA">
      <w:pPr>
        <w:widowControl w:val="0"/>
        <w:autoSpaceDE w:val="0"/>
        <w:autoSpaceDN w:val="0"/>
        <w:adjustRightInd w:val="0"/>
        <w:rPr>
          <w:rFonts w:cs="Arial"/>
        </w:rPr>
      </w:pPr>
    </w:p>
    <w:p w14:paraId="26EF7AEC" w14:textId="77777777" w:rsidR="00FB42CA" w:rsidRPr="008E399A" w:rsidRDefault="00FB42CA" w:rsidP="00FB42CA">
      <w:pPr>
        <w:widowControl w:val="0"/>
        <w:autoSpaceDE w:val="0"/>
        <w:autoSpaceDN w:val="0"/>
        <w:adjustRightInd w:val="0"/>
        <w:rPr>
          <w:rFonts w:cs="Arial"/>
        </w:rPr>
      </w:pPr>
      <w:r w:rsidRPr="008E399A">
        <w:rPr>
          <w:rFonts w:cs="Arial"/>
        </w:rPr>
        <w:t>Algo similar aconteció con el requisito puntuable relativo a la experiencia adicional a la mínima consistente en acreditar la participación en dos proyectos o más a los adicionales de interventoría o consultoría a contratos estatales o proyectos diferentes de obra pública, pues se reitera que, de las tres aportadas inicialmente, la certificación expedida por el Fondo Nacional del Ahorro el 30 de julio de 2010 fue la única que finalmente pudo valorarse, no obstante lo cual, en un principio, presentó inconsistencias en torno a las fechas de los contratos ejecutados, habida consideración de que varios de ellos daban cuenta de una ejecución posterior a aquella en que se expedía la constancia.</w:t>
      </w:r>
    </w:p>
    <w:p w14:paraId="4C4B67A1" w14:textId="77777777" w:rsidR="00FB42CA" w:rsidRPr="008E399A" w:rsidRDefault="00FB42CA" w:rsidP="00FB42CA">
      <w:pPr>
        <w:widowControl w:val="0"/>
        <w:autoSpaceDE w:val="0"/>
        <w:autoSpaceDN w:val="0"/>
        <w:adjustRightInd w:val="0"/>
        <w:rPr>
          <w:rFonts w:cs="Arial"/>
        </w:rPr>
      </w:pPr>
    </w:p>
    <w:p w14:paraId="03D378AA" w14:textId="77777777" w:rsidR="00FB42CA" w:rsidRPr="008E399A" w:rsidRDefault="00FB42CA" w:rsidP="00FB42CA">
      <w:pPr>
        <w:widowControl w:val="0"/>
        <w:autoSpaceDE w:val="0"/>
        <w:autoSpaceDN w:val="0"/>
        <w:adjustRightInd w:val="0"/>
        <w:rPr>
          <w:rFonts w:cs="Arial"/>
        </w:rPr>
      </w:pPr>
      <w:r w:rsidRPr="008E399A">
        <w:rPr>
          <w:rFonts w:cs="Arial"/>
        </w:rPr>
        <w:t>Esto último motivó igualmente que se aclarara la situación relativa a esas fechas y que se aportara una nueva certificación expedida por KBT para acreditar el cumplimiento del requisito de experiencia mínima habilitante en el ejercicio de proyectos de interventoría, auditoría e implementación de servicios de tecnologías de la información, la que, en todo caso, según la entidad, sería tenida en cuenta solo para efectos habilitantes, que, antes de que la misma se aportara, no se hallaba acreditada.</w:t>
      </w:r>
    </w:p>
    <w:p w14:paraId="62C8B7D2" w14:textId="77777777" w:rsidR="00FB42CA" w:rsidRPr="008E399A" w:rsidRDefault="00FB42CA" w:rsidP="00FB42CA">
      <w:pPr>
        <w:widowControl w:val="0"/>
        <w:autoSpaceDE w:val="0"/>
        <w:autoSpaceDN w:val="0"/>
        <w:adjustRightInd w:val="0"/>
        <w:rPr>
          <w:rFonts w:cs="Arial"/>
        </w:rPr>
      </w:pPr>
    </w:p>
    <w:p w14:paraId="4940D79E" w14:textId="77777777" w:rsidR="00FB42CA" w:rsidRPr="008E399A" w:rsidRDefault="00FB42CA" w:rsidP="00FB42CA">
      <w:pPr>
        <w:widowControl w:val="0"/>
        <w:autoSpaceDE w:val="0"/>
        <w:autoSpaceDN w:val="0"/>
        <w:adjustRightInd w:val="0"/>
        <w:rPr>
          <w:rFonts w:cs="Arial"/>
        </w:rPr>
      </w:pPr>
      <w:r w:rsidRPr="008E399A">
        <w:rPr>
          <w:rFonts w:cs="Arial"/>
        </w:rPr>
        <w:t>De ahí que la certificación inicialmente aportada para ese propósito no resultó idónea, como consecuencia de las inconsistencias de las que adolecían respecto de la fechas señaladas, lo que impedía igualmente considerar válido ese documento para efectos de otorgarle puntaje, cuestión que, al ser corregida, también impactó el contenido del factor de experiencia puntuable que de la misma certificación se desprendía.</w:t>
      </w:r>
    </w:p>
    <w:p w14:paraId="579CAA8E" w14:textId="77777777" w:rsidR="00FB42CA" w:rsidRPr="008E399A" w:rsidRDefault="00FB42CA" w:rsidP="00FB42CA">
      <w:pPr>
        <w:widowControl w:val="0"/>
        <w:autoSpaceDE w:val="0"/>
        <w:autoSpaceDN w:val="0"/>
        <w:adjustRightInd w:val="0"/>
        <w:rPr>
          <w:rFonts w:cs="Arial"/>
        </w:rPr>
      </w:pPr>
    </w:p>
    <w:p w14:paraId="3047E17A" w14:textId="77777777" w:rsidR="00FB42CA" w:rsidRPr="008E399A" w:rsidRDefault="00FB42CA" w:rsidP="00FB42CA">
      <w:pPr>
        <w:widowControl w:val="0"/>
        <w:autoSpaceDE w:val="0"/>
        <w:autoSpaceDN w:val="0"/>
        <w:adjustRightInd w:val="0"/>
        <w:rPr>
          <w:rFonts w:cs="Arial"/>
        </w:rPr>
      </w:pPr>
      <w:r w:rsidRPr="008E399A">
        <w:rPr>
          <w:rFonts w:cs="Arial"/>
        </w:rPr>
        <w:t xml:space="preserve">La situación descrita ciertamente entrañó un mejoramiento de la oferta, pues, si bien </w:t>
      </w:r>
      <w:r w:rsidRPr="008E399A">
        <w:rPr>
          <w:rFonts w:cs="Arial"/>
        </w:rPr>
        <w:lastRenderedPageBreak/>
        <w:t>no se refirió al cumplimiento de la experiencia habilitante, la cual se satisfizo antes del cierre de la licitación, su posterior acreditación sí impactó de manera directa la posibilidad de otorgamiento del puntaje que a la postre se le asignó sobre la experiencia adicional a la mínima habilitante.</w:t>
      </w:r>
    </w:p>
    <w:p w14:paraId="50A1E1A2" w14:textId="77777777" w:rsidR="00FB42CA" w:rsidRPr="008E399A" w:rsidRDefault="00FB42CA" w:rsidP="00FB42CA">
      <w:pPr>
        <w:widowControl w:val="0"/>
        <w:autoSpaceDE w:val="0"/>
        <w:autoSpaceDN w:val="0"/>
        <w:adjustRightInd w:val="0"/>
        <w:rPr>
          <w:rFonts w:cs="Arial"/>
        </w:rPr>
      </w:pPr>
    </w:p>
    <w:p w14:paraId="6D59D54C" w14:textId="77777777" w:rsidR="00FB42CA" w:rsidRPr="008E399A" w:rsidRDefault="00FB42CA" w:rsidP="00FB42CA">
      <w:pPr>
        <w:widowControl w:val="0"/>
        <w:autoSpaceDE w:val="0"/>
        <w:autoSpaceDN w:val="0"/>
        <w:adjustRightInd w:val="0"/>
        <w:rPr>
          <w:rFonts w:cs="Arial"/>
          <w:u w:val="single"/>
        </w:rPr>
      </w:pPr>
      <w:r w:rsidRPr="008E399A">
        <w:rPr>
          <w:rFonts w:cs="Arial"/>
          <w:u w:val="single"/>
        </w:rPr>
        <w:t xml:space="preserve">Conclusión sobre la experiencia del director general del proyecto </w:t>
      </w:r>
    </w:p>
    <w:p w14:paraId="2A58AF75" w14:textId="77777777" w:rsidR="00FB42CA" w:rsidRPr="008E399A" w:rsidRDefault="00FB42CA" w:rsidP="00FB42CA">
      <w:pPr>
        <w:widowControl w:val="0"/>
        <w:autoSpaceDE w:val="0"/>
        <w:autoSpaceDN w:val="0"/>
        <w:adjustRightInd w:val="0"/>
        <w:rPr>
          <w:rFonts w:cs="Arial"/>
        </w:rPr>
      </w:pPr>
    </w:p>
    <w:p w14:paraId="274FF63E" w14:textId="77777777" w:rsidR="00FB42CA" w:rsidRPr="008E399A" w:rsidRDefault="00FB42CA" w:rsidP="00FB42CA">
      <w:pPr>
        <w:widowControl w:val="0"/>
        <w:autoSpaceDE w:val="0"/>
        <w:autoSpaceDN w:val="0"/>
        <w:adjustRightInd w:val="0"/>
        <w:rPr>
          <w:rFonts w:cs="Arial"/>
        </w:rPr>
      </w:pPr>
      <w:r w:rsidRPr="008E399A">
        <w:rPr>
          <w:rFonts w:cs="Arial"/>
        </w:rPr>
        <w:t>Como conclusión de todo lo expuesto, es claro que la subsanación del requisito habilitante de experiencia del director general del proyecto afectó los factores de experiencia adicional susceptibles de calificación, tanto en su aspecto temporal, como en el número de proyectos ejecutados, contrariando lo dispuesto sobre el particular por el Estatuto de Contratación Estatal, dado que a pesar de que el oferente contaba con la experiencia habilitante desde antes del cierre del procedimiento de selección, la subsanación que sobre el mismo recayó incidió en la experiencia adicional requerida para otorgamiento de puntaje, lo que por contera, respecto de este último comportó un mejoramiento de la oferta.</w:t>
      </w:r>
    </w:p>
    <w:p w14:paraId="41A68117" w14:textId="77777777" w:rsidR="00FB42CA" w:rsidRPr="008E399A" w:rsidRDefault="00FB42CA" w:rsidP="00FB42CA">
      <w:pPr>
        <w:widowControl w:val="0"/>
        <w:autoSpaceDE w:val="0"/>
        <w:autoSpaceDN w:val="0"/>
        <w:adjustRightInd w:val="0"/>
        <w:rPr>
          <w:rFonts w:cs="Arial"/>
        </w:rPr>
      </w:pPr>
    </w:p>
    <w:p w14:paraId="2BB31DA8" w14:textId="77777777" w:rsidR="00FB42CA" w:rsidRPr="008E399A" w:rsidRDefault="00FB42CA" w:rsidP="00FB42CA">
      <w:pPr>
        <w:widowControl w:val="0"/>
        <w:autoSpaceDE w:val="0"/>
        <w:autoSpaceDN w:val="0"/>
        <w:adjustRightInd w:val="0"/>
        <w:rPr>
          <w:rFonts w:cs="Arial"/>
        </w:rPr>
      </w:pPr>
      <w:r w:rsidRPr="008E399A">
        <w:rPr>
          <w:rFonts w:cs="Arial"/>
        </w:rPr>
        <w:t>Con todo, en cuanto la aclaración de las inconsistencias halladas resultaba procedente jurídicamente para convalidar el cumplimiento de los requisitos habilitantes, la consecuencia derivada de dicho proceder orientaba a que, no obstante reunirse los requisitos de habilitación de las mismas por cuenta de su subsanación, en todo caso no podía otorgarse puntaje a los aspectos vinculados con esas aclaraciones y subsanaciones, cuestión que conducía a que la “</w:t>
      </w:r>
      <w:r w:rsidRPr="008E399A">
        <w:rPr>
          <w:rFonts w:cs="Arial"/>
          <w:i/>
        </w:rPr>
        <w:t>experiencia adicional del equipo de trabajo</w:t>
      </w:r>
      <w:r w:rsidRPr="008E399A">
        <w:rPr>
          <w:rFonts w:cs="Arial"/>
        </w:rPr>
        <w:t xml:space="preserve">” relacionada con el director general del proyecto no fuera merecedora de puntaje. </w:t>
      </w:r>
    </w:p>
    <w:p w14:paraId="118588C1" w14:textId="77777777" w:rsidR="00FB42CA" w:rsidRPr="008E399A" w:rsidRDefault="00FB42CA" w:rsidP="00FB42CA">
      <w:pPr>
        <w:widowControl w:val="0"/>
        <w:autoSpaceDE w:val="0"/>
        <w:autoSpaceDN w:val="0"/>
        <w:adjustRightInd w:val="0"/>
        <w:rPr>
          <w:rFonts w:cs="Arial"/>
        </w:rPr>
      </w:pPr>
    </w:p>
    <w:p w14:paraId="4ADC1BF8" w14:textId="77777777" w:rsidR="00FB42CA" w:rsidRPr="00FB42CA" w:rsidRDefault="00FB42CA" w:rsidP="00FB42CA">
      <w:pPr>
        <w:widowControl w:val="0"/>
        <w:autoSpaceDE w:val="0"/>
        <w:autoSpaceDN w:val="0"/>
        <w:adjustRightInd w:val="0"/>
        <w:rPr>
          <w:rFonts w:cs="Arial"/>
          <w:highlight w:val="lightGray"/>
          <w:lang w:val="es-MX"/>
        </w:rPr>
      </w:pPr>
      <w:r w:rsidRPr="008E399A">
        <w:rPr>
          <w:rFonts w:cs="Arial"/>
        </w:rPr>
        <w:t>No obstante, se precisa que esto último no permite concluir que por los hechos narrados el acto de adjudicación acusado se encuentra automáticamente</w:t>
      </w:r>
      <w:r w:rsidRPr="008E399A">
        <w:rPr>
          <w:rFonts w:cs="Arial"/>
          <w:lang w:val="es-MX"/>
        </w:rPr>
        <w:t xml:space="preserve"> viciado de nulidad, para cuya conclusión resulta indispensable verificar, como en efecto se hará en acápite posterior, si al aplicar la consecuencia derivada del indebido otorgamiento de puntaje al factor de experiencia del director de obra, el orden de elegibilidad se habría alterar. </w:t>
      </w:r>
    </w:p>
    <w:p w14:paraId="7929DA59" w14:textId="77777777" w:rsidR="00FB42CA" w:rsidRPr="00FB42CA" w:rsidRDefault="00FB42CA" w:rsidP="00FB42CA">
      <w:pPr>
        <w:widowControl w:val="0"/>
        <w:autoSpaceDE w:val="0"/>
        <w:autoSpaceDN w:val="0"/>
        <w:adjustRightInd w:val="0"/>
        <w:rPr>
          <w:rFonts w:cs="Arial"/>
          <w:highlight w:val="lightGray"/>
          <w:lang w:val="es-MX"/>
        </w:rPr>
      </w:pPr>
    </w:p>
    <w:p w14:paraId="55AA7FB1" w14:textId="77777777" w:rsidR="00FB42CA" w:rsidRPr="008E399A" w:rsidRDefault="00FB42CA" w:rsidP="00FB42CA">
      <w:pPr>
        <w:widowControl w:val="0"/>
        <w:autoSpaceDE w:val="0"/>
        <w:autoSpaceDN w:val="0"/>
        <w:adjustRightInd w:val="0"/>
        <w:rPr>
          <w:rFonts w:cs="Arial"/>
        </w:rPr>
      </w:pPr>
      <w:r w:rsidRPr="008E399A">
        <w:rPr>
          <w:rFonts w:cs="Arial"/>
          <w:lang w:val="es-MX"/>
        </w:rPr>
        <w:t>En defecto, en el evento de que la propuesta d</w:t>
      </w:r>
      <w:r w:rsidRPr="008E399A">
        <w:rPr>
          <w:rFonts w:cs="Arial"/>
          <w:bCs/>
          <w:lang w:val="es-MX"/>
        </w:rPr>
        <w:t xml:space="preserve">el consorcio Interventoría Concesión TV, sufriera la consecuencia de la sustracción del puntaje que no debió serle otorgado, continuaría ocupando el primer lugar en el orden de elegibilidad, es decir, no ser daría el supuesto para considerar que se transgredió el principio de selección </w:t>
      </w:r>
      <w:r w:rsidRPr="008E399A">
        <w:rPr>
          <w:rFonts w:cs="Arial"/>
          <w:bCs/>
          <w:lang w:val="es-MX"/>
        </w:rPr>
        <w:lastRenderedPageBreak/>
        <w:t xml:space="preserve">objetiva y, con ello, que el acto de adjudicación adolece de nulidad, pues, en todo caso, la propuesta adjudicataria seguía considerándose la más favorable para la entidad. </w:t>
      </w:r>
    </w:p>
    <w:p w14:paraId="08F190C8" w14:textId="77777777" w:rsidR="00FB42CA" w:rsidRPr="008E399A" w:rsidRDefault="00FB42CA" w:rsidP="00FB42CA">
      <w:pPr>
        <w:ind w:right="-1"/>
        <w:rPr>
          <w:rFonts w:cs="Arial"/>
          <w:b/>
        </w:rPr>
      </w:pPr>
    </w:p>
    <w:p w14:paraId="364BF637" w14:textId="77777777" w:rsidR="00FB42CA" w:rsidRPr="008E399A" w:rsidRDefault="00FB42CA" w:rsidP="00FB42CA">
      <w:pPr>
        <w:ind w:right="-1"/>
        <w:rPr>
          <w:rFonts w:cs="Arial"/>
          <w:b/>
          <w:color w:val="000000"/>
        </w:rPr>
      </w:pPr>
      <w:r w:rsidRPr="008E399A">
        <w:rPr>
          <w:rFonts w:cs="Arial"/>
          <w:b/>
          <w:color w:val="000000"/>
        </w:rPr>
        <w:t>5.3. La valoración de la experiencia del asesor jurídico presentado por el consorcio Interventoría Concesión TV</w:t>
      </w:r>
    </w:p>
    <w:p w14:paraId="1B31603E" w14:textId="77777777" w:rsidR="00FB42CA" w:rsidRPr="008E399A" w:rsidRDefault="00FB42CA" w:rsidP="00FB42CA">
      <w:pPr>
        <w:ind w:right="-1"/>
        <w:rPr>
          <w:rFonts w:cs="Arial"/>
          <w:b/>
          <w:color w:val="000000"/>
        </w:rPr>
      </w:pPr>
    </w:p>
    <w:p w14:paraId="5045F035" w14:textId="77777777" w:rsidR="00FB42CA" w:rsidRPr="008E399A" w:rsidRDefault="00FB42CA" w:rsidP="00FB42CA">
      <w:pPr>
        <w:ind w:right="-1"/>
        <w:rPr>
          <w:rFonts w:cs="Arial"/>
          <w:bCs/>
          <w:lang w:val="es-MX"/>
        </w:rPr>
      </w:pPr>
      <w:r w:rsidRPr="008E399A">
        <w:rPr>
          <w:rFonts w:cs="Arial"/>
          <w:bCs/>
          <w:lang w:val="es-MX"/>
        </w:rPr>
        <w:t xml:space="preserve">En relación con la valoración de la hoja de vida del asesor jurídico ofrecido por el consorcio adjudicatario, la apelante esgrimió que la certificación sobre su experiencia específica habilitante, expedida por la Agencia Nacional de Hidrocarburos, no se ajustaba a los requerimientos del pliego, en atención a que las labores certificadas no versaban sobre interventoría o contratación estatal, por lo que lo procedente era disponer su rechazo. </w:t>
      </w:r>
    </w:p>
    <w:p w14:paraId="261CF83F" w14:textId="77777777" w:rsidR="00FB42CA" w:rsidRPr="008E399A" w:rsidRDefault="00FB42CA" w:rsidP="00FB42CA">
      <w:pPr>
        <w:ind w:right="-1"/>
        <w:rPr>
          <w:rFonts w:cs="Arial"/>
          <w:bCs/>
          <w:lang w:val="es-MX"/>
        </w:rPr>
      </w:pPr>
    </w:p>
    <w:p w14:paraId="406C5E4E" w14:textId="77777777" w:rsidR="00FB42CA" w:rsidRPr="008E399A" w:rsidRDefault="00FB42CA" w:rsidP="00FB42CA">
      <w:pPr>
        <w:ind w:right="-1"/>
        <w:rPr>
          <w:rFonts w:cs="Arial"/>
          <w:bCs/>
          <w:lang w:val="es-MX"/>
        </w:rPr>
      </w:pPr>
      <w:r w:rsidRPr="008E399A">
        <w:rPr>
          <w:rFonts w:cs="Arial"/>
          <w:bCs/>
          <w:lang w:val="es-MX"/>
        </w:rPr>
        <w:t>Explicó la apelante que las demás certificaciones aportadas para acreditar el cumplimiento de esos requisitos no sumaban la experiencia requerida, ya que, en su criterio, según lo evidenció el dictamen pericial practicado como prueba dentro de este proceso</w:t>
      </w:r>
      <w:r w:rsidRPr="008E399A">
        <w:rPr>
          <w:rStyle w:val="Refdenotaalpie"/>
          <w:rFonts w:cs="Arial"/>
          <w:bCs/>
          <w:lang w:val="es-MX"/>
        </w:rPr>
        <w:footnoteReference w:id="26"/>
      </w:r>
      <w:r w:rsidRPr="008E399A">
        <w:rPr>
          <w:rFonts w:cs="Arial"/>
          <w:bCs/>
          <w:lang w:val="es-MX"/>
        </w:rPr>
        <w:t>, la única que podía ser tenida en cuenta era la procedente de Colciencias de 21 de meses y 27 días y no 24 meses como lo exigía el pliego, a lo que agregó que, según la experticia, aquella expedida por la Agencia Nacional de Hidrocarburos no era apreciable por cuanto sus funciones fueron solamente de apoyo a la estructuración y seguimiento de sus proyectos relacionados con estudios regionales en materia de hidrocarburos, asunto que no se refería a labores de interventoría o a contratación estatal, como se requería en el literal b) de la casilla de la experiencia específica habilitante.</w:t>
      </w:r>
    </w:p>
    <w:p w14:paraId="186AB2E0" w14:textId="77777777" w:rsidR="00FB42CA" w:rsidRPr="008E399A" w:rsidRDefault="00FB42CA" w:rsidP="00FB42CA">
      <w:pPr>
        <w:ind w:right="-1"/>
        <w:rPr>
          <w:rFonts w:cs="Arial"/>
          <w:bCs/>
          <w:lang w:val="es-MX"/>
        </w:rPr>
      </w:pPr>
    </w:p>
    <w:p w14:paraId="505CFB5D" w14:textId="77777777" w:rsidR="00FB42CA" w:rsidRPr="008E399A" w:rsidRDefault="00FB42CA" w:rsidP="00FB42CA">
      <w:pPr>
        <w:widowControl w:val="0"/>
        <w:autoSpaceDE w:val="0"/>
        <w:autoSpaceDN w:val="0"/>
        <w:adjustRightInd w:val="0"/>
        <w:rPr>
          <w:rFonts w:cs="Arial"/>
          <w:bCs/>
          <w:lang w:val="es-MX"/>
        </w:rPr>
      </w:pPr>
      <w:r w:rsidRPr="008E399A">
        <w:rPr>
          <w:rFonts w:cs="Arial"/>
          <w:bCs/>
          <w:lang w:val="es-MX"/>
        </w:rPr>
        <w:t>Para resolver, la Sala advierte que, de forma semejante a lo acontecido frente al director general, la valoración de la experiencia del asesor jurídico cumplió simultáneamente una función habilitadora y otra de ponderación. Como aspecto habilitador se requería que se acreditara una experiencia profesional general de cinco años como abogado durante los últimos diez años y como experiencia específica</w:t>
      </w:r>
      <w:r w:rsidRPr="008E399A">
        <w:rPr>
          <w:rFonts w:cs="Arial"/>
          <w:lang w:val="es-MX"/>
        </w:rPr>
        <w:t xml:space="preserve"> se exigía que hubiera participado en calidad de director o coordinador o </w:t>
      </w:r>
      <w:r w:rsidRPr="008E399A">
        <w:rPr>
          <w:rFonts w:cs="Arial"/>
          <w:lang w:val="es-MX"/>
        </w:rPr>
        <w:lastRenderedPageBreak/>
        <w:t>gerente o asesor o consultor o en cargos o roles equivalentes, de acuerdo con las funciones ejercidas, en:</w:t>
      </w:r>
    </w:p>
    <w:p w14:paraId="1A23FD46" w14:textId="77777777" w:rsidR="00FB42CA" w:rsidRPr="008E399A" w:rsidRDefault="00FB42CA" w:rsidP="00FB42CA">
      <w:pPr>
        <w:widowControl w:val="0"/>
        <w:autoSpaceDE w:val="0"/>
        <w:autoSpaceDN w:val="0"/>
        <w:adjustRightInd w:val="0"/>
        <w:rPr>
          <w:rFonts w:cs="Arial"/>
          <w:lang w:val="es-MX"/>
        </w:rPr>
      </w:pPr>
    </w:p>
    <w:p w14:paraId="71B81BC7"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“a) mínimo dos (2) proyectos de consultoría o interventoría, y</w:t>
      </w:r>
    </w:p>
    <w:p w14:paraId="3F0E87B8"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p>
    <w:p w14:paraId="2B798360" w14:textId="77777777" w:rsidR="00FB42CA" w:rsidRPr="008E399A" w:rsidRDefault="00FB42CA" w:rsidP="00FB42CA">
      <w:pPr>
        <w:widowControl w:val="0"/>
        <w:autoSpaceDE w:val="0"/>
        <w:autoSpaceDN w:val="0"/>
        <w:adjustRightInd w:val="0"/>
        <w:spacing w:line="276" w:lineRule="auto"/>
        <w:ind w:left="567" w:right="567"/>
        <w:rPr>
          <w:rFonts w:cs="Arial"/>
          <w:i/>
          <w:lang w:val="es-MX"/>
        </w:rPr>
      </w:pPr>
      <w:r w:rsidRPr="008E399A">
        <w:rPr>
          <w:rFonts w:cs="Arial"/>
          <w:i/>
          <w:lang w:val="es-MX"/>
        </w:rPr>
        <w:t xml:space="preserve">“b) haber ejercido cargos de Director, Coordinador, Gerente, </w:t>
      </w:r>
      <w:r w:rsidRPr="008E399A">
        <w:rPr>
          <w:rFonts w:cs="Arial"/>
          <w:i/>
          <w:u w:val="single"/>
          <w:lang w:val="es-MX"/>
        </w:rPr>
        <w:t>o haber sido Asesor en temas de contratación estatal</w:t>
      </w:r>
      <w:r w:rsidRPr="008E399A">
        <w:rPr>
          <w:rFonts w:cs="Arial"/>
          <w:i/>
          <w:lang w:val="es-MX"/>
        </w:rPr>
        <w:t xml:space="preserve"> o interventoría en empresas de servicios públicos o entidades estatales por un período mínimo de dos (2) años”.</w:t>
      </w:r>
    </w:p>
    <w:p w14:paraId="6FB1B212" w14:textId="77777777" w:rsidR="00FB42CA" w:rsidRPr="008E399A" w:rsidRDefault="00FB42CA" w:rsidP="00FB42CA">
      <w:pPr>
        <w:widowControl w:val="0"/>
        <w:autoSpaceDE w:val="0"/>
        <w:autoSpaceDN w:val="0"/>
        <w:adjustRightInd w:val="0"/>
        <w:rPr>
          <w:rFonts w:cs="Arial"/>
          <w:lang w:val="es-MX"/>
        </w:rPr>
      </w:pPr>
    </w:p>
    <w:p w14:paraId="0F093F39" w14:textId="77777777" w:rsidR="00FB42CA" w:rsidRPr="008E399A" w:rsidRDefault="00FB42CA" w:rsidP="00FB42CA">
      <w:pPr>
        <w:widowControl w:val="0"/>
        <w:autoSpaceDE w:val="0"/>
        <w:autoSpaceDN w:val="0"/>
        <w:adjustRightInd w:val="0"/>
        <w:rPr>
          <w:rFonts w:cs="Arial"/>
          <w:lang w:val="es-MX"/>
        </w:rPr>
      </w:pPr>
      <w:r w:rsidRPr="008E399A">
        <w:rPr>
          <w:rFonts w:cs="Arial"/>
          <w:lang w:val="es-MX"/>
        </w:rPr>
        <w:t>Para la asignación de puntaje se contempló que el asesor jurídico debía contar con una experiencia de dos (2) años, adicional a la mínima habilitante, en cargos de director, coordinador, gerente o haber sido asesor en temas de contratación estatal o interventoría, en empresas de servicios públicos o entidades estatales.</w:t>
      </w:r>
    </w:p>
    <w:p w14:paraId="70CB29B9" w14:textId="77777777" w:rsidR="00FB42CA" w:rsidRPr="008E399A" w:rsidRDefault="00FB42CA" w:rsidP="00FB42CA">
      <w:pPr>
        <w:widowControl w:val="0"/>
        <w:autoSpaceDE w:val="0"/>
        <w:autoSpaceDN w:val="0"/>
        <w:adjustRightInd w:val="0"/>
        <w:rPr>
          <w:rFonts w:cs="Arial"/>
          <w:lang w:val="es-MX"/>
        </w:rPr>
      </w:pPr>
    </w:p>
    <w:p w14:paraId="3D0C8B01" w14:textId="77777777" w:rsidR="00FB42CA" w:rsidRPr="008E399A" w:rsidRDefault="00FB42CA" w:rsidP="00FB42CA">
      <w:pPr>
        <w:ind w:right="-1"/>
        <w:rPr>
          <w:rFonts w:cs="Arial"/>
          <w:bCs/>
          <w:lang w:val="es-MX"/>
        </w:rPr>
      </w:pPr>
      <w:r w:rsidRPr="008E399A">
        <w:rPr>
          <w:rFonts w:cs="Arial"/>
          <w:bCs/>
          <w:lang w:val="es-MX"/>
        </w:rPr>
        <w:t>Planteado el marco de la exigencia de experiencia demandada al asesor jurídico, la Sala observa que el consorcio Interventoría Concesión TV presentó al profesional Julián Fabrizzio Huérfano Ardila para ejercer ese cargo, y con el propósito de acreditar el cumplimiento de los requisitos previstos en el pliego en relación con la experiencia habilitante, junto con su propuesta presentó las siguientes certificaciones:</w:t>
      </w:r>
    </w:p>
    <w:p w14:paraId="253D7550" w14:textId="77777777" w:rsidR="00FB42CA" w:rsidRPr="008E399A" w:rsidRDefault="00FB42CA" w:rsidP="00FB42CA">
      <w:pPr>
        <w:ind w:right="-1"/>
        <w:rPr>
          <w:rFonts w:cs="Arial"/>
          <w:bCs/>
          <w:lang w:val="es-MX"/>
        </w:rPr>
      </w:pPr>
    </w:p>
    <w:p w14:paraId="41CA50A2" w14:textId="77777777" w:rsidR="00FB42CA" w:rsidRPr="008E399A" w:rsidRDefault="00FB42CA" w:rsidP="00FB42CA">
      <w:pPr>
        <w:pStyle w:val="Prrafodelista"/>
        <w:numPr>
          <w:ilvl w:val="0"/>
          <w:numId w:val="44"/>
        </w:numPr>
        <w:ind w:right="-1"/>
        <w:rPr>
          <w:rFonts w:cs="Arial"/>
          <w:bCs/>
          <w:lang w:val="es-MX"/>
        </w:rPr>
      </w:pPr>
      <w:r w:rsidRPr="008E399A">
        <w:rPr>
          <w:rFonts w:cs="Arial"/>
          <w:bCs/>
          <w:lang w:val="es-MX"/>
        </w:rPr>
        <w:t>Certificación expedida el 10 de junio de 2014 por el representante legal de la Cooperativa de Profesionales de Colombia “</w:t>
      </w:r>
      <w:r w:rsidRPr="008E399A">
        <w:rPr>
          <w:rFonts w:cs="Arial"/>
          <w:bCs/>
          <w:i/>
          <w:lang w:val="es-MX"/>
        </w:rPr>
        <w:t>Creer en lo Nuestro</w:t>
      </w:r>
      <w:r w:rsidRPr="008E399A">
        <w:rPr>
          <w:rFonts w:cs="Arial"/>
          <w:bCs/>
          <w:lang w:val="es-MX"/>
        </w:rPr>
        <w:t>”, en la cual se indicó que el abogado Julián Fabrizzio Huérfano Ardila prestó sus servicios profesionales como asesor jurídico desde el 1 de noviembre de 2013 hasta el 30 de mayo de 2014, en tres contratos celebrados con la gobernación del Huilla y la alcaldía de Neiva para llevar a cabo labores de interventoría jurídica en contratos de suministro de alimentación</w:t>
      </w:r>
      <w:r w:rsidRPr="008E399A">
        <w:rPr>
          <w:rStyle w:val="Refdenotaalpie"/>
          <w:rFonts w:cs="Arial"/>
          <w:bCs/>
          <w:lang w:val="es-MX"/>
        </w:rPr>
        <w:footnoteReference w:id="27"/>
      </w:r>
      <w:r w:rsidRPr="008E399A">
        <w:rPr>
          <w:rFonts w:cs="Arial"/>
          <w:bCs/>
          <w:lang w:val="es-MX"/>
        </w:rPr>
        <w:t xml:space="preserve">.   </w:t>
      </w:r>
    </w:p>
    <w:p w14:paraId="09843723" w14:textId="77777777" w:rsidR="00FB42CA" w:rsidRPr="008E399A" w:rsidRDefault="00FB42CA" w:rsidP="00FB42CA">
      <w:pPr>
        <w:pStyle w:val="Prrafodelista"/>
        <w:ind w:left="720" w:right="-1"/>
        <w:rPr>
          <w:rFonts w:cs="Arial"/>
          <w:bCs/>
          <w:lang w:val="es-MX"/>
        </w:rPr>
      </w:pPr>
    </w:p>
    <w:p w14:paraId="3043FCDA" w14:textId="77777777" w:rsidR="00FB42CA" w:rsidRPr="008E399A" w:rsidRDefault="00FB42CA" w:rsidP="00FB42CA">
      <w:pPr>
        <w:pStyle w:val="Prrafodelista"/>
        <w:numPr>
          <w:ilvl w:val="0"/>
          <w:numId w:val="44"/>
        </w:numPr>
        <w:ind w:right="-1"/>
        <w:rPr>
          <w:rFonts w:cs="Arial"/>
          <w:bCs/>
          <w:lang w:val="es-MX"/>
        </w:rPr>
      </w:pPr>
      <w:r w:rsidRPr="008E399A">
        <w:rPr>
          <w:rFonts w:cs="Arial"/>
          <w:bCs/>
          <w:lang w:val="es-MX"/>
        </w:rPr>
        <w:t xml:space="preserve">Certificación del 20 de noviembre de 2012, emitida por el secretario general de Colciencias, en la cual hizo constar que Julián Fabrizzio Huérfano Ardila suscribió con esa entidad cinco contratos de prestación de servicios que se ejecutaron entre el 3 de enero de 2011 y el 6 de noviembre de 2012 y cuyo </w:t>
      </w:r>
      <w:r w:rsidRPr="008E399A">
        <w:rPr>
          <w:rFonts w:cs="Arial"/>
          <w:bCs/>
          <w:lang w:val="es-MX"/>
        </w:rPr>
        <w:lastRenderedPageBreak/>
        <w:t>objeto consistió en asesorarla en procesos de contratación y en la representación judicial de ese organismo</w:t>
      </w:r>
      <w:r w:rsidRPr="008E399A">
        <w:rPr>
          <w:rStyle w:val="Refdenotaalpie"/>
          <w:rFonts w:cs="Arial"/>
          <w:bCs/>
          <w:lang w:val="es-MX"/>
        </w:rPr>
        <w:footnoteReference w:id="28"/>
      </w:r>
      <w:r w:rsidRPr="008E399A">
        <w:rPr>
          <w:rFonts w:cs="Arial"/>
          <w:bCs/>
          <w:lang w:val="es-MX"/>
        </w:rPr>
        <w:t>.</w:t>
      </w:r>
    </w:p>
    <w:p w14:paraId="3B480772" w14:textId="77777777" w:rsidR="00FB42CA" w:rsidRPr="008E399A" w:rsidRDefault="00FB42CA" w:rsidP="00FB42CA">
      <w:pPr>
        <w:pStyle w:val="Prrafodelista"/>
        <w:ind w:left="720" w:right="-1"/>
        <w:rPr>
          <w:rFonts w:cs="Arial"/>
          <w:bCs/>
          <w:lang w:val="es-MX"/>
        </w:rPr>
      </w:pPr>
    </w:p>
    <w:p w14:paraId="5552687E" w14:textId="77777777" w:rsidR="00FB42CA" w:rsidRPr="008E399A" w:rsidRDefault="00FB42CA" w:rsidP="00FB42CA">
      <w:pPr>
        <w:pStyle w:val="Prrafodelista"/>
        <w:numPr>
          <w:ilvl w:val="0"/>
          <w:numId w:val="44"/>
        </w:numPr>
        <w:ind w:right="-1"/>
        <w:rPr>
          <w:rFonts w:cs="Arial"/>
          <w:bCs/>
          <w:lang w:val="es-MX"/>
        </w:rPr>
      </w:pPr>
      <w:r w:rsidRPr="008E399A">
        <w:rPr>
          <w:rFonts w:cs="Arial"/>
          <w:bCs/>
          <w:lang w:val="es-MX"/>
        </w:rPr>
        <w:t>Certificación expedida el 25 de noviembre de 2010 por la oficina de asesoría jurídica de la Agencia Nacional de Hidrocarburos, de conformidad con la cual se registró que Julián Fabrizzio Huérfano Ardila suscribió tres contratos con esa entidad que se relacionan a continuación</w:t>
      </w:r>
      <w:r w:rsidRPr="008E399A">
        <w:rPr>
          <w:rStyle w:val="Refdenotaalpie"/>
          <w:rFonts w:cs="Arial"/>
          <w:bCs/>
          <w:lang w:val="es-MX"/>
        </w:rPr>
        <w:footnoteReference w:id="29"/>
      </w:r>
      <w:r w:rsidRPr="008E399A">
        <w:rPr>
          <w:rFonts w:cs="Arial"/>
          <w:bCs/>
          <w:lang w:val="es-MX"/>
        </w:rPr>
        <w:t xml:space="preserve">: </w:t>
      </w:r>
    </w:p>
    <w:p w14:paraId="557F9FEF" w14:textId="77777777" w:rsidR="00FB42CA" w:rsidRPr="008E399A" w:rsidRDefault="00FB42CA" w:rsidP="00FB42CA">
      <w:pPr>
        <w:pStyle w:val="Prrafodelista"/>
        <w:ind w:left="720" w:right="-1"/>
        <w:rPr>
          <w:rFonts w:cs="Arial"/>
          <w:bCs/>
          <w:lang w:val="es-MX"/>
        </w:rPr>
      </w:pPr>
    </w:p>
    <w:p w14:paraId="1C277ED3" w14:textId="77777777" w:rsidR="00FB42CA" w:rsidRPr="008E399A" w:rsidRDefault="00FB42CA" w:rsidP="00FB42CA">
      <w:pPr>
        <w:pStyle w:val="Prrafodelista"/>
        <w:ind w:left="720" w:right="-1"/>
        <w:rPr>
          <w:rFonts w:cs="Arial"/>
          <w:bCs/>
          <w:lang w:val="es-MX"/>
        </w:rPr>
      </w:pPr>
      <w:r w:rsidRPr="008E399A">
        <w:rPr>
          <w:rFonts w:cs="Arial"/>
          <w:bCs/>
          <w:lang w:val="es-MX"/>
        </w:rPr>
        <w:t>-. Contrato de prestación de servicios No. 07 del 27 de enero de 2009, cuyo objeto consistió en apoyar y asesorar a la oficina jurídica y ejercer el mandato judicial en defensa de los intereses de la ANH, el cual se ejecutó entre el 27 de febrero de 2008 y el 26 de enero de 2009.</w:t>
      </w:r>
    </w:p>
    <w:p w14:paraId="323926D1" w14:textId="77777777" w:rsidR="00FB42CA" w:rsidRPr="008E399A" w:rsidRDefault="00FB42CA" w:rsidP="00FB42CA">
      <w:pPr>
        <w:pStyle w:val="Prrafodelista"/>
        <w:ind w:left="720" w:right="-1"/>
        <w:rPr>
          <w:rFonts w:cs="Arial"/>
          <w:bCs/>
          <w:lang w:val="es-MX"/>
        </w:rPr>
      </w:pPr>
    </w:p>
    <w:p w14:paraId="5592E250" w14:textId="77777777" w:rsidR="00FB42CA" w:rsidRPr="008E399A" w:rsidRDefault="00FB42CA" w:rsidP="00FB42CA">
      <w:pPr>
        <w:pStyle w:val="Prrafodelista"/>
        <w:ind w:left="720" w:right="-1"/>
        <w:rPr>
          <w:rFonts w:cs="Arial"/>
          <w:bCs/>
          <w:lang w:val="es-MX"/>
        </w:rPr>
      </w:pPr>
      <w:r w:rsidRPr="008E399A">
        <w:rPr>
          <w:rFonts w:cs="Arial"/>
          <w:bCs/>
          <w:lang w:val="es-MX"/>
        </w:rPr>
        <w:t>-. Contrato de prestación de servicios No. 014 del 27 de febrero de 2008, con el objeto de apoyar y asesorar a la oficina jurídica de la ANH, el cual se ejecutó entre el 27 de enero de 2009 y el 26 de octubre de 2009.</w:t>
      </w:r>
    </w:p>
    <w:p w14:paraId="7F00EE5A" w14:textId="77777777" w:rsidR="00FB42CA" w:rsidRPr="008E399A" w:rsidRDefault="00FB42CA" w:rsidP="00FB42CA">
      <w:pPr>
        <w:pStyle w:val="Prrafodelista"/>
        <w:ind w:left="720" w:right="-1"/>
        <w:rPr>
          <w:rFonts w:cs="Arial"/>
          <w:bCs/>
          <w:lang w:val="es-MX"/>
        </w:rPr>
      </w:pPr>
    </w:p>
    <w:p w14:paraId="61C4E3FC" w14:textId="77777777" w:rsidR="00FB42CA" w:rsidRPr="008E399A" w:rsidRDefault="00FB42CA" w:rsidP="00FB42CA">
      <w:pPr>
        <w:pStyle w:val="Prrafodelista"/>
        <w:ind w:left="720" w:right="-1"/>
        <w:rPr>
          <w:rFonts w:cs="Arial"/>
          <w:bCs/>
          <w:lang w:val="es-MX"/>
        </w:rPr>
      </w:pPr>
      <w:r w:rsidRPr="008E399A">
        <w:rPr>
          <w:rFonts w:cs="Arial"/>
          <w:bCs/>
          <w:lang w:val="es-MX"/>
        </w:rPr>
        <w:t xml:space="preserve">-. Contrato de prestación de servicios </w:t>
      </w:r>
      <w:bookmarkStart w:id="4" w:name="_Hlk529782172"/>
      <w:r w:rsidRPr="008E399A">
        <w:rPr>
          <w:rFonts w:cs="Arial"/>
          <w:bCs/>
          <w:lang w:val="es-MX"/>
        </w:rPr>
        <w:t xml:space="preserve">No. 106 del 27 de octubre de 2009, cuyo objeto consistió en apoyar a la ANH en la estructuración, ejecución, control y seguimiento de sus proyectos relacionados con estudios regionales en materia hidrocarburífera, entre el 27 de octubre de 2009 y el 30 de octubre de 2010. </w:t>
      </w:r>
      <w:bookmarkEnd w:id="4"/>
    </w:p>
    <w:p w14:paraId="596B2CF6" w14:textId="77777777" w:rsidR="00FB42CA" w:rsidRPr="008E399A" w:rsidRDefault="00FB42CA" w:rsidP="00FB42CA">
      <w:pPr>
        <w:ind w:right="-1"/>
        <w:rPr>
          <w:rFonts w:cs="Arial"/>
          <w:bCs/>
          <w:lang w:val="es-MX"/>
        </w:rPr>
      </w:pPr>
    </w:p>
    <w:p w14:paraId="7FA8C137" w14:textId="77777777" w:rsidR="00FB42CA" w:rsidRPr="008E399A" w:rsidRDefault="00FB42CA" w:rsidP="00FB42CA">
      <w:pPr>
        <w:pStyle w:val="Prrafodelista"/>
        <w:numPr>
          <w:ilvl w:val="0"/>
          <w:numId w:val="44"/>
        </w:numPr>
        <w:ind w:right="-1"/>
        <w:rPr>
          <w:rFonts w:cs="Arial"/>
          <w:bCs/>
          <w:lang w:val="es-MX"/>
        </w:rPr>
      </w:pPr>
      <w:r w:rsidRPr="008E399A">
        <w:rPr>
          <w:rFonts w:cs="Arial"/>
          <w:bCs/>
          <w:lang w:val="es-MX"/>
        </w:rPr>
        <w:t xml:space="preserve">Certificación expedida 17 de enero de 2007 por la directora territorial del Meta – Caprecom, en la cual registró que el abogado </w:t>
      </w:r>
      <w:bookmarkStart w:id="5" w:name="_Hlk529786968"/>
      <w:r w:rsidRPr="008E399A">
        <w:rPr>
          <w:rFonts w:cs="Arial"/>
          <w:bCs/>
          <w:lang w:val="es-MX"/>
        </w:rPr>
        <w:t xml:space="preserve">Julián Fabrizzio Huérfano Ardila </w:t>
      </w:r>
      <w:bookmarkEnd w:id="5"/>
      <w:r w:rsidRPr="008E399A">
        <w:rPr>
          <w:rFonts w:cs="Arial"/>
          <w:bCs/>
          <w:lang w:val="es-MX"/>
        </w:rPr>
        <w:t>celebró con esa entidad dos contratos entre el 1 de agosto de 206 y el 31 de diciembre del mismo año y el 10 de enero de 2007 y el 31 de diciembre de esa anualidad, con el objeto de prestar sus servicios como profesional del derecho para esa entidad</w:t>
      </w:r>
      <w:r w:rsidRPr="008E399A">
        <w:rPr>
          <w:rStyle w:val="Refdenotaalpie"/>
          <w:rFonts w:cs="Arial"/>
          <w:bCs/>
          <w:lang w:val="es-MX"/>
        </w:rPr>
        <w:footnoteReference w:id="30"/>
      </w:r>
      <w:r w:rsidRPr="008E399A">
        <w:rPr>
          <w:rFonts w:cs="Arial"/>
          <w:bCs/>
          <w:lang w:val="es-MX"/>
        </w:rPr>
        <w:t xml:space="preserve">. </w:t>
      </w:r>
    </w:p>
    <w:p w14:paraId="080951BF" w14:textId="77777777" w:rsidR="00FB42CA" w:rsidRPr="008E399A" w:rsidRDefault="00FB42CA" w:rsidP="00FB42CA">
      <w:pPr>
        <w:ind w:right="-1"/>
        <w:rPr>
          <w:rFonts w:cs="Arial"/>
          <w:bCs/>
          <w:lang w:val="es-MX"/>
        </w:rPr>
      </w:pPr>
    </w:p>
    <w:p w14:paraId="6891BC1D" w14:textId="77777777" w:rsidR="00FB42CA" w:rsidRPr="008E399A" w:rsidRDefault="00FB42CA" w:rsidP="00FB42CA">
      <w:pPr>
        <w:ind w:right="-1"/>
        <w:rPr>
          <w:rFonts w:cs="Arial"/>
          <w:bCs/>
          <w:lang w:val="es-MX"/>
        </w:rPr>
      </w:pPr>
      <w:r w:rsidRPr="008E399A">
        <w:rPr>
          <w:rFonts w:cs="Arial"/>
          <w:bCs/>
          <w:lang w:val="es-MX"/>
        </w:rPr>
        <w:lastRenderedPageBreak/>
        <w:t xml:space="preserve">Posteriormente, dentro del término de traslado del informe preliminar de evaluación, el oferente consorcio Interventoría Concesión TV presentó un escrito de subsanación de los requisitos habilitantes. </w:t>
      </w:r>
    </w:p>
    <w:p w14:paraId="39EA996D" w14:textId="77777777" w:rsidR="00FB42CA" w:rsidRPr="008E399A" w:rsidRDefault="00FB42CA" w:rsidP="00FB42CA">
      <w:pPr>
        <w:ind w:right="-1"/>
        <w:rPr>
          <w:rFonts w:cs="Arial"/>
          <w:bCs/>
          <w:lang w:val="es-MX"/>
        </w:rPr>
      </w:pPr>
    </w:p>
    <w:p w14:paraId="780CABDB" w14:textId="77777777" w:rsidR="00FB42CA" w:rsidRPr="008E399A" w:rsidRDefault="00FB42CA" w:rsidP="00FB42CA">
      <w:pPr>
        <w:ind w:right="-1"/>
        <w:rPr>
          <w:rFonts w:cs="Arial"/>
          <w:bCs/>
          <w:lang w:val="es-MX"/>
        </w:rPr>
      </w:pPr>
      <w:r w:rsidRPr="008E399A">
        <w:rPr>
          <w:rFonts w:cs="Arial"/>
          <w:bCs/>
          <w:lang w:val="es-MX"/>
        </w:rPr>
        <w:t>En esa oportunidad allegó varias certificaciones expedidas por IPES, la Unidad de Servicios, Carcelarios y Penitenciarios, el Seguro Social en Liquidación y el Fondo de Ventas Populares, relativas a la gestión desempeñada por el abogado Julián Fabrizzio Huérfano Ardila.</w:t>
      </w:r>
    </w:p>
    <w:p w14:paraId="1929F8C8" w14:textId="77777777" w:rsidR="00FB42CA" w:rsidRPr="008E399A" w:rsidRDefault="00FB42CA" w:rsidP="00FB42CA">
      <w:pPr>
        <w:ind w:right="-1"/>
        <w:rPr>
          <w:rFonts w:cs="Arial"/>
          <w:bCs/>
          <w:lang w:val="es-MX"/>
        </w:rPr>
      </w:pPr>
    </w:p>
    <w:p w14:paraId="7A39CCD2" w14:textId="77777777" w:rsidR="00FB42CA" w:rsidRPr="008E399A" w:rsidRDefault="00FB42CA" w:rsidP="00FB42CA">
      <w:pPr>
        <w:widowControl w:val="0"/>
        <w:autoSpaceDE w:val="0"/>
        <w:autoSpaceDN w:val="0"/>
        <w:adjustRightInd w:val="0"/>
        <w:rPr>
          <w:rFonts w:cs="Arial"/>
          <w:lang w:val="es-MX"/>
        </w:rPr>
      </w:pPr>
      <w:r w:rsidRPr="008E399A">
        <w:rPr>
          <w:rFonts w:cs="Arial"/>
          <w:bCs/>
          <w:lang w:val="es-MX"/>
        </w:rPr>
        <w:t xml:space="preserve">Sin embargo, al pronunciarse sobre las mismas, la ANTV, en el documento de respuesta a las observaciones al informe preliminar de evaluación, indicó: </w:t>
      </w:r>
      <w:r w:rsidRPr="008E399A">
        <w:rPr>
          <w:rFonts w:cs="Arial"/>
          <w:lang w:val="es-MX"/>
        </w:rPr>
        <w:t xml:space="preserve">(se transcribe literal, incluso con posibles errores): </w:t>
      </w:r>
    </w:p>
    <w:p w14:paraId="16738F06" w14:textId="77777777" w:rsidR="00FB42CA" w:rsidRPr="008E399A" w:rsidRDefault="00FB42CA" w:rsidP="00FB42CA">
      <w:pPr>
        <w:ind w:right="-1"/>
        <w:rPr>
          <w:rFonts w:cs="Arial"/>
          <w:bCs/>
          <w:lang w:val="es-MX"/>
        </w:rPr>
      </w:pPr>
    </w:p>
    <w:p w14:paraId="6A42A109" w14:textId="77777777" w:rsidR="00FB42CA" w:rsidRPr="008E399A" w:rsidRDefault="00FB42CA" w:rsidP="00FB42CA">
      <w:pPr>
        <w:spacing w:line="276" w:lineRule="auto"/>
        <w:ind w:left="567" w:right="567"/>
        <w:rPr>
          <w:rFonts w:cs="Arial"/>
          <w:bCs/>
          <w:lang w:val="es-MX"/>
        </w:rPr>
      </w:pPr>
      <w:r w:rsidRPr="008E399A">
        <w:rPr>
          <w:rFonts w:cs="Arial"/>
          <w:bCs/>
          <w:lang w:val="es-MX"/>
        </w:rPr>
        <w:t>“</w:t>
      </w:r>
      <w:r w:rsidRPr="008E399A">
        <w:rPr>
          <w:rFonts w:cs="Arial"/>
          <w:bCs/>
          <w:i/>
          <w:lang w:val="es-MX"/>
        </w:rPr>
        <w:t>En cuanto a la solicitud del numeral 4.1. sobre el cargo de asesor jurídico, procede igual comentario que en el realizado frente al aporte de certificaciones del candidato al cargo de asesor financiero y Administrativo, es de, este profesional ya se encontraba habilitado y solo de otorgar el respectivo puntaje en caso de la propuesta resulte habilitada</w:t>
      </w:r>
      <w:r w:rsidRPr="008E399A">
        <w:rPr>
          <w:rFonts w:cs="Arial"/>
          <w:bCs/>
          <w:lang w:val="es-MX"/>
        </w:rPr>
        <w:t xml:space="preserve">”. </w:t>
      </w:r>
    </w:p>
    <w:p w14:paraId="1928B787" w14:textId="77777777" w:rsidR="00FB42CA" w:rsidRPr="008E399A" w:rsidRDefault="00FB42CA" w:rsidP="00FB42CA">
      <w:pPr>
        <w:ind w:right="-1"/>
        <w:rPr>
          <w:rFonts w:cs="Arial"/>
          <w:bCs/>
          <w:lang w:val="es-MX"/>
        </w:rPr>
      </w:pPr>
    </w:p>
    <w:p w14:paraId="4A15870A" w14:textId="77777777" w:rsidR="00FB42CA" w:rsidRPr="008E399A" w:rsidRDefault="00FB42CA" w:rsidP="00FB42CA">
      <w:pPr>
        <w:ind w:right="-1"/>
        <w:rPr>
          <w:rFonts w:cs="Arial"/>
          <w:bCs/>
          <w:lang w:val="es-MX"/>
        </w:rPr>
      </w:pPr>
      <w:r w:rsidRPr="008E399A">
        <w:rPr>
          <w:rFonts w:cs="Arial"/>
          <w:bCs/>
          <w:lang w:val="es-MX"/>
        </w:rPr>
        <w:t xml:space="preserve">Luego, en la etapa final de evaluación, la experiencia del equipo de trabajo, específicamente en el caso del asesor jurídico ofrecido por el consorcio Interventoría Concesión TC fue valorada, como se aprecia en la siguiente gráfica: </w:t>
      </w:r>
    </w:p>
    <w:p w14:paraId="36EA7209" w14:textId="77777777" w:rsidR="00FB42CA" w:rsidRPr="008E399A" w:rsidRDefault="00FB42CA" w:rsidP="00FB42CA">
      <w:pPr>
        <w:ind w:right="-1"/>
        <w:rPr>
          <w:rFonts w:cs="Arial"/>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88"/>
        <w:gridCol w:w="965"/>
        <w:gridCol w:w="997"/>
        <w:gridCol w:w="997"/>
        <w:gridCol w:w="1029"/>
        <w:gridCol w:w="862"/>
        <w:gridCol w:w="997"/>
        <w:gridCol w:w="687"/>
        <w:gridCol w:w="810"/>
      </w:tblGrid>
      <w:tr w:rsidR="00FB42CA" w:rsidRPr="008E399A" w14:paraId="69528243" w14:textId="77777777" w:rsidTr="00F208D4">
        <w:tc>
          <w:tcPr>
            <w:tcW w:w="0" w:type="auto"/>
            <w:shd w:val="clear" w:color="auto" w:fill="auto"/>
          </w:tcPr>
          <w:p w14:paraId="5B259038" w14:textId="77777777" w:rsidR="00FB42CA" w:rsidRPr="008E399A" w:rsidRDefault="00FB42CA" w:rsidP="00F208D4">
            <w:pPr>
              <w:spacing w:line="240" w:lineRule="auto"/>
              <w:ind w:right="-1"/>
              <w:rPr>
                <w:rFonts w:cs="Arial"/>
                <w:bCs/>
                <w:lang w:val="es-MX"/>
              </w:rPr>
            </w:pPr>
            <w:r w:rsidRPr="008E399A">
              <w:rPr>
                <w:rFonts w:cs="Arial"/>
                <w:bCs/>
                <w:lang w:val="es-MX"/>
              </w:rPr>
              <w:t>No.</w:t>
            </w:r>
          </w:p>
        </w:tc>
        <w:tc>
          <w:tcPr>
            <w:tcW w:w="0" w:type="auto"/>
            <w:shd w:val="clear" w:color="auto" w:fill="auto"/>
          </w:tcPr>
          <w:p w14:paraId="4B1AA316" w14:textId="77777777" w:rsidR="00FB42CA" w:rsidRPr="008E399A" w:rsidRDefault="00FB42CA" w:rsidP="00F208D4">
            <w:pPr>
              <w:spacing w:line="240" w:lineRule="auto"/>
              <w:ind w:right="-1"/>
              <w:rPr>
                <w:rFonts w:cs="Arial"/>
                <w:bCs/>
                <w:lang w:val="es-MX"/>
              </w:rPr>
            </w:pPr>
            <w:r w:rsidRPr="008E399A">
              <w:rPr>
                <w:rFonts w:cs="Arial"/>
                <w:bCs/>
                <w:lang w:val="es-MX"/>
              </w:rPr>
              <w:t>CONTRATANTE</w:t>
            </w:r>
          </w:p>
        </w:tc>
        <w:tc>
          <w:tcPr>
            <w:tcW w:w="0" w:type="auto"/>
            <w:shd w:val="clear" w:color="auto" w:fill="auto"/>
          </w:tcPr>
          <w:p w14:paraId="57EF6EAA" w14:textId="77777777" w:rsidR="00FB42CA" w:rsidRPr="008E399A" w:rsidRDefault="00FB42CA" w:rsidP="00F208D4">
            <w:pPr>
              <w:spacing w:line="240" w:lineRule="auto"/>
              <w:ind w:right="-1"/>
              <w:rPr>
                <w:rFonts w:cs="Arial"/>
                <w:bCs/>
                <w:lang w:val="es-MX"/>
              </w:rPr>
            </w:pPr>
            <w:r w:rsidRPr="008E399A">
              <w:rPr>
                <w:rFonts w:cs="Arial"/>
                <w:bCs/>
                <w:lang w:val="es-MX"/>
              </w:rPr>
              <w:t xml:space="preserve">CARGO OCUPADO O PROYECTO REALIZADO </w:t>
            </w:r>
          </w:p>
        </w:tc>
        <w:tc>
          <w:tcPr>
            <w:tcW w:w="0" w:type="auto"/>
            <w:shd w:val="clear" w:color="auto" w:fill="auto"/>
          </w:tcPr>
          <w:p w14:paraId="17754A46" w14:textId="77777777" w:rsidR="00FB42CA" w:rsidRPr="008E399A" w:rsidRDefault="00FB42CA" w:rsidP="00F208D4">
            <w:pPr>
              <w:spacing w:line="240" w:lineRule="auto"/>
              <w:ind w:right="-1"/>
              <w:rPr>
                <w:rFonts w:cs="Arial"/>
                <w:bCs/>
                <w:lang w:val="es-MX"/>
              </w:rPr>
            </w:pPr>
            <w:r w:rsidRPr="008E399A">
              <w:rPr>
                <w:rFonts w:cs="Arial"/>
                <w:bCs/>
                <w:lang w:val="es-MX"/>
              </w:rPr>
              <w:t>FOLIO DONDE SE ENCUENTRA LA EXPERIENCIA</w:t>
            </w:r>
          </w:p>
        </w:tc>
        <w:tc>
          <w:tcPr>
            <w:tcW w:w="0" w:type="auto"/>
            <w:shd w:val="clear" w:color="auto" w:fill="auto"/>
          </w:tcPr>
          <w:p w14:paraId="09AF2318" w14:textId="77777777" w:rsidR="00FB42CA" w:rsidRPr="008E399A" w:rsidRDefault="00FB42CA" w:rsidP="00F208D4">
            <w:pPr>
              <w:spacing w:line="240" w:lineRule="auto"/>
              <w:ind w:right="-1"/>
              <w:rPr>
                <w:rFonts w:cs="Arial"/>
                <w:bCs/>
                <w:lang w:val="es-MX"/>
              </w:rPr>
            </w:pPr>
            <w:r w:rsidRPr="008E399A">
              <w:rPr>
                <w:rFonts w:cs="Arial"/>
                <w:bCs/>
                <w:lang w:val="es-MX"/>
              </w:rPr>
              <w:t xml:space="preserve">EXPERIENCIA GENERAL </w:t>
            </w:r>
          </w:p>
        </w:tc>
        <w:tc>
          <w:tcPr>
            <w:tcW w:w="0" w:type="auto"/>
            <w:shd w:val="clear" w:color="auto" w:fill="auto"/>
          </w:tcPr>
          <w:p w14:paraId="1EE2040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FC1056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AF985EF" w14:textId="77777777" w:rsidR="00FB42CA" w:rsidRPr="008E399A" w:rsidRDefault="00FB42CA" w:rsidP="00F208D4">
            <w:pPr>
              <w:spacing w:line="240" w:lineRule="auto"/>
              <w:ind w:right="-1"/>
              <w:rPr>
                <w:rFonts w:cs="Arial"/>
                <w:bCs/>
                <w:lang w:val="es-MX"/>
              </w:rPr>
            </w:pPr>
            <w:r w:rsidRPr="008E399A">
              <w:rPr>
                <w:rFonts w:cs="Arial"/>
                <w:bCs/>
                <w:lang w:val="es-MX"/>
              </w:rPr>
              <w:t xml:space="preserve">TIPO DE EXPERIENCIA APORTADA </w:t>
            </w:r>
          </w:p>
        </w:tc>
        <w:tc>
          <w:tcPr>
            <w:tcW w:w="0" w:type="auto"/>
            <w:shd w:val="clear" w:color="auto" w:fill="auto"/>
          </w:tcPr>
          <w:p w14:paraId="2193CDC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E4B4994" w14:textId="77777777" w:rsidR="00FB42CA" w:rsidRPr="008E399A" w:rsidRDefault="00FB42CA" w:rsidP="00F208D4">
            <w:pPr>
              <w:spacing w:line="240" w:lineRule="auto"/>
              <w:ind w:right="-1"/>
              <w:rPr>
                <w:rFonts w:cs="Arial"/>
                <w:bCs/>
                <w:lang w:val="es-MX"/>
              </w:rPr>
            </w:pPr>
          </w:p>
        </w:tc>
      </w:tr>
      <w:tr w:rsidR="00FB42CA" w:rsidRPr="008E399A" w14:paraId="3C83FAD1" w14:textId="77777777" w:rsidTr="00F208D4">
        <w:tc>
          <w:tcPr>
            <w:tcW w:w="0" w:type="auto"/>
            <w:shd w:val="clear" w:color="auto" w:fill="auto"/>
          </w:tcPr>
          <w:p w14:paraId="1D5C39D4"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6234CA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340D6A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9775D7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349A327" w14:textId="77777777" w:rsidR="00FB42CA" w:rsidRPr="008E399A" w:rsidRDefault="00FB42CA" w:rsidP="00F208D4">
            <w:pPr>
              <w:spacing w:line="240" w:lineRule="auto"/>
              <w:ind w:right="-1"/>
              <w:rPr>
                <w:rFonts w:cs="Arial"/>
                <w:bCs/>
                <w:lang w:val="es-MX"/>
              </w:rPr>
            </w:pPr>
            <w:r w:rsidRPr="008E399A">
              <w:rPr>
                <w:rFonts w:cs="Arial"/>
                <w:bCs/>
                <w:lang w:val="es-MX"/>
              </w:rPr>
              <w:t xml:space="preserve">FECHA DE INICIO </w:t>
            </w:r>
          </w:p>
        </w:tc>
        <w:tc>
          <w:tcPr>
            <w:tcW w:w="0" w:type="auto"/>
            <w:shd w:val="clear" w:color="auto" w:fill="auto"/>
          </w:tcPr>
          <w:p w14:paraId="1B04F1DA" w14:textId="77777777" w:rsidR="00FB42CA" w:rsidRPr="008E399A" w:rsidRDefault="00FB42CA" w:rsidP="00F208D4">
            <w:pPr>
              <w:spacing w:line="240" w:lineRule="auto"/>
              <w:ind w:right="-1"/>
              <w:rPr>
                <w:rFonts w:cs="Arial"/>
                <w:bCs/>
                <w:lang w:val="es-MX"/>
              </w:rPr>
            </w:pPr>
            <w:r w:rsidRPr="008E399A">
              <w:rPr>
                <w:rFonts w:cs="Arial"/>
                <w:bCs/>
                <w:lang w:val="es-MX"/>
              </w:rPr>
              <w:t xml:space="preserve">FECHA DE TERMINAICON </w:t>
            </w:r>
          </w:p>
        </w:tc>
        <w:tc>
          <w:tcPr>
            <w:tcW w:w="0" w:type="auto"/>
            <w:shd w:val="clear" w:color="auto" w:fill="auto"/>
          </w:tcPr>
          <w:p w14:paraId="27BEF424" w14:textId="77777777" w:rsidR="00FB42CA" w:rsidRPr="008E399A" w:rsidRDefault="00FB42CA" w:rsidP="00F208D4">
            <w:pPr>
              <w:spacing w:line="240" w:lineRule="auto"/>
              <w:ind w:right="-1"/>
              <w:rPr>
                <w:rFonts w:cs="Arial"/>
                <w:bCs/>
                <w:lang w:val="es-MX"/>
              </w:rPr>
            </w:pPr>
            <w:r w:rsidRPr="008E399A">
              <w:rPr>
                <w:rFonts w:cs="Arial"/>
                <w:bCs/>
                <w:lang w:val="es-MX"/>
              </w:rPr>
              <w:t xml:space="preserve">SUBTOTAL AÑOS </w:t>
            </w:r>
          </w:p>
        </w:tc>
        <w:tc>
          <w:tcPr>
            <w:tcW w:w="0" w:type="auto"/>
            <w:shd w:val="clear" w:color="auto" w:fill="auto"/>
          </w:tcPr>
          <w:p w14:paraId="63A8C88A" w14:textId="77777777" w:rsidR="00FB42CA" w:rsidRPr="008E399A" w:rsidRDefault="00FB42CA" w:rsidP="00F208D4">
            <w:pPr>
              <w:spacing w:line="240" w:lineRule="auto"/>
              <w:ind w:right="-1"/>
              <w:rPr>
                <w:rFonts w:cs="Arial"/>
                <w:bCs/>
                <w:lang w:val="es-MX"/>
              </w:rPr>
            </w:pPr>
            <w:r w:rsidRPr="008E399A">
              <w:rPr>
                <w:rFonts w:cs="Arial"/>
                <w:bCs/>
                <w:lang w:val="es-MX"/>
              </w:rPr>
              <w:t xml:space="preserve">GENERAL </w:t>
            </w:r>
          </w:p>
        </w:tc>
        <w:tc>
          <w:tcPr>
            <w:tcW w:w="0" w:type="auto"/>
            <w:shd w:val="clear" w:color="auto" w:fill="auto"/>
          </w:tcPr>
          <w:p w14:paraId="5D225090" w14:textId="77777777" w:rsidR="00FB42CA" w:rsidRPr="008E399A" w:rsidRDefault="00FB42CA" w:rsidP="00F208D4">
            <w:pPr>
              <w:spacing w:line="240" w:lineRule="auto"/>
              <w:ind w:right="-1"/>
              <w:rPr>
                <w:rFonts w:cs="Arial"/>
                <w:bCs/>
                <w:lang w:val="es-MX"/>
              </w:rPr>
            </w:pPr>
            <w:r w:rsidRPr="008E399A">
              <w:rPr>
                <w:rFonts w:cs="Arial"/>
                <w:bCs/>
                <w:lang w:val="es-MX"/>
              </w:rPr>
              <w:t xml:space="preserve">LITERAL A) </w:t>
            </w:r>
          </w:p>
        </w:tc>
        <w:tc>
          <w:tcPr>
            <w:tcW w:w="0" w:type="auto"/>
            <w:shd w:val="clear" w:color="auto" w:fill="auto"/>
          </w:tcPr>
          <w:p w14:paraId="08799CE0" w14:textId="77777777" w:rsidR="00FB42CA" w:rsidRPr="008E399A" w:rsidRDefault="00FB42CA" w:rsidP="00F208D4">
            <w:pPr>
              <w:spacing w:line="240" w:lineRule="auto"/>
              <w:ind w:right="-1"/>
              <w:rPr>
                <w:rFonts w:cs="Arial"/>
                <w:bCs/>
                <w:lang w:val="es-MX"/>
              </w:rPr>
            </w:pPr>
            <w:r w:rsidRPr="008E399A">
              <w:rPr>
                <w:rFonts w:cs="Arial"/>
                <w:bCs/>
                <w:lang w:val="es-MX"/>
              </w:rPr>
              <w:t xml:space="preserve">LITTERAL B) </w:t>
            </w:r>
          </w:p>
        </w:tc>
      </w:tr>
      <w:tr w:rsidR="00FB42CA" w:rsidRPr="008E399A" w14:paraId="09DE273C" w14:textId="77777777" w:rsidTr="00F208D4">
        <w:tc>
          <w:tcPr>
            <w:tcW w:w="0" w:type="auto"/>
            <w:shd w:val="clear" w:color="auto" w:fill="auto"/>
          </w:tcPr>
          <w:p w14:paraId="2E39FBAB" w14:textId="77777777" w:rsidR="00FB42CA" w:rsidRPr="008E399A" w:rsidRDefault="00FB42CA" w:rsidP="00F208D4">
            <w:pPr>
              <w:spacing w:line="240" w:lineRule="auto"/>
              <w:ind w:right="-1"/>
              <w:rPr>
                <w:rFonts w:cs="Arial"/>
                <w:bCs/>
                <w:lang w:val="es-MX"/>
              </w:rPr>
            </w:pPr>
            <w:r w:rsidRPr="008E399A">
              <w:rPr>
                <w:rFonts w:cs="Arial"/>
                <w:bCs/>
                <w:lang w:val="es-MX"/>
              </w:rPr>
              <w:t>1</w:t>
            </w:r>
          </w:p>
        </w:tc>
        <w:tc>
          <w:tcPr>
            <w:tcW w:w="0" w:type="auto"/>
            <w:shd w:val="clear" w:color="auto" w:fill="auto"/>
          </w:tcPr>
          <w:p w14:paraId="01789D80" w14:textId="77777777" w:rsidR="00FB42CA" w:rsidRPr="008E399A" w:rsidRDefault="00FB42CA" w:rsidP="00F208D4">
            <w:pPr>
              <w:spacing w:line="240" w:lineRule="auto"/>
              <w:ind w:right="-1"/>
              <w:rPr>
                <w:rFonts w:cs="Arial"/>
                <w:bCs/>
                <w:lang w:val="es-MX"/>
              </w:rPr>
            </w:pPr>
            <w:r w:rsidRPr="008E399A">
              <w:rPr>
                <w:rFonts w:cs="Arial"/>
                <w:bCs/>
                <w:lang w:val="es-MX"/>
              </w:rPr>
              <w:t xml:space="preserve">Cooperativo de Profesionales de Colombia </w:t>
            </w:r>
            <w:r w:rsidRPr="008E399A">
              <w:rPr>
                <w:rFonts w:cs="Arial"/>
                <w:bCs/>
                <w:lang w:val="es-MX"/>
              </w:rPr>
              <w:lastRenderedPageBreak/>
              <w:t>“Creer los nuestro”</w:t>
            </w:r>
          </w:p>
        </w:tc>
        <w:tc>
          <w:tcPr>
            <w:tcW w:w="0" w:type="auto"/>
            <w:shd w:val="clear" w:color="auto" w:fill="auto"/>
          </w:tcPr>
          <w:p w14:paraId="0B3EEAD4" w14:textId="77777777" w:rsidR="00FB42CA" w:rsidRPr="008E399A" w:rsidRDefault="00FB42CA" w:rsidP="00F208D4">
            <w:pPr>
              <w:spacing w:line="240" w:lineRule="auto"/>
              <w:ind w:right="-1"/>
              <w:rPr>
                <w:rFonts w:cs="Arial"/>
                <w:bCs/>
                <w:lang w:val="es-MX"/>
              </w:rPr>
            </w:pPr>
            <w:r w:rsidRPr="008E399A">
              <w:rPr>
                <w:rFonts w:cs="Arial"/>
                <w:bCs/>
                <w:lang w:val="es-MX"/>
              </w:rPr>
              <w:lastRenderedPageBreak/>
              <w:t xml:space="preserve">Profesional </w:t>
            </w:r>
          </w:p>
        </w:tc>
        <w:tc>
          <w:tcPr>
            <w:tcW w:w="0" w:type="auto"/>
            <w:shd w:val="clear" w:color="auto" w:fill="auto"/>
          </w:tcPr>
          <w:p w14:paraId="07C38AC1" w14:textId="77777777" w:rsidR="00FB42CA" w:rsidRPr="008E399A" w:rsidRDefault="00FB42CA" w:rsidP="00F208D4">
            <w:pPr>
              <w:spacing w:line="240" w:lineRule="auto"/>
              <w:ind w:right="-1"/>
              <w:rPr>
                <w:rFonts w:cs="Arial"/>
                <w:bCs/>
                <w:lang w:val="es-MX"/>
              </w:rPr>
            </w:pPr>
            <w:r w:rsidRPr="008E399A">
              <w:rPr>
                <w:rFonts w:cs="Arial"/>
                <w:bCs/>
                <w:lang w:val="es-MX"/>
              </w:rPr>
              <w:t>367</w:t>
            </w:r>
          </w:p>
        </w:tc>
        <w:tc>
          <w:tcPr>
            <w:tcW w:w="0" w:type="auto"/>
            <w:shd w:val="clear" w:color="auto" w:fill="auto"/>
          </w:tcPr>
          <w:p w14:paraId="73AED4E1" w14:textId="77777777" w:rsidR="00FB42CA" w:rsidRPr="008E399A" w:rsidRDefault="00FB42CA" w:rsidP="00F208D4">
            <w:pPr>
              <w:spacing w:line="240" w:lineRule="auto"/>
              <w:ind w:right="-1"/>
              <w:rPr>
                <w:rFonts w:cs="Arial"/>
                <w:bCs/>
                <w:lang w:val="es-MX"/>
              </w:rPr>
            </w:pPr>
            <w:r w:rsidRPr="008E399A">
              <w:rPr>
                <w:rFonts w:cs="Arial"/>
                <w:bCs/>
                <w:lang w:val="es-MX"/>
              </w:rPr>
              <w:t>01/nov/13</w:t>
            </w:r>
          </w:p>
        </w:tc>
        <w:tc>
          <w:tcPr>
            <w:tcW w:w="0" w:type="auto"/>
            <w:shd w:val="clear" w:color="auto" w:fill="auto"/>
          </w:tcPr>
          <w:p w14:paraId="1529BE3B" w14:textId="77777777" w:rsidR="00FB42CA" w:rsidRPr="008E399A" w:rsidRDefault="00FB42CA" w:rsidP="00F208D4">
            <w:pPr>
              <w:spacing w:line="240" w:lineRule="auto"/>
              <w:ind w:right="-1"/>
              <w:rPr>
                <w:rFonts w:cs="Arial"/>
                <w:bCs/>
                <w:lang w:val="es-MX"/>
              </w:rPr>
            </w:pPr>
            <w:r w:rsidRPr="008E399A">
              <w:rPr>
                <w:rFonts w:cs="Arial"/>
                <w:bCs/>
                <w:lang w:val="es-MX"/>
              </w:rPr>
              <w:t>30/may/14</w:t>
            </w:r>
          </w:p>
        </w:tc>
        <w:tc>
          <w:tcPr>
            <w:tcW w:w="0" w:type="auto"/>
            <w:shd w:val="clear" w:color="auto" w:fill="auto"/>
          </w:tcPr>
          <w:p w14:paraId="7D738A50" w14:textId="77777777" w:rsidR="00FB42CA" w:rsidRPr="008E399A" w:rsidRDefault="00FB42CA" w:rsidP="00F208D4">
            <w:pPr>
              <w:spacing w:line="240" w:lineRule="auto"/>
              <w:ind w:right="-1"/>
              <w:rPr>
                <w:rFonts w:cs="Arial"/>
                <w:bCs/>
                <w:lang w:val="es-MX"/>
              </w:rPr>
            </w:pPr>
            <w:r w:rsidRPr="008E399A">
              <w:rPr>
                <w:rFonts w:cs="Arial"/>
                <w:bCs/>
                <w:lang w:val="es-MX"/>
              </w:rPr>
              <w:t>0,58</w:t>
            </w:r>
          </w:p>
        </w:tc>
        <w:tc>
          <w:tcPr>
            <w:tcW w:w="0" w:type="auto"/>
            <w:shd w:val="clear" w:color="auto" w:fill="auto"/>
          </w:tcPr>
          <w:p w14:paraId="548E17B2"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6A2FF296"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C7A460C" w14:textId="77777777" w:rsidR="00FB42CA" w:rsidRPr="008E399A" w:rsidRDefault="00FB42CA" w:rsidP="00F208D4">
            <w:pPr>
              <w:spacing w:line="240" w:lineRule="auto"/>
              <w:ind w:right="-1"/>
              <w:rPr>
                <w:rFonts w:cs="Arial"/>
                <w:bCs/>
                <w:lang w:val="es-MX"/>
              </w:rPr>
            </w:pPr>
          </w:p>
        </w:tc>
      </w:tr>
      <w:tr w:rsidR="00FB42CA" w:rsidRPr="008E399A" w14:paraId="7662F032" w14:textId="77777777" w:rsidTr="00F208D4">
        <w:tc>
          <w:tcPr>
            <w:tcW w:w="0" w:type="auto"/>
            <w:shd w:val="clear" w:color="auto" w:fill="auto"/>
          </w:tcPr>
          <w:p w14:paraId="2A93D95A"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5062026"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70C0C19" w14:textId="77777777" w:rsidR="00FB42CA" w:rsidRPr="008E399A" w:rsidRDefault="00FB42CA" w:rsidP="00F208D4">
            <w:pPr>
              <w:spacing w:line="240" w:lineRule="auto"/>
              <w:ind w:right="-1"/>
              <w:rPr>
                <w:rFonts w:cs="Arial"/>
                <w:bCs/>
                <w:lang w:val="es-MX"/>
              </w:rPr>
            </w:pPr>
            <w:r w:rsidRPr="008E399A">
              <w:rPr>
                <w:rFonts w:cs="Arial"/>
                <w:bCs/>
                <w:lang w:val="es-MX"/>
              </w:rPr>
              <w:t>Proyecto: interventoría técnica y administrativa al contrato suministro 240 de 2013</w:t>
            </w:r>
          </w:p>
        </w:tc>
        <w:tc>
          <w:tcPr>
            <w:tcW w:w="0" w:type="auto"/>
            <w:shd w:val="clear" w:color="auto" w:fill="auto"/>
          </w:tcPr>
          <w:p w14:paraId="04390110" w14:textId="77777777" w:rsidR="00FB42CA" w:rsidRPr="008E399A" w:rsidRDefault="00FB42CA" w:rsidP="00F208D4">
            <w:pPr>
              <w:spacing w:line="240" w:lineRule="auto"/>
              <w:ind w:right="-1"/>
              <w:rPr>
                <w:rFonts w:cs="Arial"/>
                <w:bCs/>
                <w:lang w:val="es-MX"/>
              </w:rPr>
            </w:pPr>
            <w:r w:rsidRPr="008E399A">
              <w:rPr>
                <w:rFonts w:cs="Arial"/>
                <w:bCs/>
                <w:lang w:val="es-MX"/>
              </w:rPr>
              <w:t>367</w:t>
            </w:r>
          </w:p>
        </w:tc>
        <w:tc>
          <w:tcPr>
            <w:tcW w:w="0" w:type="auto"/>
            <w:shd w:val="clear" w:color="auto" w:fill="auto"/>
          </w:tcPr>
          <w:p w14:paraId="19EA7E7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402187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F71250E" w14:textId="77777777" w:rsidR="00FB42CA" w:rsidRPr="008E399A" w:rsidRDefault="00FB42CA" w:rsidP="00F208D4">
            <w:pPr>
              <w:spacing w:line="240" w:lineRule="auto"/>
              <w:ind w:right="-1"/>
              <w:rPr>
                <w:rFonts w:cs="Arial"/>
                <w:bCs/>
                <w:lang w:val="es-MX"/>
              </w:rPr>
            </w:pPr>
            <w:r w:rsidRPr="008E399A">
              <w:rPr>
                <w:rFonts w:cs="Arial"/>
                <w:bCs/>
                <w:lang w:val="es-MX"/>
              </w:rPr>
              <w:t>0,00</w:t>
            </w:r>
          </w:p>
        </w:tc>
        <w:tc>
          <w:tcPr>
            <w:tcW w:w="0" w:type="auto"/>
            <w:shd w:val="clear" w:color="auto" w:fill="auto"/>
          </w:tcPr>
          <w:p w14:paraId="62A7812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F125A68"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0E232C30" w14:textId="77777777" w:rsidR="00FB42CA" w:rsidRPr="008E399A" w:rsidRDefault="00FB42CA" w:rsidP="00F208D4">
            <w:pPr>
              <w:spacing w:line="240" w:lineRule="auto"/>
              <w:ind w:right="-1"/>
              <w:rPr>
                <w:rFonts w:cs="Arial"/>
                <w:bCs/>
                <w:lang w:val="es-MX"/>
              </w:rPr>
            </w:pPr>
          </w:p>
        </w:tc>
      </w:tr>
      <w:tr w:rsidR="00FB42CA" w:rsidRPr="008E399A" w14:paraId="2B6378D9" w14:textId="77777777" w:rsidTr="00F208D4">
        <w:tc>
          <w:tcPr>
            <w:tcW w:w="0" w:type="auto"/>
            <w:shd w:val="clear" w:color="auto" w:fill="auto"/>
          </w:tcPr>
          <w:p w14:paraId="4CA5A84C"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A364873"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F861946" w14:textId="77777777" w:rsidR="00FB42CA" w:rsidRPr="008E399A" w:rsidRDefault="00FB42CA" w:rsidP="00F208D4">
            <w:pPr>
              <w:spacing w:line="240" w:lineRule="auto"/>
              <w:ind w:right="-1"/>
              <w:rPr>
                <w:rFonts w:cs="Arial"/>
                <w:bCs/>
                <w:lang w:val="es-MX"/>
              </w:rPr>
            </w:pPr>
            <w:r w:rsidRPr="008E399A">
              <w:rPr>
                <w:rFonts w:cs="Arial"/>
                <w:bCs/>
                <w:lang w:val="es-MX"/>
              </w:rPr>
              <w:t>Proyecto: interventoría técnica, administrativo, contable, jurídica, y fiunanciera al contrato de 379 de 2013</w:t>
            </w:r>
          </w:p>
        </w:tc>
        <w:tc>
          <w:tcPr>
            <w:tcW w:w="0" w:type="auto"/>
            <w:shd w:val="clear" w:color="auto" w:fill="auto"/>
          </w:tcPr>
          <w:p w14:paraId="368486CB" w14:textId="77777777" w:rsidR="00FB42CA" w:rsidRPr="008E399A" w:rsidRDefault="00FB42CA" w:rsidP="00F208D4">
            <w:pPr>
              <w:spacing w:line="240" w:lineRule="auto"/>
              <w:ind w:right="-1"/>
              <w:rPr>
                <w:rFonts w:cs="Arial"/>
                <w:bCs/>
                <w:lang w:val="es-MX"/>
              </w:rPr>
            </w:pPr>
            <w:r w:rsidRPr="008E399A">
              <w:rPr>
                <w:rFonts w:cs="Arial"/>
                <w:bCs/>
                <w:lang w:val="es-MX"/>
              </w:rPr>
              <w:t>367</w:t>
            </w:r>
          </w:p>
        </w:tc>
        <w:tc>
          <w:tcPr>
            <w:tcW w:w="0" w:type="auto"/>
            <w:shd w:val="clear" w:color="auto" w:fill="auto"/>
          </w:tcPr>
          <w:p w14:paraId="1533F6F6"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595ED5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3BF28BA" w14:textId="77777777" w:rsidR="00FB42CA" w:rsidRPr="008E399A" w:rsidRDefault="00FB42CA" w:rsidP="00F208D4">
            <w:pPr>
              <w:spacing w:line="240" w:lineRule="auto"/>
              <w:ind w:right="-1"/>
              <w:rPr>
                <w:rFonts w:cs="Arial"/>
                <w:bCs/>
                <w:lang w:val="es-MX"/>
              </w:rPr>
            </w:pPr>
            <w:r w:rsidRPr="008E399A">
              <w:rPr>
                <w:rFonts w:cs="Arial"/>
                <w:bCs/>
                <w:lang w:val="es-MX"/>
              </w:rPr>
              <w:t>0,00</w:t>
            </w:r>
          </w:p>
        </w:tc>
        <w:tc>
          <w:tcPr>
            <w:tcW w:w="0" w:type="auto"/>
            <w:shd w:val="clear" w:color="auto" w:fill="auto"/>
          </w:tcPr>
          <w:p w14:paraId="378A46A8"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EC561C3"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054461AA" w14:textId="77777777" w:rsidR="00FB42CA" w:rsidRPr="008E399A" w:rsidRDefault="00FB42CA" w:rsidP="00F208D4">
            <w:pPr>
              <w:spacing w:line="240" w:lineRule="auto"/>
              <w:ind w:right="-1"/>
              <w:rPr>
                <w:rFonts w:cs="Arial"/>
                <w:bCs/>
                <w:lang w:val="es-MX"/>
              </w:rPr>
            </w:pPr>
          </w:p>
        </w:tc>
      </w:tr>
      <w:tr w:rsidR="00FB42CA" w:rsidRPr="008E399A" w14:paraId="63284CFB" w14:textId="77777777" w:rsidTr="00F208D4">
        <w:tc>
          <w:tcPr>
            <w:tcW w:w="0" w:type="auto"/>
            <w:shd w:val="clear" w:color="auto" w:fill="auto"/>
          </w:tcPr>
          <w:p w14:paraId="221FD841"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AB7EAAA"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CB24650" w14:textId="77777777" w:rsidR="00FB42CA" w:rsidRPr="008E399A" w:rsidRDefault="00FB42CA" w:rsidP="00F208D4">
            <w:pPr>
              <w:spacing w:line="240" w:lineRule="auto"/>
              <w:ind w:right="-1"/>
              <w:rPr>
                <w:rFonts w:cs="Arial"/>
                <w:bCs/>
                <w:lang w:val="es-MX"/>
              </w:rPr>
            </w:pPr>
            <w:r w:rsidRPr="008E399A">
              <w:rPr>
                <w:rFonts w:cs="Arial"/>
                <w:bCs/>
                <w:lang w:val="es-MX"/>
              </w:rPr>
              <w:t xml:space="preserve">Proyecto: interventoría técnica y administrativa al contrato de suministro </w:t>
            </w:r>
          </w:p>
        </w:tc>
        <w:tc>
          <w:tcPr>
            <w:tcW w:w="0" w:type="auto"/>
            <w:shd w:val="clear" w:color="auto" w:fill="auto"/>
          </w:tcPr>
          <w:p w14:paraId="1E403AA4" w14:textId="77777777" w:rsidR="00FB42CA" w:rsidRPr="008E399A" w:rsidRDefault="00FB42CA" w:rsidP="00F208D4">
            <w:pPr>
              <w:spacing w:line="240" w:lineRule="auto"/>
              <w:ind w:right="-1"/>
              <w:rPr>
                <w:rFonts w:cs="Arial"/>
                <w:bCs/>
                <w:lang w:val="es-MX"/>
              </w:rPr>
            </w:pPr>
            <w:r w:rsidRPr="008E399A">
              <w:rPr>
                <w:rFonts w:cs="Arial"/>
                <w:bCs/>
                <w:lang w:val="es-MX"/>
              </w:rPr>
              <w:t>367 -368</w:t>
            </w:r>
          </w:p>
        </w:tc>
        <w:tc>
          <w:tcPr>
            <w:tcW w:w="0" w:type="auto"/>
            <w:shd w:val="clear" w:color="auto" w:fill="auto"/>
          </w:tcPr>
          <w:p w14:paraId="2116554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0D3863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DD12054" w14:textId="77777777" w:rsidR="00FB42CA" w:rsidRPr="008E399A" w:rsidRDefault="00FB42CA" w:rsidP="00F208D4">
            <w:pPr>
              <w:spacing w:line="240" w:lineRule="auto"/>
              <w:ind w:right="-1"/>
              <w:rPr>
                <w:rFonts w:cs="Arial"/>
                <w:bCs/>
                <w:lang w:val="es-MX"/>
              </w:rPr>
            </w:pPr>
            <w:r w:rsidRPr="008E399A">
              <w:rPr>
                <w:rFonts w:cs="Arial"/>
                <w:bCs/>
                <w:lang w:val="es-MX"/>
              </w:rPr>
              <w:t>0,00</w:t>
            </w:r>
          </w:p>
        </w:tc>
        <w:tc>
          <w:tcPr>
            <w:tcW w:w="0" w:type="auto"/>
            <w:shd w:val="clear" w:color="auto" w:fill="auto"/>
          </w:tcPr>
          <w:p w14:paraId="5AD23EC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EC0749F"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4846E768" w14:textId="77777777" w:rsidR="00FB42CA" w:rsidRPr="008E399A" w:rsidRDefault="00FB42CA" w:rsidP="00F208D4">
            <w:pPr>
              <w:spacing w:line="240" w:lineRule="auto"/>
              <w:ind w:right="-1"/>
              <w:rPr>
                <w:rFonts w:cs="Arial"/>
                <w:bCs/>
                <w:lang w:val="es-MX"/>
              </w:rPr>
            </w:pPr>
          </w:p>
        </w:tc>
      </w:tr>
      <w:tr w:rsidR="00FB42CA" w:rsidRPr="008E399A" w14:paraId="2B0119FF" w14:textId="77777777" w:rsidTr="00F208D4">
        <w:tc>
          <w:tcPr>
            <w:tcW w:w="0" w:type="auto"/>
            <w:shd w:val="clear" w:color="auto" w:fill="auto"/>
          </w:tcPr>
          <w:p w14:paraId="1C1E2EF9" w14:textId="77777777" w:rsidR="00FB42CA" w:rsidRPr="008E399A" w:rsidRDefault="00FB42CA" w:rsidP="00F208D4">
            <w:pPr>
              <w:spacing w:line="240" w:lineRule="auto"/>
              <w:ind w:right="-1"/>
              <w:rPr>
                <w:rFonts w:cs="Arial"/>
                <w:bCs/>
                <w:lang w:val="es-MX"/>
              </w:rPr>
            </w:pPr>
            <w:r w:rsidRPr="008E399A">
              <w:rPr>
                <w:rFonts w:cs="Arial"/>
                <w:bCs/>
                <w:lang w:val="es-MX"/>
              </w:rPr>
              <w:t>2</w:t>
            </w:r>
          </w:p>
        </w:tc>
        <w:tc>
          <w:tcPr>
            <w:tcW w:w="0" w:type="auto"/>
            <w:shd w:val="clear" w:color="auto" w:fill="auto"/>
          </w:tcPr>
          <w:p w14:paraId="4CFCCE9D" w14:textId="77777777" w:rsidR="00FB42CA" w:rsidRPr="008E399A" w:rsidRDefault="00FB42CA" w:rsidP="00F208D4">
            <w:pPr>
              <w:spacing w:line="240" w:lineRule="auto"/>
              <w:ind w:right="-1"/>
              <w:rPr>
                <w:rFonts w:cs="Arial"/>
                <w:bCs/>
                <w:lang w:val="es-MX"/>
              </w:rPr>
            </w:pPr>
            <w:r w:rsidRPr="008E399A">
              <w:rPr>
                <w:rFonts w:cs="Arial"/>
                <w:bCs/>
                <w:lang w:val="es-MX"/>
              </w:rPr>
              <w:t>Departamento Adminis</w:t>
            </w:r>
            <w:r w:rsidRPr="008E399A">
              <w:rPr>
                <w:rFonts w:cs="Arial"/>
                <w:bCs/>
                <w:lang w:val="es-MX"/>
              </w:rPr>
              <w:lastRenderedPageBreak/>
              <w:t>trativo de Ciencias, Tecnología e Innovación – Colciencias</w:t>
            </w:r>
          </w:p>
        </w:tc>
        <w:tc>
          <w:tcPr>
            <w:tcW w:w="0" w:type="auto"/>
            <w:shd w:val="clear" w:color="auto" w:fill="auto"/>
          </w:tcPr>
          <w:p w14:paraId="198F33CE" w14:textId="77777777" w:rsidR="00FB42CA" w:rsidRPr="008E399A" w:rsidRDefault="00FB42CA" w:rsidP="00F208D4">
            <w:pPr>
              <w:spacing w:line="240" w:lineRule="auto"/>
              <w:ind w:right="-1"/>
              <w:rPr>
                <w:rFonts w:cs="Arial"/>
                <w:bCs/>
                <w:lang w:val="es-MX"/>
              </w:rPr>
            </w:pPr>
            <w:r w:rsidRPr="008E399A">
              <w:rPr>
                <w:rFonts w:cs="Arial"/>
                <w:bCs/>
                <w:lang w:val="es-MX"/>
              </w:rPr>
              <w:lastRenderedPageBreak/>
              <w:t>Asesor C336-10</w:t>
            </w:r>
          </w:p>
        </w:tc>
        <w:tc>
          <w:tcPr>
            <w:tcW w:w="0" w:type="auto"/>
            <w:shd w:val="clear" w:color="auto" w:fill="auto"/>
          </w:tcPr>
          <w:p w14:paraId="25C3265A" w14:textId="77777777" w:rsidR="00FB42CA" w:rsidRPr="008E399A" w:rsidRDefault="00FB42CA" w:rsidP="00F208D4">
            <w:pPr>
              <w:spacing w:line="240" w:lineRule="auto"/>
              <w:ind w:right="-1"/>
              <w:rPr>
                <w:rFonts w:cs="Arial"/>
                <w:bCs/>
                <w:lang w:val="es-MX"/>
              </w:rPr>
            </w:pPr>
            <w:r w:rsidRPr="008E399A">
              <w:rPr>
                <w:rFonts w:cs="Arial"/>
                <w:bCs/>
                <w:lang w:val="es-MX"/>
              </w:rPr>
              <w:t>369</w:t>
            </w:r>
          </w:p>
        </w:tc>
        <w:tc>
          <w:tcPr>
            <w:tcW w:w="0" w:type="auto"/>
            <w:shd w:val="clear" w:color="auto" w:fill="auto"/>
          </w:tcPr>
          <w:p w14:paraId="4AA30D3B" w14:textId="77777777" w:rsidR="00FB42CA" w:rsidRPr="008E399A" w:rsidRDefault="00FB42CA" w:rsidP="00F208D4">
            <w:pPr>
              <w:spacing w:line="240" w:lineRule="auto"/>
              <w:ind w:right="-1"/>
              <w:rPr>
                <w:rFonts w:cs="Arial"/>
                <w:bCs/>
                <w:lang w:val="es-MX"/>
              </w:rPr>
            </w:pPr>
            <w:r w:rsidRPr="008E399A">
              <w:rPr>
                <w:rFonts w:cs="Arial"/>
                <w:bCs/>
                <w:lang w:val="es-MX"/>
              </w:rPr>
              <w:t>03/ene/11</w:t>
            </w:r>
          </w:p>
        </w:tc>
        <w:tc>
          <w:tcPr>
            <w:tcW w:w="0" w:type="auto"/>
            <w:shd w:val="clear" w:color="auto" w:fill="auto"/>
          </w:tcPr>
          <w:p w14:paraId="6C3F75A9" w14:textId="77777777" w:rsidR="00FB42CA" w:rsidRPr="008E399A" w:rsidRDefault="00FB42CA" w:rsidP="00F208D4">
            <w:pPr>
              <w:spacing w:line="240" w:lineRule="auto"/>
              <w:ind w:right="-1"/>
              <w:rPr>
                <w:rFonts w:cs="Arial"/>
                <w:bCs/>
                <w:lang w:val="es-MX"/>
              </w:rPr>
            </w:pPr>
            <w:r w:rsidRPr="008E399A">
              <w:rPr>
                <w:rFonts w:cs="Arial"/>
                <w:bCs/>
                <w:lang w:val="es-MX"/>
              </w:rPr>
              <w:t>02/feb/11</w:t>
            </w:r>
          </w:p>
        </w:tc>
        <w:tc>
          <w:tcPr>
            <w:tcW w:w="0" w:type="auto"/>
            <w:shd w:val="clear" w:color="auto" w:fill="auto"/>
          </w:tcPr>
          <w:p w14:paraId="5991BD71" w14:textId="77777777" w:rsidR="00FB42CA" w:rsidRPr="008E399A" w:rsidRDefault="00FB42CA" w:rsidP="00F208D4">
            <w:pPr>
              <w:spacing w:line="240" w:lineRule="auto"/>
              <w:ind w:right="-1"/>
              <w:rPr>
                <w:rFonts w:cs="Arial"/>
                <w:bCs/>
                <w:lang w:val="es-MX"/>
              </w:rPr>
            </w:pPr>
            <w:r w:rsidRPr="008E399A">
              <w:rPr>
                <w:rFonts w:cs="Arial"/>
                <w:bCs/>
                <w:lang w:val="es-MX"/>
              </w:rPr>
              <w:t>0,08</w:t>
            </w:r>
          </w:p>
        </w:tc>
        <w:tc>
          <w:tcPr>
            <w:tcW w:w="0" w:type="auto"/>
            <w:shd w:val="clear" w:color="auto" w:fill="auto"/>
          </w:tcPr>
          <w:p w14:paraId="471D8B5E"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53785D87"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BA8EFB7" w14:textId="77777777" w:rsidR="00FB42CA" w:rsidRPr="008E399A" w:rsidRDefault="00FB42CA" w:rsidP="00F208D4">
            <w:pPr>
              <w:spacing w:line="240" w:lineRule="auto"/>
              <w:ind w:right="-1"/>
              <w:rPr>
                <w:rFonts w:cs="Arial"/>
                <w:bCs/>
                <w:lang w:val="es-MX"/>
              </w:rPr>
            </w:pPr>
            <w:r w:rsidRPr="008E399A">
              <w:rPr>
                <w:rFonts w:cs="Arial"/>
                <w:bCs/>
                <w:lang w:val="es-MX"/>
              </w:rPr>
              <w:t>x</w:t>
            </w:r>
          </w:p>
        </w:tc>
      </w:tr>
      <w:tr w:rsidR="00FB42CA" w:rsidRPr="008E399A" w14:paraId="0D23D10B" w14:textId="77777777" w:rsidTr="00F208D4">
        <w:tc>
          <w:tcPr>
            <w:tcW w:w="0" w:type="auto"/>
            <w:shd w:val="clear" w:color="auto" w:fill="auto"/>
          </w:tcPr>
          <w:p w14:paraId="644F0F4C"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80AB146"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D3F9C06" w14:textId="77777777" w:rsidR="00FB42CA" w:rsidRPr="008E399A" w:rsidRDefault="00FB42CA" w:rsidP="00F208D4">
            <w:pPr>
              <w:spacing w:line="240" w:lineRule="auto"/>
              <w:ind w:right="-1"/>
              <w:rPr>
                <w:rFonts w:cs="Arial"/>
                <w:bCs/>
                <w:lang w:val="es-MX"/>
              </w:rPr>
            </w:pPr>
            <w:r w:rsidRPr="008E399A">
              <w:rPr>
                <w:rFonts w:cs="Arial"/>
                <w:bCs/>
                <w:lang w:val="es-MX"/>
              </w:rPr>
              <w:t>Asesor C010-11</w:t>
            </w:r>
          </w:p>
        </w:tc>
        <w:tc>
          <w:tcPr>
            <w:tcW w:w="0" w:type="auto"/>
            <w:shd w:val="clear" w:color="auto" w:fill="auto"/>
          </w:tcPr>
          <w:p w14:paraId="6C518AF6" w14:textId="77777777" w:rsidR="00FB42CA" w:rsidRPr="008E399A" w:rsidRDefault="00FB42CA" w:rsidP="00F208D4">
            <w:pPr>
              <w:spacing w:line="240" w:lineRule="auto"/>
              <w:ind w:right="-1"/>
              <w:rPr>
                <w:rFonts w:cs="Arial"/>
                <w:bCs/>
                <w:lang w:val="es-MX"/>
              </w:rPr>
            </w:pPr>
            <w:r w:rsidRPr="008E399A">
              <w:rPr>
                <w:rFonts w:cs="Arial"/>
                <w:bCs/>
                <w:lang w:val="es-MX"/>
              </w:rPr>
              <w:t>369</w:t>
            </w:r>
          </w:p>
        </w:tc>
        <w:tc>
          <w:tcPr>
            <w:tcW w:w="0" w:type="auto"/>
            <w:shd w:val="clear" w:color="auto" w:fill="auto"/>
          </w:tcPr>
          <w:p w14:paraId="0F4CF814" w14:textId="77777777" w:rsidR="00FB42CA" w:rsidRPr="008E399A" w:rsidRDefault="00FB42CA" w:rsidP="00F208D4">
            <w:pPr>
              <w:spacing w:line="240" w:lineRule="auto"/>
              <w:ind w:right="-1"/>
              <w:rPr>
                <w:rFonts w:cs="Arial"/>
                <w:bCs/>
                <w:lang w:val="es-MX"/>
              </w:rPr>
            </w:pPr>
            <w:r w:rsidRPr="008E399A">
              <w:rPr>
                <w:rFonts w:cs="Arial"/>
                <w:bCs/>
                <w:lang w:val="es-MX"/>
              </w:rPr>
              <w:t>03/feb/11</w:t>
            </w:r>
          </w:p>
        </w:tc>
        <w:tc>
          <w:tcPr>
            <w:tcW w:w="0" w:type="auto"/>
            <w:shd w:val="clear" w:color="auto" w:fill="auto"/>
          </w:tcPr>
          <w:p w14:paraId="16D5E2B9" w14:textId="77777777" w:rsidR="00FB42CA" w:rsidRPr="008E399A" w:rsidRDefault="00FB42CA" w:rsidP="00F208D4">
            <w:pPr>
              <w:spacing w:line="240" w:lineRule="auto"/>
              <w:ind w:right="-1"/>
              <w:rPr>
                <w:rFonts w:cs="Arial"/>
                <w:bCs/>
                <w:lang w:val="es-MX"/>
              </w:rPr>
            </w:pPr>
            <w:r w:rsidRPr="008E399A">
              <w:rPr>
                <w:rFonts w:cs="Arial"/>
                <w:bCs/>
                <w:lang w:val="es-MX"/>
              </w:rPr>
              <w:t>02/ago//11</w:t>
            </w:r>
          </w:p>
        </w:tc>
        <w:tc>
          <w:tcPr>
            <w:tcW w:w="0" w:type="auto"/>
            <w:shd w:val="clear" w:color="auto" w:fill="auto"/>
          </w:tcPr>
          <w:p w14:paraId="26678350" w14:textId="77777777" w:rsidR="00FB42CA" w:rsidRPr="008E399A" w:rsidRDefault="00FB42CA" w:rsidP="00F208D4">
            <w:pPr>
              <w:spacing w:line="240" w:lineRule="auto"/>
              <w:ind w:right="-1"/>
              <w:rPr>
                <w:rFonts w:cs="Arial"/>
                <w:bCs/>
                <w:lang w:val="es-MX"/>
              </w:rPr>
            </w:pPr>
            <w:r w:rsidRPr="008E399A">
              <w:rPr>
                <w:rFonts w:cs="Arial"/>
                <w:bCs/>
                <w:lang w:val="es-MX"/>
              </w:rPr>
              <w:t>0,50</w:t>
            </w:r>
          </w:p>
        </w:tc>
        <w:tc>
          <w:tcPr>
            <w:tcW w:w="0" w:type="auto"/>
            <w:shd w:val="clear" w:color="auto" w:fill="auto"/>
          </w:tcPr>
          <w:p w14:paraId="6C255F10"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70BCE232"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93E7BE5" w14:textId="77777777" w:rsidR="00FB42CA" w:rsidRPr="008E399A" w:rsidRDefault="00FB42CA" w:rsidP="00F208D4">
            <w:pPr>
              <w:spacing w:line="240" w:lineRule="auto"/>
              <w:ind w:right="-1"/>
              <w:rPr>
                <w:rFonts w:cs="Arial"/>
                <w:bCs/>
                <w:lang w:val="es-MX"/>
              </w:rPr>
            </w:pPr>
            <w:r w:rsidRPr="008E399A">
              <w:rPr>
                <w:rFonts w:cs="Arial"/>
                <w:bCs/>
                <w:lang w:val="es-MX"/>
              </w:rPr>
              <w:t>X</w:t>
            </w:r>
          </w:p>
        </w:tc>
      </w:tr>
      <w:tr w:rsidR="00FB42CA" w:rsidRPr="008E399A" w14:paraId="12EB5070" w14:textId="77777777" w:rsidTr="00F208D4">
        <w:tc>
          <w:tcPr>
            <w:tcW w:w="0" w:type="auto"/>
            <w:shd w:val="clear" w:color="auto" w:fill="auto"/>
          </w:tcPr>
          <w:p w14:paraId="3217461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1E90247"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309256D" w14:textId="77777777" w:rsidR="00FB42CA" w:rsidRPr="008E399A" w:rsidRDefault="00FB42CA" w:rsidP="00F208D4">
            <w:pPr>
              <w:spacing w:line="240" w:lineRule="auto"/>
              <w:ind w:right="-1"/>
              <w:rPr>
                <w:rFonts w:cs="Arial"/>
                <w:bCs/>
                <w:lang w:val="es-MX"/>
              </w:rPr>
            </w:pPr>
            <w:r w:rsidRPr="008E399A">
              <w:rPr>
                <w:rFonts w:cs="Arial"/>
                <w:bCs/>
                <w:lang w:val="es-MX"/>
              </w:rPr>
              <w:t xml:space="preserve">Asesor C192-11 </w:t>
            </w:r>
          </w:p>
        </w:tc>
        <w:tc>
          <w:tcPr>
            <w:tcW w:w="0" w:type="auto"/>
            <w:shd w:val="clear" w:color="auto" w:fill="auto"/>
          </w:tcPr>
          <w:p w14:paraId="30ED92F3" w14:textId="77777777" w:rsidR="00FB42CA" w:rsidRPr="008E399A" w:rsidRDefault="00FB42CA" w:rsidP="00F208D4">
            <w:pPr>
              <w:spacing w:line="240" w:lineRule="auto"/>
              <w:ind w:right="-1"/>
              <w:rPr>
                <w:rFonts w:cs="Arial"/>
                <w:bCs/>
                <w:lang w:val="es-MX"/>
              </w:rPr>
            </w:pPr>
            <w:r w:rsidRPr="008E399A">
              <w:rPr>
                <w:rFonts w:cs="Arial"/>
                <w:bCs/>
                <w:lang w:val="es-MX"/>
              </w:rPr>
              <w:t>369</w:t>
            </w:r>
          </w:p>
        </w:tc>
        <w:tc>
          <w:tcPr>
            <w:tcW w:w="0" w:type="auto"/>
            <w:shd w:val="clear" w:color="auto" w:fill="auto"/>
          </w:tcPr>
          <w:p w14:paraId="252B51A4" w14:textId="77777777" w:rsidR="00FB42CA" w:rsidRPr="008E399A" w:rsidRDefault="00FB42CA" w:rsidP="00F208D4">
            <w:pPr>
              <w:spacing w:line="240" w:lineRule="auto"/>
              <w:ind w:right="-1"/>
              <w:rPr>
                <w:rFonts w:cs="Arial"/>
                <w:bCs/>
                <w:lang w:val="es-MX"/>
              </w:rPr>
            </w:pPr>
            <w:r w:rsidRPr="008E399A">
              <w:rPr>
                <w:rFonts w:cs="Arial"/>
                <w:bCs/>
                <w:lang w:val="es-MX"/>
              </w:rPr>
              <w:t>5/Ago/11</w:t>
            </w:r>
          </w:p>
        </w:tc>
        <w:tc>
          <w:tcPr>
            <w:tcW w:w="0" w:type="auto"/>
            <w:shd w:val="clear" w:color="auto" w:fill="auto"/>
          </w:tcPr>
          <w:p w14:paraId="09E7C07F" w14:textId="77777777" w:rsidR="00FB42CA" w:rsidRPr="008E399A" w:rsidRDefault="00FB42CA" w:rsidP="00F208D4">
            <w:pPr>
              <w:spacing w:line="240" w:lineRule="auto"/>
              <w:ind w:right="-1"/>
              <w:rPr>
                <w:rFonts w:cs="Arial"/>
                <w:bCs/>
                <w:lang w:val="es-MX"/>
              </w:rPr>
            </w:pPr>
            <w:r w:rsidRPr="008E399A">
              <w:rPr>
                <w:rFonts w:cs="Arial"/>
                <w:bCs/>
                <w:lang w:val="es-MX"/>
              </w:rPr>
              <w:t>04/dic/11</w:t>
            </w:r>
          </w:p>
        </w:tc>
        <w:tc>
          <w:tcPr>
            <w:tcW w:w="0" w:type="auto"/>
            <w:shd w:val="clear" w:color="auto" w:fill="auto"/>
          </w:tcPr>
          <w:p w14:paraId="1AD0794B" w14:textId="77777777" w:rsidR="00FB42CA" w:rsidRPr="008E399A" w:rsidRDefault="00FB42CA" w:rsidP="00F208D4">
            <w:pPr>
              <w:spacing w:line="240" w:lineRule="auto"/>
              <w:ind w:right="-1"/>
              <w:rPr>
                <w:rFonts w:cs="Arial"/>
                <w:bCs/>
                <w:lang w:val="es-MX"/>
              </w:rPr>
            </w:pPr>
            <w:r w:rsidRPr="008E399A">
              <w:rPr>
                <w:rFonts w:cs="Arial"/>
                <w:bCs/>
                <w:lang w:val="es-MX"/>
              </w:rPr>
              <w:t>0,34</w:t>
            </w:r>
          </w:p>
        </w:tc>
        <w:tc>
          <w:tcPr>
            <w:tcW w:w="0" w:type="auto"/>
            <w:shd w:val="clear" w:color="auto" w:fill="auto"/>
          </w:tcPr>
          <w:p w14:paraId="4AC9EBB7"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3F64B188"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4FB9762" w14:textId="77777777" w:rsidR="00FB42CA" w:rsidRPr="008E399A" w:rsidRDefault="00FB42CA" w:rsidP="00F208D4">
            <w:pPr>
              <w:spacing w:line="240" w:lineRule="auto"/>
              <w:ind w:right="-1"/>
              <w:rPr>
                <w:rFonts w:cs="Arial"/>
                <w:bCs/>
                <w:lang w:val="es-MX"/>
              </w:rPr>
            </w:pPr>
            <w:r w:rsidRPr="008E399A">
              <w:rPr>
                <w:rFonts w:cs="Arial"/>
                <w:bCs/>
                <w:lang w:val="es-MX"/>
              </w:rPr>
              <w:t>X</w:t>
            </w:r>
          </w:p>
        </w:tc>
      </w:tr>
      <w:tr w:rsidR="00FB42CA" w:rsidRPr="008E399A" w14:paraId="7F291AF8" w14:textId="77777777" w:rsidTr="00F208D4">
        <w:tc>
          <w:tcPr>
            <w:tcW w:w="0" w:type="auto"/>
            <w:shd w:val="clear" w:color="auto" w:fill="auto"/>
          </w:tcPr>
          <w:p w14:paraId="68799740"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BAC65CB"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FC9D3AB" w14:textId="77777777" w:rsidR="00FB42CA" w:rsidRPr="008E399A" w:rsidRDefault="00FB42CA" w:rsidP="00F208D4">
            <w:pPr>
              <w:spacing w:line="240" w:lineRule="auto"/>
              <w:ind w:right="-1"/>
              <w:rPr>
                <w:rFonts w:cs="Arial"/>
                <w:bCs/>
                <w:lang w:val="es-MX"/>
              </w:rPr>
            </w:pPr>
            <w:r w:rsidRPr="008E399A">
              <w:rPr>
                <w:rFonts w:cs="Arial"/>
                <w:bCs/>
                <w:lang w:val="es-MX"/>
              </w:rPr>
              <w:t>Asesor C316-11</w:t>
            </w:r>
          </w:p>
        </w:tc>
        <w:tc>
          <w:tcPr>
            <w:tcW w:w="0" w:type="auto"/>
            <w:shd w:val="clear" w:color="auto" w:fill="auto"/>
          </w:tcPr>
          <w:p w14:paraId="3CCA266E" w14:textId="77777777" w:rsidR="00FB42CA" w:rsidRPr="008E399A" w:rsidRDefault="00FB42CA" w:rsidP="00F208D4">
            <w:pPr>
              <w:spacing w:line="240" w:lineRule="auto"/>
              <w:ind w:right="-1"/>
              <w:rPr>
                <w:rFonts w:cs="Arial"/>
                <w:bCs/>
                <w:lang w:val="es-MX"/>
              </w:rPr>
            </w:pPr>
            <w:r w:rsidRPr="008E399A">
              <w:rPr>
                <w:rFonts w:cs="Arial"/>
                <w:bCs/>
                <w:lang w:val="es-MX"/>
              </w:rPr>
              <w:t>370</w:t>
            </w:r>
          </w:p>
        </w:tc>
        <w:tc>
          <w:tcPr>
            <w:tcW w:w="0" w:type="auto"/>
            <w:shd w:val="clear" w:color="auto" w:fill="auto"/>
          </w:tcPr>
          <w:p w14:paraId="32312599" w14:textId="77777777" w:rsidR="00FB42CA" w:rsidRPr="008E399A" w:rsidRDefault="00FB42CA" w:rsidP="00F208D4">
            <w:pPr>
              <w:spacing w:line="240" w:lineRule="auto"/>
              <w:ind w:right="-1"/>
              <w:rPr>
                <w:rFonts w:cs="Arial"/>
                <w:bCs/>
                <w:lang w:val="es-MX"/>
              </w:rPr>
            </w:pPr>
            <w:r w:rsidRPr="008E399A">
              <w:rPr>
                <w:rFonts w:cs="Arial"/>
                <w:bCs/>
                <w:lang w:val="es-MX"/>
              </w:rPr>
              <w:t>05/dic/11</w:t>
            </w:r>
          </w:p>
        </w:tc>
        <w:tc>
          <w:tcPr>
            <w:tcW w:w="0" w:type="auto"/>
            <w:shd w:val="clear" w:color="auto" w:fill="auto"/>
          </w:tcPr>
          <w:p w14:paraId="227C3E0B" w14:textId="77777777" w:rsidR="00FB42CA" w:rsidRPr="008E399A" w:rsidRDefault="00FB42CA" w:rsidP="00F208D4">
            <w:pPr>
              <w:spacing w:line="240" w:lineRule="auto"/>
              <w:ind w:right="-1"/>
              <w:rPr>
                <w:rFonts w:cs="Arial"/>
                <w:bCs/>
                <w:lang w:val="es-MX"/>
              </w:rPr>
            </w:pPr>
            <w:r w:rsidRPr="008E399A">
              <w:rPr>
                <w:rFonts w:cs="Arial"/>
                <w:bCs/>
                <w:lang w:val="es-MX"/>
              </w:rPr>
              <w:t>31/may/12</w:t>
            </w:r>
          </w:p>
        </w:tc>
        <w:tc>
          <w:tcPr>
            <w:tcW w:w="0" w:type="auto"/>
            <w:shd w:val="clear" w:color="auto" w:fill="auto"/>
          </w:tcPr>
          <w:p w14:paraId="1364EF36" w14:textId="77777777" w:rsidR="00FB42CA" w:rsidRPr="008E399A" w:rsidRDefault="00FB42CA" w:rsidP="00F208D4">
            <w:pPr>
              <w:spacing w:line="240" w:lineRule="auto"/>
              <w:ind w:right="-1"/>
              <w:rPr>
                <w:rFonts w:cs="Arial"/>
                <w:bCs/>
                <w:lang w:val="es-MX"/>
              </w:rPr>
            </w:pPr>
            <w:r w:rsidRPr="008E399A">
              <w:rPr>
                <w:rFonts w:cs="Arial"/>
                <w:bCs/>
                <w:lang w:val="es-MX"/>
              </w:rPr>
              <w:t>0,49</w:t>
            </w:r>
          </w:p>
        </w:tc>
        <w:tc>
          <w:tcPr>
            <w:tcW w:w="0" w:type="auto"/>
            <w:shd w:val="clear" w:color="auto" w:fill="auto"/>
          </w:tcPr>
          <w:p w14:paraId="22399B79"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170E34EB"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710EB8C" w14:textId="77777777" w:rsidR="00FB42CA" w:rsidRPr="008E399A" w:rsidRDefault="00FB42CA" w:rsidP="00F208D4">
            <w:pPr>
              <w:spacing w:line="240" w:lineRule="auto"/>
              <w:ind w:right="-1"/>
              <w:rPr>
                <w:rFonts w:cs="Arial"/>
                <w:bCs/>
                <w:lang w:val="es-MX"/>
              </w:rPr>
            </w:pPr>
            <w:r w:rsidRPr="008E399A">
              <w:rPr>
                <w:rFonts w:cs="Arial"/>
                <w:bCs/>
                <w:lang w:val="es-MX"/>
              </w:rPr>
              <w:t>X</w:t>
            </w:r>
          </w:p>
        </w:tc>
      </w:tr>
      <w:tr w:rsidR="00FB42CA" w:rsidRPr="008E399A" w14:paraId="0A259A39" w14:textId="77777777" w:rsidTr="00F208D4">
        <w:tc>
          <w:tcPr>
            <w:tcW w:w="0" w:type="auto"/>
            <w:shd w:val="clear" w:color="auto" w:fill="auto"/>
          </w:tcPr>
          <w:p w14:paraId="66FC9660"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321CB81"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288B32F" w14:textId="77777777" w:rsidR="00FB42CA" w:rsidRPr="008E399A" w:rsidRDefault="00FB42CA" w:rsidP="00F208D4">
            <w:pPr>
              <w:spacing w:line="240" w:lineRule="auto"/>
              <w:ind w:right="-1"/>
              <w:rPr>
                <w:rFonts w:cs="Arial"/>
                <w:bCs/>
                <w:lang w:val="es-MX"/>
              </w:rPr>
            </w:pPr>
            <w:r w:rsidRPr="008E399A">
              <w:rPr>
                <w:rFonts w:cs="Arial"/>
                <w:bCs/>
                <w:lang w:val="es-MX"/>
              </w:rPr>
              <w:t>Asesor C316-11</w:t>
            </w:r>
          </w:p>
        </w:tc>
        <w:tc>
          <w:tcPr>
            <w:tcW w:w="0" w:type="auto"/>
            <w:shd w:val="clear" w:color="auto" w:fill="auto"/>
          </w:tcPr>
          <w:p w14:paraId="114EE912" w14:textId="77777777" w:rsidR="00FB42CA" w:rsidRPr="008E399A" w:rsidRDefault="00FB42CA" w:rsidP="00F208D4">
            <w:pPr>
              <w:spacing w:line="240" w:lineRule="auto"/>
              <w:ind w:right="-1"/>
              <w:rPr>
                <w:rFonts w:cs="Arial"/>
                <w:bCs/>
                <w:lang w:val="es-MX"/>
              </w:rPr>
            </w:pPr>
            <w:r w:rsidRPr="008E399A">
              <w:rPr>
                <w:rFonts w:cs="Arial"/>
                <w:bCs/>
                <w:lang w:val="es-MX"/>
              </w:rPr>
              <w:t>370</w:t>
            </w:r>
          </w:p>
        </w:tc>
        <w:tc>
          <w:tcPr>
            <w:tcW w:w="0" w:type="auto"/>
            <w:shd w:val="clear" w:color="auto" w:fill="auto"/>
          </w:tcPr>
          <w:p w14:paraId="1B501D99" w14:textId="77777777" w:rsidR="00FB42CA" w:rsidRPr="008E399A" w:rsidRDefault="00FB42CA" w:rsidP="00F208D4">
            <w:pPr>
              <w:spacing w:line="240" w:lineRule="auto"/>
              <w:ind w:right="-1"/>
              <w:rPr>
                <w:rFonts w:cs="Arial"/>
                <w:bCs/>
                <w:lang w:val="es-MX"/>
              </w:rPr>
            </w:pPr>
            <w:r w:rsidRPr="008E399A">
              <w:rPr>
                <w:rFonts w:cs="Arial"/>
                <w:bCs/>
                <w:lang w:val="es-MX"/>
              </w:rPr>
              <w:t>05/jun/12</w:t>
            </w:r>
          </w:p>
        </w:tc>
        <w:tc>
          <w:tcPr>
            <w:tcW w:w="0" w:type="auto"/>
            <w:shd w:val="clear" w:color="auto" w:fill="auto"/>
          </w:tcPr>
          <w:p w14:paraId="6B8C4A0D" w14:textId="77777777" w:rsidR="00FB42CA" w:rsidRPr="008E399A" w:rsidRDefault="00FB42CA" w:rsidP="00F208D4">
            <w:pPr>
              <w:spacing w:line="240" w:lineRule="auto"/>
              <w:ind w:right="-1"/>
              <w:rPr>
                <w:rFonts w:cs="Arial"/>
                <w:bCs/>
                <w:lang w:val="es-MX"/>
              </w:rPr>
            </w:pPr>
            <w:r w:rsidRPr="008E399A">
              <w:rPr>
                <w:rFonts w:cs="Arial"/>
                <w:bCs/>
                <w:lang w:val="es-MX"/>
              </w:rPr>
              <w:t>6/nov/12</w:t>
            </w:r>
          </w:p>
        </w:tc>
        <w:tc>
          <w:tcPr>
            <w:tcW w:w="0" w:type="auto"/>
            <w:shd w:val="clear" w:color="auto" w:fill="auto"/>
          </w:tcPr>
          <w:p w14:paraId="0001BBE7" w14:textId="77777777" w:rsidR="00FB42CA" w:rsidRPr="008E399A" w:rsidRDefault="00FB42CA" w:rsidP="00F208D4">
            <w:pPr>
              <w:spacing w:line="240" w:lineRule="auto"/>
              <w:ind w:right="-1"/>
              <w:rPr>
                <w:rFonts w:cs="Arial"/>
                <w:bCs/>
                <w:lang w:val="es-MX"/>
              </w:rPr>
            </w:pPr>
            <w:r w:rsidRPr="008E399A">
              <w:rPr>
                <w:rFonts w:cs="Arial"/>
                <w:bCs/>
                <w:lang w:val="es-MX"/>
              </w:rPr>
              <w:t>0,43</w:t>
            </w:r>
          </w:p>
        </w:tc>
        <w:tc>
          <w:tcPr>
            <w:tcW w:w="0" w:type="auto"/>
            <w:shd w:val="clear" w:color="auto" w:fill="auto"/>
          </w:tcPr>
          <w:p w14:paraId="5D92450A"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4F6F6C5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09C6043" w14:textId="77777777" w:rsidR="00FB42CA" w:rsidRPr="008E399A" w:rsidRDefault="00FB42CA" w:rsidP="00F208D4">
            <w:pPr>
              <w:spacing w:line="240" w:lineRule="auto"/>
              <w:ind w:right="-1"/>
              <w:rPr>
                <w:rFonts w:cs="Arial"/>
                <w:bCs/>
                <w:lang w:val="es-MX"/>
              </w:rPr>
            </w:pPr>
            <w:r w:rsidRPr="008E399A">
              <w:rPr>
                <w:rFonts w:cs="Arial"/>
                <w:bCs/>
                <w:lang w:val="es-MX"/>
              </w:rPr>
              <w:t>X</w:t>
            </w:r>
          </w:p>
        </w:tc>
      </w:tr>
      <w:tr w:rsidR="00FB42CA" w:rsidRPr="008E399A" w14:paraId="4C046447" w14:textId="77777777" w:rsidTr="00F208D4">
        <w:tc>
          <w:tcPr>
            <w:tcW w:w="0" w:type="auto"/>
            <w:shd w:val="clear" w:color="auto" w:fill="auto"/>
          </w:tcPr>
          <w:p w14:paraId="5F9A32CE" w14:textId="77777777" w:rsidR="00FB42CA" w:rsidRPr="008E399A" w:rsidRDefault="00FB42CA" w:rsidP="00F208D4">
            <w:pPr>
              <w:spacing w:line="240" w:lineRule="auto"/>
              <w:ind w:right="-1"/>
              <w:rPr>
                <w:rFonts w:cs="Arial"/>
                <w:bCs/>
                <w:lang w:val="es-MX"/>
              </w:rPr>
            </w:pPr>
            <w:r w:rsidRPr="008E399A">
              <w:rPr>
                <w:rFonts w:cs="Arial"/>
                <w:bCs/>
                <w:lang w:val="es-MX"/>
              </w:rPr>
              <w:t>3</w:t>
            </w:r>
          </w:p>
        </w:tc>
        <w:tc>
          <w:tcPr>
            <w:tcW w:w="0" w:type="auto"/>
            <w:shd w:val="clear" w:color="auto" w:fill="auto"/>
          </w:tcPr>
          <w:p w14:paraId="399BF3B9" w14:textId="77777777" w:rsidR="00FB42CA" w:rsidRPr="008E399A" w:rsidRDefault="00FB42CA" w:rsidP="00F208D4">
            <w:pPr>
              <w:spacing w:line="240" w:lineRule="auto"/>
              <w:ind w:right="-1"/>
              <w:rPr>
                <w:rFonts w:cs="Arial"/>
                <w:bCs/>
                <w:lang w:val="es-MX"/>
              </w:rPr>
            </w:pPr>
            <w:r w:rsidRPr="008E399A">
              <w:rPr>
                <w:rFonts w:cs="Arial"/>
                <w:bCs/>
                <w:lang w:val="es-MX"/>
              </w:rPr>
              <w:t>Agencia Nacional de Infraestructura [Hidrocarburos]</w:t>
            </w:r>
          </w:p>
        </w:tc>
        <w:tc>
          <w:tcPr>
            <w:tcW w:w="0" w:type="auto"/>
            <w:shd w:val="clear" w:color="auto" w:fill="auto"/>
          </w:tcPr>
          <w:p w14:paraId="2EE1CB23" w14:textId="77777777" w:rsidR="00FB42CA" w:rsidRPr="008E399A" w:rsidRDefault="00FB42CA" w:rsidP="00F208D4">
            <w:pPr>
              <w:spacing w:line="240" w:lineRule="auto"/>
              <w:ind w:right="-1"/>
              <w:rPr>
                <w:rFonts w:cs="Arial"/>
                <w:bCs/>
                <w:lang w:val="es-MX"/>
              </w:rPr>
            </w:pPr>
            <w:r w:rsidRPr="008E399A">
              <w:rPr>
                <w:rFonts w:cs="Arial"/>
                <w:bCs/>
                <w:lang w:val="es-MX"/>
              </w:rPr>
              <w:t>Asesor CPS-07-08</w:t>
            </w:r>
          </w:p>
        </w:tc>
        <w:tc>
          <w:tcPr>
            <w:tcW w:w="0" w:type="auto"/>
            <w:shd w:val="clear" w:color="auto" w:fill="auto"/>
          </w:tcPr>
          <w:p w14:paraId="273AC9C5" w14:textId="77777777" w:rsidR="00FB42CA" w:rsidRPr="008E399A" w:rsidRDefault="00FB42CA" w:rsidP="00F208D4">
            <w:pPr>
              <w:spacing w:line="240" w:lineRule="auto"/>
              <w:ind w:right="-1"/>
              <w:rPr>
                <w:rFonts w:cs="Arial"/>
                <w:bCs/>
                <w:lang w:val="es-MX"/>
              </w:rPr>
            </w:pPr>
            <w:r w:rsidRPr="008E399A">
              <w:rPr>
                <w:rFonts w:cs="Arial"/>
                <w:bCs/>
                <w:lang w:val="es-MX"/>
              </w:rPr>
              <w:t>371</w:t>
            </w:r>
          </w:p>
        </w:tc>
        <w:tc>
          <w:tcPr>
            <w:tcW w:w="0" w:type="auto"/>
            <w:shd w:val="clear" w:color="auto" w:fill="auto"/>
          </w:tcPr>
          <w:p w14:paraId="155B4C0F" w14:textId="77777777" w:rsidR="00FB42CA" w:rsidRPr="008E399A" w:rsidRDefault="00FB42CA" w:rsidP="00F208D4">
            <w:pPr>
              <w:spacing w:line="240" w:lineRule="auto"/>
              <w:ind w:right="-1"/>
              <w:rPr>
                <w:rFonts w:cs="Arial"/>
                <w:bCs/>
                <w:lang w:val="es-MX"/>
              </w:rPr>
            </w:pPr>
            <w:r w:rsidRPr="008E399A">
              <w:rPr>
                <w:rFonts w:cs="Arial"/>
                <w:bCs/>
                <w:lang w:val="es-MX"/>
              </w:rPr>
              <w:t>27/feb/08</w:t>
            </w:r>
          </w:p>
        </w:tc>
        <w:tc>
          <w:tcPr>
            <w:tcW w:w="0" w:type="auto"/>
            <w:shd w:val="clear" w:color="auto" w:fill="auto"/>
          </w:tcPr>
          <w:p w14:paraId="6A81857B" w14:textId="77777777" w:rsidR="00FB42CA" w:rsidRPr="008E399A" w:rsidRDefault="00FB42CA" w:rsidP="00F208D4">
            <w:pPr>
              <w:spacing w:line="240" w:lineRule="auto"/>
              <w:ind w:right="-1"/>
              <w:rPr>
                <w:rFonts w:cs="Arial"/>
                <w:bCs/>
                <w:lang w:val="es-MX"/>
              </w:rPr>
            </w:pPr>
            <w:r w:rsidRPr="008E399A">
              <w:rPr>
                <w:rFonts w:cs="Arial"/>
                <w:bCs/>
                <w:lang w:val="es-MX"/>
              </w:rPr>
              <w:t>26/ener/09</w:t>
            </w:r>
          </w:p>
        </w:tc>
        <w:tc>
          <w:tcPr>
            <w:tcW w:w="0" w:type="auto"/>
            <w:shd w:val="clear" w:color="auto" w:fill="auto"/>
          </w:tcPr>
          <w:p w14:paraId="05EABC12" w14:textId="77777777" w:rsidR="00FB42CA" w:rsidRPr="008E399A" w:rsidRDefault="00FB42CA" w:rsidP="00F208D4">
            <w:pPr>
              <w:spacing w:line="240" w:lineRule="auto"/>
              <w:ind w:right="-1"/>
              <w:rPr>
                <w:rFonts w:cs="Arial"/>
                <w:bCs/>
                <w:lang w:val="es-MX"/>
              </w:rPr>
            </w:pPr>
            <w:r w:rsidRPr="008E399A">
              <w:rPr>
                <w:rFonts w:cs="Arial"/>
                <w:bCs/>
                <w:lang w:val="es-MX"/>
              </w:rPr>
              <w:t>0.93</w:t>
            </w:r>
          </w:p>
        </w:tc>
        <w:tc>
          <w:tcPr>
            <w:tcW w:w="0" w:type="auto"/>
            <w:shd w:val="clear" w:color="auto" w:fill="auto"/>
          </w:tcPr>
          <w:p w14:paraId="193D9FBC"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6C25B4AE"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D9158B0" w14:textId="77777777" w:rsidR="00FB42CA" w:rsidRPr="008E399A" w:rsidRDefault="00FB42CA" w:rsidP="00F208D4">
            <w:pPr>
              <w:spacing w:line="240" w:lineRule="auto"/>
              <w:ind w:right="-1"/>
              <w:rPr>
                <w:rFonts w:cs="Arial"/>
                <w:bCs/>
                <w:lang w:val="es-MX"/>
              </w:rPr>
            </w:pPr>
          </w:p>
        </w:tc>
      </w:tr>
      <w:tr w:rsidR="00FB42CA" w:rsidRPr="008E399A" w14:paraId="60A4F7E1" w14:textId="77777777" w:rsidTr="00F208D4">
        <w:tc>
          <w:tcPr>
            <w:tcW w:w="0" w:type="auto"/>
            <w:shd w:val="clear" w:color="auto" w:fill="auto"/>
          </w:tcPr>
          <w:p w14:paraId="5F87D9D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9BE374B"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15C3F0C" w14:textId="77777777" w:rsidR="00FB42CA" w:rsidRPr="008E399A" w:rsidRDefault="00FB42CA" w:rsidP="00F208D4">
            <w:pPr>
              <w:spacing w:line="240" w:lineRule="auto"/>
              <w:ind w:right="-1"/>
              <w:rPr>
                <w:rFonts w:cs="Arial"/>
                <w:bCs/>
                <w:lang w:val="es-MX"/>
              </w:rPr>
            </w:pPr>
            <w:r w:rsidRPr="008E399A">
              <w:rPr>
                <w:rFonts w:cs="Arial"/>
                <w:bCs/>
                <w:lang w:val="es-MX"/>
              </w:rPr>
              <w:t>Asesor CPS14-09</w:t>
            </w:r>
          </w:p>
        </w:tc>
        <w:tc>
          <w:tcPr>
            <w:tcW w:w="0" w:type="auto"/>
            <w:shd w:val="clear" w:color="auto" w:fill="auto"/>
          </w:tcPr>
          <w:p w14:paraId="1AEB5A25" w14:textId="77777777" w:rsidR="00FB42CA" w:rsidRPr="008E399A" w:rsidRDefault="00FB42CA" w:rsidP="00F208D4">
            <w:pPr>
              <w:spacing w:line="240" w:lineRule="auto"/>
              <w:ind w:right="-1"/>
              <w:rPr>
                <w:rFonts w:cs="Arial"/>
                <w:bCs/>
                <w:lang w:val="es-MX"/>
              </w:rPr>
            </w:pPr>
            <w:r w:rsidRPr="008E399A">
              <w:rPr>
                <w:rFonts w:cs="Arial"/>
                <w:bCs/>
                <w:lang w:val="es-MX"/>
              </w:rPr>
              <w:t>371</w:t>
            </w:r>
          </w:p>
        </w:tc>
        <w:tc>
          <w:tcPr>
            <w:tcW w:w="0" w:type="auto"/>
            <w:shd w:val="clear" w:color="auto" w:fill="auto"/>
          </w:tcPr>
          <w:p w14:paraId="51EE0C6A" w14:textId="77777777" w:rsidR="00FB42CA" w:rsidRPr="008E399A" w:rsidRDefault="00FB42CA" w:rsidP="00F208D4">
            <w:pPr>
              <w:spacing w:line="240" w:lineRule="auto"/>
              <w:ind w:right="-1"/>
              <w:rPr>
                <w:rFonts w:cs="Arial"/>
                <w:bCs/>
                <w:lang w:val="es-MX"/>
              </w:rPr>
            </w:pPr>
            <w:r w:rsidRPr="008E399A">
              <w:rPr>
                <w:rFonts w:cs="Arial"/>
                <w:bCs/>
                <w:lang w:val="es-MX"/>
              </w:rPr>
              <w:t>27/ener/09</w:t>
            </w:r>
          </w:p>
        </w:tc>
        <w:tc>
          <w:tcPr>
            <w:tcW w:w="0" w:type="auto"/>
            <w:shd w:val="clear" w:color="auto" w:fill="auto"/>
          </w:tcPr>
          <w:p w14:paraId="345F2995" w14:textId="77777777" w:rsidR="00FB42CA" w:rsidRPr="008E399A" w:rsidRDefault="00FB42CA" w:rsidP="00F208D4">
            <w:pPr>
              <w:spacing w:line="240" w:lineRule="auto"/>
              <w:ind w:right="-1"/>
              <w:rPr>
                <w:rFonts w:cs="Arial"/>
                <w:bCs/>
                <w:lang w:val="es-MX"/>
              </w:rPr>
            </w:pPr>
            <w:r w:rsidRPr="008E399A">
              <w:rPr>
                <w:rFonts w:cs="Arial"/>
                <w:bCs/>
                <w:lang w:val="es-MX"/>
              </w:rPr>
              <w:t>26/oct/09</w:t>
            </w:r>
          </w:p>
        </w:tc>
        <w:tc>
          <w:tcPr>
            <w:tcW w:w="0" w:type="auto"/>
            <w:shd w:val="clear" w:color="auto" w:fill="auto"/>
          </w:tcPr>
          <w:p w14:paraId="41CB0242" w14:textId="77777777" w:rsidR="00FB42CA" w:rsidRPr="008E399A" w:rsidRDefault="00FB42CA" w:rsidP="00F208D4">
            <w:pPr>
              <w:spacing w:line="240" w:lineRule="auto"/>
              <w:ind w:right="-1"/>
              <w:rPr>
                <w:rFonts w:cs="Arial"/>
                <w:bCs/>
                <w:lang w:val="es-MX"/>
              </w:rPr>
            </w:pPr>
            <w:r w:rsidRPr="008E399A">
              <w:rPr>
                <w:rFonts w:cs="Arial"/>
                <w:bCs/>
                <w:lang w:val="es-MX"/>
              </w:rPr>
              <w:t>0,76</w:t>
            </w:r>
          </w:p>
        </w:tc>
        <w:tc>
          <w:tcPr>
            <w:tcW w:w="0" w:type="auto"/>
            <w:shd w:val="clear" w:color="auto" w:fill="auto"/>
          </w:tcPr>
          <w:p w14:paraId="2422829B"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5AF94BF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8E47D3B" w14:textId="77777777" w:rsidR="00FB42CA" w:rsidRPr="008E399A" w:rsidRDefault="00FB42CA" w:rsidP="00F208D4">
            <w:pPr>
              <w:spacing w:line="240" w:lineRule="auto"/>
              <w:ind w:right="-1"/>
              <w:rPr>
                <w:rFonts w:cs="Arial"/>
                <w:bCs/>
                <w:lang w:val="es-MX"/>
              </w:rPr>
            </w:pPr>
          </w:p>
        </w:tc>
      </w:tr>
      <w:tr w:rsidR="00FB42CA" w:rsidRPr="008E399A" w14:paraId="646D77DF" w14:textId="77777777" w:rsidTr="00F208D4">
        <w:tc>
          <w:tcPr>
            <w:tcW w:w="0" w:type="auto"/>
            <w:shd w:val="clear" w:color="auto" w:fill="auto"/>
          </w:tcPr>
          <w:p w14:paraId="33C65C77"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BD6000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BCBA1E6" w14:textId="77777777" w:rsidR="00FB42CA" w:rsidRPr="008E399A" w:rsidRDefault="00FB42CA" w:rsidP="00F208D4">
            <w:pPr>
              <w:spacing w:line="240" w:lineRule="auto"/>
              <w:ind w:right="-1"/>
              <w:rPr>
                <w:rFonts w:cs="Arial"/>
                <w:bCs/>
                <w:lang w:val="es-MX"/>
              </w:rPr>
            </w:pPr>
            <w:r w:rsidRPr="008E399A">
              <w:rPr>
                <w:rFonts w:cs="Arial"/>
                <w:bCs/>
                <w:lang w:val="es-MX"/>
              </w:rPr>
              <w:t>Asesor CPS 106-09</w:t>
            </w:r>
          </w:p>
        </w:tc>
        <w:tc>
          <w:tcPr>
            <w:tcW w:w="0" w:type="auto"/>
            <w:shd w:val="clear" w:color="auto" w:fill="auto"/>
          </w:tcPr>
          <w:p w14:paraId="0E0EC57B" w14:textId="77777777" w:rsidR="00FB42CA" w:rsidRPr="008E399A" w:rsidRDefault="00FB42CA" w:rsidP="00F208D4">
            <w:pPr>
              <w:spacing w:line="240" w:lineRule="auto"/>
              <w:ind w:right="-1"/>
              <w:rPr>
                <w:rFonts w:cs="Arial"/>
                <w:bCs/>
                <w:lang w:val="es-MX"/>
              </w:rPr>
            </w:pPr>
            <w:r w:rsidRPr="008E399A">
              <w:rPr>
                <w:rFonts w:cs="Arial"/>
                <w:bCs/>
                <w:lang w:val="es-MX"/>
              </w:rPr>
              <w:t>371-372</w:t>
            </w:r>
          </w:p>
        </w:tc>
        <w:tc>
          <w:tcPr>
            <w:tcW w:w="0" w:type="auto"/>
            <w:shd w:val="clear" w:color="auto" w:fill="auto"/>
          </w:tcPr>
          <w:p w14:paraId="67BAB9C0" w14:textId="77777777" w:rsidR="00FB42CA" w:rsidRPr="008E399A" w:rsidRDefault="00FB42CA" w:rsidP="00F208D4">
            <w:pPr>
              <w:spacing w:line="240" w:lineRule="auto"/>
              <w:ind w:right="-1"/>
              <w:rPr>
                <w:rFonts w:cs="Arial"/>
                <w:bCs/>
                <w:lang w:val="es-MX"/>
              </w:rPr>
            </w:pPr>
            <w:r w:rsidRPr="008E399A">
              <w:rPr>
                <w:rFonts w:cs="Arial"/>
                <w:bCs/>
                <w:lang w:val="es-MX"/>
              </w:rPr>
              <w:t>27/oct/09</w:t>
            </w:r>
          </w:p>
        </w:tc>
        <w:tc>
          <w:tcPr>
            <w:tcW w:w="0" w:type="auto"/>
            <w:shd w:val="clear" w:color="auto" w:fill="auto"/>
          </w:tcPr>
          <w:p w14:paraId="0174F231" w14:textId="77777777" w:rsidR="00FB42CA" w:rsidRPr="008E399A" w:rsidRDefault="00FB42CA" w:rsidP="00F208D4">
            <w:pPr>
              <w:spacing w:line="240" w:lineRule="auto"/>
              <w:ind w:right="-1"/>
              <w:rPr>
                <w:rFonts w:cs="Arial"/>
                <w:bCs/>
                <w:lang w:val="es-MX"/>
              </w:rPr>
            </w:pPr>
            <w:r w:rsidRPr="008E399A">
              <w:rPr>
                <w:rFonts w:cs="Arial"/>
                <w:bCs/>
                <w:lang w:val="es-MX"/>
              </w:rPr>
              <w:t>30/oct/10</w:t>
            </w:r>
          </w:p>
        </w:tc>
        <w:tc>
          <w:tcPr>
            <w:tcW w:w="0" w:type="auto"/>
            <w:shd w:val="clear" w:color="auto" w:fill="auto"/>
          </w:tcPr>
          <w:p w14:paraId="7E7BE371" w14:textId="77777777" w:rsidR="00FB42CA" w:rsidRPr="008E399A" w:rsidRDefault="00FB42CA" w:rsidP="00F208D4">
            <w:pPr>
              <w:spacing w:line="240" w:lineRule="auto"/>
              <w:ind w:right="-1"/>
              <w:rPr>
                <w:rFonts w:cs="Arial"/>
                <w:bCs/>
                <w:lang w:val="es-MX"/>
              </w:rPr>
            </w:pPr>
            <w:r w:rsidRPr="008E399A">
              <w:rPr>
                <w:rFonts w:cs="Arial"/>
                <w:bCs/>
                <w:lang w:val="es-MX"/>
              </w:rPr>
              <w:t>1,02</w:t>
            </w:r>
          </w:p>
        </w:tc>
        <w:tc>
          <w:tcPr>
            <w:tcW w:w="0" w:type="auto"/>
            <w:shd w:val="clear" w:color="auto" w:fill="auto"/>
          </w:tcPr>
          <w:p w14:paraId="71D1553E"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06C0262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48599E4" w14:textId="77777777" w:rsidR="00FB42CA" w:rsidRPr="008E399A" w:rsidRDefault="00FB42CA" w:rsidP="00F208D4">
            <w:pPr>
              <w:spacing w:line="240" w:lineRule="auto"/>
              <w:ind w:right="-1"/>
              <w:rPr>
                <w:rFonts w:cs="Arial"/>
                <w:bCs/>
                <w:lang w:val="es-MX"/>
              </w:rPr>
            </w:pPr>
            <w:r w:rsidRPr="008E399A">
              <w:rPr>
                <w:rFonts w:cs="Arial"/>
                <w:bCs/>
                <w:lang w:val="es-MX"/>
              </w:rPr>
              <w:t>X</w:t>
            </w:r>
          </w:p>
        </w:tc>
      </w:tr>
      <w:tr w:rsidR="00FB42CA" w:rsidRPr="008E399A" w14:paraId="2CAE07FB" w14:textId="77777777" w:rsidTr="00F208D4">
        <w:tc>
          <w:tcPr>
            <w:tcW w:w="0" w:type="auto"/>
            <w:shd w:val="clear" w:color="auto" w:fill="auto"/>
          </w:tcPr>
          <w:p w14:paraId="569CA11E" w14:textId="77777777" w:rsidR="00FB42CA" w:rsidRPr="008E399A" w:rsidRDefault="00FB42CA" w:rsidP="00F208D4">
            <w:pPr>
              <w:spacing w:line="240" w:lineRule="auto"/>
              <w:ind w:right="-1"/>
              <w:rPr>
                <w:rFonts w:cs="Arial"/>
                <w:bCs/>
                <w:lang w:val="es-MX"/>
              </w:rPr>
            </w:pPr>
            <w:r w:rsidRPr="008E399A">
              <w:rPr>
                <w:rFonts w:cs="Arial"/>
                <w:bCs/>
                <w:lang w:val="es-MX"/>
              </w:rPr>
              <w:t>4</w:t>
            </w:r>
          </w:p>
        </w:tc>
        <w:tc>
          <w:tcPr>
            <w:tcW w:w="0" w:type="auto"/>
            <w:shd w:val="clear" w:color="auto" w:fill="auto"/>
          </w:tcPr>
          <w:p w14:paraId="51DDE672" w14:textId="77777777" w:rsidR="00FB42CA" w:rsidRPr="008E399A" w:rsidRDefault="00FB42CA" w:rsidP="00F208D4">
            <w:pPr>
              <w:spacing w:line="240" w:lineRule="auto"/>
              <w:ind w:right="-1"/>
              <w:rPr>
                <w:rFonts w:cs="Arial"/>
                <w:bCs/>
                <w:lang w:val="es-MX"/>
              </w:rPr>
            </w:pPr>
            <w:r w:rsidRPr="008E399A">
              <w:rPr>
                <w:rFonts w:cs="Arial"/>
                <w:bCs/>
                <w:lang w:val="es-MX"/>
              </w:rPr>
              <w:t xml:space="preserve">Caprecom </w:t>
            </w:r>
          </w:p>
        </w:tc>
        <w:tc>
          <w:tcPr>
            <w:tcW w:w="0" w:type="auto"/>
            <w:shd w:val="clear" w:color="auto" w:fill="auto"/>
          </w:tcPr>
          <w:p w14:paraId="48DE887E" w14:textId="77777777" w:rsidR="00FB42CA" w:rsidRPr="008E399A" w:rsidRDefault="00FB42CA" w:rsidP="00F208D4">
            <w:pPr>
              <w:spacing w:line="240" w:lineRule="auto"/>
              <w:ind w:right="-1"/>
              <w:rPr>
                <w:rFonts w:cs="Arial"/>
                <w:bCs/>
                <w:lang w:val="es-MX"/>
              </w:rPr>
            </w:pPr>
            <w:r w:rsidRPr="008E399A">
              <w:rPr>
                <w:rFonts w:cs="Arial"/>
                <w:bCs/>
                <w:lang w:val="es-MX"/>
              </w:rPr>
              <w:t>Profesional C111-06</w:t>
            </w:r>
          </w:p>
        </w:tc>
        <w:tc>
          <w:tcPr>
            <w:tcW w:w="0" w:type="auto"/>
            <w:shd w:val="clear" w:color="auto" w:fill="auto"/>
          </w:tcPr>
          <w:p w14:paraId="1C2724E4" w14:textId="77777777" w:rsidR="00FB42CA" w:rsidRPr="008E399A" w:rsidRDefault="00FB42CA" w:rsidP="00F208D4">
            <w:pPr>
              <w:spacing w:line="240" w:lineRule="auto"/>
              <w:ind w:right="-1"/>
              <w:rPr>
                <w:rFonts w:cs="Arial"/>
                <w:bCs/>
                <w:lang w:val="es-MX"/>
              </w:rPr>
            </w:pPr>
            <w:r w:rsidRPr="008E399A">
              <w:rPr>
                <w:rFonts w:cs="Arial"/>
                <w:bCs/>
                <w:lang w:val="es-MX"/>
              </w:rPr>
              <w:t>373</w:t>
            </w:r>
          </w:p>
        </w:tc>
        <w:tc>
          <w:tcPr>
            <w:tcW w:w="0" w:type="auto"/>
            <w:shd w:val="clear" w:color="auto" w:fill="auto"/>
          </w:tcPr>
          <w:p w14:paraId="24BEED83" w14:textId="77777777" w:rsidR="00FB42CA" w:rsidRPr="008E399A" w:rsidRDefault="00FB42CA" w:rsidP="00F208D4">
            <w:pPr>
              <w:spacing w:line="240" w:lineRule="auto"/>
              <w:ind w:right="-1"/>
              <w:rPr>
                <w:rFonts w:cs="Arial"/>
                <w:bCs/>
                <w:lang w:val="es-MX"/>
              </w:rPr>
            </w:pPr>
            <w:r w:rsidRPr="008E399A">
              <w:rPr>
                <w:rFonts w:cs="Arial"/>
                <w:bCs/>
                <w:lang w:val="es-MX"/>
              </w:rPr>
              <w:t>01/ago/06</w:t>
            </w:r>
          </w:p>
        </w:tc>
        <w:tc>
          <w:tcPr>
            <w:tcW w:w="0" w:type="auto"/>
            <w:shd w:val="clear" w:color="auto" w:fill="auto"/>
          </w:tcPr>
          <w:p w14:paraId="4BAA7449" w14:textId="77777777" w:rsidR="00FB42CA" w:rsidRPr="008E399A" w:rsidRDefault="00FB42CA" w:rsidP="00F208D4">
            <w:pPr>
              <w:spacing w:line="240" w:lineRule="auto"/>
              <w:ind w:right="-1"/>
              <w:rPr>
                <w:rFonts w:cs="Arial"/>
                <w:bCs/>
                <w:lang w:val="es-MX"/>
              </w:rPr>
            </w:pPr>
            <w:r w:rsidRPr="008E399A">
              <w:rPr>
                <w:rFonts w:cs="Arial"/>
                <w:bCs/>
                <w:lang w:val="es-MX"/>
              </w:rPr>
              <w:t>31/dic/06</w:t>
            </w:r>
          </w:p>
        </w:tc>
        <w:tc>
          <w:tcPr>
            <w:tcW w:w="0" w:type="auto"/>
            <w:shd w:val="clear" w:color="auto" w:fill="auto"/>
          </w:tcPr>
          <w:p w14:paraId="653BE91D" w14:textId="77777777" w:rsidR="00FB42CA" w:rsidRPr="008E399A" w:rsidRDefault="00FB42CA" w:rsidP="00F208D4">
            <w:pPr>
              <w:spacing w:line="240" w:lineRule="auto"/>
              <w:ind w:right="-1"/>
              <w:rPr>
                <w:rFonts w:cs="Arial"/>
                <w:bCs/>
                <w:lang w:val="es-MX"/>
              </w:rPr>
            </w:pPr>
            <w:r w:rsidRPr="008E399A">
              <w:rPr>
                <w:rFonts w:cs="Arial"/>
                <w:bCs/>
                <w:lang w:val="es-MX"/>
              </w:rPr>
              <w:t>0,42</w:t>
            </w:r>
          </w:p>
        </w:tc>
        <w:tc>
          <w:tcPr>
            <w:tcW w:w="0" w:type="auto"/>
            <w:shd w:val="clear" w:color="auto" w:fill="auto"/>
          </w:tcPr>
          <w:p w14:paraId="466ADA25"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0C3FAAC4"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186D535" w14:textId="77777777" w:rsidR="00FB42CA" w:rsidRPr="008E399A" w:rsidRDefault="00FB42CA" w:rsidP="00F208D4">
            <w:pPr>
              <w:spacing w:line="240" w:lineRule="auto"/>
              <w:ind w:right="-1"/>
              <w:rPr>
                <w:rFonts w:cs="Arial"/>
                <w:bCs/>
                <w:lang w:val="es-MX"/>
              </w:rPr>
            </w:pPr>
          </w:p>
        </w:tc>
      </w:tr>
      <w:tr w:rsidR="00FB42CA" w:rsidRPr="008E399A" w14:paraId="15FFF832" w14:textId="77777777" w:rsidTr="00F208D4">
        <w:tc>
          <w:tcPr>
            <w:tcW w:w="0" w:type="auto"/>
            <w:shd w:val="clear" w:color="auto" w:fill="auto"/>
          </w:tcPr>
          <w:p w14:paraId="2B74E4BA"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E778FEB"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BD9127D" w14:textId="77777777" w:rsidR="00FB42CA" w:rsidRPr="008E399A" w:rsidRDefault="00FB42CA" w:rsidP="00F208D4">
            <w:pPr>
              <w:spacing w:line="240" w:lineRule="auto"/>
              <w:ind w:right="-1"/>
              <w:rPr>
                <w:rFonts w:cs="Arial"/>
                <w:bCs/>
                <w:lang w:val="es-MX"/>
              </w:rPr>
            </w:pPr>
            <w:r w:rsidRPr="008E399A">
              <w:rPr>
                <w:rFonts w:cs="Arial"/>
                <w:bCs/>
                <w:lang w:val="es-MX"/>
              </w:rPr>
              <w:t>Profesional C015-07</w:t>
            </w:r>
          </w:p>
        </w:tc>
        <w:tc>
          <w:tcPr>
            <w:tcW w:w="0" w:type="auto"/>
            <w:shd w:val="clear" w:color="auto" w:fill="auto"/>
          </w:tcPr>
          <w:p w14:paraId="21A6F49E" w14:textId="77777777" w:rsidR="00FB42CA" w:rsidRPr="008E399A" w:rsidRDefault="00FB42CA" w:rsidP="00F208D4">
            <w:pPr>
              <w:spacing w:line="240" w:lineRule="auto"/>
              <w:ind w:right="-1"/>
              <w:rPr>
                <w:rFonts w:cs="Arial"/>
                <w:bCs/>
                <w:lang w:val="es-MX"/>
              </w:rPr>
            </w:pPr>
            <w:r w:rsidRPr="008E399A">
              <w:rPr>
                <w:rFonts w:cs="Arial"/>
                <w:bCs/>
                <w:lang w:val="es-MX"/>
              </w:rPr>
              <w:t>373</w:t>
            </w:r>
          </w:p>
        </w:tc>
        <w:tc>
          <w:tcPr>
            <w:tcW w:w="0" w:type="auto"/>
            <w:shd w:val="clear" w:color="auto" w:fill="auto"/>
          </w:tcPr>
          <w:p w14:paraId="1D031583" w14:textId="77777777" w:rsidR="00FB42CA" w:rsidRPr="008E399A" w:rsidRDefault="00FB42CA" w:rsidP="00F208D4">
            <w:pPr>
              <w:spacing w:line="240" w:lineRule="auto"/>
              <w:ind w:right="-1"/>
              <w:rPr>
                <w:rFonts w:cs="Arial"/>
                <w:bCs/>
                <w:lang w:val="es-MX"/>
              </w:rPr>
            </w:pPr>
            <w:r w:rsidRPr="008E399A">
              <w:rPr>
                <w:rFonts w:cs="Arial"/>
                <w:bCs/>
                <w:lang w:val="es-MX"/>
              </w:rPr>
              <w:t>10/ene/07</w:t>
            </w:r>
          </w:p>
        </w:tc>
        <w:tc>
          <w:tcPr>
            <w:tcW w:w="0" w:type="auto"/>
            <w:shd w:val="clear" w:color="auto" w:fill="auto"/>
          </w:tcPr>
          <w:p w14:paraId="1A5CFA57" w14:textId="77777777" w:rsidR="00FB42CA" w:rsidRPr="008E399A" w:rsidRDefault="00FB42CA" w:rsidP="00F208D4">
            <w:pPr>
              <w:spacing w:line="240" w:lineRule="auto"/>
              <w:ind w:right="-1"/>
              <w:rPr>
                <w:rFonts w:cs="Arial"/>
                <w:bCs/>
                <w:lang w:val="es-MX"/>
              </w:rPr>
            </w:pPr>
            <w:r w:rsidRPr="008E399A">
              <w:rPr>
                <w:rFonts w:cs="Arial"/>
                <w:bCs/>
                <w:lang w:val="es-MX"/>
              </w:rPr>
              <w:t>31/dic/07</w:t>
            </w:r>
          </w:p>
        </w:tc>
        <w:tc>
          <w:tcPr>
            <w:tcW w:w="0" w:type="auto"/>
            <w:shd w:val="clear" w:color="auto" w:fill="auto"/>
          </w:tcPr>
          <w:p w14:paraId="7BFC9479" w14:textId="77777777" w:rsidR="00FB42CA" w:rsidRPr="008E399A" w:rsidRDefault="00FB42CA" w:rsidP="00F208D4">
            <w:pPr>
              <w:spacing w:line="240" w:lineRule="auto"/>
              <w:ind w:right="-1"/>
              <w:rPr>
                <w:rFonts w:cs="Arial"/>
                <w:bCs/>
                <w:lang w:val="es-MX"/>
              </w:rPr>
            </w:pPr>
            <w:r w:rsidRPr="008E399A">
              <w:rPr>
                <w:rFonts w:cs="Arial"/>
                <w:bCs/>
                <w:lang w:val="es-MX"/>
              </w:rPr>
              <w:t>0,99</w:t>
            </w:r>
          </w:p>
        </w:tc>
        <w:tc>
          <w:tcPr>
            <w:tcW w:w="0" w:type="auto"/>
            <w:shd w:val="clear" w:color="auto" w:fill="auto"/>
          </w:tcPr>
          <w:p w14:paraId="23D8E0FE" w14:textId="77777777" w:rsidR="00FB42CA" w:rsidRPr="008E399A" w:rsidRDefault="00FB42CA" w:rsidP="00F208D4">
            <w:pPr>
              <w:spacing w:line="240" w:lineRule="auto"/>
              <w:ind w:right="-1"/>
              <w:rPr>
                <w:rFonts w:cs="Arial"/>
                <w:bCs/>
                <w:lang w:val="es-MX"/>
              </w:rPr>
            </w:pPr>
            <w:r w:rsidRPr="008E399A">
              <w:rPr>
                <w:rFonts w:cs="Arial"/>
                <w:bCs/>
                <w:lang w:val="es-MX"/>
              </w:rPr>
              <w:t>X</w:t>
            </w:r>
          </w:p>
        </w:tc>
        <w:tc>
          <w:tcPr>
            <w:tcW w:w="0" w:type="auto"/>
            <w:shd w:val="clear" w:color="auto" w:fill="auto"/>
          </w:tcPr>
          <w:p w14:paraId="523C2DA4"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9AFBD59" w14:textId="77777777" w:rsidR="00FB42CA" w:rsidRPr="008E399A" w:rsidRDefault="00FB42CA" w:rsidP="00F208D4">
            <w:pPr>
              <w:spacing w:line="240" w:lineRule="auto"/>
              <w:ind w:right="-1"/>
              <w:rPr>
                <w:rFonts w:cs="Arial"/>
                <w:bCs/>
                <w:lang w:val="es-MX"/>
              </w:rPr>
            </w:pPr>
          </w:p>
        </w:tc>
      </w:tr>
      <w:tr w:rsidR="00FB42CA" w:rsidRPr="008E399A" w14:paraId="6A8A936D" w14:textId="77777777" w:rsidTr="00F208D4">
        <w:tc>
          <w:tcPr>
            <w:tcW w:w="0" w:type="auto"/>
            <w:shd w:val="clear" w:color="auto" w:fill="auto"/>
          </w:tcPr>
          <w:p w14:paraId="17E1491E"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8BECB28"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A848D6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1A319A63"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BFC8601"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1ADBD7D"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14B3842"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DB9F944"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29C95D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C2E62A2" w14:textId="77777777" w:rsidR="00FB42CA" w:rsidRPr="008E399A" w:rsidRDefault="00FB42CA" w:rsidP="00F208D4">
            <w:pPr>
              <w:spacing w:line="240" w:lineRule="auto"/>
              <w:ind w:right="-1"/>
              <w:rPr>
                <w:rFonts w:cs="Arial"/>
                <w:bCs/>
                <w:lang w:val="es-MX"/>
              </w:rPr>
            </w:pPr>
          </w:p>
        </w:tc>
      </w:tr>
      <w:tr w:rsidR="00FB42CA" w:rsidRPr="008E399A" w14:paraId="5F10254D" w14:textId="77777777" w:rsidTr="00F208D4">
        <w:tc>
          <w:tcPr>
            <w:tcW w:w="0" w:type="auto"/>
            <w:shd w:val="clear" w:color="auto" w:fill="auto"/>
          </w:tcPr>
          <w:p w14:paraId="6146ADBD" w14:textId="77777777" w:rsidR="00FB42CA" w:rsidRPr="008E399A" w:rsidRDefault="00FB42CA" w:rsidP="00F208D4">
            <w:pPr>
              <w:spacing w:line="240" w:lineRule="auto"/>
              <w:ind w:right="-1"/>
              <w:rPr>
                <w:rFonts w:cs="Arial"/>
                <w:bCs/>
                <w:lang w:val="es-MX"/>
              </w:rPr>
            </w:pPr>
          </w:p>
          <w:p w14:paraId="6F841023"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86BFEC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21B1ADA"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4E1D3E6"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68AC298"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4582937"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53227AD" w14:textId="77777777" w:rsidR="00FB42CA" w:rsidRPr="008E399A" w:rsidRDefault="00FB42CA" w:rsidP="00F208D4">
            <w:pPr>
              <w:spacing w:line="240" w:lineRule="auto"/>
              <w:ind w:right="-1"/>
              <w:rPr>
                <w:rFonts w:cs="Arial"/>
                <w:bCs/>
                <w:lang w:val="es-MX"/>
              </w:rPr>
            </w:pPr>
            <w:r w:rsidRPr="008E399A">
              <w:rPr>
                <w:rFonts w:cs="Arial"/>
                <w:bCs/>
                <w:lang w:val="es-MX"/>
              </w:rPr>
              <w:t xml:space="preserve">Total de años experiencia general </w:t>
            </w:r>
          </w:p>
        </w:tc>
        <w:tc>
          <w:tcPr>
            <w:tcW w:w="0" w:type="auto"/>
            <w:shd w:val="clear" w:color="auto" w:fill="auto"/>
          </w:tcPr>
          <w:p w14:paraId="20290C10" w14:textId="77777777" w:rsidR="00FB42CA" w:rsidRPr="008E399A" w:rsidRDefault="00FB42CA" w:rsidP="00F208D4">
            <w:pPr>
              <w:spacing w:line="240" w:lineRule="auto"/>
              <w:ind w:right="-1"/>
              <w:rPr>
                <w:rFonts w:cs="Arial"/>
                <w:bCs/>
                <w:lang w:val="es-MX"/>
              </w:rPr>
            </w:pPr>
            <w:r w:rsidRPr="008E399A">
              <w:rPr>
                <w:rFonts w:cs="Arial"/>
                <w:bCs/>
                <w:lang w:val="es-MX"/>
              </w:rPr>
              <w:t>6,54</w:t>
            </w:r>
          </w:p>
        </w:tc>
        <w:tc>
          <w:tcPr>
            <w:tcW w:w="0" w:type="auto"/>
            <w:shd w:val="clear" w:color="auto" w:fill="auto"/>
          </w:tcPr>
          <w:p w14:paraId="61C09129"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38DB972" w14:textId="77777777" w:rsidR="00FB42CA" w:rsidRPr="008E399A" w:rsidRDefault="00FB42CA" w:rsidP="00F208D4">
            <w:pPr>
              <w:spacing w:line="240" w:lineRule="auto"/>
              <w:ind w:right="-1"/>
              <w:rPr>
                <w:rFonts w:cs="Arial"/>
                <w:bCs/>
                <w:lang w:val="es-MX"/>
              </w:rPr>
            </w:pPr>
            <w:r w:rsidRPr="008E399A">
              <w:rPr>
                <w:rFonts w:cs="Arial"/>
                <w:bCs/>
                <w:lang w:val="es-MX"/>
              </w:rPr>
              <w:t xml:space="preserve">CUMPLE con el mínimo de experiencia </w:t>
            </w:r>
            <w:r w:rsidRPr="008E399A">
              <w:rPr>
                <w:rFonts w:cs="Arial"/>
                <w:bCs/>
                <w:lang w:val="es-MX"/>
              </w:rPr>
              <w:lastRenderedPageBreak/>
              <w:t>habilitante gn</w:t>
            </w:r>
          </w:p>
        </w:tc>
      </w:tr>
      <w:tr w:rsidR="00FB42CA" w:rsidRPr="008E399A" w14:paraId="23256698" w14:textId="77777777" w:rsidTr="00F208D4">
        <w:tc>
          <w:tcPr>
            <w:tcW w:w="0" w:type="auto"/>
            <w:shd w:val="clear" w:color="auto" w:fill="auto"/>
          </w:tcPr>
          <w:p w14:paraId="0973E17A"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D9DCB61"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9901BB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883D5EE"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4B2E9DF"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EC2E4C1"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45CEAAA9" w14:textId="77777777" w:rsidR="00FB42CA" w:rsidRPr="008E399A" w:rsidRDefault="00FB42CA" w:rsidP="00F208D4">
            <w:pPr>
              <w:spacing w:line="240" w:lineRule="auto"/>
              <w:ind w:right="-1"/>
              <w:rPr>
                <w:rFonts w:cs="Arial"/>
                <w:bCs/>
                <w:lang w:val="es-MX"/>
              </w:rPr>
            </w:pPr>
            <w:r w:rsidRPr="008E399A">
              <w:rPr>
                <w:rFonts w:cs="Arial"/>
                <w:bCs/>
                <w:lang w:val="es-MX"/>
              </w:rPr>
              <w:t>Total de proyectos de consultoría o interventoría a proyectos (literal a)</w:t>
            </w:r>
          </w:p>
        </w:tc>
        <w:tc>
          <w:tcPr>
            <w:tcW w:w="0" w:type="auto"/>
            <w:shd w:val="clear" w:color="auto" w:fill="auto"/>
          </w:tcPr>
          <w:p w14:paraId="2475FAA0"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5D1C8ECF" w14:textId="77777777" w:rsidR="00FB42CA" w:rsidRPr="008E399A" w:rsidRDefault="00FB42CA" w:rsidP="00F208D4">
            <w:pPr>
              <w:spacing w:line="240" w:lineRule="auto"/>
              <w:ind w:right="-1"/>
              <w:rPr>
                <w:rFonts w:cs="Arial"/>
                <w:bCs/>
                <w:lang w:val="es-MX"/>
              </w:rPr>
            </w:pPr>
            <w:r w:rsidRPr="008E399A">
              <w:rPr>
                <w:rFonts w:cs="Arial"/>
                <w:bCs/>
                <w:lang w:val="es-MX"/>
              </w:rPr>
              <w:t>3</w:t>
            </w:r>
          </w:p>
        </w:tc>
        <w:tc>
          <w:tcPr>
            <w:tcW w:w="0" w:type="auto"/>
            <w:shd w:val="clear" w:color="auto" w:fill="auto"/>
          </w:tcPr>
          <w:p w14:paraId="2B9F8E5E" w14:textId="77777777" w:rsidR="00FB42CA" w:rsidRPr="008E399A" w:rsidRDefault="00FB42CA" w:rsidP="00F208D4">
            <w:pPr>
              <w:spacing w:line="240" w:lineRule="auto"/>
              <w:ind w:right="-1"/>
              <w:rPr>
                <w:rFonts w:cs="Arial"/>
                <w:bCs/>
                <w:lang w:val="es-MX"/>
              </w:rPr>
            </w:pPr>
            <w:r w:rsidRPr="008E399A">
              <w:rPr>
                <w:rFonts w:cs="Arial"/>
                <w:bCs/>
                <w:lang w:val="es-MX"/>
              </w:rPr>
              <w:t>CUMPLE con el mínimo habilitante literal a.</w:t>
            </w:r>
          </w:p>
        </w:tc>
      </w:tr>
      <w:tr w:rsidR="00FB42CA" w:rsidRPr="008E399A" w14:paraId="2E781B94" w14:textId="77777777" w:rsidTr="00F208D4">
        <w:tc>
          <w:tcPr>
            <w:tcW w:w="0" w:type="auto"/>
            <w:shd w:val="clear" w:color="auto" w:fill="auto"/>
          </w:tcPr>
          <w:p w14:paraId="6CDDA2C4"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DBA3955"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3C363CBC"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7C4BD62"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21A21E36"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636DCDA4"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0676E61F" w14:textId="77777777" w:rsidR="00FB42CA" w:rsidRPr="008E399A" w:rsidRDefault="00FB42CA" w:rsidP="00F208D4">
            <w:pPr>
              <w:spacing w:line="240" w:lineRule="auto"/>
              <w:ind w:right="-1"/>
              <w:rPr>
                <w:rFonts w:cs="Arial"/>
                <w:bCs/>
                <w:lang w:val="es-MX"/>
              </w:rPr>
            </w:pPr>
            <w:r w:rsidRPr="008E399A">
              <w:rPr>
                <w:rFonts w:cs="Arial"/>
                <w:bCs/>
                <w:lang w:val="es-MX"/>
              </w:rPr>
              <w:t xml:space="preserve">Total de años en cargos directivos o de asesor  (literal b) </w:t>
            </w:r>
          </w:p>
        </w:tc>
        <w:tc>
          <w:tcPr>
            <w:tcW w:w="0" w:type="auto"/>
            <w:shd w:val="clear" w:color="auto" w:fill="auto"/>
          </w:tcPr>
          <w:p w14:paraId="1A66E910" w14:textId="77777777" w:rsidR="00FB42CA" w:rsidRPr="008E399A" w:rsidRDefault="00FB42CA" w:rsidP="00F208D4">
            <w:pPr>
              <w:spacing w:line="240" w:lineRule="auto"/>
              <w:ind w:right="-1"/>
              <w:rPr>
                <w:rFonts w:cs="Arial"/>
                <w:bCs/>
                <w:lang w:val="es-MX"/>
              </w:rPr>
            </w:pPr>
          </w:p>
        </w:tc>
        <w:tc>
          <w:tcPr>
            <w:tcW w:w="0" w:type="auto"/>
            <w:shd w:val="clear" w:color="auto" w:fill="auto"/>
          </w:tcPr>
          <w:p w14:paraId="7907CE52" w14:textId="77777777" w:rsidR="00FB42CA" w:rsidRPr="008E399A" w:rsidRDefault="00FB42CA" w:rsidP="00F208D4">
            <w:pPr>
              <w:spacing w:line="240" w:lineRule="auto"/>
              <w:ind w:right="-1"/>
              <w:rPr>
                <w:rFonts w:cs="Arial"/>
                <w:bCs/>
                <w:lang w:val="es-MX"/>
              </w:rPr>
            </w:pPr>
            <w:r w:rsidRPr="008E399A">
              <w:rPr>
                <w:rFonts w:cs="Arial"/>
                <w:bCs/>
                <w:lang w:val="es-MX"/>
              </w:rPr>
              <w:t>2,86</w:t>
            </w:r>
          </w:p>
        </w:tc>
        <w:tc>
          <w:tcPr>
            <w:tcW w:w="0" w:type="auto"/>
            <w:shd w:val="clear" w:color="auto" w:fill="auto"/>
          </w:tcPr>
          <w:p w14:paraId="3B8312E1" w14:textId="77777777" w:rsidR="00FB42CA" w:rsidRPr="008E399A" w:rsidRDefault="00FB42CA" w:rsidP="00F208D4">
            <w:pPr>
              <w:spacing w:line="240" w:lineRule="auto"/>
              <w:ind w:right="-1"/>
              <w:rPr>
                <w:rFonts w:cs="Arial"/>
                <w:bCs/>
                <w:lang w:val="es-MX"/>
              </w:rPr>
            </w:pPr>
            <w:r w:rsidRPr="008E399A">
              <w:rPr>
                <w:rFonts w:cs="Arial"/>
                <w:bCs/>
                <w:lang w:val="es-MX"/>
              </w:rPr>
              <w:t>CUMPLE con el mínimo habilitante literal b.</w:t>
            </w:r>
          </w:p>
        </w:tc>
      </w:tr>
    </w:tbl>
    <w:p w14:paraId="50C6CE70" w14:textId="77777777" w:rsidR="00FB42CA" w:rsidRPr="008E399A" w:rsidRDefault="00FB42CA" w:rsidP="00FB42CA">
      <w:pPr>
        <w:spacing w:line="240" w:lineRule="auto"/>
        <w:ind w:right="-1"/>
        <w:rPr>
          <w:rFonts w:cs="Arial"/>
          <w:bCs/>
          <w:lang w:val="es-MX"/>
        </w:rPr>
      </w:pPr>
    </w:p>
    <w:p w14:paraId="75EA7813" w14:textId="77777777" w:rsidR="00FB42CA" w:rsidRPr="008E399A" w:rsidRDefault="00FB42CA" w:rsidP="00FB42CA">
      <w:pPr>
        <w:spacing w:line="240" w:lineRule="auto"/>
        <w:ind w:right="-1"/>
        <w:rPr>
          <w:rFonts w:cs="Arial"/>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869"/>
        <w:gridCol w:w="1260"/>
        <w:gridCol w:w="390"/>
        <w:gridCol w:w="1158"/>
        <w:gridCol w:w="1167"/>
        <w:gridCol w:w="483"/>
      </w:tblGrid>
      <w:tr w:rsidR="00FB42CA" w:rsidRPr="008E399A" w14:paraId="2735C548" w14:textId="77777777" w:rsidTr="00F208D4">
        <w:tc>
          <w:tcPr>
            <w:tcW w:w="0" w:type="auto"/>
            <w:shd w:val="clear" w:color="auto" w:fill="auto"/>
          </w:tcPr>
          <w:p w14:paraId="3F0D657E" w14:textId="77777777" w:rsidR="00FB42CA" w:rsidRPr="008E399A" w:rsidRDefault="00FB42CA" w:rsidP="00F208D4">
            <w:pPr>
              <w:ind w:right="-1"/>
              <w:rPr>
                <w:rFonts w:cs="Arial"/>
                <w:bCs/>
                <w:lang w:val="es-MX"/>
              </w:rPr>
            </w:pPr>
            <w:r w:rsidRPr="008E399A">
              <w:rPr>
                <w:rFonts w:cs="Arial"/>
                <w:bCs/>
                <w:lang w:val="es-MX"/>
              </w:rPr>
              <w:t>Formación adicional del perfil</w:t>
            </w:r>
          </w:p>
        </w:tc>
        <w:tc>
          <w:tcPr>
            <w:tcW w:w="0" w:type="auto"/>
            <w:shd w:val="clear" w:color="auto" w:fill="auto"/>
          </w:tcPr>
          <w:p w14:paraId="7FFB5E86" w14:textId="77777777" w:rsidR="00FB42CA" w:rsidRPr="008E399A" w:rsidRDefault="00FB42CA" w:rsidP="00F208D4">
            <w:pPr>
              <w:ind w:right="-1"/>
              <w:rPr>
                <w:rFonts w:cs="Arial"/>
                <w:bCs/>
                <w:lang w:val="es-MX"/>
              </w:rPr>
            </w:pPr>
            <w:r w:rsidRPr="008E399A">
              <w:rPr>
                <w:rFonts w:cs="Arial"/>
                <w:bCs/>
                <w:lang w:val="es-MX"/>
              </w:rPr>
              <w:t>POSGRADO (Adicional al mínimo habilitante) en temas relacionados con derecho administrativo, derecho de las telecomunicaciones, derecho público, derecho público para la gestión administrativa, derecho contractual, derecho contractual público o privado, o gerencia pública, servicios públicos</w:t>
            </w:r>
          </w:p>
        </w:tc>
        <w:tc>
          <w:tcPr>
            <w:tcW w:w="0" w:type="auto"/>
            <w:shd w:val="clear" w:color="auto" w:fill="auto"/>
          </w:tcPr>
          <w:p w14:paraId="69662D05" w14:textId="77777777" w:rsidR="00FB42CA" w:rsidRPr="008E399A" w:rsidRDefault="00FB42CA" w:rsidP="00F208D4">
            <w:pPr>
              <w:ind w:right="-1"/>
              <w:rPr>
                <w:rFonts w:cs="Arial"/>
                <w:bCs/>
                <w:lang w:val="es-MX"/>
              </w:rPr>
            </w:pPr>
            <w:r w:rsidRPr="008E399A">
              <w:rPr>
                <w:rFonts w:cs="Arial"/>
                <w:bCs/>
                <w:lang w:val="es-MX"/>
              </w:rPr>
              <w:t xml:space="preserve">Posgrado obtenido </w:t>
            </w:r>
          </w:p>
        </w:tc>
        <w:tc>
          <w:tcPr>
            <w:tcW w:w="0" w:type="auto"/>
            <w:shd w:val="clear" w:color="auto" w:fill="auto"/>
          </w:tcPr>
          <w:p w14:paraId="0FD9F9DA" w14:textId="77777777" w:rsidR="00FB42CA" w:rsidRPr="008E399A" w:rsidRDefault="00FB42CA" w:rsidP="00F208D4">
            <w:pPr>
              <w:ind w:right="-1"/>
              <w:rPr>
                <w:rFonts w:cs="Arial"/>
                <w:bCs/>
                <w:lang w:val="es-MX"/>
              </w:rPr>
            </w:pPr>
            <w:r w:rsidRPr="008E399A">
              <w:rPr>
                <w:rFonts w:cs="Arial"/>
                <w:bCs/>
                <w:lang w:val="es-MX"/>
              </w:rPr>
              <w:t>si</w:t>
            </w:r>
          </w:p>
        </w:tc>
        <w:tc>
          <w:tcPr>
            <w:tcW w:w="0" w:type="auto"/>
            <w:shd w:val="clear" w:color="auto" w:fill="auto"/>
          </w:tcPr>
          <w:p w14:paraId="3852DC4A" w14:textId="77777777" w:rsidR="00FB42CA" w:rsidRPr="008E399A" w:rsidRDefault="00FB42CA" w:rsidP="00F208D4">
            <w:pPr>
              <w:ind w:right="-1"/>
              <w:rPr>
                <w:rFonts w:cs="Arial"/>
                <w:bCs/>
                <w:lang w:val="es-MX"/>
              </w:rPr>
            </w:pPr>
            <w:r w:rsidRPr="008E399A">
              <w:rPr>
                <w:rFonts w:cs="Arial"/>
                <w:bCs/>
                <w:lang w:val="es-MX"/>
              </w:rPr>
              <w:t>Magister en derecho</w:t>
            </w:r>
          </w:p>
        </w:tc>
        <w:tc>
          <w:tcPr>
            <w:tcW w:w="0" w:type="auto"/>
            <w:shd w:val="clear" w:color="auto" w:fill="auto"/>
          </w:tcPr>
          <w:p w14:paraId="5DD9D048" w14:textId="77777777" w:rsidR="00FB42CA" w:rsidRPr="008E399A" w:rsidRDefault="00FB42CA" w:rsidP="00F208D4">
            <w:pPr>
              <w:ind w:right="-1"/>
              <w:rPr>
                <w:rFonts w:cs="Arial"/>
                <w:bCs/>
                <w:lang w:val="es-MX"/>
              </w:rPr>
            </w:pPr>
            <w:r w:rsidRPr="008E399A">
              <w:rPr>
                <w:rFonts w:cs="Arial"/>
                <w:bCs/>
                <w:lang w:val="es-MX"/>
              </w:rPr>
              <w:t>Puntaje obtenido criterio 1</w:t>
            </w:r>
          </w:p>
        </w:tc>
        <w:tc>
          <w:tcPr>
            <w:tcW w:w="0" w:type="auto"/>
            <w:shd w:val="clear" w:color="auto" w:fill="auto"/>
          </w:tcPr>
          <w:p w14:paraId="08184C5A" w14:textId="77777777" w:rsidR="00FB42CA" w:rsidRPr="008E399A" w:rsidRDefault="00FB42CA" w:rsidP="00F208D4">
            <w:pPr>
              <w:ind w:right="-1"/>
              <w:rPr>
                <w:rFonts w:cs="Arial"/>
                <w:bCs/>
                <w:lang w:val="es-MX"/>
              </w:rPr>
            </w:pPr>
            <w:r w:rsidRPr="008E399A">
              <w:rPr>
                <w:rFonts w:cs="Arial"/>
                <w:bCs/>
                <w:lang w:val="es-MX"/>
              </w:rPr>
              <w:t>50</w:t>
            </w:r>
          </w:p>
        </w:tc>
      </w:tr>
      <w:tr w:rsidR="00FB42CA" w:rsidRPr="008E399A" w14:paraId="090EB6B3" w14:textId="77777777" w:rsidTr="00F208D4">
        <w:tc>
          <w:tcPr>
            <w:tcW w:w="0" w:type="auto"/>
            <w:shd w:val="clear" w:color="auto" w:fill="auto"/>
          </w:tcPr>
          <w:p w14:paraId="54DE118E" w14:textId="77777777" w:rsidR="00FB42CA" w:rsidRPr="008E399A" w:rsidRDefault="00FB42CA" w:rsidP="00F208D4">
            <w:pPr>
              <w:ind w:right="-1"/>
              <w:rPr>
                <w:rFonts w:cs="Arial"/>
                <w:bCs/>
                <w:lang w:val="es-MX"/>
              </w:rPr>
            </w:pPr>
            <w:r w:rsidRPr="008E399A">
              <w:rPr>
                <w:rFonts w:cs="Arial"/>
                <w:bCs/>
                <w:lang w:val="es-MX"/>
              </w:rPr>
              <w:lastRenderedPageBreak/>
              <w:t>Experiencia adicional de perfil</w:t>
            </w:r>
          </w:p>
        </w:tc>
        <w:tc>
          <w:tcPr>
            <w:tcW w:w="0" w:type="auto"/>
            <w:shd w:val="clear" w:color="auto" w:fill="auto"/>
          </w:tcPr>
          <w:p w14:paraId="6654497A" w14:textId="77777777" w:rsidR="00FB42CA" w:rsidRPr="008E399A" w:rsidRDefault="00FB42CA" w:rsidP="00F208D4">
            <w:pPr>
              <w:ind w:right="-1"/>
              <w:rPr>
                <w:rFonts w:cs="Arial"/>
                <w:bCs/>
                <w:lang w:val="es-MX"/>
              </w:rPr>
            </w:pPr>
            <w:r w:rsidRPr="008E399A">
              <w:rPr>
                <w:rFonts w:cs="Arial"/>
                <w:bCs/>
                <w:lang w:val="es-MX"/>
              </w:rPr>
              <w:t>Contar con una experiencia de dos (2) años (adicional la mínima habilitante) en cargo del director, coordinador, gerente, o haber sido asesor en temas de contratación estatal o interventoría, en empresas de servicios públicos o entidades estatales.</w:t>
            </w:r>
          </w:p>
        </w:tc>
        <w:tc>
          <w:tcPr>
            <w:tcW w:w="0" w:type="auto"/>
            <w:shd w:val="clear" w:color="auto" w:fill="auto"/>
          </w:tcPr>
          <w:p w14:paraId="4A93C5CE" w14:textId="77777777" w:rsidR="00FB42CA" w:rsidRPr="008E399A" w:rsidRDefault="00FB42CA" w:rsidP="00F208D4">
            <w:pPr>
              <w:ind w:right="-1"/>
              <w:rPr>
                <w:rFonts w:cs="Arial"/>
                <w:bCs/>
                <w:lang w:val="es-MX"/>
              </w:rPr>
            </w:pPr>
          </w:p>
        </w:tc>
        <w:tc>
          <w:tcPr>
            <w:tcW w:w="0" w:type="auto"/>
            <w:shd w:val="clear" w:color="auto" w:fill="auto"/>
          </w:tcPr>
          <w:p w14:paraId="22184CAD" w14:textId="77777777" w:rsidR="00FB42CA" w:rsidRPr="008E399A" w:rsidRDefault="00FB42CA" w:rsidP="00F208D4">
            <w:pPr>
              <w:ind w:right="-1"/>
              <w:rPr>
                <w:rFonts w:cs="Arial"/>
                <w:bCs/>
                <w:lang w:val="es-MX"/>
              </w:rPr>
            </w:pPr>
          </w:p>
        </w:tc>
        <w:tc>
          <w:tcPr>
            <w:tcW w:w="0" w:type="auto"/>
            <w:shd w:val="clear" w:color="auto" w:fill="auto"/>
          </w:tcPr>
          <w:p w14:paraId="19423E59" w14:textId="77777777" w:rsidR="00FB42CA" w:rsidRPr="008E399A" w:rsidRDefault="00FB42CA" w:rsidP="00F208D4">
            <w:pPr>
              <w:ind w:right="-1"/>
              <w:rPr>
                <w:rFonts w:cs="Arial"/>
                <w:bCs/>
                <w:lang w:val="es-MX"/>
              </w:rPr>
            </w:pPr>
          </w:p>
        </w:tc>
        <w:tc>
          <w:tcPr>
            <w:tcW w:w="0" w:type="auto"/>
            <w:shd w:val="clear" w:color="auto" w:fill="auto"/>
          </w:tcPr>
          <w:p w14:paraId="1D5EAA56" w14:textId="77777777" w:rsidR="00FB42CA" w:rsidRPr="008E399A" w:rsidRDefault="00FB42CA" w:rsidP="00F208D4">
            <w:pPr>
              <w:ind w:right="-1"/>
              <w:rPr>
                <w:rFonts w:cs="Arial"/>
                <w:bCs/>
                <w:lang w:val="es-MX"/>
              </w:rPr>
            </w:pPr>
            <w:r w:rsidRPr="008E399A">
              <w:rPr>
                <w:rFonts w:cs="Arial"/>
                <w:bCs/>
                <w:lang w:val="es-MX"/>
              </w:rPr>
              <w:t>Puntaje obtenido criterio 2</w:t>
            </w:r>
          </w:p>
        </w:tc>
        <w:tc>
          <w:tcPr>
            <w:tcW w:w="0" w:type="auto"/>
            <w:shd w:val="clear" w:color="auto" w:fill="auto"/>
          </w:tcPr>
          <w:p w14:paraId="53B95C17" w14:textId="77777777" w:rsidR="00FB42CA" w:rsidRPr="008E399A" w:rsidRDefault="00FB42CA" w:rsidP="00F208D4">
            <w:pPr>
              <w:ind w:right="-1"/>
              <w:rPr>
                <w:rFonts w:cs="Arial"/>
                <w:bCs/>
                <w:lang w:val="es-MX"/>
              </w:rPr>
            </w:pPr>
            <w:r w:rsidRPr="008E399A">
              <w:rPr>
                <w:rFonts w:cs="Arial"/>
                <w:bCs/>
                <w:lang w:val="es-MX"/>
              </w:rPr>
              <w:t>0</w:t>
            </w:r>
          </w:p>
        </w:tc>
      </w:tr>
    </w:tbl>
    <w:p w14:paraId="1483AA6D" w14:textId="77777777" w:rsidR="00FB42CA" w:rsidRPr="008E399A" w:rsidRDefault="00FB42CA" w:rsidP="00FB42CA">
      <w:pPr>
        <w:ind w:right="-1"/>
        <w:rPr>
          <w:rFonts w:cs="Arial"/>
          <w:bCs/>
          <w:lang w:val="es-MX"/>
        </w:rPr>
      </w:pPr>
    </w:p>
    <w:p w14:paraId="1A2DD052" w14:textId="77777777" w:rsidR="00FB42CA" w:rsidRPr="008E399A" w:rsidRDefault="00FB42CA" w:rsidP="00FB42CA">
      <w:pPr>
        <w:ind w:right="-1"/>
        <w:rPr>
          <w:rFonts w:cs="Arial"/>
          <w:bCs/>
          <w:lang w:val="es-MX"/>
        </w:rPr>
      </w:pPr>
      <w:r w:rsidRPr="008E399A">
        <w:rPr>
          <w:rFonts w:cs="Arial"/>
          <w:bCs/>
          <w:lang w:val="es-MX"/>
        </w:rPr>
        <w:t>Establecido lo anterior, la Sala encuentra que con las certificaciones aportadas por el proponente inicialmente con su oferta se cumplió el requisito de experiencia tanto general como específica exigida para efectos de habilitar la propuesta, dado que:</w:t>
      </w:r>
    </w:p>
    <w:p w14:paraId="6A9DA085" w14:textId="77777777" w:rsidR="00FB42CA" w:rsidRPr="008E399A" w:rsidRDefault="00FB42CA" w:rsidP="00FB42CA">
      <w:pPr>
        <w:ind w:right="-1"/>
        <w:rPr>
          <w:rFonts w:cs="Arial"/>
          <w:bCs/>
          <w:lang w:val="es-MX"/>
        </w:rPr>
      </w:pPr>
    </w:p>
    <w:p w14:paraId="3C23FA24" w14:textId="77777777" w:rsidR="00FB42CA" w:rsidRPr="008E399A" w:rsidRDefault="00FB42CA" w:rsidP="00FB42CA">
      <w:pPr>
        <w:ind w:right="-1"/>
        <w:rPr>
          <w:rFonts w:cs="Arial"/>
          <w:bCs/>
          <w:lang w:val="es-MX"/>
        </w:rPr>
      </w:pPr>
      <w:r w:rsidRPr="008E399A">
        <w:rPr>
          <w:rFonts w:cs="Arial"/>
          <w:bCs/>
          <w:lang w:val="es-MX"/>
        </w:rPr>
        <w:t>Se demostró una experiencia general de cinco años durante los últimos 10 años anteriores a la apertura de la convocatoria -3 de junio de 2014-. En efecto, se acreditó un desempeño profesional como abogado de, al menos, 6 años, según certificación de Caprecom y de la Cooperativa “</w:t>
      </w:r>
      <w:r w:rsidRPr="008E399A">
        <w:rPr>
          <w:rFonts w:cs="Arial"/>
          <w:bCs/>
          <w:i/>
          <w:lang w:val="es-MX"/>
        </w:rPr>
        <w:t>Creer en lo nuestro</w:t>
      </w:r>
      <w:r w:rsidRPr="008E399A">
        <w:rPr>
          <w:rFonts w:cs="Arial"/>
          <w:bCs/>
          <w:lang w:val="es-MX"/>
        </w:rPr>
        <w:t>”.</w:t>
      </w:r>
    </w:p>
    <w:p w14:paraId="4B3FF92A" w14:textId="77777777" w:rsidR="00FB42CA" w:rsidRPr="008E399A" w:rsidRDefault="00FB42CA" w:rsidP="00FB42CA">
      <w:pPr>
        <w:ind w:right="-1"/>
        <w:rPr>
          <w:rFonts w:cs="Arial"/>
          <w:bCs/>
          <w:lang w:val="es-MX"/>
        </w:rPr>
      </w:pPr>
    </w:p>
    <w:p w14:paraId="7046A209" w14:textId="77777777" w:rsidR="00FB42CA" w:rsidRPr="008E399A" w:rsidRDefault="00FB42CA" w:rsidP="00FB42CA">
      <w:pPr>
        <w:ind w:right="-1"/>
        <w:rPr>
          <w:rFonts w:cs="Arial"/>
          <w:bCs/>
          <w:lang w:val="es-MX"/>
        </w:rPr>
      </w:pPr>
      <w:r w:rsidRPr="008E399A">
        <w:rPr>
          <w:rFonts w:cs="Arial"/>
          <w:bCs/>
          <w:lang w:val="es-MX"/>
        </w:rPr>
        <w:t>Igualmente, frente a la experiencia específica se demostró que durante ese lapso se desempeñó como asesor jurídico de entidades, ejerciendo funciones de interventoría en al menos tres contratos, como se extrae de la certificación expedida por de Cooperativa “Creer en lo nuestro” y que fungió como asesor en temas de contratación estatal en entidades públicas durante al menos dos años, de conformidad con la certificación de Colciencias y de la Agencia Nacional de Hidrocarburos.</w:t>
      </w:r>
    </w:p>
    <w:p w14:paraId="60C3350B" w14:textId="77777777" w:rsidR="00FB42CA" w:rsidRPr="008E399A" w:rsidRDefault="00FB42CA" w:rsidP="00FB42CA">
      <w:pPr>
        <w:ind w:right="-1"/>
        <w:rPr>
          <w:rFonts w:cs="Arial"/>
          <w:bCs/>
          <w:lang w:val="es-MX"/>
        </w:rPr>
      </w:pPr>
    </w:p>
    <w:p w14:paraId="3BD6D7EA" w14:textId="77777777" w:rsidR="00FB42CA" w:rsidRPr="008E399A" w:rsidRDefault="00FB42CA" w:rsidP="00FB42CA">
      <w:pPr>
        <w:ind w:right="-1"/>
        <w:rPr>
          <w:rFonts w:cs="Arial"/>
          <w:bCs/>
          <w:lang w:val="es-MX"/>
        </w:rPr>
      </w:pPr>
      <w:r w:rsidRPr="008E399A">
        <w:rPr>
          <w:rFonts w:cs="Arial"/>
          <w:bCs/>
          <w:lang w:val="es-MX"/>
        </w:rPr>
        <w:t xml:space="preserve">Al respecto, la Sala no estima de recibo el cargo de apelación según el cual no resultaba procedente aceptar la experiencia certificada por la Agencia Nacional de Hidrocarburos con el argumento de que, según el peritazgo practicado en esta instancia a petición de la demandante, el Contrato No. 106 del 27 de octubre de 2009, cuyo objeto consistió en apoyar a la ANH en la estructuración, ejecución, control y seguimiento de sus proyectos relacionados con estudios regionales en materia hidrocarburífera, no daba cuenta del cumplimiento de la exigencia </w:t>
      </w:r>
      <w:r w:rsidRPr="008E399A">
        <w:rPr>
          <w:rFonts w:cs="Arial"/>
          <w:bCs/>
          <w:lang w:val="es-MX"/>
        </w:rPr>
        <w:lastRenderedPageBreak/>
        <w:t xml:space="preserve">habilitante prevista en el literal b) de la casilla de experiencia específica mínima, por cuanto las labores fueron de apoyo a la estructuración, ejecución y control de proyectos de relacionados con estudios regionales en materia de hidrocarburo, lo cual no tenía que ver con interventoría o contratación estatal. </w:t>
      </w:r>
    </w:p>
    <w:p w14:paraId="3C25FB95" w14:textId="77777777" w:rsidR="00FB42CA" w:rsidRPr="008E399A" w:rsidRDefault="00FB42CA" w:rsidP="00FB42CA">
      <w:pPr>
        <w:ind w:right="-1"/>
        <w:rPr>
          <w:rFonts w:cs="Arial"/>
          <w:bCs/>
          <w:lang w:val="es-MX"/>
        </w:rPr>
      </w:pPr>
    </w:p>
    <w:p w14:paraId="18315939" w14:textId="77777777" w:rsidR="00FB42CA" w:rsidRPr="008E399A" w:rsidRDefault="00FB42CA" w:rsidP="00FB42CA">
      <w:pPr>
        <w:ind w:right="-1"/>
        <w:rPr>
          <w:rFonts w:cs="Arial"/>
        </w:rPr>
      </w:pPr>
      <w:r w:rsidRPr="008E399A">
        <w:rPr>
          <w:rFonts w:cs="Arial"/>
          <w:bCs/>
          <w:lang w:val="es-MX"/>
        </w:rPr>
        <w:t>Si bien es cierto que en el dictamen rendido por el abogado Mauricio Acero Montoya en la etapa probatoria de la primera instancia, sobre el contenido de la certificación expedida por el Agencia Nacional de Hidrocarburos, señaló que no se evidenciaba si las labores en calidad de asesor incluían temas de contratación estatal</w:t>
      </w:r>
      <w:r w:rsidRPr="008E399A">
        <w:rPr>
          <w:rStyle w:val="Refdenotaalpie"/>
          <w:rFonts w:cs="Arial"/>
          <w:bCs/>
          <w:lang w:val="es-MX"/>
        </w:rPr>
        <w:footnoteReference w:id="31"/>
      </w:r>
      <w:r w:rsidRPr="008E399A">
        <w:rPr>
          <w:rFonts w:cs="Arial"/>
          <w:bCs/>
          <w:lang w:val="es-MX"/>
        </w:rPr>
        <w:t>,</w:t>
      </w:r>
      <w:r w:rsidRPr="008E399A">
        <w:rPr>
          <w:rFonts w:cs="Arial"/>
          <w:lang w:val="es-MX"/>
        </w:rPr>
        <w:t xml:space="preserve"> c</w:t>
      </w:r>
      <w:r w:rsidRPr="008E399A">
        <w:rPr>
          <w:rFonts w:cs="Arial"/>
        </w:rPr>
        <w:t xml:space="preserve">abe precisar que, según los cánones del artículo 238 del Código General del Proceso, el dictamen pericial es un medio de prueba cuya procedencia se justifica en la necesidad de verificar los hechos que interesan al proceso y que requieran especiales conocimientos científicos, técnicos o artísticos. </w:t>
      </w:r>
      <w:r w:rsidRPr="008E399A">
        <w:rPr>
          <w:rFonts w:cs="Arial"/>
          <w:lang w:val="es-CO" w:eastAsia="es-CO"/>
        </w:rPr>
        <w:t xml:space="preserve">Adicionalmente, ese estatuto prescribe que serán inadmisibles </w:t>
      </w:r>
      <w:r w:rsidRPr="008E399A">
        <w:rPr>
          <w:rFonts w:cs="Arial"/>
        </w:rPr>
        <w:t>los dictámenes periciales que versen sobre puntos de derecho.</w:t>
      </w:r>
    </w:p>
    <w:p w14:paraId="3838AE3C" w14:textId="77777777" w:rsidR="00FB42CA" w:rsidRPr="008E399A" w:rsidRDefault="00FB42CA" w:rsidP="00FB42CA">
      <w:pPr>
        <w:ind w:right="-1"/>
        <w:rPr>
          <w:rFonts w:cs="Arial"/>
        </w:rPr>
      </w:pPr>
    </w:p>
    <w:p w14:paraId="7180F50F" w14:textId="77777777" w:rsidR="00FB42CA" w:rsidRPr="008E399A" w:rsidRDefault="00FB42CA" w:rsidP="00FB42CA">
      <w:pPr>
        <w:overflowPunct w:val="0"/>
        <w:autoSpaceDE w:val="0"/>
        <w:autoSpaceDN w:val="0"/>
        <w:adjustRightInd w:val="0"/>
        <w:textAlignment w:val="baseline"/>
        <w:rPr>
          <w:rFonts w:cs="Arial"/>
        </w:rPr>
      </w:pPr>
      <w:r w:rsidRPr="008E399A">
        <w:rPr>
          <w:rFonts w:cs="Arial"/>
        </w:rPr>
        <w:t>En esas circunstancias, su práctica resultaba improcedente para demostrar y menos valorar aspectos jurídicos, tales como la determinación de si ciertas actividades se encuentran o no vinculadas con la actividad contractual del Estado o con el objeto de la tipología de interventoría, en la medida en que, por tratarse de un asunto de derecho, en manera alguna las conclusiones que en desarrollo del mismo se obtuvieran en relación con esa materia, podrían desplazar el criterio jurídico que con base en las probanzas del proceso correspondiera adoptar al juez de la causa. Dicho en otras palabras, la Sala considera que no concernía al peritazgo entrar a definir si la experiencia certificada se asociaba a la contratación estatal o actividades propias de un contrato de interventoría, pues ese era un aspecto de derecho cuya determinación corresponde a la esfera de competencia del juez de la causa.</w:t>
      </w:r>
    </w:p>
    <w:p w14:paraId="7B46224D" w14:textId="77777777" w:rsidR="00FB42CA" w:rsidRPr="008E399A" w:rsidRDefault="00FB42CA" w:rsidP="00FB42CA">
      <w:pPr>
        <w:ind w:right="-1"/>
        <w:rPr>
          <w:rFonts w:cs="Arial"/>
          <w:bCs/>
        </w:rPr>
      </w:pPr>
    </w:p>
    <w:p w14:paraId="4C9EECDE" w14:textId="77777777" w:rsidR="00FB42CA" w:rsidRPr="008E399A" w:rsidRDefault="00FB42CA" w:rsidP="00FB42CA">
      <w:pPr>
        <w:ind w:right="-1"/>
        <w:rPr>
          <w:rFonts w:cs="Arial"/>
          <w:bCs/>
          <w:lang w:val="es-MX"/>
        </w:rPr>
      </w:pPr>
      <w:r w:rsidRPr="008E399A">
        <w:rPr>
          <w:rFonts w:cs="Arial"/>
          <w:bCs/>
          <w:lang w:val="es-MX"/>
        </w:rPr>
        <w:t>En segundo lugar, la Sala encuentra que del contenido de la certificación emanada de la Agencia Nacional de Hidrocarburos es propio colegir que la experiencia que allí se hace constar resulta ajustada a aquella solicitada en el literal b) del recuadro del factor habilitante, en la cual se exigió “</w:t>
      </w:r>
      <w:r w:rsidRPr="008E399A">
        <w:rPr>
          <w:rFonts w:cs="Arial"/>
          <w:bCs/>
          <w:i/>
          <w:lang w:val="es-MX"/>
        </w:rPr>
        <w:t xml:space="preserve">haber ejercido cargos de director, coordinador o gerente </w:t>
      </w:r>
      <w:r w:rsidRPr="008E399A">
        <w:rPr>
          <w:rFonts w:cs="Arial"/>
          <w:bCs/>
          <w:i/>
          <w:u w:val="single"/>
          <w:lang w:val="es-MX"/>
        </w:rPr>
        <w:t xml:space="preserve">o haber sido asesor en temas de contratación estatal </w:t>
      </w:r>
      <w:r w:rsidRPr="008E399A">
        <w:rPr>
          <w:rFonts w:cs="Arial"/>
          <w:bCs/>
          <w:i/>
          <w:lang w:val="es-MX"/>
        </w:rPr>
        <w:t xml:space="preserve">o interventoría </w:t>
      </w:r>
      <w:r w:rsidRPr="008E399A">
        <w:rPr>
          <w:rFonts w:cs="Arial"/>
          <w:bCs/>
          <w:i/>
          <w:u w:val="single"/>
          <w:lang w:val="es-MX"/>
        </w:rPr>
        <w:t>en</w:t>
      </w:r>
      <w:r w:rsidRPr="008E399A">
        <w:rPr>
          <w:rFonts w:cs="Arial"/>
          <w:bCs/>
          <w:i/>
          <w:lang w:val="es-MX"/>
        </w:rPr>
        <w:t xml:space="preserve"> empresas de servicios públicos o </w:t>
      </w:r>
      <w:r w:rsidRPr="008E399A">
        <w:rPr>
          <w:rFonts w:cs="Arial"/>
          <w:bCs/>
          <w:i/>
          <w:u w:val="single"/>
          <w:lang w:val="es-MX"/>
        </w:rPr>
        <w:t>entidades estatales por un período mínimo de dos años</w:t>
      </w:r>
      <w:r w:rsidRPr="008E399A">
        <w:rPr>
          <w:rFonts w:cs="Arial"/>
          <w:bCs/>
          <w:i/>
          <w:lang w:val="es-MX"/>
        </w:rPr>
        <w:t>”</w:t>
      </w:r>
      <w:r w:rsidRPr="008E399A">
        <w:rPr>
          <w:rFonts w:cs="Arial"/>
          <w:bCs/>
          <w:lang w:val="es-MX"/>
        </w:rPr>
        <w:t>.</w:t>
      </w:r>
    </w:p>
    <w:p w14:paraId="07F1D519" w14:textId="77777777" w:rsidR="00FB42CA" w:rsidRPr="008E399A" w:rsidRDefault="00FB42CA" w:rsidP="00FB42CA">
      <w:pPr>
        <w:ind w:right="-1"/>
        <w:rPr>
          <w:rFonts w:cs="Arial"/>
          <w:bCs/>
          <w:lang w:val="es-MX"/>
        </w:rPr>
      </w:pPr>
    </w:p>
    <w:p w14:paraId="6388C864" w14:textId="77777777" w:rsidR="00FB42CA" w:rsidRPr="008E399A" w:rsidRDefault="00FB42CA" w:rsidP="00FB42CA">
      <w:pPr>
        <w:ind w:right="-1"/>
        <w:rPr>
          <w:rFonts w:cs="Arial"/>
          <w:bCs/>
          <w:lang w:val="es-MX"/>
        </w:rPr>
      </w:pPr>
      <w:r w:rsidRPr="008E399A">
        <w:rPr>
          <w:rFonts w:cs="Arial"/>
          <w:bCs/>
          <w:lang w:val="es-MX"/>
        </w:rPr>
        <w:t xml:space="preserve">Se aprecia en el texto de la constancia en comento que los servicios prestados por el abogado Julián Frabizzio Huérfano se orientaron a </w:t>
      </w:r>
      <w:r w:rsidRPr="008E399A">
        <w:rPr>
          <w:rFonts w:cs="Arial"/>
          <w:bCs/>
          <w:u w:val="single"/>
          <w:lang w:val="es-MX"/>
        </w:rPr>
        <w:t>apoyar</w:t>
      </w:r>
      <w:r w:rsidRPr="008E399A">
        <w:rPr>
          <w:rFonts w:cs="Arial"/>
          <w:bCs/>
          <w:lang w:val="es-MX"/>
        </w:rPr>
        <w:t xml:space="preserve"> a la Agencia Nacional de Hidrocarburos en la </w:t>
      </w:r>
      <w:r w:rsidRPr="008E399A">
        <w:rPr>
          <w:rFonts w:cs="Arial"/>
          <w:bCs/>
          <w:u w:val="single"/>
          <w:lang w:val="es-MX"/>
        </w:rPr>
        <w:t>estructuración, ejecución, control y seguimiento de sus proyectos</w:t>
      </w:r>
      <w:r w:rsidRPr="008E399A">
        <w:rPr>
          <w:rFonts w:cs="Arial"/>
          <w:bCs/>
          <w:lang w:val="es-MX"/>
        </w:rPr>
        <w:t xml:space="preserve"> relacionados con estudios regionales en materia hidrocarburífera. </w:t>
      </w:r>
    </w:p>
    <w:p w14:paraId="117C99E5" w14:textId="77777777" w:rsidR="00FB42CA" w:rsidRPr="008E399A" w:rsidRDefault="00FB42CA" w:rsidP="00FB42CA">
      <w:pPr>
        <w:ind w:right="-1"/>
        <w:rPr>
          <w:rFonts w:cs="Arial"/>
          <w:bCs/>
          <w:lang w:val="es-MX"/>
        </w:rPr>
      </w:pPr>
    </w:p>
    <w:p w14:paraId="74289971" w14:textId="77777777" w:rsidR="00FB42CA" w:rsidRPr="008E399A" w:rsidRDefault="00FB42CA" w:rsidP="00FB42CA">
      <w:pPr>
        <w:ind w:right="-1"/>
        <w:rPr>
          <w:rFonts w:cs="Arial"/>
          <w:bCs/>
          <w:lang w:val="es-MX"/>
        </w:rPr>
      </w:pPr>
      <w:r w:rsidRPr="008E399A">
        <w:rPr>
          <w:rFonts w:cs="Arial"/>
          <w:bCs/>
          <w:lang w:val="es-MX"/>
        </w:rPr>
        <w:t>Para la Sala no resulta alejado del principio de selección objetiva o de aquel que impone la prevalencia de la sustancia sobre la forma admitir la interpretación según la cual dichas funciones de “</w:t>
      </w:r>
      <w:r w:rsidRPr="008E399A">
        <w:rPr>
          <w:rFonts w:cs="Arial"/>
          <w:bCs/>
          <w:i/>
          <w:lang w:val="es-MX"/>
        </w:rPr>
        <w:t>apoyo</w:t>
      </w:r>
      <w:r w:rsidRPr="008E399A">
        <w:rPr>
          <w:rFonts w:cs="Arial"/>
          <w:bCs/>
          <w:lang w:val="es-MX"/>
        </w:rPr>
        <w:t xml:space="preserve">” podían equivaler a una verdadera asesoría o labor orientadora -como la exigida en el pliego-, la cual, según se certificó por la ANH, recaía sobre los proyectos adelantados por esa agencia en desarrollo de su cometido misional vinculado a la exploración y explotación de hidrocarburos. </w:t>
      </w:r>
    </w:p>
    <w:p w14:paraId="5493672E" w14:textId="77777777" w:rsidR="00FB42CA" w:rsidRPr="008E399A" w:rsidRDefault="00FB42CA" w:rsidP="00FB42CA">
      <w:pPr>
        <w:ind w:right="-1"/>
        <w:rPr>
          <w:rFonts w:cs="Arial"/>
          <w:bCs/>
          <w:lang w:val="es-MX"/>
        </w:rPr>
      </w:pPr>
    </w:p>
    <w:p w14:paraId="35EA358A" w14:textId="77777777" w:rsidR="00FB42CA" w:rsidRPr="008E399A" w:rsidRDefault="00FB42CA" w:rsidP="00FB42CA">
      <w:pPr>
        <w:pStyle w:val="Textodebloque1"/>
        <w:ind w:left="0" w:right="0" w:firstLine="0"/>
        <w:rPr>
          <w:rFonts w:ascii="Arial" w:hAnsi="Arial"/>
          <w:sz w:val="24"/>
        </w:rPr>
      </w:pPr>
      <w:r w:rsidRPr="008E399A">
        <w:rPr>
          <w:rFonts w:ascii="Arial" w:hAnsi="Arial"/>
          <w:bCs/>
          <w:sz w:val="24"/>
          <w:lang w:val="es-MX"/>
        </w:rPr>
        <w:t xml:space="preserve">Concatenado con lo anterior, se tiene que, </w:t>
      </w:r>
      <w:r w:rsidRPr="008E399A">
        <w:rPr>
          <w:rFonts w:ascii="Arial" w:hAnsi="Arial"/>
          <w:sz w:val="24"/>
        </w:rPr>
        <w:t xml:space="preserve">a partir de la vigencia del Decreto 1760 de 2003, la administración de los recursos hidrocarburíferos del Estado, </w:t>
      </w:r>
      <w:r w:rsidRPr="008E399A">
        <w:rPr>
          <w:rFonts w:ascii="Arial" w:hAnsi="Arial"/>
          <w:sz w:val="24"/>
          <w:u w:val="single"/>
        </w:rPr>
        <w:t>así como la suscripción de los contratos de exploración y explotación del petróleo con los particulares interesados en realizar dichas actividades se trasladó a la Agencia Nacional de Hidrocarburos</w:t>
      </w:r>
      <w:r w:rsidRPr="008E399A">
        <w:rPr>
          <w:rFonts w:ascii="Arial" w:hAnsi="Arial"/>
          <w:sz w:val="24"/>
        </w:rPr>
        <w:t>. En ese contexto, con arreglo a lo dispuesto en la mencionada normativa correspondía a la ANH ejercer, entre otras, las siguientes funciones: i) administrar las áreas hidrocarburíferas de la Nación y asignarlas para su exploración y explotación; ii) evaluar el potencial hidrocarburífero del país y iii) diseñar, promover, negociar, celebrar, hacer seguimiento y administrar los nuevos contratos de exploración y explotación de hidrocarburos de propiedad de la Nación, en los términos del artículo 76 de la Ley 80 de 1993 y las normas que la sustituyan, modifiquen o adicionen.</w:t>
      </w:r>
    </w:p>
    <w:p w14:paraId="7514C333" w14:textId="77777777" w:rsidR="00FB42CA" w:rsidRPr="008E399A" w:rsidRDefault="00FB42CA" w:rsidP="00FB42CA">
      <w:pPr>
        <w:ind w:right="-1"/>
        <w:rPr>
          <w:rFonts w:cs="Arial"/>
          <w:bCs/>
          <w:lang w:val="es-MX"/>
        </w:rPr>
      </w:pPr>
    </w:p>
    <w:p w14:paraId="38917416" w14:textId="77777777" w:rsidR="00FB42CA" w:rsidRPr="008E399A" w:rsidRDefault="00FB42CA" w:rsidP="00FB42CA">
      <w:pPr>
        <w:ind w:right="-1"/>
        <w:rPr>
          <w:rFonts w:cs="Arial"/>
          <w:bCs/>
          <w:lang w:val="es-MX"/>
        </w:rPr>
      </w:pPr>
      <w:r w:rsidRPr="008E399A">
        <w:rPr>
          <w:rFonts w:cs="Arial"/>
          <w:bCs/>
          <w:lang w:val="es-MX"/>
        </w:rPr>
        <w:t>Lo anterior permite hallar la relación existente entre la Agencia Nacional de Hidrocarburos, cuya naturaleza corresponde a la de una unidad administrativa especial adscrita al Ministerio Minas y Energía y, que por contera, hace parte de la estructura del Estado y las funciones esenciales relacionadas con la contratación estatal que la misma en materia de hidrocarburos, a través de su oficina jurídica y de sus funcionarios y asesores, ejerce, la cual, no solo abarcaba la extracción y procesamiento del recurso natural sino todas las actividades preparatorias  y conexas encaminadas a ese objetivo.</w:t>
      </w:r>
    </w:p>
    <w:p w14:paraId="3F1F53DF" w14:textId="77777777" w:rsidR="00FB42CA" w:rsidRPr="008E399A" w:rsidRDefault="00FB42CA" w:rsidP="00FB42CA">
      <w:pPr>
        <w:ind w:right="-1"/>
        <w:rPr>
          <w:rFonts w:cs="Arial"/>
          <w:bCs/>
          <w:lang w:val="es-MX"/>
        </w:rPr>
      </w:pPr>
      <w:r w:rsidRPr="008E399A">
        <w:rPr>
          <w:rFonts w:cs="Arial"/>
          <w:bCs/>
          <w:lang w:val="es-MX"/>
        </w:rPr>
        <w:t xml:space="preserve"> </w:t>
      </w:r>
    </w:p>
    <w:p w14:paraId="2FE170B9" w14:textId="77777777" w:rsidR="00FB42CA" w:rsidRPr="008E399A" w:rsidRDefault="00FB42CA" w:rsidP="00FB42CA">
      <w:pPr>
        <w:ind w:right="-1"/>
        <w:rPr>
          <w:rFonts w:cs="Arial"/>
          <w:bCs/>
          <w:lang w:val="es-MX"/>
        </w:rPr>
      </w:pPr>
      <w:r w:rsidRPr="008E399A">
        <w:rPr>
          <w:rFonts w:cs="Arial"/>
          <w:bCs/>
          <w:lang w:val="es-MX"/>
        </w:rPr>
        <w:t xml:space="preserve">En esa medida, la Sala no encuentra ajustado el pedimento del censor encaminado a cuestionar la habilitación de la propuesta del consorcio Interventoría Concesión </w:t>
      </w:r>
      <w:r w:rsidRPr="008E399A">
        <w:rPr>
          <w:rFonts w:cs="Arial"/>
          <w:bCs/>
          <w:lang w:val="es-MX"/>
        </w:rPr>
        <w:lastRenderedPageBreak/>
        <w:t xml:space="preserve">TV relacionada con la experiencia mínima específica del asesor jurídico presentado, pues, según se explicó, los documentos acompañados a su propuesta resultaron idóneos y suficientes para ese cometido. </w:t>
      </w:r>
    </w:p>
    <w:p w14:paraId="76AE3375" w14:textId="77777777" w:rsidR="00FB42CA" w:rsidRPr="008E399A" w:rsidRDefault="00FB42CA" w:rsidP="00FB42CA">
      <w:pPr>
        <w:ind w:right="-1"/>
        <w:rPr>
          <w:rFonts w:cs="Arial"/>
          <w:bCs/>
          <w:lang w:val="es-MX"/>
        </w:rPr>
      </w:pPr>
    </w:p>
    <w:p w14:paraId="13F90FEF" w14:textId="77777777" w:rsidR="00FB42CA" w:rsidRDefault="00FB42CA" w:rsidP="00FB42CA">
      <w:pPr>
        <w:ind w:right="-1"/>
        <w:rPr>
          <w:rFonts w:cs="Arial"/>
          <w:bCs/>
          <w:lang w:val="es-MX"/>
        </w:rPr>
      </w:pPr>
      <w:r w:rsidRPr="008E399A">
        <w:rPr>
          <w:rFonts w:cs="Arial"/>
          <w:bCs/>
          <w:lang w:val="es-MX"/>
        </w:rPr>
        <w:t xml:space="preserve">Adicionalmente, frente a la presentación de documentos posteriores por parte del consorcio Interventoría Concesión TV alusivos a la experiencia del asesor jurídico ofrecido, la Sala observa que los mismos no fueron tenidos en cuenta por la ANTV para su habilitación y menos aún para otorgarle puntaje; se reitera que este aspecto no fue merecedor de puntaje. </w:t>
      </w:r>
    </w:p>
    <w:p w14:paraId="54E50430" w14:textId="77777777" w:rsidR="00FB42CA" w:rsidRPr="008E399A" w:rsidRDefault="00FB42CA" w:rsidP="00FB42CA">
      <w:pPr>
        <w:ind w:right="-1"/>
        <w:rPr>
          <w:rFonts w:cs="Arial"/>
          <w:bCs/>
          <w:lang w:val="es-MX"/>
        </w:rPr>
      </w:pPr>
    </w:p>
    <w:p w14:paraId="70DE8066" w14:textId="77777777" w:rsidR="00FB42CA" w:rsidRPr="008E399A" w:rsidRDefault="00FB42CA" w:rsidP="00FB42CA">
      <w:pPr>
        <w:ind w:right="-1"/>
        <w:rPr>
          <w:rFonts w:cs="Arial"/>
          <w:bCs/>
          <w:lang w:val="es-MX"/>
        </w:rPr>
      </w:pPr>
      <w:r w:rsidRPr="008E399A">
        <w:rPr>
          <w:rFonts w:cs="Arial"/>
          <w:bCs/>
          <w:lang w:val="es-MX"/>
        </w:rPr>
        <w:t>Con sujeción a las consideraciones expuestas, el cargo de la apelación analizado no tiene vocación de prosperidad.</w:t>
      </w:r>
    </w:p>
    <w:p w14:paraId="22F0B687" w14:textId="77777777" w:rsidR="00FB42CA" w:rsidRPr="008E399A" w:rsidRDefault="00FB42CA" w:rsidP="00FB42CA">
      <w:pPr>
        <w:ind w:right="-1"/>
        <w:rPr>
          <w:rFonts w:cs="Arial"/>
          <w:bCs/>
          <w:lang w:val="es-MX"/>
        </w:rPr>
      </w:pPr>
    </w:p>
    <w:p w14:paraId="07971B0F" w14:textId="77777777" w:rsidR="00FB42CA" w:rsidRPr="008E399A" w:rsidRDefault="00FB42CA" w:rsidP="00FB42CA">
      <w:pPr>
        <w:ind w:right="-1"/>
        <w:rPr>
          <w:rFonts w:cs="Arial"/>
          <w:b/>
          <w:bCs/>
          <w:lang w:val="es-MX"/>
        </w:rPr>
      </w:pPr>
      <w:r w:rsidRPr="008E399A">
        <w:rPr>
          <w:rFonts w:cs="Arial"/>
          <w:b/>
          <w:bCs/>
          <w:lang w:val="es-MX"/>
        </w:rPr>
        <w:t>5.4. La validez de la resolución de adjudicación por no desvirtuarse que era la propuesta del consorcio Interventoría Concesión TV era la mejor oferta</w:t>
      </w:r>
    </w:p>
    <w:p w14:paraId="4AF5C2E6" w14:textId="77777777" w:rsidR="00FB42CA" w:rsidRPr="008E399A" w:rsidRDefault="00FB42CA" w:rsidP="00FB42CA">
      <w:pPr>
        <w:ind w:right="-1"/>
        <w:rPr>
          <w:rFonts w:cs="Arial"/>
        </w:rPr>
      </w:pPr>
    </w:p>
    <w:p w14:paraId="5142D116" w14:textId="77777777" w:rsidR="00FB42CA" w:rsidRPr="008E399A" w:rsidRDefault="00FB42CA" w:rsidP="00FB42CA">
      <w:pPr>
        <w:ind w:right="-1"/>
        <w:rPr>
          <w:rFonts w:cs="Arial"/>
        </w:rPr>
      </w:pPr>
      <w:r w:rsidRPr="008E399A">
        <w:rPr>
          <w:rFonts w:cs="Arial"/>
        </w:rPr>
        <w:t xml:space="preserve">Retomando el aspecto relacionado con la improcedencia de otorgar puntaje por el factor de experiencia del director general ofrecido por el consorcio Interventoría Concesión TV, la Sala evidencia que, incluso, en el escenario de restar el puntaje asignado por ese criterio de ponderación, su oferta, luego de ser calificada atendiendo a esa premisa, habría continuado ocupando el primer lugar en el orden de elegibilidad y, por tanto, no se habría concretado la vulneración del principio de selección objetiva, con base en las razones que pasan a explicarse. </w:t>
      </w:r>
    </w:p>
    <w:p w14:paraId="0B5C298A" w14:textId="77777777" w:rsidR="00FB42CA" w:rsidRPr="008E399A" w:rsidRDefault="00FB42CA" w:rsidP="00FB42CA">
      <w:pPr>
        <w:ind w:right="-1"/>
        <w:rPr>
          <w:rFonts w:cs="Arial"/>
        </w:rPr>
      </w:pPr>
    </w:p>
    <w:p w14:paraId="69B23FDD" w14:textId="77777777" w:rsidR="00FB42CA" w:rsidRPr="008E399A" w:rsidRDefault="00FB42CA" w:rsidP="00FB42CA">
      <w:pPr>
        <w:ind w:right="-1"/>
        <w:rPr>
          <w:rFonts w:cs="Arial"/>
        </w:rPr>
      </w:pPr>
      <w:r w:rsidRPr="008E399A">
        <w:rPr>
          <w:rFonts w:cs="Arial"/>
        </w:rPr>
        <w:t>De conformidad con el informe consolidado de evaluación del concurso de méritos No. 003 de 2014, la asignación de puntaje a las propuestas habilitadas obedeció al siguiente orden:</w:t>
      </w:r>
    </w:p>
    <w:p w14:paraId="7648EBFB" w14:textId="77777777" w:rsidR="00FB42CA" w:rsidRPr="008E399A" w:rsidRDefault="00FB42CA" w:rsidP="00FB42CA">
      <w:pPr>
        <w:ind w:right="-1"/>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406"/>
        <w:gridCol w:w="2090"/>
      </w:tblGrid>
      <w:tr w:rsidR="00FB42CA" w:rsidRPr="008E399A" w14:paraId="379CC7BD" w14:textId="77777777" w:rsidTr="00F208D4">
        <w:tc>
          <w:tcPr>
            <w:tcW w:w="0" w:type="auto"/>
            <w:shd w:val="clear" w:color="auto" w:fill="auto"/>
          </w:tcPr>
          <w:p w14:paraId="6691EF32" w14:textId="77777777" w:rsidR="00FB42CA" w:rsidRPr="008E399A" w:rsidRDefault="00FB42CA" w:rsidP="00F208D4">
            <w:pPr>
              <w:ind w:right="-1"/>
              <w:rPr>
                <w:rFonts w:cs="Arial"/>
              </w:rPr>
            </w:pPr>
            <w:r w:rsidRPr="008E399A">
              <w:rPr>
                <w:rFonts w:cs="Arial"/>
              </w:rPr>
              <w:t>CRITERIO</w:t>
            </w:r>
          </w:p>
        </w:tc>
        <w:tc>
          <w:tcPr>
            <w:tcW w:w="0" w:type="auto"/>
            <w:shd w:val="clear" w:color="auto" w:fill="auto"/>
          </w:tcPr>
          <w:p w14:paraId="07924A7A" w14:textId="77777777" w:rsidR="00FB42CA" w:rsidRPr="008E399A" w:rsidRDefault="00FB42CA" w:rsidP="00F208D4">
            <w:pPr>
              <w:ind w:right="-1"/>
              <w:rPr>
                <w:rFonts w:cs="Arial"/>
              </w:rPr>
            </w:pPr>
            <w:r w:rsidRPr="008E399A">
              <w:rPr>
                <w:rFonts w:cs="Arial"/>
              </w:rPr>
              <w:t>CONSORCIO INTERVENTORIA CONCESIÓN TV</w:t>
            </w:r>
          </w:p>
        </w:tc>
        <w:tc>
          <w:tcPr>
            <w:tcW w:w="0" w:type="auto"/>
            <w:shd w:val="clear" w:color="auto" w:fill="auto"/>
          </w:tcPr>
          <w:p w14:paraId="123FE0B9" w14:textId="77777777" w:rsidR="00FB42CA" w:rsidRPr="008E399A" w:rsidRDefault="00FB42CA" w:rsidP="00F208D4">
            <w:pPr>
              <w:ind w:right="-1"/>
              <w:rPr>
                <w:rFonts w:cs="Arial"/>
              </w:rPr>
            </w:pPr>
            <w:r w:rsidRPr="008E399A">
              <w:rPr>
                <w:rFonts w:cs="Arial"/>
              </w:rPr>
              <w:t xml:space="preserve">JAHV MCGREGOR S.A. </w:t>
            </w:r>
          </w:p>
        </w:tc>
      </w:tr>
      <w:tr w:rsidR="00FB42CA" w:rsidRPr="008E399A" w14:paraId="3D9A4C5E" w14:textId="77777777" w:rsidTr="00F208D4">
        <w:tc>
          <w:tcPr>
            <w:tcW w:w="0" w:type="auto"/>
            <w:shd w:val="clear" w:color="auto" w:fill="auto"/>
          </w:tcPr>
          <w:p w14:paraId="14A76FC9" w14:textId="77777777" w:rsidR="00FB42CA" w:rsidRPr="008E399A" w:rsidRDefault="00FB42CA" w:rsidP="00F208D4">
            <w:pPr>
              <w:ind w:right="-1"/>
              <w:rPr>
                <w:rFonts w:cs="Arial"/>
              </w:rPr>
            </w:pPr>
            <w:r w:rsidRPr="008E399A">
              <w:rPr>
                <w:rFonts w:cs="Arial"/>
              </w:rPr>
              <w:t xml:space="preserve">EXPERIENCIA ESPECIFICAD DEL PROPOENTE </w:t>
            </w:r>
          </w:p>
        </w:tc>
        <w:tc>
          <w:tcPr>
            <w:tcW w:w="0" w:type="auto"/>
            <w:shd w:val="clear" w:color="auto" w:fill="auto"/>
          </w:tcPr>
          <w:p w14:paraId="7678287D" w14:textId="77777777" w:rsidR="00FB42CA" w:rsidRPr="008E399A" w:rsidRDefault="00FB42CA" w:rsidP="00F208D4">
            <w:pPr>
              <w:ind w:right="-1"/>
              <w:rPr>
                <w:rFonts w:cs="Arial"/>
              </w:rPr>
            </w:pPr>
            <w:r w:rsidRPr="008E399A">
              <w:rPr>
                <w:rFonts w:cs="Arial"/>
              </w:rPr>
              <w:t>300</w:t>
            </w:r>
          </w:p>
        </w:tc>
        <w:tc>
          <w:tcPr>
            <w:tcW w:w="0" w:type="auto"/>
            <w:shd w:val="clear" w:color="auto" w:fill="auto"/>
          </w:tcPr>
          <w:p w14:paraId="7AB645A2" w14:textId="77777777" w:rsidR="00FB42CA" w:rsidRPr="008E399A" w:rsidRDefault="00FB42CA" w:rsidP="00F208D4">
            <w:pPr>
              <w:ind w:right="-1"/>
              <w:rPr>
                <w:rFonts w:cs="Arial"/>
              </w:rPr>
            </w:pPr>
            <w:r w:rsidRPr="008E399A">
              <w:rPr>
                <w:rFonts w:cs="Arial"/>
              </w:rPr>
              <w:t>300</w:t>
            </w:r>
          </w:p>
        </w:tc>
      </w:tr>
      <w:tr w:rsidR="00FB42CA" w:rsidRPr="008E399A" w14:paraId="56CCE6D7" w14:textId="77777777" w:rsidTr="00F208D4">
        <w:tc>
          <w:tcPr>
            <w:tcW w:w="0" w:type="auto"/>
            <w:shd w:val="clear" w:color="auto" w:fill="auto"/>
          </w:tcPr>
          <w:p w14:paraId="63707701" w14:textId="77777777" w:rsidR="00FB42CA" w:rsidRPr="008E399A" w:rsidRDefault="00FB42CA" w:rsidP="00F208D4">
            <w:pPr>
              <w:ind w:right="-1"/>
              <w:rPr>
                <w:rFonts w:cs="Arial"/>
              </w:rPr>
            </w:pPr>
            <w:r w:rsidRPr="008E399A">
              <w:rPr>
                <w:rFonts w:cs="Arial"/>
              </w:rPr>
              <w:lastRenderedPageBreak/>
              <w:t xml:space="preserve">FOMACION Y EXPERIENCIA EQUIPO DE TRABAJO </w:t>
            </w:r>
          </w:p>
        </w:tc>
        <w:tc>
          <w:tcPr>
            <w:tcW w:w="0" w:type="auto"/>
            <w:shd w:val="clear" w:color="auto" w:fill="auto"/>
          </w:tcPr>
          <w:p w14:paraId="6C925ECA" w14:textId="77777777" w:rsidR="00FB42CA" w:rsidRPr="008E399A" w:rsidRDefault="00FB42CA" w:rsidP="00F208D4">
            <w:pPr>
              <w:ind w:right="-1"/>
              <w:rPr>
                <w:rFonts w:cs="Arial"/>
              </w:rPr>
            </w:pPr>
            <w:r w:rsidRPr="008E399A">
              <w:rPr>
                <w:rFonts w:cs="Arial"/>
              </w:rPr>
              <w:t>410</w:t>
            </w:r>
          </w:p>
        </w:tc>
        <w:tc>
          <w:tcPr>
            <w:tcW w:w="0" w:type="auto"/>
            <w:shd w:val="clear" w:color="auto" w:fill="auto"/>
          </w:tcPr>
          <w:p w14:paraId="464B6E22" w14:textId="77777777" w:rsidR="00FB42CA" w:rsidRPr="008E399A" w:rsidRDefault="00FB42CA" w:rsidP="00F208D4">
            <w:pPr>
              <w:ind w:right="-1"/>
              <w:rPr>
                <w:rFonts w:cs="Arial"/>
              </w:rPr>
            </w:pPr>
            <w:r w:rsidRPr="008E399A">
              <w:rPr>
                <w:rFonts w:cs="Arial"/>
              </w:rPr>
              <w:t>235</w:t>
            </w:r>
          </w:p>
        </w:tc>
      </w:tr>
      <w:tr w:rsidR="00FB42CA" w:rsidRPr="008E399A" w14:paraId="2E5A7110" w14:textId="77777777" w:rsidTr="00F208D4">
        <w:tc>
          <w:tcPr>
            <w:tcW w:w="0" w:type="auto"/>
            <w:shd w:val="clear" w:color="auto" w:fill="auto"/>
          </w:tcPr>
          <w:p w14:paraId="0DC0B3CE" w14:textId="77777777" w:rsidR="00FB42CA" w:rsidRPr="008E399A" w:rsidRDefault="00FB42CA" w:rsidP="00F208D4">
            <w:pPr>
              <w:ind w:right="-1"/>
              <w:rPr>
                <w:rFonts w:cs="Arial"/>
              </w:rPr>
            </w:pPr>
            <w:r w:rsidRPr="008E399A">
              <w:rPr>
                <w:rFonts w:cs="Arial"/>
              </w:rPr>
              <w:t xml:space="preserve">APOYO A LA INDUSTRIA NACIONAL </w:t>
            </w:r>
          </w:p>
        </w:tc>
        <w:tc>
          <w:tcPr>
            <w:tcW w:w="0" w:type="auto"/>
            <w:shd w:val="clear" w:color="auto" w:fill="auto"/>
          </w:tcPr>
          <w:p w14:paraId="34BE9651" w14:textId="77777777" w:rsidR="00FB42CA" w:rsidRPr="008E399A" w:rsidRDefault="00FB42CA" w:rsidP="00F208D4">
            <w:pPr>
              <w:ind w:right="-1"/>
              <w:rPr>
                <w:rFonts w:cs="Arial"/>
              </w:rPr>
            </w:pPr>
            <w:r w:rsidRPr="008E399A">
              <w:rPr>
                <w:rFonts w:cs="Arial"/>
              </w:rPr>
              <w:t>100</w:t>
            </w:r>
          </w:p>
        </w:tc>
        <w:tc>
          <w:tcPr>
            <w:tcW w:w="0" w:type="auto"/>
            <w:shd w:val="clear" w:color="auto" w:fill="auto"/>
          </w:tcPr>
          <w:p w14:paraId="0E9968E9" w14:textId="77777777" w:rsidR="00FB42CA" w:rsidRPr="008E399A" w:rsidRDefault="00FB42CA" w:rsidP="00F208D4">
            <w:pPr>
              <w:ind w:right="-1"/>
              <w:rPr>
                <w:rFonts w:cs="Arial"/>
              </w:rPr>
            </w:pPr>
            <w:r w:rsidRPr="008E399A">
              <w:rPr>
                <w:rFonts w:cs="Arial"/>
              </w:rPr>
              <w:t>100</w:t>
            </w:r>
          </w:p>
        </w:tc>
      </w:tr>
      <w:tr w:rsidR="00FB42CA" w:rsidRPr="008E399A" w14:paraId="5A52FAE1" w14:textId="77777777" w:rsidTr="00F208D4">
        <w:tc>
          <w:tcPr>
            <w:tcW w:w="0" w:type="auto"/>
            <w:shd w:val="clear" w:color="auto" w:fill="auto"/>
          </w:tcPr>
          <w:p w14:paraId="5EB0320D" w14:textId="77777777" w:rsidR="00FB42CA" w:rsidRPr="008E399A" w:rsidRDefault="00FB42CA" w:rsidP="00F208D4">
            <w:pPr>
              <w:ind w:right="-1"/>
              <w:rPr>
                <w:rFonts w:cs="Arial"/>
              </w:rPr>
            </w:pPr>
            <w:r w:rsidRPr="008E399A">
              <w:rPr>
                <w:rFonts w:cs="Arial"/>
              </w:rPr>
              <w:t xml:space="preserve">TOTAL </w:t>
            </w:r>
          </w:p>
        </w:tc>
        <w:tc>
          <w:tcPr>
            <w:tcW w:w="0" w:type="auto"/>
            <w:shd w:val="clear" w:color="auto" w:fill="auto"/>
          </w:tcPr>
          <w:p w14:paraId="287D0241" w14:textId="77777777" w:rsidR="00FB42CA" w:rsidRPr="008E399A" w:rsidRDefault="00FB42CA" w:rsidP="00F208D4">
            <w:pPr>
              <w:ind w:right="-1"/>
              <w:rPr>
                <w:rFonts w:cs="Arial"/>
              </w:rPr>
            </w:pPr>
            <w:r w:rsidRPr="008E399A">
              <w:rPr>
                <w:rFonts w:cs="Arial"/>
              </w:rPr>
              <w:t>810</w:t>
            </w:r>
          </w:p>
        </w:tc>
        <w:tc>
          <w:tcPr>
            <w:tcW w:w="0" w:type="auto"/>
            <w:shd w:val="clear" w:color="auto" w:fill="auto"/>
          </w:tcPr>
          <w:p w14:paraId="5ECC2FCF" w14:textId="77777777" w:rsidR="00FB42CA" w:rsidRPr="008E399A" w:rsidRDefault="00FB42CA" w:rsidP="00F208D4">
            <w:pPr>
              <w:ind w:right="-1"/>
              <w:rPr>
                <w:rFonts w:cs="Arial"/>
              </w:rPr>
            </w:pPr>
            <w:r w:rsidRPr="008E399A">
              <w:rPr>
                <w:rFonts w:cs="Arial"/>
              </w:rPr>
              <w:t>635</w:t>
            </w:r>
          </w:p>
        </w:tc>
      </w:tr>
    </w:tbl>
    <w:p w14:paraId="3C6F6C0B" w14:textId="77777777" w:rsidR="00FB42CA" w:rsidRPr="008E399A" w:rsidRDefault="00FB42CA" w:rsidP="00FB42CA">
      <w:pPr>
        <w:ind w:right="-1"/>
        <w:rPr>
          <w:rFonts w:cs="Arial"/>
        </w:rPr>
      </w:pPr>
    </w:p>
    <w:p w14:paraId="1990C7D4" w14:textId="77777777" w:rsidR="00FB42CA" w:rsidRPr="008E399A" w:rsidRDefault="00FB42CA" w:rsidP="00FB42CA">
      <w:pPr>
        <w:ind w:right="-1"/>
        <w:rPr>
          <w:rFonts w:cs="Arial"/>
        </w:rPr>
      </w:pPr>
    </w:p>
    <w:p w14:paraId="624EBDB8" w14:textId="77777777" w:rsidR="00FB42CA" w:rsidRPr="008E399A" w:rsidRDefault="00FB42CA" w:rsidP="00FB42CA">
      <w:pPr>
        <w:ind w:right="-1"/>
        <w:rPr>
          <w:rFonts w:cs="Arial"/>
        </w:rPr>
      </w:pPr>
      <w:r w:rsidRPr="008E399A">
        <w:rPr>
          <w:rFonts w:cs="Arial"/>
        </w:rPr>
        <w:t xml:space="preserve">Así, al restar los 130 puntos concedidos a la experiencia del director general ofrecido por el consorcio </w:t>
      </w:r>
      <w:bookmarkStart w:id="6" w:name="_Hlk529803349"/>
      <w:r w:rsidRPr="008E399A">
        <w:rPr>
          <w:rFonts w:cs="Arial"/>
        </w:rPr>
        <w:t xml:space="preserve">Interventoría Concesión TV </w:t>
      </w:r>
      <w:bookmarkEnd w:id="6"/>
      <w:r w:rsidRPr="008E399A">
        <w:rPr>
          <w:rFonts w:cs="Arial"/>
        </w:rPr>
        <w:t>como parte de su equipo de trabajo, a razón 65 puntos correspondientes al factor de experiencia adicional en su aspecto temporal y de 65 puntos más derivados del número adicional de proyectos ejecutados, la calificación de ese proponente habría ascendido a 680 puntos.</w:t>
      </w:r>
    </w:p>
    <w:p w14:paraId="01D13468" w14:textId="77777777" w:rsidR="00FB42CA" w:rsidRPr="008E399A" w:rsidRDefault="00FB42CA" w:rsidP="00FB42CA">
      <w:pPr>
        <w:ind w:right="-1"/>
        <w:rPr>
          <w:rFonts w:cs="Arial"/>
        </w:rPr>
      </w:pPr>
    </w:p>
    <w:p w14:paraId="51D43739" w14:textId="77777777" w:rsidR="00FB42CA" w:rsidRPr="008E399A" w:rsidRDefault="00FB42CA" w:rsidP="00FB42CA">
      <w:pPr>
        <w:ind w:right="-1"/>
        <w:rPr>
          <w:rFonts w:cs="Arial"/>
        </w:rPr>
      </w:pPr>
      <w:r w:rsidRPr="008E399A">
        <w:rPr>
          <w:rFonts w:cs="Arial"/>
        </w:rPr>
        <w:t xml:space="preserve">De ahí se concluye que en el supuesto de haberse abstenido de otorgar puntaje por la experiencia del director general presentado por el consorcio Interventoría Concesión TV, el orden de elegibilidad no se habría alterado y, en esa medida, no existe vocación para anular el acto de adjudicación demandado, debido a que no se materializó un desconocimiento al principio de selección objetiva que se alega transgredido. </w:t>
      </w:r>
    </w:p>
    <w:p w14:paraId="55575D73" w14:textId="77777777" w:rsidR="00FB42CA" w:rsidRPr="008E399A" w:rsidRDefault="00FB42CA" w:rsidP="00FB42CA">
      <w:pPr>
        <w:ind w:right="-1"/>
        <w:rPr>
          <w:rFonts w:cs="Arial"/>
        </w:rPr>
      </w:pPr>
    </w:p>
    <w:p w14:paraId="13A8EA29" w14:textId="77777777" w:rsidR="00FB42CA" w:rsidRPr="008E399A" w:rsidRDefault="00FB42CA" w:rsidP="00FB42CA">
      <w:pPr>
        <w:ind w:right="-1"/>
        <w:rPr>
          <w:rFonts w:cs="Arial"/>
        </w:rPr>
      </w:pPr>
      <w:r w:rsidRPr="008E399A">
        <w:rPr>
          <w:rFonts w:cs="Arial"/>
        </w:rPr>
        <w:t xml:space="preserve">Como consecuencia, la sentencia apelada merece ser confirmada en cuanto negó las pretensiones de la demanda. </w:t>
      </w:r>
    </w:p>
    <w:p w14:paraId="522BD127" w14:textId="77777777" w:rsidR="00FB42CA" w:rsidRPr="008E399A" w:rsidRDefault="00FB42CA" w:rsidP="00FB42CA">
      <w:pPr>
        <w:ind w:right="-1"/>
        <w:rPr>
          <w:rFonts w:cs="Arial"/>
          <w:i/>
          <w:lang w:val="es-MX"/>
        </w:rPr>
      </w:pPr>
    </w:p>
    <w:p w14:paraId="7603B016" w14:textId="77777777" w:rsidR="00FB42CA" w:rsidRPr="008E399A" w:rsidRDefault="00FB42CA" w:rsidP="00FB42CA">
      <w:pPr>
        <w:overflowPunct w:val="0"/>
        <w:autoSpaceDE w:val="0"/>
        <w:autoSpaceDN w:val="0"/>
        <w:adjustRightInd w:val="0"/>
        <w:ind w:right="-58"/>
        <w:textAlignment w:val="baseline"/>
        <w:rPr>
          <w:rFonts w:cs="Arial"/>
        </w:rPr>
      </w:pPr>
      <w:r w:rsidRPr="008E399A">
        <w:rPr>
          <w:rFonts w:cs="Arial"/>
        </w:rPr>
        <w:t>En estas circunstancias, se impone despachar desfavorablemente los argumentos del recurso de apelación interpuesto por el demandante y confirmar la sentencia proferida el 22 de junio de 2016 por el Tribunal Administrativo de Cundinamarca – Sección Tercera – Subsección B.</w:t>
      </w:r>
    </w:p>
    <w:p w14:paraId="068743EA" w14:textId="77777777" w:rsidR="00FB42CA" w:rsidRPr="008E399A" w:rsidRDefault="00FB42CA" w:rsidP="00FB42CA">
      <w:pPr>
        <w:spacing w:before="100" w:beforeAutospacing="1" w:after="100" w:afterAutospacing="1"/>
        <w:rPr>
          <w:rFonts w:cs="Arial"/>
          <w:b/>
        </w:rPr>
      </w:pPr>
      <w:r w:rsidRPr="008E399A">
        <w:rPr>
          <w:rFonts w:cs="Arial"/>
          <w:b/>
        </w:rPr>
        <w:t>6.- Costas</w:t>
      </w:r>
    </w:p>
    <w:p w14:paraId="0E452EAB" w14:textId="77777777" w:rsidR="00FB42CA" w:rsidRPr="008E399A" w:rsidRDefault="00FB42CA" w:rsidP="00FB42CA">
      <w:pPr>
        <w:spacing w:before="100" w:beforeAutospacing="1" w:after="100" w:afterAutospacing="1"/>
        <w:rPr>
          <w:rFonts w:cs="Arial"/>
          <w:i/>
          <w:color w:val="000000"/>
          <w:shd w:val="clear" w:color="auto" w:fill="FFFFFF"/>
        </w:rPr>
      </w:pPr>
      <w:r w:rsidRPr="008E399A">
        <w:rPr>
          <w:rFonts w:cs="Arial"/>
          <w:color w:val="000000"/>
          <w:shd w:val="clear" w:color="auto" w:fill="FFFFFF"/>
        </w:rPr>
        <w:t xml:space="preserve">El artículo 188 </w:t>
      </w:r>
      <w:r w:rsidRPr="008E399A">
        <w:rPr>
          <w:rFonts w:cs="Arial"/>
        </w:rPr>
        <w:t xml:space="preserve">del C.P.A.C.A. </w:t>
      </w:r>
      <w:r w:rsidRPr="008E399A">
        <w:rPr>
          <w:rFonts w:cs="Arial"/>
          <w:color w:val="000000"/>
          <w:shd w:val="clear" w:color="auto" w:fill="FFFFFF"/>
        </w:rPr>
        <w:t>consagra que “</w:t>
      </w:r>
      <w:r w:rsidRPr="008E399A">
        <w:rPr>
          <w:rFonts w:cs="Arial"/>
          <w:i/>
          <w:color w:val="000000"/>
          <w:shd w:val="clear" w:color="auto" w:fill="FFFFFF"/>
        </w:rPr>
        <w:t>la sentencia dispondrá sobre la condena en costas, cuya liquidación y ejecución se regirán por las normas del Código de Procedimiento Civil”.</w:t>
      </w:r>
    </w:p>
    <w:p w14:paraId="0F1C149D" w14:textId="77777777" w:rsidR="00FB42CA" w:rsidRPr="008E399A" w:rsidRDefault="00FB42CA" w:rsidP="00FB42CA">
      <w:pPr>
        <w:numPr>
          <w:ilvl w:val="12"/>
          <w:numId w:val="0"/>
        </w:numPr>
        <w:rPr>
          <w:rFonts w:cs="Arial"/>
        </w:rPr>
      </w:pPr>
      <w:r w:rsidRPr="008E399A">
        <w:rPr>
          <w:rFonts w:cs="Arial"/>
        </w:rPr>
        <w:t>De esta manera, con independencia de la buena fe con que las partes hubieran obrado en el presente recurso, el extremo recurrente demandante habrá de ser condenado en costas en favor del demandado, por cuanto resultó vencido en juicio.</w:t>
      </w:r>
    </w:p>
    <w:p w14:paraId="434F913E" w14:textId="77777777" w:rsidR="00FB42CA" w:rsidRPr="008E399A" w:rsidRDefault="00FB42CA" w:rsidP="00FB42CA">
      <w:pPr>
        <w:numPr>
          <w:ilvl w:val="12"/>
          <w:numId w:val="0"/>
        </w:numPr>
        <w:rPr>
          <w:rFonts w:cs="Arial"/>
        </w:rPr>
      </w:pPr>
    </w:p>
    <w:p w14:paraId="5E83D8EE" w14:textId="77777777" w:rsidR="00FB42CA" w:rsidRPr="008E399A" w:rsidRDefault="00FB42CA" w:rsidP="00FB42CA">
      <w:pPr>
        <w:numPr>
          <w:ilvl w:val="12"/>
          <w:numId w:val="0"/>
        </w:numPr>
        <w:rPr>
          <w:rFonts w:cs="Arial"/>
        </w:rPr>
      </w:pPr>
      <w:r w:rsidRPr="008E399A">
        <w:rPr>
          <w:rFonts w:cs="Arial"/>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8E399A">
        <w:rPr>
          <w:rFonts w:cs="Arial"/>
          <w:i/>
        </w:rPr>
        <w:t>a quo</w:t>
      </w:r>
      <w:r w:rsidRPr="008E399A">
        <w:rPr>
          <w:rFonts w:cs="Arial"/>
        </w:rPr>
        <w:t xml:space="preserve"> deberá atender las reglas previstas en dicho precepto.</w:t>
      </w:r>
    </w:p>
    <w:p w14:paraId="03260166" w14:textId="77777777" w:rsidR="00FB42CA" w:rsidRPr="008E399A" w:rsidRDefault="00FB42CA" w:rsidP="00FB42CA">
      <w:pPr>
        <w:overflowPunct w:val="0"/>
        <w:autoSpaceDE w:val="0"/>
        <w:autoSpaceDN w:val="0"/>
        <w:adjustRightInd w:val="0"/>
        <w:textAlignment w:val="baseline"/>
        <w:rPr>
          <w:rFonts w:cs="Arial"/>
          <w:color w:val="333333"/>
          <w:shd w:val="clear" w:color="auto" w:fill="FFFFFF"/>
        </w:rPr>
      </w:pPr>
    </w:p>
    <w:p w14:paraId="64105ED9" w14:textId="77777777" w:rsidR="00FB42CA" w:rsidRPr="008E399A" w:rsidRDefault="00FB42CA" w:rsidP="00FB42CA">
      <w:pPr>
        <w:rPr>
          <w:rFonts w:cs="Arial"/>
          <w:shd w:val="clear" w:color="auto" w:fill="FFFFFF"/>
        </w:rPr>
      </w:pPr>
      <w:r w:rsidRPr="008E399A">
        <w:rPr>
          <w:rFonts w:cs="Arial"/>
          <w:shd w:val="clear" w:color="auto" w:fill="FFFFFF"/>
        </w:rPr>
        <w:t xml:space="preserve">A la luz del numeral 4 del citado artículo, para la fijación de agencias en derecho deberán aplicarse las tarifas que establezca el Consejo Superior de la Judicatura. </w:t>
      </w:r>
      <w:r w:rsidRPr="008E399A">
        <w:rPr>
          <w:rFonts w:cs="Arial"/>
        </w:rPr>
        <w:t xml:space="preserve">Como consecuencia, la Sala procede a fijar las agencias en derecho atendiendo a los parámetros que al efecto establece el Acuerdo No. PSAA16-10554 del 5 de agosto 5 de 2016, a cuyo tenor dispone que </w:t>
      </w:r>
      <w:r w:rsidRPr="008E399A">
        <w:rPr>
          <w:rFonts w:cs="Arial"/>
          <w:lang w:val="es-CO" w:eastAsia="es-CO"/>
        </w:rPr>
        <w:t xml:space="preserve">en las sentencias dictadas en procesos declarativos en segunda instancia se fijarán entre 1 a 6 </w:t>
      </w:r>
      <w:r w:rsidRPr="008E399A">
        <w:rPr>
          <w:rFonts w:cs="Arial"/>
        </w:rPr>
        <w:t>S.M.M.L.V.</w:t>
      </w:r>
      <w:r w:rsidRPr="008E399A">
        <w:rPr>
          <w:rFonts w:cs="Arial"/>
          <w:lang w:val="es-CO" w:eastAsia="es-CO"/>
        </w:rPr>
        <w:t xml:space="preserve"> </w:t>
      </w:r>
    </w:p>
    <w:p w14:paraId="63139EE5" w14:textId="77777777" w:rsidR="00FB42CA" w:rsidRPr="008E399A" w:rsidRDefault="00FB42CA" w:rsidP="00FB42CA">
      <w:pPr>
        <w:rPr>
          <w:rFonts w:cs="Arial"/>
          <w:shd w:val="clear" w:color="auto" w:fill="FFFFFF"/>
        </w:rPr>
      </w:pPr>
    </w:p>
    <w:p w14:paraId="02C3B5E6" w14:textId="77777777" w:rsidR="00FB42CA" w:rsidRPr="008E399A" w:rsidRDefault="00FB42CA" w:rsidP="00FB42CA">
      <w:pPr>
        <w:rPr>
          <w:rFonts w:cs="Arial"/>
          <w:shd w:val="clear" w:color="auto" w:fill="FFFFFF"/>
        </w:rPr>
      </w:pPr>
      <w:r w:rsidRPr="008E399A">
        <w:rPr>
          <w:rFonts w:cs="Arial"/>
          <w:shd w:val="clear" w:color="auto" w:fill="FFFFFF"/>
        </w:rPr>
        <w:t xml:space="preserve">En adición, para esos propósitos deberá atenderse la naturaleza, calidad y duración de la gestión realizada por el apoderado o la parte que litigó personalmente, la cuantía del proceso y otras circunstancias especiales, sin que pueda exceder el máximo de dichas tarifas. </w:t>
      </w:r>
    </w:p>
    <w:p w14:paraId="2925F1F4" w14:textId="77777777" w:rsidR="00FB42CA" w:rsidRPr="008E399A" w:rsidRDefault="00FB42CA" w:rsidP="00FB42CA">
      <w:pPr>
        <w:rPr>
          <w:rFonts w:cs="Arial"/>
        </w:rPr>
      </w:pPr>
    </w:p>
    <w:p w14:paraId="2FBFD65D" w14:textId="77777777" w:rsidR="00FB42CA" w:rsidRPr="008E399A" w:rsidRDefault="00FB42CA" w:rsidP="00FB42CA">
      <w:pPr>
        <w:rPr>
          <w:rFonts w:cs="Arial"/>
          <w:shd w:val="clear" w:color="auto" w:fill="FFFFFF"/>
        </w:rPr>
      </w:pPr>
      <w:r w:rsidRPr="008E399A">
        <w:rPr>
          <w:rFonts w:cs="Arial"/>
        </w:rPr>
        <w:t>Ha de tenerse en cuenta, en primer lugar, que la parte actora fundamentó la apelación en argumentos que han sido desestimados y, en segundo, que además de que la defensa adelantó gestiones de manera activa en la segunda instancia, debido a que alegó de conclusión, por cuenta de la interposición de la alzada, el proceso se prolongó por un término superior, lo que condujo a que la vigilancia procesal ejercida sobre el mismo se extendiera en el tiempo.</w:t>
      </w:r>
    </w:p>
    <w:p w14:paraId="6D8F8B85" w14:textId="77777777" w:rsidR="00FB42CA" w:rsidRPr="008E399A" w:rsidRDefault="00FB42CA" w:rsidP="00FB42CA">
      <w:pPr>
        <w:numPr>
          <w:ilvl w:val="12"/>
          <w:numId w:val="0"/>
        </w:numPr>
        <w:rPr>
          <w:rFonts w:cs="Arial"/>
          <w:lang w:val="es-CO"/>
        </w:rPr>
      </w:pPr>
    </w:p>
    <w:p w14:paraId="36E85013" w14:textId="77777777" w:rsidR="00FB42CA" w:rsidRPr="008E399A" w:rsidRDefault="00FB42CA" w:rsidP="00FB42CA">
      <w:pPr>
        <w:numPr>
          <w:ilvl w:val="12"/>
          <w:numId w:val="0"/>
        </w:numPr>
        <w:rPr>
          <w:rFonts w:cs="Arial"/>
        </w:rPr>
      </w:pPr>
      <w:r w:rsidRPr="008E399A">
        <w:rPr>
          <w:rFonts w:cs="Arial"/>
        </w:rPr>
        <w:t xml:space="preserve">Con base en lo dicho, la Sala procede a fijar tres (3) S.M.L.M.V por concepto de agencias en derecho. </w:t>
      </w:r>
    </w:p>
    <w:p w14:paraId="0954ABF8" w14:textId="77777777" w:rsidR="00FB42CA" w:rsidRPr="008E399A" w:rsidRDefault="00FB42CA" w:rsidP="00FB42CA">
      <w:pPr>
        <w:pStyle w:val="Textoindependiente3"/>
        <w:rPr>
          <w:rFonts w:cs="Arial"/>
          <w:sz w:val="24"/>
          <w:szCs w:val="24"/>
        </w:rPr>
      </w:pPr>
    </w:p>
    <w:p w14:paraId="1055EC03" w14:textId="77777777" w:rsidR="00FB42CA" w:rsidRPr="008E399A" w:rsidRDefault="00FB42CA" w:rsidP="00FB42CA">
      <w:pPr>
        <w:pStyle w:val="Textoindependiente22"/>
        <w:numPr>
          <w:ilvl w:val="12"/>
          <w:numId w:val="0"/>
        </w:numPr>
        <w:overflowPunct/>
        <w:autoSpaceDE/>
        <w:autoSpaceDN/>
        <w:adjustRightInd/>
        <w:ind w:right="-1"/>
        <w:textAlignment w:val="auto"/>
        <w:rPr>
          <w:rFonts w:cs="Arial"/>
          <w:szCs w:val="24"/>
        </w:rPr>
      </w:pPr>
      <w:r w:rsidRPr="008E399A">
        <w:rPr>
          <w:rFonts w:cs="Arial"/>
          <w:szCs w:val="24"/>
        </w:rPr>
        <w:t>En mérito de lo expuesto, el Consejo de Estado, en Sala de lo Contencioso Administrativo, Sección Tercera, Subsección A, administrando justicia en nombre de la República de Colombia y por autoridad de la ley,</w:t>
      </w:r>
    </w:p>
    <w:p w14:paraId="4B4BFB4B" w14:textId="77777777" w:rsidR="00FB42CA" w:rsidRPr="008E399A" w:rsidRDefault="00FB42CA" w:rsidP="00FB42CA">
      <w:pPr>
        <w:ind w:right="-1"/>
        <w:rPr>
          <w:rFonts w:cs="Arial"/>
        </w:rPr>
      </w:pPr>
    </w:p>
    <w:p w14:paraId="3CF43BAC" w14:textId="77777777" w:rsidR="00FB42CA" w:rsidRPr="008E399A" w:rsidRDefault="00FB42CA" w:rsidP="00FB42CA">
      <w:pPr>
        <w:pStyle w:val="Ttulo5"/>
        <w:ind w:right="-1"/>
        <w:rPr>
          <w:rFonts w:cs="Arial"/>
          <w:bCs/>
          <w:sz w:val="24"/>
          <w:szCs w:val="24"/>
        </w:rPr>
      </w:pPr>
      <w:r w:rsidRPr="008E399A">
        <w:rPr>
          <w:rFonts w:cs="Arial"/>
          <w:bCs/>
          <w:sz w:val="24"/>
          <w:szCs w:val="24"/>
        </w:rPr>
        <w:t>F A L L A</w:t>
      </w:r>
    </w:p>
    <w:p w14:paraId="00A1FDA5" w14:textId="77777777" w:rsidR="00FB42CA" w:rsidRPr="008E399A" w:rsidRDefault="00FB42CA" w:rsidP="00FB42CA">
      <w:pPr>
        <w:widowControl w:val="0"/>
        <w:autoSpaceDE w:val="0"/>
        <w:autoSpaceDN w:val="0"/>
        <w:adjustRightInd w:val="0"/>
        <w:ind w:right="-1"/>
        <w:rPr>
          <w:rFonts w:cs="Arial"/>
          <w:b/>
        </w:rPr>
      </w:pPr>
    </w:p>
    <w:p w14:paraId="618C5358" w14:textId="77777777" w:rsidR="00FB42CA" w:rsidRPr="008E399A" w:rsidRDefault="00FB42CA" w:rsidP="00FB42CA">
      <w:pPr>
        <w:pStyle w:val="Sangra2detindependiente2"/>
        <w:spacing w:line="360" w:lineRule="auto"/>
        <w:ind w:left="0" w:right="-58"/>
        <w:rPr>
          <w:rFonts w:cs="Arial"/>
          <w:szCs w:val="24"/>
        </w:rPr>
      </w:pPr>
      <w:r w:rsidRPr="008E399A">
        <w:rPr>
          <w:rFonts w:cs="Arial"/>
          <w:b/>
          <w:szCs w:val="24"/>
        </w:rPr>
        <w:t xml:space="preserve">PRIMERO.- CONFIRMAR </w:t>
      </w:r>
      <w:r w:rsidRPr="008E399A">
        <w:rPr>
          <w:rFonts w:cs="Arial"/>
          <w:szCs w:val="24"/>
        </w:rPr>
        <w:t>la</w:t>
      </w:r>
      <w:r w:rsidRPr="008E399A">
        <w:rPr>
          <w:rFonts w:cs="Arial"/>
          <w:b/>
          <w:szCs w:val="24"/>
        </w:rPr>
        <w:t xml:space="preserve"> </w:t>
      </w:r>
      <w:r w:rsidRPr="008E399A">
        <w:rPr>
          <w:rFonts w:cs="Arial"/>
          <w:szCs w:val="24"/>
          <w:lang w:val="es-CO"/>
        </w:rPr>
        <w:t>sentencia proferida el 22 de junio de 2016</w:t>
      </w:r>
      <w:r w:rsidRPr="008E399A">
        <w:rPr>
          <w:rFonts w:cs="Arial"/>
          <w:szCs w:val="24"/>
        </w:rPr>
        <w:t xml:space="preserve"> por el Tribunal Administrativo de Cundinamarca – Sección Tercera – Subsección B, </w:t>
      </w:r>
      <w:r w:rsidRPr="008E399A">
        <w:rPr>
          <w:rFonts w:cs="Arial"/>
          <w:szCs w:val="24"/>
          <w:lang w:val="es-CO"/>
        </w:rPr>
        <w:t xml:space="preserve">con fundamento en las razones advertidas en la parte considerativa de esta providencia. </w:t>
      </w:r>
    </w:p>
    <w:p w14:paraId="5F663DD8" w14:textId="77777777" w:rsidR="00FB42CA" w:rsidRPr="008E399A" w:rsidRDefault="00FB42CA" w:rsidP="00FB42CA">
      <w:pPr>
        <w:widowControl w:val="0"/>
        <w:autoSpaceDE w:val="0"/>
        <w:autoSpaceDN w:val="0"/>
        <w:adjustRightInd w:val="0"/>
        <w:ind w:right="-1"/>
        <w:rPr>
          <w:rFonts w:cs="Arial"/>
          <w:lang w:val="es-CO"/>
        </w:rPr>
      </w:pPr>
    </w:p>
    <w:p w14:paraId="705F7BD4" w14:textId="77777777" w:rsidR="00FB42CA" w:rsidRPr="008E399A" w:rsidRDefault="00FB42CA" w:rsidP="00FB42CA">
      <w:pPr>
        <w:widowControl w:val="0"/>
        <w:autoSpaceDE w:val="0"/>
        <w:autoSpaceDN w:val="0"/>
        <w:adjustRightInd w:val="0"/>
        <w:ind w:right="-1"/>
        <w:rPr>
          <w:rFonts w:cs="Arial"/>
        </w:rPr>
      </w:pPr>
      <w:r w:rsidRPr="008E399A">
        <w:rPr>
          <w:rFonts w:cs="Arial"/>
          <w:b/>
        </w:rPr>
        <w:t>SEGUNDO.- CONDENAR</w:t>
      </w:r>
      <w:r w:rsidRPr="008E399A">
        <w:rPr>
          <w:rFonts w:cs="Arial"/>
        </w:rPr>
        <w:t xml:space="preserve"> a la parte actora a pagar las costas del proceso. Como consecuencia, el Tribunal de origen deberá dar cumplimiento a lo dispuesto por el artículo 366 del Código General del Proceso. Como agencias en derecho en esta instancia, se fija la suma equivalente a tres (3) SMLMV. </w:t>
      </w:r>
    </w:p>
    <w:p w14:paraId="1A1E7798" w14:textId="77777777" w:rsidR="00FB42CA" w:rsidRPr="008E399A" w:rsidRDefault="00FB42CA" w:rsidP="00FB42CA">
      <w:pPr>
        <w:widowControl w:val="0"/>
        <w:autoSpaceDE w:val="0"/>
        <w:autoSpaceDN w:val="0"/>
        <w:adjustRightInd w:val="0"/>
        <w:ind w:right="-1"/>
        <w:rPr>
          <w:rFonts w:cs="Arial"/>
          <w:b/>
        </w:rPr>
      </w:pPr>
    </w:p>
    <w:p w14:paraId="1DDEB433" w14:textId="77777777" w:rsidR="00FB42CA" w:rsidRPr="008E399A" w:rsidRDefault="00FB42CA" w:rsidP="00FB42CA">
      <w:pPr>
        <w:widowControl w:val="0"/>
        <w:autoSpaceDE w:val="0"/>
        <w:autoSpaceDN w:val="0"/>
        <w:adjustRightInd w:val="0"/>
        <w:ind w:right="-1"/>
        <w:rPr>
          <w:rFonts w:cs="Arial"/>
        </w:rPr>
      </w:pPr>
      <w:r w:rsidRPr="008E399A">
        <w:rPr>
          <w:rFonts w:cs="Arial"/>
          <w:b/>
        </w:rPr>
        <w:t xml:space="preserve">TERCERO.- </w:t>
      </w:r>
      <w:r w:rsidRPr="008E399A">
        <w:rPr>
          <w:rFonts w:cs="Arial"/>
        </w:rPr>
        <w:t>En firme esta providencia, devuélvase el expediente al Tribunal de origen.</w:t>
      </w:r>
    </w:p>
    <w:p w14:paraId="03B3C1ED" w14:textId="77777777" w:rsidR="00FB42CA" w:rsidRPr="008E399A" w:rsidRDefault="00FB42CA" w:rsidP="00FB42CA">
      <w:pPr>
        <w:ind w:right="-1"/>
        <w:jc w:val="center"/>
        <w:rPr>
          <w:rFonts w:cs="Arial"/>
          <w:b/>
          <w:bCs/>
          <w:noProof/>
        </w:rPr>
      </w:pPr>
      <w:r w:rsidRPr="008E399A">
        <w:rPr>
          <w:rFonts w:cs="Arial"/>
          <w:b/>
          <w:bCs/>
          <w:noProof/>
        </w:rPr>
        <w:t>CÓPIESE, NOTIFÍQUESE Y CÚMPLASE</w:t>
      </w:r>
    </w:p>
    <w:p w14:paraId="222359D2" w14:textId="77777777" w:rsidR="00FB42CA" w:rsidRPr="008E399A" w:rsidRDefault="00FB42CA" w:rsidP="00FB42CA">
      <w:pPr>
        <w:spacing w:line="240" w:lineRule="auto"/>
        <w:ind w:right="-1"/>
        <w:jc w:val="center"/>
        <w:rPr>
          <w:rFonts w:cs="Arial"/>
        </w:rPr>
      </w:pPr>
    </w:p>
    <w:p w14:paraId="41399406" w14:textId="77777777" w:rsidR="00FB42CA" w:rsidRPr="008E399A" w:rsidRDefault="00FB42CA" w:rsidP="00FB42CA">
      <w:pPr>
        <w:spacing w:line="240" w:lineRule="auto"/>
        <w:ind w:right="-1"/>
        <w:rPr>
          <w:rFonts w:cs="Arial"/>
        </w:rPr>
      </w:pPr>
    </w:p>
    <w:p w14:paraId="58F06FA3" w14:textId="77777777" w:rsidR="00FB42CA" w:rsidRPr="008E399A" w:rsidRDefault="00FB42CA" w:rsidP="00FB42CA">
      <w:pPr>
        <w:widowControl w:val="0"/>
        <w:tabs>
          <w:tab w:val="center" w:pos="4394"/>
        </w:tabs>
        <w:autoSpaceDE w:val="0"/>
        <w:autoSpaceDN w:val="0"/>
        <w:adjustRightInd w:val="0"/>
        <w:ind w:right="-1"/>
        <w:rPr>
          <w:rFonts w:cs="Arial"/>
          <w:b/>
        </w:rPr>
      </w:pPr>
      <w:r w:rsidRPr="008E399A">
        <w:rPr>
          <w:rFonts w:cs="Arial"/>
          <w:b/>
          <w:lang w:val="es-CO"/>
        </w:rPr>
        <w:t xml:space="preserve">MARÍA ADRIAN MARÍN                          </w:t>
      </w:r>
      <w:r w:rsidRPr="008E399A">
        <w:rPr>
          <w:rFonts w:cs="Arial"/>
          <w:b/>
          <w:lang w:val="es-CO"/>
        </w:rPr>
        <w:tab/>
        <w:t xml:space="preserve">MARTA NUBIA VELÁSQUEZ RICO </w:t>
      </w:r>
      <w:r w:rsidRPr="008E399A">
        <w:rPr>
          <w:rFonts w:cs="Arial"/>
          <w:b/>
          <w:lang w:val="es-CO"/>
        </w:rPr>
        <w:tab/>
      </w:r>
    </w:p>
    <w:p w14:paraId="1AF7A8AB" w14:textId="77777777" w:rsidR="00FB42CA" w:rsidRPr="008E399A" w:rsidRDefault="00FB42CA" w:rsidP="00FB42CA">
      <w:pPr>
        <w:widowControl w:val="0"/>
        <w:autoSpaceDE w:val="0"/>
        <w:autoSpaceDN w:val="0"/>
        <w:adjustRightInd w:val="0"/>
        <w:ind w:right="-1"/>
        <w:jc w:val="center"/>
        <w:rPr>
          <w:rFonts w:cs="Arial"/>
          <w:b/>
        </w:rPr>
      </w:pPr>
    </w:p>
    <w:p w14:paraId="2A0E638A" w14:textId="77777777" w:rsidR="00FB42CA" w:rsidRPr="008E399A" w:rsidRDefault="00FB42CA" w:rsidP="00FB42CA">
      <w:pPr>
        <w:widowControl w:val="0"/>
        <w:autoSpaceDE w:val="0"/>
        <w:autoSpaceDN w:val="0"/>
        <w:adjustRightInd w:val="0"/>
        <w:ind w:right="-1"/>
        <w:jc w:val="center"/>
        <w:rPr>
          <w:rFonts w:cs="Arial"/>
          <w:lang w:val="es-MX"/>
        </w:rPr>
      </w:pPr>
      <w:r w:rsidRPr="008E399A">
        <w:rPr>
          <w:rFonts w:cs="Arial"/>
          <w:b/>
        </w:rPr>
        <w:t>CARLOS ALBERTO ZAMBRANO BARRERA</w:t>
      </w:r>
    </w:p>
    <w:p w14:paraId="2C6228E7" w14:textId="512A2C46" w:rsidR="00D859E5" w:rsidRPr="00FB42CA" w:rsidRDefault="00D859E5" w:rsidP="00FB42CA"/>
    <w:sectPr w:rsidR="00D859E5" w:rsidRPr="00FB42CA" w:rsidSect="008E399A">
      <w:headerReference w:type="even" r:id="rId11"/>
      <w:headerReference w:type="default" r:id="rId12"/>
      <w:footerReference w:type="even" r:id="rId13"/>
      <w:footerReference w:type="default" r:id="rId14"/>
      <w:pgSz w:w="12242" w:h="18722" w:code="5"/>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B6D6" w14:textId="77777777" w:rsidR="00AB1B11" w:rsidRDefault="00AB1B11" w:rsidP="00C85395">
      <w:r>
        <w:separator/>
      </w:r>
    </w:p>
  </w:endnote>
  <w:endnote w:type="continuationSeparator" w:id="0">
    <w:p w14:paraId="23BDE609" w14:textId="77777777" w:rsidR="00AB1B11" w:rsidRDefault="00AB1B11"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3C84" w14:textId="77777777" w:rsidR="00A267D2" w:rsidRDefault="00A267D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0773B" w14:textId="77777777" w:rsidR="00A267D2" w:rsidRDefault="00A267D2"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9E5A" w14:textId="77777777" w:rsidR="00A267D2" w:rsidRDefault="00A267D2"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BCE9" w14:textId="77777777" w:rsidR="00AB1B11" w:rsidRDefault="00AB1B11" w:rsidP="00C85395">
      <w:r>
        <w:separator/>
      </w:r>
    </w:p>
  </w:footnote>
  <w:footnote w:type="continuationSeparator" w:id="0">
    <w:p w14:paraId="44252E54" w14:textId="77777777" w:rsidR="00AB1B11" w:rsidRDefault="00AB1B11" w:rsidP="00C85395">
      <w:r>
        <w:continuationSeparator/>
      </w:r>
    </w:p>
  </w:footnote>
  <w:footnote w:id="1">
    <w:p w14:paraId="050D808D"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Folios 325 a 331 del cuaderno 2.</w:t>
      </w:r>
    </w:p>
  </w:footnote>
  <w:footnote w:id="2">
    <w:p w14:paraId="72094569"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Folios 675 a 679 del cuaderno 2. </w:t>
      </w:r>
    </w:p>
  </w:footnote>
  <w:footnote w:id="3">
    <w:p w14:paraId="68B8C314" w14:textId="77777777" w:rsidR="00FB42CA" w:rsidRPr="00036A0A" w:rsidRDefault="00FB42CA" w:rsidP="00FB42CA">
      <w:pPr>
        <w:pStyle w:val="NormalWeb"/>
        <w:spacing w:line="240" w:lineRule="auto"/>
        <w:ind w:right="-1"/>
        <w:rPr>
          <w:rFonts w:cs="Arial"/>
          <w:i/>
          <w:sz w:val="20"/>
          <w:szCs w:val="20"/>
        </w:rPr>
      </w:pPr>
      <w:r w:rsidRPr="00036A0A">
        <w:rPr>
          <w:rStyle w:val="Refdenotaalpie"/>
          <w:sz w:val="20"/>
          <w:szCs w:val="20"/>
        </w:rPr>
        <w:footnoteRef/>
      </w:r>
      <w:r w:rsidRPr="00036A0A">
        <w:rPr>
          <w:sz w:val="20"/>
          <w:szCs w:val="20"/>
        </w:rPr>
        <w:t xml:space="preserve"> </w:t>
      </w:r>
      <w:r w:rsidRPr="00036A0A">
        <w:rPr>
          <w:rFonts w:cs="Arial"/>
          <w:bCs/>
          <w:i/>
          <w:sz w:val="20"/>
          <w:szCs w:val="20"/>
        </w:rPr>
        <w:t>“Artículo 104. De la Jurisdicción de lo Contencioso Administrativo</w:t>
      </w:r>
      <w:r w:rsidRPr="00036A0A">
        <w:rPr>
          <w:rFonts w:cs="Arial"/>
          <w:b/>
          <w:bCs/>
          <w:i/>
          <w:sz w:val="20"/>
          <w:szCs w:val="20"/>
        </w:rPr>
        <w:t xml:space="preserve">. </w:t>
      </w:r>
      <w:r w:rsidRPr="00036A0A">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1320D2E0" w14:textId="77777777" w:rsidR="00FB42CA" w:rsidRPr="00036A0A" w:rsidRDefault="00FB42CA" w:rsidP="00FB42CA">
      <w:pPr>
        <w:pStyle w:val="NormalWeb"/>
        <w:spacing w:line="240" w:lineRule="auto"/>
        <w:ind w:right="-1"/>
        <w:rPr>
          <w:rFonts w:cs="Arial"/>
          <w:i/>
          <w:sz w:val="20"/>
          <w:szCs w:val="20"/>
        </w:rPr>
      </w:pPr>
      <w:r w:rsidRPr="00036A0A">
        <w:rPr>
          <w:rFonts w:cs="Arial"/>
          <w:i/>
          <w:sz w:val="20"/>
          <w:szCs w:val="20"/>
        </w:rPr>
        <w:t>“Igualmente conocerá de los siguientes procesos:</w:t>
      </w:r>
    </w:p>
    <w:p w14:paraId="6D469179" w14:textId="77777777" w:rsidR="00FB42CA" w:rsidRPr="00036A0A" w:rsidRDefault="00FB42CA" w:rsidP="00FB42CA">
      <w:pPr>
        <w:pStyle w:val="NormalWeb"/>
        <w:spacing w:line="240" w:lineRule="auto"/>
        <w:ind w:right="-1"/>
        <w:rPr>
          <w:rFonts w:cs="Arial"/>
          <w:i/>
          <w:sz w:val="20"/>
          <w:szCs w:val="20"/>
        </w:rPr>
      </w:pPr>
      <w:r w:rsidRPr="00036A0A">
        <w:rPr>
          <w:rFonts w:cs="Arial"/>
          <w:i/>
          <w:sz w:val="20"/>
          <w:szCs w:val="20"/>
        </w:rPr>
        <w:t>“(…).</w:t>
      </w:r>
    </w:p>
    <w:p w14:paraId="4747AE57" w14:textId="77777777" w:rsidR="00FB42CA" w:rsidRPr="00036A0A" w:rsidRDefault="00FB42CA" w:rsidP="00FB42CA">
      <w:pPr>
        <w:pStyle w:val="NormalWeb"/>
        <w:spacing w:line="240" w:lineRule="auto"/>
        <w:ind w:right="-1"/>
        <w:rPr>
          <w:sz w:val="20"/>
          <w:szCs w:val="20"/>
          <w:lang w:val="es-MX"/>
        </w:rPr>
      </w:pPr>
      <w:r w:rsidRPr="00036A0A">
        <w:rPr>
          <w:rFonts w:cs="Arial"/>
          <w:i/>
          <w:sz w:val="20"/>
          <w:szCs w:val="20"/>
        </w:rPr>
        <w:t>“2. Los relativos a los contratos, cualquiera que sea su régimen, en los que sea parte una entidad pública o un particular en ejercicio de funciones propias del Estado”.</w:t>
      </w:r>
    </w:p>
  </w:footnote>
  <w:footnote w:id="4">
    <w:p w14:paraId="23F8224A" w14:textId="77777777" w:rsidR="00FB42CA" w:rsidRPr="00036A0A" w:rsidRDefault="00FB42CA" w:rsidP="00FB42CA">
      <w:pPr>
        <w:spacing w:line="240" w:lineRule="auto"/>
        <w:rPr>
          <w:sz w:val="20"/>
          <w:szCs w:val="20"/>
        </w:rPr>
      </w:pPr>
      <w:r w:rsidRPr="00036A0A">
        <w:rPr>
          <w:rStyle w:val="Refdenotaalpie"/>
          <w:sz w:val="20"/>
          <w:szCs w:val="20"/>
        </w:rPr>
        <w:footnoteRef/>
      </w:r>
      <w:r w:rsidRPr="00036A0A">
        <w:rPr>
          <w:sz w:val="20"/>
          <w:szCs w:val="20"/>
        </w:rPr>
        <w:t xml:space="preserve"> Artículo 1 de la Ley 1507 de 2012. “</w:t>
      </w:r>
      <w:r w:rsidRPr="00036A0A">
        <w:rPr>
          <w:i/>
          <w:sz w:val="20"/>
          <w:szCs w:val="20"/>
        </w:rPr>
        <w:t>Créase la Autoridad Nacional de Televisión en adelante ANTV, como una Agencia Nacional Estatal de Naturaleza Especial, del Orden Nacional, con personería jurídica, autonomía administrativa, patrimonial, presupuestal y técnica, la cual formará parte del sector de las Tecnologías de la Información y las Telecomunicaciones”</w:t>
      </w:r>
      <w:r w:rsidRPr="00036A0A">
        <w:rPr>
          <w:sz w:val="20"/>
          <w:szCs w:val="20"/>
        </w:rPr>
        <w:t>.</w:t>
      </w:r>
    </w:p>
    <w:p w14:paraId="01482CD4" w14:textId="77777777" w:rsidR="00FB42CA" w:rsidRPr="00036A0A" w:rsidRDefault="00FB42CA" w:rsidP="00FB42CA">
      <w:pPr>
        <w:spacing w:line="240" w:lineRule="auto"/>
        <w:rPr>
          <w:sz w:val="20"/>
          <w:szCs w:val="20"/>
        </w:rPr>
      </w:pPr>
    </w:p>
    <w:p w14:paraId="48EC807B" w14:textId="77777777" w:rsidR="00FB42CA" w:rsidRPr="00036A0A" w:rsidRDefault="00FB42CA" w:rsidP="00FB42CA">
      <w:pPr>
        <w:spacing w:line="240" w:lineRule="auto"/>
        <w:rPr>
          <w:sz w:val="20"/>
          <w:szCs w:val="20"/>
        </w:rPr>
      </w:pPr>
      <w:r w:rsidRPr="00036A0A">
        <w:rPr>
          <w:sz w:val="20"/>
          <w:szCs w:val="20"/>
        </w:rPr>
        <w:t>“(…).</w:t>
      </w:r>
    </w:p>
    <w:p w14:paraId="3409C2C1" w14:textId="77777777" w:rsidR="00FB42CA" w:rsidRPr="00036A0A" w:rsidRDefault="00FB42CA" w:rsidP="00FB42CA">
      <w:pPr>
        <w:spacing w:line="240" w:lineRule="auto"/>
        <w:rPr>
          <w:sz w:val="20"/>
          <w:szCs w:val="20"/>
        </w:rPr>
      </w:pPr>
    </w:p>
  </w:footnote>
  <w:footnote w:id="5">
    <w:p w14:paraId="758143C5" w14:textId="77777777" w:rsidR="00FB42CA" w:rsidRPr="00036A0A" w:rsidRDefault="00FB42CA" w:rsidP="00FB42CA">
      <w:pPr>
        <w:pStyle w:val="NormalWeb"/>
        <w:shd w:val="clear" w:color="auto" w:fill="FFFFFF"/>
        <w:spacing w:line="240" w:lineRule="auto"/>
        <w:rPr>
          <w:rFonts w:cs="Arial"/>
          <w:i/>
          <w:color w:val="000000"/>
          <w:sz w:val="20"/>
          <w:szCs w:val="20"/>
          <w:lang w:val="es-CO" w:eastAsia="es-CO"/>
        </w:rPr>
      </w:pPr>
      <w:r w:rsidRPr="00036A0A">
        <w:rPr>
          <w:rStyle w:val="Refdenotaalpie"/>
          <w:rFonts w:cs="Arial"/>
          <w:sz w:val="20"/>
          <w:szCs w:val="20"/>
        </w:rPr>
        <w:footnoteRef/>
      </w:r>
      <w:r w:rsidRPr="00036A0A">
        <w:rPr>
          <w:rFonts w:cs="Arial"/>
          <w:sz w:val="20"/>
          <w:szCs w:val="20"/>
        </w:rPr>
        <w:t xml:space="preserve"> Ley 489 de 1998</w:t>
      </w:r>
      <w:r w:rsidRPr="00036A0A">
        <w:rPr>
          <w:rFonts w:cs="Arial"/>
          <w:b/>
          <w:sz w:val="20"/>
          <w:szCs w:val="20"/>
        </w:rPr>
        <w:t xml:space="preserve">. </w:t>
      </w:r>
      <w:r w:rsidRPr="00036A0A">
        <w:rPr>
          <w:rFonts w:cs="Arial"/>
          <w:sz w:val="20"/>
          <w:szCs w:val="20"/>
        </w:rPr>
        <w:t>“</w:t>
      </w:r>
      <w:r w:rsidRPr="00036A0A">
        <w:rPr>
          <w:rFonts w:cs="Arial"/>
          <w:i/>
          <w:sz w:val="20"/>
          <w:szCs w:val="20"/>
        </w:rPr>
        <w:t>A</w:t>
      </w:r>
      <w:r w:rsidRPr="00036A0A">
        <w:rPr>
          <w:rFonts w:cs="Arial"/>
          <w:bCs/>
          <w:i/>
          <w:color w:val="000000"/>
          <w:sz w:val="20"/>
          <w:szCs w:val="20"/>
          <w:lang w:val="es-CO" w:eastAsia="es-CO"/>
        </w:rPr>
        <w:t>rtículo 2º.-</w:t>
      </w:r>
      <w:r w:rsidRPr="00036A0A">
        <w:rPr>
          <w:rFonts w:cs="Arial"/>
          <w:i/>
          <w:color w:val="000000"/>
          <w:sz w:val="20"/>
          <w:szCs w:val="20"/>
          <w:lang w:val="es-CO" w:eastAsia="es-CO"/>
        </w:rPr>
        <w:t> </w:t>
      </w:r>
      <w:r w:rsidRPr="00036A0A">
        <w:rPr>
          <w:rFonts w:cs="Arial"/>
          <w:i/>
          <w:iCs/>
          <w:color w:val="000000"/>
          <w:sz w:val="20"/>
          <w:szCs w:val="20"/>
          <w:lang w:val="es-CO" w:eastAsia="es-CO"/>
        </w:rPr>
        <w:t>Ámbito de aplicación.</w:t>
      </w:r>
      <w:r w:rsidRPr="00036A0A">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14:paraId="7B11DEB7" w14:textId="77777777" w:rsidR="00FB42CA" w:rsidRPr="00036A0A" w:rsidRDefault="00FB42CA" w:rsidP="00FB42CA">
      <w:pPr>
        <w:shd w:val="clear" w:color="auto" w:fill="FFFFFF"/>
        <w:spacing w:before="100" w:beforeAutospacing="1" w:after="100" w:afterAutospacing="1" w:line="240" w:lineRule="auto"/>
        <w:rPr>
          <w:rFonts w:cs="Arial"/>
          <w:i/>
          <w:color w:val="000000"/>
          <w:sz w:val="20"/>
          <w:szCs w:val="20"/>
          <w:lang w:val="es-CO" w:eastAsia="es-CO"/>
        </w:rPr>
      </w:pPr>
      <w:r w:rsidRPr="00036A0A">
        <w:rPr>
          <w:rFonts w:cs="Arial"/>
          <w:bCs/>
          <w:color w:val="000000"/>
          <w:sz w:val="20"/>
          <w:szCs w:val="20"/>
          <w:lang w:val="es-CO" w:eastAsia="es-CO"/>
        </w:rPr>
        <w:t xml:space="preserve"> “</w:t>
      </w:r>
      <w:r w:rsidRPr="00036A0A">
        <w:rPr>
          <w:rFonts w:cs="Arial"/>
          <w:b/>
          <w:bCs/>
          <w:i/>
          <w:color w:val="000000"/>
          <w:sz w:val="20"/>
          <w:szCs w:val="20"/>
          <w:lang w:val="es-CO" w:eastAsia="es-CO"/>
        </w:rPr>
        <w:t>Parágrafo. -</w:t>
      </w:r>
      <w:r w:rsidRPr="00036A0A">
        <w:rPr>
          <w:rFonts w:cs="Arial"/>
          <w:i/>
          <w:color w:val="000000"/>
          <w:sz w:val="20"/>
          <w:szCs w:val="20"/>
          <w:lang w:val="es-CO" w:eastAsia="es-CO"/>
        </w:rPr>
        <w:t> </w:t>
      </w:r>
      <w:bookmarkStart w:id="2" w:name="2.p"/>
      <w:r w:rsidRPr="00036A0A">
        <w:rPr>
          <w:rFonts w:cs="Arial"/>
          <w:i/>
          <w:color w:val="000000"/>
          <w:sz w:val="20"/>
          <w:szCs w:val="20"/>
          <w:lang w:val="es-CO" w:eastAsia="es-CO"/>
        </w:rPr>
        <w:t> </w:t>
      </w:r>
      <w:bookmarkEnd w:id="2"/>
      <w:r w:rsidRPr="00036A0A">
        <w:rPr>
          <w:rFonts w:cs="Arial"/>
          <w:i/>
          <w:color w:val="000000"/>
          <w:sz w:val="20"/>
          <w:szCs w:val="20"/>
          <w:lang w:val="es-CO"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p>
    <w:p w14:paraId="7799FFF3" w14:textId="77777777" w:rsidR="00FB42CA" w:rsidRPr="00036A0A" w:rsidRDefault="00FB42CA" w:rsidP="00FB42CA">
      <w:pPr>
        <w:pStyle w:val="NormalWeb"/>
        <w:shd w:val="clear" w:color="auto" w:fill="FFFFFF"/>
        <w:spacing w:line="240" w:lineRule="auto"/>
        <w:rPr>
          <w:rFonts w:cs="Arial"/>
          <w:i/>
          <w:color w:val="000000"/>
          <w:sz w:val="20"/>
          <w:szCs w:val="20"/>
          <w:lang w:val="es-CO" w:eastAsia="es-CO"/>
        </w:rPr>
      </w:pPr>
      <w:r w:rsidRPr="00036A0A">
        <w:rPr>
          <w:rFonts w:cs="Arial"/>
          <w:bCs/>
          <w:color w:val="000000"/>
          <w:sz w:val="20"/>
          <w:szCs w:val="20"/>
          <w:lang w:val="es-CO" w:eastAsia="es-CO"/>
        </w:rPr>
        <w:t>“</w:t>
      </w:r>
      <w:r w:rsidRPr="00036A0A">
        <w:rPr>
          <w:rFonts w:cs="Arial"/>
          <w:b/>
          <w:bCs/>
          <w:i/>
          <w:color w:val="000000"/>
          <w:sz w:val="20"/>
          <w:szCs w:val="20"/>
          <w:lang w:val="es-CO" w:eastAsia="es-CO"/>
        </w:rPr>
        <w:t>Artículo 14º.-</w:t>
      </w:r>
      <w:r w:rsidRPr="00036A0A">
        <w:rPr>
          <w:rFonts w:cs="Arial"/>
          <w:i/>
          <w:color w:val="000000"/>
          <w:sz w:val="20"/>
          <w:szCs w:val="20"/>
          <w:lang w:val="es-CO" w:eastAsia="es-CO"/>
        </w:rPr>
        <w:t> </w:t>
      </w:r>
      <w:r w:rsidRPr="00036A0A">
        <w:rPr>
          <w:rFonts w:cs="Arial"/>
          <w:i/>
          <w:iCs/>
          <w:color w:val="000000"/>
          <w:sz w:val="20"/>
          <w:szCs w:val="20"/>
          <w:lang w:val="es-CO" w:eastAsia="es-CO"/>
        </w:rPr>
        <w:t>Delegación entre entidades públicas.</w:t>
      </w:r>
      <w:r w:rsidRPr="00036A0A">
        <w:rPr>
          <w:rFonts w:cs="Arial"/>
          <w:i/>
          <w:color w:val="000000"/>
          <w:sz w:val="20"/>
          <w:szCs w:val="20"/>
          <w:lang w:val="es-CO" w:eastAsia="es-CO"/>
        </w:rPr>
        <w:t>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14:paraId="69FCF5A6" w14:textId="77777777" w:rsidR="00FB42CA" w:rsidRPr="00036A0A" w:rsidRDefault="00FB42CA" w:rsidP="00FB42CA">
      <w:pPr>
        <w:shd w:val="clear" w:color="auto" w:fill="FFFFFF"/>
        <w:spacing w:before="100" w:beforeAutospacing="1" w:after="100" w:afterAutospacing="1" w:line="240" w:lineRule="auto"/>
        <w:rPr>
          <w:rFonts w:cs="Arial"/>
          <w:color w:val="000000"/>
          <w:sz w:val="20"/>
          <w:szCs w:val="20"/>
          <w:lang w:val="es-CO" w:eastAsia="es-CO"/>
        </w:rPr>
      </w:pPr>
      <w:r w:rsidRPr="00036A0A">
        <w:rPr>
          <w:rFonts w:cs="Arial"/>
          <w:color w:val="000000"/>
          <w:sz w:val="20"/>
          <w:szCs w:val="20"/>
          <w:lang w:val="es-CO" w:eastAsia="es-CO"/>
        </w:rPr>
        <w:t>“</w:t>
      </w:r>
      <w:r w:rsidRPr="00036A0A">
        <w:rPr>
          <w:rFonts w:cs="Arial"/>
          <w:i/>
          <w:color w:val="000000"/>
          <w:sz w:val="20"/>
          <w:szCs w:val="20"/>
          <w:lang w:val="es-CO" w:eastAsia="es-CO"/>
        </w:rPr>
        <w:t>Estos convenios estarán sujetos únicamente a los requisitos que la ley exige para los convenios o contratos entre entidades públicas o interadministrativos</w:t>
      </w:r>
      <w:r w:rsidRPr="00036A0A">
        <w:rPr>
          <w:rFonts w:cs="Arial"/>
          <w:color w:val="000000"/>
          <w:sz w:val="20"/>
          <w:szCs w:val="20"/>
          <w:lang w:val="es-CO" w:eastAsia="es-CO"/>
        </w:rPr>
        <w:t>”.</w:t>
      </w:r>
    </w:p>
  </w:footnote>
  <w:footnote w:id="6">
    <w:p w14:paraId="2868E28F"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$ 473’978.690, folio 4 del cuaderno 1.</w:t>
      </w:r>
      <w:r w:rsidRPr="00036A0A">
        <w:rPr>
          <w:rFonts w:cs="Arial"/>
          <w:lang w:val="es-CO"/>
        </w:rPr>
        <w:t xml:space="preserve"> Teniendo en cuenta que el salario mínimo legal vigente de 2015 ($644.350 X 300 = $193’305.000).</w:t>
      </w:r>
    </w:p>
  </w:footnote>
  <w:footnote w:id="7">
    <w:p w14:paraId="5AC84816" w14:textId="77777777" w:rsidR="00FB42CA" w:rsidRPr="00036A0A" w:rsidRDefault="00FB42CA" w:rsidP="00FB42CA">
      <w:pPr>
        <w:pStyle w:val="Textonotapie"/>
        <w:rPr>
          <w:rFonts w:cs="Arial"/>
          <w:lang w:val="es-CO"/>
        </w:rPr>
      </w:pPr>
      <w:r w:rsidRPr="00036A0A">
        <w:rPr>
          <w:rStyle w:val="Refdenotaalpie"/>
          <w:rFonts w:cs="Arial"/>
        </w:rPr>
        <w:footnoteRef/>
      </w:r>
      <w:r w:rsidRPr="00036A0A">
        <w:rPr>
          <w:lang w:val="es-CO"/>
        </w:rPr>
        <w:t xml:space="preserve"> $473’978.690, </w:t>
      </w:r>
      <w:r w:rsidRPr="00036A0A">
        <w:rPr>
          <w:rFonts w:cs="Arial"/>
        </w:rPr>
        <w:t xml:space="preserve"> </w:t>
      </w:r>
      <w:r w:rsidRPr="00036A0A">
        <w:rPr>
          <w:rFonts w:cs="Arial"/>
          <w:lang w:val="es-CO"/>
        </w:rPr>
        <w:t>Folio 4 del cuaderno 1.</w:t>
      </w:r>
    </w:p>
  </w:footnote>
  <w:footnote w:id="8">
    <w:p w14:paraId="5082606A" w14:textId="77777777" w:rsidR="00FB42CA" w:rsidRPr="00036A0A" w:rsidRDefault="00FB42CA" w:rsidP="00FB42CA">
      <w:pPr>
        <w:pStyle w:val="Textonotapie"/>
        <w:spacing w:line="240" w:lineRule="auto"/>
        <w:rPr>
          <w:rFonts w:cs="Arial"/>
          <w:lang w:val="es-CO"/>
        </w:rPr>
      </w:pPr>
      <w:r w:rsidRPr="00036A0A">
        <w:rPr>
          <w:rStyle w:val="Refdenotaalpie"/>
          <w:rFonts w:cs="Arial"/>
        </w:rPr>
        <w:footnoteRef/>
      </w:r>
      <w:r w:rsidRPr="00036A0A">
        <w:rPr>
          <w:rFonts w:cs="Arial"/>
        </w:rPr>
        <w:t xml:space="preserve"> </w:t>
      </w:r>
      <w:r w:rsidRPr="00036A0A">
        <w:rPr>
          <w:rFonts w:cs="Arial"/>
          <w:lang w:val="es-CO"/>
        </w:rPr>
        <w:t xml:space="preserve">Con fundamento en el salario mínimo legal vigente de 2015 ($644.350 X 500 = $322’175.000). </w:t>
      </w:r>
    </w:p>
  </w:footnote>
  <w:footnote w:id="9">
    <w:p w14:paraId="34B995FB" w14:textId="77777777" w:rsidR="00FB42CA" w:rsidRPr="00036A0A" w:rsidRDefault="00FB42CA" w:rsidP="00FB42CA">
      <w:pPr>
        <w:pStyle w:val="Textonotapie"/>
        <w:rPr>
          <w:rFonts w:cs="Arial"/>
          <w:lang w:val="es-CO"/>
        </w:rPr>
      </w:pPr>
      <w:r w:rsidRPr="00036A0A">
        <w:rPr>
          <w:rStyle w:val="Refdenotaalpie"/>
          <w:rFonts w:cs="Arial"/>
        </w:rPr>
        <w:footnoteRef/>
      </w:r>
      <w:r w:rsidRPr="00036A0A">
        <w:rPr>
          <w:rFonts w:cs="Arial"/>
        </w:rPr>
        <w:t xml:space="preserve"> </w:t>
      </w:r>
      <w:r w:rsidRPr="00036A0A">
        <w:rPr>
          <w:rFonts w:cs="Arial"/>
          <w:lang w:val="es-CO"/>
        </w:rPr>
        <w:t>Folio 209 del cuaderno 2.</w:t>
      </w:r>
    </w:p>
  </w:footnote>
  <w:footnote w:id="10">
    <w:p w14:paraId="4EBB7EFF" w14:textId="77777777" w:rsidR="00FB42CA" w:rsidRPr="00036A0A" w:rsidRDefault="00FB42CA" w:rsidP="00FB42CA">
      <w:pPr>
        <w:pStyle w:val="Textonotapie"/>
        <w:spacing w:line="240" w:lineRule="auto"/>
        <w:rPr>
          <w:rFonts w:cs="Arial"/>
          <w:bCs/>
        </w:rPr>
      </w:pPr>
      <w:r w:rsidRPr="00036A0A">
        <w:rPr>
          <w:rStyle w:val="Refdenotaalpie"/>
          <w:rFonts w:cs="Arial"/>
        </w:rPr>
        <w:footnoteRef/>
      </w:r>
      <w:r w:rsidRPr="00036A0A">
        <w:rPr>
          <w:rFonts w:cs="Arial"/>
        </w:rPr>
        <w:t xml:space="preserve"> El C</w:t>
      </w:r>
      <w:r w:rsidRPr="00036A0A">
        <w:rPr>
          <w:rFonts w:cs="Arial"/>
          <w:bCs/>
        </w:rPr>
        <w:t xml:space="preserve">ódigo de Procedimiento Administrativo y de lo Contencioso Administrativo entró e regir el 2 de julio de 2012. </w:t>
      </w:r>
    </w:p>
    <w:p w14:paraId="0A03DB0D" w14:textId="77777777" w:rsidR="00FB42CA" w:rsidRPr="00036A0A" w:rsidRDefault="00FB42CA" w:rsidP="00FB42CA">
      <w:pPr>
        <w:pStyle w:val="Textonotapie"/>
        <w:spacing w:line="240" w:lineRule="auto"/>
        <w:rPr>
          <w:rFonts w:cs="Arial"/>
          <w:bCs/>
        </w:rPr>
      </w:pPr>
    </w:p>
  </w:footnote>
  <w:footnote w:id="11">
    <w:p w14:paraId="50F7301A"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Folios 96 a 98 del cuaderno 1. </w:t>
      </w:r>
    </w:p>
  </w:footnote>
  <w:footnote w:id="12">
    <w:p w14:paraId="35FD3FFF" w14:textId="77777777" w:rsidR="00FB42CA" w:rsidRPr="00036A0A" w:rsidRDefault="00FB42CA" w:rsidP="00FB42CA">
      <w:pPr>
        <w:pStyle w:val="Textonotapie"/>
        <w:rPr>
          <w:rFonts w:cs="Arial"/>
          <w:lang w:val="es-CO"/>
        </w:rPr>
      </w:pPr>
      <w:r w:rsidRPr="00036A0A">
        <w:rPr>
          <w:rStyle w:val="Refdenotaalpie"/>
          <w:rFonts w:cs="Arial"/>
        </w:rPr>
        <w:footnoteRef/>
      </w:r>
      <w:r w:rsidRPr="00036A0A">
        <w:rPr>
          <w:rFonts w:cs="Arial"/>
        </w:rPr>
        <w:t xml:space="preserve"> </w:t>
      </w:r>
      <w:r w:rsidRPr="00036A0A">
        <w:rPr>
          <w:rFonts w:cs="Arial"/>
          <w:lang w:val="es-CO"/>
        </w:rPr>
        <w:t>Folios 550 a 551 del cuaderno 3.</w:t>
      </w:r>
    </w:p>
  </w:footnote>
  <w:footnote w:id="13">
    <w:p w14:paraId="4F8CD85A" w14:textId="77777777" w:rsidR="00FB42CA" w:rsidRPr="00036A0A" w:rsidRDefault="00FB42CA" w:rsidP="00FB42CA">
      <w:pPr>
        <w:tabs>
          <w:tab w:val="left" w:pos="0"/>
        </w:tabs>
        <w:spacing w:line="240" w:lineRule="auto"/>
        <w:rPr>
          <w:rFonts w:cs="Arial"/>
          <w:sz w:val="20"/>
          <w:szCs w:val="20"/>
          <w:lang w:val="x-none"/>
        </w:rPr>
      </w:pPr>
      <w:r w:rsidRPr="00036A0A">
        <w:rPr>
          <w:rStyle w:val="Refdenotaalpie"/>
          <w:rFonts w:cs="Arial"/>
          <w:sz w:val="20"/>
          <w:szCs w:val="20"/>
        </w:rPr>
        <w:footnoteRef/>
      </w:r>
      <w:r w:rsidRPr="00036A0A">
        <w:rPr>
          <w:rFonts w:cs="Arial"/>
          <w:sz w:val="20"/>
          <w:szCs w:val="20"/>
        </w:rPr>
        <w:t xml:space="preserve"> </w:t>
      </w:r>
      <w:r w:rsidRPr="00036A0A">
        <w:rPr>
          <w:rFonts w:cs="Arial"/>
          <w:sz w:val="20"/>
          <w:szCs w:val="20"/>
          <w:lang w:val="es-ES_tradnl"/>
        </w:rPr>
        <w:t>A este respecto debe tomarse en consideración</w:t>
      </w:r>
      <w:r w:rsidRPr="00036A0A">
        <w:rPr>
          <w:rFonts w:cs="Arial"/>
          <w:sz w:val="20"/>
          <w:szCs w:val="20"/>
          <w:lang w:val="x-none"/>
        </w:rPr>
        <w:t xml:space="preserve"> </w:t>
      </w:r>
      <w:r w:rsidRPr="00036A0A">
        <w:rPr>
          <w:rFonts w:cs="Arial"/>
          <w:sz w:val="20"/>
          <w:szCs w:val="20"/>
          <w:lang w:val="es-CO"/>
        </w:rPr>
        <w:t xml:space="preserve">que, según </w:t>
      </w:r>
      <w:r w:rsidRPr="00036A0A">
        <w:rPr>
          <w:rFonts w:cs="Arial"/>
          <w:sz w:val="20"/>
          <w:szCs w:val="20"/>
          <w:lang w:val="x-none"/>
        </w:rPr>
        <w:t xml:space="preserve">los mandatos del artículo </w:t>
      </w:r>
      <w:r w:rsidRPr="00036A0A">
        <w:rPr>
          <w:rFonts w:cs="Arial"/>
          <w:sz w:val="20"/>
          <w:szCs w:val="20"/>
          <w:lang w:val="es-CO"/>
        </w:rPr>
        <w:t>3 del Decreto 1716 de 2009</w:t>
      </w:r>
      <w:r w:rsidRPr="00036A0A">
        <w:rPr>
          <w:rFonts w:cs="Arial"/>
          <w:sz w:val="20"/>
          <w:szCs w:val="20"/>
          <w:lang w:val="x-none"/>
        </w:rPr>
        <w:t xml:space="preserve">, el término de caducidad de la acción </w:t>
      </w:r>
      <w:r w:rsidRPr="00036A0A">
        <w:rPr>
          <w:rFonts w:cs="Arial"/>
          <w:sz w:val="20"/>
          <w:szCs w:val="20"/>
          <w:lang w:val="es-CO"/>
        </w:rPr>
        <w:t>se suspendería</w:t>
      </w:r>
      <w:r w:rsidRPr="00036A0A">
        <w:rPr>
          <w:rFonts w:cs="Arial"/>
          <w:sz w:val="20"/>
          <w:szCs w:val="20"/>
          <w:lang w:val="x-none"/>
        </w:rPr>
        <w:t xml:space="preserve"> desde el recibo de la solicitud de conciliación extrajudicial en la Procuraduría, sin que dicha suspensión pudiera exceder de </w:t>
      </w:r>
      <w:r w:rsidRPr="00036A0A">
        <w:rPr>
          <w:rFonts w:cs="Arial"/>
          <w:sz w:val="20"/>
          <w:szCs w:val="20"/>
          <w:lang w:val="es-CO"/>
        </w:rPr>
        <w:t>tres</w:t>
      </w:r>
      <w:r w:rsidRPr="00036A0A">
        <w:rPr>
          <w:rFonts w:cs="Arial"/>
          <w:sz w:val="20"/>
          <w:szCs w:val="20"/>
          <w:lang w:val="x-none"/>
        </w:rPr>
        <w:t xml:space="preserve"> (</w:t>
      </w:r>
      <w:r w:rsidRPr="00036A0A">
        <w:rPr>
          <w:rFonts w:cs="Arial"/>
          <w:sz w:val="20"/>
          <w:szCs w:val="20"/>
          <w:lang w:val="es-CO"/>
        </w:rPr>
        <w:t>3</w:t>
      </w:r>
      <w:r w:rsidRPr="00036A0A">
        <w:rPr>
          <w:rFonts w:cs="Arial"/>
          <w:sz w:val="20"/>
          <w:szCs w:val="20"/>
          <w:lang w:val="x-none"/>
        </w:rPr>
        <w:t xml:space="preserve">) </w:t>
      </w:r>
      <w:r w:rsidRPr="00036A0A">
        <w:rPr>
          <w:rFonts w:cs="Arial"/>
          <w:sz w:val="20"/>
          <w:szCs w:val="20"/>
          <w:lang w:val="es-CO"/>
        </w:rPr>
        <w:t>meses, atendiendo a las siguientes reglas</w:t>
      </w:r>
      <w:r w:rsidRPr="00036A0A">
        <w:rPr>
          <w:rFonts w:cs="Arial"/>
          <w:sz w:val="20"/>
          <w:szCs w:val="20"/>
          <w:lang w:val="x-none"/>
        </w:rPr>
        <w:t xml:space="preserve">:  </w:t>
      </w:r>
    </w:p>
    <w:p w14:paraId="6954CFCE" w14:textId="77777777" w:rsidR="00FB42CA" w:rsidRPr="00036A0A" w:rsidRDefault="00FB42CA" w:rsidP="00FB42CA">
      <w:pPr>
        <w:pStyle w:val="NormalWeb"/>
        <w:spacing w:line="240" w:lineRule="auto"/>
        <w:rPr>
          <w:rFonts w:cs="Arial"/>
          <w:i/>
          <w:sz w:val="20"/>
          <w:szCs w:val="20"/>
          <w:lang w:val="es-CO" w:eastAsia="es-CO"/>
        </w:rPr>
      </w:pPr>
      <w:r w:rsidRPr="00036A0A">
        <w:rPr>
          <w:rFonts w:cs="Arial"/>
          <w:i/>
          <w:sz w:val="20"/>
          <w:szCs w:val="20"/>
          <w:lang w:val="es-CO" w:eastAsia="es-CO"/>
        </w:rPr>
        <w:t>“</w:t>
      </w:r>
      <w:r w:rsidRPr="00036A0A">
        <w:rPr>
          <w:rFonts w:cs="Arial"/>
          <w:bCs/>
          <w:i/>
          <w:sz w:val="20"/>
          <w:szCs w:val="20"/>
          <w:lang w:val="es-CO" w:eastAsia="es-CO"/>
        </w:rPr>
        <w:t>Artículo 3°.</w:t>
      </w:r>
      <w:r w:rsidRPr="00036A0A">
        <w:rPr>
          <w:rFonts w:cs="Arial"/>
          <w:b/>
          <w:bCs/>
          <w:i/>
          <w:sz w:val="20"/>
          <w:szCs w:val="20"/>
          <w:lang w:val="es-CO" w:eastAsia="es-CO"/>
        </w:rPr>
        <w:t xml:space="preserve"> </w:t>
      </w:r>
      <w:r w:rsidRPr="00036A0A">
        <w:rPr>
          <w:rFonts w:cs="Arial"/>
          <w:i/>
          <w:iCs/>
          <w:sz w:val="20"/>
          <w:szCs w:val="20"/>
          <w:lang w:val="es-CO" w:eastAsia="es-CO"/>
        </w:rPr>
        <w:t>Suspensión del término de caducidad de la acción</w:t>
      </w:r>
      <w:r w:rsidRPr="00036A0A">
        <w:rPr>
          <w:rFonts w:cs="Arial"/>
          <w:i/>
          <w:sz w:val="20"/>
          <w:szCs w:val="20"/>
          <w:lang w:val="es-CO" w:eastAsia="es-CO"/>
        </w:rPr>
        <w:t xml:space="preserve">. La presentación de la solicitud de conciliación extrajudicial ante los agentes del Ministerio Público suspende el término de prescripción o de caducidad, según el caso, hasta: </w:t>
      </w:r>
    </w:p>
    <w:p w14:paraId="75B50D3D" w14:textId="77777777" w:rsidR="00FB42CA" w:rsidRPr="00036A0A" w:rsidRDefault="00FB42CA" w:rsidP="00FB42CA">
      <w:pPr>
        <w:spacing w:before="100" w:beforeAutospacing="1" w:after="100" w:afterAutospacing="1" w:line="240" w:lineRule="auto"/>
        <w:rPr>
          <w:rFonts w:cs="Arial"/>
          <w:i/>
          <w:sz w:val="20"/>
          <w:szCs w:val="20"/>
          <w:lang w:val="es-CO" w:eastAsia="es-CO"/>
        </w:rPr>
      </w:pPr>
      <w:r w:rsidRPr="00036A0A">
        <w:rPr>
          <w:rFonts w:cs="Arial"/>
          <w:i/>
          <w:sz w:val="20"/>
          <w:szCs w:val="20"/>
          <w:lang w:val="es-CO" w:eastAsia="es-CO"/>
        </w:rPr>
        <w:t xml:space="preserve">“a) Que se logre el acuerdo conciliatorio, o </w:t>
      </w:r>
    </w:p>
    <w:p w14:paraId="3DC9E395" w14:textId="77777777" w:rsidR="00FB42CA" w:rsidRPr="00036A0A" w:rsidRDefault="00FB42CA" w:rsidP="00FB42CA">
      <w:pPr>
        <w:spacing w:before="100" w:beforeAutospacing="1" w:after="100" w:afterAutospacing="1" w:line="240" w:lineRule="auto"/>
        <w:rPr>
          <w:rFonts w:cs="Arial"/>
          <w:i/>
          <w:sz w:val="20"/>
          <w:szCs w:val="20"/>
          <w:lang w:val="es-CO" w:eastAsia="es-CO"/>
        </w:rPr>
      </w:pPr>
      <w:r w:rsidRPr="00036A0A">
        <w:rPr>
          <w:rFonts w:cs="Arial"/>
          <w:i/>
          <w:sz w:val="20"/>
          <w:szCs w:val="20"/>
          <w:lang w:val="es-CO" w:eastAsia="es-CO"/>
        </w:rPr>
        <w:t xml:space="preserve">“b) Se expidan las constancias a que se refiere el artículo 2° de la Ley 640 de 2001, o </w:t>
      </w:r>
    </w:p>
    <w:p w14:paraId="052C9FE0" w14:textId="77777777" w:rsidR="00FB42CA" w:rsidRPr="00036A0A" w:rsidRDefault="00FB42CA" w:rsidP="00FB42CA">
      <w:pPr>
        <w:spacing w:before="100" w:beforeAutospacing="1" w:after="100" w:afterAutospacing="1" w:line="240" w:lineRule="auto"/>
        <w:rPr>
          <w:rFonts w:cs="Arial"/>
          <w:i/>
          <w:sz w:val="20"/>
          <w:szCs w:val="20"/>
          <w:lang w:val="es-CO" w:eastAsia="es-CO"/>
        </w:rPr>
      </w:pPr>
      <w:r w:rsidRPr="00036A0A">
        <w:rPr>
          <w:rFonts w:cs="Arial"/>
          <w:i/>
          <w:sz w:val="20"/>
          <w:szCs w:val="20"/>
          <w:lang w:val="es-CO" w:eastAsia="es-CO"/>
        </w:rPr>
        <w:t xml:space="preserve">“c) Se venza el término de tres (3) meses contados a partir de la presentación de la solicitud; lo que ocurra primero. </w:t>
      </w:r>
    </w:p>
    <w:p w14:paraId="1BFE1890" w14:textId="77777777" w:rsidR="00FB42CA" w:rsidRPr="00036A0A" w:rsidRDefault="00FB42CA" w:rsidP="00FB42CA">
      <w:pPr>
        <w:spacing w:before="100" w:beforeAutospacing="1" w:after="100" w:afterAutospacing="1" w:line="240" w:lineRule="auto"/>
        <w:rPr>
          <w:rFonts w:cs="Arial"/>
          <w:i/>
          <w:sz w:val="20"/>
          <w:szCs w:val="20"/>
          <w:lang w:val="es-CO" w:eastAsia="es-CO"/>
        </w:rPr>
      </w:pPr>
      <w:r w:rsidRPr="00036A0A">
        <w:rPr>
          <w:rFonts w:cs="Arial"/>
          <w:i/>
          <w:sz w:val="20"/>
          <w:szCs w:val="20"/>
          <w:lang w:val="es-CO" w:eastAsia="es-CO"/>
        </w:rPr>
        <w:t xml:space="preserve">“En caso de que el acuerdo conciliatorio sea improbado por el juez o magistrado, el término de caducidad suspendido con la presentación de la solicitud de conciliación se reanudará a partir del día hábil siguiente al de la ejecutoria de la providencia correspondiente. </w:t>
      </w:r>
    </w:p>
    <w:p w14:paraId="7E010B06" w14:textId="77777777" w:rsidR="00FB42CA" w:rsidRPr="00036A0A" w:rsidRDefault="00FB42CA" w:rsidP="00FB42CA">
      <w:pPr>
        <w:spacing w:before="100" w:beforeAutospacing="1" w:after="100" w:afterAutospacing="1" w:line="240" w:lineRule="auto"/>
        <w:rPr>
          <w:rFonts w:cs="Arial"/>
          <w:i/>
          <w:sz w:val="20"/>
          <w:szCs w:val="20"/>
          <w:lang w:val="es-CO" w:eastAsia="es-CO"/>
        </w:rPr>
      </w:pPr>
      <w:r w:rsidRPr="00036A0A">
        <w:rPr>
          <w:rFonts w:cs="Arial"/>
          <w:i/>
          <w:sz w:val="20"/>
          <w:szCs w:val="20"/>
          <w:lang w:val="es-CO" w:eastAsia="es-CO"/>
        </w:rPr>
        <w:t xml:space="preserve">“La improbación del acuerdo conciliatorio no hace tránsito a cosa juzgada. </w:t>
      </w:r>
    </w:p>
    <w:p w14:paraId="0910E6A9" w14:textId="77777777" w:rsidR="00FB42CA" w:rsidRPr="00036A0A" w:rsidRDefault="00FB42CA" w:rsidP="00FB42CA">
      <w:pPr>
        <w:spacing w:before="100" w:beforeAutospacing="1" w:after="100" w:afterAutospacing="1" w:line="240" w:lineRule="auto"/>
        <w:rPr>
          <w:rFonts w:cs="Arial"/>
          <w:sz w:val="20"/>
          <w:szCs w:val="20"/>
          <w:lang w:val="es-CO" w:eastAsia="es-CO"/>
        </w:rPr>
      </w:pPr>
      <w:r w:rsidRPr="00036A0A">
        <w:rPr>
          <w:rFonts w:cs="Arial"/>
          <w:bCs/>
          <w:i/>
          <w:sz w:val="20"/>
          <w:szCs w:val="20"/>
          <w:lang w:val="es-CO" w:eastAsia="es-CO"/>
        </w:rPr>
        <w:t>“Parágrafo único.</w:t>
      </w:r>
      <w:r w:rsidRPr="00036A0A">
        <w:rPr>
          <w:rFonts w:cs="Arial"/>
          <w:i/>
          <w:sz w:val="20"/>
          <w:szCs w:val="20"/>
          <w:lang w:val="es-CO" w:eastAsia="es-CO"/>
        </w:rPr>
        <w:t xml:space="preserve"> Las partes por mutuo acuerdo podrán prorrogar el término de tres (3) meses consagrado para el trámite conciliatorio extrajudicial, pero en dicho lapso no operará la suspensión del término de caducidad o prescripción</w:t>
      </w:r>
      <w:r w:rsidRPr="00036A0A">
        <w:rPr>
          <w:rFonts w:cs="Arial"/>
          <w:sz w:val="20"/>
          <w:szCs w:val="20"/>
          <w:lang w:val="es-CO" w:eastAsia="es-CO"/>
        </w:rPr>
        <w:t xml:space="preserve">”. </w:t>
      </w:r>
    </w:p>
  </w:footnote>
  <w:footnote w:id="14">
    <w:p w14:paraId="686D9013"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 231del cuaderno 1.</w:t>
      </w:r>
    </w:p>
    <w:p w14:paraId="4E3D08F6" w14:textId="77777777" w:rsidR="00FB42CA" w:rsidRPr="00036A0A" w:rsidRDefault="00FB42CA" w:rsidP="00FB42CA">
      <w:pPr>
        <w:pStyle w:val="Textonotapie"/>
        <w:rPr>
          <w:lang w:val="es-CO"/>
        </w:rPr>
      </w:pPr>
    </w:p>
  </w:footnote>
  <w:footnote w:id="15">
    <w:p w14:paraId="168D99F7" w14:textId="77777777" w:rsidR="00FB42CA" w:rsidRPr="00036A0A" w:rsidRDefault="00FB42CA" w:rsidP="00FB42CA">
      <w:pPr>
        <w:pStyle w:val="Textonotapie"/>
        <w:spacing w:line="240" w:lineRule="auto"/>
      </w:pPr>
      <w:r w:rsidRPr="00036A0A">
        <w:rPr>
          <w:rStyle w:val="Refdenotaalpie"/>
        </w:rPr>
        <w:footnoteRef/>
      </w:r>
      <w:r w:rsidRPr="00036A0A">
        <w:rPr>
          <w:vertAlign w:val="superscript"/>
        </w:rPr>
        <w:t xml:space="preserve"> </w:t>
      </w:r>
      <w:r w:rsidRPr="00036A0A">
        <w:t>Artículo 164 de la Ley 1437 de 2011. La demanda deberá ser presentada:</w:t>
      </w:r>
    </w:p>
    <w:p w14:paraId="51584EFA" w14:textId="77777777" w:rsidR="00FB42CA" w:rsidRPr="00036A0A" w:rsidRDefault="00FB42CA" w:rsidP="00FB42CA">
      <w:pPr>
        <w:pStyle w:val="Textonotapie"/>
        <w:spacing w:line="240" w:lineRule="auto"/>
      </w:pPr>
    </w:p>
    <w:p w14:paraId="43DABA24" w14:textId="77777777" w:rsidR="00FB42CA" w:rsidRPr="00036A0A" w:rsidRDefault="00FB42CA" w:rsidP="00FB42CA">
      <w:pPr>
        <w:pStyle w:val="Textonotapie"/>
        <w:spacing w:line="240" w:lineRule="auto"/>
      </w:pPr>
      <w:r w:rsidRPr="00036A0A">
        <w:t>“(…).</w:t>
      </w:r>
    </w:p>
    <w:p w14:paraId="3923D171" w14:textId="77777777" w:rsidR="00FB42CA" w:rsidRPr="00036A0A" w:rsidRDefault="00FB42CA" w:rsidP="00FB42CA">
      <w:pPr>
        <w:pStyle w:val="Textonotapie"/>
        <w:spacing w:line="240" w:lineRule="auto"/>
      </w:pPr>
    </w:p>
    <w:p w14:paraId="2E26B824" w14:textId="77777777" w:rsidR="00FB42CA" w:rsidRPr="00036A0A" w:rsidRDefault="00FB42CA" w:rsidP="00FB42CA">
      <w:pPr>
        <w:pStyle w:val="Textonotapie"/>
        <w:spacing w:line="240" w:lineRule="auto"/>
        <w:rPr>
          <w:i/>
        </w:rPr>
      </w:pPr>
      <w:r w:rsidRPr="00036A0A">
        <w:t xml:space="preserve"> “</w:t>
      </w:r>
      <w:r w:rsidRPr="00036A0A">
        <w:rPr>
          <w:i/>
        </w:rPr>
        <w:t>j) En las relativas a contratos el término para demandar será de dos (2) años que se contarán a partir del día siguiente a la ocurrencia de los motivos de hecho o de derecho que les sirvan de fundamento.</w:t>
      </w:r>
    </w:p>
    <w:p w14:paraId="1E72F99F" w14:textId="77777777" w:rsidR="00FB42CA" w:rsidRPr="00036A0A" w:rsidRDefault="00FB42CA" w:rsidP="00FB42CA">
      <w:pPr>
        <w:pStyle w:val="Textonotapie"/>
        <w:spacing w:line="240" w:lineRule="auto"/>
        <w:rPr>
          <w:i/>
        </w:rPr>
      </w:pPr>
    </w:p>
    <w:p w14:paraId="3BDF199C" w14:textId="77777777" w:rsidR="00FB42CA" w:rsidRPr="00036A0A" w:rsidRDefault="00FB42CA" w:rsidP="00FB42CA">
      <w:pPr>
        <w:pStyle w:val="Textonotapie"/>
        <w:spacing w:line="240" w:lineRule="auto"/>
        <w:rPr>
          <w:i/>
        </w:rPr>
      </w:pPr>
      <w:r w:rsidRPr="00036A0A">
        <w:rPr>
          <w:i/>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78E64F22" w14:textId="77777777" w:rsidR="00FB42CA" w:rsidRPr="00036A0A" w:rsidRDefault="00FB42CA" w:rsidP="00FB42CA">
      <w:pPr>
        <w:pStyle w:val="Textonotapie"/>
        <w:rPr>
          <w:i/>
        </w:rPr>
      </w:pPr>
    </w:p>
  </w:footnote>
  <w:footnote w:id="16">
    <w:p w14:paraId="3676C6E9" w14:textId="77777777" w:rsidR="00FB42CA" w:rsidRPr="00036A0A" w:rsidRDefault="00FB42CA" w:rsidP="00FB42CA">
      <w:pPr>
        <w:pStyle w:val="Textonotapie"/>
        <w:spacing w:line="240" w:lineRule="auto"/>
        <w:rPr>
          <w:rFonts w:cs="Arial"/>
          <w:lang w:val="es-CO"/>
        </w:rPr>
      </w:pPr>
      <w:r w:rsidRPr="00036A0A">
        <w:rPr>
          <w:rStyle w:val="Refdenotaalpie"/>
          <w:rFonts w:cs="Arial"/>
        </w:rPr>
        <w:footnoteRef/>
      </w:r>
      <w:r w:rsidRPr="00036A0A">
        <w:rPr>
          <w:rFonts w:cs="Arial"/>
          <w:color w:val="000000"/>
          <w:shd w:val="clear" w:color="auto" w:fill="FFFFFF"/>
        </w:rPr>
        <w:t xml:space="preserve"> Según se informa en la página oficial de la Autoridad Nacional de Televisión.</w:t>
      </w:r>
      <w:r w:rsidRPr="00036A0A">
        <w:t xml:space="preserve"> </w:t>
      </w:r>
      <w:hyperlink r:id="rId1" w:history="1">
        <w:r w:rsidRPr="00036A0A">
          <w:rPr>
            <w:rStyle w:val="Hipervnculo"/>
            <w:rFonts w:cs="Arial"/>
            <w:sz w:val="20"/>
            <w:shd w:val="clear" w:color="auto" w:fill="FFFFFF"/>
          </w:rPr>
          <w:t>https://www.antv.gov.co</w:t>
        </w:r>
      </w:hyperlink>
      <w:r w:rsidRPr="00036A0A">
        <w:rPr>
          <w:rFonts w:cs="Arial"/>
          <w:color w:val="000000"/>
          <w:shd w:val="clear" w:color="auto" w:fill="FFFFFF"/>
        </w:rPr>
        <w:t>, así lo ha acatado dicha entidad al señalar “</w:t>
      </w:r>
      <w:r w:rsidRPr="00036A0A">
        <w:rPr>
          <w:rFonts w:cs="Arial"/>
          <w:i/>
          <w:color w:val="000000"/>
          <w:shd w:val="clear" w:color="auto" w:fill="FFFFFF"/>
        </w:rPr>
        <w:t>Teniendo en cuenta que la contratación de la ANTV está sujeta al régimen de contratación pública, toda esta información puede encontrarse en el Sistema Electrónico para la Contratación Pública – SECOP</w:t>
      </w:r>
      <w:r w:rsidRPr="00036A0A">
        <w:rPr>
          <w:rFonts w:cs="Arial"/>
          <w:color w:val="000000"/>
          <w:shd w:val="clear" w:color="auto" w:fill="FFFFFF"/>
        </w:rPr>
        <w:t>”.</w:t>
      </w:r>
      <w:r w:rsidRPr="00036A0A">
        <w:rPr>
          <w:rFonts w:cs="Arial"/>
        </w:rPr>
        <w:t xml:space="preserve"> </w:t>
      </w:r>
    </w:p>
  </w:footnote>
  <w:footnote w:id="17">
    <w:p w14:paraId="05B9A05B"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Folios 3 a 6 del cuaderno 5.</w:t>
      </w:r>
    </w:p>
  </w:footnote>
  <w:footnote w:id="18">
    <w:p w14:paraId="3D497004" w14:textId="77777777" w:rsidR="00FB42CA" w:rsidRPr="00036A0A" w:rsidRDefault="00FB42CA" w:rsidP="00FB42CA">
      <w:pPr>
        <w:pStyle w:val="Textonotapie"/>
      </w:pPr>
      <w:r w:rsidRPr="00036A0A">
        <w:rPr>
          <w:rStyle w:val="Refdenotaalpie"/>
        </w:rPr>
        <w:footnoteRef/>
      </w:r>
      <w:r w:rsidRPr="00036A0A">
        <w:t xml:space="preserve"> Folios 7 a 27 del cuaderno 5.</w:t>
      </w:r>
    </w:p>
  </w:footnote>
  <w:footnote w:id="19">
    <w:p w14:paraId="455B22B1"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Folios 28-34 del cuaderno 5. </w:t>
      </w:r>
    </w:p>
  </w:footnote>
  <w:footnote w:id="20">
    <w:p w14:paraId="544EC6F4"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 313 del cuaderno 6. </w:t>
      </w:r>
    </w:p>
  </w:footnote>
  <w:footnote w:id="21">
    <w:p w14:paraId="6D3352A2"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 314 del cuaderno 6. </w:t>
      </w:r>
    </w:p>
  </w:footnote>
  <w:footnote w:id="22">
    <w:p w14:paraId="64F60271"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 315 a 324 del cuaderno 6.</w:t>
      </w:r>
    </w:p>
  </w:footnote>
  <w:footnote w:id="23">
    <w:p w14:paraId="4CC890FA"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Folios 110-112 del cuaderno 3. </w:t>
      </w:r>
    </w:p>
  </w:footnote>
  <w:footnote w:id="24">
    <w:p w14:paraId="456E9E30"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Folios 79 a 94 del cuaderno 5.</w:t>
      </w:r>
    </w:p>
  </w:footnote>
  <w:footnote w:id="25">
    <w:p w14:paraId="3FB76956"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Folios 112 del cuaderno 5. </w:t>
      </w:r>
    </w:p>
  </w:footnote>
  <w:footnote w:id="26">
    <w:p w14:paraId="7A50D02C" w14:textId="77777777" w:rsidR="00FB42CA" w:rsidRPr="00036A0A" w:rsidRDefault="00FB42CA" w:rsidP="00FB42CA">
      <w:pPr>
        <w:pStyle w:val="Textonotapie"/>
        <w:spacing w:line="240" w:lineRule="auto"/>
        <w:rPr>
          <w:lang w:val="es-CO"/>
        </w:rPr>
      </w:pPr>
      <w:r w:rsidRPr="00036A0A">
        <w:rPr>
          <w:rStyle w:val="Refdenotaalpie"/>
        </w:rPr>
        <w:footnoteRef/>
      </w:r>
      <w:r w:rsidRPr="00036A0A">
        <w:t xml:space="preserve"> </w:t>
      </w:r>
      <w:r w:rsidRPr="00036A0A">
        <w:rPr>
          <w:lang w:val="es-CO"/>
        </w:rPr>
        <w:t xml:space="preserve">En este argumento de la apelación, la parte actora se refiere al dictamen pericial practicado en el curso de la primera instancia como consecuencia de la solicitud probatoria elevada por la demandante y decretada por el Tribunal de origen, el cual fue rendido por el abogado Mauricio Acero y el ingeniero Lázaro Pardo Silva con el fin de determinar la cuantía de la utilidad esperada, realizara la evaluación de las </w:t>
      </w:r>
      <w:r>
        <w:rPr>
          <w:lang w:val="es-CO"/>
        </w:rPr>
        <w:t>o</w:t>
      </w:r>
      <w:r w:rsidRPr="00036A0A">
        <w:rPr>
          <w:lang w:val="es-CO"/>
        </w:rPr>
        <w:t xml:space="preserve">fertas y determinara que la presentada por el sociedad Javh Macgregor era la más favorables. </w:t>
      </w:r>
    </w:p>
  </w:footnote>
  <w:footnote w:id="27">
    <w:p w14:paraId="094F1037"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Folios 367 a 368 del cuaderno 6.</w:t>
      </w:r>
    </w:p>
  </w:footnote>
  <w:footnote w:id="28">
    <w:p w14:paraId="392DB492"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Folios 369 a 370 del cuaderno 6.</w:t>
      </w:r>
    </w:p>
  </w:footnote>
  <w:footnote w:id="29">
    <w:p w14:paraId="29750D6C"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Folios 371 a 372 del cuaderno 6. </w:t>
      </w:r>
    </w:p>
  </w:footnote>
  <w:footnote w:id="30">
    <w:p w14:paraId="0A90AD8C" w14:textId="77777777" w:rsidR="00FB42CA" w:rsidRPr="00036A0A" w:rsidRDefault="00FB42CA" w:rsidP="00FB42CA">
      <w:pPr>
        <w:pStyle w:val="Textonotapie"/>
        <w:rPr>
          <w:lang w:val="es-CO"/>
        </w:rPr>
      </w:pPr>
      <w:r w:rsidRPr="00036A0A">
        <w:rPr>
          <w:rStyle w:val="Refdenotaalpie"/>
        </w:rPr>
        <w:footnoteRef/>
      </w:r>
      <w:r w:rsidRPr="00036A0A">
        <w:t xml:space="preserve"> </w:t>
      </w:r>
      <w:r w:rsidRPr="00036A0A">
        <w:rPr>
          <w:lang w:val="es-CO"/>
        </w:rPr>
        <w:t xml:space="preserve">Folio 373 del cuaderno 6. </w:t>
      </w:r>
    </w:p>
    <w:p w14:paraId="6B5E8802" w14:textId="77777777" w:rsidR="00FB42CA" w:rsidRPr="00036A0A" w:rsidRDefault="00FB42CA" w:rsidP="00FB42CA">
      <w:pPr>
        <w:pStyle w:val="Textonotapie"/>
        <w:rPr>
          <w:lang w:val="es-CO"/>
        </w:rPr>
      </w:pPr>
    </w:p>
  </w:footnote>
  <w:footnote w:id="31">
    <w:p w14:paraId="24949EC1" w14:textId="77777777" w:rsidR="00FB42CA" w:rsidRPr="00F870DB" w:rsidRDefault="00FB42CA" w:rsidP="00FB42CA">
      <w:pPr>
        <w:pStyle w:val="Textonotapie"/>
        <w:rPr>
          <w:lang w:val="es-CO"/>
        </w:rPr>
      </w:pPr>
      <w:r w:rsidRPr="00036A0A">
        <w:rPr>
          <w:rStyle w:val="Refdenotaalpie"/>
        </w:rPr>
        <w:footnoteRef/>
      </w:r>
      <w:r w:rsidRPr="00036A0A">
        <w:t xml:space="preserve"> Folio 90 del cuaderno 7.</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77D2" w14:textId="77777777" w:rsidR="00A267D2" w:rsidRDefault="00A267D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7C9047" w14:textId="77777777" w:rsidR="00A267D2" w:rsidRDefault="00A267D2"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1831" w14:textId="77777777" w:rsidR="00A267D2" w:rsidRDefault="00A267D2" w:rsidP="00643457">
    <w:pPr>
      <w:pStyle w:val="Encabezado"/>
      <w:framePr w:wrap="around" w:vAnchor="text" w:hAnchor="margin" w:xAlign="right" w:y="1"/>
      <w:rPr>
        <w:rStyle w:val="Nmerodepgina"/>
      </w:rPr>
    </w:pPr>
  </w:p>
  <w:p w14:paraId="2D95EDD6" w14:textId="77777777" w:rsidR="00A267D2" w:rsidRDefault="00A267D2" w:rsidP="003E3E6B">
    <w:pPr>
      <w:widowControl w:val="0"/>
      <w:autoSpaceDE w:val="0"/>
      <w:autoSpaceDN w:val="0"/>
      <w:adjustRightInd w:val="0"/>
      <w:spacing w:line="240" w:lineRule="auto"/>
      <w:ind w:right="3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711A2"/>
    <w:multiLevelType w:val="multilevel"/>
    <w:tmpl w:val="6F8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995E37"/>
    <w:multiLevelType w:val="hybridMultilevel"/>
    <w:tmpl w:val="A960644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166B93"/>
    <w:multiLevelType w:val="hybridMultilevel"/>
    <w:tmpl w:val="09D45D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09591B"/>
    <w:multiLevelType w:val="hybridMultilevel"/>
    <w:tmpl w:val="5C827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E34087"/>
    <w:multiLevelType w:val="hybridMultilevel"/>
    <w:tmpl w:val="95D24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0B6B89"/>
    <w:multiLevelType w:val="hybridMultilevel"/>
    <w:tmpl w:val="385EDB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2"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C11595"/>
    <w:multiLevelType w:val="hybridMultilevel"/>
    <w:tmpl w:val="774296DE"/>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A5CB9"/>
    <w:multiLevelType w:val="hybridMultilevel"/>
    <w:tmpl w:val="D41EFB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6632B0"/>
    <w:multiLevelType w:val="hybridMultilevel"/>
    <w:tmpl w:val="EA569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E73BC6"/>
    <w:multiLevelType w:val="hybridMultilevel"/>
    <w:tmpl w:val="BD88B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100FA5"/>
    <w:multiLevelType w:val="hybridMultilevel"/>
    <w:tmpl w:val="9E522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33"/>
  </w:num>
  <w:num w:numId="4">
    <w:abstractNumId w:val="21"/>
  </w:num>
  <w:num w:numId="5">
    <w:abstractNumId w:val="22"/>
  </w:num>
  <w:num w:numId="6">
    <w:abstractNumId w:val="8"/>
  </w:num>
  <w:num w:numId="7">
    <w:abstractNumId w:val="35"/>
  </w:num>
  <w:num w:numId="8">
    <w:abstractNumId w:val="32"/>
  </w:num>
  <w:num w:numId="9">
    <w:abstractNumId w:val="7"/>
  </w:num>
  <w:num w:numId="10">
    <w:abstractNumId w:val="26"/>
  </w:num>
  <w:num w:numId="11">
    <w:abstractNumId w:val="0"/>
  </w:num>
  <w:num w:numId="12">
    <w:abstractNumId w:val="39"/>
  </w:num>
  <w:num w:numId="13">
    <w:abstractNumId w:val="25"/>
  </w:num>
  <w:num w:numId="14">
    <w:abstractNumId w:val="20"/>
  </w:num>
  <w:num w:numId="15">
    <w:abstractNumId w:val="24"/>
  </w:num>
  <w:num w:numId="16">
    <w:abstractNumId w:val="16"/>
  </w:num>
  <w:num w:numId="17">
    <w:abstractNumId w:val="5"/>
  </w:num>
  <w:num w:numId="18">
    <w:abstractNumId w:val="36"/>
  </w:num>
  <w:num w:numId="19">
    <w:abstractNumId w:val="15"/>
  </w:num>
  <w:num w:numId="20">
    <w:abstractNumId w:val="34"/>
  </w:num>
  <w:num w:numId="21">
    <w:abstractNumId w:val="28"/>
  </w:num>
  <w:num w:numId="22">
    <w:abstractNumId w:val="13"/>
  </w:num>
  <w:num w:numId="23">
    <w:abstractNumId w:val="17"/>
  </w:num>
  <w:num w:numId="24">
    <w:abstractNumId w:val="27"/>
  </w:num>
  <w:num w:numId="25">
    <w:abstractNumId w:val="9"/>
  </w:num>
  <w:num w:numId="26">
    <w:abstractNumId w:val="40"/>
  </w:num>
  <w:num w:numId="27">
    <w:abstractNumId w:val="6"/>
  </w:num>
  <w:num w:numId="28">
    <w:abstractNumId w:val="18"/>
  </w:num>
  <w:num w:numId="29">
    <w:abstractNumId w:val="2"/>
  </w:num>
  <w:num w:numId="30">
    <w:abstractNumId w:val="3"/>
  </w:num>
  <w:num w:numId="31">
    <w:abstractNumId w:val="31"/>
  </w:num>
  <w:num w:numId="32">
    <w:abstractNumId w:val="19"/>
  </w:num>
  <w:num w:numId="33">
    <w:abstractNumId w:val="43"/>
  </w:num>
  <w:num w:numId="34">
    <w:abstractNumId w:val="1"/>
  </w:num>
  <w:num w:numId="35">
    <w:abstractNumId w:val="4"/>
  </w:num>
  <w:num w:numId="36">
    <w:abstractNumId w:val="12"/>
  </w:num>
  <w:num w:numId="37">
    <w:abstractNumId w:val="30"/>
  </w:num>
  <w:num w:numId="38">
    <w:abstractNumId w:val="42"/>
  </w:num>
  <w:num w:numId="39">
    <w:abstractNumId w:val="14"/>
  </w:num>
  <w:num w:numId="40">
    <w:abstractNumId w:val="11"/>
  </w:num>
  <w:num w:numId="41">
    <w:abstractNumId w:val="10"/>
  </w:num>
  <w:num w:numId="42">
    <w:abstractNumId w:val="38"/>
  </w:num>
  <w:num w:numId="43">
    <w:abstractNumId w:val="29"/>
  </w:num>
  <w:num w:numId="44">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88F"/>
    <w:rsid w:val="0000092F"/>
    <w:rsid w:val="00000F07"/>
    <w:rsid w:val="00000FD3"/>
    <w:rsid w:val="00001679"/>
    <w:rsid w:val="0000180C"/>
    <w:rsid w:val="000018D2"/>
    <w:rsid w:val="00001F90"/>
    <w:rsid w:val="000022AF"/>
    <w:rsid w:val="0000284A"/>
    <w:rsid w:val="00002C1D"/>
    <w:rsid w:val="00002C8C"/>
    <w:rsid w:val="00002E38"/>
    <w:rsid w:val="00003317"/>
    <w:rsid w:val="00003330"/>
    <w:rsid w:val="0000356C"/>
    <w:rsid w:val="00003649"/>
    <w:rsid w:val="000036B8"/>
    <w:rsid w:val="000039FF"/>
    <w:rsid w:val="000041F0"/>
    <w:rsid w:val="00004616"/>
    <w:rsid w:val="000049E1"/>
    <w:rsid w:val="00004C66"/>
    <w:rsid w:val="00004D4F"/>
    <w:rsid w:val="0000506B"/>
    <w:rsid w:val="00005E16"/>
    <w:rsid w:val="0000645D"/>
    <w:rsid w:val="00006B5C"/>
    <w:rsid w:val="00006BE4"/>
    <w:rsid w:val="00006F2D"/>
    <w:rsid w:val="000072F1"/>
    <w:rsid w:val="00007811"/>
    <w:rsid w:val="00010098"/>
    <w:rsid w:val="0001030A"/>
    <w:rsid w:val="00010345"/>
    <w:rsid w:val="000104E1"/>
    <w:rsid w:val="000107A5"/>
    <w:rsid w:val="00010871"/>
    <w:rsid w:val="00010DB5"/>
    <w:rsid w:val="00011B4A"/>
    <w:rsid w:val="00011B60"/>
    <w:rsid w:val="00011C10"/>
    <w:rsid w:val="00011C9F"/>
    <w:rsid w:val="00011D03"/>
    <w:rsid w:val="00011D33"/>
    <w:rsid w:val="00012211"/>
    <w:rsid w:val="000123DA"/>
    <w:rsid w:val="00012497"/>
    <w:rsid w:val="00013063"/>
    <w:rsid w:val="000133BF"/>
    <w:rsid w:val="00013406"/>
    <w:rsid w:val="00013872"/>
    <w:rsid w:val="00013E02"/>
    <w:rsid w:val="00013EC4"/>
    <w:rsid w:val="00013F02"/>
    <w:rsid w:val="000142B2"/>
    <w:rsid w:val="000143F4"/>
    <w:rsid w:val="000144B5"/>
    <w:rsid w:val="00014595"/>
    <w:rsid w:val="000145C5"/>
    <w:rsid w:val="000148A2"/>
    <w:rsid w:val="000148CA"/>
    <w:rsid w:val="0001495C"/>
    <w:rsid w:val="00014AF5"/>
    <w:rsid w:val="00014BED"/>
    <w:rsid w:val="000150BD"/>
    <w:rsid w:val="000151C6"/>
    <w:rsid w:val="000152A8"/>
    <w:rsid w:val="00015930"/>
    <w:rsid w:val="00015C11"/>
    <w:rsid w:val="00015C4E"/>
    <w:rsid w:val="000162E7"/>
    <w:rsid w:val="0001656D"/>
    <w:rsid w:val="0001657D"/>
    <w:rsid w:val="00016873"/>
    <w:rsid w:val="0001691F"/>
    <w:rsid w:val="00016A5C"/>
    <w:rsid w:val="00016B27"/>
    <w:rsid w:val="00016B62"/>
    <w:rsid w:val="0001706A"/>
    <w:rsid w:val="0001706C"/>
    <w:rsid w:val="00017F4B"/>
    <w:rsid w:val="000203FE"/>
    <w:rsid w:val="00020AE9"/>
    <w:rsid w:val="00020E94"/>
    <w:rsid w:val="00021148"/>
    <w:rsid w:val="00021209"/>
    <w:rsid w:val="00021342"/>
    <w:rsid w:val="000217FD"/>
    <w:rsid w:val="000219F9"/>
    <w:rsid w:val="00021A58"/>
    <w:rsid w:val="00022076"/>
    <w:rsid w:val="00022841"/>
    <w:rsid w:val="0002287B"/>
    <w:rsid w:val="00022F79"/>
    <w:rsid w:val="00022FF3"/>
    <w:rsid w:val="00023005"/>
    <w:rsid w:val="0002326F"/>
    <w:rsid w:val="000232F7"/>
    <w:rsid w:val="0002353C"/>
    <w:rsid w:val="00023675"/>
    <w:rsid w:val="000239D7"/>
    <w:rsid w:val="00023EB5"/>
    <w:rsid w:val="00024217"/>
    <w:rsid w:val="00024457"/>
    <w:rsid w:val="00024662"/>
    <w:rsid w:val="00024BA0"/>
    <w:rsid w:val="00024D4D"/>
    <w:rsid w:val="000252C3"/>
    <w:rsid w:val="0002571A"/>
    <w:rsid w:val="00025A21"/>
    <w:rsid w:val="00025C0C"/>
    <w:rsid w:val="00025C65"/>
    <w:rsid w:val="00025C7D"/>
    <w:rsid w:val="00025CDB"/>
    <w:rsid w:val="00025FB8"/>
    <w:rsid w:val="000260FB"/>
    <w:rsid w:val="000262BF"/>
    <w:rsid w:val="000263A9"/>
    <w:rsid w:val="00026777"/>
    <w:rsid w:val="00026DAC"/>
    <w:rsid w:val="000274BE"/>
    <w:rsid w:val="00027837"/>
    <w:rsid w:val="00027A49"/>
    <w:rsid w:val="00027D79"/>
    <w:rsid w:val="0003004D"/>
    <w:rsid w:val="00030283"/>
    <w:rsid w:val="00030435"/>
    <w:rsid w:val="00030B05"/>
    <w:rsid w:val="00030C59"/>
    <w:rsid w:val="000314FF"/>
    <w:rsid w:val="00031536"/>
    <w:rsid w:val="000315AA"/>
    <w:rsid w:val="00031F50"/>
    <w:rsid w:val="000320EB"/>
    <w:rsid w:val="000321D5"/>
    <w:rsid w:val="000323EA"/>
    <w:rsid w:val="000324F3"/>
    <w:rsid w:val="00032C85"/>
    <w:rsid w:val="00032CC9"/>
    <w:rsid w:val="00032F97"/>
    <w:rsid w:val="0003316F"/>
    <w:rsid w:val="00033185"/>
    <w:rsid w:val="000331EF"/>
    <w:rsid w:val="00033707"/>
    <w:rsid w:val="00033A87"/>
    <w:rsid w:val="00033E47"/>
    <w:rsid w:val="00033EB5"/>
    <w:rsid w:val="0003415B"/>
    <w:rsid w:val="00034270"/>
    <w:rsid w:val="000342B6"/>
    <w:rsid w:val="000343E1"/>
    <w:rsid w:val="0003440D"/>
    <w:rsid w:val="00034796"/>
    <w:rsid w:val="00035DEC"/>
    <w:rsid w:val="00035FA6"/>
    <w:rsid w:val="0003603A"/>
    <w:rsid w:val="0003632B"/>
    <w:rsid w:val="0003635B"/>
    <w:rsid w:val="00036396"/>
    <w:rsid w:val="00036514"/>
    <w:rsid w:val="00036854"/>
    <w:rsid w:val="00036A0A"/>
    <w:rsid w:val="00036F1E"/>
    <w:rsid w:val="00037440"/>
    <w:rsid w:val="000404C9"/>
    <w:rsid w:val="000405B0"/>
    <w:rsid w:val="00040A0A"/>
    <w:rsid w:val="00040B33"/>
    <w:rsid w:val="00040E57"/>
    <w:rsid w:val="00041167"/>
    <w:rsid w:val="000413BF"/>
    <w:rsid w:val="00041473"/>
    <w:rsid w:val="00041502"/>
    <w:rsid w:val="00041689"/>
    <w:rsid w:val="00041B9B"/>
    <w:rsid w:val="00041D8F"/>
    <w:rsid w:val="00042364"/>
    <w:rsid w:val="000423B5"/>
    <w:rsid w:val="00042850"/>
    <w:rsid w:val="00042AFC"/>
    <w:rsid w:val="00043519"/>
    <w:rsid w:val="000439A7"/>
    <w:rsid w:val="00043C28"/>
    <w:rsid w:val="000442CE"/>
    <w:rsid w:val="00044A46"/>
    <w:rsid w:val="00044ABB"/>
    <w:rsid w:val="00044E26"/>
    <w:rsid w:val="00044F75"/>
    <w:rsid w:val="00045157"/>
    <w:rsid w:val="00045251"/>
    <w:rsid w:val="0004539B"/>
    <w:rsid w:val="00045C62"/>
    <w:rsid w:val="00045C63"/>
    <w:rsid w:val="00045E7D"/>
    <w:rsid w:val="00045FA8"/>
    <w:rsid w:val="000460C4"/>
    <w:rsid w:val="0004636C"/>
    <w:rsid w:val="00046CF7"/>
    <w:rsid w:val="00046F79"/>
    <w:rsid w:val="00046F8F"/>
    <w:rsid w:val="000472B4"/>
    <w:rsid w:val="00047AFA"/>
    <w:rsid w:val="000502E8"/>
    <w:rsid w:val="00050440"/>
    <w:rsid w:val="00050491"/>
    <w:rsid w:val="0005076D"/>
    <w:rsid w:val="00050CA0"/>
    <w:rsid w:val="00050CB2"/>
    <w:rsid w:val="00050E71"/>
    <w:rsid w:val="00051050"/>
    <w:rsid w:val="000511A4"/>
    <w:rsid w:val="0005135E"/>
    <w:rsid w:val="0005159B"/>
    <w:rsid w:val="00051C3C"/>
    <w:rsid w:val="00052126"/>
    <w:rsid w:val="00052621"/>
    <w:rsid w:val="000527C6"/>
    <w:rsid w:val="00052814"/>
    <w:rsid w:val="0005282F"/>
    <w:rsid w:val="0005289E"/>
    <w:rsid w:val="00052956"/>
    <w:rsid w:val="00052B55"/>
    <w:rsid w:val="00052E2B"/>
    <w:rsid w:val="00052E7C"/>
    <w:rsid w:val="00052EC9"/>
    <w:rsid w:val="00053041"/>
    <w:rsid w:val="00053089"/>
    <w:rsid w:val="00053234"/>
    <w:rsid w:val="00053524"/>
    <w:rsid w:val="00053778"/>
    <w:rsid w:val="00053C58"/>
    <w:rsid w:val="00053C87"/>
    <w:rsid w:val="0005420C"/>
    <w:rsid w:val="0005429D"/>
    <w:rsid w:val="00054863"/>
    <w:rsid w:val="00054B2D"/>
    <w:rsid w:val="00054E45"/>
    <w:rsid w:val="00054E8C"/>
    <w:rsid w:val="00055411"/>
    <w:rsid w:val="00055723"/>
    <w:rsid w:val="00055A2C"/>
    <w:rsid w:val="00055B59"/>
    <w:rsid w:val="00055E1B"/>
    <w:rsid w:val="00055E77"/>
    <w:rsid w:val="00056023"/>
    <w:rsid w:val="00056867"/>
    <w:rsid w:val="00056F8F"/>
    <w:rsid w:val="000570EE"/>
    <w:rsid w:val="0005739B"/>
    <w:rsid w:val="0005760C"/>
    <w:rsid w:val="0006047E"/>
    <w:rsid w:val="00060569"/>
    <w:rsid w:val="000605CC"/>
    <w:rsid w:val="0006071E"/>
    <w:rsid w:val="00060869"/>
    <w:rsid w:val="00060962"/>
    <w:rsid w:val="00060A10"/>
    <w:rsid w:val="00060D51"/>
    <w:rsid w:val="00061169"/>
    <w:rsid w:val="00061758"/>
    <w:rsid w:val="0006195A"/>
    <w:rsid w:val="000619AB"/>
    <w:rsid w:val="00062704"/>
    <w:rsid w:val="00062A8C"/>
    <w:rsid w:val="00062D91"/>
    <w:rsid w:val="00062EC8"/>
    <w:rsid w:val="00062F25"/>
    <w:rsid w:val="0006314A"/>
    <w:rsid w:val="00063833"/>
    <w:rsid w:val="00063D99"/>
    <w:rsid w:val="00063FDB"/>
    <w:rsid w:val="000641E1"/>
    <w:rsid w:val="00064582"/>
    <w:rsid w:val="00064804"/>
    <w:rsid w:val="000649ED"/>
    <w:rsid w:val="00064D83"/>
    <w:rsid w:val="00064FAF"/>
    <w:rsid w:val="00064FE5"/>
    <w:rsid w:val="00064FF3"/>
    <w:rsid w:val="00065205"/>
    <w:rsid w:val="000652B3"/>
    <w:rsid w:val="00065954"/>
    <w:rsid w:val="00065BCF"/>
    <w:rsid w:val="00066448"/>
    <w:rsid w:val="0006682C"/>
    <w:rsid w:val="0006696D"/>
    <w:rsid w:val="00066EDF"/>
    <w:rsid w:val="0006725B"/>
    <w:rsid w:val="000678CE"/>
    <w:rsid w:val="000701BA"/>
    <w:rsid w:val="00070271"/>
    <w:rsid w:val="000705E6"/>
    <w:rsid w:val="000706AC"/>
    <w:rsid w:val="000708AE"/>
    <w:rsid w:val="00070DFD"/>
    <w:rsid w:val="00071767"/>
    <w:rsid w:val="000718A3"/>
    <w:rsid w:val="000718EA"/>
    <w:rsid w:val="00071BC7"/>
    <w:rsid w:val="00071DAB"/>
    <w:rsid w:val="000720DE"/>
    <w:rsid w:val="0007215D"/>
    <w:rsid w:val="000722F8"/>
    <w:rsid w:val="000723FC"/>
    <w:rsid w:val="000725C1"/>
    <w:rsid w:val="00072640"/>
    <w:rsid w:val="00072CB1"/>
    <w:rsid w:val="00072DD3"/>
    <w:rsid w:val="0007346D"/>
    <w:rsid w:val="000735F3"/>
    <w:rsid w:val="000739F5"/>
    <w:rsid w:val="00073B78"/>
    <w:rsid w:val="00073CB3"/>
    <w:rsid w:val="00073DB3"/>
    <w:rsid w:val="00074439"/>
    <w:rsid w:val="00074452"/>
    <w:rsid w:val="00074676"/>
    <w:rsid w:val="00074BFD"/>
    <w:rsid w:val="00074C0F"/>
    <w:rsid w:val="00074C56"/>
    <w:rsid w:val="00075259"/>
    <w:rsid w:val="00075574"/>
    <w:rsid w:val="00075779"/>
    <w:rsid w:val="00075FD8"/>
    <w:rsid w:val="00075FF5"/>
    <w:rsid w:val="00076631"/>
    <w:rsid w:val="00076665"/>
    <w:rsid w:val="000768CD"/>
    <w:rsid w:val="0007693E"/>
    <w:rsid w:val="00076AFF"/>
    <w:rsid w:val="0007726F"/>
    <w:rsid w:val="000775AE"/>
    <w:rsid w:val="000778AA"/>
    <w:rsid w:val="00077B7D"/>
    <w:rsid w:val="00077BE9"/>
    <w:rsid w:val="00077E42"/>
    <w:rsid w:val="00077F0F"/>
    <w:rsid w:val="000800B1"/>
    <w:rsid w:val="00080157"/>
    <w:rsid w:val="000805DC"/>
    <w:rsid w:val="000807C9"/>
    <w:rsid w:val="00080B3A"/>
    <w:rsid w:val="00080B97"/>
    <w:rsid w:val="0008136A"/>
    <w:rsid w:val="0008171B"/>
    <w:rsid w:val="00081F74"/>
    <w:rsid w:val="00082157"/>
    <w:rsid w:val="00082852"/>
    <w:rsid w:val="00082E1A"/>
    <w:rsid w:val="00082FB7"/>
    <w:rsid w:val="0008338D"/>
    <w:rsid w:val="0008343C"/>
    <w:rsid w:val="00083AEA"/>
    <w:rsid w:val="00083BEE"/>
    <w:rsid w:val="000841F0"/>
    <w:rsid w:val="00084296"/>
    <w:rsid w:val="0008429A"/>
    <w:rsid w:val="000843C9"/>
    <w:rsid w:val="00084419"/>
    <w:rsid w:val="0008441D"/>
    <w:rsid w:val="00084A32"/>
    <w:rsid w:val="00084AA8"/>
    <w:rsid w:val="0008509A"/>
    <w:rsid w:val="00085110"/>
    <w:rsid w:val="00085283"/>
    <w:rsid w:val="00085297"/>
    <w:rsid w:val="000853B7"/>
    <w:rsid w:val="0008540A"/>
    <w:rsid w:val="00085443"/>
    <w:rsid w:val="00085B33"/>
    <w:rsid w:val="000860F8"/>
    <w:rsid w:val="00086437"/>
    <w:rsid w:val="00086D58"/>
    <w:rsid w:val="0008798C"/>
    <w:rsid w:val="00087B20"/>
    <w:rsid w:val="00087C29"/>
    <w:rsid w:val="00087DEA"/>
    <w:rsid w:val="00087FBA"/>
    <w:rsid w:val="000901F9"/>
    <w:rsid w:val="000902CC"/>
    <w:rsid w:val="000903DB"/>
    <w:rsid w:val="0009054D"/>
    <w:rsid w:val="000907DF"/>
    <w:rsid w:val="00090865"/>
    <w:rsid w:val="00090A63"/>
    <w:rsid w:val="00090C49"/>
    <w:rsid w:val="00091462"/>
    <w:rsid w:val="000923E9"/>
    <w:rsid w:val="0009295D"/>
    <w:rsid w:val="00092D3F"/>
    <w:rsid w:val="00092E1F"/>
    <w:rsid w:val="00092F50"/>
    <w:rsid w:val="00092FCB"/>
    <w:rsid w:val="000935A8"/>
    <w:rsid w:val="0009383B"/>
    <w:rsid w:val="0009385C"/>
    <w:rsid w:val="00093953"/>
    <w:rsid w:val="00093CE2"/>
    <w:rsid w:val="00093F6C"/>
    <w:rsid w:val="00093FAE"/>
    <w:rsid w:val="00094264"/>
    <w:rsid w:val="0009429B"/>
    <w:rsid w:val="000946D8"/>
    <w:rsid w:val="00094941"/>
    <w:rsid w:val="00094CF5"/>
    <w:rsid w:val="000950A0"/>
    <w:rsid w:val="000954D9"/>
    <w:rsid w:val="000958F8"/>
    <w:rsid w:val="00095A9A"/>
    <w:rsid w:val="00095DC4"/>
    <w:rsid w:val="00095DE2"/>
    <w:rsid w:val="000964A2"/>
    <w:rsid w:val="0009687C"/>
    <w:rsid w:val="00096F0A"/>
    <w:rsid w:val="00097392"/>
    <w:rsid w:val="00097454"/>
    <w:rsid w:val="00097483"/>
    <w:rsid w:val="00097BD7"/>
    <w:rsid w:val="00097E28"/>
    <w:rsid w:val="00097FFE"/>
    <w:rsid w:val="000A0632"/>
    <w:rsid w:val="000A0A57"/>
    <w:rsid w:val="000A10EB"/>
    <w:rsid w:val="000A15AD"/>
    <w:rsid w:val="000A1ADA"/>
    <w:rsid w:val="000A1BFC"/>
    <w:rsid w:val="000A2287"/>
    <w:rsid w:val="000A2365"/>
    <w:rsid w:val="000A254D"/>
    <w:rsid w:val="000A25DB"/>
    <w:rsid w:val="000A2796"/>
    <w:rsid w:val="000A2883"/>
    <w:rsid w:val="000A2BF3"/>
    <w:rsid w:val="000A2F71"/>
    <w:rsid w:val="000A32FC"/>
    <w:rsid w:val="000A3380"/>
    <w:rsid w:val="000A342E"/>
    <w:rsid w:val="000A344C"/>
    <w:rsid w:val="000A3F4D"/>
    <w:rsid w:val="000A40B4"/>
    <w:rsid w:val="000A40C1"/>
    <w:rsid w:val="000A4287"/>
    <w:rsid w:val="000A438E"/>
    <w:rsid w:val="000A43A4"/>
    <w:rsid w:val="000A46B2"/>
    <w:rsid w:val="000A5500"/>
    <w:rsid w:val="000A59FB"/>
    <w:rsid w:val="000A5AB6"/>
    <w:rsid w:val="000A5CC8"/>
    <w:rsid w:val="000A5EB1"/>
    <w:rsid w:val="000A5F64"/>
    <w:rsid w:val="000A6106"/>
    <w:rsid w:val="000A61FB"/>
    <w:rsid w:val="000A62E7"/>
    <w:rsid w:val="000A6629"/>
    <w:rsid w:val="000A6787"/>
    <w:rsid w:val="000A696C"/>
    <w:rsid w:val="000A6C47"/>
    <w:rsid w:val="000A6E70"/>
    <w:rsid w:val="000A700C"/>
    <w:rsid w:val="000A7358"/>
    <w:rsid w:val="000A7800"/>
    <w:rsid w:val="000A79D1"/>
    <w:rsid w:val="000A7D91"/>
    <w:rsid w:val="000A7F66"/>
    <w:rsid w:val="000B00D9"/>
    <w:rsid w:val="000B07B5"/>
    <w:rsid w:val="000B0BFA"/>
    <w:rsid w:val="000B0DF8"/>
    <w:rsid w:val="000B0FF7"/>
    <w:rsid w:val="000B1254"/>
    <w:rsid w:val="000B1513"/>
    <w:rsid w:val="000B194A"/>
    <w:rsid w:val="000B1BC1"/>
    <w:rsid w:val="000B1E1C"/>
    <w:rsid w:val="000B1F68"/>
    <w:rsid w:val="000B2B5A"/>
    <w:rsid w:val="000B2C03"/>
    <w:rsid w:val="000B3002"/>
    <w:rsid w:val="000B3247"/>
    <w:rsid w:val="000B35F0"/>
    <w:rsid w:val="000B393A"/>
    <w:rsid w:val="000B3DED"/>
    <w:rsid w:val="000B447A"/>
    <w:rsid w:val="000B4594"/>
    <w:rsid w:val="000B45E5"/>
    <w:rsid w:val="000B4705"/>
    <w:rsid w:val="000B48A9"/>
    <w:rsid w:val="000B4DDE"/>
    <w:rsid w:val="000B4E3B"/>
    <w:rsid w:val="000B51E0"/>
    <w:rsid w:val="000B572D"/>
    <w:rsid w:val="000B57B2"/>
    <w:rsid w:val="000B5AC9"/>
    <w:rsid w:val="000B5B53"/>
    <w:rsid w:val="000B5BD6"/>
    <w:rsid w:val="000B5D70"/>
    <w:rsid w:val="000B5DB0"/>
    <w:rsid w:val="000B5EFC"/>
    <w:rsid w:val="000B5F38"/>
    <w:rsid w:val="000B60B3"/>
    <w:rsid w:val="000B6230"/>
    <w:rsid w:val="000B642A"/>
    <w:rsid w:val="000B697D"/>
    <w:rsid w:val="000B6BDD"/>
    <w:rsid w:val="000B6E9C"/>
    <w:rsid w:val="000B7050"/>
    <w:rsid w:val="000B7709"/>
    <w:rsid w:val="000B771B"/>
    <w:rsid w:val="000B781A"/>
    <w:rsid w:val="000B78EA"/>
    <w:rsid w:val="000B7C52"/>
    <w:rsid w:val="000C0124"/>
    <w:rsid w:val="000C0670"/>
    <w:rsid w:val="000C0E50"/>
    <w:rsid w:val="000C0E6F"/>
    <w:rsid w:val="000C15FA"/>
    <w:rsid w:val="000C160D"/>
    <w:rsid w:val="000C1CDB"/>
    <w:rsid w:val="000C1EB8"/>
    <w:rsid w:val="000C20BB"/>
    <w:rsid w:val="000C20BD"/>
    <w:rsid w:val="000C216C"/>
    <w:rsid w:val="000C2328"/>
    <w:rsid w:val="000C23D5"/>
    <w:rsid w:val="000C24A1"/>
    <w:rsid w:val="000C26D8"/>
    <w:rsid w:val="000C2AF4"/>
    <w:rsid w:val="000C2E36"/>
    <w:rsid w:val="000C2E79"/>
    <w:rsid w:val="000C32CB"/>
    <w:rsid w:val="000C344C"/>
    <w:rsid w:val="000C3490"/>
    <w:rsid w:val="000C397E"/>
    <w:rsid w:val="000C3A80"/>
    <w:rsid w:val="000C3C31"/>
    <w:rsid w:val="000C3FC8"/>
    <w:rsid w:val="000C40B3"/>
    <w:rsid w:val="000C4136"/>
    <w:rsid w:val="000C4149"/>
    <w:rsid w:val="000C4728"/>
    <w:rsid w:val="000C488E"/>
    <w:rsid w:val="000C4D3F"/>
    <w:rsid w:val="000C4EC2"/>
    <w:rsid w:val="000C5315"/>
    <w:rsid w:val="000C532A"/>
    <w:rsid w:val="000C54B0"/>
    <w:rsid w:val="000C55C9"/>
    <w:rsid w:val="000C56C2"/>
    <w:rsid w:val="000C58FC"/>
    <w:rsid w:val="000C5B22"/>
    <w:rsid w:val="000C5B2C"/>
    <w:rsid w:val="000C61D9"/>
    <w:rsid w:val="000C6608"/>
    <w:rsid w:val="000C67A0"/>
    <w:rsid w:val="000C695F"/>
    <w:rsid w:val="000C698B"/>
    <w:rsid w:val="000C6B91"/>
    <w:rsid w:val="000C7086"/>
    <w:rsid w:val="000C74FA"/>
    <w:rsid w:val="000C7A5D"/>
    <w:rsid w:val="000C7AAF"/>
    <w:rsid w:val="000C7D37"/>
    <w:rsid w:val="000C7F7D"/>
    <w:rsid w:val="000C7FA2"/>
    <w:rsid w:val="000D094E"/>
    <w:rsid w:val="000D0BCC"/>
    <w:rsid w:val="000D0CB9"/>
    <w:rsid w:val="000D10BD"/>
    <w:rsid w:val="000D12CC"/>
    <w:rsid w:val="000D1743"/>
    <w:rsid w:val="000D18F9"/>
    <w:rsid w:val="000D1CC8"/>
    <w:rsid w:val="000D1FD5"/>
    <w:rsid w:val="000D2042"/>
    <w:rsid w:val="000D208E"/>
    <w:rsid w:val="000D2389"/>
    <w:rsid w:val="000D24AB"/>
    <w:rsid w:val="000D25BF"/>
    <w:rsid w:val="000D2758"/>
    <w:rsid w:val="000D27BB"/>
    <w:rsid w:val="000D2AA5"/>
    <w:rsid w:val="000D2D7B"/>
    <w:rsid w:val="000D2DBC"/>
    <w:rsid w:val="000D32AA"/>
    <w:rsid w:val="000D32C3"/>
    <w:rsid w:val="000D33B8"/>
    <w:rsid w:val="000D342F"/>
    <w:rsid w:val="000D3769"/>
    <w:rsid w:val="000D3852"/>
    <w:rsid w:val="000D44A9"/>
    <w:rsid w:val="000D44D5"/>
    <w:rsid w:val="000D47FA"/>
    <w:rsid w:val="000D4C53"/>
    <w:rsid w:val="000D4DED"/>
    <w:rsid w:val="000D501B"/>
    <w:rsid w:val="000D5064"/>
    <w:rsid w:val="000D5072"/>
    <w:rsid w:val="000D51F6"/>
    <w:rsid w:val="000D5841"/>
    <w:rsid w:val="000D589C"/>
    <w:rsid w:val="000D59CB"/>
    <w:rsid w:val="000D601A"/>
    <w:rsid w:val="000D64BF"/>
    <w:rsid w:val="000D66EC"/>
    <w:rsid w:val="000D6865"/>
    <w:rsid w:val="000D69A6"/>
    <w:rsid w:val="000D6A2A"/>
    <w:rsid w:val="000D6A66"/>
    <w:rsid w:val="000D6A86"/>
    <w:rsid w:val="000D6BB8"/>
    <w:rsid w:val="000D6F53"/>
    <w:rsid w:val="000D715A"/>
    <w:rsid w:val="000D715B"/>
    <w:rsid w:val="000D71A3"/>
    <w:rsid w:val="000D7359"/>
    <w:rsid w:val="000D7488"/>
    <w:rsid w:val="000D7773"/>
    <w:rsid w:val="000E0B89"/>
    <w:rsid w:val="000E0C18"/>
    <w:rsid w:val="000E0C3C"/>
    <w:rsid w:val="000E0D85"/>
    <w:rsid w:val="000E0E01"/>
    <w:rsid w:val="000E12A5"/>
    <w:rsid w:val="000E17DE"/>
    <w:rsid w:val="000E20DD"/>
    <w:rsid w:val="000E278E"/>
    <w:rsid w:val="000E28EB"/>
    <w:rsid w:val="000E2CB1"/>
    <w:rsid w:val="000E325E"/>
    <w:rsid w:val="000E353A"/>
    <w:rsid w:val="000E363C"/>
    <w:rsid w:val="000E391B"/>
    <w:rsid w:val="000E3B41"/>
    <w:rsid w:val="000E3BA3"/>
    <w:rsid w:val="000E3D66"/>
    <w:rsid w:val="000E41A9"/>
    <w:rsid w:val="000E45B9"/>
    <w:rsid w:val="000E4683"/>
    <w:rsid w:val="000E4DCC"/>
    <w:rsid w:val="000E4E92"/>
    <w:rsid w:val="000E5062"/>
    <w:rsid w:val="000E51DA"/>
    <w:rsid w:val="000E52CC"/>
    <w:rsid w:val="000E54DA"/>
    <w:rsid w:val="000E5667"/>
    <w:rsid w:val="000E571B"/>
    <w:rsid w:val="000E573C"/>
    <w:rsid w:val="000E5BA8"/>
    <w:rsid w:val="000E6697"/>
    <w:rsid w:val="000E6C2F"/>
    <w:rsid w:val="000E76A0"/>
    <w:rsid w:val="000E7E25"/>
    <w:rsid w:val="000F05E1"/>
    <w:rsid w:val="000F0B36"/>
    <w:rsid w:val="000F0C2F"/>
    <w:rsid w:val="000F0C94"/>
    <w:rsid w:val="000F180A"/>
    <w:rsid w:val="000F18C2"/>
    <w:rsid w:val="000F1D72"/>
    <w:rsid w:val="000F1D87"/>
    <w:rsid w:val="000F22FF"/>
    <w:rsid w:val="000F2440"/>
    <w:rsid w:val="000F2592"/>
    <w:rsid w:val="000F265A"/>
    <w:rsid w:val="000F26E1"/>
    <w:rsid w:val="000F2AEB"/>
    <w:rsid w:val="000F2F49"/>
    <w:rsid w:val="000F3037"/>
    <w:rsid w:val="000F34A9"/>
    <w:rsid w:val="000F3593"/>
    <w:rsid w:val="000F3716"/>
    <w:rsid w:val="000F3DB6"/>
    <w:rsid w:val="000F3DF5"/>
    <w:rsid w:val="000F3F79"/>
    <w:rsid w:val="000F40F7"/>
    <w:rsid w:val="000F4116"/>
    <w:rsid w:val="000F4144"/>
    <w:rsid w:val="000F48E0"/>
    <w:rsid w:val="000F4CAC"/>
    <w:rsid w:val="000F55D2"/>
    <w:rsid w:val="000F59B3"/>
    <w:rsid w:val="000F5B4E"/>
    <w:rsid w:val="000F61E7"/>
    <w:rsid w:val="000F65E7"/>
    <w:rsid w:val="000F6614"/>
    <w:rsid w:val="000F7158"/>
    <w:rsid w:val="000F7BB7"/>
    <w:rsid w:val="000F7F26"/>
    <w:rsid w:val="001002CF"/>
    <w:rsid w:val="00100838"/>
    <w:rsid w:val="00100AD0"/>
    <w:rsid w:val="00100AD9"/>
    <w:rsid w:val="00100B2F"/>
    <w:rsid w:val="00100BE6"/>
    <w:rsid w:val="00100C07"/>
    <w:rsid w:val="00100C4C"/>
    <w:rsid w:val="00100E68"/>
    <w:rsid w:val="00100F5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A6"/>
    <w:rsid w:val="00103A87"/>
    <w:rsid w:val="00103DD6"/>
    <w:rsid w:val="00103EE0"/>
    <w:rsid w:val="0010447F"/>
    <w:rsid w:val="0010497F"/>
    <w:rsid w:val="00104C98"/>
    <w:rsid w:val="00104CB2"/>
    <w:rsid w:val="00104D7F"/>
    <w:rsid w:val="00104DB4"/>
    <w:rsid w:val="00104DE5"/>
    <w:rsid w:val="00104E10"/>
    <w:rsid w:val="00105160"/>
    <w:rsid w:val="0010526A"/>
    <w:rsid w:val="00105388"/>
    <w:rsid w:val="0010562F"/>
    <w:rsid w:val="00105835"/>
    <w:rsid w:val="0010587D"/>
    <w:rsid w:val="00105C2B"/>
    <w:rsid w:val="0010616D"/>
    <w:rsid w:val="0010627B"/>
    <w:rsid w:val="00106B23"/>
    <w:rsid w:val="0010721D"/>
    <w:rsid w:val="001072BE"/>
    <w:rsid w:val="0010760F"/>
    <w:rsid w:val="00107F25"/>
    <w:rsid w:val="0011024D"/>
    <w:rsid w:val="0011031F"/>
    <w:rsid w:val="0011056D"/>
    <w:rsid w:val="00110674"/>
    <w:rsid w:val="00110957"/>
    <w:rsid w:val="00110C75"/>
    <w:rsid w:val="0011113C"/>
    <w:rsid w:val="00111357"/>
    <w:rsid w:val="00111438"/>
    <w:rsid w:val="0011158E"/>
    <w:rsid w:val="001116E5"/>
    <w:rsid w:val="001118A8"/>
    <w:rsid w:val="0011197E"/>
    <w:rsid w:val="0011227D"/>
    <w:rsid w:val="001125D6"/>
    <w:rsid w:val="001126A8"/>
    <w:rsid w:val="001128FC"/>
    <w:rsid w:val="00112948"/>
    <w:rsid w:val="00112D61"/>
    <w:rsid w:val="0011390B"/>
    <w:rsid w:val="00113EBD"/>
    <w:rsid w:val="00113F61"/>
    <w:rsid w:val="001143E9"/>
    <w:rsid w:val="0011467E"/>
    <w:rsid w:val="001146C5"/>
    <w:rsid w:val="001146DB"/>
    <w:rsid w:val="00114CA2"/>
    <w:rsid w:val="00114EF3"/>
    <w:rsid w:val="00114F81"/>
    <w:rsid w:val="00115037"/>
    <w:rsid w:val="0011518B"/>
    <w:rsid w:val="0011526B"/>
    <w:rsid w:val="00115940"/>
    <w:rsid w:val="001160A0"/>
    <w:rsid w:val="00116229"/>
    <w:rsid w:val="00116277"/>
    <w:rsid w:val="0011628F"/>
    <w:rsid w:val="00116306"/>
    <w:rsid w:val="001163C3"/>
    <w:rsid w:val="00116AC4"/>
    <w:rsid w:val="00116C30"/>
    <w:rsid w:val="00116C60"/>
    <w:rsid w:val="00117245"/>
    <w:rsid w:val="00117B6F"/>
    <w:rsid w:val="00117F62"/>
    <w:rsid w:val="0012001C"/>
    <w:rsid w:val="0012008D"/>
    <w:rsid w:val="0012045C"/>
    <w:rsid w:val="001204EE"/>
    <w:rsid w:val="001207B2"/>
    <w:rsid w:val="00120A14"/>
    <w:rsid w:val="00120E8F"/>
    <w:rsid w:val="00120EA7"/>
    <w:rsid w:val="00120F4B"/>
    <w:rsid w:val="001211E7"/>
    <w:rsid w:val="00121C81"/>
    <w:rsid w:val="00121C8E"/>
    <w:rsid w:val="00121D19"/>
    <w:rsid w:val="001223D1"/>
    <w:rsid w:val="00122FBE"/>
    <w:rsid w:val="001235E1"/>
    <w:rsid w:val="001239CC"/>
    <w:rsid w:val="00123C45"/>
    <w:rsid w:val="00123D2C"/>
    <w:rsid w:val="00123F2C"/>
    <w:rsid w:val="00124B07"/>
    <w:rsid w:val="00124D56"/>
    <w:rsid w:val="001250F1"/>
    <w:rsid w:val="001250FD"/>
    <w:rsid w:val="00125167"/>
    <w:rsid w:val="00125331"/>
    <w:rsid w:val="00125551"/>
    <w:rsid w:val="0012558D"/>
    <w:rsid w:val="00125670"/>
    <w:rsid w:val="0012569B"/>
    <w:rsid w:val="00125712"/>
    <w:rsid w:val="00125C69"/>
    <w:rsid w:val="00126005"/>
    <w:rsid w:val="0012651D"/>
    <w:rsid w:val="0012681B"/>
    <w:rsid w:val="00126EFE"/>
    <w:rsid w:val="0012735F"/>
    <w:rsid w:val="001273CB"/>
    <w:rsid w:val="00127484"/>
    <w:rsid w:val="001276EB"/>
    <w:rsid w:val="00127748"/>
    <w:rsid w:val="00127A83"/>
    <w:rsid w:val="00127AD4"/>
    <w:rsid w:val="00127C06"/>
    <w:rsid w:val="00127E59"/>
    <w:rsid w:val="00127F3D"/>
    <w:rsid w:val="001302AE"/>
    <w:rsid w:val="00130391"/>
    <w:rsid w:val="001306FC"/>
    <w:rsid w:val="0013075B"/>
    <w:rsid w:val="00130FC6"/>
    <w:rsid w:val="00131111"/>
    <w:rsid w:val="00131311"/>
    <w:rsid w:val="0013154C"/>
    <w:rsid w:val="001316F1"/>
    <w:rsid w:val="00131801"/>
    <w:rsid w:val="0013204A"/>
    <w:rsid w:val="00132263"/>
    <w:rsid w:val="00132460"/>
    <w:rsid w:val="001329D5"/>
    <w:rsid w:val="00132BAD"/>
    <w:rsid w:val="00132F76"/>
    <w:rsid w:val="001330BC"/>
    <w:rsid w:val="0013334F"/>
    <w:rsid w:val="00133490"/>
    <w:rsid w:val="00133669"/>
    <w:rsid w:val="001337CE"/>
    <w:rsid w:val="00133E89"/>
    <w:rsid w:val="001343E3"/>
    <w:rsid w:val="00134B7A"/>
    <w:rsid w:val="00134F71"/>
    <w:rsid w:val="001357F1"/>
    <w:rsid w:val="00135B30"/>
    <w:rsid w:val="00135CC1"/>
    <w:rsid w:val="00136487"/>
    <w:rsid w:val="00136665"/>
    <w:rsid w:val="0013679B"/>
    <w:rsid w:val="00136A61"/>
    <w:rsid w:val="001371BA"/>
    <w:rsid w:val="001373DB"/>
    <w:rsid w:val="00137C26"/>
    <w:rsid w:val="0014010E"/>
    <w:rsid w:val="00140297"/>
    <w:rsid w:val="00140307"/>
    <w:rsid w:val="0014059F"/>
    <w:rsid w:val="001407AA"/>
    <w:rsid w:val="00140A82"/>
    <w:rsid w:val="00140C3E"/>
    <w:rsid w:val="00141037"/>
    <w:rsid w:val="00141196"/>
    <w:rsid w:val="001414A3"/>
    <w:rsid w:val="001414E2"/>
    <w:rsid w:val="001415A6"/>
    <w:rsid w:val="0014161E"/>
    <w:rsid w:val="001416DF"/>
    <w:rsid w:val="00142043"/>
    <w:rsid w:val="00142212"/>
    <w:rsid w:val="00142DA7"/>
    <w:rsid w:val="00143396"/>
    <w:rsid w:val="001437C1"/>
    <w:rsid w:val="00143CB4"/>
    <w:rsid w:val="00144007"/>
    <w:rsid w:val="001446D3"/>
    <w:rsid w:val="00144721"/>
    <w:rsid w:val="001449DF"/>
    <w:rsid w:val="00144B97"/>
    <w:rsid w:val="001452AD"/>
    <w:rsid w:val="001454B0"/>
    <w:rsid w:val="00145AB1"/>
    <w:rsid w:val="0014612C"/>
    <w:rsid w:val="00146135"/>
    <w:rsid w:val="00146613"/>
    <w:rsid w:val="00146777"/>
    <w:rsid w:val="00146AFC"/>
    <w:rsid w:val="00146B49"/>
    <w:rsid w:val="00146C5F"/>
    <w:rsid w:val="00147228"/>
    <w:rsid w:val="00147E18"/>
    <w:rsid w:val="00147EC0"/>
    <w:rsid w:val="00147F23"/>
    <w:rsid w:val="00147F6D"/>
    <w:rsid w:val="00147F79"/>
    <w:rsid w:val="0015002B"/>
    <w:rsid w:val="00150215"/>
    <w:rsid w:val="001502AE"/>
    <w:rsid w:val="0015047B"/>
    <w:rsid w:val="001504D0"/>
    <w:rsid w:val="00150D05"/>
    <w:rsid w:val="00150D74"/>
    <w:rsid w:val="00150E1F"/>
    <w:rsid w:val="00150F73"/>
    <w:rsid w:val="00150FB5"/>
    <w:rsid w:val="00151ABE"/>
    <w:rsid w:val="00151B5A"/>
    <w:rsid w:val="00151B7D"/>
    <w:rsid w:val="00151B88"/>
    <w:rsid w:val="001520DE"/>
    <w:rsid w:val="001524DF"/>
    <w:rsid w:val="00152D12"/>
    <w:rsid w:val="00152DDD"/>
    <w:rsid w:val="00152F97"/>
    <w:rsid w:val="00153240"/>
    <w:rsid w:val="00153358"/>
    <w:rsid w:val="001535AA"/>
    <w:rsid w:val="0015370D"/>
    <w:rsid w:val="001539DF"/>
    <w:rsid w:val="00153A2E"/>
    <w:rsid w:val="00153A89"/>
    <w:rsid w:val="00153CED"/>
    <w:rsid w:val="00153F06"/>
    <w:rsid w:val="0015435A"/>
    <w:rsid w:val="00155271"/>
    <w:rsid w:val="0015543B"/>
    <w:rsid w:val="0015550B"/>
    <w:rsid w:val="00155770"/>
    <w:rsid w:val="00155D82"/>
    <w:rsid w:val="0015683C"/>
    <w:rsid w:val="00156AE5"/>
    <w:rsid w:val="00156D10"/>
    <w:rsid w:val="00156F9F"/>
    <w:rsid w:val="001570B3"/>
    <w:rsid w:val="0015721D"/>
    <w:rsid w:val="00157224"/>
    <w:rsid w:val="0015741E"/>
    <w:rsid w:val="001579E6"/>
    <w:rsid w:val="00157AEB"/>
    <w:rsid w:val="00157F93"/>
    <w:rsid w:val="001601B0"/>
    <w:rsid w:val="00160302"/>
    <w:rsid w:val="001604BF"/>
    <w:rsid w:val="0016066E"/>
    <w:rsid w:val="0016080F"/>
    <w:rsid w:val="00161891"/>
    <w:rsid w:val="00161AF9"/>
    <w:rsid w:val="00161EB1"/>
    <w:rsid w:val="001621B3"/>
    <w:rsid w:val="00162248"/>
    <w:rsid w:val="001625D8"/>
    <w:rsid w:val="001625E6"/>
    <w:rsid w:val="00162706"/>
    <w:rsid w:val="001629CA"/>
    <w:rsid w:val="00162B64"/>
    <w:rsid w:val="00162DD8"/>
    <w:rsid w:val="0016305C"/>
    <w:rsid w:val="00163CFF"/>
    <w:rsid w:val="00163E82"/>
    <w:rsid w:val="00163FD6"/>
    <w:rsid w:val="00164247"/>
    <w:rsid w:val="001642D5"/>
    <w:rsid w:val="001642F1"/>
    <w:rsid w:val="001646D1"/>
    <w:rsid w:val="00164922"/>
    <w:rsid w:val="00164C0A"/>
    <w:rsid w:val="00164F12"/>
    <w:rsid w:val="001653BB"/>
    <w:rsid w:val="0016559C"/>
    <w:rsid w:val="001655B0"/>
    <w:rsid w:val="001659CA"/>
    <w:rsid w:val="00165A48"/>
    <w:rsid w:val="00165B4B"/>
    <w:rsid w:val="00165E9F"/>
    <w:rsid w:val="001660B3"/>
    <w:rsid w:val="00166175"/>
    <w:rsid w:val="00166260"/>
    <w:rsid w:val="001665ED"/>
    <w:rsid w:val="00166741"/>
    <w:rsid w:val="001668A1"/>
    <w:rsid w:val="00167243"/>
    <w:rsid w:val="0016733A"/>
    <w:rsid w:val="0016757D"/>
    <w:rsid w:val="00167667"/>
    <w:rsid w:val="00167AF2"/>
    <w:rsid w:val="00167F39"/>
    <w:rsid w:val="001701DC"/>
    <w:rsid w:val="001703DD"/>
    <w:rsid w:val="0017044D"/>
    <w:rsid w:val="00170494"/>
    <w:rsid w:val="00170638"/>
    <w:rsid w:val="00170952"/>
    <w:rsid w:val="00170A51"/>
    <w:rsid w:val="00170DED"/>
    <w:rsid w:val="00170E93"/>
    <w:rsid w:val="00170F7F"/>
    <w:rsid w:val="001710FA"/>
    <w:rsid w:val="001711CC"/>
    <w:rsid w:val="0017137C"/>
    <w:rsid w:val="00171503"/>
    <w:rsid w:val="001715C0"/>
    <w:rsid w:val="00171A1C"/>
    <w:rsid w:val="00171E82"/>
    <w:rsid w:val="00171F18"/>
    <w:rsid w:val="00171F50"/>
    <w:rsid w:val="001727EA"/>
    <w:rsid w:val="00172DEC"/>
    <w:rsid w:val="00172F16"/>
    <w:rsid w:val="00174017"/>
    <w:rsid w:val="00174312"/>
    <w:rsid w:val="00174AB4"/>
    <w:rsid w:val="00174F00"/>
    <w:rsid w:val="00175220"/>
    <w:rsid w:val="0017535F"/>
    <w:rsid w:val="00175541"/>
    <w:rsid w:val="00175795"/>
    <w:rsid w:val="001758E1"/>
    <w:rsid w:val="00175933"/>
    <w:rsid w:val="00175A7E"/>
    <w:rsid w:val="00175E8E"/>
    <w:rsid w:val="00175FC5"/>
    <w:rsid w:val="00176100"/>
    <w:rsid w:val="001761DA"/>
    <w:rsid w:val="0017625E"/>
    <w:rsid w:val="00176402"/>
    <w:rsid w:val="00176B30"/>
    <w:rsid w:val="00177780"/>
    <w:rsid w:val="00177DB2"/>
    <w:rsid w:val="0018002C"/>
    <w:rsid w:val="00180087"/>
    <w:rsid w:val="00180876"/>
    <w:rsid w:val="001808B4"/>
    <w:rsid w:val="00180C6A"/>
    <w:rsid w:val="001812CF"/>
    <w:rsid w:val="001813BB"/>
    <w:rsid w:val="001813D2"/>
    <w:rsid w:val="00181F73"/>
    <w:rsid w:val="00181F94"/>
    <w:rsid w:val="0018204D"/>
    <w:rsid w:val="001820ED"/>
    <w:rsid w:val="00182253"/>
    <w:rsid w:val="0018228F"/>
    <w:rsid w:val="001826B1"/>
    <w:rsid w:val="001827CC"/>
    <w:rsid w:val="00182860"/>
    <w:rsid w:val="00182875"/>
    <w:rsid w:val="00182F8E"/>
    <w:rsid w:val="00183325"/>
    <w:rsid w:val="00183622"/>
    <w:rsid w:val="00183754"/>
    <w:rsid w:val="0018389F"/>
    <w:rsid w:val="0018397B"/>
    <w:rsid w:val="00183AF1"/>
    <w:rsid w:val="00183B36"/>
    <w:rsid w:val="00183B89"/>
    <w:rsid w:val="00183D4E"/>
    <w:rsid w:val="00183EF4"/>
    <w:rsid w:val="00184072"/>
    <w:rsid w:val="00184384"/>
    <w:rsid w:val="0018444C"/>
    <w:rsid w:val="00184A55"/>
    <w:rsid w:val="00184F7D"/>
    <w:rsid w:val="001852A9"/>
    <w:rsid w:val="00185455"/>
    <w:rsid w:val="0018556D"/>
    <w:rsid w:val="001858F5"/>
    <w:rsid w:val="00185B27"/>
    <w:rsid w:val="00185DF1"/>
    <w:rsid w:val="00185DF2"/>
    <w:rsid w:val="0018682A"/>
    <w:rsid w:val="00186A86"/>
    <w:rsid w:val="00186AC5"/>
    <w:rsid w:val="00186B8D"/>
    <w:rsid w:val="00186F53"/>
    <w:rsid w:val="00186FCD"/>
    <w:rsid w:val="00187081"/>
    <w:rsid w:val="00187254"/>
    <w:rsid w:val="0018735A"/>
    <w:rsid w:val="00187550"/>
    <w:rsid w:val="00187564"/>
    <w:rsid w:val="001875A5"/>
    <w:rsid w:val="0018766A"/>
    <w:rsid w:val="00187E26"/>
    <w:rsid w:val="0019007B"/>
    <w:rsid w:val="001900B1"/>
    <w:rsid w:val="001905C0"/>
    <w:rsid w:val="0019083D"/>
    <w:rsid w:val="00190B67"/>
    <w:rsid w:val="00190BDA"/>
    <w:rsid w:val="00190D52"/>
    <w:rsid w:val="0019122B"/>
    <w:rsid w:val="00191284"/>
    <w:rsid w:val="00191445"/>
    <w:rsid w:val="00191C4E"/>
    <w:rsid w:val="00191E70"/>
    <w:rsid w:val="00191F99"/>
    <w:rsid w:val="00192133"/>
    <w:rsid w:val="00192619"/>
    <w:rsid w:val="0019261E"/>
    <w:rsid w:val="00192934"/>
    <w:rsid w:val="00192D9C"/>
    <w:rsid w:val="00193652"/>
    <w:rsid w:val="001937A3"/>
    <w:rsid w:val="001938E3"/>
    <w:rsid w:val="001939DE"/>
    <w:rsid w:val="00193A52"/>
    <w:rsid w:val="0019490A"/>
    <w:rsid w:val="00194CE7"/>
    <w:rsid w:val="00194D90"/>
    <w:rsid w:val="00194F32"/>
    <w:rsid w:val="00195144"/>
    <w:rsid w:val="001957C6"/>
    <w:rsid w:val="00195920"/>
    <w:rsid w:val="001959D7"/>
    <w:rsid w:val="00195D0A"/>
    <w:rsid w:val="0019632D"/>
    <w:rsid w:val="00196AF5"/>
    <w:rsid w:val="00196B97"/>
    <w:rsid w:val="00196D5B"/>
    <w:rsid w:val="00196EE5"/>
    <w:rsid w:val="00197412"/>
    <w:rsid w:val="00197FE9"/>
    <w:rsid w:val="001A0C49"/>
    <w:rsid w:val="001A0DD9"/>
    <w:rsid w:val="001A1229"/>
    <w:rsid w:val="001A1538"/>
    <w:rsid w:val="001A2033"/>
    <w:rsid w:val="001A2149"/>
    <w:rsid w:val="001A2665"/>
    <w:rsid w:val="001A3250"/>
    <w:rsid w:val="001A33F1"/>
    <w:rsid w:val="001A3498"/>
    <w:rsid w:val="001A3504"/>
    <w:rsid w:val="001A35A5"/>
    <w:rsid w:val="001A38FC"/>
    <w:rsid w:val="001A3936"/>
    <w:rsid w:val="001A3A03"/>
    <w:rsid w:val="001A3C92"/>
    <w:rsid w:val="001A3D61"/>
    <w:rsid w:val="001A3F9A"/>
    <w:rsid w:val="001A3FE0"/>
    <w:rsid w:val="001A4082"/>
    <w:rsid w:val="001A41AC"/>
    <w:rsid w:val="001A4543"/>
    <w:rsid w:val="001A4999"/>
    <w:rsid w:val="001A5242"/>
    <w:rsid w:val="001A57EC"/>
    <w:rsid w:val="001A604A"/>
    <w:rsid w:val="001A60B8"/>
    <w:rsid w:val="001A6131"/>
    <w:rsid w:val="001A62DD"/>
    <w:rsid w:val="001A78AB"/>
    <w:rsid w:val="001A79E0"/>
    <w:rsid w:val="001B039C"/>
    <w:rsid w:val="001B09CA"/>
    <w:rsid w:val="001B0F84"/>
    <w:rsid w:val="001B1497"/>
    <w:rsid w:val="001B15F6"/>
    <w:rsid w:val="001B177E"/>
    <w:rsid w:val="001B17F9"/>
    <w:rsid w:val="001B1C4A"/>
    <w:rsid w:val="001B1D26"/>
    <w:rsid w:val="001B22E6"/>
    <w:rsid w:val="001B2305"/>
    <w:rsid w:val="001B2BB2"/>
    <w:rsid w:val="001B2CD6"/>
    <w:rsid w:val="001B2F11"/>
    <w:rsid w:val="001B3038"/>
    <w:rsid w:val="001B332A"/>
    <w:rsid w:val="001B348C"/>
    <w:rsid w:val="001B3565"/>
    <w:rsid w:val="001B36E3"/>
    <w:rsid w:val="001B3A87"/>
    <w:rsid w:val="001B3BF2"/>
    <w:rsid w:val="001B4C5E"/>
    <w:rsid w:val="001B4F39"/>
    <w:rsid w:val="001B5156"/>
    <w:rsid w:val="001B54C5"/>
    <w:rsid w:val="001B597E"/>
    <w:rsid w:val="001B5D18"/>
    <w:rsid w:val="001B60FB"/>
    <w:rsid w:val="001B6109"/>
    <w:rsid w:val="001B62F4"/>
    <w:rsid w:val="001B673B"/>
    <w:rsid w:val="001B6A1E"/>
    <w:rsid w:val="001B7012"/>
    <w:rsid w:val="001B730A"/>
    <w:rsid w:val="001B7763"/>
    <w:rsid w:val="001B7A9B"/>
    <w:rsid w:val="001B7AEB"/>
    <w:rsid w:val="001C0154"/>
    <w:rsid w:val="001C027B"/>
    <w:rsid w:val="001C038C"/>
    <w:rsid w:val="001C04E4"/>
    <w:rsid w:val="001C04F6"/>
    <w:rsid w:val="001C09A7"/>
    <w:rsid w:val="001C0F3C"/>
    <w:rsid w:val="001C11DD"/>
    <w:rsid w:val="001C1657"/>
    <w:rsid w:val="001C1747"/>
    <w:rsid w:val="001C1BD5"/>
    <w:rsid w:val="001C1F5C"/>
    <w:rsid w:val="001C2B6E"/>
    <w:rsid w:val="001C2C4F"/>
    <w:rsid w:val="001C2C99"/>
    <w:rsid w:val="001C3001"/>
    <w:rsid w:val="001C3642"/>
    <w:rsid w:val="001C39E7"/>
    <w:rsid w:val="001C47A1"/>
    <w:rsid w:val="001C4D65"/>
    <w:rsid w:val="001C5066"/>
    <w:rsid w:val="001C5963"/>
    <w:rsid w:val="001C5971"/>
    <w:rsid w:val="001C5B82"/>
    <w:rsid w:val="001C5B9F"/>
    <w:rsid w:val="001C5E87"/>
    <w:rsid w:val="001C603B"/>
    <w:rsid w:val="001C6080"/>
    <w:rsid w:val="001C6D0F"/>
    <w:rsid w:val="001C6E28"/>
    <w:rsid w:val="001C714E"/>
    <w:rsid w:val="001C7217"/>
    <w:rsid w:val="001C72BF"/>
    <w:rsid w:val="001C747A"/>
    <w:rsid w:val="001C78BF"/>
    <w:rsid w:val="001C7ED4"/>
    <w:rsid w:val="001D07EF"/>
    <w:rsid w:val="001D0CAC"/>
    <w:rsid w:val="001D10FB"/>
    <w:rsid w:val="001D15A6"/>
    <w:rsid w:val="001D176C"/>
    <w:rsid w:val="001D1BA1"/>
    <w:rsid w:val="001D1D8A"/>
    <w:rsid w:val="001D1E1B"/>
    <w:rsid w:val="001D22F7"/>
    <w:rsid w:val="001D281F"/>
    <w:rsid w:val="001D29F0"/>
    <w:rsid w:val="001D370C"/>
    <w:rsid w:val="001D3841"/>
    <w:rsid w:val="001D3927"/>
    <w:rsid w:val="001D3D53"/>
    <w:rsid w:val="001D3DEB"/>
    <w:rsid w:val="001D4140"/>
    <w:rsid w:val="001D453A"/>
    <w:rsid w:val="001D45B7"/>
    <w:rsid w:val="001D469F"/>
    <w:rsid w:val="001D4767"/>
    <w:rsid w:val="001D4F2A"/>
    <w:rsid w:val="001D4F44"/>
    <w:rsid w:val="001D50E1"/>
    <w:rsid w:val="001D52E5"/>
    <w:rsid w:val="001D57F8"/>
    <w:rsid w:val="001D5BBA"/>
    <w:rsid w:val="001D60EE"/>
    <w:rsid w:val="001D6366"/>
    <w:rsid w:val="001D66D6"/>
    <w:rsid w:val="001D6A0B"/>
    <w:rsid w:val="001D6B91"/>
    <w:rsid w:val="001D6F5A"/>
    <w:rsid w:val="001D6FE4"/>
    <w:rsid w:val="001D735C"/>
    <w:rsid w:val="001D7A4E"/>
    <w:rsid w:val="001D7B51"/>
    <w:rsid w:val="001E0457"/>
    <w:rsid w:val="001E0757"/>
    <w:rsid w:val="001E0D9D"/>
    <w:rsid w:val="001E11B9"/>
    <w:rsid w:val="001E13E8"/>
    <w:rsid w:val="001E169E"/>
    <w:rsid w:val="001E17AF"/>
    <w:rsid w:val="001E1B5F"/>
    <w:rsid w:val="001E1BDB"/>
    <w:rsid w:val="001E1FB0"/>
    <w:rsid w:val="001E22EA"/>
    <w:rsid w:val="001E26A9"/>
    <w:rsid w:val="001E2750"/>
    <w:rsid w:val="001E2CD5"/>
    <w:rsid w:val="001E30DB"/>
    <w:rsid w:val="001E32C6"/>
    <w:rsid w:val="001E34CA"/>
    <w:rsid w:val="001E3AD5"/>
    <w:rsid w:val="001E4055"/>
    <w:rsid w:val="001E4247"/>
    <w:rsid w:val="001E4547"/>
    <w:rsid w:val="001E45BC"/>
    <w:rsid w:val="001E477C"/>
    <w:rsid w:val="001E4A9A"/>
    <w:rsid w:val="001E4B97"/>
    <w:rsid w:val="001E4FCD"/>
    <w:rsid w:val="001E5091"/>
    <w:rsid w:val="001E513A"/>
    <w:rsid w:val="001E56E4"/>
    <w:rsid w:val="001E5708"/>
    <w:rsid w:val="001E57FC"/>
    <w:rsid w:val="001E605A"/>
    <w:rsid w:val="001E62B4"/>
    <w:rsid w:val="001E67A5"/>
    <w:rsid w:val="001E6A84"/>
    <w:rsid w:val="001E6CBA"/>
    <w:rsid w:val="001E7059"/>
    <w:rsid w:val="001E7166"/>
    <w:rsid w:val="001E71EC"/>
    <w:rsid w:val="001E7632"/>
    <w:rsid w:val="001E78C1"/>
    <w:rsid w:val="001E7AB2"/>
    <w:rsid w:val="001E7B75"/>
    <w:rsid w:val="001E7C63"/>
    <w:rsid w:val="001E7E8B"/>
    <w:rsid w:val="001E7EC7"/>
    <w:rsid w:val="001E7F63"/>
    <w:rsid w:val="001F05AB"/>
    <w:rsid w:val="001F0996"/>
    <w:rsid w:val="001F0D0F"/>
    <w:rsid w:val="001F0F10"/>
    <w:rsid w:val="001F1737"/>
    <w:rsid w:val="001F17DB"/>
    <w:rsid w:val="001F1D8F"/>
    <w:rsid w:val="001F2120"/>
    <w:rsid w:val="001F278D"/>
    <w:rsid w:val="001F2C8B"/>
    <w:rsid w:val="001F2F82"/>
    <w:rsid w:val="001F3E57"/>
    <w:rsid w:val="001F4183"/>
    <w:rsid w:val="001F495C"/>
    <w:rsid w:val="001F4A51"/>
    <w:rsid w:val="001F4BD7"/>
    <w:rsid w:val="001F59C6"/>
    <w:rsid w:val="001F6B09"/>
    <w:rsid w:val="001F6E34"/>
    <w:rsid w:val="001F7069"/>
    <w:rsid w:val="001F74EF"/>
    <w:rsid w:val="001F75A8"/>
    <w:rsid w:val="001F7987"/>
    <w:rsid w:val="001F7B16"/>
    <w:rsid w:val="001F7DDA"/>
    <w:rsid w:val="001F7DE3"/>
    <w:rsid w:val="002003D5"/>
    <w:rsid w:val="0020045A"/>
    <w:rsid w:val="00200630"/>
    <w:rsid w:val="00200792"/>
    <w:rsid w:val="002008A2"/>
    <w:rsid w:val="00200C9E"/>
    <w:rsid w:val="00200D1D"/>
    <w:rsid w:val="00200DF5"/>
    <w:rsid w:val="002012EC"/>
    <w:rsid w:val="0020130B"/>
    <w:rsid w:val="00201352"/>
    <w:rsid w:val="0020160A"/>
    <w:rsid w:val="00201AF5"/>
    <w:rsid w:val="00202244"/>
    <w:rsid w:val="002022A4"/>
    <w:rsid w:val="00202466"/>
    <w:rsid w:val="0020267C"/>
    <w:rsid w:val="00202E63"/>
    <w:rsid w:val="00202E7C"/>
    <w:rsid w:val="002031E2"/>
    <w:rsid w:val="00203279"/>
    <w:rsid w:val="0020346C"/>
    <w:rsid w:val="002034FF"/>
    <w:rsid w:val="002037DD"/>
    <w:rsid w:val="00203877"/>
    <w:rsid w:val="00203982"/>
    <w:rsid w:val="002039FA"/>
    <w:rsid w:val="00204316"/>
    <w:rsid w:val="00204534"/>
    <w:rsid w:val="002046A3"/>
    <w:rsid w:val="002046F4"/>
    <w:rsid w:val="002048FD"/>
    <w:rsid w:val="00204E5B"/>
    <w:rsid w:val="00204EA2"/>
    <w:rsid w:val="0020592E"/>
    <w:rsid w:val="00205B0C"/>
    <w:rsid w:val="00205D5C"/>
    <w:rsid w:val="002066CC"/>
    <w:rsid w:val="00206AB2"/>
    <w:rsid w:val="00206CF6"/>
    <w:rsid w:val="00206FA6"/>
    <w:rsid w:val="00206FC9"/>
    <w:rsid w:val="00206FF4"/>
    <w:rsid w:val="00207076"/>
    <w:rsid w:val="0020712B"/>
    <w:rsid w:val="002075A7"/>
    <w:rsid w:val="002076E3"/>
    <w:rsid w:val="002078F7"/>
    <w:rsid w:val="00207A1D"/>
    <w:rsid w:val="00210255"/>
    <w:rsid w:val="002108A3"/>
    <w:rsid w:val="0021125D"/>
    <w:rsid w:val="002112D8"/>
    <w:rsid w:val="002116A2"/>
    <w:rsid w:val="002122E8"/>
    <w:rsid w:val="002123B0"/>
    <w:rsid w:val="00212A33"/>
    <w:rsid w:val="00213204"/>
    <w:rsid w:val="00213438"/>
    <w:rsid w:val="00213686"/>
    <w:rsid w:val="00213CE9"/>
    <w:rsid w:val="00213F54"/>
    <w:rsid w:val="002144E6"/>
    <w:rsid w:val="002146D9"/>
    <w:rsid w:val="00214B0C"/>
    <w:rsid w:val="00214C55"/>
    <w:rsid w:val="00215250"/>
    <w:rsid w:val="002152B4"/>
    <w:rsid w:val="0021540C"/>
    <w:rsid w:val="0021593F"/>
    <w:rsid w:val="0021600D"/>
    <w:rsid w:val="002168EA"/>
    <w:rsid w:val="00216B50"/>
    <w:rsid w:val="00216C6B"/>
    <w:rsid w:val="00216C88"/>
    <w:rsid w:val="00216F79"/>
    <w:rsid w:val="00217BA1"/>
    <w:rsid w:val="00217F98"/>
    <w:rsid w:val="0022009C"/>
    <w:rsid w:val="002200AD"/>
    <w:rsid w:val="002203AE"/>
    <w:rsid w:val="00220660"/>
    <w:rsid w:val="00220998"/>
    <w:rsid w:val="00220BA7"/>
    <w:rsid w:val="00220DD9"/>
    <w:rsid w:val="00220E5D"/>
    <w:rsid w:val="00220EA0"/>
    <w:rsid w:val="00220FF5"/>
    <w:rsid w:val="00221732"/>
    <w:rsid w:val="00221AFD"/>
    <w:rsid w:val="00221DCA"/>
    <w:rsid w:val="00221E02"/>
    <w:rsid w:val="0022231A"/>
    <w:rsid w:val="00222480"/>
    <w:rsid w:val="00222701"/>
    <w:rsid w:val="00222916"/>
    <w:rsid w:val="00222944"/>
    <w:rsid w:val="00222FCD"/>
    <w:rsid w:val="00223036"/>
    <w:rsid w:val="002234F3"/>
    <w:rsid w:val="0022391F"/>
    <w:rsid w:val="00223AB3"/>
    <w:rsid w:val="00223C48"/>
    <w:rsid w:val="00223F06"/>
    <w:rsid w:val="00223F9C"/>
    <w:rsid w:val="00224546"/>
    <w:rsid w:val="00224C38"/>
    <w:rsid w:val="00225574"/>
    <w:rsid w:val="002255BA"/>
    <w:rsid w:val="002256F7"/>
    <w:rsid w:val="00225D6E"/>
    <w:rsid w:val="002261AE"/>
    <w:rsid w:val="002265BE"/>
    <w:rsid w:val="002266BC"/>
    <w:rsid w:val="00226776"/>
    <w:rsid w:val="002270CD"/>
    <w:rsid w:val="00227A4B"/>
    <w:rsid w:val="00227C2C"/>
    <w:rsid w:val="00227CC2"/>
    <w:rsid w:val="00227DAF"/>
    <w:rsid w:val="0023010E"/>
    <w:rsid w:val="002301F6"/>
    <w:rsid w:val="0023051E"/>
    <w:rsid w:val="00230654"/>
    <w:rsid w:val="002307B9"/>
    <w:rsid w:val="00230FCA"/>
    <w:rsid w:val="00231315"/>
    <w:rsid w:val="002315FE"/>
    <w:rsid w:val="0023176A"/>
    <w:rsid w:val="00231CB7"/>
    <w:rsid w:val="0023220D"/>
    <w:rsid w:val="0023287D"/>
    <w:rsid w:val="002329C2"/>
    <w:rsid w:val="00232E3B"/>
    <w:rsid w:val="00232FF1"/>
    <w:rsid w:val="002339D2"/>
    <w:rsid w:val="00233A07"/>
    <w:rsid w:val="00233A2C"/>
    <w:rsid w:val="00233E54"/>
    <w:rsid w:val="00234050"/>
    <w:rsid w:val="00234059"/>
    <w:rsid w:val="0023410F"/>
    <w:rsid w:val="00234230"/>
    <w:rsid w:val="002342B7"/>
    <w:rsid w:val="00234476"/>
    <w:rsid w:val="00234489"/>
    <w:rsid w:val="002348DC"/>
    <w:rsid w:val="00234D53"/>
    <w:rsid w:val="00234D7A"/>
    <w:rsid w:val="00235279"/>
    <w:rsid w:val="0023538B"/>
    <w:rsid w:val="0023539B"/>
    <w:rsid w:val="0023555B"/>
    <w:rsid w:val="0023580D"/>
    <w:rsid w:val="0023633A"/>
    <w:rsid w:val="00236353"/>
    <w:rsid w:val="0023653D"/>
    <w:rsid w:val="00236684"/>
    <w:rsid w:val="002369BE"/>
    <w:rsid w:val="00236B7D"/>
    <w:rsid w:val="00237284"/>
    <w:rsid w:val="00237308"/>
    <w:rsid w:val="002373D5"/>
    <w:rsid w:val="0023780C"/>
    <w:rsid w:val="00237896"/>
    <w:rsid w:val="002402BD"/>
    <w:rsid w:val="0024050D"/>
    <w:rsid w:val="00240752"/>
    <w:rsid w:val="002408B8"/>
    <w:rsid w:val="00240DAF"/>
    <w:rsid w:val="002410A7"/>
    <w:rsid w:val="002413B3"/>
    <w:rsid w:val="0024164C"/>
    <w:rsid w:val="0024190F"/>
    <w:rsid w:val="00241E40"/>
    <w:rsid w:val="002420FF"/>
    <w:rsid w:val="002423FD"/>
    <w:rsid w:val="002424CE"/>
    <w:rsid w:val="00242DFF"/>
    <w:rsid w:val="002430C7"/>
    <w:rsid w:val="002432E8"/>
    <w:rsid w:val="00243ED6"/>
    <w:rsid w:val="00243F2B"/>
    <w:rsid w:val="002440CF"/>
    <w:rsid w:val="00244128"/>
    <w:rsid w:val="002446B5"/>
    <w:rsid w:val="00244E6D"/>
    <w:rsid w:val="0024526D"/>
    <w:rsid w:val="002454CC"/>
    <w:rsid w:val="00245EBB"/>
    <w:rsid w:val="002460C0"/>
    <w:rsid w:val="00246749"/>
    <w:rsid w:val="00246BC2"/>
    <w:rsid w:val="00246BDB"/>
    <w:rsid w:val="00246DCC"/>
    <w:rsid w:val="00246F73"/>
    <w:rsid w:val="00247998"/>
    <w:rsid w:val="00247ACE"/>
    <w:rsid w:val="00250035"/>
    <w:rsid w:val="002504A7"/>
    <w:rsid w:val="0025053A"/>
    <w:rsid w:val="0025072E"/>
    <w:rsid w:val="002507D5"/>
    <w:rsid w:val="00250ADB"/>
    <w:rsid w:val="00251132"/>
    <w:rsid w:val="00251351"/>
    <w:rsid w:val="0025149B"/>
    <w:rsid w:val="0025173D"/>
    <w:rsid w:val="00251DAB"/>
    <w:rsid w:val="002520A0"/>
    <w:rsid w:val="002522C2"/>
    <w:rsid w:val="00252730"/>
    <w:rsid w:val="002528F4"/>
    <w:rsid w:val="0025294F"/>
    <w:rsid w:val="00252B5E"/>
    <w:rsid w:val="00252BC4"/>
    <w:rsid w:val="0025303C"/>
    <w:rsid w:val="002531D9"/>
    <w:rsid w:val="002532CD"/>
    <w:rsid w:val="00253A56"/>
    <w:rsid w:val="00253AB7"/>
    <w:rsid w:val="00253F53"/>
    <w:rsid w:val="00254050"/>
    <w:rsid w:val="002540AB"/>
    <w:rsid w:val="00254286"/>
    <w:rsid w:val="002542C4"/>
    <w:rsid w:val="002548AD"/>
    <w:rsid w:val="00254A92"/>
    <w:rsid w:val="00254BB6"/>
    <w:rsid w:val="00254BCB"/>
    <w:rsid w:val="00254F4E"/>
    <w:rsid w:val="002551BA"/>
    <w:rsid w:val="002552CF"/>
    <w:rsid w:val="0025532D"/>
    <w:rsid w:val="002556A2"/>
    <w:rsid w:val="002558C1"/>
    <w:rsid w:val="00255C86"/>
    <w:rsid w:val="00255ECD"/>
    <w:rsid w:val="002562E2"/>
    <w:rsid w:val="00256583"/>
    <w:rsid w:val="002567A1"/>
    <w:rsid w:val="0025686C"/>
    <w:rsid w:val="00256BC5"/>
    <w:rsid w:val="00256EEB"/>
    <w:rsid w:val="00257017"/>
    <w:rsid w:val="002571B8"/>
    <w:rsid w:val="0025730C"/>
    <w:rsid w:val="00257361"/>
    <w:rsid w:val="002573B8"/>
    <w:rsid w:val="00257805"/>
    <w:rsid w:val="00257993"/>
    <w:rsid w:val="00257B4D"/>
    <w:rsid w:val="00257CDE"/>
    <w:rsid w:val="00257E22"/>
    <w:rsid w:val="00260426"/>
    <w:rsid w:val="002608A8"/>
    <w:rsid w:val="00260F04"/>
    <w:rsid w:val="0026201D"/>
    <w:rsid w:val="002625B1"/>
    <w:rsid w:val="0026267C"/>
    <w:rsid w:val="00262FB9"/>
    <w:rsid w:val="0026308B"/>
    <w:rsid w:val="002631F9"/>
    <w:rsid w:val="00263238"/>
    <w:rsid w:val="00263342"/>
    <w:rsid w:val="002639F9"/>
    <w:rsid w:val="00263AB8"/>
    <w:rsid w:val="00263CB9"/>
    <w:rsid w:val="00263CBC"/>
    <w:rsid w:val="00263D38"/>
    <w:rsid w:val="00263F56"/>
    <w:rsid w:val="00263F5E"/>
    <w:rsid w:val="00263FA2"/>
    <w:rsid w:val="002640FB"/>
    <w:rsid w:val="002643F7"/>
    <w:rsid w:val="00264714"/>
    <w:rsid w:val="002647C3"/>
    <w:rsid w:val="002648DF"/>
    <w:rsid w:val="00264C44"/>
    <w:rsid w:val="002652D6"/>
    <w:rsid w:val="0026563D"/>
    <w:rsid w:val="00265A2F"/>
    <w:rsid w:val="00265D85"/>
    <w:rsid w:val="0026602B"/>
    <w:rsid w:val="00266046"/>
    <w:rsid w:val="00266100"/>
    <w:rsid w:val="00266122"/>
    <w:rsid w:val="00266217"/>
    <w:rsid w:val="00266218"/>
    <w:rsid w:val="0026623F"/>
    <w:rsid w:val="00266472"/>
    <w:rsid w:val="00266581"/>
    <w:rsid w:val="00266953"/>
    <w:rsid w:val="00266A3D"/>
    <w:rsid w:val="00266C8F"/>
    <w:rsid w:val="00267924"/>
    <w:rsid w:val="00267BEB"/>
    <w:rsid w:val="00267D2F"/>
    <w:rsid w:val="0027012B"/>
    <w:rsid w:val="0027040D"/>
    <w:rsid w:val="00270CB2"/>
    <w:rsid w:val="00270CDE"/>
    <w:rsid w:val="00271675"/>
    <w:rsid w:val="0027192B"/>
    <w:rsid w:val="00271AC8"/>
    <w:rsid w:val="00271B4C"/>
    <w:rsid w:val="00271F5D"/>
    <w:rsid w:val="0027215F"/>
    <w:rsid w:val="00272594"/>
    <w:rsid w:val="002728AF"/>
    <w:rsid w:val="00273A64"/>
    <w:rsid w:val="00273B95"/>
    <w:rsid w:val="00273D7E"/>
    <w:rsid w:val="00273E39"/>
    <w:rsid w:val="00273EDE"/>
    <w:rsid w:val="0027407B"/>
    <w:rsid w:val="00274A86"/>
    <w:rsid w:val="00274BD0"/>
    <w:rsid w:val="00274D89"/>
    <w:rsid w:val="0027505C"/>
    <w:rsid w:val="002752EE"/>
    <w:rsid w:val="002753DC"/>
    <w:rsid w:val="002754DB"/>
    <w:rsid w:val="002756BE"/>
    <w:rsid w:val="002756DB"/>
    <w:rsid w:val="00275A26"/>
    <w:rsid w:val="00275A73"/>
    <w:rsid w:val="00275C4D"/>
    <w:rsid w:val="002767A2"/>
    <w:rsid w:val="00276B49"/>
    <w:rsid w:val="00277145"/>
    <w:rsid w:val="00277CF3"/>
    <w:rsid w:val="002800AE"/>
    <w:rsid w:val="00280124"/>
    <w:rsid w:val="002801A0"/>
    <w:rsid w:val="0028033C"/>
    <w:rsid w:val="002804FA"/>
    <w:rsid w:val="0028057B"/>
    <w:rsid w:val="002806D4"/>
    <w:rsid w:val="00280BBE"/>
    <w:rsid w:val="00280C95"/>
    <w:rsid w:val="00280F23"/>
    <w:rsid w:val="0028119A"/>
    <w:rsid w:val="00281262"/>
    <w:rsid w:val="002812AE"/>
    <w:rsid w:val="0028134B"/>
    <w:rsid w:val="00281460"/>
    <w:rsid w:val="002819AF"/>
    <w:rsid w:val="00281FA5"/>
    <w:rsid w:val="00281FE6"/>
    <w:rsid w:val="00282595"/>
    <w:rsid w:val="00282726"/>
    <w:rsid w:val="00282EE6"/>
    <w:rsid w:val="00283160"/>
    <w:rsid w:val="00283254"/>
    <w:rsid w:val="00283A2B"/>
    <w:rsid w:val="00283F17"/>
    <w:rsid w:val="00284277"/>
    <w:rsid w:val="00284571"/>
    <w:rsid w:val="00284AA1"/>
    <w:rsid w:val="00284B77"/>
    <w:rsid w:val="00284E7D"/>
    <w:rsid w:val="00285144"/>
    <w:rsid w:val="00285331"/>
    <w:rsid w:val="00285427"/>
    <w:rsid w:val="0028558E"/>
    <w:rsid w:val="002856D0"/>
    <w:rsid w:val="0028580D"/>
    <w:rsid w:val="00285E5B"/>
    <w:rsid w:val="00286151"/>
    <w:rsid w:val="00286363"/>
    <w:rsid w:val="002865CA"/>
    <w:rsid w:val="00286865"/>
    <w:rsid w:val="00286994"/>
    <w:rsid w:val="00286BA7"/>
    <w:rsid w:val="00286C6A"/>
    <w:rsid w:val="00286DC0"/>
    <w:rsid w:val="002873D8"/>
    <w:rsid w:val="0028740A"/>
    <w:rsid w:val="002878B7"/>
    <w:rsid w:val="00290084"/>
    <w:rsid w:val="002900AB"/>
    <w:rsid w:val="002903FC"/>
    <w:rsid w:val="00290419"/>
    <w:rsid w:val="002908E3"/>
    <w:rsid w:val="00290ED6"/>
    <w:rsid w:val="002910E8"/>
    <w:rsid w:val="0029123F"/>
    <w:rsid w:val="00291245"/>
    <w:rsid w:val="002916DD"/>
    <w:rsid w:val="002918F4"/>
    <w:rsid w:val="00291A1F"/>
    <w:rsid w:val="00291C94"/>
    <w:rsid w:val="002921B7"/>
    <w:rsid w:val="002923AD"/>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0CE"/>
    <w:rsid w:val="0029411C"/>
    <w:rsid w:val="00294381"/>
    <w:rsid w:val="002945CF"/>
    <w:rsid w:val="00294788"/>
    <w:rsid w:val="002948E8"/>
    <w:rsid w:val="002949F2"/>
    <w:rsid w:val="00294B97"/>
    <w:rsid w:val="002953E4"/>
    <w:rsid w:val="00295996"/>
    <w:rsid w:val="00295DBC"/>
    <w:rsid w:val="00295FFC"/>
    <w:rsid w:val="00296D54"/>
    <w:rsid w:val="00297135"/>
    <w:rsid w:val="0029732D"/>
    <w:rsid w:val="0029772C"/>
    <w:rsid w:val="00297BCE"/>
    <w:rsid w:val="00297F59"/>
    <w:rsid w:val="00297FF0"/>
    <w:rsid w:val="002A043E"/>
    <w:rsid w:val="002A0D0B"/>
    <w:rsid w:val="002A0F75"/>
    <w:rsid w:val="002A0FCB"/>
    <w:rsid w:val="002A1020"/>
    <w:rsid w:val="002A10CB"/>
    <w:rsid w:val="002A11B3"/>
    <w:rsid w:val="002A1626"/>
    <w:rsid w:val="002A1748"/>
    <w:rsid w:val="002A1A21"/>
    <w:rsid w:val="002A1C02"/>
    <w:rsid w:val="002A20E0"/>
    <w:rsid w:val="002A2123"/>
    <w:rsid w:val="002A216E"/>
    <w:rsid w:val="002A249C"/>
    <w:rsid w:val="002A29E6"/>
    <w:rsid w:val="002A349A"/>
    <w:rsid w:val="002A351A"/>
    <w:rsid w:val="002A39E7"/>
    <w:rsid w:val="002A40F4"/>
    <w:rsid w:val="002A43B2"/>
    <w:rsid w:val="002A452D"/>
    <w:rsid w:val="002A477D"/>
    <w:rsid w:val="002A496D"/>
    <w:rsid w:val="002A5AFB"/>
    <w:rsid w:val="002A5CA1"/>
    <w:rsid w:val="002A5DA1"/>
    <w:rsid w:val="002A5E0D"/>
    <w:rsid w:val="002A5F66"/>
    <w:rsid w:val="002A5FB0"/>
    <w:rsid w:val="002A6236"/>
    <w:rsid w:val="002A624B"/>
    <w:rsid w:val="002A63F6"/>
    <w:rsid w:val="002A66C4"/>
    <w:rsid w:val="002A6841"/>
    <w:rsid w:val="002A69BD"/>
    <w:rsid w:val="002A6D09"/>
    <w:rsid w:val="002A7168"/>
    <w:rsid w:val="002A747D"/>
    <w:rsid w:val="002A7662"/>
    <w:rsid w:val="002A78D6"/>
    <w:rsid w:val="002A7AB1"/>
    <w:rsid w:val="002A7E87"/>
    <w:rsid w:val="002A7E8A"/>
    <w:rsid w:val="002B042F"/>
    <w:rsid w:val="002B0809"/>
    <w:rsid w:val="002B09DF"/>
    <w:rsid w:val="002B0CBE"/>
    <w:rsid w:val="002B0D30"/>
    <w:rsid w:val="002B11DC"/>
    <w:rsid w:val="002B1232"/>
    <w:rsid w:val="002B13A9"/>
    <w:rsid w:val="002B142B"/>
    <w:rsid w:val="002B1792"/>
    <w:rsid w:val="002B18FC"/>
    <w:rsid w:val="002B1993"/>
    <w:rsid w:val="002B212D"/>
    <w:rsid w:val="002B21C4"/>
    <w:rsid w:val="002B251C"/>
    <w:rsid w:val="002B26F2"/>
    <w:rsid w:val="002B323C"/>
    <w:rsid w:val="002B328B"/>
    <w:rsid w:val="002B32EC"/>
    <w:rsid w:val="002B33A6"/>
    <w:rsid w:val="002B3874"/>
    <w:rsid w:val="002B3FC6"/>
    <w:rsid w:val="002B4278"/>
    <w:rsid w:val="002B42E0"/>
    <w:rsid w:val="002B5548"/>
    <w:rsid w:val="002B55A4"/>
    <w:rsid w:val="002B5767"/>
    <w:rsid w:val="002B5892"/>
    <w:rsid w:val="002B58EC"/>
    <w:rsid w:val="002B5979"/>
    <w:rsid w:val="002B5AF6"/>
    <w:rsid w:val="002B5B51"/>
    <w:rsid w:val="002B5F3D"/>
    <w:rsid w:val="002B6320"/>
    <w:rsid w:val="002B6536"/>
    <w:rsid w:val="002B6579"/>
    <w:rsid w:val="002B6A76"/>
    <w:rsid w:val="002B6BEA"/>
    <w:rsid w:val="002B6E9E"/>
    <w:rsid w:val="002B6F79"/>
    <w:rsid w:val="002B76ED"/>
    <w:rsid w:val="002B7E5A"/>
    <w:rsid w:val="002B7E65"/>
    <w:rsid w:val="002C0041"/>
    <w:rsid w:val="002C0374"/>
    <w:rsid w:val="002C0B7A"/>
    <w:rsid w:val="002C0CA0"/>
    <w:rsid w:val="002C109F"/>
    <w:rsid w:val="002C1DCF"/>
    <w:rsid w:val="002C24DB"/>
    <w:rsid w:val="002C24E6"/>
    <w:rsid w:val="002C254E"/>
    <w:rsid w:val="002C2A3A"/>
    <w:rsid w:val="002C2AFE"/>
    <w:rsid w:val="002C329E"/>
    <w:rsid w:val="002C336C"/>
    <w:rsid w:val="002C3439"/>
    <w:rsid w:val="002C35FD"/>
    <w:rsid w:val="002C37C1"/>
    <w:rsid w:val="002C3C15"/>
    <w:rsid w:val="002C3C8F"/>
    <w:rsid w:val="002C4108"/>
    <w:rsid w:val="002C428D"/>
    <w:rsid w:val="002C43F2"/>
    <w:rsid w:val="002C45D0"/>
    <w:rsid w:val="002C4749"/>
    <w:rsid w:val="002C4844"/>
    <w:rsid w:val="002C492B"/>
    <w:rsid w:val="002C4B26"/>
    <w:rsid w:val="002C4D8C"/>
    <w:rsid w:val="002C4E93"/>
    <w:rsid w:val="002C4F16"/>
    <w:rsid w:val="002C4FD7"/>
    <w:rsid w:val="002C4FE8"/>
    <w:rsid w:val="002C520F"/>
    <w:rsid w:val="002C5311"/>
    <w:rsid w:val="002C544D"/>
    <w:rsid w:val="002C550E"/>
    <w:rsid w:val="002C5692"/>
    <w:rsid w:val="002C5B59"/>
    <w:rsid w:val="002C5DA3"/>
    <w:rsid w:val="002C646B"/>
    <w:rsid w:val="002C66F5"/>
    <w:rsid w:val="002C6864"/>
    <w:rsid w:val="002C6EA1"/>
    <w:rsid w:val="002C70CA"/>
    <w:rsid w:val="002C717B"/>
    <w:rsid w:val="002C7262"/>
    <w:rsid w:val="002C75F0"/>
    <w:rsid w:val="002C77FC"/>
    <w:rsid w:val="002C798C"/>
    <w:rsid w:val="002C7C95"/>
    <w:rsid w:val="002C7E38"/>
    <w:rsid w:val="002C7F3F"/>
    <w:rsid w:val="002D0A13"/>
    <w:rsid w:val="002D0DB5"/>
    <w:rsid w:val="002D17A5"/>
    <w:rsid w:val="002D193E"/>
    <w:rsid w:val="002D1A5B"/>
    <w:rsid w:val="002D1BF5"/>
    <w:rsid w:val="002D1D9B"/>
    <w:rsid w:val="002D1EF3"/>
    <w:rsid w:val="002D208D"/>
    <w:rsid w:val="002D21C5"/>
    <w:rsid w:val="002D2369"/>
    <w:rsid w:val="002D239D"/>
    <w:rsid w:val="002D2416"/>
    <w:rsid w:val="002D243E"/>
    <w:rsid w:val="002D2614"/>
    <w:rsid w:val="002D2A78"/>
    <w:rsid w:val="002D2E27"/>
    <w:rsid w:val="002D31E4"/>
    <w:rsid w:val="002D339F"/>
    <w:rsid w:val="002D36A6"/>
    <w:rsid w:val="002D3795"/>
    <w:rsid w:val="002D3895"/>
    <w:rsid w:val="002D3BDF"/>
    <w:rsid w:val="002D3CA8"/>
    <w:rsid w:val="002D3F65"/>
    <w:rsid w:val="002D405B"/>
    <w:rsid w:val="002D41DE"/>
    <w:rsid w:val="002D4371"/>
    <w:rsid w:val="002D494C"/>
    <w:rsid w:val="002D537C"/>
    <w:rsid w:val="002D539C"/>
    <w:rsid w:val="002D5435"/>
    <w:rsid w:val="002D5883"/>
    <w:rsid w:val="002D5A9A"/>
    <w:rsid w:val="002D5E88"/>
    <w:rsid w:val="002D6129"/>
    <w:rsid w:val="002D693F"/>
    <w:rsid w:val="002D6D54"/>
    <w:rsid w:val="002D6EAA"/>
    <w:rsid w:val="002D728E"/>
    <w:rsid w:val="002D7EBA"/>
    <w:rsid w:val="002E012E"/>
    <w:rsid w:val="002E0228"/>
    <w:rsid w:val="002E0E48"/>
    <w:rsid w:val="002E104B"/>
    <w:rsid w:val="002E1D37"/>
    <w:rsid w:val="002E1EDF"/>
    <w:rsid w:val="002E20A4"/>
    <w:rsid w:val="002E21BD"/>
    <w:rsid w:val="002E2418"/>
    <w:rsid w:val="002E2676"/>
    <w:rsid w:val="002E26E5"/>
    <w:rsid w:val="002E2CAB"/>
    <w:rsid w:val="002E2D80"/>
    <w:rsid w:val="002E3228"/>
    <w:rsid w:val="002E33A4"/>
    <w:rsid w:val="002E33FB"/>
    <w:rsid w:val="002E37B1"/>
    <w:rsid w:val="002E3B47"/>
    <w:rsid w:val="002E42FB"/>
    <w:rsid w:val="002E43E0"/>
    <w:rsid w:val="002E454F"/>
    <w:rsid w:val="002E4586"/>
    <w:rsid w:val="002E4D59"/>
    <w:rsid w:val="002E4EF0"/>
    <w:rsid w:val="002E50D4"/>
    <w:rsid w:val="002E5283"/>
    <w:rsid w:val="002E56A6"/>
    <w:rsid w:val="002E5C68"/>
    <w:rsid w:val="002E6392"/>
    <w:rsid w:val="002E65A1"/>
    <w:rsid w:val="002E6B6B"/>
    <w:rsid w:val="002E6DFF"/>
    <w:rsid w:val="002E6F6B"/>
    <w:rsid w:val="002E7086"/>
    <w:rsid w:val="002E784C"/>
    <w:rsid w:val="002E792A"/>
    <w:rsid w:val="002E798D"/>
    <w:rsid w:val="002E7B30"/>
    <w:rsid w:val="002E7B51"/>
    <w:rsid w:val="002F0274"/>
    <w:rsid w:val="002F04F2"/>
    <w:rsid w:val="002F07A8"/>
    <w:rsid w:val="002F07B2"/>
    <w:rsid w:val="002F0AFA"/>
    <w:rsid w:val="002F0BA2"/>
    <w:rsid w:val="002F0DA3"/>
    <w:rsid w:val="002F0F27"/>
    <w:rsid w:val="002F0FA8"/>
    <w:rsid w:val="002F10B7"/>
    <w:rsid w:val="002F131E"/>
    <w:rsid w:val="002F146F"/>
    <w:rsid w:val="002F193B"/>
    <w:rsid w:val="002F1B68"/>
    <w:rsid w:val="002F2165"/>
    <w:rsid w:val="002F26F3"/>
    <w:rsid w:val="002F2788"/>
    <w:rsid w:val="002F2ACC"/>
    <w:rsid w:val="002F2F89"/>
    <w:rsid w:val="002F34A7"/>
    <w:rsid w:val="002F3D1B"/>
    <w:rsid w:val="002F42B5"/>
    <w:rsid w:val="002F4789"/>
    <w:rsid w:val="002F4A73"/>
    <w:rsid w:val="002F4EC9"/>
    <w:rsid w:val="002F513A"/>
    <w:rsid w:val="002F55AA"/>
    <w:rsid w:val="002F5A66"/>
    <w:rsid w:val="002F6165"/>
    <w:rsid w:val="002F65C7"/>
    <w:rsid w:val="002F6A1D"/>
    <w:rsid w:val="002F6FA4"/>
    <w:rsid w:val="002F7320"/>
    <w:rsid w:val="002F765C"/>
    <w:rsid w:val="002F7714"/>
    <w:rsid w:val="002F79B0"/>
    <w:rsid w:val="002F7A71"/>
    <w:rsid w:val="002F7B88"/>
    <w:rsid w:val="002F7D0C"/>
    <w:rsid w:val="003006D5"/>
    <w:rsid w:val="00300761"/>
    <w:rsid w:val="00300893"/>
    <w:rsid w:val="00300D15"/>
    <w:rsid w:val="0030109A"/>
    <w:rsid w:val="0030124C"/>
    <w:rsid w:val="00301A21"/>
    <w:rsid w:val="00301AD6"/>
    <w:rsid w:val="00302139"/>
    <w:rsid w:val="003021A9"/>
    <w:rsid w:val="003021D8"/>
    <w:rsid w:val="003024C7"/>
    <w:rsid w:val="00302582"/>
    <w:rsid w:val="0030260E"/>
    <w:rsid w:val="00302BC7"/>
    <w:rsid w:val="00302CA8"/>
    <w:rsid w:val="00302E4A"/>
    <w:rsid w:val="00302E6C"/>
    <w:rsid w:val="00303092"/>
    <w:rsid w:val="003032B9"/>
    <w:rsid w:val="0030347E"/>
    <w:rsid w:val="003034A0"/>
    <w:rsid w:val="00303592"/>
    <w:rsid w:val="003036CF"/>
    <w:rsid w:val="003036E6"/>
    <w:rsid w:val="003038BC"/>
    <w:rsid w:val="00303965"/>
    <w:rsid w:val="00303AD2"/>
    <w:rsid w:val="00303C1A"/>
    <w:rsid w:val="00303E1A"/>
    <w:rsid w:val="0030400B"/>
    <w:rsid w:val="0030402D"/>
    <w:rsid w:val="003044C0"/>
    <w:rsid w:val="00304B26"/>
    <w:rsid w:val="00304CE9"/>
    <w:rsid w:val="00304F03"/>
    <w:rsid w:val="00304FB2"/>
    <w:rsid w:val="0030536A"/>
    <w:rsid w:val="00305567"/>
    <w:rsid w:val="00305689"/>
    <w:rsid w:val="003057D3"/>
    <w:rsid w:val="00305939"/>
    <w:rsid w:val="00305B8D"/>
    <w:rsid w:val="00305F7D"/>
    <w:rsid w:val="00305FE3"/>
    <w:rsid w:val="00306051"/>
    <w:rsid w:val="00306485"/>
    <w:rsid w:val="003067FF"/>
    <w:rsid w:val="00306829"/>
    <w:rsid w:val="00306835"/>
    <w:rsid w:val="0030684A"/>
    <w:rsid w:val="0030685B"/>
    <w:rsid w:val="003070C6"/>
    <w:rsid w:val="003073E8"/>
    <w:rsid w:val="003076F9"/>
    <w:rsid w:val="003079F9"/>
    <w:rsid w:val="00307C49"/>
    <w:rsid w:val="00307DC8"/>
    <w:rsid w:val="00307FCC"/>
    <w:rsid w:val="00310108"/>
    <w:rsid w:val="00310690"/>
    <w:rsid w:val="003108E3"/>
    <w:rsid w:val="003117AC"/>
    <w:rsid w:val="003117BE"/>
    <w:rsid w:val="00311F2E"/>
    <w:rsid w:val="00312114"/>
    <w:rsid w:val="003124FB"/>
    <w:rsid w:val="00312791"/>
    <w:rsid w:val="0031298C"/>
    <w:rsid w:val="00312F66"/>
    <w:rsid w:val="00313735"/>
    <w:rsid w:val="00313A10"/>
    <w:rsid w:val="003147EE"/>
    <w:rsid w:val="00314938"/>
    <w:rsid w:val="00314C04"/>
    <w:rsid w:val="00314C3A"/>
    <w:rsid w:val="00314F91"/>
    <w:rsid w:val="003152F4"/>
    <w:rsid w:val="00315316"/>
    <w:rsid w:val="00315599"/>
    <w:rsid w:val="003155F2"/>
    <w:rsid w:val="00315645"/>
    <w:rsid w:val="00315DB7"/>
    <w:rsid w:val="003161B5"/>
    <w:rsid w:val="00316713"/>
    <w:rsid w:val="00316A0B"/>
    <w:rsid w:val="00316F7C"/>
    <w:rsid w:val="003171F1"/>
    <w:rsid w:val="00317346"/>
    <w:rsid w:val="00317ECA"/>
    <w:rsid w:val="003200BE"/>
    <w:rsid w:val="0032035E"/>
    <w:rsid w:val="003204D8"/>
    <w:rsid w:val="00320862"/>
    <w:rsid w:val="0032094C"/>
    <w:rsid w:val="00320974"/>
    <w:rsid w:val="00320998"/>
    <w:rsid w:val="00320A42"/>
    <w:rsid w:val="003211B0"/>
    <w:rsid w:val="00321341"/>
    <w:rsid w:val="00321447"/>
    <w:rsid w:val="0032159D"/>
    <w:rsid w:val="00321B5A"/>
    <w:rsid w:val="00321D4E"/>
    <w:rsid w:val="00321DB8"/>
    <w:rsid w:val="00322199"/>
    <w:rsid w:val="00322218"/>
    <w:rsid w:val="00322DAC"/>
    <w:rsid w:val="00322F6B"/>
    <w:rsid w:val="00323032"/>
    <w:rsid w:val="003231D6"/>
    <w:rsid w:val="00323369"/>
    <w:rsid w:val="00323492"/>
    <w:rsid w:val="00323671"/>
    <w:rsid w:val="00323CF8"/>
    <w:rsid w:val="003244F7"/>
    <w:rsid w:val="0032461A"/>
    <w:rsid w:val="00324961"/>
    <w:rsid w:val="0032511B"/>
    <w:rsid w:val="003252E4"/>
    <w:rsid w:val="003255C6"/>
    <w:rsid w:val="003256DB"/>
    <w:rsid w:val="00325C9F"/>
    <w:rsid w:val="00325EE5"/>
    <w:rsid w:val="00326080"/>
    <w:rsid w:val="003263A9"/>
    <w:rsid w:val="0032691D"/>
    <w:rsid w:val="003269EA"/>
    <w:rsid w:val="00326B68"/>
    <w:rsid w:val="00326D2E"/>
    <w:rsid w:val="00327181"/>
    <w:rsid w:val="003274AC"/>
    <w:rsid w:val="00327CDD"/>
    <w:rsid w:val="00327F4A"/>
    <w:rsid w:val="00327F7F"/>
    <w:rsid w:val="003300B2"/>
    <w:rsid w:val="003300B4"/>
    <w:rsid w:val="003301C9"/>
    <w:rsid w:val="003301CF"/>
    <w:rsid w:val="003301D9"/>
    <w:rsid w:val="00330206"/>
    <w:rsid w:val="003306B0"/>
    <w:rsid w:val="00330C10"/>
    <w:rsid w:val="0033132A"/>
    <w:rsid w:val="003315DC"/>
    <w:rsid w:val="003320FA"/>
    <w:rsid w:val="00332188"/>
    <w:rsid w:val="0033226F"/>
    <w:rsid w:val="00332D87"/>
    <w:rsid w:val="00332DCC"/>
    <w:rsid w:val="0033319E"/>
    <w:rsid w:val="00333536"/>
    <w:rsid w:val="0033354E"/>
    <w:rsid w:val="0033355A"/>
    <w:rsid w:val="003335B9"/>
    <w:rsid w:val="00333B9F"/>
    <w:rsid w:val="00334202"/>
    <w:rsid w:val="00334207"/>
    <w:rsid w:val="003347E8"/>
    <w:rsid w:val="003349D9"/>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80D"/>
    <w:rsid w:val="00336842"/>
    <w:rsid w:val="00336919"/>
    <w:rsid w:val="00336A59"/>
    <w:rsid w:val="00336C68"/>
    <w:rsid w:val="00336C78"/>
    <w:rsid w:val="00336F21"/>
    <w:rsid w:val="00336F89"/>
    <w:rsid w:val="003373A5"/>
    <w:rsid w:val="00337526"/>
    <w:rsid w:val="0033755D"/>
    <w:rsid w:val="00337B19"/>
    <w:rsid w:val="00340286"/>
    <w:rsid w:val="0034041E"/>
    <w:rsid w:val="00340754"/>
    <w:rsid w:val="003408E6"/>
    <w:rsid w:val="003409DA"/>
    <w:rsid w:val="00341411"/>
    <w:rsid w:val="0034161F"/>
    <w:rsid w:val="003418F8"/>
    <w:rsid w:val="00341BC4"/>
    <w:rsid w:val="00341BEB"/>
    <w:rsid w:val="00341DA2"/>
    <w:rsid w:val="00341DAA"/>
    <w:rsid w:val="003420FD"/>
    <w:rsid w:val="00342840"/>
    <w:rsid w:val="00342C5E"/>
    <w:rsid w:val="00342D98"/>
    <w:rsid w:val="00342DA9"/>
    <w:rsid w:val="00342F2B"/>
    <w:rsid w:val="00342F69"/>
    <w:rsid w:val="00343824"/>
    <w:rsid w:val="00343F45"/>
    <w:rsid w:val="00343FFA"/>
    <w:rsid w:val="003441BC"/>
    <w:rsid w:val="003446B4"/>
    <w:rsid w:val="00344797"/>
    <w:rsid w:val="003447A1"/>
    <w:rsid w:val="00344ADB"/>
    <w:rsid w:val="00344B6F"/>
    <w:rsid w:val="00344BA0"/>
    <w:rsid w:val="00344FFC"/>
    <w:rsid w:val="003453B5"/>
    <w:rsid w:val="0034598C"/>
    <w:rsid w:val="00345F3A"/>
    <w:rsid w:val="003460F6"/>
    <w:rsid w:val="003462E7"/>
    <w:rsid w:val="00346464"/>
    <w:rsid w:val="00346786"/>
    <w:rsid w:val="0034695C"/>
    <w:rsid w:val="00346FF5"/>
    <w:rsid w:val="003470C0"/>
    <w:rsid w:val="0034720E"/>
    <w:rsid w:val="0034765D"/>
    <w:rsid w:val="003501D4"/>
    <w:rsid w:val="00350314"/>
    <w:rsid w:val="00350430"/>
    <w:rsid w:val="003504BE"/>
    <w:rsid w:val="0035060B"/>
    <w:rsid w:val="0035084D"/>
    <w:rsid w:val="003509F2"/>
    <w:rsid w:val="00350CBC"/>
    <w:rsid w:val="00350D2D"/>
    <w:rsid w:val="00350E83"/>
    <w:rsid w:val="00350F7B"/>
    <w:rsid w:val="00350FAB"/>
    <w:rsid w:val="003512BE"/>
    <w:rsid w:val="00351B1E"/>
    <w:rsid w:val="00351BD1"/>
    <w:rsid w:val="00351EF5"/>
    <w:rsid w:val="00351FE2"/>
    <w:rsid w:val="0035211C"/>
    <w:rsid w:val="0035212A"/>
    <w:rsid w:val="00352389"/>
    <w:rsid w:val="003524F2"/>
    <w:rsid w:val="0035255F"/>
    <w:rsid w:val="003526AF"/>
    <w:rsid w:val="003527CF"/>
    <w:rsid w:val="0035285C"/>
    <w:rsid w:val="00352C28"/>
    <w:rsid w:val="00352D88"/>
    <w:rsid w:val="00352D9F"/>
    <w:rsid w:val="00352E65"/>
    <w:rsid w:val="00353278"/>
    <w:rsid w:val="00353572"/>
    <w:rsid w:val="0035393F"/>
    <w:rsid w:val="00353E99"/>
    <w:rsid w:val="00353F9C"/>
    <w:rsid w:val="003540F3"/>
    <w:rsid w:val="00354548"/>
    <w:rsid w:val="00354769"/>
    <w:rsid w:val="00354DAA"/>
    <w:rsid w:val="00354EE3"/>
    <w:rsid w:val="00355126"/>
    <w:rsid w:val="003551B1"/>
    <w:rsid w:val="00355345"/>
    <w:rsid w:val="0035543F"/>
    <w:rsid w:val="003555DE"/>
    <w:rsid w:val="00355664"/>
    <w:rsid w:val="0035574F"/>
    <w:rsid w:val="003557A8"/>
    <w:rsid w:val="003557AC"/>
    <w:rsid w:val="0035586E"/>
    <w:rsid w:val="00355E0E"/>
    <w:rsid w:val="003562AB"/>
    <w:rsid w:val="003567A4"/>
    <w:rsid w:val="003568A8"/>
    <w:rsid w:val="0035706D"/>
    <w:rsid w:val="00357777"/>
    <w:rsid w:val="003578A6"/>
    <w:rsid w:val="0036024B"/>
    <w:rsid w:val="003607C6"/>
    <w:rsid w:val="00360BD2"/>
    <w:rsid w:val="00360DDE"/>
    <w:rsid w:val="003614A1"/>
    <w:rsid w:val="00361519"/>
    <w:rsid w:val="003615E5"/>
    <w:rsid w:val="00361658"/>
    <w:rsid w:val="003617AA"/>
    <w:rsid w:val="00361982"/>
    <w:rsid w:val="00361C81"/>
    <w:rsid w:val="003621E5"/>
    <w:rsid w:val="00362789"/>
    <w:rsid w:val="00362925"/>
    <w:rsid w:val="00362A7E"/>
    <w:rsid w:val="003633AA"/>
    <w:rsid w:val="00363633"/>
    <w:rsid w:val="003636F5"/>
    <w:rsid w:val="0036394E"/>
    <w:rsid w:val="00363E88"/>
    <w:rsid w:val="00364520"/>
    <w:rsid w:val="00364D87"/>
    <w:rsid w:val="0036502C"/>
    <w:rsid w:val="00365FC4"/>
    <w:rsid w:val="00366259"/>
    <w:rsid w:val="0036645F"/>
    <w:rsid w:val="003666F2"/>
    <w:rsid w:val="00366AB8"/>
    <w:rsid w:val="00366AE7"/>
    <w:rsid w:val="00366DEC"/>
    <w:rsid w:val="0036705C"/>
    <w:rsid w:val="003670EC"/>
    <w:rsid w:val="00367389"/>
    <w:rsid w:val="003675C7"/>
    <w:rsid w:val="00367782"/>
    <w:rsid w:val="003679E1"/>
    <w:rsid w:val="00367B03"/>
    <w:rsid w:val="0037010C"/>
    <w:rsid w:val="003708C7"/>
    <w:rsid w:val="00370C14"/>
    <w:rsid w:val="00371089"/>
    <w:rsid w:val="003710AE"/>
    <w:rsid w:val="003711B0"/>
    <w:rsid w:val="003711FB"/>
    <w:rsid w:val="0037134F"/>
    <w:rsid w:val="0037159A"/>
    <w:rsid w:val="0037166F"/>
    <w:rsid w:val="00371675"/>
    <w:rsid w:val="00371EA2"/>
    <w:rsid w:val="00371F4D"/>
    <w:rsid w:val="003728AB"/>
    <w:rsid w:val="00372A28"/>
    <w:rsid w:val="00372D1F"/>
    <w:rsid w:val="00372DD9"/>
    <w:rsid w:val="0037301C"/>
    <w:rsid w:val="00373820"/>
    <w:rsid w:val="00373E6A"/>
    <w:rsid w:val="00373F22"/>
    <w:rsid w:val="00374161"/>
    <w:rsid w:val="0037467B"/>
    <w:rsid w:val="003749C4"/>
    <w:rsid w:val="003756FA"/>
    <w:rsid w:val="0037583D"/>
    <w:rsid w:val="00375BCB"/>
    <w:rsid w:val="00375E05"/>
    <w:rsid w:val="003765B1"/>
    <w:rsid w:val="00376B13"/>
    <w:rsid w:val="00376F4A"/>
    <w:rsid w:val="0037735C"/>
    <w:rsid w:val="003773AC"/>
    <w:rsid w:val="003773C4"/>
    <w:rsid w:val="00377514"/>
    <w:rsid w:val="00377656"/>
    <w:rsid w:val="00377690"/>
    <w:rsid w:val="003777AD"/>
    <w:rsid w:val="00377A55"/>
    <w:rsid w:val="0038025D"/>
    <w:rsid w:val="0038043A"/>
    <w:rsid w:val="0038069C"/>
    <w:rsid w:val="00380755"/>
    <w:rsid w:val="00380B8B"/>
    <w:rsid w:val="0038145A"/>
    <w:rsid w:val="00381878"/>
    <w:rsid w:val="003819AE"/>
    <w:rsid w:val="00381AD6"/>
    <w:rsid w:val="00381B23"/>
    <w:rsid w:val="00381F3D"/>
    <w:rsid w:val="00382240"/>
    <w:rsid w:val="00382545"/>
    <w:rsid w:val="003829B7"/>
    <w:rsid w:val="00383080"/>
    <w:rsid w:val="003839B2"/>
    <w:rsid w:val="00383C34"/>
    <w:rsid w:val="00383C7F"/>
    <w:rsid w:val="00384040"/>
    <w:rsid w:val="00384468"/>
    <w:rsid w:val="0038450F"/>
    <w:rsid w:val="003845CB"/>
    <w:rsid w:val="003846CB"/>
    <w:rsid w:val="00384B85"/>
    <w:rsid w:val="00384C72"/>
    <w:rsid w:val="00384E9C"/>
    <w:rsid w:val="00384F0B"/>
    <w:rsid w:val="00385066"/>
    <w:rsid w:val="003854BD"/>
    <w:rsid w:val="00385624"/>
    <w:rsid w:val="00385741"/>
    <w:rsid w:val="003857E4"/>
    <w:rsid w:val="0038585C"/>
    <w:rsid w:val="003858FC"/>
    <w:rsid w:val="00385A60"/>
    <w:rsid w:val="00385A78"/>
    <w:rsid w:val="00385B4F"/>
    <w:rsid w:val="00385C00"/>
    <w:rsid w:val="00385E41"/>
    <w:rsid w:val="00385E4A"/>
    <w:rsid w:val="00385EF5"/>
    <w:rsid w:val="00385F63"/>
    <w:rsid w:val="00386006"/>
    <w:rsid w:val="003862CB"/>
    <w:rsid w:val="003864EA"/>
    <w:rsid w:val="003865B6"/>
    <w:rsid w:val="003865BE"/>
    <w:rsid w:val="003865F2"/>
    <w:rsid w:val="00386790"/>
    <w:rsid w:val="00386980"/>
    <w:rsid w:val="00386991"/>
    <w:rsid w:val="00386CE1"/>
    <w:rsid w:val="00386DA5"/>
    <w:rsid w:val="003872D0"/>
    <w:rsid w:val="00387367"/>
    <w:rsid w:val="0038736D"/>
    <w:rsid w:val="003879A5"/>
    <w:rsid w:val="003903C8"/>
    <w:rsid w:val="0039142A"/>
    <w:rsid w:val="003915D5"/>
    <w:rsid w:val="00391B76"/>
    <w:rsid w:val="00391EDE"/>
    <w:rsid w:val="0039201C"/>
    <w:rsid w:val="003920A4"/>
    <w:rsid w:val="003926F7"/>
    <w:rsid w:val="00393040"/>
    <w:rsid w:val="00393203"/>
    <w:rsid w:val="0039390F"/>
    <w:rsid w:val="003939D6"/>
    <w:rsid w:val="00393B17"/>
    <w:rsid w:val="00393FEE"/>
    <w:rsid w:val="00394284"/>
    <w:rsid w:val="003946F7"/>
    <w:rsid w:val="00394839"/>
    <w:rsid w:val="0039520C"/>
    <w:rsid w:val="00395349"/>
    <w:rsid w:val="003956CB"/>
    <w:rsid w:val="00395817"/>
    <w:rsid w:val="00395A5D"/>
    <w:rsid w:val="00395ED1"/>
    <w:rsid w:val="00395F0D"/>
    <w:rsid w:val="00396226"/>
    <w:rsid w:val="00396532"/>
    <w:rsid w:val="00396CFF"/>
    <w:rsid w:val="00396D6A"/>
    <w:rsid w:val="00396E27"/>
    <w:rsid w:val="00396F5E"/>
    <w:rsid w:val="00397419"/>
    <w:rsid w:val="0039774A"/>
    <w:rsid w:val="003977E1"/>
    <w:rsid w:val="00397BBE"/>
    <w:rsid w:val="00397D10"/>
    <w:rsid w:val="003A0001"/>
    <w:rsid w:val="003A061B"/>
    <w:rsid w:val="003A06A2"/>
    <w:rsid w:val="003A0767"/>
    <w:rsid w:val="003A0C0C"/>
    <w:rsid w:val="003A0CC1"/>
    <w:rsid w:val="003A14CA"/>
    <w:rsid w:val="003A17B8"/>
    <w:rsid w:val="003A19A8"/>
    <w:rsid w:val="003A1A76"/>
    <w:rsid w:val="003A1DBE"/>
    <w:rsid w:val="003A1EA2"/>
    <w:rsid w:val="003A24F6"/>
    <w:rsid w:val="003A2D52"/>
    <w:rsid w:val="003A3003"/>
    <w:rsid w:val="003A3104"/>
    <w:rsid w:val="003A3111"/>
    <w:rsid w:val="003A3408"/>
    <w:rsid w:val="003A36EB"/>
    <w:rsid w:val="003A3955"/>
    <w:rsid w:val="003A3AED"/>
    <w:rsid w:val="003A40F1"/>
    <w:rsid w:val="003A419A"/>
    <w:rsid w:val="003A4362"/>
    <w:rsid w:val="003A4752"/>
    <w:rsid w:val="003A4774"/>
    <w:rsid w:val="003A4791"/>
    <w:rsid w:val="003A495E"/>
    <w:rsid w:val="003A4979"/>
    <w:rsid w:val="003A49D6"/>
    <w:rsid w:val="003A54A2"/>
    <w:rsid w:val="003A553A"/>
    <w:rsid w:val="003A559E"/>
    <w:rsid w:val="003A5685"/>
    <w:rsid w:val="003A5843"/>
    <w:rsid w:val="003A6C61"/>
    <w:rsid w:val="003A6FA7"/>
    <w:rsid w:val="003A7311"/>
    <w:rsid w:val="003A745F"/>
    <w:rsid w:val="003A746B"/>
    <w:rsid w:val="003A75E0"/>
    <w:rsid w:val="003A7C1E"/>
    <w:rsid w:val="003A7D97"/>
    <w:rsid w:val="003B00EE"/>
    <w:rsid w:val="003B0D79"/>
    <w:rsid w:val="003B1291"/>
    <w:rsid w:val="003B148D"/>
    <w:rsid w:val="003B1C58"/>
    <w:rsid w:val="003B232F"/>
    <w:rsid w:val="003B2738"/>
    <w:rsid w:val="003B2A11"/>
    <w:rsid w:val="003B2A8F"/>
    <w:rsid w:val="003B302E"/>
    <w:rsid w:val="003B34A9"/>
    <w:rsid w:val="003B36CD"/>
    <w:rsid w:val="003B38E8"/>
    <w:rsid w:val="003B3931"/>
    <w:rsid w:val="003B397B"/>
    <w:rsid w:val="003B3AC6"/>
    <w:rsid w:val="003B4206"/>
    <w:rsid w:val="003B42B5"/>
    <w:rsid w:val="003B4642"/>
    <w:rsid w:val="003B4706"/>
    <w:rsid w:val="003B4B46"/>
    <w:rsid w:val="003B581D"/>
    <w:rsid w:val="003B5A9B"/>
    <w:rsid w:val="003B5ADA"/>
    <w:rsid w:val="003B60A8"/>
    <w:rsid w:val="003B61E5"/>
    <w:rsid w:val="003B6402"/>
    <w:rsid w:val="003B7228"/>
    <w:rsid w:val="003B7984"/>
    <w:rsid w:val="003B7AC4"/>
    <w:rsid w:val="003B7E90"/>
    <w:rsid w:val="003C00AD"/>
    <w:rsid w:val="003C02F8"/>
    <w:rsid w:val="003C0E89"/>
    <w:rsid w:val="003C1099"/>
    <w:rsid w:val="003C13A4"/>
    <w:rsid w:val="003C1696"/>
    <w:rsid w:val="003C1861"/>
    <w:rsid w:val="003C1975"/>
    <w:rsid w:val="003C1C06"/>
    <w:rsid w:val="003C23C5"/>
    <w:rsid w:val="003C2652"/>
    <w:rsid w:val="003C2783"/>
    <w:rsid w:val="003C29DD"/>
    <w:rsid w:val="003C2B03"/>
    <w:rsid w:val="003C2DCD"/>
    <w:rsid w:val="003C2DEA"/>
    <w:rsid w:val="003C2E5E"/>
    <w:rsid w:val="003C31C5"/>
    <w:rsid w:val="003C32EF"/>
    <w:rsid w:val="003C37B7"/>
    <w:rsid w:val="003C38E8"/>
    <w:rsid w:val="003C3C76"/>
    <w:rsid w:val="003C400E"/>
    <w:rsid w:val="003C40F2"/>
    <w:rsid w:val="003C4224"/>
    <w:rsid w:val="003C43B7"/>
    <w:rsid w:val="003C4435"/>
    <w:rsid w:val="003C4581"/>
    <w:rsid w:val="003C49BF"/>
    <w:rsid w:val="003C4ABB"/>
    <w:rsid w:val="003C519C"/>
    <w:rsid w:val="003C53D8"/>
    <w:rsid w:val="003C5655"/>
    <w:rsid w:val="003C584C"/>
    <w:rsid w:val="003C5961"/>
    <w:rsid w:val="003C5A32"/>
    <w:rsid w:val="003C5EF4"/>
    <w:rsid w:val="003C610A"/>
    <w:rsid w:val="003C63FD"/>
    <w:rsid w:val="003C65F3"/>
    <w:rsid w:val="003C69EF"/>
    <w:rsid w:val="003C6F0A"/>
    <w:rsid w:val="003C6FCA"/>
    <w:rsid w:val="003C74B9"/>
    <w:rsid w:val="003C7B34"/>
    <w:rsid w:val="003C7CCD"/>
    <w:rsid w:val="003D07F9"/>
    <w:rsid w:val="003D0878"/>
    <w:rsid w:val="003D0890"/>
    <w:rsid w:val="003D08D1"/>
    <w:rsid w:val="003D09A9"/>
    <w:rsid w:val="003D0E63"/>
    <w:rsid w:val="003D15F7"/>
    <w:rsid w:val="003D17DF"/>
    <w:rsid w:val="003D1863"/>
    <w:rsid w:val="003D1CAD"/>
    <w:rsid w:val="003D1E78"/>
    <w:rsid w:val="003D2025"/>
    <w:rsid w:val="003D249C"/>
    <w:rsid w:val="003D25D0"/>
    <w:rsid w:val="003D279C"/>
    <w:rsid w:val="003D28BE"/>
    <w:rsid w:val="003D2963"/>
    <w:rsid w:val="003D2CB2"/>
    <w:rsid w:val="003D2D4D"/>
    <w:rsid w:val="003D2FD5"/>
    <w:rsid w:val="003D3385"/>
    <w:rsid w:val="003D351F"/>
    <w:rsid w:val="003D3945"/>
    <w:rsid w:val="003D3AB4"/>
    <w:rsid w:val="003D3B07"/>
    <w:rsid w:val="003D3B0F"/>
    <w:rsid w:val="003D4403"/>
    <w:rsid w:val="003D47DB"/>
    <w:rsid w:val="003D4A56"/>
    <w:rsid w:val="003D4E09"/>
    <w:rsid w:val="003D517C"/>
    <w:rsid w:val="003D5599"/>
    <w:rsid w:val="003D5A60"/>
    <w:rsid w:val="003D5CD2"/>
    <w:rsid w:val="003D5E0E"/>
    <w:rsid w:val="003D5F05"/>
    <w:rsid w:val="003D6010"/>
    <w:rsid w:val="003D61BE"/>
    <w:rsid w:val="003D6258"/>
    <w:rsid w:val="003D6383"/>
    <w:rsid w:val="003D6477"/>
    <w:rsid w:val="003D6552"/>
    <w:rsid w:val="003D655F"/>
    <w:rsid w:val="003D6625"/>
    <w:rsid w:val="003D682A"/>
    <w:rsid w:val="003D69A1"/>
    <w:rsid w:val="003D69C0"/>
    <w:rsid w:val="003D69C9"/>
    <w:rsid w:val="003D6DEC"/>
    <w:rsid w:val="003D6DFE"/>
    <w:rsid w:val="003D7156"/>
    <w:rsid w:val="003D7543"/>
    <w:rsid w:val="003D760A"/>
    <w:rsid w:val="003D7978"/>
    <w:rsid w:val="003D7B46"/>
    <w:rsid w:val="003D7C66"/>
    <w:rsid w:val="003D7F77"/>
    <w:rsid w:val="003E027E"/>
    <w:rsid w:val="003E02DC"/>
    <w:rsid w:val="003E05AF"/>
    <w:rsid w:val="003E0824"/>
    <w:rsid w:val="003E0CD2"/>
    <w:rsid w:val="003E0DF6"/>
    <w:rsid w:val="003E1E71"/>
    <w:rsid w:val="003E209B"/>
    <w:rsid w:val="003E21D5"/>
    <w:rsid w:val="003E24CB"/>
    <w:rsid w:val="003E2ADF"/>
    <w:rsid w:val="003E2D9F"/>
    <w:rsid w:val="003E31D4"/>
    <w:rsid w:val="003E36A6"/>
    <w:rsid w:val="003E37A2"/>
    <w:rsid w:val="003E38F6"/>
    <w:rsid w:val="003E38FC"/>
    <w:rsid w:val="003E3CFC"/>
    <w:rsid w:val="003E3D5C"/>
    <w:rsid w:val="003E3D7C"/>
    <w:rsid w:val="003E3E6B"/>
    <w:rsid w:val="003E44B8"/>
    <w:rsid w:val="003E4910"/>
    <w:rsid w:val="003E4B03"/>
    <w:rsid w:val="003E51BD"/>
    <w:rsid w:val="003E5398"/>
    <w:rsid w:val="003E55F2"/>
    <w:rsid w:val="003E598A"/>
    <w:rsid w:val="003E5F98"/>
    <w:rsid w:val="003E637A"/>
    <w:rsid w:val="003E63A8"/>
    <w:rsid w:val="003E65CD"/>
    <w:rsid w:val="003E661E"/>
    <w:rsid w:val="003E762D"/>
    <w:rsid w:val="003E7C5E"/>
    <w:rsid w:val="003E7ED6"/>
    <w:rsid w:val="003E7F72"/>
    <w:rsid w:val="003F0457"/>
    <w:rsid w:val="003F0E64"/>
    <w:rsid w:val="003F1035"/>
    <w:rsid w:val="003F104A"/>
    <w:rsid w:val="003F12DA"/>
    <w:rsid w:val="003F14BC"/>
    <w:rsid w:val="003F1B1E"/>
    <w:rsid w:val="003F1B54"/>
    <w:rsid w:val="003F1EAE"/>
    <w:rsid w:val="003F2168"/>
    <w:rsid w:val="003F2208"/>
    <w:rsid w:val="003F22D9"/>
    <w:rsid w:val="003F2643"/>
    <w:rsid w:val="003F2C6C"/>
    <w:rsid w:val="003F36F1"/>
    <w:rsid w:val="003F3BD5"/>
    <w:rsid w:val="003F3BE5"/>
    <w:rsid w:val="003F3DA9"/>
    <w:rsid w:val="003F432F"/>
    <w:rsid w:val="003F44FF"/>
    <w:rsid w:val="003F505D"/>
    <w:rsid w:val="003F5A0A"/>
    <w:rsid w:val="003F5C7D"/>
    <w:rsid w:val="003F5D88"/>
    <w:rsid w:val="003F5DA9"/>
    <w:rsid w:val="003F5E91"/>
    <w:rsid w:val="003F6130"/>
    <w:rsid w:val="003F63C9"/>
    <w:rsid w:val="003F6CCB"/>
    <w:rsid w:val="003F6DC8"/>
    <w:rsid w:val="003F73EE"/>
    <w:rsid w:val="003F76A0"/>
    <w:rsid w:val="003F78B7"/>
    <w:rsid w:val="003F79B9"/>
    <w:rsid w:val="003F7A8E"/>
    <w:rsid w:val="00400626"/>
    <w:rsid w:val="0040085E"/>
    <w:rsid w:val="00400967"/>
    <w:rsid w:val="00400B67"/>
    <w:rsid w:val="00400E13"/>
    <w:rsid w:val="00401507"/>
    <w:rsid w:val="00401C35"/>
    <w:rsid w:val="004024F7"/>
    <w:rsid w:val="00402512"/>
    <w:rsid w:val="004028FC"/>
    <w:rsid w:val="00402DE6"/>
    <w:rsid w:val="00402FD9"/>
    <w:rsid w:val="00403294"/>
    <w:rsid w:val="0040329A"/>
    <w:rsid w:val="00403634"/>
    <w:rsid w:val="004039DF"/>
    <w:rsid w:val="00403C0F"/>
    <w:rsid w:val="00403E0A"/>
    <w:rsid w:val="0040433E"/>
    <w:rsid w:val="00404542"/>
    <w:rsid w:val="004047C6"/>
    <w:rsid w:val="00404B3E"/>
    <w:rsid w:val="00404BD6"/>
    <w:rsid w:val="00404E1E"/>
    <w:rsid w:val="00404F58"/>
    <w:rsid w:val="004052A3"/>
    <w:rsid w:val="00405593"/>
    <w:rsid w:val="0040564C"/>
    <w:rsid w:val="00405AE6"/>
    <w:rsid w:val="00405C53"/>
    <w:rsid w:val="00405DBF"/>
    <w:rsid w:val="00405F6A"/>
    <w:rsid w:val="00406056"/>
    <w:rsid w:val="0040642E"/>
    <w:rsid w:val="004064F7"/>
    <w:rsid w:val="00406883"/>
    <w:rsid w:val="00406B37"/>
    <w:rsid w:val="004073A5"/>
    <w:rsid w:val="00407934"/>
    <w:rsid w:val="00407E75"/>
    <w:rsid w:val="00407EA2"/>
    <w:rsid w:val="00407F62"/>
    <w:rsid w:val="004105D1"/>
    <w:rsid w:val="00410A50"/>
    <w:rsid w:val="00410FC0"/>
    <w:rsid w:val="00411331"/>
    <w:rsid w:val="00411BD1"/>
    <w:rsid w:val="00411D06"/>
    <w:rsid w:val="0041204A"/>
    <w:rsid w:val="004128E3"/>
    <w:rsid w:val="00412BD7"/>
    <w:rsid w:val="00412D3B"/>
    <w:rsid w:val="004137E2"/>
    <w:rsid w:val="004137F6"/>
    <w:rsid w:val="00413971"/>
    <w:rsid w:val="00413BB9"/>
    <w:rsid w:val="00413DF4"/>
    <w:rsid w:val="004142F8"/>
    <w:rsid w:val="00414521"/>
    <w:rsid w:val="004145B2"/>
    <w:rsid w:val="00414640"/>
    <w:rsid w:val="00414B0A"/>
    <w:rsid w:val="00414C6B"/>
    <w:rsid w:val="00414DAB"/>
    <w:rsid w:val="00414F32"/>
    <w:rsid w:val="00415FE3"/>
    <w:rsid w:val="004164D9"/>
    <w:rsid w:val="00416729"/>
    <w:rsid w:val="00416B59"/>
    <w:rsid w:val="00416BC1"/>
    <w:rsid w:val="00416C39"/>
    <w:rsid w:val="00416FA1"/>
    <w:rsid w:val="00416FBB"/>
    <w:rsid w:val="00417000"/>
    <w:rsid w:val="00417396"/>
    <w:rsid w:val="004173E7"/>
    <w:rsid w:val="0041741E"/>
    <w:rsid w:val="00417450"/>
    <w:rsid w:val="00417792"/>
    <w:rsid w:val="004177F3"/>
    <w:rsid w:val="00417F16"/>
    <w:rsid w:val="00420022"/>
    <w:rsid w:val="004202FB"/>
    <w:rsid w:val="004203B1"/>
    <w:rsid w:val="00420581"/>
    <w:rsid w:val="00420888"/>
    <w:rsid w:val="00420A36"/>
    <w:rsid w:val="00421089"/>
    <w:rsid w:val="004210D7"/>
    <w:rsid w:val="00421134"/>
    <w:rsid w:val="0042116F"/>
    <w:rsid w:val="0042153C"/>
    <w:rsid w:val="004226E0"/>
    <w:rsid w:val="00422B0C"/>
    <w:rsid w:val="00422D28"/>
    <w:rsid w:val="004235D2"/>
    <w:rsid w:val="004236A8"/>
    <w:rsid w:val="004239F6"/>
    <w:rsid w:val="00424634"/>
    <w:rsid w:val="00424E10"/>
    <w:rsid w:val="00424E3F"/>
    <w:rsid w:val="004250D8"/>
    <w:rsid w:val="004254CB"/>
    <w:rsid w:val="004254D0"/>
    <w:rsid w:val="004259E2"/>
    <w:rsid w:val="004260D1"/>
    <w:rsid w:val="0042654B"/>
    <w:rsid w:val="004269CA"/>
    <w:rsid w:val="00426AC4"/>
    <w:rsid w:val="00426D1C"/>
    <w:rsid w:val="00426E70"/>
    <w:rsid w:val="00427509"/>
    <w:rsid w:val="004275EC"/>
    <w:rsid w:val="00427754"/>
    <w:rsid w:val="00427C5F"/>
    <w:rsid w:val="00427E24"/>
    <w:rsid w:val="00427E61"/>
    <w:rsid w:val="00430952"/>
    <w:rsid w:val="00430A90"/>
    <w:rsid w:val="00430EC0"/>
    <w:rsid w:val="004318E7"/>
    <w:rsid w:val="00431CA6"/>
    <w:rsid w:val="00431DC9"/>
    <w:rsid w:val="00431E6D"/>
    <w:rsid w:val="004320D4"/>
    <w:rsid w:val="00432143"/>
    <w:rsid w:val="00432214"/>
    <w:rsid w:val="004323C6"/>
    <w:rsid w:val="0043258F"/>
    <w:rsid w:val="004325A7"/>
    <w:rsid w:val="00432602"/>
    <w:rsid w:val="004327B0"/>
    <w:rsid w:val="00432B46"/>
    <w:rsid w:val="00432D8D"/>
    <w:rsid w:val="00432DEA"/>
    <w:rsid w:val="00432E2E"/>
    <w:rsid w:val="004333F8"/>
    <w:rsid w:val="004336BC"/>
    <w:rsid w:val="004337F0"/>
    <w:rsid w:val="0043399D"/>
    <w:rsid w:val="00433FD9"/>
    <w:rsid w:val="0043419B"/>
    <w:rsid w:val="004345D5"/>
    <w:rsid w:val="00434FB7"/>
    <w:rsid w:val="00435553"/>
    <w:rsid w:val="00435890"/>
    <w:rsid w:val="00435B0C"/>
    <w:rsid w:val="00435C78"/>
    <w:rsid w:val="00435D8D"/>
    <w:rsid w:val="00436400"/>
    <w:rsid w:val="00436BFE"/>
    <w:rsid w:val="00436F36"/>
    <w:rsid w:val="004370F0"/>
    <w:rsid w:val="00437599"/>
    <w:rsid w:val="004378B3"/>
    <w:rsid w:val="00437958"/>
    <w:rsid w:val="00440786"/>
    <w:rsid w:val="004407B2"/>
    <w:rsid w:val="004408A5"/>
    <w:rsid w:val="004408BD"/>
    <w:rsid w:val="00440A46"/>
    <w:rsid w:val="00440B26"/>
    <w:rsid w:val="00440D04"/>
    <w:rsid w:val="00440F38"/>
    <w:rsid w:val="00441125"/>
    <w:rsid w:val="00441400"/>
    <w:rsid w:val="004414B7"/>
    <w:rsid w:val="00441F83"/>
    <w:rsid w:val="00442344"/>
    <w:rsid w:val="00442483"/>
    <w:rsid w:val="004425FA"/>
    <w:rsid w:val="00442F19"/>
    <w:rsid w:val="00442FB7"/>
    <w:rsid w:val="004433F8"/>
    <w:rsid w:val="00443966"/>
    <w:rsid w:val="00443978"/>
    <w:rsid w:val="00443B39"/>
    <w:rsid w:val="00443B71"/>
    <w:rsid w:val="00444096"/>
    <w:rsid w:val="004449A2"/>
    <w:rsid w:val="00444A7B"/>
    <w:rsid w:val="00445271"/>
    <w:rsid w:val="00445852"/>
    <w:rsid w:val="00445973"/>
    <w:rsid w:val="00445A76"/>
    <w:rsid w:val="00445A78"/>
    <w:rsid w:val="00445B52"/>
    <w:rsid w:val="00445DF3"/>
    <w:rsid w:val="00445E0C"/>
    <w:rsid w:val="004462F0"/>
    <w:rsid w:val="004463CB"/>
    <w:rsid w:val="0044654D"/>
    <w:rsid w:val="0044672C"/>
    <w:rsid w:val="00446780"/>
    <w:rsid w:val="00446834"/>
    <w:rsid w:val="00446DD5"/>
    <w:rsid w:val="00446F74"/>
    <w:rsid w:val="004474F8"/>
    <w:rsid w:val="00447922"/>
    <w:rsid w:val="004479AF"/>
    <w:rsid w:val="004502E7"/>
    <w:rsid w:val="0045050A"/>
    <w:rsid w:val="00450BF5"/>
    <w:rsid w:val="00450C25"/>
    <w:rsid w:val="0045101C"/>
    <w:rsid w:val="00451469"/>
    <w:rsid w:val="00451734"/>
    <w:rsid w:val="00451793"/>
    <w:rsid w:val="00452085"/>
    <w:rsid w:val="004522D8"/>
    <w:rsid w:val="00452461"/>
    <w:rsid w:val="004526CF"/>
    <w:rsid w:val="00452770"/>
    <w:rsid w:val="0045296E"/>
    <w:rsid w:val="00452B2F"/>
    <w:rsid w:val="00452CCF"/>
    <w:rsid w:val="004532D7"/>
    <w:rsid w:val="004533EA"/>
    <w:rsid w:val="0045365B"/>
    <w:rsid w:val="004537FA"/>
    <w:rsid w:val="00453AF9"/>
    <w:rsid w:val="00453B3C"/>
    <w:rsid w:val="00453BEE"/>
    <w:rsid w:val="004540CA"/>
    <w:rsid w:val="0045419C"/>
    <w:rsid w:val="00454498"/>
    <w:rsid w:val="004546E1"/>
    <w:rsid w:val="0045582B"/>
    <w:rsid w:val="00455A75"/>
    <w:rsid w:val="00455BB9"/>
    <w:rsid w:val="004560D1"/>
    <w:rsid w:val="0045627A"/>
    <w:rsid w:val="00456344"/>
    <w:rsid w:val="00456969"/>
    <w:rsid w:val="00456E46"/>
    <w:rsid w:val="00457725"/>
    <w:rsid w:val="00457F4D"/>
    <w:rsid w:val="0046022A"/>
    <w:rsid w:val="00460788"/>
    <w:rsid w:val="00460860"/>
    <w:rsid w:val="00460A20"/>
    <w:rsid w:val="00460D69"/>
    <w:rsid w:val="00460FCE"/>
    <w:rsid w:val="004610E9"/>
    <w:rsid w:val="004612FF"/>
    <w:rsid w:val="00461326"/>
    <w:rsid w:val="0046147F"/>
    <w:rsid w:val="00461DA2"/>
    <w:rsid w:val="00461F2A"/>
    <w:rsid w:val="00461F2E"/>
    <w:rsid w:val="00461F8B"/>
    <w:rsid w:val="0046207A"/>
    <w:rsid w:val="00462225"/>
    <w:rsid w:val="0046266B"/>
    <w:rsid w:val="00462707"/>
    <w:rsid w:val="00462A3C"/>
    <w:rsid w:val="00462B0A"/>
    <w:rsid w:val="00462CC3"/>
    <w:rsid w:val="00463236"/>
    <w:rsid w:val="004632DE"/>
    <w:rsid w:val="004638D2"/>
    <w:rsid w:val="00463FD5"/>
    <w:rsid w:val="004641F3"/>
    <w:rsid w:val="0046451B"/>
    <w:rsid w:val="00464C91"/>
    <w:rsid w:val="00464E7A"/>
    <w:rsid w:val="00464FFC"/>
    <w:rsid w:val="0046527B"/>
    <w:rsid w:val="00465597"/>
    <w:rsid w:val="00465C1F"/>
    <w:rsid w:val="0046630C"/>
    <w:rsid w:val="004666FC"/>
    <w:rsid w:val="00466B86"/>
    <w:rsid w:val="00466C21"/>
    <w:rsid w:val="00467292"/>
    <w:rsid w:val="00467BCD"/>
    <w:rsid w:val="00467BDC"/>
    <w:rsid w:val="00467D4D"/>
    <w:rsid w:val="00467E1D"/>
    <w:rsid w:val="00470622"/>
    <w:rsid w:val="00470B62"/>
    <w:rsid w:val="00471353"/>
    <w:rsid w:val="0047149F"/>
    <w:rsid w:val="00471515"/>
    <w:rsid w:val="0047153F"/>
    <w:rsid w:val="0047180E"/>
    <w:rsid w:val="004718F8"/>
    <w:rsid w:val="00471959"/>
    <w:rsid w:val="00471AD5"/>
    <w:rsid w:val="00471D30"/>
    <w:rsid w:val="00471DC3"/>
    <w:rsid w:val="00471FF3"/>
    <w:rsid w:val="00472492"/>
    <w:rsid w:val="004725BE"/>
    <w:rsid w:val="00472852"/>
    <w:rsid w:val="00472EB7"/>
    <w:rsid w:val="00472F8F"/>
    <w:rsid w:val="00472FB1"/>
    <w:rsid w:val="004731B8"/>
    <w:rsid w:val="00473440"/>
    <w:rsid w:val="00473617"/>
    <w:rsid w:val="00473CC9"/>
    <w:rsid w:val="00473F85"/>
    <w:rsid w:val="00473FC0"/>
    <w:rsid w:val="0047401E"/>
    <w:rsid w:val="00474086"/>
    <w:rsid w:val="00474128"/>
    <w:rsid w:val="0047431E"/>
    <w:rsid w:val="0047438B"/>
    <w:rsid w:val="00474545"/>
    <w:rsid w:val="00474CBA"/>
    <w:rsid w:val="00474E1B"/>
    <w:rsid w:val="004755CF"/>
    <w:rsid w:val="00475823"/>
    <w:rsid w:val="0047585D"/>
    <w:rsid w:val="00475944"/>
    <w:rsid w:val="00475AEE"/>
    <w:rsid w:val="004760A7"/>
    <w:rsid w:val="004760FF"/>
    <w:rsid w:val="0047617F"/>
    <w:rsid w:val="00476386"/>
    <w:rsid w:val="004773A2"/>
    <w:rsid w:val="00477472"/>
    <w:rsid w:val="00477595"/>
    <w:rsid w:val="00477623"/>
    <w:rsid w:val="00477656"/>
    <w:rsid w:val="0047769A"/>
    <w:rsid w:val="00477B2E"/>
    <w:rsid w:val="004800C2"/>
    <w:rsid w:val="0048023E"/>
    <w:rsid w:val="0048034E"/>
    <w:rsid w:val="0048042B"/>
    <w:rsid w:val="00480828"/>
    <w:rsid w:val="0048082C"/>
    <w:rsid w:val="004808DE"/>
    <w:rsid w:val="0048155D"/>
    <w:rsid w:val="004821C2"/>
    <w:rsid w:val="00482642"/>
    <w:rsid w:val="00482652"/>
    <w:rsid w:val="0048279B"/>
    <w:rsid w:val="004830FE"/>
    <w:rsid w:val="004832D9"/>
    <w:rsid w:val="00483A8C"/>
    <w:rsid w:val="00483AEB"/>
    <w:rsid w:val="00483E29"/>
    <w:rsid w:val="00483F19"/>
    <w:rsid w:val="00483FF8"/>
    <w:rsid w:val="0048404A"/>
    <w:rsid w:val="00484746"/>
    <w:rsid w:val="0048477B"/>
    <w:rsid w:val="00485139"/>
    <w:rsid w:val="004852EB"/>
    <w:rsid w:val="00485533"/>
    <w:rsid w:val="004857EA"/>
    <w:rsid w:val="0048581E"/>
    <w:rsid w:val="00485832"/>
    <w:rsid w:val="004858D1"/>
    <w:rsid w:val="004859FB"/>
    <w:rsid w:val="00486073"/>
    <w:rsid w:val="0048662D"/>
    <w:rsid w:val="00486729"/>
    <w:rsid w:val="0048692D"/>
    <w:rsid w:val="00487101"/>
    <w:rsid w:val="0048726E"/>
    <w:rsid w:val="00487382"/>
    <w:rsid w:val="0048739B"/>
    <w:rsid w:val="00487F4E"/>
    <w:rsid w:val="00490242"/>
    <w:rsid w:val="004904A7"/>
    <w:rsid w:val="00490589"/>
    <w:rsid w:val="004909A1"/>
    <w:rsid w:val="00490CFD"/>
    <w:rsid w:val="0049176E"/>
    <w:rsid w:val="00491925"/>
    <w:rsid w:val="004921C4"/>
    <w:rsid w:val="0049225D"/>
    <w:rsid w:val="004922EB"/>
    <w:rsid w:val="004926E1"/>
    <w:rsid w:val="00492803"/>
    <w:rsid w:val="00492928"/>
    <w:rsid w:val="00492BD3"/>
    <w:rsid w:val="00492F5F"/>
    <w:rsid w:val="004933C2"/>
    <w:rsid w:val="00493C80"/>
    <w:rsid w:val="00494029"/>
    <w:rsid w:val="004947E2"/>
    <w:rsid w:val="00495370"/>
    <w:rsid w:val="00495722"/>
    <w:rsid w:val="00495BAC"/>
    <w:rsid w:val="00495D53"/>
    <w:rsid w:val="00495F3C"/>
    <w:rsid w:val="004960F5"/>
    <w:rsid w:val="004960FA"/>
    <w:rsid w:val="004962E2"/>
    <w:rsid w:val="0049653B"/>
    <w:rsid w:val="004969C0"/>
    <w:rsid w:val="00496A3A"/>
    <w:rsid w:val="00496BB0"/>
    <w:rsid w:val="00496BC1"/>
    <w:rsid w:val="004970DC"/>
    <w:rsid w:val="00497783"/>
    <w:rsid w:val="004979B8"/>
    <w:rsid w:val="00497B50"/>
    <w:rsid w:val="00497F62"/>
    <w:rsid w:val="004A00FE"/>
    <w:rsid w:val="004A03C5"/>
    <w:rsid w:val="004A063C"/>
    <w:rsid w:val="004A0683"/>
    <w:rsid w:val="004A0A67"/>
    <w:rsid w:val="004A1341"/>
    <w:rsid w:val="004A15D3"/>
    <w:rsid w:val="004A189E"/>
    <w:rsid w:val="004A22B3"/>
    <w:rsid w:val="004A22F5"/>
    <w:rsid w:val="004A2360"/>
    <w:rsid w:val="004A2475"/>
    <w:rsid w:val="004A24D8"/>
    <w:rsid w:val="004A258B"/>
    <w:rsid w:val="004A27F9"/>
    <w:rsid w:val="004A2853"/>
    <w:rsid w:val="004A2E67"/>
    <w:rsid w:val="004A3226"/>
    <w:rsid w:val="004A3E8A"/>
    <w:rsid w:val="004A43F5"/>
    <w:rsid w:val="004A446A"/>
    <w:rsid w:val="004A4896"/>
    <w:rsid w:val="004A4973"/>
    <w:rsid w:val="004A6099"/>
    <w:rsid w:val="004A6460"/>
    <w:rsid w:val="004A6623"/>
    <w:rsid w:val="004A670D"/>
    <w:rsid w:val="004A6802"/>
    <w:rsid w:val="004A6993"/>
    <w:rsid w:val="004A71EC"/>
    <w:rsid w:val="004A74A7"/>
    <w:rsid w:val="004A7E65"/>
    <w:rsid w:val="004B0002"/>
    <w:rsid w:val="004B008D"/>
    <w:rsid w:val="004B0566"/>
    <w:rsid w:val="004B05FC"/>
    <w:rsid w:val="004B07D7"/>
    <w:rsid w:val="004B09C7"/>
    <w:rsid w:val="004B0AC0"/>
    <w:rsid w:val="004B0CD5"/>
    <w:rsid w:val="004B0CDF"/>
    <w:rsid w:val="004B1032"/>
    <w:rsid w:val="004B10D9"/>
    <w:rsid w:val="004B1364"/>
    <w:rsid w:val="004B18E2"/>
    <w:rsid w:val="004B195F"/>
    <w:rsid w:val="004B19FB"/>
    <w:rsid w:val="004B1C4D"/>
    <w:rsid w:val="004B2058"/>
    <w:rsid w:val="004B21EE"/>
    <w:rsid w:val="004B25F6"/>
    <w:rsid w:val="004B2762"/>
    <w:rsid w:val="004B287C"/>
    <w:rsid w:val="004B29F4"/>
    <w:rsid w:val="004B2F14"/>
    <w:rsid w:val="004B38BB"/>
    <w:rsid w:val="004B3A33"/>
    <w:rsid w:val="004B3F63"/>
    <w:rsid w:val="004B41DF"/>
    <w:rsid w:val="004B41FD"/>
    <w:rsid w:val="004B4519"/>
    <w:rsid w:val="004B47B4"/>
    <w:rsid w:val="004B4926"/>
    <w:rsid w:val="004B493A"/>
    <w:rsid w:val="004B4B2D"/>
    <w:rsid w:val="004B4ED7"/>
    <w:rsid w:val="004B4F10"/>
    <w:rsid w:val="004B5042"/>
    <w:rsid w:val="004B5048"/>
    <w:rsid w:val="004B5834"/>
    <w:rsid w:val="004B5BD1"/>
    <w:rsid w:val="004B5C0F"/>
    <w:rsid w:val="004B5E36"/>
    <w:rsid w:val="004B6191"/>
    <w:rsid w:val="004B6461"/>
    <w:rsid w:val="004B6F3D"/>
    <w:rsid w:val="004B72FB"/>
    <w:rsid w:val="004B73A1"/>
    <w:rsid w:val="004B7546"/>
    <w:rsid w:val="004B76F3"/>
    <w:rsid w:val="004B78C6"/>
    <w:rsid w:val="004B7A7B"/>
    <w:rsid w:val="004B7AEE"/>
    <w:rsid w:val="004B7B14"/>
    <w:rsid w:val="004B7C5F"/>
    <w:rsid w:val="004B7C89"/>
    <w:rsid w:val="004C0673"/>
    <w:rsid w:val="004C06E9"/>
    <w:rsid w:val="004C074B"/>
    <w:rsid w:val="004C0766"/>
    <w:rsid w:val="004C098C"/>
    <w:rsid w:val="004C0EF0"/>
    <w:rsid w:val="004C0F2F"/>
    <w:rsid w:val="004C10A2"/>
    <w:rsid w:val="004C13F7"/>
    <w:rsid w:val="004C15FF"/>
    <w:rsid w:val="004C1713"/>
    <w:rsid w:val="004C18A4"/>
    <w:rsid w:val="004C1F31"/>
    <w:rsid w:val="004C1F8A"/>
    <w:rsid w:val="004C2272"/>
    <w:rsid w:val="004C24B5"/>
    <w:rsid w:val="004C2758"/>
    <w:rsid w:val="004C2A1D"/>
    <w:rsid w:val="004C2E8C"/>
    <w:rsid w:val="004C3028"/>
    <w:rsid w:val="004C3A74"/>
    <w:rsid w:val="004C3B49"/>
    <w:rsid w:val="004C3D65"/>
    <w:rsid w:val="004C4AD6"/>
    <w:rsid w:val="004C52A3"/>
    <w:rsid w:val="004C5447"/>
    <w:rsid w:val="004C5732"/>
    <w:rsid w:val="004C5816"/>
    <w:rsid w:val="004C5B5D"/>
    <w:rsid w:val="004C5FF5"/>
    <w:rsid w:val="004C61C6"/>
    <w:rsid w:val="004C64BB"/>
    <w:rsid w:val="004C683D"/>
    <w:rsid w:val="004C69BC"/>
    <w:rsid w:val="004C6EED"/>
    <w:rsid w:val="004C704B"/>
    <w:rsid w:val="004C7089"/>
    <w:rsid w:val="004C71B7"/>
    <w:rsid w:val="004C73B2"/>
    <w:rsid w:val="004C762D"/>
    <w:rsid w:val="004C7A03"/>
    <w:rsid w:val="004C7E06"/>
    <w:rsid w:val="004D0D2C"/>
    <w:rsid w:val="004D101F"/>
    <w:rsid w:val="004D13EE"/>
    <w:rsid w:val="004D1774"/>
    <w:rsid w:val="004D1831"/>
    <w:rsid w:val="004D1AD5"/>
    <w:rsid w:val="004D1ADA"/>
    <w:rsid w:val="004D1B24"/>
    <w:rsid w:val="004D1BF8"/>
    <w:rsid w:val="004D1E2B"/>
    <w:rsid w:val="004D1E96"/>
    <w:rsid w:val="004D2045"/>
    <w:rsid w:val="004D2793"/>
    <w:rsid w:val="004D2855"/>
    <w:rsid w:val="004D3193"/>
    <w:rsid w:val="004D3300"/>
    <w:rsid w:val="004D36D2"/>
    <w:rsid w:val="004D3899"/>
    <w:rsid w:val="004D3965"/>
    <w:rsid w:val="004D399E"/>
    <w:rsid w:val="004D3BA5"/>
    <w:rsid w:val="004D3D4B"/>
    <w:rsid w:val="004D3F1C"/>
    <w:rsid w:val="004D4023"/>
    <w:rsid w:val="004D4255"/>
    <w:rsid w:val="004D462A"/>
    <w:rsid w:val="004D47E1"/>
    <w:rsid w:val="004D4D8B"/>
    <w:rsid w:val="004D4F8B"/>
    <w:rsid w:val="004D5238"/>
    <w:rsid w:val="004D54F8"/>
    <w:rsid w:val="004D566B"/>
    <w:rsid w:val="004D56AA"/>
    <w:rsid w:val="004D5AA2"/>
    <w:rsid w:val="004D5D2C"/>
    <w:rsid w:val="004D5FBD"/>
    <w:rsid w:val="004D5FDD"/>
    <w:rsid w:val="004D6118"/>
    <w:rsid w:val="004D62E7"/>
    <w:rsid w:val="004D6498"/>
    <w:rsid w:val="004D6A5B"/>
    <w:rsid w:val="004D6B63"/>
    <w:rsid w:val="004D6D50"/>
    <w:rsid w:val="004D6D70"/>
    <w:rsid w:val="004D6DB8"/>
    <w:rsid w:val="004D7244"/>
    <w:rsid w:val="004D7705"/>
    <w:rsid w:val="004D7779"/>
    <w:rsid w:val="004D7BE9"/>
    <w:rsid w:val="004D7FA9"/>
    <w:rsid w:val="004E01AD"/>
    <w:rsid w:val="004E03F9"/>
    <w:rsid w:val="004E0416"/>
    <w:rsid w:val="004E07B3"/>
    <w:rsid w:val="004E0AF7"/>
    <w:rsid w:val="004E0AF9"/>
    <w:rsid w:val="004E0FC2"/>
    <w:rsid w:val="004E0FE7"/>
    <w:rsid w:val="004E103E"/>
    <w:rsid w:val="004E11CF"/>
    <w:rsid w:val="004E135B"/>
    <w:rsid w:val="004E138D"/>
    <w:rsid w:val="004E1694"/>
    <w:rsid w:val="004E1728"/>
    <w:rsid w:val="004E196D"/>
    <w:rsid w:val="004E1C1F"/>
    <w:rsid w:val="004E20E1"/>
    <w:rsid w:val="004E227D"/>
    <w:rsid w:val="004E23B8"/>
    <w:rsid w:val="004E2853"/>
    <w:rsid w:val="004E2B18"/>
    <w:rsid w:val="004E318A"/>
    <w:rsid w:val="004E325B"/>
    <w:rsid w:val="004E3C01"/>
    <w:rsid w:val="004E3C71"/>
    <w:rsid w:val="004E3D35"/>
    <w:rsid w:val="004E43BE"/>
    <w:rsid w:val="004E4416"/>
    <w:rsid w:val="004E449E"/>
    <w:rsid w:val="004E487D"/>
    <w:rsid w:val="004E4A38"/>
    <w:rsid w:val="004E5838"/>
    <w:rsid w:val="004E5A27"/>
    <w:rsid w:val="004E5AE7"/>
    <w:rsid w:val="004E5BC2"/>
    <w:rsid w:val="004E5C0A"/>
    <w:rsid w:val="004E5D24"/>
    <w:rsid w:val="004E5E98"/>
    <w:rsid w:val="004E5F23"/>
    <w:rsid w:val="004E6366"/>
    <w:rsid w:val="004E64F3"/>
    <w:rsid w:val="004E64F6"/>
    <w:rsid w:val="004E67D1"/>
    <w:rsid w:val="004E684D"/>
    <w:rsid w:val="004E6C4A"/>
    <w:rsid w:val="004E6E35"/>
    <w:rsid w:val="004E6FE1"/>
    <w:rsid w:val="004E703B"/>
    <w:rsid w:val="004E73A8"/>
    <w:rsid w:val="004E76A4"/>
    <w:rsid w:val="004E77D3"/>
    <w:rsid w:val="004E7A78"/>
    <w:rsid w:val="004E7C85"/>
    <w:rsid w:val="004E7E19"/>
    <w:rsid w:val="004F0657"/>
    <w:rsid w:val="004F0974"/>
    <w:rsid w:val="004F0976"/>
    <w:rsid w:val="004F11ED"/>
    <w:rsid w:val="004F1469"/>
    <w:rsid w:val="004F157F"/>
    <w:rsid w:val="004F1C9A"/>
    <w:rsid w:val="004F1E20"/>
    <w:rsid w:val="004F2059"/>
    <w:rsid w:val="004F20F0"/>
    <w:rsid w:val="004F24C0"/>
    <w:rsid w:val="004F3065"/>
    <w:rsid w:val="004F30EB"/>
    <w:rsid w:val="004F3227"/>
    <w:rsid w:val="004F3296"/>
    <w:rsid w:val="004F32F2"/>
    <w:rsid w:val="004F3C9F"/>
    <w:rsid w:val="004F4240"/>
    <w:rsid w:val="004F4EDB"/>
    <w:rsid w:val="004F585B"/>
    <w:rsid w:val="004F5BD8"/>
    <w:rsid w:val="004F5FC7"/>
    <w:rsid w:val="004F64C2"/>
    <w:rsid w:val="004F64ED"/>
    <w:rsid w:val="004F6644"/>
    <w:rsid w:val="004F6C7A"/>
    <w:rsid w:val="004F703F"/>
    <w:rsid w:val="004F7174"/>
    <w:rsid w:val="004F7BA8"/>
    <w:rsid w:val="004F7F49"/>
    <w:rsid w:val="00500162"/>
    <w:rsid w:val="005007EE"/>
    <w:rsid w:val="005009FA"/>
    <w:rsid w:val="00500E57"/>
    <w:rsid w:val="00500F07"/>
    <w:rsid w:val="00501569"/>
    <w:rsid w:val="00501665"/>
    <w:rsid w:val="00501742"/>
    <w:rsid w:val="005017E2"/>
    <w:rsid w:val="00501E0D"/>
    <w:rsid w:val="00501F46"/>
    <w:rsid w:val="00502580"/>
    <w:rsid w:val="0050260D"/>
    <w:rsid w:val="0050266A"/>
    <w:rsid w:val="005026E3"/>
    <w:rsid w:val="005026F0"/>
    <w:rsid w:val="00502CE5"/>
    <w:rsid w:val="00503512"/>
    <w:rsid w:val="0050351D"/>
    <w:rsid w:val="00503B1A"/>
    <w:rsid w:val="00503BB8"/>
    <w:rsid w:val="00503E4D"/>
    <w:rsid w:val="0050409D"/>
    <w:rsid w:val="005040C6"/>
    <w:rsid w:val="0050480C"/>
    <w:rsid w:val="00504B3C"/>
    <w:rsid w:val="00505112"/>
    <w:rsid w:val="0050561A"/>
    <w:rsid w:val="00505E80"/>
    <w:rsid w:val="00506254"/>
    <w:rsid w:val="0050635E"/>
    <w:rsid w:val="00506731"/>
    <w:rsid w:val="00506C39"/>
    <w:rsid w:val="00506F32"/>
    <w:rsid w:val="0050700B"/>
    <w:rsid w:val="00507B0F"/>
    <w:rsid w:val="00510601"/>
    <w:rsid w:val="00510644"/>
    <w:rsid w:val="0051080A"/>
    <w:rsid w:val="0051097A"/>
    <w:rsid w:val="00510B48"/>
    <w:rsid w:val="00510B76"/>
    <w:rsid w:val="00510C80"/>
    <w:rsid w:val="0051105D"/>
    <w:rsid w:val="005110BE"/>
    <w:rsid w:val="005110F0"/>
    <w:rsid w:val="00511329"/>
    <w:rsid w:val="0051149B"/>
    <w:rsid w:val="00511CA4"/>
    <w:rsid w:val="00511DAE"/>
    <w:rsid w:val="005121E3"/>
    <w:rsid w:val="0051229D"/>
    <w:rsid w:val="005123D7"/>
    <w:rsid w:val="005128DF"/>
    <w:rsid w:val="00512B04"/>
    <w:rsid w:val="0051303E"/>
    <w:rsid w:val="00513164"/>
    <w:rsid w:val="00513A11"/>
    <w:rsid w:val="00513B7A"/>
    <w:rsid w:val="005141E9"/>
    <w:rsid w:val="00514488"/>
    <w:rsid w:val="0051462E"/>
    <w:rsid w:val="0051470D"/>
    <w:rsid w:val="0051490C"/>
    <w:rsid w:val="0051495F"/>
    <w:rsid w:val="00514A98"/>
    <w:rsid w:val="00514ABC"/>
    <w:rsid w:val="00514D0D"/>
    <w:rsid w:val="00514D5D"/>
    <w:rsid w:val="00514E96"/>
    <w:rsid w:val="0051505B"/>
    <w:rsid w:val="0051535D"/>
    <w:rsid w:val="00515D34"/>
    <w:rsid w:val="00515E62"/>
    <w:rsid w:val="00516344"/>
    <w:rsid w:val="00516799"/>
    <w:rsid w:val="00516F1B"/>
    <w:rsid w:val="005173D2"/>
    <w:rsid w:val="005174D1"/>
    <w:rsid w:val="005179C9"/>
    <w:rsid w:val="00517C9A"/>
    <w:rsid w:val="00520076"/>
    <w:rsid w:val="005201F5"/>
    <w:rsid w:val="005205C2"/>
    <w:rsid w:val="00520B31"/>
    <w:rsid w:val="00520DF0"/>
    <w:rsid w:val="00520E08"/>
    <w:rsid w:val="00521265"/>
    <w:rsid w:val="005216C8"/>
    <w:rsid w:val="00521AAB"/>
    <w:rsid w:val="00521E0D"/>
    <w:rsid w:val="005220B2"/>
    <w:rsid w:val="005221BC"/>
    <w:rsid w:val="0052220F"/>
    <w:rsid w:val="005222F1"/>
    <w:rsid w:val="005228E8"/>
    <w:rsid w:val="005229F9"/>
    <w:rsid w:val="00522D29"/>
    <w:rsid w:val="00522E81"/>
    <w:rsid w:val="00522ED9"/>
    <w:rsid w:val="00522F6E"/>
    <w:rsid w:val="005233CE"/>
    <w:rsid w:val="0052386F"/>
    <w:rsid w:val="00523B2D"/>
    <w:rsid w:val="00524120"/>
    <w:rsid w:val="00524232"/>
    <w:rsid w:val="005243F4"/>
    <w:rsid w:val="00524545"/>
    <w:rsid w:val="00524928"/>
    <w:rsid w:val="005249F9"/>
    <w:rsid w:val="00524A73"/>
    <w:rsid w:val="00524B24"/>
    <w:rsid w:val="00524B4E"/>
    <w:rsid w:val="00524DAF"/>
    <w:rsid w:val="0052500E"/>
    <w:rsid w:val="0052529B"/>
    <w:rsid w:val="0052591F"/>
    <w:rsid w:val="00525A5F"/>
    <w:rsid w:val="0052622A"/>
    <w:rsid w:val="00526286"/>
    <w:rsid w:val="0052692F"/>
    <w:rsid w:val="00526BB8"/>
    <w:rsid w:val="00526CD1"/>
    <w:rsid w:val="00526E68"/>
    <w:rsid w:val="00526ED5"/>
    <w:rsid w:val="0052717D"/>
    <w:rsid w:val="00527382"/>
    <w:rsid w:val="00527B79"/>
    <w:rsid w:val="00527BF9"/>
    <w:rsid w:val="00527D66"/>
    <w:rsid w:val="00527EE6"/>
    <w:rsid w:val="00527F03"/>
    <w:rsid w:val="00527F13"/>
    <w:rsid w:val="00527F5A"/>
    <w:rsid w:val="005300DF"/>
    <w:rsid w:val="00530250"/>
    <w:rsid w:val="00530285"/>
    <w:rsid w:val="005303B2"/>
    <w:rsid w:val="005306E8"/>
    <w:rsid w:val="005306ED"/>
    <w:rsid w:val="005307F6"/>
    <w:rsid w:val="00530C41"/>
    <w:rsid w:val="00530CA5"/>
    <w:rsid w:val="00530DBC"/>
    <w:rsid w:val="00530E37"/>
    <w:rsid w:val="00530E44"/>
    <w:rsid w:val="00530EAE"/>
    <w:rsid w:val="00530EF1"/>
    <w:rsid w:val="00530F47"/>
    <w:rsid w:val="0053176B"/>
    <w:rsid w:val="0053197E"/>
    <w:rsid w:val="00531B91"/>
    <w:rsid w:val="0053257C"/>
    <w:rsid w:val="00532768"/>
    <w:rsid w:val="00532936"/>
    <w:rsid w:val="00532B4A"/>
    <w:rsid w:val="00532BF8"/>
    <w:rsid w:val="00532C14"/>
    <w:rsid w:val="00532CBC"/>
    <w:rsid w:val="00532E79"/>
    <w:rsid w:val="00532F10"/>
    <w:rsid w:val="005333F2"/>
    <w:rsid w:val="0053409D"/>
    <w:rsid w:val="005340CD"/>
    <w:rsid w:val="00534658"/>
    <w:rsid w:val="005349B2"/>
    <w:rsid w:val="00534A88"/>
    <w:rsid w:val="00534A95"/>
    <w:rsid w:val="0053515F"/>
    <w:rsid w:val="0053534C"/>
    <w:rsid w:val="00535699"/>
    <w:rsid w:val="005357BA"/>
    <w:rsid w:val="0053632F"/>
    <w:rsid w:val="00536548"/>
    <w:rsid w:val="0053659D"/>
    <w:rsid w:val="005369BF"/>
    <w:rsid w:val="00536CFF"/>
    <w:rsid w:val="00536E00"/>
    <w:rsid w:val="005371F7"/>
    <w:rsid w:val="00537395"/>
    <w:rsid w:val="0053771D"/>
    <w:rsid w:val="005377F2"/>
    <w:rsid w:val="00537E80"/>
    <w:rsid w:val="00540794"/>
    <w:rsid w:val="00540804"/>
    <w:rsid w:val="0054082A"/>
    <w:rsid w:val="00540A06"/>
    <w:rsid w:val="00540B98"/>
    <w:rsid w:val="00540E9D"/>
    <w:rsid w:val="005410DF"/>
    <w:rsid w:val="00541144"/>
    <w:rsid w:val="0054136E"/>
    <w:rsid w:val="00541604"/>
    <w:rsid w:val="0054169B"/>
    <w:rsid w:val="00541AE5"/>
    <w:rsid w:val="00541B1F"/>
    <w:rsid w:val="0054244D"/>
    <w:rsid w:val="00542950"/>
    <w:rsid w:val="00542A89"/>
    <w:rsid w:val="00542AE9"/>
    <w:rsid w:val="00542C91"/>
    <w:rsid w:val="00542E0B"/>
    <w:rsid w:val="0054354F"/>
    <w:rsid w:val="00543619"/>
    <w:rsid w:val="00543624"/>
    <w:rsid w:val="0054380A"/>
    <w:rsid w:val="00543D78"/>
    <w:rsid w:val="0054504A"/>
    <w:rsid w:val="005451DF"/>
    <w:rsid w:val="00545CC1"/>
    <w:rsid w:val="0054678C"/>
    <w:rsid w:val="00546E31"/>
    <w:rsid w:val="0054717E"/>
    <w:rsid w:val="005472AF"/>
    <w:rsid w:val="005472FC"/>
    <w:rsid w:val="005478C9"/>
    <w:rsid w:val="005478D9"/>
    <w:rsid w:val="00547A0D"/>
    <w:rsid w:val="00547F60"/>
    <w:rsid w:val="0055034E"/>
    <w:rsid w:val="0055058B"/>
    <w:rsid w:val="00550742"/>
    <w:rsid w:val="00550935"/>
    <w:rsid w:val="00550A53"/>
    <w:rsid w:val="00550CED"/>
    <w:rsid w:val="00550D5A"/>
    <w:rsid w:val="00550F48"/>
    <w:rsid w:val="0055144A"/>
    <w:rsid w:val="005514B5"/>
    <w:rsid w:val="00551580"/>
    <w:rsid w:val="00551649"/>
    <w:rsid w:val="005517A9"/>
    <w:rsid w:val="00551C24"/>
    <w:rsid w:val="00552016"/>
    <w:rsid w:val="005521A3"/>
    <w:rsid w:val="0055276D"/>
    <w:rsid w:val="00552847"/>
    <w:rsid w:val="00552C81"/>
    <w:rsid w:val="00552EDD"/>
    <w:rsid w:val="00553151"/>
    <w:rsid w:val="005533D8"/>
    <w:rsid w:val="00553DA5"/>
    <w:rsid w:val="00554026"/>
    <w:rsid w:val="0055403D"/>
    <w:rsid w:val="005543C0"/>
    <w:rsid w:val="005548A9"/>
    <w:rsid w:val="00554998"/>
    <w:rsid w:val="00554A38"/>
    <w:rsid w:val="00554C6A"/>
    <w:rsid w:val="00554DB6"/>
    <w:rsid w:val="00555A1F"/>
    <w:rsid w:val="00555ED8"/>
    <w:rsid w:val="00556047"/>
    <w:rsid w:val="005561C4"/>
    <w:rsid w:val="005561EB"/>
    <w:rsid w:val="0055640C"/>
    <w:rsid w:val="0055645D"/>
    <w:rsid w:val="00556858"/>
    <w:rsid w:val="00556B37"/>
    <w:rsid w:val="00556C0C"/>
    <w:rsid w:val="00556E36"/>
    <w:rsid w:val="00557202"/>
    <w:rsid w:val="00557499"/>
    <w:rsid w:val="005574EB"/>
    <w:rsid w:val="00557B2A"/>
    <w:rsid w:val="00557D18"/>
    <w:rsid w:val="00557D8D"/>
    <w:rsid w:val="00560568"/>
    <w:rsid w:val="00560606"/>
    <w:rsid w:val="00560701"/>
    <w:rsid w:val="00560AF6"/>
    <w:rsid w:val="0056102E"/>
    <w:rsid w:val="0056110A"/>
    <w:rsid w:val="005613C4"/>
    <w:rsid w:val="00561E71"/>
    <w:rsid w:val="00561E93"/>
    <w:rsid w:val="00562528"/>
    <w:rsid w:val="005628D2"/>
    <w:rsid w:val="005632A9"/>
    <w:rsid w:val="00563446"/>
    <w:rsid w:val="0056352B"/>
    <w:rsid w:val="005635A1"/>
    <w:rsid w:val="005640EF"/>
    <w:rsid w:val="00564275"/>
    <w:rsid w:val="0056430D"/>
    <w:rsid w:val="00564969"/>
    <w:rsid w:val="00564ACF"/>
    <w:rsid w:val="00564DB8"/>
    <w:rsid w:val="00564E11"/>
    <w:rsid w:val="00564E67"/>
    <w:rsid w:val="005650B9"/>
    <w:rsid w:val="00565175"/>
    <w:rsid w:val="00565312"/>
    <w:rsid w:val="00565D3C"/>
    <w:rsid w:val="005660FD"/>
    <w:rsid w:val="0056625B"/>
    <w:rsid w:val="00566293"/>
    <w:rsid w:val="00566442"/>
    <w:rsid w:val="00566FCB"/>
    <w:rsid w:val="0056721C"/>
    <w:rsid w:val="00567342"/>
    <w:rsid w:val="00567871"/>
    <w:rsid w:val="00567B32"/>
    <w:rsid w:val="00567C87"/>
    <w:rsid w:val="005702FF"/>
    <w:rsid w:val="0057045F"/>
    <w:rsid w:val="005707F3"/>
    <w:rsid w:val="00570A59"/>
    <w:rsid w:val="00570DCC"/>
    <w:rsid w:val="0057108D"/>
    <w:rsid w:val="005711FA"/>
    <w:rsid w:val="005715D5"/>
    <w:rsid w:val="00571745"/>
    <w:rsid w:val="00571A4F"/>
    <w:rsid w:val="00571B96"/>
    <w:rsid w:val="00571E3C"/>
    <w:rsid w:val="00572153"/>
    <w:rsid w:val="005723F1"/>
    <w:rsid w:val="005728DC"/>
    <w:rsid w:val="005729AC"/>
    <w:rsid w:val="00572AE3"/>
    <w:rsid w:val="00572C0C"/>
    <w:rsid w:val="00572CA4"/>
    <w:rsid w:val="0057326B"/>
    <w:rsid w:val="00573E43"/>
    <w:rsid w:val="00573F31"/>
    <w:rsid w:val="005740EE"/>
    <w:rsid w:val="005741E4"/>
    <w:rsid w:val="00574271"/>
    <w:rsid w:val="0057439C"/>
    <w:rsid w:val="0057449A"/>
    <w:rsid w:val="00574990"/>
    <w:rsid w:val="00574995"/>
    <w:rsid w:val="00574B82"/>
    <w:rsid w:val="00574EA9"/>
    <w:rsid w:val="00575140"/>
    <w:rsid w:val="00575F2F"/>
    <w:rsid w:val="0057611F"/>
    <w:rsid w:val="00576175"/>
    <w:rsid w:val="0057694D"/>
    <w:rsid w:val="00576CB9"/>
    <w:rsid w:val="00577651"/>
    <w:rsid w:val="005777E9"/>
    <w:rsid w:val="00577942"/>
    <w:rsid w:val="00577AB1"/>
    <w:rsid w:val="005807EC"/>
    <w:rsid w:val="00580D0D"/>
    <w:rsid w:val="00580D73"/>
    <w:rsid w:val="0058108F"/>
    <w:rsid w:val="00581454"/>
    <w:rsid w:val="005814B9"/>
    <w:rsid w:val="0058152C"/>
    <w:rsid w:val="00581A27"/>
    <w:rsid w:val="00581F99"/>
    <w:rsid w:val="0058216F"/>
    <w:rsid w:val="005821CB"/>
    <w:rsid w:val="0058259D"/>
    <w:rsid w:val="0058274C"/>
    <w:rsid w:val="00583231"/>
    <w:rsid w:val="00583345"/>
    <w:rsid w:val="00583705"/>
    <w:rsid w:val="00583744"/>
    <w:rsid w:val="00583921"/>
    <w:rsid w:val="00583DE0"/>
    <w:rsid w:val="00584089"/>
    <w:rsid w:val="00584341"/>
    <w:rsid w:val="005855C0"/>
    <w:rsid w:val="005859F0"/>
    <w:rsid w:val="00585B61"/>
    <w:rsid w:val="00586296"/>
    <w:rsid w:val="005863F5"/>
    <w:rsid w:val="00586514"/>
    <w:rsid w:val="0058671C"/>
    <w:rsid w:val="00586B9D"/>
    <w:rsid w:val="00586FC2"/>
    <w:rsid w:val="005870BD"/>
    <w:rsid w:val="005870E7"/>
    <w:rsid w:val="0058758F"/>
    <w:rsid w:val="00587EAB"/>
    <w:rsid w:val="00587EAC"/>
    <w:rsid w:val="00590223"/>
    <w:rsid w:val="00590294"/>
    <w:rsid w:val="00590491"/>
    <w:rsid w:val="005906BE"/>
    <w:rsid w:val="005906DD"/>
    <w:rsid w:val="0059074A"/>
    <w:rsid w:val="0059083E"/>
    <w:rsid w:val="00590BB9"/>
    <w:rsid w:val="00590C87"/>
    <w:rsid w:val="00590DF3"/>
    <w:rsid w:val="00590FB6"/>
    <w:rsid w:val="00591288"/>
    <w:rsid w:val="0059140A"/>
    <w:rsid w:val="00591908"/>
    <w:rsid w:val="00591F55"/>
    <w:rsid w:val="00592028"/>
    <w:rsid w:val="00592490"/>
    <w:rsid w:val="0059261F"/>
    <w:rsid w:val="00592885"/>
    <w:rsid w:val="005929BF"/>
    <w:rsid w:val="00592BAD"/>
    <w:rsid w:val="00592F22"/>
    <w:rsid w:val="00593096"/>
    <w:rsid w:val="0059365F"/>
    <w:rsid w:val="0059380F"/>
    <w:rsid w:val="00593EA3"/>
    <w:rsid w:val="00594A0E"/>
    <w:rsid w:val="00594FD6"/>
    <w:rsid w:val="00594FF8"/>
    <w:rsid w:val="00595565"/>
    <w:rsid w:val="00595897"/>
    <w:rsid w:val="00595F2B"/>
    <w:rsid w:val="005963F7"/>
    <w:rsid w:val="00596910"/>
    <w:rsid w:val="005969DB"/>
    <w:rsid w:val="00596E02"/>
    <w:rsid w:val="0059716F"/>
    <w:rsid w:val="00597628"/>
    <w:rsid w:val="005977CF"/>
    <w:rsid w:val="005978C1"/>
    <w:rsid w:val="005979E7"/>
    <w:rsid w:val="00597C6B"/>
    <w:rsid w:val="00597DB8"/>
    <w:rsid w:val="005A074A"/>
    <w:rsid w:val="005A07F5"/>
    <w:rsid w:val="005A0A64"/>
    <w:rsid w:val="005A0AA4"/>
    <w:rsid w:val="005A1159"/>
    <w:rsid w:val="005A1173"/>
    <w:rsid w:val="005A11EF"/>
    <w:rsid w:val="005A1302"/>
    <w:rsid w:val="005A179D"/>
    <w:rsid w:val="005A181B"/>
    <w:rsid w:val="005A1CD6"/>
    <w:rsid w:val="005A24DE"/>
    <w:rsid w:val="005A25E7"/>
    <w:rsid w:val="005A290F"/>
    <w:rsid w:val="005A29A0"/>
    <w:rsid w:val="005A2A77"/>
    <w:rsid w:val="005A2BFC"/>
    <w:rsid w:val="005A3E3C"/>
    <w:rsid w:val="005A41F6"/>
    <w:rsid w:val="005A440D"/>
    <w:rsid w:val="005A44D1"/>
    <w:rsid w:val="005A4E96"/>
    <w:rsid w:val="005A5197"/>
    <w:rsid w:val="005A5238"/>
    <w:rsid w:val="005A55B4"/>
    <w:rsid w:val="005A5751"/>
    <w:rsid w:val="005A5C5C"/>
    <w:rsid w:val="005A5FBD"/>
    <w:rsid w:val="005A6508"/>
    <w:rsid w:val="005A6612"/>
    <w:rsid w:val="005A6619"/>
    <w:rsid w:val="005A670B"/>
    <w:rsid w:val="005A6895"/>
    <w:rsid w:val="005A6C56"/>
    <w:rsid w:val="005A704F"/>
    <w:rsid w:val="005A7481"/>
    <w:rsid w:val="005A75E6"/>
    <w:rsid w:val="005A7732"/>
    <w:rsid w:val="005A7798"/>
    <w:rsid w:val="005A7A7A"/>
    <w:rsid w:val="005A7B70"/>
    <w:rsid w:val="005A7BB8"/>
    <w:rsid w:val="005B071D"/>
    <w:rsid w:val="005B07DC"/>
    <w:rsid w:val="005B0831"/>
    <w:rsid w:val="005B0C6C"/>
    <w:rsid w:val="005B0D46"/>
    <w:rsid w:val="005B0D6B"/>
    <w:rsid w:val="005B11F6"/>
    <w:rsid w:val="005B124F"/>
    <w:rsid w:val="005B131B"/>
    <w:rsid w:val="005B1636"/>
    <w:rsid w:val="005B1AE1"/>
    <w:rsid w:val="005B1E8C"/>
    <w:rsid w:val="005B1F6E"/>
    <w:rsid w:val="005B2046"/>
    <w:rsid w:val="005B2077"/>
    <w:rsid w:val="005B217E"/>
    <w:rsid w:val="005B21DF"/>
    <w:rsid w:val="005B2597"/>
    <w:rsid w:val="005B2892"/>
    <w:rsid w:val="005B2B9F"/>
    <w:rsid w:val="005B2C72"/>
    <w:rsid w:val="005B2D23"/>
    <w:rsid w:val="005B30FE"/>
    <w:rsid w:val="005B312B"/>
    <w:rsid w:val="005B328B"/>
    <w:rsid w:val="005B35BA"/>
    <w:rsid w:val="005B35F8"/>
    <w:rsid w:val="005B3838"/>
    <w:rsid w:val="005B3A10"/>
    <w:rsid w:val="005B3B75"/>
    <w:rsid w:val="005B3D81"/>
    <w:rsid w:val="005B3D95"/>
    <w:rsid w:val="005B4474"/>
    <w:rsid w:val="005B495D"/>
    <w:rsid w:val="005B4EC2"/>
    <w:rsid w:val="005B4F15"/>
    <w:rsid w:val="005B5013"/>
    <w:rsid w:val="005B5132"/>
    <w:rsid w:val="005B532B"/>
    <w:rsid w:val="005B5750"/>
    <w:rsid w:val="005B5A37"/>
    <w:rsid w:val="005B5A71"/>
    <w:rsid w:val="005B5F01"/>
    <w:rsid w:val="005B6291"/>
    <w:rsid w:val="005B6425"/>
    <w:rsid w:val="005B65F0"/>
    <w:rsid w:val="005B69A8"/>
    <w:rsid w:val="005B69CE"/>
    <w:rsid w:val="005B6AB5"/>
    <w:rsid w:val="005B70C4"/>
    <w:rsid w:val="005B7220"/>
    <w:rsid w:val="005B76F2"/>
    <w:rsid w:val="005B7A0E"/>
    <w:rsid w:val="005B7B3B"/>
    <w:rsid w:val="005B7C93"/>
    <w:rsid w:val="005B7DCE"/>
    <w:rsid w:val="005C03E7"/>
    <w:rsid w:val="005C04C1"/>
    <w:rsid w:val="005C0881"/>
    <w:rsid w:val="005C0974"/>
    <w:rsid w:val="005C109F"/>
    <w:rsid w:val="005C11E3"/>
    <w:rsid w:val="005C14D2"/>
    <w:rsid w:val="005C1602"/>
    <w:rsid w:val="005C197B"/>
    <w:rsid w:val="005C1A6D"/>
    <w:rsid w:val="005C1AC2"/>
    <w:rsid w:val="005C1C12"/>
    <w:rsid w:val="005C2173"/>
    <w:rsid w:val="005C2B7F"/>
    <w:rsid w:val="005C2CDA"/>
    <w:rsid w:val="005C2EC1"/>
    <w:rsid w:val="005C2F86"/>
    <w:rsid w:val="005C306B"/>
    <w:rsid w:val="005C328B"/>
    <w:rsid w:val="005C32C4"/>
    <w:rsid w:val="005C3640"/>
    <w:rsid w:val="005C3887"/>
    <w:rsid w:val="005C38AE"/>
    <w:rsid w:val="005C4025"/>
    <w:rsid w:val="005C4729"/>
    <w:rsid w:val="005C4C19"/>
    <w:rsid w:val="005C4D4C"/>
    <w:rsid w:val="005C55BE"/>
    <w:rsid w:val="005C5750"/>
    <w:rsid w:val="005C5979"/>
    <w:rsid w:val="005C5B55"/>
    <w:rsid w:val="005C5F45"/>
    <w:rsid w:val="005C6432"/>
    <w:rsid w:val="005C66E5"/>
    <w:rsid w:val="005C6C9C"/>
    <w:rsid w:val="005C6CB3"/>
    <w:rsid w:val="005C704D"/>
    <w:rsid w:val="005C70F2"/>
    <w:rsid w:val="005C73BF"/>
    <w:rsid w:val="005C75DC"/>
    <w:rsid w:val="005C79DD"/>
    <w:rsid w:val="005C7BCA"/>
    <w:rsid w:val="005C7C9E"/>
    <w:rsid w:val="005C7FE5"/>
    <w:rsid w:val="005D0118"/>
    <w:rsid w:val="005D0DBD"/>
    <w:rsid w:val="005D0E4F"/>
    <w:rsid w:val="005D10AD"/>
    <w:rsid w:val="005D1624"/>
    <w:rsid w:val="005D1F62"/>
    <w:rsid w:val="005D2211"/>
    <w:rsid w:val="005D2567"/>
    <w:rsid w:val="005D36A1"/>
    <w:rsid w:val="005D38EA"/>
    <w:rsid w:val="005D4085"/>
    <w:rsid w:val="005D4252"/>
    <w:rsid w:val="005D4305"/>
    <w:rsid w:val="005D48AF"/>
    <w:rsid w:val="005D4B0D"/>
    <w:rsid w:val="005D4CBA"/>
    <w:rsid w:val="005D4D74"/>
    <w:rsid w:val="005D4F00"/>
    <w:rsid w:val="005D50D5"/>
    <w:rsid w:val="005D5271"/>
    <w:rsid w:val="005D5D8C"/>
    <w:rsid w:val="005D6AB3"/>
    <w:rsid w:val="005D6AED"/>
    <w:rsid w:val="005D6C55"/>
    <w:rsid w:val="005D6F26"/>
    <w:rsid w:val="005D6F4C"/>
    <w:rsid w:val="005D729A"/>
    <w:rsid w:val="005D7350"/>
    <w:rsid w:val="005D7503"/>
    <w:rsid w:val="005D7776"/>
    <w:rsid w:val="005D791C"/>
    <w:rsid w:val="005D7B13"/>
    <w:rsid w:val="005D7C76"/>
    <w:rsid w:val="005D7CD4"/>
    <w:rsid w:val="005D7EE9"/>
    <w:rsid w:val="005E0015"/>
    <w:rsid w:val="005E00D1"/>
    <w:rsid w:val="005E0108"/>
    <w:rsid w:val="005E0264"/>
    <w:rsid w:val="005E04D2"/>
    <w:rsid w:val="005E09F5"/>
    <w:rsid w:val="005E0CDA"/>
    <w:rsid w:val="005E1168"/>
    <w:rsid w:val="005E15F5"/>
    <w:rsid w:val="005E20E6"/>
    <w:rsid w:val="005E23FA"/>
    <w:rsid w:val="005E249F"/>
    <w:rsid w:val="005E299B"/>
    <w:rsid w:val="005E2A1C"/>
    <w:rsid w:val="005E33C9"/>
    <w:rsid w:val="005E34B5"/>
    <w:rsid w:val="005E34F8"/>
    <w:rsid w:val="005E3769"/>
    <w:rsid w:val="005E39B4"/>
    <w:rsid w:val="005E3BB9"/>
    <w:rsid w:val="005E3EE9"/>
    <w:rsid w:val="005E4599"/>
    <w:rsid w:val="005E4BCE"/>
    <w:rsid w:val="005E4C5F"/>
    <w:rsid w:val="005E5199"/>
    <w:rsid w:val="005E53F0"/>
    <w:rsid w:val="005E559D"/>
    <w:rsid w:val="005E5647"/>
    <w:rsid w:val="005E565D"/>
    <w:rsid w:val="005E5BDE"/>
    <w:rsid w:val="005E5D8E"/>
    <w:rsid w:val="005E612E"/>
    <w:rsid w:val="005E634C"/>
    <w:rsid w:val="005E65FE"/>
    <w:rsid w:val="005E69F5"/>
    <w:rsid w:val="005E6C38"/>
    <w:rsid w:val="005E6EA6"/>
    <w:rsid w:val="005E6FD2"/>
    <w:rsid w:val="005E7595"/>
    <w:rsid w:val="005E7803"/>
    <w:rsid w:val="005E7CB8"/>
    <w:rsid w:val="005E7DA1"/>
    <w:rsid w:val="005E7DFC"/>
    <w:rsid w:val="005E7EDF"/>
    <w:rsid w:val="005E7FC1"/>
    <w:rsid w:val="005F0023"/>
    <w:rsid w:val="005F02E4"/>
    <w:rsid w:val="005F0386"/>
    <w:rsid w:val="005F04D4"/>
    <w:rsid w:val="005F099D"/>
    <w:rsid w:val="005F0B48"/>
    <w:rsid w:val="005F1025"/>
    <w:rsid w:val="005F14B0"/>
    <w:rsid w:val="005F14F1"/>
    <w:rsid w:val="005F1773"/>
    <w:rsid w:val="005F1E5F"/>
    <w:rsid w:val="005F20C7"/>
    <w:rsid w:val="005F21CE"/>
    <w:rsid w:val="005F24ED"/>
    <w:rsid w:val="005F2524"/>
    <w:rsid w:val="005F2B2F"/>
    <w:rsid w:val="005F2C0A"/>
    <w:rsid w:val="005F2DB8"/>
    <w:rsid w:val="005F30DA"/>
    <w:rsid w:val="005F318B"/>
    <w:rsid w:val="005F3562"/>
    <w:rsid w:val="005F36CB"/>
    <w:rsid w:val="005F37E5"/>
    <w:rsid w:val="005F39FC"/>
    <w:rsid w:val="005F3BF3"/>
    <w:rsid w:val="005F407D"/>
    <w:rsid w:val="005F411D"/>
    <w:rsid w:val="005F4648"/>
    <w:rsid w:val="005F4AB4"/>
    <w:rsid w:val="005F4BAE"/>
    <w:rsid w:val="005F4BD5"/>
    <w:rsid w:val="005F4C89"/>
    <w:rsid w:val="005F4E98"/>
    <w:rsid w:val="005F563A"/>
    <w:rsid w:val="005F5651"/>
    <w:rsid w:val="005F5811"/>
    <w:rsid w:val="005F5C59"/>
    <w:rsid w:val="005F5F32"/>
    <w:rsid w:val="005F6058"/>
    <w:rsid w:val="005F64B0"/>
    <w:rsid w:val="005F69EA"/>
    <w:rsid w:val="005F6B2F"/>
    <w:rsid w:val="005F6CDC"/>
    <w:rsid w:val="005F729F"/>
    <w:rsid w:val="005F7D19"/>
    <w:rsid w:val="005F7DBA"/>
    <w:rsid w:val="006000ED"/>
    <w:rsid w:val="006001C2"/>
    <w:rsid w:val="006001CA"/>
    <w:rsid w:val="006001EB"/>
    <w:rsid w:val="00600201"/>
    <w:rsid w:val="0060076C"/>
    <w:rsid w:val="00600C2A"/>
    <w:rsid w:val="00600D4B"/>
    <w:rsid w:val="00601718"/>
    <w:rsid w:val="0060173C"/>
    <w:rsid w:val="0060188E"/>
    <w:rsid w:val="006019B2"/>
    <w:rsid w:val="00601BB2"/>
    <w:rsid w:val="00601D07"/>
    <w:rsid w:val="00602070"/>
    <w:rsid w:val="006022A8"/>
    <w:rsid w:val="00602344"/>
    <w:rsid w:val="006023A5"/>
    <w:rsid w:val="006023AA"/>
    <w:rsid w:val="006024E3"/>
    <w:rsid w:val="0060290F"/>
    <w:rsid w:val="006029B2"/>
    <w:rsid w:val="00602D01"/>
    <w:rsid w:val="00602F73"/>
    <w:rsid w:val="006030C9"/>
    <w:rsid w:val="0060326B"/>
    <w:rsid w:val="0060354B"/>
    <w:rsid w:val="00603688"/>
    <w:rsid w:val="006037CA"/>
    <w:rsid w:val="00603934"/>
    <w:rsid w:val="006039AB"/>
    <w:rsid w:val="00603ADD"/>
    <w:rsid w:val="00603C8B"/>
    <w:rsid w:val="00604478"/>
    <w:rsid w:val="00604568"/>
    <w:rsid w:val="0060487E"/>
    <w:rsid w:val="00604A77"/>
    <w:rsid w:val="00604BC9"/>
    <w:rsid w:val="00604C59"/>
    <w:rsid w:val="00605085"/>
    <w:rsid w:val="006051DF"/>
    <w:rsid w:val="006052B9"/>
    <w:rsid w:val="00605306"/>
    <w:rsid w:val="00605319"/>
    <w:rsid w:val="006054E1"/>
    <w:rsid w:val="00605550"/>
    <w:rsid w:val="00605564"/>
    <w:rsid w:val="0060558C"/>
    <w:rsid w:val="0060566B"/>
    <w:rsid w:val="00606E77"/>
    <w:rsid w:val="00606E9A"/>
    <w:rsid w:val="00606FEF"/>
    <w:rsid w:val="006072C6"/>
    <w:rsid w:val="006073D0"/>
    <w:rsid w:val="00607AA7"/>
    <w:rsid w:val="00607E59"/>
    <w:rsid w:val="00607E85"/>
    <w:rsid w:val="00610094"/>
    <w:rsid w:val="00610487"/>
    <w:rsid w:val="0061051E"/>
    <w:rsid w:val="00610876"/>
    <w:rsid w:val="006109FE"/>
    <w:rsid w:val="006111ED"/>
    <w:rsid w:val="006113AF"/>
    <w:rsid w:val="006115AC"/>
    <w:rsid w:val="006117E0"/>
    <w:rsid w:val="006118CE"/>
    <w:rsid w:val="00611AA3"/>
    <w:rsid w:val="00611BB8"/>
    <w:rsid w:val="006121D1"/>
    <w:rsid w:val="0061226C"/>
    <w:rsid w:val="00612853"/>
    <w:rsid w:val="00612A69"/>
    <w:rsid w:val="00613239"/>
    <w:rsid w:val="00613428"/>
    <w:rsid w:val="00613C19"/>
    <w:rsid w:val="00614439"/>
    <w:rsid w:val="006145CA"/>
    <w:rsid w:val="0061480D"/>
    <w:rsid w:val="006149DF"/>
    <w:rsid w:val="00615F09"/>
    <w:rsid w:val="00616542"/>
    <w:rsid w:val="00616821"/>
    <w:rsid w:val="00616A1C"/>
    <w:rsid w:val="00616BF2"/>
    <w:rsid w:val="00616C3C"/>
    <w:rsid w:val="006175FB"/>
    <w:rsid w:val="00617DD0"/>
    <w:rsid w:val="00620038"/>
    <w:rsid w:val="00620092"/>
    <w:rsid w:val="00620150"/>
    <w:rsid w:val="006201B6"/>
    <w:rsid w:val="0062037B"/>
    <w:rsid w:val="0062046F"/>
    <w:rsid w:val="006206BE"/>
    <w:rsid w:val="006208BD"/>
    <w:rsid w:val="00620933"/>
    <w:rsid w:val="00620AA4"/>
    <w:rsid w:val="00620AD4"/>
    <w:rsid w:val="00620C8F"/>
    <w:rsid w:val="00620CE4"/>
    <w:rsid w:val="00620F53"/>
    <w:rsid w:val="006213A7"/>
    <w:rsid w:val="006213BC"/>
    <w:rsid w:val="0062143C"/>
    <w:rsid w:val="006215DA"/>
    <w:rsid w:val="00621ABB"/>
    <w:rsid w:val="00621BC4"/>
    <w:rsid w:val="0062251A"/>
    <w:rsid w:val="00622891"/>
    <w:rsid w:val="00623182"/>
    <w:rsid w:val="006232F9"/>
    <w:rsid w:val="006236B3"/>
    <w:rsid w:val="006238BB"/>
    <w:rsid w:val="00623E5E"/>
    <w:rsid w:val="00624359"/>
    <w:rsid w:val="00624606"/>
    <w:rsid w:val="00624751"/>
    <w:rsid w:val="00624830"/>
    <w:rsid w:val="006248E0"/>
    <w:rsid w:val="00624B00"/>
    <w:rsid w:val="00624D3B"/>
    <w:rsid w:val="00624E1F"/>
    <w:rsid w:val="00625593"/>
    <w:rsid w:val="006257F0"/>
    <w:rsid w:val="00625ED9"/>
    <w:rsid w:val="00625EF9"/>
    <w:rsid w:val="00625FF7"/>
    <w:rsid w:val="00626059"/>
    <w:rsid w:val="0062610C"/>
    <w:rsid w:val="0062673B"/>
    <w:rsid w:val="006270DA"/>
    <w:rsid w:val="006270ED"/>
    <w:rsid w:val="00627279"/>
    <w:rsid w:val="00627D80"/>
    <w:rsid w:val="00627FA8"/>
    <w:rsid w:val="00630411"/>
    <w:rsid w:val="00630438"/>
    <w:rsid w:val="0063059B"/>
    <w:rsid w:val="00630871"/>
    <w:rsid w:val="00630A37"/>
    <w:rsid w:val="00631609"/>
    <w:rsid w:val="0063190E"/>
    <w:rsid w:val="00632227"/>
    <w:rsid w:val="00632260"/>
    <w:rsid w:val="00632418"/>
    <w:rsid w:val="00632580"/>
    <w:rsid w:val="00632F00"/>
    <w:rsid w:val="0063301E"/>
    <w:rsid w:val="00633799"/>
    <w:rsid w:val="00633813"/>
    <w:rsid w:val="006338C3"/>
    <w:rsid w:val="00634157"/>
    <w:rsid w:val="006344E5"/>
    <w:rsid w:val="0063490B"/>
    <w:rsid w:val="0063497A"/>
    <w:rsid w:val="00634C6E"/>
    <w:rsid w:val="00635217"/>
    <w:rsid w:val="00635407"/>
    <w:rsid w:val="00635457"/>
    <w:rsid w:val="00635748"/>
    <w:rsid w:val="0063589D"/>
    <w:rsid w:val="006359E3"/>
    <w:rsid w:val="00635AA9"/>
    <w:rsid w:val="006364B2"/>
    <w:rsid w:val="00636A40"/>
    <w:rsid w:val="00636ABD"/>
    <w:rsid w:val="00636C77"/>
    <w:rsid w:val="006404A2"/>
    <w:rsid w:val="0064053B"/>
    <w:rsid w:val="00640B65"/>
    <w:rsid w:val="00640C02"/>
    <w:rsid w:val="006413E7"/>
    <w:rsid w:val="00641421"/>
    <w:rsid w:val="0064149C"/>
    <w:rsid w:val="00641545"/>
    <w:rsid w:val="00641A19"/>
    <w:rsid w:val="00642114"/>
    <w:rsid w:val="0064263D"/>
    <w:rsid w:val="006426EC"/>
    <w:rsid w:val="00642A6A"/>
    <w:rsid w:val="00642F12"/>
    <w:rsid w:val="00642F71"/>
    <w:rsid w:val="00642FB6"/>
    <w:rsid w:val="0064307B"/>
    <w:rsid w:val="0064315B"/>
    <w:rsid w:val="006432A5"/>
    <w:rsid w:val="00643457"/>
    <w:rsid w:val="00643971"/>
    <w:rsid w:val="00644092"/>
    <w:rsid w:val="00644550"/>
    <w:rsid w:val="00644A66"/>
    <w:rsid w:val="00644D3A"/>
    <w:rsid w:val="00644D8C"/>
    <w:rsid w:val="00645048"/>
    <w:rsid w:val="006453E7"/>
    <w:rsid w:val="0064591E"/>
    <w:rsid w:val="00645A32"/>
    <w:rsid w:val="00645BD5"/>
    <w:rsid w:val="00645CD9"/>
    <w:rsid w:val="00645D01"/>
    <w:rsid w:val="00645FB6"/>
    <w:rsid w:val="00646187"/>
    <w:rsid w:val="006467DB"/>
    <w:rsid w:val="00646954"/>
    <w:rsid w:val="006469EB"/>
    <w:rsid w:val="006477F8"/>
    <w:rsid w:val="00647B34"/>
    <w:rsid w:val="00647CF0"/>
    <w:rsid w:val="00647D8B"/>
    <w:rsid w:val="00647FFE"/>
    <w:rsid w:val="00650754"/>
    <w:rsid w:val="006513B2"/>
    <w:rsid w:val="006513D7"/>
    <w:rsid w:val="00651815"/>
    <w:rsid w:val="00651D72"/>
    <w:rsid w:val="006520F6"/>
    <w:rsid w:val="006520FA"/>
    <w:rsid w:val="00652345"/>
    <w:rsid w:val="006523E9"/>
    <w:rsid w:val="00652615"/>
    <w:rsid w:val="00652676"/>
    <w:rsid w:val="00652D85"/>
    <w:rsid w:val="00652E25"/>
    <w:rsid w:val="006531EA"/>
    <w:rsid w:val="0065353D"/>
    <w:rsid w:val="00653664"/>
    <w:rsid w:val="006538E5"/>
    <w:rsid w:val="00653E55"/>
    <w:rsid w:val="0065418A"/>
    <w:rsid w:val="00654256"/>
    <w:rsid w:val="0065433E"/>
    <w:rsid w:val="006547DA"/>
    <w:rsid w:val="00654EC4"/>
    <w:rsid w:val="0065559D"/>
    <w:rsid w:val="00655A3A"/>
    <w:rsid w:val="00655B8C"/>
    <w:rsid w:val="00655F45"/>
    <w:rsid w:val="006562E8"/>
    <w:rsid w:val="00656724"/>
    <w:rsid w:val="00656A7B"/>
    <w:rsid w:val="00656E06"/>
    <w:rsid w:val="00656FFD"/>
    <w:rsid w:val="0065709D"/>
    <w:rsid w:val="00657264"/>
    <w:rsid w:val="006572DC"/>
    <w:rsid w:val="006574B8"/>
    <w:rsid w:val="00657650"/>
    <w:rsid w:val="006578EE"/>
    <w:rsid w:val="00657A30"/>
    <w:rsid w:val="00657C5E"/>
    <w:rsid w:val="00657EDC"/>
    <w:rsid w:val="00657FA9"/>
    <w:rsid w:val="00660018"/>
    <w:rsid w:val="006600BF"/>
    <w:rsid w:val="006606E5"/>
    <w:rsid w:val="00660701"/>
    <w:rsid w:val="00660A6C"/>
    <w:rsid w:val="00660B62"/>
    <w:rsid w:val="006610DE"/>
    <w:rsid w:val="00661349"/>
    <w:rsid w:val="00661E9B"/>
    <w:rsid w:val="0066224C"/>
    <w:rsid w:val="0066252F"/>
    <w:rsid w:val="006627A9"/>
    <w:rsid w:val="006627CC"/>
    <w:rsid w:val="00662A1D"/>
    <w:rsid w:val="00662D01"/>
    <w:rsid w:val="0066395B"/>
    <w:rsid w:val="00663A5A"/>
    <w:rsid w:val="00663ECF"/>
    <w:rsid w:val="00663F07"/>
    <w:rsid w:val="00663FAD"/>
    <w:rsid w:val="00664075"/>
    <w:rsid w:val="006640F7"/>
    <w:rsid w:val="0066532F"/>
    <w:rsid w:val="006655CA"/>
    <w:rsid w:val="00665ADB"/>
    <w:rsid w:val="00666182"/>
    <w:rsid w:val="00666521"/>
    <w:rsid w:val="006667D8"/>
    <w:rsid w:val="00666AC5"/>
    <w:rsid w:val="00667994"/>
    <w:rsid w:val="00667A0B"/>
    <w:rsid w:val="00667BA4"/>
    <w:rsid w:val="00667E72"/>
    <w:rsid w:val="00670171"/>
    <w:rsid w:val="0067017A"/>
    <w:rsid w:val="006703E4"/>
    <w:rsid w:val="00670500"/>
    <w:rsid w:val="00670955"/>
    <w:rsid w:val="00670D7C"/>
    <w:rsid w:val="00670EB5"/>
    <w:rsid w:val="006710F9"/>
    <w:rsid w:val="006711DE"/>
    <w:rsid w:val="00671202"/>
    <w:rsid w:val="00672282"/>
    <w:rsid w:val="0067260F"/>
    <w:rsid w:val="00672829"/>
    <w:rsid w:val="00673729"/>
    <w:rsid w:val="00673BC7"/>
    <w:rsid w:val="00674359"/>
    <w:rsid w:val="006743C0"/>
    <w:rsid w:val="006743E7"/>
    <w:rsid w:val="00674694"/>
    <w:rsid w:val="006746FD"/>
    <w:rsid w:val="00674826"/>
    <w:rsid w:val="00674A9D"/>
    <w:rsid w:val="006750C4"/>
    <w:rsid w:val="00675B44"/>
    <w:rsid w:val="00675C10"/>
    <w:rsid w:val="00675C90"/>
    <w:rsid w:val="00675D8B"/>
    <w:rsid w:val="0067631F"/>
    <w:rsid w:val="006767A8"/>
    <w:rsid w:val="00676950"/>
    <w:rsid w:val="00676AFC"/>
    <w:rsid w:val="00676D0F"/>
    <w:rsid w:val="006772FC"/>
    <w:rsid w:val="006776D6"/>
    <w:rsid w:val="00677D61"/>
    <w:rsid w:val="006802F8"/>
    <w:rsid w:val="00680380"/>
    <w:rsid w:val="0068060E"/>
    <w:rsid w:val="00680831"/>
    <w:rsid w:val="00680951"/>
    <w:rsid w:val="00680D17"/>
    <w:rsid w:val="00681291"/>
    <w:rsid w:val="00681511"/>
    <w:rsid w:val="00681758"/>
    <w:rsid w:val="0068178A"/>
    <w:rsid w:val="006818CA"/>
    <w:rsid w:val="00681BF3"/>
    <w:rsid w:val="00681D34"/>
    <w:rsid w:val="00681DEA"/>
    <w:rsid w:val="00681E86"/>
    <w:rsid w:val="00682115"/>
    <w:rsid w:val="00682333"/>
    <w:rsid w:val="006823D2"/>
    <w:rsid w:val="006823F8"/>
    <w:rsid w:val="006827AB"/>
    <w:rsid w:val="00682CCB"/>
    <w:rsid w:val="00682E54"/>
    <w:rsid w:val="006830F7"/>
    <w:rsid w:val="00683108"/>
    <w:rsid w:val="00683158"/>
    <w:rsid w:val="006832DE"/>
    <w:rsid w:val="00683B49"/>
    <w:rsid w:val="00683FF0"/>
    <w:rsid w:val="00684135"/>
    <w:rsid w:val="00684E62"/>
    <w:rsid w:val="006851D6"/>
    <w:rsid w:val="00685754"/>
    <w:rsid w:val="00685978"/>
    <w:rsid w:val="00685AD0"/>
    <w:rsid w:val="00685BA8"/>
    <w:rsid w:val="00685F1C"/>
    <w:rsid w:val="0068700C"/>
    <w:rsid w:val="0068756F"/>
    <w:rsid w:val="0068788B"/>
    <w:rsid w:val="00687EEB"/>
    <w:rsid w:val="0069000C"/>
    <w:rsid w:val="00690057"/>
    <w:rsid w:val="006901EB"/>
    <w:rsid w:val="006903F6"/>
    <w:rsid w:val="0069062E"/>
    <w:rsid w:val="0069071B"/>
    <w:rsid w:val="00690A75"/>
    <w:rsid w:val="00690B0F"/>
    <w:rsid w:val="00690EC9"/>
    <w:rsid w:val="00691568"/>
    <w:rsid w:val="00691682"/>
    <w:rsid w:val="00691816"/>
    <w:rsid w:val="00691CE3"/>
    <w:rsid w:val="00691FD4"/>
    <w:rsid w:val="00693DF2"/>
    <w:rsid w:val="00693F03"/>
    <w:rsid w:val="0069453B"/>
    <w:rsid w:val="006949D3"/>
    <w:rsid w:val="00694F08"/>
    <w:rsid w:val="00694F74"/>
    <w:rsid w:val="00694F89"/>
    <w:rsid w:val="0069504C"/>
    <w:rsid w:val="00695838"/>
    <w:rsid w:val="00695D66"/>
    <w:rsid w:val="00695F0E"/>
    <w:rsid w:val="00695F1C"/>
    <w:rsid w:val="00696651"/>
    <w:rsid w:val="00696703"/>
    <w:rsid w:val="006969CD"/>
    <w:rsid w:val="00696D73"/>
    <w:rsid w:val="00696EFE"/>
    <w:rsid w:val="00697560"/>
    <w:rsid w:val="006A0154"/>
    <w:rsid w:val="006A087D"/>
    <w:rsid w:val="006A0A1E"/>
    <w:rsid w:val="006A0D1C"/>
    <w:rsid w:val="006A153D"/>
    <w:rsid w:val="006A16C1"/>
    <w:rsid w:val="006A17E4"/>
    <w:rsid w:val="006A189C"/>
    <w:rsid w:val="006A18B8"/>
    <w:rsid w:val="006A1A9C"/>
    <w:rsid w:val="006A24A2"/>
    <w:rsid w:val="006A30FD"/>
    <w:rsid w:val="006A32AC"/>
    <w:rsid w:val="006A32F8"/>
    <w:rsid w:val="006A3576"/>
    <w:rsid w:val="006A365C"/>
    <w:rsid w:val="006A3823"/>
    <w:rsid w:val="006A3B18"/>
    <w:rsid w:val="006A3B2F"/>
    <w:rsid w:val="006A3C61"/>
    <w:rsid w:val="006A3FAF"/>
    <w:rsid w:val="006A4506"/>
    <w:rsid w:val="006A4B3F"/>
    <w:rsid w:val="006A4B99"/>
    <w:rsid w:val="006A4D70"/>
    <w:rsid w:val="006A503F"/>
    <w:rsid w:val="006A526C"/>
    <w:rsid w:val="006A551E"/>
    <w:rsid w:val="006A55C1"/>
    <w:rsid w:val="006A5712"/>
    <w:rsid w:val="006A5777"/>
    <w:rsid w:val="006A5AF6"/>
    <w:rsid w:val="006A5B9E"/>
    <w:rsid w:val="006A5DFF"/>
    <w:rsid w:val="006A5FBD"/>
    <w:rsid w:val="006A603D"/>
    <w:rsid w:val="006A6673"/>
    <w:rsid w:val="006A6B29"/>
    <w:rsid w:val="006A6B66"/>
    <w:rsid w:val="006A6CAD"/>
    <w:rsid w:val="006A7ABF"/>
    <w:rsid w:val="006A7E42"/>
    <w:rsid w:val="006B00BC"/>
    <w:rsid w:val="006B0A2A"/>
    <w:rsid w:val="006B0BA6"/>
    <w:rsid w:val="006B0E07"/>
    <w:rsid w:val="006B153B"/>
    <w:rsid w:val="006B19CE"/>
    <w:rsid w:val="006B1F55"/>
    <w:rsid w:val="006B2004"/>
    <w:rsid w:val="006B289F"/>
    <w:rsid w:val="006B29B3"/>
    <w:rsid w:val="006B2B7E"/>
    <w:rsid w:val="006B2C66"/>
    <w:rsid w:val="006B325D"/>
    <w:rsid w:val="006B34A0"/>
    <w:rsid w:val="006B3552"/>
    <w:rsid w:val="006B391C"/>
    <w:rsid w:val="006B3AFC"/>
    <w:rsid w:val="006B40F4"/>
    <w:rsid w:val="006B4258"/>
    <w:rsid w:val="006B45F1"/>
    <w:rsid w:val="006B4607"/>
    <w:rsid w:val="006B476E"/>
    <w:rsid w:val="006B4BF2"/>
    <w:rsid w:val="006B4D53"/>
    <w:rsid w:val="006B4D89"/>
    <w:rsid w:val="006B4FD9"/>
    <w:rsid w:val="006B504C"/>
    <w:rsid w:val="006B53E3"/>
    <w:rsid w:val="006B54A1"/>
    <w:rsid w:val="006B5B10"/>
    <w:rsid w:val="006B5B35"/>
    <w:rsid w:val="006B5D4C"/>
    <w:rsid w:val="006B5E66"/>
    <w:rsid w:val="006B6234"/>
    <w:rsid w:val="006B65D2"/>
    <w:rsid w:val="006B6D98"/>
    <w:rsid w:val="006B7025"/>
    <w:rsid w:val="006B7179"/>
    <w:rsid w:val="006B791E"/>
    <w:rsid w:val="006B7ADE"/>
    <w:rsid w:val="006B7E50"/>
    <w:rsid w:val="006C04E3"/>
    <w:rsid w:val="006C0521"/>
    <w:rsid w:val="006C055D"/>
    <w:rsid w:val="006C090D"/>
    <w:rsid w:val="006C0CCC"/>
    <w:rsid w:val="006C1380"/>
    <w:rsid w:val="006C14D5"/>
    <w:rsid w:val="006C1A3E"/>
    <w:rsid w:val="006C1D94"/>
    <w:rsid w:val="006C1F59"/>
    <w:rsid w:val="006C236F"/>
    <w:rsid w:val="006C2515"/>
    <w:rsid w:val="006C2CFB"/>
    <w:rsid w:val="006C3426"/>
    <w:rsid w:val="006C3C8B"/>
    <w:rsid w:val="006C415D"/>
    <w:rsid w:val="006C4464"/>
    <w:rsid w:val="006C4508"/>
    <w:rsid w:val="006C45F6"/>
    <w:rsid w:val="006C488D"/>
    <w:rsid w:val="006C4B55"/>
    <w:rsid w:val="006C4B97"/>
    <w:rsid w:val="006C4D2E"/>
    <w:rsid w:val="006C5039"/>
    <w:rsid w:val="006C567E"/>
    <w:rsid w:val="006C5894"/>
    <w:rsid w:val="006C59A7"/>
    <w:rsid w:val="006C59F8"/>
    <w:rsid w:val="006C5B24"/>
    <w:rsid w:val="006C5C74"/>
    <w:rsid w:val="006C5F9D"/>
    <w:rsid w:val="006C63E5"/>
    <w:rsid w:val="006C643A"/>
    <w:rsid w:val="006C6E1C"/>
    <w:rsid w:val="006C7102"/>
    <w:rsid w:val="006C71F5"/>
    <w:rsid w:val="006C73BC"/>
    <w:rsid w:val="006C7407"/>
    <w:rsid w:val="006C74F9"/>
    <w:rsid w:val="006C7652"/>
    <w:rsid w:val="006C76D9"/>
    <w:rsid w:val="006C780F"/>
    <w:rsid w:val="006C7904"/>
    <w:rsid w:val="006C7B61"/>
    <w:rsid w:val="006C7EDE"/>
    <w:rsid w:val="006D02DC"/>
    <w:rsid w:val="006D0ED5"/>
    <w:rsid w:val="006D2492"/>
    <w:rsid w:val="006D2A89"/>
    <w:rsid w:val="006D2BE1"/>
    <w:rsid w:val="006D30CE"/>
    <w:rsid w:val="006D328F"/>
    <w:rsid w:val="006D329E"/>
    <w:rsid w:val="006D34C9"/>
    <w:rsid w:val="006D38E6"/>
    <w:rsid w:val="006D39FC"/>
    <w:rsid w:val="006D3DBF"/>
    <w:rsid w:val="006D3F6C"/>
    <w:rsid w:val="006D437E"/>
    <w:rsid w:val="006D460F"/>
    <w:rsid w:val="006D4A81"/>
    <w:rsid w:val="006D4CAB"/>
    <w:rsid w:val="006D5136"/>
    <w:rsid w:val="006D5724"/>
    <w:rsid w:val="006D5810"/>
    <w:rsid w:val="006D58D5"/>
    <w:rsid w:val="006D5C45"/>
    <w:rsid w:val="006D60E6"/>
    <w:rsid w:val="006D60F0"/>
    <w:rsid w:val="006D6399"/>
    <w:rsid w:val="006D6578"/>
    <w:rsid w:val="006D664D"/>
    <w:rsid w:val="006D6665"/>
    <w:rsid w:val="006D68B9"/>
    <w:rsid w:val="006D69DF"/>
    <w:rsid w:val="006D765F"/>
    <w:rsid w:val="006D7845"/>
    <w:rsid w:val="006D78F5"/>
    <w:rsid w:val="006D7B76"/>
    <w:rsid w:val="006D7B89"/>
    <w:rsid w:val="006D7DC2"/>
    <w:rsid w:val="006E049E"/>
    <w:rsid w:val="006E051B"/>
    <w:rsid w:val="006E0671"/>
    <w:rsid w:val="006E0786"/>
    <w:rsid w:val="006E07DA"/>
    <w:rsid w:val="006E09D6"/>
    <w:rsid w:val="006E0C88"/>
    <w:rsid w:val="006E143E"/>
    <w:rsid w:val="006E1484"/>
    <w:rsid w:val="006E168C"/>
    <w:rsid w:val="006E1781"/>
    <w:rsid w:val="006E1B09"/>
    <w:rsid w:val="006E1DB3"/>
    <w:rsid w:val="006E1F2D"/>
    <w:rsid w:val="006E2650"/>
    <w:rsid w:val="006E2E6A"/>
    <w:rsid w:val="006E3110"/>
    <w:rsid w:val="006E3350"/>
    <w:rsid w:val="006E339A"/>
    <w:rsid w:val="006E344F"/>
    <w:rsid w:val="006E36DB"/>
    <w:rsid w:val="006E3BC0"/>
    <w:rsid w:val="006E3D11"/>
    <w:rsid w:val="006E403B"/>
    <w:rsid w:val="006E405D"/>
    <w:rsid w:val="006E4369"/>
    <w:rsid w:val="006E4440"/>
    <w:rsid w:val="006E47DE"/>
    <w:rsid w:val="006E4951"/>
    <w:rsid w:val="006E4A72"/>
    <w:rsid w:val="006E4A7A"/>
    <w:rsid w:val="006E4C15"/>
    <w:rsid w:val="006E5912"/>
    <w:rsid w:val="006E5C01"/>
    <w:rsid w:val="006E5CB1"/>
    <w:rsid w:val="006E607D"/>
    <w:rsid w:val="006E6102"/>
    <w:rsid w:val="006E6195"/>
    <w:rsid w:val="006E6298"/>
    <w:rsid w:val="006E630E"/>
    <w:rsid w:val="006E632C"/>
    <w:rsid w:val="006E6580"/>
    <w:rsid w:val="006E66F0"/>
    <w:rsid w:val="006E6A31"/>
    <w:rsid w:val="006E6B88"/>
    <w:rsid w:val="006F014E"/>
    <w:rsid w:val="006F0203"/>
    <w:rsid w:val="006F0268"/>
    <w:rsid w:val="006F02F3"/>
    <w:rsid w:val="006F03D8"/>
    <w:rsid w:val="006F1543"/>
    <w:rsid w:val="006F16CD"/>
    <w:rsid w:val="006F1B87"/>
    <w:rsid w:val="006F1E5F"/>
    <w:rsid w:val="006F20C1"/>
    <w:rsid w:val="006F2229"/>
    <w:rsid w:val="006F2810"/>
    <w:rsid w:val="006F2F73"/>
    <w:rsid w:val="006F3753"/>
    <w:rsid w:val="006F37A1"/>
    <w:rsid w:val="006F3EC8"/>
    <w:rsid w:val="006F40A8"/>
    <w:rsid w:val="006F45D7"/>
    <w:rsid w:val="006F4820"/>
    <w:rsid w:val="006F50B5"/>
    <w:rsid w:val="006F522F"/>
    <w:rsid w:val="006F5274"/>
    <w:rsid w:val="006F5321"/>
    <w:rsid w:val="006F54C6"/>
    <w:rsid w:val="006F55A1"/>
    <w:rsid w:val="006F58F6"/>
    <w:rsid w:val="006F5977"/>
    <w:rsid w:val="006F5B7C"/>
    <w:rsid w:val="006F5DD1"/>
    <w:rsid w:val="006F62FC"/>
    <w:rsid w:val="006F6425"/>
    <w:rsid w:val="006F6DAB"/>
    <w:rsid w:val="006F705B"/>
    <w:rsid w:val="006F74C6"/>
    <w:rsid w:val="006F74CA"/>
    <w:rsid w:val="006F7502"/>
    <w:rsid w:val="006F7699"/>
    <w:rsid w:val="006F77AD"/>
    <w:rsid w:val="006F795F"/>
    <w:rsid w:val="006F7A3A"/>
    <w:rsid w:val="006F7C9B"/>
    <w:rsid w:val="006F7E0B"/>
    <w:rsid w:val="006F7FB9"/>
    <w:rsid w:val="007001D5"/>
    <w:rsid w:val="00700530"/>
    <w:rsid w:val="007006F1"/>
    <w:rsid w:val="00700DD4"/>
    <w:rsid w:val="00700FF3"/>
    <w:rsid w:val="0070148B"/>
    <w:rsid w:val="007017E4"/>
    <w:rsid w:val="00701859"/>
    <w:rsid w:val="00701F18"/>
    <w:rsid w:val="0070229F"/>
    <w:rsid w:val="00702565"/>
    <w:rsid w:val="00702A93"/>
    <w:rsid w:val="00702C88"/>
    <w:rsid w:val="007037AC"/>
    <w:rsid w:val="0070398D"/>
    <w:rsid w:val="00703A8B"/>
    <w:rsid w:val="0070454C"/>
    <w:rsid w:val="0070474A"/>
    <w:rsid w:val="00704CC6"/>
    <w:rsid w:val="0070527E"/>
    <w:rsid w:val="007053A8"/>
    <w:rsid w:val="00705999"/>
    <w:rsid w:val="00705B70"/>
    <w:rsid w:val="00705C19"/>
    <w:rsid w:val="00705C22"/>
    <w:rsid w:val="00706032"/>
    <w:rsid w:val="00706366"/>
    <w:rsid w:val="00706368"/>
    <w:rsid w:val="00706491"/>
    <w:rsid w:val="00706767"/>
    <w:rsid w:val="00706DCB"/>
    <w:rsid w:val="00707340"/>
    <w:rsid w:val="0071022E"/>
    <w:rsid w:val="007102A2"/>
    <w:rsid w:val="0071052D"/>
    <w:rsid w:val="007105BB"/>
    <w:rsid w:val="0071075F"/>
    <w:rsid w:val="00710B15"/>
    <w:rsid w:val="00711019"/>
    <w:rsid w:val="0071105E"/>
    <w:rsid w:val="007110DA"/>
    <w:rsid w:val="0071123B"/>
    <w:rsid w:val="0071145C"/>
    <w:rsid w:val="00711FFC"/>
    <w:rsid w:val="0071284C"/>
    <w:rsid w:val="0071297A"/>
    <w:rsid w:val="0071297B"/>
    <w:rsid w:val="00714137"/>
    <w:rsid w:val="00714305"/>
    <w:rsid w:val="00714332"/>
    <w:rsid w:val="0071465F"/>
    <w:rsid w:val="00714706"/>
    <w:rsid w:val="0071472C"/>
    <w:rsid w:val="007147A8"/>
    <w:rsid w:val="00714813"/>
    <w:rsid w:val="00714EC6"/>
    <w:rsid w:val="00715072"/>
    <w:rsid w:val="007152F4"/>
    <w:rsid w:val="0071585A"/>
    <w:rsid w:val="007159AB"/>
    <w:rsid w:val="007159CB"/>
    <w:rsid w:val="00715D95"/>
    <w:rsid w:val="00715DD7"/>
    <w:rsid w:val="00716111"/>
    <w:rsid w:val="00716A0F"/>
    <w:rsid w:val="00716EA1"/>
    <w:rsid w:val="00716F1D"/>
    <w:rsid w:val="007173AF"/>
    <w:rsid w:val="00717730"/>
    <w:rsid w:val="00717B6E"/>
    <w:rsid w:val="00717C78"/>
    <w:rsid w:val="00717FC2"/>
    <w:rsid w:val="007201F2"/>
    <w:rsid w:val="007205F7"/>
    <w:rsid w:val="00721633"/>
    <w:rsid w:val="00721762"/>
    <w:rsid w:val="00721868"/>
    <w:rsid w:val="007219EE"/>
    <w:rsid w:val="00721A74"/>
    <w:rsid w:val="00721DC2"/>
    <w:rsid w:val="00722007"/>
    <w:rsid w:val="00722215"/>
    <w:rsid w:val="007222BC"/>
    <w:rsid w:val="00722329"/>
    <w:rsid w:val="00722676"/>
    <w:rsid w:val="00723389"/>
    <w:rsid w:val="00723AF1"/>
    <w:rsid w:val="00723AF6"/>
    <w:rsid w:val="007240AF"/>
    <w:rsid w:val="00724A7D"/>
    <w:rsid w:val="007250C9"/>
    <w:rsid w:val="007255DF"/>
    <w:rsid w:val="0072567B"/>
    <w:rsid w:val="0072570E"/>
    <w:rsid w:val="0072580B"/>
    <w:rsid w:val="00725E22"/>
    <w:rsid w:val="0072625A"/>
    <w:rsid w:val="00726753"/>
    <w:rsid w:val="00726DFC"/>
    <w:rsid w:val="00726F87"/>
    <w:rsid w:val="00727710"/>
    <w:rsid w:val="0072777D"/>
    <w:rsid w:val="00727934"/>
    <w:rsid w:val="00727CD1"/>
    <w:rsid w:val="00727D4D"/>
    <w:rsid w:val="00727D54"/>
    <w:rsid w:val="00727F12"/>
    <w:rsid w:val="0073012B"/>
    <w:rsid w:val="0073020C"/>
    <w:rsid w:val="00730301"/>
    <w:rsid w:val="00730702"/>
    <w:rsid w:val="00730AAC"/>
    <w:rsid w:val="00730B36"/>
    <w:rsid w:val="00730B55"/>
    <w:rsid w:val="00730B7E"/>
    <w:rsid w:val="00730C38"/>
    <w:rsid w:val="00730C5B"/>
    <w:rsid w:val="00730CA3"/>
    <w:rsid w:val="0073106D"/>
    <w:rsid w:val="007315ED"/>
    <w:rsid w:val="00731653"/>
    <w:rsid w:val="00731AB5"/>
    <w:rsid w:val="00731B4D"/>
    <w:rsid w:val="00731C21"/>
    <w:rsid w:val="00731E27"/>
    <w:rsid w:val="007324CB"/>
    <w:rsid w:val="0073288C"/>
    <w:rsid w:val="00732FC2"/>
    <w:rsid w:val="00733013"/>
    <w:rsid w:val="007337C5"/>
    <w:rsid w:val="00733A59"/>
    <w:rsid w:val="00733A8A"/>
    <w:rsid w:val="0073400F"/>
    <w:rsid w:val="007340F9"/>
    <w:rsid w:val="00734265"/>
    <w:rsid w:val="00734330"/>
    <w:rsid w:val="007343D8"/>
    <w:rsid w:val="00734828"/>
    <w:rsid w:val="00734DB9"/>
    <w:rsid w:val="00735103"/>
    <w:rsid w:val="0073556E"/>
    <w:rsid w:val="0073558C"/>
    <w:rsid w:val="0073584C"/>
    <w:rsid w:val="007358DD"/>
    <w:rsid w:val="00735B11"/>
    <w:rsid w:val="00735E9D"/>
    <w:rsid w:val="00736498"/>
    <w:rsid w:val="00736587"/>
    <w:rsid w:val="007366F1"/>
    <w:rsid w:val="0073677A"/>
    <w:rsid w:val="00736AC2"/>
    <w:rsid w:val="00736BD3"/>
    <w:rsid w:val="00736DA1"/>
    <w:rsid w:val="007377A4"/>
    <w:rsid w:val="00737ED0"/>
    <w:rsid w:val="0074002C"/>
    <w:rsid w:val="00740698"/>
    <w:rsid w:val="0074094F"/>
    <w:rsid w:val="00740D0A"/>
    <w:rsid w:val="00740D86"/>
    <w:rsid w:val="00740F58"/>
    <w:rsid w:val="00741489"/>
    <w:rsid w:val="00741648"/>
    <w:rsid w:val="007416D9"/>
    <w:rsid w:val="00741755"/>
    <w:rsid w:val="0074182B"/>
    <w:rsid w:val="00741CA9"/>
    <w:rsid w:val="00741D9F"/>
    <w:rsid w:val="00741FFD"/>
    <w:rsid w:val="00742E08"/>
    <w:rsid w:val="00742EC2"/>
    <w:rsid w:val="0074337C"/>
    <w:rsid w:val="00744011"/>
    <w:rsid w:val="007441D6"/>
    <w:rsid w:val="00744400"/>
    <w:rsid w:val="007448AA"/>
    <w:rsid w:val="007448FB"/>
    <w:rsid w:val="0074490E"/>
    <w:rsid w:val="00744B6B"/>
    <w:rsid w:val="00744BA6"/>
    <w:rsid w:val="00744C8A"/>
    <w:rsid w:val="00744CD2"/>
    <w:rsid w:val="00744E0E"/>
    <w:rsid w:val="00745108"/>
    <w:rsid w:val="007452F9"/>
    <w:rsid w:val="00745352"/>
    <w:rsid w:val="007454FE"/>
    <w:rsid w:val="007459B9"/>
    <w:rsid w:val="00745E7A"/>
    <w:rsid w:val="0074616F"/>
    <w:rsid w:val="0074631E"/>
    <w:rsid w:val="007468AF"/>
    <w:rsid w:val="007468C0"/>
    <w:rsid w:val="0074692B"/>
    <w:rsid w:val="00747761"/>
    <w:rsid w:val="00747C8F"/>
    <w:rsid w:val="00747CB1"/>
    <w:rsid w:val="00750679"/>
    <w:rsid w:val="0075073C"/>
    <w:rsid w:val="00750828"/>
    <w:rsid w:val="0075089A"/>
    <w:rsid w:val="00750E13"/>
    <w:rsid w:val="00750E67"/>
    <w:rsid w:val="00750EDC"/>
    <w:rsid w:val="0075113E"/>
    <w:rsid w:val="0075150F"/>
    <w:rsid w:val="00751B7F"/>
    <w:rsid w:val="00751D35"/>
    <w:rsid w:val="007523C7"/>
    <w:rsid w:val="007528A2"/>
    <w:rsid w:val="007528AF"/>
    <w:rsid w:val="00752910"/>
    <w:rsid w:val="00752D2C"/>
    <w:rsid w:val="00752DAB"/>
    <w:rsid w:val="00753BD4"/>
    <w:rsid w:val="00753D7D"/>
    <w:rsid w:val="007544F4"/>
    <w:rsid w:val="00754B7E"/>
    <w:rsid w:val="00755424"/>
    <w:rsid w:val="00755B2D"/>
    <w:rsid w:val="00755CE0"/>
    <w:rsid w:val="007560CC"/>
    <w:rsid w:val="007562A9"/>
    <w:rsid w:val="007562E9"/>
    <w:rsid w:val="00756491"/>
    <w:rsid w:val="0075652C"/>
    <w:rsid w:val="00756ABC"/>
    <w:rsid w:val="00756AD1"/>
    <w:rsid w:val="0075703F"/>
    <w:rsid w:val="00757364"/>
    <w:rsid w:val="007575E8"/>
    <w:rsid w:val="007578E0"/>
    <w:rsid w:val="00757A5E"/>
    <w:rsid w:val="00757EB5"/>
    <w:rsid w:val="0076011B"/>
    <w:rsid w:val="00760373"/>
    <w:rsid w:val="0076043A"/>
    <w:rsid w:val="007604B3"/>
    <w:rsid w:val="00760698"/>
    <w:rsid w:val="00760804"/>
    <w:rsid w:val="00760D2F"/>
    <w:rsid w:val="007612F4"/>
    <w:rsid w:val="007613AD"/>
    <w:rsid w:val="007614BF"/>
    <w:rsid w:val="007618E4"/>
    <w:rsid w:val="007618FF"/>
    <w:rsid w:val="00761999"/>
    <w:rsid w:val="00761CCC"/>
    <w:rsid w:val="00761D13"/>
    <w:rsid w:val="00761D7A"/>
    <w:rsid w:val="00761FE6"/>
    <w:rsid w:val="00762220"/>
    <w:rsid w:val="007622C5"/>
    <w:rsid w:val="007629A8"/>
    <w:rsid w:val="00762B2D"/>
    <w:rsid w:val="00762EC2"/>
    <w:rsid w:val="007630E1"/>
    <w:rsid w:val="00763163"/>
    <w:rsid w:val="00763170"/>
    <w:rsid w:val="00763951"/>
    <w:rsid w:val="007648D0"/>
    <w:rsid w:val="00764B5B"/>
    <w:rsid w:val="007650AE"/>
    <w:rsid w:val="00765236"/>
    <w:rsid w:val="007652ED"/>
    <w:rsid w:val="0076533F"/>
    <w:rsid w:val="0076567A"/>
    <w:rsid w:val="00765689"/>
    <w:rsid w:val="00765CF4"/>
    <w:rsid w:val="00765F6E"/>
    <w:rsid w:val="007662A6"/>
    <w:rsid w:val="00766355"/>
    <w:rsid w:val="00767925"/>
    <w:rsid w:val="00767BD1"/>
    <w:rsid w:val="00767E67"/>
    <w:rsid w:val="00767F40"/>
    <w:rsid w:val="0077018A"/>
    <w:rsid w:val="007707C5"/>
    <w:rsid w:val="00770A92"/>
    <w:rsid w:val="00770F0B"/>
    <w:rsid w:val="00771331"/>
    <w:rsid w:val="00771CB7"/>
    <w:rsid w:val="00771F2A"/>
    <w:rsid w:val="007720C5"/>
    <w:rsid w:val="007720D6"/>
    <w:rsid w:val="007722F4"/>
    <w:rsid w:val="0077263E"/>
    <w:rsid w:val="007731EB"/>
    <w:rsid w:val="00773462"/>
    <w:rsid w:val="00773817"/>
    <w:rsid w:val="00773856"/>
    <w:rsid w:val="00773A2C"/>
    <w:rsid w:val="00773B5D"/>
    <w:rsid w:val="00773F66"/>
    <w:rsid w:val="00773FFD"/>
    <w:rsid w:val="0077447A"/>
    <w:rsid w:val="00774802"/>
    <w:rsid w:val="00775379"/>
    <w:rsid w:val="00775A4F"/>
    <w:rsid w:val="00775B45"/>
    <w:rsid w:val="00775E12"/>
    <w:rsid w:val="007762A6"/>
    <w:rsid w:val="007767A1"/>
    <w:rsid w:val="007768DE"/>
    <w:rsid w:val="00776989"/>
    <w:rsid w:val="00776AED"/>
    <w:rsid w:val="00776D1A"/>
    <w:rsid w:val="00777040"/>
    <w:rsid w:val="007772AA"/>
    <w:rsid w:val="00777B14"/>
    <w:rsid w:val="00777BAF"/>
    <w:rsid w:val="00777C6E"/>
    <w:rsid w:val="00777DC3"/>
    <w:rsid w:val="007801BD"/>
    <w:rsid w:val="0078021A"/>
    <w:rsid w:val="0078049E"/>
    <w:rsid w:val="00780E56"/>
    <w:rsid w:val="00780EA5"/>
    <w:rsid w:val="00781015"/>
    <w:rsid w:val="00781932"/>
    <w:rsid w:val="00781987"/>
    <w:rsid w:val="00781A58"/>
    <w:rsid w:val="00781A94"/>
    <w:rsid w:val="00781CC0"/>
    <w:rsid w:val="00781E16"/>
    <w:rsid w:val="007820DD"/>
    <w:rsid w:val="007821BB"/>
    <w:rsid w:val="00782245"/>
    <w:rsid w:val="0078251C"/>
    <w:rsid w:val="00782D13"/>
    <w:rsid w:val="00782F6C"/>
    <w:rsid w:val="00783065"/>
    <w:rsid w:val="00783488"/>
    <w:rsid w:val="00783522"/>
    <w:rsid w:val="00783A58"/>
    <w:rsid w:val="00783D0B"/>
    <w:rsid w:val="00783D10"/>
    <w:rsid w:val="0078400A"/>
    <w:rsid w:val="0078427A"/>
    <w:rsid w:val="007842C3"/>
    <w:rsid w:val="00784CEE"/>
    <w:rsid w:val="00784D65"/>
    <w:rsid w:val="00784E60"/>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A11"/>
    <w:rsid w:val="00786F9B"/>
    <w:rsid w:val="007871AB"/>
    <w:rsid w:val="00787431"/>
    <w:rsid w:val="00787B65"/>
    <w:rsid w:val="0079020B"/>
    <w:rsid w:val="00790634"/>
    <w:rsid w:val="007908A3"/>
    <w:rsid w:val="00790BFA"/>
    <w:rsid w:val="00790EA6"/>
    <w:rsid w:val="0079115D"/>
    <w:rsid w:val="00791549"/>
    <w:rsid w:val="0079165E"/>
    <w:rsid w:val="00791729"/>
    <w:rsid w:val="007922C7"/>
    <w:rsid w:val="007928B4"/>
    <w:rsid w:val="00792B5B"/>
    <w:rsid w:val="00792CC3"/>
    <w:rsid w:val="00792E5B"/>
    <w:rsid w:val="00792FB8"/>
    <w:rsid w:val="007930FC"/>
    <w:rsid w:val="00793183"/>
    <w:rsid w:val="007933CA"/>
    <w:rsid w:val="007933EF"/>
    <w:rsid w:val="00793946"/>
    <w:rsid w:val="007939DB"/>
    <w:rsid w:val="00793E33"/>
    <w:rsid w:val="00793E98"/>
    <w:rsid w:val="007940C0"/>
    <w:rsid w:val="007940F3"/>
    <w:rsid w:val="007940F7"/>
    <w:rsid w:val="007941A9"/>
    <w:rsid w:val="00794A9E"/>
    <w:rsid w:val="00794AED"/>
    <w:rsid w:val="00794D4E"/>
    <w:rsid w:val="007950DE"/>
    <w:rsid w:val="00795348"/>
    <w:rsid w:val="007956E0"/>
    <w:rsid w:val="007958E1"/>
    <w:rsid w:val="00795CC2"/>
    <w:rsid w:val="0079614D"/>
    <w:rsid w:val="007962B6"/>
    <w:rsid w:val="007962D8"/>
    <w:rsid w:val="007965A2"/>
    <w:rsid w:val="007969A2"/>
    <w:rsid w:val="00796A75"/>
    <w:rsid w:val="00796D68"/>
    <w:rsid w:val="0079739C"/>
    <w:rsid w:val="007975D2"/>
    <w:rsid w:val="00797C17"/>
    <w:rsid w:val="00797C49"/>
    <w:rsid w:val="00797C84"/>
    <w:rsid w:val="00797F72"/>
    <w:rsid w:val="007A00BC"/>
    <w:rsid w:val="007A0224"/>
    <w:rsid w:val="007A030C"/>
    <w:rsid w:val="007A05B9"/>
    <w:rsid w:val="007A062F"/>
    <w:rsid w:val="007A0E0C"/>
    <w:rsid w:val="007A0F0E"/>
    <w:rsid w:val="007A126D"/>
    <w:rsid w:val="007A16C4"/>
    <w:rsid w:val="007A18F6"/>
    <w:rsid w:val="007A19CA"/>
    <w:rsid w:val="007A1B12"/>
    <w:rsid w:val="007A1E1B"/>
    <w:rsid w:val="007A1F63"/>
    <w:rsid w:val="007A2358"/>
    <w:rsid w:val="007A23BF"/>
    <w:rsid w:val="007A2462"/>
    <w:rsid w:val="007A25B2"/>
    <w:rsid w:val="007A274B"/>
    <w:rsid w:val="007A2D1A"/>
    <w:rsid w:val="007A332C"/>
    <w:rsid w:val="007A34F0"/>
    <w:rsid w:val="007A3B3D"/>
    <w:rsid w:val="007A3CEA"/>
    <w:rsid w:val="007A3D46"/>
    <w:rsid w:val="007A3F48"/>
    <w:rsid w:val="007A45A5"/>
    <w:rsid w:val="007A4E2F"/>
    <w:rsid w:val="007A5126"/>
    <w:rsid w:val="007A5146"/>
    <w:rsid w:val="007A5169"/>
    <w:rsid w:val="007A518C"/>
    <w:rsid w:val="007A523D"/>
    <w:rsid w:val="007A52C2"/>
    <w:rsid w:val="007A53D8"/>
    <w:rsid w:val="007A5564"/>
    <w:rsid w:val="007A556D"/>
    <w:rsid w:val="007A5E1A"/>
    <w:rsid w:val="007A6234"/>
    <w:rsid w:val="007A62AF"/>
    <w:rsid w:val="007A62C9"/>
    <w:rsid w:val="007A6A05"/>
    <w:rsid w:val="007A6CB2"/>
    <w:rsid w:val="007A6D45"/>
    <w:rsid w:val="007A6ED5"/>
    <w:rsid w:val="007A7BBA"/>
    <w:rsid w:val="007A7C17"/>
    <w:rsid w:val="007A7C35"/>
    <w:rsid w:val="007A7C98"/>
    <w:rsid w:val="007A7EDE"/>
    <w:rsid w:val="007A7FCD"/>
    <w:rsid w:val="007B080B"/>
    <w:rsid w:val="007B0B28"/>
    <w:rsid w:val="007B0D07"/>
    <w:rsid w:val="007B0FB0"/>
    <w:rsid w:val="007B0FEB"/>
    <w:rsid w:val="007B1114"/>
    <w:rsid w:val="007B1678"/>
    <w:rsid w:val="007B188F"/>
    <w:rsid w:val="007B1EE6"/>
    <w:rsid w:val="007B1F9E"/>
    <w:rsid w:val="007B2008"/>
    <w:rsid w:val="007B2122"/>
    <w:rsid w:val="007B25B2"/>
    <w:rsid w:val="007B2795"/>
    <w:rsid w:val="007B2F40"/>
    <w:rsid w:val="007B306A"/>
    <w:rsid w:val="007B3311"/>
    <w:rsid w:val="007B338C"/>
    <w:rsid w:val="007B37BA"/>
    <w:rsid w:val="007B37C5"/>
    <w:rsid w:val="007B3826"/>
    <w:rsid w:val="007B39DB"/>
    <w:rsid w:val="007B3B39"/>
    <w:rsid w:val="007B3E04"/>
    <w:rsid w:val="007B3E41"/>
    <w:rsid w:val="007B3EBC"/>
    <w:rsid w:val="007B3FF5"/>
    <w:rsid w:val="007B413E"/>
    <w:rsid w:val="007B525E"/>
    <w:rsid w:val="007B53A0"/>
    <w:rsid w:val="007B53E7"/>
    <w:rsid w:val="007B57A5"/>
    <w:rsid w:val="007B5B56"/>
    <w:rsid w:val="007B5E7A"/>
    <w:rsid w:val="007B5F41"/>
    <w:rsid w:val="007B61EE"/>
    <w:rsid w:val="007B6331"/>
    <w:rsid w:val="007B6A6D"/>
    <w:rsid w:val="007B6F65"/>
    <w:rsid w:val="007B7097"/>
    <w:rsid w:val="007B7145"/>
    <w:rsid w:val="007B71D4"/>
    <w:rsid w:val="007B7614"/>
    <w:rsid w:val="007B77F8"/>
    <w:rsid w:val="007B7A9C"/>
    <w:rsid w:val="007C03DB"/>
    <w:rsid w:val="007C0412"/>
    <w:rsid w:val="007C0812"/>
    <w:rsid w:val="007C0A00"/>
    <w:rsid w:val="007C0C3F"/>
    <w:rsid w:val="007C0D5A"/>
    <w:rsid w:val="007C100E"/>
    <w:rsid w:val="007C11A3"/>
    <w:rsid w:val="007C1332"/>
    <w:rsid w:val="007C1398"/>
    <w:rsid w:val="007C1550"/>
    <w:rsid w:val="007C161F"/>
    <w:rsid w:val="007C166F"/>
    <w:rsid w:val="007C1D79"/>
    <w:rsid w:val="007C2207"/>
    <w:rsid w:val="007C24DA"/>
    <w:rsid w:val="007C2A3E"/>
    <w:rsid w:val="007C2AB4"/>
    <w:rsid w:val="007C3395"/>
    <w:rsid w:val="007C3F10"/>
    <w:rsid w:val="007C40F8"/>
    <w:rsid w:val="007C42FB"/>
    <w:rsid w:val="007C45A5"/>
    <w:rsid w:val="007C4C0C"/>
    <w:rsid w:val="007C5DA2"/>
    <w:rsid w:val="007C5E9C"/>
    <w:rsid w:val="007C613B"/>
    <w:rsid w:val="007C63E0"/>
    <w:rsid w:val="007C67D4"/>
    <w:rsid w:val="007C6828"/>
    <w:rsid w:val="007C6AA7"/>
    <w:rsid w:val="007C6BBD"/>
    <w:rsid w:val="007C77E1"/>
    <w:rsid w:val="007C79CF"/>
    <w:rsid w:val="007C7BE7"/>
    <w:rsid w:val="007C7D68"/>
    <w:rsid w:val="007D0330"/>
    <w:rsid w:val="007D039D"/>
    <w:rsid w:val="007D049C"/>
    <w:rsid w:val="007D051A"/>
    <w:rsid w:val="007D0B01"/>
    <w:rsid w:val="007D0B04"/>
    <w:rsid w:val="007D152F"/>
    <w:rsid w:val="007D1531"/>
    <w:rsid w:val="007D1D04"/>
    <w:rsid w:val="007D2044"/>
    <w:rsid w:val="007D2186"/>
    <w:rsid w:val="007D2271"/>
    <w:rsid w:val="007D2366"/>
    <w:rsid w:val="007D2608"/>
    <w:rsid w:val="007D2863"/>
    <w:rsid w:val="007D2D33"/>
    <w:rsid w:val="007D2F34"/>
    <w:rsid w:val="007D382F"/>
    <w:rsid w:val="007D38AE"/>
    <w:rsid w:val="007D39D3"/>
    <w:rsid w:val="007D3DD4"/>
    <w:rsid w:val="007D42C9"/>
    <w:rsid w:val="007D444F"/>
    <w:rsid w:val="007D4A43"/>
    <w:rsid w:val="007D4D4F"/>
    <w:rsid w:val="007D4EDB"/>
    <w:rsid w:val="007D5184"/>
    <w:rsid w:val="007D5364"/>
    <w:rsid w:val="007D558B"/>
    <w:rsid w:val="007D56CB"/>
    <w:rsid w:val="007D5C60"/>
    <w:rsid w:val="007D5DBC"/>
    <w:rsid w:val="007D6113"/>
    <w:rsid w:val="007D62B4"/>
    <w:rsid w:val="007D6939"/>
    <w:rsid w:val="007D6D4D"/>
    <w:rsid w:val="007D6E10"/>
    <w:rsid w:val="007D75C0"/>
    <w:rsid w:val="007D7789"/>
    <w:rsid w:val="007D7B7F"/>
    <w:rsid w:val="007D7CD6"/>
    <w:rsid w:val="007D7F83"/>
    <w:rsid w:val="007E000A"/>
    <w:rsid w:val="007E008B"/>
    <w:rsid w:val="007E00AA"/>
    <w:rsid w:val="007E02D7"/>
    <w:rsid w:val="007E06D5"/>
    <w:rsid w:val="007E06DA"/>
    <w:rsid w:val="007E09B3"/>
    <w:rsid w:val="007E0B27"/>
    <w:rsid w:val="007E0B49"/>
    <w:rsid w:val="007E0CBF"/>
    <w:rsid w:val="007E145F"/>
    <w:rsid w:val="007E1719"/>
    <w:rsid w:val="007E184C"/>
    <w:rsid w:val="007E187D"/>
    <w:rsid w:val="007E1A71"/>
    <w:rsid w:val="007E1D38"/>
    <w:rsid w:val="007E1E5F"/>
    <w:rsid w:val="007E2136"/>
    <w:rsid w:val="007E2719"/>
    <w:rsid w:val="007E2762"/>
    <w:rsid w:val="007E2879"/>
    <w:rsid w:val="007E2CB6"/>
    <w:rsid w:val="007E2F97"/>
    <w:rsid w:val="007E2FA5"/>
    <w:rsid w:val="007E319A"/>
    <w:rsid w:val="007E3485"/>
    <w:rsid w:val="007E3929"/>
    <w:rsid w:val="007E3ABB"/>
    <w:rsid w:val="007E3B22"/>
    <w:rsid w:val="007E4233"/>
    <w:rsid w:val="007E4317"/>
    <w:rsid w:val="007E4C3C"/>
    <w:rsid w:val="007E4C3E"/>
    <w:rsid w:val="007E4C3F"/>
    <w:rsid w:val="007E530A"/>
    <w:rsid w:val="007E604B"/>
    <w:rsid w:val="007E6394"/>
    <w:rsid w:val="007E64EB"/>
    <w:rsid w:val="007E6516"/>
    <w:rsid w:val="007E6851"/>
    <w:rsid w:val="007E6BA8"/>
    <w:rsid w:val="007E7249"/>
    <w:rsid w:val="007E72EB"/>
    <w:rsid w:val="007E7366"/>
    <w:rsid w:val="007E73F6"/>
    <w:rsid w:val="007E7783"/>
    <w:rsid w:val="007E7F20"/>
    <w:rsid w:val="007F02A9"/>
    <w:rsid w:val="007F06A8"/>
    <w:rsid w:val="007F0702"/>
    <w:rsid w:val="007F0AAB"/>
    <w:rsid w:val="007F0AF2"/>
    <w:rsid w:val="007F1128"/>
    <w:rsid w:val="007F1365"/>
    <w:rsid w:val="007F18DA"/>
    <w:rsid w:val="007F1A61"/>
    <w:rsid w:val="007F1B06"/>
    <w:rsid w:val="007F25A5"/>
    <w:rsid w:val="007F2A4A"/>
    <w:rsid w:val="007F2A7C"/>
    <w:rsid w:val="007F2BCF"/>
    <w:rsid w:val="007F30F0"/>
    <w:rsid w:val="007F3124"/>
    <w:rsid w:val="007F337F"/>
    <w:rsid w:val="007F363B"/>
    <w:rsid w:val="007F365E"/>
    <w:rsid w:val="007F3BFE"/>
    <w:rsid w:val="007F4038"/>
    <w:rsid w:val="007F4119"/>
    <w:rsid w:val="007F4473"/>
    <w:rsid w:val="007F48D6"/>
    <w:rsid w:val="007F499B"/>
    <w:rsid w:val="007F4A03"/>
    <w:rsid w:val="007F4A0D"/>
    <w:rsid w:val="007F4ADC"/>
    <w:rsid w:val="007F4B78"/>
    <w:rsid w:val="007F52B3"/>
    <w:rsid w:val="007F53F7"/>
    <w:rsid w:val="007F55BB"/>
    <w:rsid w:val="007F569A"/>
    <w:rsid w:val="007F585B"/>
    <w:rsid w:val="007F5B91"/>
    <w:rsid w:val="007F6107"/>
    <w:rsid w:val="007F62C3"/>
    <w:rsid w:val="007F65FB"/>
    <w:rsid w:val="007F673E"/>
    <w:rsid w:val="007F680B"/>
    <w:rsid w:val="007F6A77"/>
    <w:rsid w:val="007F6B50"/>
    <w:rsid w:val="007F6D4B"/>
    <w:rsid w:val="007F6E81"/>
    <w:rsid w:val="007F72DC"/>
    <w:rsid w:val="007F7A58"/>
    <w:rsid w:val="007F7B1F"/>
    <w:rsid w:val="007F7C4D"/>
    <w:rsid w:val="00800103"/>
    <w:rsid w:val="008006F9"/>
    <w:rsid w:val="00800A70"/>
    <w:rsid w:val="008010B3"/>
    <w:rsid w:val="00801103"/>
    <w:rsid w:val="008016A0"/>
    <w:rsid w:val="00801762"/>
    <w:rsid w:val="008017C1"/>
    <w:rsid w:val="00801ACE"/>
    <w:rsid w:val="00801B70"/>
    <w:rsid w:val="00801E41"/>
    <w:rsid w:val="00802DAC"/>
    <w:rsid w:val="00803388"/>
    <w:rsid w:val="00803683"/>
    <w:rsid w:val="00803D36"/>
    <w:rsid w:val="00803FFA"/>
    <w:rsid w:val="0080417A"/>
    <w:rsid w:val="00804184"/>
    <w:rsid w:val="008047EF"/>
    <w:rsid w:val="0080489D"/>
    <w:rsid w:val="00804CA2"/>
    <w:rsid w:val="00804D16"/>
    <w:rsid w:val="008050D6"/>
    <w:rsid w:val="00805203"/>
    <w:rsid w:val="0080540F"/>
    <w:rsid w:val="00805448"/>
    <w:rsid w:val="00805481"/>
    <w:rsid w:val="00805893"/>
    <w:rsid w:val="00805D43"/>
    <w:rsid w:val="00805F26"/>
    <w:rsid w:val="0080676E"/>
    <w:rsid w:val="00806A1F"/>
    <w:rsid w:val="00806A6C"/>
    <w:rsid w:val="00806C74"/>
    <w:rsid w:val="00806E07"/>
    <w:rsid w:val="00806F3B"/>
    <w:rsid w:val="008073FF"/>
    <w:rsid w:val="00807646"/>
    <w:rsid w:val="00807AD2"/>
    <w:rsid w:val="00807E01"/>
    <w:rsid w:val="0081002A"/>
    <w:rsid w:val="008100F2"/>
    <w:rsid w:val="00810424"/>
    <w:rsid w:val="00810624"/>
    <w:rsid w:val="008107F3"/>
    <w:rsid w:val="00810B04"/>
    <w:rsid w:val="00810B32"/>
    <w:rsid w:val="00810D50"/>
    <w:rsid w:val="00811305"/>
    <w:rsid w:val="00811580"/>
    <w:rsid w:val="008115B7"/>
    <w:rsid w:val="00811715"/>
    <w:rsid w:val="008117D3"/>
    <w:rsid w:val="0081188A"/>
    <w:rsid w:val="00811ECF"/>
    <w:rsid w:val="0081205A"/>
    <w:rsid w:val="00812920"/>
    <w:rsid w:val="00812A2A"/>
    <w:rsid w:val="00812B35"/>
    <w:rsid w:val="00812BCB"/>
    <w:rsid w:val="00812C33"/>
    <w:rsid w:val="00812E53"/>
    <w:rsid w:val="00812F92"/>
    <w:rsid w:val="00813406"/>
    <w:rsid w:val="00813484"/>
    <w:rsid w:val="00813619"/>
    <w:rsid w:val="008139A1"/>
    <w:rsid w:val="008139F4"/>
    <w:rsid w:val="00813BFC"/>
    <w:rsid w:val="00813CBF"/>
    <w:rsid w:val="008145BA"/>
    <w:rsid w:val="008148AB"/>
    <w:rsid w:val="0081498C"/>
    <w:rsid w:val="00814B6F"/>
    <w:rsid w:val="00814D65"/>
    <w:rsid w:val="00814DCA"/>
    <w:rsid w:val="00814E3B"/>
    <w:rsid w:val="008158B3"/>
    <w:rsid w:val="008159BA"/>
    <w:rsid w:val="00815B4C"/>
    <w:rsid w:val="00815E22"/>
    <w:rsid w:val="0081633F"/>
    <w:rsid w:val="008163DD"/>
    <w:rsid w:val="008166D0"/>
    <w:rsid w:val="00816702"/>
    <w:rsid w:val="00816EE6"/>
    <w:rsid w:val="00816FE8"/>
    <w:rsid w:val="0081729C"/>
    <w:rsid w:val="008172B7"/>
    <w:rsid w:val="00817A11"/>
    <w:rsid w:val="00817C73"/>
    <w:rsid w:val="00817CFC"/>
    <w:rsid w:val="00817F79"/>
    <w:rsid w:val="008203CA"/>
    <w:rsid w:val="008206E1"/>
    <w:rsid w:val="008208DB"/>
    <w:rsid w:val="00820D8C"/>
    <w:rsid w:val="0082183F"/>
    <w:rsid w:val="00821ADD"/>
    <w:rsid w:val="00821C07"/>
    <w:rsid w:val="00821CC7"/>
    <w:rsid w:val="00821F60"/>
    <w:rsid w:val="00822168"/>
    <w:rsid w:val="00822589"/>
    <w:rsid w:val="00822635"/>
    <w:rsid w:val="00822BC4"/>
    <w:rsid w:val="008231DE"/>
    <w:rsid w:val="00823270"/>
    <w:rsid w:val="008236E5"/>
    <w:rsid w:val="0082382C"/>
    <w:rsid w:val="008239EA"/>
    <w:rsid w:val="00823DD8"/>
    <w:rsid w:val="0082410B"/>
    <w:rsid w:val="00824493"/>
    <w:rsid w:val="008248B0"/>
    <w:rsid w:val="00824A74"/>
    <w:rsid w:val="00824B3B"/>
    <w:rsid w:val="00824BB8"/>
    <w:rsid w:val="0082546F"/>
    <w:rsid w:val="00825475"/>
    <w:rsid w:val="0082550C"/>
    <w:rsid w:val="0082579F"/>
    <w:rsid w:val="00825A26"/>
    <w:rsid w:val="00825E83"/>
    <w:rsid w:val="00826E13"/>
    <w:rsid w:val="0082732F"/>
    <w:rsid w:val="0082738D"/>
    <w:rsid w:val="0082788A"/>
    <w:rsid w:val="00827899"/>
    <w:rsid w:val="008278D4"/>
    <w:rsid w:val="00827A08"/>
    <w:rsid w:val="00827D03"/>
    <w:rsid w:val="008301DB"/>
    <w:rsid w:val="0083024A"/>
    <w:rsid w:val="008305E8"/>
    <w:rsid w:val="0083067C"/>
    <w:rsid w:val="00830B3C"/>
    <w:rsid w:val="00830D3E"/>
    <w:rsid w:val="00830DE1"/>
    <w:rsid w:val="008310F6"/>
    <w:rsid w:val="008311E3"/>
    <w:rsid w:val="0083126C"/>
    <w:rsid w:val="0083158B"/>
    <w:rsid w:val="008316A8"/>
    <w:rsid w:val="00831922"/>
    <w:rsid w:val="00831FD5"/>
    <w:rsid w:val="008321AA"/>
    <w:rsid w:val="008321D8"/>
    <w:rsid w:val="008325B6"/>
    <w:rsid w:val="00833220"/>
    <w:rsid w:val="00833484"/>
    <w:rsid w:val="008334C3"/>
    <w:rsid w:val="00833809"/>
    <w:rsid w:val="00833BE6"/>
    <w:rsid w:val="00833ED9"/>
    <w:rsid w:val="008341D9"/>
    <w:rsid w:val="008345D4"/>
    <w:rsid w:val="00834678"/>
    <w:rsid w:val="00834890"/>
    <w:rsid w:val="00834AF2"/>
    <w:rsid w:val="00834BF3"/>
    <w:rsid w:val="00834D84"/>
    <w:rsid w:val="0083505B"/>
    <w:rsid w:val="00835481"/>
    <w:rsid w:val="0083551C"/>
    <w:rsid w:val="00835586"/>
    <w:rsid w:val="0083566A"/>
    <w:rsid w:val="00835921"/>
    <w:rsid w:val="00835BF2"/>
    <w:rsid w:val="00835C93"/>
    <w:rsid w:val="00836019"/>
    <w:rsid w:val="008361FD"/>
    <w:rsid w:val="00836578"/>
    <w:rsid w:val="00836934"/>
    <w:rsid w:val="008369CE"/>
    <w:rsid w:val="00836BCA"/>
    <w:rsid w:val="00836BF8"/>
    <w:rsid w:val="00836C1B"/>
    <w:rsid w:val="00836CC1"/>
    <w:rsid w:val="00836D04"/>
    <w:rsid w:val="00836F8C"/>
    <w:rsid w:val="00837121"/>
    <w:rsid w:val="00837A87"/>
    <w:rsid w:val="00837C53"/>
    <w:rsid w:val="00840160"/>
    <w:rsid w:val="00840330"/>
    <w:rsid w:val="008405BB"/>
    <w:rsid w:val="00840AAD"/>
    <w:rsid w:val="00840E3E"/>
    <w:rsid w:val="00841482"/>
    <w:rsid w:val="0084152F"/>
    <w:rsid w:val="008417EC"/>
    <w:rsid w:val="00841C3D"/>
    <w:rsid w:val="008420A7"/>
    <w:rsid w:val="00842339"/>
    <w:rsid w:val="00842365"/>
    <w:rsid w:val="008429E6"/>
    <w:rsid w:val="00842DDF"/>
    <w:rsid w:val="00843058"/>
    <w:rsid w:val="008439FE"/>
    <w:rsid w:val="008444E5"/>
    <w:rsid w:val="00844FAA"/>
    <w:rsid w:val="0084523B"/>
    <w:rsid w:val="00845758"/>
    <w:rsid w:val="00845CB5"/>
    <w:rsid w:val="00845EC5"/>
    <w:rsid w:val="00845FA4"/>
    <w:rsid w:val="008462BA"/>
    <w:rsid w:val="0084646F"/>
    <w:rsid w:val="00846709"/>
    <w:rsid w:val="00847056"/>
    <w:rsid w:val="0084720E"/>
    <w:rsid w:val="00847853"/>
    <w:rsid w:val="00847A3F"/>
    <w:rsid w:val="00847D60"/>
    <w:rsid w:val="00850232"/>
    <w:rsid w:val="00850264"/>
    <w:rsid w:val="00850517"/>
    <w:rsid w:val="00850648"/>
    <w:rsid w:val="00850A8B"/>
    <w:rsid w:val="00850BF4"/>
    <w:rsid w:val="00850C57"/>
    <w:rsid w:val="00851206"/>
    <w:rsid w:val="008517EA"/>
    <w:rsid w:val="008518B0"/>
    <w:rsid w:val="008519C5"/>
    <w:rsid w:val="00851D0D"/>
    <w:rsid w:val="00851E28"/>
    <w:rsid w:val="00852782"/>
    <w:rsid w:val="00852C7A"/>
    <w:rsid w:val="008536C9"/>
    <w:rsid w:val="00853716"/>
    <w:rsid w:val="00853961"/>
    <w:rsid w:val="008539F4"/>
    <w:rsid w:val="00853CCA"/>
    <w:rsid w:val="00853D66"/>
    <w:rsid w:val="008543E8"/>
    <w:rsid w:val="008547E8"/>
    <w:rsid w:val="00854DBC"/>
    <w:rsid w:val="00854F7B"/>
    <w:rsid w:val="0085510B"/>
    <w:rsid w:val="00855254"/>
    <w:rsid w:val="00856441"/>
    <w:rsid w:val="00856478"/>
    <w:rsid w:val="00856570"/>
    <w:rsid w:val="00856C6C"/>
    <w:rsid w:val="00856CB5"/>
    <w:rsid w:val="00856CB6"/>
    <w:rsid w:val="00856E95"/>
    <w:rsid w:val="00856F57"/>
    <w:rsid w:val="00857427"/>
    <w:rsid w:val="00857616"/>
    <w:rsid w:val="0085762E"/>
    <w:rsid w:val="0085766D"/>
    <w:rsid w:val="00857758"/>
    <w:rsid w:val="0085796E"/>
    <w:rsid w:val="00857C58"/>
    <w:rsid w:val="008603E0"/>
    <w:rsid w:val="008608A4"/>
    <w:rsid w:val="00860927"/>
    <w:rsid w:val="008609DF"/>
    <w:rsid w:val="00860A6E"/>
    <w:rsid w:val="00860D5A"/>
    <w:rsid w:val="00860E0B"/>
    <w:rsid w:val="00860E30"/>
    <w:rsid w:val="00860F88"/>
    <w:rsid w:val="00860FF7"/>
    <w:rsid w:val="00861750"/>
    <w:rsid w:val="0086182C"/>
    <w:rsid w:val="008620D8"/>
    <w:rsid w:val="008620DB"/>
    <w:rsid w:val="008621BE"/>
    <w:rsid w:val="00862208"/>
    <w:rsid w:val="008627CD"/>
    <w:rsid w:val="008633E6"/>
    <w:rsid w:val="008633F6"/>
    <w:rsid w:val="00863552"/>
    <w:rsid w:val="008638CF"/>
    <w:rsid w:val="00863C73"/>
    <w:rsid w:val="00864155"/>
    <w:rsid w:val="00864467"/>
    <w:rsid w:val="00864C2D"/>
    <w:rsid w:val="00865042"/>
    <w:rsid w:val="00865A1E"/>
    <w:rsid w:val="00865C43"/>
    <w:rsid w:val="00865F57"/>
    <w:rsid w:val="008663BD"/>
    <w:rsid w:val="00866491"/>
    <w:rsid w:val="0086649B"/>
    <w:rsid w:val="00866680"/>
    <w:rsid w:val="008669EA"/>
    <w:rsid w:val="00866DC2"/>
    <w:rsid w:val="0086738E"/>
    <w:rsid w:val="0086752B"/>
    <w:rsid w:val="00867C00"/>
    <w:rsid w:val="00867C33"/>
    <w:rsid w:val="00867FB6"/>
    <w:rsid w:val="0087045C"/>
    <w:rsid w:val="008704AE"/>
    <w:rsid w:val="00870516"/>
    <w:rsid w:val="00870ED8"/>
    <w:rsid w:val="00870FFF"/>
    <w:rsid w:val="008712DC"/>
    <w:rsid w:val="00871539"/>
    <w:rsid w:val="00871F2E"/>
    <w:rsid w:val="00872095"/>
    <w:rsid w:val="008720D3"/>
    <w:rsid w:val="00872347"/>
    <w:rsid w:val="008726BE"/>
    <w:rsid w:val="00872C1B"/>
    <w:rsid w:val="00872EC5"/>
    <w:rsid w:val="00873151"/>
    <w:rsid w:val="008734E2"/>
    <w:rsid w:val="0087404D"/>
    <w:rsid w:val="008741C3"/>
    <w:rsid w:val="008742EA"/>
    <w:rsid w:val="0087471D"/>
    <w:rsid w:val="00874796"/>
    <w:rsid w:val="00874824"/>
    <w:rsid w:val="0087525F"/>
    <w:rsid w:val="00875E5D"/>
    <w:rsid w:val="00875F93"/>
    <w:rsid w:val="008760CC"/>
    <w:rsid w:val="008763AF"/>
    <w:rsid w:val="00876917"/>
    <w:rsid w:val="00876C7F"/>
    <w:rsid w:val="00876D65"/>
    <w:rsid w:val="00876D8C"/>
    <w:rsid w:val="00876F7E"/>
    <w:rsid w:val="0087708A"/>
    <w:rsid w:val="00877443"/>
    <w:rsid w:val="008779FC"/>
    <w:rsid w:val="00877BE6"/>
    <w:rsid w:val="00877DB2"/>
    <w:rsid w:val="0088008C"/>
    <w:rsid w:val="00881001"/>
    <w:rsid w:val="008816AC"/>
    <w:rsid w:val="00882012"/>
    <w:rsid w:val="0088212C"/>
    <w:rsid w:val="0088231F"/>
    <w:rsid w:val="008827FA"/>
    <w:rsid w:val="008828BD"/>
    <w:rsid w:val="00882D03"/>
    <w:rsid w:val="00882D51"/>
    <w:rsid w:val="00882DA6"/>
    <w:rsid w:val="00882E83"/>
    <w:rsid w:val="00882F4B"/>
    <w:rsid w:val="00883990"/>
    <w:rsid w:val="00883CE1"/>
    <w:rsid w:val="00883DB9"/>
    <w:rsid w:val="00883DCC"/>
    <w:rsid w:val="00883DE9"/>
    <w:rsid w:val="008841EA"/>
    <w:rsid w:val="008841FC"/>
    <w:rsid w:val="0088424B"/>
    <w:rsid w:val="00884A23"/>
    <w:rsid w:val="00884E1B"/>
    <w:rsid w:val="00885085"/>
    <w:rsid w:val="008853CC"/>
    <w:rsid w:val="00885781"/>
    <w:rsid w:val="00885A4A"/>
    <w:rsid w:val="00885B39"/>
    <w:rsid w:val="00885C9B"/>
    <w:rsid w:val="00885D27"/>
    <w:rsid w:val="00885FCC"/>
    <w:rsid w:val="00885FCF"/>
    <w:rsid w:val="00886064"/>
    <w:rsid w:val="00886100"/>
    <w:rsid w:val="008862A5"/>
    <w:rsid w:val="0088648E"/>
    <w:rsid w:val="008867DF"/>
    <w:rsid w:val="00886867"/>
    <w:rsid w:val="008869FA"/>
    <w:rsid w:val="008870AC"/>
    <w:rsid w:val="00887229"/>
    <w:rsid w:val="0088761C"/>
    <w:rsid w:val="00887D9F"/>
    <w:rsid w:val="00887FEB"/>
    <w:rsid w:val="008901DA"/>
    <w:rsid w:val="0089065F"/>
    <w:rsid w:val="008906ED"/>
    <w:rsid w:val="00890C99"/>
    <w:rsid w:val="00891018"/>
    <w:rsid w:val="0089123E"/>
    <w:rsid w:val="008917EA"/>
    <w:rsid w:val="008919D2"/>
    <w:rsid w:val="00891D37"/>
    <w:rsid w:val="00892236"/>
    <w:rsid w:val="00892357"/>
    <w:rsid w:val="00892815"/>
    <w:rsid w:val="0089298F"/>
    <w:rsid w:val="00892A84"/>
    <w:rsid w:val="00892B73"/>
    <w:rsid w:val="00892C9A"/>
    <w:rsid w:val="0089340A"/>
    <w:rsid w:val="008934E3"/>
    <w:rsid w:val="00893914"/>
    <w:rsid w:val="00893920"/>
    <w:rsid w:val="00893C0B"/>
    <w:rsid w:val="00894091"/>
    <w:rsid w:val="0089424A"/>
    <w:rsid w:val="008948DE"/>
    <w:rsid w:val="00894B32"/>
    <w:rsid w:val="00894B95"/>
    <w:rsid w:val="00894BFE"/>
    <w:rsid w:val="00894CF0"/>
    <w:rsid w:val="00894E5B"/>
    <w:rsid w:val="008951E1"/>
    <w:rsid w:val="00895747"/>
    <w:rsid w:val="00895977"/>
    <w:rsid w:val="00895A06"/>
    <w:rsid w:val="00895B24"/>
    <w:rsid w:val="00895F3B"/>
    <w:rsid w:val="0089648F"/>
    <w:rsid w:val="0089671B"/>
    <w:rsid w:val="0089682E"/>
    <w:rsid w:val="00896F95"/>
    <w:rsid w:val="00896FFB"/>
    <w:rsid w:val="008973C7"/>
    <w:rsid w:val="008976A2"/>
    <w:rsid w:val="00897CBC"/>
    <w:rsid w:val="008A0171"/>
    <w:rsid w:val="008A0301"/>
    <w:rsid w:val="008A0355"/>
    <w:rsid w:val="008A06D2"/>
    <w:rsid w:val="008A09AE"/>
    <w:rsid w:val="008A0B0A"/>
    <w:rsid w:val="008A0CF1"/>
    <w:rsid w:val="008A0EAA"/>
    <w:rsid w:val="008A1213"/>
    <w:rsid w:val="008A12D8"/>
    <w:rsid w:val="008A1C70"/>
    <w:rsid w:val="008A229A"/>
    <w:rsid w:val="008A23F4"/>
    <w:rsid w:val="008A2C14"/>
    <w:rsid w:val="008A31B0"/>
    <w:rsid w:val="008A32B3"/>
    <w:rsid w:val="008A3694"/>
    <w:rsid w:val="008A3C56"/>
    <w:rsid w:val="008A3E08"/>
    <w:rsid w:val="008A4380"/>
    <w:rsid w:val="008A4461"/>
    <w:rsid w:val="008A4AD4"/>
    <w:rsid w:val="008A4D34"/>
    <w:rsid w:val="008A4DFC"/>
    <w:rsid w:val="008A4FFE"/>
    <w:rsid w:val="008A51E8"/>
    <w:rsid w:val="008A528A"/>
    <w:rsid w:val="008A5390"/>
    <w:rsid w:val="008A5647"/>
    <w:rsid w:val="008A5808"/>
    <w:rsid w:val="008A5A9E"/>
    <w:rsid w:val="008A5EA8"/>
    <w:rsid w:val="008A61C0"/>
    <w:rsid w:val="008A68B0"/>
    <w:rsid w:val="008A6AA0"/>
    <w:rsid w:val="008A6EC1"/>
    <w:rsid w:val="008A6F75"/>
    <w:rsid w:val="008A7852"/>
    <w:rsid w:val="008A7BAE"/>
    <w:rsid w:val="008A7D2A"/>
    <w:rsid w:val="008B0331"/>
    <w:rsid w:val="008B05A7"/>
    <w:rsid w:val="008B0B7D"/>
    <w:rsid w:val="008B0C72"/>
    <w:rsid w:val="008B0D86"/>
    <w:rsid w:val="008B0E4F"/>
    <w:rsid w:val="008B12AE"/>
    <w:rsid w:val="008B12CA"/>
    <w:rsid w:val="008B1599"/>
    <w:rsid w:val="008B185A"/>
    <w:rsid w:val="008B1953"/>
    <w:rsid w:val="008B1989"/>
    <w:rsid w:val="008B1A3C"/>
    <w:rsid w:val="008B1BA2"/>
    <w:rsid w:val="008B220C"/>
    <w:rsid w:val="008B269F"/>
    <w:rsid w:val="008B277D"/>
    <w:rsid w:val="008B2827"/>
    <w:rsid w:val="008B2964"/>
    <w:rsid w:val="008B2D27"/>
    <w:rsid w:val="008B2DC1"/>
    <w:rsid w:val="008B32FC"/>
    <w:rsid w:val="008B33A5"/>
    <w:rsid w:val="008B35EC"/>
    <w:rsid w:val="008B3981"/>
    <w:rsid w:val="008B39F7"/>
    <w:rsid w:val="008B3A8F"/>
    <w:rsid w:val="008B3C30"/>
    <w:rsid w:val="008B3D07"/>
    <w:rsid w:val="008B4051"/>
    <w:rsid w:val="008B42D3"/>
    <w:rsid w:val="008B45B3"/>
    <w:rsid w:val="008B4888"/>
    <w:rsid w:val="008B48B5"/>
    <w:rsid w:val="008B48EF"/>
    <w:rsid w:val="008B4FE3"/>
    <w:rsid w:val="008B571C"/>
    <w:rsid w:val="008B582E"/>
    <w:rsid w:val="008B5D43"/>
    <w:rsid w:val="008B5FF9"/>
    <w:rsid w:val="008B6838"/>
    <w:rsid w:val="008B692B"/>
    <w:rsid w:val="008B6A19"/>
    <w:rsid w:val="008B6F04"/>
    <w:rsid w:val="008B6F34"/>
    <w:rsid w:val="008B743E"/>
    <w:rsid w:val="008B75B2"/>
    <w:rsid w:val="008B7E4C"/>
    <w:rsid w:val="008C05B1"/>
    <w:rsid w:val="008C07A4"/>
    <w:rsid w:val="008C09A2"/>
    <w:rsid w:val="008C0E66"/>
    <w:rsid w:val="008C1182"/>
    <w:rsid w:val="008C1212"/>
    <w:rsid w:val="008C1B95"/>
    <w:rsid w:val="008C201F"/>
    <w:rsid w:val="008C2107"/>
    <w:rsid w:val="008C254A"/>
    <w:rsid w:val="008C2B22"/>
    <w:rsid w:val="008C3A9C"/>
    <w:rsid w:val="008C463C"/>
    <w:rsid w:val="008C466B"/>
    <w:rsid w:val="008C4844"/>
    <w:rsid w:val="008C4988"/>
    <w:rsid w:val="008C4ABA"/>
    <w:rsid w:val="008C4D1C"/>
    <w:rsid w:val="008C4DB9"/>
    <w:rsid w:val="008C4F9A"/>
    <w:rsid w:val="008C5473"/>
    <w:rsid w:val="008C567A"/>
    <w:rsid w:val="008C5A2F"/>
    <w:rsid w:val="008C5C1F"/>
    <w:rsid w:val="008C5F24"/>
    <w:rsid w:val="008C6011"/>
    <w:rsid w:val="008C699A"/>
    <w:rsid w:val="008C6B0F"/>
    <w:rsid w:val="008C6B82"/>
    <w:rsid w:val="008C6F2F"/>
    <w:rsid w:val="008C6F3D"/>
    <w:rsid w:val="008C70F4"/>
    <w:rsid w:val="008C76DB"/>
    <w:rsid w:val="008C77C2"/>
    <w:rsid w:val="008C7909"/>
    <w:rsid w:val="008C7968"/>
    <w:rsid w:val="008C7A9C"/>
    <w:rsid w:val="008D03E8"/>
    <w:rsid w:val="008D0462"/>
    <w:rsid w:val="008D06FB"/>
    <w:rsid w:val="008D0DAC"/>
    <w:rsid w:val="008D0E80"/>
    <w:rsid w:val="008D11B7"/>
    <w:rsid w:val="008D192C"/>
    <w:rsid w:val="008D19E3"/>
    <w:rsid w:val="008D1A5C"/>
    <w:rsid w:val="008D1D9A"/>
    <w:rsid w:val="008D1E1D"/>
    <w:rsid w:val="008D2212"/>
    <w:rsid w:val="008D25A6"/>
    <w:rsid w:val="008D26F7"/>
    <w:rsid w:val="008D2C95"/>
    <w:rsid w:val="008D32BE"/>
    <w:rsid w:val="008D32EA"/>
    <w:rsid w:val="008D3340"/>
    <w:rsid w:val="008D3A53"/>
    <w:rsid w:val="008D3C0E"/>
    <w:rsid w:val="008D3E15"/>
    <w:rsid w:val="008D3E7B"/>
    <w:rsid w:val="008D41AB"/>
    <w:rsid w:val="008D450A"/>
    <w:rsid w:val="008D487E"/>
    <w:rsid w:val="008D48AC"/>
    <w:rsid w:val="008D4A87"/>
    <w:rsid w:val="008D4AE7"/>
    <w:rsid w:val="008D4F01"/>
    <w:rsid w:val="008D5203"/>
    <w:rsid w:val="008D5343"/>
    <w:rsid w:val="008D53B8"/>
    <w:rsid w:val="008D54BE"/>
    <w:rsid w:val="008D58C8"/>
    <w:rsid w:val="008D5A3A"/>
    <w:rsid w:val="008D5CD6"/>
    <w:rsid w:val="008D5EE5"/>
    <w:rsid w:val="008D60C7"/>
    <w:rsid w:val="008D63C8"/>
    <w:rsid w:val="008D661E"/>
    <w:rsid w:val="008D6835"/>
    <w:rsid w:val="008D6DB4"/>
    <w:rsid w:val="008D6F2C"/>
    <w:rsid w:val="008D6FAC"/>
    <w:rsid w:val="008D7721"/>
    <w:rsid w:val="008D7B69"/>
    <w:rsid w:val="008D7E6E"/>
    <w:rsid w:val="008D7ED7"/>
    <w:rsid w:val="008E0476"/>
    <w:rsid w:val="008E0598"/>
    <w:rsid w:val="008E063F"/>
    <w:rsid w:val="008E0995"/>
    <w:rsid w:val="008E0BAF"/>
    <w:rsid w:val="008E0BB5"/>
    <w:rsid w:val="008E0CFD"/>
    <w:rsid w:val="008E0E35"/>
    <w:rsid w:val="008E1415"/>
    <w:rsid w:val="008E1754"/>
    <w:rsid w:val="008E18F9"/>
    <w:rsid w:val="008E1B41"/>
    <w:rsid w:val="008E1BA8"/>
    <w:rsid w:val="008E1BD8"/>
    <w:rsid w:val="008E2387"/>
    <w:rsid w:val="008E27E3"/>
    <w:rsid w:val="008E2A20"/>
    <w:rsid w:val="008E2DA8"/>
    <w:rsid w:val="008E3204"/>
    <w:rsid w:val="008E34C8"/>
    <w:rsid w:val="008E35C6"/>
    <w:rsid w:val="008E399A"/>
    <w:rsid w:val="008E39BA"/>
    <w:rsid w:val="008E3BC5"/>
    <w:rsid w:val="008E4153"/>
    <w:rsid w:val="008E44CC"/>
    <w:rsid w:val="008E505B"/>
    <w:rsid w:val="008E521E"/>
    <w:rsid w:val="008E5331"/>
    <w:rsid w:val="008E54BD"/>
    <w:rsid w:val="008E55E9"/>
    <w:rsid w:val="008E56A2"/>
    <w:rsid w:val="008E56F2"/>
    <w:rsid w:val="008E57E9"/>
    <w:rsid w:val="008E595B"/>
    <w:rsid w:val="008E5B03"/>
    <w:rsid w:val="008E5B4F"/>
    <w:rsid w:val="008E5C1D"/>
    <w:rsid w:val="008E5D59"/>
    <w:rsid w:val="008E5E1F"/>
    <w:rsid w:val="008E619B"/>
    <w:rsid w:val="008E6253"/>
    <w:rsid w:val="008E63A8"/>
    <w:rsid w:val="008E64CA"/>
    <w:rsid w:val="008E66E5"/>
    <w:rsid w:val="008E6B5C"/>
    <w:rsid w:val="008E6ED1"/>
    <w:rsid w:val="008E7956"/>
    <w:rsid w:val="008E7B84"/>
    <w:rsid w:val="008E7D7B"/>
    <w:rsid w:val="008F0AB6"/>
    <w:rsid w:val="008F0BD6"/>
    <w:rsid w:val="008F0FD4"/>
    <w:rsid w:val="008F12D8"/>
    <w:rsid w:val="008F164B"/>
    <w:rsid w:val="008F2176"/>
    <w:rsid w:val="008F2333"/>
    <w:rsid w:val="008F234F"/>
    <w:rsid w:val="008F2837"/>
    <w:rsid w:val="008F2935"/>
    <w:rsid w:val="008F2E5B"/>
    <w:rsid w:val="008F310F"/>
    <w:rsid w:val="008F3904"/>
    <w:rsid w:val="008F3AB8"/>
    <w:rsid w:val="008F4099"/>
    <w:rsid w:val="008F4485"/>
    <w:rsid w:val="008F46F0"/>
    <w:rsid w:val="008F47A3"/>
    <w:rsid w:val="008F4CE6"/>
    <w:rsid w:val="008F4D08"/>
    <w:rsid w:val="008F4EAC"/>
    <w:rsid w:val="008F5431"/>
    <w:rsid w:val="008F5638"/>
    <w:rsid w:val="008F56CB"/>
    <w:rsid w:val="008F5844"/>
    <w:rsid w:val="008F5A41"/>
    <w:rsid w:val="008F5E45"/>
    <w:rsid w:val="008F5F53"/>
    <w:rsid w:val="008F60AA"/>
    <w:rsid w:val="008F60E4"/>
    <w:rsid w:val="008F635E"/>
    <w:rsid w:val="008F6A1B"/>
    <w:rsid w:val="008F6A39"/>
    <w:rsid w:val="008F7D27"/>
    <w:rsid w:val="00900087"/>
    <w:rsid w:val="009000DC"/>
    <w:rsid w:val="009006DC"/>
    <w:rsid w:val="009008A7"/>
    <w:rsid w:val="009008AE"/>
    <w:rsid w:val="00900913"/>
    <w:rsid w:val="00900957"/>
    <w:rsid w:val="00900A8E"/>
    <w:rsid w:val="00900C39"/>
    <w:rsid w:val="0090155D"/>
    <w:rsid w:val="00901945"/>
    <w:rsid w:val="00901BE7"/>
    <w:rsid w:val="00901D16"/>
    <w:rsid w:val="00901F1F"/>
    <w:rsid w:val="009020DF"/>
    <w:rsid w:val="0090258A"/>
    <w:rsid w:val="00902696"/>
    <w:rsid w:val="009034F0"/>
    <w:rsid w:val="00903827"/>
    <w:rsid w:val="00903A0B"/>
    <w:rsid w:val="00904033"/>
    <w:rsid w:val="00904101"/>
    <w:rsid w:val="00904234"/>
    <w:rsid w:val="00904910"/>
    <w:rsid w:val="00904BBC"/>
    <w:rsid w:val="00904BBD"/>
    <w:rsid w:val="00904CF0"/>
    <w:rsid w:val="00904DCD"/>
    <w:rsid w:val="009053F2"/>
    <w:rsid w:val="0090556B"/>
    <w:rsid w:val="00905C28"/>
    <w:rsid w:val="009060C9"/>
    <w:rsid w:val="009065D3"/>
    <w:rsid w:val="009074EC"/>
    <w:rsid w:val="00907588"/>
    <w:rsid w:val="00907807"/>
    <w:rsid w:val="0090782C"/>
    <w:rsid w:val="00907EAC"/>
    <w:rsid w:val="00910107"/>
    <w:rsid w:val="0091034A"/>
    <w:rsid w:val="0091068A"/>
    <w:rsid w:val="0091080B"/>
    <w:rsid w:val="0091089B"/>
    <w:rsid w:val="00911129"/>
    <w:rsid w:val="009113FC"/>
    <w:rsid w:val="0091143C"/>
    <w:rsid w:val="009115C4"/>
    <w:rsid w:val="0091197C"/>
    <w:rsid w:val="00911F82"/>
    <w:rsid w:val="00911FF1"/>
    <w:rsid w:val="009121AF"/>
    <w:rsid w:val="009121DE"/>
    <w:rsid w:val="0091231E"/>
    <w:rsid w:val="009125E1"/>
    <w:rsid w:val="00912803"/>
    <w:rsid w:val="00912812"/>
    <w:rsid w:val="00912898"/>
    <w:rsid w:val="00912B35"/>
    <w:rsid w:val="00912DAE"/>
    <w:rsid w:val="009130E5"/>
    <w:rsid w:val="00913126"/>
    <w:rsid w:val="00913500"/>
    <w:rsid w:val="009138AB"/>
    <w:rsid w:val="00913D93"/>
    <w:rsid w:val="00914197"/>
    <w:rsid w:val="00914347"/>
    <w:rsid w:val="009144E1"/>
    <w:rsid w:val="009148BD"/>
    <w:rsid w:val="00914EC2"/>
    <w:rsid w:val="0091508C"/>
    <w:rsid w:val="009150DF"/>
    <w:rsid w:val="009150E1"/>
    <w:rsid w:val="009151D3"/>
    <w:rsid w:val="009155CE"/>
    <w:rsid w:val="0091597B"/>
    <w:rsid w:val="00915AC0"/>
    <w:rsid w:val="00915B98"/>
    <w:rsid w:val="00916031"/>
    <w:rsid w:val="009169FB"/>
    <w:rsid w:val="00916DA1"/>
    <w:rsid w:val="00917351"/>
    <w:rsid w:val="00917A7C"/>
    <w:rsid w:val="00917F35"/>
    <w:rsid w:val="0092007C"/>
    <w:rsid w:val="00920163"/>
    <w:rsid w:val="00920284"/>
    <w:rsid w:val="009202DD"/>
    <w:rsid w:val="00920727"/>
    <w:rsid w:val="00920C00"/>
    <w:rsid w:val="00920ED7"/>
    <w:rsid w:val="00921432"/>
    <w:rsid w:val="00921762"/>
    <w:rsid w:val="00921A9E"/>
    <w:rsid w:val="00921B8F"/>
    <w:rsid w:val="00921CED"/>
    <w:rsid w:val="0092225E"/>
    <w:rsid w:val="00922643"/>
    <w:rsid w:val="0092293A"/>
    <w:rsid w:val="00922999"/>
    <w:rsid w:val="00922ADD"/>
    <w:rsid w:val="00922BB7"/>
    <w:rsid w:val="00922C6B"/>
    <w:rsid w:val="00923B3B"/>
    <w:rsid w:val="00923DFA"/>
    <w:rsid w:val="00923E80"/>
    <w:rsid w:val="00923F72"/>
    <w:rsid w:val="00924233"/>
    <w:rsid w:val="009242F9"/>
    <w:rsid w:val="00924384"/>
    <w:rsid w:val="00924504"/>
    <w:rsid w:val="0092488B"/>
    <w:rsid w:val="00924A16"/>
    <w:rsid w:val="00924B50"/>
    <w:rsid w:val="00924E02"/>
    <w:rsid w:val="009250BF"/>
    <w:rsid w:val="009255A4"/>
    <w:rsid w:val="00925A44"/>
    <w:rsid w:val="00925D8E"/>
    <w:rsid w:val="009260F9"/>
    <w:rsid w:val="009262C6"/>
    <w:rsid w:val="00926E65"/>
    <w:rsid w:val="00926F0C"/>
    <w:rsid w:val="00926F25"/>
    <w:rsid w:val="00926F4F"/>
    <w:rsid w:val="0092719F"/>
    <w:rsid w:val="009271AA"/>
    <w:rsid w:val="0092758D"/>
    <w:rsid w:val="009276E4"/>
    <w:rsid w:val="00927949"/>
    <w:rsid w:val="00927BE0"/>
    <w:rsid w:val="00927FD1"/>
    <w:rsid w:val="00930497"/>
    <w:rsid w:val="0093051C"/>
    <w:rsid w:val="00930629"/>
    <w:rsid w:val="00930E3A"/>
    <w:rsid w:val="00930E3E"/>
    <w:rsid w:val="009312C3"/>
    <w:rsid w:val="009313E3"/>
    <w:rsid w:val="0093168F"/>
    <w:rsid w:val="0093184D"/>
    <w:rsid w:val="00931AF9"/>
    <w:rsid w:val="009320D7"/>
    <w:rsid w:val="009328A7"/>
    <w:rsid w:val="00932B04"/>
    <w:rsid w:val="00932BA8"/>
    <w:rsid w:val="00933503"/>
    <w:rsid w:val="00933813"/>
    <w:rsid w:val="00933915"/>
    <w:rsid w:val="00933ABE"/>
    <w:rsid w:val="00933BF7"/>
    <w:rsid w:val="00933DFA"/>
    <w:rsid w:val="00933F29"/>
    <w:rsid w:val="0093460D"/>
    <w:rsid w:val="0093471F"/>
    <w:rsid w:val="009347F4"/>
    <w:rsid w:val="0093486B"/>
    <w:rsid w:val="009349B9"/>
    <w:rsid w:val="00934C7B"/>
    <w:rsid w:val="00935247"/>
    <w:rsid w:val="0093535C"/>
    <w:rsid w:val="009356DD"/>
    <w:rsid w:val="00935AF7"/>
    <w:rsid w:val="00935C32"/>
    <w:rsid w:val="00935F0B"/>
    <w:rsid w:val="0093624E"/>
    <w:rsid w:val="0093638D"/>
    <w:rsid w:val="009364EB"/>
    <w:rsid w:val="00936702"/>
    <w:rsid w:val="00936BD1"/>
    <w:rsid w:val="00937136"/>
    <w:rsid w:val="00937571"/>
    <w:rsid w:val="0093786C"/>
    <w:rsid w:val="00937E02"/>
    <w:rsid w:val="00940022"/>
    <w:rsid w:val="009406C7"/>
    <w:rsid w:val="00940786"/>
    <w:rsid w:val="009407FD"/>
    <w:rsid w:val="009416D0"/>
    <w:rsid w:val="00941962"/>
    <w:rsid w:val="00941B33"/>
    <w:rsid w:val="00941C10"/>
    <w:rsid w:val="00941C3F"/>
    <w:rsid w:val="00941EF0"/>
    <w:rsid w:val="0094243C"/>
    <w:rsid w:val="00942482"/>
    <w:rsid w:val="009424FB"/>
    <w:rsid w:val="009426F3"/>
    <w:rsid w:val="00942BE1"/>
    <w:rsid w:val="00942FDF"/>
    <w:rsid w:val="0094374F"/>
    <w:rsid w:val="00943DB2"/>
    <w:rsid w:val="00943EDA"/>
    <w:rsid w:val="00944019"/>
    <w:rsid w:val="009441B5"/>
    <w:rsid w:val="00944472"/>
    <w:rsid w:val="00944AB1"/>
    <w:rsid w:val="00944F2E"/>
    <w:rsid w:val="00944F30"/>
    <w:rsid w:val="0094504C"/>
    <w:rsid w:val="00945E3E"/>
    <w:rsid w:val="00946345"/>
    <w:rsid w:val="009465C9"/>
    <w:rsid w:val="00946A3B"/>
    <w:rsid w:val="00946CCB"/>
    <w:rsid w:val="00946EBA"/>
    <w:rsid w:val="0094705C"/>
    <w:rsid w:val="00947571"/>
    <w:rsid w:val="009477AC"/>
    <w:rsid w:val="009479F7"/>
    <w:rsid w:val="00947A9D"/>
    <w:rsid w:val="00947B2F"/>
    <w:rsid w:val="009503BD"/>
    <w:rsid w:val="00950CD5"/>
    <w:rsid w:val="00951388"/>
    <w:rsid w:val="009520AD"/>
    <w:rsid w:val="0095216D"/>
    <w:rsid w:val="00952424"/>
    <w:rsid w:val="00952443"/>
    <w:rsid w:val="00952896"/>
    <w:rsid w:val="009529AE"/>
    <w:rsid w:val="00952A71"/>
    <w:rsid w:val="00952D31"/>
    <w:rsid w:val="0095325E"/>
    <w:rsid w:val="00953DDB"/>
    <w:rsid w:val="00953E29"/>
    <w:rsid w:val="00954055"/>
    <w:rsid w:val="00954151"/>
    <w:rsid w:val="00954603"/>
    <w:rsid w:val="00954957"/>
    <w:rsid w:val="00954A4F"/>
    <w:rsid w:val="009552CC"/>
    <w:rsid w:val="00955798"/>
    <w:rsid w:val="00955C3B"/>
    <w:rsid w:val="00955FB4"/>
    <w:rsid w:val="009565FA"/>
    <w:rsid w:val="00956967"/>
    <w:rsid w:val="00956A0B"/>
    <w:rsid w:val="00956CB2"/>
    <w:rsid w:val="009572B0"/>
    <w:rsid w:val="009573A1"/>
    <w:rsid w:val="00957475"/>
    <w:rsid w:val="009574C8"/>
    <w:rsid w:val="0095751C"/>
    <w:rsid w:val="00957AE8"/>
    <w:rsid w:val="00957F3C"/>
    <w:rsid w:val="0096023D"/>
    <w:rsid w:val="009607CB"/>
    <w:rsid w:val="00960A76"/>
    <w:rsid w:val="00960C6A"/>
    <w:rsid w:val="00960D4A"/>
    <w:rsid w:val="00960F3F"/>
    <w:rsid w:val="009611CD"/>
    <w:rsid w:val="009612E9"/>
    <w:rsid w:val="009613A4"/>
    <w:rsid w:val="009615E3"/>
    <w:rsid w:val="00961DAD"/>
    <w:rsid w:val="00961DEE"/>
    <w:rsid w:val="00961E18"/>
    <w:rsid w:val="009623EF"/>
    <w:rsid w:val="00962520"/>
    <w:rsid w:val="0096260C"/>
    <w:rsid w:val="00962A9C"/>
    <w:rsid w:val="00962C0D"/>
    <w:rsid w:val="00962CA5"/>
    <w:rsid w:val="00962E12"/>
    <w:rsid w:val="00962F92"/>
    <w:rsid w:val="00963207"/>
    <w:rsid w:val="009634B1"/>
    <w:rsid w:val="00963860"/>
    <w:rsid w:val="00963AE1"/>
    <w:rsid w:val="00963AF0"/>
    <w:rsid w:val="00963BE6"/>
    <w:rsid w:val="00963C7C"/>
    <w:rsid w:val="00964C51"/>
    <w:rsid w:val="00964D70"/>
    <w:rsid w:val="0096540C"/>
    <w:rsid w:val="009657C2"/>
    <w:rsid w:val="009667FE"/>
    <w:rsid w:val="0096699A"/>
    <w:rsid w:val="009669C2"/>
    <w:rsid w:val="00967457"/>
    <w:rsid w:val="00967BE7"/>
    <w:rsid w:val="00967D70"/>
    <w:rsid w:val="00967F91"/>
    <w:rsid w:val="0097018E"/>
    <w:rsid w:val="009701A3"/>
    <w:rsid w:val="009702FA"/>
    <w:rsid w:val="009705AA"/>
    <w:rsid w:val="00970719"/>
    <w:rsid w:val="00970766"/>
    <w:rsid w:val="0097111B"/>
    <w:rsid w:val="00971435"/>
    <w:rsid w:val="009716F3"/>
    <w:rsid w:val="0097179D"/>
    <w:rsid w:val="009717FB"/>
    <w:rsid w:val="009720C0"/>
    <w:rsid w:val="00972109"/>
    <w:rsid w:val="0097218F"/>
    <w:rsid w:val="00972368"/>
    <w:rsid w:val="00972644"/>
    <w:rsid w:val="00972690"/>
    <w:rsid w:val="00972CD9"/>
    <w:rsid w:val="00972E7A"/>
    <w:rsid w:val="0097306F"/>
    <w:rsid w:val="00973219"/>
    <w:rsid w:val="0097355E"/>
    <w:rsid w:val="0097390C"/>
    <w:rsid w:val="00973992"/>
    <w:rsid w:val="00973AE0"/>
    <w:rsid w:val="00973D06"/>
    <w:rsid w:val="00973DE9"/>
    <w:rsid w:val="0097409A"/>
    <w:rsid w:val="00974190"/>
    <w:rsid w:val="00974359"/>
    <w:rsid w:val="009745C9"/>
    <w:rsid w:val="0097492B"/>
    <w:rsid w:val="00974DF7"/>
    <w:rsid w:val="0097532A"/>
    <w:rsid w:val="009755B2"/>
    <w:rsid w:val="009757B8"/>
    <w:rsid w:val="00975976"/>
    <w:rsid w:val="00975A07"/>
    <w:rsid w:val="00975F95"/>
    <w:rsid w:val="0097630E"/>
    <w:rsid w:val="00976331"/>
    <w:rsid w:val="0097643F"/>
    <w:rsid w:val="0097686A"/>
    <w:rsid w:val="00976BF6"/>
    <w:rsid w:val="00976F05"/>
    <w:rsid w:val="00976F90"/>
    <w:rsid w:val="0097710E"/>
    <w:rsid w:val="0097731D"/>
    <w:rsid w:val="009776AA"/>
    <w:rsid w:val="00977710"/>
    <w:rsid w:val="00977AB8"/>
    <w:rsid w:val="00977BF2"/>
    <w:rsid w:val="0098001D"/>
    <w:rsid w:val="0098075C"/>
    <w:rsid w:val="00980D7C"/>
    <w:rsid w:val="00980D83"/>
    <w:rsid w:val="009812F7"/>
    <w:rsid w:val="009813F8"/>
    <w:rsid w:val="00981637"/>
    <w:rsid w:val="009818C5"/>
    <w:rsid w:val="0098196E"/>
    <w:rsid w:val="00981F0A"/>
    <w:rsid w:val="009821F1"/>
    <w:rsid w:val="009823E2"/>
    <w:rsid w:val="0098245F"/>
    <w:rsid w:val="00982615"/>
    <w:rsid w:val="00982A99"/>
    <w:rsid w:val="00983054"/>
    <w:rsid w:val="009837F7"/>
    <w:rsid w:val="00983C4D"/>
    <w:rsid w:val="009847F3"/>
    <w:rsid w:val="009848AA"/>
    <w:rsid w:val="00984C54"/>
    <w:rsid w:val="00984E87"/>
    <w:rsid w:val="00984F29"/>
    <w:rsid w:val="0098543C"/>
    <w:rsid w:val="0098581B"/>
    <w:rsid w:val="009858FF"/>
    <w:rsid w:val="0098592E"/>
    <w:rsid w:val="00985A33"/>
    <w:rsid w:val="0098623F"/>
    <w:rsid w:val="00986326"/>
    <w:rsid w:val="009866CB"/>
    <w:rsid w:val="00986A03"/>
    <w:rsid w:val="00986B73"/>
    <w:rsid w:val="00986C82"/>
    <w:rsid w:val="00986DF7"/>
    <w:rsid w:val="00986FF0"/>
    <w:rsid w:val="009870F2"/>
    <w:rsid w:val="00987492"/>
    <w:rsid w:val="009874E5"/>
    <w:rsid w:val="0098786B"/>
    <w:rsid w:val="00987881"/>
    <w:rsid w:val="009878D1"/>
    <w:rsid w:val="009902E5"/>
    <w:rsid w:val="0099063B"/>
    <w:rsid w:val="00990686"/>
    <w:rsid w:val="00990FAA"/>
    <w:rsid w:val="00991108"/>
    <w:rsid w:val="00991235"/>
    <w:rsid w:val="0099126E"/>
    <w:rsid w:val="0099188D"/>
    <w:rsid w:val="00991E55"/>
    <w:rsid w:val="0099271A"/>
    <w:rsid w:val="009929BF"/>
    <w:rsid w:val="00992E24"/>
    <w:rsid w:val="00992F4A"/>
    <w:rsid w:val="009934C7"/>
    <w:rsid w:val="009936F4"/>
    <w:rsid w:val="0099371E"/>
    <w:rsid w:val="00993A09"/>
    <w:rsid w:val="00993C78"/>
    <w:rsid w:val="009941BB"/>
    <w:rsid w:val="00994761"/>
    <w:rsid w:val="00994A0F"/>
    <w:rsid w:val="00994A15"/>
    <w:rsid w:val="00994EB3"/>
    <w:rsid w:val="009950E3"/>
    <w:rsid w:val="009952E5"/>
    <w:rsid w:val="00995339"/>
    <w:rsid w:val="009954FD"/>
    <w:rsid w:val="00995D4B"/>
    <w:rsid w:val="0099682D"/>
    <w:rsid w:val="00996D0D"/>
    <w:rsid w:val="0099727B"/>
    <w:rsid w:val="0099750A"/>
    <w:rsid w:val="00997BF7"/>
    <w:rsid w:val="00997C6B"/>
    <w:rsid w:val="00997C8B"/>
    <w:rsid w:val="00997C92"/>
    <w:rsid w:val="00997E58"/>
    <w:rsid w:val="00997FE1"/>
    <w:rsid w:val="009A02B4"/>
    <w:rsid w:val="009A05CD"/>
    <w:rsid w:val="009A05E8"/>
    <w:rsid w:val="009A090D"/>
    <w:rsid w:val="009A0ADB"/>
    <w:rsid w:val="009A11C8"/>
    <w:rsid w:val="009A1CF9"/>
    <w:rsid w:val="009A1D12"/>
    <w:rsid w:val="009A22E5"/>
    <w:rsid w:val="009A25E1"/>
    <w:rsid w:val="009A2650"/>
    <w:rsid w:val="009A26E2"/>
    <w:rsid w:val="009A274F"/>
    <w:rsid w:val="009A280B"/>
    <w:rsid w:val="009A30FA"/>
    <w:rsid w:val="009A3250"/>
    <w:rsid w:val="009A367E"/>
    <w:rsid w:val="009A38B3"/>
    <w:rsid w:val="009A3A92"/>
    <w:rsid w:val="009A3FFD"/>
    <w:rsid w:val="009A46E0"/>
    <w:rsid w:val="009A49F1"/>
    <w:rsid w:val="009A4A2F"/>
    <w:rsid w:val="009A4A45"/>
    <w:rsid w:val="009A4E28"/>
    <w:rsid w:val="009A5AD2"/>
    <w:rsid w:val="009A60E5"/>
    <w:rsid w:val="009A6177"/>
    <w:rsid w:val="009A63DD"/>
    <w:rsid w:val="009A6550"/>
    <w:rsid w:val="009A677E"/>
    <w:rsid w:val="009A6A46"/>
    <w:rsid w:val="009A6AE1"/>
    <w:rsid w:val="009A6B54"/>
    <w:rsid w:val="009A6C29"/>
    <w:rsid w:val="009A6D72"/>
    <w:rsid w:val="009A6E83"/>
    <w:rsid w:val="009A6F63"/>
    <w:rsid w:val="009A6F77"/>
    <w:rsid w:val="009A709A"/>
    <w:rsid w:val="009A70B0"/>
    <w:rsid w:val="009A7138"/>
    <w:rsid w:val="009A7257"/>
    <w:rsid w:val="009A77BB"/>
    <w:rsid w:val="009A7A0C"/>
    <w:rsid w:val="009B0186"/>
    <w:rsid w:val="009B04C6"/>
    <w:rsid w:val="009B0743"/>
    <w:rsid w:val="009B0814"/>
    <w:rsid w:val="009B08B3"/>
    <w:rsid w:val="009B0A9A"/>
    <w:rsid w:val="009B106F"/>
    <w:rsid w:val="009B1B3F"/>
    <w:rsid w:val="009B1F90"/>
    <w:rsid w:val="009B2289"/>
    <w:rsid w:val="009B230D"/>
    <w:rsid w:val="009B234E"/>
    <w:rsid w:val="009B23F8"/>
    <w:rsid w:val="009B27E6"/>
    <w:rsid w:val="009B2EF3"/>
    <w:rsid w:val="009B3F46"/>
    <w:rsid w:val="009B5401"/>
    <w:rsid w:val="009B576F"/>
    <w:rsid w:val="009B58AC"/>
    <w:rsid w:val="009B62E3"/>
    <w:rsid w:val="009B6549"/>
    <w:rsid w:val="009B67D1"/>
    <w:rsid w:val="009B6A03"/>
    <w:rsid w:val="009B6A54"/>
    <w:rsid w:val="009B70C0"/>
    <w:rsid w:val="009B7856"/>
    <w:rsid w:val="009B7A7D"/>
    <w:rsid w:val="009B7B83"/>
    <w:rsid w:val="009B7C4E"/>
    <w:rsid w:val="009B7EBE"/>
    <w:rsid w:val="009C0040"/>
    <w:rsid w:val="009C0180"/>
    <w:rsid w:val="009C026B"/>
    <w:rsid w:val="009C02E8"/>
    <w:rsid w:val="009C0434"/>
    <w:rsid w:val="009C08DE"/>
    <w:rsid w:val="009C0915"/>
    <w:rsid w:val="009C0AA3"/>
    <w:rsid w:val="009C1089"/>
    <w:rsid w:val="009C1377"/>
    <w:rsid w:val="009C1581"/>
    <w:rsid w:val="009C17AB"/>
    <w:rsid w:val="009C18B9"/>
    <w:rsid w:val="009C1995"/>
    <w:rsid w:val="009C1AEC"/>
    <w:rsid w:val="009C3294"/>
    <w:rsid w:val="009C34C8"/>
    <w:rsid w:val="009C36D7"/>
    <w:rsid w:val="009C3722"/>
    <w:rsid w:val="009C43AE"/>
    <w:rsid w:val="009C4506"/>
    <w:rsid w:val="009C4550"/>
    <w:rsid w:val="009C4EC5"/>
    <w:rsid w:val="009C4ED2"/>
    <w:rsid w:val="009C4EF5"/>
    <w:rsid w:val="009C5B27"/>
    <w:rsid w:val="009C5CD7"/>
    <w:rsid w:val="009C5D2E"/>
    <w:rsid w:val="009C5E44"/>
    <w:rsid w:val="009C5EFF"/>
    <w:rsid w:val="009C60D6"/>
    <w:rsid w:val="009C611F"/>
    <w:rsid w:val="009C623B"/>
    <w:rsid w:val="009C640F"/>
    <w:rsid w:val="009C6703"/>
    <w:rsid w:val="009C672F"/>
    <w:rsid w:val="009C6953"/>
    <w:rsid w:val="009C6F88"/>
    <w:rsid w:val="009C7477"/>
    <w:rsid w:val="009C78AD"/>
    <w:rsid w:val="009C7ADD"/>
    <w:rsid w:val="009D03E3"/>
    <w:rsid w:val="009D05EB"/>
    <w:rsid w:val="009D06B4"/>
    <w:rsid w:val="009D0F31"/>
    <w:rsid w:val="009D1633"/>
    <w:rsid w:val="009D16D1"/>
    <w:rsid w:val="009D1715"/>
    <w:rsid w:val="009D1976"/>
    <w:rsid w:val="009D19F8"/>
    <w:rsid w:val="009D1A98"/>
    <w:rsid w:val="009D21B8"/>
    <w:rsid w:val="009D2947"/>
    <w:rsid w:val="009D2A60"/>
    <w:rsid w:val="009D2B6A"/>
    <w:rsid w:val="009D2EBA"/>
    <w:rsid w:val="009D2F53"/>
    <w:rsid w:val="009D3124"/>
    <w:rsid w:val="009D355A"/>
    <w:rsid w:val="009D35D3"/>
    <w:rsid w:val="009D4041"/>
    <w:rsid w:val="009D40D2"/>
    <w:rsid w:val="009D4495"/>
    <w:rsid w:val="009D44EB"/>
    <w:rsid w:val="009D4524"/>
    <w:rsid w:val="009D4782"/>
    <w:rsid w:val="009D48E9"/>
    <w:rsid w:val="009D4FE0"/>
    <w:rsid w:val="009D5817"/>
    <w:rsid w:val="009D5834"/>
    <w:rsid w:val="009D5839"/>
    <w:rsid w:val="009D5B98"/>
    <w:rsid w:val="009D5BFD"/>
    <w:rsid w:val="009D6138"/>
    <w:rsid w:val="009D63CA"/>
    <w:rsid w:val="009D66A1"/>
    <w:rsid w:val="009D6830"/>
    <w:rsid w:val="009D6B05"/>
    <w:rsid w:val="009D73DD"/>
    <w:rsid w:val="009D7739"/>
    <w:rsid w:val="009D7835"/>
    <w:rsid w:val="009D7836"/>
    <w:rsid w:val="009D7E34"/>
    <w:rsid w:val="009E0288"/>
    <w:rsid w:val="009E0502"/>
    <w:rsid w:val="009E1B0A"/>
    <w:rsid w:val="009E1E3C"/>
    <w:rsid w:val="009E252F"/>
    <w:rsid w:val="009E2CF8"/>
    <w:rsid w:val="009E2FD2"/>
    <w:rsid w:val="009E32C2"/>
    <w:rsid w:val="009E358C"/>
    <w:rsid w:val="009E3700"/>
    <w:rsid w:val="009E3795"/>
    <w:rsid w:val="009E39A1"/>
    <w:rsid w:val="009E3B49"/>
    <w:rsid w:val="009E3C37"/>
    <w:rsid w:val="009E427D"/>
    <w:rsid w:val="009E4487"/>
    <w:rsid w:val="009E4601"/>
    <w:rsid w:val="009E46B1"/>
    <w:rsid w:val="009E4AE3"/>
    <w:rsid w:val="009E4B5C"/>
    <w:rsid w:val="009E52C5"/>
    <w:rsid w:val="009E57B9"/>
    <w:rsid w:val="009E5891"/>
    <w:rsid w:val="009E5B2F"/>
    <w:rsid w:val="009E5B7E"/>
    <w:rsid w:val="009E5C74"/>
    <w:rsid w:val="009E5EF1"/>
    <w:rsid w:val="009E5EFA"/>
    <w:rsid w:val="009E62B9"/>
    <w:rsid w:val="009E6442"/>
    <w:rsid w:val="009E6482"/>
    <w:rsid w:val="009E6653"/>
    <w:rsid w:val="009E69FC"/>
    <w:rsid w:val="009E6C1E"/>
    <w:rsid w:val="009E6E0A"/>
    <w:rsid w:val="009E6EEE"/>
    <w:rsid w:val="009E6F18"/>
    <w:rsid w:val="009E72A8"/>
    <w:rsid w:val="009E7480"/>
    <w:rsid w:val="009E7998"/>
    <w:rsid w:val="009E7A62"/>
    <w:rsid w:val="009E7F7F"/>
    <w:rsid w:val="009F0786"/>
    <w:rsid w:val="009F0BC7"/>
    <w:rsid w:val="009F101D"/>
    <w:rsid w:val="009F1295"/>
    <w:rsid w:val="009F1366"/>
    <w:rsid w:val="009F1C70"/>
    <w:rsid w:val="009F1CBA"/>
    <w:rsid w:val="009F1F02"/>
    <w:rsid w:val="009F23C6"/>
    <w:rsid w:val="009F26A8"/>
    <w:rsid w:val="009F2880"/>
    <w:rsid w:val="009F28C3"/>
    <w:rsid w:val="009F28D6"/>
    <w:rsid w:val="009F2A8F"/>
    <w:rsid w:val="009F2BFE"/>
    <w:rsid w:val="009F2C0B"/>
    <w:rsid w:val="009F2C16"/>
    <w:rsid w:val="009F2CDD"/>
    <w:rsid w:val="009F2DBE"/>
    <w:rsid w:val="009F2E3F"/>
    <w:rsid w:val="009F2E8D"/>
    <w:rsid w:val="009F324D"/>
    <w:rsid w:val="009F351F"/>
    <w:rsid w:val="009F36BD"/>
    <w:rsid w:val="009F3D3D"/>
    <w:rsid w:val="009F3DC7"/>
    <w:rsid w:val="009F427B"/>
    <w:rsid w:val="009F4549"/>
    <w:rsid w:val="009F4FB9"/>
    <w:rsid w:val="009F5085"/>
    <w:rsid w:val="009F5A4E"/>
    <w:rsid w:val="009F5AC5"/>
    <w:rsid w:val="009F5F89"/>
    <w:rsid w:val="009F61A5"/>
    <w:rsid w:val="009F6209"/>
    <w:rsid w:val="009F6E19"/>
    <w:rsid w:val="009F6FE1"/>
    <w:rsid w:val="009F7211"/>
    <w:rsid w:val="009F73AA"/>
    <w:rsid w:val="009F7E65"/>
    <w:rsid w:val="00A0044B"/>
    <w:rsid w:val="00A0094F"/>
    <w:rsid w:val="00A00A3E"/>
    <w:rsid w:val="00A00B72"/>
    <w:rsid w:val="00A010DD"/>
    <w:rsid w:val="00A0153B"/>
    <w:rsid w:val="00A016CF"/>
    <w:rsid w:val="00A02C85"/>
    <w:rsid w:val="00A02D0F"/>
    <w:rsid w:val="00A02DDD"/>
    <w:rsid w:val="00A030EF"/>
    <w:rsid w:val="00A03260"/>
    <w:rsid w:val="00A03351"/>
    <w:rsid w:val="00A033DF"/>
    <w:rsid w:val="00A03A11"/>
    <w:rsid w:val="00A03A90"/>
    <w:rsid w:val="00A03D78"/>
    <w:rsid w:val="00A03DF6"/>
    <w:rsid w:val="00A041D8"/>
    <w:rsid w:val="00A04660"/>
    <w:rsid w:val="00A0486E"/>
    <w:rsid w:val="00A051CF"/>
    <w:rsid w:val="00A05239"/>
    <w:rsid w:val="00A055DD"/>
    <w:rsid w:val="00A05B43"/>
    <w:rsid w:val="00A06350"/>
    <w:rsid w:val="00A06475"/>
    <w:rsid w:val="00A064AC"/>
    <w:rsid w:val="00A065EB"/>
    <w:rsid w:val="00A06D06"/>
    <w:rsid w:val="00A075FD"/>
    <w:rsid w:val="00A077CA"/>
    <w:rsid w:val="00A07B80"/>
    <w:rsid w:val="00A07E5A"/>
    <w:rsid w:val="00A10418"/>
    <w:rsid w:val="00A10696"/>
    <w:rsid w:val="00A106E3"/>
    <w:rsid w:val="00A107FF"/>
    <w:rsid w:val="00A10877"/>
    <w:rsid w:val="00A10ACC"/>
    <w:rsid w:val="00A10CCB"/>
    <w:rsid w:val="00A11170"/>
    <w:rsid w:val="00A1166E"/>
    <w:rsid w:val="00A11693"/>
    <w:rsid w:val="00A1170B"/>
    <w:rsid w:val="00A1176E"/>
    <w:rsid w:val="00A11933"/>
    <w:rsid w:val="00A11A69"/>
    <w:rsid w:val="00A11D15"/>
    <w:rsid w:val="00A122EA"/>
    <w:rsid w:val="00A122EC"/>
    <w:rsid w:val="00A12303"/>
    <w:rsid w:val="00A123F8"/>
    <w:rsid w:val="00A12710"/>
    <w:rsid w:val="00A12B9C"/>
    <w:rsid w:val="00A12DA4"/>
    <w:rsid w:val="00A12E02"/>
    <w:rsid w:val="00A12E7E"/>
    <w:rsid w:val="00A12EE5"/>
    <w:rsid w:val="00A13124"/>
    <w:rsid w:val="00A13148"/>
    <w:rsid w:val="00A13193"/>
    <w:rsid w:val="00A131E7"/>
    <w:rsid w:val="00A13381"/>
    <w:rsid w:val="00A1338F"/>
    <w:rsid w:val="00A13566"/>
    <w:rsid w:val="00A13E15"/>
    <w:rsid w:val="00A13FC8"/>
    <w:rsid w:val="00A140C8"/>
    <w:rsid w:val="00A140E1"/>
    <w:rsid w:val="00A14173"/>
    <w:rsid w:val="00A14309"/>
    <w:rsid w:val="00A1432C"/>
    <w:rsid w:val="00A14748"/>
    <w:rsid w:val="00A154A8"/>
    <w:rsid w:val="00A15BAD"/>
    <w:rsid w:val="00A15E12"/>
    <w:rsid w:val="00A15F2E"/>
    <w:rsid w:val="00A16119"/>
    <w:rsid w:val="00A163FF"/>
    <w:rsid w:val="00A16855"/>
    <w:rsid w:val="00A17099"/>
    <w:rsid w:val="00A171BD"/>
    <w:rsid w:val="00A17229"/>
    <w:rsid w:val="00A17401"/>
    <w:rsid w:val="00A174C2"/>
    <w:rsid w:val="00A17572"/>
    <w:rsid w:val="00A1799F"/>
    <w:rsid w:val="00A179CD"/>
    <w:rsid w:val="00A17F33"/>
    <w:rsid w:val="00A20041"/>
    <w:rsid w:val="00A200D4"/>
    <w:rsid w:val="00A204FE"/>
    <w:rsid w:val="00A2053E"/>
    <w:rsid w:val="00A208CA"/>
    <w:rsid w:val="00A20AEE"/>
    <w:rsid w:val="00A218B4"/>
    <w:rsid w:val="00A21CAD"/>
    <w:rsid w:val="00A21F07"/>
    <w:rsid w:val="00A220B2"/>
    <w:rsid w:val="00A225D4"/>
    <w:rsid w:val="00A23060"/>
    <w:rsid w:val="00A230B2"/>
    <w:rsid w:val="00A23D69"/>
    <w:rsid w:val="00A23E13"/>
    <w:rsid w:val="00A23F79"/>
    <w:rsid w:val="00A2423A"/>
    <w:rsid w:val="00A24972"/>
    <w:rsid w:val="00A24A1E"/>
    <w:rsid w:val="00A24BBF"/>
    <w:rsid w:val="00A24FA4"/>
    <w:rsid w:val="00A2539D"/>
    <w:rsid w:val="00A254E9"/>
    <w:rsid w:val="00A258C2"/>
    <w:rsid w:val="00A25B2C"/>
    <w:rsid w:val="00A25B5A"/>
    <w:rsid w:val="00A25C52"/>
    <w:rsid w:val="00A25D2C"/>
    <w:rsid w:val="00A2607A"/>
    <w:rsid w:val="00A267D2"/>
    <w:rsid w:val="00A2683B"/>
    <w:rsid w:val="00A26B6C"/>
    <w:rsid w:val="00A26CA2"/>
    <w:rsid w:val="00A26FF2"/>
    <w:rsid w:val="00A274FA"/>
    <w:rsid w:val="00A3018E"/>
    <w:rsid w:val="00A301A5"/>
    <w:rsid w:val="00A301AF"/>
    <w:rsid w:val="00A30302"/>
    <w:rsid w:val="00A30444"/>
    <w:rsid w:val="00A30627"/>
    <w:rsid w:val="00A3091A"/>
    <w:rsid w:val="00A30CE5"/>
    <w:rsid w:val="00A30D83"/>
    <w:rsid w:val="00A30E64"/>
    <w:rsid w:val="00A312A7"/>
    <w:rsid w:val="00A3144C"/>
    <w:rsid w:val="00A31522"/>
    <w:rsid w:val="00A3159F"/>
    <w:rsid w:val="00A31920"/>
    <w:rsid w:val="00A31AAA"/>
    <w:rsid w:val="00A31E85"/>
    <w:rsid w:val="00A3204A"/>
    <w:rsid w:val="00A32199"/>
    <w:rsid w:val="00A323E8"/>
    <w:rsid w:val="00A324BD"/>
    <w:rsid w:val="00A32E09"/>
    <w:rsid w:val="00A3352B"/>
    <w:rsid w:val="00A3376E"/>
    <w:rsid w:val="00A33878"/>
    <w:rsid w:val="00A338EF"/>
    <w:rsid w:val="00A33AF0"/>
    <w:rsid w:val="00A341BD"/>
    <w:rsid w:val="00A34259"/>
    <w:rsid w:val="00A3467E"/>
    <w:rsid w:val="00A3475A"/>
    <w:rsid w:val="00A348FE"/>
    <w:rsid w:val="00A34A3A"/>
    <w:rsid w:val="00A34B46"/>
    <w:rsid w:val="00A34E6D"/>
    <w:rsid w:val="00A34EE8"/>
    <w:rsid w:val="00A34F18"/>
    <w:rsid w:val="00A35164"/>
    <w:rsid w:val="00A3557E"/>
    <w:rsid w:val="00A355EF"/>
    <w:rsid w:val="00A358B3"/>
    <w:rsid w:val="00A35A8B"/>
    <w:rsid w:val="00A35CF2"/>
    <w:rsid w:val="00A35D3F"/>
    <w:rsid w:val="00A35DE1"/>
    <w:rsid w:val="00A35FEC"/>
    <w:rsid w:val="00A36078"/>
    <w:rsid w:val="00A3609B"/>
    <w:rsid w:val="00A36286"/>
    <w:rsid w:val="00A36288"/>
    <w:rsid w:val="00A36349"/>
    <w:rsid w:val="00A36486"/>
    <w:rsid w:val="00A364B8"/>
    <w:rsid w:val="00A366AC"/>
    <w:rsid w:val="00A36875"/>
    <w:rsid w:val="00A36A38"/>
    <w:rsid w:val="00A36C9D"/>
    <w:rsid w:val="00A36D2E"/>
    <w:rsid w:val="00A37132"/>
    <w:rsid w:val="00A376E3"/>
    <w:rsid w:val="00A377EA"/>
    <w:rsid w:val="00A37B80"/>
    <w:rsid w:val="00A37C1D"/>
    <w:rsid w:val="00A37F6F"/>
    <w:rsid w:val="00A40346"/>
    <w:rsid w:val="00A405CF"/>
    <w:rsid w:val="00A406A3"/>
    <w:rsid w:val="00A40A9B"/>
    <w:rsid w:val="00A40C92"/>
    <w:rsid w:val="00A40D65"/>
    <w:rsid w:val="00A40EC3"/>
    <w:rsid w:val="00A41AE7"/>
    <w:rsid w:val="00A41C82"/>
    <w:rsid w:val="00A41CA7"/>
    <w:rsid w:val="00A41F52"/>
    <w:rsid w:val="00A420D8"/>
    <w:rsid w:val="00A427A2"/>
    <w:rsid w:val="00A428F8"/>
    <w:rsid w:val="00A429FC"/>
    <w:rsid w:val="00A42A42"/>
    <w:rsid w:val="00A42BD7"/>
    <w:rsid w:val="00A43288"/>
    <w:rsid w:val="00A4346C"/>
    <w:rsid w:val="00A4361E"/>
    <w:rsid w:val="00A43895"/>
    <w:rsid w:val="00A43898"/>
    <w:rsid w:val="00A43B63"/>
    <w:rsid w:val="00A43BAA"/>
    <w:rsid w:val="00A449A4"/>
    <w:rsid w:val="00A44AAE"/>
    <w:rsid w:val="00A44AD2"/>
    <w:rsid w:val="00A45AD1"/>
    <w:rsid w:val="00A45EA0"/>
    <w:rsid w:val="00A464B5"/>
    <w:rsid w:val="00A46C40"/>
    <w:rsid w:val="00A46C4C"/>
    <w:rsid w:val="00A477FB"/>
    <w:rsid w:val="00A47866"/>
    <w:rsid w:val="00A479E3"/>
    <w:rsid w:val="00A47B6D"/>
    <w:rsid w:val="00A47F8D"/>
    <w:rsid w:val="00A50679"/>
    <w:rsid w:val="00A506E6"/>
    <w:rsid w:val="00A50722"/>
    <w:rsid w:val="00A50912"/>
    <w:rsid w:val="00A50BE3"/>
    <w:rsid w:val="00A50DE1"/>
    <w:rsid w:val="00A5146E"/>
    <w:rsid w:val="00A515AA"/>
    <w:rsid w:val="00A516F5"/>
    <w:rsid w:val="00A51FF4"/>
    <w:rsid w:val="00A522BC"/>
    <w:rsid w:val="00A5298C"/>
    <w:rsid w:val="00A52B20"/>
    <w:rsid w:val="00A52BEA"/>
    <w:rsid w:val="00A52FA5"/>
    <w:rsid w:val="00A5308B"/>
    <w:rsid w:val="00A53212"/>
    <w:rsid w:val="00A53288"/>
    <w:rsid w:val="00A5328C"/>
    <w:rsid w:val="00A538C9"/>
    <w:rsid w:val="00A539D5"/>
    <w:rsid w:val="00A54317"/>
    <w:rsid w:val="00A5450C"/>
    <w:rsid w:val="00A546E7"/>
    <w:rsid w:val="00A54CAE"/>
    <w:rsid w:val="00A54E58"/>
    <w:rsid w:val="00A55127"/>
    <w:rsid w:val="00A55135"/>
    <w:rsid w:val="00A552EB"/>
    <w:rsid w:val="00A5582A"/>
    <w:rsid w:val="00A5586C"/>
    <w:rsid w:val="00A558F0"/>
    <w:rsid w:val="00A55A6A"/>
    <w:rsid w:val="00A55C9F"/>
    <w:rsid w:val="00A560A5"/>
    <w:rsid w:val="00A560F7"/>
    <w:rsid w:val="00A56850"/>
    <w:rsid w:val="00A569FA"/>
    <w:rsid w:val="00A56EDB"/>
    <w:rsid w:val="00A57515"/>
    <w:rsid w:val="00A57608"/>
    <w:rsid w:val="00A5794C"/>
    <w:rsid w:val="00A57AFB"/>
    <w:rsid w:val="00A57CE4"/>
    <w:rsid w:val="00A57D86"/>
    <w:rsid w:val="00A57FD1"/>
    <w:rsid w:val="00A6017B"/>
    <w:rsid w:val="00A601DF"/>
    <w:rsid w:val="00A601F4"/>
    <w:rsid w:val="00A6036B"/>
    <w:rsid w:val="00A60397"/>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B8"/>
    <w:rsid w:val="00A63529"/>
    <w:rsid w:val="00A6362D"/>
    <w:rsid w:val="00A63639"/>
    <w:rsid w:val="00A6388D"/>
    <w:rsid w:val="00A64256"/>
    <w:rsid w:val="00A64343"/>
    <w:rsid w:val="00A6464B"/>
    <w:rsid w:val="00A6470E"/>
    <w:rsid w:val="00A649DB"/>
    <w:rsid w:val="00A64ADC"/>
    <w:rsid w:val="00A651AB"/>
    <w:rsid w:val="00A6529A"/>
    <w:rsid w:val="00A65B40"/>
    <w:rsid w:val="00A65BC9"/>
    <w:rsid w:val="00A6616D"/>
    <w:rsid w:val="00A6629F"/>
    <w:rsid w:val="00A66353"/>
    <w:rsid w:val="00A6646D"/>
    <w:rsid w:val="00A66577"/>
    <w:rsid w:val="00A665D8"/>
    <w:rsid w:val="00A665F2"/>
    <w:rsid w:val="00A667D7"/>
    <w:rsid w:val="00A6683A"/>
    <w:rsid w:val="00A6688B"/>
    <w:rsid w:val="00A668A2"/>
    <w:rsid w:val="00A66A69"/>
    <w:rsid w:val="00A66DC5"/>
    <w:rsid w:val="00A66E65"/>
    <w:rsid w:val="00A66FCD"/>
    <w:rsid w:val="00A6742E"/>
    <w:rsid w:val="00A678B6"/>
    <w:rsid w:val="00A679DA"/>
    <w:rsid w:val="00A67C08"/>
    <w:rsid w:val="00A67C23"/>
    <w:rsid w:val="00A67CC1"/>
    <w:rsid w:val="00A67D94"/>
    <w:rsid w:val="00A7007F"/>
    <w:rsid w:val="00A70A6E"/>
    <w:rsid w:val="00A70D2B"/>
    <w:rsid w:val="00A70DD2"/>
    <w:rsid w:val="00A70E64"/>
    <w:rsid w:val="00A71602"/>
    <w:rsid w:val="00A719E0"/>
    <w:rsid w:val="00A71A04"/>
    <w:rsid w:val="00A71D26"/>
    <w:rsid w:val="00A71E5F"/>
    <w:rsid w:val="00A722F9"/>
    <w:rsid w:val="00A72430"/>
    <w:rsid w:val="00A72516"/>
    <w:rsid w:val="00A72AE0"/>
    <w:rsid w:val="00A72EFF"/>
    <w:rsid w:val="00A734E9"/>
    <w:rsid w:val="00A73E02"/>
    <w:rsid w:val="00A73EB1"/>
    <w:rsid w:val="00A73FDB"/>
    <w:rsid w:val="00A74653"/>
    <w:rsid w:val="00A7469E"/>
    <w:rsid w:val="00A747A5"/>
    <w:rsid w:val="00A748D8"/>
    <w:rsid w:val="00A750BA"/>
    <w:rsid w:val="00A752CE"/>
    <w:rsid w:val="00A75344"/>
    <w:rsid w:val="00A75404"/>
    <w:rsid w:val="00A757C5"/>
    <w:rsid w:val="00A75A8B"/>
    <w:rsid w:val="00A7636D"/>
    <w:rsid w:val="00A7690B"/>
    <w:rsid w:val="00A76D29"/>
    <w:rsid w:val="00A76FCB"/>
    <w:rsid w:val="00A778F2"/>
    <w:rsid w:val="00A779D0"/>
    <w:rsid w:val="00A77B19"/>
    <w:rsid w:val="00A77F1C"/>
    <w:rsid w:val="00A800AE"/>
    <w:rsid w:val="00A8050F"/>
    <w:rsid w:val="00A80747"/>
    <w:rsid w:val="00A807F2"/>
    <w:rsid w:val="00A80990"/>
    <w:rsid w:val="00A80E81"/>
    <w:rsid w:val="00A814D3"/>
    <w:rsid w:val="00A8150A"/>
    <w:rsid w:val="00A81AB4"/>
    <w:rsid w:val="00A81EF6"/>
    <w:rsid w:val="00A826FB"/>
    <w:rsid w:val="00A8299E"/>
    <w:rsid w:val="00A82A0C"/>
    <w:rsid w:val="00A83222"/>
    <w:rsid w:val="00A83421"/>
    <w:rsid w:val="00A8356D"/>
    <w:rsid w:val="00A838FB"/>
    <w:rsid w:val="00A83941"/>
    <w:rsid w:val="00A83A98"/>
    <w:rsid w:val="00A83C01"/>
    <w:rsid w:val="00A83C1F"/>
    <w:rsid w:val="00A84013"/>
    <w:rsid w:val="00A840E1"/>
    <w:rsid w:val="00A84290"/>
    <w:rsid w:val="00A84681"/>
    <w:rsid w:val="00A84721"/>
    <w:rsid w:val="00A84884"/>
    <w:rsid w:val="00A84C0F"/>
    <w:rsid w:val="00A854D3"/>
    <w:rsid w:val="00A85598"/>
    <w:rsid w:val="00A855D4"/>
    <w:rsid w:val="00A856DB"/>
    <w:rsid w:val="00A85719"/>
    <w:rsid w:val="00A85BAA"/>
    <w:rsid w:val="00A85DBD"/>
    <w:rsid w:val="00A85FA0"/>
    <w:rsid w:val="00A85FB8"/>
    <w:rsid w:val="00A8646E"/>
    <w:rsid w:val="00A866B9"/>
    <w:rsid w:val="00A86EC0"/>
    <w:rsid w:val="00A86FD5"/>
    <w:rsid w:val="00A87A38"/>
    <w:rsid w:val="00A87BB6"/>
    <w:rsid w:val="00A87C4B"/>
    <w:rsid w:val="00A87CAA"/>
    <w:rsid w:val="00A87E2B"/>
    <w:rsid w:val="00A901B7"/>
    <w:rsid w:val="00A90431"/>
    <w:rsid w:val="00A90436"/>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EF0"/>
    <w:rsid w:val="00A93059"/>
    <w:rsid w:val="00A931D6"/>
    <w:rsid w:val="00A935E8"/>
    <w:rsid w:val="00A93BCE"/>
    <w:rsid w:val="00A942A2"/>
    <w:rsid w:val="00A9440E"/>
    <w:rsid w:val="00A947C9"/>
    <w:rsid w:val="00A94834"/>
    <w:rsid w:val="00A94B57"/>
    <w:rsid w:val="00A94D84"/>
    <w:rsid w:val="00A9523A"/>
    <w:rsid w:val="00A95713"/>
    <w:rsid w:val="00A95C9C"/>
    <w:rsid w:val="00A96685"/>
    <w:rsid w:val="00A969FB"/>
    <w:rsid w:val="00A9752A"/>
    <w:rsid w:val="00A97615"/>
    <w:rsid w:val="00A9780A"/>
    <w:rsid w:val="00A979E2"/>
    <w:rsid w:val="00A97BEB"/>
    <w:rsid w:val="00A97C6D"/>
    <w:rsid w:val="00A97CCD"/>
    <w:rsid w:val="00A97E3D"/>
    <w:rsid w:val="00A97FBD"/>
    <w:rsid w:val="00AA0198"/>
    <w:rsid w:val="00AA0832"/>
    <w:rsid w:val="00AA0964"/>
    <w:rsid w:val="00AA0F1C"/>
    <w:rsid w:val="00AA1149"/>
    <w:rsid w:val="00AA14D3"/>
    <w:rsid w:val="00AA187B"/>
    <w:rsid w:val="00AA1A7B"/>
    <w:rsid w:val="00AA1C59"/>
    <w:rsid w:val="00AA1DD7"/>
    <w:rsid w:val="00AA1E3A"/>
    <w:rsid w:val="00AA1E40"/>
    <w:rsid w:val="00AA1F14"/>
    <w:rsid w:val="00AA1F7B"/>
    <w:rsid w:val="00AA2041"/>
    <w:rsid w:val="00AA228E"/>
    <w:rsid w:val="00AA2407"/>
    <w:rsid w:val="00AA2E27"/>
    <w:rsid w:val="00AA2EC8"/>
    <w:rsid w:val="00AA3313"/>
    <w:rsid w:val="00AA3B8F"/>
    <w:rsid w:val="00AA3D05"/>
    <w:rsid w:val="00AA3EBA"/>
    <w:rsid w:val="00AA3F85"/>
    <w:rsid w:val="00AA45BF"/>
    <w:rsid w:val="00AA4748"/>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ECA"/>
    <w:rsid w:val="00AB00B4"/>
    <w:rsid w:val="00AB0384"/>
    <w:rsid w:val="00AB0A45"/>
    <w:rsid w:val="00AB0C7C"/>
    <w:rsid w:val="00AB0CB0"/>
    <w:rsid w:val="00AB0E1C"/>
    <w:rsid w:val="00AB1027"/>
    <w:rsid w:val="00AB115D"/>
    <w:rsid w:val="00AB132C"/>
    <w:rsid w:val="00AB1B11"/>
    <w:rsid w:val="00AB1C78"/>
    <w:rsid w:val="00AB23B5"/>
    <w:rsid w:val="00AB247C"/>
    <w:rsid w:val="00AB250E"/>
    <w:rsid w:val="00AB2BC1"/>
    <w:rsid w:val="00AB2C4D"/>
    <w:rsid w:val="00AB2F1E"/>
    <w:rsid w:val="00AB30B1"/>
    <w:rsid w:val="00AB31F6"/>
    <w:rsid w:val="00AB31FC"/>
    <w:rsid w:val="00AB35D0"/>
    <w:rsid w:val="00AB36AE"/>
    <w:rsid w:val="00AB399E"/>
    <w:rsid w:val="00AB3BF4"/>
    <w:rsid w:val="00AB5614"/>
    <w:rsid w:val="00AB5A67"/>
    <w:rsid w:val="00AB5F21"/>
    <w:rsid w:val="00AB62F3"/>
    <w:rsid w:val="00AB65AD"/>
    <w:rsid w:val="00AB6720"/>
    <w:rsid w:val="00AB6829"/>
    <w:rsid w:val="00AB6CFE"/>
    <w:rsid w:val="00AB6D47"/>
    <w:rsid w:val="00AB7089"/>
    <w:rsid w:val="00AB70EE"/>
    <w:rsid w:val="00AB7247"/>
    <w:rsid w:val="00AB75F7"/>
    <w:rsid w:val="00AB7942"/>
    <w:rsid w:val="00AB7E4C"/>
    <w:rsid w:val="00AC00F6"/>
    <w:rsid w:val="00AC061A"/>
    <w:rsid w:val="00AC06D1"/>
    <w:rsid w:val="00AC0866"/>
    <w:rsid w:val="00AC0D50"/>
    <w:rsid w:val="00AC1298"/>
    <w:rsid w:val="00AC13BB"/>
    <w:rsid w:val="00AC17EA"/>
    <w:rsid w:val="00AC1EC3"/>
    <w:rsid w:val="00AC1FB0"/>
    <w:rsid w:val="00AC23F7"/>
    <w:rsid w:val="00AC257E"/>
    <w:rsid w:val="00AC29E3"/>
    <w:rsid w:val="00AC2BE3"/>
    <w:rsid w:val="00AC2D68"/>
    <w:rsid w:val="00AC308A"/>
    <w:rsid w:val="00AC314C"/>
    <w:rsid w:val="00AC317C"/>
    <w:rsid w:val="00AC3891"/>
    <w:rsid w:val="00AC3AAE"/>
    <w:rsid w:val="00AC3C21"/>
    <w:rsid w:val="00AC3DE0"/>
    <w:rsid w:val="00AC3E0E"/>
    <w:rsid w:val="00AC4209"/>
    <w:rsid w:val="00AC4545"/>
    <w:rsid w:val="00AC4628"/>
    <w:rsid w:val="00AC46BC"/>
    <w:rsid w:val="00AC4837"/>
    <w:rsid w:val="00AC4903"/>
    <w:rsid w:val="00AC4A9F"/>
    <w:rsid w:val="00AC4DBF"/>
    <w:rsid w:val="00AC52BC"/>
    <w:rsid w:val="00AC52DA"/>
    <w:rsid w:val="00AC54BF"/>
    <w:rsid w:val="00AC572E"/>
    <w:rsid w:val="00AC596F"/>
    <w:rsid w:val="00AC5ADC"/>
    <w:rsid w:val="00AC5F8D"/>
    <w:rsid w:val="00AC60D0"/>
    <w:rsid w:val="00AC6151"/>
    <w:rsid w:val="00AC6564"/>
    <w:rsid w:val="00AC669B"/>
    <w:rsid w:val="00AC6AD1"/>
    <w:rsid w:val="00AC6D0A"/>
    <w:rsid w:val="00AC6F9A"/>
    <w:rsid w:val="00AC6FB3"/>
    <w:rsid w:val="00AC733D"/>
    <w:rsid w:val="00AC7809"/>
    <w:rsid w:val="00AC7B3E"/>
    <w:rsid w:val="00AC7B9D"/>
    <w:rsid w:val="00AC7F82"/>
    <w:rsid w:val="00AD027A"/>
    <w:rsid w:val="00AD090A"/>
    <w:rsid w:val="00AD102F"/>
    <w:rsid w:val="00AD10A9"/>
    <w:rsid w:val="00AD12FE"/>
    <w:rsid w:val="00AD145B"/>
    <w:rsid w:val="00AD151B"/>
    <w:rsid w:val="00AD17B7"/>
    <w:rsid w:val="00AD193B"/>
    <w:rsid w:val="00AD1B13"/>
    <w:rsid w:val="00AD20B4"/>
    <w:rsid w:val="00AD20DF"/>
    <w:rsid w:val="00AD2296"/>
    <w:rsid w:val="00AD25C6"/>
    <w:rsid w:val="00AD27EF"/>
    <w:rsid w:val="00AD2B5A"/>
    <w:rsid w:val="00AD3228"/>
    <w:rsid w:val="00AD3714"/>
    <w:rsid w:val="00AD3836"/>
    <w:rsid w:val="00AD389D"/>
    <w:rsid w:val="00AD3D58"/>
    <w:rsid w:val="00AD49F9"/>
    <w:rsid w:val="00AD4A89"/>
    <w:rsid w:val="00AD4DBE"/>
    <w:rsid w:val="00AD519B"/>
    <w:rsid w:val="00AD56E2"/>
    <w:rsid w:val="00AD5890"/>
    <w:rsid w:val="00AD59BE"/>
    <w:rsid w:val="00AD5BF9"/>
    <w:rsid w:val="00AD5E40"/>
    <w:rsid w:val="00AD6196"/>
    <w:rsid w:val="00AD63D0"/>
    <w:rsid w:val="00AD6702"/>
    <w:rsid w:val="00AD69F4"/>
    <w:rsid w:val="00AD6E13"/>
    <w:rsid w:val="00AD6F18"/>
    <w:rsid w:val="00AD729D"/>
    <w:rsid w:val="00AD735D"/>
    <w:rsid w:val="00AD76CA"/>
    <w:rsid w:val="00AD77C2"/>
    <w:rsid w:val="00AD7C61"/>
    <w:rsid w:val="00AD7E95"/>
    <w:rsid w:val="00AD7EEC"/>
    <w:rsid w:val="00AE0087"/>
    <w:rsid w:val="00AE01EC"/>
    <w:rsid w:val="00AE0298"/>
    <w:rsid w:val="00AE0CC9"/>
    <w:rsid w:val="00AE1985"/>
    <w:rsid w:val="00AE1B40"/>
    <w:rsid w:val="00AE1B8D"/>
    <w:rsid w:val="00AE1C9F"/>
    <w:rsid w:val="00AE2327"/>
    <w:rsid w:val="00AE2348"/>
    <w:rsid w:val="00AE2760"/>
    <w:rsid w:val="00AE27E3"/>
    <w:rsid w:val="00AE2DBC"/>
    <w:rsid w:val="00AE2E18"/>
    <w:rsid w:val="00AE2ED0"/>
    <w:rsid w:val="00AE30C2"/>
    <w:rsid w:val="00AE3873"/>
    <w:rsid w:val="00AE3D94"/>
    <w:rsid w:val="00AE3E30"/>
    <w:rsid w:val="00AE3F2A"/>
    <w:rsid w:val="00AE4417"/>
    <w:rsid w:val="00AE4421"/>
    <w:rsid w:val="00AE45BC"/>
    <w:rsid w:val="00AE4787"/>
    <w:rsid w:val="00AE4B13"/>
    <w:rsid w:val="00AE536A"/>
    <w:rsid w:val="00AE5573"/>
    <w:rsid w:val="00AE572F"/>
    <w:rsid w:val="00AE5C4E"/>
    <w:rsid w:val="00AE66A8"/>
    <w:rsid w:val="00AE6B4A"/>
    <w:rsid w:val="00AE6BD2"/>
    <w:rsid w:val="00AE6C8F"/>
    <w:rsid w:val="00AE7212"/>
    <w:rsid w:val="00AE7240"/>
    <w:rsid w:val="00AE7DDA"/>
    <w:rsid w:val="00AF02AA"/>
    <w:rsid w:val="00AF034F"/>
    <w:rsid w:val="00AF056E"/>
    <w:rsid w:val="00AF09F5"/>
    <w:rsid w:val="00AF0CE7"/>
    <w:rsid w:val="00AF0D95"/>
    <w:rsid w:val="00AF0F34"/>
    <w:rsid w:val="00AF1168"/>
    <w:rsid w:val="00AF13F9"/>
    <w:rsid w:val="00AF1530"/>
    <w:rsid w:val="00AF1889"/>
    <w:rsid w:val="00AF1CD2"/>
    <w:rsid w:val="00AF1F2B"/>
    <w:rsid w:val="00AF2437"/>
    <w:rsid w:val="00AF29E1"/>
    <w:rsid w:val="00AF2A92"/>
    <w:rsid w:val="00AF2AAA"/>
    <w:rsid w:val="00AF3116"/>
    <w:rsid w:val="00AF3252"/>
    <w:rsid w:val="00AF3B6D"/>
    <w:rsid w:val="00AF3CA2"/>
    <w:rsid w:val="00AF3D0E"/>
    <w:rsid w:val="00AF3EFE"/>
    <w:rsid w:val="00AF4007"/>
    <w:rsid w:val="00AF401D"/>
    <w:rsid w:val="00AF406E"/>
    <w:rsid w:val="00AF4115"/>
    <w:rsid w:val="00AF4551"/>
    <w:rsid w:val="00AF4CC4"/>
    <w:rsid w:val="00AF4EF6"/>
    <w:rsid w:val="00AF5550"/>
    <w:rsid w:val="00AF5901"/>
    <w:rsid w:val="00AF5B68"/>
    <w:rsid w:val="00AF62F6"/>
    <w:rsid w:val="00AF71A2"/>
    <w:rsid w:val="00AF7329"/>
    <w:rsid w:val="00AF788F"/>
    <w:rsid w:val="00AF795C"/>
    <w:rsid w:val="00AF7C36"/>
    <w:rsid w:val="00B00119"/>
    <w:rsid w:val="00B00134"/>
    <w:rsid w:val="00B001AE"/>
    <w:rsid w:val="00B004AF"/>
    <w:rsid w:val="00B005B1"/>
    <w:rsid w:val="00B00645"/>
    <w:rsid w:val="00B01055"/>
    <w:rsid w:val="00B010F1"/>
    <w:rsid w:val="00B01C3E"/>
    <w:rsid w:val="00B01D31"/>
    <w:rsid w:val="00B01E82"/>
    <w:rsid w:val="00B022B3"/>
    <w:rsid w:val="00B02311"/>
    <w:rsid w:val="00B024EA"/>
    <w:rsid w:val="00B0281D"/>
    <w:rsid w:val="00B02E35"/>
    <w:rsid w:val="00B02F5B"/>
    <w:rsid w:val="00B03280"/>
    <w:rsid w:val="00B03362"/>
    <w:rsid w:val="00B03B8C"/>
    <w:rsid w:val="00B03DC6"/>
    <w:rsid w:val="00B04302"/>
    <w:rsid w:val="00B04421"/>
    <w:rsid w:val="00B045B4"/>
    <w:rsid w:val="00B046B4"/>
    <w:rsid w:val="00B04A7A"/>
    <w:rsid w:val="00B04D71"/>
    <w:rsid w:val="00B04EFB"/>
    <w:rsid w:val="00B04FF9"/>
    <w:rsid w:val="00B0539B"/>
    <w:rsid w:val="00B05401"/>
    <w:rsid w:val="00B0540B"/>
    <w:rsid w:val="00B05577"/>
    <w:rsid w:val="00B05760"/>
    <w:rsid w:val="00B059F7"/>
    <w:rsid w:val="00B05C9D"/>
    <w:rsid w:val="00B0608D"/>
    <w:rsid w:val="00B065AF"/>
    <w:rsid w:val="00B06E4A"/>
    <w:rsid w:val="00B06F4A"/>
    <w:rsid w:val="00B07261"/>
    <w:rsid w:val="00B07B2C"/>
    <w:rsid w:val="00B07DB0"/>
    <w:rsid w:val="00B10427"/>
    <w:rsid w:val="00B1053C"/>
    <w:rsid w:val="00B10CB2"/>
    <w:rsid w:val="00B10E30"/>
    <w:rsid w:val="00B10F0A"/>
    <w:rsid w:val="00B110C8"/>
    <w:rsid w:val="00B11248"/>
    <w:rsid w:val="00B11D3F"/>
    <w:rsid w:val="00B11EA5"/>
    <w:rsid w:val="00B1248A"/>
    <w:rsid w:val="00B126F7"/>
    <w:rsid w:val="00B12F9D"/>
    <w:rsid w:val="00B132EC"/>
    <w:rsid w:val="00B1345E"/>
    <w:rsid w:val="00B13898"/>
    <w:rsid w:val="00B138B6"/>
    <w:rsid w:val="00B143A4"/>
    <w:rsid w:val="00B143A8"/>
    <w:rsid w:val="00B143F8"/>
    <w:rsid w:val="00B14550"/>
    <w:rsid w:val="00B147C3"/>
    <w:rsid w:val="00B14834"/>
    <w:rsid w:val="00B149FD"/>
    <w:rsid w:val="00B14A48"/>
    <w:rsid w:val="00B14D27"/>
    <w:rsid w:val="00B15609"/>
    <w:rsid w:val="00B15876"/>
    <w:rsid w:val="00B1616D"/>
    <w:rsid w:val="00B1659A"/>
    <w:rsid w:val="00B16996"/>
    <w:rsid w:val="00B16A9B"/>
    <w:rsid w:val="00B1738A"/>
    <w:rsid w:val="00B1759E"/>
    <w:rsid w:val="00B176B8"/>
    <w:rsid w:val="00B1784C"/>
    <w:rsid w:val="00B17BB6"/>
    <w:rsid w:val="00B17E7F"/>
    <w:rsid w:val="00B20BE0"/>
    <w:rsid w:val="00B20C96"/>
    <w:rsid w:val="00B20F76"/>
    <w:rsid w:val="00B2103F"/>
    <w:rsid w:val="00B21067"/>
    <w:rsid w:val="00B21262"/>
    <w:rsid w:val="00B215D4"/>
    <w:rsid w:val="00B21A0D"/>
    <w:rsid w:val="00B21A2A"/>
    <w:rsid w:val="00B21DA9"/>
    <w:rsid w:val="00B21FAE"/>
    <w:rsid w:val="00B22007"/>
    <w:rsid w:val="00B2229B"/>
    <w:rsid w:val="00B2248C"/>
    <w:rsid w:val="00B2270A"/>
    <w:rsid w:val="00B22B76"/>
    <w:rsid w:val="00B22D26"/>
    <w:rsid w:val="00B2320E"/>
    <w:rsid w:val="00B23361"/>
    <w:rsid w:val="00B233BE"/>
    <w:rsid w:val="00B233E6"/>
    <w:rsid w:val="00B23617"/>
    <w:rsid w:val="00B2368B"/>
    <w:rsid w:val="00B2391A"/>
    <w:rsid w:val="00B23DB5"/>
    <w:rsid w:val="00B24345"/>
    <w:rsid w:val="00B244DE"/>
    <w:rsid w:val="00B246A4"/>
    <w:rsid w:val="00B246AF"/>
    <w:rsid w:val="00B2485D"/>
    <w:rsid w:val="00B2488F"/>
    <w:rsid w:val="00B25162"/>
    <w:rsid w:val="00B25715"/>
    <w:rsid w:val="00B25AA2"/>
    <w:rsid w:val="00B25C9D"/>
    <w:rsid w:val="00B25F51"/>
    <w:rsid w:val="00B2612E"/>
    <w:rsid w:val="00B27308"/>
    <w:rsid w:val="00B27511"/>
    <w:rsid w:val="00B2768F"/>
    <w:rsid w:val="00B27923"/>
    <w:rsid w:val="00B27DD6"/>
    <w:rsid w:val="00B27F56"/>
    <w:rsid w:val="00B3038F"/>
    <w:rsid w:val="00B304E2"/>
    <w:rsid w:val="00B3061C"/>
    <w:rsid w:val="00B30861"/>
    <w:rsid w:val="00B30AF3"/>
    <w:rsid w:val="00B30FB6"/>
    <w:rsid w:val="00B310CE"/>
    <w:rsid w:val="00B31754"/>
    <w:rsid w:val="00B3179D"/>
    <w:rsid w:val="00B319C9"/>
    <w:rsid w:val="00B320A9"/>
    <w:rsid w:val="00B322A8"/>
    <w:rsid w:val="00B3260B"/>
    <w:rsid w:val="00B3268D"/>
    <w:rsid w:val="00B32AEA"/>
    <w:rsid w:val="00B32BE2"/>
    <w:rsid w:val="00B32ED9"/>
    <w:rsid w:val="00B33005"/>
    <w:rsid w:val="00B33387"/>
    <w:rsid w:val="00B3387E"/>
    <w:rsid w:val="00B3415C"/>
    <w:rsid w:val="00B347B3"/>
    <w:rsid w:val="00B34845"/>
    <w:rsid w:val="00B34AF1"/>
    <w:rsid w:val="00B34EF4"/>
    <w:rsid w:val="00B35933"/>
    <w:rsid w:val="00B359AD"/>
    <w:rsid w:val="00B35BFD"/>
    <w:rsid w:val="00B364D4"/>
    <w:rsid w:val="00B36710"/>
    <w:rsid w:val="00B36BF2"/>
    <w:rsid w:val="00B37619"/>
    <w:rsid w:val="00B37691"/>
    <w:rsid w:val="00B3790F"/>
    <w:rsid w:val="00B37AC9"/>
    <w:rsid w:val="00B37B58"/>
    <w:rsid w:val="00B37E14"/>
    <w:rsid w:val="00B37E93"/>
    <w:rsid w:val="00B37F29"/>
    <w:rsid w:val="00B400DF"/>
    <w:rsid w:val="00B4013E"/>
    <w:rsid w:val="00B4026E"/>
    <w:rsid w:val="00B4066C"/>
    <w:rsid w:val="00B40674"/>
    <w:rsid w:val="00B40CC8"/>
    <w:rsid w:val="00B40F37"/>
    <w:rsid w:val="00B40FC7"/>
    <w:rsid w:val="00B41326"/>
    <w:rsid w:val="00B415F9"/>
    <w:rsid w:val="00B41948"/>
    <w:rsid w:val="00B419B7"/>
    <w:rsid w:val="00B41B04"/>
    <w:rsid w:val="00B41BD2"/>
    <w:rsid w:val="00B41C3B"/>
    <w:rsid w:val="00B41D4E"/>
    <w:rsid w:val="00B41DFB"/>
    <w:rsid w:val="00B41EC6"/>
    <w:rsid w:val="00B4203C"/>
    <w:rsid w:val="00B423C0"/>
    <w:rsid w:val="00B42B76"/>
    <w:rsid w:val="00B42BAD"/>
    <w:rsid w:val="00B4306F"/>
    <w:rsid w:val="00B43237"/>
    <w:rsid w:val="00B435C1"/>
    <w:rsid w:val="00B435DC"/>
    <w:rsid w:val="00B4362D"/>
    <w:rsid w:val="00B43686"/>
    <w:rsid w:val="00B43B54"/>
    <w:rsid w:val="00B442CF"/>
    <w:rsid w:val="00B442D1"/>
    <w:rsid w:val="00B448E8"/>
    <w:rsid w:val="00B449A0"/>
    <w:rsid w:val="00B44C79"/>
    <w:rsid w:val="00B44DCD"/>
    <w:rsid w:val="00B44F4A"/>
    <w:rsid w:val="00B45353"/>
    <w:rsid w:val="00B4539C"/>
    <w:rsid w:val="00B455E1"/>
    <w:rsid w:val="00B45A7C"/>
    <w:rsid w:val="00B45E14"/>
    <w:rsid w:val="00B46415"/>
    <w:rsid w:val="00B464AF"/>
    <w:rsid w:val="00B465B8"/>
    <w:rsid w:val="00B46A48"/>
    <w:rsid w:val="00B46BCE"/>
    <w:rsid w:val="00B47045"/>
    <w:rsid w:val="00B472D6"/>
    <w:rsid w:val="00B473BC"/>
    <w:rsid w:val="00B47448"/>
    <w:rsid w:val="00B475CA"/>
    <w:rsid w:val="00B47BD8"/>
    <w:rsid w:val="00B47D7A"/>
    <w:rsid w:val="00B47EED"/>
    <w:rsid w:val="00B50003"/>
    <w:rsid w:val="00B500CE"/>
    <w:rsid w:val="00B5026B"/>
    <w:rsid w:val="00B50380"/>
    <w:rsid w:val="00B50400"/>
    <w:rsid w:val="00B50A38"/>
    <w:rsid w:val="00B50E85"/>
    <w:rsid w:val="00B515A2"/>
    <w:rsid w:val="00B51882"/>
    <w:rsid w:val="00B519FB"/>
    <w:rsid w:val="00B51BE5"/>
    <w:rsid w:val="00B51DE9"/>
    <w:rsid w:val="00B51E5E"/>
    <w:rsid w:val="00B524B6"/>
    <w:rsid w:val="00B52726"/>
    <w:rsid w:val="00B5287C"/>
    <w:rsid w:val="00B529A3"/>
    <w:rsid w:val="00B52A45"/>
    <w:rsid w:val="00B52C18"/>
    <w:rsid w:val="00B52F08"/>
    <w:rsid w:val="00B531B2"/>
    <w:rsid w:val="00B532E2"/>
    <w:rsid w:val="00B533E0"/>
    <w:rsid w:val="00B53C69"/>
    <w:rsid w:val="00B53EBD"/>
    <w:rsid w:val="00B54024"/>
    <w:rsid w:val="00B54151"/>
    <w:rsid w:val="00B547B3"/>
    <w:rsid w:val="00B54943"/>
    <w:rsid w:val="00B54B15"/>
    <w:rsid w:val="00B54BEC"/>
    <w:rsid w:val="00B54C28"/>
    <w:rsid w:val="00B54C8F"/>
    <w:rsid w:val="00B54CAB"/>
    <w:rsid w:val="00B54E6E"/>
    <w:rsid w:val="00B5512E"/>
    <w:rsid w:val="00B557E2"/>
    <w:rsid w:val="00B55BB9"/>
    <w:rsid w:val="00B55D75"/>
    <w:rsid w:val="00B55DBF"/>
    <w:rsid w:val="00B560A6"/>
    <w:rsid w:val="00B560CE"/>
    <w:rsid w:val="00B56CDF"/>
    <w:rsid w:val="00B56EC8"/>
    <w:rsid w:val="00B5719A"/>
    <w:rsid w:val="00B57479"/>
    <w:rsid w:val="00B57951"/>
    <w:rsid w:val="00B57CF0"/>
    <w:rsid w:val="00B57D3F"/>
    <w:rsid w:val="00B57E79"/>
    <w:rsid w:val="00B57FEA"/>
    <w:rsid w:val="00B60070"/>
    <w:rsid w:val="00B6061D"/>
    <w:rsid w:val="00B60CEC"/>
    <w:rsid w:val="00B60F31"/>
    <w:rsid w:val="00B60F3E"/>
    <w:rsid w:val="00B61842"/>
    <w:rsid w:val="00B619FD"/>
    <w:rsid w:val="00B61BB0"/>
    <w:rsid w:val="00B62153"/>
    <w:rsid w:val="00B62592"/>
    <w:rsid w:val="00B62654"/>
    <w:rsid w:val="00B62658"/>
    <w:rsid w:val="00B6286A"/>
    <w:rsid w:val="00B62A8B"/>
    <w:rsid w:val="00B6330E"/>
    <w:rsid w:val="00B63A4A"/>
    <w:rsid w:val="00B63ED8"/>
    <w:rsid w:val="00B641EB"/>
    <w:rsid w:val="00B645D5"/>
    <w:rsid w:val="00B64A51"/>
    <w:rsid w:val="00B64B92"/>
    <w:rsid w:val="00B653D9"/>
    <w:rsid w:val="00B654C1"/>
    <w:rsid w:val="00B655B4"/>
    <w:rsid w:val="00B656A6"/>
    <w:rsid w:val="00B657F1"/>
    <w:rsid w:val="00B65EEF"/>
    <w:rsid w:val="00B65FF6"/>
    <w:rsid w:val="00B66073"/>
    <w:rsid w:val="00B66333"/>
    <w:rsid w:val="00B6640B"/>
    <w:rsid w:val="00B6644D"/>
    <w:rsid w:val="00B665CF"/>
    <w:rsid w:val="00B66643"/>
    <w:rsid w:val="00B6692C"/>
    <w:rsid w:val="00B66955"/>
    <w:rsid w:val="00B66C39"/>
    <w:rsid w:val="00B66D9C"/>
    <w:rsid w:val="00B671B1"/>
    <w:rsid w:val="00B6797E"/>
    <w:rsid w:val="00B67BA1"/>
    <w:rsid w:val="00B67E7D"/>
    <w:rsid w:val="00B7045F"/>
    <w:rsid w:val="00B70585"/>
    <w:rsid w:val="00B70BC8"/>
    <w:rsid w:val="00B70BE8"/>
    <w:rsid w:val="00B70D13"/>
    <w:rsid w:val="00B70EF5"/>
    <w:rsid w:val="00B711E7"/>
    <w:rsid w:val="00B714BC"/>
    <w:rsid w:val="00B714C6"/>
    <w:rsid w:val="00B71782"/>
    <w:rsid w:val="00B71BBC"/>
    <w:rsid w:val="00B71BF6"/>
    <w:rsid w:val="00B71DE5"/>
    <w:rsid w:val="00B71FD7"/>
    <w:rsid w:val="00B72305"/>
    <w:rsid w:val="00B726B9"/>
    <w:rsid w:val="00B7296F"/>
    <w:rsid w:val="00B72994"/>
    <w:rsid w:val="00B72E37"/>
    <w:rsid w:val="00B72E73"/>
    <w:rsid w:val="00B72F3B"/>
    <w:rsid w:val="00B73002"/>
    <w:rsid w:val="00B73262"/>
    <w:rsid w:val="00B7326B"/>
    <w:rsid w:val="00B73A31"/>
    <w:rsid w:val="00B7483B"/>
    <w:rsid w:val="00B750D9"/>
    <w:rsid w:val="00B750EA"/>
    <w:rsid w:val="00B7529B"/>
    <w:rsid w:val="00B75816"/>
    <w:rsid w:val="00B7591D"/>
    <w:rsid w:val="00B75959"/>
    <w:rsid w:val="00B75ACC"/>
    <w:rsid w:val="00B75BA9"/>
    <w:rsid w:val="00B75DE1"/>
    <w:rsid w:val="00B7607C"/>
    <w:rsid w:val="00B765D2"/>
    <w:rsid w:val="00B77076"/>
    <w:rsid w:val="00B771CC"/>
    <w:rsid w:val="00B773CA"/>
    <w:rsid w:val="00B77438"/>
    <w:rsid w:val="00B774A4"/>
    <w:rsid w:val="00B775EC"/>
    <w:rsid w:val="00B77ADF"/>
    <w:rsid w:val="00B77B8C"/>
    <w:rsid w:val="00B77E49"/>
    <w:rsid w:val="00B803C0"/>
    <w:rsid w:val="00B80502"/>
    <w:rsid w:val="00B80517"/>
    <w:rsid w:val="00B80C34"/>
    <w:rsid w:val="00B80C36"/>
    <w:rsid w:val="00B80C45"/>
    <w:rsid w:val="00B80D50"/>
    <w:rsid w:val="00B80F77"/>
    <w:rsid w:val="00B81580"/>
    <w:rsid w:val="00B81668"/>
    <w:rsid w:val="00B81709"/>
    <w:rsid w:val="00B817BF"/>
    <w:rsid w:val="00B817EE"/>
    <w:rsid w:val="00B81D4B"/>
    <w:rsid w:val="00B820EB"/>
    <w:rsid w:val="00B82202"/>
    <w:rsid w:val="00B82429"/>
    <w:rsid w:val="00B825EC"/>
    <w:rsid w:val="00B8272C"/>
    <w:rsid w:val="00B82A0F"/>
    <w:rsid w:val="00B82B35"/>
    <w:rsid w:val="00B82BCC"/>
    <w:rsid w:val="00B82C4C"/>
    <w:rsid w:val="00B82E18"/>
    <w:rsid w:val="00B8310B"/>
    <w:rsid w:val="00B831C4"/>
    <w:rsid w:val="00B8384A"/>
    <w:rsid w:val="00B83C4E"/>
    <w:rsid w:val="00B83D14"/>
    <w:rsid w:val="00B83D69"/>
    <w:rsid w:val="00B84057"/>
    <w:rsid w:val="00B84360"/>
    <w:rsid w:val="00B843DF"/>
    <w:rsid w:val="00B84583"/>
    <w:rsid w:val="00B845B8"/>
    <w:rsid w:val="00B84659"/>
    <w:rsid w:val="00B8484F"/>
    <w:rsid w:val="00B84946"/>
    <w:rsid w:val="00B84A49"/>
    <w:rsid w:val="00B84B45"/>
    <w:rsid w:val="00B84BE5"/>
    <w:rsid w:val="00B850E1"/>
    <w:rsid w:val="00B856C3"/>
    <w:rsid w:val="00B85AA4"/>
    <w:rsid w:val="00B85D06"/>
    <w:rsid w:val="00B85E43"/>
    <w:rsid w:val="00B85E58"/>
    <w:rsid w:val="00B863EE"/>
    <w:rsid w:val="00B868B1"/>
    <w:rsid w:val="00B86B46"/>
    <w:rsid w:val="00B86BAC"/>
    <w:rsid w:val="00B86E4C"/>
    <w:rsid w:val="00B87306"/>
    <w:rsid w:val="00B87333"/>
    <w:rsid w:val="00B874CF"/>
    <w:rsid w:val="00B875F6"/>
    <w:rsid w:val="00B87C5E"/>
    <w:rsid w:val="00B87F7D"/>
    <w:rsid w:val="00B87F9D"/>
    <w:rsid w:val="00B90C87"/>
    <w:rsid w:val="00B90EE9"/>
    <w:rsid w:val="00B9133C"/>
    <w:rsid w:val="00B913F9"/>
    <w:rsid w:val="00B9143B"/>
    <w:rsid w:val="00B91D32"/>
    <w:rsid w:val="00B91D63"/>
    <w:rsid w:val="00B91F3E"/>
    <w:rsid w:val="00B920A3"/>
    <w:rsid w:val="00B922D1"/>
    <w:rsid w:val="00B927E8"/>
    <w:rsid w:val="00B92C44"/>
    <w:rsid w:val="00B92F3A"/>
    <w:rsid w:val="00B930ED"/>
    <w:rsid w:val="00B931E1"/>
    <w:rsid w:val="00B93757"/>
    <w:rsid w:val="00B93D56"/>
    <w:rsid w:val="00B93E2B"/>
    <w:rsid w:val="00B93E44"/>
    <w:rsid w:val="00B93F41"/>
    <w:rsid w:val="00B94223"/>
    <w:rsid w:val="00B94739"/>
    <w:rsid w:val="00B947B7"/>
    <w:rsid w:val="00B94800"/>
    <w:rsid w:val="00B94DF3"/>
    <w:rsid w:val="00B9511A"/>
    <w:rsid w:val="00B954C1"/>
    <w:rsid w:val="00B962CD"/>
    <w:rsid w:val="00B963DF"/>
    <w:rsid w:val="00B964EB"/>
    <w:rsid w:val="00B965D5"/>
    <w:rsid w:val="00B96A12"/>
    <w:rsid w:val="00B96E5E"/>
    <w:rsid w:val="00B96F19"/>
    <w:rsid w:val="00B96F3A"/>
    <w:rsid w:val="00B9707F"/>
    <w:rsid w:val="00B971BF"/>
    <w:rsid w:val="00B972D2"/>
    <w:rsid w:val="00B97448"/>
    <w:rsid w:val="00B97801"/>
    <w:rsid w:val="00B97A4C"/>
    <w:rsid w:val="00B97AB8"/>
    <w:rsid w:val="00B97E90"/>
    <w:rsid w:val="00BA0296"/>
    <w:rsid w:val="00BA03AB"/>
    <w:rsid w:val="00BA0518"/>
    <w:rsid w:val="00BA0AB0"/>
    <w:rsid w:val="00BA0E2A"/>
    <w:rsid w:val="00BA118D"/>
    <w:rsid w:val="00BA13B3"/>
    <w:rsid w:val="00BA15AB"/>
    <w:rsid w:val="00BA1687"/>
    <w:rsid w:val="00BA1FFF"/>
    <w:rsid w:val="00BA208A"/>
    <w:rsid w:val="00BA218C"/>
    <w:rsid w:val="00BA21A5"/>
    <w:rsid w:val="00BA24AC"/>
    <w:rsid w:val="00BA2914"/>
    <w:rsid w:val="00BA2A96"/>
    <w:rsid w:val="00BA2BAD"/>
    <w:rsid w:val="00BA2D35"/>
    <w:rsid w:val="00BA3898"/>
    <w:rsid w:val="00BA3AA6"/>
    <w:rsid w:val="00BA3B30"/>
    <w:rsid w:val="00BA3B3F"/>
    <w:rsid w:val="00BA3C1A"/>
    <w:rsid w:val="00BA3F93"/>
    <w:rsid w:val="00BA4553"/>
    <w:rsid w:val="00BA46A2"/>
    <w:rsid w:val="00BA4735"/>
    <w:rsid w:val="00BA4BFF"/>
    <w:rsid w:val="00BA4C4F"/>
    <w:rsid w:val="00BA4C89"/>
    <w:rsid w:val="00BA5444"/>
    <w:rsid w:val="00BA54B5"/>
    <w:rsid w:val="00BA577D"/>
    <w:rsid w:val="00BA57D9"/>
    <w:rsid w:val="00BA5C56"/>
    <w:rsid w:val="00BA5CF6"/>
    <w:rsid w:val="00BA5F35"/>
    <w:rsid w:val="00BA60F1"/>
    <w:rsid w:val="00BA6126"/>
    <w:rsid w:val="00BA6887"/>
    <w:rsid w:val="00BA6D32"/>
    <w:rsid w:val="00BA6F01"/>
    <w:rsid w:val="00BA720E"/>
    <w:rsid w:val="00BA782C"/>
    <w:rsid w:val="00BA7A72"/>
    <w:rsid w:val="00BA7B2A"/>
    <w:rsid w:val="00BA7CAB"/>
    <w:rsid w:val="00BA7F57"/>
    <w:rsid w:val="00BA7FE9"/>
    <w:rsid w:val="00BB03A0"/>
    <w:rsid w:val="00BB0674"/>
    <w:rsid w:val="00BB077B"/>
    <w:rsid w:val="00BB092C"/>
    <w:rsid w:val="00BB0995"/>
    <w:rsid w:val="00BB0AFE"/>
    <w:rsid w:val="00BB0DF2"/>
    <w:rsid w:val="00BB0FF0"/>
    <w:rsid w:val="00BB1947"/>
    <w:rsid w:val="00BB1A54"/>
    <w:rsid w:val="00BB1DA5"/>
    <w:rsid w:val="00BB1EAB"/>
    <w:rsid w:val="00BB2AB0"/>
    <w:rsid w:val="00BB2FA5"/>
    <w:rsid w:val="00BB2FB9"/>
    <w:rsid w:val="00BB3075"/>
    <w:rsid w:val="00BB3146"/>
    <w:rsid w:val="00BB34E9"/>
    <w:rsid w:val="00BB358A"/>
    <w:rsid w:val="00BB37A1"/>
    <w:rsid w:val="00BB3E9F"/>
    <w:rsid w:val="00BB44FC"/>
    <w:rsid w:val="00BB4567"/>
    <w:rsid w:val="00BB4639"/>
    <w:rsid w:val="00BB4DB9"/>
    <w:rsid w:val="00BB4ED1"/>
    <w:rsid w:val="00BB505A"/>
    <w:rsid w:val="00BB557A"/>
    <w:rsid w:val="00BB55E4"/>
    <w:rsid w:val="00BB5AE3"/>
    <w:rsid w:val="00BB5C1E"/>
    <w:rsid w:val="00BB5D66"/>
    <w:rsid w:val="00BB5DE0"/>
    <w:rsid w:val="00BB64AD"/>
    <w:rsid w:val="00BB659C"/>
    <w:rsid w:val="00BB67FF"/>
    <w:rsid w:val="00BB71B4"/>
    <w:rsid w:val="00BB793E"/>
    <w:rsid w:val="00BB7D3D"/>
    <w:rsid w:val="00BC0091"/>
    <w:rsid w:val="00BC0401"/>
    <w:rsid w:val="00BC0866"/>
    <w:rsid w:val="00BC0B50"/>
    <w:rsid w:val="00BC0E4E"/>
    <w:rsid w:val="00BC1110"/>
    <w:rsid w:val="00BC1845"/>
    <w:rsid w:val="00BC1C3E"/>
    <w:rsid w:val="00BC1D22"/>
    <w:rsid w:val="00BC1F26"/>
    <w:rsid w:val="00BC2616"/>
    <w:rsid w:val="00BC2930"/>
    <w:rsid w:val="00BC29A0"/>
    <w:rsid w:val="00BC2B8B"/>
    <w:rsid w:val="00BC2BC7"/>
    <w:rsid w:val="00BC300F"/>
    <w:rsid w:val="00BC3545"/>
    <w:rsid w:val="00BC3BD3"/>
    <w:rsid w:val="00BC3D91"/>
    <w:rsid w:val="00BC4010"/>
    <w:rsid w:val="00BC4149"/>
    <w:rsid w:val="00BC417D"/>
    <w:rsid w:val="00BC44A5"/>
    <w:rsid w:val="00BC4576"/>
    <w:rsid w:val="00BC46B5"/>
    <w:rsid w:val="00BC4750"/>
    <w:rsid w:val="00BC4C96"/>
    <w:rsid w:val="00BC4DE8"/>
    <w:rsid w:val="00BC4EF6"/>
    <w:rsid w:val="00BC5092"/>
    <w:rsid w:val="00BC597A"/>
    <w:rsid w:val="00BC5C4B"/>
    <w:rsid w:val="00BC5D1C"/>
    <w:rsid w:val="00BC650A"/>
    <w:rsid w:val="00BC6D07"/>
    <w:rsid w:val="00BC6EC1"/>
    <w:rsid w:val="00BC72BA"/>
    <w:rsid w:val="00BC72E5"/>
    <w:rsid w:val="00BC737E"/>
    <w:rsid w:val="00BC7584"/>
    <w:rsid w:val="00BC759A"/>
    <w:rsid w:val="00BD005F"/>
    <w:rsid w:val="00BD024A"/>
    <w:rsid w:val="00BD0A6C"/>
    <w:rsid w:val="00BD0E1E"/>
    <w:rsid w:val="00BD0FE7"/>
    <w:rsid w:val="00BD1216"/>
    <w:rsid w:val="00BD1389"/>
    <w:rsid w:val="00BD1570"/>
    <w:rsid w:val="00BD191B"/>
    <w:rsid w:val="00BD1E53"/>
    <w:rsid w:val="00BD2142"/>
    <w:rsid w:val="00BD23F5"/>
    <w:rsid w:val="00BD241C"/>
    <w:rsid w:val="00BD27E1"/>
    <w:rsid w:val="00BD2873"/>
    <w:rsid w:val="00BD2892"/>
    <w:rsid w:val="00BD2C79"/>
    <w:rsid w:val="00BD2E6A"/>
    <w:rsid w:val="00BD3675"/>
    <w:rsid w:val="00BD3A1C"/>
    <w:rsid w:val="00BD3C3A"/>
    <w:rsid w:val="00BD444F"/>
    <w:rsid w:val="00BD46D0"/>
    <w:rsid w:val="00BD4730"/>
    <w:rsid w:val="00BD485E"/>
    <w:rsid w:val="00BD48DC"/>
    <w:rsid w:val="00BD4C06"/>
    <w:rsid w:val="00BD4C20"/>
    <w:rsid w:val="00BD4D92"/>
    <w:rsid w:val="00BD5325"/>
    <w:rsid w:val="00BD534F"/>
    <w:rsid w:val="00BD5491"/>
    <w:rsid w:val="00BD562C"/>
    <w:rsid w:val="00BD56C8"/>
    <w:rsid w:val="00BD56D1"/>
    <w:rsid w:val="00BD57D3"/>
    <w:rsid w:val="00BD59BA"/>
    <w:rsid w:val="00BD5ACF"/>
    <w:rsid w:val="00BD5F6F"/>
    <w:rsid w:val="00BD67DF"/>
    <w:rsid w:val="00BD68DD"/>
    <w:rsid w:val="00BD6AC1"/>
    <w:rsid w:val="00BD6F70"/>
    <w:rsid w:val="00BD74FB"/>
    <w:rsid w:val="00BD75A8"/>
    <w:rsid w:val="00BD782D"/>
    <w:rsid w:val="00BD7876"/>
    <w:rsid w:val="00BD7995"/>
    <w:rsid w:val="00BE04D3"/>
    <w:rsid w:val="00BE0B5E"/>
    <w:rsid w:val="00BE0C4B"/>
    <w:rsid w:val="00BE0E48"/>
    <w:rsid w:val="00BE103E"/>
    <w:rsid w:val="00BE1058"/>
    <w:rsid w:val="00BE171D"/>
    <w:rsid w:val="00BE19A1"/>
    <w:rsid w:val="00BE1D6E"/>
    <w:rsid w:val="00BE1E75"/>
    <w:rsid w:val="00BE1F63"/>
    <w:rsid w:val="00BE21B6"/>
    <w:rsid w:val="00BE2204"/>
    <w:rsid w:val="00BE22E4"/>
    <w:rsid w:val="00BE26A5"/>
    <w:rsid w:val="00BE2759"/>
    <w:rsid w:val="00BE27E4"/>
    <w:rsid w:val="00BE31B9"/>
    <w:rsid w:val="00BE33C6"/>
    <w:rsid w:val="00BE364C"/>
    <w:rsid w:val="00BE38AA"/>
    <w:rsid w:val="00BE3CC3"/>
    <w:rsid w:val="00BE3F1E"/>
    <w:rsid w:val="00BE4114"/>
    <w:rsid w:val="00BE43C7"/>
    <w:rsid w:val="00BE44E6"/>
    <w:rsid w:val="00BE45C8"/>
    <w:rsid w:val="00BE46A6"/>
    <w:rsid w:val="00BE4740"/>
    <w:rsid w:val="00BE4E64"/>
    <w:rsid w:val="00BE5AA2"/>
    <w:rsid w:val="00BE5AF0"/>
    <w:rsid w:val="00BE5DFE"/>
    <w:rsid w:val="00BE666B"/>
    <w:rsid w:val="00BE68C8"/>
    <w:rsid w:val="00BE6E8B"/>
    <w:rsid w:val="00BE73D1"/>
    <w:rsid w:val="00BE77E7"/>
    <w:rsid w:val="00BE7A3B"/>
    <w:rsid w:val="00BE7AA6"/>
    <w:rsid w:val="00BE7FA3"/>
    <w:rsid w:val="00BF031F"/>
    <w:rsid w:val="00BF0435"/>
    <w:rsid w:val="00BF0B5E"/>
    <w:rsid w:val="00BF0F57"/>
    <w:rsid w:val="00BF0FA6"/>
    <w:rsid w:val="00BF0FF8"/>
    <w:rsid w:val="00BF16AF"/>
    <w:rsid w:val="00BF2133"/>
    <w:rsid w:val="00BF2197"/>
    <w:rsid w:val="00BF21D7"/>
    <w:rsid w:val="00BF22A5"/>
    <w:rsid w:val="00BF270A"/>
    <w:rsid w:val="00BF2842"/>
    <w:rsid w:val="00BF2925"/>
    <w:rsid w:val="00BF3013"/>
    <w:rsid w:val="00BF320E"/>
    <w:rsid w:val="00BF349C"/>
    <w:rsid w:val="00BF3D41"/>
    <w:rsid w:val="00BF3E21"/>
    <w:rsid w:val="00BF3EEF"/>
    <w:rsid w:val="00BF44E8"/>
    <w:rsid w:val="00BF45D7"/>
    <w:rsid w:val="00BF464C"/>
    <w:rsid w:val="00BF4AA1"/>
    <w:rsid w:val="00BF6316"/>
    <w:rsid w:val="00BF6910"/>
    <w:rsid w:val="00BF6A77"/>
    <w:rsid w:val="00BF6C92"/>
    <w:rsid w:val="00BF6E64"/>
    <w:rsid w:val="00BF70C1"/>
    <w:rsid w:val="00BF70C8"/>
    <w:rsid w:val="00BF7197"/>
    <w:rsid w:val="00BF7297"/>
    <w:rsid w:val="00BF72A8"/>
    <w:rsid w:val="00BF72CB"/>
    <w:rsid w:val="00BF7503"/>
    <w:rsid w:val="00BF7C44"/>
    <w:rsid w:val="00C00087"/>
    <w:rsid w:val="00C002E7"/>
    <w:rsid w:val="00C006A5"/>
    <w:rsid w:val="00C0086A"/>
    <w:rsid w:val="00C00935"/>
    <w:rsid w:val="00C00D3D"/>
    <w:rsid w:val="00C00FEE"/>
    <w:rsid w:val="00C01090"/>
    <w:rsid w:val="00C017AE"/>
    <w:rsid w:val="00C019B1"/>
    <w:rsid w:val="00C01F42"/>
    <w:rsid w:val="00C02379"/>
    <w:rsid w:val="00C0290E"/>
    <w:rsid w:val="00C02C88"/>
    <w:rsid w:val="00C02DA8"/>
    <w:rsid w:val="00C02FC8"/>
    <w:rsid w:val="00C03661"/>
    <w:rsid w:val="00C03973"/>
    <w:rsid w:val="00C03F49"/>
    <w:rsid w:val="00C04A89"/>
    <w:rsid w:val="00C04C22"/>
    <w:rsid w:val="00C04C98"/>
    <w:rsid w:val="00C04F02"/>
    <w:rsid w:val="00C04FE8"/>
    <w:rsid w:val="00C0520F"/>
    <w:rsid w:val="00C0537D"/>
    <w:rsid w:val="00C0538B"/>
    <w:rsid w:val="00C05477"/>
    <w:rsid w:val="00C0563B"/>
    <w:rsid w:val="00C05A56"/>
    <w:rsid w:val="00C05BA9"/>
    <w:rsid w:val="00C05E0B"/>
    <w:rsid w:val="00C05EA0"/>
    <w:rsid w:val="00C05F10"/>
    <w:rsid w:val="00C06160"/>
    <w:rsid w:val="00C0642B"/>
    <w:rsid w:val="00C06B28"/>
    <w:rsid w:val="00C06BCF"/>
    <w:rsid w:val="00C06D84"/>
    <w:rsid w:val="00C06E43"/>
    <w:rsid w:val="00C070D6"/>
    <w:rsid w:val="00C07133"/>
    <w:rsid w:val="00C07D73"/>
    <w:rsid w:val="00C07FC1"/>
    <w:rsid w:val="00C1031A"/>
    <w:rsid w:val="00C105B8"/>
    <w:rsid w:val="00C105CE"/>
    <w:rsid w:val="00C109CA"/>
    <w:rsid w:val="00C10C2D"/>
    <w:rsid w:val="00C10D45"/>
    <w:rsid w:val="00C11188"/>
    <w:rsid w:val="00C1127E"/>
    <w:rsid w:val="00C11444"/>
    <w:rsid w:val="00C11734"/>
    <w:rsid w:val="00C11A54"/>
    <w:rsid w:val="00C11C72"/>
    <w:rsid w:val="00C11E83"/>
    <w:rsid w:val="00C1221F"/>
    <w:rsid w:val="00C126C8"/>
    <w:rsid w:val="00C12F6C"/>
    <w:rsid w:val="00C13016"/>
    <w:rsid w:val="00C13250"/>
    <w:rsid w:val="00C1381C"/>
    <w:rsid w:val="00C139F1"/>
    <w:rsid w:val="00C13C3D"/>
    <w:rsid w:val="00C13E76"/>
    <w:rsid w:val="00C13E84"/>
    <w:rsid w:val="00C13F37"/>
    <w:rsid w:val="00C1466A"/>
    <w:rsid w:val="00C14A44"/>
    <w:rsid w:val="00C14CCF"/>
    <w:rsid w:val="00C15596"/>
    <w:rsid w:val="00C1583F"/>
    <w:rsid w:val="00C15AB6"/>
    <w:rsid w:val="00C15F9D"/>
    <w:rsid w:val="00C1613A"/>
    <w:rsid w:val="00C16260"/>
    <w:rsid w:val="00C162F4"/>
    <w:rsid w:val="00C1630E"/>
    <w:rsid w:val="00C16BE9"/>
    <w:rsid w:val="00C170B1"/>
    <w:rsid w:val="00C170D6"/>
    <w:rsid w:val="00C171E0"/>
    <w:rsid w:val="00C172BF"/>
    <w:rsid w:val="00C172D3"/>
    <w:rsid w:val="00C172E5"/>
    <w:rsid w:val="00C17345"/>
    <w:rsid w:val="00C17412"/>
    <w:rsid w:val="00C174F0"/>
    <w:rsid w:val="00C176ED"/>
    <w:rsid w:val="00C17DB5"/>
    <w:rsid w:val="00C17DF5"/>
    <w:rsid w:val="00C17E0A"/>
    <w:rsid w:val="00C200BD"/>
    <w:rsid w:val="00C20128"/>
    <w:rsid w:val="00C201E1"/>
    <w:rsid w:val="00C2034B"/>
    <w:rsid w:val="00C21A06"/>
    <w:rsid w:val="00C21EA7"/>
    <w:rsid w:val="00C221A0"/>
    <w:rsid w:val="00C225DD"/>
    <w:rsid w:val="00C22799"/>
    <w:rsid w:val="00C2297D"/>
    <w:rsid w:val="00C22DBD"/>
    <w:rsid w:val="00C2300F"/>
    <w:rsid w:val="00C23021"/>
    <w:rsid w:val="00C233A9"/>
    <w:rsid w:val="00C23823"/>
    <w:rsid w:val="00C23C2B"/>
    <w:rsid w:val="00C24050"/>
    <w:rsid w:val="00C24243"/>
    <w:rsid w:val="00C24356"/>
    <w:rsid w:val="00C24470"/>
    <w:rsid w:val="00C24B43"/>
    <w:rsid w:val="00C24B97"/>
    <w:rsid w:val="00C251F6"/>
    <w:rsid w:val="00C255E7"/>
    <w:rsid w:val="00C258A1"/>
    <w:rsid w:val="00C25AAF"/>
    <w:rsid w:val="00C25CA1"/>
    <w:rsid w:val="00C25CBA"/>
    <w:rsid w:val="00C25F19"/>
    <w:rsid w:val="00C25F82"/>
    <w:rsid w:val="00C26927"/>
    <w:rsid w:val="00C26948"/>
    <w:rsid w:val="00C27311"/>
    <w:rsid w:val="00C27542"/>
    <w:rsid w:val="00C27B42"/>
    <w:rsid w:val="00C27BA4"/>
    <w:rsid w:val="00C27BBA"/>
    <w:rsid w:val="00C27E39"/>
    <w:rsid w:val="00C27FA9"/>
    <w:rsid w:val="00C27FE7"/>
    <w:rsid w:val="00C30211"/>
    <w:rsid w:val="00C30EC8"/>
    <w:rsid w:val="00C30F98"/>
    <w:rsid w:val="00C3135C"/>
    <w:rsid w:val="00C316DC"/>
    <w:rsid w:val="00C31FA2"/>
    <w:rsid w:val="00C32B00"/>
    <w:rsid w:val="00C32D66"/>
    <w:rsid w:val="00C332A3"/>
    <w:rsid w:val="00C33354"/>
    <w:rsid w:val="00C3362F"/>
    <w:rsid w:val="00C33699"/>
    <w:rsid w:val="00C3377B"/>
    <w:rsid w:val="00C33C55"/>
    <w:rsid w:val="00C33C74"/>
    <w:rsid w:val="00C33DD7"/>
    <w:rsid w:val="00C33EA3"/>
    <w:rsid w:val="00C34175"/>
    <w:rsid w:val="00C342C3"/>
    <w:rsid w:val="00C3468B"/>
    <w:rsid w:val="00C34AE2"/>
    <w:rsid w:val="00C356AA"/>
    <w:rsid w:val="00C36356"/>
    <w:rsid w:val="00C369B5"/>
    <w:rsid w:val="00C36DC0"/>
    <w:rsid w:val="00C36E0F"/>
    <w:rsid w:val="00C370F4"/>
    <w:rsid w:val="00C3763B"/>
    <w:rsid w:val="00C376BD"/>
    <w:rsid w:val="00C3770B"/>
    <w:rsid w:val="00C37AFE"/>
    <w:rsid w:val="00C37D8D"/>
    <w:rsid w:val="00C37F5A"/>
    <w:rsid w:val="00C37FC4"/>
    <w:rsid w:val="00C40389"/>
    <w:rsid w:val="00C4061A"/>
    <w:rsid w:val="00C406F3"/>
    <w:rsid w:val="00C40708"/>
    <w:rsid w:val="00C407D1"/>
    <w:rsid w:val="00C40F98"/>
    <w:rsid w:val="00C410B6"/>
    <w:rsid w:val="00C4119D"/>
    <w:rsid w:val="00C41223"/>
    <w:rsid w:val="00C4201E"/>
    <w:rsid w:val="00C424D9"/>
    <w:rsid w:val="00C4262D"/>
    <w:rsid w:val="00C42A9F"/>
    <w:rsid w:val="00C42B8C"/>
    <w:rsid w:val="00C43135"/>
    <w:rsid w:val="00C432A4"/>
    <w:rsid w:val="00C43620"/>
    <w:rsid w:val="00C43CE6"/>
    <w:rsid w:val="00C441D7"/>
    <w:rsid w:val="00C446E5"/>
    <w:rsid w:val="00C44CEC"/>
    <w:rsid w:val="00C44DEC"/>
    <w:rsid w:val="00C44E96"/>
    <w:rsid w:val="00C45201"/>
    <w:rsid w:val="00C45571"/>
    <w:rsid w:val="00C45824"/>
    <w:rsid w:val="00C45896"/>
    <w:rsid w:val="00C459A8"/>
    <w:rsid w:val="00C45B1A"/>
    <w:rsid w:val="00C461A2"/>
    <w:rsid w:val="00C46289"/>
    <w:rsid w:val="00C46879"/>
    <w:rsid w:val="00C469D5"/>
    <w:rsid w:val="00C46CF4"/>
    <w:rsid w:val="00C46F8D"/>
    <w:rsid w:val="00C471B1"/>
    <w:rsid w:val="00C476D8"/>
    <w:rsid w:val="00C50092"/>
    <w:rsid w:val="00C50236"/>
    <w:rsid w:val="00C50340"/>
    <w:rsid w:val="00C5084E"/>
    <w:rsid w:val="00C508FC"/>
    <w:rsid w:val="00C51124"/>
    <w:rsid w:val="00C511B5"/>
    <w:rsid w:val="00C51354"/>
    <w:rsid w:val="00C519DF"/>
    <w:rsid w:val="00C51AF1"/>
    <w:rsid w:val="00C51C3E"/>
    <w:rsid w:val="00C52422"/>
    <w:rsid w:val="00C52600"/>
    <w:rsid w:val="00C52776"/>
    <w:rsid w:val="00C52B3C"/>
    <w:rsid w:val="00C52BFC"/>
    <w:rsid w:val="00C52CE6"/>
    <w:rsid w:val="00C52DC4"/>
    <w:rsid w:val="00C53418"/>
    <w:rsid w:val="00C5350A"/>
    <w:rsid w:val="00C53791"/>
    <w:rsid w:val="00C537B5"/>
    <w:rsid w:val="00C53C60"/>
    <w:rsid w:val="00C54127"/>
    <w:rsid w:val="00C54269"/>
    <w:rsid w:val="00C543BD"/>
    <w:rsid w:val="00C543C7"/>
    <w:rsid w:val="00C543E6"/>
    <w:rsid w:val="00C54A56"/>
    <w:rsid w:val="00C54CF1"/>
    <w:rsid w:val="00C54D39"/>
    <w:rsid w:val="00C55072"/>
    <w:rsid w:val="00C550FC"/>
    <w:rsid w:val="00C551DA"/>
    <w:rsid w:val="00C552FF"/>
    <w:rsid w:val="00C5544C"/>
    <w:rsid w:val="00C55E07"/>
    <w:rsid w:val="00C56935"/>
    <w:rsid w:val="00C56CEC"/>
    <w:rsid w:val="00C56E5E"/>
    <w:rsid w:val="00C579D2"/>
    <w:rsid w:val="00C57CF3"/>
    <w:rsid w:val="00C60949"/>
    <w:rsid w:val="00C60DFD"/>
    <w:rsid w:val="00C6113E"/>
    <w:rsid w:val="00C61251"/>
    <w:rsid w:val="00C61390"/>
    <w:rsid w:val="00C61692"/>
    <w:rsid w:val="00C616E7"/>
    <w:rsid w:val="00C61876"/>
    <w:rsid w:val="00C61936"/>
    <w:rsid w:val="00C619C3"/>
    <w:rsid w:val="00C61B71"/>
    <w:rsid w:val="00C61E82"/>
    <w:rsid w:val="00C61F92"/>
    <w:rsid w:val="00C62060"/>
    <w:rsid w:val="00C6209C"/>
    <w:rsid w:val="00C622D5"/>
    <w:rsid w:val="00C6249C"/>
    <w:rsid w:val="00C62536"/>
    <w:rsid w:val="00C6282E"/>
    <w:rsid w:val="00C62A62"/>
    <w:rsid w:val="00C62B78"/>
    <w:rsid w:val="00C62C9A"/>
    <w:rsid w:val="00C62D6E"/>
    <w:rsid w:val="00C62DA4"/>
    <w:rsid w:val="00C62DAC"/>
    <w:rsid w:val="00C62E57"/>
    <w:rsid w:val="00C62EE4"/>
    <w:rsid w:val="00C6382C"/>
    <w:rsid w:val="00C63945"/>
    <w:rsid w:val="00C643D1"/>
    <w:rsid w:val="00C6440A"/>
    <w:rsid w:val="00C647DC"/>
    <w:rsid w:val="00C64B59"/>
    <w:rsid w:val="00C65058"/>
    <w:rsid w:val="00C651FF"/>
    <w:rsid w:val="00C653A6"/>
    <w:rsid w:val="00C65408"/>
    <w:rsid w:val="00C6548B"/>
    <w:rsid w:val="00C656AF"/>
    <w:rsid w:val="00C65B91"/>
    <w:rsid w:val="00C65F0E"/>
    <w:rsid w:val="00C65F4B"/>
    <w:rsid w:val="00C66104"/>
    <w:rsid w:val="00C66202"/>
    <w:rsid w:val="00C6668E"/>
    <w:rsid w:val="00C667BC"/>
    <w:rsid w:val="00C66849"/>
    <w:rsid w:val="00C668EB"/>
    <w:rsid w:val="00C675FB"/>
    <w:rsid w:val="00C67648"/>
    <w:rsid w:val="00C67A8E"/>
    <w:rsid w:val="00C67C03"/>
    <w:rsid w:val="00C7005F"/>
    <w:rsid w:val="00C709A4"/>
    <w:rsid w:val="00C70F53"/>
    <w:rsid w:val="00C715F0"/>
    <w:rsid w:val="00C717A1"/>
    <w:rsid w:val="00C71A66"/>
    <w:rsid w:val="00C71C64"/>
    <w:rsid w:val="00C723C4"/>
    <w:rsid w:val="00C723E6"/>
    <w:rsid w:val="00C72423"/>
    <w:rsid w:val="00C7256E"/>
    <w:rsid w:val="00C72872"/>
    <w:rsid w:val="00C72BAE"/>
    <w:rsid w:val="00C72DDC"/>
    <w:rsid w:val="00C73263"/>
    <w:rsid w:val="00C73353"/>
    <w:rsid w:val="00C73597"/>
    <w:rsid w:val="00C739B9"/>
    <w:rsid w:val="00C73BE1"/>
    <w:rsid w:val="00C73EBD"/>
    <w:rsid w:val="00C7495A"/>
    <w:rsid w:val="00C74E34"/>
    <w:rsid w:val="00C75319"/>
    <w:rsid w:val="00C7567C"/>
    <w:rsid w:val="00C75A7A"/>
    <w:rsid w:val="00C75AF2"/>
    <w:rsid w:val="00C75B93"/>
    <w:rsid w:val="00C75E90"/>
    <w:rsid w:val="00C75F21"/>
    <w:rsid w:val="00C7611A"/>
    <w:rsid w:val="00C762DE"/>
    <w:rsid w:val="00C7651D"/>
    <w:rsid w:val="00C76702"/>
    <w:rsid w:val="00C76709"/>
    <w:rsid w:val="00C770BE"/>
    <w:rsid w:val="00C770C9"/>
    <w:rsid w:val="00C7723D"/>
    <w:rsid w:val="00C77C04"/>
    <w:rsid w:val="00C77F76"/>
    <w:rsid w:val="00C807DD"/>
    <w:rsid w:val="00C80B9E"/>
    <w:rsid w:val="00C80C3C"/>
    <w:rsid w:val="00C80C3F"/>
    <w:rsid w:val="00C80FF8"/>
    <w:rsid w:val="00C818DA"/>
    <w:rsid w:val="00C8195C"/>
    <w:rsid w:val="00C8199A"/>
    <w:rsid w:val="00C81A67"/>
    <w:rsid w:val="00C81C86"/>
    <w:rsid w:val="00C81F08"/>
    <w:rsid w:val="00C82578"/>
    <w:rsid w:val="00C8292C"/>
    <w:rsid w:val="00C82988"/>
    <w:rsid w:val="00C82D76"/>
    <w:rsid w:val="00C83152"/>
    <w:rsid w:val="00C831EE"/>
    <w:rsid w:val="00C8342C"/>
    <w:rsid w:val="00C8374B"/>
    <w:rsid w:val="00C83A71"/>
    <w:rsid w:val="00C83C7E"/>
    <w:rsid w:val="00C840A2"/>
    <w:rsid w:val="00C8432B"/>
    <w:rsid w:val="00C845ED"/>
    <w:rsid w:val="00C8472E"/>
    <w:rsid w:val="00C84D90"/>
    <w:rsid w:val="00C84EE8"/>
    <w:rsid w:val="00C850E1"/>
    <w:rsid w:val="00C8524F"/>
    <w:rsid w:val="00C85395"/>
    <w:rsid w:val="00C854AB"/>
    <w:rsid w:val="00C85A64"/>
    <w:rsid w:val="00C85EA7"/>
    <w:rsid w:val="00C85F78"/>
    <w:rsid w:val="00C8608C"/>
    <w:rsid w:val="00C86543"/>
    <w:rsid w:val="00C86B2E"/>
    <w:rsid w:val="00C86BAC"/>
    <w:rsid w:val="00C86E48"/>
    <w:rsid w:val="00C87128"/>
    <w:rsid w:val="00C87228"/>
    <w:rsid w:val="00C8781B"/>
    <w:rsid w:val="00C87C3A"/>
    <w:rsid w:val="00C87E5D"/>
    <w:rsid w:val="00C902A2"/>
    <w:rsid w:val="00C90332"/>
    <w:rsid w:val="00C9083D"/>
    <w:rsid w:val="00C90C78"/>
    <w:rsid w:val="00C90CB0"/>
    <w:rsid w:val="00C90CC3"/>
    <w:rsid w:val="00C90D75"/>
    <w:rsid w:val="00C911E6"/>
    <w:rsid w:val="00C917CD"/>
    <w:rsid w:val="00C91875"/>
    <w:rsid w:val="00C91C0F"/>
    <w:rsid w:val="00C922EF"/>
    <w:rsid w:val="00C92356"/>
    <w:rsid w:val="00C92379"/>
    <w:rsid w:val="00C924F0"/>
    <w:rsid w:val="00C927AC"/>
    <w:rsid w:val="00C9336F"/>
    <w:rsid w:val="00C9346B"/>
    <w:rsid w:val="00C9393D"/>
    <w:rsid w:val="00C93A1E"/>
    <w:rsid w:val="00C940F8"/>
    <w:rsid w:val="00C94248"/>
    <w:rsid w:val="00C944DC"/>
    <w:rsid w:val="00C945C7"/>
    <w:rsid w:val="00C94648"/>
    <w:rsid w:val="00C946B4"/>
    <w:rsid w:val="00C94D33"/>
    <w:rsid w:val="00C95533"/>
    <w:rsid w:val="00C95577"/>
    <w:rsid w:val="00C955FA"/>
    <w:rsid w:val="00C9568F"/>
    <w:rsid w:val="00C95A17"/>
    <w:rsid w:val="00C95AFA"/>
    <w:rsid w:val="00C95D34"/>
    <w:rsid w:val="00C95E70"/>
    <w:rsid w:val="00C95F1E"/>
    <w:rsid w:val="00C95F45"/>
    <w:rsid w:val="00C96836"/>
    <w:rsid w:val="00C969E0"/>
    <w:rsid w:val="00C96B5E"/>
    <w:rsid w:val="00C96C6A"/>
    <w:rsid w:val="00C9713D"/>
    <w:rsid w:val="00C971B9"/>
    <w:rsid w:val="00C9721A"/>
    <w:rsid w:val="00C9765D"/>
    <w:rsid w:val="00C97AE8"/>
    <w:rsid w:val="00C97E61"/>
    <w:rsid w:val="00CA00D2"/>
    <w:rsid w:val="00CA01A5"/>
    <w:rsid w:val="00CA071C"/>
    <w:rsid w:val="00CA09CD"/>
    <w:rsid w:val="00CA0BB8"/>
    <w:rsid w:val="00CA0FAD"/>
    <w:rsid w:val="00CA1CAD"/>
    <w:rsid w:val="00CA2196"/>
    <w:rsid w:val="00CA2227"/>
    <w:rsid w:val="00CA22ED"/>
    <w:rsid w:val="00CA23D0"/>
    <w:rsid w:val="00CA2678"/>
    <w:rsid w:val="00CA2D29"/>
    <w:rsid w:val="00CA2E9A"/>
    <w:rsid w:val="00CA2F00"/>
    <w:rsid w:val="00CA320B"/>
    <w:rsid w:val="00CA3381"/>
    <w:rsid w:val="00CA3469"/>
    <w:rsid w:val="00CA380B"/>
    <w:rsid w:val="00CA3E4C"/>
    <w:rsid w:val="00CA462B"/>
    <w:rsid w:val="00CA491E"/>
    <w:rsid w:val="00CA4A08"/>
    <w:rsid w:val="00CA4AD6"/>
    <w:rsid w:val="00CA4DFF"/>
    <w:rsid w:val="00CA505D"/>
    <w:rsid w:val="00CA531F"/>
    <w:rsid w:val="00CA5487"/>
    <w:rsid w:val="00CA54C3"/>
    <w:rsid w:val="00CA57B4"/>
    <w:rsid w:val="00CA58AC"/>
    <w:rsid w:val="00CA6323"/>
    <w:rsid w:val="00CA6AA2"/>
    <w:rsid w:val="00CA720D"/>
    <w:rsid w:val="00CA7535"/>
    <w:rsid w:val="00CA7654"/>
    <w:rsid w:val="00CA77F7"/>
    <w:rsid w:val="00CA7A16"/>
    <w:rsid w:val="00CA7A52"/>
    <w:rsid w:val="00CA7A58"/>
    <w:rsid w:val="00CA7B7D"/>
    <w:rsid w:val="00CB042D"/>
    <w:rsid w:val="00CB0C1B"/>
    <w:rsid w:val="00CB0E93"/>
    <w:rsid w:val="00CB0ED6"/>
    <w:rsid w:val="00CB1066"/>
    <w:rsid w:val="00CB11C7"/>
    <w:rsid w:val="00CB1B9E"/>
    <w:rsid w:val="00CB2251"/>
    <w:rsid w:val="00CB2300"/>
    <w:rsid w:val="00CB2794"/>
    <w:rsid w:val="00CB2C7B"/>
    <w:rsid w:val="00CB331A"/>
    <w:rsid w:val="00CB3478"/>
    <w:rsid w:val="00CB3776"/>
    <w:rsid w:val="00CB3C4D"/>
    <w:rsid w:val="00CB43CC"/>
    <w:rsid w:val="00CB4F0E"/>
    <w:rsid w:val="00CB4F9F"/>
    <w:rsid w:val="00CB5E7A"/>
    <w:rsid w:val="00CB6523"/>
    <w:rsid w:val="00CB6638"/>
    <w:rsid w:val="00CB6E1D"/>
    <w:rsid w:val="00CB7169"/>
    <w:rsid w:val="00CC013C"/>
    <w:rsid w:val="00CC03DD"/>
    <w:rsid w:val="00CC05B8"/>
    <w:rsid w:val="00CC0855"/>
    <w:rsid w:val="00CC0D8A"/>
    <w:rsid w:val="00CC19FA"/>
    <w:rsid w:val="00CC1EFA"/>
    <w:rsid w:val="00CC250A"/>
    <w:rsid w:val="00CC262F"/>
    <w:rsid w:val="00CC280F"/>
    <w:rsid w:val="00CC29BA"/>
    <w:rsid w:val="00CC30FC"/>
    <w:rsid w:val="00CC3549"/>
    <w:rsid w:val="00CC364C"/>
    <w:rsid w:val="00CC36D2"/>
    <w:rsid w:val="00CC3A93"/>
    <w:rsid w:val="00CC3AE2"/>
    <w:rsid w:val="00CC3B62"/>
    <w:rsid w:val="00CC3D6E"/>
    <w:rsid w:val="00CC3FEB"/>
    <w:rsid w:val="00CC46A7"/>
    <w:rsid w:val="00CC4874"/>
    <w:rsid w:val="00CC4910"/>
    <w:rsid w:val="00CC4B72"/>
    <w:rsid w:val="00CC4CCF"/>
    <w:rsid w:val="00CC510B"/>
    <w:rsid w:val="00CC5486"/>
    <w:rsid w:val="00CC5832"/>
    <w:rsid w:val="00CC5C8A"/>
    <w:rsid w:val="00CC5ECA"/>
    <w:rsid w:val="00CC5F0E"/>
    <w:rsid w:val="00CC5FDB"/>
    <w:rsid w:val="00CC64E7"/>
    <w:rsid w:val="00CC676D"/>
    <w:rsid w:val="00CC6817"/>
    <w:rsid w:val="00CC6901"/>
    <w:rsid w:val="00CC69DF"/>
    <w:rsid w:val="00CC6BAC"/>
    <w:rsid w:val="00CC6C05"/>
    <w:rsid w:val="00CC7053"/>
    <w:rsid w:val="00CC72CE"/>
    <w:rsid w:val="00CC753E"/>
    <w:rsid w:val="00CC7824"/>
    <w:rsid w:val="00CC7A01"/>
    <w:rsid w:val="00CC7AD2"/>
    <w:rsid w:val="00CC7D22"/>
    <w:rsid w:val="00CC7FFC"/>
    <w:rsid w:val="00CD00A2"/>
    <w:rsid w:val="00CD00C0"/>
    <w:rsid w:val="00CD016E"/>
    <w:rsid w:val="00CD061E"/>
    <w:rsid w:val="00CD07B8"/>
    <w:rsid w:val="00CD0932"/>
    <w:rsid w:val="00CD0DFF"/>
    <w:rsid w:val="00CD1359"/>
    <w:rsid w:val="00CD1708"/>
    <w:rsid w:val="00CD17C6"/>
    <w:rsid w:val="00CD1F03"/>
    <w:rsid w:val="00CD1F0C"/>
    <w:rsid w:val="00CD1F27"/>
    <w:rsid w:val="00CD200A"/>
    <w:rsid w:val="00CD2137"/>
    <w:rsid w:val="00CD2432"/>
    <w:rsid w:val="00CD256B"/>
    <w:rsid w:val="00CD2694"/>
    <w:rsid w:val="00CD27CC"/>
    <w:rsid w:val="00CD29A3"/>
    <w:rsid w:val="00CD2D78"/>
    <w:rsid w:val="00CD2FE9"/>
    <w:rsid w:val="00CD336C"/>
    <w:rsid w:val="00CD3512"/>
    <w:rsid w:val="00CD3A8D"/>
    <w:rsid w:val="00CD3F99"/>
    <w:rsid w:val="00CD4030"/>
    <w:rsid w:val="00CD419C"/>
    <w:rsid w:val="00CD4680"/>
    <w:rsid w:val="00CD4798"/>
    <w:rsid w:val="00CD49AC"/>
    <w:rsid w:val="00CD4ABF"/>
    <w:rsid w:val="00CD4B41"/>
    <w:rsid w:val="00CD4DE2"/>
    <w:rsid w:val="00CD4ECB"/>
    <w:rsid w:val="00CD4F4C"/>
    <w:rsid w:val="00CD517D"/>
    <w:rsid w:val="00CD55F3"/>
    <w:rsid w:val="00CD5693"/>
    <w:rsid w:val="00CD58C6"/>
    <w:rsid w:val="00CD5B28"/>
    <w:rsid w:val="00CD5FD3"/>
    <w:rsid w:val="00CD6135"/>
    <w:rsid w:val="00CD620F"/>
    <w:rsid w:val="00CD623F"/>
    <w:rsid w:val="00CD62E6"/>
    <w:rsid w:val="00CD644A"/>
    <w:rsid w:val="00CD64C4"/>
    <w:rsid w:val="00CD668B"/>
    <w:rsid w:val="00CD69C8"/>
    <w:rsid w:val="00CD6ABC"/>
    <w:rsid w:val="00CD6AEC"/>
    <w:rsid w:val="00CD6CFD"/>
    <w:rsid w:val="00CD78EA"/>
    <w:rsid w:val="00CD7EAB"/>
    <w:rsid w:val="00CE0286"/>
    <w:rsid w:val="00CE1077"/>
    <w:rsid w:val="00CE159F"/>
    <w:rsid w:val="00CE1711"/>
    <w:rsid w:val="00CE1F6C"/>
    <w:rsid w:val="00CE205A"/>
    <w:rsid w:val="00CE24C3"/>
    <w:rsid w:val="00CE28D6"/>
    <w:rsid w:val="00CE347C"/>
    <w:rsid w:val="00CE3502"/>
    <w:rsid w:val="00CE393F"/>
    <w:rsid w:val="00CE3D31"/>
    <w:rsid w:val="00CE3D6C"/>
    <w:rsid w:val="00CE3DA5"/>
    <w:rsid w:val="00CE403B"/>
    <w:rsid w:val="00CE45BA"/>
    <w:rsid w:val="00CE482B"/>
    <w:rsid w:val="00CE4A57"/>
    <w:rsid w:val="00CE4D60"/>
    <w:rsid w:val="00CE53C4"/>
    <w:rsid w:val="00CE58FA"/>
    <w:rsid w:val="00CE595B"/>
    <w:rsid w:val="00CE59CD"/>
    <w:rsid w:val="00CE5B4C"/>
    <w:rsid w:val="00CE5BBA"/>
    <w:rsid w:val="00CE5FDA"/>
    <w:rsid w:val="00CE6293"/>
    <w:rsid w:val="00CE63AE"/>
    <w:rsid w:val="00CE6910"/>
    <w:rsid w:val="00CE6C1F"/>
    <w:rsid w:val="00CE6C34"/>
    <w:rsid w:val="00CE76FA"/>
    <w:rsid w:val="00CE7847"/>
    <w:rsid w:val="00CE7BDC"/>
    <w:rsid w:val="00CE7EAC"/>
    <w:rsid w:val="00CF0033"/>
    <w:rsid w:val="00CF0303"/>
    <w:rsid w:val="00CF046D"/>
    <w:rsid w:val="00CF06B3"/>
    <w:rsid w:val="00CF0716"/>
    <w:rsid w:val="00CF101F"/>
    <w:rsid w:val="00CF11BE"/>
    <w:rsid w:val="00CF1310"/>
    <w:rsid w:val="00CF16F5"/>
    <w:rsid w:val="00CF1B46"/>
    <w:rsid w:val="00CF1EF0"/>
    <w:rsid w:val="00CF2B2B"/>
    <w:rsid w:val="00CF2D07"/>
    <w:rsid w:val="00CF2DA9"/>
    <w:rsid w:val="00CF30F9"/>
    <w:rsid w:val="00CF31C5"/>
    <w:rsid w:val="00CF31DA"/>
    <w:rsid w:val="00CF32B9"/>
    <w:rsid w:val="00CF3C2B"/>
    <w:rsid w:val="00CF3C8F"/>
    <w:rsid w:val="00CF3DA9"/>
    <w:rsid w:val="00CF4028"/>
    <w:rsid w:val="00CF43BA"/>
    <w:rsid w:val="00CF4478"/>
    <w:rsid w:val="00CF4BD5"/>
    <w:rsid w:val="00CF5008"/>
    <w:rsid w:val="00CF52F6"/>
    <w:rsid w:val="00CF56BC"/>
    <w:rsid w:val="00CF57C4"/>
    <w:rsid w:val="00CF6B59"/>
    <w:rsid w:val="00CF76FD"/>
    <w:rsid w:val="00D00149"/>
    <w:rsid w:val="00D001C4"/>
    <w:rsid w:val="00D003A1"/>
    <w:rsid w:val="00D003F5"/>
    <w:rsid w:val="00D0045E"/>
    <w:rsid w:val="00D00478"/>
    <w:rsid w:val="00D00638"/>
    <w:rsid w:val="00D00653"/>
    <w:rsid w:val="00D00911"/>
    <w:rsid w:val="00D00D24"/>
    <w:rsid w:val="00D01151"/>
    <w:rsid w:val="00D012B4"/>
    <w:rsid w:val="00D01476"/>
    <w:rsid w:val="00D01527"/>
    <w:rsid w:val="00D015A1"/>
    <w:rsid w:val="00D01627"/>
    <w:rsid w:val="00D01AEC"/>
    <w:rsid w:val="00D01AF0"/>
    <w:rsid w:val="00D01C27"/>
    <w:rsid w:val="00D01E4E"/>
    <w:rsid w:val="00D03950"/>
    <w:rsid w:val="00D03C09"/>
    <w:rsid w:val="00D03D3D"/>
    <w:rsid w:val="00D03D53"/>
    <w:rsid w:val="00D0413E"/>
    <w:rsid w:val="00D0465F"/>
    <w:rsid w:val="00D046C3"/>
    <w:rsid w:val="00D04FCB"/>
    <w:rsid w:val="00D0505A"/>
    <w:rsid w:val="00D0543F"/>
    <w:rsid w:val="00D056A1"/>
    <w:rsid w:val="00D05A53"/>
    <w:rsid w:val="00D05C3D"/>
    <w:rsid w:val="00D061B6"/>
    <w:rsid w:val="00D063AC"/>
    <w:rsid w:val="00D06447"/>
    <w:rsid w:val="00D06A78"/>
    <w:rsid w:val="00D06A91"/>
    <w:rsid w:val="00D06FC3"/>
    <w:rsid w:val="00D071B2"/>
    <w:rsid w:val="00D07347"/>
    <w:rsid w:val="00D078F9"/>
    <w:rsid w:val="00D07DB4"/>
    <w:rsid w:val="00D07ED3"/>
    <w:rsid w:val="00D1003E"/>
    <w:rsid w:val="00D10258"/>
    <w:rsid w:val="00D104E0"/>
    <w:rsid w:val="00D10530"/>
    <w:rsid w:val="00D108C0"/>
    <w:rsid w:val="00D10A24"/>
    <w:rsid w:val="00D10F5E"/>
    <w:rsid w:val="00D119CF"/>
    <w:rsid w:val="00D11C4E"/>
    <w:rsid w:val="00D12059"/>
    <w:rsid w:val="00D1209D"/>
    <w:rsid w:val="00D12492"/>
    <w:rsid w:val="00D125E5"/>
    <w:rsid w:val="00D1308D"/>
    <w:rsid w:val="00D1402E"/>
    <w:rsid w:val="00D1419D"/>
    <w:rsid w:val="00D1428D"/>
    <w:rsid w:val="00D1429C"/>
    <w:rsid w:val="00D1436E"/>
    <w:rsid w:val="00D148D4"/>
    <w:rsid w:val="00D14ABB"/>
    <w:rsid w:val="00D14E0D"/>
    <w:rsid w:val="00D150F7"/>
    <w:rsid w:val="00D152B5"/>
    <w:rsid w:val="00D156AD"/>
    <w:rsid w:val="00D15B32"/>
    <w:rsid w:val="00D15CD3"/>
    <w:rsid w:val="00D15E70"/>
    <w:rsid w:val="00D15F59"/>
    <w:rsid w:val="00D15FCB"/>
    <w:rsid w:val="00D16296"/>
    <w:rsid w:val="00D165F4"/>
    <w:rsid w:val="00D16940"/>
    <w:rsid w:val="00D16C6E"/>
    <w:rsid w:val="00D17058"/>
    <w:rsid w:val="00D17129"/>
    <w:rsid w:val="00D17618"/>
    <w:rsid w:val="00D1769C"/>
    <w:rsid w:val="00D178D3"/>
    <w:rsid w:val="00D17FC3"/>
    <w:rsid w:val="00D202A8"/>
    <w:rsid w:val="00D204BF"/>
    <w:rsid w:val="00D205A5"/>
    <w:rsid w:val="00D20802"/>
    <w:rsid w:val="00D2092D"/>
    <w:rsid w:val="00D20DE3"/>
    <w:rsid w:val="00D20FD3"/>
    <w:rsid w:val="00D210C6"/>
    <w:rsid w:val="00D2125C"/>
    <w:rsid w:val="00D2248D"/>
    <w:rsid w:val="00D22C31"/>
    <w:rsid w:val="00D22E3D"/>
    <w:rsid w:val="00D22ED2"/>
    <w:rsid w:val="00D22F0C"/>
    <w:rsid w:val="00D23163"/>
    <w:rsid w:val="00D231A7"/>
    <w:rsid w:val="00D23349"/>
    <w:rsid w:val="00D235D3"/>
    <w:rsid w:val="00D247B7"/>
    <w:rsid w:val="00D24A76"/>
    <w:rsid w:val="00D24ADA"/>
    <w:rsid w:val="00D2506C"/>
    <w:rsid w:val="00D25427"/>
    <w:rsid w:val="00D255DE"/>
    <w:rsid w:val="00D257C8"/>
    <w:rsid w:val="00D25B08"/>
    <w:rsid w:val="00D25E00"/>
    <w:rsid w:val="00D25EF8"/>
    <w:rsid w:val="00D25F60"/>
    <w:rsid w:val="00D2683A"/>
    <w:rsid w:val="00D26AFB"/>
    <w:rsid w:val="00D26C56"/>
    <w:rsid w:val="00D26CB1"/>
    <w:rsid w:val="00D26EB7"/>
    <w:rsid w:val="00D27001"/>
    <w:rsid w:val="00D2707D"/>
    <w:rsid w:val="00D27578"/>
    <w:rsid w:val="00D2757E"/>
    <w:rsid w:val="00D2787E"/>
    <w:rsid w:val="00D279EA"/>
    <w:rsid w:val="00D27BB0"/>
    <w:rsid w:val="00D302C2"/>
    <w:rsid w:val="00D30407"/>
    <w:rsid w:val="00D30777"/>
    <w:rsid w:val="00D308ED"/>
    <w:rsid w:val="00D30C38"/>
    <w:rsid w:val="00D311D5"/>
    <w:rsid w:val="00D3151D"/>
    <w:rsid w:val="00D3186C"/>
    <w:rsid w:val="00D31907"/>
    <w:rsid w:val="00D319D2"/>
    <w:rsid w:val="00D31AAC"/>
    <w:rsid w:val="00D31AF5"/>
    <w:rsid w:val="00D31DA6"/>
    <w:rsid w:val="00D32693"/>
    <w:rsid w:val="00D327E7"/>
    <w:rsid w:val="00D3288A"/>
    <w:rsid w:val="00D328D8"/>
    <w:rsid w:val="00D3299A"/>
    <w:rsid w:val="00D32DB7"/>
    <w:rsid w:val="00D336DB"/>
    <w:rsid w:val="00D33C37"/>
    <w:rsid w:val="00D33E6C"/>
    <w:rsid w:val="00D33EE1"/>
    <w:rsid w:val="00D3416F"/>
    <w:rsid w:val="00D34301"/>
    <w:rsid w:val="00D347CF"/>
    <w:rsid w:val="00D349A6"/>
    <w:rsid w:val="00D35476"/>
    <w:rsid w:val="00D35485"/>
    <w:rsid w:val="00D355E3"/>
    <w:rsid w:val="00D35BB7"/>
    <w:rsid w:val="00D35BC6"/>
    <w:rsid w:val="00D360A8"/>
    <w:rsid w:val="00D3614A"/>
    <w:rsid w:val="00D3620E"/>
    <w:rsid w:val="00D3622A"/>
    <w:rsid w:val="00D36383"/>
    <w:rsid w:val="00D3653D"/>
    <w:rsid w:val="00D37399"/>
    <w:rsid w:val="00D37741"/>
    <w:rsid w:val="00D4011A"/>
    <w:rsid w:val="00D40CF9"/>
    <w:rsid w:val="00D40D7A"/>
    <w:rsid w:val="00D41018"/>
    <w:rsid w:val="00D4101C"/>
    <w:rsid w:val="00D41218"/>
    <w:rsid w:val="00D41439"/>
    <w:rsid w:val="00D414E8"/>
    <w:rsid w:val="00D41784"/>
    <w:rsid w:val="00D41F92"/>
    <w:rsid w:val="00D41FE1"/>
    <w:rsid w:val="00D42378"/>
    <w:rsid w:val="00D42563"/>
    <w:rsid w:val="00D425B4"/>
    <w:rsid w:val="00D426AD"/>
    <w:rsid w:val="00D4284E"/>
    <w:rsid w:val="00D430CF"/>
    <w:rsid w:val="00D43162"/>
    <w:rsid w:val="00D43617"/>
    <w:rsid w:val="00D43652"/>
    <w:rsid w:val="00D43AE4"/>
    <w:rsid w:val="00D43B35"/>
    <w:rsid w:val="00D43CAC"/>
    <w:rsid w:val="00D43F3F"/>
    <w:rsid w:val="00D44056"/>
    <w:rsid w:val="00D440B4"/>
    <w:rsid w:val="00D44147"/>
    <w:rsid w:val="00D44207"/>
    <w:rsid w:val="00D44948"/>
    <w:rsid w:val="00D44B22"/>
    <w:rsid w:val="00D44B87"/>
    <w:rsid w:val="00D44C2B"/>
    <w:rsid w:val="00D44E5B"/>
    <w:rsid w:val="00D45019"/>
    <w:rsid w:val="00D450A3"/>
    <w:rsid w:val="00D4522C"/>
    <w:rsid w:val="00D4562D"/>
    <w:rsid w:val="00D456B1"/>
    <w:rsid w:val="00D4571B"/>
    <w:rsid w:val="00D45945"/>
    <w:rsid w:val="00D45A33"/>
    <w:rsid w:val="00D45ABC"/>
    <w:rsid w:val="00D45B65"/>
    <w:rsid w:val="00D46289"/>
    <w:rsid w:val="00D46743"/>
    <w:rsid w:val="00D4680F"/>
    <w:rsid w:val="00D46AA4"/>
    <w:rsid w:val="00D4726B"/>
    <w:rsid w:val="00D472C7"/>
    <w:rsid w:val="00D4761B"/>
    <w:rsid w:val="00D47BC4"/>
    <w:rsid w:val="00D47CEA"/>
    <w:rsid w:val="00D502FB"/>
    <w:rsid w:val="00D50A49"/>
    <w:rsid w:val="00D50A78"/>
    <w:rsid w:val="00D50F0D"/>
    <w:rsid w:val="00D5132B"/>
    <w:rsid w:val="00D516CB"/>
    <w:rsid w:val="00D51ABC"/>
    <w:rsid w:val="00D51C75"/>
    <w:rsid w:val="00D51E0B"/>
    <w:rsid w:val="00D522A8"/>
    <w:rsid w:val="00D52632"/>
    <w:rsid w:val="00D528F0"/>
    <w:rsid w:val="00D52936"/>
    <w:rsid w:val="00D52987"/>
    <w:rsid w:val="00D5313D"/>
    <w:rsid w:val="00D5366D"/>
    <w:rsid w:val="00D5368F"/>
    <w:rsid w:val="00D53AB7"/>
    <w:rsid w:val="00D53CDB"/>
    <w:rsid w:val="00D53E9F"/>
    <w:rsid w:val="00D53F1B"/>
    <w:rsid w:val="00D541C7"/>
    <w:rsid w:val="00D54481"/>
    <w:rsid w:val="00D54721"/>
    <w:rsid w:val="00D549A5"/>
    <w:rsid w:val="00D54BD4"/>
    <w:rsid w:val="00D54C55"/>
    <w:rsid w:val="00D550F9"/>
    <w:rsid w:val="00D55303"/>
    <w:rsid w:val="00D55613"/>
    <w:rsid w:val="00D55D06"/>
    <w:rsid w:val="00D56298"/>
    <w:rsid w:val="00D563A2"/>
    <w:rsid w:val="00D56892"/>
    <w:rsid w:val="00D56A25"/>
    <w:rsid w:val="00D56EF7"/>
    <w:rsid w:val="00D577DF"/>
    <w:rsid w:val="00D57AD1"/>
    <w:rsid w:val="00D57D66"/>
    <w:rsid w:val="00D607B7"/>
    <w:rsid w:val="00D60AA7"/>
    <w:rsid w:val="00D60B38"/>
    <w:rsid w:val="00D60B8C"/>
    <w:rsid w:val="00D61385"/>
    <w:rsid w:val="00D61640"/>
    <w:rsid w:val="00D61788"/>
    <w:rsid w:val="00D61A0E"/>
    <w:rsid w:val="00D61C7E"/>
    <w:rsid w:val="00D61CBC"/>
    <w:rsid w:val="00D623A4"/>
    <w:rsid w:val="00D626FB"/>
    <w:rsid w:val="00D62D48"/>
    <w:rsid w:val="00D63B31"/>
    <w:rsid w:val="00D63D9A"/>
    <w:rsid w:val="00D63FD6"/>
    <w:rsid w:val="00D64093"/>
    <w:rsid w:val="00D6417B"/>
    <w:rsid w:val="00D6465C"/>
    <w:rsid w:val="00D64D84"/>
    <w:rsid w:val="00D651A9"/>
    <w:rsid w:val="00D65406"/>
    <w:rsid w:val="00D656E5"/>
    <w:rsid w:val="00D6596A"/>
    <w:rsid w:val="00D65A6E"/>
    <w:rsid w:val="00D65D23"/>
    <w:rsid w:val="00D6606D"/>
    <w:rsid w:val="00D66750"/>
    <w:rsid w:val="00D667AD"/>
    <w:rsid w:val="00D66B7C"/>
    <w:rsid w:val="00D66BE9"/>
    <w:rsid w:val="00D66D96"/>
    <w:rsid w:val="00D6723F"/>
    <w:rsid w:val="00D672F0"/>
    <w:rsid w:val="00D67590"/>
    <w:rsid w:val="00D67756"/>
    <w:rsid w:val="00D67849"/>
    <w:rsid w:val="00D6786E"/>
    <w:rsid w:val="00D704CB"/>
    <w:rsid w:val="00D70616"/>
    <w:rsid w:val="00D708D0"/>
    <w:rsid w:val="00D70C24"/>
    <w:rsid w:val="00D712B7"/>
    <w:rsid w:val="00D71401"/>
    <w:rsid w:val="00D716C7"/>
    <w:rsid w:val="00D717A4"/>
    <w:rsid w:val="00D71957"/>
    <w:rsid w:val="00D71990"/>
    <w:rsid w:val="00D71AE5"/>
    <w:rsid w:val="00D71CBC"/>
    <w:rsid w:val="00D71DA4"/>
    <w:rsid w:val="00D71DCE"/>
    <w:rsid w:val="00D71E8D"/>
    <w:rsid w:val="00D72008"/>
    <w:rsid w:val="00D72335"/>
    <w:rsid w:val="00D723A5"/>
    <w:rsid w:val="00D72ABD"/>
    <w:rsid w:val="00D72BED"/>
    <w:rsid w:val="00D72C2C"/>
    <w:rsid w:val="00D72FFC"/>
    <w:rsid w:val="00D73ED6"/>
    <w:rsid w:val="00D7418D"/>
    <w:rsid w:val="00D7442C"/>
    <w:rsid w:val="00D7446E"/>
    <w:rsid w:val="00D745E1"/>
    <w:rsid w:val="00D74632"/>
    <w:rsid w:val="00D748B4"/>
    <w:rsid w:val="00D7507A"/>
    <w:rsid w:val="00D75534"/>
    <w:rsid w:val="00D7589B"/>
    <w:rsid w:val="00D7592E"/>
    <w:rsid w:val="00D75AC2"/>
    <w:rsid w:val="00D76116"/>
    <w:rsid w:val="00D7681D"/>
    <w:rsid w:val="00D770EB"/>
    <w:rsid w:val="00D77608"/>
    <w:rsid w:val="00D7777A"/>
    <w:rsid w:val="00D777D3"/>
    <w:rsid w:val="00D77D6B"/>
    <w:rsid w:val="00D804A5"/>
    <w:rsid w:val="00D80CDF"/>
    <w:rsid w:val="00D8115A"/>
    <w:rsid w:val="00D811FB"/>
    <w:rsid w:val="00D81807"/>
    <w:rsid w:val="00D818DA"/>
    <w:rsid w:val="00D81D62"/>
    <w:rsid w:val="00D81D81"/>
    <w:rsid w:val="00D8240D"/>
    <w:rsid w:val="00D82486"/>
    <w:rsid w:val="00D82630"/>
    <w:rsid w:val="00D82818"/>
    <w:rsid w:val="00D82F5B"/>
    <w:rsid w:val="00D83148"/>
    <w:rsid w:val="00D834F4"/>
    <w:rsid w:val="00D83725"/>
    <w:rsid w:val="00D83984"/>
    <w:rsid w:val="00D8398F"/>
    <w:rsid w:val="00D83C20"/>
    <w:rsid w:val="00D83E1A"/>
    <w:rsid w:val="00D83FF9"/>
    <w:rsid w:val="00D846E2"/>
    <w:rsid w:val="00D84CD4"/>
    <w:rsid w:val="00D84D60"/>
    <w:rsid w:val="00D850EF"/>
    <w:rsid w:val="00D853ED"/>
    <w:rsid w:val="00D85985"/>
    <w:rsid w:val="00D859E5"/>
    <w:rsid w:val="00D85CC1"/>
    <w:rsid w:val="00D85E16"/>
    <w:rsid w:val="00D85EC5"/>
    <w:rsid w:val="00D86386"/>
    <w:rsid w:val="00D86654"/>
    <w:rsid w:val="00D86755"/>
    <w:rsid w:val="00D86838"/>
    <w:rsid w:val="00D8696F"/>
    <w:rsid w:val="00D86AC9"/>
    <w:rsid w:val="00D86B09"/>
    <w:rsid w:val="00D86ED3"/>
    <w:rsid w:val="00D87078"/>
    <w:rsid w:val="00D87088"/>
    <w:rsid w:val="00D87256"/>
    <w:rsid w:val="00D87459"/>
    <w:rsid w:val="00D87581"/>
    <w:rsid w:val="00D8769A"/>
    <w:rsid w:val="00D87934"/>
    <w:rsid w:val="00D90567"/>
    <w:rsid w:val="00D90577"/>
    <w:rsid w:val="00D907EF"/>
    <w:rsid w:val="00D90B9F"/>
    <w:rsid w:val="00D90E57"/>
    <w:rsid w:val="00D90EAA"/>
    <w:rsid w:val="00D91189"/>
    <w:rsid w:val="00D91416"/>
    <w:rsid w:val="00D91AD9"/>
    <w:rsid w:val="00D925AA"/>
    <w:rsid w:val="00D92741"/>
    <w:rsid w:val="00D92813"/>
    <w:rsid w:val="00D9294F"/>
    <w:rsid w:val="00D92DB9"/>
    <w:rsid w:val="00D92F40"/>
    <w:rsid w:val="00D93325"/>
    <w:rsid w:val="00D93645"/>
    <w:rsid w:val="00D93677"/>
    <w:rsid w:val="00D9381C"/>
    <w:rsid w:val="00D93A39"/>
    <w:rsid w:val="00D93EC8"/>
    <w:rsid w:val="00D941F0"/>
    <w:rsid w:val="00D948EE"/>
    <w:rsid w:val="00D94C0B"/>
    <w:rsid w:val="00D95034"/>
    <w:rsid w:val="00D953F3"/>
    <w:rsid w:val="00D9568F"/>
    <w:rsid w:val="00D95ADE"/>
    <w:rsid w:val="00D95AEC"/>
    <w:rsid w:val="00D95B78"/>
    <w:rsid w:val="00D96936"/>
    <w:rsid w:val="00D96B9A"/>
    <w:rsid w:val="00D96BF5"/>
    <w:rsid w:val="00D96E67"/>
    <w:rsid w:val="00D96EE6"/>
    <w:rsid w:val="00D9723A"/>
    <w:rsid w:val="00D97394"/>
    <w:rsid w:val="00D9739D"/>
    <w:rsid w:val="00D973ED"/>
    <w:rsid w:val="00DA0016"/>
    <w:rsid w:val="00DA0707"/>
    <w:rsid w:val="00DA0938"/>
    <w:rsid w:val="00DA0BCF"/>
    <w:rsid w:val="00DA0CC8"/>
    <w:rsid w:val="00DA1E49"/>
    <w:rsid w:val="00DA1F03"/>
    <w:rsid w:val="00DA1F7D"/>
    <w:rsid w:val="00DA2488"/>
    <w:rsid w:val="00DA25D3"/>
    <w:rsid w:val="00DA2B1B"/>
    <w:rsid w:val="00DA2C85"/>
    <w:rsid w:val="00DA2CCF"/>
    <w:rsid w:val="00DA2E55"/>
    <w:rsid w:val="00DA2F84"/>
    <w:rsid w:val="00DA3261"/>
    <w:rsid w:val="00DA32FC"/>
    <w:rsid w:val="00DA3495"/>
    <w:rsid w:val="00DA3D5F"/>
    <w:rsid w:val="00DA3D63"/>
    <w:rsid w:val="00DA3E5F"/>
    <w:rsid w:val="00DA437F"/>
    <w:rsid w:val="00DA43B1"/>
    <w:rsid w:val="00DA4490"/>
    <w:rsid w:val="00DA45E4"/>
    <w:rsid w:val="00DA4A34"/>
    <w:rsid w:val="00DA4E94"/>
    <w:rsid w:val="00DA4EFD"/>
    <w:rsid w:val="00DA4F55"/>
    <w:rsid w:val="00DA543E"/>
    <w:rsid w:val="00DA568E"/>
    <w:rsid w:val="00DA5699"/>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979"/>
    <w:rsid w:val="00DB015D"/>
    <w:rsid w:val="00DB0374"/>
    <w:rsid w:val="00DB0603"/>
    <w:rsid w:val="00DB0636"/>
    <w:rsid w:val="00DB065D"/>
    <w:rsid w:val="00DB0A6B"/>
    <w:rsid w:val="00DB0B04"/>
    <w:rsid w:val="00DB1215"/>
    <w:rsid w:val="00DB141E"/>
    <w:rsid w:val="00DB1430"/>
    <w:rsid w:val="00DB150C"/>
    <w:rsid w:val="00DB1A3C"/>
    <w:rsid w:val="00DB1A74"/>
    <w:rsid w:val="00DB1AE7"/>
    <w:rsid w:val="00DB1E3C"/>
    <w:rsid w:val="00DB1EFA"/>
    <w:rsid w:val="00DB2098"/>
    <w:rsid w:val="00DB2122"/>
    <w:rsid w:val="00DB26C9"/>
    <w:rsid w:val="00DB27AE"/>
    <w:rsid w:val="00DB28D2"/>
    <w:rsid w:val="00DB2A5F"/>
    <w:rsid w:val="00DB2E06"/>
    <w:rsid w:val="00DB2F36"/>
    <w:rsid w:val="00DB2F95"/>
    <w:rsid w:val="00DB2FF0"/>
    <w:rsid w:val="00DB3608"/>
    <w:rsid w:val="00DB36AD"/>
    <w:rsid w:val="00DB3D89"/>
    <w:rsid w:val="00DB40D0"/>
    <w:rsid w:val="00DB4485"/>
    <w:rsid w:val="00DB4585"/>
    <w:rsid w:val="00DB4D94"/>
    <w:rsid w:val="00DB4FA9"/>
    <w:rsid w:val="00DB52A4"/>
    <w:rsid w:val="00DB559D"/>
    <w:rsid w:val="00DB560F"/>
    <w:rsid w:val="00DB5651"/>
    <w:rsid w:val="00DB56D6"/>
    <w:rsid w:val="00DB5D72"/>
    <w:rsid w:val="00DB5F3B"/>
    <w:rsid w:val="00DB6019"/>
    <w:rsid w:val="00DB6E14"/>
    <w:rsid w:val="00DB729D"/>
    <w:rsid w:val="00DB7333"/>
    <w:rsid w:val="00DB7375"/>
    <w:rsid w:val="00DB78BD"/>
    <w:rsid w:val="00DB7F18"/>
    <w:rsid w:val="00DC049D"/>
    <w:rsid w:val="00DC05E7"/>
    <w:rsid w:val="00DC062B"/>
    <w:rsid w:val="00DC06F2"/>
    <w:rsid w:val="00DC0933"/>
    <w:rsid w:val="00DC0B3E"/>
    <w:rsid w:val="00DC0B94"/>
    <w:rsid w:val="00DC0BF1"/>
    <w:rsid w:val="00DC0BFE"/>
    <w:rsid w:val="00DC1359"/>
    <w:rsid w:val="00DC157E"/>
    <w:rsid w:val="00DC16C9"/>
    <w:rsid w:val="00DC1726"/>
    <w:rsid w:val="00DC19AF"/>
    <w:rsid w:val="00DC21AA"/>
    <w:rsid w:val="00DC2515"/>
    <w:rsid w:val="00DC2528"/>
    <w:rsid w:val="00DC25EB"/>
    <w:rsid w:val="00DC26B4"/>
    <w:rsid w:val="00DC26CB"/>
    <w:rsid w:val="00DC2B99"/>
    <w:rsid w:val="00DC2C01"/>
    <w:rsid w:val="00DC2EB9"/>
    <w:rsid w:val="00DC3235"/>
    <w:rsid w:val="00DC3519"/>
    <w:rsid w:val="00DC3571"/>
    <w:rsid w:val="00DC3A4C"/>
    <w:rsid w:val="00DC3A6B"/>
    <w:rsid w:val="00DC3B3C"/>
    <w:rsid w:val="00DC403D"/>
    <w:rsid w:val="00DC42E9"/>
    <w:rsid w:val="00DC4882"/>
    <w:rsid w:val="00DC4968"/>
    <w:rsid w:val="00DC4C28"/>
    <w:rsid w:val="00DC5248"/>
    <w:rsid w:val="00DC5669"/>
    <w:rsid w:val="00DC56BA"/>
    <w:rsid w:val="00DC575B"/>
    <w:rsid w:val="00DC5AC6"/>
    <w:rsid w:val="00DC5CFA"/>
    <w:rsid w:val="00DC5DBB"/>
    <w:rsid w:val="00DC61A4"/>
    <w:rsid w:val="00DC641E"/>
    <w:rsid w:val="00DC6E95"/>
    <w:rsid w:val="00DC7333"/>
    <w:rsid w:val="00DC789B"/>
    <w:rsid w:val="00DD070A"/>
    <w:rsid w:val="00DD0C0F"/>
    <w:rsid w:val="00DD13F7"/>
    <w:rsid w:val="00DD156E"/>
    <w:rsid w:val="00DD1860"/>
    <w:rsid w:val="00DD190D"/>
    <w:rsid w:val="00DD1D6C"/>
    <w:rsid w:val="00DD1DD5"/>
    <w:rsid w:val="00DD1EDA"/>
    <w:rsid w:val="00DD2012"/>
    <w:rsid w:val="00DD20C1"/>
    <w:rsid w:val="00DD214C"/>
    <w:rsid w:val="00DD2340"/>
    <w:rsid w:val="00DD2A87"/>
    <w:rsid w:val="00DD3D85"/>
    <w:rsid w:val="00DD3E54"/>
    <w:rsid w:val="00DD3EF2"/>
    <w:rsid w:val="00DD40DE"/>
    <w:rsid w:val="00DD42B7"/>
    <w:rsid w:val="00DD4792"/>
    <w:rsid w:val="00DD4923"/>
    <w:rsid w:val="00DD4F20"/>
    <w:rsid w:val="00DD4FF2"/>
    <w:rsid w:val="00DD5035"/>
    <w:rsid w:val="00DD536F"/>
    <w:rsid w:val="00DD550A"/>
    <w:rsid w:val="00DD559B"/>
    <w:rsid w:val="00DD5809"/>
    <w:rsid w:val="00DD5E26"/>
    <w:rsid w:val="00DD5E3C"/>
    <w:rsid w:val="00DD5FF5"/>
    <w:rsid w:val="00DD60ED"/>
    <w:rsid w:val="00DD68C6"/>
    <w:rsid w:val="00DD68D3"/>
    <w:rsid w:val="00DD693C"/>
    <w:rsid w:val="00DD6B36"/>
    <w:rsid w:val="00DD6C5D"/>
    <w:rsid w:val="00DD719C"/>
    <w:rsid w:val="00DD723B"/>
    <w:rsid w:val="00DD79CD"/>
    <w:rsid w:val="00DD7E7E"/>
    <w:rsid w:val="00DD7EFA"/>
    <w:rsid w:val="00DE0309"/>
    <w:rsid w:val="00DE06B9"/>
    <w:rsid w:val="00DE0B15"/>
    <w:rsid w:val="00DE0BE8"/>
    <w:rsid w:val="00DE0CAD"/>
    <w:rsid w:val="00DE119E"/>
    <w:rsid w:val="00DE1451"/>
    <w:rsid w:val="00DE16AC"/>
    <w:rsid w:val="00DE181C"/>
    <w:rsid w:val="00DE1AB4"/>
    <w:rsid w:val="00DE1BF2"/>
    <w:rsid w:val="00DE1C53"/>
    <w:rsid w:val="00DE1DE6"/>
    <w:rsid w:val="00DE1E29"/>
    <w:rsid w:val="00DE1EA2"/>
    <w:rsid w:val="00DE25FC"/>
    <w:rsid w:val="00DE27C1"/>
    <w:rsid w:val="00DE2BFD"/>
    <w:rsid w:val="00DE2CAE"/>
    <w:rsid w:val="00DE318B"/>
    <w:rsid w:val="00DE31B4"/>
    <w:rsid w:val="00DE3502"/>
    <w:rsid w:val="00DE3631"/>
    <w:rsid w:val="00DE3878"/>
    <w:rsid w:val="00DE3A62"/>
    <w:rsid w:val="00DE3B40"/>
    <w:rsid w:val="00DE3F88"/>
    <w:rsid w:val="00DE3FE7"/>
    <w:rsid w:val="00DE42B2"/>
    <w:rsid w:val="00DE4951"/>
    <w:rsid w:val="00DE507D"/>
    <w:rsid w:val="00DE55DC"/>
    <w:rsid w:val="00DE59CF"/>
    <w:rsid w:val="00DE5BAD"/>
    <w:rsid w:val="00DE5F1C"/>
    <w:rsid w:val="00DE61BF"/>
    <w:rsid w:val="00DE61CD"/>
    <w:rsid w:val="00DE6278"/>
    <w:rsid w:val="00DE63F7"/>
    <w:rsid w:val="00DE6458"/>
    <w:rsid w:val="00DE70F9"/>
    <w:rsid w:val="00DE7455"/>
    <w:rsid w:val="00DE77C9"/>
    <w:rsid w:val="00DE7A7B"/>
    <w:rsid w:val="00DF005E"/>
    <w:rsid w:val="00DF08E4"/>
    <w:rsid w:val="00DF09F9"/>
    <w:rsid w:val="00DF0CDD"/>
    <w:rsid w:val="00DF0D46"/>
    <w:rsid w:val="00DF0FDD"/>
    <w:rsid w:val="00DF1276"/>
    <w:rsid w:val="00DF1365"/>
    <w:rsid w:val="00DF16E7"/>
    <w:rsid w:val="00DF17E0"/>
    <w:rsid w:val="00DF1DAB"/>
    <w:rsid w:val="00DF201E"/>
    <w:rsid w:val="00DF2492"/>
    <w:rsid w:val="00DF2B16"/>
    <w:rsid w:val="00DF2B9E"/>
    <w:rsid w:val="00DF2D10"/>
    <w:rsid w:val="00DF2E47"/>
    <w:rsid w:val="00DF4031"/>
    <w:rsid w:val="00DF4663"/>
    <w:rsid w:val="00DF48FB"/>
    <w:rsid w:val="00DF4AA6"/>
    <w:rsid w:val="00DF4B0E"/>
    <w:rsid w:val="00DF4CCD"/>
    <w:rsid w:val="00DF4F51"/>
    <w:rsid w:val="00DF5BC3"/>
    <w:rsid w:val="00DF623B"/>
    <w:rsid w:val="00DF64FD"/>
    <w:rsid w:val="00DF66D0"/>
    <w:rsid w:val="00DF6891"/>
    <w:rsid w:val="00DF6AE8"/>
    <w:rsid w:val="00DF6BD5"/>
    <w:rsid w:val="00DF6CE0"/>
    <w:rsid w:val="00DF7722"/>
    <w:rsid w:val="00DF7F13"/>
    <w:rsid w:val="00DF7FA9"/>
    <w:rsid w:val="00E0022C"/>
    <w:rsid w:val="00E0051C"/>
    <w:rsid w:val="00E00D50"/>
    <w:rsid w:val="00E00E90"/>
    <w:rsid w:val="00E011BB"/>
    <w:rsid w:val="00E01743"/>
    <w:rsid w:val="00E02440"/>
    <w:rsid w:val="00E024F1"/>
    <w:rsid w:val="00E02546"/>
    <w:rsid w:val="00E0298A"/>
    <w:rsid w:val="00E02A07"/>
    <w:rsid w:val="00E02BC7"/>
    <w:rsid w:val="00E02F34"/>
    <w:rsid w:val="00E03241"/>
    <w:rsid w:val="00E039CD"/>
    <w:rsid w:val="00E04144"/>
    <w:rsid w:val="00E044D3"/>
    <w:rsid w:val="00E04503"/>
    <w:rsid w:val="00E04B43"/>
    <w:rsid w:val="00E04B65"/>
    <w:rsid w:val="00E04BE8"/>
    <w:rsid w:val="00E04D00"/>
    <w:rsid w:val="00E04D19"/>
    <w:rsid w:val="00E05181"/>
    <w:rsid w:val="00E051C2"/>
    <w:rsid w:val="00E056E0"/>
    <w:rsid w:val="00E057C8"/>
    <w:rsid w:val="00E059CF"/>
    <w:rsid w:val="00E05B05"/>
    <w:rsid w:val="00E05EB4"/>
    <w:rsid w:val="00E06381"/>
    <w:rsid w:val="00E06C03"/>
    <w:rsid w:val="00E06C1E"/>
    <w:rsid w:val="00E06F19"/>
    <w:rsid w:val="00E0782E"/>
    <w:rsid w:val="00E07A4A"/>
    <w:rsid w:val="00E07B1E"/>
    <w:rsid w:val="00E07D1C"/>
    <w:rsid w:val="00E07EA3"/>
    <w:rsid w:val="00E100BD"/>
    <w:rsid w:val="00E100E3"/>
    <w:rsid w:val="00E10167"/>
    <w:rsid w:val="00E10378"/>
    <w:rsid w:val="00E10767"/>
    <w:rsid w:val="00E10A07"/>
    <w:rsid w:val="00E10B40"/>
    <w:rsid w:val="00E10F44"/>
    <w:rsid w:val="00E11007"/>
    <w:rsid w:val="00E11055"/>
    <w:rsid w:val="00E112CB"/>
    <w:rsid w:val="00E112F7"/>
    <w:rsid w:val="00E11493"/>
    <w:rsid w:val="00E115B2"/>
    <w:rsid w:val="00E118C3"/>
    <w:rsid w:val="00E11985"/>
    <w:rsid w:val="00E11A33"/>
    <w:rsid w:val="00E12693"/>
    <w:rsid w:val="00E1271F"/>
    <w:rsid w:val="00E12805"/>
    <w:rsid w:val="00E1284A"/>
    <w:rsid w:val="00E12D38"/>
    <w:rsid w:val="00E12FF5"/>
    <w:rsid w:val="00E1367C"/>
    <w:rsid w:val="00E13B2F"/>
    <w:rsid w:val="00E13E5F"/>
    <w:rsid w:val="00E14129"/>
    <w:rsid w:val="00E14276"/>
    <w:rsid w:val="00E14476"/>
    <w:rsid w:val="00E14794"/>
    <w:rsid w:val="00E14C89"/>
    <w:rsid w:val="00E15032"/>
    <w:rsid w:val="00E150CD"/>
    <w:rsid w:val="00E153E8"/>
    <w:rsid w:val="00E1548C"/>
    <w:rsid w:val="00E156B9"/>
    <w:rsid w:val="00E15D1E"/>
    <w:rsid w:val="00E162F7"/>
    <w:rsid w:val="00E16378"/>
    <w:rsid w:val="00E165DE"/>
    <w:rsid w:val="00E16CB1"/>
    <w:rsid w:val="00E16E79"/>
    <w:rsid w:val="00E16F0C"/>
    <w:rsid w:val="00E16F27"/>
    <w:rsid w:val="00E16FB9"/>
    <w:rsid w:val="00E171FF"/>
    <w:rsid w:val="00E177C8"/>
    <w:rsid w:val="00E17873"/>
    <w:rsid w:val="00E17B2C"/>
    <w:rsid w:val="00E17D49"/>
    <w:rsid w:val="00E2028F"/>
    <w:rsid w:val="00E20312"/>
    <w:rsid w:val="00E2048E"/>
    <w:rsid w:val="00E20D8A"/>
    <w:rsid w:val="00E20DB9"/>
    <w:rsid w:val="00E20F69"/>
    <w:rsid w:val="00E20F86"/>
    <w:rsid w:val="00E21587"/>
    <w:rsid w:val="00E21703"/>
    <w:rsid w:val="00E218CA"/>
    <w:rsid w:val="00E21953"/>
    <w:rsid w:val="00E21D34"/>
    <w:rsid w:val="00E2201B"/>
    <w:rsid w:val="00E220FF"/>
    <w:rsid w:val="00E22747"/>
    <w:rsid w:val="00E22900"/>
    <w:rsid w:val="00E23508"/>
    <w:rsid w:val="00E236C4"/>
    <w:rsid w:val="00E23B48"/>
    <w:rsid w:val="00E23CE9"/>
    <w:rsid w:val="00E244CE"/>
    <w:rsid w:val="00E24914"/>
    <w:rsid w:val="00E24A7B"/>
    <w:rsid w:val="00E24DBD"/>
    <w:rsid w:val="00E251CE"/>
    <w:rsid w:val="00E2537B"/>
    <w:rsid w:val="00E25382"/>
    <w:rsid w:val="00E25663"/>
    <w:rsid w:val="00E2575C"/>
    <w:rsid w:val="00E2577C"/>
    <w:rsid w:val="00E25B48"/>
    <w:rsid w:val="00E25FAA"/>
    <w:rsid w:val="00E26317"/>
    <w:rsid w:val="00E26540"/>
    <w:rsid w:val="00E26571"/>
    <w:rsid w:val="00E26846"/>
    <w:rsid w:val="00E268C9"/>
    <w:rsid w:val="00E26ACE"/>
    <w:rsid w:val="00E26C7A"/>
    <w:rsid w:val="00E274CD"/>
    <w:rsid w:val="00E274E7"/>
    <w:rsid w:val="00E27753"/>
    <w:rsid w:val="00E27898"/>
    <w:rsid w:val="00E27A87"/>
    <w:rsid w:val="00E27BEB"/>
    <w:rsid w:val="00E3006A"/>
    <w:rsid w:val="00E302BB"/>
    <w:rsid w:val="00E30A98"/>
    <w:rsid w:val="00E30D20"/>
    <w:rsid w:val="00E30D7D"/>
    <w:rsid w:val="00E30E09"/>
    <w:rsid w:val="00E30EA5"/>
    <w:rsid w:val="00E31330"/>
    <w:rsid w:val="00E31340"/>
    <w:rsid w:val="00E313A6"/>
    <w:rsid w:val="00E317F1"/>
    <w:rsid w:val="00E31A21"/>
    <w:rsid w:val="00E31BB6"/>
    <w:rsid w:val="00E3287B"/>
    <w:rsid w:val="00E3287D"/>
    <w:rsid w:val="00E3349F"/>
    <w:rsid w:val="00E334FB"/>
    <w:rsid w:val="00E335BB"/>
    <w:rsid w:val="00E336F7"/>
    <w:rsid w:val="00E339AA"/>
    <w:rsid w:val="00E33E42"/>
    <w:rsid w:val="00E3413B"/>
    <w:rsid w:val="00E34515"/>
    <w:rsid w:val="00E3471B"/>
    <w:rsid w:val="00E34758"/>
    <w:rsid w:val="00E3498D"/>
    <w:rsid w:val="00E34C5B"/>
    <w:rsid w:val="00E34D0B"/>
    <w:rsid w:val="00E34EB9"/>
    <w:rsid w:val="00E353B4"/>
    <w:rsid w:val="00E35D94"/>
    <w:rsid w:val="00E35F46"/>
    <w:rsid w:val="00E36446"/>
    <w:rsid w:val="00E36512"/>
    <w:rsid w:val="00E365C5"/>
    <w:rsid w:val="00E36967"/>
    <w:rsid w:val="00E369CC"/>
    <w:rsid w:val="00E36E50"/>
    <w:rsid w:val="00E371BB"/>
    <w:rsid w:val="00E37440"/>
    <w:rsid w:val="00E37594"/>
    <w:rsid w:val="00E37867"/>
    <w:rsid w:val="00E37F26"/>
    <w:rsid w:val="00E37F9A"/>
    <w:rsid w:val="00E4093D"/>
    <w:rsid w:val="00E40B44"/>
    <w:rsid w:val="00E40EFC"/>
    <w:rsid w:val="00E40FBE"/>
    <w:rsid w:val="00E41B9C"/>
    <w:rsid w:val="00E41C21"/>
    <w:rsid w:val="00E41DE5"/>
    <w:rsid w:val="00E4299E"/>
    <w:rsid w:val="00E42D84"/>
    <w:rsid w:val="00E43010"/>
    <w:rsid w:val="00E430D1"/>
    <w:rsid w:val="00E43488"/>
    <w:rsid w:val="00E4411A"/>
    <w:rsid w:val="00E44544"/>
    <w:rsid w:val="00E44B83"/>
    <w:rsid w:val="00E44C27"/>
    <w:rsid w:val="00E44F0C"/>
    <w:rsid w:val="00E451EE"/>
    <w:rsid w:val="00E457E1"/>
    <w:rsid w:val="00E4592D"/>
    <w:rsid w:val="00E4595D"/>
    <w:rsid w:val="00E45C67"/>
    <w:rsid w:val="00E45C87"/>
    <w:rsid w:val="00E465EB"/>
    <w:rsid w:val="00E46687"/>
    <w:rsid w:val="00E4688F"/>
    <w:rsid w:val="00E468FC"/>
    <w:rsid w:val="00E472A9"/>
    <w:rsid w:val="00E477FD"/>
    <w:rsid w:val="00E47EB2"/>
    <w:rsid w:val="00E50557"/>
    <w:rsid w:val="00E50B27"/>
    <w:rsid w:val="00E513C9"/>
    <w:rsid w:val="00E51FB3"/>
    <w:rsid w:val="00E522A0"/>
    <w:rsid w:val="00E522AC"/>
    <w:rsid w:val="00E5232E"/>
    <w:rsid w:val="00E5262E"/>
    <w:rsid w:val="00E53DA7"/>
    <w:rsid w:val="00E53FB1"/>
    <w:rsid w:val="00E5414A"/>
    <w:rsid w:val="00E5437F"/>
    <w:rsid w:val="00E54450"/>
    <w:rsid w:val="00E54658"/>
    <w:rsid w:val="00E548E2"/>
    <w:rsid w:val="00E54BE3"/>
    <w:rsid w:val="00E54EB1"/>
    <w:rsid w:val="00E54FE9"/>
    <w:rsid w:val="00E550ED"/>
    <w:rsid w:val="00E5521E"/>
    <w:rsid w:val="00E55444"/>
    <w:rsid w:val="00E556F7"/>
    <w:rsid w:val="00E55770"/>
    <w:rsid w:val="00E55845"/>
    <w:rsid w:val="00E55C00"/>
    <w:rsid w:val="00E55D2D"/>
    <w:rsid w:val="00E56269"/>
    <w:rsid w:val="00E562B6"/>
    <w:rsid w:val="00E56430"/>
    <w:rsid w:val="00E566F4"/>
    <w:rsid w:val="00E566FD"/>
    <w:rsid w:val="00E569C8"/>
    <w:rsid w:val="00E569D0"/>
    <w:rsid w:val="00E56AFB"/>
    <w:rsid w:val="00E571E2"/>
    <w:rsid w:val="00E57389"/>
    <w:rsid w:val="00E57468"/>
    <w:rsid w:val="00E574D3"/>
    <w:rsid w:val="00E576C6"/>
    <w:rsid w:val="00E5777B"/>
    <w:rsid w:val="00E578C9"/>
    <w:rsid w:val="00E57A7A"/>
    <w:rsid w:val="00E60178"/>
    <w:rsid w:val="00E60403"/>
    <w:rsid w:val="00E60461"/>
    <w:rsid w:val="00E60858"/>
    <w:rsid w:val="00E608E5"/>
    <w:rsid w:val="00E60913"/>
    <w:rsid w:val="00E60A2D"/>
    <w:rsid w:val="00E60E79"/>
    <w:rsid w:val="00E61580"/>
    <w:rsid w:val="00E615AB"/>
    <w:rsid w:val="00E618F4"/>
    <w:rsid w:val="00E62171"/>
    <w:rsid w:val="00E6222F"/>
    <w:rsid w:val="00E624F0"/>
    <w:rsid w:val="00E62690"/>
    <w:rsid w:val="00E6297F"/>
    <w:rsid w:val="00E62EF5"/>
    <w:rsid w:val="00E632C0"/>
    <w:rsid w:val="00E635C6"/>
    <w:rsid w:val="00E63B1E"/>
    <w:rsid w:val="00E640F3"/>
    <w:rsid w:val="00E64387"/>
    <w:rsid w:val="00E643E0"/>
    <w:rsid w:val="00E643ED"/>
    <w:rsid w:val="00E64588"/>
    <w:rsid w:val="00E64B33"/>
    <w:rsid w:val="00E64E3D"/>
    <w:rsid w:val="00E651A8"/>
    <w:rsid w:val="00E65343"/>
    <w:rsid w:val="00E655C5"/>
    <w:rsid w:val="00E6575C"/>
    <w:rsid w:val="00E65B5B"/>
    <w:rsid w:val="00E65D30"/>
    <w:rsid w:val="00E65DB0"/>
    <w:rsid w:val="00E6626A"/>
    <w:rsid w:val="00E66270"/>
    <w:rsid w:val="00E66299"/>
    <w:rsid w:val="00E66673"/>
    <w:rsid w:val="00E66C6A"/>
    <w:rsid w:val="00E66CF8"/>
    <w:rsid w:val="00E66F26"/>
    <w:rsid w:val="00E6711F"/>
    <w:rsid w:val="00E67570"/>
    <w:rsid w:val="00E678C9"/>
    <w:rsid w:val="00E67B35"/>
    <w:rsid w:val="00E70484"/>
    <w:rsid w:val="00E7091E"/>
    <w:rsid w:val="00E7094C"/>
    <w:rsid w:val="00E70D64"/>
    <w:rsid w:val="00E70F24"/>
    <w:rsid w:val="00E70F57"/>
    <w:rsid w:val="00E710F5"/>
    <w:rsid w:val="00E71131"/>
    <w:rsid w:val="00E714FD"/>
    <w:rsid w:val="00E718E0"/>
    <w:rsid w:val="00E71F35"/>
    <w:rsid w:val="00E71FE5"/>
    <w:rsid w:val="00E7206B"/>
    <w:rsid w:val="00E72138"/>
    <w:rsid w:val="00E72702"/>
    <w:rsid w:val="00E728C4"/>
    <w:rsid w:val="00E730A9"/>
    <w:rsid w:val="00E737D6"/>
    <w:rsid w:val="00E7398E"/>
    <w:rsid w:val="00E73C86"/>
    <w:rsid w:val="00E73DEA"/>
    <w:rsid w:val="00E75042"/>
    <w:rsid w:val="00E75283"/>
    <w:rsid w:val="00E7531A"/>
    <w:rsid w:val="00E75909"/>
    <w:rsid w:val="00E75E82"/>
    <w:rsid w:val="00E7631F"/>
    <w:rsid w:val="00E76555"/>
    <w:rsid w:val="00E765C6"/>
    <w:rsid w:val="00E76AA6"/>
    <w:rsid w:val="00E77D72"/>
    <w:rsid w:val="00E77EAA"/>
    <w:rsid w:val="00E802A7"/>
    <w:rsid w:val="00E8039D"/>
    <w:rsid w:val="00E8061F"/>
    <w:rsid w:val="00E80F27"/>
    <w:rsid w:val="00E8149C"/>
    <w:rsid w:val="00E8161D"/>
    <w:rsid w:val="00E819AA"/>
    <w:rsid w:val="00E8227B"/>
    <w:rsid w:val="00E82AC0"/>
    <w:rsid w:val="00E8349A"/>
    <w:rsid w:val="00E838B4"/>
    <w:rsid w:val="00E83B39"/>
    <w:rsid w:val="00E83EB0"/>
    <w:rsid w:val="00E83EB7"/>
    <w:rsid w:val="00E84039"/>
    <w:rsid w:val="00E8408B"/>
    <w:rsid w:val="00E84544"/>
    <w:rsid w:val="00E847AE"/>
    <w:rsid w:val="00E84E86"/>
    <w:rsid w:val="00E84F68"/>
    <w:rsid w:val="00E85008"/>
    <w:rsid w:val="00E850F6"/>
    <w:rsid w:val="00E85290"/>
    <w:rsid w:val="00E852BF"/>
    <w:rsid w:val="00E857BF"/>
    <w:rsid w:val="00E85CF3"/>
    <w:rsid w:val="00E863A9"/>
    <w:rsid w:val="00E86C32"/>
    <w:rsid w:val="00E86E9C"/>
    <w:rsid w:val="00E86F00"/>
    <w:rsid w:val="00E87078"/>
    <w:rsid w:val="00E87356"/>
    <w:rsid w:val="00E8751A"/>
    <w:rsid w:val="00E875E6"/>
    <w:rsid w:val="00E87741"/>
    <w:rsid w:val="00E87794"/>
    <w:rsid w:val="00E8782F"/>
    <w:rsid w:val="00E8790F"/>
    <w:rsid w:val="00E87D4D"/>
    <w:rsid w:val="00E87E38"/>
    <w:rsid w:val="00E87F5A"/>
    <w:rsid w:val="00E87FAE"/>
    <w:rsid w:val="00E90115"/>
    <w:rsid w:val="00E90234"/>
    <w:rsid w:val="00E903D2"/>
    <w:rsid w:val="00E90490"/>
    <w:rsid w:val="00E904FD"/>
    <w:rsid w:val="00E905D5"/>
    <w:rsid w:val="00E90730"/>
    <w:rsid w:val="00E9079B"/>
    <w:rsid w:val="00E90838"/>
    <w:rsid w:val="00E91D4E"/>
    <w:rsid w:val="00E91D83"/>
    <w:rsid w:val="00E91F1F"/>
    <w:rsid w:val="00E9260B"/>
    <w:rsid w:val="00E928A7"/>
    <w:rsid w:val="00E92933"/>
    <w:rsid w:val="00E92FB4"/>
    <w:rsid w:val="00E93483"/>
    <w:rsid w:val="00E9353C"/>
    <w:rsid w:val="00E93604"/>
    <w:rsid w:val="00E936F5"/>
    <w:rsid w:val="00E93B79"/>
    <w:rsid w:val="00E93D8F"/>
    <w:rsid w:val="00E93FA0"/>
    <w:rsid w:val="00E9418D"/>
    <w:rsid w:val="00E941DB"/>
    <w:rsid w:val="00E946C3"/>
    <w:rsid w:val="00E948A9"/>
    <w:rsid w:val="00E9492F"/>
    <w:rsid w:val="00E94CD3"/>
    <w:rsid w:val="00E95317"/>
    <w:rsid w:val="00E956A1"/>
    <w:rsid w:val="00E95A5F"/>
    <w:rsid w:val="00E96569"/>
    <w:rsid w:val="00E96848"/>
    <w:rsid w:val="00E96925"/>
    <w:rsid w:val="00E9722C"/>
    <w:rsid w:val="00E97D54"/>
    <w:rsid w:val="00EA0208"/>
    <w:rsid w:val="00EA038B"/>
    <w:rsid w:val="00EA0A6D"/>
    <w:rsid w:val="00EA0E22"/>
    <w:rsid w:val="00EA0EB1"/>
    <w:rsid w:val="00EA1190"/>
    <w:rsid w:val="00EA1518"/>
    <w:rsid w:val="00EA1973"/>
    <w:rsid w:val="00EA19C4"/>
    <w:rsid w:val="00EA1AF2"/>
    <w:rsid w:val="00EA1B97"/>
    <w:rsid w:val="00EA1CA3"/>
    <w:rsid w:val="00EA1F23"/>
    <w:rsid w:val="00EA1FEA"/>
    <w:rsid w:val="00EA285A"/>
    <w:rsid w:val="00EA29FD"/>
    <w:rsid w:val="00EA2A08"/>
    <w:rsid w:val="00EA2B7D"/>
    <w:rsid w:val="00EA2C62"/>
    <w:rsid w:val="00EA3113"/>
    <w:rsid w:val="00EA3165"/>
    <w:rsid w:val="00EA321F"/>
    <w:rsid w:val="00EA32F2"/>
    <w:rsid w:val="00EA33E0"/>
    <w:rsid w:val="00EA37F3"/>
    <w:rsid w:val="00EA3960"/>
    <w:rsid w:val="00EA3A5A"/>
    <w:rsid w:val="00EA4147"/>
    <w:rsid w:val="00EA4226"/>
    <w:rsid w:val="00EA46FF"/>
    <w:rsid w:val="00EA48A8"/>
    <w:rsid w:val="00EA49BF"/>
    <w:rsid w:val="00EA4A58"/>
    <w:rsid w:val="00EA4AA8"/>
    <w:rsid w:val="00EA4ADC"/>
    <w:rsid w:val="00EA4B61"/>
    <w:rsid w:val="00EA4C34"/>
    <w:rsid w:val="00EA4C4B"/>
    <w:rsid w:val="00EA501B"/>
    <w:rsid w:val="00EA52C7"/>
    <w:rsid w:val="00EA5468"/>
    <w:rsid w:val="00EA5953"/>
    <w:rsid w:val="00EA6A98"/>
    <w:rsid w:val="00EA70FC"/>
    <w:rsid w:val="00EA7299"/>
    <w:rsid w:val="00EA7679"/>
    <w:rsid w:val="00EA7A14"/>
    <w:rsid w:val="00EA7C3E"/>
    <w:rsid w:val="00EB01E0"/>
    <w:rsid w:val="00EB0334"/>
    <w:rsid w:val="00EB0BBA"/>
    <w:rsid w:val="00EB0DD6"/>
    <w:rsid w:val="00EB11A6"/>
    <w:rsid w:val="00EB17B6"/>
    <w:rsid w:val="00EB1912"/>
    <w:rsid w:val="00EB19ED"/>
    <w:rsid w:val="00EB1ACE"/>
    <w:rsid w:val="00EB1EED"/>
    <w:rsid w:val="00EB20F5"/>
    <w:rsid w:val="00EB24B5"/>
    <w:rsid w:val="00EB24C5"/>
    <w:rsid w:val="00EB2710"/>
    <w:rsid w:val="00EB28EE"/>
    <w:rsid w:val="00EB2C46"/>
    <w:rsid w:val="00EB2CBA"/>
    <w:rsid w:val="00EB3523"/>
    <w:rsid w:val="00EB3DC9"/>
    <w:rsid w:val="00EB40A6"/>
    <w:rsid w:val="00EB4139"/>
    <w:rsid w:val="00EB432A"/>
    <w:rsid w:val="00EB448B"/>
    <w:rsid w:val="00EB4510"/>
    <w:rsid w:val="00EB4585"/>
    <w:rsid w:val="00EB4CBE"/>
    <w:rsid w:val="00EB5013"/>
    <w:rsid w:val="00EB5394"/>
    <w:rsid w:val="00EB5536"/>
    <w:rsid w:val="00EB5972"/>
    <w:rsid w:val="00EB5B30"/>
    <w:rsid w:val="00EB5D4C"/>
    <w:rsid w:val="00EB67FF"/>
    <w:rsid w:val="00EB7117"/>
    <w:rsid w:val="00EB716F"/>
    <w:rsid w:val="00EB7440"/>
    <w:rsid w:val="00EB7B96"/>
    <w:rsid w:val="00EC013C"/>
    <w:rsid w:val="00EC0414"/>
    <w:rsid w:val="00EC0425"/>
    <w:rsid w:val="00EC07CA"/>
    <w:rsid w:val="00EC08D3"/>
    <w:rsid w:val="00EC0D12"/>
    <w:rsid w:val="00EC0D8A"/>
    <w:rsid w:val="00EC128D"/>
    <w:rsid w:val="00EC181B"/>
    <w:rsid w:val="00EC187C"/>
    <w:rsid w:val="00EC1F2F"/>
    <w:rsid w:val="00EC206D"/>
    <w:rsid w:val="00EC226E"/>
    <w:rsid w:val="00EC22D6"/>
    <w:rsid w:val="00EC294E"/>
    <w:rsid w:val="00EC29DA"/>
    <w:rsid w:val="00EC2E8C"/>
    <w:rsid w:val="00EC3382"/>
    <w:rsid w:val="00EC3479"/>
    <w:rsid w:val="00EC36AC"/>
    <w:rsid w:val="00EC37E2"/>
    <w:rsid w:val="00EC3E6E"/>
    <w:rsid w:val="00EC4168"/>
    <w:rsid w:val="00EC4212"/>
    <w:rsid w:val="00EC43C5"/>
    <w:rsid w:val="00EC4986"/>
    <w:rsid w:val="00EC4DEB"/>
    <w:rsid w:val="00EC4F0E"/>
    <w:rsid w:val="00EC4F17"/>
    <w:rsid w:val="00EC5970"/>
    <w:rsid w:val="00EC5E24"/>
    <w:rsid w:val="00EC602B"/>
    <w:rsid w:val="00EC6888"/>
    <w:rsid w:val="00EC6A14"/>
    <w:rsid w:val="00EC6AEA"/>
    <w:rsid w:val="00EC6C54"/>
    <w:rsid w:val="00EC6D84"/>
    <w:rsid w:val="00EC729E"/>
    <w:rsid w:val="00EC72E4"/>
    <w:rsid w:val="00EC7BCA"/>
    <w:rsid w:val="00ED0128"/>
    <w:rsid w:val="00ED0160"/>
    <w:rsid w:val="00ED03AF"/>
    <w:rsid w:val="00ED03BB"/>
    <w:rsid w:val="00ED03C2"/>
    <w:rsid w:val="00ED040E"/>
    <w:rsid w:val="00ED05B8"/>
    <w:rsid w:val="00ED06D7"/>
    <w:rsid w:val="00ED13A5"/>
    <w:rsid w:val="00ED13AC"/>
    <w:rsid w:val="00ED1571"/>
    <w:rsid w:val="00ED189A"/>
    <w:rsid w:val="00ED1C06"/>
    <w:rsid w:val="00ED1D7C"/>
    <w:rsid w:val="00ED1D82"/>
    <w:rsid w:val="00ED1D86"/>
    <w:rsid w:val="00ED1F40"/>
    <w:rsid w:val="00ED204F"/>
    <w:rsid w:val="00ED22FB"/>
    <w:rsid w:val="00ED2BFA"/>
    <w:rsid w:val="00ED2CE9"/>
    <w:rsid w:val="00ED2EDD"/>
    <w:rsid w:val="00ED2FDA"/>
    <w:rsid w:val="00ED3AD9"/>
    <w:rsid w:val="00ED3C21"/>
    <w:rsid w:val="00ED3EDA"/>
    <w:rsid w:val="00ED3F30"/>
    <w:rsid w:val="00ED4051"/>
    <w:rsid w:val="00ED447C"/>
    <w:rsid w:val="00ED458B"/>
    <w:rsid w:val="00ED47C8"/>
    <w:rsid w:val="00ED47F5"/>
    <w:rsid w:val="00ED49D8"/>
    <w:rsid w:val="00ED5540"/>
    <w:rsid w:val="00ED562D"/>
    <w:rsid w:val="00ED5C2C"/>
    <w:rsid w:val="00ED5CFC"/>
    <w:rsid w:val="00ED5FB4"/>
    <w:rsid w:val="00ED62A9"/>
    <w:rsid w:val="00ED68FD"/>
    <w:rsid w:val="00ED6957"/>
    <w:rsid w:val="00ED69E3"/>
    <w:rsid w:val="00ED6BEF"/>
    <w:rsid w:val="00ED70AD"/>
    <w:rsid w:val="00ED7518"/>
    <w:rsid w:val="00ED755E"/>
    <w:rsid w:val="00ED7562"/>
    <w:rsid w:val="00EE02C7"/>
    <w:rsid w:val="00EE04F9"/>
    <w:rsid w:val="00EE051F"/>
    <w:rsid w:val="00EE0C88"/>
    <w:rsid w:val="00EE0CAA"/>
    <w:rsid w:val="00EE0DB1"/>
    <w:rsid w:val="00EE0F18"/>
    <w:rsid w:val="00EE1096"/>
    <w:rsid w:val="00EE147B"/>
    <w:rsid w:val="00EE14D8"/>
    <w:rsid w:val="00EE1995"/>
    <w:rsid w:val="00EE19DE"/>
    <w:rsid w:val="00EE1CCD"/>
    <w:rsid w:val="00EE20F3"/>
    <w:rsid w:val="00EE21E5"/>
    <w:rsid w:val="00EE2597"/>
    <w:rsid w:val="00EE26FC"/>
    <w:rsid w:val="00EE2A92"/>
    <w:rsid w:val="00EE2C4F"/>
    <w:rsid w:val="00EE36C1"/>
    <w:rsid w:val="00EE38A0"/>
    <w:rsid w:val="00EE4344"/>
    <w:rsid w:val="00EE4405"/>
    <w:rsid w:val="00EE493E"/>
    <w:rsid w:val="00EE4A02"/>
    <w:rsid w:val="00EE4CFF"/>
    <w:rsid w:val="00EE4F79"/>
    <w:rsid w:val="00EE509E"/>
    <w:rsid w:val="00EE5424"/>
    <w:rsid w:val="00EE5652"/>
    <w:rsid w:val="00EE5A01"/>
    <w:rsid w:val="00EE5FBB"/>
    <w:rsid w:val="00EE6122"/>
    <w:rsid w:val="00EE63FD"/>
    <w:rsid w:val="00EE6461"/>
    <w:rsid w:val="00EE66BA"/>
    <w:rsid w:val="00EE6CCA"/>
    <w:rsid w:val="00EE6DC1"/>
    <w:rsid w:val="00EE7793"/>
    <w:rsid w:val="00EE78AC"/>
    <w:rsid w:val="00EE7D90"/>
    <w:rsid w:val="00EE7F14"/>
    <w:rsid w:val="00EF010A"/>
    <w:rsid w:val="00EF0138"/>
    <w:rsid w:val="00EF0198"/>
    <w:rsid w:val="00EF06F4"/>
    <w:rsid w:val="00EF0DAF"/>
    <w:rsid w:val="00EF0E69"/>
    <w:rsid w:val="00EF0F7B"/>
    <w:rsid w:val="00EF10F4"/>
    <w:rsid w:val="00EF1227"/>
    <w:rsid w:val="00EF14BD"/>
    <w:rsid w:val="00EF150F"/>
    <w:rsid w:val="00EF1667"/>
    <w:rsid w:val="00EF1777"/>
    <w:rsid w:val="00EF1B22"/>
    <w:rsid w:val="00EF1F43"/>
    <w:rsid w:val="00EF23C1"/>
    <w:rsid w:val="00EF24C5"/>
    <w:rsid w:val="00EF277C"/>
    <w:rsid w:val="00EF2822"/>
    <w:rsid w:val="00EF2CDE"/>
    <w:rsid w:val="00EF30A8"/>
    <w:rsid w:val="00EF31B0"/>
    <w:rsid w:val="00EF35AA"/>
    <w:rsid w:val="00EF382A"/>
    <w:rsid w:val="00EF3974"/>
    <w:rsid w:val="00EF39AB"/>
    <w:rsid w:val="00EF3BCD"/>
    <w:rsid w:val="00EF3D8B"/>
    <w:rsid w:val="00EF425B"/>
    <w:rsid w:val="00EF4427"/>
    <w:rsid w:val="00EF47F3"/>
    <w:rsid w:val="00EF4AE3"/>
    <w:rsid w:val="00EF4C02"/>
    <w:rsid w:val="00EF4D35"/>
    <w:rsid w:val="00EF5281"/>
    <w:rsid w:val="00EF53E9"/>
    <w:rsid w:val="00EF5640"/>
    <w:rsid w:val="00EF5F57"/>
    <w:rsid w:val="00EF606A"/>
    <w:rsid w:val="00EF6B09"/>
    <w:rsid w:val="00EF6F96"/>
    <w:rsid w:val="00EF7318"/>
    <w:rsid w:val="00EF7344"/>
    <w:rsid w:val="00EF7472"/>
    <w:rsid w:val="00EF74AC"/>
    <w:rsid w:val="00EF7642"/>
    <w:rsid w:val="00EF7691"/>
    <w:rsid w:val="00EF7CDD"/>
    <w:rsid w:val="00EF7F59"/>
    <w:rsid w:val="00F0028F"/>
    <w:rsid w:val="00F00A7F"/>
    <w:rsid w:val="00F00AEE"/>
    <w:rsid w:val="00F00B55"/>
    <w:rsid w:val="00F00D63"/>
    <w:rsid w:val="00F00FFE"/>
    <w:rsid w:val="00F01164"/>
    <w:rsid w:val="00F0119E"/>
    <w:rsid w:val="00F014AF"/>
    <w:rsid w:val="00F0181F"/>
    <w:rsid w:val="00F0183B"/>
    <w:rsid w:val="00F019AD"/>
    <w:rsid w:val="00F019E6"/>
    <w:rsid w:val="00F01C9D"/>
    <w:rsid w:val="00F01D8C"/>
    <w:rsid w:val="00F01E12"/>
    <w:rsid w:val="00F01E81"/>
    <w:rsid w:val="00F01FA3"/>
    <w:rsid w:val="00F01FB5"/>
    <w:rsid w:val="00F020AB"/>
    <w:rsid w:val="00F020B9"/>
    <w:rsid w:val="00F023AC"/>
    <w:rsid w:val="00F0264D"/>
    <w:rsid w:val="00F027C1"/>
    <w:rsid w:val="00F0282E"/>
    <w:rsid w:val="00F02B92"/>
    <w:rsid w:val="00F02D08"/>
    <w:rsid w:val="00F030D4"/>
    <w:rsid w:val="00F030F9"/>
    <w:rsid w:val="00F03153"/>
    <w:rsid w:val="00F03C93"/>
    <w:rsid w:val="00F03CC3"/>
    <w:rsid w:val="00F03DC2"/>
    <w:rsid w:val="00F0414F"/>
    <w:rsid w:val="00F042D3"/>
    <w:rsid w:val="00F04BDF"/>
    <w:rsid w:val="00F04D1E"/>
    <w:rsid w:val="00F04E57"/>
    <w:rsid w:val="00F0537E"/>
    <w:rsid w:val="00F05CFD"/>
    <w:rsid w:val="00F06224"/>
    <w:rsid w:val="00F06459"/>
    <w:rsid w:val="00F064D2"/>
    <w:rsid w:val="00F06BDE"/>
    <w:rsid w:val="00F06CAB"/>
    <w:rsid w:val="00F06E54"/>
    <w:rsid w:val="00F0748C"/>
    <w:rsid w:val="00F07524"/>
    <w:rsid w:val="00F075C0"/>
    <w:rsid w:val="00F07C9D"/>
    <w:rsid w:val="00F07D2B"/>
    <w:rsid w:val="00F07E68"/>
    <w:rsid w:val="00F100BC"/>
    <w:rsid w:val="00F106A9"/>
    <w:rsid w:val="00F106C8"/>
    <w:rsid w:val="00F10920"/>
    <w:rsid w:val="00F10E82"/>
    <w:rsid w:val="00F11149"/>
    <w:rsid w:val="00F112C3"/>
    <w:rsid w:val="00F1163A"/>
    <w:rsid w:val="00F12140"/>
    <w:rsid w:val="00F12230"/>
    <w:rsid w:val="00F1230E"/>
    <w:rsid w:val="00F125A4"/>
    <w:rsid w:val="00F1276E"/>
    <w:rsid w:val="00F1289F"/>
    <w:rsid w:val="00F130A4"/>
    <w:rsid w:val="00F137F8"/>
    <w:rsid w:val="00F13892"/>
    <w:rsid w:val="00F1391E"/>
    <w:rsid w:val="00F13974"/>
    <w:rsid w:val="00F13C84"/>
    <w:rsid w:val="00F1409C"/>
    <w:rsid w:val="00F14B8E"/>
    <w:rsid w:val="00F14EA5"/>
    <w:rsid w:val="00F1524D"/>
    <w:rsid w:val="00F15337"/>
    <w:rsid w:val="00F1536A"/>
    <w:rsid w:val="00F157A8"/>
    <w:rsid w:val="00F15A66"/>
    <w:rsid w:val="00F15D91"/>
    <w:rsid w:val="00F15DBF"/>
    <w:rsid w:val="00F15E23"/>
    <w:rsid w:val="00F15FE0"/>
    <w:rsid w:val="00F16231"/>
    <w:rsid w:val="00F1657E"/>
    <w:rsid w:val="00F16740"/>
    <w:rsid w:val="00F16A36"/>
    <w:rsid w:val="00F16CBC"/>
    <w:rsid w:val="00F16D77"/>
    <w:rsid w:val="00F16DE5"/>
    <w:rsid w:val="00F17792"/>
    <w:rsid w:val="00F17838"/>
    <w:rsid w:val="00F17A93"/>
    <w:rsid w:val="00F17CD8"/>
    <w:rsid w:val="00F17D87"/>
    <w:rsid w:val="00F17F85"/>
    <w:rsid w:val="00F202D1"/>
    <w:rsid w:val="00F203E8"/>
    <w:rsid w:val="00F206CC"/>
    <w:rsid w:val="00F20760"/>
    <w:rsid w:val="00F20860"/>
    <w:rsid w:val="00F20C1B"/>
    <w:rsid w:val="00F210EB"/>
    <w:rsid w:val="00F21177"/>
    <w:rsid w:val="00F211CA"/>
    <w:rsid w:val="00F212BB"/>
    <w:rsid w:val="00F21484"/>
    <w:rsid w:val="00F21667"/>
    <w:rsid w:val="00F216BA"/>
    <w:rsid w:val="00F217AF"/>
    <w:rsid w:val="00F21ABB"/>
    <w:rsid w:val="00F21E70"/>
    <w:rsid w:val="00F2220C"/>
    <w:rsid w:val="00F22620"/>
    <w:rsid w:val="00F22B3F"/>
    <w:rsid w:val="00F22CE2"/>
    <w:rsid w:val="00F22E91"/>
    <w:rsid w:val="00F22FF3"/>
    <w:rsid w:val="00F23305"/>
    <w:rsid w:val="00F233F5"/>
    <w:rsid w:val="00F2376B"/>
    <w:rsid w:val="00F23BD3"/>
    <w:rsid w:val="00F23CC0"/>
    <w:rsid w:val="00F23EA2"/>
    <w:rsid w:val="00F23FB4"/>
    <w:rsid w:val="00F24388"/>
    <w:rsid w:val="00F24405"/>
    <w:rsid w:val="00F247A1"/>
    <w:rsid w:val="00F2482F"/>
    <w:rsid w:val="00F24A0B"/>
    <w:rsid w:val="00F2541D"/>
    <w:rsid w:val="00F256F0"/>
    <w:rsid w:val="00F25A3A"/>
    <w:rsid w:val="00F25AAA"/>
    <w:rsid w:val="00F25C04"/>
    <w:rsid w:val="00F25EFD"/>
    <w:rsid w:val="00F266A5"/>
    <w:rsid w:val="00F26897"/>
    <w:rsid w:val="00F26C56"/>
    <w:rsid w:val="00F26DE6"/>
    <w:rsid w:val="00F26EC7"/>
    <w:rsid w:val="00F27562"/>
    <w:rsid w:val="00F27760"/>
    <w:rsid w:val="00F27936"/>
    <w:rsid w:val="00F27AAA"/>
    <w:rsid w:val="00F27C95"/>
    <w:rsid w:val="00F27F36"/>
    <w:rsid w:val="00F30339"/>
    <w:rsid w:val="00F3042B"/>
    <w:rsid w:val="00F316E4"/>
    <w:rsid w:val="00F31925"/>
    <w:rsid w:val="00F319A1"/>
    <w:rsid w:val="00F319A8"/>
    <w:rsid w:val="00F319F1"/>
    <w:rsid w:val="00F31D39"/>
    <w:rsid w:val="00F31D7B"/>
    <w:rsid w:val="00F31E1D"/>
    <w:rsid w:val="00F31E9B"/>
    <w:rsid w:val="00F32044"/>
    <w:rsid w:val="00F3214C"/>
    <w:rsid w:val="00F32A50"/>
    <w:rsid w:val="00F32C88"/>
    <w:rsid w:val="00F32DBB"/>
    <w:rsid w:val="00F32DDE"/>
    <w:rsid w:val="00F32ED0"/>
    <w:rsid w:val="00F33631"/>
    <w:rsid w:val="00F336CC"/>
    <w:rsid w:val="00F3380E"/>
    <w:rsid w:val="00F3388E"/>
    <w:rsid w:val="00F33C76"/>
    <w:rsid w:val="00F34088"/>
    <w:rsid w:val="00F347F9"/>
    <w:rsid w:val="00F3489D"/>
    <w:rsid w:val="00F34A74"/>
    <w:rsid w:val="00F34A97"/>
    <w:rsid w:val="00F34AA3"/>
    <w:rsid w:val="00F34AE7"/>
    <w:rsid w:val="00F34DCB"/>
    <w:rsid w:val="00F35127"/>
    <w:rsid w:val="00F35461"/>
    <w:rsid w:val="00F356E9"/>
    <w:rsid w:val="00F35810"/>
    <w:rsid w:val="00F364FF"/>
    <w:rsid w:val="00F365AE"/>
    <w:rsid w:val="00F367C4"/>
    <w:rsid w:val="00F368BE"/>
    <w:rsid w:val="00F36A64"/>
    <w:rsid w:val="00F36AC1"/>
    <w:rsid w:val="00F36CF8"/>
    <w:rsid w:val="00F3739B"/>
    <w:rsid w:val="00F3751E"/>
    <w:rsid w:val="00F3764A"/>
    <w:rsid w:val="00F37F59"/>
    <w:rsid w:val="00F40615"/>
    <w:rsid w:val="00F4086A"/>
    <w:rsid w:val="00F40A02"/>
    <w:rsid w:val="00F40C9E"/>
    <w:rsid w:val="00F40EEA"/>
    <w:rsid w:val="00F40F57"/>
    <w:rsid w:val="00F410D0"/>
    <w:rsid w:val="00F41780"/>
    <w:rsid w:val="00F42111"/>
    <w:rsid w:val="00F4278D"/>
    <w:rsid w:val="00F42885"/>
    <w:rsid w:val="00F4346A"/>
    <w:rsid w:val="00F437B5"/>
    <w:rsid w:val="00F437BF"/>
    <w:rsid w:val="00F43902"/>
    <w:rsid w:val="00F43A2F"/>
    <w:rsid w:val="00F43EA2"/>
    <w:rsid w:val="00F43EF0"/>
    <w:rsid w:val="00F44032"/>
    <w:rsid w:val="00F440A9"/>
    <w:rsid w:val="00F441A1"/>
    <w:rsid w:val="00F445AE"/>
    <w:rsid w:val="00F44A3F"/>
    <w:rsid w:val="00F44A6F"/>
    <w:rsid w:val="00F44B56"/>
    <w:rsid w:val="00F44CD8"/>
    <w:rsid w:val="00F44EC1"/>
    <w:rsid w:val="00F44EF0"/>
    <w:rsid w:val="00F44F9B"/>
    <w:rsid w:val="00F452CC"/>
    <w:rsid w:val="00F453E6"/>
    <w:rsid w:val="00F455B6"/>
    <w:rsid w:val="00F45B67"/>
    <w:rsid w:val="00F45CD3"/>
    <w:rsid w:val="00F45E63"/>
    <w:rsid w:val="00F45F6F"/>
    <w:rsid w:val="00F46543"/>
    <w:rsid w:val="00F465C4"/>
    <w:rsid w:val="00F46752"/>
    <w:rsid w:val="00F468A1"/>
    <w:rsid w:val="00F46FC5"/>
    <w:rsid w:val="00F477D3"/>
    <w:rsid w:val="00F47971"/>
    <w:rsid w:val="00F47C1E"/>
    <w:rsid w:val="00F47EA4"/>
    <w:rsid w:val="00F50042"/>
    <w:rsid w:val="00F50461"/>
    <w:rsid w:val="00F50D0C"/>
    <w:rsid w:val="00F51372"/>
    <w:rsid w:val="00F51B41"/>
    <w:rsid w:val="00F51C77"/>
    <w:rsid w:val="00F51D8E"/>
    <w:rsid w:val="00F52301"/>
    <w:rsid w:val="00F52E41"/>
    <w:rsid w:val="00F5300D"/>
    <w:rsid w:val="00F53042"/>
    <w:rsid w:val="00F53188"/>
    <w:rsid w:val="00F533BE"/>
    <w:rsid w:val="00F53424"/>
    <w:rsid w:val="00F5352D"/>
    <w:rsid w:val="00F53CD4"/>
    <w:rsid w:val="00F53D8C"/>
    <w:rsid w:val="00F53E65"/>
    <w:rsid w:val="00F53FED"/>
    <w:rsid w:val="00F54136"/>
    <w:rsid w:val="00F545D5"/>
    <w:rsid w:val="00F5477F"/>
    <w:rsid w:val="00F54BD8"/>
    <w:rsid w:val="00F54DCC"/>
    <w:rsid w:val="00F55096"/>
    <w:rsid w:val="00F55513"/>
    <w:rsid w:val="00F5566E"/>
    <w:rsid w:val="00F556DB"/>
    <w:rsid w:val="00F55D12"/>
    <w:rsid w:val="00F5608A"/>
    <w:rsid w:val="00F560FD"/>
    <w:rsid w:val="00F5645B"/>
    <w:rsid w:val="00F564E7"/>
    <w:rsid w:val="00F5672A"/>
    <w:rsid w:val="00F568A1"/>
    <w:rsid w:val="00F56946"/>
    <w:rsid w:val="00F56BF1"/>
    <w:rsid w:val="00F56F38"/>
    <w:rsid w:val="00F57296"/>
    <w:rsid w:val="00F575E8"/>
    <w:rsid w:val="00F5792B"/>
    <w:rsid w:val="00F579B4"/>
    <w:rsid w:val="00F57A0A"/>
    <w:rsid w:val="00F57FCC"/>
    <w:rsid w:val="00F60A47"/>
    <w:rsid w:val="00F60CD6"/>
    <w:rsid w:val="00F60F21"/>
    <w:rsid w:val="00F61411"/>
    <w:rsid w:val="00F616C1"/>
    <w:rsid w:val="00F61928"/>
    <w:rsid w:val="00F61F42"/>
    <w:rsid w:val="00F622A1"/>
    <w:rsid w:val="00F622DF"/>
    <w:rsid w:val="00F623A8"/>
    <w:rsid w:val="00F6241D"/>
    <w:rsid w:val="00F62432"/>
    <w:rsid w:val="00F6275A"/>
    <w:rsid w:val="00F6299C"/>
    <w:rsid w:val="00F62CED"/>
    <w:rsid w:val="00F6324B"/>
    <w:rsid w:val="00F63BC6"/>
    <w:rsid w:val="00F63C29"/>
    <w:rsid w:val="00F64138"/>
    <w:rsid w:val="00F6478D"/>
    <w:rsid w:val="00F64D5E"/>
    <w:rsid w:val="00F64DDC"/>
    <w:rsid w:val="00F64F30"/>
    <w:rsid w:val="00F64FDA"/>
    <w:rsid w:val="00F6503F"/>
    <w:rsid w:val="00F652C7"/>
    <w:rsid w:val="00F65597"/>
    <w:rsid w:val="00F657AC"/>
    <w:rsid w:val="00F65BAF"/>
    <w:rsid w:val="00F65C9B"/>
    <w:rsid w:val="00F65F9C"/>
    <w:rsid w:val="00F6619E"/>
    <w:rsid w:val="00F665CB"/>
    <w:rsid w:val="00F66979"/>
    <w:rsid w:val="00F66A85"/>
    <w:rsid w:val="00F66B64"/>
    <w:rsid w:val="00F66F21"/>
    <w:rsid w:val="00F67997"/>
    <w:rsid w:val="00F7007F"/>
    <w:rsid w:val="00F70155"/>
    <w:rsid w:val="00F7087E"/>
    <w:rsid w:val="00F70AB5"/>
    <w:rsid w:val="00F70CCC"/>
    <w:rsid w:val="00F70DE2"/>
    <w:rsid w:val="00F7115C"/>
    <w:rsid w:val="00F713FC"/>
    <w:rsid w:val="00F71487"/>
    <w:rsid w:val="00F718C5"/>
    <w:rsid w:val="00F71A60"/>
    <w:rsid w:val="00F71AEF"/>
    <w:rsid w:val="00F71D61"/>
    <w:rsid w:val="00F72021"/>
    <w:rsid w:val="00F723E1"/>
    <w:rsid w:val="00F72534"/>
    <w:rsid w:val="00F72CF3"/>
    <w:rsid w:val="00F72D2D"/>
    <w:rsid w:val="00F73355"/>
    <w:rsid w:val="00F73669"/>
    <w:rsid w:val="00F737C4"/>
    <w:rsid w:val="00F73E3D"/>
    <w:rsid w:val="00F73EFB"/>
    <w:rsid w:val="00F7404D"/>
    <w:rsid w:val="00F7406C"/>
    <w:rsid w:val="00F740D2"/>
    <w:rsid w:val="00F7424A"/>
    <w:rsid w:val="00F7425C"/>
    <w:rsid w:val="00F74305"/>
    <w:rsid w:val="00F74577"/>
    <w:rsid w:val="00F747A9"/>
    <w:rsid w:val="00F74DD2"/>
    <w:rsid w:val="00F75052"/>
    <w:rsid w:val="00F7544E"/>
    <w:rsid w:val="00F7558B"/>
    <w:rsid w:val="00F75B69"/>
    <w:rsid w:val="00F75BD8"/>
    <w:rsid w:val="00F76319"/>
    <w:rsid w:val="00F764DE"/>
    <w:rsid w:val="00F7684E"/>
    <w:rsid w:val="00F768FB"/>
    <w:rsid w:val="00F77188"/>
    <w:rsid w:val="00F774B1"/>
    <w:rsid w:val="00F777B1"/>
    <w:rsid w:val="00F779C8"/>
    <w:rsid w:val="00F77A8A"/>
    <w:rsid w:val="00F77F60"/>
    <w:rsid w:val="00F80074"/>
    <w:rsid w:val="00F80232"/>
    <w:rsid w:val="00F80280"/>
    <w:rsid w:val="00F80497"/>
    <w:rsid w:val="00F80D7F"/>
    <w:rsid w:val="00F810DD"/>
    <w:rsid w:val="00F813EB"/>
    <w:rsid w:val="00F814C4"/>
    <w:rsid w:val="00F814D8"/>
    <w:rsid w:val="00F8153A"/>
    <w:rsid w:val="00F81556"/>
    <w:rsid w:val="00F8198C"/>
    <w:rsid w:val="00F81D68"/>
    <w:rsid w:val="00F81DAC"/>
    <w:rsid w:val="00F828C3"/>
    <w:rsid w:val="00F82CCD"/>
    <w:rsid w:val="00F82E36"/>
    <w:rsid w:val="00F82F8C"/>
    <w:rsid w:val="00F83358"/>
    <w:rsid w:val="00F837DE"/>
    <w:rsid w:val="00F83C8D"/>
    <w:rsid w:val="00F83EAA"/>
    <w:rsid w:val="00F84077"/>
    <w:rsid w:val="00F84109"/>
    <w:rsid w:val="00F84576"/>
    <w:rsid w:val="00F8463C"/>
    <w:rsid w:val="00F8484A"/>
    <w:rsid w:val="00F84FA4"/>
    <w:rsid w:val="00F851BD"/>
    <w:rsid w:val="00F8538A"/>
    <w:rsid w:val="00F855A8"/>
    <w:rsid w:val="00F85D97"/>
    <w:rsid w:val="00F863EE"/>
    <w:rsid w:val="00F8684A"/>
    <w:rsid w:val="00F868AF"/>
    <w:rsid w:val="00F86C23"/>
    <w:rsid w:val="00F86D82"/>
    <w:rsid w:val="00F86EBE"/>
    <w:rsid w:val="00F87022"/>
    <w:rsid w:val="00F870DB"/>
    <w:rsid w:val="00F879FB"/>
    <w:rsid w:val="00F87B04"/>
    <w:rsid w:val="00F9009B"/>
    <w:rsid w:val="00F901AB"/>
    <w:rsid w:val="00F9059C"/>
    <w:rsid w:val="00F906E6"/>
    <w:rsid w:val="00F90790"/>
    <w:rsid w:val="00F90BA5"/>
    <w:rsid w:val="00F90DA1"/>
    <w:rsid w:val="00F90F19"/>
    <w:rsid w:val="00F91B00"/>
    <w:rsid w:val="00F91B82"/>
    <w:rsid w:val="00F91D39"/>
    <w:rsid w:val="00F91E45"/>
    <w:rsid w:val="00F92490"/>
    <w:rsid w:val="00F9256F"/>
    <w:rsid w:val="00F92B72"/>
    <w:rsid w:val="00F93635"/>
    <w:rsid w:val="00F936F3"/>
    <w:rsid w:val="00F93AB7"/>
    <w:rsid w:val="00F93C8E"/>
    <w:rsid w:val="00F93F93"/>
    <w:rsid w:val="00F949E7"/>
    <w:rsid w:val="00F94F23"/>
    <w:rsid w:val="00F95050"/>
    <w:rsid w:val="00F9507F"/>
    <w:rsid w:val="00F95131"/>
    <w:rsid w:val="00F951B8"/>
    <w:rsid w:val="00F951D1"/>
    <w:rsid w:val="00F95615"/>
    <w:rsid w:val="00F95753"/>
    <w:rsid w:val="00F95B9D"/>
    <w:rsid w:val="00F95CD8"/>
    <w:rsid w:val="00F95E29"/>
    <w:rsid w:val="00F961D3"/>
    <w:rsid w:val="00F96559"/>
    <w:rsid w:val="00F965A7"/>
    <w:rsid w:val="00F967C7"/>
    <w:rsid w:val="00F968C8"/>
    <w:rsid w:val="00F96902"/>
    <w:rsid w:val="00F96959"/>
    <w:rsid w:val="00F96DDF"/>
    <w:rsid w:val="00F9702E"/>
    <w:rsid w:val="00F971E0"/>
    <w:rsid w:val="00F9723E"/>
    <w:rsid w:val="00F97D91"/>
    <w:rsid w:val="00F97E23"/>
    <w:rsid w:val="00FA0870"/>
    <w:rsid w:val="00FA0B13"/>
    <w:rsid w:val="00FA0E75"/>
    <w:rsid w:val="00FA1925"/>
    <w:rsid w:val="00FA1C42"/>
    <w:rsid w:val="00FA1CE9"/>
    <w:rsid w:val="00FA21CC"/>
    <w:rsid w:val="00FA2233"/>
    <w:rsid w:val="00FA24CE"/>
    <w:rsid w:val="00FA2567"/>
    <w:rsid w:val="00FA2A08"/>
    <w:rsid w:val="00FA2B88"/>
    <w:rsid w:val="00FA2C5F"/>
    <w:rsid w:val="00FA2EC7"/>
    <w:rsid w:val="00FA303C"/>
    <w:rsid w:val="00FA3077"/>
    <w:rsid w:val="00FA3445"/>
    <w:rsid w:val="00FA391D"/>
    <w:rsid w:val="00FA3FB6"/>
    <w:rsid w:val="00FA4048"/>
    <w:rsid w:val="00FA446B"/>
    <w:rsid w:val="00FA5011"/>
    <w:rsid w:val="00FA56A2"/>
    <w:rsid w:val="00FA57AB"/>
    <w:rsid w:val="00FA587B"/>
    <w:rsid w:val="00FA5A5D"/>
    <w:rsid w:val="00FA5B5A"/>
    <w:rsid w:val="00FA5F69"/>
    <w:rsid w:val="00FA616C"/>
    <w:rsid w:val="00FA6456"/>
    <w:rsid w:val="00FA66BD"/>
    <w:rsid w:val="00FA66F1"/>
    <w:rsid w:val="00FA67C8"/>
    <w:rsid w:val="00FA6975"/>
    <w:rsid w:val="00FA6EC9"/>
    <w:rsid w:val="00FA6EE8"/>
    <w:rsid w:val="00FA6FA5"/>
    <w:rsid w:val="00FA727B"/>
    <w:rsid w:val="00FA7682"/>
    <w:rsid w:val="00FA778D"/>
    <w:rsid w:val="00FA7C43"/>
    <w:rsid w:val="00FB001D"/>
    <w:rsid w:val="00FB0145"/>
    <w:rsid w:val="00FB0169"/>
    <w:rsid w:val="00FB040D"/>
    <w:rsid w:val="00FB05AE"/>
    <w:rsid w:val="00FB08F3"/>
    <w:rsid w:val="00FB0D60"/>
    <w:rsid w:val="00FB127E"/>
    <w:rsid w:val="00FB18CA"/>
    <w:rsid w:val="00FB1A9B"/>
    <w:rsid w:val="00FB1D17"/>
    <w:rsid w:val="00FB20DC"/>
    <w:rsid w:val="00FB23AE"/>
    <w:rsid w:val="00FB31B3"/>
    <w:rsid w:val="00FB3347"/>
    <w:rsid w:val="00FB336A"/>
    <w:rsid w:val="00FB3F3B"/>
    <w:rsid w:val="00FB42CA"/>
    <w:rsid w:val="00FB432F"/>
    <w:rsid w:val="00FB4597"/>
    <w:rsid w:val="00FB48FC"/>
    <w:rsid w:val="00FB4B10"/>
    <w:rsid w:val="00FB4C52"/>
    <w:rsid w:val="00FB4C64"/>
    <w:rsid w:val="00FB4DC5"/>
    <w:rsid w:val="00FB4E50"/>
    <w:rsid w:val="00FB4F88"/>
    <w:rsid w:val="00FB5003"/>
    <w:rsid w:val="00FB520B"/>
    <w:rsid w:val="00FB54E7"/>
    <w:rsid w:val="00FB5841"/>
    <w:rsid w:val="00FB5B3C"/>
    <w:rsid w:val="00FB6359"/>
    <w:rsid w:val="00FB63F1"/>
    <w:rsid w:val="00FB6835"/>
    <w:rsid w:val="00FB699F"/>
    <w:rsid w:val="00FB6AD8"/>
    <w:rsid w:val="00FB70DB"/>
    <w:rsid w:val="00FB73E5"/>
    <w:rsid w:val="00FB7447"/>
    <w:rsid w:val="00FB75BC"/>
    <w:rsid w:val="00FB78DB"/>
    <w:rsid w:val="00FB78EC"/>
    <w:rsid w:val="00FB7AAF"/>
    <w:rsid w:val="00FB7E21"/>
    <w:rsid w:val="00FB7EDC"/>
    <w:rsid w:val="00FC0189"/>
    <w:rsid w:val="00FC0599"/>
    <w:rsid w:val="00FC0EFB"/>
    <w:rsid w:val="00FC1205"/>
    <w:rsid w:val="00FC1575"/>
    <w:rsid w:val="00FC175B"/>
    <w:rsid w:val="00FC1B19"/>
    <w:rsid w:val="00FC1CCA"/>
    <w:rsid w:val="00FC205A"/>
    <w:rsid w:val="00FC22BC"/>
    <w:rsid w:val="00FC255C"/>
    <w:rsid w:val="00FC2817"/>
    <w:rsid w:val="00FC2866"/>
    <w:rsid w:val="00FC2E0A"/>
    <w:rsid w:val="00FC31AB"/>
    <w:rsid w:val="00FC33CF"/>
    <w:rsid w:val="00FC3574"/>
    <w:rsid w:val="00FC3ADF"/>
    <w:rsid w:val="00FC3B85"/>
    <w:rsid w:val="00FC3E97"/>
    <w:rsid w:val="00FC3F76"/>
    <w:rsid w:val="00FC3F82"/>
    <w:rsid w:val="00FC3FBF"/>
    <w:rsid w:val="00FC414C"/>
    <w:rsid w:val="00FC43DB"/>
    <w:rsid w:val="00FC45EB"/>
    <w:rsid w:val="00FC4D3E"/>
    <w:rsid w:val="00FC4DDA"/>
    <w:rsid w:val="00FC534C"/>
    <w:rsid w:val="00FC5B14"/>
    <w:rsid w:val="00FC5DBD"/>
    <w:rsid w:val="00FC603D"/>
    <w:rsid w:val="00FC649E"/>
    <w:rsid w:val="00FC6A44"/>
    <w:rsid w:val="00FC6FEB"/>
    <w:rsid w:val="00FC7178"/>
    <w:rsid w:val="00FC72FF"/>
    <w:rsid w:val="00FC7321"/>
    <w:rsid w:val="00FC7419"/>
    <w:rsid w:val="00FC7555"/>
    <w:rsid w:val="00FC786C"/>
    <w:rsid w:val="00FC7AC2"/>
    <w:rsid w:val="00FD0148"/>
    <w:rsid w:val="00FD02E8"/>
    <w:rsid w:val="00FD0598"/>
    <w:rsid w:val="00FD0603"/>
    <w:rsid w:val="00FD062D"/>
    <w:rsid w:val="00FD0744"/>
    <w:rsid w:val="00FD0A3A"/>
    <w:rsid w:val="00FD0B27"/>
    <w:rsid w:val="00FD0E85"/>
    <w:rsid w:val="00FD1032"/>
    <w:rsid w:val="00FD11D5"/>
    <w:rsid w:val="00FD11E5"/>
    <w:rsid w:val="00FD14B4"/>
    <w:rsid w:val="00FD1E8D"/>
    <w:rsid w:val="00FD249A"/>
    <w:rsid w:val="00FD260D"/>
    <w:rsid w:val="00FD284C"/>
    <w:rsid w:val="00FD28B2"/>
    <w:rsid w:val="00FD2B54"/>
    <w:rsid w:val="00FD2CC7"/>
    <w:rsid w:val="00FD35F2"/>
    <w:rsid w:val="00FD3A95"/>
    <w:rsid w:val="00FD3DF2"/>
    <w:rsid w:val="00FD4223"/>
    <w:rsid w:val="00FD44FB"/>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EE"/>
    <w:rsid w:val="00FD76C4"/>
    <w:rsid w:val="00FD7B90"/>
    <w:rsid w:val="00FE0457"/>
    <w:rsid w:val="00FE06B7"/>
    <w:rsid w:val="00FE0ABF"/>
    <w:rsid w:val="00FE0C8A"/>
    <w:rsid w:val="00FE1017"/>
    <w:rsid w:val="00FE1056"/>
    <w:rsid w:val="00FE1063"/>
    <w:rsid w:val="00FE17B7"/>
    <w:rsid w:val="00FE17EF"/>
    <w:rsid w:val="00FE1B1B"/>
    <w:rsid w:val="00FE1DE2"/>
    <w:rsid w:val="00FE1EB0"/>
    <w:rsid w:val="00FE2230"/>
    <w:rsid w:val="00FE22E6"/>
    <w:rsid w:val="00FE25D0"/>
    <w:rsid w:val="00FE2855"/>
    <w:rsid w:val="00FE2898"/>
    <w:rsid w:val="00FE2DFE"/>
    <w:rsid w:val="00FE3128"/>
    <w:rsid w:val="00FE3434"/>
    <w:rsid w:val="00FE355D"/>
    <w:rsid w:val="00FE3771"/>
    <w:rsid w:val="00FE39FD"/>
    <w:rsid w:val="00FE3AB5"/>
    <w:rsid w:val="00FE3C33"/>
    <w:rsid w:val="00FE41D3"/>
    <w:rsid w:val="00FE4422"/>
    <w:rsid w:val="00FE473E"/>
    <w:rsid w:val="00FE4A07"/>
    <w:rsid w:val="00FE4AC9"/>
    <w:rsid w:val="00FE4E0D"/>
    <w:rsid w:val="00FE50AE"/>
    <w:rsid w:val="00FE50CC"/>
    <w:rsid w:val="00FE546F"/>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60"/>
    <w:rsid w:val="00FE737F"/>
    <w:rsid w:val="00FE7B49"/>
    <w:rsid w:val="00FE7B80"/>
    <w:rsid w:val="00FE7B9C"/>
    <w:rsid w:val="00FE7EEF"/>
    <w:rsid w:val="00FF068E"/>
    <w:rsid w:val="00FF0BE2"/>
    <w:rsid w:val="00FF0C0B"/>
    <w:rsid w:val="00FF0F68"/>
    <w:rsid w:val="00FF0F98"/>
    <w:rsid w:val="00FF117B"/>
    <w:rsid w:val="00FF131E"/>
    <w:rsid w:val="00FF16D9"/>
    <w:rsid w:val="00FF1985"/>
    <w:rsid w:val="00FF1E67"/>
    <w:rsid w:val="00FF1EDB"/>
    <w:rsid w:val="00FF2102"/>
    <w:rsid w:val="00FF2698"/>
    <w:rsid w:val="00FF27A5"/>
    <w:rsid w:val="00FF27E1"/>
    <w:rsid w:val="00FF27F9"/>
    <w:rsid w:val="00FF2921"/>
    <w:rsid w:val="00FF2986"/>
    <w:rsid w:val="00FF2A51"/>
    <w:rsid w:val="00FF2BFD"/>
    <w:rsid w:val="00FF2D20"/>
    <w:rsid w:val="00FF2EFB"/>
    <w:rsid w:val="00FF3250"/>
    <w:rsid w:val="00FF3328"/>
    <w:rsid w:val="00FF3426"/>
    <w:rsid w:val="00FF3AA9"/>
    <w:rsid w:val="00FF3F99"/>
    <w:rsid w:val="00FF40ED"/>
    <w:rsid w:val="00FF482A"/>
    <w:rsid w:val="00FF49F4"/>
    <w:rsid w:val="00FF4AAF"/>
    <w:rsid w:val="00FF4C82"/>
    <w:rsid w:val="00FF4F40"/>
    <w:rsid w:val="00FF52E7"/>
    <w:rsid w:val="00FF550D"/>
    <w:rsid w:val="00FF573E"/>
    <w:rsid w:val="00FF58D1"/>
    <w:rsid w:val="00FF5922"/>
    <w:rsid w:val="00FF59F9"/>
    <w:rsid w:val="00FF5AD7"/>
    <w:rsid w:val="00FF5FDC"/>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F191A"/>
  <w15:docId w15:val="{65EEFFCE-7CE6-4C27-930D-5F160FB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15D"/>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link w:val="NormalWebCar"/>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character" w:customStyle="1" w:styleId="NormalWebCar">
    <w:name w:val="Normal (Web) Car"/>
    <w:link w:val="NormalWeb"/>
    <w:uiPriority w:val="99"/>
    <w:locked/>
    <w:rsid w:val="00F80232"/>
    <w:rPr>
      <w:rFonts w:ascii="Arial" w:hAnsi="Arial" w:cs="Times New Roman"/>
      <w:sz w:val="24"/>
      <w:szCs w:val="24"/>
    </w:rPr>
  </w:style>
  <w:style w:type="paragraph" w:styleId="Textocomentario">
    <w:name w:val="annotation text"/>
    <w:basedOn w:val="Normal"/>
    <w:link w:val="TextocomentarioCar"/>
    <w:uiPriority w:val="99"/>
    <w:semiHidden/>
    <w:unhideWhenUsed/>
    <w:rsid w:val="003926F7"/>
    <w:pPr>
      <w:spacing w:line="240" w:lineRule="auto"/>
    </w:pPr>
    <w:rPr>
      <w:sz w:val="20"/>
      <w:szCs w:val="20"/>
    </w:rPr>
  </w:style>
  <w:style w:type="character" w:customStyle="1" w:styleId="TextocomentarioCar">
    <w:name w:val="Texto comentario Car"/>
    <w:link w:val="Textocomentario"/>
    <w:uiPriority w:val="99"/>
    <w:semiHidden/>
    <w:rsid w:val="003926F7"/>
    <w:rPr>
      <w:rFonts w:ascii="Arial" w:hAnsi="Arial" w:cs="Times New Roman"/>
    </w:rPr>
  </w:style>
  <w:style w:type="paragraph" w:styleId="Asuntodelcomentario">
    <w:name w:val="annotation subject"/>
    <w:basedOn w:val="Textocomentario"/>
    <w:next w:val="Textocomentario"/>
    <w:link w:val="AsuntodelcomentarioCar"/>
    <w:uiPriority w:val="99"/>
    <w:semiHidden/>
    <w:unhideWhenUsed/>
    <w:rsid w:val="003926F7"/>
    <w:rPr>
      <w:b/>
      <w:bCs/>
    </w:rPr>
  </w:style>
  <w:style w:type="character" w:customStyle="1" w:styleId="AsuntodelcomentarioCar">
    <w:name w:val="Asunto del comentario Car"/>
    <w:link w:val="Asuntodelcomentario"/>
    <w:uiPriority w:val="99"/>
    <w:semiHidden/>
    <w:rsid w:val="003926F7"/>
    <w:rPr>
      <w:rFonts w:ascii="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171605755">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487015901">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15866960">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37098849">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896014790">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52268074">
      <w:bodyDiv w:val="1"/>
      <w:marLeft w:val="0"/>
      <w:marRight w:val="0"/>
      <w:marTop w:val="0"/>
      <w:marBottom w:val="0"/>
      <w:divBdr>
        <w:top w:val="none" w:sz="0" w:space="0" w:color="auto"/>
        <w:left w:val="none" w:sz="0" w:space="0" w:color="auto"/>
        <w:bottom w:val="none" w:sz="0" w:space="0" w:color="auto"/>
        <w:right w:val="none" w:sz="0" w:space="0" w:color="auto"/>
      </w:divBdr>
      <w:divsChild>
        <w:div w:id="257061519">
          <w:marLeft w:val="720"/>
          <w:marRight w:val="0"/>
          <w:marTop w:val="0"/>
          <w:marBottom w:val="0"/>
          <w:divBdr>
            <w:top w:val="none" w:sz="0" w:space="0" w:color="auto"/>
            <w:left w:val="none" w:sz="0" w:space="0" w:color="auto"/>
            <w:bottom w:val="none" w:sz="0" w:space="0" w:color="auto"/>
            <w:right w:val="none" w:sz="0" w:space="0" w:color="auto"/>
          </w:divBdr>
        </w:div>
        <w:div w:id="1805854336">
          <w:marLeft w:val="720"/>
          <w:marRight w:val="0"/>
          <w:marTop w:val="0"/>
          <w:marBottom w:val="0"/>
          <w:divBdr>
            <w:top w:val="none" w:sz="0" w:space="0" w:color="auto"/>
            <w:left w:val="none" w:sz="0" w:space="0" w:color="auto"/>
            <w:bottom w:val="none" w:sz="0" w:space="0" w:color="auto"/>
            <w:right w:val="none" w:sz="0" w:space="0" w:color="auto"/>
          </w:divBdr>
        </w:div>
        <w:div w:id="1982687428">
          <w:marLeft w:val="72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57984086">
      <w:bodyDiv w:val="1"/>
      <w:marLeft w:val="0"/>
      <w:marRight w:val="0"/>
      <w:marTop w:val="0"/>
      <w:marBottom w:val="0"/>
      <w:divBdr>
        <w:top w:val="none" w:sz="0" w:space="0" w:color="auto"/>
        <w:left w:val="none" w:sz="0" w:space="0" w:color="auto"/>
        <w:bottom w:val="none" w:sz="0" w:space="0" w:color="auto"/>
        <w:right w:val="none" w:sz="0" w:space="0" w:color="auto"/>
      </w:divBdr>
      <w:divsChild>
        <w:div w:id="160124061">
          <w:marLeft w:val="0"/>
          <w:marRight w:val="0"/>
          <w:marTop w:val="0"/>
          <w:marBottom w:val="0"/>
          <w:divBdr>
            <w:top w:val="none" w:sz="0" w:space="0" w:color="auto"/>
            <w:left w:val="none" w:sz="0" w:space="0" w:color="auto"/>
            <w:bottom w:val="none" w:sz="0" w:space="0" w:color="auto"/>
            <w:right w:val="none" w:sz="0" w:space="0" w:color="auto"/>
          </w:divBdr>
        </w:div>
        <w:div w:id="166096226">
          <w:marLeft w:val="0"/>
          <w:marRight w:val="0"/>
          <w:marTop w:val="0"/>
          <w:marBottom w:val="0"/>
          <w:divBdr>
            <w:top w:val="none" w:sz="0" w:space="0" w:color="auto"/>
            <w:left w:val="none" w:sz="0" w:space="0" w:color="auto"/>
            <w:bottom w:val="none" w:sz="0" w:space="0" w:color="auto"/>
            <w:right w:val="none" w:sz="0" w:space="0" w:color="auto"/>
          </w:divBdr>
        </w:div>
        <w:div w:id="167915849">
          <w:marLeft w:val="0"/>
          <w:marRight w:val="0"/>
          <w:marTop w:val="0"/>
          <w:marBottom w:val="0"/>
          <w:divBdr>
            <w:top w:val="none" w:sz="0" w:space="0" w:color="auto"/>
            <w:left w:val="none" w:sz="0" w:space="0" w:color="auto"/>
            <w:bottom w:val="none" w:sz="0" w:space="0" w:color="auto"/>
            <w:right w:val="none" w:sz="0" w:space="0" w:color="auto"/>
          </w:divBdr>
        </w:div>
        <w:div w:id="555236027">
          <w:marLeft w:val="0"/>
          <w:marRight w:val="0"/>
          <w:marTop w:val="0"/>
          <w:marBottom w:val="0"/>
          <w:divBdr>
            <w:top w:val="none" w:sz="0" w:space="0" w:color="auto"/>
            <w:left w:val="none" w:sz="0" w:space="0" w:color="auto"/>
            <w:bottom w:val="none" w:sz="0" w:space="0" w:color="auto"/>
            <w:right w:val="none" w:sz="0" w:space="0" w:color="auto"/>
          </w:divBdr>
        </w:div>
        <w:div w:id="852036345">
          <w:marLeft w:val="0"/>
          <w:marRight w:val="0"/>
          <w:marTop w:val="0"/>
          <w:marBottom w:val="0"/>
          <w:divBdr>
            <w:top w:val="none" w:sz="0" w:space="0" w:color="auto"/>
            <w:left w:val="none" w:sz="0" w:space="0" w:color="auto"/>
            <w:bottom w:val="none" w:sz="0" w:space="0" w:color="auto"/>
            <w:right w:val="none" w:sz="0" w:space="0" w:color="auto"/>
          </w:divBdr>
        </w:div>
        <w:div w:id="855312705">
          <w:marLeft w:val="0"/>
          <w:marRight w:val="0"/>
          <w:marTop w:val="0"/>
          <w:marBottom w:val="0"/>
          <w:divBdr>
            <w:top w:val="none" w:sz="0" w:space="0" w:color="auto"/>
            <w:left w:val="none" w:sz="0" w:space="0" w:color="auto"/>
            <w:bottom w:val="none" w:sz="0" w:space="0" w:color="auto"/>
            <w:right w:val="none" w:sz="0" w:space="0" w:color="auto"/>
          </w:divBdr>
        </w:div>
        <w:div w:id="1085758587">
          <w:marLeft w:val="0"/>
          <w:marRight w:val="0"/>
          <w:marTop w:val="0"/>
          <w:marBottom w:val="0"/>
          <w:divBdr>
            <w:top w:val="none" w:sz="0" w:space="0" w:color="auto"/>
            <w:left w:val="none" w:sz="0" w:space="0" w:color="auto"/>
            <w:bottom w:val="none" w:sz="0" w:space="0" w:color="auto"/>
            <w:right w:val="none" w:sz="0" w:space="0" w:color="auto"/>
          </w:divBdr>
        </w:div>
        <w:div w:id="1144783734">
          <w:marLeft w:val="0"/>
          <w:marRight w:val="0"/>
          <w:marTop w:val="0"/>
          <w:marBottom w:val="0"/>
          <w:divBdr>
            <w:top w:val="none" w:sz="0" w:space="0" w:color="auto"/>
            <w:left w:val="none" w:sz="0" w:space="0" w:color="auto"/>
            <w:bottom w:val="none" w:sz="0" w:space="0" w:color="auto"/>
            <w:right w:val="none" w:sz="0" w:space="0" w:color="auto"/>
          </w:divBdr>
        </w:div>
        <w:div w:id="1325011381">
          <w:marLeft w:val="0"/>
          <w:marRight w:val="0"/>
          <w:marTop w:val="0"/>
          <w:marBottom w:val="0"/>
          <w:divBdr>
            <w:top w:val="none" w:sz="0" w:space="0" w:color="auto"/>
            <w:left w:val="none" w:sz="0" w:space="0" w:color="auto"/>
            <w:bottom w:val="none" w:sz="0" w:space="0" w:color="auto"/>
            <w:right w:val="none" w:sz="0" w:space="0" w:color="auto"/>
          </w:divBdr>
        </w:div>
        <w:div w:id="1594582232">
          <w:marLeft w:val="0"/>
          <w:marRight w:val="0"/>
          <w:marTop w:val="0"/>
          <w:marBottom w:val="0"/>
          <w:divBdr>
            <w:top w:val="none" w:sz="0" w:space="0" w:color="auto"/>
            <w:left w:val="none" w:sz="0" w:space="0" w:color="auto"/>
            <w:bottom w:val="none" w:sz="0" w:space="0" w:color="auto"/>
            <w:right w:val="none" w:sz="0" w:space="0" w:color="auto"/>
          </w:divBdr>
        </w:div>
        <w:div w:id="2022734857">
          <w:marLeft w:val="0"/>
          <w:marRight w:val="0"/>
          <w:marTop w:val="0"/>
          <w:marBottom w:val="0"/>
          <w:divBdr>
            <w:top w:val="none" w:sz="0" w:space="0" w:color="auto"/>
            <w:left w:val="none" w:sz="0" w:space="0" w:color="auto"/>
            <w:bottom w:val="none" w:sz="0" w:space="0" w:color="auto"/>
            <w:right w:val="none" w:sz="0" w:space="0" w:color="auto"/>
          </w:divBdr>
        </w:div>
        <w:div w:id="2079326992">
          <w:marLeft w:val="0"/>
          <w:marRight w:val="0"/>
          <w:marTop w:val="0"/>
          <w:marBottom w:val="0"/>
          <w:divBdr>
            <w:top w:val="none" w:sz="0" w:space="0" w:color="auto"/>
            <w:left w:val="none" w:sz="0" w:space="0" w:color="auto"/>
            <w:bottom w:val="none" w:sz="0" w:space="0" w:color="auto"/>
            <w:right w:val="none" w:sz="0" w:space="0" w:color="auto"/>
          </w:divBdr>
        </w:div>
        <w:div w:id="2099475799">
          <w:marLeft w:val="0"/>
          <w:marRight w:val="0"/>
          <w:marTop w:val="0"/>
          <w:marBottom w:val="0"/>
          <w:divBdr>
            <w:top w:val="none" w:sz="0" w:space="0" w:color="auto"/>
            <w:left w:val="none" w:sz="0" w:space="0" w:color="auto"/>
            <w:bottom w:val="none" w:sz="0" w:space="0" w:color="auto"/>
            <w:right w:val="none" w:sz="0" w:space="0" w:color="auto"/>
          </w:divBdr>
        </w:div>
      </w:divsChild>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39663327">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52448412">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864705643">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2460710">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ntv.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FADD-A56C-4A90-A686-9FF4F0022D5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2A05D1C-3F56-4DDF-8CCE-8C1C0C11D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CF19-FE7B-4F07-8773-08F15C44053F}">
  <ds:schemaRefs>
    <ds:schemaRef ds:uri="http://schemas.microsoft.com/sharepoint/v3/contenttype/forms"/>
  </ds:schemaRefs>
</ds:datastoreItem>
</file>

<file path=customXml/itemProps4.xml><?xml version="1.0" encoding="utf-8"?>
<ds:datastoreItem xmlns:ds="http://schemas.openxmlformats.org/officeDocument/2006/customXml" ds:itemID="{04B0DBFD-20CC-433D-ABB3-C00EA544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16351</Words>
  <Characters>93201</Characters>
  <Application>Microsoft Office Word</Application>
  <DocSecurity>0</DocSecurity>
  <Lines>776</Lines>
  <Paragraphs>218</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109334</CharactersWithSpaces>
  <SharedDoc>false</SharedDoc>
  <HLinks>
    <vt:vector size="6" baseType="variant">
      <vt:variant>
        <vt:i4>852053</vt:i4>
      </vt:variant>
      <vt:variant>
        <vt:i4>0</vt:i4>
      </vt:variant>
      <vt:variant>
        <vt:i4>0</vt:i4>
      </vt:variant>
      <vt:variant>
        <vt:i4>5</vt:i4>
      </vt:variant>
      <vt:variant>
        <vt:lpwstr>https://www.antv.gov.co/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2018-12-05T16:32:00Z</cp:lastPrinted>
  <dcterms:created xsi:type="dcterms:W3CDTF">2020-07-01T21:07:00Z</dcterms:created>
  <dcterms:modified xsi:type="dcterms:W3CDTF">2020-07-01T21:07:00Z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