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F3FD2" w14:textId="713794C7" w:rsidR="009E64C2" w:rsidRPr="000C047B" w:rsidRDefault="001A42FA" w:rsidP="001A42FA">
      <w:pPr>
        <w:spacing w:after="0" w:line="240" w:lineRule="auto"/>
        <w:jc w:val="both"/>
        <w:rPr>
          <w:rFonts w:ascii="Arial" w:eastAsia="Times New Roman" w:hAnsi="Arial" w:cs="Arial"/>
          <w:b/>
          <w:lang w:val="es-ES" w:eastAsia="es-ES"/>
        </w:rPr>
      </w:pPr>
      <w:r w:rsidRPr="000C047B">
        <w:rPr>
          <w:rFonts w:ascii="Arial" w:eastAsia="Times New Roman" w:hAnsi="Arial" w:cs="Arial"/>
          <w:b/>
          <w:lang w:val="es-ES" w:eastAsia="es-ES"/>
        </w:rPr>
        <w:t>PACTO ARBTRAL</w:t>
      </w:r>
      <w:r w:rsidR="00BE4C45" w:rsidRPr="000C047B">
        <w:rPr>
          <w:rFonts w:ascii="Arial" w:eastAsia="Times New Roman" w:hAnsi="Arial" w:cs="Arial"/>
          <w:b/>
          <w:lang w:val="es-ES" w:eastAsia="es-ES"/>
        </w:rPr>
        <w:t xml:space="preserve"> </w:t>
      </w:r>
      <w:r w:rsidR="00463AB4" w:rsidRPr="000C047B">
        <w:rPr>
          <w:rFonts w:ascii="Arial" w:eastAsia="Times New Roman" w:hAnsi="Arial" w:cs="Arial"/>
          <w:b/>
          <w:lang w:val="es-ES" w:eastAsia="es-ES"/>
        </w:rPr>
        <w:t>–</w:t>
      </w:r>
      <w:r w:rsidR="009E64C2" w:rsidRPr="000C047B">
        <w:rPr>
          <w:rFonts w:ascii="Arial" w:eastAsia="Times New Roman" w:hAnsi="Arial" w:cs="Arial"/>
          <w:b/>
          <w:lang w:val="es-ES" w:eastAsia="es-ES"/>
        </w:rPr>
        <w:t xml:space="preserve"> Concepto</w:t>
      </w:r>
    </w:p>
    <w:p w14:paraId="1FC976CA" w14:textId="77777777" w:rsidR="001A42FA" w:rsidRPr="000C047B" w:rsidRDefault="001A42FA" w:rsidP="001A42FA">
      <w:pPr>
        <w:spacing w:after="0" w:line="240" w:lineRule="auto"/>
        <w:jc w:val="both"/>
        <w:rPr>
          <w:rFonts w:ascii="Arial" w:eastAsia="Times New Roman" w:hAnsi="Arial" w:cs="Arial"/>
          <w:lang w:val="es-ES" w:eastAsia="es-ES"/>
        </w:rPr>
      </w:pPr>
    </w:p>
    <w:p w14:paraId="03B0531A" w14:textId="181CB146" w:rsidR="009E64C2" w:rsidRPr="000C047B" w:rsidRDefault="009E64C2" w:rsidP="001A42FA">
      <w:pPr>
        <w:spacing w:after="0" w:line="240" w:lineRule="auto"/>
        <w:jc w:val="both"/>
        <w:rPr>
          <w:rFonts w:ascii="Arial" w:eastAsia="Times New Roman" w:hAnsi="Arial" w:cs="Arial"/>
          <w:lang w:val="es-ES" w:eastAsia="es-ES"/>
        </w:rPr>
      </w:pPr>
      <w:r w:rsidRPr="000C047B">
        <w:rPr>
          <w:rFonts w:ascii="Arial" w:eastAsia="Times New Roman" w:hAnsi="Arial" w:cs="Arial"/>
          <w:lang w:val="es-ES" w:eastAsia="es-ES"/>
        </w:rPr>
        <w:t xml:space="preserve">Las cláusulas compromisorias son estipulaciones contractuales que conciertan las partes para resolver, por medio del arbitraje, las diferencias o controversias que surjan del contrato. (…) La Sección Tercera, de la Sala de lo Contencioso Administrativo, en providencia de unificación de 18 de abril de 2013, determinó que en los procesos derivados de contratos estatales en los cuales esté pactada cláusula compromisoria y que se rijan por el Decreto 1818 de 1998, es necesario que obre acuerdo expreso y escrito para modificar o dejar sin efectos el pacto arbitral. </w:t>
      </w:r>
    </w:p>
    <w:p w14:paraId="234E47E8" w14:textId="77777777" w:rsidR="001A42FA" w:rsidRPr="000C047B" w:rsidRDefault="001A42FA" w:rsidP="001A42FA">
      <w:pPr>
        <w:spacing w:after="0" w:line="240" w:lineRule="auto"/>
        <w:jc w:val="both"/>
        <w:rPr>
          <w:rFonts w:ascii="Arial" w:eastAsia="Times New Roman" w:hAnsi="Arial" w:cs="Arial"/>
          <w:b/>
          <w:lang w:val="es-ES" w:eastAsia="es-ES"/>
        </w:rPr>
      </w:pPr>
    </w:p>
    <w:p w14:paraId="1E70D0EF" w14:textId="50C16AF7" w:rsidR="009E64C2" w:rsidRPr="000C047B" w:rsidRDefault="009E64C2" w:rsidP="001A42FA">
      <w:pPr>
        <w:spacing w:after="0" w:line="240" w:lineRule="auto"/>
        <w:jc w:val="both"/>
        <w:rPr>
          <w:rFonts w:ascii="Arial" w:eastAsia="Times New Roman" w:hAnsi="Arial" w:cs="Arial"/>
          <w:b/>
          <w:lang w:val="es-ES" w:eastAsia="es-ES"/>
        </w:rPr>
      </w:pPr>
      <w:r w:rsidRPr="000C047B">
        <w:rPr>
          <w:rFonts w:ascii="Arial" w:eastAsia="Times New Roman" w:hAnsi="Arial" w:cs="Arial"/>
          <w:b/>
          <w:lang w:val="es-ES" w:eastAsia="es-ES"/>
        </w:rPr>
        <w:t>CONTRATOS ESTATALES</w:t>
      </w:r>
      <w:r w:rsidR="00BE4C45" w:rsidRPr="000C047B">
        <w:rPr>
          <w:rFonts w:ascii="Arial" w:eastAsia="Times New Roman" w:hAnsi="Arial" w:cs="Arial"/>
          <w:b/>
          <w:lang w:val="es-ES" w:eastAsia="es-ES"/>
        </w:rPr>
        <w:t xml:space="preserve"> </w:t>
      </w:r>
      <w:r w:rsidR="00463AB4" w:rsidRPr="000C047B">
        <w:rPr>
          <w:rFonts w:ascii="Arial" w:eastAsia="Times New Roman" w:hAnsi="Arial" w:cs="Arial"/>
          <w:b/>
          <w:lang w:val="es-ES" w:eastAsia="es-ES"/>
        </w:rPr>
        <w:t>–</w:t>
      </w:r>
      <w:r w:rsidR="00BE4C45" w:rsidRPr="000C047B">
        <w:rPr>
          <w:rFonts w:ascii="Arial" w:eastAsia="Times New Roman" w:hAnsi="Arial" w:cs="Arial"/>
          <w:b/>
          <w:lang w:val="es-ES" w:eastAsia="es-ES"/>
        </w:rPr>
        <w:t xml:space="preserve"> N</w:t>
      </w:r>
      <w:r w:rsidRPr="000C047B">
        <w:rPr>
          <w:rFonts w:ascii="Arial" w:eastAsia="Times New Roman" w:hAnsi="Arial" w:cs="Arial"/>
          <w:b/>
          <w:lang w:val="es-ES" w:eastAsia="es-ES"/>
        </w:rPr>
        <w:t xml:space="preserve">aturaleza </w:t>
      </w:r>
      <w:r w:rsidR="001A42FA" w:rsidRPr="000C047B">
        <w:rPr>
          <w:rFonts w:ascii="Arial" w:eastAsia="Times New Roman" w:hAnsi="Arial" w:cs="Arial"/>
          <w:b/>
          <w:lang w:val="es-ES" w:eastAsia="es-ES"/>
        </w:rPr>
        <w:t>– R</w:t>
      </w:r>
      <w:r w:rsidRPr="000C047B">
        <w:rPr>
          <w:rFonts w:ascii="Arial" w:eastAsia="Times New Roman" w:hAnsi="Arial" w:cs="Arial"/>
          <w:b/>
          <w:lang w:val="es-ES" w:eastAsia="es-ES"/>
        </w:rPr>
        <w:t xml:space="preserve">égimen jurídico </w:t>
      </w:r>
    </w:p>
    <w:p w14:paraId="0759AB75" w14:textId="77777777" w:rsidR="001A42FA" w:rsidRPr="000C047B" w:rsidRDefault="001A42FA" w:rsidP="001A42FA">
      <w:pPr>
        <w:spacing w:after="0" w:line="240" w:lineRule="auto"/>
        <w:jc w:val="both"/>
        <w:rPr>
          <w:rFonts w:ascii="Arial" w:eastAsia="Times New Roman" w:hAnsi="Arial" w:cs="Arial"/>
          <w:lang w:val="es-ES" w:eastAsia="es-ES"/>
        </w:rPr>
      </w:pPr>
    </w:p>
    <w:p w14:paraId="690C150C" w14:textId="0D296022" w:rsidR="009E64C2" w:rsidRPr="000C047B" w:rsidRDefault="009E64C2" w:rsidP="001A42FA">
      <w:pPr>
        <w:spacing w:after="0" w:line="240" w:lineRule="auto"/>
        <w:jc w:val="both"/>
        <w:rPr>
          <w:rFonts w:ascii="Arial" w:eastAsia="Times New Roman" w:hAnsi="Arial" w:cs="Arial"/>
          <w:lang w:val="es-ES" w:eastAsia="es-ES"/>
        </w:rPr>
      </w:pPr>
      <w:r w:rsidRPr="000C047B">
        <w:rPr>
          <w:rFonts w:ascii="Arial" w:eastAsia="Times New Roman" w:hAnsi="Arial" w:cs="Arial"/>
          <w:lang w:val="es-ES" w:eastAsia="es-ES"/>
        </w:rPr>
        <w:t>Sumado a lo anterior,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 De acuerdo con lo anterior, en el marco del ordenamiento jurídico vigente la determinación de la naturaleza jurídica del contrato depende de la que, a su vez, tenga la entidad que lo celebra; así, si ésta es estatal, el contrato también lo es, sin importar el régimen legal que se le deba aplicar.</w:t>
      </w:r>
    </w:p>
    <w:p w14:paraId="058727AD" w14:textId="77777777" w:rsidR="00EC1057" w:rsidRPr="000C047B" w:rsidRDefault="00EC1057" w:rsidP="001A42FA">
      <w:pPr>
        <w:spacing w:after="0" w:line="240" w:lineRule="auto"/>
        <w:jc w:val="both"/>
        <w:rPr>
          <w:rFonts w:ascii="Arial" w:eastAsia="Times New Roman" w:hAnsi="Arial" w:cs="Arial"/>
          <w:b/>
          <w:lang w:val="es-ES" w:eastAsia="es-ES"/>
        </w:rPr>
      </w:pPr>
    </w:p>
    <w:p w14:paraId="0F905E5B" w14:textId="2ED856EF" w:rsidR="009E64C2" w:rsidRPr="000C047B" w:rsidRDefault="009E64C2" w:rsidP="001A42FA">
      <w:pPr>
        <w:spacing w:after="0" w:line="240" w:lineRule="auto"/>
        <w:jc w:val="both"/>
        <w:rPr>
          <w:rFonts w:ascii="Arial" w:eastAsia="Times New Roman" w:hAnsi="Arial" w:cs="Arial"/>
          <w:b/>
          <w:lang w:val="es-ES" w:eastAsia="es-ES"/>
        </w:rPr>
      </w:pPr>
      <w:r w:rsidRPr="000C047B">
        <w:rPr>
          <w:rFonts w:ascii="Arial" w:eastAsia="Times New Roman" w:hAnsi="Arial" w:cs="Arial"/>
          <w:b/>
          <w:lang w:val="es-ES" w:eastAsia="es-ES"/>
        </w:rPr>
        <w:t>CONTRATOS ESTATALES</w:t>
      </w:r>
      <w:r w:rsidR="00EC1057" w:rsidRPr="000C047B">
        <w:rPr>
          <w:rFonts w:ascii="Arial" w:eastAsia="Times New Roman" w:hAnsi="Arial" w:cs="Arial"/>
          <w:b/>
          <w:lang w:val="es-ES" w:eastAsia="es-ES"/>
        </w:rPr>
        <w:t xml:space="preserve"> </w:t>
      </w:r>
      <w:r w:rsidR="00463AB4" w:rsidRPr="000C047B">
        <w:rPr>
          <w:rFonts w:ascii="Arial" w:eastAsia="Times New Roman" w:hAnsi="Arial" w:cs="Arial"/>
          <w:b/>
          <w:lang w:val="es-ES" w:eastAsia="es-ES"/>
        </w:rPr>
        <w:t>–</w:t>
      </w:r>
      <w:r w:rsidRPr="000C047B">
        <w:rPr>
          <w:rFonts w:ascii="Arial" w:eastAsia="Times New Roman" w:hAnsi="Arial" w:cs="Arial"/>
          <w:b/>
          <w:lang w:val="es-ES" w:eastAsia="es-ES"/>
        </w:rPr>
        <w:t xml:space="preserve"> Ley 80 de 1993 – </w:t>
      </w:r>
      <w:r w:rsidR="00EC1057" w:rsidRPr="000C047B">
        <w:rPr>
          <w:rFonts w:ascii="Arial" w:eastAsia="Times New Roman" w:hAnsi="Arial" w:cs="Arial"/>
          <w:b/>
          <w:lang w:val="es-ES" w:eastAsia="es-ES"/>
        </w:rPr>
        <w:t>C</w:t>
      </w:r>
      <w:r w:rsidRPr="000C047B">
        <w:rPr>
          <w:rFonts w:ascii="Arial" w:eastAsia="Times New Roman" w:hAnsi="Arial" w:cs="Arial"/>
          <w:b/>
          <w:lang w:val="es-ES" w:eastAsia="es-ES"/>
        </w:rPr>
        <w:t>riterio subjetivo</w:t>
      </w:r>
      <w:r w:rsidR="00EC1057" w:rsidRPr="000C047B">
        <w:rPr>
          <w:rFonts w:ascii="Arial" w:eastAsia="Times New Roman" w:hAnsi="Arial" w:cs="Arial"/>
          <w:b/>
          <w:lang w:val="es-ES" w:eastAsia="es-ES"/>
        </w:rPr>
        <w:t xml:space="preserve"> u orgánico</w:t>
      </w:r>
    </w:p>
    <w:p w14:paraId="68EFE1AC" w14:textId="77777777" w:rsidR="00EC1057" w:rsidRPr="000C047B" w:rsidRDefault="00EC1057" w:rsidP="001A42FA">
      <w:pPr>
        <w:spacing w:after="0" w:line="240" w:lineRule="auto"/>
        <w:jc w:val="both"/>
        <w:rPr>
          <w:rFonts w:ascii="Arial" w:eastAsia="Times New Roman" w:hAnsi="Arial" w:cs="Arial"/>
          <w:lang w:val="es-ES" w:eastAsia="es-ES"/>
        </w:rPr>
      </w:pPr>
    </w:p>
    <w:p w14:paraId="3080793D" w14:textId="2D09B84B" w:rsidR="009E64C2" w:rsidRPr="000C047B" w:rsidRDefault="009E64C2" w:rsidP="001A42FA">
      <w:pPr>
        <w:spacing w:after="0" w:line="240" w:lineRule="auto"/>
        <w:jc w:val="both"/>
        <w:rPr>
          <w:rFonts w:ascii="Arial" w:eastAsia="Times New Roman" w:hAnsi="Arial" w:cs="Arial"/>
          <w:lang w:val="es-ES" w:eastAsia="es-ES"/>
        </w:rPr>
      </w:pPr>
      <w:r w:rsidRPr="000C047B">
        <w:rPr>
          <w:rFonts w:ascii="Arial" w:eastAsia="Times New Roman" w:hAnsi="Arial" w:cs="Arial"/>
          <w:lang w:val="es-ES" w:eastAsia="es-ES"/>
        </w:rPr>
        <w:t>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 .</w:t>
      </w:r>
    </w:p>
    <w:p w14:paraId="4E03F179" w14:textId="77777777" w:rsidR="00EC1057" w:rsidRPr="000C047B" w:rsidRDefault="00EC1057" w:rsidP="001A42FA">
      <w:pPr>
        <w:spacing w:after="0" w:line="240" w:lineRule="auto"/>
        <w:jc w:val="both"/>
        <w:rPr>
          <w:rFonts w:ascii="Arial" w:eastAsia="Times New Roman" w:hAnsi="Arial" w:cs="Arial"/>
          <w:b/>
          <w:lang w:val="es-ES" w:eastAsia="es-ES"/>
        </w:rPr>
      </w:pPr>
    </w:p>
    <w:p w14:paraId="4BB7EB22" w14:textId="45DF0166" w:rsidR="009E64C2" w:rsidRPr="000C047B" w:rsidRDefault="009E64C2" w:rsidP="001A42FA">
      <w:pPr>
        <w:spacing w:after="0" w:line="240" w:lineRule="auto"/>
        <w:jc w:val="both"/>
        <w:rPr>
          <w:rFonts w:ascii="Arial" w:eastAsia="Times New Roman" w:hAnsi="Arial" w:cs="Arial"/>
          <w:b/>
          <w:lang w:val="es-ES" w:eastAsia="es-ES"/>
        </w:rPr>
      </w:pPr>
      <w:r w:rsidRPr="000C047B">
        <w:rPr>
          <w:rFonts w:ascii="Arial" w:eastAsia="Times New Roman" w:hAnsi="Arial" w:cs="Arial"/>
          <w:b/>
          <w:lang w:val="es-ES" w:eastAsia="es-ES"/>
        </w:rPr>
        <w:t>NULIDADES PROCESALES</w:t>
      </w:r>
      <w:r w:rsidR="00BE4C45" w:rsidRPr="000C047B">
        <w:rPr>
          <w:rFonts w:ascii="Arial" w:eastAsia="Times New Roman" w:hAnsi="Arial" w:cs="Arial"/>
          <w:b/>
          <w:lang w:val="es-ES" w:eastAsia="es-ES"/>
        </w:rPr>
        <w:t xml:space="preserve"> –</w:t>
      </w:r>
      <w:r w:rsidRPr="000C047B">
        <w:rPr>
          <w:rFonts w:ascii="Arial" w:eastAsia="Times New Roman" w:hAnsi="Arial" w:cs="Arial"/>
          <w:b/>
          <w:lang w:val="es-ES" w:eastAsia="es-ES"/>
        </w:rPr>
        <w:t xml:space="preserve"> </w:t>
      </w:r>
      <w:r w:rsidR="00BE4C45" w:rsidRPr="000C047B">
        <w:rPr>
          <w:rFonts w:ascii="Arial" w:eastAsia="Times New Roman" w:hAnsi="Arial" w:cs="Arial"/>
          <w:b/>
          <w:lang w:val="es-ES" w:eastAsia="es-ES"/>
        </w:rPr>
        <w:t>Procedencia</w:t>
      </w:r>
    </w:p>
    <w:p w14:paraId="06609B0C" w14:textId="77777777" w:rsidR="00EC1057" w:rsidRPr="000C047B" w:rsidRDefault="00EC1057" w:rsidP="001A42FA">
      <w:pPr>
        <w:spacing w:after="0" w:line="240" w:lineRule="auto"/>
        <w:jc w:val="both"/>
        <w:rPr>
          <w:rFonts w:ascii="Arial" w:eastAsia="Times New Roman" w:hAnsi="Arial" w:cs="Arial"/>
          <w:lang w:val="es-ES" w:eastAsia="es-ES"/>
        </w:rPr>
      </w:pPr>
    </w:p>
    <w:p w14:paraId="69C44640" w14:textId="08537FF5" w:rsidR="009E64C2" w:rsidRPr="000C047B" w:rsidRDefault="009E64C2" w:rsidP="001A42FA">
      <w:pPr>
        <w:spacing w:after="0" w:line="240" w:lineRule="auto"/>
        <w:jc w:val="both"/>
        <w:rPr>
          <w:rFonts w:ascii="Arial" w:eastAsia="Times New Roman" w:hAnsi="Arial" w:cs="Arial"/>
          <w:lang w:val="es-ES" w:eastAsia="es-ES"/>
        </w:rPr>
      </w:pPr>
      <w:r w:rsidRPr="000C047B">
        <w:rPr>
          <w:rFonts w:ascii="Arial" w:eastAsia="Times New Roman" w:hAnsi="Arial" w:cs="Arial"/>
          <w:lang w:val="es-ES" w:eastAsia="es-ES"/>
        </w:rPr>
        <w:t>Al respecto, es necesario tener en cuenta que las nulidades procesales son taxativas, operan siempre y cuando se encuentren debidamente acreditadas y no se presentan por simples omisiones o vicios que no afecten el debido proceso, ni tampoco se pueden aplicar bajo un criterio analógico.</w:t>
      </w:r>
    </w:p>
    <w:p w14:paraId="0DA54FA9" w14:textId="77777777" w:rsidR="00EC1057" w:rsidRPr="000C047B" w:rsidRDefault="00EC1057" w:rsidP="001A42FA">
      <w:pPr>
        <w:spacing w:after="0" w:line="240" w:lineRule="auto"/>
        <w:jc w:val="both"/>
        <w:rPr>
          <w:rFonts w:ascii="Arial" w:eastAsia="Times New Roman" w:hAnsi="Arial" w:cs="Arial"/>
          <w:b/>
          <w:lang w:val="es-ES" w:eastAsia="es-ES"/>
        </w:rPr>
      </w:pPr>
    </w:p>
    <w:p w14:paraId="29C7E95B" w14:textId="5B16B9B5" w:rsidR="009E64C2" w:rsidRPr="000C047B" w:rsidRDefault="009E64C2" w:rsidP="001A42FA">
      <w:pPr>
        <w:spacing w:after="0" w:line="240" w:lineRule="auto"/>
        <w:jc w:val="both"/>
        <w:rPr>
          <w:rFonts w:ascii="Arial" w:eastAsia="Times New Roman" w:hAnsi="Arial" w:cs="Arial"/>
          <w:b/>
          <w:lang w:val="es-ES" w:eastAsia="es-ES"/>
        </w:rPr>
      </w:pPr>
      <w:r w:rsidRPr="000C047B">
        <w:rPr>
          <w:rFonts w:ascii="Arial" w:eastAsia="Times New Roman" w:hAnsi="Arial" w:cs="Arial"/>
          <w:b/>
          <w:lang w:val="es-ES" w:eastAsia="es-ES"/>
        </w:rPr>
        <w:t>CLÁUSULAS COMPROMISORIAS</w:t>
      </w:r>
      <w:r w:rsidR="00BE4C45" w:rsidRPr="000C047B">
        <w:rPr>
          <w:rFonts w:ascii="Arial" w:eastAsia="Times New Roman" w:hAnsi="Arial" w:cs="Arial"/>
          <w:b/>
          <w:lang w:val="es-ES" w:eastAsia="es-ES"/>
        </w:rPr>
        <w:t xml:space="preserve"> </w:t>
      </w:r>
      <w:r w:rsidR="00463AB4" w:rsidRPr="000C047B">
        <w:rPr>
          <w:rFonts w:ascii="Arial" w:eastAsia="Times New Roman" w:hAnsi="Arial" w:cs="Arial"/>
          <w:b/>
          <w:lang w:val="es-ES" w:eastAsia="es-ES"/>
        </w:rPr>
        <w:t>–</w:t>
      </w:r>
      <w:r w:rsidRPr="000C047B">
        <w:rPr>
          <w:rFonts w:ascii="Arial" w:eastAsia="Times New Roman" w:hAnsi="Arial" w:cs="Arial"/>
          <w:b/>
          <w:lang w:val="es-ES" w:eastAsia="es-ES"/>
        </w:rPr>
        <w:t xml:space="preserve"> </w:t>
      </w:r>
      <w:r w:rsidR="00EC1057" w:rsidRPr="000C047B">
        <w:rPr>
          <w:rFonts w:ascii="Arial" w:eastAsia="Times New Roman" w:hAnsi="Arial" w:cs="Arial"/>
          <w:b/>
          <w:lang w:val="es-ES" w:eastAsia="es-ES"/>
        </w:rPr>
        <w:t>Alcance</w:t>
      </w:r>
    </w:p>
    <w:p w14:paraId="52AC92E7" w14:textId="77777777" w:rsidR="00EC1057" w:rsidRPr="000C047B" w:rsidRDefault="00EC1057" w:rsidP="001A42FA">
      <w:pPr>
        <w:spacing w:after="0" w:line="240" w:lineRule="auto"/>
        <w:jc w:val="both"/>
        <w:rPr>
          <w:rFonts w:ascii="Arial" w:eastAsia="Times New Roman" w:hAnsi="Arial" w:cs="Arial"/>
          <w:lang w:val="es-ES" w:eastAsia="es-ES"/>
        </w:rPr>
      </w:pPr>
    </w:p>
    <w:p w14:paraId="7550154F" w14:textId="19EDCBB5" w:rsidR="009E64C2" w:rsidRPr="000C047B" w:rsidRDefault="009E64C2" w:rsidP="001A42FA">
      <w:pPr>
        <w:spacing w:after="0" w:line="240" w:lineRule="auto"/>
        <w:jc w:val="both"/>
        <w:rPr>
          <w:rFonts w:ascii="Arial" w:eastAsia="Times New Roman" w:hAnsi="Arial" w:cs="Arial"/>
          <w:lang w:val="es-ES" w:eastAsia="es-ES"/>
        </w:rPr>
      </w:pPr>
      <w:r w:rsidRPr="000C047B">
        <w:rPr>
          <w:rFonts w:ascii="Arial" w:eastAsia="Times New Roman" w:hAnsi="Arial" w:cs="Arial"/>
          <w:lang w:val="es-ES" w:eastAsia="es-ES"/>
        </w:rPr>
        <w:t>Al respecto, es necesario aclarar que las cláusulas que establecieron la convocatoria a un tribunal arbitral no solamente se referían a la ejecución del contrato, sino también a cualquier asunto inherente al mismo, que generara alguna diferencia entre quienes lo celebraron; por lo tanto, en principio podría pensarse que las irregularidades e incumplimientos que se presentaron en el presente asunto y que llevaron a la expedición de los actos acusados debían someterse, en su momento, a decisión arbitral.</w:t>
      </w:r>
    </w:p>
    <w:p w14:paraId="48C7A537" w14:textId="77777777" w:rsidR="00EC1057" w:rsidRPr="000C047B" w:rsidRDefault="00EC1057" w:rsidP="001A42FA">
      <w:pPr>
        <w:spacing w:after="0" w:line="240" w:lineRule="auto"/>
        <w:jc w:val="both"/>
        <w:rPr>
          <w:rFonts w:ascii="Arial" w:eastAsia="Times New Roman" w:hAnsi="Arial" w:cs="Arial"/>
          <w:b/>
          <w:lang w:val="es-419" w:eastAsia="es-ES"/>
        </w:rPr>
      </w:pPr>
    </w:p>
    <w:p w14:paraId="1C4E5BF5" w14:textId="47267D5E" w:rsidR="009E64C2" w:rsidRPr="000C047B" w:rsidRDefault="009E64C2" w:rsidP="001A42FA">
      <w:pPr>
        <w:spacing w:after="0" w:line="240" w:lineRule="auto"/>
        <w:jc w:val="both"/>
        <w:rPr>
          <w:rFonts w:ascii="Arial" w:eastAsia="Times New Roman" w:hAnsi="Arial" w:cs="Arial"/>
          <w:b/>
          <w:lang w:val="es-419" w:eastAsia="es-ES"/>
        </w:rPr>
      </w:pPr>
      <w:r w:rsidRPr="000C047B">
        <w:rPr>
          <w:rFonts w:ascii="Arial" w:eastAsia="Times New Roman" w:hAnsi="Arial" w:cs="Arial"/>
          <w:b/>
          <w:lang w:val="es-419" w:eastAsia="es-ES"/>
        </w:rPr>
        <w:t>DEBERES DE LAS ENTIDADES ESTATALES</w:t>
      </w:r>
      <w:r w:rsidR="00EC1057" w:rsidRPr="000C047B">
        <w:rPr>
          <w:rFonts w:ascii="Arial" w:eastAsia="Times New Roman" w:hAnsi="Arial" w:cs="Arial"/>
          <w:b/>
          <w:lang w:val="es-419" w:eastAsia="es-ES"/>
        </w:rPr>
        <w:t xml:space="preserve"> – Obligación de ha</w:t>
      </w:r>
      <w:r w:rsidR="0024361C" w:rsidRPr="000C047B">
        <w:rPr>
          <w:rFonts w:ascii="Arial" w:eastAsia="Times New Roman" w:hAnsi="Arial" w:cs="Arial"/>
          <w:b/>
          <w:lang w:val="es-419" w:eastAsia="es-ES"/>
        </w:rPr>
        <w:t>c</w:t>
      </w:r>
      <w:r w:rsidR="00EC1057" w:rsidRPr="000C047B">
        <w:rPr>
          <w:rFonts w:ascii="Arial" w:eastAsia="Times New Roman" w:hAnsi="Arial" w:cs="Arial"/>
          <w:b/>
          <w:lang w:val="es-419" w:eastAsia="es-ES"/>
        </w:rPr>
        <w:t>er efectivas las garantías</w:t>
      </w:r>
      <w:r w:rsidRPr="000C047B">
        <w:rPr>
          <w:rFonts w:ascii="Arial" w:eastAsia="Times New Roman" w:hAnsi="Arial" w:cs="Arial"/>
          <w:b/>
          <w:lang w:val="es-419" w:eastAsia="es-ES"/>
        </w:rPr>
        <w:t xml:space="preserve"> constituidas </w:t>
      </w:r>
      <w:r w:rsidR="00EC1057" w:rsidRPr="000C047B">
        <w:rPr>
          <w:rFonts w:ascii="Arial" w:eastAsia="Times New Roman" w:hAnsi="Arial" w:cs="Arial"/>
          <w:b/>
          <w:lang w:val="es-419" w:eastAsia="es-ES"/>
        </w:rPr>
        <w:t>– Convocatoria del</w:t>
      </w:r>
      <w:r w:rsidRPr="000C047B">
        <w:rPr>
          <w:rFonts w:ascii="Arial" w:eastAsia="Times New Roman" w:hAnsi="Arial" w:cs="Arial"/>
          <w:b/>
          <w:lang w:val="es-419" w:eastAsia="es-ES"/>
        </w:rPr>
        <w:t xml:space="preserve"> tribunal de arbitrament</w:t>
      </w:r>
      <w:r w:rsidR="00BE4C45" w:rsidRPr="000C047B">
        <w:rPr>
          <w:rFonts w:ascii="Arial" w:eastAsia="Times New Roman" w:hAnsi="Arial" w:cs="Arial"/>
          <w:b/>
          <w:lang w:val="es-419" w:eastAsia="es-ES"/>
        </w:rPr>
        <w:t>o</w:t>
      </w:r>
    </w:p>
    <w:p w14:paraId="36950030" w14:textId="77777777" w:rsidR="00EC1057" w:rsidRPr="000C047B" w:rsidRDefault="00EC1057" w:rsidP="001A42FA">
      <w:pPr>
        <w:spacing w:after="0" w:line="240" w:lineRule="auto"/>
        <w:jc w:val="both"/>
        <w:rPr>
          <w:rFonts w:ascii="Arial" w:eastAsia="Times New Roman" w:hAnsi="Arial" w:cs="Arial"/>
          <w:lang w:val="es-419" w:eastAsia="es-ES"/>
        </w:rPr>
      </w:pPr>
    </w:p>
    <w:p w14:paraId="052A7AFB" w14:textId="2E1A0094" w:rsidR="009E64C2" w:rsidRPr="000C047B" w:rsidRDefault="009E64C2" w:rsidP="001A42FA">
      <w:pPr>
        <w:spacing w:after="0" w:line="240" w:lineRule="auto"/>
        <w:jc w:val="both"/>
        <w:rPr>
          <w:rFonts w:ascii="Arial" w:eastAsia="Times New Roman" w:hAnsi="Arial" w:cs="Arial"/>
          <w:lang w:val="es-419" w:eastAsia="es-ES"/>
        </w:rPr>
      </w:pPr>
      <w:r w:rsidRPr="000C047B">
        <w:rPr>
          <w:rFonts w:ascii="Arial" w:eastAsia="Times New Roman" w:hAnsi="Arial" w:cs="Arial"/>
          <w:lang w:val="es-419" w:eastAsia="es-ES"/>
        </w:rPr>
        <w:t>Si bien es cierto que en el contrato de interventoría 146 de 2000 se estableció que, en caso de controversia, se acudiría al arbitraje, también es cierto que en el estatuto de contratación estatal se incluye, como uno de los deberes de las entidades estatales contratantes, la obligación de adelantar las actuaciones administrativas encaminadas a imponer las sanciones pecuniarias y a lograr la efectividad de las garantías a que hubiere lugar (numeral 2 del artículo 4 de la Ley 80 ce 1993); por lo tanto, es un imperativo legal que, en el evento de un incumplimiento demostrado por parte del contratista y más aún cuando el contrato ya se terminó y liquidó, se acuda a las garantías constituidas  y no esperar a que se convoque a un tribunal de arbitramento.</w:t>
      </w:r>
    </w:p>
    <w:p w14:paraId="34120482" w14:textId="77777777" w:rsidR="00463AB4" w:rsidRPr="000C047B" w:rsidRDefault="00463AB4" w:rsidP="001A42FA">
      <w:pPr>
        <w:spacing w:after="0" w:line="240" w:lineRule="auto"/>
        <w:jc w:val="both"/>
        <w:rPr>
          <w:rFonts w:ascii="Arial" w:eastAsia="Times New Roman" w:hAnsi="Arial" w:cs="Arial"/>
          <w:b/>
          <w:lang w:val="es-ES" w:eastAsia="es-ES"/>
        </w:rPr>
      </w:pPr>
    </w:p>
    <w:p w14:paraId="6852CC7E" w14:textId="2AE37DE3" w:rsidR="009E64C2" w:rsidRPr="000C047B" w:rsidRDefault="00463AB4" w:rsidP="001A42FA">
      <w:pPr>
        <w:spacing w:after="0" w:line="240" w:lineRule="auto"/>
        <w:jc w:val="both"/>
        <w:rPr>
          <w:rFonts w:ascii="Arial" w:eastAsia="Times New Roman" w:hAnsi="Arial" w:cs="Arial"/>
          <w:b/>
          <w:lang w:val="es-419" w:eastAsia="es-ES"/>
        </w:rPr>
      </w:pPr>
      <w:r w:rsidRPr="000C047B">
        <w:rPr>
          <w:rFonts w:ascii="Arial" w:eastAsia="Times New Roman" w:hAnsi="Arial" w:cs="Arial"/>
          <w:b/>
          <w:lang w:val="es-ES" w:eastAsia="es-ES"/>
        </w:rPr>
        <w:t>CONTRATO DE INTERVENTORÍA</w:t>
      </w:r>
      <w:r w:rsidR="009E64C2" w:rsidRPr="000C047B">
        <w:rPr>
          <w:rFonts w:ascii="Arial" w:eastAsia="Times New Roman" w:hAnsi="Arial" w:cs="Arial"/>
          <w:b/>
          <w:lang w:val="es-ES" w:eastAsia="es-ES"/>
        </w:rPr>
        <w:t xml:space="preserve"> </w:t>
      </w:r>
      <w:r w:rsidRPr="000C047B">
        <w:rPr>
          <w:rFonts w:ascii="Arial" w:eastAsia="Times New Roman" w:hAnsi="Arial" w:cs="Arial"/>
          <w:b/>
          <w:lang w:val="es-ES" w:eastAsia="es-ES"/>
        </w:rPr>
        <w:t>–</w:t>
      </w:r>
      <w:r w:rsidR="009E64C2" w:rsidRPr="000C047B">
        <w:rPr>
          <w:rFonts w:ascii="Arial" w:eastAsia="Times New Roman" w:hAnsi="Arial" w:cs="Arial"/>
          <w:b/>
          <w:lang w:val="es-419" w:eastAsia="es-ES"/>
        </w:rPr>
        <w:t xml:space="preserve"> Concepto – Propósito</w:t>
      </w:r>
    </w:p>
    <w:p w14:paraId="7BD0B44E" w14:textId="77777777" w:rsidR="00463AB4" w:rsidRPr="000C047B" w:rsidRDefault="00463AB4" w:rsidP="001A42FA">
      <w:pPr>
        <w:spacing w:after="0" w:line="240" w:lineRule="auto"/>
        <w:jc w:val="both"/>
        <w:rPr>
          <w:rFonts w:ascii="Arial" w:eastAsia="Times New Roman" w:hAnsi="Arial" w:cs="Arial"/>
          <w:lang w:val="es-419" w:eastAsia="es-ES"/>
        </w:rPr>
      </w:pPr>
    </w:p>
    <w:p w14:paraId="4B7BFA01" w14:textId="0DD9E91D" w:rsidR="009E64C2" w:rsidRPr="000C047B" w:rsidRDefault="009E64C2" w:rsidP="001A42FA">
      <w:pPr>
        <w:spacing w:after="0" w:line="240" w:lineRule="auto"/>
        <w:jc w:val="both"/>
        <w:rPr>
          <w:rFonts w:ascii="Arial" w:eastAsia="Times New Roman" w:hAnsi="Arial" w:cs="Arial"/>
          <w:lang w:val="es-419" w:eastAsia="es-ES"/>
        </w:rPr>
      </w:pPr>
      <w:r w:rsidRPr="000C047B">
        <w:rPr>
          <w:rFonts w:ascii="Arial" w:eastAsia="Times New Roman" w:hAnsi="Arial" w:cs="Arial"/>
          <w:lang w:val="es-419" w:eastAsia="es-ES"/>
        </w:rPr>
        <w:lastRenderedPageBreak/>
        <w:t>Respecto a lo anterior, debe recordarse que la interventoría en los contratos estatales comprende todas aquellas actividades que, en representación de la entidad contratante, realiza una persona, natural o jurídica, con el fin de vigilar o inspeccionar, controlar, verificar y colaborar en la ejecución de los contratos o convenios, para lo cual debe prestar asesoría y apoyo tanto a la entidad como al contratista. Se trata de una exigencia establecida en el ordenamiento jurídico, que tiene el propósito de asegurar el cumplimiento del objeto de los contratos estatales, en defensa de los fines de la contratación publica, para la satisfacción de los intereses generales y de las necesidades básicas de la colectividad.</w:t>
      </w:r>
    </w:p>
    <w:p w14:paraId="4FFF8F47" w14:textId="77777777" w:rsidR="00463AB4" w:rsidRPr="000C047B" w:rsidRDefault="00463AB4" w:rsidP="001A42FA">
      <w:pPr>
        <w:spacing w:after="0" w:line="240" w:lineRule="auto"/>
        <w:jc w:val="both"/>
        <w:rPr>
          <w:rFonts w:ascii="Arial" w:eastAsia="Times New Roman" w:hAnsi="Arial" w:cs="Arial"/>
          <w:b/>
          <w:lang w:val="es-ES" w:eastAsia="es-ES"/>
        </w:rPr>
      </w:pPr>
    </w:p>
    <w:p w14:paraId="595778B3" w14:textId="410DD615" w:rsidR="00463AB4" w:rsidRPr="000C047B" w:rsidRDefault="009E64C2" w:rsidP="001A42FA">
      <w:pPr>
        <w:spacing w:after="0" w:line="240" w:lineRule="auto"/>
        <w:jc w:val="both"/>
        <w:rPr>
          <w:rFonts w:ascii="Arial" w:eastAsia="Times New Roman" w:hAnsi="Arial" w:cs="Arial"/>
          <w:b/>
          <w:lang w:val="es-ES" w:eastAsia="es-ES"/>
        </w:rPr>
      </w:pPr>
      <w:r w:rsidRPr="000C047B">
        <w:rPr>
          <w:rFonts w:ascii="Arial" w:eastAsia="Times New Roman" w:hAnsi="Arial" w:cs="Arial"/>
          <w:b/>
          <w:lang w:val="es-ES" w:eastAsia="es-ES"/>
        </w:rPr>
        <w:t>FALSA MOTIVACIÓN</w:t>
      </w:r>
      <w:r w:rsidR="00BE4C45" w:rsidRPr="000C047B">
        <w:rPr>
          <w:rFonts w:ascii="Arial" w:eastAsia="Times New Roman" w:hAnsi="Arial" w:cs="Arial"/>
          <w:b/>
          <w:lang w:val="es-ES" w:eastAsia="es-ES"/>
        </w:rPr>
        <w:t xml:space="preserve"> </w:t>
      </w:r>
      <w:r w:rsidR="00463AB4" w:rsidRPr="000C047B">
        <w:rPr>
          <w:rFonts w:ascii="Arial" w:eastAsia="Times New Roman" w:hAnsi="Arial" w:cs="Arial"/>
          <w:b/>
          <w:lang w:val="es-ES" w:eastAsia="es-ES"/>
        </w:rPr>
        <w:t>–</w:t>
      </w:r>
      <w:r w:rsidR="00C961B2" w:rsidRPr="000C047B">
        <w:rPr>
          <w:rFonts w:ascii="Arial" w:eastAsia="Times New Roman" w:hAnsi="Arial" w:cs="Arial"/>
          <w:b/>
          <w:lang w:val="es-ES" w:eastAsia="es-ES"/>
        </w:rPr>
        <w:t xml:space="preserve"> Causal</w:t>
      </w:r>
      <w:r w:rsidR="00BE4C45" w:rsidRPr="000C047B">
        <w:rPr>
          <w:rFonts w:ascii="Arial" w:eastAsia="Times New Roman" w:hAnsi="Arial" w:cs="Arial"/>
          <w:b/>
          <w:lang w:val="es-ES" w:eastAsia="es-ES"/>
        </w:rPr>
        <w:t xml:space="preserve"> de nulidad </w:t>
      </w:r>
      <w:r w:rsidR="00463AB4" w:rsidRPr="000C047B">
        <w:rPr>
          <w:rFonts w:ascii="Arial" w:eastAsia="Times New Roman" w:hAnsi="Arial" w:cs="Arial"/>
          <w:b/>
          <w:lang w:val="es-ES" w:eastAsia="es-ES"/>
        </w:rPr>
        <w:t>–</w:t>
      </w:r>
      <w:r w:rsidRPr="000C047B">
        <w:rPr>
          <w:rFonts w:ascii="Arial" w:eastAsia="Times New Roman" w:hAnsi="Arial" w:cs="Arial"/>
          <w:b/>
          <w:lang w:val="es-ES" w:eastAsia="es-ES"/>
        </w:rPr>
        <w:t xml:space="preserve"> Concepto</w:t>
      </w:r>
    </w:p>
    <w:p w14:paraId="623D4E36" w14:textId="77777777" w:rsidR="00463AB4" w:rsidRPr="000C047B" w:rsidRDefault="00463AB4" w:rsidP="001A42FA">
      <w:pPr>
        <w:spacing w:after="0" w:line="240" w:lineRule="auto"/>
        <w:jc w:val="both"/>
        <w:rPr>
          <w:rFonts w:ascii="Arial" w:eastAsia="Times New Roman" w:hAnsi="Arial" w:cs="Arial"/>
          <w:lang w:val="es-419" w:eastAsia="es-ES"/>
        </w:rPr>
      </w:pPr>
    </w:p>
    <w:p w14:paraId="2FA29BF6" w14:textId="39F7607C" w:rsidR="009E64C2" w:rsidRPr="000C047B" w:rsidRDefault="009E64C2" w:rsidP="001A42FA">
      <w:pPr>
        <w:spacing w:after="0" w:line="240" w:lineRule="auto"/>
        <w:jc w:val="both"/>
        <w:rPr>
          <w:rFonts w:ascii="Arial" w:eastAsia="Times New Roman" w:hAnsi="Arial" w:cs="Arial"/>
          <w:lang w:val="es-419" w:eastAsia="es-ES"/>
        </w:rPr>
      </w:pPr>
      <w:r w:rsidRPr="000C047B">
        <w:rPr>
          <w:rFonts w:ascii="Arial" w:eastAsia="Times New Roman" w:hAnsi="Arial" w:cs="Arial"/>
          <w:lang w:val="es-419" w:eastAsia="es-ES"/>
        </w:rPr>
        <w:t>La falsa motivación, como causal de nulidad, se presenta cuando los fundamentos fácticos en que se basó la administración para tomar una decisión no existen o, de existir, fueron apreciados de manera equivocada por ésta.</w:t>
      </w:r>
    </w:p>
    <w:p w14:paraId="1F166A43" w14:textId="77777777" w:rsidR="00463AB4" w:rsidRPr="000C047B" w:rsidRDefault="00463AB4" w:rsidP="001A42FA">
      <w:pPr>
        <w:spacing w:after="0" w:line="240" w:lineRule="auto"/>
        <w:jc w:val="both"/>
        <w:rPr>
          <w:rFonts w:ascii="Arial" w:eastAsia="Times New Roman" w:hAnsi="Arial" w:cs="Arial"/>
          <w:b/>
          <w:lang w:val="es-ES" w:eastAsia="es-ES"/>
        </w:rPr>
      </w:pPr>
    </w:p>
    <w:p w14:paraId="0C45E6BD" w14:textId="5973D400" w:rsidR="009E64C2" w:rsidRPr="000C047B" w:rsidRDefault="009E64C2" w:rsidP="001A42FA">
      <w:pPr>
        <w:spacing w:after="0" w:line="240" w:lineRule="auto"/>
        <w:jc w:val="both"/>
        <w:rPr>
          <w:rFonts w:ascii="Arial" w:eastAsia="Times New Roman" w:hAnsi="Arial" w:cs="Arial"/>
          <w:b/>
          <w:lang w:val="es-419" w:eastAsia="es-ES"/>
        </w:rPr>
      </w:pPr>
      <w:r w:rsidRPr="000C047B">
        <w:rPr>
          <w:rFonts w:ascii="Arial" w:eastAsia="Times New Roman" w:hAnsi="Arial" w:cs="Arial"/>
          <w:b/>
          <w:lang w:val="es-ES" w:eastAsia="es-ES"/>
        </w:rPr>
        <w:t>DESVIACIÓN DE PODER</w:t>
      </w:r>
      <w:r w:rsidR="00463AB4" w:rsidRPr="000C047B">
        <w:rPr>
          <w:rFonts w:ascii="Arial" w:eastAsia="Times New Roman" w:hAnsi="Arial" w:cs="Arial"/>
          <w:b/>
          <w:lang w:val="es-ES" w:eastAsia="es-ES"/>
        </w:rPr>
        <w:t xml:space="preserve"> –</w:t>
      </w:r>
      <w:r w:rsidRPr="000C047B">
        <w:rPr>
          <w:rFonts w:ascii="Arial" w:eastAsia="Times New Roman" w:hAnsi="Arial" w:cs="Arial"/>
          <w:b/>
          <w:lang w:val="es-ES" w:eastAsia="es-ES"/>
        </w:rPr>
        <w:t xml:space="preserve"> Configuración</w:t>
      </w:r>
    </w:p>
    <w:p w14:paraId="632B7163" w14:textId="77777777" w:rsidR="00463AB4" w:rsidRPr="000C047B" w:rsidRDefault="00463AB4" w:rsidP="001A42FA">
      <w:pPr>
        <w:spacing w:after="0" w:line="240" w:lineRule="auto"/>
        <w:jc w:val="both"/>
        <w:rPr>
          <w:rFonts w:ascii="Arial" w:eastAsia="Times New Roman" w:hAnsi="Arial" w:cs="Arial"/>
          <w:lang w:val="es-ES" w:eastAsia="es-ES"/>
        </w:rPr>
      </w:pPr>
    </w:p>
    <w:p w14:paraId="465C9E0F" w14:textId="7E473537" w:rsidR="00463AB4" w:rsidRDefault="009E64C2" w:rsidP="000C047B">
      <w:pPr>
        <w:spacing w:after="0" w:line="240" w:lineRule="auto"/>
        <w:jc w:val="both"/>
        <w:rPr>
          <w:rFonts w:ascii="Arial" w:eastAsia="Times New Roman" w:hAnsi="Arial" w:cs="Arial"/>
          <w:b/>
          <w:sz w:val="24"/>
          <w:szCs w:val="24"/>
          <w:lang w:val="es-ES" w:eastAsia="es-ES"/>
        </w:rPr>
      </w:pPr>
      <w:r w:rsidRPr="000C047B">
        <w:rPr>
          <w:rFonts w:ascii="Arial" w:eastAsia="Times New Roman" w:hAnsi="Arial" w:cs="Arial"/>
          <w:lang w:val="es-ES" w:eastAsia="es-ES"/>
        </w:rPr>
        <w:t>A su vez, la desviación de poder, como causal subjetiva de nulidad de los actos administrativos, se configura cuando la autoridad, en ejercicio de funciones administrativas que le son propias, actúa arbitrariamente en búsqueda de intereses personales o en contra de los intereses públicos y de la finalidad perseguida por el ordenamiento jurídico al atribuir la competencia administrativa para la expedición del acto objeto de control judicial, es decir, se da esta causal cuando la autoridad administrativa hace uso de una función o facultad que le es propia, pero para lograr un propósito distinto al previsto en la norma que la consagra.</w:t>
      </w:r>
      <w:bookmarkStart w:id="0" w:name="_GoBack"/>
      <w:bookmarkEnd w:id="0"/>
    </w:p>
    <w:p w14:paraId="2BF62A98" w14:textId="77777777" w:rsidR="00463AB4" w:rsidRPr="00C961B2" w:rsidRDefault="00463AB4" w:rsidP="001C4E06">
      <w:pPr>
        <w:spacing w:after="0" w:line="240" w:lineRule="auto"/>
        <w:rPr>
          <w:rFonts w:ascii="Arial" w:eastAsia="Times New Roman" w:hAnsi="Arial" w:cs="Arial"/>
          <w:b/>
          <w:sz w:val="24"/>
          <w:szCs w:val="24"/>
          <w:lang w:val="es-ES" w:eastAsia="es-ES"/>
        </w:rPr>
      </w:pPr>
    </w:p>
    <w:p w14:paraId="4B403BDC" w14:textId="77777777" w:rsidR="001C4E06" w:rsidRPr="001C4E06" w:rsidRDefault="001C4E06" w:rsidP="001C4E06">
      <w:pPr>
        <w:spacing w:after="0" w:line="240" w:lineRule="auto"/>
        <w:jc w:val="center"/>
        <w:rPr>
          <w:rFonts w:ascii="Arial" w:eastAsia="Times New Roman" w:hAnsi="Arial" w:cs="Arial"/>
          <w:b/>
          <w:sz w:val="24"/>
          <w:szCs w:val="24"/>
          <w:lang w:val="es-ES" w:eastAsia="es-ES"/>
        </w:rPr>
      </w:pPr>
    </w:p>
    <w:p w14:paraId="7A454541" w14:textId="77777777" w:rsidR="001C4E06" w:rsidRPr="001C4E06" w:rsidRDefault="001C4E06" w:rsidP="001C4E06">
      <w:pPr>
        <w:spacing w:after="0" w:line="240" w:lineRule="auto"/>
        <w:jc w:val="center"/>
        <w:rPr>
          <w:rFonts w:ascii="Arial" w:eastAsia="Times New Roman" w:hAnsi="Arial" w:cs="Arial"/>
          <w:b/>
          <w:sz w:val="24"/>
          <w:szCs w:val="24"/>
          <w:lang w:val="es-ES" w:eastAsia="es-ES"/>
        </w:rPr>
      </w:pPr>
      <w:r w:rsidRPr="001C4E06">
        <w:rPr>
          <w:rFonts w:ascii="Arial" w:eastAsia="Times New Roman" w:hAnsi="Arial" w:cs="Arial"/>
          <w:b/>
          <w:sz w:val="24"/>
          <w:szCs w:val="24"/>
          <w:lang w:val="es-ES" w:eastAsia="es-ES"/>
        </w:rPr>
        <w:t>CONSEJO DE ESTADO</w:t>
      </w:r>
    </w:p>
    <w:p w14:paraId="4E7EC2C0" w14:textId="77777777" w:rsidR="001C4E06" w:rsidRPr="001C4E06" w:rsidRDefault="001C4E06" w:rsidP="001C4E06">
      <w:pPr>
        <w:spacing w:after="0" w:line="240" w:lineRule="auto"/>
        <w:jc w:val="center"/>
        <w:rPr>
          <w:rFonts w:ascii="Arial" w:eastAsia="Times New Roman" w:hAnsi="Arial" w:cs="Arial"/>
          <w:b/>
          <w:sz w:val="24"/>
          <w:szCs w:val="24"/>
          <w:lang w:val="es-ES" w:eastAsia="es-ES"/>
        </w:rPr>
      </w:pPr>
    </w:p>
    <w:p w14:paraId="70022E91" w14:textId="77777777" w:rsidR="001C4E06" w:rsidRPr="001C4E06" w:rsidRDefault="001C4E06" w:rsidP="001C4E06">
      <w:pPr>
        <w:spacing w:after="0" w:line="240" w:lineRule="auto"/>
        <w:jc w:val="center"/>
        <w:rPr>
          <w:rFonts w:ascii="Arial" w:eastAsia="Times New Roman" w:hAnsi="Arial" w:cs="Arial"/>
          <w:b/>
          <w:sz w:val="24"/>
          <w:szCs w:val="24"/>
          <w:lang w:val="es-ES" w:eastAsia="es-ES"/>
        </w:rPr>
      </w:pPr>
      <w:r w:rsidRPr="001C4E06">
        <w:rPr>
          <w:rFonts w:ascii="Arial" w:eastAsia="Times New Roman" w:hAnsi="Arial" w:cs="Arial"/>
          <w:b/>
          <w:sz w:val="24"/>
          <w:szCs w:val="24"/>
          <w:lang w:val="es-ES" w:eastAsia="es-ES"/>
        </w:rPr>
        <w:t>SALA DE LO CONTENCIOSO ADMINISTRATIVO</w:t>
      </w:r>
    </w:p>
    <w:p w14:paraId="1EC16352" w14:textId="77777777" w:rsidR="001C4E06" w:rsidRPr="001C4E06" w:rsidRDefault="001C4E06" w:rsidP="001C4E06">
      <w:pPr>
        <w:spacing w:after="0" w:line="240" w:lineRule="auto"/>
        <w:jc w:val="center"/>
        <w:rPr>
          <w:rFonts w:ascii="Arial" w:eastAsia="Times New Roman" w:hAnsi="Arial" w:cs="Arial"/>
          <w:b/>
          <w:sz w:val="24"/>
          <w:szCs w:val="24"/>
          <w:lang w:val="es-ES" w:eastAsia="es-ES"/>
        </w:rPr>
      </w:pPr>
    </w:p>
    <w:p w14:paraId="7C0BF0F7" w14:textId="77777777" w:rsidR="001C4E06" w:rsidRPr="001C4E06" w:rsidRDefault="001C4E06" w:rsidP="001C4E06">
      <w:pPr>
        <w:spacing w:after="0" w:line="240" w:lineRule="auto"/>
        <w:jc w:val="center"/>
        <w:rPr>
          <w:rFonts w:ascii="Arial" w:eastAsia="Times New Roman" w:hAnsi="Arial" w:cs="Arial"/>
          <w:b/>
          <w:sz w:val="24"/>
          <w:szCs w:val="24"/>
          <w:lang w:val="es-ES" w:eastAsia="es-ES"/>
        </w:rPr>
      </w:pPr>
      <w:r w:rsidRPr="001C4E06">
        <w:rPr>
          <w:rFonts w:ascii="Arial" w:eastAsia="Times New Roman" w:hAnsi="Arial" w:cs="Arial"/>
          <w:b/>
          <w:sz w:val="24"/>
          <w:szCs w:val="24"/>
          <w:lang w:val="es-ES" w:eastAsia="es-ES"/>
        </w:rPr>
        <w:t>SECCIÓN TERCERA</w:t>
      </w:r>
    </w:p>
    <w:p w14:paraId="71282C10" w14:textId="77777777" w:rsidR="001C4E06" w:rsidRPr="001C4E06" w:rsidRDefault="001C4E06" w:rsidP="001C4E06">
      <w:pPr>
        <w:spacing w:after="0" w:line="240" w:lineRule="auto"/>
        <w:jc w:val="center"/>
        <w:rPr>
          <w:rFonts w:ascii="Arial" w:eastAsia="Times New Roman" w:hAnsi="Arial" w:cs="Arial"/>
          <w:b/>
          <w:sz w:val="24"/>
          <w:szCs w:val="24"/>
          <w:lang w:val="es-ES" w:eastAsia="es-ES"/>
        </w:rPr>
      </w:pPr>
    </w:p>
    <w:p w14:paraId="2D2F573A" w14:textId="77777777" w:rsidR="001C4E06" w:rsidRPr="001C4E06" w:rsidRDefault="001C4E06" w:rsidP="001C4E06">
      <w:pPr>
        <w:spacing w:after="0" w:line="240" w:lineRule="auto"/>
        <w:jc w:val="center"/>
        <w:rPr>
          <w:rFonts w:ascii="Arial" w:eastAsia="Times New Roman" w:hAnsi="Arial" w:cs="Arial"/>
          <w:b/>
          <w:sz w:val="24"/>
          <w:szCs w:val="24"/>
          <w:lang w:val="es-ES" w:eastAsia="es-ES"/>
        </w:rPr>
      </w:pPr>
      <w:r w:rsidRPr="001C4E06">
        <w:rPr>
          <w:rFonts w:ascii="Arial" w:eastAsia="Times New Roman" w:hAnsi="Arial" w:cs="Arial"/>
          <w:b/>
          <w:sz w:val="24"/>
          <w:szCs w:val="24"/>
          <w:lang w:val="es-ES" w:eastAsia="es-ES"/>
        </w:rPr>
        <w:t>SUBSECCIÓN A</w:t>
      </w:r>
    </w:p>
    <w:p w14:paraId="0C3217D4" w14:textId="77777777" w:rsidR="001C4E06" w:rsidRPr="001C4E06" w:rsidRDefault="001C4E06" w:rsidP="001C4E06">
      <w:pPr>
        <w:spacing w:after="0" w:line="240" w:lineRule="auto"/>
        <w:jc w:val="center"/>
        <w:rPr>
          <w:rFonts w:ascii="Arial" w:eastAsia="Times New Roman" w:hAnsi="Arial" w:cs="Arial"/>
          <w:b/>
          <w:sz w:val="24"/>
          <w:szCs w:val="24"/>
          <w:lang w:val="es-ES" w:eastAsia="es-ES"/>
        </w:rPr>
      </w:pPr>
    </w:p>
    <w:p w14:paraId="78C8C5A0" w14:textId="77777777" w:rsidR="001C4E06" w:rsidRPr="001C4E06" w:rsidRDefault="001C4E06" w:rsidP="001C4E06">
      <w:pPr>
        <w:spacing w:after="0" w:line="240" w:lineRule="auto"/>
        <w:jc w:val="center"/>
        <w:rPr>
          <w:rFonts w:ascii="Arial" w:eastAsia="Times New Roman" w:hAnsi="Arial" w:cs="Arial"/>
          <w:b/>
          <w:sz w:val="24"/>
          <w:szCs w:val="24"/>
          <w:lang w:val="es-ES" w:eastAsia="es-ES"/>
        </w:rPr>
      </w:pPr>
      <w:r w:rsidRPr="001C4E06">
        <w:rPr>
          <w:rFonts w:ascii="Arial" w:eastAsia="Times New Roman" w:hAnsi="Arial" w:cs="Arial"/>
          <w:b/>
          <w:sz w:val="24"/>
          <w:szCs w:val="24"/>
          <w:lang w:val="es-ES" w:eastAsia="es-ES"/>
        </w:rPr>
        <w:t>Consejero Ponente: CARLOS ALBERTO ZAMBRANO BARRERA</w:t>
      </w:r>
    </w:p>
    <w:p w14:paraId="4952925F" w14:textId="77777777" w:rsidR="001C4E06" w:rsidRPr="001C4E06" w:rsidRDefault="001C4E06" w:rsidP="001C4E06">
      <w:pPr>
        <w:spacing w:after="0" w:line="240" w:lineRule="auto"/>
        <w:jc w:val="both"/>
        <w:rPr>
          <w:rFonts w:ascii="Arial" w:eastAsia="Times New Roman" w:hAnsi="Arial" w:cs="Arial"/>
          <w:b/>
          <w:sz w:val="24"/>
          <w:szCs w:val="24"/>
          <w:lang w:val="es-ES" w:eastAsia="es-ES"/>
        </w:rPr>
      </w:pPr>
    </w:p>
    <w:p w14:paraId="7FC61B1A" w14:textId="77777777" w:rsidR="001C4E06" w:rsidRPr="001C4E06" w:rsidRDefault="001C4E06" w:rsidP="001C4E06">
      <w:pPr>
        <w:spacing w:after="0" w:line="240" w:lineRule="auto"/>
        <w:jc w:val="both"/>
        <w:rPr>
          <w:rFonts w:ascii="Arial" w:eastAsia="Times New Roman" w:hAnsi="Arial" w:cs="Arial"/>
          <w:sz w:val="24"/>
          <w:szCs w:val="24"/>
          <w:lang w:val="es-ES" w:eastAsia="es-ES"/>
        </w:rPr>
      </w:pPr>
      <w:r w:rsidRPr="001C4E06">
        <w:rPr>
          <w:rFonts w:ascii="Arial" w:eastAsia="Times New Roman" w:hAnsi="Arial" w:cs="Arial"/>
          <w:sz w:val="24"/>
          <w:szCs w:val="24"/>
          <w:lang w:val="es-ES" w:eastAsia="es-ES"/>
        </w:rPr>
        <w:t>Bogotá, D.C., veintinueve (29) de octubre de dos mil dieciocho (2018)</w:t>
      </w:r>
    </w:p>
    <w:p w14:paraId="6E0AB76B" w14:textId="77777777" w:rsidR="001C4E06" w:rsidRPr="001C4E06" w:rsidRDefault="001C4E06" w:rsidP="001C4E06">
      <w:pPr>
        <w:spacing w:after="0" w:line="240" w:lineRule="auto"/>
        <w:jc w:val="both"/>
        <w:rPr>
          <w:rFonts w:ascii="Arial" w:eastAsia="Times New Roman" w:hAnsi="Arial" w:cs="Arial"/>
          <w:b/>
          <w:sz w:val="24"/>
          <w:szCs w:val="24"/>
          <w:lang w:val="es-ES" w:eastAsia="es-ES"/>
        </w:rPr>
      </w:pPr>
    </w:p>
    <w:p w14:paraId="2C2B7131" w14:textId="77777777" w:rsidR="001C4E06" w:rsidRPr="001C4E06" w:rsidRDefault="001C4E06" w:rsidP="001C4E06">
      <w:pPr>
        <w:spacing w:after="0" w:line="240" w:lineRule="auto"/>
        <w:jc w:val="both"/>
        <w:rPr>
          <w:rFonts w:ascii="Arial" w:eastAsia="Times New Roman" w:hAnsi="Arial" w:cs="Arial"/>
          <w:b/>
          <w:sz w:val="24"/>
          <w:szCs w:val="24"/>
          <w:lang w:val="es-ES" w:eastAsia="es-ES"/>
        </w:rPr>
      </w:pPr>
      <w:r w:rsidRPr="001C4E06">
        <w:rPr>
          <w:rFonts w:ascii="Arial" w:eastAsia="Times New Roman" w:hAnsi="Arial" w:cs="Arial"/>
          <w:b/>
          <w:bCs/>
          <w:sz w:val="24"/>
          <w:szCs w:val="24"/>
          <w:lang w:val="es-ES" w:eastAsia="es-ES"/>
        </w:rPr>
        <w:t>Radicación número: 25000-23-26-000-2005-02611-01(38098)</w:t>
      </w:r>
    </w:p>
    <w:p w14:paraId="19A23F3E" w14:textId="77777777" w:rsidR="001C4E06" w:rsidRPr="001C4E06" w:rsidRDefault="001C4E06" w:rsidP="001C4E06">
      <w:pPr>
        <w:spacing w:after="0" w:line="240" w:lineRule="auto"/>
        <w:jc w:val="both"/>
        <w:rPr>
          <w:rFonts w:ascii="Arial" w:eastAsia="Times New Roman" w:hAnsi="Arial" w:cs="Arial"/>
          <w:b/>
          <w:sz w:val="24"/>
          <w:szCs w:val="24"/>
          <w:lang w:val="es-ES" w:eastAsia="es-ES"/>
        </w:rPr>
      </w:pPr>
    </w:p>
    <w:p w14:paraId="0060EA38" w14:textId="77777777" w:rsidR="001C4E06" w:rsidRPr="001C4E06" w:rsidRDefault="001C4E06" w:rsidP="001C4E06">
      <w:pPr>
        <w:spacing w:after="0" w:line="240" w:lineRule="auto"/>
        <w:jc w:val="both"/>
        <w:rPr>
          <w:rFonts w:ascii="Arial" w:eastAsia="Times New Roman" w:hAnsi="Arial" w:cs="Arial"/>
          <w:b/>
          <w:sz w:val="24"/>
          <w:szCs w:val="24"/>
          <w:lang w:val="es-ES" w:eastAsia="es-ES"/>
        </w:rPr>
      </w:pPr>
      <w:r w:rsidRPr="001C4E06">
        <w:rPr>
          <w:rFonts w:ascii="Arial" w:eastAsia="Times New Roman" w:hAnsi="Arial" w:cs="Arial"/>
          <w:b/>
          <w:sz w:val="24"/>
          <w:szCs w:val="24"/>
          <w:lang w:val="es-ES" w:eastAsia="es-ES"/>
        </w:rPr>
        <w:t>Actor: CONSORCIO INTEGRAL S.A. –SILVA CARREÑO Y ASOCIADOS S.A. – SILVA FAJARDO Y  CIA. LTDA.</w:t>
      </w:r>
    </w:p>
    <w:p w14:paraId="21061EC4" w14:textId="77777777" w:rsidR="001C4E06" w:rsidRPr="001C4E06" w:rsidRDefault="001C4E06" w:rsidP="001C4E06">
      <w:pPr>
        <w:spacing w:after="0" w:line="240" w:lineRule="auto"/>
        <w:jc w:val="both"/>
        <w:rPr>
          <w:rFonts w:ascii="Arial" w:eastAsia="Times New Roman" w:hAnsi="Arial" w:cs="Arial"/>
          <w:b/>
          <w:sz w:val="24"/>
          <w:szCs w:val="24"/>
          <w:lang w:val="es-ES" w:eastAsia="es-ES"/>
        </w:rPr>
      </w:pPr>
    </w:p>
    <w:p w14:paraId="02D7166E" w14:textId="77777777" w:rsidR="001C4E06" w:rsidRPr="001C4E06" w:rsidRDefault="001C4E06" w:rsidP="001C4E06">
      <w:pPr>
        <w:spacing w:after="0" w:line="240" w:lineRule="auto"/>
        <w:jc w:val="both"/>
        <w:rPr>
          <w:rFonts w:ascii="Arial" w:eastAsia="Times New Roman" w:hAnsi="Arial" w:cs="Arial"/>
          <w:b/>
          <w:sz w:val="24"/>
          <w:szCs w:val="24"/>
          <w:lang w:val="es-ES" w:eastAsia="es-ES"/>
        </w:rPr>
      </w:pPr>
      <w:r w:rsidRPr="001C4E06">
        <w:rPr>
          <w:rFonts w:ascii="Arial" w:eastAsia="Times New Roman" w:hAnsi="Arial" w:cs="Arial"/>
          <w:b/>
          <w:sz w:val="24"/>
          <w:szCs w:val="24"/>
          <w:lang w:val="es-ES" w:eastAsia="es-ES"/>
        </w:rPr>
        <w:t xml:space="preserve">Demandado: INSTITUTO DE DESARROLLO URBANO -IDU </w:t>
      </w:r>
    </w:p>
    <w:p w14:paraId="108437EE" w14:textId="77777777" w:rsidR="001C4E06" w:rsidRPr="001C4E06" w:rsidRDefault="001C4E06" w:rsidP="001C4E06">
      <w:pPr>
        <w:spacing w:after="0" w:line="240" w:lineRule="auto"/>
        <w:jc w:val="both"/>
        <w:rPr>
          <w:rFonts w:ascii="Arial" w:eastAsia="Times New Roman" w:hAnsi="Arial" w:cs="Arial"/>
          <w:b/>
          <w:bCs/>
          <w:sz w:val="24"/>
          <w:szCs w:val="24"/>
          <w:lang w:val="es-ES" w:eastAsia="es-ES"/>
        </w:rPr>
      </w:pPr>
    </w:p>
    <w:p w14:paraId="3B626142" w14:textId="77777777" w:rsidR="001C4E06" w:rsidRPr="001C4E06" w:rsidRDefault="001C4E06" w:rsidP="001C4E06">
      <w:pPr>
        <w:spacing w:after="0" w:line="240" w:lineRule="auto"/>
        <w:jc w:val="both"/>
        <w:rPr>
          <w:rFonts w:ascii="Arial" w:eastAsia="Times New Roman" w:hAnsi="Arial" w:cs="Arial"/>
          <w:b/>
          <w:bCs/>
          <w:sz w:val="24"/>
          <w:szCs w:val="24"/>
          <w:lang w:val="es-ES" w:eastAsia="es-ES"/>
        </w:rPr>
      </w:pPr>
    </w:p>
    <w:p w14:paraId="4839E982" w14:textId="77777777" w:rsidR="001C4E06" w:rsidRPr="001C4E06" w:rsidRDefault="001C4E06" w:rsidP="001C4E06">
      <w:pPr>
        <w:spacing w:after="0" w:line="240" w:lineRule="auto"/>
        <w:jc w:val="both"/>
        <w:rPr>
          <w:rFonts w:ascii="Arial" w:eastAsia="Times New Roman" w:hAnsi="Arial" w:cs="Arial"/>
          <w:b/>
          <w:sz w:val="24"/>
          <w:szCs w:val="24"/>
          <w:lang w:val="es-ES" w:eastAsia="es-ES"/>
        </w:rPr>
      </w:pPr>
      <w:r w:rsidRPr="001C4E06">
        <w:rPr>
          <w:rFonts w:ascii="Arial" w:eastAsia="Times New Roman" w:hAnsi="Arial" w:cs="Arial"/>
          <w:b/>
          <w:bCs/>
          <w:sz w:val="24"/>
          <w:szCs w:val="24"/>
          <w:lang w:val="es-ES" w:eastAsia="es-ES"/>
        </w:rPr>
        <w:t xml:space="preserve">Referencia: CONTROVERSIAS CONTRACTUALES   </w:t>
      </w:r>
    </w:p>
    <w:p w14:paraId="70BFF378" w14:textId="77777777" w:rsidR="001C4E06" w:rsidRPr="001C4E06" w:rsidRDefault="001C4E06" w:rsidP="001C4E06">
      <w:pPr>
        <w:spacing w:after="0" w:line="240" w:lineRule="auto"/>
        <w:jc w:val="both"/>
        <w:rPr>
          <w:rFonts w:ascii="Arial" w:eastAsia="Times New Roman" w:hAnsi="Arial" w:cs="Arial"/>
          <w:b/>
          <w:sz w:val="24"/>
          <w:szCs w:val="24"/>
          <w:lang w:val="es-ES" w:eastAsia="es-ES"/>
        </w:rPr>
      </w:pPr>
    </w:p>
    <w:p w14:paraId="0EEC3B3B" w14:textId="77777777" w:rsidR="001C4E06" w:rsidRPr="001C4E06" w:rsidRDefault="001C4E06" w:rsidP="001C4E06">
      <w:pPr>
        <w:spacing w:after="0" w:line="240" w:lineRule="auto"/>
        <w:jc w:val="both"/>
        <w:rPr>
          <w:rFonts w:ascii="Arial" w:eastAsia="Times New Roman" w:hAnsi="Arial" w:cs="Arial"/>
          <w:b/>
          <w:sz w:val="24"/>
          <w:szCs w:val="24"/>
          <w:lang w:val="es-ES" w:eastAsia="es-ES"/>
        </w:rPr>
      </w:pPr>
    </w:p>
    <w:p w14:paraId="17A90AFF" w14:textId="77777777" w:rsidR="001C4E06" w:rsidRPr="001C4E06" w:rsidRDefault="001C4E06" w:rsidP="001C4E06">
      <w:pPr>
        <w:spacing w:after="0" w:line="240" w:lineRule="auto"/>
        <w:jc w:val="both"/>
        <w:rPr>
          <w:rFonts w:ascii="Arial" w:eastAsia="Times New Roman" w:hAnsi="Arial" w:cs="Arial"/>
          <w:sz w:val="24"/>
          <w:szCs w:val="24"/>
          <w:lang w:val="es-ES" w:eastAsia="es-ES"/>
        </w:rPr>
      </w:pPr>
    </w:p>
    <w:p w14:paraId="4B1793D4" w14:textId="77777777" w:rsidR="001C4E06" w:rsidRPr="001C4E06" w:rsidRDefault="001C4E06" w:rsidP="001C4E06">
      <w:pPr>
        <w:spacing w:after="0" w:line="360" w:lineRule="auto"/>
        <w:ind w:right="-1"/>
        <w:jc w:val="both"/>
        <w:rPr>
          <w:rFonts w:ascii="Century Gothic" w:eastAsia="Times New Roman" w:hAnsi="Century Gothic" w:cs="Arial"/>
          <w:bCs/>
          <w:lang w:val="es-ES" w:eastAsia="es-ES"/>
        </w:rPr>
      </w:pPr>
      <w:r w:rsidRPr="001C4E06">
        <w:rPr>
          <w:rFonts w:ascii="Century Gothic" w:eastAsia="Times New Roman" w:hAnsi="Century Gothic" w:cs="Arial"/>
          <w:bCs/>
          <w:lang w:val="es-ES" w:eastAsia="es-ES"/>
        </w:rPr>
        <w:t xml:space="preserve">Surtido el trámite de ley, sin que se observe causal de nulidad que invalide lo actuado, procede la Sala a resolver el recurso de apelación interpuesto por la parte demandante contra la sentencia proferida el 5 de agosto de 2009, por el  Tribunal Administrativo de Cundinamarca, Sección Tercera, Sub Sección B, que negó las pretensiones de la demanda. </w:t>
      </w:r>
    </w:p>
    <w:p w14:paraId="628F18E2" w14:textId="77777777" w:rsidR="001C4E06" w:rsidRPr="001C4E06" w:rsidRDefault="001C4E06" w:rsidP="001C4E06">
      <w:pPr>
        <w:spacing w:after="0" w:line="360" w:lineRule="auto"/>
        <w:ind w:right="-1"/>
        <w:jc w:val="both"/>
        <w:rPr>
          <w:rFonts w:ascii="Century Gothic" w:eastAsia="Times New Roman" w:hAnsi="Century Gothic" w:cs="Arial"/>
          <w:bCs/>
          <w:lang w:val="es-ES" w:eastAsia="es-ES"/>
        </w:rPr>
      </w:pPr>
    </w:p>
    <w:p w14:paraId="26BA9362" w14:textId="77777777" w:rsidR="001C4E06" w:rsidRPr="001C4E06" w:rsidRDefault="001C4E06" w:rsidP="001C4E06">
      <w:pPr>
        <w:keepNext/>
        <w:spacing w:after="0" w:line="360" w:lineRule="auto"/>
        <w:ind w:right="-1"/>
        <w:jc w:val="center"/>
        <w:outlineLvl w:val="2"/>
        <w:rPr>
          <w:rFonts w:ascii="Century Gothic" w:eastAsia="Times New Roman" w:hAnsi="Century Gothic" w:cs="Arial"/>
          <w:b/>
          <w:bCs/>
          <w:lang w:val="es-ES" w:eastAsia="es-ES"/>
        </w:rPr>
      </w:pPr>
      <w:r w:rsidRPr="001C4E06">
        <w:rPr>
          <w:rFonts w:ascii="Century Gothic" w:eastAsia="Times New Roman" w:hAnsi="Century Gothic" w:cs="Arial"/>
          <w:b/>
          <w:bCs/>
          <w:lang w:val="es-ES" w:eastAsia="es-ES"/>
        </w:rPr>
        <w:t>I.- ANTECEDENTES.-</w:t>
      </w:r>
    </w:p>
    <w:p w14:paraId="5EB4E50D" w14:textId="77777777" w:rsidR="001C4E06" w:rsidRPr="001C4E06" w:rsidRDefault="001C4E06" w:rsidP="001C4E06">
      <w:pPr>
        <w:spacing w:after="0" w:line="240" w:lineRule="auto"/>
        <w:rPr>
          <w:rFonts w:ascii="Times New Roman" w:eastAsia="Times New Roman" w:hAnsi="Times New Roman"/>
          <w:sz w:val="24"/>
          <w:szCs w:val="24"/>
          <w:lang w:val="es-ES" w:eastAsia="es-ES"/>
        </w:rPr>
      </w:pPr>
    </w:p>
    <w:p w14:paraId="5CC40461" w14:textId="77777777" w:rsidR="001C4E06" w:rsidRPr="001C4E06" w:rsidRDefault="001C4E06" w:rsidP="001C4E06">
      <w:pPr>
        <w:spacing w:after="0" w:line="360" w:lineRule="auto"/>
        <w:jc w:val="both"/>
        <w:rPr>
          <w:rFonts w:ascii="Century Gothic" w:eastAsia="Times New Roman" w:hAnsi="Century Gothic" w:cs="Arial"/>
          <w:b/>
          <w:bCs/>
          <w:lang w:val="es-ES" w:eastAsia="es-ES"/>
        </w:rPr>
      </w:pPr>
      <w:r w:rsidRPr="001C4E06">
        <w:rPr>
          <w:rFonts w:ascii="Century Gothic" w:eastAsia="Times New Roman" w:hAnsi="Century Gothic" w:cs="Arial"/>
          <w:b/>
          <w:bCs/>
          <w:lang w:val="es-ES" w:eastAsia="es-ES"/>
        </w:rPr>
        <w:t xml:space="preserve">1.- La demanda.- </w:t>
      </w:r>
    </w:p>
    <w:p w14:paraId="66E8E337"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p>
    <w:p w14:paraId="0F6196FD"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r w:rsidRPr="001C4E06">
        <w:rPr>
          <w:rFonts w:ascii="Century Gothic" w:eastAsia="Times New Roman" w:hAnsi="Century Gothic" w:cs="Arial"/>
          <w:bCs/>
          <w:lang w:val="es-ES" w:eastAsia="es-ES"/>
        </w:rPr>
        <w:t>Mediante escrito radicado el 17 de noviembre de 2005 en el Tribunal Administrativo de Cundinamarca, el Consorcio Integral S.A.,</w:t>
      </w:r>
      <w:r w:rsidRPr="001C4E06">
        <w:rPr>
          <w:rFonts w:ascii="Century Gothic" w:eastAsia="Times New Roman" w:hAnsi="Century Gothic"/>
          <w:bCs/>
          <w:lang w:val="es-ES" w:eastAsia="es-ES"/>
        </w:rPr>
        <w:t xml:space="preserve"> Silva Carreño y Asociados S.A. – Silva Fajardo y Cia. Ltda.</w:t>
      </w:r>
      <w:r w:rsidRPr="001C4E06">
        <w:rPr>
          <w:rFonts w:ascii="Century Gothic" w:eastAsia="Times New Roman" w:hAnsi="Century Gothic" w:cs="Arial"/>
          <w:bCs/>
          <w:lang w:val="es-ES" w:eastAsia="es-ES"/>
        </w:rPr>
        <w:t xml:space="preserve">, por conducto de apoderado judicial y en ejercicio de la acción contractual, presentó demanda contra el Instituto de Desarrollo Urbano IDU, con el fin de obtener pronunciamiento respecto de las siguientes pretensiones (se transcribe como obra en el expediente): </w:t>
      </w:r>
    </w:p>
    <w:p w14:paraId="2DEA31DE" w14:textId="77777777" w:rsidR="001C4E06" w:rsidRPr="001C4E06" w:rsidRDefault="001C4E06" w:rsidP="001C4E06">
      <w:pPr>
        <w:spacing w:after="0" w:line="240" w:lineRule="auto"/>
        <w:ind w:right="851"/>
        <w:jc w:val="both"/>
        <w:rPr>
          <w:rFonts w:ascii="Century Gothic" w:eastAsia="Times New Roman" w:hAnsi="Century Gothic" w:cs="Arial"/>
          <w:b/>
          <w:bCs/>
          <w:sz w:val="20"/>
          <w:szCs w:val="20"/>
          <w:lang w:val="es-ES" w:eastAsia="es-ES"/>
        </w:rPr>
      </w:pPr>
    </w:p>
    <w:p w14:paraId="0C87CFD8" w14:textId="77777777" w:rsidR="001C4E06" w:rsidRPr="001C4E06" w:rsidRDefault="001C4E06" w:rsidP="001C4E06">
      <w:pPr>
        <w:spacing w:after="0" w:line="240" w:lineRule="auto"/>
        <w:ind w:left="851" w:right="851"/>
        <w:jc w:val="both"/>
        <w:rPr>
          <w:rFonts w:ascii="Century Gothic" w:eastAsia="Times New Roman" w:hAnsi="Century Gothic" w:cs="Arial"/>
          <w:bCs/>
          <w:sz w:val="20"/>
          <w:szCs w:val="20"/>
          <w:lang w:val="es-ES" w:eastAsia="es-ES"/>
        </w:rPr>
      </w:pPr>
      <w:r w:rsidRPr="001C4E06">
        <w:rPr>
          <w:rFonts w:ascii="Century Gothic" w:eastAsia="Times New Roman" w:hAnsi="Century Gothic" w:cs="Arial"/>
          <w:bCs/>
          <w:sz w:val="20"/>
          <w:szCs w:val="20"/>
          <w:lang w:val="es-ES" w:eastAsia="es-ES"/>
        </w:rPr>
        <w:t>“1. Que con fundamento en las razones de orden fáctico y jurídico que se consignan en la presente demanda se declare la nulidad de las resoluciones 2000 de fecha 28 de abril de 2005, ‘Por la cual se declara la ocurrencia de un siniestro y se hace efectiva la garantía única en el amparo de calidad’, y, 6056 de fecha 15 de septiembre de 2005, ‘Por la cual se resuelve un recurso de reposición’, proferidas por el Instituto de Desarrollo Urbano – IDU.</w:t>
      </w:r>
    </w:p>
    <w:p w14:paraId="513D3BCD" w14:textId="77777777" w:rsidR="001C4E06" w:rsidRPr="001C4E06" w:rsidRDefault="001C4E06" w:rsidP="001C4E06">
      <w:pPr>
        <w:spacing w:after="0" w:line="240" w:lineRule="auto"/>
        <w:ind w:left="851" w:right="851"/>
        <w:jc w:val="both"/>
        <w:rPr>
          <w:rFonts w:ascii="Century Gothic" w:eastAsia="Times New Roman" w:hAnsi="Century Gothic" w:cs="Arial"/>
          <w:bCs/>
          <w:sz w:val="20"/>
          <w:szCs w:val="20"/>
          <w:lang w:val="es-ES" w:eastAsia="es-ES"/>
        </w:rPr>
      </w:pPr>
    </w:p>
    <w:p w14:paraId="352C195D" w14:textId="77777777" w:rsidR="001C4E06" w:rsidRPr="001C4E06" w:rsidRDefault="001C4E06" w:rsidP="001C4E06">
      <w:pPr>
        <w:spacing w:after="0" w:line="240" w:lineRule="auto"/>
        <w:ind w:left="851" w:right="851"/>
        <w:jc w:val="both"/>
        <w:rPr>
          <w:rFonts w:ascii="Century Gothic" w:eastAsia="Times New Roman" w:hAnsi="Century Gothic" w:cs="Arial"/>
          <w:bCs/>
          <w:sz w:val="20"/>
          <w:szCs w:val="20"/>
          <w:lang w:val="es-ES" w:eastAsia="es-ES"/>
        </w:rPr>
      </w:pPr>
      <w:r w:rsidRPr="001C4E06">
        <w:rPr>
          <w:rFonts w:ascii="Century Gothic" w:eastAsia="Times New Roman" w:hAnsi="Century Gothic" w:cs="Arial"/>
          <w:bCs/>
          <w:sz w:val="20"/>
          <w:szCs w:val="20"/>
          <w:lang w:val="es-ES" w:eastAsia="es-ES"/>
        </w:rPr>
        <w:t xml:space="preserve">“2. Como consecuencia de la declaración anterior, a título de restablecimiento del derecho ordenar al Instituto de Desarrollo Urbano – IDU, abstenerse de iniciar cualquier acción judicial o cesar las que se encuentren en curso para el cobro de la garantía única de cumplimiento, póliza No. 0367975-1 expedida por SURAMERICANA DE SEGUROS S.A. </w:t>
      </w:r>
    </w:p>
    <w:p w14:paraId="77D5E238" w14:textId="77777777" w:rsidR="001C4E06" w:rsidRPr="001C4E06" w:rsidRDefault="001C4E06" w:rsidP="001C4E06">
      <w:pPr>
        <w:spacing w:after="0" w:line="240" w:lineRule="auto"/>
        <w:ind w:left="851" w:right="851"/>
        <w:jc w:val="both"/>
        <w:rPr>
          <w:rFonts w:ascii="Century Gothic" w:eastAsia="Times New Roman" w:hAnsi="Century Gothic" w:cs="Arial"/>
          <w:bCs/>
          <w:sz w:val="20"/>
          <w:szCs w:val="20"/>
          <w:lang w:val="es-ES" w:eastAsia="es-ES"/>
        </w:rPr>
      </w:pPr>
    </w:p>
    <w:p w14:paraId="63546B96" w14:textId="77777777" w:rsidR="001C4E06" w:rsidRPr="001C4E06" w:rsidRDefault="001C4E06" w:rsidP="001C4E06">
      <w:pPr>
        <w:spacing w:after="0" w:line="240" w:lineRule="auto"/>
        <w:ind w:left="851" w:right="851"/>
        <w:jc w:val="both"/>
        <w:rPr>
          <w:rFonts w:ascii="Century Gothic" w:eastAsia="Times New Roman" w:hAnsi="Century Gothic" w:cs="Arial"/>
          <w:bCs/>
          <w:sz w:val="20"/>
          <w:szCs w:val="20"/>
          <w:lang w:val="es-ES" w:eastAsia="es-ES"/>
        </w:rPr>
      </w:pPr>
      <w:r w:rsidRPr="001C4E06">
        <w:rPr>
          <w:rFonts w:ascii="Century Gothic" w:eastAsia="Times New Roman" w:hAnsi="Century Gothic" w:cs="Arial"/>
          <w:bCs/>
          <w:sz w:val="20"/>
          <w:szCs w:val="20"/>
          <w:lang w:val="es-ES" w:eastAsia="es-ES"/>
        </w:rPr>
        <w:t>“3. Si para la fecha de ejecutoria del fallo que ponga fin al proceso se hubiere producido algún pago, bien sea por parte de la compañía de seguros o por los demandantes, condenar al Instituto de Desarrollo Urbano IDU, a la restitución o reembolso de las sumas canceladas, a su directo beneficiario.</w:t>
      </w:r>
    </w:p>
    <w:p w14:paraId="38B05367" w14:textId="77777777" w:rsidR="001C4E06" w:rsidRPr="001C4E06" w:rsidRDefault="001C4E06" w:rsidP="001C4E06">
      <w:pPr>
        <w:spacing w:after="0" w:line="240" w:lineRule="auto"/>
        <w:ind w:left="851" w:right="851"/>
        <w:jc w:val="both"/>
        <w:rPr>
          <w:rFonts w:ascii="Century Gothic" w:eastAsia="Times New Roman" w:hAnsi="Century Gothic" w:cs="Arial"/>
          <w:bCs/>
          <w:sz w:val="20"/>
          <w:szCs w:val="20"/>
          <w:lang w:val="es-ES" w:eastAsia="es-ES"/>
        </w:rPr>
      </w:pPr>
    </w:p>
    <w:p w14:paraId="5F7C5E33" w14:textId="77777777" w:rsidR="001C4E06" w:rsidRPr="001C4E06" w:rsidRDefault="001C4E06" w:rsidP="001C4E06">
      <w:pPr>
        <w:spacing w:after="0" w:line="240" w:lineRule="auto"/>
        <w:ind w:left="851" w:right="851"/>
        <w:jc w:val="both"/>
        <w:rPr>
          <w:rFonts w:ascii="Century Gothic" w:eastAsia="Times New Roman" w:hAnsi="Century Gothic" w:cs="Arial"/>
          <w:bCs/>
          <w:sz w:val="20"/>
          <w:szCs w:val="20"/>
          <w:lang w:val="es-ES" w:eastAsia="es-ES"/>
        </w:rPr>
      </w:pPr>
      <w:r w:rsidRPr="001C4E06">
        <w:rPr>
          <w:rFonts w:ascii="Century Gothic" w:eastAsia="Times New Roman" w:hAnsi="Century Gothic" w:cs="Arial"/>
          <w:bCs/>
          <w:sz w:val="20"/>
          <w:szCs w:val="20"/>
          <w:lang w:val="es-ES" w:eastAsia="es-ES"/>
        </w:rPr>
        <w:t>“4. Como consecuencia de las declaraciones anteriores, condenar igualmente al Instituto de Desarrollo Urbano – IDU, a título de restablecimiento del derecho, a pagar a los demandantes todos los daños y perjuicios causados como consecuencia de la vigencia de las resoluciones demandadas, de conformidad con el dictamen pericial que con tal fin se solicita como prueba.</w:t>
      </w:r>
    </w:p>
    <w:p w14:paraId="4136A4D1" w14:textId="77777777" w:rsidR="001C4E06" w:rsidRPr="001C4E06" w:rsidRDefault="001C4E06" w:rsidP="001C4E06">
      <w:pPr>
        <w:spacing w:after="0" w:line="240" w:lineRule="auto"/>
        <w:ind w:left="851" w:right="851"/>
        <w:jc w:val="both"/>
        <w:rPr>
          <w:rFonts w:ascii="Century Gothic" w:eastAsia="Times New Roman" w:hAnsi="Century Gothic" w:cs="Arial"/>
          <w:bCs/>
          <w:sz w:val="20"/>
          <w:szCs w:val="20"/>
          <w:lang w:val="es-ES" w:eastAsia="es-ES"/>
        </w:rPr>
      </w:pPr>
    </w:p>
    <w:p w14:paraId="685DBB0B" w14:textId="77777777" w:rsidR="001C4E06" w:rsidRPr="001C4E06" w:rsidRDefault="001C4E06" w:rsidP="001C4E06">
      <w:pPr>
        <w:spacing w:after="0" w:line="240" w:lineRule="auto"/>
        <w:ind w:left="851" w:right="851"/>
        <w:jc w:val="both"/>
        <w:rPr>
          <w:rFonts w:ascii="Century Gothic" w:eastAsia="Times New Roman" w:hAnsi="Century Gothic" w:cs="Arial"/>
          <w:bCs/>
          <w:sz w:val="20"/>
          <w:szCs w:val="20"/>
          <w:lang w:val="es-ES" w:eastAsia="es-ES"/>
        </w:rPr>
      </w:pPr>
      <w:r w:rsidRPr="001C4E06">
        <w:rPr>
          <w:rFonts w:ascii="Century Gothic" w:eastAsia="Times New Roman" w:hAnsi="Century Gothic" w:cs="Arial"/>
          <w:bCs/>
          <w:sz w:val="20"/>
          <w:szCs w:val="20"/>
          <w:lang w:val="es-ES" w:eastAsia="es-ES"/>
        </w:rPr>
        <w:t xml:space="preserve">5. Condenar a la entidad demandada al pago de las costas del proceso”.  </w:t>
      </w:r>
    </w:p>
    <w:p w14:paraId="6EDD7C05" w14:textId="77777777" w:rsidR="001C4E06" w:rsidRPr="001C4E06" w:rsidRDefault="001C4E06" w:rsidP="001C4E06">
      <w:pPr>
        <w:spacing w:after="0" w:line="240" w:lineRule="auto"/>
        <w:ind w:left="851" w:right="851"/>
        <w:jc w:val="both"/>
        <w:rPr>
          <w:rFonts w:ascii="Century Gothic" w:eastAsia="Times New Roman" w:hAnsi="Century Gothic" w:cs="Arial"/>
          <w:bCs/>
          <w:sz w:val="20"/>
          <w:szCs w:val="20"/>
          <w:lang w:val="es-ES" w:eastAsia="es-ES"/>
        </w:rPr>
      </w:pPr>
    </w:p>
    <w:p w14:paraId="41EBC2A7" w14:textId="77777777" w:rsidR="001C4E06" w:rsidRPr="001C4E06" w:rsidRDefault="001C4E06" w:rsidP="001C4E06">
      <w:pPr>
        <w:spacing w:after="0" w:line="240" w:lineRule="auto"/>
        <w:ind w:right="851"/>
        <w:jc w:val="both"/>
        <w:rPr>
          <w:rFonts w:ascii="Century Gothic" w:eastAsia="Times New Roman" w:hAnsi="Century Gothic" w:cs="Arial"/>
          <w:bCs/>
          <w:sz w:val="20"/>
          <w:szCs w:val="20"/>
          <w:lang w:val="es-ES" w:eastAsia="es-ES"/>
        </w:rPr>
      </w:pPr>
    </w:p>
    <w:p w14:paraId="0C975DCF" w14:textId="77777777" w:rsidR="001C4E06" w:rsidRPr="001C4E06" w:rsidRDefault="001C4E06" w:rsidP="001C4E06">
      <w:pPr>
        <w:spacing w:after="0" w:line="360" w:lineRule="auto"/>
        <w:jc w:val="both"/>
        <w:rPr>
          <w:rFonts w:ascii="Century Gothic" w:eastAsia="Times New Roman" w:hAnsi="Century Gothic" w:cs="Arial"/>
          <w:b/>
          <w:bCs/>
          <w:lang w:val="es-ES" w:eastAsia="es-ES"/>
        </w:rPr>
      </w:pPr>
      <w:r w:rsidRPr="001C4E06">
        <w:rPr>
          <w:rFonts w:ascii="Century Gothic" w:eastAsia="Times New Roman" w:hAnsi="Century Gothic" w:cs="Arial"/>
          <w:b/>
          <w:bCs/>
          <w:lang w:val="es-ES" w:eastAsia="es-ES"/>
        </w:rPr>
        <w:t>2.- Hechos.-</w:t>
      </w:r>
    </w:p>
    <w:p w14:paraId="25F67936"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p>
    <w:p w14:paraId="7B94CA21"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r w:rsidRPr="001C4E06">
        <w:rPr>
          <w:rFonts w:ascii="Century Gothic" w:eastAsia="Times New Roman" w:hAnsi="Century Gothic" w:cs="Arial"/>
          <w:bCs/>
          <w:lang w:val="es-ES" w:eastAsia="es-ES"/>
        </w:rPr>
        <w:t xml:space="preserve">En los hechos de la demanda, se indicó lo siguiente: </w:t>
      </w:r>
    </w:p>
    <w:p w14:paraId="161B5910"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p>
    <w:p w14:paraId="32348511"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r w:rsidRPr="001C4E06">
        <w:rPr>
          <w:rFonts w:ascii="Century Gothic" w:eastAsia="Times New Roman" w:hAnsi="Century Gothic" w:cs="Arial"/>
          <w:b/>
          <w:bCs/>
          <w:lang w:val="es-ES" w:eastAsia="es-ES"/>
        </w:rPr>
        <w:t>2.1.-</w:t>
      </w:r>
      <w:r w:rsidRPr="001C4E06">
        <w:rPr>
          <w:rFonts w:ascii="Century Gothic" w:eastAsia="Times New Roman" w:hAnsi="Century Gothic" w:cs="Arial"/>
          <w:bCs/>
          <w:lang w:val="es-ES" w:eastAsia="es-ES"/>
        </w:rPr>
        <w:t xml:space="preserve"> El 1 de junio de 2000 se suscribió el contrato No. IDU-403/2000, por valor de $38.184’458.524, entre el IDU y CONCIVILES S.A., cuyo objeto era la rehabilitación de las calzadas centrales de tráfico mixto y adecuación para la operación de transmilenio en la autopista norte, desde Los Héroes hasta la calle 176 en Bogotá, con plazo de ocho meses.</w:t>
      </w:r>
    </w:p>
    <w:p w14:paraId="23E1B73E" w14:textId="77777777" w:rsidR="001C4E06" w:rsidRPr="001C4E06" w:rsidRDefault="001C4E06" w:rsidP="001C4E06">
      <w:pPr>
        <w:spacing w:after="0" w:line="360" w:lineRule="auto"/>
        <w:ind w:left="720"/>
        <w:jc w:val="both"/>
        <w:rPr>
          <w:rFonts w:ascii="Century Gothic" w:eastAsia="Times New Roman" w:hAnsi="Century Gothic" w:cs="Arial"/>
          <w:bCs/>
          <w:lang w:val="es-ES" w:eastAsia="es-ES"/>
        </w:rPr>
      </w:pPr>
    </w:p>
    <w:p w14:paraId="253F85BD"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r w:rsidRPr="001C4E06">
        <w:rPr>
          <w:rFonts w:ascii="Century Gothic" w:eastAsia="Times New Roman" w:hAnsi="Century Gothic" w:cs="Arial"/>
          <w:b/>
          <w:bCs/>
          <w:lang w:val="es-ES" w:eastAsia="es-ES"/>
        </w:rPr>
        <w:lastRenderedPageBreak/>
        <w:t>2.2.-</w:t>
      </w:r>
      <w:r w:rsidRPr="001C4E06">
        <w:rPr>
          <w:rFonts w:ascii="Century Gothic" w:eastAsia="Times New Roman" w:hAnsi="Century Gothic" w:cs="Arial"/>
          <w:bCs/>
          <w:lang w:val="es-ES" w:eastAsia="es-ES"/>
        </w:rPr>
        <w:t xml:space="preserve"> La ejecución del contrato empezó el 22 de junio de 2000, culminó el 20 de enero de 2002 y aquél se liquidó el 23 de agosto de este último. </w:t>
      </w:r>
    </w:p>
    <w:p w14:paraId="10FA70B1"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p>
    <w:p w14:paraId="72C1DF49"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r w:rsidRPr="001C4E06">
        <w:rPr>
          <w:rFonts w:ascii="Century Gothic" w:eastAsia="Times New Roman" w:hAnsi="Century Gothic" w:cs="Arial"/>
          <w:b/>
          <w:bCs/>
          <w:lang w:val="es-ES" w:eastAsia="es-ES"/>
        </w:rPr>
        <w:t>2.3.-</w:t>
      </w:r>
      <w:r w:rsidRPr="001C4E06">
        <w:rPr>
          <w:rFonts w:ascii="Century Gothic" w:eastAsia="Times New Roman" w:hAnsi="Century Gothic" w:cs="Arial"/>
          <w:bCs/>
          <w:lang w:val="es-ES" w:eastAsia="es-ES"/>
        </w:rPr>
        <w:t xml:space="preserve"> Durante la ejecución se realizaron ocho modificaciones, entre las cuales se adicionaron el valor y el plazo del contrato.</w:t>
      </w:r>
    </w:p>
    <w:p w14:paraId="129FDB13"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p>
    <w:p w14:paraId="19A41C94"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r w:rsidRPr="001C4E06">
        <w:rPr>
          <w:rFonts w:ascii="Century Gothic" w:eastAsia="Times New Roman" w:hAnsi="Century Gothic" w:cs="Arial"/>
          <w:b/>
          <w:bCs/>
          <w:lang w:val="es-ES" w:eastAsia="es-ES"/>
        </w:rPr>
        <w:t>2.4.-</w:t>
      </w:r>
      <w:r w:rsidRPr="001C4E06">
        <w:rPr>
          <w:rFonts w:ascii="Century Gothic" w:eastAsia="Times New Roman" w:hAnsi="Century Gothic" w:cs="Arial"/>
          <w:bCs/>
          <w:lang w:val="es-ES" w:eastAsia="es-ES"/>
        </w:rPr>
        <w:t xml:space="preserve"> El IDU y los miembros del consorcio demandante celebraron el contrato 146 de 2000, con el fin de ejercer la interventoría técnica, administrativa y financiera del contrato de obra No. IDU-403/2000, por la suma de $1.624’913.016,  con un plazo de catorce meses.</w:t>
      </w:r>
    </w:p>
    <w:p w14:paraId="47E927D7"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p>
    <w:p w14:paraId="56AA4749"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r w:rsidRPr="001C4E06">
        <w:rPr>
          <w:rFonts w:ascii="Century Gothic" w:eastAsia="Times New Roman" w:hAnsi="Century Gothic" w:cs="Arial"/>
          <w:b/>
          <w:bCs/>
          <w:lang w:val="es-ES" w:eastAsia="es-ES"/>
        </w:rPr>
        <w:t>2.5.-</w:t>
      </w:r>
      <w:r w:rsidRPr="001C4E06">
        <w:rPr>
          <w:rFonts w:ascii="Century Gothic" w:eastAsia="Times New Roman" w:hAnsi="Century Gothic" w:cs="Arial"/>
          <w:bCs/>
          <w:lang w:val="es-ES" w:eastAsia="es-ES"/>
        </w:rPr>
        <w:t xml:space="preserve"> El 17 de abril de 2000 inició el término del contrato 146 de 2000, su ejecución terminó el 20 de febrero de 2002 y se liquidó el 6 de septiembre del mismo año.</w:t>
      </w:r>
    </w:p>
    <w:p w14:paraId="5D7D8FBD"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p>
    <w:p w14:paraId="350025CB"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r w:rsidRPr="001C4E06">
        <w:rPr>
          <w:rFonts w:ascii="Century Gothic" w:eastAsia="Times New Roman" w:hAnsi="Century Gothic" w:cs="Arial"/>
          <w:b/>
          <w:bCs/>
          <w:lang w:val="es-ES" w:eastAsia="es-ES"/>
        </w:rPr>
        <w:t>2.6.-</w:t>
      </w:r>
      <w:r w:rsidRPr="001C4E06">
        <w:rPr>
          <w:rFonts w:ascii="Century Gothic" w:eastAsia="Times New Roman" w:hAnsi="Century Gothic" w:cs="Arial"/>
          <w:bCs/>
          <w:lang w:val="es-ES" w:eastAsia="es-ES"/>
        </w:rPr>
        <w:t xml:space="preserve"> Al encontrarse en proceso de construcción el carril No. 3 del costado occidental de la autopista norte, en marzo de 2001 se evidenció la ruptura de algunas de sus losas e, igualmente, se observó la salida de agua por algunas de las juntas de ellas al paso de vehículos, lo cual dejaba manchas de color blanco sobre el pavimento y,  luego de cierto tiempo, algunas de estas losas (las que presentaban bombeo) se fracturaron.</w:t>
      </w:r>
    </w:p>
    <w:p w14:paraId="61B6B84F"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p>
    <w:p w14:paraId="39C98731"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r w:rsidRPr="001C4E06">
        <w:rPr>
          <w:rFonts w:ascii="Century Gothic" w:eastAsia="Times New Roman" w:hAnsi="Century Gothic" w:cs="Arial"/>
          <w:b/>
          <w:bCs/>
          <w:lang w:val="es-ES" w:eastAsia="es-ES"/>
        </w:rPr>
        <w:t>2.7.-</w:t>
      </w:r>
      <w:r w:rsidRPr="001C4E06">
        <w:rPr>
          <w:rFonts w:ascii="Century Gothic" w:eastAsia="Times New Roman" w:hAnsi="Century Gothic" w:cs="Arial"/>
          <w:bCs/>
          <w:lang w:val="es-ES" w:eastAsia="es-ES"/>
        </w:rPr>
        <w:t xml:space="preserve"> Diversas universidades adelantaron la investigación y análisis del problema y coincidieron en que las prematuras fallas en la autopista norte provenían del relleno fluido utilizado para la nivelación de la vía, material que se encontraba previsto y determinado en los pliegos de condiciones por decisión del IDU con la asesoría de ASOCRETO, pero sin la participación de la interventoría para ello.</w:t>
      </w:r>
    </w:p>
    <w:p w14:paraId="03542A23"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p>
    <w:p w14:paraId="4EE13131" w14:textId="77777777" w:rsidR="001C4E06" w:rsidRPr="001C4E06" w:rsidRDefault="001C4E06" w:rsidP="001C4E06">
      <w:pPr>
        <w:spacing w:after="0" w:line="360" w:lineRule="auto"/>
        <w:ind w:right="-1"/>
        <w:jc w:val="both"/>
        <w:rPr>
          <w:rFonts w:ascii="Century Gothic" w:eastAsia="Times New Roman" w:hAnsi="Century Gothic" w:cs="Arial"/>
          <w:b/>
          <w:bCs/>
          <w:lang w:val="es-ES" w:eastAsia="es-ES"/>
        </w:rPr>
      </w:pPr>
      <w:r w:rsidRPr="001C4E06">
        <w:rPr>
          <w:rFonts w:ascii="Century Gothic" w:eastAsia="Times New Roman" w:hAnsi="Century Gothic" w:cs="Arial"/>
          <w:b/>
          <w:bCs/>
          <w:lang w:val="es-ES" w:eastAsia="es-ES"/>
        </w:rPr>
        <w:t xml:space="preserve">3.- Fundamentos de derecho.- </w:t>
      </w:r>
    </w:p>
    <w:p w14:paraId="302912A6" w14:textId="77777777" w:rsidR="001C4E06" w:rsidRPr="001C4E06" w:rsidRDefault="001C4E06" w:rsidP="001C4E06">
      <w:pPr>
        <w:spacing w:after="0" w:line="360" w:lineRule="auto"/>
        <w:ind w:right="-1"/>
        <w:jc w:val="both"/>
        <w:rPr>
          <w:rFonts w:ascii="Century Gothic" w:eastAsia="Times New Roman" w:hAnsi="Century Gothic" w:cs="Arial"/>
          <w:b/>
          <w:bCs/>
          <w:lang w:val="es-ES" w:eastAsia="es-ES"/>
        </w:rPr>
      </w:pPr>
    </w:p>
    <w:p w14:paraId="32BD3FB9" w14:textId="77777777" w:rsidR="001C4E06" w:rsidRPr="001C4E06" w:rsidRDefault="001C4E06" w:rsidP="001C4E06">
      <w:pPr>
        <w:spacing w:after="0" w:line="360" w:lineRule="auto"/>
        <w:ind w:right="-1"/>
        <w:jc w:val="both"/>
        <w:rPr>
          <w:rFonts w:ascii="Century Gothic" w:eastAsia="Times New Roman" w:hAnsi="Century Gothic" w:cs="Arial"/>
          <w:bCs/>
          <w:lang w:val="es-ES" w:eastAsia="es-ES"/>
        </w:rPr>
      </w:pPr>
      <w:r w:rsidRPr="001C4E06">
        <w:rPr>
          <w:rFonts w:ascii="Century Gothic" w:eastAsia="Times New Roman" w:hAnsi="Century Gothic" w:cs="Arial"/>
          <w:bCs/>
          <w:lang w:val="es-ES" w:eastAsia="es-ES"/>
        </w:rPr>
        <w:t xml:space="preserve">El actor citó como fundamentos de derecho los artículos 29 y 209 de la Constitución Política, 84 del Código Contencioso Administrativo, 24 (numeral 8) de la Ley 80 de 1993 y 1602 del Código Civil. </w:t>
      </w:r>
    </w:p>
    <w:p w14:paraId="214278BF" w14:textId="77777777" w:rsidR="001C4E06" w:rsidRPr="001C4E06" w:rsidRDefault="001C4E06" w:rsidP="001C4E06">
      <w:pPr>
        <w:spacing w:after="0" w:line="360" w:lineRule="auto"/>
        <w:ind w:right="-1"/>
        <w:jc w:val="both"/>
        <w:rPr>
          <w:rFonts w:ascii="Century Gothic" w:eastAsia="Times New Roman" w:hAnsi="Century Gothic" w:cs="Arial"/>
          <w:bCs/>
          <w:color w:val="000000"/>
          <w:lang w:val="es-ES" w:eastAsia="es-ES"/>
        </w:rPr>
      </w:pPr>
    </w:p>
    <w:p w14:paraId="0E1EF761" w14:textId="77777777" w:rsidR="001C4E06" w:rsidRPr="001C4E06" w:rsidRDefault="001C4E06" w:rsidP="001C4E06">
      <w:pPr>
        <w:tabs>
          <w:tab w:val="left" w:pos="567"/>
        </w:tabs>
        <w:spacing w:after="0" w:line="360" w:lineRule="auto"/>
        <w:ind w:right="-4"/>
        <w:jc w:val="both"/>
        <w:rPr>
          <w:rFonts w:ascii="Century Gothic" w:eastAsia="Times New Roman" w:hAnsi="Century Gothic" w:cs="Tahoma"/>
          <w:b/>
          <w:color w:val="000000"/>
          <w:lang w:val="es-ES" w:eastAsia="es-ES"/>
        </w:rPr>
      </w:pPr>
      <w:r w:rsidRPr="001C4E06">
        <w:rPr>
          <w:rFonts w:ascii="Century Gothic" w:eastAsia="Times New Roman" w:hAnsi="Century Gothic" w:cs="Tahoma"/>
          <w:b/>
          <w:color w:val="000000"/>
          <w:lang w:val="es-ES" w:eastAsia="es-ES"/>
        </w:rPr>
        <w:t>4.- La actuación procesal.-</w:t>
      </w:r>
    </w:p>
    <w:p w14:paraId="5504FC5C" w14:textId="77777777" w:rsidR="001C4E06" w:rsidRPr="001C4E06" w:rsidRDefault="001C4E06" w:rsidP="001C4E06">
      <w:pPr>
        <w:spacing w:after="0" w:line="360" w:lineRule="auto"/>
        <w:jc w:val="both"/>
        <w:rPr>
          <w:rFonts w:ascii="Century Gothic" w:eastAsia="Times New Roman" w:hAnsi="Century Gothic" w:cs="Tahoma"/>
          <w:color w:val="000000"/>
          <w:lang w:val="es-ES" w:eastAsia="es-ES"/>
        </w:rPr>
      </w:pPr>
    </w:p>
    <w:p w14:paraId="3B523122" w14:textId="77777777" w:rsidR="001C4E06" w:rsidRPr="001C4E06" w:rsidRDefault="001C4E06" w:rsidP="001C4E06">
      <w:pPr>
        <w:spacing w:after="0" w:line="360" w:lineRule="auto"/>
        <w:jc w:val="both"/>
        <w:rPr>
          <w:rFonts w:ascii="Century Gothic" w:eastAsia="Times New Roman" w:hAnsi="Century Gothic" w:cs="Tahoma"/>
          <w:b/>
          <w:color w:val="000000"/>
          <w:lang w:val="es-ES" w:eastAsia="es-ES"/>
        </w:rPr>
      </w:pPr>
      <w:r w:rsidRPr="001C4E06">
        <w:rPr>
          <w:rFonts w:ascii="Century Gothic" w:eastAsia="Times New Roman" w:hAnsi="Century Gothic" w:cs="Tahoma"/>
          <w:b/>
          <w:color w:val="000000"/>
          <w:lang w:val="es-ES" w:eastAsia="es-ES"/>
        </w:rPr>
        <w:t xml:space="preserve">4.1.- </w:t>
      </w:r>
      <w:r w:rsidRPr="001C4E06">
        <w:rPr>
          <w:rFonts w:ascii="Century Gothic" w:eastAsia="Times New Roman" w:hAnsi="Century Gothic" w:cs="Tahoma"/>
          <w:color w:val="000000"/>
          <w:lang w:val="es-ES" w:eastAsia="es-ES"/>
        </w:rPr>
        <w:t xml:space="preserve">Por auto del 9 de diciembre de 2005 se admitió la demanda, se ordenó la vinculación del demandado al proceso -a través de la notificación-, se ordenó la notificación personal al agente del Ministerio Público y se dispuso la fijación del negocio en lista. </w:t>
      </w:r>
    </w:p>
    <w:p w14:paraId="5B33CBC7" w14:textId="77777777" w:rsidR="001C4E06" w:rsidRPr="001C4E06" w:rsidRDefault="001C4E06" w:rsidP="001C4E06">
      <w:pPr>
        <w:spacing w:after="0" w:line="360" w:lineRule="auto"/>
        <w:jc w:val="both"/>
        <w:rPr>
          <w:rFonts w:ascii="Century Gothic" w:eastAsia="Times New Roman" w:hAnsi="Century Gothic" w:cs="Tahoma"/>
          <w:color w:val="000000"/>
          <w:lang w:val="es-ES" w:eastAsia="es-ES"/>
        </w:rPr>
      </w:pPr>
    </w:p>
    <w:p w14:paraId="6D1D76BE" w14:textId="77777777" w:rsidR="001C4E06" w:rsidRPr="001C4E06" w:rsidRDefault="001C4E06" w:rsidP="001C4E06">
      <w:pPr>
        <w:spacing w:after="0" w:line="360" w:lineRule="auto"/>
        <w:jc w:val="both"/>
        <w:rPr>
          <w:rFonts w:ascii="Century Gothic" w:eastAsia="Times New Roman" w:hAnsi="Century Gothic" w:cs="Tahoma"/>
          <w:color w:val="000000"/>
          <w:lang w:val="es-ES" w:eastAsia="es-ES"/>
        </w:rPr>
      </w:pPr>
      <w:r w:rsidRPr="001C4E06">
        <w:rPr>
          <w:rFonts w:ascii="Century Gothic" w:eastAsia="Times New Roman" w:hAnsi="Century Gothic" w:cs="Tahoma"/>
          <w:b/>
          <w:color w:val="000000"/>
          <w:lang w:val="es-ES" w:eastAsia="es-ES"/>
        </w:rPr>
        <w:lastRenderedPageBreak/>
        <w:t>4.2.-</w:t>
      </w:r>
      <w:r w:rsidRPr="001C4E06">
        <w:rPr>
          <w:rFonts w:ascii="Century Gothic" w:eastAsia="Times New Roman" w:hAnsi="Century Gothic" w:cs="Tahoma"/>
          <w:color w:val="000000"/>
          <w:lang w:val="es-ES" w:eastAsia="es-ES"/>
        </w:rPr>
        <w:t xml:space="preserve"> El Instituto de Desarrollo Urbano -IDU- se opuso a la prosperidad de las pretensiones y formuló, como medios de defensa, las excepciones consistentes en  el incumplimiento del contrato de interventoría, la observancia por parte de la entidad demandada de las garantías procesales y del debido proceso a favor del contratista, la potestad legal de la contratante para declarar la ocurrencia del siniestro y la improcedencia del reembolso de sumas canceladas, </w:t>
      </w:r>
    </w:p>
    <w:p w14:paraId="1E6154FB" w14:textId="77777777" w:rsidR="001C4E06" w:rsidRPr="001C4E06" w:rsidRDefault="001C4E06" w:rsidP="001C4E06">
      <w:pPr>
        <w:spacing w:after="0" w:line="360" w:lineRule="auto"/>
        <w:jc w:val="both"/>
        <w:rPr>
          <w:rFonts w:ascii="Century Gothic" w:eastAsia="Times New Roman" w:hAnsi="Century Gothic" w:cs="Tahoma"/>
          <w:color w:val="000000"/>
          <w:lang w:val="es-ES" w:eastAsia="es-ES"/>
        </w:rPr>
      </w:pPr>
    </w:p>
    <w:p w14:paraId="1705E1B3" w14:textId="77777777" w:rsidR="001C4E06" w:rsidRPr="001C4E06" w:rsidRDefault="001C4E06" w:rsidP="001C4E06">
      <w:pPr>
        <w:spacing w:after="0" w:line="360" w:lineRule="auto"/>
        <w:jc w:val="both"/>
        <w:rPr>
          <w:rFonts w:ascii="Century Gothic" w:eastAsia="Times New Roman" w:hAnsi="Century Gothic" w:cs="Tahoma"/>
          <w:color w:val="000000"/>
          <w:lang w:val="es-ES" w:eastAsia="es-ES"/>
        </w:rPr>
      </w:pPr>
      <w:r w:rsidRPr="001C4E06">
        <w:rPr>
          <w:rFonts w:ascii="Century Gothic" w:eastAsia="Times New Roman" w:hAnsi="Century Gothic" w:cs="Tahoma"/>
          <w:b/>
          <w:color w:val="000000"/>
          <w:lang w:val="es-ES" w:eastAsia="es-ES"/>
        </w:rPr>
        <w:t>4.3.-</w:t>
      </w:r>
      <w:r w:rsidRPr="001C4E06">
        <w:rPr>
          <w:rFonts w:ascii="Century Gothic" w:eastAsia="Times New Roman" w:hAnsi="Century Gothic" w:cs="Tahoma"/>
          <w:color w:val="000000"/>
          <w:lang w:val="es-ES" w:eastAsia="es-ES"/>
        </w:rPr>
        <w:t xml:space="preserve"> El apoderado de la parte actora se opuso a las excepciones propuestas por el IDU y solicitó la práctica de pruebas.</w:t>
      </w:r>
    </w:p>
    <w:p w14:paraId="57B05290" w14:textId="77777777" w:rsidR="001C4E06" w:rsidRPr="001C4E06" w:rsidRDefault="001C4E06" w:rsidP="001C4E06">
      <w:pPr>
        <w:spacing w:after="0" w:line="360" w:lineRule="auto"/>
        <w:jc w:val="both"/>
        <w:rPr>
          <w:rFonts w:ascii="Century Gothic" w:eastAsia="Times New Roman" w:hAnsi="Century Gothic" w:cs="Tahoma"/>
          <w:color w:val="000000"/>
          <w:lang w:val="es-ES" w:eastAsia="es-ES"/>
        </w:rPr>
      </w:pPr>
    </w:p>
    <w:p w14:paraId="225C438B" w14:textId="77777777" w:rsidR="001C4E06" w:rsidRPr="001C4E06" w:rsidRDefault="001C4E06" w:rsidP="001C4E06">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b/>
          <w:lang w:val="es-ES" w:eastAsia="es-ES"/>
        </w:rPr>
      </w:pPr>
      <w:r w:rsidRPr="001C4E06">
        <w:rPr>
          <w:rFonts w:ascii="Century Gothic" w:eastAsia="Times New Roman" w:hAnsi="Century Gothic" w:cs="Arial"/>
          <w:b/>
          <w:lang w:val="es-ES" w:eastAsia="es-ES"/>
        </w:rPr>
        <w:t xml:space="preserve">5.- Los alegatos de primera instancia.- </w:t>
      </w:r>
    </w:p>
    <w:p w14:paraId="4897EE2F" w14:textId="77777777" w:rsidR="001C4E06" w:rsidRPr="001C4E06" w:rsidRDefault="001C4E06" w:rsidP="001C4E06">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b/>
          <w:lang w:val="es-ES" w:eastAsia="es-ES"/>
        </w:rPr>
      </w:pPr>
    </w:p>
    <w:p w14:paraId="07994DE1" w14:textId="77777777" w:rsidR="001C4E06" w:rsidRPr="001C4E06" w:rsidRDefault="001C4E06" w:rsidP="001C4E06">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lang w:val="es-ES" w:eastAsia="es-ES"/>
        </w:rPr>
      </w:pPr>
      <w:r w:rsidRPr="001C4E06">
        <w:rPr>
          <w:rFonts w:ascii="Century Gothic" w:eastAsia="Times New Roman" w:hAnsi="Century Gothic" w:cs="Arial"/>
          <w:lang w:val="es-ES" w:eastAsia="es-ES"/>
        </w:rPr>
        <w:t>Mediante auto del 6 de junio de 2008 se dio traslado a las partes, para alegar de conclusión y al Ministerio Público, para emitir concepto.</w:t>
      </w:r>
    </w:p>
    <w:p w14:paraId="1F4D6B2F" w14:textId="77777777" w:rsidR="001C4E06" w:rsidRPr="001C4E06" w:rsidRDefault="001C4E06" w:rsidP="001C4E06">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b/>
          <w:lang w:val="es-ES" w:eastAsia="es-ES"/>
        </w:rPr>
      </w:pPr>
    </w:p>
    <w:p w14:paraId="7815B79F" w14:textId="77777777" w:rsidR="001C4E06" w:rsidRPr="001C4E06" w:rsidRDefault="001C4E06" w:rsidP="001C4E06">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lang w:val="es-ES" w:eastAsia="es-ES"/>
        </w:rPr>
      </w:pPr>
      <w:r w:rsidRPr="001C4E06">
        <w:rPr>
          <w:rFonts w:ascii="Century Gothic" w:eastAsia="Times New Roman" w:hAnsi="Century Gothic" w:cs="Arial"/>
          <w:b/>
          <w:lang w:val="es-ES" w:eastAsia="es-ES"/>
        </w:rPr>
        <w:t>5.1.-</w:t>
      </w:r>
      <w:r w:rsidRPr="001C4E06">
        <w:rPr>
          <w:rFonts w:ascii="Century Gothic" w:eastAsia="Times New Roman" w:hAnsi="Century Gothic" w:cs="Arial"/>
          <w:lang w:val="es-ES" w:eastAsia="es-ES"/>
        </w:rPr>
        <w:t xml:space="preserve"> Los miembros del Consorcio Integral S.A. reiteraron lo expuesto a lo largo del proceso y dijeron que:  </w:t>
      </w:r>
      <w:r w:rsidRPr="001C4E06">
        <w:rPr>
          <w:rFonts w:ascii="Century Gothic" w:eastAsia="Times New Roman" w:hAnsi="Century Gothic" w:cs="Arial"/>
          <w:i/>
          <w:lang w:val="es-ES" w:eastAsia="es-ES"/>
        </w:rPr>
        <w:t>i)</w:t>
      </w:r>
      <w:r w:rsidRPr="001C4E06">
        <w:rPr>
          <w:rFonts w:ascii="Century Gothic" w:eastAsia="Times New Roman" w:hAnsi="Century Gothic" w:cs="Arial"/>
          <w:lang w:val="es-ES" w:eastAsia="es-ES"/>
        </w:rPr>
        <w:t xml:space="preserve"> la decisión de incluir el relleno fluido como material de nivelación en la vía se encontraba contenida en los pliegos de condiciones elaborados y publicados por el IDU, con la asesoría de ASOCRETO, </w:t>
      </w:r>
      <w:r w:rsidRPr="001C4E06">
        <w:rPr>
          <w:rFonts w:ascii="Century Gothic" w:eastAsia="Times New Roman" w:hAnsi="Century Gothic" w:cs="Arial"/>
          <w:i/>
          <w:lang w:val="es-ES" w:eastAsia="es-ES"/>
        </w:rPr>
        <w:t>ii)</w:t>
      </w:r>
      <w:r w:rsidRPr="001C4E06">
        <w:rPr>
          <w:rFonts w:ascii="Century Gothic" w:eastAsia="Times New Roman" w:hAnsi="Century Gothic" w:cs="Arial"/>
          <w:lang w:val="es-ES" w:eastAsia="es-ES"/>
        </w:rPr>
        <w:t xml:space="preserve"> el contratista era el responsable de efectuar los ensayos de los materiales y de solicitar autorización para el cambio de calidad y </w:t>
      </w:r>
      <w:r w:rsidRPr="001C4E06">
        <w:rPr>
          <w:rFonts w:ascii="Century Gothic" w:eastAsia="Times New Roman" w:hAnsi="Century Gothic" w:cs="Arial"/>
          <w:i/>
          <w:lang w:val="es-ES" w:eastAsia="es-ES"/>
        </w:rPr>
        <w:t xml:space="preserve">iii) </w:t>
      </w:r>
      <w:r w:rsidRPr="001C4E06">
        <w:rPr>
          <w:rFonts w:ascii="Century Gothic" w:eastAsia="Times New Roman" w:hAnsi="Century Gothic" w:cs="Arial"/>
          <w:lang w:val="es-ES" w:eastAsia="es-ES"/>
        </w:rPr>
        <w:t xml:space="preserve">la interventoría no era la encargada de realizar de manera directa el control de calidad de los recursos empleados en la obra, toda vez que su obligación contractual era comprobar los controles de calidad realizados por el constructor.  </w:t>
      </w:r>
    </w:p>
    <w:p w14:paraId="74324EE3" w14:textId="77777777" w:rsidR="001C4E06" w:rsidRPr="001C4E06" w:rsidRDefault="001C4E06" w:rsidP="001C4E06">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lang w:val="es-ES" w:eastAsia="es-ES"/>
        </w:rPr>
      </w:pPr>
    </w:p>
    <w:p w14:paraId="49094BAE" w14:textId="77777777" w:rsidR="001C4E06" w:rsidRPr="001C4E06" w:rsidRDefault="001C4E06" w:rsidP="001C4E06">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lang w:val="es-ES" w:eastAsia="es-ES"/>
        </w:rPr>
      </w:pPr>
      <w:r w:rsidRPr="001C4E06">
        <w:rPr>
          <w:rFonts w:ascii="Century Gothic" w:eastAsia="Times New Roman" w:hAnsi="Century Gothic" w:cs="Arial"/>
          <w:b/>
          <w:lang w:val="es-ES" w:eastAsia="es-ES"/>
        </w:rPr>
        <w:t>5.2.-</w:t>
      </w:r>
      <w:r w:rsidRPr="001C4E06">
        <w:rPr>
          <w:rFonts w:ascii="Century Gothic" w:eastAsia="Times New Roman" w:hAnsi="Century Gothic" w:cs="Arial"/>
          <w:lang w:val="es-ES" w:eastAsia="es-ES"/>
        </w:rPr>
        <w:t xml:space="preserve"> El IDU reiteró lo expuesto en la contestación de la demanda y adujo, además, que las fallas se debieron a la modificación que la interventoría hizo del diseño original, ya que el pliego de condiciones contemplaba el relleno fluido como material de base y no como material de nivelación para los carriles 1 y 8 y para la ampliación del carril de transmilenio en la zona de paraderos.</w:t>
      </w:r>
    </w:p>
    <w:p w14:paraId="04A93DBD" w14:textId="77777777" w:rsidR="001C4E06" w:rsidRPr="001C4E06" w:rsidRDefault="001C4E06" w:rsidP="001C4E06">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lang w:val="es-ES" w:eastAsia="es-ES"/>
        </w:rPr>
      </w:pPr>
    </w:p>
    <w:p w14:paraId="6BB221DF" w14:textId="77777777" w:rsidR="001C4E06" w:rsidRPr="001C4E06" w:rsidRDefault="001C4E06" w:rsidP="001C4E06">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lang w:val="es-ES" w:eastAsia="es-ES"/>
        </w:rPr>
      </w:pPr>
      <w:r w:rsidRPr="001C4E06">
        <w:rPr>
          <w:rFonts w:ascii="Century Gothic" w:eastAsia="Times New Roman" w:hAnsi="Century Gothic" w:cs="Arial"/>
          <w:b/>
          <w:lang w:val="es-ES" w:eastAsia="es-ES"/>
        </w:rPr>
        <w:t>5.3.-</w:t>
      </w:r>
      <w:r w:rsidRPr="001C4E06">
        <w:rPr>
          <w:rFonts w:ascii="Century Gothic" w:eastAsia="Times New Roman" w:hAnsi="Century Gothic" w:cs="Arial"/>
          <w:lang w:val="es-ES" w:eastAsia="es-ES"/>
        </w:rPr>
        <w:t xml:space="preserve"> El Ministerio Público guardó silencio. </w:t>
      </w:r>
    </w:p>
    <w:p w14:paraId="2BCA5A47" w14:textId="77777777" w:rsidR="001C4E06" w:rsidRPr="001C4E06" w:rsidRDefault="001C4E06" w:rsidP="001C4E06">
      <w:pPr>
        <w:spacing w:after="0" w:line="360" w:lineRule="auto"/>
        <w:jc w:val="both"/>
        <w:rPr>
          <w:rFonts w:ascii="Century Gothic" w:eastAsia="Times New Roman" w:hAnsi="Century Gothic" w:cs="Arial"/>
          <w:b/>
          <w:bCs/>
          <w:lang w:val="es-ES" w:eastAsia="es-ES"/>
        </w:rPr>
      </w:pPr>
    </w:p>
    <w:p w14:paraId="0CF62FC9" w14:textId="77777777" w:rsidR="001C4E06" w:rsidRPr="001C4E06" w:rsidRDefault="001C4E06" w:rsidP="001C4E06">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b/>
          <w:lang w:val="es-ES" w:eastAsia="es-ES"/>
        </w:rPr>
      </w:pPr>
      <w:r w:rsidRPr="001C4E06">
        <w:rPr>
          <w:rFonts w:ascii="Century Gothic" w:eastAsia="Times New Roman" w:hAnsi="Century Gothic" w:cs="Arial"/>
          <w:b/>
          <w:lang w:val="es-ES" w:eastAsia="es-ES"/>
        </w:rPr>
        <w:t xml:space="preserve">6.- La sentencia recurrida.- </w:t>
      </w:r>
    </w:p>
    <w:p w14:paraId="5B93EB43" w14:textId="77777777" w:rsidR="001C4E06" w:rsidRPr="001C4E06" w:rsidRDefault="001C4E06" w:rsidP="001C4E06">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lang w:val="es-ES" w:eastAsia="es-ES"/>
        </w:rPr>
      </w:pPr>
    </w:p>
    <w:p w14:paraId="54B560D9" w14:textId="77777777" w:rsidR="001C4E06" w:rsidRPr="001C4E06" w:rsidRDefault="001C4E06" w:rsidP="001C4E06">
      <w:pPr>
        <w:spacing w:after="0" w:line="360" w:lineRule="auto"/>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Es la proferida el 5 de agosto de 2009 por el Tribunal Administrativo de Cundinamarca, en la que se negaron las pretensiones de la demanda y la objeción por error grave del dictamen pericial, formulada por el IDU, al considerar lo siguiente frente a los cargos hechos:</w:t>
      </w:r>
    </w:p>
    <w:p w14:paraId="4D515A2B" w14:textId="77777777" w:rsidR="001C4E06" w:rsidRPr="001C4E06" w:rsidRDefault="001C4E06" w:rsidP="001C4E06">
      <w:pPr>
        <w:spacing w:after="0" w:line="360" w:lineRule="auto"/>
        <w:jc w:val="both"/>
        <w:rPr>
          <w:rFonts w:ascii="Century Gothic" w:eastAsia="Times New Roman" w:hAnsi="Century Gothic" w:cs="Tahoma"/>
          <w:lang w:val="es-ES" w:eastAsia="es-ES"/>
        </w:rPr>
      </w:pPr>
    </w:p>
    <w:p w14:paraId="44FD0EB2" w14:textId="77777777" w:rsidR="001C4E06" w:rsidRPr="001C4E06" w:rsidRDefault="001C4E06" w:rsidP="001C4E06">
      <w:pPr>
        <w:spacing w:after="0" w:line="360" w:lineRule="auto"/>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6.1.-</w:t>
      </w:r>
      <w:r w:rsidRPr="001C4E06">
        <w:rPr>
          <w:rFonts w:ascii="Century Gothic" w:eastAsia="Times New Roman" w:hAnsi="Century Gothic" w:cs="Tahoma"/>
          <w:lang w:val="es-ES" w:eastAsia="es-ES"/>
        </w:rPr>
        <w:t xml:space="preserve"> Respecto a la vulneración al derecho al debido proceso: indicó que, si bien es cierto en las condiciones generales del contrato de interventoría 146 de 2000 las partes convinieron que, si durante su ejecución se presentaba alguna diferencia, ésta debía ser resuelta a través de árbitros, lo es también que la demandada renunció de manera tácita a este derecho, al hacer uso de sus competencias legales, como declarar la ocurrencia del siniestro y hacer efectivas las garantías.</w:t>
      </w:r>
    </w:p>
    <w:p w14:paraId="3B298BCB" w14:textId="77777777" w:rsidR="001C4E06" w:rsidRPr="001C4E06" w:rsidRDefault="001C4E06" w:rsidP="001C4E06">
      <w:pPr>
        <w:spacing w:after="0" w:line="360" w:lineRule="auto"/>
        <w:ind w:left="720"/>
        <w:jc w:val="both"/>
        <w:rPr>
          <w:rFonts w:ascii="Century Gothic" w:eastAsia="Times New Roman" w:hAnsi="Century Gothic" w:cs="Tahoma"/>
          <w:lang w:val="es-ES" w:eastAsia="es-ES"/>
        </w:rPr>
      </w:pPr>
    </w:p>
    <w:p w14:paraId="43E4CF60" w14:textId="77777777" w:rsidR="001C4E06" w:rsidRPr="001C4E06" w:rsidRDefault="001C4E06" w:rsidP="001C4E06">
      <w:pPr>
        <w:spacing w:after="0" w:line="360" w:lineRule="auto"/>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6.2.-</w:t>
      </w:r>
      <w:r w:rsidRPr="001C4E06">
        <w:rPr>
          <w:rFonts w:ascii="Century Gothic" w:eastAsia="Times New Roman" w:hAnsi="Century Gothic" w:cs="Tahoma"/>
          <w:lang w:val="es-ES" w:eastAsia="es-ES"/>
        </w:rPr>
        <w:t xml:space="preserve"> Frente al cargo de vulneración del artículo 209 de la Constitución Nacional: el Tribunal recordó que, según la parte actora, se quebrantaron los principios de la función administrativa,  por cuanto los acuerdos suscritos entre el IDU y ASOCRETO restringieron e impidieron la libre competencia de otros proveedores y,  al respecto, consideró que aquélla no logró demostrar que se afectó la libre competencia, es decir, no probó que se le hubiese impedido el ingreso al mercado a otros proveedores de materiales similares al relleno fluido o que cumplieran un objetivo similar en la obra, o que éstos ofrecían mejores materiales, respecto a calidad y a precio, en relación con el relleno fluido. </w:t>
      </w:r>
    </w:p>
    <w:p w14:paraId="3BF46D8B" w14:textId="77777777" w:rsidR="001C4E06" w:rsidRPr="001C4E06" w:rsidRDefault="001C4E06" w:rsidP="001C4E06">
      <w:pPr>
        <w:spacing w:after="0" w:line="360" w:lineRule="auto"/>
        <w:jc w:val="both"/>
        <w:rPr>
          <w:rFonts w:ascii="Century Gothic" w:eastAsia="Times New Roman" w:hAnsi="Century Gothic" w:cs="Tahoma"/>
          <w:lang w:val="es-ES" w:eastAsia="es-ES"/>
        </w:rPr>
      </w:pPr>
    </w:p>
    <w:p w14:paraId="2B1B34E8" w14:textId="77777777" w:rsidR="001C4E06" w:rsidRPr="001C4E06" w:rsidRDefault="001C4E06" w:rsidP="001C4E06">
      <w:pPr>
        <w:spacing w:after="0" w:line="360" w:lineRule="auto"/>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Frente al argumento de la parte actora consistente en que el IDU modificó de 60kg/cm</w:t>
      </w:r>
      <w:r w:rsidRPr="001C4E06">
        <w:rPr>
          <w:rFonts w:ascii="Century Gothic" w:eastAsia="Times New Roman" w:hAnsi="Century Gothic" w:cs="Tahoma"/>
          <w:vertAlign w:val="superscript"/>
          <w:lang w:val="es-ES" w:eastAsia="es-ES"/>
        </w:rPr>
        <w:t xml:space="preserve">2 </w:t>
      </w:r>
      <w:r w:rsidRPr="001C4E06">
        <w:rPr>
          <w:rFonts w:ascii="Century Gothic" w:eastAsia="Times New Roman" w:hAnsi="Century Gothic" w:cs="Tahoma"/>
          <w:lang w:val="es-ES" w:eastAsia="es-ES"/>
        </w:rPr>
        <w:t>a 30kg/cm</w:t>
      </w:r>
      <w:r w:rsidRPr="001C4E06">
        <w:rPr>
          <w:rFonts w:ascii="Century Gothic" w:eastAsia="Times New Roman" w:hAnsi="Century Gothic" w:cs="Tahoma"/>
          <w:vertAlign w:val="superscript"/>
          <w:lang w:val="es-ES" w:eastAsia="es-ES"/>
        </w:rPr>
        <w:t>2</w:t>
      </w:r>
      <w:r w:rsidRPr="001C4E06">
        <w:rPr>
          <w:rFonts w:ascii="Century Gothic" w:eastAsia="Times New Roman" w:hAnsi="Century Gothic" w:cs="Tahoma"/>
          <w:lang w:val="es-ES" w:eastAsia="es-ES"/>
        </w:rPr>
        <w:t xml:space="preserve">, sin ningún soporte, la resistencia del relleno fluido, variación que incidió en la ocurrencia de los daños en la autopista norte, señaló el </w:t>
      </w:r>
      <w:r w:rsidRPr="001C4E06">
        <w:rPr>
          <w:rFonts w:ascii="Century Gothic" w:eastAsia="Times New Roman" w:hAnsi="Century Gothic" w:cs="Tahoma"/>
          <w:i/>
          <w:lang w:val="es-ES" w:eastAsia="es-ES"/>
        </w:rPr>
        <w:t>a quo</w:t>
      </w:r>
      <w:r w:rsidRPr="001C4E06">
        <w:rPr>
          <w:rFonts w:ascii="Century Gothic" w:eastAsia="Times New Roman" w:hAnsi="Century Gothic" w:cs="Tahoma"/>
          <w:lang w:val="es-ES" w:eastAsia="es-ES"/>
        </w:rPr>
        <w:t xml:space="preserve"> que el informe elaborado por la interventoría demuestra que ésta estuvo de acuerdo con la modificación de la utilización del relleno fluido, es decir, que aprobó que el contratista utilizara y modificara el diseño </w:t>
      </w:r>
      <w:r w:rsidRPr="001C4E06">
        <w:rPr>
          <w:rFonts w:ascii="Century Gothic" w:eastAsia="Times New Roman" w:hAnsi="Century Gothic" w:cs="Tahoma"/>
          <w:i/>
          <w:lang w:val="es-ES" w:eastAsia="es-ES"/>
        </w:rPr>
        <w:t>Steer Davies &amp; Gleave</w:t>
      </w:r>
      <w:r w:rsidRPr="001C4E06">
        <w:rPr>
          <w:rFonts w:ascii="Century Gothic" w:eastAsia="Times New Roman" w:hAnsi="Century Gothic" w:cs="Tahoma"/>
          <w:lang w:val="es-ES" w:eastAsia="es-ES"/>
        </w:rPr>
        <w:t>, toda vez que autorizó al contratista para que utilizara, para la renivelación en los carriles 2 a 7 de la troncal de la autopista norte, el relleno fluido de 30kg/cm</w:t>
      </w:r>
      <w:r w:rsidRPr="001C4E06">
        <w:rPr>
          <w:rFonts w:ascii="Century Gothic" w:eastAsia="Times New Roman" w:hAnsi="Century Gothic" w:cs="Tahoma"/>
          <w:vertAlign w:val="superscript"/>
          <w:lang w:val="es-ES" w:eastAsia="es-ES"/>
        </w:rPr>
        <w:t>2</w:t>
      </w:r>
      <w:r w:rsidRPr="001C4E06">
        <w:rPr>
          <w:rFonts w:ascii="Century Gothic" w:eastAsia="Times New Roman" w:hAnsi="Century Gothic" w:cs="Tahoma"/>
          <w:lang w:val="es-ES" w:eastAsia="es-ES"/>
        </w:rPr>
        <w:t xml:space="preserve"> y,  para los carriles 1 y 8, el relleno fluido de 60kg/cm</w:t>
      </w:r>
      <w:r w:rsidRPr="001C4E06">
        <w:rPr>
          <w:rFonts w:ascii="Century Gothic" w:eastAsia="Times New Roman" w:hAnsi="Century Gothic" w:cs="Tahoma"/>
          <w:vertAlign w:val="superscript"/>
          <w:lang w:val="es-ES" w:eastAsia="es-ES"/>
        </w:rPr>
        <w:t>2</w:t>
      </w:r>
      <w:r w:rsidRPr="001C4E06">
        <w:rPr>
          <w:rFonts w:ascii="Century Gothic" w:eastAsia="Times New Roman" w:hAnsi="Century Gothic" w:cs="Tahoma"/>
          <w:lang w:val="es-ES" w:eastAsia="es-ES"/>
        </w:rPr>
        <w:t xml:space="preserve">.    </w:t>
      </w:r>
    </w:p>
    <w:p w14:paraId="4DC95FBA" w14:textId="77777777" w:rsidR="001C4E06" w:rsidRPr="001C4E06" w:rsidRDefault="001C4E06" w:rsidP="001C4E06">
      <w:pPr>
        <w:widowControl w:val="0"/>
        <w:overflowPunct w:val="0"/>
        <w:autoSpaceDE w:val="0"/>
        <w:autoSpaceDN w:val="0"/>
        <w:adjustRightInd w:val="0"/>
        <w:spacing w:after="0" w:line="360" w:lineRule="auto"/>
        <w:jc w:val="both"/>
        <w:textAlignment w:val="baseline"/>
        <w:rPr>
          <w:rFonts w:ascii="Century Gothic" w:eastAsia="Times New Roman" w:hAnsi="Century Gothic" w:cs="Tahoma"/>
          <w:lang w:val="es-ES" w:eastAsia="es-ES"/>
        </w:rPr>
      </w:pPr>
    </w:p>
    <w:p w14:paraId="416A4C4B" w14:textId="77777777" w:rsidR="001C4E06" w:rsidRPr="001C4E06" w:rsidRDefault="001C4E06" w:rsidP="001C4E06">
      <w:pPr>
        <w:spacing w:after="0" w:line="360" w:lineRule="auto"/>
        <w:jc w:val="both"/>
        <w:rPr>
          <w:rFonts w:ascii="Century Gothic" w:eastAsia="Times New Roman" w:hAnsi="Century Gothic"/>
          <w:lang w:eastAsia="es-ES"/>
        </w:rPr>
      </w:pPr>
      <w:r w:rsidRPr="001C4E06">
        <w:rPr>
          <w:rFonts w:ascii="Century Gothic" w:eastAsia="Times New Roman" w:hAnsi="Century Gothic" w:cs="Tahoma"/>
          <w:b/>
          <w:lang w:val="es-ES" w:eastAsia="es-ES"/>
        </w:rPr>
        <w:t>6.3.-</w:t>
      </w:r>
      <w:r w:rsidRPr="001C4E06">
        <w:rPr>
          <w:rFonts w:ascii="Century Gothic" w:eastAsia="Times New Roman" w:hAnsi="Century Gothic" w:cs="Tahoma"/>
          <w:lang w:val="es-ES" w:eastAsia="es-ES"/>
        </w:rPr>
        <w:t xml:space="preserve"> En lo que respecta al cargo relacionado con el artículo 84 del Código Contencioso Administrativo: el </w:t>
      </w:r>
      <w:r w:rsidRPr="001C4E06">
        <w:rPr>
          <w:rFonts w:ascii="Century Gothic" w:eastAsia="Times New Roman" w:hAnsi="Century Gothic" w:cs="Tahoma"/>
          <w:i/>
          <w:lang w:val="es-ES" w:eastAsia="es-ES"/>
        </w:rPr>
        <w:t>a quo</w:t>
      </w:r>
      <w:r w:rsidRPr="001C4E06">
        <w:rPr>
          <w:rFonts w:ascii="Century Gothic" w:eastAsia="Times New Roman" w:hAnsi="Century Gothic" w:cs="Tahoma"/>
          <w:lang w:val="es-ES" w:eastAsia="es-ES"/>
        </w:rPr>
        <w:t xml:space="preserve">, dijo que, conforme a  lo indicado por la Corte Constitucional en relación con el contrato de interventoría, el interventor es un colaborador de la administración que está obligado a verificar que el contrato de obra se ejecute de conformidad con lo convenido por las partes y con las obligaciones previstas en las “condiciones generales del contrato (…) 3. Obligaciones del consultor”, así como con la invitación IDU-ID-GPTN-BMU-524-1999,  suscrita por el Banco Mundial y el IDU, para la interventoría técnica y administrativa para la evaluación y complementación de diseños, rehabilitación de las calzadas de tráfico mixto y adecuación para la operación de Transmilenio en la Autopista Norte, la cual hacía parte del contrato 146 de 2000 y hacía que fuera deber del interventor proteger y defender los intereses públicos con suma diligencia y cuidado, durante la ejecución del contrato de obra; no obstante, </w:t>
      </w:r>
      <w:r w:rsidRPr="001C4E06">
        <w:rPr>
          <w:rFonts w:ascii="Century Gothic" w:eastAsia="Times New Roman" w:hAnsi="Century Gothic" w:cs="Tahoma"/>
          <w:lang w:val="es-ES" w:eastAsia="es-ES"/>
        </w:rPr>
        <w:lastRenderedPageBreak/>
        <w:t xml:space="preserve">según el acta 004 del 28 de junio de 2000 el contratista, la interventora y un representante del IDU decidieron utilizar el relleno fluido como material de renivelación, con lo cual se modificó el diseño previsto por </w:t>
      </w:r>
      <w:r w:rsidRPr="001C4E06">
        <w:rPr>
          <w:rFonts w:ascii="Century Gothic" w:eastAsia="Times New Roman" w:hAnsi="Century Gothic" w:cs="Tahoma"/>
          <w:i/>
          <w:lang w:val="es-ES" w:eastAsia="es-ES"/>
        </w:rPr>
        <w:t>Steer Davies &amp; Gleave</w:t>
      </w:r>
      <w:r w:rsidRPr="001C4E06">
        <w:rPr>
          <w:rFonts w:ascii="Century Gothic" w:eastAsia="Times New Roman" w:hAnsi="Century Gothic" w:cs="Tahoma"/>
          <w:lang w:val="es-ES" w:eastAsia="es-ES"/>
        </w:rPr>
        <w:t xml:space="preserve">, ya que éste había previsto solamente el relleno fluido como material de base y concluyó que no había falsa motivación en los actos demandados, porque </w:t>
      </w:r>
      <w:r w:rsidRPr="001C4E06">
        <w:rPr>
          <w:rFonts w:ascii="Century Gothic" w:eastAsia="Times New Roman" w:hAnsi="Century Gothic" w:cs="Arial"/>
          <w:lang w:val="es-ES" w:eastAsia="es-ES"/>
        </w:rPr>
        <w:t xml:space="preserve">el interventor tenía la </w:t>
      </w:r>
      <w:r w:rsidRPr="001C4E06">
        <w:rPr>
          <w:rFonts w:ascii="Century Gothic" w:eastAsia="Times New Roman" w:hAnsi="Century Gothic" w:cs="Tahoma"/>
          <w:lang w:val="es-ES" w:eastAsia="es-ES"/>
        </w:rPr>
        <w:t xml:space="preserve">obligación de verificar la calidad de los materiales que se utilizarían para la ejecución del contrato de obra, para lo cual debió realizar los respectivos ensayos y experimentar los posibles efectos de la utilización del relleno fluido en la troncal de transmilenio de la autopista norte; “por lo tanto, la actora incumplió sus obligaciones contractuales y actuó con poca diligencia y falta de prudencia sin prever las consecuencias de sus omisiones”. </w:t>
      </w:r>
    </w:p>
    <w:p w14:paraId="25FDBE67" w14:textId="77777777" w:rsidR="001C4E06" w:rsidRPr="001C4E06" w:rsidRDefault="001C4E06" w:rsidP="001C4E06">
      <w:pPr>
        <w:widowControl w:val="0"/>
        <w:overflowPunct w:val="0"/>
        <w:autoSpaceDE w:val="0"/>
        <w:autoSpaceDN w:val="0"/>
        <w:adjustRightInd w:val="0"/>
        <w:spacing w:after="0" w:line="360" w:lineRule="auto"/>
        <w:jc w:val="both"/>
        <w:textAlignment w:val="baseline"/>
        <w:rPr>
          <w:rFonts w:ascii="Century Gothic" w:eastAsia="Times New Roman" w:hAnsi="Century Gothic" w:cs="Arial"/>
          <w:b/>
          <w:lang w:val="es-ES" w:eastAsia="es-ES"/>
        </w:rPr>
      </w:pPr>
      <w:r w:rsidRPr="001C4E06">
        <w:rPr>
          <w:rFonts w:ascii="Century Gothic" w:eastAsia="Times New Roman" w:hAnsi="Century Gothic" w:cs="Tahoma"/>
          <w:lang w:val="es-ES" w:eastAsia="es-ES"/>
        </w:rPr>
        <w:t xml:space="preserve"> </w:t>
      </w:r>
    </w:p>
    <w:p w14:paraId="127E3124" w14:textId="77777777" w:rsidR="001C4E06" w:rsidRPr="001C4E06" w:rsidRDefault="001C4E06" w:rsidP="001C4E06">
      <w:pPr>
        <w:spacing w:after="0" w:line="360" w:lineRule="auto"/>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6.4.-</w:t>
      </w:r>
      <w:r w:rsidRPr="001C4E06">
        <w:rPr>
          <w:rFonts w:ascii="Century Gothic" w:eastAsia="Times New Roman" w:hAnsi="Century Gothic" w:cs="Tahoma"/>
          <w:lang w:val="es-ES" w:eastAsia="es-ES"/>
        </w:rPr>
        <w:t xml:space="preserve"> Respecto al cargo relacionado con el numeral 8 del artículo 24 de la Ley 80 de 1993: el Tribunal reiteró lo referente a la falta de pruebas que permitieran establecer que se afectó el mercado, es decir, insistió en que no se probó que se hubiera impedido el acceso a alguno de los proveedores de materiales similares al relleno fluido, adujo que tampoco se probó la mala fe de la entidad demandada en la suscripción de los convenios con ASOCRETO y agregó que el grave incumplimiento de las obligaciones contractuales por parte del consorcio demandante fue el motivo que llevó al IDU a expedir los actos cuya nulidad se solicita. </w:t>
      </w:r>
    </w:p>
    <w:p w14:paraId="0E2FDCA4" w14:textId="77777777" w:rsidR="001C4E06" w:rsidRPr="001C4E06" w:rsidRDefault="001C4E06" w:rsidP="001C4E06">
      <w:pPr>
        <w:spacing w:after="0" w:line="360" w:lineRule="auto"/>
        <w:ind w:left="720"/>
        <w:jc w:val="both"/>
        <w:rPr>
          <w:rFonts w:ascii="Century Gothic" w:eastAsia="Times New Roman" w:hAnsi="Century Gothic" w:cs="Tahoma"/>
          <w:lang w:val="es-ES" w:eastAsia="es-ES"/>
        </w:rPr>
      </w:pPr>
    </w:p>
    <w:p w14:paraId="5D3039A5" w14:textId="77777777" w:rsidR="001C4E06" w:rsidRPr="001C4E06" w:rsidRDefault="001C4E06" w:rsidP="001C4E06">
      <w:pPr>
        <w:spacing w:after="0" w:line="360" w:lineRule="auto"/>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6.5.-</w:t>
      </w:r>
      <w:r w:rsidRPr="001C4E06">
        <w:rPr>
          <w:rFonts w:ascii="Century Gothic" w:eastAsia="Times New Roman" w:hAnsi="Century Gothic" w:cs="Tahoma"/>
          <w:lang w:val="es-ES" w:eastAsia="es-ES"/>
        </w:rPr>
        <w:t xml:space="preserve"> Frente al cargo relacionado con el artículo 1602 del Código Civil: en lo referente al desconocimiento de las cláusulas 7 de las condiciones generales del contrato y 7.2 de las condiciones especiales del contrato de interventoría: indicó el juez de primera instancia que ellas tenían relación con la forma como debían dirimirse las controversias o diferencias que surgieran con ocasión del desarrollo del contrato, frente  a lo cual consideró que esto ya había sido objeto pronunciamiento al referirse al concepto de vulneración relacionado con el derecho al debido proceso. </w:t>
      </w:r>
    </w:p>
    <w:p w14:paraId="1E206661" w14:textId="77777777" w:rsidR="001C4E06" w:rsidRPr="001C4E06" w:rsidRDefault="001C4E06" w:rsidP="001C4E06">
      <w:pPr>
        <w:spacing w:after="0" w:line="360" w:lineRule="auto"/>
        <w:jc w:val="both"/>
        <w:rPr>
          <w:rFonts w:ascii="Century Gothic" w:eastAsia="Times New Roman" w:hAnsi="Century Gothic" w:cs="Tahoma"/>
          <w:lang w:val="es-ES" w:eastAsia="es-ES"/>
        </w:rPr>
      </w:pPr>
    </w:p>
    <w:p w14:paraId="5C045F3E" w14:textId="77777777" w:rsidR="001C4E06" w:rsidRPr="001C4E06" w:rsidRDefault="001C4E06" w:rsidP="001C4E06">
      <w:pPr>
        <w:spacing w:after="0" w:line="240" w:lineRule="auto"/>
        <w:ind w:right="-1"/>
        <w:jc w:val="both"/>
        <w:rPr>
          <w:rFonts w:ascii="Century Gothic" w:eastAsia="Times New Roman" w:hAnsi="Century Gothic" w:cs="Arial"/>
          <w:b/>
          <w:bCs/>
          <w:color w:val="000000"/>
          <w:lang w:val="es-ES" w:eastAsia="es-ES"/>
        </w:rPr>
      </w:pPr>
      <w:r w:rsidRPr="001C4E06">
        <w:rPr>
          <w:rFonts w:ascii="Century Gothic" w:eastAsia="Times New Roman" w:hAnsi="Century Gothic" w:cs="Arial"/>
          <w:b/>
          <w:bCs/>
          <w:color w:val="000000"/>
          <w:lang w:val="es-ES" w:eastAsia="es-ES"/>
        </w:rPr>
        <w:t xml:space="preserve">7.- El recurso de apelación.- </w:t>
      </w:r>
    </w:p>
    <w:p w14:paraId="2EC6BCB8" w14:textId="77777777" w:rsidR="001C4E06" w:rsidRPr="001C4E06" w:rsidRDefault="001C4E06" w:rsidP="001C4E06">
      <w:pPr>
        <w:spacing w:after="0" w:line="240" w:lineRule="auto"/>
        <w:ind w:right="-1"/>
        <w:jc w:val="both"/>
        <w:rPr>
          <w:rFonts w:ascii="Century Gothic" w:eastAsia="Times New Roman" w:hAnsi="Century Gothic" w:cs="Arial"/>
          <w:b/>
          <w:bCs/>
          <w:color w:val="000000"/>
          <w:lang w:val="es-ES" w:eastAsia="es-ES"/>
        </w:rPr>
      </w:pPr>
    </w:p>
    <w:p w14:paraId="1942A79A" w14:textId="77777777" w:rsidR="001C4E06" w:rsidRPr="001C4E06" w:rsidRDefault="001C4E06" w:rsidP="001C4E06">
      <w:pPr>
        <w:spacing w:after="0" w:line="240" w:lineRule="auto"/>
        <w:ind w:right="-1"/>
        <w:jc w:val="both"/>
        <w:rPr>
          <w:rFonts w:ascii="Century Gothic" w:eastAsia="Times New Roman" w:hAnsi="Century Gothic" w:cs="Arial"/>
          <w:b/>
          <w:bCs/>
          <w:color w:val="000000"/>
          <w:lang w:val="es-ES" w:eastAsia="es-ES"/>
        </w:rPr>
      </w:pPr>
    </w:p>
    <w:p w14:paraId="2D2480BC" w14:textId="77777777" w:rsidR="001C4E06" w:rsidRPr="001C4E06" w:rsidRDefault="001C4E06" w:rsidP="001C4E06">
      <w:pPr>
        <w:spacing w:after="0" w:line="360" w:lineRule="auto"/>
        <w:ind w:right="-1"/>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Inconforme con la anterior decisión, la parte actora, dentro de la oportunidad prevista por el ordenamiento jurídico, interpuso y sustentó recurso de apelación contra la sentencia del 5 de agosto de 2009; al efecto, hizo un recuento del trámite procesal dado a la presente litis y adujo como argumentos de inconformidad los siguientes:</w:t>
      </w:r>
    </w:p>
    <w:p w14:paraId="6C6B7234" w14:textId="77777777" w:rsidR="001C4E06" w:rsidRPr="001C4E06" w:rsidRDefault="001C4E06" w:rsidP="001C4E06">
      <w:pPr>
        <w:spacing w:after="0" w:line="360" w:lineRule="auto"/>
        <w:ind w:right="-1"/>
        <w:jc w:val="both"/>
        <w:rPr>
          <w:rFonts w:ascii="Century Gothic" w:eastAsia="Times New Roman" w:hAnsi="Century Gothic" w:cs="Tahoma"/>
          <w:lang w:val="es-ES" w:eastAsia="es-ES"/>
        </w:rPr>
      </w:pPr>
    </w:p>
    <w:p w14:paraId="710920C9" w14:textId="77777777" w:rsidR="001C4E06" w:rsidRPr="001C4E06" w:rsidRDefault="001C4E06" w:rsidP="001C4E06">
      <w:pPr>
        <w:spacing w:after="0" w:line="360" w:lineRule="auto"/>
        <w:ind w:right="-1"/>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7.1.-</w:t>
      </w:r>
      <w:r w:rsidRPr="001C4E06">
        <w:rPr>
          <w:rFonts w:ascii="Century Gothic" w:eastAsia="Times New Roman" w:hAnsi="Century Gothic" w:cs="Tahoma"/>
          <w:lang w:val="es-ES" w:eastAsia="es-ES"/>
        </w:rPr>
        <w:t xml:space="preserve"> Nulidad de la sentencia, por omitir el pronunciamiento sobre la audiencia de alegatos solicitada: señaló el apelante que solicitó en el escrito de alegaciones la celebración de una audiencia de alegatos, con fundamento en el artículo 147 del CCA, </w:t>
      </w:r>
      <w:r w:rsidRPr="001C4E06">
        <w:rPr>
          <w:rFonts w:ascii="Century Gothic" w:eastAsia="Times New Roman" w:hAnsi="Century Gothic" w:cs="Tahoma"/>
          <w:lang w:val="es-ES" w:eastAsia="es-ES"/>
        </w:rPr>
        <w:lastRenderedPageBreak/>
        <w:t xml:space="preserve">con el fin de exponer verbalmente los argumentos de la demanda y así dilucidar los cuestionamientos formulados por el IDU; pero, el juez de primera instancia profirió sentencia sin hacer pronunciamiento alguno sobre esta petición, vulnerando de esta manera el debido proceso y, además, infringiendo el artículo 6 del CPC, lo que la hace nula por darse lo previsto en el numeral 6 del artículo 140 ibídem. </w:t>
      </w:r>
    </w:p>
    <w:p w14:paraId="063BAE71" w14:textId="77777777" w:rsidR="001C4E06" w:rsidRPr="001C4E06" w:rsidRDefault="001C4E06" w:rsidP="001C4E06">
      <w:pPr>
        <w:spacing w:after="0" w:line="360" w:lineRule="auto"/>
        <w:ind w:left="720" w:right="-1"/>
        <w:jc w:val="both"/>
        <w:rPr>
          <w:rFonts w:ascii="Century Gothic" w:eastAsia="Times New Roman" w:hAnsi="Century Gothic" w:cs="Tahoma"/>
          <w:lang w:val="es-ES" w:eastAsia="es-ES"/>
        </w:rPr>
      </w:pPr>
    </w:p>
    <w:p w14:paraId="3A9FDC6C" w14:textId="77777777" w:rsidR="001C4E06" w:rsidRPr="001C4E06" w:rsidRDefault="001C4E06" w:rsidP="001C4E06">
      <w:pPr>
        <w:spacing w:after="0" w:line="360" w:lineRule="auto"/>
        <w:ind w:right="-1"/>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7.2.-</w:t>
      </w:r>
      <w:r w:rsidRPr="001C4E06">
        <w:rPr>
          <w:rFonts w:ascii="Century Gothic" w:eastAsia="Times New Roman" w:hAnsi="Century Gothic" w:cs="Tahoma"/>
          <w:lang w:val="es-ES" w:eastAsia="es-ES"/>
        </w:rPr>
        <w:t xml:space="preserve"> Violación al debido proceso con la expedición de las dos resoluciones: el recurrente dijo al respecto que la entidad demandada hizo caso omiso de lo consignado en las cláusulas 7 de las condiciones generales del contrato de interventoría y 7.2 de las condiciones especiales del contrato, referentes a la solución de controversias entre las partes y a las cuales debió sujetarse el IDU para la declaratoria del incumplimiento imputado al contratista, por lo que difiere de la decisión tomada por el Tribunal en primera instancia, pues, en su opinión, éste desconoció el ordenamiento jurídico interno y la jerarquía normativa a que se encuentra sometido este tipo de contratos, toda vez que se debió dar prevalencia a la voluntad de las partes, la cual era vinculante para los contratantes y contaba con pleno soporte legal, por lo cual se trataba de una obligación que se debía observar plenamente y no de forma discrecional, de modo que se vulneraron los artículos 13 de la Ley 80 de 1993, 1602 del Código Civil y 29 de la Carta Política.</w:t>
      </w:r>
    </w:p>
    <w:p w14:paraId="21D7FDFE" w14:textId="77777777" w:rsidR="001C4E06" w:rsidRPr="001C4E06" w:rsidRDefault="001C4E06" w:rsidP="001C4E06">
      <w:pPr>
        <w:spacing w:after="0" w:line="360" w:lineRule="auto"/>
        <w:ind w:left="720" w:right="-1"/>
        <w:jc w:val="both"/>
        <w:rPr>
          <w:rFonts w:ascii="Century Gothic" w:eastAsia="Times New Roman" w:hAnsi="Century Gothic" w:cs="Tahoma"/>
          <w:lang w:val="es-ES" w:eastAsia="es-ES"/>
        </w:rPr>
      </w:pPr>
    </w:p>
    <w:p w14:paraId="7637BC2E" w14:textId="77777777" w:rsidR="001C4E06" w:rsidRPr="001C4E06" w:rsidRDefault="001C4E06" w:rsidP="001C4E06">
      <w:pPr>
        <w:spacing w:after="0" w:line="360" w:lineRule="auto"/>
        <w:ind w:right="-1"/>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7.3.-</w:t>
      </w:r>
      <w:r w:rsidRPr="001C4E06">
        <w:rPr>
          <w:rFonts w:ascii="Century Gothic" w:eastAsia="Times New Roman" w:hAnsi="Century Gothic" w:cs="Tahoma"/>
          <w:lang w:val="es-ES" w:eastAsia="es-ES"/>
        </w:rPr>
        <w:t xml:space="preserve"> Violación del artículo 209 de la Constitución Política,  por apartarse de los fines de la contratación estatal: manifestó el recurrente su inconformismo con la decisión del a quo, ya que éste asumió que el reproche realizado por la parte actora se orientaba a señalar que el IDU había afectado la libre competencia dentro del mercado, a favor de quienes suministraron el relleno fluido, lo cual difiere sustancialmente de lo expuesto en la demanda, ya que lo que se alegó  en ésta fue la actuación irregular de los funcionarios del IDU y la violación de los principios señalados en el artículo 209 de la Constitución Política, especialmente los de moralidad, economía, imparcialidad y publicidad, al reemplazar en los pliegos de condiciones el pavimento asfáltico por relleno fluido y variar la resistencia de éste (60Kg/cm</w:t>
      </w:r>
      <w:r w:rsidRPr="001C4E06">
        <w:rPr>
          <w:rFonts w:ascii="Century Gothic" w:eastAsia="Times New Roman" w:hAnsi="Century Gothic" w:cs="Tahoma"/>
          <w:vertAlign w:val="superscript"/>
          <w:lang w:val="es-ES" w:eastAsia="es-ES"/>
        </w:rPr>
        <w:t>2</w:t>
      </w:r>
      <w:r w:rsidRPr="001C4E06">
        <w:rPr>
          <w:rFonts w:ascii="Century Gothic" w:eastAsia="Times New Roman" w:hAnsi="Century Gothic" w:cs="Tahoma"/>
          <w:lang w:val="es-ES" w:eastAsia="es-ES"/>
        </w:rPr>
        <w:t xml:space="preserve"> a 30Kg/cm</w:t>
      </w:r>
      <w:r w:rsidRPr="001C4E06">
        <w:rPr>
          <w:rFonts w:ascii="Century Gothic" w:eastAsia="Times New Roman" w:hAnsi="Century Gothic" w:cs="Tahoma"/>
          <w:vertAlign w:val="superscript"/>
          <w:lang w:val="es-ES" w:eastAsia="es-ES"/>
        </w:rPr>
        <w:t>2</w:t>
      </w:r>
      <w:r w:rsidRPr="001C4E06">
        <w:rPr>
          <w:rFonts w:ascii="Century Gothic" w:eastAsia="Times New Roman" w:hAnsi="Century Gothic" w:cs="Tahoma"/>
          <w:lang w:val="es-ES" w:eastAsia="es-ES"/>
        </w:rPr>
        <w:t>) con lo cual se modificaron las especificaciones del diseñador, con la asesoría de ASOCRETO.</w:t>
      </w:r>
    </w:p>
    <w:p w14:paraId="533B38C8" w14:textId="77777777" w:rsidR="001C4E06" w:rsidRPr="001C4E06" w:rsidRDefault="001C4E06" w:rsidP="001C4E06">
      <w:pPr>
        <w:spacing w:after="0" w:line="360" w:lineRule="auto"/>
        <w:ind w:right="-1"/>
        <w:jc w:val="both"/>
        <w:rPr>
          <w:rFonts w:ascii="Century Gothic" w:eastAsia="Times New Roman" w:hAnsi="Century Gothic" w:cs="Tahoma"/>
          <w:lang w:val="es-ES" w:eastAsia="es-ES"/>
        </w:rPr>
      </w:pPr>
    </w:p>
    <w:p w14:paraId="21FE251A" w14:textId="77777777" w:rsidR="001C4E06" w:rsidRPr="001C4E06" w:rsidRDefault="001C4E06" w:rsidP="001C4E06">
      <w:pPr>
        <w:spacing w:after="0" w:line="360" w:lineRule="auto"/>
        <w:ind w:right="-1"/>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 xml:space="preserve">Frente al argumento expuesto por el juez de primera instancia en torno a que la interventoría estuvo de acuerdo con la utilización del relleno fluido, adujo el actor que se omitió estudiar y controvertir los análisis y argumentos expuestos en la demanda y en los alegatos de conclusión, ya que los documentos obrantes en el proceso evidencian que la decisión de utilizar el relleno fluido estaba tomada desde antes del inicio de las </w:t>
      </w:r>
      <w:r w:rsidRPr="001C4E06">
        <w:rPr>
          <w:rFonts w:ascii="Century Gothic" w:eastAsia="Times New Roman" w:hAnsi="Century Gothic" w:cs="Tahoma"/>
          <w:lang w:val="es-ES" w:eastAsia="es-ES"/>
        </w:rPr>
        <w:lastRenderedPageBreak/>
        <w:t xml:space="preserve">obras y estaba influenciada por razones e intereses personales,  sin participación alguna de la interventoría. </w:t>
      </w:r>
    </w:p>
    <w:p w14:paraId="2DE2251F" w14:textId="77777777" w:rsidR="001C4E06" w:rsidRPr="001C4E06" w:rsidRDefault="001C4E06" w:rsidP="001C4E06">
      <w:pPr>
        <w:spacing w:after="0" w:line="360" w:lineRule="auto"/>
        <w:ind w:right="-1"/>
        <w:jc w:val="both"/>
        <w:rPr>
          <w:rFonts w:ascii="Century Gothic" w:eastAsia="Times New Roman" w:hAnsi="Century Gothic" w:cs="Tahoma"/>
          <w:lang w:val="es-ES" w:eastAsia="es-ES"/>
        </w:rPr>
      </w:pPr>
    </w:p>
    <w:p w14:paraId="57B6E576" w14:textId="77777777" w:rsidR="001C4E06" w:rsidRPr="001C4E06" w:rsidRDefault="001C4E06" w:rsidP="001C4E06">
      <w:pPr>
        <w:spacing w:after="0" w:line="360" w:lineRule="auto"/>
        <w:ind w:right="-1"/>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7.4.-</w:t>
      </w:r>
      <w:r w:rsidRPr="001C4E06">
        <w:rPr>
          <w:rFonts w:ascii="Century Gothic" w:eastAsia="Times New Roman" w:hAnsi="Century Gothic" w:cs="Tahoma"/>
          <w:lang w:val="es-ES" w:eastAsia="es-ES"/>
        </w:rPr>
        <w:t xml:space="preserve"> Violación del artículo 84 del Código Contencioso Administrativo, por falsa motivación: para ilustrar su inconformismo con la sentencia de primera instancia, el apelante transcribió lo expuesto en la demanda frente a la vulneración de la citada norma y afirmó que con ello se desvirtúa la acusación del IDU de que fueron los contratistas de obra y la interventoría quienes decidieron el empleo del relleno fluido y que fue en el comité de seguimiento No. 4 donde se tomó la decisión. </w:t>
      </w:r>
    </w:p>
    <w:p w14:paraId="1E8DB97C" w14:textId="77777777" w:rsidR="001C4E06" w:rsidRPr="001C4E06" w:rsidRDefault="001C4E06" w:rsidP="001C4E06">
      <w:pPr>
        <w:spacing w:after="0" w:line="360" w:lineRule="auto"/>
        <w:ind w:left="720" w:right="-1"/>
        <w:jc w:val="both"/>
        <w:rPr>
          <w:rFonts w:ascii="Century Gothic" w:eastAsia="Times New Roman" w:hAnsi="Century Gothic" w:cs="Tahoma"/>
          <w:lang w:val="es-ES" w:eastAsia="es-ES"/>
        </w:rPr>
      </w:pPr>
    </w:p>
    <w:p w14:paraId="3E1186D0" w14:textId="77777777" w:rsidR="001C4E06" w:rsidRPr="001C4E06" w:rsidRDefault="001C4E06" w:rsidP="001C4E06">
      <w:pPr>
        <w:spacing w:after="0" w:line="360" w:lineRule="auto"/>
        <w:ind w:right="-1"/>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Así mismo, arguyó que, según el Tribunal de primera instancia, la actora estaba obligada a ejercer la interventoría técnica, administrativa y financiera para la evaluación y complementación de los diseños de las calzadas de tráfico mixto y adecuación para la operación de Transmilenio en la Autopista Norte, lo cual no realizó en su totalidad, especialmente frente a los materiales que se iban a utilizar en  la obra, aspecto del que difiere el recurrente, por cuanto -dice-</w:t>
      </w:r>
      <w:r w:rsidRPr="001C4E06">
        <w:rPr>
          <w:rFonts w:ascii="Century Gothic" w:eastAsia="Times New Roman" w:hAnsi="Century Gothic" w:cs="Tahoma"/>
          <w:b/>
          <w:lang w:val="es-ES" w:eastAsia="es-ES"/>
        </w:rPr>
        <w:t xml:space="preserve"> </w:t>
      </w:r>
      <w:r w:rsidRPr="001C4E06">
        <w:rPr>
          <w:rFonts w:ascii="Century Gothic" w:eastAsia="Times New Roman" w:hAnsi="Century Gothic" w:cs="Tahoma"/>
          <w:lang w:val="es-ES" w:eastAsia="es-ES"/>
        </w:rPr>
        <w:t>se debieron contextualizar sus argumentos dentro del marco específico del contrato de interventoría y analizar las pruebas aportadas frente al control de calidad de los materiales que realizó la interventoría, las cuales demuestran el cumplimiento total de sus obligaciones.</w:t>
      </w:r>
    </w:p>
    <w:p w14:paraId="416DBF51" w14:textId="77777777" w:rsidR="001C4E06" w:rsidRPr="001C4E06" w:rsidRDefault="001C4E06" w:rsidP="001C4E06">
      <w:pPr>
        <w:spacing w:after="0" w:line="360" w:lineRule="auto"/>
        <w:ind w:right="-1"/>
        <w:jc w:val="both"/>
        <w:rPr>
          <w:rFonts w:ascii="Century Gothic" w:eastAsia="Times New Roman" w:hAnsi="Century Gothic" w:cs="Tahoma"/>
          <w:lang w:val="es-ES" w:eastAsia="es-ES"/>
        </w:rPr>
      </w:pPr>
    </w:p>
    <w:p w14:paraId="2A515387" w14:textId="77777777" w:rsidR="001C4E06" w:rsidRPr="001C4E06" w:rsidRDefault="001C4E06" w:rsidP="001C4E06">
      <w:pPr>
        <w:spacing w:after="0" w:line="360" w:lineRule="auto"/>
        <w:ind w:right="-1"/>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 xml:space="preserve">Del mismo modo, expresó el recurrente que se configuró la causal de nulidad de desviación de poder, en la que incurrieron los funcionarios del IDU al expedir los actos demandados, como quiera que no se preservaron los fines señalados en la Constitución y la ley, tema que no analizó debidamente el juez de primera instancia, quien asumió que se trataba de un asunto de restricción a la libre competencia que no se logró probar, sin analizar que todas las pruebas relacionadas con este punto lograban demostrar que, al imponer de manera directa o indirecta el uso del relleno fluido en las obras de la Autopista Norte, los funcionarios del IDU obraron con un interés personal, lo cual nada tiene que ver con la afectación o no del mercado.  </w:t>
      </w:r>
    </w:p>
    <w:p w14:paraId="0CFE385D" w14:textId="77777777" w:rsidR="001C4E06" w:rsidRPr="001C4E06" w:rsidRDefault="001C4E06" w:rsidP="001C4E06">
      <w:pPr>
        <w:spacing w:after="0" w:line="360" w:lineRule="auto"/>
        <w:ind w:left="720" w:right="-1"/>
        <w:jc w:val="both"/>
        <w:rPr>
          <w:rFonts w:ascii="Century Gothic" w:eastAsia="Times New Roman" w:hAnsi="Century Gothic" w:cs="Tahoma"/>
          <w:lang w:val="es-ES" w:eastAsia="es-ES"/>
        </w:rPr>
      </w:pPr>
    </w:p>
    <w:p w14:paraId="0FC504DB" w14:textId="77777777" w:rsidR="001C4E06" w:rsidRPr="001C4E06" w:rsidRDefault="001C4E06" w:rsidP="001C4E06">
      <w:pPr>
        <w:spacing w:after="0" w:line="360" w:lineRule="auto"/>
        <w:ind w:right="-1"/>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Indicó, además, que el Acta No. 5 del Comité de Seguimiento Semanal demuestra la cercanía entre los funcionarios del IDU y los proveedores del material (ASOCRETO), ya que aquél (el IDU) aceptaba y daba por ciertos los postulados de estos últimos y no puede manifestar el IDU, por consiguiente, que el interventor y el contratista de la obra fueron quienes de manera voluntaria tomaron la decisión de usar el relleno fluido.</w:t>
      </w:r>
    </w:p>
    <w:p w14:paraId="1457FA76" w14:textId="77777777" w:rsidR="001C4E06" w:rsidRPr="001C4E06" w:rsidRDefault="001C4E06" w:rsidP="001C4E06">
      <w:pPr>
        <w:spacing w:after="0" w:line="360" w:lineRule="auto"/>
        <w:ind w:left="720" w:right="-1"/>
        <w:jc w:val="both"/>
        <w:rPr>
          <w:rFonts w:ascii="Century Gothic" w:eastAsia="Times New Roman" w:hAnsi="Century Gothic" w:cs="Tahoma"/>
          <w:lang w:val="es-ES" w:eastAsia="es-ES"/>
        </w:rPr>
      </w:pPr>
    </w:p>
    <w:p w14:paraId="0E303D7D" w14:textId="77777777" w:rsidR="001C4E06" w:rsidRPr="001C4E06" w:rsidRDefault="001C4E06" w:rsidP="001C4E06">
      <w:pPr>
        <w:spacing w:after="0" w:line="360" w:lineRule="auto"/>
        <w:ind w:right="-1"/>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lastRenderedPageBreak/>
        <w:t>7.5.-</w:t>
      </w:r>
      <w:r w:rsidRPr="001C4E06">
        <w:rPr>
          <w:rFonts w:ascii="Century Gothic" w:eastAsia="Times New Roman" w:hAnsi="Century Gothic" w:cs="Tahoma"/>
          <w:lang w:val="es-ES" w:eastAsia="es-ES"/>
        </w:rPr>
        <w:t xml:space="preserve"> Código Civil, artículo 1602: las razones del recurso respecto a este punto son las ya señaladas en el numeral 7.2. precedente (violación al debido proceso con la expedición de las resoluciones).</w:t>
      </w:r>
    </w:p>
    <w:p w14:paraId="6BB395DC" w14:textId="77777777" w:rsidR="001C4E06" w:rsidRPr="001C4E06" w:rsidRDefault="001C4E06" w:rsidP="001C4E06">
      <w:pPr>
        <w:spacing w:after="0" w:line="360" w:lineRule="auto"/>
        <w:ind w:right="79"/>
        <w:jc w:val="both"/>
        <w:rPr>
          <w:rFonts w:ascii="Century Gothic" w:eastAsia="Times New Roman" w:hAnsi="Century Gothic" w:cs="Tahoma"/>
          <w:b/>
          <w:lang w:val="es-ES" w:eastAsia="es-ES"/>
        </w:rPr>
      </w:pPr>
    </w:p>
    <w:p w14:paraId="638914A0" w14:textId="77777777" w:rsidR="001C4E06" w:rsidRPr="001C4E06" w:rsidRDefault="001C4E06" w:rsidP="001C4E06">
      <w:pPr>
        <w:spacing w:after="0" w:line="360" w:lineRule="auto"/>
        <w:ind w:right="79"/>
        <w:jc w:val="both"/>
        <w:rPr>
          <w:rFonts w:ascii="Century Gothic" w:eastAsia="Times New Roman" w:hAnsi="Century Gothic" w:cs="Tahoma"/>
          <w:b/>
          <w:lang w:val="es-ES" w:eastAsia="es-ES"/>
        </w:rPr>
      </w:pPr>
      <w:r w:rsidRPr="001C4E06">
        <w:rPr>
          <w:rFonts w:ascii="Century Gothic" w:eastAsia="Times New Roman" w:hAnsi="Century Gothic" w:cs="Tahoma"/>
          <w:b/>
          <w:lang w:val="es-ES" w:eastAsia="es-ES"/>
        </w:rPr>
        <w:t xml:space="preserve">8.- Trámite de segunda instancia.- </w:t>
      </w:r>
    </w:p>
    <w:p w14:paraId="1CE93A22" w14:textId="77777777" w:rsidR="001C4E06" w:rsidRPr="001C4E06" w:rsidRDefault="001C4E06" w:rsidP="001C4E06">
      <w:pPr>
        <w:spacing w:after="0" w:line="360" w:lineRule="auto"/>
        <w:ind w:right="79"/>
        <w:jc w:val="both"/>
        <w:rPr>
          <w:rFonts w:ascii="Century Gothic" w:eastAsia="Times New Roman" w:hAnsi="Century Gothic" w:cs="Tahoma"/>
          <w:b/>
          <w:lang w:val="es-ES" w:eastAsia="es-ES"/>
        </w:rPr>
      </w:pPr>
    </w:p>
    <w:p w14:paraId="3A67F56E"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 xml:space="preserve">El recurso se concedió el 7 de octubre de 2009 y el 18 de febrero de 2010 se corrió traslado para que se sustentara, se admitió el 15 de abril de ese mismo año y se corrió traslado para alegar el 2 de junio de 2010. </w:t>
      </w:r>
    </w:p>
    <w:p w14:paraId="413F56F3"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p>
    <w:p w14:paraId="35F787E3"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8.1.- La parte actora</w:t>
      </w:r>
      <w:r w:rsidRPr="001C4E06">
        <w:rPr>
          <w:rFonts w:ascii="Century Gothic" w:eastAsia="Times New Roman" w:hAnsi="Century Gothic" w:cs="Tahoma"/>
          <w:lang w:val="es-ES" w:eastAsia="es-ES"/>
        </w:rPr>
        <w:t xml:space="preserve">, en su escrito de alegatos, reiteró lo manifestado en el recurso de apelación y adicionó a sus argumentos que la interventoría no determinó ni aprobó el uso del relleno fluido, lo cual se encontraba fuera de sus competencias, y que fue IDU quien adoptó tal decisión. </w:t>
      </w:r>
    </w:p>
    <w:p w14:paraId="7424E09C"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p>
    <w:p w14:paraId="45C9B602"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 xml:space="preserve">Manifestó que el IDU: “introdujo un cambio fundamental en las especificaciones del material, al reducir su resistencia de 60 Kg/cam2 a 30 kg/cm2, hecho que contribuyó decisivamente en el deterioro prematuro de las losas de la vía, y en el cual tampoco tuvo participación la interventoría”. </w:t>
      </w:r>
    </w:p>
    <w:p w14:paraId="665855F2"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p>
    <w:p w14:paraId="65E62258"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 xml:space="preserve">Así mismo, dijo que la sentencia recurrida le atribuyó la responsabilidad al interventor por los daños en los carriles 1 y 8, sin tener en cuenta que fue el propio IDU el que liberó de responsabilidad a la interventoría por los daños ocurridos en los referidos carriles, al señalar en la Resolución 6056 de 2005 que </w:t>
      </w:r>
      <w:r w:rsidRPr="001C4E06">
        <w:rPr>
          <w:rFonts w:ascii="Century Gothic" w:eastAsia="Times New Roman" w:hAnsi="Century Gothic" w:cs="Tahoma"/>
          <w:i/>
          <w:lang w:val="es-ES" w:eastAsia="es-ES"/>
        </w:rPr>
        <w:t>“ningún daño de esto es cobrado mediante esta garantía”</w:t>
      </w:r>
      <w:r w:rsidRPr="001C4E06">
        <w:rPr>
          <w:rFonts w:ascii="Century Gothic" w:eastAsia="Times New Roman" w:hAnsi="Century Gothic" w:cs="Tahoma"/>
          <w:lang w:val="es-ES" w:eastAsia="es-ES"/>
        </w:rPr>
        <w:t xml:space="preserve">. </w:t>
      </w:r>
    </w:p>
    <w:p w14:paraId="48C0665B"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p>
    <w:p w14:paraId="1823897A"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Igualmente, hizo referencia a la comunicación IDU-104914 DTL – 6000 dirigida al Presidente de CEMEX SA, fechada el 22 de junio de 2004, donde la Directora General del IDU concluyó lo siguiente:</w:t>
      </w:r>
    </w:p>
    <w:p w14:paraId="265DCDB0"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p>
    <w:p w14:paraId="77A88D89" w14:textId="77777777" w:rsidR="001C4E06" w:rsidRPr="001C4E06" w:rsidRDefault="001C4E06" w:rsidP="001C4E06">
      <w:pPr>
        <w:spacing w:after="0" w:line="360" w:lineRule="auto"/>
        <w:ind w:left="567" w:right="79"/>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 xml:space="preserve">“Las obras contratas (sic) debían servir a la ciudad durante veinte años, propósito que no pudo cumplirse por haber utilizado en su construcción relleno fluido, como lo corroboran los informes técnicos en poder del IDU </w:t>
      </w:r>
      <w:r w:rsidRPr="001C4E06">
        <w:rPr>
          <w:rFonts w:ascii="Century Gothic" w:eastAsia="Times New Roman" w:hAnsi="Century Gothic" w:cs="Tahoma"/>
          <w:u w:val="single"/>
          <w:lang w:val="es-ES" w:eastAsia="es-ES"/>
        </w:rPr>
        <w:t>material que se utilizó por recomendación expresa de ASOCRETO</w:t>
      </w:r>
      <w:r w:rsidRPr="001C4E06">
        <w:rPr>
          <w:rFonts w:ascii="Century Gothic" w:eastAsia="Times New Roman" w:hAnsi="Century Gothic" w:cs="Tahoma"/>
          <w:lang w:val="es-ES" w:eastAsia="es-ES"/>
        </w:rPr>
        <w:t>, entidad que agremia a los productores de concreto entre los que se incluye CEMEX.</w:t>
      </w:r>
    </w:p>
    <w:p w14:paraId="184AAE3E" w14:textId="77777777" w:rsidR="001C4E06" w:rsidRPr="001C4E06" w:rsidRDefault="001C4E06" w:rsidP="001C4E06">
      <w:pPr>
        <w:spacing w:after="0" w:line="360" w:lineRule="auto"/>
        <w:ind w:left="567" w:right="79"/>
        <w:jc w:val="both"/>
        <w:rPr>
          <w:rFonts w:ascii="Century Gothic" w:eastAsia="Times New Roman" w:hAnsi="Century Gothic" w:cs="Tahoma"/>
          <w:lang w:val="es-ES" w:eastAsia="es-ES"/>
        </w:rPr>
      </w:pPr>
    </w:p>
    <w:p w14:paraId="040B428A" w14:textId="77777777" w:rsidR="001C4E06" w:rsidRPr="001C4E06" w:rsidRDefault="001C4E06" w:rsidP="001C4E06">
      <w:pPr>
        <w:spacing w:after="0" w:line="360" w:lineRule="auto"/>
        <w:ind w:left="567" w:right="79"/>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w:t>
      </w:r>
    </w:p>
    <w:p w14:paraId="3F045C95" w14:textId="77777777" w:rsidR="001C4E06" w:rsidRPr="001C4E06" w:rsidRDefault="001C4E06" w:rsidP="001C4E06">
      <w:pPr>
        <w:spacing w:after="0" w:line="360" w:lineRule="auto"/>
        <w:ind w:left="567" w:right="79"/>
        <w:jc w:val="both"/>
        <w:rPr>
          <w:rFonts w:ascii="Century Gothic" w:eastAsia="Times New Roman" w:hAnsi="Century Gothic" w:cs="Tahoma"/>
          <w:lang w:val="es-ES" w:eastAsia="es-ES"/>
        </w:rPr>
      </w:pPr>
    </w:p>
    <w:p w14:paraId="25609FAA" w14:textId="77777777" w:rsidR="001C4E06" w:rsidRPr="001C4E06" w:rsidRDefault="001C4E06" w:rsidP="001C4E06">
      <w:pPr>
        <w:spacing w:after="0" w:line="360" w:lineRule="auto"/>
        <w:ind w:left="567" w:right="79"/>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lastRenderedPageBreak/>
        <w:t xml:space="preserve">“Ante la afirmación de que CEMEX sólo está en condiciones de garantizar los productos que suministra siempre que sean correctamente aplicados, vale la pena señalar que el </w:t>
      </w:r>
      <w:r w:rsidRPr="001C4E06">
        <w:rPr>
          <w:rFonts w:ascii="Century Gothic" w:eastAsia="Times New Roman" w:hAnsi="Century Gothic" w:cs="Tahoma"/>
          <w:b/>
          <w:lang w:val="es-ES" w:eastAsia="es-ES"/>
        </w:rPr>
        <w:t>relleno fluido, suministrado por CEMEX, falló no porque su aplicación fuera inadecuada, sino porque el material no cumplió con las especificaciones pregonadas por ASOCRETO y CEMEX, en especial la relativa a que se trataba de un producto que no se erosionaba en presencia de agua</w:t>
      </w:r>
      <w:r w:rsidRPr="001C4E06">
        <w:rPr>
          <w:rFonts w:ascii="Century Gothic" w:eastAsia="Times New Roman" w:hAnsi="Century Gothic" w:cs="Tahoma"/>
          <w:lang w:val="es-ES" w:eastAsia="es-ES"/>
        </w:rPr>
        <w:t>” (negrillas fuera de texto).</w:t>
      </w:r>
    </w:p>
    <w:p w14:paraId="06DA06F1"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p>
    <w:p w14:paraId="7548F848"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 xml:space="preserve">Así mismo, expuso que fue irregular que el IDU celebrara convenios de asesorías con ASOCRETO para el aseguramiento de la calidad de los pavimentos rígidos, mientras, de manera simultánea, adelantaba conversaciones comerciales con esa agremiación para la venta de productos de sus asociados, entre ellos el relleno fluido, lo que demuestra que la conducta de los funcionarios del IDU se alejó de los fines de la contratación y, por consiguiente, se configuran la desviación y el abuso de poder alegados y que el Tribunal no analizó debidamente. </w:t>
      </w:r>
    </w:p>
    <w:p w14:paraId="0B69CCDC"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p>
    <w:p w14:paraId="74E4BA35"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8.2.- Por su parte, el Instituto de Desarrollo Urbano -IDU-</w:t>
      </w:r>
      <w:r w:rsidRPr="001C4E06">
        <w:rPr>
          <w:rFonts w:ascii="Century Gothic" w:eastAsia="Times New Roman" w:hAnsi="Century Gothic" w:cs="Tahoma"/>
          <w:lang w:val="es-ES" w:eastAsia="es-ES"/>
        </w:rPr>
        <w:t xml:space="preserve"> solicitó que se confirmara la sentencia de primera instancia, al considerar que los fundamentos de la demanda y de la apelación carecen de fundamento legal, fáctico y probatorio, para lo cual puntualizó lo siguiente:</w:t>
      </w:r>
    </w:p>
    <w:p w14:paraId="05C87C7E"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p>
    <w:p w14:paraId="775C9D5A"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8.2.1.-</w:t>
      </w:r>
      <w:r w:rsidRPr="001C4E06">
        <w:rPr>
          <w:rFonts w:ascii="Century Gothic" w:eastAsia="Times New Roman" w:hAnsi="Century Gothic" w:cs="Tahoma"/>
          <w:lang w:val="es-ES" w:eastAsia="es-ES"/>
        </w:rPr>
        <w:t xml:space="preserve"> En cuanto a la presunta nulidad de la sentencia, por omitir pronunciarse sobre la solicitud de audiencia de alegatos, indicó que ésta no es obligatoria y que su fin es dilucidar puntos de hecho o de derecho, pero lo que evidencia la solicitud planteada por el actor es que éste buscaba reiterar lo manifestado en la demanda y tener la oportunidad de presentar sus alegatos de conclusión, a lo cual se agrega  que el numeral 6 del artículo 140 del CPC señala como causal de nulidad la omisión de los términos u oportunidades para pedir o practicar pruebas, o para formular alegatos de conclusión, referido esto a las etapas propias de la ley para cada especie de proceso y no a una eventual audiencia, la cual es discrecional; así mismo, dijo que, en gracia de discusión, la referida nulidad se debía considerar saneada, teniendo en cuenta que se corrió traslado para alegar de conclusión, etapa en la que el demandante tuvo la oportunidad procesal  de decir todo lo que tenía favorable a la defensa de sus intereses.</w:t>
      </w:r>
    </w:p>
    <w:p w14:paraId="370D6CA6" w14:textId="77777777" w:rsidR="001C4E06" w:rsidRPr="001C4E06" w:rsidRDefault="001C4E06" w:rsidP="001C4E06">
      <w:pPr>
        <w:spacing w:after="0" w:line="360" w:lineRule="auto"/>
        <w:ind w:left="720" w:right="79"/>
        <w:jc w:val="both"/>
        <w:rPr>
          <w:rFonts w:ascii="Century Gothic" w:eastAsia="Times New Roman" w:hAnsi="Century Gothic" w:cs="Tahoma"/>
          <w:lang w:val="es-ES" w:eastAsia="es-ES"/>
        </w:rPr>
      </w:pPr>
    </w:p>
    <w:p w14:paraId="190DE5F6"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8.2.2.-</w:t>
      </w:r>
      <w:r w:rsidRPr="001C4E06">
        <w:rPr>
          <w:rFonts w:ascii="Century Gothic" w:eastAsia="Times New Roman" w:hAnsi="Century Gothic" w:cs="Tahoma"/>
          <w:lang w:val="es-ES" w:eastAsia="es-ES"/>
        </w:rPr>
        <w:t xml:space="preserve"> Sobre la presunta violación al debido proceso del actor, originada en la expedición de las resoluciones demandadas con omisión de la cláusula 7 de las condiciones generales del contrato de interventoría, señaló que el IDU actuó durante el proceso de aplicación de la garantía única en amparo de calidad dentro del marco </w:t>
      </w:r>
      <w:r w:rsidRPr="001C4E06">
        <w:rPr>
          <w:rFonts w:ascii="Century Gothic" w:eastAsia="Times New Roman" w:hAnsi="Century Gothic" w:cs="Tahoma"/>
          <w:lang w:val="es-ES" w:eastAsia="es-ES"/>
        </w:rPr>
        <w:lastRenderedPageBreak/>
        <w:t xml:space="preserve">de la legalidad y le permitió al consorcio demandante el ejercicio de su derecho de defensa; además, actuó en cumplimiento de los fines de la contratación estatal y del Estado mismo, sin que la cláusula gozara de carácter obligatorio, sino facultativo, siendo así legal el procedimiento para declarar el siniestro y cobrar la garantía, pues cuenta con fundamento legal y  jurisprudencial. </w:t>
      </w:r>
    </w:p>
    <w:p w14:paraId="453BD70C" w14:textId="77777777" w:rsidR="001C4E06" w:rsidRPr="001C4E06" w:rsidRDefault="001C4E06" w:rsidP="001C4E06">
      <w:pPr>
        <w:spacing w:after="0" w:line="360" w:lineRule="auto"/>
        <w:ind w:left="720" w:right="79"/>
        <w:jc w:val="both"/>
        <w:rPr>
          <w:rFonts w:ascii="Century Gothic" w:eastAsia="Times New Roman" w:hAnsi="Century Gothic" w:cs="Tahoma"/>
          <w:lang w:val="es-ES" w:eastAsia="es-ES"/>
        </w:rPr>
      </w:pPr>
    </w:p>
    <w:p w14:paraId="23B5C88B"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8.2.3.-</w:t>
      </w:r>
      <w:r w:rsidRPr="001C4E06">
        <w:rPr>
          <w:rFonts w:ascii="Century Gothic" w:eastAsia="Times New Roman" w:hAnsi="Century Gothic" w:cs="Tahoma"/>
          <w:lang w:val="es-ES" w:eastAsia="es-ES"/>
        </w:rPr>
        <w:t xml:space="preserve"> En lo que respecta a la presunta violación del artículo 209 de la Constitución Política por apartarse de los fines de la contratación estatal y sobre la presunta vulneración del artículo 84 del CCA, debido a la falsa motivación, hizo un análisis de lo probado en el plenario y, a manera de resumen, indicó que los argumentos de la parte actora deben ser declarados infundados e imprósperas las pretensiones de la demanda, pues se acreditaron los incumplimientos del consorcio interventor, sin que exista falsa motivación en los actos demandados, toda vez que éstos fueron motivados fáctica, técnica y jurídicamente;  igualmente, adujo que </w:t>
      </w:r>
      <w:r w:rsidRPr="001C4E06">
        <w:rPr>
          <w:rFonts w:ascii="Century Gothic" w:eastAsia="Times New Roman" w:hAnsi="Century Gothic" w:cs="Tahoma"/>
          <w:i/>
          <w:lang w:val="es-ES" w:eastAsia="es-ES"/>
        </w:rPr>
        <w:t>“el consorcio interventor han (sic) negado que haya habido modificaciones al diseño original elaborado por Steer Davies &amp; Gleave, entregado por IDU al contratista para que ejecutara las obras contratadas. Por fortuna los planos, las memorias y las actas de obra, evidencian lo contrario”</w:t>
      </w:r>
      <w:r w:rsidRPr="001C4E06">
        <w:rPr>
          <w:rFonts w:ascii="Century Gothic" w:eastAsia="Times New Roman" w:hAnsi="Century Gothic" w:cs="Tahoma"/>
          <w:lang w:val="es-ES" w:eastAsia="es-ES"/>
        </w:rPr>
        <w:t xml:space="preserve">.         </w:t>
      </w:r>
    </w:p>
    <w:p w14:paraId="0FDB4687" w14:textId="77777777" w:rsidR="001C4E06" w:rsidRPr="001C4E06" w:rsidRDefault="001C4E06" w:rsidP="001C4E06">
      <w:pPr>
        <w:spacing w:after="0" w:line="360" w:lineRule="auto"/>
        <w:ind w:right="79" w:firstLine="1416"/>
        <w:jc w:val="both"/>
        <w:rPr>
          <w:rFonts w:ascii="Century Gothic" w:eastAsia="Times New Roman" w:hAnsi="Century Gothic" w:cs="Tahoma"/>
          <w:lang w:val="es-ES" w:eastAsia="es-ES"/>
        </w:rPr>
      </w:pPr>
    </w:p>
    <w:p w14:paraId="6A2D6E33"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 xml:space="preserve">Señaló que, efectivamente, el relleno fluido fue lo que dio lugar a la ocurrencia de las fallas prematuras en la Autopista Norte, pero ese material no estaba previsto en los diseños originales para el uso que se le dio y agregó que su incorporación al diseño se presentó con el aval del interventor. </w:t>
      </w:r>
    </w:p>
    <w:p w14:paraId="6BE98D77" w14:textId="77777777" w:rsidR="001C4E06" w:rsidRPr="001C4E06" w:rsidRDefault="001C4E06" w:rsidP="001C4E06">
      <w:pPr>
        <w:spacing w:after="0" w:line="360" w:lineRule="auto"/>
        <w:ind w:left="709" w:right="79"/>
        <w:jc w:val="both"/>
        <w:rPr>
          <w:rFonts w:ascii="Century Gothic" w:eastAsia="Times New Roman" w:hAnsi="Century Gothic" w:cs="Tahoma"/>
          <w:lang w:val="es-ES" w:eastAsia="es-ES"/>
        </w:rPr>
      </w:pPr>
    </w:p>
    <w:p w14:paraId="79E5007E"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 xml:space="preserve">8.2.4.- </w:t>
      </w:r>
      <w:r w:rsidRPr="001C4E06">
        <w:rPr>
          <w:rFonts w:ascii="Century Gothic" w:eastAsia="Times New Roman" w:hAnsi="Century Gothic" w:cs="Tahoma"/>
          <w:lang w:val="es-ES" w:eastAsia="es-ES"/>
        </w:rPr>
        <w:t xml:space="preserve">En torno a la presunta violación del numeral 8 del artículo 24 de la Ley 80 de 1993, sobre el principio de economía, dijo que el actor argumentó que la cercanía del IDU con los proveedores del material fue lo que motivó el empleo del relleno fluido en la obra, lo cual resulta insostenible, pues las fracturas de las losas se debieron a la irregular modificación de los diseños por parte del contratista (Conciviles) y del consorcio interventor. </w:t>
      </w:r>
    </w:p>
    <w:p w14:paraId="6150E220"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p>
    <w:p w14:paraId="76FFC54E"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b/>
          <w:lang w:val="es-ES" w:eastAsia="es-ES"/>
        </w:rPr>
        <w:t>8.3.- El Ministerio Público</w:t>
      </w:r>
      <w:r w:rsidRPr="001C4E06">
        <w:rPr>
          <w:rFonts w:ascii="Century Gothic" w:eastAsia="Times New Roman" w:hAnsi="Century Gothic" w:cs="Tahoma"/>
          <w:lang w:val="es-ES" w:eastAsia="es-ES"/>
        </w:rPr>
        <w:t xml:space="preserve"> conceptuó que la audiencia para dilucidar puntos de hecho o de derecho no es una etapa propia del proceso ordinario y que es potestativo de la autoridad judicial determinar si se realiza o no; por consiguiente, no se configura con su omisión la causal de nulidad alegada por la parte recurrente. </w:t>
      </w:r>
    </w:p>
    <w:p w14:paraId="4D413FD0"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p>
    <w:p w14:paraId="5B39FFC7"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 xml:space="preserve">Respecto a la vulneración al debido proceso con la expedición de las resoluciones objeto de la litis, indicó que la estipulación de la cláusula de garantía es un deber legal </w:t>
      </w:r>
      <w:r w:rsidRPr="001C4E06">
        <w:rPr>
          <w:rFonts w:ascii="Century Gothic" w:eastAsia="Times New Roman" w:hAnsi="Century Gothic" w:cs="Tahoma"/>
          <w:lang w:val="es-ES" w:eastAsia="es-ES"/>
        </w:rPr>
        <w:lastRenderedPageBreak/>
        <w:t xml:space="preserve">para la entidad estatal y, por ende, un requisito de obligatorio cumplimiento para la ejecución del contrato y lo es también el hacerla efectiva por la ocurrencia del riesgo que con ella se ampara; por tanto, las resoluciones demandadas no contrarían la condición especial pactada en el contrato de interventoría, consistente en someter los litigios al Reglamento de Arbitraje de la Comisión de las Naciones Unidas para el Derecho Mercantil Internacional, ya que ellas son el resultado del cumplimiento de obligaciones legales impuestas a las entidades estatales. </w:t>
      </w:r>
    </w:p>
    <w:p w14:paraId="5B1660BD"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p>
    <w:p w14:paraId="048A1EA3"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Frente al cumplimiento de los fines de la contratación estatal, dijo que, pese a que las pruebas demuestran una confluencia de responsabilidad entre los varios actores que intervinieron en la ejecución del contrato de obra, tal confluencia no exonera al consorcio demandante de cumplir sus obligaciones contractuales y en las actas no se observa que éste haya realizado observaciones o manifestaciones de desacuerdo, en especial, sobre las modificaciones al diseño, como tampoco que haya cumplido a cabalidad con sus funciones como interventor, máxime que acepta en la demanda que se estaban realizando cambios sin estudio técnico, encontrándose en el plenario que dicho consorcio autorizó la ejecución de las obras con especificaciones diferentes a las contratadas y sin hacer reparo alguno. Concluyó al respecto que, a su juicio, no se vulneraron los principios de la función pública con la expedición de las resoluciones de las cuales se pretende su nulidad.</w:t>
      </w:r>
    </w:p>
    <w:p w14:paraId="41C5FCE0"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p>
    <w:p w14:paraId="6382F6EA"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 xml:space="preserve">Por otro lado, en lo referente a la falsa motivación al expedir las resoluciones demandadas, que alega el actor, el Procurador Quinto Delegado ante el Consejo de Estado sostuvo que el acervo probatorio denota una participación del consorcio interventor en las decisiones que afectaron el diseño original del proyecto, como consta, por ejemplo, en el acta de seguimiento No. 5 de 2000, donde se encuentra contenida una decisión de fondo frente a la modificación de tal diseño, con lo cual quedan sin sustento los argumentos expuestos por el recurrente sobre aquel tema. Aunado a ello, era el interventor quien debía realizar el ensayo con el propósito de verificar que, efectivamente, el relleno fluido sí requería de una mayor resistencia a la que se había autorizado utilizar, pero la interventoría no cumplió con todas las obligaciones pactadas en el contrato y en el Manual del Interventor; por consiguiente, en su opinión, los actos demandados no se encuentran afectados por falsa motivación. </w:t>
      </w:r>
    </w:p>
    <w:p w14:paraId="32474B2C" w14:textId="77777777" w:rsidR="001C4E06" w:rsidRPr="001C4E06" w:rsidRDefault="001C4E06" w:rsidP="001C4E06">
      <w:pPr>
        <w:spacing w:after="0" w:line="360" w:lineRule="auto"/>
        <w:ind w:right="79"/>
        <w:jc w:val="both"/>
        <w:rPr>
          <w:rFonts w:ascii="Century Gothic" w:eastAsia="Times New Roman" w:hAnsi="Century Gothic" w:cs="Tahoma"/>
          <w:lang w:val="es-ES" w:eastAsia="es-ES"/>
        </w:rPr>
      </w:pPr>
    </w:p>
    <w:p w14:paraId="741B9A7E" w14:textId="77777777" w:rsidR="001C4E06" w:rsidRPr="001C4E06" w:rsidRDefault="001C4E06" w:rsidP="001C4E06">
      <w:pPr>
        <w:spacing w:after="0" w:line="360" w:lineRule="auto"/>
        <w:jc w:val="center"/>
        <w:rPr>
          <w:rFonts w:ascii="Century Gothic" w:eastAsia="Times New Roman" w:hAnsi="Century Gothic" w:cs="Arial"/>
          <w:b/>
          <w:bCs/>
          <w:color w:val="000000"/>
          <w:lang w:val="es-ES" w:eastAsia="es-ES"/>
        </w:rPr>
      </w:pPr>
      <w:r w:rsidRPr="001C4E06">
        <w:rPr>
          <w:rFonts w:ascii="Century Gothic" w:eastAsia="Times New Roman" w:hAnsi="Century Gothic" w:cs="Arial"/>
          <w:b/>
          <w:bCs/>
          <w:color w:val="000000"/>
          <w:lang w:val="es-ES" w:eastAsia="es-ES"/>
        </w:rPr>
        <w:t>II. CONSIDERACIONES</w:t>
      </w:r>
    </w:p>
    <w:p w14:paraId="6202C6DD" w14:textId="77777777" w:rsidR="001C4E06" w:rsidRPr="001C4E06" w:rsidRDefault="001C4E06" w:rsidP="001C4E06">
      <w:pPr>
        <w:widowControl w:val="0"/>
        <w:autoSpaceDE w:val="0"/>
        <w:autoSpaceDN w:val="0"/>
        <w:adjustRightInd w:val="0"/>
        <w:spacing w:after="0" w:line="360" w:lineRule="auto"/>
        <w:jc w:val="both"/>
        <w:rPr>
          <w:rFonts w:ascii="Century Gothic" w:eastAsia="Times New Roman" w:hAnsi="Century Gothic"/>
          <w:b/>
          <w:lang w:eastAsia="es-ES"/>
        </w:rPr>
      </w:pPr>
    </w:p>
    <w:p w14:paraId="1F93E620" w14:textId="77777777" w:rsidR="001C4E06" w:rsidRPr="001C4E06" w:rsidRDefault="001C4E06" w:rsidP="001C4E06">
      <w:pPr>
        <w:widowControl w:val="0"/>
        <w:autoSpaceDE w:val="0"/>
        <w:autoSpaceDN w:val="0"/>
        <w:adjustRightInd w:val="0"/>
        <w:spacing w:after="0" w:line="360" w:lineRule="auto"/>
        <w:jc w:val="both"/>
        <w:rPr>
          <w:rFonts w:ascii="Century Gothic" w:eastAsia="Times New Roman" w:hAnsi="Century Gothic"/>
          <w:b/>
          <w:lang w:eastAsia="es-ES"/>
        </w:rPr>
      </w:pPr>
      <w:r w:rsidRPr="001C4E06">
        <w:rPr>
          <w:rFonts w:ascii="Century Gothic" w:eastAsia="Times New Roman" w:hAnsi="Century Gothic"/>
          <w:b/>
          <w:lang w:eastAsia="es-ES"/>
        </w:rPr>
        <w:t>1.- La cláusula compromisoria y la competencia de la Sala.</w:t>
      </w:r>
    </w:p>
    <w:p w14:paraId="07F02B4D" w14:textId="77777777" w:rsidR="001C4E06" w:rsidRPr="001C4E06" w:rsidRDefault="001C4E06" w:rsidP="001C4E06">
      <w:pPr>
        <w:widowControl w:val="0"/>
        <w:autoSpaceDE w:val="0"/>
        <w:autoSpaceDN w:val="0"/>
        <w:adjustRightInd w:val="0"/>
        <w:spacing w:after="0" w:line="360" w:lineRule="auto"/>
        <w:jc w:val="both"/>
        <w:rPr>
          <w:rFonts w:ascii="Century Gothic" w:eastAsia="Times New Roman" w:hAnsi="Century Gothic"/>
          <w:b/>
          <w:lang w:eastAsia="es-ES"/>
        </w:rPr>
      </w:pPr>
    </w:p>
    <w:p w14:paraId="23B9DC00" w14:textId="77777777" w:rsidR="001C4E06" w:rsidRPr="001C4E06" w:rsidRDefault="001C4E06" w:rsidP="001C4E06">
      <w:pPr>
        <w:widowControl w:val="0"/>
        <w:autoSpaceDE w:val="0"/>
        <w:autoSpaceDN w:val="0"/>
        <w:adjustRightInd w:val="0"/>
        <w:spacing w:after="0" w:line="360" w:lineRule="auto"/>
        <w:jc w:val="both"/>
        <w:rPr>
          <w:rFonts w:ascii="Century Gothic" w:eastAsia="Times New Roman" w:hAnsi="Century Gothic"/>
          <w:b/>
          <w:lang w:eastAsia="es-ES"/>
        </w:rPr>
      </w:pPr>
      <w:r w:rsidRPr="001C4E06">
        <w:rPr>
          <w:rFonts w:ascii="Century Gothic" w:eastAsia="Times New Roman" w:hAnsi="Century Gothic"/>
          <w:b/>
          <w:lang w:eastAsia="es-ES"/>
        </w:rPr>
        <w:lastRenderedPageBreak/>
        <w:t>1.1.- La cláusula compromisoria.-</w:t>
      </w:r>
    </w:p>
    <w:p w14:paraId="2C39BA3A" w14:textId="77777777" w:rsidR="001C4E06" w:rsidRPr="001C4E06" w:rsidRDefault="001C4E06" w:rsidP="001C4E06">
      <w:pPr>
        <w:spacing w:after="0" w:line="360" w:lineRule="auto"/>
        <w:ind w:right="17"/>
        <w:jc w:val="both"/>
        <w:rPr>
          <w:rFonts w:ascii="Century Gothic" w:eastAsia="Times New Roman" w:hAnsi="Century Gothic"/>
          <w:b/>
          <w:lang w:val="es-ES" w:eastAsia="es-ES"/>
        </w:rPr>
      </w:pPr>
    </w:p>
    <w:p w14:paraId="3DAA0ED3" w14:textId="77777777" w:rsidR="001C4E06" w:rsidRPr="001C4E06" w:rsidRDefault="001C4E06" w:rsidP="001C4E06">
      <w:pPr>
        <w:spacing w:after="0" w:line="360" w:lineRule="auto"/>
        <w:ind w:right="17"/>
        <w:jc w:val="both"/>
        <w:rPr>
          <w:rFonts w:ascii="Century Gothic" w:eastAsia="Times New Roman" w:hAnsi="Century Gothic"/>
          <w:lang w:val="es-ES" w:eastAsia="es-ES"/>
        </w:rPr>
      </w:pPr>
      <w:bookmarkStart w:id="1" w:name="_Hlk22214241"/>
      <w:r w:rsidRPr="001C4E06">
        <w:rPr>
          <w:rFonts w:ascii="Century Gothic" w:eastAsia="Times New Roman" w:hAnsi="Century Gothic"/>
          <w:lang w:val="es-ES" w:eastAsia="es-ES"/>
        </w:rPr>
        <w:t xml:space="preserve">Las </w:t>
      </w:r>
      <w:bookmarkStart w:id="2" w:name="_Hlk22214225"/>
      <w:r w:rsidRPr="001C4E06">
        <w:rPr>
          <w:rFonts w:ascii="Century Gothic" w:eastAsia="Times New Roman" w:hAnsi="Century Gothic"/>
          <w:lang w:val="es-ES" w:eastAsia="es-ES"/>
        </w:rPr>
        <w:t xml:space="preserve">cláusulas compromisorias </w:t>
      </w:r>
      <w:bookmarkEnd w:id="2"/>
      <w:r w:rsidRPr="001C4E06">
        <w:rPr>
          <w:rFonts w:ascii="Century Gothic" w:eastAsia="Times New Roman" w:hAnsi="Century Gothic"/>
          <w:lang w:val="es-ES" w:eastAsia="es-ES"/>
        </w:rPr>
        <w:t>son estipulaciones contractuales que conciertan las partes para resolver, por medio del arbitraje, las diferencias o controversias que surjan del contrato;</w:t>
      </w:r>
      <w:bookmarkEnd w:id="1"/>
      <w:r w:rsidRPr="001C4E06">
        <w:rPr>
          <w:rFonts w:ascii="Century Gothic" w:eastAsia="Times New Roman" w:hAnsi="Century Gothic"/>
          <w:lang w:val="es-ES" w:eastAsia="es-ES"/>
        </w:rPr>
        <w:t xml:space="preserve"> al respecto, esta Corporación ha señalado:</w:t>
      </w:r>
    </w:p>
    <w:p w14:paraId="400780A1" w14:textId="77777777" w:rsidR="001C4E06" w:rsidRPr="001C4E06" w:rsidRDefault="001C4E06" w:rsidP="001C4E06">
      <w:pPr>
        <w:spacing w:after="0" w:line="360" w:lineRule="auto"/>
        <w:ind w:left="705" w:right="17"/>
        <w:jc w:val="both"/>
        <w:rPr>
          <w:rFonts w:ascii="Century Gothic" w:eastAsia="Times New Roman" w:hAnsi="Century Gothic"/>
          <w:i/>
          <w:sz w:val="20"/>
          <w:lang w:val="es-ES" w:eastAsia="es-ES"/>
        </w:rPr>
      </w:pPr>
    </w:p>
    <w:p w14:paraId="7ADE815E" w14:textId="77777777" w:rsidR="001C4E06" w:rsidRPr="001C4E06" w:rsidRDefault="001C4E06" w:rsidP="001C4E06">
      <w:pPr>
        <w:spacing w:after="0" w:line="240" w:lineRule="auto"/>
        <w:ind w:left="703" w:right="788"/>
        <w:jc w:val="both"/>
        <w:rPr>
          <w:rFonts w:ascii="Century Gothic" w:eastAsia="Times New Roman" w:hAnsi="Century Gothic"/>
          <w:sz w:val="20"/>
          <w:lang w:val="es-ES" w:eastAsia="es-ES"/>
        </w:rPr>
      </w:pPr>
      <w:r w:rsidRPr="001C4E06">
        <w:rPr>
          <w:rFonts w:ascii="Century Gothic" w:eastAsia="Times New Roman" w:hAnsi="Century Gothic"/>
          <w:sz w:val="20"/>
          <w:lang w:val="es-ES" w:eastAsia="es-ES"/>
        </w:rPr>
        <w:t>“Las cláusulas compromisorias son estipulaciones contractuales pactadas entre partes contrayentes (sic), que en ejercicio de las facultades que la Constitución y la ley les confiere (sic), acuerdan sustraer del arbitrio jurisdiccional la resolución de determinadas controversias, cumpliendo los requisitos que la misma les impone”</w:t>
      </w:r>
      <w:r w:rsidRPr="001C4E06">
        <w:rPr>
          <w:rFonts w:ascii="Century Gothic" w:eastAsia="Times New Roman" w:hAnsi="Century Gothic"/>
          <w:sz w:val="20"/>
          <w:vertAlign w:val="superscript"/>
          <w:lang w:val="es-ES" w:eastAsia="es-ES"/>
        </w:rPr>
        <w:footnoteReference w:id="1"/>
      </w:r>
      <w:r w:rsidRPr="001C4E06">
        <w:rPr>
          <w:rFonts w:ascii="Century Gothic" w:eastAsia="Times New Roman" w:hAnsi="Century Gothic"/>
          <w:sz w:val="20"/>
          <w:lang w:val="es-ES" w:eastAsia="es-ES"/>
        </w:rPr>
        <w:t>.</w:t>
      </w:r>
    </w:p>
    <w:p w14:paraId="4515EE08" w14:textId="77777777" w:rsidR="001C4E06" w:rsidRPr="001C4E06" w:rsidRDefault="001C4E06" w:rsidP="001C4E06">
      <w:pPr>
        <w:spacing w:after="0" w:line="360" w:lineRule="auto"/>
        <w:ind w:right="17"/>
        <w:jc w:val="both"/>
        <w:rPr>
          <w:rFonts w:ascii="Century Gothic" w:eastAsia="Times New Roman" w:hAnsi="Century Gothic"/>
          <w:lang w:val="es-ES" w:eastAsia="es-ES"/>
        </w:rPr>
      </w:pPr>
      <w:r w:rsidRPr="001C4E06">
        <w:rPr>
          <w:rFonts w:ascii="Century Gothic" w:eastAsia="Times New Roman" w:hAnsi="Century Gothic"/>
          <w:b/>
          <w:lang w:val="es-ES" w:eastAsia="es-ES"/>
        </w:rPr>
        <w:br/>
      </w:r>
      <w:r w:rsidRPr="001C4E06">
        <w:rPr>
          <w:rFonts w:ascii="Century Gothic" w:eastAsia="Times New Roman" w:hAnsi="Century Gothic"/>
          <w:lang w:val="es-ES" w:eastAsia="es-ES"/>
        </w:rPr>
        <w:t>Frente a la inclusión de cláusulas compromisorias en los contratos estatales, la Ley 80 de 1993 estableció:</w:t>
      </w:r>
    </w:p>
    <w:p w14:paraId="75597E8C" w14:textId="77777777" w:rsidR="001C4E06" w:rsidRPr="001C4E06" w:rsidRDefault="001C4E06" w:rsidP="001C4E06">
      <w:pPr>
        <w:spacing w:after="0" w:line="240" w:lineRule="auto"/>
        <w:ind w:left="703" w:right="788"/>
        <w:jc w:val="both"/>
        <w:rPr>
          <w:rFonts w:ascii="Century Gothic" w:eastAsia="Times New Roman" w:hAnsi="Century Gothic"/>
          <w:sz w:val="20"/>
          <w:lang w:eastAsia="es-ES"/>
        </w:rPr>
      </w:pPr>
      <w:r w:rsidRPr="001C4E06">
        <w:rPr>
          <w:rFonts w:ascii="Century Gothic" w:eastAsia="Times New Roman" w:hAnsi="Century Gothic"/>
          <w:i/>
          <w:iCs/>
          <w:lang w:eastAsia="es-ES"/>
        </w:rPr>
        <w:br/>
      </w:r>
      <w:r w:rsidRPr="001C4E06">
        <w:rPr>
          <w:rFonts w:ascii="Century Gothic" w:eastAsia="Times New Roman" w:hAnsi="Century Gothic"/>
          <w:iCs/>
          <w:sz w:val="20"/>
          <w:lang w:eastAsia="es-ES"/>
        </w:rPr>
        <w:t>"</w:t>
      </w:r>
      <w:r w:rsidRPr="001C4E06">
        <w:rPr>
          <w:rFonts w:ascii="Century Gothic" w:eastAsia="Times New Roman" w:hAnsi="Century Gothic"/>
          <w:bCs/>
          <w:iCs/>
          <w:sz w:val="20"/>
          <w:lang w:eastAsia="es-ES"/>
        </w:rPr>
        <w:t>Artículo 70.- DE LA CLAUSULA COMPROMISORIA</w:t>
      </w:r>
      <w:r w:rsidRPr="001C4E06">
        <w:rPr>
          <w:rFonts w:ascii="Century Gothic" w:eastAsia="Times New Roman" w:hAnsi="Century Gothic"/>
          <w:iCs/>
          <w:sz w:val="20"/>
          <w:lang w:eastAsia="es-ES"/>
        </w:rPr>
        <w:t>. En los contratos estatales podrá incluirse la cláusula compromisoria a fin de someter a la decisión de árbitros las distintas diferencias que puedan surgir por razón de la celebración del contrato y de su ejecución, desarrollo, terminación o liquidación”.</w:t>
      </w:r>
    </w:p>
    <w:p w14:paraId="0558B24E" w14:textId="77777777" w:rsidR="001C4E06" w:rsidRPr="001C4E06" w:rsidRDefault="001C4E06" w:rsidP="001C4E06">
      <w:pPr>
        <w:spacing w:after="0" w:line="360" w:lineRule="auto"/>
        <w:ind w:right="17"/>
        <w:rPr>
          <w:rFonts w:ascii="Century Gothic" w:eastAsia="Times New Roman" w:hAnsi="Century Gothic"/>
          <w:i/>
          <w:iCs/>
          <w:sz w:val="20"/>
          <w:lang w:eastAsia="es-ES"/>
        </w:rPr>
      </w:pPr>
    </w:p>
    <w:p w14:paraId="36BD0E1D" w14:textId="77777777" w:rsidR="001C4E06" w:rsidRPr="001C4E06" w:rsidRDefault="001C4E06" w:rsidP="001C4E06">
      <w:pPr>
        <w:spacing w:after="0" w:line="360" w:lineRule="auto"/>
        <w:ind w:right="17"/>
        <w:jc w:val="both"/>
        <w:rPr>
          <w:rFonts w:ascii="Century Gothic" w:eastAsia="Times New Roman" w:hAnsi="Century Gothic"/>
          <w:iCs/>
          <w:lang w:eastAsia="es-ES"/>
        </w:rPr>
      </w:pPr>
      <w:r w:rsidRPr="001C4E06">
        <w:rPr>
          <w:rFonts w:ascii="Century Gothic" w:eastAsia="Times New Roman" w:hAnsi="Century Gothic"/>
          <w:iCs/>
          <w:lang w:eastAsia="es-ES"/>
        </w:rPr>
        <w:t>Esta norma fue objeto de control constitucional, por medio de sentencia C-1436 del 25 de octubre del 2000, en la que la Corte Constitucional declaró su exequibilidad, así (se transcribe tal como quedó):</w:t>
      </w:r>
    </w:p>
    <w:p w14:paraId="0DD335B8" w14:textId="77777777" w:rsidR="001C4E06" w:rsidRPr="001C4E06" w:rsidRDefault="001C4E06" w:rsidP="001C4E06">
      <w:pPr>
        <w:spacing w:after="0" w:line="360" w:lineRule="auto"/>
        <w:ind w:right="17"/>
        <w:jc w:val="both"/>
        <w:rPr>
          <w:rFonts w:ascii="Century Gothic" w:eastAsia="Times New Roman" w:hAnsi="Century Gothic"/>
          <w:lang w:eastAsia="es-ES"/>
        </w:rPr>
      </w:pPr>
    </w:p>
    <w:p w14:paraId="7AC09CBF" w14:textId="77777777" w:rsidR="001C4E06" w:rsidRPr="001C4E06" w:rsidRDefault="001C4E06" w:rsidP="001C4E06">
      <w:pPr>
        <w:spacing w:after="0" w:line="240" w:lineRule="auto"/>
        <w:ind w:left="705" w:right="788"/>
        <w:jc w:val="both"/>
        <w:rPr>
          <w:rFonts w:ascii="Century Gothic" w:eastAsia="Times New Roman" w:hAnsi="Century Gothic"/>
          <w:sz w:val="20"/>
          <w:lang w:eastAsia="es-ES"/>
        </w:rPr>
      </w:pPr>
      <w:r w:rsidRPr="001C4E06">
        <w:rPr>
          <w:rFonts w:ascii="Century Gothic" w:eastAsia="Times New Roman" w:hAnsi="Century Gothic"/>
          <w:sz w:val="20"/>
          <w:lang w:eastAsia="es-ES"/>
        </w:rPr>
        <w:t>“De esta forma, a partir del año 1993, los conflictos surgidos de la actividad contractual del Estado, quedó radicada definitivamente en cabeza de la jurisdicción contencioso administrativa.</w:t>
      </w:r>
    </w:p>
    <w:p w14:paraId="4A4A4179" w14:textId="77777777" w:rsidR="001C4E06" w:rsidRPr="001C4E06" w:rsidRDefault="001C4E06" w:rsidP="001C4E06">
      <w:pPr>
        <w:spacing w:after="0" w:line="240" w:lineRule="auto"/>
        <w:ind w:right="788"/>
        <w:jc w:val="both"/>
        <w:rPr>
          <w:rFonts w:ascii="Century Gothic" w:eastAsia="Times New Roman" w:hAnsi="Century Gothic"/>
          <w:sz w:val="20"/>
          <w:lang w:eastAsia="es-ES"/>
        </w:rPr>
      </w:pPr>
      <w:r w:rsidRPr="001C4E06">
        <w:rPr>
          <w:rFonts w:ascii="Century Gothic" w:eastAsia="Times New Roman" w:hAnsi="Century Gothic"/>
          <w:iCs/>
          <w:sz w:val="20"/>
          <w:lang w:eastAsia="es-ES"/>
        </w:rPr>
        <w:t> </w:t>
      </w:r>
    </w:p>
    <w:p w14:paraId="1DBEA2FD" w14:textId="77777777" w:rsidR="001C4E06" w:rsidRPr="001C4E06" w:rsidRDefault="001C4E06" w:rsidP="001C4E06">
      <w:pPr>
        <w:spacing w:after="0" w:line="240" w:lineRule="auto"/>
        <w:ind w:left="705" w:right="788"/>
        <w:jc w:val="both"/>
        <w:rPr>
          <w:rFonts w:ascii="Century Gothic" w:eastAsia="Times New Roman" w:hAnsi="Century Gothic"/>
          <w:sz w:val="20"/>
          <w:lang w:eastAsia="es-ES"/>
        </w:rPr>
      </w:pPr>
      <w:r w:rsidRPr="001C4E06">
        <w:rPr>
          <w:rFonts w:ascii="Century Gothic" w:eastAsia="Times New Roman" w:hAnsi="Century Gothic"/>
          <w:sz w:val="20"/>
          <w:lang w:eastAsia="es-ES"/>
        </w:rPr>
        <w:t>“Sin embargo, el propio legislador, en esta misma ley, facultó a las partes, administración y particular, para sustraer del conocimiento de la  jurisdicción contenciosa los conflictos que, en virtud de la celebración, el desarrollo, la ejecución y la liquidación de los contratos estatales llegasen a surgir, al señalar que éstos buscarán solucionar en forma ágil, rápida y directa las diferencias y discrepancias surgidas de la actividad contractual, a través de los mecanismos alternos de solución de conflictos, tales  como el arbitramento, la conciliación, la amigable composición y la transacción (artículo 68). Prohibiendo expresamente a las autoridades, impedir el uso de estos mecanismos, o la inclusión en los contratos estatales de la cláusula compromisoria  o la celebración de compromisos para dirimir las diferencias surgidas del contrato estatal (artículo 69). </w:t>
      </w:r>
    </w:p>
    <w:p w14:paraId="357F8A32" w14:textId="77777777" w:rsidR="001C4E06" w:rsidRPr="001C4E06" w:rsidRDefault="001C4E06" w:rsidP="001C4E06">
      <w:pPr>
        <w:spacing w:after="0" w:line="240" w:lineRule="auto"/>
        <w:ind w:right="788"/>
        <w:jc w:val="both"/>
        <w:rPr>
          <w:rFonts w:ascii="Century Gothic" w:eastAsia="Times New Roman" w:hAnsi="Century Gothic"/>
          <w:sz w:val="20"/>
          <w:lang w:eastAsia="es-ES"/>
        </w:rPr>
      </w:pPr>
      <w:r w:rsidRPr="001C4E06">
        <w:rPr>
          <w:rFonts w:ascii="Century Gothic" w:eastAsia="Times New Roman" w:hAnsi="Century Gothic"/>
          <w:sz w:val="20"/>
          <w:lang w:eastAsia="es-ES"/>
        </w:rPr>
        <w:t> </w:t>
      </w:r>
    </w:p>
    <w:p w14:paraId="78E5622C" w14:textId="77777777" w:rsidR="001C4E06" w:rsidRPr="001C4E06" w:rsidRDefault="001C4E06" w:rsidP="001C4E06">
      <w:pPr>
        <w:tabs>
          <w:tab w:val="left" w:pos="8364"/>
        </w:tabs>
        <w:spacing w:after="0" w:line="240" w:lineRule="auto"/>
        <w:ind w:left="705" w:right="788"/>
        <w:jc w:val="both"/>
        <w:rPr>
          <w:rFonts w:ascii="Century Gothic" w:eastAsia="Times New Roman" w:hAnsi="Century Gothic"/>
          <w:sz w:val="20"/>
          <w:lang w:eastAsia="es-ES"/>
        </w:rPr>
      </w:pPr>
      <w:r w:rsidRPr="001C4E06">
        <w:rPr>
          <w:rFonts w:ascii="Century Gothic" w:eastAsia="Times New Roman" w:hAnsi="Century Gothic"/>
          <w:sz w:val="20"/>
          <w:lang w:eastAsia="es-ES"/>
        </w:rPr>
        <w:t>“Significa lo anterior que el Estado, al igual que los particulares, puede someter las divergencias surgidas con ocasión de un contrato donde es parte, a la decisión de terceros investidos de la facultad de dirimir definitivamente la controversia, sin que con ello se considere vulnerado el interés público que los contratos estatales implícitamente ostentan, o se discuta la facultad de la administración para transigir, tal como aconteció hasta no hace pocos años.</w:t>
      </w:r>
    </w:p>
    <w:p w14:paraId="12F4332A" w14:textId="77777777" w:rsidR="001C4E06" w:rsidRPr="001C4E06" w:rsidRDefault="001C4E06" w:rsidP="001C4E06">
      <w:pPr>
        <w:spacing w:after="0" w:line="240" w:lineRule="auto"/>
        <w:ind w:right="788"/>
        <w:jc w:val="both"/>
        <w:rPr>
          <w:rFonts w:ascii="Century Gothic" w:eastAsia="Times New Roman" w:hAnsi="Century Gothic"/>
          <w:sz w:val="20"/>
          <w:lang w:eastAsia="es-ES"/>
        </w:rPr>
      </w:pPr>
      <w:r w:rsidRPr="001C4E06">
        <w:rPr>
          <w:rFonts w:ascii="Century Gothic" w:eastAsia="Times New Roman" w:hAnsi="Century Gothic"/>
          <w:sz w:val="20"/>
          <w:lang w:eastAsia="es-ES"/>
        </w:rPr>
        <w:t> </w:t>
      </w:r>
    </w:p>
    <w:p w14:paraId="3D5B8B6E" w14:textId="77777777" w:rsidR="001C4E06" w:rsidRPr="001C4E06" w:rsidRDefault="001C4E06" w:rsidP="001C4E06">
      <w:pPr>
        <w:spacing w:after="0" w:line="240" w:lineRule="auto"/>
        <w:ind w:left="705" w:right="788"/>
        <w:jc w:val="both"/>
        <w:rPr>
          <w:rFonts w:ascii="Century Gothic" w:eastAsia="Times New Roman" w:hAnsi="Century Gothic"/>
          <w:sz w:val="20"/>
          <w:lang w:eastAsia="es-ES"/>
        </w:rPr>
      </w:pPr>
      <w:r w:rsidRPr="001C4E06">
        <w:rPr>
          <w:rFonts w:ascii="Century Gothic" w:eastAsia="Times New Roman" w:hAnsi="Century Gothic"/>
          <w:sz w:val="20"/>
          <w:lang w:eastAsia="es-ES"/>
        </w:rPr>
        <w:t>“Los límites al pronunciamiento arbitral, en este caso, están determinados entonces, por la naturaleza misma del arbitramento y las prescripciones legales sobre la materia, según las cuales, éste sólo es posible en relación con asuntos de carácter transigible”.</w:t>
      </w:r>
    </w:p>
    <w:p w14:paraId="7C00C523" w14:textId="77777777" w:rsidR="001C4E06" w:rsidRPr="001C4E06" w:rsidRDefault="001C4E06" w:rsidP="001C4E06">
      <w:pPr>
        <w:spacing w:after="0" w:line="360" w:lineRule="auto"/>
        <w:ind w:right="17"/>
        <w:jc w:val="both"/>
        <w:rPr>
          <w:rFonts w:ascii="Century Gothic" w:eastAsia="Times New Roman" w:hAnsi="Century Gothic"/>
          <w:lang w:eastAsia="es-ES"/>
        </w:rPr>
      </w:pPr>
    </w:p>
    <w:p w14:paraId="4497C92C" w14:textId="77777777" w:rsidR="001C4E06" w:rsidRPr="001C4E06" w:rsidRDefault="001C4E06" w:rsidP="001C4E06">
      <w:pPr>
        <w:spacing w:after="0" w:line="360" w:lineRule="auto"/>
        <w:ind w:right="17"/>
        <w:jc w:val="both"/>
        <w:rPr>
          <w:rFonts w:ascii="Century Gothic" w:eastAsia="Times New Roman" w:hAnsi="Century Gothic"/>
          <w:lang w:val="es-ES" w:eastAsia="es-ES"/>
        </w:rPr>
      </w:pPr>
      <w:bookmarkStart w:id="3" w:name="_Hlk22214277"/>
      <w:r w:rsidRPr="001C4E06">
        <w:rPr>
          <w:rFonts w:ascii="Century Gothic" w:eastAsia="Times New Roman" w:hAnsi="Century Gothic"/>
          <w:lang w:val="es-ES" w:eastAsia="es-ES"/>
        </w:rPr>
        <w:t>La Sección Tercera, de la Sala de lo Contencioso Administrativo, en providencia de unificación de 18 de abril de 2013</w:t>
      </w:r>
      <w:r w:rsidRPr="001C4E06">
        <w:rPr>
          <w:rFonts w:ascii="Century Gothic" w:eastAsia="Times New Roman" w:hAnsi="Century Gothic"/>
          <w:vertAlign w:val="superscript"/>
          <w:lang w:val="es-ES" w:eastAsia="es-ES"/>
        </w:rPr>
        <w:footnoteReference w:id="2"/>
      </w:r>
      <w:r w:rsidRPr="001C4E06">
        <w:rPr>
          <w:rFonts w:ascii="Century Gothic" w:eastAsia="Times New Roman" w:hAnsi="Century Gothic"/>
          <w:lang w:val="es-ES" w:eastAsia="es-ES"/>
        </w:rPr>
        <w:t>, determinó que en los procesos derivados de contratos estatales en los cuales esté pactada cláusula compromisoria y que se rijan por el Decreto 1818 de 1998</w:t>
      </w:r>
      <w:r w:rsidRPr="001C4E06">
        <w:rPr>
          <w:rFonts w:ascii="Century Gothic" w:eastAsia="Times New Roman" w:hAnsi="Century Gothic"/>
          <w:vertAlign w:val="superscript"/>
          <w:lang w:val="es-ES" w:eastAsia="es-ES"/>
        </w:rPr>
        <w:footnoteReference w:id="3"/>
      </w:r>
      <w:r w:rsidRPr="001C4E06">
        <w:rPr>
          <w:rFonts w:ascii="Century Gothic" w:eastAsia="Times New Roman" w:hAnsi="Century Gothic"/>
          <w:lang w:val="es-ES" w:eastAsia="es-ES"/>
        </w:rPr>
        <w:t>, es necesario que obre acuerdo expreso y escrito para modificar o dejar sin efectos el pacto arbitral</w:t>
      </w:r>
      <w:bookmarkEnd w:id="3"/>
      <w:r w:rsidRPr="001C4E06">
        <w:rPr>
          <w:rFonts w:ascii="Century Gothic" w:eastAsia="Times New Roman" w:hAnsi="Century Gothic"/>
          <w:lang w:val="es-ES" w:eastAsia="es-ES"/>
        </w:rPr>
        <w:t>; al respecto, se señaló:</w:t>
      </w:r>
    </w:p>
    <w:p w14:paraId="0E0D87C3" w14:textId="77777777" w:rsidR="001C4E06" w:rsidRPr="001C4E06" w:rsidRDefault="001C4E06" w:rsidP="001C4E06">
      <w:pPr>
        <w:spacing w:after="0" w:line="240" w:lineRule="auto"/>
        <w:ind w:right="17"/>
        <w:jc w:val="both"/>
        <w:rPr>
          <w:rFonts w:ascii="Century Gothic" w:eastAsia="Times New Roman" w:hAnsi="Century Gothic"/>
          <w:sz w:val="20"/>
          <w:szCs w:val="20"/>
          <w:lang w:val="es-ES" w:eastAsia="es-ES"/>
        </w:rPr>
      </w:pPr>
    </w:p>
    <w:p w14:paraId="381DF119" w14:textId="77777777" w:rsidR="001C4E06" w:rsidRPr="001C4E06" w:rsidRDefault="001C4E06" w:rsidP="001C4E06">
      <w:pPr>
        <w:spacing w:after="0" w:line="240" w:lineRule="auto"/>
        <w:ind w:left="705" w:right="788"/>
        <w:jc w:val="both"/>
        <w:rPr>
          <w:rFonts w:ascii="Century Gothic" w:eastAsia="Times New Roman" w:hAnsi="Century Gothic"/>
          <w:i/>
          <w:sz w:val="20"/>
          <w:szCs w:val="20"/>
          <w:lang w:val="es-ES" w:eastAsia="es-ES"/>
        </w:rPr>
      </w:pPr>
      <w:r w:rsidRPr="001C4E06">
        <w:rPr>
          <w:rFonts w:ascii="Century Gothic" w:eastAsia="Times New Roman" w:hAnsi="Century Gothic"/>
          <w:i/>
          <w:sz w:val="20"/>
          <w:szCs w:val="20"/>
          <w:lang w:val="es-ES" w:eastAsia="es-ES"/>
        </w:rPr>
        <w:t>“Esta tesis, que ahora acoge la Sala, no significa que el pacto arbitral celebrado entre las partes de un contrato estatal sea inmodificable o inderogable. Lo que comporta es que, para modificarlo o dejarlo sin efecto, aquéllas deben observar y respetar las mismas exigencias que las normas legales establecen con miras a la formación del correspondiente pacto arbitral, de tal suerte que, para ello, haya también un acuerdo expreso y escrito, lo cual excluye, por ende, la posibilidad de que el pacto arbitral pueda ser válidamente modificado o dejado sin efecto de manera tácita o por inferencia que haga el juez institucional, a partir del mero comportamiento procesal de las partes. Al respecto, es de recordar que ‘en derecho las cosas se deshacen como se hacen’”.</w:t>
      </w:r>
    </w:p>
    <w:p w14:paraId="6FB71AD4" w14:textId="77777777" w:rsidR="001C4E06" w:rsidRPr="001C4E06" w:rsidRDefault="001C4E06" w:rsidP="001C4E06">
      <w:pPr>
        <w:spacing w:after="0" w:line="360" w:lineRule="auto"/>
        <w:ind w:right="-1"/>
        <w:jc w:val="both"/>
        <w:rPr>
          <w:rFonts w:ascii="Century Gothic" w:eastAsia="Times New Roman" w:hAnsi="Century Gothic" w:cs="Arial"/>
          <w:bCs/>
          <w:color w:val="000000"/>
          <w:lang w:val="es-ES" w:eastAsia="es-ES"/>
        </w:rPr>
      </w:pPr>
    </w:p>
    <w:p w14:paraId="5E8D338B" w14:textId="77777777" w:rsidR="001C4E06" w:rsidRPr="001C4E06" w:rsidRDefault="001C4E06" w:rsidP="001C4E06">
      <w:pPr>
        <w:spacing w:after="0" w:line="360" w:lineRule="auto"/>
        <w:ind w:right="-1"/>
        <w:jc w:val="both"/>
        <w:rPr>
          <w:rFonts w:ascii="Century Gothic" w:eastAsia="Times New Roman" w:hAnsi="Century Gothic" w:cs="Tahoma"/>
          <w:bCs/>
          <w:color w:val="000000"/>
          <w:lang w:val="es-ES" w:eastAsia="es-ES"/>
        </w:rPr>
      </w:pPr>
      <w:r w:rsidRPr="001C4E06">
        <w:rPr>
          <w:rFonts w:ascii="Century Gothic" w:eastAsia="Times New Roman" w:hAnsi="Century Gothic" w:cs="Arial"/>
          <w:bCs/>
          <w:color w:val="000000"/>
          <w:lang w:val="es-ES" w:eastAsia="es-ES"/>
        </w:rPr>
        <w:t xml:space="preserve">En el presente asunto, en el contrato </w:t>
      </w:r>
      <w:r w:rsidRPr="001C4E06">
        <w:rPr>
          <w:rFonts w:ascii="Century Gothic" w:eastAsia="Times New Roman" w:hAnsi="Century Gothic"/>
          <w:bCs/>
          <w:lang w:eastAsia="es-ES"/>
        </w:rPr>
        <w:t xml:space="preserve">146 del 30 de marzo de 2000, suscrito entre el </w:t>
      </w:r>
      <w:r w:rsidRPr="001C4E06">
        <w:rPr>
          <w:rFonts w:ascii="Century Gothic" w:eastAsia="Times New Roman" w:hAnsi="Century Gothic" w:cs="Tahoma"/>
          <w:bCs/>
          <w:color w:val="000000"/>
          <w:lang w:val="es-ES" w:eastAsia="es-ES"/>
        </w:rPr>
        <w:t>IDU y el Consorcio Integral S.A. – Silva Carreño y Asociados S.A. – Silva Fajardo &amp; Cía. Ltda.</w:t>
      </w:r>
      <w:r w:rsidRPr="001C4E06">
        <w:rPr>
          <w:rFonts w:ascii="Century Gothic" w:eastAsia="Times New Roman" w:hAnsi="Century Gothic" w:cs="Tahoma"/>
          <w:bCs/>
          <w:color w:val="000000"/>
          <w:vertAlign w:val="superscript"/>
          <w:lang w:val="es-ES" w:eastAsia="es-ES"/>
        </w:rPr>
        <w:footnoteReference w:id="4"/>
      </w:r>
      <w:r w:rsidRPr="001C4E06">
        <w:rPr>
          <w:rFonts w:ascii="Century Gothic" w:eastAsia="Times New Roman" w:hAnsi="Century Gothic"/>
          <w:bCs/>
          <w:lang w:eastAsia="es-ES"/>
        </w:rPr>
        <w:t xml:space="preserve"> se pactó en sus </w:t>
      </w:r>
      <w:r w:rsidRPr="001C4E06">
        <w:rPr>
          <w:rFonts w:ascii="Century Gothic" w:eastAsia="Times New Roman" w:hAnsi="Century Gothic" w:cs="Tahoma"/>
          <w:bCs/>
          <w:color w:val="000000"/>
          <w:lang w:val="es-ES" w:eastAsia="es-ES"/>
        </w:rPr>
        <w:t>cláusulas 7 de las condiciones generales</w:t>
      </w:r>
      <w:r w:rsidRPr="001C4E06">
        <w:rPr>
          <w:rFonts w:ascii="Century Gothic" w:eastAsia="Times New Roman" w:hAnsi="Century Gothic" w:cs="Tahoma"/>
          <w:bCs/>
          <w:color w:val="000000"/>
          <w:vertAlign w:val="superscript"/>
          <w:lang w:val="es-ES" w:eastAsia="es-ES"/>
        </w:rPr>
        <w:footnoteReference w:id="5"/>
      </w:r>
      <w:r w:rsidRPr="001C4E06">
        <w:rPr>
          <w:rFonts w:ascii="Century Gothic" w:eastAsia="Times New Roman" w:hAnsi="Century Gothic" w:cs="Tahoma"/>
          <w:bCs/>
          <w:color w:val="000000"/>
          <w:lang w:val="es-ES" w:eastAsia="es-ES"/>
        </w:rPr>
        <w:t xml:space="preserve"> y 7.2 de las condiciones especiales</w:t>
      </w:r>
      <w:r w:rsidRPr="001C4E06">
        <w:rPr>
          <w:rFonts w:ascii="Century Gothic" w:eastAsia="Times New Roman" w:hAnsi="Century Gothic" w:cs="Tahoma"/>
          <w:bCs/>
          <w:color w:val="000000"/>
          <w:vertAlign w:val="superscript"/>
          <w:lang w:val="es-ES" w:eastAsia="es-ES"/>
        </w:rPr>
        <w:footnoteReference w:id="6"/>
      </w:r>
      <w:r w:rsidRPr="001C4E06">
        <w:rPr>
          <w:rFonts w:ascii="Century Gothic" w:eastAsia="Times New Roman" w:hAnsi="Century Gothic" w:cs="Tahoma"/>
          <w:bCs/>
          <w:color w:val="000000"/>
          <w:lang w:val="es-ES" w:eastAsia="es-ES"/>
        </w:rPr>
        <w:t xml:space="preserve">, que toda controversia frente a su incumplimiento se solucionaría “de </w:t>
      </w:r>
      <w:r w:rsidRPr="001C4E06">
        <w:rPr>
          <w:rFonts w:ascii="Century Gothic" w:eastAsia="Times New Roman" w:hAnsi="Century Gothic" w:cs="Tahoma"/>
          <w:bCs/>
          <w:color w:val="000000"/>
          <w:lang w:val="es-ES" w:eastAsia="es-ES"/>
        </w:rPr>
        <w:lastRenderedPageBreak/>
        <w:t>conformidad con el reglamento de arbitraje de la Comisión de las Naciones Unidas para el Derecho Mercantil Internacional (CNUDMI)”.</w:t>
      </w:r>
    </w:p>
    <w:p w14:paraId="69FF5780" w14:textId="77777777" w:rsidR="001C4E06" w:rsidRPr="001C4E06" w:rsidRDefault="001C4E06" w:rsidP="001C4E06">
      <w:pPr>
        <w:spacing w:after="0" w:line="360" w:lineRule="auto"/>
        <w:ind w:right="-1"/>
        <w:jc w:val="both"/>
        <w:rPr>
          <w:rFonts w:ascii="Century Gothic" w:eastAsia="Times New Roman" w:hAnsi="Century Gothic" w:cs="Tahoma"/>
          <w:bCs/>
          <w:color w:val="000000"/>
          <w:lang w:val="es-ES" w:eastAsia="es-ES"/>
        </w:rPr>
      </w:pPr>
    </w:p>
    <w:p w14:paraId="03CCBAF2" w14:textId="77777777" w:rsidR="001C4E06" w:rsidRPr="001C4E06" w:rsidRDefault="001C4E06" w:rsidP="001C4E06">
      <w:pPr>
        <w:spacing w:after="0" w:line="360" w:lineRule="auto"/>
        <w:ind w:right="-1"/>
        <w:jc w:val="both"/>
        <w:rPr>
          <w:rFonts w:ascii="Century Gothic" w:eastAsia="Times New Roman" w:hAnsi="Century Gothic" w:cs="Tahoma"/>
          <w:bCs/>
          <w:color w:val="000000"/>
          <w:lang w:val="es-ES" w:eastAsia="es-ES"/>
        </w:rPr>
      </w:pPr>
      <w:r w:rsidRPr="001C4E06">
        <w:rPr>
          <w:rFonts w:ascii="Century Gothic" w:eastAsia="Times New Roman" w:hAnsi="Century Gothic" w:cs="Tahoma"/>
          <w:bCs/>
          <w:color w:val="000000"/>
          <w:lang w:val="es-ES" w:eastAsia="es-ES"/>
        </w:rPr>
        <w:t xml:space="preserve">Al contestar la demanda, el IDU no propuso la excepción de falta de jurisdicción o competencia; en consecuencia, resulta necesario recordar que en el ya citado auto del 18 de abril de 2013 </w:t>
      </w:r>
      <w:r w:rsidRPr="001C4E06">
        <w:rPr>
          <w:rFonts w:ascii="Century Gothic" w:eastAsia="Times New Roman" w:hAnsi="Century Gothic"/>
          <w:bCs/>
          <w:lang w:eastAsia="es-ES"/>
        </w:rPr>
        <w:t xml:space="preserve">se dijo también que: </w:t>
      </w:r>
    </w:p>
    <w:p w14:paraId="602C898A" w14:textId="77777777" w:rsidR="001C4E06" w:rsidRPr="001C4E06" w:rsidRDefault="001C4E06" w:rsidP="001C4E06">
      <w:pPr>
        <w:tabs>
          <w:tab w:val="left" w:pos="8080"/>
          <w:tab w:val="left" w:pos="8364"/>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w:t>
      </w:r>
    </w:p>
    <w:p w14:paraId="27A552BE"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“De esta manera, la única vía que las partes tienen, por su propia decisión, para modificar o poner fin de manera válida el (sic) pacto arbitral la constituye, necesariamente, la celebración de un nuevo convenio expreso entre ellas, revestido de la misma formalidad –escrito– que las normas vigentes exigen para la celebración del pacto arbitral original”.</w:t>
      </w:r>
    </w:p>
    <w:p w14:paraId="0C64142D"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7666AAF5" w14:textId="77777777" w:rsidR="001C4E06" w:rsidRPr="001C4E06" w:rsidRDefault="001C4E06" w:rsidP="001C4E06">
      <w:pPr>
        <w:spacing w:after="0" w:line="240" w:lineRule="auto"/>
        <w:ind w:right="646"/>
        <w:jc w:val="both"/>
        <w:rPr>
          <w:rFonts w:ascii="Century Gothic" w:eastAsia="Times New Roman" w:hAnsi="Century Gothic"/>
          <w:sz w:val="20"/>
          <w:szCs w:val="20"/>
          <w:lang w:val="es-ES" w:eastAsia="es-ES"/>
        </w:rPr>
      </w:pPr>
    </w:p>
    <w:p w14:paraId="5BB96413" w14:textId="77777777" w:rsidR="001C4E06" w:rsidRPr="001C4E06" w:rsidRDefault="001C4E06" w:rsidP="001C4E06">
      <w:pPr>
        <w:spacing w:after="0" w:line="360" w:lineRule="auto"/>
        <w:ind w:right="17"/>
        <w:jc w:val="both"/>
        <w:rPr>
          <w:rFonts w:ascii="Century Gothic" w:eastAsia="Times New Roman" w:hAnsi="Century Gothic"/>
          <w:lang w:val="es-ES" w:eastAsia="es-ES"/>
        </w:rPr>
      </w:pPr>
      <w:r w:rsidRPr="001C4E06">
        <w:rPr>
          <w:rFonts w:ascii="Century Gothic" w:eastAsia="Times New Roman" w:hAnsi="Century Gothic"/>
          <w:lang w:val="es-ES" w:eastAsia="es-ES"/>
        </w:rPr>
        <w:t>Sin embargo, con posterioridad a este auto, se fue precisando su alcance; así por ejemplo, en auto de ponente de la Sección Tercera, Subsección C</w:t>
      </w:r>
      <w:r w:rsidRPr="001C4E06">
        <w:rPr>
          <w:rFonts w:ascii="Century Gothic" w:eastAsia="Times New Roman" w:hAnsi="Century Gothic"/>
          <w:vertAlign w:val="superscript"/>
          <w:lang w:val="es-ES" w:eastAsia="es-ES"/>
        </w:rPr>
        <w:footnoteReference w:id="7"/>
      </w:r>
      <w:r w:rsidRPr="001C4E06">
        <w:rPr>
          <w:rFonts w:ascii="Century Gothic" w:eastAsia="Times New Roman" w:hAnsi="Century Gothic"/>
          <w:lang w:val="es-ES" w:eastAsia="es-ES"/>
        </w:rPr>
        <w:t xml:space="preserve"> se indicó: </w:t>
      </w:r>
    </w:p>
    <w:p w14:paraId="72411C78" w14:textId="77777777" w:rsidR="001C4E06" w:rsidRPr="001C4E06" w:rsidRDefault="001C4E06" w:rsidP="001C4E06">
      <w:pPr>
        <w:spacing w:after="0" w:line="360" w:lineRule="auto"/>
        <w:ind w:right="17"/>
        <w:jc w:val="both"/>
        <w:rPr>
          <w:rFonts w:ascii="Century Gothic" w:eastAsia="Times New Roman" w:hAnsi="Century Gothic"/>
          <w:lang w:val="es-ES" w:eastAsia="es-ES"/>
        </w:rPr>
      </w:pPr>
    </w:p>
    <w:p w14:paraId="46EE1331" w14:textId="77777777" w:rsidR="001C4E06" w:rsidRPr="001C4E06" w:rsidRDefault="001C4E06" w:rsidP="001C4E06">
      <w:pPr>
        <w:widowControl w:val="0"/>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“La demanda se presentó el 18 de marzo de 2009, fecha para la cual la jurisprudencia consolidada se inclinaba por la posibilidad de la ‘renuncia tácita’ a la cláusula compromisoria. Criterio que solo vino a ser cambiado en decisión de 18 de abril de 2013, para exigir la renuncia expresa mediante escrito.</w:t>
      </w:r>
    </w:p>
    <w:p w14:paraId="36631259" w14:textId="77777777" w:rsidR="001C4E06" w:rsidRPr="001C4E06" w:rsidRDefault="001C4E06" w:rsidP="001C4E06">
      <w:pPr>
        <w:widowControl w:val="0"/>
        <w:spacing w:after="0" w:line="240" w:lineRule="auto"/>
        <w:ind w:left="851" w:right="646"/>
        <w:jc w:val="both"/>
        <w:rPr>
          <w:rFonts w:ascii="Century Gothic" w:eastAsia="Times New Roman" w:hAnsi="Century Gothic" w:cs="Arial"/>
          <w:sz w:val="20"/>
          <w:szCs w:val="20"/>
          <w:lang w:val="es-ES" w:eastAsia="es-ES"/>
        </w:rPr>
      </w:pPr>
    </w:p>
    <w:p w14:paraId="11C3A81E" w14:textId="77777777" w:rsidR="001C4E06" w:rsidRPr="001C4E06" w:rsidRDefault="001C4E06" w:rsidP="001C4E06">
      <w:pPr>
        <w:widowControl w:val="0"/>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“Aunque la variación de jurisprudencia por regla general tiene efectos sobre todos los casos a los que se aplica, no se puede desconocer que un nuevo criterio, aplicado a las demandas interpuestas con anterioridad, puede -como sucede en este caso- entrañar una afectación al derecho de acceso a la justicia, al imponer una carga desproporcionada al demandante, luego de muchos años de estar pendiente de una resolución de su controversia</w:t>
      </w:r>
      <w:r w:rsidRPr="001C4E06">
        <w:rPr>
          <w:rFonts w:ascii="Century Gothic" w:eastAsia="Times New Roman" w:hAnsi="Century Gothic" w:cs="Arial"/>
          <w:sz w:val="20"/>
          <w:szCs w:val="20"/>
          <w:vertAlign w:val="superscript"/>
          <w:lang w:val="es-ES" w:eastAsia="es-ES"/>
        </w:rPr>
        <w:footnoteReference w:id="8"/>
      </w:r>
      <w:r w:rsidRPr="001C4E06">
        <w:rPr>
          <w:rFonts w:ascii="Century Gothic" w:eastAsia="Times New Roman" w:hAnsi="Century Gothic" w:cs="Arial"/>
          <w:sz w:val="20"/>
          <w:szCs w:val="20"/>
          <w:lang w:val="es-ES" w:eastAsia="es-ES"/>
        </w:rPr>
        <w:t>.</w:t>
      </w:r>
    </w:p>
    <w:p w14:paraId="1A153AD4" w14:textId="77777777" w:rsidR="001C4E06" w:rsidRPr="001C4E06" w:rsidRDefault="001C4E06" w:rsidP="001C4E06">
      <w:pPr>
        <w:widowControl w:val="0"/>
        <w:spacing w:after="0" w:line="240" w:lineRule="auto"/>
        <w:ind w:left="851" w:right="646"/>
        <w:jc w:val="both"/>
        <w:rPr>
          <w:rFonts w:ascii="Century Gothic" w:eastAsia="Times New Roman" w:hAnsi="Century Gothic" w:cs="Arial"/>
          <w:sz w:val="20"/>
          <w:szCs w:val="20"/>
          <w:lang w:val="es-ES" w:eastAsia="es-ES"/>
        </w:rPr>
      </w:pPr>
    </w:p>
    <w:p w14:paraId="3B7E85C6" w14:textId="77777777" w:rsidR="001C4E06" w:rsidRPr="001C4E06" w:rsidRDefault="001C4E06" w:rsidP="001C4E06">
      <w:pPr>
        <w:widowControl w:val="0"/>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 xml:space="preserve">“(...) </w:t>
      </w:r>
    </w:p>
    <w:p w14:paraId="7FDEBD97" w14:textId="77777777" w:rsidR="001C4E06" w:rsidRPr="001C4E06" w:rsidRDefault="001C4E06" w:rsidP="001C4E06">
      <w:pPr>
        <w:widowControl w:val="0"/>
        <w:spacing w:after="0" w:line="240" w:lineRule="auto"/>
        <w:ind w:left="851" w:right="646"/>
        <w:jc w:val="both"/>
        <w:rPr>
          <w:rFonts w:ascii="Century Gothic" w:eastAsia="Times New Roman" w:hAnsi="Century Gothic" w:cs="Arial"/>
          <w:sz w:val="20"/>
          <w:szCs w:val="20"/>
          <w:lang w:val="es-ES" w:eastAsia="es-ES"/>
        </w:rPr>
      </w:pPr>
    </w:p>
    <w:p w14:paraId="1F1C40B2" w14:textId="77777777" w:rsidR="001C4E06" w:rsidRPr="001C4E06" w:rsidRDefault="001C4E06" w:rsidP="001C4E06">
      <w:pPr>
        <w:widowControl w:val="0"/>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“Como al momento de la presentación de la demanda la jurisprudencia del Consejo de Estado aceptaba la renuncia tácita de las partes de un contrato estatal a la cláusula compromisoria, se aplicará la misma en este asunto y, por ello, se revocará la decisión de primera instancia”.</w:t>
      </w:r>
    </w:p>
    <w:p w14:paraId="19EAA370" w14:textId="77777777" w:rsidR="001C4E06" w:rsidRPr="001C4E06" w:rsidRDefault="001C4E06" w:rsidP="001C4E06">
      <w:pPr>
        <w:spacing w:after="0" w:line="360" w:lineRule="auto"/>
        <w:ind w:right="17"/>
        <w:jc w:val="both"/>
        <w:rPr>
          <w:rFonts w:ascii="Century Gothic" w:eastAsia="Times New Roman" w:hAnsi="Century Gothic"/>
          <w:lang w:val="es-ES" w:eastAsia="es-ES"/>
        </w:rPr>
      </w:pPr>
    </w:p>
    <w:p w14:paraId="598CD10F" w14:textId="77777777" w:rsidR="001C4E06" w:rsidRPr="001C4E06" w:rsidRDefault="001C4E06" w:rsidP="001C4E06">
      <w:pPr>
        <w:spacing w:after="0" w:line="360" w:lineRule="auto"/>
        <w:ind w:right="17"/>
        <w:jc w:val="both"/>
        <w:rPr>
          <w:rFonts w:ascii="Century Gothic" w:eastAsia="Times New Roman" w:hAnsi="Century Gothic"/>
          <w:lang w:val="es-ES" w:eastAsia="es-ES"/>
        </w:rPr>
      </w:pPr>
      <w:r w:rsidRPr="001C4E06">
        <w:rPr>
          <w:rFonts w:ascii="Century Gothic" w:eastAsia="Times New Roman" w:hAnsi="Century Gothic"/>
          <w:lang w:val="es-ES" w:eastAsia="es-ES"/>
        </w:rPr>
        <w:t>La misma, Subsección C, en sentencia del 25 de abril de 2018</w:t>
      </w:r>
      <w:r w:rsidRPr="001C4E06">
        <w:rPr>
          <w:rFonts w:ascii="Century Gothic" w:eastAsia="Times New Roman" w:hAnsi="Century Gothic"/>
          <w:vertAlign w:val="superscript"/>
          <w:lang w:val="es-ES" w:eastAsia="es-ES"/>
        </w:rPr>
        <w:footnoteReference w:id="9"/>
      </w:r>
      <w:r w:rsidRPr="001C4E06">
        <w:rPr>
          <w:rFonts w:ascii="Century Gothic" w:eastAsia="Times New Roman" w:hAnsi="Century Gothic"/>
          <w:lang w:val="es-ES" w:eastAsia="es-ES"/>
        </w:rPr>
        <w:t xml:space="preserve"> dijo (se transcribe literal): </w:t>
      </w:r>
    </w:p>
    <w:p w14:paraId="0A3D1055" w14:textId="77777777" w:rsidR="001C4E06" w:rsidRPr="001C4E06" w:rsidRDefault="001C4E06" w:rsidP="001C4E06">
      <w:pPr>
        <w:spacing w:after="0" w:line="240" w:lineRule="auto"/>
        <w:ind w:right="17"/>
        <w:jc w:val="both"/>
        <w:rPr>
          <w:rFonts w:ascii="Century Gothic" w:eastAsia="Times New Roman" w:hAnsi="Century Gothic"/>
          <w:sz w:val="20"/>
          <w:szCs w:val="20"/>
          <w:lang w:val="es-ES" w:eastAsia="es-ES"/>
        </w:rPr>
      </w:pPr>
    </w:p>
    <w:p w14:paraId="63A84539"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 xml:space="preserve">“5.19.- </w:t>
      </w:r>
      <w:r w:rsidRPr="001C4E06">
        <w:rPr>
          <w:rFonts w:ascii="Century Gothic" w:eastAsia="Times New Roman" w:hAnsi="Century Gothic"/>
          <w:i/>
          <w:sz w:val="20"/>
          <w:szCs w:val="20"/>
          <w:lang w:val="es-ES" w:eastAsia="es-ES"/>
        </w:rPr>
        <w:t>Razones Convencionales. Sistema Interamericano de Derechos Humanos.</w:t>
      </w:r>
      <w:r w:rsidRPr="001C4E06">
        <w:rPr>
          <w:rFonts w:ascii="Century Gothic" w:eastAsia="Times New Roman" w:hAnsi="Century Gothic"/>
          <w:sz w:val="20"/>
          <w:szCs w:val="20"/>
          <w:lang w:val="es-ES" w:eastAsia="es-ES"/>
        </w:rPr>
        <w:t xml:space="preserve"> La Sala estima central traer a colación, en apoyo de lo expuesto, lo considerado por la Comisión Interamericana de Derechos Humanos en el Caso Narciso Palacios c/ Argentina</w:t>
      </w:r>
      <w:r w:rsidRPr="001C4E06">
        <w:rPr>
          <w:rFonts w:ascii="Century Gothic" w:eastAsia="Times New Roman" w:hAnsi="Century Gothic"/>
          <w:sz w:val="20"/>
          <w:szCs w:val="20"/>
          <w:vertAlign w:val="superscript"/>
          <w:lang w:val="es-ES" w:eastAsia="es-ES"/>
        </w:rPr>
        <w:footnoteReference w:id="10"/>
      </w:r>
      <w:r w:rsidRPr="001C4E06">
        <w:rPr>
          <w:rFonts w:ascii="Century Gothic" w:eastAsia="Times New Roman" w:hAnsi="Century Gothic"/>
          <w:sz w:val="20"/>
          <w:szCs w:val="20"/>
          <w:lang w:val="es-ES" w:eastAsia="es-ES"/>
        </w:rPr>
        <w:t xml:space="preserve">, relativo al rechazo de una demanda contencioso-administrativa donde la razón de la decisión tuvo por fundamento una </w:t>
      </w:r>
      <w:r w:rsidRPr="001C4E06">
        <w:rPr>
          <w:rFonts w:ascii="Century Gothic" w:eastAsia="Times New Roman" w:hAnsi="Century Gothic"/>
          <w:sz w:val="20"/>
          <w:szCs w:val="20"/>
          <w:lang w:val="es-ES" w:eastAsia="es-ES"/>
        </w:rPr>
        <w:lastRenderedPageBreak/>
        <w:t>interpretación jurisprudencial surgida con posterioridad a la fecha de interposición de la demanda.</w:t>
      </w:r>
    </w:p>
    <w:p w14:paraId="49748C53"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17382638"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 xml:space="preserve">“5.20.- Expuso la Comisión que el derecho a la tutela judicial efectiva puede </w:t>
      </w:r>
      <w:r w:rsidRPr="001C4E06">
        <w:rPr>
          <w:rFonts w:ascii="Century Gothic" w:eastAsia="Times New Roman" w:hAnsi="Century Gothic"/>
          <w:i/>
          <w:sz w:val="20"/>
          <w:szCs w:val="20"/>
          <w:lang w:val="es-ES" w:eastAsia="es-ES"/>
        </w:rPr>
        <w:t>‘traducirse en la garantía de la libre entrada a los tribunales para la defensa de los derechos e intereses frente al poder público (…)’</w:t>
      </w:r>
      <w:r w:rsidRPr="001C4E06">
        <w:rPr>
          <w:rFonts w:ascii="Century Gothic" w:eastAsia="Times New Roman" w:hAnsi="Century Gothic"/>
          <w:sz w:val="20"/>
          <w:szCs w:val="20"/>
          <w:lang w:val="es-ES" w:eastAsia="es-ES"/>
        </w:rPr>
        <w:t xml:space="preserve"> y constató que el (sic) caso </w:t>
      </w:r>
      <w:r w:rsidRPr="001C4E06">
        <w:rPr>
          <w:rFonts w:ascii="Century Gothic" w:eastAsia="Times New Roman" w:hAnsi="Century Gothic"/>
          <w:i/>
          <w:sz w:val="20"/>
          <w:szCs w:val="20"/>
          <w:lang w:val="es-ES" w:eastAsia="es-ES"/>
        </w:rPr>
        <w:t>sub judice</w:t>
      </w:r>
      <w:r w:rsidRPr="001C4E06">
        <w:rPr>
          <w:rFonts w:ascii="Century Gothic" w:eastAsia="Times New Roman" w:hAnsi="Century Gothic"/>
          <w:sz w:val="20"/>
          <w:szCs w:val="20"/>
          <w:lang w:val="es-ES" w:eastAsia="es-ES"/>
        </w:rPr>
        <w:t xml:space="preserve"> la decisión desfavorable no se debió a omisión o negligencia de la parte sino al cambio jurisprudencial aplicado retroactivamente, por lo que concluyó que Argentina había incumplido la obligación de reconocer y garantizar el derecho a la tutela judicial efectiva y el debido proceso, garantizados por los artículos 8 y 25 de la CADH.</w:t>
      </w:r>
    </w:p>
    <w:p w14:paraId="601EF28E"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1E4C24FA"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w:t>
      </w:r>
    </w:p>
    <w:p w14:paraId="6A335A2B"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4F170B2C"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 xml:space="preserve">“5.22.- </w:t>
      </w:r>
      <w:r w:rsidRPr="001C4E06">
        <w:rPr>
          <w:rFonts w:ascii="Century Gothic" w:eastAsia="Times New Roman" w:hAnsi="Century Gothic"/>
          <w:i/>
          <w:sz w:val="20"/>
          <w:szCs w:val="20"/>
          <w:lang w:val="es-ES" w:eastAsia="es-ES"/>
        </w:rPr>
        <w:t>Criterio del Pleno Contencioso del Consejo de Estado.</w:t>
      </w:r>
      <w:r w:rsidRPr="001C4E06">
        <w:rPr>
          <w:rFonts w:ascii="Century Gothic" w:eastAsia="Times New Roman" w:hAnsi="Century Gothic"/>
          <w:sz w:val="20"/>
          <w:szCs w:val="20"/>
          <w:lang w:val="es-ES" w:eastAsia="es-ES"/>
        </w:rPr>
        <w:t xml:space="preserve"> Ante la Sala Plena de esta Corporación fue llevado un asunto relativo a la identificación de la acción contenciosa idónea que debía proponerse por el interesado en casos relativos a la liquidación y monto del derecho de cesantías y reconocimiento de sanción moratoria o las reclamaciones de pago de cesantías y sanción moratoria, en razón a la disparidad de criterios jurisprudenciales existentes en las diferentes Secciones de esta Corporación, dado que se habían propuesto, para la misma temática, las acciones de nulidad y restablecimiento del derecho, ejecutiva y de reparación directa.</w:t>
      </w:r>
    </w:p>
    <w:p w14:paraId="421471DF"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25615E84"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“5.23.- En el fallo que dirimió la controversia, que data de 27 de marzo de 2007</w:t>
      </w:r>
      <w:r w:rsidRPr="001C4E06">
        <w:rPr>
          <w:rFonts w:ascii="Century Gothic" w:eastAsia="Times New Roman" w:hAnsi="Century Gothic"/>
          <w:sz w:val="20"/>
          <w:szCs w:val="20"/>
          <w:vertAlign w:val="superscript"/>
          <w:lang w:val="es-ES" w:eastAsia="es-ES"/>
        </w:rPr>
        <w:footnoteReference w:id="11"/>
      </w:r>
      <w:r w:rsidRPr="001C4E06">
        <w:rPr>
          <w:rFonts w:ascii="Century Gothic" w:eastAsia="Times New Roman" w:hAnsi="Century Gothic"/>
          <w:sz w:val="20"/>
          <w:szCs w:val="20"/>
          <w:lang w:val="es-ES" w:eastAsia="es-ES"/>
        </w:rPr>
        <w:t xml:space="preserve">, la Sala fijó como criterio jurisprudencial unificado lo siguiente: </w:t>
      </w:r>
      <w:r w:rsidRPr="001C4E06">
        <w:rPr>
          <w:rFonts w:ascii="Century Gothic" w:eastAsia="Times New Roman" w:hAnsi="Century Gothic"/>
          <w:i/>
          <w:sz w:val="20"/>
          <w:szCs w:val="20"/>
          <w:lang w:val="es-ES" w:eastAsia="es-ES"/>
        </w:rPr>
        <w:t>(i)</w:t>
      </w:r>
      <w:r w:rsidRPr="001C4E06">
        <w:rPr>
          <w:rFonts w:ascii="Century Gothic" w:eastAsia="Times New Roman" w:hAnsi="Century Gothic"/>
          <w:sz w:val="20"/>
          <w:szCs w:val="20"/>
          <w:lang w:val="es-ES" w:eastAsia="es-ES"/>
        </w:rPr>
        <w:t xml:space="preserve"> la acción de nulidad y restablecimiento del derecho es la vía procesal conducente para controvertir los actos de reconocimiento de las cesantías definitivas, </w:t>
      </w:r>
      <w:r w:rsidRPr="001C4E06">
        <w:rPr>
          <w:rFonts w:ascii="Century Gothic" w:eastAsia="Times New Roman" w:hAnsi="Century Gothic"/>
          <w:i/>
          <w:sz w:val="20"/>
          <w:szCs w:val="20"/>
          <w:lang w:val="es-ES" w:eastAsia="es-ES"/>
        </w:rPr>
        <w:t>(ii)</w:t>
      </w:r>
      <w:r w:rsidRPr="001C4E06">
        <w:rPr>
          <w:rFonts w:ascii="Century Gothic" w:eastAsia="Times New Roman" w:hAnsi="Century Gothic"/>
          <w:sz w:val="20"/>
          <w:szCs w:val="20"/>
          <w:lang w:val="es-ES" w:eastAsia="es-ES"/>
        </w:rPr>
        <w:t xml:space="preserve"> ese acto de reconocimiento constituye título ejecutivo y, entonces, puede ser reclamado por conducto de la acción ejecutiva, </w:t>
      </w:r>
      <w:r w:rsidRPr="001C4E06">
        <w:rPr>
          <w:rFonts w:ascii="Century Gothic" w:eastAsia="Times New Roman" w:hAnsi="Century Gothic"/>
          <w:i/>
          <w:sz w:val="20"/>
          <w:szCs w:val="20"/>
          <w:lang w:val="es-ES" w:eastAsia="es-ES"/>
        </w:rPr>
        <w:t>(iii)</w:t>
      </w:r>
      <w:r w:rsidRPr="001C4E06">
        <w:rPr>
          <w:rFonts w:ascii="Century Gothic" w:eastAsia="Times New Roman" w:hAnsi="Century Gothic"/>
          <w:sz w:val="20"/>
          <w:szCs w:val="20"/>
          <w:lang w:val="es-ES" w:eastAsia="es-ES"/>
        </w:rPr>
        <w:t xml:space="preserve"> la acción de nulidad y restablecimiento del derecho es procedente para controvertir el acto de reconocimiento de sanción moratoria, si hay acuerdo sobre su contenido y no se ha realizado el pago la acción idónea es la ejecutiva; </w:t>
      </w:r>
      <w:r w:rsidRPr="001C4E06">
        <w:rPr>
          <w:rFonts w:ascii="Century Gothic" w:eastAsia="Times New Roman" w:hAnsi="Century Gothic"/>
          <w:i/>
          <w:sz w:val="20"/>
          <w:szCs w:val="20"/>
          <w:lang w:val="es-ES" w:eastAsia="es-ES"/>
        </w:rPr>
        <w:t>(iv)</w:t>
      </w:r>
      <w:r w:rsidRPr="001C4E06">
        <w:rPr>
          <w:rFonts w:ascii="Century Gothic" w:eastAsia="Times New Roman" w:hAnsi="Century Gothic"/>
          <w:sz w:val="20"/>
          <w:szCs w:val="20"/>
          <w:lang w:val="es-ES" w:eastAsia="es-ES"/>
        </w:rPr>
        <w:t xml:space="preserve"> si existe discusión sobre los elementos que conforman el título ejecutivo, debe acudirse a la jurisdicción contenciosa para que defina el tema, de lo contrario, la ejecución puede ser adelantada ante la jurisdicción ordinaria.</w:t>
      </w:r>
    </w:p>
    <w:p w14:paraId="2373B403"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28CDAA90"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“5.24.- No obstante, lo relevante de este fallo radica en la inclusión de una cláusula expresa</w:t>
      </w:r>
      <w:r w:rsidRPr="001C4E06">
        <w:rPr>
          <w:rFonts w:ascii="Century Gothic" w:eastAsia="Times New Roman" w:hAnsi="Century Gothic"/>
          <w:sz w:val="20"/>
          <w:szCs w:val="20"/>
          <w:vertAlign w:val="superscript"/>
          <w:lang w:val="es-ES" w:eastAsia="es-ES"/>
        </w:rPr>
        <w:footnoteReference w:id="12"/>
      </w:r>
      <w:r w:rsidRPr="001C4E06">
        <w:rPr>
          <w:rFonts w:ascii="Century Gothic" w:eastAsia="Times New Roman" w:hAnsi="Century Gothic"/>
          <w:sz w:val="20"/>
          <w:szCs w:val="20"/>
          <w:lang w:val="es-ES" w:eastAsia="es-ES"/>
        </w:rPr>
        <w:t xml:space="preserve"> en la parte considerativa donde la Sala realizó una auténtica modulación en el tiempo de los efectos de la nueva posición jurisprudencial unificada en relación con los procesos que se encontraban, para entonces, en trámite ante la justicia, para concluir que los demandantes que hubieren impetrado la acción de reparación directa con anterioridad a la fecha de emisión de ese fallo </w:t>
      </w:r>
      <w:r w:rsidRPr="001C4E06">
        <w:rPr>
          <w:rFonts w:ascii="Century Gothic" w:eastAsia="Times New Roman" w:hAnsi="Century Gothic"/>
          <w:i/>
          <w:sz w:val="20"/>
          <w:szCs w:val="20"/>
          <w:lang w:val="es-ES" w:eastAsia="es-ES"/>
        </w:rPr>
        <w:t>‘deben continuar con el trámite iniciado hasta su culminación, conforme a las tesis jurisprudenciales correspondientes. Por lo tanto la presente sentencia ha de ser criterio jurisprudencial a partir de su ejecutoria’</w:t>
      </w:r>
      <w:r w:rsidRPr="001C4E06">
        <w:rPr>
          <w:rFonts w:ascii="Century Gothic" w:eastAsia="Times New Roman" w:hAnsi="Century Gothic"/>
          <w:sz w:val="20"/>
          <w:szCs w:val="20"/>
          <w:lang w:val="es-ES" w:eastAsia="es-ES"/>
        </w:rPr>
        <w:t xml:space="preserve">. </w:t>
      </w:r>
    </w:p>
    <w:p w14:paraId="7515171F"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45250509"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 xml:space="preserve">“5.25.- Nótese cómo con este pronunciamiento se toma conciencia que los cambios jurisprudenciales introducidos no tienen la entidad suficiente como para hacer desaparecer </w:t>
      </w:r>
      <w:r w:rsidRPr="001C4E06">
        <w:rPr>
          <w:rFonts w:ascii="Century Gothic" w:eastAsia="Times New Roman" w:hAnsi="Century Gothic"/>
          <w:i/>
          <w:sz w:val="20"/>
          <w:szCs w:val="20"/>
          <w:lang w:val="es-ES" w:eastAsia="es-ES"/>
        </w:rPr>
        <w:t>ipso iure</w:t>
      </w:r>
      <w:r w:rsidRPr="001C4E06">
        <w:rPr>
          <w:rFonts w:ascii="Century Gothic" w:eastAsia="Times New Roman" w:hAnsi="Century Gothic"/>
          <w:sz w:val="20"/>
          <w:szCs w:val="20"/>
          <w:lang w:val="es-ES" w:eastAsia="es-ES"/>
        </w:rPr>
        <w:t xml:space="preserve"> los efectos jurídicos de la jurisprudencia superada, pues ante el cambio jurisprudencial drástico acogido (que excluía a la acción de reparación como medio idóneo para obtener el pago de las cesantías o la sanción moratoria y llevaría a dictaminar fallos inhibitorios por indebida escogencia de la acción) la Sala, en salvaguarda de la seguridad jurídica y el acceso a la administración de justicia, garantizó el derecho de quienes, movidos por uno de los criterios jurisprudenciales preexistentes, formularon sus demandas ante la jurisdicción bajo el mecanismo procesal de la acción de reparación directa a fin de evitarles perjuicios en sus derechos.</w:t>
      </w:r>
    </w:p>
    <w:p w14:paraId="383EFF04"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63CA00A3"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w:t>
      </w:r>
    </w:p>
    <w:p w14:paraId="5787524B"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7D6CE25B"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 xml:space="preserve">“5.30.- En suma, aun cuando se trata de un fallo dictado por una de las Salas de Revisión de la Corte Constitucional y, por ende, no constituye criterio unificado del pleno, de su lectura se desprende una clara regla jurisprudencial que refuerza la tesis defendida en esta providencia judicial, esto es, que </w:t>
      </w:r>
      <w:r w:rsidRPr="001C4E06">
        <w:rPr>
          <w:rFonts w:ascii="Century Gothic" w:eastAsia="Times New Roman" w:hAnsi="Century Gothic"/>
          <w:i/>
          <w:sz w:val="20"/>
          <w:szCs w:val="20"/>
          <w:lang w:val="es-ES" w:eastAsia="es-ES"/>
        </w:rPr>
        <w:t>dentro del marco de garantías del debido proceso se inscribe</w:t>
      </w:r>
      <w:r w:rsidRPr="001C4E06">
        <w:rPr>
          <w:rFonts w:ascii="Century Gothic" w:eastAsia="Times New Roman" w:hAnsi="Century Gothic"/>
          <w:sz w:val="20"/>
          <w:szCs w:val="20"/>
          <w:lang w:val="es-ES" w:eastAsia="es-ES"/>
        </w:rPr>
        <w:t xml:space="preserve"> </w:t>
      </w:r>
      <w:r w:rsidRPr="001C4E06">
        <w:rPr>
          <w:rFonts w:ascii="Century Gothic" w:eastAsia="Times New Roman" w:hAnsi="Century Gothic"/>
          <w:i/>
          <w:sz w:val="20"/>
          <w:szCs w:val="20"/>
          <w:lang w:val="es-ES" w:eastAsia="es-ES"/>
        </w:rPr>
        <w:t>el respeto al precedente judicial vigente al momento de la interposición de las acciones o recursos judiciales</w:t>
      </w:r>
      <w:r w:rsidRPr="001C4E06">
        <w:rPr>
          <w:rFonts w:ascii="Century Gothic" w:eastAsia="Times New Roman" w:hAnsi="Century Gothic"/>
          <w:sz w:val="20"/>
          <w:szCs w:val="20"/>
          <w:lang w:val="es-ES" w:eastAsia="es-ES"/>
        </w:rPr>
        <w:t xml:space="preserve"> y, por ende, </w:t>
      </w:r>
      <w:r w:rsidRPr="001C4E06">
        <w:rPr>
          <w:rFonts w:ascii="Century Gothic" w:eastAsia="Times New Roman" w:hAnsi="Century Gothic"/>
          <w:i/>
          <w:sz w:val="20"/>
          <w:szCs w:val="20"/>
          <w:lang w:val="es-ES" w:eastAsia="es-ES"/>
        </w:rPr>
        <w:t>sorprender al justiciado con un criterio jurisprudencial posterior imprevisto viola tal garantía</w:t>
      </w:r>
      <w:r w:rsidRPr="001C4E06">
        <w:rPr>
          <w:rFonts w:ascii="Century Gothic" w:eastAsia="Times New Roman" w:hAnsi="Century Gothic"/>
          <w:sz w:val="20"/>
          <w:szCs w:val="20"/>
          <w:lang w:val="es-ES" w:eastAsia="es-ES"/>
        </w:rPr>
        <w:t>.</w:t>
      </w:r>
    </w:p>
    <w:p w14:paraId="5534B877"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62958D5D"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w:t>
      </w:r>
    </w:p>
    <w:p w14:paraId="1E5D045A"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717CA2D2" w14:textId="77777777" w:rsidR="001C4E06" w:rsidRPr="001C4E06" w:rsidRDefault="001C4E06" w:rsidP="001C4E06">
      <w:pPr>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sz w:val="20"/>
          <w:szCs w:val="20"/>
          <w:lang w:val="es-ES" w:eastAsia="es-ES"/>
        </w:rPr>
        <w:t>“8.1.3.- No obstante, en criterio de esta judicatura, el Tribunal debió considerar con rigor que la controversia contractual se introdujo por el Consorcio el 2 de marzo de 2010</w:t>
      </w:r>
      <w:r w:rsidRPr="001C4E06">
        <w:rPr>
          <w:rFonts w:ascii="Century Gothic" w:eastAsia="Times New Roman" w:hAnsi="Century Gothic"/>
          <w:sz w:val="20"/>
          <w:szCs w:val="20"/>
          <w:vertAlign w:val="superscript"/>
          <w:lang w:val="es-ES" w:eastAsia="es-ES"/>
        </w:rPr>
        <w:footnoteReference w:id="13"/>
      </w:r>
      <w:r w:rsidRPr="001C4E06">
        <w:rPr>
          <w:rFonts w:ascii="Century Gothic" w:eastAsia="Times New Roman" w:hAnsi="Century Gothic"/>
          <w:sz w:val="20"/>
          <w:szCs w:val="20"/>
          <w:lang w:val="es-ES" w:eastAsia="es-ES"/>
        </w:rPr>
        <w:t xml:space="preserve">, esto es, en época anterior al pronunciamiento de 18 de abril de 2013 de la Sala Plena de la Sección Tercera que modificó la tesis jurisprudencial sobre la materia; pues a partir de tal averiguación se advierte la inaplicabilidad </w:t>
      </w:r>
      <w:r w:rsidRPr="001C4E06">
        <w:rPr>
          <w:rFonts w:ascii="Century Gothic" w:eastAsia="Times New Roman" w:hAnsi="Century Gothic" w:cs="Arial"/>
          <w:sz w:val="20"/>
          <w:szCs w:val="20"/>
          <w:lang w:val="es-ES" w:eastAsia="es-ES"/>
        </w:rPr>
        <w:t xml:space="preserve">temporal de ese precedente a la controversia </w:t>
      </w:r>
      <w:r w:rsidRPr="001C4E06">
        <w:rPr>
          <w:rFonts w:ascii="Century Gothic" w:eastAsia="Times New Roman" w:hAnsi="Century Gothic" w:cs="Arial"/>
          <w:i/>
          <w:sz w:val="20"/>
          <w:szCs w:val="20"/>
          <w:lang w:val="es-ES" w:eastAsia="es-ES"/>
        </w:rPr>
        <w:t>sub judice</w:t>
      </w:r>
      <w:r w:rsidRPr="001C4E06">
        <w:rPr>
          <w:rFonts w:ascii="Century Gothic" w:eastAsia="Times New Roman" w:hAnsi="Century Gothic" w:cs="Arial"/>
          <w:sz w:val="20"/>
          <w:szCs w:val="20"/>
          <w:lang w:val="es-ES" w:eastAsia="es-ES"/>
        </w:rPr>
        <w:t>, en razón a que el mismo era inexistente para entonces y no puede ser invocado de manera retroactiva, toda vez que desconocería los fundamentos de derecho –legales y jurisprudenciales– preexistentes con arreglo a los cuales se determinó favorablemente la jurisdicción de lo contencioso administrativo como competente para conocer y tramitar un litigio contractual en el que las partes habían pactado una cláusula compromisoria, aspecto éste definitorio de la garantía constitucional y convencional de acceso a la justicia.</w:t>
      </w:r>
    </w:p>
    <w:p w14:paraId="557F3FFC" w14:textId="77777777" w:rsidR="001C4E06" w:rsidRPr="001C4E06" w:rsidRDefault="001C4E06" w:rsidP="001C4E06">
      <w:pPr>
        <w:spacing w:after="0" w:line="240" w:lineRule="auto"/>
        <w:ind w:left="851" w:right="646"/>
        <w:rPr>
          <w:rFonts w:ascii="Century Gothic" w:eastAsia="Times New Roman" w:hAnsi="Century Gothic" w:cs="Arial"/>
          <w:sz w:val="20"/>
          <w:szCs w:val="20"/>
          <w:lang w:val="es-ES" w:eastAsia="es-ES"/>
        </w:rPr>
      </w:pPr>
    </w:p>
    <w:p w14:paraId="0DC67D64"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cs="Arial"/>
          <w:sz w:val="20"/>
          <w:szCs w:val="20"/>
          <w:lang w:val="es-ES" w:eastAsia="es-ES"/>
        </w:rPr>
        <w:t xml:space="preserve">“8.1.4.- En ese sentido, la Sala reitera el criterio fijado en la sentencia de 4 de septiembre de 2017 recaída dentro del exp. 57279 en la que se afirmó, en sujeción a la cláusula de Estado de Derecho y conforme a la garantía de los derechos de igualdad, libertad personal y acceso a la administración de justicia, que los cambios de precedente jurisprudencial tienen, por regla general, efecto prospectivo o a futuro. En consecuencia está proscrito a la Administración o a la autoridad jurisdiccional, aplicar una norma adjetiva o de derecho sustantivo de fuente jurisprudencial inexistente para cuando la controversia jurídica fue introducida. </w:t>
      </w:r>
    </w:p>
    <w:p w14:paraId="12C52CD0"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3154E5FB"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w:t>
      </w:r>
    </w:p>
    <w:p w14:paraId="21078D6D"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39C94DC3" w14:textId="77777777" w:rsidR="001C4E06" w:rsidRPr="001C4E06" w:rsidRDefault="001C4E06" w:rsidP="001C4E06">
      <w:pPr>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 xml:space="preserve">“8.1.5.- En ese orden de ideas, en el </w:t>
      </w:r>
      <w:r w:rsidRPr="001C4E06">
        <w:rPr>
          <w:rFonts w:ascii="Century Gothic" w:eastAsia="Times New Roman" w:hAnsi="Century Gothic" w:cs="Arial"/>
          <w:i/>
          <w:sz w:val="20"/>
          <w:szCs w:val="20"/>
          <w:lang w:val="es-ES" w:eastAsia="es-ES"/>
        </w:rPr>
        <w:t xml:space="preserve">sub judice </w:t>
      </w:r>
      <w:r w:rsidRPr="001C4E06">
        <w:rPr>
          <w:rFonts w:ascii="Century Gothic" w:eastAsia="Times New Roman" w:hAnsi="Century Gothic" w:cs="Arial"/>
          <w:sz w:val="20"/>
          <w:szCs w:val="20"/>
          <w:lang w:val="es-ES" w:eastAsia="es-ES"/>
        </w:rPr>
        <w:t xml:space="preserve">se advierte la transición de una regla jurisprudencial relativa a la determinación de la jurisdicción competente para conocer de una controversia contractual en la que las partes pactaron una cláusula compromisoria y una de ellas acudió ante el contencioso administrativo, razón por la cual cobra plena vigencia la </w:t>
      </w:r>
      <w:r w:rsidRPr="001C4E06">
        <w:rPr>
          <w:rFonts w:ascii="Century Gothic" w:eastAsia="Times New Roman" w:hAnsi="Century Gothic" w:cs="Arial"/>
          <w:i/>
          <w:sz w:val="20"/>
          <w:szCs w:val="20"/>
          <w:lang w:val="es-ES" w:eastAsia="es-ES"/>
        </w:rPr>
        <w:t>ratio decidendi</w:t>
      </w:r>
      <w:r w:rsidRPr="001C4E06">
        <w:rPr>
          <w:rFonts w:ascii="Century Gothic" w:eastAsia="Times New Roman" w:hAnsi="Century Gothic" w:cs="Arial"/>
          <w:sz w:val="20"/>
          <w:szCs w:val="20"/>
          <w:lang w:val="es-ES" w:eastAsia="es-ES"/>
        </w:rPr>
        <w:t xml:space="preserve"> de la sentencia de 4 de septiembre de 2017, para señalar que como este litigio se introdujo antes del cambio jurisprudencial anotado el criterio aplicable es aquél anterior, vigente para entonces, que informaba sobre la </w:t>
      </w:r>
      <w:r w:rsidRPr="001C4E06">
        <w:rPr>
          <w:rFonts w:ascii="Century Gothic" w:eastAsia="Times New Roman" w:hAnsi="Century Gothic" w:cs="Arial"/>
          <w:i/>
          <w:sz w:val="20"/>
          <w:szCs w:val="20"/>
          <w:lang w:val="es-ES" w:eastAsia="es-ES"/>
        </w:rPr>
        <w:t>derogatoria táctica</w:t>
      </w:r>
      <w:r w:rsidRPr="001C4E06">
        <w:rPr>
          <w:rFonts w:ascii="Century Gothic" w:eastAsia="Times New Roman" w:hAnsi="Century Gothic" w:cs="Arial"/>
          <w:sz w:val="20"/>
          <w:szCs w:val="20"/>
          <w:lang w:val="es-ES" w:eastAsia="es-ES"/>
        </w:rPr>
        <w:t xml:space="preserve"> de la cláusula compromisoria y, en consecuencia, la determinación de esta Jurisdicción como autoridad judicial habilitada para dirimir la controversia de marras.</w:t>
      </w:r>
    </w:p>
    <w:p w14:paraId="7AB91065" w14:textId="77777777" w:rsidR="001C4E06" w:rsidRPr="001C4E06" w:rsidRDefault="001C4E06" w:rsidP="001C4E06">
      <w:pPr>
        <w:spacing w:after="0" w:line="240" w:lineRule="auto"/>
        <w:ind w:left="851" w:right="646"/>
        <w:rPr>
          <w:rFonts w:ascii="Century Gothic" w:eastAsia="Times New Roman" w:hAnsi="Century Gothic" w:cs="Arial"/>
          <w:sz w:val="20"/>
          <w:szCs w:val="20"/>
          <w:lang w:val="es-ES" w:eastAsia="es-ES"/>
        </w:rPr>
      </w:pPr>
    </w:p>
    <w:p w14:paraId="28B6FBBD"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cs="Arial"/>
          <w:sz w:val="20"/>
          <w:szCs w:val="20"/>
          <w:lang w:val="es-ES" w:eastAsia="es-ES"/>
        </w:rPr>
        <w:t>“8.1.6.- Así, como en el caso de referencia el Tribunal Administrativo en autos de 3 de mayo y 1° de julio de 2010 admitió la demanda y la reforma a la misma y el Departamento de Antioquia, en la oportunidad pertinente, no excepcionó la falta de jurisdicción por existir una cláusula compromisoria, la Sala considera que, conforme a la regla decantada por la jurisprudencia reiterada de esta Corporación</w:t>
      </w:r>
      <w:r w:rsidRPr="001C4E06">
        <w:rPr>
          <w:rFonts w:ascii="Century Gothic" w:eastAsia="Times New Roman" w:hAnsi="Century Gothic" w:cs="Arial"/>
          <w:sz w:val="20"/>
          <w:szCs w:val="20"/>
          <w:vertAlign w:val="superscript"/>
          <w:lang w:val="es-ES" w:eastAsia="es-ES"/>
        </w:rPr>
        <w:footnoteReference w:id="14"/>
      </w:r>
      <w:r w:rsidRPr="001C4E06">
        <w:rPr>
          <w:rFonts w:ascii="Century Gothic" w:eastAsia="Times New Roman" w:hAnsi="Century Gothic" w:cs="Arial"/>
          <w:sz w:val="20"/>
          <w:szCs w:val="20"/>
          <w:lang w:val="es-ES" w:eastAsia="es-ES"/>
        </w:rPr>
        <w:t xml:space="preserve">, se sigue que esta Jurisdicción es la competente para conocer la </w:t>
      </w:r>
      <w:r w:rsidRPr="001C4E06">
        <w:rPr>
          <w:rFonts w:ascii="Century Gothic" w:eastAsia="Times New Roman" w:hAnsi="Century Gothic" w:cs="Arial"/>
          <w:sz w:val="20"/>
          <w:szCs w:val="20"/>
          <w:lang w:val="es-ES" w:eastAsia="es-ES"/>
        </w:rPr>
        <w:lastRenderedPageBreak/>
        <w:t>controversia o, lo que es lo mismo, se estructuró el fenómeno de la derogatoria tácita de la cláusula trigésima del Contrato No. 2000-CO-21-028 relativa a la jurisdicción arbitral habilitando así el acceso a esta Jurisdicción en debida forma”</w:t>
      </w:r>
    </w:p>
    <w:p w14:paraId="0EE43DAE" w14:textId="77777777" w:rsidR="001C4E06" w:rsidRPr="001C4E06" w:rsidRDefault="001C4E06" w:rsidP="001C4E06">
      <w:pPr>
        <w:spacing w:after="0" w:line="360" w:lineRule="auto"/>
        <w:ind w:right="17"/>
        <w:jc w:val="both"/>
        <w:rPr>
          <w:rFonts w:ascii="Century Gothic" w:eastAsia="Times New Roman" w:hAnsi="Century Gothic"/>
          <w:lang w:val="es-ES" w:eastAsia="es-ES"/>
        </w:rPr>
      </w:pPr>
    </w:p>
    <w:p w14:paraId="651F02A4" w14:textId="77777777" w:rsidR="001C4E06" w:rsidRPr="001C4E06" w:rsidRDefault="001C4E06" w:rsidP="001C4E06">
      <w:pPr>
        <w:spacing w:after="0" w:line="360" w:lineRule="auto"/>
        <w:ind w:right="17"/>
        <w:jc w:val="both"/>
        <w:rPr>
          <w:rFonts w:ascii="Century Gothic" w:eastAsia="Times New Roman" w:hAnsi="Century Gothic"/>
          <w:lang w:val="es-ES" w:eastAsia="es-ES"/>
        </w:rPr>
      </w:pPr>
      <w:r w:rsidRPr="001C4E06">
        <w:rPr>
          <w:rFonts w:ascii="Century Gothic" w:eastAsia="Times New Roman" w:hAnsi="Century Gothic"/>
          <w:lang w:val="es-ES" w:eastAsia="es-ES"/>
        </w:rPr>
        <w:t>En términos similares, en un fallo de tutela la Sección Quinta del Consejo de Estado</w:t>
      </w:r>
      <w:r w:rsidRPr="001C4E06">
        <w:rPr>
          <w:rFonts w:ascii="Century Gothic" w:eastAsia="Times New Roman" w:hAnsi="Century Gothic"/>
          <w:vertAlign w:val="superscript"/>
          <w:lang w:val="es-ES" w:eastAsia="es-ES"/>
        </w:rPr>
        <w:footnoteReference w:id="15"/>
      </w:r>
      <w:r w:rsidRPr="001C4E06">
        <w:rPr>
          <w:rFonts w:ascii="Century Gothic" w:eastAsia="Times New Roman" w:hAnsi="Century Gothic"/>
          <w:lang w:val="es-ES" w:eastAsia="es-ES"/>
        </w:rPr>
        <w:t xml:space="preserve"> dijo:</w:t>
      </w:r>
    </w:p>
    <w:p w14:paraId="71B543E3"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p>
    <w:p w14:paraId="51FA5466" w14:textId="77777777" w:rsidR="001C4E06" w:rsidRPr="001C4E06" w:rsidRDefault="001C4E06" w:rsidP="001C4E06">
      <w:pPr>
        <w:spacing w:after="0" w:line="240" w:lineRule="auto"/>
        <w:ind w:left="851" w:right="788"/>
        <w:jc w:val="both"/>
        <w:rPr>
          <w:rFonts w:ascii="Century Gothic" w:eastAsia="Times New Roman" w:hAnsi="Century Gothic" w:cs="Arial"/>
          <w:i/>
          <w:sz w:val="20"/>
          <w:szCs w:val="20"/>
          <w:lang w:val="es-ES" w:eastAsia="es-ES"/>
        </w:rPr>
      </w:pPr>
      <w:r w:rsidRPr="001C4E06">
        <w:rPr>
          <w:rFonts w:ascii="Century Gothic" w:eastAsia="Times New Roman" w:hAnsi="Century Gothic" w:cs="Arial"/>
          <w:i/>
          <w:sz w:val="20"/>
          <w:szCs w:val="20"/>
          <w:lang w:eastAsia="es-ES"/>
        </w:rPr>
        <w:t xml:space="preserve">“... al margen de lo expuesto, las particularidades propias del caso que hoy se somete a consideración del juez de amparo, evidencian que la declaratoria de nulidad del proceso de controversias contractuales, sí desconoce el principio de </w:t>
      </w:r>
      <w:r w:rsidRPr="001C4E06">
        <w:rPr>
          <w:rFonts w:ascii="Century Gothic" w:eastAsia="Times New Roman" w:hAnsi="Century Gothic" w:cs="Arial"/>
          <w:i/>
          <w:sz w:val="20"/>
          <w:szCs w:val="20"/>
          <w:lang w:val="es-MX" w:eastAsia="es-ES"/>
        </w:rPr>
        <w:t>perpetuatio jurisdictionis</w:t>
      </w:r>
      <w:r w:rsidRPr="001C4E06">
        <w:rPr>
          <w:rFonts w:ascii="Century Gothic" w:eastAsia="Times New Roman" w:hAnsi="Century Gothic" w:cs="Arial"/>
          <w:i/>
          <w:sz w:val="20"/>
          <w:szCs w:val="20"/>
          <w:lang w:eastAsia="es-ES"/>
        </w:rPr>
        <w:t xml:space="preserve">, </w:t>
      </w:r>
      <w:r w:rsidRPr="001C4E06">
        <w:rPr>
          <w:rFonts w:ascii="Century Gothic" w:eastAsia="Times New Roman" w:hAnsi="Century Gothic" w:cs="Arial"/>
          <w:i/>
          <w:sz w:val="20"/>
          <w:szCs w:val="20"/>
          <w:lang w:val="es-ES" w:eastAsia="es-ES"/>
        </w:rPr>
        <w:t>conforme al cual, ‘tanto la jurisdicción como la competencia se determinan de conformidad con la situación de hecho y las normas aplicables al tiempo de la demanda, de forma tal que su alteración resulta improcedente, salvo disposición legal que de manera expresa diga lo contrario’</w:t>
      </w:r>
      <w:r w:rsidRPr="001C4E06">
        <w:rPr>
          <w:rFonts w:ascii="Century Gothic" w:eastAsia="Times New Roman" w:hAnsi="Century Gothic" w:cs="Arial"/>
          <w:i/>
          <w:sz w:val="20"/>
          <w:szCs w:val="20"/>
          <w:vertAlign w:val="superscript"/>
          <w:lang w:val="es-ES" w:eastAsia="es-ES"/>
        </w:rPr>
        <w:footnoteReference w:id="16"/>
      </w:r>
      <w:r w:rsidRPr="001C4E06">
        <w:rPr>
          <w:rFonts w:ascii="Century Gothic" w:eastAsia="Times New Roman" w:hAnsi="Century Gothic" w:cs="Arial"/>
          <w:i/>
          <w:sz w:val="20"/>
          <w:szCs w:val="20"/>
          <w:lang w:val="es-ES" w:eastAsia="es-ES"/>
        </w:rPr>
        <w:t>.</w:t>
      </w:r>
    </w:p>
    <w:p w14:paraId="0B84AD7E"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p>
    <w:p w14:paraId="7C00657B" w14:textId="77777777" w:rsidR="001C4E06" w:rsidRPr="001C4E06" w:rsidRDefault="001C4E06" w:rsidP="001C4E06">
      <w:pPr>
        <w:spacing w:after="0" w:line="240" w:lineRule="auto"/>
        <w:ind w:left="851" w:right="788"/>
        <w:jc w:val="both"/>
        <w:rPr>
          <w:rFonts w:ascii="Century Gothic" w:eastAsia="Times New Roman" w:hAnsi="Century Gothic" w:cs="Arial"/>
          <w:bCs/>
          <w:sz w:val="20"/>
          <w:szCs w:val="20"/>
          <w:lang w:eastAsia="es-ES"/>
        </w:rPr>
      </w:pPr>
      <w:r w:rsidRPr="001C4E06">
        <w:rPr>
          <w:rFonts w:ascii="Century Gothic" w:eastAsia="Times New Roman" w:hAnsi="Century Gothic" w:cs="Arial"/>
          <w:sz w:val="20"/>
          <w:szCs w:val="20"/>
          <w:lang w:eastAsia="es-ES"/>
        </w:rPr>
        <w:t xml:space="preserve">“Como se señaló previamente, </w:t>
      </w:r>
      <w:r w:rsidRPr="001C4E06">
        <w:rPr>
          <w:rFonts w:ascii="Century Gothic" w:eastAsia="Times New Roman" w:hAnsi="Century Gothic" w:cs="Arial"/>
          <w:sz w:val="20"/>
          <w:szCs w:val="20"/>
          <w:lang w:val="es-ES" w:eastAsia="es-ES"/>
        </w:rPr>
        <w:t xml:space="preserve">la demanda de controversias contractuales fue presentada el 16 de septiembre de 2004. Para dicho momento la jurisprudencia contenciosa en relación con la renuncia al pacto arbitral sostenía la tesis según la cual ésta se entendía tácita, cuando </w:t>
      </w:r>
      <w:r w:rsidRPr="001C4E06">
        <w:rPr>
          <w:rFonts w:ascii="Century Gothic" w:eastAsia="Times New Roman" w:hAnsi="Century Gothic" w:cs="Arial"/>
          <w:bCs/>
          <w:sz w:val="20"/>
          <w:szCs w:val="20"/>
          <w:lang w:eastAsia="es-ES"/>
        </w:rPr>
        <w:t>a (sic) pesar de haber acordado someter sus diferencias al conocimiento de la justicia arbitral, una de las partes decide instaurar la demanda de controversias contractuales, y la otra no propone la excepción que encuentra apoyo en dicho pacto</w:t>
      </w:r>
      <w:r w:rsidRPr="001C4E06">
        <w:rPr>
          <w:rFonts w:ascii="Century Gothic" w:eastAsia="Times New Roman" w:hAnsi="Century Gothic" w:cs="Arial"/>
          <w:bCs/>
          <w:sz w:val="20"/>
          <w:szCs w:val="20"/>
          <w:vertAlign w:val="superscript"/>
          <w:lang w:eastAsia="es-ES"/>
        </w:rPr>
        <w:footnoteReference w:id="17"/>
      </w:r>
      <w:r w:rsidRPr="001C4E06">
        <w:rPr>
          <w:rFonts w:ascii="Century Gothic" w:eastAsia="Times New Roman" w:hAnsi="Century Gothic" w:cs="Arial"/>
          <w:bCs/>
          <w:sz w:val="20"/>
          <w:szCs w:val="20"/>
          <w:lang w:eastAsia="es-ES"/>
        </w:rPr>
        <w:t>.</w:t>
      </w:r>
    </w:p>
    <w:p w14:paraId="36420E0E" w14:textId="77777777" w:rsidR="001C4E06" w:rsidRPr="001C4E06" w:rsidRDefault="001C4E06" w:rsidP="001C4E06">
      <w:pPr>
        <w:spacing w:after="0" w:line="240" w:lineRule="auto"/>
        <w:ind w:left="851" w:right="788"/>
        <w:jc w:val="both"/>
        <w:rPr>
          <w:rFonts w:ascii="Century Gothic" w:eastAsia="Times New Roman" w:hAnsi="Century Gothic" w:cs="Arial"/>
          <w:bCs/>
          <w:sz w:val="20"/>
          <w:szCs w:val="20"/>
          <w:lang w:eastAsia="es-ES"/>
        </w:rPr>
      </w:pPr>
    </w:p>
    <w:p w14:paraId="1F21F7FE" w14:textId="77777777" w:rsidR="001C4E06" w:rsidRPr="001C4E06" w:rsidRDefault="001C4E06" w:rsidP="001C4E06">
      <w:pPr>
        <w:spacing w:after="0" w:line="240" w:lineRule="auto"/>
        <w:ind w:left="851" w:right="788"/>
        <w:jc w:val="both"/>
        <w:rPr>
          <w:rFonts w:ascii="Century Gothic" w:eastAsia="Times New Roman" w:hAnsi="Century Gothic"/>
          <w:sz w:val="20"/>
          <w:szCs w:val="20"/>
          <w:lang w:val="es-ES" w:eastAsia="es-ES"/>
        </w:rPr>
      </w:pPr>
      <w:r w:rsidRPr="001C4E06">
        <w:rPr>
          <w:rFonts w:ascii="Century Gothic" w:eastAsia="Times New Roman" w:hAnsi="Century Gothic" w:cs="Arial"/>
          <w:bCs/>
          <w:sz w:val="20"/>
          <w:szCs w:val="20"/>
          <w:lang w:eastAsia="es-ES"/>
        </w:rPr>
        <w:t>“Tanto al momento de proferirse sentencia de primera instancia (26 de marzo de 2010) como en aquél en que fue conocido el proceso por el Tribunal Administrativo del Valle del Cauca para resolver la apelación contra dicha sentencia, la postura de esta Corporación sobre el particular se mantuvo pacífica.</w:t>
      </w:r>
    </w:p>
    <w:p w14:paraId="75339AFF" w14:textId="77777777" w:rsidR="001C4E06" w:rsidRPr="001C4E06" w:rsidRDefault="001C4E06" w:rsidP="001C4E06">
      <w:pPr>
        <w:spacing w:after="0" w:line="240" w:lineRule="auto"/>
        <w:ind w:left="851" w:right="788"/>
        <w:jc w:val="both"/>
        <w:rPr>
          <w:rFonts w:ascii="Century Gothic" w:eastAsia="Times New Roman" w:hAnsi="Century Gothic"/>
          <w:sz w:val="20"/>
          <w:szCs w:val="20"/>
          <w:lang w:val="es-ES" w:eastAsia="es-ES"/>
        </w:rPr>
      </w:pPr>
    </w:p>
    <w:p w14:paraId="57CE0CAA" w14:textId="77777777" w:rsidR="001C4E06" w:rsidRPr="001C4E06" w:rsidRDefault="001C4E06" w:rsidP="001C4E06">
      <w:pPr>
        <w:spacing w:after="0" w:line="240" w:lineRule="auto"/>
        <w:ind w:left="851" w:right="788"/>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w:t>
      </w:r>
    </w:p>
    <w:p w14:paraId="16C8C27B" w14:textId="77777777" w:rsidR="001C4E06" w:rsidRPr="001C4E06" w:rsidRDefault="001C4E06" w:rsidP="001C4E06">
      <w:pPr>
        <w:spacing w:after="0" w:line="240" w:lineRule="auto"/>
        <w:ind w:left="851" w:right="788"/>
        <w:jc w:val="both"/>
        <w:rPr>
          <w:rFonts w:ascii="Century Gothic" w:eastAsia="Times New Roman" w:hAnsi="Century Gothic"/>
          <w:sz w:val="20"/>
          <w:szCs w:val="20"/>
          <w:lang w:val="es-ES" w:eastAsia="es-ES"/>
        </w:rPr>
      </w:pPr>
    </w:p>
    <w:p w14:paraId="2ED9B1AA" w14:textId="77777777" w:rsidR="001C4E06" w:rsidRPr="001C4E06" w:rsidRDefault="001C4E06" w:rsidP="001C4E06">
      <w:pPr>
        <w:spacing w:after="0" w:line="240" w:lineRule="auto"/>
        <w:ind w:left="851" w:right="788"/>
        <w:jc w:val="both"/>
        <w:rPr>
          <w:rFonts w:ascii="Century Gothic" w:eastAsia="Times New Roman" w:hAnsi="Century Gothic"/>
          <w:sz w:val="20"/>
          <w:szCs w:val="20"/>
          <w:lang w:val="es-ES" w:eastAsia="es-ES"/>
        </w:rPr>
      </w:pPr>
      <w:r w:rsidRPr="001C4E06">
        <w:rPr>
          <w:rFonts w:ascii="Century Gothic" w:eastAsia="Times New Roman" w:hAnsi="Century Gothic" w:cs="Arial"/>
          <w:bCs/>
          <w:sz w:val="20"/>
          <w:szCs w:val="20"/>
          <w:lang w:eastAsia="es-ES"/>
        </w:rPr>
        <w:t xml:space="preserve">“Sin embargo, en ese mismo año se profiere el auto de unificación de la Sección Tercera Consejo de Estado en el que se sustentó la declaratoria de nulidad del proceso de controversias contractuales promovido por la ahora tutelante. Evidentemente la tesis fue modificada en el sentido de exigirse a las partes manifestar de forma </w:t>
      </w:r>
      <w:r w:rsidRPr="001C4E06">
        <w:rPr>
          <w:rFonts w:ascii="Century Gothic" w:eastAsia="Times New Roman" w:hAnsi="Century Gothic" w:cs="Arial"/>
          <w:bCs/>
          <w:i/>
          <w:sz w:val="20"/>
          <w:szCs w:val="20"/>
          <w:lang w:eastAsia="es-ES"/>
        </w:rPr>
        <w:t>‘expresa y solemne’</w:t>
      </w:r>
      <w:r w:rsidRPr="001C4E06">
        <w:rPr>
          <w:rFonts w:ascii="Century Gothic" w:eastAsia="Times New Roman" w:hAnsi="Century Gothic" w:cs="Arial"/>
          <w:bCs/>
          <w:sz w:val="20"/>
          <w:szCs w:val="20"/>
          <w:lang w:eastAsia="es-ES"/>
        </w:rPr>
        <w:t xml:space="preserve"> su voluntad de dejar sin efectos la cláusula compromisoria, con lo que se habilitaría a la jurisdicción de lo contencioso administrativo para resolver las diferencias suscitadas en el contrato estatal.</w:t>
      </w:r>
    </w:p>
    <w:p w14:paraId="70819D72" w14:textId="77777777" w:rsidR="001C4E06" w:rsidRPr="001C4E06" w:rsidRDefault="001C4E06" w:rsidP="001C4E06">
      <w:pPr>
        <w:spacing w:after="0" w:line="240" w:lineRule="auto"/>
        <w:ind w:left="851" w:right="788"/>
        <w:jc w:val="both"/>
        <w:rPr>
          <w:rFonts w:ascii="Century Gothic" w:eastAsia="Times New Roman" w:hAnsi="Century Gothic"/>
          <w:sz w:val="20"/>
          <w:szCs w:val="20"/>
          <w:lang w:val="es-ES" w:eastAsia="es-ES"/>
        </w:rPr>
      </w:pPr>
    </w:p>
    <w:p w14:paraId="378224B0" w14:textId="77777777" w:rsidR="001C4E06" w:rsidRPr="001C4E06" w:rsidRDefault="001C4E06" w:rsidP="001C4E06">
      <w:pPr>
        <w:spacing w:after="0" w:line="240" w:lineRule="auto"/>
        <w:ind w:left="851" w:right="788"/>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w:t>
      </w:r>
    </w:p>
    <w:p w14:paraId="16C63A99" w14:textId="77777777" w:rsidR="001C4E06" w:rsidRPr="001C4E06" w:rsidRDefault="001C4E06" w:rsidP="001C4E06">
      <w:pPr>
        <w:spacing w:after="0" w:line="240" w:lineRule="auto"/>
        <w:ind w:left="851" w:right="788"/>
        <w:jc w:val="both"/>
        <w:rPr>
          <w:rFonts w:ascii="Century Gothic" w:eastAsia="Times New Roman" w:hAnsi="Century Gothic"/>
          <w:sz w:val="20"/>
          <w:szCs w:val="20"/>
          <w:lang w:val="es-ES" w:eastAsia="es-ES"/>
        </w:rPr>
      </w:pPr>
    </w:p>
    <w:p w14:paraId="4DC2BE12"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r w:rsidRPr="001C4E06">
        <w:rPr>
          <w:rFonts w:ascii="Century Gothic" w:eastAsia="Times New Roman" w:hAnsi="Century Gothic" w:cs="Arial"/>
          <w:sz w:val="20"/>
          <w:szCs w:val="20"/>
          <w:lang w:eastAsia="es-ES"/>
        </w:rPr>
        <w:t xml:space="preserve">“Para la Sala, las consideraciones que la Sección Tercera plasmó en el citado proveído, más allá de variar una tesis, en realidad modificaron una regla, que </w:t>
      </w:r>
      <w:r w:rsidRPr="001C4E06">
        <w:rPr>
          <w:rFonts w:ascii="Century Gothic" w:eastAsia="Times New Roman" w:hAnsi="Century Gothic" w:cs="Arial"/>
          <w:sz w:val="20"/>
          <w:szCs w:val="20"/>
          <w:lang w:eastAsia="es-ES"/>
        </w:rPr>
        <w:lastRenderedPageBreak/>
        <w:t>aun cuando fuese de índole jurisprudencial, tenía una fuerza vinculante tal que había creado no solamente en los operadores jurídicos sino en los destinatarios de la ley, la convicción de que al pacto compromisorio se renunciaba tácitamente por la actitud pasiva de la parte demandada respecto de la proposición de la excepción respectiva, situación que determinaba en ésta (sic) jurisdicción la competencia para resolver el asunto.</w:t>
      </w:r>
    </w:p>
    <w:p w14:paraId="4302A51C" w14:textId="77777777" w:rsidR="001C4E06" w:rsidRPr="001C4E06" w:rsidRDefault="001C4E06" w:rsidP="001C4E06">
      <w:pPr>
        <w:spacing w:after="0" w:line="240" w:lineRule="auto"/>
        <w:ind w:left="851" w:right="788"/>
        <w:jc w:val="both"/>
        <w:rPr>
          <w:rFonts w:ascii="Century Gothic" w:eastAsia="Times New Roman" w:hAnsi="Century Gothic"/>
          <w:sz w:val="20"/>
          <w:szCs w:val="20"/>
          <w:lang w:val="es-ES" w:eastAsia="es-ES"/>
        </w:rPr>
      </w:pPr>
    </w:p>
    <w:p w14:paraId="57850494" w14:textId="77777777" w:rsidR="001C4E06" w:rsidRPr="001C4E06" w:rsidRDefault="001C4E06" w:rsidP="001C4E06">
      <w:pPr>
        <w:spacing w:after="0" w:line="240" w:lineRule="auto"/>
        <w:ind w:left="851" w:right="788"/>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w:t>
      </w:r>
    </w:p>
    <w:p w14:paraId="250D80B4" w14:textId="77777777" w:rsidR="001C4E06" w:rsidRPr="001C4E06" w:rsidRDefault="001C4E06" w:rsidP="001C4E06">
      <w:pPr>
        <w:spacing w:after="0" w:line="240" w:lineRule="auto"/>
        <w:ind w:left="851" w:right="788"/>
        <w:jc w:val="both"/>
        <w:rPr>
          <w:rFonts w:ascii="Century Gothic" w:eastAsia="Times New Roman" w:hAnsi="Century Gothic"/>
          <w:sz w:val="20"/>
          <w:szCs w:val="20"/>
          <w:lang w:val="es-ES" w:eastAsia="es-ES"/>
        </w:rPr>
      </w:pPr>
    </w:p>
    <w:p w14:paraId="120F3230"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eastAsia="es-ES"/>
        </w:rPr>
        <w:t xml:space="preserve">“La variación de dicha regla afectó no solo la comprensión que la comunidad tenía respecto de la renuncia tácita al pacto arbitral sino (sic) consecuencialmente, a los procesos en curso, en los que se declaró, como en el </w:t>
      </w:r>
      <w:r w:rsidRPr="001C4E06">
        <w:rPr>
          <w:rFonts w:ascii="Century Gothic" w:eastAsia="Times New Roman" w:hAnsi="Century Gothic" w:cs="Arial"/>
          <w:i/>
          <w:sz w:val="20"/>
          <w:szCs w:val="20"/>
          <w:lang w:eastAsia="es-ES"/>
        </w:rPr>
        <w:t>sub examine</w:t>
      </w:r>
      <w:r w:rsidRPr="001C4E06">
        <w:rPr>
          <w:rFonts w:ascii="Century Gothic" w:eastAsia="Times New Roman" w:hAnsi="Century Gothic" w:cs="Arial"/>
          <w:sz w:val="20"/>
          <w:szCs w:val="20"/>
          <w:lang w:eastAsia="es-ES"/>
        </w:rPr>
        <w:t xml:space="preserve">, nulidad por falta de jurisdicción. Claramente se modificó la situación jurídica que la propia jurisdicción contenciosa venía aplicando a casos análogos y quebrantó la confianza y seguridad jurídica que se tenía sobre el particular. </w:t>
      </w:r>
    </w:p>
    <w:p w14:paraId="6C052923"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p>
    <w:p w14:paraId="1D080B6B"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r w:rsidRPr="001C4E06">
        <w:rPr>
          <w:rFonts w:ascii="Century Gothic" w:eastAsia="Times New Roman" w:hAnsi="Century Gothic" w:cs="Arial"/>
          <w:sz w:val="20"/>
          <w:szCs w:val="20"/>
          <w:lang w:eastAsia="es-ES"/>
        </w:rPr>
        <w:t xml:space="preserve">“La garantía que el principio </w:t>
      </w:r>
      <w:r w:rsidRPr="001C4E06">
        <w:rPr>
          <w:rFonts w:ascii="Century Gothic" w:eastAsia="Times New Roman" w:hAnsi="Century Gothic" w:cs="Arial"/>
          <w:i/>
          <w:sz w:val="20"/>
          <w:szCs w:val="20"/>
          <w:lang w:val="es-MX" w:eastAsia="es-ES"/>
        </w:rPr>
        <w:t>perpetuatio jurisdictionis</w:t>
      </w:r>
      <w:r w:rsidRPr="001C4E06">
        <w:rPr>
          <w:rFonts w:ascii="Century Gothic" w:eastAsia="Times New Roman" w:hAnsi="Century Gothic" w:cs="Arial"/>
          <w:sz w:val="20"/>
          <w:szCs w:val="20"/>
          <w:lang w:eastAsia="es-ES"/>
        </w:rPr>
        <w:t xml:space="preserve"> protege en el sub judice recae en el respeto de la certeza que se tenía sobre la jurisdicción a la que correspondía resolver el conflicto derivado del contrato estatal, ante una determinada eventualidad concretada en la renuncia tácita a la cláusula compromisoria, pues ésta se sustentaba en un precedente jurisprudencial imperante al momento de presentación de la demanda. </w:t>
      </w:r>
    </w:p>
    <w:p w14:paraId="58AACA55"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p>
    <w:p w14:paraId="2B20FD24"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r w:rsidRPr="001C4E06">
        <w:rPr>
          <w:rFonts w:ascii="Century Gothic" w:eastAsia="Times New Roman" w:hAnsi="Century Gothic" w:cs="Arial"/>
          <w:sz w:val="20"/>
          <w:szCs w:val="20"/>
          <w:lang w:eastAsia="es-ES"/>
        </w:rPr>
        <w:t xml:space="preserve">“Sin (sic) bien es cierto la nueva tesis de la Sección Tercera plantea también una subregla jurídica en materia de jurisdicción, también lo es que ésta no tiene la entidad suficiente para modificar, como lo haría el contenido de una ley, el alcance de lo que constituye </w:t>
      </w:r>
      <w:r w:rsidRPr="001C4E06">
        <w:rPr>
          <w:rFonts w:ascii="Century Gothic" w:eastAsia="Times New Roman" w:hAnsi="Century Gothic" w:cs="Arial"/>
          <w:i/>
          <w:sz w:val="20"/>
          <w:szCs w:val="20"/>
          <w:lang w:eastAsia="es-ES"/>
        </w:rPr>
        <w:t>‘jusridicción’</w:t>
      </w:r>
      <w:r w:rsidRPr="001C4E06">
        <w:rPr>
          <w:rFonts w:ascii="Century Gothic" w:eastAsia="Times New Roman" w:hAnsi="Century Gothic" w:cs="Arial"/>
          <w:sz w:val="20"/>
          <w:szCs w:val="20"/>
          <w:lang w:eastAsia="es-ES"/>
        </w:rPr>
        <w:t>, luego no puede afectar aquello que el referido principio pretende proteger.</w:t>
      </w:r>
    </w:p>
    <w:p w14:paraId="2B9C14E3"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p>
    <w:p w14:paraId="1DDA14E5"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r w:rsidRPr="001C4E06">
        <w:rPr>
          <w:rFonts w:ascii="Century Gothic" w:eastAsia="Times New Roman" w:hAnsi="Century Gothic" w:cs="Arial"/>
          <w:sz w:val="20"/>
          <w:szCs w:val="20"/>
          <w:lang w:eastAsia="es-ES"/>
        </w:rPr>
        <w:t xml:space="preserve">“Significa lo anterior, (sic) que el abrupto cambio jurisprudencial, (sic) no debió afectar a aquellas demandas que se interpusieron en ejercicio de la acción de controversias contractuales antes del auto de unificación y en las que no se propuso como excepción la de </w:t>
      </w:r>
      <w:r w:rsidRPr="001C4E06">
        <w:rPr>
          <w:rFonts w:ascii="Century Gothic" w:eastAsia="Times New Roman" w:hAnsi="Century Gothic" w:cs="Arial"/>
          <w:i/>
          <w:sz w:val="20"/>
          <w:szCs w:val="20"/>
          <w:lang w:eastAsia="es-ES"/>
        </w:rPr>
        <w:t>‘cláusula compromisoria’</w:t>
      </w:r>
      <w:r w:rsidRPr="001C4E06">
        <w:rPr>
          <w:rFonts w:ascii="Century Gothic" w:eastAsia="Times New Roman" w:hAnsi="Century Gothic" w:cs="Arial"/>
          <w:sz w:val="20"/>
          <w:szCs w:val="20"/>
          <w:lang w:eastAsia="es-ES"/>
        </w:rPr>
        <w:t xml:space="preserve">, puesto que estas se incoaron en el momento en que la jurisprudencia aceptaba la referida </w:t>
      </w:r>
      <w:r w:rsidRPr="001C4E06">
        <w:rPr>
          <w:rFonts w:ascii="Century Gothic" w:eastAsia="Times New Roman" w:hAnsi="Century Gothic" w:cs="Arial"/>
          <w:i/>
          <w:sz w:val="20"/>
          <w:szCs w:val="20"/>
          <w:lang w:eastAsia="es-ES"/>
        </w:rPr>
        <w:t>renuncia tácita</w:t>
      </w:r>
      <w:r w:rsidRPr="001C4E06">
        <w:rPr>
          <w:rFonts w:ascii="Century Gothic" w:eastAsia="Times New Roman" w:hAnsi="Century Gothic" w:cs="Arial"/>
          <w:i/>
          <w:sz w:val="20"/>
          <w:szCs w:val="20"/>
          <w:vertAlign w:val="superscript"/>
          <w:lang w:eastAsia="es-ES"/>
        </w:rPr>
        <w:footnoteReference w:id="18"/>
      </w:r>
      <w:r w:rsidRPr="001C4E06">
        <w:rPr>
          <w:rFonts w:ascii="Century Gothic" w:eastAsia="Times New Roman" w:hAnsi="Century Gothic" w:cs="Arial"/>
          <w:sz w:val="20"/>
          <w:szCs w:val="20"/>
          <w:lang w:eastAsia="es-ES"/>
        </w:rPr>
        <w:t>.</w:t>
      </w:r>
    </w:p>
    <w:p w14:paraId="52605328"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p>
    <w:p w14:paraId="546307B0"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r w:rsidRPr="001C4E06">
        <w:rPr>
          <w:rFonts w:ascii="Century Gothic" w:eastAsia="Times New Roman" w:hAnsi="Century Gothic" w:cs="Arial"/>
          <w:sz w:val="20"/>
          <w:szCs w:val="20"/>
          <w:lang w:eastAsia="es-ES"/>
        </w:rPr>
        <w:t>“La declaratoria de nulidad por falta de jurisdicción constituye una carga que no deben soportar quienes presentaron la demanda con la certeza de que era la contenciosa administrativa la que decidiría su controversia y menos aun, si se tiene en cuenta que, como en el caso de autos, han pasado cerca de diez años entre la presentación de la demanda y la decisión que se enjuicia vía tutela.</w:t>
      </w:r>
    </w:p>
    <w:p w14:paraId="762AC2D3"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p>
    <w:p w14:paraId="61811B53"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r w:rsidRPr="001C4E06">
        <w:rPr>
          <w:rFonts w:ascii="Century Gothic" w:eastAsia="Times New Roman" w:hAnsi="Century Gothic" w:cs="Arial"/>
          <w:sz w:val="20"/>
          <w:szCs w:val="20"/>
          <w:lang w:eastAsia="es-ES"/>
        </w:rPr>
        <w:t>“A esta altura de la providencia, conviene resaltar que la Sección Tercera del Consejo de Estado, en otras oportunidades, a pesar de haber dado un giro contundente en su jurisprudencia que impedía que un determinado asunto se siguiera conociendo bajo su competencia, permitió que las demandas que se incoaron antes de dicho cambio, (sic) se resolvieran de fondo, so pena de lesionar el principio de confianza legítima.</w:t>
      </w:r>
    </w:p>
    <w:p w14:paraId="310236F7"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p>
    <w:p w14:paraId="3D036637" w14:textId="77777777" w:rsidR="001C4E06" w:rsidRPr="001C4E06" w:rsidRDefault="001C4E06" w:rsidP="001C4E06">
      <w:pPr>
        <w:spacing w:after="0" w:line="240" w:lineRule="auto"/>
        <w:ind w:left="851" w:right="788"/>
        <w:jc w:val="both"/>
        <w:rPr>
          <w:rFonts w:ascii="Century Gothic" w:eastAsia="Times New Roman" w:hAnsi="Century Gothic" w:cs="Arial"/>
          <w:sz w:val="20"/>
          <w:szCs w:val="20"/>
          <w:lang w:eastAsia="es-ES"/>
        </w:rPr>
      </w:pPr>
      <w:r w:rsidRPr="001C4E06">
        <w:rPr>
          <w:rFonts w:ascii="Century Gothic" w:eastAsia="Times New Roman" w:hAnsi="Century Gothic" w:cs="Arial"/>
          <w:sz w:val="20"/>
          <w:szCs w:val="20"/>
          <w:lang w:eastAsia="es-ES"/>
        </w:rPr>
        <w:t xml:space="preserve">“Tal es el caso del reclamo indemnizatorio que se hacía mediante el ejercicio de la acción de reparación directa por el pago extemporáneo de cesantías, el que siguió conociendose por esa vía procesal en relación con las demandas en curso, a pesar de la nueva postura jurisprudencial que estimaba una indebida escogencia de la acción”. </w:t>
      </w:r>
    </w:p>
    <w:p w14:paraId="46752692" w14:textId="77777777" w:rsidR="001C4E06" w:rsidRPr="001C4E06" w:rsidRDefault="001C4E06" w:rsidP="001C4E06">
      <w:pPr>
        <w:spacing w:after="0" w:line="360" w:lineRule="auto"/>
        <w:ind w:right="17"/>
        <w:jc w:val="both"/>
        <w:rPr>
          <w:rFonts w:ascii="Century Gothic" w:eastAsia="Times New Roman" w:hAnsi="Century Gothic"/>
          <w:b/>
          <w:lang w:val="es-ES" w:eastAsia="es-ES"/>
        </w:rPr>
      </w:pPr>
    </w:p>
    <w:p w14:paraId="175579AC" w14:textId="77777777" w:rsidR="001C4E06" w:rsidRPr="001C4E06" w:rsidRDefault="001C4E06" w:rsidP="001C4E06">
      <w:pPr>
        <w:spacing w:after="0" w:line="360" w:lineRule="auto"/>
        <w:ind w:right="17"/>
        <w:jc w:val="both"/>
        <w:rPr>
          <w:rFonts w:ascii="Century Gothic" w:eastAsia="Times New Roman" w:hAnsi="Century Gothic"/>
          <w:lang w:val="es-ES" w:eastAsia="es-ES"/>
        </w:rPr>
      </w:pPr>
      <w:r w:rsidRPr="001C4E06">
        <w:rPr>
          <w:rFonts w:ascii="Century Gothic" w:eastAsia="Times New Roman" w:hAnsi="Century Gothic"/>
          <w:lang w:val="es-ES" w:eastAsia="es-ES"/>
        </w:rPr>
        <w:lastRenderedPageBreak/>
        <w:t>Así mismo,  en protección del derecho al acceso a la administración de justicia, la Sección Segunda d</w:t>
      </w:r>
      <w:r w:rsidRPr="001C4E06">
        <w:rPr>
          <w:rFonts w:ascii="Century Gothic" w:eastAsia="Times New Roman" w:hAnsi="Century Gothic"/>
          <w:lang w:eastAsia="es-ES"/>
        </w:rPr>
        <w:t>el Consejo de Estado indicó</w:t>
      </w:r>
      <w:r w:rsidRPr="001C4E06">
        <w:rPr>
          <w:rFonts w:ascii="Century Gothic" w:eastAsia="Times New Roman" w:hAnsi="Century Gothic"/>
          <w:vertAlign w:val="superscript"/>
          <w:lang w:eastAsia="es-ES"/>
        </w:rPr>
        <w:footnoteReference w:id="19"/>
      </w:r>
      <w:r w:rsidRPr="001C4E06">
        <w:rPr>
          <w:rFonts w:ascii="Century Gothic" w:eastAsia="Times New Roman" w:hAnsi="Century Gothic"/>
          <w:lang w:eastAsia="es-ES"/>
        </w:rPr>
        <w:t xml:space="preserve">(se transcribe literal): </w:t>
      </w:r>
    </w:p>
    <w:p w14:paraId="45296BAA" w14:textId="77777777" w:rsidR="001C4E06" w:rsidRPr="001C4E06" w:rsidRDefault="001C4E06" w:rsidP="001C4E06">
      <w:pPr>
        <w:spacing w:after="0" w:line="360" w:lineRule="auto"/>
        <w:ind w:right="17"/>
        <w:jc w:val="both"/>
        <w:rPr>
          <w:rFonts w:ascii="Century Gothic" w:eastAsia="Times New Roman" w:hAnsi="Century Gothic"/>
          <w:lang w:eastAsia="es-ES"/>
        </w:rPr>
      </w:pPr>
    </w:p>
    <w:p w14:paraId="61142ABA" w14:textId="77777777" w:rsidR="001C4E06" w:rsidRPr="001C4E06" w:rsidRDefault="001C4E06" w:rsidP="001C4E06">
      <w:pPr>
        <w:spacing w:after="0" w:line="240" w:lineRule="auto"/>
        <w:ind w:left="851" w:right="476"/>
        <w:jc w:val="both"/>
        <w:rPr>
          <w:rFonts w:ascii="Century Gothic" w:eastAsia="Times New Roman" w:hAnsi="Century Gothic" w:cs="Arial"/>
          <w:b/>
          <w:sz w:val="20"/>
          <w:szCs w:val="20"/>
          <w:lang w:val="es-ES" w:eastAsia="es-ES"/>
        </w:rPr>
      </w:pPr>
      <w:r w:rsidRPr="001C4E06">
        <w:rPr>
          <w:rFonts w:ascii="Century Gothic" w:eastAsia="Times New Roman" w:hAnsi="Century Gothic" w:cs="Arial"/>
          <w:b/>
          <w:sz w:val="20"/>
          <w:szCs w:val="20"/>
          <w:lang w:val="es-ES" w:eastAsia="es-ES"/>
        </w:rPr>
        <w:t xml:space="preserve">“3.2.1 El derecho al acceso a la administración de justicia. </w:t>
      </w:r>
    </w:p>
    <w:p w14:paraId="5DB816D5" w14:textId="77777777" w:rsidR="001C4E06" w:rsidRPr="001C4E06" w:rsidRDefault="001C4E06" w:rsidP="001C4E06">
      <w:pPr>
        <w:spacing w:after="0" w:line="240" w:lineRule="auto"/>
        <w:ind w:left="851" w:right="476"/>
        <w:jc w:val="both"/>
        <w:rPr>
          <w:rFonts w:ascii="Century Gothic" w:eastAsia="Times New Roman" w:hAnsi="Century Gothic" w:cs="Arial"/>
          <w:b/>
          <w:sz w:val="20"/>
          <w:szCs w:val="20"/>
          <w:lang w:val="es-ES" w:eastAsia="es-ES"/>
        </w:rPr>
      </w:pPr>
    </w:p>
    <w:p w14:paraId="7A50CD7B" w14:textId="77777777" w:rsidR="001C4E06" w:rsidRPr="001C4E06" w:rsidRDefault="001C4E06" w:rsidP="001C4E06">
      <w:pPr>
        <w:spacing w:after="0" w:line="240" w:lineRule="auto"/>
        <w:ind w:left="851" w:right="47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“La justicia es un valor estructural de todo Estado de derecho y, el acceso a ella, debe ser garantizado de tal forma que sea efectiva formal y materialmente.</w:t>
      </w:r>
    </w:p>
    <w:p w14:paraId="08E7DB4D" w14:textId="77777777" w:rsidR="001C4E06" w:rsidRPr="001C4E06" w:rsidRDefault="001C4E06" w:rsidP="001C4E06">
      <w:pPr>
        <w:spacing w:after="0" w:line="240" w:lineRule="auto"/>
        <w:ind w:left="851" w:right="476"/>
        <w:jc w:val="both"/>
        <w:rPr>
          <w:rFonts w:ascii="Century Gothic" w:eastAsia="Times New Roman" w:hAnsi="Century Gothic" w:cs="Arial"/>
          <w:sz w:val="20"/>
          <w:szCs w:val="20"/>
          <w:lang w:val="es-ES" w:eastAsia="es-ES"/>
        </w:rPr>
      </w:pPr>
    </w:p>
    <w:p w14:paraId="41D4D6F0" w14:textId="77777777" w:rsidR="001C4E06" w:rsidRPr="001C4E06" w:rsidRDefault="001C4E06" w:rsidP="001C4E06">
      <w:pPr>
        <w:spacing w:after="0" w:line="240" w:lineRule="auto"/>
        <w:ind w:left="851" w:right="47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w:t>
      </w:r>
    </w:p>
    <w:p w14:paraId="1D469759" w14:textId="77777777" w:rsidR="001C4E06" w:rsidRPr="001C4E06" w:rsidRDefault="001C4E06" w:rsidP="001C4E06">
      <w:pPr>
        <w:spacing w:after="0" w:line="240" w:lineRule="auto"/>
        <w:ind w:left="851" w:right="476"/>
        <w:jc w:val="both"/>
        <w:rPr>
          <w:rFonts w:ascii="Century Gothic" w:eastAsia="Times New Roman" w:hAnsi="Century Gothic"/>
          <w:sz w:val="20"/>
          <w:szCs w:val="20"/>
          <w:lang w:val="es-ES" w:eastAsia="es-ES"/>
        </w:rPr>
      </w:pPr>
    </w:p>
    <w:p w14:paraId="3828E2DC" w14:textId="77777777" w:rsidR="001C4E06" w:rsidRPr="001C4E06" w:rsidRDefault="001C4E06" w:rsidP="001C4E06">
      <w:pPr>
        <w:spacing w:after="0" w:line="240" w:lineRule="auto"/>
        <w:ind w:left="851" w:right="47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“De suerte que, de nada serviría que los ciudadanos acudan a los Jueces si estos no les resuelven de fondo, de manera efectiva y superando la formalidad; los asuntos que someten a su consideración pues, se reitera, la función principal  de quienes administran justicia es velar por la efectividad de los derechos, obligaciones, garantías y libertades previstos en la Constitución y en la Ley.</w:t>
      </w:r>
    </w:p>
    <w:p w14:paraId="1393EE3D" w14:textId="77777777" w:rsidR="001C4E06" w:rsidRPr="001C4E06" w:rsidRDefault="001C4E06" w:rsidP="001C4E06">
      <w:pPr>
        <w:spacing w:after="0" w:line="240" w:lineRule="auto"/>
        <w:ind w:left="851" w:right="476"/>
        <w:jc w:val="both"/>
        <w:rPr>
          <w:rFonts w:ascii="Century Gothic" w:eastAsia="Times New Roman" w:hAnsi="Century Gothic" w:cs="Arial"/>
          <w:sz w:val="20"/>
          <w:szCs w:val="20"/>
          <w:lang w:val="es-ES" w:eastAsia="es-ES"/>
        </w:rPr>
      </w:pPr>
    </w:p>
    <w:p w14:paraId="2D27453F" w14:textId="77777777" w:rsidR="001C4E06" w:rsidRPr="001C4E06" w:rsidRDefault="001C4E06" w:rsidP="001C4E06">
      <w:pPr>
        <w:spacing w:after="0" w:line="240" w:lineRule="auto"/>
        <w:ind w:left="851" w:right="47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w:t>
      </w:r>
    </w:p>
    <w:p w14:paraId="5698465F" w14:textId="77777777" w:rsidR="001C4E06" w:rsidRPr="001C4E06" w:rsidRDefault="001C4E06" w:rsidP="001C4E06">
      <w:pPr>
        <w:spacing w:after="0" w:line="240" w:lineRule="auto"/>
        <w:ind w:left="851" w:right="476"/>
        <w:jc w:val="both"/>
        <w:rPr>
          <w:rFonts w:ascii="Century Gothic" w:eastAsia="Times New Roman" w:hAnsi="Century Gothic"/>
          <w:sz w:val="20"/>
          <w:szCs w:val="20"/>
          <w:lang w:val="es-ES" w:eastAsia="es-ES"/>
        </w:rPr>
      </w:pPr>
    </w:p>
    <w:p w14:paraId="2AD0851A" w14:textId="77777777" w:rsidR="001C4E06" w:rsidRPr="001C4E06" w:rsidRDefault="001C4E06" w:rsidP="001C4E06">
      <w:pPr>
        <w:spacing w:after="0" w:line="240" w:lineRule="auto"/>
        <w:ind w:left="851" w:right="47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“De esta manera, no queda duda que cada uno de los habitantes del territorio nacional tiene derecho constitucional fundamental a que el Estado le garantice no sólo el derecho a acceder a la administración de justicia sino a que ésta adopte las decisiones judiciales como resultado de esa labor, de manera pronta y cumplida, es decir, que en ningún caso el proceso judicial sea afectado por dilaciones injustificadas (Arts. 29, 228 y 229 C.P.).</w:t>
      </w:r>
    </w:p>
    <w:p w14:paraId="1C8F0114" w14:textId="77777777" w:rsidR="001C4E06" w:rsidRPr="001C4E06" w:rsidRDefault="001C4E06" w:rsidP="001C4E06">
      <w:pPr>
        <w:spacing w:after="0" w:line="240" w:lineRule="auto"/>
        <w:ind w:left="851" w:right="476"/>
        <w:jc w:val="both"/>
        <w:rPr>
          <w:rFonts w:ascii="Century Gothic" w:eastAsia="Times New Roman" w:hAnsi="Century Gothic" w:cs="Arial"/>
          <w:sz w:val="20"/>
          <w:szCs w:val="20"/>
          <w:lang w:val="es-ES" w:eastAsia="es-ES"/>
        </w:rPr>
      </w:pPr>
    </w:p>
    <w:p w14:paraId="35290C72" w14:textId="77777777" w:rsidR="001C4E06" w:rsidRPr="001C4E06" w:rsidRDefault="001C4E06" w:rsidP="001C4E06">
      <w:pPr>
        <w:spacing w:after="0" w:line="240" w:lineRule="auto"/>
        <w:ind w:left="851" w:right="47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w:t>
      </w:r>
    </w:p>
    <w:p w14:paraId="02CF4364" w14:textId="77777777" w:rsidR="001C4E06" w:rsidRPr="001C4E06" w:rsidRDefault="001C4E06" w:rsidP="001C4E06">
      <w:pPr>
        <w:spacing w:after="0" w:line="240" w:lineRule="auto"/>
        <w:ind w:left="851" w:right="476"/>
        <w:jc w:val="both"/>
        <w:rPr>
          <w:rFonts w:ascii="Century Gothic" w:eastAsia="Times New Roman" w:hAnsi="Century Gothic" w:cs="Arial"/>
          <w:sz w:val="20"/>
          <w:szCs w:val="20"/>
          <w:lang w:val="es-ES" w:eastAsia="es-ES"/>
        </w:rPr>
      </w:pPr>
    </w:p>
    <w:p w14:paraId="6458FBDD" w14:textId="77777777" w:rsidR="001C4E06" w:rsidRPr="001C4E06" w:rsidRDefault="001C4E06" w:rsidP="001C4E06">
      <w:pPr>
        <w:spacing w:after="0" w:line="240" w:lineRule="auto"/>
        <w:ind w:left="851" w:right="476"/>
        <w:jc w:val="both"/>
        <w:rPr>
          <w:rFonts w:ascii="Century Gothic" w:eastAsia="Times New Roman" w:hAnsi="Century Gothic" w:cs="Arial"/>
          <w:bCs/>
          <w:sz w:val="20"/>
          <w:szCs w:val="20"/>
          <w:lang w:val="es-ES" w:eastAsia="es-ES"/>
        </w:rPr>
      </w:pPr>
      <w:r w:rsidRPr="001C4E06">
        <w:rPr>
          <w:rFonts w:ascii="Century Gothic" w:eastAsia="Times New Roman" w:hAnsi="Century Gothic" w:cs="Arial"/>
          <w:bCs/>
          <w:sz w:val="20"/>
          <w:szCs w:val="20"/>
          <w:lang w:val="es-ES" w:eastAsia="es-ES"/>
        </w:rPr>
        <w:t xml:space="preserve">“Sobre el particular, resulta obligatoria la referencia al artículo 8.1. de la Convención Americana de Derechos Humanos, que establece que toda persona tiene derecho a ser oída, con las debidas garantías, </w:t>
      </w:r>
      <w:r w:rsidRPr="001C4E06">
        <w:rPr>
          <w:rFonts w:ascii="Century Gothic" w:eastAsia="Times New Roman" w:hAnsi="Century Gothic" w:cs="Arial"/>
          <w:bCs/>
          <w:sz w:val="20"/>
          <w:szCs w:val="20"/>
          <w:u w:val="single"/>
          <w:lang w:val="es-ES" w:eastAsia="es-ES"/>
        </w:rPr>
        <w:t>dentro de un plazo razonable</w:t>
      </w:r>
      <w:r w:rsidRPr="001C4E06">
        <w:rPr>
          <w:rFonts w:ascii="Century Gothic" w:eastAsia="Times New Roman" w:hAnsi="Century Gothic" w:cs="Arial"/>
          <w:bCs/>
          <w:sz w:val="20"/>
          <w:szCs w:val="20"/>
          <w:lang w:val="es-ES" w:eastAsia="es-ES"/>
        </w:rPr>
        <w:t xml:space="preserve"> por un Tribunal o Juez imparcial e independiente. </w:t>
      </w:r>
    </w:p>
    <w:p w14:paraId="44C33164" w14:textId="77777777" w:rsidR="001C4E06" w:rsidRPr="001C4E06" w:rsidRDefault="001C4E06" w:rsidP="001C4E06">
      <w:pPr>
        <w:spacing w:after="0" w:line="240" w:lineRule="auto"/>
        <w:ind w:left="851" w:right="476"/>
        <w:jc w:val="both"/>
        <w:rPr>
          <w:rFonts w:ascii="Century Gothic" w:eastAsia="Times New Roman" w:hAnsi="Century Gothic" w:cs="Arial"/>
          <w:bCs/>
          <w:sz w:val="20"/>
          <w:szCs w:val="20"/>
          <w:lang w:val="es-ES" w:eastAsia="es-ES"/>
        </w:rPr>
      </w:pPr>
    </w:p>
    <w:p w14:paraId="0F4AAD96" w14:textId="77777777" w:rsidR="001C4E06" w:rsidRPr="001C4E06" w:rsidRDefault="001C4E06" w:rsidP="001C4E06">
      <w:pPr>
        <w:spacing w:after="0" w:line="360" w:lineRule="auto"/>
        <w:ind w:left="851" w:right="476"/>
        <w:jc w:val="both"/>
        <w:rPr>
          <w:rFonts w:ascii="Century Gothic" w:eastAsia="Times New Roman" w:hAnsi="Century Gothic" w:cs="Arial"/>
          <w:bCs/>
          <w:sz w:val="20"/>
          <w:szCs w:val="20"/>
          <w:lang w:val="es-ES" w:eastAsia="es-ES"/>
        </w:rPr>
      </w:pPr>
      <w:r w:rsidRPr="001C4E06">
        <w:rPr>
          <w:rFonts w:ascii="Century Gothic" w:eastAsia="Times New Roman" w:hAnsi="Century Gothic" w:cs="Arial"/>
          <w:bCs/>
          <w:sz w:val="20"/>
          <w:szCs w:val="20"/>
          <w:lang w:val="es-ES" w:eastAsia="es-ES"/>
        </w:rPr>
        <w:t>“(...)</w:t>
      </w:r>
    </w:p>
    <w:p w14:paraId="3EF20851" w14:textId="77777777" w:rsidR="001C4E06" w:rsidRPr="001C4E06" w:rsidRDefault="001C4E06" w:rsidP="001C4E06">
      <w:pPr>
        <w:spacing w:after="0" w:line="240" w:lineRule="auto"/>
        <w:ind w:left="851" w:right="476"/>
        <w:jc w:val="both"/>
        <w:rPr>
          <w:rFonts w:ascii="Century Gothic" w:eastAsia="Times New Roman" w:hAnsi="Century Gothic" w:cs="Arial"/>
          <w:bCs/>
          <w:sz w:val="20"/>
          <w:szCs w:val="20"/>
          <w:lang w:val="es-ES" w:eastAsia="es-ES"/>
        </w:rPr>
      </w:pPr>
    </w:p>
    <w:p w14:paraId="6635E770" w14:textId="77777777" w:rsidR="001C4E06" w:rsidRPr="001C4E06" w:rsidRDefault="001C4E06" w:rsidP="001C4E06">
      <w:pPr>
        <w:spacing w:after="0" w:line="240" w:lineRule="auto"/>
        <w:ind w:left="851" w:right="476"/>
        <w:jc w:val="both"/>
        <w:rPr>
          <w:rFonts w:ascii="Century Gothic" w:eastAsia="Times New Roman" w:hAnsi="Century Gothic" w:cs="Arial"/>
          <w:bCs/>
          <w:sz w:val="20"/>
          <w:szCs w:val="20"/>
          <w:lang w:val="es-ES" w:eastAsia="es-ES"/>
        </w:rPr>
      </w:pPr>
      <w:r w:rsidRPr="001C4E06">
        <w:rPr>
          <w:rFonts w:ascii="Century Gothic" w:eastAsia="Times New Roman" w:hAnsi="Century Gothic" w:cs="Arial"/>
          <w:bCs/>
          <w:sz w:val="20"/>
          <w:szCs w:val="20"/>
          <w:lang w:val="es-ES" w:eastAsia="es-ES"/>
        </w:rPr>
        <w:t xml:space="preserve">“Lo anterior debe armonizarse con lo dispuesto en el artículo 29 de la Constitución Política de 1991, en el sentido de que toda persona tiene derecho a un proceso público, sin dilaciones injustificadas. </w:t>
      </w:r>
    </w:p>
    <w:p w14:paraId="3CFC8FA0" w14:textId="77777777" w:rsidR="001C4E06" w:rsidRPr="001C4E06" w:rsidRDefault="001C4E06" w:rsidP="001C4E06">
      <w:pPr>
        <w:spacing w:after="0" w:line="240" w:lineRule="auto"/>
        <w:ind w:right="476"/>
        <w:jc w:val="both"/>
        <w:rPr>
          <w:rFonts w:ascii="Century Gothic" w:eastAsia="Times New Roman" w:hAnsi="Century Gothic" w:cs="Arial"/>
          <w:bCs/>
          <w:sz w:val="20"/>
          <w:szCs w:val="20"/>
          <w:lang w:val="es-ES" w:eastAsia="es-ES"/>
        </w:rPr>
      </w:pPr>
    </w:p>
    <w:p w14:paraId="401EC218" w14:textId="77777777" w:rsidR="001C4E06" w:rsidRPr="001C4E06" w:rsidRDefault="001C4E06" w:rsidP="001C4E06">
      <w:pPr>
        <w:spacing w:after="0" w:line="240" w:lineRule="auto"/>
        <w:ind w:right="476"/>
        <w:jc w:val="both"/>
        <w:rPr>
          <w:rFonts w:ascii="Century Gothic" w:eastAsia="Times New Roman" w:hAnsi="Century Gothic" w:cs="Arial"/>
          <w:bCs/>
          <w:sz w:val="20"/>
          <w:szCs w:val="20"/>
          <w:lang w:val="es-ES" w:eastAsia="es-ES"/>
        </w:rPr>
      </w:pPr>
    </w:p>
    <w:p w14:paraId="7708EBCE" w14:textId="77777777" w:rsidR="001C4E06" w:rsidRPr="001C4E06" w:rsidRDefault="001C4E06" w:rsidP="001C4E06">
      <w:pPr>
        <w:spacing w:after="0" w:line="240" w:lineRule="auto"/>
        <w:ind w:left="851" w:right="476"/>
        <w:jc w:val="both"/>
        <w:rPr>
          <w:rFonts w:ascii="Century Gothic" w:eastAsia="Times New Roman" w:hAnsi="Century Gothic" w:cs="Arial"/>
          <w:bCs/>
          <w:sz w:val="20"/>
          <w:szCs w:val="20"/>
          <w:lang w:val="es-ES" w:eastAsia="es-ES"/>
        </w:rPr>
      </w:pPr>
      <w:r w:rsidRPr="001C4E06">
        <w:rPr>
          <w:rFonts w:ascii="Century Gothic" w:eastAsia="Times New Roman" w:hAnsi="Century Gothic" w:cs="Arial"/>
          <w:bCs/>
          <w:sz w:val="20"/>
          <w:szCs w:val="20"/>
          <w:lang w:val="es-ES" w:eastAsia="es-ES"/>
        </w:rPr>
        <w:t xml:space="preserve">“En ese orden, comoquiera en el </w:t>
      </w:r>
      <w:r w:rsidRPr="001C4E06">
        <w:rPr>
          <w:rFonts w:ascii="Century Gothic" w:eastAsia="Times New Roman" w:hAnsi="Century Gothic" w:cs="Arial"/>
          <w:bCs/>
          <w:i/>
          <w:sz w:val="20"/>
          <w:szCs w:val="20"/>
          <w:lang w:val="es-ES" w:eastAsia="es-ES"/>
        </w:rPr>
        <w:t>sub-lite</w:t>
      </w:r>
      <w:r w:rsidRPr="001C4E06">
        <w:rPr>
          <w:rFonts w:ascii="Century Gothic" w:eastAsia="Times New Roman" w:hAnsi="Century Gothic" w:cs="Arial"/>
          <w:bCs/>
          <w:sz w:val="20"/>
          <w:szCs w:val="20"/>
          <w:lang w:val="es-ES" w:eastAsia="es-ES"/>
        </w:rPr>
        <w:t xml:space="preserve"> que han trascurrido más de 9 años desde que se presentó la demanda, estima la Sala que en cumplimiento a la garantía en comento, resulta viable decidir el asunto”.</w:t>
      </w:r>
    </w:p>
    <w:p w14:paraId="2C4B3CEA" w14:textId="77777777" w:rsidR="001C4E06" w:rsidRPr="001C4E06" w:rsidRDefault="001C4E06" w:rsidP="001C4E06">
      <w:pPr>
        <w:spacing w:after="0" w:line="240" w:lineRule="auto"/>
        <w:jc w:val="both"/>
        <w:rPr>
          <w:rFonts w:ascii="Times New Roman" w:eastAsia="Times New Roman" w:hAnsi="Times New Roman"/>
          <w:sz w:val="24"/>
          <w:szCs w:val="24"/>
          <w:lang w:val="es-ES" w:eastAsia="es-ES"/>
        </w:rPr>
      </w:pPr>
    </w:p>
    <w:p w14:paraId="5D6CB93E" w14:textId="77777777" w:rsidR="001C4E06" w:rsidRPr="001C4E06" w:rsidRDefault="001C4E06" w:rsidP="001C4E06">
      <w:pPr>
        <w:spacing w:after="0" w:line="360" w:lineRule="auto"/>
        <w:ind w:right="17"/>
        <w:jc w:val="both"/>
        <w:rPr>
          <w:rFonts w:ascii="Century Gothic" w:eastAsia="Times New Roman" w:hAnsi="Century Gothic"/>
          <w:lang w:val="es-ES" w:eastAsia="es-ES"/>
        </w:rPr>
      </w:pPr>
    </w:p>
    <w:p w14:paraId="2F0B705E" w14:textId="77777777" w:rsidR="001C4E06" w:rsidRPr="001C4E06" w:rsidRDefault="001C4E06" w:rsidP="001C4E06">
      <w:pPr>
        <w:spacing w:after="0" w:line="360" w:lineRule="auto"/>
        <w:ind w:right="17"/>
        <w:jc w:val="both"/>
        <w:rPr>
          <w:rFonts w:ascii="Century Gothic" w:eastAsia="Times New Roman" w:hAnsi="Century Gothic"/>
          <w:lang w:val="es-ES" w:eastAsia="es-ES"/>
        </w:rPr>
      </w:pPr>
    </w:p>
    <w:p w14:paraId="64E28EC1" w14:textId="77777777" w:rsidR="001C4E06" w:rsidRPr="001C4E06" w:rsidRDefault="001C4E06" w:rsidP="001C4E06">
      <w:pPr>
        <w:spacing w:after="0" w:line="360" w:lineRule="auto"/>
        <w:ind w:right="17"/>
        <w:jc w:val="both"/>
        <w:rPr>
          <w:rFonts w:ascii="Century Gothic" w:eastAsia="Times New Roman" w:hAnsi="Century Gothic"/>
          <w:lang w:val="es-ES" w:eastAsia="es-ES"/>
        </w:rPr>
      </w:pPr>
      <w:r w:rsidRPr="001C4E06">
        <w:rPr>
          <w:rFonts w:ascii="Century Gothic" w:eastAsia="Times New Roman" w:hAnsi="Century Gothic"/>
          <w:lang w:val="es-ES" w:eastAsia="es-ES"/>
        </w:rPr>
        <w:t>Teniendo en cuenta los anteriores pronunciamientos jurisprudenciales y como quiera que el proceso de la referencia empezó en 2005, esto es, hace 13 años</w:t>
      </w:r>
      <w:r w:rsidRPr="001C4E06">
        <w:rPr>
          <w:rFonts w:ascii="Century Gothic" w:eastAsia="Times New Roman" w:hAnsi="Century Gothic"/>
          <w:i/>
          <w:lang w:val="es-ES" w:eastAsia="es-ES"/>
        </w:rPr>
        <w:t xml:space="preserve">, </w:t>
      </w:r>
      <w:r w:rsidRPr="001C4E06">
        <w:rPr>
          <w:rFonts w:ascii="Century Gothic" w:eastAsia="Times New Roman" w:hAnsi="Century Gothic"/>
          <w:lang w:val="es-ES" w:eastAsia="es-ES"/>
        </w:rPr>
        <w:t>sin desconocer la unificación jurisprudencial del 18 de abril de 2013</w:t>
      </w:r>
      <w:r w:rsidRPr="001C4E06">
        <w:rPr>
          <w:rFonts w:ascii="Century Gothic" w:eastAsia="Times New Roman" w:hAnsi="Century Gothic"/>
          <w:lang w:eastAsia="es-ES"/>
        </w:rPr>
        <w:t xml:space="preserve"> -que seguirá aplicándose a casos de mucho menor antigüedad- es necesario estudiar de fondo el asunto, en garantía de la seguridad jurídica, de la confianza legítima</w:t>
      </w:r>
      <w:r w:rsidRPr="001C4E06">
        <w:rPr>
          <w:rFonts w:ascii="Century Gothic" w:eastAsia="Times New Roman" w:hAnsi="Century Gothic"/>
          <w:vertAlign w:val="superscript"/>
          <w:lang w:eastAsia="es-ES"/>
        </w:rPr>
        <w:footnoteReference w:id="20"/>
      </w:r>
      <w:r w:rsidRPr="001C4E06">
        <w:rPr>
          <w:rFonts w:ascii="Century Gothic" w:eastAsia="Times New Roman" w:hAnsi="Century Gothic"/>
          <w:lang w:eastAsia="es-ES"/>
        </w:rPr>
        <w:t xml:space="preserve"> y del derecho al acceso a la administración </w:t>
      </w:r>
      <w:r w:rsidRPr="001C4E06">
        <w:rPr>
          <w:rFonts w:ascii="Century Gothic" w:eastAsia="Times New Roman" w:hAnsi="Century Gothic"/>
          <w:lang w:eastAsia="es-ES"/>
        </w:rPr>
        <w:lastRenderedPageBreak/>
        <w:t xml:space="preserve">de justicia, máxime que a la fecha de presentación de la demanda y del fallo de primera instancia la jurisprudencia aceptaba la renuncia tácita de la cláusula compromisoria, </w:t>
      </w:r>
      <w:r w:rsidRPr="001C4E06">
        <w:rPr>
          <w:rFonts w:ascii="Century Gothic" w:eastAsia="Times New Roman" w:hAnsi="Century Gothic"/>
          <w:lang w:val="es-ES" w:eastAsia="es-ES"/>
        </w:rPr>
        <w:t>en el evento en que la parte demandada no interpusiera excepción alguna al respecto, tal como sucedió en el caso de autos.</w:t>
      </w:r>
    </w:p>
    <w:p w14:paraId="628B5C53" w14:textId="77777777" w:rsidR="001C4E06" w:rsidRPr="001C4E06" w:rsidRDefault="001C4E06" w:rsidP="001C4E06">
      <w:pPr>
        <w:spacing w:after="0" w:line="360" w:lineRule="auto"/>
        <w:ind w:right="17"/>
        <w:jc w:val="both"/>
        <w:rPr>
          <w:rFonts w:ascii="Century Gothic" w:eastAsia="Times New Roman" w:hAnsi="Century Gothic"/>
          <w:lang w:eastAsia="es-ES"/>
        </w:rPr>
      </w:pPr>
    </w:p>
    <w:p w14:paraId="1761D0AB" w14:textId="77777777" w:rsidR="001C4E06" w:rsidRPr="001C4E06" w:rsidRDefault="001C4E06" w:rsidP="001C4E06">
      <w:pPr>
        <w:spacing w:after="0" w:line="360" w:lineRule="auto"/>
        <w:ind w:right="17"/>
        <w:jc w:val="both"/>
        <w:rPr>
          <w:rFonts w:ascii="Century Gothic" w:eastAsia="Times New Roman" w:hAnsi="Century Gothic"/>
          <w:lang w:eastAsia="es-ES"/>
        </w:rPr>
      </w:pPr>
    </w:p>
    <w:p w14:paraId="1E8EF4E8" w14:textId="77777777" w:rsidR="001C4E06" w:rsidRPr="001C4E06" w:rsidRDefault="001C4E06" w:rsidP="001C4E06">
      <w:pPr>
        <w:spacing w:after="0" w:line="360" w:lineRule="auto"/>
        <w:ind w:right="17"/>
        <w:jc w:val="both"/>
        <w:rPr>
          <w:rFonts w:ascii="Century Gothic" w:eastAsia="Times New Roman" w:hAnsi="Century Gothic"/>
          <w:lang w:eastAsia="es-ES"/>
        </w:rPr>
      </w:pPr>
    </w:p>
    <w:p w14:paraId="6D563861" w14:textId="77777777" w:rsidR="001C4E06" w:rsidRPr="001C4E06" w:rsidRDefault="001C4E06" w:rsidP="001C4E06">
      <w:pPr>
        <w:spacing w:after="0" w:line="360" w:lineRule="auto"/>
        <w:ind w:right="17"/>
        <w:jc w:val="both"/>
        <w:rPr>
          <w:rFonts w:ascii="Century Gothic" w:eastAsia="Times New Roman" w:hAnsi="Century Gothic"/>
          <w:b/>
          <w:lang w:val="es-ES" w:eastAsia="es-ES"/>
        </w:rPr>
      </w:pPr>
      <w:r w:rsidRPr="001C4E06">
        <w:rPr>
          <w:rFonts w:ascii="Century Gothic" w:eastAsia="Times New Roman" w:hAnsi="Century Gothic"/>
          <w:b/>
          <w:lang w:val="es-ES" w:eastAsia="es-ES"/>
        </w:rPr>
        <w:t xml:space="preserve">1.2.- La competencia.- </w:t>
      </w:r>
    </w:p>
    <w:p w14:paraId="1FBDC1C0" w14:textId="77777777" w:rsidR="001C4E06" w:rsidRPr="001C4E06" w:rsidRDefault="001C4E06" w:rsidP="001C4E06">
      <w:pPr>
        <w:spacing w:after="0" w:line="360" w:lineRule="auto"/>
        <w:ind w:right="17"/>
        <w:jc w:val="both"/>
        <w:rPr>
          <w:rFonts w:ascii="Century Gothic" w:eastAsia="Times New Roman" w:hAnsi="Century Gothic"/>
          <w:lang w:val="es-ES" w:eastAsia="es-ES"/>
        </w:rPr>
      </w:pPr>
    </w:p>
    <w:p w14:paraId="4DBE946D" w14:textId="77777777" w:rsidR="001C4E06" w:rsidRPr="001C4E06" w:rsidRDefault="001C4E06" w:rsidP="001C4E06">
      <w:pPr>
        <w:widowControl w:val="0"/>
        <w:autoSpaceDE w:val="0"/>
        <w:autoSpaceDN w:val="0"/>
        <w:adjustRightInd w:val="0"/>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La Sala es competente para conocer del recurso de apelación interpuesto contra la sentencia proferida el 5 de agosto de 2009 por el Tribunal Administrativo de Cundinamarca, Sección Tercera, Subsección B, por cuanto las pretensiones fueron estimadas en suma no inferior a $ 205’205.359,oo. Para la época de interposición del recurso de apelación</w:t>
      </w:r>
      <w:r w:rsidRPr="001C4E06">
        <w:rPr>
          <w:rFonts w:ascii="Century Gothic" w:eastAsia="Times New Roman" w:hAnsi="Century Gothic"/>
          <w:vertAlign w:val="superscript"/>
          <w:lang w:eastAsia="es-ES"/>
        </w:rPr>
        <w:footnoteReference w:id="21"/>
      </w:r>
      <w:r w:rsidRPr="001C4E06">
        <w:rPr>
          <w:rFonts w:ascii="Century Gothic" w:eastAsia="Times New Roman" w:hAnsi="Century Gothic"/>
          <w:lang w:eastAsia="es-ES"/>
        </w:rPr>
        <w:t>, eran susceptibles de acceder a la segunda instancia los procesos promovidos en ejercicio de la acción contractual cuya cuantía excediera la suma de $190’750.000</w:t>
      </w:r>
      <w:r w:rsidRPr="001C4E06">
        <w:rPr>
          <w:rFonts w:ascii="Century Gothic" w:eastAsia="Times New Roman" w:hAnsi="Century Gothic"/>
          <w:vertAlign w:val="superscript"/>
          <w:lang w:eastAsia="es-ES"/>
        </w:rPr>
        <w:footnoteReference w:id="22"/>
      </w:r>
      <w:r w:rsidRPr="001C4E06">
        <w:rPr>
          <w:rFonts w:ascii="Century Gothic" w:eastAsia="Times New Roman" w:hAnsi="Century Gothic"/>
          <w:lang w:eastAsia="es-ES"/>
        </w:rPr>
        <w:t xml:space="preserve">, monto que acá se encuentra superado. </w:t>
      </w:r>
    </w:p>
    <w:p w14:paraId="235103D9" w14:textId="77777777" w:rsidR="001C4E06" w:rsidRPr="001C4E06" w:rsidRDefault="001C4E06" w:rsidP="001C4E06">
      <w:pPr>
        <w:widowControl w:val="0"/>
        <w:autoSpaceDE w:val="0"/>
        <w:autoSpaceDN w:val="0"/>
        <w:adjustRightInd w:val="0"/>
        <w:spacing w:after="0" w:line="360" w:lineRule="auto"/>
        <w:jc w:val="both"/>
        <w:rPr>
          <w:rFonts w:ascii="Century Gothic" w:eastAsia="Times New Roman" w:hAnsi="Century Gothic"/>
          <w:lang w:eastAsia="es-ES"/>
        </w:rPr>
      </w:pPr>
    </w:p>
    <w:p w14:paraId="760D6509" w14:textId="77777777" w:rsidR="001C4E06" w:rsidRPr="001C4E06" w:rsidRDefault="001C4E06" w:rsidP="001C4E06">
      <w:pPr>
        <w:widowControl w:val="0"/>
        <w:autoSpaceDE w:val="0"/>
        <w:autoSpaceDN w:val="0"/>
        <w:adjustRightInd w:val="0"/>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 xml:space="preserve">Por otra parte, es de anotar que el Consejo de Estado es funcionalmente competente para conocer de los recursos de apelación interpuestos contra las sentencias dictadas por los Tribunales Administrativos en primera instancia, de conformidad con lo dispuesto por el artículo 129 del C.C.A. </w:t>
      </w:r>
    </w:p>
    <w:p w14:paraId="7AE9F5DD" w14:textId="77777777" w:rsidR="001C4E06" w:rsidRPr="001C4E06" w:rsidRDefault="001C4E06" w:rsidP="001C4E06">
      <w:pPr>
        <w:widowControl w:val="0"/>
        <w:autoSpaceDE w:val="0"/>
        <w:autoSpaceDN w:val="0"/>
        <w:adjustRightInd w:val="0"/>
        <w:spacing w:after="0" w:line="360" w:lineRule="auto"/>
        <w:jc w:val="both"/>
        <w:rPr>
          <w:rFonts w:ascii="Century Gothic" w:eastAsia="Times New Roman" w:hAnsi="Century Gothic"/>
          <w:lang w:eastAsia="es-ES"/>
        </w:rPr>
      </w:pPr>
    </w:p>
    <w:p w14:paraId="7C8A1931" w14:textId="77777777" w:rsidR="001C4E06" w:rsidRPr="001C4E06" w:rsidRDefault="001C4E06" w:rsidP="001C4E06">
      <w:pPr>
        <w:spacing w:after="0" w:line="360" w:lineRule="auto"/>
        <w:jc w:val="both"/>
        <w:rPr>
          <w:rFonts w:ascii="Century Gothic" w:eastAsia="Times New Roman" w:hAnsi="Century Gothic" w:cs="Arial"/>
          <w:lang w:val="es-ES" w:eastAsia="es-ES"/>
        </w:rPr>
      </w:pPr>
      <w:bookmarkStart w:id="4" w:name="_Hlk22214441"/>
      <w:r w:rsidRPr="001C4E06">
        <w:rPr>
          <w:rFonts w:ascii="Century Gothic" w:eastAsia="Times New Roman" w:hAnsi="Century Gothic" w:cs="Arial"/>
          <w:lang w:val="es-ES" w:eastAsia="es-ES"/>
        </w:rPr>
        <w:t xml:space="preserve">Sumado a lo anterior, la jurisprudencia de esta Corporación ha señalado que </w:t>
      </w:r>
      <w:bookmarkStart w:id="5" w:name="_Hlk22214423"/>
      <w:r w:rsidRPr="001C4E06">
        <w:rPr>
          <w:rFonts w:ascii="Century Gothic" w:eastAsia="Times New Roman" w:hAnsi="Century Gothic" w:cs="Arial"/>
          <w:lang w:val="es-ES" w:eastAsia="es-ES"/>
        </w:rPr>
        <w:t>la naturaleza del contrato no depende de su régimen jurídico</w:t>
      </w:r>
      <w:bookmarkEnd w:id="5"/>
      <w:r w:rsidRPr="001C4E06">
        <w:rPr>
          <w:rFonts w:ascii="Century Gothic" w:eastAsia="Times New Roman" w:hAnsi="Century Gothic" w:cs="Arial"/>
          <w:lang w:val="es-ES" w:eastAsia="es-ES"/>
        </w:rPr>
        <w:t xml:space="preserve">, puesto que, según las normas legales vigentes, por cuya virtud se acogió un criterio eminentemente subjetivo u orgánico, deben considerarse </w:t>
      </w:r>
      <w:bookmarkStart w:id="6" w:name="_Hlk22214408"/>
      <w:r w:rsidRPr="001C4E06">
        <w:rPr>
          <w:rFonts w:ascii="Century Gothic" w:eastAsia="Times New Roman" w:hAnsi="Century Gothic" w:cs="Arial"/>
          <w:lang w:val="es-ES" w:eastAsia="es-ES"/>
        </w:rPr>
        <w:t xml:space="preserve">contratos estatales </w:t>
      </w:r>
      <w:bookmarkEnd w:id="6"/>
      <w:r w:rsidRPr="001C4E06">
        <w:rPr>
          <w:rFonts w:ascii="Century Gothic" w:eastAsia="Times New Roman" w:hAnsi="Century Gothic" w:cs="Arial"/>
          <w:lang w:val="es-ES" w:eastAsia="es-ES"/>
        </w:rPr>
        <w:t>aquellos que celebren las entidades que participan de esa misma naturaleza.</w:t>
      </w:r>
      <w:bookmarkEnd w:id="4"/>
      <w:r w:rsidRPr="001C4E06">
        <w:rPr>
          <w:rFonts w:ascii="Century Gothic" w:eastAsia="Times New Roman" w:hAnsi="Century Gothic" w:cs="Arial"/>
          <w:lang w:val="es-ES" w:eastAsia="es-ES"/>
        </w:rPr>
        <w:t xml:space="preserve"> El Instituto de Desarrollo Urbano IDU es </w:t>
      </w:r>
      <w:r w:rsidRPr="001C4E06">
        <w:rPr>
          <w:rFonts w:ascii="Century Gothic" w:eastAsia="Times New Roman" w:hAnsi="Century Gothic" w:cs="Arial"/>
          <w:lang w:eastAsia="es-ES"/>
        </w:rPr>
        <w:t>un establecimiento público descentralizado, con personería jurídica, patrimonio propio, autonomía administrativa</w:t>
      </w:r>
      <w:r w:rsidRPr="001C4E06">
        <w:rPr>
          <w:rFonts w:ascii="Century Gothic" w:eastAsia="Times New Roman" w:hAnsi="Century Gothic"/>
          <w:lang w:val="es-ES" w:eastAsia="es-ES"/>
        </w:rPr>
        <w:t>, que ejerce funciones administrativas en cumplimento de los fines estatales y, por consiguiente, sus contratos son estatales.</w:t>
      </w:r>
    </w:p>
    <w:p w14:paraId="58F55B05" w14:textId="77777777" w:rsidR="001C4E06" w:rsidRPr="001C4E06" w:rsidRDefault="001C4E06" w:rsidP="001C4E06">
      <w:pPr>
        <w:spacing w:after="0" w:line="360" w:lineRule="auto"/>
        <w:ind w:right="-1"/>
        <w:jc w:val="both"/>
        <w:rPr>
          <w:rFonts w:ascii="Garamond" w:eastAsia="Times New Roman" w:hAnsi="Garamond" w:cs="Arial"/>
          <w:bCs/>
          <w:sz w:val="20"/>
          <w:szCs w:val="24"/>
          <w:lang w:val="es-ES" w:eastAsia="es-ES"/>
        </w:rPr>
      </w:pPr>
    </w:p>
    <w:p w14:paraId="57B1B026" w14:textId="77777777" w:rsidR="001C4E06" w:rsidRPr="001C4E06" w:rsidRDefault="001C4E06" w:rsidP="001C4E06">
      <w:pPr>
        <w:spacing w:after="0" w:line="360" w:lineRule="auto"/>
        <w:ind w:right="-1"/>
        <w:jc w:val="both"/>
        <w:rPr>
          <w:rFonts w:ascii="Century Gothic" w:eastAsia="Times New Roman" w:hAnsi="Century Gothic" w:cs="Arial"/>
          <w:bCs/>
          <w:lang w:val="es-ES" w:eastAsia="es-ES"/>
        </w:rPr>
      </w:pPr>
      <w:bookmarkStart w:id="7" w:name="_Hlk22214467"/>
      <w:r w:rsidRPr="001C4E06">
        <w:rPr>
          <w:rFonts w:ascii="Century Gothic" w:eastAsia="Times New Roman" w:hAnsi="Century Gothic" w:cs="Arial"/>
          <w:bCs/>
          <w:lang w:val="es-ES" w:eastAsia="es-ES"/>
        </w:rPr>
        <w:t>De acuerdo con lo anterior, en el marco del ordenamiento jurídico vigente la determinación de la naturaleza jurídica del contrato depende de la que, a su vez, tenga la entidad que lo celebra; así, si  ésta es estatal, el contrato también lo es, sin importar el régimen legal que se le deba aplicar.</w:t>
      </w:r>
    </w:p>
    <w:bookmarkEnd w:id="7"/>
    <w:p w14:paraId="56BF79C5" w14:textId="77777777" w:rsidR="001C4E06" w:rsidRPr="001C4E06" w:rsidRDefault="001C4E06" w:rsidP="001C4E06">
      <w:pPr>
        <w:spacing w:after="0" w:line="360" w:lineRule="auto"/>
        <w:ind w:right="-1"/>
        <w:jc w:val="both"/>
        <w:rPr>
          <w:rFonts w:ascii="Century Gothic" w:eastAsia="Times New Roman" w:hAnsi="Century Gothic" w:cs="Arial"/>
          <w:bCs/>
          <w:lang w:val="es-ES" w:eastAsia="es-ES"/>
        </w:rPr>
      </w:pPr>
    </w:p>
    <w:p w14:paraId="0AAF5DDA" w14:textId="77777777" w:rsidR="001C4E06" w:rsidRPr="001C4E06" w:rsidRDefault="001C4E06" w:rsidP="001C4E06">
      <w:pPr>
        <w:spacing w:after="0" w:line="360" w:lineRule="auto"/>
        <w:ind w:right="-1"/>
        <w:jc w:val="both"/>
        <w:rPr>
          <w:rFonts w:ascii="Century Gothic" w:eastAsia="Times New Roman" w:hAnsi="Century Gothic" w:cs="Arial"/>
          <w:bCs/>
          <w:i/>
          <w:iCs/>
          <w:lang w:val="es-ES" w:eastAsia="es-ES"/>
        </w:rPr>
      </w:pPr>
      <w:bookmarkStart w:id="8" w:name="_Hlk22214567"/>
      <w:r w:rsidRPr="001C4E06">
        <w:rPr>
          <w:rFonts w:ascii="Century Gothic" w:eastAsia="Times New Roman" w:hAnsi="Century Gothic" w:cs="Arial"/>
          <w:bCs/>
          <w:lang w:val="es-ES" w:eastAsia="es-ES"/>
        </w:rPr>
        <w:t xml:space="preserve">La afirmación anterior tiene fundamento legal en el artículo 32 de la Ley 80 de 1993, disposición que, al definir los </w:t>
      </w:r>
      <w:bookmarkStart w:id="9" w:name="_Hlk22214527"/>
      <w:r w:rsidRPr="001C4E06">
        <w:rPr>
          <w:rFonts w:ascii="Century Gothic" w:eastAsia="Times New Roman" w:hAnsi="Century Gothic" w:cs="Arial"/>
          <w:bCs/>
          <w:lang w:val="es-ES" w:eastAsia="es-ES"/>
        </w:rPr>
        <w:t>contratos estatales</w:t>
      </w:r>
      <w:bookmarkEnd w:id="9"/>
      <w:r w:rsidRPr="001C4E06">
        <w:rPr>
          <w:rFonts w:ascii="Century Gothic" w:eastAsia="Times New Roman" w:hAnsi="Century Gothic" w:cs="Arial"/>
          <w:bCs/>
          <w:lang w:val="es-ES" w:eastAsia="es-ES"/>
        </w:rPr>
        <w:t xml:space="preserve">, </w:t>
      </w:r>
      <w:bookmarkStart w:id="10" w:name="_Hlk22214552"/>
      <w:r w:rsidRPr="001C4E06">
        <w:rPr>
          <w:rFonts w:ascii="Century Gothic" w:eastAsia="Times New Roman" w:hAnsi="Century Gothic" w:cs="Arial"/>
          <w:bCs/>
          <w:lang w:val="es-ES" w:eastAsia="es-ES"/>
        </w:rPr>
        <w:t>adoptó un criterio eminentemente subjetivo u orgánico</w:t>
      </w:r>
      <w:bookmarkEnd w:id="10"/>
      <w:r w:rsidRPr="001C4E06">
        <w:rPr>
          <w:rFonts w:ascii="Century Gothic" w:eastAsia="Times New Roman" w:hAnsi="Century Gothic" w:cs="Arial"/>
          <w:bCs/>
          <w:lang w:val="es-ES" w:eastAsia="es-ES"/>
        </w:rPr>
        <w:t xml:space="preserve">, apartándose así de cualquier juicio funcional o referido al régimen jurídico aplicable a la parte sustantiva del contrato: </w:t>
      </w:r>
      <w:r w:rsidRPr="001C4E06">
        <w:rPr>
          <w:rFonts w:ascii="Century Gothic" w:eastAsia="Times New Roman" w:hAnsi="Century Gothic" w:cs="Arial"/>
          <w:bCs/>
          <w:i/>
          <w:iCs/>
          <w:lang w:val="es-ES" w:eastAsia="es-ES"/>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Pr="001C4E06">
        <w:rPr>
          <w:rFonts w:ascii="Century Gothic" w:eastAsia="Times New Roman" w:hAnsi="Century Gothic" w:cs="Arial"/>
          <w:bCs/>
          <w:i/>
          <w:iCs/>
          <w:vertAlign w:val="superscript"/>
          <w:lang w:val="es-ES" w:eastAsia="es-ES"/>
        </w:rPr>
        <w:footnoteReference w:id="23"/>
      </w:r>
      <w:r w:rsidRPr="001C4E06">
        <w:rPr>
          <w:rFonts w:ascii="Century Gothic" w:eastAsia="Times New Roman" w:hAnsi="Century Gothic" w:cs="Arial"/>
          <w:bCs/>
          <w:i/>
          <w:iCs/>
          <w:lang w:val="es-ES" w:eastAsia="es-ES"/>
        </w:rPr>
        <w:t>.</w:t>
      </w:r>
    </w:p>
    <w:bookmarkEnd w:id="8"/>
    <w:p w14:paraId="04B01B29" w14:textId="77777777" w:rsidR="001C4E06" w:rsidRPr="001C4E06" w:rsidRDefault="001C4E06" w:rsidP="001C4E06">
      <w:pPr>
        <w:spacing w:after="0" w:line="360" w:lineRule="auto"/>
        <w:ind w:right="-1"/>
        <w:jc w:val="both"/>
        <w:rPr>
          <w:rFonts w:ascii="Century Gothic" w:eastAsia="Times New Roman" w:hAnsi="Century Gothic" w:cs="Arial"/>
          <w:bCs/>
          <w:i/>
          <w:iCs/>
          <w:lang w:val="es-ES" w:eastAsia="es-ES"/>
        </w:rPr>
      </w:pPr>
    </w:p>
    <w:p w14:paraId="730EB8C0" w14:textId="77777777" w:rsidR="001C4E06" w:rsidRPr="001C4E06" w:rsidRDefault="001C4E06" w:rsidP="001C4E06">
      <w:pPr>
        <w:spacing w:after="0" w:line="360" w:lineRule="auto"/>
        <w:ind w:right="-1"/>
        <w:jc w:val="both"/>
        <w:rPr>
          <w:rFonts w:ascii="Century Gothic" w:eastAsia="Times New Roman" w:hAnsi="Century Gothic" w:cs="Arial"/>
          <w:bCs/>
          <w:color w:val="000000"/>
          <w:lang w:val="es-ES" w:eastAsia="es-ES"/>
        </w:rPr>
      </w:pPr>
      <w:r w:rsidRPr="001C4E06">
        <w:rPr>
          <w:rFonts w:ascii="Century Gothic" w:eastAsia="Times New Roman" w:hAnsi="Century Gothic" w:cs="Arial"/>
          <w:bCs/>
          <w:lang w:eastAsia="es-ES"/>
        </w:rPr>
        <w:t xml:space="preserve">Adicionalmente, el </w:t>
      </w:r>
      <w:r w:rsidRPr="001C4E06">
        <w:rPr>
          <w:rFonts w:ascii="Century Gothic" w:eastAsia="Times New Roman" w:hAnsi="Century Gothic" w:cs="Arial"/>
          <w:bCs/>
          <w:lang w:val="es-ES" w:eastAsia="es-ES"/>
        </w:rPr>
        <w:t>artículo 82</w:t>
      </w:r>
      <w:r w:rsidRPr="001C4E06">
        <w:rPr>
          <w:rFonts w:ascii="Century Gothic" w:eastAsia="Times New Roman" w:hAnsi="Century Gothic" w:cs="Arial"/>
          <w:bCs/>
          <w:vertAlign w:val="superscript"/>
          <w:lang w:val="es-ES" w:eastAsia="es-ES"/>
        </w:rPr>
        <w:footnoteReference w:id="24"/>
      </w:r>
      <w:r w:rsidRPr="001C4E06">
        <w:rPr>
          <w:rFonts w:ascii="Century Gothic" w:eastAsia="Times New Roman" w:hAnsi="Century Gothic" w:cs="Arial"/>
          <w:bCs/>
          <w:lang w:val="es-ES" w:eastAsia="es-ES"/>
        </w:rPr>
        <w:t xml:space="preserve"> del Código Contencioso Administrativo, modificado por el artículo 30 de la Ley 446 de 1998 vigente para la época de los hechos y de presentación de la demanda, estableció que l</w:t>
      </w:r>
      <w:r w:rsidRPr="001C4E06">
        <w:rPr>
          <w:rFonts w:ascii="Century Gothic" w:eastAsia="Times New Roman" w:hAnsi="Century Gothic" w:cs="Arial"/>
          <w:bCs/>
          <w:color w:val="000000"/>
          <w:lang w:val="es-ES" w:eastAsia="es-ES"/>
        </w:rPr>
        <w:t xml:space="preserve">a jurisdicción de lo contencioso administrativo está instituida para juzgar las </w:t>
      </w:r>
      <w:r w:rsidRPr="001C4E06">
        <w:rPr>
          <w:rFonts w:ascii="Century Gothic" w:eastAsia="Times New Roman" w:hAnsi="Century Gothic" w:cs="Arial"/>
          <w:bCs/>
          <w:lang w:val="es-ES" w:eastAsia="es-ES"/>
        </w:rPr>
        <w:t>controversi</w:t>
      </w:r>
      <w:r w:rsidRPr="001C4E06">
        <w:rPr>
          <w:rFonts w:ascii="Century Gothic" w:eastAsia="Times New Roman" w:hAnsi="Century Gothic" w:cs="Arial"/>
          <w:bCs/>
          <w:color w:val="000000"/>
          <w:lang w:val="es-ES" w:eastAsia="es-ES"/>
        </w:rPr>
        <w:t>as y litigios originados en la actividad de las entidades públicas.</w:t>
      </w:r>
    </w:p>
    <w:p w14:paraId="16D29B2F" w14:textId="77777777" w:rsidR="001C4E06" w:rsidRPr="001C4E06" w:rsidRDefault="001C4E06" w:rsidP="001C4E06">
      <w:pPr>
        <w:spacing w:after="0" w:line="360" w:lineRule="auto"/>
        <w:ind w:right="17"/>
        <w:jc w:val="both"/>
        <w:rPr>
          <w:rFonts w:ascii="Century Gothic" w:eastAsia="Times New Roman" w:hAnsi="Century Gothic"/>
          <w:highlight w:val="lightGray"/>
          <w:lang w:eastAsia="es-ES"/>
        </w:rPr>
      </w:pPr>
    </w:p>
    <w:p w14:paraId="28981040" w14:textId="77777777" w:rsidR="001C4E06" w:rsidRPr="001C4E06" w:rsidRDefault="001C4E06" w:rsidP="001C4E06">
      <w:pPr>
        <w:spacing w:after="0" w:line="360" w:lineRule="auto"/>
        <w:ind w:right="17"/>
        <w:jc w:val="both"/>
        <w:rPr>
          <w:rFonts w:ascii="Century Gothic" w:eastAsia="Times New Roman" w:hAnsi="Century Gothic"/>
          <w:b/>
          <w:lang w:eastAsia="es-ES"/>
        </w:rPr>
      </w:pPr>
      <w:r w:rsidRPr="001C4E06">
        <w:rPr>
          <w:rFonts w:ascii="Century Gothic" w:eastAsia="Times New Roman" w:hAnsi="Century Gothic"/>
          <w:b/>
          <w:lang w:val="es-ES" w:eastAsia="es-ES"/>
        </w:rPr>
        <w:t>2</w:t>
      </w:r>
      <w:r w:rsidRPr="001C4E06">
        <w:rPr>
          <w:rFonts w:ascii="Century Gothic" w:eastAsia="Times New Roman" w:hAnsi="Century Gothic"/>
          <w:b/>
          <w:lang w:eastAsia="es-ES"/>
        </w:rPr>
        <w:t>.- Ejercicio oportuno de la acción.-</w:t>
      </w:r>
    </w:p>
    <w:p w14:paraId="6CB4273D" w14:textId="77777777" w:rsidR="001C4E06" w:rsidRPr="001C4E06" w:rsidRDefault="001C4E06" w:rsidP="001C4E06">
      <w:pPr>
        <w:spacing w:after="0" w:line="360" w:lineRule="auto"/>
        <w:ind w:right="17"/>
        <w:jc w:val="both"/>
        <w:rPr>
          <w:rFonts w:ascii="Century Gothic" w:eastAsia="Times New Roman" w:hAnsi="Century Gothic"/>
          <w:color w:val="000000"/>
          <w:lang w:eastAsia="es-ES"/>
        </w:rPr>
      </w:pPr>
    </w:p>
    <w:p w14:paraId="56522DA5" w14:textId="77777777" w:rsidR="001C4E06" w:rsidRPr="001C4E06" w:rsidRDefault="001C4E06" w:rsidP="001C4E06">
      <w:pPr>
        <w:spacing w:after="0" w:line="360" w:lineRule="auto"/>
        <w:ind w:right="17"/>
        <w:jc w:val="both"/>
        <w:rPr>
          <w:rFonts w:ascii="Century Gothic" w:eastAsia="Times New Roman" w:hAnsi="Century Gothic"/>
          <w:color w:val="000000"/>
          <w:lang w:eastAsia="es-ES"/>
        </w:rPr>
      </w:pPr>
      <w:r w:rsidRPr="001C4E06">
        <w:rPr>
          <w:rFonts w:ascii="Century Gothic" w:eastAsia="Times New Roman" w:hAnsi="Century Gothic"/>
          <w:color w:val="000000"/>
          <w:lang w:eastAsia="es-ES"/>
        </w:rPr>
        <w:t xml:space="preserve">De conformidad con el artículo 136 (numeral 10) del Código Contencioso Administrativo, el término para el ejercicio de la acción contractual </w:t>
      </w:r>
      <w:r w:rsidRPr="001C4E06">
        <w:rPr>
          <w:rFonts w:ascii="Century Gothic" w:eastAsia="Times New Roman" w:hAnsi="Century Gothic" w:cs="Arial"/>
          <w:color w:val="000000"/>
          <w:lang w:val="es-ES_tradnl" w:eastAsia="es-ES"/>
        </w:rPr>
        <w:t>es de dos (2) años contados a partir del día siguiente a la ocurrencia de los motivos de hecho o de derecho que le sirven de fundamento.</w:t>
      </w:r>
    </w:p>
    <w:p w14:paraId="29ADEEBB" w14:textId="77777777" w:rsidR="001C4E06" w:rsidRPr="001C4E06" w:rsidRDefault="001C4E06" w:rsidP="001C4E06">
      <w:pPr>
        <w:spacing w:after="0" w:line="360" w:lineRule="auto"/>
        <w:ind w:right="17"/>
        <w:jc w:val="both"/>
        <w:rPr>
          <w:rFonts w:ascii="Century Gothic" w:eastAsia="Times New Roman" w:hAnsi="Century Gothic"/>
          <w:color w:val="000000"/>
          <w:lang w:eastAsia="es-ES"/>
        </w:rPr>
      </w:pPr>
    </w:p>
    <w:p w14:paraId="10AC42F8" w14:textId="77777777" w:rsidR="001C4E06" w:rsidRPr="001C4E06" w:rsidRDefault="001C4E06" w:rsidP="001C4E06">
      <w:pPr>
        <w:spacing w:after="0" w:line="360" w:lineRule="auto"/>
        <w:ind w:right="17"/>
        <w:jc w:val="both"/>
        <w:rPr>
          <w:rFonts w:ascii="Century Gothic" w:eastAsia="Times New Roman" w:hAnsi="Century Gothic"/>
          <w:color w:val="000000"/>
          <w:lang w:eastAsia="es-ES"/>
        </w:rPr>
      </w:pPr>
      <w:r w:rsidRPr="001C4E06">
        <w:rPr>
          <w:rFonts w:ascii="Century Gothic" w:eastAsia="Times New Roman" w:hAnsi="Century Gothic"/>
          <w:color w:val="000000"/>
          <w:lang w:eastAsia="es-ES"/>
        </w:rPr>
        <w:t xml:space="preserve">En el presente caso, los actos demandados quedaron ejecutoriados el 25 de octubre de 2005 y la demanda se presentó el 17 de noviembre de 2005, por lo que se evidencia que ésta se interpuso dentro del término legal de dos años. </w:t>
      </w:r>
    </w:p>
    <w:p w14:paraId="3B91DF10" w14:textId="77777777" w:rsidR="001C4E06" w:rsidRPr="001C4E06" w:rsidRDefault="001C4E06" w:rsidP="001C4E06">
      <w:pPr>
        <w:spacing w:after="0" w:line="360" w:lineRule="auto"/>
        <w:ind w:right="17"/>
        <w:jc w:val="both"/>
        <w:rPr>
          <w:rFonts w:ascii="Century Gothic" w:eastAsia="Times New Roman" w:hAnsi="Century Gothic"/>
          <w:b/>
          <w:lang w:val="es-ES" w:eastAsia="es-ES"/>
        </w:rPr>
      </w:pPr>
    </w:p>
    <w:p w14:paraId="662740C7" w14:textId="77777777" w:rsidR="001C4E06" w:rsidRPr="001C4E06" w:rsidRDefault="001C4E06" w:rsidP="001C4E06">
      <w:pPr>
        <w:spacing w:after="0" w:line="360" w:lineRule="auto"/>
        <w:ind w:right="17"/>
        <w:jc w:val="both"/>
        <w:rPr>
          <w:rFonts w:ascii="Century Gothic" w:eastAsia="Times New Roman" w:hAnsi="Century Gothic"/>
          <w:b/>
          <w:lang w:eastAsia="es-ES"/>
        </w:rPr>
      </w:pPr>
      <w:r w:rsidRPr="001C4E06">
        <w:rPr>
          <w:rFonts w:ascii="Century Gothic" w:eastAsia="Times New Roman" w:hAnsi="Century Gothic"/>
          <w:b/>
          <w:lang w:val="es-ES" w:eastAsia="es-ES"/>
        </w:rPr>
        <w:t>3</w:t>
      </w:r>
      <w:r w:rsidRPr="001C4E06">
        <w:rPr>
          <w:rFonts w:ascii="Century Gothic" w:eastAsia="Times New Roman" w:hAnsi="Century Gothic"/>
          <w:b/>
          <w:lang w:eastAsia="es-ES"/>
        </w:rPr>
        <w:t xml:space="preserve">.- Análisis del caso.- </w:t>
      </w:r>
    </w:p>
    <w:p w14:paraId="0AECF594" w14:textId="77777777" w:rsidR="001C4E06" w:rsidRPr="001C4E06" w:rsidRDefault="001C4E06" w:rsidP="001C4E06">
      <w:pPr>
        <w:spacing w:after="0" w:line="360" w:lineRule="auto"/>
        <w:ind w:right="17"/>
        <w:jc w:val="both"/>
        <w:rPr>
          <w:rFonts w:ascii="Century Gothic" w:eastAsia="Times New Roman" w:hAnsi="Century Gothic"/>
          <w:b/>
          <w:lang w:eastAsia="es-ES"/>
        </w:rPr>
      </w:pPr>
    </w:p>
    <w:p w14:paraId="3F95D5BB" w14:textId="77777777" w:rsidR="001C4E06" w:rsidRPr="001C4E06" w:rsidRDefault="001C4E06" w:rsidP="001C4E06">
      <w:pPr>
        <w:spacing w:after="0" w:line="360" w:lineRule="auto"/>
        <w:ind w:right="46"/>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La parte actora presenta recurso de apelación, el cual se dirige a que se revoque la sentencia y se revise en su integridad el fallo de primera instancia, pues considera que no se valoró el material probatorio en debida forma y, en su concepto, toda la prueba recaudada permite llegar a la convicción necesaria para acceder a la totalidad de las pretensiones; además, no se analizaron debidamente los argumentos de la  demanda y los alegatos de primera instancia y se presenta una nulidad procesal por la falta de pronunciamiento frente a la solicitud de convocatoria a la audiencia regulada en el artículo 147 del C.C.A.</w:t>
      </w:r>
    </w:p>
    <w:p w14:paraId="72352BCA" w14:textId="77777777" w:rsidR="001C4E06" w:rsidRPr="001C4E06" w:rsidRDefault="001C4E06" w:rsidP="001C4E06">
      <w:pPr>
        <w:spacing w:after="0" w:line="360" w:lineRule="auto"/>
        <w:ind w:right="46"/>
        <w:jc w:val="both"/>
        <w:rPr>
          <w:rFonts w:ascii="Century Gothic" w:eastAsia="Times New Roman" w:hAnsi="Century Gothic" w:cs="Tahoma"/>
          <w:lang w:val="es-ES" w:eastAsia="es-ES"/>
        </w:rPr>
      </w:pPr>
    </w:p>
    <w:p w14:paraId="7CDDE1CF" w14:textId="77777777" w:rsidR="001C4E06" w:rsidRPr="001C4E06" w:rsidRDefault="001C4E06" w:rsidP="001C4E06">
      <w:pPr>
        <w:spacing w:after="0" w:line="360" w:lineRule="auto"/>
        <w:ind w:right="46"/>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 xml:space="preserve">Así las cosas, se procederá a estudiar los argumentos de inconformidad expuestos por el apelante frente a la sentencia de primera instancia: </w:t>
      </w:r>
    </w:p>
    <w:p w14:paraId="672CC519" w14:textId="77777777" w:rsidR="001C4E06" w:rsidRPr="001C4E06" w:rsidRDefault="001C4E06" w:rsidP="001C4E06">
      <w:pPr>
        <w:spacing w:after="0" w:line="360" w:lineRule="auto"/>
        <w:ind w:right="46"/>
        <w:jc w:val="both"/>
        <w:rPr>
          <w:rFonts w:ascii="Century Gothic" w:eastAsia="Times New Roman" w:hAnsi="Century Gothic" w:cs="Tahoma"/>
          <w:lang w:val="es-ES" w:eastAsia="es-ES"/>
        </w:rPr>
      </w:pPr>
    </w:p>
    <w:p w14:paraId="3B923682" w14:textId="77777777" w:rsidR="001C4E06" w:rsidRPr="001C4E06" w:rsidRDefault="001C4E06" w:rsidP="001C4E06">
      <w:pPr>
        <w:spacing w:after="0" w:line="360" w:lineRule="auto"/>
        <w:ind w:right="46"/>
        <w:jc w:val="both"/>
        <w:rPr>
          <w:rFonts w:ascii="Century Gothic" w:eastAsia="Times New Roman" w:hAnsi="Century Gothic" w:cs="Tahoma"/>
          <w:b/>
          <w:lang w:val="es-ES" w:eastAsia="es-ES"/>
        </w:rPr>
      </w:pPr>
      <w:r w:rsidRPr="001C4E06">
        <w:rPr>
          <w:rFonts w:ascii="Century Gothic" w:eastAsia="Times New Roman" w:hAnsi="Century Gothic" w:cs="Tahoma"/>
          <w:b/>
          <w:lang w:val="es-ES" w:eastAsia="es-ES"/>
        </w:rPr>
        <w:t xml:space="preserve">3.1.- Nulidad de la sentencia por omitir el pronunciamiento sobre la audiencia de alegatos solicitada.- </w:t>
      </w:r>
    </w:p>
    <w:p w14:paraId="7341FEAD" w14:textId="77777777" w:rsidR="001C4E06" w:rsidRPr="001C4E06" w:rsidRDefault="001C4E06" w:rsidP="001C4E06">
      <w:pPr>
        <w:spacing w:after="0" w:line="360" w:lineRule="auto"/>
        <w:ind w:right="46"/>
        <w:jc w:val="both"/>
        <w:rPr>
          <w:rFonts w:ascii="Century Gothic" w:eastAsia="Times New Roman" w:hAnsi="Century Gothic" w:cs="Tahoma"/>
          <w:b/>
          <w:lang w:val="es-ES" w:eastAsia="es-ES"/>
        </w:rPr>
      </w:pPr>
    </w:p>
    <w:p w14:paraId="45D430CD" w14:textId="77777777" w:rsidR="001C4E06" w:rsidRPr="001C4E06" w:rsidRDefault="001C4E06" w:rsidP="001C4E06">
      <w:pPr>
        <w:spacing w:after="0" w:line="360" w:lineRule="auto"/>
        <w:ind w:right="46"/>
        <w:jc w:val="both"/>
        <w:rPr>
          <w:rFonts w:ascii="Century Gothic" w:eastAsia="Times New Roman" w:hAnsi="Century Gothic" w:cs="Tahoma"/>
          <w:lang w:val="es-ES" w:eastAsia="es-ES"/>
        </w:rPr>
      </w:pPr>
      <w:r w:rsidRPr="001C4E06">
        <w:rPr>
          <w:rFonts w:ascii="Century Gothic" w:eastAsia="Times New Roman" w:hAnsi="Century Gothic" w:cs="Tahoma"/>
          <w:lang w:val="es-ES" w:eastAsia="es-ES"/>
        </w:rPr>
        <w:t xml:space="preserve">Considera el actor, que el tribunal a quo desconoció el derecho al debido proceso, al omitir pronunciarse frente a la solicitud de realizar la audiencia de que trata el articulo 147 del C.C.A., con lo cual, en su opinión, se configura la causal de nulidad prevista en el numeral 6 del artículo 140 del C.P.C. </w:t>
      </w:r>
    </w:p>
    <w:p w14:paraId="78610F59" w14:textId="77777777" w:rsidR="001C4E06" w:rsidRPr="001C4E06" w:rsidRDefault="001C4E06" w:rsidP="001C4E06">
      <w:pPr>
        <w:spacing w:after="0" w:line="360" w:lineRule="auto"/>
        <w:ind w:right="46"/>
        <w:jc w:val="both"/>
        <w:rPr>
          <w:rFonts w:ascii="Century Gothic" w:eastAsia="Times New Roman" w:hAnsi="Century Gothic" w:cs="Tahoma"/>
          <w:lang w:val="es-ES" w:eastAsia="es-ES"/>
        </w:rPr>
      </w:pPr>
    </w:p>
    <w:p w14:paraId="3E96B23B" w14:textId="77777777" w:rsidR="001C4E06" w:rsidRPr="001C4E06" w:rsidRDefault="001C4E06" w:rsidP="001C4E06">
      <w:pPr>
        <w:spacing w:after="0" w:line="360" w:lineRule="auto"/>
        <w:ind w:right="46"/>
        <w:jc w:val="both"/>
        <w:rPr>
          <w:rFonts w:ascii="Century Gothic" w:eastAsia="Times New Roman" w:hAnsi="Century Gothic" w:cs="Tahoma"/>
          <w:lang w:val="es-ES" w:eastAsia="es-ES"/>
        </w:rPr>
      </w:pPr>
      <w:bookmarkStart w:id="11" w:name="_Hlk22214662"/>
      <w:r w:rsidRPr="001C4E06">
        <w:rPr>
          <w:rFonts w:ascii="Century Gothic" w:eastAsia="Times New Roman" w:hAnsi="Century Gothic" w:cs="Tahoma"/>
          <w:lang w:val="es-ES" w:eastAsia="es-ES"/>
        </w:rPr>
        <w:t xml:space="preserve">Al respecto, es necesario tener en cuenta que </w:t>
      </w:r>
      <w:bookmarkStart w:id="12" w:name="_Hlk22214604"/>
      <w:r w:rsidRPr="001C4E06">
        <w:rPr>
          <w:rFonts w:ascii="Century Gothic" w:eastAsia="Times New Roman" w:hAnsi="Century Gothic" w:cs="Tahoma"/>
          <w:lang w:val="es-ES" w:eastAsia="es-ES"/>
        </w:rPr>
        <w:t xml:space="preserve">las nulidades procesales </w:t>
      </w:r>
      <w:bookmarkEnd w:id="12"/>
      <w:r w:rsidRPr="001C4E06">
        <w:rPr>
          <w:rFonts w:ascii="Century Gothic" w:eastAsia="Times New Roman" w:hAnsi="Century Gothic" w:cs="Tahoma"/>
          <w:lang w:val="es-ES" w:eastAsia="es-ES"/>
        </w:rPr>
        <w:t xml:space="preserve">son taxativas, operan siempre y cuando se  encuentren  debidamente acreditadas  y no se presentan </w:t>
      </w:r>
      <w:r w:rsidRPr="001C4E06">
        <w:rPr>
          <w:rFonts w:ascii="Century Gothic" w:eastAsia="Times New Roman" w:hAnsi="Century Gothic" w:cs="Tahoma"/>
          <w:lang w:val="es-ES" w:eastAsia="es-ES"/>
        </w:rPr>
        <w:lastRenderedPageBreak/>
        <w:t>por simples omisiones o vicios que no afecten el debido proceso,  ni tampoco se pueden aplicar bajo un criterio analógico</w:t>
      </w:r>
      <w:r w:rsidRPr="001C4E06">
        <w:rPr>
          <w:rFonts w:ascii="Century Gothic" w:eastAsia="Times New Roman" w:hAnsi="Century Gothic" w:cs="Tahoma"/>
          <w:vertAlign w:val="superscript"/>
          <w:lang w:val="es-ES" w:eastAsia="es-ES"/>
        </w:rPr>
        <w:footnoteReference w:id="25"/>
      </w:r>
      <w:r w:rsidRPr="001C4E06">
        <w:rPr>
          <w:rFonts w:ascii="Century Gothic" w:eastAsia="Times New Roman" w:hAnsi="Century Gothic" w:cs="Tahoma"/>
          <w:lang w:val="es-ES" w:eastAsia="es-ES"/>
        </w:rPr>
        <w:t xml:space="preserve">. </w:t>
      </w:r>
    </w:p>
    <w:bookmarkEnd w:id="11"/>
    <w:p w14:paraId="364066AA" w14:textId="77777777" w:rsidR="001C4E06" w:rsidRPr="001C4E06" w:rsidRDefault="001C4E06" w:rsidP="001C4E06">
      <w:pPr>
        <w:spacing w:after="0" w:line="360" w:lineRule="auto"/>
        <w:jc w:val="both"/>
        <w:rPr>
          <w:rFonts w:ascii="Century Gothic" w:eastAsia="Times New Roman" w:hAnsi="Century Gothic"/>
          <w:lang w:eastAsia="es-ES"/>
        </w:rPr>
      </w:pPr>
    </w:p>
    <w:p w14:paraId="5FAF4A71" w14:textId="77777777" w:rsidR="001C4E06" w:rsidRPr="001C4E06" w:rsidRDefault="001C4E06" w:rsidP="001C4E06">
      <w:pPr>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 xml:space="preserve">En los alegatos de primera instancia, el apoderado de la parte actora solicitó que se fijara fecha para la realización de la audiencia que trata el citado artículo 147, a fin de exponer los argumentos de la demanda y dilucidar los cuestionamientos formulados por el IDU a la conducta de la interventoría; sin embargo,  el a quo no se refirió expresamente a dicha solicitud y procedió a dictar sentencia de primera instancia. </w:t>
      </w:r>
    </w:p>
    <w:p w14:paraId="62C7C437" w14:textId="77777777" w:rsidR="001C4E06" w:rsidRPr="001C4E06" w:rsidRDefault="001C4E06" w:rsidP="001C4E06">
      <w:pPr>
        <w:spacing w:after="0" w:line="360" w:lineRule="auto"/>
        <w:jc w:val="both"/>
        <w:rPr>
          <w:rFonts w:ascii="Century Gothic" w:eastAsia="Times New Roman" w:hAnsi="Century Gothic"/>
          <w:lang w:eastAsia="es-ES"/>
        </w:rPr>
      </w:pPr>
    </w:p>
    <w:p w14:paraId="24BF52CA" w14:textId="77777777" w:rsidR="001C4E06" w:rsidRPr="001C4E06" w:rsidRDefault="001C4E06" w:rsidP="001C4E06">
      <w:pPr>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 xml:space="preserve">Pues bien, el artículo 147 del C.C.A. dispone: </w:t>
      </w:r>
    </w:p>
    <w:p w14:paraId="5AD7DCEF" w14:textId="77777777" w:rsidR="001C4E06" w:rsidRPr="001C4E06" w:rsidRDefault="001C4E06" w:rsidP="001C4E06">
      <w:pPr>
        <w:spacing w:after="0" w:line="360" w:lineRule="auto"/>
        <w:jc w:val="both"/>
        <w:rPr>
          <w:rFonts w:ascii="Century Gothic" w:eastAsia="Times New Roman" w:hAnsi="Century Gothic"/>
          <w:lang w:eastAsia="es-ES"/>
        </w:rPr>
      </w:pPr>
    </w:p>
    <w:p w14:paraId="26439697" w14:textId="77777777" w:rsidR="001C4E06" w:rsidRPr="001C4E06" w:rsidRDefault="001C4E06" w:rsidP="001C4E06">
      <w:pPr>
        <w:tabs>
          <w:tab w:val="left" w:pos="851"/>
        </w:tabs>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eastAsia="es-ES"/>
        </w:rPr>
        <w:t>“</w:t>
      </w:r>
      <w:r w:rsidRPr="001C4E06">
        <w:rPr>
          <w:rFonts w:ascii="Century Gothic" w:eastAsia="Times New Roman" w:hAnsi="Century Gothic"/>
          <w:sz w:val="20"/>
          <w:szCs w:val="20"/>
          <w:lang w:val="es-ES" w:eastAsia="es-ES"/>
        </w:rPr>
        <w:t xml:space="preserve">En todo proceso es </w:t>
      </w:r>
      <w:r w:rsidRPr="001C4E06">
        <w:rPr>
          <w:rFonts w:ascii="Century Gothic" w:eastAsia="Times New Roman" w:hAnsi="Century Gothic"/>
          <w:b/>
          <w:sz w:val="20"/>
          <w:szCs w:val="20"/>
          <w:lang w:val="es-ES" w:eastAsia="es-ES"/>
        </w:rPr>
        <w:t>potestativo</w:t>
      </w:r>
      <w:r w:rsidRPr="001C4E06">
        <w:rPr>
          <w:rFonts w:ascii="Century Gothic" w:eastAsia="Times New Roman" w:hAnsi="Century Gothic"/>
          <w:sz w:val="20"/>
          <w:szCs w:val="20"/>
          <w:lang w:val="es-ES" w:eastAsia="es-ES"/>
        </w:rPr>
        <w:t xml:space="preserve"> del Consejo de Estado y de los Tribunales Administrativos conceder audiencias públicas, por petición de alguna de las partes, para dilucidar puntos de hecho o de derecho. </w:t>
      </w:r>
    </w:p>
    <w:p w14:paraId="09F4E990" w14:textId="77777777" w:rsidR="001C4E06" w:rsidRPr="001C4E06" w:rsidRDefault="001C4E06" w:rsidP="001C4E06">
      <w:pPr>
        <w:tabs>
          <w:tab w:val="left" w:pos="851"/>
        </w:tabs>
        <w:spacing w:after="0" w:line="240" w:lineRule="auto"/>
        <w:ind w:left="851" w:right="646"/>
        <w:jc w:val="both"/>
        <w:rPr>
          <w:rFonts w:ascii="Century Gothic" w:eastAsia="Times New Roman" w:hAnsi="Century Gothic"/>
          <w:sz w:val="20"/>
          <w:szCs w:val="20"/>
          <w:lang w:eastAsia="es-ES"/>
        </w:rPr>
      </w:pPr>
    </w:p>
    <w:p w14:paraId="13B0F076" w14:textId="77777777" w:rsidR="001C4E06" w:rsidRPr="001C4E06" w:rsidRDefault="001C4E06" w:rsidP="001C4E06">
      <w:pPr>
        <w:tabs>
          <w:tab w:val="left" w:pos="851"/>
        </w:tabs>
        <w:spacing w:after="0" w:line="240" w:lineRule="auto"/>
        <w:ind w:left="851" w:right="646"/>
        <w:jc w:val="both"/>
        <w:rPr>
          <w:rFonts w:ascii="Century Gothic" w:eastAsia="Times New Roman" w:hAnsi="Century Gothic" w:cs="Arial"/>
          <w:sz w:val="20"/>
          <w:szCs w:val="20"/>
          <w:lang w:eastAsia="es-ES"/>
        </w:rPr>
      </w:pPr>
      <w:r w:rsidRPr="001C4E06">
        <w:rPr>
          <w:rFonts w:ascii="Century Gothic" w:eastAsia="Times New Roman" w:hAnsi="Century Gothic" w:cs="Arial"/>
          <w:sz w:val="20"/>
          <w:szCs w:val="20"/>
          <w:lang w:eastAsia="es-ES"/>
        </w:rPr>
        <w:t>“Las audiencias deberán solicitarse en el término de traslado para alegar de conclusión y efectuarse antes que el proceso entre al Despacho del Ponente para sentencia. </w:t>
      </w:r>
    </w:p>
    <w:p w14:paraId="0605ACB9" w14:textId="77777777" w:rsidR="001C4E06" w:rsidRPr="001C4E06" w:rsidRDefault="001C4E06" w:rsidP="001C4E06">
      <w:pPr>
        <w:tabs>
          <w:tab w:val="left" w:pos="851"/>
        </w:tabs>
        <w:spacing w:after="0" w:line="240" w:lineRule="auto"/>
        <w:ind w:left="851" w:right="646"/>
        <w:jc w:val="both"/>
        <w:rPr>
          <w:rFonts w:ascii="Century Gothic" w:eastAsia="Times New Roman" w:hAnsi="Century Gothic" w:cs="Arial"/>
          <w:sz w:val="20"/>
          <w:szCs w:val="20"/>
          <w:lang w:eastAsia="es-ES"/>
        </w:rPr>
      </w:pPr>
    </w:p>
    <w:p w14:paraId="22BFDE1F" w14:textId="77777777" w:rsidR="001C4E06" w:rsidRPr="001C4E06" w:rsidRDefault="001C4E06" w:rsidP="001C4E06">
      <w:pPr>
        <w:tabs>
          <w:tab w:val="left" w:pos="851"/>
        </w:tabs>
        <w:spacing w:after="0" w:line="240" w:lineRule="auto"/>
        <w:ind w:left="851" w:right="646"/>
        <w:jc w:val="both"/>
        <w:rPr>
          <w:rFonts w:ascii="Century Gothic" w:eastAsia="Times New Roman" w:hAnsi="Century Gothic" w:cs="Arial"/>
          <w:sz w:val="20"/>
          <w:szCs w:val="20"/>
          <w:lang w:eastAsia="es-ES"/>
        </w:rPr>
      </w:pPr>
      <w:r w:rsidRPr="001C4E06">
        <w:rPr>
          <w:rFonts w:ascii="Century Gothic" w:eastAsia="Times New Roman" w:hAnsi="Century Gothic" w:cs="Arial"/>
          <w:sz w:val="20"/>
          <w:szCs w:val="20"/>
          <w:lang w:eastAsia="es-ES"/>
        </w:rPr>
        <w:t>“La audiencia se celebrará con las partes que concurran; cada una de ellas podrá hacer uso de la palabra por una vez durante treinta minutos, pero el Presidente de la Sala o Sección puede, prudentemente, prorrogar este plazo. Las partes que hayan intervenido podrán presentar un resumen escrito de sus alegaciones orales, dentro de los tres (3) días siguientes al de la audiencia. </w:t>
      </w:r>
    </w:p>
    <w:p w14:paraId="35B9057B" w14:textId="77777777" w:rsidR="001C4E06" w:rsidRPr="001C4E06" w:rsidRDefault="001C4E06" w:rsidP="001C4E06">
      <w:pPr>
        <w:tabs>
          <w:tab w:val="left" w:pos="851"/>
        </w:tabs>
        <w:spacing w:after="0" w:line="240" w:lineRule="auto"/>
        <w:ind w:left="851" w:right="646"/>
        <w:jc w:val="both"/>
        <w:rPr>
          <w:rFonts w:ascii="Century Gothic" w:eastAsia="Times New Roman" w:hAnsi="Century Gothic" w:cs="Arial"/>
          <w:sz w:val="20"/>
          <w:szCs w:val="20"/>
          <w:lang w:eastAsia="es-ES"/>
        </w:rPr>
      </w:pPr>
    </w:p>
    <w:p w14:paraId="16141EB2" w14:textId="77777777" w:rsidR="001C4E06" w:rsidRPr="001C4E06" w:rsidRDefault="001C4E06" w:rsidP="001C4E06">
      <w:pPr>
        <w:tabs>
          <w:tab w:val="left" w:pos="851"/>
        </w:tabs>
        <w:spacing w:after="0" w:line="240" w:lineRule="auto"/>
        <w:ind w:left="851" w:right="646"/>
        <w:jc w:val="both"/>
        <w:rPr>
          <w:rFonts w:ascii="Century Gothic" w:eastAsia="Times New Roman" w:hAnsi="Century Gothic" w:cs="Arial"/>
          <w:sz w:val="20"/>
          <w:szCs w:val="20"/>
          <w:lang w:eastAsia="es-ES"/>
        </w:rPr>
      </w:pPr>
      <w:r w:rsidRPr="001C4E06">
        <w:rPr>
          <w:rFonts w:ascii="Century Gothic" w:eastAsia="Times New Roman" w:hAnsi="Century Gothic" w:cs="Arial"/>
          <w:sz w:val="20"/>
          <w:szCs w:val="20"/>
          <w:lang w:eastAsia="es-ES"/>
        </w:rPr>
        <w:t xml:space="preserve">“En la audiencia se podrá proferir la sentencia, para lo cual se decretará un receso de hasta dos (2) horas. En este caso la sentencia se notificará en estrados, estén o no presentes las partes” </w:t>
      </w:r>
      <w:r w:rsidRPr="001C4E06">
        <w:rPr>
          <w:rFonts w:ascii="Century Gothic" w:eastAsia="Times New Roman" w:hAnsi="Century Gothic" w:cs="Arial"/>
          <w:sz w:val="20"/>
          <w:szCs w:val="20"/>
          <w:lang w:val="es-ES" w:eastAsia="es-ES"/>
        </w:rPr>
        <w:t>(negrilla fuera del texto).</w:t>
      </w:r>
    </w:p>
    <w:p w14:paraId="1CEA526E" w14:textId="77777777" w:rsidR="001C4E06" w:rsidRPr="001C4E06" w:rsidRDefault="001C4E06" w:rsidP="001C4E06">
      <w:pPr>
        <w:spacing w:after="0" w:line="360" w:lineRule="auto"/>
        <w:jc w:val="both"/>
        <w:rPr>
          <w:rFonts w:ascii="Century Gothic" w:eastAsia="Times New Roman" w:hAnsi="Century Gothic"/>
          <w:lang w:eastAsia="es-ES"/>
        </w:rPr>
      </w:pPr>
    </w:p>
    <w:p w14:paraId="64690F8A" w14:textId="77777777" w:rsidR="001C4E06" w:rsidRPr="001C4E06" w:rsidRDefault="001C4E06" w:rsidP="001C4E06">
      <w:pPr>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Como se ve, el artículo 147 del C.C.A. consagró la posibilidad de realizar una audiencia, antes de dictar sentencia, para dilucidar puntos de hecho o de derecho, pero su realización no es un imperativo procesal en el proceso ordinario contencioso administrativo; por el contrario, en forma expresa la norma dejó su realización al prudente arbitrio del juez diciendo que “es potestativo del Consejo de Estado y de los Tribunales Administrativos conceder audiencias públicas …”, por lo que no se vulnera el artículo 6 del Código de Procedimiento Civil</w:t>
      </w:r>
      <w:r w:rsidRPr="001C4E06">
        <w:rPr>
          <w:rFonts w:ascii="Century Gothic" w:eastAsia="Times New Roman" w:hAnsi="Century Gothic"/>
          <w:vertAlign w:val="superscript"/>
          <w:lang w:eastAsia="es-ES"/>
        </w:rPr>
        <w:footnoteReference w:id="26"/>
      </w:r>
      <w:r w:rsidRPr="001C4E06">
        <w:rPr>
          <w:rFonts w:ascii="Century Gothic" w:eastAsia="Times New Roman" w:hAnsi="Century Gothic"/>
          <w:lang w:eastAsia="es-ES"/>
        </w:rPr>
        <w:t xml:space="preserve"> si ella no se hace, pues, de no hacerse, no se omite obligación alguna de llevar a cabo una etapa necesaria u obligatoria del proceso.</w:t>
      </w:r>
    </w:p>
    <w:p w14:paraId="2D860936" w14:textId="77777777" w:rsidR="001C4E06" w:rsidRPr="001C4E06" w:rsidRDefault="001C4E06" w:rsidP="001C4E06">
      <w:pPr>
        <w:spacing w:after="0" w:line="360" w:lineRule="auto"/>
        <w:jc w:val="both"/>
        <w:rPr>
          <w:rFonts w:ascii="Century Gothic" w:eastAsia="Times New Roman" w:hAnsi="Century Gothic"/>
          <w:lang w:eastAsia="es-ES"/>
        </w:rPr>
      </w:pPr>
    </w:p>
    <w:p w14:paraId="0A1C1B90" w14:textId="77777777" w:rsidR="001C4E06" w:rsidRPr="001C4E06" w:rsidRDefault="001C4E06" w:rsidP="001C4E06">
      <w:pPr>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lastRenderedPageBreak/>
        <w:t>Ahora, si bien es cierto no existió un pronunciamiento frente a la solicitud de realización de la audiencia, ello no genera ninguna irregularidad que afecte  el derecho de defensa de alguna de las partes, habida cuenta que ambas tuvieron durante la primera instancia todas las garantías para hacer valer sus derechos, incluida, por supuesto, la posibilidad de alegar en conclusión, como se vio en el numeral 5 del capítulo de antecedentes (pág. 4 de esta sentencia), derecho del cual las dos hicieron uso (ídem), previo decreto y práctica de pruebas.</w:t>
      </w:r>
    </w:p>
    <w:p w14:paraId="735A069A" w14:textId="77777777" w:rsidR="001C4E06" w:rsidRPr="001C4E06" w:rsidRDefault="001C4E06" w:rsidP="001C4E06">
      <w:pPr>
        <w:spacing w:after="0" w:line="360" w:lineRule="auto"/>
        <w:jc w:val="both"/>
        <w:rPr>
          <w:rFonts w:ascii="Century Gothic" w:eastAsia="Times New Roman" w:hAnsi="Century Gothic"/>
          <w:lang w:eastAsia="es-ES"/>
        </w:rPr>
      </w:pPr>
    </w:p>
    <w:p w14:paraId="5FBC30FD" w14:textId="77777777" w:rsidR="001C4E06" w:rsidRPr="001C4E06" w:rsidRDefault="001C4E06" w:rsidP="001C4E06">
      <w:pPr>
        <w:spacing w:after="0" w:line="360" w:lineRule="auto"/>
        <w:jc w:val="both"/>
        <w:rPr>
          <w:rFonts w:ascii="Century Gothic" w:eastAsia="Times New Roman" w:hAnsi="Century Gothic" w:cs="Arial"/>
          <w:lang w:eastAsia="es-ES"/>
        </w:rPr>
      </w:pPr>
      <w:r w:rsidRPr="001C4E06">
        <w:rPr>
          <w:rFonts w:ascii="Century Gothic" w:eastAsia="Times New Roman" w:hAnsi="Century Gothic"/>
          <w:lang w:eastAsia="es-ES"/>
        </w:rPr>
        <w:t xml:space="preserve">Dice el recurrente que, por la omisión del a quo, se generó la nulidad de que habla el numeral 6 del artículo 140 del C.P.C, es decir, la que se configura </w:t>
      </w:r>
      <w:r w:rsidRPr="001C4E06">
        <w:rPr>
          <w:rFonts w:ascii="Century Gothic" w:eastAsia="Times New Roman" w:hAnsi="Century Gothic"/>
          <w:i/>
          <w:lang w:eastAsia="es-ES"/>
        </w:rPr>
        <w:t>“</w:t>
      </w:r>
      <w:r w:rsidRPr="001C4E06">
        <w:rPr>
          <w:rFonts w:ascii="Century Gothic" w:eastAsia="Times New Roman" w:hAnsi="Century Gothic" w:cs="Arial"/>
          <w:i/>
          <w:lang w:eastAsia="es-ES"/>
        </w:rPr>
        <w:t>Cuando se omiten los términos u oportunidades para pedir o practicar pruebas o para formular alegatos de conclusión”</w:t>
      </w:r>
      <w:r w:rsidRPr="001C4E06">
        <w:rPr>
          <w:rFonts w:ascii="Century Gothic" w:eastAsia="Times New Roman" w:hAnsi="Century Gothic" w:cs="Arial"/>
          <w:lang w:eastAsia="es-ES"/>
        </w:rPr>
        <w:t>, lo cual, como acaba de verse, no se presentó en este caso</w:t>
      </w:r>
      <w:r w:rsidRPr="001C4E06">
        <w:rPr>
          <w:rFonts w:ascii="Century Gothic" w:eastAsia="Times New Roman" w:hAnsi="Century Gothic" w:cs="Arial"/>
          <w:vertAlign w:val="superscript"/>
          <w:lang w:eastAsia="es-ES"/>
        </w:rPr>
        <w:footnoteReference w:id="27"/>
      </w:r>
      <w:r w:rsidRPr="001C4E06">
        <w:rPr>
          <w:rFonts w:ascii="Century Gothic" w:eastAsia="Times New Roman" w:hAnsi="Century Gothic" w:cs="Arial"/>
          <w:lang w:eastAsia="es-ES"/>
        </w:rPr>
        <w:t xml:space="preserve">. </w:t>
      </w:r>
    </w:p>
    <w:p w14:paraId="51B03B3E" w14:textId="77777777" w:rsidR="001C4E06" w:rsidRPr="001C4E06" w:rsidRDefault="001C4E06" w:rsidP="001C4E06">
      <w:pPr>
        <w:spacing w:after="0" w:line="360" w:lineRule="auto"/>
        <w:jc w:val="both"/>
        <w:rPr>
          <w:rFonts w:ascii="Century Gothic" w:eastAsia="Times New Roman" w:hAnsi="Century Gothic" w:cs="Arial"/>
          <w:lang w:eastAsia="es-ES"/>
        </w:rPr>
      </w:pPr>
      <w:r w:rsidRPr="001C4E06">
        <w:rPr>
          <w:rFonts w:ascii="Century Gothic" w:eastAsia="Times New Roman" w:hAnsi="Century Gothic" w:cs="Arial"/>
          <w:lang w:eastAsia="es-ES"/>
        </w:rPr>
        <w:t xml:space="preserve"> </w:t>
      </w:r>
    </w:p>
    <w:p w14:paraId="70DD917D" w14:textId="77777777" w:rsidR="001C4E06" w:rsidRPr="001C4E06" w:rsidRDefault="001C4E06" w:rsidP="001C4E06">
      <w:pPr>
        <w:spacing w:after="0" w:line="360" w:lineRule="auto"/>
        <w:jc w:val="both"/>
        <w:rPr>
          <w:rFonts w:ascii="Century Gothic" w:eastAsia="Times New Roman" w:hAnsi="Century Gothic" w:cs="Arial"/>
          <w:lang w:eastAsia="es-ES"/>
        </w:rPr>
      </w:pPr>
      <w:r w:rsidRPr="001C4E06">
        <w:rPr>
          <w:rFonts w:ascii="Century Gothic" w:eastAsia="Times New Roman" w:hAnsi="Century Gothic" w:cs="Arial"/>
          <w:lang w:eastAsia="es-ES"/>
        </w:rPr>
        <w:t>Así mismo, tanto en la demanda como en los alegatos en primera instacia</w:t>
      </w:r>
      <w:r w:rsidRPr="001C4E06">
        <w:rPr>
          <w:rFonts w:ascii="Century Gothic" w:eastAsia="Times New Roman" w:hAnsi="Century Gothic" w:cs="Arial"/>
          <w:vertAlign w:val="superscript"/>
          <w:lang w:eastAsia="es-ES"/>
        </w:rPr>
        <w:footnoteReference w:id="28"/>
      </w:r>
      <w:r w:rsidRPr="001C4E06">
        <w:rPr>
          <w:rFonts w:ascii="Century Gothic" w:eastAsia="Times New Roman" w:hAnsi="Century Gothic" w:cs="Arial"/>
          <w:lang w:eastAsia="es-ES"/>
        </w:rPr>
        <w:t xml:space="preserve"> la parte actora expuso, de manera extensa, todos sus argumentos fácticos y jurídicos y lo que prentendía con la audiencia de que se habla era reiterarlos y controvertir los cuestionamientos de la parte demandada, lo cual ya había realizado, en el momento en que se refirió a las excepciones propuestas por el apoderado del </w:t>
      </w:r>
      <w:r w:rsidRPr="001C4E06">
        <w:rPr>
          <w:rFonts w:ascii="Century Gothic" w:eastAsia="Times New Roman" w:hAnsi="Century Gothic" w:cs="Tahoma"/>
          <w:color w:val="000000"/>
          <w:lang w:val="es-ES" w:eastAsia="es-ES"/>
        </w:rPr>
        <w:t xml:space="preserve"> Instituto de Desarrollo Urbano -IDU-</w:t>
      </w:r>
      <w:r w:rsidRPr="001C4E06">
        <w:rPr>
          <w:rFonts w:ascii="Century Gothic" w:eastAsia="Times New Roman" w:hAnsi="Century Gothic" w:cs="Arial"/>
          <w:vertAlign w:val="superscript"/>
          <w:lang w:eastAsia="es-ES"/>
        </w:rPr>
        <w:footnoteReference w:id="29"/>
      </w:r>
      <w:r w:rsidRPr="001C4E06">
        <w:rPr>
          <w:rFonts w:ascii="Century Gothic" w:eastAsia="Times New Roman" w:hAnsi="Century Gothic" w:cs="Arial"/>
          <w:lang w:eastAsia="es-ES"/>
        </w:rPr>
        <w:t>.</w:t>
      </w:r>
    </w:p>
    <w:p w14:paraId="7F234BB0" w14:textId="77777777" w:rsidR="001C4E06" w:rsidRPr="001C4E06" w:rsidRDefault="001C4E06" w:rsidP="001C4E06">
      <w:pPr>
        <w:spacing w:after="0" w:line="360" w:lineRule="auto"/>
        <w:jc w:val="both"/>
        <w:rPr>
          <w:rFonts w:ascii="Century Gothic" w:eastAsia="Times New Roman" w:hAnsi="Century Gothic"/>
          <w:lang w:eastAsia="es-ES"/>
        </w:rPr>
      </w:pPr>
    </w:p>
    <w:p w14:paraId="081B92B5" w14:textId="77777777" w:rsidR="001C4E06" w:rsidRPr="001C4E06" w:rsidRDefault="001C4E06" w:rsidP="001C4E06">
      <w:pPr>
        <w:spacing w:after="0" w:line="360" w:lineRule="auto"/>
        <w:jc w:val="both"/>
        <w:rPr>
          <w:rFonts w:ascii="Century Gothic" w:eastAsia="Times New Roman" w:hAnsi="Century Gothic" w:cs="Arial"/>
          <w:color w:val="000000"/>
          <w:lang w:eastAsia="es-ES"/>
        </w:rPr>
      </w:pPr>
      <w:r w:rsidRPr="001C4E06">
        <w:rPr>
          <w:rFonts w:ascii="Century Gothic" w:eastAsia="Times New Roman" w:hAnsi="Century Gothic"/>
          <w:color w:val="000000"/>
          <w:lang w:eastAsia="es-ES"/>
        </w:rPr>
        <w:t>Conforme a lo indicado, lo que pretendía hacer el recurrente al solicitar la audiencia se hizo durante las diferentes etapas de la primera instacia; así, incluso, de haberse llegado a configurar una causal de nulidad, lo cual, se reitera,  no se da en el presente asunto, ella estaría superada, al tenor del numeral 4 del artículo 144 del Código de Procedimiento Civil, que indica que la nulidad se estima saneada “</w:t>
      </w:r>
      <w:r w:rsidRPr="001C4E06">
        <w:rPr>
          <w:rFonts w:ascii="Century Gothic" w:eastAsia="Times New Roman" w:hAnsi="Century Gothic" w:cs="Arial"/>
          <w:color w:val="000000"/>
          <w:lang w:eastAsia="es-ES"/>
        </w:rPr>
        <w:t xml:space="preserve">Cuando a pesar del vicio, el acto procesal cumplió su finalidad y no se violó el derecho de defensa”. </w:t>
      </w:r>
    </w:p>
    <w:p w14:paraId="24D7CF4C" w14:textId="77777777" w:rsidR="001C4E06" w:rsidRPr="001C4E06" w:rsidRDefault="001C4E06" w:rsidP="001C4E06">
      <w:pPr>
        <w:spacing w:after="0" w:line="360" w:lineRule="auto"/>
        <w:jc w:val="both"/>
        <w:rPr>
          <w:rFonts w:ascii="Century Gothic" w:eastAsia="Times New Roman" w:hAnsi="Century Gothic" w:cs="Arial"/>
          <w:color w:val="000000"/>
          <w:lang w:eastAsia="es-ES"/>
        </w:rPr>
      </w:pPr>
    </w:p>
    <w:p w14:paraId="06384A2A" w14:textId="77777777" w:rsidR="001C4E06" w:rsidRPr="001C4E06" w:rsidRDefault="001C4E06" w:rsidP="001C4E06">
      <w:pPr>
        <w:spacing w:after="0" w:line="360" w:lineRule="auto"/>
        <w:jc w:val="both"/>
        <w:rPr>
          <w:rFonts w:ascii="Century Gothic" w:eastAsia="Times New Roman" w:hAnsi="Century Gothic" w:cs="Arial"/>
          <w:color w:val="000000"/>
          <w:lang w:eastAsia="es-ES"/>
        </w:rPr>
      </w:pPr>
      <w:r w:rsidRPr="001C4E06">
        <w:rPr>
          <w:rFonts w:ascii="Century Gothic" w:eastAsia="Times New Roman" w:hAnsi="Century Gothic" w:cs="Arial"/>
          <w:color w:val="000000"/>
          <w:lang w:eastAsia="es-ES"/>
        </w:rPr>
        <w:t xml:space="preserve">En suma, no se estructura la nulidad alegada. </w:t>
      </w:r>
    </w:p>
    <w:p w14:paraId="3881DF89" w14:textId="77777777" w:rsidR="001C4E06" w:rsidRPr="001C4E06" w:rsidRDefault="001C4E06" w:rsidP="001C4E06">
      <w:pPr>
        <w:spacing w:after="0" w:line="360" w:lineRule="auto"/>
        <w:jc w:val="both"/>
        <w:rPr>
          <w:rFonts w:ascii="Century Gothic" w:eastAsia="Times New Roman" w:hAnsi="Century Gothic"/>
          <w:color w:val="000000"/>
          <w:lang w:eastAsia="es-ES"/>
        </w:rPr>
      </w:pPr>
      <w:r w:rsidRPr="001C4E06">
        <w:rPr>
          <w:rFonts w:ascii="Century Gothic" w:eastAsia="Times New Roman" w:hAnsi="Century Gothic" w:cs="Arial"/>
          <w:color w:val="000000"/>
          <w:lang w:eastAsia="es-ES"/>
        </w:rPr>
        <w:t xml:space="preserve"> </w:t>
      </w:r>
    </w:p>
    <w:p w14:paraId="69696009" w14:textId="77777777" w:rsidR="001C4E06" w:rsidRPr="001C4E06" w:rsidRDefault="001C4E06" w:rsidP="001C4E06">
      <w:pPr>
        <w:spacing w:after="0" w:line="360" w:lineRule="auto"/>
        <w:ind w:right="46"/>
        <w:jc w:val="both"/>
        <w:rPr>
          <w:rFonts w:ascii="Century Gothic" w:eastAsia="Times New Roman" w:hAnsi="Century Gothic" w:cs="Tahoma"/>
          <w:b/>
          <w:lang w:val="es-ES" w:eastAsia="es-ES"/>
        </w:rPr>
      </w:pPr>
      <w:r w:rsidRPr="001C4E06">
        <w:rPr>
          <w:rFonts w:ascii="Century Gothic" w:eastAsia="Times New Roman" w:hAnsi="Century Gothic" w:cs="Tahoma"/>
          <w:b/>
          <w:lang w:val="es-ES" w:eastAsia="es-ES"/>
        </w:rPr>
        <w:t xml:space="preserve">3.2.- Violación al debido proceso y al artículo 1602 del Código Civil, con la expedición de las dos resoluciones demandadas.- </w:t>
      </w:r>
    </w:p>
    <w:p w14:paraId="0A962E3C" w14:textId="77777777" w:rsidR="001C4E06" w:rsidRPr="001C4E06" w:rsidRDefault="001C4E06" w:rsidP="001C4E06">
      <w:pPr>
        <w:spacing w:after="0" w:line="360" w:lineRule="auto"/>
        <w:jc w:val="both"/>
        <w:rPr>
          <w:rFonts w:ascii="Century Gothic" w:eastAsia="Times New Roman" w:hAnsi="Century Gothic"/>
          <w:lang w:eastAsia="es-ES"/>
        </w:rPr>
      </w:pPr>
    </w:p>
    <w:p w14:paraId="3E787C07" w14:textId="77777777" w:rsidR="001C4E06" w:rsidRPr="001C4E06" w:rsidRDefault="001C4E06" w:rsidP="001C4E06">
      <w:pPr>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 xml:space="preserve">La Sala abordará de manera conjunta estos dos conceptos de vulneración esbozados por el recurrente de manera separada, debido a que sus fundamentos son los mismos, </w:t>
      </w:r>
      <w:r w:rsidRPr="001C4E06">
        <w:rPr>
          <w:rFonts w:ascii="Century Gothic" w:eastAsia="Times New Roman" w:hAnsi="Century Gothic"/>
          <w:lang w:eastAsia="es-ES"/>
        </w:rPr>
        <w:lastRenderedPageBreak/>
        <w:t>al punto que, al hablar de la violación del artículo 1602 del Código Civil</w:t>
      </w:r>
      <w:r w:rsidRPr="001C4E06">
        <w:rPr>
          <w:rFonts w:ascii="Century Gothic" w:eastAsia="Times New Roman" w:hAnsi="Century Gothic"/>
          <w:vertAlign w:val="superscript"/>
          <w:lang w:eastAsia="es-ES"/>
        </w:rPr>
        <w:footnoteReference w:id="30"/>
      </w:r>
      <w:r w:rsidRPr="001C4E06">
        <w:rPr>
          <w:rFonts w:ascii="Century Gothic" w:eastAsia="Times New Roman" w:hAnsi="Century Gothic"/>
          <w:lang w:eastAsia="es-ES"/>
        </w:rPr>
        <w:t>, aquél remite a lo expresado frente al debido proceso.</w:t>
      </w:r>
    </w:p>
    <w:p w14:paraId="2F3AF648" w14:textId="77777777" w:rsidR="001C4E06" w:rsidRPr="001C4E06" w:rsidRDefault="001C4E06" w:rsidP="001C4E06">
      <w:pPr>
        <w:spacing w:after="0" w:line="360" w:lineRule="auto"/>
        <w:jc w:val="both"/>
        <w:rPr>
          <w:rFonts w:ascii="Century Gothic" w:eastAsia="Times New Roman" w:hAnsi="Century Gothic"/>
          <w:lang w:eastAsia="es-ES"/>
        </w:rPr>
      </w:pPr>
    </w:p>
    <w:p w14:paraId="0406E48D" w14:textId="77777777" w:rsidR="001C4E06" w:rsidRPr="001C4E06" w:rsidRDefault="001C4E06" w:rsidP="001C4E06">
      <w:pPr>
        <w:spacing w:after="0" w:line="360" w:lineRule="auto"/>
        <w:jc w:val="both"/>
        <w:rPr>
          <w:rFonts w:ascii="Century Gothic" w:eastAsia="Times New Roman" w:hAnsi="Century Gothic" w:cs="Tahoma"/>
          <w:color w:val="000000"/>
          <w:lang w:val="es-ES" w:eastAsia="es-ES"/>
        </w:rPr>
      </w:pPr>
      <w:r w:rsidRPr="001C4E06">
        <w:rPr>
          <w:rFonts w:ascii="Century Gothic" w:eastAsia="Times New Roman" w:hAnsi="Century Gothic"/>
          <w:lang w:eastAsia="es-ES"/>
        </w:rPr>
        <w:t xml:space="preserve">Manifiesta la parte actora que el </w:t>
      </w:r>
      <w:r w:rsidRPr="001C4E06">
        <w:rPr>
          <w:rFonts w:ascii="Century Gothic" w:eastAsia="Times New Roman" w:hAnsi="Century Gothic" w:cs="Tahoma"/>
          <w:color w:val="000000"/>
          <w:lang w:val="es-ES" w:eastAsia="es-ES"/>
        </w:rPr>
        <w:t>Instituto de Desarrollo Urbano -IDU- hizo caso omiso a lo consagrado en las cláusulas 7 de las condiciones generales y 7.2 de las condiciones especiales del contrato de interventoría 146 de 2000, conforme a las cuales las controversias debían solucionarse de manera directa y amigable entre las partes o, de no ser posible esto, mediante arbitraje, de conformidad con el reglamento de arbitraje de la Comisión de las Naciones Unidas para el Derecho Mercantil Internacional (CNUDMI); no obstante y a pesar de que, conforme al artículo 1602 del Código Civil, el contrato es vinculante para las partes (ley para contratante y contratista), el IDU no acató lo pactado y, en vez de acudir al arbitraje, unilateralmente declaró el siniestro e hizo efectiva la póliza.</w:t>
      </w:r>
    </w:p>
    <w:p w14:paraId="177AB823" w14:textId="77777777" w:rsidR="001C4E06" w:rsidRPr="001C4E06" w:rsidRDefault="001C4E06" w:rsidP="001C4E06">
      <w:pPr>
        <w:spacing w:after="0" w:line="360" w:lineRule="auto"/>
        <w:jc w:val="both"/>
        <w:rPr>
          <w:rFonts w:ascii="Century Gothic" w:eastAsia="Times New Roman" w:hAnsi="Century Gothic"/>
          <w:lang w:eastAsia="es-ES"/>
        </w:rPr>
      </w:pPr>
    </w:p>
    <w:p w14:paraId="59F6D20F" w14:textId="77777777" w:rsidR="001C4E06" w:rsidRPr="001C4E06" w:rsidRDefault="001C4E06" w:rsidP="001C4E06">
      <w:pPr>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 xml:space="preserve">Pues bien, el contrato 146 del 30 de marzo de 2000, suscrito entre el </w:t>
      </w:r>
      <w:r w:rsidRPr="001C4E06">
        <w:rPr>
          <w:rFonts w:ascii="Century Gothic" w:eastAsia="Times New Roman" w:hAnsi="Century Gothic" w:cs="Tahoma"/>
          <w:color w:val="000000"/>
          <w:lang w:val="es-ES" w:eastAsia="es-ES"/>
        </w:rPr>
        <w:t>IDU y el Consorcio Integral S.A. – Silva Carreño y Asociados S.A. – Silva Fajardo &amp; Cía. Ltda.</w:t>
      </w:r>
      <w:r w:rsidRPr="001C4E06">
        <w:rPr>
          <w:rFonts w:ascii="Century Gothic" w:eastAsia="Times New Roman" w:hAnsi="Century Gothic" w:cs="Tahoma"/>
          <w:color w:val="000000"/>
          <w:vertAlign w:val="superscript"/>
          <w:lang w:val="es-ES" w:eastAsia="es-ES"/>
        </w:rPr>
        <w:footnoteReference w:id="31"/>
      </w:r>
      <w:r w:rsidRPr="001C4E06">
        <w:rPr>
          <w:rFonts w:ascii="Century Gothic" w:eastAsia="Times New Roman" w:hAnsi="Century Gothic"/>
          <w:lang w:eastAsia="es-ES"/>
        </w:rPr>
        <w:t xml:space="preserve"> estableció en sus </w:t>
      </w:r>
      <w:r w:rsidRPr="001C4E06">
        <w:rPr>
          <w:rFonts w:ascii="Century Gothic" w:eastAsia="Times New Roman" w:hAnsi="Century Gothic" w:cs="Tahoma"/>
          <w:color w:val="000000"/>
          <w:lang w:val="es-ES" w:eastAsia="es-ES"/>
        </w:rPr>
        <w:t xml:space="preserve">cláusulas 7 de las condiciones generales y 7.2 de las condiciones especiales, lo siguiente (se transcribe literal): </w:t>
      </w:r>
    </w:p>
    <w:p w14:paraId="6CE55DE4"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eastAsia="es-ES"/>
        </w:rPr>
      </w:pPr>
    </w:p>
    <w:p w14:paraId="364FE8DE"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eastAsia="es-ES"/>
        </w:rPr>
      </w:pPr>
    </w:p>
    <w:p w14:paraId="32A55C00" w14:textId="77777777" w:rsidR="001C4E06" w:rsidRPr="001C4E06" w:rsidRDefault="001C4E06" w:rsidP="001C4E06">
      <w:pPr>
        <w:tabs>
          <w:tab w:val="left" w:pos="8080"/>
          <w:tab w:val="left" w:pos="8364"/>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“7.   SOLUCIÓN DE CONTROVERSIAS </w:t>
      </w:r>
    </w:p>
    <w:p w14:paraId="0CC72D31" w14:textId="77777777" w:rsidR="001C4E06" w:rsidRPr="001C4E06" w:rsidRDefault="001C4E06" w:rsidP="001C4E06">
      <w:pPr>
        <w:tabs>
          <w:tab w:val="left" w:pos="8080"/>
        </w:tabs>
        <w:spacing w:after="0" w:line="240" w:lineRule="auto"/>
        <w:ind w:left="851" w:right="646"/>
        <w:jc w:val="both"/>
        <w:rPr>
          <w:rFonts w:ascii="Century Gothic" w:eastAsia="Times New Roman" w:hAnsi="Century Gothic"/>
          <w:sz w:val="20"/>
          <w:szCs w:val="20"/>
          <w:lang w:eastAsia="es-ES"/>
        </w:rPr>
      </w:pPr>
    </w:p>
    <w:p w14:paraId="501D6553" w14:textId="77777777" w:rsidR="001C4E06" w:rsidRPr="001C4E06" w:rsidRDefault="001C4E06" w:rsidP="001C4E06">
      <w:pPr>
        <w:tabs>
          <w:tab w:val="left" w:pos="8080"/>
        </w:tabs>
        <w:spacing w:after="0" w:line="240" w:lineRule="auto"/>
        <w:ind w:left="851" w:right="646"/>
        <w:jc w:val="both"/>
        <w:rPr>
          <w:rFonts w:ascii="Century Gothic" w:eastAsia="Times New Roman" w:hAnsi="Century Gothic"/>
          <w:sz w:val="20"/>
          <w:szCs w:val="20"/>
          <w:lang w:eastAsia="es-ES"/>
        </w:rPr>
      </w:pPr>
    </w:p>
    <w:p w14:paraId="12C507A8" w14:textId="77777777" w:rsidR="001C4E06" w:rsidRPr="001C4E06" w:rsidRDefault="001C4E06" w:rsidP="001C4E06">
      <w:pPr>
        <w:tabs>
          <w:tab w:val="left" w:pos="8080"/>
        </w:tabs>
        <w:spacing w:after="0" w:line="240" w:lineRule="auto"/>
        <w:ind w:left="851" w:right="646"/>
        <w:jc w:val="both"/>
        <w:rPr>
          <w:rFonts w:ascii="Century Gothic" w:eastAsia="Times New Roman" w:hAnsi="Century Gothic"/>
          <w:sz w:val="20"/>
          <w:szCs w:val="20"/>
          <w:lang w:eastAsia="es-ES"/>
        </w:rPr>
      </w:pPr>
    </w:p>
    <w:p w14:paraId="2BC37E17" w14:textId="77777777" w:rsidR="001C4E06" w:rsidRPr="001C4E06" w:rsidRDefault="001C4E06" w:rsidP="001C4E06">
      <w:pPr>
        <w:tabs>
          <w:tab w:val="left" w:pos="8080"/>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“7.1 Solución                     Las Partes harán  lo posible por llegar a una solución </w:t>
      </w:r>
    </w:p>
    <w:p w14:paraId="05C90BD4" w14:textId="77777777" w:rsidR="001C4E06" w:rsidRPr="001C4E06" w:rsidRDefault="001C4E06" w:rsidP="001C4E06">
      <w:pPr>
        <w:tabs>
          <w:tab w:val="left" w:pos="8080"/>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amigable                   amigable  de  todas  las  controversias que surjan de     </w:t>
      </w:r>
    </w:p>
    <w:p w14:paraId="0CD784D5" w14:textId="77777777" w:rsidR="001C4E06" w:rsidRPr="001C4E06" w:rsidRDefault="001C4E06" w:rsidP="001C4E06">
      <w:pPr>
        <w:tabs>
          <w:tab w:val="left" w:pos="8080"/>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este contrato o de su interpretación. </w:t>
      </w:r>
    </w:p>
    <w:p w14:paraId="430F976D" w14:textId="77777777" w:rsidR="001C4E06" w:rsidRPr="001C4E06" w:rsidRDefault="001C4E06" w:rsidP="001C4E06">
      <w:pPr>
        <w:tabs>
          <w:tab w:val="left" w:pos="8080"/>
        </w:tabs>
        <w:spacing w:after="0" w:line="240" w:lineRule="auto"/>
        <w:ind w:left="851" w:right="646"/>
        <w:jc w:val="both"/>
        <w:rPr>
          <w:rFonts w:ascii="Century Gothic" w:eastAsia="Times New Roman" w:hAnsi="Century Gothic"/>
          <w:sz w:val="20"/>
          <w:szCs w:val="20"/>
          <w:lang w:eastAsia="es-ES"/>
        </w:rPr>
      </w:pPr>
    </w:p>
    <w:p w14:paraId="48310557" w14:textId="77777777" w:rsidR="001C4E06" w:rsidRPr="001C4E06" w:rsidRDefault="001C4E06" w:rsidP="001C4E06">
      <w:pPr>
        <w:tabs>
          <w:tab w:val="left" w:pos="8080"/>
        </w:tabs>
        <w:spacing w:after="0" w:line="240" w:lineRule="auto"/>
        <w:ind w:left="851" w:right="646"/>
        <w:jc w:val="both"/>
        <w:rPr>
          <w:rFonts w:ascii="Century Gothic" w:eastAsia="Times New Roman" w:hAnsi="Century Gothic"/>
          <w:sz w:val="20"/>
          <w:szCs w:val="20"/>
          <w:lang w:eastAsia="es-ES"/>
        </w:rPr>
      </w:pPr>
    </w:p>
    <w:p w14:paraId="1BA6C528" w14:textId="77777777" w:rsidR="001C4E06" w:rsidRPr="001C4E06" w:rsidRDefault="001C4E06" w:rsidP="001C4E06">
      <w:pPr>
        <w:tabs>
          <w:tab w:val="left" w:pos="8080"/>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“7.2 Solución de               Toda   controveria   entre    las    Partes    relativa    a </w:t>
      </w:r>
    </w:p>
    <w:p w14:paraId="67E64E3E" w14:textId="77777777" w:rsidR="001C4E06" w:rsidRPr="001C4E06" w:rsidRDefault="001C4E06" w:rsidP="001C4E06">
      <w:pPr>
        <w:tabs>
          <w:tab w:val="left" w:pos="8080"/>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controversidas            cuestiones  que  surjan  en  virtud  de  este  contrato     </w:t>
      </w:r>
    </w:p>
    <w:p w14:paraId="0954A201" w14:textId="77777777" w:rsidR="001C4E06" w:rsidRPr="001C4E06" w:rsidRDefault="001C4E06" w:rsidP="001C4E06">
      <w:pPr>
        <w:tabs>
          <w:tab w:val="left" w:pos="8080"/>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que    no   haya   podido    solucionarse    en    forma   </w:t>
      </w:r>
    </w:p>
    <w:p w14:paraId="0ED7AF0C" w14:textId="77777777" w:rsidR="001C4E06" w:rsidRPr="001C4E06" w:rsidRDefault="001C4E06" w:rsidP="001C4E06">
      <w:pPr>
        <w:tabs>
          <w:tab w:val="left" w:pos="8080"/>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amigable  dentro  de  los  treinta (30) días s iguientes </w:t>
      </w:r>
    </w:p>
    <w:p w14:paraId="0363190F" w14:textId="77777777" w:rsidR="001C4E06" w:rsidRPr="001C4E06" w:rsidRDefault="001C4E06" w:rsidP="001C4E06">
      <w:pPr>
        <w:tabs>
          <w:tab w:val="left" w:pos="8080"/>
        </w:tabs>
        <w:spacing w:after="0" w:line="240" w:lineRule="auto"/>
        <w:ind w:left="851" w:right="646"/>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a la recepción  por  una de las Partes de la  solicitud </w:t>
      </w:r>
    </w:p>
    <w:p w14:paraId="0BC502AF" w14:textId="77777777" w:rsidR="001C4E06" w:rsidRPr="001C4E06" w:rsidRDefault="001C4E06" w:rsidP="001C4E06">
      <w:pPr>
        <w:tabs>
          <w:tab w:val="left" w:pos="8080"/>
        </w:tabs>
        <w:spacing w:after="0" w:line="240" w:lineRule="auto"/>
        <w:ind w:left="851" w:right="646"/>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de    la   otra   Parte  para  encontrar   una    solución </w:t>
      </w:r>
    </w:p>
    <w:p w14:paraId="2004A9D3" w14:textId="77777777" w:rsidR="001C4E06" w:rsidRPr="001C4E06" w:rsidRDefault="001C4E06" w:rsidP="001C4E06">
      <w:pPr>
        <w:tabs>
          <w:tab w:val="left" w:pos="8080"/>
        </w:tabs>
        <w:spacing w:after="0" w:line="240" w:lineRule="auto"/>
        <w:ind w:left="851" w:right="646"/>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amigable,   podrá  ser  presentada   por   cualquiera </w:t>
      </w:r>
    </w:p>
    <w:p w14:paraId="6DF3CA9B" w14:textId="77777777" w:rsidR="001C4E06" w:rsidRPr="001C4E06" w:rsidRDefault="001C4E06" w:rsidP="001C4E06">
      <w:pPr>
        <w:tabs>
          <w:tab w:val="left" w:pos="8080"/>
        </w:tabs>
        <w:spacing w:after="0" w:line="240" w:lineRule="auto"/>
        <w:ind w:left="851" w:right="646"/>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de   las   Partes   para   su   solución   conforme  a   lo </w:t>
      </w:r>
    </w:p>
    <w:p w14:paraId="3CB09D09" w14:textId="77777777" w:rsidR="001C4E06" w:rsidRPr="001C4E06" w:rsidRDefault="001C4E06" w:rsidP="001C4E06">
      <w:pPr>
        <w:tabs>
          <w:tab w:val="left" w:pos="8080"/>
        </w:tabs>
        <w:spacing w:after="0" w:line="240" w:lineRule="auto"/>
        <w:ind w:left="851" w:right="646"/>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lo   dispuesto    en     las   CEC”  (las     CEC    son   las        </w:t>
      </w:r>
    </w:p>
    <w:p w14:paraId="5E853E81" w14:textId="77777777" w:rsidR="001C4E06" w:rsidRPr="001C4E06" w:rsidRDefault="001C4E06" w:rsidP="001C4E06">
      <w:pPr>
        <w:tabs>
          <w:tab w:val="left" w:pos="8080"/>
        </w:tabs>
        <w:spacing w:after="0" w:line="240" w:lineRule="auto"/>
        <w:ind w:left="851" w:right="646"/>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condiciones especiales del contrato).  </w:t>
      </w:r>
    </w:p>
    <w:p w14:paraId="38BBCBB5" w14:textId="77777777" w:rsidR="001C4E06" w:rsidRPr="001C4E06" w:rsidRDefault="001C4E06" w:rsidP="001C4E06">
      <w:pPr>
        <w:tabs>
          <w:tab w:val="left" w:pos="8080"/>
        </w:tabs>
        <w:spacing w:after="0" w:line="240" w:lineRule="auto"/>
        <w:ind w:left="851" w:right="646"/>
        <w:jc w:val="both"/>
        <w:rPr>
          <w:rFonts w:ascii="Century Gothic" w:eastAsia="Times New Roman" w:hAnsi="Century Gothic"/>
          <w:sz w:val="20"/>
          <w:szCs w:val="20"/>
          <w:lang w:eastAsia="es-ES"/>
        </w:rPr>
      </w:pPr>
    </w:p>
    <w:p w14:paraId="1782A75D" w14:textId="77777777" w:rsidR="001C4E06" w:rsidRPr="001C4E06" w:rsidRDefault="001C4E06" w:rsidP="001C4E06">
      <w:pPr>
        <w:tabs>
          <w:tab w:val="left" w:pos="8080"/>
        </w:tabs>
        <w:spacing w:after="0" w:line="240" w:lineRule="auto"/>
        <w:jc w:val="both"/>
        <w:rPr>
          <w:rFonts w:ascii="Century Gothic" w:eastAsia="Times New Roman" w:hAnsi="Century Gothic"/>
          <w:sz w:val="20"/>
          <w:szCs w:val="20"/>
          <w:lang w:eastAsia="es-ES"/>
        </w:rPr>
      </w:pPr>
    </w:p>
    <w:p w14:paraId="0A5B4EA4" w14:textId="77777777" w:rsidR="001C4E06" w:rsidRPr="001C4E06" w:rsidRDefault="001C4E06" w:rsidP="001C4E06">
      <w:pPr>
        <w:tabs>
          <w:tab w:val="left" w:pos="3261"/>
          <w:tab w:val="left" w:pos="8080"/>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“7.2.                                 Toda diferencia, controversia o reclamaciónque surja </w:t>
      </w:r>
    </w:p>
    <w:p w14:paraId="6BE4915D" w14:textId="77777777" w:rsidR="001C4E06" w:rsidRPr="001C4E06" w:rsidRDefault="001C4E06" w:rsidP="001C4E06">
      <w:pPr>
        <w:tabs>
          <w:tab w:val="left" w:pos="3261"/>
          <w:tab w:val="left" w:pos="8080"/>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de   este   Contrato  o  en  relación  con  el  mismo,  o </w:t>
      </w:r>
    </w:p>
    <w:p w14:paraId="3AA987EF" w14:textId="77777777" w:rsidR="001C4E06" w:rsidRPr="001C4E06" w:rsidRDefault="001C4E06" w:rsidP="001C4E06">
      <w:pPr>
        <w:tabs>
          <w:tab w:val="left" w:pos="3261"/>
          <w:tab w:val="left" w:pos="8080"/>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con su incumplimiento, rescisión  o  invalidez,  deberá</w:t>
      </w:r>
    </w:p>
    <w:p w14:paraId="14D0AC13" w14:textId="77777777" w:rsidR="001C4E06" w:rsidRPr="001C4E06" w:rsidRDefault="001C4E06" w:rsidP="001C4E06">
      <w:pPr>
        <w:tabs>
          <w:tab w:val="left" w:pos="3261"/>
          <w:tab w:val="left" w:pos="8080"/>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solucionarse mediante arbitraje de  conformidad con </w:t>
      </w:r>
    </w:p>
    <w:p w14:paraId="24661CFC" w14:textId="77777777" w:rsidR="001C4E06" w:rsidRPr="001C4E06" w:rsidRDefault="001C4E06" w:rsidP="001C4E06">
      <w:pPr>
        <w:tabs>
          <w:tab w:val="left" w:pos="3261"/>
          <w:tab w:val="left" w:pos="8080"/>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el  reglamento   de  arbitraje   de  la Comisión  de  las </w:t>
      </w:r>
    </w:p>
    <w:p w14:paraId="7C72BF58" w14:textId="77777777" w:rsidR="001C4E06" w:rsidRPr="001C4E06" w:rsidRDefault="001C4E06" w:rsidP="001C4E06">
      <w:pPr>
        <w:tabs>
          <w:tab w:val="left" w:pos="3261"/>
          <w:tab w:val="left" w:pos="8080"/>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lastRenderedPageBreak/>
        <w:t xml:space="preserve">                                         Naciones    Unidas    para    el     Derecho     Mercantil</w:t>
      </w:r>
    </w:p>
    <w:p w14:paraId="59237DF7" w14:textId="77777777" w:rsidR="001C4E06" w:rsidRPr="001C4E06" w:rsidRDefault="001C4E06" w:rsidP="001C4E06">
      <w:pPr>
        <w:tabs>
          <w:tab w:val="left" w:pos="3261"/>
          <w:tab w:val="left" w:pos="8080"/>
        </w:tabs>
        <w:spacing w:after="0" w:line="240" w:lineRule="auto"/>
        <w:ind w:left="851" w:right="646"/>
        <w:jc w:val="both"/>
        <w:rPr>
          <w:rFonts w:ascii="Century Gothic" w:eastAsia="Times New Roman" w:hAnsi="Century Gothic"/>
          <w:sz w:val="20"/>
          <w:szCs w:val="20"/>
          <w:lang w:eastAsia="es-ES"/>
        </w:rPr>
      </w:pPr>
      <w:r w:rsidRPr="001C4E06">
        <w:rPr>
          <w:rFonts w:ascii="Century Gothic" w:eastAsia="Times New Roman" w:hAnsi="Century Gothic"/>
          <w:sz w:val="20"/>
          <w:szCs w:val="20"/>
          <w:lang w:eastAsia="es-ES"/>
        </w:rPr>
        <w:t xml:space="preserve">                                         Internacional (CNUDMI) vigente en ese momento”.</w:t>
      </w:r>
    </w:p>
    <w:p w14:paraId="41A45541" w14:textId="77777777" w:rsidR="001C4E06" w:rsidRPr="001C4E06" w:rsidRDefault="001C4E06" w:rsidP="001C4E06">
      <w:pPr>
        <w:spacing w:after="0" w:line="360" w:lineRule="auto"/>
        <w:jc w:val="both"/>
        <w:rPr>
          <w:rFonts w:ascii="Century Gothic" w:eastAsia="Times New Roman" w:hAnsi="Century Gothic"/>
          <w:lang w:eastAsia="es-ES"/>
        </w:rPr>
      </w:pPr>
    </w:p>
    <w:p w14:paraId="5867875D" w14:textId="77777777" w:rsidR="001C4E06" w:rsidRPr="001C4E06" w:rsidRDefault="001C4E06" w:rsidP="001C4E06">
      <w:pPr>
        <w:spacing w:after="0" w:line="240" w:lineRule="auto"/>
        <w:ind w:left="851" w:right="-62"/>
        <w:jc w:val="both"/>
        <w:rPr>
          <w:rFonts w:ascii="Century Gothic" w:eastAsia="Times New Roman" w:hAnsi="Century Gothic"/>
          <w:sz w:val="20"/>
          <w:szCs w:val="20"/>
          <w:lang w:eastAsia="es-ES"/>
        </w:rPr>
      </w:pPr>
    </w:p>
    <w:p w14:paraId="16C0D214" w14:textId="77777777" w:rsidR="001C4E06" w:rsidRPr="001C4E06" w:rsidRDefault="001C4E06" w:rsidP="001C4E06">
      <w:pPr>
        <w:tabs>
          <w:tab w:val="left" w:pos="8080"/>
        </w:tabs>
        <w:spacing w:after="0" w:line="360" w:lineRule="auto"/>
        <w:ind w:right="-62"/>
        <w:jc w:val="both"/>
        <w:rPr>
          <w:rFonts w:ascii="Century Gothic" w:eastAsia="Times New Roman" w:hAnsi="Century Gothic"/>
          <w:sz w:val="20"/>
          <w:szCs w:val="20"/>
          <w:lang w:eastAsia="es-ES"/>
        </w:rPr>
      </w:pPr>
      <w:r w:rsidRPr="001C4E06">
        <w:rPr>
          <w:rFonts w:ascii="Century Gothic" w:eastAsia="Times New Roman" w:hAnsi="Century Gothic"/>
          <w:lang w:eastAsia="es-ES"/>
        </w:rPr>
        <w:t xml:space="preserve">El Tribunal de primera instancia indicó que, si bien las partes estipularon que para resolver las diferencias que se presentaran durante la ejecución del contrato se acudiría a árbitros, la entidad demandada renunció tácitamente a este derecho al hacer uso de las factultades legales establecidas en la Ley 80 de 1993. </w:t>
      </w:r>
    </w:p>
    <w:p w14:paraId="7E481431" w14:textId="77777777" w:rsidR="001C4E06" w:rsidRPr="001C4E06" w:rsidRDefault="001C4E06" w:rsidP="001C4E06">
      <w:pPr>
        <w:spacing w:after="0" w:line="360" w:lineRule="auto"/>
        <w:jc w:val="both"/>
        <w:rPr>
          <w:rFonts w:ascii="Century Gothic" w:eastAsia="Times New Roman" w:hAnsi="Century Gothic"/>
          <w:lang w:eastAsia="es-ES"/>
        </w:rPr>
      </w:pPr>
    </w:p>
    <w:p w14:paraId="2E3B8E38" w14:textId="77777777" w:rsidR="001C4E06" w:rsidRPr="001C4E06" w:rsidRDefault="001C4E06" w:rsidP="001C4E06">
      <w:pPr>
        <w:spacing w:after="0" w:line="360" w:lineRule="auto"/>
        <w:jc w:val="both"/>
        <w:rPr>
          <w:rFonts w:ascii="Century Gothic" w:eastAsia="Times New Roman" w:hAnsi="Century Gothic"/>
          <w:lang w:eastAsia="es-ES"/>
        </w:rPr>
      </w:pPr>
      <w:bookmarkStart w:id="13" w:name="_Hlk22215076"/>
      <w:r w:rsidRPr="001C4E06">
        <w:rPr>
          <w:rFonts w:ascii="Century Gothic" w:eastAsia="Times New Roman" w:hAnsi="Century Gothic"/>
          <w:lang w:eastAsia="es-ES"/>
        </w:rPr>
        <w:t>Al respecto, es necesario aclarar que las cláusulas que establecieron la convocatoria a un tribunal arbitral no solamente se referían a la ejecución del contrato, sino también a cualquier asunto inherente al mismo, que generara alguna diferencia entre quienes lo celebraron; por lo tanto, en principio podría pensarse que las irregularidades e incumplimientos que se presentaron en el presente asunto y que llevaron a la expedición de los actos acusados debían someterse, en su momento, a decisión arbitral.</w:t>
      </w:r>
    </w:p>
    <w:bookmarkEnd w:id="13"/>
    <w:p w14:paraId="3DCBBBE8" w14:textId="77777777" w:rsidR="001C4E06" w:rsidRPr="001C4E06" w:rsidRDefault="001C4E06" w:rsidP="001C4E06">
      <w:pPr>
        <w:spacing w:after="0" w:line="360" w:lineRule="auto"/>
        <w:jc w:val="both"/>
        <w:rPr>
          <w:rFonts w:ascii="Century Gothic" w:eastAsia="Times New Roman" w:hAnsi="Century Gothic"/>
          <w:lang w:eastAsia="es-ES"/>
        </w:rPr>
      </w:pPr>
    </w:p>
    <w:p w14:paraId="4BF48AA6" w14:textId="77777777" w:rsidR="001C4E06" w:rsidRPr="001C4E06" w:rsidRDefault="001C4E06" w:rsidP="001C4E06">
      <w:pPr>
        <w:spacing w:after="0" w:line="360" w:lineRule="auto"/>
        <w:jc w:val="both"/>
        <w:rPr>
          <w:rFonts w:ascii="Century Gothic" w:eastAsia="Times New Roman" w:hAnsi="Century Gothic"/>
          <w:lang w:val="es-ES" w:eastAsia="es-ES"/>
        </w:rPr>
      </w:pPr>
      <w:r w:rsidRPr="001C4E06">
        <w:rPr>
          <w:rFonts w:ascii="Century Gothic" w:eastAsia="Times New Roman" w:hAnsi="Century Gothic"/>
          <w:lang w:eastAsia="es-ES"/>
        </w:rPr>
        <w:t xml:space="preserve">Sin embargo, el </w:t>
      </w:r>
      <w:r w:rsidRPr="001C4E06">
        <w:rPr>
          <w:rFonts w:ascii="Century Gothic" w:eastAsia="Times New Roman" w:hAnsi="Century Gothic" w:cs="Tahoma"/>
          <w:color w:val="000000"/>
          <w:lang w:val="es-ES" w:eastAsia="es-ES"/>
        </w:rPr>
        <w:t xml:space="preserve">IDU, mediante Resolución 2000 del 28 de abril de 2005, declaró la ocurrencia del siniestro de calidad del servicio, cubierto por la garantía única de cumplimiento (póliza 0367975-1) expedida por la Compañía Suramérica de Seguros S.A. y vigente hasta el 29 de abril de 2005, con ocasión del contrato de interventoría de obra 146 del 30 de marzo de 2000 e hizo efectiva dicha garantía por un monto igual a $ 205’205.359,oo, lo cual no era una opción de la entidad contratante, sino una obligación legal, que no se restringía ni se eliminaba por convenio entre las partes, ya que las consecuencias que se derivan por la ocurrencia de un siniestro, como se presentó en este asunto, no es una situación de la cual puedan disponer o transigir libremente las partes; al respecto, se ha pronunciado esta sección, así </w:t>
      </w:r>
      <w:r w:rsidRPr="001C4E06">
        <w:rPr>
          <w:rFonts w:ascii="Century Gothic" w:eastAsia="Times New Roman" w:hAnsi="Century Gothic"/>
          <w:lang w:val="es-ES" w:eastAsia="es-ES"/>
        </w:rPr>
        <w:t>(se transcribe literal):</w:t>
      </w:r>
    </w:p>
    <w:p w14:paraId="7F77D433" w14:textId="77777777" w:rsidR="001C4E06" w:rsidRPr="001C4E06" w:rsidRDefault="001C4E06" w:rsidP="001C4E06">
      <w:pPr>
        <w:spacing w:after="0" w:line="360" w:lineRule="auto"/>
        <w:jc w:val="both"/>
        <w:rPr>
          <w:rFonts w:ascii="Century Gothic" w:eastAsia="Times New Roman" w:hAnsi="Century Gothic"/>
          <w:lang w:val="es-ES" w:eastAsia="es-ES"/>
        </w:rPr>
      </w:pPr>
    </w:p>
    <w:p w14:paraId="331496D3" w14:textId="77777777" w:rsidR="001C4E06" w:rsidRPr="001C4E06" w:rsidRDefault="001C4E06" w:rsidP="001C4E06">
      <w:pPr>
        <w:spacing w:after="0" w:line="240" w:lineRule="auto"/>
        <w:ind w:left="851" w:right="646"/>
        <w:jc w:val="both"/>
        <w:rPr>
          <w:rFonts w:ascii="Century Gothic" w:eastAsia="Times New Roman" w:hAnsi="Century Gothic"/>
          <w:color w:val="000000"/>
          <w:sz w:val="20"/>
          <w:szCs w:val="20"/>
          <w:lang w:eastAsia="es-ES"/>
        </w:rPr>
      </w:pPr>
      <w:r w:rsidRPr="001C4E06">
        <w:rPr>
          <w:rFonts w:ascii="Century Gothic" w:eastAsia="Times New Roman" w:hAnsi="Century Gothic" w:cs="Arial"/>
          <w:color w:val="000000"/>
          <w:sz w:val="20"/>
          <w:szCs w:val="20"/>
          <w:lang w:val="es-ES" w:eastAsia="es-ES"/>
        </w:rPr>
        <w:t>“(...) 52. De otro lado, si bien en el contrato se había pactado la cláusula compromisoria, esta circunstancia, como lo reconoció la Sala en asunto similar,</w:t>
      </w:r>
      <w:r w:rsidRPr="001C4E06">
        <w:rPr>
          <w:rFonts w:ascii="Century Gothic" w:eastAsia="Times New Roman" w:hAnsi="Century Gothic" w:cs="Arial"/>
          <w:color w:val="000000"/>
          <w:sz w:val="20"/>
          <w:szCs w:val="20"/>
          <w:vertAlign w:val="superscript"/>
          <w:lang w:val="es-ES" w:eastAsia="es-ES"/>
        </w:rPr>
        <w:footnoteReference w:id="32"/>
      </w:r>
      <w:r w:rsidRPr="001C4E06">
        <w:rPr>
          <w:rFonts w:ascii="Century Gothic" w:eastAsia="Times New Roman" w:hAnsi="Century Gothic" w:cs="Arial"/>
          <w:color w:val="000000"/>
          <w:sz w:val="20"/>
          <w:szCs w:val="20"/>
          <w:lang w:val="es-ES" w:eastAsia="es-ES"/>
        </w:rPr>
        <w:t xml:space="preserve"> no era obstáculo para que la entidad contratante ejerciera la facultad legal de declarar la ocurrencia del siniestro para efectos de hacer efectiva la garantía de cumplimiento contenida en la respectiva póliza de seguro … </w:t>
      </w:r>
    </w:p>
    <w:p w14:paraId="37EADE84" w14:textId="77777777" w:rsidR="001C4E06" w:rsidRPr="001C4E06" w:rsidRDefault="001C4E06" w:rsidP="001C4E06">
      <w:pPr>
        <w:spacing w:after="0" w:line="240" w:lineRule="auto"/>
        <w:ind w:right="646"/>
        <w:jc w:val="both"/>
        <w:rPr>
          <w:rFonts w:ascii="Century Gothic" w:eastAsia="Times New Roman" w:hAnsi="Century Gothic"/>
          <w:color w:val="000000"/>
          <w:sz w:val="20"/>
          <w:szCs w:val="20"/>
          <w:lang w:eastAsia="es-ES"/>
        </w:rPr>
      </w:pPr>
    </w:p>
    <w:p w14:paraId="48673AD4" w14:textId="77777777" w:rsidR="001C4E06" w:rsidRPr="001C4E06" w:rsidRDefault="001C4E06" w:rsidP="001C4E06">
      <w:pPr>
        <w:spacing w:after="0" w:line="240" w:lineRule="auto"/>
        <w:ind w:left="851" w:right="646"/>
        <w:jc w:val="both"/>
        <w:rPr>
          <w:rFonts w:ascii="Century Gothic" w:eastAsia="Times New Roman" w:hAnsi="Century Gothic"/>
          <w:color w:val="000000"/>
          <w:sz w:val="20"/>
          <w:szCs w:val="20"/>
          <w:lang w:eastAsia="es-ES"/>
        </w:rPr>
      </w:pPr>
      <w:r w:rsidRPr="001C4E06">
        <w:rPr>
          <w:rFonts w:ascii="Century Gothic" w:eastAsia="Times New Roman" w:hAnsi="Century Gothic"/>
          <w:color w:val="000000"/>
          <w:sz w:val="20"/>
          <w:szCs w:val="20"/>
          <w:lang w:eastAsia="es-ES"/>
        </w:rPr>
        <w:t>“(...)</w:t>
      </w:r>
    </w:p>
    <w:p w14:paraId="3B48BECB" w14:textId="77777777" w:rsidR="001C4E06" w:rsidRPr="001C4E06" w:rsidRDefault="001C4E06" w:rsidP="001C4E06">
      <w:pPr>
        <w:spacing w:after="0" w:line="240" w:lineRule="auto"/>
        <w:ind w:right="646"/>
        <w:jc w:val="both"/>
        <w:rPr>
          <w:rFonts w:ascii="Century Gothic" w:eastAsia="Times New Roman" w:hAnsi="Century Gothic"/>
          <w:color w:val="000000"/>
          <w:sz w:val="20"/>
          <w:szCs w:val="20"/>
          <w:lang w:eastAsia="es-ES"/>
        </w:rPr>
      </w:pPr>
    </w:p>
    <w:p w14:paraId="70CC3B2C" w14:textId="77777777" w:rsidR="001C4E06" w:rsidRPr="001C4E06" w:rsidRDefault="001C4E06" w:rsidP="001C4E06">
      <w:pPr>
        <w:spacing w:after="0" w:line="240" w:lineRule="auto"/>
        <w:ind w:left="851" w:right="646"/>
        <w:jc w:val="both"/>
        <w:rPr>
          <w:rFonts w:ascii="Century Gothic" w:eastAsia="Times New Roman" w:hAnsi="Century Gothic"/>
          <w:color w:val="000000"/>
          <w:sz w:val="20"/>
          <w:szCs w:val="20"/>
          <w:lang w:eastAsia="es-ES"/>
        </w:rPr>
      </w:pPr>
      <w:r w:rsidRPr="001C4E06">
        <w:rPr>
          <w:rFonts w:ascii="Century Gothic" w:eastAsia="Times New Roman" w:hAnsi="Century Gothic" w:cs="Arial"/>
          <w:color w:val="000000"/>
          <w:sz w:val="20"/>
          <w:szCs w:val="20"/>
          <w:lang w:val="es-ES" w:eastAsia="es-ES"/>
        </w:rPr>
        <w:t>“55. ... la posibilidad de que las partes pacten el sometimiento de sus diferencias al conocimiento de un juez arbitral,(sic) no puede interpretarse como la renuncia de las entidades estatales a sus competencias y facultades legalmente otorgadas”</w:t>
      </w:r>
      <w:r w:rsidRPr="001C4E06">
        <w:rPr>
          <w:rFonts w:ascii="Century Gothic" w:eastAsia="Times New Roman" w:hAnsi="Century Gothic" w:cs="Arial"/>
          <w:color w:val="000000"/>
          <w:sz w:val="20"/>
          <w:szCs w:val="20"/>
          <w:vertAlign w:val="superscript"/>
          <w:lang w:val="es-ES" w:eastAsia="es-ES"/>
        </w:rPr>
        <w:footnoteReference w:id="33"/>
      </w:r>
      <w:r w:rsidRPr="001C4E06">
        <w:rPr>
          <w:rFonts w:ascii="Century Gothic" w:eastAsia="Times New Roman" w:hAnsi="Century Gothic" w:cs="Arial"/>
          <w:color w:val="000000"/>
          <w:sz w:val="20"/>
          <w:szCs w:val="20"/>
          <w:lang w:val="es-ES" w:eastAsia="es-ES"/>
        </w:rPr>
        <w:t>.</w:t>
      </w:r>
    </w:p>
    <w:p w14:paraId="6607077C" w14:textId="77777777" w:rsidR="001C4E06" w:rsidRPr="001C4E06" w:rsidRDefault="001C4E06" w:rsidP="001C4E06">
      <w:pPr>
        <w:spacing w:after="0" w:line="360" w:lineRule="auto"/>
        <w:jc w:val="both"/>
        <w:rPr>
          <w:rFonts w:ascii="Century Gothic" w:eastAsia="Times New Roman" w:hAnsi="Century Gothic"/>
          <w:lang w:eastAsia="es-ES"/>
        </w:rPr>
      </w:pPr>
    </w:p>
    <w:p w14:paraId="36B70DAB" w14:textId="77777777" w:rsidR="001C4E06" w:rsidRPr="001C4E06" w:rsidRDefault="001C4E06" w:rsidP="001C4E06">
      <w:pPr>
        <w:spacing w:after="0" w:line="360" w:lineRule="auto"/>
        <w:jc w:val="both"/>
        <w:rPr>
          <w:rFonts w:ascii="Century Gothic" w:eastAsia="Times New Roman" w:hAnsi="Century Gothic"/>
          <w:lang w:eastAsia="es-ES"/>
        </w:rPr>
      </w:pPr>
      <w:bookmarkStart w:id="14" w:name="_Hlk22215220"/>
      <w:r w:rsidRPr="001C4E06">
        <w:rPr>
          <w:rFonts w:ascii="Century Gothic" w:eastAsia="Times New Roman" w:hAnsi="Century Gothic"/>
          <w:lang w:eastAsia="es-ES"/>
        </w:rPr>
        <w:lastRenderedPageBreak/>
        <w:t xml:space="preserve">Si bien es cierto que en el contrato de interventoría 146 de 2000 se estableció que, en caso de controversia, se acudiría al arbitraje, también es cierto que en el estatuto de contratación estatal se incluye, como uno de los </w:t>
      </w:r>
      <w:bookmarkStart w:id="15" w:name="_Hlk22215152"/>
      <w:r w:rsidRPr="001C4E06">
        <w:rPr>
          <w:rFonts w:ascii="Century Gothic" w:eastAsia="Times New Roman" w:hAnsi="Century Gothic"/>
          <w:lang w:eastAsia="es-ES"/>
        </w:rPr>
        <w:t xml:space="preserve">deberes de las entidades estatales </w:t>
      </w:r>
      <w:bookmarkEnd w:id="15"/>
      <w:r w:rsidRPr="001C4E06">
        <w:rPr>
          <w:rFonts w:ascii="Century Gothic" w:eastAsia="Times New Roman" w:hAnsi="Century Gothic"/>
          <w:lang w:eastAsia="es-ES"/>
        </w:rPr>
        <w:t xml:space="preserve">contratantes, la obligación de adelantar las actuaciones administrativas encaminadas a imponer las sanciones pecuniarias y a lograr la efectividad de las garantías a que hubiere lugar (numeral 2 del artículo 4 de la Ley 80 ce 1993); por lo tanto, es un imperativo legal que, </w:t>
      </w:r>
      <w:bookmarkStart w:id="16" w:name="_Hlk22215172"/>
      <w:r w:rsidRPr="001C4E06">
        <w:rPr>
          <w:rFonts w:ascii="Century Gothic" w:eastAsia="Times New Roman" w:hAnsi="Century Gothic"/>
          <w:lang w:eastAsia="es-ES"/>
        </w:rPr>
        <w:t xml:space="preserve">en el evento de un incumplimiento demostrado por parte del contratista y más aún cuando el contrato ya se terminó y liquidó, se acuda a las garantias consituidas  y no esperar a que se convoque a un tribunal de arbitramento. </w:t>
      </w:r>
      <w:bookmarkEnd w:id="16"/>
    </w:p>
    <w:p w14:paraId="279428FF" w14:textId="77777777" w:rsidR="001C4E06" w:rsidRPr="001C4E06" w:rsidRDefault="001C4E06" w:rsidP="001C4E06">
      <w:pPr>
        <w:spacing w:after="0" w:line="360" w:lineRule="auto"/>
        <w:jc w:val="both"/>
        <w:rPr>
          <w:rFonts w:ascii="Century Gothic" w:eastAsia="Times New Roman" w:hAnsi="Century Gothic"/>
          <w:lang w:eastAsia="es-ES"/>
        </w:rPr>
      </w:pPr>
      <w:bookmarkStart w:id="17" w:name="_Hlk22215414"/>
      <w:bookmarkEnd w:id="14"/>
    </w:p>
    <w:p w14:paraId="79F58A3C" w14:textId="77777777" w:rsidR="001C4E06" w:rsidRPr="001C4E06" w:rsidRDefault="001C4E06" w:rsidP="001C4E06">
      <w:pPr>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Esta exigencia se da en protección del patrimonio público y en cumplimiento de los fines esenciales del Estado, en particular de la efectiva prestación de los servicios públicos a través de la realización de obras públicas, y constituye una obligación legal que,  por lo mismo que prevista en la ley,  prevalece sobre cualquier cláusula convenida en el contrato para acudir a tribunales de arbitramento, lo cual permite concluir que la actuación adelantada por el IDU se ajustó al ordenamiento jurídico.</w:t>
      </w:r>
    </w:p>
    <w:bookmarkEnd w:id="17"/>
    <w:p w14:paraId="5BC52A90" w14:textId="77777777" w:rsidR="001C4E06" w:rsidRPr="001C4E06" w:rsidRDefault="001C4E06" w:rsidP="001C4E06">
      <w:pPr>
        <w:spacing w:after="0" w:line="360" w:lineRule="auto"/>
        <w:jc w:val="both"/>
        <w:rPr>
          <w:rFonts w:ascii="Century Gothic" w:eastAsia="Times New Roman" w:hAnsi="Century Gothic"/>
          <w:lang w:eastAsia="es-ES"/>
        </w:rPr>
      </w:pPr>
    </w:p>
    <w:p w14:paraId="35FEBF70" w14:textId="77777777" w:rsidR="001C4E06" w:rsidRPr="001C4E06" w:rsidRDefault="001C4E06" w:rsidP="001C4E06">
      <w:pPr>
        <w:spacing w:after="0" w:line="360" w:lineRule="auto"/>
        <w:jc w:val="both"/>
        <w:rPr>
          <w:rFonts w:ascii="Century Gothic" w:eastAsia="Times New Roman" w:hAnsi="Century Gothic"/>
          <w:lang w:val="es-ES" w:eastAsia="es-ES"/>
        </w:rPr>
      </w:pPr>
      <w:r w:rsidRPr="001C4E06">
        <w:rPr>
          <w:rFonts w:ascii="Century Gothic" w:eastAsia="Times New Roman" w:hAnsi="Century Gothic"/>
          <w:lang w:val="es-ES" w:eastAsia="es-ES"/>
        </w:rPr>
        <w:t xml:space="preserve">Además, </w:t>
      </w:r>
      <w:bookmarkStart w:id="18" w:name="_Hlk22215464"/>
      <w:r w:rsidRPr="001C4E06">
        <w:rPr>
          <w:rFonts w:ascii="Century Gothic" w:eastAsia="Times New Roman" w:hAnsi="Century Gothic"/>
          <w:lang w:val="es-ES" w:eastAsia="es-ES"/>
        </w:rPr>
        <w:t xml:space="preserve">independientemente de que exista una liquidación de mutuo acuerdo del contrato de interventoría, el interventor continúa con la </w:t>
      </w:r>
      <w:bookmarkStart w:id="19" w:name="_Hlk22215447"/>
      <w:r w:rsidRPr="001C4E06">
        <w:rPr>
          <w:rFonts w:ascii="Century Gothic" w:eastAsia="Times New Roman" w:hAnsi="Century Gothic"/>
          <w:lang w:val="es-ES" w:eastAsia="es-ES"/>
        </w:rPr>
        <w:t xml:space="preserve">responsabilidad </w:t>
      </w:r>
      <w:bookmarkEnd w:id="19"/>
      <w:r w:rsidRPr="001C4E06">
        <w:rPr>
          <w:rFonts w:ascii="Century Gothic" w:eastAsia="Times New Roman" w:hAnsi="Century Gothic"/>
          <w:lang w:val="es-ES" w:eastAsia="es-ES"/>
        </w:rPr>
        <w:t xml:space="preserve">derivada de acciones u omisiones suyas que se hayan presentado durante la ejecución del mismo </w:t>
      </w:r>
      <w:bookmarkEnd w:id="18"/>
      <w:r w:rsidRPr="001C4E06">
        <w:rPr>
          <w:rFonts w:ascii="Century Gothic" w:eastAsia="Times New Roman" w:hAnsi="Century Gothic"/>
          <w:lang w:val="es-ES" w:eastAsia="es-ES"/>
        </w:rPr>
        <w:t>y, por ello, el IDU conserva la competencia para hacer efectiva la póliza respectiva, en el evento de evidenciarse un incumplimiento de las obligaciones a cargo del contratista, incluidas las relativas a la calidad del bien o del servicio prestado.</w:t>
      </w:r>
    </w:p>
    <w:p w14:paraId="0902FF76" w14:textId="77777777" w:rsidR="001C4E06" w:rsidRPr="001C4E06" w:rsidRDefault="001C4E06" w:rsidP="001C4E06">
      <w:pPr>
        <w:spacing w:after="0" w:line="360" w:lineRule="auto"/>
        <w:jc w:val="both"/>
        <w:rPr>
          <w:rFonts w:ascii="Century Gothic" w:eastAsia="Times New Roman" w:hAnsi="Century Gothic"/>
          <w:lang w:val="es-ES" w:eastAsia="es-ES"/>
        </w:rPr>
      </w:pPr>
    </w:p>
    <w:p w14:paraId="530F0830" w14:textId="77777777" w:rsidR="001C4E06" w:rsidRPr="001C4E06" w:rsidRDefault="001C4E06" w:rsidP="001C4E06">
      <w:pPr>
        <w:spacing w:after="0" w:line="360" w:lineRule="auto"/>
        <w:jc w:val="both"/>
        <w:rPr>
          <w:rFonts w:ascii="Century Gothic" w:eastAsia="Times New Roman" w:hAnsi="Century Gothic"/>
          <w:lang w:val="es-ES" w:eastAsia="es-ES"/>
        </w:rPr>
      </w:pPr>
      <w:r w:rsidRPr="001C4E06">
        <w:rPr>
          <w:rFonts w:ascii="Century Gothic" w:eastAsia="Times New Roman" w:hAnsi="Century Gothic"/>
          <w:lang w:val="es-ES" w:eastAsia="es-ES"/>
        </w:rPr>
        <w:t>Por lo tanto, el IDU, no vulneró el debido proceso al no convocar al Tribunal de Arbitramento, pues como se explicó, la entidad contratante tenía la obligación legal de declarar unilateralmente la ocurrencia del siniestro y hacer efectiva la póliza de cumplimiento.</w:t>
      </w:r>
    </w:p>
    <w:p w14:paraId="02BA0DBB" w14:textId="77777777" w:rsidR="001C4E06" w:rsidRPr="001C4E06" w:rsidRDefault="001C4E06" w:rsidP="001C4E06">
      <w:pPr>
        <w:spacing w:after="0" w:line="360" w:lineRule="auto"/>
        <w:jc w:val="both"/>
        <w:rPr>
          <w:rFonts w:ascii="Century Gothic" w:eastAsia="Times New Roman" w:hAnsi="Century Gothic"/>
          <w:lang w:val="es-ES" w:eastAsia="es-ES"/>
        </w:rPr>
      </w:pPr>
    </w:p>
    <w:p w14:paraId="36AD6ED0" w14:textId="77777777" w:rsidR="001C4E06" w:rsidRPr="001C4E06" w:rsidRDefault="001C4E06" w:rsidP="001C4E06">
      <w:pPr>
        <w:spacing w:after="0" w:line="360" w:lineRule="auto"/>
        <w:ind w:right="46"/>
        <w:jc w:val="both"/>
        <w:rPr>
          <w:rFonts w:ascii="Century Gothic" w:eastAsia="Times New Roman" w:hAnsi="Century Gothic" w:cs="Tahoma"/>
          <w:b/>
          <w:lang w:val="es-ES" w:eastAsia="es-ES"/>
        </w:rPr>
      </w:pPr>
      <w:r w:rsidRPr="001C4E06">
        <w:rPr>
          <w:rFonts w:ascii="Century Gothic" w:eastAsia="Times New Roman" w:hAnsi="Century Gothic" w:cs="Tahoma"/>
          <w:b/>
          <w:lang w:val="es-ES" w:eastAsia="es-ES"/>
        </w:rPr>
        <w:t xml:space="preserve">3.3.- Violación del artículo 209 de la Constitución Política por apartarse de los fines de la contratación estatal.- </w:t>
      </w:r>
    </w:p>
    <w:p w14:paraId="3680FE07" w14:textId="77777777" w:rsidR="001C4E06" w:rsidRPr="001C4E06" w:rsidRDefault="001C4E06" w:rsidP="001C4E06">
      <w:pPr>
        <w:spacing w:after="0" w:line="360" w:lineRule="auto"/>
        <w:ind w:right="46"/>
        <w:jc w:val="both"/>
        <w:rPr>
          <w:rFonts w:ascii="Century Gothic" w:eastAsia="Times New Roman" w:hAnsi="Century Gothic" w:cs="Tahoma"/>
          <w:b/>
          <w:lang w:val="es-ES" w:eastAsia="es-ES"/>
        </w:rPr>
      </w:pPr>
    </w:p>
    <w:p w14:paraId="0D9E2292" w14:textId="77777777" w:rsidR="001C4E06" w:rsidRPr="001C4E06" w:rsidRDefault="001C4E06" w:rsidP="001C4E06">
      <w:pPr>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 xml:space="preserve">EL recurrente pretende demostrar que se vulneraron los principios de </w:t>
      </w:r>
      <w:r w:rsidRPr="001C4E06">
        <w:rPr>
          <w:rFonts w:ascii="Century Gothic" w:eastAsia="Times New Roman" w:hAnsi="Century Gothic" w:cs="Tahoma"/>
          <w:lang w:val="es-ES" w:eastAsia="es-ES"/>
        </w:rPr>
        <w:t>la función administrativa señalados en el artículo 209 de la Constitución Política de Colombia</w:t>
      </w:r>
      <w:r w:rsidRPr="001C4E06">
        <w:rPr>
          <w:rFonts w:ascii="Century Gothic" w:eastAsia="Times New Roman" w:hAnsi="Century Gothic" w:cs="Tahoma"/>
          <w:vertAlign w:val="superscript"/>
          <w:lang w:val="es-ES" w:eastAsia="es-ES"/>
        </w:rPr>
        <w:footnoteReference w:id="34"/>
      </w:r>
      <w:r w:rsidRPr="001C4E06">
        <w:rPr>
          <w:rFonts w:ascii="Century Gothic" w:eastAsia="Times New Roman" w:hAnsi="Century Gothic" w:cs="Tahoma"/>
          <w:lang w:val="es-ES" w:eastAsia="es-ES"/>
        </w:rPr>
        <w:t xml:space="preserve">, </w:t>
      </w:r>
      <w:r w:rsidRPr="001C4E06">
        <w:rPr>
          <w:rFonts w:ascii="Century Gothic" w:eastAsia="Times New Roman" w:hAnsi="Century Gothic" w:cs="Tahoma"/>
          <w:lang w:val="es-ES" w:eastAsia="es-ES"/>
        </w:rPr>
        <w:lastRenderedPageBreak/>
        <w:t xml:space="preserve">especialmente los de moralidad, economía, imparcialidad y publicidad, como quiera que </w:t>
      </w:r>
      <w:r w:rsidRPr="001C4E06">
        <w:rPr>
          <w:rFonts w:ascii="Century Gothic" w:eastAsia="Times New Roman" w:hAnsi="Century Gothic"/>
          <w:lang w:eastAsia="es-ES"/>
        </w:rPr>
        <w:t>fueron el Instituto de Desarrollo Urbano –IDU- y ASOCRETO quienes, en virtud de unos convenios de cooperación que habían suscrito, decidieron utilizar relleno fluido y modificar la resistencia inicial de dicho material de 60Kg/cm</w:t>
      </w:r>
      <w:r w:rsidRPr="001C4E06">
        <w:rPr>
          <w:rFonts w:ascii="Century Gothic" w:eastAsia="Times New Roman" w:hAnsi="Century Gothic"/>
          <w:vertAlign w:val="superscript"/>
          <w:lang w:eastAsia="es-ES"/>
        </w:rPr>
        <w:t>2</w:t>
      </w:r>
      <w:r w:rsidRPr="001C4E06">
        <w:rPr>
          <w:rFonts w:ascii="Century Gothic" w:eastAsia="Times New Roman" w:hAnsi="Century Gothic"/>
          <w:lang w:eastAsia="es-ES"/>
        </w:rPr>
        <w:t xml:space="preserve"> a 30Kg/cm</w:t>
      </w:r>
      <w:r w:rsidRPr="001C4E06">
        <w:rPr>
          <w:rFonts w:ascii="Century Gothic" w:eastAsia="Times New Roman" w:hAnsi="Century Gothic"/>
          <w:vertAlign w:val="superscript"/>
          <w:lang w:eastAsia="es-ES"/>
        </w:rPr>
        <w:t>2</w:t>
      </w:r>
      <w:r w:rsidRPr="001C4E06">
        <w:rPr>
          <w:rFonts w:ascii="Century Gothic" w:eastAsia="Times New Roman" w:hAnsi="Century Gothic"/>
          <w:lang w:eastAsia="es-ES"/>
        </w:rPr>
        <w:t xml:space="preserve">.  </w:t>
      </w:r>
    </w:p>
    <w:p w14:paraId="06A0EE38" w14:textId="77777777" w:rsidR="001C4E06" w:rsidRPr="001C4E06" w:rsidRDefault="001C4E06" w:rsidP="001C4E06">
      <w:pPr>
        <w:spacing w:after="0" w:line="360" w:lineRule="auto"/>
        <w:jc w:val="both"/>
        <w:rPr>
          <w:rFonts w:ascii="Century Gothic" w:eastAsia="Times New Roman" w:hAnsi="Century Gothic"/>
          <w:lang w:eastAsia="es-ES"/>
        </w:rPr>
      </w:pPr>
    </w:p>
    <w:p w14:paraId="66DF9024" w14:textId="77777777" w:rsidR="001C4E06" w:rsidRPr="001C4E06" w:rsidRDefault="001C4E06" w:rsidP="001C4E06">
      <w:pPr>
        <w:spacing w:after="0" w:line="360" w:lineRule="auto"/>
        <w:jc w:val="both"/>
        <w:rPr>
          <w:rFonts w:ascii="Century Gothic" w:eastAsia="Times New Roman" w:hAnsi="Century Gothic" w:cs="Arial"/>
          <w:lang w:val="es-ES" w:eastAsia="es-ES"/>
        </w:rPr>
      </w:pPr>
      <w:r w:rsidRPr="001C4E06">
        <w:rPr>
          <w:rFonts w:ascii="Century Gothic" w:eastAsia="Times New Roman" w:hAnsi="Century Gothic"/>
          <w:lang w:eastAsia="es-ES"/>
        </w:rPr>
        <w:t>Conforme a los hechos que originaron el presente proceso, se debe tener en cuenta que el contrato de interventoría inició</w:t>
      </w:r>
      <w:r w:rsidRPr="001C4E06">
        <w:rPr>
          <w:rFonts w:ascii="Century Gothic" w:eastAsia="Times New Roman" w:hAnsi="Century Gothic" w:cs="Arial"/>
          <w:lang w:val="es-ES" w:eastAsia="es-ES"/>
        </w:rPr>
        <w:t xml:space="preserve"> con anterioridad al contrato de obra IDU-403/2000, suscrito entre el IDU y CONCIVILES SA, cuyo objeto era la rehabilitación de las calzadas centrales de tráfico mixto y adecuación para la operación de transmilenio en la autopista norte, desde Los Héroes hasta la calle 176 en Bogotá; por consiguiente, la interventoría tenía conocimiento anticipado de los diseños realizados por </w:t>
      </w:r>
      <w:r w:rsidRPr="001C4E06">
        <w:rPr>
          <w:rFonts w:ascii="Century Gothic" w:eastAsia="Times New Roman" w:hAnsi="Century Gothic" w:cs="Tahoma"/>
          <w:i/>
          <w:lang w:val="es-ES" w:eastAsia="es-ES"/>
        </w:rPr>
        <w:t>Steer Davies &amp; Gleave</w:t>
      </w:r>
      <w:r w:rsidRPr="001C4E06">
        <w:rPr>
          <w:rFonts w:ascii="Century Gothic" w:eastAsia="Times New Roman" w:hAnsi="Century Gothic" w:cs="Arial"/>
          <w:lang w:val="es-ES" w:eastAsia="es-ES"/>
        </w:rPr>
        <w:t>, según los cuales en la obra se debía utilizar base asfáltica para la renivelación</w:t>
      </w:r>
      <w:r w:rsidRPr="001C4E06">
        <w:rPr>
          <w:rFonts w:ascii="Century Gothic" w:eastAsia="Times New Roman" w:hAnsi="Century Gothic" w:cs="Arial"/>
          <w:vertAlign w:val="superscript"/>
          <w:lang w:val="es-ES" w:eastAsia="es-ES"/>
        </w:rPr>
        <w:footnoteReference w:id="35"/>
      </w:r>
      <w:r w:rsidRPr="001C4E06">
        <w:rPr>
          <w:rFonts w:ascii="Century Gothic" w:eastAsia="Times New Roman" w:hAnsi="Century Gothic" w:cs="Arial"/>
          <w:lang w:val="es-ES" w:eastAsia="es-ES"/>
        </w:rPr>
        <w:t xml:space="preserve">. </w:t>
      </w:r>
    </w:p>
    <w:p w14:paraId="29A99EF4" w14:textId="77777777" w:rsidR="001C4E06" w:rsidRPr="001C4E06" w:rsidRDefault="001C4E06" w:rsidP="001C4E06">
      <w:pPr>
        <w:spacing w:after="0" w:line="360" w:lineRule="auto"/>
        <w:jc w:val="both"/>
        <w:rPr>
          <w:rFonts w:ascii="Century Gothic" w:eastAsia="Times New Roman" w:hAnsi="Century Gothic" w:cs="Arial"/>
          <w:lang w:val="es-ES" w:eastAsia="es-ES"/>
        </w:rPr>
      </w:pPr>
    </w:p>
    <w:p w14:paraId="6B43C35D" w14:textId="77777777" w:rsidR="001C4E06" w:rsidRPr="001C4E06" w:rsidRDefault="001C4E06" w:rsidP="001C4E06">
      <w:pPr>
        <w:spacing w:after="0" w:line="360" w:lineRule="auto"/>
        <w:jc w:val="both"/>
        <w:rPr>
          <w:rFonts w:ascii="Century Gothic" w:eastAsia="Times New Roman" w:hAnsi="Century Gothic" w:cs="Arial"/>
          <w:lang w:val="es-ES" w:eastAsia="es-ES"/>
        </w:rPr>
      </w:pPr>
      <w:r w:rsidRPr="001C4E06">
        <w:rPr>
          <w:rFonts w:ascii="Century Gothic" w:eastAsia="Times New Roman" w:hAnsi="Century Gothic" w:cs="Arial"/>
          <w:lang w:val="es-ES" w:eastAsia="es-ES"/>
        </w:rPr>
        <w:t xml:space="preserve">Al respecto, la Sala pone de presente que en el contrato de interventoría 146 de 2000, además de las obligaciones legales inherentes a su naturaleza, se pactó (se transcribe literal): </w:t>
      </w:r>
      <w:r w:rsidRPr="001C4E06">
        <w:rPr>
          <w:rFonts w:ascii="Century Gothic" w:eastAsia="Times New Roman" w:hAnsi="Century Gothic" w:cs="Arial"/>
          <w:i/>
          <w:lang w:val="es-ES" w:eastAsia="es-ES"/>
        </w:rPr>
        <w:t>“Así mismo el CONSULTOR deberá dar especial cumplimiento al manual de interventoría adoptado por el IDU mediante resolución 965 de 09 de octubre de 1998, modificada por la  Resolución 022 del 2000 y las instrucciones impartidas por la Dirección General del IDU en relación con los aspectos ambientales que debe cumplir el CONSULTOR  durante la vigencia del presente contrato, contenidas en el memorando DG-0000-0038 de febrero del 2000, en cuanto a sus atribuciones y responsabilidades” (APÉNDICE A -DESCRIPCIÓN DE LOS SERVICIOS).</w:t>
      </w:r>
    </w:p>
    <w:p w14:paraId="21AAC6FD" w14:textId="77777777" w:rsidR="001C4E06" w:rsidRPr="001C4E06" w:rsidRDefault="001C4E06" w:rsidP="001C4E06">
      <w:pPr>
        <w:spacing w:after="0" w:line="240" w:lineRule="auto"/>
        <w:rPr>
          <w:rFonts w:ascii="Times New Roman" w:eastAsia="Times New Roman" w:hAnsi="Times New Roman"/>
          <w:sz w:val="24"/>
          <w:szCs w:val="24"/>
          <w:lang w:val="es-ES" w:eastAsia="es-ES"/>
        </w:rPr>
      </w:pPr>
    </w:p>
    <w:p w14:paraId="2FA0A9A9" w14:textId="77777777" w:rsidR="001C4E06" w:rsidRPr="001C4E06" w:rsidRDefault="001C4E06" w:rsidP="001C4E06">
      <w:pPr>
        <w:spacing w:after="0" w:line="360" w:lineRule="auto"/>
        <w:jc w:val="both"/>
        <w:rPr>
          <w:rFonts w:ascii="Century Gothic" w:eastAsia="Times New Roman" w:hAnsi="Century Gothic" w:cs="Arial"/>
          <w:lang w:val="es-ES" w:eastAsia="es-ES"/>
        </w:rPr>
      </w:pPr>
      <w:r w:rsidRPr="001C4E06">
        <w:rPr>
          <w:rFonts w:ascii="Century Gothic" w:eastAsia="Times New Roman" w:hAnsi="Century Gothic" w:cs="Arial"/>
          <w:lang w:val="es-ES" w:eastAsia="es-ES"/>
        </w:rPr>
        <w:t>Ahora, conforme a los numerales 1.1.3. y 1.1.4. del Manual de Interventoría del IDU</w:t>
      </w:r>
      <w:r w:rsidRPr="001C4E06">
        <w:rPr>
          <w:rFonts w:ascii="Century Gothic" w:eastAsia="Times New Roman" w:hAnsi="Century Gothic" w:cs="Arial"/>
          <w:vertAlign w:val="superscript"/>
          <w:lang w:val="es-ES" w:eastAsia="es-ES"/>
        </w:rPr>
        <w:footnoteReference w:id="36"/>
      </w:r>
      <w:r w:rsidRPr="001C4E06">
        <w:rPr>
          <w:rFonts w:ascii="Century Gothic" w:eastAsia="Times New Roman" w:hAnsi="Century Gothic" w:cs="Arial"/>
          <w:lang w:val="es-ES" w:eastAsia="es-ES"/>
        </w:rPr>
        <w:t xml:space="preserve">, el interventor debió revisar la documentación del proyecto de obra y realizar los estudios correspondientes, en especial aquellos relacionados con los materiales a utilizar, para definir unos criterios claros y precisos frente a éstos; además, debió efectuar una visita al terreno donde se llevaría a cabo la obra, específicamente donde se emplearía el relleno fluido, ya que era un material nuevo en este tipo de contratos, tal como lo evidencia el </w:t>
      </w:r>
      <w:r w:rsidRPr="001C4E06">
        <w:rPr>
          <w:rFonts w:ascii="Century Gothic" w:eastAsia="Times New Roman" w:hAnsi="Century Gothic" w:cs="Arial"/>
          <w:lang w:val="es-ES" w:eastAsia="es-ES"/>
        </w:rPr>
        <w:lastRenderedPageBreak/>
        <w:t>concepto técnico presentado por la Universidad de los Andes</w:t>
      </w:r>
      <w:r w:rsidRPr="001C4E06">
        <w:rPr>
          <w:rFonts w:ascii="Century Gothic" w:eastAsia="Times New Roman" w:hAnsi="Century Gothic" w:cs="Arial"/>
          <w:vertAlign w:val="superscript"/>
          <w:lang w:val="es-ES" w:eastAsia="es-ES"/>
        </w:rPr>
        <w:footnoteReference w:id="37"/>
      </w:r>
      <w:r w:rsidRPr="001C4E06">
        <w:rPr>
          <w:rFonts w:ascii="Century Gothic" w:eastAsia="Times New Roman" w:hAnsi="Century Gothic" w:cs="Arial"/>
          <w:lang w:val="es-ES" w:eastAsia="es-ES"/>
        </w:rPr>
        <w:t xml:space="preserve">, que al respecto dice: “Por esta razón, </w:t>
      </w:r>
      <w:r w:rsidRPr="001C4E06">
        <w:rPr>
          <w:rFonts w:ascii="Century Gothic" w:eastAsia="Times New Roman" w:hAnsi="Century Gothic" w:cs="Arial"/>
          <w:b/>
          <w:lang w:val="es-ES" w:eastAsia="es-ES"/>
        </w:rPr>
        <w:t>para el estudio del problema de la Autopista Norte en el que el fenómeno de bombeo está influenciado por el comportamiento de un material nuevo como es el relleno fluido</w:t>
      </w:r>
      <w:r w:rsidRPr="001C4E06">
        <w:rPr>
          <w:rFonts w:ascii="Century Gothic" w:eastAsia="Times New Roman" w:hAnsi="Century Gothic" w:cs="Arial"/>
          <w:lang w:val="es-ES" w:eastAsia="es-ES"/>
        </w:rPr>
        <w:t>, es preferible utilizar teorías completas de la hidráulica del bombeo bajo losas de pavimento rígido” (negrilla fuera de texto).</w:t>
      </w:r>
    </w:p>
    <w:p w14:paraId="41997264" w14:textId="77777777" w:rsidR="001C4E06" w:rsidRPr="001C4E06" w:rsidRDefault="001C4E06" w:rsidP="001C4E06">
      <w:pPr>
        <w:spacing w:after="0" w:line="360" w:lineRule="auto"/>
        <w:jc w:val="both"/>
        <w:rPr>
          <w:rFonts w:ascii="Century Gothic" w:eastAsia="Times New Roman" w:hAnsi="Century Gothic" w:cs="Arial"/>
          <w:lang w:val="es-ES" w:eastAsia="es-ES"/>
        </w:rPr>
      </w:pPr>
    </w:p>
    <w:p w14:paraId="36C6306F" w14:textId="77777777" w:rsidR="001C4E06" w:rsidRPr="001C4E06" w:rsidRDefault="001C4E06" w:rsidP="001C4E06">
      <w:pPr>
        <w:spacing w:after="0" w:line="360" w:lineRule="auto"/>
        <w:jc w:val="both"/>
        <w:rPr>
          <w:rFonts w:ascii="Century Gothic" w:eastAsia="Times New Roman" w:hAnsi="Century Gothic"/>
          <w:lang w:val="es-ES" w:eastAsia="es-ES"/>
        </w:rPr>
      </w:pPr>
      <w:r w:rsidRPr="001C4E06">
        <w:rPr>
          <w:rFonts w:ascii="Century Gothic" w:eastAsia="Times New Roman" w:hAnsi="Century Gothic" w:cs="Arial"/>
          <w:lang w:val="es-ES" w:eastAsia="es-ES"/>
        </w:rPr>
        <w:t xml:space="preserve">No obstante, dentro los documentos obrantes en el proceso no hay prueba que demuestre que tal labor se cumplió o, al menos, que el interventor se opuso a la utilización del relleno fluido, el cual no se consideró en los diseños como material para renivelación, ya que ésta se realizaría con base asfáltica, </w:t>
      </w:r>
      <w:r w:rsidRPr="001C4E06">
        <w:rPr>
          <w:rFonts w:ascii="Century Gothic" w:eastAsia="Times New Roman" w:hAnsi="Century Gothic"/>
          <w:lang w:val="es-ES" w:eastAsia="es-ES"/>
        </w:rPr>
        <w:t>según conclusiones y recomendaciones de los diseños, obrante a folio 238 del cuaderno principal.</w:t>
      </w:r>
    </w:p>
    <w:p w14:paraId="6C3CDE73" w14:textId="77777777" w:rsidR="001C4E06" w:rsidRPr="001C4E06" w:rsidRDefault="001C4E06" w:rsidP="001C4E06">
      <w:pPr>
        <w:spacing w:after="0" w:line="360" w:lineRule="auto"/>
        <w:jc w:val="both"/>
        <w:rPr>
          <w:rFonts w:ascii="Century Gothic" w:eastAsia="Times New Roman" w:hAnsi="Century Gothic" w:cs="Arial"/>
          <w:b/>
          <w:lang w:val="es-ES" w:eastAsia="es-ES"/>
        </w:rPr>
      </w:pPr>
    </w:p>
    <w:p w14:paraId="762ED098" w14:textId="77777777" w:rsidR="001C4E06" w:rsidRPr="001C4E06" w:rsidRDefault="001C4E06" w:rsidP="001C4E06">
      <w:pPr>
        <w:spacing w:after="0" w:line="360" w:lineRule="auto"/>
        <w:jc w:val="both"/>
        <w:rPr>
          <w:rFonts w:ascii="Century Gothic" w:eastAsia="Times New Roman" w:hAnsi="Century Gothic" w:cs="Arial"/>
          <w:lang w:val="es-ES" w:eastAsia="es-ES"/>
        </w:rPr>
      </w:pPr>
      <w:bookmarkStart w:id="20" w:name="_Hlk22216879"/>
      <w:r w:rsidRPr="001C4E06">
        <w:rPr>
          <w:rFonts w:ascii="Century Gothic" w:eastAsia="Times New Roman" w:hAnsi="Century Gothic" w:cs="Arial"/>
          <w:lang w:val="es-ES" w:eastAsia="es-ES"/>
        </w:rPr>
        <w:t xml:space="preserve">Respecto a lo anterior, debe recordarse que la </w:t>
      </w:r>
      <w:bookmarkStart w:id="21" w:name="_Hlk22216784"/>
      <w:r w:rsidRPr="001C4E06">
        <w:rPr>
          <w:rFonts w:ascii="Century Gothic" w:eastAsia="Times New Roman" w:hAnsi="Century Gothic" w:cs="Arial"/>
          <w:lang w:val="es-ES" w:eastAsia="es-ES"/>
        </w:rPr>
        <w:t>interventoría</w:t>
      </w:r>
      <w:bookmarkEnd w:id="21"/>
      <w:r w:rsidRPr="001C4E06">
        <w:rPr>
          <w:rFonts w:ascii="Century Gothic" w:eastAsia="Times New Roman" w:hAnsi="Century Gothic" w:cs="Arial"/>
          <w:lang w:val="es-ES" w:eastAsia="es-ES"/>
        </w:rPr>
        <w:t xml:space="preserve"> en los </w:t>
      </w:r>
      <w:bookmarkStart w:id="22" w:name="_Hlk22216778"/>
      <w:r w:rsidRPr="001C4E06">
        <w:rPr>
          <w:rFonts w:ascii="Century Gothic" w:eastAsia="Times New Roman" w:hAnsi="Century Gothic" w:cs="Arial"/>
          <w:lang w:val="es-ES" w:eastAsia="es-ES"/>
        </w:rPr>
        <w:t xml:space="preserve">contratos estatales </w:t>
      </w:r>
      <w:bookmarkEnd w:id="22"/>
      <w:r w:rsidRPr="001C4E06">
        <w:rPr>
          <w:rFonts w:ascii="Century Gothic" w:eastAsia="Times New Roman" w:hAnsi="Century Gothic" w:cs="Arial"/>
          <w:lang w:val="es-ES" w:eastAsia="es-ES"/>
        </w:rPr>
        <w:t>comprende todas aquellas actividades que, en representación de la entidad contratante, realiza una persona, natural o jurídica, con el fin de vigilar o inspeccionar, controlar, verificar y colaborar en la ejecución de los contratos o convenios, para lo cual debe prestar asesoría y apoyo tanto a la entidad como al contratista. Se trata de una exigencia establecida en el ordenamiento jurídico</w:t>
      </w:r>
      <w:r w:rsidRPr="001C4E06">
        <w:rPr>
          <w:rFonts w:ascii="Century Gothic" w:eastAsia="Times New Roman" w:hAnsi="Century Gothic" w:cs="Arial"/>
          <w:vertAlign w:val="superscript"/>
          <w:lang w:val="es-ES" w:eastAsia="es-ES"/>
        </w:rPr>
        <w:footnoteReference w:id="38"/>
      </w:r>
      <w:r w:rsidRPr="001C4E06">
        <w:rPr>
          <w:rFonts w:ascii="Century Gothic" w:eastAsia="Times New Roman" w:hAnsi="Century Gothic" w:cs="Arial"/>
          <w:lang w:val="es-ES" w:eastAsia="es-ES"/>
        </w:rPr>
        <w:t>,  que tiene el propósito de asegurar el cumplimiento del objeto de los contratos estatales, en defensa de los fines de la contratación publica, para la satisfacción de los intereses generales y de las necesidades básicas de la colectividad</w:t>
      </w:r>
      <w:r w:rsidRPr="001C4E06">
        <w:rPr>
          <w:rFonts w:ascii="Century Gothic" w:eastAsia="Times New Roman" w:hAnsi="Century Gothic" w:cs="Arial"/>
          <w:vertAlign w:val="superscript"/>
          <w:lang w:val="es-ES" w:eastAsia="es-ES"/>
        </w:rPr>
        <w:footnoteReference w:id="39"/>
      </w:r>
      <w:r w:rsidRPr="001C4E06">
        <w:rPr>
          <w:rFonts w:ascii="Century Gothic" w:eastAsia="Times New Roman" w:hAnsi="Century Gothic" w:cs="Arial"/>
          <w:lang w:val="es-ES" w:eastAsia="es-ES"/>
        </w:rPr>
        <w:t xml:space="preserve">. </w:t>
      </w:r>
    </w:p>
    <w:bookmarkEnd w:id="20"/>
    <w:p w14:paraId="7D0549EE" w14:textId="77777777" w:rsidR="001C4E06" w:rsidRPr="001C4E06" w:rsidRDefault="001C4E06" w:rsidP="001C4E06">
      <w:pPr>
        <w:spacing w:after="0" w:line="360" w:lineRule="auto"/>
        <w:jc w:val="both"/>
        <w:rPr>
          <w:rFonts w:ascii="Century Gothic" w:eastAsia="Times New Roman" w:hAnsi="Century Gothic" w:cs="Arial"/>
          <w:lang w:val="es-ES" w:eastAsia="es-ES"/>
        </w:rPr>
      </w:pPr>
    </w:p>
    <w:p w14:paraId="4EF23342" w14:textId="77777777" w:rsidR="001C4E06" w:rsidRPr="001C4E06" w:rsidRDefault="001C4E06" w:rsidP="001C4E06">
      <w:pPr>
        <w:spacing w:after="0" w:line="360" w:lineRule="auto"/>
        <w:jc w:val="both"/>
        <w:rPr>
          <w:rFonts w:ascii="Century Gothic" w:eastAsia="Times New Roman" w:hAnsi="Century Gothic" w:cs="Arial"/>
          <w:lang w:val="es-ES" w:eastAsia="es-ES"/>
        </w:rPr>
      </w:pPr>
      <w:r w:rsidRPr="001C4E06">
        <w:rPr>
          <w:rFonts w:ascii="Century Gothic" w:eastAsia="Times New Roman" w:hAnsi="Century Gothic" w:cs="Arial"/>
          <w:lang w:val="es-ES" w:eastAsia="es-ES"/>
        </w:rPr>
        <w:t>El interventor debe velar porque se cumplan las especificaciones técnicas del objeto del contrato al que deba hacerse la interventoría, al igual que las actividades o acciones administrativas, legales, financieras y presupuestales a cargo del contratista llamado a cumplir con dicho objeto e, igualmente, debe realizar un acompañamiento directo</w:t>
      </w:r>
      <w:r w:rsidRPr="001C4E06">
        <w:rPr>
          <w:rFonts w:ascii="Century Gothic" w:eastAsia="Times New Roman" w:hAnsi="Century Gothic" w:cs="Arial"/>
          <w:b/>
          <w:lang w:val="es-ES" w:eastAsia="es-ES"/>
        </w:rPr>
        <w:t xml:space="preserve"> </w:t>
      </w:r>
      <w:r w:rsidRPr="001C4E06">
        <w:rPr>
          <w:rFonts w:ascii="Century Gothic" w:eastAsia="Times New Roman" w:hAnsi="Century Gothic" w:cs="Arial"/>
          <w:lang w:val="es-ES" w:eastAsia="es-ES"/>
        </w:rPr>
        <w:t>al contratista para asegurar la adecuada y total ejecución del contrato.</w:t>
      </w:r>
    </w:p>
    <w:p w14:paraId="3CA5584C" w14:textId="77777777" w:rsidR="001C4E06" w:rsidRPr="001C4E06" w:rsidRDefault="001C4E06" w:rsidP="001C4E06">
      <w:pPr>
        <w:spacing w:after="0" w:line="360" w:lineRule="auto"/>
        <w:jc w:val="both"/>
        <w:rPr>
          <w:rFonts w:ascii="Century Gothic" w:eastAsia="Times New Roman" w:hAnsi="Century Gothic" w:cs="Arial"/>
          <w:lang w:val="es-ES" w:eastAsia="es-ES"/>
        </w:rPr>
      </w:pPr>
    </w:p>
    <w:p w14:paraId="2E3935F9" w14:textId="77777777" w:rsidR="001C4E06" w:rsidRPr="001C4E06" w:rsidRDefault="001C4E06" w:rsidP="001C4E06">
      <w:pPr>
        <w:spacing w:after="0" w:line="360" w:lineRule="auto"/>
        <w:jc w:val="both"/>
        <w:rPr>
          <w:rFonts w:ascii="Century Gothic" w:eastAsia="Times New Roman" w:hAnsi="Century Gothic" w:cs="Arial"/>
          <w:lang w:val="es-ES" w:eastAsia="es-ES"/>
        </w:rPr>
      </w:pPr>
      <w:r w:rsidRPr="001C4E06">
        <w:rPr>
          <w:rFonts w:ascii="Century Gothic" w:eastAsia="Times New Roman" w:hAnsi="Century Gothic" w:cs="Arial"/>
          <w:lang w:val="es-ES" w:eastAsia="es-ES"/>
        </w:rPr>
        <w:t>La interventoría tenía el deber, entonces, de verificar de manera permanente las actividades a cargo del contratista, al igual que la correcta utilización de los materiales, para lo cual -como ya se dijo- debió efectuar una visita al terreno donde se llevaría a cabo la obra</w:t>
      </w:r>
      <w:r w:rsidRPr="001C4E06">
        <w:rPr>
          <w:rFonts w:ascii="Century Gothic" w:eastAsia="Times New Roman" w:hAnsi="Century Gothic" w:cs="Arial"/>
          <w:vertAlign w:val="superscript"/>
          <w:lang w:val="es-ES" w:eastAsia="es-ES"/>
        </w:rPr>
        <w:footnoteReference w:id="40"/>
      </w:r>
      <w:r w:rsidRPr="001C4E06">
        <w:rPr>
          <w:rFonts w:ascii="Century Gothic" w:eastAsia="Times New Roman" w:hAnsi="Century Gothic" w:cs="Arial"/>
          <w:lang w:val="es-ES" w:eastAsia="es-ES"/>
        </w:rPr>
        <w:t xml:space="preserve"> y, en caso de duda frente a la calidad de aquellos, debió proponer </w:t>
      </w:r>
      <w:r w:rsidRPr="001C4E06">
        <w:rPr>
          <w:rFonts w:ascii="Century Gothic" w:eastAsia="Times New Roman" w:hAnsi="Century Gothic" w:cs="Arial"/>
          <w:lang w:val="es-ES" w:eastAsia="es-ES"/>
        </w:rPr>
        <w:lastRenderedPageBreak/>
        <w:t xml:space="preserve">modificaciones al contrato, basado para ello en soportes y en pruebas técnicas; sin embargo, esto fue precisamente lo que no sucedió en este caso o, al menos, no hay prueba de lo contrario en el expediente.  </w:t>
      </w:r>
    </w:p>
    <w:p w14:paraId="63D86D8B" w14:textId="77777777" w:rsidR="001C4E06" w:rsidRPr="001C4E06" w:rsidRDefault="001C4E06" w:rsidP="001C4E06">
      <w:pPr>
        <w:spacing w:after="0" w:line="360" w:lineRule="auto"/>
        <w:jc w:val="both"/>
        <w:rPr>
          <w:rFonts w:ascii="Century Gothic" w:eastAsia="Times New Roman" w:hAnsi="Century Gothic" w:cs="Arial"/>
          <w:lang w:val="es-ES" w:eastAsia="es-ES"/>
        </w:rPr>
      </w:pPr>
    </w:p>
    <w:p w14:paraId="00EF5068" w14:textId="77777777" w:rsidR="001C4E06" w:rsidRPr="001C4E06" w:rsidRDefault="001C4E06" w:rsidP="001C4E06">
      <w:pPr>
        <w:spacing w:after="0" w:line="360" w:lineRule="auto"/>
        <w:jc w:val="both"/>
        <w:rPr>
          <w:rFonts w:ascii="Century Gothic" w:eastAsia="Times New Roman" w:hAnsi="Century Gothic" w:cs="Arial"/>
          <w:lang w:val="es-ES" w:eastAsia="es-ES"/>
        </w:rPr>
      </w:pPr>
      <w:r w:rsidRPr="001C4E06">
        <w:rPr>
          <w:rFonts w:ascii="Century Gothic" w:eastAsia="Times New Roman" w:hAnsi="Century Gothic" w:cs="Arial"/>
          <w:lang w:val="es-ES" w:eastAsia="es-ES"/>
        </w:rPr>
        <w:t>Ahora, las labores de la interventoría comenzaron el 17 de abril de 2000, esto es,  con anterioridad al contrato de obra (IDU-403/2000), que comenzó el 22 de junio de ese mismo año, ello con el fin de que el interventor estudiara el proyecto, lo que lleva a concluir necesariamente que, si el Consorcio Integral S.A. - Silva Carreño y Asociados S.A. - Silva Fajardo y Compañía Ltda. hubiera cumplido sus obligaciones relativas al estudio de los diseños, habría determinado técnicamente cuál material era el necesario para el proceso de renivelación, es decir, si el relleno fluido o si la base asfáltica, para lo cual debió proponer los ajustes correspondientes al proyecto, con miras a garantizar la plena estabilidad de la obra; pero, el interventor permitió que se utilizara relleno fluido, sin que existiera claridad entorno a si ese era el material cuya utilización resultaba adecuada para la obra, lo que se evidencia en las actas 04</w:t>
      </w:r>
      <w:r w:rsidRPr="001C4E06">
        <w:rPr>
          <w:rFonts w:ascii="Century Gothic" w:eastAsia="Times New Roman" w:hAnsi="Century Gothic" w:cs="Arial"/>
          <w:vertAlign w:val="superscript"/>
          <w:lang w:val="es-ES" w:eastAsia="es-ES"/>
        </w:rPr>
        <w:footnoteReference w:id="41"/>
      </w:r>
      <w:r w:rsidRPr="001C4E06">
        <w:rPr>
          <w:rFonts w:ascii="Century Gothic" w:eastAsia="Times New Roman" w:hAnsi="Century Gothic" w:cs="Arial"/>
          <w:lang w:val="es-ES" w:eastAsia="es-ES"/>
        </w:rPr>
        <w:t xml:space="preserve"> y 05</w:t>
      </w:r>
      <w:r w:rsidRPr="001C4E06">
        <w:rPr>
          <w:rFonts w:ascii="Century Gothic" w:eastAsia="Times New Roman" w:hAnsi="Century Gothic" w:cs="Arial"/>
          <w:vertAlign w:val="superscript"/>
          <w:lang w:val="es-ES" w:eastAsia="es-ES"/>
        </w:rPr>
        <w:footnoteReference w:id="42"/>
      </w:r>
      <w:r w:rsidRPr="001C4E06">
        <w:rPr>
          <w:rFonts w:ascii="Century Gothic" w:eastAsia="Times New Roman" w:hAnsi="Century Gothic" w:cs="Arial"/>
          <w:lang w:val="es-ES" w:eastAsia="es-ES"/>
        </w:rPr>
        <w:t xml:space="preserve"> de seguimiento al contrato No. IDU-403/2000. </w:t>
      </w:r>
    </w:p>
    <w:p w14:paraId="77EC5043" w14:textId="77777777" w:rsidR="001C4E06" w:rsidRPr="001C4E06" w:rsidRDefault="001C4E06" w:rsidP="001C4E06">
      <w:pPr>
        <w:spacing w:after="0" w:line="360" w:lineRule="auto"/>
        <w:jc w:val="both"/>
        <w:rPr>
          <w:rFonts w:ascii="Century Gothic" w:eastAsia="Times New Roman" w:hAnsi="Century Gothic" w:cs="Arial"/>
          <w:lang w:val="es-ES" w:eastAsia="es-ES"/>
        </w:rPr>
      </w:pPr>
    </w:p>
    <w:p w14:paraId="3FD01A2B" w14:textId="77777777" w:rsidR="001C4E06" w:rsidRPr="001C4E06" w:rsidRDefault="001C4E06" w:rsidP="001C4E06">
      <w:pPr>
        <w:spacing w:after="0" w:line="360" w:lineRule="auto"/>
        <w:jc w:val="both"/>
        <w:rPr>
          <w:rFonts w:ascii="Century Gothic" w:eastAsia="Times New Roman" w:hAnsi="Century Gothic"/>
          <w:lang w:val="es-ES" w:eastAsia="es-ES"/>
        </w:rPr>
      </w:pPr>
      <w:r w:rsidRPr="001C4E06">
        <w:rPr>
          <w:rFonts w:ascii="Century Gothic" w:eastAsia="Times New Roman" w:hAnsi="Century Gothic"/>
          <w:lang w:val="es-ES" w:eastAsia="es-ES"/>
        </w:rPr>
        <w:t xml:space="preserve">Así, por ejemplo, en el acta 004 de seguimiento al contrato de obra del 28 de junio de 2000, suscrita por representantes del IDU, de la interventoría (director y residentes) y del contratista de la obra, se indicó (se transcribe literal): </w:t>
      </w:r>
    </w:p>
    <w:p w14:paraId="2D88C45B" w14:textId="77777777" w:rsidR="001C4E06" w:rsidRPr="001C4E06" w:rsidRDefault="001C4E06" w:rsidP="001C4E06">
      <w:pPr>
        <w:spacing w:after="0" w:line="360" w:lineRule="auto"/>
        <w:jc w:val="both"/>
        <w:rPr>
          <w:rFonts w:ascii="Century Gothic" w:eastAsia="Times New Roman" w:hAnsi="Century Gothic"/>
          <w:lang w:val="es-ES" w:eastAsia="es-ES"/>
        </w:rPr>
      </w:pPr>
    </w:p>
    <w:p w14:paraId="72E19DA3"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“En cuanto a los rellenos de renivelación con relleno de fluido según recomendación de los ingenieros de Asocreto no deben ser menores a 4 cm.</w:t>
      </w:r>
    </w:p>
    <w:p w14:paraId="54697A76"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6D8BF1A2"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 xml:space="preserve">“El IDU y la interventoría proponen ensayar trabajar con cero cm en el punto mas bajo. La Interventoría informa además que en la reunión realizada el día 27 de junio con Asocreto se hablo de colocar 4 cm pero la razón no fue clara, en cuanto a su justificación. </w:t>
      </w:r>
    </w:p>
    <w:p w14:paraId="2CC1BBDB"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1F507888"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“El IDU informa que en los otros contratos de Transmilenio se están trabajando del orden de 5 mm.  Además en algunos casos se a hecho fresado. Aclara además que la renivelación se debe hacer con relleno de fluido o concreto asfáltico.</w:t>
      </w:r>
    </w:p>
    <w:p w14:paraId="6D2CC72E" w14:textId="77777777" w:rsidR="001C4E06" w:rsidRPr="001C4E06" w:rsidRDefault="001C4E06" w:rsidP="001C4E06">
      <w:pPr>
        <w:spacing w:after="0" w:line="240" w:lineRule="auto"/>
        <w:ind w:left="851" w:right="646"/>
        <w:jc w:val="both"/>
        <w:rPr>
          <w:rFonts w:ascii="Century Gothic" w:eastAsia="Times New Roman" w:hAnsi="Century Gothic"/>
          <w:sz w:val="20"/>
          <w:szCs w:val="20"/>
          <w:u w:val="single"/>
          <w:lang w:val="es-ES" w:eastAsia="es-ES"/>
        </w:rPr>
      </w:pPr>
    </w:p>
    <w:p w14:paraId="69E21E61"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w:t>
      </w:r>
    </w:p>
    <w:p w14:paraId="22B45405"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7B08030D"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b/>
          <w:sz w:val="20"/>
          <w:szCs w:val="20"/>
          <w:lang w:val="es-ES" w:eastAsia="es-ES"/>
        </w:rPr>
        <w:t>“La Interventoría da lectura al resumen de las conclusiones de la reunión técnica realizada en la mañana con asistencia de representantes del IDU, ASOCRETO, el Contratista y la Interventoría en las cuales se consideran cuatro tipos de intervenciones de acuerdo al carril que será intervenido así</w:t>
      </w:r>
      <w:r w:rsidRPr="001C4E06">
        <w:rPr>
          <w:rFonts w:ascii="Century Gothic" w:eastAsia="Times New Roman" w:hAnsi="Century Gothic"/>
          <w:sz w:val="20"/>
          <w:szCs w:val="20"/>
          <w:lang w:val="es-ES" w:eastAsia="es-ES"/>
        </w:rPr>
        <w:t>:</w:t>
      </w:r>
    </w:p>
    <w:p w14:paraId="7D6A159C"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69CC06AB" w14:textId="77777777" w:rsidR="001C4E06" w:rsidRPr="001C4E06" w:rsidRDefault="001C4E06" w:rsidP="001C4E06">
      <w:pPr>
        <w:spacing w:after="0" w:line="240" w:lineRule="auto"/>
        <w:ind w:left="851" w:right="646"/>
        <w:jc w:val="both"/>
        <w:rPr>
          <w:rFonts w:ascii="Century Gothic" w:eastAsia="Times New Roman" w:hAnsi="Century Gothic"/>
          <w:b/>
          <w:color w:val="3366FF"/>
          <w:sz w:val="20"/>
          <w:szCs w:val="20"/>
          <w:lang w:val="es-ES" w:eastAsia="es-ES"/>
        </w:rPr>
      </w:pPr>
      <w:r w:rsidRPr="001C4E06">
        <w:rPr>
          <w:rFonts w:ascii="Century Gothic" w:eastAsia="Times New Roman" w:hAnsi="Century Gothic"/>
          <w:b/>
          <w:sz w:val="20"/>
          <w:szCs w:val="20"/>
          <w:lang w:val="es-ES" w:eastAsia="es-ES"/>
        </w:rPr>
        <w:t>“Carril Central existente</w:t>
      </w:r>
    </w:p>
    <w:p w14:paraId="5328B7D8"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5C21BE9F"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r w:rsidRPr="001C4E06">
        <w:rPr>
          <w:rFonts w:ascii="Century Gothic" w:eastAsia="Times New Roman" w:hAnsi="Century Gothic"/>
          <w:sz w:val="20"/>
          <w:szCs w:val="20"/>
          <w:lang w:val="es-ES" w:eastAsia="es-ES"/>
        </w:rPr>
        <w:t>“(…)</w:t>
      </w:r>
    </w:p>
    <w:p w14:paraId="159ABBD9"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6C251E64"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r w:rsidRPr="001C4E06">
        <w:rPr>
          <w:rFonts w:ascii="Century Gothic" w:eastAsia="Times New Roman" w:hAnsi="Century Gothic"/>
          <w:sz w:val="20"/>
          <w:szCs w:val="20"/>
          <w:lang w:val="es-ES" w:eastAsia="es-ES"/>
        </w:rPr>
        <w:lastRenderedPageBreak/>
        <w:t xml:space="preserve">“- Se nivelará por medio de fresado las protuberancias </w:t>
      </w:r>
      <w:r w:rsidRPr="001C4E06">
        <w:rPr>
          <w:rFonts w:ascii="Century Gothic" w:eastAsia="Times New Roman" w:hAnsi="Century Gothic"/>
          <w:b/>
          <w:sz w:val="20"/>
          <w:szCs w:val="20"/>
          <w:lang w:val="es-ES" w:eastAsia="es-ES"/>
        </w:rPr>
        <w:t>o</w:t>
      </w:r>
      <w:r w:rsidRPr="001C4E06">
        <w:rPr>
          <w:rFonts w:ascii="Century Gothic" w:eastAsia="Times New Roman" w:hAnsi="Century Gothic"/>
          <w:sz w:val="20"/>
          <w:szCs w:val="20"/>
          <w:lang w:val="es-ES" w:eastAsia="es-ES"/>
        </w:rPr>
        <w:t xml:space="preserve"> </w:t>
      </w:r>
      <w:r w:rsidRPr="001C4E06">
        <w:rPr>
          <w:rFonts w:ascii="Century Gothic" w:eastAsia="Times New Roman" w:hAnsi="Century Gothic"/>
          <w:b/>
          <w:sz w:val="20"/>
          <w:szCs w:val="20"/>
          <w:lang w:val="es-ES" w:eastAsia="es-ES"/>
        </w:rPr>
        <w:t>se harán nivelaciones con relleno fluido</w:t>
      </w:r>
      <w:r w:rsidRPr="001C4E06">
        <w:rPr>
          <w:rFonts w:ascii="Century Gothic" w:eastAsia="Times New Roman" w:hAnsi="Century Gothic"/>
          <w:sz w:val="20"/>
          <w:szCs w:val="20"/>
          <w:lang w:val="es-ES" w:eastAsia="es-ES"/>
        </w:rPr>
        <w:t xml:space="preserve"> hasta un mínimo de 5 mm.</w:t>
      </w:r>
    </w:p>
    <w:p w14:paraId="670BC2C2"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493B83FD" w14:textId="77777777" w:rsidR="001C4E06" w:rsidRPr="001C4E06" w:rsidRDefault="001C4E06" w:rsidP="001C4E06">
      <w:pPr>
        <w:spacing w:after="0" w:line="240" w:lineRule="auto"/>
        <w:ind w:left="851" w:right="646"/>
        <w:jc w:val="both"/>
        <w:rPr>
          <w:rFonts w:ascii="Century Gothic" w:eastAsia="Times New Roman" w:hAnsi="Century Gothic"/>
          <w:b/>
          <w:color w:val="3366FF"/>
          <w:sz w:val="20"/>
          <w:szCs w:val="20"/>
          <w:lang w:val="es-ES" w:eastAsia="es-ES"/>
        </w:rPr>
      </w:pPr>
      <w:r w:rsidRPr="001C4E06">
        <w:rPr>
          <w:rFonts w:ascii="Century Gothic" w:eastAsia="Times New Roman" w:hAnsi="Century Gothic"/>
          <w:b/>
          <w:sz w:val="20"/>
          <w:szCs w:val="20"/>
          <w:lang w:val="es-ES" w:eastAsia="es-ES"/>
        </w:rPr>
        <w:t>“Carril de Transmilenio</w:t>
      </w:r>
    </w:p>
    <w:p w14:paraId="0B434FE3"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305C7C2D"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r w:rsidRPr="001C4E06">
        <w:rPr>
          <w:rFonts w:ascii="Century Gothic" w:eastAsia="Times New Roman" w:hAnsi="Century Gothic"/>
          <w:sz w:val="20"/>
          <w:szCs w:val="20"/>
          <w:lang w:val="es-ES" w:eastAsia="es-ES"/>
        </w:rPr>
        <w:t>“(…)</w:t>
      </w:r>
    </w:p>
    <w:p w14:paraId="6714937A"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1B6A93F4"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r w:rsidRPr="001C4E06">
        <w:rPr>
          <w:rFonts w:ascii="Century Gothic" w:eastAsia="Times New Roman" w:hAnsi="Century Gothic"/>
          <w:sz w:val="20"/>
          <w:szCs w:val="20"/>
          <w:lang w:val="es-ES" w:eastAsia="es-ES"/>
        </w:rPr>
        <w:t xml:space="preserve">“- Posterior a la reparación </w:t>
      </w:r>
      <w:r w:rsidRPr="001C4E06">
        <w:rPr>
          <w:rFonts w:ascii="Century Gothic" w:eastAsia="Times New Roman" w:hAnsi="Century Gothic"/>
          <w:b/>
          <w:sz w:val="20"/>
          <w:szCs w:val="20"/>
          <w:lang w:val="es-ES" w:eastAsia="es-ES"/>
        </w:rPr>
        <w:t>se hará nivelación con relleno fluido</w:t>
      </w:r>
      <w:r w:rsidRPr="001C4E06">
        <w:rPr>
          <w:rFonts w:ascii="Century Gothic" w:eastAsia="Times New Roman" w:hAnsi="Century Gothic"/>
          <w:sz w:val="20"/>
          <w:szCs w:val="20"/>
          <w:lang w:val="es-ES" w:eastAsia="es-ES"/>
        </w:rPr>
        <w:t xml:space="preserve"> …</w:t>
      </w:r>
    </w:p>
    <w:p w14:paraId="62BAA8F1"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2DF01352" w14:textId="77777777" w:rsidR="001C4E06" w:rsidRPr="001C4E06" w:rsidRDefault="001C4E06" w:rsidP="001C4E06">
      <w:pPr>
        <w:spacing w:after="0" w:line="240" w:lineRule="auto"/>
        <w:ind w:left="851" w:right="646"/>
        <w:jc w:val="both"/>
        <w:rPr>
          <w:rFonts w:ascii="Century Gothic" w:eastAsia="Times New Roman" w:hAnsi="Century Gothic"/>
          <w:b/>
          <w:color w:val="3366FF"/>
          <w:sz w:val="20"/>
          <w:szCs w:val="20"/>
          <w:lang w:val="es-ES" w:eastAsia="es-ES"/>
        </w:rPr>
      </w:pPr>
      <w:r w:rsidRPr="001C4E06">
        <w:rPr>
          <w:rFonts w:ascii="Century Gothic" w:eastAsia="Times New Roman" w:hAnsi="Century Gothic"/>
          <w:b/>
          <w:sz w:val="20"/>
          <w:szCs w:val="20"/>
          <w:lang w:val="es-ES" w:eastAsia="es-ES"/>
        </w:rPr>
        <w:t>“Carril Lateral sobre la Berma</w:t>
      </w:r>
    </w:p>
    <w:p w14:paraId="6E220E99"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2B96ED4F"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r w:rsidRPr="001C4E06">
        <w:rPr>
          <w:rFonts w:ascii="Century Gothic" w:eastAsia="Times New Roman" w:hAnsi="Century Gothic"/>
          <w:sz w:val="20"/>
          <w:szCs w:val="20"/>
          <w:lang w:val="es-ES" w:eastAsia="es-ES"/>
        </w:rPr>
        <w:t>“(…)</w:t>
      </w:r>
    </w:p>
    <w:p w14:paraId="581AAE90"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12A7B35D"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r w:rsidRPr="001C4E06">
        <w:rPr>
          <w:rFonts w:ascii="Century Gothic" w:eastAsia="Times New Roman" w:hAnsi="Century Gothic"/>
          <w:sz w:val="20"/>
          <w:szCs w:val="20"/>
          <w:lang w:val="es-ES" w:eastAsia="es-ES"/>
        </w:rPr>
        <w:t xml:space="preserve">“- Se nivelará por medio de fresado en las protuberancias </w:t>
      </w:r>
      <w:r w:rsidRPr="001C4E06">
        <w:rPr>
          <w:rFonts w:ascii="Century Gothic" w:eastAsia="Times New Roman" w:hAnsi="Century Gothic"/>
          <w:b/>
          <w:sz w:val="20"/>
          <w:szCs w:val="20"/>
          <w:lang w:val="es-ES" w:eastAsia="es-ES"/>
        </w:rPr>
        <w:t xml:space="preserve">o se harán nivelaciones con relleno fluido </w:t>
      </w:r>
      <w:r w:rsidRPr="001C4E06">
        <w:rPr>
          <w:rFonts w:ascii="Century Gothic" w:eastAsia="Times New Roman" w:hAnsi="Century Gothic"/>
          <w:sz w:val="20"/>
          <w:szCs w:val="20"/>
          <w:lang w:val="es-ES" w:eastAsia="es-ES"/>
        </w:rPr>
        <w:t xml:space="preserve">de un mínimo de 5 mm … </w:t>
      </w:r>
    </w:p>
    <w:p w14:paraId="4698C396"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6D94324C"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r w:rsidRPr="001C4E06">
        <w:rPr>
          <w:rFonts w:ascii="Century Gothic" w:eastAsia="Times New Roman" w:hAnsi="Century Gothic"/>
          <w:sz w:val="20"/>
          <w:szCs w:val="20"/>
          <w:lang w:val="es-ES" w:eastAsia="es-ES"/>
        </w:rPr>
        <w:t>“Ampliaciones de carril transmilenio y berma</w:t>
      </w:r>
    </w:p>
    <w:p w14:paraId="695A8185"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5027CB85"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w:t>
      </w:r>
    </w:p>
    <w:p w14:paraId="21B77EFE"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178F894D"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r w:rsidRPr="001C4E06">
        <w:rPr>
          <w:rFonts w:ascii="Century Gothic" w:eastAsia="Times New Roman" w:hAnsi="Century Gothic"/>
          <w:sz w:val="20"/>
          <w:szCs w:val="20"/>
          <w:lang w:val="es-ES" w:eastAsia="es-ES"/>
        </w:rPr>
        <w:t xml:space="preserve">“- </w:t>
      </w:r>
      <w:r w:rsidRPr="001C4E06">
        <w:rPr>
          <w:rFonts w:ascii="Century Gothic" w:eastAsia="Times New Roman" w:hAnsi="Century Gothic"/>
          <w:b/>
          <w:sz w:val="20"/>
          <w:szCs w:val="20"/>
          <w:lang w:val="es-ES" w:eastAsia="es-ES"/>
        </w:rPr>
        <w:t>Se colocará una cuña de contención con relleno fluido con una mayor resistencia (60 kg/cm2)</w:t>
      </w:r>
      <w:r w:rsidRPr="001C4E06">
        <w:rPr>
          <w:rFonts w:ascii="Century Gothic" w:eastAsia="Times New Roman" w:hAnsi="Century Gothic"/>
          <w:sz w:val="20"/>
          <w:szCs w:val="20"/>
          <w:lang w:val="es-ES" w:eastAsia="es-ES"/>
        </w:rPr>
        <w:t xml:space="preserve"> o se colocara un canal que permita la contención (del lado del vallado existente).</w:t>
      </w:r>
    </w:p>
    <w:p w14:paraId="78931D32"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3ED3F948"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r w:rsidRPr="001C4E06">
        <w:rPr>
          <w:rFonts w:ascii="Century Gothic" w:eastAsia="Times New Roman" w:hAnsi="Century Gothic"/>
          <w:sz w:val="20"/>
          <w:szCs w:val="20"/>
          <w:lang w:val="es-ES" w:eastAsia="es-ES"/>
        </w:rPr>
        <w:t xml:space="preserve">“- </w:t>
      </w:r>
      <w:r w:rsidRPr="001C4E06">
        <w:rPr>
          <w:rFonts w:ascii="Century Gothic" w:eastAsia="Times New Roman" w:hAnsi="Century Gothic"/>
          <w:b/>
          <w:sz w:val="20"/>
          <w:szCs w:val="20"/>
          <w:lang w:val="es-ES" w:eastAsia="es-ES"/>
        </w:rPr>
        <w:t>Se nivelará con relleno fluido</w:t>
      </w:r>
      <w:r w:rsidRPr="001C4E06">
        <w:rPr>
          <w:rFonts w:ascii="Century Gothic" w:eastAsia="Times New Roman" w:hAnsi="Century Gothic"/>
          <w:sz w:val="20"/>
          <w:szCs w:val="20"/>
          <w:lang w:val="es-ES" w:eastAsia="es-ES"/>
        </w:rPr>
        <w:t>.</w:t>
      </w:r>
    </w:p>
    <w:p w14:paraId="650F0B35"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p>
    <w:p w14:paraId="0D2DD81C" w14:textId="77777777" w:rsidR="001C4E06" w:rsidRPr="001C4E06" w:rsidRDefault="001C4E06" w:rsidP="001C4E06">
      <w:pPr>
        <w:spacing w:after="0" w:line="240" w:lineRule="auto"/>
        <w:ind w:left="851" w:right="646"/>
        <w:jc w:val="both"/>
        <w:rPr>
          <w:rFonts w:ascii="Century Gothic" w:eastAsia="Times New Roman" w:hAnsi="Century Gothic"/>
          <w:color w:val="3366FF"/>
          <w:sz w:val="20"/>
          <w:szCs w:val="20"/>
          <w:lang w:val="es-ES" w:eastAsia="es-ES"/>
        </w:rPr>
      </w:pPr>
      <w:r w:rsidRPr="001C4E06">
        <w:rPr>
          <w:rFonts w:ascii="Century Gothic" w:eastAsia="Times New Roman" w:hAnsi="Century Gothic"/>
          <w:sz w:val="20"/>
          <w:szCs w:val="20"/>
          <w:lang w:val="es-ES" w:eastAsia="es-ES"/>
        </w:rPr>
        <w:t xml:space="preserve">“(…) </w:t>
      </w:r>
    </w:p>
    <w:p w14:paraId="32C85435" w14:textId="77777777" w:rsidR="001C4E06" w:rsidRPr="001C4E06" w:rsidRDefault="001C4E06" w:rsidP="001C4E06">
      <w:pPr>
        <w:spacing w:after="0" w:line="240" w:lineRule="auto"/>
        <w:ind w:right="646"/>
        <w:jc w:val="both"/>
        <w:rPr>
          <w:rFonts w:ascii="Century Gothic" w:eastAsia="Times New Roman" w:hAnsi="Century Gothic"/>
          <w:sz w:val="20"/>
          <w:szCs w:val="20"/>
          <w:lang w:val="es-ES" w:eastAsia="es-ES"/>
        </w:rPr>
      </w:pPr>
    </w:p>
    <w:p w14:paraId="4A534B45"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 xml:space="preserve">“El IDU plantea que lo que se puede hacer es destapar por detrás del sardinel hasta encontrar la subbase existente y completar hasta la altura del bordillo </w:t>
      </w:r>
      <w:r w:rsidRPr="001C4E06">
        <w:rPr>
          <w:rFonts w:ascii="Century Gothic" w:eastAsia="Times New Roman" w:hAnsi="Century Gothic"/>
          <w:b/>
          <w:sz w:val="20"/>
          <w:szCs w:val="20"/>
          <w:lang w:val="es-ES" w:eastAsia="es-ES"/>
        </w:rPr>
        <w:t>con relleno fluido de 30 Kg/cm2</w:t>
      </w:r>
      <w:r w:rsidRPr="001C4E06">
        <w:rPr>
          <w:rFonts w:ascii="Century Gothic" w:eastAsia="Times New Roman" w:hAnsi="Century Gothic"/>
          <w:sz w:val="20"/>
          <w:szCs w:val="20"/>
          <w:lang w:val="es-ES" w:eastAsia="es-ES"/>
        </w:rPr>
        <w:t>, es decir, un hombro a continuación del bordillo. En zonas de Paraderos no se va a hacer esta cortina porque el problema se minimiza</w:t>
      </w:r>
    </w:p>
    <w:p w14:paraId="787B83FC"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3583464B"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b/>
          <w:sz w:val="20"/>
          <w:szCs w:val="20"/>
          <w:lang w:val="es-ES" w:eastAsia="es-ES"/>
        </w:rPr>
        <w:t>“La interventoría aclara que éste tratamiento se debe hacer únicamente en sitios que presenten deterioro o fracturas correspondientes a sectores que han fallado.</w:t>
      </w:r>
    </w:p>
    <w:p w14:paraId="082C8CE2"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30256137"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w:t>
      </w:r>
    </w:p>
    <w:p w14:paraId="250F4DC7"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57279A1E"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 xml:space="preserve">“CONCLUSIONES </w:t>
      </w:r>
    </w:p>
    <w:p w14:paraId="25504E09"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14CE80A5"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 xml:space="preserve">“1.- El carril de Transmilenio se va construir con el espesor de diseño 21 cm en las placas correspondientes al carril de transmilenio y los dos adyacentes de Trafico Mixto, los carriles aledaños a los carriles laterales se evaluarán posteriormente. </w:t>
      </w:r>
      <w:r w:rsidRPr="001C4E06">
        <w:rPr>
          <w:rFonts w:ascii="Century Gothic" w:eastAsia="Times New Roman" w:hAnsi="Century Gothic"/>
          <w:b/>
          <w:sz w:val="20"/>
          <w:szCs w:val="20"/>
          <w:lang w:val="es-ES" w:eastAsia="es-ES"/>
        </w:rPr>
        <w:t>Con su respectiva renivelación en relleno de fluido</w:t>
      </w:r>
      <w:r w:rsidRPr="001C4E06">
        <w:rPr>
          <w:rFonts w:ascii="Century Gothic" w:eastAsia="Times New Roman" w:hAnsi="Century Gothic"/>
          <w:sz w:val="20"/>
          <w:szCs w:val="20"/>
          <w:lang w:val="es-ES" w:eastAsia="es-ES"/>
        </w:rPr>
        <w:t xml:space="preserve"> dependiendo de los niveles del concreto rígido existente y sobreexcavación de 50 cm de ancho en los sitios de fallo con la cortina de relleno fluido desde la subbase hasta el nivel de la cara inferior del whitetopping” </w:t>
      </w:r>
      <w:r w:rsidRPr="001C4E06">
        <w:rPr>
          <w:rFonts w:ascii="Century Gothic" w:eastAsia="Times New Roman" w:hAnsi="Century Gothic" w:cs="Arial"/>
          <w:sz w:val="20"/>
          <w:szCs w:val="20"/>
          <w:lang w:val="es-ES" w:eastAsia="es-ES"/>
        </w:rPr>
        <w:t>(negrilla fuera de texto).</w:t>
      </w:r>
    </w:p>
    <w:p w14:paraId="5129F775" w14:textId="77777777" w:rsidR="001C4E06" w:rsidRPr="001C4E06" w:rsidRDefault="001C4E06" w:rsidP="001C4E06">
      <w:pPr>
        <w:spacing w:after="0" w:line="360" w:lineRule="auto"/>
        <w:jc w:val="both"/>
        <w:rPr>
          <w:rFonts w:ascii="Century Gothic" w:eastAsia="Times New Roman" w:hAnsi="Century Gothic"/>
          <w:lang w:val="es-ES" w:eastAsia="es-ES"/>
        </w:rPr>
      </w:pPr>
    </w:p>
    <w:p w14:paraId="52072236" w14:textId="77777777" w:rsidR="001C4E06" w:rsidRPr="001C4E06" w:rsidRDefault="001C4E06" w:rsidP="001C4E06">
      <w:pPr>
        <w:spacing w:after="0" w:line="360" w:lineRule="auto"/>
        <w:jc w:val="both"/>
        <w:rPr>
          <w:rFonts w:ascii="Century Gothic" w:eastAsia="Times New Roman" w:hAnsi="Century Gothic"/>
          <w:lang w:val="es-ES" w:eastAsia="es-ES"/>
        </w:rPr>
      </w:pPr>
      <w:r w:rsidRPr="001C4E06">
        <w:rPr>
          <w:rFonts w:ascii="Century Gothic" w:eastAsia="Times New Roman" w:hAnsi="Century Gothic"/>
          <w:lang w:val="es-ES" w:eastAsia="es-ES"/>
        </w:rPr>
        <w:t>Posteriormente, en el acta 005 de seguimiento al contrato de obra, firmada por representantes del IDU, de la interventoría (director y residentes) y del contratista de la obra, se dijo (se transcribe literal):</w:t>
      </w:r>
    </w:p>
    <w:p w14:paraId="76B8623B" w14:textId="77777777" w:rsidR="001C4E06" w:rsidRPr="001C4E06" w:rsidRDefault="001C4E06" w:rsidP="001C4E06">
      <w:pPr>
        <w:spacing w:after="0" w:line="240" w:lineRule="auto"/>
        <w:ind w:right="646"/>
        <w:jc w:val="both"/>
        <w:rPr>
          <w:rFonts w:ascii="Century Gothic" w:eastAsia="Times New Roman" w:hAnsi="Century Gothic"/>
          <w:sz w:val="20"/>
          <w:szCs w:val="20"/>
          <w:lang w:val="es-ES" w:eastAsia="es-ES"/>
        </w:rPr>
      </w:pPr>
    </w:p>
    <w:p w14:paraId="1A9D71DD"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b/>
          <w:sz w:val="20"/>
          <w:szCs w:val="20"/>
          <w:lang w:val="es-ES" w:eastAsia="es-ES"/>
        </w:rPr>
        <w:t>“La interventoría</w:t>
      </w:r>
      <w:r w:rsidRPr="001C4E06">
        <w:rPr>
          <w:rFonts w:ascii="Century Gothic" w:eastAsia="Times New Roman" w:hAnsi="Century Gothic"/>
          <w:sz w:val="20"/>
          <w:szCs w:val="20"/>
          <w:lang w:val="es-ES" w:eastAsia="es-ES"/>
        </w:rPr>
        <w:t xml:space="preserve"> comenta que el concepto original de curado de la fisura se hace con Asfalto 85-100 Caliente y en los sitios donde hay que quitar carpeta se utiliza mezcla asfáltica, </w:t>
      </w:r>
      <w:r w:rsidRPr="001C4E06">
        <w:rPr>
          <w:rFonts w:ascii="Century Gothic" w:eastAsia="Times New Roman" w:hAnsi="Century Gothic"/>
          <w:b/>
          <w:sz w:val="20"/>
          <w:szCs w:val="20"/>
          <w:lang w:val="es-ES" w:eastAsia="es-ES"/>
        </w:rPr>
        <w:t>informa además que en éste primer tramo todo se reniveló con relleno fluido</w:t>
      </w:r>
      <w:r w:rsidRPr="001C4E06">
        <w:rPr>
          <w:rFonts w:ascii="Century Gothic" w:eastAsia="Times New Roman" w:hAnsi="Century Gothic"/>
          <w:sz w:val="20"/>
          <w:szCs w:val="20"/>
          <w:lang w:val="es-ES" w:eastAsia="es-ES"/>
        </w:rPr>
        <w:t xml:space="preserve">, </w:t>
      </w:r>
      <w:r w:rsidRPr="001C4E06">
        <w:rPr>
          <w:rFonts w:ascii="Century Gothic" w:eastAsia="Times New Roman" w:hAnsi="Century Gothic"/>
          <w:b/>
          <w:sz w:val="20"/>
          <w:szCs w:val="20"/>
          <w:lang w:val="es-ES" w:eastAsia="es-ES"/>
        </w:rPr>
        <w:t>lo que produce un incremento no cuantificable y solicita al IDU se defina si se sigue haciendo con Asfalto o con Relleno Fluido porque el comportamiento de los dos materiales es distinto, el primero es más elástico y el segundo es mas rígido y lo preocupante es limitar el desplazamiento en las placas.</w:t>
      </w:r>
    </w:p>
    <w:p w14:paraId="2525EBA7"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3ACE1A45"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“EL IDU afirma que no importa cual de los dos se use siempre y cuando se presente confinamiento, de acuerdo con la teoría de Asocreto, que es acogida por el IDU, pero se debe definir un precio para la limpieza y el tratamiento de las fisuras. Agrega que el hecho de que el  IDU haya entregado información publicada por Asocreto y haya convocado a conferencia con ellos quiere decir que el IDU acepta y da como ciertos sus postulados.</w:t>
      </w:r>
    </w:p>
    <w:p w14:paraId="0FD2902D"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1BF1D049" w14:textId="77777777" w:rsidR="001C4E06" w:rsidRPr="001C4E06" w:rsidRDefault="001C4E06" w:rsidP="001C4E06">
      <w:pPr>
        <w:spacing w:after="0" w:line="240" w:lineRule="auto"/>
        <w:ind w:left="851" w:right="646"/>
        <w:jc w:val="both"/>
        <w:rPr>
          <w:rFonts w:ascii="Century Gothic" w:eastAsia="Times New Roman" w:hAnsi="Century Gothic"/>
          <w:b/>
          <w:sz w:val="20"/>
          <w:szCs w:val="20"/>
          <w:lang w:val="es-ES" w:eastAsia="es-ES"/>
        </w:rPr>
      </w:pPr>
      <w:r w:rsidRPr="001C4E06">
        <w:rPr>
          <w:rFonts w:ascii="Century Gothic" w:eastAsia="Times New Roman" w:hAnsi="Century Gothic"/>
          <w:b/>
          <w:sz w:val="20"/>
          <w:szCs w:val="20"/>
          <w:lang w:val="es-ES" w:eastAsia="es-ES"/>
        </w:rPr>
        <w:t xml:space="preserve">“La Interventoría sugiere hacer un estudio juicioso para sacar un estándar por metro cuadrado de dos situaciones, altamente fisurado y medianamente fisurado y solicita al IDU que por intermedio suyo se tenga un concepto por escrito de Asocreto al respecto, la Interventoría se compromete a redactarlo. </w:t>
      </w:r>
    </w:p>
    <w:p w14:paraId="26D0545E"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21415771" w14:textId="77777777" w:rsidR="001C4E06" w:rsidRPr="001C4E06" w:rsidRDefault="001C4E06" w:rsidP="001C4E06">
      <w:pPr>
        <w:spacing w:after="0" w:line="240" w:lineRule="auto"/>
        <w:ind w:left="851" w:right="646"/>
        <w:jc w:val="both"/>
        <w:rPr>
          <w:rFonts w:ascii="Century Gothic" w:eastAsia="Times New Roman" w:hAnsi="Century Gothic"/>
          <w:b/>
          <w:sz w:val="20"/>
          <w:szCs w:val="20"/>
          <w:lang w:val="es-ES" w:eastAsia="es-ES"/>
        </w:rPr>
      </w:pPr>
      <w:r w:rsidRPr="001C4E06">
        <w:rPr>
          <w:rFonts w:ascii="Century Gothic" w:eastAsia="Times New Roman" w:hAnsi="Century Gothic"/>
          <w:b/>
          <w:sz w:val="20"/>
          <w:szCs w:val="20"/>
          <w:lang w:val="es-ES" w:eastAsia="es-ES"/>
        </w:rPr>
        <w:t>“El contratista se compromete a buscar la incidencia y discutirlo con la Interventoría.</w:t>
      </w:r>
    </w:p>
    <w:p w14:paraId="62C453DA"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20D1CF2E"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w:t>
      </w:r>
    </w:p>
    <w:p w14:paraId="2C05CA4A"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752E43A9"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 xml:space="preserve">“10. PROPOSICIONES Y VARIOS </w:t>
      </w:r>
    </w:p>
    <w:p w14:paraId="0AE68EE0"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p>
    <w:p w14:paraId="4A03F12E"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 El contratista solicita se aumente la resistencia del relleno de fluido, por cuanto considera que se diseño con resistencias muy bajas y se va reventar muy rápido</w:t>
      </w:r>
      <w:r w:rsidRPr="001C4E06">
        <w:rPr>
          <w:rFonts w:ascii="Century Gothic" w:eastAsia="Times New Roman" w:hAnsi="Century Gothic"/>
          <w:b/>
          <w:sz w:val="20"/>
          <w:szCs w:val="20"/>
          <w:lang w:val="es-ES" w:eastAsia="es-ES"/>
        </w:rPr>
        <w:t>. La interventoría solicita ensayos de adherencia</w:t>
      </w:r>
      <w:r w:rsidRPr="001C4E06">
        <w:rPr>
          <w:rFonts w:ascii="Century Gothic" w:eastAsia="Times New Roman" w:hAnsi="Century Gothic"/>
          <w:sz w:val="20"/>
          <w:szCs w:val="20"/>
          <w:lang w:val="es-ES" w:eastAsia="es-ES"/>
        </w:rPr>
        <w:t xml:space="preserve"> para lo cual sugiere hacer paneles de 1m por 1m con 21 cm de espesor y colocarle relleno de espesor entre 45mm y 5 cm para después  de 7 días de fraguado pasarle una carga efectiva y tratar de levantarlo y girarlo, para ver si se fractura, se rompe, se fisura, se queda pegado. </w:t>
      </w:r>
      <w:r w:rsidRPr="001C4E06">
        <w:rPr>
          <w:rFonts w:ascii="Century Gothic" w:eastAsia="Times New Roman" w:hAnsi="Century Gothic"/>
          <w:b/>
          <w:sz w:val="20"/>
          <w:szCs w:val="20"/>
          <w:lang w:val="es-ES" w:eastAsia="es-ES"/>
        </w:rPr>
        <w:t>El contratista [se alude al de obra -Conciviles-] se compromete a realizar los ensayos</w:t>
      </w:r>
      <w:r w:rsidRPr="001C4E06">
        <w:rPr>
          <w:rFonts w:ascii="Century Gothic" w:eastAsia="Times New Roman" w:hAnsi="Century Gothic"/>
          <w:sz w:val="20"/>
          <w:szCs w:val="20"/>
          <w:lang w:val="es-ES" w:eastAsia="es-ES"/>
        </w:rPr>
        <w:t>”</w:t>
      </w:r>
      <w:r w:rsidRPr="001C4E06">
        <w:rPr>
          <w:rFonts w:ascii="Century Gothic" w:eastAsia="Times New Roman" w:hAnsi="Century Gothic" w:cs="Arial"/>
          <w:sz w:val="20"/>
          <w:szCs w:val="20"/>
          <w:lang w:val="es-ES" w:eastAsia="es-ES"/>
        </w:rPr>
        <w:t>(negrilla fuera de texto).</w:t>
      </w:r>
    </w:p>
    <w:p w14:paraId="14484855" w14:textId="77777777" w:rsidR="001C4E06" w:rsidRPr="001C4E06" w:rsidRDefault="001C4E06" w:rsidP="001C4E06">
      <w:pPr>
        <w:spacing w:after="0" w:line="360" w:lineRule="auto"/>
        <w:jc w:val="both"/>
        <w:rPr>
          <w:rFonts w:ascii="Century Gothic" w:eastAsia="Times New Roman" w:hAnsi="Century Gothic" w:cs="Arial"/>
          <w:lang w:val="es-ES" w:eastAsia="es-ES"/>
        </w:rPr>
      </w:pPr>
    </w:p>
    <w:p w14:paraId="340B9775" w14:textId="77777777" w:rsidR="001C4E06" w:rsidRPr="001C4E06" w:rsidRDefault="001C4E06" w:rsidP="001C4E06">
      <w:pPr>
        <w:spacing w:after="0" w:line="360" w:lineRule="auto"/>
        <w:jc w:val="both"/>
        <w:rPr>
          <w:rFonts w:ascii="Century Gothic" w:eastAsia="Times New Roman" w:hAnsi="Century Gothic"/>
          <w:lang w:val="es-ES" w:eastAsia="es-ES"/>
        </w:rPr>
      </w:pPr>
      <w:r w:rsidRPr="001C4E06">
        <w:rPr>
          <w:rFonts w:ascii="Century Gothic" w:eastAsia="Times New Roman" w:hAnsi="Century Gothic"/>
          <w:lang w:val="es-ES" w:eastAsia="es-ES"/>
        </w:rPr>
        <w:t xml:space="preserve">Como se ve, no era claro que el relleno fluido fuera la opción adecuada y, de hecho, la interventoría indicó que se debían hacer unos estudios en relación con las fisuras y consultar al respecto a ASOCRETO, pero ocurre que el concepto de esta asociación no era vinculante, ni exoneraba de responsabilidad al interventor, ni al contratista de la obra, ni al mismo IDU; incluso, quien debía prestar su apoyo técnico era, precisamente y conforme al contrato de interventoría 146 de 2000 y al Manual de Interventoría del IDU, el interventor contratado para tal fin, quien, de conformidad con la naturaleza y la finalidad del contrato de interventoría y con las consideraciones del contrato 146, se supone que tenía todos los conocimientos necesarios para establecer cuáles eran los mejores materiales para la ejecución de la obra.  </w:t>
      </w:r>
    </w:p>
    <w:p w14:paraId="3BBE2E48" w14:textId="77777777" w:rsidR="001C4E06" w:rsidRPr="001C4E06" w:rsidRDefault="001C4E06" w:rsidP="001C4E06">
      <w:pPr>
        <w:spacing w:after="0" w:line="360" w:lineRule="auto"/>
        <w:jc w:val="both"/>
        <w:rPr>
          <w:rFonts w:ascii="Century Gothic" w:eastAsia="Times New Roman" w:hAnsi="Century Gothic"/>
          <w:lang w:val="es-ES" w:eastAsia="es-ES"/>
        </w:rPr>
      </w:pPr>
    </w:p>
    <w:p w14:paraId="0A0264A4" w14:textId="77777777" w:rsidR="001C4E06" w:rsidRPr="001C4E06" w:rsidRDefault="001C4E06" w:rsidP="001C4E06">
      <w:pPr>
        <w:spacing w:after="0" w:line="360" w:lineRule="auto"/>
        <w:jc w:val="both"/>
        <w:rPr>
          <w:rFonts w:ascii="Century Gothic" w:eastAsia="Times New Roman" w:hAnsi="Century Gothic"/>
          <w:lang w:val="es-ES" w:eastAsia="es-ES"/>
        </w:rPr>
      </w:pPr>
      <w:r w:rsidRPr="001C4E06">
        <w:rPr>
          <w:rFonts w:ascii="Century Gothic" w:eastAsia="Times New Roman" w:hAnsi="Century Gothic"/>
          <w:lang w:val="es-ES" w:eastAsia="es-ES"/>
        </w:rPr>
        <w:t xml:space="preserve">Además, previo a utilizar relleno fluido para la renivelación, lo mínimo que debía realizar la interventoría era hacer las pruebas correspondientes, para demostrar la calidad y durabilidad del material y no esperar a que el contratista de obra las hiciera sin su participación, pues así se lo imponían sus obligaciones, en particular,  las establecidas en </w:t>
      </w:r>
      <w:r w:rsidRPr="001C4E06">
        <w:rPr>
          <w:rFonts w:ascii="Century Gothic" w:eastAsia="Times New Roman" w:hAnsi="Century Gothic"/>
          <w:lang w:val="es-ES" w:eastAsia="es-ES"/>
        </w:rPr>
        <w:lastRenderedPageBreak/>
        <w:t>numerales 1.1.7</w:t>
      </w:r>
      <w:r w:rsidRPr="001C4E06">
        <w:rPr>
          <w:rFonts w:ascii="Century Gothic" w:eastAsia="Times New Roman" w:hAnsi="Century Gothic"/>
          <w:vertAlign w:val="superscript"/>
          <w:lang w:val="es-ES" w:eastAsia="es-ES"/>
        </w:rPr>
        <w:footnoteReference w:id="43"/>
      </w:r>
      <w:r w:rsidRPr="001C4E06">
        <w:rPr>
          <w:rFonts w:ascii="Century Gothic" w:eastAsia="Times New Roman" w:hAnsi="Century Gothic"/>
          <w:lang w:val="es-ES" w:eastAsia="es-ES"/>
        </w:rPr>
        <w:t xml:space="preserve"> y 2.1.7</w:t>
      </w:r>
      <w:r w:rsidRPr="001C4E06">
        <w:rPr>
          <w:rFonts w:ascii="Century Gothic" w:eastAsia="Times New Roman" w:hAnsi="Century Gothic"/>
          <w:vertAlign w:val="superscript"/>
          <w:lang w:val="es-ES" w:eastAsia="es-ES"/>
        </w:rPr>
        <w:footnoteReference w:id="44"/>
      </w:r>
      <w:r w:rsidRPr="001C4E06">
        <w:rPr>
          <w:rFonts w:ascii="Century Gothic" w:eastAsia="Times New Roman" w:hAnsi="Century Gothic"/>
          <w:lang w:val="es-ES" w:eastAsia="es-ES"/>
        </w:rPr>
        <w:t xml:space="preserve"> del Manual de Interventoría del IDU, de las cuales se infiere que el interventor debía presentar al IDU, previa reunión con el contratista de obra, las propuestas de modificación al proyecto relacionadas con su diseño, programación u otro factor que lo afectara, dentro de lo cual necesariamente se encontraban los materiales que se requerían para la ejecución de aquélla, esto es, de la obra.  </w:t>
      </w:r>
    </w:p>
    <w:p w14:paraId="18DB8AF2" w14:textId="77777777" w:rsidR="001C4E06" w:rsidRPr="001C4E06" w:rsidRDefault="001C4E06" w:rsidP="001C4E06">
      <w:pPr>
        <w:spacing w:after="0" w:line="360" w:lineRule="auto"/>
        <w:jc w:val="both"/>
        <w:rPr>
          <w:rFonts w:ascii="Century Gothic" w:eastAsia="Times New Roman" w:hAnsi="Century Gothic" w:cs="Arial"/>
          <w:lang w:val="es-ES" w:eastAsia="es-ES"/>
        </w:rPr>
      </w:pPr>
    </w:p>
    <w:p w14:paraId="396E3590" w14:textId="77777777" w:rsidR="001C4E06" w:rsidRPr="001C4E06" w:rsidRDefault="001C4E06" w:rsidP="001C4E06">
      <w:pPr>
        <w:spacing w:after="0" w:line="360" w:lineRule="auto"/>
        <w:jc w:val="both"/>
        <w:rPr>
          <w:rFonts w:ascii="Century Gothic" w:eastAsia="Times New Roman" w:hAnsi="Century Gothic" w:cs="Arial"/>
          <w:lang w:val="es-ES" w:eastAsia="es-ES"/>
        </w:rPr>
      </w:pPr>
      <w:r w:rsidRPr="001C4E06">
        <w:rPr>
          <w:rFonts w:ascii="Century Gothic" w:eastAsia="Times New Roman" w:hAnsi="Century Gothic" w:cs="Arial"/>
          <w:lang w:val="es-ES" w:eastAsia="es-ES"/>
        </w:rPr>
        <w:t>Ahora bien, dentro del expediente se encuentran algunos estudios realizados por universidades reconocidas, en los cuales se concluyó que la utilización del relleno fluido fue la causa principal de las fallas en las obras, debido a que era un material poco resistente para renivelación y menos con la especificación de 30 kg/cm</w:t>
      </w:r>
      <w:r w:rsidRPr="001C4E06">
        <w:rPr>
          <w:rFonts w:ascii="Century Gothic" w:eastAsia="Times New Roman" w:hAnsi="Century Gothic" w:cs="Arial"/>
          <w:vertAlign w:val="superscript"/>
          <w:lang w:val="es-ES" w:eastAsia="es-ES"/>
        </w:rPr>
        <w:t>2</w:t>
      </w:r>
      <w:r w:rsidRPr="001C4E06">
        <w:rPr>
          <w:rFonts w:ascii="Century Gothic" w:eastAsia="Times New Roman" w:hAnsi="Century Gothic" w:cs="Arial"/>
          <w:lang w:val="es-ES" w:eastAsia="es-ES"/>
        </w:rPr>
        <w:t>, frente a lo cual  la parte actora manifiesta que dicho material (relleno fluido de 30 kg/cm</w:t>
      </w:r>
      <w:r w:rsidRPr="001C4E06">
        <w:rPr>
          <w:rFonts w:ascii="Century Gothic" w:eastAsia="Times New Roman" w:hAnsi="Century Gothic" w:cs="Arial"/>
          <w:vertAlign w:val="superscript"/>
          <w:lang w:val="es-ES" w:eastAsia="es-ES"/>
        </w:rPr>
        <w:t>2</w:t>
      </w:r>
      <w:r w:rsidRPr="001C4E06">
        <w:rPr>
          <w:rFonts w:ascii="Century Gothic" w:eastAsia="Times New Roman" w:hAnsi="Century Gothic" w:cs="Arial"/>
          <w:lang w:val="es-ES" w:eastAsia="es-ES"/>
        </w:rPr>
        <w:t>) fue impuesto por el IDU, lo que -aun asumiendo que esto último sea cierto-</w:t>
      </w:r>
      <w:r w:rsidRPr="001C4E06">
        <w:rPr>
          <w:rFonts w:ascii="Century Gothic" w:eastAsia="Times New Roman" w:hAnsi="Century Gothic" w:cs="Arial"/>
          <w:b/>
          <w:lang w:val="es-ES" w:eastAsia="es-ES"/>
        </w:rPr>
        <w:t xml:space="preserve"> </w:t>
      </w:r>
      <w:r w:rsidRPr="001C4E06">
        <w:rPr>
          <w:rFonts w:ascii="Century Gothic" w:eastAsia="Times New Roman" w:hAnsi="Century Gothic" w:cs="Arial"/>
          <w:lang w:val="es-ES" w:eastAsia="es-ES"/>
        </w:rPr>
        <w:t>no lo exonera de responsabilidad, ya que -como acaba de verse- el interventor debió hacer recomendaciones concretas y al menos cuestionar la utilización del relleno fluido para renivelación, máxime que no se habían hecho previamente los estudios o ensayos correspondientes.</w:t>
      </w:r>
      <w:r w:rsidRPr="001C4E06">
        <w:rPr>
          <w:rFonts w:ascii="Century Gothic" w:eastAsia="Times New Roman" w:hAnsi="Century Gothic" w:cs="Arial"/>
          <w:b/>
          <w:highlight w:val="lightGray"/>
          <w:lang w:val="es-ES" w:eastAsia="es-ES"/>
        </w:rPr>
        <w:t xml:space="preserve"> </w:t>
      </w:r>
    </w:p>
    <w:p w14:paraId="5409B25F" w14:textId="77777777" w:rsidR="001C4E06" w:rsidRPr="001C4E06" w:rsidRDefault="001C4E06" w:rsidP="001C4E06">
      <w:pPr>
        <w:spacing w:after="0" w:line="360" w:lineRule="auto"/>
        <w:jc w:val="both"/>
        <w:rPr>
          <w:rFonts w:ascii="Century Gothic" w:eastAsia="Times New Roman" w:hAnsi="Century Gothic" w:cs="Arial"/>
          <w:lang w:val="es-ES" w:eastAsia="es-ES"/>
        </w:rPr>
      </w:pPr>
    </w:p>
    <w:p w14:paraId="130CD748" w14:textId="77777777" w:rsidR="001C4E06" w:rsidRPr="001C4E06" w:rsidRDefault="001C4E06" w:rsidP="001C4E06">
      <w:pPr>
        <w:spacing w:after="0" w:line="360" w:lineRule="auto"/>
        <w:jc w:val="both"/>
        <w:rPr>
          <w:rFonts w:ascii="Century Gothic" w:eastAsia="Times New Roman" w:hAnsi="Century Gothic" w:cs="Arial"/>
          <w:lang w:val="es-ES" w:eastAsia="es-ES"/>
        </w:rPr>
      </w:pPr>
      <w:r w:rsidRPr="001C4E06">
        <w:rPr>
          <w:rFonts w:ascii="Century Gothic" w:eastAsia="Times New Roman" w:hAnsi="Century Gothic" w:cs="Arial"/>
          <w:lang w:val="es-ES" w:eastAsia="es-ES"/>
        </w:rPr>
        <w:t>Precisamente, sobre el comportamiento del relleno fluido, la investigación realizada por la Universidad Nacional de Colombia</w:t>
      </w:r>
      <w:r w:rsidRPr="001C4E06">
        <w:rPr>
          <w:rFonts w:ascii="Century Gothic" w:eastAsia="Times New Roman" w:hAnsi="Century Gothic" w:cs="Arial"/>
          <w:vertAlign w:val="superscript"/>
          <w:lang w:val="es-ES" w:eastAsia="es-ES"/>
        </w:rPr>
        <w:footnoteReference w:id="45"/>
      </w:r>
      <w:r w:rsidRPr="001C4E06">
        <w:rPr>
          <w:rFonts w:ascii="Century Gothic" w:eastAsia="Times New Roman" w:hAnsi="Century Gothic" w:cs="Arial"/>
          <w:lang w:val="es-ES" w:eastAsia="es-ES"/>
        </w:rPr>
        <w:t xml:space="preserve"> determinó </w:t>
      </w:r>
      <w:r w:rsidRPr="001C4E06">
        <w:rPr>
          <w:rFonts w:ascii="Century Gothic" w:eastAsia="Times New Roman" w:hAnsi="Century Gothic"/>
          <w:lang w:val="es-ES" w:eastAsia="es-ES"/>
        </w:rPr>
        <w:t>(se transcribe literal):</w:t>
      </w:r>
      <w:r w:rsidRPr="001C4E06">
        <w:rPr>
          <w:rFonts w:ascii="Century Gothic" w:eastAsia="Times New Roman" w:hAnsi="Century Gothic" w:cs="Arial"/>
          <w:lang w:val="es-ES" w:eastAsia="es-ES"/>
        </w:rPr>
        <w:t xml:space="preserve"> </w:t>
      </w:r>
    </w:p>
    <w:p w14:paraId="6EABA6CA" w14:textId="77777777" w:rsidR="001C4E06" w:rsidRPr="001C4E06" w:rsidRDefault="001C4E06" w:rsidP="001C4E06">
      <w:pPr>
        <w:spacing w:after="0" w:line="360" w:lineRule="auto"/>
        <w:jc w:val="both"/>
        <w:rPr>
          <w:rFonts w:ascii="Century Gothic" w:eastAsia="Times New Roman" w:hAnsi="Century Gothic" w:cs="Arial"/>
          <w:lang w:val="es-ES" w:eastAsia="es-ES"/>
        </w:rPr>
      </w:pPr>
    </w:p>
    <w:p w14:paraId="4A2A9815" w14:textId="77777777" w:rsidR="001C4E06" w:rsidRPr="001C4E06" w:rsidRDefault="001C4E06" w:rsidP="001C4E06">
      <w:pPr>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 El relleno fluido colocado en la Autopista Norte, con resistencias nominales de 30Kg/cm</w:t>
      </w:r>
      <w:r w:rsidRPr="001C4E06">
        <w:rPr>
          <w:rFonts w:ascii="Century Gothic" w:eastAsia="Times New Roman" w:hAnsi="Century Gothic" w:cs="Arial"/>
          <w:sz w:val="20"/>
          <w:szCs w:val="20"/>
          <w:vertAlign w:val="superscript"/>
          <w:lang w:val="es-ES" w:eastAsia="es-ES"/>
        </w:rPr>
        <w:t>2</w:t>
      </w:r>
      <w:r w:rsidRPr="001C4E06">
        <w:rPr>
          <w:rFonts w:ascii="Century Gothic" w:eastAsia="Times New Roman" w:hAnsi="Century Gothic" w:cs="Arial"/>
          <w:sz w:val="20"/>
          <w:szCs w:val="20"/>
          <w:lang w:val="es-ES" w:eastAsia="es-ES"/>
        </w:rPr>
        <w:t xml:space="preserve"> y 60Kg/cm</w:t>
      </w:r>
      <w:r w:rsidRPr="001C4E06">
        <w:rPr>
          <w:rFonts w:ascii="Century Gothic" w:eastAsia="Times New Roman" w:hAnsi="Century Gothic" w:cs="Arial"/>
          <w:sz w:val="20"/>
          <w:szCs w:val="20"/>
          <w:vertAlign w:val="superscript"/>
          <w:lang w:val="es-ES" w:eastAsia="es-ES"/>
        </w:rPr>
        <w:t>2</w:t>
      </w:r>
      <w:r w:rsidRPr="001C4E06">
        <w:rPr>
          <w:rFonts w:ascii="Century Gothic" w:eastAsia="Times New Roman" w:hAnsi="Century Gothic" w:cs="Arial"/>
          <w:sz w:val="20"/>
          <w:szCs w:val="20"/>
          <w:lang w:val="es-ES" w:eastAsia="es-ES"/>
        </w:rPr>
        <w:t>, es un material susceptible a la erosión. Este material es incapaz de resistir las fuerzas abrasivas que se presentan en la interfase entre la losa de concreto rígido y una base no adherida, como es el caso del relleno fluido.</w:t>
      </w:r>
    </w:p>
    <w:p w14:paraId="5F192B7A" w14:textId="77777777" w:rsidR="001C4E06" w:rsidRPr="001C4E06" w:rsidRDefault="001C4E06" w:rsidP="001C4E06">
      <w:pPr>
        <w:spacing w:after="0" w:line="240" w:lineRule="auto"/>
        <w:ind w:right="646"/>
        <w:jc w:val="both"/>
        <w:rPr>
          <w:rFonts w:ascii="Century Gothic" w:eastAsia="Times New Roman" w:hAnsi="Century Gothic" w:cs="Arial"/>
          <w:sz w:val="20"/>
          <w:szCs w:val="20"/>
          <w:lang w:val="es-ES" w:eastAsia="es-ES"/>
        </w:rPr>
      </w:pPr>
    </w:p>
    <w:p w14:paraId="63A5DCF5" w14:textId="77777777" w:rsidR="001C4E06" w:rsidRPr="001C4E06" w:rsidRDefault="001C4E06" w:rsidP="001C4E06">
      <w:pPr>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w:t>
      </w:r>
    </w:p>
    <w:p w14:paraId="6D1A8396" w14:textId="77777777" w:rsidR="001C4E06" w:rsidRPr="001C4E06" w:rsidRDefault="001C4E06" w:rsidP="001C4E06">
      <w:pPr>
        <w:spacing w:after="0" w:line="240" w:lineRule="auto"/>
        <w:ind w:left="851" w:right="646"/>
        <w:jc w:val="both"/>
        <w:rPr>
          <w:rFonts w:ascii="Century Gothic" w:eastAsia="Times New Roman" w:hAnsi="Century Gothic" w:cs="Arial"/>
          <w:sz w:val="20"/>
          <w:szCs w:val="20"/>
          <w:lang w:val="es-ES" w:eastAsia="es-ES"/>
        </w:rPr>
      </w:pPr>
    </w:p>
    <w:p w14:paraId="2D36F081" w14:textId="77777777" w:rsidR="001C4E06" w:rsidRPr="001C4E06" w:rsidRDefault="001C4E06" w:rsidP="001C4E06">
      <w:pPr>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 xml:space="preserve">“Tal como lo afirmó el ingeniero Dan Zallínger durante su visita a Colombia, las fallas presentadas en la Autopista Norte son fallas típicas de pérdida de soporte de la losa debido a la degradación de la capa de relleno fluido. Esta degradación del relleno fluido se produce debido a la baja resistencia a la erosión que presenta </w:t>
      </w:r>
      <w:r w:rsidRPr="001C4E06">
        <w:rPr>
          <w:rFonts w:ascii="Century Gothic" w:eastAsia="Times New Roman" w:hAnsi="Century Gothic" w:cs="Arial"/>
          <w:sz w:val="20"/>
          <w:szCs w:val="20"/>
          <w:lang w:val="es-ES" w:eastAsia="es-ES"/>
        </w:rPr>
        <w:lastRenderedPageBreak/>
        <w:t xml:space="preserve">el relleno fluido. </w:t>
      </w:r>
      <w:r w:rsidRPr="001C4E06">
        <w:rPr>
          <w:rFonts w:ascii="Century Gothic" w:eastAsia="Times New Roman" w:hAnsi="Century Gothic" w:cs="Arial"/>
          <w:b/>
          <w:sz w:val="20"/>
          <w:szCs w:val="20"/>
          <w:lang w:val="es-ES" w:eastAsia="es-ES"/>
        </w:rPr>
        <w:t>Se comprobó mediante ensayos de laboratorio que el material no soporta la acción de las fuerzas erosivas, aún en estado seco.</w:t>
      </w:r>
    </w:p>
    <w:p w14:paraId="2FB544A1" w14:textId="77777777" w:rsidR="001C4E06" w:rsidRPr="001C4E06" w:rsidRDefault="001C4E06" w:rsidP="001C4E06">
      <w:pPr>
        <w:spacing w:after="0" w:line="240" w:lineRule="auto"/>
        <w:ind w:right="646"/>
        <w:jc w:val="both"/>
        <w:rPr>
          <w:rFonts w:ascii="Century Gothic" w:eastAsia="Times New Roman" w:hAnsi="Century Gothic" w:cs="Arial"/>
          <w:sz w:val="20"/>
          <w:szCs w:val="20"/>
          <w:lang w:val="es-ES" w:eastAsia="es-ES"/>
        </w:rPr>
      </w:pPr>
    </w:p>
    <w:p w14:paraId="58169E11" w14:textId="77777777" w:rsidR="001C4E06" w:rsidRPr="001C4E06" w:rsidRDefault="001C4E06" w:rsidP="001C4E06">
      <w:pPr>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 xml:space="preserve">“La susceptibilidad a la erosión del relleno fluido ante la acción de un flujo de agua fue estudiada por la Universidad de los Andes en el año 2001, ante las primeras apariciones de daños en la Autopista Norte. Durante el presente estudio se comprobó la susceptibilidad del relleno fluido ante este tipo de solicitaciones. Pero, además se pudo establecer que el relleno fluido tampoco resiste la acción abrasiva de una superficie de concreto deslizándose sobre este material, sin la presencia de una lámina de agua en la interfase. </w:t>
      </w:r>
    </w:p>
    <w:p w14:paraId="76BADA40" w14:textId="77777777" w:rsidR="001C4E06" w:rsidRPr="001C4E06" w:rsidRDefault="001C4E06" w:rsidP="001C4E06">
      <w:pPr>
        <w:spacing w:after="0" w:line="240" w:lineRule="auto"/>
        <w:ind w:left="851" w:right="646"/>
        <w:jc w:val="both"/>
        <w:rPr>
          <w:rFonts w:ascii="Century Gothic" w:eastAsia="Times New Roman" w:hAnsi="Century Gothic" w:cs="Arial"/>
          <w:sz w:val="20"/>
          <w:szCs w:val="20"/>
          <w:lang w:val="es-ES" w:eastAsia="es-ES"/>
        </w:rPr>
      </w:pPr>
    </w:p>
    <w:p w14:paraId="7953AE8D" w14:textId="77777777" w:rsidR="001C4E06" w:rsidRPr="001C4E06" w:rsidRDefault="001C4E06" w:rsidP="001C4E06">
      <w:pPr>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“Se pudo establecer que el relleno fluido presenta una alta porosidad y que gran parte de esa porosidad ha colapsado, lo que indica que el material no tiene un comportamiento estable y que se degrada al ser solicitado por acciones ambientales, por cargas o simplemente durante el proceso de fraguado.</w:t>
      </w:r>
    </w:p>
    <w:p w14:paraId="1A5C473E" w14:textId="77777777" w:rsidR="001C4E06" w:rsidRPr="001C4E06" w:rsidRDefault="001C4E06" w:rsidP="001C4E06">
      <w:pPr>
        <w:spacing w:after="0" w:line="240" w:lineRule="auto"/>
        <w:ind w:right="646"/>
        <w:jc w:val="both"/>
        <w:rPr>
          <w:rFonts w:ascii="Century Gothic" w:eastAsia="Times New Roman" w:hAnsi="Century Gothic" w:cs="Arial"/>
          <w:sz w:val="20"/>
          <w:szCs w:val="20"/>
          <w:lang w:val="es-ES" w:eastAsia="es-ES"/>
        </w:rPr>
      </w:pPr>
    </w:p>
    <w:p w14:paraId="6125DE47" w14:textId="77777777" w:rsidR="001C4E06" w:rsidRPr="001C4E06" w:rsidRDefault="001C4E06" w:rsidP="001C4E06">
      <w:pPr>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w:t>
      </w:r>
    </w:p>
    <w:p w14:paraId="04CD31F2" w14:textId="77777777" w:rsidR="001C4E06" w:rsidRPr="001C4E06" w:rsidRDefault="001C4E06" w:rsidP="001C4E06">
      <w:pPr>
        <w:spacing w:after="0" w:line="240" w:lineRule="auto"/>
        <w:ind w:right="646"/>
        <w:jc w:val="both"/>
        <w:rPr>
          <w:rFonts w:ascii="Century Gothic" w:eastAsia="Times New Roman" w:hAnsi="Century Gothic" w:cs="Arial"/>
          <w:sz w:val="20"/>
          <w:szCs w:val="20"/>
          <w:lang w:val="es-ES" w:eastAsia="es-ES"/>
        </w:rPr>
      </w:pPr>
    </w:p>
    <w:p w14:paraId="4F01D6D2" w14:textId="77777777" w:rsidR="001C4E06" w:rsidRPr="001C4E06" w:rsidRDefault="001C4E06" w:rsidP="001C4E06">
      <w:pPr>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“Se confirma que el relleno fluido de 30Kg/cm</w:t>
      </w:r>
      <w:r w:rsidRPr="001C4E06">
        <w:rPr>
          <w:rFonts w:ascii="Century Gothic" w:eastAsia="Times New Roman" w:hAnsi="Century Gothic" w:cs="Arial"/>
          <w:sz w:val="20"/>
          <w:szCs w:val="20"/>
          <w:vertAlign w:val="superscript"/>
          <w:lang w:val="es-ES" w:eastAsia="es-ES"/>
        </w:rPr>
        <w:t>2</w:t>
      </w:r>
      <w:r w:rsidRPr="001C4E06">
        <w:rPr>
          <w:rFonts w:ascii="Century Gothic" w:eastAsia="Times New Roman" w:hAnsi="Century Gothic" w:cs="Arial"/>
          <w:sz w:val="20"/>
          <w:szCs w:val="20"/>
          <w:lang w:val="es-ES" w:eastAsia="es-ES"/>
        </w:rPr>
        <w:t xml:space="preserve"> y de 60 kg/cm</w:t>
      </w:r>
      <w:r w:rsidRPr="001C4E06">
        <w:rPr>
          <w:rFonts w:ascii="Century Gothic" w:eastAsia="Times New Roman" w:hAnsi="Century Gothic" w:cs="Arial"/>
          <w:sz w:val="20"/>
          <w:szCs w:val="20"/>
          <w:vertAlign w:val="superscript"/>
          <w:lang w:val="es-ES" w:eastAsia="es-ES"/>
        </w:rPr>
        <w:t>2</w:t>
      </w:r>
      <w:r w:rsidRPr="001C4E06">
        <w:rPr>
          <w:rFonts w:ascii="Century Gothic" w:eastAsia="Times New Roman" w:hAnsi="Century Gothic" w:cs="Arial"/>
          <w:sz w:val="20"/>
          <w:szCs w:val="20"/>
          <w:lang w:val="es-ES" w:eastAsia="es-ES"/>
        </w:rPr>
        <w:t xml:space="preserve"> no es un material apto para ser utilizado como base para pavimentos rígidos sometidos a altas cargas de transito” (negrilla fuera de texto).</w:t>
      </w:r>
    </w:p>
    <w:p w14:paraId="149B2230" w14:textId="77777777" w:rsidR="001C4E06" w:rsidRPr="001C4E06" w:rsidRDefault="001C4E06" w:rsidP="001C4E06">
      <w:pPr>
        <w:spacing w:after="0" w:line="360" w:lineRule="auto"/>
        <w:jc w:val="both"/>
        <w:rPr>
          <w:rFonts w:ascii="Century Gothic" w:eastAsia="Times New Roman" w:hAnsi="Century Gothic" w:cs="Arial"/>
          <w:b/>
          <w:lang w:val="es-ES" w:eastAsia="es-ES"/>
        </w:rPr>
      </w:pPr>
    </w:p>
    <w:p w14:paraId="1E7B547F" w14:textId="77777777" w:rsidR="001C4E06" w:rsidRPr="001C4E06" w:rsidRDefault="001C4E06" w:rsidP="001C4E06">
      <w:pPr>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 xml:space="preserve">El interventor se pudo oponer a la utilización de dicho relleno y realizar las salvedades correspondientes, pero, al admitir -no oponiendose- la utilización del relleno fluido de </w:t>
      </w:r>
      <w:r w:rsidRPr="001C4E06">
        <w:rPr>
          <w:rFonts w:ascii="Century Gothic" w:eastAsia="Times New Roman" w:hAnsi="Century Gothic" w:cs="Arial"/>
          <w:lang w:val="es-ES" w:eastAsia="es-ES"/>
        </w:rPr>
        <w:t>30Kg/cm</w:t>
      </w:r>
      <w:r w:rsidRPr="001C4E06">
        <w:rPr>
          <w:rFonts w:ascii="Century Gothic" w:eastAsia="Times New Roman" w:hAnsi="Century Gothic" w:cs="Arial"/>
          <w:vertAlign w:val="superscript"/>
          <w:lang w:val="es-ES" w:eastAsia="es-ES"/>
        </w:rPr>
        <w:t>2</w:t>
      </w:r>
      <w:r w:rsidRPr="001C4E06">
        <w:rPr>
          <w:rFonts w:ascii="Century Gothic" w:eastAsia="Times New Roman" w:hAnsi="Century Gothic"/>
          <w:lang w:eastAsia="es-ES"/>
        </w:rPr>
        <w:t>, asumió la responsabilidad correspondiente.</w:t>
      </w:r>
    </w:p>
    <w:p w14:paraId="7C65436E" w14:textId="77777777" w:rsidR="001C4E06" w:rsidRPr="001C4E06" w:rsidRDefault="001C4E06" w:rsidP="001C4E06">
      <w:pPr>
        <w:spacing w:after="0" w:line="360" w:lineRule="auto"/>
        <w:jc w:val="both"/>
        <w:rPr>
          <w:rFonts w:ascii="Century Gothic" w:eastAsia="Times New Roman" w:hAnsi="Century Gothic"/>
          <w:b/>
          <w:lang w:eastAsia="es-ES"/>
        </w:rPr>
      </w:pPr>
    </w:p>
    <w:p w14:paraId="53D8D51C" w14:textId="77777777" w:rsidR="001C4E06" w:rsidRPr="001C4E06" w:rsidRDefault="001C4E06" w:rsidP="001C4E06">
      <w:pPr>
        <w:spacing w:after="0" w:line="360" w:lineRule="auto"/>
        <w:jc w:val="both"/>
        <w:rPr>
          <w:rFonts w:ascii="Century Gothic" w:eastAsia="Times New Roman" w:hAnsi="Century Gothic"/>
          <w:lang w:val="es-ES" w:eastAsia="es-ES"/>
        </w:rPr>
      </w:pPr>
      <w:r w:rsidRPr="001C4E06">
        <w:rPr>
          <w:rFonts w:ascii="Century Gothic" w:eastAsia="Times New Roman" w:hAnsi="Century Gothic"/>
          <w:lang w:val="es-ES" w:eastAsia="es-ES"/>
        </w:rPr>
        <w:t>Al respecto, el informe final o concepto técnico de la Universidad Nacional de Colombia</w:t>
      </w:r>
      <w:r w:rsidRPr="001C4E06">
        <w:rPr>
          <w:rFonts w:ascii="Century Gothic" w:eastAsia="Times New Roman" w:hAnsi="Century Gothic"/>
          <w:vertAlign w:val="superscript"/>
          <w:lang w:val="es-ES" w:eastAsia="es-ES"/>
        </w:rPr>
        <w:footnoteReference w:id="46"/>
      </w:r>
      <w:r w:rsidRPr="001C4E06">
        <w:rPr>
          <w:rFonts w:ascii="Century Gothic" w:eastAsia="Times New Roman" w:hAnsi="Century Gothic"/>
          <w:lang w:val="es-ES" w:eastAsia="es-ES"/>
        </w:rPr>
        <w:t xml:space="preserve"> concluyó (se transcribe literal):</w:t>
      </w:r>
    </w:p>
    <w:p w14:paraId="407480A4" w14:textId="77777777" w:rsidR="001C4E06" w:rsidRPr="001C4E06" w:rsidRDefault="001C4E06" w:rsidP="001C4E06">
      <w:pPr>
        <w:spacing w:after="0" w:line="360" w:lineRule="auto"/>
        <w:jc w:val="both"/>
        <w:rPr>
          <w:rFonts w:ascii="Century Gothic" w:eastAsia="Times New Roman" w:hAnsi="Century Gothic"/>
          <w:lang w:val="es-ES" w:eastAsia="es-ES"/>
        </w:rPr>
      </w:pPr>
    </w:p>
    <w:p w14:paraId="5077FBE1"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“7. La concepción del diseño desarrollado por SDG [</w:t>
      </w:r>
      <w:r w:rsidRPr="001C4E06">
        <w:rPr>
          <w:rFonts w:ascii="Century Gothic" w:eastAsia="Times New Roman" w:hAnsi="Century Gothic" w:cs="Tahoma"/>
          <w:i/>
          <w:sz w:val="20"/>
          <w:szCs w:val="20"/>
          <w:lang w:val="es-ES" w:eastAsia="es-ES"/>
        </w:rPr>
        <w:t>Steer Davies &amp; Gleave]</w:t>
      </w:r>
      <w:r w:rsidRPr="001C4E06">
        <w:rPr>
          <w:rFonts w:ascii="Century Gothic" w:eastAsia="Times New Roman" w:hAnsi="Century Gothic"/>
          <w:sz w:val="20"/>
          <w:szCs w:val="20"/>
          <w:lang w:val="es-ES" w:eastAsia="es-ES"/>
        </w:rPr>
        <w:t xml:space="preserve"> fue totalmente vulnerado al recomendar el relleno fluido en reemplazo de la base asfáltica. Tal vez, este sea el factor más determinante para el comportamiento manifestado por el pavimento de la Autopista Norte. </w:t>
      </w:r>
    </w:p>
    <w:p w14:paraId="2606BA96"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w:t>
      </w:r>
    </w:p>
    <w:p w14:paraId="6B30C9C8" w14:textId="77777777" w:rsidR="001C4E06" w:rsidRPr="001C4E06" w:rsidRDefault="001C4E06" w:rsidP="001C4E06">
      <w:pPr>
        <w:spacing w:after="0" w:line="240" w:lineRule="auto"/>
        <w:ind w:right="646"/>
        <w:jc w:val="both"/>
        <w:rPr>
          <w:rFonts w:ascii="Century Gothic" w:eastAsia="Times New Roman" w:hAnsi="Century Gothic"/>
          <w:sz w:val="20"/>
          <w:szCs w:val="20"/>
          <w:lang w:val="es-ES" w:eastAsia="es-ES"/>
        </w:rPr>
      </w:pPr>
    </w:p>
    <w:p w14:paraId="49B9EDD3" w14:textId="77777777" w:rsidR="001C4E06" w:rsidRPr="001C4E06" w:rsidRDefault="001C4E06" w:rsidP="001C4E06">
      <w:pPr>
        <w:spacing w:after="0" w:line="240" w:lineRule="auto"/>
        <w:ind w:left="851" w:right="646"/>
        <w:jc w:val="both"/>
        <w:rPr>
          <w:rFonts w:ascii="Century Gothic" w:eastAsia="Times New Roman" w:hAnsi="Century Gothic"/>
          <w:sz w:val="20"/>
          <w:szCs w:val="20"/>
          <w:lang w:val="es-ES" w:eastAsia="es-ES"/>
        </w:rPr>
      </w:pPr>
      <w:r w:rsidRPr="001C4E06">
        <w:rPr>
          <w:rFonts w:ascii="Century Gothic" w:eastAsia="Times New Roman" w:hAnsi="Century Gothic"/>
          <w:sz w:val="20"/>
          <w:szCs w:val="20"/>
          <w:lang w:val="es-ES" w:eastAsia="es-ES"/>
        </w:rPr>
        <w:t>“29. Para la Universidad Nacional de Colombia es importante establecer que la mayor responsabilidad de los daños presentados en la Autopista Norte son directamente imputables a quién autorizó el cambio del material base en concreto asfaltico por el relleno de fluido”.</w:t>
      </w:r>
    </w:p>
    <w:p w14:paraId="7CE58E57" w14:textId="77777777" w:rsidR="001C4E06" w:rsidRPr="001C4E06" w:rsidRDefault="001C4E06" w:rsidP="001C4E06">
      <w:pPr>
        <w:spacing w:after="0" w:line="360" w:lineRule="auto"/>
        <w:jc w:val="both"/>
        <w:rPr>
          <w:rFonts w:ascii="Century Gothic" w:eastAsia="Times New Roman" w:hAnsi="Century Gothic"/>
          <w:b/>
          <w:color w:val="3366FF"/>
          <w:lang w:eastAsia="es-ES"/>
        </w:rPr>
      </w:pPr>
    </w:p>
    <w:p w14:paraId="0D92A5E1" w14:textId="77777777" w:rsidR="001C4E06" w:rsidRPr="001C4E06" w:rsidRDefault="001C4E06" w:rsidP="001C4E06">
      <w:pPr>
        <w:spacing w:after="0" w:line="360" w:lineRule="auto"/>
        <w:jc w:val="both"/>
        <w:rPr>
          <w:rFonts w:ascii="Century Gothic" w:eastAsia="Times New Roman" w:hAnsi="Century Gothic"/>
          <w:b/>
          <w:highlight w:val="lightGray"/>
          <w:lang w:eastAsia="es-ES"/>
        </w:rPr>
      </w:pPr>
      <w:r w:rsidRPr="001C4E06">
        <w:rPr>
          <w:rFonts w:ascii="Century Gothic" w:eastAsia="Times New Roman" w:hAnsi="Century Gothic"/>
          <w:lang w:eastAsia="es-ES"/>
        </w:rPr>
        <w:t>Así las cosas, no observa la Sala que se haya dado la alegada violación del artículo 209 de la Constitución Política de Colombia y la supuesta actuación alejada de los fines de la contratación estatal por parte del IDU con la expedición de los actos demandados, máxime que no se acreditó actuación irregular alguna de los funcionarios del lDU que llevó a reemplazar para la renivelación la base asfáltica por el relleno fluido y, en cambio, sí está probado que el interventor no cumplió con la totalidad de sus obligaciones,</w:t>
      </w:r>
      <w:r w:rsidRPr="001C4E06">
        <w:rPr>
          <w:rFonts w:ascii="Century Gothic" w:eastAsia="Times New Roman" w:hAnsi="Century Gothic"/>
          <w:b/>
          <w:lang w:eastAsia="es-ES"/>
        </w:rPr>
        <w:t xml:space="preserve"> </w:t>
      </w:r>
      <w:r w:rsidRPr="001C4E06">
        <w:rPr>
          <w:rFonts w:ascii="Century Gothic" w:eastAsia="Times New Roman" w:hAnsi="Century Gothic"/>
          <w:lang w:eastAsia="es-ES"/>
        </w:rPr>
        <w:t xml:space="preserve">al consentir sin estudios técnicos previos y no objetar o cuestionar, al menos, la utilización del relleno fluido </w:t>
      </w:r>
      <w:r w:rsidRPr="001C4E06">
        <w:rPr>
          <w:rFonts w:ascii="Century Gothic" w:eastAsia="Times New Roman" w:hAnsi="Century Gothic" w:cs="Arial"/>
          <w:lang w:val="es-ES" w:eastAsia="es-ES"/>
        </w:rPr>
        <w:t>con resistencia de 30Kg/cm</w:t>
      </w:r>
      <w:r w:rsidRPr="001C4E06">
        <w:rPr>
          <w:rFonts w:ascii="Century Gothic" w:eastAsia="Times New Roman" w:hAnsi="Century Gothic" w:cs="Arial"/>
          <w:vertAlign w:val="superscript"/>
          <w:lang w:val="es-ES" w:eastAsia="es-ES"/>
        </w:rPr>
        <w:t>2</w:t>
      </w:r>
      <w:r w:rsidRPr="001C4E06">
        <w:rPr>
          <w:rFonts w:ascii="Century Gothic" w:eastAsia="Times New Roman" w:hAnsi="Century Gothic" w:cs="Arial"/>
          <w:lang w:val="es-ES" w:eastAsia="es-ES"/>
        </w:rPr>
        <w:t>.</w:t>
      </w:r>
      <w:r w:rsidRPr="001C4E06">
        <w:rPr>
          <w:rFonts w:ascii="Century Gothic" w:eastAsia="Times New Roman" w:hAnsi="Century Gothic"/>
          <w:lang w:eastAsia="es-ES"/>
        </w:rPr>
        <w:t xml:space="preserve">  </w:t>
      </w:r>
    </w:p>
    <w:p w14:paraId="4DF26F65" w14:textId="77777777" w:rsidR="001C4E06" w:rsidRPr="001C4E06" w:rsidRDefault="001C4E06" w:rsidP="001C4E06">
      <w:pPr>
        <w:spacing w:after="0" w:line="360" w:lineRule="auto"/>
        <w:jc w:val="both"/>
        <w:rPr>
          <w:rFonts w:ascii="Century Gothic" w:eastAsia="Times New Roman" w:hAnsi="Century Gothic"/>
          <w:b/>
          <w:highlight w:val="lightGray"/>
          <w:lang w:eastAsia="es-ES"/>
        </w:rPr>
      </w:pPr>
    </w:p>
    <w:p w14:paraId="68A85A8B" w14:textId="77777777" w:rsidR="001C4E06" w:rsidRPr="001C4E06" w:rsidRDefault="001C4E06" w:rsidP="001C4E06">
      <w:pPr>
        <w:spacing w:after="0" w:line="360" w:lineRule="auto"/>
        <w:jc w:val="both"/>
        <w:rPr>
          <w:rFonts w:ascii="Century Gothic" w:eastAsia="Times New Roman" w:hAnsi="Century Gothic"/>
          <w:lang w:val="es-ES" w:eastAsia="es-ES"/>
        </w:rPr>
      </w:pPr>
      <w:r w:rsidRPr="001C4E06">
        <w:rPr>
          <w:rFonts w:ascii="Century Gothic" w:eastAsia="Times New Roman" w:hAnsi="Century Gothic"/>
          <w:lang w:eastAsia="es-ES"/>
        </w:rPr>
        <w:t xml:space="preserve">Tampoco </w:t>
      </w:r>
      <w:r w:rsidRPr="001C4E06">
        <w:rPr>
          <w:rFonts w:ascii="Century Gothic" w:eastAsia="Times New Roman" w:hAnsi="Century Gothic"/>
          <w:lang w:val="es-ES" w:eastAsia="es-ES"/>
        </w:rPr>
        <w:t>le asiste razón a la parte demandante al manifestar que el IDU había suscrito convenios de cooperación con ASOCRETO, en virtud de los cuales se tomó la decisión, antes del inicio de la obra, de utilizar el relleno fluido, pues si bien obra en el expediente copia de algunos convenios de cooperación suscritos entre el IDU y ASOCRETO, entre los cuales se encuentran el 017 del 29 de abril de 1999</w:t>
      </w:r>
      <w:r w:rsidRPr="001C4E06">
        <w:rPr>
          <w:rFonts w:ascii="Century Gothic" w:eastAsia="Times New Roman" w:hAnsi="Century Gothic"/>
          <w:vertAlign w:val="superscript"/>
          <w:lang w:val="es-ES" w:eastAsia="es-ES"/>
        </w:rPr>
        <w:footnoteReference w:id="47"/>
      </w:r>
      <w:r w:rsidRPr="001C4E06">
        <w:rPr>
          <w:rFonts w:ascii="Century Gothic" w:eastAsia="Times New Roman" w:hAnsi="Century Gothic"/>
          <w:lang w:val="es-ES" w:eastAsia="es-ES"/>
        </w:rPr>
        <w:t xml:space="preserve"> y el 036 del 28 de julio de 2000</w:t>
      </w:r>
      <w:r w:rsidRPr="001C4E06">
        <w:rPr>
          <w:rFonts w:ascii="Century Gothic" w:eastAsia="Times New Roman" w:hAnsi="Century Gothic"/>
          <w:vertAlign w:val="superscript"/>
          <w:lang w:val="es-ES" w:eastAsia="es-ES"/>
        </w:rPr>
        <w:footnoteReference w:id="48"/>
      </w:r>
      <w:r w:rsidRPr="001C4E06">
        <w:rPr>
          <w:rFonts w:ascii="Century Gothic" w:eastAsia="Times New Roman" w:hAnsi="Century Gothic"/>
          <w:lang w:val="es-ES" w:eastAsia="es-ES"/>
        </w:rPr>
        <w:t>, éstos, por su sola existencia, no permiten concluir que la decisión de utilizar relleno fluido estuviese influenciada por razones o intereses personales de funcionarios del IDU,</w:t>
      </w:r>
      <w:r w:rsidRPr="001C4E06">
        <w:rPr>
          <w:rFonts w:ascii="Century Gothic" w:eastAsia="Times New Roman" w:hAnsi="Century Gothic"/>
          <w:b/>
          <w:lang w:val="es-ES" w:eastAsia="es-ES"/>
        </w:rPr>
        <w:t xml:space="preserve"> </w:t>
      </w:r>
      <w:r w:rsidRPr="001C4E06">
        <w:rPr>
          <w:rFonts w:ascii="Century Gothic" w:eastAsia="Times New Roman" w:hAnsi="Century Gothic"/>
          <w:lang w:val="es-ES" w:eastAsia="es-ES"/>
        </w:rPr>
        <w:t xml:space="preserve">pues tales convenios se suscribieron respectivamente, para el aseguramiento de la calidad de los pavimentos locales, dentro del programa de recuperación de la malla vial en Bogotá y para la elaboración de los estudios y diseños de andenes en concreto a construir en las localidades de la misma ciudad, bajo el programa de gestión compartida, de modo que no tienen incidencia directa en el contrato de obra IDU-403/2000 ni en el de interventoría 146 de 2000, los cuales se celebraron para la rehabilitación de las calzadas para la operación de transmilenio en la autopista norte. </w:t>
      </w:r>
    </w:p>
    <w:p w14:paraId="1DA67312" w14:textId="77777777" w:rsidR="001C4E06" w:rsidRPr="001C4E06" w:rsidRDefault="001C4E06" w:rsidP="001C4E06">
      <w:pPr>
        <w:spacing w:after="0" w:line="360" w:lineRule="auto"/>
        <w:jc w:val="both"/>
        <w:rPr>
          <w:rFonts w:ascii="Century Gothic" w:eastAsia="Times New Roman" w:hAnsi="Century Gothic"/>
          <w:lang w:val="es-ES" w:eastAsia="es-ES"/>
        </w:rPr>
      </w:pPr>
    </w:p>
    <w:p w14:paraId="15993496" w14:textId="77777777" w:rsidR="001C4E06" w:rsidRPr="001C4E06" w:rsidRDefault="001C4E06" w:rsidP="001C4E06">
      <w:pPr>
        <w:spacing w:after="0" w:line="360" w:lineRule="auto"/>
        <w:jc w:val="both"/>
        <w:rPr>
          <w:rFonts w:ascii="Century Gothic" w:eastAsia="Times New Roman" w:hAnsi="Century Gothic"/>
          <w:lang w:val="es-ES" w:eastAsia="es-ES"/>
        </w:rPr>
      </w:pPr>
      <w:r w:rsidRPr="001C4E06">
        <w:rPr>
          <w:rFonts w:ascii="Century Gothic" w:eastAsia="Times New Roman" w:hAnsi="Century Gothic"/>
          <w:lang w:val="es-ES" w:eastAsia="es-ES"/>
        </w:rPr>
        <w:t>Además, los otros convenios aportados con la demanda son, uno, del 3 de septiembre de 1998 (en la copia no está legible su número)</w:t>
      </w:r>
      <w:r w:rsidRPr="001C4E06">
        <w:rPr>
          <w:rFonts w:ascii="Century Gothic" w:eastAsia="Times New Roman" w:hAnsi="Century Gothic"/>
          <w:vertAlign w:val="superscript"/>
          <w:lang w:val="es-ES" w:eastAsia="es-ES"/>
        </w:rPr>
        <w:footnoteReference w:id="49"/>
      </w:r>
      <w:r w:rsidRPr="001C4E06">
        <w:rPr>
          <w:rFonts w:ascii="Century Gothic" w:eastAsia="Times New Roman" w:hAnsi="Century Gothic"/>
          <w:lang w:val="es-ES" w:eastAsia="es-ES"/>
        </w:rPr>
        <w:t>, cuyo objeto era igual al del 017 de 1999, destinado al aseguramiento de la calidad de los pavimentos locales, dentro del programa de recuperación de la malla vial en Bogotá y, otro, el 037 del 19 de julio de 2000</w:t>
      </w:r>
      <w:r w:rsidRPr="001C4E06">
        <w:rPr>
          <w:rFonts w:ascii="Century Gothic" w:eastAsia="Times New Roman" w:hAnsi="Century Gothic"/>
          <w:vertAlign w:val="superscript"/>
          <w:lang w:val="es-ES" w:eastAsia="es-ES"/>
        </w:rPr>
        <w:footnoteReference w:id="50"/>
      </w:r>
      <w:r w:rsidRPr="001C4E06">
        <w:rPr>
          <w:rFonts w:ascii="Century Gothic" w:eastAsia="Times New Roman" w:hAnsi="Century Gothic"/>
          <w:lang w:val="es-ES" w:eastAsia="es-ES"/>
        </w:rPr>
        <w:t>, a través del cual se buscaba la rehabilitación de la calle 85 entre carreras 11 y 15, dentro del mismo programa que buscaba recuperar la malla vial de Bogotá, nada de lo cual, como se ve, tiene relación con lo que era el objeto de los contratos para la rehabilitación de las calzadas de transmilenio en la autopista norte.</w:t>
      </w:r>
    </w:p>
    <w:p w14:paraId="31831710" w14:textId="77777777" w:rsidR="001C4E06" w:rsidRPr="001C4E06" w:rsidRDefault="001C4E06" w:rsidP="001C4E06">
      <w:pPr>
        <w:spacing w:after="0" w:line="360" w:lineRule="auto"/>
        <w:jc w:val="both"/>
        <w:rPr>
          <w:rFonts w:ascii="Century Gothic" w:eastAsia="Times New Roman" w:hAnsi="Century Gothic"/>
          <w:b/>
          <w:highlight w:val="lightGray"/>
          <w:lang w:eastAsia="es-ES"/>
        </w:rPr>
      </w:pPr>
    </w:p>
    <w:p w14:paraId="0D189FFA" w14:textId="77777777" w:rsidR="001C4E06" w:rsidRPr="001C4E06" w:rsidRDefault="001C4E06" w:rsidP="001C4E06">
      <w:pPr>
        <w:spacing w:after="0" w:line="360" w:lineRule="auto"/>
        <w:jc w:val="both"/>
        <w:rPr>
          <w:rFonts w:ascii="Century Gothic" w:eastAsia="Times New Roman" w:hAnsi="Century Gothic"/>
          <w:b/>
          <w:highlight w:val="lightGray"/>
          <w:lang w:eastAsia="es-ES"/>
        </w:rPr>
      </w:pPr>
      <w:r w:rsidRPr="001C4E06">
        <w:rPr>
          <w:rFonts w:ascii="Century Gothic" w:eastAsia="Times New Roman" w:hAnsi="Century Gothic"/>
          <w:lang w:eastAsia="es-ES"/>
        </w:rPr>
        <w:t>En consecuencia, para la Sala es claro que el IDU expidió los actos demandados haciendo uso para ello de sus facultades legales y contractuales ya mencionadas en esta providencia</w:t>
      </w:r>
      <w:r w:rsidRPr="001C4E06">
        <w:rPr>
          <w:rFonts w:ascii="Century Gothic" w:eastAsia="Times New Roman" w:hAnsi="Century Gothic"/>
          <w:vertAlign w:val="superscript"/>
          <w:lang w:eastAsia="es-ES"/>
        </w:rPr>
        <w:footnoteReference w:id="51"/>
      </w:r>
      <w:r w:rsidRPr="001C4E06">
        <w:rPr>
          <w:rFonts w:ascii="Century Gothic" w:eastAsia="Times New Roman" w:hAnsi="Century Gothic"/>
          <w:b/>
          <w:lang w:eastAsia="es-ES"/>
        </w:rPr>
        <w:t xml:space="preserve"> </w:t>
      </w:r>
      <w:r w:rsidRPr="001C4E06">
        <w:rPr>
          <w:rFonts w:ascii="Century Gothic" w:eastAsia="Times New Roman" w:hAnsi="Century Gothic"/>
          <w:lang w:eastAsia="es-ES"/>
        </w:rPr>
        <w:t>y con base en el incumplimiento de las obligaciones del inteventor, en particular, la de prestar una eficiente y oportuna asesoría al IDU y al contratista de obra frente a los materiales a utilizar.</w:t>
      </w:r>
      <w:r w:rsidRPr="001C4E06">
        <w:rPr>
          <w:rFonts w:ascii="Century Gothic" w:eastAsia="Times New Roman" w:hAnsi="Century Gothic"/>
          <w:b/>
          <w:highlight w:val="lightGray"/>
          <w:lang w:eastAsia="es-ES"/>
        </w:rPr>
        <w:t xml:space="preserve"> </w:t>
      </w:r>
    </w:p>
    <w:p w14:paraId="04BDE129" w14:textId="77777777" w:rsidR="001C4E06" w:rsidRPr="001C4E06" w:rsidRDefault="001C4E06" w:rsidP="001C4E06">
      <w:pPr>
        <w:spacing w:after="0" w:line="360" w:lineRule="auto"/>
        <w:jc w:val="both"/>
        <w:rPr>
          <w:rFonts w:ascii="Century Gothic" w:eastAsia="Times New Roman" w:hAnsi="Century Gothic"/>
          <w:lang w:eastAsia="es-ES"/>
        </w:rPr>
      </w:pPr>
    </w:p>
    <w:p w14:paraId="0373A33C" w14:textId="77777777" w:rsidR="001C4E06" w:rsidRPr="001C4E06" w:rsidRDefault="001C4E06" w:rsidP="001C4E06">
      <w:pPr>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 xml:space="preserve">Por consiguiente, el cargo que se estudia no está llamado a prosperar. </w:t>
      </w:r>
    </w:p>
    <w:p w14:paraId="0649F743" w14:textId="77777777" w:rsidR="001C4E06" w:rsidRPr="001C4E06" w:rsidRDefault="001C4E06" w:rsidP="001C4E06">
      <w:pPr>
        <w:spacing w:after="0" w:line="360" w:lineRule="auto"/>
        <w:jc w:val="both"/>
        <w:rPr>
          <w:rFonts w:ascii="Century Gothic" w:eastAsia="Times New Roman" w:hAnsi="Century Gothic"/>
          <w:b/>
          <w:lang w:eastAsia="es-ES"/>
        </w:rPr>
      </w:pPr>
    </w:p>
    <w:p w14:paraId="5E9F7D3C" w14:textId="77777777" w:rsidR="001C4E06" w:rsidRPr="001C4E06" w:rsidRDefault="001C4E06" w:rsidP="001C4E06">
      <w:pPr>
        <w:spacing w:after="0" w:line="360" w:lineRule="auto"/>
        <w:jc w:val="both"/>
        <w:rPr>
          <w:rFonts w:ascii="Century Gothic" w:eastAsia="Times New Roman" w:hAnsi="Century Gothic"/>
          <w:b/>
          <w:lang w:eastAsia="es-ES"/>
        </w:rPr>
      </w:pPr>
      <w:r w:rsidRPr="001C4E06">
        <w:rPr>
          <w:rFonts w:ascii="Century Gothic" w:eastAsia="Times New Roman" w:hAnsi="Century Gothic"/>
          <w:b/>
          <w:lang w:eastAsia="es-ES"/>
        </w:rPr>
        <w:t xml:space="preserve">3.4. Violación del artículo 84 del Código Contencioso Administrativo y del numeral 8 del artículo 24 de la Ley 80 de 1993,  por falsa motivación y desviación de poder. </w:t>
      </w:r>
    </w:p>
    <w:p w14:paraId="279453F8" w14:textId="77777777" w:rsidR="001C4E06" w:rsidRPr="001C4E06" w:rsidRDefault="001C4E06" w:rsidP="001C4E06">
      <w:pPr>
        <w:spacing w:after="0" w:line="360" w:lineRule="auto"/>
        <w:jc w:val="both"/>
        <w:rPr>
          <w:rFonts w:ascii="Century Gothic" w:eastAsia="Times New Roman" w:hAnsi="Century Gothic" w:cs="Arial"/>
          <w:lang w:val="es-ES" w:eastAsia="es-ES"/>
        </w:rPr>
      </w:pPr>
    </w:p>
    <w:p w14:paraId="00661D86" w14:textId="77777777" w:rsidR="001C4E06" w:rsidRPr="001C4E06" w:rsidRDefault="001C4E06" w:rsidP="001C4E06">
      <w:pPr>
        <w:spacing w:after="0" w:line="360" w:lineRule="auto"/>
        <w:jc w:val="both"/>
        <w:rPr>
          <w:rFonts w:ascii="Century Gothic" w:eastAsia="Times New Roman" w:hAnsi="Century Gothic" w:cs="Arial"/>
          <w:lang w:val="es-ES" w:eastAsia="es-ES"/>
        </w:rPr>
      </w:pPr>
      <w:r w:rsidRPr="001C4E06">
        <w:rPr>
          <w:rFonts w:ascii="Century Gothic" w:eastAsia="Times New Roman" w:hAnsi="Century Gothic" w:cs="Arial"/>
          <w:lang w:val="es-ES" w:eastAsia="es-ES"/>
        </w:rPr>
        <w:t xml:space="preserve">La Resolución 2000 del 22 de abril de 2005 hace en su parte considerativa un recuento detallado de los antecedentes del contrato de interventoría y de su ejecución, con miras a demostrar que existió un incumplimiento de las obligaciones del contrato por parte de la interventoría; al respecto, allí se indicó </w:t>
      </w:r>
      <w:r w:rsidRPr="001C4E06">
        <w:rPr>
          <w:rFonts w:ascii="Century Gothic" w:eastAsia="Times New Roman" w:hAnsi="Century Gothic"/>
          <w:lang w:val="es-ES" w:eastAsia="es-ES"/>
        </w:rPr>
        <w:t>(se transcribe literal):</w:t>
      </w:r>
    </w:p>
    <w:p w14:paraId="68875BA5" w14:textId="77777777" w:rsidR="001C4E06" w:rsidRPr="001C4E06" w:rsidRDefault="001C4E06" w:rsidP="001C4E06">
      <w:pPr>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“3.1.8.- Resulta claro por lo tanto, que todo interventor, debe velar por las actividades de vigilancia y control de las obligaciones  del contratista de obra, y el actuar de manera omisiva, no suministrar o exigir el acatamiento de las ordenes e instrucciones pertinentes, no exigir al contratista objeto de su intervención las medidas y actividades que se desprenden de sus obligaciones contractuales, como ocurre en el caso presente, constituyen sin lugar a dudas manifestaciones de mala calidad de sus servicios, y lo hacen incurrir en clara responsabilidad, de cara a los perjuicios sufridos por la Entidad por su falta de actividad ...</w:t>
      </w:r>
    </w:p>
    <w:p w14:paraId="2BD3AB1A" w14:textId="77777777" w:rsidR="001C4E06" w:rsidRPr="001C4E06" w:rsidRDefault="001C4E06" w:rsidP="001C4E06">
      <w:pPr>
        <w:spacing w:after="0" w:line="240" w:lineRule="auto"/>
        <w:ind w:right="646"/>
        <w:jc w:val="both"/>
        <w:rPr>
          <w:rFonts w:ascii="Century Gothic" w:eastAsia="Times New Roman" w:hAnsi="Century Gothic" w:cs="Arial"/>
          <w:sz w:val="20"/>
          <w:szCs w:val="20"/>
          <w:lang w:val="es-ES" w:eastAsia="es-ES"/>
        </w:rPr>
      </w:pPr>
    </w:p>
    <w:p w14:paraId="7257C45B" w14:textId="77777777" w:rsidR="001C4E06" w:rsidRPr="001C4E06" w:rsidRDefault="001C4E06" w:rsidP="001C4E06">
      <w:pPr>
        <w:spacing w:after="0" w:line="240" w:lineRule="auto"/>
        <w:ind w:left="851" w:right="646"/>
        <w:jc w:val="both"/>
        <w:rPr>
          <w:rFonts w:ascii="Century Gothic" w:eastAsia="Times New Roman" w:hAnsi="Century Gothic" w:cs="Arial"/>
          <w:sz w:val="20"/>
          <w:szCs w:val="20"/>
          <w:lang w:val="es-ES" w:eastAsia="es-ES"/>
        </w:rPr>
      </w:pPr>
      <w:r w:rsidRPr="001C4E06">
        <w:rPr>
          <w:rFonts w:ascii="Century Gothic" w:eastAsia="Times New Roman" w:hAnsi="Century Gothic" w:cs="Arial"/>
          <w:sz w:val="20"/>
          <w:szCs w:val="20"/>
          <w:lang w:val="es-ES" w:eastAsia="es-ES"/>
        </w:rPr>
        <w:t>“(...)</w:t>
      </w:r>
    </w:p>
    <w:p w14:paraId="2C14D4F1" w14:textId="77777777" w:rsidR="001C4E06" w:rsidRPr="001C4E06" w:rsidRDefault="001C4E06" w:rsidP="001C4E06">
      <w:pPr>
        <w:spacing w:after="0" w:line="240" w:lineRule="auto"/>
        <w:ind w:right="646"/>
        <w:jc w:val="both"/>
        <w:rPr>
          <w:rFonts w:ascii="Century Gothic" w:eastAsia="Times New Roman" w:hAnsi="Century Gothic" w:cs="Arial"/>
          <w:sz w:val="20"/>
          <w:szCs w:val="20"/>
          <w:lang w:val="es-ES" w:eastAsia="es-ES"/>
        </w:rPr>
      </w:pPr>
    </w:p>
    <w:p w14:paraId="3639DB06" w14:textId="77777777" w:rsidR="001C4E06" w:rsidRPr="001C4E06" w:rsidRDefault="001C4E06" w:rsidP="001C4E06">
      <w:pPr>
        <w:spacing w:after="0" w:line="240" w:lineRule="auto"/>
        <w:ind w:left="851" w:right="646"/>
        <w:jc w:val="both"/>
        <w:rPr>
          <w:rFonts w:ascii="Century Gothic" w:eastAsia="Times New Roman" w:hAnsi="Century Gothic"/>
          <w:lang w:eastAsia="es-ES"/>
        </w:rPr>
      </w:pPr>
      <w:r w:rsidRPr="001C4E06">
        <w:rPr>
          <w:rFonts w:ascii="Century Gothic" w:eastAsia="Times New Roman" w:hAnsi="Century Gothic" w:cs="Arial"/>
          <w:sz w:val="20"/>
          <w:szCs w:val="20"/>
          <w:lang w:val="es-ES" w:eastAsia="es-ES"/>
        </w:rPr>
        <w:t xml:space="preserve">“3.2.1.4. En la eventualidad que el servicio prestado, presente vicios por acción u omisión del interventor, la Entidad debe hacer efectiva la garantía de calidad del servicio por la ocurrencia del riego (siniestro), y el asegurador tendrá la obligación de indemnizar los perjuicios patrimoniales causados a la Entidad asegurada ...”. </w:t>
      </w:r>
    </w:p>
    <w:p w14:paraId="649434DE" w14:textId="77777777" w:rsidR="001C4E06" w:rsidRPr="001C4E06" w:rsidRDefault="001C4E06" w:rsidP="001C4E06">
      <w:pPr>
        <w:spacing w:after="0" w:line="360" w:lineRule="auto"/>
        <w:ind w:right="646"/>
        <w:jc w:val="both"/>
        <w:rPr>
          <w:rFonts w:ascii="Bookman Old Style" w:eastAsia="Times New Roman" w:hAnsi="Bookman Old Style"/>
          <w:sz w:val="24"/>
          <w:szCs w:val="24"/>
          <w:lang w:eastAsia="es-ES"/>
        </w:rPr>
      </w:pPr>
    </w:p>
    <w:p w14:paraId="24BD11A0" w14:textId="77777777" w:rsidR="001C4E06" w:rsidRPr="001C4E06" w:rsidRDefault="001C4E06" w:rsidP="001C4E06">
      <w:pPr>
        <w:spacing w:after="0" w:line="360" w:lineRule="auto"/>
        <w:jc w:val="both"/>
        <w:rPr>
          <w:rFonts w:ascii="Century Gothic" w:eastAsia="Times New Roman" w:hAnsi="Century Gothic" w:cs="Arial"/>
          <w:lang w:val="es-ES" w:eastAsia="es-ES"/>
        </w:rPr>
      </w:pPr>
      <w:r w:rsidRPr="001C4E06">
        <w:rPr>
          <w:rFonts w:ascii="Century Gothic" w:eastAsia="Times New Roman" w:hAnsi="Century Gothic"/>
          <w:lang w:eastAsia="es-ES"/>
        </w:rPr>
        <w:t xml:space="preserve">Para resolver el recurso de reposición interpuesto contra la citada Resolución 2000 de 2005 por el representante del consorcio interventor y por cada una de las sociedades que lo integran, así como por Suramericana de Seguros S.A, el </w:t>
      </w:r>
      <w:r w:rsidRPr="001C4E06">
        <w:rPr>
          <w:rFonts w:ascii="Century Gothic" w:eastAsia="Times New Roman" w:hAnsi="Century Gothic" w:cs="Arial"/>
          <w:lang w:val="es-ES" w:eastAsia="es-ES"/>
        </w:rPr>
        <w:t xml:space="preserve">IDU profirió la Resolución 6056 del 15 de septiembre de 2005, que confirmó la decisión inicial, pues, en opinión de dicha entidad, el incumplimiento del contratista estaba plenamente acreditado en la actuación administrativa llevada a cabo. </w:t>
      </w:r>
    </w:p>
    <w:p w14:paraId="0459ECF6" w14:textId="77777777" w:rsidR="001C4E06" w:rsidRPr="001C4E06" w:rsidRDefault="001C4E06" w:rsidP="001C4E06">
      <w:pPr>
        <w:spacing w:after="0" w:line="360" w:lineRule="auto"/>
        <w:jc w:val="both"/>
        <w:rPr>
          <w:rFonts w:ascii="Century Gothic" w:eastAsia="Times New Roman" w:hAnsi="Century Gothic" w:cs="Arial"/>
          <w:lang w:val="es-ES" w:eastAsia="es-ES"/>
        </w:rPr>
      </w:pPr>
    </w:p>
    <w:p w14:paraId="08E457F0" w14:textId="77777777" w:rsidR="001C4E06" w:rsidRPr="001C4E06" w:rsidRDefault="001C4E06" w:rsidP="001C4E06">
      <w:pPr>
        <w:spacing w:after="0" w:line="360" w:lineRule="auto"/>
        <w:jc w:val="both"/>
        <w:rPr>
          <w:rFonts w:ascii="Century Gothic" w:eastAsia="Times New Roman" w:hAnsi="Century Gothic" w:cs="Arial"/>
          <w:lang w:val="es-ES" w:eastAsia="es-ES"/>
        </w:rPr>
      </w:pPr>
      <w:r w:rsidRPr="001C4E06">
        <w:rPr>
          <w:rFonts w:ascii="Century Gothic" w:eastAsia="Times New Roman" w:hAnsi="Century Gothic" w:cs="Arial"/>
          <w:lang w:val="es-ES" w:eastAsia="es-ES"/>
        </w:rPr>
        <w:t>Para argumentar la falsa motivación y la desviación de poder, el recurrente reitera lo expuesto en relación con el cargo de violación del artículo 209 de la Constitución Política de Colombia a que ya se refirió la Sala, e insiste en que la utilización del relleno fluido fue decisión del IDU y de ASOCRETO.</w:t>
      </w:r>
    </w:p>
    <w:p w14:paraId="3B0E3900" w14:textId="77777777" w:rsidR="001C4E06" w:rsidRPr="001C4E06" w:rsidRDefault="001C4E06" w:rsidP="001C4E06">
      <w:pPr>
        <w:spacing w:after="0" w:line="360" w:lineRule="auto"/>
        <w:jc w:val="both"/>
        <w:rPr>
          <w:rFonts w:ascii="Century Gothic" w:eastAsia="Times New Roman" w:hAnsi="Century Gothic" w:cs="Arial"/>
          <w:lang w:val="es-ES" w:eastAsia="es-ES"/>
        </w:rPr>
      </w:pPr>
    </w:p>
    <w:p w14:paraId="2BAD924A" w14:textId="77777777" w:rsidR="001C4E06" w:rsidRPr="001C4E06" w:rsidRDefault="001C4E06" w:rsidP="001C4E06">
      <w:pPr>
        <w:spacing w:after="0" w:line="360" w:lineRule="auto"/>
        <w:jc w:val="both"/>
        <w:rPr>
          <w:rFonts w:ascii="Century Gothic" w:eastAsia="Times New Roman" w:hAnsi="Century Gothic"/>
          <w:lang w:val="es-ES" w:eastAsia="es-ES"/>
        </w:rPr>
      </w:pPr>
      <w:bookmarkStart w:id="23" w:name="_Hlk22217370"/>
      <w:r w:rsidRPr="001C4E06">
        <w:rPr>
          <w:rFonts w:ascii="Century Gothic" w:eastAsia="Times New Roman" w:hAnsi="Century Gothic" w:cs="Arial"/>
          <w:lang w:val="es-ES" w:eastAsia="es-ES"/>
        </w:rPr>
        <w:t xml:space="preserve">La </w:t>
      </w:r>
      <w:bookmarkStart w:id="24" w:name="_Hlk22217347"/>
      <w:r w:rsidRPr="001C4E06">
        <w:rPr>
          <w:rFonts w:ascii="Century Gothic" w:eastAsia="Times New Roman" w:hAnsi="Century Gothic" w:cs="Arial"/>
          <w:lang w:val="es-ES" w:eastAsia="es-ES"/>
        </w:rPr>
        <w:t>falsa motivación</w:t>
      </w:r>
      <w:bookmarkEnd w:id="24"/>
      <w:r w:rsidRPr="001C4E06">
        <w:rPr>
          <w:rFonts w:ascii="Century Gothic" w:eastAsia="Times New Roman" w:hAnsi="Century Gothic" w:cs="Arial"/>
          <w:lang w:val="es-ES" w:eastAsia="es-ES"/>
        </w:rPr>
        <w:t>, como causal de nulidad, se presenta cuando los fundamentos fácticos en que se basó la administración para tomar una decisión no existen o, de existir, fueron apreciados de manera equivocada por ésta</w:t>
      </w:r>
      <w:bookmarkEnd w:id="23"/>
      <w:r w:rsidRPr="001C4E06">
        <w:rPr>
          <w:rFonts w:ascii="Century Gothic" w:eastAsia="Times New Roman" w:hAnsi="Century Gothic" w:cs="Arial"/>
          <w:lang w:val="es-ES" w:eastAsia="es-ES"/>
        </w:rPr>
        <w:t xml:space="preserve">; al respecto, el Consejo de Estado ha manifestado </w:t>
      </w:r>
      <w:r w:rsidRPr="001C4E06">
        <w:rPr>
          <w:rFonts w:ascii="Century Gothic" w:eastAsia="Times New Roman" w:hAnsi="Century Gothic"/>
          <w:lang w:val="es-ES" w:eastAsia="es-ES"/>
        </w:rPr>
        <w:t>(se transcribe literal):</w:t>
      </w:r>
    </w:p>
    <w:p w14:paraId="3CD1D9D4" w14:textId="77777777" w:rsidR="001C4E06" w:rsidRPr="001C4E06" w:rsidRDefault="001C4E06" w:rsidP="001C4E06">
      <w:pPr>
        <w:spacing w:after="0" w:line="240" w:lineRule="auto"/>
        <w:ind w:right="737"/>
        <w:jc w:val="both"/>
        <w:rPr>
          <w:rFonts w:ascii="Century Gothic" w:eastAsia="Times New Roman" w:hAnsi="Century Gothic" w:cs="Arial"/>
          <w:sz w:val="20"/>
          <w:szCs w:val="20"/>
          <w:lang w:val="es-ES" w:eastAsia="es-ES"/>
        </w:rPr>
      </w:pPr>
    </w:p>
    <w:p w14:paraId="599E75A7" w14:textId="77777777" w:rsidR="001C4E06" w:rsidRPr="001C4E06" w:rsidRDefault="001C4E06" w:rsidP="001C4E06">
      <w:pPr>
        <w:tabs>
          <w:tab w:val="left" w:pos="426"/>
        </w:tabs>
        <w:spacing w:after="0" w:line="240" w:lineRule="auto"/>
        <w:ind w:left="851" w:right="737"/>
        <w:jc w:val="both"/>
        <w:rPr>
          <w:rFonts w:ascii="Century Gothic" w:eastAsia="Times New Roman" w:hAnsi="Century Gothic" w:cs="Arial"/>
          <w:bCs/>
          <w:sz w:val="20"/>
          <w:szCs w:val="20"/>
          <w:lang w:val="es-ES" w:eastAsia="es-ES"/>
        </w:rPr>
      </w:pPr>
      <w:r w:rsidRPr="001C4E06">
        <w:rPr>
          <w:rFonts w:ascii="Century Gothic" w:eastAsia="Times New Roman" w:hAnsi="Century Gothic" w:cs="Arial"/>
          <w:bCs/>
          <w:sz w:val="20"/>
          <w:szCs w:val="20"/>
          <w:lang w:val="es-ES" w:eastAsia="es-ES"/>
        </w:rPr>
        <w:lastRenderedPageBreak/>
        <w:t>“para que prospere la pretensión de nulidad de un acto administrativo con fundamento en la causal denominada falsa motivación es necesario que se demuestre una de dos circunstancias: a) O bien que los hechos que la Administración tuvo en cuenta como motivos determinantes de la decisión no estuvieron debidamente probados dentro de la actuación administrativa; o b) Que la Administración omitió tener en cuenta hechos que sí estaban demostrados y que si hubiesen sido considerados habrían conducido a una decisión sustancialmente diferente. Ahora bien, los hechos que fundamentan la decisión administrativa deben ser reales y la realidad, por supuesto, siempre será una sola. Por ende, cuando los hechos que tuvo en cuenta la Administración para adoptar la decisión no existieron o fueron apreciados en una dimensión equivocada, se incurre en falsa motivación porque la realidad no concuerda con el escenario fáctico que la Administración supuso que existía al tomar la decisión”</w:t>
      </w:r>
      <w:r w:rsidRPr="001C4E06">
        <w:rPr>
          <w:rFonts w:ascii="Century Gothic" w:eastAsia="Times New Roman" w:hAnsi="Century Gothic" w:cs="Arial"/>
          <w:bCs/>
          <w:vertAlign w:val="superscript"/>
          <w:lang w:val="es-ES" w:eastAsia="es-ES"/>
        </w:rPr>
        <w:t xml:space="preserve"> </w:t>
      </w:r>
      <w:r w:rsidRPr="001C4E06">
        <w:rPr>
          <w:rFonts w:ascii="Century Gothic" w:eastAsia="Times New Roman" w:hAnsi="Century Gothic" w:cs="Arial"/>
          <w:bCs/>
          <w:vertAlign w:val="superscript"/>
          <w:lang w:val="es-ES" w:eastAsia="es-ES"/>
        </w:rPr>
        <w:footnoteReference w:id="52"/>
      </w:r>
      <w:r w:rsidRPr="001C4E06">
        <w:rPr>
          <w:rFonts w:ascii="Century Gothic" w:eastAsia="Times New Roman" w:hAnsi="Century Gothic" w:cs="Arial"/>
          <w:bCs/>
          <w:lang w:val="es-ES" w:eastAsia="es-ES"/>
        </w:rPr>
        <w:t>.</w:t>
      </w:r>
      <w:r w:rsidRPr="001C4E06">
        <w:rPr>
          <w:rFonts w:ascii="Century Gothic" w:eastAsia="Times New Roman" w:hAnsi="Century Gothic" w:cs="Arial"/>
          <w:bCs/>
          <w:sz w:val="20"/>
          <w:szCs w:val="20"/>
          <w:lang w:val="es-ES" w:eastAsia="es-ES"/>
        </w:rPr>
        <w:t xml:space="preserve"> </w:t>
      </w:r>
    </w:p>
    <w:p w14:paraId="2F146721" w14:textId="77777777" w:rsidR="001C4E06" w:rsidRPr="001C4E06" w:rsidRDefault="001C4E06" w:rsidP="001C4E06">
      <w:pPr>
        <w:spacing w:after="0" w:line="360" w:lineRule="auto"/>
        <w:jc w:val="both"/>
        <w:rPr>
          <w:rFonts w:ascii="Century Gothic" w:eastAsia="Times New Roman" w:hAnsi="Century Gothic" w:cs="Arial"/>
          <w:sz w:val="20"/>
          <w:szCs w:val="20"/>
          <w:lang w:val="es-ES" w:eastAsia="es-ES"/>
        </w:rPr>
      </w:pPr>
    </w:p>
    <w:p w14:paraId="3CC52033" w14:textId="77777777" w:rsidR="001C4E06" w:rsidRPr="001C4E06" w:rsidRDefault="001C4E06" w:rsidP="001C4E06">
      <w:pPr>
        <w:spacing w:after="0" w:line="360" w:lineRule="auto"/>
        <w:ind w:left="-142" w:right="-91"/>
        <w:jc w:val="both"/>
        <w:rPr>
          <w:rFonts w:ascii="Century Gothic" w:eastAsia="Times New Roman" w:hAnsi="Century Gothic" w:cs="Arial"/>
          <w:lang w:val="es-ES" w:eastAsia="es-ES"/>
        </w:rPr>
      </w:pPr>
      <w:bookmarkStart w:id="25" w:name="_Hlk22217441"/>
      <w:r w:rsidRPr="001C4E06">
        <w:rPr>
          <w:rFonts w:ascii="Century Gothic" w:eastAsia="Times New Roman" w:hAnsi="Century Gothic" w:cs="Arial"/>
          <w:lang w:val="es-ES" w:eastAsia="es-ES"/>
        </w:rPr>
        <w:t xml:space="preserve">A su vez, la </w:t>
      </w:r>
      <w:bookmarkStart w:id="26" w:name="_Hlk22217392"/>
      <w:r w:rsidRPr="001C4E06">
        <w:rPr>
          <w:rFonts w:ascii="Century Gothic" w:eastAsia="Times New Roman" w:hAnsi="Century Gothic" w:cs="Arial"/>
          <w:lang w:val="es-ES" w:eastAsia="es-ES"/>
        </w:rPr>
        <w:t>desviación de poder</w:t>
      </w:r>
      <w:bookmarkEnd w:id="26"/>
      <w:r w:rsidRPr="001C4E06">
        <w:rPr>
          <w:rFonts w:ascii="Century Gothic" w:eastAsia="Times New Roman" w:hAnsi="Century Gothic" w:cs="Arial"/>
          <w:lang w:val="es-ES" w:eastAsia="es-ES"/>
        </w:rPr>
        <w:t xml:space="preserve">, </w:t>
      </w:r>
      <w:bookmarkStart w:id="27" w:name="_Hlk22217409"/>
      <w:r w:rsidRPr="001C4E06">
        <w:rPr>
          <w:rFonts w:ascii="Century Gothic" w:eastAsia="Times New Roman" w:hAnsi="Century Gothic" w:cs="Arial"/>
          <w:lang w:val="es-ES" w:eastAsia="es-ES"/>
        </w:rPr>
        <w:t xml:space="preserve">como causal subjetiva de nulidad </w:t>
      </w:r>
      <w:bookmarkEnd w:id="27"/>
      <w:r w:rsidRPr="001C4E06">
        <w:rPr>
          <w:rFonts w:ascii="Century Gothic" w:eastAsia="Times New Roman" w:hAnsi="Century Gothic" w:cs="Arial"/>
          <w:lang w:val="es-ES" w:eastAsia="es-ES"/>
        </w:rPr>
        <w:t>de los actos administrativos, se configura cuando la autoridad, en ejercicio de funciones administrativas que le son propias, actúa arbitrariamente en búsqueda de intereses personales o en contra de los intereses públicos y de la finalidad perseguida por el ordenamiento jurídico al atribuir la competencia administrativa para la expedición del acto objeto de control judicial, es decir, se da esta causal cuando la autoridad administrativa hace uso de una función o facultad que le es propia, pero para lograr un propósito distinto al previsto en la norma que la consagra;</w:t>
      </w:r>
      <w:bookmarkEnd w:id="25"/>
      <w:r w:rsidRPr="001C4E06">
        <w:rPr>
          <w:rFonts w:ascii="Century Gothic" w:eastAsia="Times New Roman" w:hAnsi="Century Gothic" w:cs="Arial"/>
          <w:lang w:val="es-ES" w:eastAsia="es-ES"/>
        </w:rPr>
        <w:t xml:space="preserve"> sobre el particular, el Consejo de Estado ha expresado </w:t>
      </w:r>
      <w:r w:rsidRPr="001C4E06">
        <w:rPr>
          <w:rFonts w:ascii="Century Gothic" w:eastAsia="Times New Roman" w:hAnsi="Century Gothic"/>
          <w:lang w:val="es-ES" w:eastAsia="es-ES"/>
        </w:rPr>
        <w:t>(se transcribe literal):</w:t>
      </w:r>
      <w:r w:rsidRPr="001C4E06">
        <w:rPr>
          <w:rFonts w:ascii="Century Gothic" w:eastAsia="Times New Roman" w:hAnsi="Century Gothic" w:cs="Arial"/>
          <w:lang w:val="es-ES" w:eastAsia="es-ES"/>
        </w:rPr>
        <w:t xml:space="preserve"> </w:t>
      </w:r>
    </w:p>
    <w:p w14:paraId="71711BBE" w14:textId="77777777" w:rsidR="001C4E06" w:rsidRPr="001C4E06" w:rsidRDefault="001C4E06" w:rsidP="001C4E06">
      <w:pPr>
        <w:spacing w:after="0" w:line="240" w:lineRule="auto"/>
        <w:ind w:right="737"/>
        <w:jc w:val="both"/>
        <w:rPr>
          <w:rFonts w:ascii="Century Gothic" w:eastAsia="Times New Roman" w:hAnsi="Century Gothic" w:cs="Arial"/>
          <w:sz w:val="20"/>
          <w:szCs w:val="20"/>
          <w:lang w:val="es-ES" w:eastAsia="es-ES"/>
        </w:rPr>
      </w:pPr>
    </w:p>
    <w:p w14:paraId="1B423259" w14:textId="77777777" w:rsidR="001C4E06" w:rsidRPr="001C4E06" w:rsidRDefault="001C4E06" w:rsidP="001C4E06">
      <w:pPr>
        <w:tabs>
          <w:tab w:val="left" w:pos="658"/>
        </w:tabs>
        <w:suppressAutoHyphens/>
        <w:overflowPunct w:val="0"/>
        <w:autoSpaceDE w:val="0"/>
        <w:autoSpaceDN w:val="0"/>
        <w:adjustRightInd w:val="0"/>
        <w:spacing w:after="0" w:line="240" w:lineRule="auto"/>
        <w:ind w:left="851" w:right="737"/>
        <w:jc w:val="both"/>
        <w:textAlignment w:val="baseline"/>
        <w:rPr>
          <w:rFonts w:ascii="Century Gothic" w:eastAsia="Times New Roman" w:hAnsi="Century Gothic" w:cs="Arial"/>
          <w:i/>
          <w:sz w:val="20"/>
          <w:szCs w:val="20"/>
          <w:lang w:val="es-ES" w:eastAsia="es-ES"/>
        </w:rPr>
      </w:pPr>
      <w:r w:rsidRPr="001C4E06">
        <w:rPr>
          <w:rFonts w:ascii="Century Gothic" w:eastAsia="Times New Roman" w:hAnsi="Century Gothic" w:cs="Arial"/>
          <w:i/>
          <w:sz w:val="20"/>
          <w:szCs w:val="20"/>
          <w:lang w:val="es-ES_tradnl" w:eastAsia="es-ES"/>
        </w:rPr>
        <w:t>“(…) Se tiene reconocido que la</w:t>
      </w:r>
      <w:r w:rsidRPr="001C4E06">
        <w:rPr>
          <w:rFonts w:ascii="Century Gothic" w:eastAsia="Times New Roman" w:hAnsi="Century Gothic" w:cs="Arial"/>
          <w:i/>
          <w:sz w:val="20"/>
          <w:szCs w:val="20"/>
          <w:lang w:val="es-ES" w:eastAsia="es-ES"/>
        </w:rPr>
        <w:t xml:space="preserve"> </w:t>
      </w:r>
      <w:r w:rsidRPr="001C4E06">
        <w:rPr>
          <w:rFonts w:ascii="Century Gothic" w:eastAsia="Times New Roman" w:hAnsi="Century Gothic" w:cs="Arial"/>
          <w:bCs/>
          <w:i/>
          <w:sz w:val="20"/>
          <w:szCs w:val="20"/>
          <w:lang w:val="es-ES" w:eastAsia="es-ES"/>
        </w:rPr>
        <w:t>desviación de poder</w:t>
      </w:r>
      <w:r w:rsidRPr="001C4E06">
        <w:rPr>
          <w:rFonts w:ascii="Century Gothic" w:eastAsia="Times New Roman" w:hAnsi="Century Gothic" w:cs="Arial"/>
          <w:i/>
          <w:sz w:val="20"/>
          <w:szCs w:val="20"/>
          <w:lang w:val="es-ES" w:eastAsia="es-ES"/>
        </w:rPr>
        <w:t xml:space="preserve"> tiene lugar cuando un acto administrativo que fue expedido por un órgano o autoridad competente y con las formalidades debidas, en realidad persigue fines distintos a los que le ha fijado el ordenamiento jurídico y que se presumen respecto de dicho acto.  Esta causal de nulidad se da tanto cuando se persigue un fin espurio, innoble o dañino como cuando se procura un fin altruista o benéfico para el Estado o la sociedad, pero que en todo caso es distinto del autorizado o señalado por la norma pertinente. Para su valoración es necesario tener en cuenta tanto los fines generales e implícitos en toda actuación administrativa (satisfacción del interés general, búsqueda del bien común, mejoramiento del servicio público, etc.), como el específico para cada tipo de acto administrativo, el cual se haya en la regulación de la atribución o competencia que con él se ejerce. Usualmente la desviación del fin es oculta, por cuanto se queda en la mente de quienes intervinieron en la expedición del acto, y resulta velada por la indicación expresa del fin que jurídicamente corresponde al acto, o por la presunción de éste cuando no se exterioriza, de allí que para establecerla deba auscultarse en las intimidades del acto, lo cual dificulta su verificación, sobre todo cuando la desviación es hacia intereses espurios, innobles, o mezquinos, caso en el cual, solo los autores del acto son los que saben de sus propias intenciones, lo que además de un problema de legalidad, entraña también un problema ético y puede llegar incluso al campo penal o disciplinario”</w:t>
      </w:r>
      <w:r w:rsidRPr="001C4E06">
        <w:rPr>
          <w:rFonts w:ascii="Century Gothic" w:eastAsia="Times New Roman" w:hAnsi="Century Gothic" w:cs="Arial"/>
          <w:i/>
          <w:sz w:val="20"/>
          <w:szCs w:val="20"/>
          <w:vertAlign w:val="superscript"/>
          <w:lang w:val="es-ES" w:eastAsia="es-ES"/>
        </w:rPr>
        <w:footnoteReference w:id="53"/>
      </w:r>
      <w:r w:rsidRPr="001C4E06">
        <w:rPr>
          <w:rFonts w:ascii="Century Gothic" w:eastAsia="Times New Roman" w:hAnsi="Century Gothic" w:cs="Arial"/>
          <w:i/>
          <w:sz w:val="20"/>
          <w:szCs w:val="20"/>
          <w:lang w:val="es-ES" w:eastAsia="es-ES"/>
        </w:rPr>
        <w:t>.</w:t>
      </w:r>
    </w:p>
    <w:p w14:paraId="55925094" w14:textId="77777777" w:rsidR="001C4E06" w:rsidRPr="001C4E06" w:rsidRDefault="001C4E06" w:rsidP="001C4E06">
      <w:pPr>
        <w:tabs>
          <w:tab w:val="left" w:pos="658"/>
        </w:tabs>
        <w:suppressAutoHyphens/>
        <w:overflowPunct w:val="0"/>
        <w:autoSpaceDE w:val="0"/>
        <w:autoSpaceDN w:val="0"/>
        <w:adjustRightInd w:val="0"/>
        <w:spacing w:after="0" w:line="240" w:lineRule="auto"/>
        <w:ind w:left="851" w:right="737"/>
        <w:jc w:val="both"/>
        <w:textAlignment w:val="baseline"/>
        <w:rPr>
          <w:rFonts w:ascii="Century Gothic" w:eastAsia="Times New Roman" w:hAnsi="Century Gothic" w:cs="Arial"/>
          <w:i/>
          <w:sz w:val="20"/>
          <w:szCs w:val="20"/>
          <w:lang w:val="es-ES" w:eastAsia="es-ES"/>
        </w:rPr>
      </w:pPr>
    </w:p>
    <w:p w14:paraId="692A2C35" w14:textId="77777777" w:rsidR="001C4E06" w:rsidRPr="001C4E06" w:rsidRDefault="001C4E06" w:rsidP="001C4E06">
      <w:pPr>
        <w:spacing w:after="0" w:line="360" w:lineRule="auto"/>
        <w:jc w:val="both"/>
        <w:rPr>
          <w:rFonts w:ascii="Century Gothic" w:eastAsia="Times New Roman" w:hAnsi="Century Gothic"/>
          <w:lang w:eastAsia="es-ES"/>
        </w:rPr>
      </w:pPr>
      <w:r w:rsidRPr="001C4E06">
        <w:rPr>
          <w:rFonts w:ascii="Century Gothic" w:eastAsia="Times New Roman" w:hAnsi="Century Gothic" w:cs="Arial"/>
          <w:lang w:val="es-ES" w:eastAsia="es-ES"/>
        </w:rPr>
        <w:t xml:space="preserve">Los argumentos de la parte actora frente a estas dos causales de nulidad de los actos administrativos ya fueron desvirtuados por la sala (ver numeral 3.3. de la parte motiva de </w:t>
      </w:r>
      <w:r w:rsidRPr="001C4E06">
        <w:rPr>
          <w:rFonts w:ascii="Century Gothic" w:eastAsia="Times New Roman" w:hAnsi="Century Gothic" w:cs="Arial"/>
          <w:lang w:val="es-ES" w:eastAsia="es-ES"/>
        </w:rPr>
        <w:lastRenderedPageBreak/>
        <w:t xml:space="preserve">esta sentencia), destacándose </w:t>
      </w:r>
      <w:r w:rsidRPr="001C4E06">
        <w:rPr>
          <w:rFonts w:ascii="Century Gothic" w:eastAsia="Times New Roman" w:hAnsi="Century Gothic"/>
          <w:lang w:eastAsia="es-ES"/>
        </w:rPr>
        <w:t xml:space="preserve">que la interventoría fue pasiva frente a las recomendaciones de ASOCRETO, las cuales fueron acogidas, no solamente por el IDU, sino también por el contratista de la obra y por la misma </w:t>
      </w:r>
      <w:r w:rsidRPr="001C4E06">
        <w:rPr>
          <w:rFonts w:ascii="Century Gothic" w:eastAsia="Times New Roman" w:hAnsi="Century Gothic"/>
          <w:b/>
          <w:lang w:eastAsia="es-ES"/>
        </w:rPr>
        <w:t>interventoría</w:t>
      </w:r>
      <w:r w:rsidRPr="001C4E06">
        <w:rPr>
          <w:rFonts w:ascii="Century Gothic" w:eastAsia="Times New Roman" w:hAnsi="Century Gothic"/>
          <w:lang w:eastAsia="es-ES"/>
        </w:rPr>
        <w:t xml:space="preserve">, tal como se evidencia en las actas 04 y 05 de 2000, en las que, sin reparo alguno, el representante del </w:t>
      </w:r>
      <w:r w:rsidRPr="001C4E06">
        <w:rPr>
          <w:rFonts w:ascii="Century Gothic" w:eastAsia="Times New Roman" w:hAnsi="Century Gothic"/>
          <w:lang w:val="es-ES" w:eastAsia="es-ES"/>
        </w:rPr>
        <w:t>Consorcio Integral S.A. – Silva Carreño y Asociados S.A. – Silva Fajardo y Cia. Ltda.</w:t>
      </w:r>
      <w:r w:rsidRPr="001C4E06">
        <w:rPr>
          <w:rFonts w:ascii="Century Gothic" w:eastAsia="Times New Roman" w:hAnsi="Century Gothic" w:cs="Arial"/>
          <w:lang w:val="es-ES" w:eastAsia="es-ES"/>
        </w:rPr>
        <w:t>,</w:t>
      </w:r>
      <w:r w:rsidRPr="001C4E06">
        <w:rPr>
          <w:rFonts w:ascii="Century Gothic" w:eastAsia="Times New Roman" w:hAnsi="Century Gothic"/>
          <w:lang w:eastAsia="es-ES"/>
        </w:rPr>
        <w:t xml:space="preserve"> interventor del contrato de obra, apoyó -en cuanto no se opuso a ello-</w:t>
      </w:r>
      <w:r w:rsidRPr="001C4E06">
        <w:rPr>
          <w:rFonts w:ascii="Century Gothic" w:eastAsia="Times New Roman" w:hAnsi="Century Gothic"/>
          <w:b/>
          <w:lang w:eastAsia="es-ES"/>
        </w:rPr>
        <w:t xml:space="preserve"> </w:t>
      </w:r>
      <w:r w:rsidRPr="001C4E06">
        <w:rPr>
          <w:rFonts w:ascii="Century Gothic" w:eastAsia="Times New Roman" w:hAnsi="Century Gothic"/>
          <w:lang w:eastAsia="es-ES"/>
        </w:rPr>
        <w:t xml:space="preserve">el uso del relleno fluido para la renivelación, lo cual no estaba establecido inicialmente para el contrato de obra </w:t>
      </w:r>
      <w:r w:rsidRPr="001C4E06">
        <w:rPr>
          <w:rFonts w:ascii="Century Gothic" w:eastAsia="Times New Roman" w:hAnsi="Century Gothic" w:cs="Arial"/>
          <w:lang w:val="es-ES" w:eastAsia="es-ES"/>
        </w:rPr>
        <w:t>IDU-403/2000</w:t>
      </w:r>
      <w:r w:rsidRPr="001C4E06">
        <w:rPr>
          <w:rFonts w:ascii="Century Gothic" w:eastAsia="Times New Roman" w:hAnsi="Century Gothic"/>
          <w:lang w:eastAsia="es-ES"/>
        </w:rPr>
        <w:t xml:space="preserve">, sin que se hubiesen realizado los estudios o análisis correspondientes frente a la estabilidad y durabilidad de dicho elemento, con miras a la ejecución de la obra que se llevaría cabo en la zona norte de Transmilenio, no obstante que era su obligación asesorar a la entidad contratante para la correcta ejecución del contrato de obra, de conformidad con lo convenido en la cláusula 3.1 de las condiciones generales del contrato de interventoría </w:t>
      </w:r>
      <w:r w:rsidRPr="001C4E06">
        <w:rPr>
          <w:rFonts w:ascii="Century Gothic" w:eastAsia="Times New Roman" w:hAnsi="Century Gothic" w:cs="Arial"/>
          <w:lang w:val="es-ES" w:eastAsia="es-ES"/>
        </w:rPr>
        <w:t>146 de 2000</w:t>
      </w:r>
      <w:r w:rsidRPr="001C4E06">
        <w:rPr>
          <w:rFonts w:ascii="Century Gothic" w:eastAsia="Times New Roman" w:hAnsi="Century Gothic" w:cs="Arial"/>
          <w:vertAlign w:val="superscript"/>
          <w:lang w:val="es-ES" w:eastAsia="es-ES"/>
        </w:rPr>
        <w:footnoteReference w:id="54"/>
      </w:r>
      <w:r w:rsidRPr="001C4E06">
        <w:rPr>
          <w:rFonts w:ascii="Century Gothic" w:eastAsia="Times New Roman" w:hAnsi="Century Gothic" w:cs="Arial"/>
          <w:lang w:val="es-ES" w:eastAsia="es-ES"/>
        </w:rPr>
        <w:t>.</w:t>
      </w:r>
    </w:p>
    <w:p w14:paraId="11EEE36B" w14:textId="77777777" w:rsidR="001C4E06" w:rsidRPr="001C4E06" w:rsidRDefault="001C4E06" w:rsidP="001C4E06">
      <w:pPr>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Precisamente, la interventoría debió hacer las recomendaciones, tanto al contratista como al contratante, en torno a las mejores acciones que se debían llevar a cabo para la ejecución de la obra, de conformidad con lo previsto en los numerales 1.1.3, 1.1.7, 2.1.3, 2.1.4 y 2.1.7</w:t>
      </w:r>
      <w:r w:rsidRPr="001C4E06">
        <w:rPr>
          <w:rFonts w:ascii="Century Gothic" w:eastAsia="Times New Roman" w:hAnsi="Century Gothic"/>
          <w:vertAlign w:val="superscript"/>
          <w:lang w:eastAsia="es-ES"/>
        </w:rPr>
        <w:footnoteReference w:id="55"/>
      </w:r>
      <w:r w:rsidRPr="001C4E06">
        <w:rPr>
          <w:rFonts w:ascii="Century Gothic" w:eastAsia="Times New Roman" w:hAnsi="Century Gothic"/>
          <w:lang w:eastAsia="es-ES"/>
        </w:rPr>
        <w:t xml:space="preserve"> del Manual de Interventoría del IDU, en los cuales se consagra la obligacion del interventor de estudiar toda la documentación del proyecto, con el fin de establecer criterios claros y precisos para la correcta ejecución del contrato de obra, como también presentar las modificaciones que se requieran al proyecto, frente a su diseño, programación u otro factor del mismo, lo que necesariamente tiene que ver con los materiales necesarios y adecuados para la obra. </w:t>
      </w:r>
    </w:p>
    <w:p w14:paraId="14974482" w14:textId="77777777" w:rsidR="001C4E06" w:rsidRPr="001C4E06" w:rsidRDefault="001C4E06" w:rsidP="001C4E06">
      <w:pPr>
        <w:tabs>
          <w:tab w:val="left" w:pos="7755"/>
        </w:tabs>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ab/>
      </w:r>
    </w:p>
    <w:p w14:paraId="0A2BF164" w14:textId="77777777" w:rsidR="001C4E06" w:rsidRPr="001C4E06" w:rsidRDefault="001C4E06" w:rsidP="001C4E06">
      <w:pPr>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 xml:space="preserve">Por lo tanto, si se tenían que modificar los diseños originales de la obra,  quien debía asesorar al respecto a la entidad contratante y al contratista, con todos los soportes técnicos y ensayos correspondientes, era el interventor, ya que se le contrató precisamente como experto en capacidad de acompañar el proceso contractual, para que, entre otras cosas, de presentarse dudas frente a los materiales a utilizar, fuera quien, de manera técnica y profesional, indicara cuáles eran los mejores materiales y diseños para ejecutar la obra; pero, como ya se vio, éste nunca tomó una postura concreta y técnica al respecto, razón por la cual le asiste responsabilidad por las fallas del contrato de obra, pues no ejecutó adecudamente su función de interventor, en la medida en </w:t>
      </w:r>
      <w:r w:rsidRPr="001C4E06">
        <w:rPr>
          <w:rFonts w:ascii="Century Gothic" w:eastAsia="Times New Roman" w:hAnsi="Century Gothic"/>
          <w:lang w:eastAsia="es-ES"/>
        </w:rPr>
        <w:lastRenderedPageBreak/>
        <w:t xml:space="preserve">que no realizó las pruebas necesarias al relleno fluido, ni se opuso a su utilización y,  por ende, no prestó una eficiente asesoría al IDU. </w:t>
      </w:r>
    </w:p>
    <w:p w14:paraId="52D84BB7" w14:textId="77777777" w:rsidR="001C4E06" w:rsidRPr="001C4E06" w:rsidRDefault="001C4E06" w:rsidP="001C4E06">
      <w:pPr>
        <w:spacing w:after="0" w:line="360" w:lineRule="auto"/>
        <w:jc w:val="both"/>
        <w:rPr>
          <w:rFonts w:ascii="Century Gothic" w:eastAsia="Times New Roman" w:hAnsi="Century Gothic"/>
          <w:lang w:eastAsia="es-ES"/>
        </w:rPr>
      </w:pPr>
    </w:p>
    <w:p w14:paraId="4EDD82C5" w14:textId="77777777" w:rsidR="001C4E06" w:rsidRPr="001C4E06" w:rsidRDefault="001C4E06" w:rsidP="001C4E06">
      <w:pPr>
        <w:spacing w:after="0" w:line="360" w:lineRule="auto"/>
        <w:jc w:val="both"/>
        <w:rPr>
          <w:rFonts w:ascii="Century Gothic" w:eastAsia="Times New Roman" w:hAnsi="Century Gothic"/>
          <w:lang w:val="es-ES" w:eastAsia="es-ES"/>
        </w:rPr>
      </w:pPr>
      <w:r w:rsidRPr="001C4E06">
        <w:rPr>
          <w:rFonts w:ascii="Century Gothic" w:eastAsia="Times New Roman" w:hAnsi="Century Gothic"/>
          <w:lang w:val="es-ES" w:eastAsia="es-ES"/>
        </w:rPr>
        <w:t>En consecuencia, no puede afirmar el recurrente -como lo hace en su recurso (fol. 473 del cuaderno principal)- que se realizó un control de calidad selectivo y que; “cumplió con el encargo de estudiar y revisar los Estudios y Diseños entregados por la entidad contratante a fin de determinar si presentaban algún tipo de problema constructivo o de otra índole, como se exigía en el Pedido de Propuestas Estandar(sic), así como con la evaluación de la posibles inconsistencias  y cambios que pudieran afectar los presupuestos y/o el cronograma para la ejecución del mismo”</w:t>
      </w:r>
      <w:r w:rsidRPr="001C4E06">
        <w:rPr>
          <w:rFonts w:ascii="Century Gothic" w:eastAsia="Times New Roman" w:hAnsi="Century Gothic"/>
          <w:vertAlign w:val="superscript"/>
          <w:lang w:val="es-ES" w:eastAsia="es-ES"/>
        </w:rPr>
        <w:footnoteReference w:id="56"/>
      </w:r>
      <w:r w:rsidRPr="001C4E06">
        <w:rPr>
          <w:rFonts w:ascii="Century Gothic" w:eastAsia="Times New Roman" w:hAnsi="Century Gothic"/>
          <w:lang w:val="es-ES" w:eastAsia="es-ES"/>
        </w:rPr>
        <w:t>, ya que, como se indicó no existe prueba en el proceso que demuestre que el interventor hizo las pruebas técnicas al relleno fluido y, por el contrario, se evidencia de su parte una clara omisión, al dejar su realización al contratista.</w:t>
      </w:r>
    </w:p>
    <w:p w14:paraId="22EEB0DC" w14:textId="77777777" w:rsidR="001C4E06" w:rsidRPr="001C4E06" w:rsidRDefault="001C4E06" w:rsidP="001C4E06">
      <w:pPr>
        <w:spacing w:after="0" w:line="360" w:lineRule="auto"/>
        <w:jc w:val="both"/>
        <w:rPr>
          <w:rFonts w:ascii="Century Gothic" w:eastAsia="Times New Roman" w:hAnsi="Century Gothic"/>
          <w:lang w:eastAsia="es-ES"/>
        </w:rPr>
      </w:pPr>
    </w:p>
    <w:p w14:paraId="3A03B3FA" w14:textId="77777777" w:rsidR="001C4E06" w:rsidRPr="001C4E06" w:rsidRDefault="001C4E06" w:rsidP="001C4E06">
      <w:pPr>
        <w:spacing w:after="0" w:line="360" w:lineRule="auto"/>
        <w:jc w:val="both"/>
        <w:rPr>
          <w:rFonts w:ascii="Century Gothic" w:eastAsia="Times New Roman" w:hAnsi="Century Gothic"/>
          <w:b/>
          <w:lang w:eastAsia="es-ES"/>
        </w:rPr>
      </w:pPr>
      <w:r w:rsidRPr="001C4E06">
        <w:rPr>
          <w:rFonts w:ascii="Century Gothic" w:eastAsia="Times New Roman" w:hAnsi="Century Gothic"/>
          <w:lang w:eastAsia="es-ES"/>
        </w:rPr>
        <w:t>Por otro lado, mal puede indicar el recurrente que era potestad exclusiva del IDU determinar cuál material se iba a utilizar, por cuanto quien debía asesorar al respecto al IDU era precisamente el interventor, según lo dicho en los numerales 2.1.4 y 2.1.7 del Manual de Interventoría del IDU, que establecen como obligación suya presentar al IDU las modificaciones necesarias al proyecto, cosa que, se insiste,  acá no ocurrió.</w:t>
      </w:r>
      <w:r w:rsidRPr="001C4E06">
        <w:rPr>
          <w:rFonts w:ascii="Century Gothic" w:eastAsia="Times New Roman" w:hAnsi="Century Gothic"/>
          <w:b/>
          <w:lang w:eastAsia="es-ES"/>
        </w:rPr>
        <w:t xml:space="preserve">   </w:t>
      </w:r>
    </w:p>
    <w:p w14:paraId="3B1C3F4F" w14:textId="77777777" w:rsidR="001C4E06" w:rsidRPr="001C4E06" w:rsidRDefault="001C4E06" w:rsidP="001C4E06">
      <w:pPr>
        <w:spacing w:after="0" w:line="360" w:lineRule="auto"/>
        <w:jc w:val="both"/>
        <w:rPr>
          <w:rFonts w:ascii="Century Gothic" w:eastAsia="Times New Roman" w:hAnsi="Century Gothic"/>
          <w:lang w:eastAsia="es-ES"/>
        </w:rPr>
      </w:pPr>
    </w:p>
    <w:p w14:paraId="45B58A19" w14:textId="77777777" w:rsidR="001C4E06" w:rsidRPr="001C4E06" w:rsidRDefault="001C4E06" w:rsidP="001C4E06">
      <w:pPr>
        <w:spacing w:after="0" w:line="360" w:lineRule="auto"/>
        <w:jc w:val="both"/>
        <w:rPr>
          <w:rFonts w:ascii="Century Gothic" w:eastAsia="Times New Roman" w:hAnsi="Century Gothic"/>
          <w:b/>
          <w:bCs/>
          <w:lang w:eastAsia="es-ES"/>
        </w:rPr>
      </w:pPr>
      <w:r w:rsidRPr="001C4E06">
        <w:rPr>
          <w:rFonts w:ascii="Century Gothic" w:eastAsia="Times New Roman" w:hAnsi="Century Gothic"/>
          <w:bCs/>
          <w:lang w:eastAsia="es-ES"/>
        </w:rPr>
        <w:t>Por último, tampoco existe prueba en el expediente que demuestre que la utilización del relleno fluido fue una decisión exclusiva del IDU y ASOCRETO y menos aún que ella estuvo motivada por intereses distintos a los establecidos en el ordenamiento jurídico. Lo que hay al respecto son meras afirmaciones de la parte actora, pero carentes de sustento probatorio.</w:t>
      </w:r>
      <w:r w:rsidRPr="001C4E06">
        <w:rPr>
          <w:rFonts w:ascii="Century Gothic" w:eastAsia="Times New Roman" w:hAnsi="Century Gothic"/>
          <w:b/>
          <w:bCs/>
          <w:lang w:eastAsia="es-ES"/>
        </w:rPr>
        <w:t xml:space="preserve"> </w:t>
      </w:r>
    </w:p>
    <w:p w14:paraId="607FB719" w14:textId="77777777" w:rsidR="001C4E06" w:rsidRPr="001C4E06" w:rsidRDefault="001C4E06" w:rsidP="001C4E06">
      <w:pPr>
        <w:spacing w:after="0" w:line="360" w:lineRule="auto"/>
        <w:jc w:val="both"/>
        <w:rPr>
          <w:rFonts w:ascii="Century Gothic" w:eastAsia="Times New Roman" w:hAnsi="Century Gothic"/>
          <w:b/>
          <w:bCs/>
          <w:lang w:eastAsia="es-ES"/>
        </w:rPr>
      </w:pPr>
    </w:p>
    <w:p w14:paraId="1EA02801" w14:textId="77777777" w:rsidR="001C4E06" w:rsidRPr="001C4E06" w:rsidRDefault="001C4E06" w:rsidP="001C4E06">
      <w:pPr>
        <w:spacing w:after="0" w:line="360" w:lineRule="auto"/>
        <w:jc w:val="both"/>
        <w:rPr>
          <w:rFonts w:ascii="Century Gothic" w:eastAsia="Times New Roman" w:hAnsi="Century Gothic" w:cs="Arial"/>
          <w:bCs/>
          <w:lang w:val="es-ES" w:eastAsia="es-ES"/>
        </w:rPr>
      </w:pPr>
      <w:r w:rsidRPr="001C4E06">
        <w:rPr>
          <w:rFonts w:ascii="Century Gothic" w:eastAsia="Times New Roman" w:hAnsi="Century Gothic"/>
          <w:bCs/>
          <w:lang w:eastAsia="es-ES"/>
        </w:rPr>
        <w:t xml:space="preserve">En conclusión, la </w:t>
      </w:r>
      <w:bookmarkStart w:id="28" w:name="_Hlk22217476"/>
      <w:r w:rsidRPr="001C4E06">
        <w:rPr>
          <w:rFonts w:ascii="Century Gothic" w:eastAsia="Times New Roman" w:hAnsi="Century Gothic" w:cs="Arial"/>
          <w:bCs/>
          <w:lang w:val="es-ES" w:eastAsia="es-ES"/>
        </w:rPr>
        <w:t>interventoría</w:t>
      </w:r>
      <w:bookmarkEnd w:id="28"/>
      <w:r w:rsidRPr="001C4E06">
        <w:rPr>
          <w:rFonts w:ascii="Century Gothic" w:eastAsia="Times New Roman" w:hAnsi="Century Gothic" w:cs="Arial"/>
          <w:bCs/>
          <w:lang w:val="es-ES" w:eastAsia="es-ES"/>
        </w:rPr>
        <w:t xml:space="preserve"> del contrato de obra IDU-403/2000 </w:t>
      </w:r>
      <w:bookmarkStart w:id="29" w:name="_Hlk22217504"/>
      <w:r w:rsidRPr="001C4E06">
        <w:rPr>
          <w:rFonts w:ascii="Century Gothic" w:eastAsia="Times New Roman" w:hAnsi="Century Gothic" w:cs="Arial"/>
          <w:bCs/>
          <w:lang w:val="es-ES" w:eastAsia="es-ES"/>
        </w:rPr>
        <w:t xml:space="preserve">incumplió sus obligaciones legales y contractuales, y ello fue lo que llevó a que el IDU hiciera efectiva la garantía constituida a su favor. </w:t>
      </w:r>
    </w:p>
    <w:bookmarkEnd w:id="29"/>
    <w:p w14:paraId="012B73C0" w14:textId="77777777" w:rsidR="001C4E06" w:rsidRPr="001C4E06" w:rsidRDefault="001C4E06" w:rsidP="001C4E06">
      <w:pPr>
        <w:spacing w:after="0" w:line="240" w:lineRule="auto"/>
        <w:jc w:val="both"/>
        <w:rPr>
          <w:rFonts w:ascii="Bookman Old Style" w:eastAsia="Times New Roman" w:hAnsi="Bookman Old Style"/>
          <w:sz w:val="24"/>
          <w:szCs w:val="24"/>
          <w:lang w:eastAsia="es-ES"/>
        </w:rPr>
      </w:pPr>
    </w:p>
    <w:p w14:paraId="7B0447DD" w14:textId="77777777" w:rsidR="001C4E06" w:rsidRPr="001C4E06" w:rsidRDefault="001C4E06" w:rsidP="001C4E06">
      <w:pPr>
        <w:spacing w:after="0" w:line="360" w:lineRule="auto"/>
        <w:ind w:right="17"/>
        <w:jc w:val="both"/>
        <w:rPr>
          <w:rFonts w:ascii="Century Gothic" w:eastAsia="Times New Roman" w:hAnsi="Century Gothic"/>
          <w:lang w:eastAsia="es-ES"/>
        </w:rPr>
      </w:pPr>
      <w:r w:rsidRPr="001C4E06">
        <w:rPr>
          <w:rFonts w:ascii="Century Gothic" w:eastAsia="Times New Roman" w:hAnsi="Century Gothic"/>
          <w:lang w:val="es-ES" w:eastAsia="es-ES"/>
        </w:rPr>
        <w:t>Así las cosas</w:t>
      </w:r>
      <w:r w:rsidRPr="001C4E06">
        <w:rPr>
          <w:rFonts w:ascii="Century Gothic" w:eastAsia="Times New Roman" w:hAnsi="Century Gothic"/>
          <w:lang w:eastAsia="es-ES"/>
        </w:rPr>
        <w:t xml:space="preserve">, la presunción de legalidad de los actos administrativos demandados no ha sido desvirtuada; por consiguiente, </w:t>
      </w:r>
      <w:r w:rsidRPr="001C4E06">
        <w:rPr>
          <w:rFonts w:ascii="Century Gothic" w:eastAsia="Times New Roman" w:hAnsi="Century Gothic" w:cs="Tahoma"/>
          <w:lang w:val="es-ES" w:eastAsia="es-ES"/>
        </w:rPr>
        <w:t xml:space="preserve">la Sala confirmará la sentencia apelada, de conformidad con las razones antes expuestas. </w:t>
      </w:r>
    </w:p>
    <w:p w14:paraId="6E45F58D" w14:textId="77777777" w:rsidR="001C4E06" w:rsidRPr="001C4E06" w:rsidRDefault="001C4E06" w:rsidP="001C4E06">
      <w:pPr>
        <w:spacing w:after="0" w:line="360" w:lineRule="auto"/>
        <w:jc w:val="both"/>
        <w:rPr>
          <w:rFonts w:ascii="Century Gothic" w:eastAsia="Times New Roman" w:hAnsi="Century Gothic"/>
          <w:lang w:eastAsia="es-ES"/>
        </w:rPr>
      </w:pPr>
    </w:p>
    <w:p w14:paraId="0CEA08CE" w14:textId="77777777" w:rsidR="001C4E06" w:rsidRPr="001C4E06" w:rsidRDefault="001C4E06" w:rsidP="001C4E06">
      <w:pPr>
        <w:spacing w:after="0" w:line="360" w:lineRule="auto"/>
        <w:jc w:val="both"/>
        <w:rPr>
          <w:rFonts w:ascii="Century Gothic" w:eastAsia="Times New Roman" w:hAnsi="Century Gothic"/>
          <w:lang w:eastAsia="es-ES"/>
        </w:rPr>
      </w:pPr>
    </w:p>
    <w:p w14:paraId="09606D94" w14:textId="77777777" w:rsidR="001C4E06" w:rsidRPr="001C4E06" w:rsidRDefault="001C4E06" w:rsidP="001C4E06">
      <w:pPr>
        <w:spacing w:after="0" w:line="360" w:lineRule="auto"/>
        <w:jc w:val="both"/>
        <w:rPr>
          <w:rFonts w:ascii="Century Gothic" w:eastAsia="Times New Roman" w:hAnsi="Century Gothic"/>
          <w:b/>
          <w:lang w:eastAsia="es-ES"/>
        </w:rPr>
      </w:pPr>
      <w:r w:rsidRPr="001C4E06">
        <w:rPr>
          <w:rFonts w:ascii="Century Gothic" w:eastAsia="Times New Roman" w:hAnsi="Century Gothic"/>
          <w:b/>
          <w:lang w:eastAsia="es-ES"/>
        </w:rPr>
        <w:t>4.- Condena en costas</w:t>
      </w:r>
    </w:p>
    <w:p w14:paraId="535876B8" w14:textId="77777777" w:rsidR="001C4E06" w:rsidRPr="001C4E06" w:rsidRDefault="001C4E06" w:rsidP="001C4E06">
      <w:pPr>
        <w:spacing w:after="0" w:line="360" w:lineRule="auto"/>
        <w:jc w:val="both"/>
        <w:rPr>
          <w:rFonts w:ascii="Century Gothic" w:eastAsia="Times New Roman" w:hAnsi="Century Gothic"/>
          <w:b/>
          <w:lang w:eastAsia="es-ES"/>
        </w:rPr>
      </w:pPr>
    </w:p>
    <w:p w14:paraId="03CF5447" w14:textId="77777777" w:rsidR="001C4E06" w:rsidRPr="001C4E06" w:rsidRDefault="001C4E06" w:rsidP="001C4E06">
      <w:pPr>
        <w:spacing w:after="0" w:line="360" w:lineRule="auto"/>
        <w:jc w:val="both"/>
        <w:rPr>
          <w:rFonts w:ascii="Century Gothic" w:eastAsia="Times New Roman" w:hAnsi="Century Gothic"/>
          <w:bCs/>
          <w:lang w:eastAsia="es-ES"/>
        </w:rPr>
      </w:pPr>
      <w:r w:rsidRPr="001C4E06">
        <w:rPr>
          <w:rFonts w:ascii="Century Gothic" w:eastAsia="Times New Roman" w:hAnsi="Century Gothic"/>
          <w:lang w:eastAsia="es-ES"/>
        </w:rPr>
        <w:t>N</w:t>
      </w:r>
      <w:r w:rsidRPr="001C4E06">
        <w:rPr>
          <w:rFonts w:ascii="Century Gothic" w:eastAsia="Times New Roman" w:hAnsi="Century Gothic"/>
          <w:bCs/>
          <w:lang w:eastAsia="es-ES"/>
        </w:rPr>
        <w:t>o se impondrá condena en costas, porque la conducta de las partes no se enmarca dentro de las previsiones contempladas por el artículo 55 de la Ley 446 de 1998.</w:t>
      </w:r>
    </w:p>
    <w:p w14:paraId="43E0DCB1" w14:textId="77777777" w:rsidR="001C4E06" w:rsidRPr="001C4E06" w:rsidRDefault="001C4E06" w:rsidP="001C4E06">
      <w:pPr>
        <w:spacing w:after="0" w:line="360" w:lineRule="auto"/>
        <w:jc w:val="both"/>
        <w:rPr>
          <w:rFonts w:ascii="Century Gothic" w:eastAsia="Times New Roman" w:hAnsi="Century Gothic"/>
          <w:bCs/>
          <w:lang w:eastAsia="es-ES"/>
        </w:rPr>
      </w:pPr>
    </w:p>
    <w:p w14:paraId="247F5548" w14:textId="77777777" w:rsidR="001C4E06" w:rsidRPr="001C4E06" w:rsidRDefault="001C4E06" w:rsidP="001C4E06">
      <w:pPr>
        <w:widowControl w:val="0"/>
        <w:autoSpaceDE w:val="0"/>
        <w:autoSpaceDN w:val="0"/>
        <w:adjustRightInd w:val="0"/>
        <w:spacing w:after="0" w:line="360" w:lineRule="auto"/>
        <w:jc w:val="both"/>
        <w:rPr>
          <w:rFonts w:ascii="Century Gothic" w:eastAsia="Times New Roman" w:hAnsi="Century Gothic"/>
          <w:lang w:eastAsia="es-ES"/>
        </w:rPr>
      </w:pPr>
      <w:r w:rsidRPr="001C4E06">
        <w:rPr>
          <w:rFonts w:ascii="Century Gothic" w:eastAsia="Times New Roman" w:hAnsi="Century Gothic"/>
          <w:lang w:eastAsia="es-ES"/>
        </w:rPr>
        <w:t xml:space="preserve">En mérito de lo expuesto, el Consejo de Estado, Sala de lo Contencioso Administrativo, Sección Tercera, Subsección “A”, administrando justicia en nombre de la República y por autoridad de la ley, </w:t>
      </w:r>
    </w:p>
    <w:p w14:paraId="43F782F9" w14:textId="77777777" w:rsidR="001C4E06" w:rsidRPr="001C4E06" w:rsidRDefault="001C4E06" w:rsidP="001C4E06">
      <w:pPr>
        <w:widowControl w:val="0"/>
        <w:autoSpaceDE w:val="0"/>
        <w:autoSpaceDN w:val="0"/>
        <w:adjustRightInd w:val="0"/>
        <w:spacing w:after="0" w:line="360" w:lineRule="auto"/>
        <w:rPr>
          <w:rFonts w:ascii="Century Gothic" w:eastAsia="Times New Roman" w:hAnsi="Century Gothic"/>
          <w:b/>
          <w:lang w:eastAsia="es-ES"/>
        </w:rPr>
      </w:pPr>
    </w:p>
    <w:p w14:paraId="09685FCE" w14:textId="77777777" w:rsidR="001C4E06" w:rsidRPr="001C4E06" w:rsidRDefault="001C4E06" w:rsidP="001C4E06">
      <w:pPr>
        <w:widowControl w:val="0"/>
        <w:autoSpaceDE w:val="0"/>
        <w:autoSpaceDN w:val="0"/>
        <w:adjustRightInd w:val="0"/>
        <w:spacing w:after="0" w:line="360" w:lineRule="auto"/>
        <w:rPr>
          <w:rFonts w:ascii="Century Gothic" w:eastAsia="Times New Roman" w:hAnsi="Century Gothic"/>
          <w:b/>
          <w:lang w:eastAsia="es-ES"/>
        </w:rPr>
      </w:pPr>
    </w:p>
    <w:p w14:paraId="0430110B" w14:textId="77777777" w:rsidR="001C4E06" w:rsidRPr="001C4E06" w:rsidRDefault="001C4E06" w:rsidP="001C4E06">
      <w:pPr>
        <w:widowControl w:val="0"/>
        <w:autoSpaceDE w:val="0"/>
        <w:autoSpaceDN w:val="0"/>
        <w:adjustRightInd w:val="0"/>
        <w:spacing w:after="0" w:line="360" w:lineRule="auto"/>
        <w:rPr>
          <w:rFonts w:ascii="Century Gothic" w:eastAsia="Times New Roman" w:hAnsi="Century Gothic"/>
          <w:b/>
          <w:lang w:eastAsia="es-ES"/>
        </w:rPr>
      </w:pPr>
    </w:p>
    <w:p w14:paraId="430A971B" w14:textId="77777777" w:rsidR="001C4E06" w:rsidRPr="001C4E06" w:rsidRDefault="001C4E06" w:rsidP="001C4E06">
      <w:pPr>
        <w:widowControl w:val="0"/>
        <w:autoSpaceDE w:val="0"/>
        <w:autoSpaceDN w:val="0"/>
        <w:adjustRightInd w:val="0"/>
        <w:spacing w:after="0" w:line="360" w:lineRule="auto"/>
        <w:jc w:val="center"/>
        <w:rPr>
          <w:rFonts w:ascii="Century Gothic" w:eastAsia="Times New Roman" w:hAnsi="Century Gothic"/>
          <w:b/>
          <w:lang w:eastAsia="es-ES"/>
        </w:rPr>
      </w:pPr>
      <w:r w:rsidRPr="001C4E06">
        <w:rPr>
          <w:rFonts w:ascii="Century Gothic" w:eastAsia="Times New Roman" w:hAnsi="Century Gothic"/>
          <w:b/>
          <w:lang w:eastAsia="es-ES"/>
        </w:rPr>
        <w:t>F A L L A:</w:t>
      </w:r>
    </w:p>
    <w:p w14:paraId="0853C4EC" w14:textId="77777777" w:rsidR="001C4E06" w:rsidRPr="001C4E06" w:rsidRDefault="001C4E06" w:rsidP="001C4E06">
      <w:pPr>
        <w:widowControl w:val="0"/>
        <w:autoSpaceDE w:val="0"/>
        <w:autoSpaceDN w:val="0"/>
        <w:adjustRightInd w:val="0"/>
        <w:spacing w:after="0" w:line="360" w:lineRule="auto"/>
        <w:rPr>
          <w:rFonts w:ascii="Century Gothic" w:eastAsia="Times New Roman" w:hAnsi="Century Gothic"/>
          <w:lang w:eastAsia="es-ES"/>
        </w:rPr>
      </w:pPr>
    </w:p>
    <w:p w14:paraId="10B64A9C" w14:textId="77777777" w:rsidR="001C4E06" w:rsidRPr="001C4E06" w:rsidRDefault="001C4E06" w:rsidP="001C4E06">
      <w:pPr>
        <w:widowControl w:val="0"/>
        <w:autoSpaceDE w:val="0"/>
        <w:autoSpaceDN w:val="0"/>
        <w:adjustRightInd w:val="0"/>
        <w:spacing w:after="0" w:line="360" w:lineRule="auto"/>
        <w:jc w:val="both"/>
        <w:rPr>
          <w:rFonts w:ascii="Century Gothic" w:eastAsia="Times New Roman" w:hAnsi="Century Gothic"/>
          <w:lang w:eastAsia="es-ES"/>
        </w:rPr>
      </w:pPr>
      <w:r w:rsidRPr="001C4E06">
        <w:rPr>
          <w:rFonts w:ascii="Century Gothic" w:eastAsia="Times New Roman" w:hAnsi="Century Gothic"/>
          <w:b/>
          <w:lang w:eastAsia="es-ES"/>
        </w:rPr>
        <w:t xml:space="preserve">Primero: Confírmase </w:t>
      </w:r>
      <w:r w:rsidRPr="001C4E06">
        <w:rPr>
          <w:rFonts w:ascii="Century Gothic" w:eastAsia="Times New Roman" w:hAnsi="Century Gothic"/>
          <w:lang w:eastAsia="es-ES"/>
        </w:rPr>
        <w:t xml:space="preserve"> la sentencia apelada del 5 de agosto de 2009, proferida </w:t>
      </w:r>
      <w:r w:rsidRPr="001C4E06">
        <w:rPr>
          <w:rFonts w:ascii="Century Gothic" w:eastAsia="Times New Roman" w:hAnsi="Century Gothic" w:cs="Arial"/>
          <w:lang w:val="es-ES" w:eastAsia="es-ES"/>
        </w:rPr>
        <w:t>por el  Tribunal Administrativo de Cundinamarca, Sección Tercera, Sub Sección B.</w:t>
      </w:r>
    </w:p>
    <w:p w14:paraId="3C58F0FA" w14:textId="77777777" w:rsidR="001C4E06" w:rsidRPr="001C4E06" w:rsidRDefault="001C4E06" w:rsidP="001C4E06">
      <w:pPr>
        <w:widowControl w:val="0"/>
        <w:autoSpaceDE w:val="0"/>
        <w:autoSpaceDN w:val="0"/>
        <w:adjustRightInd w:val="0"/>
        <w:spacing w:after="0" w:line="360" w:lineRule="auto"/>
        <w:ind w:right="130"/>
        <w:jc w:val="both"/>
        <w:rPr>
          <w:rFonts w:ascii="Century Gothic" w:eastAsia="Times New Roman" w:hAnsi="Century Gothic"/>
          <w:b/>
          <w:lang w:eastAsia="es-ES"/>
        </w:rPr>
      </w:pPr>
    </w:p>
    <w:p w14:paraId="3B218A67" w14:textId="77777777" w:rsidR="001C4E06" w:rsidRPr="001C4E06" w:rsidRDefault="001C4E06" w:rsidP="001C4E06">
      <w:pPr>
        <w:widowControl w:val="0"/>
        <w:autoSpaceDE w:val="0"/>
        <w:autoSpaceDN w:val="0"/>
        <w:adjustRightInd w:val="0"/>
        <w:spacing w:after="0" w:line="360" w:lineRule="auto"/>
        <w:ind w:right="130"/>
        <w:jc w:val="both"/>
        <w:rPr>
          <w:rFonts w:ascii="Century Gothic" w:eastAsia="Times New Roman" w:hAnsi="Century Gothic"/>
          <w:lang w:eastAsia="es-ES"/>
        </w:rPr>
      </w:pPr>
      <w:r w:rsidRPr="001C4E06">
        <w:rPr>
          <w:rFonts w:ascii="Century Gothic" w:eastAsia="Times New Roman" w:hAnsi="Century Gothic"/>
          <w:b/>
          <w:lang w:eastAsia="es-ES"/>
        </w:rPr>
        <w:t>Segundo:</w:t>
      </w:r>
      <w:r w:rsidRPr="001C4E06">
        <w:rPr>
          <w:rFonts w:ascii="Century Gothic" w:eastAsia="Times New Roman" w:hAnsi="Century Gothic"/>
          <w:lang w:eastAsia="es-ES"/>
        </w:rPr>
        <w:t xml:space="preserve"> Sin condena en costas.</w:t>
      </w:r>
    </w:p>
    <w:p w14:paraId="10C75442" w14:textId="77777777" w:rsidR="001C4E06" w:rsidRPr="001C4E06" w:rsidRDefault="001C4E06" w:rsidP="001C4E06">
      <w:pPr>
        <w:spacing w:after="0" w:line="360" w:lineRule="auto"/>
        <w:ind w:right="-1"/>
        <w:jc w:val="both"/>
        <w:rPr>
          <w:rFonts w:ascii="Century Gothic" w:eastAsia="Times New Roman" w:hAnsi="Century Gothic"/>
          <w:b/>
          <w:bCs/>
          <w:lang w:eastAsia="es-ES"/>
        </w:rPr>
      </w:pPr>
    </w:p>
    <w:p w14:paraId="49F81C5A" w14:textId="77777777" w:rsidR="001C4E06" w:rsidRPr="001C4E06" w:rsidRDefault="001C4E06" w:rsidP="001C4E06">
      <w:pPr>
        <w:spacing w:after="0" w:line="360" w:lineRule="auto"/>
        <w:ind w:right="-1"/>
        <w:jc w:val="both"/>
        <w:rPr>
          <w:rFonts w:ascii="Century Gothic" w:eastAsia="Times New Roman" w:hAnsi="Century Gothic"/>
          <w:bCs/>
          <w:lang w:eastAsia="es-ES"/>
        </w:rPr>
      </w:pPr>
      <w:r w:rsidRPr="001C4E06">
        <w:rPr>
          <w:rFonts w:ascii="Century Gothic" w:eastAsia="Times New Roman" w:hAnsi="Century Gothic"/>
          <w:b/>
          <w:bCs/>
          <w:lang w:eastAsia="es-ES"/>
        </w:rPr>
        <w:t xml:space="preserve">Tercero: </w:t>
      </w:r>
      <w:r w:rsidRPr="001C4E06">
        <w:rPr>
          <w:rFonts w:ascii="Century Gothic" w:eastAsia="Times New Roman" w:hAnsi="Century Gothic"/>
          <w:bCs/>
          <w:lang w:eastAsia="es-ES"/>
        </w:rPr>
        <w:t xml:space="preserve">En firme esta providencia, </w:t>
      </w:r>
      <w:r w:rsidRPr="001C4E06">
        <w:rPr>
          <w:rFonts w:ascii="Century Gothic" w:eastAsia="Times New Roman" w:hAnsi="Century Gothic"/>
          <w:b/>
          <w:bCs/>
          <w:lang w:eastAsia="es-ES"/>
        </w:rPr>
        <w:t>devuélvase</w:t>
      </w:r>
      <w:r w:rsidRPr="001C4E06">
        <w:rPr>
          <w:rFonts w:ascii="Century Gothic" w:eastAsia="Times New Roman" w:hAnsi="Century Gothic"/>
          <w:bCs/>
          <w:lang w:eastAsia="es-ES"/>
        </w:rPr>
        <w:t xml:space="preserve"> el expediente al Tribunal de origen.</w:t>
      </w:r>
    </w:p>
    <w:p w14:paraId="4E648143" w14:textId="77777777" w:rsidR="001C4E06" w:rsidRPr="001C4E06" w:rsidRDefault="001C4E06" w:rsidP="001C4E06">
      <w:pPr>
        <w:spacing w:after="0" w:line="360" w:lineRule="auto"/>
        <w:ind w:right="17"/>
        <w:jc w:val="both"/>
        <w:rPr>
          <w:rFonts w:ascii="Century Gothic" w:eastAsia="Times New Roman" w:hAnsi="Century Gothic" w:cs="Tahoma"/>
          <w:lang w:val="es-ES" w:eastAsia="es-ES"/>
        </w:rPr>
      </w:pPr>
    </w:p>
    <w:p w14:paraId="00BFB5A5" w14:textId="77777777" w:rsidR="001C4E06" w:rsidRPr="001C4E06" w:rsidRDefault="001C4E06" w:rsidP="001C4E06">
      <w:pPr>
        <w:widowControl w:val="0"/>
        <w:autoSpaceDE w:val="0"/>
        <w:autoSpaceDN w:val="0"/>
        <w:adjustRightInd w:val="0"/>
        <w:spacing w:after="0" w:line="240" w:lineRule="auto"/>
        <w:ind w:firstLine="567"/>
        <w:jc w:val="center"/>
        <w:rPr>
          <w:rFonts w:ascii="Century Gothic" w:eastAsia="Times New Roman" w:hAnsi="Century Gothic"/>
          <w:b/>
          <w:lang w:eastAsia="es-ES"/>
        </w:rPr>
      </w:pPr>
      <w:r w:rsidRPr="001C4E06">
        <w:rPr>
          <w:rFonts w:ascii="Century Gothic" w:eastAsia="Times New Roman" w:hAnsi="Century Gothic"/>
          <w:b/>
          <w:lang w:eastAsia="es-ES"/>
        </w:rPr>
        <w:t>CÓPIESE, NOTIFÍQUESE Y CÚMPLASE</w:t>
      </w:r>
    </w:p>
    <w:p w14:paraId="55A8274C" w14:textId="77777777" w:rsidR="001C4E06" w:rsidRPr="001C4E06" w:rsidRDefault="001C4E06" w:rsidP="001C4E06">
      <w:pPr>
        <w:widowControl w:val="0"/>
        <w:autoSpaceDE w:val="0"/>
        <w:autoSpaceDN w:val="0"/>
        <w:adjustRightInd w:val="0"/>
        <w:spacing w:after="0" w:line="240" w:lineRule="auto"/>
        <w:rPr>
          <w:rFonts w:ascii="Century Gothic" w:eastAsia="Times New Roman" w:hAnsi="Century Gothic"/>
          <w:b/>
          <w:lang w:eastAsia="es-ES"/>
        </w:rPr>
      </w:pPr>
    </w:p>
    <w:p w14:paraId="2EF87CD5" w14:textId="77777777" w:rsidR="001C4E06" w:rsidRPr="001C4E06" w:rsidRDefault="001C4E06" w:rsidP="001C4E06">
      <w:pPr>
        <w:widowControl w:val="0"/>
        <w:autoSpaceDE w:val="0"/>
        <w:autoSpaceDN w:val="0"/>
        <w:adjustRightInd w:val="0"/>
        <w:spacing w:after="0" w:line="240" w:lineRule="auto"/>
        <w:rPr>
          <w:rFonts w:ascii="Century Gothic" w:eastAsia="Times New Roman" w:hAnsi="Century Gothic"/>
          <w:b/>
          <w:lang w:eastAsia="es-ES"/>
        </w:rPr>
      </w:pPr>
    </w:p>
    <w:p w14:paraId="0DD9BDBD" w14:textId="77777777" w:rsidR="001C4E06" w:rsidRPr="001C4E06" w:rsidRDefault="001C4E06" w:rsidP="001C4E06">
      <w:pPr>
        <w:widowControl w:val="0"/>
        <w:autoSpaceDE w:val="0"/>
        <w:autoSpaceDN w:val="0"/>
        <w:adjustRightInd w:val="0"/>
        <w:spacing w:after="0" w:line="240" w:lineRule="auto"/>
        <w:rPr>
          <w:rFonts w:ascii="Century Gothic" w:eastAsia="Times New Roman" w:hAnsi="Century Gothic"/>
          <w:b/>
          <w:lang w:eastAsia="es-ES"/>
        </w:rPr>
      </w:pPr>
    </w:p>
    <w:p w14:paraId="7550C4A3" w14:textId="77777777" w:rsidR="001C4E06" w:rsidRPr="001C4E06" w:rsidRDefault="001C4E06" w:rsidP="001C4E06">
      <w:pPr>
        <w:widowControl w:val="0"/>
        <w:autoSpaceDE w:val="0"/>
        <w:autoSpaceDN w:val="0"/>
        <w:adjustRightInd w:val="0"/>
        <w:spacing w:after="0" w:line="240" w:lineRule="auto"/>
        <w:rPr>
          <w:rFonts w:ascii="Century Gothic" w:eastAsia="Times New Roman" w:hAnsi="Century Gothic"/>
          <w:b/>
          <w:lang w:eastAsia="es-ES"/>
        </w:rPr>
      </w:pPr>
    </w:p>
    <w:p w14:paraId="36949E45" w14:textId="77777777" w:rsidR="001C4E06" w:rsidRPr="001C4E06" w:rsidRDefault="001C4E06" w:rsidP="001C4E06">
      <w:pPr>
        <w:widowControl w:val="0"/>
        <w:autoSpaceDE w:val="0"/>
        <w:autoSpaceDN w:val="0"/>
        <w:adjustRightInd w:val="0"/>
        <w:spacing w:after="0" w:line="240" w:lineRule="auto"/>
        <w:ind w:firstLine="567"/>
        <w:jc w:val="both"/>
        <w:rPr>
          <w:rFonts w:ascii="Century Gothic" w:eastAsia="Times New Roman" w:hAnsi="Century Gothic"/>
          <w:b/>
          <w:lang w:eastAsia="es-ES"/>
        </w:rPr>
      </w:pPr>
    </w:p>
    <w:p w14:paraId="7E889D0C" w14:textId="77777777" w:rsidR="001C4E06" w:rsidRPr="001C4E06" w:rsidRDefault="001C4E06" w:rsidP="001C4E06">
      <w:pPr>
        <w:widowControl w:val="0"/>
        <w:autoSpaceDE w:val="0"/>
        <w:autoSpaceDN w:val="0"/>
        <w:adjustRightInd w:val="0"/>
        <w:spacing w:after="0" w:line="240" w:lineRule="auto"/>
        <w:jc w:val="both"/>
        <w:rPr>
          <w:rFonts w:ascii="Century Gothic" w:eastAsia="Times New Roman" w:hAnsi="Century Gothic"/>
          <w:b/>
          <w:lang w:eastAsia="es-ES"/>
        </w:rPr>
      </w:pPr>
      <w:r w:rsidRPr="001C4E06">
        <w:rPr>
          <w:rFonts w:ascii="Century Gothic" w:eastAsia="Times New Roman" w:hAnsi="Century Gothic"/>
          <w:b/>
          <w:lang w:eastAsia="es-ES"/>
        </w:rPr>
        <w:t xml:space="preserve">MARÍA ADRIANA MARÍN                                           MARTA NUBIA VELÁSQUEZ RICO      </w:t>
      </w:r>
    </w:p>
    <w:p w14:paraId="59FDC959" w14:textId="77777777" w:rsidR="001C4E06" w:rsidRPr="001C4E06" w:rsidRDefault="001C4E06" w:rsidP="001C4E06">
      <w:pPr>
        <w:widowControl w:val="0"/>
        <w:autoSpaceDE w:val="0"/>
        <w:autoSpaceDN w:val="0"/>
        <w:adjustRightInd w:val="0"/>
        <w:spacing w:after="0" w:line="240" w:lineRule="auto"/>
        <w:jc w:val="both"/>
        <w:rPr>
          <w:rFonts w:ascii="Century Gothic" w:eastAsia="Times New Roman" w:hAnsi="Century Gothic"/>
          <w:b/>
          <w:lang w:eastAsia="es-ES"/>
        </w:rPr>
      </w:pPr>
      <w:r w:rsidRPr="001C4E06">
        <w:rPr>
          <w:rFonts w:ascii="Century Gothic" w:eastAsia="Times New Roman" w:hAnsi="Century Gothic"/>
          <w:b/>
          <w:lang w:eastAsia="es-ES"/>
        </w:rPr>
        <w:t xml:space="preserve">    </w:t>
      </w:r>
      <w:r w:rsidRPr="001C4E06">
        <w:rPr>
          <w:rFonts w:ascii="Century Gothic" w:eastAsia="Times New Roman" w:hAnsi="Century Gothic"/>
          <w:b/>
          <w:sz w:val="20"/>
          <w:szCs w:val="20"/>
          <w:lang w:eastAsia="es-ES"/>
        </w:rPr>
        <w:t>Aclaración de Voto</w:t>
      </w:r>
      <w:r w:rsidRPr="001C4E06">
        <w:rPr>
          <w:rFonts w:ascii="Century Gothic" w:eastAsia="Times New Roman" w:hAnsi="Century Gothic"/>
          <w:b/>
          <w:lang w:eastAsia="es-ES"/>
        </w:rPr>
        <w:t xml:space="preserve">                                                            </w:t>
      </w:r>
      <w:r w:rsidRPr="001C4E06">
        <w:rPr>
          <w:rFonts w:ascii="Century Gothic" w:eastAsia="Times New Roman" w:hAnsi="Century Gothic"/>
          <w:b/>
          <w:sz w:val="20"/>
          <w:szCs w:val="20"/>
          <w:lang w:eastAsia="es-ES"/>
        </w:rPr>
        <w:t>Aclaración de Voto</w:t>
      </w:r>
    </w:p>
    <w:p w14:paraId="78223C10" w14:textId="77777777" w:rsidR="001C4E06" w:rsidRPr="001C4E06" w:rsidRDefault="001C4E06" w:rsidP="001C4E06">
      <w:pPr>
        <w:widowControl w:val="0"/>
        <w:autoSpaceDE w:val="0"/>
        <w:autoSpaceDN w:val="0"/>
        <w:adjustRightInd w:val="0"/>
        <w:spacing w:after="0" w:line="240" w:lineRule="auto"/>
        <w:jc w:val="both"/>
        <w:rPr>
          <w:rFonts w:ascii="Century Gothic" w:eastAsia="Times New Roman" w:hAnsi="Century Gothic"/>
          <w:b/>
          <w:lang w:eastAsia="es-ES"/>
        </w:rPr>
      </w:pPr>
    </w:p>
    <w:p w14:paraId="54671EC2" w14:textId="77777777" w:rsidR="001C4E06" w:rsidRPr="001C4E06" w:rsidRDefault="001C4E06" w:rsidP="001C4E06">
      <w:pPr>
        <w:widowControl w:val="0"/>
        <w:autoSpaceDE w:val="0"/>
        <w:autoSpaceDN w:val="0"/>
        <w:adjustRightInd w:val="0"/>
        <w:spacing w:after="0" w:line="240" w:lineRule="auto"/>
        <w:jc w:val="both"/>
        <w:rPr>
          <w:rFonts w:ascii="Century Gothic" w:eastAsia="Times New Roman" w:hAnsi="Century Gothic"/>
          <w:b/>
          <w:lang w:eastAsia="es-ES"/>
        </w:rPr>
      </w:pPr>
    </w:p>
    <w:p w14:paraId="1313D684" w14:textId="77777777" w:rsidR="001C4E06" w:rsidRPr="001C4E06" w:rsidRDefault="001C4E06" w:rsidP="001C4E06">
      <w:pPr>
        <w:widowControl w:val="0"/>
        <w:autoSpaceDE w:val="0"/>
        <w:autoSpaceDN w:val="0"/>
        <w:adjustRightInd w:val="0"/>
        <w:spacing w:after="0" w:line="240" w:lineRule="auto"/>
        <w:jc w:val="both"/>
        <w:rPr>
          <w:rFonts w:ascii="Century Gothic" w:eastAsia="Times New Roman" w:hAnsi="Century Gothic"/>
          <w:b/>
          <w:lang w:eastAsia="es-ES"/>
        </w:rPr>
      </w:pPr>
    </w:p>
    <w:p w14:paraId="7B1937DA" w14:textId="77777777" w:rsidR="001C4E06" w:rsidRPr="001C4E06" w:rsidRDefault="001C4E06" w:rsidP="001C4E06">
      <w:pPr>
        <w:widowControl w:val="0"/>
        <w:autoSpaceDE w:val="0"/>
        <w:autoSpaceDN w:val="0"/>
        <w:adjustRightInd w:val="0"/>
        <w:spacing w:after="0" w:line="240" w:lineRule="auto"/>
        <w:jc w:val="both"/>
        <w:rPr>
          <w:rFonts w:ascii="Century Gothic" w:eastAsia="Times New Roman" w:hAnsi="Century Gothic"/>
          <w:b/>
          <w:lang w:eastAsia="es-ES"/>
        </w:rPr>
      </w:pPr>
    </w:p>
    <w:p w14:paraId="1180A55A" w14:textId="77777777" w:rsidR="001C4E06" w:rsidRPr="001C4E06" w:rsidRDefault="001C4E06" w:rsidP="001C4E06">
      <w:pPr>
        <w:widowControl w:val="0"/>
        <w:autoSpaceDE w:val="0"/>
        <w:autoSpaceDN w:val="0"/>
        <w:adjustRightInd w:val="0"/>
        <w:spacing w:after="0" w:line="240" w:lineRule="auto"/>
        <w:jc w:val="both"/>
        <w:rPr>
          <w:rFonts w:ascii="Century Gothic" w:eastAsia="Times New Roman" w:hAnsi="Century Gothic"/>
          <w:b/>
          <w:lang w:eastAsia="es-ES"/>
        </w:rPr>
      </w:pPr>
    </w:p>
    <w:p w14:paraId="0F542A9E" w14:textId="77777777" w:rsidR="001C4E06" w:rsidRPr="001C4E06" w:rsidRDefault="001C4E06" w:rsidP="001C4E06">
      <w:pPr>
        <w:widowControl w:val="0"/>
        <w:autoSpaceDE w:val="0"/>
        <w:autoSpaceDN w:val="0"/>
        <w:adjustRightInd w:val="0"/>
        <w:spacing w:after="0" w:line="240" w:lineRule="auto"/>
        <w:jc w:val="center"/>
        <w:rPr>
          <w:rFonts w:ascii="Century Gothic" w:eastAsia="Times New Roman" w:hAnsi="Century Gothic" w:cs="Arial"/>
          <w:lang w:val="es-ES" w:eastAsia="es-ES"/>
        </w:rPr>
      </w:pPr>
      <w:r w:rsidRPr="001C4E06">
        <w:rPr>
          <w:rFonts w:ascii="Century Gothic" w:eastAsia="Times New Roman" w:hAnsi="Century Gothic"/>
          <w:b/>
          <w:lang w:eastAsia="es-ES"/>
        </w:rPr>
        <w:t>CARLOS ALBERTO ZAMBRANO BARRERA</w:t>
      </w:r>
    </w:p>
    <w:p w14:paraId="2AF3965D" w14:textId="77777777" w:rsidR="001C4E06" w:rsidRPr="001C4E06" w:rsidRDefault="001C4E06" w:rsidP="001C4E06">
      <w:pPr>
        <w:widowControl w:val="0"/>
        <w:autoSpaceDE w:val="0"/>
        <w:autoSpaceDN w:val="0"/>
        <w:adjustRightInd w:val="0"/>
        <w:spacing w:after="0" w:line="240" w:lineRule="auto"/>
        <w:rPr>
          <w:rFonts w:ascii="Century Gothic" w:eastAsia="Times New Roman" w:hAnsi="Century Gothic"/>
          <w:b/>
          <w:lang w:eastAsia="es-ES"/>
        </w:rPr>
      </w:pPr>
    </w:p>
    <w:p w14:paraId="5DDC32A5" w14:textId="77777777" w:rsidR="001C4E06" w:rsidRPr="001C4E06" w:rsidRDefault="001C4E06" w:rsidP="001C4E06">
      <w:pPr>
        <w:spacing w:after="0" w:line="240" w:lineRule="auto"/>
        <w:rPr>
          <w:rFonts w:ascii="Arial" w:eastAsia="Times New Roman" w:hAnsi="Arial" w:cs="Arial"/>
          <w:sz w:val="24"/>
          <w:szCs w:val="24"/>
          <w:lang w:val="es-ES" w:eastAsia="es-ES"/>
        </w:rPr>
      </w:pPr>
    </w:p>
    <w:p w14:paraId="638FBB02" w14:textId="77777777" w:rsidR="001C4E06" w:rsidRPr="001C4E06" w:rsidRDefault="001C4E06" w:rsidP="001C4E06">
      <w:pPr>
        <w:spacing w:after="0" w:line="240" w:lineRule="auto"/>
        <w:rPr>
          <w:rFonts w:ascii="Times New Roman" w:eastAsia="Times New Roman" w:hAnsi="Times New Roman"/>
          <w:sz w:val="24"/>
          <w:szCs w:val="24"/>
          <w:lang w:val="es-ES" w:eastAsia="es-ES"/>
        </w:rPr>
      </w:pPr>
    </w:p>
    <w:p w14:paraId="1C06181E" w14:textId="77777777" w:rsidR="00D87DAA" w:rsidRDefault="00D87DAA"/>
    <w:sectPr w:rsidR="00D87DAA" w:rsidSect="00D87DAA">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EDDD8" w14:textId="77777777" w:rsidR="00A7545F" w:rsidRDefault="00A7545F" w:rsidP="001C4E06">
      <w:pPr>
        <w:spacing w:after="0" w:line="240" w:lineRule="auto"/>
      </w:pPr>
      <w:r>
        <w:separator/>
      </w:r>
    </w:p>
  </w:endnote>
  <w:endnote w:type="continuationSeparator" w:id="0">
    <w:p w14:paraId="1692CFDE" w14:textId="77777777" w:rsidR="00A7545F" w:rsidRDefault="00A7545F" w:rsidP="001C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6D48" w14:textId="77777777" w:rsidR="00A7545F" w:rsidRDefault="00A7545F" w:rsidP="001C4E06">
      <w:pPr>
        <w:spacing w:after="0" w:line="240" w:lineRule="auto"/>
      </w:pPr>
      <w:r>
        <w:separator/>
      </w:r>
    </w:p>
  </w:footnote>
  <w:footnote w:type="continuationSeparator" w:id="0">
    <w:p w14:paraId="7555D271" w14:textId="77777777" w:rsidR="00A7545F" w:rsidRDefault="00A7545F" w:rsidP="001C4E06">
      <w:pPr>
        <w:spacing w:after="0" w:line="240" w:lineRule="auto"/>
      </w:pPr>
      <w:r>
        <w:continuationSeparator/>
      </w:r>
    </w:p>
  </w:footnote>
  <w:footnote w:id="1">
    <w:p w14:paraId="5CCD4643" w14:textId="77777777" w:rsidR="001C4E06" w:rsidRPr="006B42E0" w:rsidRDefault="001C4E06" w:rsidP="001C4E06">
      <w:pPr>
        <w:pStyle w:val="Textonotapie"/>
        <w:jc w:val="both"/>
        <w:rPr>
          <w:rFonts w:ascii="Century Gothic" w:hAnsi="Century Gothic"/>
          <w:sz w:val="18"/>
          <w:szCs w:val="18"/>
          <w:lang w:val="es-CO"/>
        </w:rPr>
      </w:pPr>
      <w:r w:rsidRPr="006B42E0">
        <w:rPr>
          <w:rStyle w:val="Refdenotaalpie"/>
          <w:rFonts w:ascii="Century Gothic" w:hAnsi="Century Gothic"/>
          <w:sz w:val="18"/>
          <w:szCs w:val="18"/>
        </w:rPr>
        <w:footnoteRef/>
      </w:r>
      <w:r w:rsidRPr="006B42E0">
        <w:rPr>
          <w:rFonts w:ascii="Century Gothic" w:hAnsi="Century Gothic"/>
          <w:sz w:val="18"/>
          <w:szCs w:val="18"/>
        </w:rPr>
        <w:t xml:space="preserve"> </w:t>
      </w:r>
      <w:r w:rsidRPr="006B42E0">
        <w:rPr>
          <w:rFonts w:ascii="Century Gothic" w:hAnsi="Century Gothic" w:cs="Arial"/>
          <w:bCs/>
          <w:sz w:val="18"/>
          <w:szCs w:val="18"/>
        </w:rPr>
        <w:t xml:space="preserve">Consejo de Estado – Sala de lo Contencioso Administrativo – Sección Tercera, auto del 14 de septiembre de 2017, radicación </w:t>
      </w:r>
      <w:r w:rsidRPr="006B42E0">
        <w:rPr>
          <w:rFonts w:ascii="Century Gothic" w:hAnsi="Century Gothic" w:cs="Arial"/>
          <w:bCs/>
          <w:sz w:val="18"/>
          <w:szCs w:val="18"/>
          <w:lang w:val="es-ES"/>
        </w:rPr>
        <w:t>66001-23-33-000-2012-00119-01(58025).</w:t>
      </w:r>
    </w:p>
  </w:footnote>
  <w:footnote w:id="2">
    <w:p w14:paraId="4A0D5420" w14:textId="77777777" w:rsidR="001C4E06" w:rsidRPr="008B1001" w:rsidRDefault="001C4E06" w:rsidP="001C4E06">
      <w:pPr>
        <w:pStyle w:val="Textonotapie"/>
        <w:jc w:val="both"/>
        <w:rPr>
          <w:lang w:val="es-CO"/>
        </w:rPr>
      </w:pPr>
      <w:r>
        <w:rPr>
          <w:rStyle w:val="Refdenotaalpie"/>
        </w:rPr>
        <w:footnoteRef/>
      </w:r>
      <w:r>
        <w:t xml:space="preserve"> </w:t>
      </w:r>
      <w:r>
        <w:rPr>
          <w:rFonts w:ascii="Century Gothic" w:hAnsi="Century Gothic" w:cs="Arial"/>
          <w:bCs/>
          <w:sz w:val="18"/>
          <w:szCs w:val="18"/>
        </w:rPr>
        <w:t xml:space="preserve">Consejo de Estado, </w:t>
      </w:r>
      <w:r w:rsidRPr="007B7F02">
        <w:rPr>
          <w:rFonts w:ascii="Century Gothic" w:hAnsi="Century Gothic" w:cs="Arial"/>
          <w:bCs/>
          <w:sz w:val="18"/>
          <w:szCs w:val="18"/>
        </w:rPr>
        <w:t xml:space="preserve">Sala </w:t>
      </w:r>
      <w:r>
        <w:rPr>
          <w:rFonts w:ascii="Century Gothic" w:hAnsi="Century Gothic" w:cs="Arial"/>
          <w:bCs/>
          <w:sz w:val="18"/>
          <w:szCs w:val="18"/>
        </w:rPr>
        <w:t xml:space="preserve">de lo Contencioso Administrativo, </w:t>
      </w:r>
      <w:r w:rsidRPr="007B7F02">
        <w:rPr>
          <w:rFonts w:ascii="Century Gothic" w:hAnsi="Century Gothic" w:cs="Arial"/>
          <w:bCs/>
          <w:sz w:val="18"/>
          <w:szCs w:val="18"/>
        </w:rPr>
        <w:t>Sección Tercera</w:t>
      </w:r>
      <w:r>
        <w:rPr>
          <w:rFonts w:ascii="Century Gothic" w:hAnsi="Century Gothic" w:cs="Arial"/>
          <w:bCs/>
          <w:sz w:val="18"/>
          <w:szCs w:val="18"/>
        </w:rPr>
        <w:t>. Exp. 17859.</w:t>
      </w:r>
    </w:p>
  </w:footnote>
  <w:footnote w:id="3">
    <w:p w14:paraId="7C613D04" w14:textId="77777777" w:rsidR="001C4E06" w:rsidRPr="008B1001" w:rsidRDefault="001C4E06" w:rsidP="001C4E06">
      <w:pPr>
        <w:pStyle w:val="Textonotapie"/>
        <w:jc w:val="both"/>
        <w:rPr>
          <w:rFonts w:ascii="Century Gothic" w:hAnsi="Century Gothic"/>
          <w:sz w:val="18"/>
          <w:lang w:val="es-CO"/>
        </w:rPr>
      </w:pPr>
      <w:r>
        <w:rPr>
          <w:rStyle w:val="Refdenotaalpie"/>
        </w:rPr>
        <w:footnoteRef/>
      </w:r>
      <w:r>
        <w:rPr>
          <w:rFonts w:ascii="Century Gothic" w:hAnsi="Century Gothic"/>
          <w:lang w:val="es-CO"/>
        </w:rPr>
        <w:t xml:space="preserve"> </w:t>
      </w:r>
      <w:r>
        <w:rPr>
          <w:rFonts w:ascii="Century Gothic" w:hAnsi="Century Gothic"/>
          <w:sz w:val="18"/>
          <w:lang w:val="es-CO"/>
        </w:rPr>
        <w:t>“</w:t>
      </w:r>
      <w:r>
        <w:rPr>
          <w:rFonts w:ascii="Century Gothic" w:hAnsi="Century Gothic"/>
          <w:i/>
          <w:sz w:val="18"/>
          <w:lang w:val="es-CO"/>
        </w:rPr>
        <w:t>Por medio de la cual se expide el Estatuto de los mecanismos alternativos de solución de conflictos”.</w:t>
      </w:r>
    </w:p>
  </w:footnote>
  <w:footnote w:id="4">
    <w:p w14:paraId="396ECA26" w14:textId="77777777" w:rsidR="001C4E06" w:rsidRPr="00F6027B" w:rsidRDefault="001C4E06" w:rsidP="001C4E06">
      <w:pPr>
        <w:pStyle w:val="Textonotapie"/>
        <w:rPr>
          <w:rFonts w:ascii="Century Gothic" w:hAnsi="Century Gothic"/>
          <w:sz w:val="18"/>
          <w:szCs w:val="18"/>
        </w:rPr>
      </w:pPr>
      <w:r w:rsidRPr="00F6027B">
        <w:rPr>
          <w:rStyle w:val="Refdenotaalpie"/>
          <w:rFonts w:ascii="Century Gothic" w:hAnsi="Century Gothic"/>
          <w:sz w:val="18"/>
          <w:szCs w:val="18"/>
        </w:rPr>
        <w:footnoteRef/>
      </w:r>
      <w:r w:rsidRPr="00F6027B">
        <w:rPr>
          <w:rFonts w:ascii="Century Gothic" w:hAnsi="Century Gothic"/>
          <w:sz w:val="18"/>
          <w:szCs w:val="18"/>
        </w:rPr>
        <w:t xml:space="preserve"> Contrato obrante a folios 18 al 42 cuaderno de anexos de la demanda número 2. </w:t>
      </w:r>
    </w:p>
  </w:footnote>
  <w:footnote w:id="5">
    <w:p w14:paraId="6A4DEBD8" w14:textId="77777777" w:rsidR="001C4E06" w:rsidRPr="007A5CFF" w:rsidRDefault="001C4E06" w:rsidP="001C4E06">
      <w:pPr>
        <w:tabs>
          <w:tab w:val="left" w:pos="8080"/>
          <w:tab w:val="left" w:pos="8364"/>
        </w:tabs>
        <w:ind w:right="646"/>
        <w:jc w:val="both"/>
        <w:rPr>
          <w:rFonts w:ascii="Century Gothic" w:hAnsi="Century Gothic"/>
          <w:sz w:val="18"/>
          <w:szCs w:val="18"/>
        </w:rPr>
      </w:pPr>
      <w:r w:rsidRPr="007A5CFF">
        <w:rPr>
          <w:rStyle w:val="Refdenotaalpie"/>
          <w:rFonts w:ascii="Century Gothic" w:hAnsi="Century Gothic"/>
          <w:sz w:val="18"/>
          <w:szCs w:val="18"/>
        </w:rPr>
        <w:footnoteRef/>
      </w:r>
      <w:r w:rsidRPr="007A5CFF">
        <w:rPr>
          <w:rFonts w:ascii="Century Gothic" w:hAnsi="Century Gothic"/>
          <w:sz w:val="18"/>
          <w:szCs w:val="18"/>
        </w:rPr>
        <w:t xml:space="preserve"> 7.   SOLUCIÓN DE CONTROVERSIAS </w:t>
      </w:r>
    </w:p>
    <w:p w14:paraId="4A5DA7B7" w14:textId="77777777" w:rsidR="001C4E06" w:rsidRPr="007A5CFF" w:rsidRDefault="001C4E06" w:rsidP="001C4E06">
      <w:pPr>
        <w:tabs>
          <w:tab w:val="left" w:pos="8080"/>
        </w:tabs>
        <w:ind w:left="851" w:right="646"/>
        <w:jc w:val="both"/>
        <w:rPr>
          <w:rFonts w:ascii="Century Gothic" w:hAnsi="Century Gothic"/>
          <w:sz w:val="18"/>
          <w:szCs w:val="18"/>
        </w:rPr>
      </w:pPr>
      <w:r w:rsidRPr="007A5CFF">
        <w:rPr>
          <w:rFonts w:ascii="Century Gothic" w:hAnsi="Century Gothic"/>
          <w:sz w:val="18"/>
          <w:szCs w:val="18"/>
        </w:rPr>
        <w:t xml:space="preserve">“7.1 Solución                     Las Partes harán  lo posible por llegar a una solución </w:t>
      </w:r>
    </w:p>
    <w:p w14:paraId="05F8070D" w14:textId="77777777" w:rsidR="001C4E06" w:rsidRPr="007A5CFF" w:rsidRDefault="001C4E06" w:rsidP="001C4E06">
      <w:pPr>
        <w:tabs>
          <w:tab w:val="left" w:pos="8080"/>
        </w:tabs>
        <w:ind w:left="851" w:right="646"/>
        <w:jc w:val="both"/>
        <w:rPr>
          <w:rFonts w:ascii="Century Gothic" w:hAnsi="Century Gothic"/>
          <w:sz w:val="18"/>
          <w:szCs w:val="18"/>
        </w:rPr>
      </w:pPr>
      <w:r w:rsidRPr="007A5CFF">
        <w:rPr>
          <w:rFonts w:ascii="Century Gothic" w:hAnsi="Century Gothic"/>
          <w:sz w:val="18"/>
          <w:szCs w:val="18"/>
        </w:rPr>
        <w:t xml:space="preserve">       amigable                   amigable  de  todas  las  controversias que surjan de     </w:t>
      </w:r>
    </w:p>
    <w:p w14:paraId="173342F6" w14:textId="77777777" w:rsidR="001C4E06" w:rsidRPr="007A5CFF" w:rsidRDefault="001C4E06" w:rsidP="001C4E06">
      <w:pPr>
        <w:tabs>
          <w:tab w:val="left" w:pos="8080"/>
        </w:tabs>
        <w:ind w:left="851" w:right="646"/>
        <w:jc w:val="both"/>
        <w:rPr>
          <w:rFonts w:ascii="Century Gothic" w:hAnsi="Century Gothic"/>
          <w:sz w:val="18"/>
          <w:szCs w:val="18"/>
        </w:rPr>
      </w:pPr>
      <w:r w:rsidRPr="007A5CFF">
        <w:rPr>
          <w:rFonts w:ascii="Century Gothic" w:hAnsi="Century Gothic"/>
          <w:sz w:val="18"/>
          <w:szCs w:val="18"/>
        </w:rPr>
        <w:t xml:space="preserve">                                           este contrato o de su interpretación. </w:t>
      </w:r>
    </w:p>
    <w:p w14:paraId="249C848D" w14:textId="77777777" w:rsidR="001C4E06" w:rsidRPr="007A5CFF" w:rsidRDefault="001C4E06" w:rsidP="001C4E06">
      <w:pPr>
        <w:tabs>
          <w:tab w:val="left" w:pos="8080"/>
        </w:tabs>
        <w:ind w:left="851" w:right="646"/>
        <w:jc w:val="both"/>
        <w:rPr>
          <w:rFonts w:ascii="Century Gothic" w:hAnsi="Century Gothic"/>
          <w:sz w:val="18"/>
          <w:szCs w:val="18"/>
        </w:rPr>
      </w:pPr>
      <w:r w:rsidRPr="007A5CFF">
        <w:rPr>
          <w:rFonts w:ascii="Century Gothic" w:hAnsi="Century Gothic"/>
          <w:sz w:val="18"/>
          <w:szCs w:val="18"/>
        </w:rPr>
        <w:t xml:space="preserve"> </w:t>
      </w:r>
      <w:r>
        <w:rPr>
          <w:rFonts w:ascii="Century Gothic" w:hAnsi="Century Gothic"/>
          <w:sz w:val="18"/>
          <w:szCs w:val="18"/>
        </w:rPr>
        <w:t xml:space="preserve">“7.2 Solución de              </w:t>
      </w:r>
      <w:r w:rsidRPr="007A5CFF">
        <w:rPr>
          <w:rFonts w:ascii="Century Gothic" w:hAnsi="Century Gothic"/>
          <w:sz w:val="18"/>
          <w:szCs w:val="18"/>
        </w:rPr>
        <w:t xml:space="preserve">Toda   controveria   entre    las    Partes    relativa    a </w:t>
      </w:r>
    </w:p>
    <w:p w14:paraId="2395DD02" w14:textId="77777777" w:rsidR="001C4E06" w:rsidRPr="007A5CFF" w:rsidRDefault="001C4E06" w:rsidP="001C4E06">
      <w:pPr>
        <w:tabs>
          <w:tab w:val="left" w:pos="8080"/>
        </w:tabs>
        <w:ind w:left="851" w:right="646"/>
        <w:jc w:val="both"/>
        <w:rPr>
          <w:rFonts w:ascii="Century Gothic" w:hAnsi="Century Gothic"/>
          <w:sz w:val="18"/>
          <w:szCs w:val="18"/>
        </w:rPr>
      </w:pPr>
      <w:r w:rsidRPr="007A5CFF">
        <w:rPr>
          <w:rFonts w:ascii="Century Gothic" w:hAnsi="Century Gothic"/>
          <w:sz w:val="18"/>
          <w:szCs w:val="18"/>
        </w:rPr>
        <w:t xml:space="preserve">      controversidas            cuestiones  que  surjan  en  virtud  de  este  contrato     </w:t>
      </w:r>
    </w:p>
    <w:p w14:paraId="474C49A7" w14:textId="77777777" w:rsidR="001C4E06" w:rsidRPr="007A5CFF" w:rsidRDefault="001C4E06" w:rsidP="001C4E06">
      <w:pPr>
        <w:tabs>
          <w:tab w:val="left" w:pos="8080"/>
        </w:tabs>
        <w:ind w:left="851" w:right="646"/>
        <w:jc w:val="both"/>
        <w:rPr>
          <w:rFonts w:ascii="Century Gothic" w:hAnsi="Century Gothic"/>
          <w:sz w:val="18"/>
          <w:szCs w:val="18"/>
        </w:rPr>
      </w:pPr>
      <w:r w:rsidRPr="007A5CFF">
        <w:rPr>
          <w:rFonts w:ascii="Century Gothic" w:hAnsi="Century Gothic"/>
          <w:sz w:val="18"/>
          <w:szCs w:val="18"/>
        </w:rPr>
        <w:t xml:space="preserve">                                           que    no   haya  </w:t>
      </w:r>
      <w:r>
        <w:rPr>
          <w:rFonts w:ascii="Century Gothic" w:hAnsi="Century Gothic"/>
          <w:sz w:val="18"/>
          <w:szCs w:val="18"/>
        </w:rPr>
        <w:t xml:space="preserve"> podido    solucionarse   </w:t>
      </w:r>
      <w:r w:rsidRPr="007A5CFF">
        <w:rPr>
          <w:rFonts w:ascii="Century Gothic" w:hAnsi="Century Gothic"/>
          <w:sz w:val="18"/>
          <w:szCs w:val="18"/>
        </w:rPr>
        <w:t xml:space="preserve">en    forma   </w:t>
      </w:r>
    </w:p>
    <w:p w14:paraId="54B260C9" w14:textId="77777777" w:rsidR="001C4E06" w:rsidRPr="007A5CFF" w:rsidRDefault="001C4E06" w:rsidP="001C4E06">
      <w:pPr>
        <w:tabs>
          <w:tab w:val="left" w:pos="8080"/>
        </w:tabs>
        <w:ind w:left="851" w:right="646"/>
        <w:jc w:val="both"/>
        <w:rPr>
          <w:rFonts w:ascii="Century Gothic" w:hAnsi="Century Gothic"/>
          <w:sz w:val="18"/>
          <w:szCs w:val="18"/>
        </w:rPr>
      </w:pPr>
      <w:r w:rsidRPr="007A5CFF">
        <w:rPr>
          <w:rFonts w:ascii="Century Gothic" w:hAnsi="Century Gothic"/>
          <w:sz w:val="18"/>
          <w:szCs w:val="18"/>
        </w:rPr>
        <w:t xml:space="preserve">                                           amigable  dentr</w:t>
      </w:r>
      <w:r>
        <w:rPr>
          <w:rFonts w:ascii="Century Gothic" w:hAnsi="Century Gothic"/>
          <w:sz w:val="18"/>
          <w:szCs w:val="18"/>
        </w:rPr>
        <w:t>o  de  los  treinta (30) días s</w:t>
      </w:r>
      <w:r w:rsidRPr="007A5CFF">
        <w:rPr>
          <w:rFonts w:ascii="Century Gothic" w:hAnsi="Century Gothic"/>
          <w:sz w:val="18"/>
          <w:szCs w:val="18"/>
        </w:rPr>
        <w:t xml:space="preserve">iguientes </w:t>
      </w:r>
    </w:p>
    <w:p w14:paraId="5A37E60B" w14:textId="77777777" w:rsidR="001C4E06" w:rsidRPr="007A5CFF" w:rsidRDefault="001C4E06" w:rsidP="001C4E06">
      <w:pPr>
        <w:tabs>
          <w:tab w:val="left" w:pos="8080"/>
        </w:tabs>
        <w:ind w:left="851" w:right="646"/>
        <w:rPr>
          <w:rFonts w:ascii="Century Gothic" w:hAnsi="Century Gothic"/>
          <w:sz w:val="18"/>
          <w:szCs w:val="18"/>
        </w:rPr>
      </w:pPr>
      <w:r w:rsidRPr="007A5CFF">
        <w:rPr>
          <w:rFonts w:ascii="Century Gothic" w:hAnsi="Century Gothic"/>
          <w:sz w:val="18"/>
          <w:szCs w:val="18"/>
        </w:rPr>
        <w:t xml:space="preserve">                                           a la recepción  por  una de las Partes de la  solicitud </w:t>
      </w:r>
    </w:p>
    <w:p w14:paraId="2D812AD5" w14:textId="77777777" w:rsidR="001C4E06" w:rsidRPr="007A5CFF" w:rsidRDefault="001C4E06" w:rsidP="001C4E06">
      <w:pPr>
        <w:tabs>
          <w:tab w:val="left" w:pos="8080"/>
        </w:tabs>
        <w:ind w:left="851" w:right="646"/>
        <w:rPr>
          <w:rFonts w:ascii="Century Gothic" w:hAnsi="Century Gothic"/>
          <w:sz w:val="18"/>
          <w:szCs w:val="18"/>
        </w:rPr>
      </w:pPr>
      <w:r w:rsidRPr="007A5CFF">
        <w:rPr>
          <w:rFonts w:ascii="Century Gothic" w:hAnsi="Century Gothic"/>
          <w:sz w:val="18"/>
          <w:szCs w:val="18"/>
        </w:rPr>
        <w:t xml:space="preserve">                                           de    la   otra   Parte  para  encontrar   una    solución </w:t>
      </w:r>
    </w:p>
    <w:p w14:paraId="4F550A5D" w14:textId="77777777" w:rsidR="001C4E06" w:rsidRPr="007A5CFF" w:rsidRDefault="001C4E06" w:rsidP="001C4E06">
      <w:pPr>
        <w:tabs>
          <w:tab w:val="left" w:pos="8080"/>
        </w:tabs>
        <w:ind w:left="851" w:right="646"/>
        <w:rPr>
          <w:rFonts w:ascii="Century Gothic" w:hAnsi="Century Gothic"/>
          <w:sz w:val="18"/>
          <w:szCs w:val="18"/>
        </w:rPr>
      </w:pPr>
      <w:r w:rsidRPr="007A5CFF">
        <w:rPr>
          <w:rFonts w:ascii="Century Gothic" w:hAnsi="Century Gothic"/>
          <w:sz w:val="18"/>
          <w:szCs w:val="18"/>
        </w:rPr>
        <w:t xml:space="preserve">                                           amigable,   podrá  ser  presentada   por   cualquiera </w:t>
      </w:r>
    </w:p>
    <w:p w14:paraId="0C7B7B96" w14:textId="77777777" w:rsidR="001C4E06" w:rsidRPr="007A5CFF" w:rsidRDefault="001C4E06" w:rsidP="001C4E06">
      <w:pPr>
        <w:tabs>
          <w:tab w:val="left" w:pos="8080"/>
        </w:tabs>
        <w:ind w:left="851" w:right="646"/>
        <w:rPr>
          <w:rFonts w:ascii="Century Gothic" w:hAnsi="Century Gothic"/>
          <w:sz w:val="18"/>
          <w:szCs w:val="18"/>
        </w:rPr>
      </w:pPr>
      <w:r w:rsidRPr="007A5CFF">
        <w:rPr>
          <w:rFonts w:ascii="Century Gothic" w:hAnsi="Century Gothic"/>
          <w:sz w:val="18"/>
          <w:szCs w:val="18"/>
        </w:rPr>
        <w:t xml:space="preserve">                                           de   las   Partes   para   su   solución   conforme  a   lo </w:t>
      </w:r>
    </w:p>
    <w:p w14:paraId="7840EF3F" w14:textId="77777777" w:rsidR="001C4E06" w:rsidRPr="007A5CFF" w:rsidRDefault="001C4E06" w:rsidP="001C4E06">
      <w:pPr>
        <w:tabs>
          <w:tab w:val="left" w:pos="8080"/>
        </w:tabs>
        <w:ind w:left="851" w:right="646"/>
        <w:rPr>
          <w:rFonts w:ascii="Century Gothic" w:hAnsi="Century Gothic"/>
          <w:sz w:val="18"/>
          <w:szCs w:val="18"/>
        </w:rPr>
      </w:pPr>
      <w:r w:rsidRPr="007A5CFF">
        <w:rPr>
          <w:rFonts w:ascii="Century Gothic" w:hAnsi="Century Gothic"/>
          <w:sz w:val="18"/>
          <w:szCs w:val="18"/>
        </w:rPr>
        <w:t xml:space="preserve">                                           lo   dispuesto    en     las   CEC”  (las     CEC    son   las        </w:t>
      </w:r>
    </w:p>
    <w:p w14:paraId="6E274835" w14:textId="77777777" w:rsidR="001C4E06" w:rsidRPr="007A5CFF" w:rsidRDefault="001C4E06" w:rsidP="001C4E06">
      <w:pPr>
        <w:tabs>
          <w:tab w:val="left" w:pos="8080"/>
        </w:tabs>
        <w:ind w:left="851" w:right="646"/>
        <w:rPr>
          <w:rFonts w:ascii="Century Gothic" w:hAnsi="Century Gothic"/>
          <w:sz w:val="18"/>
          <w:szCs w:val="18"/>
        </w:rPr>
      </w:pPr>
      <w:r w:rsidRPr="007A5CFF">
        <w:rPr>
          <w:rFonts w:ascii="Century Gothic" w:hAnsi="Century Gothic"/>
          <w:sz w:val="18"/>
          <w:szCs w:val="18"/>
        </w:rPr>
        <w:t xml:space="preserve">                                           condi</w:t>
      </w:r>
      <w:r>
        <w:rPr>
          <w:rFonts w:ascii="Century Gothic" w:hAnsi="Century Gothic"/>
          <w:sz w:val="18"/>
          <w:szCs w:val="18"/>
        </w:rPr>
        <w:t>ciones especiales del contrato)</w:t>
      </w:r>
      <w:r w:rsidRPr="007A5CFF">
        <w:rPr>
          <w:rFonts w:ascii="Century Gothic" w:hAnsi="Century Gothic"/>
          <w:sz w:val="18"/>
          <w:szCs w:val="18"/>
        </w:rPr>
        <w:t xml:space="preserve">.  </w:t>
      </w:r>
    </w:p>
  </w:footnote>
  <w:footnote w:id="6">
    <w:p w14:paraId="740A1110" w14:textId="77777777" w:rsidR="001C4E06" w:rsidRPr="007A5CFF" w:rsidRDefault="001C4E06" w:rsidP="001C4E06">
      <w:pPr>
        <w:tabs>
          <w:tab w:val="left" w:pos="3261"/>
          <w:tab w:val="left" w:pos="8080"/>
        </w:tabs>
        <w:ind w:right="646"/>
        <w:jc w:val="both"/>
        <w:rPr>
          <w:rFonts w:ascii="Century Gothic" w:hAnsi="Century Gothic"/>
          <w:sz w:val="18"/>
          <w:szCs w:val="18"/>
        </w:rPr>
      </w:pPr>
      <w:r w:rsidRPr="007A5CFF">
        <w:rPr>
          <w:rStyle w:val="Refdenotaalpie"/>
          <w:sz w:val="18"/>
          <w:szCs w:val="18"/>
        </w:rPr>
        <w:footnoteRef/>
      </w:r>
      <w:r w:rsidRPr="007A5CFF">
        <w:rPr>
          <w:sz w:val="18"/>
          <w:szCs w:val="18"/>
        </w:rPr>
        <w:t xml:space="preserve"> </w:t>
      </w:r>
      <w:r>
        <w:rPr>
          <w:sz w:val="18"/>
          <w:szCs w:val="18"/>
        </w:rPr>
        <w:t xml:space="preserve">            </w:t>
      </w:r>
      <w:r w:rsidRPr="007A5CFF">
        <w:rPr>
          <w:rFonts w:ascii="Century Gothic" w:hAnsi="Century Gothic"/>
          <w:sz w:val="18"/>
          <w:szCs w:val="18"/>
        </w:rPr>
        <w:t xml:space="preserve">“7.2.                              </w:t>
      </w:r>
      <w:r>
        <w:rPr>
          <w:rFonts w:ascii="Century Gothic" w:hAnsi="Century Gothic"/>
          <w:sz w:val="18"/>
          <w:szCs w:val="18"/>
        </w:rPr>
        <w:t xml:space="preserve">         </w:t>
      </w:r>
      <w:r w:rsidRPr="007A5CFF">
        <w:rPr>
          <w:rFonts w:ascii="Century Gothic" w:hAnsi="Century Gothic"/>
          <w:sz w:val="18"/>
          <w:szCs w:val="18"/>
        </w:rPr>
        <w:t>Toda diferencia, controversia o reclamación</w:t>
      </w:r>
      <w:r>
        <w:rPr>
          <w:rFonts w:ascii="Century Gothic" w:hAnsi="Century Gothic"/>
          <w:sz w:val="18"/>
          <w:szCs w:val="18"/>
        </w:rPr>
        <w:t xml:space="preserve"> </w:t>
      </w:r>
      <w:r w:rsidRPr="007A5CFF">
        <w:rPr>
          <w:rFonts w:ascii="Century Gothic" w:hAnsi="Century Gothic"/>
          <w:sz w:val="18"/>
          <w:szCs w:val="18"/>
        </w:rPr>
        <w:t xml:space="preserve">que surja </w:t>
      </w:r>
    </w:p>
    <w:p w14:paraId="413D7DBC" w14:textId="77777777" w:rsidR="001C4E06" w:rsidRPr="007A5CFF" w:rsidRDefault="001C4E06" w:rsidP="001C4E06">
      <w:pPr>
        <w:tabs>
          <w:tab w:val="left" w:pos="3261"/>
          <w:tab w:val="left" w:pos="8080"/>
        </w:tabs>
        <w:ind w:left="851" w:right="646"/>
        <w:jc w:val="both"/>
        <w:rPr>
          <w:rFonts w:ascii="Century Gothic" w:hAnsi="Century Gothic"/>
          <w:sz w:val="18"/>
          <w:szCs w:val="18"/>
        </w:rPr>
      </w:pPr>
      <w:r w:rsidRPr="007A5CFF">
        <w:rPr>
          <w:rFonts w:ascii="Century Gothic" w:hAnsi="Century Gothic"/>
          <w:sz w:val="18"/>
          <w:szCs w:val="18"/>
        </w:rPr>
        <w:t xml:space="preserve">                                         </w:t>
      </w:r>
      <w:r>
        <w:rPr>
          <w:rFonts w:ascii="Century Gothic" w:hAnsi="Century Gothic"/>
          <w:sz w:val="18"/>
          <w:szCs w:val="18"/>
        </w:rPr>
        <w:t xml:space="preserve">  </w:t>
      </w:r>
      <w:r w:rsidRPr="007A5CFF">
        <w:rPr>
          <w:rFonts w:ascii="Century Gothic" w:hAnsi="Century Gothic"/>
          <w:sz w:val="18"/>
          <w:szCs w:val="18"/>
        </w:rPr>
        <w:t xml:space="preserve">de   este   Contrato  o  en  relación  con  el  mismo,  o </w:t>
      </w:r>
    </w:p>
    <w:p w14:paraId="6F0D76ED" w14:textId="77777777" w:rsidR="001C4E06" w:rsidRPr="007A5CFF" w:rsidRDefault="001C4E06" w:rsidP="001C4E06">
      <w:pPr>
        <w:tabs>
          <w:tab w:val="left" w:pos="3261"/>
          <w:tab w:val="left" w:pos="8080"/>
        </w:tabs>
        <w:ind w:left="851" w:right="646"/>
        <w:jc w:val="both"/>
        <w:rPr>
          <w:rFonts w:ascii="Century Gothic" w:hAnsi="Century Gothic"/>
          <w:sz w:val="18"/>
          <w:szCs w:val="18"/>
        </w:rPr>
      </w:pPr>
      <w:r w:rsidRPr="007A5CFF">
        <w:rPr>
          <w:rFonts w:ascii="Century Gothic" w:hAnsi="Century Gothic"/>
          <w:sz w:val="18"/>
          <w:szCs w:val="18"/>
        </w:rPr>
        <w:t xml:space="preserve">                                        </w:t>
      </w:r>
      <w:r>
        <w:rPr>
          <w:rFonts w:ascii="Century Gothic" w:hAnsi="Century Gothic"/>
          <w:sz w:val="18"/>
          <w:szCs w:val="18"/>
        </w:rPr>
        <w:t xml:space="preserve">  </w:t>
      </w:r>
      <w:r w:rsidRPr="007A5CFF">
        <w:rPr>
          <w:rFonts w:ascii="Century Gothic" w:hAnsi="Century Gothic"/>
          <w:sz w:val="18"/>
          <w:szCs w:val="18"/>
        </w:rPr>
        <w:t xml:space="preserve"> con su incumplimiento, rescisión  o  invalidez,  deberá</w:t>
      </w:r>
    </w:p>
    <w:p w14:paraId="729855EF" w14:textId="77777777" w:rsidR="001C4E06" w:rsidRPr="007A5CFF" w:rsidRDefault="001C4E06" w:rsidP="001C4E06">
      <w:pPr>
        <w:tabs>
          <w:tab w:val="left" w:pos="3261"/>
          <w:tab w:val="left" w:pos="8080"/>
        </w:tabs>
        <w:ind w:left="851" w:right="646"/>
        <w:jc w:val="both"/>
        <w:rPr>
          <w:rFonts w:ascii="Century Gothic" w:hAnsi="Century Gothic"/>
          <w:sz w:val="18"/>
          <w:szCs w:val="18"/>
        </w:rPr>
      </w:pPr>
      <w:r w:rsidRPr="007A5CFF">
        <w:rPr>
          <w:rFonts w:ascii="Century Gothic" w:hAnsi="Century Gothic"/>
          <w:sz w:val="18"/>
          <w:szCs w:val="18"/>
        </w:rPr>
        <w:t xml:space="preserve">                                        </w:t>
      </w:r>
      <w:r>
        <w:rPr>
          <w:rFonts w:ascii="Century Gothic" w:hAnsi="Century Gothic"/>
          <w:sz w:val="18"/>
          <w:szCs w:val="18"/>
        </w:rPr>
        <w:t xml:space="preserve">  </w:t>
      </w:r>
      <w:r w:rsidRPr="007A5CFF">
        <w:rPr>
          <w:rFonts w:ascii="Century Gothic" w:hAnsi="Century Gothic"/>
          <w:sz w:val="18"/>
          <w:szCs w:val="18"/>
        </w:rPr>
        <w:t xml:space="preserve"> solucionarse mediante arbitraje de  conformidad con </w:t>
      </w:r>
    </w:p>
    <w:p w14:paraId="5925AB22" w14:textId="77777777" w:rsidR="001C4E06" w:rsidRPr="007A5CFF" w:rsidRDefault="001C4E06" w:rsidP="001C4E06">
      <w:pPr>
        <w:tabs>
          <w:tab w:val="left" w:pos="3261"/>
          <w:tab w:val="left" w:pos="8080"/>
        </w:tabs>
        <w:ind w:left="851" w:right="646"/>
        <w:jc w:val="both"/>
        <w:rPr>
          <w:rFonts w:ascii="Century Gothic" w:hAnsi="Century Gothic"/>
          <w:sz w:val="18"/>
          <w:szCs w:val="18"/>
        </w:rPr>
      </w:pPr>
      <w:r w:rsidRPr="007A5CFF">
        <w:rPr>
          <w:rFonts w:ascii="Century Gothic" w:hAnsi="Century Gothic"/>
          <w:sz w:val="18"/>
          <w:szCs w:val="18"/>
        </w:rPr>
        <w:t xml:space="preserve">                                        </w:t>
      </w:r>
      <w:r>
        <w:rPr>
          <w:rFonts w:ascii="Century Gothic" w:hAnsi="Century Gothic"/>
          <w:sz w:val="18"/>
          <w:szCs w:val="18"/>
        </w:rPr>
        <w:t xml:space="preserve">  </w:t>
      </w:r>
      <w:r w:rsidRPr="007A5CFF">
        <w:rPr>
          <w:rFonts w:ascii="Century Gothic" w:hAnsi="Century Gothic"/>
          <w:sz w:val="18"/>
          <w:szCs w:val="18"/>
        </w:rPr>
        <w:t xml:space="preserve"> el  reglamento   de  arbitraje   de  la Comisión  de  las </w:t>
      </w:r>
    </w:p>
    <w:p w14:paraId="15231431" w14:textId="77777777" w:rsidR="001C4E06" w:rsidRPr="007A5CFF" w:rsidRDefault="001C4E06" w:rsidP="001C4E06">
      <w:pPr>
        <w:tabs>
          <w:tab w:val="left" w:pos="3261"/>
          <w:tab w:val="left" w:pos="8080"/>
        </w:tabs>
        <w:ind w:left="851" w:right="646"/>
        <w:jc w:val="both"/>
        <w:rPr>
          <w:rFonts w:ascii="Century Gothic" w:hAnsi="Century Gothic"/>
          <w:sz w:val="18"/>
          <w:szCs w:val="18"/>
        </w:rPr>
      </w:pPr>
      <w:r w:rsidRPr="007A5CFF">
        <w:rPr>
          <w:rFonts w:ascii="Century Gothic" w:hAnsi="Century Gothic"/>
          <w:sz w:val="18"/>
          <w:szCs w:val="18"/>
        </w:rPr>
        <w:t xml:space="preserve">                                        </w:t>
      </w:r>
      <w:r>
        <w:rPr>
          <w:rFonts w:ascii="Century Gothic" w:hAnsi="Century Gothic"/>
          <w:sz w:val="18"/>
          <w:szCs w:val="18"/>
        </w:rPr>
        <w:t xml:space="preserve">  </w:t>
      </w:r>
      <w:r w:rsidRPr="007A5CFF">
        <w:rPr>
          <w:rFonts w:ascii="Century Gothic" w:hAnsi="Century Gothic"/>
          <w:sz w:val="18"/>
          <w:szCs w:val="18"/>
        </w:rPr>
        <w:t xml:space="preserve"> Naciones    Unidas    para    el     Derecho     Mercantil</w:t>
      </w:r>
    </w:p>
    <w:p w14:paraId="7DCA514C" w14:textId="77777777" w:rsidR="001C4E06" w:rsidRPr="007A5CFF" w:rsidRDefault="001C4E06" w:rsidP="001C4E06">
      <w:pPr>
        <w:tabs>
          <w:tab w:val="left" w:pos="3261"/>
          <w:tab w:val="left" w:pos="8080"/>
        </w:tabs>
        <w:ind w:left="851" w:right="646"/>
        <w:jc w:val="both"/>
        <w:rPr>
          <w:rFonts w:ascii="Century Gothic" w:hAnsi="Century Gothic"/>
          <w:sz w:val="18"/>
          <w:szCs w:val="18"/>
        </w:rPr>
      </w:pPr>
      <w:r w:rsidRPr="007A5CFF">
        <w:rPr>
          <w:rFonts w:ascii="Century Gothic" w:hAnsi="Century Gothic"/>
          <w:sz w:val="18"/>
          <w:szCs w:val="18"/>
        </w:rPr>
        <w:t xml:space="preserve">                                        </w:t>
      </w:r>
      <w:r>
        <w:rPr>
          <w:rFonts w:ascii="Century Gothic" w:hAnsi="Century Gothic"/>
          <w:sz w:val="18"/>
          <w:szCs w:val="18"/>
        </w:rPr>
        <w:t xml:space="preserve">  </w:t>
      </w:r>
      <w:r w:rsidRPr="007A5CFF">
        <w:rPr>
          <w:rFonts w:ascii="Century Gothic" w:hAnsi="Century Gothic"/>
          <w:sz w:val="18"/>
          <w:szCs w:val="18"/>
        </w:rPr>
        <w:t xml:space="preserve"> Internacional (CNUDMI) vigente en ese momento”.</w:t>
      </w:r>
    </w:p>
    <w:p w14:paraId="559DC4F9" w14:textId="77777777" w:rsidR="001C4E06" w:rsidRDefault="001C4E06" w:rsidP="001C4E06">
      <w:pPr>
        <w:pStyle w:val="Textonotapie"/>
      </w:pPr>
    </w:p>
  </w:footnote>
  <w:footnote w:id="7">
    <w:p w14:paraId="209A61BF" w14:textId="77777777" w:rsidR="001C4E06" w:rsidRPr="00CD5F90" w:rsidRDefault="001C4E06" w:rsidP="001C4E06">
      <w:pPr>
        <w:widowControl w:val="0"/>
        <w:jc w:val="both"/>
        <w:rPr>
          <w:rFonts w:ascii="Century Gothic" w:hAnsi="Century Gothic" w:cs="Arial"/>
          <w:sz w:val="18"/>
          <w:szCs w:val="18"/>
        </w:rPr>
      </w:pPr>
      <w:r w:rsidRPr="00CD5F90">
        <w:rPr>
          <w:rStyle w:val="Refdenotaalpie"/>
          <w:rFonts w:ascii="Century Gothic" w:hAnsi="Century Gothic"/>
          <w:sz w:val="18"/>
          <w:szCs w:val="18"/>
        </w:rPr>
        <w:footnoteRef/>
      </w:r>
      <w:r w:rsidRPr="00CD5F90">
        <w:rPr>
          <w:rFonts w:ascii="Century Gothic" w:hAnsi="Century Gothic"/>
          <w:sz w:val="18"/>
          <w:szCs w:val="18"/>
        </w:rPr>
        <w:t xml:space="preserve"> </w:t>
      </w:r>
      <w:r>
        <w:rPr>
          <w:rFonts w:ascii="Century Gothic" w:hAnsi="Century Gothic" w:cs="Arial"/>
          <w:sz w:val="18"/>
          <w:szCs w:val="18"/>
        </w:rPr>
        <w:t>Auto del 14 de s</w:t>
      </w:r>
      <w:r w:rsidRPr="00CD5F90">
        <w:rPr>
          <w:rFonts w:ascii="Century Gothic" w:hAnsi="Century Gothic" w:cs="Arial"/>
          <w:sz w:val="18"/>
          <w:szCs w:val="18"/>
        </w:rPr>
        <w:t>eptiemb</w:t>
      </w:r>
      <w:r>
        <w:rPr>
          <w:rFonts w:ascii="Century Gothic" w:hAnsi="Century Gothic" w:cs="Arial"/>
          <w:sz w:val="18"/>
          <w:szCs w:val="18"/>
        </w:rPr>
        <w:t xml:space="preserve">re de 2018, radicación </w:t>
      </w:r>
      <w:r w:rsidRPr="00CD5F90">
        <w:rPr>
          <w:rFonts w:ascii="Century Gothic" w:hAnsi="Century Gothic" w:cs="Arial"/>
          <w:bCs/>
          <w:sz w:val="18"/>
          <w:szCs w:val="18"/>
          <w:lang w:val="es-ES_tradnl"/>
        </w:rPr>
        <w:t>13001-23-31-000-2009-00164-01(53392).</w:t>
      </w:r>
    </w:p>
  </w:footnote>
  <w:footnote w:id="8">
    <w:p w14:paraId="5DA49555" w14:textId="77777777" w:rsidR="001C4E06" w:rsidRPr="00CD5F90" w:rsidRDefault="001C4E06" w:rsidP="001C4E06">
      <w:pPr>
        <w:pStyle w:val="Textonotapie"/>
        <w:jc w:val="both"/>
        <w:rPr>
          <w:rFonts w:ascii="Century Gothic" w:hAnsi="Century Gothic"/>
          <w:sz w:val="18"/>
          <w:szCs w:val="18"/>
          <w:lang w:val="es-CO"/>
        </w:rPr>
      </w:pPr>
      <w:r w:rsidRPr="00CD5F90">
        <w:rPr>
          <w:rStyle w:val="Refdenotaalpie"/>
          <w:rFonts w:ascii="Century Gothic" w:hAnsi="Century Gothic"/>
          <w:sz w:val="18"/>
          <w:szCs w:val="18"/>
        </w:rPr>
        <w:footnoteRef/>
      </w:r>
      <w:r w:rsidRPr="00CD5F90">
        <w:rPr>
          <w:rFonts w:ascii="Century Gothic" w:hAnsi="Century Gothic"/>
          <w:sz w:val="18"/>
          <w:szCs w:val="18"/>
        </w:rPr>
        <w:t xml:space="preserve"> </w:t>
      </w:r>
      <w:r w:rsidRPr="00CD5F90">
        <w:rPr>
          <w:rFonts w:ascii="Century Gothic" w:hAnsi="Century Gothic" w:cs="Arial"/>
          <w:sz w:val="18"/>
          <w:szCs w:val="18"/>
        </w:rPr>
        <w:t>Cfr. Consejo de Estado, Sección Tercera, sentencia del 25 de abril de 2018, Rad. 58.</w:t>
      </w:r>
      <w:r>
        <w:rPr>
          <w:rFonts w:ascii="Century Gothic" w:hAnsi="Century Gothic" w:cs="Arial"/>
          <w:sz w:val="18"/>
          <w:szCs w:val="18"/>
        </w:rPr>
        <w:t>890.</w:t>
      </w:r>
    </w:p>
  </w:footnote>
  <w:footnote w:id="9">
    <w:p w14:paraId="0E01B985" w14:textId="77777777" w:rsidR="001C4E06" w:rsidRPr="00F44DA4" w:rsidRDefault="001C4E06" w:rsidP="001C4E06">
      <w:pPr>
        <w:pStyle w:val="Textosinformato1"/>
        <w:jc w:val="both"/>
        <w:rPr>
          <w:rFonts w:ascii="Century Gothic" w:eastAsia="Arial" w:hAnsi="Century Gothic" w:cs="Arial"/>
          <w:sz w:val="18"/>
          <w:szCs w:val="18"/>
          <w:lang w:val="es-ES_tradnl"/>
        </w:rPr>
      </w:pPr>
      <w:r w:rsidRPr="00CD5F90">
        <w:rPr>
          <w:rStyle w:val="Refdenotaalpie"/>
          <w:rFonts w:ascii="Century Gothic" w:hAnsi="Century Gothic"/>
          <w:sz w:val="18"/>
          <w:szCs w:val="18"/>
        </w:rPr>
        <w:footnoteRef/>
      </w:r>
      <w:r w:rsidRPr="0024361C">
        <w:rPr>
          <w:rFonts w:ascii="Century Gothic" w:hAnsi="Century Gothic"/>
          <w:sz w:val="18"/>
          <w:szCs w:val="18"/>
          <w:lang w:val="es-MX"/>
        </w:rPr>
        <w:t xml:space="preserve"> </w:t>
      </w:r>
      <w:r>
        <w:rPr>
          <w:rFonts w:ascii="Century Gothic" w:hAnsi="Century Gothic" w:cs="Arial"/>
          <w:sz w:val="18"/>
          <w:szCs w:val="18"/>
          <w:lang w:val="es-ES_tradnl"/>
        </w:rPr>
        <w:t>R</w:t>
      </w:r>
      <w:r w:rsidRPr="00CD5F90">
        <w:rPr>
          <w:rFonts w:ascii="Century Gothic" w:hAnsi="Century Gothic" w:cs="Arial"/>
          <w:sz w:val="18"/>
          <w:szCs w:val="18"/>
          <w:lang w:val="es-ES_tradnl"/>
        </w:rPr>
        <w:t>adicación</w:t>
      </w:r>
      <w:r>
        <w:rPr>
          <w:rFonts w:ascii="Century Gothic" w:eastAsia="Arial" w:hAnsi="Century Gothic" w:cs="Arial"/>
          <w:sz w:val="18"/>
          <w:szCs w:val="18"/>
          <w:lang w:val="es-ES_tradnl"/>
        </w:rPr>
        <w:t xml:space="preserve"> </w:t>
      </w:r>
      <w:r w:rsidRPr="00CD5F90">
        <w:rPr>
          <w:rFonts w:ascii="Century Gothic" w:eastAsia="Arial" w:hAnsi="Century Gothic" w:cs="Arial"/>
          <w:sz w:val="18"/>
          <w:szCs w:val="18"/>
          <w:lang w:val="es-ES_tradnl"/>
        </w:rPr>
        <w:t xml:space="preserve"> 05001-23-31-000-2010-00463-01 (58890)</w:t>
      </w:r>
    </w:p>
  </w:footnote>
  <w:footnote w:id="10">
    <w:p w14:paraId="7336DC69" w14:textId="77777777" w:rsidR="001C4E06" w:rsidRPr="0081191B" w:rsidRDefault="001C4E06" w:rsidP="001C4E06">
      <w:pPr>
        <w:pStyle w:val="Textonotapie"/>
        <w:jc w:val="both"/>
        <w:rPr>
          <w:rFonts w:ascii="Century Gothic" w:hAnsi="Century Gothic"/>
          <w:sz w:val="18"/>
          <w:szCs w:val="18"/>
          <w:lang w:val="es-CO"/>
        </w:rPr>
      </w:pPr>
      <w:r w:rsidRPr="0081191B">
        <w:rPr>
          <w:rStyle w:val="Refdenotaalpie"/>
          <w:rFonts w:ascii="Century Gothic" w:hAnsi="Century Gothic"/>
          <w:sz w:val="18"/>
          <w:szCs w:val="18"/>
        </w:rPr>
        <w:footnoteRef/>
      </w:r>
      <w:r w:rsidRPr="0081191B">
        <w:rPr>
          <w:rFonts w:ascii="Century Gothic" w:hAnsi="Century Gothic"/>
          <w:sz w:val="18"/>
          <w:szCs w:val="18"/>
        </w:rPr>
        <w:t xml:space="preserve"> Comisión Int</w:t>
      </w:r>
      <w:r>
        <w:rPr>
          <w:rFonts w:ascii="Century Gothic" w:hAnsi="Century Gothic"/>
          <w:sz w:val="18"/>
          <w:szCs w:val="18"/>
        </w:rPr>
        <w:t>eramericana de Derechos Humanos, c</w:t>
      </w:r>
      <w:r w:rsidRPr="0081191B">
        <w:rPr>
          <w:rFonts w:ascii="Century Gothic" w:hAnsi="Century Gothic"/>
          <w:sz w:val="18"/>
          <w:szCs w:val="18"/>
        </w:rPr>
        <w:t>as</w:t>
      </w:r>
      <w:r>
        <w:rPr>
          <w:rFonts w:ascii="Century Gothic" w:hAnsi="Century Gothic"/>
          <w:sz w:val="18"/>
          <w:szCs w:val="18"/>
        </w:rPr>
        <w:t xml:space="preserve">o Narciso Palacios c/ Argentina, informe 105/99, caso 10.194, </w:t>
      </w:r>
      <w:r w:rsidRPr="0081191B">
        <w:rPr>
          <w:rFonts w:ascii="Century Gothic" w:hAnsi="Century Gothic"/>
          <w:sz w:val="18"/>
          <w:szCs w:val="18"/>
        </w:rPr>
        <w:t>29 de septiembre de 1999.</w:t>
      </w:r>
    </w:p>
  </w:footnote>
  <w:footnote w:id="11">
    <w:p w14:paraId="1AB291B9" w14:textId="77777777" w:rsidR="001C4E06" w:rsidRPr="0081191B" w:rsidRDefault="001C4E06" w:rsidP="001C4E06">
      <w:pPr>
        <w:pStyle w:val="Textonotapie"/>
        <w:jc w:val="both"/>
        <w:rPr>
          <w:rFonts w:ascii="Century Gothic" w:hAnsi="Century Gothic"/>
          <w:sz w:val="18"/>
          <w:szCs w:val="18"/>
        </w:rPr>
      </w:pPr>
      <w:r w:rsidRPr="0081191B">
        <w:rPr>
          <w:rStyle w:val="Refdenotaalpie"/>
          <w:rFonts w:ascii="Century Gothic" w:hAnsi="Century Gothic"/>
          <w:sz w:val="18"/>
          <w:szCs w:val="18"/>
        </w:rPr>
        <w:footnoteRef/>
      </w:r>
      <w:r w:rsidRPr="0081191B">
        <w:rPr>
          <w:rFonts w:ascii="Century Gothic" w:hAnsi="Century Gothic"/>
          <w:sz w:val="18"/>
          <w:szCs w:val="18"/>
        </w:rPr>
        <w:t xml:space="preserve"> Consejo de Estado, Sala Plena de lo Contencioso</w:t>
      </w:r>
      <w:r>
        <w:rPr>
          <w:rFonts w:ascii="Century Gothic" w:hAnsi="Century Gothic"/>
          <w:sz w:val="18"/>
          <w:szCs w:val="18"/>
        </w:rPr>
        <w:t xml:space="preserve"> Administrativo, s</w:t>
      </w:r>
      <w:r w:rsidRPr="0081191B">
        <w:rPr>
          <w:rFonts w:ascii="Century Gothic" w:hAnsi="Century Gothic"/>
          <w:sz w:val="18"/>
          <w:szCs w:val="18"/>
        </w:rPr>
        <w:t>en</w:t>
      </w:r>
      <w:r>
        <w:rPr>
          <w:rFonts w:ascii="Century Gothic" w:hAnsi="Century Gothic"/>
          <w:sz w:val="18"/>
          <w:szCs w:val="18"/>
        </w:rPr>
        <w:t>tencia de 27 de marzo de 2007, e</w:t>
      </w:r>
      <w:r w:rsidRPr="0081191B">
        <w:rPr>
          <w:rFonts w:ascii="Century Gothic" w:hAnsi="Century Gothic"/>
          <w:sz w:val="18"/>
          <w:szCs w:val="18"/>
        </w:rPr>
        <w:t>xp. 76001-23-31-000-2000-02513-01 (IJ).</w:t>
      </w:r>
    </w:p>
  </w:footnote>
  <w:footnote w:id="12">
    <w:p w14:paraId="4F8D1722" w14:textId="77777777" w:rsidR="001C4E06" w:rsidRDefault="001C4E06" w:rsidP="001C4E06">
      <w:pPr>
        <w:pStyle w:val="Textonotapie"/>
        <w:jc w:val="both"/>
        <w:rPr>
          <w:rFonts w:ascii="Times New Roman" w:hAnsi="Times New Roman"/>
          <w:sz w:val="18"/>
          <w:szCs w:val="18"/>
          <w:lang w:val="es-CO"/>
        </w:rPr>
      </w:pPr>
      <w:r w:rsidRPr="0081191B">
        <w:rPr>
          <w:rStyle w:val="Refdenotaalpie"/>
          <w:rFonts w:ascii="Century Gothic" w:hAnsi="Century Gothic"/>
          <w:sz w:val="18"/>
          <w:szCs w:val="18"/>
        </w:rPr>
        <w:footnoteRef/>
      </w:r>
      <w:r w:rsidRPr="0081191B">
        <w:rPr>
          <w:rFonts w:ascii="Century Gothic" w:hAnsi="Century Gothic"/>
          <w:sz w:val="18"/>
          <w:szCs w:val="18"/>
        </w:rPr>
        <w:t xml:space="preserve"> Un acápite titulado “Efectos de la presente sentencia”, sin numeración.</w:t>
      </w:r>
    </w:p>
  </w:footnote>
  <w:footnote w:id="13">
    <w:p w14:paraId="72BD64A4" w14:textId="77777777" w:rsidR="001C4E06" w:rsidRPr="0081191B" w:rsidRDefault="001C4E06" w:rsidP="001C4E06">
      <w:pPr>
        <w:pStyle w:val="Textonotapie"/>
        <w:rPr>
          <w:rFonts w:ascii="Century Gothic" w:hAnsi="Century Gothic"/>
          <w:sz w:val="18"/>
          <w:szCs w:val="18"/>
        </w:rPr>
      </w:pPr>
      <w:r w:rsidRPr="0081191B">
        <w:rPr>
          <w:rStyle w:val="Refdenotaalpie"/>
          <w:rFonts w:ascii="Century Gothic" w:hAnsi="Century Gothic"/>
          <w:sz w:val="18"/>
          <w:szCs w:val="18"/>
        </w:rPr>
        <w:footnoteRef/>
      </w:r>
      <w:r w:rsidRPr="0081191B">
        <w:rPr>
          <w:rFonts w:ascii="Century Gothic" w:hAnsi="Century Gothic"/>
          <w:sz w:val="18"/>
          <w:szCs w:val="18"/>
        </w:rPr>
        <w:t xml:space="preserve"> Fl 189, c1.</w:t>
      </w:r>
    </w:p>
  </w:footnote>
  <w:footnote w:id="14">
    <w:p w14:paraId="66CAD9FE" w14:textId="77777777" w:rsidR="001C4E06" w:rsidRPr="00933C27" w:rsidRDefault="001C4E06" w:rsidP="001C4E06">
      <w:pPr>
        <w:pStyle w:val="Textonotapie"/>
        <w:jc w:val="both"/>
        <w:rPr>
          <w:rFonts w:ascii="Century Gothic" w:hAnsi="Century Gothic"/>
          <w:sz w:val="18"/>
          <w:szCs w:val="18"/>
        </w:rPr>
      </w:pPr>
      <w:r w:rsidRPr="00933C27">
        <w:rPr>
          <w:rStyle w:val="Refdenotaalpie"/>
          <w:rFonts w:ascii="Century Gothic" w:hAnsi="Century Gothic"/>
          <w:sz w:val="18"/>
          <w:szCs w:val="18"/>
        </w:rPr>
        <w:footnoteRef/>
      </w:r>
      <w:r w:rsidRPr="00933C27">
        <w:rPr>
          <w:rFonts w:ascii="Century Gothic" w:hAnsi="Century Gothic"/>
          <w:sz w:val="18"/>
          <w:szCs w:val="18"/>
        </w:rPr>
        <w:t xml:space="preserve"> Así, la Sección Tercera del Consejo de Estado</w:t>
      </w:r>
      <w:r>
        <w:rPr>
          <w:rFonts w:ascii="Century Gothic" w:hAnsi="Century Gothic"/>
          <w:sz w:val="18"/>
          <w:szCs w:val="18"/>
        </w:rPr>
        <w:t>,</w:t>
      </w:r>
      <w:r w:rsidRPr="00933C27">
        <w:rPr>
          <w:rFonts w:ascii="Century Gothic" w:hAnsi="Century Gothic"/>
          <w:sz w:val="18"/>
          <w:szCs w:val="18"/>
        </w:rPr>
        <w:t xml:space="preserve"> en su jurisprudencia constante</w:t>
      </w:r>
      <w:r>
        <w:rPr>
          <w:rFonts w:ascii="Century Gothic" w:hAnsi="Century Gothic"/>
          <w:sz w:val="18"/>
          <w:szCs w:val="18"/>
        </w:rPr>
        <w:t>,</w:t>
      </w:r>
      <w:r w:rsidRPr="00933C27">
        <w:rPr>
          <w:rFonts w:ascii="Century Gothic" w:hAnsi="Century Gothic"/>
          <w:sz w:val="18"/>
          <w:szCs w:val="18"/>
        </w:rPr>
        <w:t xml:space="preserve"> aplicó la tesis de la renuncia táctica a la cláusula compromisoria en aquellos casos en los que</w:t>
      </w:r>
      <w:r>
        <w:rPr>
          <w:rFonts w:ascii="Century Gothic" w:hAnsi="Century Gothic"/>
          <w:sz w:val="18"/>
          <w:szCs w:val="18"/>
        </w:rPr>
        <w:t>,</w:t>
      </w:r>
      <w:r w:rsidRPr="00933C27">
        <w:rPr>
          <w:rFonts w:ascii="Century Gothic" w:hAnsi="Century Gothic"/>
          <w:sz w:val="18"/>
          <w:szCs w:val="18"/>
        </w:rPr>
        <w:t xml:space="preserve"> pese a que ésta había sido pactada entre las partes de un contrato estata</w:t>
      </w:r>
      <w:r>
        <w:rPr>
          <w:rFonts w:ascii="Century Gothic" w:hAnsi="Century Gothic"/>
          <w:sz w:val="18"/>
          <w:szCs w:val="18"/>
        </w:rPr>
        <w:t>l, una de ellas acudía ante el juez a</w:t>
      </w:r>
      <w:r w:rsidRPr="00933C27">
        <w:rPr>
          <w:rFonts w:ascii="Century Gothic" w:hAnsi="Century Gothic"/>
          <w:sz w:val="18"/>
          <w:szCs w:val="18"/>
        </w:rPr>
        <w:t>dministrativo en ejercicio del medio de control de controversias contractuales y la otra guardaba silencio o en la contestación de demanda no alegaba expresamente la falta de jurisdicción, con lo que se configuraba la renuncia tácita por cuenta de los contratantes. Sobre este particular la Sección Tercera se ha pronunciado, entre otros, e</w:t>
      </w:r>
      <w:r>
        <w:rPr>
          <w:rFonts w:ascii="Century Gothic" w:hAnsi="Century Gothic"/>
          <w:sz w:val="18"/>
          <w:szCs w:val="18"/>
        </w:rPr>
        <w:t>n las siguientes providencias: a</w:t>
      </w:r>
      <w:r w:rsidRPr="00933C27">
        <w:rPr>
          <w:rFonts w:ascii="Century Gothic" w:hAnsi="Century Gothic"/>
          <w:sz w:val="18"/>
          <w:szCs w:val="18"/>
        </w:rPr>
        <w:t>uto de 19</w:t>
      </w:r>
      <w:r>
        <w:rPr>
          <w:rFonts w:ascii="Century Gothic" w:hAnsi="Century Gothic"/>
          <w:sz w:val="18"/>
          <w:szCs w:val="18"/>
        </w:rPr>
        <w:t xml:space="preserve"> de marzo de 1998, exp. 14097; s</w:t>
      </w:r>
      <w:r w:rsidRPr="00933C27">
        <w:rPr>
          <w:rFonts w:ascii="Century Gothic" w:hAnsi="Century Gothic"/>
          <w:sz w:val="18"/>
          <w:szCs w:val="18"/>
        </w:rPr>
        <w:t>ent</w:t>
      </w:r>
      <w:r>
        <w:rPr>
          <w:rFonts w:ascii="Century Gothic" w:hAnsi="Century Gothic"/>
          <w:sz w:val="18"/>
          <w:szCs w:val="18"/>
        </w:rPr>
        <w:t>encia de 4 de octubre de 2003, e</w:t>
      </w:r>
      <w:r w:rsidRPr="00933C27">
        <w:rPr>
          <w:rFonts w:ascii="Century Gothic" w:hAnsi="Century Gothic"/>
          <w:sz w:val="18"/>
          <w:szCs w:val="18"/>
        </w:rPr>
        <w:t>xp. 10883; Sent</w:t>
      </w:r>
      <w:r>
        <w:rPr>
          <w:rFonts w:ascii="Century Gothic" w:hAnsi="Century Gothic"/>
          <w:sz w:val="18"/>
          <w:szCs w:val="18"/>
        </w:rPr>
        <w:t>encia de 26 de febrero e 2004, exp. 25094; s</w:t>
      </w:r>
      <w:r w:rsidRPr="00933C27">
        <w:rPr>
          <w:rFonts w:ascii="Century Gothic" w:hAnsi="Century Gothic"/>
          <w:sz w:val="18"/>
          <w:szCs w:val="18"/>
        </w:rPr>
        <w:t>en</w:t>
      </w:r>
      <w:r>
        <w:rPr>
          <w:rFonts w:ascii="Century Gothic" w:hAnsi="Century Gothic"/>
          <w:sz w:val="18"/>
          <w:szCs w:val="18"/>
        </w:rPr>
        <w:t>tencia de 16 de marzo de 2005, e</w:t>
      </w:r>
      <w:r w:rsidRPr="00933C27">
        <w:rPr>
          <w:rFonts w:ascii="Century Gothic" w:hAnsi="Century Gothic"/>
          <w:sz w:val="18"/>
          <w:szCs w:val="18"/>
        </w:rPr>
        <w:t>xp. 27394; Sentenc</w:t>
      </w:r>
      <w:r>
        <w:rPr>
          <w:rFonts w:ascii="Century Gothic" w:hAnsi="Century Gothic"/>
          <w:sz w:val="18"/>
          <w:szCs w:val="18"/>
        </w:rPr>
        <w:t>ia de 22 de abril de 2009, exp. 29699; s</w:t>
      </w:r>
      <w:r w:rsidRPr="00933C27">
        <w:rPr>
          <w:rFonts w:ascii="Century Gothic" w:hAnsi="Century Gothic"/>
          <w:sz w:val="18"/>
          <w:szCs w:val="18"/>
        </w:rPr>
        <w:t>en</w:t>
      </w:r>
      <w:r>
        <w:rPr>
          <w:rFonts w:ascii="Century Gothic" w:hAnsi="Century Gothic"/>
          <w:sz w:val="18"/>
          <w:szCs w:val="18"/>
        </w:rPr>
        <w:t>tencia de 23 de julio de 2010, e</w:t>
      </w:r>
      <w:r w:rsidRPr="00933C27">
        <w:rPr>
          <w:rFonts w:ascii="Century Gothic" w:hAnsi="Century Gothic"/>
          <w:sz w:val="18"/>
          <w:szCs w:val="18"/>
        </w:rPr>
        <w:t xml:space="preserve">xp. 18395. </w:t>
      </w:r>
    </w:p>
  </w:footnote>
  <w:footnote w:id="15">
    <w:p w14:paraId="0F19CD34" w14:textId="77777777" w:rsidR="001C4E06" w:rsidRPr="00933C27" w:rsidRDefault="001C4E06" w:rsidP="001C4E06">
      <w:pPr>
        <w:jc w:val="both"/>
        <w:rPr>
          <w:rFonts w:ascii="Century Gothic" w:hAnsi="Century Gothic" w:cs="Arial"/>
          <w:sz w:val="18"/>
          <w:szCs w:val="18"/>
        </w:rPr>
      </w:pPr>
      <w:r w:rsidRPr="00933C27">
        <w:rPr>
          <w:rStyle w:val="Refdenotaalpie"/>
          <w:rFonts w:ascii="Century Gothic" w:hAnsi="Century Gothic"/>
          <w:sz w:val="18"/>
          <w:szCs w:val="18"/>
        </w:rPr>
        <w:footnoteRef/>
      </w:r>
      <w:r w:rsidRPr="00933C27">
        <w:rPr>
          <w:rFonts w:ascii="Century Gothic" w:hAnsi="Century Gothic"/>
          <w:sz w:val="18"/>
          <w:szCs w:val="18"/>
        </w:rPr>
        <w:t xml:space="preserve"> </w:t>
      </w:r>
      <w:r>
        <w:rPr>
          <w:rFonts w:ascii="Century Gothic" w:hAnsi="Century Gothic" w:cs="Arial"/>
          <w:sz w:val="18"/>
          <w:szCs w:val="18"/>
        </w:rPr>
        <w:t>S</w:t>
      </w:r>
      <w:r w:rsidRPr="00933C27">
        <w:rPr>
          <w:rFonts w:ascii="Century Gothic" w:hAnsi="Century Gothic" w:cs="Arial"/>
          <w:sz w:val="18"/>
          <w:szCs w:val="18"/>
        </w:rPr>
        <w:t xml:space="preserve">entencia del </w:t>
      </w:r>
      <w:r>
        <w:rPr>
          <w:rFonts w:ascii="Century Gothic" w:hAnsi="Century Gothic" w:cs="Arial"/>
          <w:sz w:val="18"/>
          <w:szCs w:val="18"/>
        </w:rPr>
        <w:t xml:space="preserve">5 de marzo de 2015, radicación </w:t>
      </w:r>
      <w:r w:rsidRPr="00933C27">
        <w:rPr>
          <w:rFonts w:ascii="Century Gothic" w:hAnsi="Century Gothic" w:cs="Arial"/>
          <w:sz w:val="18"/>
          <w:szCs w:val="18"/>
        </w:rPr>
        <w:t>11001-03-15-000-2015-00031-00(AC).</w:t>
      </w:r>
    </w:p>
  </w:footnote>
  <w:footnote w:id="16">
    <w:p w14:paraId="6BE1F4E4" w14:textId="77777777" w:rsidR="001C4E06" w:rsidRPr="00933C27" w:rsidRDefault="001C4E06" w:rsidP="001C4E06">
      <w:pPr>
        <w:pStyle w:val="Textonotapie"/>
        <w:jc w:val="both"/>
        <w:rPr>
          <w:rFonts w:ascii="Century Gothic" w:hAnsi="Century Gothic"/>
          <w:sz w:val="18"/>
          <w:szCs w:val="18"/>
        </w:rPr>
      </w:pPr>
      <w:r w:rsidRPr="00933C27">
        <w:rPr>
          <w:rStyle w:val="Refdenotaalpie"/>
          <w:rFonts w:ascii="Century Gothic" w:hAnsi="Century Gothic"/>
          <w:sz w:val="18"/>
          <w:szCs w:val="18"/>
        </w:rPr>
        <w:footnoteRef/>
      </w:r>
      <w:r w:rsidRPr="00933C27">
        <w:rPr>
          <w:rFonts w:ascii="Century Gothic" w:hAnsi="Century Gothic"/>
          <w:sz w:val="18"/>
          <w:szCs w:val="18"/>
        </w:rPr>
        <w:t xml:space="preserve"> Consejo de Estado, Sección Tercera, </w:t>
      </w:r>
      <w:r>
        <w:rPr>
          <w:rFonts w:ascii="Century Gothic" w:hAnsi="Century Gothic"/>
          <w:sz w:val="18"/>
          <w:szCs w:val="18"/>
        </w:rPr>
        <w:t>s</w:t>
      </w:r>
      <w:r w:rsidRPr="00933C27">
        <w:rPr>
          <w:rFonts w:ascii="Century Gothic" w:hAnsi="Century Gothic"/>
          <w:sz w:val="18"/>
          <w:szCs w:val="18"/>
        </w:rPr>
        <w:t>en</w:t>
      </w:r>
      <w:r>
        <w:rPr>
          <w:rFonts w:ascii="Century Gothic" w:hAnsi="Century Gothic"/>
          <w:sz w:val="18"/>
          <w:szCs w:val="18"/>
        </w:rPr>
        <w:t>tencia de 11 de julio de 2012 (e</w:t>
      </w:r>
      <w:r w:rsidRPr="00933C27">
        <w:rPr>
          <w:rFonts w:ascii="Century Gothic" w:hAnsi="Century Gothic"/>
          <w:sz w:val="18"/>
          <w:szCs w:val="18"/>
        </w:rPr>
        <w:t>xp. 23546).</w:t>
      </w:r>
    </w:p>
  </w:footnote>
  <w:footnote w:id="17">
    <w:p w14:paraId="567CC716" w14:textId="77777777" w:rsidR="001C4E06" w:rsidRPr="00933C27" w:rsidRDefault="001C4E06" w:rsidP="001C4E06">
      <w:pPr>
        <w:pStyle w:val="Textonotapie"/>
        <w:jc w:val="both"/>
        <w:rPr>
          <w:rFonts w:ascii="Century Gothic" w:hAnsi="Century Gothic"/>
          <w:i/>
          <w:sz w:val="18"/>
          <w:szCs w:val="18"/>
          <w:lang w:val="es-CO"/>
        </w:rPr>
      </w:pPr>
      <w:r w:rsidRPr="00933C27">
        <w:rPr>
          <w:rStyle w:val="Refdenotaalpie"/>
          <w:rFonts w:ascii="Century Gothic" w:hAnsi="Century Gothic"/>
          <w:sz w:val="18"/>
          <w:szCs w:val="18"/>
        </w:rPr>
        <w:footnoteRef/>
      </w:r>
      <w:r w:rsidRPr="00933C27">
        <w:rPr>
          <w:rFonts w:ascii="Century Gothic" w:hAnsi="Century Gothic"/>
          <w:sz w:val="18"/>
          <w:szCs w:val="18"/>
        </w:rPr>
        <w:t xml:space="preserve"> Al respecto, ver sentencia </w:t>
      </w:r>
      <w:r w:rsidRPr="00933C27">
        <w:rPr>
          <w:rFonts w:ascii="Century Gothic" w:hAnsi="Century Gothic"/>
          <w:sz w:val="18"/>
          <w:szCs w:val="18"/>
          <w:lang w:val="es-CO"/>
        </w:rPr>
        <w:t xml:space="preserve">del 16 de junio de 1997 de la Sección </w:t>
      </w:r>
      <w:r>
        <w:rPr>
          <w:rFonts w:ascii="Century Gothic" w:hAnsi="Century Gothic"/>
          <w:sz w:val="18"/>
          <w:szCs w:val="18"/>
          <w:lang w:val="es-CO"/>
        </w:rPr>
        <w:t>Tercera del Consejo de Estado (exp. 10.882), y el a</w:t>
      </w:r>
      <w:r w:rsidRPr="00933C27">
        <w:rPr>
          <w:rFonts w:ascii="Century Gothic" w:hAnsi="Century Gothic"/>
          <w:sz w:val="18"/>
          <w:szCs w:val="18"/>
          <w:lang w:val="es-CO"/>
        </w:rPr>
        <w:t xml:space="preserve">uto de la misma Sección de 19 de marzo de 1998, </w:t>
      </w:r>
      <w:r>
        <w:rPr>
          <w:rFonts w:ascii="Century Gothic" w:hAnsi="Century Gothic"/>
          <w:sz w:val="18"/>
          <w:szCs w:val="18"/>
          <w:lang w:val="es-CO"/>
        </w:rPr>
        <w:t>(e</w:t>
      </w:r>
      <w:r w:rsidRPr="00933C27">
        <w:rPr>
          <w:rFonts w:ascii="Century Gothic" w:hAnsi="Century Gothic"/>
          <w:sz w:val="18"/>
          <w:szCs w:val="18"/>
          <w:lang w:val="es-CO"/>
        </w:rPr>
        <w:t xml:space="preserve">xp.  14.097) del que se destaca: </w:t>
      </w:r>
      <w:r w:rsidRPr="00933C27">
        <w:rPr>
          <w:rFonts w:ascii="Century Gothic" w:hAnsi="Century Gothic"/>
          <w:i/>
          <w:sz w:val="18"/>
          <w:szCs w:val="18"/>
          <w:lang w:val="es-CO"/>
        </w:rPr>
        <w:t>“se tiene que la parte actora al instaurar la presente demanda renunció tácitamente a acudir ante un Tribunal de Arbitramento con el fin de dirimir cualquier conflicto que se suscitara en la ejecución del contrato No. 430 de 28 de diciembre de 1994, lo mismo sucedió con la parte demandada ya que en la oportunidad pertinente no propuso la excepción de cláusula compromisoria. Si las partes renunciaron en forma tácita a hacer uso de la cláusula compromisoria, no puede la parte demandada proponerla como incidente de nulidad fuera del término que la ley le otorga para contestar la demanda y proponer las excepciones a que haya lugar”</w:t>
      </w:r>
      <w:r w:rsidRPr="00933C27">
        <w:rPr>
          <w:rFonts w:ascii="Century Gothic" w:hAnsi="Century Gothic"/>
          <w:sz w:val="18"/>
          <w:szCs w:val="18"/>
          <w:lang w:val="es-CO"/>
        </w:rPr>
        <w:t>.</w:t>
      </w:r>
    </w:p>
  </w:footnote>
  <w:footnote w:id="18">
    <w:p w14:paraId="0BEE855D" w14:textId="77777777" w:rsidR="001C4E06" w:rsidRPr="00933C27" w:rsidRDefault="001C4E06" w:rsidP="001C4E06">
      <w:pPr>
        <w:pStyle w:val="Textonotapie"/>
        <w:jc w:val="both"/>
        <w:rPr>
          <w:rFonts w:ascii="Century Gothic" w:hAnsi="Century Gothic"/>
          <w:sz w:val="18"/>
          <w:szCs w:val="18"/>
        </w:rPr>
      </w:pPr>
      <w:r w:rsidRPr="00933C27">
        <w:rPr>
          <w:rStyle w:val="Refdenotaalpie"/>
          <w:rFonts w:ascii="Century Gothic" w:hAnsi="Century Gothic"/>
          <w:sz w:val="18"/>
          <w:szCs w:val="18"/>
        </w:rPr>
        <w:footnoteRef/>
      </w:r>
      <w:r w:rsidRPr="00933C27">
        <w:rPr>
          <w:rFonts w:ascii="Century Gothic" w:hAnsi="Century Gothic"/>
          <w:sz w:val="18"/>
          <w:szCs w:val="18"/>
        </w:rPr>
        <w:t xml:space="preserve"> Llama la atención que la nueva ley de arbitramento, esto es la Ley 1563 de 2012 también acepta la renuncia tácita al pacto compromisorio, tal y como lo acogía la tesis jurisprudencial que se mantuvo hasta el 2013, en relación con la ley anterior.</w:t>
      </w:r>
    </w:p>
  </w:footnote>
  <w:footnote w:id="19">
    <w:p w14:paraId="587F099D" w14:textId="77777777" w:rsidR="001C4E06" w:rsidRDefault="001C4E06" w:rsidP="001C4E06">
      <w:pPr>
        <w:pStyle w:val="Textonotapie"/>
        <w:jc w:val="both"/>
      </w:pPr>
      <w:r>
        <w:rPr>
          <w:rStyle w:val="Refdenotaalpie"/>
        </w:rPr>
        <w:footnoteRef/>
      </w:r>
      <w:r>
        <w:rPr>
          <w:rFonts w:ascii="Century Gothic" w:hAnsi="Century Gothic" w:cs="Arial"/>
          <w:sz w:val="18"/>
          <w:szCs w:val="18"/>
          <w:lang w:val="es-CO"/>
        </w:rPr>
        <w:t xml:space="preserve"> S</w:t>
      </w:r>
      <w:r w:rsidRPr="00994EBB">
        <w:rPr>
          <w:rFonts w:ascii="Century Gothic" w:hAnsi="Century Gothic" w:cs="Arial"/>
          <w:sz w:val="18"/>
          <w:szCs w:val="18"/>
          <w:lang w:val="es-CO"/>
        </w:rPr>
        <w:t xml:space="preserve">entencia del 8 de mayo de 2014, radicación </w:t>
      </w:r>
      <w:r>
        <w:rPr>
          <w:rFonts w:ascii="Century Gothic" w:hAnsi="Century Gothic" w:cs="Arial"/>
          <w:bCs/>
          <w:sz w:val="18"/>
          <w:szCs w:val="18"/>
          <w:lang w:val="es-CO"/>
        </w:rPr>
        <w:t>080012331000201202445</w:t>
      </w:r>
      <w:r w:rsidRPr="00994EBB">
        <w:rPr>
          <w:rFonts w:ascii="Century Gothic" w:hAnsi="Century Gothic" w:cs="Arial"/>
          <w:bCs/>
          <w:sz w:val="18"/>
          <w:szCs w:val="18"/>
          <w:lang w:val="es-CO"/>
        </w:rPr>
        <w:t>01 (2725-2012</w:t>
      </w:r>
      <w:r>
        <w:rPr>
          <w:rFonts w:ascii="Century Gothic" w:hAnsi="Century Gothic" w:cs="Arial"/>
          <w:bCs/>
          <w:sz w:val="18"/>
          <w:szCs w:val="18"/>
          <w:lang w:val="es-CO"/>
        </w:rPr>
        <w:t>)</w:t>
      </w:r>
    </w:p>
  </w:footnote>
  <w:footnote w:id="20">
    <w:p w14:paraId="1CA0BB28" w14:textId="77777777" w:rsidR="001C4E06" w:rsidRPr="000205B2" w:rsidRDefault="001C4E06" w:rsidP="001C4E06">
      <w:pPr>
        <w:jc w:val="both"/>
        <w:rPr>
          <w:rFonts w:ascii="Century Gothic" w:hAnsi="Century Gothic"/>
          <w:i/>
          <w:sz w:val="18"/>
          <w:szCs w:val="18"/>
        </w:rPr>
      </w:pPr>
      <w:r w:rsidRPr="000205B2">
        <w:rPr>
          <w:rStyle w:val="Refdenotaalpie"/>
          <w:rFonts w:ascii="Century Gothic" w:hAnsi="Century Gothic"/>
          <w:sz w:val="18"/>
          <w:szCs w:val="18"/>
        </w:rPr>
        <w:footnoteRef/>
      </w:r>
      <w:r w:rsidRPr="000205B2">
        <w:rPr>
          <w:rFonts w:ascii="Century Gothic" w:hAnsi="Century Gothic"/>
          <w:sz w:val="18"/>
          <w:szCs w:val="18"/>
        </w:rPr>
        <w:t xml:space="preserve"> La Corte Constitucional, en sentencia C-136 del 19 de febrero de 2004,</w:t>
      </w:r>
      <w:r>
        <w:rPr>
          <w:rFonts w:ascii="Century Gothic" w:hAnsi="Century Gothic"/>
          <w:sz w:val="18"/>
          <w:szCs w:val="18"/>
        </w:rPr>
        <w:t xml:space="preserve"> manifestó</w:t>
      </w:r>
      <w:r w:rsidRPr="000205B2">
        <w:rPr>
          <w:rFonts w:ascii="Century Gothic" w:hAnsi="Century Gothic"/>
          <w:sz w:val="18"/>
          <w:szCs w:val="18"/>
        </w:rPr>
        <w:t xml:space="preserve">: </w:t>
      </w:r>
      <w:r w:rsidRPr="000205B2">
        <w:rPr>
          <w:rFonts w:ascii="Century Gothic" w:hAnsi="Century Gothic"/>
          <w:i/>
          <w:sz w:val="18"/>
          <w:szCs w:val="18"/>
        </w:rPr>
        <w:t>“La jurisprudencia de la Corte ha sido además constante en señalar que el principio de la confianza legítima es una proyección de aquel de la buena fe, en la medida en que el administrado, a pesar de encontrarse ante una mera expectativa, confía en que una determinada regulación se mantendrá.</w:t>
      </w:r>
    </w:p>
    <w:p w14:paraId="5D38AF51" w14:textId="77777777" w:rsidR="001C4E06" w:rsidRPr="000205B2" w:rsidRDefault="001C4E06" w:rsidP="001C4E06">
      <w:pPr>
        <w:jc w:val="both"/>
        <w:rPr>
          <w:rFonts w:ascii="Century Gothic" w:hAnsi="Century Gothic"/>
          <w:i/>
          <w:sz w:val="18"/>
          <w:szCs w:val="18"/>
        </w:rPr>
      </w:pPr>
      <w:r w:rsidRPr="000205B2">
        <w:rPr>
          <w:rFonts w:ascii="Century Gothic" w:hAnsi="Century Gothic"/>
          <w:i/>
          <w:sz w:val="18"/>
          <w:szCs w:val="18"/>
        </w:rPr>
        <w:t>“(...)</w:t>
      </w:r>
    </w:p>
    <w:p w14:paraId="62AAA2B2" w14:textId="77777777" w:rsidR="001C4E06" w:rsidRPr="005F24CC" w:rsidRDefault="001C4E06" w:rsidP="001C4E06">
      <w:pPr>
        <w:jc w:val="both"/>
        <w:rPr>
          <w:rFonts w:ascii="Century Gothic" w:hAnsi="Century Gothic"/>
          <w:i/>
          <w:sz w:val="18"/>
          <w:szCs w:val="18"/>
        </w:rPr>
      </w:pPr>
      <w:r>
        <w:rPr>
          <w:rFonts w:ascii="Century Gothic" w:hAnsi="Century Gothic"/>
          <w:i/>
          <w:sz w:val="18"/>
          <w:szCs w:val="18"/>
        </w:rPr>
        <w:t xml:space="preserve">“La anterior </w:t>
      </w:r>
      <w:r w:rsidRPr="000205B2">
        <w:rPr>
          <w:rFonts w:ascii="Century Gothic" w:hAnsi="Century Gothic"/>
          <w:i/>
          <w:sz w:val="18"/>
          <w:szCs w:val="18"/>
        </w:rPr>
        <w:t>línea jurisprudencial ha sido mantenida y profundizada por la Corte al estimar que la interpretación judicial debe estar acompañada de una necesaria certidumbre y que el fallador debe abstenerse de operar cambios intempestivos en la interpretación que de las normas jurídicas venía realizando, y por ende, el ciudadano puede invocar a su favor, en estos casos, el respeto por el principio de la confianza legítim</w:t>
      </w:r>
      <w:r>
        <w:rPr>
          <w:rFonts w:ascii="Century Gothic" w:hAnsi="Century Gothic"/>
          <w:i/>
          <w:sz w:val="18"/>
          <w:szCs w:val="18"/>
        </w:rPr>
        <w:t>a”.</w:t>
      </w:r>
    </w:p>
  </w:footnote>
  <w:footnote w:id="21">
    <w:p w14:paraId="47307290" w14:textId="77777777" w:rsidR="001C4E06" w:rsidRPr="00D47B3B" w:rsidRDefault="001C4E06" w:rsidP="001C4E06">
      <w:pPr>
        <w:pStyle w:val="Textonotapie"/>
        <w:jc w:val="both"/>
        <w:rPr>
          <w:rFonts w:ascii="Century Gothic" w:hAnsi="Century Gothic" w:cs="Arial"/>
          <w:sz w:val="18"/>
          <w:szCs w:val="18"/>
          <w:lang w:val="es-MX"/>
        </w:rPr>
      </w:pPr>
      <w:r w:rsidRPr="00D47B3B">
        <w:rPr>
          <w:rStyle w:val="Refdenotaalpie"/>
          <w:rFonts w:ascii="Century Gothic" w:hAnsi="Century Gothic" w:cs="Arial"/>
          <w:sz w:val="18"/>
          <w:szCs w:val="18"/>
        </w:rPr>
        <w:footnoteRef/>
      </w:r>
      <w:r>
        <w:rPr>
          <w:rFonts w:ascii="Century Gothic" w:hAnsi="Century Gothic" w:cs="Arial"/>
          <w:sz w:val="18"/>
          <w:szCs w:val="18"/>
        </w:rPr>
        <w:t xml:space="preserve"> 26 de agosto de 2009.</w:t>
      </w:r>
    </w:p>
  </w:footnote>
  <w:footnote w:id="22">
    <w:p w14:paraId="28A7C75F" w14:textId="77777777" w:rsidR="001C4E06" w:rsidRPr="00D47B3B" w:rsidRDefault="001C4E06" w:rsidP="001C4E06">
      <w:pPr>
        <w:pStyle w:val="Textonotapie"/>
        <w:jc w:val="both"/>
        <w:rPr>
          <w:rFonts w:ascii="Century Gothic" w:hAnsi="Century Gothic" w:cs="Arial"/>
          <w:color w:val="000000"/>
          <w:sz w:val="18"/>
          <w:szCs w:val="18"/>
          <w:lang w:val="es-MX"/>
        </w:rPr>
      </w:pPr>
      <w:r w:rsidRPr="00D47B3B">
        <w:rPr>
          <w:rStyle w:val="Refdenotaalpie"/>
          <w:rFonts w:ascii="Century Gothic" w:hAnsi="Century Gothic" w:cs="Arial"/>
          <w:color w:val="000000"/>
          <w:sz w:val="18"/>
          <w:szCs w:val="18"/>
        </w:rPr>
        <w:footnoteRef/>
      </w:r>
      <w:r w:rsidRPr="00D47B3B">
        <w:rPr>
          <w:rFonts w:ascii="Century Gothic" w:hAnsi="Century Gothic" w:cs="Arial"/>
          <w:color w:val="000000"/>
          <w:sz w:val="18"/>
          <w:szCs w:val="18"/>
        </w:rPr>
        <w:t xml:space="preserve"> </w:t>
      </w:r>
      <w:r>
        <w:rPr>
          <w:rFonts w:ascii="Century Gothic" w:hAnsi="Century Gothic" w:cs="Arial"/>
          <w:color w:val="000000"/>
          <w:sz w:val="18"/>
          <w:szCs w:val="18"/>
        </w:rPr>
        <w:t>Ley 954 de 2005</w:t>
      </w:r>
      <w:r w:rsidRPr="00D47B3B">
        <w:rPr>
          <w:rFonts w:ascii="Century Gothic" w:hAnsi="Century Gothic" w:cs="Arial"/>
          <w:color w:val="000000"/>
          <w:sz w:val="18"/>
          <w:szCs w:val="18"/>
          <w:lang w:val="es-MX"/>
        </w:rPr>
        <w:t>.</w:t>
      </w:r>
    </w:p>
  </w:footnote>
  <w:footnote w:id="23">
    <w:p w14:paraId="47983ECF" w14:textId="77777777" w:rsidR="001C4E06" w:rsidRPr="00F6027B" w:rsidRDefault="001C4E06" w:rsidP="001C4E06">
      <w:pPr>
        <w:jc w:val="both"/>
        <w:rPr>
          <w:rStyle w:val="Nmerodepgina"/>
          <w:rFonts w:ascii="Century Gothic" w:hAnsi="Century Gothic" w:cs="Arial"/>
          <w:sz w:val="18"/>
          <w:szCs w:val="18"/>
        </w:rPr>
      </w:pPr>
      <w:r w:rsidRPr="00F6027B">
        <w:rPr>
          <w:rStyle w:val="Nmerodepgina"/>
          <w:rFonts w:ascii="Century Gothic" w:hAnsi="Century Gothic" w:cs="Arial"/>
          <w:sz w:val="18"/>
          <w:szCs w:val="18"/>
          <w:vertAlign w:val="superscript"/>
        </w:rPr>
        <w:footnoteRef/>
      </w:r>
      <w:r w:rsidRPr="00F6027B">
        <w:rPr>
          <w:rStyle w:val="Nmerodepgina"/>
          <w:rFonts w:ascii="Century Gothic" w:hAnsi="Century Gothic" w:cs="Arial"/>
          <w:sz w:val="18"/>
          <w:szCs w:val="18"/>
        </w:rPr>
        <w:t xml:space="preserve"> Según este artículo, son contratos estatales los celebrados por las entidades enunciadas en el artículo 2º de la Ley 80 de 1993, el cual dispone:</w:t>
      </w:r>
    </w:p>
    <w:p w14:paraId="36AE66FD" w14:textId="77777777" w:rsidR="001C4E06" w:rsidRPr="00F6027B" w:rsidRDefault="001C4E06" w:rsidP="001C4E06">
      <w:pPr>
        <w:jc w:val="both"/>
        <w:rPr>
          <w:rStyle w:val="Nmerodepgina"/>
          <w:rFonts w:ascii="Century Gothic" w:hAnsi="Century Gothic" w:cs="Arial"/>
          <w:iCs/>
          <w:sz w:val="18"/>
          <w:szCs w:val="18"/>
        </w:rPr>
      </w:pPr>
      <w:r w:rsidRPr="00F6027B">
        <w:rPr>
          <w:rStyle w:val="Nmerodepgina"/>
          <w:rFonts w:ascii="Century Gothic" w:hAnsi="Century Gothic" w:cs="Arial"/>
          <w:iCs/>
          <w:sz w:val="18"/>
          <w:szCs w:val="18"/>
        </w:rPr>
        <w:t xml:space="preserve">“Para los solos efectos de esta ley: </w:t>
      </w:r>
    </w:p>
    <w:p w14:paraId="5BB1BEF1" w14:textId="77777777" w:rsidR="001C4E06" w:rsidRPr="00F6027B" w:rsidRDefault="001C4E06" w:rsidP="001C4E06">
      <w:pPr>
        <w:jc w:val="both"/>
        <w:rPr>
          <w:rStyle w:val="Nmerodepgina"/>
          <w:rFonts w:ascii="Century Gothic" w:hAnsi="Century Gothic" w:cs="Arial"/>
          <w:iCs/>
          <w:sz w:val="18"/>
          <w:szCs w:val="18"/>
        </w:rPr>
      </w:pPr>
      <w:r w:rsidRPr="00F6027B">
        <w:rPr>
          <w:rStyle w:val="Nmerodepgina"/>
          <w:rFonts w:ascii="Century Gothic" w:hAnsi="Century Gothic" w:cs="Arial"/>
          <w:iCs/>
          <w:sz w:val="18"/>
          <w:szCs w:val="18"/>
        </w:rPr>
        <w:t xml:space="preserve">“1o. Se denominan entidades estatales: </w:t>
      </w:r>
    </w:p>
    <w:p w14:paraId="4CF704E2" w14:textId="77777777" w:rsidR="001C4E06" w:rsidRPr="00F6027B" w:rsidRDefault="001C4E06" w:rsidP="001C4E06">
      <w:pPr>
        <w:jc w:val="both"/>
        <w:rPr>
          <w:rStyle w:val="Nmerodepgina"/>
          <w:rFonts w:ascii="Century Gothic" w:hAnsi="Century Gothic" w:cs="Arial"/>
          <w:iCs/>
          <w:sz w:val="18"/>
          <w:szCs w:val="18"/>
        </w:rPr>
      </w:pPr>
      <w:r w:rsidRPr="00F6027B">
        <w:rPr>
          <w:rStyle w:val="Nmerodepgina"/>
          <w:rFonts w:ascii="Century Gothic" w:hAnsi="Century Gothic" w:cs="Arial"/>
          <w:iCs/>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B832A11" w14:textId="77777777" w:rsidR="001C4E06" w:rsidRPr="00F6027B" w:rsidRDefault="001C4E06" w:rsidP="001C4E06">
      <w:pPr>
        <w:jc w:val="both"/>
        <w:rPr>
          <w:rFonts w:ascii="Century Gothic" w:hAnsi="Century Gothic"/>
          <w:sz w:val="18"/>
          <w:szCs w:val="18"/>
        </w:rPr>
      </w:pPr>
      <w:r w:rsidRPr="00F6027B">
        <w:rPr>
          <w:rStyle w:val="Nmerodepgina"/>
          <w:rFonts w:ascii="Century Gothic" w:hAnsi="Century Gothic" w:cs="Arial"/>
          <w:iCs/>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 w:id="24">
    <w:p w14:paraId="31F1B175" w14:textId="77777777" w:rsidR="001C4E06" w:rsidRPr="00F6027B" w:rsidRDefault="001C4E06" w:rsidP="001C4E06">
      <w:pPr>
        <w:pStyle w:val="NormalWeb"/>
        <w:spacing w:before="0" w:beforeAutospacing="0" w:after="0" w:afterAutospacing="0"/>
        <w:jc w:val="both"/>
        <w:rPr>
          <w:rFonts w:ascii="Century Gothic" w:hAnsi="Century Gothic"/>
          <w:color w:val="auto"/>
          <w:sz w:val="18"/>
          <w:szCs w:val="18"/>
        </w:rPr>
      </w:pPr>
      <w:r w:rsidRPr="00F6027B">
        <w:rPr>
          <w:rStyle w:val="Refdenotaalpie"/>
          <w:rFonts w:ascii="Century Gothic" w:hAnsi="Century Gothic"/>
          <w:sz w:val="18"/>
          <w:szCs w:val="18"/>
        </w:rPr>
        <w:footnoteRef/>
      </w:r>
      <w:r w:rsidRPr="00F6027B">
        <w:rPr>
          <w:rFonts w:ascii="Century Gothic" w:hAnsi="Century Gothic"/>
          <w:sz w:val="18"/>
          <w:szCs w:val="18"/>
        </w:rPr>
        <w:t xml:space="preserve"> </w:t>
      </w:r>
      <w:r w:rsidRPr="00F6027B">
        <w:rPr>
          <w:rFonts w:ascii="Century Gothic" w:hAnsi="Century Gothic"/>
          <w:color w:val="auto"/>
          <w:sz w:val="18"/>
          <w:szCs w:val="18"/>
        </w:rPr>
        <w:t xml:space="preserve">Artículo 82. Objeto de la jurisdicción de lo contencioso administrativo. </w:t>
      </w:r>
      <w:r>
        <w:rPr>
          <w:rFonts w:ascii="Century Gothic" w:hAnsi="Century Gothic"/>
          <w:color w:val="auto"/>
          <w:sz w:val="18"/>
          <w:szCs w:val="18"/>
        </w:rPr>
        <w:t>“</w:t>
      </w:r>
      <w:r w:rsidRPr="00F6027B">
        <w:rPr>
          <w:rFonts w:ascii="Century Gothic" w:hAnsi="Century Gothic"/>
          <w:color w:val="auto"/>
          <w:sz w:val="18"/>
          <w:szCs w:val="18"/>
        </w:rPr>
        <w:t>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Tribunales Administrativos y los Juzgados Administrativos de conformidad con la Constitución y la ley.</w:t>
      </w:r>
      <w:r w:rsidRPr="00F6027B">
        <w:rPr>
          <w:rStyle w:val="apple-converted-space"/>
          <w:rFonts w:ascii="Century Gothic" w:hAnsi="Century Gothic"/>
          <w:color w:val="auto"/>
          <w:sz w:val="18"/>
          <w:szCs w:val="18"/>
        </w:rPr>
        <w:t> </w:t>
      </w:r>
    </w:p>
    <w:p w14:paraId="2031A2D5" w14:textId="77777777" w:rsidR="001C4E06" w:rsidRPr="00F6027B" w:rsidRDefault="001C4E06" w:rsidP="001C4E06">
      <w:pPr>
        <w:pStyle w:val="NormalWeb"/>
        <w:spacing w:before="0" w:beforeAutospacing="0" w:after="0" w:afterAutospacing="0"/>
        <w:jc w:val="both"/>
        <w:rPr>
          <w:rFonts w:ascii="Century Gothic" w:hAnsi="Century Gothic"/>
          <w:color w:val="auto"/>
          <w:sz w:val="18"/>
          <w:szCs w:val="18"/>
        </w:rPr>
      </w:pPr>
      <w:r>
        <w:rPr>
          <w:rFonts w:ascii="Century Gothic" w:hAnsi="Century Gothic"/>
          <w:color w:val="auto"/>
          <w:sz w:val="18"/>
          <w:szCs w:val="18"/>
        </w:rPr>
        <w:t>“</w:t>
      </w:r>
      <w:r w:rsidRPr="00F6027B">
        <w:rPr>
          <w:rFonts w:ascii="Century Gothic" w:hAnsi="Century Gothic"/>
          <w:color w:val="auto"/>
          <w:sz w:val="18"/>
          <w:szCs w:val="18"/>
        </w:rPr>
        <w:t>Esta jurisdicción podrá juzgar, inclusive, las controversias que se originen en actos políticos o de Gobierno.</w:t>
      </w:r>
      <w:r w:rsidRPr="00F6027B">
        <w:rPr>
          <w:rStyle w:val="apple-converted-space"/>
          <w:rFonts w:ascii="Century Gothic" w:hAnsi="Century Gothic"/>
          <w:color w:val="auto"/>
          <w:sz w:val="18"/>
          <w:szCs w:val="18"/>
        </w:rPr>
        <w:t> </w:t>
      </w:r>
    </w:p>
    <w:p w14:paraId="2B408A3D" w14:textId="77777777" w:rsidR="001C4E06" w:rsidRPr="00F6027B" w:rsidRDefault="001C4E06" w:rsidP="001C4E06">
      <w:pPr>
        <w:pStyle w:val="NormalWeb"/>
        <w:spacing w:before="0" w:beforeAutospacing="0" w:after="0" w:afterAutospacing="0"/>
        <w:jc w:val="both"/>
        <w:rPr>
          <w:rFonts w:ascii="Century Gothic" w:hAnsi="Century Gothic"/>
          <w:color w:val="auto"/>
          <w:sz w:val="18"/>
          <w:szCs w:val="18"/>
        </w:rPr>
      </w:pPr>
      <w:r>
        <w:rPr>
          <w:rFonts w:ascii="Century Gothic" w:hAnsi="Century Gothic"/>
          <w:color w:val="auto"/>
          <w:sz w:val="18"/>
          <w:szCs w:val="18"/>
        </w:rPr>
        <w:t>“</w:t>
      </w:r>
      <w:r w:rsidRPr="00F6027B">
        <w:rPr>
          <w:rFonts w:ascii="Century Gothic" w:hAnsi="Century Gothic"/>
          <w:color w:val="auto"/>
          <w:sz w:val="18"/>
          <w:szCs w:val="18"/>
        </w:rPr>
        <w:t>La Jurisdicción de lo Contencioso Administrativo no juzga las decisiones proferidas en juicios de policía regulados especialmente por la ley.</w:t>
      </w:r>
      <w:r w:rsidRPr="00F6027B">
        <w:rPr>
          <w:rStyle w:val="apple-converted-space"/>
          <w:rFonts w:ascii="Century Gothic" w:hAnsi="Century Gothic"/>
          <w:color w:val="auto"/>
          <w:sz w:val="18"/>
          <w:szCs w:val="18"/>
        </w:rPr>
        <w:t> </w:t>
      </w:r>
    </w:p>
    <w:p w14:paraId="66041D3A" w14:textId="77777777" w:rsidR="001C4E06" w:rsidRPr="00E705F2" w:rsidRDefault="001C4E06" w:rsidP="001C4E06">
      <w:pPr>
        <w:pStyle w:val="NormalWeb"/>
        <w:spacing w:before="0" w:beforeAutospacing="0" w:after="0" w:afterAutospacing="0"/>
        <w:jc w:val="both"/>
        <w:rPr>
          <w:rFonts w:ascii="Century Gothic" w:hAnsi="Century Gothic"/>
          <w:color w:val="auto"/>
          <w:sz w:val="18"/>
          <w:szCs w:val="18"/>
        </w:rPr>
      </w:pPr>
      <w:r>
        <w:rPr>
          <w:rFonts w:ascii="Century Gothic" w:hAnsi="Century Gothic"/>
          <w:color w:val="auto"/>
          <w:sz w:val="18"/>
          <w:szCs w:val="18"/>
        </w:rPr>
        <w:t>“</w:t>
      </w:r>
      <w:r w:rsidRPr="00F6027B">
        <w:rPr>
          <w:rFonts w:ascii="Century Gothic" w:hAnsi="Century Gothic"/>
          <w:color w:val="auto"/>
          <w:sz w:val="18"/>
          <w:szCs w:val="18"/>
        </w:rPr>
        <w:t>Las decisiones jurisdiccionales adoptadas por las Salas Jurisdiccionales Disciplinarias del Consejo Superior de la Judicatura y de los Consejos Seccionales de la Judicatura, no</w:t>
      </w:r>
      <w:r>
        <w:rPr>
          <w:rFonts w:ascii="Century Gothic" w:hAnsi="Century Gothic"/>
          <w:color w:val="auto"/>
          <w:sz w:val="18"/>
          <w:szCs w:val="18"/>
        </w:rPr>
        <w:t xml:space="preserve"> tendrán control jurisdiccional”</w:t>
      </w:r>
      <w:r w:rsidRPr="00F6027B">
        <w:rPr>
          <w:rFonts w:ascii="Century Gothic" w:hAnsi="Century Gothic"/>
          <w:color w:val="auto"/>
          <w:sz w:val="18"/>
          <w:szCs w:val="18"/>
        </w:rPr>
        <w:t>.</w:t>
      </w:r>
    </w:p>
  </w:footnote>
  <w:footnote w:id="25">
    <w:p w14:paraId="46E21675" w14:textId="77777777" w:rsidR="001C4E06" w:rsidRPr="00933C27" w:rsidRDefault="001C4E06" w:rsidP="001C4E06">
      <w:pPr>
        <w:pStyle w:val="Textonotapie"/>
        <w:jc w:val="both"/>
        <w:rPr>
          <w:rFonts w:ascii="Century Gothic" w:hAnsi="Century Gothic"/>
          <w:sz w:val="18"/>
          <w:szCs w:val="18"/>
        </w:rPr>
      </w:pPr>
      <w:r w:rsidRPr="00933C27">
        <w:rPr>
          <w:rStyle w:val="Refdenotaalpie"/>
          <w:rFonts w:ascii="Century Gothic" w:hAnsi="Century Gothic"/>
          <w:sz w:val="18"/>
          <w:szCs w:val="18"/>
        </w:rPr>
        <w:footnoteRef/>
      </w:r>
      <w:r w:rsidRPr="00933C27">
        <w:rPr>
          <w:rFonts w:ascii="Century Gothic" w:hAnsi="Century Gothic"/>
          <w:sz w:val="18"/>
          <w:szCs w:val="18"/>
        </w:rPr>
        <w:t xml:space="preserve"> Al respecto: Consejo de Estado, Sección Tercera, pronunciamiento del 25 de enero de 2007, expediente 73001-23-31-000-2002-02137-01</w:t>
      </w:r>
    </w:p>
  </w:footnote>
  <w:footnote w:id="26">
    <w:p w14:paraId="6A845EEB" w14:textId="77777777" w:rsidR="001C4E06" w:rsidRPr="00A72BEA" w:rsidRDefault="001C4E06" w:rsidP="001C4E06">
      <w:pPr>
        <w:jc w:val="both"/>
        <w:rPr>
          <w:rFonts w:ascii="Century Gothic" w:hAnsi="Century Gothic"/>
          <w:sz w:val="18"/>
          <w:szCs w:val="18"/>
        </w:rPr>
      </w:pPr>
      <w:r w:rsidRPr="00933C27">
        <w:rPr>
          <w:rStyle w:val="Refdenotaalpie"/>
          <w:rFonts w:ascii="Century Gothic" w:hAnsi="Century Gothic"/>
          <w:sz w:val="18"/>
          <w:szCs w:val="18"/>
        </w:rPr>
        <w:footnoteRef/>
      </w:r>
      <w:r w:rsidRPr="00933C27">
        <w:rPr>
          <w:rFonts w:ascii="Century Gothic" w:hAnsi="Century Gothic"/>
          <w:sz w:val="18"/>
          <w:szCs w:val="18"/>
        </w:rPr>
        <w:t xml:space="preserve"> Artículo 6, Código de Procedimiento Civil. “</w:t>
      </w:r>
      <w:r w:rsidRPr="00933C27">
        <w:rPr>
          <w:rFonts w:ascii="Century Gothic" w:hAnsi="Century Gothic" w:cs="Arial"/>
          <w:sz w:val="18"/>
          <w:szCs w:val="18"/>
        </w:rPr>
        <w:t>Las normas procesales son de derecho pú</w:t>
      </w:r>
      <w:r w:rsidRPr="00A72BEA">
        <w:rPr>
          <w:rFonts w:ascii="Century Gothic" w:hAnsi="Century Gothic" w:cs="Arial"/>
          <w:sz w:val="18"/>
          <w:szCs w:val="18"/>
        </w:rPr>
        <w:t>blico y orden público y, por consiguiente, de obligatorio cumplimiento, y en ningún caso,</w:t>
      </w:r>
      <w:r>
        <w:rPr>
          <w:rFonts w:ascii="Century Gothic" w:hAnsi="Century Gothic" w:cs="Arial"/>
          <w:sz w:val="18"/>
          <w:szCs w:val="18"/>
        </w:rPr>
        <w:t xml:space="preserve"> (sic)</w:t>
      </w:r>
      <w:r w:rsidRPr="00A72BEA">
        <w:rPr>
          <w:rFonts w:ascii="Century Gothic" w:hAnsi="Century Gothic" w:cs="Arial"/>
          <w:sz w:val="18"/>
          <w:szCs w:val="18"/>
        </w:rPr>
        <w:t xml:space="preserve"> podrán ser derogadas, modificadas o sustituidas por los funcionarios o particulares, salvo autorización expresa de la ley”.</w:t>
      </w:r>
    </w:p>
  </w:footnote>
  <w:footnote w:id="27">
    <w:p w14:paraId="733A4418" w14:textId="77777777" w:rsidR="001C4E06" w:rsidRPr="00F6027B" w:rsidRDefault="001C4E06" w:rsidP="001C4E06">
      <w:pPr>
        <w:pStyle w:val="Textonotapie"/>
        <w:jc w:val="both"/>
        <w:rPr>
          <w:rFonts w:ascii="Century Gothic" w:hAnsi="Century Gothic"/>
          <w:sz w:val="18"/>
          <w:szCs w:val="18"/>
        </w:rPr>
      </w:pPr>
      <w:r w:rsidRPr="00A72BEA">
        <w:rPr>
          <w:rStyle w:val="Refdenotaalpie"/>
          <w:rFonts w:ascii="Century Gothic" w:hAnsi="Century Gothic"/>
          <w:sz w:val="18"/>
          <w:szCs w:val="18"/>
        </w:rPr>
        <w:footnoteRef/>
      </w:r>
      <w:r>
        <w:rPr>
          <w:rFonts w:ascii="Century Gothic" w:hAnsi="Century Gothic"/>
          <w:sz w:val="18"/>
          <w:szCs w:val="18"/>
        </w:rPr>
        <w:t xml:space="preserve"> Mediante auto del </w:t>
      </w:r>
      <w:r w:rsidRPr="00A72BEA">
        <w:rPr>
          <w:rFonts w:ascii="Century Gothic" w:hAnsi="Century Gothic"/>
          <w:sz w:val="18"/>
          <w:szCs w:val="18"/>
        </w:rPr>
        <w:t>6 de junio de 2008, se corrió traslado para alegar de conclusión de conformidad con el artículo 210 del C.C.A.</w:t>
      </w:r>
    </w:p>
  </w:footnote>
  <w:footnote w:id="28">
    <w:p w14:paraId="1D534E0C" w14:textId="77777777" w:rsidR="001C4E06" w:rsidRPr="00F6027B" w:rsidRDefault="001C4E06" w:rsidP="001C4E06">
      <w:pPr>
        <w:pStyle w:val="Textonotapie"/>
        <w:rPr>
          <w:rFonts w:ascii="Century Gothic" w:hAnsi="Century Gothic"/>
          <w:sz w:val="18"/>
          <w:szCs w:val="18"/>
        </w:rPr>
      </w:pPr>
      <w:r w:rsidRPr="00F6027B">
        <w:rPr>
          <w:rStyle w:val="Refdenotaalpie"/>
          <w:rFonts w:ascii="Century Gothic" w:hAnsi="Century Gothic"/>
          <w:sz w:val="18"/>
          <w:szCs w:val="18"/>
        </w:rPr>
        <w:footnoteRef/>
      </w:r>
      <w:r>
        <w:rPr>
          <w:rFonts w:ascii="Century Gothic" w:hAnsi="Century Gothic"/>
          <w:sz w:val="18"/>
          <w:szCs w:val="18"/>
        </w:rPr>
        <w:t xml:space="preserve"> M</w:t>
      </w:r>
      <w:r w:rsidRPr="00F6027B">
        <w:rPr>
          <w:rFonts w:ascii="Century Gothic" w:hAnsi="Century Gothic"/>
          <w:sz w:val="18"/>
          <w:szCs w:val="18"/>
        </w:rPr>
        <w:t>emorial del 24 de junio de 2008.</w:t>
      </w:r>
    </w:p>
  </w:footnote>
  <w:footnote w:id="29">
    <w:p w14:paraId="1FE5E99E" w14:textId="77777777" w:rsidR="001C4E06" w:rsidRPr="001C4E06" w:rsidRDefault="001C4E06" w:rsidP="001C4E06">
      <w:pPr>
        <w:pStyle w:val="Textonotapie"/>
        <w:rPr>
          <w:rFonts w:ascii="Century Gothic" w:hAnsi="Century Gothic"/>
          <w:color w:val="000000"/>
          <w:sz w:val="18"/>
          <w:szCs w:val="18"/>
        </w:rPr>
      </w:pPr>
      <w:r w:rsidRPr="001C4E06">
        <w:rPr>
          <w:rStyle w:val="Refdenotaalpie"/>
          <w:rFonts w:ascii="Century Gothic" w:hAnsi="Century Gothic"/>
          <w:color w:val="000000"/>
          <w:sz w:val="18"/>
          <w:szCs w:val="18"/>
        </w:rPr>
        <w:footnoteRef/>
      </w:r>
      <w:r w:rsidRPr="001C4E06">
        <w:rPr>
          <w:rFonts w:ascii="Century Gothic" w:hAnsi="Century Gothic"/>
          <w:color w:val="000000"/>
          <w:sz w:val="18"/>
          <w:szCs w:val="18"/>
        </w:rPr>
        <w:t xml:space="preserve"> Memorial del 4 de abril de 2006. </w:t>
      </w:r>
    </w:p>
  </w:footnote>
  <w:footnote w:id="30">
    <w:p w14:paraId="52402245" w14:textId="77777777" w:rsidR="001C4E06" w:rsidRPr="00981ECD" w:rsidRDefault="001C4E06" w:rsidP="001C4E06">
      <w:pPr>
        <w:rPr>
          <w:rFonts w:ascii="Century Gothic" w:hAnsi="Century Gothic"/>
          <w:sz w:val="18"/>
          <w:szCs w:val="18"/>
        </w:rPr>
      </w:pPr>
      <w:r w:rsidRPr="001C4E06">
        <w:rPr>
          <w:rStyle w:val="Refdenotaalpie"/>
          <w:rFonts w:ascii="Century Gothic" w:hAnsi="Century Gothic"/>
          <w:color w:val="000000"/>
          <w:sz w:val="18"/>
          <w:szCs w:val="18"/>
        </w:rPr>
        <w:footnoteRef/>
      </w:r>
      <w:r w:rsidRPr="001C4E06">
        <w:rPr>
          <w:rFonts w:ascii="Century Gothic" w:hAnsi="Century Gothic"/>
          <w:color w:val="000000"/>
          <w:sz w:val="18"/>
          <w:szCs w:val="18"/>
        </w:rPr>
        <w:t xml:space="preserve"> Artículo 1602, Código Civil. “Todo contrato legalmente celebrado es una ley para los contratantes, y no puede ser invalidado sino por su consentimiento mutuo o por causas legales</w:t>
      </w:r>
      <w:r w:rsidRPr="009C0E17">
        <w:rPr>
          <w:rFonts w:ascii="Century Gothic" w:hAnsi="Century Gothic"/>
          <w:sz w:val="18"/>
          <w:szCs w:val="18"/>
        </w:rPr>
        <w:t>”.</w:t>
      </w:r>
    </w:p>
  </w:footnote>
  <w:footnote w:id="31">
    <w:p w14:paraId="016FA309" w14:textId="77777777" w:rsidR="001C4E06" w:rsidRPr="00F6027B" w:rsidRDefault="001C4E06" w:rsidP="001C4E06">
      <w:pPr>
        <w:pStyle w:val="Textonotapie"/>
        <w:rPr>
          <w:rFonts w:ascii="Century Gothic" w:hAnsi="Century Gothic"/>
          <w:sz w:val="18"/>
          <w:szCs w:val="18"/>
        </w:rPr>
      </w:pPr>
      <w:r w:rsidRPr="00F6027B">
        <w:rPr>
          <w:rStyle w:val="Refdenotaalpie"/>
          <w:rFonts w:ascii="Century Gothic" w:hAnsi="Century Gothic"/>
          <w:sz w:val="18"/>
          <w:szCs w:val="18"/>
        </w:rPr>
        <w:footnoteRef/>
      </w:r>
      <w:r w:rsidRPr="00F6027B">
        <w:rPr>
          <w:rFonts w:ascii="Century Gothic" w:hAnsi="Century Gothic"/>
          <w:sz w:val="18"/>
          <w:szCs w:val="18"/>
        </w:rPr>
        <w:t xml:space="preserve"> Contrato obrante a folios 18 al 42 cuaderno de anexos de la demanda número 2. </w:t>
      </w:r>
    </w:p>
  </w:footnote>
  <w:footnote w:id="32">
    <w:p w14:paraId="32CE4E50" w14:textId="77777777" w:rsidR="001C4E06" w:rsidRPr="00F6027B" w:rsidRDefault="001C4E06" w:rsidP="001C4E06">
      <w:pPr>
        <w:pStyle w:val="Textonotapie"/>
        <w:jc w:val="both"/>
        <w:rPr>
          <w:rFonts w:ascii="Century Gothic" w:hAnsi="Century Gothic"/>
          <w:sz w:val="18"/>
          <w:szCs w:val="18"/>
        </w:rPr>
      </w:pPr>
      <w:r w:rsidRPr="001C4E06">
        <w:rPr>
          <w:rStyle w:val="Refdenotaalpie"/>
          <w:rFonts w:ascii="Century Gothic" w:hAnsi="Century Gothic"/>
          <w:sz w:val="18"/>
          <w:szCs w:val="18"/>
        </w:rPr>
        <w:footnoteRef/>
      </w:r>
      <w:r w:rsidRPr="00F6027B">
        <w:rPr>
          <w:rFonts w:ascii="Century Gothic" w:hAnsi="Century Gothic"/>
          <w:sz w:val="18"/>
          <w:szCs w:val="18"/>
        </w:rPr>
        <w:t xml:space="preserve"> </w:t>
      </w:r>
      <w:r w:rsidRPr="00F6027B">
        <w:rPr>
          <w:rFonts w:ascii="Century Gothic" w:hAnsi="Century Gothic"/>
          <w:sz w:val="18"/>
          <w:szCs w:val="18"/>
          <w:lang w:val="es-MX"/>
        </w:rPr>
        <w:t xml:space="preserve">Consejo de Estado, Sala de lo Contencioso Administrativo, Sección Tercera, sentencia del 12 de mayo </w:t>
      </w:r>
      <w:r>
        <w:rPr>
          <w:rFonts w:ascii="Century Gothic" w:hAnsi="Century Gothic"/>
          <w:sz w:val="18"/>
          <w:szCs w:val="18"/>
          <w:lang w:val="es-MX"/>
        </w:rPr>
        <w:t>de 2009, expediente 16369.</w:t>
      </w:r>
    </w:p>
  </w:footnote>
  <w:footnote w:id="33">
    <w:p w14:paraId="2F9F15D3" w14:textId="77777777" w:rsidR="001C4E06" w:rsidRPr="00F6027B" w:rsidRDefault="001C4E06" w:rsidP="001C4E06">
      <w:pPr>
        <w:pStyle w:val="Textonotapie"/>
        <w:jc w:val="both"/>
        <w:rPr>
          <w:rFonts w:ascii="Century Gothic" w:hAnsi="Century Gothic"/>
          <w:sz w:val="18"/>
          <w:szCs w:val="18"/>
        </w:rPr>
      </w:pPr>
      <w:r w:rsidRPr="00F6027B">
        <w:rPr>
          <w:rStyle w:val="Refdenotaalpie"/>
          <w:rFonts w:ascii="Century Gothic" w:hAnsi="Century Gothic"/>
          <w:sz w:val="18"/>
          <w:szCs w:val="18"/>
        </w:rPr>
        <w:footnoteRef/>
      </w:r>
      <w:r w:rsidRPr="00F6027B">
        <w:rPr>
          <w:rFonts w:ascii="Century Gothic" w:hAnsi="Century Gothic"/>
          <w:sz w:val="18"/>
          <w:szCs w:val="18"/>
        </w:rPr>
        <w:t xml:space="preserve"> Consejo de Estado, </w:t>
      </w:r>
      <w:r w:rsidRPr="00F6027B">
        <w:rPr>
          <w:rFonts w:ascii="Century Gothic" w:hAnsi="Century Gothic"/>
          <w:sz w:val="18"/>
          <w:szCs w:val="18"/>
          <w:lang w:val="es-CO"/>
        </w:rPr>
        <w:t xml:space="preserve">Sección Tercera, sentencia del 12 de octubre de 2011, expediente </w:t>
      </w:r>
      <w:r w:rsidRPr="00F6027B">
        <w:rPr>
          <w:rFonts w:ascii="Century Gothic" w:hAnsi="Century Gothic" w:cs="Arial"/>
          <w:sz w:val="18"/>
          <w:szCs w:val="18"/>
        </w:rPr>
        <w:t>25000-23-26-000-1995-0155501</w:t>
      </w:r>
      <w:r w:rsidRPr="00F6027B">
        <w:rPr>
          <w:rFonts w:ascii="Century Gothic" w:hAnsi="Century Gothic"/>
          <w:sz w:val="18"/>
          <w:szCs w:val="18"/>
          <w:lang w:val="es-CO"/>
        </w:rPr>
        <w:t xml:space="preserve"> (</w:t>
      </w:r>
      <w:r>
        <w:rPr>
          <w:rFonts w:ascii="Century Gothic" w:hAnsi="Century Gothic" w:cs="Arial"/>
          <w:sz w:val="18"/>
          <w:szCs w:val="18"/>
          <w:lang w:val="es-ES"/>
        </w:rPr>
        <w:t>20070).</w:t>
      </w:r>
      <w:r w:rsidRPr="00F6027B">
        <w:rPr>
          <w:rFonts w:ascii="Century Gothic" w:hAnsi="Century Gothic" w:cs="Arial"/>
          <w:sz w:val="18"/>
          <w:szCs w:val="18"/>
          <w:lang w:val="es-ES"/>
        </w:rPr>
        <w:tab/>
      </w:r>
    </w:p>
  </w:footnote>
  <w:footnote w:id="34">
    <w:p w14:paraId="05151EED" w14:textId="77777777" w:rsidR="001C4E06" w:rsidRPr="001C4E06" w:rsidRDefault="001C4E06" w:rsidP="001C4E06">
      <w:pPr>
        <w:pStyle w:val="NormalWeb"/>
        <w:spacing w:before="0" w:beforeAutospacing="0" w:after="0" w:afterAutospacing="0"/>
        <w:jc w:val="both"/>
        <w:rPr>
          <w:rStyle w:val="apple-converted-space"/>
          <w:rFonts w:ascii="Century Gothic" w:hAnsi="Century Gothic"/>
          <w:color w:val="auto"/>
          <w:sz w:val="18"/>
          <w:szCs w:val="18"/>
        </w:rPr>
      </w:pPr>
      <w:r w:rsidRPr="00B17AF4">
        <w:rPr>
          <w:rStyle w:val="Refdenotaalpie"/>
          <w:rFonts w:ascii="Century Gothic" w:hAnsi="Century Gothic"/>
          <w:color w:val="auto"/>
          <w:sz w:val="18"/>
          <w:szCs w:val="18"/>
        </w:rPr>
        <w:footnoteRef/>
      </w:r>
      <w:r w:rsidRPr="00B17AF4">
        <w:rPr>
          <w:rFonts w:ascii="Century Gothic" w:hAnsi="Century Gothic"/>
          <w:color w:val="auto"/>
          <w:sz w:val="18"/>
          <w:szCs w:val="18"/>
        </w:rPr>
        <w:t xml:space="preserve"> </w:t>
      </w:r>
      <w:r w:rsidRPr="001C4E06">
        <w:rPr>
          <w:rStyle w:val="apple-converted-space"/>
          <w:rFonts w:ascii="Century Gothic" w:hAnsi="Century Gothic"/>
          <w:color w:val="auto"/>
          <w:sz w:val="18"/>
          <w:szCs w:val="18"/>
        </w:rPr>
        <w:t xml:space="preserve"> Artículo 209, Constitución Politica de Colombia. “La </w:t>
      </w:r>
      <w:r w:rsidRPr="00B17AF4">
        <w:rPr>
          <w:rFonts w:ascii="Century Gothic" w:hAnsi="Century Gothic"/>
          <w:color w:val="auto"/>
          <w:sz w:val="18"/>
          <w:szCs w:val="18"/>
        </w:rPr>
        <w:t>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r w:rsidRPr="001C4E06">
        <w:rPr>
          <w:rStyle w:val="apple-converted-space"/>
          <w:rFonts w:ascii="Century Gothic" w:hAnsi="Century Gothic"/>
          <w:color w:val="auto"/>
          <w:sz w:val="18"/>
          <w:szCs w:val="18"/>
        </w:rPr>
        <w:t> </w:t>
      </w:r>
    </w:p>
    <w:p w14:paraId="16502F12" w14:textId="77777777" w:rsidR="001C4E06" w:rsidRPr="00E22826" w:rsidRDefault="001C4E06" w:rsidP="001C4E06">
      <w:pPr>
        <w:pStyle w:val="NormalWeb"/>
        <w:spacing w:before="0" w:beforeAutospacing="0" w:after="0" w:afterAutospacing="0"/>
        <w:jc w:val="both"/>
        <w:rPr>
          <w:rFonts w:ascii="Century Gothic" w:hAnsi="Century Gothic"/>
          <w:color w:val="auto"/>
          <w:sz w:val="18"/>
          <w:szCs w:val="18"/>
        </w:rPr>
      </w:pPr>
      <w:r w:rsidRPr="00B17AF4">
        <w:rPr>
          <w:rFonts w:ascii="Century Gothic" w:hAnsi="Century Gothic"/>
          <w:color w:val="auto"/>
          <w:sz w:val="18"/>
          <w:szCs w:val="18"/>
        </w:rPr>
        <w:t xml:space="preserve">Las autoridades administrativas deben coordinar sus actuaciones para el adecuado cumplimiento de los fines del Estado. La administración pública, en todos sus órdenes, tendrá un control interno que se </w:t>
      </w:r>
      <w:r w:rsidRPr="00E22826">
        <w:rPr>
          <w:rFonts w:ascii="Century Gothic" w:hAnsi="Century Gothic"/>
          <w:color w:val="auto"/>
          <w:sz w:val="18"/>
          <w:szCs w:val="18"/>
        </w:rPr>
        <w:t>ejercerá en los términos que señale la ley”.</w:t>
      </w:r>
      <w:r w:rsidRPr="001C4E06">
        <w:rPr>
          <w:rStyle w:val="apple-converted-space"/>
          <w:rFonts w:ascii="Century Gothic" w:hAnsi="Century Gothic"/>
          <w:color w:val="auto"/>
          <w:sz w:val="18"/>
          <w:szCs w:val="18"/>
        </w:rPr>
        <w:t> </w:t>
      </w:r>
    </w:p>
  </w:footnote>
  <w:footnote w:id="35">
    <w:p w14:paraId="1D2A93E1" w14:textId="77777777" w:rsidR="001C4E06" w:rsidRPr="00E22826" w:rsidRDefault="001C4E06" w:rsidP="001C4E06">
      <w:pPr>
        <w:pStyle w:val="Textonotapie"/>
        <w:rPr>
          <w:rFonts w:ascii="Century Gothic" w:hAnsi="Century Gothic"/>
          <w:sz w:val="18"/>
          <w:szCs w:val="18"/>
        </w:rPr>
      </w:pPr>
      <w:r w:rsidRPr="00E22826">
        <w:rPr>
          <w:rStyle w:val="Refdenotaalpie"/>
          <w:rFonts w:ascii="Century Gothic" w:hAnsi="Century Gothic"/>
          <w:sz w:val="18"/>
          <w:szCs w:val="18"/>
        </w:rPr>
        <w:footnoteRef/>
      </w:r>
      <w:r w:rsidRPr="00E22826">
        <w:rPr>
          <w:rFonts w:ascii="Century Gothic" w:hAnsi="Century Gothic"/>
          <w:sz w:val="18"/>
          <w:szCs w:val="18"/>
        </w:rPr>
        <w:t xml:space="preserve"> Folio 238 cuaderno principal. </w:t>
      </w:r>
    </w:p>
  </w:footnote>
  <w:footnote w:id="36">
    <w:p w14:paraId="0577E1C4" w14:textId="77777777" w:rsidR="001C4E06" w:rsidRPr="00CA028C" w:rsidRDefault="001C4E06" w:rsidP="001C4E06">
      <w:pPr>
        <w:pStyle w:val="Textonotapie"/>
        <w:jc w:val="both"/>
        <w:rPr>
          <w:rFonts w:ascii="Century Gothic" w:hAnsi="Century Gothic"/>
          <w:sz w:val="18"/>
          <w:szCs w:val="18"/>
        </w:rPr>
      </w:pPr>
      <w:r w:rsidRPr="00E22826">
        <w:rPr>
          <w:rStyle w:val="Refdenotaalpie"/>
          <w:rFonts w:ascii="Century Gothic" w:hAnsi="Century Gothic"/>
          <w:sz w:val="18"/>
          <w:szCs w:val="18"/>
        </w:rPr>
        <w:footnoteRef/>
      </w:r>
      <w:r>
        <w:rPr>
          <w:rFonts w:ascii="Century Gothic" w:hAnsi="Century Gothic"/>
          <w:sz w:val="18"/>
          <w:szCs w:val="18"/>
        </w:rPr>
        <w:t xml:space="preserve"> “1.1.3. </w:t>
      </w:r>
      <w:r w:rsidRPr="00E22826">
        <w:rPr>
          <w:rFonts w:ascii="Century Gothic" w:hAnsi="Century Gothic"/>
          <w:sz w:val="18"/>
          <w:szCs w:val="18"/>
        </w:rPr>
        <w:t>Revisar y estudiar la documentación del proyecto</w:t>
      </w:r>
    </w:p>
    <w:p w14:paraId="631CCED1" w14:textId="77777777" w:rsidR="001C4E06" w:rsidRPr="00A834D3" w:rsidRDefault="001C4E06" w:rsidP="001C4E06">
      <w:pPr>
        <w:pStyle w:val="Textonotapie"/>
        <w:jc w:val="both"/>
        <w:rPr>
          <w:rFonts w:ascii="Century Gothic" w:hAnsi="Century Gothic"/>
          <w:sz w:val="18"/>
          <w:szCs w:val="18"/>
        </w:rPr>
      </w:pPr>
      <w:r>
        <w:rPr>
          <w:rFonts w:ascii="Century Gothic" w:hAnsi="Century Gothic"/>
          <w:sz w:val="18"/>
          <w:szCs w:val="18"/>
        </w:rPr>
        <w:t>“</w:t>
      </w:r>
      <w:r w:rsidRPr="00CA028C">
        <w:rPr>
          <w:rFonts w:ascii="Century Gothic" w:hAnsi="Century Gothic"/>
          <w:sz w:val="18"/>
          <w:szCs w:val="18"/>
        </w:rPr>
        <w:t xml:space="preserve">Es responsabilidad del interventor revisar y estudiar los documentos e información general, suministrados </w:t>
      </w:r>
      <w:r w:rsidRPr="00A834D3">
        <w:rPr>
          <w:rFonts w:ascii="Century Gothic" w:hAnsi="Century Gothic"/>
          <w:sz w:val="18"/>
          <w:szCs w:val="18"/>
        </w:rPr>
        <w:t>por el coordinador, con el propósito de establecer criterios claros y precisos sobre el proyecto, que le permitan adelantar con efectividad las labores encomendadas.</w:t>
      </w:r>
    </w:p>
    <w:p w14:paraId="6337095E" w14:textId="77777777" w:rsidR="001C4E06" w:rsidRPr="00A834D3" w:rsidRDefault="001C4E06" w:rsidP="001C4E06">
      <w:pPr>
        <w:pStyle w:val="Textonotapie"/>
        <w:jc w:val="both"/>
        <w:rPr>
          <w:rFonts w:ascii="Century Gothic" w:hAnsi="Century Gothic"/>
          <w:sz w:val="18"/>
          <w:szCs w:val="18"/>
        </w:rPr>
      </w:pPr>
      <w:r>
        <w:rPr>
          <w:rFonts w:ascii="Century Gothic" w:hAnsi="Century Gothic"/>
          <w:sz w:val="18"/>
          <w:szCs w:val="18"/>
        </w:rPr>
        <w:t>“</w:t>
      </w:r>
      <w:r w:rsidRPr="00A834D3">
        <w:rPr>
          <w:rFonts w:ascii="Century Gothic" w:hAnsi="Century Gothic"/>
          <w:sz w:val="18"/>
          <w:szCs w:val="18"/>
        </w:rPr>
        <w:t>1.1.4. Verificar la información técnica contenida en los documentos.</w:t>
      </w:r>
    </w:p>
    <w:p w14:paraId="516F50C9" w14:textId="77777777" w:rsidR="001C4E06" w:rsidRPr="006F1239" w:rsidRDefault="001C4E06" w:rsidP="001C4E06">
      <w:pPr>
        <w:pStyle w:val="Textonotapie"/>
        <w:jc w:val="both"/>
        <w:rPr>
          <w:rFonts w:ascii="Century Gothic" w:hAnsi="Century Gothic"/>
          <w:sz w:val="18"/>
          <w:szCs w:val="18"/>
        </w:rPr>
      </w:pPr>
      <w:r>
        <w:rPr>
          <w:rFonts w:ascii="Century Gothic" w:hAnsi="Century Gothic"/>
          <w:sz w:val="18"/>
          <w:szCs w:val="18"/>
        </w:rPr>
        <w:t>“</w:t>
      </w:r>
      <w:r w:rsidRPr="00A834D3">
        <w:rPr>
          <w:rFonts w:ascii="Century Gothic" w:hAnsi="Century Gothic"/>
          <w:sz w:val="18"/>
          <w:szCs w:val="18"/>
        </w:rPr>
        <w:t>Es deber de la interventoría, revisar los requerimientos técnicos exigidos al consultor en los pliegos de condiciones. Adicionalmente, y dependiendo el tipo de consultoría sobre la cual se ejercerá la</w:t>
      </w:r>
      <w:r>
        <w:rPr>
          <w:rFonts w:ascii="Century Gothic" w:hAnsi="Century Gothic"/>
          <w:sz w:val="18"/>
          <w:szCs w:val="18"/>
        </w:rPr>
        <w:t xml:space="preserve"> </w:t>
      </w:r>
      <w:r w:rsidRPr="006F1239">
        <w:rPr>
          <w:rFonts w:ascii="Century Gothic" w:hAnsi="Century Gothic"/>
          <w:sz w:val="18"/>
          <w:szCs w:val="18"/>
        </w:rPr>
        <w:t>Interventoría, es indispensable que ésta última efectúe una visita al terreno donde se ubicará el proyecto a desarrollar, con el fin de identificar requerimientos específicos del mismo”.</w:t>
      </w:r>
    </w:p>
  </w:footnote>
  <w:footnote w:id="37">
    <w:p w14:paraId="367B0F9A" w14:textId="77777777" w:rsidR="001C4E06" w:rsidRPr="006F1239" w:rsidRDefault="001C4E06" w:rsidP="001C4E06">
      <w:pPr>
        <w:pStyle w:val="Textonotapie"/>
        <w:jc w:val="both"/>
        <w:rPr>
          <w:rFonts w:ascii="Century Gothic" w:hAnsi="Century Gothic"/>
          <w:sz w:val="18"/>
          <w:szCs w:val="18"/>
        </w:rPr>
      </w:pPr>
      <w:r w:rsidRPr="006F1239">
        <w:rPr>
          <w:rStyle w:val="Refdenotaalpie"/>
          <w:rFonts w:ascii="Century Gothic" w:hAnsi="Century Gothic"/>
          <w:sz w:val="18"/>
          <w:szCs w:val="18"/>
        </w:rPr>
        <w:footnoteRef/>
      </w:r>
      <w:r w:rsidRPr="006F1239">
        <w:rPr>
          <w:rFonts w:ascii="Century Gothic" w:hAnsi="Century Gothic"/>
          <w:sz w:val="18"/>
          <w:szCs w:val="18"/>
        </w:rPr>
        <w:t xml:space="preserve"> Folio 405 </w:t>
      </w:r>
      <w:r>
        <w:rPr>
          <w:rFonts w:ascii="Century Gothic" w:hAnsi="Century Gothic"/>
          <w:sz w:val="18"/>
          <w:szCs w:val="18"/>
        </w:rPr>
        <w:t xml:space="preserve">pruebas aportadas con la contestación de la demanda. </w:t>
      </w:r>
    </w:p>
  </w:footnote>
  <w:footnote w:id="38">
    <w:p w14:paraId="2A1265F5" w14:textId="77777777" w:rsidR="001C4E06" w:rsidRPr="006F1239" w:rsidRDefault="001C4E06" w:rsidP="001C4E06">
      <w:pPr>
        <w:pStyle w:val="Textonotapie"/>
        <w:jc w:val="both"/>
        <w:rPr>
          <w:rFonts w:ascii="Century Gothic" w:hAnsi="Century Gothic"/>
          <w:sz w:val="18"/>
          <w:szCs w:val="18"/>
        </w:rPr>
      </w:pPr>
      <w:r w:rsidRPr="006F1239">
        <w:rPr>
          <w:rStyle w:val="Refdenotaalpie"/>
          <w:rFonts w:ascii="Century Gothic" w:hAnsi="Century Gothic"/>
          <w:sz w:val="18"/>
          <w:szCs w:val="18"/>
        </w:rPr>
        <w:footnoteRef/>
      </w:r>
      <w:r>
        <w:rPr>
          <w:rFonts w:ascii="Century Gothic" w:hAnsi="Century Gothic"/>
          <w:sz w:val="18"/>
          <w:szCs w:val="18"/>
        </w:rPr>
        <w:t xml:space="preserve"> Numeral</w:t>
      </w:r>
      <w:r w:rsidRPr="006F1239">
        <w:rPr>
          <w:rFonts w:ascii="Century Gothic" w:hAnsi="Century Gothic"/>
          <w:sz w:val="18"/>
          <w:szCs w:val="18"/>
        </w:rPr>
        <w:t xml:space="preserve"> 1 de los artículos 14 y 32 de la Ley 80 de 1993.</w:t>
      </w:r>
    </w:p>
  </w:footnote>
  <w:footnote w:id="39">
    <w:p w14:paraId="1EDE27C5" w14:textId="77777777" w:rsidR="001C4E06" w:rsidRDefault="001C4E06" w:rsidP="001C4E06">
      <w:pPr>
        <w:pStyle w:val="Textonotapie"/>
        <w:jc w:val="both"/>
      </w:pPr>
      <w:r w:rsidRPr="006F1239">
        <w:rPr>
          <w:rStyle w:val="Refdenotaalpie"/>
          <w:rFonts w:ascii="Century Gothic" w:hAnsi="Century Gothic"/>
          <w:sz w:val="18"/>
          <w:szCs w:val="18"/>
        </w:rPr>
        <w:footnoteRef/>
      </w:r>
      <w:r w:rsidRPr="006F1239">
        <w:rPr>
          <w:rFonts w:ascii="Century Gothic" w:hAnsi="Century Gothic"/>
          <w:sz w:val="18"/>
          <w:szCs w:val="18"/>
        </w:rPr>
        <w:t xml:space="preserve"> </w:t>
      </w:r>
      <w:r>
        <w:rPr>
          <w:rFonts w:ascii="Century Gothic" w:hAnsi="Century Gothic"/>
          <w:sz w:val="18"/>
          <w:szCs w:val="18"/>
        </w:rPr>
        <w:t xml:space="preserve">Tal </w:t>
      </w:r>
      <w:r w:rsidRPr="006F1239">
        <w:rPr>
          <w:rFonts w:ascii="Century Gothic" w:hAnsi="Century Gothic"/>
          <w:sz w:val="18"/>
          <w:szCs w:val="18"/>
        </w:rPr>
        <w:t xml:space="preserve">y como lo </w:t>
      </w:r>
      <w:r>
        <w:rPr>
          <w:rFonts w:ascii="Century Gothic" w:hAnsi="Century Gothic"/>
          <w:sz w:val="18"/>
          <w:szCs w:val="18"/>
        </w:rPr>
        <w:t xml:space="preserve">dijo </w:t>
      </w:r>
      <w:r w:rsidRPr="006F1239">
        <w:rPr>
          <w:rFonts w:ascii="Century Gothic" w:hAnsi="Century Gothic"/>
          <w:sz w:val="18"/>
          <w:szCs w:val="18"/>
        </w:rPr>
        <w:t>la Corte Constitucional en la sentencia C – 618 del 8 de agosto de 2012.</w:t>
      </w:r>
    </w:p>
  </w:footnote>
  <w:footnote w:id="40">
    <w:p w14:paraId="4BA87A25" w14:textId="77777777" w:rsidR="001C4E06" w:rsidRPr="001A311A" w:rsidRDefault="001C4E06" w:rsidP="001C4E06">
      <w:pPr>
        <w:pStyle w:val="Textonotapie"/>
        <w:jc w:val="both"/>
        <w:rPr>
          <w:rFonts w:ascii="Century Gothic" w:hAnsi="Century Gothic"/>
          <w:sz w:val="18"/>
          <w:szCs w:val="18"/>
        </w:rPr>
      </w:pPr>
      <w:r w:rsidRPr="001A311A">
        <w:rPr>
          <w:rStyle w:val="Refdenotaalpie"/>
          <w:rFonts w:ascii="Century Gothic" w:hAnsi="Century Gothic"/>
          <w:sz w:val="18"/>
          <w:szCs w:val="18"/>
        </w:rPr>
        <w:footnoteRef/>
      </w:r>
      <w:r w:rsidRPr="001A311A">
        <w:rPr>
          <w:rFonts w:ascii="Century Gothic" w:hAnsi="Century Gothic"/>
          <w:sz w:val="18"/>
          <w:szCs w:val="18"/>
        </w:rPr>
        <w:t xml:space="preserve"> Numerales 2.1.3 y 2.1.4 del Manual de Interventoría del IDU</w:t>
      </w:r>
      <w:r>
        <w:rPr>
          <w:rFonts w:ascii="Century Gothic" w:hAnsi="Century Gothic"/>
          <w:sz w:val="18"/>
          <w:szCs w:val="18"/>
        </w:rPr>
        <w:t xml:space="preserve"> (folios 387 al 440, cuaderno 6)</w:t>
      </w:r>
      <w:r w:rsidRPr="001A311A">
        <w:rPr>
          <w:rFonts w:ascii="Century Gothic" w:hAnsi="Century Gothic"/>
          <w:sz w:val="18"/>
          <w:szCs w:val="18"/>
        </w:rPr>
        <w:t>, que consagran:</w:t>
      </w:r>
    </w:p>
    <w:p w14:paraId="1962C585" w14:textId="77777777" w:rsidR="001C4E06" w:rsidRPr="001A311A" w:rsidRDefault="001C4E06" w:rsidP="001C4E06">
      <w:pPr>
        <w:pStyle w:val="Textonotapie"/>
        <w:jc w:val="both"/>
        <w:rPr>
          <w:rFonts w:ascii="Century Gothic" w:hAnsi="Century Gothic"/>
          <w:sz w:val="18"/>
          <w:szCs w:val="18"/>
        </w:rPr>
      </w:pPr>
      <w:r w:rsidRPr="001A311A">
        <w:rPr>
          <w:rFonts w:ascii="Century Gothic" w:hAnsi="Century Gothic"/>
          <w:sz w:val="18"/>
          <w:szCs w:val="18"/>
        </w:rPr>
        <w:t>“2.1.3. Revisar y estudiar la documentación del proyecto</w:t>
      </w:r>
    </w:p>
    <w:p w14:paraId="7D403E41" w14:textId="77777777" w:rsidR="001C4E06" w:rsidRPr="001A311A" w:rsidRDefault="001C4E06" w:rsidP="001C4E06">
      <w:pPr>
        <w:pStyle w:val="Textonotapie"/>
        <w:jc w:val="both"/>
        <w:rPr>
          <w:rFonts w:ascii="Century Gothic" w:hAnsi="Century Gothic"/>
          <w:sz w:val="18"/>
          <w:szCs w:val="18"/>
        </w:rPr>
      </w:pPr>
      <w:r w:rsidRPr="001A311A">
        <w:rPr>
          <w:rFonts w:ascii="Century Gothic" w:hAnsi="Century Gothic"/>
          <w:sz w:val="18"/>
          <w:szCs w:val="18"/>
        </w:rPr>
        <w:t>“Es responsabilidad del interventor revisar y estudiar los documentos e información general, suministrados por el coordinador, con el propósito de establecer criterios claros y precisos sobre el proyecto, que le permitan adelantar con efectividad las labores encomendadas.</w:t>
      </w:r>
    </w:p>
    <w:p w14:paraId="24A133A2" w14:textId="77777777" w:rsidR="001C4E06" w:rsidRPr="001A311A" w:rsidRDefault="001C4E06" w:rsidP="001C4E06">
      <w:pPr>
        <w:pStyle w:val="Textonotapie"/>
        <w:jc w:val="both"/>
        <w:rPr>
          <w:rFonts w:ascii="Century Gothic" w:hAnsi="Century Gothic"/>
          <w:sz w:val="18"/>
          <w:szCs w:val="18"/>
        </w:rPr>
      </w:pPr>
      <w:r>
        <w:rPr>
          <w:rFonts w:ascii="Century Gothic" w:hAnsi="Century Gothic"/>
          <w:sz w:val="18"/>
          <w:szCs w:val="18"/>
        </w:rPr>
        <w:t>“</w:t>
      </w:r>
      <w:r w:rsidRPr="001A311A">
        <w:rPr>
          <w:rFonts w:ascii="Century Gothic" w:hAnsi="Century Gothic"/>
          <w:sz w:val="18"/>
          <w:szCs w:val="18"/>
        </w:rPr>
        <w:t>2.1.4. Verificar la información técnica contenida en los documentos</w:t>
      </w:r>
    </w:p>
    <w:p w14:paraId="5746969B" w14:textId="77777777" w:rsidR="001C4E06" w:rsidRPr="003716A8" w:rsidRDefault="001C4E06" w:rsidP="001C4E06">
      <w:pPr>
        <w:pStyle w:val="Textonotapie"/>
        <w:jc w:val="both"/>
        <w:rPr>
          <w:rFonts w:ascii="Century Gothic" w:hAnsi="Century Gothic"/>
          <w:sz w:val="18"/>
          <w:szCs w:val="18"/>
        </w:rPr>
      </w:pPr>
      <w:r w:rsidRPr="001A311A">
        <w:rPr>
          <w:rFonts w:ascii="Century Gothic" w:hAnsi="Century Gothic"/>
          <w:sz w:val="18"/>
          <w:szCs w:val="18"/>
        </w:rPr>
        <w:t>“Es indispensable que interventor efectúe una visita al terreno donde se ejecutará el proyecto, para verificar sus condiciones, detectando posibles modificaciones en el contrato de obra”.</w:t>
      </w:r>
    </w:p>
  </w:footnote>
  <w:footnote w:id="41">
    <w:p w14:paraId="4A0CA075" w14:textId="77777777" w:rsidR="001C4E06" w:rsidRPr="00461A06" w:rsidRDefault="001C4E06" w:rsidP="001C4E06">
      <w:pPr>
        <w:pStyle w:val="Textonotapie"/>
        <w:rPr>
          <w:rFonts w:ascii="Century Gothic" w:hAnsi="Century Gothic"/>
          <w:sz w:val="18"/>
          <w:szCs w:val="18"/>
        </w:rPr>
      </w:pPr>
      <w:r w:rsidRPr="00461A06">
        <w:rPr>
          <w:rStyle w:val="Refdenotaalpie"/>
          <w:rFonts w:ascii="Century Gothic" w:hAnsi="Century Gothic"/>
          <w:sz w:val="18"/>
          <w:szCs w:val="18"/>
        </w:rPr>
        <w:footnoteRef/>
      </w:r>
      <w:r w:rsidRPr="00461A06">
        <w:rPr>
          <w:rFonts w:ascii="Century Gothic" w:hAnsi="Century Gothic"/>
          <w:sz w:val="18"/>
          <w:szCs w:val="18"/>
        </w:rPr>
        <w:t xml:space="preserve"> Folios 645 al 657, cuaderno 2 </w:t>
      </w:r>
    </w:p>
  </w:footnote>
  <w:footnote w:id="42">
    <w:p w14:paraId="617494C6" w14:textId="77777777" w:rsidR="001C4E06" w:rsidRPr="00461A06" w:rsidRDefault="001C4E06" w:rsidP="001C4E06">
      <w:pPr>
        <w:pStyle w:val="Textonotapie"/>
        <w:rPr>
          <w:rFonts w:ascii="Century Gothic" w:hAnsi="Century Gothic"/>
          <w:sz w:val="18"/>
          <w:szCs w:val="18"/>
        </w:rPr>
      </w:pPr>
      <w:r w:rsidRPr="00461A06">
        <w:rPr>
          <w:rStyle w:val="Refdenotaalpie"/>
          <w:rFonts w:ascii="Century Gothic" w:hAnsi="Century Gothic"/>
          <w:sz w:val="18"/>
          <w:szCs w:val="18"/>
        </w:rPr>
        <w:footnoteRef/>
      </w:r>
      <w:r w:rsidRPr="00461A06">
        <w:rPr>
          <w:rFonts w:ascii="Century Gothic" w:hAnsi="Century Gothic"/>
          <w:sz w:val="18"/>
          <w:szCs w:val="18"/>
        </w:rPr>
        <w:t xml:space="preserve"> Folios 658 al 665, cuaderno 2</w:t>
      </w:r>
    </w:p>
  </w:footnote>
  <w:footnote w:id="43">
    <w:p w14:paraId="507C5BD3" w14:textId="77777777" w:rsidR="001C4E06" w:rsidRDefault="001C4E06" w:rsidP="001C4E06">
      <w:pPr>
        <w:pStyle w:val="Textonotapie"/>
        <w:jc w:val="both"/>
        <w:rPr>
          <w:rFonts w:ascii="Century Gothic" w:hAnsi="Century Gothic"/>
          <w:sz w:val="18"/>
          <w:szCs w:val="18"/>
        </w:rPr>
      </w:pPr>
      <w:r>
        <w:rPr>
          <w:rStyle w:val="Refdenotaalpie"/>
        </w:rPr>
        <w:footnoteRef/>
      </w:r>
      <w:r>
        <w:t xml:space="preserve"> </w:t>
      </w:r>
      <w:r w:rsidRPr="009E64EA">
        <w:rPr>
          <w:rFonts w:ascii="Century Gothic" w:hAnsi="Century Gothic"/>
          <w:sz w:val="18"/>
          <w:szCs w:val="18"/>
        </w:rPr>
        <w:t>1.1.7. Presentar las modificaciones del proyecto</w:t>
      </w:r>
      <w:r>
        <w:t xml:space="preserve"> </w:t>
      </w:r>
      <w:r w:rsidRPr="0001587E">
        <w:rPr>
          <w:rFonts w:ascii="Century Gothic" w:hAnsi="Century Gothic"/>
          <w:sz w:val="18"/>
          <w:szCs w:val="18"/>
        </w:rPr>
        <w:t>(se transcribe literal)</w:t>
      </w:r>
      <w:r>
        <w:rPr>
          <w:rFonts w:ascii="Century Gothic" w:hAnsi="Century Gothic"/>
          <w:sz w:val="18"/>
          <w:szCs w:val="18"/>
        </w:rPr>
        <w:t xml:space="preserve"> “Si de acuerdo con la reunión entre interventor y contratista, se determina la necesidad de implementar ciertas modificaciones en la programación u otro aspecto del proyecto, el interventor en conjunto con el consultor, deberá elaborar la propuesta que justifique las modificaciones planteadas. Dichio a propuesta deberá presentarse en una reunión en el IDU, en donde participarán Interventor, Consultor, Coordinador del Proyecto y Director de la unidad involucrada.</w:t>
      </w:r>
    </w:p>
    <w:p w14:paraId="4DDB9D12" w14:textId="77777777" w:rsidR="001C4E06" w:rsidRDefault="001C4E06" w:rsidP="001C4E06">
      <w:pPr>
        <w:pStyle w:val="Textonotapie"/>
      </w:pPr>
      <w:r>
        <w:rPr>
          <w:rFonts w:ascii="Century Gothic" w:hAnsi="Century Gothic"/>
          <w:sz w:val="18"/>
          <w:szCs w:val="18"/>
        </w:rPr>
        <w:t>“El coordinador del Proyecto será el responsable de preparar la reunión”.</w:t>
      </w:r>
    </w:p>
  </w:footnote>
  <w:footnote w:id="44">
    <w:p w14:paraId="7D259932" w14:textId="77777777" w:rsidR="001C4E06" w:rsidRPr="00356807" w:rsidRDefault="001C4E06" w:rsidP="001C4E06">
      <w:pPr>
        <w:pStyle w:val="Textonotapie"/>
        <w:jc w:val="both"/>
        <w:rPr>
          <w:rFonts w:ascii="Century Gothic" w:hAnsi="Century Gothic"/>
          <w:sz w:val="18"/>
          <w:szCs w:val="18"/>
        </w:rPr>
      </w:pPr>
      <w:r>
        <w:rPr>
          <w:rStyle w:val="Refdenotaalpie"/>
        </w:rPr>
        <w:footnoteRef/>
      </w:r>
      <w:r>
        <w:t xml:space="preserve"> </w:t>
      </w:r>
      <w:r w:rsidRPr="00356807">
        <w:rPr>
          <w:rFonts w:ascii="Century Gothic" w:hAnsi="Century Gothic"/>
          <w:sz w:val="18"/>
          <w:szCs w:val="18"/>
        </w:rPr>
        <w:t>2.1.7. Presentar las modificaciones del proyecto (se transcribe literal) “Si conforme a los estudios y diseños y a los acuerdos establecidos en la reunión entre interventor y contratista, se determina la necesidad de implementar ciertas modificaciones en el diseño, programación u otro facto</w:t>
      </w:r>
      <w:r>
        <w:rPr>
          <w:rFonts w:ascii="Century Gothic" w:hAnsi="Century Gothic"/>
          <w:sz w:val="18"/>
          <w:szCs w:val="18"/>
        </w:rPr>
        <w:t>r</w:t>
      </w:r>
      <w:r w:rsidRPr="00356807">
        <w:rPr>
          <w:rFonts w:ascii="Century Gothic" w:hAnsi="Century Gothic"/>
          <w:sz w:val="18"/>
          <w:szCs w:val="18"/>
        </w:rPr>
        <w:t xml:space="preserve"> del proyecto, e</w:t>
      </w:r>
      <w:r>
        <w:rPr>
          <w:rFonts w:ascii="Century Gothic" w:hAnsi="Century Gothic"/>
          <w:sz w:val="18"/>
          <w:szCs w:val="18"/>
        </w:rPr>
        <w:t>l interventor en conjunto con el</w:t>
      </w:r>
      <w:r w:rsidRPr="00356807">
        <w:rPr>
          <w:rFonts w:ascii="Century Gothic" w:hAnsi="Century Gothic"/>
          <w:sz w:val="18"/>
          <w:szCs w:val="18"/>
        </w:rPr>
        <w:t xml:space="preserve"> consultor, deberá elaborar la propuesta que justifique las modificaciones planteadas. Esta propuesta deberá presentarse en una reunión en el IDU, en donde participarán interventor, contratista, coordinador, director de la unidad involucrada, el Subdirector correspondiente y el Director General o su delegado.</w:t>
      </w:r>
    </w:p>
    <w:p w14:paraId="26731551" w14:textId="77777777" w:rsidR="001C4E06" w:rsidRPr="00356807" w:rsidRDefault="001C4E06" w:rsidP="001C4E06">
      <w:pPr>
        <w:pStyle w:val="Textonotapie"/>
        <w:jc w:val="both"/>
        <w:rPr>
          <w:rFonts w:ascii="Century Gothic" w:hAnsi="Century Gothic"/>
          <w:sz w:val="18"/>
          <w:szCs w:val="18"/>
        </w:rPr>
      </w:pPr>
      <w:r w:rsidRPr="00356807">
        <w:rPr>
          <w:rFonts w:ascii="Century Gothic" w:hAnsi="Century Gothic"/>
          <w:sz w:val="18"/>
          <w:szCs w:val="18"/>
        </w:rPr>
        <w:t>“Si los cambios no afectan en gran proporción el proyecto, en la reunión además del interventor y contratista, sólo deberá participar el coordinador y el director de la unidad involucrada.</w:t>
      </w:r>
    </w:p>
    <w:p w14:paraId="28058B89" w14:textId="77777777" w:rsidR="001C4E06" w:rsidRDefault="001C4E06" w:rsidP="001C4E06">
      <w:pPr>
        <w:pStyle w:val="Textonotapie"/>
      </w:pPr>
      <w:r>
        <w:rPr>
          <w:rFonts w:ascii="Century Gothic" w:hAnsi="Century Gothic"/>
          <w:sz w:val="18"/>
          <w:szCs w:val="18"/>
        </w:rPr>
        <w:t>“</w:t>
      </w:r>
      <w:r w:rsidRPr="00356807">
        <w:rPr>
          <w:rFonts w:ascii="Century Gothic" w:hAnsi="Century Gothic"/>
          <w:sz w:val="18"/>
          <w:szCs w:val="18"/>
        </w:rPr>
        <w:t>El interventor y el coordinador serán los responsables de preparar la reunión”.</w:t>
      </w:r>
    </w:p>
  </w:footnote>
  <w:footnote w:id="45">
    <w:p w14:paraId="77C6C8B4" w14:textId="77777777" w:rsidR="001C4E06" w:rsidRPr="00F6027B" w:rsidRDefault="001C4E06" w:rsidP="001C4E06">
      <w:pPr>
        <w:pStyle w:val="Textonotapie"/>
        <w:rPr>
          <w:rFonts w:ascii="Century Gothic" w:hAnsi="Century Gothic"/>
          <w:sz w:val="18"/>
          <w:szCs w:val="18"/>
        </w:rPr>
      </w:pPr>
      <w:r w:rsidRPr="00461A06">
        <w:rPr>
          <w:rStyle w:val="Refdenotaalpie"/>
          <w:rFonts w:ascii="Century Gothic" w:hAnsi="Century Gothic"/>
          <w:sz w:val="18"/>
          <w:szCs w:val="18"/>
        </w:rPr>
        <w:footnoteRef/>
      </w:r>
      <w:r w:rsidRPr="00461A06">
        <w:rPr>
          <w:rFonts w:ascii="Century Gothic" w:hAnsi="Century Gothic"/>
          <w:sz w:val="18"/>
          <w:szCs w:val="18"/>
        </w:rPr>
        <w:t xml:space="preserve"> </w:t>
      </w:r>
      <w:r w:rsidRPr="0024361C">
        <w:rPr>
          <w:rFonts w:ascii="Century Gothic" w:hAnsi="Century Gothic"/>
          <w:sz w:val="18"/>
          <w:szCs w:val="18"/>
          <w:lang w:val="es-MX"/>
        </w:rPr>
        <w:t>Folios 253 al  256, cuaderno 6</w:t>
      </w:r>
    </w:p>
  </w:footnote>
  <w:footnote w:id="46">
    <w:p w14:paraId="200E9B9A" w14:textId="77777777" w:rsidR="001C4E06" w:rsidRPr="00F6027B" w:rsidRDefault="001C4E06" w:rsidP="001C4E06">
      <w:pPr>
        <w:pStyle w:val="Textonotapie"/>
        <w:rPr>
          <w:rFonts w:ascii="Century Gothic" w:hAnsi="Century Gothic"/>
          <w:sz w:val="18"/>
          <w:szCs w:val="18"/>
        </w:rPr>
      </w:pPr>
      <w:r w:rsidRPr="00F6027B">
        <w:rPr>
          <w:rStyle w:val="Refdenotaalpie"/>
          <w:rFonts w:ascii="Century Gothic" w:hAnsi="Century Gothic"/>
          <w:sz w:val="18"/>
          <w:szCs w:val="18"/>
        </w:rPr>
        <w:footnoteRef/>
      </w:r>
      <w:r>
        <w:rPr>
          <w:rFonts w:ascii="Century Gothic" w:hAnsi="Century Gothic"/>
          <w:sz w:val="18"/>
          <w:szCs w:val="18"/>
        </w:rPr>
        <w:t xml:space="preserve"> Folios 145 y 148,  </w:t>
      </w:r>
      <w:r w:rsidRPr="00F6027B">
        <w:rPr>
          <w:rFonts w:ascii="Century Gothic" w:hAnsi="Century Gothic"/>
          <w:sz w:val="18"/>
          <w:szCs w:val="18"/>
        </w:rPr>
        <w:t xml:space="preserve">cuaderno 3 </w:t>
      </w:r>
    </w:p>
  </w:footnote>
  <w:footnote w:id="47">
    <w:p w14:paraId="6B74204F" w14:textId="77777777" w:rsidR="001C4E06" w:rsidRPr="002A6599" w:rsidRDefault="001C4E06" w:rsidP="001C4E06">
      <w:pPr>
        <w:pStyle w:val="Textonotapie"/>
        <w:jc w:val="both"/>
        <w:rPr>
          <w:rFonts w:ascii="Century Gothic" w:hAnsi="Century Gothic"/>
          <w:sz w:val="18"/>
          <w:szCs w:val="18"/>
        </w:rPr>
      </w:pPr>
      <w:r w:rsidRPr="002A6599">
        <w:rPr>
          <w:rStyle w:val="Refdenotaalpie"/>
          <w:rFonts w:ascii="Century Gothic" w:hAnsi="Century Gothic"/>
          <w:sz w:val="18"/>
          <w:szCs w:val="18"/>
        </w:rPr>
        <w:footnoteRef/>
      </w:r>
      <w:r w:rsidRPr="002A6599">
        <w:rPr>
          <w:rFonts w:ascii="Century Gothic" w:hAnsi="Century Gothic"/>
          <w:sz w:val="18"/>
          <w:szCs w:val="18"/>
        </w:rPr>
        <w:t xml:space="preserve"> </w:t>
      </w:r>
      <w:r>
        <w:rPr>
          <w:rFonts w:ascii="Century Gothic" w:hAnsi="Century Gothic"/>
          <w:sz w:val="18"/>
          <w:szCs w:val="18"/>
        </w:rPr>
        <w:t>Visible a folio 428 a 430 del cuaderno anexos de la demanda, c</w:t>
      </w:r>
      <w:r w:rsidRPr="002A6599">
        <w:rPr>
          <w:rFonts w:ascii="Century Gothic" w:hAnsi="Century Gothic"/>
          <w:sz w:val="18"/>
          <w:szCs w:val="18"/>
        </w:rPr>
        <w:t>uyo objeto es el siguie</w:t>
      </w:r>
      <w:r>
        <w:rPr>
          <w:rFonts w:ascii="Century Gothic" w:hAnsi="Century Gothic"/>
          <w:sz w:val="18"/>
          <w:szCs w:val="18"/>
        </w:rPr>
        <w:t>nte (se transcribe literal</w:t>
      </w:r>
      <w:r w:rsidRPr="002A6599">
        <w:rPr>
          <w:rFonts w:ascii="Century Gothic" w:hAnsi="Century Gothic"/>
          <w:sz w:val="18"/>
          <w:szCs w:val="18"/>
        </w:rPr>
        <w:t>):</w:t>
      </w:r>
    </w:p>
    <w:p w14:paraId="61086DD5" w14:textId="77777777" w:rsidR="001C4E06" w:rsidRPr="004E1A41" w:rsidRDefault="001C4E06" w:rsidP="001C4E06">
      <w:pPr>
        <w:pStyle w:val="Textonotapie"/>
        <w:jc w:val="both"/>
        <w:rPr>
          <w:i/>
        </w:rPr>
      </w:pPr>
      <w:r>
        <w:rPr>
          <w:rFonts w:ascii="Century Gothic" w:hAnsi="Century Gothic"/>
          <w:i/>
          <w:sz w:val="18"/>
          <w:szCs w:val="18"/>
        </w:rPr>
        <w:t>“PRIMERA – OBJETO: El o</w:t>
      </w:r>
      <w:r w:rsidRPr="004E1A41">
        <w:rPr>
          <w:rFonts w:ascii="Century Gothic" w:hAnsi="Century Gothic"/>
          <w:i/>
          <w:sz w:val="18"/>
          <w:szCs w:val="18"/>
        </w:rPr>
        <w:t>bjeto del presente convenio es aunar esfuerzos técnicos con miras al aseguramiento de la calidad de los pavimentos locales, dentro del programa de Construcción, Recuperación y Conservación de la Malla Vial en el distrito capital de Santa Fe de Bogotá que adelanta el IDU”.</w:t>
      </w:r>
      <w:r w:rsidRPr="004E1A41">
        <w:rPr>
          <w:i/>
        </w:rPr>
        <w:t xml:space="preserve">  </w:t>
      </w:r>
    </w:p>
  </w:footnote>
  <w:footnote w:id="48">
    <w:p w14:paraId="1B6A7D64" w14:textId="77777777" w:rsidR="001C4E06" w:rsidRDefault="001C4E06" w:rsidP="001C4E06">
      <w:pPr>
        <w:pStyle w:val="Textonotapie"/>
        <w:jc w:val="both"/>
        <w:rPr>
          <w:rFonts w:ascii="Century Gothic" w:hAnsi="Century Gothic"/>
          <w:sz w:val="18"/>
          <w:szCs w:val="18"/>
        </w:rPr>
      </w:pPr>
      <w:r w:rsidRPr="004E1A41">
        <w:rPr>
          <w:rStyle w:val="Refdenotaalpie"/>
          <w:rFonts w:ascii="Century Gothic" w:hAnsi="Century Gothic"/>
          <w:sz w:val="18"/>
          <w:szCs w:val="18"/>
        </w:rPr>
        <w:footnoteRef/>
      </w:r>
      <w:r w:rsidRPr="004E1A41">
        <w:rPr>
          <w:rFonts w:ascii="Century Gothic" w:hAnsi="Century Gothic"/>
          <w:sz w:val="18"/>
          <w:szCs w:val="18"/>
        </w:rPr>
        <w:t xml:space="preserve"> </w:t>
      </w:r>
      <w:r>
        <w:rPr>
          <w:rFonts w:ascii="Century Gothic" w:hAnsi="Century Gothic"/>
          <w:sz w:val="18"/>
          <w:szCs w:val="18"/>
        </w:rPr>
        <w:t>Folios 431 a 434 del cuaderno anexos de la demanda, c</w:t>
      </w:r>
      <w:r w:rsidRPr="004E1A41">
        <w:rPr>
          <w:rFonts w:ascii="Century Gothic" w:hAnsi="Century Gothic"/>
          <w:sz w:val="18"/>
          <w:szCs w:val="18"/>
        </w:rPr>
        <w:t>uyo objeto es el siguiente (se transcribe lite</w:t>
      </w:r>
      <w:r>
        <w:rPr>
          <w:rFonts w:ascii="Century Gothic" w:hAnsi="Century Gothic"/>
          <w:sz w:val="18"/>
          <w:szCs w:val="18"/>
        </w:rPr>
        <w:t>ralmente</w:t>
      </w:r>
      <w:r w:rsidRPr="004E1A41">
        <w:rPr>
          <w:rFonts w:ascii="Century Gothic" w:hAnsi="Century Gothic"/>
          <w:sz w:val="18"/>
          <w:szCs w:val="18"/>
        </w:rPr>
        <w:t>):</w:t>
      </w:r>
    </w:p>
    <w:p w14:paraId="5F592637" w14:textId="77777777" w:rsidR="001C4E06" w:rsidRPr="001C7FDE" w:rsidRDefault="001C4E06" w:rsidP="001C4E06">
      <w:pPr>
        <w:pStyle w:val="Textonotapie"/>
        <w:jc w:val="both"/>
        <w:rPr>
          <w:rFonts w:ascii="Century Gothic" w:hAnsi="Century Gothic"/>
          <w:i/>
          <w:sz w:val="18"/>
          <w:szCs w:val="18"/>
        </w:rPr>
      </w:pPr>
      <w:r w:rsidRPr="004E1A41">
        <w:rPr>
          <w:rFonts w:ascii="Century Gothic" w:hAnsi="Century Gothic"/>
          <w:i/>
          <w:sz w:val="18"/>
          <w:szCs w:val="18"/>
        </w:rPr>
        <w:t xml:space="preserve">“CLAUSULA PRIMERA- OBJETO: El presente convenio tiene como objeto la elaboración de los estudios y </w:t>
      </w:r>
      <w:r w:rsidRPr="001C7FDE">
        <w:rPr>
          <w:rFonts w:ascii="Century Gothic" w:hAnsi="Century Gothic"/>
          <w:i/>
          <w:sz w:val="18"/>
          <w:szCs w:val="18"/>
        </w:rPr>
        <w:t xml:space="preserve">diseños de pavimentos y/o andenes en concreto a construir en todas las localidades de Santafe de Bogotá ejecutadas por medio el programa de Gestión Compartida”.   </w:t>
      </w:r>
    </w:p>
  </w:footnote>
  <w:footnote w:id="49">
    <w:p w14:paraId="7A1BF15B" w14:textId="77777777" w:rsidR="001C4E06" w:rsidRPr="001C7FDE" w:rsidRDefault="001C4E06" w:rsidP="001C4E06">
      <w:pPr>
        <w:pStyle w:val="Textonotapie"/>
        <w:rPr>
          <w:rFonts w:ascii="Century Gothic" w:hAnsi="Century Gothic"/>
          <w:sz w:val="18"/>
          <w:szCs w:val="18"/>
        </w:rPr>
      </w:pPr>
      <w:r w:rsidRPr="001C7FDE">
        <w:rPr>
          <w:rStyle w:val="Refdenotaalpie"/>
          <w:rFonts w:ascii="Century Gothic" w:hAnsi="Century Gothic"/>
          <w:sz w:val="18"/>
          <w:szCs w:val="18"/>
        </w:rPr>
        <w:footnoteRef/>
      </w:r>
      <w:r w:rsidRPr="001C7FDE">
        <w:rPr>
          <w:rFonts w:ascii="Century Gothic" w:hAnsi="Century Gothic"/>
          <w:sz w:val="18"/>
          <w:szCs w:val="18"/>
        </w:rPr>
        <w:t xml:space="preserve"> Visible a folio 423 a 425 del cuaderno anexos de la demanda</w:t>
      </w:r>
    </w:p>
  </w:footnote>
  <w:footnote w:id="50">
    <w:p w14:paraId="1D07270C" w14:textId="77777777" w:rsidR="001C4E06" w:rsidRPr="001C7FDE" w:rsidRDefault="001C4E06" w:rsidP="001C4E06">
      <w:pPr>
        <w:pStyle w:val="Textonotapie"/>
        <w:rPr>
          <w:rFonts w:ascii="Century Gothic" w:hAnsi="Century Gothic"/>
          <w:sz w:val="18"/>
          <w:szCs w:val="18"/>
        </w:rPr>
      </w:pPr>
      <w:r w:rsidRPr="001C7FDE">
        <w:rPr>
          <w:rStyle w:val="Refdenotaalpie"/>
          <w:rFonts w:ascii="Century Gothic" w:hAnsi="Century Gothic"/>
          <w:sz w:val="18"/>
          <w:szCs w:val="18"/>
        </w:rPr>
        <w:footnoteRef/>
      </w:r>
      <w:r w:rsidRPr="001C7FDE">
        <w:rPr>
          <w:rFonts w:ascii="Century Gothic" w:hAnsi="Century Gothic"/>
          <w:sz w:val="18"/>
          <w:szCs w:val="18"/>
        </w:rPr>
        <w:t xml:space="preserve"> Visible a folio 435</w:t>
      </w:r>
      <w:r>
        <w:rPr>
          <w:rFonts w:ascii="Century Gothic" w:hAnsi="Century Gothic"/>
          <w:sz w:val="18"/>
          <w:szCs w:val="18"/>
        </w:rPr>
        <w:t xml:space="preserve"> a 43</w:t>
      </w:r>
      <w:r w:rsidRPr="001C7FDE">
        <w:rPr>
          <w:rFonts w:ascii="Century Gothic" w:hAnsi="Century Gothic"/>
          <w:sz w:val="18"/>
          <w:szCs w:val="18"/>
        </w:rPr>
        <w:t>7del cuaderno anexos de la demanda</w:t>
      </w:r>
    </w:p>
  </w:footnote>
  <w:footnote w:id="51">
    <w:p w14:paraId="3671BBEB" w14:textId="77777777" w:rsidR="001C4E06" w:rsidRPr="00D81270" w:rsidRDefault="001C4E06" w:rsidP="001C4E06">
      <w:pPr>
        <w:pStyle w:val="Textonotapie"/>
        <w:rPr>
          <w:rFonts w:ascii="Century Gothic" w:hAnsi="Century Gothic"/>
          <w:sz w:val="18"/>
          <w:szCs w:val="18"/>
        </w:rPr>
      </w:pPr>
      <w:r w:rsidRPr="001C7FDE">
        <w:rPr>
          <w:rStyle w:val="Refdenotaalpie"/>
          <w:rFonts w:ascii="Century Gothic" w:hAnsi="Century Gothic"/>
          <w:sz w:val="18"/>
          <w:szCs w:val="18"/>
        </w:rPr>
        <w:footnoteRef/>
      </w:r>
      <w:r w:rsidRPr="001C7FDE">
        <w:rPr>
          <w:rFonts w:ascii="Century Gothic" w:hAnsi="Century Gothic"/>
          <w:sz w:val="18"/>
          <w:szCs w:val="18"/>
        </w:rPr>
        <w:t xml:space="preserve"> Cfr. supra, pág. 20.</w:t>
      </w:r>
    </w:p>
  </w:footnote>
  <w:footnote w:id="52">
    <w:p w14:paraId="444307EE" w14:textId="77777777" w:rsidR="001C4E06" w:rsidRPr="00981ECD" w:rsidRDefault="001C4E06" w:rsidP="001C4E06">
      <w:pPr>
        <w:jc w:val="both"/>
        <w:rPr>
          <w:rFonts w:ascii="Century Gothic" w:hAnsi="Century Gothic"/>
          <w:sz w:val="18"/>
          <w:szCs w:val="18"/>
          <w:lang w:val="es-ES_tradnl"/>
        </w:rPr>
      </w:pPr>
      <w:r w:rsidRPr="00F6027B">
        <w:rPr>
          <w:rStyle w:val="Refdenotaalpie"/>
          <w:rFonts w:ascii="Century Gothic" w:hAnsi="Century Gothic"/>
          <w:sz w:val="18"/>
          <w:szCs w:val="18"/>
        </w:rPr>
        <w:footnoteRef/>
      </w:r>
      <w:r w:rsidRPr="00F6027B">
        <w:rPr>
          <w:rFonts w:ascii="Century Gothic" w:hAnsi="Century Gothic"/>
          <w:sz w:val="18"/>
          <w:szCs w:val="18"/>
        </w:rPr>
        <w:t xml:space="preserve"> Consejo de Estado, Sección Cuarta, Sentencia del 23 de junio de 2011, </w:t>
      </w:r>
      <w:r>
        <w:rPr>
          <w:rFonts w:ascii="Century Gothic" w:hAnsi="Century Gothic"/>
          <w:sz w:val="18"/>
          <w:szCs w:val="18"/>
          <w:shd w:val="clear" w:color="auto" w:fill="FFFFFF"/>
          <w:lang w:val="es-ES_tradnl"/>
        </w:rPr>
        <w:t>r</w:t>
      </w:r>
      <w:r w:rsidRPr="00F6027B">
        <w:rPr>
          <w:rFonts w:ascii="Century Gothic" w:hAnsi="Century Gothic"/>
          <w:sz w:val="18"/>
          <w:szCs w:val="18"/>
          <w:shd w:val="clear" w:color="auto" w:fill="FFFFFF"/>
          <w:lang w:val="es-ES_tradnl"/>
        </w:rPr>
        <w:t>adicación 11001-03-27-000-2006-00032-00</w:t>
      </w:r>
      <w:r>
        <w:rPr>
          <w:rFonts w:ascii="Century Gothic" w:hAnsi="Century Gothic"/>
          <w:sz w:val="18"/>
          <w:szCs w:val="18"/>
          <w:shd w:val="clear" w:color="auto" w:fill="FFFFFF"/>
          <w:lang w:val="es-ES_tradnl"/>
        </w:rPr>
        <w:t xml:space="preserve"> </w:t>
      </w:r>
      <w:r w:rsidRPr="00F6027B">
        <w:rPr>
          <w:rFonts w:ascii="Century Gothic" w:hAnsi="Century Gothic"/>
          <w:sz w:val="18"/>
          <w:szCs w:val="18"/>
          <w:shd w:val="clear" w:color="auto" w:fill="FFFFFF"/>
          <w:lang w:val="es-ES_tradnl"/>
        </w:rPr>
        <w:t>(16090)</w:t>
      </w:r>
      <w:r>
        <w:rPr>
          <w:rFonts w:ascii="Century Gothic" w:hAnsi="Century Gothic"/>
          <w:sz w:val="18"/>
          <w:szCs w:val="18"/>
          <w:shd w:val="clear" w:color="auto" w:fill="FFFFFF"/>
          <w:lang w:val="es-ES_tradnl"/>
        </w:rPr>
        <w:t>.</w:t>
      </w:r>
    </w:p>
  </w:footnote>
  <w:footnote w:id="53">
    <w:p w14:paraId="5A93FBF8" w14:textId="77777777" w:rsidR="001C4E06" w:rsidRPr="00F6027B" w:rsidRDefault="001C4E06" w:rsidP="001C4E06">
      <w:pPr>
        <w:overflowPunct w:val="0"/>
        <w:autoSpaceDE w:val="0"/>
        <w:autoSpaceDN w:val="0"/>
        <w:adjustRightInd w:val="0"/>
        <w:ind w:right="-283"/>
        <w:jc w:val="both"/>
        <w:textAlignment w:val="baseline"/>
        <w:rPr>
          <w:rFonts w:ascii="Century Gothic" w:hAnsi="Century Gothic"/>
          <w:sz w:val="18"/>
          <w:szCs w:val="18"/>
        </w:rPr>
      </w:pPr>
      <w:r w:rsidRPr="00F6027B">
        <w:rPr>
          <w:rStyle w:val="Refdenotaalpie"/>
          <w:rFonts w:ascii="Century Gothic" w:hAnsi="Century Gothic"/>
          <w:sz w:val="18"/>
          <w:szCs w:val="18"/>
        </w:rPr>
        <w:footnoteRef/>
      </w:r>
      <w:r w:rsidRPr="00F6027B">
        <w:rPr>
          <w:rFonts w:ascii="Century Gothic" w:hAnsi="Century Gothic"/>
          <w:sz w:val="18"/>
          <w:szCs w:val="18"/>
        </w:rPr>
        <w:t xml:space="preserve"> </w:t>
      </w:r>
      <w:r w:rsidRPr="00F6027B">
        <w:rPr>
          <w:rFonts w:ascii="Century Gothic" w:hAnsi="Century Gothic"/>
          <w:bCs/>
          <w:sz w:val="18"/>
          <w:szCs w:val="18"/>
          <w:lang w:val="es-ES_tradnl"/>
        </w:rPr>
        <w:t>Conse</w:t>
      </w:r>
      <w:r>
        <w:rPr>
          <w:rFonts w:ascii="Century Gothic" w:hAnsi="Century Gothic"/>
          <w:bCs/>
          <w:sz w:val="18"/>
          <w:szCs w:val="18"/>
          <w:lang w:val="es-ES_tradnl"/>
        </w:rPr>
        <w:t>jo de Estado, Sección Primera, s</w:t>
      </w:r>
      <w:r w:rsidRPr="00F6027B">
        <w:rPr>
          <w:rFonts w:ascii="Century Gothic" w:hAnsi="Century Gothic"/>
          <w:bCs/>
          <w:sz w:val="18"/>
          <w:szCs w:val="18"/>
          <w:lang w:val="es-ES_tradnl"/>
        </w:rPr>
        <w:t xml:space="preserve">entencia del </w:t>
      </w:r>
      <w:r>
        <w:rPr>
          <w:rFonts w:ascii="Century Gothic" w:hAnsi="Century Gothic"/>
          <w:spacing w:val="-3"/>
          <w:sz w:val="18"/>
          <w:szCs w:val="18"/>
          <w:lang w:val="es-ES_tradnl"/>
        </w:rPr>
        <w:t>7 de junio de 2012, r</w:t>
      </w:r>
      <w:r w:rsidRPr="00F6027B">
        <w:rPr>
          <w:rFonts w:ascii="Century Gothic" w:hAnsi="Century Gothic"/>
          <w:spacing w:val="-3"/>
          <w:sz w:val="18"/>
          <w:szCs w:val="18"/>
          <w:lang w:val="es-ES_tradnl"/>
        </w:rPr>
        <w:t>adicación 66001-23-31- 000-1998-00645-01</w:t>
      </w:r>
    </w:p>
  </w:footnote>
  <w:footnote w:id="54">
    <w:p w14:paraId="7A363002" w14:textId="77777777" w:rsidR="001C4E06" w:rsidRPr="0001587E" w:rsidRDefault="001C4E06" w:rsidP="001C4E06">
      <w:pPr>
        <w:pStyle w:val="Textonotapie"/>
        <w:jc w:val="both"/>
        <w:rPr>
          <w:rFonts w:ascii="Century Gothic" w:hAnsi="Century Gothic"/>
          <w:sz w:val="18"/>
          <w:szCs w:val="18"/>
        </w:rPr>
      </w:pPr>
      <w:r w:rsidRPr="0001587E">
        <w:rPr>
          <w:rStyle w:val="Refdenotaalpie"/>
          <w:rFonts w:ascii="Century Gothic" w:hAnsi="Century Gothic"/>
          <w:sz w:val="18"/>
          <w:szCs w:val="18"/>
        </w:rPr>
        <w:footnoteRef/>
      </w:r>
      <w:r w:rsidRPr="0001587E">
        <w:rPr>
          <w:rFonts w:ascii="Century Gothic" w:hAnsi="Century Gothic"/>
          <w:sz w:val="18"/>
          <w:szCs w:val="18"/>
        </w:rPr>
        <w:t xml:space="preserve"> 3.1. Generalidades. (se transcribe literal) “El consultor prestará</w:t>
      </w:r>
      <w:r>
        <w:rPr>
          <w:rFonts w:ascii="Century Gothic" w:hAnsi="Century Gothic"/>
          <w:sz w:val="18"/>
          <w:szCs w:val="18"/>
        </w:rPr>
        <w:t xml:space="preserve"> los Servicios y cumplirá con sus obligaciones con la debida diligencia, eficiencia y economía, de acuerdo con técnicas y prácticas profesionales generalmente aceptadas; asimismo, observará prácticas de administración apropiadas y empleará técnicas modernas adecuadas y métodos eficaces y seguros. En toda cuestión relacionada con este Contrato o con los Servicios, </w:t>
      </w:r>
      <w:r w:rsidRPr="006E3F8F">
        <w:rPr>
          <w:rFonts w:ascii="Century Gothic" w:hAnsi="Century Gothic"/>
          <w:b/>
          <w:sz w:val="18"/>
          <w:szCs w:val="18"/>
        </w:rPr>
        <w:t>el Consultor actuará siempre como asesor leal del Contratante</w:t>
      </w:r>
      <w:r>
        <w:rPr>
          <w:rFonts w:ascii="Century Gothic" w:hAnsi="Century Gothic"/>
          <w:sz w:val="18"/>
          <w:szCs w:val="18"/>
        </w:rPr>
        <w:t xml:space="preserve"> y en todo momento deberá proteger y defender los intereses legítimos del Contratante en los acuerdos a que llegue con un Subconsultor o con terceros”. (negrillas fuera de texto)</w:t>
      </w:r>
    </w:p>
  </w:footnote>
  <w:footnote w:id="55">
    <w:p w14:paraId="0BDCB18B" w14:textId="77777777" w:rsidR="001C4E06" w:rsidRPr="00BF6F95" w:rsidRDefault="001C4E06" w:rsidP="001C4E06">
      <w:pPr>
        <w:pStyle w:val="Textonotapie"/>
        <w:jc w:val="both"/>
        <w:rPr>
          <w:rFonts w:ascii="Century Gothic" w:hAnsi="Century Gothic"/>
          <w:sz w:val="18"/>
          <w:szCs w:val="18"/>
        </w:rPr>
      </w:pPr>
      <w:r w:rsidRPr="00E64BF6">
        <w:rPr>
          <w:rStyle w:val="Refdenotaalpie"/>
        </w:rPr>
        <w:footnoteRef/>
      </w:r>
      <w:r w:rsidRPr="00E64BF6">
        <w:t xml:space="preserve"> </w:t>
      </w:r>
      <w:r w:rsidRPr="00E64BF6">
        <w:rPr>
          <w:rFonts w:ascii="Century Gothic" w:hAnsi="Century Gothic"/>
          <w:sz w:val="18"/>
          <w:szCs w:val="18"/>
        </w:rPr>
        <w:t>Los numerales 1.1.3, 1.1.7, 2.1.3, 2.1.4, 2.1.7 se trascribieron en los pie de página 16, 23, 20 y 24 de esta providencia, respectivamente.</w:t>
      </w:r>
      <w:r w:rsidRPr="00BF6F95">
        <w:rPr>
          <w:rFonts w:ascii="Century Gothic" w:hAnsi="Century Gothic"/>
          <w:sz w:val="18"/>
          <w:szCs w:val="18"/>
        </w:rPr>
        <w:t xml:space="preserve"> </w:t>
      </w:r>
    </w:p>
  </w:footnote>
  <w:footnote w:id="56">
    <w:p w14:paraId="2C93DBDE" w14:textId="77777777" w:rsidR="001C4E06" w:rsidRDefault="001C4E06" w:rsidP="001C4E06">
      <w:pPr>
        <w:pStyle w:val="Textonotapie"/>
      </w:pPr>
      <w:r w:rsidRPr="00800873">
        <w:rPr>
          <w:rStyle w:val="Refdenotaalpie"/>
          <w:rFonts w:ascii="Century Gothic" w:hAnsi="Century Gothic"/>
          <w:sz w:val="18"/>
          <w:szCs w:val="18"/>
        </w:rPr>
        <w:footnoteRef/>
      </w:r>
      <w:r w:rsidRPr="00800873">
        <w:rPr>
          <w:rFonts w:ascii="Century Gothic" w:hAnsi="Century Gothic"/>
          <w:sz w:val="18"/>
          <w:szCs w:val="18"/>
        </w:rPr>
        <w:t xml:space="preserve"> Folio</w:t>
      </w:r>
      <w:r>
        <w:t xml:space="preserve"> </w:t>
      </w:r>
      <w:r>
        <w:rPr>
          <w:rFonts w:ascii="Century Gothic" w:hAnsi="Century Gothic"/>
          <w:sz w:val="18"/>
          <w:szCs w:val="18"/>
        </w:rPr>
        <w:t>471</w:t>
      </w:r>
      <w:r w:rsidRPr="00800873">
        <w:rPr>
          <w:rFonts w:ascii="Century Gothic" w:hAnsi="Century Gothic"/>
          <w:sz w:val="18"/>
          <w:szCs w:val="18"/>
        </w:rPr>
        <w:t>, cuaderno principal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C64"/>
    <w:multiLevelType w:val="multilevel"/>
    <w:tmpl w:val="F8A8037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12944"/>
    <w:multiLevelType w:val="hybridMultilevel"/>
    <w:tmpl w:val="D2F48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5101D2"/>
    <w:multiLevelType w:val="hybridMultilevel"/>
    <w:tmpl w:val="3C366CEE"/>
    <w:lvl w:ilvl="0" w:tplc="0C0A000F">
      <w:start w:val="2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5" w15:restartNumberingAfterBreak="0">
    <w:nsid w:val="0E8A017D"/>
    <w:multiLevelType w:val="hybridMultilevel"/>
    <w:tmpl w:val="A89E5F14"/>
    <w:lvl w:ilvl="0" w:tplc="40F8DA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D3339E"/>
    <w:multiLevelType w:val="hybridMultilevel"/>
    <w:tmpl w:val="FBF80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187A7D"/>
    <w:multiLevelType w:val="hybridMultilevel"/>
    <w:tmpl w:val="D7A8C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C71613"/>
    <w:multiLevelType w:val="hybridMultilevel"/>
    <w:tmpl w:val="1494C31C"/>
    <w:lvl w:ilvl="0" w:tplc="40F8DA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0" w15:restartNumberingAfterBreak="0">
    <w:nsid w:val="1D207F3F"/>
    <w:multiLevelType w:val="multilevel"/>
    <w:tmpl w:val="B510935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6E4364"/>
    <w:multiLevelType w:val="multilevel"/>
    <w:tmpl w:val="277889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9C29C0"/>
    <w:multiLevelType w:val="hybridMultilevel"/>
    <w:tmpl w:val="83E672FC"/>
    <w:lvl w:ilvl="0" w:tplc="AB66EBBE">
      <w:start w:val="1"/>
      <w:numFmt w:val="lowerLetter"/>
      <w:lvlText w:val="%1)"/>
      <w:lvlJc w:val="left"/>
      <w:pPr>
        <w:tabs>
          <w:tab w:val="num" w:pos="810"/>
        </w:tabs>
        <w:ind w:left="810" w:hanging="45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5141E5"/>
    <w:multiLevelType w:val="hybridMultilevel"/>
    <w:tmpl w:val="7110DB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962A90"/>
    <w:multiLevelType w:val="hybridMultilevel"/>
    <w:tmpl w:val="2AB4B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7" w15:restartNumberingAfterBreak="0">
    <w:nsid w:val="317A5AEB"/>
    <w:multiLevelType w:val="hybridMultilevel"/>
    <w:tmpl w:val="73A29DA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34125FD9"/>
    <w:multiLevelType w:val="multilevel"/>
    <w:tmpl w:val="9A3A24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3B7691"/>
    <w:multiLevelType w:val="hybridMultilevel"/>
    <w:tmpl w:val="F0D497B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3F542E57"/>
    <w:multiLevelType w:val="hybridMultilevel"/>
    <w:tmpl w:val="CEA079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D1407F"/>
    <w:multiLevelType w:val="multilevel"/>
    <w:tmpl w:val="F4309110"/>
    <w:lvl w:ilvl="0">
      <w:start w:val="1"/>
      <w:numFmt w:val="decimal"/>
      <w:lvlText w:val="%1."/>
      <w:lvlJc w:val="left"/>
      <w:pPr>
        <w:ind w:left="480" w:hanging="480"/>
      </w:pPr>
      <w:rPr>
        <w:rFonts w:ascii="Century Gothic" w:hAnsi="Century Gothic" w:hint="default"/>
        <w:b w:val="0"/>
        <w:color w:val="000000"/>
        <w:sz w:val="22"/>
      </w:rPr>
    </w:lvl>
    <w:lvl w:ilvl="1">
      <w:start w:val="1"/>
      <w:numFmt w:val="decimal"/>
      <w:lvlText w:val="%1.%2."/>
      <w:lvlJc w:val="left"/>
      <w:pPr>
        <w:ind w:left="720" w:hanging="720"/>
      </w:pPr>
      <w:rPr>
        <w:rFonts w:ascii="Century Gothic" w:hAnsi="Century Gothic" w:hint="default"/>
        <w:b w:val="0"/>
        <w:color w:val="000000"/>
        <w:sz w:val="22"/>
      </w:rPr>
    </w:lvl>
    <w:lvl w:ilvl="2">
      <w:start w:val="1"/>
      <w:numFmt w:val="decimal"/>
      <w:lvlText w:val="%1.%2.%3."/>
      <w:lvlJc w:val="left"/>
      <w:pPr>
        <w:ind w:left="720" w:hanging="720"/>
      </w:pPr>
      <w:rPr>
        <w:rFonts w:ascii="Century Gothic" w:hAnsi="Century Gothic" w:hint="default"/>
        <w:b w:val="0"/>
        <w:color w:val="000000"/>
        <w:sz w:val="22"/>
      </w:rPr>
    </w:lvl>
    <w:lvl w:ilvl="3">
      <w:start w:val="1"/>
      <w:numFmt w:val="decimal"/>
      <w:lvlText w:val="%1.%2.%3.%4."/>
      <w:lvlJc w:val="left"/>
      <w:pPr>
        <w:ind w:left="1080" w:hanging="1080"/>
      </w:pPr>
      <w:rPr>
        <w:rFonts w:ascii="Century Gothic" w:hAnsi="Century Gothic" w:hint="default"/>
        <w:b w:val="0"/>
        <w:color w:val="000000"/>
        <w:sz w:val="22"/>
      </w:rPr>
    </w:lvl>
    <w:lvl w:ilvl="4">
      <w:start w:val="1"/>
      <w:numFmt w:val="decimal"/>
      <w:lvlText w:val="%1.%2.%3.%4.%5."/>
      <w:lvlJc w:val="left"/>
      <w:pPr>
        <w:ind w:left="1440" w:hanging="1440"/>
      </w:pPr>
      <w:rPr>
        <w:rFonts w:ascii="Century Gothic" w:hAnsi="Century Gothic" w:hint="default"/>
        <w:b w:val="0"/>
        <w:color w:val="000000"/>
        <w:sz w:val="22"/>
      </w:rPr>
    </w:lvl>
    <w:lvl w:ilvl="5">
      <w:start w:val="1"/>
      <w:numFmt w:val="decimal"/>
      <w:lvlText w:val="%1.%2.%3.%4.%5.%6."/>
      <w:lvlJc w:val="left"/>
      <w:pPr>
        <w:ind w:left="1440" w:hanging="1440"/>
      </w:pPr>
      <w:rPr>
        <w:rFonts w:ascii="Century Gothic" w:hAnsi="Century Gothic" w:hint="default"/>
        <w:b w:val="0"/>
        <w:color w:val="000000"/>
        <w:sz w:val="22"/>
      </w:rPr>
    </w:lvl>
    <w:lvl w:ilvl="6">
      <w:start w:val="1"/>
      <w:numFmt w:val="decimal"/>
      <w:lvlText w:val="%1.%2.%3.%4.%5.%6.%7."/>
      <w:lvlJc w:val="left"/>
      <w:pPr>
        <w:ind w:left="1800" w:hanging="1800"/>
      </w:pPr>
      <w:rPr>
        <w:rFonts w:ascii="Century Gothic" w:hAnsi="Century Gothic" w:hint="default"/>
        <w:b w:val="0"/>
        <w:color w:val="000000"/>
        <w:sz w:val="22"/>
      </w:rPr>
    </w:lvl>
    <w:lvl w:ilvl="7">
      <w:start w:val="1"/>
      <w:numFmt w:val="decimal"/>
      <w:lvlText w:val="%1.%2.%3.%4.%5.%6.%7.%8."/>
      <w:lvlJc w:val="left"/>
      <w:pPr>
        <w:ind w:left="1800" w:hanging="1800"/>
      </w:pPr>
      <w:rPr>
        <w:rFonts w:ascii="Century Gothic" w:hAnsi="Century Gothic" w:hint="default"/>
        <w:b w:val="0"/>
        <w:color w:val="000000"/>
        <w:sz w:val="22"/>
      </w:rPr>
    </w:lvl>
    <w:lvl w:ilvl="8">
      <w:start w:val="1"/>
      <w:numFmt w:val="decimal"/>
      <w:lvlText w:val="%1.%2.%3.%4.%5.%6.%7.%8.%9."/>
      <w:lvlJc w:val="left"/>
      <w:pPr>
        <w:ind w:left="2160" w:hanging="2160"/>
      </w:pPr>
      <w:rPr>
        <w:rFonts w:ascii="Century Gothic" w:hAnsi="Century Gothic" w:hint="default"/>
        <w:b w:val="0"/>
        <w:color w:val="000000"/>
        <w:sz w:val="22"/>
      </w:rPr>
    </w:lvl>
  </w:abstractNum>
  <w:abstractNum w:abstractNumId="22"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3" w15:restartNumberingAfterBreak="0">
    <w:nsid w:val="4B1930D5"/>
    <w:multiLevelType w:val="multilevel"/>
    <w:tmpl w:val="512EA40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3615A8"/>
    <w:multiLevelType w:val="hybridMultilevel"/>
    <w:tmpl w:val="111A59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4E3F1B81"/>
    <w:multiLevelType w:val="multilevel"/>
    <w:tmpl w:val="ADBA51D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54A87B53"/>
    <w:multiLevelType w:val="multilevel"/>
    <w:tmpl w:val="DE9EFF58"/>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8A74632"/>
    <w:multiLevelType w:val="multilevel"/>
    <w:tmpl w:val="6A40A4D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E33587"/>
    <w:multiLevelType w:val="multilevel"/>
    <w:tmpl w:val="72F2437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C96319D"/>
    <w:multiLevelType w:val="multilevel"/>
    <w:tmpl w:val="1488051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35" w15:restartNumberingAfterBreak="0">
    <w:nsid w:val="61A70FEB"/>
    <w:multiLevelType w:val="hybridMultilevel"/>
    <w:tmpl w:val="EEDC1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2441FF1"/>
    <w:multiLevelType w:val="multilevel"/>
    <w:tmpl w:val="1710248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4A606AD"/>
    <w:multiLevelType w:val="multilevel"/>
    <w:tmpl w:val="8118D8E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9750129"/>
    <w:multiLevelType w:val="hybridMultilevel"/>
    <w:tmpl w:val="49F21A24"/>
    <w:lvl w:ilvl="0" w:tplc="40F8DA8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0"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42"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4"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5"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6"/>
  </w:num>
  <w:num w:numId="2">
    <w:abstractNumId w:val="36"/>
  </w:num>
  <w:num w:numId="3">
    <w:abstractNumId w:val="41"/>
  </w:num>
  <w:num w:numId="4">
    <w:abstractNumId w:val="33"/>
  </w:num>
  <w:num w:numId="5">
    <w:abstractNumId w:val="42"/>
  </w:num>
  <w:num w:numId="6">
    <w:abstractNumId w:val="1"/>
  </w:num>
  <w:num w:numId="7">
    <w:abstractNumId w:val="34"/>
  </w:num>
  <w:num w:numId="8">
    <w:abstractNumId w:val="26"/>
  </w:num>
  <w:num w:numId="9">
    <w:abstractNumId w:val="22"/>
  </w:num>
  <w:num w:numId="10">
    <w:abstractNumId w:val="27"/>
  </w:num>
  <w:num w:numId="11">
    <w:abstractNumId w:val="9"/>
  </w:num>
  <w:num w:numId="12">
    <w:abstractNumId w:val="45"/>
  </w:num>
  <w:num w:numId="13">
    <w:abstractNumId w:val="13"/>
  </w:num>
  <w:num w:numId="14">
    <w:abstractNumId w:val="4"/>
  </w:num>
  <w:num w:numId="15">
    <w:abstractNumId w:val="28"/>
  </w:num>
  <w:num w:numId="16">
    <w:abstractNumId w:val="43"/>
  </w:num>
  <w:num w:numId="17">
    <w:abstractNumId w:val="44"/>
  </w:num>
  <w:num w:numId="18">
    <w:abstractNumId w:val="40"/>
  </w:num>
  <w:num w:numId="19">
    <w:abstractNumId w:val="2"/>
  </w:num>
  <w:num w:numId="20">
    <w:abstractNumId w:val="12"/>
  </w:num>
  <w:num w:numId="21">
    <w:abstractNumId w:val="20"/>
  </w:num>
  <w:num w:numId="22">
    <w:abstractNumId w:val="6"/>
  </w:num>
  <w:num w:numId="23">
    <w:abstractNumId w:val="25"/>
  </w:num>
  <w:num w:numId="24">
    <w:abstractNumId w:val="24"/>
  </w:num>
  <w:num w:numId="25">
    <w:abstractNumId w:val="7"/>
  </w:num>
  <w:num w:numId="26">
    <w:abstractNumId w:val="17"/>
  </w:num>
  <w:num w:numId="27">
    <w:abstractNumId w:val="15"/>
  </w:num>
  <w:num w:numId="28">
    <w:abstractNumId w:val="14"/>
  </w:num>
  <w:num w:numId="29">
    <w:abstractNumId w:val="35"/>
  </w:num>
  <w:num w:numId="30">
    <w:abstractNumId w:val="8"/>
  </w:num>
  <w:num w:numId="31">
    <w:abstractNumId w:val="39"/>
  </w:num>
  <w:num w:numId="32">
    <w:abstractNumId w:val="5"/>
  </w:num>
  <w:num w:numId="33">
    <w:abstractNumId w:val="32"/>
  </w:num>
  <w:num w:numId="34">
    <w:abstractNumId w:val="23"/>
  </w:num>
  <w:num w:numId="35">
    <w:abstractNumId w:val="11"/>
  </w:num>
  <w:num w:numId="36">
    <w:abstractNumId w:val="37"/>
  </w:num>
  <w:num w:numId="37">
    <w:abstractNumId w:val="3"/>
  </w:num>
  <w:num w:numId="38">
    <w:abstractNumId w:val="19"/>
  </w:num>
  <w:num w:numId="39">
    <w:abstractNumId w:val="38"/>
  </w:num>
  <w:num w:numId="40">
    <w:abstractNumId w:val="10"/>
  </w:num>
  <w:num w:numId="41">
    <w:abstractNumId w:val="0"/>
  </w:num>
  <w:num w:numId="42">
    <w:abstractNumId w:val="30"/>
  </w:num>
  <w:num w:numId="43">
    <w:abstractNumId w:val="29"/>
  </w:num>
  <w:num w:numId="44">
    <w:abstractNumId w:val="31"/>
  </w:num>
  <w:num w:numId="45">
    <w:abstractNumId w:val="2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06"/>
    <w:rsid w:val="00051CE7"/>
    <w:rsid w:val="000C047B"/>
    <w:rsid w:val="001A42FA"/>
    <w:rsid w:val="001C4E06"/>
    <w:rsid w:val="00213668"/>
    <w:rsid w:val="0024361C"/>
    <w:rsid w:val="002B2CB9"/>
    <w:rsid w:val="00463AB4"/>
    <w:rsid w:val="00487BE5"/>
    <w:rsid w:val="007035BB"/>
    <w:rsid w:val="008635FF"/>
    <w:rsid w:val="009C772D"/>
    <w:rsid w:val="009E64C2"/>
    <w:rsid w:val="00A7545F"/>
    <w:rsid w:val="00BE4C45"/>
    <w:rsid w:val="00C961B2"/>
    <w:rsid w:val="00D61261"/>
    <w:rsid w:val="00D87DAA"/>
    <w:rsid w:val="00EC1057"/>
    <w:rsid w:val="00F35DCC"/>
    <w:rsid w:val="00FC46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BF1F"/>
  <w15:chartTrackingRefBased/>
  <w15:docId w15:val="{041DBB9C-7F87-45DE-AFFD-513E5418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1C4E06"/>
    <w:pPr>
      <w:keepNext/>
      <w:spacing w:after="0" w:line="360" w:lineRule="auto"/>
      <w:jc w:val="center"/>
      <w:outlineLvl w:val="0"/>
    </w:pPr>
    <w:rPr>
      <w:rFonts w:ascii="Garamond" w:eastAsia="Times New Roman" w:hAnsi="Garamond"/>
      <w:bCs/>
      <w:sz w:val="28"/>
      <w:szCs w:val="24"/>
      <w:lang w:val="es-ES" w:eastAsia="es-ES"/>
    </w:rPr>
  </w:style>
  <w:style w:type="paragraph" w:styleId="Ttulo2">
    <w:name w:val="heading 2"/>
    <w:basedOn w:val="Normal"/>
    <w:next w:val="Normal"/>
    <w:link w:val="Ttulo2Car"/>
    <w:qFormat/>
    <w:rsid w:val="001C4E06"/>
    <w:pPr>
      <w:keepNext/>
      <w:spacing w:after="0" w:line="360" w:lineRule="auto"/>
      <w:ind w:right="-32"/>
      <w:jc w:val="both"/>
      <w:outlineLvl w:val="1"/>
    </w:pPr>
    <w:rPr>
      <w:rFonts w:ascii="Garamond" w:eastAsia="Times New Roman" w:hAnsi="Garamond"/>
      <w:sz w:val="28"/>
      <w:szCs w:val="24"/>
      <w:lang w:val="es-ES" w:eastAsia="es-ES"/>
    </w:rPr>
  </w:style>
  <w:style w:type="paragraph" w:styleId="Ttulo3">
    <w:name w:val="heading 3"/>
    <w:basedOn w:val="Normal"/>
    <w:next w:val="Normal"/>
    <w:link w:val="Ttulo3Car"/>
    <w:qFormat/>
    <w:rsid w:val="001C4E06"/>
    <w:pPr>
      <w:keepNext/>
      <w:spacing w:after="0" w:line="360" w:lineRule="auto"/>
      <w:ind w:right="-1"/>
      <w:jc w:val="both"/>
      <w:outlineLvl w:val="2"/>
    </w:pPr>
    <w:rPr>
      <w:rFonts w:ascii="Garamond" w:eastAsia="Times New Roman" w:hAnsi="Garamond"/>
      <w:bCs/>
      <w:sz w:val="28"/>
      <w:szCs w:val="24"/>
      <w:lang w:val="es-ES" w:eastAsia="es-ES"/>
    </w:rPr>
  </w:style>
  <w:style w:type="paragraph" w:styleId="Ttulo4">
    <w:name w:val="heading 4"/>
    <w:basedOn w:val="Normal"/>
    <w:next w:val="Normal"/>
    <w:link w:val="Ttulo4Car"/>
    <w:qFormat/>
    <w:rsid w:val="001C4E06"/>
    <w:pPr>
      <w:keepNext/>
      <w:spacing w:before="240" w:after="60" w:line="240" w:lineRule="auto"/>
      <w:outlineLvl w:val="3"/>
    </w:pPr>
    <w:rPr>
      <w:rFonts w:eastAsia="Times New Roman"/>
      <w:b/>
      <w:bCs/>
      <w:sz w:val="28"/>
      <w:szCs w:val="28"/>
      <w:lang w:val="es-ES" w:eastAsia="es-ES"/>
    </w:rPr>
  </w:style>
  <w:style w:type="paragraph" w:styleId="Ttulo5">
    <w:name w:val="heading 5"/>
    <w:basedOn w:val="Normal"/>
    <w:next w:val="Normal"/>
    <w:link w:val="Ttulo5Car"/>
    <w:semiHidden/>
    <w:unhideWhenUsed/>
    <w:qFormat/>
    <w:rsid w:val="001C4E06"/>
    <w:pPr>
      <w:keepNext/>
      <w:keepLines/>
      <w:spacing w:before="200" w:after="0" w:line="240" w:lineRule="auto"/>
      <w:outlineLvl w:val="4"/>
    </w:pPr>
    <w:rPr>
      <w:rFonts w:ascii="Calibri Light" w:eastAsia="Times New Roman" w:hAnsi="Calibri Light"/>
      <w:color w:val="1F4D78"/>
      <w:sz w:val="24"/>
      <w:szCs w:val="24"/>
      <w:lang w:val="es-ES" w:eastAsia="es-ES"/>
    </w:rPr>
  </w:style>
  <w:style w:type="paragraph" w:styleId="Ttulo6">
    <w:name w:val="heading 6"/>
    <w:basedOn w:val="Normal"/>
    <w:next w:val="Normal"/>
    <w:link w:val="Ttulo6Car"/>
    <w:qFormat/>
    <w:rsid w:val="001C4E06"/>
    <w:pPr>
      <w:keepNext/>
      <w:spacing w:after="0" w:line="360" w:lineRule="auto"/>
      <w:ind w:right="328"/>
      <w:jc w:val="center"/>
      <w:outlineLvl w:val="5"/>
    </w:pPr>
    <w:rPr>
      <w:rFonts w:ascii="Garamond" w:eastAsia="Times New Roman" w:hAnsi="Garamond"/>
      <w:color w:val="000000"/>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C4E06"/>
    <w:rPr>
      <w:rFonts w:ascii="Garamond" w:eastAsia="Times New Roman" w:hAnsi="Garamond"/>
      <w:bCs/>
      <w:sz w:val="28"/>
      <w:szCs w:val="24"/>
      <w:lang w:val="es-ES" w:eastAsia="es-ES"/>
    </w:rPr>
  </w:style>
  <w:style w:type="character" w:customStyle="1" w:styleId="Ttulo2Car">
    <w:name w:val="Título 2 Car"/>
    <w:link w:val="Ttulo2"/>
    <w:rsid w:val="001C4E06"/>
    <w:rPr>
      <w:rFonts w:ascii="Garamond" w:eastAsia="Times New Roman" w:hAnsi="Garamond"/>
      <w:sz w:val="28"/>
      <w:szCs w:val="24"/>
      <w:lang w:val="es-ES" w:eastAsia="es-ES"/>
    </w:rPr>
  </w:style>
  <w:style w:type="character" w:customStyle="1" w:styleId="Ttulo3Car">
    <w:name w:val="Título 3 Car"/>
    <w:link w:val="Ttulo3"/>
    <w:rsid w:val="001C4E06"/>
    <w:rPr>
      <w:rFonts w:ascii="Garamond" w:eastAsia="Times New Roman" w:hAnsi="Garamond"/>
      <w:bCs/>
      <w:sz w:val="28"/>
      <w:szCs w:val="24"/>
      <w:lang w:val="es-ES" w:eastAsia="es-ES"/>
    </w:rPr>
  </w:style>
  <w:style w:type="character" w:customStyle="1" w:styleId="Ttulo4Car">
    <w:name w:val="Título 4 Car"/>
    <w:link w:val="Ttulo4"/>
    <w:rsid w:val="001C4E06"/>
    <w:rPr>
      <w:rFonts w:eastAsia="Times New Roman"/>
      <w:b/>
      <w:bCs/>
      <w:sz w:val="28"/>
      <w:szCs w:val="28"/>
      <w:lang w:val="es-ES" w:eastAsia="es-ES"/>
    </w:rPr>
  </w:style>
  <w:style w:type="character" w:customStyle="1" w:styleId="Ttulo5Car">
    <w:name w:val="Título 5 Car"/>
    <w:link w:val="Ttulo5"/>
    <w:semiHidden/>
    <w:rsid w:val="001C4E06"/>
    <w:rPr>
      <w:rFonts w:ascii="Calibri Light" w:eastAsia="Times New Roman" w:hAnsi="Calibri Light"/>
      <w:color w:val="1F4D78"/>
      <w:sz w:val="24"/>
      <w:szCs w:val="24"/>
      <w:lang w:val="es-ES" w:eastAsia="es-ES"/>
    </w:rPr>
  </w:style>
  <w:style w:type="character" w:customStyle="1" w:styleId="Ttulo6Car">
    <w:name w:val="Título 6 Car"/>
    <w:link w:val="Ttulo6"/>
    <w:rsid w:val="001C4E06"/>
    <w:rPr>
      <w:rFonts w:ascii="Garamond" w:eastAsia="Times New Roman" w:hAnsi="Garamond"/>
      <w:color w:val="000000"/>
      <w:sz w:val="28"/>
      <w:szCs w:val="24"/>
      <w:lang w:val="es-ES" w:eastAsia="es-ES"/>
    </w:rPr>
  </w:style>
  <w:style w:type="numbering" w:customStyle="1" w:styleId="Sinlista1">
    <w:name w:val="Sin lista1"/>
    <w:next w:val="Sinlista"/>
    <w:uiPriority w:val="99"/>
    <w:semiHidden/>
    <w:unhideWhenUsed/>
    <w:rsid w:val="001C4E06"/>
  </w:style>
  <w:style w:type="paragraph" w:styleId="Piedepgina">
    <w:name w:val="footer"/>
    <w:basedOn w:val="Normal"/>
    <w:link w:val="PiedepginaCar"/>
    <w:rsid w:val="001C4E06"/>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rsid w:val="001C4E06"/>
    <w:rPr>
      <w:rFonts w:ascii="Times New Roman" w:eastAsia="Times New Roman" w:hAnsi="Times New Roman"/>
      <w:sz w:val="24"/>
      <w:szCs w:val="24"/>
      <w:lang w:val="es-ES" w:eastAsia="es-ES"/>
    </w:rPr>
  </w:style>
  <w:style w:type="paragraph" w:customStyle="1" w:styleId="Textoindependiente212">
    <w:name w:val="Texto independiente 212"/>
    <w:basedOn w:val="Normal"/>
    <w:rsid w:val="001C4E06"/>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Textoindependiente">
    <w:name w:val="Body Text"/>
    <w:basedOn w:val="Normal"/>
    <w:link w:val="TextoindependienteCar"/>
    <w:rsid w:val="001C4E06"/>
    <w:pPr>
      <w:spacing w:after="0"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1C4E06"/>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1C4E06"/>
    <w:pPr>
      <w:tabs>
        <w:tab w:val="left" w:pos="426"/>
      </w:tabs>
      <w:spacing w:after="0"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1C4E06"/>
    <w:rPr>
      <w:rFonts w:ascii="Garamond" w:eastAsia="Times New Roman" w:hAnsi="Garamond"/>
      <w:bCs/>
      <w:sz w:val="28"/>
      <w:szCs w:val="24"/>
      <w:lang w:val="es-ES" w:eastAsia="es-ES"/>
    </w:rPr>
  </w:style>
  <w:style w:type="paragraph" w:styleId="Textoindependiente2">
    <w:name w:val="Body Text 2"/>
    <w:basedOn w:val="Normal"/>
    <w:link w:val="Textoindependiente2Car"/>
    <w:rsid w:val="001C4E06"/>
    <w:pPr>
      <w:tabs>
        <w:tab w:val="left" w:pos="426"/>
      </w:tabs>
      <w:spacing w:after="0" w:line="360" w:lineRule="auto"/>
      <w:ind w:right="-1"/>
      <w:jc w:val="both"/>
    </w:pPr>
    <w:rPr>
      <w:rFonts w:ascii="Garamond" w:eastAsia="Times New Roman" w:hAnsi="Garamond"/>
      <w:sz w:val="28"/>
      <w:szCs w:val="24"/>
      <w:lang w:val="es-ES" w:eastAsia="es-ES"/>
    </w:rPr>
  </w:style>
  <w:style w:type="character" w:customStyle="1" w:styleId="Textoindependiente2Car">
    <w:name w:val="Texto independiente 2 Car"/>
    <w:link w:val="Textoindependiente2"/>
    <w:rsid w:val="001C4E06"/>
    <w:rPr>
      <w:rFonts w:ascii="Garamond" w:eastAsia="Times New Roman" w:hAnsi="Garamond"/>
      <w:sz w:val="28"/>
      <w:szCs w:val="24"/>
      <w:lang w:val="es-ES" w:eastAsia="es-ES"/>
    </w:rPr>
  </w:style>
  <w:style w:type="paragraph" w:styleId="Textodebloque">
    <w:name w:val="Block Text"/>
    <w:basedOn w:val="Normal"/>
    <w:uiPriority w:val="99"/>
    <w:rsid w:val="001C4E06"/>
    <w:pPr>
      <w:spacing w:after="0" w:line="240" w:lineRule="auto"/>
      <w:ind w:left="540" w:right="508"/>
      <w:jc w:val="both"/>
    </w:pPr>
    <w:rPr>
      <w:rFonts w:ascii="Garamond" w:eastAsia="Times New Roman" w:hAnsi="Garamond"/>
      <w:sz w:val="24"/>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ef1"/>
    <w:qFormat/>
    <w:rsid w:val="001C4E06"/>
    <w:rPr>
      <w:vertAlign w:val="superscript"/>
    </w:rPr>
  </w:style>
  <w:style w:type="paragraph" w:customStyle="1" w:styleId="Textodebloque1">
    <w:name w:val="Texto de bloque1"/>
    <w:basedOn w:val="Normal"/>
    <w:link w:val="BlockTextCar"/>
    <w:rsid w:val="001C4E06"/>
    <w:pPr>
      <w:overflowPunct w:val="0"/>
      <w:autoSpaceDE w:val="0"/>
      <w:autoSpaceDN w:val="0"/>
      <w:adjustRightInd w:val="0"/>
      <w:spacing w:after="0" w:line="240" w:lineRule="auto"/>
      <w:ind w:left="567" w:right="283"/>
      <w:jc w:val="both"/>
      <w:textAlignment w:val="baseline"/>
    </w:pPr>
    <w:rPr>
      <w:rFonts w:ascii="Arial" w:eastAsia="Times New Roman" w:hAnsi="Arial"/>
      <w:sz w:val="20"/>
      <w:szCs w:val="20"/>
      <w:lang w:val="es-ES_tradnl" w:eastAsia="es-ES"/>
    </w:rPr>
  </w:style>
  <w:style w:type="character" w:customStyle="1" w:styleId="BlockTextCar">
    <w:name w:val="Block Text Car"/>
    <w:link w:val="Textodebloque1"/>
    <w:locked/>
    <w:rsid w:val="001C4E06"/>
    <w:rPr>
      <w:rFonts w:ascii="Arial" w:eastAsia="Times New Roman" w:hAnsi="Arial"/>
      <w:lang w:val="es-ES_tradnl" w:eastAsia="es-ES"/>
    </w:rPr>
  </w:style>
  <w:style w:type="paragraph" w:customStyle="1" w:styleId="Textoindependiente31">
    <w:name w:val="Texto independiente 31"/>
    <w:basedOn w:val="Normal"/>
    <w:uiPriority w:val="99"/>
    <w:rsid w:val="001C4E06"/>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BodyText21">
    <w:name w:val="Body Text 21"/>
    <w:basedOn w:val="Normal"/>
    <w:rsid w:val="001C4E06"/>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1C4E06"/>
    <w:pPr>
      <w:overflowPunct w:val="0"/>
      <w:autoSpaceDE w:val="0"/>
      <w:autoSpaceDN w:val="0"/>
      <w:adjustRightInd w:val="0"/>
      <w:spacing w:after="0" w:line="240" w:lineRule="auto"/>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1C4E06"/>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qFormat/>
    <w:locked/>
    <w:rsid w:val="001C4E06"/>
    <w:rPr>
      <w:rFonts w:ascii="Arial" w:eastAsia="Times New Roman" w:hAnsi="Arial"/>
      <w:lang w:val="es-ES_tradnl" w:eastAsia="es-ES"/>
    </w:rPr>
  </w:style>
  <w:style w:type="character" w:styleId="Nmerodepgina">
    <w:name w:val="page number"/>
    <w:uiPriority w:val="99"/>
    <w:rsid w:val="001C4E06"/>
  </w:style>
  <w:style w:type="paragraph" w:styleId="Encabezado">
    <w:name w:val="header"/>
    <w:basedOn w:val="Normal"/>
    <w:link w:val="EncabezadoCar"/>
    <w:rsid w:val="001C4E06"/>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1C4E06"/>
    <w:rPr>
      <w:rFonts w:ascii="Arial" w:eastAsia="Times New Roman" w:hAnsi="Arial"/>
      <w:sz w:val="24"/>
      <w:lang w:val="es-ES_tradnl" w:eastAsia="es-ES"/>
    </w:rPr>
  </w:style>
  <w:style w:type="table" w:styleId="Tablaconcuadrcula">
    <w:name w:val="Table Grid"/>
    <w:basedOn w:val="Tablanormal"/>
    <w:rsid w:val="001C4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E06"/>
    <w:pPr>
      <w:spacing w:before="100" w:beforeAutospacing="1" w:after="100" w:afterAutospacing="1" w:line="240" w:lineRule="auto"/>
    </w:pPr>
    <w:rPr>
      <w:rFonts w:ascii="Arial" w:eastAsia="Times New Roman" w:hAnsi="Arial" w:cs="Arial"/>
      <w:color w:val="000000"/>
      <w:sz w:val="24"/>
      <w:szCs w:val="24"/>
      <w:lang w:eastAsia="es-CO"/>
    </w:rPr>
  </w:style>
  <w:style w:type="character" w:customStyle="1" w:styleId="txtpreto">
    <w:name w:val="txt_preto"/>
    <w:rsid w:val="001C4E06"/>
  </w:style>
  <w:style w:type="character" w:styleId="Textoennegrita">
    <w:name w:val="Strong"/>
    <w:uiPriority w:val="22"/>
    <w:qFormat/>
    <w:rsid w:val="001C4E06"/>
    <w:rPr>
      <w:b/>
      <w:bCs/>
    </w:rPr>
  </w:style>
  <w:style w:type="character" w:styleId="nfasis">
    <w:name w:val="Emphasis"/>
    <w:uiPriority w:val="20"/>
    <w:qFormat/>
    <w:rsid w:val="001C4E06"/>
    <w:rPr>
      <w:i/>
      <w:iCs/>
    </w:rPr>
  </w:style>
  <w:style w:type="paragraph" w:styleId="Prrafodelista">
    <w:name w:val="List Paragraph"/>
    <w:basedOn w:val="Normal"/>
    <w:uiPriority w:val="34"/>
    <w:qFormat/>
    <w:rsid w:val="001C4E06"/>
    <w:pPr>
      <w:spacing w:after="0" w:line="240" w:lineRule="auto"/>
      <w:ind w:left="708"/>
    </w:pPr>
    <w:rPr>
      <w:rFonts w:ascii="Times New Roman" w:eastAsia="Times New Roman" w:hAnsi="Times New Roman"/>
      <w:sz w:val="24"/>
      <w:szCs w:val="24"/>
      <w:lang w:val="es-ES" w:eastAsia="es-ES"/>
    </w:rPr>
  </w:style>
  <w:style w:type="character" w:styleId="Hipervnculo">
    <w:name w:val="Hyperlink"/>
    <w:rsid w:val="001C4E06"/>
    <w:rPr>
      <w:color w:val="0000FF"/>
      <w:u w:val="single"/>
    </w:rPr>
  </w:style>
  <w:style w:type="paragraph" w:styleId="Sangra2detindependiente">
    <w:name w:val="Body Text Indent 2"/>
    <w:basedOn w:val="Normal"/>
    <w:link w:val="Sangra2detindependienteCar"/>
    <w:rsid w:val="001C4E06"/>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rsid w:val="001C4E06"/>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1C4E06"/>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1C4E06"/>
    <w:rPr>
      <w:rFonts w:ascii="Times New Roman" w:eastAsia="Times New Roman" w:hAnsi="Times New Roman"/>
      <w:sz w:val="24"/>
      <w:szCs w:val="24"/>
      <w:lang w:val="es-ES" w:eastAsia="es-ES"/>
    </w:rPr>
  </w:style>
  <w:style w:type="character" w:customStyle="1" w:styleId="textonavy1">
    <w:name w:val="texto_navy1"/>
    <w:rsid w:val="001C4E06"/>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ft Car1"/>
    <w:uiPriority w:val="99"/>
    <w:locked/>
    <w:rsid w:val="001C4E06"/>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1C4E06"/>
    <w:rPr>
      <w:lang w:val="es-ES" w:eastAsia="es-ES" w:bidi="ar-SA"/>
    </w:rPr>
  </w:style>
  <w:style w:type="paragraph" w:styleId="Lista2">
    <w:name w:val="List 2"/>
    <w:basedOn w:val="Normal"/>
    <w:rsid w:val="001C4E06"/>
    <w:pPr>
      <w:overflowPunct w:val="0"/>
      <w:autoSpaceDE w:val="0"/>
      <w:autoSpaceDN w:val="0"/>
      <w:adjustRightInd w:val="0"/>
      <w:spacing w:after="0" w:line="240" w:lineRule="auto"/>
      <w:ind w:left="566" w:hanging="283"/>
      <w:textAlignment w:val="baseline"/>
    </w:pPr>
    <w:rPr>
      <w:rFonts w:ascii="Century Gothic" w:eastAsia="Times New Roman" w:hAnsi="Century Gothic"/>
      <w:sz w:val="24"/>
      <w:szCs w:val="20"/>
      <w:lang w:val="es-ES" w:eastAsia="es-ES"/>
    </w:rPr>
  </w:style>
  <w:style w:type="paragraph" w:customStyle="1" w:styleId="textocaja">
    <w:name w:val="textocaja"/>
    <w:basedOn w:val="Normal"/>
    <w:rsid w:val="001C4E06"/>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1C4E06"/>
  </w:style>
  <w:style w:type="paragraph" w:customStyle="1" w:styleId="Textoindependiente21">
    <w:name w:val="Texto independiente 21"/>
    <w:basedOn w:val="Normal"/>
    <w:rsid w:val="001C4E06"/>
    <w:pPr>
      <w:spacing w:after="0" w:line="360" w:lineRule="auto"/>
      <w:ind w:right="79" w:firstLine="1416"/>
      <w:jc w:val="both"/>
    </w:pPr>
    <w:rPr>
      <w:rFonts w:ascii="CG Times" w:eastAsia="Times New Roman" w:hAnsi="CG Times"/>
      <w:sz w:val="32"/>
      <w:szCs w:val="20"/>
      <w:lang w:val="es-ES" w:eastAsia="es-ES"/>
    </w:rPr>
  </w:style>
  <w:style w:type="character" w:customStyle="1" w:styleId="TextonotapieCarCarCar1">
    <w:name w:val="Texto nota pie Car Car Car1"/>
    <w:aliases w:val="Texto nota pie Car1 Car,Texto nota pie Car2,Texto nota pie Car1 Car Car Car,Texto nota pie Car Car Car Car"/>
    <w:rsid w:val="001C4E06"/>
    <w:rPr>
      <w:rFonts w:eastAsia="Batang"/>
      <w:lang w:val="es-ES" w:eastAsia="es-ES" w:bidi="ar-SA"/>
    </w:rPr>
  </w:style>
  <w:style w:type="paragraph" w:customStyle="1" w:styleId="Ed">
    <w:name w:val="Ed"/>
    <w:basedOn w:val="Normal"/>
    <w:rsid w:val="001C4E06"/>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paragraph" w:customStyle="1" w:styleId="Puesto">
    <w:name w:val="Puesto"/>
    <w:basedOn w:val="Normal"/>
    <w:link w:val="PuestoCar"/>
    <w:qFormat/>
    <w:rsid w:val="001C4E06"/>
    <w:pPr>
      <w:autoSpaceDE w:val="0"/>
      <w:autoSpaceDN w:val="0"/>
      <w:adjustRightInd w:val="0"/>
      <w:spacing w:after="0" w:line="360" w:lineRule="auto"/>
      <w:jc w:val="center"/>
    </w:pPr>
    <w:rPr>
      <w:rFonts w:ascii="Arial" w:eastAsia="Times New Roman" w:hAnsi="Arial"/>
      <w:b/>
      <w:bCs/>
      <w:i/>
      <w:iCs/>
      <w:sz w:val="28"/>
      <w:szCs w:val="28"/>
      <w:lang w:val="es-ES" w:eastAsia="es-ES"/>
    </w:rPr>
  </w:style>
  <w:style w:type="character" w:customStyle="1" w:styleId="PuestoCar">
    <w:name w:val="Puesto Car"/>
    <w:link w:val="Puesto"/>
    <w:rsid w:val="001C4E06"/>
    <w:rPr>
      <w:rFonts w:ascii="Arial" w:eastAsia="Times New Roman" w:hAnsi="Arial"/>
      <w:b/>
      <w:bCs/>
      <w:i/>
      <w:iCs/>
      <w:sz w:val="28"/>
      <w:szCs w:val="28"/>
      <w:lang w:val="es-ES" w:eastAsia="es-ES"/>
    </w:rPr>
  </w:style>
  <w:style w:type="paragraph" w:styleId="Textosinformato">
    <w:name w:val="Plain Text"/>
    <w:basedOn w:val="Normal"/>
    <w:link w:val="TextosinformatoCar"/>
    <w:rsid w:val="001C4E06"/>
    <w:pPr>
      <w:overflowPunct w:val="0"/>
      <w:adjustRightInd w:val="0"/>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rsid w:val="001C4E06"/>
    <w:rPr>
      <w:rFonts w:ascii="Courier New" w:eastAsia="Times New Roman" w:hAnsi="Courier New"/>
      <w:lang w:val="es-ES" w:eastAsia="es-ES"/>
    </w:rPr>
  </w:style>
  <w:style w:type="paragraph" w:customStyle="1" w:styleId="PlainText1">
    <w:name w:val="Plain Text1"/>
    <w:basedOn w:val="Normal"/>
    <w:rsid w:val="001C4E06"/>
    <w:pPr>
      <w:spacing w:after="0" w:line="240" w:lineRule="auto"/>
    </w:pPr>
    <w:rPr>
      <w:rFonts w:ascii="Courier New" w:eastAsia="Times New Roman" w:hAnsi="Courier New"/>
      <w:sz w:val="20"/>
      <w:szCs w:val="20"/>
      <w:lang w:val="es-ES_tradnl" w:eastAsia="es-ES"/>
    </w:rPr>
  </w:style>
  <w:style w:type="character" w:customStyle="1" w:styleId="eordenaceplema1">
    <w:name w:val="eordenaceplema1"/>
    <w:rsid w:val="001C4E06"/>
    <w:rPr>
      <w:color w:val="0000FF"/>
    </w:rPr>
  </w:style>
  <w:style w:type="character" w:customStyle="1" w:styleId="eabrv1">
    <w:name w:val="eabrv1"/>
    <w:rsid w:val="001C4E06"/>
    <w:rPr>
      <w:color w:val="0000FF"/>
    </w:rPr>
  </w:style>
  <w:style w:type="character" w:customStyle="1" w:styleId="eacep1">
    <w:name w:val="eacep1"/>
    <w:rsid w:val="001C4E06"/>
    <w:rPr>
      <w:color w:val="000000"/>
    </w:rPr>
  </w:style>
  <w:style w:type="character" w:customStyle="1" w:styleId="eabrvnoedit1">
    <w:name w:val="eabrvnoedit1"/>
    <w:rsid w:val="001C4E06"/>
    <w:rPr>
      <w:color w:val="B3B3B3"/>
    </w:rPr>
  </w:style>
  <w:style w:type="character" w:customStyle="1" w:styleId="eejemplo1">
    <w:name w:val="eejemplo1"/>
    <w:rsid w:val="001C4E06"/>
    <w:rPr>
      <w:color w:val="800080"/>
    </w:rPr>
  </w:style>
  <w:style w:type="paragraph" w:styleId="Textodeglobo">
    <w:name w:val="Balloon Text"/>
    <w:basedOn w:val="Normal"/>
    <w:link w:val="TextodegloboCar"/>
    <w:rsid w:val="001C4E06"/>
    <w:pPr>
      <w:spacing w:after="0" w:line="240" w:lineRule="auto"/>
    </w:pPr>
    <w:rPr>
      <w:rFonts w:ascii="Tahoma" w:eastAsia="Times New Roman" w:hAnsi="Tahoma"/>
      <w:sz w:val="16"/>
      <w:szCs w:val="16"/>
      <w:lang w:val="es-ES" w:eastAsia="es-ES"/>
    </w:rPr>
  </w:style>
  <w:style w:type="character" w:customStyle="1" w:styleId="TextodegloboCar">
    <w:name w:val="Texto de globo Car"/>
    <w:link w:val="Textodeglobo"/>
    <w:rsid w:val="001C4E06"/>
    <w:rPr>
      <w:rFonts w:ascii="Tahoma" w:eastAsia="Times New Roman" w:hAnsi="Tahoma"/>
      <w:sz w:val="16"/>
      <w:szCs w:val="16"/>
      <w:lang w:val="es-ES" w:eastAsia="es-ES"/>
    </w:rPr>
  </w:style>
  <w:style w:type="paragraph" w:customStyle="1" w:styleId="Textoindependiente211">
    <w:name w:val="Texto independiente 211"/>
    <w:basedOn w:val="Normal"/>
    <w:uiPriority w:val="99"/>
    <w:rsid w:val="001C4E06"/>
    <w:pPr>
      <w:spacing w:after="0" w:line="360" w:lineRule="auto"/>
      <w:ind w:right="79" w:firstLine="1416"/>
      <w:jc w:val="both"/>
    </w:pPr>
    <w:rPr>
      <w:rFonts w:ascii="CG Times" w:eastAsia="Times New Roman" w:hAnsi="CG Times"/>
      <w:sz w:val="32"/>
      <w:szCs w:val="20"/>
      <w:lang w:val="es-ES" w:eastAsia="es-ES"/>
    </w:rPr>
  </w:style>
  <w:style w:type="paragraph" w:customStyle="1" w:styleId="BodyText22">
    <w:name w:val="Body Text 22"/>
    <w:basedOn w:val="Normal"/>
    <w:rsid w:val="001C4E06"/>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 w:type="character" w:customStyle="1" w:styleId="apple-converted-space">
    <w:name w:val="apple-converted-space"/>
    <w:rsid w:val="001C4E06"/>
  </w:style>
  <w:style w:type="character" w:customStyle="1" w:styleId="baj">
    <w:name w:val="b_aj"/>
    <w:rsid w:val="001C4E06"/>
  </w:style>
  <w:style w:type="paragraph" w:customStyle="1" w:styleId="Textoindependiente22">
    <w:name w:val="Texto independiente 22"/>
    <w:basedOn w:val="Normal"/>
    <w:rsid w:val="001C4E06"/>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customStyle="1" w:styleId="Textonormal">
    <w:name w:val="Texto normal"/>
    <w:basedOn w:val="Normal"/>
    <w:rsid w:val="001C4E06"/>
    <w:pPr>
      <w:spacing w:after="0" w:line="360" w:lineRule="atLeast"/>
      <w:jc w:val="both"/>
    </w:pPr>
    <w:rPr>
      <w:rFonts w:ascii="Arial" w:eastAsia="Times New Roman" w:hAnsi="Arial"/>
      <w:sz w:val="24"/>
      <w:szCs w:val="20"/>
      <w:lang w:eastAsia="es-ES"/>
    </w:rPr>
  </w:style>
  <w:style w:type="character" w:customStyle="1" w:styleId="Caracteresdenotaalpie">
    <w:name w:val="Caracteres de nota al pie"/>
    <w:rsid w:val="001C4E06"/>
    <w:rPr>
      <w:vertAlign w:val="superscript"/>
    </w:rPr>
  </w:style>
  <w:style w:type="paragraph" w:customStyle="1" w:styleId="Textoindependiente23">
    <w:name w:val="Texto independiente 23"/>
    <w:basedOn w:val="Normal"/>
    <w:rsid w:val="001C4E06"/>
    <w:pPr>
      <w:spacing w:after="0" w:line="360" w:lineRule="auto"/>
      <w:jc w:val="both"/>
    </w:pPr>
    <w:rPr>
      <w:rFonts w:ascii="Arial" w:eastAsia="Times New Roman" w:hAnsi="Arial"/>
      <w:sz w:val="32"/>
      <w:szCs w:val="20"/>
      <w:lang w:eastAsia="es-ES"/>
    </w:rPr>
  </w:style>
  <w:style w:type="paragraph" w:customStyle="1" w:styleId="Textoindependiente24">
    <w:name w:val="Texto independiente 24"/>
    <w:basedOn w:val="Normal"/>
    <w:rsid w:val="001C4E06"/>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Sinespaciado">
    <w:name w:val="No Spacing"/>
    <w:link w:val="SinespaciadoCar"/>
    <w:qFormat/>
    <w:rsid w:val="001C4E06"/>
    <w:rPr>
      <w:sz w:val="22"/>
      <w:szCs w:val="22"/>
      <w:lang w:val="es-ES" w:eastAsia="en-US"/>
    </w:rPr>
  </w:style>
  <w:style w:type="character" w:customStyle="1" w:styleId="SinespaciadoCar">
    <w:name w:val="Sin espaciado Car"/>
    <w:link w:val="Sinespaciado"/>
    <w:rsid w:val="001C4E06"/>
    <w:rPr>
      <w:sz w:val="22"/>
      <w:szCs w:val="22"/>
      <w:lang w:val="es-ES" w:eastAsia="en-US"/>
    </w:rPr>
  </w:style>
  <w:style w:type="paragraph" w:customStyle="1" w:styleId="PARRAFO">
    <w:name w:val="PARRAFO"/>
    <w:basedOn w:val="Normal"/>
    <w:rsid w:val="001C4E06"/>
    <w:pPr>
      <w:overflowPunct w:val="0"/>
      <w:autoSpaceDE w:val="0"/>
      <w:autoSpaceDN w:val="0"/>
      <w:adjustRightInd w:val="0"/>
      <w:spacing w:after="0" w:line="360" w:lineRule="auto"/>
      <w:ind w:firstLine="1418"/>
      <w:jc w:val="both"/>
    </w:pPr>
    <w:rPr>
      <w:rFonts w:ascii="Arial" w:eastAsia="Times New Roman" w:hAnsi="Arial"/>
      <w:sz w:val="24"/>
      <w:szCs w:val="20"/>
      <w:lang w:val="es-ES_tradnl" w:eastAsia="es-ES"/>
    </w:rPr>
  </w:style>
  <w:style w:type="character" w:styleId="Hipervnculovisitado">
    <w:name w:val="FollowedHyperlink"/>
    <w:semiHidden/>
    <w:unhideWhenUsed/>
    <w:rsid w:val="001C4E06"/>
    <w:rPr>
      <w:color w:val="954F72"/>
      <w:u w:val="single"/>
    </w:rPr>
  </w:style>
  <w:style w:type="paragraph" w:customStyle="1" w:styleId="Textosinformato1">
    <w:name w:val="Texto sin formato1"/>
    <w:basedOn w:val="Normal"/>
    <w:uiPriority w:val="99"/>
    <w:rsid w:val="001C4E06"/>
    <w:pPr>
      <w:widowControl w:val="0"/>
      <w:suppressAutoHyphens/>
      <w:spacing w:after="0" w:line="240" w:lineRule="auto"/>
    </w:pPr>
    <w:rPr>
      <w:rFonts w:ascii="Courier New" w:eastAsia="Times New Roman" w:hAnsi="Courier New" w:cs="Courier New"/>
      <w:sz w:val="20"/>
      <w:szCs w:val="20"/>
      <w:lang w:val="en-US" w:eastAsia="zh-CN"/>
    </w:rPr>
  </w:style>
  <w:style w:type="paragraph" w:customStyle="1" w:styleId="Textodecuerpo21">
    <w:name w:val="Texto de cuerpo 21"/>
    <w:basedOn w:val="Normal"/>
    <w:rsid w:val="001C4E06"/>
    <w:pPr>
      <w:spacing w:after="0" w:line="360" w:lineRule="auto"/>
      <w:jc w:val="both"/>
    </w:pPr>
    <w:rPr>
      <w:rFonts w:ascii="Arial" w:eastAsia="Times New Roman" w:hAnsi="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20703-4959-4A97-83DB-3BDA5F6B6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D41EE-493C-4A6C-8759-B9448D2A5DD7}">
  <ds:schemaRefs>
    <ds:schemaRef ds:uri="http://schemas.microsoft.com/sharepoint/v3/contenttype/forms"/>
  </ds:schemaRefs>
</ds:datastoreItem>
</file>

<file path=customXml/itemProps3.xml><?xml version="1.0" encoding="utf-8"?>
<ds:datastoreItem xmlns:ds="http://schemas.openxmlformats.org/officeDocument/2006/customXml" ds:itemID="{B7944AFC-89F8-481F-B5E1-314A09D0C97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28D49B7-2056-4BF6-A9DC-29ECD5DE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15624</Words>
  <Characters>89057</Characters>
  <Application>Microsoft Office Word</Application>
  <DocSecurity>0</DocSecurity>
  <Lines>742</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HERNAN PACHECO RAMOS</dc:creator>
  <cp:keywords/>
  <dc:description/>
  <cp:lastModifiedBy>Silvia Juliana Saavedra Arguello</cp:lastModifiedBy>
  <cp:revision>2</cp:revision>
  <dcterms:created xsi:type="dcterms:W3CDTF">2020-07-01T22:03:00Z</dcterms:created>
  <dcterms:modified xsi:type="dcterms:W3CDTF">2020-07-01T22:03:00Z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