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38616" w14:textId="77777777" w:rsidR="00DF451E" w:rsidRPr="00940BFE" w:rsidRDefault="008D19CA" w:rsidP="00DF451E">
      <w:pPr>
        <w:spacing w:line="240" w:lineRule="auto"/>
        <w:jc w:val="both"/>
        <w:rPr>
          <w:rFonts w:ascii="Arial" w:hAnsi="Arial" w:cs="Arial"/>
          <w:spacing w:val="4"/>
        </w:rPr>
      </w:pPr>
      <w:r>
        <w:rPr>
          <w:rFonts w:ascii="Arial" w:hAnsi="Arial" w:cs="Arial"/>
          <w:b/>
          <w:lang w:val="es-ES_tradnl"/>
        </w:rPr>
        <w:t>DEMANDA</w:t>
      </w:r>
      <w:r w:rsidR="00381ADD">
        <w:rPr>
          <w:rFonts w:ascii="Arial" w:hAnsi="Arial" w:cs="Arial"/>
          <w:b/>
          <w:lang w:val="es-ES_tradnl"/>
        </w:rPr>
        <w:t xml:space="preserve"> -</w:t>
      </w:r>
      <w:r w:rsidR="00DF451E" w:rsidRPr="00940BFE">
        <w:rPr>
          <w:rFonts w:ascii="Arial" w:hAnsi="Arial" w:cs="Arial"/>
          <w:b/>
          <w:lang w:val="es-ES_tradnl"/>
        </w:rPr>
        <w:t xml:space="preserve"> </w:t>
      </w:r>
      <w:r w:rsidR="00DF451E" w:rsidRPr="008C0012">
        <w:rPr>
          <w:rFonts w:ascii="Arial" w:hAnsi="Arial" w:cs="Arial"/>
          <w:b/>
          <w:lang w:val="es-ES_tradnl"/>
        </w:rPr>
        <w:t>Legislación aplicable</w:t>
      </w:r>
      <w:r w:rsidR="00DF451E" w:rsidRPr="00940BFE">
        <w:rPr>
          <w:rFonts w:ascii="Arial" w:hAnsi="Arial" w:cs="Arial"/>
          <w:lang w:val="es-ES_tradnl"/>
        </w:rPr>
        <w:t xml:space="preserve"> </w:t>
      </w:r>
    </w:p>
    <w:p w14:paraId="1A2BFA32" w14:textId="77777777" w:rsidR="00DF451E" w:rsidRPr="00940BFE" w:rsidRDefault="00DF451E" w:rsidP="00DF451E">
      <w:pPr>
        <w:tabs>
          <w:tab w:val="center" w:pos="5412"/>
          <w:tab w:val="right" w:pos="8840"/>
        </w:tabs>
        <w:spacing w:after="0" w:line="240" w:lineRule="auto"/>
        <w:jc w:val="both"/>
        <w:rPr>
          <w:rFonts w:ascii="Arial" w:hAnsi="Arial" w:cs="Arial"/>
          <w:spacing w:val="4"/>
        </w:rPr>
      </w:pPr>
      <w:r w:rsidRPr="00940BFE">
        <w:rPr>
          <w:rFonts w:ascii="Arial" w:hAnsi="Arial" w:cs="Arial"/>
          <w:spacing w:val="4"/>
        </w:rPr>
        <w:t>Previo a pronunciarse de fondo respecto del recurso de apelación interpuesto por la parte demandante contra el auto de 17 de marzo de 2016, proferido por el Tribunal Administrativo del Huila, estima el Despacho pertinente señalar que la demanda se presentó el 22 de abril de 2014, por lo que al presente asunto le resulta aplicable el Código de Procedimiento Administrativo y de lo Contencioso Administrativo - Ley 1437 de 2011-, así como las disposiciones del Código General del Proceso , en virtud de la integración normativa dispuesta por el artículo 306 del estatuto procesal en materia de lo contencioso administrativo.</w:t>
      </w:r>
    </w:p>
    <w:p w14:paraId="242A21EA" w14:textId="77777777" w:rsidR="00DF451E" w:rsidRPr="00940BFE" w:rsidRDefault="00DF451E" w:rsidP="00DF451E">
      <w:pPr>
        <w:tabs>
          <w:tab w:val="center" w:pos="5412"/>
          <w:tab w:val="right" w:pos="8840"/>
        </w:tabs>
        <w:spacing w:after="0" w:line="240" w:lineRule="auto"/>
        <w:jc w:val="both"/>
        <w:rPr>
          <w:rFonts w:ascii="Arial" w:hAnsi="Arial" w:cs="Arial"/>
          <w:b/>
          <w:spacing w:val="4"/>
        </w:rPr>
      </w:pPr>
    </w:p>
    <w:p w14:paraId="7F63C800" w14:textId="77777777" w:rsidR="00DF451E" w:rsidRPr="008C0012" w:rsidRDefault="00DF451E" w:rsidP="00DF451E">
      <w:pPr>
        <w:spacing w:after="0" w:line="240" w:lineRule="auto"/>
        <w:jc w:val="both"/>
        <w:rPr>
          <w:rFonts w:ascii="Arial" w:hAnsi="Arial" w:cs="Arial"/>
          <w:b/>
          <w:bCs/>
        </w:rPr>
      </w:pPr>
      <w:r w:rsidRPr="00940BFE">
        <w:rPr>
          <w:rFonts w:ascii="Arial" w:hAnsi="Arial" w:cs="Arial"/>
          <w:b/>
          <w:bCs/>
        </w:rPr>
        <w:t xml:space="preserve">APELACIÓN - </w:t>
      </w:r>
      <w:r w:rsidRPr="008C0012">
        <w:rPr>
          <w:rFonts w:ascii="Arial" w:hAnsi="Arial" w:cs="Arial"/>
          <w:b/>
          <w:bCs/>
        </w:rPr>
        <w:t>Procedencia</w:t>
      </w:r>
    </w:p>
    <w:p w14:paraId="31FC9878" w14:textId="77777777" w:rsidR="00DF451E" w:rsidRPr="00940BFE" w:rsidRDefault="00DF451E" w:rsidP="00DF451E">
      <w:pPr>
        <w:spacing w:after="0" w:line="240" w:lineRule="auto"/>
        <w:jc w:val="both"/>
        <w:rPr>
          <w:rFonts w:ascii="Arial" w:hAnsi="Arial" w:cs="Arial"/>
          <w:bCs/>
        </w:rPr>
      </w:pPr>
    </w:p>
    <w:p w14:paraId="4271FFCC" w14:textId="77777777" w:rsidR="00DF451E" w:rsidRPr="00940BFE" w:rsidRDefault="00DF451E" w:rsidP="00DF451E">
      <w:pPr>
        <w:spacing w:after="0" w:line="240" w:lineRule="auto"/>
        <w:jc w:val="both"/>
        <w:rPr>
          <w:rFonts w:ascii="Arial" w:hAnsi="Arial" w:cs="Arial"/>
          <w:bCs/>
        </w:rPr>
      </w:pPr>
      <w:r w:rsidRPr="00940BFE">
        <w:rPr>
          <w:rFonts w:ascii="Arial" w:hAnsi="Arial" w:cs="Arial"/>
          <w:bCs/>
        </w:rPr>
        <w:t xml:space="preserve">al realizar el estudio de procedencia del recurso de apelación, la Sala encuentra que el auto recurrido tiene carácter de apelable, según lo dispuesto de manera especial en el artículo 180 numeral 6 del Código de Procedimiento Administrativo y de lo Contencioso Administrativo , toda vez que se trata de una providencia que declaró de oficio la excepción de caducidad de la demanda en audiencia inicial; así mismo, se advierte que el recurso fue interpuesto de manera oportuna y debidamente sustentado, de conformidad con lo previsto en el artículo 244 </w:t>
      </w:r>
      <w:proofErr w:type="spellStart"/>
      <w:r w:rsidRPr="00940BFE">
        <w:rPr>
          <w:rFonts w:ascii="Arial" w:hAnsi="Arial" w:cs="Arial"/>
          <w:bCs/>
        </w:rPr>
        <w:t>ibídem</w:t>
      </w:r>
      <w:proofErr w:type="spellEnd"/>
      <w:r w:rsidRPr="00940BFE">
        <w:rPr>
          <w:rFonts w:ascii="Arial" w:hAnsi="Arial" w:cs="Arial"/>
          <w:bCs/>
        </w:rPr>
        <w:t xml:space="preserve">. </w:t>
      </w:r>
    </w:p>
    <w:p w14:paraId="2A6F0489" w14:textId="77777777" w:rsidR="00DF451E" w:rsidRPr="00940BFE" w:rsidRDefault="00DF451E" w:rsidP="00DF451E">
      <w:pPr>
        <w:tabs>
          <w:tab w:val="center" w:pos="5412"/>
          <w:tab w:val="right" w:pos="8840"/>
        </w:tabs>
        <w:spacing w:after="0" w:line="240" w:lineRule="auto"/>
        <w:jc w:val="both"/>
        <w:rPr>
          <w:rFonts w:ascii="Arial" w:hAnsi="Arial" w:cs="Arial"/>
          <w:b/>
          <w:spacing w:val="4"/>
        </w:rPr>
      </w:pPr>
    </w:p>
    <w:p w14:paraId="000DC3EE" w14:textId="77777777" w:rsidR="00DF451E" w:rsidRPr="008C0012" w:rsidRDefault="00DF451E" w:rsidP="00DF451E">
      <w:pPr>
        <w:tabs>
          <w:tab w:val="center" w:pos="5412"/>
          <w:tab w:val="right" w:pos="8840"/>
        </w:tabs>
        <w:spacing w:after="0" w:line="240" w:lineRule="auto"/>
        <w:jc w:val="both"/>
        <w:rPr>
          <w:rFonts w:ascii="Arial" w:hAnsi="Arial" w:cs="Arial"/>
          <w:b/>
          <w:spacing w:val="4"/>
        </w:rPr>
      </w:pPr>
      <w:r w:rsidRPr="00940BFE">
        <w:rPr>
          <w:rFonts w:ascii="Arial" w:hAnsi="Arial" w:cs="Arial"/>
          <w:b/>
          <w:spacing w:val="4"/>
        </w:rPr>
        <w:t>CADUCIDAD DE LA ACCIÓN</w:t>
      </w:r>
      <w:r w:rsidR="00381ADD">
        <w:rPr>
          <w:rFonts w:ascii="Arial" w:hAnsi="Arial" w:cs="Arial"/>
          <w:b/>
          <w:spacing w:val="4"/>
        </w:rPr>
        <w:t xml:space="preserve"> - Nulidad y restablecimiento del derecho - Cómputo - T</w:t>
      </w:r>
      <w:r w:rsidRPr="008C0012">
        <w:rPr>
          <w:rFonts w:ascii="Arial" w:hAnsi="Arial" w:cs="Arial"/>
          <w:b/>
          <w:spacing w:val="4"/>
        </w:rPr>
        <w:t xml:space="preserve">érmino de caducidad </w:t>
      </w:r>
    </w:p>
    <w:p w14:paraId="2B2231DE" w14:textId="77777777" w:rsidR="00DF451E" w:rsidRPr="00940BFE" w:rsidRDefault="00DF451E" w:rsidP="00DF451E">
      <w:pPr>
        <w:tabs>
          <w:tab w:val="center" w:pos="5412"/>
          <w:tab w:val="right" w:pos="8840"/>
        </w:tabs>
        <w:spacing w:after="0" w:line="240" w:lineRule="auto"/>
        <w:jc w:val="both"/>
        <w:rPr>
          <w:rFonts w:ascii="Arial" w:hAnsi="Arial" w:cs="Arial"/>
          <w:b/>
          <w:spacing w:val="4"/>
        </w:rPr>
      </w:pPr>
    </w:p>
    <w:p w14:paraId="59DFD229" w14:textId="77777777" w:rsidR="00DF451E" w:rsidRPr="00940BFE" w:rsidRDefault="00DF451E" w:rsidP="00DF451E">
      <w:pPr>
        <w:tabs>
          <w:tab w:val="center" w:pos="5412"/>
          <w:tab w:val="right" w:pos="8840"/>
        </w:tabs>
        <w:spacing w:after="0" w:line="240" w:lineRule="auto"/>
        <w:jc w:val="both"/>
        <w:rPr>
          <w:rFonts w:ascii="Arial" w:hAnsi="Arial" w:cs="Arial"/>
          <w:spacing w:val="4"/>
        </w:rPr>
      </w:pPr>
      <w:r w:rsidRPr="00940BFE">
        <w:rPr>
          <w:rFonts w:ascii="Arial" w:hAnsi="Arial" w:cs="Arial"/>
          <w:spacing w:val="4"/>
        </w:rPr>
        <w:t xml:space="preserve">En eventos en los cuales se pretenda la nulidad y restablecimiento de actos administrativos previos a la celebración de un contrato, se debe tener en cuenta que el término será de cuatro (4) meses, contados a partir de la comunicación, publicación, notificación o ejecución, según el caso, de conformidad con el numeral 2, literal c, del artículo 164 del Código de Procedimiento Administrativo y de lo Contencioso Administrativo. Así las cosas, para determinar el momento a partir del cual ha de efectuarse el cómputo del término de caducidad de la pretensión de nulidad y restablecimiento  para el caso que hoy corresponde a esta Colegiatura decidir, resulta imprescindible establecer la fecha de notificación de la Resolución No. 00662 de 4 de octubre de 2013, por medio de la cual la Unidad de Servicios Penitenciarios y Carcelarios adjudicó la Licitación Pública No. SPC-LP-003-2013. En este sentido se tiene que el acto de adjudicación se profirió en audiencia pública el 4 de octubre de 2013, fecha en la cual se notificó por estrados a todos los proponentes, por lo que el término de caducidad se debe contar a partir del día siguiente, es decir, desde el 5 de octubre de 2013 hasta el 5 de febrero de 2014. </w:t>
      </w:r>
    </w:p>
    <w:p w14:paraId="7A8E656E" w14:textId="77777777" w:rsidR="00DF451E" w:rsidRPr="00940BFE" w:rsidRDefault="00DF451E" w:rsidP="00DF451E">
      <w:pPr>
        <w:tabs>
          <w:tab w:val="center" w:pos="5412"/>
          <w:tab w:val="right" w:pos="8840"/>
        </w:tabs>
        <w:spacing w:after="0" w:line="240" w:lineRule="auto"/>
        <w:jc w:val="both"/>
        <w:rPr>
          <w:rFonts w:ascii="Arial" w:hAnsi="Arial" w:cs="Arial"/>
          <w:b/>
          <w:spacing w:val="4"/>
        </w:rPr>
      </w:pPr>
    </w:p>
    <w:p w14:paraId="43D61470" w14:textId="77777777" w:rsidR="00DF451E" w:rsidRPr="008C0012" w:rsidRDefault="00DF451E" w:rsidP="00DF451E">
      <w:pPr>
        <w:tabs>
          <w:tab w:val="center" w:pos="5412"/>
          <w:tab w:val="right" w:pos="8840"/>
        </w:tabs>
        <w:spacing w:after="0" w:line="240" w:lineRule="auto"/>
        <w:jc w:val="both"/>
        <w:rPr>
          <w:rFonts w:ascii="Arial" w:hAnsi="Arial" w:cs="Arial"/>
          <w:b/>
          <w:spacing w:val="4"/>
        </w:rPr>
      </w:pPr>
      <w:r w:rsidRPr="00940BFE">
        <w:rPr>
          <w:rFonts w:ascii="Arial" w:hAnsi="Arial" w:cs="Arial"/>
          <w:b/>
          <w:spacing w:val="4"/>
        </w:rPr>
        <w:t>CADUCIDAD DE LA ACCIÓN</w:t>
      </w:r>
      <w:r w:rsidR="00381ADD">
        <w:rPr>
          <w:rFonts w:ascii="Arial" w:hAnsi="Arial" w:cs="Arial"/>
          <w:b/>
          <w:spacing w:val="4"/>
        </w:rPr>
        <w:t xml:space="preserve"> </w:t>
      </w:r>
      <w:r w:rsidR="003B5AC1">
        <w:rPr>
          <w:rFonts w:ascii="Arial" w:hAnsi="Arial" w:cs="Arial"/>
          <w:b/>
          <w:spacing w:val="4"/>
        </w:rPr>
        <w:t>-</w:t>
      </w:r>
      <w:r w:rsidR="00381ADD">
        <w:rPr>
          <w:rFonts w:ascii="Arial" w:hAnsi="Arial" w:cs="Arial"/>
          <w:b/>
          <w:spacing w:val="4"/>
        </w:rPr>
        <w:t xml:space="preserve"> F</w:t>
      </w:r>
      <w:r w:rsidRPr="008C0012">
        <w:rPr>
          <w:rFonts w:ascii="Arial" w:hAnsi="Arial" w:cs="Arial"/>
          <w:b/>
          <w:spacing w:val="4"/>
        </w:rPr>
        <w:t xml:space="preserve">enómeno jurídico de la caducidad  </w:t>
      </w:r>
    </w:p>
    <w:p w14:paraId="06DAE0B0" w14:textId="77777777" w:rsidR="00DF451E" w:rsidRPr="00940BFE" w:rsidRDefault="00DF451E" w:rsidP="00DF451E">
      <w:pPr>
        <w:tabs>
          <w:tab w:val="center" w:pos="5412"/>
          <w:tab w:val="right" w:pos="8840"/>
        </w:tabs>
        <w:spacing w:after="0" w:line="240" w:lineRule="auto"/>
        <w:jc w:val="both"/>
        <w:rPr>
          <w:rFonts w:ascii="Arial" w:hAnsi="Arial" w:cs="Arial"/>
          <w:b/>
          <w:spacing w:val="4"/>
        </w:rPr>
      </w:pPr>
    </w:p>
    <w:p w14:paraId="15EA64CE" w14:textId="5A948E2C" w:rsidR="00DF451E" w:rsidRDefault="00DF451E" w:rsidP="00DF451E">
      <w:pPr>
        <w:tabs>
          <w:tab w:val="center" w:pos="5412"/>
          <w:tab w:val="right" w:pos="8840"/>
        </w:tabs>
        <w:spacing w:after="0" w:line="240" w:lineRule="auto"/>
        <w:jc w:val="both"/>
        <w:rPr>
          <w:rFonts w:ascii="Arial" w:hAnsi="Arial" w:cs="Arial"/>
          <w:spacing w:val="4"/>
        </w:rPr>
      </w:pPr>
      <w:r w:rsidRPr="00940BFE">
        <w:rPr>
          <w:rFonts w:ascii="Arial" w:hAnsi="Arial" w:cs="Arial"/>
          <w:spacing w:val="4"/>
        </w:rPr>
        <w:t xml:space="preserve">De todo lo anterior, se concluye que el término de caducidad en este evento fue suspendido con la presentación de la solicitud de conciliación extrajudicial ante el Ministerio Público, cuando faltaban 72 días para que operara la caducidad de la pretensión de nulidad y restablecimiento, por lo que se deben adicionar éstos al término para demandar, contabilizándolo –en consecuencia- desde el 8 de febrero de 2014- día siguiente a la expedición de la certificación de la audiencia fallida de conciliación- hasta el 20 de abril del mismo año, fecha en la cual finalizaron los 4 meses. En el presente asunto, es del caso precisar que el 20 de abril de 2014 los despachos judiciales se encontraban cerrados debido a que fue domingo, por lo que, de conformidad con lo dispuesto por el artículo 118 del Código General del Proceso, habría de entenderse que el término para presentar el libelo </w:t>
      </w:r>
      <w:proofErr w:type="spellStart"/>
      <w:r w:rsidRPr="00940BFE">
        <w:rPr>
          <w:rFonts w:ascii="Arial" w:hAnsi="Arial" w:cs="Arial"/>
          <w:spacing w:val="4"/>
        </w:rPr>
        <w:t>demandatorio</w:t>
      </w:r>
      <w:proofErr w:type="spellEnd"/>
      <w:r w:rsidRPr="00940BFE">
        <w:rPr>
          <w:rFonts w:ascii="Arial" w:hAnsi="Arial" w:cs="Arial"/>
          <w:spacing w:val="4"/>
        </w:rPr>
        <w:t xml:space="preserve"> fenecía el 21 del mismos mes y año, por ser ese el primer día hábil siguiente  En virtud de lo anterior, por haberse interpuesto en este caso la demanda el 22 de abril de 2014, se observa que para esa fecha había operado el fenómeno de caducidad de la pretensión de nulidad y restablecimiento del derecho, comoquiera que el 21 del mismo mes y año vencía el término de que trata el artículo 164, numeral 2, literal c, del Código de Procedimiento Administrativo y de lo Contencioso Administrativo, razón por la cual la Sala confirmará el auto impugnado.</w:t>
      </w:r>
    </w:p>
    <w:p w14:paraId="101F1C5B" w14:textId="77777777" w:rsidR="004979D6" w:rsidRPr="00940BFE" w:rsidRDefault="004979D6" w:rsidP="00DF451E">
      <w:pPr>
        <w:tabs>
          <w:tab w:val="center" w:pos="5412"/>
          <w:tab w:val="right" w:pos="8840"/>
        </w:tabs>
        <w:spacing w:after="0" w:line="240" w:lineRule="auto"/>
        <w:jc w:val="both"/>
        <w:rPr>
          <w:rFonts w:ascii="Arial" w:hAnsi="Arial" w:cs="Arial"/>
          <w:spacing w:val="4"/>
        </w:rPr>
      </w:pPr>
    </w:p>
    <w:p w14:paraId="5091C46C" w14:textId="77777777" w:rsidR="00D222C9" w:rsidRDefault="00D222C9" w:rsidP="00D222C9">
      <w:pPr>
        <w:tabs>
          <w:tab w:val="center" w:pos="5412"/>
          <w:tab w:val="right" w:pos="8840"/>
        </w:tabs>
        <w:spacing w:after="0" w:line="240" w:lineRule="auto"/>
        <w:jc w:val="center"/>
        <w:rPr>
          <w:rFonts w:ascii="Arial" w:hAnsi="Arial" w:cs="Arial"/>
          <w:b/>
          <w:spacing w:val="4"/>
          <w:sz w:val="24"/>
          <w:szCs w:val="24"/>
        </w:rPr>
      </w:pPr>
      <w:r w:rsidRPr="00B54073">
        <w:rPr>
          <w:rFonts w:ascii="Arial" w:hAnsi="Arial" w:cs="Arial"/>
          <w:b/>
          <w:spacing w:val="4"/>
          <w:sz w:val="24"/>
          <w:szCs w:val="24"/>
        </w:rPr>
        <w:lastRenderedPageBreak/>
        <w:t>CONSEJO DE ESTADO</w:t>
      </w:r>
    </w:p>
    <w:p w14:paraId="03293523" w14:textId="77777777" w:rsidR="00D222C9" w:rsidRPr="00B54073" w:rsidRDefault="00D222C9" w:rsidP="00D222C9">
      <w:pPr>
        <w:tabs>
          <w:tab w:val="center" w:pos="5412"/>
          <w:tab w:val="right" w:pos="8840"/>
        </w:tabs>
        <w:spacing w:after="0" w:line="240" w:lineRule="auto"/>
        <w:jc w:val="center"/>
        <w:rPr>
          <w:rFonts w:ascii="Arial" w:hAnsi="Arial" w:cs="Arial"/>
          <w:b/>
          <w:spacing w:val="4"/>
          <w:sz w:val="24"/>
          <w:szCs w:val="24"/>
        </w:rPr>
      </w:pPr>
    </w:p>
    <w:p w14:paraId="5EE82148" w14:textId="77777777" w:rsidR="00D222C9" w:rsidRDefault="00D222C9" w:rsidP="00D222C9">
      <w:pPr>
        <w:spacing w:after="0" w:line="240" w:lineRule="auto"/>
        <w:jc w:val="center"/>
        <w:rPr>
          <w:rFonts w:ascii="Arial" w:hAnsi="Arial" w:cs="Arial"/>
          <w:b/>
          <w:spacing w:val="4"/>
          <w:sz w:val="24"/>
          <w:szCs w:val="24"/>
        </w:rPr>
      </w:pPr>
      <w:r w:rsidRPr="00B54073">
        <w:rPr>
          <w:rFonts w:ascii="Arial" w:hAnsi="Arial" w:cs="Arial"/>
          <w:b/>
          <w:spacing w:val="4"/>
          <w:sz w:val="24"/>
          <w:szCs w:val="24"/>
        </w:rPr>
        <w:t>SALA DE LO CONTENCIOSO ADMINISTRATIVO</w:t>
      </w:r>
    </w:p>
    <w:p w14:paraId="0A51AF63" w14:textId="77777777" w:rsidR="00D222C9" w:rsidRPr="00B54073" w:rsidRDefault="00D222C9" w:rsidP="00D222C9">
      <w:pPr>
        <w:spacing w:after="0" w:line="240" w:lineRule="auto"/>
        <w:jc w:val="center"/>
        <w:rPr>
          <w:rFonts w:ascii="Arial" w:hAnsi="Arial" w:cs="Arial"/>
          <w:b/>
          <w:spacing w:val="4"/>
          <w:sz w:val="24"/>
          <w:szCs w:val="24"/>
        </w:rPr>
      </w:pPr>
    </w:p>
    <w:p w14:paraId="7AC2267A" w14:textId="77777777" w:rsidR="00D222C9" w:rsidRDefault="00D222C9" w:rsidP="00D222C9">
      <w:pPr>
        <w:spacing w:after="0" w:line="240" w:lineRule="auto"/>
        <w:jc w:val="center"/>
        <w:rPr>
          <w:rFonts w:ascii="Arial" w:hAnsi="Arial" w:cs="Arial"/>
          <w:b/>
          <w:spacing w:val="4"/>
          <w:sz w:val="24"/>
          <w:szCs w:val="24"/>
        </w:rPr>
      </w:pPr>
      <w:r>
        <w:rPr>
          <w:rFonts w:ascii="Arial" w:hAnsi="Arial" w:cs="Arial"/>
          <w:b/>
          <w:spacing w:val="4"/>
          <w:sz w:val="24"/>
          <w:szCs w:val="24"/>
        </w:rPr>
        <w:t>SECCIÓN TERCERA</w:t>
      </w:r>
    </w:p>
    <w:p w14:paraId="054B1B66" w14:textId="77777777" w:rsidR="00D222C9" w:rsidRDefault="00D222C9" w:rsidP="00D222C9">
      <w:pPr>
        <w:spacing w:after="0" w:line="240" w:lineRule="auto"/>
        <w:jc w:val="center"/>
        <w:rPr>
          <w:rFonts w:ascii="Arial" w:hAnsi="Arial" w:cs="Arial"/>
          <w:b/>
          <w:spacing w:val="4"/>
          <w:sz w:val="24"/>
          <w:szCs w:val="24"/>
        </w:rPr>
      </w:pPr>
    </w:p>
    <w:p w14:paraId="2D66BBF2" w14:textId="77777777" w:rsidR="00D222C9" w:rsidRPr="00B54073" w:rsidRDefault="00D222C9" w:rsidP="00D222C9">
      <w:pPr>
        <w:spacing w:after="0" w:line="240" w:lineRule="auto"/>
        <w:jc w:val="center"/>
        <w:rPr>
          <w:rFonts w:ascii="Arial" w:hAnsi="Arial" w:cs="Arial"/>
          <w:b/>
          <w:spacing w:val="4"/>
          <w:sz w:val="24"/>
          <w:szCs w:val="24"/>
        </w:rPr>
      </w:pPr>
      <w:r w:rsidRPr="00B54073">
        <w:rPr>
          <w:rFonts w:ascii="Arial" w:hAnsi="Arial" w:cs="Arial"/>
          <w:b/>
          <w:spacing w:val="4"/>
          <w:sz w:val="24"/>
          <w:szCs w:val="24"/>
        </w:rPr>
        <w:t>SUBSECCIÓN A</w:t>
      </w:r>
    </w:p>
    <w:p w14:paraId="59450CFA" w14:textId="77777777" w:rsidR="00D222C9" w:rsidRPr="00B54073" w:rsidRDefault="00D222C9" w:rsidP="00D222C9">
      <w:pPr>
        <w:spacing w:after="0" w:line="240" w:lineRule="auto"/>
        <w:jc w:val="center"/>
        <w:rPr>
          <w:rFonts w:ascii="Arial" w:hAnsi="Arial" w:cs="Arial"/>
          <w:b/>
          <w:spacing w:val="4"/>
          <w:sz w:val="24"/>
          <w:szCs w:val="24"/>
        </w:rPr>
      </w:pPr>
    </w:p>
    <w:p w14:paraId="490FB966" w14:textId="77777777" w:rsidR="00D222C9" w:rsidRPr="00B54073" w:rsidRDefault="00D222C9" w:rsidP="00D222C9">
      <w:pPr>
        <w:spacing w:after="0" w:line="240" w:lineRule="auto"/>
        <w:jc w:val="center"/>
        <w:rPr>
          <w:rFonts w:ascii="Arial" w:hAnsi="Arial" w:cs="Arial"/>
          <w:b/>
          <w:spacing w:val="4"/>
          <w:sz w:val="24"/>
          <w:szCs w:val="24"/>
        </w:rPr>
      </w:pPr>
      <w:r w:rsidRPr="00B54073">
        <w:rPr>
          <w:rFonts w:ascii="Arial" w:hAnsi="Arial" w:cs="Arial"/>
          <w:b/>
          <w:spacing w:val="4"/>
          <w:sz w:val="24"/>
          <w:szCs w:val="24"/>
        </w:rPr>
        <w:t>Consejera</w:t>
      </w:r>
      <w:r>
        <w:rPr>
          <w:rFonts w:ascii="Arial" w:hAnsi="Arial" w:cs="Arial"/>
          <w:b/>
          <w:spacing w:val="4"/>
          <w:sz w:val="24"/>
          <w:szCs w:val="24"/>
        </w:rPr>
        <w:t xml:space="preserve"> p</w:t>
      </w:r>
      <w:r w:rsidRPr="00B54073">
        <w:rPr>
          <w:rFonts w:ascii="Arial" w:hAnsi="Arial" w:cs="Arial"/>
          <w:b/>
          <w:spacing w:val="4"/>
          <w:sz w:val="24"/>
          <w:szCs w:val="24"/>
        </w:rPr>
        <w:t>onente: MARTA NUBIA VELÁSQUEZ RICO</w:t>
      </w:r>
      <w:r>
        <w:rPr>
          <w:rFonts w:ascii="Arial" w:hAnsi="Arial" w:cs="Arial"/>
          <w:b/>
          <w:spacing w:val="4"/>
          <w:sz w:val="24"/>
          <w:szCs w:val="24"/>
        </w:rPr>
        <w:t xml:space="preserve"> (E)</w:t>
      </w:r>
    </w:p>
    <w:p w14:paraId="7B484B14" w14:textId="77777777" w:rsidR="00D222C9" w:rsidRPr="00B54073" w:rsidRDefault="00D222C9" w:rsidP="00D222C9">
      <w:pPr>
        <w:spacing w:after="0" w:line="240" w:lineRule="auto"/>
        <w:jc w:val="both"/>
        <w:rPr>
          <w:rFonts w:ascii="Arial" w:hAnsi="Arial" w:cs="Arial"/>
          <w:b/>
          <w:spacing w:val="4"/>
          <w:sz w:val="24"/>
          <w:szCs w:val="24"/>
        </w:rPr>
      </w:pPr>
    </w:p>
    <w:p w14:paraId="1F7533FB" w14:textId="77777777" w:rsidR="00D222C9" w:rsidRDefault="00D222C9" w:rsidP="00D222C9">
      <w:pPr>
        <w:tabs>
          <w:tab w:val="left" w:pos="0"/>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pacing w:val="4"/>
          <w:sz w:val="24"/>
          <w:szCs w:val="24"/>
        </w:rPr>
      </w:pPr>
      <w:r w:rsidRPr="00D222C9">
        <w:rPr>
          <w:rFonts w:ascii="Arial" w:hAnsi="Arial" w:cs="Arial"/>
          <w:spacing w:val="4"/>
          <w:sz w:val="24"/>
          <w:szCs w:val="24"/>
        </w:rPr>
        <w:t>Bogotá D.C., diecinueve (19) de julio de dos mil diecisiete (2017)</w:t>
      </w:r>
    </w:p>
    <w:p w14:paraId="6E57E572" w14:textId="77777777" w:rsidR="00D222C9" w:rsidRDefault="00D222C9" w:rsidP="00D222C9">
      <w:pPr>
        <w:tabs>
          <w:tab w:val="left" w:pos="0"/>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pacing w:val="4"/>
          <w:sz w:val="24"/>
          <w:szCs w:val="24"/>
        </w:rPr>
      </w:pPr>
    </w:p>
    <w:p w14:paraId="3D0A2845" w14:textId="77777777" w:rsidR="00D222C9" w:rsidRPr="00B54073" w:rsidRDefault="00D222C9" w:rsidP="00D222C9">
      <w:pPr>
        <w:tabs>
          <w:tab w:val="left" w:pos="0"/>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pacing w:val="4"/>
          <w:sz w:val="24"/>
          <w:szCs w:val="24"/>
        </w:rPr>
      </w:pPr>
      <w:r w:rsidRPr="00B54073">
        <w:rPr>
          <w:rFonts w:ascii="Arial" w:hAnsi="Arial" w:cs="Arial"/>
          <w:b/>
          <w:spacing w:val="4"/>
          <w:sz w:val="24"/>
          <w:szCs w:val="24"/>
        </w:rPr>
        <w:t xml:space="preserve">Radicación número: </w:t>
      </w:r>
      <w:r>
        <w:rPr>
          <w:rFonts w:ascii="Arial" w:hAnsi="Arial" w:cs="Arial"/>
          <w:b/>
          <w:spacing w:val="4"/>
          <w:sz w:val="24"/>
          <w:szCs w:val="24"/>
        </w:rPr>
        <w:t>41001-23-33-000-2014-00298-</w:t>
      </w:r>
      <w:r w:rsidRPr="00D222C9">
        <w:rPr>
          <w:rFonts w:ascii="Arial" w:hAnsi="Arial" w:cs="Arial"/>
          <w:b/>
          <w:spacing w:val="4"/>
          <w:sz w:val="24"/>
          <w:szCs w:val="24"/>
        </w:rPr>
        <w:t>01</w:t>
      </w:r>
      <w:r>
        <w:rPr>
          <w:rFonts w:ascii="Arial" w:hAnsi="Arial" w:cs="Arial"/>
          <w:b/>
          <w:spacing w:val="4"/>
          <w:sz w:val="24"/>
          <w:szCs w:val="24"/>
        </w:rPr>
        <w:t>(57016</w:t>
      </w:r>
      <w:r w:rsidRPr="00B54073">
        <w:rPr>
          <w:rFonts w:ascii="Arial" w:hAnsi="Arial" w:cs="Arial"/>
          <w:b/>
          <w:spacing w:val="4"/>
          <w:sz w:val="24"/>
          <w:szCs w:val="24"/>
        </w:rPr>
        <w:t>)</w:t>
      </w:r>
    </w:p>
    <w:p w14:paraId="49B7C199" w14:textId="77777777" w:rsidR="00D222C9" w:rsidRPr="00B54073" w:rsidRDefault="00D222C9" w:rsidP="00D222C9">
      <w:pPr>
        <w:tabs>
          <w:tab w:val="left" w:pos="0"/>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pacing w:val="4"/>
          <w:sz w:val="24"/>
          <w:szCs w:val="24"/>
        </w:rPr>
      </w:pPr>
    </w:p>
    <w:p w14:paraId="298ADEF4" w14:textId="77777777" w:rsidR="00D222C9" w:rsidRPr="00B54073" w:rsidRDefault="00D222C9" w:rsidP="00D222C9">
      <w:pPr>
        <w:tabs>
          <w:tab w:val="left" w:pos="0"/>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pacing w:val="4"/>
          <w:sz w:val="24"/>
          <w:szCs w:val="24"/>
        </w:rPr>
      </w:pPr>
      <w:r w:rsidRPr="00B54073">
        <w:rPr>
          <w:rFonts w:ascii="Arial" w:hAnsi="Arial" w:cs="Arial"/>
          <w:b/>
          <w:spacing w:val="4"/>
          <w:sz w:val="24"/>
          <w:szCs w:val="24"/>
        </w:rPr>
        <w:t xml:space="preserve">Actor: </w:t>
      </w:r>
      <w:r w:rsidRPr="00D222C9">
        <w:rPr>
          <w:rFonts w:ascii="Arial" w:hAnsi="Arial" w:cs="Arial"/>
          <w:b/>
          <w:spacing w:val="4"/>
          <w:sz w:val="24"/>
          <w:szCs w:val="24"/>
        </w:rPr>
        <w:t>COOPERATIVA MULTIACTIVA SURCOLOMBIANA DE INVERSIONES LTDA</w:t>
      </w:r>
    </w:p>
    <w:p w14:paraId="4F97FE59" w14:textId="77777777" w:rsidR="00D222C9" w:rsidRPr="00B54073" w:rsidRDefault="00D222C9" w:rsidP="00D222C9">
      <w:pPr>
        <w:tabs>
          <w:tab w:val="left" w:pos="0"/>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pacing w:val="4"/>
          <w:sz w:val="24"/>
          <w:szCs w:val="24"/>
        </w:rPr>
      </w:pPr>
    </w:p>
    <w:p w14:paraId="15056FA8" w14:textId="77777777" w:rsidR="00D222C9" w:rsidRPr="00B54073" w:rsidRDefault="00D222C9" w:rsidP="00D222C9">
      <w:pPr>
        <w:widowControl w:val="0"/>
        <w:tabs>
          <w:tab w:val="left" w:pos="2127"/>
          <w:tab w:val="left" w:pos="2268"/>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jc w:val="both"/>
        <w:rPr>
          <w:rFonts w:ascii="Arial" w:eastAsia="Times New Roman" w:hAnsi="Arial" w:cs="Arial"/>
          <w:b/>
          <w:bCs/>
          <w:spacing w:val="4"/>
          <w:sz w:val="24"/>
          <w:szCs w:val="24"/>
          <w:lang w:eastAsia="es-ES"/>
        </w:rPr>
      </w:pPr>
      <w:r w:rsidRPr="00B54073">
        <w:rPr>
          <w:rFonts w:ascii="Arial" w:eastAsia="Times New Roman" w:hAnsi="Arial" w:cs="Arial"/>
          <w:b/>
          <w:bCs/>
          <w:spacing w:val="4"/>
          <w:sz w:val="24"/>
          <w:szCs w:val="24"/>
          <w:lang w:eastAsia="es-ES"/>
        </w:rPr>
        <w:t xml:space="preserve">Demandado: </w:t>
      </w:r>
      <w:r w:rsidRPr="00D222C9">
        <w:rPr>
          <w:rFonts w:ascii="Arial" w:eastAsia="Times New Roman" w:hAnsi="Arial" w:cs="Arial"/>
          <w:b/>
          <w:bCs/>
          <w:spacing w:val="4"/>
          <w:sz w:val="24"/>
          <w:szCs w:val="24"/>
          <w:lang w:eastAsia="es-ES"/>
        </w:rPr>
        <w:t>UNIDAD DE SERVICIOS PENITENCIARIOS Y CARCELARIOS –USPEC</w:t>
      </w:r>
    </w:p>
    <w:p w14:paraId="0C9932E9" w14:textId="77777777" w:rsidR="00D222C9" w:rsidRPr="00B54073" w:rsidRDefault="00D222C9" w:rsidP="00D222C9">
      <w:pPr>
        <w:widowControl w:val="0"/>
        <w:tabs>
          <w:tab w:val="left" w:pos="2127"/>
          <w:tab w:val="left" w:pos="2268"/>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jc w:val="both"/>
        <w:rPr>
          <w:rFonts w:ascii="Arial" w:eastAsia="Times New Roman" w:hAnsi="Arial" w:cs="Arial"/>
          <w:b/>
          <w:bCs/>
          <w:spacing w:val="4"/>
          <w:sz w:val="24"/>
          <w:szCs w:val="24"/>
          <w:lang w:eastAsia="es-ES"/>
        </w:rPr>
      </w:pPr>
    </w:p>
    <w:p w14:paraId="6C42D4EE" w14:textId="77777777" w:rsidR="00D222C9" w:rsidRPr="00B54073" w:rsidRDefault="00D222C9" w:rsidP="00D222C9">
      <w:pPr>
        <w:widowControl w:val="0"/>
        <w:tabs>
          <w:tab w:val="left" w:pos="2127"/>
          <w:tab w:val="left" w:pos="2268"/>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jc w:val="both"/>
        <w:rPr>
          <w:rFonts w:ascii="Arial" w:eastAsia="Times New Roman" w:hAnsi="Arial" w:cs="Arial"/>
          <w:b/>
          <w:bCs/>
          <w:spacing w:val="4"/>
          <w:sz w:val="24"/>
          <w:szCs w:val="24"/>
          <w:lang w:eastAsia="es-ES"/>
        </w:rPr>
      </w:pPr>
    </w:p>
    <w:p w14:paraId="5AEFA8D1" w14:textId="77777777" w:rsidR="00D222C9" w:rsidRPr="00B54073" w:rsidRDefault="00D222C9" w:rsidP="00D222C9">
      <w:pPr>
        <w:widowControl w:val="0"/>
        <w:tabs>
          <w:tab w:val="left" w:pos="2127"/>
          <w:tab w:val="left" w:pos="2268"/>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jc w:val="both"/>
        <w:rPr>
          <w:rFonts w:ascii="Arial" w:eastAsia="Times New Roman" w:hAnsi="Arial" w:cs="Arial"/>
          <w:b/>
          <w:bCs/>
          <w:spacing w:val="4"/>
          <w:sz w:val="24"/>
          <w:szCs w:val="24"/>
          <w:lang w:eastAsia="es-ES"/>
        </w:rPr>
      </w:pPr>
    </w:p>
    <w:p w14:paraId="372C4B98" w14:textId="77777777" w:rsidR="00D222C9" w:rsidRDefault="00D222C9" w:rsidP="00D222C9">
      <w:pPr>
        <w:tabs>
          <w:tab w:val="left" w:pos="0"/>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pacing w:val="4"/>
          <w:sz w:val="24"/>
          <w:szCs w:val="24"/>
        </w:rPr>
      </w:pPr>
      <w:r w:rsidRPr="00B54073">
        <w:rPr>
          <w:rFonts w:ascii="Arial" w:hAnsi="Arial" w:cs="Arial"/>
          <w:b/>
          <w:spacing w:val="4"/>
          <w:sz w:val="24"/>
          <w:szCs w:val="24"/>
        </w:rPr>
        <w:t xml:space="preserve">Referencia: </w:t>
      </w:r>
      <w:r w:rsidRPr="00D222C9">
        <w:rPr>
          <w:rFonts w:ascii="Arial" w:hAnsi="Arial" w:cs="Arial"/>
          <w:b/>
          <w:spacing w:val="4"/>
          <w:sz w:val="24"/>
          <w:szCs w:val="24"/>
        </w:rPr>
        <w:t xml:space="preserve">LEY 1437 DE 2011. NULIDAD Y RESTABLECIMIENTO DEL DERECHO </w:t>
      </w:r>
      <w:r>
        <w:rPr>
          <w:rFonts w:ascii="Arial" w:hAnsi="Arial" w:cs="Arial"/>
          <w:b/>
          <w:spacing w:val="4"/>
          <w:sz w:val="24"/>
          <w:szCs w:val="24"/>
        </w:rPr>
        <w:t>– AUTO</w:t>
      </w:r>
    </w:p>
    <w:p w14:paraId="395CCEC0" w14:textId="77777777" w:rsidR="00D222C9" w:rsidRDefault="00D222C9" w:rsidP="00D222C9">
      <w:pPr>
        <w:tabs>
          <w:tab w:val="left" w:pos="0"/>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pacing w:val="4"/>
          <w:sz w:val="24"/>
          <w:szCs w:val="24"/>
        </w:rPr>
      </w:pPr>
    </w:p>
    <w:p w14:paraId="38746EFF" w14:textId="77777777" w:rsidR="00D222C9" w:rsidRPr="00B54073" w:rsidRDefault="00D222C9" w:rsidP="00D222C9">
      <w:pPr>
        <w:tabs>
          <w:tab w:val="left" w:pos="0"/>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pacing w:val="4"/>
          <w:sz w:val="24"/>
          <w:szCs w:val="24"/>
        </w:rPr>
      </w:pPr>
    </w:p>
    <w:p w14:paraId="65D2FEE8" w14:textId="77777777" w:rsidR="00D222C9" w:rsidRDefault="00D222C9" w:rsidP="00D222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pacing w:val="4"/>
          <w:sz w:val="24"/>
          <w:szCs w:val="24"/>
        </w:rPr>
      </w:pPr>
    </w:p>
    <w:p w14:paraId="6A89F50D" w14:textId="77777777" w:rsidR="00205910" w:rsidRPr="009944E8" w:rsidRDefault="00205910" w:rsidP="009944E8">
      <w:pPr>
        <w:spacing w:line="360" w:lineRule="auto"/>
        <w:jc w:val="both"/>
        <w:rPr>
          <w:rFonts w:ascii="Arial" w:hAnsi="Arial" w:cs="Arial"/>
          <w:b/>
          <w:sz w:val="24"/>
          <w:szCs w:val="24"/>
        </w:rPr>
      </w:pPr>
      <w:r w:rsidRPr="008B655F">
        <w:rPr>
          <w:rFonts w:ascii="Arial" w:hAnsi="Arial" w:cs="Arial"/>
          <w:b/>
          <w:sz w:val="24"/>
          <w:szCs w:val="24"/>
        </w:rPr>
        <w:t xml:space="preserve">TEMAS: </w:t>
      </w:r>
      <w:r w:rsidR="0008429E" w:rsidRPr="008B655F">
        <w:rPr>
          <w:rFonts w:ascii="Arial" w:hAnsi="Arial" w:cs="Arial"/>
          <w:b/>
          <w:sz w:val="24"/>
          <w:szCs w:val="24"/>
        </w:rPr>
        <w:t>NULIDAD ACTO DE ADJUDICACIÓN -Caducidad</w:t>
      </w:r>
      <w:r w:rsidR="0008429E" w:rsidRPr="009944E8">
        <w:rPr>
          <w:rFonts w:ascii="Arial" w:hAnsi="Arial" w:cs="Arial"/>
          <w:b/>
          <w:sz w:val="24"/>
          <w:szCs w:val="24"/>
        </w:rPr>
        <w:t xml:space="preserve"> </w:t>
      </w:r>
    </w:p>
    <w:p w14:paraId="498AEDB5" w14:textId="77777777" w:rsidR="00205910" w:rsidRPr="009944E8" w:rsidRDefault="00205910" w:rsidP="009944E8">
      <w:pPr>
        <w:pStyle w:val="Sinespaciado"/>
      </w:pPr>
    </w:p>
    <w:p w14:paraId="71CE0780" w14:textId="77777777" w:rsidR="00EA4AD6" w:rsidRPr="009944E8" w:rsidRDefault="00EA4AD6" w:rsidP="009944E8">
      <w:pPr>
        <w:spacing w:line="360" w:lineRule="auto"/>
        <w:jc w:val="both"/>
        <w:rPr>
          <w:rFonts w:ascii="Arial" w:hAnsi="Arial" w:cs="Arial"/>
          <w:sz w:val="24"/>
          <w:szCs w:val="24"/>
        </w:rPr>
      </w:pPr>
      <w:r w:rsidRPr="009944E8">
        <w:rPr>
          <w:rFonts w:ascii="Arial" w:hAnsi="Arial" w:cs="Arial"/>
          <w:sz w:val="24"/>
          <w:szCs w:val="24"/>
        </w:rPr>
        <w:t xml:space="preserve">Procede </w:t>
      </w:r>
      <w:r w:rsidR="00F5569F" w:rsidRPr="009944E8">
        <w:rPr>
          <w:rFonts w:ascii="Arial" w:hAnsi="Arial" w:cs="Arial"/>
          <w:sz w:val="24"/>
          <w:szCs w:val="24"/>
        </w:rPr>
        <w:t>la Sala</w:t>
      </w:r>
      <w:r w:rsidRPr="009944E8">
        <w:rPr>
          <w:rFonts w:ascii="Arial" w:hAnsi="Arial" w:cs="Arial"/>
          <w:sz w:val="24"/>
          <w:szCs w:val="24"/>
        </w:rPr>
        <w:t xml:space="preserve"> a resolver </w:t>
      </w:r>
      <w:r w:rsidR="00A20680" w:rsidRPr="009944E8">
        <w:rPr>
          <w:rFonts w:ascii="Arial" w:hAnsi="Arial" w:cs="Arial"/>
          <w:sz w:val="24"/>
          <w:szCs w:val="24"/>
        </w:rPr>
        <w:t>el recurso</w:t>
      </w:r>
      <w:r w:rsidRPr="009944E8">
        <w:rPr>
          <w:rFonts w:ascii="Arial" w:hAnsi="Arial" w:cs="Arial"/>
          <w:sz w:val="24"/>
          <w:szCs w:val="24"/>
        </w:rPr>
        <w:t xml:space="preserve"> de apelac</w:t>
      </w:r>
      <w:r w:rsidR="00A20680" w:rsidRPr="009944E8">
        <w:rPr>
          <w:rFonts w:ascii="Arial" w:hAnsi="Arial" w:cs="Arial"/>
          <w:sz w:val="24"/>
          <w:szCs w:val="24"/>
        </w:rPr>
        <w:t>ión interpuesto</w:t>
      </w:r>
      <w:r w:rsidRPr="009944E8">
        <w:rPr>
          <w:rFonts w:ascii="Arial" w:hAnsi="Arial" w:cs="Arial"/>
          <w:sz w:val="24"/>
          <w:szCs w:val="24"/>
        </w:rPr>
        <w:t xml:space="preserve"> por </w:t>
      </w:r>
      <w:r w:rsidR="00A20680" w:rsidRPr="009944E8">
        <w:rPr>
          <w:rFonts w:ascii="Arial" w:hAnsi="Arial" w:cs="Arial"/>
          <w:sz w:val="24"/>
          <w:szCs w:val="24"/>
        </w:rPr>
        <w:t>la parte actora</w:t>
      </w:r>
      <w:r w:rsidRPr="009944E8">
        <w:rPr>
          <w:rFonts w:ascii="Arial" w:hAnsi="Arial" w:cs="Arial"/>
          <w:sz w:val="24"/>
          <w:szCs w:val="24"/>
        </w:rPr>
        <w:t xml:space="preserve">, en la audiencia inicial de </w:t>
      </w:r>
      <w:r w:rsidR="00A20680" w:rsidRPr="009944E8">
        <w:rPr>
          <w:rFonts w:ascii="Arial" w:hAnsi="Arial" w:cs="Arial"/>
          <w:sz w:val="24"/>
          <w:szCs w:val="24"/>
        </w:rPr>
        <w:t>17 de marzo de 2016</w:t>
      </w:r>
      <w:r w:rsidRPr="009944E8">
        <w:rPr>
          <w:rFonts w:ascii="Arial" w:hAnsi="Arial" w:cs="Arial"/>
          <w:sz w:val="24"/>
          <w:szCs w:val="24"/>
        </w:rPr>
        <w:t xml:space="preserve"> celebrada por el Tribunal Administrativo </w:t>
      </w:r>
      <w:r w:rsidR="00A20680" w:rsidRPr="009944E8">
        <w:rPr>
          <w:rFonts w:ascii="Arial" w:hAnsi="Arial" w:cs="Arial"/>
          <w:sz w:val="24"/>
          <w:szCs w:val="24"/>
        </w:rPr>
        <w:t>del Huila</w:t>
      </w:r>
      <w:r w:rsidRPr="009944E8">
        <w:rPr>
          <w:rFonts w:ascii="Arial" w:hAnsi="Arial" w:cs="Arial"/>
          <w:sz w:val="24"/>
          <w:szCs w:val="24"/>
        </w:rPr>
        <w:t xml:space="preserve">, en contra de la decisión adoptada por el </w:t>
      </w:r>
      <w:r w:rsidRPr="009944E8">
        <w:rPr>
          <w:rFonts w:ascii="Arial" w:hAnsi="Arial" w:cs="Arial"/>
          <w:i/>
          <w:sz w:val="24"/>
          <w:szCs w:val="24"/>
        </w:rPr>
        <w:t xml:space="preserve">a quo </w:t>
      </w:r>
      <w:r w:rsidRPr="009944E8">
        <w:rPr>
          <w:rFonts w:ascii="Arial" w:hAnsi="Arial" w:cs="Arial"/>
          <w:sz w:val="24"/>
          <w:szCs w:val="24"/>
        </w:rPr>
        <w:t xml:space="preserve">sobre </w:t>
      </w:r>
      <w:r w:rsidR="00A20680" w:rsidRPr="009944E8">
        <w:rPr>
          <w:rFonts w:ascii="Arial" w:hAnsi="Arial" w:cs="Arial"/>
          <w:sz w:val="24"/>
          <w:szCs w:val="24"/>
        </w:rPr>
        <w:t xml:space="preserve">declarar de oficio la </w:t>
      </w:r>
      <w:r w:rsidR="00BD70F8" w:rsidRPr="009944E8">
        <w:rPr>
          <w:rFonts w:ascii="Arial" w:hAnsi="Arial" w:cs="Arial"/>
          <w:sz w:val="24"/>
          <w:szCs w:val="24"/>
        </w:rPr>
        <w:t xml:space="preserve">excepción previa de </w:t>
      </w:r>
      <w:r w:rsidR="00A20680" w:rsidRPr="009944E8">
        <w:rPr>
          <w:rFonts w:ascii="Arial" w:hAnsi="Arial" w:cs="Arial"/>
          <w:sz w:val="24"/>
          <w:szCs w:val="24"/>
        </w:rPr>
        <w:t>caducidad de la demanda.</w:t>
      </w:r>
    </w:p>
    <w:p w14:paraId="0802B609" w14:textId="77777777" w:rsidR="00EA4AD6" w:rsidRPr="009944E8" w:rsidRDefault="00EA4AD6" w:rsidP="009944E8">
      <w:pPr>
        <w:spacing w:line="240" w:lineRule="auto"/>
        <w:jc w:val="both"/>
        <w:rPr>
          <w:rFonts w:ascii="Arial" w:hAnsi="Arial" w:cs="Arial"/>
          <w:sz w:val="24"/>
          <w:szCs w:val="24"/>
        </w:rPr>
      </w:pPr>
    </w:p>
    <w:p w14:paraId="6B0E268C" w14:textId="77777777" w:rsidR="00EA4AD6" w:rsidRPr="009944E8" w:rsidRDefault="00EA4AD6" w:rsidP="009944E8">
      <w:pPr>
        <w:numPr>
          <w:ilvl w:val="0"/>
          <w:numId w:val="3"/>
        </w:numPr>
        <w:spacing w:line="360" w:lineRule="auto"/>
        <w:jc w:val="center"/>
        <w:rPr>
          <w:rFonts w:ascii="Arial" w:hAnsi="Arial" w:cs="Arial"/>
          <w:b/>
          <w:sz w:val="24"/>
          <w:szCs w:val="24"/>
        </w:rPr>
      </w:pPr>
      <w:r w:rsidRPr="009944E8">
        <w:rPr>
          <w:rFonts w:ascii="Arial" w:hAnsi="Arial" w:cs="Arial"/>
          <w:b/>
          <w:sz w:val="24"/>
          <w:szCs w:val="24"/>
        </w:rPr>
        <w:t>ANTECEDENTES</w:t>
      </w:r>
    </w:p>
    <w:p w14:paraId="18E9BA4E" w14:textId="77777777" w:rsidR="00EA4AD6" w:rsidRPr="009944E8" w:rsidRDefault="00EA4AD6" w:rsidP="009944E8">
      <w:pPr>
        <w:pStyle w:val="Sinespaciado"/>
      </w:pPr>
    </w:p>
    <w:p w14:paraId="599CF61C" w14:textId="77777777" w:rsidR="00EA4AD6" w:rsidRPr="009944E8" w:rsidRDefault="009944E8" w:rsidP="009944E8">
      <w:pPr>
        <w:spacing w:line="360" w:lineRule="auto"/>
        <w:jc w:val="both"/>
        <w:rPr>
          <w:rFonts w:ascii="Arial" w:hAnsi="Arial" w:cs="Arial"/>
          <w:b/>
          <w:sz w:val="24"/>
          <w:szCs w:val="24"/>
        </w:rPr>
      </w:pPr>
      <w:r>
        <w:rPr>
          <w:rFonts w:ascii="Arial" w:hAnsi="Arial" w:cs="Arial"/>
          <w:b/>
          <w:sz w:val="24"/>
          <w:szCs w:val="24"/>
        </w:rPr>
        <w:t>1. La demanda</w:t>
      </w:r>
    </w:p>
    <w:p w14:paraId="759A7DB7" w14:textId="77777777" w:rsidR="00EA4AD6" w:rsidRPr="009944E8" w:rsidRDefault="00EA4AD6" w:rsidP="009944E8">
      <w:pPr>
        <w:pStyle w:val="Sinespaciado"/>
      </w:pPr>
    </w:p>
    <w:p w14:paraId="42D5C4C0" w14:textId="77777777" w:rsidR="004A1530" w:rsidRPr="009944E8" w:rsidRDefault="00EA4AD6" w:rsidP="009944E8">
      <w:pPr>
        <w:spacing w:line="360" w:lineRule="auto"/>
        <w:jc w:val="both"/>
        <w:rPr>
          <w:rFonts w:ascii="Arial" w:eastAsia="Times New Roman" w:hAnsi="Arial" w:cs="Arial"/>
          <w:sz w:val="24"/>
          <w:szCs w:val="24"/>
          <w:lang w:val="es-ES" w:eastAsia="es-ES"/>
        </w:rPr>
      </w:pPr>
      <w:r w:rsidRPr="009944E8">
        <w:rPr>
          <w:rFonts w:ascii="Arial" w:hAnsi="Arial" w:cs="Arial"/>
          <w:sz w:val="24"/>
          <w:szCs w:val="24"/>
        </w:rPr>
        <w:t xml:space="preserve">Mediante escrito presentado el </w:t>
      </w:r>
      <w:r w:rsidR="003F7970" w:rsidRPr="009944E8">
        <w:rPr>
          <w:rFonts w:ascii="Arial" w:hAnsi="Arial" w:cs="Arial"/>
          <w:sz w:val="24"/>
          <w:szCs w:val="24"/>
        </w:rPr>
        <w:t>22 de abril de 2014</w:t>
      </w:r>
      <w:r w:rsidRPr="009944E8">
        <w:rPr>
          <w:rFonts w:ascii="Arial" w:hAnsi="Arial" w:cs="Arial"/>
          <w:sz w:val="24"/>
          <w:szCs w:val="24"/>
        </w:rPr>
        <w:t xml:space="preserve">, </w:t>
      </w:r>
      <w:r w:rsidRPr="009944E8">
        <w:rPr>
          <w:rFonts w:ascii="Arial" w:hAnsi="Arial" w:cs="Arial"/>
          <w:spacing w:val="2"/>
          <w:sz w:val="24"/>
          <w:szCs w:val="24"/>
        </w:rPr>
        <w:t xml:space="preserve">la </w:t>
      </w:r>
      <w:r w:rsidR="003F7970" w:rsidRPr="009944E8">
        <w:rPr>
          <w:rFonts w:ascii="Arial" w:hAnsi="Arial" w:cs="Arial"/>
          <w:spacing w:val="2"/>
          <w:sz w:val="24"/>
          <w:szCs w:val="24"/>
        </w:rPr>
        <w:t xml:space="preserve">Cooperativa Multiactiva </w:t>
      </w:r>
      <w:proofErr w:type="spellStart"/>
      <w:r w:rsidR="003F7970" w:rsidRPr="009944E8">
        <w:rPr>
          <w:rFonts w:ascii="Arial" w:hAnsi="Arial" w:cs="Arial"/>
          <w:spacing w:val="2"/>
          <w:sz w:val="24"/>
          <w:szCs w:val="24"/>
        </w:rPr>
        <w:t>Surcolombiana</w:t>
      </w:r>
      <w:proofErr w:type="spellEnd"/>
      <w:r w:rsidR="003F7970" w:rsidRPr="009944E8">
        <w:rPr>
          <w:rFonts w:ascii="Arial" w:hAnsi="Arial" w:cs="Arial"/>
          <w:spacing w:val="2"/>
          <w:sz w:val="24"/>
          <w:szCs w:val="24"/>
        </w:rPr>
        <w:t xml:space="preserve"> de Inversiones</w:t>
      </w:r>
      <w:r w:rsidRPr="009944E8">
        <w:rPr>
          <w:rFonts w:ascii="Arial" w:hAnsi="Arial" w:cs="Arial"/>
          <w:spacing w:val="2"/>
          <w:sz w:val="24"/>
          <w:szCs w:val="24"/>
        </w:rPr>
        <w:t xml:space="preserve">, por conducto de apoderado judicial, instauró demanda de nulidad y restablecimiento del derecho en contra de </w:t>
      </w:r>
      <w:r w:rsidR="00FE3D00" w:rsidRPr="009944E8">
        <w:rPr>
          <w:rFonts w:ascii="Arial" w:hAnsi="Arial" w:cs="Arial"/>
          <w:spacing w:val="2"/>
          <w:sz w:val="24"/>
          <w:szCs w:val="24"/>
        </w:rPr>
        <w:t>l</w:t>
      </w:r>
      <w:r w:rsidR="004A1530" w:rsidRPr="009944E8">
        <w:rPr>
          <w:rFonts w:ascii="Arial" w:hAnsi="Arial" w:cs="Arial"/>
          <w:spacing w:val="2"/>
          <w:sz w:val="24"/>
          <w:szCs w:val="24"/>
        </w:rPr>
        <w:t>a Unidad de Servicios Penitenciarios y Carcelarios</w:t>
      </w:r>
      <w:r w:rsidR="00FE3D00" w:rsidRPr="009944E8">
        <w:rPr>
          <w:rFonts w:ascii="Arial" w:hAnsi="Arial" w:cs="Arial"/>
          <w:spacing w:val="2"/>
          <w:sz w:val="24"/>
          <w:szCs w:val="24"/>
        </w:rPr>
        <w:t>,</w:t>
      </w:r>
      <w:r w:rsidRPr="009944E8">
        <w:rPr>
          <w:rFonts w:ascii="Arial" w:hAnsi="Arial" w:cs="Arial"/>
          <w:spacing w:val="2"/>
          <w:sz w:val="24"/>
          <w:szCs w:val="24"/>
        </w:rPr>
        <w:t xml:space="preserve"> con el fin de que se declarara la nulidad </w:t>
      </w:r>
      <w:r w:rsidR="004A1530" w:rsidRPr="009944E8">
        <w:rPr>
          <w:rFonts w:ascii="Arial" w:hAnsi="Arial" w:cs="Arial"/>
          <w:spacing w:val="2"/>
          <w:sz w:val="24"/>
          <w:szCs w:val="24"/>
        </w:rPr>
        <w:t xml:space="preserve">parcial </w:t>
      </w:r>
      <w:r w:rsidR="00545BD2" w:rsidRPr="009944E8">
        <w:rPr>
          <w:rFonts w:ascii="Arial" w:hAnsi="Arial" w:cs="Arial"/>
          <w:spacing w:val="2"/>
          <w:sz w:val="24"/>
          <w:szCs w:val="24"/>
        </w:rPr>
        <w:t xml:space="preserve">de la Resolución </w:t>
      </w:r>
      <w:r w:rsidR="00AD2A29" w:rsidRPr="009944E8">
        <w:rPr>
          <w:rFonts w:ascii="Arial" w:hAnsi="Arial" w:cs="Arial"/>
          <w:spacing w:val="2"/>
          <w:sz w:val="24"/>
          <w:szCs w:val="24"/>
        </w:rPr>
        <w:t>No. 00662</w:t>
      </w:r>
      <w:r w:rsidR="00205910" w:rsidRPr="009944E8">
        <w:rPr>
          <w:rFonts w:ascii="Arial" w:hAnsi="Arial" w:cs="Arial"/>
          <w:spacing w:val="2"/>
          <w:sz w:val="24"/>
          <w:szCs w:val="24"/>
        </w:rPr>
        <w:t xml:space="preserve"> </w:t>
      </w:r>
      <w:r w:rsidR="00AD2A29" w:rsidRPr="009944E8">
        <w:rPr>
          <w:rFonts w:ascii="Arial" w:hAnsi="Arial" w:cs="Arial"/>
          <w:spacing w:val="2"/>
          <w:sz w:val="24"/>
          <w:szCs w:val="24"/>
        </w:rPr>
        <w:t>de 4 de octubre de 2013</w:t>
      </w:r>
      <w:r w:rsidR="00545BD2" w:rsidRPr="009944E8">
        <w:rPr>
          <w:rFonts w:ascii="Arial" w:hAnsi="Arial" w:cs="Arial"/>
          <w:spacing w:val="2"/>
          <w:sz w:val="24"/>
          <w:szCs w:val="24"/>
        </w:rPr>
        <w:t xml:space="preserve">, por medio de la cual la Unidad de Servicios Penitenciarios y Carcelarios adjudicó la Licitación Pública </w:t>
      </w:r>
      <w:r w:rsidR="00545BD2" w:rsidRPr="009944E8">
        <w:rPr>
          <w:rFonts w:ascii="Arial" w:hAnsi="Arial" w:cs="Arial"/>
          <w:spacing w:val="2"/>
          <w:sz w:val="24"/>
          <w:szCs w:val="24"/>
        </w:rPr>
        <w:lastRenderedPageBreak/>
        <w:t>No. SPC-LP-003-2013.</w:t>
      </w:r>
      <w:r w:rsidR="006B1CCD" w:rsidRPr="009944E8">
        <w:rPr>
          <w:rFonts w:ascii="Arial" w:eastAsia="Times New Roman" w:hAnsi="Arial" w:cs="Arial"/>
          <w:sz w:val="24"/>
          <w:szCs w:val="24"/>
          <w:lang w:val="es-ES" w:eastAsia="es-ES"/>
        </w:rPr>
        <w:t xml:space="preserve"> Consecuencialmente, pidió que se reconocieran los perjuicios materiales y morales que dicha decisión le habría ocasionado</w:t>
      </w:r>
      <w:r w:rsidR="006B1CCD" w:rsidRPr="009944E8">
        <w:rPr>
          <w:rStyle w:val="Refdenotaalpie"/>
          <w:rFonts w:ascii="Arial" w:eastAsia="Times New Roman" w:hAnsi="Arial" w:cs="Arial"/>
          <w:sz w:val="24"/>
          <w:szCs w:val="24"/>
          <w:lang w:val="es-ES" w:eastAsia="es-ES"/>
        </w:rPr>
        <w:footnoteReference w:id="1"/>
      </w:r>
      <w:r w:rsidR="006B1CCD" w:rsidRPr="009944E8">
        <w:rPr>
          <w:rFonts w:ascii="Arial" w:eastAsia="Times New Roman" w:hAnsi="Arial" w:cs="Arial"/>
          <w:sz w:val="24"/>
          <w:szCs w:val="24"/>
          <w:lang w:val="es-ES" w:eastAsia="es-ES"/>
        </w:rPr>
        <w:t>.</w:t>
      </w:r>
    </w:p>
    <w:p w14:paraId="1DE9C98D" w14:textId="77777777" w:rsidR="00EA4AD6" w:rsidRPr="009944E8" w:rsidRDefault="00EA4AD6" w:rsidP="009944E8">
      <w:pPr>
        <w:pStyle w:val="Sinespaciado"/>
      </w:pPr>
    </w:p>
    <w:p w14:paraId="2CE5EADC" w14:textId="77777777" w:rsidR="00545BD2" w:rsidRPr="009944E8" w:rsidRDefault="00545BD2" w:rsidP="009944E8">
      <w:pPr>
        <w:spacing w:line="360" w:lineRule="auto"/>
        <w:jc w:val="both"/>
        <w:rPr>
          <w:rFonts w:ascii="Arial" w:hAnsi="Arial" w:cs="Arial"/>
          <w:bCs/>
          <w:sz w:val="24"/>
          <w:szCs w:val="24"/>
        </w:rPr>
      </w:pPr>
      <w:r w:rsidRPr="009944E8">
        <w:rPr>
          <w:rFonts w:ascii="Arial" w:eastAsia="Times New Roman" w:hAnsi="Arial" w:cs="Arial"/>
          <w:sz w:val="24"/>
          <w:szCs w:val="24"/>
          <w:lang w:val="es-ES" w:eastAsia="es-ES"/>
        </w:rPr>
        <w:t>La Dirección General de la Unidad de Servicios Penitenciarios Carcelarios</w:t>
      </w:r>
      <w:r w:rsidRPr="009944E8">
        <w:rPr>
          <w:rFonts w:ascii="Arial" w:hAnsi="Arial" w:cs="Arial"/>
          <w:bCs/>
          <w:sz w:val="24"/>
          <w:szCs w:val="24"/>
        </w:rPr>
        <w:t xml:space="preserve">, mediante Resolución </w:t>
      </w:r>
      <w:r w:rsidR="00BD70F8" w:rsidRPr="009944E8">
        <w:rPr>
          <w:rFonts w:ascii="Arial" w:hAnsi="Arial" w:cs="Arial"/>
          <w:bCs/>
          <w:sz w:val="24"/>
          <w:szCs w:val="24"/>
        </w:rPr>
        <w:t>No. 487 del 26 de julio de 2013</w:t>
      </w:r>
      <w:r w:rsidR="00205910" w:rsidRPr="009944E8">
        <w:rPr>
          <w:rFonts w:ascii="Arial" w:hAnsi="Arial" w:cs="Arial"/>
          <w:bCs/>
          <w:sz w:val="24"/>
          <w:szCs w:val="24"/>
        </w:rPr>
        <w:t>,</w:t>
      </w:r>
      <w:r w:rsidRPr="009944E8">
        <w:rPr>
          <w:rFonts w:ascii="Arial" w:hAnsi="Arial" w:cs="Arial"/>
          <w:bCs/>
          <w:sz w:val="24"/>
          <w:szCs w:val="24"/>
        </w:rPr>
        <w:t xml:space="preserve"> ordenó la apertura de la Licitación Pública No. SPC-LP-03-2013, </w:t>
      </w:r>
      <w:r w:rsidR="006B1CCD" w:rsidRPr="009944E8">
        <w:rPr>
          <w:rFonts w:ascii="Arial" w:hAnsi="Arial" w:cs="Arial"/>
          <w:bCs/>
          <w:sz w:val="24"/>
          <w:szCs w:val="24"/>
        </w:rPr>
        <w:t xml:space="preserve">cuyo objeto </w:t>
      </w:r>
      <w:r w:rsidR="00205910" w:rsidRPr="009944E8">
        <w:rPr>
          <w:rFonts w:ascii="Arial" w:hAnsi="Arial" w:cs="Arial"/>
          <w:bCs/>
          <w:sz w:val="24"/>
          <w:szCs w:val="24"/>
        </w:rPr>
        <w:t>consistió en</w:t>
      </w:r>
      <w:r w:rsidRPr="009944E8">
        <w:rPr>
          <w:rFonts w:ascii="Arial" w:hAnsi="Arial" w:cs="Arial"/>
          <w:bCs/>
          <w:sz w:val="24"/>
          <w:szCs w:val="24"/>
        </w:rPr>
        <w:t xml:space="preserve"> </w:t>
      </w:r>
      <w:r w:rsidRPr="009944E8">
        <w:rPr>
          <w:rFonts w:ascii="Arial" w:hAnsi="Arial" w:cs="Arial"/>
          <w:bCs/>
          <w:i/>
          <w:sz w:val="24"/>
          <w:szCs w:val="24"/>
        </w:rPr>
        <w:t>“</w:t>
      </w:r>
      <w:r w:rsidR="006B1CCD" w:rsidRPr="009944E8">
        <w:rPr>
          <w:rFonts w:ascii="Arial" w:hAnsi="Arial" w:cs="Arial"/>
          <w:bCs/>
          <w:i/>
          <w:sz w:val="24"/>
          <w:szCs w:val="24"/>
        </w:rPr>
        <w:t>seleccionar el (los) contratista (s) que suministrará (n) y prestará (n) el servicio de alimentación por el sistema de ración, para la atención de los internos de los centros de reclusión del orden nacional del Instituto Nacional Penitenciario y Carcelario INPEC”.</w:t>
      </w:r>
    </w:p>
    <w:p w14:paraId="0B6FBC16" w14:textId="77777777" w:rsidR="00E23B08" w:rsidRPr="009944E8" w:rsidRDefault="00E23B08" w:rsidP="009944E8">
      <w:pPr>
        <w:pStyle w:val="Sinespaciado"/>
      </w:pPr>
    </w:p>
    <w:p w14:paraId="588F5A61" w14:textId="77777777" w:rsidR="0045793B" w:rsidRPr="009944E8" w:rsidRDefault="00E23B08" w:rsidP="009944E8">
      <w:pPr>
        <w:spacing w:line="360" w:lineRule="auto"/>
        <w:jc w:val="both"/>
        <w:rPr>
          <w:rFonts w:ascii="Arial" w:hAnsi="Arial" w:cs="Arial"/>
          <w:bCs/>
          <w:sz w:val="24"/>
          <w:szCs w:val="24"/>
        </w:rPr>
      </w:pPr>
      <w:r w:rsidRPr="009944E8">
        <w:rPr>
          <w:rFonts w:ascii="Arial" w:hAnsi="Arial" w:cs="Arial"/>
          <w:bCs/>
          <w:sz w:val="24"/>
          <w:szCs w:val="24"/>
        </w:rPr>
        <w:t xml:space="preserve">Cuenta el libelo que la </w:t>
      </w:r>
      <w:r w:rsidR="003A5F18" w:rsidRPr="009944E8">
        <w:rPr>
          <w:rFonts w:ascii="Arial" w:hAnsi="Arial" w:cs="Arial"/>
          <w:bCs/>
          <w:sz w:val="24"/>
          <w:szCs w:val="24"/>
        </w:rPr>
        <w:t xml:space="preserve">Cooperativa Multiactiva </w:t>
      </w:r>
      <w:proofErr w:type="spellStart"/>
      <w:r w:rsidR="003A5F18" w:rsidRPr="009944E8">
        <w:rPr>
          <w:rFonts w:ascii="Arial" w:hAnsi="Arial" w:cs="Arial"/>
          <w:bCs/>
          <w:sz w:val="24"/>
          <w:szCs w:val="24"/>
        </w:rPr>
        <w:t>Surcolombiana</w:t>
      </w:r>
      <w:proofErr w:type="spellEnd"/>
      <w:r w:rsidR="003A5F18" w:rsidRPr="009944E8">
        <w:rPr>
          <w:rFonts w:ascii="Arial" w:hAnsi="Arial" w:cs="Arial"/>
          <w:bCs/>
          <w:sz w:val="24"/>
          <w:szCs w:val="24"/>
        </w:rPr>
        <w:t xml:space="preserve"> de Inversiones</w:t>
      </w:r>
      <w:r w:rsidR="0045793B" w:rsidRPr="009944E8">
        <w:rPr>
          <w:rFonts w:ascii="Arial" w:hAnsi="Arial" w:cs="Arial"/>
          <w:bCs/>
          <w:sz w:val="24"/>
          <w:szCs w:val="24"/>
        </w:rPr>
        <w:t xml:space="preserve"> presentó propuesta para los grupos 6, 13 y 23</w:t>
      </w:r>
      <w:r w:rsidRPr="009944E8">
        <w:rPr>
          <w:rFonts w:ascii="Arial" w:hAnsi="Arial" w:cs="Arial"/>
          <w:bCs/>
          <w:sz w:val="24"/>
          <w:szCs w:val="24"/>
        </w:rPr>
        <w:t>,</w:t>
      </w:r>
      <w:r w:rsidR="0045793B" w:rsidRPr="009944E8">
        <w:rPr>
          <w:rFonts w:ascii="Arial" w:hAnsi="Arial" w:cs="Arial"/>
          <w:bCs/>
          <w:sz w:val="24"/>
          <w:szCs w:val="24"/>
        </w:rPr>
        <w:t xml:space="preserve"> respecto de la cual en el informe técnico de 16 de septiembre de 2013 se solicitó </w:t>
      </w:r>
      <w:r w:rsidR="00205910" w:rsidRPr="009944E8">
        <w:rPr>
          <w:rFonts w:ascii="Arial" w:hAnsi="Arial" w:cs="Arial"/>
          <w:bCs/>
          <w:sz w:val="24"/>
          <w:szCs w:val="24"/>
        </w:rPr>
        <w:t xml:space="preserve">que </w:t>
      </w:r>
      <w:r w:rsidR="00681844" w:rsidRPr="009944E8">
        <w:rPr>
          <w:rFonts w:ascii="Arial" w:hAnsi="Arial" w:cs="Arial"/>
          <w:bCs/>
          <w:sz w:val="24"/>
          <w:szCs w:val="24"/>
        </w:rPr>
        <w:t>se aclararan las certificaciones con las cuales se pretendía acreditar la experiencia mínima exigida en los pliegos de condiciones.</w:t>
      </w:r>
    </w:p>
    <w:p w14:paraId="0E8B1288" w14:textId="77777777" w:rsidR="00E23B08" w:rsidRPr="009944E8" w:rsidRDefault="00E23B08" w:rsidP="009944E8">
      <w:pPr>
        <w:pStyle w:val="Sinespaciado"/>
      </w:pPr>
    </w:p>
    <w:p w14:paraId="0852B657" w14:textId="77777777" w:rsidR="00E23B08" w:rsidRPr="009944E8" w:rsidRDefault="00E23B08" w:rsidP="009944E8">
      <w:pPr>
        <w:spacing w:line="360" w:lineRule="auto"/>
        <w:jc w:val="both"/>
        <w:rPr>
          <w:rFonts w:ascii="Arial" w:hAnsi="Arial" w:cs="Arial"/>
          <w:bCs/>
          <w:sz w:val="24"/>
          <w:szCs w:val="24"/>
        </w:rPr>
      </w:pPr>
      <w:r w:rsidRPr="009944E8">
        <w:rPr>
          <w:rFonts w:ascii="Arial" w:hAnsi="Arial" w:cs="Arial"/>
          <w:bCs/>
          <w:sz w:val="24"/>
          <w:szCs w:val="24"/>
        </w:rPr>
        <w:t xml:space="preserve">Se mencionó </w:t>
      </w:r>
      <w:r w:rsidR="00681844" w:rsidRPr="009944E8">
        <w:rPr>
          <w:rFonts w:ascii="Arial" w:hAnsi="Arial" w:cs="Arial"/>
          <w:bCs/>
          <w:sz w:val="24"/>
          <w:szCs w:val="24"/>
        </w:rPr>
        <w:t>que</w:t>
      </w:r>
      <w:r w:rsidR="00205910" w:rsidRPr="009944E8">
        <w:rPr>
          <w:rFonts w:ascii="Arial" w:hAnsi="Arial" w:cs="Arial"/>
          <w:bCs/>
          <w:sz w:val="24"/>
          <w:szCs w:val="24"/>
        </w:rPr>
        <w:t>,</w:t>
      </w:r>
      <w:r w:rsidRPr="009944E8">
        <w:rPr>
          <w:rFonts w:ascii="Arial" w:hAnsi="Arial" w:cs="Arial"/>
          <w:bCs/>
          <w:sz w:val="24"/>
          <w:szCs w:val="24"/>
        </w:rPr>
        <w:t xml:space="preserve"> </w:t>
      </w:r>
      <w:r w:rsidR="00681844" w:rsidRPr="009944E8">
        <w:rPr>
          <w:rFonts w:ascii="Arial" w:hAnsi="Arial" w:cs="Arial"/>
          <w:bCs/>
          <w:sz w:val="24"/>
          <w:szCs w:val="24"/>
        </w:rPr>
        <w:t xml:space="preserve">mediante oficio del 20 de septiembre de 2013, </w:t>
      </w:r>
      <w:r w:rsidR="00CA4376" w:rsidRPr="009944E8">
        <w:rPr>
          <w:rFonts w:ascii="Arial" w:hAnsi="Arial" w:cs="Arial"/>
          <w:bCs/>
          <w:sz w:val="24"/>
          <w:szCs w:val="24"/>
        </w:rPr>
        <w:t>la cooperativa</w:t>
      </w:r>
      <w:r w:rsidR="00681844" w:rsidRPr="009944E8">
        <w:rPr>
          <w:rFonts w:ascii="Arial" w:hAnsi="Arial" w:cs="Arial"/>
          <w:bCs/>
          <w:sz w:val="24"/>
          <w:szCs w:val="24"/>
        </w:rPr>
        <w:t xml:space="preserve"> demandante radicó la aclaración solic</w:t>
      </w:r>
      <w:r w:rsidR="00BD70F8" w:rsidRPr="009944E8">
        <w:rPr>
          <w:rFonts w:ascii="Arial" w:hAnsi="Arial" w:cs="Arial"/>
          <w:bCs/>
          <w:sz w:val="24"/>
          <w:szCs w:val="24"/>
        </w:rPr>
        <w:t>itada por el evaluador técnico y</w:t>
      </w:r>
      <w:r w:rsidR="008D2A29" w:rsidRPr="009944E8">
        <w:rPr>
          <w:rFonts w:ascii="Arial" w:hAnsi="Arial" w:cs="Arial"/>
          <w:bCs/>
          <w:sz w:val="24"/>
          <w:szCs w:val="24"/>
        </w:rPr>
        <w:t>,</w:t>
      </w:r>
      <w:r w:rsidR="00BD70F8" w:rsidRPr="009944E8">
        <w:rPr>
          <w:rFonts w:ascii="Arial" w:hAnsi="Arial" w:cs="Arial"/>
          <w:bCs/>
          <w:sz w:val="24"/>
          <w:szCs w:val="24"/>
        </w:rPr>
        <w:t xml:space="preserve"> </w:t>
      </w:r>
      <w:r w:rsidR="00681844" w:rsidRPr="009944E8">
        <w:rPr>
          <w:rFonts w:ascii="Arial" w:hAnsi="Arial" w:cs="Arial"/>
          <w:bCs/>
          <w:sz w:val="24"/>
          <w:szCs w:val="24"/>
        </w:rPr>
        <w:t>a su vez, anexó las certificaciones requeridas, al igual que otros documentos que permitían desp</w:t>
      </w:r>
      <w:r w:rsidR="00C10A65" w:rsidRPr="009944E8">
        <w:rPr>
          <w:rFonts w:ascii="Arial" w:hAnsi="Arial" w:cs="Arial"/>
          <w:bCs/>
          <w:sz w:val="24"/>
          <w:szCs w:val="24"/>
        </w:rPr>
        <w:t>eja</w:t>
      </w:r>
      <w:r w:rsidR="00681844" w:rsidRPr="009944E8">
        <w:rPr>
          <w:rFonts w:ascii="Arial" w:hAnsi="Arial" w:cs="Arial"/>
          <w:bCs/>
          <w:sz w:val="24"/>
          <w:szCs w:val="24"/>
        </w:rPr>
        <w:t xml:space="preserve">r cualquier duda respecto de los </w:t>
      </w:r>
      <w:r w:rsidR="00C10A65" w:rsidRPr="009944E8">
        <w:rPr>
          <w:rFonts w:ascii="Arial" w:hAnsi="Arial" w:cs="Arial"/>
          <w:bCs/>
          <w:sz w:val="24"/>
          <w:szCs w:val="24"/>
        </w:rPr>
        <w:t>contratos celebrados con el objeto de proveer servicios de alimentación.</w:t>
      </w:r>
    </w:p>
    <w:p w14:paraId="6829CD4B" w14:textId="77777777" w:rsidR="00681844" w:rsidRPr="009944E8" w:rsidRDefault="00681844" w:rsidP="009944E8">
      <w:pPr>
        <w:pStyle w:val="Sinespaciado"/>
      </w:pPr>
    </w:p>
    <w:p w14:paraId="26B59E19" w14:textId="77777777" w:rsidR="00E23B08" w:rsidRPr="009944E8" w:rsidRDefault="00E23B08" w:rsidP="009944E8">
      <w:pPr>
        <w:spacing w:line="360" w:lineRule="auto"/>
        <w:jc w:val="both"/>
        <w:rPr>
          <w:rFonts w:ascii="Arial" w:hAnsi="Arial" w:cs="Arial"/>
          <w:sz w:val="24"/>
          <w:szCs w:val="24"/>
        </w:rPr>
      </w:pPr>
      <w:r w:rsidRPr="009944E8">
        <w:rPr>
          <w:rFonts w:ascii="Arial" w:hAnsi="Arial" w:cs="Arial"/>
          <w:bCs/>
          <w:sz w:val="24"/>
          <w:szCs w:val="24"/>
        </w:rPr>
        <w:t>Se indicó que la adjudicación de la licitación se realiz</w:t>
      </w:r>
      <w:r w:rsidR="00FE3D00" w:rsidRPr="009944E8">
        <w:rPr>
          <w:rFonts w:ascii="Arial" w:hAnsi="Arial" w:cs="Arial"/>
          <w:bCs/>
          <w:sz w:val="24"/>
          <w:szCs w:val="24"/>
        </w:rPr>
        <w:t>ó</w:t>
      </w:r>
      <w:r w:rsidRPr="009944E8">
        <w:rPr>
          <w:rFonts w:ascii="Arial" w:hAnsi="Arial" w:cs="Arial"/>
          <w:bCs/>
          <w:sz w:val="24"/>
          <w:szCs w:val="24"/>
        </w:rPr>
        <w:t xml:space="preserve"> a través de audiencia pública, diligencia que se llevó a cabo </w:t>
      </w:r>
      <w:r w:rsidRPr="009944E8">
        <w:rPr>
          <w:rFonts w:ascii="Arial" w:hAnsi="Arial" w:cs="Arial"/>
          <w:sz w:val="24"/>
          <w:szCs w:val="24"/>
        </w:rPr>
        <w:t xml:space="preserve">el </w:t>
      </w:r>
      <w:r w:rsidR="00A5561A" w:rsidRPr="009944E8">
        <w:rPr>
          <w:rFonts w:ascii="Arial" w:hAnsi="Arial" w:cs="Arial"/>
          <w:sz w:val="24"/>
          <w:szCs w:val="24"/>
        </w:rPr>
        <w:t>4 de octubre de 2013</w:t>
      </w:r>
      <w:r w:rsidRPr="009944E8">
        <w:rPr>
          <w:rFonts w:ascii="Arial" w:hAnsi="Arial" w:cs="Arial"/>
          <w:sz w:val="24"/>
          <w:szCs w:val="24"/>
        </w:rPr>
        <w:t xml:space="preserve"> y en la que se tomó la determinación </w:t>
      </w:r>
      <w:r w:rsidR="008D2A29" w:rsidRPr="009944E8">
        <w:rPr>
          <w:rFonts w:ascii="Arial" w:hAnsi="Arial" w:cs="Arial"/>
          <w:sz w:val="24"/>
          <w:szCs w:val="24"/>
        </w:rPr>
        <w:t>de descalificar la propuesta de</w:t>
      </w:r>
      <w:r w:rsidRPr="009944E8">
        <w:rPr>
          <w:rFonts w:ascii="Arial" w:hAnsi="Arial" w:cs="Arial"/>
          <w:sz w:val="24"/>
          <w:szCs w:val="24"/>
        </w:rPr>
        <w:t xml:space="preserve"> </w:t>
      </w:r>
      <w:r w:rsidR="008D2A29" w:rsidRPr="009944E8">
        <w:rPr>
          <w:rFonts w:ascii="Arial" w:hAnsi="Arial" w:cs="Arial"/>
          <w:spacing w:val="2"/>
          <w:sz w:val="24"/>
          <w:szCs w:val="24"/>
        </w:rPr>
        <w:t xml:space="preserve">la Cooperativa Multiactiva </w:t>
      </w:r>
      <w:proofErr w:type="spellStart"/>
      <w:r w:rsidR="008D2A29" w:rsidRPr="009944E8">
        <w:rPr>
          <w:rFonts w:ascii="Arial" w:hAnsi="Arial" w:cs="Arial"/>
          <w:spacing w:val="2"/>
          <w:sz w:val="24"/>
          <w:szCs w:val="24"/>
        </w:rPr>
        <w:t>Surcolombiana</w:t>
      </w:r>
      <w:proofErr w:type="spellEnd"/>
      <w:r w:rsidR="008D2A29" w:rsidRPr="009944E8">
        <w:rPr>
          <w:rFonts w:ascii="Arial" w:hAnsi="Arial" w:cs="Arial"/>
          <w:spacing w:val="2"/>
          <w:sz w:val="24"/>
          <w:szCs w:val="24"/>
        </w:rPr>
        <w:t xml:space="preserve"> de Inversiones</w:t>
      </w:r>
      <w:r w:rsidR="008D2A29" w:rsidRPr="009944E8">
        <w:rPr>
          <w:rFonts w:ascii="Arial" w:hAnsi="Arial" w:cs="Arial"/>
          <w:sz w:val="24"/>
          <w:szCs w:val="24"/>
        </w:rPr>
        <w:t xml:space="preserve"> </w:t>
      </w:r>
      <w:r w:rsidR="00A5561A" w:rsidRPr="009944E8">
        <w:rPr>
          <w:rFonts w:ascii="Arial" w:hAnsi="Arial" w:cs="Arial"/>
          <w:sz w:val="24"/>
          <w:szCs w:val="24"/>
        </w:rPr>
        <w:t>para los grupos 13 y 23</w:t>
      </w:r>
      <w:r w:rsidRPr="009944E8">
        <w:rPr>
          <w:rFonts w:ascii="Arial" w:hAnsi="Arial" w:cs="Arial"/>
          <w:sz w:val="24"/>
          <w:szCs w:val="24"/>
        </w:rPr>
        <w:t>,</w:t>
      </w:r>
      <w:r w:rsidR="00BD70F8" w:rsidRPr="009944E8">
        <w:rPr>
          <w:rFonts w:ascii="Arial" w:hAnsi="Arial" w:cs="Arial"/>
          <w:sz w:val="24"/>
          <w:szCs w:val="24"/>
        </w:rPr>
        <w:t xml:space="preserve"> decisión que se adoptó</w:t>
      </w:r>
      <w:r w:rsidRPr="009944E8">
        <w:rPr>
          <w:rFonts w:ascii="Arial" w:hAnsi="Arial" w:cs="Arial"/>
          <w:sz w:val="24"/>
          <w:szCs w:val="24"/>
        </w:rPr>
        <w:t xml:space="preserve"> con sustento en que existían inconsistencias en ésta y, a su vez, se </w:t>
      </w:r>
      <w:r w:rsidR="00A5561A" w:rsidRPr="009944E8">
        <w:rPr>
          <w:rFonts w:ascii="Arial" w:hAnsi="Arial" w:cs="Arial"/>
          <w:sz w:val="24"/>
          <w:szCs w:val="24"/>
        </w:rPr>
        <w:t xml:space="preserve">adjudicaron dichos grupos al consorcio </w:t>
      </w:r>
      <w:proofErr w:type="spellStart"/>
      <w:r w:rsidR="00A5561A" w:rsidRPr="009944E8">
        <w:rPr>
          <w:rFonts w:ascii="Arial" w:hAnsi="Arial" w:cs="Arial"/>
          <w:sz w:val="24"/>
          <w:szCs w:val="24"/>
        </w:rPr>
        <w:t>Alimesa</w:t>
      </w:r>
      <w:proofErr w:type="spellEnd"/>
      <w:r w:rsidRPr="009944E8">
        <w:rPr>
          <w:rFonts w:ascii="Arial" w:hAnsi="Arial" w:cs="Arial"/>
          <w:sz w:val="24"/>
          <w:szCs w:val="24"/>
        </w:rPr>
        <w:t xml:space="preserve">, para lo cual se expidió Resolución No. </w:t>
      </w:r>
      <w:r w:rsidR="00A5561A" w:rsidRPr="009944E8">
        <w:rPr>
          <w:rFonts w:ascii="Arial" w:hAnsi="Arial" w:cs="Arial"/>
          <w:sz w:val="24"/>
          <w:szCs w:val="24"/>
        </w:rPr>
        <w:t>000662</w:t>
      </w:r>
      <w:r w:rsidRPr="009944E8">
        <w:rPr>
          <w:rFonts w:ascii="Arial" w:hAnsi="Arial" w:cs="Arial"/>
          <w:sz w:val="24"/>
          <w:szCs w:val="24"/>
        </w:rPr>
        <w:t xml:space="preserve"> de la misma fecha.</w:t>
      </w:r>
    </w:p>
    <w:p w14:paraId="207EF57B" w14:textId="77777777" w:rsidR="00A5561A" w:rsidRPr="009944E8" w:rsidRDefault="00A5561A" w:rsidP="009944E8">
      <w:pPr>
        <w:pStyle w:val="Sinespaciado"/>
      </w:pPr>
    </w:p>
    <w:p w14:paraId="419C45B4" w14:textId="77777777" w:rsidR="00A5561A" w:rsidRPr="009944E8" w:rsidRDefault="00A5561A" w:rsidP="009944E8">
      <w:pPr>
        <w:spacing w:line="360" w:lineRule="auto"/>
        <w:jc w:val="both"/>
        <w:rPr>
          <w:rFonts w:ascii="Arial" w:hAnsi="Arial" w:cs="Arial"/>
          <w:sz w:val="24"/>
          <w:szCs w:val="24"/>
        </w:rPr>
      </w:pPr>
      <w:r w:rsidRPr="009944E8">
        <w:rPr>
          <w:rFonts w:ascii="Arial" w:hAnsi="Arial" w:cs="Arial"/>
          <w:sz w:val="24"/>
          <w:szCs w:val="24"/>
        </w:rPr>
        <w:t xml:space="preserve">En auto de 20 de febrero de 2015, el Tribunal Administrativo del Huila admitió la demanda y ordenó notificar personalmente dicha providencia a la entidad </w:t>
      </w:r>
      <w:r w:rsidRPr="009944E8">
        <w:rPr>
          <w:rFonts w:ascii="Arial" w:hAnsi="Arial" w:cs="Arial"/>
          <w:sz w:val="24"/>
          <w:szCs w:val="24"/>
        </w:rPr>
        <w:lastRenderedPageBreak/>
        <w:t>demandada, al Ministerio Público y a la Agencia Nacional de Defensa Jurídica del Estado</w:t>
      </w:r>
      <w:r w:rsidRPr="009944E8">
        <w:rPr>
          <w:rStyle w:val="Refdenotaalpie"/>
          <w:rFonts w:ascii="Arial" w:hAnsi="Arial" w:cs="Arial"/>
          <w:sz w:val="24"/>
          <w:szCs w:val="24"/>
        </w:rPr>
        <w:footnoteReference w:id="2"/>
      </w:r>
      <w:r w:rsidRPr="009944E8">
        <w:rPr>
          <w:rFonts w:ascii="Arial" w:hAnsi="Arial" w:cs="Arial"/>
          <w:sz w:val="24"/>
          <w:szCs w:val="24"/>
        </w:rPr>
        <w:t>.</w:t>
      </w:r>
    </w:p>
    <w:p w14:paraId="232AD1F3" w14:textId="77777777" w:rsidR="009944E8" w:rsidRPr="009944E8" w:rsidRDefault="009944E8" w:rsidP="009944E8">
      <w:pPr>
        <w:pStyle w:val="Sinespaciado"/>
      </w:pPr>
    </w:p>
    <w:p w14:paraId="3CC51CA9" w14:textId="77777777" w:rsidR="00EA4AD6" w:rsidRPr="009944E8" w:rsidRDefault="009944E8" w:rsidP="009944E8">
      <w:pPr>
        <w:spacing w:line="360" w:lineRule="auto"/>
        <w:jc w:val="both"/>
        <w:rPr>
          <w:rFonts w:ascii="Arial" w:hAnsi="Arial" w:cs="Arial"/>
          <w:sz w:val="24"/>
          <w:szCs w:val="24"/>
        </w:rPr>
      </w:pPr>
      <w:r>
        <w:rPr>
          <w:rFonts w:ascii="Arial" w:hAnsi="Arial" w:cs="Arial"/>
          <w:b/>
          <w:spacing w:val="2"/>
          <w:sz w:val="24"/>
          <w:szCs w:val="24"/>
        </w:rPr>
        <w:t>2. Contestación de la demanda</w:t>
      </w:r>
    </w:p>
    <w:p w14:paraId="70E960E0" w14:textId="77777777" w:rsidR="00EA4AD6" w:rsidRPr="009944E8" w:rsidRDefault="00EA4AD6" w:rsidP="009944E8">
      <w:pPr>
        <w:pStyle w:val="Sinespaciado"/>
      </w:pPr>
    </w:p>
    <w:p w14:paraId="44365747" w14:textId="77777777" w:rsidR="00C46574" w:rsidRPr="009944E8" w:rsidRDefault="00ED7FD7" w:rsidP="009944E8">
      <w:pPr>
        <w:spacing w:line="360" w:lineRule="auto"/>
        <w:jc w:val="both"/>
        <w:rPr>
          <w:rFonts w:ascii="Arial" w:hAnsi="Arial" w:cs="Arial"/>
          <w:sz w:val="24"/>
          <w:szCs w:val="24"/>
        </w:rPr>
      </w:pPr>
      <w:r w:rsidRPr="009944E8">
        <w:rPr>
          <w:rFonts w:ascii="Arial" w:hAnsi="Arial" w:cs="Arial"/>
          <w:sz w:val="24"/>
          <w:szCs w:val="24"/>
        </w:rPr>
        <w:t>La Unidad Administrativa Especial de Servicios Penitenciarios y Carcelarios</w:t>
      </w:r>
      <w:r w:rsidR="00EA4AD6" w:rsidRPr="009944E8">
        <w:rPr>
          <w:rStyle w:val="Refdenotaalpie"/>
          <w:rFonts w:ascii="Arial" w:hAnsi="Arial" w:cs="Arial"/>
          <w:sz w:val="24"/>
          <w:szCs w:val="24"/>
        </w:rPr>
        <w:footnoteReference w:id="3"/>
      </w:r>
      <w:r w:rsidR="00EA4AD6" w:rsidRPr="009944E8">
        <w:rPr>
          <w:rFonts w:ascii="Arial" w:hAnsi="Arial" w:cs="Arial"/>
          <w:sz w:val="24"/>
          <w:szCs w:val="24"/>
        </w:rPr>
        <w:t xml:space="preserve"> dio contestación al libelo para oponerse a las pretensiones. Como fundamento de su inconformidad señaló que </w:t>
      </w:r>
      <w:r w:rsidR="00C46574" w:rsidRPr="009944E8">
        <w:rPr>
          <w:rFonts w:ascii="Arial" w:hAnsi="Arial" w:cs="Arial"/>
          <w:sz w:val="24"/>
          <w:szCs w:val="24"/>
        </w:rPr>
        <w:t>el pliego de condiciones era claro, serio, completo, justo y objetivo al señalar los ítems objeto de calificación y el procedimiento establecido para la ponderación de las propuestas. De igual manera agregó que la propuesta elegida</w:t>
      </w:r>
      <w:r w:rsidR="00CA4376" w:rsidRPr="009944E8">
        <w:rPr>
          <w:rFonts w:ascii="Arial" w:hAnsi="Arial" w:cs="Arial"/>
          <w:sz w:val="24"/>
          <w:szCs w:val="24"/>
        </w:rPr>
        <w:t>,</w:t>
      </w:r>
      <w:r w:rsidR="00C46574" w:rsidRPr="009944E8">
        <w:rPr>
          <w:rFonts w:ascii="Arial" w:hAnsi="Arial" w:cs="Arial"/>
          <w:sz w:val="24"/>
          <w:szCs w:val="24"/>
        </w:rPr>
        <w:t xml:space="preserve"> </w:t>
      </w:r>
      <w:r w:rsidR="006B3895" w:rsidRPr="009944E8">
        <w:rPr>
          <w:rFonts w:ascii="Arial" w:hAnsi="Arial" w:cs="Arial"/>
          <w:sz w:val="24"/>
          <w:szCs w:val="24"/>
        </w:rPr>
        <w:t>en los factores objetivos de comparación económica</w:t>
      </w:r>
      <w:r w:rsidR="00CA4376" w:rsidRPr="009944E8">
        <w:rPr>
          <w:rFonts w:ascii="Arial" w:hAnsi="Arial" w:cs="Arial"/>
          <w:sz w:val="24"/>
          <w:szCs w:val="24"/>
        </w:rPr>
        <w:t>,</w:t>
      </w:r>
      <w:r w:rsidR="006B3895" w:rsidRPr="009944E8">
        <w:rPr>
          <w:rFonts w:ascii="Arial" w:hAnsi="Arial" w:cs="Arial"/>
          <w:sz w:val="24"/>
          <w:szCs w:val="24"/>
        </w:rPr>
        <w:t xml:space="preserve"> </w:t>
      </w:r>
      <w:r w:rsidR="00C46574" w:rsidRPr="009944E8">
        <w:rPr>
          <w:rFonts w:ascii="Arial" w:hAnsi="Arial" w:cs="Arial"/>
          <w:sz w:val="24"/>
          <w:szCs w:val="24"/>
        </w:rPr>
        <w:t xml:space="preserve">se </w:t>
      </w:r>
      <w:r w:rsidR="006B3895" w:rsidRPr="009944E8">
        <w:rPr>
          <w:rFonts w:ascii="Arial" w:hAnsi="Arial" w:cs="Arial"/>
          <w:sz w:val="24"/>
          <w:szCs w:val="24"/>
        </w:rPr>
        <w:t xml:space="preserve">encontraba muy por encima de la oferta de la Cooperativa Multiactiva </w:t>
      </w:r>
      <w:proofErr w:type="spellStart"/>
      <w:r w:rsidR="006B3895" w:rsidRPr="009944E8">
        <w:rPr>
          <w:rFonts w:ascii="Arial" w:hAnsi="Arial" w:cs="Arial"/>
          <w:sz w:val="24"/>
          <w:szCs w:val="24"/>
        </w:rPr>
        <w:t>Surcolombiana</w:t>
      </w:r>
      <w:proofErr w:type="spellEnd"/>
      <w:r w:rsidR="006B3895" w:rsidRPr="009944E8">
        <w:rPr>
          <w:rFonts w:ascii="Arial" w:hAnsi="Arial" w:cs="Arial"/>
          <w:sz w:val="24"/>
          <w:szCs w:val="24"/>
        </w:rPr>
        <w:t xml:space="preserve"> de Inversiones Ltda.</w:t>
      </w:r>
    </w:p>
    <w:p w14:paraId="73BF19D4" w14:textId="77777777" w:rsidR="00EA4AD6" w:rsidRPr="009944E8" w:rsidRDefault="00EA4AD6" w:rsidP="009944E8">
      <w:pPr>
        <w:pStyle w:val="Sinespaciado"/>
      </w:pPr>
    </w:p>
    <w:p w14:paraId="054ECE75" w14:textId="77777777" w:rsidR="00EA4AD6" w:rsidRPr="009944E8" w:rsidRDefault="009944E8" w:rsidP="009944E8">
      <w:pPr>
        <w:spacing w:line="360" w:lineRule="auto"/>
        <w:jc w:val="both"/>
        <w:rPr>
          <w:rFonts w:ascii="Arial" w:hAnsi="Arial" w:cs="Arial"/>
          <w:b/>
          <w:sz w:val="24"/>
          <w:szCs w:val="24"/>
        </w:rPr>
      </w:pPr>
      <w:r>
        <w:rPr>
          <w:rFonts w:ascii="Arial" w:hAnsi="Arial" w:cs="Arial"/>
          <w:b/>
          <w:sz w:val="24"/>
          <w:szCs w:val="24"/>
        </w:rPr>
        <w:t>3. La decisión apelada</w:t>
      </w:r>
    </w:p>
    <w:p w14:paraId="3B531C78" w14:textId="77777777" w:rsidR="00EA4AD6" w:rsidRPr="009944E8" w:rsidRDefault="00EA4AD6" w:rsidP="009944E8">
      <w:pPr>
        <w:pStyle w:val="Sinespaciado"/>
      </w:pPr>
    </w:p>
    <w:p w14:paraId="7E7809BF" w14:textId="77777777" w:rsidR="00EA4AD6" w:rsidRPr="009944E8" w:rsidRDefault="00EA4AD6" w:rsidP="009944E8">
      <w:pPr>
        <w:spacing w:line="360" w:lineRule="auto"/>
        <w:jc w:val="both"/>
        <w:rPr>
          <w:rFonts w:ascii="Arial" w:hAnsi="Arial" w:cs="Arial"/>
          <w:spacing w:val="-3"/>
          <w:sz w:val="24"/>
          <w:szCs w:val="24"/>
        </w:rPr>
      </w:pPr>
      <w:r w:rsidRPr="009944E8">
        <w:rPr>
          <w:rFonts w:ascii="Arial" w:hAnsi="Arial" w:cs="Arial"/>
          <w:spacing w:val="-3"/>
          <w:sz w:val="24"/>
          <w:szCs w:val="24"/>
        </w:rPr>
        <w:t xml:space="preserve">Una vez vencido el término de que trata el artículo 172 del Código de Procedimiento Administrativo y de lo Contencioso Administrativo, el Tribunal </w:t>
      </w:r>
      <w:r w:rsidRPr="009944E8">
        <w:rPr>
          <w:rFonts w:ascii="Arial" w:hAnsi="Arial" w:cs="Arial"/>
          <w:i/>
          <w:spacing w:val="-3"/>
          <w:sz w:val="24"/>
          <w:szCs w:val="24"/>
        </w:rPr>
        <w:t>a-quo,</w:t>
      </w:r>
      <w:r w:rsidRPr="009944E8">
        <w:rPr>
          <w:rFonts w:ascii="Arial" w:hAnsi="Arial" w:cs="Arial"/>
          <w:spacing w:val="-3"/>
          <w:sz w:val="24"/>
          <w:szCs w:val="24"/>
        </w:rPr>
        <w:t xml:space="preserve"> en auto del </w:t>
      </w:r>
      <w:r w:rsidR="00FA7F16" w:rsidRPr="009944E8">
        <w:rPr>
          <w:rFonts w:ascii="Arial" w:hAnsi="Arial" w:cs="Arial"/>
          <w:spacing w:val="-3"/>
          <w:sz w:val="24"/>
          <w:szCs w:val="24"/>
        </w:rPr>
        <w:t>2 de febrero de 2016</w:t>
      </w:r>
      <w:r w:rsidRPr="009944E8">
        <w:rPr>
          <w:rStyle w:val="Refdenotaalpie"/>
          <w:rFonts w:ascii="Arial" w:hAnsi="Arial" w:cs="Arial"/>
          <w:spacing w:val="-3"/>
          <w:sz w:val="24"/>
          <w:szCs w:val="24"/>
        </w:rPr>
        <w:footnoteReference w:id="4"/>
      </w:r>
      <w:r w:rsidRPr="009944E8">
        <w:rPr>
          <w:rFonts w:ascii="Arial" w:hAnsi="Arial" w:cs="Arial"/>
          <w:spacing w:val="-3"/>
          <w:sz w:val="24"/>
          <w:szCs w:val="24"/>
        </w:rPr>
        <w:t>, fijó la fecha para llevar a cabo la audiencia inicial del proceso</w:t>
      </w:r>
      <w:r w:rsidR="00205910" w:rsidRPr="009944E8">
        <w:rPr>
          <w:rFonts w:ascii="Arial" w:hAnsi="Arial" w:cs="Arial"/>
          <w:spacing w:val="-3"/>
          <w:sz w:val="24"/>
          <w:szCs w:val="24"/>
        </w:rPr>
        <w:t>,</w:t>
      </w:r>
      <w:r w:rsidRPr="009944E8">
        <w:rPr>
          <w:rFonts w:ascii="Arial" w:hAnsi="Arial" w:cs="Arial"/>
          <w:spacing w:val="-3"/>
          <w:sz w:val="24"/>
          <w:szCs w:val="24"/>
        </w:rPr>
        <w:t xml:space="preserve"> de conformidad con lo previsto en el artículo 180 </w:t>
      </w:r>
      <w:proofErr w:type="spellStart"/>
      <w:r w:rsidRPr="009944E8">
        <w:rPr>
          <w:rFonts w:ascii="Arial" w:hAnsi="Arial" w:cs="Arial"/>
          <w:i/>
          <w:spacing w:val="-3"/>
          <w:sz w:val="24"/>
          <w:szCs w:val="24"/>
        </w:rPr>
        <w:t>ibídem</w:t>
      </w:r>
      <w:proofErr w:type="spellEnd"/>
      <w:r w:rsidRPr="009944E8">
        <w:rPr>
          <w:rFonts w:ascii="Arial" w:hAnsi="Arial" w:cs="Arial"/>
          <w:spacing w:val="-3"/>
          <w:sz w:val="24"/>
          <w:szCs w:val="24"/>
        </w:rPr>
        <w:t>.</w:t>
      </w:r>
    </w:p>
    <w:p w14:paraId="5E1AE2A4" w14:textId="77777777" w:rsidR="00EA4AD6" w:rsidRPr="009944E8" w:rsidRDefault="00EA4AD6" w:rsidP="009944E8">
      <w:pPr>
        <w:pStyle w:val="Sinespaciado"/>
      </w:pPr>
    </w:p>
    <w:p w14:paraId="487589F7" w14:textId="77777777" w:rsidR="00EA4AD6" w:rsidRPr="009944E8" w:rsidRDefault="00EA4AD6" w:rsidP="009944E8">
      <w:pPr>
        <w:spacing w:line="360" w:lineRule="auto"/>
        <w:jc w:val="both"/>
        <w:rPr>
          <w:rFonts w:ascii="Arial" w:hAnsi="Arial" w:cs="Arial"/>
          <w:spacing w:val="2"/>
          <w:sz w:val="24"/>
          <w:szCs w:val="24"/>
        </w:rPr>
      </w:pPr>
      <w:r w:rsidRPr="009944E8">
        <w:rPr>
          <w:rFonts w:ascii="Arial" w:hAnsi="Arial" w:cs="Arial"/>
          <w:sz w:val="24"/>
          <w:szCs w:val="24"/>
        </w:rPr>
        <w:t xml:space="preserve">El </w:t>
      </w:r>
      <w:r w:rsidR="006B3895" w:rsidRPr="009944E8">
        <w:rPr>
          <w:rFonts w:ascii="Arial" w:hAnsi="Arial" w:cs="Arial"/>
          <w:sz w:val="24"/>
          <w:szCs w:val="24"/>
        </w:rPr>
        <w:t>17 de marzo de 2016</w:t>
      </w:r>
      <w:r w:rsidRPr="009944E8">
        <w:rPr>
          <w:rFonts w:ascii="Arial" w:hAnsi="Arial" w:cs="Arial"/>
          <w:sz w:val="24"/>
          <w:szCs w:val="24"/>
        </w:rPr>
        <w:t xml:space="preserve">, el Tribunal Administrativo </w:t>
      </w:r>
      <w:r w:rsidR="006B3895" w:rsidRPr="009944E8">
        <w:rPr>
          <w:rFonts w:ascii="Arial" w:hAnsi="Arial" w:cs="Arial"/>
          <w:sz w:val="24"/>
          <w:szCs w:val="24"/>
        </w:rPr>
        <w:t>del Huila</w:t>
      </w:r>
      <w:r w:rsidRPr="009944E8">
        <w:rPr>
          <w:rFonts w:ascii="Arial" w:hAnsi="Arial" w:cs="Arial"/>
          <w:sz w:val="24"/>
          <w:szCs w:val="24"/>
        </w:rPr>
        <w:t xml:space="preserve"> llevó a cabo la audiencia inicial</w:t>
      </w:r>
      <w:r w:rsidR="00205910" w:rsidRPr="009944E8">
        <w:rPr>
          <w:rFonts w:ascii="Arial" w:hAnsi="Arial" w:cs="Arial"/>
          <w:sz w:val="24"/>
          <w:szCs w:val="24"/>
        </w:rPr>
        <w:t>,</w:t>
      </w:r>
      <w:r w:rsidRPr="009944E8">
        <w:rPr>
          <w:rFonts w:ascii="Arial" w:hAnsi="Arial" w:cs="Arial"/>
          <w:sz w:val="24"/>
          <w:szCs w:val="24"/>
        </w:rPr>
        <w:t xml:space="preserve"> en la cual </w:t>
      </w:r>
      <w:r w:rsidR="006B3895" w:rsidRPr="009944E8">
        <w:rPr>
          <w:rFonts w:ascii="Arial" w:hAnsi="Arial" w:cs="Arial"/>
          <w:sz w:val="24"/>
          <w:szCs w:val="24"/>
        </w:rPr>
        <w:t>declaró de oficio</w:t>
      </w:r>
      <w:r w:rsidR="0076562A" w:rsidRPr="009944E8">
        <w:rPr>
          <w:rFonts w:ascii="Arial" w:hAnsi="Arial" w:cs="Arial"/>
          <w:sz w:val="24"/>
          <w:szCs w:val="24"/>
        </w:rPr>
        <w:t xml:space="preserve"> la excepción de </w:t>
      </w:r>
      <w:r w:rsidR="00F315FC" w:rsidRPr="009944E8">
        <w:rPr>
          <w:rFonts w:ascii="Arial" w:hAnsi="Arial" w:cs="Arial"/>
          <w:sz w:val="24"/>
          <w:szCs w:val="24"/>
        </w:rPr>
        <w:t>“</w:t>
      </w:r>
      <w:r w:rsidR="0076562A" w:rsidRPr="009944E8">
        <w:rPr>
          <w:rFonts w:ascii="Arial" w:hAnsi="Arial" w:cs="Arial"/>
          <w:i/>
          <w:sz w:val="24"/>
          <w:szCs w:val="24"/>
        </w:rPr>
        <w:t>caducidad de la pretensión</w:t>
      </w:r>
      <w:r w:rsidR="00F315FC" w:rsidRPr="009944E8">
        <w:rPr>
          <w:rFonts w:ascii="Arial" w:hAnsi="Arial" w:cs="Arial"/>
          <w:i/>
          <w:sz w:val="24"/>
          <w:szCs w:val="24"/>
        </w:rPr>
        <w:t>”</w:t>
      </w:r>
      <w:r w:rsidR="0076562A" w:rsidRPr="009944E8">
        <w:rPr>
          <w:rFonts w:ascii="Arial" w:hAnsi="Arial" w:cs="Arial"/>
          <w:sz w:val="24"/>
          <w:szCs w:val="24"/>
        </w:rPr>
        <w:t xml:space="preserve"> de nulidad y restablecimiento del derecho.</w:t>
      </w:r>
    </w:p>
    <w:p w14:paraId="603AA125" w14:textId="77777777" w:rsidR="00EA4AD6" w:rsidRPr="009944E8" w:rsidRDefault="00EA4AD6" w:rsidP="009944E8">
      <w:pPr>
        <w:pStyle w:val="Sinespaciado"/>
      </w:pPr>
    </w:p>
    <w:p w14:paraId="4444EF2B" w14:textId="77777777" w:rsidR="0076562A" w:rsidRPr="009944E8" w:rsidRDefault="00EA4AD6" w:rsidP="009944E8">
      <w:pPr>
        <w:spacing w:line="360" w:lineRule="auto"/>
        <w:jc w:val="both"/>
        <w:rPr>
          <w:rFonts w:ascii="Arial" w:hAnsi="Arial" w:cs="Arial"/>
          <w:sz w:val="24"/>
          <w:szCs w:val="24"/>
        </w:rPr>
      </w:pPr>
      <w:r w:rsidRPr="009944E8">
        <w:rPr>
          <w:rFonts w:ascii="Arial" w:hAnsi="Arial" w:cs="Arial"/>
          <w:spacing w:val="2"/>
          <w:sz w:val="24"/>
          <w:szCs w:val="24"/>
        </w:rPr>
        <w:t xml:space="preserve">En esta oportunidad procesal, </w:t>
      </w:r>
      <w:r w:rsidR="0076562A" w:rsidRPr="009944E8">
        <w:rPr>
          <w:rFonts w:ascii="Arial" w:hAnsi="Arial" w:cs="Arial"/>
          <w:spacing w:val="2"/>
          <w:sz w:val="24"/>
          <w:szCs w:val="24"/>
        </w:rPr>
        <w:t>advirtió que en la Resolución No. 00662 de 4 de octubre de 2013, por medio de la cual la Unidad de Servicios Penitenciarios y Carcelarios adjudicó la Licitación Pública No. SPC-LP-003-2013</w:t>
      </w:r>
      <w:r w:rsidR="00F315FC" w:rsidRPr="009944E8">
        <w:rPr>
          <w:rFonts w:ascii="Arial" w:hAnsi="Arial" w:cs="Arial"/>
          <w:spacing w:val="2"/>
          <w:sz w:val="24"/>
          <w:szCs w:val="24"/>
        </w:rPr>
        <w:t>,</w:t>
      </w:r>
      <w:r w:rsidR="0076562A" w:rsidRPr="009944E8">
        <w:rPr>
          <w:rFonts w:ascii="Arial" w:hAnsi="Arial" w:cs="Arial"/>
          <w:spacing w:val="2"/>
          <w:sz w:val="24"/>
          <w:szCs w:val="24"/>
        </w:rPr>
        <w:t xml:space="preserve"> fue notificada en la misma audiencia de adjudicación</w:t>
      </w:r>
      <w:r w:rsidR="00205910" w:rsidRPr="009944E8">
        <w:rPr>
          <w:rFonts w:ascii="Arial" w:hAnsi="Arial" w:cs="Arial"/>
          <w:spacing w:val="2"/>
          <w:sz w:val="24"/>
          <w:szCs w:val="24"/>
        </w:rPr>
        <w:t>,</w:t>
      </w:r>
      <w:r w:rsidR="0076562A" w:rsidRPr="009944E8">
        <w:rPr>
          <w:rFonts w:ascii="Arial" w:hAnsi="Arial" w:cs="Arial"/>
          <w:spacing w:val="2"/>
          <w:sz w:val="24"/>
          <w:szCs w:val="24"/>
        </w:rPr>
        <w:t xml:space="preserve"> por lo que el término para</w:t>
      </w:r>
      <w:r w:rsidR="00205910" w:rsidRPr="009944E8">
        <w:rPr>
          <w:rFonts w:ascii="Arial" w:hAnsi="Arial" w:cs="Arial"/>
          <w:spacing w:val="2"/>
          <w:sz w:val="24"/>
          <w:szCs w:val="24"/>
        </w:rPr>
        <w:t xml:space="preserve"> presentar la demanda corrió desde el</w:t>
      </w:r>
      <w:r w:rsidR="0076562A" w:rsidRPr="009944E8">
        <w:rPr>
          <w:rFonts w:ascii="Arial" w:hAnsi="Arial" w:cs="Arial"/>
          <w:spacing w:val="2"/>
          <w:sz w:val="24"/>
          <w:szCs w:val="24"/>
        </w:rPr>
        <w:t xml:space="preserve"> 5 de octubre de 2013 hasta el 5 de febrero de 2014, el cual fue interrumpido el 2</w:t>
      </w:r>
      <w:r w:rsidR="00391E81">
        <w:rPr>
          <w:rFonts w:ascii="Arial" w:hAnsi="Arial" w:cs="Arial"/>
          <w:spacing w:val="2"/>
          <w:sz w:val="24"/>
          <w:szCs w:val="24"/>
        </w:rPr>
        <w:t>6</w:t>
      </w:r>
      <w:r w:rsidR="0076562A" w:rsidRPr="009944E8">
        <w:rPr>
          <w:rFonts w:ascii="Arial" w:hAnsi="Arial" w:cs="Arial"/>
          <w:spacing w:val="2"/>
          <w:sz w:val="24"/>
          <w:szCs w:val="24"/>
        </w:rPr>
        <w:t xml:space="preserve"> de noviembre de 2013 </w:t>
      </w:r>
      <w:r w:rsidR="0076562A" w:rsidRPr="009944E8">
        <w:rPr>
          <w:rFonts w:ascii="Arial" w:hAnsi="Arial" w:cs="Arial"/>
          <w:sz w:val="24"/>
          <w:szCs w:val="24"/>
        </w:rPr>
        <w:t>con la solicitud de conciliación extrajudicial.</w:t>
      </w:r>
    </w:p>
    <w:p w14:paraId="23981F96" w14:textId="77777777" w:rsidR="0076562A" w:rsidRPr="009944E8" w:rsidRDefault="0076562A" w:rsidP="009944E8">
      <w:pPr>
        <w:pStyle w:val="Sinespaciado"/>
      </w:pPr>
    </w:p>
    <w:p w14:paraId="1E00849A" w14:textId="77777777" w:rsidR="008D2A29" w:rsidRPr="009944E8" w:rsidRDefault="0076562A" w:rsidP="009944E8">
      <w:pPr>
        <w:spacing w:line="360" w:lineRule="auto"/>
        <w:jc w:val="both"/>
        <w:rPr>
          <w:rFonts w:ascii="Arial" w:hAnsi="Arial" w:cs="Arial"/>
          <w:sz w:val="24"/>
          <w:szCs w:val="24"/>
        </w:rPr>
      </w:pPr>
      <w:r w:rsidRPr="009944E8">
        <w:rPr>
          <w:rFonts w:ascii="Arial" w:hAnsi="Arial" w:cs="Arial"/>
          <w:sz w:val="24"/>
          <w:szCs w:val="24"/>
        </w:rPr>
        <w:lastRenderedPageBreak/>
        <w:t>Advirtió que el término de caducidad se reanudó el 7 de febrero de 2014</w:t>
      </w:r>
      <w:r w:rsidR="00205910" w:rsidRPr="009944E8">
        <w:rPr>
          <w:rFonts w:ascii="Arial" w:hAnsi="Arial" w:cs="Arial"/>
          <w:sz w:val="24"/>
          <w:szCs w:val="24"/>
        </w:rPr>
        <w:t>,</w:t>
      </w:r>
      <w:r w:rsidRPr="009944E8">
        <w:rPr>
          <w:rFonts w:ascii="Arial" w:hAnsi="Arial" w:cs="Arial"/>
          <w:sz w:val="24"/>
          <w:szCs w:val="24"/>
        </w:rPr>
        <w:t xml:space="preserve"> por lo que éste fenec</w:t>
      </w:r>
      <w:r w:rsidR="00205910" w:rsidRPr="009944E8">
        <w:rPr>
          <w:rFonts w:ascii="Arial" w:hAnsi="Arial" w:cs="Arial"/>
          <w:sz w:val="24"/>
          <w:szCs w:val="24"/>
        </w:rPr>
        <w:t>ía el 17 de abril del mismo año;</w:t>
      </w:r>
      <w:r w:rsidRPr="009944E8">
        <w:rPr>
          <w:rFonts w:ascii="Arial" w:hAnsi="Arial" w:cs="Arial"/>
          <w:sz w:val="24"/>
          <w:szCs w:val="24"/>
        </w:rPr>
        <w:t xml:space="preserve"> no obstante</w:t>
      </w:r>
      <w:r w:rsidR="00205910" w:rsidRPr="009944E8">
        <w:rPr>
          <w:rFonts w:ascii="Arial" w:hAnsi="Arial" w:cs="Arial"/>
          <w:sz w:val="24"/>
          <w:szCs w:val="24"/>
        </w:rPr>
        <w:t>,</w:t>
      </w:r>
      <w:r w:rsidRPr="009944E8">
        <w:rPr>
          <w:rFonts w:ascii="Arial" w:hAnsi="Arial" w:cs="Arial"/>
          <w:sz w:val="24"/>
          <w:szCs w:val="24"/>
        </w:rPr>
        <w:t xml:space="preserve"> en dicha fecha los despachos judiciales se encontraban cerrados, por lo que el término venció el 21 siguiente, fecha en la que reanudaron las actividades judiciales y, comoquiera que la demanda fue presentada el 22 de abril de 2014, concluyó que fue interpuesta </w:t>
      </w:r>
      <w:r w:rsidR="00205910" w:rsidRPr="009944E8">
        <w:rPr>
          <w:rFonts w:ascii="Arial" w:hAnsi="Arial" w:cs="Arial"/>
          <w:sz w:val="24"/>
          <w:szCs w:val="24"/>
        </w:rPr>
        <w:t xml:space="preserve">por </w:t>
      </w:r>
      <w:r w:rsidRPr="009944E8">
        <w:rPr>
          <w:rFonts w:ascii="Arial" w:hAnsi="Arial" w:cs="Arial"/>
          <w:sz w:val="24"/>
          <w:szCs w:val="24"/>
        </w:rPr>
        <w:t>fuera del término legal para hacerlo, razón por la cual rechazó la demanda.</w:t>
      </w:r>
    </w:p>
    <w:p w14:paraId="14EBC9E3" w14:textId="77777777" w:rsidR="008D2A29" w:rsidRPr="009944E8" w:rsidRDefault="008D2A29" w:rsidP="009944E8">
      <w:pPr>
        <w:pStyle w:val="Sinespaciado"/>
      </w:pPr>
    </w:p>
    <w:p w14:paraId="34ACB6F3" w14:textId="77777777" w:rsidR="00EA4AD6" w:rsidRPr="009944E8" w:rsidRDefault="00EA4AD6" w:rsidP="009944E8">
      <w:pPr>
        <w:spacing w:line="360" w:lineRule="auto"/>
        <w:jc w:val="both"/>
        <w:rPr>
          <w:rFonts w:ascii="Arial" w:hAnsi="Arial" w:cs="Arial"/>
          <w:sz w:val="24"/>
          <w:szCs w:val="24"/>
        </w:rPr>
      </w:pPr>
      <w:r w:rsidRPr="009944E8">
        <w:rPr>
          <w:rFonts w:ascii="Arial" w:hAnsi="Arial" w:cs="Arial"/>
          <w:b/>
          <w:sz w:val="24"/>
          <w:szCs w:val="24"/>
        </w:rPr>
        <w:t xml:space="preserve">4. </w:t>
      </w:r>
      <w:r w:rsidR="00FA7F16" w:rsidRPr="009944E8">
        <w:rPr>
          <w:rFonts w:ascii="Arial" w:hAnsi="Arial" w:cs="Arial"/>
          <w:b/>
          <w:sz w:val="24"/>
          <w:szCs w:val="24"/>
        </w:rPr>
        <w:t>Recurso</w:t>
      </w:r>
      <w:r w:rsidR="009944E8">
        <w:rPr>
          <w:rFonts w:ascii="Arial" w:hAnsi="Arial" w:cs="Arial"/>
          <w:b/>
          <w:sz w:val="24"/>
          <w:szCs w:val="24"/>
        </w:rPr>
        <w:t xml:space="preserve"> de apelación</w:t>
      </w:r>
    </w:p>
    <w:p w14:paraId="60F34591" w14:textId="77777777" w:rsidR="00EA4AD6" w:rsidRPr="009944E8" w:rsidRDefault="00EA4AD6" w:rsidP="009944E8">
      <w:pPr>
        <w:pStyle w:val="Sinespaciado"/>
      </w:pPr>
    </w:p>
    <w:p w14:paraId="6FC0BBD7" w14:textId="77777777" w:rsidR="0060078B" w:rsidRPr="009944E8" w:rsidRDefault="00FF218E" w:rsidP="009944E8">
      <w:pPr>
        <w:spacing w:line="360" w:lineRule="auto"/>
        <w:jc w:val="both"/>
        <w:rPr>
          <w:rFonts w:ascii="Arial" w:hAnsi="Arial" w:cs="Arial"/>
          <w:i/>
          <w:sz w:val="24"/>
          <w:szCs w:val="24"/>
        </w:rPr>
      </w:pPr>
      <w:r w:rsidRPr="009944E8">
        <w:rPr>
          <w:rFonts w:ascii="Arial" w:hAnsi="Arial" w:cs="Arial"/>
          <w:sz w:val="24"/>
          <w:szCs w:val="24"/>
        </w:rPr>
        <w:t xml:space="preserve">La parte actora manifestó que no compartía el conteo del término de caducidad realizado por el Tribunal </w:t>
      </w:r>
      <w:r w:rsidRPr="009944E8">
        <w:rPr>
          <w:rFonts w:ascii="Arial" w:hAnsi="Arial" w:cs="Arial"/>
          <w:i/>
          <w:sz w:val="24"/>
          <w:szCs w:val="24"/>
        </w:rPr>
        <w:t>a quo</w:t>
      </w:r>
      <w:r w:rsidR="00F315FC" w:rsidRPr="009944E8">
        <w:rPr>
          <w:rFonts w:ascii="Arial" w:hAnsi="Arial" w:cs="Arial"/>
          <w:sz w:val="24"/>
          <w:szCs w:val="24"/>
        </w:rPr>
        <w:t xml:space="preserve"> y</w:t>
      </w:r>
      <w:r w:rsidRPr="009944E8">
        <w:rPr>
          <w:rFonts w:ascii="Arial" w:hAnsi="Arial" w:cs="Arial"/>
          <w:sz w:val="24"/>
          <w:szCs w:val="24"/>
        </w:rPr>
        <w:t xml:space="preserve"> aseguró que la demanda fue presentada dentro del término legal otorgado por el Código de Procedimiento Administrativo y de lo Contencioso Administrativo, </w:t>
      </w:r>
      <w:r w:rsidR="00CA4376" w:rsidRPr="009944E8">
        <w:rPr>
          <w:rFonts w:ascii="Arial" w:hAnsi="Arial" w:cs="Arial"/>
          <w:sz w:val="24"/>
          <w:szCs w:val="24"/>
        </w:rPr>
        <w:t xml:space="preserve">de </w:t>
      </w:r>
      <w:r w:rsidRPr="009944E8">
        <w:rPr>
          <w:rFonts w:ascii="Arial" w:hAnsi="Arial" w:cs="Arial"/>
          <w:sz w:val="24"/>
          <w:szCs w:val="24"/>
        </w:rPr>
        <w:t>lo que concluyó</w:t>
      </w:r>
      <w:r w:rsidR="00BD70F8" w:rsidRPr="009944E8">
        <w:rPr>
          <w:rFonts w:ascii="Arial" w:hAnsi="Arial" w:cs="Arial"/>
          <w:sz w:val="24"/>
          <w:szCs w:val="24"/>
        </w:rPr>
        <w:t>, además,</w:t>
      </w:r>
      <w:r w:rsidRPr="009944E8">
        <w:rPr>
          <w:rFonts w:ascii="Arial" w:hAnsi="Arial" w:cs="Arial"/>
          <w:sz w:val="24"/>
          <w:szCs w:val="24"/>
        </w:rPr>
        <w:t xml:space="preserve"> que le correspondía al superior determinar si el</w:t>
      </w:r>
      <w:r w:rsidR="00205910" w:rsidRPr="009944E8">
        <w:rPr>
          <w:rFonts w:ascii="Arial" w:hAnsi="Arial" w:cs="Arial"/>
          <w:sz w:val="24"/>
          <w:szCs w:val="24"/>
        </w:rPr>
        <w:t xml:space="preserve"> libelo </w:t>
      </w:r>
      <w:proofErr w:type="spellStart"/>
      <w:r w:rsidR="00205910" w:rsidRPr="009944E8">
        <w:rPr>
          <w:rFonts w:ascii="Arial" w:hAnsi="Arial" w:cs="Arial"/>
          <w:sz w:val="24"/>
          <w:szCs w:val="24"/>
        </w:rPr>
        <w:t>demandatorio</w:t>
      </w:r>
      <w:proofErr w:type="spellEnd"/>
      <w:r w:rsidR="00205910" w:rsidRPr="009944E8">
        <w:rPr>
          <w:rFonts w:ascii="Arial" w:hAnsi="Arial" w:cs="Arial"/>
          <w:sz w:val="24"/>
          <w:szCs w:val="24"/>
        </w:rPr>
        <w:t xml:space="preserve"> cumplía o no</w:t>
      </w:r>
      <w:r w:rsidRPr="009944E8">
        <w:rPr>
          <w:rFonts w:ascii="Arial" w:hAnsi="Arial" w:cs="Arial"/>
          <w:sz w:val="24"/>
          <w:szCs w:val="24"/>
        </w:rPr>
        <w:t xml:space="preserve"> con</w:t>
      </w:r>
      <w:r w:rsidR="00205910" w:rsidRPr="009944E8">
        <w:rPr>
          <w:rFonts w:ascii="Arial" w:hAnsi="Arial" w:cs="Arial"/>
          <w:sz w:val="24"/>
          <w:szCs w:val="24"/>
        </w:rPr>
        <w:t xml:space="preserve"> los presupuestos del numeral 2</w:t>
      </w:r>
      <w:r w:rsidRPr="009944E8">
        <w:rPr>
          <w:rFonts w:ascii="Arial" w:hAnsi="Arial" w:cs="Arial"/>
          <w:sz w:val="24"/>
          <w:szCs w:val="24"/>
        </w:rPr>
        <w:t>, literal c</w:t>
      </w:r>
      <w:r w:rsidR="00205910" w:rsidRPr="009944E8">
        <w:rPr>
          <w:rFonts w:ascii="Arial" w:hAnsi="Arial" w:cs="Arial"/>
          <w:sz w:val="24"/>
          <w:szCs w:val="24"/>
        </w:rPr>
        <w:t>,</w:t>
      </w:r>
      <w:r w:rsidRPr="009944E8">
        <w:rPr>
          <w:rFonts w:ascii="Arial" w:hAnsi="Arial" w:cs="Arial"/>
          <w:sz w:val="24"/>
          <w:szCs w:val="24"/>
        </w:rPr>
        <w:t xml:space="preserve"> del artículo 164 </w:t>
      </w:r>
      <w:proofErr w:type="spellStart"/>
      <w:r w:rsidRPr="009944E8">
        <w:rPr>
          <w:rFonts w:ascii="Arial" w:hAnsi="Arial" w:cs="Arial"/>
          <w:i/>
          <w:sz w:val="24"/>
          <w:szCs w:val="24"/>
        </w:rPr>
        <w:t>ibídem</w:t>
      </w:r>
      <w:proofErr w:type="spellEnd"/>
      <w:r w:rsidRPr="009944E8">
        <w:rPr>
          <w:rFonts w:ascii="Arial" w:hAnsi="Arial" w:cs="Arial"/>
          <w:i/>
          <w:sz w:val="24"/>
          <w:szCs w:val="24"/>
        </w:rPr>
        <w:t>.</w:t>
      </w:r>
    </w:p>
    <w:p w14:paraId="4FF32416" w14:textId="77777777" w:rsidR="001D444C" w:rsidRPr="009944E8" w:rsidRDefault="001D444C" w:rsidP="009944E8">
      <w:pPr>
        <w:pStyle w:val="Sinespaciado"/>
      </w:pPr>
    </w:p>
    <w:p w14:paraId="3DBC38EF" w14:textId="77777777" w:rsidR="00EA4AD6" w:rsidRPr="009944E8" w:rsidRDefault="00EA4AD6" w:rsidP="009944E8">
      <w:pPr>
        <w:numPr>
          <w:ilvl w:val="0"/>
          <w:numId w:val="3"/>
        </w:numPr>
        <w:spacing w:line="360" w:lineRule="auto"/>
        <w:jc w:val="center"/>
        <w:rPr>
          <w:rFonts w:ascii="Arial" w:hAnsi="Arial" w:cs="Arial"/>
          <w:b/>
          <w:sz w:val="24"/>
          <w:szCs w:val="24"/>
        </w:rPr>
      </w:pPr>
      <w:r w:rsidRPr="009944E8">
        <w:rPr>
          <w:rFonts w:ascii="Arial" w:hAnsi="Arial" w:cs="Arial"/>
          <w:b/>
          <w:sz w:val="24"/>
          <w:szCs w:val="24"/>
        </w:rPr>
        <w:t>CONSIDERACIONES</w:t>
      </w:r>
    </w:p>
    <w:p w14:paraId="78E0F399" w14:textId="77777777" w:rsidR="00EA4AD6" w:rsidRPr="009944E8" w:rsidRDefault="00EA4AD6" w:rsidP="009944E8">
      <w:pPr>
        <w:pStyle w:val="Sinespaciado"/>
      </w:pPr>
    </w:p>
    <w:p w14:paraId="68EE3F6C" w14:textId="77777777" w:rsidR="00EA4AD6" w:rsidRPr="009944E8" w:rsidRDefault="009944E8" w:rsidP="009944E8">
      <w:pPr>
        <w:spacing w:line="360" w:lineRule="auto"/>
        <w:jc w:val="both"/>
        <w:rPr>
          <w:rFonts w:ascii="Arial" w:hAnsi="Arial" w:cs="Arial"/>
          <w:b/>
          <w:sz w:val="24"/>
          <w:szCs w:val="24"/>
          <w:lang w:val="es-ES_tradnl"/>
        </w:rPr>
      </w:pPr>
      <w:r>
        <w:rPr>
          <w:rFonts w:ascii="Arial" w:hAnsi="Arial" w:cs="Arial"/>
          <w:b/>
          <w:sz w:val="24"/>
          <w:szCs w:val="24"/>
          <w:lang w:val="es-ES_tradnl"/>
        </w:rPr>
        <w:t xml:space="preserve">1. </w:t>
      </w:r>
      <w:r w:rsidR="00EA4AD6" w:rsidRPr="009944E8">
        <w:rPr>
          <w:rFonts w:ascii="Arial" w:hAnsi="Arial" w:cs="Arial"/>
          <w:b/>
          <w:sz w:val="24"/>
          <w:szCs w:val="24"/>
          <w:lang w:val="es-ES_tradnl"/>
        </w:rPr>
        <w:t>Legislación aplicable a la demanda en materia procesal</w:t>
      </w:r>
    </w:p>
    <w:p w14:paraId="17040268" w14:textId="77777777" w:rsidR="00EA4AD6" w:rsidRPr="009944E8" w:rsidRDefault="00EA4AD6" w:rsidP="009944E8">
      <w:pPr>
        <w:pStyle w:val="Sinespaciado"/>
        <w:rPr>
          <w:lang w:val="es-ES_tradnl"/>
        </w:rPr>
      </w:pPr>
    </w:p>
    <w:p w14:paraId="0FDD000A" w14:textId="77777777" w:rsidR="00F315FC" w:rsidRPr="009944E8" w:rsidRDefault="00F315FC" w:rsidP="009944E8">
      <w:pPr>
        <w:spacing w:line="360" w:lineRule="auto"/>
        <w:jc w:val="both"/>
        <w:rPr>
          <w:rFonts w:ascii="Arial" w:hAnsi="Arial" w:cs="Arial"/>
          <w:sz w:val="24"/>
          <w:szCs w:val="24"/>
        </w:rPr>
      </w:pPr>
      <w:r w:rsidRPr="009944E8">
        <w:rPr>
          <w:rFonts w:ascii="Arial" w:hAnsi="Arial" w:cs="Arial"/>
          <w:sz w:val="24"/>
          <w:szCs w:val="24"/>
        </w:rPr>
        <w:t xml:space="preserve">Previo a pronunciarse de fondo respecto del recurso de apelación interpuesto por la parte demandante contra el auto de </w:t>
      </w:r>
      <w:r w:rsidR="008D2A29" w:rsidRPr="009944E8">
        <w:rPr>
          <w:rFonts w:ascii="Arial" w:hAnsi="Arial" w:cs="Arial"/>
          <w:sz w:val="24"/>
          <w:szCs w:val="24"/>
        </w:rPr>
        <w:t>17 de marzo</w:t>
      </w:r>
      <w:r w:rsidRPr="009944E8">
        <w:rPr>
          <w:rFonts w:ascii="Arial" w:hAnsi="Arial" w:cs="Arial"/>
          <w:sz w:val="24"/>
          <w:szCs w:val="24"/>
        </w:rPr>
        <w:t xml:space="preserve"> de 2016, proferido por </w:t>
      </w:r>
      <w:r w:rsidRPr="009944E8">
        <w:rPr>
          <w:rFonts w:ascii="Arial" w:eastAsia="Times New Roman" w:hAnsi="Arial" w:cs="Arial"/>
          <w:sz w:val="24"/>
          <w:szCs w:val="24"/>
          <w:lang w:val="es-ES" w:eastAsia="es-ES"/>
        </w:rPr>
        <w:t xml:space="preserve">el Tribunal Administrativo </w:t>
      </w:r>
      <w:r w:rsidR="008D2A29" w:rsidRPr="009944E8">
        <w:rPr>
          <w:rFonts w:ascii="Arial" w:eastAsia="Times New Roman" w:hAnsi="Arial" w:cs="Arial"/>
          <w:sz w:val="24"/>
          <w:szCs w:val="24"/>
          <w:lang w:val="es-ES" w:eastAsia="es-ES"/>
        </w:rPr>
        <w:t>del Huila</w:t>
      </w:r>
      <w:r w:rsidRPr="009944E8">
        <w:rPr>
          <w:rFonts w:ascii="Arial" w:hAnsi="Arial" w:cs="Arial"/>
          <w:sz w:val="24"/>
          <w:szCs w:val="24"/>
        </w:rPr>
        <w:t xml:space="preserve">, </w:t>
      </w:r>
      <w:r w:rsidRPr="009944E8">
        <w:rPr>
          <w:rFonts w:ascii="Arial" w:hAnsi="Arial" w:cs="Arial"/>
          <w:bCs/>
          <w:sz w:val="24"/>
          <w:szCs w:val="24"/>
        </w:rPr>
        <w:t xml:space="preserve">estima el Despacho pertinente señalar que la demanda se presentó el </w:t>
      </w:r>
      <w:r w:rsidR="00116A13" w:rsidRPr="009944E8">
        <w:rPr>
          <w:rFonts w:ascii="Arial" w:hAnsi="Arial" w:cs="Arial"/>
          <w:sz w:val="24"/>
          <w:szCs w:val="24"/>
        </w:rPr>
        <w:t>22 de abril de 2014</w:t>
      </w:r>
      <w:r w:rsidRPr="009944E8">
        <w:rPr>
          <w:rFonts w:ascii="Arial" w:hAnsi="Arial" w:cs="Arial"/>
          <w:bCs/>
          <w:sz w:val="24"/>
          <w:szCs w:val="24"/>
        </w:rPr>
        <w:t xml:space="preserve">, por lo que al presente asunto le resulta aplicable el Código de Procedimiento Administrativo y de lo Contencioso Administrativo </w:t>
      </w:r>
      <w:r w:rsidRPr="009944E8">
        <w:rPr>
          <w:rFonts w:ascii="Arial" w:hAnsi="Arial" w:cs="Arial"/>
          <w:bCs/>
          <w:i/>
          <w:sz w:val="24"/>
          <w:szCs w:val="24"/>
        </w:rPr>
        <w:t xml:space="preserve">- Ley 1437 de 2011-, </w:t>
      </w:r>
      <w:r w:rsidRPr="009944E8">
        <w:rPr>
          <w:rFonts w:ascii="Arial" w:hAnsi="Arial" w:cs="Arial"/>
          <w:bCs/>
          <w:sz w:val="24"/>
          <w:szCs w:val="24"/>
        </w:rPr>
        <w:t xml:space="preserve">así como </w:t>
      </w:r>
      <w:r w:rsidRPr="009944E8">
        <w:rPr>
          <w:rFonts w:ascii="Arial" w:hAnsi="Arial" w:cs="Arial"/>
          <w:sz w:val="24"/>
          <w:szCs w:val="24"/>
        </w:rPr>
        <w:t>las disposiciones del Código General del Proceso</w:t>
      </w:r>
      <w:r w:rsidRPr="009944E8">
        <w:rPr>
          <w:rStyle w:val="Refdenotaalpie"/>
          <w:rFonts w:ascii="Arial" w:hAnsi="Arial" w:cs="Arial"/>
          <w:sz w:val="24"/>
          <w:szCs w:val="24"/>
        </w:rPr>
        <w:footnoteReference w:id="5"/>
      </w:r>
      <w:r w:rsidRPr="009944E8">
        <w:rPr>
          <w:rFonts w:ascii="Arial" w:hAnsi="Arial" w:cs="Arial"/>
          <w:sz w:val="24"/>
          <w:szCs w:val="24"/>
        </w:rPr>
        <w:t>, en virtud de la integración normativa dispuesta por el artículo 306 del estatuto procesal en materia de lo contencioso administrativo.</w:t>
      </w:r>
    </w:p>
    <w:p w14:paraId="2C573236" w14:textId="77777777" w:rsidR="00EA4AD6" w:rsidRPr="009944E8" w:rsidRDefault="00EA4AD6" w:rsidP="009944E8">
      <w:pPr>
        <w:spacing w:line="240" w:lineRule="auto"/>
        <w:jc w:val="both"/>
        <w:rPr>
          <w:rFonts w:ascii="Arial" w:hAnsi="Arial" w:cs="Arial"/>
          <w:bCs/>
          <w:sz w:val="24"/>
          <w:szCs w:val="24"/>
        </w:rPr>
      </w:pPr>
    </w:p>
    <w:p w14:paraId="282E0C66" w14:textId="77777777" w:rsidR="00EA4AD6" w:rsidRPr="009944E8" w:rsidRDefault="00EA4AD6" w:rsidP="009944E8">
      <w:pPr>
        <w:spacing w:line="360" w:lineRule="auto"/>
        <w:jc w:val="both"/>
        <w:rPr>
          <w:rFonts w:ascii="Arial" w:hAnsi="Arial" w:cs="Arial"/>
          <w:b/>
          <w:bCs/>
          <w:sz w:val="24"/>
          <w:szCs w:val="24"/>
        </w:rPr>
      </w:pPr>
      <w:r w:rsidRPr="009944E8">
        <w:rPr>
          <w:rFonts w:ascii="Arial" w:hAnsi="Arial" w:cs="Arial"/>
          <w:b/>
          <w:bCs/>
          <w:sz w:val="24"/>
          <w:szCs w:val="24"/>
        </w:rPr>
        <w:t>2. La procedencia del recurso de apelación y la competencia para conocerlo</w:t>
      </w:r>
    </w:p>
    <w:p w14:paraId="099E632D" w14:textId="77777777" w:rsidR="00EA4AD6" w:rsidRPr="009944E8" w:rsidRDefault="00EA4AD6" w:rsidP="009944E8">
      <w:pPr>
        <w:pStyle w:val="Sinespaciado"/>
      </w:pPr>
    </w:p>
    <w:p w14:paraId="1C4F58B7" w14:textId="77777777" w:rsidR="00EA4AD6" w:rsidRPr="009944E8" w:rsidRDefault="00EA4AD6" w:rsidP="009944E8">
      <w:pPr>
        <w:spacing w:line="360" w:lineRule="auto"/>
        <w:jc w:val="both"/>
        <w:rPr>
          <w:rFonts w:ascii="Arial" w:hAnsi="Arial" w:cs="Arial"/>
          <w:sz w:val="24"/>
          <w:szCs w:val="24"/>
        </w:rPr>
      </w:pPr>
      <w:r w:rsidRPr="009944E8">
        <w:rPr>
          <w:rFonts w:ascii="Arial" w:hAnsi="Arial" w:cs="Arial"/>
          <w:bCs/>
          <w:sz w:val="24"/>
          <w:szCs w:val="24"/>
        </w:rPr>
        <w:t xml:space="preserve">Ahora bien, al realizar el estudio de procedencia </w:t>
      </w:r>
      <w:r w:rsidR="00DB14F3" w:rsidRPr="009944E8">
        <w:rPr>
          <w:rFonts w:ascii="Arial" w:hAnsi="Arial" w:cs="Arial"/>
          <w:bCs/>
          <w:sz w:val="24"/>
          <w:szCs w:val="24"/>
        </w:rPr>
        <w:t>del recurso</w:t>
      </w:r>
      <w:r w:rsidRPr="009944E8">
        <w:rPr>
          <w:rFonts w:ascii="Arial" w:hAnsi="Arial" w:cs="Arial"/>
          <w:bCs/>
          <w:sz w:val="24"/>
          <w:szCs w:val="24"/>
        </w:rPr>
        <w:t xml:space="preserve"> de apelación</w:t>
      </w:r>
      <w:r w:rsidR="00205910" w:rsidRPr="009944E8">
        <w:rPr>
          <w:rFonts w:ascii="Arial" w:hAnsi="Arial" w:cs="Arial"/>
          <w:bCs/>
          <w:sz w:val="24"/>
          <w:szCs w:val="24"/>
        </w:rPr>
        <w:t>,</w:t>
      </w:r>
      <w:r w:rsidRPr="009944E8">
        <w:rPr>
          <w:rFonts w:ascii="Arial" w:hAnsi="Arial" w:cs="Arial"/>
          <w:bCs/>
          <w:sz w:val="24"/>
          <w:szCs w:val="24"/>
        </w:rPr>
        <w:t xml:space="preserve"> </w:t>
      </w:r>
      <w:r w:rsidR="00DB14F3" w:rsidRPr="009944E8">
        <w:rPr>
          <w:rFonts w:ascii="Arial" w:hAnsi="Arial" w:cs="Arial"/>
          <w:sz w:val="24"/>
          <w:szCs w:val="24"/>
        </w:rPr>
        <w:t>la Sala</w:t>
      </w:r>
      <w:r w:rsidRPr="009944E8">
        <w:rPr>
          <w:rFonts w:ascii="Arial" w:hAnsi="Arial" w:cs="Arial"/>
          <w:sz w:val="24"/>
          <w:szCs w:val="24"/>
        </w:rPr>
        <w:t xml:space="preserve"> encuentra que el auto recurrido tiene carácter de apelable</w:t>
      </w:r>
      <w:r w:rsidR="00205910" w:rsidRPr="009944E8">
        <w:rPr>
          <w:rFonts w:ascii="Arial" w:hAnsi="Arial" w:cs="Arial"/>
          <w:sz w:val="24"/>
          <w:szCs w:val="24"/>
        </w:rPr>
        <w:t>,</w:t>
      </w:r>
      <w:r w:rsidRPr="009944E8">
        <w:rPr>
          <w:rFonts w:ascii="Arial" w:hAnsi="Arial" w:cs="Arial"/>
          <w:sz w:val="24"/>
          <w:szCs w:val="24"/>
        </w:rPr>
        <w:t xml:space="preserve"> según lo dispuesto de manera especial en el artículo 180 numeral 6 del Código de Procedimiento Administrativo y de lo Contencioso Administrativo</w:t>
      </w:r>
      <w:r w:rsidRPr="009944E8">
        <w:rPr>
          <w:rStyle w:val="Refdenotaalpie"/>
          <w:rFonts w:ascii="Arial" w:hAnsi="Arial" w:cs="Arial"/>
          <w:sz w:val="24"/>
          <w:szCs w:val="24"/>
        </w:rPr>
        <w:footnoteReference w:id="6"/>
      </w:r>
      <w:r w:rsidRPr="009944E8">
        <w:rPr>
          <w:rFonts w:ascii="Arial" w:hAnsi="Arial" w:cs="Arial"/>
          <w:sz w:val="24"/>
          <w:szCs w:val="24"/>
        </w:rPr>
        <w:t>, toda vez que se trata de una pro</w:t>
      </w:r>
      <w:r w:rsidR="00DB14F3" w:rsidRPr="009944E8">
        <w:rPr>
          <w:rFonts w:ascii="Arial" w:hAnsi="Arial" w:cs="Arial"/>
          <w:sz w:val="24"/>
          <w:szCs w:val="24"/>
        </w:rPr>
        <w:t xml:space="preserve">videncia que </w:t>
      </w:r>
      <w:r w:rsidR="00877104" w:rsidRPr="009944E8">
        <w:rPr>
          <w:rFonts w:ascii="Arial" w:hAnsi="Arial" w:cs="Arial"/>
          <w:sz w:val="24"/>
          <w:szCs w:val="24"/>
        </w:rPr>
        <w:t>declaró de oficio la excepción de caducidad de la demanda</w:t>
      </w:r>
      <w:r w:rsidR="00DB14F3" w:rsidRPr="009944E8">
        <w:rPr>
          <w:rFonts w:ascii="Arial" w:hAnsi="Arial" w:cs="Arial"/>
          <w:sz w:val="24"/>
          <w:szCs w:val="24"/>
        </w:rPr>
        <w:t xml:space="preserve"> </w:t>
      </w:r>
      <w:r w:rsidRPr="009944E8">
        <w:rPr>
          <w:rFonts w:ascii="Arial" w:hAnsi="Arial" w:cs="Arial"/>
          <w:sz w:val="24"/>
          <w:szCs w:val="24"/>
        </w:rPr>
        <w:t>en audiencia inicial; así mismo, se advierte que el recurso fue interpuesto de manera oportuna y debidamente sustentado, de conformidad con lo pre</w:t>
      </w:r>
      <w:r w:rsidR="00155C0A" w:rsidRPr="009944E8">
        <w:rPr>
          <w:rFonts w:ascii="Arial" w:hAnsi="Arial" w:cs="Arial"/>
          <w:sz w:val="24"/>
          <w:szCs w:val="24"/>
        </w:rPr>
        <w:t xml:space="preserve">visto en el artículo 244 </w:t>
      </w:r>
      <w:proofErr w:type="spellStart"/>
      <w:r w:rsidR="00155C0A" w:rsidRPr="009944E8">
        <w:rPr>
          <w:rFonts w:ascii="Arial" w:hAnsi="Arial" w:cs="Arial"/>
          <w:sz w:val="24"/>
          <w:szCs w:val="24"/>
        </w:rPr>
        <w:t>ibídem</w:t>
      </w:r>
      <w:proofErr w:type="spellEnd"/>
      <w:r w:rsidR="0003606B" w:rsidRPr="009944E8">
        <w:rPr>
          <w:rFonts w:ascii="Arial" w:hAnsi="Arial" w:cs="Arial"/>
          <w:sz w:val="24"/>
          <w:szCs w:val="24"/>
        </w:rPr>
        <w:t>.</w:t>
      </w:r>
    </w:p>
    <w:p w14:paraId="2B0B3421" w14:textId="77777777" w:rsidR="0003606B" w:rsidRPr="009944E8" w:rsidRDefault="0003606B" w:rsidP="009944E8">
      <w:pPr>
        <w:pStyle w:val="Sinespaciado"/>
      </w:pPr>
    </w:p>
    <w:p w14:paraId="67DBB30C" w14:textId="77777777" w:rsidR="0003606B" w:rsidRPr="009944E8" w:rsidRDefault="0003606B" w:rsidP="009944E8">
      <w:pPr>
        <w:spacing w:line="360" w:lineRule="auto"/>
        <w:jc w:val="both"/>
        <w:rPr>
          <w:rFonts w:ascii="Arial" w:hAnsi="Arial" w:cs="Arial"/>
          <w:sz w:val="24"/>
          <w:szCs w:val="24"/>
        </w:rPr>
      </w:pPr>
      <w:r w:rsidRPr="008B655F">
        <w:rPr>
          <w:rFonts w:ascii="Arial" w:hAnsi="Arial" w:cs="Arial"/>
          <w:sz w:val="24"/>
          <w:szCs w:val="24"/>
        </w:rPr>
        <w:t>En cuanto a la competencia para proferir la presente decisión, se encuentra que en esta instancia se confirmara la decisión del Tribunal -y el proceso terminará-, por lo que de conformidad con lo dispuesto por el artículo 125 del Código de Procedimiento Administrativo y de lo Contencioso Administrativo, le corresponde a la Sala conocer del presente asunto.</w:t>
      </w:r>
    </w:p>
    <w:p w14:paraId="7270C420" w14:textId="77777777" w:rsidR="00205910" w:rsidRPr="009944E8" w:rsidRDefault="00205910" w:rsidP="009944E8">
      <w:pPr>
        <w:pStyle w:val="Sinespaciado"/>
      </w:pPr>
    </w:p>
    <w:p w14:paraId="6B20E7A0" w14:textId="77777777" w:rsidR="00EA4AD6" w:rsidRPr="009944E8" w:rsidRDefault="00EA4AD6" w:rsidP="009944E8">
      <w:pPr>
        <w:spacing w:line="360" w:lineRule="auto"/>
        <w:jc w:val="both"/>
        <w:rPr>
          <w:rFonts w:ascii="Arial" w:hAnsi="Arial" w:cs="Arial"/>
          <w:b/>
          <w:sz w:val="24"/>
          <w:szCs w:val="24"/>
        </w:rPr>
      </w:pPr>
      <w:r w:rsidRPr="009944E8">
        <w:rPr>
          <w:rFonts w:ascii="Arial" w:hAnsi="Arial" w:cs="Arial"/>
          <w:b/>
          <w:sz w:val="24"/>
          <w:szCs w:val="24"/>
        </w:rPr>
        <w:t>3. Caso concreto</w:t>
      </w:r>
    </w:p>
    <w:p w14:paraId="6862C375" w14:textId="77777777" w:rsidR="00EA4AD6" w:rsidRPr="009944E8" w:rsidRDefault="00EA4AD6" w:rsidP="009944E8">
      <w:pPr>
        <w:pStyle w:val="Sinespaciado"/>
      </w:pPr>
    </w:p>
    <w:p w14:paraId="2FF153B8" w14:textId="77777777" w:rsidR="007D547C" w:rsidRPr="009944E8" w:rsidRDefault="007D547C" w:rsidP="009944E8">
      <w:pPr>
        <w:spacing w:line="360" w:lineRule="auto"/>
        <w:jc w:val="both"/>
        <w:rPr>
          <w:rFonts w:ascii="Arial" w:hAnsi="Arial" w:cs="Arial"/>
          <w:sz w:val="24"/>
          <w:szCs w:val="24"/>
        </w:rPr>
      </w:pPr>
      <w:r w:rsidRPr="009944E8">
        <w:rPr>
          <w:rFonts w:ascii="Arial" w:hAnsi="Arial" w:cs="Arial"/>
          <w:sz w:val="24"/>
          <w:szCs w:val="24"/>
        </w:rPr>
        <w:t>La parte actora</w:t>
      </w:r>
      <w:r w:rsidR="00857616" w:rsidRPr="009944E8">
        <w:rPr>
          <w:rFonts w:ascii="Arial" w:hAnsi="Arial" w:cs="Arial"/>
          <w:sz w:val="24"/>
          <w:szCs w:val="24"/>
        </w:rPr>
        <w:t xml:space="preserve"> pretende </w:t>
      </w:r>
      <w:r w:rsidR="00205910" w:rsidRPr="009944E8">
        <w:rPr>
          <w:rFonts w:ascii="Arial" w:hAnsi="Arial" w:cs="Arial"/>
          <w:sz w:val="24"/>
          <w:szCs w:val="24"/>
        </w:rPr>
        <w:t xml:space="preserve">que </w:t>
      </w:r>
      <w:r w:rsidR="00857616" w:rsidRPr="009944E8">
        <w:rPr>
          <w:rFonts w:ascii="Arial" w:hAnsi="Arial" w:cs="Arial"/>
          <w:sz w:val="24"/>
          <w:szCs w:val="24"/>
        </w:rPr>
        <w:t>se declar</w:t>
      </w:r>
      <w:r w:rsidR="00DB14F3" w:rsidRPr="009944E8">
        <w:rPr>
          <w:rFonts w:ascii="Arial" w:hAnsi="Arial" w:cs="Arial"/>
          <w:sz w:val="24"/>
          <w:szCs w:val="24"/>
        </w:rPr>
        <w:t>e</w:t>
      </w:r>
      <w:r w:rsidR="00857616" w:rsidRPr="009944E8">
        <w:rPr>
          <w:rFonts w:ascii="Arial" w:hAnsi="Arial" w:cs="Arial"/>
          <w:sz w:val="24"/>
          <w:szCs w:val="24"/>
        </w:rPr>
        <w:t xml:space="preserve"> la </w:t>
      </w:r>
      <w:r w:rsidR="00857616" w:rsidRPr="009944E8">
        <w:rPr>
          <w:rFonts w:ascii="Arial" w:hAnsi="Arial" w:cs="Arial"/>
          <w:spacing w:val="2"/>
          <w:sz w:val="24"/>
          <w:szCs w:val="24"/>
        </w:rPr>
        <w:t xml:space="preserve">nulidad parcial de la Resolución </w:t>
      </w:r>
      <w:r w:rsidR="00AD2A29" w:rsidRPr="009944E8">
        <w:rPr>
          <w:rFonts w:ascii="Arial" w:hAnsi="Arial" w:cs="Arial"/>
          <w:spacing w:val="2"/>
          <w:sz w:val="24"/>
          <w:szCs w:val="24"/>
        </w:rPr>
        <w:t>No. 00662</w:t>
      </w:r>
      <w:r w:rsidR="00DB14F3" w:rsidRPr="009944E8">
        <w:rPr>
          <w:rFonts w:ascii="Arial" w:hAnsi="Arial" w:cs="Arial"/>
          <w:spacing w:val="2"/>
          <w:sz w:val="24"/>
          <w:szCs w:val="24"/>
        </w:rPr>
        <w:t xml:space="preserve"> </w:t>
      </w:r>
      <w:r w:rsidR="00AD2A29" w:rsidRPr="009944E8">
        <w:rPr>
          <w:rFonts w:ascii="Arial" w:hAnsi="Arial" w:cs="Arial"/>
          <w:spacing w:val="2"/>
          <w:sz w:val="24"/>
          <w:szCs w:val="24"/>
        </w:rPr>
        <w:t>de 4 de octubre de 2013</w:t>
      </w:r>
      <w:r w:rsidR="00857616" w:rsidRPr="009944E8">
        <w:rPr>
          <w:rFonts w:ascii="Arial" w:hAnsi="Arial" w:cs="Arial"/>
          <w:spacing w:val="2"/>
          <w:sz w:val="24"/>
          <w:szCs w:val="24"/>
        </w:rPr>
        <w:t>, por medio de la cual la Unidad de Servicios Penitenciarios y Carcelarios adjudicó la Licitación Pública No. SPC-LP-003-2013</w:t>
      </w:r>
      <w:r w:rsidR="00205910" w:rsidRPr="009944E8">
        <w:rPr>
          <w:rFonts w:ascii="Arial" w:hAnsi="Arial" w:cs="Arial"/>
          <w:spacing w:val="2"/>
          <w:sz w:val="24"/>
          <w:szCs w:val="24"/>
        </w:rPr>
        <w:t>,</w:t>
      </w:r>
      <w:r w:rsidR="00857616" w:rsidRPr="009944E8">
        <w:rPr>
          <w:rFonts w:ascii="Arial" w:hAnsi="Arial" w:cs="Arial"/>
          <w:spacing w:val="2"/>
          <w:sz w:val="24"/>
          <w:szCs w:val="24"/>
        </w:rPr>
        <w:t xml:space="preserve">  </w:t>
      </w:r>
      <w:r w:rsidR="00857616" w:rsidRPr="009944E8">
        <w:rPr>
          <w:rFonts w:ascii="Arial" w:hAnsi="Arial" w:cs="Arial"/>
          <w:sz w:val="24"/>
          <w:szCs w:val="24"/>
          <w:lang w:val="es-ES"/>
        </w:rPr>
        <w:t xml:space="preserve">y </w:t>
      </w:r>
      <w:r w:rsidR="00205910" w:rsidRPr="009944E8">
        <w:rPr>
          <w:rFonts w:ascii="Arial" w:hAnsi="Arial" w:cs="Arial"/>
          <w:sz w:val="24"/>
          <w:szCs w:val="24"/>
          <w:lang w:val="es-ES"/>
        </w:rPr>
        <w:t xml:space="preserve">que </w:t>
      </w:r>
      <w:r w:rsidR="00857616" w:rsidRPr="009944E8">
        <w:rPr>
          <w:rFonts w:ascii="Arial" w:hAnsi="Arial" w:cs="Arial"/>
          <w:sz w:val="24"/>
          <w:szCs w:val="24"/>
          <w:lang w:val="es-ES"/>
        </w:rPr>
        <w:t>se le reconozcan los perjuicios materiales y morales que dicha decisión le habría ocasionado</w:t>
      </w:r>
      <w:r w:rsidR="00857616" w:rsidRPr="009944E8">
        <w:rPr>
          <w:rFonts w:ascii="Arial" w:hAnsi="Arial" w:cs="Arial"/>
          <w:spacing w:val="2"/>
          <w:sz w:val="24"/>
          <w:szCs w:val="24"/>
        </w:rPr>
        <w:t>.</w:t>
      </w:r>
      <w:r w:rsidR="00857616" w:rsidRPr="009944E8">
        <w:rPr>
          <w:rFonts w:ascii="Arial" w:hAnsi="Arial" w:cs="Arial"/>
          <w:sz w:val="24"/>
          <w:szCs w:val="24"/>
          <w:lang w:val="es-ES"/>
        </w:rPr>
        <w:t xml:space="preserve"> </w:t>
      </w:r>
      <w:r w:rsidR="00857616" w:rsidRPr="009944E8">
        <w:rPr>
          <w:rFonts w:ascii="Arial" w:hAnsi="Arial" w:cs="Arial"/>
          <w:sz w:val="24"/>
          <w:szCs w:val="24"/>
        </w:rPr>
        <w:t xml:space="preserve">El Tribunal </w:t>
      </w:r>
      <w:r w:rsidR="00857616" w:rsidRPr="009944E8">
        <w:rPr>
          <w:rFonts w:ascii="Arial" w:hAnsi="Arial" w:cs="Arial"/>
          <w:i/>
          <w:sz w:val="24"/>
          <w:szCs w:val="24"/>
        </w:rPr>
        <w:t xml:space="preserve">a quo </w:t>
      </w:r>
      <w:r w:rsidR="00857616" w:rsidRPr="009944E8">
        <w:rPr>
          <w:rFonts w:ascii="Arial" w:hAnsi="Arial" w:cs="Arial"/>
          <w:sz w:val="24"/>
          <w:szCs w:val="24"/>
        </w:rPr>
        <w:t xml:space="preserve">declaró </w:t>
      </w:r>
      <w:r w:rsidR="00C46574" w:rsidRPr="009944E8">
        <w:rPr>
          <w:rFonts w:ascii="Arial" w:hAnsi="Arial" w:cs="Arial"/>
          <w:sz w:val="24"/>
          <w:szCs w:val="24"/>
        </w:rPr>
        <w:t>de oficio</w:t>
      </w:r>
      <w:r w:rsidR="00857616" w:rsidRPr="009944E8">
        <w:rPr>
          <w:rFonts w:ascii="Arial" w:hAnsi="Arial" w:cs="Arial"/>
          <w:sz w:val="24"/>
          <w:szCs w:val="24"/>
        </w:rPr>
        <w:t xml:space="preserve"> la excepción de caducidad </w:t>
      </w:r>
      <w:r w:rsidR="00C46574" w:rsidRPr="009944E8">
        <w:rPr>
          <w:rFonts w:ascii="Arial" w:hAnsi="Arial" w:cs="Arial"/>
          <w:sz w:val="24"/>
          <w:szCs w:val="24"/>
        </w:rPr>
        <w:t>de la demanda</w:t>
      </w:r>
      <w:r w:rsidR="00857616" w:rsidRPr="009944E8">
        <w:rPr>
          <w:rFonts w:ascii="Arial" w:hAnsi="Arial" w:cs="Arial"/>
          <w:sz w:val="24"/>
          <w:szCs w:val="24"/>
        </w:rPr>
        <w:t>.</w:t>
      </w:r>
    </w:p>
    <w:p w14:paraId="5825891E" w14:textId="77777777" w:rsidR="007D547C" w:rsidRPr="009944E8" w:rsidRDefault="007D547C" w:rsidP="009944E8">
      <w:pPr>
        <w:spacing w:line="360" w:lineRule="auto"/>
        <w:jc w:val="both"/>
        <w:rPr>
          <w:rFonts w:ascii="Arial" w:hAnsi="Arial" w:cs="Arial"/>
          <w:sz w:val="24"/>
          <w:szCs w:val="24"/>
          <w:lang w:val="es-ES_tradnl"/>
        </w:rPr>
      </w:pPr>
    </w:p>
    <w:p w14:paraId="330A247B" w14:textId="77777777" w:rsidR="00AD2A29" w:rsidRPr="009944E8" w:rsidRDefault="007D547C" w:rsidP="009944E8">
      <w:pPr>
        <w:spacing w:line="360" w:lineRule="auto"/>
        <w:jc w:val="both"/>
        <w:rPr>
          <w:rFonts w:ascii="Arial" w:hAnsi="Arial" w:cs="Arial"/>
          <w:i/>
          <w:sz w:val="24"/>
          <w:szCs w:val="24"/>
        </w:rPr>
      </w:pPr>
      <w:r w:rsidRPr="009944E8">
        <w:rPr>
          <w:rFonts w:ascii="Arial" w:hAnsi="Arial" w:cs="Arial"/>
          <w:sz w:val="24"/>
          <w:szCs w:val="24"/>
          <w:lang w:val="es-ES"/>
        </w:rPr>
        <w:t>E</w:t>
      </w:r>
      <w:r w:rsidRPr="009944E8">
        <w:rPr>
          <w:rFonts w:ascii="Arial" w:hAnsi="Arial" w:cs="Arial"/>
          <w:sz w:val="24"/>
          <w:szCs w:val="24"/>
        </w:rPr>
        <w:t xml:space="preserve">n su impugnación, la parte demandante </w:t>
      </w:r>
      <w:r w:rsidR="00AD2A29" w:rsidRPr="009944E8">
        <w:rPr>
          <w:rFonts w:ascii="Arial" w:hAnsi="Arial" w:cs="Arial"/>
          <w:sz w:val="24"/>
          <w:szCs w:val="24"/>
        </w:rPr>
        <w:t xml:space="preserve">aseguró que el Tribunal </w:t>
      </w:r>
      <w:r w:rsidR="00AD2A29" w:rsidRPr="009944E8">
        <w:rPr>
          <w:rFonts w:ascii="Arial" w:hAnsi="Arial" w:cs="Arial"/>
          <w:i/>
          <w:sz w:val="24"/>
          <w:szCs w:val="24"/>
        </w:rPr>
        <w:t>a quo</w:t>
      </w:r>
      <w:r w:rsidR="00DB14F3" w:rsidRPr="009944E8">
        <w:rPr>
          <w:rFonts w:ascii="Arial" w:hAnsi="Arial" w:cs="Arial"/>
          <w:i/>
          <w:sz w:val="24"/>
          <w:szCs w:val="24"/>
        </w:rPr>
        <w:t xml:space="preserve"> </w:t>
      </w:r>
      <w:r w:rsidR="00DB14F3" w:rsidRPr="009944E8">
        <w:rPr>
          <w:rFonts w:ascii="Arial" w:hAnsi="Arial" w:cs="Arial"/>
          <w:sz w:val="24"/>
          <w:szCs w:val="24"/>
        </w:rPr>
        <w:t xml:space="preserve">contabilizó erróneamente el término de interposición de la demanda, por lo que solicitó </w:t>
      </w:r>
      <w:r w:rsidR="00205910" w:rsidRPr="009944E8">
        <w:rPr>
          <w:rFonts w:ascii="Arial" w:hAnsi="Arial" w:cs="Arial"/>
          <w:sz w:val="24"/>
          <w:szCs w:val="24"/>
        </w:rPr>
        <w:t xml:space="preserve">que </w:t>
      </w:r>
      <w:r w:rsidR="00DB14F3" w:rsidRPr="009944E8">
        <w:rPr>
          <w:rFonts w:ascii="Arial" w:hAnsi="Arial" w:cs="Arial"/>
          <w:sz w:val="24"/>
          <w:szCs w:val="24"/>
        </w:rPr>
        <w:t>fuera el superior quien determinara si ésta había sido presentada dentro del término legal.</w:t>
      </w:r>
    </w:p>
    <w:p w14:paraId="272661B2" w14:textId="77777777" w:rsidR="007D547C" w:rsidRPr="009944E8" w:rsidRDefault="007D547C" w:rsidP="009944E8">
      <w:pPr>
        <w:pStyle w:val="Sinespaciado"/>
      </w:pPr>
    </w:p>
    <w:p w14:paraId="067EA96F" w14:textId="77777777" w:rsidR="002A1EBC" w:rsidRPr="009944E8" w:rsidRDefault="007D547C" w:rsidP="009944E8">
      <w:pPr>
        <w:spacing w:line="360" w:lineRule="auto"/>
        <w:jc w:val="both"/>
        <w:rPr>
          <w:rFonts w:ascii="Arial" w:hAnsi="Arial" w:cs="Arial"/>
          <w:color w:val="000000"/>
          <w:sz w:val="24"/>
          <w:szCs w:val="24"/>
        </w:rPr>
      </w:pPr>
      <w:r w:rsidRPr="009944E8">
        <w:rPr>
          <w:rFonts w:ascii="Arial" w:hAnsi="Arial" w:cs="Arial"/>
          <w:bCs/>
          <w:sz w:val="24"/>
          <w:szCs w:val="24"/>
          <w:lang w:val="es-MX"/>
        </w:rPr>
        <w:t>E</w:t>
      </w:r>
      <w:r w:rsidRPr="009944E8">
        <w:rPr>
          <w:rFonts w:ascii="Arial" w:hAnsi="Arial" w:cs="Arial"/>
          <w:bCs/>
          <w:sz w:val="24"/>
          <w:szCs w:val="24"/>
          <w:lang w:val="es-ES_tradnl"/>
        </w:rPr>
        <w:t xml:space="preserve">n cuanto a la contabilización del término de caducidad en eventos en los cuales </w:t>
      </w:r>
      <w:r w:rsidR="002A1EBC" w:rsidRPr="009944E8">
        <w:rPr>
          <w:rFonts w:ascii="Arial" w:hAnsi="Arial" w:cs="Arial"/>
          <w:bCs/>
          <w:sz w:val="24"/>
          <w:szCs w:val="24"/>
          <w:lang w:val="es-ES_tradnl"/>
        </w:rPr>
        <w:t xml:space="preserve">se pretenda la nulidad y restablecimiento de actos administrativos previos a la celebración de un contrato, se debe tener en cuenta que el término será de cuatro </w:t>
      </w:r>
      <w:r w:rsidR="00DB14F3" w:rsidRPr="009944E8">
        <w:rPr>
          <w:rFonts w:ascii="Arial" w:hAnsi="Arial" w:cs="Arial"/>
          <w:bCs/>
          <w:sz w:val="24"/>
          <w:szCs w:val="24"/>
          <w:lang w:val="es-ES_tradnl"/>
        </w:rPr>
        <w:t xml:space="preserve">(4) </w:t>
      </w:r>
      <w:r w:rsidR="002A1EBC" w:rsidRPr="009944E8">
        <w:rPr>
          <w:rFonts w:ascii="Arial" w:hAnsi="Arial" w:cs="Arial"/>
          <w:bCs/>
          <w:sz w:val="24"/>
          <w:szCs w:val="24"/>
          <w:lang w:val="es-ES_tradnl"/>
        </w:rPr>
        <w:t>meses</w:t>
      </w:r>
      <w:r w:rsidR="00205910" w:rsidRPr="009944E8">
        <w:rPr>
          <w:rFonts w:ascii="Arial" w:hAnsi="Arial" w:cs="Arial"/>
          <w:bCs/>
          <w:sz w:val="24"/>
          <w:szCs w:val="24"/>
          <w:lang w:val="es-ES_tradnl"/>
        </w:rPr>
        <w:t>,</w:t>
      </w:r>
      <w:r w:rsidR="002A1EBC" w:rsidRPr="009944E8">
        <w:rPr>
          <w:rFonts w:ascii="Arial" w:hAnsi="Arial" w:cs="Arial"/>
          <w:bCs/>
          <w:sz w:val="24"/>
          <w:szCs w:val="24"/>
          <w:lang w:val="es-ES_tradnl"/>
        </w:rPr>
        <w:t xml:space="preserve"> </w:t>
      </w:r>
      <w:r w:rsidR="00205910" w:rsidRPr="009944E8">
        <w:rPr>
          <w:rFonts w:ascii="Arial" w:hAnsi="Arial" w:cs="Arial"/>
          <w:bCs/>
          <w:sz w:val="24"/>
          <w:szCs w:val="24"/>
          <w:lang w:val="es-ES_tradnl"/>
        </w:rPr>
        <w:t xml:space="preserve">contados </w:t>
      </w:r>
      <w:r w:rsidR="002A1EBC" w:rsidRPr="009944E8">
        <w:rPr>
          <w:rFonts w:ascii="Arial" w:hAnsi="Arial" w:cs="Arial"/>
          <w:bCs/>
          <w:sz w:val="24"/>
          <w:szCs w:val="24"/>
          <w:lang w:val="es-ES_tradnl"/>
        </w:rPr>
        <w:t xml:space="preserve">a partir de la comunicación, publicación, notificación o ejecución, según el caso, </w:t>
      </w:r>
      <w:r w:rsidR="00205910" w:rsidRPr="009944E8">
        <w:rPr>
          <w:rFonts w:ascii="Arial" w:hAnsi="Arial" w:cs="Arial"/>
          <w:sz w:val="24"/>
          <w:szCs w:val="24"/>
        </w:rPr>
        <w:t>de conformidad con el numeral 2</w:t>
      </w:r>
      <w:r w:rsidR="002A1EBC" w:rsidRPr="009944E8">
        <w:rPr>
          <w:rFonts w:ascii="Arial" w:hAnsi="Arial" w:cs="Arial"/>
          <w:sz w:val="24"/>
          <w:szCs w:val="24"/>
        </w:rPr>
        <w:t>, literal c, del artículo 164 del Código de Procedimiento Administrativo y de lo Contencioso Administrativo</w:t>
      </w:r>
      <w:r w:rsidR="002A1EBC" w:rsidRPr="009944E8">
        <w:rPr>
          <w:rStyle w:val="Refdenotaalpie"/>
          <w:rFonts w:ascii="Arial" w:hAnsi="Arial" w:cs="Arial"/>
          <w:sz w:val="24"/>
          <w:szCs w:val="24"/>
        </w:rPr>
        <w:footnoteReference w:id="7"/>
      </w:r>
      <w:r w:rsidR="002A1EBC" w:rsidRPr="009944E8">
        <w:rPr>
          <w:rFonts w:ascii="Arial" w:hAnsi="Arial" w:cs="Arial"/>
          <w:sz w:val="24"/>
          <w:szCs w:val="24"/>
        </w:rPr>
        <w:t>.</w:t>
      </w:r>
    </w:p>
    <w:p w14:paraId="4436AA8A" w14:textId="77777777" w:rsidR="007D547C" w:rsidRPr="009944E8" w:rsidRDefault="007D547C" w:rsidP="009944E8">
      <w:pPr>
        <w:pStyle w:val="Sinespaciado"/>
      </w:pPr>
    </w:p>
    <w:p w14:paraId="00395836" w14:textId="77777777" w:rsidR="007D547C" w:rsidRPr="009944E8" w:rsidRDefault="007D547C" w:rsidP="009944E8">
      <w:pPr>
        <w:spacing w:line="360" w:lineRule="auto"/>
        <w:jc w:val="both"/>
        <w:rPr>
          <w:rFonts w:ascii="Arial" w:hAnsi="Arial" w:cs="Arial"/>
          <w:spacing w:val="2"/>
          <w:sz w:val="24"/>
          <w:szCs w:val="24"/>
        </w:rPr>
      </w:pPr>
      <w:r w:rsidRPr="009944E8">
        <w:rPr>
          <w:rFonts w:ascii="Arial" w:hAnsi="Arial" w:cs="Arial"/>
          <w:sz w:val="24"/>
          <w:szCs w:val="24"/>
        </w:rPr>
        <w:t xml:space="preserve">Así las cosas, para determinar el momento a partir del cual ha de efectuarse el cómputo del término de caducidad de la </w:t>
      </w:r>
      <w:r w:rsidR="00FA7F16" w:rsidRPr="009944E8">
        <w:rPr>
          <w:rFonts w:ascii="Arial" w:hAnsi="Arial" w:cs="Arial"/>
          <w:sz w:val="24"/>
          <w:szCs w:val="24"/>
        </w:rPr>
        <w:t xml:space="preserve">pretensión de nulidad y </w:t>
      </w:r>
      <w:r w:rsidR="00AD2A29" w:rsidRPr="009944E8">
        <w:rPr>
          <w:rFonts w:ascii="Arial" w:hAnsi="Arial" w:cs="Arial"/>
          <w:sz w:val="24"/>
          <w:szCs w:val="24"/>
        </w:rPr>
        <w:t>restablecimiento</w:t>
      </w:r>
      <w:r w:rsidR="00FA7F16" w:rsidRPr="009944E8">
        <w:rPr>
          <w:rFonts w:ascii="Arial" w:hAnsi="Arial" w:cs="Arial"/>
          <w:sz w:val="24"/>
          <w:szCs w:val="24"/>
        </w:rPr>
        <w:t xml:space="preserve"> </w:t>
      </w:r>
      <w:r w:rsidRPr="009944E8">
        <w:rPr>
          <w:rFonts w:ascii="Arial" w:hAnsi="Arial" w:cs="Arial"/>
          <w:sz w:val="24"/>
          <w:szCs w:val="24"/>
        </w:rPr>
        <w:t xml:space="preserve"> para el caso que hoy corresponde a esta Colegiatura decidir, resulta imprescindible establecer la fecha de </w:t>
      </w:r>
      <w:r w:rsidR="00AD2A29" w:rsidRPr="009944E8">
        <w:rPr>
          <w:rFonts w:ascii="Arial" w:hAnsi="Arial" w:cs="Arial"/>
          <w:sz w:val="24"/>
          <w:szCs w:val="24"/>
        </w:rPr>
        <w:t xml:space="preserve">notificación de la </w:t>
      </w:r>
      <w:r w:rsidR="00AD2A29" w:rsidRPr="009944E8">
        <w:rPr>
          <w:rFonts w:ascii="Arial" w:hAnsi="Arial" w:cs="Arial"/>
          <w:spacing w:val="2"/>
          <w:sz w:val="24"/>
          <w:szCs w:val="24"/>
        </w:rPr>
        <w:t>Resolución No. 00662 de 4 de octubre de 2013, por medio de la cual la Unidad de Servicios Penitenciarios y Carcelarios adjudicó la Licitación Pública No. SPC-LP-003-2013</w:t>
      </w:r>
      <w:r w:rsidR="002A1EBC" w:rsidRPr="009944E8">
        <w:rPr>
          <w:rFonts w:ascii="Arial" w:hAnsi="Arial" w:cs="Arial"/>
          <w:spacing w:val="2"/>
          <w:sz w:val="24"/>
          <w:szCs w:val="24"/>
        </w:rPr>
        <w:t>.</w:t>
      </w:r>
      <w:r w:rsidR="00AD2A29" w:rsidRPr="009944E8">
        <w:rPr>
          <w:rFonts w:ascii="Arial" w:hAnsi="Arial" w:cs="Arial"/>
          <w:spacing w:val="2"/>
          <w:sz w:val="24"/>
          <w:szCs w:val="24"/>
        </w:rPr>
        <w:t xml:space="preserve">  </w:t>
      </w:r>
    </w:p>
    <w:p w14:paraId="32F9CE8F" w14:textId="77777777" w:rsidR="007D547C" w:rsidRPr="009944E8" w:rsidRDefault="007D547C" w:rsidP="009944E8">
      <w:pPr>
        <w:pStyle w:val="Sinespaciado"/>
      </w:pPr>
    </w:p>
    <w:p w14:paraId="34760D9B" w14:textId="77777777" w:rsidR="007D547C" w:rsidRPr="009944E8" w:rsidRDefault="007D547C" w:rsidP="009944E8">
      <w:pPr>
        <w:spacing w:line="360" w:lineRule="auto"/>
        <w:jc w:val="both"/>
        <w:rPr>
          <w:rFonts w:ascii="Arial" w:hAnsi="Arial" w:cs="Arial"/>
          <w:color w:val="000000"/>
          <w:sz w:val="24"/>
          <w:szCs w:val="24"/>
        </w:rPr>
      </w:pPr>
      <w:r w:rsidRPr="009944E8">
        <w:rPr>
          <w:rFonts w:ascii="Arial" w:hAnsi="Arial" w:cs="Arial"/>
          <w:color w:val="000000"/>
          <w:sz w:val="24"/>
          <w:szCs w:val="24"/>
        </w:rPr>
        <w:t>En este sentido se tiene que</w:t>
      </w:r>
      <w:r w:rsidR="00AD2A29" w:rsidRPr="009944E8">
        <w:rPr>
          <w:rFonts w:ascii="Arial" w:hAnsi="Arial" w:cs="Arial"/>
          <w:color w:val="000000"/>
          <w:sz w:val="24"/>
          <w:szCs w:val="24"/>
        </w:rPr>
        <w:t xml:space="preserve"> el acto de adjudicación </w:t>
      </w:r>
      <w:r w:rsidR="002A1EBC" w:rsidRPr="009944E8">
        <w:rPr>
          <w:rFonts w:ascii="Arial" w:hAnsi="Arial" w:cs="Arial"/>
          <w:color w:val="000000"/>
          <w:sz w:val="24"/>
          <w:szCs w:val="24"/>
        </w:rPr>
        <w:t xml:space="preserve">se profirió </w:t>
      </w:r>
      <w:r w:rsidR="00AD2A29" w:rsidRPr="009944E8">
        <w:rPr>
          <w:rFonts w:ascii="Arial" w:hAnsi="Arial" w:cs="Arial"/>
          <w:color w:val="000000"/>
          <w:sz w:val="24"/>
          <w:szCs w:val="24"/>
        </w:rPr>
        <w:t>en audiencia pública el 4 de octubre de 2013</w:t>
      </w:r>
      <w:r w:rsidR="00AD2A29" w:rsidRPr="009944E8">
        <w:rPr>
          <w:rStyle w:val="Refdenotaalpie"/>
          <w:rFonts w:ascii="Arial" w:hAnsi="Arial" w:cs="Arial"/>
          <w:color w:val="000000"/>
          <w:sz w:val="24"/>
          <w:szCs w:val="24"/>
        </w:rPr>
        <w:footnoteReference w:id="8"/>
      </w:r>
      <w:r w:rsidR="00AD2A29" w:rsidRPr="009944E8">
        <w:rPr>
          <w:rFonts w:ascii="Arial" w:hAnsi="Arial" w:cs="Arial"/>
          <w:color w:val="000000"/>
          <w:sz w:val="24"/>
          <w:szCs w:val="24"/>
        </w:rPr>
        <w:t>, fecha en l</w:t>
      </w:r>
      <w:r w:rsidR="00205910" w:rsidRPr="009944E8">
        <w:rPr>
          <w:rFonts w:ascii="Arial" w:hAnsi="Arial" w:cs="Arial"/>
          <w:color w:val="000000"/>
          <w:sz w:val="24"/>
          <w:szCs w:val="24"/>
        </w:rPr>
        <w:t>a cual se notificó por estrados</w:t>
      </w:r>
      <w:r w:rsidR="00AD2A29" w:rsidRPr="009944E8">
        <w:rPr>
          <w:rFonts w:ascii="Arial" w:hAnsi="Arial" w:cs="Arial"/>
          <w:color w:val="000000"/>
          <w:sz w:val="24"/>
          <w:szCs w:val="24"/>
        </w:rPr>
        <w:t xml:space="preserve"> a todos los proponentes, por lo que el término de caducidad se debe contar a partir del día siguiente, es decir, desde el 5 de octubre de 2013 hasta el </w:t>
      </w:r>
      <w:r w:rsidR="002A1EBC" w:rsidRPr="009944E8">
        <w:rPr>
          <w:rFonts w:ascii="Arial" w:hAnsi="Arial" w:cs="Arial"/>
          <w:color w:val="000000"/>
          <w:sz w:val="24"/>
          <w:szCs w:val="24"/>
        </w:rPr>
        <w:t xml:space="preserve">5 </w:t>
      </w:r>
      <w:r w:rsidR="00AD2A29" w:rsidRPr="009944E8">
        <w:rPr>
          <w:rFonts w:ascii="Arial" w:hAnsi="Arial" w:cs="Arial"/>
          <w:color w:val="000000"/>
          <w:sz w:val="24"/>
          <w:szCs w:val="24"/>
        </w:rPr>
        <w:t>de febrero de 2014</w:t>
      </w:r>
      <w:r w:rsidR="002A1EBC" w:rsidRPr="009944E8">
        <w:rPr>
          <w:rFonts w:ascii="Arial" w:hAnsi="Arial" w:cs="Arial"/>
          <w:sz w:val="24"/>
          <w:szCs w:val="24"/>
        </w:rPr>
        <w:t>.</w:t>
      </w:r>
    </w:p>
    <w:p w14:paraId="2FF4CA60" w14:textId="77777777" w:rsidR="007D547C" w:rsidRPr="009944E8" w:rsidRDefault="007D547C" w:rsidP="009944E8">
      <w:pPr>
        <w:pStyle w:val="Sinespaciado"/>
      </w:pPr>
    </w:p>
    <w:p w14:paraId="5D04A143" w14:textId="77777777" w:rsidR="007D547C" w:rsidRPr="009944E8" w:rsidRDefault="007D547C" w:rsidP="009944E8">
      <w:pPr>
        <w:spacing w:line="360" w:lineRule="auto"/>
        <w:jc w:val="both"/>
        <w:rPr>
          <w:rFonts w:ascii="Arial" w:hAnsi="Arial" w:cs="Arial"/>
          <w:sz w:val="24"/>
          <w:szCs w:val="24"/>
        </w:rPr>
      </w:pPr>
      <w:r w:rsidRPr="009944E8">
        <w:rPr>
          <w:rFonts w:ascii="Arial" w:hAnsi="Arial" w:cs="Arial"/>
          <w:sz w:val="24"/>
          <w:szCs w:val="24"/>
        </w:rPr>
        <w:t xml:space="preserve">Ahora bien, se tiene que el </w:t>
      </w:r>
      <w:r w:rsidR="00E35265" w:rsidRPr="009944E8">
        <w:rPr>
          <w:rFonts w:ascii="Arial" w:hAnsi="Arial" w:cs="Arial"/>
          <w:sz w:val="24"/>
          <w:szCs w:val="24"/>
        </w:rPr>
        <w:t>26 de noviembre de 2013</w:t>
      </w:r>
      <w:r w:rsidRPr="009944E8">
        <w:rPr>
          <w:rFonts w:ascii="Arial" w:hAnsi="Arial" w:cs="Arial"/>
          <w:sz w:val="24"/>
          <w:szCs w:val="24"/>
        </w:rPr>
        <w:t xml:space="preserve"> la parte actora solicitó audiencia de conciliación extrajudicial ante </w:t>
      </w:r>
      <w:smartTag w:uri="urn:schemas-microsoft-com:office:smarttags" w:element="PersonName">
        <w:smartTagPr>
          <w:attr w:name="ProductID" w:val="la Procuradur￭a"/>
        </w:smartTagPr>
        <w:r w:rsidRPr="009944E8">
          <w:rPr>
            <w:rFonts w:ascii="Arial" w:hAnsi="Arial" w:cs="Arial"/>
            <w:sz w:val="24"/>
            <w:szCs w:val="24"/>
          </w:rPr>
          <w:t>la Procuraduría</w:t>
        </w:r>
      </w:smartTag>
      <w:r w:rsidRPr="009944E8">
        <w:rPr>
          <w:rFonts w:ascii="Arial" w:hAnsi="Arial" w:cs="Arial"/>
          <w:sz w:val="24"/>
          <w:szCs w:val="24"/>
        </w:rPr>
        <w:t xml:space="preserve"> </w:t>
      </w:r>
      <w:r w:rsidR="00E35265" w:rsidRPr="009944E8">
        <w:rPr>
          <w:rFonts w:ascii="Arial" w:hAnsi="Arial" w:cs="Arial"/>
          <w:sz w:val="24"/>
          <w:szCs w:val="24"/>
        </w:rPr>
        <w:t>131</w:t>
      </w:r>
      <w:r w:rsidRPr="009944E8">
        <w:rPr>
          <w:rFonts w:ascii="Arial" w:hAnsi="Arial" w:cs="Arial"/>
          <w:sz w:val="24"/>
          <w:szCs w:val="24"/>
        </w:rPr>
        <w:t xml:space="preserve"> Judicial</w:t>
      </w:r>
      <w:r w:rsidR="00E35265" w:rsidRPr="009944E8">
        <w:rPr>
          <w:rFonts w:ascii="Arial" w:hAnsi="Arial" w:cs="Arial"/>
          <w:sz w:val="24"/>
          <w:szCs w:val="24"/>
        </w:rPr>
        <w:t xml:space="preserve"> II</w:t>
      </w:r>
      <w:r w:rsidRPr="009944E8">
        <w:rPr>
          <w:rFonts w:ascii="Arial" w:hAnsi="Arial" w:cs="Arial"/>
          <w:sz w:val="24"/>
          <w:szCs w:val="24"/>
        </w:rPr>
        <w:t xml:space="preserve"> para Asuntos Administrativos, fecha en la cual operó la suspensión del término de caducidad de la demanda, de conformidad con lo dispuesto en los artículos 3 del Decreto 1716 de 2009 y 21 de </w:t>
      </w:r>
      <w:smartTag w:uri="urn:schemas-microsoft-com:office:smarttags" w:element="PersonName">
        <w:smartTagPr>
          <w:attr w:name="ProductID" w:val="la Ley"/>
        </w:smartTagPr>
        <w:r w:rsidRPr="009944E8">
          <w:rPr>
            <w:rFonts w:ascii="Arial" w:hAnsi="Arial" w:cs="Arial"/>
            <w:sz w:val="24"/>
            <w:szCs w:val="24"/>
          </w:rPr>
          <w:t>la Ley</w:t>
        </w:r>
      </w:smartTag>
      <w:r w:rsidRPr="009944E8">
        <w:rPr>
          <w:rFonts w:ascii="Arial" w:hAnsi="Arial" w:cs="Arial"/>
          <w:sz w:val="24"/>
          <w:szCs w:val="24"/>
        </w:rPr>
        <w:t xml:space="preserve"> 640 de 200</w:t>
      </w:r>
      <w:r w:rsidR="00DB14F3" w:rsidRPr="009944E8">
        <w:rPr>
          <w:rFonts w:ascii="Arial" w:hAnsi="Arial" w:cs="Arial"/>
          <w:sz w:val="24"/>
          <w:szCs w:val="24"/>
        </w:rPr>
        <w:t>1</w:t>
      </w:r>
      <w:r w:rsidRPr="009944E8">
        <w:rPr>
          <w:rFonts w:ascii="Arial" w:hAnsi="Arial" w:cs="Arial"/>
          <w:sz w:val="24"/>
          <w:szCs w:val="24"/>
        </w:rPr>
        <w:t xml:space="preserve">, por lo que dicho término se </w:t>
      </w:r>
      <w:r w:rsidRPr="009944E8">
        <w:rPr>
          <w:rFonts w:ascii="Arial" w:hAnsi="Arial" w:cs="Arial"/>
          <w:sz w:val="24"/>
          <w:szCs w:val="24"/>
        </w:rPr>
        <w:lastRenderedPageBreak/>
        <w:t xml:space="preserve">reanudó el día </w:t>
      </w:r>
      <w:r w:rsidR="00E35265" w:rsidRPr="009944E8">
        <w:rPr>
          <w:rFonts w:ascii="Arial" w:hAnsi="Arial" w:cs="Arial"/>
          <w:sz w:val="24"/>
          <w:szCs w:val="24"/>
        </w:rPr>
        <w:t>7 de febrero de 2014</w:t>
      </w:r>
      <w:r w:rsidRPr="009944E8">
        <w:rPr>
          <w:rFonts w:ascii="Arial" w:hAnsi="Arial" w:cs="Arial"/>
          <w:sz w:val="24"/>
          <w:szCs w:val="24"/>
        </w:rPr>
        <w:t>, fecha en la cual se expidió constancia de audiencia fallida</w:t>
      </w:r>
      <w:r w:rsidRPr="009944E8">
        <w:rPr>
          <w:rStyle w:val="Refdenotaalpie"/>
          <w:rFonts w:ascii="Arial" w:hAnsi="Arial" w:cs="Arial"/>
          <w:sz w:val="24"/>
          <w:szCs w:val="24"/>
        </w:rPr>
        <w:footnoteReference w:id="9"/>
      </w:r>
      <w:r w:rsidRPr="009944E8">
        <w:rPr>
          <w:rFonts w:ascii="Arial" w:hAnsi="Arial" w:cs="Arial"/>
          <w:sz w:val="24"/>
          <w:szCs w:val="24"/>
        </w:rPr>
        <w:t>.</w:t>
      </w:r>
    </w:p>
    <w:p w14:paraId="15AB5FC2" w14:textId="77777777" w:rsidR="007D547C" w:rsidRPr="009944E8" w:rsidRDefault="007D547C" w:rsidP="009944E8">
      <w:pPr>
        <w:spacing w:line="360" w:lineRule="auto"/>
        <w:jc w:val="both"/>
        <w:rPr>
          <w:rFonts w:ascii="Arial" w:hAnsi="Arial" w:cs="Arial"/>
          <w:sz w:val="24"/>
          <w:szCs w:val="24"/>
        </w:rPr>
      </w:pPr>
      <w:r w:rsidRPr="009944E8">
        <w:rPr>
          <w:rFonts w:ascii="Arial" w:hAnsi="Arial" w:cs="Arial"/>
          <w:sz w:val="24"/>
          <w:szCs w:val="24"/>
        </w:rPr>
        <w:t xml:space="preserve">De todo lo anterior, se concluye que el término de caducidad en este evento fue suspendido con la presentación de la solicitud de conciliación extrajudicial ante el Ministerio Público, cuando faltaban </w:t>
      </w:r>
      <w:r w:rsidR="00116A13" w:rsidRPr="009944E8">
        <w:rPr>
          <w:rFonts w:ascii="Arial" w:hAnsi="Arial" w:cs="Arial"/>
          <w:sz w:val="24"/>
          <w:szCs w:val="24"/>
        </w:rPr>
        <w:t>72</w:t>
      </w:r>
      <w:r w:rsidR="00966E2E" w:rsidRPr="009944E8">
        <w:rPr>
          <w:rFonts w:ascii="Arial" w:hAnsi="Arial" w:cs="Arial"/>
          <w:sz w:val="24"/>
          <w:szCs w:val="24"/>
        </w:rPr>
        <w:t xml:space="preserve"> </w:t>
      </w:r>
      <w:r w:rsidRPr="009944E8">
        <w:rPr>
          <w:rFonts w:ascii="Arial" w:hAnsi="Arial" w:cs="Arial"/>
          <w:sz w:val="24"/>
          <w:szCs w:val="24"/>
        </w:rPr>
        <w:t xml:space="preserve">días para que operara la caducidad de la pretensión de </w:t>
      </w:r>
      <w:r w:rsidR="002A1EBC" w:rsidRPr="009944E8">
        <w:rPr>
          <w:rFonts w:ascii="Arial" w:hAnsi="Arial" w:cs="Arial"/>
          <w:sz w:val="24"/>
          <w:szCs w:val="24"/>
        </w:rPr>
        <w:t>nulidad y restablecimiento</w:t>
      </w:r>
      <w:r w:rsidRPr="009944E8">
        <w:rPr>
          <w:rFonts w:ascii="Arial" w:hAnsi="Arial" w:cs="Arial"/>
          <w:sz w:val="24"/>
          <w:szCs w:val="24"/>
        </w:rPr>
        <w:t xml:space="preserve">, por </w:t>
      </w:r>
      <w:r w:rsidR="00BD70F8" w:rsidRPr="009944E8">
        <w:rPr>
          <w:rFonts w:ascii="Arial" w:hAnsi="Arial" w:cs="Arial"/>
          <w:sz w:val="24"/>
          <w:szCs w:val="24"/>
        </w:rPr>
        <w:t>lo que se deben adicionar éstos</w:t>
      </w:r>
      <w:r w:rsidRPr="009944E8">
        <w:rPr>
          <w:rFonts w:ascii="Arial" w:hAnsi="Arial" w:cs="Arial"/>
          <w:sz w:val="24"/>
          <w:szCs w:val="24"/>
        </w:rPr>
        <w:t xml:space="preserve"> al término para demandar</w:t>
      </w:r>
      <w:r w:rsidR="00BD70F8" w:rsidRPr="009944E8">
        <w:rPr>
          <w:rFonts w:ascii="Arial" w:hAnsi="Arial" w:cs="Arial"/>
          <w:sz w:val="24"/>
          <w:szCs w:val="24"/>
        </w:rPr>
        <w:t>,</w:t>
      </w:r>
      <w:r w:rsidRPr="009944E8">
        <w:rPr>
          <w:rFonts w:ascii="Arial" w:hAnsi="Arial" w:cs="Arial"/>
          <w:sz w:val="24"/>
          <w:szCs w:val="24"/>
        </w:rPr>
        <w:t xml:space="preserve"> contabilizándolo –en consecuencia- desde el </w:t>
      </w:r>
      <w:r w:rsidR="002A1EBC" w:rsidRPr="009944E8">
        <w:rPr>
          <w:rFonts w:ascii="Arial" w:hAnsi="Arial" w:cs="Arial"/>
          <w:sz w:val="24"/>
          <w:szCs w:val="24"/>
        </w:rPr>
        <w:t>8 de febrero de 2014</w:t>
      </w:r>
      <w:r w:rsidRPr="009944E8">
        <w:rPr>
          <w:rFonts w:ascii="Arial" w:hAnsi="Arial" w:cs="Arial"/>
          <w:sz w:val="24"/>
          <w:szCs w:val="24"/>
        </w:rPr>
        <w:t>-</w:t>
      </w:r>
      <w:r w:rsidR="001051BF" w:rsidRPr="009944E8">
        <w:rPr>
          <w:rFonts w:ascii="Arial" w:hAnsi="Arial" w:cs="Arial"/>
          <w:sz w:val="24"/>
          <w:szCs w:val="24"/>
        </w:rPr>
        <w:t xml:space="preserve"> </w:t>
      </w:r>
      <w:r w:rsidRPr="009944E8">
        <w:rPr>
          <w:rFonts w:ascii="Arial" w:hAnsi="Arial" w:cs="Arial"/>
          <w:sz w:val="24"/>
          <w:szCs w:val="24"/>
        </w:rPr>
        <w:t>día siguiente a la expedición de la certificación de la audiencia fallida de conciliación-</w:t>
      </w:r>
      <w:r w:rsidR="001051BF" w:rsidRPr="009944E8">
        <w:rPr>
          <w:rFonts w:ascii="Arial" w:hAnsi="Arial" w:cs="Arial"/>
          <w:sz w:val="24"/>
          <w:szCs w:val="24"/>
        </w:rPr>
        <w:t xml:space="preserve"> </w:t>
      </w:r>
      <w:r w:rsidRPr="009944E8">
        <w:rPr>
          <w:rFonts w:ascii="Arial" w:hAnsi="Arial" w:cs="Arial"/>
          <w:sz w:val="24"/>
          <w:szCs w:val="24"/>
        </w:rPr>
        <w:t xml:space="preserve">hasta el </w:t>
      </w:r>
      <w:r w:rsidR="00116A13" w:rsidRPr="009944E8">
        <w:rPr>
          <w:rFonts w:ascii="Arial" w:hAnsi="Arial" w:cs="Arial"/>
          <w:sz w:val="24"/>
          <w:szCs w:val="24"/>
        </w:rPr>
        <w:t>20</w:t>
      </w:r>
      <w:r w:rsidR="002A1EBC" w:rsidRPr="009944E8">
        <w:rPr>
          <w:rFonts w:ascii="Arial" w:hAnsi="Arial" w:cs="Arial"/>
          <w:sz w:val="24"/>
          <w:szCs w:val="24"/>
        </w:rPr>
        <w:t xml:space="preserve"> de abril</w:t>
      </w:r>
      <w:r w:rsidRPr="009944E8">
        <w:rPr>
          <w:rFonts w:ascii="Arial" w:hAnsi="Arial" w:cs="Arial"/>
          <w:sz w:val="24"/>
          <w:szCs w:val="24"/>
        </w:rPr>
        <w:t xml:space="preserve"> del mismo año, fecha en la cual finalizaron los </w:t>
      </w:r>
      <w:r w:rsidR="002A1EBC" w:rsidRPr="009944E8">
        <w:rPr>
          <w:rFonts w:ascii="Arial" w:hAnsi="Arial" w:cs="Arial"/>
          <w:sz w:val="24"/>
          <w:szCs w:val="24"/>
        </w:rPr>
        <w:t>4 meses.</w:t>
      </w:r>
    </w:p>
    <w:p w14:paraId="6A8555D6" w14:textId="77777777" w:rsidR="007D547C" w:rsidRPr="009944E8" w:rsidRDefault="007D547C" w:rsidP="009944E8">
      <w:pPr>
        <w:pStyle w:val="Sinespaciado"/>
        <w:rPr>
          <w:lang w:val="es-ES_tradnl"/>
        </w:rPr>
      </w:pPr>
    </w:p>
    <w:p w14:paraId="183AF412" w14:textId="77777777" w:rsidR="00966E2E" w:rsidRPr="009944E8" w:rsidRDefault="008D2A29" w:rsidP="009944E8">
      <w:pPr>
        <w:spacing w:line="360" w:lineRule="auto"/>
        <w:jc w:val="both"/>
        <w:rPr>
          <w:rFonts w:ascii="Arial" w:hAnsi="Arial" w:cs="Arial"/>
          <w:sz w:val="24"/>
          <w:szCs w:val="24"/>
        </w:rPr>
      </w:pPr>
      <w:r w:rsidRPr="009944E8">
        <w:rPr>
          <w:rFonts w:ascii="Arial" w:hAnsi="Arial" w:cs="Arial"/>
          <w:sz w:val="24"/>
          <w:szCs w:val="24"/>
        </w:rPr>
        <w:t>En el presente asunto</w:t>
      </w:r>
      <w:r w:rsidR="00966E2E" w:rsidRPr="009944E8">
        <w:rPr>
          <w:rFonts w:ascii="Arial" w:hAnsi="Arial" w:cs="Arial"/>
          <w:sz w:val="24"/>
          <w:szCs w:val="24"/>
        </w:rPr>
        <w:t xml:space="preserve">, es del caso precisar que el </w:t>
      </w:r>
      <w:r w:rsidR="00116A13" w:rsidRPr="009944E8">
        <w:rPr>
          <w:rFonts w:ascii="Arial" w:hAnsi="Arial" w:cs="Arial"/>
          <w:sz w:val="24"/>
          <w:szCs w:val="24"/>
        </w:rPr>
        <w:t>20</w:t>
      </w:r>
      <w:r w:rsidR="00966E2E" w:rsidRPr="009944E8">
        <w:rPr>
          <w:rFonts w:ascii="Arial" w:hAnsi="Arial" w:cs="Arial"/>
          <w:sz w:val="24"/>
          <w:szCs w:val="24"/>
        </w:rPr>
        <w:t xml:space="preserve"> de abril de 2014 los despachos judiciales se encontraban cerrados debido </w:t>
      </w:r>
      <w:r w:rsidR="00116A13" w:rsidRPr="009944E8">
        <w:rPr>
          <w:rFonts w:ascii="Arial" w:hAnsi="Arial" w:cs="Arial"/>
          <w:sz w:val="24"/>
          <w:szCs w:val="24"/>
        </w:rPr>
        <w:t>a que fue domingo</w:t>
      </w:r>
      <w:r w:rsidR="00966E2E" w:rsidRPr="009944E8">
        <w:rPr>
          <w:rFonts w:ascii="Arial" w:hAnsi="Arial" w:cs="Arial"/>
          <w:sz w:val="24"/>
          <w:szCs w:val="24"/>
        </w:rPr>
        <w:t>, por lo que</w:t>
      </w:r>
      <w:r w:rsidR="001051BF" w:rsidRPr="009944E8">
        <w:rPr>
          <w:rFonts w:ascii="Arial" w:hAnsi="Arial" w:cs="Arial"/>
          <w:sz w:val="24"/>
          <w:szCs w:val="24"/>
        </w:rPr>
        <w:t>,</w:t>
      </w:r>
      <w:r w:rsidR="00966E2E" w:rsidRPr="009944E8">
        <w:rPr>
          <w:rFonts w:ascii="Arial" w:hAnsi="Arial" w:cs="Arial"/>
          <w:sz w:val="24"/>
          <w:szCs w:val="24"/>
        </w:rPr>
        <w:t xml:space="preserve"> de conformidad con lo dispuesto por el artículo 118 del Código General del Proceso, habría de entenderse que </w:t>
      </w:r>
      <w:r w:rsidR="00FF218E" w:rsidRPr="009944E8">
        <w:rPr>
          <w:rFonts w:ascii="Arial" w:hAnsi="Arial" w:cs="Arial"/>
          <w:sz w:val="24"/>
          <w:szCs w:val="24"/>
        </w:rPr>
        <w:t xml:space="preserve">el término para presentar el libelo </w:t>
      </w:r>
      <w:proofErr w:type="spellStart"/>
      <w:r w:rsidR="00FF218E" w:rsidRPr="009944E8">
        <w:rPr>
          <w:rFonts w:ascii="Arial" w:hAnsi="Arial" w:cs="Arial"/>
          <w:sz w:val="24"/>
          <w:szCs w:val="24"/>
        </w:rPr>
        <w:t>demandatorio</w:t>
      </w:r>
      <w:proofErr w:type="spellEnd"/>
      <w:r w:rsidR="00FF218E" w:rsidRPr="009944E8">
        <w:rPr>
          <w:rFonts w:ascii="Arial" w:hAnsi="Arial" w:cs="Arial"/>
          <w:sz w:val="24"/>
          <w:szCs w:val="24"/>
        </w:rPr>
        <w:t xml:space="preserve"> fenecía</w:t>
      </w:r>
      <w:r w:rsidR="00966E2E" w:rsidRPr="009944E8">
        <w:rPr>
          <w:rFonts w:ascii="Arial" w:hAnsi="Arial" w:cs="Arial"/>
          <w:sz w:val="24"/>
          <w:szCs w:val="24"/>
        </w:rPr>
        <w:t xml:space="preserve"> el 21 del mismos mes y año, por ser ese el primer día hábil siguiente</w:t>
      </w:r>
      <w:r w:rsidR="00966E2E" w:rsidRPr="009944E8">
        <w:rPr>
          <w:rStyle w:val="Refdenotaalpie"/>
          <w:rFonts w:ascii="Arial" w:hAnsi="Arial" w:cs="Arial"/>
          <w:sz w:val="24"/>
          <w:szCs w:val="24"/>
        </w:rPr>
        <w:footnoteReference w:id="10"/>
      </w:r>
      <w:r w:rsidR="001051BF" w:rsidRPr="009944E8">
        <w:rPr>
          <w:rFonts w:ascii="Arial" w:hAnsi="Arial" w:cs="Arial"/>
          <w:sz w:val="24"/>
          <w:szCs w:val="24"/>
        </w:rPr>
        <w:t>.</w:t>
      </w:r>
    </w:p>
    <w:p w14:paraId="28B21DA6" w14:textId="77777777" w:rsidR="00966E2E" w:rsidRPr="009944E8" w:rsidRDefault="00966E2E" w:rsidP="009944E8">
      <w:pPr>
        <w:pStyle w:val="Sinespaciado"/>
      </w:pPr>
    </w:p>
    <w:p w14:paraId="54282B3E" w14:textId="77777777" w:rsidR="007D547C" w:rsidRPr="009944E8" w:rsidRDefault="007D547C" w:rsidP="009944E8">
      <w:pPr>
        <w:spacing w:line="360" w:lineRule="auto"/>
        <w:jc w:val="both"/>
        <w:rPr>
          <w:rFonts w:ascii="Arial" w:hAnsi="Arial" w:cs="Arial"/>
          <w:sz w:val="24"/>
          <w:szCs w:val="24"/>
        </w:rPr>
      </w:pPr>
      <w:r w:rsidRPr="009944E8">
        <w:rPr>
          <w:rFonts w:ascii="Arial" w:hAnsi="Arial" w:cs="Arial"/>
          <w:sz w:val="24"/>
          <w:szCs w:val="24"/>
        </w:rPr>
        <w:t xml:space="preserve">En virtud de lo anterior, por haberse </w:t>
      </w:r>
      <w:r w:rsidRPr="009944E8">
        <w:rPr>
          <w:rFonts w:ascii="Arial" w:hAnsi="Arial" w:cs="Arial"/>
          <w:b/>
          <w:sz w:val="24"/>
          <w:szCs w:val="24"/>
        </w:rPr>
        <w:t xml:space="preserve">interpuesto en este caso la demanda el </w:t>
      </w:r>
      <w:r w:rsidR="00DB14F3" w:rsidRPr="009944E8">
        <w:rPr>
          <w:rFonts w:ascii="Arial" w:hAnsi="Arial" w:cs="Arial"/>
          <w:b/>
          <w:sz w:val="24"/>
          <w:szCs w:val="24"/>
        </w:rPr>
        <w:t>22 de abril de 2014</w:t>
      </w:r>
      <w:r w:rsidR="00DB14F3" w:rsidRPr="009944E8">
        <w:rPr>
          <w:rStyle w:val="Refdenotaalpie"/>
          <w:rFonts w:ascii="Arial" w:hAnsi="Arial" w:cs="Arial"/>
          <w:b/>
          <w:sz w:val="24"/>
          <w:szCs w:val="24"/>
        </w:rPr>
        <w:footnoteReference w:id="11"/>
      </w:r>
      <w:r w:rsidRPr="009944E8">
        <w:rPr>
          <w:rFonts w:ascii="Arial" w:hAnsi="Arial" w:cs="Arial"/>
          <w:sz w:val="24"/>
          <w:szCs w:val="24"/>
        </w:rPr>
        <w:t xml:space="preserve">, se observa que para esa fecha había operado el fenómeno de caducidad de la pretensión de </w:t>
      </w:r>
      <w:r w:rsidR="00FF218E" w:rsidRPr="009944E8">
        <w:rPr>
          <w:rFonts w:ascii="Arial" w:hAnsi="Arial" w:cs="Arial"/>
          <w:sz w:val="24"/>
          <w:szCs w:val="24"/>
        </w:rPr>
        <w:t>nulidad y restablecimiento del derecho</w:t>
      </w:r>
      <w:r w:rsidRPr="009944E8">
        <w:rPr>
          <w:rFonts w:ascii="Arial" w:hAnsi="Arial" w:cs="Arial"/>
          <w:sz w:val="24"/>
          <w:szCs w:val="24"/>
        </w:rPr>
        <w:t xml:space="preserve">, comoquiera que el </w:t>
      </w:r>
      <w:r w:rsidR="00DB14F3" w:rsidRPr="009944E8">
        <w:rPr>
          <w:rFonts w:ascii="Arial" w:hAnsi="Arial" w:cs="Arial"/>
          <w:sz w:val="24"/>
          <w:szCs w:val="24"/>
        </w:rPr>
        <w:t xml:space="preserve">21 del mismo mes y año </w:t>
      </w:r>
      <w:r w:rsidRPr="009944E8">
        <w:rPr>
          <w:rFonts w:ascii="Arial" w:hAnsi="Arial" w:cs="Arial"/>
          <w:sz w:val="24"/>
          <w:szCs w:val="24"/>
        </w:rPr>
        <w:t>vencía el término de que t</w:t>
      </w:r>
      <w:r w:rsidR="001051BF" w:rsidRPr="009944E8">
        <w:rPr>
          <w:rFonts w:ascii="Arial" w:hAnsi="Arial" w:cs="Arial"/>
          <w:sz w:val="24"/>
          <w:szCs w:val="24"/>
        </w:rPr>
        <w:t>rata el artículo 164, numeral 2</w:t>
      </w:r>
      <w:r w:rsidRPr="009944E8">
        <w:rPr>
          <w:rFonts w:ascii="Arial" w:hAnsi="Arial" w:cs="Arial"/>
          <w:sz w:val="24"/>
          <w:szCs w:val="24"/>
        </w:rPr>
        <w:t xml:space="preserve">, literal </w:t>
      </w:r>
      <w:r w:rsidR="00DB14F3" w:rsidRPr="009944E8">
        <w:rPr>
          <w:rFonts w:ascii="Arial" w:hAnsi="Arial" w:cs="Arial"/>
          <w:sz w:val="24"/>
          <w:szCs w:val="24"/>
        </w:rPr>
        <w:t>c</w:t>
      </w:r>
      <w:r w:rsidRPr="009944E8">
        <w:rPr>
          <w:rFonts w:ascii="Arial" w:hAnsi="Arial" w:cs="Arial"/>
          <w:sz w:val="24"/>
          <w:szCs w:val="24"/>
        </w:rPr>
        <w:t>, del Código de Procedimiento Administrativo y de lo Contencioso Administrat</w:t>
      </w:r>
      <w:r w:rsidR="00DB14F3" w:rsidRPr="009944E8">
        <w:rPr>
          <w:rFonts w:ascii="Arial" w:hAnsi="Arial" w:cs="Arial"/>
          <w:sz w:val="24"/>
          <w:szCs w:val="24"/>
        </w:rPr>
        <w:t>ivo, razón por la cual la Sala confirmará</w:t>
      </w:r>
      <w:r w:rsidRPr="009944E8">
        <w:rPr>
          <w:rFonts w:ascii="Arial" w:hAnsi="Arial" w:cs="Arial"/>
          <w:sz w:val="24"/>
          <w:szCs w:val="24"/>
        </w:rPr>
        <w:t xml:space="preserve"> el auto impugnado.</w:t>
      </w:r>
    </w:p>
    <w:p w14:paraId="240FBD5F" w14:textId="77777777" w:rsidR="007D547C" w:rsidRPr="009944E8" w:rsidRDefault="007D547C" w:rsidP="009944E8">
      <w:pPr>
        <w:pStyle w:val="Sinespaciado"/>
      </w:pPr>
    </w:p>
    <w:p w14:paraId="0AE0A2CE" w14:textId="77777777" w:rsidR="007D547C" w:rsidRPr="009944E8" w:rsidRDefault="007D547C" w:rsidP="009944E8">
      <w:pPr>
        <w:spacing w:line="360" w:lineRule="auto"/>
        <w:jc w:val="both"/>
        <w:rPr>
          <w:rFonts w:ascii="Arial" w:eastAsia="Times New Roman" w:hAnsi="Arial" w:cs="Arial"/>
          <w:color w:val="000000"/>
          <w:spacing w:val="2"/>
          <w:sz w:val="24"/>
          <w:szCs w:val="24"/>
          <w:lang w:eastAsia="es-ES"/>
        </w:rPr>
      </w:pPr>
      <w:r w:rsidRPr="009944E8">
        <w:rPr>
          <w:rFonts w:ascii="Arial" w:hAnsi="Arial" w:cs="Arial"/>
          <w:sz w:val="24"/>
          <w:szCs w:val="24"/>
        </w:rPr>
        <w:t>En mérito de lo expuesto, el Consejo de Estado, en Sala de lo Contencioso Administrativo, Sección Tercera, Subsección A,</w:t>
      </w:r>
      <w:r w:rsidRPr="009944E8">
        <w:rPr>
          <w:rFonts w:ascii="Arial" w:eastAsia="Times New Roman" w:hAnsi="Arial" w:cs="Arial"/>
          <w:color w:val="000000"/>
          <w:spacing w:val="2"/>
          <w:sz w:val="24"/>
          <w:szCs w:val="24"/>
          <w:lang w:eastAsia="es-ES"/>
        </w:rPr>
        <w:t xml:space="preserve"> administrando justicia en nombre de la República y por autoridad de la ley,</w:t>
      </w:r>
    </w:p>
    <w:p w14:paraId="66D282A3" w14:textId="77777777" w:rsidR="00EA4AD6" w:rsidRDefault="00EA4AD6" w:rsidP="009944E8">
      <w:pPr>
        <w:spacing w:line="360" w:lineRule="auto"/>
        <w:jc w:val="both"/>
        <w:rPr>
          <w:rFonts w:ascii="Arial" w:hAnsi="Arial" w:cs="Arial"/>
          <w:b/>
          <w:sz w:val="24"/>
          <w:szCs w:val="24"/>
        </w:rPr>
      </w:pPr>
    </w:p>
    <w:p w14:paraId="34EAA432" w14:textId="77777777" w:rsidR="009944E8" w:rsidRDefault="009944E8" w:rsidP="009944E8">
      <w:pPr>
        <w:spacing w:line="360" w:lineRule="auto"/>
        <w:jc w:val="both"/>
        <w:rPr>
          <w:rFonts w:ascii="Arial" w:hAnsi="Arial" w:cs="Arial"/>
          <w:b/>
          <w:sz w:val="24"/>
          <w:szCs w:val="24"/>
        </w:rPr>
      </w:pPr>
    </w:p>
    <w:p w14:paraId="28A9EB1B" w14:textId="77777777" w:rsidR="009944E8" w:rsidRPr="009944E8" w:rsidRDefault="009944E8" w:rsidP="009944E8">
      <w:pPr>
        <w:spacing w:line="360" w:lineRule="auto"/>
        <w:jc w:val="center"/>
        <w:rPr>
          <w:rFonts w:ascii="Arial" w:hAnsi="Arial" w:cs="Arial"/>
          <w:b/>
          <w:sz w:val="24"/>
          <w:szCs w:val="24"/>
        </w:rPr>
      </w:pPr>
    </w:p>
    <w:p w14:paraId="19AD3597" w14:textId="77777777" w:rsidR="00EA4AD6" w:rsidRPr="009944E8" w:rsidRDefault="00EA4AD6" w:rsidP="009944E8">
      <w:pPr>
        <w:spacing w:line="360" w:lineRule="auto"/>
        <w:jc w:val="center"/>
        <w:rPr>
          <w:rFonts w:ascii="Arial" w:hAnsi="Arial" w:cs="Arial"/>
          <w:b/>
          <w:sz w:val="24"/>
          <w:szCs w:val="24"/>
        </w:rPr>
      </w:pPr>
      <w:r w:rsidRPr="009944E8">
        <w:rPr>
          <w:rFonts w:ascii="Arial" w:hAnsi="Arial" w:cs="Arial"/>
          <w:b/>
          <w:sz w:val="24"/>
          <w:szCs w:val="24"/>
        </w:rPr>
        <w:t>RESUELVE:</w:t>
      </w:r>
    </w:p>
    <w:p w14:paraId="24ED9FF9" w14:textId="77777777" w:rsidR="00EA4AD6" w:rsidRPr="009944E8" w:rsidRDefault="00EA4AD6" w:rsidP="009944E8">
      <w:pPr>
        <w:pStyle w:val="Sinespaciado"/>
        <w:rPr>
          <w:lang w:val="es-ES"/>
        </w:rPr>
      </w:pPr>
    </w:p>
    <w:p w14:paraId="4B1EDD30" w14:textId="77777777" w:rsidR="00EA4AD6" w:rsidRPr="009944E8" w:rsidRDefault="00EA4AD6" w:rsidP="009944E8">
      <w:pPr>
        <w:spacing w:line="360" w:lineRule="auto"/>
        <w:jc w:val="both"/>
        <w:rPr>
          <w:rFonts w:ascii="Arial" w:hAnsi="Arial" w:cs="Arial"/>
          <w:sz w:val="24"/>
          <w:szCs w:val="24"/>
        </w:rPr>
      </w:pPr>
      <w:r w:rsidRPr="009944E8">
        <w:rPr>
          <w:rFonts w:ascii="Arial" w:hAnsi="Arial" w:cs="Arial"/>
          <w:b/>
          <w:sz w:val="24"/>
          <w:szCs w:val="24"/>
        </w:rPr>
        <w:t xml:space="preserve">PRIMERO: CONFIRMAR </w:t>
      </w:r>
      <w:r w:rsidRPr="009944E8">
        <w:rPr>
          <w:rFonts w:ascii="Arial" w:hAnsi="Arial" w:cs="Arial"/>
          <w:sz w:val="24"/>
          <w:szCs w:val="24"/>
        </w:rPr>
        <w:t xml:space="preserve">la decisión adoptada por </w:t>
      </w:r>
      <w:r w:rsidR="00DB14F3" w:rsidRPr="009944E8">
        <w:rPr>
          <w:rFonts w:ascii="Arial" w:hAnsi="Arial" w:cs="Arial"/>
          <w:sz w:val="24"/>
          <w:szCs w:val="24"/>
        </w:rPr>
        <w:t>el Tribunal Administrativo del Huila</w:t>
      </w:r>
      <w:r w:rsidRPr="009944E8">
        <w:rPr>
          <w:rFonts w:ascii="Arial" w:hAnsi="Arial" w:cs="Arial"/>
          <w:sz w:val="24"/>
          <w:szCs w:val="24"/>
        </w:rPr>
        <w:t xml:space="preserve"> en la audiencia llevada a cabo el </w:t>
      </w:r>
      <w:r w:rsidR="00DB14F3" w:rsidRPr="009944E8">
        <w:rPr>
          <w:rFonts w:ascii="Arial" w:hAnsi="Arial" w:cs="Arial"/>
          <w:sz w:val="24"/>
          <w:szCs w:val="24"/>
        </w:rPr>
        <w:t>17 de marzo de 2016</w:t>
      </w:r>
      <w:r w:rsidRPr="009944E8">
        <w:rPr>
          <w:rFonts w:ascii="Arial" w:hAnsi="Arial" w:cs="Arial"/>
          <w:sz w:val="24"/>
          <w:szCs w:val="24"/>
        </w:rPr>
        <w:t>.</w:t>
      </w:r>
    </w:p>
    <w:p w14:paraId="7A184A15" w14:textId="77777777" w:rsidR="00EA4AD6" w:rsidRPr="009944E8" w:rsidRDefault="00EA4AD6" w:rsidP="009944E8"/>
    <w:p w14:paraId="10DF0B0E" w14:textId="77777777" w:rsidR="00EA4AD6" w:rsidRPr="009944E8" w:rsidRDefault="00EA4AD6" w:rsidP="009944E8">
      <w:pPr>
        <w:spacing w:line="360" w:lineRule="auto"/>
        <w:jc w:val="both"/>
        <w:rPr>
          <w:rFonts w:ascii="Arial" w:hAnsi="Arial" w:cs="Arial"/>
          <w:sz w:val="24"/>
          <w:szCs w:val="24"/>
        </w:rPr>
      </w:pPr>
      <w:r w:rsidRPr="009944E8">
        <w:rPr>
          <w:rFonts w:ascii="Arial" w:hAnsi="Arial" w:cs="Arial"/>
          <w:b/>
          <w:sz w:val="24"/>
          <w:szCs w:val="24"/>
        </w:rPr>
        <w:t>SEGUNDO:</w:t>
      </w:r>
      <w:r w:rsidRPr="009944E8">
        <w:rPr>
          <w:rFonts w:ascii="Arial" w:hAnsi="Arial" w:cs="Arial"/>
          <w:sz w:val="24"/>
          <w:szCs w:val="24"/>
        </w:rPr>
        <w:t xml:space="preserve"> Por Secretaría, ejecutoriado este proveído, </w:t>
      </w:r>
      <w:r w:rsidRPr="009944E8">
        <w:rPr>
          <w:rFonts w:ascii="Arial" w:hAnsi="Arial" w:cs="Arial"/>
          <w:b/>
          <w:sz w:val="24"/>
          <w:szCs w:val="24"/>
        </w:rPr>
        <w:t xml:space="preserve">DEVOLVER </w:t>
      </w:r>
      <w:r w:rsidRPr="009944E8">
        <w:rPr>
          <w:rFonts w:ascii="Arial" w:hAnsi="Arial" w:cs="Arial"/>
          <w:sz w:val="24"/>
          <w:szCs w:val="24"/>
        </w:rPr>
        <w:t>el expediente Tribunal de origen.</w:t>
      </w:r>
    </w:p>
    <w:p w14:paraId="57B7E2A3" w14:textId="77777777" w:rsidR="00EA4AD6" w:rsidRPr="009944E8" w:rsidRDefault="00EA4AD6" w:rsidP="009944E8"/>
    <w:p w14:paraId="447E7D27" w14:textId="77777777" w:rsidR="00EA4AD6" w:rsidRPr="009944E8" w:rsidRDefault="00EA4AD6" w:rsidP="009944E8">
      <w:pPr>
        <w:spacing w:line="360" w:lineRule="auto"/>
        <w:jc w:val="center"/>
        <w:rPr>
          <w:rFonts w:ascii="Arial" w:hAnsi="Arial" w:cs="Arial"/>
          <w:b/>
          <w:sz w:val="24"/>
          <w:szCs w:val="24"/>
        </w:rPr>
      </w:pPr>
      <w:r w:rsidRPr="009944E8">
        <w:rPr>
          <w:rFonts w:ascii="Arial" w:hAnsi="Arial" w:cs="Arial"/>
          <w:b/>
          <w:sz w:val="24"/>
          <w:szCs w:val="24"/>
        </w:rPr>
        <w:t>NOTIFÍQUESE Y CÚMPLASE</w:t>
      </w:r>
    </w:p>
    <w:p w14:paraId="43941743" w14:textId="77777777" w:rsidR="00EA4AD6" w:rsidRPr="009944E8" w:rsidRDefault="00EA4AD6" w:rsidP="009944E8">
      <w:pPr>
        <w:spacing w:line="360" w:lineRule="auto"/>
        <w:jc w:val="center"/>
        <w:rPr>
          <w:rFonts w:ascii="Arial" w:eastAsia="Times New Roman" w:hAnsi="Arial" w:cs="Arial"/>
          <w:b/>
          <w:sz w:val="24"/>
          <w:szCs w:val="24"/>
          <w:lang w:val="es-ES" w:eastAsia="es-ES"/>
        </w:rPr>
      </w:pPr>
    </w:p>
    <w:p w14:paraId="234D33DE" w14:textId="77777777" w:rsidR="001D444C" w:rsidRPr="009944E8" w:rsidRDefault="001D444C" w:rsidP="009944E8">
      <w:pPr>
        <w:spacing w:line="360" w:lineRule="auto"/>
        <w:jc w:val="center"/>
        <w:rPr>
          <w:rFonts w:ascii="Arial" w:eastAsia="Times New Roman" w:hAnsi="Arial" w:cs="Arial"/>
          <w:b/>
          <w:sz w:val="24"/>
          <w:szCs w:val="24"/>
          <w:lang w:val="es-ES" w:eastAsia="es-ES"/>
        </w:rPr>
      </w:pPr>
    </w:p>
    <w:p w14:paraId="63CB8CE9" w14:textId="77777777" w:rsidR="008D2A29" w:rsidRPr="009944E8" w:rsidRDefault="008D2A29" w:rsidP="009944E8">
      <w:pPr>
        <w:spacing w:line="360" w:lineRule="auto"/>
        <w:jc w:val="center"/>
        <w:rPr>
          <w:rFonts w:ascii="Arial" w:eastAsia="Times New Roman" w:hAnsi="Arial" w:cs="Arial"/>
          <w:b/>
          <w:sz w:val="24"/>
          <w:szCs w:val="24"/>
          <w:lang w:val="es-ES" w:eastAsia="es-ES"/>
        </w:rPr>
      </w:pPr>
    </w:p>
    <w:p w14:paraId="12E9A881" w14:textId="77777777" w:rsidR="008D2A29" w:rsidRPr="009944E8" w:rsidRDefault="00DB14F3" w:rsidP="009944E8">
      <w:pPr>
        <w:spacing w:line="360" w:lineRule="auto"/>
        <w:jc w:val="center"/>
        <w:rPr>
          <w:rFonts w:ascii="Arial" w:hAnsi="Arial" w:cs="Arial"/>
          <w:b/>
          <w:sz w:val="24"/>
          <w:szCs w:val="24"/>
        </w:rPr>
      </w:pPr>
      <w:r w:rsidRPr="009944E8">
        <w:rPr>
          <w:rFonts w:ascii="Arial" w:hAnsi="Arial" w:cs="Arial"/>
          <w:b/>
          <w:sz w:val="24"/>
          <w:szCs w:val="24"/>
        </w:rPr>
        <w:t>MARTA NUBIA VELÁSQUEZ RICO</w:t>
      </w:r>
    </w:p>
    <w:p w14:paraId="28F218E2" w14:textId="77777777" w:rsidR="008D2A29" w:rsidRPr="009944E8" w:rsidRDefault="008D2A29" w:rsidP="009944E8">
      <w:pPr>
        <w:spacing w:line="360" w:lineRule="auto"/>
        <w:jc w:val="center"/>
        <w:rPr>
          <w:rFonts w:ascii="Arial" w:hAnsi="Arial" w:cs="Arial"/>
          <w:b/>
          <w:sz w:val="24"/>
          <w:szCs w:val="24"/>
        </w:rPr>
      </w:pPr>
    </w:p>
    <w:p w14:paraId="6AB15C88" w14:textId="77777777" w:rsidR="008D2A29" w:rsidRPr="009944E8" w:rsidRDefault="008D2A29" w:rsidP="009944E8">
      <w:pPr>
        <w:spacing w:line="360" w:lineRule="auto"/>
        <w:jc w:val="center"/>
        <w:rPr>
          <w:rFonts w:ascii="Arial" w:hAnsi="Arial" w:cs="Arial"/>
          <w:b/>
          <w:sz w:val="24"/>
          <w:szCs w:val="24"/>
        </w:rPr>
      </w:pPr>
    </w:p>
    <w:p w14:paraId="3137C3B8" w14:textId="77777777" w:rsidR="008D2A29" w:rsidRPr="009944E8" w:rsidRDefault="008D2A29" w:rsidP="009944E8">
      <w:pPr>
        <w:spacing w:line="360" w:lineRule="auto"/>
        <w:jc w:val="center"/>
        <w:rPr>
          <w:rFonts w:ascii="Arial" w:hAnsi="Arial" w:cs="Arial"/>
          <w:b/>
          <w:sz w:val="24"/>
          <w:szCs w:val="24"/>
        </w:rPr>
      </w:pPr>
    </w:p>
    <w:p w14:paraId="435C3C6A" w14:textId="77777777" w:rsidR="008D2A29" w:rsidRPr="009944E8" w:rsidRDefault="008D2A29" w:rsidP="009944E8">
      <w:pPr>
        <w:spacing w:line="360" w:lineRule="auto"/>
        <w:jc w:val="center"/>
        <w:rPr>
          <w:rFonts w:ascii="Arial" w:hAnsi="Arial" w:cs="Arial"/>
          <w:b/>
          <w:sz w:val="24"/>
          <w:szCs w:val="24"/>
        </w:rPr>
      </w:pPr>
    </w:p>
    <w:p w14:paraId="44868ECA" w14:textId="77777777" w:rsidR="00DB14F3" w:rsidRPr="009944E8" w:rsidRDefault="008D2A29" w:rsidP="009944E8">
      <w:pPr>
        <w:spacing w:line="360" w:lineRule="auto"/>
        <w:jc w:val="center"/>
        <w:rPr>
          <w:rFonts w:ascii="Arial" w:hAnsi="Arial" w:cs="Arial"/>
          <w:b/>
          <w:sz w:val="24"/>
          <w:szCs w:val="24"/>
        </w:rPr>
      </w:pPr>
      <w:r w:rsidRPr="009944E8">
        <w:rPr>
          <w:rFonts w:ascii="Arial" w:hAnsi="Arial" w:cs="Arial"/>
          <w:b/>
          <w:sz w:val="24"/>
          <w:szCs w:val="24"/>
        </w:rPr>
        <w:t>CARLOS ALBERTO ZAMBRANO BARRERA</w:t>
      </w:r>
    </w:p>
    <w:p w14:paraId="7920C4E1" w14:textId="77777777" w:rsidR="001D444C" w:rsidRPr="009944E8" w:rsidRDefault="001D444C" w:rsidP="009944E8">
      <w:pPr>
        <w:spacing w:line="360" w:lineRule="auto"/>
        <w:jc w:val="center"/>
        <w:rPr>
          <w:rFonts w:ascii="Arial" w:hAnsi="Arial" w:cs="Arial"/>
          <w:color w:val="000000"/>
          <w:sz w:val="24"/>
          <w:szCs w:val="24"/>
        </w:rPr>
      </w:pPr>
    </w:p>
    <w:sectPr w:rsidR="001D444C" w:rsidRPr="009944E8" w:rsidSect="009944E8">
      <w:headerReference w:type="default" r:id="rId11"/>
      <w:footerReference w:type="default" r:id="rId12"/>
      <w:pgSz w:w="12242" w:h="18722" w:code="119"/>
      <w:pgMar w:top="1995" w:right="1701" w:bottom="141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ACE26" w14:textId="77777777" w:rsidR="00B1660A" w:rsidRDefault="00B1660A" w:rsidP="00EA4AD6">
      <w:pPr>
        <w:spacing w:after="0" w:line="240" w:lineRule="auto"/>
      </w:pPr>
      <w:r>
        <w:separator/>
      </w:r>
    </w:p>
  </w:endnote>
  <w:endnote w:type="continuationSeparator" w:id="0">
    <w:p w14:paraId="1FE97BE3" w14:textId="77777777" w:rsidR="00B1660A" w:rsidRDefault="00B1660A" w:rsidP="00EA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77265" w14:textId="77777777" w:rsidR="0060078B" w:rsidRPr="0060078B" w:rsidRDefault="0060078B" w:rsidP="009D1221">
    <w:pPr>
      <w:pStyle w:val="Piedepgina"/>
      <w:jc w:val="right"/>
      <w:rPr>
        <w:rFonts w:ascii="Arial" w:hAnsi="Arial" w:cs="Arial"/>
        <w:sz w:val="20"/>
      </w:rPr>
    </w:pPr>
    <w:r w:rsidRPr="0060078B">
      <w:rPr>
        <w:rFonts w:ascii="Arial" w:hAnsi="Arial" w:cs="Arial"/>
        <w:sz w:val="20"/>
      </w:rPr>
      <w:fldChar w:fldCharType="begin"/>
    </w:r>
    <w:r w:rsidRPr="0060078B">
      <w:rPr>
        <w:rFonts w:ascii="Arial" w:hAnsi="Arial" w:cs="Arial"/>
        <w:sz w:val="20"/>
      </w:rPr>
      <w:instrText>PAGE   \* MERGEFORMAT</w:instrText>
    </w:r>
    <w:r w:rsidRPr="0060078B">
      <w:rPr>
        <w:rFonts w:ascii="Arial" w:hAnsi="Arial" w:cs="Arial"/>
        <w:sz w:val="20"/>
      </w:rPr>
      <w:fldChar w:fldCharType="separate"/>
    </w:r>
    <w:r w:rsidR="008D19CA" w:rsidRPr="008D19CA">
      <w:rPr>
        <w:rFonts w:ascii="Arial" w:hAnsi="Arial" w:cs="Arial"/>
        <w:noProof/>
        <w:sz w:val="20"/>
        <w:lang w:val="es-ES"/>
      </w:rPr>
      <w:t>2</w:t>
    </w:r>
    <w:r w:rsidRPr="0060078B">
      <w:rPr>
        <w:rFonts w:ascii="Arial" w:hAnsi="Arial" w:cs="Arial"/>
        <w:sz w:val="20"/>
      </w:rPr>
      <w:fldChar w:fldCharType="end"/>
    </w:r>
  </w:p>
  <w:p w14:paraId="602C8F84" w14:textId="77777777" w:rsidR="0060078B" w:rsidRDefault="006007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D03B8" w14:textId="77777777" w:rsidR="00B1660A" w:rsidRDefault="00B1660A" w:rsidP="00EA4AD6">
      <w:pPr>
        <w:spacing w:after="0" w:line="240" w:lineRule="auto"/>
      </w:pPr>
      <w:r>
        <w:separator/>
      </w:r>
    </w:p>
  </w:footnote>
  <w:footnote w:type="continuationSeparator" w:id="0">
    <w:p w14:paraId="78C2B2DA" w14:textId="77777777" w:rsidR="00B1660A" w:rsidRDefault="00B1660A" w:rsidP="00EA4AD6">
      <w:pPr>
        <w:spacing w:after="0" w:line="240" w:lineRule="auto"/>
      </w:pPr>
      <w:r>
        <w:continuationSeparator/>
      </w:r>
    </w:p>
  </w:footnote>
  <w:footnote w:id="1">
    <w:p w14:paraId="79F56578" w14:textId="77777777" w:rsidR="006B1CCD" w:rsidRPr="00381ADD" w:rsidRDefault="006B1CCD" w:rsidP="00112365">
      <w:pPr>
        <w:pStyle w:val="Sinespaciado"/>
        <w:jc w:val="both"/>
        <w:rPr>
          <w:rFonts w:ascii="Arial" w:hAnsi="Arial" w:cs="Arial"/>
          <w:sz w:val="20"/>
          <w:lang w:val="en-US"/>
        </w:rPr>
      </w:pPr>
      <w:r w:rsidRPr="00205910">
        <w:rPr>
          <w:rStyle w:val="Refdenotaalpie"/>
          <w:rFonts w:ascii="Arial" w:hAnsi="Arial" w:cs="Arial"/>
          <w:sz w:val="20"/>
          <w:vertAlign w:val="baseline"/>
        </w:rPr>
        <w:footnoteRef/>
      </w:r>
      <w:r w:rsidRPr="00381ADD">
        <w:rPr>
          <w:rFonts w:ascii="Arial" w:hAnsi="Arial" w:cs="Arial"/>
          <w:sz w:val="20"/>
          <w:lang w:val="en-US"/>
        </w:rPr>
        <w:t xml:space="preserve"> Fls. 4 – 27 C. 1.</w:t>
      </w:r>
    </w:p>
  </w:footnote>
  <w:footnote w:id="2">
    <w:p w14:paraId="5642A5D4" w14:textId="77777777" w:rsidR="00A5561A" w:rsidRPr="00381ADD" w:rsidRDefault="00A5561A" w:rsidP="00112365">
      <w:pPr>
        <w:pStyle w:val="Sinespaciado"/>
        <w:jc w:val="both"/>
        <w:rPr>
          <w:rFonts w:ascii="Arial" w:hAnsi="Arial" w:cs="Arial"/>
          <w:sz w:val="20"/>
          <w:lang w:val="en-US"/>
        </w:rPr>
      </w:pPr>
      <w:r w:rsidRPr="00205910">
        <w:rPr>
          <w:rStyle w:val="Refdenotaalpie"/>
          <w:rFonts w:ascii="Arial" w:hAnsi="Arial" w:cs="Arial"/>
          <w:sz w:val="20"/>
          <w:vertAlign w:val="baseline"/>
        </w:rPr>
        <w:footnoteRef/>
      </w:r>
      <w:r w:rsidRPr="00381ADD">
        <w:rPr>
          <w:rFonts w:ascii="Arial" w:hAnsi="Arial" w:cs="Arial"/>
          <w:sz w:val="20"/>
          <w:lang w:val="en-US"/>
        </w:rPr>
        <w:t xml:space="preserve"> Fl. 78 - 79 C. 1. </w:t>
      </w:r>
    </w:p>
  </w:footnote>
  <w:footnote w:id="3">
    <w:p w14:paraId="55E08BF5" w14:textId="77777777" w:rsidR="00EA4AD6" w:rsidRPr="00381ADD" w:rsidRDefault="00EA4AD6" w:rsidP="00112365">
      <w:pPr>
        <w:pStyle w:val="Sinespaciado"/>
        <w:jc w:val="both"/>
        <w:rPr>
          <w:rFonts w:ascii="Arial" w:hAnsi="Arial" w:cs="Arial"/>
          <w:sz w:val="20"/>
          <w:lang w:val="en-US"/>
        </w:rPr>
      </w:pPr>
      <w:r w:rsidRPr="00205910">
        <w:rPr>
          <w:rStyle w:val="Refdenotaalpie"/>
          <w:rFonts w:ascii="Arial" w:hAnsi="Arial" w:cs="Arial"/>
          <w:sz w:val="20"/>
          <w:vertAlign w:val="baseline"/>
        </w:rPr>
        <w:footnoteRef/>
      </w:r>
      <w:r w:rsidRPr="00381ADD">
        <w:rPr>
          <w:rFonts w:ascii="Arial" w:hAnsi="Arial" w:cs="Arial"/>
          <w:sz w:val="20"/>
          <w:lang w:val="en-US"/>
        </w:rPr>
        <w:t xml:space="preserve"> Fls. </w:t>
      </w:r>
      <w:r w:rsidR="00ED7FD7" w:rsidRPr="00381ADD">
        <w:rPr>
          <w:rFonts w:ascii="Arial" w:hAnsi="Arial" w:cs="Arial"/>
          <w:sz w:val="20"/>
          <w:lang w:val="en-US"/>
        </w:rPr>
        <w:t>97 - 129</w:t>
      </w:r>
      <w:r w:rsidRPr="00381ADD">
        <w:rPr>
          <w:rFonts w:ascii="Arial" w:hAnsi="Arial" w:cs="Arial"/>
          <w:sz w:val="20"/>
          <w:lang w:val="en-US"/>
        </w:rPr>
        <w:t xml:space="preserve"> C. 1. </w:t>
      </w:r>
    </w:p>
  </w:footnote>
  <w:footnote w:id="4">
    <w:p w14:paraId="22661CF5" w14:textId="77777777" w:rsidR="00EA4AD6" w:rsidRPr="00205910" w:rsidRDefault="00EA4AD6" w:rsidP="00112365">
      <w:pPr>
        <w:pStyle w:val="Sinespaciado"/>
        <w:jc w:val="both"/>
        <w:rPr>
          <w:rFonts w:ascii="Arial" w:hAnsi="Arial" w:cs="Arial"/>
          <w:sz w:val="20"/>
        </w:rPr>
      </w:pPr>
      <w:r w:rsidRPr="00205910">
        <w:rPr>
          <w:rStyle w:val="Refdenotaalpie"/>
          <w:rFonts w:ascii="Arial" w:hAnsi="Arial" w:cs="Arial"/>
          <w:sz w:val="20"/>
          <w:vertAlign w:val="baseline"/>
        </w:rPr>
        <w:footnoteRef/>
      </w:r>
      <w:r w:rsidRPr="00205910">
        <w:rPr>
          <w:rFonts w:ascii="Arial" w:hAnsi="Arial" w:cs="Arial"/>
          <w:sz w:val="20"/>
        </w:rPr>
        <w:t xml:space="preserve"> Fl.</w:t>
      </w:r>
      <w:r w:rsidR="00FA7F16" w:rsidRPr="00205910">
        <w:rPr>
          <w:rFonts w:ascii="Arial" w:hAnsi="Arial" w:cs="Arial"/>
          <w:sz w:val="20"/>
        </w:rPr>
        <w:t xml:space="preserve"> 198</w:t>
      </w:r>
      <w:r w:rsidRPr="00205910">
        <w:rPr>
          <w:rFonts w:ascii="Arial" w:hAnsi="Arial" w:cs="Arial"/>
          <w:sz w:val="20"/>
        </w:rPr>
        <w:t xml:space="preserve"> C. 1. </w:t>
      </w:r>
    </w:p>
  </w:footnote>
  <w:footnote w:id="5">
    <w:p w14:paraId="4271AC82" w14:textId="77777777" w:rsidR="00F315FC" w:rsidRPr="00205910" w:rsidRDefault="00F315FC" w:rsidP="00F315FC">
      <w:pPr>
        <w:pStyle w:val="Sinespaciado"/>
        <w:jc w:val="both"/>
        <w:rPr>
          <w:rFonts w:ascii="Arial" w:hAnsi="Arial" w:cs="Arial"/>
          <w:sz w:val="20"/>
          <w:szCs w:val="18"/>
        </w:rPr>
      </w:pPr>
      <w:r w:rsidRPr="00205910">
        <w:rPr>
          <w:rStyle w:val="Refdenotaalpie"/>
          <w:rFonts w:ascii="Arial" w:hAnsi="Arial" w:cs="Arial"/>
          <w:sz w:val="20"/>
          <w:szCs w:val="18"/>
        </w:rPr>
        <w:footnoteRef/>
      </w:r>
      <w:r w:rsidRPr="00205910">
        <w:rPr>
          <w:rFonts w:ascii="Arial" w:hAnsi="Arial" w:cs="Arial"/>
          <w:sz w:val="20"/>
          <w:szCs w:val="18"/>
        </w:rPr>
        <w:t xml:space="preserve"> Ley 1564 de 2012, según el criterio hermenéutico fijado en auto de Sala Plena de la Sección Tercera de esta Corporación del pasado 25 de junio de 2014. C.P. Enrique Gil Botero, expediente 49299, en el cual, en virtud del principio del efecto útil de las normas, se llegó a la siguiente conclusión: “</w:t>
      </w:r>
      <w:r w:rsidRPr="00205910">
        <w:rPr>
          <w:rFonts w:ascii="Arial" w:hAnsi="Arial" w:cs="Arial"/>
          <w:i/>
          <w:sz w:val="20"/>
          <w:szCs w:val="18"/>
        </w:rPr>
        <w:t>En consecuencia, el Despacho fija su hermenéutica en relación con la entrada en vigencia de la Ley 1564 de 2012, para señalar que su aplicación plena en la jurisdicción de lo Contencioso Administrativo, así como en materia arbitral relacionada con temas estatales es a partir del 1° de enero de 2014”</w:t>
      </w:r>
      <w:r w:rsidRPr="00205910">
        <w:rPr>
          <w:rFonts w:ascii="Arial" w:hAnsi="Arial" w:cs="Arial"/>
          <w:sz w:val="20"/>
          <w:szCs w:val="18"/>
        </w:rPr>
        <w:t>, comoquiera que la jurisdicción de lo Contencioso Administrativo desde la expedición de la Ley 1437 de 2011 cuenta con la implementación del sistema mixto –</w:t>
      </w:r>
      <w:r w:rsidRPr="00205910">
        <w:rPr>
          <w:rFonts w:ascii="Arial" w:hAnsi="Arial" w:cs="Arial"/>
          <w:i/>
          <w:sz w:val="20"/>
          <w:szCs w:val="18"/>
        </w:rPr>
        <w:t>principalmente oral</w:t>
      </w:r>
      <w:r w:rsidRPr="00205910">
        <w:rPr>
          <w:rFonts w:ascii="Arial" w:hAnsi="Arial" w:cs="Arial"/>
          <w:sz w:val="20"/>
          <w:szCs w:val="18"/>
        </w:rPr>
        <w:t>-, resultaría carente de armonía dejar de aplicar el Código General del Proceso desde su entrada en vigencia, esto es, el 1 de enero de 2014, dado que ya existen las condiciones físicas y logísticas para ello.</w:t>
      </w:r>
    </w:p>
  </w:footnote>
  <w:footnote w:id="6">
    <w:p w14:paraId="1DF3D856" w14:textId="77777777" w:rsidR="00EA4AD6" w:rsidRPr="00205910" w:rsidRDefault="00EA4AD6" w:rsidP="00112365">
      <w:pPr>
        <w:pStyle w:val="Sinespaciado"/>
        <w:jc w:val="both"/>
        <w:rPr>
          <w:rFonts w:ascii="Arial" w:hAnsi="Arial" w:cs="Arial"/>
          <w:i/>
          <w:sz w:val="20"/>
        </w:rPr>
      </w:pPr>
      <w:r w:rsidRPr="00205910">
        <w:rPr>
          <w:rStyle w:val="Refdenotaalpie"/>
          <w:rFonts w:ascii="Arial" w:hAnsi="Arial" w:cs="Arial"/>
          <w:sz w:val="20"/>
          <w:vertAlign w:val="baseline"/>
        </w:rPr>
        <w:footnoteRef/>
      </w:r>
      <w:r w:rsidRPr="00205910">
        <w:rPr>
          <w:rFonts w:ascii="Arial" w:hAnsi="Arial" w:cs="Arial"/>
          <w:sz w:val="20"/>
        </w:rPr>
        <w:t xml:space="preserve"> </w:t>
      </w:r>
      <w:r w:rsidR="00205910" w:rsidRPr="00205910">
        <w:rPr>
          <w:rFonts w:ascii="Arial" w:hAnsi="Arial" w:cs="Arial"/>
          <w:sz w:val="20"/>
        </w:rPr>
        <w:t>“</w:t>
      </w:r>
      <w:r w:rsidRPr="00205910">
        <w:rPr>
          <w:rFonts w:ascii="Arial" w:hAnsi="Arial" w:cs="Arial"/>
          <w:i/>
          <w:sz w:val="20"/>
        </w:rPr>
        <w:t>Artículo 180.</w:t>
      </w:r>
      <w:r w:rsidRPr="00205910">
        <w:rPr>
          <w:rStyle w:val="apple-converted-space"/>
          <w:rFonts w:ascii="Arial" w:hAnsi="Arial" w:cs="Arial"/>
          <w:i/>
          <w:sz w:val="20"/>
        </w:rPr>
        <w:t> </w:t>
      </w:r>
      <w:r w:rsidRPr="00205910">
        <w:rPr>
          <w:rFonts w:ascii="Arial" w:hAnsi="Arial" w:cs="Arial"/>
          <w:i/>
          <w:sz w:val="20"/>
        </w:rPr>
        <w:t>Audiencia inicial.</w:t>
      </w:r>
      <w:r w:rsidRPr="00205910">
        <w:rPr>
          <w:rStyle w:val="apple-converted-space"/>
          <w:rFonts w:ascii="Arial" w:hAnsi="Arial" w:cs="Arial"/>
          <w:i/>
          <w:sz w:val="20"/>
        </w:rPr>
        <w:t> </w:t>
      </w:r>
      <w:r w:rsidRPr="00205910">
        <w:rPr>
          <w:rFonts w:ascii="Arial" w:hAnsi="Arial" w:cs="Arial"/>
          <w:i/>
          <w:sz w:val="20"/>
        </w:rPr>
        <w:t>Vencido el término de traslado de la demanda o de la de reconvención según el caso, el Juez o Magistrado Ponente, convocará a una audiencia que se sujetará a las siguientes reglas:</w:t>
      </w:r>
    </w:p>
    <w:p w14:paraId="2EBF1E4E" w14:textId="77777777" w:rsidR="00EA4AD6" w:rsidRPr="00205910" w:rsidRDefault="00205910" w:rsidP="00112365">
      <w:pPr>
        <w:pStyle w:val="Sinespaciado"/>
        <w:jc w:val="both"/>
        <w:rPr>
          <w:rFonts w:ascii="Arial" w:hAnsi="Arial" w:cs="Arial"/>
          <w:i/>
          <w:sz w:val="20"/>
        </w:rPr>
      </w:pPr>
      <w:r w:rsidRPr="00205910">
        <w:rPr>
          <w:rFonts w:ascii="Arial" w:hAnsi="Arial" w:cs="Arial"/>
          <w:i/>
          <w:sz w:val="20"/>
        </w:rPr>
        <w:t>“</w:t>
      </w:r>
      <w:r w:rsidR="00EA4AD6" w:rsidRPr="00205910">
        <w:rPr>
          <w:rFonts w:ascii="Arial" w:hAnsi="Arial" w:cs="Arial"/>
          <w:i/>
          <w:sz w:val="20"/>
        </w:rPr>
        <w:t>(…)</w:t>
      </w:r>
    </w:p>
    <w:p w14:paraId="74FA5F9D" w14:textId="77777777" w:rsidR="00EA4AD6" w:rsidRPr="00205910" w:rsidRDefault="00205910" w:rsidP="00112365">
      <w:pPr>
        <w:pStyle w:val="Sinespaciado"/>
        <w:jc w:val="both"/>
        <w:rPr>
          <w:rFonts w:ascii="Arial" w:hAnsi="Arial" w:cs="Arial"/>
          <w:i/>
          <w:sz w:val="20"/>
        </w:rPr>
      </w:pPr>
      <w:r w:rsidRPr="00205910">
        <w:rPr>
          <w:rFonts w:ascii="Arial" w:hAnsi="Arial" w:cs="Arial"/>
          <w:i/>
          <w:sz w:val="20"/>
        </w:rPr>
        <w:t xml:space="preserve">“ </w:t>
      </w:r>
      <w:r w:rsidR="00EA4AD6" w:rsidRPr="00205910">
        <w:rPr>
          <w:rFonts w:ascii="Arial" w:hAnsi="Arial" w:cs="Arial"/>
          <w:i/>
          <w:sz w:val="20"/>
        </w:rPr>
        <w:t>6.Decisión de excepciones previas.</w:t>
      </w:r>
      <w:r w:rsidR="00EA4AD6" w:rsidRPr="00205910">
        <w:rPr>
          <w:rStyle w:val="apple-converted-space"/>
          <w:rFonts w:ascii="Arial" w:hAnsi="Arial" w:cs="Arial"/>
          <w:i/>
          <w:sz w:val="20"/>
        </w:rPr>
        <w:t> </w:t>
      </w:r>
      <w:r w:rsidR="00EA4AD6" w:rsidRPr="00205910">
        <w:rPr>
          <w:rFonts w:ascii="Arial" w:hAnsi="Arial" w:cs="Arial"/>
          <w:i/>
          <w:sz w:val="20"/>
        </w:rPr>
        <w:t>El Juez o Magistrado Ponente, de oficio o a petición de parte, resolverá sobre las excepciones previas y las de cosa juzgada, caducidad, transacción, conciliación, falta de legitimación en la causa y prescripción extintiva.</w:t>
      </w:r>
    </w:p>
    <w:p w14:paraId="4432FC9A" w14:textId="77777777" w:rsidR="00EA4AD6" w:rsidRPr="00205910" w:rsidRDefault="00205910" w:rsidP="00112365">
      <w:pPr>
        <w:pStyle w:val="Sinespaciado"/>
        <w:jc w:val="both"/>
        <w:rPr>
          <w:rFonts w:ascii="Arial" w:hAnsi="Arial" w:cs="Arial"/>
          <w:i/>
          <w:sz w:val="20"/>
        </w:rPr>
      </w:pPr>
      <w:r w:rsidRPr="00205910">
        <w:rPr>
          <w:rFonts w:ascii="Arial" w:hAnsi="Arial" w:cs="Arial"/>
          <w:i/>
          <w:sz w:val="20"/>
        </w:rPr>
        <w:t>“</w:t>
      </w:r>
      <w:r w:rsidR="00EA4AD6" w:rsidRPr="00205910">
        <w:rPr>
          <w:rFonts w:ascii="Arial" w:hAnsi="Arial" w:cs="Arial"/>
          <w:i/>
          <w:sz w:val="20"/>
        </w:rPr>
        <w:t>Si excepcionalmente se requiere la práctica de pruebas, se suspenderá la audiencia, hasta por el término de diez (10) días, con el fin de recaudarlas. Al reanudar la audiencia se decidirá sobre tales excepciones.</w:t>
      </w:r>
    </w:p>
    <w:p w14:paraId="73116F71" w14:textId="77777777" w:rsidR="00EA4AD6" w:rsidRPr="00205910" w:rsidRDefault="00205910" w:rsidP="00112365">
      <w:pPr>
        <w:pStyle w:val="Sinespaciado"/>
        <w:jc w:val="both"/>
        <w:rPr>
          <w:rFonts w:ascii="Arial" w:hAnsi="Arial" w:cs="Arial"/>
          <w:i/>
          <w:sz w:val="20"/>
        </w:rPr>
      </w:pPr>
      <w:r w:rsidRPr="00205910">
        <w:rPr>
          <w:rFonts w:ascii="Arial" w:hAnsi="Arial" w:cs="Arial"/>
          <w:i/>
          <w:sz w:val="20"/>
        </w:rPr>
        <w:t>“</w:t>
      </w:r>
      <w:r w:rsidR="00EA4AD6" w:rsidRPr="00205910">
        <w:rPr>
          <w:rFonts w:ascii="Arial" w:hAnsi="Arial" w:cs="Arial"/>
          <w:i/>
          <w:sz w:val="20"/>
        </w:rPr>
        <w:t>Si alguna de ellas prospera, el Juez o Magistrado Ponente dará por terminado el proceso, cuando a ello haya lugar. Igualmente, lo dará por terminado cuando en la misma audiencia advierta el incumplimiento de requisitos de procedibilidad.</w:t>
      </w:r>
    </w:p>
    <w:p w14:paraId="7EED3789" w14:textId="77777777" w:rsidR="00EA4AD6" w:rsidRPr="00205910" w:rsidRDefault="00205910" w:rsidP="00112365">
      <w:pPr>
        <w:pStyle w:val="Sinespaciado"/>
        <w:jc w:val="both"/>
        <w:rPr>
          <w:rFonts w:ascii="Arial" w:hAnsi="Arial" w:cs="Arial"/>
          <w:i/>
          <w:sz w:val="20"/>
        </w:rPr>
      </w:pPr>
      <w:r w:rsidRPr="00205910">
        <w:rPr>
          <w:rFonts w:ascii="Arial" w:hAnsi="Arial" w:cs="Arial"/>
          <w:i/>
          <w:sz w:val="20"/>
        </w:rPr>
        <w:t>“</w:t>
      </w:r>
      <w:r w:rsidR="00EA4AD6" w:rsidRPr="00205910">
        <w:rPr>
          <w:rFonts w:ascii="Arial" w:hAnsi="Arial" w:cs="Arial"/>
          <w:i/>
          <w:sz w:val="20"/>
        </w:rPr>
        <w:t>El auto que decida sobre las excepciones será susceptible del recurso de apelación o del de súplica, según el caso</w:t>
      </w:r>
      <w:r w:rsidRPr="00205910">
        <w:rPr>
          <w:rFonts w:ascii="Arial" w:hAnsi="Arial" w:cs="Arial"/>
          <w:i/>
          <w:sz w:val="20"/>
        </w:rPr>
        <w:t>”</w:t>
      </w:r>
      <w:r w:rsidR="00EA4AD6" w:rsidRPr="00205910">
        <w:rPr>
          <w:rFonts w:ascii="Arial" w:hAnsi="Arial" w:cs="Arial"/>
          <w:i/>
          <w:sz w:val="20"/>
        </w:rPr>
        <w:t>.</w:t>
      </w:r>
    </w:p>
  </w:footnote>
  <w:footnote w:id="7">
    <w:p w14:paraId="6D787BC7" w14:textId="77777777" w:rsidR="002A1EBC" w:rsidRPr="00205910" w:rsidRDefault="002A1EBC" w:rsidP="00112365">
      <w:pPr>
        <w:pStyle w:val="Sinespaciado"/>
        <w:jc w:val="both"/>
        <w:rPr>
          <w:rFonts w:ascii="Arial" w:hAnsi="Arial" w:cs="Arial"/>
          <w:sz w:val="20"/>
        </w:rPr>
      </w:pPr>
      <w:r w:rsidRPr="00205910">
        <w:rPr>
          <w:rStyle w:val="Refdenotaalpie"/>
          <w:rFonts w:ascii="Arial" w:hAnsi="Arial" w:cs="Arial"/>
          <w:sz w:val="20"/>
          <w:vertAlign w:val="baseline"/>
        </w:rPr>
        <w:footnoteRef/>
      </w:r>
      <w:r w:rsidRPr="00205910">
        <w:rPr>
          <w:rFonts w:ascii="Arial" w:hAnsi="Arial" w:cs="Arial"/>
          <w:sz w:val="20"/>
        </w:rPr>
        <w:t xml:space="preserve"> </w:t>
      </w:r>
      <w:r w:rsidRPr="00205910">
        <w:rPr>
          <w:rFonts w:ascii="Arial" w:hAnsi="Arial" w:cs="Arial"/>
          <w:i/>
          <w:sz w:val="20"/>
        </w:rPr>
        <w:t>“c) Cuando se pretenda la nulidad o la nulidad y restablecimiento del derecho de los actos previos a la celebración del contrato, el término será de cuatro (4) meses contados a partir del día siguiente a su comunicación, notificación, ejecución o publicación, según el caso”.</w:t>
      </w:r>
    </w:p>
  </w:footnote>
  <w:footnote w:id="8">
    <w:p w14:paraId="4231689F" w14:textId="77777777" w:rsidR="00AD2A29" w:rsidRPr="00205910" w:rsidRDefault="00AD2A29" w:rsidP="00112365">
      <w:pPr>
        <w:pStyle w:val="Sinespaciado"/>
        <w:jc w:val="both"/>
        <w:rPr>
          <w:rFonts w:ascii="Arial" w:hAnsi="Arial" w:cs="Arial"/>
          <w:sz w:val="20"/>
        </w:rPr>
      </w:pPr>
      <w:r w:rsidRPr="00205910">
        <w:rPr>
          <w:rStyle w:val="Refdenotaalpie"/>
          <w:rFonts w:ascii="Arial" w:hAnsi="Arial" w:cs="Arial"/>
          <w:sz w:val="20"/>
          <w:vertAlign w:val="baseline"/>
        </w:rPr>
        <w:footnoteRef/>
      </w:r>
      <w:r w:rsidRPr="00205910">
        <w:rPr>
          <w:rFonts w:ascii="Arial" w:hAnsi="Arial" w:cs="Arial"/>
          <w:sz w:val="20"/>
        </w:rPr>
        <w:t xml:space="preserve"> Fls. 49- 59 C. 1</w:t>
      </w:r>
    </w:p>
  </w:footnote>
  <w:footnote w:id="9">
    <w:p w14:paraId="7C8761D1" w14:textId="77777777" w:rsidR="007D547C" w:rsidRPr="00205910" w:rsidRDefault="007D547C" w:rsidP="00112365">
      <w:pPr>
        <w:pStyle w:val="Sinespaciado"/>
        <w:jc w:val="both"/>
        <w:rPr>
          <w:rFonts w:ascii="Arial" w:hAnsi="Arial" w:cs="Arial"/>
          <w:sz w:val="20"/>
        </w:rPr>
      </w:pPr>
      <w:r w:rsidRPr="00205910">
        <w:rPr>
          <w:rStyle w:val="Refdenotaalpie"/>
          <w:rFonts w:ascii="Arial" w:hAnsi="Arial" w:cs="Arial"/>
          <w:sz w:val="20"/>
          <w:vertAlign w:val="baseline"/>
        </w:rPr>
        <w:footnoteRef/>
      </w:r>
      <w:r w:rsidR="0008429E">
        <w:rPr>
          <w:rFonts w:ascii="Arial" w:hAnsi="Arial" w:cs="Arial"/>
          <w:sz w:val="20"/>
        </w:rPr>
        <w:t xml:space="preserve"> </w:t>
      </w:r>
      <w:r w:rsidRPr="00205910">
        <w:rPr>
          <w:rFonts w:ascii="Arial" w:hAnsi="Arial" w:cs="Arial"/>
          <w:sz w:val="20"/>
        </w:rPr>
        <w:t xml:space="preserve">Fls. </w:t>
      </w:r>
      <w:r w:rsidR="00144864" w:rsidRPr="00205910">
        <w:rPr>
          <w:rFonts w:ascii="Arial" w:hAnsi="Arial" w:cs="Arial"/>
          <w:sz w:val="20"/>
        </w:rPr>
        <w:t>7 - 10</w:t>
      </w:r>
      <w:r w:rsidRPr="00205910">
        <w:rPr>
          <w:rFonts w:ascii="Arial" w:hAnsi="Arial" w:cs="Arial"/>
          <w:sz w:val="20"/>
        </w:rPr>
        <w:t xml:space="preserve"> C. </w:t>
      </w:r>
      <w:r w:rsidR="002A1EBC" w:rsidRPr="00205910">
        <w:rPr>
          <w:rFonts w:ascii="Arial" w:hAnsi="Arial" w:cs="Arial"/>
          <w:sz w:val="20"/>
        </w:rPr>
        <w:t xml:space="preserve">anexos de la demanda 1. </w:t>
      </w:r>
    </w:p>
  </w:footnote>
  <w:footnote w:id="10">
    <w:p w14:paraId="70C088C2" w14:textId="77777777" w:rsidR="00966E2E" w:rsidRPr="0008429E" w:rsidRDefault="00966E2E" w:rsidP="00112365">
      <w:pPr>
        <w:pStyle w:val="Sinespaciado"/>
        <w:jc w:val="both"/>
        <w:rPr>
          <w:rFonts w:ascii="Arial" w:hAnsi="Arial" w:cs="Arial"/>
          <w:i/>
          <w:sz w:val="20"/>
        </w:rPr>
      </w:pPr>
      <w:r w:rsidRPr="00205910">
        <w:rPr>
          <w:rStyle w:val="Refdenotaalpie"/>
          <w:rFonts w:ascii="Arial" w:hAnsi="Arial" w:cs="Arial"/>
          <w:sz w:val="20"/>
          <w:vertAlign w:val="baseline"/>
        </w:rPr>
        <w:footnoteRef/>
      </w:r>
      <w:r w:rsidRPr="00205910">
        <w:rPr>
          <w:rFonts w:ascii="Arial" w:hAnsi="Arial" w:cs="Arial"/>
          <w:sz w:val="20"/>
        </w:rPr>
        <w:t xml:space="preserve"> </w:t>
      </w:r>
      <w:r w:rsidRPr="0008429E">
        <w:rPr>
          <w:rFonts w:ascii="Arial" w:hAnsi="Arial" w:cs="Arial"/>
          <w:i/>
          <w:sz w:val="20"/>
        </w:rPr>
        <w:t>“Artículo 118. Cómputo de términos.</w:t>
      </w:r>
    </w:p>
    <w:p w14:paraId="254B61CE" w14:textId="77777777" w:rsidR="00966E2E" w:rsidRPr="0008429E" w:rsidRDefault="0008429E" w:rsidP="00112365">
      <w:pPr>
        <w:pStyle w:val="Sinespaciado"/>
        <w:jc w:val="both"/>
        <w:rPr>
          <w:rFonts w:ascii="Arial" w:hAnsi="Arial" w:cs="Arial"/>
          <w:i/>
          <w:sz w:val="20"/>
        </w:rPr>
      </w:pPr>
      <w:r>
        <w:rPr>
          <w:rFonts w:ascii="Arial" w:hAnsi="Arial" w:cs="Arial"/>
          <w:i/>
          <w:sz w:val="20"/>
        </w:rPr>
        <w:t>“</w:t>
      </w:r>
      <w:r w:rsidR="00966E2E" w:rsidRPr="0008429E">
        <w:rPr>
          <w:rFonts w:ascii="Arial" w:hAnsi="Arial" w:cs="Arial"/>
          <w:i/>
          <w:sz w:val="20"/>
        </w:rPr>
        <w:t>(...)</w:t>
      </w:r>
    </w:p>
    <w:p w14:paraId="57F3E1E5" w14:textId="77777777" w:rsidR="00966E2E" w:rsidRPr="00205910" w:rsidRDefault="0008429E" w:rsidP="00112365">
      <w:pPr>
        <w:pStyle w:val="Sinespaciado"/>
        <w:jc w:val="both"/>
        <w:rPr>
          <w:rFonts w:ascii="Arial" w:hAnsi="Arial" w:cs="Arial"/>
          <w:sz w:val="20"/>
        </w:rPr>
      </w:pPr>
      <w:r>
        <w:rPr>
          <w:rFonts w:ascii="Arial" w:hAnsi="Arial" w:cs="Arial"/>
          <w:i/>
          <w:sz w:val="20"/>
        </w:rPr>
        <w:t>“</w:t>
      </w:r>
      <w:r w:rsidR="00966E2E" w:rsidRPr="0008429E">
        <w:rPr>
          <w:rFonts w:ascii="Arial" w:hAnsi="Arial" w:cs="Arial"/>
          <w:i/>
          <w:sz w:val="20"/>
        </w:rPr>
        <w:t>Cuando el término sea de meses o de años, su vencimiento tendrá lugar el mismo día que empezó a correr del correspondiente mes o año. Si este no tiene ese día, el término vencerá el último día del respectivo mes o año. Si su vencimiento ocurre en día inhábil se extenderá hasta el primer día hábil siguiente”.</w:t>
      </w:r>
    </w:p>
  </w:footnote>
  <w:footnote w:id="11">
    <w:p w14:paraId="422DE1A9" w14:textId="77777777" w:rsidR="00DB14F3" w:rsidRPr="00205910" w:rsidRDefault="00DB14F3" w:rsidP="00112365">
      <w:pPr>
        <w:pStyle w:val="Sinespaciado"/>
        <w:jc w:val="both"/>
        <w:rPr>
          <w:rFonts w:ascii="Arial" w:hAnsi="Arial" w:cs="Arial"/>
          <w:sz w:val="20"/>
        </w:rPr>
      </w:pPr>
      <w:r w:rsidRPr="00205910">
        <w:rPr>
          <w:rStyle w:val="Refdenotaalpie"/>
          <w:rFonts w:ascii="Arial" w:hAnsi="Arial" w:cs="Arial"/>
          <w:sz w:val="20"/>
          <w:vertAlign w:val="baseline"/>
        </w:rPr>
        <w:footnoteRef/>
      </w:r>
      <w:r w:rsidRPr="00205910">
        <w:rPr>
          <w:rFonts w:ascii="Arial" w:hAnsi="Arial" w:cs="Arial"/>
          <w:sz w:val="20"/>
        </w:rPr>
        <w:t xml:space="preserve"> Fl. 1 C.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12038" w14:textId="77777777" w:rsidR="00FE3D00" w:rsidRDefault="008C0012" w:rsidP="00FE3D00">
    <w:pPr>
      <w:pStyle w:val="Encabezado"/>
      <w:tabs>
        <w:tab w:val="clear" w:pos="4252"/>
        <w:tab w:val="clear" w:pos="8504"/>
        <w:tab w:val="left" w:pos="6825"/>
      </w:tabs>
    </w:pPr>
    <w:r>
      <w:rPr>
        <w:noProof/>
        <w:lang w:val="en-US" w:eastAsia="en-US"/>
      </w:rPr>
      <mc:AlternateContent>
        <mc:Choice Requires="wps">
          <w:drawing>
            <wp:anchor distT="0" distB="0" distL="114300" distR="114300" simplePos="0" relativeHeight="251657728" behindDoc="0" locked="0" layoutInCell="1" allowOverlap="1" wp14:anchorId="31D9AEF4" wp14:editId="07198AFB">
              <wp:simplePos x="0" y="0"/>
              <wp:positionH relativeFrom="column">
                <wp:posOffset>1939290</wp:posOffset>
              </wp:positionH>
              <wp:positionV relativeFrom="paragraph">
                <wp:posOffset>-107950</wp:posOffset>
              </wp:positionV>
              <wp:extent cx="3566795" cy="83820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47A73" w14:textId="77777777" w:rsidR="00FE3D00" w:rsidRDefault="00FE3D00" w:rsidP="00FE3D00">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2.7pt;margin-top:-8.5pt;width:280.85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wjgwIAAA8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" stroked="f">
              <v:textbox>
                <w:txbxContent>
                  <w:p w:rsidR="00FE3D00" w:rsidRDefault="00FE3D00" w:rsidP="00FE3D00">
                    <w:pPr>
                      <w:rPr>
                        <w:lang w:val="es-ES"/>
                      </w:rPr>
                    </w:pPr>
                  </w:p>
                </w:txbxContent>
              </v:textbox>
            </v:shape>
          </w:pict>
        </mc:Fallback>
      </mc:AlternateContent>
    </w:r>
    <w:r w:rsidR="00FE3D0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774B8"/>
    <w:multiLevelType w:val="hybridMultilevel"/>
    <w:tmpl w:val="E4F8AEF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36B5B92"/>
    <w:multiLevelType w:val="hybridMultilevel"/>
    <w:tmpl w:val="6BB45F3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B5A106E"/>
    <w:multiLevelType w:val="hybridMultilevel"/>
    <w:tmpl w:val="8758D9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DBD0026"/>
    <w:multiLevelType w:val="hybridMultilevel"/>
    <w:tmpl w:val="B2562D3E"/>
    <w:lvl w:ilvl="0" w:tplc="CCA08E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AD6"/>
    <w:rsid w:val="000041B4"/>
    <w:rsid w:val="0003606B"/>
    <w:rsid w:val="0008429E"/>
    <w:rsid w:val="000F067C"/>
    <w:rsid w:val="001051BF"/>
    <w:rsid w:val="00112365"/>
    <w:rsid w:val="00116A13"/>
    <w:rsid w:val="00126C03"/>
    <w:rsid w:val="00137027"/>
    <w:rsid w:val="00144864"/>
    <w:rsid w:val="00155C0A"/>
    <w:rsid w:val="001D444C"/>
    <w:rsid w:val="0020457A"/>
    <w:rsid w:val="00205910"/>
    <w:rsid w:val="0026362E"/>
    <w:rsid w:val="002A1EBC"/>
    <w:rsid w:val="002B320E"/>
    <w:rsid w:val="00332970"/>
    <w:rsid w:val="00381ADD"/>
    <w:rsid w:val="00391E81"/>
    <w:rsid w:val="003A5F18"/>
    <w:rsid w:val="003B5AC1"/>
    <w:rsid w:val="003F7970"/>
    <w:rsid w:val="00413492"/>
    <w:rsid w:val="0042348A"/>
    <w:rsid w:val="0045793B"/>
    <w:rsid w:val="004979D6"/>
    <w:rsid w:val="004A1530"/>
    <w:rsid w:val="00545BD2"/>
    <w:rsid w:val="00596BB2"/>
    <w:rsid w:val="005A3D48"/>
    <w:rsid w:val="0060078B"/>
    <w:rsid w:val="00681844"/>
    <w:rsid w:val="006B1CCD"/>
    <w:rsid w:val="006B3895"/>
    <w:rsid w:val="0076562A"/>
    <w:rsid w:val="007A7CE7"/>
    <w:rsid w:val="007D547C"/>
    <w:rsid w:val="007E7564"/>
    <w:rsid w:val="008108A8"/>
    <w:rsid w:val="00857616"/>
    <w:rsid w:val="008670EF"/>
    <w:rsid w:val="00877104"/>
    <w:rsid w:val="008B655F"/>
    <w:rsid w:val="008C0012"/>
    <w:rsid w:val="008D19CA"/>
    <w:rsid w:val="008D2A29"/>
    <w:rsid w:val="008D40C5"/>
    <w:rsid w:val="00902CB4"/>
    <w:rsid w:val="00903435"/>
    <w:rsid w:val="00946D9B"/>
    <w:rsid w:val="00966E2E"/>
    <w:rsid w:val="009944E8"/>
    <w:rsid w:val="009D1221"/>
    <w:rsid w:val="00A14295"/>
    <w:rsid w:val="00A20680"/>
    <w:rsid w:val="00A314FA"/>
    <w:rsid w:val="00A5561A"/>
    <w:rsid w:val="00A60B1C"/>
    <w:rsid w:val="00AC35ED"/>
    <w:rsid w:val="00AD2A29"/>
    <w:rsid w:val="00B1660A"/>
    <w:rsid w:val="00B32A70"/>
    <w:rsid w:val="00B55DF0"/>
    <w:rsid w:val="00BC4826"/>
    <w:rsid w:val="00BD70F8"/>
    <w:rsid w:val="00C05890"/>
    <w:rsid w:val="00C10A65"/>
    <w:rsid w:val="00C46574"/>
    <w:rsid w:val="00C53E68"/>
    <w:rsid w:val="00CA4376"/>
    <w:rsid w:val="00CB0E59"/>
    <w:rsid w:val="00CC5DA3"/>
    <w:rsid w:val="00D222C9"/>
    <w:rsid w:val="00D223F1"/>
    <w:rsid w:val="00D26EFA"/>
    <w:rsid w:val="00D57A48"/>
    <w:rsid w:val="00D873AC"/>
    <w:rsid w:val="00DB14F3"/>
    <w:rsid w:val="00DF451E"/>
    <w:rsid w:val="00E23B08"/>
    <w:rsid w:val="00E35265"/>
    <w:rsid w:val="00E67FBE"/>
    <w:rsid w:val="00EA3593"/>
    <w:rsid w:val="00EA4AD6"/>
    <w:rsid w:val="00ED7FD7"/>
    <w:rsid w:val="00F315FC"/>
    <w:rsid w:val="00F529F7"/>
    <w:rsid w:val="00F5569F"/>
    <w:rsid w:val="00FA369B"/>
    <w:rsid w:val="00FA7F16"/>
    <w:rsid w:val="00FC1D81"/>
    <w:rsid w:val="00FE3D00"/>
    <w:rsid w:val="00FF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D1963E5"/>
  <w15:chartTrackingRefBased/>
  <w15:docId w15:val="{86B7B9BA-0A69-495D-BE84-27B08BC9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rPr>
  </w:style>
  <w:style w:type="paragraph" w:styleId="Ttulo1">
    <w:name w:val="heading 1"/>
    <w:basedOn w:val="Normal"/>
    <w:next w:val="Normal"/>
    <w:link w:val="Ttulo1Car"/>
    <w:qFormat/>
    <w:rsid w:val="00EA4AD6"/>
    <w:pPr>
      <w:keepNext/>
      <w:overflowPunct w:val="0"/>
      <w:autoSpaceDE w:val="0"/>
      <w:autoSpaceDN w:val="0"/>
      <w:adjustRightInd w:val="0"/>
      <w:spacing w:after="0" w:line="240" w:lineRule="auto"/>
      <w:jc w:val="center"/>
      <w:textAlignment w:val="baseline"/>
      <w:outlineLvl w:val="0"/>
    </w:pPr>
    <w:rPr>
      <w:rFonts w:ascii="Arial" w:eastAsia="Times New Roman" w:hAnsi="Arial"/>
      <w:b/>
      <w:sz w:val="24"/>
      <w:szCs w:val="20"/>
      <w:lang w:val="es-ES_tradnl" w:eastAsia="es-ES"/>
    </w:rPr>
  </w:style>
  <w:style w:type="paragraph" w:styleId="Ttulo2">
    <w:name w:val="heading 2"/>
    <w:basedOn w:val="Normal"/>
    <w:next w:val="Normal"/>
    <w:link w:val="Ttulo2Car"/>
    <w:uiPriority w:val="9"/>
    <w:unhideWhenUsed/>
    <w:qFormat/>
    <w:rsid w:val="00FE3D00"/>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qFormat/>
    <w:rsid w:val="00EA4AD6"/>
    <w:pPr>
      <w:keepNext/>
      <w:overflowPunct w:val="0"/>
      <w:autoSpaceDE w:val="0"/>
      <w:autoSpaceDN w:val="0"/>
      <w:adjustRightInd w:val="0"/>
      <w:spacing w:after="0" w:line="240" w:lineRule="auto"/>
      <w:jc w:val="center"/>
      <w:textAlignment w:val="baseline"/>
      <w:outlineLvl w:val="2"/>
    </w:pPr>
    <w:rPr>
      <w:rFonts w:ascii="Arial" w:eastAsia="Times New Roman" w:hAnsi="Arial"/>
      <w:b/>
      <w:color w:val="000080"/>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A4AD6"/>
    <w:rPr>
      <w:rFonts w:ascii="Arial" w:eastAsia="Times New Roman" w:hAnsi="Arial"/>
      <w:b/>
      <w:sz w:val="24"/>
      <w:lang w:val="es-ES_tradnl" w:eastAsia="es-ES"/>
    </w:rPr>
  </w:style>
  <w:style w:type="character" w:customStyle="1" w:styleId="Ttulo3Car">
    <w:name w:val="Título 3 Car"/>
    <w:link w:val="Ttulo3"/>
    <w:rsid w:val="00EA4AD6"/>
    <w:rPr>
      <w:rFonts w:ascii="Arial" w:eastAsia="Times New Roman" w:hAnsi="Arial"/>
      <w:b/>
      <w:color w:val="000080"/>
      <w:sz w:val="24"/>
      <w:lang w:val="es-ES_tradnl" w:eastAsia="es-ES"/>
    </w:rPr>
  </w:style>
  <w:style w:type="paragraph" w:styleId="Encabezado">
    <w:name w:val="header"/>
    <w:basedOn w:val="Normal"/>
    <w:link w:val="EncabezadoCar"/>
    <w:rsid w:val="00EA4AD6"/>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character" w:customStyle="1" w:styleId="EncabezadoCar">
    <w:name w:val="Encabezado Car"/>
    <w:link w:val="Encabezado"/>
    <w:rsid w:val="00EA4AD6"/>
    <w:rPr>
      <w:rFonts w:ascii="Times New Roman" w:eastAsia="Times New Roman" w:hAnsi="Times New Roman"/>
      <w:sz w:val="24"/>
      <w:lang w:val="es-ES" w:eastAsia="es-ES"/>
    </w:rPr>
  </w:style>
  <w:style w:type="paragraph" w:styleId="Textoindependiente">
    <w:name w:val="Body Text"/>
    <w:basedOn w:val="Normal"/>
    <w:link w:val="TextoindependienteCar"/>
    <w:rsid w:val="00EA4AD6"/>
    <w:pPr>
      <w:overflowPunct w:val="0"/>
      <w:autoSpaceDE w:val="0"/>
      <w:autoSpaceDN w:val="0"/>
      <w:adjustRightInd w:val="0"/>
      <w:spacing w:after="0" w:line="240" w:lineRule="auto"/>
      <w:jc w:val="both"/>
      <w:textAlignment w:val="baseline"/>
    </w:pPr>
    <w:rPr>
      <w:rFonts w:ascii="Arial" w:eastAsia="Times New Roman" w:hAnsi="Arial"/>
      <w:sz w:val="24"/>
      <w:szCs w:val="20"/>
      <w:lang w:val="es-ES" w:eastAsia="es-ES"/>
    </w:rPr>
  </w:style>
  <w:style w:type="character" w:customStyle="1" w:styleId="TextoindependienteCar">
    <w:name w:val="Texto independiente Car"/>
    <w:link w:val="Textoindependiente"/>
    <w:rsid w:val="00EA4AD6"/>
    <w:rPr>
      <w:rFonts w:ascii="Arial" w:eastAsia="Times New Roman" w:hAnsi="Arial"/>
      <w:sz w:val="24"/>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unhideWhenUsed/>
    <w:qFormat/>
    <w:rsid w:val="00EA4AD6"/>
    <w:rPr>
      <w:vertAlign w:val="superscript"/>
    </w:rPr>
  </w:style>
  <w:style w:type="paragraph" w:styleId="Sinespaciado">
    <w:name w:val="No Spacing"/>
    <w:link w:val="SinespaciadoCar"/>
    <w:uiPriority w:val="1"/>
    <w:qFormat/>
    <w:rsid w:val="00EA4AD6"/>
    <w:rPr>
      <w:sz w:val="22"/>
      <w:szCs w:val="22"/>
      <w:lang w:val="es-CO"/>
    </w:rPr>
  </w:style>
  <w:style w:type="paragraph" w:customStyle="1" w:styleId="BodyText21">
    <w:name w:val="Body Text 21"/>
    <w:basedOn w:val="Normal"/>
    <w:rsid w:val="00EA4AD6"/>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ES"/>
    </w:rPr>
  </w:style>
  <w:style w:type="character" w:customStyle="1" w:styleId="SinespaciadoCar">
    <w:name w:val="Sin espaciado Car"/>
    <w:link w:val="Sinespaciado"/>
    <w:uiPriority w:val="1"/>
    <w:rsid w:val="00EA4AD6"/>
    <w:rPr>
      <w:sz w:val="22"/>
      <w:szCs w:val="22"/>
      <w:lang w:eastAsia="en-US"/>
    </w:rPr>
  </w:style>
  <w:style w:type="character" w:customStyle="1" w:styleId="apple-converted-space">
    <w:name w:val="apple-converted-space"/>
    <w:rsid w:val="00EA4AD6"/>
  </w:style>
  <w:style w:type="paragraph" w:styleId="Textonotapie">
    <w:name w:val="footnote text"/>
    <w:basedOn w:val="Normal"/>
    <w:link w:val="TextonotapieCar"/>
    <w:uiPriority w:val="99"/>
    <w:semiHidden/>
    <w:unhideWhenUsed/>
    <w:rsid w:val="006B1CCD"/>
    <w:rPr>
      <w:sz w:val="20"/>
      <w:szCs w:val="20"/>
    </w:rPr>
  </w:style>
  <w:style w:type="character" w:customStyle="1" w:styleId="TextonotapieCar">
    <w:name w:val="Texto nota pie Car"/>
    <w:link w:val="Textonotapie"/>
    <w:uiPriority w:val="99"/>
    <w:semiHidden/>
    <w:rsid w:val="006B1CCD"/>
    <w:rPr>
      <w:lang w:eastAsia="en-US"/>
    </w:rPr>
  </w:style>
  <w:style w:type="character" w:customStyle="1" w:styleId="Ttulo2Car">
    <w:name w:val="Título 2 Car"/>
    <w:link w:val="Ttulo2"/>
    <w:uiPriority w:val="9"/>
    <w:rsid w:val="00FE3D00"/>
    <w:rPr>
      <w:rFonts w:ascii="Cambria" w:eastAsia="Times New Roman" w:hAnsi="Cambria" w:cs="Times New Roman"/>
      <w:b/>
      <w:bCs/>
      <w:i/>
      <w:iCs/>
      <w:sz w:val="28"/>
      <w:szCs w:val="28"/>
      <w:lang w:eastAsia="en-US"/>
    </w:rPr>
  </w:style>
  <w:style w:type="paragraph" w:styleId="Piedepgina">
    <w:name w:val="footer"/>
    <w:basedOn w:val="Normal"/>
    <w:link w:val="PiedepginaCar"/>
    <w:uiPriority w:val="99"/>
    <w:unhideWhenUsed/>
    <w:rsid w:val="00FE3D00"/>
    <w:pPr>
      <w:tabs>
        <w:tab w:val="center" w:pos="4419"/>
        <w:tab w:val="right" w:pos="8838"/>
      </w:tabs>
    </w:pPr>
  </w:style>
  <w:style w:type="character" w:customStyle="1" w:styleId="PiedepginaCar">
    <w:name w:val="Pie de página Car"/>
    <w:link w:val="Piedepgina"/>
    <w:uiPriority w:val="99"/>
    <w:rsid w:val="00FE3D00"/>
    <w:rPr>
      <w:sz w:val="22"/>
      <w:szCs w:val="22"/>
      <w:lang w:eastAsia="en-US"/>
    </w:rPr>
  </w:style>
  <w:style w:type="paragraph" w:styleId="Textodeglobo">
    <w:name w:val="Balloon Text"/>
    <w:basedOn w:val="Normal"/>
    <w:link w:val="TextodegloboCar"/>
    <w:uiPriority w:val="99"/>
    <w:semiHidden/>
    <w:unhideWhenUsed/>
    <w:rsid w:val="006007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0078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54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6B8D9-BE72-465E-A6AB-5714E8628D25}">
  <ds:schemaRefs>
    <ds:schemaRef ds:uri="http://schemas.openxmlformats.org/officeDocument/2006/bibliography"/>
  </ds:schemaRefs>
</ds:datastoreItem>
</file>

<file path=customXml/itemProps2.xml><?xml version="1.0" encoding="utf-8"?>
<ds:datastoreItem xmlns:ds="http://schemas.openxmlformats.org/officeDocument/2006/customXml" ds:itemID="{5DECF58A-ADCE-4B60-840B-42D28B10C2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9FA7D4-F579-426B-855C-26FE0108F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F21E3B-C56C-485B-A58B-AFDEDB66B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2501</Words>
  <Characters>13759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SERNA QUIROGA</dc:creator>
  <cp:keywords/>
  <cp:lastModifiedBy>Carlos Mario Castrillón Endo</cp:lastModifiedBy>
  <cp:revision>3</cp:revision>
  <cp:lastPrinted>2017-07-10T19:36:00Z</cp:lastPrinted>
  <dcterms:created xsi:type="dcterms:W3CDTF">2020-07-02T01:10:00Z</dcterms:created>
  <dcterms:modified xsi:type="dcterms:W3CDTF">2020-07-02T01:10:00Z</dcterms:modified>
</cp:coreProperties>
</file>