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7A3B2E" w14:textId="77777777" w:rsidR="00D11060" w:rsidRPr="00C02316" w:rsidRDefault="00B36AF5" w:rsidP="00CC0660">
      <w:pPr>
        <w:jc w:val="both"/>
        <w:rPr>
          <w:rFonts w:ascii="Arial" w:hAnsi="Arial" w:cs="Arial"/>
          <w:b/>
          <w:sz w:val="22"/>
          <w:szCs w:val="22"/>
        </w:rPr>
      </w:pPr>
      <w:r w:rsidRPr="00C02316">
        <w:rPr>
          <w:rFonts w:ascii="Arial" w:hAnsi="Arial" w:cs="Arial"/>
          <w:b/>
          <w:sz w:val="22"/>
          <w:szCs w:val="22"/>
        </w:rPr>
        <w:t>EXCEPCIONES PREVIAS – Auto que decide sobre las excepciones –</w:t>
      </w:r>
      <w:r w:rsidR="00F17DC4" w:rsidRPr="00C02316">
        <w:rPr>
          <w:rFonts w:ascii="Arial" w:hAnsi="Arial" w:cs="Arial"/>
          <w:b/>
          <w:sz w:val="22"/>
          <w:szCs w:val="22"/>
        </w:rPr>
        <w:t xml:space="preserve"> A</w:t>
      </w:r>
      <w:r w:rsidRPr="00C02316">
        <w:rPr>
          <w:rFonts w:ascii="Arial" w:hAnsi="Arial" w:cs="Arial"/>
          <w:b/>
          <w:sz w:val="22"/>
          <w:szCs w:val="22"/>
        </w:rPr>
        <w:t xml:space="preserve">pelación – Recurso de </w:t>
      </w:r>
      <w:r w:rsidR="00EC4A34" w:rsidRPr="00C02316">
        <w:rPr>
          <w:rFonts w:ascii="Arial" w:hAnsi="Arial" w:cs="Arial"/>
          <w:b/>
          <w:sz w:val="22"/>
          <w:szCs w:val="22"/>
        </w:rPr>
        <w:t>súplica</w:t>
      </w:r>
      <w:r w:rsidRPr="00C02316">
        <w:rPr>
          <w:rFonts w:ascii="Arial" w:hAnsi="Arial" w:cs="Arial"/>
          <w:b/>
          <w:sz w:val="22"/>
          <w:szCs w:val="22"/>
        </w:rPr>
        <w:t xml:space="preserve"> </w:t>
      </w:r>
    </w:p>
    <w:p w14:paraId="3E3D5B1B" w14:textId="77777777" w:rsidR="00B36AF5" w:rsidRPr="00C02316" w:rsidRDefault="00B36AF5" w:rsidP="00CC0660">
      <w:pPr>
        <w:jc w:val="both"/>
        <w:rPr>
          <w:rFonts w:ascii="Arial" w:hAnsi="Arial" w:cs="Arial"/>
          <w:sz w:val="22"/>
          <w:szCs w:val="22"/>
        </w:rPr>
      </w:pPr>
    </w:p>
    <w:p w14:paraId="52DCFD57" w14:textId="77777777" w:rsidR="00B36AF5" w:rsidRPr="00C02316" w:rsidRDefault="00B36AF5" w:rsidP="00CC0660">
      <w:pPr>
        <w:jc w:val="both"/>
        <w:rPr>
          <w:rFonts w:ascii="Arial" w:hAnsi="Arial" w:cs="Arial"/>
          <w:sz w:val="22"/>
          <w:szCs w:val="22"/>
          <w:lang w:val="es-MX"/>
        </w:rPr>
      </w:pPr>
      <w:r w:rsidRPr="00C02316">
        <w:rPr>
          <w:rFonts w:ascii="Arial" w:hAnsi="Arial" w:cs="Arial"/>
          <w:sz w:val="22"/>
          <w:szCs w:val="22"/>
          <w:lang w:val="es-MX"/>
        </w:rPr>
        <w:t>El numeral 6 del artículo 180 del CPACA dispone que el Juez o el Magistrado Ponente debe decidir en esa etapa de la audiencia inicial “sobre las excepciones previas y las de cosa juzgada, caducidad, transacción, conciliación, falta de legitimación en la causa y prescripción extintiva”; de igual manera, la mencionada disposición normativa prevé que el auto que decide sobre las excepciones es susceptible del recurso de apelación o de súplica, según el caso.</w:t>
      </w:r>
    </w:p>
    <w:p w14:paraId="02EFC6FB" w14:textId="77777777" w:rsidR="00B36AF5" w:rsidRPr="00C02316" w:rsidRDefault="00B36AF5" w:rsidP="00CC0660">
      <w:pPr>
        <w:jc w:val="both"/>
        <w:rPr>
          <w:rFonts w:ascii="Arial" w:hAnsi="Arial" w:cs="Arial"/>
          <w:sz w:val="22"/>
          <w:szCs w:val="22"/>
        </w:rPr>
      </w:pPr>
    </w:p>
    <w:p w14:paraId="43B12C87" w14:textId="77777777" w:rsidR="00D11060" w:rsidRPr="00C02316" w:rsidRDefault="00F03689" w:rsidP="00CC0660">
      <w:pPr>
        <w:jc w:val="both"/>
        <w:rPr>
          <w:rFonts w:ascii="Arial" w:hAnsi="Arial" w:cs="Arial"/>
          <w:b/>
          <w:sz w:val="22"/>
          <w:szCs w:val="22"/>
        </w:rPr>
      </w:pPr>
      <w:r w:rsidRPr="00C02316">
        <w:rPr>
          <w:rFonts w:ascii="Arial" w:hAnsi="Arial" w:cs="Arial"/>
          <w:b/>
          <w:sz w:val="22"/>
          <w:szCs w:val="22"/>
        </w:rPr>
        <w:t xml:space="preserve">REQUISITO DE PROCEDIBILIDAD – No es una excepción previa </w:t>
      </w:r>
      <w:r w:rsidR="009654C5" w:rsidRPr="00C02316">
        <w:rPr>
          <w:rFonts w:ascii="Arial" w:hAnsi="Arial" w:cs="Arial"/>
          <w:b/>
          <w:sz w:val="22"/>
          <w:szCs w:val="22"/>
        </w:rPr>
        <w:t xml:space="preserve">– </w:t>
      </w:r>
      <w:r w:rsidRPr="00C02316">
        <w:rPr>
          <w:rFonts w:ascii="Arial" w:hAnsi="Arial" w:cs="Arial"/>
          <w:b/>
          <w:sz w:val="22"/>
          <w:szCs w:val="22"/>
        </w:rPr>
        <w:t xml:space="preserve">Código General del Proceso – Código de Procedimiento Administrativo y de lo Contencioso Administrativo </w:t>
      </w:r>
    </w:p>
    <w:p w14:paraId="7F060A5D" w14:textId="77777777" w:rsidR="00F03689" w:rsidRPr="00C02316" w:rsidRDefault="00F03689" w:rsidP="00CC0660">
      <w:pPr>
        <w:jc w:val="both"/>
        <w:rPr>
          <w:rFonts w:ascii="Arial" w:hAnsi="Arial" w:cs="Arial"/>
          <w:sz w:val="22"/>
          <w:szCs w:val="22"/>
        </w:rPr>
      </w:pPr>
    </w:p>
    <w:p w14:paraId="25C88208" w14:textId="77777777" w:rsidR="00F03689" w:rsidRPr="00C02316" w:rsidRDefault="00F03689" w:rsidP="00CC0660">
      <w:pPr>
        <w:jc w:val="both"/>
        <w:rPr>
          <w:rFonts w:ascii="Arial" w:hAnsi="Arial" w:cs="Arial"/>
          <w:sz w:val="22"/>
          <w:szCs w:val="22"/>
          <w:lang w:val="es-MX"/>
        </w:rPr>
      </w:pPr>
      <w:r w:rsidRPr="00C02316">
        <w:rPr>
          <w:rFonts w:ascii="Arial" w:hAnsi="Arial" w:cs="Arial"/>
          <w:sz w:val="22"/>
          <w:szCs w:val="22"/>
          <w:lang w:val="es-MX"/>
        </w:rPr>
        <w:t xml:space="preserve">Como la “falta de agotamiento del requisito de procedibilidad” no constituye una excepción, en la medida en que no está prevista en el CPACA ni en el CGP, el auto que la resuelve no es susceptible del recurso de apelación, por las siguientes razones: i) Por no tratarse de una excepción, no le resulta aplicable la disposición contenida en el inciso final del numeral 6 del artículo 180 del CPACA. </w:t>
      </w:r>
      <w:proofErr w:type="spellStart"/>
      <w:r w:rsidRPr="00C02316">
        <w:rPr>
          <w:rFonts w:ascii="Arial" w:hAnsi="Arial" w:cs="Arial"/>
          <w:sz w:val="22"/>
          <w:szCs w:val="22"/>
          <w:lang w:val="es-MX"/>
        </w:rPr>
        <w:t>ii</w:t>
      </w:r>
      <w:proofErr w:type="spellEnd"/>
      <w:r w:rsidRPr="00C02316">
        <w:rPr>
          <w:rFonts w:ascii="Arial" w:hAnsi="Arial" w:cs="Arial"/>
          <w:sz w:val="22"/>
          <w:szCs w:val="22"/>
          <w:lang w:val="es-MX"/>
        </w:rPr>
        <w:t>) El artículo 243 del CPACA no contempla ese tipo de decisiones como aquellas pasibles del recurso de apelación ni existe norma especial en este cuerpo normativo que establezca la procedencia de este medio de impugnación contra decisiones como la que se acaba de señalar.</w:t>
      </w:r>
    </w:p>
    <w:p w14:paraId="18312448" w14:textId="77777777" w:rsidR="00F03689" w:rsidRPr="00C02316" w:rsidRDefault="00F03689" w:rsidP="00CC0660">
      <w:pPr>
        <w:jc w:val="both"/>
        <w:rPr>
          <w:rFonts w:ascii="Arial" w:hAnsi="Arial" w:cs="Arial"/>
          <w:sz w:val="22"/>
          <w:szCs w:val="22"/>
        </w:rPr>
      </w:pPr>
    </w:p>
    <w:p w14:paraId="30499A8D" w14:textId="77777777" w:rsidR="00F03689" w:rsidRPr="00C02316" w:rsidRDefault="00F03689" w:rsidP="00CC0660">
      <w:pPr>
        <w:jc w:val="both"/>
        <w:rPr>
          <w:rFonts w:ascii="Arial" w:hAnsi="Arial" w:cs="Arial"/>
          <w:b/>
          <w:sz w:val="22"/>
          <w:szCs w:val="22"/>
        </w:rPr>
      </w:pPr>
      <w:r w:rsidRPr="00C02316">
        <w:rPr>
          <w:rFonts w:ascii="Arial" w:hAnsi="Arial" w:cs="Arial"/>
          <w:b/>
          <w:sz w:val="22"/>
          <w:szCs w:val="22"/>
        </w:rPr>
        <w:t xml:space="preserve">INTERVENCIÓN DE TERCEROS – </w:t>
      </w:r>
      <w:r w:rsidR="00D17E2F" w:rsidRPr="00C02316">
        <w:rPr>
          <w:rFonts w:ascii="Arial" w:hAnsi="Arial" w:cs="Arial"/>
          <w:b/>
          <w:sz w:val="22"/>
          <w:szCs w:val="22"/>
        </w:rPr>
        <w:t xml:space="preserve">Solicitud – </w:t>
      </w:r>
      <w:r w:rsidR="00F61253" w:rsidRPr="00C02316">
        <w:rPr>
          <w:rFonts w:ascii="Arial" w:hAnsi="Arial" w:cs="Arial"/>
          <w:b/>
          <w:sz w:val="22"/>
          <w:szCs w:val="22"/>
        </w:rPr>
        <w:t>A</w:t>
      </w:r>
      <w:r w:rsidRPr="00C02316">
        <w:rPr>
          <w:rFonts w:ascii="Arial" w:hAnsi="Arial" w:cs="Arial"/>
          <w:b/>
          <w:sz w:val="22"/>
          <w:szCs w:val="22"/>
        </w:rPr>
        <w:t xml:space="preserve">pelación – Efecto suspensivo </w:t>
      </w:r>
    </w:p>
    <w:p w14:paraId="12BAD623" w14:textId="77777777" w:rsidR="00F03689" w:rsidRPr="00C02316" w:rsidRDefault="00F03689" w:rsidP="00CC0660">
      <w:pPr>
        <w:jc w:val="both"/>
        <w:rPr>
          <w:rFonts w:ascii="Arial" w:hAnsi="Arial" w:cs="Arial"/>
          <w:sz w:val="22"/>
          <w:szCs w:val="22"/>
        </w:rPr>
      </w:pPr>
    </w:p>
    <w:p w14:paraId="24B5B80F" w14:textId="77777777" w:rsidR="00F03689" w:rsidRPr="00C02316" w:rsidRDefault="00F03689" w:rsidP="00CC0660">
      <w:pPr>
        <w:jc w:val="both"/>
        <w:rPr>
          <w:rFonts w:ascii="Arial" w:hAnsi="Arial" w:cs="Arial"/>
          <w:sz w:val="22"/>
          <w:szCs w:val="22"/>
          <w:lang w:val="es-MX"/>
        </w:rPr>
      </w:pPr>
      <w:r w:rsidRPr="00C02316">
        <w:rPr>
          <w:rFonts w:ascii="Arial" w:hAnsi="Arial" w:cs="Arial"/>
          <w:sz w:val="22"/>
          <w:szCs w:val="22"/>
          <w:lang w:val="es-MX"/>
        </w:rPr>
        <w:t>En los términos del artículo 226 del CPACA, el recurso de apelación procede contra el auto que niega la intervención de terceros y su concesión debe hacerse en el efecto suspensivo.</w:t>
      </w:r>
    </w:p>
    <w:p w14:paraId="6A62EBE4" w14:textId="77777777" w:rsidR="00F03689" w:rsidRPr="00C02316" w:rsidRDefault="00F03689" w:rsidP="00CC0660">
      <w:pPr>
        <w:jc w:val="both"/>
        <w:rPr>
          <w:rFonts w:ascii="Arial" w:hAnsi="Arial" w:cs="Arial"/>
          <w:sz w:val="22"/>
          <w:szCs w:val="22"/>
          <w:lang w:val="es-MX"/>
        </w:rPr>
      </w:pPr>
    </w:p>
    <w:p w14:paraId="70007EDD" w14:textId="77777777" w:rsidR="00F03689" w:rsidRPr="00C02316" w:rsidRDefault="00F03689" w:rsidP="00CC0660">
      <w:pPr>
        <w:jc w:val="both"/>
        <w:rPr>
          <w:rFonts w:ascii="Arial" w:hAnsi="Arial" w:cs="Arial"/>
          <w:b/>
          <w:sz w:val="22"/>
          <w:szCs w:val="22"/>
          <w:lang w:val="es-MX"/>
        </w:rPr>
      </w:pPr>
      <w:r w:rsidRPr="00C02316">
        <w:rPr>
          <w:rFonts w:ascii="Arial" w:hAnsi="Arial" w:cs="Arial"/>
          <w:b/>
          <w:sz w:val="22"/>
          <w:szCs w:val="22"/>
          <w:lang w:val="es-MX"/>
        </w:rPr>
        <w:t xml:space="preserve">APELACIÓN </w:t>
      </w:r>
      <w:r w:rsidR="00D17E2F" w:rsidRPr="00C02316">
        <w:rPr>
          <w:rFonts w:ascii="Arial" w:hAnsi="Arial" w:cs="Arial"/>
          <w:b/>
          <w:sz w:val="22"/>
          <w:szCs w:val="22"/>
        </w:rPr>
        <w:t xml:space="preserve">– </w:t>
      </w:r>
      <w:r w:rsidRPr="00C02316">
        <w:rPr>
          <w:rFonts w:ascii="Arial" w:hAnsi="Arial" w:cs="Arial"/>
          <w:b/>
          <w:sz w:val="22"/>
          <w:szCs w:val="22"/>
          <w:lang w:val="es-MX"/>
        </w:rPr>
        <w:t xml:space="preserve">Procede contra el auto que resuelve excepciones previas – Competencia </w:t>
      </w:r>
    </w:p>
    <w:p w14:paraId="5E0FD9D9" w14:textId="77777777" w:rsidR="00F03689" w:rsidRPr="00C02316" w:rsidRDefault="00F03689" w:rsidP="00CC0660">
      <w:pPr>
        <w:jc w:val="both"/>
        <w:rPr>
          <w:rFonts w:ascii="Arial" w:hAnsi="Arial" w:cs="Arial"/>
          <w:sz w:val="22"/>
          <w:szCs w:val="22"/>
        </w:rPr>
      </w:pPr>
    </w:p>
    <w:p w14:paraId="21253386" w14:textId="77777777" w:rsidR="00682301" w:rsidRPr="00C02316" w:rsidRDefault="00682301" w:rsidP="00CC0660">
      <w:pPr>
        <w:jc w:val="both"/>
        <w:rPr>
          <w:rFonts w:ascii="Arial" w:hAnsi="Arial" w:cs="Arial"/>
          <w:sz w:val="22"/>
          <w:szCs w:val="22"/>
          <w:lang w:val="es-CO"/>
        </w:rPr>
      </w:pPr>
      <w:r w:rsidRPr="00C02316">
        <w:rPr>
          <w:rFonts w:ascii="Arial" w:hAnsi="Arial" w:cs="Arial"/>
          <w:sz w:val="22"/>
          <w:szCs w:val="22"/>
          <w:lang w:val="es-MX"/>
        </w:rPr>
        <w:t>El recurso de apelación resulta procedente contra el auto que decide sobre las excepciones, de conformidad con lo dispuesto en el artículo 180, numeral 6, del CPACA. (…) en cuanto a la competencia del Despacho para resolver los recursos de apelación interpuestos, se advierte que</w:t>
      </w:r>
      <w:r w:rsidRPr="00C02316">
        <w:rPr>
          <w:rFonts w:ascii="Arial" w:hAnsi="Arial" w:cs="Arial"/>
          <w:sz w:val="22"/>
          <w:szCs w:val="22"/>
          <w:lang w:val="es-CO"/>
        </w:rPr>
        <w:t>, de conformidad con lo dispuesto en el artículo 125 del CPACA “será competencia del juez o Magistrado Ponente dictar los autos interlocutorios y de trámite; sin embargo, en el caso de los jueces colegiados, las decisiones a que se refieren los numerales 1, 2, 3 y 4 del artículo 243 de este Código serán de la sala, excepto en los procesos de única instancia (…)”.</w:t>
      </w:r>
    </w:p>
    <w:p w14:paraId="2B365F6B" w14:textId="77777777" w:rsidR="00682301" w:rsidRPr="00C02316" w:rsidRDefault="00682301" w:rsidP="00CC0660">
      <w:pPr>
        <w:jc w:val="both"/>
        <w:rPr>
          <w:rFonts w:ascii="Arial" w:hAnsi="Arial" w:cs="Arial"/>
          <w:sz w:val="22"/>
          <w:szCs w:val="22"/>
          <w:lang w:val="es-CO"/>
        </w:rPr>
      </w:pPr>
    </w:p>
    <w:p w14:paraId="5FF74723" w14:textId="77777777" w:rsidR="00682301" w:rsidRPr="00C02316" w:rsidRDefault="00682301" w:rsidP="00CC0660">
      <w:pPr>
        <w:jc w:val="both"/>
        <w:rPr>
          <w:rFonts w:ascii="Arial" w:hAnsi="Arial" w:cs="Arial"/>
          <w:b/>
          <w:sz w:val="22"/>
          <w:szCs w:val="22"/>
          <w:lang w:val="es-CO"/>
        </w:rPr>
      </w:pPr>
      <w:r w:rsidRPr="00C02316">
        <w:rPr>
          <w:rFonts w:ascii="Arial" w:hAnsi="Arial" w:cs="Arial"/>
          <w:b/>
          <w:sz w:val="22"/>
          <w:szCs w:val="22"/>
          <w:lang w:val="es-CO"/>
        </w:rPr>
        <w:t xml:space="preserve">LITISCONSORCIO NECESARIO – </w:t>
      </w:r>
      <w:r w:rsidR="00D17E2F" w:rsidRPr="00C02316">
        <w:rPr>
          <w:rFonts w:ascii="Arial" w:hAnsi="Arial" w:cs="Arial"/>
          <w:b/>
          <w:sz w:val="22"/>
          <w:szCs w:val="22"/>
          <w:lang w:val="es-CO"/>
        </w:rPr>
        <w:t xml:space="preserve">Integración </w:t>
      </w:r>
      <w:r w:rsidR="00D17E2F" w:rsidRPr="00C02316">
        <w:rPr>
          <w:rFonts w:ascii="Arial" w:hAnsi="Arial" w:cs="Arial"/>
          <w:b/>
          <w:sz w:val="22"/>
          <w:szCs w:val="22"/>
        </w:rPr>
        <w:t>– Característica</w:t>
      </w:r>
      <w:r w:rsidRPr="00C02316">
        <w:rPr>
          <w:rFonts w:ascii="Arial" w:hAnsi="Arial" w:cs="Arial"/>
          <w:b/>
          <w:sz w:val="22"/>
          <w:szCs w:val="22"/>
          <w:lang w:val="es-CO"/>
        </w:rPr>
        <w:t xml:space="preserve"> fundamental </w:t>
      </w:r>
    </w:p>
    <w:p w14:paraId="2C70FD8E" w14:textId="77777777" w:rsidR="00682301" w:rsidRPr="00C02316" w:rsidRDefault="00682301" w:rsidP="00CC0660">
      <w:pPr>
        <w:jc w:val="both"/>
        <w:rPr>
          <w:rFonts w:ascii="Arial" w:hAnsi="Arial" w:cs="Arial"/>
          <w:b/>
          <w:sz w:val="22"/>
          <w:szCs w:val="22"/>
          <w:lang w:val="es-CO"/>
        </w:rPr>
      </w:pPr>
    </w:p>
    <w:p w14:paraId="05BC0363" w14:textId="77777777" w:rsidR="00682301" w:rsidRPr="00C02316" w:rsidRDefault="00682301" w:rsidP="00CC0660">
      <w:pPr>
        <w:jc w:val="both"/>
        <w:rPr>
          <w:rFonts w:ascii="Arial" w:hAnsi="Arial" w:cs="Arial"/>
          <w:sz w:val="22"/>
          <w:szCs w:val="22"/>
          <w:lang w:val="es-MX"/>
        </w:rPr>
      </w:pPr>
      <w:r w:rsidRPr="00C02316">
        <w:rPr>
          <w:rFonts w:ascii="Arial" w:hAnsi="Arial" w:cs="Arial"/>
          <w:sz w:val="22"/>
          <w:szCs w:val="22"/>
          <w:lang w:val="es-CO"/>
        </w:rPr>
        <w:t xml:space="preserve">El artículo 61 del CGP, aplicable por expresa remisión de los artículos 227 y 306 del </w:t>
      </w:r>
      <w:proofErr w:type="gramStart"/>
      <w:r w:rsidRPr="00C02316">
        <w:rPr>
          <w:rFonts w:ascii="Arial" w:hAnsi="Arial" w:cs="Arial"/>
          <w:sz w:val="22"/>
          <w:szCs w:val="22"/>
          <w:lang w:val="es-CO"/>
        </w:rPr>
        <w:t>CPACA ,</w:t>
      </w:r>
      <w:proofErr w:type="gramEnd"/>
      <w:r w:rsidRPr="00C02316">
        <w:rPr>
          <w:rFonts w:ascii="Arial" w:hAnsi="Arial" w:cs="Arial"/>
          <w:sz w:val="22"/>
          <w:szCs w:val="22"/>
          <w:lang w:val="es-CO"/>
        </w:rPr>
        <w:t xml:space="preserve"> en punto de la figura procesal del litisconsorcio necesario (…) </w:t>
      </w:r>
      <w:r w:rsidRPr="00C02316">
        <w:rPr>
          <w:rFonts w:ascii="Arial" w:hAnsi="Arial" w:cs="Arial"/>
          <w:sz w:val="22"/>
          <w:szCs w:val="22"/>
          <w:lang w:val="es-MX"/>
        </w:rPr>
        <w:t>que la característica fundamental de la figura del litisconsorcio necesario consiste en la imposibilidad de proferir decisión de fondo sin la comparecencia al proceso de las personas que participaron de una determinada relación o acto jurídico que impone una decisión uniforme como consecuencia de un determinado litigio.</w:t>
      </w:r>
    </w:p>
    <w:p w14:paraId="18DA956E" w14:textId="77777777" w:rsidR="00682301" w:rsidRPr="00C02316" w:rsidRDefault="00682301" w:rsidP="00CC0660">
      <w:pPr>
        <w:jc w:val="both"/>
        <w:rPr>
          <w:rFonts w:ascii="Arial" w:hAnsi="Arial" w:cs="Arial"/>
          <w:sz w:val="22"/>
          <w:szCs w:val="22"/>
          <w:lang w:val="es-CO"/>
        </w:rPr>
      </w:pPr>
    </w:p>
    <w:p w14:paraId="14A353BD" w14:textId="77777777" w:rsidR="00682301" w:rsidRPr="00C02316" w:rsidRDefault="00682301" w:rsidP="00CC0660">
      <w:pPr>
        <w:jc w:val="both"/>
        <w:rPr>
          <w:rFonts w:ascii="Arial" w:hAnsi="Arial" w:cs="Arial"/>
          <w:b/>
          <w:sz w:val="22"/>
          <w:szCs w:val="22"/>
          <w:lang w:val="es-CO"/>
        </w:rPr>
      </w:pPr>
      <w:r w:rsidRPr="00C02316">
        <w:rPr>
          <w:rFonts w:ascii="Arial" w:hAnsi="Arial" w:cs="Arial"/>
          <w:b/>
          <w:sz w:val="22"/>
          <w:szCs w:val="22"/>
          <w:lang w:val="es-CO"/>
        </w:rPr>
        <w:t xml:space="preserve">LEGITIMACIÓN EN LA CAUSA POR PASIVA – Definición – Capacidad para ser parte en el proceso – Ejercicio del derecho de defensa </w:t>
      </w:r>
    </w:p>
    <w:p w14:paraId="58D024AB" w14:textId="77777777" w:rsidR="00682301" w:rsidRPr="00C02316" w:rsidRDefault="00682301" w:rsidP="00CC0660">
      <w:pPr>
        <w:jc w:val="both"/>
        <w:rPr>
          <w:rFonts w:ascii="Arial" w:hAnsi="Arial" w:cs="Arial"/>
          <w:sz w:val="22"/>
          <w:szCs w:val="22"/>
          <w:lang w:val="es-CO"/>
        </w:rPr>
      </w:pPr>
    </w:p>
    <w:p w14:paraId="441B9800" w14:textId="77777777" w:rsidR="00682301" w:rsidRPr="00C02316" w:rsidRDefault="00682301" w:rsidP="00CC0660">
      <w:pPr>
        <w:jc w:val="both"/>
        <w:rPr>
          <w:rFonts w:ascii="Arial" w:hAnsi="Arial" w:cs="Arial"/>
          <w:sz w:val="22"/>
          <w:szCs w:val="22"/>
          <w:lang w:val="es-CO"/>
        </w:rPr>
      </w:pPr>
      <w:r w:rsidRPr="00C02316">
        <w:rPr>
          <w:rFonts w:ascii="Arial" w:hAnsi="Arial" w:cs="Arial"/>
          <w:iCs/>
          <w:sz w:val="22"/>
          <w:szCs w:val="22"/>
        </w:rPr>
        <w:t>La legitimación en la causa por pasiva ha sido entendida como la capacidad para ser parte en el proceso y, en tal virtud, comparecer a efectos de ejercer la defensa frente a las imputaciones efectuadas por la parte demandante.</w:t>
      </w:r>
    </w:p>
    <w:p w14:paraId="71A316B5" w14:textId="77777777" w:rsidR="00682301" w:rsidRPr="00C02316" w:rsidRDefault="00682301" w:rsidP="00CC0660">
      <w:pPr>
        <w:jc w:val="both"/>
        <w:rPr>
          <w:rFonts w:ascii="Arial" w:hAnsi="Arial" w:cs="Arial"/>
          <w:sz w:val="22"/>
          <w:szCs w:val="22"/>
          <w:lang w:val="es-CO"/>
        </w:rPr>
      </w:pPr>
    </w:p>
    <w:p w14:paraId="18AB0E60" w14:textId="77777777" w:rsidR="00682301" w:rsidRPr="00C02316" w:rsidRDefault="00682301" w:rsidP="00CC0660">
      <w:pPr>
        <w:jc w:val="both"/>
        <w:rPr>
          <w:rFonts w:ascii="Arial" w:hAnsi="Arial" w:cs="Arial"/>
          <w:b/>
          <w:sz w:val="22"/>
          <w:szCs w:val="22"/>
        </w:rPr>
      </w:pPr>
      <w:r w:rsidRPr="00C02316">
        <w:rPr>
          <w:rFonts w:ascii="Arial" w:hAnsi="Arial" w:cs="Arial"/>
          <w:b/>
          <w:sz w:val="22"/>
          <w:szCs w:val="22"/>
        </w:rPr>
        <w:t xml:space="preserve">LEGITIMACIÓN EN LA CAUSA POR PASIVA – </w:t>
      </w:r>
      <w:r w:rsidR="00A7239F" w:rsidRPr="00C02316">
        <w:rPr>
          <w:rFonts w:ascii="Arial" w:hAnsi="Arial" w:cs="Arial"/>
          <w:b/>
          <w:sz w:val="22"/>
          <w:szCs w:val="22"/>
        </w:rPr>
        <w:t>De hecho</w:t>
      </w:r>
    </w:p>
    <w:p w14:paraId="75532CA6" w14:textId="77777777" w:rsidR="00682301" w:rsidRPr="00C02316" w:rsidRDefault="00682301" w:rsidP="00CC0660">
      <w:pPr>
        <w:jc w:val="both"/>
        <w:rPr>
          <w:rFonts w:ascii="Arial" w:hAnsi="Arial" w:cs="Arial"/>
          <w:sz w:val="22"/>
          <w:szCs w:val="22"/>
        </w:rPr>
      </w:pPr>
    </w:p>
    <w:p w14:paraId="12E4C9DA" w14:textId="77777777" w:rsidR="00682301" w:rsidRPr="00C02316" w:rsidRDefault="00682301" w:rsidP="00CC0660">
      <w:pPr>
        <w:jc w:val="both"/>
        <w:rPr>
          <w:rFonts w:ascii="Arial" w:hAnsi="Arial" w:cs="Arial"/>
          <w:iCs/>
          <w:sz w:val="22"/>
          <w:szCs w:val="22"/>
        </w:rPr>
      </w:pPr>
      <w:r w:rsidRPr="00C02316">
        <w:rPr>
          <w:rFonts w:ascii="Arial" w:hAnsi="Arial" w:cs="Arial"/>
          <w:iCs/>
          <w:sz w:val="22"/>
          <w:szCs w:val="22"/>
        </w:rPr>
        <w:t xml:space="preserve">La legitimación de hecho surge de la formulación de imputaciones fácticas y de pretensiones en contra de la parte pasiva, en tanto </w:t>
      </w:r>
      <w:proofErr w:type="gramStart"/>
      <w:r w:rsidRPr="00C02316">
        <w:rPr>
          <w:rFonts w:ascii="Arial" w:hAnsi="Arial" w:cs="Arial"/>
          <w:iCs/>
          <w:sz w:val="22"/>
          <w:szCs w:val="22"/>
        </w:rPr>
        <w:t>la material</w:t>
      </w:r>
      <w:proofErr w:type="gramEnd"/>
      <w:r w:rsidRPr="00C02316">
        <w:rPr>
          <w:rFonts w:ascii="Arial" w:hAnsi="Arial" w:cs="Arial"/>
          <w:iCs/>
          <w:sz w:val="22"/>
          <w:szCs w:val="22"/>
        </w:rPr>
        <w:t xml:space="preserve"> es condición necesaria para </w:t>
      </w:r>
      <w:r w:rsidRPr="00C02316">
        <w:rPr>
          <w:rFonts w:ascii="Arial" w:hAnsi="Arial" w:cs="Arial"/>
          <w:iCs/>
          <w:sz w:val="22"/>
          <w:szCs w:val="22"/>
        </w:rPr>
        <w:lastRenderedPageBreak/>
        <w:t>la prosperidad de estas. En este orden de ideas, en criterio del Despacho, la imputación razonable de un daño a una persona y la solicitud del resarcimiento correspondiente supone la legitimación en la causa por pasiva de hecho, sin que tal planteamiento implique, en manera alguna, la atribución de responsabilidad en este escenario procesal, toda vez que ello solamente es posible al momento de proferir decisión de fondo, con base en el material probatorio debidamente incorporado a la actuación.</w:t>
      </w:r>
    </w:p>
    <w:p w14:paraId="6E20793F" w14:textId="77777777" w:rsidR="00682301" w:rsidRPr="00C02316" w:rsidRDefault="00682301" w:rsidP="00CC0660">
      <w:pPr>
        <w:jc w:val="both"/>
        <w:rPr>
          <w:rFonts w:ascii="Arial" w:hAnsi="Arial" w:cs="Arial"/>
          <w:iCs/>
          <w:sz w:val="22"/>
          <w:szCs w:val="22"/>
        </w:rPr>
      </w:pPr>
    </w:p>
    <w:p w14:paraId="6ED869E8" w14:textId="77777777" w:rsidR="00682301" w:rsidRPr="00C02316" w:rsidRDefault="00682301" w:rsidP="00CC0660">
      <w:pPr>
        <w:jc w:val="both"/>
        <w:rPr>
          <w:rFonts w:ascii="Arial" w:hAnsi="Arial" w:cs="Arial"/>
          <w:b/>
          <w:sz w:val="22"/>
          <w:szCs w:val="22"/>
        </w:rPr>
      </w:pPr>
      <w:r w:rsidRPr="00C02316">
        <w:rPr>
          <w:rFonts w:ascii="Arial" w:hAnsi="Arial" w:cs="Arial"/>
          <w:b/>
          <w:sz w:val="22"/>
          <w:szCs w:val="22"/>
        </w:rPr>
        <w:t xml:space="preserve">LEGITIMACIÓN EN LA CAUSA POR PASIVA – Legitimación en la causa por pasiva de hecho – Procesal – Capacidad – Derecho de defensa – legitimación en la causa material </w:t>
      </w:r>
    </w:p>
    <w:p w14:paraId="7F63EB94" w14:textId="77777777" w:rsidR="00682301" w:rsidRPr="00C02316" w:rsidRDefault="00682301" w:rsidP="00CC0660">
      <w:pPr>
        <w:jc w:val="both"/>
        <w:rPr>
          <w:rFonts w:ascii="Arial" w:hAnsi="Arial" w:cs="Arial"/>
          <w:iCs/>
          <w:sz w:val="22"/>
          <w:szCs w:val="22"/>
        </w:rPr>
      </w:pPr>
    </w:p>
    <w:p w14:paraId="3751882C" w14:textId="77777777" w:rsidR="00682301" w:rsidRPr="00C02316" w:rsidRDefault="00682301" w:rsidP="00CC0660">
      <w:pPr>
        <w:jc w:val="both"/>
        <w:rPr>
          <w:rFonts w:ascii="Arial" w:hAnsi="Arial" w:cs="Arial"/>
          <w:iCs/>
          <w:sz w:val="22"/>
          <w:szCs w:val="22"/>
        </w:rPr>
      </w:pPr>
      <w:r w:rsidRPr="00C02316">
        <w:rPr>
          <w:rFonts w:ascii="Arial" w:hAnsi="Arial" w:cs="Arial"/>
          <w:iCs/>
          <w:sz w:val="22"/>
          <w:szCs w:val="22"/>
        </w:rPr>
        <w:t>La legitimación en la causa por pasiva -de hecho-, desde el punto de vista procesal, supone la capacidad para ser parte y acudir directamente al juicio de responsabilidad, en orden a ejercer el derecho de defensa frente a los hechos y pretensiones formulados por el extremo activo, en tanto que la legitimación material en la causa implica un estudio de fondo, en cuya virtud se establece si existió o no una participación efectiva del demandado en la producción de un daño antijurídico, de ahí que la diferencia existente entre estos dos conceptos resulte relevante para comprender la etapa en la cual debe decidirse frente a su configuración.</w:t>
      </w:r>
    </w:p>
    <w:p w14:paraId="4DE1E01E" w14:textId="77777777" w:rsidR="00682301" w:rsidRPr="00C02316" w:rsidRDefault="00682301" w:rsidP="00CC0660">
      <w:pPr>
        <w:jc w:val="both"/>
        <w:rPr>
          <w:rFonts w:ascii="Arial" w:hAnsi="Arial" w:cs="Arial"/>
          <w:iCs/>
          <w:sz w:val="22"/>
          <w:szCs w:val="22"/>
        </w:rPr>
      </w:pPr>
    </w:p>
    <w:p w14:paraId="6D5FBA75" w14:textId="77777777" w:rsidR="00682301" w:rsidRPr="00C02316" w:rsidRDefault="00682301" w:rsidP="00CC0660">
      <w:pPr>
        <w:jc w:val="both"/>
        <w:rPr>
          <w:rFonts w:ascii="Arial" w:hAnsi="Arial" w:cs="Arial"/>
          <w:b/>
          <w:iCs/>
          <w:sz w:val="22"/>
          <w:szCs w:val="22"/>
        </w:rPr>
      </w:pPr>
      <w:r w:rsidRPr="00C02316">
        <w:rPr>
          <w:rFonts w:ascii="Arial" w:hAnsi="Arial" w:cs="Arial"/>
          <w:b/>
          <w:iCs/>
          <w:sz w:val="22"/>
          <w:szCs w:val="22"/>
        </w:rPr>
        <w:t xml:space="preserve">LEGITIMACIÓN EN LA CAUSA POR PASIVA – De hecho – Material – Diferencias </w:t>
      </w:r>
    </w:p>
    <w:p w14:paraId="0C81195C" w14:textId="77777777" w:rsidR="00682301" w:rsidRPr="00C02316" w:rsidRDefault="00682301" w:rsidP="00CC0660">
      <w:pPr>
        <w:jc w:val="both"/>
        <w:rPr>
          <w:rFonts w:ascii="Arial" w:hAnsi="Arial" w:cs="Arial"/>
          <w:iCs/>
          <w:sz w:val="22"/>
          <w:szCs w:val="22"/>
        </w:rPr>
      </w:pPr>
    </w:p>
    <w:p w14:paraId="4FB6A5D4" w14:textId="77777777" w:rsidR="00682301" w:rsidRPr="00C02316" w:rsidRDefault="00682301" w:rsidP="00CC0660">
      <w:pPr>
        <w:jc w:val="both"/>
        <w:rPr>
          <w:rFonts w:ascii="Arial" w:hAnsi="Arial" w:cs="Arial"/>
          <w:iCs/>
          <w:sz w:val="22"/>
          <w:szCs w:val="22"/>
        </w:rPr>
      </w:pPr>
      <w:r w:rsidRPr="00C02316">
        <w:rPr>
          <w:rFonts w:ascii="Arial" w:hAnsi="Arial" w:cs="Arial"/>
          <w:iCs/>
          <w:sz w:val="22"/>
          <w:szCs w:val="22"/>
        </w:rPr>
        <w:t>Mientras la legitimación en la causa por pasiva de hecho se vislumbra a partir de la imputación que la parte actora hace al extremo demandado, la legitimación material únicamente puede verificarse como consecuencia del estudio probatorio, dirigido a establecer si se configuró la responsabilidad endilgada desde el libelo inicial, circunstancia que implica un pronunciamiento de fondo que, en principio, no es propio de las etapas iniciales del proceso, entre las cuales se encuentra la audiencia prevista en el artículo 180 del  CPACA.</w:t>
      </w:r>
    </w:p>
    <w:p w14:paraId="2D0493D4" w14:textId="77777777" w:rsidR="00682301" w:rsidRPr="00682301" w:rsidRDefault="00682301" w:rsidP="00E01488">
      <w:pPr>
        <w:jc w:val="both"/>
        <w:rPr>
          <w:rFonts w:ascii="Arial" w:hAnsi="Arial" w:cs="Arial"/>
        </w:rPr>
      </w:pPr>
    </w:p>
    <w:p w14:paraId="23A7EF61" w14:textId="77777777" w:rsidR="00F03689" w:rsidRPr="00E01488" w:rsidRDefault="00F03689" w:rsidP="00E01488">
      <w:pPr>
        <w:jc w:val="both"/>
        <w:rPr>
          <w:rFonts w:ascii="Arial" w:hAnsi="Arial" w:cs="Arial"/>
          <w:b/>
        </w:rPr>
      </w:pPr>
    </w:p>
    <w:p w14:paraId="7C971B06" w14:textId="77777777" w:rsidR="00813B30" w:rsidRDefault="00813B30" w:rsidP="00D11060">
      <w:pPr>
        <w:jc w:val="center"/>
        <w:rPr>
          <w:rFonts w:ascii="Arial" w:hAnsi="Arial" w:cs="Arial"/>
          <w:b/>
        </w:rPr>
      </w:pPr>
      <w:r>
        <w:rPr>
          <w:rFonts w:ascii="Arial" w:hAnsi="Arial" w:cs="Arial"/>
          <w:b/>
        </w:rPr>
        <w:t>C</w:t>
      </w:r>
      <w:r w:rsidRPr="00161AE9">
        <w:rPr>
          <w:rFonts w:ascii="Arial" w:hAnsi="Arial" w:cs="Arial"/>
          <w:b/>
        </w:rPr>
        <w:t>ONSEJO DE ESTADO</w:t>
      </w:r>
    </w:p>
    <w:p w14:paraId="4BF4BDA0" w14:textId="77777777" w:rsidR="00D11060" w:rsidRPr="00161AE9" w:rsidRDefault="00D11060" w:rsidP="00D11060">
      <w:pPr>
        <w:jc w:val="center"/>
        <w:rPr>
          <w:rFonts w:ascii="Arial" w:hAnsi="Arial" w:cs="Arial"/>
          <w:b/>
        </w:rPr>
      </w:pPr>
    </w:p>
    <w:p w14:paraId="071B7420" w14:textId="77777777" w:rsidR="00813B30" w:rsidRDefault="00813B30" w:rsidP="00D11060">
      <w:pPr>
        <w:jc w:val="center"/>
        <w:rPr>
          <w:rFonts w:ascii="Arial" w:hAnsi="Arial" w:cs="Arial"/>
          <w:b/>
        </w:rPr>
      </w:pPr>
      <w:r w:rsidRPr="00161AE9">
        <w:rPr>
          <w:rFonts w:ascii="Arial" w:hAnsi="Arial" w:cs="Arial"/>
          <w:b/>
        </w:rPr>
        <w:t>SALA DE LO CONTENCIOSO ADMINISTRATIVO</w:t>
      </w:r>
    </w:p>
    <w:p w14:paraId="4342B0AA" w14:textId="77777777" w:rsidR="00D11060" w:rsidRPr="00161AE9" w:rsidRDefault="00D11060" w:rsidP="00D11060">
      <w:pPr>
        <w:jc w:val="center"/>
        <w:rPr>
          <w:rFonts w:ascii="Arial" w:hAnsi="Arial" w:cs="Arial"/>
          <w:b/>
        </w:rPr>
      </w:pPr>
    </w:p>
    <w:p w14:paraId="708036B5" w14:textId="77777777" w:rsidR="00D11060" w:rsidRDefault="00813B30" w:rsidP="00D11060">
      <w:pPr>
        <w:jc w:val="center"/>
        <w:rPr>
          <w:rFonts w:ascii="Arial" w:hAnsi="Arial" w:cs="Arial"/>
          <w:b/>
        </w:rPr>
      </w:pPr>
      <w:r w:rsidRPr="00161AE9">
        <w:rPr>
          <w:rFonts w:ascii="Arial" w:hAnsi="Arial" w:cs="Arial"/>
          <w:b/>
        </w:rPr>
        <w:t>SECCIÓN TERCERA</w:t>
      </w:r>
    </w:p>
    <w:p w14:paraId="01BFAC81" w14:textId="77777777" w:rsidR="00D11060" w:rsidRDefault="00D11060" w:rsidP="00D11060">
      <w:pPr>
        <w:jc w:val="center"/>
        <w:rPr>
          <w:rFonts w:ascii="Arial" w:hAnsi="Arial" w:cs="Arial"/>
          <w:b/>
        </w:rPr>
      </w:pPr>
    </w:p>
    <w:p w14:paraId="31496FF6" w14:textId="77777777" w:rsidR="00813B30" w:rsidRDefault="00813B30" w:rsidP="00D11060">
      <w:pPr>
        <w:jc w:val="center"/>
        <w:rPr>
          <w:rFonts w:ascii="Arial" w:hAnsi="Arial" w:cs="Arial"/>
          <w:b/>
        </w:rPr>
      </w:pPr>
      <w:r w:rsidRPr="00161AE9">
        <w:rPr>
          <w:rFonts w:ascii="Arial" w:hAnsi="Arial" w:cs="Arial"/>
          <w:b/>
        </w:rPr>
        <w:t>SUBSECCIÓN A</w:t>
      </w:r>
    </w:p>
    <w:p w14:paraId="6958F274" w14:textId="77777777" w:rsidR="00813B30" w:rsidRPr="00161AE9" w:rsidRDefault="00813B30" w:rsidP="00D11060">
      <w:pPr>
        <w:jc w:val="center"/>
        <w:rPr>
          <w:rFonts w:ascii="Arial" w:hAnsi="Arial" w:cs="Arial"/>
          <w:b/>
        </w:rPr>
      </w:pPr>
    </w:p>
    <w:p w14:paraId="145A44EE" w14:textId="77777777" w:rsidR="00813B30" w:rsidRDefault="00D11060" w:rsidP="00D11060">
      <w:pPr>
        <w:jc w:val="center"/>
        <w:rPr>
          <w:rFonts w:ascii="Arial" w:hAnsi="Arial" w:cs="Arial"/>
          <w:b/>
          <w:lang w:val="es-ES_tradnl"/>
        </w:rPr>
      </w:pPr>
      <w:r>
        <w:rPr>
          <w:rFonts w:ascii="Arial" w:hAnsi="Arial" w:cs="Arial"/>
          <w:b/>
        </w:rPr>
        <w:t>Consejera p</w:t>
      </w:r>
      <w:r w:rsidR="00813B30">
        <w:rPr>
          <w:rFonts w:ascii="Arial" w:hAnsi="Arial" w:cs="Arial"/>
          <w:b/>
        </w:rPr>
        <w:t xml:space="preserve">onente: </w:t>
      </w:r>
      <w:r w:rsidR="00813B30">
        <w:rPr>
          <w:rFonts w:ascii="Arial" w:hAnsi="Arial" w:cs="Arial"/>
          <w:b/>
          <w:caps/>
        </w:rPr>
        <w:t>Marta Nubia Velásquez Rico</w:t>
      </w:r>
    </w:p>
    <w:p w14:paraId="66130A71" w14:textId="77777777" w:rsidR="00813B30" w:rsidRDefault="00813B30" w:rsidP="00D11060">
      <w:pPr>
        <w:jc w:val="both"/>
        <w:rPr>
          <w:rFonts w:ascii="Arial" w:hAnsi="Arial" w:cs="Arial"/>
        </w:rPr>
      </w:pPr>
    </w:p>
    <w:p w14:paraId="038482CC" w14:textId="77777777" w:rsidR="00813B30" w:rsidRDefault="00813B30" w:rsidP="00D11060">
      <w:pPr>
        <w:jc w:val="both"/>
        <w:rPr>
          <w:rFonts w:ascii="Arial" w:hAnsi="Arial" w:cs="Arial"/>
        </w:rPr>
      </w:pPr>
      <w:r>
        <w:rPr>
          <w:rFonts w:ascii="Arial" w:hAnsi="Arial" w:cs="Arial"/>
        </w:rPr>
        <w:t>Bogotá</w:t>
      </w:r>
      <w:r w:rsidR="00577BBE">
        <w:rPr>
          <w:rFonts w:ascii="Arial" w:hAnsi="Arial" w:cs="Arial"/>
        </w:rPr>
        <w:t>,</w:t>
      </w:r>
      <w:r>
        <w:rPr>
          <w:rFonts w:ascii="Arial" w:hAnsi="Arial" w:cs="Arial"/>
        </w:rPr>
        <w:t xml:space="preserve"> D.C.,</w:t>
      </w:r>
      <w:r w:rsidR="00646952">
        <w:rPr>
          <w:rFonts w:ascii="Arial" w:hAnsi="Arial" w:cs="Arial"/>
        </w:rPr>
        <w:t xml:space="preserve"> </w:t>
      </w:r>
      <w:r w:rsidR="00B93C76">
        <w:rPr>
          <w:rFonts w:ascii="Arial" w:hAnsi="Arial" w:cs="Arial"/>
        </w:rPr>
        <w:t xml:space="preserve">veintidós (22) </w:t>
      </w:r>
      <w:r w:rsidR="009277FA">
        <w:rPr>
          <w:rFonts w:ascii="Arial" w:hAnsi="Arial" w:cs="Arial"/>
        </w:rPr>
        <w:t xml:space="preserve">de junio </w:t>
      </w:r>
      <w:r w:rsidR="00122C7A">
        <w:rPr>
          <w:rFonts w:ascii="Arial" w:hAnsi="Arial" w:cs="Arial"/>
        </w:rPr>
        <w:t>de dos mil diecisiete (2017)</w:t>
      </w:r>
    </w:p>
    <w:p w14:paraId="0D9A7540" w14:textId="77777777" w:rsidR="00813B30" w:rsidRDefault="00813B30" w:rsidP="00D11060">
      <w:pPr>
        <w:jc w:val="both"/>
        <w:rPr>
          <w:rFonts w:ascii="Arial" w:hAnsi="Arial" w:cs="Arial"/>
          <w:b/>
        </w:rPr>
      </w:pPr>
    </w:p>
    <w:p w14:paraId="7990C102" w14:textId="77777777" w:rsidR="00813B30" w:rsidRDefault="00813B30" w:rsidP="00D11060">
      <w:pPr>
        <w:jc w:val="both"/>
        <w:rPr>
          <w:rFonts w:ascii="Arial" w:hAnsi="Arial" w:cs="Arial"/>
          <w:b/>
        </w:rPr>
      </w:pPr>
      <w:r>
        <w:rPr>
          <w:rFonts w:ascii="Arial" w:eastAsia="Calibri" w:hAnsi="Arial" w:cs="Arial"/>
          <w:b/>
          <w:lang w:eastAsia="en-US"/>
        </w:rPr>
        <w:t xml:space="preserve">Radicación número: </w:t>
      </w:r>
      <w:r w:rsidR="009277FA">
        <w:rPr>
          <w:rFonts w:ascii="Arial" w:eastAsia="Calibri" w:hAnsi="Arial" w:cs="Arial"/>
          <w:b/>
          <w:lang w:eastAsia="en-US"/>
        </w:rPr>
        <w:t>05001</w:t>
      </w:r>
      <w:r>
        <w:rPr>
          <w:rFonts w:ascii="Arial" w:hAnsi="Arial" w:cs="Arial"/>
          <w:b/>
        </w:rPr>
        <w:t>-23-3</w:t>
      </w:r>
      <w:r w:rsidR="009277FA">
        <w:rPr>
          <w:rFonts w:ascii="Arial" w:hAnsi="Arial" w:cs="Arial"/>
          <w:b/>
        </w:rPr>
        <w:t>3</w:t>
      </w:r>
      <w:r>
        <w:rPr>
          <w:rFonts w:ascii="Arial" w:hAnsi="Arial" w:cs="Arial"/>
          <w:b/>
        </w:rPr>
        <w:t>-000-201</w:t>
      </w:r>
      <w:r w:rsidR="009277FA">
        <w:rPr>
          <w:rFonts w:ascii="Arial" w:hAnsi="Arial" w:cs="Arial"/>
          <w:b/>
        </w:rPr>
        <w:t>5</w:t>
      </w:r>
      <w:r>
        <w:rPr>
          <w:rFonts w:ascii="Arial" w:hAnsi="Arial" w:cs="Arial"/>
          <w:b/>
        </w:rPr>
        <w:t>-</w:t>
      </w:r>
      <w:r w:rsidR="009277FA">
        <w:rPr>
          <w:rFonts w:ascii="Arial" w:hAnsi="Arial" w:cs="Arial"/>
          <w:b/>
        </w:rPr>
        <w:t>00251</w:t>
      </w:r>
      <w:r w:rsidR="008F717F">
        <w:rPr>
          <w:rFonts w:ascii="Arial" w:hAnsi="Arial" w:cs="Arial"/>
          <w:b/>
        </w:rPr>
        <w:t>-01</w:t>
      </w:r>
      <w:r>
        <w:rPr>
          <w:rFonts w:ascii="Arial" w:hAnsi="Arial" w:cs="Arial"/>
          <w:b/>
        </w:rPr>
        <w:t>(5</w:t>
      </w:r>
      <w:r w:rsidR="00431970">
        <w:rPr>
          <w:rFonts w:ascii="Arial" w:hAnsi="Arial" w:cs="Arial"/>
          <w:b/>
        </w:rPr>
        <w:t>7</w:t>
      </w:r>
      <w:r w:rsidR="00023B4B">
        <w:rPr>
          <w:rFonts w:ascii="Arial" w:hAnsi="Arial" w:cs="Arial"/>
          <w:b/>
        </w:rPr>
        <w:t>866</w:t>
      </w:r>
      <w:r>
        <w:rPr>
          <w:rFonts w:ascii="Arial" w:hAnsi="Arial" w:cs="Arial"/>
          <w:b/>
        </w:rPr>
        <w:t>)</w:t>
      </w:r>
    </w:p>
    <w:p w14:paraId="414962BC" w14:textId="77777777" w:rsidR="00813B30" w:rsidRDefault="00813B30" w:rsidP="00D11060">
      <w:pPr>
        <w:jc w:val="both"/>
        <w:rPr>
          <w:rFonts w:ascii="Arial" w:eastAsia="Calibri" w:hAnsi="Arial" w:cs="Arial"/>
          <w:b/>
          <w:lang w:eastAsia="en-US"/>
        </w:rPr>
      </w:pPr>
    </w:p>
    <w:p w14:paraId="375DADA0" w14:textId="77777777" w:rsidR="00813B30" w:rsidRDefault="00813B30" w:rsidP="000578D5">
      <w:pPr>
        <w:jc w:val="both"/>
        <w:rPr>
          <w:rFonts w:ascii="Arial" w:eastAsia="Calibri" w:hAnsi="Arial" w:cs="Arial"/>
          <w:b/>
          <w:lang w:eastAsia="en-US"/>
        </w:rPr>
      </w:pPr>
      <w:r>
        <w:rPr>
          <w:rFonts w:ascii="Arial" w:eastAsia="Calibri" w:hAnsi="Arial" w:cs="Arial"/>
          <w:b/>
          <w:lang w:eastAsia="en-US"/>
        </w:rPr>
        <w:t xml:space="preserve">Actor: </w:t>
      </w:r>
      <w:r w:rsidR="00023B4B">
        <w:rPr>
          <w:rFonts w:ascii="Arial" w:eastAsia="Calibri" w:hAnsi="Arial" w:cs="Arial"/>
          <w:b/>
          <w:lang w:eastAsia="en-US"/>
        </w:rPr>
        <w:t>ROTOPLAST S.A.</w:t>
      </w:r>
    </w:p>
    <w:p w14:paraId="1FDA991C" w14:textId="77777777" w:rsidR="00813B30" w:rsidRDefault="00813B30" w:rsidP="00813B30">
      <w:pPr>
        <w:ind w:left="1416" w:hanging="1416"/>
        <w:jc w:val="both"/>
        <w:rPr>
          <w:rFonts w:ascii="Arial" w:eastAsia="Calibri" w:hAnsi="Arial" w:cs="Arial"/>
          <w:b/>
          <w:lang w:eastAsia="en-US"/>
        </w:rPr>
      </w:pPr>
    </w:p>
    <w:p w14:paraId="203093AD" w14:textId="77777777" w:rsidR="00813B30" w:rsidRDefault="00813B30" w:rsidP="00577BBE">
      <w:pPr>
        <w:ind w:right="51"/>
        <w:jc w:val="both"/>
        <w:rPr>
          <w:rFonts w:ascii="Arial" w:eastAsia="Calibri" w:hAnsi="Arial" w:cs="Arial"/>
          <w:b/>
          <w:lang w:eastAsia="en-US"/>
        </w:rPr>
      </w:pPr>
      <w:r>
        <w:rPr>
          <w:rFonts w:ascii="Arial" w:eastAsia="Calibri" w:hAnsi="Arial" w:cs="Arial"/>
          <w:b/>
          <w:lang w:eastAsia="en-US"/>
        </w:rPr>
        <w:t>Demandado:</w:t>
      </w:r>
      <w:r w:rsidR="008F717F">
        <w:rPr>
          <w:rFonts w:ascii="Arial" w:eastAsia="Calibri" w:hAnsi="Arial" w:cs="Arial"/>
          <w:b/>
          <w:lang w:eastAsia="en-US"/>
        </w:rPr>
        <w:t xml:space="preserve"> </w:t>
      </w:r>
      <w:r w:rsidR="00E866B5">
        <w:rPr>
          <w:rFonts w:ascii="Arial" w:eastAsia="Calibri" w:hAnsi="Arial" w:cs="Arial"/>
          <w:b/>
          <w:lang w:eastAsia="en-US"/>
        </w:rPr>
        <w:t>CORANTIOQUIA Y OTRO</w:t>
      </w:r>
    </w:p>
    <w:p w14:paraId="029E18C9" w14:textId="77777777" w:rsidR="00813B30" w:rsidRDefault="00813B30" w:rsidP="00E23D71">
      <w:pPr>
        <w:jc w:val="both"/>
        <w:rPr>
          <w:rFonts w:ascii="Arial" w:eastAsia="Calibri" w:hAnsi="Arial" w:cs="Arial"/>
          <w:b/>
          <w:lang w:eastAsia="en-US"/>
        </w:rPr>
      </w:pPr>
    </w:p>
    <w:p w14:paraId="06298EB2" w14:textId="77777777" w:rsidR="00D11060" w:rsidRDefault="00D11060" w:rsidP="00E23D71">
      <w:pPr>
        <w:jc w:val="both"/>
        <w:rPr>
          <w:rFonts w:ascii="Arial" w:eastAsia="Calibri" w:hAnsi="Arial" w:cs="Arial"/>
          <w:b/>
          <w:lang w:eastAsia="en-US"/>
        </w:rPr>
      </w:pPr>
    </w:p>
    <w:p w14:paraId="0353F493" w14:textId="77777777" w:rsidR="00D11060" w:rsidRDefault="00D11060" w:rsidP="00E23D71">
      <w:pPr>
        <w:jc w:val="both"/>
        <w:rPr>
          <w:rFonts w:ascii="Arial" w:eastAsia="Calibri" w:hAnsi="Arial" w:cs="Arial"/>
          <w:b/>
          <w:lang w:eastAsia="en-US"/>
        </w:rPr>
      </w:pPr>
    </w:p>
    <w:p w14:paraId="46DA4E76" w14:textId="77777777" w:rsidR="00813B30" w:rsidRDefault="00813B30" w:rsidP="00813B30">
      <w:pPr>
        <w:jc w:val="both"/>
        <w:rPr>
          <w:rFonts w:ascii="Arial" w:eastAsia="Calibri" w:hAnsi="Arial" w:cs="Arial"/>
          <w:b/>
          <w:bCs/>
          <w:lang w:eastAsia="en-US"/>
        </w:rPr>
      </w:pPr>
      <w:r>
        <w:rPr>
          <w:rFonts w:ascii="Arial" w:eastAsia="Calibri" w:hAnsi="Arial" w:cs="Arial"/>
          <w:b/>
          <w:lang w:eastAsia="en-US"/>
        </w:rPr>
        <w:t xml:space="preserve">Referencia: </w:t>
      </w:r>
      <w:r w:rsidR="00D11060">
        <w:rPr>
          <w:rFonts w:ascii="Arial" w:eastAsia="Calibri" w:hAnsi="Arial" w:cs="Arial"/>
          <w:b/>
          <w:lang w:eastAsia="en-US"/>
        </w:rPr>
        <w:t xml:space="preserve">APELACIÓN AUTO - </w:t>
      </w:r>
      <w:r w:rsidR="00D11060">
        <w:rPr>
          <w:rFonts w:ascii="Arial" w:hAnsi="Arial" w:cs="Arial"/>
          <w:b/>
          <w:bCs/>
        </w:rPr>
        <w:t>MEDIO DE CONTROL DE CONTROVERSIAS CONTRACTUALES (LEY 1437 DE 2011)</w:t>
      </w:r>
    </w:p>
    <w:p w14:paraId="4000CFC0" w14:textId="77777777" w:rsidR="00D73DAE" w:rsidRDefault="00D73DAE" w:rsidP="00813B30">
      <w:pPr>
        <w:jc w:val="both"/>
        <w:rPr>
          <w:rFonts w:ascii="Arial" w:hAnsi="Arial" w:cs="Arial"/>
          <w:b/>
        </w:rPr>
      </w:pPr>
    </w:p>
    <w:p w14:paraId="7A2EDC40" w14:textId="77777777" w:rsidR="00D11060" w:rsidRDefault="00D11060" w:rsidP="00813B30">
      <w:pPr>
        <w:jc w:val="both"/>
        <w:rPr>
          <w:rFonts w:ascii="Arial" w:hAnsi="Arial" w:cs="Arial"/>
          <w:b/>
        </w:rPr>
      </w:pPr>
    </w:p>
    <w:p w14:paraId="72C48BD7" w14:textId="77777777" w:rsidR="00D11060" w:rsidRDefault="00D11060" w:rsidP="00813B30">
      <w:pPr>
        <w:jc w:val="both"/>
        <w:rPr>
          <w:rFonts w:ascii="Arial" w:hAnsi="Arial" w:cs="Arial"/>
          <w:b/>
        </w:rPr>
      </w:pPr>
    </w:p>
    <w:p w14:paraId="7935BC66" w14:textId="77777777" w:rsidR="00F6480A" w:rsidRDefault="00D73DAE" w:rsidP="00D73DAE">
      <w:pPr>
        <w:pStyle w:val="Textoindependiente"/>
        <w:jc w:val="both"/>
        <w:rPr>
          <w:rFonts w:cs="Arial"/>
          <w:szCs w:val="24"/>
        </w:rPr>
      </w:pPr>
      <w:r w:rsidRPr="00B93C76">
        <w:rPr>
          <w:rFonts w:cs="Arial"/>
          <w:szCs w:val="24"/>
        </w:rPr>
        <w:t xml:space="preserve">Temas: </w:t>
      </w:r>
      <w:r w:rsidR="000578D5" w:rsidRPr="00B93C76">
        <w:rPr>
          <w:rFonts w:cs="Arial"/>
          <w:szCs w:val="24"/>
        </w:rPr>
        <w:t>PROCEDENCIA DEL RECURSO DE APELACIÓN</w:t>
      </w:r>
      <w:r w:rsidR="008D1C26" w:rsidRPr="00B93C76">
        <w:rPr>
          <w:rFonts w:cs="Arial"/>
          <w:szCs w:val="24"/>
        </w:rPr>
        <w:t xml:space="preserve"> CONTRA AUTOS</w:t>
      </w:r>
      <w:r w:rsidR="000578D5" w:rsidRPr="00B93C76">
        <w:rPr>
          <w:rFonts w:cs="Arial"/>
          <w:szCs w:val="24"/>
        </w:rPr>
        <w:t xml:space="preserve"> - solamente procede este recurso en los eventos previstos en el artículo 243 </w:t>
      </w:r>
      <w:r w:rsidR="00B93C76" w:rsidRPr="00B93C76">
        <w:rPr>
          <w:rFonts w:cs="Arial"/>
          <w:szCs w:val="24"/>
        </w:rPr>
        <w:t xml:space="preserve">del CPACA </w:t>
      </w:r>
      <w:r w:rsidR="000578D5" w:rsidRPr="00B93C76">
        <w:rPr>
          <w:rFonts w:cs="Arial"/>
          <w:szCs w:val="24"/>
        </w:rPr>
        <w:t xml:space="preserve">y en las normas </w:t>
      </w:r>
      <w:r w:rsidR="000578D5" w:rsidRPr="00B93C76">
        <w:rPr>
          <w:rFonts w:cs="Arial"/>
          <w:szCs w:val="24"/>
        </w:rPr>
        <w:lastRenderedPageBreak/>
        <w:t>especiale</w:t>
      </w:r>
      <w:r w:rsidR="00B93C76" w:rsidRPr="00B93C76">
        <w:rPr>
          <w:rFonts w:cs="Arial"/>
          <w:szCs w:val="24"/>
        </w:rPr>
        <w:t>s que lo dispongan expresamente, como es el caso de los artículos 180 y 22</w:t>
      </w:r>
      <w:r w:rsidR="00C16E07">
        <w:rPr>
          <w:rFonts w:cs="Arial"/>
          <w:szCs w:val="24"/>
        </w:rPr>
        <w:t>6 de ese mismo cuerpo normativo</w:t>
      </w:r>
      <w:r w:rsidR="00B93C76">
        <w:rPr>
          <w:rFonts w:cs="Arial"/>
          <w:szCs w:val="24"/>
        </w:rPr>
        <w:t xml:space="preserve">/ LITISCONSORCIO NECESARIO </w:t>
      </w:r>
      <w:r w:rsidR="00955D1C">
        <w:rPr>
          <w:rFonts w:cs="Arial"/>
          <w:szCs w:val="24"/>
        </w:rPr>
        <w:t>-</w:t>
      </w:r>
      <w:r w:rsidR="00B93C76">
        <w:rPr>
          <w:rFonts w:cs="Arial"/>
          <w:szCs w:val="24"/>
        </w:rPr>
        <w:t xml:space="preserve"> </w:t>
      </w:r>
      <w:r w:rsidR="00955D1C">
        <w:rPr>
          <w:rFonts w:cs="Arial"/>
          <w:szCs w:val="24"/>
        </w:rPr>
        <w:t>en los términos del artículo 61 del CGP, esta figura se presenta cuando no es posible resolver de fondo sin la comparecencia de todas las personas que fueron sujetos de una misma relación susta</w:t>
      </w:r>
      <w:r w:rsidR="00C16E07">
        <w:rPr>
          <w:rFonts w:cs="Arial"/>
          <w:szCs w:val="24"/>
        </w:rPr>
        <w:t>ncial o del mismo acto jurídico</w:t>
      </w:r>
      <w:r w:rsidR="00955D1C">
        <w:rPr>
          <w:rFonts w:cs="Arial"/>
          <w:szCs w:val="24"/>
        </w:rPr>
        <w:t>/ LEGITIMACIÓN EN LA CAUSA – legitimación de hecho y material, alcance y contenido de cada uno de estos conceptos</w:t>
      </w:r>
      <w:r w:rsidR="00C16E07">
        <w:rPr>
          <w:rFonts w:cs="Arial"/>
          <w:szCs w:val="24"/>
        </w:rPr>
        <w:t xml:space="preserve"> -</w:t>
      </w:r>
      <w:r w:rsidR="00955D1C">
        <w:rPr>
          <w:rFonts w:cs="Arial"/>
          <w:szCs w:val="24"/>
        </w:rPr>
        <w:t>En el caso bajo estudio no se formularon pretensiones en contra de uno de los demandados, circunstancia que impide resolver de fondo en su contra, ante una eventual condena, atendiendo al principio de congruencia de la sentencia.</w:t>
      </w:r>
    </w:p>
    <w:p w14:paraId="1D899AA7" w14:textId="77777777" w:rsidR="000578D5" w:rsidRDefault="000578D5" w:rsidP="00813B30">
      <w:pPr>
        <w:pStyle w:val="BodyText21"/>
        <w:autoSpaceDE/>
        <w:autoSpaceDN/>
        <w:spacing w:line="360" w:lineRule="auto"/>
      </w:pPr>
    </w:p>
    <w:p w14:paraId="42FECD69" w14:textId="77777777" w:rsidR="00813B30" w:rsidRDefault="00E866B5" w:rsidP="00813B30">
      <w:pPr>
        <w:pStyle w:val="BodyText21"/>
        <w:autoSpaceDE/>
        <w:autoSpaceDN/>
        <w:spacing w:line="360" w:lineRule="auto"/>
      </w:pPr>
      <w:r>
        <w:t>Decide</w:t>
      </w:r>
      <w:r w:rsidR="000578D5">
        <w:t xml:space="preserve"> el </w:t>
      </w:r>
      <w:r w:rsidR="00813B30" w:rsidRPr="004E6A2A">
        <w:rPr>
          <w:color w:val="000000"/>
        </w:rPr>
        <w:t>Despacho el recurso</w:t>
      </w:r>
      <w:r w:rsidR="00813B30" w:rsidRPr="004E6A2A">
        <w:t xml:space="preserve"> de apelación interpuesto por </w:t>
      </w:r>
      <w:r w:rsidR="00726718">
        <w:t>la parte demanda</w:t>
      </w:r>
      <w:r>
        <w:t>da</w:t>
      </w:r>
      <w:r w:rsidR="008515AC">
        <w:t>, Corporación Autónoma Re</w:t>
      </w:r>
      <w:r w:rsidR="00F03AFD">
        <w:t>gional del Centro de Antioquia -</w:t>
      </w:r>
      <w:r w:rsidR="008515AC">
        <w:t>en adelante Corantioquia-</w:t>
      </w:r>
      <w:r w:rsidR="00D84F7B">
        <w:t>, contra las decisiones adoptadas por el Tribunal Administrativo de Antioquia, en audiencia inicial celebrada el 17 de agosto de 2016, mediante las cuales</w:t>
      </w:r>
      <w:r w:rsidR="006E45C1">
        <w:t xml:space="preserve">: </w:t>
      </w:r>
      <w:r w:rsidR="006E45C1" w:rsidRPr="00F03AFD">
        <w:rPr>
          <w:i/>
        </w:rPr>
        <w:t>i)</w:t>
      </w:r>
      <w:r w:rsidR="006E45C1">
        <w:t xml:space="preserve"> </w:t>
      </w:r>
      <w:r w:rsidR="00D84F7B">
        <w:t>negó la solicitud de vinculación de sesenta y cuatro municipios y de la Federación Nacional de Cafeteros</w:t>
      </w:r>
      <w:r w:rsidR="00C16E07">
        <w:t xml:space="preserve"> como litisconsortes necesarios;</w:t>
      </w:r>
      <w:r w:rsidR="00D84F7B">
        <w:t xml:space="preserve"> </w:t>
      </w:r>
      <w:proofErr w:type="spellStart"/>
      <w:r w:rsidR="006E45C1" w:rsidRPr="00F03AFD">
        <w:rPr>
          <w:i/>
        </w:rPr>
        <w:t>ii</w:t>
      </w:r>
      <w:proofErr w:type="spellEnd"/>
      <w:r w:rsidR="006E45C1" w:rsidRPr="00F03AFD">
        <w:rPr>
          <w:i/>
        </w:rPr>
        <w:t>)</w:t>
      </w:r>
      <w:r w:rsidR="006E45C1">
        <w:t xml:space="preserve"> </w:t>
      </w:r>
      <w:r w:rsidR="00D84F7B">
        <w:t xml:space="preserve">negó la excepción </w:t>
      </w:r>
      <w:r w:rsidR="006E45C1">
        <w:t>de falta de agotamiento d</w:t>
      </w:r>
      <w:r w:rsidR="00F03AFD">
        <w:t>el requisito de procedibilidad -</w:t>
      </w:r>
      <w:r w:rsidR="006E45C1">
        <w:t xml:space="preserve">conciliación prejudicial- y </w:t>
      </w:r>
      <w:proofErr w:type="spellStart"/>
      <w:r w:rsidR="006E45C1" w:rsidRPr="00F03AFD">
        <w:rPr>
          <w:i/>
        </w:rPr>
        <w:t>iii</w:t>
      </w:r>
      <w:proofErr w:type="spellEnd"/>
      <w:r w:rsidR="006E45C1" w:rsidRPr="00F03AFD">
        <w:rPr>
          <w:i/>
        </w:rPr>
        <w:t xml:space="preserve">) </w:t>
      </w:r>
      <w:r w:rsidR="006E45C1">
        <w:t>declaró probada la excepción de falta de legitimación en la causa por pasiva respecto de la sociedad demandada Sanear S.A.</w:t>
      </w:r>
    </w:p>
    <w:p w14:paraId="441B1FB1" w14:textId="77777777" w:rsidR="006E45C1" w:rsidRDefault="006E45C1" w:rsidP="00813B30">
      <w:pPr>
        <w:pStyle w:val="BodyText21"/>
        <w:autoSpaceDE/>
        <w:autoSpaceDN/>
        <w:spacing w:line="360" w:lineRule="auto"/>
      </w:pPr>
    </w:p>
    <w:p w14:paraId="5F9BAE61" w14:textId="77777777" w:rsidR="006E45C1" w:rsidRDefault="006E45C1" w:rsidP="006E45C1">
      <w:pPr>
        <w:pStyle w:val="BodyText21"/>
        <w:autoSpaceDE/>
        <w:autoSpaceDN/>
        <w:spacing w:line="360" w:lineRule="auto"/>
      </w:pPr>
      <w:r>
        <w:t>De igual manera, se resuelve el recurso de apelación interpuesto por la parte demandante contra la decisión proferida por el mencionado Tribunal, mediante la cual declaró probada la excepción de falta de legitimación en la causa por pasiva respecto de la sociedad demandada Sanear S.A.</w:t>
      </w:r>
    </w:p>
    <w:p w14:paraId="727D9A59" w14:textId="77777777" w:rsidR="00F03AFD" w:rsidRDefault="00F03AFD" w:rsidP="006E45C1">
      <w:pPr>
        <w:pStyle w:val="BodyText21"/>
        <w:autoSpaceDE/>
        <w:autoSpaceDN/>
        <w:spacing w:line="360" w:lineRule="auto"/>
      </w:pPr>
    </w:p>
    <w:p w14:paraId="579743BD" w14:textId="77777777" w:rsidR="00A17400" w:rsidRDefault="0071317C" w:rsidP="00E23D71">
      <w:pPr>
        <w:spacing w:line="360" w:lineRule="auto"/>
        <w:jc w:val="center"/>
        <w:rPr>
          <w:rFonts w:ascii="Arial" w:hAnsi="Arial" w:cs="Arial"/>
          <w:b/>
          <w:lang w:val="es-MX"/>
        </w:rPr>
      </w:pPr>
      <w:r w:rsidRPr="004E6A2A">
        <w:rPr>
          <w:rFonts w:ascii="Arial" w:hAnsi="Arial" w:cs="Arial"/>
          <w:b/>
          <w:lang w:val="es-MX"/>
        </w:rPr>
        <w:t>I.</w:t>
      </w:r>
      <w:r w:rsidRPr="004E6A2A">
        <w:rPr>
          <w:rFonts w:ascii="Arial" w:hAnsi="Arial" w:cs="Arial"/>
          <w:b/>
          <w:lang w:val="es-MX"/>
        </w:rPr>
        <w:tab/>
        <w:t>A N T E C E D E N T E S</w:t>
      </w:r>
    </w:p>
    <w:p w14:paraId="610E89CB" w14:textId="77777777" w:rsidR="00E23D71" w:rsidRPr="00E23D71" w:rsidRDefault="00E23D71" w:rsidP="00E23D71">
      <w:pPr>
        <w:spacing w:line="360" w:lineRule="auto"/>
        <w:jc w:val="center"/>
        <w:rPr>
          <w:rFonts w:ascii="Arial" w:hAnsi="Arial" w:cs="Arial"/>
          <w:b/>
          <w:sz w:val="16"/>
          <w:lang w:val="es-MX"/>
        </w:rPr>
      </w:pPr>
    </w:p>
    <w:p w14:paraId="05C90C50" w14:textId="77777777" w:rsidR="0071317C" w:rsidRDefault="0071317C" w:rsidP="0071317C">
      <w:pPr>
        <w:tabs>
          <w:tab w:val="left" w:pos="426"/>
        </w:tabs>
        <w:spacing w:line="360" w:lineRule="auto"/>
        <w:jc w:val="both"/>
        <w:rPr>
          <w:rFonts w:ascii="Arial" w:hAnsi="Arial" w:cs="Arial"/>
        </w:rPr>
      </w:pPr>
      <w:r w:rsidRPr="004E6A2A">
        <w:rPr>
          <w:rFonts w:ascii="Arial" w:hAnsi="Arial" w:cs="Arial"/>
          <w:b/>
        </w:rPr>
        <w:t>1.</w:t>
      </w:r>
      <w:r w:rsidRPr="004E6A2A">
        <w:rPr>
          <w:rFonts w:ascii="Arial" w:hAnsi="Arial" w:cs="Arial"/>
        </w:rPr>
        <w:t xml:space="preserve"> </w:t>
      </w:r>
      <w:r w:rsidRPr="009F0B73">
        <w:rPr>
          <w:rFonts w:ascii="Arial" w:hAnsi="Arial" w:cs="Arial"/>
          <w:b/>
        </w:rPr>
        <w:t>La</w:t>
      </w:r>
      <w:r w:rsidRPr="00257229">
        <w:rPr>
          <w:rFonts w:ascii="Arial" w:hAnsi="Arial" w:cs="Arial"/>
          <w:b/>
        </w:rPr>
        <w:t xml:space="preserve"> demanda</w:t>
      </w:r>
    </w:p>
    <w:p w14:paraId="0CEA0B31" w14:textId="77777777" w:rsidR="00E23D71" w:rsidRDefault="00E23D71" w:rsidP="0071317C">
      <w:pPr>
        <w:tabs>
          <w:tab w:val="left" w:pos="426"/>
        </w:tabs>
        <w:jc w:val="both"/>
        <w:rPr>
          <w:rFonts w:ascii="Arial" w:hAnsi="Arial" w:cs="Arial"/>
        </w:rPr>
      </w:pPr>
    </w:p>
    <w:p w14:paraId="09BC1E23" w14:textId="77777777" w:rsidR="00A0472D" w:rsidRDefault="00AD721C" w:rsidP="00986AF5">
      <w:pPr>
        <w:tabs>
          <w:tab w:val="left" w:pos="426"/>
        </w:tabs>
        <w:spacing w:line="360" w:lineRule="auto"/>
        <w:jc w:val="both"/>
        <w:rPr>
          <w:rFonts w:ascii="Arial" w:hAnsi="Arial" w:cs="Arial"/>
        </w:rPr>
      </w:pPr>
      <w:r>
        <w:rPr>
          <w:rFonts w:ascii="Arial" w:hAnsi="Arial" w:cs="Arial"/>
        </w:rPr>
        <w:t xml:space="preserve">El </w:t>
      </w:r>
      <w:r w:rsidR="00543F80">
        <w:rPr>
          <w:rFonts w:ascii="Arial" w:hAnsi="Arial" w:cs="Arial"/>
        </w:rPr>
        <w:t>2</w:t>
      </w:r>
      <w:r w:rsidR="00411695">
        <w:rPr>
          <w:rFonts w:ascii="Arial" w:hAnsi="Arial" w:cs="Arial"/>
        </w:rPr>
        <w:t xml:space="preserve">6 de enero de 2015, la sociedad </w:t>
      </w:r>
      <w:proofErr w:type="spellStart"/>
      <w:r w:rsidR="00411695">
        <w:rPr>
          <w:rFonts w:ascii="Arial" w:hAnsi="Arial" w:cs="Arial"/>
        </w:rPr>
        <w:t>Rotoplast</w:t>
      </w:r>
      <w:proofErr w:type="spellEnd"/>
      <w:r w:rsidR="00411695">
        <w:rPr>
          <w:rFonts w:ascii="Arial" w:hAnsi="Arial" w:cs="Arial"/>
        </w:rPr>
        <w:t xml:space="preserve"> S.A. </w:t>
      </w:r>
      <w:r>
        <w:rPr>
          <w:rFonts w:ascii="Arial" w:hAnsi="Arial" w:cs="Arial"/>
        </w:rPr>
        <w:t>presentó demanda</w:t>
      </w:r>
      <w:r w:rsidR="0077621C">
        <w:rPr>
          <w:rFonts w:ascii="Arial" w:hAnsi="Arial" w:cs="Arial"/>
        </w:rPr>
        <w:t>,</w:t>
      </w:r>
      <w:r w:rsidR="00095372">
        <w:rPr>
          <w:rFonts w:ascii="Arial" w:hAnsi="Arial" w:cs="Arial"/>
        </w:rPr>
        <w:t xml:space="preserve"> en ejercicio del medio de control de </w:t>
      </w:r>
      <w:r w:rsidR="0077621C" w:rsidRPr="0077621C">
        <w:rPr>
          <w:rFonts w:ascii="Arial" w:hAnsi="Arial" w:cs="Arial"/>
        </w:rPr>
        <w:t>controversias</w:t>
      </w:r>
      <w:r w:rsidRPr="0077621C">
        <w:rPr>
          <w:rFonts w:ascii="Arial" w:hAnsi="Arial" w:cs="Arial"/>
        </w:rPr>
        <w:t xml:space="preserve"> contractual</w:t>
      </w:r>
      <w:r w:rsidR="0077621C" w:rsidRPr="0077621C">
        <w:rPr>
          <w:rFonts w:ascii="Arial" w:hAnsi="Arial" w:cs="Arial"/>
        </w:rPr>
        <w:t>es</w:t>
      </w:r>
      <w:r w:rsidR="000578D5">
        <w:rPr>
          <w:rFonts w:ascii="Arial" w:hAnsi="Arial" w:cs="Arial"/>
        </w:rPr>
        <w:t>,</w:t>
      </w:r>
      <w:r>
        <w:rPr>
          <w:rFonts w:ascii="Arial" w:hAnsi="Arial" w:cs="Arial"/>
        </w:rPr>
        <w:t xml:space="preserve"> contra </w:t>
      </w:r>
      <w:r w:rsidR="00E11517">
        <w:rPr>
          <w:rFonts w:ascii="Arial" w:hAnsi="Arial" w:cs="Arial"/>
        </w:rPr>
        <w:t xml:space="preserve">Corantioquia y </w:t>
      </w:r>
      <w:r w:rsidR="00986AF5">
        <w:rPr>
          <w:rFonts w:ascii="Arial" w:hAnsi="Arial" w:cs="Arial"/>
        </w:rPr>
        <w:t xml:space="preserve">la sociedad Sanear S.A., con el fin de que se declare la nulidad de las resoluciones 110-1412-20536 de 2014 y 110-1412-20536 del mismo año, mediante las cuales se declaró la caducidad de los contratos </w:t>
      </w:r>
      <w:r w:rsidR="0019794D">
        <w:rPr>
          <w:rFonts w:ascii="Arial" w:hAnsi="Arial" w:cs="Arial"/>
        </w:rPr>
        <w:t xml:space="preserve">9860 y 9902 de 2013 </w:t>
      </w:r>
      <w:r w:rsidR="00F74DF4">
        <w:rPr>
          <w:rFonts w:ascii="Arial" w:hAnsi="Arial" w:cs="Arial"/>
        </w:rPr>
        <w:t>y se resolvió el recurso de reposición interpuesto contra aquel acto administrativo, respectivamente.</w:t>
      </w:r>
    </w:p>
    <w:p w14:paraId="10DCD532" w14:textId="77777777" w:rsidR="00986AF5" w:rsidRDefault="00986AF5" w:rsidP="00986AF5">
      <w:pPr>
        <w:tabs>
          <w:tab w:val="left" w:pos="426"/>
        </w:tabs>
        <w:spacing w:line="360" w:lineRule="auto"/>
        <w:jc w:val="both"/>
        <w:rPr>
          <w:rFonts w:ascii="Arial" w:hAnsi="Arial" w:cs="Arial"/>
        </w:rPr>
      </w:pPr>
    </w:p>
    <w:p w14:paraId="02EBA6A6" w14:textId="77777777" w:rsidR="00F74DF4" w:rsidRDefault="00F74DF4" w:rsidP="00986AF5">
      <w:pPr>
        <w:tabs>
          <w:tab w:val="left" w:pos="426"/>
        </w:tabs>
        <w:spacing w:line="360" w:lineRule="auto"/>
        <w:jc w:val="both"/>
        <w:rPr>
          <w:rFonts w:ascii="Arial" w:hAnsi="Arial" w:cs="Arial"/>
        </w:rPr>
      </w:pPr>
      <w:r>
        <w:rPr>
          <w:rFonts w:ascii="Arial" w:hAnsi="Arial" w:cs="Arial"/>
        </w:rPr>
        <w:t>Como consecuencia de la anterior declaración se solicitó ordenar el reintegro de las sumas de dinero no pagadas por Corantioquia a la sociedad demandante, las cuales, según se afirmó en la demanda, fueron retenidas por la entidad pública.</w:t>
      </w:r>
    </w:p>
    <w:p w14:paraId="2564ECB9" w14:textId="77777777" w:rsidR="009D2BC3" w:rsidRDefault="009D2BC3" w:rsidP="005F7B60">
      <w:pPr>
        <w:pStyle w:val="Textoindependiente"/>
        <w:tabs>
          <w:tab w:val="left" w:pos="8222"/>
        </w:tabs>
        <w:rPr>
          <w:rFonts w:cs="Arial"/>
          <w:b/>
          <w:bCs/>
          <w:sz w:val="24"/>
          <w:szCs w:val="24"/>
          <w:lang w:val="es-CO"/>
        </w:rPr>
      </w:pPr>
    </w:p>
    <w:p w14:paraId="2BDA3473" w14:textId="77777777" w:rsidR="001000F9" w:rsidRDefault="00AA4E50" w:rsidP="005F7B60">
      <w:pPr>
        <w:pStyle w:val="Textoindependiente"/>
        <w:tabs>
          <w:tab w:val="left" w:pos="8222"/>
        </w:tabs>
        <w:rPr>
          <w:rFonts w:cs="Arial"/>
          <w:bCs/>
          <w:sz w:val="24"/>
          <w:szCs w:val="24"/>
          <w:lang w:val="es-CO"/>
        </w:rPr>
      </w:pPr>
      <w:r>
        <w:rPr>
          <w:rFonts w:cs="Arial"/>
          <w:bCs/>
          <w:sz w:val="24"/>
          <w:szCs w:val="24"/>
          <w:lang w:val="es-CO"/>
        </w:rPr>
        <w:t>Los fundamentos fácticos de la demanda son, en síntesis, los siguientes:</w:t>
      </w:r>
    </w:p>
    <w:p w14:paraId="6D1AF5F1" w14:textId="77777777" w:rsidR="00AA4E50" w:rsidRDefault="00AA4E50" w:rsidP="005F7B60">
      <w:pPr>
        <w:pStyle w:val="Textoindependiente"/>
        <w:tabs>
          <w:tab w:val="left" w:pos="8222"/>
        </w:tabs>
        <w:rPr>
          <w:rFonts w:cs="Arial"/>
          <w:bCs/>
          <w:sz w:val="24"/>
          <w:szCs w:val="24"/>
          <w:lang w:val="es-CO"/>
        </w:rPr>
      </w:pPr>
    </w:p>
    <w:p w14:paraId="3E5A1A68" w14:textId="77777777" w:rsidR="00AA4E50" w:rsidRPr="00AA4E50" w:rsidRDefault="00AA4E50" w:rsidP="005F7B60">
      <w:pPr>
        <w:pStyle w:val="Textoindependiente"/>
        <w:tabs>
          <w:tab w:val="left" w:pos="8222"/>
        </w:tabs>
        <w:rPr>
          <w:rFonts w:cs="Arial"/>
          <w:bCs/>
          <w:sz w:val="24"/>
          <w:szCs w:val="24"/>
          <w:lang w:val="es-CO"/>
        </w:rPr>
      </w:pPr>
    </w:p>
    <w:p w14:paraId="21B3EB5D" w14:textId="77777777" w:rsidR="001000F9" w:rsidRDefault="00B54577" w:rsidP="00B54577">
      <w:pPr>
        <w:pStyle w:val="Textoindependiente"/>
        <w:tabs>
          <w:tab w:val="left" w:pos="8222"/>
        </w:tabs>
        <w:spacing w:line="360" w:lineRule="auto"/>
        <w:jc w:val="both"/>
        <w:rPr>
          <w:rFonts w:cs="Arial"/>
          <w:sz w:val="24"/>
          <w:szCs w:val="24"/>
          <w:lang w:val="es-CO"/>
        </w:rPr>
      </w:pPr>
      <w:r w:rsidRPr="00B54577">
        <w:rPr>
          <w:rFonts w:cs="Arial"/>
          <w:bCs/>
          <w:sz w:val="24"/>
          <w:szCs w:val="24"/>
          <w:lang w:val="es-CO"/>
        </w:rPr>
        <w:t xml:space="preserve">Corantioquia y la sociedad </w:t>
      </w:r>
      <w:proofErr w:type="spellStart"/>
      <w:r w:rsidRPr="00B54577">
        <w:rPr>
          <w:rFonts w:cs="Arial"/>
          <w:bCs/>
          <w:sz w:val="24"/>
          <w:szCs w:val="24"/>
          <w:lang w:val="es-CO"/>
        </w:rPr>
        <w:t>Rotoplast</w:t>
      </w:r>
      <w:proofErr w:type="spellEnd"/>
      <w:r w:rsidRPr="00B54577">
        <w:rPr>
          <w:rFonts w:cs="Arial"/>
          <w:bCs/>
          <w:sz w:val="24"/>
          <w:szCs w:val="24"/>
          <w:lang w:val="es-CO"/>
        </w:rPr>
        <w:t xml:space="preserve"> celebraron los contratos 9860 y 9902 de 2013, cuyo objeto consistió en el “</w:t>
      </w:r>
      <w:r w:rsidRPr="00B54577">
        <w:rPr>
          <w:rFonts w:cs="Arial"/>
          <w:i/>
          <w:sz w:val="24"/>
          <w:szCs w:val="24"/>
          <w:lang w:val="es-CO"/>
        </w:rPr>
        <w:t>suministro y transporte de tanques sépticos, tubería y accesorios para la construcción de sistemas individuales de tratamiento de aguas residuales domésticas en la zona rural de los municipios de la jurisdicción de Corantioquia</w:t>
      </w:r>
      <w:r>
        <w:rPr>
          <w:rFonts w:cs="Arial"/>
          <w:i/>
          <w:sz w:val="24"/>
          <w:szCs w:val="24"/>
          <w:lang w:val="es-CO"/>
        </w:rPr>
        <w:t>”</w:t>
      </w:r>
      <w:r w:rsidR="00CA45E9">
        <w:rPr>
          <w:rFonts w:cs="Arial"/>
          <w:sz w:val="24"/>
          <w:szCs w:val="24"/>
          <w:lang w:val="es-CO"/>
        </w:rPr>
        <w:t>. E</w:t>
      </w:r>
      <w:r>
        <w:rPr>
          <w:rFonts w:cs="Arial"/>
          <w:sz w:val="24"/>
          <w:szCs w:val="24"/>
          <w:lang w:val="es-CO"/>
        </w:rPr>
        <w:t>l valor de los mencionados contratos ascendió a las sumas de $2.574’989.000 y $2.483’007.248, respectivamente.</w:t>
      </w:r>
    </w:p>
    <w:p w14:paraId="0E5911A0" w14:textId="77777777" w:rsidR="00B54577" w:rsidRDefault="00B54577" w:rsidP="00B54577">
      <w:pPr>
        <w:pStyle w:val="Textoindependiente"/>
        <w:tabs>
          <w:tab w:val="left" w:pos="8222"/>
        </w:tabs>
        <w:spacing w:line="360" w:lineRule="auto"/>
        <w:jc w:val="both"/>
        <w:rPr>
          <w:rFonts w:cs="Arial"/>
          <w:sz w:val="24"/>
          <w:szCs w:val="24"/>
          <w:lang w:val="es-CO"/>
        </w:rPr>
      </w:pPr>
    </w:p>
    <w:p w14:paraId="0A05DB81" w14:textId="77777777" w:rsidR="00B54577" w:rsidRDefault="00B54577" w:rsidP="00B54577">
      <w:pPr>
        <w:pStyle w:val="Textoindependiente"/>
        <w:tabs>
          <w:tab w:val="left" w:pos="8222"/>
        </w:tabs>
        <w:spacing w:line="360" w:lineRule="auto"/>
        <w:jc w:val="both"/>
        <w:rPr>
          <w:rFonts w:cs="Arial"/>
          <w:sz w:val="24"/>
          <w:szCs w:val="24"/>
          <w:lang w:val="es-CO"/>
        </w:rPr>
      </w:pPr>
      <w:r>
        <w:rPr>
          <w:rFonts w:cs="Arial"/>
          <w:sz w:val="24"/>
          <w:szCs w:val="24"/>
          <w:lang w:val="es-CO"/>
        </w:rPr>
        <w:t xml:space="preserve">Una vez legalizados los mencionados contratos, Corantioquia celebró convenios con sesenta y cuatro municipios del área de su jurisdicción y con la Federación Nacional de Cafeteros, con el fin de proveerles lo que sería el objeto del contrato celebrado con </w:t>
      </w:r>
      <w:proofErr w:type="spellStart"/>
      <w:r>
        <w:rPr>
          <w:rFonts w:cs="Arial"/>
          <w:sz w:val="24"/>
          <w:szCs w:val="24"/>
          <w:lang w:val="es-CO"/>
        </w:rPr>
        <w:t>Rotoplast</w:t>
      </w:r>
      <w:proofErr w:type="spellEnd"/>
      <w:r>
        <w:rPr>
          <w:rFonts w:cs="Arial"/>
          <w:sz w:val="24"/>
          <w:szCs w:val="24"/>
          <w:lang w:val="es-CO"/>
        </w:rPr>
        <w:t xml:space="preserve"> S.A.</w:t>
      </w:r>
    </w:p>
    <w:p w14:paraId="1DC29611" w14:textId="77777777" w:rsidR="00B54577" w:rsidRDefault="00B54577" w:rsidP="00B54577">
      <w:pPr>
        <w:pStyle w:val="Textoindependiente"/>
        <w:tabs>
          <w:tab w:val="left" w:pos="8222"/>
        </w:tabs>
        <w:spacing w:line="360" w:lineRule="auto"/>
        <w:jc w:val="both"/>
        <w:rPr>
          <w:rFonts w:cs="Arial"/>
          <w:sz w:val="24"/>
          <w:szCs w:val="24"/>
          <w:lang w:val="es-CO"/>
        </w:rPr>
      </w:pPr>
    </w:p>
    <w:p w14:paraId="4D03D87A" w14:textId="77777777" w:rsidR="00B54577" w:rsidRDefault="00B54577" w:rsidP="00B54577">
      <w:pPr>
        <w:pStyle w:val="Textoindependiente"/>
        <w:tabs>
          <w:tab w:val="left" w:pos="8222"/>
        </w:tabs>
        <w:spacing w:line="360" w:lineRule="auto"/>
        <w:jc w:val="both"/>
        <w:rPr>
          <w:rFonts w:cs="Arial"/>
          <w:sz w:val="24"/>
          <w:szCs w:val="24"/>
          <w:lang w:val="es-CO"/>
        </w:rPr>
      </w:pPr>
      <w:r>
        <w:rPr>
          <w:rFonts w:cs="Arial"/>
          <w:sz w:val="24"/>
          <w:szCs w:val="24"/>
          <w:lang w:val="es-CO"/>
        </w:rPr>
        <w:t xml:space="preserve">Corantioquia contrató </w:t>
      </w:r>
      <w:r w:rsidR="00B56D30">
        <w:rPr>
          <w:rFonts w:cs="Arial"/>
          <w:sz w:val="24"/>
          <w:szCs w:val="24"/>
          <w:lang w:val="es-CO"/>
        </w:rPr>
        <w:t>con la sociedad Sanear S.A. la interventor</w:t>
      </w:r>
      <w:r w:rsidR="00A01801">
        <w:rPr>
          <w:rFonts w:cs="Arial"/>
          <w:sz w:val="24"/>
          <w:szCs w:val="24"/>
          <w:lang w:val="es-CO"/>
        </w:rPr>
        <w:t>ía de</w:t>
      </w:r>
      <w:r w:rsidR="00B56D30">
        <w:rPr>
          <w:rFonts w:cs="Arial"/>
          <w:sz w:val="24"/>
          <w:szCs w:val="24"/>
          <w:lang w:val="es-CO"/>
        </w:rPr>
        <w:t xml:space="preserve"> los </w:t>
      </w:r>
      <w:r w:rsidR="00A01801">
        <w:rPr>
          <w:rFonts w:cs="Arial"/>
          <w:sz w:val="24"/>
          <w:szCs w:val="24"/>
          <w:lang w:val="es-CO"/>
        </w:rPr>
        <w:t xml:space="preserve">mencionados </w:t>
      </w:r>
      <w:r w:rsidR="00B56D30">
        <w:rPr>
          <w:rFonts w:cs="Arial"/>
          <w:sz w:val="24"/>
          <w:szCs w:val="24"/>
          <w:lang w:val="es-CO"/>
        </w:rPr>
        <w:t xml:space="preserve">contratos de suministro, así como el seguimiento a los convenios celebrados con los municipios donde se instalarían </w:t>
      </w:r>
      <w:r w:rsidR="00A01801">
        <w:rPr>
          <w:rFonts w:cs="Arial"/>
          <w:sz w:val="24"/>
          <w:szCs w:val="24"/>
          <w:lang w:val="es-CO"/>
        </w:rPr>
        <w:t>los tanques sépticos.</w:t>
      </w:r>
    </w:p>
    <w:p w14:paraId="2794930B" w14:textId="77777777" w:rsidR="00A01801" w:rsidRDefault="00A01801" w:rsidP="00B54577">
      <w:pPr>
        <w:pStyle w:val="Textoindependiente"/>
        <w:tabs>
          <w:tab w:val="left" w:pos="8222"/>
        </w:tabs>
        <w:spacing w:line="360" w:lineRule="auto"/>
        <w:jc w:val="both"/>
        <w:rPr>
          <w:rFonts w:cs="Arial"/>
          <w:sz w:val="24"/>
          <w:szCs w:val="24"/>
          <w:lang w:val="es-CO"/>
        </w:rPr>
      </w:pPr>
    </w:p>
    <w:p w14:paraId="09D9D4DB" w14:textId="77777777" w:rsidR="00A01801" w:rsidRDefault="00A01801" w:rsidP="00B54577">
      <w:pPr>
        <w:pStyle w:val="Textoindependiente"/>
        <w:tabs>
          <w:tab w:val="left" w:pos="8222"/>
        </w:tabs>
        <w:spacing w:line="360" w:lineRule="auto"/>
        <w:jc w:val="both"/>
        <w:rPr>
          <w:rFonts w:cs="Arial"/>
          <w:sz w:val="24"/>
          <w:szCs w:val="24"/>
          <w:lang w:val="es-CO"/>
        </w:rPr>
      </w:pPr>
      <w:r>
        <w:rPr>
          <w:rFonts w:cs="Arial"/>
          <w:sz w:val="24"/>
          <w:szCs w:val="24"/>
          <w:lang w:val="es-CO"/>
        </w:rPr>
        <w:t>En desarrollo de su actividad como interventor, Sanear S.A. requirió al contratista para que presentara los diseños del sistema s</w:t>
      </w:r>
      <w:r w:rsidR="00CA45E9">
        <w:rPr>
          <w:rFonts w:cs="Arial"/>
          <w:sz w:val="24"/>
          <w:szCs w:val="24"/>
          <w:lang w:val="es-CO"/>
        </w:rPr>
        <w:t>éptic</w:t>
      </w:r>
      <w:r>
        <w:rPr>
          <w:rFonts w:cs="Arial"/>
          <w:sz w:val="24"/>
          <w:szCs w:val="24"/>
          <w:lang w:val="es-CO"/>
        </w:rPr>
        <w:t xml:space="preserve">o contratado, con el fin de verificar su cumplimiento respecto de las especificaciones contenidas en los pliegos de condiciones, actuación que concluyó con la presentación de un informe en el cual advirtió el incumplimiento de las obligaciones contenidas en los contratos, </w:t>
      </w:r>
      <w:r w:rsidR="00CA45E9">
        <w:rPr>
          <w:rFonts w:cs="Arial"/>
          <w:sz w:val="24"/>
          <w:szCs w:val="24"/>
          <w:lang w:val="es-CO"/>
        </w:rPr>
        <w:t>ante lo</w:t>
      </w:r>
      <w:r>
        <w:rPr>
          <w:rFonts w:cs="Arial"/>
          <w:sz w:val="24"/>
          <w:szCs w:val="24"/>
          <w:lang w:val="es-CO"/>
        </w:rPr>
        <w:t xml:space="preserve"> cual </w:t>
      </w:r>
      <w:proofErr w:type="spellStart"/>
      <w:r>
        <w:rPr>
          <w:rFonts w:cs="Arial"/>
          <w:sz w:val="24"/>
          <w:szCs w:val="24"/>
          <w:lang w:val="es-CO"/>
        </w:rPr>
        <w:t>Rotoplast</w:t>
      </w:r>
      <w:proofErr w:type="spellEnd"/>
      <w:r>
        <w:rPr>
          <w:rFonts w:cs="Arial"/>
          <w:sz w:val="24"/>
          <w:szCs w:val="24"/>
          <w:lang w:val="es-CO"/>
        </w:rPr>
        <w:t xml:space="preserve"> S.A. presentó los descargos correspondientes. </w:t>
      </w:r>
    </w:p>
    <w:p w14:paraId="04C79075" w14:textId="77777777" w:rsidR="00A01801" w:rsidRDefault="00A01801" w:rsidP="00B54577">
      <w:pPr>
        <w:pStyle w:val="Textoindependiente"/>
        <w:tabs>
          <w:tab w:val="left" w:pos="8222"/>
        </w:tabs>
        <w:spacing w:line="360" w:lineRule="auto"/>
        <w:jc w:val="both"/>
        <w:rPr>
          <w:rFonts w:cs="Arial"/>
          <w:bCs/>
          <w:sz w:val="24"/>
          <w:szCs w:val="24"/>
          <w:lang w:val="es-CO"/>
        </w:rPr>
      </w:pPr>
    </w:p>
    <w:p w14:paraId="76FD8323" w14:textId="77777777" w:rsidR="00CA45E9" w:rsidRPr="00CA45E9" w:rsidRDefault="00A01801" w:rsidP="00CA45E9">
      <w:pPr>
        <w:tabs>
          <w:tab w:val="left" w:pos="426"/>
        </w:tabs>
        <w:spacing w:line="360" w:lineRule="auto"/>
        <w:jc w:val="both"/>
        <w:rPr>
          <w:rFonts w:ascii="Arial" w:hAnsi="Arial" w:cs="Arial"/>
        </w:rPr>
      </w:pPr>
      <w:r w:rsidRPr="00CA45E9">
        <w:rPr>
          <w:rFonts w:ascii="Arial" w:hAnsi="Arial" w:cs="Arial"/>
          <w:bCs/>
          <w:lang w:val="es-CO"/>
        </w:rPr>
        <w:t xml:space="preserve">El trámite </w:t>
      </w:r>
      <w:r w:rsidR="00CA45E9" w:rsidRPr="00CA45E9">
        <w:rPr>
          <w:rFonts w:ascii="Arial" w:hAnsi="Arial" w:cs="Arial"/>
          <w:bCs/>
          <w:lang w:val="es-CO"/>
        </w:rPr>
        <w:t>administrativo</w:t>
      </w:r>
      <w:r w:rsidRPr="00CA45E9">
        <w:rPr>
          <w:rFonts w:ascii="Arial" w:hAnsi="Arial" w:cs="Arial"/>
          <w:bCs/>
          <w:lang w:val="es-CO"/>
        </w:rPr>
        <w:t xml:space="preserve"> concluyó con la expedición de las </w:t>
      </w:r>
      <w:r w:rsidR="00CA45E9" w:rsidRPr="00CA45E9">
        <w:rPr>
          <w:rFonts w:ascii="Arial" w:hAnsi="Arial" w:cs="Arial"/>
        </w:rPr>
        <w:t xml:space="preserve">resoluciones 110-1412-20536 </w:t>
      </w:r>
      <w:r w:rsidR="00CA45E9">
        <w:rPr>
          <w:rFonts w:ascii="Arial" w:hAnsi="Arial" w:cs="Arial"/>
        </w:rPr>
        <w:t>y 110-1412-20536 de 2014, a través de las cuales</w:t>
      </w:r>
      <w:r w:rsidR="00CA45E9" w:rsidRPr="00CA45E9">
        <w:rPr>
          <w:rFonts w:ascii="Arial" w:hAnsi="Arial" w:cs="Arial"/>
        </w:rPr>
        <w:t xml:space="preserve"> se declaró la caducidad de los contratos 9860 y 9902 de 2013 y se resolvió el recurso de reposición interpuesto contra aquel acto administrativo, respectivamente.</w:t>
      </w:r>
    </w:p>
    <w:p w14:paraId="769CBD1D" w14:textId="77777777" w:rsidR="00A01801" w:rsidRPr="00B54577" w:rsidRDefault="00A01801" w:rsidP="00B54577">
      <w:pPr>
        <w:pStyle w:val="Textoindependiente"/>
        <w:tabs>
          <w:tab w:val="left" w:pos="8222"/>
        </w:tabs>
        <w:spacing w:line="360" w:lineRule="auto"/>
        <w:jc w:val="both"/>
        <w:rPr>
          <w:rFonts w:cs="Arial"/>
          <w:bCs/>
          <w:sz w:val="24"/>
          <w:szCs w:val="24"/>
          <w:lang w:val="es-CO"/>
        </w:rPr>
      </w:pPr>
    </w:p>
    <w:p w14:paraId="760FF4D9" w14:textId="77777777" w:rsidR="000E6D00" w:rsidRDefault="0095391C" w:rsidP="005F7B60">
      <w:pPr>
        <w:pStyle w:val="Textoindependiente"/>
        <w:tabs>
          <w:tab w:val="left" w:pos="8222"/>
        </w:tabs>
        <w:rPr>
          <w:rFonts w:cs="Arial"/>
          <w:b/>
          <w:bCs/>
          <w:sz w:val="24"/>
          <w:szCs w:val="24"/>
          <w:lang w:val="es-CO"/>
        </w:rPr>
      </w:pPr>
      <w:r>
        <w:rPr>
          <w:rFonts w:cs="Arial"/>
          <w:b/>
          <w:bCs/>
          <w:sz w:val="24"/>
          <w:szCs w:val="24"/>
          <w:lang w:val="es-CO"/>
        </w:rPr>
        <w:t>2</w:t>
      </w:r>
      <w:r w:rsidR="000E6D00">
        <w:rPr>
          <w:rFonts w:cs="Arial"/>
          <w:b/>
          <w:bCs/>
          <w:sz w:val="24"/>
          <w:szCs w:val="24"/>
          <w:lang w:val="es-CO"/>
        </w:rPr>
        <w:t>. Trámite procesal previo a la expedición del auto apelado</w:t>
      </w:r>
    </w:p>
    <w:p w14:paraId="5D3117A6" w14:textId="77777777" w:rsidR="000578D5" w:rsidRDefault="000E6D00" w:rsidP="000578D5">
      <w:pPr>
        <w:pStyle w:val="Textoindependiente"/>
        <w:tabs>
          <w:tab w:val="left" w:pos="8222"/>
        </w:tabs>
        <w:rPr>
          <w:rFonts w:cs="Arial"/>
          <w:bCs/>
          <w:sz w:val="24"/>
          <w:szCs w:val="24"/>
          <w:lang w:val="es-CO"/>
        </w:rPr>
      </w:pPr>
      <w:r>
        <w:rPr>
          <w:rFonts w:cs="Arial"/>
          <w:bCs/>
          <w:sz w:val="24"/>
          <w:szCs w:val="24"/>
          <w:lang w:val="es-CO"/>
        </w:rPr>
        <w:t xml:space="preserve"> </w:t>
      </w:r>
    </w:p>
    <w:p w14:paraId="3F652E05" w14:textId="77777777" w:rsidR="00824715" w:rsidRPr="00824715" w:rsidRDefault="00824715" w:rsidP="000578D5">
      <w:pPr>
        <w:pStyle w:val="Textoindependiente"/>
        <w:tabs>
          <w:tab w:val="left" w:pos="8222"/>
        </w:tabs>
        <w:rPr>
          <w:rFonts w:cs="Arial"/>
          <w:b/>
          <w:bCs/>
          <w:sz w:val="24"/>
          <w:szCs w:val="24"/>
          <w:lang w:val="es-CO"/>
        </w:rPr>
      </w:pPr>
      <w:r>
        <w:rPr>
          <w:rFonts w:cs="Arial"/>
          <w:b/>
          <w:bCs/>
          <w:sz w:val="24"/>
          <w:szCs w:val="24"/>
          <w:lang w:val="es-CO"/>
        </w:rPr>
        <w:t xml:space="preserve">2.1. Admisión de la demanda y </w:t>
      </w:r>
      <w:r w:rsidR="00095372">
        <w:rPr>
          <w:rFonts w:cs="Arial"/>
          <w:b/>
          <w:bCs/>
          <w:sz w:val="24"/>
          <w:szCs w:val="24"/>
          <w:lang w:val="es-CO"/>
        </w:rPr>
        <w:t xml:space="preserve">su </w:t>
      </w:r>
      <w:r>
        <w:rPr>
          <w:rFonts w:cs="Arial"/>
          <w:b/>
          <w:bCs/>
          <w:sz w:val="24"/>
          <w:szCs w:val="24"/>
          <w:lang w:val="es-CO"/>
        </w:rPr>
        <w:t>contestación</w:t>
      </w:r>
    </w:p>
    <w:p w14:paraId="27A3532E" w14:textId="77777777" w:rsidR="00824715" w:rsidRDefault="00824715" w:rsidP="002717E5">
      <w:pPr>
        <w:pStyle w:val="Textoindependiente"/>
        <w:tabs>
          <w:tab w:val="left" w:pos="8222"/>
        </w:tabs>
        <w:spacing w:line="360" w:lineRule="auto"/>
        <w:jc w:val="both"/>
        <w:rPr>
          <w:rFonts w:cs="Arial"/>
          <w:bCs/>
          <w:sz w:val="24"/>
          <w:szCs w:val="24"/>
          <w:lang w:val="es-CO"/>
        </w:rPr>
      </w:pPr>
    </w:p>
    <w:p w14:paraId="3FBACBA0" w14:textId="77777777" w:rsidR="002717E5" w:rsidRDefault="002D0B72" w:rsidP="002717E5">
      <w:pPr>
        <w:pStyle w:val="Textoindependiente"/>
        <w:tabs>
          <w:tab w:val="left" w:pos="8222"/>
        </w:tabs>
        <w:spacing w:line="360" w:lineRule="auto"/>
        <w:jc w:val="both"/>
        <w:rPr>
          <w:rFonts w:cs="Arial"/>
          <w:bCs/>
          <w:sz w:val="24"/>
          <w:szCs w:val="24"/>
          <w:lang w:val="es-CO"/>
        </w:rPr>
      </w:pPr>
      <w:r>
        <w:rPr>
          <w:rFonts w:cs="Arial"/>
          <w:bCs/>
          <w:sz w:val="24"/>
          <w:szCs w:val="24"/>
          <w:lang w:val="es-CO"/>
        </w:rPr>
        <w:t xml:space="preserve">La demanda </w:t>
      </w:r>
      <w:r w:rsidR="000E6D00">
        <w:rPr>
          <w:rFonts w:cs="Arial"/>
          <w:bCs/>
          <w:sz w:val="24"/>
          <w:szCs w:val="24"/>
          <w:lang w:val="es-CO"/>
        </w:rPr>
        <w:t>fue admitida por el Tribunal Administrativo de</w:t>
      </w:r>
      <w:r w:rsidR="00BA6D0C">
        <w:rPr>
          <w:rFonts w:cs="Arial"/>
          <w:bCs/>
          <w:sz w:val="24"/>
          <w:szCs w:val="24"/>
          <w:lang w:val="es-CO"/>
        </w:rPr>
        <w:t xml:space="preserve"> </w:t>
      </w:r>
      <w:r w:rsidR="00F74DF4">
        <w:rPr>
          <w:rFonts w:cs="Arial"/>
          <w:bCs/>
          <w:sz w:val="24"/>
          <w:szCs w:val="24"/>
          <w:lang w:val="es-CO"/>
        </w:rPr>
        <w:t>Antioquia,</w:t>
      </w:r>
      <w:r w:rsidR="000E6D00">
        <w:rPr>
          <w:rFonts w:cs="Arial"/>
          <w:bCs/>
          <w:sz w:val="24"/>
          <w:szCs w:val="24"/>
          <w:lang w:val="es-CO"/>
        </w:rPr>
        <w:t xml:space="preserve"> mediante auto del </w:t>
      </w:r>
      <w:r w:rsidR="00C90215">
        <w:rPr>
          <w:rFonts w:cs="Arial"/>
          <w:bCs/>
          <w:sz w:val="24"/>
          <w:szCs w:val="24"/>
          <w:lang w:val="es-CO"/>
        </w:rPr>
        <w:t>8 de mayo de 2015</w:t>
      </w:r>
      <w:r w:rsidR="00BA6D0C">
        <w:rPr>
          <w:rStyle w:val="Refdenotaalpie"/>
          <w:rFonts w:cs="Arial"/>
          <w:bCs/>
          <w:sz w:val="24"/>
          <w:szCs w:val="24"/>
          <w:lang w:val="es-CO"/>
        </w:rPr>
        <w:footnoteReference w:id="1"/>
      </w:r>
      <w:r w:rsidR="00C90215">
        <w:rPr>
          <w:rFonts w:cs="Arial"/>
          <w:bCs/>
          <w:sz w:val="24"/>
          <w:szCs w:val="24"/>
          <w:lang w:val="es-CO"/>
        </w:rPr>
        <w:t>.</w:t>
      </w:r>
    </w:p>
    <w:p w14:paraId="7C2290A3" w14:textId="77777777" w:rsidR="00CA45E9" w:rsidRDefault="00CA45E9" w:rsidP="002717E5">
      <w:pPr>
        <w:pStyle w:val="Textoindependiente"/>
        <w:tabs>
          <w:tab w:val="left" w:pos="8222"/>
        </w:tabs>
        <w:spacing w:line="360" w:lineRule="auto"/>
        <w:jc w:val="both"/>
        <w:rPr>
          <w:rFonts w:cs="Arial"/>
          <w:bCs/>
          <w:sz w:val="24"/>
          <w:szCs w:val="24"/>
          <w:lang w:val="es-CO"/>
        </w:rPr>
      </w:pPr>
    </w:p>
    <w:p w14:paraId="5513C369" w14:textId="77777777" w:rsidR="00BA6D0C" w:rsidRDefault="00CA45E9" w:rsidP="002717E5">
      <w:pPr>
        <w:pStyle w:val="Textoindependiente"/>
        <w:tabs>
          <w:tab w:val="left" w:pos="8222"/>
        </w:tabs>
        <w:spacing w:line="360" w:lineRule="auto"/>
        <w:jc w:val="both"/>
        <w:rPr>
          <w:rFonts w:cs="Arial"/>
          <w:b/>
          <w:bCs/>
          <w:sz w:val="24"/>
          <w:szCs w:val="24"/>
          <w:lang w:val="es-CO"/>
        </w:rPr>
      </w:pPr>
      <w:r>
        <w:rPr>
          <w:rFonts w:cs="Arial"/>
          <w:b/>
          <w:bCs/>
          <w:sz w:val="24"/>
          <w:szCs w:val="24"/>
          <w:lang w:val="es-CO"/>
        </w:rPr>
        <w:t>2.1.1. Corantioquia</w:t>
      </w:r>
    </w:p>
    <w:p w14:paraId="723C7945" w14:textId="77777777" w:rsidR="00CA45E9" w:rsidRPr="00CA45E9" w:rsidRDefault="00CA45E9" w:rsidP="002717E5">
      <w:pPr>
        <w:pStyle w:val="Textoindependiente"/>
        <w:tabs>
          <w:tab w:val="left" w:pos="8222"/>
        </w:tabs>
        <w:spacing w:line="360" w:lineRule="auto"/>
        <w:jc w:val="both"/>
        <w:rPr>
          <w:rFonts w:cs="Arial"/>
          <w:b/>
          <w:bCs/>
          <w:sz w:val="24"/>
          <w:szCs w:val="24"/>
          <w:lang w:val="es-CO"/>
        </w:rPr>
      </w:pPr>
    </w:p>
    <w:p w14:paraId="15053C03" w14:textId="77777777" w:rsidR="0004579E" w:rsidRDefault="00C90215" w:rsidP="002717E5">
      <w:pPr>
        <w:pStyle w:val="Textoindependiente"/>
        <w:tabs>
          <w:tab w:val="left" w:pos="8222"/>
        </w:tabs>
        <w:spacing w:line="360" w:lineRule="auto"/>
        <w:jc w:val="both"/>
        <w:rPr>
          <w:rFonts w:cs="Arial"/>
          <w:bCs/>
          <w:sz w:val="24"/>
          <w:szCs w:val="24"/>
          <w:lang w:val="es-CO"/>
        </w:rPr>
      </w:pPr>
      <w:r>
        <w:rPr>
          <w:rFonts w:cs="Arial"/>
          <w:bCs/>
          <w:sz w:val="24"/>
          <w:szCs w:val="24"/>
          <w:lang w:val="es-CO"/>
        </w:rPr>
        <w:t xml:space="preserve">Corantioquia contestó la demanda </w:t>
      </w:r>
      <w:r w:rsidR="001B1A61">
        <w:rPr>
          <w:rFonts w:cs="Arial"/>
          <w:bCs/>
          <w:sz w:val="24"/>
          <w:szCs w:val="24"/>
          <w:lang w:val="es-CO"/>
        </w:rPr>
        <w:t>y se opuso a las pretensio</w:t>
      </w:r>
      <w:r>
        <w:rPr>
          <w:rFonts w:cs="Arial"/>
          <w:bCs/>
          <w:sz w:val="24"/>
          <w:szCs w:val="24"/>
          <w:lang w:val="es-CO"/>
        </w:rPr>
        <w:t>nes, para lo cual indicó que la actuación previa a la expedición de los actos administrativos demandados se ajustó a las disposiciones legales aplicables</w:t>
      </w:r>
      <w:r w:rsidR="0004579E">
        <w:rPr>
          <w:rFonts w:cs="Arial"/>
          <w:bCs/>
          <w:sz w:val="24"/>
          <w:szCs w:val="24"/>
          <w:lang w:val="es-CO"/>
        </w:rPr>
        <w:t>.</w:t>
      </w:r>
    </w:p>
    <w:p w14:paraId="04DC00F5" w14:textId="77777777" w:rsidR="0004579E" w:rsidRDefault="0004579E" w:rsidP="002717E5">
      <w:pPr>
        <w:pStyle w:val="Textoindependiente"/>
        <w:tabs>
          <w:tab w:val="left" w:pos="8222"/>
        </w:tabs>
        <w:spacing w:line="360" w:lineRule="auto"/>
        <w:jc w:val="both"/>
        <w:rPr>
          <w:rFonts w:cs="Arial"/>
          <w:bCs/>
          <w:sz w:val="24"/>
          <w:szCs w:val="24"/>
          <w:lang w:val="es-CO"/>
        </w:rPr>
      </w:pPr>
    </w:p>
    <w:p w14:paraId="071D5D85" w14:textId="77777777" w:rsidR="00715597" w:rsidRDefault="0004579E" w:rsidP="002717E5">
      <w:pPr>
        <w:pStyle w:val="Textoindependiente"/>
        <w:tabs>
          <w:tab w:val="left" w:pos="8222"/>
        </w:tabs>
        <w:spacing w:line="360" w:lineRule="auto"/>
        <w:jc w:val="both"/>
        <w:rPr>
          <w:rFonts w:cs="Arial"/>
          <w:bCs/>
          <w:sz w:val="24"/>
          <w:szCs w:val="24"/>
          <w:lang w:val="es-CO"/>
        </w:rPr>
      </w:pPr>
      <w:r>
        <w:rPr>
          <w:rFonts w:cs="Arial"/>
          <w:bCs/>
          <w:sz w:val="24"/>
          <w:szCs w:val="24"/>
          <w:lang w:val="es-CO"/>
        </w:rPr>
        <w:t>De igual manera</w:t>
      </w:r>
      <w:r w:rsidR="00F03AFD">
        <w:rPr>
          <w:rFonts w:cs="Arial"/>
          <w:bCs/>
          <w:sz w:val="24"/>
          <w:szCs w:val="24"/>
          <w:lang w:val="es-CO"/>
        </w:rPr>
        <w:t>,</w:t>
      </w:r>
      <w:r>
        <w:rPr>
          <w:rFonts w:cs="Arial"/>
          <w:bCs/>
          <w:sz w:val="24"/>
          <w:szCs w:val="24"/>
          <w:lang w:val="es-CO"/>
        </w:rPr>
        <w:t xml:space="preserve"> sostuvo que </w:t>
      </w:r>
      <w:r w:rsidR="00CA45E9">
        <w:rPr>
          <w:rFonts w:cs="Arial"/>
          <w:bCs/>
          <w:sz w:val="24"/>
          <w:szCs w:val="24"/>
          <w:lang w:val="es-CO"/>
        </w:rPr>
        <w:t xml:space="preserve">con </w:t>
      </w:r>
      <w:r>
        <w:rPr>
          <w:rFonts w:cs="Arial"/>
          <w:bCs/>
          <w:sz w:val="24"/>
          <w:szCs w:val="24"/>
          <w:lang w:val="es-CO"/>
        </w:rPr>
        <w:t xml:space="preserve">la actuación </w:t>
      </w:r>
      <w:proofErr w:type="gramStart"/>
      <w:r>
        <w:rPr>
          <w:rFonts w:cs="Arial"/>
          <w:bCs/>
          <w:sz w:val="24"/>
          <w:szCs w:val="24"/>
          <w:lang w:val="es-CO"/>
        </w:rPr>
        <w:t xml:space="preserve">administrativa </w:t>
      </w:r>
      <w:r w:rsidR="00CA45E9">
        <w:rPr>
          <w:rFonts w:cs="Arial"/>
          <w:bCs/>
          <w:sz w:val="24"/>
          <w:szCs w:val="24"/>
          <w:lang w:val="es-CO"/>
        </w:rPr>
        <w:t xml:space="preserve"> se</w:t>
      </w:r>
      <w:proofErr w:type="gramEnd"/>
      <w:r w:rsidR="00CA45E9">
        <w:rPr>
          <w:rFonts w:cs="Arial"/>
          <w:bCs/>
          <w:sz w:val="24"/>
          <w:szCs w:val="24"/>
          <w:lang w:val="es-CO"/>
        </w:rPr>
        <w:t xml:space="preserve"> evidenció</w:t>
      </w:r>
      <w:r>
        <w:rPr>
          <w:rFonts w:cs="Arial"/>
          <w:bCs/>
          <w:sz w:val="24"/>
          <w:szCs w:val="24"/>
          <w:lang w:val="es-CO"/>
        </w:rPr>
        <w:t xml:space="preserve"> el continuo y reiterado incumplimiento contractual del aquí demandante respecto de los contratos celebrados, lo cual devino en la expedición de los actos demandados, frente a los cuales destacó la presunción de legalidad que los reviste. </w:t>
      </w:r>
    </w:p>
    <w:p w14:paraId="0C9978BB" w14:textId="77777777" w:rsidR="0071316B" w:rsidRDefault="0071316B" w:rsidP="002717E5">
      <w:pPr>
        <w:pStyle w:val="Textoindependiente"/>
        <w:tabs>
          <w:tab w:val="left" w:pos="8222"/>
        </w:tabs>
        <w:spacing w:line="360" w:lineRule="auto"/>
        <w:jc w:val="both"/>
        <w:rPr>
          <w:rFonts w:cs="Arial"/>
          <w:bCs/>
          <w:sz w:val="24"/>
          <w:szCs w:val="24"/>
          <w:lang w:val="es-CO"/>
        </w:rPr>
      </w:pPr>
    </w:p>
    <w:p w14:paraId="76B9675C" w14:textId="77777777" w:rsidR="00C32B16" w:rsidRDefault="00C32B16" w:rsidP="002717E5">
      <w:pPr>
        <w:pStyle w:val="Textoindependiente"/>
        <w:tabs>
          <w:tab w:val="left" w:pos="8222"/>
        </w:tabs>
        <w:spacing w:line="360" w:lineRule="auto"/>
        <w:jc w:val="both"/>
        <w:rPr>
          <w:rFonts w:cs="Arial"/>
          <w:bCs/>
          <w:sz w:val="24"/>
          <w:szCs w:val="24"/>
          <w:lang w:val="es-CO"/>
        </w:rPr>
      </w:pPr>
      <w:r>
        <w:rPr>
          <w:rFonts w:cs="Arial"/>
          <w:bCs/>
          <w:sz w:val="24"/>
          <w:szCs w:val="24"/>
          <w:lang w:val="es-CO"/>
        </w:rPr>
        <w:t xml:space="preserve">Solicitó la </w:t>
      </w:r>
      <w:r w:rsidR="00AE37C0">
        <w:rPr>
          <w:rFonts w:cs="Arial"/>
          <w:bCs/>
          <w:sz w:val="24"/>
          <w:szCs w:val="24"/>
          <w:lang w:val="es-CO"/>
        </w:rPr>
        <w:t>“</w:t>
      </w:r>
      <w:r w:rsidR="00AE37C0" w:rsidRPr="00AE37C0">
        <w:rPr>
          <w:rFonts w:cs="Arial"/>
          <w:bCs/>
          <w:i/>
          <w:sz w:val="24"/>
          <w:szCs w:val="24"/>
          <w:lang w:val="es-CO"/>
        </w:rPr>
        <w:t>integración del litisconsorcio necesario</w:t>
      </w:r>
      <w:r w:rsidR="00AE37C0">
        <w:rPr>
          <w:rFonts w:cs="Arial"/>
          <w:bCs/>
          <w:sz w:val="24"/>
          <w:szCs w:val="24"/>
          <w:lang w:val="es-CO"/>
        </w:rPr>
        <w:t xml:space="preserve">” con </w:t>
      </w:r>
      <w:r w:rsidR="00E3762A">
        <w:rPr>
          <w:rFonts w:cs="Arial"/>
          <w:bCs/>
          <w:sz w:val="24"/>
          <w:szCs w:val="24"/>
          <w:lang w:val="es-CO"/>
        </w:rPr>
        <w:t xml:space="preserve">sesenta y cuatro municipios y </w:t>
      </w:r>
      <w:r w:rsidR="00175CCD">
        <w:rPr>
          <w:rFonts w:cs="Arial"/>
          <w:bCs/>
          <w:sz w:val="24"/>
          <w:szCs w:val="24"/>
          <w:lang w:val="es-CO"/>
        </w:rPr>
        <w:t>con</w:t>
      </w:r>
      <w:r w:rsidR="00E3762A">
        <w:rPr>
          <w:rFonts w:cs="Arial"/>
          <w:bCs/>
          <w:sz w:val="24"/>
          <w:szCs w:val="24"/>
          <w:lang w:val="es-CO"/>
        </w:rPr>
        <w:t xml:space="preserve"> la Federación Nacional de Cafeteros, entidades con las cuales celebró convenios,</w:t>
      </w:r>
      <w:r w:rsidR="00AE37C0">
        <w:rPr>
          <w:rFonts w:cs="Arial"/>
          <w:bCs/>
          <w:sz w:val="24"/>
          <w:szCs w:val="24"/>
          <w:lang w:val="es-CO"/>
        </w:rPr>
        <w:t xml:space="preserve"> con </w:t>
      </w:r>
      <w:r w:rsidR="0071316B">
        <w:rPr>
          <w:rFonts w:cs="Arial"/>
          <w:bCs/>
          <w:sz w:val="24"/>
          <w:szCs w:val="24"/>
          <w:lang w:val="es-CO"/>
        </w:rPr>
        <w:t xml:space="preserve">el fin de proveerles los elementos que fueron </w:t>
      </w:r>
      <w:r w:rsidR="00AE37C0">
        <w:rPr>
          <w:rFonts w:cs="Arial"/>
          <w:bCs/>
          <w:sz w:val="24"/>
          <w:szCs w:val="24"/>
          <w:lang w:val="es-CO"/>
        </w:rPr>
        <w:t xml:space="preserve">objeto de </w:t>
      </w:r>
      <w:r w:rsidR="00E3762A">
        <w:rPr>
          <w:rFonts w:cs="Arial"/>
          <w:bCs/>
          <w:sz w:val="24"/>
          <w:szCs w:val="24"/>
          <w:lang w:val="es-CO"/>
        </w:rPr>
        <w:t xml:space="preserve">los contratos </w:t>
      </w:r>
      <w:r w:rsidR="00FE608C">
        <w:rPr>
          <w:rFonts w:cs="Arial"/>
          <w:bCs/>
          <w:sz w:val="24"/>
          <w:szCs w:val="24"/>
          <w:lang w:val="es-CO"/>
        </w:rPr>
        <w:t xml:space="preserve">suscritos </w:t>
      </w:r>
      <w:r w:rsidR="00E3762A">
        <w:rPr>
          <w:rFonts w:cs="Arial"/>
          <w:bCs/>
          <w:sz w:val="24"/>
          <w:szCs w:val="24"/>
          <w:lang w:val="es-CO"/>
        </w:rPr>
        <w:t>con la sociedad demandante; en este sentido, consideró que por haber sido beneficiarios de los contratos 9860</w:t>
      </w:r>
      <w:r w:rsidR="00AE37C0">
        <w:rPr>
          <w:rFonts w:cs="Arial"/>
          <w:bCs/>
          <w:sz w:val="24"/>
          <w:szCs w:val="24"/>
          <w:lang w:val="es-CO"/>
        </w:rPr>
        <w:t xml:space="preserve"> </w:t>
      </w:r>
      <w:r w:rsidR="00E3762A">
        <w:rPr>
          <w:rFonts w:cs="Arial"/>
          <w:bCs/>
          <w:sz w:val="24"/>
          <w:szCs w:val="24"/>
          <w:lang w:val="es-CO"/>
        </w:rPr>
        <w:t>y 9902</w:t>
      </w:r>
      <w:r w:rsidR="00AE37C0">
        <w:rPr>
          <w:rFonts w:cs="Arial"/>
          <w:bCs/>
          <w:sz w:val="24"/>
          <w:szCs w:val="24"/>
          <w:lang w:val="es-CO"/>
        </w:rPr>
        <w:t>, debían ser vinculados a la actuación en calidad de litisconsortes necesarios</w:t>
      </w:r>
      <w:r w:rsidR="0071316B">
        <w:rPr>
          <w:rFonts w:cs="Arial"/>
          <w:bCs/>
          <w:sz w:val="24"/>
          <w:szCs w:val="24"/>
          <w:lang w:val="es-CO"/>
        </w:rPr>
        <w:t>.</w:t>
      </w:r>
    </w:p>
    <w:p w14:paraId="41BF34ED" w14:textId="77777777" w:rsidR="002E484C" w:rsidRDefault="002E484C" w:rsidP="002717E5">
      <w:pPr>
        <w:pStyle w:val="Textoindependiente"/>
        <w:tabs>
          <w:tab w:val="left" w:pos="8222"/>
        </w:tabs>
        <w:spacing w:line="360" w:lineRule="auto"/>
        <w:jc w:val="both"/>
        <w:rPr>
          <w:rFonts w:cs="Arial"/>
          <w:bCs/>
          <w:sz w:val="24"/>
          <w:szCs w:val="24"/>
          <w:lang w:val="es-CO"/>
        </w:rPr>
      </w:pPr>
    </w:p>
    <w:p w14:paraId="5F5E2F5A" w14:textId="77777777" w:rsidR="0071316B" w:rsidRDefault="0071316B" w:rsidP="002717E5">
      <w:pPr>
        <w:pStyle w:val="Textoindependiente"/>
        <w:tabs>
          <w:tab w:val="left" w:pos="8222"/>
        </w:tabs>
        <w:spacing w:line="360" w:lineRule="auto"/>
        <w:jc w:val="both"/>
        <w:rPr>
          <w:rFonts w:cs="Arial"/>
          <w:bCs/>
          <w:sz w:val="24"/>
          <w:szCs w:val="24"/>
          <w:lang w:val="es-CO"/>
        </w:rPr>
      </w:pPr>
      <w:r>
        <w:rPr>
          <w:rFonts w:cs="Arial"/>
          <w:bCs/>
          <w:sz w:val="24"/>
          <w:szCs w:val="24"/>
          <w:lang w:val="es-CO"/>
        </w:rPr>
        <w:t>Finalmente, planteó como excepciones previas</w:t>
      </w:r>
      <w:r w:rsidR="0036568A">
        <w:rPr>
          <w:rFonts w:cs="Arial"/>
          <w:bCs/>
          <w:sz w:val="24"/>
          <w:szCs w:val="24"/>
          <w:lang w:val="es-CO"/>
        </w:rPr>
        <w:t xml:space="preserve"> la que denominó “</w:t>
      </w:r>
      <w:r w:rsidR="0036568A">
        <w:rPr>
          <w:rFonts w:cs="Arial"/>
          <w:bCs/>
          <w:i/>
          <w:sz w:val="24"/>
          <w:szCs w:val="24"/>
          <w:lang w:val="es-CO"/>
        </w:rPr>
        <w:t xml:space="preserve">falta de agotamiento del requisito de </w:t>
      </w:r>
      <w:r w:rsidR="00175CCD">
        <w:rPr>
          <w:rFonts w:cs="Arial"/>
          <w:bCs/>
          <w:i/>
          <w:sz w:val="24"/>
          <w:szCs w:val="24"/>
          <w:lang w:val="es-CO"/>
        </w:rPr>
        <w:t>procedibilidad -</w:t>
      </w:r>
      <w:r w:rsidR="0036568A">
        <w:rPr>
          <w:rFonts w:cs="Arial"/>
          <w:bCs/>
          <w:i/>
          <w:sz w:val="24"/>
          <w:szCs w:val="24"/>
          <w:lang w:val="es-CO"/>
        </w:rPr>
        <w:t>conciliación prejudicial</w:t>
      </w:r>
      <w:r w:rsidR="00175CCD">
        <w:rPr>
          <w:rFonts w:cs="Arial"/>
          <w:bCs/>
          <w:i/>
          <w:sz w:val="24"/>
          <w:szCs w:val="24"/>
          <w:lang w:val="es-CO"/>
        </w:rPr>
        <w:t>-</w:t>
      </w:r>
      <w:r w:rsidR="0036568A">
        <w:rPr>
          <w:rFonts w:cs="Arial"/>
          <w:bCs/>
          <w:i/>
          <w:sz w:val="24"/>
          <w:szCs w:val="24"/>
          <w:lang w:val="es-CO"/>
        </w:rPr>
        <w:t>”</w:t>
      </w:r>
      <w:r w:rsidR="0036568A">
        <w:rPr>
          <w:rFonts w:cs="Arial"/>
          <w:bCs/>
          <w:sz w:val="24"/>
          <w:szCs w:val="24"/>
          <w:lang w:val="es-CO"/>
        </w:rPr>
        <w:t xml:space="preserve"> y la inepta demanda por falta de requisitos formales</w:t>
      </w:r>
      <w:r w:rsidR="0036568A">
        <w:rPr>
          <w:rStyle w:val="Refdenotaalpie"/>
          <w:rFonts w:cs="Arial"/>
          <w:bCs/>
          <w:sz w:val="24"/>
          <w:szCs w:val="24"/>
          <w:lang w:val="es-CO"/>
        </w:rPr>
        <w:footnoteReference w:id="2"/>
      </w:r>
      <w:r w:rsidR="0036568A">
        <w:rPr>
          <w:rFonts w:cs="Arial"/>
          <w:bCs/>
          <w:sz w:val="24"/>
          <w:szCs w:val="24"/>
          <w:lang w:val="es-CO"/>
        </w:rPr>
        <w:t>.</w:t>
      </w:r>
    </w:p>
    <w:p w14:paraId="3B4B85EF" w14:textId="77777777" w:rsidR="00E960D5" w:rsidRDefault="00E960D5" w:rsidP="002717E5">
      <w:pPr>
        <w:pStyle w:val="Textoindependiente"/>
        <w:tabs>
          <w:tab w:val="left" w:pos="8222"/>
        </w:tabs>
        <w:spacing w:line="360" w:lineRule="auto"/>
        <w:jc w:val="both"/>
        <w:rPr>
          <w:rFonts w:cs="Arial"/>
          <w:bCs/>
          <w:sz w:val="24"/>
          <w:szCs w:val="24"/>
          <w:lang w:val="es-CO"/>
        </w:rPr>
      </w:pPr>
    </w:p>
    <w:p w14:paraId="5B5DED6D" w14:textId="77777777" w:rsidR="0036568A" w:rsidRDefault="00E960D5" w:rsidP="002717E5">
      <w:pPr>
        <w:pStyle w:val="Textoindependiente"/>
        <w:tabs>
          <w:tab w:val="left" w:pos="8222"/>
        </w:tabs>
        <w:spacing w:line="360" w:lineRule="auto"/>
        <w:jc w:val="both"/>
        <w:rPr>
          <w:rFonts w:cs="Arial"/>
          <w:b/>
          <w:bCs/>
          <w:sz w:val="24"/>
          <w:szCs w:val="24"/>
          <w:lang w:val="es-CO"/>
        </w:rPr>
      </w:pPr>
      <w:r>
        <w:rPr>
          <w:rFonts w:cs="Arial"/>
          <w:b/>
          <w:bCs/>
          <w:sz w:val="24"/>
          <w:szCs w:val="24"/>
          <w:lang w:val="es-CO"/>
        </w:rPr>
        <w:t xml:space="preserve">2.1.2. </w:t>
      </w:r>
      <w:proofErr w:type="gramStart"/>
      <w:r>
        <w:rPr>
          <w:rFonts w:cs="Arial"/>
          <w:b/>
          <w:bCs/>
          <w:sz w:val="24"/>
          <w:szCs w:val="24"/>
          <w:lang w:val="es-CO"/>
        </w:rPr>
        <w:t>Sanear  S.A.</w:t>
      </w:r>
      <w:proofErr w:type="gramEnd"/>
    </w:p>
    <w:p w14:paraId="3D6A5301" w14:textId="77777777" w:rsidR="00E960D5" w:rsidRPr="00E960D5" w:rsidRDefault="00E960D5" w:rsidP="002717E5">
      <w:pPr>
        <w:pStyle w:val="Textoindependiente"/>
        <w:tabs>
          <w:tab w:val="left" w:pos="8222"/>
        </w:tabs>
        <w:spacing w:line="360" w:lineRule="auto"/>
        <w:jc w:val="both"/>
        <w:rPr>
          <w:rFonts w:cs="Arial"/>
          <w:b/>
          <w:bCs/>
          <w:sz w:val="24"/>
          <w:szCs w:val="24"/>
          <w:lang w:val="es-CO"/>
        </w:rPr>
      </w:pPr>
    </w:p>
    <w:p w14:paraId="32FF1020" w14:textId="77777777" w:rsidR="00BA6D0C" w:rsidRDefault="0036568A" w:rsidP="002717E5">
      <w:pPr>
        <w:pStyle w:val="Textoindependiente"/>
        <w:tabs>
          <w:tab w:val="left" w:pos="8222"/>
        </w:tabs>
        <w:spacing w:line="360" w:lineRule="auto"/>
        <w:jc w:val="both"/>
        <w:rPr>
          <w:rFonts w:cs="Arial"/>
          <w:bCs/>
          <w:sz w:val="24"/>
          <w:szCs w:val="24"/>
          <w:lang w:val="es-CO"/>
        </w:rPr>
      </w:pPr>
      <w:r>
        <w:rPr>
          <w:rFonts w:cs="Arial"/>
          <w:bCs/>
          <w:sz w:val="24"/>
          <w:szCs w:val="24"/>
          <w:lang w:val="es-CO"/>
        </w:rPr>
        <w:t>Por su parte, la sociedad Sanear S.A. manifestó que no le asistía</w:t>
      </w:r>
      <w:r w:rsidR="001A030E">
        <w:rPr>
          <w:rFonts w:cs="Arial"/>
          <w:bCs/>
          <w:sz w:val="24"/>
          <w:szCs w:val="24"/>
          <w:lang w:val="es-CO"/>
        </w:rPr>
        <w:t xml:space="preserve"> responsabilidad </w:t>
      </w:r>
      <w:r>
        <w:rPr>
          <w:rFonts w:cs="Arial"/>
          <w:bCs/>
          <w:sz w:val="24"/>
          <w:szCs w:val="24"/>
          <w:lang w:val="es-CO"/>
        </w:rPr>
        <w:t>en el presente asunto, dado que, en su calidad de interventor de los contratos que generaron la presente controversia, no expidió acto administrativo alguno y su actividad se limitó a la interventoría administrativa y técnica de</w:t>
      </w:r>
      <w:r w:rsidR="00175CCD">
        <w:rPr>
          <w:rFonts w:cs="Arial"/>
          <w:bCs/>
          <w:sz w:val="24"/>
          <w:szCs w:val="24"/>
          <w:lang w:val="es-CO"/>
        </w:rPr>
        <w:t xml:space="preserve"> los</w:t>
      </w:r>
      <w:r>
        <w:rPr>
          <w:rFonts w:cs="Arial"/>
          <w:bCs/>
          <w:sz w:val="24"/>
          <w:szCs w:val="24"/>
          <w:lang w:val="es-CO"/>
        </w:rPr>
        <w:t xml:space="preserve"> negocio</w:t>
      </w:r>
      <w:r w:rsidR="00175CCD">
        <w:rPr>
          <w:rFonts w:cs="Arial"/>
          <w:bCs/>
          <w:sz w:val="24"/>
          <w:szCs w:val="24"/>
          <w:lang w:val="es-CO"/>
        </w:rPr>
        <w:t>s</w:t>
      </w:r>
      <w:r>
        <w:rPr>
          <w:rFonts w:cs="Arial"/>
          <w:bCs/>
          <w:sz w:val="24"/>
          <w:szCs w:val="24"/>
          <w:lang w:val="es-CO"/>
        </w:rPr>
        <w:t xml:space="preserve"> jurídico</w:t>
      </w:r>
      <w:r w:rsidR="00175CCD">
        <w:rPr>
          <w:rFonts w:cs="Arial"/>
          <w:bCs/>
          <w:sz w:val="24"/>
          <w:szCs w:val="24"/>
          <w:lang w:val="es-CO"/>
        </w:rPr>
        <w:t>s</w:t>
      </w:r>
      <w:r>
        <w:rPr>
          <w:rFonts w:cs="Arial"/>
          <w:bCs/>
          <w:sz w:val="24"/>
          <w:szCs w:val="24"/>
          <w:lang w:val="es-CO"/>
        </w:rPr>
        <w:t xml:space="preserve"> celebrado</w:t>
      </w:r>
      <w:r w:rsidR="00175CCD">
        <w:rPr>
          <w:rFonts w:cs="Arial"/>
          <w:bCs/>
          <w:sz w:val="24"/>
          <w:szCs w:val="24"/>
          <w:lang w:val="es-CO"/>
        </w:rPr>
        <w:t>s</w:t>
      </w:r>
      <w:r>
        <w:rPr>
          <w:rFonts w:cs="Arial"/>
          <w:bCs/>
          <w:sz w:val="24"/>
          <w:szCs w:val="24"/>
          <w:lang w:val="es-CO"/>
        </w:rPr>
        <w:t xml:space="preserve"> entre Corantioquia y </w:t>
      </w:r>
      <w:proofErr w:type="spellStart"/>
      <w:r>
        <w:rPr>
          <w:rFonts w:cs="Arial"/>
          <w:bCs/>
          <w:sz w:val="24"/>
          <w:szCs w:val="24"/>
          <w:lang w:val="es-CO"/>
        </w:rPr>
        <w:t>Rotoplast</w:t>
      </w:r>
      <w:proofErr w:type="spellEnd"/>
      <w:r>
        <w:rPr>
          <w:rFonts w:cs="Arial"/>
          <w:bCs/>
          <w:sz w:val="24"/>
          <w:szCs w:val="24"/>
          <w:lang w:val="es-CO"/>
        </w:rPr>
        <w:t xml:space="preserve"> S.A., de </w:t>
      </w:r>
      <w:r w:rsidR="001A030E">
        <w:rPr>
          <w:rFonts w:cs="Arial"/>
          <w:bCs/>
          <w:sz w:val="24"/>
          <w:szCs w:val="24"/>
          <w:lang w:val="es-CO"/>
        </w:rPr>
        <w:t>ahí</w:t>
      </w:r>
      <w:r>
        <w:rPr>
          <w:rFonts w:cs="Arial"/>
          <w:bCs/>
          <w:sz w:val="24"/>
          <w:szCs w:val="24"/>
          <w:lang w:val="es-CO"/>
        </w:rPr>
        <w:t xml:space="preserve"> que no se hubiere formulado en su contra ninguna pretensión y, por tanto, </w:t>
      </w:r>
      <w:r w:rsidR="001A030E">
        <w:rPr>
          <w:rFonts w:cs="Arial"/>
          <w:bCs/>
          <w:sz w:val="24"/>
          <w:szCs w:val="24"/>
          <w:lang w:val="es-CO"/>
        </w:rPr>
        <w:t>propuso como excepción previa la falta de legitimación en la causa por pasiva</w:t>
      </w:r>
      <w:r w:rsidR="00934410">
        <w:rPr>
          <w:rStyle w:val="Refdenotaalpie"/>
          <w:rFonts w:cs="Arial"/>
          <w:bCs/>
          <w:sz w:val="24"/>
          <w:szCs w:val="24"/>
          <w:lang w:val="es-CO"/>
        </w:rPr>
        <w:footnoteReference w:id="3"/>
      </w:r>
      <w:r w:rsidR="00934410">
        <w:rPr>
          <w:rFonts w:cs="Arial"/>
          <w:bCs/>
          <w:sz w:val="24"/>
          <w:szCs w:val="24"/>
          <w:lang w:val="es-CO"/>
        </w:rPr>
        <w:t>.</w:t>
      </w:r>
    </w:p>
    <w:p w14:paraId="7E1A6F64" w14:textId="77777777" w:rsidR="00934410" w:rsidRDefault="00934410" w:rsidP="002717E5">
      <w:pPr>
        <w:pStyle w:val="Textoindependiente"/>
        <w:tabs>
          <w:tab w:val="left" w:pos="8222"/>
        </w:tabs>
        <w:spacing w:line="360" w:lineRule="auto"/>
        <w:jc w:val="both"/>
        <w:rPr>
          <w:rFonts w:cs="Arial"/>
          <w:bCs/>
          <w:sz w:val="24"/>
          <w:szCs w:val="24"/>
          <w:lang w:val="es-CO"/>
        </w:rPr>
      </w:pPr>
    </w:p>
    <w:p w14:paraId="57305260" w14:textId="77777777" w:rsidR="0071317C" w:rsidRPr="00980DEB" w:rsidRDefault="00FD0C77" w:rsidP="0071317C">
      <w:pPr>
        <w:pStyle w:val="Textoindependiente"/>
        <w:spacing w:line="360" w:lineRule="auto"/>
        <w:rPr>
          <w:rFonts w:cs="Arial"/>
          <w:b/>
          <w:bCs/>
          <w:sz w:val="24"/>
          <w:szCs w:val="24"/>
          <w:lang w:val="es-CO"/>
        </w:rPr>
      </w:pPr>
      <w:r>
        <w:rPr>
          <w:rFonts w:cs="Arial"/>
          <w:b/>
          <w:bCs/>
          <w:sz w:val="24"/>
          <w:szCs w:val="24"/>
          <w:lang w:val="es-CO"/>
        </w:rPr>
        <w:t xml:space="preserve">3. </w:t>
      </w:r>
      <w:r w:rsidR="00E960D5">
        <w:rPr>
          <w:rFonts w:cs="Arial"/>
          <w:b/>
          <w:bCs/>
          <w:sz w:val="24"/>
          <w:szCs w:val="24"/>
          <w:lang w:val="es-CO"/>
        </w:rPr>
        <w:t>Decisiones apeladas</w:t>
      </w:r>
      <w:r w:rsidR="00E960D5">
        <w:rPr>
          <w:rStyle w:val="Refdenotaalpie"/>
          <w:rFonts w:cs="Arial"/>
          <w:sz w:val="24"/>
          <w:szCs w:val="24"/>
          <w:lang w:val="es-CO"/>
        </w:rPr>
        <w:footnoteReference w:id="4"/>
      </w:r>
    </w:p>
    <w:p w14:paraId="73D5213C" w14:textId="77777777" w:rsidR="0071317C" w:rsidRPr="004E6A2A" w:rsidRDefault="0071317C" w:rsidP="0071317C">
      <w:pPr>
        <w:pStyle w:val="Textoindependiente"/>
        <w:spacing w:line="360" w:lineRule="auto"/>
        <w:rPr>
          <w:rFonts w:cs="Arial"/>
          <w:b/>
          <w:bCs/>
          <w:szCs w:val="24"/>
          <w:lang w:val="es-CO"/>
        </w:rPr>
      </w:pPr>
    </w:p>
    <w:p w14:paraId="5268FE5F" w14:textId="77777777" w:rsidR="00C469DD" w:rsidRDefault="006B4D40" w:rsidP="00980DEB">
      <w:pPr>
        <w:pStyle w:val="Textoindependiente"/>
        <w:spacing w:line="360" w:lineRule="auto"/>
        <w:jc w:val="both"/>
        <w:rPr>
          <w:rFonts w:cs="Arial"/>
          <w:sz w:val="24"/>
          <w:szCs w:val="24"/>
          <w:lang w:val="es-CO"/>
        </w:rPr>
      </w:pPr>
      <w:r>
        <w:rPr>
          <w:rFonts w:cs="Arial"/>
          <w:sz w:val="24"/>
          <w:szCs w:val="24"/>
          <w:lang w:val="es-CO"/>
        </w:rPr>
        <w:lastRenderedPageBreak/>
        <w:t xml:space="preserve">Agotado el trámite legal, una vez instalada la audiencia inicial de que trata el artículo 180 del CPACA y </w:t>
      </w:r>
      <w:r w:rsidR="000578D5">
        <w:rPr>
          <w:rFonts w:cs="Arial"/>
          <w:sz w:val="24"/>
          <w:szCs w:val="24"/>
          <w:lang w:val="es-CO"/>
        </w:rPr>
        <w:t>surtida</w:t>
      </w:r>
      <w:r>
        <w:rPr>
          <w:rFonts w:cs="Arial"/>
          <w:sz w:val="24"/>
          <w:szCs w:val="24"/>
          <w:lang w:val="es-CO"/>
        </w:rPr>
        <w:t xml:space="preserve"> la etapa de saneamiento, el magistrado </w:t>
      </w:r>
      <w:r w:rsidR="00C469DD">
        <w:rPr>
          <w:rFonts w:cs="Arial"/>
          <w:sz w:val="24"/>
          <w:szCs w:val="24"/>
          <w:lang w:val="es-CO"/>
        </w:rPr>
        <w:t>integrante de la Sala Tercera de Decisión del T</w:t>
      </w:r>
      <w:r>
        <w:rPr>
          <w:rFonts w:cs="Arial"/>
          <w:sz w:val="24"/>
          <w:szCs w:val="24"/>
          <w:lang w:val="es-CO"/>
        </w:rPr>
        <w:t xml:space="preserve">ribunal Administrativo de </w:t>
      </w:r>
      <w:r w:rsidR="00C469DD">
        <w:rPr>
          <w:rFonts w:cs="Arial"/>
          <w:sz w:val="24"/>
          <w:szCs w:val="24"/>
          <w:lang w:val="es-CO"/>
        </w:rPr>
        <w:t>Antioquia, previo a la decisión de excepciones previas, se pronunció respecto de la so</w:t>
      </w:r>
      <w:r w:rsidR="00175CCD">
        <w:rPr>
          <w:rFonts w:cs="Arial"/>
          <w:sz w:val="24"/>
          <w:szCs w:val="24"/>
          <w:lang w:val="es-CO"/>
        </w:rPr>
        <w:t>licitud de la entidad demandada</w:t>
      </w:r>
      <w:r w:rsidR="00C469DD">
        <w:rPr>
          <w:rFonts w:cs="Arial"/>
          <w:sz w:val="24"/>
          <w:szCs w:val="24"/>
          <w:lang w:val="es-CO"/>
        </w:rPr>
        <w:t xml:space="preserve"> en relación con la vinculación de sesenta y cuatro municipios como litisconsortes necesarios, en el sentido de negar la petición, por cuanto, en su criterio, no se verificaban los presupuestos legales de esta figura procesal.</w:t>
      </w:r>
    </w:p>
    <w:p w14:paraId="20F35ADB" w14:textId="77777777" w:rsidR="00C469DD" w:rsidRDefault="00C469DD" w:rsidP="00980DEB">
      <w:pPr>
        <w:pStyle w:val="Textoindependiente"/>
        <w:spacing w:line="360" w:lineRule="auto"/>
        <w:jc w:val="both"/>
        <w:rPr>
          <w:rFonts w:cs="Arial"/>
          <w:sz w:val="24"/>
          <w:szCs w:val="24"/>
          <w:lang w:val="es-CO"/>
        </w:rPr>
      </w:pPr>
    </w:p>
    <w:p w14:paraId="32F13CF4" w14:textId="77777777" w:rsidR="006B4D40" w:rsidRDefault="00C469DD" w:rsidP="00980DEB">
      <w:pPr>
        <w:pStyle w:val="Textoindependiente"/>
        <w:spacing w:line="360" w:lineRule="auto"/>
        <w:jc w:val="both"/>
        <w:rPr>
          <w:rFonts w:cs="Arial"/>
          <w:sz w:val="24"/>
          <w:szCs w:val="24"/>
          <w:lang w:val="es-CO"/>
        </w:rPr>
      </w:pPr>
      <w:r>
        <w:rPr>
          <w:rFonts w:cs="Arial"/>
          <w:sz w:val="24"/>
          <w:szCs w:val="24"/>
          <w:lang w:val="es-CO"/>
        </w:rPr>
        <w:t>Respecto de las exce</w:t>
      </w:r>
      <w:r w:rsidR="00AF7A29">
        <w:rPr>
          <w:rFonts w:cs="Arial"/>
          <w:sz w:val="24"/>
          <w:szCs w:val="24"/>
          <w:lang w:val="es-CO"/>
        </w:rPr>
        <w:t>pciones, el Tribunal adoptó las siguientes</w:t>
      </w:r>
      <w:r>
        <w:rPr>
          <w:rFonts w:cs="Arial"/>
          <w:sz w:val="24"/>
          <w:szCs w:val="24"/>
          <w:lang w:val="es-CO"/>
        </w:rPr>
        <w:t xml:space="preserve"> </w:t>
      </w:r>
      <w:r w:rsidR="00AF7A29">
        <w:rPr>
          <w:rFonts w:cs="Arial"/>
          <w:sz w:val="24"/>
          <w:szCs w:val="24"/>
          <w:lang w:val="es-CO"/>
        </w:rPr>
        <w:t>decisiones:</w:t>
      </w:r>
    </w:p>
    <w:p w14:paraId="6BBC3BB9" w14:textId="77777777" w:rsidR="00AF7A29" w:rsidRDefault="00AF7A29" w:rsidP="00980DEB">
      <w:pPr>
        <w:pStyle w:val="Textoindependiente"/>
        <w:spacing w:line="360" w:lineRule="auto"/>
        <w:jc w:val="both"/>
        <w:rPr>
          <w:rFonts w:cs="Arial"/>
          <w:sz w:val="24"/>
          <w:szCs w:val="24"/>
          <w:lang w:val="es-CO"/>
        </w:rPr>
      </w:pPr>
    </w:p>
    <w:p w14:paraId="2F4C154E" w14:textId="77777777" w:rsidR="00AF7A29" w:rsidRDefault="00AF7A29" w:rsidP="00980DEB">
      <w:pPr>
        <w:pStyle w:val="Textoindependiente"/>
        <w:spacing w:line="360" w:lineRule="auto"/>
        <w:jc w:val="both"/>
        <w:rPr>
          <w:rFonts w:cs="Arial"/>
          <w:sz w:val="24"/>
          <w:szCs w:val="24"/>
          <w:lang w:val="es-CO"/>
        </w:rPr>
      </w:pPr>
      <w:r>
        <w:rPr>
          <w:rFonts w:cs="Arial"/>
          <w:sz w:val="24"/>
          <w:szCs w:val="24"/>
          <w:lang w:val="es-CO"/>
        </w:rPr>
        <w:t>i) Negó la excepción que Corantioquia denominó “</w:t>
      </w:r>
      <w:r w:rsidRPr="00AF7A29">
        <w:rPr>
          <w:rFonts w:cs="Arial"/>
          <w:i/>
          <w:sz w:val="24"/>
          <w:szCs w:val="24"/>
          <w:lang w:val="es-CO"/>
        </w:rPr>
        <w:t>falta de agotamiento del requisito de procedibilidad – conciliaci</w:t>
      </w:r>
      <w:r>
        <w:rPr>
          <w:rFonts w:cs="Arial"/>
          <w:i/>
          <w:sz w:val="24"/>
          <w:szCs w:val="24"/>
          <w:lang w:val="es-CO"/>
        </w:rPr>
        <w:t>ó</w:t>
      </w:r>
      <w:r w:rsidRPr="00AF7A29">
        <w:rPr>
          <w:rFonts w:cs="Arial"/>
          <w:i/>
          <w:sz w:val="24"/>
          <w:szCs w:val="24"/>
          <w:lang w:val="es-CO"/>
        </w:rPr>
        <w:t>n prejudicial</w:t>
      </w:r>
      <w:r>
        <w:rPr>
          <w:rFonts w:cs="Arial"/>
          <w:i/>
          <w:sz w:val="24"/>
          <w:szCs w:val="24"/>
          <w:lang w:val="es-CO"/>
        </w:rPr>
        <w:t xml:space="preserve">”, </w:t>
      </w:r>
      <w:r>
        <w:rPr>
          <w:rFonts w:cs="Arial"/>
          <w:sz w:val="24"/>
          <w:szCs w:val="24"/>
          <w:lang w:val="es-CO"/>
        </w:rPr>
        <w:t xml:space="preserve">con el argumento de que, junto con la demanda, la parte actora solicitó medidas cautelares -suspensión provisional de los actos administrativos demandados- </w:t>
      </w:r>
      <w:r w:rsidR="007B490F">
        <w:rPr>
          <w:rFonts w:cs="Arial"/>
          <w:sz w:val="24"/>
          <w:szCs w:val="24"/>
          <w:lang w:val="es-CO"/>
        </w:rPr>
        <w:t>y esa situación tornaba innecesario el requisito de procedibilidad, de conformidad con lo dispuesto en el artículo 613 del Código General del Proceso.</w:t>
      </w:r>
    </w:p>
    <w:p w14:paraId="14DA16CC" w14:textId="77777777" w:rsidR="007B490F" w:rsidRDefault="007B490F" w:rsidP="00980DEB">
      <w:pPr>
        <w:pStyle w:val="Textoindependiente"/>
        <w:spacing w:line="360" w:lineRule="auto"/>
        <w:jc w:val="both"/>
        <w:rPr>
          <w:rFonts w:cs="Arial"/>
          <w:sz w:val="24"/>
          <w:szCs w:val="24"/>
          <w:lang w:val="es-CO"/>
        </w:rPr>
      </w:pPr>
    </w:p>
    <w:p w14:paraId="0DA95233" w14:textId="77777777" w:rsidR="007B490F" w:rsidRDefault="007B490F" w:rsidP="00980DEB">
      <w:pPr>
        <w:pStyle w:val="Textoindependiente"/>
        <w:spacing w:line="360" w:lineRule="auto"/>
        <w:jc w:val="both"/>
        <w:rPr>
          <w:rFonts w:cs="Arial"/>
          <w:sz w:val="24"/>
          <w:szCs w:val="24"/>
          <w:lang w:val="es-CO"/>
        </w:rPr>
      </w:pPr>
      <w:proofErr w:type="spellStart"/>
      <w:r>
        <w:rPr>
          <w:rFonts w:cs="Arial"/>
          <w:sz w:val="24"/>
          <w:szCs w:val="24"/>
          <w:lang w:val="es-CO"/>
        </w:rPr>
        <w:t>ii</w:t>
      </w:r>
      <w:proofErr w:type="spellEnd"/>
      <w:r>
        <w:rPr>
          <w:rFonts w:cs="Arial"/>
          <w:sz w:val="24"/>
          <w:szCs w:val="24"/>
          <w:lang w:val="es-CO"/>
        </w:rPr>
        <w:t>) Declaró probada la excepción de falta de legitimación en la causa por pasiva respecto de la demanda Sanear S.A. y, como consecuencia de ello, ordenó su desvinculación del proceso.</w:t>
      </w:r>
    </w:p>
    <w:p w14:paraId="33C329F2" w14:textId="77777777" w:rsidR="007B490F" w:rsidRDefault="007B490F" w:rsidP="00980DEB">
      <w:pPr>
        <w:pStyle w:val="Textoindependiente"/>
        <w:spacing w:line="360" w:lineRule="auto"/>
        <w:jc w:val="both"/>
        <w:rPr>
          <w:rFonts w:cs="Arial"/>
          <w:sz w:val="24"/>
          <w:szCs w:val="24"/>
          <w:lang w:val="es-CO"/>
        </w:rPr>
      </w:pPr>
    </w:p>
    <w:p w14:paraId="612D0453" w14:textId="77777777" w:rsidR="007B490F" w:rsidRPr="007B490F" w:rsidRDefault="007B490F" w:rsidP="00980DEB">
      <w:pPr>
        <w:pStyle w:val="Textoindependiente"/>
        <w:spacing w:line="360" w:lineRule="auto"/>
        <w:jc w:val="both"/>
        <w:rPr>
          <w:rFonts w:cs="Arial"/>
          <w:sz w:val="24"/>
          <w:szCs w:val="24"/>
          <w:lang w:val="es-CO"/>
        </w:rPr>
      </w:pPr>
      <w:r>
        <w:rPr>
          <w:rFonts w:cs="Arial"/>
          <w:sz w:val="24"/>
          <w:szCs w:val="24"/>
          <w:lang w:val="es-CO"/>
        </w:rPr>
        <w:t xml:space="preserve">Para adoptar esta decisión, el Tribunal </w:t>
      </w:r>
      <w:r>
        <w:rPr>
          <w:rFonts w:cs="Arial"/>
          <w:i/>
          <w:sz w:val="24"/>
          <w:szCs w:val="24"/>
          <w:lang w:val="es-CO"/>
        </w:rPr>
        <w:t>a quo</w:t>
      </w:r>
      <w:r>
        <w:rPr>
          <w:rFonts w:cs="Arial"/>
          <w:sz w:val="24"/>
          <w:szCs w:val="24"/>
          <w:lang w:val="es-CO"/>
        </w:rPr>
        <w:t xml:space="preserve">, luego de explicar el concepto de legitimación en la causa, sostuvo que en la demanda no se formuló pretensión alguna en contra de la sociedad Sanear S.A., aunado a que esta compañía no intervino en la expedición de los actos administrativos demandados, de ahí </w:t>
      </w:r>
      <w:r w:rsidR="0020505F">
        <w:rPr>
          <w:rFonts w:cs="Arial"/>
          <w:sz w:val="24"/>
          <w:szCs w:val="24"/>
          <w:lang w:val="es-CO"/>
        </w:rPr>
        <w:t>que la eventual responsabilidad del interventor podía demandarse en otro escenario judicial, a través del correspondiente medio de control</w:t>
      </w:r>
      <w:r w:rsidR="0020505F">
        <w:rPr>
          <w:rStyle w:val="Refdenotaalpie"/>
          <w:rFonts w:cs="Arial"/>
          <w:sz w:val="24"/>
          <w:szCs w:val="24"/>
          <w:lang w:val="es-CO"/>
        </w:rPr>
        <w:footnoteReference w:id="5"/>
      </w:r>
      <w:r w:rsidR="0020505F">
        <w:rPr>
          <w:rFonts w:cs="Arial"/>
          <w:sz w:val="24"/>
          <w:szCs w:val="24"/>
          <w:lang w:val="es-CO"/>
        </w:rPr>
        <w:t>.</w:t>
      </w:r>
    </w:p>
    <w:p w14:paraId="170BD512" w14:textId="77777777" w:rsidR="00C469DD" w:rsidRDefault="00C469DD" w:rsidP="00980DEB">
      <w:pPr>
        <w:pStyle w:val="Textoindependiente"/>
        <w:spacing w:line="360" w:lineRule="auto"/>
        <w:jc w:val="both"/>
        <w:rPr>
          <w:rFonts w:cs="Arial"/>
          <w:sz w:val="24"/>
          <w:szCs w:val="24"/>
          <w:lang w:val="es-CO"/>
        </w:rPr>
      </w:pPr>
    </w:p>
    <w:p w14:paraId="3BF9E31D" w14:textId="77777777" w:rsidR="00E960D5" w:rsidRDefault="00E960D5" w:rsidP="00980DEB">
      <w:pPr>
        <w:pStyle w:val="Textoindependiente"/>
        <w:spacing w:line="360" w:lineRule="auto"/>
        <w:jc w:val="both"/>
        <w:rPr>
          <w:rFonts w:cs="Arial"/>
          <w:sz w:val="24"/>
          <w:szCs w:val="24"/>
          <w:lang w:val="es-CO"/>
        </w:rPr>
      </w:pPr>
    </w:p>
    <w:p w14:paraId="7C8AA5A0" w14:textId="77777777" w:rsidR="0071317C" w:rsidRPr="00EA144B" w:rsidRDefault="0071317C" w:rsidP="0071317C">
      <w:pPr>
        <w:pStyle w:val="Textoindependiente"/>
        <w:spacing w:line="360" w:lineRule="auto"/>
        <w:rPr>
          <w:rFonts w:cs="Arial"/>
          <w:b/>
          <w:sz w:val="24"/>
          <w:szCs w:val="24"/>
          <w:lang w:val="es-CO"/>
        </w:rPr>
      </w:pPr>
      <w:r w:rsidRPr="00EA144B">
        <w:rPr>
          <w:rFonts w:cs="Arial"/>
          <w:b/>
          <w:bCs/>
          <w:sz w:val="24"/>
          <w:szCs w:val="24"/>
          <w:lang w:val="es-CO"/>
        </w:rPr>
        <w:t>4</w:t>
      </w:r>
      <w:r w:rsidR="00EB7CCB">
        <w:rPr>
          <w:rFonts w:cs="Arial"/>
          <w:b/>
          <w:bCs/>
          <w:sz w:val="24"/>
          <w:szCs w:val="24"/>
          <w:lang w:val="es-CO"/>
        </w:rPr>
        <w:t>.</w:t>
      </w:r>
      <w:r w:rsidR="00303C9B">
        <w:rPr>
          <w:rFonts w:cs="Arial"/>
          <w:b/>
          <w:bCs/>
          <w:sz w:val="24"/>
          <w:szCs w:val="24"/>
          <w:lang w:val="es-CO"/>
        </w:rPr>
        <w:t xml:space="preserve"> R</w:t>
      </w:r>
      <w:r w:rsidRPr="00EA144B">
        <w:rPr>
          <w:rFonts w:cs="Arial"/>
          <w:b/>
          <w:bCs/>
          <w:sz w:val="24"/>
          <w:szCs w:val="24"/>
          <w:lang w:val="es-CO"/>
        </w:rPr>
        <w:t>ecurso</w:t>
      </w:r>
      <w:r w:rsidR="0020505F">
        <w:rPr>
          <w:rFonts w:cs="Arial"/>
          <w:b/>
          <w:bCs/>
          <w:sz w:val="24"/>
          <w:szCs w:val="24"/>
          <w:lang w:val="es-CO"/>
        </w:rPr>
        <w:t>s</w:t>
      </w:r>
      <w:r w:rsidRPr="00EA144B">
        <w:rPr>
          <w:rFonts w:cs="Arial"/>
          <w:b/>
          <w:bCs/>
          <w:sz w:val="24"/>
          <w:szCs w:val="24"/>
          <w:lang w:val="es-CO"/>
        </w:rPr>
        <w:t xml:space="preserve"> de apelación</w:t>
      </w:r>
    </w:p>
    <w:p w14:paraId="6E00E003" w14:textId="77777777" w:rsidR="0071317C" w:rsidRPr="004E6A2A" w:rsidRDefault="0071317C" w:rsidP="0071317C">
      <w:pPr>
        <w:pStyle w:val="Textoindependiente"/>
        <w:rPr>
          <w:rFonts w:cs="Arial"/>
          <w:b/>
          <w:szCs w:val="24"/>
          <w:lang w:val="es-CO"/>
        </w:rPr>
      </w:pPr>
    </w:p>
    <w:p w14:paraId="329EBAB8" w14:textId="77777777" w:rsidR="0020505F" w:rsidRPr="0020505F" w:rsidRDefault="0020505F" w:rsidP="001F0C16">
      <w:pPr>
        <w:pStyle w:val="Textoindependiente"/>
        <w:spacing w:line="360" w:lineRule="auto"/>
        <w:jc w:val="both"/>
        <w:rPr>
          <w:rFonts w:cs="Arial"/>
          <w:sz w:val="24"/>
          <w:szCs w:val="24"/>
          <w:lang w:val="es-CO"/>
        </w:rPr>
      </w:pPr>
      <w:r w:rsidRPr="0020505F">
        <w:rPr>
          <w:rFonts w:cs="Arial"/>
          <w:b/>
          <w:sz w:val="24"/>
          <w:szCs w:val="24"/>
          <w:lang w:val="es-CO"/>
        </w:rPr>
        <w:t>4.1.</w:t>
      </w:r>
      <w:r>
        <w:rPr>
          <w:rFonts w:cs="Arial"/>
          <w:sz w:val="24"/>
          <w:szCs w:val="24"/>
          <w:lang w:val="es-CO"/>
        </w:rPr>
        <w:t xml:space="preserve"> </w:t>
      </w:r>
      <w:r>
        <w:rPr>
          <w:rFonts w:cs="Arial"/>
          <w:b/>
          <w:sz w:val="24"/>
          <w:szCs w:val="24"/>
          <w:lang w:val="es-CO"/>
        </w:rPr>
        <w:t>Corantioquia</w:t>
      </w:r>
    </w:p>
    <w:p w14:paraId="0E6DE06A" w14:textId="77777777" w:rsidR="0020505F" w:rsidRDefault="0020505F" w:rsidP="001F0C16">
      <w:pPr>
        <w:pStyle w:val="Textoindependiente"/>
        <w:spacing w:line="360" w:lineRule="auto"/>
        <w:jc w:val="both"/>
        <w:rPr>
          <w:rFonts w:cs="Arial"/>
          <w:b/>
          <w:sz w:val="24"/>
          <w:szCs w:val="24"/>
          <w:lang w:val="es-CO"/>
        </w:rPr>
      </w:pPr>
    </w:p>
    <w:p w14:paraId="2847057F" w14:textId="77777777" w:rsidR="00E960D5" w:rsidRDefault="002075D8" w:rsidP="001F0C16">
      <w:pPr>
        <w:pStyle w:val="Textoindependiente"/>
        <w:spacing w:line="360" w:lineRule="auto"/>
        <w:jc w:val="both"/>
        <w:rPr>
          <w:rFonts w:cs="Arial"/>
          <w:sz w:val="24"/>
          <w:szCs w:val="24"/>
          <w:lang w:val="es-CO"/>
        </w:rPr>
      </w:pPr>
      <w:r w:rsidRPr="002075D8">
        <w:rPr>
          <w:rFonts w:cs="Arial"/>
          <w:sz w:val="24"/>
          <w:szCs w:val="24"/>
          <w:lang w:val="es-CO"/>
        </w:rPr>
        <w:lastRenderedPageBreak/>
        <w:t>Esta entidad demanda</w:t>
      </w:r>
      <w:r w:rsidR="00131A45">
        <w:rPr>
          <w:rFonts w:cs="Arial"/>
          <w:sz w:val="24"/>
          <w:szCs w:val="24"/>
          <w:lang w:val="es-CO"/>
        </w:rPr>
        <w:t>da</w:t>
      </w:r>
      <w:r w:rsidRPr="002075D8">
        <w:rPr>
          <w:rFonts w:cs="Arial"/>
          <w:sz w:val="24"/>
          <w:szCs w:val="24"/>
          <w:lang w:val="es-CO"/>
        </w:rPr>
        <w:t xml:space="preserve"> in</w:t>
      </w:r>
      <w:r w:rsidR="00E960D5">
        <w:rPr>
          <w:rFonts w:cs="Arial"/>
          <w:sz w:val="24"/>
          <w:szCs w:val="24"/>
          <w:lang w:val="es-CO"/>
        </w:rPr>
        <w:t xml:space="preserve">terpuso recurso de apelación </w:t>
      </w:r>
      <w:r w:rsidRPr="002075D8">
        <w:rPr>
          <w:rFonts w:cs="Arial"/>
          <w:sz w:val="24"/>
          <w:szCs w:val="24"/>
          <w:lang w:val="es-CO"/>
        </w:rPr>
        <w:t>contra de la</w:t>
      </w:r>
      <w:r w:rsidR="00E960D5">
        <w:rPr>
          <w:rFonts w:cs="Arial"/>
          <w:sz w:val="24"/>
          <w:szCs w:val="24"/>
          <w:lang w:val="es-CO"/>
        </w:rPr>
        <w:t>s decisiones a las que se acaba de hacer alusión y como sustento de su inconformidad expuso lo siguiente:</w:t>
      </w:r>
    </w:p>
    <w:p w14:paraId="47AA9B73" w14:textId="77777777" w:rsidR="0020505F" w:rsidRDefault="0020505F" w:rsidP="001F0C16">
      <w:pPr>
        <w:pStyle w:val="Textoindependiente"/>
        <w:spacing w:line="360" w:lineRule="auto"/>
        <w:jc w:val="both"/>
        <w:rPr>
          <w:rFonts w:cs="Arial"/>
          <w:sz w:val="24"/>
          <w:szCs w:val="24"/>
          <w:lang w:val="es-CO"/>
        </w:rPr>
      </w:pPr>
    </w:p>
    <w:p w14:paraId="771A5B19" w14:textId="77777777" w:rsidR="002075D8" w:rsidRDefault="002075D8" w:rsidP="001F0C16">
      <w:pPr>
        <w:pStyle w:val="Textoindependiente"/>
        <w:spacing w:line="360" w:lineRule="auto"/>
        <w:jc w:val="both"/>
        <w:rPr>
          <w:rFonts w:cs="Arial"/>
          <w:sz w:val="24"/>
          <w:szCs w:val="24"/>
          <w:lang w:val="es-CO"/>
        </w:rPr>
      </w:pPr>
      <w:r>
        <w:rPr>
          <w:rFonts w:cs="Arial"/>
          <w:sz w:val="24"/>
          <w:szCs w:val="24"/>
          <w:lang w:val="es-CO"/>
        </w:rPr>
        <w:t xml:space="preserve">En cuanto a la solicitud de vinculación de las mencionadas entidades como litisconsortes necesarios, </w:t>
      </w:r>
      <w:r w:rsidR="00131A45">
        <w:rPr>
          <w:rFonts w:cs="Arial"/>
          <w:sz w:val="24"/>
          <w:szCs w:val="24"/>
          <w:lang w:val="es-CO"/>
        </w:rPr>
        <w:t>afirmó</w:t>
      </w:r>
      <w:r>
        <w:rPr>
          <w:rFonts w:cs="Arial"/>
          <w:sz w:val="24"/>
          <w:szCs w:val="24"/>
          <w:lang w:val="es-CO"/>
        </w:rPr>
        <w:t xml:space="preserve"> que los convenios celebrados entre Corantioquia </w:t>
      </w:r>
      <w:r w:rsidR="00175CCD">
        <w:rPr>
          <w:rFonts w:cs="Arial"/>
          <w:sz w:val="24"/>
          <w:szCs w:val="24"/>
          <w:lang w:val="es-CO"/>
        </w:rPr>
        <w:t xml:space="preserve">y </w:t>
      </w:r>
      <w:r>
        <w:rPr>
          <w:rFonts w:cs="Arial"/>
          <w:sz w:val="24"/>
          <w:szCs w:val="24"/>
          <w:lang w:val="es-CO"/>
        </w:rPr>
        <w:t xml:space="preserve">los municipios se produjeron como resultado directo de la contratación celebrada entre </w:t>
      </w:r>
      <w:proofErr w:type="spellStart"/>
      <w:r>
        <w:rPr>
          <w:rFonts w:cs="Arial"/>
          <w:sz w:val="24"/>
          <w:szCs w:val="24"/>
          <w:lang w:val="es-CO"/>
        </w:rPr>
        <w:t>Rotoplast</w:t>
      </w:r>
      <w:proofErr w:type="spellEnd"/>
      <w:r>
        <w:rPr>
          <w:rFonts w:cs="Arial"/>
          <w:sz w:val="24"/>
          <w:szCs w:val="24"/>
          <w:lang w:val="es-CO"/>
        </w:rPr>
        <w:t xml:space="preserve"> S.A. y la entidad pública aquí demandada</w:t>
      </w:r>
      <w:r w:rsidR="00131A45">
        <w:rPr>
          <w:rFonts w:cs="Arial"/>
          <w:sz w:val="24"/>
          <w:szCs w:val="24"/>
          <w:lang w:val="es-CO"/>
        </w:rPr>
        <w:t xml:space="preserve"> y, por tanto, las entidades territoriales resultaron afectadas por el incumplimiento de la sociedad demandante, razón por la cual consideró que sí se cumplen los requisitos para que aquellas sean llamadas al proceso.</w:t>
      </w:r>
    </w:p>
    <w:p w14:paraId="4925C37F" w14:textId="77777777" w:rsidR="002075D8" w:rsidRDefault="002075D8" w:rsidP="001F0C16">
      <w:pPr>
        <w:pStyle w:val="Textoindependiente"/>
        <w:spacing w:line="360" w:lineRule="auto"/>
        <w:jc w:val="both"/>
        <w:rPr>
          <w:rFonts w:cs="Arial"/>
          <w:sz w:val="24"/>
          <w:szCs w:val="24"/>
          <w:lang w:val="es-CO"/>
        </w:rPr>
      </w:pPr>
    </w:p>
    <w:p w14:paraId="48C9AAE4" w14:textId="77777777" w:rsidR="00E960D5" w:rsidRDefault="00E960D5" w:rsidP="001F0C16">
      <w:pPr>
        <w:pStyle w:val="Textoindependiente"/>
        <w:spacing w:line="360" w:lineRule="auto"/>
        <w:jc w:val="both"/>
        <w:rPr>
          <w:rFonts w:cs="Arial"/>
          <w:sz w:val="24"/>
          <w:szCs w:val="24"/>
          <w:lang w:val="es-CO"/>
        </w:rPr>
      </w:pPr>
      <w:r>
        <w:rPr>
          <w:rFonts w:cs="Arial"/>
          <w:sz w:val="24"/>
          <w:szCs w:val="24"/>
          <w:lang w:val="es-CO"/>
        </w:rPr>
        <w:t xml:space="preserve">En lo atinente al agotamiento del requisito de procedibilidad, consistente en la conciliación prejudicial, afirmó que no se acreditó el cumplimiento del mismo y que la sola presentación de una solicitud de una medida cautelar no puede servir de justificación para pretermitir ese trámite, pues de ser así, cualquier persona acudiría a esta figura para desconocer el requisito previo, establecido en el artículo 161 </w:t>
      </w:r>
      <w:proofErr w:type="gramStart"/>
      <w:r>
        <w:rPr>
          <w:rFonts w:cs="Arial"/>
          <w:sz w:val="24"/>
          <w:szCs w:val="24"/>
          <w:lang w:val="es-CO"/>
        </w:rPr>
        <w:t>del  CPACA</w:t>
      </w:r>
      <w:proofErr w:type="gramEnd"/>
      <w:r>
        <w:rPr>
          <w:rFonts w:cs="Arial"/>
          <w:sz w:val="24"/>
          <w:szCs w:val="24"/>
          <w:lang w:val="es-CO"/>
        </w:rPr>
        <w:t>.</w:t>
      </w:r>
    </w:p>
    <w:p w14:paraId="7BADB8CD" w14:textId="77777777" w:rsidR="00E960D5" w:rsidRDefault="00E960D5" w:rsidP="001F0C16">
      <w:pPr>
        <w:pStyle w:val="Textoindependiente"/>
        <w:spacing w:line="360" w:lineRule="auto"/>
        <w:jc w:val="both"/>
        <w:rPr>
          <w:rFonts w:cs="Arial"/>
          <w:sz w:val="24"/>
          <w:szCs w:val="24"/>
          <w:lang w:val="es-CO"/>
        </w:rPr>
      </w:pPr>
    </w:p>
    <w:p w14:paraId="529797B8" w14:textId="77777777" w:rsidR="00131A45" w:rsidRDefault="00131A45" w:rsidP="001F0C16">
      <w:pPr>
        <w:pStyle w:val="Textoindependiente"/>
        <w:spacing w:line="360" w:lineRule="auto"/>
        <w:jc w:val="both"/>
        <w:rPr>
          <w:rFonts w:cs="Arial"/>
          <w:sz w:val="24"/>
          <w:szCs w:val="24"/>
          <w:lang w:val="es-CO"/>
        </w:rPr>
      </w:pPr>
      <w:r>
        <w:rPr>
          <w:rFonts w:cs="Arial"/>
          <w:sz w:val="24"/>
          <w:szCs w:val="24"/>
          <w:lang w:val="es-CO"/>
        </w:rPr>
        <w:t>Respecto de la desvinculación de la sociedad Sanear S.A., manifestó que los informes de interventoría que presentó esta sociedad fueron el soporte de los actos admini</w:t>
      </w:r>
      <w:r w:rsidR="00175CCD">
        <w:rPr>
          <w:rFonts w:cs="Arial"/>
          <w:sz w:val="24"/>
          <w:szCs w:val="24"/>
          <w:lang w:val="es-CO"/>
        </w:rPr>
        <w:t>strativos que declararon la caducidad de los contratos</w:t>
      </w:r>
      <w:r>
        <w:rPr>
          <w:rFonts w:cs="Arial"/>
          <w:sz w:val="24"/>
          <w:szCs w:val="24"/>
          <w:lang w:val="es-CO"/>
        </w:rPr>
        <w:t xml:space="preserve"> y que no es el</w:t>
      </w:r>
      <w:r w:rsidR="00E960D5">
        <w:rPr>
          <w:rFonts w:cs="Arial"/>
          <w:sz w:val="24"/>
          <w:szCs w:val="24"/>
          <w:lang w:val="es-CO"/>
        </w:rPr>
        <w:t xml:space="preserve"> </w:t>
      </w:r>
      <w:r>
        <w:rPr>
          <w:rFonts w:cs="Arial"/>
          <w:sz w:val="24"/>
          <w:szCs w:val="24"/>
          <w:lang w:val="es-CO"/>
        </w:rPr>
        <w:t>momento procesal pa</w:t>
      </w:r>
      <w:r w:rsidR="00175CCD">
        <w:rPr>
          <w:rFonts w:cs="Arial"/>
          <w:sz w:val="24"/>
          <w:szCs w:val="24"/>
          <w:lang w:val="es-CO"/>
        </w:rPr>
        <w:t>ra tomar ese tipo de decisiones, en relación con la responsabilidad del interventor</w:t>
      </w:r>
      <w:r w:rsidR="007B769D" w:rsidRPr="007B769D">
        <w:rPr>
          <w:rStyle w:val="Refdenotaalpie"/>
          <w:rFonts w:cs="Arial"/>
          <w:sz w:val="24"/>
          <w:szCs w:val="24"/>
          <w:lang w:val="es-CO"/>
        </w:rPr>
        <w:footnoteReference w:id="6"/>
      </w:r>
      <w:r w:rsidR="00B56BBD">
        <w:rPr>
          <w:rFonts w:cs="Arial"/>
          <w:sz w:val="24"/>
          <w:szCs w:val="24"/>
          <w:lang w:val="es-CO"/>
        </w:rPr>
        <w:t>.</w:t>
      </w:r>
    </w:p>
    <w:p w14:paraId="1CA44271" w14:textId="77777777" w:rsidR="00175CCD" w:rsidRDefault="00175CCD" w:rsidP="001F0C16">
      <w:pPr>
        <w:pStyle w:val="Textoindependiente"/>
        <w:spacing w:line="360" w:lineRule="auto"/>
        <w:jc w:val="both"/>
        <w:rPr>
          <w:rFonts w:cs="Arial"/>
          <w:sz w:val="24"/>
          <w:szCs w:val="24"/>
          <w:lang w:val="es-CO"/>
        </w:rPr>
      </w:pPr>
    </w:p>
    <w:p w14:paraId="64959F4C" w14:textId="77777777" w:rsidR="00B56BBD" w:rsidRPr="00B56BBD" w:rsidRDefault="00B56BBD" w:rsidP="001F0C16">
      <w:pPr>
        <w:pStyle w:val="Textoindependiente"/>
        <w:spacing w:line="360" w:lineRule="auto"/>
        <w:jc w:val="both"/>
        <w:rPr>
          <w:rFonts w:cs="Arial"/>
          <w:b/>
          <w:sz w:val="24"/>
          <w:szCs w:val="24"/>
          <w:lang w:val="es-CO"/>
        </w:rPr>
      </w:pPr>
      <w:r>
        <w:rPr>
          <w:rFonts w:cs="Arial"/>
          <w:b/>
          <w:sz w:val="24"/>
          <w:szCs w:val="24"/>
          <w:lang w:val="es-CO"/>
        </w:rPr>
        <w:t>4.2. Parte demandante</w:t>
      </w:r>
    </w:p>
    <w:p w14:paraId="5B0D13EE" w14:textId="77777777" w:rsidR="002075D8" w:rsidRDefault="002075D8" w:rsidP="001F0C16">
      <w:pPr>
        <w:pStyle w:val="Textoindependiente"/>
        <w:spacing w:line="360" w:lineRule="auto"/>
        <w:jc w:val="both"/>
        <w:rPr>
          <w:rFonts w:cs="Arial"/>
          <w:sz w:val="24"/>
          <w:szCs w:val="24"/>
          <w:lang w:val="es-CO"/>
        </w:rPr>
      </w:pPr>
    </w:p>
    <w:p w14:paraId="1FC26BD4" w14:textId="77777777" w:rsidR="007B769D" w:rsidRDefault="00303C9B" w:rsidP="001F0C16">
      <w:pPr>
        <w:pStyle w:val="Textoindependiente"/>
        <w:spacing w:line="360" w:lineRule="auto"/>
        <w:jc w:val="both"/>
        <w:rPr>
          <w:rFonts w:cs="Arial"/>
          <w:sz w:val="24"/>
          <w:szCs w:val="24"/>
          <w:lang w:val="es-CO"/>
        </w:rPr>
      </w:pPr>
      <w:r>
        <w:rPr>
          <w:rFonts w:cs="Arial"/>
          <w:sz w:val="24"/>
          <w:szCs w:val="24"/>
          <w:lang w:val="es-CO"/>
        </w:rPr>
        <w:t>L</w:t>
      </w:r>
      <w:r w:rsidR="00005616">
        <w:rPr>
          <w:rFonts w:cs="Arial"/>
          <w:sz w:val="24"/>
          <w:szCs w:val="24"/>
          <w:lang w:val="es-CO"/>
        </w:rPr>
        <w:t xml:space="preserve">a parte demandante interpuso recurso de apelación contra la decisión que declaró </w:t>
      </w:r>
      <w:r w:rsidR="0020505F">
        <w:rPr>
          <w:rFonts w:cs="Arial"/>
          <w:sz w:val="24"/>
          <w:szCs w:val="24"/>
          <w:lang w:val="es-CO"/>
        </w:rPr>
        <w:t xml:space="preserve">probada la excepción de falta de legitimación en la causa por pasiva respecto de la sociedad demandada </w:t>
      </w:r>
      <w:proofErr w:type="gramStart"/>
      <w:r w:rsidR="0020505F">
        <w:rPr>
          <w:rFonts w:cs="Arial"/>
          <w:sz w:val="24"/>
          <w:szCs w:val="24"/>
          <w:lang w:val="es-CO"/>
        </w:rPr>
        <w:t>Sanear  S.A</w:t>
      </w:r>
      <w:r w:rsidR="007B769D">
        <w:rPr>
          <w:rFonts w:cs="Arial"/>
          <w:sz w:val="24"/>
          <w:szCs w:val="24"/>
          <w:lang w:val="es-CO"/>
        </w:rPr>
        <w:t>.</w:t>
      </w:r>
      <w:proofErr w:type="gramEnd"/>
    </w:p>
    <w:p w14:paraId="00AF59BE" w14:textId="77777777" w:rsidR="007B769D" w:rsidRDefault="007B769D" w:rsidP="001F0C16">
      <w:pPr>
        <w:pStyle w:val="Textoindependiente"/>
        <w:spacing w:line="360" w:lineRule="auto"/>
        <w:jc w:val="both"/>
        <w:rPr>
          <w:rFonts w:cs="Arial"/>
          <w:sz w:val="24"/>
          <w:szCs w:val="24"/>
          <w:lang w:val="es-CO"/>
        </w:rPr>
      </w:pPr>
    </w:p>
    <w:p w14:paraId="62128A90" w14:textId="77777777" w:rsidR="0020505F" w:rsidRDefault="007B769D" w:rsidP="001F0C16">
      <w:pPr>
        <w:pStyle w:val="Textoindependiente"/>
        <w:spacing w:line="360" w:lineRule="auto"/>
        <w:jc w:val="both"/>
        <w:rPr>
          <w:rFonts w:cs="Arial"/>
          <w:sz w:val="24"/>
          <w:szCs w:val="24"/>
          <w:lang w:val="es-CO"/>
        </w:rPr>
      </w:pPr>
      <w:r>
        <w:rPr>
          <w:rFonts w:cs="Arial"/>
          <w:sz w:val="24"/>
          <w:szCs w:val="24"/>
          <w:lang w:val="es-CO"/>
        </w:rPr>
        <w:t xml:space="preserve">Como sustento del recurso, afirmó que la actuación de la sociedad interventora resultó determinante en la expedición de los actos administrativos que declararon la caducidad de los contratos que originaron la presente controversia, por lo que, en </w:t>
      </w:r>
      <w:r>
        <w:rPr>
          <w:rFonts w:cs="Arial"/>
          <w:sz w:val="24"/>
          <w:szCs w:val="24"/>
          <w:lang w:val="es-CO"/>
        </w:rPr>
        <w:lastRenderedPageBreak/>
        <w:t>su sentir, la decisión del Tribunal resultó apresurada al referirse a la legitimación material en la causa en un momento en el que no correspondía</w:t>
      </w:r>
      <w:r w:rsidRPr="007B769D">
        <w:rPr>
          <w:rStyle w:val="Refdenotaalpie"/>
          <w:rFonts w:cs="Arial"/>
          <w:sz w:val="24"/>
          <w:szCs w:val="24"/>
          <w:lang w:val="es-CO"/>
        </w:rPr>
        <w:footnoteReference w:id="7"/>
      </w:r>
      <w:r>
        <w:rPr>
          <w:rFonts w:cs="Arial"/>
          <w:sz w:val="24"/>
          <w:szCs w:val="24"/>
          <w:lang w:val="es-CO"/>
        </w:rPr>
        <w:t>.</w:t>
      </w:r>
    </w:p>
    <w:p w14:paraId="7C5AAD85" w14:textId="77777777" w:rsidR="00224B28" w:rsidRDefault="00224B28" w:rsidP="00EB7CCB">
      <w:pPr>
        <w:pStyle w:val="Textoindependiente"/>
        <w:spacing w:line="360" w:lineRule="auto"/>
        <w:jc w:val="both"/>
        <w:rPr>
          <w:rFonts w:cs="Arial"/>
          <w:sz w:val="24"/>
          <w:szCs w:val="24"/>
          <w:lang w:val="es-CO"/>
        </w:rPr>
      </w:pPr>
    </w:p>
    <w:p w14:paraId="3DBFD29C" w14:textId="77777777" w:rsidR="008F166D" w:rsidRDefault="0071317C" w:rsidP="00DC7874">
      <w:pPr>
        <w:pStyle w:val="Textoindependiente210"/>
        <w:suppressAutoHyphens/>
        <w:ind w:left="2124" w:right="-58"/>
        <w:rPr>
          <w:rFonts w:ascii="Arial" w:hAnsi="Arial" w:cs="Arial"/>
          <w:b/>
          <w:iCs/>
          <w:sz w:val="24"/>
          <w:szCs w:val="24"/>
          <w:lang w:val="es-CO"/>
        </w:rPr>
      </w:pPr>
      <w:r w:rsidRPr="00E55B34">
        <w:rPr>
          <w:rFonts w:ascii="Arial" w:hAnsi="Arial" w:cs="Arial"/>
          <w:b/>
          <w:iCs/>
          <w:sz w:val="24"/>
          <w:szCs w:val="24"/>
          <w:lang w:val="es-CO"/>
        </w:rPr>
        <w:t>II. C O N S I D E R A C I O N E S</w:t>
      </w:r>
    </w:p>
    <w:p w14:paraId="02FF77ED" w14:textId="77777777" w:rsidR="007B769D" w:rsidRDefault="00BE4AF1" w:rsidP="007B769D">
      <w:pPr>
        <w:spacing w:line="360" w:lineRule="auto"/>
        <w:jc w:val="both"/>
        <w:rPr>
          <w:rFonts w:ascii="Arial" w:hAnsi="Arial" w:cs="Arial"/>
          <w:lang w:val="es-MX"/>
        </w:rPr>
      </w:pPr>
      <w:r>
        <w:rPr>
          <w:rFonts w:ascii="Arial" w:hAnsi="Arial" w:cs="Arial"/>
          <w:lang w:val="es-MX"/>
        </w:rPr>
        <w:t>Dada la</w:t>
      </w:r>
      <w:r w:rsidR="007B769D">
        <w:rPr>
          <w:rFonts w:ascii="Arial" w:hAnsi="Arial" w:cs="Arial"/>
          <w:lang w:val="es-MX"/>
        </w:rPr>
        <w:t xml:space="preserve"> naturaleza de las decisiones proferidas por el Tribunal Administrativo de Antioquia en la audiencia inicial llevada a cabo el 17 de agosto de 2016, el Despacho considera necesario realizar algunas precisiones, en punto de la procedencia del recurso de apelación y </w:t>
      </w:r>
      <w:r w:rsidR="00793340">
        <w:rPr>
          <w:rFonts w:ascii="Arial" w:hAnsi="Arial" w:cs="Arial"/>
          <w:lang w:val="es-MX"/>
        </w:rPr>
        <w:t xml:space="preserve">de </w:t>
      </w:r>
      <w:r w:rsidR="007B769D">
        <w:rPr>
          <w:rFonts w:ascii="Arial" w:hAnsi="Arial" w:cs="Arial"/>
          <w:lang w:val="es-MX"/>
        </w:rPr>
        <w:t xml:space="preserve">la competencia para adoptar la presente decisión; una vez </w:t>
      </w:r>
      <w:r>
        <w:rPr>
          <w:rFonts w:ascii="Arial" w:hAnsi="Arial" w:cs="Arial"/>
          <w:lang w:val="es-MX"/>
        </w:rPr>
        <w:t xml:space="preserve">aclarada </w:t>
      </w:r>
      <w:r w:rsidR="007B769D">
        <w:rPr>
          <w:rFonts w:ascii="Arial" w:hAnsi="Arial" w:cs="Arial"/>
          <w:lang w:val="es-MX"/>
        </w:rPr>
        <w:t xml:space="preserve">la situación, se </w:t>
      </w:r>
      <w:r>
        <w:rPr>
          <w:rFonts w:ascii="Arial" w:hAnsi="Arial" w:cs="Arial"/>
          <w:lang w:val="es-MX"/>
        </w:rPr>
        <w:t xml:space="preserve">decidirá </w:t>
      </w:r>
      <w:r w:rsidR="007B769D">
        <w:rPr>
          <w:rFonts w:ascii="Arial" w:hAnsi="Arial" w:cs="Arial"/>
          <w:lang w:val="es-MX"/>
        </w:rPr>
        <w:t>lo pertinente.</w:t>
      </w:r>
    </w:p>
    <w:p w14:paraId="1DA87CFE" w14:textId="77777777" w:rsidR="007B769D" w:rsidRDefault="007B769D" w:rsidP="007B769D">
      <w:pPr>
        <w:spacing w:line="360" w:lineRule="auto"/>
        <w:jc w:val="both"/>
        <w:rPr>
          <w:rFonts w:ascii="Arial" w:hAnsi="Arial" w:cs="Arial"/>
          <w:lang w:val="es-MX"/>
        </w:rPr>
      </w:pPr>
    </w:p>
    <w:p w14:paraId="63CFD119" w14:textId="77777777" w:rsidR="00BE4AF1" w:rsidRPr="00BE4AF1" w:rsidRDefault="00BE4AF1" w:rsidP="00BE4AF1">
      <w:pPr>
        <w:jc w:val="both"/>
        <w:rPr>
          <w:rFonts w:ascii="Arial" w:hAnsi="Arial" w:cs="Arial"/>
          <w:b/>
          <w:lang w:val="es-MX"/>
        </w:rPr>
      </w:pPr>
      <w:r>
        <w:rPr>
          <w:rFonts w:ascii="Arial" w:hAnsi="Arial" w:cs="Arial"/>
          <w:b/>
          <w:lang w:val="es-MX"/>
        </w:rPr>
        <w:t>1. Procedencia del recurso de apelación y competencia del Despacho para decidir</w:t>
      </w:r>
    </w:p>
    <w:p w14:paraId="36959F19" w14:textId="77777777" w:rsidR="00BE4AF1" w:rsidRPr="00BE4AF1" w:rsidRDefault="00BE4AF1" w:rsidP="007B769D">
      <w:pPr>
        <w:spacing w:line="360" w:lineRule="auto"/>
        <w:jc w:val="both"/>
        <w:rPr>
          <w:rFonts w:ascii="Arial" w:hAnsi="Arial" w:cs="Arial"/>
          <w:b/>
          <w:lang w:val="es-MX"/>
        </w:rPr>
      </w:pPr>
    </w:p>
    <w:p w14:paraId="250554F4" w14:textId="77777777" w:rsidR="007B769D" w:rsidRDefault="00BE4AF1" w:rsidP="007B769D">
      <w:pPr>
        <w:spacing w:line="360" w:lineRule="auto"/>
        <w:jc w:val="both"/>
        <w:rPr>
          <w:rFonts w:ascii="Arial" w:hAnsi="Arial" w:cs="Arial"/>
          <w:lang w:val="es-MX"/>
        </w:rPr>
      </w:pPr>
      <w:r>
        <w:rPr>
          <w:rFonts w:ascii="Arial" w:hAnsi="Arial" w:cs="Arial"/>
          <w:lang w:val="es-MX"/>
        </w:rPr>
        <w:t xml:space="preserve">Toda vez que se advirtió la imprecisión en la forma en que se concedieron los recursos interpuestos en la audiencia inicial, es necesario estudiar </w:t>
      </w:r>
      <w:r w:rsidR="007B769D">
        <w:rPr>
          <w:rFonts w:ascii="Arial" w:hAnsi="Arial" w:cs="Arial"/>
          <w:lang w:val="es-MX"/>
        </w:rPr>
        <w:t>de manera separada la procedencia o no del recurso de apelación contra: i) el auto que declaró no probada la excepción de</w:t>
      </w:r>
      <w:r w:rsidR="00102114">
        <w:rPr>
          <w:rFonts w:ascii="Arial" w:hAnsi="Arial" w:cs="Arial"/>
          <w:lang w:val="es-MX"/>
        </w:rPr>
        <w:t>nominada “</w:t>
      </w:r>
      <w:r w:rsidR="007B769D" w:rsidRPr="00102114">
        <w:rPr>
          <w:rFonts w:ascii="Arial" w:hAnsi="Arial" w:cs="Arial"/>
          <w:i/>
          <w:lang w:val="es-MX"/>
        </w:rPr>
        <w:t>falta de agotamiento del requisito de procedibilidad</w:t>
      </w:r>
      <w:r w:rsidR="00102114">
        <w:rPr>
          <w:rFonts w:ascii="Arial" w:hAnsi="Arial" w:cs="Arial"/>
          <w:lang w:val="es-MX"/>
        </w:rPr>
        <w:t>”</w:t>
      </w:r>
      <w:r w:rsidR="007B769D">
        <w:rPr>
          <w:rFonts w:ascii="Arial" w:hAnsi="Arial" w:cs="Arial"/>
          <w:lang w:val="es-MX"/>
        </w:rPr>
        <w:t xml:space="preserve">; </w:t>
      </w:r>
      <w:proofErr w:type="spellStart"/>
      <w:r w:rsidR="007B769D">
        <w:rPr>
          <w:rFonts w:ascii="Arial" w:hAnsi="Arial" w:cs="Arial"/>
          <w:lang w:val="es-MX"/>
        </w:rPr>
        <w:t>ii</w:t>
      </w:r>
      <w:proofErr w:type="spellEnd"/>
      <w:r w:rsidR="007B769D">
        <w:rPr>
          <w:rFonts w:ascii="Arial" w:hAnsi="Arial" w:cs="Arial"/>
          <w:lang w:val="es-MX"/>
        </w:rPr>
        <w:t>) el auto que decid</w:t>
      </w:r>
      <w:r w:rsidR="00793340">
        <w:rPr>
          <w:rFonts w:ascii="Arial" w:hAnsi="Arial" w:cs="Arial"/>
          <w:lang w:val="es-MX"/>
        </w:rPr>
        <w:t>ió</w:t>
      </w:r>
      <w:r w:rsidR="007B769D">
        <w:rPr>
          <w:rFonts w:ascii="Arial" w:hAnsi="Arial" w:cs="Arial"/>
          <w:lang w:val="es-MX"/>
        </w:rPr>
        <w:t xml:space="preserve"> respecto de la intervención de </w:t>
      </w:r>
      <w:r w:rsidR="00793340">
        <w:rPr>
          <w:rFonts w:ascii="Arial" w:hAnsi="Arial" w:cs="Arial"/>
          <w:lang w:val="es-MX"/>
        </w:rPr>
        <w:t xml:space="preserve">terceros y </w:t>
      </w:r>
      <w:proofErr w:type="spellStart"/>
      <w:r w:rsidR="00793340">
        <w:rPr>
          <w:rFonts w:ascii="Arial" w:hAnsi="Arial" w:cs="Arial"/>
          <w:lang w:val="es-MX"/>
        </w:rPr>
        <w:t>iii</w:t>
      </w:r>
      <w:proofErr w:type="spellEnd"/>
      <w:r w:rsidR="00793340">
        <w:rPr>
          <w:rFonts w:ascii="Arial" w:hAnsi="Arial" w:cs="Arial"/>
          <w:lang w:val="es-MX"/>
        </w:rPr>
        <w:t>) el auto que resolvió</w:t>
      </w:r>
      <w:r w:rsidR="007B769D">
        <w:rPr>
          <w:rFonts w:ascii="Arial" w:hAnsi="Arial" w:cs="Arial"/>
          <w:lang w:val="es-MX"/>
        </w:rPr>
        <w:t xml:space="preserve"> las excepciones previas.</w:t>
      </w:r>
    </w:p>
    <w:p w14:paraId="5898EA6F" w14:textId="77777777" w:rsidR="00205E65" w:rsidRDefault="00205E65" w:rsidP="007B769D">
      <w:pPr>
        <w:jc w:val="both"/>
        <w:rPr>
          <w:rFonts w:ascii="Arial" w:hAnsi="Arial" w:cs="Arial"/>
          <w:lang w:val="es-MX"/>
        </w:rPr>
      </w:pPr>
    </w:p>
    <w:p w14:paraId="7D667D56" w14:textId="77777777" w:rsidR="00C30EDD" w:rsidRDefault="00C30EDD" w:rsidP="007B769D">
      <w:pPr>
        <w:jc w:val="both"/>
        <w:rPr>
          <w:rFonts w:ascii="Arial" w:hAnsi="Arial" w:cs="Arial"/>
          <w:lang w:val="es-MX"/>
        </w:rPr>
      </w:pPr>
    </w:p>
    <w:p w14:paraId="5FE3445A" w14:textId="77777777" w:rsidR="007B769D" w:rsidRDefault="007B769D" w:rsidP="007B769D">
      <w:pPr>
        <w:jc w:val="both"/>
        <w:rPr>
          <w:rFonts w:ascii="Arial" w:hAnsi="Arial" w:cs="Arial"/>
          <w:b/>
          <w:lang w:val="es-MX"/>
        </w:rPr>
      </w:pPr>
      <w:r>
        <w:rPr>
          <w:rFonts w:ascii="Arial" w:hAnsi="Arial" w:cs="Arial"/>
          <w:b/>
          <w:lang w:val="es-MX"/>
        </w:rPr>
        <w:t>1.</w:t>
      </w:r>
      <w:r w:rsidR="00205E65">
        <w:rPr>
          <w:rFonts w:ascii="Arial" w:hAnsi="Arial" w:cs="Arial"/>
          <w:b/>
          <w:lang w:val="es-MX"/>
        </w:rPr>
        <w:t xml:space="preserve">1. En cuanto al auto que </w:t>
      </w:r>
      <w:r>
        <w:rPr>
          <w:rFonts w:ascii="Arial" w:hAnsi="Arial" w:cs="Arial"/>
          <w:b/>
          <w:lang w:val="es-MX"/>
        </w:rPr>
        <w:t>declaró no probada la excepción de</w:t>
      </w:r>
      <w:r w:rsidR="00102114">
        <w:rPr>
          <w:rFonts w:ascii="Arial" w:hAnsi="Arial" w:cs="Arial"/>
          <w:b/>
          <w:lang w:val="es-MX"/>
        </w:rPr>
        <w:t>nominada “</w:t>
      </w:r>
      <w:r w:rsidRPr="00205E65">
        <w:rPr>
          <w:rFonts w:ascii="Arial" w:hAnsi="Arial" w:cs="Arial"/>
          <w:b/>
          <w:i/>
          <w:lang w:val="es-MX"/>
        </w:rPr>
        <w:t>falta de agotamiento del requisito de procedibilidad</w:t>
      </w:r>
      <w:r w:rsidR="00102114">
        <w:rPr>
          <w:rFonts w:ascii="Arial" w:hAnsi="Arial" w:cs="Arial"/>
          <w:b/>
          <w:lang w:val="es-MX"/>
        </w:rPr>
        <w:t>”</w:t>
      </w:r>
      <w:r>
        <w:rPr>
          <w:rFonts w:ascii="Arial" w:hAnsi="Arial" w:cs="Arial"/>
          <w:b/>
          <w:lang w:val="es-MX"/>
        </w:rPr>
        <w:t xml:space="preserve"> </w:t>
      </w:r>
    </w:p>
    <w:p w14:paraId="2CC21121" w14:textId="77777777" w:rsidR="007B769D" w:rsidRDefault="007B769D" w:rsidP="007B769D">
      <w:pPr>
        <w:jc w:val="both"/>
        <w:rPr>
          <w:rFonts w:ascii="Arial" w:hAnsi="Arial" w:cs="Arial"/>
          <w:b/>
          <w:lang w:val="es-MX"/>
        </w:rPr>
      </w:pPr>
    </w:p>
    <w:p w14:paraId="2C17F010" w14:textId="77777777" w:rsidR="00102114" w:rsidRDefault="00102114" w:rsidP="00102114">
      <w:pPr>
        <w:spacing w:line="360" w:lineRule="auto"/>
        <w:jc w:val="both"/>
        <w:rPr>
          <w:rFonts w:ascii="Arial" w:hAnsi="Arial" w:cs="Arial"/>
          <w:lang w:val="es-MX"/>
        </w:rPr>
      </w:pPr>
      <w:r>
        <w:rPr>
          <w:rFonts w:ascii="Arial" w:hAnsi="Arial" w:cs="Arial"/>
          <w:lang w:val="es-MX"/>
        </w:rPr>
        <w:t>Corantioquia formuló como excepci</w:t>
      </w:r>
      <w:r w:rsidR="00C30EDD">
        <w:rPr>
          <w:rFonts w:ascii="Arial" w:hAnsi="Arial" w:cs="Arial"/>
          <w:lang w:val="es-MX"/>
        </w:rPr>
        <w:t>ón</w:t>
      </w:r>
      <w:r>
        <w:rPr>
          <w:rFonts w:ascii="Arial" w:hAnsi="Arial" w:cs="Arial"/>
          <w:lang w:val="es-MX"/>
        </w:rPr>
        <w:t xml:space="preserve"> la falta de agotamiento del requisito de procedibilidad, consistente </w:t>
      </w:r>
      <w:r w:rsidR="00793340">
        <w:rPr>
          <w:rFonts w:ascii="Arial" w:hAnsi="Arial" w:cs="Arial"/>
          <w:lang w:val="es-MX"/>
        </w:rPr>
        <w:t xml:space="preserve">en la conciliación prejudicial </w:t>
      </w:r>
      <w:r>
        <w:rPr>
          <w:rFonts w:ascii="Arial" w:hAnsi="Arial" w:cs="Arial"/>
          <w:lang w:val="es-MX"/>
        </w:rPr>
        <w:t xml:space="preserve">establecida en el artículo 161 </w:t>
      </w:r>
      <w:proofErr w:type="gramStart"/>
      <w:r>
        <w:rPr>
          <w:rFonts w:ascii="Arial" w:hAnsi="Arial" w:cs="Arial"/>
          <w:lang w:val="es-MX"/>
        </w:rPr>
        <w:t>del  CPACA</w:t>
      </w:r>
      <w:proofErr w:type="gramEnd"/>
      <w:r>
        <w:rPr>
          <w:rFonts w:ascii="Arial" w:hAnsi="Arial" w:cs="Arial"/>
          <w:lang w:val="es-MX"/>
        </w:rPr>
        <w:t>; sin embargo, al margen de la decisión adoptada en la audiencia inicial, es necesario precisar que la situación referida por la mencionada entidad demandada no constituye una excepción previa y esa circunstancia tiene incidencia en la procedencia del recurso interpuesto.</w:t>
      </w:r>
    </w:p>
    <w:p w14:paraId="2D615DD2" w14:textId="77777777" w:rsidR="00102114" w:rsidRDefault="00102114" w:rsidP="00102114">
      <w:pPr>
        <w:spacing w:line="360" w:lineRule="auto"/>
        <w:jc w:val="both"/>
        <w:rPr>
          <w:rFonts w:ascii="Arial" w:hAnsi="Arial" w:cs="Arial"/>
          <w:lang w:val="es-MX"/>
        </w:rPr>
      </w:pPr>
    </w:p>
    <w:p w14:paraId="0B590A1F" w14:textId="77777777" w:rsidR="00102114" w:rsidRDefault="00102114" w:rsidP="00102114">
      <w:pPr>
        <w:spacing w:line="360" w:lineRule="auto"/>
        <w:jc w:val="both"/>
        <w:rPr>
          <w:rFonts w:ascii="Arial" w:hAnsi="Arial" w:cs="Arial"/>
          <w:lang w:val="es-MX"/>
        </w:rPr>
      </w:pPr>
      <w:r>
        <w:rPr>
          <w:rFonts w:ascii="Arial" w:hAnsi="Arial" w:cs="Arial"/>
          <w:lang w:val="es-MX"/>
        </w:rPr>
        <w:t xml:space="preserve">En efecto, el numeral 6 del artículo 180 del CPACA </w:t>
      </w:r>
      <w:r w:rsidR="00C30EDD">
        <w:rPr>
          <w:rFonts w:ascii="Arial" w:hAnsi="Arial" w:cs="Arial"/>
          <w:lang w:val="es-MX"/>
        </w:rPr>
        <w:t xml:space="preserve">dispone </w:t>
      </w:r>
      <w:r>
        <w:rPr>
          <w:rFonts w:ascii="Arial" w:hAnsi="Arial" w:cs="Arial"/>
          <w:lang w:val="es-MX"/>
        </w:rPr>
        <w:t xml:space="preserve">que el Juez o el Magistrado Ponente </w:t>
      </w:r>
      <w:r w:rsidR="00793340">
        <w:rPr>
          <w:rFonts w:ascii="Arial" w:hAnsi="Arial" w:cs="Arial"/>
          <w:lang w:val="es-MX"/>
        </w:rPr>
        <w:t>debe</w:t>
      </w:r>
      <w:r>
        <w:rPr>
          <w:rFonts w:ascii="Arial" w:hAnsi="Arial" w:cs="Arial"/>
          <w:lang w:val="es-MX"/>
        </w:rPr>
        <w:t xml:space="preserve"> decidir en esa etapa de la audiencia inicial “</w:t>
      </w:r>
      <w:r>
        <w:rPr>
          <w:rFonts w:ascii="Arial" w:hAnsi="Arial" w:cs="Arial"/>
          <w:i/>
          <w:lang w:val="es-MX"/>
        </w:rPr>
        <w:t>sobre las excepciones previas y las de cosa juzgada, caducidad, transacción, conciliación, falta de legitimación en la causa y prescripción extintiva”</w:t>
      </w:r>
      <w:r>
        <w:rPr>
          <w:rFonts w:ascii="Arial" w:hAnsi="Arial" w:cs="Arial"/>
          <w:lang w:val="es-MX"/>
        </w:rPr>
        <w:t>; de igual manera, la mencionada disposición normativa prevé que el auto que decide sobre las excepciones es susceptible del recurso de apelación o de súplica, según el caso.</w:t>
      </w:r>
    </w:p>
    <w:p w14:paraId="71E61004" w14:textId="77777777" w:rsidR="00102114" w:rsidRDefault="00102114" w:rsidP="00102114">
      <w:pPr>
        <w:spacing w:line="360" w:lineRule="auto"/>
        <w:jc w:val="both"/>
        <w:rPr>
          <w:rFonts w:ascii="Arial" w:hAnsi="Arial" w:cs="Arial"/>
          <w:lang w:val="es-MX"/>
        </w:rPr>
      </w:pPr>
    </w:p>
    <w:p w14:paraId="2201519B" w14:textId="77777777" w:rsidR="00102114" w:rsidRDefault="00102114" w:rsidP="00102114">
      <w:pPr>
        <w:spacing w:line="360" w:lineRule="auto"/>
        <w:jc w:val="both"/>
        <w:rPr>
          <w:rFonts w:ascii="Arial" w:hAnsi="Arial" w:cs="Arial"/>
          <w:lang w:val="es-MX"/>
        </w:rPr>
      </w:pPr>
      <w:r>
        <w:rPr>
          <w:rFonts w:ascii="Arial" w:hAnsi="Arial" w:cs="Arial"/>
          <w:lang w:val="es-MX"/>
        </w:rPr>
        <w:t xml:space="preserve">Es importante destacar que entre las excepciones previas </w:t>
      </w:r>
      <w:r w:rsidR="00793340">
        <w:rPr>
          <w:rFonts w:ascii="Arial" w:hAnsi="Arial" w:cs="Arial"/>
          <w:lang w:val="es-MX"/>
        </w:rPr>
        <w:t>establecidas</w:t>
      </w:r>
      <w:r>
        <w:rPr>
          <w:rFonts w:ascii="Arial" w:hAnsi="Arial" w:cs="Arial"/>
          <w:lang w:val="es-MX"/>
        </w:rPr>
        <w:t xml:space="preserve"> en el artículo 100 del CGP</w:t>
      </w:r>
      <w:r>
        <w:rPr>
          <w:rStyle w:val="Refdenotaalpie"/>
          <w:rFonts w:ascii="Arial" w:hAnsi="Arial" w:cs="Arial"/>
          <w:lang w:val="es-MX"/>
        </w:rPr>
        <w:footnoteReference w:id="8"/>
      </w:r>
      <w:r w:rsidR="00C30EDD">
        <w:rPr>
          <w:rFonts w:ascii="Arial" w:hAnsi="Arial" w:cs="Arial"/>
          <w:lang w:val="es-MX"/>
        </w:rPr>
        <w:t xml:space="preserve"> no está contemplada la enunciada por la entidad púb</w:t>
      </w:r>
      <w:r w:rsidR="0028379C">
        <w:rPr>
          <w:rFonts w:ascii="Arial" w:hAnsi="Arial" w:cs="Arial"/>
          <w:lang w:val="es-MX"/>
        </w:rPr>
        <w:t>lica demandada, razón por la cual no debió dársele esa connotación y, por ende, no debió concederse el recurso de apelación contra la decisión adoptada sobre el particular.</w:t>
      </w:r>
    </w:p>
    <w:p w14:paraId="27A46D5E" w14:textId="77777777" w:rsidR="00D11060" w:rsidRDefault="00D11060" w:rsidP="00102114">
      <w:pPr>
        <w:spacing w:line="360" w:lineRule="auto"/>
        <w:jc w:val="both"/>
        <w:rPr>
          <w:rFonts w:ascii="Arial" w:hAnsi="Arial" w:cs="Arial"/>
          <w:lang w:val="es-MX"/>
        </w:rPr>
      </w:pPr>
    </w:p>
    <w:p w14:paraId="6A04829E" w14:textId="77777777" w:rsidR="0028379C" w:rsidRDefault="0028379C" w:rsidP="00102114">
      <w:pPr>
        <w:spacing w:line="360" w:lineRule="auto"/>
        <w:jc w:val="both"/>
        <w:rPr>
          <w:rFonts w:ascii="Arial" w:hAnsi="Arial" w:cs="Arial"/>
          <w:lang w:val="es-MX"/>
        </w:rPr>
      </w:pPr>
      <w:r>
        <w:rPr>
          <w:rFonts w:ascii="Arial" w:hAnsi="Arial" w:cs="Arial"/>
          <w:lang w:val="es-MX"/>
        </w:rPr>
        <w:t>Dicho de otra manera, como la “</w:t>
      </w:r>
      <w:r w:rsidRPr="00205E65">
        <w:rPr>
          <w:rFonts w:ascii="Arial" w:hAnsi="Arial" w:cs="Arial"/>
          <w:i/>
          <w:lang w:val="es-MX"/>
        </w:rPr>
        <w:t>falta de agotamiento del requisito de procedibilidad</w:t>
      </w:r>
      <w:r>
        <w:rPr>
          <w:rFonts w:ascii="Arial" w:hAnsi="Arial" w:cs="Arial"/>
          <w:lang w:val="es-MX"/>
        </w:rPr>
        <w:t xml:space="preserve">” no constituye una excepción, en la medida en que no está prevista en el CPACA ni en el CGP, </w:t>
      </w:r>
      <w:r w:rsidR="00205E65">
        <w:rPr>
          <w:rFonts w:ascii="Arial" w:hAnsi="Arial" w:cs="Arial"/>
          <w:lang w:val="es-MX"/>
        </w:rPr>
        <w:t xml:space="preserve">el auto que la resuelve </w:t>
      </w:r>
      <w:r>
        <w:rPr>
          <w:rFonts w:ascii="Arial" w:hAnsi="Arial" w:cs="Arial"/>
          <w:lang w:val="es-MX"/>
        </w:rPr>
        <w:t>no es susceptible del recurso de apelación</w:t>
      </w:r>
      <w:r w:rsidR="00205E65">
        <w:rPr>
          <w:rFonts w:ascii="Arial" w:hAnsi="Arial" w:cs="Arial"/>
          <w:lang w:val="es-MX"/>
        </w:rPr>
        <w:t>,</w:t>
      </w:r>
      <w:r>
        <w:rPr>
          <w:rFonts w:ascii="Arial" w:hAnsi="Arial" w:cs="Arial"/>
          <w:lang w:val="es-MX"/>
        </w:rPr>
        <w:t xml:space="preserve"> por las siguientes razones:</w:t>
      </w:r>
    </w:p>
    <w:p w14:paraId="4A13CE93" w14:textId="77777777" w:rsidR="0028379C" w:rsidRDefault="0028379C" w:rsidP="00102114">
      <w:pPr>
        <w:spacing w:line="360" w:lineRule="auto"/>
        <w:jc w:val="both"/>
        <w:rPr>
          <w:rFonts w:ascii="Arial" w:hAnsi="Arial" w:cs="Arial"/>
          <w:lang w:val="es-MX"/>
        </w:rPr>
      </w:pPr>
    </w:p>
    <w:p w14:paraId="74E8BBCF" w14:textId="77777777" w:rsidR="0028379C" w:rsidRDefault="0028379C" w:rsidP="00533CB1">
      <w:pPr>
        <w:spacing w:line="360" w:lineRule="auto"/>
        <w:ind w:firstLine="708"/>
        <w:jc w:val="both"/>
        <w:rPr>
          <w:rFonts w:ascii="Arial" w:hAnsi="Arial" w:cs="Arial"/>
          <w:lang w:val="es-MX"/>
        </w:rPr>
      </w:pPr>
      <w:r>
        <w:rPr>
          <w:rFonts w:ascii="Arial" w:hAnsi="Arial" w:cs="Arial"/>
          <w:lang w:val="es-MX"/>
        </w:rPr>
        <w:t>i) Por no tratarse de una excepción, no le resulta aplicable la disposición contenida en el inciso final del numeral 6 del artículo</w:t>
      </w:r>
      <w:r w:rsidR="00533CB1">
        <w:rPr>
          <w:rFonts w:ascii="Arial" w:hAnsi="Arial" w:cs="Arial"/>
          <w:lang w:val="es-MX"/>
        </w:rPr>
        <w:t xml:space="preserve"> 180 del CPACA</w:t>
      </w:r>
      <w:r w:rsidR="00205E65">
        <w:rPr>
          <w:rStyle w:val="Refdenotaalpie"/>
          <w:rFonts w:ascii="Arial" w:hAnsi="Arial" w:cs="Arial"/>
          <w:lang w:val="es-MX"/>
        </w:rPr>
        <w:footnoteReference w:id="9"/>
      </w:r>
      <w:r w:rsidR="00533CB1">
        <w:rPr>
          <w:rFonts w:ascii="Arial" w:hAnsi="Arial" w:cs="Arial"/>
          <w:lang w:val="es-MX"/>
        </w:rPr>
        <w:t>.</w:t>
      </w:r>
    </w:p>
    <w:p w14:paraId="1F79EF4F" w14:textId="77777777" w:rsidR="00533CB1" w:rsidRDefault="00533CB1" w:rsidP="00533CB1">
      <w:pPr>
        <w:spacing w:line="360" w:lineRule="auto"/>
        <w:ind w:firstLine="708"/>
        <w:jc w:val="both"/>
        <w:rPr>
          <w:rFonts w:ascii="Arial" w:hAnsi="Arial" w:cs="Arial"/>
          <w:lang w:val="es-MX"/>
        </w:rPr>
      </w:pPr>
    </w:p>
    <w:p w14:paraId="23DE6DF6" w14:textId="77777777" w:rsidR="00533CB1" w:rsidRPr="00102114" w:rsidRDefault="00533CB1" w:rsidP="00533CB1">
      <w:pPr>
        <w:spacing w:line="360" w:lineRule="auto"/>
        <w:ind w:firstLine="708"/>
        <w:jc w:val="both"/>
        <w:rPr>
          <w:rFonts w:ascii="Arial" w:hAnsi="Arial" w:cs="Arial"/>
          <w:lang w:val="es-MX"/>
        </w:rPr>
      </w:pPr>
      <w:proofErr w:type="spellStart"/>
      <w:r>
        <w:rPr>
          <w:rFonts w:ascii="Arial" w:hAnsi="Arial" w:cs="Arial"/>
          <w:lang w:val="es-MX"/>
        </w:rPr>
        <w:t>ii</w:t>
      </w:r>
      <w:proofErr w:type="spellEnd"/>
      <w:r>
        <w:rPr>
          <w:rFonts w:ascii="Arial" w:hAnsi="Arial" w:cs="Arial"/>
          <w:lang w:val="es-MX"/>
        </w:rPr>
        <w:t xml:space="preserve">) El artículo 243 del CPACA no contempla ese tipo de decisiones como aquellas pasibles del recurso de apelación ni existe norma especial en este cuerpo normativo que establezca la procedencia de este medio de impugnación contra </w:t>
      </w:r>
      <w:r w:rsidR="00205E65">
        <w:rPr>
          <w:rFonts w:ascii="Arial" w:hAnsi="Arial" w:cs="Arial"/>
          <w:lang w:val="es-MX"/>
        </w:rPr>
        <w:t xml:space="preserve">decisiones </w:t>
      </w:r>
      <w:r w:rsidR="00AA140E">
        <w:rPr>
          <w:rFonts w:ascii="Arial" w:hAnsi="Arial" w:cs="Arial"/>
          <w:lang w:val="es-MX"/>
        </w:rPr>
        <w:t>como la que se acaba de señalar</w:t>
      </w:r>
      <w:r>
        <w:rPr>
          <w:rFonts w:ascii="Arial" w:hAnsi="Arial" w:cs="Arial"/>
          <w:lang w:val="es-MX"/>
        </w:rPr>
        <w:t>.</w:t>
      </w:r>
    </w:p>
    <w:p w14:paraId="272D3C0D" w14:textId="77777777" w:rsidR="007B769D" w:rsidRPr="007B769D" w:rsidRDefault="007B769D" w:rsidP="007B769D">
      <w:pPr>
        <w:jc w:val="both"/>
        <w:rPr>
          <w:rFonts w:ascii="Arial" w:hAnsi="Arial" w:cs="Arial"/>
          <w:b/>
          <w:lang w:val="es-MX"/>
        </w:rPr>
      </w:pPr>
    </w:p>
    <w:p w14:paraId="0D6595B8" w14:textId="77777777" w:rsidR="00533CB1" w:rsidRPr="002D7172" w:rsidRDefault="00533CB1" w:rsidP="00533CB1">
      <w:pPr>
        <w:pStyle w:val="NormalWeb"/>
        <w:spacing w:before="0" w:beforeAutospacing="0" w:after="0" w:afterAutospacing="0" w:line="360" w:lineRule="auto"/>
        <w:jc w:val="both"/>
        <w:rPr>
          <w:rFonts w:ascii="Arial" w:hAnsi="Arial" w:cs="Arial"/>
        </w:rPr>
      </w:pPr>
      <w:r w:rsidRPr="00BC4CA0">
        <w:rPr>
          <w:rFonts w:ascii="Arial" w:hAnsi="Arial" w:cs="Arial"/>
          <w:iCs/>
        </w:rPr>
        <w:t xml:space="preserve">Por lo anterior, </w:t>
      </w:r>
      <w:r w:rsidRPr="00BC4CA0">
        <w:rPr>
          <w:rFonts w:ascii="Arial" w:hAnsi="Arial" w:cs="Arial"/>
          <w:lang w:val="es-MX"/>
        </w:rPr>
        <w:t>el Despacho rechazará la alzada por improcedente</w:t>
      </w:r>
      <w:r>
        <w:rPr>
          <w:rFonts w:ascii="Arial" w:hAnsi="Arial" w:cs="Arial"/>
          <w:lang w:val="es-MX"/>
        </w:rPr>
        <w:t xml:space="preserve"> frente a este preciso tema</w:t>
      </w:r>
      <w:r w:rsidRPr="00BC4CA0">
        <w:rPr>
          <w:rFonts w:ascii="Arial" w:hAnsi="Arial" w:cs="Arial"/>
          <w:lang w:val="es-MX"/>
        </w:rPr>
        <w:t xml:space="preserve">; no obstante, </w:t>
      </w:r>
      <w:r w:rsidRPr="00BC4CA0">
        <w:rPr>
          <w:rFonts w:ascii="Arial" w:eastAsia="Calibri" w:hAnsi="Arial" w:cs="Arial"/>
          <w:lang w:eastAsia="en-US"/>
        </w:rPr>
        <w:t xml:space="preserve">para garantizar la primacía del derecho sustancial sobre lo formal, se ordenará al Tribunal que adecúe el trámite del recurso formulado al de </w:t>
      </w:r>
      <w:r w:rsidRPr="00BC4CA0">
        <w:rPr>
          <w:rFonts w:ascii="Arial" w:eastAsia="Calibri" w:hAnsi="Arial" w:cs="Arial"/>
          <w:lang w:eastAsia="en-US"/>
        </w:rPr>
        <w:lastRenderedPageBreak/>
        <w:t>reposición y decida lo pertinente, para lo cual deberá tener en cuenta las consideraciones que anteceden respecto de la situación acaecida</w:t>
      </w:r>
      <w:r w:rsidRPr="00BC4CA0">
        <w:rPr>
          <w:rStyle w:val="Refdenotaalpie"/>
          <w:rFonts w:ascii="Arial" w:eastAsia="Calibri" w:hAnsi="Arial" w:cs="Arial"/>
          <w:lang w:eastAsia="en-US"/>
        </w:rPr>
        <w:footnoteReference w:id="10"/>
      </w:r>
      <w:r w:rsidRPr="00BC4CA0">
        <w:rPr>
          <w:rFonts w:ascii="Arial" w:eastAsia="Calibri" w:hAnsi="Arial" w:cs="Arial"/>
          <w:lang w:eastAsia="en-US"/>
        </w:rPr>
        <w:t>.</w:t>
      </w:r>
    </w:p>
    <w:p w14:paraId="0D2D62E7" w14:textId="77777777" w:rsidR="007B769D" w:rsidRDefault="007B769D" w:rsidP="00303C9B">
      <w:pPr>
        <w:jc w:val="both"/>
        <w:rPr>
          <w:rFonts w:ascii="Arial" w:hAnsi="Arial" w:cs="Arial"/>
          <w:lang w:val="es-MX"/>
        </w:rPr>
      </w:pPr>
    </w:p>
    <w:p w14:paraId="2137EE18" w14:textId="77777777" w:rsidR="00533CB1" w:rsidRPr="00533CB1" w:rsidRDefault="00AA140E" w:rsidP="00303C9B">
      <w:pPr>
        <w:jc w:val="both"/>
        <w:rPr>
          <w:rFonts w:ascii="Arial" w:hAnsi="Arial" w:cs="Arial"/>
          <w:b/>
          <w:lang w:val="es-MX"/>
        </w:rPr>
      </w:pPr>
      <w:r>
        <w:rPr>
          <w:rFonts w:ascii="Arial" w:hAnsi="Arial" w:cs="Arial"/>
          <w:b/>
          <w:lang w:val="es-MX"/>
        </w:rPr>
        <w:t>1.</w:t>
      </w:r>
      <w:r w:rsidR="00533CB1">
        <w:rPr>
          <w:rFonts w:ascii="Arial" w:hAnsi="Arial" w:cs="Arial"/>
          <w:b/>
          <w:lang w:val="es-MX"/>
        </w:rPr>
        <w:t xml:space="preserve">2. </w:t>
      </w:r>
      <w:r>
        <w:rPr>
          <w:rFonts w:ascii="Arial" w:hAnsi="Arial" w:cs="Arial"/>
          <w:b/>
          <w:lang w:val="es-MX"/>
        </w:rPr>
        <w:t xml:space="preserve">Respecto del auto </w:t>
      </w:r>
      <w:r w:rsidR="00533CB1">
        <w:rPr>
          <w:rFonts w:ascii="Arial" w:hAnsi="Arial" w:cs="Arial"/>
          <w:b/>
          <w:lang w:val="es-MX"/>
        </w:rPr>
        <w:t>que decid</w:t>
      </w:r>
      <w:r>
        <w:rPr>
          <w:rFonts w:ascii="Arial" w:hAnsi="Arial" w:cs="Arial"/>
          <w:b/>
          <w:lang w:val="es-MX"/>
        </w:rPr>
        <w:t>ió</w:t>
      </w:r>
      <w:r w:rsidR="00533CB1">
        <w:rPr>
          <w:rFonts w:ascii="Arial" w:hAnsi="Arial" w:cs="Arial"/>
          <w:b/>
          <w:lang w:val="es-MX"/>
        </w:rPr>
        <w:t xml:space="preserve"> sobre la vinculación de terceros</w:t>
      </w:r>
    </w:p>
    <w:p w14:paraId="79B5CEB4" w14:textId="77777777" w:rsidR="00533CB1" w:rsidRDefault="00533CB1" w:rsidP="00303C9B">
      <w:pPr>
        <w:jc w:val="both"/>
        <w:rPr>
          <w:rFonts w:ascii="Arial" w:hAnsi="Arial" w:cs="Arial"/>
          <w:lang w:val="es-MX"/>
        </w:rPr>
      </w:pPr>
    </w:p>
    <w:p w14:paraId="4EC7D43D" w14:textId="77777777" w:rsidR="00533CB1" w:rsidRPr="00533CB1" w:rsidRDefault="004276E7" w:rsidP="00533CB1">
      <w:pPr>
        <w:spacing w:line="360" w:lineRule="auto"/>
        <w:jc w:val="both"/>
        <w:rPr>
          <w:rFonts w:ascii="Arial" w:hAnsi="Arial" w:cs="Arial"/>
          <w:lang w:val="es-MX"/>
        </w:rPr>
      </w:pPr>
      <w:r>
        <w:rPr>
          <w:rFonts w:ascii="Arial" w:hAnsi="Arial" w:cs="Arial"/>
          <w:lang w:val="es-MX"/>
        </w:rPr>
        <w:t>Se reitera que el T</w:t>
      </w:r>
      <w:r w:rsidR="00533CB1">
        <w:rPr>
          <w:rFonts w:ascii="Arial" w:hAnsi="Arial" w:cs="Arial"/>
          <w:lang w:val="es-MX"/>
        </w:rPr>
        <w:t xml:space="preserve">ribunal, previo a decidir las excepciones previas, negó la solicitud de integración del litisconsorcio necesario formulada por </w:t>
      </w:r>
      <w:r>
        <w:rPr>
          <w:rFonts w:ascii="Arial" w:hAnsi="Arial" w:cs="Arial"/>
          <w:lang w:val="es-MX"/>
        </w:rPr>
        <w:t xml:space="preserve">Corantioquia y, posteriormente, concedió el recurso de apelación interpuesto contra esa decisión. </w:t>
      </w:r>
    </w:p>
    <w:p w14:paraId="632603F2" w14:textId="77777777" w:rsidR="00533CB1" w:rsidRDefault="00533CB1" w:rsidP="00303C9B">
      <w:pPr>
        <w:jc w:val="both"/>
        <w:rPr>
          <w:rFonts w:ascii="Arial" w:hAnsi="Arial" w:cs="Arial"/>
          <w:lang w:val="es-MX"/>
        </w:rPr>
      </w:pPr>
    </w:p>
    <w:p w14:paraId="4472484F" w14:textId="77777777" w:rsidR="004276E7" w:rsidRDefault="004276E7" w:rsidP="004276E7">
      <w:pPr>
        <w:spacing w:line="360" w:lineRule="auto"/>
        <w:jc w:val="both"/>
        <w:rPr>
          <w:rFonts w:ascii="Arial" w:hAnsi="Arial" w:cs="Arial"/>
          <w:lang w:val="es-MX"/>
        </w:rPr>
      </w:pPr>
      <w:r>
        <w:rPr>
          <w:rFonts w:ascii="Arial" w:hAnsi="Arial" w:cs="Arial"/>
          <w:lang w:val="es-MX"/>
        </w:rPr>
        <w:t>En los términos del artículo 226 del CPACA, el recurso de apelación procede contra el auto que niega la intervención de terceros y su concesión debe hacerse en el efecto suspensivo.</w:t>
      </w:r>
    </w:p>
    <w:p w14:paraId="6F4CE007" w14:textId="77777777" w:rsidR="004276E7" w:rsidRDefault="004276E7" w:rsidP="004276E7">
      <w:pPr>
        <w:spacing w:line="360" w:lineRule="auto"/>
        <w:jc w:val="both"/>
        <w:rPr>
          <w:rFonts w:ascii="Arial" w:hAnsi="Arial" w:cs="Arial"/>
          <w:lang w:val="es-MX"/>
        </w:rPr>
      </w:pPr>
    </w:p>
    <w:p w14:paraId="733B6ADF" w14:textId="77777777" w:rsidR="004276E7" w:rsidRDefault="004276E7" w:rsidP="004276E7">
      <w:pPr>
        <w:spacing w:line="360" w:lineRule="auto"/>
        <w:jc w:val="both"/>
        <w:rPr>
          <w:rFonts w:ascii="Arial" w:hAnsi="Arial" w:cs="Arial"/>
          <w:lang w:val="es-MX"/>
        </w:rPr>
      </w:pPr>
      <w:r>
        <w:rPr>
          <w:rFonts w:ascii="Arial" w:hAnsi="Arial" w:cs="Arial"/>
          <w:lang w:val="es-MX"/>
        </w:rPr>
        <w:t xml:space="preserve">En este orden de ideas y a pesar de que el Tribunal no hizo consideración alguna al respecto, se advierte que el recurso de apelación contra el auto que negó la integración del </w:t>
      </w:r>
      <w:proofErr w:type="spellStart"/>
      <w:r>
        <w:rPr>
          <w:rFonts w:ascii="Arial" w:hAnsi="Arial" w:cs="Arial"/>
          <w:lang w:val="es-MX"/>
        </w:rPr>
        <w:t>litisiconsorcio</w:t>
      </w:r>
      <w:proofErr w:type="spellEnd"/>
      <w:r>
        <w:rPr>
          <w:rFonts w:ascii="Arial" w:hAnsi="Arial" w:cs="Arial"/>
          <w:lang w:val="es-MX"/>
        </w:rPr>
        <w:t xml:space="preserve"> necesario resulta procedente, pero con base en el fundamento normativo puesto de presente.</w:t>
      </w:r>
    </w:p>
    <w:p w14:paraId="497FD071" w14:textId="77777777" w:rsidR="004276E7" w:rsidRDefault="004276E7" w:rsidP="004276E7">
      <w:pPr>
        <w:spacing w:line="360" w:lineRule="auto"/>
        <w:jc w:val="both"/>
        <w:rPr>
          <w:rFonts w:ascii="Arial" w:hAnsi="Arial" w:cs="Arial"/>
          <w:lang w:val="es-MX"/>
        </w:rPr>
      </w:pPr>
    </w:p>
    <w:p w14:paraId="476C5A63" w14:textId="77777777" w:rsidR="004276E7" w:rsidRDefault="00AA140E" w:rsidP="004276E7">
      <w:pPr>
        <w:jc w:val="both"/>
        <w:rPr>
          <w:rFonts w:ascii="Arial" w:hAnsi="Arial" w:cs="Arial"/>
          <w:b/>
          <w:lang w:val="es-MX"/>
        </w:rPr>
      </w:pPr>
      <w:r>
        <w:rPr>
          <w:rFonts w:ascii="Arial" w:hAnsi="Arial" w:cs="Arial"/>
          <w:b/>
          <w:lang w:val="es-MX"/>
        </w:rPr>
        <w:t>1.</w:t>
      </w:r>
      <w:r w:rsidR="004276E7">
        <w:rPr>
          <w:rFonts w:ascii="Arial" w:hAnsi="Arial" w:cs="Arial"/>
          <w:b/>
          <w:lang w:val="es-MX"/>
        </w:rPr>
        <w:t xml:space="preserve">3. </w:t>
      </w:r>
      <w:r>
        <w:rPr>
          <w:rFonts w:ascii="Arial" w:hAnsi="Arial" w:cs="Arial"/>
          <w:b/>
          <w:lang w:val="es-MX"/>
        </w:rPr>
        <w:t xml:space="preserve">Frente al </w:t>
      </w:r>
      <w:r w:rsidR="004276E7">
        <w:rPr>
          <w:rFonts w:ascii="Arial" w:hAnsi="Arial" w:cs="Arial"/>
          <w:b/>
          <w:lang w:val="es-MX"/>
        </w:rPr>
        <w:t>auto que decide sobre las excepciones previas</w:t>
      </w:r>
    </w:p>
    <w:p w14:paraId="22D471EA" w14:textId="77777777" w:rsidR="004276E7" w:rsidRDefault="004276E7" w:rsidP="004276E7">
      <w:pPr>
        <w:spacing w:line="360" w:lineRule="auto"/>
        <w:jc w:val="both"/>
        <w:rPr>
          <w:rFonts w:ascii="Arial" w:hAnsi="Arial" w:cs="Arial"/>
          <w:b/>
          <w:lang w:val="es-MX"/>
        </w:rPr>
      </w:pPr>
    </w:p>
    <w:p w14:paraId="4B22F1B4" w14:textId="77777777" w:rsidR="004276E7" w:rsidRDefault="004276E7" w:rsidP="004276E7">
      <w:pPr>
        <w:spacing w:line="360" w:lineRule="auto"/>
        <w:jc w:val="both"/>
        <w:rPr>
          <w:rFonts w:ascii="Arial" w:hAnsi="Arial" w:cs="Arial"/>
          <w:lang w:val="es-MX"/>
        </w:rPr>
      </w:pPr>
      <w:r>
        <w:rPr>
          <w:rFonts w:ascii="Arial" w:hAnsi="Arial" w:cs="Arial"/>
          <w:lang w:val="es-MX"/>
        </w:rPr>
        <w:t xml:space="preserve">Corantioquia y la parte demandante apelaron la decisión emitida por el Tribunal, mediante la cual </w:t>
      </w:r>
      <w:r w:rsidR="00AA140E">
        <w:rPr>
          <w:rFonts w:ascii="Arial" w:hAnsi="Arial" w:cs="Arial"/>
          <w:lang w:val="es-MX"/>
        </w:rPr>
        <w:t>se declaró</w:t>
      </w:r>
      <w:r>
        <w:rPr>
          <w:rFonts w:ascii="Arial" w:hAnsi="Arial" w:cs="Arial"/>
          <w:lang w:val="es-MX"/>
        </w:rPr>
        <w:t xml:space="preserve"> probada la excepción de falta de </w:t>
      </w:r>
      <w:r w:rsidR="00793340">
        <w:rPr>
          <w:rFonts w:ascii="Arial" w:hAnsi="Arial" w:cs="Arial"/>
          <w:lang w:val="es-MX"/>
        </w:rPr>
        <w:t>legitimación</w:t>
      </w:r>
      <w:r>
        <w:rPr>
          <w:rFonts w:ascii="Arial" w:hAnsi="Arial" w:cs="Arial"/>
          <w:lang w:val="es-MX"/>
        </w:rPr>
        <w:t xml:space="preserve"> en la causa respecto de la demandada Sanear S.A.</w:t>
      </w:r>
    </w:p>
    <w:p w14:paraId="169F5C1D" w14:textId="77777777" w:rsidR="004276E7" w:rsidRDefault="004276E7" w:rsidP="004276E7">
      <w:pPr>
        <w:spacing w:line="360" w:lineRule="auto"/>
        <w:jc w:val="both"/>
        <w:rPr>
          <w:rFonts w:ascii="Arial" w:hAnsi="Arial" w:cs="Arial"/>
          <w:lang w:val="es-MX"/>
        </w:rPr>
      </w:pPr>
    </w:p>
    <w:p w14:paraId="7A9D7037" w14:textId="77777777" w:rsidR="0096081A" w:rsidRDefault="0096081A" w:rsidP="0096081A">
      <w:pPr>
        <w:spacing w:line="360" w:lineRule="auto"/>
        <w:jc w:val="both"/>
        <w:rPr>
          <w:rFonts w:ascii="Arial" w:hAnsi="Arial" w:cs="Arial"/>
          <w:lang w:val="es-MX"/>
        </w:rPr>
      </w:pPr>
      <w:r>
        <w:rPr>
          <w:rFonts w:ascii="Arial" w:hAnsi="Arial" w:cs="Arial"/>
          <w:lang w:val="es-MX"/>
        </w:rPr>
        <w:t>Según se explicó con antelación, el recurso de apelación resulta procedente contra el auto que decide sobre las excepciones, de conformidad con lo dispuesto en el artículo 180, numeral 6, del CPACA.</w:t>
      </w:r>
    </w:p>
    <w:p w14:paraId="04E6EA37" w14:textId="77777777" w:rsidR="004276E7" w:rsidRDefault="004276E7" w:rsidP="004276E7">
      <w:pPr>
        <w:spacing w:line="360" w:lineRule="auto"/>
        <w:jc w:val="both"/>
        <w:rPr>
          <w:rFonts w:ascii="Arial" w:hAnsi="Arial" w:cs="Arial"/>
          <w:lang w:val="es-MX"/>
        </w:rPr>
      </w:pPr>
    </w:p>
    <w:p w14:paraId="29B3F9C0" w14:textId="77777777" w:rsidR="00AA140E" w:rsidRPr="001563BE" w:rsidRDefault="00E15335" w:rsidP="00AA140E">
      <w:pPr>
        <w:widowControl w:val="0"/>
        <w:spacing w:line="360" w:lineRule="auto"/>
        <w:ind w:right="-142"/>
        <w:jc w:val="both"/>
        <w:rPr>
          <w:rFonts w:ascii="Arial" w:hAnsi="Arial" w:cs="Arial"/>
          <w:i/>
          <w:lang w:val="es-CO"/>
        </w:rPr>
      </w:pPr>
      <w:r>
        <w:rPr>
          <w:rFonts w:ascii="Arial" w:hAnsi="Arial" w:cs="Arial"/>
          <w:lang w:val="es-MX"/>
        </w:rPr>
        <w:t>Ahora, e</w:t>
      </w:r>
      <w:r w:rsidR="00AA140E">
        <w:rPr>
          <w:rFonts w:ascii="Arial" w:hAnsi="Arial" w:cs="Arial"/>
          <w:lang w:val="es-MX"/>
        </w:rPr>
        <w:t>n cuanto a la competencia del Despacho para resolver los recursos de apelación interpuestos, se advierte que</w:t>
      </w:r>
      <w:r w:rsidR="00AA140E">
        <w:rPr>
          <w:rFonts w:ascii="Arial" w:hAnsi="Arial" w:cs="Arial"/>
          <w:lang w:val="es-CO"/>
        </w:rPr>
        <w:t>, de conformidad con lo dispuesto en el artículo 125 del CPACA “</w:t>
      </w:r>
      <w:r w:rsidR="00AA140E">
        <w:rPr>
          <w:rFonts w:ascii="Arial" w:hAnsi="Arial" w:cs="Arial"/>
          <w:i/>
          <w:lang w:val="es-CO"/>
        </w:rPr>
        <w:t>será competencia del juez o Magistrado Ponente dictar los autos interlocutorios y de trámite; sin embargo, en el caso de los jueces colegiados, las decisiones a que se refieren los numerales 1, 2, 3 y 4 del artículo 243 de este Código serán de la sala, excepto en los procesos de única instancia (…)”.</w:t>
      </w:r>
    </w:p>
    <w:p w14:paraId="7881164F" w14:textId="77777777" w:rsidR="00AA140E" w:rsidRDefault="00AA140E" w:rsidP="00AA140E">
      <w:pPr>
        <w:widowControl w:val="0"/>
        <w:spacing w:line="360" w:lineRule="auto"/>
        <w:ind w:right="-142"/>
        <w:jc w:val="both"/>
        <w:rPr>
          <w:rFonts w:ascii="Arial" w:hAnsi="Arial" w:cs="Arial"/>
          <w:lang w:val="es-CO"/>
        </w:rPr>
      </w:pPr>
    </w:p>
    <w:p w14:paraId="0B41D38E" w14:textId="77777777" w:rsidR="00AA140E" w:rsidRDefault="00E15335" w:rsidP="00AA140E">
      <w:pPr>
        <w:widowControl w:val="0"/>
        <w:spacing w:line="360" w:lineRule="auto"/>
        <w:ind w:right="-142"/>
        <w:jc w:val="both"/>
        <w:rPr>
          <w:rFonts w:ascii="Arial" w:hAnsi="Arial" w:cs="Arial"/>
          <w:lang w:val="es-CO"/>
        </w:rPr>
      </w:pPr>
      <w:r>
        <w:rPr>
          <w:rFonts w:ascii="Arial" w:hAnsi="Arial" w:cs="Arial"/>
          <w:lang w:val="es-CO"/>
        </w:rPr>
        <w:t xml:space="preserve">En este caso, se advierte que ninguna de las decisiones apeladas </w:t>
      </w:r>
      <w:proofErr w:type="gramStart"/>
      <w:r>
        <w:rPr>
          <w:rFonts w:ascii="Arial" w:hAnsi="Arial" w:cs="Arial"/>
          <w:lang w:val="es-CO"/>
        </w:rPr>
        <w:t>se</w:t>
      </w:r>
      <w:r w:rsidR="00AA140E">
        <w:rPr>
          <w:rFonts w:ascii="Arial" w:hAnsi="Arial" w:cs="Arial"/>
          <w:lang w:val="es-CO"/>
        </w:rPr>
        <w:t xml:space="preserve"> </w:t>
      </w:r>
      <w:r w:rsidR="00227958">
        <w:rPr>
          <w:rFonts w:ascii="Arial" w:hAnsi="Arial" w:cs="Arial"/>
          <w:lang w:val="es-CO"/>
        </w:rPr>
        <w:t>enmarca</w:t>
      </w:r>
      <w:r>
        <w:rPr>
          <w:rFonts w:ascii="Arial" w:hAnsi="Arial" w:cs="Arial"/>
          <w:lang w:val="es-CO"/>
        </w:rPr>
        <w:t xml:space="preserve"> dentro </w:t>
      </w:r>
      <w:r>
        <w:rPr>
          <w:rFonts w:ascii="Arial" w:hAnsi="Arial" w:cs="Arial"/>
          <w:lang w:val="es-CO"/>
        </w:rPr>
        <w:lastRenderedPageBreak/>
        <w:t>de</w:t>
      </w:r>
      <w:proofErr w:type="gramEnd"/>
      <w:r>
        <w:rPr>
          <w:rFonts w:ascii="Arial" w:hAnsi="Arial" w:cs="Arial"/>
          <w:lang w:val="es-CO"/>
        </w:rPr>
        <w:t xml:space="preserve"> las situaciones previstas en</w:t>
      </w:r>
      <w:r w:rsidR="00AA140E">
        <w:rPr>
          <w:rFonts w:ascii="Arial" w:hAnsi="Arial" w:cs="Arial"/>
          <w:lang w:val="es-CO"/>
        </w:rPr>
        <w:t xml:space="preserve"> los numerales 1, 2, 3 y 4 del artículo 243 del CPACA</w:t>
      </w:r>
      <w:r w:rsidR="00AA140E">
        <w:rPr>
          <w:rStyle w:val="Refdenotaalpie"/>
          <w:rFonts w:ascii="Arial" w:hAnsi="Arial" w:cs="Arial"/>
          <w:lang w:val="es-CO"/>
        </w:rPr>
        <w:footnoteReference w:id="11"/>
      </w:r>
      <w:r w:rsidR="00AA140E">
        <w:rPr>
          <w:rFonts w:ascii="Arial" w:hAnsi="Arial" w:cs="Arial"/>
          <w:lang w:val="es-CO"/>
        </w:rPr>
        <w:t xml:space="preserve">, luego, no se trata de una de las decisiones que deban ser adoptadas por la Sala, de tal suerte que, en aplicación de la regla general prevista en el artículo 125 </w:t>
      </w:r>
      <w:proofErr w:type="spellStart"/>
      <w:r w:rsidR="00AA140E" w:rsidRPr="00095372">
        <w:rPr>
          <w:rFonts w:ascii="Arial" w:hAnsi="Arial" w:cs="Arial"/>
          <w:i/>
          <w:lang w:val="es-CO"/>
        </w:rPr>
        <w:t>ibídem</w:t>
      </w:r>
      <w:proofErr w:type="spellEnd"/>
      <w:r w:rsidR="00AA140E">
        <w:rPr>
          <w:rFonts w:ascii="Arial" w:hAnsi="Arial" w:cs="Arial"/>
          <w:lang w:val="es-CO"/>
        </w:rPr>
        <w:t>, la presente decisión debe ser adoptada por la magistrada ponente.</w:t>
      </w:r>
    </w:p>
    <w:p w14:paraId="775DB5FD" w14:textId="77777777" w:rsidR="00AA140E" w:rsidRDefault="00AA140E" w:rsidP="004276E7">
      <w:pPr>
        <w:spacing w:line="360" w:lineRule="auto"/>
        <w:jc w:val="both"/>
        <w:rPr>
          <w:rFonts w:ascii="Arial" w:hAnsi="Arial" w:cs="Arial"/>
          <w:lang w:val="es-MX"/>
        </w:rPr>
      </w:pPr>
    </w:p>
    <w:p w14:paraId="611BAF15" w14:textId="77777777" w:rsidR="0096081A" w:rsidRDefault="00AA140E" w:rsidP="00303C9B">
      <w:pPr>
        <w:jc w:val="both"/>
        <w:rPr>
          <w:rFonts w:ascii="Arial" w:hAnsi="Arial" w:cs="Arial"/>
          <w:b/>
          <w:lang w:val="es-MX"/>
        </w:rPr>
      </w:pPr>
      <w:r>
        <w:rPr>
          <w:rFonts w:ascii="Arial" w:hAnsi="Arial" w:cs="Arial"/>
          <w:b/>
          <w:lang w:val="es-MX"/>
        </w:rPr>
        <w:t>2.</w:t>
      </w:r>
      <w:r w:rsidR="0096081A">
        <w:rPr>
          <w:rFonts w:ascii="Arial" w:hAnsi="Arial" w:cs="Arial"/>
          <w:b/>
          <w:lang w:val="es-MX"/>
        </w:rPr>
        <w:t xml:space="preserve"> Caso concreto</w:t>
      </w:r>
    </w:p>
    <w:p w14:paraId="7E18A259" w14:textId="77777777" w:rsidR="0096081A" w:rsidRDefault="0096081A" w:rsidP="00303C9B">
      <w:pPr>
        <w:jc w:val="both"/>
        <w:rPr>
          <w:rFonts w:ascii="Arial" w:hAnsi="Arial" w:cs="Arial"/>
          <w:b/>
          <w:lang w:val="es-MX"/>
        </w:rPr>
      </w:pPr>
    </w:p>
    <w:p w14:paraId="12193BDA" w14:textId="77777777" w:rsidR="00E15335" w:rsidRPr="004276E7" w:rsidRDefault="00E15335" w:rsidP="00E15335">
      <w:pPr>
        <w:spacing w:line="360" w:lineRule="auto"/>
        <w:jc w:val="both"/>
        <w:rPr>
          <w:rFonts w:ascii="Arial" w:hAnsi="Arial" w:cs="Arial"/>
          <w:lang w:val="es-MX"/>
        </w:rPr>
      </w:pPr>
      <w:r w:rsidRPr="00E15335">
        <w:rPr>
          <w:rFonts w:ascii="Arial" w:hAnsi="Arial" w:cs="Arial"/>
          <w:lang w:val="es-MX"/>
        </w:rPr>
        <w:t>De conformidad con las precisiones que anteceden, el Despacho se pronunciará únicamente respecto de los recursos de apelación procedentes, es decir, aquellos interpuestos contra el auto que negó la integración del litisconsorcio necesario y contra el que declaró la falta de legitimación en la causa por pasiva de la sociedad Sanear S.A.</w:t>
      </w:r>
    </w:p>
    <w:p w14:paraId="6D19D610" w14:textId="77777777" w:rsidR="00E15335" w:rsidRDefault="00E15335" w:rsidP="00303C9B">
      <w:pPr>
        <w:jc w:val="both"/>
        <w:rPr>
          <w:rFonts w:ascii="Arial" w:hAnsi="Arial" w:cs="Arial"/>
          <w:b/>
          <w:lang w:val="es-MX"/>
        </w:rPr>
      </w:pPr>
    </w:p>
    <w:p w14:paraId="133602AD" w14:textId="77777777" w:rsidR="0096081A" w:rsidRDefault="00397E60" w:rsidP="00303C9B">
      <w:pPr>
        <w:jc w:val="both"/>
        <w:rPr>
          <w:rFonts w:ascii="Arial" w:hAnsi="Arial" w:cs="Arial"/>
          <w:b/>
          <w:lang w:val="es-MX"/>
        </w:rPr>
      </w:pPr>
      <w:r>
        <w:rPr>
          <w:rFonts w:ascii="Arial" w:hAnsi="Arial" w:cs="Arial"/>
          <w:b/>
          <w:lang w:val="es-MX"/>
        </w:rPr>
        <w:t>2</w:t>
      </w:r>
      <w:r w:rsidR="0096081A">
        <w:rPr>
          <w:rFonts w:ascii="Arial" w:hAnsi="Arial" w:cs="Arial"/>
          <w:b/>
          <w:lang w:val="es-MX"/>
        </w:rPr>
        <w:t xml:space="preserve">.1. </w:t>
      </w:r>
      <w:r>
        <w:rPr>
          <w:rFonts w:ascii="Arial" w:hAnsi="Arial" w:cs="Arial"/>
          <w:b/>
          <w:lang w:val="es-MX"/>
        </w:rPr>
        <w:t>I</w:t>
      </w:r>
      <w:r w:rsidR="0096081A">
        <w:rPr>
          <w:rFonts w:ascii="Arial" w:hAnsi="Arial" w:cs="Arial"/>
          <w:b/>
          <w:lang w:val="es-MX"/>
        </w:rPr>
        <w:t>ntegración del litisconsorcio necesario</w:t>
      </w:r>
    </w:p>
    <w:p w14:paraId="1A1158D4" w14:textId="77777777" w:rsidR="0096081A" w:rsidRDefault="0096081A" w:rsidP="00303C9B">
      <w:pPr>
        <w:jc w:val="both"/>
        <w:rPr>
          <w:rFonts w:ascii="Arial" w:hAnsi="Arial" w:cs="Arial"/>
          <w:b/>
          <w:lang w:val="es-MX"/>
        </w:rPr>
      </w:pPr>
    </w:p>
    <w:p w14:paraId="2689766A" w14:textId="77777777" w:rsidR="00397E60" w:rsidRDefault="00397E60" w:rsidP="0096081A">
      <w:pPr>
        <w:spacing w:line="360" w:lineRule="auto"/>
        <w:jc w:val="both"/>
        <w:rPr>
          <w:rFonts w:ascii="Arial" w:hAnsi="Arial" w:cs="Arial"/>
          <w:lang w:val="es-MX"/>
        </w:rPr>
      </w:pPr>
    </w:p>
    <w:p w14:paraId="0290793C" w14:textId="77777777" w:rsidR="0096081A" w:rsidRDefault="0096081A" w:rsidP="0096081A">
      <w:pPr>
        <w:spacing w:line="360" w:lineRule="auto"/>
        <w:jc w:val="both"/>
        <w:rPr>
          <w:rFonts w:ascii="Arial" w:hAnsi="Arial" w:cs="Arial"/>
          <w:lang w:val="es-MX"/>
        </w:rPr>
      </w:pPr>
      <w:r>
        <w:rPr>
          <w:rFonts w:ascii="Arial" w:hAnsi="Arial" w:cs="Arial"/>
          <w:lang w:val="es-MX"/>
        </w:rPr>
        <w:t>El Tribunal de primera instancia negó la solicitud formulada por Corantioquia, en el sentido de vincular a la actuación a sesenta y cuatro municipios y a la Federación Nacional de Cafeteros como litisconsortes necesarios.</w:t>
      </w:r>
    </w:p>
    <w:p w14:paraId="7B87932A" w14:textId="77777777" w:rsidR="0096081A" w:rsidRDefault="0096081A" w:rsidP="0096081A">
      <w:pPr>
        <w:spacing w:line="360" w:lineRule="auto"/>
        <w:jc w:val="both"/>
        <w:rPr>
          <w:rFonts w:ascii="Arial" w:hAnsi="Arial" w:cs="Arial"/>
          <w:lang w:val="es-MX"/>
        </w:rPr>
      </w:pPr>
    </w:p>
    <w:p w14:paraId="1B259E16" w14:textId="77777777" w:rsidR="0096081A" w:rsidRDefault="0096081A" w:rsidP="0096081A">
      <w:pPr>
        <w:spacing w:line="360" w:lineRule="auto"/>
        <w:jc w:val="both"/>
        <w:rPr>
          <w:rFonts w:ascii="Arial" w:hAnsi="Arial" w:cs="Arial"/>
          <w:lang w:val="es-MX"/>
        </w:rPr>
      </w:pPr>
      <w:r>
        <w:rPr>
          <w:rFonts w:ascii="Arial" w:hAnsi="Arial" w:cs="Arial"/>
          <w:lang w:val="es-MX"/>
        </w:rPr>
        <w:t xml:space="preserve">Como sustento de la decisión, el Tribunal afirmó que no se cumplían los requisitos legales para acceder a la solicitud, dado que era posible proferir sentencia sin la comparecencia de las entidades referidas por Corantioquia, entre otras razones porque no fueron parte en los contratos que suscitaron la presente controversia, razón por la cual </w:t>
      </w:r>
      <w:r w:rsidR="00573E6D">
        <w:rPr>
          <w:rFonts w:ascii="Arial" w:hAnsi="Arial" w:cs="Arial"/>
          <w:lang w:val="es-MX"/>
        </w:rPr>
        <w:t>no se verificaron los supuestos del artículo 61 del CGP y, por tanto, la petición carecía de sustento jurídico.</w:t>
      </w:r>
    </w:p>
    <w:p w14:paraId="0D2E64B9" w14:textId="77777777" w:rsidR="00573E6D" w:rsidRDefault="00573E6D" w:rsidP="0096081A">
      <w:pPr>
        <w:spacing w:line="360" w:lineRule="auto"/>
        <w:jc w:val="both"/>
        <w:rPr>
          <w:rFonts w:ascii="Arial" w:hAnsi="Arial" w:cs="Arial"/>
          <w:lang w:val="es-MX"/>
        </w:rPr>
      </w:pPr>
    </w:p>
    <w:p w14:paraId="47DABF8F" w14:textId="77777777" w:rsidR="00573E6D" w:rsidRDefault="00573E6D" w:rsidP="00573E6D">
      <w:pPr>
        <w:pStyle w:val="Textoindependiente"/>
        <w:tabs>
          <w:tab w:val="left" w:pos="8222"/>
        </w:tabs>
        <w:spacing w:line="360" w:lineRule="auto"/>
        <w:jc w:val="both"/>
        <w:rPr>
          <w:rFonts w:cs="Arial"/>
          <w:bCs/>
          <w:sz w:val="24"/>
          <w:szCs w:val="24"/>
          <w:lang w:val="es-CO"/>
        </w:rPr>
      </w:pPr>
      <w:r w:rsidRPr="00573E6D">
        <w:rPr>
          <w:rFonts w:cs="Arial"/>
          <w:sz w:val="24"/>
          <w:szCs w:val="24"/>
          <w:lang w:val="es-MX"/>
        </w:rPr>
        <w:t xml:space="preserve">En criterio del recurrente, </w:t>
      </w:r>
      <w:r w:rsidR="007A6D45">
        <w:rPr>
          <w:rFonts w:cs="Arial"/>
          <w:sz w:val="24"/>
          <w:szCs w:val="24"/>
          <w:lang w:val="es-MX"/>
        </w:rPr>
        <w:t xml:space="preserve">es necesaria la comparecencia </w:t>
      </w:r>
      <w:r w:rsidRPr="00573E6D">
        <w:rPr>
          <w:rFonts w:cs="Arial"/>
          <w:sz w:val="24"/>
          <w:szCs w:val="24"/>
          <w:lang w:val="es-MX"/>
        </w:rPr>
        <w:t xml:space="preserve">de los municipios con los cuales Corantioquia celebró convenios </w:t>
      </w:r>
      <w:r w:rsidR="007A6D45">
        <w:rPr>
          <w:rFonts w:cs="Arial"/>
          <w:sz w:val="24"/>
          <w:szCs w:val="24"/>
          <w:lang w:val="es-MX"/>
        </w:rPr>
        <w:t>para</w:t>
      </w:r>
      <w:r w:rsidRPr="00573E6D">
        <w:rPr>
          <w:rFonts w:cs="Arial"/>
          <w:bCs/>
          <w:sz w:val="24"/>
          <w:szCs w:val="24"/>
          <w:lang w:val="es-CO"/>
        </w:rPr>
        <w:t xml:space="preserve"> proveerles los elementos que fueron objeto de los contratos suscritos con la sociedad demandant</w:t>
      </w:r>
      <w:r>
        <w:rPr>
          <w:rFonts w:cs="Arial"/>
          <w:bCs/>
          <w:sz w:val="24"/>
          <w:szCs w:val="24"/>
          <w:lang w:val="es-CO"/>
        </w:rPr>
        <w:t>e</w:t>
      </w:r>
      <w:r w:rsidR="007A6D45">
        <w:rPr>
          <w:rFonts w:cs="Arial"/>
          <w:bCs/>
          <w:sz w:val="24"/>
          <w:szCs w:val="24"/>
          <w:lang w:val="es-CO"/>
        </w:rPr>
        <w:t xml:space="preserve">, dado que los mismos resultaron afectados con el incumplimiento en que incurrió </w:t>
      </w:r>
      <w:proofErr w:type="spellStart"/>
      <w:r w:rsidR="007A6D45">
        <w:rPr>
          <w:rFonts w:cs="Arial"/>
          <w:bCs/>
          <w:sz w:val="24"/>
          <w:szCs w:val="24"/>
          <w:lang w:val="es-CO"/>
        </w:rPr>
        <w:t>Rotoplast</w:t>
      </w:r>
      <w:proofErr w:type="spellEnd"/>
      <w:r w:rsidR="007A6D45">
        <w:rPr>
          <w:rFonts w:cs="Arial"/>
          <w:bCs/>
          <w:sz w:val="24"/>
          <w:szCs w:val="24"/>
          <w:lang w:val="es-CO"/>
        </w:rPr>
        <w:t xml:space="preserve"> S.A. respecto de </w:t>
      </w:r>
      <w:r w:rsidRPr="00573E6D">
        <w:rPr>
          <w:rFonts w:cs="Arial"/>
          <w:bCs/>
          <w:sz w:val="24"/>
          <w:szCs w:val="24"/>
          <w:lang w:val="es-CO"/>
        </w:rPr>
        <w:t>los contratos 9860 y 9902</w:t>
      </w:r>
      <w:r w:rsidR="007A6D45">
        <w:rPr>
          <w:rFonts w:cs="Arial"/>
          <w:bCs/>
          <w:sz w:val="24"/>
          <w:szCs w:val="24"/>
          <w:lang w:val="es-CO"/>
        </w:rPr>
        <w:t>.</w:t>
      </w:r>
    </w:p>
    <w:p w14:paraId="2DF3AD30" w14:textId="77777777" w:rsidR="007A6D45" w:rsidRDefault="007A6D45" w:rsidP="00573E6D">
      <w:pPr>
        <w:pStyle w:val="Textoindependiente"/>
        <w:tabs>
          <w:tab w:val="left" w:pos="8222"/>
        </w:tabs>
        <w:spacing w:line="360" w:lineRule="auto"/>
        <w:jc w:val="both"/>
        <w:rPr>
          <w:rFonts w:cs="Arial"/>
          <w:bCs/>
          <w:sz w:val="24"/>
          <w:szCs w:val="24"/>
          <w:lang w:val="es-CO"/>
        </w:rPr>
      </w:pPr>
    </w:p>
    <w:p w14:paraId="7847D4EA" w14:textId="77777777" w:rsidR="007A6D45" w:rsidRDefault="007A6D45" w:rsidP="00573E6D">
      <w:pPr>
        <w:pStyle w:val="Textoindependiente"/>
        <w:tabs>
          <w:tab w:val="left" w:pos="8222"/>
        </w:tabs>
        <w:spacing w:line="360" w:lineRule="auto"/>
        <w:jc w:val="both"/>
        <w:rPr>
          <w:rFonts w:cs="Arial"/>
          <w:bCs/>
          <w:sz w:val="24"/>
          <w:szCs w:val="24"/>
          <w:lang w:val="es-CO"/>
        </w:rPr>
      </w:pPr>
      <w:r>
        <w:rPr>
          <w:rFonts w:cs="Arial"/>
          <w:bCs/>
          <w:sz w:val="24"/>
          <w:szCs w:val="24"/>
          <w:lang w:val="es-CO"/>
        </w:rPr>
        <w:t>En este orden de ideas, el Despacho considera pertinente hacer las siguientes precisiones, en orden a decidir el recurso interpuesto por la entidad demandada:</w:t>
      </w:r>
    </w:p>
    <w:p w14:paraId="76C003F9" w14:textId="77777777" w:rsidR="007A6D45" w:rsidRDefault="007A6D45" w:rsidP="00573E6D">
      <w:pPr>
        <w:pStyle w:val="Textoindependiente"/>
        <w:tabs>
          <w:tab w:val="left" w:pos="8222"/>
        </w:tabs>
        <w:spacing w:line="360" w:lineRule="auto"/>
        <w:jc w:val="both"/>
        <w:rPr>
          <w:rFonts w:cs="Arial"/>
          <w:bCs/>
          <w:sz w:val="24"/>
          <w:szCs w:val="24"/>
          <w:lang w:val="es-CO"/>
        </w:rPr>
      </w:pPr>
    </w:p>
    <w:p w14:paraId="3F65681C" w14:textId="77777777" w:rsidR="007A6D45" w:rsidRPr="007A6D45" w:rsidRDefault="007A6D45" w:rsidP="00573E6D">
      <w:pPr>
        <w:pStyle w:val="Textoindependiente"/>
        <w:tabs>
          <w:tab w:val="left" w:pos="8222"/>
        </w:tabs>
        <w:spacing w:line="360" w:lineRule="auto"/>
        <w:jc w:val="both"/>
        <w:rPr>
          <w:rFonts w:cs="Arial"/>
          <w:bCs/>
          <w:sz w:val="24"/>
          <w:szCs w:val="24"/>
          <w:lang w:val="es-CO"/>
        </w:rPr>
      </w:pPr>
      <w:r w:rsidRPr="007A6D45">
        <w:rPr>
          <w:rFonts w:cs="Arial"/>
          <w:bCs/>
          <w:sz w:val="24"/>
          <w:szCs w:val="24"/>
          <w:lang w:val="es-CO"/>
        </w:rPr>
        <w:t>El artículo 61 del CGP, aplicable por expresa remisión de</w:t>
      </w:r>
      <w:r w:rsidR="0017381D">
        <w:rPr>
          <w:rFonts w:cs="Arial"/>
          <w:bCs/>
          <w:sz w:val="24"/>
          <w:szCs w:val="24"/>
          <w:lang w:val="es-CO"/>
        </w:rPr>
        <w:t xml:space="preserve"> los artículos 227 y </w:t>
      </w:r>
      <w:r w:rsidRPr="007A6D45">
        <w:rPr>
          <w:rFonts w:cs="Arial"/>
          <w:sz w:val="24"/>
          <w:szCs w:val="24"/>
        </w:rPr>
        <w:t>306 del CPACA</w:t>
      </w:r>
      <w:r w:rsidRPr="007A6D45">
        <w:rPr>
          <w:rStyle w:val="Refdenotaalpie"/>
          <w:rFonts w:cs="Arial"/>
          <w:sz w:val="24"/>
          <w:szCs w:val="24"/>
        </w:rPr>
        <w:footnoteReference w:id="12"/>
      </w:r>
      <w:r w:rsidRPr="007A6D45">
        <w:rPr>
          <w:rFonts w:cs="Arial"/>
          <w:sz w:val="24"/>
          <w:szCs w:val="24"/>
        </w:rPr>
        <w:t xml:space="preserve">, en punto de </w:t>
      </w:r>
      <w:r>
        <w:rPr>
          <w:rFonts w:cs="Arial"/>
          <w:sz w:val="24"/>
          <w:szCs w:val="24"/>
        </w:rPr>
        <w:t>la figura procesal del litisconsorcio necesario,</w:t>
      </w:r>
      <w:r w:rsidRPr="007A6D45">
        <w:rPr>
          <w:rFonts w:cs="Arial"/>
          <w:sz w:val="24"/>
          <w:szCs w:val="24"/>
        </w:rPr>
        <w:t xml:space="preserve"> prevé:</w:t>
      </w:r>
    </w:p>
    <w:p w14:paraId="3057CF5E" w14:textId="77777777" w:rsidR="00573E6D" w:rsidRPr="0096081A" w:rsidRDefault="00573E6D" w:rsidP="0096081A">
      <w:pPr>
        <w:spacing w:line="360" w:lineRule="auto"/>
        <w:jc w:val="both"/>
        <w:rPr>
          <w:rFonts w:ascii="Arial" w:hAnsi="Arial" w:cs="Arial"/>
          <w:lang w:val="es-MX"/>
        </w:rPr>
      </w:pPr>
    </w:p>
    <w:p w14:paraId="33BB10C8" w14:textId="77777777" w:rsidR="0096081A" w:rsidRPr="00793340" w:rsidRDefault="007A6D45" w:rsidP="007A6D45">
      <w:pPr>
        <w:spacing w:line="276" w:lineRule="auto"/>
        <w:ind w:left="567" w:right="567"/>
        <w:jc w:val="both"/>
        <w:rPr>
          <w:rFonts w:ascii="Arial" w:hAnsi="Arial" w:cs="Arial"/>
          <w:b/>
          <w:sz w:val="22"/>
          <w:szCs w:val="22"/>
          <w:lang w:val="es-MX"/>
        </w:rPr>
      </w:pPr>
      <w:r w:rsidRPr="007A6D45">
        <w:rPr>
          <w:rFonts w:ascii="Arial" w:hAnsi="Arial" w:cs="Arial"/>
          <w:b/>
          <w:i/>
          <w:sz w:val="22"/>
          <w:szCs w:val="22"/>
          <w:lang w:val="es-MX"/>
        </w:rPr>
        <w:t>“</w:t>
      </w:r>
      <w:r w:rsidRPr="007A6D45">
        <w:rPr>
          <w:rFonts w:ascii="Arial" w:hAnsi="Arial" w:cs="Arial"/>
          <w:i/>
          <w:color w:val="000000"/>
          <w:sz w:val="22"/>
          <w:szCs w:val="22"/>
          <w:shd w:val="clear" w:color="auto" w:fill="FFFFFF"/>
        </w:rPr>
        <w:t xml:space="preserve">Cuando el proceso verse sobre relaciones o actos jurídicos respecto de los cuales, </w:t>
      </w:r>
      <w:r w:rsidRPr="007A6D45">
        <w:rPr>
          <w:rFonts w:ascii="Arial" w:hAnsi="Arial" w:cs="Arial"/>
          <w:b/>
          <w:i/>
          <w:color w:val="000000"/>
          <w:sz w:val="22"/>
          <w:szCs w:val="22"/>
          <w:u w:val="single"/>
          <w:shd w:val="clear" w:color="auto" w:fill="FFFFFF"/>
        </w:rPr>
        <w:t>por su naturaleza o por disposición legal, haya de resolverse de manera uniforme y no sea posible decidir de mérito sin la comparecencia de las personas que sean sujetos de tales relaciones o que intervinieron en dichos actos, la demanda deberá formularse por todas o dirigirse contra todas</w:t>
      </w:r>
      <w:r w:rsidRPr="007A6D45">
        <w:rPr>
          <w:rFonts w:ascii="Arial" w:hAnsi="Arial" w:cs="Arial"/>
          <w:i/>
          <w:color w:val="000000"/>
          <w:sz w:val="22"/>
          <w:szCs w:val="22"/>
          <w:shd w:val="clear" w:color="auto" w:fill="FFFFFF"/>
        </w:rPr>
        <w:t>; si no se hiciere así, el juez, en el auto que admite la demanda, ordenará notificar y dar traslado de esta a quienes falten para integrar el contradictorio, en la forma y con el término de comparecencia dispuestos para el demandado</w:t>
      </w:r>
      <w:r>
        <w:rPr>
          <w:rFonts w:ascii="Arial" w:hAnsi="Arial" w:cs="Arial"/>
          <w:i/>
          <w:color w:val="000000"/>
          <w:sz w:val="22"/>
          <w:szCs w:val="22"/>
          <w:shd w:val="clear" w:color="auto" w:fill="FFFFFF"/>
        </w:rPr>
        <w:t xml:space="preserve"> (…)”</w:t>
      </w:r>
      <w:r w:rsidR="00793340">
        <w:rPr>
          <w:rFonts w:ascii="Arial" w:hAnsi="Arial" w:cs="Arial"/>
          <w:color w:val="000000"/>
          <w:sz w:val="22"/>
          <w:szCs w:val="22"/>
          <w:shd w:val="clear" w:color="auto" w:fill="FFFFFF"/>
        </w:rPr>
        <w:t xml:space="preserve"> (se destaca).</w:t>
      </w:r>
    </w:p>
    <w:p w14:paraId="2A7F9503" w14:textId="77777777" w:rsidR="0096081A" w:rsidRDefault="0096081A" w:rsidP="00303C9B">
      <w:pPr>
        <w:jc w:val="both"/>
        <w:rPr>
          <w:rFonts w:ascii="Arial" w:hAnsi="Arial" w:cs="Arial"/>
          <w:b/>
          <w:lang w:val="es-MX"/>
        </w:rPr>
      </w:pPr>
    </w:p>
    <w:p w14:paraId="7B844B15" w14:textId="77777777" w:rsidR="007A6D45" w:rsidRDefault="0017381D" w:rsidP="0017381D">
      <w:pPr>
        <w:spacing w:line="360" w:lineRule="auto"/>
        <w:jc w:val="both"/>
        <w:rPr>
          <w:rFonts w:ascii="Arial" w:hAnsi="Arial" w:cs="Arial"/>
          <w:lang w:val="es-MX"/>
        </w:rPr>
      </w:pPr>
      <w:r>
        <w:rPr>
          <w:rFonts w:ascii="Arial" w:hAnsi="Arial" w:cs="Arial"/>
          <w:lang w:val="es-MX"/>
        </w:rPr>
        <w:t>De la disposición normativa transcrita se advierte que la característica fundamental de la figura del litisconsorcio necesario consiste en la imposibilidad de proferir decisión de fondo sin la comparecencia al proceso de las personas que participaron de una determinada relación o acto jurídico que impone una decisión uniforme como consecuencia de un determinado litigio.</w:t>
      </w:r>
    </w:p>
    <w:p w14:paraId="1D417146" w14:textId="77777777" w:rsidR="00397E60" w:rsidRDefault="00397E60" w:rsidP="0017381D">
      <w:pPr>
        <w:spacing w:line="360" w:lineRule="auto"/>
        <w:jc w:val="both"/>
        <w:rPr>
          <w:rFonts w:ascii="Arial" w:hAnsi="Arial" w:cs="Arial"/>
          <w:lang w:val="es-MX"/>
        </w:rPr>
      </w:pPr>
    </w:p>
    <w:p w14:paraId="72A33BA8" w14:textId="77777777" w:rsidR="0017381D" w:rsidRDefault="0017381D" w:rsidP="0017381D">
      <w:pPr>
        <w:spacing w:line="360" w:lineRule="auto"/>
        <w:jc w:val="both"/>
        <w:rPr>
          <w:rFonts w:ascii="Arial" w:hAnsi="Arial" w:cs="Arial"/>
          <w:lang w:val="es-MX"/>
        </w:rPr>
      </w:pPr>
      <w:r>
        <w:rPr>
          <w:rFonts w:ascii="Arial" w:hAnsi="Arial" w:cs="Arial"/>
          <w:lang w:val="es-MX"/>
        </w:rPr>
        <w:t>En el asunto bajo estudio</w:t>
      </w:r>
      <w:r w:rsidR="00397E60">
        <w:rPr>
          <w:rFonts w:ascii="Arial" w:hAnsi="Arial" w:cs="Arial"/>
          <w:lang w:val="es-MX"/>
        </w:rPr>
        <w:t>,</w:t>
      </w:r>
      <w:r>
        <w:rPr>
          <w:rFonts w:ascii="Arial" w:hAnsi="Arial" w:cs="Arial"/>
          <w:lang w:val="es-MX"/>
        </w:rPr>
        <w:t xml:space="preserve"> el Despacho advierte que los municipios, cuya vinculación fue solicitada por Corantioquia, no participaron en manera alguna en los contratos que dieron origen a la presente controversia ni tampoco intervinieron en la expedición de los actos administrativos demandados, de ahí que los argumentos expuestos por la entidad demandada care</w:t>
      </w:r>
      <w:r w:rsidR="0025314A">
        <w:rPr>
          <w:rFonts w:ascii="Arial" w:hAnsi="Arial" w:cs="Arial"/>
          <w:lang w:val="es-MX"/>
        </w:rPr>
        <w:t>zcan</w:t>
      </w:r>
      <w:r>
        <w:rPr>
          <w:rFonts w:ascii="Arial" w:hAnsi="Arial" w:cs="Arial"/>
          <w:lang w:val="es-MX"/>
        </w:rPr>
        <w:t xml:space="preserve"> de sustento fáctico y jurídico para predicar la existencia del litisconsorcio necesario, en la medida en que la supuesta afectación emanada del incumplimiento atribuido a </w:t>
      </w:r>
      <w:proofErr w:type="spellStart"/>
      <w:r>
        <w:rPr>
          <w:rFonts w:ascii="Arial" w:hAnsi="Arial" w:cs="Arial"/>
          <w:lang w:val="es-MX"/>
        </w:rPr>
        <w:t>Rotoplast</w:t>
      </w:r>
      <w:proofErr w:type="spellEnd"/>
      <w:r>
        <w:rPr>
          <w:rFonts w:ascii="Arial" w:hAnsi="Arial" w:cs="Arial"/>
          <w:lang w:val="es-MX"/>
        </w:rPr>
        <w:t xml:space="preserve"> S.A. no se encuentra acreditada y, en todo caso, esa situación desborda el ámbito de estudio de la presente demanda contractual</w:t>
      </w:r>
      <w:r w:rsidR="0034725E">
        <w:rPr>
          <w:rFonts w:ascii="Arial" w:hAnsi="Arial" w:cs="Arial"/>
          <w:lang w:val="es-MX"/>
        </w:rPr>
        <w:t>, toda vez que, se reitera, las entidades territoriales mencionadas en la solicitud no hacen parte de la relación jurídica existente entre la entidad demandada y la sociedad demandante.</w:t>
      </w:r>
    </w:p>
    <w:p w14:paraId="7B3482D4" w14:textId="77777777" w:rsidR="0017381D" w:rsidRDefault="0017381D" w:rsidP="0017381D">
      <w:pPr>
        <w:spacing w:line="360" w:lineRule="auto"/>
        <w:jc w:val="both"/>
        <w:rPr>
          <w:rFonts w:ascii="Arial" w:hAnsi="Arial" w:cs="Arial"/>
          <w:lang w:val="es-MX"/>
        </w:rPr>
      </w:pPr>
    </w:p>
    <w:p w14:paraId="288C0750" w14:textId="77777777" w:rsidR="0034725E" w:rsidRDefault="0034725E" w:rsidP="0017381D">
      <w:pPr>
        <w:spacing w:line="360" w:lineRule="auto"/>
        <w:jc w:val="both"/>
        <w:rPr>
          <w:rFonts w:ascii="Arial" w:hAnsi="Arial" w:cs="Arial"/>
          <w:lang w:val="es-MX"/>
        </w:rPr>
      </w:pPr>
      <w:r>
        <w:rPr>
          <w:rFonts w:ascii="Arial" w:hAnsi="Arial" w:cs="Arial"/>
          <w:lang w:val="es-MX"/>
        </w:rPr>
        <w:t>Así las cosas, en este momento se entiende que la demanda comprende a los extremos de las relaciones y actos jurídicos</w:t>
      </w:r>
      <w:r w:rsidR="0025314A">
        <w:rPr>
          <w:rFonts w:ascii="Arial" w:hAnsi="Arial" w:cs="Arial"/>
          <w:lang w:val="es-MX"/>
        </w:rPr>
        <w:t xml:space="preserve"> que originaron el litigio</w:t>
      </w:r>
      <w:r>
        <w:rPr>
          <w:rFonts w:ascii="Arial" w:hAnsi="Arial" w:cs="Arial"/>
          <w:lang w:val="es-MX"/>
        </w:rPr>
        <w:t xml:space="preserve">, es decir, tanto a la entidad contratante como el contratista que ahora demanda la declaratoria de nulidad de actos administrativos que declararon la caducidad de los contratos celebrados, </w:t>
      </w:r>
      <w:r w:rsidR="0025314A">
        <w:rPr>
          <w:rFonts w:ascii="Arial" w:hAnsi="Arial" w:cs="Arial"/>
          <w:lang w:val="es-MX"/>
        </w:rPr>
        <w:t xml:space="preserve">por lo que </w:t>
      </w:r>
      <w:r>
        <w:rPr>
          <w:rFonts w:ascii="Arial" w:hAnsi="Arial" w:cs="Arial"/>
          <w:lang w:val="es-MX"/>
        </w:rPr>
        <w:t xml:space="preserve">no hay lugar a la integración del litisconsorcio necesario </w:t>
      </w:r>
      <w:r>
        <w:rPr>
          <w:rFonts w:ascii="Arial" w:hAnsi="Arial" w:cs="Arial"/>
          <w:lang w:val="es-MX"/>
        </w:rPr>
        <w:lastRenderedPageBreak/>
        <w:t xml:space="preserve">predicado por Corantioquia, razón por la cual se confirmará la decisión adoptada por el Tribunal en tal sentido. </w:t>
      </w:r>
    </w:p>
    <w:p w14:paraId="1F014B20" w14:textId="77777777" w:rsidR="0017381D" w:rsidRDefault="0017381D" w:rsidP="0017381D">
      <w:pPr>
        <w:spacing w:line="360" w:lineRule="auto"/>
        <w:jc w:val="both"/>
        <w:rPr>
          <w:rFonts w:ascii="Arial" w:hAnsi="Arial" w:cs="Arial"/>
          <w:lang w:val="es-MX"/>
        </w:rPr>
      </w:pPr>
    </w:p>
    <w:p w14:paraId="0FABD3E8" w14:textId="77777777" w:rsidR="0034725E" w:rsidRDefault="0034725E" w:rsidP="0034725E">
      <w:pPr>
        <w:jc w:val="both"/>
        <w:rPr>
          <w:rFonts w:ascii="Arial" w:hAnsi="Arial" w:cs="Arial"/>
          <w:b/>
          <w:lang w:val="es-MX"/>
        </w:rPr>
      </w:pPr>
      <w:r>
        <w:rPr>
          <w:rFonts w:ascii="Arial" w:hAnsi="Arial" w:cs="Arial"/>
          <w:b/>
          <w:lang w:val="es-MX"/>
        </w:rPr>
        <w:t>4.2. Recurso de apelación contra el auto que declaró la falta de legitimación en la causa por pasiva respecto de la demandada Sanear S.A. y ordenó su desvinculación del proceso</w:t>
      </w:r>
    </w:p>
    <w:p w14:paraId="4DED377C" w14:textId="77777777" w:rsidR="0034725E" w:rsidRDefault="0034725E" w:rsidP="0017381D">
      <w:pPr>
        <w:spacing w:line="360" w:lineRule="auto"/>
        <w:jc w:val="both"/>
        <w:rPr>
          <w:rFonts w:ascii="Arial" w:hAnsi="Arial" w:cs="Arial"/>
          <w:lang w:val="es-MX"/>
        </w:rPr>
      </w:pPr>
    </w:p>
    <w:p w14:paraId="20765F79" w14:textId="77777777" w:rsidR="0034725E" w:rsidRDefault="004049E5" w:rsidP="0017381D">
      <w:pPr>
        <w:spacing w:line="360" w:lineRule="auto"/>
        <w:jc w:val="both"/>
        <w:rPr>
          <w:rFonts w:ascii="Arial" w:hAnsi="Arial" w:cs="Arial"/>
          <w:lang w:val="es-MX"/>
        </w:rPr>
      </w:pPr>
      <w:r>
        <w:rPr>
          <w:rFonts w:ascii="Arial" w:hAnsi="Arial" w:cs="Arial"/>
          <w:lang w:val="es-MX"/>
        </w:rPr>
        <w:t xml:space="preserve">Teniendo en cuenta que tanto la parte demandante como Corantioquia apelaron esta decisión, el Despacho absolverá de manera conjunta los argumentos planteados por los recurrentes, los cuales, en síntesis, están asociados con la necesidad de resolver lo atinente a la responsabilidad de la sociedad Sanear S.A., como un asunto de fondo y no en esta </w:t>
      </w:r>
      <w:r w:rsidR="0025314A">
        <w:rPr>
          <w:rFonts w:ascii="Arial" w:hAnsi="Arial" w:cs="Arial"/>
          <w:lang w:val="es-MX"/>
        </w:rPr>
        <w:t>etapa</w:t>
      </w:r>
      <w:r>
        <w:rPr>
          <w:rFonts w:ascii="Arial" w:hAnsi="Arial" w:cs="Arial"/>
          <w:lang w:val="es-MX"/>
        </w:rPr>
        <w:t xml:space="preserve"> procesal.</w:t>
      </w:r>
    </w:p>
    <w:p w14:paraId="78396D1C" w14:textId="77777777" w:rsidR="004049E5" w:rsidRDefault="004049E5" w:rsidP="0017381D">
      <w:pPr>
        <w:spacing w:line="360" w:lineRule="auto"/>
        <w:jc w:val="both"/>
        <w:rPr>
          <w:rFonts w:ascii="Arial" w:hAnsi="Arial" w:cs="Arial"/>
          <w:lang w:val="es-MX"/>
        </w:rPr>
      </w:pPr>
    </w:p>
    <w:p w14:paraId="4E1BC84D" w14:textId="77777777" w:rsidR="004049E5" w:rsidRDefault="004049E5" w:rsidP="0017381D">
      <w:pPr>
        <w:spacing w:line="360" w:lineRule="auto"/>
        <w:jc w:val="both"/>
        <w:rPr>
          <w:rFonts w:ascii="Arial" w:hAnsi="Arial" w:cs="Arial"/>
          <w:lang w:val="es-MX"/>
        </w:rPr>
      </w:pPr>
      <w:r>
        <w:rPr>
          <w:rFonts w:ascii="Arial" w:hAnsi="Arial" w:cs="Arial"/>
          <w:lang w:val="es-MX"/>
        </w:rPr>
        <w:t>De igual manera cabe destacar que los apelantes coincidieron en señalar que Sanear S.A., en su calidad de interventora de los contratos 9860 y 9902 de 2013, presentó el informe que sirvió de sustento al acto administrativo, a través del cual se declaró la caducidad de aquellos, de tal suerte que</w:t>
      </w:r>
      <w:r w:rsidR="0025314A">
        <w:rPr>
          <w:rFonts w:ascii="Arial" w:hAnsi="Arial" w:cs="Arial"/>
          <w:lang w:val="es-MX"/>
        </w:rPr>
        <w:t>, en su criterio, esa</w:t>
      </w:r>
      <w:r>
        <w:rPr>
          <w:rFonts w:ascii="Arial" w:hAnsi="Arial" w:cs="Arial"/>
          <w:lang w:val="es-MX"/>
        </w:rPr>
        <w:t xml:space="preserve"> participación debe ser analizada al momento de dirimir la presente controversia.</w:t>
      </w:r>
    </w:p>
    <w:p w14:paraId="1AE01900" w14:textId="77777777" w:rsidR="004049E5" w:rsidRDefault="004049E5" w:rsidP="0017381D">
      <w:pPr>
        <w:spacing w:line="360" w:lineRule="auto"/>
        <w:jc w:val="both"/>
        <w:rPr>
          <w:rFonts w:ascii="Arial" w:hAnsi="Arial" w:cs="Arial"/>
          <w:lang w:val="es-MX"/>
        </w:rPr>
      </w:pPr>
    </w:p>
    <w:p w14:paraId="222BE57A" w14:textId="77777777" w:rsidR="00240298" w:rsidRPr="007447EC" w:rsidRDefault="00240298" w:rsidP="00240298">
      <w:pPr>
        <w:spacing w:line="360" w:lineRule="auto"/>
        <w:jc w:val="both"/>
        <w:rPr>
          <w:rFonts w:ascii="Arial" w:hAnsi="Arial" w:cs="Arial"/>
          <w:iCs/>
        </w:rPr>
      </w:pPr>
      <w:r>
        <w:rPr>
          <w:rFonts w:ascii="Arial" w:hAnsi="Arial" w:cs="Arial"/>
          <w:iCs/>
        </w:rPr>
        <w:t xml:space="preserve">Para resolver los recursos interpuestos, el Despacho </w:t>
      </w:r>
      <w:r w:rsidRPr="007447EC">
        <w:rPr>
          <w:rFonts w:ascii="Arial" w:hAnsi="Arial" w:cs="Arial"/>
          <w:iCs/>
        </w:rPr>
        <w:t>considera que, tal como lo ha precisado de manera reiterada la jurisprudencia de esta Corporación, la legitimación en la causa por pasiva ha sido entendida como la capacidad para ser parte en el proceso y</w:t>
      </w:r>
      <w:r>
        <w:rPr>
          <w:rFonts w:ascii="Arial" w:hAnsi="Arial" w:cs="Arial"/>
          <w:iCs/>
        </w:rPr>
        <w:t xml:space="preserve">, en tal virtud, </w:t>
      </w:r>
      <w:r w:rsidRPr="007447EC">
        <w:rPr>
          <w:rFonts w:ascii="Arial" w:hAnsi="Arial" w:cs="Arial"/>
          <w:iCs/>
        </w:rPr>
        <w:t>comparecer a efectos de ejercer la defensa frente a las imputaciones efectuadas por la parte demandante.</w:t>
      </w:r>
    </w:p>
    <w:p w14:paraId="090F2FF2" w14:textId="77777777" w:rsidR="00240298" w:rsidRPr="007447EC" w:rsidRDefault="00240298" w:rsidP="00240298">
      <w:pPr>
        <w:spacing w:line="360" w:lineRule="auto"/>
        <w:jc w:val="both"/>
        <w:rPr>
          <w:rFonts w:ascii="Arial" w:hAnsi="Arial" w:cs="Arial"/>
          <w:iCs/>
        </w:rPr>
      </w:pPr>
    </w:p>
    <w:p w14:paraId="26AF1A5A" w14:textId="77777777" w:rsidR="00240298" w:rsidRPr="007447EC" w:rsidRDefault="00240298" w:rsidP="00240298">
      <w:pPr>
        <w:spacing w:line="360" w:lineRule="auto"/>
        <w:jc w:val="both"/>
        <w:rPr>
          <w:rFonts w:ascii="Arial" w:hAnsi="Arial" w:cs="Arial"/>
          <w:iCs/>
        </w:rPr>
      </w:pPr>
      <w:r>
        <w:rPr>
          <w:rFonts w:ascii="Arial" w:hAnsi="Arial" w:cs="Arial"/>
          <w:iCs/>
        </w:rPr>
        <w:t>Es así que, l</w:t>
      </w:r>
      <w:r w:rsidRPr="007447EC">
        <w:rPr>
          <w:rFonts w:ascii="Arial" w:hAnsi="Arial" w:cs="Arial"/>
          <w:iCs/>
        </w:rPr>
        <w:t xml:space="preserve">a legitimación </w:t>
      </w:r>
      <w:r w:rsidRPr="00240298">
        <w:rPr>
          <w:rFonts w:ascii="Arial" w:hAnsi="Arial" w:cs="Arial"/>
          <w:i/>
          <w:iCs/>
        </w:rPr>
        <w:t>de hecho</w:t>
      </w:r>
      <w:r w:rsidRPr="007447EC">
        <w:rPr>
          <w:rFonts w:ascii="Arial" w:hAnsi="Arial" w:cs="Arial"/>
          <w:iCs/>
        </w:rPr>
        <w:t xml:space="preserve"> surge de la formulación de </w:t>
      </w:r>
      <w:r>
        <w:rPr>
          <w:rFonts w:ascii="Arial" w:hAnsi="Arial" w:cs="Arial"/>
          <w:iCs/>
        </w:rPr>
        <w:t>imputaciones fácticas</w:t>
      </w:r>
      <w:r w:rsidRPr="007447EC">
        <w:rPr>
          <w:rFonts w:ascii="Arial" w:hAnsi="Arial" w:cs="Arial"/>
          <w:iCs/>
        </w:rPr>
        <w:t xml:space="preserve"> y </w:t>
      </w:r>
      <w:r>
        <w:rPr>
          <w:rFonts w:ascii="Arial" w:hAnsi="Arial" w:cs="Arial"/>
          <w:iCs/>
        </w:rPr>
        <w:t xml:space="preserve">de </w:t>
      </w:r>
      <w:r w:rsidRPr="007447EC">
        <w:rPr>
          <w:rFonts w:ascii="Arial" w:hAnsi="Arial" w:cs="Arial"/>
          <w:iCs/>
        </w:rPr>
        <w:t xml:space="preserve">pretensiones en contra de la parte pasiva, en tanto </w:t>
      </w:r>
      <w:proofErr w:type="gramStart"/>
      <w:r w:rsidRPr="007447EC">
        <w:rPr>
          <w:rFonts w:ascii="Arial" w:hAnsi="Arial" w:cs="Arial"/>
          <w:iCs/>
        </w:rPr>
        <w:t>la material</w:t>
      </w:r>
      <w:proofErr w:type="gramEnd"/>
      <w:r w:rsidRPr="007447EC">
        <w:rPr>
          <w:rFonts w:ascii="Arial" w:hAnsi="Arial" w:cs="Arial"/>
          <w:iCs/>
        </w:rPr>
        <w:t xml:space="preserve"> es condición necesaria para la prosperidad de </w:t>
      </w:r>
      <w:r>
        <w:rPr>
          <w:rFonts w:ascii="Arial" w:hAnsi="Arial" w:cs="Arial"/>
          <w:iCs/>
        </w:rPr>
        <w:t>estas</w:t>
      </w:r>
      <w:r w:rsidRPr="007447EC">
        <w:rPr>
          <w:rFonts w:ascii="Arial" w:hAnsi="Arial" w:cs="Arial"/>
          <w:iCs/>
        </w:rPr>
        <w:t>. En este orden de ideas, en criterio del Despacho, la imputación razonable de un daño a una persona y la solicitud del resarcimiento correspondiente supone la legitimación en la causa por pasiva de hecho, sin que tal planteamiento implique</w:t>
      </w:r>
      <w:r w:rsidR="0025314A">
        <w:rPr>
          <w:rFonts w:ascii="Arial" w:hAnsi="Arial" w:cs="Arial"/>
          <w:iCs/>
        </w:rPr>
        <w:t>,</w:t>
      </w:r>
      <w:r w:rsidRPr="007447EC">
        <w:rPr>
          <w:rFonts w:ascii="Arial" w:hAnsi="Arial" w:cs="Arial"/>
          <w:iCs/>
        </w:rPr>
        <w:t xml:space="preserve"> en manera alguna</w:t>
      </w:r>
      <w:r w:rsidR="0025314A">
        <w:rPr>
          <w:rFonts w:ascii="Arial" w:hAnsi="Arial" w:cs="Arial"/>
          <w:iCs/>
        </w:rPr>
        <w:t>,</w:t>
      </w:r>
      <w:r w:rsidRPr="007447EC">
        <w:rPr>
          <w:rFonts w:ascii="Arial" w:hAnsi="Arial" w:cs="Arial"/>
          <w:iCs/>
        </w:rPr>
        <w:t xml:space="preserve"> la atribución de responsabilidad en este escenario procesal, toda vez que ello solamente es posible al momento de proferir decisión de fondo, con base en el material probatorio debidamente incorporado a la actuación.</w:t>
      </w:r>
    </w:p>
    <w:p w14:paraId="2692B475" w14:textId="77777777" w:rsidR="00240298" w:rsidRDefault="00240298" w:rsidP="00240298">
      <w:pPr>
        <w:jc w:val="both"/>
        <w:rPr>
          <w:rFonts w:ascii="Arial" w:hAnsi="Arial" w:cs="Arial"/>
          <w:iCs/>
        </w:rPr>
      </w:pPr>
    </w:p>
    <w:p w14:paraId="6521A419" w14:textId="77777777" w:rsidR="00240298" w:rsidRPr="005F7B60" w:rsidRDefault="00240298" w:rsidP="00240298">
      <w:pPr>
        <w:spacing w:line="360" w:lineRule="auto"/>
        <w:jc w:val="both"/>
        <w:rPr>
          <w:rFonts w:ascii="Arial" w:hAnsi="Arial" w:cs="Arial"/>
          <w:iCs/>
        </w:rPr>
      </w:pPr>
      <w:r w:rsidRPr="005F7B60">
        <w:rPr>
          <w:rFonts w:ascii="Arial" w:hAnsi="Arial" w:cs="Arial"/>
          <w:iCs/>
        </w:rPr>
        <w:t>Luego, la legit</w:t>
      </w:r>
      <w:r>
        <w:rPr>
          <w:rFonts w:ascii="Arial" w:hAnsi="Arial" w:cs="Arial"/>
          <w:iCs/>
        </w:rPr>
        <w:t>imación en la causa por pasiva -</w:t>
      </w:r>
      <w:r w:rsidRPr="0025314A">
        <w:rPr>
          <w:rFonts w:ascii="Arial" w:hAnsi="Arial" w:cs="Arial"/>
          <w:i/>
          <w:iCs/>
        </w:rPr>
        <w:t>de hecho</w:t>
      </w:r>
      <w:r w:rsidRPr="005F7B60">
        <w:rPr>
          <w:rFonts w:ascii="Arial" w:hAnsi="Arial" w:cs="Arial"/>
          <w:iCs/>
        </w:rPr>
        <w:t xml:space="preserve">-, desde el punto de vista procesal, supone la capacidad para ser parte y acudir directamente al juicio de responsabilidad, en orden a ejercer el derecho de defensa frente a los hechos y </w:t>
      </w:r>
      <w:r w:rsidRPr="005F7B60">
        <w:rPr>
          <w:rFonts w:ascii="Arial" w:hAnsi="Arial" w:cs="Arial"/>
          <w:iCs/>
        </w:rPr>
        <w:lastRenderedPageBreak/>
        <w:t xml:space="preserve">pretensiones formulados por el extremo </w:t>
      </w:r>
      <w:r w:rsidR="0025314A">
        <w:rPr>
          <w:rFonts w:ascii="Arial" w:hAnsi="Arial" w:cs="Arial"/>
          <w:iCs/>
        </w:rPr>
        <w:t>activo</w:t>
      </w:r>
      <w:r w:rsidRPr="005F7B60">
        <w:rPr>
          <w:rFonts w:ascii="Arial" w:hAnsi="Arial" w:cs="Arial"/>
          <w:iCs/>
        </w:rPr>
        <w:t>, en tanto que la legitimación material en la causa implica un estudio de fondo, en cuya virtud se establece si existió o no una participación efectiva del demandado en la producción de un daño antijurídico, de ahí que la diferencia existente entre estos dos conceptos resulte relevante para comprender la etapa en la cual debe decidirse frente a su configuración.</w:t>
      </w:r>
    </w:p>
    <w:p w14:paraId="56A14ABE" w14:textId="77777777" w:rsidR="00240298" w:rsidRPr="005F7B60" w:rsidRDefault="00240298" w:rsidP="00240298">
      <w:pPr>
        <w:spacing w:line="360" w:lineRule="auto"/>
        <w:jc w:val="both"/>
        <w:rPr>
          <w:rFonts w:ascii="Arial" w:hAnsi="Arial" w:cs="Arial"/>
          <w:iCs/>
        </w:rPr>
      </w:pPr>
    </w:p>
    <w:p w14:paraId="04BD37F0" w14:textId="77777777" w:rsidR="00240298" w:rsidRDefault="00240298" w:rsidP="00240298">
      <w:pPr>
        <w:spacing w:line="360" w:lineRule="auto"/>
        <w:jc w:val="both"/>
        <w:rPr>
          <w:rFonts w:ascii="Arial" w:hAnsi="Arial" w:cs="Arial"/>
          <w:iCs/>
        </w:rPr>
      </w:pPr>
      <w:r w:rsidRPr="005F7B60">
        <w:rPr>
          <w:rFonts w:ascii="Arial" w:hAnsi="Arial" w:cs="Arial"/>
          <w:iCs/>
        </w:rPr>
        <w:t xml:space="preserve">Así, mientras la legitimación en la causa por pasiva de hecho se vislumbra a partir de la imputación que la parte actora hace al extremo demandado, la legitimación material únicamente puede verificarse como consecuencia del estudio probatorio, dirigido a establecer si se configuró la responsabilidad endilgada desde el libelo inicial, circunstancia que </w:t>
      </w:r>
      <w:r w:rsidR="0025314A">
        <w:rPr>
          <w:rFonts w:ascii="Arial" w:hAnsi="Arial" w:cs="Arial"/>
          <w:iCs/>
        </w:rPr>
        <w:t>implica</w:t>
      </w:r>
      <w:r w:rsidRPr="005F7B60">
        <w:rPr>
          <w:rFonts w:ascii="Arial" w:hAnsi="Arial" w:cs="Arial"/>
          <w:iCs/>
        </w:rPr>
        <w:t xml:space="preserve"> un pronunciamiento de fondo que, en principio, no es propio de las etapas iniciales del proceso, entre las cuales se encuentra la audiencia prevista en el artículo 180 del  CPACA.</w:t>
      </w:r>
    </w:p>
    <w:p w14:paraId="6A17AEA7" w14:textId="77777777" w:rsidR="00240298" w:rsidRDefault="00240298" w:rsidP="00240298">
      <w:pPr>
        <w:spacing w:line="360" w:lineRule="auto"/>
        <w:jc w:val="both"/>
        <w:rPr>
          <w:rFonts w:ascii="Arial" w:hAnsi="Arial" w:cs="Arial"/>
          <w:iCs/>
        </w:rPr>
      </w:pPr>
    </w:p>
    <w:p w14:paraId="29942CEA" w14:textId="77777777" w:rsidR="00240298" w:rsidRDefault="00240298" w:rsidP="00240298">
      <w:pPr>
        <w:spacing w:line="360" w:lineRule="auto"/>
        <w:jc w:val="both"/>
        <w:rPr>
          <w:rFonts w:ascii="Arial" w:hAnsi="Arial" w:cs="Arial"/>
          <w:iCs/>
        </w:rPr>
      </w:pPr>
      <w:r>
        <w:rPr>
          <w:rFonts w:ascii="Arial" w:hAnsi="Arial" w:cs="Arial"/>
          <w:iCs/>
        </w:rPr>
        <w:t>La revisión de la demanda permite establecer</w:t>
      </w:r>
      <w:r w:rsidR="0025314A">
        <w:rPr>
          <w:rFonts w:ascii="Arial" w:hAnsi="Arial" w:cs="Arial"/>
          <w:iCs/>
        </w:rPr>
        <w:t>,</w:t>
      </w:r>
      <w:r>
        <w:rPr>
          <w:rFonts w:ascii="Arial" w:hAnsi="Arial" w:cs="Arial"/>
          <w:iCs/>
        </w:rPr>
        <w:t xml:space="preserve"> sin lugar a dudas</w:t>
      </w:r>
      <w:r w:rsidR="0025314A">
        <w:rPr>
          <w:rFonts w:ascii="Arial" w:hAnsi="Arial" w:cs="Arial"/>
          <w:iCs/>
        </w:rPr>
        <w:t>,</w:t>
      </w:r>
      <w:r>
        <w:rPr>
          <w:rFonts w:ascii="Arial" w:hAnsi="Arial" w:cs="Arial"/>
          <w:iCs/>
        </w:rPr>
        <w:t xml:space="preserve"> que las pretensiones, tanto principales como subsidiarias</w:t>
      </w:r>
      <w:r>
        <w:rPr>
          <w:rStyle w:val="Refdenotaalpie"/>
          <w:rFonts w:ascii="Arial" w:hAnsi="Arial" w:cs="Arial"/>
          <w:iCs/>
        </w:rPr>
        <w:footnoteReference w:id="13"/>
      </w:r>
      <w:r>
        <w:rPr>
          <w:rFonts w:ascii="Arial" w:hAnsi="Arial" w:cs="Arial"/>
          <w:iCs/>
        </w:rPr>
        <w:t xml:space="preserve"> fueron dirigidas únicamente contra Corantioquia, en la medida en que las peticiones de carácter declarativo -nulidad de actos administrativos-, así como las de contenido económico -reintegro de sumas de dinero no pagadas por Corantioquia (retenidas)- se plantearon solamente respecto de la entidad pública demandada, sin que se mencione en ninguno de sus apartes a la sociedad interventora de los contratos.</w:t>
      </w:r>
    </w:p>
    <w:p w14:paraId="348BC43B" w14:textId="77777777" w:rsidR="00240298" w:rsidRDefault="00240298" w:rsidP="00240298">
      <w:pPr>
        <w:spacing w:line="360" w:lineRule="auto"/>
        <w:jc w:val="both"/>
        <w:rPr>
          <w:rFonts w:ascii="Arial" w:hAnsi="Arial" w:cs="Arial"/>
          <w:iCs/>
        </w:rPr>
      </w:pPr>
    </w:p>
    <w:p w14:paraId="70F3E040" w14:textId="77777777" w:rsidR="00240298" w:rsidRDefault="00240298" w:rsidP="00240298">
      <w:pPr>
        <w:spacing w:line="360" w:lineRule="auto"/>
        <w:jc w:val="both"/>
        <w:rPr>
          <w:rFonts w:ascii="Arial" w:hAnsi="Arial" w:cs="Arial"/>
          <w:lang w:val="es-MX"/>
        </w:rPr>
      </w:pPr>
      <w:r>
        <w:rPr>
          <w:rFonts w:ascii="Arial" w:hAnsi="Arial" w:cs="Arial"/>
          <w:iCs/>
        </w:rPr>
        <w:t xml:space="preserve">No desconoce el Despacho que los hechos plasmados en el libelo inicial dan cuenta </w:t>
      </w:r>
      <w:r w:rsidR="00160ED9">
        <w:rPr>
          <w:rFonts w:ascii="Arial" w:hAnsi="Arial" w:cs="Arial"/>
          <w:iCs/>
        </w:rPr>
        <w:t>de las irregularidades</w:t>
      </w:r>
      <w:r w:rsidR="00D07271">
        <w:rPr>
          <w:rFonts w:ascii="Arial" w:hAnsi="Arial" w:cs="Arial"/>
          <w:iCs/>
        </w:rPr>
        <w:t xml:space="preserve"> endilgadas a</w:t>
      </w:r>
      <w:r w:rsidR="00160ED9">
        <w:rPr>
          <w:rFonts w:ascii="Arial" w:hAnsi="Arial" w:cs="Arial"/>
          <w:iCs/>
        </w:rPr>
        <w:t xml:space="preserve"> la sociedad interventora de los contratos </w:t>
      </w:r>
      <w:r w:rsidR="00160ED9">
        <w:rPr>
          <w:rFonts w:ascii="Arial" w:hAnsi="Arial" w:cs="Arial"/>
          <w:lang w:val="es-MX"/>
        </w:rPr>
        <w:t>9860 y 9902 de 2013 y la manera en que el informe de interventoría pudo incidir en la expedición de los actos administrativos demandados; sin embargo, la ausencia de pretensiones en contra de la demandada Sanear S.A. deviene en la falta de legitimación en la causa por pasiva, puesto que resultaría inane un estudio de responsabilidad de una parte frente a la cual no existen pretensiones declarativas y menos de condena, de ahí que cualquier pronunciamiento condenatorio en su contra afectaría el principio de congruencia de la sentencia.</w:t>
      </w:r>
    </w:p>
    <w:p w14:paraId="56EEE8C4" w14:textId="77777777" w:rsidR="00160ED9" w:rsidRDefault="00160ED9" w:rsidP="00240298">
      <w:pPr>
        <w:spacing w:line="360" w:lineRule="auto"/>
        <w:jc w:val="both"/>
        <w:rPr>
          <w:rFonts w:ascii="Arial" w:hAnsi="Arial" w:cs="Arial"/>
          <w:lang w:val="es-MX"/>
        </w:rPr>
      </w:pPr>
    </w:p>
    <w:p w14:paraId="2664883D" w14:textId="77777777" w:rsidR="00160ED9" w:rsidRDefault="00160ED9" w:rsidP="00240298">
      <w:pPr>
        <w:spacing w:line="360" w:lineRule="auto"/>
        <w:jc w:val="both"/>
        <w:rPr>
          <w:rFonts w:ascii="Arial" w:hAnsi="Arial" w:cs="Arial"/>
          <w:lang w:val="es-MX"/>
        </w:rPr>
      </w:pPr>
      <w:r>
        <w:rPr>
          <w:rFonts w:ascii="Arial" w:hAnsi="Arial" w:cs="Arial"/>
          <w:lang w:val="es-MX"/>
        </w:rPr>
        <w:t xml:space="preserve">A manera de conclusión, resulta válido afirmar que la ausencia de pretensiones en contra de la sociedad Sanear S.A. deviene en la falta de legitimación en la causa por pasiva </w:t>
      </w:r>
      <w:r>
        <w:rPr>
          <w:rFonts w:ascii="Arial" w:hAnsi="Arial" w:cs="Arial"/>
          <w:i/>
          <w:lang w:val="es-MX"/>
        </w:rPr>
        <w:t>de hecho</w:t>
      </w:r>
      <w:r>
        <w:rPr>
          <w:rFonts w:ascii="Arial" w:hAnsi="Arial" w:cs="Arial"/>
          <w:lang w:val="es-MX"/>
        </w:rPr>
        <w:t xml:space="preserve">, por cuanto no existe una imputación razonada ni una vocación </w:t>
      </w:r>
      <w:r>
        <w:rPr>
          <w:rFonts w:ascii="Arial" w:hAnsi="Arial" w:cs="Arial"/>
          <w:lang w:val="es-MX"/>
        </w:rPr>
        <w:lastRenderedPageBreak/>
        <w:t>resarcitoria de la demanda en relación con esta integrante del extremo pasivo y esa deficiencia impide efectuar un pronunciamiento en su contra, razón por la cual su continuidad en el proceso supone un desgaste innecesario.</w:t>
      </w:r>
    </w:p>
    <w:p w14:paraId="79CB4840" w14:textId="77777777" w:rsidR="00160ED9" w:rsidRDefault="00160ED9" w:rsidP="00240298">
      <w:pPr>
        <w:spacing w:line="360" w:lineRule="auto"/>
        <w:jc w:val="both"/>
        <w:rPr>
          <w:rFonts w:ascii="Arial" w:hAnsi="Arial" w:cs="Arial"/>
          <w:lang w:val="es-MX"/>
        </w:rPr>
      </w:pPr>
    </w:p>
    <w:p w14:paraId="069FB305" w14:textId="77777777" w:rsidR="00160ED9" w:rsidRDefault="00160ED9" w:rsidP="00240298">
      <w:pPr>
        <w:spacing w:line="360" w:lineRule="auto"/>
        <w:jc w:val="both"/>
        <w:rPr>
          <w:rFonts w:ascii="Arial" w:hAnsi="Arial" w:cs="Arial"/>
          <w:lang w:val="es-MX"/>
        </w:rPr>
      </w:pPr>
      <w:r>
        <w:rPr>
          <w:rFonts w:ascii="Arial" w:hAnsi="Arial" w:cs="Arial"/>
          <w:lang w:val="es-MX"/>
        </w:rPr>
        <w:t>Con fundamento en lo anterior, se confirmará la decisión de primera instancia frente a este tema, no sin antes precisar que tanto la parte demandante como la demandada se encuentra</w:t>
      </w:r>
      <w:r w:rsidR="00836C9A">
        <w:rPr>
          <w:rFonts w:ascii="Arial" w:hAnsi="Arial" w:cs="Arial"/>
          <w:lang w:val="es-MX"/>
        </w:rPr>
        <w:t>n</w:t>
      </w:r>
      <w:r>
        <w:rPr>
          <w:rFonts w:ascii="Arial" w:hAnsi="Arial" w:cs="Arial"/>
          <w:lang w:val="es-MX"/>
        </w:rPr>
        <w:t xml:space="preserve"> facultados para ejercer sus pretensiones resarcitorias</w:t>
      </w:r>
      <w:r w:rsidR="00D07271">
        <w:rPr>
          <w:rFonts w:ascii="Arial" w:hAnsi="Arial" w:cs="Arial"/>
          <w:lang w:val="es-MX"/>
        </w:rPr>
        <w:t xml:space="preserve"> en contra del interventor de los contratos</w:t>
      </w:r>
      <w:r>
        <w:rPr>
          <w:rFonts w:ascii="Arial" w:hAnsi="Arial" w:cs="Arial"/>
          <w:lang w:val="es-MX"/>
        </w:rPr>
        <w:t>, si a ello hubiere lugar, a través del correspondiente medio de control, en tanto se cumplan los requisitos y condiciones para ello; lo que aquí se acaba de determinar es la ausencia de pretensiones en contra de la sociedad Sanear S.A. y la imposibilidad que ello supone para proferir decisiones en su contra.</w:t>
      </w:r>
    </w:p>
    <w:p w14:paraId="37A36C5B" w14:textId="77777777" w:rsidR="00836C9A" w:rsidRDefault="00836C9A" w:rsidP="00240298">
      <w:pPr>
        <w:spacing w:line="360" w:lineRule="auto"/>
        <w:jc w:val="both"/>
        <w:rPr>
          <w:rFonts w:ascii="Arial" w:hAnsi="Arial" w:cs="Arial"/>
          <w:lang w:val="es-MX"/>
        </w:rPr>
      </w:pPr>
    </w:p>
    <w:p w14:paraId="1380B8FA" w14:textId="77777777" w:rsidR="00836C9A" w:rsidRPr="00160ED9" w:rsidRDefault="00836C9A" w:rsidP="00240298">
      <w:pPr>
        <w:spacing w:line="360" w:lineRule="auto"/>
        <w:jc w:val="both"/>
        <w:rPr>
          <w:rFonts w:ascii="Arial" w:hAnsi="Arial" w:cs="Arial"/>
          <w:iCs/>
        </w:rPr>
      </w:pPr>
      <w:r>
        <w:rPr>
          <w:rFonts w:ascii="Arial" w:hAnsi="Arial" w:cs="Arial"/>
          <w:lang w:val="es-MX"/>
        </w:rPr>
        <w:t xml:space="preserve">De </w:t>
      </w:r>
      <w:r w:rsidR="00EA0295">
        <w:rPr>
          <w:rFonts w:ascii="Arial" w:hAnsi="Arial" w:cs="Arial"/>
          <w:lang w:val="es-MX"/>
        </w:rPr>
        <w:t>conformidad con las consideraciones que anteceden, se modificará la decisión adoptada por el Tribunal Administrativo de Antioquia, el 17 de agosto de 2016, en el curso de la audiencia inicial.</w:t>
      </w:r>
    </w:p>
    <w:p w14:paraId="4C450119" w14:textId="77777777" w:rsidR="004049E5" w:rsidRPr="0017381D" w:rsidRDefault="004049E5" w:rsidP="0017381D">
      <w:pPr>
        <w:spacing w:line="360" w:lineRule="auto"/>
        <w:jc w:val="both"/>
        <w:rPr>
          <w:rFonts w:ascii="Arial" w:hAnsi="Arial" w:cs="Arial"/>
          <w:lang w:val="es-MX"/>
        </w:rPr>
      </w:pPr>
    </w:p>
    <w:p w14:paraId="0E47F15B" w14:textId="77777777" w:rsidR="00A17C15" w:rsidRDefault="00A17C15" w:rsidP="00A17C15">
      <w:pPr>
        <w:spacing w:line="360" w:lineRule="auto"/>
        <w:jc w:val="both"/>
        <w:rPr>
          <w:rFonts w:ascii="Arial" w:hAnsi="Arial" w:cs="Arial"/>
          <w:iCs/>
        </w:rPr>
      </w:pPr>
      <w:r w:rsidRPr="004E6A2A">
        <w:rPr>
          <w:rFonts w:ascii="Arial" w:hAnsi="Arial" w:cs="Arial"/>
          <w:iCs/>
        </w:rPr>
        <w:t>En mérito de lo expuesto, el Consejo de Estado, Sala de lo Contencioso Administrativo,</w:t>
      </w:r>
      <w:r>
        <w:rPr>
          <w:rFonts w:ascii="Arial" w:hAnsi="Arial" w:cs="Arial"/>
          <w:iCs/>
        </w:rPr>
        <w:t xml:space="preserve"> Sección Tercera, Subsección A,</w:t>
      </w:r>
    </w:p>
    <w:p w14:paraId="7902D84B" w14:textId="77777777" w:rsidR="00A17C15" w:rsidRDefault="00A17C15" w:rsidP="00A94BC5">
      <w:pPr>
        <w:jc w:val="both"/>
        <w:rPr>
          <w:rFonts w:ascii="Arial" w:hAnsi="Arial" w:cs="Arial"/>
          <w:iCs/>
        </w:rPr>
      </w:pPr>
    </w:p>
    <w:p w14:paraId="7D30A3D6" w14:textId="77777777" w:rsidR="00A17C15" w:rsidRPr="007B6DB9" w:rsidRDefault="00A17C15" w:rsidP="00A17C15">
      <w:pPr>
        <w:pStyle w:val="Textoindependiente"/>
        <w:spacing w:line="360" w:lineRule="auto"/>
        <w:jc w:val="center"/>
        <w:rPr>
          <w:rFonts w:cs="Arial"/>
          <w:sz w:val="24"/>
          <w:szCs w:val="24"/>
        </w:rPr>
      </w:pPr>
      <w:r w:rsidRPr="007B6DB9">
        <w:rPr>
          <w:rFonts w:cs="Arial"/>
          <w:b/>
          <w:sz w:val="24"/>
          <w:szCs w:val="24"/>
        </w:rPr>
        <w:t>RESUELVE</w:t>
      </w:r>
      <w:r w:rsidRPr="007B6DB9">
        <w:rPr>
          <w:rFonts w:cs="Arial"/>
          <w:sz w:val="24"/>
          <w:szCs w:val="24"/>
        </w:rPr>
        <w:t>:</w:t>
      </w:r>
    </w:p>
    <w:p w14:paraId="4E0A4CD7" w14:textId="77777777" w:rsidR="00ED6C6F" w:rsidRDefault="00ED6C6F" w:rsidP="00A94BC5">
      <w:pPr>
        <w:pStyle w:val="Textoindependiente"/>
        <w:jc w:val="center"/>
        <w:rPr>
          <w:rFonts w:cs="Arial"/>
          <w:szCs w:val="24"/>
        </w:rPr>
      </w:pPr>
    </w:p>
    <w:p w14:paraId="7C32B6EF" w14:textId="77777777" w:rsidR="00EA0295" w:rsidRDefault="00A17C15" w:rsidP="00FB7993">
      <w:pPr>
        <w:overflowPunct w:val="0"/>
        <w:autoSpaceDE w:val="0"/>
        <w:autoSpaceDN w:val="0"/>
        <w:adjustRightInd w:val="0"/>
        <w:spacing w:line="360" w:lineRule="auto"/>
        <w:jc w:val="both"/>
        <w:textAlignment w:val="baseline"/>
        <w:rPr>
          <w:rFonts w:ascii="Arial" w:hAnsi="Arial" w:cs="Arial"/>
        </w:rPr>
      </w:pPr>
      <w:r w:rsidRPr="00ED6C6F">
        <w:rPr>
          <w:rFonts w:ascii="Arial" w:hAnsi="Arial" w:cs="Arial"/>
          <w:b/>
        </w:rPr>
        <w:t xml:space="preserve">PRIMERO: </w:t>
      </w:r>
      <w:r w:rsidR="00EA0295">
        <w:rPr>
          <w:rFonts w:ascii="Arial" w:hAnsi="Arial" w:cs="Arial"/>
          <w:b/>
        </w:rPr>
        <w:t xml:space="preserve">MODIFICAR </w:t>
      </w:r>
      <w:r w:rsidR="00EA0295">
        <w:rPr>
          <w:rFonts w:ascii="Arial" w:hAnsi="Arial" w:cs="Arial"/>
        </w:rPr>
        <w:t>la providencia dictada por el Tribunal Administrativo de Antioquia en la audiencia inicial celebrada el 17 de agosto de 2016, la cual quedará así:</w:t>
      </w:r>
    </w:p>
    <w:p w14:paraId="40A0DF11" w14:textId="77777777" w:rsidR="00EA0295" w:rsidRDefault="00EA0295" w:rsidP="00EA0295">
      <w:pPr>
        <w:overflowPunct w:val="0"/>
        <w:autoSpaceDE w:val="0"/>
        <w:autoSpaceDN w:val="0"/>
        <w:adjustRightInd w:val="0"/>
        <w:spacing w:line="360" w:lineRule="auto"/>
        <w:ind w:left="567" w:right="567"/>
        <w:jc w:val="both"/>
        <w:textAlignment w:val="baseline"/>
        <w:rPr>
          <w:rFonts w:ascii="Arial" w:hAnsi="Arial" w:cs="Arial"/>
        </w:rPr>
      </w:pPr>
    </w:p>
    <w:p w14:paraId="769A6CE8" w14:textId="77777777" w:rsidR="00FB7993" w:rsidRDefault="00EA0295" w:rsidP="00EA0295">
      <w:pPr>
        <w:overflowPunct w:val="0"/>
        <w:autoSpaceDE w:val="0"/>
        <w:autoSpaceDN w:val="0"/>
        <w:adjustRightInd w:val="0"/>
        <w:spacing w:line="360" w:lineRule="auto"/>
        <w:ind w:left="567" w:right="567"/>
        <w:jc w:val="both"/>
        <w:textAlignment w:val="baseline"/>
        <w:rPr>
          <w:rFonts w:ascii="Arial" w:eastAsia="Calibri" w:hAnsi="Arial" w:cs="Arial"/>
          <w:bCs/>
          <w:lang w:val="es-CO" w:eastAsia="en-US"/>
        </w:rPr>
      </w:pPr>
      <w:r>
        <w:rPr>
          <w:rFonts w:ascii="Arial" w:hAnsi="Arial" w:cs="Arial"/>
        </w:rPr>
        <w:t xml:space="preserve">“1. </w:t>
      </w:r>
      <w:r w:rsidR="00FB7993" w:rsidRPr="0087371F">
        <w:rPr>
          <w:rFonts w:ascii="Arial" w:hAnsi="Arial" w:cs="Arial"/>
          <w:b/>
        </w:rPr>
        <w:t xml:space="preserve">RECHAZAR </w:t>
      </w:r>
      <w:r w:rsidR="00FB7993" w:rsidRPr="0087371F">
        <w:rPr>
          <w:rFonts w:ascii="Arial" w:hAnsi="Arial" w:cs="Arial"/>
        </w:rPr>
        <w:t>por improcedente el recurso de ape</w:t>
      </w:r>
      <w:r w:rsidR="00FB7993">
        <w:rPr>
          <w:rFonts w:ascii="Arial" w:hAnsi="Arial" w:cs="Arial"/>
        </w:rPr>
        <w:t>lación interpuesto por la parte demanda</w:t>
      </w:r>
      <w:r>
        <w:rPr>
          <w:rFonts w:ascii="Arial" w:hAnsi="Arial" w:cs="Arial"/>
        </w:rPr>
        <w:t xml:space="preserve">da, Corantioquia, en contra </w:t>
      </w:r>
      <w:r w:rsidR="00FB7993">
        <w:rPr>
          <w:rFonts w:ascii="Arial" w:hAnsi="Arial" w:cs="Arial"/>
        </w:rPr>
        <w:t xml:space="preserve">del auto </w:t>
      </w:r>
      <w:r>
        <w:rPr>
          <w:rFonts w:ascii="Arial" w:hAnsi="Arial" w:cs="Arial"/>
        </w:rPr>
        <w:t>proferido por el Tribunal Administrativo de Antioquia</w:t>
      </w:r>
      <w:r w:rsidR="00D07271">
        <w:rPr>
          <w:rFonts w:ascii="Arial" w:hAnsi="Arial" w:cs="Arial"/>
        </w:rPr>
        <w:t xml:space="preserve"> </w:t>
      </w:r>
      <w:r>
        <w:rPr>
          <w:rFonts w:ascii="Arial" w:hAnsi="Arial" w:cs="Arial"/>
        </w:rPr>
        <w:t>que negó la excepción denominada “</w:t>
      </w:r>
      <w:r>
        <w:rPr>
          <w:rFonts w:ascii="Arial" w:hAnsi="Arial" w:cs="Arial"/>
          <w:i/>
        </w:rPr>
        <w:t>falta de agotamiento de</w:t>
      </w:r>
      <w:r w:rsidR="00D07271">
        <w:rPr>
          <w:rFonts w:ascii="Arial" w:hAnsi="Arial" w:cs="Arial"/>
          <w:i/>
        </w:rPr>
        <w:t>l requisito de procedibilidad -c</w:t>
      </w:r>
      <w:r>
        <w:rPr>
          <w:rFonts w:ascii="Arial" w:hAnsi="Arial" w:cs="Arial"/>
          <w:i/>
        </w:rPr>
        <w:t>onciliación prejudicial-”</w:t>
      </w:r>
      <w:r w:rsidR="00FB7993">
        <w:rPr>
          <w:rFonts w:ascii="Arial" w:hAnsi="Arial" w:cs="Arial"/>
        </w:rPr>
        <w:t>.</w:t>
      </w:r>
      <w:r w:rsidR="00FB7993" w:rsidRPr="001B52BD">
        <w:rPr>
          <w:rFonts w:ascii="Arial" w:eastAsia="Calibri" w:hAnsi="Arial" w:cs="Arial"/>
          <w:lang w:val="es-CO" w:eastAsia="en-US"/>
        </w:rPr>
        <w:t xml:space="preserve"> </w:t>
      </w:r>
      <w:r w:rsidR="00FB7993">
        <w:rPr>
          <w:rFonts w:ascii="Arial" w:eastAsia="Calibri" w:hAnsi="Arial" w:cs="Arial"/>
          <w:lang w:val="es-CO" w:eastAsia="en-US"/>
        </w:rPr>
        <w:t>Como</w:t>
      </w:r>
      <w:r w:rsidR="00FB7993" w:rsidRPr="00947D31">
        <w:rPr>
          <w:rFonts w:ascii="Arial" w:eastAsia="Calibri" w:hAnsi="Arial" w:cs="Arial"/>
          <w:lang w:val="es-CO" w:eastAsia="en-US"/>
        </w:rPr>
        <w:t xml:space="preserve"> consecuencia, e</w:t>
      </w:r>
      <w:r w:rsidR="00FB7993" w:rsidRPr="00947D31">
        <w:rPr>
          <w:rFonts w:ascii="Arial" w:eastAsia="Calibri" w:hAnsi="Arial" w:cs="Arial"/>
          <w:bCs/>
          <w:lang w:val="es-CO" w:eastAsia="en-US"/>
        </w:rPr>
        <w:t xml:space="preserve">l Tribunal </w:t>
      </w:r>
      <w:r w:rsidR="00FB7993" w:rsidRPr="00947D31">
        <w:rPr>
          <w:rFonts w:ascii="Arial" w:eastAsia="Calibri" w:hAnsi="Arial" w:cs="Arial"/>
          <w:b/>
          <w:bCs/>
          <w:lang w:val="es-CO" w:eastAsia="en-US"/>
        </w:rPr>
        <w:t xml:space="preserve">ADECUARÁ </w:t>
      </w:r>
      <w:r w:rsidR="00FB7993" w:rsidRPr="00947D31">
        <w:rPr>
          <w:rFonts w:ascii="Arial" w:eastAsia="Calibri" w:hAnsi="Arial" w:cs="Arial"/>
          <w:bCs/>
          <w:lang w:val="es-CO" w:eastAsia="en-US"/>
        </w:rPr>
        <w:t xml:space="preserve">el trámite del recurso formulado al de reposición, </w:t>
      </w:r>
      <w:r w:rsidR="00E62751">
        <w:rPr>
          <w:rFonts w:ascii="Arial" w:eastAsia="Calibri" w:hAnsi="Arial" w:cs="Arial"/>
          <w:bCs/>
          <w:lang w:val="es-CO" w:eastAsia="en-US"/>
        </w:rPr>
        <w:t>para lo cual deberá tener en cuenta la</w:t>
      </w:r>
      <w:r w:rsidR="00FB7993">
        <w:rPr>
          <w:rFonts w:ascii="Arial" w:eastAsia="Calibri" w:hAnsi="Arial" w:cs="Arial"/>
          <w:bCs/>
          <w:lang w:val="es-CO" w:eastAsia="en-US"/>
        </w:rPr>
        <w:t>s consideraciones expuestas en precedencia</w:t>
      </w:r>
      <w:r w:rsidR="00FB7993" w:rsidRPr="00947D31">
        <w:rPr>
          <w:rFonts w:ascii="Arial" w:eastAsia="Calibri" w:hAnsi="Arial" w:cs="Arial"/>
          <w:bCs/>
          <w:lang w:val="es-CO" w:eastAsia="en-US"/>
        </w:rPr>
        <w:t>.</w:t>
      </w:r>
    </w:p>
    <w:p w14:paraId="1D510967" w14:textId="77777777" w:rsidR="00EA0295" w:rsidRDefault="00EA0295" w:rsidP="00EA0295">
      <w:pPr>
        <w:overflowPunct w:val="0"/>
        <w:autoSpaceDE w:val="0"/>
        <w:autoSpaceDN w:val="0"/>
        <w:adjustRightInd w:val="0"/>
        <w:spacing w:line="360" w:lineRule="auto"/>
        <w:ind w:left="567" w:right="567"/>
        <w:jc w:val="both"/>
        <w:textAlignment w:val="baseline"/>
        <w:rPr>
          <w:rFonts w:ascii="Arial" w:eastAsia="Calibri" w:hAnsi="Arial" w:cs="Arial"/>
          <w:bCs/>
          <w:lang w:val="es-CO" w:eastAsia="en-US"/>
        </w:rPr>
      </w:pPr>
    </w:p>
    <w:p w14:paraId="48E2777B" w14:textId="77777777" w:rsidR="00EA0295" w:rsidRDefault="00EA0295" w:rsidP="00EA0295">
      <w:pPr>
        <w:overflowPunct w:val="0"/>
        <w:autoSpaceDE w:val="0"/>
        <w:autoSpaceDN w:val="0"/>
        <w:adjustRightInd w:val="0"/>
        <w:spacing w:line="360" w:lineRule="auto"/>
        <w:ind w:left="567" w:right="567"/>
        <w:jc w:val="both"/>
        <w:textAlignment w:val="baseline"/>
        <w:rPr>
          <w:rFonts w:ascii="Arial" w:hAnsi="Arial" w:cs="Arial"/>
        </w:rPr>
      </w:pPr>
      <w:r>
        <w:rPr>
          <w:rFonts w:ascii="Arial" w:eastAsia="Calibri" w:hAnsi="Arial" w:cs="Arial"/>
          <w:bCs/>
          <w:lang w:val="es-CO" w:eastAsia="en-US"/>
        </w:rPr>
        <w:t>2. Confirmar las demás decisiones apeladas por las partes, mediante las cuales se negó la solicitud de integración del litisconsorcio necesario y se declaró probada la excepción de falta de legitimación en la causa por pasiva, respecto de la sociedad demandada Sanear S.A.”.</w:t>
      </w:r>
    </w:p>
    <w:p w14:paraId="330E72F7" w14:textId="77777777" w:rsidR="00DC0E52" w:rsidRDefault="00DC0E52" w:rsidP="00FB7993">
      <w:pPr>
        <w:spacing w:line="360" w:lineRule="auto"/>
        <w:jc w:val="both"/>
        <w:rPr>
          <w:rFonts w:ascii="Arial" w:hAnsi="Arial" w:cs="Arial"/>
          <w:i/>
        </w:rPr>
      </w:pPr>
    </w:p>
    <w:p w14:paraId="4C5D39EF" w14:textId="77777777" w:rsidR="00A17C15" w:rsidRDefault="00A17C15" w:rsidP="00A17C15">
      <w:pPr>
        <w:spacing w:line="360" w:lineRule="auto"/>
        <w:jc w:val="both"/>
        <w:rPr>
          <w:rFonts w:ascii="Arial" w:hAnsi="Arial" w:cs="Arial"/>
        </w:rPr>
      </w:pPr>
      <w:r w:rsidRPr="00ED6C6F">
        <w:rPr>
          <w:rFonts w:ascii="Arial" w:hAnsi="Arial" w:cs="Arial"/>
          <w:b/>
        </w:rPr>
        <w:t xml:space="preserve">SEGUNDO: </w:t>
      </w:r>
      <w:r w:rsidRPr="00ED6C6F">
        <w:rPr>
          <w:rFonts w:ascii="Arial" w:hAnsi="Arial" w:cs="Arial"/>
        </w:rPr>
        <w:t xml:space="preserve">Por Secretaría de la Sección, una vez ejecutoriado este proveído, </w:t>
      </w:r>
      <w:r w:rsidRPr="00ED6C6F">
        <w:rPr>
          <w:rFonts w:ascii="Arial" w:hAnsi="Arial" w:cs="Arial"/>
          <w:b/>
        </w:rPr>
        <w:t>DEV</w:t>
      </w:r>
      <w:r w:rsidR="00794207" w:rsidRPr="00ED6C6F">
        <w:rPr>
          <w:rFonts w:ascii="Arial" w:hAnsi="Arial" w:cs="Arial"/>
          <w:b/>
        </w:rPr>
        <w:t>OLVER</w:t>
      </w:r>
      <w:r w:rsidRPr="00ED6C6F">
        <w:rPr>
          <w:rFonts w:ascii="Arial" w:hAnsi="Arial" w:cs="Arial"/>
          <w:b/>
        </w:rPr>
        <w:t xml:space="preserve"> </w:t>
      </w:r>
      <w:r w:rsidRPr="00ED6C6F">
        <w:rPr>
          <w:rFonts w:ascii="Arial" w:hAnsi="Arial" w:cs="Arial"/>
        </w:rPr>
        <w:t xml:space="preserve">el expediente al Tribunal de origen para </w:t>
      </w:r>
      <w:r w:rsidR="00EA0295">
        <w:rPr>
          <w:rFonts w:ascii="Arial" w:hAnsi="Arial" w:cs="Arial"/>
        </w:rPr>
        <w:t>que continúe con el trámite de la audiencia inicial, atendiendo a las precisiones expuestas en la presente providencia.</w:t>
      </w:r>
    </w:p>
    <w:p w14:paraId="2F845540" w14:textId="77777777" w:rsidR="00AA2693" w:rsidRDefault="00AA2693" w:rsidP="00A17C15">
      <w:pPr>
        <w:pStyle w:val="Textoindependiente"/>
        <w:spacing w:line="360" w:lineRule="auto"/>
        <w:jc w:val="center"/>
        <w:rPr>
          <w:rFonts w:cs="Arial"/>
          <w:b/>
          <w:bCs/>
          <w:sz w:val="24"/>
          <w:szCs w:val="24"/>
        </w:rPr>
      </w:pPr>
    </w:p>
    <w:p w14:paraId="02C74069" w14:textId="77777777" w:rsidR="00A17C15" w:rsidRDefault="00A17C15" w:rsidP="00A17C15">
      <w:pPr>
        <w:pStyle w:val="Textoindependiente"/>
        <w:spacing w:line="360" w:lineRule="auto"/>
        <w:jc w:val="center"/>
        <w:rPr>
          <w:rFonts w:cs="Arial"/>
          <w:b/>
          <w:bCs/>
          <w:sz w:val="24"/>
          <w:szCs w:val="24"/>
        </w:rPr>
      </w:pPr>
      <w:r w:rsidRPr="007B6DB9">
        <w:rPr>
          <w:rFonts w:cs="Arial"/>
          <w:b/>
          <w:bCs/>
          <w:sz w:val="24"/>
          <w:szCs w:val="24"/>
        </w:rPr>
        <w:t>NOTIFÍQUESE Y CÚMPLASE</w:t>
      </w:r>
    </w:p>
    <w:p w14:paraId="30FEAC8D" w14:textId="77777777" w:rsidR="00ED6C6F" w:rsidRDefault="00ED6C6F" w:rsidP="00A94BC5">
      <w:pPr>
        <w:jc w:val="center"/>
        <w:rPr>
          <w:rFonts w:ascii="Arial" w:hAnsi="Arial" w:cs="Arial"/>
          <w:b/>
          <w:bCs/>
        </w:rPr>
      </w:pPr>
    </w:p>
    <w:p w14:paraId="352E5DBD" w14:textId="77777777" w:rsidR="00AA2693" w:rsidRDefault="00AA2693" w:rsidP="00A94BC5">
      <w:pPr>
        <w:jc w:val="center"/>
        <w:rPr>
          <w:rFonts w:ascii="Arial" w:hAnsi="Arial" w:cs="Arial"/>
          <w:b/>
          <w:bCs/>
        </w:rPr>
      </w:pPr>
    </w:p>
    <w:p w14:paraId="4ECEF533" w14:textId="77777777" w:rsidR="00B17FFD" w:rsidRDefault="00B17FFD" w:rsidP="00A94BC5">
      <w:pPr>
        <w:jc w:val="center"/>
        <w:rPr>
          <w:rFonts w:ascii="Arial" w:hAnsi="Arial" w:cs="Arial"/>
          <w:b/>
          <w:bCs/>
        </w:rPr>
      </w:pPr>
    </w:p>
    <w:p w14:paraId="74A181B0" w14:textId="77777777" w:rsidR="003B04A8" w:rsidRDefault="00A17C15" w:rsidP="00E03B3B">
      <w:pPr>
        <w:spacing w:line="360" w:lineRule="auto"/>
        <w:jc w:val="center"/>
        <w:rPr>
          <w:rFonts w:ascii="Arial" w:hAnsi="Arial" w:cs="Arial"/>
          <w:b/>
        </w:rPr>
      </w:pPr>
      <w:r w:rsidRPr="007B6DB9">
        <w:rPr>
          <w:rFonts w:ascii="Arial" w:hAnsi="Arial" w:cs="Arial"/>
          <w:b/>
          <w:bCs/>
        </w:rPr>
        <w:t xml:space="preserve"> </w:t>
      </w:r>
      <w:r w:rsidRPr="007B6DB9">
        <w:rPr>
          <w:rFonts w:ascii="Arial" w:hAnsi="Arial" w:cs="Arial"/>
          <w:b/>
        </w:rPr>
        <w:t>MARTA NUBIA VELÁSQUEZ RICO</w:t>
      </w:r>
    </w:p>
    <w:p w14:paraId="72F926CF" w14:textId="77777777" w:rsidR="00E96312" w:rsidRDefault="00E96312" w:rsidP="00E03B3B">
      <w:pPr>
        <w:spacing w:line="360" w:lineRule="auto"/>
        <w:jc w:val="center"/>
        <w:rPr>
          <w:rFonts w:ascii="Arial" w:hAnsi="Arial" w:cs="Arial"/>
          <w:b/>
        </w:rPr>
      </w:pPr>
    </w:p>
    <w:p w14:paraId="5B52C65D" w14:textId="77777777" w:rsidR="00E96312" w:rsidRPr="00A823FC" w:rsidRDefault="00E96312" w:rsidP="00E96312">
      <w:pPr>
        <w:spacing w:line="360" w:lineRule="auto"/>
        <w:jc w:val="both"/>
        <w:rPr>
          <w:rFonts w:ascii="Arial" w:hAnsi="Arial" w:cs="Arial"/>
          <w:sz w:val="16"/>
          <w:szCs w:val="16"/>
        </w:rPr>
      </w:pPr>
      <w:r w:rsidRPr="00A823FC">
        <w:rPr>
          <w:rFonts w:ascii="Arial" w:hAnsi="Arial" w:cs="Arial"/>
          <w:sz w:val="16"/>
          <w:szCs w:val="16"/>
        </w:rPr>
        <w:t>LZ/MAMG</w:t>
      </w:r>
    </w:p>
    <w:sectPr w:rsidR="00E96312" w:rsidRPr="00A823FC" w:rsidSect="00D11060">
      <w:footerReference w:type="first" r:id="rId11"/>
      <w:pgSz w:w="12242" w:h="18722" w:code="120"/>
      <w:pgMar w:top="1701" w:right="1701" w:bottom="1701" w:left="1701"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A06179" w14:textId="77777777" w:rsidR="00CC121D" w:rsidRDefault="00CC121D">
      <w:r>
        <w:separator/>
      </w:r>
    </w:p>
  </w:endnote>
  <w:endnote w:type="continuationSeparator" w:id="0">
    <w:p w14:paraId="23A2F08C" w14:textId="77777777" w:rsidR="00CC121D" w:rsidRDefault="00CC1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FE3F5" w14:textId="77777777" w:rsidR="00373097" w:rsidRDefault="00373097">
    <w:pPr>
      <w:pStyle w:val="Piedepgina"/>
      <w:jc w:val="right"/>
      <w:rPr>
        <w:rFonts w:ascii="Arial" w:hAnsi="Arial" w:cs="Arial"/>
        <w:sz w:val="22"/>
        <w:szCs w:val="22"/>
      </w:rPr>
    </w:pPr>
  </w:p>
  <w:p w14:paraId="1078D2CC" w14:textId="77777777" w:rsidR="003B5022" w:rsidRPr="00A42B1F" w:rsidRDefault="003B5022">
    <w:pPr>
      <w:pStyle w:val="Piedepgina"/>
      <w:jc w:val="right"/>
      <w:rPr>
        <w:rFonts w:ascii="Arial" w:hAnsi="Arial" w:cs="Arial"/>
        <w:sz w:val="22"/>
        <w:szCs w:val="22"/>
      </w:rPr>
    </w:pPr>
    <w:r w:rsidRPr="00A42B1F">
      <w:rPr>
        <w:rFonts w:ascii="Arial" w:hAnsi="Arial" w:cs="Arial"/>
        <w:sz w:val="22"/>
        <w:szCs w:val="22"/>
      </w:rPr>
      <w:fldChar w:fldCharType="begin"/>
    </w:r>
    <w:r w:rsidRPr="00A42B1F">
      <w:rPr>
        <w:rFonts w:ascii="Arial" w:hAnsi="Arial" w:cs="Arial"/>
        <w:sz w:val="22"/>
        <w:szCs w:val="22"/>
      </w:rPr>
      <w:instrText>PAGE   \* MERGEFORMAT</w:instrText>
    </w:r>
    <w:r w:rsidRPr="00A42B1F">
      <w:rPr>
        <w:rFonts w:ascii="Arial" w:hAnsi="Arial" w:cs="Arial"/>
        <w:sz w:val="22"/>
        <w:szCs w:val="22"/>
      </w:rPr>
      <w:fldChar w:fldCharType="separate"/>
    </w:r>
    <w:r w:rsidR="00D11060">
      <w:rPr>
        <w:rFonts w:ascii="Arial" w:hAnsi="Arial" w:cs="Arial"/>
        <w:noProof/>
        <w:sz w:val="22"/>
        <w:szCs w:val="22"/>
      </w:rPr>
      <w:t>1</w:t>
    </w:r>
    <w:r w:rsidRPr="00A42B1F">
      <w:rPr>
        <w:rFonts w:ascii="Arial" w:hAnsi="Arial" w:cs="Arial"/>
        <w:sz w:val="22"/>
        <w:szCs w:val="22"/>
      </w:rPr>
      <w:fldChar w:fldCharType="end"/>
    </w:r>
  </w:p>
  <w:p w14:paraId="063B96B5" w14:textId="77777777" w:rsidR="003B5022" w:rsidRDefault="003B50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E14C0A" w14:textId="77777777" w:rsidR="00CC121D" w:rsidRDefault="00CC121D">
      <w:r>
        <w:separator/>
      </w:r>
    </w:p>
  </w:footnote>
  <w:footnote w:type="continuationSeparator" w:id="0">
    <w:p w14:paraId="537BBA77" w14:textId="77777777" w:rsidR="00CC121D" w:rsidRDefault="00CC121D">
      <w:r>
        <w:continuationSeparator/>
      </w:r>
    </w:p>
  </w:footnote>
  <w:footnote w:id="1">
    <w:p w14:paraId="1777FCCC" w14:textId="77777777" w:rsidR="00BA6D0C" w:rsidRPr="00715597" w:rsidRDefault="00BA6D0C">
      <w:pPr>
        <w:pStyle w:val="Textonotapie"/>
        <w:rPr>
          <w:rFonts w:ascii="Arial" w:hAnsi="Arial" w:cs="Arial"/>
          <w:lang w:val="es-CO"/>
        </w:rPr>
      </w:pPr>
      <w:r w:rsidRPr="00715597">
        <w:rPr>
          <w:rStyle w:val="Refdenotaalpie"/>
          <w:rFonts w:ascii="Arial" w:hAnsi="Arial" w:cs="Arial"/>
        </w:rPr>
        <w:footnoteRef/>
      </w:r>
      <w:r w:rsidRPr="00715597">
        <w:rPr>
          <w:rFonts w:ascii="Arial" w:hAnsi="Arial" w:cs="Arial"/>
        </w:rPr>
        <w:t xml:space="preserve"> </w:t>
      </w:r>
      <w:r w:rsidRPr="00715597">
        <w:rPr>
          <w:rFonts w:ascii="Arial" w:hAnsi="Arial" w:cs="Arial"/>
          <w:lang w:val="es-CO"/>
        </w:rPr>
        <w:t>Folio</w:t>
      </w:r>
      <w:r w:rsidR="00C90215">
        <w:rPr>
          <w:rFonts w:ascii="Arial" w:hAnsi="Arial" w:cs="Arial"/>
          <w:lang w:val="es-CO"/>
        </w:rPr>
        <w:t>s</w:t>
      </w:r>
      <w:r w:rsidRPr="00715597">
        <w:rPr>
          <w:rFonts w:ascii="Arial" w:hAnsi="Arial" w:cs="Arial"/>
          <w:lang w:val="es-CO"/>
        </w:rPr>
        <w:t xml:space="preserve"> </w:t>
      </w:r>
      <w:r w:rsidR="00C90215">
        <w:rPr>
          <w:rFonts w:ascii="Arial" w:hAnsi="Arial" w:cs="Arial"/>
          <w:lang w:val="es-CO"/>
        </w:rPr>
        <w:t>235 y 236</w:t>
      </w:r>
      <w:r w:rsidRPr="00715597">
        <w:rPr>
          <w:rFonts w:ascii="Arial" w:hAnsi="Arial" w:cs="Arial"/>
          <w:lang w:val="es-CO"/>
        </w:rPr>
        <w:t xml:space="preserve"> del cuaderno principal.</w:t>
      </w:r>
    </w:p>
  </w:footnote>
  <w:footnote w:id="2">
    <w:p w14:paraId="7129CE36" w14:textId="77777777" w:rsidR="0036568A" w:rsidRPr="0036568A" w:rsidRDefault="0036568A" w:rsidP="0036568A">
      <w:pPr>
        <w:pStyle w:val="Textonotapie"/>
        <w:jc w:val="both"/>
        <w:rPr>
          <w:rFonts w:ascii="Arial" w:hAnsi="Arial" w:cs="Arial"/>
          <w:lang w:val="es-CO"/>
        </w:rPr>
      </w:pPr>
      <w:r w:rsidRPr="0036568A">
        <w:rPr>
          <w:rStyle w:val="Refdenotaalpie"/>
          <w:rFonts w:ascii="Arial" w:hAnsi="Arial" w:cs="Arial"/>
        </w:rPr>
        <w:footnoteRef/>
      </w:r>
      <w:r w:rsidRPr="0036568A">
        <w:rPr>
          <w:rFonts w:ascii="Arial" w:hAnsi="Arial" w:cs="Arial"/>
        </w:rPr>
        <w:t xml:space="preserve"> </w:t>
      </w:r>
      <w:r w:rsidRPr="0036568A">
        <w:rPr>
          <w:rFonts w:ascii="Arial" w:hAnsi="Arial" w:cs="Arial"/>
          <w:lang w:val="es-CO"/>
        </w:rPr>
        <w:t>Folios 252 a 282 del cuaderno principal.</w:t>
      </w:r>
    </w:p>
  </w:footnote>
  <w:footnote w:id="3">
    <w:p w14:paraId="6BD8DEFB" w14:textId="77777777" w:rsidR="00934410" w:rsidRPr="00934410" w:rsidRDefault="00934410" w:rsidP="00934410">
      <w:pPr>
        <w:pStyle w:val="Textonotapie"/>
        <w:jc w:val="both"/>
        <w:rPr>
          <w:rFonts w:ascii="Arial" w:hAnsi="Arial" w:cs="Arial"/>
          <w:lang w:val="es-CO"/>
        </w:rPr>
      </w:pPr>
      <w:r w:rsidRPr="00934410">
        <w:rPr>
          <w:rStyle w:val="Refdenotaalpie"/>
          <w:rFonts w:ascii="Arial" w:hAnsi="Arial" w:cs="Arial"/>
        </w:rPr>
        <w:footnoteRef/>
      </w:r>
      <w:r w:rsidRPr="00934410">
        <w:rPr>
          <w:rFonts w:ascii="Arial" w:hAnsi="Arial" w:cs="Arial"/>
        </w:rPr>
        <w:t xml:space="preserve"> </w:t>
      </w:r>
      <w:r w:rsidR="00EF0776">
        <w:rPr>
          <w:rFonts w:ascii="Arial" w:hAnsi="Arial" w:cs="Arial"/>
          <w:lang w:val="es-CO"/>
        </w:rPr>
        <w:t>Folios 294 a 318 del cuaderno principal</w:t>
      </w:r>
      <w:r w:rsidRPr="00934410">
        <w:rPr>
          <w:rFonts w:ascii="Arial" w:hAnsi="Arial" w:cs="Arial"/>
          <w:lang w:val="es-CO"/>
        </w:rPr>
        <w:t>.</w:t>
      </w:r>
    </w:p>
  </w:footnote>
  <w:footnote w:id="4">
    <w:p w14:paraId="79EF3CA4" w14:textId="77777777" w:rsidR="00E960D5" w:rsidRPr="00AF7A29" w:rsidRDefault="00E960D5" w:rsidP="00E960D5">
      <w:pPr>
        <w:pStyle w:val="Textonotapie"/>
        <w:jc w:val="both"/>
        <w:rPr>
          <w:rFonts w:ascii="Arial" w:hAnsi="Arial" w:cs="Arial"/>
          <w:lang w:val="es-CO"/>
        </w:rPr>
      </w:pPr>
      <w:r w:rsidRPr="00AF7A29">
        <w:rPr>
          <w:rStyle w:val="Refdenotaalpie"/>
          <w:rFonts w:ascii="Arial" w:hAnsi="Arial" w:cs="Arial"/>
        </w:rPr>
        <w:footnoteRef/>
      </w:r>
      <w:r w:rsidRPr="00AF7A29">
        <w:rPr>
          <w:rFonts w:ascii="Arial" w:hAnsi="Arial" w:cs="Arial"/>
        </w:rPr>
        <w:t xml:space="preserve"> </w:t>
      </w:r>
      <w:r w:rsidRPr="00AF7A29">
        <w:rPr>
          <w:rFonts w:ascii="Arial" w:hAnsi="Arial" w:cs="Arial"/>
          <w:lang w:val="es-CO"/>
        </w:rPr>
        <w:t xml:space="preserve">El Despacho advierte que se hace referencia a las decisiones relacionadas con </w:t>
      </w:r>
      <w:r>
        <w:rPr>
          <w:rFonts w:ascii="Arial" w:hAnsi="Arial" w:cs="Arial"/>
          <w:lang w:val="es-CO"/>
        </w:rPr>
        <w:t>los</w:t>
      </w:r>
      <w:r w:rsidRPr="00AF7A29">
        <w:rPr>
          <w:rFonts w:ascii="Arial" w:hAnsi="Arial" w:cs="Arial"/>
          <w:lang w:val="es-CO"/>
        </w:rPr>
        <w:t xml:space="preserve"> recurso</w:t>
      </w:r>
      <w:r>
        <w:rPr>
          <w:rFonts w:ascii="Arial" w:hAnsi="Arial" w:cs="Arial"/>
          <w:lang w:val="es-CO"/>
        </w:rPr>
        <w:t>s</w:t>
      </w:r>
      <w:r w:rsidRPr="00AF7A29">
        <w:rPr>
          <w:rFonts w:ascii="Arial" w:hAnsi="Arial" w:cs="Arial"/>
          <w:lang w:val="es-CO"/>
        </w:rPr>
        <w:t xml:space="preserve"> de apelación, en la medida en que las demás no fueron objeto de reparo por las partes y, por tanto, resulta innecesario referirse a aquellas.</w:t>
      </w:r>
    </w:p>
  </w:footnote>
  <w:footnote w:id="5">
    <w:p w14:paraId="69F64A59" w14:textId="77777777" w:rsidR="0020505F" w:rsidRPr="0020505F" w:rsidRDefault="0020505F" w:rsidP="0020505F">
      <w:pPr>
        <w:pStyle w:val="Textonotapie"/>
        <w:jc w:val="both"/>
        <w:rPr>
          <w:rFonts w:ascii="Arial" w:hAnsi="Arial" w:cs="Arial"/>
          <w:lang w:val="es-CO"/>
        </w:rPr>
      </w:pPr>
      <w:r w:rsidRPr="0020505F">
        <w:rPr>
          <w:rStyle w:val="Refdenotaalpie"/>
          <w:rFonts w:ascii="Arial" w:hAnsi="Arial" w:cs="Arial"/>
        </w:rPr>
        <w:footnoteRef/>
      </w:r>
      <w:r w:rsidRPr="0020505F">
        <w:rPr>
          <w:rFonts w:ascii="Arial" w:hAnsi="Arial" w:cs="Arial"/>
        </w:rPr>
        <w:t xml:space="preserve"> </w:t>
      </w:r>
      <w:r w:rsidRPr="00175CCD">
        <w:rPr>
          <w:rFonts w:ascii="Arial" w:hAnsi="Arial" w:cs="Arial"/>
          <w:lang w:val="es-CO"/>
        </w:rPr>
        <w:t>Minuto 20:06 a 40:20 de la grabación de la audiencia inicial, contenida en el CD que obra a folio 409 del cuaderno del Consejo de Estado.</w:t>
      </w:r>
    </w:p>
  </w:footnote>
  <w:footnote w:id="6">
    <w:p w14:paraId="288F3264" w14:textId="77777777" w:rsidR="007B769D" w:rsidRPr="00B56BBD" w:rsidRDefault="007B769D" w:rsidP="007B769D">
      <w:pPr>
        <w:pStyle w:val="Textonotapie"/>
        <w:jc w:val="both"/>
        <w:rPr>
          <w:rFonts w:ascii="Arial" w:hAnsi="Arial" w:cs="Arial"/>
          <w:lang w:val="es-CO"/>
        </w:rPr>
      </w:pPr>
      <w:r w:rsidRPr="00B56BBD">
        <w:rPr>
          <w:rStyle w:val="Refdenotaalpie"/>
          <w:rFonts w:ascii="Arial" w:hAnsi="Arial" w:cs="Arial"/>
        </w:rPr>
        <w:footnoteRef/>
      </w:r>
      <w:r w:rsidRPr="00B56BBD">
        <w:rPr>
          <w:rFonts w:ascii="Arial" w:hAnsi="Arial" w:cs="Arial"/>
        </w:rPr>
        <w:t xml:space="preserve"> </w:t>
      </w:r>
      <w:r w:rsidRPr="00B56BBD">
        <w:rPr>
          <w:rFonts w:ascii="Arial" w:hAnsi="Arial" w:cs="Arial"/>
          <w:lang w:val="es-CO"/>
        </w:rPr>
        <w:t>Minuto 42: 20 a 46:25 de la grabación de la audiencia inicial, contenida en el CD que obra a folio 409 del cuaderno del Consejo de Estado.</w:t>
      </w:r>
    </w:p>
  </w:footnote>
  <w:footnote w:id="7">
    <w:p w14:paraId="188CFC0C" w14:textId="77777777" w:rsidR="007B769D" w:rsidRPr="00B56BBD" w:rsidRDefault="007B769D" w:rsidP="007B769D">
      <w:pPr>
        <w:pStyle w:val="Textonotapie"/>
        <w:jc w:val="both"/>
        <w:rPr>
          <w:rFonts w:ascii="Arial" w:hAnsi="Arial" w:cs="Arial"/>
          <w:lang w:val="es-CO"/>
        </w:rPr>
      </w:pPr>
      <w:r w:rsidRPr="00BE4AF1">
        <w:rPr>
          <w:rStyle w:val="Refdenotaalpie"/>
          <w:rFonts w:ascii="Arial" w:hAnsi="Arial" w:cs="Arial"/>
        </w:rPr>
        <w:footnoteRef/>
      </w:r>
      <w:r w:rsidRPr="00BE4AF1">
        <w:rPr>
          <w:rFonts w:ascii="Arial" w:hAnsi="Arial" w:cs="Arial"/>
        </w:rPr>
        <w:t xml:space="preserve"> </w:t>
      </w:r>
      <w:r w:rsidRPr="00005616">
        <w:rPr>
          <w:rFonts w:ascii="Arial" w:hAnsi="Arial" w:cs="Arial"/>
          <w:lang w:val="es-CO"/>
        </w:rPr>
        <w:t xml:space="preserve">Minuto </w:t>
      </w:r>
      <w:r>
        <w:rPr>
          <w:rFonts w:ascii="Arial" w:hAnsi="Arial" w:cs="Arial"/>
          <w:lang w:val="es-CO"/>
        </w:rPr>
        <w:t xml:space="preserve">46:49 a 50:06 </w:t>
      </w:r>
      <w:r w:rsidRPr="00005616">
        <w:rPr>
          <w:rFonts w:ascii="Arial" w:hAnsi="Arial" w:cs="Arial"/>
          <w:lang w:val="es-CO"/>
        </w:rPr>
        <w:t xml:space="preserve">de la grabación de la audiencia inicial, contenida en el CD que obra a folio </w:t>
      </w:r>
      <w:r>
        <w:rPr>
          <w:rFonts w:ascii="Arial" w:hAnsi="Arial" w:cs="Arial"/>
          <w:lang w:val="es-CO"/>
        </w:rPr>
        <w:t>409</w:t>
      </w:r>
      <w:r w:rsidRPr="00005616">
        <w:rPr>
          <w:rFonts w:ascii="Arial" w:hAnsi="Arial" w:cs="Arial"/>
          <w:lang w:val="es-CO"/>
        </w:rPr>
        <w:t xml:space="preserve"> del cuaderno del Consejo de Estado.</w:t>
      </w:r>
    </w:p>
  </w:footnote>
  <w:footnote w:id="8">
    <w:p w14:paraId="73AE2A67" w14:textId="77777777" w:rsidR="00102114" w:rsidRPr="00102114" w:rsidRDefault="00102114" w:rsidP="00C30EDD">
      <w:pPr>
        <w:pStyle w:val="NormalWeb"/>
        <w:shd w:val="clear" w:color="auto" w:fill="FFFFFF"/>
        <w:spacing w:before="0" w:beforeAutospacing="0" w:after="0" w:afterAutospacing="0"/>
        <w:jc w:val="both"/>
        <w:rPr>
          <w:rFonts w:ascii="Arial" w:hAnsi="Arial" w:cs="Arial"/>
          <w:color w:val="000000"/>
          <w:sz w:val="20"/>
          <w:szCs w:val="20"/>
        </w:rPr>
      </w:pPr>
      <w:r w:rsidRPr="00102114">
        <w:rPr>
          <w:rStyle w:val="Refdenotaalpie"/>
          <w:rFonts w:ascii="Arial" w:hAnsi="Arial" w:cs="Arial"/>
          <w:sz w:val="20"/>
          <w:szCs w:val="20"/>
        </w:rPr>
        <w:footnoteRef/>
      </w:r>
      <w:r w:rsidRPr="00102114">
        <w:rPr>
          <w:rFonts w:ascii="Arial" w:hAnsi="Arial" w:cs="Arial"/>
          <w:sz w:val="20"/>
          <w:szCs w:val="20"/>
        </w:rPr>
        <w:t xml:space="preserve"> A cuyo tenor: “</w:t>
      </w:r>
      <w:r w:rsidRPr="00102114">
        <w:rPr>
          <w:rFonts w:ascii="Arial" w:hAnsi="Arial" w:cs="Arial"/>
          <w:color w:val="000000"/>
          <w:sz w:val="20"/>
          <w:szCs w:val="20"/>
        </w:rPr>
        <w:t>Salvo disposición en contrario, el demandado podrá proponer las siguientes excepciones previas dentro del término de traslado de la demanda:</w:t>
      </w:r>
    </w:p>
    <w:p w14:paraId="7B9DADA5" w14:textId="77777777" w:rsidR="00102114" w:rsidRPr="00102114" w:rsidRDefault="00C30EDD" w:rsidP="00C30EDD">
      <w:pPr>
        <w:pStyle w:val="NormalWeb"/>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w:t>
      </w:r>
      <w:r w:rsidR="00102114" w:rsidRPr="00102114">
        <w:rPr>
          <w:rFonts w:ascii="Arial" w:hAnsi="Arial" w:cs="Arial"/>
          <w:color w:val="000000"/>
          <w:sz w:val="20"/>
          <w:szCs w:val="20"/>
        </w:rPr>
        <w:t>1. Falta de jurisdicción o de competencia.</w:t>
      </w:r>
    </w:p>
    <w:p w14:paraId="6B1B996F" w14:textId="77777777" w:rsidR="00102114" w:rsidRPr="00102114" w:rsidRDefault="00C30EDD" w:rsidP="00C30EDD">
      <w:pPr>
        <w:pStyle w:val="NormalWeb"/>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w:t>
      </w:r>
      <w:r w:rsidR="00102114" w:rsidRPr="00102114">
        <w:rPr>
          <w:rFonts w:ascii="Arial" w:hAnsi="Arial" w:cs="Arial"/>
          <w:color w:val="000000"/>
          <w:sz w:val="20"/>
          <w:szCs w:val="20"/>
        </w:rPr>
        <w:t>2. Compromiso o cláusula compromisoria.</w:t>
      </w:r>
    </w:p>
    <w:p w14:paraId="1CDA3954" w14:textId="77777777" w:rsidR="00102114" w:rsidRPr="00102114" w:rsidRDefault="00C30EDD" w:rsidP="00C30EDD">
      <w:pPr>
        <w:pStyle w:val="NormalWeb"/>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w:t>
      </w:r>
      <w:r w:rsidR="00102114" w:rsidRPr="00102114">
        <w:rPr>
          <w:rFonts w:ascii="Arial" w:hAnsi="Arial" w:cs="Arial"/>
          <w:color w:val="000000"/>
          <w:sz w:val="20"/>
          <w:szCs w:val="20"/>
        </w:rPr>
        <w:t>3. Inexistencia del demandante o del demandado.</w:t>
      </w:r>
    </w:p>
    <w:p w14:paraId="7AD604AF" w14:textId="77777777" w:rsidR="00102114" w:rsidRPr="00102114" w:rsidRDefault="00C30EDD" w:rsidP="00C30EDD">
      <w:pPr>
        <w:pStyle w:val="NormalWeb"/>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w:t>
      </w:r>
      <w:r w:rsidR="00102114" w:rsidRPr="00102114">
        <w:rPr>
          <w:rFonts w:ascii="Arial" w:hAnsi="Arial" w:cs="Arial"/>
          <w:color w:val="000000"/>
          <w:sz w:val="20"/>
          <w:szCs w:val="20"/>
        </w:rPr>
        <w:t>4. Incapacidad o indebida representación del demandante o del demandado.</w:t>
      </w:r>
    </w:p>
    <w:p w14:paraId="7F7E9E1D" w14:textId="77777777" w:rsidR="00102114" w:rsidRPr="00102114" w:rsidRDefault="00C30EDD" w:rsidP="00C30EDD">
      <w:pPr>
        <w:pStyle w:val="NormalWeb"/>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w:t>
      </w:r>
      <w:r w:rsidR="00102114" w:rsidRPr="00102114">
        <w:rPr>
          <w:rFonts w:ascii="Arial" w:hAnsi="Arial" w:cs="Arial"/>
          <w:color w:val="000000"/>
          <w:sz w:val="20"/>
          <w:szCs w:val="20"/>
        </w:rPr>
        <w:t>5. Ineptitud de la demanda por falta de los requisitos formales o por indebida acumulación de pretensiones.</w:t>
      </w:r>
    </w:p>
    <w:p w14:paraId="3784B825" w14:textId="77777777" w:rsidR="00102114" w:rsidRPr="00102114" w:rsidRDefault="00C30EDD" w:rsidP="00C30EDD">
      <w:pPr>
        <w:pStyle w:val="NormalWeb"/>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w:t>
      </w:r>
      <w:r w:rsidR="00102114" w:rsidRPr="00102114">
        <w:rPr>
          <w:rFonts w:ascii="Arial" w:hAnsi="Arial" w:cs="Arial"/>
          <w:color w:val="000000"/>
          <w:sz w:val="20"/>
          <w:szCs w:val="20"/>
        </w:rPr>
        <w:t>6. No haberse presentado prueba de la calidad de heredero, cónyuge o compañero permanente, curador de bienes, administrador de comunidad, albacea y en general de la calidad en que actúe el demandante o se cite al demandado, cuando a ello hubiere lugar.</w:t>
      </w:r>
    </w:p>
    <w:p w14:paraId="799935C9" w14:textId="77777777" w:rsidR="00102114" w:rsidRPr="00102114" w:rsidRDefault="00C30EDD" w:rsidP="00C30EDD">
      <w:pPr>
        <w:pStyle w:val="NormalWeb"/>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w:t>
      </w:r>
      <w:r w:rsidR="00102114" w:rsidRPr="00102114">
        <w:rPr>
          <w:rFonts w:ascii="Arial" w:hAnsi="Arial" w:cs="Arial"/>
          <w:color w:val="000000"/>
          <w:sz w:val="20"/>
          <w:szCs w:val="20"/>
        </w:rPr>
        <w:t>7. Habérsele dado a la demanda el trámite de un proceso diferente al que corresponde.</w:t>
      </w:r>
    </w:p>
    <w:p w14:paraId="05B151C4" w14:textId="77777777" w:rsidR="00102114" w:rsidRPr="00102114" w:rsidRDefault="00C30EDD" w:rsidP="00C30EDD">
      <w:pPr>
        <w:pStyle w:val="NormalWeb"/>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w:t>
      </w:r>
      <w:r w:rsidR="00102114" w:rsidRPr="00102114">
        <w:rPr>
          <w:rFonts w:ascii="Arial" w:hAnsi="Arial" w:cs="Arial"/>
          <w:color w:val="000000"/>
          <w:sz w:val="20"/>
          <w:szCs w:val="20"/>
        </w:rPr>
        <w:t>8. Pleito pendiente entre las mismas partes y sobre el mismo asunto.</w:t>
      </w:r>
    </w:p>
    <w:p w14:paraId="7E9A757C" w14:textId="77777777" w:rsidR="00102114" w:rsidRPr="00102114" w:rsidRDefault="00C30EDD" w:rsidP="00C30EDD">
      <w:pPr>
        <w:pStyle w:val="NormalWeb"/>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w:t>
      </w:r>
      <w:r w:rsidR="00102114" w:rsidRPr="00102114">
        <w:rPr>
          <w:rFonts w:ascii="Arial" w:hAnsi="Arial" w:cs="Arial"/>
          <w:color w:val="000000"/>
          <w:sz w:val="20"/>
          <w:szCs w:val="20"/>
        </w:rPr>
        <w:t>9. No comprender la demanda a todos los litisconsortes necesarios.</w:t>
      </w:r>
    </w:p>
    <w:p w14:paraId="069A197A" w14:textId="77777777" w:rsidR="00102114" w:rsidRPr="00102114" w:rsidRDefault="00C30EDD" w:rsidP="00C30EDD">
      <w:pPr>
        <w:pStyle w:val="NormalWeb"/>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w:t>
      </w:r>
      <w:r w:rsidR="00102114" w:rsidRPr="00102114">
        <w:rPr>
          <w:rFonts w:ascii="Arial" w:hAnsi="Arial" w:cs="Arial"/>
          <w:color w:val="000000"/>
          <w:sz w:val="20"/>
          <w:szCs w:val="20"/>
        </w:rPr>
        <w:t>10. No haberse ordenado la citación de otras personas que la ley dispone citar.</w:t>
      </w:r>
    </w:p>
    <w:p w14:paraId="60D00182" w14:textId="77777777" w:rsidR="00102114" w:rsidRPr="00102114" w:rsidRDefault="00C30EDD" w:rsidP="00C30EDD">
      <w:pPr>
        <w:pStyle w:val="NormalWeb"/>
        <w:shd w:val="clear" w:color="auto" w:fill="FFFFFF"/>
        <w:spacing w:before="0" w:beforeAutospacing="0" w:after="0" w:afterAutospacing="0"/>
        <w:jc w:val="both"/>
        <w:rPr>
          <w:rFonts w:ascii="Arial" w:hAnsi="Arial" w:cs="Arial"/>
          <w:color w:val="000000"/>
          <w:sz w:val="20"/>
          <w:szCs w:val="20"/>
        </w:rPr>
      </w:pPr>
      <w:r>
        <w:rPr>
          <w:rFonts w:ascii="Arial" w:hAnsi="Arial" w:cs="Arial"/>
          <w:color w:val="000000"/>
          <w:sz w:val="20"/>
          <w:szCs w:val="20"/>
        </w:rPr>
        <w:t>“</w:t>
      </w:r>
      <w:r w:rsidR="00102114" w:rsidRPr="00102114">
        <w:rPr>
          <w:rFonts w:ascii="Arial" w:hAnsi="Arial" w:cs="Arial"/>
          <w:color w:val="000000"/>
          <w:sz w:val="20"/>
          <w:szCs w:val="20"/>
        </w:rPr>
        <w:t>11. Haberse notificado el auto admisorio de la demanda a persona distinta de la que fue demandada</w:t>
      </w:r>
      <w:r>
        <w:rPr>
          <w:rFonts w:ascii="Arial" w:hAnsi="Arial" w:cs="Arial"/>
          <w:color w:val="000000"/>
          <w:sz w:val="20"/>
          <w:szCs w:val="20"/>
        </w:rPr>
        <w:t>”</w:t>
      </w:r>
      <w:r w:rsidR="00102114" w:rsidRPr="00102114">
        <w:rPr>
          <w:rFonts w:ascii="Arial" w:hAnsi="Arial" w:cs="Arial"/>
          <w:color w:val="000000"/>
          <w:sz w:val="20"/>
          <w:szCs w:val="20"/>
        </w:rPr>
        <w:t>.</w:t>
      </w:r>
    </w:p>
    <w:p w14:paraId="26D6CE2A" w14:textId="77777777" w:rsidR="00102114" w:rsidRPr="00102114" w:rsidRDefault="00102114">
      <w:pPr>
        <w:pStyle w:val="Textonotapie"/>
        <w:rPr>
          <w:lang w:val="es-CO"/>
        </w:rPr>
      </w:pPr>
    </w:p>
  </w:footnote>
  <w:footnote w:id="9">
    <w:p w14:paraId="19AFF75A" w14:textId="77777777" w:rsidR="00205E65" w:rsidRPr="00205E65" w:rsidRDefault="00205E65" w:rsidP="00AA140E">
      <w:pPr>
        <w:pStyle w:val="Textonotapie"/>
        <w:jc w:val="both"/>
        <w:rPr>
          <w:rFonts w:ascii="Arial" w:hAnsi="Arial" w:cs="Arial"/>
          <w:lang w:val="es-CO"/>
        </w:rPr>
      </w:pPr>
      <w:r w:rsidRPr="00205E65">
        <w:rPr>
          <w:rStyle w:val="Refdenotaalpie"/>
          <w:rFonts w:ascii="Arial" w:hAnsi="Arial" w:cs="Arial"/>
        </w:rPr>
        <w:footnoteRef/>
      </w:r>
      <w:r w:rsidRPr="00205E65">
        <w:rPr>
          <w:rFonts w:ascii="Arial" w:hAnsi="Arial" w:cs="Arial"/>
        </w:rPr>
        <w:t xml:space="preserve"> </w:t>
      </w:r>
      <w:r w:rsidRPr="00205E65">
        <w:rPr>
          <w:rFonts w:ascii="Arial" w:hAnsi="Arial" w:cs="Arial"/>
          <w:lang w:val="es-CO"/>
        </w:rPr>
        <w:t>A cuyo tenor: “</w:t>
      </w:r>
      <w:r>
        <w:rPr>
          <w:rFonts w:ascii="Arial" w:hAnsi="Arial" w:cs="Arial"/>
          <w:lang w:val="es-CO"/>
        </w:rPr>
        <w:t>e</w:t>
      </w:r>
      <w:r w:rsidRPr="00205E65">
        <w:rPr>
          <w:rFonts w:ascii="Arial" w:hAnsi="Arial" w:cs="Arial"/>
          <w:i/>
        </w:rPr>
        <w:t>l auto que decida sobre las excepciones será susceptible del recurso de apelación o del de súplica, según el caso</w:t>
      </w:r>
      <w:r>
        <w:rPr>
          <w:rFonts w:ascii="Arial" w:hAnsi="Arial" w:cs="Arial"/>
        </w:rPr>
        <w:t>”</w:t>
      </w:r>
      <w:r w:rsidRPr="00205E65">
        <w:rPr>
          <w:rFonts w:ascii="Arial" w:hAnsi="Arial" w:cs="Arial"/>
        </w:rPr>
        <w:t>.</w:t>
      </w:r>
    </w:p>
  </w:footnote>
  <w:footnote w:id="10">
    <w:p w14:paraId="0EB10639" w14:textId="77777777" w:rsidR="00533CB1" w:rsidRPr="003650FA" w:rsidRDefault="00533CB1" w:rsidP="00AA140E">
      <w:pPr>
        <w:pStyle w:val="Textonotapie"/>
        <w:jc w:val="both"/>
        <w:rPr>
          <w:rFonts w:ascii="Arial" w:hAnsi="Arial" w:cs="Arial"/>
          <w:lang w:val="es-CO"/>
        </w:rPr>
      </w:pPr>
      <w:r w:rsidRPr="003650FA">
        <w:rPr>
          <w:rStyle w:val="Refdenotaalpie"/>
          <w:rFonts w:ascii="Arial" w:hAnsi="Arial" w:cs="Arial"/>
        </w:rPr>
        <w:footnoteRef/>
      </w:r>
      <w:r w:rsidRPr="003650FA">
        <w:rPr>
          <w:rFonts w:ascii="Arial" w:hAnsi="Arial" w:cs="Arial"/>
        </w:rPr>
        <w:t xml:space="preserve"> </w:t>
      </w:r>
      <w:r w:rsidRPr="003650FA">
        <w:rPr>
          <w:rFonts w:ascii="Arial" w:hAnsi="Arial" w:cs="Arial"/>
          <w:lang w:val="es-CO"/>
        </w:rPr>
        <w:t>El parágrafo del artículo 318 del CGP establece: “</w:t>
      </w:r>
      <w:r w:rsidRPr="003650FA">
        <w:rPr>
          <w:rFonts w:ascii="Arial" w:hAnsi="Arial" w:cs="Arial"/>
          <w:i/>
          <w:lang w:val="es-CO"/>
        </w:rPr>
        <w:t>Cuando el recurrente impugne una providencia judicial mediante un recurso improcedente, el juez deberá tramitar la impugnación por las reglas del recurso que resultare procedente, siempre que haya sido interpuesto oportunamente</w:t>
      </w:r>
      <w:r w:rsidRPr="003650FA">
        <w:rPr>
          <w:rFonts w:ascii="Arial" w:hAnsi="Arial" w:cs="Arial"/>
          <w:lang w:val="es-CO"/>
        </w:rPr>
        <w:t>”.</w:t>
      </w:r>
    </w:p>
  </w:footnote>
  <w:footnote w:id="11">
    <w:p w14:paraId="384879F8" w14:textId="77777777" w:rsidR="00AA140E" w:rsidRPr="00CB366E" w:rsidRDefault="00AA140E" w:rsidP="00AA140E">
      <w:pPr>
        <w:pStyle w:val="Textonotapie"/>
        <w:jc w:val="both"/>
        <w:rPr>
          <w:rFonts w:ascii="Arial" w:hAnsi="Arial" w:cs="Arial"/>
          <w:lang w:val="es-CO"/>
        </w:rPr>
      </w:pPr>
      <w:r w:rsidRPr="00CB366E">
        <w:rPr>
          <w:rStyle w:val="Refdenotaalpie"/>
          <w:rFonts w:ascii="Arial" w:hAnsi="Arial" w:cs="Arial"/>
        </w:rPr>
        <w:footnoteRef/>
      </w:r>
      <w:r w:rsidRPr="00CB366E">
        <w:rPr>
          <w:rFonts w:ascii="Arial" w:hAnsi="Arial" w:cs="Arial"/>
          <w:lang w:val="es-CO"/>
        </w:rPr>
        <w:t>Norma que dispone que son apelables, entre otros, los siguientes autos: 1. El que rechace la demanda, 2. El que decrete una medida cautelar y el que resuelva los incidentes de responsabilidad y desacato en ese mismo trámite, 3. El que ponga fin al proceso y 4. El que apruebe conciliaciones extrajudiciales o judiciales, recurso que solo podrá ser interpuesto por el Ministerio Público.</w:t>
      </w:r>
    </w:p>
  </w:footnote>
  <w:footnote w:id="12">
    <w:p w14:paraId="4F7C00F3" w14:textId="77777777" w:rsidR="007A6D45" w:rsidRPr="004523D9" w:rsidRDefault="007A6D45" w:rsidP="007A6D45">
      <w:pPr>
        <w:pStyle w:val="Textonotapie"/>
        <w:jc w:val="both"/>
        <w:rPr>
          <w:rFonts w:ascii="Arial" w:hAnsi="Arial" w:cs="Arial"/>
          <w:lang w:val="es-CO"/>
        </w:rPr>
      </w:pPr>
      <w:r w:rsidRPr="004523D9">
        <w:rPr>
          <w:rStyle w:val="Refdenotaalpie"/>
          <w:rFonts w:ascii="Arial" w:hAnsi="Arial" w:cs="Arial"/>
        </w:rPr>
        <w:footnoteRef/>
      </w:r>
      <w:r w:rsidRPr="004523D9">
        <w:rPr>
          <w:rFonts w:ascii="Arial" w:hAnsi="Arial" w:cs="Arial"/>
        </w:rPr>
        <w:t xml:space="preserve"> </w:t>
      </w:r>
      <w:r w:rsidRPr="004523D9">
        <w:rPr>
          <w:rFonts w:ascii="Arial" w:hAnsi="Arial" w:cs="Arial"/>
          <w:lang w:val="es-CO"/>
        </w:rPr>
        <w:t>Toda vez que la Ley 1437 de 2011 no contiene regulación específica r</w:t>
      </w:r>
      <w:r w:rsidR="0017381D">
        <w:rPr>
          <w:rFonts w:ascii="Arial" w:hAnsi="Arial" w:cs="Arial"/>
          <w:lang w:val="es-CO"/>
        </w:rPr>
        <w:t xml:space="preserve">especto del litisconsorcio </w:t>
      </w:r>
      <w:r w:rsidRPr="004523D9">
        <w:rPr>
          <w:rFonts w:ascii="Arial" w:hAnsi="Arial" w:cs="Arial"/>
          <w:lang w:val="es-CO"/>
        </w:rPr>
        <w:t>necesario.</w:t>
      </w:r>
    </w:p>
  </w:footnote>
  <w:footnote w:id="13">
    <w:p w14:paraId="633D4CA8" w14:textId="77777777" w:rsidR="00240298" w:rsidRPr="00240298" w:rsidRDefault="00240298" w:rsidP="00240298">
      <w:pPr>
        <w:pStyle w:val="Textonotapie"/>
        <w:jc w:val="both"/>
        <w:rPr>
          <w:rFonts w:ascii="Arial" w:hAnsi="Arial" w:cs="Arial"/>
          <w:lang w:val="es-CO"/>
        </w:rPr>
      </w:pPr>
      <w:r w:rsidRPr="00240298">
        <w:rPr>
          <w:rStyle w:val="Refdenotaalpie"/>
          <w:rFonts w:ascii="Arial" w:hAnsi="Arial" w:cs="Arial"/>
        </w:rPr>
        <w:footnoteRef/>
      </w:r>
      <w:r w:rsidRPr="00240298">
        <w:rPr>
          <w:rFonts w:ascii="Arial" w:hAnsi="Arial" w:cs="Arial"/>
        </w:rPr>
        <w:t xml:space="preserve"> </w:t>
      </w:r>
      <w:r w:rsidRPr="00240298">
        <w:rPr>
          <w:rFonts w:ascii="Arial" w:hAnsi="Arial" w:cs="Arial"/>
          <w:lang w:val="es-CO"/>
        </w:rPr>
        <w:t>Las cuales se observan a folios 182 a 187 del cuaderno principal.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70446A"/>
    <w:multiLevelType w:val="hybridMultilevel"/>
    <w:tmpl w:val="B1BE7026"/>
    <w:lvl w:ilvl="0" w:tplc="1FD463F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DC454D9"/>
    <w:multiLevelType w:val="hybridMultilevel"/>
    <w:tmpl w:val="81E488F4"/>
    <w:lvl w:ilvl="0" w:tplc="599E59F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34B5900"/>
    <w:multiLevelType w:val="hybridMultilevel"/>
    <w:tmpl w:val="0486EEA8"/>
    <w:lvl w:ilvl="0" w:tplc="09E84A8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89C4CA1"/>
    <w:multiLevelType w:val="hybridMultilevel"/>
    <w:tmpl w:val="52EEF85A"/>
    <w:lvl w:ilvl="0" w:tplc="BFB636C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40"/>
    <w:rsid w:val="00000E0D"/>
    <w:rsid w:val="00003640"/>
    <w:rsid w:val="00005616"/>
    <w:rsid w:val="00006CE6"/>
    <w:rsid w:val="00010312"/>
    <w:rsid w:val="0001048E"/>
    <w:rsid w:val="00012637"/>
    <w:rsid w:val="00017251"/>
    <w:rsid w:val="00017515"/>
    <w:rsid w:val="00023A70"/>
    <w:rsid w:val="00023B4B"/>
    <w:rsid w:val="00033085"/>
    <w:rsid w:val="000340E8"/>
    <w:rsid w:val="00044EF9"/>
    <w:rsid w:val="0004554F"/>
    <w:rsid w:val="0004579E"/>
    <w:rsid w:val="00050019"/>
    <w:rsid w:val="00051800"/>
    <w:rsid w:val="00055A0D"/>
    <w:rsid w:val="000578D5"/>
    <w:rsid w:val="00063F0D"/>
    <w:rsid w:val="000655F0"/>
    <w:rsid w:val="00066871"/>
    <w:rsid w:val="0007076F"/>
    <w:rsid w:val="000723C8"/>
    <w:rsid w:val="0007607F"/>
    <w:rsid w:val="0007632A"/>
    <w:rsid w:val="0007733C"/>
    <w:rsid w:val="000864B3"/>
    <w:rsid w:val="00092251"/>
    <w:rsid w:val="000934D0"/>
    <w:rsid w:val="00095372"/>
    <w:rsid w:val="00097BE6"/>
    <w:rsid w:val="000A28E5"/>
    <w:rsid w:val="000A31F1"/>
    <w:rsid w:val="000A39C9"/>
    <w:rsid w:val="000A3E88"/>
    <w:rsid w:val="000C276F"/>
    <w:rsid w:val="000C32F9"/>
    <w:rsid w:val="000C4B12"/>
    <w:rsid w:val="000D03EB"/>
    <w:rsid w:val="000D0471"/>
    <w:rsid w:val="000D1B28"/>
    <w:rsid w:val="000D78C2"/>
    <w:rsid w:val="000E0AAD"/>
    <w:rsid w:val="000E2A43"/>
    <w:rsid w:val="000E3002"/>
    <w:rsid w:val="000E636D"/>
    <w:rsid w:val="000E6D00"/>
    <w:rsid w:val="000E7426"/>
    <w:rsid w:val="000F0DD1"/>
    <w:rsid w:val="000F10DB"/>
    <w:rsid w:val="000F4124"/>
    <w:rsid w:val="000F5344"/>
    <w:rsid w:val="000F73C4"/>
    <w:rsid w:val="000F7AF1"/>
    <w:rsid w:val="001000F9"/>
    <w:rsid w:val="001006A4"/>
    <w:rsid w:val="00102114"/>
    <w:rsid w:val="001038BF"/>
    <w:rsid w:val="00106326"/>
    <w:rsid w:val="0011385F"/>
    <w:rsid w:val="00116E02"/>
    <w:rsid w:val="00120152"/>
    <w:rsid w:val="00122C7A"/>
    <w:rsid w:val="001235F3"/>
    <w:rsid w:val="00124515"/>
    <w:rsid w:val="00131A45"/>
    <w:rsid w:val="00134D06"/>
    <w:rsid w:val="0014091C"/>
    <w:rsid w:val="0014278C"/>
    <w:rsid w:val="00144D12"/>
    <w:rsid w:val="00147552"/>
    <w:rsid w:val="00150A8F"/>
    <w:rsid w:val="001539A1"/>
    <w:rsid w:val="001548E5"/>
    <w:rsid w:val="001569B0"/>
    <w:rsid w:val="00157002"/>
    <w:rsid w:val="00160ED9"/>
    <w:rsid w:val="00161AE9"/>
    <w:rsid w:val="00165FCF"/>
    <w:rsid w:val="00171921"/>
    <w:rsid w:val="0017381D"/>
    <w:rsid w:val="00175CCD"/>
    <w:rsid w:val="00175D5C"/>
    <w:rsid w:val="00177FEE"/>
    <w:rsid w:val="001901CB"/>
    <w:rsid w:val="0019794D"/>
    <w:rsid w:val="001A030E"/>
    <w:rsid w:val="001A104E"/>
    <w:rsid w:val="001A2A94"/>
    <w:rsid w:val="001A3A19"/>
    <w:rsid w:val="001A52E5"/>
    <w:rsid w:val="001A5517"/>
    <w:rsid w:val="001A78A4"/>
    <w:rsid w:val="001B1A61"/>
    <w:rsid w:val="001B1E5A"/>
    <w:rsid w:val="001B2E18"/>
    <w:rsid w:val="001B33FE"/>
    <w:rsid w:val="001B49C1"/>
    <w:rsid w:val="001B5B5A"/>
    <w:rsid w:val="001B5FDD"/>
    <w:rsid w:val="001C5DDD"/>
    <w:rsid w:val="001C79A5"/>
    <w:rsid w:val="001D257C"/>
    <w:rsid w:val="001D3DB0"/>
    <w:rsid w:val="001E1717"/>
    <w:rsid w:val="001E3311"/>
    <w:rsid w:val="001E3F32"/>
    <w:rsid w:val="001E54D1"/>
    <w:rsid w:val="001E71A4"/>
    <w:rsid w:val="001E79D1"/>
    <w:rsid w:val="001E7FE1"/>
    <w:rsid w:val="001F011A"/>
    <w:rsid w:val="001F0C16"/>
    <w:rsid w:val="001F3263"/>
    <w:rsid w:val="001F67EA"/>
    <w:rsid w:val="001F6B11"/>
    <w:rsid w:val="002010C1"/>
    <w:rsid w:val="002042BE"/>
    <w:rsid w:val="00204409"/>
    <w:rsid w:val="0020505F"/>
    <w:rsid w:val="00205E65"/>
    <w:rsid w:val="002075D8"/>
    <w:rsid w:val="00211279"/>
    <w:rsid w:val="00211F62"/>
    <w:rsid w:val="00212A9F"/>
    <w:rsid w:val="0021546B"/>
    <w:rsid w:val="00223888"/>
    <w:rsid w:val="00224B28"/>
    <w:rsid w:val="0022537C"/>
    <w:rsid w:val="00225ADC"/>
    <w:rsid w:val="00227958"/>
    <w:rsid w:val="00227D11"/>
    <w:rsid w:val="00232562"/>
    <w:rsid w:val="00233C57"/>
    <w:rsid w:val="00234536"/>
    <w:rsid w:val="0023562D"/>
    <w:rsid w:val="00237309"/>
    <w:rsid w:val="00240298"/>
    <w:rsid w:val="002408DB"/>
    <w:rsid w:val="00243F28"/>
    <w:rsid w:val="00245777"/>
    <w:rsid w:val="00245A3B"/>
    <w:rsid w:val="00245AF0"/>
    <w:rsid w:val="00245BAF"/>
    <w:rsid w:val="002515E5"/>
    <w:rsid w:val="002522CA"/>
    <w:rsid w:val="002523D3"/>
    <w:rsid w:val="0025314A"/>
    <w:rsid w:val="00254A83"/>
    <w:rsid w:val="0025559A"/>
    <w:rsid w:val="00256DF9"/>
    <w:rsid w:val="00262CBD"/>
    <w:rsid w:val="00265D5F"/>
    <w:rsid w:val="002717E5"/>
    <w:rsid w:val="0028096D"/>
    <w:rsid w:val="00281CC8"/>
    <w:rsid w:val="002821C8"/>
    <w:rsid w:val="00282B33"/>
    <w:rsid w:val="0028379C"/>
    <w:rsid w:val="002926C6"/>
    <w:rsid w:val="00292DDC"/>
    <w:rsid w:val="002952BD"/>
    <w:rsid w:val="00296374"/>
    <w:rsid w:val="002A1755"/>
    <w:rsid w:val="002B0400"/>
    <w:rsid w:val="002B28CA"/>
    <w:rsid w:val="002B3EFB"/>
    <w:rsid w:val="002C22B2"/>
    <w:rsid w:val="002C6608"/>
    <w:rsid w:val="002C6FEB"/>
    <w:rsid w:val="002D0B72"/>
    <w:rsid w:val="002D0C2B"/>
    <w:rsid w:val="002D165D"/>
    <w:rsid w:val="002D6D4F"/>
    <w:rsid w:val="002D7172"/>
    <w:rsid w:val="002E484C"/>
    <w:rsid w:val="002E4EA5"/>
    <w:rsid w:val="002E65BB"/>
    <w:rsid w:val="002F1F74"/>
    <w:rsid w:val="002F29CA"/>
    <w:rsid w:val="002F2DB1"/>
    <w:rsid w:val="002F3643"/>
    <w:rsid w:val="002F7AA7"/>
    <w:rsid w:val="00301B57"/>
    <w:rsid w:val="00301C90"/>
    <w:rsid w:val="00303C9B"/>
    <w:rsid w:val="003065E9"/>
    <w:rsid w:val="00306759"/>
    <w:rsid w:val="00307823"/>
    <w:rsid w:val="00312EBF"/>
    <w:rsid w:val="0031536A"/>
    <w:rsid w:val="00316E99"/>
    <w:rsid w:val="00317742"/>
    <w:rsid w:val="00324F65"/>
    <w:rsid w:val="00332685"/>
    <w:rsid w:val="003360E9"/>
    <w:rsid w:val="00340CFB"/>
    <w:rsid w:val="0034575D"/>
    <w:rsid w:val="00346819"/>
    <w:rsid w:val="0034725E"/>
    <w:rsid w:val="003476AA"/>
    <w:rsid w:val="00347EB3"/>
    <w:rsid w:val="00353439"/>
    <w:rsid w:val="0035642A"/>
    <w:rsid w:val="00357910"/>
    <w:rsid w:val="00357F81"/>
    <w:rsid w:val="0036568A"/>
    <w:rsid w:val="00372E24"/>
    <w:rsid w:val="00373097"/>
    <w:rsid w:val="00374C16"/>
    <w:rsid w:val="00376D16"/>
    <w:rsid w:val="0038010B"/>
    <w:rsid w:val="00380701"/>
    <w:rsid w:val="00382289"/>
    <w:rsid w:val="00382F9E"/>
    <w:rsid w:val="003832E7"/>
    <w:rsid w:val="00394686"/>
    <w:rsid w:val="00397E60"/>
    <w:rsid w:val="003A35CB"/>
    <w:rsid w:val="003A5DE3"/>
    <w:rsid w:val="003A5F31"/>
    <w:rsid w:val="003A75E4"/>
    <w:rsid w:val="003B04A8"/>
    <w:rsid w:val="003B1295"/>
    <w:rsid w:val="003B1427"/>
    <w:rsid w:val="003B2555"/>
    <w:rsid w:val="003B2C5A"/>
    <w:rsid w:val="003B4862"/>
    <w:rsid w:val="003B5022"/>
    <w:rsid w:val="003C116A"/>
    <w:rsid w:val="003C1A94"/>
    <w:rsid w:val="003C62AF"/>
    <w:rsid w:val="003E02B7"/>
    <w:rsid w:val="003E10AE"/>
    <w:rsid w:val="003E3B24"/>
    <w:rsid w:val="003E5C43"/>
    <w:rsid w:val="003F2DE8"/>
    <w:rsid w:val="003F7BF5"/>
    <w:rsid w:val="0040086B"/>
    <w:rsid w:val="00403495"/>
    <w:rsid w:val="004049DC"/>
    <w:rsid w:val="004049E5"/>
    <w:rsid w:val="00411654"/>
    <w:rsid w:val="00411695"/>
    <w:rsid w:val="0041287C"/>
    <w:rsid w:val="00414893"/>
    <w:rsid w:val="00414C19"/>
    <w:rsid w:val="0041518C"/>
    <w:rsid w:val="00415C6F"/>
    <w:rsid w:val="004203F8"/>
    <w:rsid w:val="0042062E"/>
    <w:rsid w:val="00420BE1"/>
    <w:rsid w:val="00423299"/>
    <w:rsid w:val="00426BB4"/>
    <w:rsid w:val="004276E7"/>
    <w:rsid w:val="00431970"/>
    <w:rsid w:val="00431C15"/>
    <w:rsid w:val="004324E2"/>
    <w:rsid w:val="00432EA4"/>
    <w:rsid w:val="00433CB4"/>
    <w:rsid w:val="00436194"/>
    <w:rsid w:val="004375F3"/>
    <w:rsid w:val="004523D9"/>
    <w:rsid w:val="004614D5"/>
    <w:rsid w:val="00465E90"/>
    <w:rsid w:val="004666EF"/>
    <w:rsid w:val="00470B5C"/>
    <w:rsid w:val="00473B16"/>
    <w:rsid w:val="00475099"/>
    <w:rsid w:val="00476403"/>
    <w:rsid w:val="00477E38"/>
    <w:rsid w:val="00487028"/>
    <w:rsid w:val="004926C9"/>
    <w:rsid w:val="004934FA"/>
    <w:rsid w:val="00496846"/>
    <w:rsid w:val="004A4A0B"/>
    <w:rsid w:val="004A50B2"/>
    <w:rsid w:val="004A6259"/>
    <w:rsid w:val="004A69D5"/>
    <w:rsid w:val="004A797B"/>
    <w:rsid w:val="004A7B12"/>
    <w:rsid w:val="004B2766"/>
    <w:rsid w:val="004B5866"/>
    <w:rsid w:val="004C4BC5"/>
    <w:rsid w:val="004C6C8D"/>
    <w:rsid w:val="004C752D"/>
    <w:rsid w:val="004D1010"/>
    <w:rsid w:val="004D27BE"/>
    <w:rsid w:val="004D30A2"/>
    <w:rsid w:val="004D35F3"/>
    <w:rsid w:val="004E1462"/>
    <w:rsid w:val="004E3F9D"/>
    <w:rsid w:val="004E442E"/>
    <w:rsid w:val="004E4E3B"/>
    <w:rsid w:val="004E6622"/>
    <w:rsid w:val="004F224C"/>
    <w:rsid w:val="004F413F"/>
    <w:rsid w:val="004F60BA"/>
    <w:rsid w:val="0050286E"/>
    <w:rsid w:val="00504AAB"/>
    <w:rsid w:val="00505760"/>
    <w:rsid w:val="0051188C"/>
    <w:rsid w:val="005118AE"/>
    <w:rsid w:val="00522486"/>
    <w:rsid w:val="00524294"/>
    <w:rsid w:val="005270FB"/>
    <w:rsid w:val="0053084D"/>
    <w:rsid w:val="00530B16"/>
    <w:rsid w:val="00533CB1"/>
    <w:rsid w:val="00535777"/>
    <w:rsid w:val="00542C66"/>
    <w:rsid w:val="00543F80"/>
    <w:rsid w:val="0054633A"/>
    <w:rsid w:val="00551E53"/>
    <w:rsid w:val="005523CF"/>
    <w:rsid w:val="005553F9"/>
    <w:rsid w:val="0055698D"/>
    <w:rsid w:val="00560A86"/>
    <w:rsid w:val="00561E40"/>
    <w:rsid w:val="0057116F"/>
    <w:rsid w:val="00571C39"/>
    <w:rsid w:val="00573E6D"/>
    <w:rsid w:val="0057503D"/>
    <w:rsid w:val="0057692E"/>
    <w:rsid w:val="00577BBE"/>
    <w:rsid w:val="005854EC"/>
    <w:rsid w:val="00585B58"/>
    <w:rsid w:val="005906E8"/>
    <w:rsid w:val="00590ECC"/>
    <w:rsid w:val="00591421"/>
    <w:rsid w:val="00593CAA"/>
    <w:rsid w:val="00594483"/>
    <w:rsid w:val="005A0B87"/>
    <w:rsid w:val="005A0F40"/>
    <w:rsid w:val="005A1B1F"/>
    <w:rsid w:val="005A31E7"/>
    <w:rsid w:val="005A41F1"/>
    <w:rsid w:val="005A470F"/>
    <w:rsid w:val="005B01D7"/>
    <w:rsid w:val="005B202D"/>
    <w:rsid w:val="005B2F08"/>
    <w:rsid w:val="005B5504"/>
    <w:rsid w:val="005B6054"/>
    <w:rsid w:val="005C2016"/>
    <w:rsid w:val="005C44E1"/>
    <w:rsid w:val="005D1089"/>
    <w:rsid w:val="005D1DB4"/>
    <w:rsid w:val="005D4A21"/>
    <w:rsid w:val="005F33D4"/>
    <w:rsid w:val="005F3868"/>
    <w:rsid w:val="005F49FC"/>
    <w:rsid w:val="005F7064"/>
    <w:rsid w:val="005F7B60"/>
    <w:rsid w:val="005F7F9E"/>
    <w:rsid w:val="00601671"/>
    <w:rsid w:val="0060477B"/>
    <w:rsid w:val="006049C1"/>
    <w:rsid w:val="0060603F"/>
    <w:rsid w:val="00606F5A"/>
    <w:rsid w:val="0060760E"/>
    <w:rsid w:val="00610ABE"/>
    <w:rsid w:val="006130CA"/>
    <w:rsid w:val="00615E50"/>
    <w:rsid w:val="00617FEE"/>
    <w:rsid w:val="0062090C"/>
    <w:rsid w:val="00620A25"/>
    <w:rsid w:val="006220A5"/>
    <w:rsid w:val="00624D4D"/>
    <w:rsid w:val="00626C0F"/>
    <w:rsid w:val="00626CD2"/>
    <w:rsid w:val="006277FE"/>
    <w:rsid w:val="00630CBB"/>
    <w:rsid w:val="00634A76"/>
    <w:rsid w:val="00634F4B"/>
    <w:rsid w:val="00642021"/>
    <w:rsid w:val="00642C54"/>
    <w:rsid w:val="00644842"/>
    <w:rsid w:val="00646191"/>
    <w:rsid w:val="00646952"/>
    <w:rsid w:val="0065487C"/>
    <w:rsid w:val="006637A1"/>
    <w:rsid w:val="006638EF"/>
    <w:rsid w:val="006710D8"/>
    <w:rsid w:val="0067246A"/>
    <w:rsid w:val="006744D1"/>
    <w:rsid w:val="00681DF7"/>
    <w:rsid w:val="00682301"/>
    <w:rsid w:val="006842FB"/>
    <w:rsid w:val="0069127F"/>
    <w:rsid w:val="00691F9D"/>
    <w:rsid w:val="00694435"/>
    <w:rsid w:val="00696CFE"/>
    <w:rsid w:val="006975E7"/>
    <w:rsid w:val="006A0248"/>
    <w:rsid w:val="006B2C13"/>
    <w:rsid w:val="006B39D5"/>
    <w:rsid w:val="006B3F64"/>
    <w:rsid w:val="006B49EE"/>
    <w:rsid w:val="006B4D40"/>
    <w:rsid w:val="006C28F0"/>
    <w:rsid w:val="006C4B9E"/>
    <w:rsid w:val="006C4CA2"/>
    <w:rsid w:val="006C5757"/>
    <w:rsid w:val="006C6308"/>
    <w:rsid w:val="006C70BF"/>
    <w:rsid w:val="006C7B36"/>
    <w:rsid w:val="006D0F27"/>
    <w:rsid w:val="006D138C"/>
    <w:rsid w:val="006D42DA"/>
    <w:rsid w:val="006D465E"/>
    <w:rsid w:val="006E048A"/>
    <w:rsid w:val="006E1378"/>
    <w:rsid w:val="006E45C1"/>
    <w:rsid w:val="006E637C"/>
    <w:rsid w:val="006F1BC9"/>
    <w:rsid w:val="006F401B"/>
    <w:rsid w:val="00700924"/>
    <w:rsid w:val="00704EB5"/>
    <w:rsid w:val="00707CE3"/>
    <w:rsid w:val="0071316B"/>
    <w:rsid w:val="0071317C"/>
    <w:rsid w:val="00713200"/>
    <w:rsid w:val="00714188"/>
    <w:rsid w:val="00715597"/>
    <w:rsid w:val="007156F7"/>
    <w:rsid w:val="0071599F"/>
    <w:rsid w:val="007229E3"/>
    <w:rsid w:val="0072360B"/>
    <w:rsid w:val="007237BB"/>
    <w:rsid w:val="007238D2"/>
    <w:rsid w:val="00726718"/>
    <w:rsid w:val="00726DC1"/>
    <w:rsid w:val="00731311"/>
    <w:rsid w:val="00732053"/>
    <w:rsid w:val="007320D0"/>
    <w:rsid w:val="0073520F"/>
    <w:rsid w:val="00737B98"/>
    <w:rsid w:val="00742E5C"/>
    <w:rsid w:val="007447EC"/>
    <w:rsid w:val="0074521D"/>
    <w:rsid w:val="00753757"/>
    <w:rsid w:val="00753EFE"/>
    <w:rsid w:val="00764482"/>
    <w:rsid w:val="00764574"/>
    <w:rsid w:val="00765FEE"/>
    <w:rsid w:val="00771AB4"/>
    <w:rsid w:val="00773AA0"/>
    <w:rsid w:val="0077621C"/>
    <w:rsid w:val="00776611"/>
    <w:rsid w:val="007922A7"/>
    <w:rsid w:val="00793340"/>
    <w:rsid w:val="00794207"/>
    <w:rsid w:val="007948AC"/>
    <w:rsid w:val="007A1508"/>
    <w:rsid w:val="007A3495"/>
    <w:rsid w:val="007A485E"/>
    <w:rsid w:val="007A5852"/>
    <w:rsid w:val="007A6D45"/>
    <w:rsid w:val="007B19D6"/>
    <w:rsid w:val="007B2E32"/>
    <w:rsid w:val="007B3A11"/>
    <w:rsid w:val="007B490F"/>
    <w:rsid w:val="007B5B9A"/>
    <w:rsid w:val="007B5F1C"/>
    <w:rsid w:val="007B6236"/>
    <w:rsid w:val="007B6481"/>
    <w:rsid w:val="007B6DB9"/>
    <w:rsid w:val="007B769D"/>
    <w:rsid w:val="007C13F3"/>
    <w:rsid w:val="007C613C"/>
    <w:rsid w:val="007D3231"/>
    <w:rsid w:val="007E3BDC"/>
    <w:rsid w:val="007E45A8"/>
    <w:rsid w:val="007F3605"/>
    <w:rsid w:val="007F5D10"/>
    <w:rsid w:val="00801946"/>
    <w:rsid w:val="00802A47"/>
    <w:rsid w:val="00803863"/>
    <w:rsid w:val="00805C58"/>
    <w:rsid w:val="0080691D"/>
    <w:rsid w:val="00810A44"/>
    <w:rsid w:val="00813B30"/>
    <w:rsid w:val="008164E3"/>
    <w:rsid w:val="00817403"/>
    <w:rsid w:val="00817D73"/>
    <w:rsid w:val="00822364"/>
    <w:rsid w:val="00823B4C"/>
    <w:rsid w:val="008241AF"/>
    <w:rsid w:val="00824715"/>
    <w:rsid w:val="008270DE"/>
    <w:rsid w:val="00831DB3"/>
    <w:rsid w:val="00831E92"/>
    <w:rsid w:val="0083610A"/>
    <w:rsid w:val="00836263"/>
    <w:rsid w:val="00836C9A"/>
    <w:rsid w:val="00840B3B"/>
    <w:rsid w:val="00842AC5"/>
    <w:rsid w:val="00847F4E"/>
    <w:rsid w:val="008515AC"/>
    <w:rsid w:val="008536BC"/>
    <w:rsid w:val="00853C49"/>
    <w:rsid w:val="00856B1B"/>
    <w:rsid w:val="008575EC"/>
    <w:rsid w:val="00862992"/>
    <w:rsid w:val="00871651"/>
    <w:rsid w:val="00875152"/>
    <w:rsid w:val="00875E3D"/>
    <w:rsid w:val="00881AE1"/>
    <w:rsid w:val="0088528B"/>
    <w:rsid w:val="0089230B"/>
    <w:rsid w:val="0089278B"/>
    <w:rsid w:val="00892F27"/>
    <w:rsid w:val="008A2051"/>
    <w:rsid w:val="008A2711"/>
    <w:rsid w:val="008A48A7"/>
    <w:rsid w:val="008A55E0"/>
    <w:rsid w:val="008A5ACD"/>
    <w:rsid w:val="008B1DCE"/>
    <w:rsid w:val="008D1C26"/>
    <w:rsid w:val="008D2980"/>
    <w:rsid w:val="008D2A62"/>
    <w:rsid w:val="008D6749"/>
    <w:rsid w:val="008D7804"/>
    <w:rsid w:val="008E3806"/>
    <w:rsid w:val="008E6960"/>
    <w:rsid w:val="008F166D"/>
    <w:rsid w:val="008F5103"/>
    <w:rsid w:val="008F717F"/>
    <w:rsid w:val="0090488D"/>
    <w:rsid w:val="00906CFA"/>
    <w:rsid w:val="00913CF9"/>
    <w:rsid w:val="00915FB6"/>
    <w:rsid w:val="009218EC"/>
    <w:rsid w:val="00923740"/>
    <w:rsid w:val="00925799"/>
    <w:rsid w:val="00925B18"/>
    <w:rsid w:val="009277FA"/>
    <w:rsid w:val="00934410"/>
    <w:rsid w:val="0093451B"/>
    <w:rsid w:val="009366C6"/>
    <w:rsid w:val="00937903"/>
    <w:rsid w:val="00942B47"/>
    <w:rsid w:val="00943E66"/>
    <w:rsid w:val="00945F95"/>
    <w:rsid w:val="0095391C"/>
    <w:rsid w:val="00955275"/>
    <w:rsid w:val="00955D1C"/>
    <w:rsid w:val="0095677C"/>
    <w:rsid w:val="0095681E"/>
    <w:rsid w:val="00956D37"/>
    <w:rsid w:val="0096035A"/>
    <w:rsid w:val="0096081A"/>
    <w:rsid w:val="009654C5"/>
    <w:rsid w:val="00975663"/>
    <w:rsid w:val="00975A40"/>
    <w:rsid w:val="00976EDB"/>
    <w:rsid w:val="00977E24"/>
    <w:rsid w:val="00980DEB"/>
    <w:rsid w:val="0098349B"/>
    <w:rsid w:val="009846E4"/>
    <w:rsid w:val="00986AF5"/>
    <w:rsid w:val="00986B10"/>
    <w:rsid w:val="00990D90"/>
    <w:rsid w:val="00991EAD"/>
    <w:rsid w:val="00993BC1"/>
    <w:rsid w:val="009A0108"/>
    <w:rsid w:val="009A3096"/>
    <w:rsid w:val="009A4A0C"/>
    <w:rsid w:val="009A5C06"/>
    <w:rsid w:val="009A65EF"/>
    <w:rsid w:val="009A7E6E"/>
    <w:rsid w:val="009B1627"/>
    <w:rsid w:val="009B3217"/>
    <w:rsid w:val="009C03D2"/>
    <w:rsid w:val="009C122F"/>
    <w:rsid w:val="009C2852"/>
    <w:rsid w:val="009C4005"/>
    <w:rsid w:val="009C4121"/>
    <w:rsid w:val="009D2483"/>
    <w:rsid w:val="009D2BC3"/>
    <w:rsid w:val="009D31F0"/>
    <w:rsid w:val="009D35C8"/>
    <w:rsid w:val="009D3D8F"/>
    <w:rsid w:val="009D6D58"/>
    <w:rsid w:val="009E444E"/>
    <w:rsid w:val="009F0E2F"/>
    <w:rsid w:val="009F34B2"/>
    <w:rsid w:val="009F3AC1"/>
    <w:rsid w:val="00A01801"/>
    <w:rsid w:val="00A02F46"/>
    <w:rsid w:val="00A0472D"/>
    <w:rsid w:val="00A0565A"/>
    <w:rsid w:val="00A12C91"/>
    <w:rsid w:val="00A15893"/>
    <w:rsid w:val="00A17400"/>
    <w:rsid w:val="00A17C15"/>
    <w:rsid w:val="00A20B36"/>
    <w:rsid w:val="00A21AB8"/>
    <w:rsid w:val="00A22B6A"/>
    <w:rsid w:val="00A24A6F"/>
    <w:rsid w:val="00A32059"/>
    <w:rsid w:val="00A338FC"/>
    <w:rsid w:val="00A34AD5"/>
    <w:rsid w:val="00A35EF6"/>
    <w:rsid w:val="00A36542"/>
    <w:rsid w:val="00A40348"/>
    <w:rsid w:val="00A41573"/>
    <w:rsid w:val="00A42B1F"/>
    <w:rsid w:val="00A442C7"/>
    <w:rsid w:val="00A45867"/>
    <w:rsid w:val="00A46755"/>
    <w:rsid w:val="00A53A32"/>
    <w:rsid w:val="00A53BCE"/>
    <w:rsid w:val="00A60299"/>
    <w:rsid w:val="00A60D66"/>
    <w:rsid w:val="00A61EA6"/>
    <w:rsid w:val="00A621A8"/>
    <w:rsid w:val="00A62D87"/>
    <w:rsid w:val="00A66739"/>
    <w:rsid w:val="00A70888"/>
    <w:rsid w:val="00A7239F"/>
    <w:rsid w:val="00A749A2"/>
    <w:rsid w:val="00A823FC"/>
    <w:rsid w:val="00A8373B"/>
    <w:rsid w:val="00A83BD2"/>
    <w:rsid w:val="00A840C1"/>
    <w:rsid w:val="00A84F2F"/>
    <w:rsid w:val="00A92A99"/>
    <w:rsid w:val="00A93D8F"/>
    <w:rsid w:val="00A94802"/>
    <w:rsid w:val="00A94962"/>
    <w:rsid w:val="00A94BC5"/>
    <w:rsid w:val="00AA000A"/>
    <w:rsid w:val="00AA140E"/>
    <w:rsid w:val="00AA2693"/>
    <w:rsid w:val="00AA4E50"/>
    <w:rsid w:val="00AB2EDB"/>
    <w:rsid w:val="00AB616C"/>
    <w:rsid w:val="00AB7AFC"/>
    <w:rsid w:val="00AC0B41"/>
    <w:rsid w:val="00AC10FB"/>
    <w:rsid w:val="00AC3E4E"/>
    <w:rsid w:val="00AC6923"/>
    <w:rsid w:val="00AD20DE"/>
    <w:rsid w:val="00AD3C8E"/>
    <w:rsid w:val="00AD3E0C"/>
    <w:rsid w:val="00AD49D2"/>
    <w:rsid w:val="00AD721C"/>
    <w:rsid w:val="00AE37C0"/>
    <w:rsid w:val="00AE7724"/>
    <w:rsid w:val="00AF7A29"/>
    <w:rsid w:val="00B0418F"/>
    <w:rsid w:val="00B068CC"/>
    <w:rsid w:val="00B06F2A"/>
    <w:rsid w:val="00B1065E"/>
    <w:rsid w:val="00B1076D"/>
    <w:rsid w:val="00B17041"/>
    <w:rsid w:val="00B17FFD"/>
    <w:rsid w:val="00B23571"/>
    <w:rsid w:val="00B24D37"/>
    <w:rsid w:val="00B268A0"/>
    <w:rsid w:val="00B3361E"/>
    <w:rsid w:val="00B36AF5"/>
    <w:rsid w:val="00B374BC"/>
    <w:rsid w:val="00B41277"/>
    <w:rsid w:val="00B427D2"/>
    <w:rsid w:val="00B42E82"/>
    <w:rsid w:val="00B44E01"/>
    <w:rsid w:val="00B45AAE"/>
    <w:rsid w:val="00B54577"/>
    <w:rsid w:val="00B547FA"/>
    <w:rsid w:val="00B56BBD"/>
    <w:rsid w:val="00B56D30"/>
    <w:rsid w:val="00B60B29"/>
    <w:rsid w:val="00B61FA0"/>
    <w:rsid w:val="00B63474"/>
    <w:rsid w:val="00B637B8"/>
    <w:rsid w:val="00B6764F"/>
    <w:rsid w:val="00B67CCF"/>
    <w:rsid w:val="00B72DF8"/>
    <w:rsid w:val="00B77B7F"/>
    <w:rsid w:val="00B844FC"/>
    <w:rsid w:val="00B9298A"/>
    <w:rsid w:val="00B93C76"/>
    <w:rsid w:val="00B96BF6"/>
    <w:rsid w:val="00B97E48"/>
    <w:rsid w:val="00BA0848"/>
    <w:rsid w:val="00BA1144"/>
    <w:rsid w:val="00BA6D0C"/>
    <w:rsid w:val="00BC04B4"/>
    <w:rsid w:val="00BC222E"/>
    <w:rsid w:val="00BC4CA0"/>
    <w:rsid w:val="00BE0C58"/>
    <w:rsid w:val="00BE46D3"/>
    <w:rsid w:val="00BE4AF1"/>
    <w:rsid w:val="00BF2F12"/>
    <w:rsid w:val="00C0150A"/>
    <w:rsid w:val="00C02316"/>
    <w:rsid w:val="00C04624"/>
    <w:rsid w:val="00C05550"/>
    <w:rsid w:val="00C0593B"/>
    <w:rsid w:val="00C0604D"/>
    <w:rsid w:val="00C13017"/>
    <w:rsid w:val="00C1636F"/>
    <w:rsid w:val="00C16E07"/>
    <w:rsid w:val="00C1731A"/>
    <w:rsid w:val="00C25CEF"/>
    <w:rsid w:val="00C279AD"/>
    <w:rsid w:val="00C30EDD"/>
    <w:rsid w:val="00C32B16"/>
    <w:rsid w:val="00C35C5C"/>
    <w:rsid w:val="00C36332"/>
    <w:rsid w:val="00C37303"/>
    <w:rsid w:val="00C4363A"/>
    <w:rsid w:val="00C469DD"/>
    <w:rsid w:val="00C47987"/>
    <w:rsid w:val="00C50205"/>
    <w:rsid w:val="00C55114"/>
    <w:rsid w:val="00C554F5"/>
    <w:rsid w:val="00C7133E"/>
    <w:rsid w:val="00C749BA"/>
    <w:rsid w:val="00C75850"/>
    <w:rsid w:val="00C76E24"/>
    <w:rsid w:val="00C80396"/>
    <w:rsid w:val="00C8154A"/>
    <w:rsid w:val="00C84EAF"/>
    <w:rsid w:val="00C87C6E"/>
    <w:rsid w:val="00C90215"/>
    <w:rsid w:val="00C91A26"/>
    <w:rsid w:val="00CA45E9"/>
    <w:rsid w:val="00CA6070"/>
    <w:rsid w:val="00CA61AF"/>
    <w:rsid w:val="00CB183B"/>
    <w:rsid w:val="00CB2029"/>
    <w:rsid w:val="00CB24F6"/>
    <w:rsid w:val="00CB305C"/>
    <w:rsid w:val="00CB366E"/>
    <w:rsid w:val="00CB7F3C"/>
    <w:rsid w:val="00CC0660"/>
    <w:rsid w:val="00CC121D"/>
    <w:rsid w:val="00CC2A38"/>
    <w:rsid w:val="00CD2338"/>
    <w:rsid w:val="00CD401B"/>
    <w:rsid w:val="00CE2887"/>
    <w:rsid w:val="00CE3B84"/>
    <w:rsid w:val="00CE44CD"/>
    <w:rsid w:val="00CE4762"/>
    <w:rsid w:val="00CE5AF7"/>
    <w:rsid w:val="00CF29A5"/>
    <w:rsid w:val="00CF72AA"/>
    <w:rsid w:val="00CF7390"/>
    <w:rsid w:val="00D0027B"/>
    <w:rsid w:val="00D05D99"/>
    <w:rsid w:val="00D07271"/>
    <w:rsid w:val="00D104EF"/>
    <w:rsid w:val="00D10BC0"/>
    <w:rsid w:val="00D11060"/>
    <w:rsid w:val="00D11349"/>
    <w:rsid w:val="00D12A4C"/>
    <w:rsid w:val="00D1306A"/>
    <w:rsid w:val="00D13443"/>
    <w:rsid w:val="00D14347"/>
    <w:rsid w:val="00D17E2F"/>
    <w:rsid w:val="00D213C5"/>
    <w:rsid w:val="00D22291"/>
    <w:rsid w:val="00D23F53"/>
    <w:rsid w:val="00D23FCE"/>
    <w:rsid w:val="00D24B15"/>
    <w:rsid w:val="00D27D2D"/>
    <w:rsid w:val="00D303EB"/>
    <w:rsid w:val="00D3331F"/>
    <w:rsid w:val="00D33A9B"/>
    <w:rsid w:val="00D40F59"/>
    <w:rsid w:val="00D41166"/>
    <w:rsid w:val="00D44BA0"/>
    <w:rsid w:val="00D45CBC"/>
    <w:rsid w:val="00D50808"/>
    <w:rsid w:val="00D50DF1"/>
    <w:rsid w:val="00D51475"/>
    <w:rsid w:val="00D51944"/>
    <w:rsid w:val="00D51A68"/>
    <w:rsid w:val="00D5314F"/>
    <w:rsid w:val="00D53F77"/>
    <w:rsid w:val="00D542DD"/>
    <w:rsid w:val="00D54491"/>
    <w:rsid w:val="00D54815"/>
    <w:rsid w:val="00D57ACA"/>
    <w:rsid w:val="00D57C3A"/>
    <w:rsid w:val="00D60EBE"/>
    <w:rsid w:val="00D648E4"/>
    <w:rsid w:val="00D73DAE"/>
    <w:rsid w:val="00D741AA"/>
    <w:rsid w:val="00D77AEC"/>
    <w:rsid w:val="00D84785"/>
    <w:rsid w:val="00D84F7B"/>
    <w:rsid w:val="00D86915"/>
    <w:rsid w:val="00D911AA"/>
    <w:rsid w:val="00D94CBB"/>
    <w:rsid w:val="00D95546"/>
    <w:rsid w:val="00D95935"/>
    <w:rsid w:val="00D97036"/>
    <w:rsid w:val="00DA32EE"/>
    <w:rsid w:val="00DA3DA5"/>
    <w:rsid w:val="00DB2A1E"/>
    <w:rsid w:val="00DB2AC3"/>
    <w:rsid w:val="00DB319B"/>
    <w:rsid w:val="00DB3A09"/>
    <w:rsid w:val="00DB4630"/>
    <w:rsid w:val="00DC0E52"/>
    <w:rsid w:val="00DC2760"/>
    <w:rsid w:val="00DC3531"/>
    <w:rsid w:val="00DC6095"/>
    <w:rsid w:val="00DC64DA"/>
    <w:rsid w:val="00DC7874"/>
    <w:rsid w:val="00DD3FEF"/>
    <w:rsid w:val="00DD6D5F"/>
    <w:rsid w:val="00DE03F6"/>
    <w:rsid w:val="00DE31FF"/>
    <w:rsid w:val="00DE3712"/>
    <w:rsid w:val="00DE5F69"/>
    <w:rsid w:val="00DE6E31"/>
    <w:rsid w:val="00DE7C63"/>
    <w:rsid w:val="00DF4010"/>
    <w:rsid w:val="00E01488"/>
    <w:rsid w:val="00E03B3B"/>
    <w:rsid w:val="00E07E2C"/>
    <w:rsid w:val="00E106CF"/>
    <w:rsid w:val="00E10937"/>
    <w:rsid w:val="00E11517"/>
    <w:rsid w:val="00E15335"/>
    <w:rsid w:val="00E16099"/>
    <w:rsid w:val="00E1759D"/>
    <w:rsid w:val="00E17713"/>
    <w:rsid w:val="00E2025B"/>
    <w:rsid w:val="00E23D71"/>
    <w:rsid w:val="00E269A1"/>
    <w:rsid w:val="00E36D37"/>
    <w:rsid w:val="00E3762A"/>
    <w:rsid w:val="00E37C93"/>
    <w:rsid w:val="00E43C7A"/>
    <w:rsid w:val="00E508CC"/>
    <w:rsid w:val="00E52C4B"/>
    <w:rsid w:val="00E52F36"/>
    <w:rsid w:val="00E558D6"/>
    <w:rsid w:val="00E55B34"/>
    <w:rsid w:val="00E57869"/>
    <w:rsid w:val="00E61641"/>
    <w:rsid w:val="00E62751"/>
    <w:rsid w:val="00E6602C"/>
    <w:rsid w:val="00E72994"/>
    <w:rsid w:val="00E731B9"/>
    <w:rsid w:val="00E83862"/>
    <w:rsid w:val="00E848DF"/>
    <w:rsid w:val="00E854C7"/>
    <w:rsid w:val="00E866B5"/>
    <w:rsid w:val="00E94CE2"/>
    <w:rsid w:val="00E960D5"/>
    <w:rsid w:val="00E96312"/>
    <w:rsid w:val="00E97676"/>
    <w:rsid w:val="00EA0295"/>
    <w:rsid w:val="00EA144B"/>
    <w:rsid w:val="00EA2B11"/>
    <w:rsid w:val="00EA2C7B"/>
    <w:rsid w:val="00EA2E2B"/>
    <w:rsid w:val="00EB0EDB"/>
    <w:rsid w:val="00EB1395"/>
    <w:rsid w:val="00EB2BE9"/>
    <w:rsid w:val="00EB46CF"/>
    <w:rsid w:val="00EB7037"/>
    <w:rsid w:val="00EB7A96"/>
    <w:rsid w:val="00EB7CCB"/>
    <w:rsid w:val="00EC073F"/>
    <w:rsid w:val="00EC13BD"/>
    <w:rsid w:val="00EC27EC"/>
    <w:rsid w:val="00EC4A34"/>
    <w:rsid w:val="00ED1C71"/>
    <w:rsid w:val="00ED2C81"/>
    <w:rsid w:val="00ED3762"/>
    <w:rsid w:val="00ED561A"/>
    <w:rsid w:val="00ED5913"/>
    <w:rsid w:val="00ED6C6F"/>
    <w:rsid w:val="00EE08A8"/>
    <w:rsid w:val="00EE1AAA"/>
    <w:rsid w:val="00EE2597"/>
    <w:rsid w:val="00EE4C9F"/>
    <w:rsid w:val="00EF0776"/>
    <w:rsid w:val="00EF0D39"/>
    <w:rsid w:val="00EF492F"/>
    <w:rsid w:val="00EF52BB"/>
    <w:rsid w:val="00EF61BC"/>
    <w:rsid w:val="00F023A6"/>
    <w:rsid w:val="00F0275D"/>
    <w:rsid w:val="00F03689"/>
    <w:rsid w:val="00F03AFD"/>
    <w:rsid w:val="00F05D8C"/>
    <w:rsid w:val="00F108C2"/>
    <w:rsid w:val="00F11F16"/>
    <w:rsid w:val="00F1241F"/>
    <w:rsid w:val="00F15755"/>
    <w:rsid w:val="00F15B9F"/>
    <w:rsid w:val="00F17DC4"/>
    <w:rsid w:val="00F20F79"/>
    <w:rsid w:val="00F2427E"/>
    <w:rsid w:val="00F248A3"/>
    <w:rsid w:val="00F24F0A"/>
    <w:rsid w:val="00F26B66"/>
    <w:rsid w:val="00F3040C"/>
    <w:rsid w:val="00F36074"/>
    <w:rsid w:val="00F37D7E"/>
    <w:rsid w:val="00F43298"/>
    <w:rsid w:val="00F43433"/>
    <w:rsid w:val="00F4667E"/>
    <w:rsid w:val="00F47EDF"/>
    <w:rsid w:val="00F50CAD"/>
    <w:rsid w:val="00F5179F"/>
    <w:rsid w:val="00F51EC7"/>
    <w:rsid w:val="00F526A5"/>
    <w:rsid w:val="00F5304F"/>
    <w:rsid w:val="00F535EC"/>
    <w:rsid w:val="00F536AC"/>
    <w:rsid w:val="00F61253"/>
    <w:rsid w:val="00F6480A"/>
    <w:rsid w:val="00F64908"/>
    <w:rsid w:val="00F66B27"/>
    <w:rsid w:val="00F71915"/>
    <w:rsid w:val="00F726E7"/>
    <w:rsid w:val="00F72D78"/>
    <w:rsid w:val="00F74DF4"/>
    <w:rsid w:val="00F7615C"/>
    <w:rsid w:val="00F76180"/>
    <w:rsid w:val="00F76CCD"/>
    <w:rsid w:val="00F83B03"/>
    <w:rsid w:val="00F84A49"/>
    <w:rsid w:val="00F86554"/>
    <w:rsid w:val="00F86CCF"/>
    <w:rsid w:val="00F8773F"/>
    <w:rsid w:val="00F901AF"/>
    <w:rsid w:val="00F92EDD"/>
    <w:rsid w:val="00F9334D"/>
    <w:rsid w:val="00F9431C"/>
    <w:rsid w:val="00F979AC"/>
    <w:rsid w:val="00FA64CE"/>
    <w:rsid w:val="00FB403B"/>
    <w:rsid w:val="00FB5A04"/>
    <w:rsid w:val="00FB7993"/>
    <w:rsid w:val="00FC1BC7"/>
    <w:rsid w:val="00FC3C32"/>
    <w:rsid w:val="00FC611E"/>
    <w:rsid w:val="00FD0C77"/>
    <w:rsid w:val="00FD507E"/>
    <w:rsid w:val="00FD5519"/>
    <w:rsid w:val="00FE2FE5"/>
    <w:rsid w:val="00FE308D"/>
    <w:rsid w:val="00FE608C"/>
    <w:rsid w:val="00FE64AB"/>
    <w:rsid w:val="00FF4DAE"/>
    <w:rsid w:val="00FF54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4CB74E"/>
  <w15:chartTrackingRefBased/>
  <w15:docId w15:val="{1E9A49E2-B6FE-45D3-9B68-950C0A1A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Normal (Web)" w:uiPriority="99"/>
    <w:lsdException w:name="HTML Definition" w:semiHidden="1" w:unhideWhenUsed="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outlineLvl w:val="0"/>
    </w:pPr>
    <w:rPr>
      <w:rFonts w:ascii="Arial" w:hAnsi="Arial" w:cs="Arial"/>
      <w:b/>
      <w:bCs/>
      <w:lang w:val="es-CO"/>
    </w:rPr>
  </w:style>
  <w:style w:type="paragraph" w:styleId="Ttulo2">
    <w:name w:val="heading 2"/>
    <w:basedOn w:val="Normal"/>
    <w:next w:val="Normal"/>
    <w:qFormat/>
    <w:pPr>
      <w:keepNext/>
      <w:spacing w:line="360" w:lineRule="auto"/>
      <w:jc w:val="both"/>
      <w:outlineLvl w:val="1"/>
    </w:pPr>
    <w:rPr>
      <w:rFonts w:ascii="Arial" w:hAnsi="Arial"/>
      <w:b/>
      <w:bCs/>
      <w:sz w:val="22"/>
      <w:szCs w:val="20"/>
    </w:rPr>
  </w:style>
  <w:style w:type="paragraph" w:styleId="Ttulo4">
    <w:name w:val="heading 4"/>
    <w:basedOn w:val="Normal"/>
    <w:next w:val="Normal"/>
    <w:qFormat/>
    <w:pPr>
      <w:keepNext/>
      <w:jc w:val="center"/>
      <w:outlineLvl w:val="3"/>
    </w:pPr>
    <w:rPr>
      <w:rFonts w:ascii="Arial" w:hAnsi="Arial"/>
      <w:b/>
      <w:snapToGrid w:val="0"/>
      <w:szCs w:val="20"/>
      <w:lang w:val="es-ES_tradnl"/>
    </w:rPr>
  </w:style>
  <w:style w:type="paragraph" w:styleId="Ttulo7">
    <w:name w:val="heading 7"/>
    <w:basedOn w:val="Normal"/>
    <w:next w:val="Normal"/>
    <w:link w:val="Ttulo7Car"/>
    <w:semiHidden/>
    <w:unhideWhenUsed/>
    <w:qFormat/>
    <w:rsid w:val="00374C16"/>
    <w:pPr>
      <w:spacing w:before="240" w:after="60"/>
      <w:outlineLvl w:val="6"/>
    </w:pPr>
    <w:rPr>
      <w:rFonts w:ascii="Calibri" w:hAnsi="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firstLine="3"/>
    </w:pPr>
    <w:rPr>
      <w:rFonts w:ascii="Arial" w:hAnsi="Arial"/>
      <w:snapToGrid w:val="0"/>
      <w:szCs w:val="20"/>
    </w:rPr>
  </w:style>
  <w:style w:type="paragraph" w:customStyle="1" w:styleId="Puesto1">
    <w:name w:val="Puesto1"/>
    <w:basedOn w:val="Normal"/>
    <w:link w:val="PuestoCar"/>
    <w:qFormat/>
    <w:pPr>
      <w:jc w:val="center"/>
    </w:pPr>
    <w:rPr>
      <w:rFonts w:ascii="Arial" w:hAnsi="Arial"/>
      <w:b/>
      <w:snapToGrid w:val="0"/>
      <w:szCs w:val="20"/>
    </w:rPr>
  </w:style>
  <w:style w:type="paragraph" w:styleId="Encabezado">
    <w:name w:val="header"/>
    <w:basedOn w:val="Normal"/>
    <w:link w:val="EncabezadoCar"/>
    <w:pPr>
      <w:tabs>
        <w:tab w:val="center" w:pos="4252"/>
        <w:tab w:val="right" w:pos="8504"/>
      </w:tabs>
    </w:pPr>
    <w:rPr>
      <w:rFonts w:ascii="Arial" w:hAnsi="Arial"/>
      <w:b/>
      <w:i/>
      <w:snapToGrid w:val="0"/>
      <w:sz w:val="28"/>
      <w:szCs w:val="20"/>
      <w:lang w:val="es-ES_tradnl"/>
    </w:rPr>
  </w:style>
  <w:style w:type="character" w:styleId="Nmerodepgina">
    <w:name w:val="page number"/>
    <w:basedOn w:val="Fuentedeprrafopredeter"/>
  </w:style>
  <w:style w:type="paragraph" w:styleId="Textoindependiente">
    <w:name w:val="Body Text"/>
    <w:basedOn w:val="Normal"/>
    <w:rPr>
      <w:rFonts w:ascii="Arial" w:hAnsi="Arial"/>
      <w:sz w:val="22"/>
      <w:szCs w:val="20"/>
    </w:rPr>
  </w:style>
  <w:style w:type="paragraph" w:styleId="Subttulo">
    <w:name w:val="Subtitle"/>
    <w:basedOn w:val="Normal"/>
    <w:qFormat/>
    <w:pPr>
      <w:jc w:val="center"/>
    </w:pPr>
    <w:rPr>
      <w:rFonts w:ascii="Arial" w:hAnsi="Arial"/>
      <w:b/>
      <w:bCs/>
      <w:sz w:val="22"/>
      <w:szCs w:val="20"/>
    </w:rPr>
  </w:style>
  <w:style w:type="paragraph" w:styleId="Sangra2detindependiente">
    <w:name w:val="Body Text Indent 2"/>
    <w:basedOn w:val="Normal"/>
    <w:pPr>
      <w:ind w:left="2832" w:hanging="2832"/>
    </w:pPr>
    <w:rPr>
      <w:rFonts w:ascii="Arial" w:hAnsi="Arial" w:cs="Arial"/>
      <w:b/>
      <w:bCs/>
      <w:lang w:val="es-CO"/>
    </w:rPr>
  </w:style>
  <w:style w:type="paragraph" w:customStyle="1" w:styleId="Textoindependiente21">
    <w:name w:val="Texto independiente 21"/>
    <w:basedOn w:val="Normal"/>
    <w:rsid w:val="006C5757"/>
    <w:pPr>
      <w:overflowPunct w:val="0"/>
      <w:autoSpaceDE w:val="0"/>
      <w:autoSpaceDN w:val="0"/>
      <w:adjustRightInd w:val="0"/>
      <w:spacing w:line="360" w:lineRule="auto"/>
      <w:jc w:val="both"/>
    </w:pPr>
    <w:rPr>
      <w:rFonts w:ascii="Arial" w:hAnsi="Arial"/>
      <w:sz w:val="22"/>
      <w:szCs w:val="20"/>
      <w:lang w:val="es-ES_tradnl"/>
    </w:rPr>
  </w:style>
  <w:style w:type="paragraph" w:styleId="Piedepgina">
    <w:name w:val="footer"/>
    <w:basedOn w:val="Normal"/>
    <w:link w:val="PiedepginaCar"/>
    <w:uiPriority w:val="99"/>
    <w:rsid w:val="00055A0D"/>
    <w:pPr>
      <w:tabs>
        <w:tab w:val="center" w:pos="4252"/>
        <w:tab w:val="right" w:pos="8504"/>
      </w:tabs>
    </w:pPr>
  </w:style>
  <w:style w:type="paragraph" w:styleId="Textodeglobo">
    <w:name w:val="Balloon Text"/>
    <w:basedOn w:val="Normal"/>
    <w:link w:val="TextodegloboCar"/>
    <w:rsid w:val="008F5103"/>
    <w:rPr>
      <w:rFonts w:ascii="Tahoma" w:hAnsi="Tahoma" w:cs="Tahoma"/>
      <w:sz w:val="16"/>
      <w:szCs w:val="16"/>
    </w:rPr>
  </w:style>
  <w:style w:type="character" w:customStyle="1" w:styleId="TextodegloboCar">
    <w:name w:val="Texto de globo Car"/>
    <w:link w:val="Textodeglobo"/>
    <w:rsid w:val="008F5103"/>
    <w:rPr>
      <w:rFonts w:ascii="Tahoma" w:hAnsi="Tahoma" w:cs="Tahoma"/>
      <w:sz w:val="16"/>
      <w:szCs w:val="16"/>
      <w:lang w:val="es-ES" w:eastAsia="es-ES"/>
    </w:rPr>
  </w:style>
  <w:style w:type="paragraph" w:styleId="Lista">
    <w:name w:val="List"/>
    <w:basedOn w:val="Normal"/>
    <w:rsid w:val="00F4667E"/>
    <w:pPr>
      <w:autoSpaceDE w:val="0"/>
      <w:autoSpaceDN w:val="0"/>
      <w:ind w:left="283" w:hanging="283"/>
    </w:pPr>
    <w:rPr>
      <w:rFonts w:ascii="Arial" w:hAnsi="Arial" w:cs="Arial"/>
      <w:sz w:val="28"/>
      <w:szCs w:val="28"/>
      <w:lang w:val="es-ES_tradnl"/>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iPriority w:val="99"/>
    <w:qFormat/>
    <w:rsid w:val="007238D2"/>
    <w:rPr>
      <w:sz w:val="20"/>
      <w:szCs w:val="20"/>
    </w:rPr>
  </w:style>
  <w:style w:type="character" w:customStyle="1" w:styleId="TextonotapieCar">
    <w:name w:val="Texto nota pie Car"/>
    <w:aliases w:val="Footnote Text Char Char Char Char Char Car1,Footnote Text Char Char Char Char Car1,Footnote reference Car1,FA Fu Car1,Footnote Text Cha Car1,Footnote Text Char Char Char Car1,FA Fußnotentext Car1,FA Fuﬂnotentext Car1"/>
    <w:link w:val="Textonotapie"/>
    <w:uiPriority w:val="99"/>
    <w:rsid w:val="007238D2"/>
    <w:rPr>
      <w:lang w:val="es-ES" w:eastAsia="es-ES"/>
    </w:rPr>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uiPriority w:val="99"/>
    <w:qFormat/>
    <w:rsid w:val="007238D2"/>
    <w:rPr>
      <w:vertAlign w:val="superscript"/>
    </w:rPr>
  </w:style>
  <w:style w:type="character" w:customStyle="1" w:styleId="Ttulo7Car">
    <w:name w:val="Título 7 Car"/>
    <w:link w:val="Ttulo7"/>
    <w:semiHidden/>
    <w:rsid w:val="00374C16"/>
    <w:rPr>
      <w:rFonts w:ascii="Calibri" w:eastAsia="Times New Roman" w:hAnsi="Calibri" w:cs="Times New Roman"/>
      <w:sz w:val="24"/>
      <w:szCs w:val="24"/>
      <w:lang w:val="es-ES" w:eastAsia="es-ES"/>
    </w:rPr>
  </w:style>
  <w:style w:type="character" w:customStyle="1" w:styleId="PiedepginaCar">
    <w:name w:val="Pie de página Car"/>
    <w:link w:val="Piedepgina"/>
    <w:uiPriority w:val="99"/>
    <w:rsid w:val="00374C16"/>
    <w:rPr>
      <w:sz w:val="24"/>
      <w:szCs w:val="24"/>
      <w:lang w:val="es-ES" w:eastAsia="es-ES"/>
    </w:rPr>
  </w:style>
  <w:style w:type="paragraph" w:styleId="NormalWeb">
    <w:name w:val="Normal (Web)"/>
    <w:basedOn w:val="Normal"/>
    <w:uiPriority w:val="99"/>
    <w:unhideWhenUsed/>
    <w:rsid w:val="00374C16"/>
    <w:pPr>
      <w:spacing w:before="100" w:beforeAutospacing="1" w:after="100" w:afterAutospacing="1"/>
    </w:pPr>
    <w:rPr>
      <w:lang w:val="es-CO" w:eastAsia="es-CO"/>
    </w:rPr>
  </w:style>
  <w:style w:type="paragraph" w:customStyle="1" w:styleId="Textoindependiente210">
    <w:name w:val="Texto independiente 21"/>
    <w:basedOn w:val="Normal"/>
    <w:uiPriority w:val="99"/>
    <w:rsid w:val="00374C16"/>
    <w:pPr>
      <w:overflowPunct w:val="0"/>
      <w:autoSpaceDE w:val="0"/>
      <w:autoSpaceDN w:val="0"/>
      <w:adjustRightInd w:val="0"/>
      <w:spacing w:after="220" w:line="360" w:lineRule="auto"/>
      <w:ind w:firstLine="708"/>
      <w:jc w:val="both"/>
    </w:pPr>
    <w:rPr>
      <w:rFonts w:ascii="Century Gothic" w:hAnsi="Century Gothic" w:cs="Century Gothic"/>
      <w:sz w:val="22"/>
      <w:szCs w:val="22"/>
      <w:lang w:val="es-ES_tradnl"/>
    </w:rPr>
  </w:style>
  <w:style w:type="character" w:customStyle="1" w:styleId="EncabezadoCar">
    <w:name w:val="Encabezado Car"/>
    <w:link w:val="Encabezado"/>
    <w:rsid w:val="00A45867"/>
    <w:rPr>
      <w:rFonts w:ascii="Arial" w:hAnsi="Arial"/>
      <w:b/>
      <w:i/>
      <w:snapToGrid w:val="0"/>
      <w:sz w:val="28"/>
      <w:lang w:val="es-ES_tradnl"/>
    </w:rPr>
  </w:style>
  <w:style w:type="paragraph" w:styleId="Textoindependiente2">
    <w:name w:val="Body Text 2"/>
    <w:basedOn w:val="Normal"/>
    <w:link w:val="Textoindependiente2Car"/>
    <w:rsid w:val="00A45867"/>
    <w:pPr>
      <w:spacing w:after="120" w:line="480" w:lineRule="auto"/>
    </w:pPr>
  </w:style>
  <w:style w:type="character" w:customStyle="1" w:styleId="Textoindependiente2Car">
    <w:name w:val="Texto independiente 2 Car"/>
    <w:link w:val="Textoindependiente2"/>
    <w:rsid w:val="00A45867"/>
    <w:rPr>
      <w:sz w:val="24"/>
      <w:szCs w:val="24"/>
    </w:rPr>
  </w:style>
  <w:style w:type="paragraph" w:styleId="Sinespaciado">
    <w:name w:val="No Spacing"/>
    <w:uiPriority w:val="1"/>
    <w:qFormat/>
    <w:rsid w:val="00A45867"/>
    <w:rPr>
      <w:rFonts w:ascii="Calibri" w:eastAsia="Calibri" w:hAnsi="Calibri"/>
      <w:sz w:val="22"/>
      <w:szCs w:val="22"/>
      <w:lang w:val="es-CO"/>
    </w:rPr>
  </w:style>
  <w:style w:type="character" w:customStyle="1" w:styleId="apple-converted-space">
    <w:name w:val="apple-converted-space"/>
    <w:rsid w:val="006220A5"/>
  </w:style>
  <w:style w:type="paragraph" w:styleId="Continuarlista2">
    <w:name w:val="List Continue 2"/>
    <w:basedOn w:val="Normal"/>
    <w:rsid w:val="00EF492F"/>
    <w:pPr>
      <w:spacing w:after="120"/>
      <w:ind w:left="566"/>
      <w:contextualSpacing/>
    </w:p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texto de nota al p Car"/>
    <w:locked/>
    <w:rsid w:val="0071317C"/>
    <w:rPr>
      <w:rFonts w:ascii="Times New Roman" w:hAnsi="Times New Roman" w:cs="Times New Roman"/>
      <w:sz w:val="20"/>
      <w:szCs w:val="20"/>
      <w:lang w:val="es-ES" w:eastAsia="es-ES"/>
    </w:rPr>
  </w:style>
  <w:style w:type="paragraph" w:customStyle="1" w:styleId="BodyText21">
    <w:name w:val="Body Text 21"/>
    <w:basedOn w:val="Normal"/>
    <w:rsid w:val="0071317C"/>
    <w:pPr>
      <w:widowControl w:val="0"/>
      <w:autoSpaceDE w:val="0"/>
      <w:autoSpaceDN w:val="0"/>
      <w:spacing w:line="480" w:lineRule="auto"/>
      <w:jc w:val="both"/>
    </w:pPr>
    <w:rPr>
      <w:rFonts w:ascii="Arial" w:hAnsi="Arial" w:cs="Arial"/>
      <w:lang w:val="es-ES_tradnl"/>
    </w:rPr>
  </w:style>
  <w:style w:type="paragraph" w:styleId="Prrafodelista">
    <w:name w:val="List Paragraph"/>
    <w:basedOn w:val="Normal"/>
    <w:uiPriority w:val="34"/>
    <w:qFormat/>
    <w:rsid w:val="0071317C"/>
    <w:pPr>
      <w:ind w:left="720"/>
      <w:contextualSpacing/>
    </w:pPr>
    <w:rPr>
      <w:szCs w:val="20"/>
      <w:lang w:val="es-CO"/>
    </w:rPr>
  </w:style>
  <w:style w:type="character" w:styleId="Hipervnculo">
    <w:name w:val="Hyperlink"/>
    <w:uiPriority w:val="99"/>
    <w:unhideWhenUsed/>
    <w:rsid w:val="0051188C"/>
    <w:rPr>
      <w:color w:val="0000FF"/>
      <w:u w:val="single"/>
    </w:rPr>
  </w:style>
  <w:style w:type="character" w:customStyle="1" w:styleId="Ninguno">
    <w:name w:val="Ninguno"/>
    <w:rsid w:val="00227958"/>
    <w:rPr>
      <w:lang w:val="es-ES_tradnl"/>
    </w:rPr>
  </w:style>
  <w:style w:type="character" w:customStyle="1" w:styleId="PuestoCar">
    <w:name w:val="Puesto Car"/>
    <w:link w:val="Puesto1"/>
    <w:locked/>
    <w:rsid w:val="000E2A43"/>
    <w:rPr>
      <w:rFonts w:ascii="Arial" w:hAnsi="Arial"/>
      <w:b/>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967222">
      <w:bodyDiv w:val="1"/>
      <w:marLeft w:val="0"/>
      <w:marRight w:val="0"/>
      <w:marTop w:val="0"/>
      <w:marBottom w:val="0"/>
      <w:divBdr>
        <w:top w:val="none" w:sz="0" w:space="0" w:color="auto"/>
        <w:left w:val="none" w:sz="0" w:space="0" w:color="auto"/>
        <w:bottom w:val="none" w:sz="0" w:space="0" w:color="auto"/>
        <w:right w:val="none" w:sz="0" w:space="0" w:color="auto"/>
      </w:divBdr>
    </w:div>
    <w:div w:id="354699684">
      <w:bodyDiv w:val="1"/>
      <w:marLeft w:val="0"/>
      <w:marRight w:val="0"/>
      <w:marTop w:val="0"/>
      <w:marBottom w:val="0"/>
      <w:divBdr>
        <w:top w:val="none" w:sz="0" w:space="0" w:color="auto"/>
        <w:left w:val="none" w:sz="0" w:space="0" w:color="auto"/>
        <w:bottom w:val="none" w:sz="0" w:space="0" w:color="auto"/>
        <w:right w:val="none" w:sz="0" w:space="0" w:color="auto"/>
      </w:divBdr>
    </w:div>
    <w:div w:id="545146300">
      <w:bodyDiv w:val="1"/>
      <w:marLeft w:val="0"/>
      <w:marRight w:val="0"/>
      <w:marTop w:val="0"/>
      <w:marBottom w:val="0"/>
      <w:divBdr>
        <w:top w:val="none" w:sz="0" w:space="0" w:color="auto"/>
        <w:left w:val="none" w:sz="0" w:space="0" w:color="auto"/>
        <w:bottom w:val="none" w:sz="0" w:space="0" w:color="auto"/>
        <w:right w:val="none" w:sz="0" w:space="0" w:color="auto"/>
      </w:divBdr>
    </w:div>
    <w:div w:id="759836804">
      <w:bodyDiv w:val="1"/>
      <w:marLeft w:val="0"/>
      <w:marRight w:val="0"/>
      <w:marTop w:val="0"/>
      <w:marBottom w:val="0"/>
      <w:divBdr>
        <w:top w:val="none" w:sz="0" w:space="0" w:color="auto"/>
        <w:left w:val="none" w:sz="0" w:space="0" w:color="auto"/>
        <w:bottom w:val="none" w:sz="0" w:space="0" w:color="auto"/>
        <w:right w:val="none" w:sz="0" w:space="0" w:color="auto"/>
      </w:divBdr>
    </w:div>
    <w:div w:id="963922079">
      <w:bodyDiv w:val="1"/>
      <w:marLeft w:val="0"/>
      <w:marRight w:val="0"/>
      <w:marTop w:val="0"/>
      <w:marBottom w:val="0"/>
      <w:divBdr>
        <w:top w:val="none" w:sz="0" w:space="0" w:color="auto"/>
        <w:left w:val="none" w:sz="0" w:space="0" w:color="auto"/>
        <w:bottom w:val="none" w:sz="0" w:space="0" w:color="auto"/>
        <w:right w:val="none" w:sz="0" w:space="0" w:color="auto"/>
      </w:divBdr>
    </w:div>
    <w:div w:id="1173029808">
      <w:bodyDiv w:val="1"/>
      <w:marLeft w:val="0"/>
      <w:marRight w:val="0"/>
      <w:marTop w:val="0"/>
      <w:marBottom w:val="0"/>
      <w:divBdr>
        <w:top w:val="none" w:sz="0" w:space="0" w:color="auto"/>
        <w:left w:val="none" w:sz="0" w:space="0" w:color="auto"/>
        <w:bottom w:val="none" w:sz="0" w:space="0" w:color="auto"/>
        <w:right w:val="none" w:sz="0" w:space="0" w:color="auto"/>
      </w:divBdr>
    </w:div>
    <w:div w:id="1219247884">
      <w:bodyDiv w:val="1"/>
      <w:marLeft w:val="0"/>
      <w:marRight w:val="0"/>
      <w:marTop w:val="0"/>
      <w:marBottom w:val="0"/>
      <w:divBdr>
        <w:top w:val="none" w:sz="0" w:space="0" w:color="auto"/>
        <w:left w:val="none" w:sz="0" w:space="0" w:color="auto"/>
        <w:bottom w:val="none" w:sz="0" w:space="0" w:color="auto"/>
        <w:right w:val="none" w:sz="0" w:space="0" w:color="auto"/>
      </w:divBdr>
    </w:div>
    <w:div w:id="1258173968">
      <w:bodyDiv w:val="1"/>
      <w:marLeft w:val="0"/>
      <w:marRight w:val="0"/>
      <w:marTop w:val="0"/>
      <w:marBottom w:val="0"/>
      <w:divBdr>
        <w:top w:val="none" w:sz="0" w:space="0" w:color="auto"/>
        <w:left w:val="none" w:sz="0" w:space="0" w:color="auto"/>
        <w:bottom w:val="none" w:sz="0" w:space="0" w:color="auto"/>
        <w:right w:val="none" w:sz="0" w:space="0" w:color="auto"/>
      </w:divBdr>
    </w:div>
    <w:div w:id="1402363205">
      <w:bodyDiv w:val="1"/>
      <w:marLeft w:val="0"/>
      <w:marRight w:val="0"/>
      <w:marTop w:val="0"/>
      <w:marBottom w:val="0"/>
      <w:divBdr>
        <w:top w:val="none" w:sz="0" w:space="0" w:color="auto"/>
        <w:left w:val="none" w:sz="0" w:space="0" w:color="auto"/>
        <w:bottom w:val="none" w:sz="0" w:space="0" w:color="auto"/>
        <w:right w:val="none" w:sz="0" w:space="0" w:color="auto"/>
      </w:divBdr>
    </w:div>
    <w:div w:id="1411926075">
      <w:bodyDiv w:val="1"/>
      <w:marLeft w:val="0"/>
      <w:marRight w:val="0"/>
      <w:marTop w:val="0"/>
      <w:marBottom w:val="0"/>
      <w:divBdr>
        <w:top w:val="none" w:sz="0" w:space="0" w:color="auto"/>
        <w:left w:val="none" w:sz="0" w:space="0" w:color="auto"/>
        <w:bottom w:val="none" w:sz="0" w:space="0" w:color="auto"/>
        <w:right w:val="none" w:sz="0" w:space="0" w:color="auto"/>
      </w:divBdr>
    </w:div>
    <w:div w:id="1459639543">
      <w:bodyDiv w:val="1"/>
      <w:marLeft w:val="0"/>
      <w:marRight w:val="0"/>
      <w:marTop w:val="0"/>
      <w:marBottom w:val="0"/>
      <w:divBdr>
        <w:top w:val="none" w:sz="0" w:space="0" w:color="auto"/>
        <w:left w:val="none" w:sz="0" w:space="0" w:color="auto"/>
        <w:bottom w:val="none" w:sz="0" w:space="0" w:color="auto"/>
        <w:right w:val="none" w:sz="0" w:space="0" w:color="auto"/>
      </w:divBdr>
    </w:div>
    <w:div w:id="1520466466">
      <w:bodyDiv w:val="1"/>
      <w:marLeft w:val="0"/>
      <w:marRight w:val="0"/>
      <w:marTop w:val="0"/>
      <w:marBottom w:val="0"/>
      <w:divBdr>
        <w:top w:val="none" w:sz="0" w:space="0" w:color="auto"/>
        <w:left w:val="none" w:sz="0" w:space="0" w:color="auto"/>
        <w:bottom w:val="none" w:sz="0" w:space="0" w:color="auto"/>
        <w:right w:val="none" w:sz="0" w:space="0" w:color="auto"/>
      </w:divBdr>
    </w:div>
    <w:div w:id="2110077648">
      <w:bodyDiv w:val="1"/>
      <w:marLeft w:val="0"/>
      <w:marRight w:val="0"/>
      <w:marTop w:val="0"/>
      <w:marBottom w:val="0"/>
      <w:divBdr>
        <w:top w:val="none" w:sz="0" w:space="0" w:color="auto"/>
        <w:left w:val="none" w:sz="0" w:space="0" w:color="auto"/>
        <w:bottom w:val="none" w:sz="0" w:space="0" w:color="auto"/>
        <w:right w:val="none" w:sz="0" w:space="0" w:color="auto"/>
      </w:divBdr>
    </w:div>
    <w:div w:id="211551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28C3A-6513-46DF-A3D3-1A6D5DE3897D}">
  <ds:schemaRefs>
    <ds:schemaRef ds:uri="http://schemas.microsoft.com/sharepoint/v3/contenttype/forms"/>
  </ds:schemaRefs>
</ds:datastoreItem>
</file>

<file path=customXml/itemProps2.xml><?xml version="1.0" encoding="utf-8"?>
<ds:datastoreItem xmlns:ds="http://schemas.openxmlformats.org/officeDocument/2006/customXml" ds:itemID="{65C8CF4A-4E28-4293-9F2D-51718FE1C6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F3AB6B-6602-41B8-97E7-424E625EFE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50D802-2AD0-4EE3-9DBA-A49744F79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5056</Words>
  <Characters>27809</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CONSEJO DE ESTADO</vt:lpstr>
    </vt:vector>
  </TitlesOfParts>
  <Company>CSJ</Company>
  <LinksUpToDate>false</LinksUpToDate>
  <CharactersWithSpaces>32800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Ana María Pérez Cárdenas</dc:creator>
  <cp:keywords/>
  <cp:lastModifiedBy>Carlos Mario Castrillón Endo</cp:lastModifiedBy>
  <cp:revision>2</cp:revision>
  <cp:lastPrinted>2016-08-30T15:50:00Z</cp:lastPrinted>
  <dcterms:created xsi:type="dcterms:W3CDTF">2020-07-02T03:30:00Z</dcterms:created>
  <dcterms:modified xsi:type="dcterms:W3CDTF">2020-07-02T03:30:00Z</dcterms:modified>
</cp:coreProperties>
</file>