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39BA0" w14:textId="5BF40D38" w:rsidR="4D69CB4D" w:rsidRPr="00B76209" w:rsidRDefault="4D69CB4D" w:rsidP="00B76209">
      <w:pPr>
        <w:jc w:val="both"/>
        <w:rPr>
          <w:rFonts w:ascii="Arial" w:eastAsia="Arial" w:hAnsi="Arial" w:cs="Arial"/>
          <w:b/>
          <w:sz w:val="22"/>
          <w:szCs w:val="22"/>
          <w:lang w:val="es"/>
        </w:rPr>
      </w:pPr>
      <w:r w:rsidRPr="00B76209">
        <w:rPr>
          <w:rFonts w:ascii="Arial" w:eastAsia="Arial" w:hAnsi="Arial" w:cs="Arial"/>
          <w:b/>
          <w:bCs/>
          <w:sz w:val="22"/>
          <w:szCs w:val="22"/>
          <w:lang w:val="es"/>
        </w:rPr>
        <w:t xml:space="preserve">EQUILIBRIO ECONÓMICO </w:t>
      </w:r>
      <w:r w:rsidR="008B052F" w:rsidRPr="00B76209">
        <w:rPr>
          <w:rFonts w:ascii="Arial" w:eastAsia="Arial" w:hAnsi="Arial" w:cs="Arial"/>
          <w:b/>
          <w:bCs/>
          <w:sz w:val="22"/>
          <w:szCs w:val="22"/>
          <w:lang w:val="es"/>
        </w:rPr>
        <w:t xml:space="preserve">DEL CONTRATO - </w:t>
      </w:r>
      <w:r w:rsidR="00C83649">
        <w:rPr>
          <w:rFonts w:ascii="Arial" w:eastAsia="Arial" w:hAnsi="Arial" w:cs="Arial"/>
          <w:b/>
          <w:sz w:val="22"/>
          <w:szCs w:val="22"/>
          <w:lang w:val="es"/>
        </w:rPr>
        <w:t>Controversias contractuales - Procedencia</w:t>
      </w:r>
      <w:r w:rsidR="008B052F" w:rsidRPr="00B76209">
        <w:rPr>
          <w:rFonts w:ascii="Arial" w:eastAsia="Arial" w:hAnsi="Arial" w:cs="Arial"/>
          <w:b/>
          <w:sz w:val="22"/>
          <w:szCs w:val="22"/>
          <w:lang w:val="es"/>
        </w:rPr>
        <w:t xml:space="preserve"> </w:t>
      </w:r>
    </w:p>
    <w:p w14:paraId="5F218C28" w14:textId="77777777" w:rsidR="008B052F" w:rsidRPr="00B76209" w:rsidRDefault="008B052F" w:rsidP="00B76209">
      <w:pPr>
        <w:jc w:val="both"/>
        <w:rPr>
          <w:b/>
          <w:sz w:val="22"/>
          <w:szCs w:val="22"/>
        </w:rPr>
      </w:pPr>
    </w:p>
    <w:p w14:paraId="4246DD7D" w14:textId="76C42B55" w:rsidR="4D69CB4D" w:rsidRPr="00B76209" w:rsidRDefault="4D69CB4D" w:rsidP="00B76209">
      <w:pPr>
        <w:jc w:val="both"/>
        <w:rPr>
          <w:sz w:val="22"/>
          <w:szCs w:val="22"/>
        </w:rPr>
      </w:pPr>
      <w:r w:rsidRPr="00B76209">
        <w:rPr>
          <w:rFonts w:ascii="Arial" w:eastAsia="Arial" w:hAnsi="Arial" w:cs="Arial"/>
          <w:sz w:val="22"/>
          <w:szCs w:val="22"/>
          <w:lang w:val="es-CO"/>
        </w:rPr>
        <w:t xml:space="preserve"> </w:t>
      </w:r>
      <w:r w:rsidR="007426FA" w:rsidRPr="00B76209">
        <w:rPr>
          <w:rFonts w:ascii="Arial" w:eastAsia="Arial" w:hAnsi="Arial" w:cs="Arial"/>
          <w:sz w:val="22"/>
          <w:szCs w:val="22"/>
          <w:lang w:val="es-CO"/>
        </w:rPr>
        <w:t>[…]</w:t>
      </w:r>
      <w:r w:rsidRPr="00B76209">
        <w:rPr>
          <w:rFonts w:ascii="Arial" w:eastAsia="Arial" w:hAnsi="Arial" w:cs="Arial"/>
          <w:sz w:val="22"/>
          <w:szCs w:val="22"/>
          <w:lang w:val="es-CO"/>
        </w:rPr>
        <w:t xml:space="preserve"> Las pretensiones de la demanda, éstas resultan íntimamente ligadas a la actividad contractual sostenida entre la Caja de Compensación Familiar Comfenalco Antioquia y algunos entes territoriales del Departamento de Antioquia, entre los años 2008 y 2011, por cuanto lo perseguido no es otra cosa que el restablecimiento del detrimento patrimonial sufrido por la accionante debido al desequilibrio de la ecuación económica en los contratos aludidos.</w:t>
      </w:r>
    </w:p>
    <w:p w14:paraId="2B01EA10" w14:textId="21B5B8FB" w:rsidR="4D69CB4D" w:rsidRPr="00B76209" w:rsidRDefault="4D69CB4D" w:rsidP="00B76209">
      <w:pPr>
        <w:jc w:val="both"/>
        <w:rPr>
          <w:sz w:val="22"/>
          <w:szCs w:val="22"/>
        </w:rPr>
      </w:pPr>
      <w:r w:rsidRPr="00B76209">
        <w:rPr>
          <w:rFonts w:ascii="Arial" w:eastAsia="Arial" w:hAnsi="Arial" w:cs="Arial"/>
          <w:b/>
          <w:bCs/>
          <w:sz w:val="22"/>
          <w:szCs w:val="22"/>
          <w:lang w:val="es"/>
        </w:rPr>
        <w:t xml:space="preserve"> </w:t>
      </w:r>
    </w:p>
    <w:p w14:paraId="29DE041D" w14:textId="399F4ECA" w:rsidR="4D69CB4D" w:rsidRPr="00B76209" w:rsidRDefault="4D69CB4D" w:rsidP="00B76209">
      <w:pPr>
        <w:jc w:val="both"/>
        <w:rPr>
          <w:b/>
          <w:bCs/>
          <w:sz w:val="22"/>
          <w:szCs w:val="22"/>
        </w:rPr>
      </w:pPr>
      <w:r w:rsidRPr="00B76209">
        <w:rPr>
          <w:rFonts w:ascii="Arial" w:eastAsia="Arial" w:hAnsi="Arial" w:cs="Arial"/>
          <w:b/>
          <w:bCs/>
          <w:sz w:val="22"/>
          <w:szCs w:val="22"/>
          <w:lang w:val="es"/>
        </w:rPr>
        <w:t xml:space="preserve">EQUILIBRIO ECONÓMICO DEL CONTRATO </w:t>
      </w:r>
      <w:r w:rsidR="00C83649">
        <w:rPr>
          <w:rFonts w:ascii="Arial" w:eastAsia="Arial" w:hAnsi="Arial" w:cs="Arial"/>
          <w:b/>
          <w:bCs/>
          <w:sz w:val="22"/>
          <w:szCs w:val="22"/>
          <w:lang w:val="es"/>
        </w:rPr>
        <w:t>-</w:t>
      </w:r>
      <w:r w:rsidRPr="00B76209">
        <w:rPr>
          <w:rFonts w:ascii="Arial" w:eastAsia="Arial" w:hAnsi="Arial" w:cs="Arial"/>
          <w:b/>
          <w:bCs/>
          <w:sz w:val="22"/>
          <w:szCs w:val="22"/>
          <w:lang w:val="es"/>
        </w:rPr>
        <w:t xml:space="preserve"> </w:t>
      </w:r>
      <w:r w:rsidR="00C83649">
        <w:rPr>
          <w:rFonts w:ascii="Arial" w:eastAsia="Arial" w:hAnsi="Arial" w:cs="Arial"/>
          <w:b/>
          <w:bCs/>
          <w:sz w:val="22"/>
          <w:szCs w:val="22"/>
          <w:lang w:val="es"/>
        </w:rPr>
        <w:t xml:space="preserve">Ruptura - </w:t>
      </w:r>
      <w:r w:rsidRPr="00B76209">
        <w:rPr>
          <w:rFonts w:ascii="Arial" w:eastAsia="Arial" w:hAnsi="Arial" w:cs="Arial"/>
          <w:b/>
          <w:bCs/>
          <w:sz w:val="22"/>
          <w:szCs w:val="22"/>
          <w:lang w:val="es"/>
        </w:rPr>
        <w:t>Reiteración</w:t>
      </w:r>
      <w:r w:rsidR="00C83649">
        <w:rPr>
          <w:rFonts w:ascii="Arial" w:eastAsia="Arial" w:hAnsi="Arial" w:cs="Arial"/>
          <w:b/>
          <w:bCs/>
          <w:sz w:val="22"/>
          <w:szCs w:val="22"/>
          <w:lang w:val="es"/>
        </w:rPr>
        <w:t xml:space="preserve"> j</w:t>
      </w:r>
      <w:r w:rsidRPr="00B76209">
        <w:rPr>
          <w:rFonts w:ascii="Arial" w:eastAsia="Arial" w:hAnsi="Arial" w:cs="Arial"/>
          <w:b/>
          <w:bCs/>
          <w:sz w:val="22"/>
          <w:szCs w:val="22"/>
          <w:lang w:val="es"/>
        </w:rPr>
        <w:t xml:space="preserve">urisprudencial </w:t>
      </w:r>
    </w:p>
    <w:p w14:paraId="342D3AB0" w14:textId="652093B4" w:rsidR="4D69CB4D" w:rsidRPr="00B76209" w:rsidRDefault="4D69CB4D" w:rsidP="00B76209">
      <w:pPr>
        <w:jc w:val="both"/>
        <w:rPr>
          <w:b/>
          <w:bCs/>
          <w:sz w:val="22"/>
          <w:szCs w:val="22"/>
        </w:rPr>
      </w:pPr>
      <w:r w:rsidRPr="00B76209">
        <w:rPr>
          <w:rFonts w:ascii="Arial" w:eastAsia="Arial" w:hAnsi="Arial" w:cs="Arial"/>
          <w:b/>
          <w:bCs/>
          <w:sz w:val="22"/>
          <w:szCs w:val="22"/>
          <w:lang w:val="es-CO"/>
        </w:rPr>
        <w:t xml:space="preserve"> </w:t>
      </w:r>
    </w:p>
    <w:p w14:paraId="2A1E71F5" w14:textId="25A552E9" w:rsidR="4D69CB4D" w:rsidRPr="00B76209" w:rsidRDefault="4D69CB4D" w:rsidP="00B76209">
      <w:pPr>
        <w:jc w:val="both"/>
        <w:rPr>
          <w:sz w:val="22"/>
          <w:szCs w:val="22"/>
        </w:rPr>
      </w:pPr>
      <w:r w:rsidRPr="00B76209">
        <w:rPr>
          <w:rFonts w:ascii="Arial" w:eastAsia="Arial" w:hAnsi="Arial" w:cs="Arial"/>
          <w:sz w:val="22"/>
          <w:szCs w:val="22"/>
          <w:lang w:val="es"/>
        </w:rPr>
        <w:t>Sobre la ruptura del equilibrio económico y/o financiero de los contratos estatales, la jurisprudencia de esta Corporación se ha referido ampliamente, para aclarar que no se trata del incumplimiento contractual originado en el comportamiento antijurídico de una de las partes, sino que guarda relación con la alteración de la correlación y equivalencia en las prestaciones, por el ejercicio del poder dentro del marco de la legalidad o por situaciones ajenas a las partes, que hacen más o menos gravosa la prestación.</w:t>
      </w:r>
    </w:p>
    <w:p w14:paraId="6DD82D6D" w14:textId="19992A49" w:rsidR="4D69CB4D" w:rsidRPr="00C83649" w:rsidRDefault="4D69CB4D" w:rsidP="00B76209">
      <w:pPr>
        <w:jc w:val="both"/>
        <w:rPr>
          <w:b/>
          <w:bCs/>
          <w:sz w:val="22"/>
          <w:szCs w:val="22"/>
        </w:rPr>
      </w:pPr>
      <w:r w:rsidRPr="00C83649">
        <w:rPr>
          <w:rFonts w:ascii="Arial" w:eastAsia="Arial" w:hAnsi="Arial" w:cs="Arial"/>
          <w:b/>
          <w:bCs/>
          <w:sz w:val="22"/>
          <w:szCs w:val="22"/>
          <w:lang w:val="es"/>
        </w:rPr>
        <w:t xml:space="preserve"> </w:t>
      </w:r>
    </w:p>
    <w:p w14:paraId="0584A22E" w14:textId="2ECA3CF7" w:rsidR="4D69CB4D" w:rsidRPr="00C83649" w:rsidRDefault="00C83649" w:rsidP="00B76209">
      <w:pPr>
        <w:jc w:val="both"/>
        <w:rPr>
          <w:rFonts w:ascii="Arial" w:eastAsia="Arial" w:hAnsi="Arial" w:cs="Arial"/>
          <w:b/>
          <w:bCs/>
          <w:sz w:val="22"/>
          <w:szCs w:val="22"/>
          <w:lang w:val="es"/>
        </w:rPr>
      </w:pPr>
      <w:r w:rsidRPr="00C83649">
        <w:rPr>
          <w:rFonts w:ascii="Arial" w:eastAsia="Arial" w:hAnsi="Arial" w:cs="Arial"/>
          <w:b/>
          <w:bCs/>
          <w:sz w:val="22"/>
          <w:szCs w:val="22"/>
          <w:lang w:val="es"/>
        </w:rPr>
        <w:t xml:space="preserve">EQUILIBRIO ECONÓMICO DEL CONTRATO - Ruptura - Eventos - </w:t>
      </w:r>
      <w:r w:rsidR="007426FA" w:rsidRPr="00C83649">
        <w:rPr>
          <w:rFonts w:ascii="Arial" w:eastAsia="Arial" w:hAnsi="Arial" w:cs="Arial"/>
          <w:b/>
          <w:bCs/>
          <w:sz w:val="22"/>
          <w:szCs w:val="22"/>
          <w:lang w:val="es"/>
        </w:rPr>
        <w:t>C</w:t>
      </w:r>
      <w:r w:rsidR="00A55C4C" w:rsidRPr="00C83649">
        <w:rPr>
          <w:rFonts w:ascii="Arial" w:eastAsia="Arial" w:hAnsi="Arial" w:cs="Arial"/>
          <w:b/>
          <w:bCs/>
          <w:sz w:val="22"/>
          <w:szCs w:val="22"/>
          <w:lang w:val="es"/>
        </w:rPr>
        <w:t xml:space="preserve">ontratos </w:t>
      </w:r>
      <w:r w:rsidRPr="00C83649">
        <w:rPr>
          <w:rFonts w:ascii="Arial" w:eastAsia="Arial" w:hAnsi="Arial" w:cs="Arial"/>
          <w:b/>
          <w:bCs/>
          <w:sz w:val="22"/>
          <w:szCs w:val="22"/>
          <w:lang w:val="es"/>
        </w:rPr>
        <w:t>c</w:t>
      </w:r>
      <w:r w:rsidR="00A55C4C" w:rsidRPr="00C83649">
        <w:rPr>
          <w:rFonts w:ascii="Arial" w:eastAsia="Arial" w:hAnsi="Arial" w:cs="Arial"/>
          <w:b/>
          <w:bCs/>
          <w:sz w:val="22"/>
          <w:szCs w:val="22"/>
          <w:lang w:val="es"/>
        </w:rPr>
        <w:t xml:space="preserve">onmutativos </w:t>
      </w:r>
      <w:r w:rsidR="4D69CB4D" w:rsidRPr="00C83649">
        <w:rPr>
          <w:rFonts w:ascii="Arial" w:eastAsia="Arial" w:hAnsi="Arial" w:cs="Arial"/>
          <w:b/>
          <w:bCs/>
          <w:sz w:val="22"/>
          <w:szCs w:val="22"/>
          <w:lang w:val="es"/>
        </w:rPr>
        <w:t xml:space="preserve">- </w:t>
      </w:r>
      <w:r w:rsidRPr="00C83649">
        <w:rPr>
          <w:rFonts w:ascii="Arial" w:eastAsia="Arial" w:hAnsi="Arial" w:cs="Arial"/>
          <w:b/>
          <w:bCs/>
          <w:sz w:val="22"/>
          <w:szCs w:val="22"/>
          <w:lang w:val="es"/>
        </w:rPr>
        <w:t>H</w:t>
      </w:r>
      <w:r w:rsidR="007426FA" w:rsidRPr="00C83649">
        <w:rPr>
          <w:rFonts w:ascii="Arial" w:eastAsia="Arial" w:hAnsi="Arial" w:cs="Arial"/>
          <w:b/>
          <w:bCs/>
          <w:sz w:val="22"/>
          <w:szCs w:val="22"/>
          <w:lang w:val="es"/>
        </w:rPr>
        <w:t xml:space="preserve">echo del príncipe </w:t>
      </w:r>
      <w:r w:rsidR="00A55C4C" w:rsidRPr="00C83649">
        <w:rPr>
          <w:rFonts w:ascii="Arial" w:eastAsia="Arial" w:hAnsi="Arial" w:cs="Arial"/>
          <w:b/>
          <w:bCs/>
          <w:sz w:val="22"/>
          <w:szCs w:val="22"/>
          <w:lang w:val="es"/>
        </w:rPr>
        <w:t xml:space="preserve">- </w:t>
      </w:r>
      <w:r w:rsidRPr="00C83649">
        <w:rPr>
          <w:rFonts w:ascii="Arial" w:eastAsia="Arial" w:hAnsi="Arial" w:cs="Arial"/>
          <w:b/>
          <w:bCs/>
          <w:sz w:val="22"/>
          <w:szCs w:val="22"/>
          <w:lang w:val="es"/>
        </w:rPr>
        <w:t>I</w:t>
      </w:r>
      <w:r w:rsidR="4D69CB4D" w:rsidRPr="00C83649">
        <w:rPr>
          <w:rFonts w:ascii="Arial" w:eastAsia="Arial" w:hAnsi="Arial" w:cs="Arial"/>
          <w:b/>
          <w:bCs/>
          <w:sz w:val="22"/>
          <w:szCs w:val="22"/>
          <w:lang w:val="es"/>
        </w:rPr>
        <w:t xml:space="preserve">mprevisión </w:t>
      </w:r>
    </w:p>
    <w:p w14:paraId="4579540F" w14:textId="60BD6CF4" w:rsidR="10AB043D" w:rsidRPr="00B76209" w:rsidRDefault="10AB043D" w:rsidP="00B76209">
      <w:pPr>
        <w:jc w:val="both"/>
        <w:rPr>
          <w:rFonts w:ascii="Arial" w:eastAsia="Arial" w:hAnsi="Arial" w:cs="Arial"/>
          <w:sz w:val="22"/>
          <w:szCs w:val="22"/>
          <w:lang w:val="es"/>
        </w:rPr>
      </w:pPr>
    </w:p>
    <w:p w14:paraId="54968324" w14:textId="22174B72" w:rsidR="4D69CB4D" w:rsidRPr="00B76209" w:rsidRDefault="4D69CB4D" w:rsidP="00B76209">
      <w:pPr>
        <w:jc w:val="both"/>
        <w:rPr>
          <w:rFonts w:ascii="Arial" w:eastAsia="Arial" w:hAnsi="Arial" w:cs="Arial"/>
          <w:sz w:val="22"/>
          <w:szCs w:val="22"/>
        </w:rPr>
      </w:pPr>
      <w:r w:rsidRPr="00B76209">
        <w:rPr>
          <w:rFonts w:ascii="Arial" w:eastAsia="Arial" w:hAnsi="Arial" w:cs="Arial"/>
          <w:sz w:val="22"/>
          <w:szCs w:val="22"/>
          <w:lang w:val="es"/>
        </w:rPr>
        <w:t>En el caso de los contratos conmutativos -en los que las prestaciones son equivalentes- como ocurre con los contratos estatales, la presencia de un</w:t>
      </w:r>
      <w:r w:rsidRPr="00B76209">
        <w:rPr>
          <w:rFonts w:ascii="Arial" w:eastAsia="Arial" w:hAnsi="Arial" w:cs="Arial"/>
          <w:sz w:val="22"/>
          <w:szCs w:val="22"/>
        </w:rPr>
        <w:t xml:space="preserve"> desequilibrio cuando este se deriva del ejercicio de una potestad estatal </w:t>
      </w:r>
      <w:r w:rsidR="00A55C4C" w:rsidRPr="00B76209">
        <w:rPr>
          <w:rFonts w:ascii="Arial" w:eastAsia="Arial" w:hAnsi="Arial" w:cs="Arial"/>
          <w:sz w:val="22"/>
          <w:szCs w:val="22"/>
        </w:rPr>
        <w:t>ejercida</w:t>
      </w:r>
      <w:r w:rsidRPr="00B76209">
        <w:rPr>
          <w:rFonts w:ascii="Arial" w:eastAsia="Arial" w:hAnsi="Arial" w:cs="Arial"/>
          <w:sz w:val="22"/>
          <w:szCs w:val="22"/>
        </w:rPr>
        <w:t xml:space="preserve"> bien sea por el contratante (hecho del príncipe) o por una entidad pública diferente (teoría de la imprevisión), hace surgir el derecho a obtener el restablecimiento del equilibrio económico del contrato. </w:t>
      </w:r>
    </w:p>
    <w:p w14:paraId="0E5E8DD8" w14:textId="52E2CEFF" w:rsidR="4D69CB4D" w:rsidRPr="00B76209" w:rsidRDefault="4D69CB4D" w:rsidP="00B76209">
      <w:pPr>
        <w:jc w:val="both"/>
        <w:rPr>
          <w:sz w:val="22"/>
          <w:szCs w:val="22"/>
        </w:rPr>
      </w:pPr>
      <w:r w:rsidRPr="00B76209">
        <w:rPr>
          <w:sz w:val="22"/>
          <w:szCs w:val="22"/>
        </w:rPr>
        <w:t xml:space="preserve"> </w:t>
      </w:r>
    </w:p>
    <w:p w14:paraId="454D84B4" w14:textId="5129BB77" w:rsidR="4D69CB4D" w:rsidRPr="00B76209" w:rsidRDefault="00C83649" w:rsidP="00B76209">
      <w:pPr>
        <w:jc w:val="both"/>
        <w:rPr>
          <w:sz w:val="22"/>
          <w:szCs w:val="22"/>
        </w:rPr>
      </w:pPr>
      <w:r w:rsidRPr="00C83649">
        <w:rPr>
          <w:rFonts w:ascii="Arial" w:eastAsia="Arial" w:hAnsi="Arial" w:cs="Arial"/>
          <w:b/>
          <w:bCs/>
          <w:sz w:val="22"/>
          <w:szCs w:val="22"/>
          <w:lang w:val="es"/>
        </w:rPr>
        <w:t>EQUILIBRIO ECONÓMICO DEL CONTRATO - R</w:t>
      </w:r>
      <w:r>
        <w:rPr>
          <w:rFonts w:ascii="Arial" w:eastAsia="Arial" w:hAnsi="Arial" w:cs="Arial"/>
          <w:b/>
          <w:bCs/>
          <w:sz w:val="22"/>
          <w:szCs w:val="22"/>
          <w:lang w:val="es"/>
        </w:rPr>
        <w:t xml:space="preserve">establecimiento </w:t>
      </w:r>
      <w:r w:rsidR="4D69CB4D" w:rsidRPr="00B76209">
        <w:rPr>
          <w:rFonts w:ascii="Arial" w:eastAsia="Arial" w:hAnsi="Arial" w:cs="Arial"/>
          <w:b/>
          <w:bCs/>
          <w:sz w:val="22"/>
          <w:szCs w:val="22"/>
          <w:lang w:val="es"/>
        </w:rPr>
        <w:t>-</w:t>
      </w:r>
      <w:r w:rsidR="4D69CB4D" w:rsidRPr="00B76209">
        <w:rPr>
          <w:rFonts w:ascii="Arial" w:eastAsia="Arial" w:hAnsi="Arial" w:cs="Arial"/>
          <w:sz w:val="22"/>
          <w:szCs w:val="22"/>
          <w:lang w:val="es"/>
        </w:rPr>
        <w:t xml:space="preserve"> </w:t>
      </w:r>
      <w:r w:rsidR="4D69CB4D" w:rsidRPr="00B76209">
        <w:rPr>
          <w:rFonts w:ascii="Arial" w:eastAsia="Arial" w:hAnsi="Arial" w:cs="Arial"/>
          <w:b/>
          <w:bCs/>
          <w:sz w:val="22"/>
          <w:szCs w:val="22"/>
          <w:lang w:val="es"/>
        </w:rPr>
        <w:t>Normativa aplicable</w:t>
      </w:r>
      <w:r w:rsidR="4D69CB4D" w:rsidRPr="00B76209">
        <w:rPr>
          <w:rFonts w:ascii="Arial" w:eastAsia="Arial" w:hAnsi="Arial" w:cs="Arial"/>
          <w:sz w:val="22"/>
          <w:szCs w:val="22"/>
          <w:lang w:val="es"/>
        </w:rPr>
        <w:t xml:space="preserve">  </w:t>
      </w:r>
      <w:r w:rsidR="4D69CB4D" w:rsidRPr="00B76209">
        <w:rPr>
          <w:rFonts w:ascii="Arial" w:eastAsia="Arial" w:hAnsi="Arial" w:cs="Arial"/>
          <w:sz w:val="22"/>
          <w:szCs w:val="22"/>
          <w:lang w:val="es-CO"/>
        </w:rPr>
        <w:t xml:space="preserve"> </w:t>
      </w:r>
    </w:p>
    <w:p w14:paraId="55E1FFF6" w14:textId="58B94EA0" w:rsidR="4D69CB4D" w:rsidRPr="00B76209" w:rsidRDefault="4D69CB4D" w:rsidP="00B76209">
      <w:pPr>
        <w:jc w:val="both"/>
        <w:rPr>
          <w:sz w:val="22"/>
          <w:szCs w:val="22"/>
        </w:rPr>
      </w:pPr>
      <w:r w:rsidRPr="00B76209">
        <w:rPr>
          <w:rFonts w:ascii="Segoe UI" w:eastAsia="Segoe UI" w:hAnsi="Segoe UI" w:cs="Segoe UI"/>
          <w:sz w:val="22"/>
          <w:szCs w:val="22"/>
          <w:lang w:val="es-CO"/>
        </w:rPr>
        <w:t xml:space="preserve"> </w:t>
      </w:r>
    </w:p>
    <w:p w14:paraId="1B54537D" w14:textId="09D9FDB9" w:rsidR="4D69CB4D" w:rsidRPr="00B76209" w:rsidRDefault="4D69CB4D" w:rsidP="00B76209">
      <w:pPr>
        <w:jc w:val="both"/>
        <w:rPr>
          <w:rFonts w:ascii="Arial" w:eastAsia="Arial" w:hAnsi="Arial" w:cs="Arial"/>
          <w:sz w:val="22"/>
          <w:szCs w:val="22"/>
          <w:lang w:val="es-CO"/>
        </w:rPr>
      </w:pPr>
      <w:r w:rsidRPr="00B76209">
        <w:rPr>
          <w:rFonts w:ascii="Arial" w:eastAsia="Arial" w:hAnsi="Arial" w:cs="Arial"/>
          <w:sz w:val="22"/>
          <w:szCs w:val="22"/>
          <w:lang w:val="es"/>
        </w:rPr>
        <w:t>El deber de restablecimiento del equilibrio económico se encuentra previsto en los numerales 3º y 8º del artículo 4º, en el numeral 1º del artículo 5º y en el artículo 27 de la Ley 80 de 1993.</w:t>
      </w:r>
      <w:r w:rsidRPr="00B76209">
        <w:rPr>
          <w:rFonts w:ascii="Arial" w:eastAsia="Arial" w:hAnsi="Arial" w:cs="Arial"/>
          <w:sz w:val="22"/>
          <w:szCs w:val="22"/>
          <w:lang w:val="es-CO"/>
        </w:rPr>
        <w:t xml:space="preserve"> (…) Descendiendo al caso concreto, se tiene que las pretensiones elevadas en la demanda se relacionan con el resultado económico de los contratos celebrados entre la parte actora y algunos entes territoriales del Departamento de Antioquia, concretamente, en lo que concierne al equilibrio de la ecuación financiera, por lo que ha de concluirse que dichas solicitudes declarativas y condenatorias comportan una controversia contractual, en los términos del artículo 141 el CPACA. </w:t>
      </w:r>
    </w:p>
    <w:p w14:paraId="7FD778EE" w14:textId="77777777" w:rsidR="007426FA" w:rsidRPr="00B76209" w:rsidRDefault="4D69CB4D" w:rsidP="00B76209">
      <w:pPr>
        <w:jc w:val="both"/>
        <w:rPr>
          <w:sz w:val="22"/>
          <w:szCs w:val="22"/>
        </w:rPr>
      </w:pPr>
      <w:r w:rsidRPr="00B76209">
        <w:rPr>
          <w:rFonts w:ascii="Arial" w:eastAsia="Arial" w:hAnsi="Arial" w:cs="Arial"/>
          <w:sz w:val="22"/>
          <w:szCs w:val="22"/>
          <w:lang w:val="es-CO"/>
        </w:rPr>
        <w:t xml:space="preserve"> </w:t>
      </w:r>
    </w:p>
    <w:p w14:paraId="5392F4BA" w14:textId="62FFB222" w:rsidR="4D69CB4D" w:rsidRPr="00B76209" w:rsidRDefault="00796467" w:rsidP="00B76209">
      <w:pPr>
        <w:jc w:val="both"/>
        <w:rPr>
          <w:b/>
          <w:bCs/>
          <w:sz w:val="22"/>
          <w:szCs w:val="22"/>
        </w:rPr>
      </w:pPr>
      <w:r w:rsidRPr="00B76209">
        <w:rPr>
          <w:rFonts w:ascii="Arial" w:hAnsi="Arial" w:cs="Arial"/>
          <w:b/>
          <w:sz w:val="22"/>
          <w:szCs w:val="22"/>
        </w:rPr>
        <w:t xml:space="preserve">ACCIÓN </w:t>
      </w:r>
      <w:r w:rsidR="00E679A7">
        <w:rPr>
          <w:rFonts w:ascii="Arial" w:hAnsi="Arial" w:cs="Arial"/>
          <w:b/>
          <w:sz w:val="22"/>
          <w:szCs w:val="22"/>
        </w:rPr>
        <w:t>- Determinación</w:t>
      </w:r>
      <w:r w:rsidR="4D69CB4D" w:rsidRPr="00B76209">
        <w:rPr>
          <w:rFonts w:ascii="Arial" w:eastAsia="Arial" w:hAnsi="Arial" w:cs="Arial"/>
          <w:sz w:val="22"/>
          <w:szCs w:val="22"/>
          <w:lang w:val="es-CO"/>
        </w:rPr>
        <w:t xml:space="preserve"> </w:t>
      </w:r>
      <w:r w:rsidR="4D69CB4D" w:rsidRPr="00B76209">
        <w:rPr>
          <w:rFonts w:ascii="Arial" w:eastAsia="Arial" w:hAnsi="Arial" w:cs="Arial"/>
          <w:b/>
          <w:bCs/>
          <w:sz w:val="22"/>
          <w:szCs w:val="22"/>
          <w:lang w:val="es-CO"/>
        </w:rPr>
        <w:t>-</w:t>
      </w:r>
      <w:r w:rsidR="00A55C4C" w:rsidRPr="00B76209">
        <w:rPr>
          <w:rFonts w:ascii="Arial" w:eastAsia="Arial" w:hAnsi="Arial" w:cs="Arial"/>
          <w:b/>
          <w:bCs/>
          <w:sz w:val="22"/>
          <w:szCs w:val="22"/>
          <w:lang w:val="es-CO"/>
        </w:rPr>
        <w:t xml:space="preserve"> </w:t>
      </w:r>
      <w:r w:rsidR="00E679A7">
        <w:rPr>
          <w:rFonts w:ascii="Arial" w:eastAsia="Arial" w:hAnsi="Arial" w:cs="Arial"/>
          <w:b/>
          <w:bCs/>
          <w:sz w:val="22"/>
          <w:szCs w:val="22"/>
          <w:lang w:val="es-CO"/>
        </w:rPr>
        <w:t>Criterios - P</w:t>
      </w:r>
      <w:r w:rsidR="007426FA" w:rsidRPr="00B76209">
        <w:rPr>
          <w:rFonts w:ascii="Arial" w:eastAsia="Arial" w:hAnsi="Arial" w:cs="Arial"/>
          <w:b/>
          <w:bCs/>
          <w:sz w:val="22"/>
          <w:szCs w:val="22"/>
          <w:lang w:val="es-CO"/>
        </w:rPr>
        <w:t xml:space="preserve">retensión </w:t>
      </w:r>
    </w:p>
    <w:p w14:paraId="1D6C1594" w14:textId="40023064" w:rsidR="10AB043D" w:rsidRPr="00B76209" w:rsidRDefault="10AB043D" w:rsidP="00B76209">
      <w:pPr>
        <w:jc w:val="both"/>
        <w:rPr>
          <w:rFonts w:ascii="Arial" w:eastAsia="Arial" w:hAnsi="Arial" w:cs="Arial"/>
          <w:sz w:val="22"/>
          <w:szCs w:val="22"/>
          <w:lang w:val="es-CO"/>
        </w:rPr>
      </w:pPr>
    </w:p>
    <w:p w14:paraId="05493107" w14:textId="0E35363F" w:rsidR="4D69CB4D" w:rsidRPr="00B76209" w:rsidRDefault="4D69CB4D" w:rsidP="00B76209">
      <w:pPr>
        <w:jc w:val="both"/>
        <w:rPr>
          <w:sz w:val="22"/>
          <w:szCs w:val="22"/>
        </w:rPr>
      </w:pPr>
      <w:r w:rsidRPr="00B76209">
        <w:rPr>
          <w:rFonts w:ascii="Arial" w:eastAsia="Arial" w:hAnsi="Arial" w:cs="Arial"/>
          <w:sz w:val="22"/>
          <w:szCs w:val="22"/>
          <w:lang w:val="es-CO"/>
        </w:rPr>
        <w:t>Esto, por cuanto la ley diferenció el efecto jurídico que el demandante persigue con el proceso, exteriorizado a modo de pretensiones en la demanda, y lo clasificó en forma de medios de control, de suerte que, tratándose de peticiones ligadas a la ejecución de un contrato, el debate tiene carácter contractual y el procedimiento es el ordinario.  El restablecimiento del equilibrio económico es, sin duda, un asunto de tinte contractual pues, además de que tiene su origen en el desarrollo del contrato, es un mecanismo previsto en el Estatuto de Contratación Estatal para conjurar las contingencias que puedan llevar a la inejecución de lo pactado, debido a la satisfacción del interés general que se persigue con los contratos estatales y la importancia que reviste el cumplimiento del acuerdo para el sistema de contratación estatal.</w:t>
      </w:r>
    </w:p>
    <w:p w14:paraId="674324F1" w14:textId="44CDAE97" w:rsidR="10AB043D" w:rsidRPr="00B76209" w:rsidRDefault="10AB043D" w:rsidP="00B76209">
      <w:pPr>
        <w:jc w:val="both"/>
        <w:rPr>
          <w:rFonts w:ascii="Arial" w:eastAsia="Arial" w:hAnsi="Arial" w:cs="Arial"/>
          <w:sz w:val="22"/>
          <w:szCs w:val="22"/>
          <w:lang w:val="es-CO"/>
        </w:rPr>
      </w:pPr>
    </w:p>
    <w:p w14:paraId="4452B4D8" w14:textId="41C2355E" w:rsidR="4D69CB4D" w:rsidRPr="00B76209" w:rsidRDefault="4D69CB4D" w:rsidP="00B76209">
      <w:pPr>
        <w:jc w:val="both"/>
        <w:rPr>
          <w:sz w:val="22"/>
          <w:szCs w:val="22"/>
        </w:rPr>
      </w:pPr>
      <w:r w:rsidRPr="00B76209">
        <w:rPr>
          <w:rFonts w:ascii="Arial" w:eastAsia="Arial" w:hAnsi="Arial" w:cs="Arial"/>
          <w:b/>
          <w:bCs/>
          <w:sz w:val="22"/>
          <w:szCs w:val="22"/>
          <w:lang w:val="es-CO"/>
        </w:rPr>
        <w:t>CONTROVERSIAS CONTRACTUALES</w:t>
      </w:r>
      <w:r w:rsidRPr="00B76209">
        <w:rPr>
          <w:rFonts w:ascii="Arial" w:eastAsia="Arial" w:hAnsi="Arial" w:cs="Arial"/>
          <w:sz w:val="22"/>
          <w:szCs w:val="22"/>
          <w:lang w:val="es-CO"/>
        </w:rPr>
        <w:t xml:space="preserve"> </w:t>
      </w:r>
      <w:r w:rsidRPr="00B76209">
        <w:rPr>
          <w:rFonts w:ascii="Arial" w:eastAsia="Arial" w:hAnsi="Arial" w:cs="Arial"/>
          <w:b/>
          <w:bCs/>
          <w:sz w:val="22"/>
          <w:szCs w:val="22"/>
          <w:lang w:val="es-CO"/>
        </w:rPr>
        <w:t xml:space="preserve">- Caducidad </w:t>
      </w:r>
      <w:r w:rsidR="004A7598">
        <w:rPr>
          <w:rFonts w:ascii="Arial" w:eastAsia="Arial" w:hAnsi="Arial" w:cs="Arial"/>
          <w:b/>
          <w:bCs/>
          <w:sz w:val="22"/>
          <w:szCs w:val="22"/>
          <w:lang w:val="es-CO"/>
        </w:rPr>
        <w:t>de la acción</w:t>
      </w:r>
      <w:r w:rsidRPr="00B76209">
        <w:rPr>
          <w:rFonts w:ascii="Arial" w:eastAsia="Arial" w:hAnsi="Arial" w:cs="Arial"/>
          <w:sz w:val="22"/>
          <w:szCs w:val="22"/>
          <w:lang w:val="es-CO"/>
        </w:rPr>
        <w:t xml:space="preserve">  </w:t>
      </w:r>
    </w:p>
    <w:p w14:paraId="5E688E51" w14:textId="51038B61" w:rsidR="4D69CB4D" w:rsidRPr="00B76209" w:rsidRDefault="4D69CB4D" w:rsidP="00B76209">
      <w:pPr>
        <w:jc w:val="both"/>
        <w:rPr>
          <w:sz w:val="22"/>
          <w:szCs w:val="22"/>
        </w:rPr>
      </w:pPr>
      <w:r w:rsidRPr="00B76209">
        <w:rPr>
          <w:rFonts w:ascii="Arial" w:eastAsia="Arial" w:hAnsi="Arial" w:cs="Arial"/>
          <w:sz w:val="22"/>
          <w:szCs w:val="22"/>
          <w:lang w:val="es-CO"/>
        </w:rPr>
        <w:t xml:space="preserve"> </w:t>
      </w:r>
    </w:p>
    <w:p w14:paraId="1157BC7D" w14:textId="0A010961" w:rsidR="4D69CB4D" w:rsidRPr="00B76209" w:rsidRDefault="4D69CB4D" w:rsidP="00B76209">
      <w:pPr>
        <w:jc w:val="both"/>
        <w:rPr>
          <w:sz w:val="22"/>
          <w:szCs w:val="22"/>
        </w:rPr>
      </w:pPr>
      <w:r w:rsidRPr="00B76209">
        <w:rPr>
          <w:rFonts w:ascii="Arial" w:eastAsia="Arial" w:hAnsi="Arial" w:cs="Arial"/>
          <w:sz w:val="22"/>
          <w:szCs w:val="22"/>
          <w:lang w:val="es"/>
        </w:rPr>
        <w:t xml:space="preserve">Así las cosas, como las pretensiones de la demanda corresponden a un debate contractual, el término de caducidad en el presente asunto deberá contabilizarse en la forma dispuesta por el artículo 164, literal j) del CPACA. </w:t>
      </w:r>
      <w:r w:rsidRPr="00B76209">
        <w:rPr>
          <w:rFonts w:ascii="Arial" w:eastAsia="Arial" w:hAnsi="Arial" w:cs="Arial"/>
          <w:sz w:val="22"/>
          <w:szCs w:val="22"/>
          <w:lang w:val="es-CO"/>
        </w:rPr>
        <w:t xml:space="preserve"> </w:t>
      </w:r>
    </w:p>
    <w:p w14:paraId="173749D5" w14:textId="69F00054" w:rsidR="4D69CB4D" w:rsidRPr="00B76209" w:rsidRDefault="4D69CB4D" w:rsidP="00B76209">
      <w:pPr>
        <w:jc w:val="both"/>
        <w:rPr>
          <w:sz w:val="22"/>
          <w:szCs w:val="22"/>
        </w:rPr>
      </w:pPr>
      <w:r w:rsidRPr="00B76209">
        <w:rPr>
          <w:rFonts w:ascii="Arial" w:eastAsia="Arial" w:hAnsi="Arial" w:cs="Arial"/>
          <w:b/>
          <w:bCs/>
          <w:sz w:val="22"/>
          <w:szCs w:val="22"/>
          <w:lang w:val="es"/>
        </w:rPr>
        <w:t xml:space="preserve"> </w:t>
      </w:r>
    </w:p>
    <w:p w14:paraId="46A2E385" w14:textId="258E2A3E" w:rsidR="4D69CB4D" w:rsidRPr="00B76209" w:rsidRDefault="4D69CB4D" w:rsidP="00B76209">
      <w:pPr>
        <w:jc w:val="both"/>
        <w:rPr>
          <w:b/>
          <w:bCs/>
          <w:sz w:val="22"/>
          <w:szCs w:val="22"/>
        </w:rPr>
      </w:pPr>
      <w:r w:rsidRPr="00B76209">
        <w:rPr>
          <w:rFonts w:ascii="Arial" w:eastAsia="Arial" w:hAnsi="Arial" w:cs="Arial"/>
          <w:b/>
          <w:bCs/>
          <w:sz w:val="22"/>
          <w:szCs w:val="22"/>
          <w:lang w:val="es"/>
        </w:rPr>
        <w:t>LIQUIDACIÓN DEL CONTRATO</w:t>
      </w:r>
      <w:r w:rsidR="004A7598">
        <w:rPr>
          <w:rFonts w:ascii="Arial" w:eastAsia="Arial" w:hAnsi="Arial" w:cs="Arial"/>
          <w:b/>
          <w:bCs/>
          <w:sz w:val="22"/>
          <w:szCs w:val="22"/>
          <w:lang w:val="es"/>
        </w:rPr>
        <w:t xml:space="preserve"> - Servicios de salud -</w:t>
      </w:r>
      <w:r w:rsidRPr="00B76209">
        <w:rPr>
          <w:rFonts w:ascii="Arial" w:eastAsia="Arial" w:hAnsi="Arial" w:cs="Arial"/>
          <w:b/>
          <w:bCs/>
          <w:sz w:val="22"/>
          <w:szCs w:val="22"/>
          <w:lang w:val="es"/>
        </w:rPr>
        <w:t xml:space="preserve"> </w:t>
      </w:r>
      <w:r w:rsidR="007426FA" w:rsidRPr="00B76209">
        <w:rPr>
          <w:rFonts w:ascii="Arial" w:eastAsia="Arial" w:hAnsi="Arial" w:cs="Arial"/>
          <w:b/>
          <w:bCs/>
          <w:sz w:val="22"/>
          <w:szCs w:val="22"/>
          <w:lang w:val="es"/>
        </w:rPr>
        <w:t>Té</w:t>
      </w:r>
      <w:r w:rsidRPr="00B76209">
        <w:rPr>
          <w:rFonts w:ascii="Arial" w:eastAsia="Arial" w:hAnsi="Arial" w:cs="Arial"/>
          <w:b/>
          <w:bCs/>
          <w:sz w:val="22"/>
          <w:szCs w:val="22"/>
          <w:lang w:val="es"/>
        </w:rPr>
        <w:t xml:space="preserve">rmino </w:t>
      </w:r>
      <w:r w:rsidR="004A7598">
        <w:rPr>
          <w:rFonts w:ascii="Arial" w:eastAsia="Arial" w:hAnsi="Arial" w:cs="Arial"/>
          <w:b/>
          <w:bCs/>
          <w:sz w:val="22"/>
          <w:szCs w:val="22"/>
          <w:lang w:val="es"/>
        </w:rPr>
        <w:t xml:space="preserve">- </w:t>
      </w:r>
      <w:r w:rsidR="00A55C4C" w:rsidRPr="00B76209">
        <w:rPr>
          <w:rFonts w:ascii="Arial" w:eastAsia="Arial" w:hAnsi="Arial" w:cs="Arial"/>
          <w:b/>
          <w:bCs/>
          <w:sz w:val="22"/>
          <w:szCs w:val="22"/>
          <w:lang w:val="es"/>
        </w:rPr>
        <w:t xml:space="preserve">Procedimiento - </w:t>
      </w:r>
      <w:r w:rsidR="00796467" w:rsidRPr="00B76209">
        <w:rPr>
          <w:rFonts w:ascii="Arial" w:eastAsia="Arial" w:hAnsi="Arial" w:cs="Arial"/>
          <w:b/>
          <w:bCs/>
          <w:sz w:val="22"/>
          <w:szCs w:val="22"/>
          <w:lang w:val="es"/>
        </w:rPr>
        <w:t xml:space="preserve">Ley 80 de 1993 </w:t>
      </w:r>
      <w:r w:rsidR="00A55C4C" w:rsidRPr="00B76209">
        <w:rPr>
          <w:rFonts w:ascii="Arial" w:eastAsia="Arial" w:hAnsi="Arial" w:cs="Arial"/>
          <w:b/>
          <w:bCs/>
          <w:sz w:val="22"/>
          <w:szCs w:val="22"/>
          <w:lang w:val="es"/>
        </w:rPr>
        <w:t xml:space="preserve">- </w:t>
      </w:r>
      <w:r w:rsidR="00796467" w:rsidRPr="00B76209">
        <w:rPr>
          <w:rFonts w:ascii="Arial" w:eastAsia="Arial" w:hAnsi="Arial" w:cs="Arial"/>
          <w:b/>
          <w:bCs/>
          <w:sz w:val="22"/>
          <w:szCs w:val="22"/>
          <w:lang w:val="es"/>
        </w:rPr>
        <w:t>Le</w:t>
      </w:r>
      <w:r w:rsidRPr="00B76209">
        <w:rPr>
          <w:rFonts w:ascii="Arial" w:eastAsia="Arial" w:hAnsi="Arial" w:cs="Arial"/>
          <w:b/>
          <w:bCs/>
          <w:sz w:val="22"/>
          <w:szCs w:val="22"/>
          <w:lang w:val="es"/>
        </w:rPr>
        <w:t xml:space="preserve">y 1150 de 2007  </w:t>
      </w:r>
    </w:p>
    <w:p w14:paraId="0FF3D614" w14:textId="750EEC4C" w:rsidR="4D69CB4D" w:rsidRPr="00B76209" w:rsidRDefault="4D69CB4D" w:rsidP="00B76209">
      <w:pPr>
        <w:jc w:val="both"/>
        <w:rPr>
          <w:b/>
          <w:bCs/>
          <w:sz w:val="22"/>
          <w:szCs w:val="22"/>
        </w:rPr>
      </w:pPr>
      <w:r w:rsidRPr="00B76209">
        <w:rPr>
          <w:b/>
          <w:bCs/>
          <w:sz w:val="22"/>
          <w:szCs w:val="22"/>
        </w:rPr>
        <w:t xml:space="preserve"> </w:t>
      </w:r>
    </w:p>
    <w:p w14:paraId="567D04C8" w14:textId="5AAD7BFE" w:rsidR="4D69CB4D" w:rsidRPr="00B76209" w:rsidRDefault="4D69CB4D" w:rsidP="00B76209">
      <w:pPr>
        <w:jc w:val="both"/>
        <w:rPr>
          <w:sz w:val="22"/>
          <w:szCs w:val="22"/>
        </w:rPr>
      </w:pPr>
      <w:r w:rsidRPr="00B76209">
        <w:rPr>
          <w:rFonts w:ascii="Arial" w:eastAsia="Arial" w:hAnsi="Arial" w:cs="Arial"/>
          <w:sz w:val="22"/>
          <w:szCs w:val="22"/>
          <w:lang w:val="es"/>
        </w:rPr>
        <w:lastRenderedPageBreak/>
        <w:t>Con todo, es claro que la parte actora celebró anualmente contratos con los municipios a los que les prestó sus servicios, negocios que se reputan independientes el uno del otro, con obligaciones autónomas, y con períodos de vigencia y precios distintos; adicionalmente, estos contratos estaban sujetos a liquidación por disposición reglamentaria, frente a lo cual, las partes en los contratos aportados al proceso, pactaron que se haría en la forma dispuesta por las Leyes 80 de 1993 Ley 1150 de 2007, esto es, de mutuo acuerdo, dentro de los cuatro meses siguientes a la finalización del contrato, o unilateralmente por parte del contratante, en los dos meses subsiguientes.</w:t>
      </w:r>
    </w:p>
    <w:p w14:paraId="343F5A31" w14:textId="7EDF13CC" w:rsidR="4D69CB4D" w:rsidRPr="00B76209" w:rsidRDefault="4D69CB4D" w:rsidP="00B76209">
      <w:pPr>
        <w:jc w:val="both"/>
        <w:rPr>
          <w:sz w:val="22"/>
          <w:szCs w:val="22"/>
        </w:rPr>
      </w:pPr>
      <w:r w:rsidRPr="00B76209">
        <w:rPr>
          <w:rFonts w:ascii="Arial" w:eastAsia="Arial" w:hAnsi="Arial" w:cs="Arial"/>
          <w:sz w:val="22"/>
          <w:szCs w:val="22"/>
          <w:lang w:val="es"/>
        </w:rPr>
        <w:t xml:space="preserve"> </w:t>
      </w:r>
    </w:p>
    <w:p w14:paraId="464FA6C2" w14:textId="2F527AC2" w:rsidR="4D69CB4D" w:rsidRPr="00B76209" w:rsidRDefault="4D69CB4D" w:rsidP="00B76209">
      <w:pPr>
        <w:jc w:val="both"/>
        <w:rPr>
          <w:b/>
          <w:bCs/>
          <w:sz w:val="22"/>
          <w:szCs w:val="22"/>
        </w:rPr>
      </w:pPr>
      <w:r w:rsidRPr="00B76209">
        <w:rPr>
          <w:rFonts w:ascii="Arial" w:eastAsia="Arial" w:hAnsi="Arial" w:cs="Arial"/>
          <w:b/>
          <w:bCs/>
          <w:sz w:val="22"/>
          <w:szCs w:val="22"/>
          <w:lang w:val="es"/>
        </w:rPr>
        <w:t>CADUCIDAD DE</w:t>
      </w:r>
      <w:r w:rsidR="004A7598">
        <w:rPr>
          <w:rFonts w:ascii="Arial" w:eastAsia="Arial" w:hAnsi="Arial" w:cs="Arial"/>
          <w:b/>
          <w:bCs/>
          <w:sz w:val="22"/>
          <w:szCs w:val="22"/>
          <w:lang w:val="es"/>
        </w:rPr>
        <w:t xml:space="preserve"> </w:t>
      </w:r>
      <w:r w:rsidRPr="00B76209">
        <w:rPr>
          <w:rFonts w:ascii="Arial" w:eastAsia="Arial" w:hAnsi="Arial" w:cs="Arial"/>
          <w:b/>
          <w:bCs/>
          <w:sz w:val="22"/>
          <w:szCs w:val="22"/>
          <w:lang w:val="es"/>
        </w:rPr>
        <w:t>L</w:t>
      </w:r>
      <w:r w:rsidR="004A7598">
        <w:rPr>
          <w:rFonts w:ascii="Arial" w:eastAsia="Arial" w:hAnsi="Arial" w:cs="Arial"/>
          <w:b/>
          <w:bCs/>
          <w:sz w:val="22"/>
          <w:szCs w:val="22"/>
          <w:lang w:val="es"/>
        </w:rPr>
        <w:t xml:space="preserve">A ACCIÓN </w:t>
      </w:r>
      <w:r w:rsidRPr="00B76209">
        <w:rPr>
          <w:rFonts w:ascii="Arial" w:eastAsia="Arial" w:hAnsi="Arial" w:cs="Arial"/>
          <w:b/>
          <w:bCs/>
          <w:sz w:val="22"/>
          <w:szCs w:val="22"/>
          <w:lang w:val="es"/>
        </w:rPr>
        <w:t xml:space="preserve">- </w:t>
      </w:r>
      <w:r w:rsidR="004A7598">
        <w:rPr>
          <w:rFonts w:ascii="Arial" w:eastAsia="Arial" w:hAnsi="Arial" w:cs="Arial"/>
          <w:b/>
          <w:bCs/>
          <w:sz w:val="22"/>
          <w:szCs w:val="22"/>
          <w:lang w:val="es"/>
        </w:rPr>
        <w:t>Término - Cómputo</w:t>
      </w:r>
    </w:p>
    <w:p w14:paraId="3BBCDCEE" w14:textId="7D634940" w:rsidR="4D69CB4D" w:rsidRPr="00B76209" w:rsidRDefault="4D69CB4D" w:rsidP="00B76209">
      <w:pPr>
        <w:jc w:val="both"/>
        <w:rPr>
          <w:sz w:val="22"/>
          <w:szCs w:val="22"/>
        </w:rPr>
      </w:pPr>
      <w:r w:rsidRPr="00B76209">
        <w:rPr>
          <w:rFonts w:ascii="Arial" w:eastAsia="Arial" w:hAnsi="Arial" w:cs="Arial"/>
          <w:sz w:val="22"/>
          <w:szCs w:val="22"/>
          <w:lang w:val="es-CO"/>
        </w:rPr>
        <w:t xml:space="preserve"> </w:t>
      </w:r>
    </w:p>
    <w:p w14:paraId="0A3C5A03" w14:textId="52723A1C" w:rsidR="4D69CB4D" w:rsidRPr="00B76209" w:rsidRDefault="4D69CB4D" w:rsidP="00B76209">
      <w:pPr>
        <w:jc w:val="both"/>
        <w:rPr>
          <w:sz w:val="22"/>
          <w:szCs w:val="22"/>
        </w:rPr>
      </w:pPr>
      <w:r w:rsidRPr="00B76209">
        <w:rPr>
          <w:rFonts w:ascii="Arial" w:eastAsia="Arial" w:hAnsi="Arial" w:cs="Arial"/>
          <w:sz w:val="22"/>
          <w:szCs w:val="22"/>
          <w:lang w:val="es"/>
        </w:rPr>
        <w:t>En ese orden de ideas, como se trata de contratos independientes, que debían ser liquidados, se aplicará la regla de caducidad de los dos (2) años dispuesta en el numeral v) del literal j) del artículo 164 del CPACA, respecto de cada vigencia contractual (así), la acción contenciosa administrativa ejercida por la Caja de Compensación Familiar Comfenalco Antioquia, caducó frente a las pretensiones vinculadas al desarrollo de los contratos que celebró con los entes territoriales, en los años 2008, 2009 y 2010, pero fue oportuna respecto a los contratos suscritos para la vigencia 2011-2012, por lo que se revocará parcialmente la decisión apelada en ese sentido.</w:t>
      </w:r>
      <w:r w:rsidRPr="00B76209">
        <w:rPr>
          <w:rFonts w:ascii="Arial" w:eastAsia="Arial" w:hAnsi="Arial" w:cs="Arial"/>
          <w:sz w:val="22"/>
          <w:szCs w:val="22"/>
          <w:lang w:val="es-CO"/>
        </w:rPr>
        <w:t xml:space="preserve"> </w:t>
      </w:r>
    </w:p>
    <w:p w14:paraId="75B87C44" w14:textId="606E78C1" w:rsidR="10AB043D" w:rsidRPr="00D60EA5" w:rsidRDefault="10AB043D" w:rsidP="10AB043D">
      <w:pPr>
        <w:spacing w:line="257" w:lineRule="auto"/>
        <w:jc w:val="center"/>
        <w:rPr>
          <w:rFonts w:ascii="Calibri" w:eastAsia="Calibri" w:hAnsi="Calibri" w:cs="Calibri"/>
          <w:sz w:val="22"/>
          <w:szCs w:val="22"/>
          <w:lang w:val="es-CO"/>
        </w:rPr>
      </w:pPr>
    </w:p>
    <w:p w14:paraId="6CAE59FC" w14:textId="6794B7E0" w:rsidR="10AB043D" w:rsidRPr="00130212" w:rsidRDefault="10AB043D" w:rsidP="10AB043D">
      <w:pPr>
        <w:pStyle w:val="Sinespaciado"/>
        <w:jc w:val="center"/>
        <w:rPr>
          <w:rFonts w:ascii="Arial" w:hAnsi="Arial" w:cs="Arial"/>
          <w:b/>
          <w:bCs/>
        </w:rPr>
      </w:pPr>
    </w:p>
    <w:p w14:paraId="3F3B7A5B" w14:textId="77777777" w:rsidR="00B01B52" w:rsidRPr="00D60EA5" w:rsidRDefault="00B01B52" w:rsidP="006C5CAE">
      <w:pPr>
        <w:pStyle w:val="Sinespaciado"/>
        <w:jc w:val="center"/>
        <w:rPr>
          <w:rFonts w:ascii="Arial" w:hAnsi="Arial" w:cs="Arial"/>
          <w:b/>
          <w:sz w:val="24"/>
          <w:szCs w:val="24"/>
        </w:rPr>
      </w:pPr>
      <w:r w:rsidRPr="00D60EA5">
        <w:rPr>
          <w:rFonts w:ascii="Arial" w:hAnsi="Arial" w:cs="Arial"/>
          <w:b/>
          <w:sz w:val="24"/>
          <w:szCs w:val="24"/>
        </w:rPr>
        <w:t>CONSEJO DE ESTADO</w:t>
      </w:r>
    </w:p>
    <w:p w14:paraId="5997CC1D" w14:textId="77777777" w:rsidR="00B01B52" w:rsidRPr="00D60EA5" w:rsidRDefault="00B01B52" w:rsidP="006C5CAE">
      <w:pPr>
        <w:pStyle w:val="Sinespaciado"/>
        <w:jc w:val="center"/>
        <w:rPr>
          <w:rFonts w:ascii="Arial" w:hAnsi="Arial" w:cs="Arial"/>
          <w:b/>
          <w:sz w:val="24"/>
          <w:szCs w:val="24"/>
        </w:rPr>
      </w:pPr>
    </w:p>
    <w:p w14:paraId="6EF027A0" w14:textId="77777777" w:rsidR="00B01B52" w:rsidRPr="00D60EA5" w:rsidRDefault="00B01B52" w:rsidP="006C5CAE">
      <w:pPr>
        <w:pStyle w:val="Sinespaciado"/>
        <w:jc w:val="center"/>
        <w:rPr>
          <w:rFonts w:ascii="Arial" w:hAnsi="Arial" w:cs="Arial"/>
          <w:b/>
          <w:sz w:val="24"/>
          <w:szCs w:val="24"/>
        </w:rPr>
      </w:pPr>
      <w:r w:rsidRPr="00D60EA5">
        <w:rPr>
          <w:rFonts w:ascii="Arial" w:hAnsi="Arial" w:cs="Arial"/>
          <w:b/>
          <w:sz w:val="24"/>
          <w:szCs w:val="24"/>
        </w:rPr>
        <w:t>SALA DE LO CONTENCIOSO ADMINISTRATIVO</w:t>
      </w:r>
    </w:p>
    <w:p w14:paraId="110FFD37" w14:textId="77777777" w:rsidR="00B01B52" w:rsidRPr="00D60EA5" w:rsidRDefault="00B01B52" w:rsidP="006C5CAE">
      <w:pPr>
        <w:pStyle w:val="Sinespaciado"/>
        <w:jc w:val="center"/>
        <w:rPr>
          <w:rFonts w:ascii="Arial" w:hAnsi="Arial" w:cs="Arial"/>
          <w:b/>
          <w:sz w:val="24"/>
          <w:szCs w:val="24"/>
        </w:rPr>
      </w:pPr>
    </w:p>
    <w:p w14:paraId="70B73F8E" w14:textId="77777777" w:rsidR="00B01B52" w:rsidRPr="00D60EA5" w:rsidRDefault="00B01B52" w:rsidP="006C5CAE">
      <w:pPr>
        <w:pStyle w:val="Sinespaciado"/>
        <w:jc w:val="center"/>
        <w:rPr>
          <w:rFonts w:ascii="Arial" w:hAnsi="Arial" w:cs="Arial"/>
          <w:b/>
          <w:sz w:val="24"/>
          <w:szCs w:val="24"/>
        </w:rPr>
      </w:pPr>
      <w:r w:rsidRPr="00D60EA5">
        <w:rPr>
          <w:rFonts w:ascii="Arial" w:hAnsi="Arial" w:cs="Arial"/>
          <w:b/>
          <w:sz w:val="24"/>
          <w:szCs w:val="24"/>
        </w:rPr>
        <w:t xml:space="preserve">SECCIÓN TERCERA </w:t>
      </w:r>
    </w:p>
    <w:p w14:paraId="6B699379" w14:textId="77777777" w:rsidR="00B01B52" w:rsidRPr="00D60EA5" w:rsidRDefault="00B01B52" w:rsidP="006C5CAE">
      <w:pPr>
        <w:pStyle w:val="Sinespaciado"/>
        <w:jc w:val="center"/>
        <w:rPr>
          <w:rFonts w:ascii="Arial" w:hAnsi="Arial" w:cs="Arial"/>
          <w:b/>
          <w:sz w:val="24"/>
          <w:szCs w:val="24"/>
        </w:rPr>
      </w:pPr>
    </w:p>
    <w:p w14:paraId="4C9E7B85" w14:textId="77777777" w:rsidR="00B01B52" w:rsidRPr="00D60EA5" w:rsidRDefault="00B01B52" w:rsidP="006C5CAE">
      <w:pPr>
        <w:pStyle w:val="Sinespaciado"/>
        <w:jc w:val="center"/>
        <w:rPr>
          <w:rFonts w:ascii="Arial" w:hAnsi="Arial" w:cs="Arial"/>
          <w:b/>
          <w:sz w:val="24"/>
          <w:szCs w:val="24"/>
        </w:rPr>
      </w:pPr>
      <w:r w:rsidRPr="00D60EA5">
        <w:rPr>
          <w:rFonts w:ascii="Arial" w:hAnsi="Arial" w:cs="Arial"/>
          <w:b/>
          <w:sz w:val="24"/>
          <w:szCs w:val="24"/>
        </w:rPr>
        <w:t>SUBSECCIÒN A</w:t>
      </w:r>
    </w:p>
    <w:p w14:paraId="3FE9F23F" w14:textId="77777777" w:rsidR="00B01B52" w:rsidRPr="00D60EA5" w:rsidRDefault="00B01B52" w:rsidP="006C5CAE">
      <w:pPr>
        <w:pStyle w:val="Sinespaciado"/>
        <w:rPr>
          <w:rFonts w:ascii="Arial" w:hAnsi="Arial" w:cs="Arial"/>
          <w:b/>
          <w:sz w:val="24"/>
          <w:szCs w:val="24"/>
        </w:rPr>
      </w:pPr>
    </w:p>
    <w:p w14:paraId="6C38A8B9" w14:textId="77777777" w:rsidR="00B01B52" w:rsidRPr="00D60EA5" w:rsidRDefault="00B01B52" w:rsidP="006C5CAE">
      <w:pPr>
        <w:pStyle w:val="Sinespaciado"/>
        <w:jc w:val="center"/>
        <w:rPr>
          <w:rFonts w:ascii="Arial" w:hAnsi="Arial" w:cs="Arial"/>
          <w:b/>
          <w:sz w:val="24"/>
          <w:szCs w:val="24"/>
        </w:rPr>
      </w:pPr>
      <w:r w:rsidRPr="00D60EA5">
        <w:rPr>
          <w:rFonts w:ascii="Arial" w:hAnsi="Arial" w:cs="Arial"/>
          <w:b/>
          <w:sz w:val="24"/>
          <w:szCs w:val="24"/>
        </w:rPr>
        <w:t xml:space="preserve">Consejera Ponente: MARÍA ADRIANA MARÍN </w:t>
      </w:r>
    </w:p>
    <w:p w14:paraId="1F72F646" w14:textId="77777777" w:rsidR="00B01B52" w:rsidRPr="00D60EA5" w:rsidRDefault="00B01B52" w:rsidP="006C5CAE">
      <w:pPr>
        <w:pStyle w:val="Sinespaciado"/>
        <w:rPr>
          <w:rFonts w:ascii="Arial" w:hAnsi="Arial" w:cs="Arial"/>
          <w:sz w:val="24"/>
          <w:szCs w:val="24"/>
        </w:rPr>
      </w:pPr>
    </w:p>
    <w:p w14:paraId="2555235D" w14:textId="77777777" w:rsidR="00B01B52" w:rsidRPr="00D60EA5" w:rsidRDefault="00EA7413" w:rsidP="006C5CAE">
      <w:pPr>
        <w:pStyle w:val="Sinespaciado"/>
        <w:rPr>
          <w:rFonts w:ascii="Arial" w:hAnsi="Arial" w:cs="Arial"/>
          <w:sz w:val="24"/>
          <w:szCs w:val="24"/>
        </w:rPr>
      </w:pPr>
      <w:r w:rsidRPr="00D60EA5">
        <w:rPr>
          <w:rFonts w:ascii="Arial" w:hAnsi="Arial" w:cs="Arial"/>
          <w:sz w:val="24"/>
          <w:szCs w:val="24"/>
        </w:rPr>
        <w:t>Bogotá, D.C., diez (10) de abril</w:t>
      </w:r>
      <w:r w:rsidR="00B01B52" w:rsidRPr="00D60EA5">
        <w:rPr>
          <w:rFonts w:ascii="Arial" w:hAnsi="Arial" w:cs="Arial"/>
          <w:sz w:val="24"/>
          <w:szCs w:val="24"/>
        </w:rPr>
        <w:t xml:space="preserve"> de dos mil diecinueve (2019) </w:t>
      </w:r>
    </w:p>
    <w:p w14:paraId="08CE6F91" w14:textId="77777777" w:rsidR="00B01B52" w:rsidRPr="00D60EA5" w:rsidRDefault="00B01B52" w:rsidP="006C5CAE">
      <w:pPr>
        <w:pStyle w:val="Sinespaciado"/>
        <w:rPr>
          <w:rFonts w:ascii="Arial" w:hAnsi="Arial" w:cs="Arial"/>
          <w:sz w:val="24"/>
          <w:szCs w:val="24"/>
        </w:rPr>
      </w:pPr>
    </w:p>
    <w:p w14:paraId="0A223508" w14:textId="77777777" w:rsidR="00B01B52" w:rsidRPr="00D60EA5" w:rsidRDefault="00785131" w:rsidP="006C5CAE">
      <w:pPr>
        <w:pStyle w:val="CuerpoA"/>
        <w:suppressAutoHyphens/>
        <w:jc w:val="both"/>
        <w:rPr>
          <w:rStyle w:val="Ninguno"/>
          <w:rFonts w:ascii="Arial" w:hAnsi="Arial" w:cs="Arial"/>
          <w:b/>
          <w:bCs/>
          <w:color w:val="auto"/>
        </w:rPr>
      </w:pPr>
      <w:r w:rsidRPr="00D60EA5">
        <w:rPr>
          <w:rStyle w:val="Ninguno"/>
          <w:rFonts w:ascii="Arial" w:hAnsi="Arial" w:cs="Arial"/>
          <w:b/>
          <w:bCs/>
          <w:color w:val="auto"/>
        </w:rPr>
        <w:t>Radicación número: 05001-23-33-000-2014-01005-02</w:t>
      </w:r>
      <w:r w:rsidR="00F93C9B" w:rsidRPr="00D60EA5">
        <w:rPr>
          <w:rStyle w:val="Ninguno"/>
          <w:rFonts w:ascii="Arial" w:hAnsi="Arial" w:cs="Arial"/>
          <w:b/>
          <w:bCs/>
          <w:color w:val="auto"/>
        </w:rPr>
        <w:t xml:space="preserve"> </w:t>
      </w:r>
      <w:r w:rsidRPr="00D60EA5">
        <w:rPr>
          <w:rStyle w:val="Ninguno"/>
          <w:rFonts w:ascii="Arial" w:hAnsi="Arial" w:cs="Arial"/>
          <w:b/>
          <w:bCs/>
          <w:color w:val="auto"/>
        </w:rPr>
        <w:t>(61409</w:t>
      </w:r>
      <w:r w:rsidR="00B01B52" w:rsidRPr="00D60EA5">
        <w:rPr>
          <w:rStyle w:val="Ninguno"/>
          <w:rFonts w:ascii="Arial" w:hAnsi="Arial" w:cs="Arial"/>
          <w:b/>
          <w:bCs/>
          <w:color w:val="auto"/>
        </w:rPr>
        <w:t>)</w:t>
      </w:r>
    </w:p>
    <w:p w14:paraId="61CDCEAD" w14:textId="77777777" w:rsidR="00B01B52" w:rsidRPr="00D60EA5" w:rsidRDefault="00B01B52" w:rsidP="006C5CAE">
      <w:pPr>
        <w:pStyle w:val="CuerpoA"/>
        <w:suppressAutoHyphens/>
        <w:jc w:val="both"/>
        <w:rPr>
          <w:rFonts w:ascii="Arial" w:hAnsi="Arial" w:cs="Arial"/>
          <w:b/>
          <w:color w:val="auto"/>
        </w:rPr>
      </w:pPr>
    </w:p>
    <w:p w14:paraId="16CFD9CD" w14:textId="77777777" w:rsidR="00B01B52" w:rsidRPr="00D60EA5" w:rsidRDefault="00FC0DB9" w:rsidP="006C5CAE">
      <w:pPr>
        <w:pStyle w:val="CuerpoA"/>
        <w:suppressAutoHyphens/>
        <w:jc w:val="both"/>
        <w:rPr>
          <w:rStyle w:val="Ninguno"/>
          <w:rFonts w:ascii="Arial" w:hAnsi="Arial" w:cs="Arial"/>
          <w:b/>
          <w:bCs/>
          <w:color w:val="auto"/>
        </w:rPr>
      </w:pPr>
      <w:r w:rsidRPr="00D60EA5">
        <w:rPr>
          <w:rStyle w:val="Ninguno"/>
          <w:rFonts w:ascii="Arial" w:hAnsi="Arial" w:cs="Arial"/>
          <w:b/>
          <w:bCs/>
          <w:color w:val="auto"/>
        </w:rPr>
        <w:t>Actor: CAJA DE COMPENSACIÓ</w:t>
      </w:r>
      <w:r w:rsidR="00785131" w:rsidRPr="00D60EA5">
        <w:rPr>
          <w:rStyle w:val="Ninguno"/>
          <w:rFonts w:ascii="Arial" w:hAnsi="Arial" w:cs="Arial"/>
          <w:b/>
          <w:bCs/>
          <w:color w:val="auto"/>
        </w:rPr>
        <w:t xml:space="preserve">N FAMILIAR COMFENALCO </w:t>
      </w:r>
      <w:r w:rsidRPr="00D60EA5">
        <w:rPr>
          <w:rStyle w:val="Ninguno"/>
          <w:rFonts w:ascii="Arial" w:hAnsi="Arial" w:cs="Arial"/>
          <w:b/>
          <w:bCs/>
          <w:color w:val="auto"/>
        </w:rPr>
        <w:t>ANTIOQUIA</w:t>
      </w:r>
    </w:p>
    <w:p w14:paraId="6BB9E253" w14:textId="77777777" w:rsidR="00B01B52" w:rsidRPr="00D60EA5" w:rsidRDefault="00B01B52" w:rsidP="006C5CAE">
      <w:pPr>
        <w:pStyle w:val="CuerpoA"/>
        <w:suppressAutoHyphens/>
        <w:jc w:val="both"/>
        <w:rPr>
          <w:rStyle w:val="Ninguno"/>
          <w:rFonts w:ascii="Arial" w:eastAsia="Arial" w:hAnsi="Arial" w:cs="Arial"/>
          <w:b/>
          <w:bCs/>
          <w:color w:val="auto"/>
        </w:rPr>
      </w:pPr>
    </w:p>
    <w:p w14:paraId="6D34B7CB" w14:textId="77777777" w:rsidR="00B01B52" w:rsidRPr="00D60EA5" w:rsidRDefault="00994EC7" w:rsidP="006C5CAE">
      <w:pPr>
        <w:pStyle w:val="CuerpoA"/>
        <w:suppressAutoHyphens/>
        <w:jc w:val="both"/>
        <w:rPr>
          <w:rStyle w:val="Ninguno"/>
          <w:rFonts w:ascii="Arial" w:hAnsi="Arial" w:cs="Arial"/>
          <w:b/>
          <w:bCs/>
          <w:color w:val="auto"/>
        </w:rPr>
      </w:pPr>
      <w:r w:rsidRPr="00D60EA5">
        <w:rPr>
          <w:rStyle w:val="Ninguno"/>
          <w:rFonts w:ascii="Arial" w:hAnsi="Arial" w:cs="Arial"/>
          <w:b/>
          <w:bCs/>
          <w:color w:val="auto"/>
        </w:rPr>
        <w:t>Dema</w:t>
      </w:r>
      <w:r w:rsidR="00FC0DB9" w:rsidRPr="00D60EA5">
        <w:rPr>
          <w:rStyle w:val="Ninguno"/>
          <w:rFonts w:ascii="Arial" w:hAnsi="Arial" w:cs="Arial"/>
          <w:b/>
          <w:bCs/>
          <w:color w:val="auto"/>
        </w:rPr>
        <w:t>ndado: NACIÓN - MINISTERIO DE SALUD Y DE LA PROTECCIÓN</w:t>
      </w:r>
      <w:r w:rsidR="0048543C" w:rsidRPr="00D60EA5">
        <w:rPr>
          <w:rStyle w:val="Ninguno"/>
          <w:rFonts w:ascii="Arial" w:hAnsi="Arial" w:cs="Arial"/>
          <w:b/>
          <w:bCs/>
          <w:color w:val="auto"/>
        </w:rPr>
        <w:t xml:space="preserve"> </w:t>
      </w:r>
      <w:r w:rsidR="00FC0DB9" w:rsidRPr="00D60EA5">
        <w:rPr>
          <w:rStyle w:val="Ninguno"/>
          <w:rFonts w:ascii="Arial" w:hAnsi="Arial" w:cs="Arial"/>
          <w:b/>
          <w:bCs/>
          <w:color w:val="auto"/>
        </w:rPr>
        <w:t>SOCIAL Y DEPARTAMENTO DE ANTIOQUIA</w:t>
      </w:r>
    </w:p>
    <w:p w14:paraId="23DE523C" w14:textId="77777777" w:rsidR="00B01B52" w:rsidRPr="00D60EA5" w:rsidRDefault="00B01B52" w:rsidP="006C5CAE">
      <w:pPr>
        <w:pStyle w:val="CuerpoA"/>
        <w:suppressAutoHyphens/>
        <w:jc w:val="both"/>
        <w:rPr>
          <w:rStyle w:val="Ninguno"/>
          <w:rFonts w:ascii="Arial" w:hAnsi="Arial" w:cs="Arial"/>
          <w:b/>
          <w:bCs/>
          <w:color w:val="auto"/>
        </w:rPr>
      </w:pPr>
    </w:p>
    <w:p w14:paraId="52E56223" w14:textId="77777777" w:rsidR="0048543C" w:rsidRPr="00D60EA5" w:rsidRDefault="0048543C" w:rsidP="006C5CAE">
      <w:pPr>
        <w:pStyle w:val="CuerpoA"/>
        <w:suppressAutoHyphens/>
        <w:jc w:val="both"/>
        <w:rPr>
          <w:rStyle w:val="Ninguno"/>
          <w:rFonts w:ascii="Arial" w:hAnsi="Arial" w:cs="Arial"/>
          <w:b/>
          <w:bCs/>
          <w:color w:val="auto"/>
        </w:rPr>
      </w:pPr>
    </w:p>
    <w:p w14:paraId="07547A01" w14:textId="77777777" w:rsidR="0048543C" w:rsidRPr="00D60EA5" w:rsidRDefault="0048543C" w:rsidP="006C5CAE">
      <w:pPr>
        <w:pStyle w:val="CuerpoA"/>
        <w:suppressAutoHyphens/>
        <w:jc w:val="both"/>
        <w:rPr>
          <w:rStyle w:val="Ninguno"/>
          <w:rFonts w:ascii="Arial" w:hAnsi="Arial" w:cs="Arial"/>
          <w:b/>
          <w:bCs/>
          <w:color w:val="auto"/>
        </w:rPr>
      </w:pPr>
    </w:p>
    <w:p w14:paraId="7A7F758E" w14:textId="77777777" w:rsidR="00B01B52" w:rsidRPr="00D60EA5" w:rsidRDefault="00B01B52" w:rsidP="006C5CAE">
      <w:pPr>
        <w:pStyle w:val="CuerpoA"/>
        <w:suppressAutoHyphens/>
        <w:jc w:val="both"/>
        <w:rPr>
          <w:rStyle w:val="Ninguno"/>
          <w:rFonts w:ascii="Arial" w:hAnsi="Arial" w:cs="Arial"/>
          <w:b/>
          <w:bCs/>
          <w:color w:val="auto"/>
        </w:rPr>
      </w:pPr>
      <w:r w:rsidRPr="00D60EA5">
        <w:rPr>
          <w:rStyle w:val="Ninguno"/>
          <w:rFonts w:ascii="Arial" w:hAnsi="Arial" w:cs="Arial"/>
          <w:b/>
          <w:bCs/>
          <w:color w:val="auto"/>
        </w:rPr>
        <w:t>Referencia:</w:t>
      </w:r>
      <w:r w:rsidR="004240BC" w:rsidRPr="00D60EA5">
        <w:rPr>
          <w:rStyle w:val="Ninguno"/>
          <w:rFonts w:ascii="Arial" w:hAnsi="Arial" w:cs="Arial"/>
          <w:b/>
          <w:bCs/>
          <w:color w:val="auto"/>
        </w:rPr>
        <w:t xml:space="preserve"> </w:t>
      </w:r>
      <w:r w:rsidR="00FC0DB9" w:rsidRPr="00D60EA5">
        <w:rPr>
          <w:rStyle w:val="Ninguno"/>
          <w:rFonts w:ascii="Arial" w:hAnsi="Arial" w:cs="Arial"/>
          <w:b/>
          <w:bCs/>
          <w:color w:val="auto"/>
        </w:rPr>
        <w:t>REPARACION DIRECTA</w:t>
      </w:r>
    </w:p>
    <w:p w14:paraId="5043CB0F" w14:textId="77777777" w:rsidR="00B01B52" w:rsidRPr="00D60EA5" w:rsidRDefault="00B01B52" w:rsidP="006C5CAE">
      <w:pPr>
        <w:pStyle w:val="CuerpoA"/>
        <w:tabs>
          <w:tab w:val="left" w:pos="1496"/>
        </w:tabs>
        <w:suppressAutoHyphens/>
        <w:jc w:val="both"/>
        <w:rPr>
          <w:rStyle w:val="Ninguno"/>
          <w:rFonts w:ascii="Arial" w:hAnsi="Arial" w:cs="Arial"/>
          <w:b/>
          <w:bCs/>
          <w:color w:val="auto"/>
        </w:rPr>
      </w:pPr>
    </w:p>
    <w:p w14:paraId="07459315" w14:textId="77777777" w:rsidR="0048543C" w:rsidRPr="00D60EA5" w:rsidRDefault="0048543C" w:rsidP="006C5CAE">
      <w:pPr>
        <w:pStyle w:val="CuerpoA"/>
        <w:tabs>
          <w:tab w:val="left" w:pos="1496"/>
        </w:tabs>
        <w:suppressAutoHyphens/>
        <w:jc w:val="both"/>
        <w:rPr>
          <w:rStyle w:val="Ninguno"/>
          <w:rFonts w:ascii="Arial" w:hAnsi="Arial" w:cs="Arial"/>
          <w:b/>
          <w:bCs/>
          <w:color w:val="auto"/>
        </w:rPr>
      </w:pPr>
    </w:p>
    <w:p w14:paraId="6537F28F" w14:textId="77777777" w:rsidR="0048543C" w:rsidRPr="00D60EA5" w:rsidRDefault="0048543C" w:rsidP="00667A10">
      <w:pPr>
        <w:pStyle w:val="CuerpoA"/>
        <w:tabs>
          <w:tab w:val="left" w:pos="1496"/>
        </w:tabs>
        <w:suppressAutoHyphens/>
        <w:spacing w:line="360" w:lineRule="auto"/>
        <w:jc w:val="both"/>
        <w:rPr>
          <w:rStyle w:val="Ninguno"/>
          <w:rFonts w:ascii="Arial" w:hAnsi="Arial" w:cs="Arial"/>
          <w:b/>
          <w:bCs/>
          <w:color w:val="auto"/>
        </w:rPr>
      </w:pPr>
    </w:p>
    <w:p w14:paraId="4B2E9B29" w14:textId="77777777" w:rsidR="00B01B52" w:rsidRPr="00D60EA5" w:rsidRDefault="00B01B52" w:rsidP="008F446C">
      <w:pPr>
        <w:pStyle w:val="Sinespaciado"/>
        <w:jc w:val="both"/>
        <w:rPr>
          <w:rFonts w:ascii="Arial" w:hAnsi="Arial" w:cs="Arial"/>
          <w:i/>
          <w:sz w:val="24"/>
          <w:szCs w:val="24"/>
        </w:rPr>
      </w:pPr>
      <w:r w:rsidRPr="00D60EA5">
        <w:rPr>
          <w:rStyle w:val="Ninguno"/>
          <w:rFonts w:ascii="Arial" w:hAnsi="Arial" w:cs="Arial"/>
          <w:bCs/>
          <w:sz w:val="24"/>
          <w:szCs w:val="24"/>
        </w:rPr>
        <w:t>Temas:</w:t>
      </w:r>
      <w:r w:rsidRPr="00D60EA5">
        <w:rPr>
          <w:rStyle w:val="Ninguno"/>
          <w:rFonts w:ascii="Arial" w:hAnsi="Arial" w:cs="Arial"/>
          <w:b/>
          <w:bCs/>
          <w:sz w:val="24"/>
          <w:szCs w:val="24"/>
        </w:rPr>
        <w:t xml:space="preserve"> </w:t>
      </w:r>
      <w:r w:rsidR="00D146B0" w:rsidRPr="00D60EA5">
        <w:rPr>
          <w:rStyle w:val="Ninguno"/>
          <w:rFonts w:ascii="Arial" w:hAnsi="Arial" w:cs="Arial"/>
          <w:bCs/>
          <w:i/>
          <w:sz w:val="24"/>
          <w:szCs w:val="24"/>
        </w:rPr>
        <w:t xml:space="preserve">EXCEPCIONES </w:t>
      </w:r>
      <w:r w:rsidR="002E60AB" w:rsidRPr="00D60EA5">
        <w:rPr>
          <w:rFonts w:ascii="Arial" w:hAnsi="Arial" w:cs="Arial"/>
          <w:i/>
          <w:sz w:val="24"/>
          <w:szCs w:val="24"/>
        </w:rPr>
        <w:t xml:space="preserve">/ </w:t>
      </w:r>
      <w:r w:rsidR="00B63464" w:rsidRPr="00D60EA5">
        <w:rPr>
          <w:rFonts w:ascii="Arial" w:hAnsi="Arial" w:cs="Arial"/>
          <w:i/>
          <w:sz w:val="24"/>
          <w:szCs w:val="24"/>
        </w:rPr>
        <w:t>CADUCIDAD</w:t>
      </w:r>
      <w:r w:rsidR="00FC0DB9" w:rsidRPr="00D60EA5">
        <w:rPr>
          <w:rFonts w:ascii="Arial" w:hAnsi="Arial" w:cs="Arial"/>
          <w:i/>
          <w:sz w:val="24"/>
          <w:szCs w:val="24"/>
        </w:rPr>
        <w:t xml:space="preserve"> – se contabiliza </w:t>
      </w:r>
      <w:r w:rsidR="00D246E3" w:rsidRPr="00D60EA5">
        <w:rPr>
          <w:rFonts w:ascii="Arial" w:hAnsi="Arial" w:cs="Arial"/>
          <w:i/>
          <w:sz w:val="24"/>
          <w:szCs w:val="24"/>
        </w:rPr>
        <w:t>de conformidad con la regla dispuesta por el CPACA, según el origen del daño y la naturaleza de las pretensiones.</w:t>
      </w:r>
    </w:p>
    <w:p w14:paraId="6DFB9E20" w14:textId="77777777" w:rsidR="00B01B52" w:rsidRPr="00D60EA5" w:rsidRDefault="00B01B52" w:rsidP="00667A10">
      <w:pPr>
        <w:pStyle w:val="Sinespaciado"/>
        <w:spacing w:line="360" w:lineRule="auto"/>
        <w:jc w:val="both"/>
        <w:rPr>
          <w:rFonts w:ascii="Arial" w:hAnsi="Arial" w:cs="Arial"/>
          <w:sz w:val="24"/>
          <w:szCs w:val="24"/>
        </w:rPr>
      </w:pPr>
    </w:p>
    <w:p w14:paraId="3284C338" w14:textId="77777777" w:rsidR="00B01B52" w:rsidRPr="00D60EA5" w:rsidRDefault="00B01B52" w:rsidP="008F446C">
      <w:pPr>
        <w:pStyle w:val="Sinespaciado"/>
        <w:spacing w:line="360" w:lineRule="auto"/>
        <w:jc w:val="both"/>
        <w:rPr>
          <w:rFonts w:ascii="Arial" w:hAnsi="Arial" w:cs="Arial"/>
          <w:sz w:val="24"/>
          <w:szCs w:val="24"/>
        </w:rPr>
      </w:pPr>
      <w:r w:rsidRPr="00D60EA5">
        <w:rPr>
          <w:rFonts w:ascii="Arial" w:hAnsi="Arial" w:cs="Arial"/>
          <w:sz w:val="24"/>
          <w:szCs w:val="24"/>
        </w:rPr>
        <w:t>Procede el Despacho a resolver el recurso de ape</w:t>
      </w:r>
      <w:r w:rsidR="00FC0DB9" w:rsidRPr="00D60EA5">
        <w:rPr>
          <w:rFonts w:ascii="Arial" w:hAnsi="Arial" w:cs="Arial"/>
          <w:sz w:val="24"/>
          <w:szCs w:val="24"/>
        </w:rPr>
        <w:t>lación interpuesto por</w:t>
      </w:r>
      <w:r w:rsidR="00F154BA" w:rsidRPr="00D60EA5">
        <w:rPr>
          <w:rFonts w:ascii="Arial" w:hAnsi="Arial" w:cs="Arial"/>
          <w:sz w:val="24"/>
          <w:szCs w:val="24"/>
        </w:rPr>
        <w:t xml:space="preserve"> la Naci</w:t>
      </w:r>
      <w:r w:rsidR="00252FDB" w:rsidRPr="00D60EA5">
        <w:rPr>
          <w:rFonts w:ascii="Arial" w:hAnsi="Arial" w:cs="Arial"/>
          <w:sz w:val="24"/>
          <w:szCs w:val="24"/>
        </w:rPr>
        <w:t>ón – Ministerio de Salud y</w:t>
      </w:r>
      <w:r w:rsidR="00F154BA" w:rsidRPr="00D60EA5">
        <w:rPr>
          <w:rFonts w:ascii="Arial" w:hAnsi="Arial" w:cs="Arial"/>
          <w:sz w:val="24"/>
          <w:szCs w:val="24"/>
        </w:rPr>
        <w:t xml:space="preserve"> Protección Social y el Departamento de Antioquia</w:t>
      </w:r>
      <w:r w:rsidR="00FC0DB9" w:rsidRPr="00D60EA5">
        <w:rPr>
          <w:rFonts w:ascii="Arial" w:hAnsi="Arial" w:cs="Arial"/>
          <w:sz w:val="24"/>
          <w:szCs w:val="24"/>
        </w:rPr>
        <w:t xml:space="preserve"> </w:t>
      </w:r>
      <w:r w:rsidRPr="00D60EA5">
        <w:rPr>
          <w:rFonts w:ascii="Arial" w:hAnsi="Arial" w:cs="Arial"/>
          <w:sz w:val="24"/>
          <w:szCs w:val="24"/>
        </w:rPr>
        <w:t xml:space="preserve">contra </w:t>
      </w:r>
      <w:r w:rsidR="009E72E1" w:rsidRPr="00D60EA5">
        <w:rPr>
          <w:rFonts w:ascii="Arial" w:hAnsi="Arial" w:cs="Arial"/>
          <w:sz w:val="24"/>
          <w:szCs w:val="24"/>
        </w:rPr>
        <w:t xml:space="preserve">la decisión </w:t>
      </w:r>
      <w:r w:rsidR="00774C3C" w:rsidRPr="00D60EA5">
        <w:rPr>
          <w:rFonts w:ascii="Arial" w:hAnsi="Arial" w:cs="Arial"/>
          <w:sz w:val="24"/>
          <w:szCs w:val="24"/>
        </w:rPr>
        <w:t>adoptad</w:t>
      </w:r>
      <w:r w:rsidR="009E72E1" w:rsidRPr="00D60EA5">
        <w:rPr>
          <w:rFonts w:ascii="Arial" w:hAnsi="Arial" w:cs="Arial"/>
          <w:sz w:val="24"/>
          <w:szCs w:val="24"/>
        </w:rPr>
        <w:t xml:space="preserve">a por el Tribunal Administrativo de </w:t>
      </w:r>
      <w:r w:rsidR="00FC0DB9" w:rsidRPr="00D60EA5">
        <w:rPr>
          <w:rFonts w:ascii="Arial" w:hAnsi="Arial" w:cs="Arial"/>
          <w:sz w:val="24"/>
          <w:szCs w:val="24"/>
        </w:rPr>
        <w:t>Antioquia</w:t>
      </w:r>
      <w:r w:rsidR="00774C3C" w:rsidRPr="00D60EA5">
        <w:rPr>
          <w:rFonts w:ascii="Arial" w:hAnsi="Arial" w:cs="Arial"/>
          <w:sz w:val="24"/>
          <w:szCs w:val="24"/>
        </w:rPr>
        <w:t>,</w:t>
      </w:r>
      <w:r w:rsidR="009E72E1" w:rsidRPr="00D60EA5">
        <w:rPr>
          <w:rFonts w:ascii="Arial" w:hAnsi="Arial" w:cs="Arial"/>
          <w:sz w:val="24"/>
          <w:szCs w:val="24"/>
        </w:rPr>
        <w:t xml:space="preserve"> en </w:t>
      </w:r>
      <w:r w:rsidR="00774C3C" w:rsidRPr="00D60EA5">
        <w:rPr>
          <w:rFonts w:ascii="Arial" w:hAnsi="Arial" w:cs="Arial"/>
          <w:sz w:val="24"/>
          <w:szCs w:val="24"/>
        </w:rPr>
        <w:t xml:space="preserve">la </w:t>
      </w:r>
      <w:r w:rsidR="009E72E1" w:rsidRPr="00D60EA5">
        <w:rPr>
          <w:rFonts w:ascii="Arial" w:hAnsi="Arial" w:cs="Arial"/>
          <w:sz w:val="24"/>
          <w:szCs w:val="24"/>
        </w:rPr>
        <w:t>audiencia</w:t>
      </w:r>
      <w:r w:rsidR="00774C3C" w:rsidRPr="00D60EA5">
        <w:rPr>
          <w:rFonts w:ascii="Arial" w:hAnsi="Arial" w:cs="Arial"/>
          <w:sz w:val="24"/>
          <w:szCs w:val="24"/>
        </w:rPr>
        <w:t xml:space="preserve"> inicial</w:t>
      </w:r>
      <w:r w:rsidR="00FC0DB9" w:rsidRPr="00D60EA5">
        <w:rPr>
          <w:rFonts w:ascii="Arial" w:hAnsi="Arial" w:cs="Arial"/>
          <w:sz w:val="24"/>
          <w:szCs w:val="24"/>
        </w:rPr>
        <w:t xml:space="preserve"> celebrada el 12 de abril</w:t>
      </w:r>
      <w:r w:rsidRPr="00D60EA5">
        <w:rPr>
          <w:rFonts w:ascii="Arial" w:hAnsi="Arial" w:cs="Arial"/>
          <w:sz w:val="24"/>
          <w:szCs w:val="24"/>
        </w:rPr>
        <w:t xml:space="preserve"> de 2018, </w:t>
      </w:r>
      <w:r w:rsidR="00774C3C" w:rsidRPr="00D60EA5">
        <w:rPr>
          <w:rFonts w:ascii="Arial" w:hAnsi="Arial" w:cs="Arial"/>
          <w:sz w:val="24"/>
          <w:szCs w:val="24"/>
        </w:rPr>
        <w:t>a través de</w:t>
      </w:r>
      <w:r w:rsidR="009E72E1" w:rsidRPr="00D60EA5">
        <w:rPr>
          <w:rFonts w:ascii="Arial" w:hAnsi="Arial" w:cs="Arial"/>
          <w:sz w:val="24"/>
          <w:szCs w:val="24"/>
        </w:rPr>
        <w:t xml:space="preserve"> la cual </w:t>
      </w:r>
      <w:r w:rsidR="00B11B27" w:rsidRPr="00D60EA5">
        <w:rPr>
          <w:rFonts w:ascii="Arial" w:hAnsi="Arial" w:cs="Arial"/>
          <w:sz w:val="24"/>
          <w:szCs w:val="24"/>
        </w:rPr>
        <w:t xml:space="preserve">se </w:t>
      </w:r>
      <w:r w:rsidR="009E72E1" w:rsidRPr="00D60EA5">
        <w:rPr>
          <w:rFonts w:ascii="Arial" w:hAnsi="Arial" w:cs="Arial"/>
          <w:sz w:val="24"/>
          <w:szCs w:val="24"/>
        </w:rPr>
        <w:t>declar</w:t>
      </w:r>
      <w:r w:rsidR="005305EF" w:rsidRPr="00D60EA5">
        <w:rPr>
          <w:rFonts w:ascii="Arial" w:hAnsi="Arial" w:cs="Arial"/>
          <w:sz w:val="24"/>
          <w:szCs w:val="24"/>
        </w:rPr>
        <w:t>ó</w:t>
      </w:r>
      <w:r w:rsidR="009E72E1" w:rsidRPr="00D60EA5">
        <w:rPr>
          <w:rFonts w:ascii="Arial" w:hAnsi="Arial" w:cs="Arial"/>
          <w:sz w:val="24"/>
          <w:szCs w:val="24"/>
        </w:rPr>
        <w:t xml:space="preserve"> no probada la</w:t>
      </w:r>
      <w:r w:rsidR="005305EF" w:rsidRPr="00D60EA5">
        <w:rPr>
          <w:rFonts w:ascii="Arial" w:hAnsi="Arial" w:cs="Arial"/>
          <w:sz w:val="24"/>
          <w:szCs w:val="24"/>
        </w:rPr>
        <w:t xml:space="preserve"> excepción </w:t>
      </w:r>
      <w:r w:rsidR="00FC0DB9" w:rsidRPr="00D60EA5">
        <w:rPr>
          <w:rFonts w:ascii="Arial" w:hAnsi="Arial" w:cs="Arial"/>
          <w:sz w:val="24"/>
          <w:szCs w:val="24"/>
        </w:rPr>
        <w:t xml:space="preserve">de caducidad </w:t>
      </w:r>
      <w:r w:rsidR="00F154BA" w:rsidRPr="00D60EA5">
        <w:rPr>
          <w:rFonts w:ascii="Arial" w:hAnsi="Arial" w:cs="Arial"/>
          <w:sz w:val="24"/>
          <w:szCs w:val="24"/>
        </w:rPr>
        <w:t>propuesta por las entidades demandadas</w:t>
      </w:r>
      <w:r w:rsidR="005305EF" w:rsidRPr="00D60EA5">
        <w:rPr>
          <w:rFonts w:ascii="Arial" w:hAnsi="Arial" w:cs="Arial"/>
          <w:sz w:val="24"/>
          <w:szCs w:val="24"/>
        </w:rPr>
        <w:t>.</w:t>
      </w:r>
    </w:p>
    <w:p w14:paraId="70DF9E56" w14:textId="77777777" w:rsidR="00B01B52" w:rsidRPr="00D60EA5" w:rsidRDefault="00B01B52" w:rsidP="008F446C">
      <w:pPr>
        <w:pStyle w:val="Sinespaciado"/>
        <w:spacing w:line="360" w:lineRule="auto"/>
        <w:rPr>
          <w:rFonts w:ascii="Arial" w:hAnsi="Arial" w:cs="Arial"/>
          <w:sz w:val="24"/>
          <w:szCs w:val="24"/>
        </w:rPr>
      </w:pPr>
    </w:p>
    <w:p w14:paraId="54CEB65A" w14:textId="77777777" w:rsidR="00B01B52" w:rsidRPr="00D60EA5" w:rsidRDefault="00B01B52" w:rsidP="008F446C">
      <w:pPr>
        <w:pStyle w:val="Sinespaciado"/>
        <w:spacing w:line="360" w:lineRule="auto"/>
        <w:jc w:val="center"/>
        <w:rPr>
          <w:rFonts w:ascii="Arial" w:hAnsi="Arial" w:cs="Arial"/>
          <w:b/>
          <w:sz w:val="24"/>
          <w:szCs w:val="24"/>
        </w:rPr>
      </w:pPr>
      <w:r w:rsidRPr="00D60EA5">
        <w:rPr>
          <w:rFonts w:ascii="Arial" w:hAnsi="Arial" w:cs="Arial"/>
          <w:b/>
          <w:sz w:val="24"/>
          <w:szCs w:val="24"/>
        </w:rPr>
        <w:t>I. A N T E C E D E N T E S</w:t>
      </w:r>
    </w:p>
    <w:p w14:paraId="44E871BC" w14:textId="77777777" w:rsidR="00B01B52" w:rsidRPr="00D60EA5" w:rsidRDefault="00B01B52" w:rsidP="008F446C">
      <w:pPr>
        <w:pStyle w:val="Sinespaciado"/>
        <w:spacing w:line="360" w:lineRule="auto"/>
        <w:ind w:left="1080"/>
        <w:rPr>
          <w:rFonts w:ascii="Arial" w:hAnsi="Arial" w:cs="Arial"/>
          <w:b/>
          <w:sz w:val="24"/>
          <w:szCs w:val="24"/>
        </w:rPr>
      </w:pPr>
    </w:p>
    <w:p w14:paraId="46E40070" w14:textId="77777777" w:rsidR="00B01B52" w:rsidRPr="00D60EA5" w:rsidRDefault="00B01B52" w:rsidP="008F446C">
      <w:pPr>
        <w:pStyle w:val="Sinespaciado"/>
        <w:spacing w:line="360" w:lineRule="auto"/>
        <w:jc w:val="both"/>
        <w:rPr>
          <w:rFonts w:ascii="Arial" w:hAnsi="Arial" w:cs="Arial"/>
          <w:b/>
          <w:sz w:val="24"/>
          <w:szCs w:val="24"/>
        </w:rPr>
      </w:pPr>
      <w:r w:rsidRPr="00D60EA5">
        <w:rPr>
          <w:rFonts w:ascii="Arial" w:hAnsi="Arial" w:cs="Arial"/>
          <w:b/>
          <w:sz w:val="24"/>
          <w:szCs w:val="24"/>
        </w:rPr>
        <w:t>1. Demanda</w:t>
      </w:r>
    </w:p>
    <w:p w14:paraId="144A5D23" w14:textId="77777777" w:rsidR="00B01B52" w:rsidRPr="00D60EA5" w:rsidRDefault="00B01B52" w:rsidP="008F446C">
      <w:pPr>
        <w:pStyle w:val="Sinespaciado"/>
        <w:spacing w:line="360" w:lineRule="auto"/>
        <w:jc w:val="both"/>
        <w:rPr>
          <w:rFonts w:ascii="Arial" w:hAnsi="Arial" w:cs="Arial"/>
          <w:b/>
          <w:sz w:val="24"/>
          <w:szCs w:val="24"/>
        </w:rPr>
      </w:pPr>
    </w:p>
    <w:p w14:paraId="281C959F" w14:textId="77777777" w:rsidR="00C10F60" w:rsidRPr="00D60EA5" w:rsidRDefault="00B01B52" w:rsidP="008F446C">
      <w:pPr>
        <w:pStyle w:val="Sinespaciado"/>
        <w:spacing w:line="360" w:lineRule="auto"/>
        <w:jc w:val="both"/>
        <w:rPr>
          <w:rFonts w:ascii="Arial" w:hAnsi="Arial" w:cs="Arial"/>
          <w:sz w:val="24"/>
          <w:szCs w:val="24"/>
        </w:rPr>
      </w:pPr>
      <w:bookmarkStart w:id="0" w:name="_Hlk7766688"/>
      <w:r w:rsidRPr="00D60EA5">
        <w:rPr>
          <w:rFonts w:ascii="Arial" w:hAnsi="Arial" w:cs="Arial"/>
          <w:sz w:val="24"/>
          <w:szCs w:val="24"/>
        </w:rPr>
        <w:t xml:space="preserve">A través de escrito presentado el </w:t>
      </w:r>
      <w:r w:rsidR="00F154BA" w:rsidRPr="00D60EA5">
        <w:rPr>
          <w:rFonts w:ascii="Arial" w:hAnsi="Arial" w:cs="Arial"/>
          <w:sz w:val="24"/>
          <w:szCs w:val="24"/>
        </w:rPr>
        <w:t>10 de junio de 2014 (</w:t>
      </w:r>
      <w:proofErr w:type="spellStart"/>
      <w:r w:rsidR="00F154BA" w:rsidRPr="00D60EA5">
        <w:rPr>
          <w:rFonts w:ascii="Arial" w:hAnsi="Arial" w:cs="Arial"/>
          <w:sz w:val="24"/>
          <w:szCs w:val="24"/>
        </w:rPr>
        <w:t>fls</w:t>
      </w:r>
      <w:proofErr w:type="spellEnd"/>
      <w:r w:rsidR="00F154BA" w:rsidRPr="00D60EA5">
        <w:rPr>
          <w:rFonts w:ascii="Arial" w:hAnsi="Arial" w:cs="Arial"/>
          <w:sz w:val="24"/>
          <w:szCs w:val="24"/>
        </w:rPr>
        <w:t>. 1-49</w:t>
      </w:r>
      <w:r w:rsidR="00774C3C" w:rsidRPr="00D60EA5">
        <w:rPr>
          <w:rFonts w:ascii="Arial" w:hAnsi="Arial" w:cs="Arial"/>
          <w:sz w:val="24"/>
          <w:szCs w:val="24"/>
        </w:rPr>
        <w:t xml:space="preserve"> c. </w:t>
      </w:r>
      <w:proofErr w:type="spellStart"/>
      <w:r w:rsidR="00774C3C" w:rsidRPr="00D60EA5">
        <w:rPr>
          <w:rFonts w:ascii="Arial" w:hAnsi="Arial" w:cs="Arial"/>
          <w:sz w:val="24"/>
          <w:szCs w:val="24"/>
        </w:rPr>
        <w:t>n.°</w:t>
      </w:r>
      <w:proofErr w:type="spellEnd"/>
      <w:r w:rsidR="009D57A8" w:rsidRPr="00D60EA5">
        <w:rPr>
          <w:rFonts w:ascii="Arial" w:hAnsi="Arial" w:cs="Arial"/>
          <w:sz w:val="24"/>
          <w:szCs w:val="24"/>
        </w:rPr>
        <w:t xml:space="preserve"> </w:t>
      </w:r>
      <w:r w:rsidR="00F154BA" w:rsidRPr="00D60EA5">
        <w:rPr>
          <w:rFonts w:ascii="Arial" w:hAnsi="Arial" w:cs="Arial"/>
          <w:sz w:val="24"/>
          <w:szCs w:val="24"/>
        </w:rPr>
        <w:t>1</w:t>
      </w:r>
      <w:r w:rsidR="00774C3C" w:rsidRPr="00D60EA5">
        <w:rPr>
          <w:rFonts w:ascii="Arial" w:hAnsi="Arial" w:cs="Arial"/>
          <w:sz w:val="24"/>
          <w:szCs w:val="24"/>
        </w:rPr>
        <w:t>)</w:t>
      </w:r>
      <w:r w:rsidRPr="00D60EA5">
        <w:rPr>
          <w:rFonts w:ascii="Arial" w:hAnsi="Arial" w:cs="Arial"/>
          <w:sz w:val="24"/>
          <w:szCs w:val="24"/>
        </w:rPr>
        <w:t xml:space="preserve">, la </w:t>
      </w:r>
      <w:r w:rsidR="00F154BA" w:rsidRPr="00D60EA5">
        <w:rPr>
          <w:rFonts w:ascii="Arial" w:hAnsi="Arial" w:cs="Arial"/>
          <w:sz w:val="24"/>
          <w:szCs w:val="24"/>
        </w:rPr>
        <w:t>Caja de Compensación Familiar Comfenalco Antioquia</w:t>
      </w:r>
      <w:r w:rsidRPr="00D60EA5">
        <w:rPr>
          <w:rFonts w:ascii="Arial" w:hAnsi="Arial" w:cs="Arial"/>
          <w:sz w:val="24"/>
          <w:szCs w:val="24"/>
        </w:rPr>
        <w:t>, por conducto de apoderado judicial, interpuso demanda en ejercicio de</w:t>
      </w:r>
      <w:r w:rsidR="00774C3C" w:rsidRPr="00D60EA5">
        <w:rPr>
          <w:rFonts w:ascii="Arial" w:hAnsi="Arial" w:cs="Arial"/>
          <w:sz w:val="24"/>
          <w:szCs w:val="24"/>
        </w:rPr>
        <w:t>l medio de contro</w:t>
      </w:r>
      <w:r w:rsidR="0080202C" w:rsidRPr="00D60EA5">
        <w:rPr>
          <w:rFonts w:ascii="Arial" w:hAnsi="Arial" w:cs="Arial"/>
          <w:sz w:val="24"/>
          <w:szCs w:val="24"/>
        </w:rPr>
        <w:t xml:space="preserve">l de </w:t>
      </w:r>
      <w:r w:rsidR="00F154BA" w:rsidRPr="00D60EA5">
        <w:rPr>
          <w:rFonts w:ascii="Arial" w:hAnsi="Arial" w:cs="Arial"/>
          <w:sz w:val="24"/>
          <w:szCs w:val="24"/>
        </w:rPr>
        <w:t>reparación directa</w:t>
      </w:r>
      <w:r w:rsidRPr="00D60EA5">
        <w:rPr>
          <w:rFonts w:ascii="Arial" w:hAnsi="Arial" w:cs="Arial"/>
          <w:sz w:val="24"/>
          <w:szCs w:val="24"/>
        </w:rPr>
        <w:t xml:space="preserve">, en contra </w:t>
      </w:r>
      <w:r w:rsidR="00F154BA" w:rsidRPr="00D60EA5">
        <w:rPr>
          <w:rFonts w:ascii="Arial" w:hAnsi="Arial" w:cs="Arial"/>
          <w:sz w:val="24"/>
          <w:szCs w:val="24"/>
        </w:rPr>
        <w:t>de la Naci</w:t>
      </w:r>
      <w:r w:rsidR="00252FDB" w:rsidRPr="00D60EA5">
        <w:rPr>
          <w:rFonts w:ascii="Arial" w:hAnsi="Arial" w:cs="Arial"/>
          <w:sz w:val="24"/>
          <w:szCs w:val="24"/>
        </w:rPr>
        <w:t>ón – Ministerio de Salud y</w:t>
      </w:r>
      <w:r w:rsidR="00F154BA" w:rsidRPr="00D60EA5">
        <w:rPr>
          <w:rFonts w:ascii="Arial" w:hAnsi="Arial" w:cs="Arial"/>
          <w:sz w:val="24"/>
          <w:szCs w:val="24"/>
        </w:rPr>
        <w:t xml:space="preserve"> Protección Social y el Departamento de Antioquia</w:t>
      </w:r>
      <w:r w:rsidR="009D57A8" w:rsidRPr="00D60EA5">
        <w:rPr>
          <w:rFonts w:ascii="Arial" w:hAnsi="Arial" w:cs="Arial"/>
          <w:sz w:val="24"/>
          <w:szCs w:val="24"/>
        </w:rPr>
        <w:t xml:space="preserve">, con el fin de que se </w:t>
      </w:r>
      <w:r w:rsidR="00F154BA" w:rsidRPr="00D60EA5">
        <w:rPr>
          <w:rFonts w:ascii="Arial" w:hAnsi="Arial" w:cs="Arial"/>
          <w:sz w:val="24"/>
          <w:szCs w:val="24"/>
        </w:rPr>
        <w:t>les declarara patrimonialmente responsables</w:t>
      </w:r>
      <w:r w:rsidR="00FB423F" w:rsidRPr="00D60EA5">
        <w:rPr>
          <w:rFonts w:ascii="Arial" w:hAnsi="Arial" w:cs="Arial"/>
          <w:sz w:val="24"/>
          <w:szCs w:val="24"/>
        </w:rPr>
        <w:t xml:space="preserve"> del detrimento patrimonial que padeció debido a la ruptura del equilibrio económico en los contratos que suscribió con algunos municipios del Departamento de Antioquia para la prestación del servicio de salud en el régimen subsidiado, durante los años 2008 a 2012.</w:t>
      </w:r>
    </w:p>
    <w:bookmarkEnd w:id="0"/>
    <w:p w14:paraId="6EF281DA" w14:textId="77777777" w:rsidR="00FB423F" w:rsidRPr="00D60EA5" w:rsidRDefault="00FB423F" w:rsidP="008F446C">
      <w:pPr>
        <w:pStyle w:val="Sinespaciado"/>
        <w:spacing w:line="360" w:lineRule="auto"/>
        <w:jc w:val="both"/>
        <w:rPr>
          <w:rFonts w:ascii="Arial" w:hAnsi="Arial" w:cs="Arial"/>
          <w:sz w:val="24"/>
          <w:szCs w:val="24"/>
        </w:rPr>
      </w:pPr>
      <w:r w:rsidRPr="00D60EA5">
        <w:rPr>
          <w:rFonts w:ascii="Arial" w:hAnsi="Arial" w:cs="Arial"/>
          <w:sz w:val="24"/>
          <w:szCs w:val="24"/>
        </w:rPr>
        <w:t>Mediante escrito presentado el 30 de junio de 2015, la parte actora reformó la demanda (</w:t>
      </w:r>
      <w:proofErr w:type="spellStart"/>
      <w:r w:rsidRPr="00D60EA5">
        <w:rPr>
          <w:rFonts w:ascii="Arial" w:hAnsi="Arial" w:cs="Arial"/>
          <w:sz w:val="24"/>
          <w:szCs w:val="24"/>
        </w:rPr>
        <w:t>fls</w:t>
      </w:r>
      <w:proofErr w:type="spellEnd"/>
      <w:r w:rsidRPr="00D60EA5">
        <w:rPr>
          <w:rFonts w:ascii="Arial" w:hAnsi="Arial" w:cs="Arial"/>
          <w:sz w:val="24"/>
          <w:szCs w:val="24"/>
        </w:rPr>
        <w:t xml:space="preserve">. 559-615 c. </w:t>
      </w:r>
      <w:proofErr w:type="spellStart"/>
      <w:r w:rsidRPr="00D60EA5">
        <w:rPr>
          <w:rFonts w:ascii="Arial" w:hAnsi="Arial" w:cs="Arial"/>
          <w:sz w:val="24"/>
          <w:szCs w:val="24"/>
        </w:rPr>
        <w:t>n.°</w:t>
      </w:r>
      <w:proofErr w:type="spellEnd"/>
      <w:r w:rsidRPr="00D60EA5">
        <w:rPr>
          <w:rFonts w:ascii="Arial" w:hAnsi="Arial" w:cs="Arial"/>
          <w:sz w:val="24"/>
          <w:szCs w:val="24"/>
        </w:rPr>
        <w:t xml:space="preserve"> 1).</w:t>
      </w:r>
    </w:p>
    <w:p w14:paraId="738610EB" w14:textId="77777777" w:rsidR="00F154BA" w:rsidRPr="00D60EA5" w:rsidRDefault="00F154BA" w:rsidP="008F446C">
      <w:pPr>
        <w:pStyle w:val="Sinespaciado"/>
        <w:spacing w:line="360" w:lineRule="auto"/>
        <w:jc w:val="both"/>
        <w:rPr>
          <w:rFonts w:ascii="Arial" w:hAnsi="Arial" w:cs="Arial"/>
          <w:sz w:val="24"/>
          <w:szCs w:val="24"/>
        </w:rPr>
      </w:pPr>
    </w:p>
    <w:p w14:paraId="79F524EC" w14:textId="77777777" w:rsidR="00B01B52" w:rsidRPr="00D60EA5" w:rsidRDefault="00B01B52" w:rsidP="008F446C">
      <w:pPr>
        <w:pStyle w:val="Sinespaciado"/>
        <w:spacing w:line="360" w:lineRule="auto"/>
        <w:jc w:val="both"/>
        <w:rPr>
          <w:rFonts w:ascii="Arial" w:hAnsi="Arial" w:cs="Arial"/>
          <w:sz w:val="24"/>
          <w:szCs w:val="24"/>
        </w:rPr>
      </w:pPr>
      <w:r w:rsidRPr="00D60EA5">
        <w:rPr>
          <w:rFonts w:ascii="Arial" w:hAnsi="Arial" w:cs="Arial"/>
          <w:sz w:val="24"/>
          <w:szCs w:val="24"/>
        </w:rPr>
        <w:t>Como funda</w:t>
      </w:r>
      <w:r w:rsidR="00FB423F" w:rsidRPr="00D60EA5">
        <w:rPr>
          <w:rFonts w:ascii="Arial" w:hAnsi="Arial" w:cs="Arial"/>
          <w:sz w:val="24"/>
          <w:szCs w:val="24"/>
        </w:rPr>
        <w:t xml:space="preserve">mentos de hecho </w:t>
      </w:r>
      <w:r w:rsidR="009C3B8F" w:rsidRPr="00D60EA5">
        <w:rPr>
          <w:rFonts w:ascii="Arial" w:hAnsi="Arial" w:cs="Arial"/>
          <w:sz w:val="24"/>
          <w:szCs w:val="24"/>
        </w:rPr>
        <w:t xml:space="preserve">se </w:t>
      </w:r>
      <w:r w:rsidR="00FB423F" w:rsidRPr="00D60EA5">
        <w:rPr>
          <w:rFonts w:ascii="Arial" w:hAnsi="Arial" w:cs="Arial"/>
          <w:sz w:val="24"/>
          <w:szCs w:val="24"/>
        </w:rPr>
        <w:t>nar</w:t>
      </w:r>
      <w:r w:rsidR="009C3B8F" w:rsidRPr="00D60EA5">
        <w:rPr>
          <w:rFonts w:ascii="Arial" w:hAnsi="Arial" w:cs="Arial"/>
          <w:sz w:val="24"/>
          <w:szCs w:val="24"/>
        </w:rPr>
        <w:t>ró</w:t>
      </w:r>
      <w:r w:rsidRPr="00D60EA5">
        <w:rPr>
          <w:rFonts w:ascii="Arial" w:hAnsi="Arial" w:cs="Arial"/>
          <w:sz w:val="24"/>
          <w:szCs w:val="24"/>
        </w:rPr>
        <w:t xml:space="preserve">, en síntesis, lo siguiente: </w:t>
      </w:r>
    </w:p>
    <w:p w14:paraId="637805D2" w14:textId="77777777" w:rsidR="00B01B52" w:rsidRPr="00D60EA5" w:rsidRDefault="00B01B52" w:rsidP="008F446C">
      <w:pPr>
        <w:pStyle w:val="Sinespaciado"/>
        <w:spacing w:line="360" w:lineRule="auto"/>
        <w:jc w:val="both"/>
        <w:rPr>
          <w:rFonts w:ascii="Arial" w:hAnsi="Arial" w:cs="Arial"/>
          <w:sz w:val="24"/>
          <w:szCs w:val="24"/>
        </w:rPr>
      </w:pPr>
    </w:p>
    <w:p w14:paraId="7E07C6BF" w14:textId="77777777" w:rsidR="00734FD6" w:rsidRPr="00D60EA5" w:rsidRDefault="001F1657" w:rsidP="008F446C">
      <w:pPr>
        <w:pStyle w:val="Sinespaciado"/>
        <w:spacing w:line="360" w:lineRule="auto"/>
        <w:jc w:val="both"/>
        <w:rPr>
          <w:rFonts w:ascii="Arial" w:hAnsi="Arial" w:cs="Arial"/>
          <w:sz w:val="24"/>
          <w:szCs w:val="24"/>
        </w:rPr>
      </w:pPr>
      <w:r w:rsidRPr="00D60EA5">
        <w:rPr>
          <w:rFonts w:ascii="Arial" w:hAnsi="Arial" w:cs="Arial"/>
          <w:sz w:val="24"/>
          <w:szCs w:val="24"/>
        </w:rPr>
        <w:t xml:space="preserve">Las entidades Promotoras de Salud en el régimen subsidiado actúan por mandato expreso del </w:t>
      </w:r>
      <w:proofErr w:type="spellStart"/>
      <w:r w:rsidRPr="00D60EA5">
        <w:rPr>
          <w:rFonts w:ascii="Arial" w:hAnsi="Arial" w:cs="Arial"/>
          <w:sz w:val="24"/>
          <w:szCs w:val="24"/>
        </w:rPr>
        <w:t>Fosyga</w:t>
      </w:r>
      <w:proofErr w:type="spellEnd"/>
      <w:r w:rsidRPr="00D60EA5">
        <w:rPr>
          <w:rFonts w:ascii="Arial" w:hAnsi="Arial" w:cs="Arial"/>
          <w:sz w:val="24"/>
          <w:szCs w:val="24"/>
        </w:rPr>
        <w:t xml:space="preserve"> y reciben a cambio de la prestación del servicio de salud, las denominadas “</w:t>
      </w:r>
      <w:r w:rsidRPr="00D60EA5">
        <w:rPr>
          <w:rFonts w:ascii="Arial" w:hAnsi="Arial" w:cs="Arial"/>
          <w:i/>
          <w:sz w:val="24"/>
          <w:szCs w:val="24"/>
        </w:rPr>
        <w:t>Unidades de Pago por Capitación</w:t>
      </w:r>
      <w:r w:rsidRPr="00D60EA5">
        <w:rPr>
          <w:rFonts w:ascii="Arial" w:hAnsi="Arial" w:cs="Arial"/>
          <w:sz w:val="24"/>
          <w:szCs w:val="24"/>
        </w:rPr>
        <w:t>” en el programa de régimen subsidiado –</w:t>
      </w:r>
      <w:r w:rsidRPr="00D60EA5">
        <w:rPr>
          <w:rFonts w:ascii="Arial" w:hAnsi="Arial" w:cs="Arial"/>
          <w:i/>
          <w:sz w:val="24"/>
          <w:szCs w:val="24"/>
        </w:rPr>
        <w:t>UPC-S</w:t>
      </w:r>
      <w:proofErr w:type="gramStart"/>
      <w:r w:rsidRPr="00D60EA5">
        <w:rPr>
          <w:rFonts w:ascii="Arial" w:hAnsi="Arial" w:cs="Arial"/>
          <w:i/>
          <w:sz w:val="24"/>
          <w:szCs w:val="24"/>
        </w:rPr>
        <w:t>-</w:t>
      </w:r>
      <w:r w:rsidRPr="00D60EA5">
        <w:rPr>
          <w:rFonts w:ascii="Arial" w:hAnsi="Arial" w:cs="Arial"/>
          <w:sz w:val="24"/>
          <w:szCs w:val="24"/>
        </w:rPr>
        <w:t xml:space="preserve"> ,</w:t>
      </w:r>
      <w:proofErr w:type="gramEnd"/>
      <w:r w:rsidRPr="00D60EA5">
        <w:rPr>
          <w:rFonts w:ascii="Arial" w:hAnsi="Arial" w:cs="Arial"/>
          <w:sz w:val="24"/>
          <w:szCs w:val="24"/>
        </w:rPr>
        <w:t xml:space="preserve"> por lo que deben restituir la diferencia entre el costo de la atención en salud y la</w:t>
      </w:r>
      <w:r w:rsidR="00653CFF" w:rsidRPr="00D60EA5">
        <w:rPr>
          <w:rFonts w:ascii="Arial" w:hAnsi="Arial" w:cs="Arial"/>
          <w:sz w:val="24"/>
          <w:szCs w:val="24"/>
        </w:rPr>
        <w:t>s</w:t>
      </w:r>
      <w:r w:rsidRPr="00D60EA5">
        <w:rPr>
          <w:rFonts w:ascii="Arial" w:hAnsi="Arial" w:cs="Arial"/>
          <w:sz w:val="24"/>
          <w:szCs w:val="24"/>
        </w:rPr>
        <w:t xml:space="preserve"> UPC-S recibida</w:t>
      </w:r>
      <w:r w:rsidR="00653CFF" w:rsidRPr="00D60EA5">
        <w:rPr>
          <w:rFonts w:ascii="Arial" w:hAnsi="Arial" w:cs="Arial"/>
          <w:sz w:val="24"/>
          <w:szCs w:val="24"/>
        </w:rPr>
        <w:t>s</w:t>
      </w:r>
      <w:r w:rsidRPr="00D60EA5">
        <w:rPr>
          <w:rFonts w:ascii="Arial" w:hAnsi="Arial" w:cs="Arial"/>
          <w:sz w:val="24"/>
          <w:szCs w:val="24"/>
        </w:rPr>
        <w:t>, cuando esta</w:t>
      </w:r>
      <w:r w:rsidR="00653CFF" w:rsidRPr="00D60EA5">
        <w:rPr>
          <w:rFonts w:ascii="Arial" w:hAnsi="Arial" w:cs="Arial"/>
          <w:sz w:val="24"/>
          <w:szCs w:val="24"/>
        </w:rPr>
        <w:t>s</w:t>
      </w:r>
      <w:r w:rsidRPr="00D60EA5">
        <w:rPr>
          <w:rFonts w:ascii="Arial" w:hAnsi="Arial" w:cs="Arial"/>
          <w:sz w:val="24"/>
          <w:szCs w:val="24"/>
        </w:rPr>
        <w:t xml:space="preserve"> última</w:t>
      </w:r>
      <w:r w:rsidR="00653CFF" w:rsidRPr="00D60EA5">
        <w:rPr>
          <w:rFonts w:ascii="Arial" w:hAnsi="Arial" w:cs="Arial"/>
          <w:sz w:val="24"/>
          <w:szCs w:val="24"/>
        </w:rPr>
        <w:t>s</w:t>
      </w:r>
      <w:r w:rsidRPr="00D60EA5">
        <w:rPr>
          <w:rFonts w:ascii="Arial" w:hAnsi="Arial" w:cs="Arial"/>
          <w:sz w:val="24"/>
          <w:szCs w:val="24"/>
        </w:rPr>
        <w:t xml:space="preserve"> </w:t>
      </w:r>
      <w:r w:rsidR="00653CFF" w:rsidRPr="00D60EA5">
        <w:rPr>
          <w:rFonts w:ascii="Arial" w:hAnsi="Arial" w:cs="Arial"/>
          <w:sz w:val="24"/>
          <w:szCs w:val="24"/>
        </w:rPr>
        <w:t>son superiores</w:t>
      </w:r>
      <w:r w:rsidRPr="00D60EA5">
        <w:rPr>
          <w:rFonts w:ascii="Arial" w:hAnsi="Arial" w:cs="Arial"/>
          <w:sz w:val="24"/>
          <w:szCs w:val="24"/>
        </w:rPr>
        <w:t>.</w:t>
      </w:r>
    </w:p>
    <w:p w14:paraId="463F29E8" w14:textId="77777777" w:rsidR="005D7FF4" w:rsidRPr="00D60EA5" w:rsidRDefault="005D7FF4" w:rsidP="008F446C">
      <w:pPr>
        <w:pStyle w:val="Sinespaciado"/>
        <w:spacing w:line="360" w:lineRule="auto"/>
        <w:jc w:val="both"/>
        <w:rPr>
          <w:rFonts w:ascii="Arial" w:hAnsi="Arial" w:cs="Arial"/>
          <w:sz w:val="24"/>
          <w:szCs w:val="24"/>
        </w:rPr>
      </w:pPr>
    </w:p>
    <w:p w14:paraId="783AA6AF" w14:textId="77777777" w:rsidR="005D7FF4" w:rsidRPr="00D60EA5" w:rsidRDefault="005D7FF4" w:rsidP="008F446C">
      <w:pPr>
        <w:pStyle w:val="Sinespaciado"/>
        <w:spacing w:line="360" w:lineRule="auto"/>
        <w:jc w:val="both"/>
        <w:rPr>
          <w:rFonts w:ascii="Arial" w:hAnsi="Arial" w:cs="Arial"/>
          <w:sz w:val="24"/>
          <w:szCs w:val="24"/>
        </w:rPr>
      </w:pPr>
      <w:r w:rsidRPr="00D60EA5">
        <w:rPr>
          <w:rFonts w:ascii="Arial" w:hAnsi="Arial" w:cs="Arial"/>
          <w:sz w:val="24"/>
          <w:szCs w:val="24"/>
        </w:rPr>
        <w:t>Las UPC-S resultaban insuficientes para atender los costos de la atención de sa</w:t>
      </w:r>
      <w:r w:rsidR="004973A0" w:rsidRPr="00D60EA5">
        <w:rPr>
          <w:rFonts w:ascii="Arial" w:hAnsi="Arial" w:cs="Arial"/>
          <w:sz w:val="24"/>
          <w:szCs w:val="24"/>
        </w:rPr>
        <w:t>lud y los gastos operativos por</w:t>
      </w:r>
      <w:r w:rsidRPr="00D60EA5">
        <w:rPr>
          <w:rFonts w:ascii="Arial" w:hAnsi="Arial" w:cs="Arial"/>
          <w:sz w:val="24"/>
          <w:szCs w:val="24"/>
        </w:rPr>
        <w:t xml:space="preserve"> la prestación del servicio</w:t>
      </w:r>
      <w:r w:rsidR="004973A0" w:rsidRPr="00D60EA5">
        <w:rPr>
          <w:rFonts w:ascii="Arial" w:hAnsi="Arial" w:cs="Arial"/>
          <w:sz w:val="24"/>
          <w:szCs w:val="24"/>
        </w:rPr>
        <w:t>, por lo que el Gobierno Nacional incrementó el</w:t>
      </w:r>
      <w:r w:rsidR="00791172" w:rsidRPr="00D60EA5">
        <w:rPr>
          <w:rFonts w:ascii="Arial" w:hAnsi="Arial" w:cs="Arial"/>
          <w:sz w:val="24"/>
          <w:szCs w:val="24"/>
        </w:rPr>
        <w:t xml:space="preserve"> valor de ese rubro para el perí</w:t>
      </w:r>
      <w:r w:rsidR="003F0ED0" w:rsidRPr="00D60EA5">
        <w:rPr>
          <w:rFonts w:ascii="Arial" w:hAnsi="Arial" w:cs="Arial"/>
          <w:sz w:val="24"/>
          <w:szCs w:val="24"/>
        </w:rPr>
        <w:t>odo 2013</w:t>
      </w:r>
      <w:r w:rsidR="004973A0" w:rsidRPr="00D60EA5">
        <w:rPr>
          <w:rFonts w:ascii="Arial" w:hAnsi="Arial" w:cs="Arial"/>
          <w:sz w:val="24"/>
          <w:szCs w:val="24"/>
        </w:rPr>
        <w:t xml:space="preserve">-2014; sin embargo, dicho ajuste </w:t>
      </w:r>
      <w:r w:rsidR="002862F8" w:rsidRPr="00D60EA5">
        <w:rPr>
          <w:rFonts w:ascii="Arial" w:hAnsi="Arial" w:cs="Arial"/>
          <w:sz w:val="24"/>
          <w:szCs w:val="24"/>
        </w:rPr>
        <w:t>se produjo de manera tardía y generó que durante los contratos celebrados por la parte a</w:t>
      </w:r>
      <w:r w:rsidR="00BB4CF6" w:rsidRPr="00D60EA5">
        <w:rPr>
          <w:rFonts w:ascii="Arial" w:hAnsi="Arial" w:cs="Arial"/>
          <w:sz w:val="24"/>
          <w:szCs w:val="24"/>
        </w:rPr>
        <w:t>ctora entre los años 2008 y 2011</w:t>
      </w:r>
      <w:r w:rsidR="002862F8" w:rsidRPr="00D60EA5">
        <w:rPr>
          <w:rFonts w:ascii="Arial" w:hAnsi="Arial" w:cs="Arial"/>
          <w:sz w:val="24"/>
          <w:szCs w:val="24"/>
        </w:rPr>
        <w:t xml:space="preserve"> </w:t>
      </w:r>
      <w:r w:rsidR="00653CFF" w:rsidRPr="00D60EA5">
        <w:rPr>
          <w:rFonts w:ascii="Arial" w:hAnsi="Arial" w:cs="Arial"/>
          <w:sz w:val="24"/>
          <w:szCs w:val="24"/>
        </w:rPr>
        <w:t xml:space="preserve">para atender el servicio de salud en el régimen subsidiado, </w:t>
      </w:r>
      <w:r w:rsidR="00C46E35" w:rsidRPr="00D60EA5">
        <w:rPr>
          <w:rFonts w:ascii="Arial" w:hAnsi="Arial" w:cs="Arial"/>
          <w:sz w:val="24"/>
          <w:szCs w:val="24"/>
        </w:rPr>
        <w:t>se sufrie</w:t>
      </w:r>
      <w:r w:rsidR="002862F8" w:rsidRPr="00D60EA5">
        <w:rPr>
          <w:rFonts w:ascii="Arial" w:hAnsi="Arial" w:cs="Arial"/>
          <w:sz w:val="24"/>
          <w:szCs w:val="24"/>
        </w:rPr>
        <w:t>ran</w:t>
      </w:r>
      <w:r w:rsidR="00653CFF" w:rsidRPr="00D60EA5">
        <w:rPr>
          <w:rFonts w:ascii="Arial" w:hAnsi="Arial" w:cs="Arial"/>
          <w:sz w:val="24"/>
          <w:szCs w:val="24"/>
        </w:rPr>
        <w:t xml:space="preserve"> cuantiosas</w:t>
      </w:r>
      <w:r w:rsidR="002862F8" w:rsidRPr="00D60EA5">
        <w:rPr>
          <w:rFonts w:ascii="Arial" w:hAnsi="Arial" w:cs="Arial"/>
          <w:sz w:val="24"/>
          <w:szCs w:val="24"/>
        </w:rPr>
        <w:t xml:space="preserve"> pérdidas.</w:t>
      </w:r>
    </w:p>
    <w:p w14:paraId="3B7B4B86" w14:textId="77777777" w:rsidR="00653CFF" w:rsidRPr="00D60EA5" w:rsidRDefault="00653CFF" w:rsidP="008F446C">
      <w:pPr>
        <w:pStyle w:val="Sinespaciado"/>
        <w:spacing w:line="360" w:lineRule="auto"/>
        <w:jc w:val="both"/>
        <w:rPr>
          <w:rFonts w:ascii="Arial" w:hAnsi="Arial" w:cs="Arial"/>
          <w:sz w:val="24"/>
          <w:szCs w:val="24"/>
        </w:rPr>
      </w:pPr>
    </w:p>
    <w:p w14:paraId="2B281BE1" w14:textId="77777777" w:rsidR="00653CFF" w:rsidRPr="00D60EA5" w:rsidRDefault="00653CFF" w:rsidP="008F446C">
      <w:pPr>
        <w:pStyle w:val="Sinespaciado"/>
        <w:spacing w:line="360" w:lineRule="auto"/>
        <w:jc w:val="both"/>
        <w:rPr>
          <w:rFonts w:ascii="Arial" w:hAnsi="Arial" w:cs="Arial"/>
          <w:sz w:val="24"/>
          <w:szCs w:val="24"/>
        </w:rPr>
      </w:pPr>
      <w:r w:rsidRPr="00D60EA5">
        <w:rPr>
          <w:rFonts w:ascii="Arial" w:hAnsi="Arial" w:cs="Arial"/>
          <w:sz w:val="24"/>
          <w:szCs w:val="24"/>
        </w:rPr>
        <w:t xml:space="preserve">El desequilibrio de la ecuación financiera se debió a varias razones: </w:t>
      </w:r>
      <w:r w:rsidRPr="00D60EA5">
        <w:rPr>
          <w:rFonts w:ascii="Arial" w:hAnsi="Arial" w:cs="Arial"/>
          <w:i/>
          <w:sz w:val="24"/>
          <w:szCs w:val="24"/>
        </w:rPr>
        <w:t xml:space="preserve">“i) costo de atenciones y medicamentos (oferta y demanda); </w:t>
      </w:r>
      <w:proofErr w:type="spellStart"/>
      <w:r w:rsidRPr="00D60EA5">
        <w:rPr>
          <w:rFonts w:ascii="Arial" w:hAnsi="Arial" w:cs="Arial"/>
          <w:i/>
          <w:sz w:val="24"/>
          <w:szCs w:val="24"/>
        </w:rPr>
        <w:t>ii</w:t>
      </w:r>
      <w:proofErr w:type="spellEnd"/>
      <w:r w:rsidRPr="00D60EA5">
        <w:rPr>
          <w:rFonts w:ascii="Arial" w:hAnsi="Arial" w:cs="Arial"/>
          <w:i/>
          <w:sz w:val="24"/>
          <w:szCs w:val="24"/>
        </w:rPr>
        <w:t xml:space="preserve">) población muy enferma; </w:t>
      </w:r>
      <w:proofErr w:type="spellStart"/>
      <w:r w:rsidRPr="00D60EA5">
        <w:rPr>
          <w:rFonts w:ascii="Arial" w:hAnsi="Arial" w:cs="Arial"/>
          <w:i/>
          <w:sz w:val="24"/>
          <w:szCs w:val="24"/>
        </w:rPr>
        <w:t>iii</w:t>
      </w:r>
      <w:proofErr w:type="spellEnd"/>
      <w:r w:rsidRPr="00D60EA5">
        <w:rPr>
          <w:rFonts w:ascii="Arial" w:hAnsi="Arial" w:cs="Arial"/>
          <w:i/>
          <w:sz w:val="24"/>
          <w:szCs w:val="24"/>
        </w:rPr>
        <w:t xml:space="preserve">) universalidad de la atención NO POS-S originada principalmente a raíz de la sentencia T-760 de 2008 de la H. Corte Constitucional que desquició el plan de cobertura y </w:t>
      </w:r>
      <w:proofErr w:type="spellStart"/>
      <w:r w:rsidRPr="00D60EA5">
        <w:rPr>
          <w:rFonts w:ascii="Arial" w:hAnsi="Arial" w:cs="Arial"/>
          <w:i/>
          <w:sz w:val="24"/>
          <w:szCs w:val="24"/>
        </w:rPr>
        <w:t>iv</w:t>
      </w:r>
      <w:proofErr w:type="spellEnd"/>
      <w:r w:rsidRPr="00D60EA5">
        <w:rPr>
          <w:rFonts w:ascii="Arial" w:hAnsi="Arial" w:cs="Arial"/>
          <w:i/>
          <w:sz w:val="24"/>
          <w:szCs w:val="24"/>
        </w:rPr>
        <w:t>) gastos de operación (8%) que al igual que las UPC en el periodo 2008-2012 fueron insuficientes”.</w:t>
      </w:r>
    </w:p>
    <w:p w14:paraId="3A0FF5F2" w14:textId="77777777" w:rsidR="00653CFF" w:rsidRPr="00D60EA5" w:rsidRDefault="00653CFF" w:rsidP="008F446C">
      <w:pPr>
        <w:pStyle w:val="Sinespaciado"/>
        <w:spacing w:line="360" w:lineRule="auto"/>
        <w:jc w:val="both"/>
        <w:rPr>
          <w:rFonts w:ascii="Arial" w:hAnsi="Arial" w:cs="Arial"/>
          <w:sz w:val="24"/>
          <w:szCs w:val="24"/>
        </w:rPr>
      </w:pPr>
    </w:p>
    <w:p w14:paraId="01094C4C" w14:textId="77777777" w:rsidR="00BB4CF6" w:rsidRPr="00D60EA5" w:rsidRDefault="00BB4CF6" w:rsidP="008F446C">
      <w:pPr>
        <w:pStyle w:val="Sinespaciado"/>
        <w:spacing w:line="360" w:lineRule="auto"/>
        <w:jc w:val="both"/>
        <w:rPr>
          <w:rFonts w:ascii="Arial" w:hAnsi="Arial" w:cs="Arial"/>
          <w:sz w:val="24"/>
          <w:szCs w:val="24"/>
        </w:rPr>
      </w:pPr>
      <w:r w:rsidRPr="00D60EA5">
        <w:rPr>
          <w:rFonts w:ascii="Arial" w:hAnsi="Arial" w:cs="Arial"/>
          <w:sz w:val="24"/>
          <w:szCs w:val="24"/>
        </w:rPr>
        <w:t>La empresa demandante</w:t>
      </w:r>
      <w:r w:rsidR="007D5EBB" w:rsidRPr="00D60EA5">
        <w:rPr>
          <w:rFonts w:ascii="Arial" w:hAnsi="Arial" w:cs="Arial"/>
          <w:sz w:val="24"/>
          <w:szCs w:val="24"/>
        </w:rPr>
        <w:t xml:space="preserve"> sólo</w:t>
      </w:r>
      <w:r w:rsidRPr="00D60EA5">
        <w:rPr>
          <w:rFonts w:ascii="Arial" w:hAnsi="Arial" w:cs="Arial"/>
          <w:sz w:val="24"/>
          <w:szCs w:val="24"/>
        </w:rPr>
        <w:t xml:space="preserve"> suscribió contratos escritos con los entes territoriales en los años 2008, 2009 y 2010 pues, “</w:t>
      </w:r>
      <w:r w:rsidRPr="00D60EA5">
        <w:rPr>
          <w:rFonts w:ascii="Arial" w:hAnsi="Arial" w:cs="Arial"/>
          <w:i/>
          <w:sz w:val="24"/>
          <w:szCs w:val="24"/>
        </w:rPr>
        <w:t xml:space="preserve">más adelante </w:t>
      </w:r>
      <w:proofErr w:type="gramStart"/>
      <w:r w:rsidRPr="00D60EA5">
        <w:rPr>
          <w:rFonts w:ascii="Arial" w:hAnsi="Arial" w:cs="Arial"/>
          <w:i/>
          <w:sz w:val="24"/>
          <w:szCs w:val="24"/>
        </w:rPr>
        <w:t>de acuerdo a</w:t>
      </w:r>
      <w:proofErr w:type="gramEnd"/>
      <w:r w:rsidRPr="00D60EA5">
        <w:rPr>
          <w:rFonts w:ascii="Arial" w:hAnsi="Arial" w:cs="Arial"/>
          <w:i/>
          <w:sz w:val="24"/>
          <w:szCs w:val="24"/>
        </w:rPr>
        <w:t xml:space="preserve"> la evolución normativa, sencillamente el Estado asumía que si la ARS (EPSS) no se había retirado con un aviso remitido con una antelación no menor a 120 días, esa EPS continuaba obligada a atender la población objeto de aseguramiento”</w:t>
      </w:r>
      <w:r w:rsidR="00972F95" w:rsidRPr="00D60EA5">
        <w:rPr>
          <w:rFonts w:ascii="Arial" w:hAnsi="Arial" w:cs="Arial"/>
          <w:i/>
          <w:sz w:val="24"/>
          <w:szCs w:val="24"/>
        </w:rPr>
        <w:t xml:space="preserve">. </w:t>
      </w:r>
    </w:p>
    <w:p w14:paraId="5630AD66" w14:textId="77777777" w:rsidR="00972F95" w:rsidRPr="00D60EA5" w:rsidRDefault="00972F95" w:rsidP="008F446C">
      <w:pPr>
        <w:pStyle w:val="Sinespaciado"/>
        <w:spacing w:line="360" w:lineRule="auto"/>
        <w:jc w:val="both"/>
        <w:rPr>
          <w:rFonts w:ascii="Arial" w:hAnsi="Arial" w:cs="Arial"/>
          <w:sz w:val="24"/>
          <w:szCs w:val="24"/>
        </w:rPr>
      </w:pPr>
    </w:p>
    <w:p w14:paraId="09E49ECF" w14:textId="77777777" w:rsidR="00972F95" w:rsidRPr="00D60EA5" w:rsidRDefault="00972F95" w:rsidP="008F446C">
      <w:pPr>
        <w:pStyle w:val="Sinespaciado"/>
        <w:spacing w:line="360" w:lineRule="auto"/>
        <w:jc w:val="both"/>
        <w:rPr>
          <w:rFonts w:ascii="Arial" w:hAnsi="Arial" w:cs="Arial"/>
          <w:sz w:val="24"/>
          <w:szCs w:val="24"/>
        </w:rPr>
      </w:pPr>
      <w:r w:rsidRPr="00D60EA5">
        <w:rPr>
          <w:rFonts w:ascii="Arial" w:hAnsi="Arial" w:cs="Arial"/>
          <w:sz w:val="24"/>
          <w:szCs w:val="24"/>
        </w:rPr>
        <w:t xml:space="preserve">En total, la Caja de Compensación Familiar Comfenalco Antioquia prestó el servicio de salud en el régimen subsidiado dentro del Departamento de Antioquia, en el siguiente territorio: i) en el año 2008, en 53 municipios; </w:t>
      </w:r>
      <w:proofErr w:type="spellStart"/>
      <w:r w:rsidRPr="00D60EA5">
        <w:rPr>
          <w:rFonts w:ascii="Arial" w:hAnsi="Arial" w:cs="Arial"/>
          <w:sz w:val="24"/>
          <w:szCs w:val="24"/>
        </w:rPr>
        <w:t>ii</w:t>
      </w:r>
      <w:proofErr w:type="spellEnd"/>
      <w:r w:rsidRPr="00D60EA5">
        <w:rPr>
          <w:rFonts w:ascii="Arial" w:hAnsi="Arial" w:cs="Arial"/>
          <w:sz w:val="24"/>
          <w:szCs w:val="24"/>
        </w:rPr>
        <w:t xml:space="preserve">) en los años 2009 y 2010, en 52 municipios y </w:t>
      </w:r>
      <w:proofErr w:type="spellStart"/>
      <w:r w:rsidRPr="00D60EA5">
        <w:rPr>
          <w:rFonts w:ascii="Arial" w:hAnsi="Arial" w:cs="Arial"/>
          <w:sz w:val="24"/>
          <w:szCs w:val="24"/>
        </w:rPr>
        <w:t>iii</w:t>
      </w:r>
      <w:proofErr w:type="spellEnd"/>
      <w:r w:rsidRPr="00D60EA5">
        <w:rPr>
          <w:rFonts w:ascii="Arial" w:hAnsi="Arial" w:cs="Arial"/>
          <w:sz w:val="24"/>
          <w:szCs w:val="24"/>
        </w:rPr>
        <w:t>) en el año 2011, en 62 municipios.</w:t>
      </w:r>
      <w:r w:rsidR="00C47F71" w:rsidRPr="00D60EA5">
        <w:rPr>
          <w:rFonts w:ascii="Arial" w:hAnsi="Arial" w:cs="Arial"/>
          <w:sz w:val="24"/>
          <w:szCs w:val="24"/>
        </w:rPr>
        <w:t xml:space="preserve"> En la ciudad de Medellín únicamente operó en la vigencia 2008-2009 y en los Municipios de </w:t>
      </w:r>
      <w:proofErr w:type="spellStart"/>
      <w:r w:rsidR="00C47F71" w:rsidRPr="00D60EA5">
        <w:rPr>
          <w:rFonts w:ascii="Arial" w:hAnsi="Arial" w:cs="Arial"/>
          <w:sz w:val="24"/>
          <w:szCs w:val="24"/>
        </w:rPr>
        <w:t>Amagá</w:t>
      </w:r>
      <w:proofErr w:type="spellEnd"/>
      <w:r w:rsidR="00C47F71" w:rsidRPr="00D60EA5">
        <w:rPr>
          <w:rFonts w:ascii="Arial" w:hAnsi="Arial" w:cs="Arial"/>
          <w:sz w:val="24"/>
          <w:szCs w:val="24"/>
        </w:rPr>
        <w:t>, Betania, Caldas, Carepa</w:t>
      </w:r>
      <w:r w:rsidR="00C46E35" w:rsidRPr="00D60EA5">
        <w:rPr>
          <w:rFonts w:ascii="Arial" w:hAnsi="Arial" w:cs="Arial"/>
          <w:sz w:val="24"/>
          <w:szCs w:val="24"/>
        </w:rPr>
        <w:t>,</w:t>
      </w:r>
      <w:r w:rsidR="00C47F71" w:rsidRPr="00D60EA5">
        <w:rPr>
          <w:rFonts w:ascii="Arial" w:hAnsi="Arial" w:cs="Arial"/>
          <w:sz w:val="24"/>
          <w:szCs w:val="24"/>
        </w:rPr>
        <w:t xml:space="preserve"> Chigorodó y Yarumal solo prestó servicios en la vigencia 2011-2012.</w:t>
      </w:r>
    </w:p>
    <w:p w14:paraId="61829076" w14:textId="77777777" w:rsidR="00BB4CF6" w:rsidRPr="00D60EA5" w:rsidRDefault="00BB4CF6" w:rsidP="008F446C">
      <w:pPr>
        <w:pStyle w:val="Sinespaciado"/>
        <w:spacing w:line="360" w:lineRule="auto"/>
        <w:jc w:val="both"/>
        <w:rPr>
          <w:rFonts w:ascii="Arial" w:hAnsi="Arial" w:cs="Arial"/>
          <w:sz w:val="24"/>
          <w:szCs w:val="24"/>
        </w:rPr>
      </w:pPr>
    </w:p>
    <w:p w14:paraId="5C80BAA3" w14:textId="77777777" w:rsidR="00653CFF" w:rsidRPr="00D60EA5" w:rsidRDefault="00653CFF" w:rsidP="008F446C">
      <w:pPr>
        <w:pStyle w:val="Sinespaciado"/>
        <w:spacing w:line="360" w:lineRule="auto"/>
        <w:jc w:val="both"/>
        <w:rPr>
          <w:rFonts w:ascii="Arial" w:hAnsi="Arial" w:cs="Arial"/>
          <w:sz w:val="24"/>
          <w:szCs w:val="24"/>
        </w:rPr>
      </w:pPr>
      <w:r w:rsidRPr="00D60EA5">
        <w:rPr>
          <w:rFonts w:ascii="Arial" w:hAnsi="Arial" w:cs="Arial"/>
          <w:sz w:val="24"/>
          <w:szCs w:val="24"/>
        </w:rPr>
        <w:t>El detrimento económico padecido por la demandante constituye un daño antijurídico que debe ser objeto de reparación.</w:t>
      </w:r>
    </w:p>
    <w:p w14:paraId="2BA226A1" w14:textId="77777777" w:rsidR="00791172" w:rsidRPr="00D60EA5" w:rsidRDefault="00791172" w:rsidP="008F446C">
      <w:pPr>
        <w:pStyle w:val="Sinespaciado"/>
        <w:spacing w:line="360" w:lineRule="auto"/>
        <w:jc w:val="both"/>
        <w:rPr>
          <w:rFonts w:ascii="Arial" w:hAnsi="Arial" w:cs="Arial"/>
          <w:sz w:val="24"/>
          <w:szCs w:val="24"/>
        </w:rPr>
      </w:pPr>
    </w:p>
    <w:p w14:paraId="71F1A9CE" w14:textId="77777777" w:rsidR="005B6791" w:rsidRPr="00D60EA5" w:rsidRDefault="005B6791" w:rsidP="008F446C">
      <w:pPr>
        <w:overflowPunct w:val="0"/>
        <w:autoSpaceDE w:val="0"/>
        <w:autoSpaceDN w:val="0"/>
        <w:adjustRightInd w:val="0"/>
        <w:spacing w:line="360" w:lineRule="auto"/>
        <w:jc w:val="both"/>
        <w:textAlignment w:val="baseline"/>
        <w:rPr>
          <w:rFonts w:ascii="Arial" w:hAnsi="Arial" w:cs="Arial"/>
          <w:b/>
          <w:spacing w:val="4"/>
        </w:rPr>
      </w:pPr>
      <w:r w:rsidRPr="00D60EA5">
        <w:rPr>
          <w:rFonts w:ascii="Arial" w:hAnsi="Arial" w:cs="Arial"/>
          <w:b/>
          <w:spacing w:val="4"/>
        </w:rPr>
        <w:t>2. Trámite procesal</w:t>
      </w:r>
    </w:p>
    <w:p w14:paraId="17AD93B2" w14:textId="77777777" w:rsidR="005B6791" w:rsidRPr="00D60EA5" w:rsidRDefault="005B6791" w:rsidP="008F446C">
      <w:pPr>
        <w:overflowPunct w:val="0"/>
        <w:autoSpaceDE w:val="0"/>
        <w:autoSpaceDN w:val="0"/>
        <w:adjustRightInd w:val="0"/>
        <w:spacing w:line="360" w:lineRule="auto"/>
        <w:jc w:val="both"/>
        <w:textAlignment w:val="baseline"/>
        <w:rPr>
          <w:rFonts w:ascii="Arial" w:hAnsi="Arial" w:cs="Arial"/>
          <w:spacing w:val="4"/>
        </w:rPr>
      </w:pPr>
    </w:p>
    <w:p w14:paraId="106ED55A" w14:textId="77777777" w:rsidR="005B6791" w:rsidRPr="00D60EA5" w:rsidRDefault="00F35BB5" w:rsidP="008F446C">
      <w:pPr>
        <w:overflowPunct w:val="0"/>
        <w:autoSpaceDE w:val="0"/>
        <w:autoSpaceDN w:val="0"/>
        <w:adjustRightInd w:val="0"/>
        <w:spacing w:line="360" w:lineRule="auto"/>
        <w:jc w:val="both"/>
        <w:textAlignment w:val="baseline"/>
        <w:rPr>
          <w:rFonts w:ascii="Arial" w:hAnsi="Arial" w:cs="Arial"/>
          <w:spacing w:val="4"/>
        </w:rPr>
      </w:pPr>
      <w:r w:rsidRPr="00D60EA5">
        <w:rPr>
          <w:rFonts w:ascii="Arial" w:hAnsi="Arial" w:cs="Arial"/>
          <w:spacing w:val="4"/>
        </w:rPr>
        <w:t>Por medio</w:t>
      </w:r>
      <w:r w:rsidR="00CE7D74" w:rsidRPr="00D60EA5">
        <w:rPr>
          <w:rFonts w:ascii="Arial" w:hAnsi="Arial" w:cs="Arial"/>
          <w:spacing w:val="4"/>
        </w:rPr>
        <w:t xml:space="preserve"> de auto proferido el 23 de enero de 2015</w:t>
      </w:r>
      <w:r w:rsidR="005B6791" w:rsidRPr="00D60EA5">
        <w:rPr>
          <w:rFonts w:ascii="Arial" w:hAnsi="Arial" w:cs="Arial"/>
          <w:spacing w:val="4"/>
        </w:rPr>
        <w:t xml:space="preserve">, el Tribunal Administrativo de </w:t>
      </w:r>
      <w:r w:rsidR="00937235" w:rsidRPr="00D60EA5">
        <w:rPr>
          <w:rFonts w:ascii="Arial" w:hAnsi="Arial" w:cs="Arial"/>
          <w:spacing w:val="4"/>
        </w:rPr>
        <w:t>Antioquia</w:t>
      </w:r>
      <w:r w:rsidR="005B6791" w:rsidRPr="00D60EA5">
        <w:rPr>
          <w:rFonts w:ascii="Arial" w:hAnsi="Arial" w:cs="Arial"/>
          <w:spacing w:val="4"/>
        </w:rPr>
        <w:t xml:space="preserve"> admitió la demanda (</w:t>
      </w:r>
      <w:proofErr w:type="spellStart"/>
      <w:r w:rsidR="005B6791" w:rsidRPr="00D60EA5">
        <w:rPr>
          <w:rFonts w:ascii="Arial" w:hAnsi="Arial" w:cs="Arial"/>
          <w:spacing w:val="4"/>
        </w:rPr>
        <w:t>f</w:t>
      </w:r>
      <w:r w:rsidR="00787832" w:rsidRPr="00D60EA5">
        <w:rPr>
          <w:rFonts w:ascii="Arial" w:hAnsi="Arial" w:cs="Arial"/>
          <w:spacing w:val="4"/>
        </w:rPr>
        <w:t>ls</w:t>
      </w:r>
      <w:proofErr w:type="spellEnd"/>
      <w:r w:rsidR="00787832" w:rsidRPr="00D60EA5">
        <w:rPr>
          <w:rFonts w:ascii="Arial" w:hAnsi="Arial" w:cs="Arial"/>
          <w:spacing w:val="4"/>
        </w:rPr>
        <w:t>. 472</w:t>
      </w:r>
      <w:r w:rsidR="005B6791" w:rsidRPr="00D60EA5">
        <w:rPr>
          <w:rFonts w:ascii="Arial" w:hAnsi="Arial" w:cs="Arial"/>
          <w:spacing w:val="4"/>
        </w:rPr>
        <w:t xml:space="preserve"> c.</w:t>
      </w:r>
      <w:r w:rsidR="00787832" w:rsidRPr="00D60EA5">
        <w:rPr>
          <w:rFonts w:ascii="Arial" w:hAnsi="Arial" w:cs="Arial"/>
          <w:spacing w:val="4"/>
        </w:rPr>
        <w:t xml:space="preserve"> </w:t>
      </w:r>
      <w:proofErr w:type="spellStart"/>
      <w:r w:rsidR="00787832" w:rsidRPr="00D60EA5">
        <w:rPr>
          <w:rFonts w:ascii="Arial" w:hAnsi="Arial" w:cs="Arial"/>
          <w:spacing w:val="4"/>
        </w:rPr>
        <w:t>n.°</w:t>
      </w:r>
      <w:proofErr w:type="spellEnd"/>
      <w:r w:rsidR="00787832" w:rsidRPr="00D60EA5">
        <w:rPr>
          <w:rFonts w:ascii="Arial" w:hAnsi="Arial" w:cs="Arial"/>
          <w:spacing w:val="4"/>
        </w:rPr>
        <w:t xml:space="preserve"> 1</w:t>
      </w:r>
      <w:r w:rsidR="005B6791" w:rsidRPr="00D60EA5">
        <w:rPr>
          <w:rFonts w:ascii="Arial" w:hAnsi="Arial" w:cs="Arial"/>
          <w:spacing w:val="4"/>
        </w:rPr>
        <w:t>).</w:t>
      </w:r>
    </w:p>
    <w:p w14:paraId="0DE4B5B7" w14:textId="77777777" w:rsidR="005B6791" w:rsidRPr="00D60EA5" w:rsidRDefault="005B6791" w:rsidP="003A29EE">
      <w:pPr>
        <w:overflowPunct w:val="0"/>
        <w:autoSpaceDE w:val="0"/>
        <w:autoSpaceDN w:val="0"/>
        <w:adjustRightInd w:val="0"/>
        <w:spacing w:line="276" w:lineRule="auto"/>
        <w:jc w:val="both"/>
        <w:textAlignment w:val="baseline"/>
        <w:rPr>
          <w:rFonts w:ascii="Arial" w:hAnsi="Arial" w:cs="Arial"/>
          <w:spacing w:val="4"/>
        </w:rPr>
      </w:pPr>
    </w:p>
    <w:p w14:paraId="2B56FC90" w14:textId="77777777" w:rsidR="005B6791" w:rsidRPr="00D60EA5" w:rsidRDefault="00066A4B" w:rsidP="008F446C">
      <w:pPr>
        <w:overflowPunct w:val="0"/>
        <w:autoSpaceDE w:val="0"/>
        <w:autoSpaceDN w:val="0"/>
        <w:adjustRightInd w:val="0"/>
        <w:spacing w:line="360" w:lineRule="auto"/>
        <w:jc w:val="both"/>
        <w:textAlignment w:val="baseline"/>
        <w:rPr>
          <w:rFonts w:ascii="Arial" w:hAnsi="Arial" w:cs="Arial"/>
          <w:spacing w:val="4"/>
        </w:rPr>
      </w:pPr>
      <w:r w:rsidRPr="00D60EA5">
        <w:rPr>
          <w:rFonts w:ascii="Arial" w:hAnsi="Arial" w:cs="Arial"/>
          <w:spacing w:val="4"/>
        </w:rPr>
        <w:t>La</w:t>
      </w:r>
      <w:r w:rsidR="00787832" w:rsidRPr="00D60EA5">
        <w:rPr>
          <w:rFonts w:ascii="Arial" w:hAnsi="Arial" w:cs="Arial"/>
          <w:spacing w:val="4"/>
        </w:rPr>
        <w:t>s</w:t>
      </w:r>
      <w:r w:rsidRPr="00D60EA5">
        <w:rPr>
          <w:rFonts w:ascii="Arial" w:hAnsi="Arial" w:cs="Arial"/>
          <w:spacing w:val="4"/>
        </w:rPr>
        <w:t xml:space="preserve"> entidad</w:t>
      </w:r>
      <w:r w:rsidR="00787832" w:rsidRPr="00D60EA5">
        <w:rPr>
          <w:rFonts w:ascii="Arial" w:hAnsi="Arial" w:cs="Arial"/>
          <w:spacing w:val="4"/>
        </w:rPr>
        <w:t>es</w:t>
      </w:r>
      <w:r w:rsidRPr="00D60EA5">
        <w:rPr>
          <w:rFonts w:ascii="Arial" w:hAnsi="Arial" w:cs="Arial"/>
          <w:spacing w:val="4"/>
        </w:rPr>
        <w:t xml:space="preserve"> demandada</w:t>
      </w:r>
      <w:r w:rsidR="00787832" w:rsidRPr="00D60EA5">
        <w:rPr>
          <w:rFonts w:ascii="Arial" w:hAnsi="Arial" w:cs="Arial"/>
          <w:spacing w:val="4"/>
        </w:rPr>
        <w:t>s</w:t>
      </w:r>
      <w:r w:rsidRPr="00D60EA5">
        <w:rPr>
          <w:rFonts w:ascii="Arial" w:hAnsi="Arial" w:cs="Arial"/>
          <w:spacing w:val="4"/>
        </w:rPr>
        <w:t xml:space="preserve"> </w:t>
      </w:r>
      <w:r w:rsidR="008D629E" w:rsidRPr="00D60EA5">
        <w:rPr>
          <w:rFonts w:ascii="Arial" w:hAnsi="Arial" w:cs="Arial"/>
          <w:spacing w:val="4"/>
        </w:rPr>
        <w:t>presentaron oportunamente escritos de contestación</w:t>
      </w:r>
      <w:r w:rsidRPr="00D60EA5">
        <w:rPr>
          <w:rFonts w:ascii="Arial" w:hAnsi="Arial" w:cs="Arial"/>
          <w:spacing w:val="4"/>
        </w:rPr>
        <w:t xml:space="preserve">, </w:t>
      </w:r>
      <w:r w:rsidR="00BF1B58" w:rsidRPr="00D60EA5">
        <w:rPr>
          <w:rFonts w:ascii="Arial" w:hAnsi="Arial" w:cs="Arial"/>
          <w:spacing w:val="4"/>
        </w:rPr>
        <w:t>en los siguientes términos</w:t>
      </w:r>
      <w:r w:rsidR="000B2640" w:rsidRPr="00D60EA5">
        <w:rPr>
          <w:rFonts w:ascii="Arial" w:hAnsi="Arial" w:cs="Arial"/>
          <w:spacing w:val="4"/>
        </w:rPr>
        <w:t>:</w:t>
      </w:r>
    </w:p>
    <w:p w14:paraId="66204FF1" w14:textId="77777777" w:rsidR="003A29EE" w:rsidRPr="00D60EA5" w:rsidRDefault="003A29EE" w:rsidP="008F446C">
      <w:pPr>
        <w:overflowPunct w:val="0"/>
        <w:autoSpaceDE w:val="0"/>
        <w:autoSpaceDN w:val="0"/>
        <w:adjustRightInd w:val="0"/>
        <w:spacing w:line="360" w:lineRule="auto"/>
        <w:jc w:val="both"/>
        <w:textAlignment w:val="baseline"/>
        <w:rPr>
          <w:rFonts w:ascii="Arial" w:hAnsi="Arial" w:cs="Arial"/>
          <w:b/>
          <w:spacing w:val="4"/>
        </w:rPr>
      </w:pPr>
    </w:p>
    <w:p w14:paraId="1E760A64" w14:textId="77777777" w:rsidR="00066A4B" w:rsidRPr="00D60EA5" w:rsidRDefault="00787832" w:rsidP="008F446C">
      <w:pPr>
        <w:overflowPunct w:val="0"/>
        <w:autoSpaceDE w:val="0"/>
        <w:autoSpaceDN w:val="0"/>
        <w:adjustRightInd w:val="0"/>
        <w:spacing w:line="360" w:lineRule="auto"/>
        <w:ind w:firstLine="708"/>
        <w:jc w:val="both"/>
        <w:textAlignment w:val="baseline"/>
        <w:rPr>
          <w:rFonts w:ascii="Arial" w:hAnsi="Arial" w:cs="Arial"/>
          <w:b/>
          <w:spacing w:val="4"/>
        </w:rPr>
      </w:pPr>
      <w:r w:rsidRPr="00D60EA5">
        <w:rPr>
          <w:rFonts w:ascii="Arial" w:hAnsi="Arial" w:cs="Arial"/>
          <w:b/>
          <w:spacing w:val="4"/>
        </w:rPr>
        <w:t>2.1. N</w:t>
      </w:r>
      <w:r w:rsidR="00252FDB" w:rsidRPr="00D60EA5">
        <w:rPr>
          <w:rFonts w:ascii="Arial" w:hAnsi="Arial" w:cs="Arial"/>
          <w:b/>
          <w:spacing w:val="4"/>
        </w:rPr>
        <w:t>ación – Ministerio de Salud y</w:t>
      </w:r>
      <w:r w:rsidRPr="00D60EA5">
        <w:rPr>
          <w:rFonts w:ascii="Arial" w:hAnsi="Arial" w:cs="Arial"/>
          <w:b/>
          <w:spacing w:val="4"/>
        </w:rPr>
        <w:t xml:space="preserve"> Protección Social </w:t>
      </w:r>
    </w:p>
    <w:p w14:paraId="2DBF0D7D" w14:textId="77777777" w:rsidR="003A29EE" w:rsidRPr="00D60EA5" w:rsidRDefault="003A29EE" w:rsidP="003A29EE">
      <w:pPr>
        <w:overflowPunct w:val="0"/>
        <w:autoSpaceDE w:val="0"/>
        <w:autoSpaceDN w:val="0"/>
        <w:adjustRightInd w:val="0"/>
        <w:spacing w:line="276" w:lineRule="auto"/>
        <w:ind w:firstLine="708"/>
        <w:jc w:val="both"/>
        <w:textAlignment w:val="baseline"/>
        <w:rPr>
          <w:rFonts w:ascii="Arial" w:hAnsi="Arial" w:cs="Arial"/>
          <w:b/>
          <w:spacing w:val="4"/>
        </w:rPr>
      </w:pPr>
    </w:p>
    <w:p w14:paraId="57FC364E" w14:textId="77777777" w:rsidR="00B654AB" w:rsidRPr="00D60EA5" w:rsidRDefault="00787832" w:rsidP="008F446C">
      <w:pPr>
        <w:overflowPunct w:val="0"/>
        <w:autoSpaceDE w:val="0"/>
        <w:autoSpaceDN w:val="0"/>
        <w:adjustRightInd w:val="0"/>
        <w:spacing w:line="360" w:lineRule="auto"/>
        <w:jc w:val="both"/>
        <w:textAlignment w:val="baseline"/>
        <w:rPr>
          <w:rFonts w:ascii="Arial" w:hAnsi="Arial" w:cs="Arial"/>
          <w:spacing w:val="4"/>
        </w:rPr>
      </w:pPr>
      <w:r w:rsidRPr="00D60EA5">
        <w:rPr>
          <w:rFonts w:ascii="Arial" w:hAnsi="Arial" w:cs="Arial"/>
          <w:spacing w:val="4"/>
        </w:rPr>
        <w:t>Se opuso a las pretension</w:t>
      </w:r>
      <w:r w:rsidR="00C46E35" w:rsidRPr="00D60EA5">
        <w:rPr>
          <w:rFonts w:ascii="Arial" w:hAnsi="Arial" w:cs="Arial"/>
          <w:spacing w:val="4"/>
        </w:rPr>
        <w:t>es elevadas por la parte actora. Adujo que no se encontraban</w:t>
      </w:r>
      <w:r w:rsidR="00694352" w:rsidRPr="00D60EA5">
        <w:rPr>
          <w:rFonts w:ascii="Arial" w:hAnsi="Arial" w:cs="Arial"/>
          <w:spacing w:val="4"/>
        </w:rPr>
        <w:t xml:space="preserve"> demostrados los elementos </w:t>
      </w:r>
      <w:r w:rsidR="00C46E35" w:rsidRPr="00D60EA5">
        <w:rPr>
          <w:rFonts w:ascii="Arial" w:hAnsi="Arial" w:cs="Arial"/>
          <w:spacing w:val="4"/>
        </w:rPr>
        <w:t>necesarios para que se configurara un daño antijurídico.</w:t>
      </w:r>
    </w:p>
    <w:p w14:paraId="6B62F1B3" w14:textId="77777777" w:rsidR="00694352" w:rsidRPr="00D60EA5" w:rsidRDefault="00694352" w:rsidP="008F446C">
      <w:pPr>
        <w:overflowPunct w:val="0"/>
        <w:autoSpaceDE w:val="0"/>
        <w:autoSpaceDN w:val="0"/>
        <w:adjustRightInd w:val="0"/>
        <w:spacing w:line="360" w:lineRule="auto"/>
        <w:jc w:val="both"/>
        <w:textAlignment w:val="baseline"/>
        <w:rPr>
          <w:rFonts w:ascii="Arial" w:hAnsi="Arial" w:cs="Arial"/>
          <w:spacing w:val="4"/>
        </w:rPr>
      </w:pPr>
    </w:p>
    <w:p w14:paraId="2D824C1C" w14:textId="77777777" w:rsidR="00694352" w:rsidRPr="00D60EA5" w:rsidRDefault="00694352" w:rsidP="008F446C">
      <w:pPr>
        <w:overflowPunct w:val="0"/>
        <w:autoSpaceDE w:val="0"/>
        <w:autoSpaceDN w:val="0"/>
        <w:adjustRightInd w:val="0"/>
        <w:spacing w:line="360" w:lineRule="auto"/>
        <w:jc w:val="both"/>
        <w:textAlignment w:val="baseline"/>
        <w:rPr>
          <w:rFonts w:ascii="Arial" w:hAnsi="Arial" w:cs="Arial"/>
          <w:spacing w:val="4"/>
        </w:rPr>
      </w:pPr>
      <w:r w:rsidRPr="00D60EA5">
        <w:rPr>
          <w:rFonts w:ascii="Arial" w:hAnsi="Arial" w:cs="Arial"/>
          <w:spacing w:val="4"/>
        </w:rPr>
        <w:t>Consideró que no se impusieron cargas ajenas a las que debía soportar la empresa demandante</w:t>
      </w:r>
      <w:r w:rsidR="00612395" w:rsidRPr="00D60EA5">
        <w:rPr>
          <w:rFonts w:ascii="Arial" w:hAnsi="Arial" w:cs="Arial"/>
          <w:spacing w:val="4"/>
        </w:rPr>
        <w:t xml:space="preserve"> ni un tratamiento injustificado o diferencial; además, al tratarse de la prestación de un servicio público existían riesgos asociados, que la contratista debía estar dispuesta a asumir y que, en todo caso, conocía desde el comienzo del desarrollo de las operaciones en el Departamento de Antioquia.</w:t>
      </w:r>
    </w:p>
    <w:p w14:paraId="02F2C34E" w14:textId="77777777" w:rsidR="00F25B98" w:rsidRPr="00D60EA5" w:rsidRDefault="00F25B98" w:rsidP="008F446C">
      <w:pPr>
        <w:overflowPunct w:val="0"/>
        <w:autoSpaceDE w:val="0"/>
        <w:autoSpaceDN w:val="0"/>
        <w:adjustRightInd w:val="0"/>
        <w:spacing w:line="360" w:lineRule="auto"/>
        <w:jc w:val="both"/>
        <w:textAlignment w:val="baseline"/>
        <w:rPr>
          <w:rFonts w:ascii="Arial" w:hAnsi="Arial" w:cs="Arial"/>
          <w:spacing w:val="4"/>
        </w:rPr>
      </w:pPr>
    </w:p>
    <w:p w14:paraId="258AA8EB" w14:textId="77777777" w:rsidR="00F25B98" w:rsidRPr="00D60EA5" w:rsidRDefault="00F25B98" w:rsidP="008F446C">
      <w:pPr>
        <w:overflowPunct w:val="0"/>
        <w:autoSpaceDE w:val="0"/>
        <w:autoSpaceDN w:val="0"/>
        <w:adjustRightInd w:val="0"/>
        <w:spacing w:line="360" w:lineRule="auto"/>
        <w:jc w:val="both"/>
        <w:textAlignment w:val="baseline"/>
        <w:rPr>
          <w:rFonts w:ascii="Arial" w:hAnsi="Arial" w:cs="Arial"/>
          <w:i/>
          <w:spacing w:val="4"/>
        </w:rPr>
      </w:pPr>
      <w:r w:rsidRPr="00D60EA5">
        <w:rPr>
          <w:rFonts w:ascii="Arial" w:hAnsi="Arial" w:cs="Arial"/>
          <w:spacing w:val="4"/>
        </w:rPr>
        <w:lastRenderedPageBreak/>
        <w:t>Agregó</w:t>
      </w:r>
      <w:r w:rsidR="00622C13" w:rsidRPr="00D60EA5">
        <w:rPr>
          <w:rFonts w:ascii="Arial" w:hAnsi="Arial" w:cs="Arial"/>
          <w:spacing w:val="4"/>
        </w:rPr>
        <w:t>,</w:t>
      </w:r>
      <w:r w:rsidRPr="00D60EA5">
        <w:rPr>
          <w:rFonts w:ascii="Arial" w:hAnsi="Arial" w:cs="Arial"/>
          <w:spacing w:val="4"/>
        </w:rPr>
        <w:t xml:space="preserve"> que “</w:t>
      </w:r>
      <w:r w:rsidRPr="00D60EA5">
        <w:rPr>
          <w:rFonts w:ascii="Arial" w:hAnsi="Arial" w:cs="Arial"/>
          <w:i/>
          <w:spacing w:val="4"/>
        </w:rPr>
        <w:t>si bien es cierto el Ministerio de Salud asumió la función de fijar los valores de la UPC de acuerdo con las informaciones que brindan las EPS para de esta manera contar con datos reales que le permitan establecer un valor que refleje las condiciones de la prestación del servicio, no es menos cierto que este tipo de entidades tiene unas funciones de aseguramiento, lo cual implica riesgos, dentro de los cuales se encuentran los financieros, razón por la cual no es posible pretender desligarse de tales responsabilidades para ser atribuidas a un ente que no está llamado a asumir dichas situaciones”.</w:t>
      </w:r>
    </w:p>
    <w:p w14:paraId="680A4E5D" w14:textId="77777777" w:rsidR="00F25B98" w:rsidRPr="00D60EA5" w:rsidRDefault="00F25B98" w:rsidP="008F446C">
      <w:pPr>
        <w:overflowPunct w:val="0"/>
        <w:autoSpaceDE w:val="0"/>
        <w:autoSpaceDN w:val="0"/>
        <w:adjustRightInd w:val="0"/>
        <w:spacing w:line="360" w:lineRule="auto"/>
        <w:jc w:val="both"/>
        <w:textAlignment w:val="baseline"/>
        <w:rPr>
          <w:rFonts w:ascii="Arial" w:hAnsi="Arial" w:cs="Arial"/>
          <w:i/>
          <w:spacing w:val="4"/>
        </w:rPr>
      </w:pPr>
    </w:p>
    <w:p w14:paraId="6BE7B8F8" w14:textId="77777777" w:rsidR="00787832" w:rsidRPr="00D60EA5" w:rsidRDefault="00EB5C89" w:rsidP="008F446C">
      <w:pPr>
        <w:overflowPunct w:val="0"/>
        <w:autoSpaceDE w:val="0"/>
        <w:autoSpaceDN w:val="0"/>
        <w:adjustRightInd w:val="0"/>
        <w:spacing w:line="360" w:lineRule="auto"/>
        <w:jc w:val="both"/>
        <w:textAlignment w:val="baseline"/>
        <w:rPr>
          <w:rFonts w:ascii="Arial" w:hAnsi="Arial" w:cs="Arial"/>
          <w:spacing w:val="4"/>
        </w:rPr>
      </w:pPr>
      <w:r w:rsidRPr="00D60EA5">
        <w:rPr>
          <w:rFonts w:ascii="Arial" w:hAnsi="Arial" w:cs="Arial"/>
          <w:spacing w:val="4"/>
        </w:rPr>
        <w:t>Explicó</w:t>
      </w:r>
      <w:r w:rsidR="00622C13" w:rsidRPr="00D60EA5">
        <w:rPr>
          <w:rFonts w:ascii="Arial" w:hAnsi="Arial" w:cs="Arial"/>
          <w:spacing w:val="4"/>
        </w:rPr>
        <w:t>,</w:t>
      </w:r>
      <w:r w:rsidRPr="00D60EA5">
        <w:rPr>
          <w:rFonts w:ascii="Arial" w:hAnsi="Arial" w:cs="Arial"/>
          <w:spacing w:val="4"/>
        </w:rPr>
        <w:t xml:space="preserve"> también</w:t>
      </w:r>
      <w:r w:rsidR="00622C13" w:rsidRPr="00D60EA5">
        <w:rPr>
          <w:rFonts w:ascii="Arial" w:hAnsi="Arial" w:cs="Arial"/>
          <w:spacing w:val="4"/>
        </w:rPr>
        <w:t>,</w:t>
      </w:r>
      <w:r w:rsidRPr="00D60EA5">
        <w:rPr>
          <w:rFonts w:ascii="Arial" w:hAnsi="Arial" w:cs="Arial"/>
          <w:spacing w:val="4"/>
        </w:rPr>
        <w:t xml:space="preserve"> que dentro del seguimiento realizado por la Corte Constitucional a la sentencia T-760 de 2008 referente a la </w:t>
      </w:r>
      <w:r w:rsidR="00EA23BD" w:rsidRPr="00D60EA5">
        <w:rPr>
          <w:rFonts w:ascii="Arial" w:hAnsi="Arial" w:cs="Arial"/>
          <w:spacing w:val="4"/>
        </w:rPr>
        <w:t>defini</w:t>
      </w:r>
      <w:r w:rsidRPr="00D60EA5">
        <w:rPr>
          <w:rFonts w:ascii="Arial" w:hAnsi="Arial" w:cs="Arial"/>
          <w:spacing w:val="4"/>
        </w:rPr>
        <w:t>ción</w:t>
      </w:r>
      <w:r w:rsidR="00EA23BD" w:rsidRPr="00D60EA5">
        <w:rPr>
          <w:rFonts w:ascii="Arial" w:hAnsi="Arial" w:cs="Arial"/>
          <w:spacing w:val="4"/>
        </w:rPr>
        <w:t xml:space="preserve"> anual</w:t>
      </w:r>
      <w:r w:rsidRPr="00D60EA5">
        <w:rPr>
          <w:rFonts w:ascii="Arial" w:hAnsi="Arial" w:cs="Arial"/>
          <w:spacing w:val="4"/>
        </w:rPr>
        <w:t xml:space="preserve"> de las UPC, se expidieron los autos 261 y 262 que ordenar</w:t>
      </w:r>
      <w:r w:rsidR="00EA23BD" w:rsidRPr="00D60EA5">
        <w:rPr>
          <w:rFonts w:ascii="Arial" w:hAnsi="Arial" w:cs="Arial"/>
          <w:spacing w:val="4"/>
        </w:rPr>
        <w:t>on igualar dichas unidades de pago por capitación</w:t>
      </w:r>
      <w:r w:rsidRPr="00D60EA5">
        <w:rPr>
          <w:rFonts w:ascii="Arial" w:hAnsi="Arial" w:cs="Arial"/>
          <w:spacing w:val="4"/>
        </w:rPr>
        <w:t xml:space="preserve"> en los regímenes subsidiado y contributivo; no obstante, luego de que el Ministerio de Salud y Protección Social explicara la imposibilidad de igualar estos dos regímenes por las diferencias que presenta</w:t>
      </w:r>
      <w:r w:rsidR="00A35FD0" w:rsidRPr="00D60EA5">
        <w:rPr>
          <w:rFonts w:ascii="Arial" w:hAnsi="Arial" w:cs="Arial"/>
          <w:spacing w:val="4"/>
        </w:rPr>
        <w:t>ba</w:t>
      </w:r>
      <w:r w:rsidRPr="00D60EA5">
        <w:rPr>
          <w:rFonts w:ascii="Arial" w:hAnsi="Arial" w:cs="Arial"/>
          <w:spacing w:val="4"/>
        </w:rPr>
        <w:t xml:space="preserve">n en relación a gastos administrativos y obligaciones, el máximo órgano constitucional determinó la necesidad de contar con expertos en el tema para definir </w:t>
      </w:r>
      <w:r w:rsidR="00C46E35" w:rsidRPr="00D60EA5">
        <w:rPr>
          <w:rFonts w:ascii="Arial" w:hAnsi="Arial" w:cs="Arial"/>
          <w:spacing w:val="4"/>
        </w:rPr>
        <w:t>la posibilidad de igualar las UP</w:t>
      </w:r>
      <w:r w:rsidRPr="00D60EA5">
        <w:rPr>
          <w:rFonts w:ascii="Arial" w:hAnsi="Arial" w:cs="Arial"/>
          <w:spacing w:val="4"/>
        </w:rPr>
        <w:t>C</w:t>
      </w:r>
      <w:r w:rsidR="00C46E35" w:rsidRPr="00D60EA5">
        <w:rPr>
          <w:rFonts w:ascii="Arial" w:hAnsi="Arial" w:cs="Arial"/>
          <w:spacing w:val="4"/>
        </w:rPr>
        <w:t>,</w:t>
      </w:r>
      <w:r w:rsidRPr="00D60EA5">
        <w:rPr>
          <w:rFonts w:ascii="Arial" w:hAnsi="Arial" w:cs="Arial"/>
          <w:spacing w:val="4"/>
        </w:rPr>
        <w:t xml:space="preserve"> sin alterar el equilibrio financiero ni desestabilizar el sistema de salud. </w:t>
      </w:r>
    </w:p>
    <w:p w14:paraId="19219836" w14:textId="77777777" w:rsidR="00EB5C89" w:rsidRPr="00D60EA5" w:rsidRDefault="00EB5C89" w:rsidP="008F446C">
      <w:pPr>
        <w:overflowPunct w:val="0"/>
        <w:autoSpaceDE w:val="0"/>
        <w:autoSpaceDN w:val="0"/>
        <w:adjustRightInd w:val="0"/>
        <w:spacing w:line="360" w:lineRule="auto"/>
        <w:jc w:val="both"/>
        <w:textAlignment w:val="baseline"/>
        <w:rPr>
          <w:rFonts w:ascii="Arial" w:hAnsi="Arial" w:cs="Arial"/>
          <w:spacing w:val="4"/>
        </w:rPr>
      </w:pPr>
    </w:p>
    <w:p w14:paraId="0AB78F05" w14:textId="77777777" w:rsidR="00EB5C89" w:rsidRPr="00D60EA5" w:rsidRDefault="00622C13" w:rsidP="008F446C">
      <w:pPr>
        <w:overflowPunct w:val="0"/>
        <w:autoSpaceDE w:val="0"/>
        <w:autoSpaceDN w:val="0"/>
        <w:adjustRightInd w:val="0"/>
        <w:spacing w:line="360" w:lineRule="auto"/>
        <w:jc w:val="both"/>
        <w:textAlignment w:val="baseline"/>
        <w:rPr>
          <w:rFonts w:ascii="Arial" w:hAnsi="Arial" w:cs="Arial"/>
          <w:spacing w:val="4"/>
        </w:rPr>
      </w:pPr>
      <w:r w:rsidRPr="00D60EA5">
        <w:rPr>
          <w:rFonts w:ascii="Arial" w:hAnsi="Arial" w:cs="Arial"/>
          <w:spacing w:val="4"/>
        </w:rPr>
        <w:t>Mencionó los parámetros establecidos por la ley para calcular la UPC, desde la Ley 100 de 1993 que dispuso tener en cuenta para su tasación la estructura demográfica, el perfil epidemiológico de la población relevante, los riesgos cubiertos y los costos de prestación del servicio</w:t>
      </w:r>
      <w:r w:rsidR="009C50BA" w:rsidRPr="00D60EA5">
        <w:rPr>
          <w:rFonts w:ascii="Arial" w:hAnsi="Arial" w:cs="Arial"/>
          <w:spacing w:val="4"/>
        </w:rPr>
        <w:t>,</w:t>
      </w:r>
      <w:r w:rsidRPr="00D60EA5">
        <w:rPr>
          <w:rFonts w:ascii="Arial" w:hAnsi="Arial" w:cs="Arial"/>
          <w:spacing w:val="4"/>
        </w:rPr>
        <w:t xml:space="preserve"> en condiciones medias de calidad, tecnología y hotelería, así como las condiciones financieras del sistema. Además, expuso que la UPC se ha calculado históricamente con</w:t>
      </w:r>
      <w:r w:rsidR="00247283" w:rsidRPr="00D60EA5">
        <w:rPr>
          <w:rFonts w:ascii="Arial" w:hAnsi="Arial" w:cs="Arial"/>
          <w:spacing w:val="4"/>
        </w:rPr>
        <w:t xml:space="preserve"> base en</w:t>
      </w:r>
      <w:r w:rsidRPr="00D60EA5">
        <w:rPr>
          <w:rFonts w:ascii="Arial" w:hAnsi="Arial" w:cs="Arial"/>
          <w:spacing w:val="4"/>
        </w:rPr>
        <w:t xml:space="preserve"> estudios de suficiencia y relacionó los actos administrativos que fijaron su valor, en los años en que la parte actora manifest</w:t>
      </w:r>
      <w:r w:rsidR="00247283" w:rsidRPr="00D60EA5">
        <w:rPr>
          <w:rFonts w:ascii="Arial" w:hAnsi="Arial" w:cs="Arial"/>
          <w:spacing w:val="4"/>
        </w:rPr>
        <w:t>ó haber sufrido un</w:t>
      </w:r>
      <w:r w:rsidRPr="00D60EA5">
        <w:rPr>
          <w:rFonts w:ascii="Arial" w:hAnsi="Arial" w:cs="Arial"/>
          <w:spacing w:val="4"/>
        </w:rPr>
        <w:t xml:space="preserve"> daño</w:t>
      </w:r>
      <w:r w:rsidR="00247283" w:rsidRPr="00D60EA5">
        <w:rPr>
          <w:rFonts w:ascii="Arial" w:hAnsi="Arial" w:cs="Arial"/>
          <w:spacing w:val="4"/>
        </w:rPr>
        <w:t>, para resaltar que el Gobierno Nacional sí corrigió periódicamente las desigualdades derivadas de ciertas decisiones políticas.</w:t>
      </w:r>
    </w:p>
    <w:p w14:paraId="296FEF7D" w14:textId="77777777" w:rsidR="00EB5C89" w:rsidRPr="00D60EA5" w:rsidRDefault="00EB5C89" w:rsidP="008F446C">
      <w:pPr>
        <w:overflowPunct w:val="0"/>
        <w:autoSpaceDE w:val="0"/>
        <w:autoSpaceDN w:val="0"/>
        <w:adjustRightInd w:val="0"/>
        <w:spacing w:line="360" w:lineRule="auto"/>
        <w:jc w:val="both"/>
        <w:textAlignment w:val="baseline"/>
        <w:rPr>
          <w:rFonts w:ascii="Arial" w:hAnsi="Arial" w:cs="Arial"/>
          <w:spacing w:val="4"/>
        </w:rPr>
      </w:pPr>
    </w:p>
    <w:p w14:paraId="74C74396" w14:textId="77777777" w:rsidR="00B654AB" w:rsidRPr="00D60EA5" w:rsidRDefault="00B654AB" w:rsidP="008F446C">
      <w:pPr>
        <w:overflowPunct w:val="0"/>
        <w:autoSpaceDE w:val="0"/>
        <w:autoSpaceDN w:val="0"/>
        <w:adjustRightInd w:val="0"/>
        <w:spacing w:line="360" w:lineRule="auto"/>
        <w:jc w:val="both"/>
        <w:textAlignment w:val="baseline"/>
        <w:rPr>
          <w:rFonts w:ascii="Arial" w:hAnsi="Arial" w:cs="Arial"/>
          <w:spacing w:val="4"/>
        </w:rPr>
      </w:pPr>
      <w:r w:rsidRPr="00D60EA5">
        <w:rPr>
          <w:rFonts w:ascii="Arial" w:hAnsi="Arial" w:cs="Arial"/>
          <w:spacing w:val="4"/>
        </w:rPr>
        <w:t>Como excepciones propuso las siguientes:</w:t>
      </w:r>
    </w:p>
    <w:p w14:paraId="7194DBDC" w14:textId="77777777" w:rsidR="00B654AB" w:rsidRPr="00D60EA5" w:rsidRDefault="00B654AB" w:rsidP="008F446C">
      <w:pPr>
        <w:overflowPunct w:val="0"/>
        <w:autoSpaceDE w:val="0"/>
        <w:autoSpaceDN w:val="0"/>
        <w:adjustRightInd w:val="0"/>
        <w:spacing w:line="360" w:lineRule="auto"/>
        <w:jc w:val="both"/>
        <w:textAlignment w:val="baseline"/>
        <w:rPr>
          <w:rFonts w:ascii="Arial" w:hAnsi="Arial" w:cs="Arial"/>
          <w:spacing w:val="4"/>
        </w:rPr>
      </w:pPr>
    </w:p>
    <w:p w14:paraId="0058E4BA" w14:textId="77777777" w:rsidR="00D01867" w:rsidRPr="00D60EA5" w:rsidRDefault="00B654AB" w:rsidP="008F446C">
      <w:pPr>
        <w:overflowPunct w:val="0"/>
        <w:autoSpaceDE w:val="0"/>
        <w:autoSpaceDN w:val="0"/>
        <w:adjustRightInd w:val="0"/>
        <w:spacing w:line="360" w:lineRule="auto"/>
        <w:jc w:val="both"/>
        <w:textAlignment w:val="baseline"/>
        <w:rPr>
          <w:rFonts w:ascii="Arial" w:hAnsi="Arial" w:cs="Arial"/>
          <w:spacing w:val="4"/>
        </w:rPr>
      </w:pPr>
      <w:r w:rsidRPr="00D60EA5">
        <w:rPr>
          <w:rFonts w:ascii="Arial" w:hAnsi="Arial" w:cs="Arial"/>
          <w:spacing w:val="4"/>
        </w:rPr>
        <w:t xml:space="preserve">i) </w:t>
      </w:r>
      <w:r w:rsidR="00B63464" w:rsidRPr="00D60EA5">
        <w:rPr>
          <w:rFonts w:ascii="Arial" w:hAnsi="Arial" w:cs="Arial"/>
          <w:spacing w:val="4"/>
        </w:rPr>
        <w:t>Caducidad</w:t>
      </w:r>
      <w:r w:rsidR="00247283" w:rsidRPr="00D60EA5">
        <w:rPr>
          <w:rFonts w:ascii="Arial" w:hAnsi="Arial" w:cs="Arial"/>
          <w:spacing w:val="4"/>
        </w:rPr>
        <w:t xml:space="preserve">, sustentada en el vencimiento de los </w:t>
      </w:r>
      <w:r w:rsidR="005F6ECC" w:rsidRPr="00D60EA5">
        <w:rPr>
          <w:rFonts w:ascii="Arial" w:hAnsi="Arial" w:cs="Arial"/>
          <w:spacing w:val="4"/>
        </w:rPr>
        <w:t>dos</w:t>
      </w:r>
      <w:r w:rsidR="00C46E35" w:rsidRPr="00D60EA5">
        <w:rPr>
          <w:rFonts w:ascii="Arial" w:hAnsi="Arial" w:cs="Arial"/>
          <w:spacing w:val="4"/>
        </w:rPr>
        <w:t xml:space="preserve"> años previsto</w:t>
      </w:r>
      <w:r w:rsidR="00247283" w:rsidRPr="00D60EA5">
        <w:rPr>
          <w:rFonts w:ascii="Arial" w:hAnsi="Arial" w:cs="Arial"/>
          <w:spacing w:val="4"/>
        </w:rPr>
        <w:t xml:space="preserve"> en el artículo 164 del CPACA para ejercer la acción de reparación directa, teniendo en cuenta que se pretende el pago de unos supuestos perjuicios derivados de contratos cel</w:t>
      </w:r>
      <w:r w:rsidR="00C46E35" w:rsidRPr="00D60EA5">
        <w:rPr>
          <w:rFonts w:ascii="Arial" w:hAnsi="Arial" w:cs="Arial"/>
          <w:spacing w:val="4"/>
        </w:rPr>
        <w:t>ebrados entre los años 2008 y</w:t>
      </w:r>
      <w:r w:rsidR="00247283" w:rsidRPr="00D60EA5">
        <w:rPr>
          <w:rFonts w:ascii="Arial" w:hAnsi="Arial" w:cs="Arial"/>
          <w:spacing w:val="4"/>
        </w:rPr>
        <w:t xml:space="preserve"> 2012; sin embargo, la demanda fue presentada solo hasta el 10 de junio de 2014.</w:t>
      </w:r>
    </w:p>
    <w:p w14:paraId="769D0D3C" w14:textId="77777777" w:rsidR="003A29EE" w:rsidRPr="00D60EA5" w:rsidRDefault="003A29EE" w:rsidP="008F446C">
      <w:pPr>
        <w:overflowPunct w:val="0"/>
        <w:autoSpaceDE w:val="0"/>
        <w:autoSpaceDN w:val="0"/>
        <w:adjustRightInd w:val="0"/>
        <w:spacing w:line="360" w:lineRule="auto"/>
        <w:jc w:val="both"/>
        <w:textAlignment w:val="baseline"/>
        <w:rPr>
          <w:rFonts w:ascii="Arial" w:hAnsi="Arial" w:cs="Arial"/>
          <w:spacing w:val="4"/>
        </w:rPr>
      </w:pPr>
    </w:p>
    <w:p w14:paraId="62BB80E0" w14:textId="77777777" w:rsidR="00B654AB" w:rsidRPr="00D60EA5" w:rsidRDefault="00B654AB" w:rsidP="008F446C">
      <w:pPr>
        <w:overflowPunct w:val="0"/>
        <w:autoSpaceDE w:val="0"/>
        <w:autoSpaceDN w:val="0"/>
        <w:adjustRightInd w:val="0"/>
        <w:spacing w:line="360" w:lineRule="auto"/>
        <w:jc w:val="both"/>
        <w:textAlignment w:val="baseline"/>
        <w:rPr>
          <w:rFonts w:ascii="Arial" w:hAnsi="Arial" w:cs="Arial"/>
          <w:spacing w:val="4"/>
        </w:rPr>
      </w:pPr>
      <w:proofErr w:type="spellStart"/>
      <w:r w:rsidRPr="00D60EA5">
        <w:rPr>
          <w:rFonts w:ascii="Arial" w:hAnsi="Arial" w:cs="Arial"/>
          <w:spacing w:val="4"/>
        </w:rPr>
        <w:t>ii</w:t>
      </w:r>
      <w:proofErr w:type="spellEnd"/>
      <w:r w:rsidRPr="00D60EA5">
        <w:rPr>
          <w:rFonts w:ascii="Arial" w:hAnsi="Arial" w:cs="Arial"/>
          <w:spacing w:val="4"/>
        </w:rPr>
        <w:t xml:space="preserve">) </w:t>
      </w:r>
      <w:r w:rsidR="00060B22" w:rsidRPr="00D60EA5">
        <w:rPr>
          <w:rFonts w:ascii="Arial" w:hAnsi="Arial" w:cs="Arial"/>
          <w:i/>
          <w:spacing w:val="4"/>
        </w:rPr>
        <w:t>“</w:t>
      </w:r>
      <w:r w:rsidRPr="00D60EA5">
        <w:rPr>
          <w:rFonts w:ascii="Arial" w:hAnsi="Arial" w:cs="Arial"/>
          <w:i/>
          <w:spacing w:val="4"/>
        </w:rPr>
        <w:t>Ine</w:t>
      </w:r>
      <w:r w:rsidR="00247283" w:rsidRPr="00D60EA5">
        <w:rPr>
          <w:rFonts w:ascii="Arial" w:hAnsi="Arial" w:cs="Arial"/>
          <w:i/>
          <w:spacing w:val="4"/>
        </w:rPr>
        <w:t xml:space="preserve">xistencia </w:t>
      </w:r>
      <w:r w:rsidR="00060B22" w:rsidRPr="00D60EA5">
        <w:rPr>
          <w:rFonts w:ascii="Arial" w:hAnsi="Arial" w:cs="Arial"/>
          <w:i/>
          <w:spacing w:val="4"/>
        </w:rPr>
        <w:t>de daño atribuible al Ministerio de Salud y Protección Social”</w:t>
      </w:r>
      <w:r w:rsidR="005F6ECC" w:rsidRPr="00D60EA5">
        <w:rPr>
          <w:rFonts w:ascii="Arial" w:hAnsi="Arial" w:cs="Arial"/>
          <w:spacing w:val="4"/>
        </w:rPr>
        <w:t>, dado que los contratos celebrados por la parte actora para la prestación del servicio de salud fueron suscritos con entidades ajenas a ese</w:t>
      </w:r>
      <w:r w:rsidR="0048235C" w:rsidRPr="00D60EA5">
        <w:rPr>
          <w:rFonts w:ascii="Arial" w:hAnsi="Arial" w:cs="Arial"/>
          <w:spacing w:val="4"/>
        </w:rPr>
        <w:t xml:space="preserve"> ente</w:t>
      </w:r>
      <w:r w:rsidR="005F6ECC" w:rsidRPr="00D60EA5">
        <w:rPr>
          <w:rFonts w:ascii="Arial" w:hAnsi="Arial" w:cs="Arial"/>
          <w:spacing w:val="4"/>
        </w:rPr>
        <w:t xml:space="preserve"> y, además, la actividad contemplaba unos riesgos que eran conocidos por la empresa demandante. Aunado a esto, los daños alegados en la demanda no cuentan con sustento probatorio y fueron ocasionados presuntamente por el retraso de un</w:t>
      </w:r>
      <w:r w:rsidR="0048235C" w:rsidRPr="00D60EA5">
        <w:rPr>
          <w:rFonts w:ascii="Arial" w:hAnsi="Arial" w:cs="Arial"/>
          <w:spacing w:val="4"/>
        </w:rPr>
        <w:t>a</w:t>
      </w:r>
      <w:r w:rsidR="005F6ECC" w:rsidRPr="00D60EA5">
        <w:rPr>
          <w:rFonts w:ascii="Arial" w:hAnsi="Arial" w:cs="Arial"/>
          <w:spacing w:val="4"/>
        </w:rPr>
        <w:t xml:space="preserve"> ent</w:t>
      </w:r>
      <w:r w:rsidR="0048235C" w:rsidRPr="00D60EA5">
        <w:rPr>
          <w:rFonts w:ascii="Arial" w:hAnsi="Arial" w:cs="Arial"/>
          <w:spacing w:val="4"/>
        </w:rPr>
        <w:t>idad</w:t>
      </w:r>
      <w:r w:rsidR="005F6ECC" w:rsidRPr="00D60EA5">
        <w:rPr>
          <w:rFonts w:ascii="Arial" w:hAnsi="Arial" w:cs="Arial"/>
          <w:spacing w:val="4"/>
        </w:rPr>
        <w:t xml:space="preserve"> diferente a</w:t>
      </w:r>
      <w:r w:rsidR="00110D46" w:rsidRPr="00D60EA5">
        <w:rPr>
          <w:rFonts w:ascii="Arial" w:hAnsi="Arial" w:cs="Arial"/>
          <w:spacing w:val="4"/>
        </w:rPr>
        <w:t xml:space="preserve"> ese</w:t>
      </w:r>
      <w:r w:rsidR="005F6ECC" w:rsidRPr="00D60EA5">
        <w:rPr>
          <w:rFonts w:ascii="Arial" w:hAnsi="Arial" w:cs="Arial"/>
          <w:spacing w:val="4"/>
        </w:rPr>
        <w:t xml:space="preserve"> Ministerio de Salud y Protección Social. </w:t>
      </w:r>
    </w:p>
    <w:p w14:paraId="54CD245A" w14:textId="77777777" w:rsidR="009F0AA8" w:rsidRPr="00D60EA5" w:rsidRDefault="009F0AA8" w:rsidP="008F446C">
      <w:pPr>
        <w:overflowPunct w:val="0"/>
        <w:autoSpaceDE w:val="0"/>
        <w:autoSpaceDN w:val="0"/>
        <w:adjustRightInd w:val="0"/>
        <w:spacing w:line="360" w:lineRule="auto"/>
        <w:jc w:val="both"/>
        <w:textAlignment w:val="baseline"/>
        <w:rPr>
          <w:rFonts w:ascii="Arial" w:hAnsi="Arial" w:cs="Arial"/>
          <w:spacing w:val="4"/>
        </w:rPr>
      </w:pPr>
    </w:p>
    <w:p w14:paraId="4A6B46BA" w14:textId="77777777" w:rsidR="00066A4B" w:rsidRPr="00D60EA5" w:rsidRDefault="009F0AA8" w:rsidP="008F446C">
      <w:pPr>
        <w:overflowPunct w:val="0"/>
        <w:autoSpaceDE w:val="0"/>
        <w:autoSpaceDN w:val="0"/>
        <w:adjustRightInd w:val="0"/>
        <w:spacing w:line="360" w:lineRule="auto"/>
        <w:jc w:val="both"/>
        <w:textAlignment w:val="baseline"/>
        <w:rPr>
          <w:rFonts w:ascii="Arial" w:hAnsi="Arial" w:cs="Arial"/>
          <w:spacing w:val="4"/>
        </w:rPr>
      </w:pPr>
      <w:proofErr w:type="spellStart"/>
      <w:r w:rsidRPr="00D60EA5">
        <w:rPr>
          <w:rFonts w:ascii="Arial" w:hAnsi="Arial" w:cs="Arial"/>
          <w:spacing w:val="4"/>
        </w:rPr>
        <w:t>iii</w:t>
      </w:r>
      <w:proofErr w:type="spellEnd"/>
      <w:r w:rsidRPr="00D60EA5">
        <w:rPr>
          <w:rFonts w:ascii="Arial" w:hAnsi="Arial" w:cs="Arial"/>
          <w:spacing w:val="4"/>
        </w:rPr>
        <w:t>) Falta de leg</w:t>
      </w:r>
      <w:r w:rsidR="005F6ECC" w:rsidRPr="00D60EA5">
        <w:rPr>
          <w:rFonts w:ascii="Arial" w:hAnsi="Arial" w:cs="Arial"/>
          <w:spacing w:val="4"/>
        </w:rPr>
        <w:t>itimación en la causa por pasiva</w:t>
      </w:r>
      <w:r w:rsidRPr="00D60EA5">
        <w:rPr>
          <w:rFonts w:ascii="Arial" w:hAnsi="Arial" w:cs="Arial"/>
          <w:spacing w:val="4"/>
        </w:rPr>
        <w:t xml:space="preserve">, </w:t>
      </w:r>
      <w:r w:rsidR="005F6ECC" w:rsidRPr="00D60EA5">
        <w:rPr>
          <w:rFonts w:ascii="Arial" w:hAnsi="Arial" w:cs="Arial"/>
          <w:spacing w:val="4"/>
        </w:rPr>
        <w:t>por cuanto a</w:t>
      </w:r>
      <w:r w:rsidR="00110D46" w:rsidRPr="00D60EA5">
        <w:rPr>
          <w:rFonts w:ascii="Arial" w:hAnsi="Arial" w:cs="Arial"/>
          <w:spacing w:val="4"/>
        </w:rPr>
        <w:t>l</w:t>
      </w:r>
      <w:r w:rsidR="005F6ECC" w:rsidRPr="00D60EA5">
        <w:rPr>
          <w:rFonts w:ascii="Arial" w:hAnsi="Arial" w:cs="Arial"/>
          <w:spacing w:val="4"/>
        </w:rPr>
        <w:t xml:space="preserve"> Ministerio de Salud y Protección Social no le compete habilitar o suspender a las EPS que operan en un determinado municipio o departamento, de conformidad con las funciones que le </w:t>
      </w:r>
      <w:r w:rsidR="00060B22" w:rsidRPr="00D60EA5">
        <w:rPr>
          <w:rFonts w:ascii="Arial" w:hAnsi="Arial" w:cs="Arial"/>
          <w:spacing w:val="4"/>
        </w:rPr>
        <w:t>asignó</w:t>
      </w:r>
      <w:r w:rsidR="005F6ECC" w:rsidRPr="00D60EA5">
        <w:rPr>
          <w:rFonts w:ascii="Arial" w:hAnsi="Arial" w:cs="Arial"/>
          <w:spacing w:val="4"/>
        </w:rPr>
        <w:t xml:space="preserve"> el Decreto 4107 de 2011</w:t>
      </w:r>
      <w:r w:rsidR="00060B22" w:rsidRPr="00D60EA5">
        <w:rPr>
          <w:rFonts w:ascii="Arial" w:hAnsi="Arial" w:cs="Arial"/>
          <w:spacing w:val="4"/>
        </w:rPr>
        <w:t>.</w:t>
      </w:r>
    </w:p>
    <w:p w14:paraId="1231BE67" w14:textId="77777777" w:rsidR="00060B22" w:rsidRPr="00D60EA5" w:rsidRDefault="00060B22" w:rsidP="008F446C">
      <w:pPr>
        <w:overflowPunct w:val="0"/>
        <w:autoSpaceDE w:val="0"/>
        <w:autoSpaceDN w:val="0"/>
        <w:adjustRightInd w:val="0"/>
        <w:spacing w:line="360" w:lineRule="auto"/>
        <w:jc w:val="both"/>
        <w:textAlignment w:val="baseline"/>
        <w:rPr>
          <w:rFonts w:ascii="Arial" w:hAnsi="Arial" w:cs="Arial"/>
          <w:spacing w:val="4"/>
        </w:rPr>
      </w:pPr>
    </w:p>
    <w:p w14:paraId="513C815F" w14:textId="77777777" w:rsidR="00110D46" w:rsidRPr="00D60EA5" w:rsidRDefault="00060B22" w:rsidP="008F446C">
      <w:pPr>
        <w:overflowPunct w:val="0"/>
        <w:autoSpaceDE w:val="0"/>
        <w:autoSpaceDN w:val="0"/>
        <w:adjustRightInd w:val="0"/>
        <w:spacing w:line="360" w:lineRule="auto"/>
        <w:jc w:val="both"/>
        <w:textAlignment w:val="baseline"/>
        <w:rPr>
          <w:rFonts w:ascii="Arial" w:hAnsi="Arial" w:cs="Arial"/>
          <w:i/>
          <w:spacing w:val="4"/>
        </w:rPr>
      </w:pPr>
      <w:proofErr w:type="spellStart"/>
      <w:r w:rsidRPr="00D60EA5">
        <w:rPr>
          <w:rFonts w:ascii="Arial" w:hAnsi="Arial" w:cs="Arial"/>
          <w:spacing w:val="4"/>
        </w:rPr>
        <w:t>iv</w:t>
      </w:r>
      <w:proofErr w:type="spellEnd"/>
      <w:r w:rsidRPr="00D60EA5">
        <w:rPr>
          <w:rFonts w:ascii="Arial" w:hAnsi="Arial" w:cs="Arial"/>
          <w:spacing w:val="4"/>
        </w:rPr>
        <w:t xml:space="preserve">) </w:t>
      </w:r>
      <w:r w:rsidRPr="00D60EA5">
        <w:rPr>
          <w:rFonts w:ascii="Arial" w:hAnsi="Arial" w:cs="Arial"/>
          <w:i/>
          <w:spacing w:val="4"/>
        </w:rPr>
        <w:t>“Falta de causa para pedir por no existir rompimiento de la igualdad frente a las cargas públicas ni daño antijurídico”</w:t>
      </w:r>
      <w:r w:rsidR="00110D46" w:rsidRPr="00D60EA5">
        <w:rPr>
          <w:rFonts w:ascii="Arial" w:hAnsi="Arial" w:cs="Arial"/>
          <w:i/>
          <w:spacing w:val="4"/>
        </w:rPr>
        <w:t xml:space="preserve">, </w:t>
      </w:r>
      <w:r w:rsidR="00110D46" w:rsidRPr="00D60EA5">
        <w:rPr>
          <w:rFonts w:ascii="Arial" w:hAnsi="Arial" w:cs="Arial"/>
          <w:spacing w:val="4"/>
        </w:rPr>
        <w:t>al no haberse identificado en la demanda un daño que permita estimar la afectación al equilibrio económico de la parte demandante por la asunción de cargas anormales e injustificadas</w:t>
      </w:r>
      <w:r w:rsidR="00C46E35" w:rsidRPr="00D60EA5">
        <w:rPr>
          <w:rFonts w:ascii="Arial" w:hAnsi="Arial" w:cs="Arial"/>
          <w:spacing w:val="4"/>
        </w:rPr>
        <w:t>,</w:t>
      </w:r>
      <w:r w:rsidR="00110D46" w:rsidRPr="00D60EA5">
        <w:rPr>
          <w:rFonts w:ascii="Arial" w:hAnsi="Arial" w:cs="Arial"/>
          <w:spacing w:val="4"/>
        </w:rPr>
        <w:t xml:space="preserve"> </w:t>
      </w:r>
      <w:r w:rsidR="00110D46" w:rsidRPr="00D60EA5">
        <w:rPr>
          <w:rFonts w:ascii="Arial" w:hAnsi="Arial" w:cs="Arial"/>
          <w:i/>
          <w:spacing w:val="4"/>
        </w:rPr>
        <w:t>“pues en el marco del funcionamiento del Sistema General de Seguridad Social en Salud</w:t>
      </w:r>
      <w:r w:rsidR="00C46E35" w:rsidRPr="00D60EA5">
        <w:rPr>
          <w:rFonts w:ascii="Arial" w:hAnsi="Arial" w:cs="Arial"/>
          <w:i/>
          <w:spacing w:val="4"/>
        </w:rPr>
        <w:t xml:space="preserve">, las EPS </w:t>
      </w:r>
      <w:r w:rsidR="00110D46" w:rsidRPr="00D60EA5">
        <w:rPr>
          <w:rFonts w:ascii="Arial" w:hAnsi="Arial" w:cs="Arial"/>
          <w:i/>
          <w:spacing w:val="4"/>
        </w:rPr>
        <w:t>desarrollan sus funciones dentro de un sistema de aseguramiento que implica para ellas como aseguradoras en salud asumir los eventuales riesgos derivados de la gestión”.</w:t>
      </w:r>
    </w:p>
    <w:p w14:paraId="36FEB5B0" w14:textId="77777777" w:rsidR="000444C0" w:rsidRPr="00D60EA5" w:rsidRDefault="000444C0" w:rsidP="008F446C">
      <w:pPr>
        <w:overflowPunct w:val="0"/>
        <w:autoSpaceDE w:val="0"/>
        <w:autoSpaceDN w:val="0"/>
        <w:adjustRightInd w:val="0"/>
        <w:spacing w:line="360" w:lineRule="auto"/>
        <w:jc w:val="both"/>
        <w:textAlignment w:val="baseline"/>
        <w:rPr>
          <w:rFonts w:ascii="Arial" w:hAnsi="Arial" w:cs="Arial"/>
          <w:i/>
          <w:spacing w:val="4"/>
        </w:rPr>
      </w:pPr>
    </w:p>
    <w:p w14:paraId="61E6C1A5" w14:textId="77777777" w:rsidR="00060B22" w:rsidRPr="00D60EA5" w:rsidRDefault="00110D46" w:rsidP="003934AD">
      <w:pPr>
        <w:overflowPunct w:val="0"/>
        <w:autoSpaceDE w:val="0"/>
        <w:autoSpaceDN w:val="0"/>
        <w:adjustRightInd w:val="0"/>
        <w:spacing w:line="360" w:lineRule="auto"/>
        <w:jc w:val="both"/>
        <w:textAlignment w:val="baseline"/>
        <w:rPr>
          <w:rFonts w:ascii="Arial" w:hAnsi="Arial" w:cs="Arial"/>
          <w:spacing w:val="4"/>
        </w:rPr>
      </w:pPr>
      <w:r w:rsidRPr="00D60EA5">
        <w:rPr>
          <w:rFonts w:ascii="Arial" w:hAnsi="Arial" w:cs="Arial"/>
          <w:spacing w:val="4"/>
        </w:rPr>
        <w:t>v) “</w:t>
      </w:r>
      <w:r w:rsidRPr="00D60EA5">
        <w:rPr>
          <w:rFonts w:ascii="Arial" w:hAnsi="Arial" w:cs="Arial"/>
          <w:i/>
          <w:spacing w:val="4"/>
        </w:rPr>
        <w:t xml:space="preserve">Indebida escogencia de la acción para demandar”, </w:t>
      </w:r>
      <w:r w:rsidRPr="00D60EA5">
        <w:rPr>
          <w:rFonts w:ascii="Arial" w:hAnsi="Arial" w:cs="Arial"/>
          <w:spacing w:val="4"/>
        </w:rPr>
        <w:t xml:space="preserve">por considerar que la controversia </w:t>
      </w:r>
      <w:r w:rsidR="0048235C" w:rsidRPr="00D60EA5">
        <w:rPr>
          <w:rFonts w:ascii="Arial" w:hAnsi="Arial" w:cs="Arial"/>
          <w:spacing w:val="4"/>
        </w:rPr>
        <w:t xml:space="preserve">en cuestión </w:t>
      </w:r>
      <w:r w:rsidRPr="00D60EA5">
        <w:rPr>
          <w:rFonts w:ascii="Arial" w:hAnsi="Arial" w:cs="Arial"/>
          <w:spacing w:val="4"/>
        </w:rPr>
        <w:t>está relacionada con los contratos que la parte actora celebró con otros entes públicos para la prestación del servicio de salud, lo cual debía ser ventilado a través del medio de control de controversias contractuales.</w:t>
      </w:r>
    </w:p>
    <w:p w14:paraId="30D7AA69" w14:textId="77777777" w:rsidR="005F6ECC" w:rsidRPr="00D60EA5" w:rsidRDefault="005F6ECC" w:rsidP="003934AD">
      <w:pPr>
        <w:overflowPunct w:val="0"/>
        <w:autoSpaceDE w:val="0"/>
        <w:autoSpaceDN w:val="0"/>
        <w:adjustRightInd w:val="0"/>
        <w:spacing w:line="360" w:lineRule="auto"/>
        <w:jc w:val="both"/>
        <w:textAlignment w:val="baseline"/>
        <w:rPr>
          <w:rFonts w:ascii="Arial" w:hAnsi="Arial" w:cs="Arial"/>
          <w:b/>
          <w:spacing w:val="4"/>
        </w:rPr>
      </w:pPr>
    </w:p>
    <w:p w14:paraId="34F1F0B4" w14:textId="77777777" w:rsidR="00066A4B" w:rsidRPr="00D60EA5" w:rsidRDefault="00066A4B" w:rsidP="003934AD">
      <w:pPr>
        <w:overflowPunct w:val="0"/>
        <w:autoSpaceDE w:val="0"/>
        <w:autoSpaceDN w:val="0"/>
        <w:adjustRightInd w:val="0"/>
        <w:spacing w:line="360" w:lineRule="auto"/>
        <w:ind w:firstLine="708"/>
        <w:jc w:val="both"/>
        <w:textAlignment w:val="baseline"/>
        <w:rPr>
          <w:rFonts w:ascii="Arial" w:hAnsi="Arial" w:cs="Arial"/>
          <w:b/>
          <w:spacing w:val="4"/>
        </w:rPr>
      </w:pPr>
      <w:r w:rsidRPr="00D60EA5">
        <w:rPr>
          <w:rFonts w:ascii="Arial" w:hAnsi="Arial" w:cs="Arial"/>
          <w:b/>
          <w:spacing w:val="4"/>
        </w:rPr>
        <w:t xml:space="preserve">2.2. </w:t>
      </w:r>
      <w:r w:rsidR="00EA428A" w:rsidRPr="00D60EA5">
        <w:rPr>
          <w:rFonts w:ascii="Arial" w:hAnsi="Arial" w:cs="Arial"/>
          <w:b/>
          <w:spacing w:val="4"/>
        </w:rPr>
        <w:t>Departamento de Antioquia</w:t>
      </w:r>
    </w:p>
    <w:p w14:paraId="7196D064" w14:textId="77777777" w:rsidR="00130F6F" w:rsidRPr="00D60EA5" w:rsidRDefault="00130F6F" w:rsidP="003934AD">
      <w:pPr>
        <w:overflowPunct w:val="0"/>
        <w:autoSpaceDE w:val="0"/>
        <w:autoSpaceDN w:val="0"/>
        <w:adjustRightInd w:val="0"/>
        <w:spacing w:line="360" w:lineRule="auto"/>
        <w:ind w:firstLine="708"/>
        <w:jc w:val="both"/>
        <w:textAlignment w:val="baseline"/>
        <w:rPr>
          <w:rFonts w:ascii="Arial" w:hAnsi="Arial" w:cs="Arial"/>
          <w:b/>
          <w:spacing w:val="4"/>
        </w:rPr>
      </w:pPr>
    </w:p>
    <w:p w14:paraId="087739D2" w14:textId="77777777" w:rsidR="00D258AB" w:rsidRPr="00D60EA5" w:rsidRDefault="00EA428A" w:rsidP="003934AD">
      <w:pPr>
        <w:pStyle w:val="Sinespaciado"/>
        <w:spacing w:line="360" w:lineRule="auto"/>
        <w:jc w:val="both"/>
        <w:rPr>
          <w:rFonts w:ascii="Arial" w:hAnsi="Arial" w:cs="Arial"/>
          <w:sz w:val="24"/>
          <w:szCs w:val="24"/>
        </w:rPr>
      </w:pPr>
      <w:r w:rsidRPr="00D60EA5">
        <w:rPr>
          <w:rFonts w:ascii="Arial" w:hAnsi="Arial" w:cs="Arial"/>
          <w:sz w:val="24"/>
          <w:szCs w:val="24"/>
        </w:rPr>
        <w:t xml:space="preserve">Se opuso a las pretensiones de la demanda (527-553 c. </w:t>
      </w:r>
      <w:proofErr w:type="spellStart"/>
      <w:r w:rsidRPr="00D60EA5">
        <w:rPr>
          <w:rFonts w:ascii="Arial" w:hAnsi="Arial" w:cs="Arial"/>
          <w:sz w:val="24"/>
          <w:szCs w:val="24"/>
        </w:rPr>
        <w:t>n.°</w:t>
      </w:r>
      <w:proofErr w:type="spellEnd"/>
      <w:r w:rsidRPr="00D60EA5">
        <w:rPr>
          <w:rFonts w:ascii="Arial" w:hAnsi="Arial" w:cs="Arial"/>
          <w:sz w:val="24"/>
          <w:szCs w:val="24"/>
        </w:rPr>
        <w:t xml:space="preserve"> 1)</w:t>
      </w:r>
      <w:r w:rsidR="00C46E35" w:rsidRPr="00D60EA5">
        <w:rPr>
          <w:rFonts w:ascii="Arial" w:hAnsi="Arial" w:cs="Arial"/>
          <w:sz w:val="24"/>
          <w:szCs w:val="24"/>
        </w:rPr>
        <w:t>,</w:t>
      </w:r>
      <w:r w:rsidR="0048235C" w:rsidRPr="00D60EA5">
        <w:rPr>
          <w:rFonts w:ascii="Arial" w:hAnsi="Arial" w:cs="Arial"/>
          <w:sz w:val="24"/>
          <w:szCs w:val="24"/>
        </w:rPr>
        <w:t xml:space="preserve"> para lo cual manifest</w:t>
      </w:r>
      <w:r w:rsidR="003934AD" w:rsidRPr="00D60EA5">
        <w:rPr>
          <w:rFonts w:ascii="Arial" w:hAnsi="Arial" w:cs="Arial"/>
          <w:sz w:val="24"/>
          <w:szCs w:val="24"/>
        </w:rPr>
        <w:t xml:space="preserve">ó, en síntesis, que </w:t>
      </w:r>
      <w:r w:rsidR="000444C0" w:rsidRPr="00D60EA5">
        <w:rPr>
          <w:rFonts w:ascii="Arial" w:hAnsi="Arial" w:cs="Arial"/>
          <w:sz w:val="24"/>
          <w:szCs w:val="24"/>
        </w:rPr>
        <w:t xml:space="preserve">el SGSS le traslada </w:t>
      </w:r>
      <w:r w:rsidR="003934AD" w:rsidRPr="00D60EA5">
        <w:rPr>
          <w:rFonts w:ascii="Arial" w:hAnsi="Arial" w:cs="Arial"/>
          <w:sz w:val="24"/>
          <w:szCs w:val="24"/>
        </w:rPr>
        <w:t xml:space="preserve">a las EPS </w:t>
      </w:r>
      <w:r w:rsidR="000444C0" w:rsidRPr="00D60EA5">
        <w:rPr>
          <w:rFonts w:ascii="Arial" w:hAnsi="Arial" w:cs="Arial"/>
          <w:sz w:val="24"/>
          <w:szCs w:val="24"/>
        </w:rPr>
        <w:t>que operan en</w:t>
      </w:r>
      <w:r w:rsidR="003934AD" w:rsidRPr="00D60EA5">
        <w:rPr>
          <w:rFonts w:ascii="Arial" w:hAnsi="Arial" w:cs="Arial"/>
          <w:sz w:val="24"/>
          <w:szCs w:val="24"/>
        </w:rPr>
        <w:t xml:space="preserve"> ambos regímenes –</w:t>
      </w:r>
      <w:r w:rsidR="003934AD" w:rsidRPr="00D60EA5">
        <w:rPr>
          <w:rFonts w:ascii="Arial" w:hAnsi="Arial" w:cs="Arial"/>
          <w:i/>
          <w:sz w:val="24"/>
          <w:szCs w:val="24"/>
        </w:rPr>
        <w:t>contributivo y subsidiado-</w:t>
      </w:r>
      <w:r w:rsidR="00974C91" w:rsidRPr="00D60EA5">
        <w:rPr>
          <w:rFonts w:ascii="Arial" w:hAnsi="Arial" w:cs="Arial"/>
          <w:i/>
          <w:sz w:val="24"/>
          <w:szCs w:val="24"/>
        </w:rPr>
        <w:t xml:space="preserve"> </w:t>
      </w:r>
      <w:r w:rsidR="00974C91" w:rsidRPr="00D60EA5">
        <w:rPr>
          <w:rFonts w:ascii="Arial" w:hAnsi="Arial" w:cs="Arial"/>
          <w:sz w:val="24"/>
          <w:szCs w:val="24"/>
        </w:rPr>
        <w:t>la administración del riesgo financiero y la gestión del riesgo en salud. Adicionalmente, el Departamento de Antioquia no tiene injerencia ni competencia para determinar el valor de la UPC del régimen subsidiado, pues esta es una competencia asignada al Ministerio de Salud y Protección Social.</w:t>
      </w:r>
    </w:p>
    <w:p w14:paraId="34FF1C98" w14:textId="77777777" w:rsidR="00974C91" w:rsidRPr="00D60EA5" w:rsidRDefault="00974C91" w:rsidP="003934AD">
      <w:pPr>
        <w:pStyle w:val="Sinespaciado"/>
        <w:spacing w:line="360" w:lineRule="auto"/>
        <w:jc w:val="both"/>
        <w:rPr>
          <w:rFonts w:ascii="Arial" w:hAnsi="Arial" w:cs="Arial"/>
          <w:sz w:val="24"/>
          <w:szCs w:val="24"/>
        </w:rPr>
      </w:pPr>
    </w:p>
    <w:p w14:paraId="7D05B2F9" w14:textId="77777777" w:rsidR="00974C91" w:rsidRPr="00D60EA5" w:rsidRDefault="00DE44FD" w:rsidP="003934AD">
      <w:pPr>
        <w:pStyle w:val="Sinespaciado"/>
        <w:spacing w:line="360" w:lineRule="auto"/>
        <w:jc w:val="both"/>
        <w:rPr>
          <w:rFonts w:ascii="Arial" w:hAnsi="Arial" w:cs="Arial"/>
          <w:sz w:val="24"/>
          <w:szCs w:val="24"/>
        </w:rPr>
      </w:pPr>
      <w:r w:rsidRPr="00D60EA5">
        <w:rPr>
          <w:rFonts w:ascii="Arial" w:hAnsi="Arial" w:cs="Arial"/>
          <w:sz w:val="24"/>
          <w:szCs w:val="24"/>
        </w:rPr>
        <w:lastRenderedPageBreak/>
        <w:t xml:space="preserve">Aclaró </w:t>
      </w:r>
      <w:r w:rsidR="00DF720B" w:rsidRPr="00D60EA5">
        <w:rPr>
          <w:rFonts w:ascii="Arial" w:hAnsi="Arial" w:cs="Arial"/>
          <w:sz w:val="24"/>
          <w:szCs w:val="24"/>
        </w:rPr>
        <w:t>que el 8% del valor de la UPC como ingreso operacional para</w:t>
      </w:r>
      <w:r w:rsidRPr="00D60EA5">
        <w:rPr>
          <w:rFonts w:ascii="Arial" w:hAnsi="Arial" w:cs="Arial"/>
          <w:sz w:val="24"/>
          <w:szCs w:val="24"/>
        </w:rPr>
        <w:t xml:space="preserve"> gastos administrativo</w:t>
      </w:r>
      <w:r w:rsidR="00DF720B" w:rsidRPr="00D60EA5">
        <w:rPr>
          <w:rFonts w:ascii="Arial" w:hAnsi="Arial" w:cs="Arial"/>
          <w:sz w:val="24"/>
          <w:szCs w:val="24"/>
        </w:rPr>
        <w:t>s,</w:t>
      </w:r>
      <w:r w:rsidRPr="00D60EA5">
        <w:rPr>
          <w:rFonts w:ascii="Arial" w:hAnsi="Arial" w:cs="Arial"/>
          <w:sz w:val="24"/>
          <w:szCs w:val="24"/>
        </w:rPr>
        <w:t xml:space="preserve"> al que hace referencia la parte actora</w:t>
      </w:r>
      <w:r w:rsidR="00DF720B" w:rsidRPr="00D60EA5">
        <w:rPr>
          <w:rFonts w:ascii="Arial" w:hAnsi="Arial" w:cs="Arial"/>
          <w:sz w:val="24"/>
          <w:szCs w:val="24"/>
        </w:rPr>
        <w:t>,</w:t>
      </w:r>
      <w:r w:rsidRPr="00D60EA5">
        <w:rPr>
          <w:rFonts w:ascii="Arial" w:hAnsi="Arial" w:cs="Arial"/>
          <w:sz w:val="24"/>
          <w:szCs w:val="24"/>
        </w:rPr>
        <w:t xml:space="preserve"> es el valor máximo que puede ser reconocido a las </w:t>
      </w:r>
      <w:proofErr w:type="gramStart"/>
      <w:r w:rsidRPr="00D60EA5">
        <w:rPr>
          <w:rFonts w:ascii="Arial" w:hAnsi="Arial" w:cs="Arial"/>
          <w:sz w:val="24"/>
          <w:szCs w:val="24"/>
        </w:rPr>
        <w:t>EPS</w:t>
      </w:r>
      <w:proofErr w:type="gramEnd"/>
      <w:r w:rsidRPr="00D60EA5">
        <w:rPr>
          <w:rFonts w:ascii="Arial" w:hAnsi="Arial" w:cs="Arial"/>
          <w:sz w:val="24"/>
          <w:szCs w:val="24"/>
        </w:rPr>
        <w:t xml:space="preserve"> pero no la regla general y está supeditado a la demostración y justificación de los gastos en que incurri</w:t>
      </w:r>
      <w:r w:rsidR="00DF720B" w:rsidRPr="00D60EA5">
        <w:rPr>
          <w:rFonts w:ascii="Arial" w:hAnsi="Arial" w:cs="Arial"/>
          <w:sz w:val="24"/>
          <w:szCs w:val="24"/>
        </w:rPr>
        <w:t>ó la entidad</w:t>
      </w:r>
      <w:r w:rsidRPr="00D60EA5">
        <w:rPr>
          <w:rFonts w:ascii="Arial" w:hAnsi="Arial" w:cs="Arial"/>
          <w:sz w:val="24"/>
          <w:szCs w:val="24"/>
        </w:rPr>
        <w:t>, sin perjudicar el porcentaje asignado para garantizar el costo de las atenciones en salud.</w:t>
      </w:r>
    </w:p>
    <w:p w14:paraId="6D072C0D" w14:textId="77777777" w:rsidR="00DF720B" w:rsidRPr="00D60EA5" w:rsidRDefault="00DF720B" w:rsidP="003934AD">
      <w:pPr>
        <w:pStyle w:val="Sinespaciado"/>
        <w:spacing w:line="360" w:lineRule="auto"/>
        <w:jc w:val="both"/>
        <w:rPr>
          <w:rFonts w:ascii="Arial" w:hAnsi="Arial" w:cs="Arial"/>
          <w:sz w:val="24"/>
          <w:szCs w:val="24"/>
        </w:rPr>
      </w:pPr>
    </w:p>
    <w:p w14:paraId="4FE2182B" w14:textId="77777777" w:rsidR="00724A5D" w:rsidRPr="00D60EA5" w:rsidRDefault="00DF720B" w:rsidP="003934AD">
      <w:pPr>
        <w:pStyle w:val="Sinespaciado"/>
        <w:spacing w:line="360" w:lineRule="auto"/>
        <w:jc w:val="both"/>
        <w:rPr>
          <w:rFonts w:ascii="Arial" w:hAnsi="Arial" w:cs="Arial"/>
          <w:sz w:val="24"/>
          <w:szCs w:val="24"/>
        </w:rPr>
      </w:pPr>
      <w:r w:rsidRPr="00D60EA5">
        <w:rPr>
          <w:rFonts w:ascii="Arial" w:hAnsi="Arial" w:cs="Arial"/>
          <w:sz w:val="24"/>
          <w:szCs w:val="24"/>
        </w:rPr>
        <w:t>Hizo alusión a la Ley 100 de 1993, la Ley 715 de 2001 y el Acuerdo 244 de 2004 para afirmar que la</w:t>
      </w:r>
      <w:r w:rsidR="00C46E35" w:rsidRPr="00D60EA5">
        <w:rPr>
          <w:rFonts w:ascii="Arial" w:hAnsi="Arial" w:cs="Arial"/>
          <w:sz w:val="24"/>
          <w:szCs w:val="24"/>
        </w:rPr>
        <w:t>s</w:t>
      </w:r>
      <w:r w:rsidRPr="00D60EA5">
        <w:rPr>
          <w:rFonts w:ascii="Arial" w:hAnsi="Arial" w:cs="Arial"/>
          <w:sz w:val="24"/>
          <w:szCs w:val="24"/>
        </w:rPr>
        <w:t xml:space="preserve"> entidad</w:t>
      </w:r>
      <w:r w:rsidR="00C46E35" w:rsidRPr="00D60EA5">
        <w:rPr>
          <w:rFonts w:ascii="Arial" w:hAnsi="Arial" w:cs="Arial"/>
          <w:sz w:val="24"/>
          <w:szCs w:val="24"/>
        </w:rPr>
        <w:t>es</w:t>
      </w:r>
      <w:r w:rsidRPr="00D60EA5">
        <w:rPr>
          <w:rFonts w:ascii="Arial" w:hAnsi="Arial" w:cs="Arial"/>
          <w:sz w:val="24"/>
          <w:szCs w:val="24"/>
        </w:rPr>
        <w:t xml:space="preserve"> territorial</w:t>
      </w:r>
      <w:r w:rsidR="00C46E35" w:rsidRPr="00D60EA5">
        <w:rPr>
          <w:rFonts w:ascii="Arial" w:hAnsi="Arial" w:cs="Arial"/>
          <w:sz w:val="24"/>
          <w:szCs w:val="24"/>
        </w:rPr>
        <w:t>es</w:t>
      </w:r>
      <w:r w:rsidRPr="00D60EA5">
        <w:rPr>
          <w:rFonts w:ascii="Arial" w:hAnsi="Arial" w:cs="Arial"/>
          <w:sz w:val="24"/>
          <w:szCs w:val="24"/>
        </w:rPr>
        <w:t xml:space="preserve"> responsable</w:t>
      </w:r>
      <w:r w:rsidR="00C46E35" w:rsidRPr="00D60EA5">
        <w:rPr>
          <w:rFonts w:ascii="Arial" w:hAnsi="Arial" w:cs="Arial"/>
          <w:sz w:val="24"/>
          <w:szCs w:val="24"/>
        </w:rPr>
        <w:t>s</w:t>
      </w:r>
      <w:r w:rsidRPr="00D60EA5">
        <w:rPr>
          <w:rFonts w:ascii="Arial" w:hAnsi="Arial" w:cs="Arial"/>
          <w:sz w:val="24"/>
          <w:szCs w:val="24"/>
        </w:rPr>
        <w:t xml:space="preserve"> de la ope</w:t>
      </w:r>
      <w:r w:rsidR="00C46E35" w:rsidRPr="00D60EA5">
        <w:rPr>
          <w:rFonts w:ascii="Arial" w:hAnsi="Arial" w:cs="Arial"/>
          <w:sz w:val="24"/>
          <w:szCs w:val="24"/>
        </w:rPr>
        <w:t>ración del régimen subsidiado son los</w:t>
      </w:r>
      <w:r w:rsidRPr="00D60EA5">
        <w:rPr>
          <w:rFonts w:ascii="Arial" w:hAnsi="Arial" w:cs="Arial"/>
          <w:sz w:val="24"/>
          <w:szCs w:val="24"/>
        </w:rPr>
        <w:t xml:space="preserve"> Municipio</w:t>
      </w:r>
      <w:r w:rsidR="00C46E35" w:rsidRPr="00D60EA5">
        <w:rPr>
          <w:rFonts w:ascii="Arial" w:hAnsi="Arial" w:cs="Arial"/>
          <w:sz w:val="24"/>
          <w:szCs w:val="24"/>
        </w:rPr>
        <w:t>s, que son los</w:t>
      </w:r>
      <w:r w:rsidRPr="00D60EA5">
        <w:rPr>
          <w:rFonts w:ascii="Arial" w:hAnsi="Arial" w:cs="Arial"/>
          <w:sz w:val="24"/>
          <w:szCs w:val="24"/>
        </w:rPr>
        <w:t xml:space="preserve"> que celebra</w:t>
      </w:r>
      <w:r w:rsidR="00C46E35" w:rsidRPr="00D60EA5">
        <w:rPr>
          <w:rFonts w:ascii="Arial" w:hAnsi="Arial" w:cs="Arial"/>
          <w:sz w:val="24"/>
          <w:szCs w:val="24"/>
        </w:rPr>
        <w:t>n</w:t>
      </w:r>
      <w:r w:rsidRPr="00D60EA5">
        <w:rPr>
          <w:rFonts w:ascii="Arial" w:hAnsi="Arial" w:cs="Arial"/>
          <w:sz w:val="24"/>
          <w:szCs w:val="24"/>
        </w:rPr>
        <w:t xml:space="preserve"> los contratos para la prestación </w:t>
      </w:r>
      <w:r w:rsidR="00724A5D" w:rsidRPr="00D60EA5">
        <w:rPr>
          <w:rFonts w:ascii="Arial" w:hAnsi="Arial" w:cs="Arial"/>
          <w:sz w:val="24"/>
          <w:szCs w:val="24"/>
        </w:rPr>
        <w:t>de dicho</w:t>
      </w:r>
      <w:r w:rsidRPr="00D60EA5">
        <w:rPr>
          <w:rFonts w:ascii="Arial" w:hAnsi="Arial" w:cs="Arial"/>
          <w:sz w:val="24"/>
          <w:szCs w:val="24"/>
        </w:rPr>
        <w:t xml:space="preserve"> servicio</w:t>
      </w:r>
      <w:r w:rsidR="00724A5D" w:rsidRPr="00D60EA5">
        <w:rPr>
          <w:rFonts w:ascii="Arial" w:hAnsi="Arial" w:cs="Arial"/>
          <w:sz w:val="24"/>
          <w:szCs w:val="24"/>
        </w:rPr>
        <w:t xml:space="preserve">. </w:t>
      </w:r>
    </w:p>
    <w:p w14:paraId="48A21919" w14:textId="77777777" w:rsidR="00724A5D" w:rsidRPr="00D60EA5" w:rsidRDefault="00724A5D" w:rsidP="003934AD">
      <w:pPr>
        <w:pStyle w:val="Sinespaciado"/>
        <w:spacing w:line="360" w:lineRule="auto"/>
        <w:jc w:val="both"/>
        <w:rPr>
          <w:rFonts w:ascii="Arial" w:hAnsi="Arial" w:cs="Arial"/>
          <w:sz w:val="24"/>
          <w:szCs w:val="24"/>
        </w:rPr>
      </w:pPr>
    </w:p>
    <w:p w14:paraId="6543A5FE" w14:textId="77777777" w:rsidR="00DF720B" w:rsidRPr="00D60EA5" w:rsidRDefault="00724A5D" w:rsidP="003934AD">
      <w:pPr>
        <w:pStyle w:val="Sinespaciado"/>
        <w:spacing w:line="360" w:lineRule="auto"/>
        <w:jc w:val="both"/>
        <w:rPr>
          <w:rFonts w:ascii="Arial" w:hAnsi="Arial" w:cs="Arial"/>
          <w:sz w:val="24"/>
          <w:szCs w:val="24"/>
        </w:rPr>
      </w:pPr>
      <w:r w:rsidRPr="00D60EA5">
        <w:rPr>
          <w:rFonts w:ascii="Arial" w:hAnsi="Arial" w:cs="Arial"/>
          <w:sz w:val="24"/>
          <w:szCs w:val="24"/>
        </w:rPr>
        <w:t>De otra parte</w:t>
      </w:r>
      <w:r w:rsidR="00DF720B" w:rsidRPr="00D60EA5">
        <w:rPr>
          <w:rFonts w:ascii="Arial" w:hAnsi="Arial" w:cs="Arial"/>
          <w:sz w:val="24"/>
          <w:szCs w:val="24"/>
        </w:rPr>
        <w:t xml:space="preserve">, </w:t>
      </w:r>
      <w:r w:rsidRPr="00D60EA5">
        <w:rPr>
          <w:rFonts w:ascii="Arial" w:hAnsi="Arial" w:cs="Arial"/>
          <w:sz w:val="24"/>
          <w:szCs w:val="24"/>
        </w:rPr>
        <w:t xml:space="preserve">adujo que </w:t>
      </w:r>
      <w:r w:rsidR="00DF720B" w:rsidRPr="00D60EA5">
        <w:rPr>
          <w:rFonts w:ascii="Arial" w:hAnsi="Arial" w:cs="Arial"/>
          <w:sz w:val="24"/>
          <w:szCs w:val="24"/>
        </w:rPr>
        <w:t xml:space="preserve">las modificaciones normativas </w:t>
      </w:r>
      <w:r w:rsidRPr="00D60EA5">
        <w:rPr>
          <w:rFonts w:ascii="Arial" w:hAnsi="Arial" w:cs="Arial"/>
          <w:sz w:val="24"/>
          <w:szCs w:val="24"/>
        </w:rPr>
        <w:t>a</w:t>
      </w:r>
      <w:r w:rsidR="00DF720B" w:rsidRPr="00D60EA5">
        <w:rPr>
          <w:rFonts w:ascii="Arial" w:hAnsi="Arial" w:cs="Arial"/>
          <w:sz w:val="24"/>
          <w:szCs w:val="24"/>
        </w:rPr>
        <w:t xml:space="preserve"> la operación del régimen subsidiado no fuero</w:t>
      </w:r>
      <w:r w:rsidRPr="00D60EA5">
        <w:rPr>
          <w:rFonts w:ascii="Arial" w:hAnsi="Arial" w:cs="Arial"/>
          <w:sz w:val="24"/>
          <w:szCs w:val="24"/>
        </w:rPr>
        <w:t>n</w:t>
      </w:r>
      <w:r w:rsidR="00DF720B" w:rsidRPr="00D60EA5">
        <w:rPr>
          <w:rFonts w:ascii="Arial" w:hAnsi="Arial" w:cs="Arial"/>
          <w:sz w:val="24"/>
          <w:szCs w:val="24"/>
        </w:rPr>
        <w:t xml:space="preserve"> un impedimento para que la empresa demandante manifestara su voluntad de retiro</w:t>
      </w:r>
      <w:r w:rsidRPr="00D60EA5">
        <w:rPr>
          <w:rFonts w:ascii="Arial" w:hAnsi="Arial" w:cs="Arial"/>
          <w:sz w:val="24"/>
          <w:szCs w:val="24"/>
        </w:rPr>
        <w:t xml:space="preserve">, con al menos 120 días de antelación a la terminación del contrato, de manera que fue la entidad la que voluntariamente decidió ingresar a la operación del régimen subsidiado y mantenerse en </w:t>
      </w:r>
      <w:r w:rsidR="00C676AA" w:rsidRPr="00D60EA5">
        <w:rPr>
          <w:rFonts w:ascii="Arial" w:hAnsi="Arial" w:cs="Arial"/>
          <w:sz w:val="24"/>
          <w:szCs w:val="24"/>
        </w:rPr>
        <w:t>este, frente a lo cual resaltó que cada una de las relaciones contractuales que sostuvo la demandante fue independiente, con vigencias de un año, desde el 1° de abril hasta el 31 de marzo del siguiente año.</w:t>
      </w:r>
      <w:r w:rsidRPr="00D60EA5">
        <w:rPr>
          <w:rFonts w:ascii="Arial" w:hAnsi="Arial" w:cs="Arial"/>
          <w:sz w:val="24"/>
          <w:szCs w:val="24"/>
        </w:rPr>
        <w:t xml:space="preserve"> </w:t>
      </w:r>
    </w:p>
    <w:p w14:paraId="6BD18F9B" w14:textId="77777777" w:rsidR="00EA428A" w:rsidRPr="00D60EA5" w:rsidRDefault="00EA428A" w:rsidP="003934AD">
      <w:pPr>
        <w:pStyle w:val="Sinespaciado"/>
        <w:spacing w:line="360" w:lineRule="auto"/>
        <w:jc w:val="both"/>
        <w:rPr>
          <w:rFonts w:ascii="Arial" w:hAnsi="Arial" w:cs="Arial"/>
          <w:sz w:val="24"/>
          <w:szCs w:val="24"/>
        </w:rPr>
      </w:pPr>
    </w:p>
    <w:p w14:paraId="091860CC" w14:textId="77777777" w:rsidR="0075334E" w:rsidRPr="00D60EA5" w:rsidRDefault="0075334E" w:rsidP="003934AD">
      <w:pPr>
        <w:pStyle w:val="Sinespaciado"/>
        <w:spacing w:line="360" w:lineRule="auto"/>
        <w:jc w:val="both"/>
        <w:rPr>
          <w:rFonts w:ascii="Arial" w:hAnsi="Arial" w:cs="Arial"/>
          <w:sz w:val="24"/>
          <w:szCs w:val="24"/>
        </w:rPr>
      </w:pPr>
      <w:r w:rsidRPr="00D60EA5">
        <w:rPr>
          <w:rFonts w:ascii="Arial" w:hAnsi="Arial" w:cs="Arial"/>
          <w:sz w:val="24"/>
          <w:szCs w:val="24"/>
        </w:rPr>
        <w:t>Señaló, además, que los factores determinantes de las supuestas dificultades financieras aludidas en la demanda, como el valor de la UPC y la cobertura del plan de beneficios en salud POS,</w:t>
      </w:r>
      <w:r w:rsidR="00EF0E7F" w:rsidRPr="00D60EA5">
        <w:rPr>
          <w:rFonts w:ascii="Arial" w:hAnsi="Arial" w:cs="Arial"/>
          <w:sz w:val="24"/>
          <w:szCs w:val="24"/>
        </w:rPr>
        <w:t xml:space="preserve"> obedecen a componentes que no determina ese ente territorial y son ajenos a sus competencias, pues corresponden únicamente a la Nación</w:t>
      </w:r>
      <w:r w:rsidR="0048235C" w:rsidRPr="00D60EA5">
        <w:rPr>
          <w:rFonts w:ascii="Arial" w:hAnsi="Arial" w:cs="Arial"/>
          <w:sz w:val="24"/>
          <w:szCs w:val="24"/>
        </w:rPr>
        <w:t>.</w:t>
      </w:r>
      <w:r w:rsidR="00EF0E7F" w:rsidRPr="00D60EA5">
        <w:rPr>
          <w:rFonts w:ascii="Arial" w:hAnsi="Arial" w:cs="Arial"/>
          <w:sz w:val="24"/>
          <w:szCs w:val="24"/>
        </w:rPr>
        <w:t xml:space="preserve"> </w:t>
      </w:r>
    </w:p>
    <w:p w14:paraId="238601FE" w14:textId="77777777" w:rsidR="00EF0E7F" w:rsidRPr="00D60EA5" w:rsidRDefault="00EF0E7F" w:rsidP="003934AD">
      <w:pPr>
        <w:pStyle w:val="Sinespaciado"/>
        <w:spacing w:line="360" w:lineRule="auto"/>
        <w:jc w:val="both"/>
        <w:rPr>
          <w:rFonts w:ascii="Arial" w:hAnsi="Arial" w:cs="Arial"/>
          <w:sz w:val="24"/>
          <w:szCs w:val="24"/>
        </w:rPr>
      </w:pPr>
    </w:p>
    <w:p w14:paraId="12ED03C6" w14:textId="77777777" w:rsidR="00EF0E7F" w:rsidRPr="00D60EA5" w:rsidRDefault="00EF0E7F" w:rsidP="003934AD">
      <w:pPr>
        <w:pStyle w:val="Sinespaciado"/>
        <w:spacing w:line="360" w:lineRule="auto"/>
        <w:jc w:val="both"/>
        <w:rPr>
          <w:rFonts w:ascii="Arial" w:hAnsi="Arial" w:cs="Arial"/>
          <w:sz w:val="24"/>
          <w:szCs w:val="24"/>
        </w:rPr>
      </w:pPr>
      <w:r w:rsidRPr="00D60EA5">
        <w:rPr>
          <w:rFonts w:ascii="Arial" w:hAnsi="Arial" w:cs="Arial"/>
          <w:sz w:val="24"/>
          <w:szCs w:val="24"/>
        </w:rPr>
        <w:t>En cuanto a los costos de la atención en salud precisó que la Resolución 5334 de 2008 contempló el procedimiento de recobro, el cual está sujeto al cumplimiento de cie</w:t>
      </w:r>
      <w:r w:rsidR="00671FD1" w:rsidRPr="00D60EA5">
        <w:rPr>
          <w:rFonts w:ascii="Arial" w:hAnsi="Arial" w:cs="Arial"/>
          <w:sz w:val="24"/>
          <w:szCs w:val="24"/>
        </w:rPr>
        <w:t xml:space="preserve">rtos requisitos, condiciones y </w:t>
      </w:r>
      <w:r w:rsidRPr="00D60EA5">
        <w:rPr>
          <w:rFonts w:ascii="Arial" w:hAnsi="Arial" w:cs="Arial"/>
          <w:sz w:val="24"/>
          <w:szCs w:val="24"/>
        </w:rPr>
        <w:t xml:space="preserve">plazos </w:t>
      </w:r>
      <w:proofErr w:type="gramStart"/>
      <w:r w:rsidRPr="00D60EA5">
        <w:rPr>
          <w:rFonts w:ascii="Arial" w:hAnsi="Arial" w:cs="Arial"/>
          <w:sz w:val="24"/>
          <w:szCs w:val="24"/>
        </w:rPr>
        <w:t>que</w:t>
      </w:r>
      <w:proofErr w:type="gramEnd"/>
      <w:r w:rsidRPr="00D60EA5">
        <w:rPr>
          <w:rFonts w:ascii="Arial" w:hAnsi="Arial" w:cs="Arial"/>
          <w:sz w:val="24"/>
          <w:szCs w:val="24"/>
        </w:rPr>
        <w:t xml:space="preserve"> en caso de no reunirse, implican para la entidad interesada la asunción de las consecuencias</w:t>
      </w:r>
      <w:r w:rsidR="00671FD1" w:rsidRPr="00D60EA5">
        <w:rPr>
          <w:rFonts w:ascii="Arial" w:hAnsi="Arial" w:cs="Arial"/>
          <w:sz w:val="24"/>
          <w:szCs w:val="24"/>
        </w:rPr>
        <w:t xml:space="preserve"> derivadas del no reconocimiento</w:t>
      </w:r>
      <w:r w:rsidRPr="00D60EA5">
        <w:rPr>
          <w:rFonts w:ascii="Arial" w:hAnsi="Arial" w:cs="Arial"/>
          <w:sz w:val="24"/>
          <w:szCs w:val="24"/>
        </w:rPr>
        <w:t>, por ser una carga que le corresponde</w:t>
      </w:r>
      <w:r w:rsidR="001C7391" w:rsidRPr="00D60EA5">
        <w:rPr>
          <w:rFonts w:ascii="Arial" w:hAnsi="Arial" w:cs="Arial"/>
          <w:sz w:val="24"/>
          <w:szCs w:val="24"/>
        </w:rPr>
        <w:t xml:space="preserve"> al contratista</w:t>
      </w:r>
      <w:r w:rsidRPr="00D60EA5">
        <w:rPr>
          <w:rFonts w:ascii="Arial" w:hAnsi="Arial" w:cs="Arial"/>
          <w:sz w:val="24"/>
          <w:szCs w:val="24"/>
        </w:rPr>
        <w:t>.</w:t>
      </w:r>
      <w:r w:rsidR="00066B02" w:rsidRPr="00D60EA5">
        <w:rPr>
          <w:rFonts w:ascii="Arial" w:hAnsi="Arial" w:cs="Arial"/>
          <w:sz w:val="24"/>
          <w:szCs w:val="24"/>
        </w:rPr>
        <w:t xml:space="preserve"> Mencionó </w:t>
      </w:r>
      <w:proofErr w:type="gramStart"/>
      <w:r w:rsidR="00066B02" w:rsidRPr="00D60EA5">
        <w:rPr>
          <w:rFonts w:ascii="Arial" w:hAnsi="Arial" w:cs="Arial"/>
          <w:sz w:val="24"/>
          <w:szCs w:val="24"/>
        </w:rPr>
        <w:t>que</w:t>
      </w:r>
      <w:proofErr w:type="gramEnd"/>
      <w:r w:rsidR="000444C0" w:rsidRPr="00D60EA5">
        <w:rPr>
          <w:rFonts w:ascii="Arial" w:hAnsi="Arial" w:cs="Arial"/>
          <w:sz w:val="24"/>
          <w:szCs w:val="24"/>
        </w:rPr>
        <w:t xml:space="preserve"> como</w:t>
      </w:r>
      <w:r w:rsidR="00066B02" w:rsidRPr="00D60EA5">
        <w:rPr>
          <w:rFonts w:ascii="Arial" w:hAnsi="Arial" w:cs="Arial"/>
          <w:sz w:val="24"/>
          <w:szCs w:val="24"/>
        </w:rPr>
        <w:t xml:space="preserve"> la parte actora, incluso tres años después de finalizar operaciones, continuaba radicando solicitudes de recobro</w:t>
      </w:r>
      <w:r w:rsidR="000444C0" w:rsidRPr="00D60EA5">
        <w:rPr>
          <w:rFonts w:ascii="Arial" w:hAnsi="Arial" w:cs="Arial"/>
          <w:sz w:val="24"/>
          <w:szCs w:val="24"/>
        </w:rPr>
        <w:t xml:space="preserve">, era discutible </w:t>
      </w:r>
      <w:r w:rsidR="00066B02" w:rsidRPr="00D60EA5">
        <w:rPr>
          <w:rFonts w:ascii="Arial" w:hAnsi="Arial" w:cs="Arial"/>
          <w:sz w:val="24"/>
          <w:szCs w:val="24"/>
        </w:rPr>
        <w:t>el monto de las</w:t>
      </w:r>
      <w:r w:rsidR="00671FD1" w:rsidRPr="00D60EA5">
        <w:rPr>
          <w:rFonts w:ascii="Arial" w:hAnsi="Arial" w:cs="Arial"/>
          <w:sz w:val="24"/>
          <w:szCs w:val="24"/>
        </w:rPr>
        <w:t xml:space="preserve"> supuestas pérdidas que refirió</w:t>
      </w:r>
      <w:r w:rsidR="00066B02" w:rsidRPr="00D60EA5">
        <w:rPr>
          <w:rFonts w:ascii="Arial" w:hAnsi="Arial" w:cs="Arial"/>
          <w:sz w:val="24"/>
          <w:szCs w:val="24"/>
        </w:rPr>
        <w:t xml:space="preserve"> en la demanda.</w:t>
      </w:r>
    </w:p>
    <w:p w14:paraId="0F3CABC7" w14:textId="77777777" w:rsidR="0075334E" w:rsidRPr="00D60EA5" w:rsidRDefault="0075334E" w:rsidP="003934AD">
      <w:pPr>
        <w:pStyle w:val="Sinespaciado"/>
        <w:spacing w:line="360" w:lineRule="auto"/>
        <w:jc w:val="both"/>
        <w:rPr>
          <w:rFonts w:ascii="Arial" w:hAnsi="Arial" w:cs="Arial"/>
          <w:sz w:val="24"/>
          <w:szCs w:val="24"/>
        </w:rPr>
      </w:pPr>
    </w:p>
    <w:p w14:paraId="5014E1F7" w14:textId="77777777" w:rsidR="00066B02" w:rsidRPr="00D60EA5" w:rsidRDefault="0046162A" w:rsidP="003934AD">
      <w:pPr>
        <w:pStyle w:val="Sinespaciado"/>
        <w:spacing w:line="360" w:lineRule="auto"/>
        <w:jc w:val="both"/>
        <w:rPr>
          <w:rFonts w:ascii="Arial" w:hAnsi="Arial" w:cs="Arial"/>
          <w:sz w:val="24"/>
          <w:szCs w:val="24"/>
        </w:rPr>
      </w:pPr>
      <w:r w:rsidRPr="00D60EA5">
        <w:rPr>
          <w:rFonts w:ascii="Arial" w:hAnsi="Arial" w:cs="Arial"/>
          <w:sz w:val="24"/>
          <w:szCs w:val="24"/>
        </w:rPr>
        <w:t>En el escrito de contestación, propuso las excepciones que denominó: i)</w:t>
      </w:r>
      <w:r w:rsidRPr="00D60EA5">
        <w:rPr>
          <w:rFonts w:ascii="Arial" w:hAnsi="Arial" w:cs="Arial"/>
          <w:i/>
          <w:sz w:val="24"/>
          <w:szCs w:val="24"/>
        </w:rPr>
        <w:t xml:space="preserve"> “inexistencia de la obligación en cabeza del Departamento de Antioquia”</w:t>
      </w:r>
      <w:r w:rsidRPr="00D60EA5">
        <w:rPr>
          <w:rFonts w:ascii="Arial" w:hAnsi="Arial" w:cs="Arial"/>
          <w:sz w:val="24"/>
          <w:szCs w:val="24"/>
        </w:rPr>
        <w:t xml:space="preserve">  dado que los factores determinantes del daño a los que hizo alusión la demanda son propias </w:t>
      </w:r>
      <w:r w:rsidRPr="00D60EA5">
        <w:rPr>
          <w:rFonts w:ascii="Arial" w:hAnsi="Arial" w:cs="Arial"/>
          <w:sz w:val="24"/>
          <w:szCs w:val="24"/>
        </w:rPr>
        <w:lastRenderedPageBreak/>
        <w:t xml:space="preserve">de la Nación y ajenas al Departamento de Antioquia; </w:t>
      </w:r>
      <w:proofErr w:type="spellStart"/>
      <w:r w:rsidRPr="00D60EA5">
        <w:rPr>
          <w:rFonts w:ascii="Arial" w:hAnsi="Arial" w:cs="Arial"/>
          <w:sz w:val="24"/>
          <w:szCs w:val="24"/>
        </w:rPr>
        <w:t>ii</w:t>
      </w:r>
      <w:proofErr w:type="spellEnd"/>
      <w:r w:rsidRPr="00D60EA5">
        <w:rPr>
          <w:rFonts w:ascii="Arial" w:hAnsi="Arial" w:cs="Arial"/>
          <w:sz w:val="24"/>
          <w:szCs w:val="24"/>
        </w:rPr>
        <w:t>) “</w:t>
      </w:r>
      <w:r w:rsidRPr="00D60EA5">
        <w:rPr>
          <w:rFonts w:ascii="Arial" w:hAnsi="Arial" w:cs="Arial"/>
          <w:i/>
          <w:sz w:val="24"/>
          <w:szCs w:val="24"/>
        </w:rPr>
        <w:t xml:space="preserve">incumplimiento de la carga de no asumir pérdidas – violación a la carga o deber de mitigar el daño – hecho de la víctima” </w:t>
      </w:r>
      <w:r w:rsidRPr="00D60EA5">
        <w:rPr>
          <w:rFonts w:ascii="Arial" w:hAnsi="Arial" w:cs="Arial"/>
          <w:sz w:val="24"/>
          <w:szCs w:val="24"/>
        </w:rPr>
        <w:t xml:space="preserve">por cuanto era a la empresa demandante a la que le correspondía retirarse voluntariamente de la operación del régimen subsidiado para evitar las pérdidas que estaba presentando; </w:t>
      </w:r>
      <w:proofErr w:type="spellStart"/>
      <w:r w:rsidRPr="00D60EA5">
        <w:rPr>
          <w:rFonts w:ascii="Arial" w:hAnsi="Arial" w:cs="Arial"/>
          <w:sz w:val="24"/>
          <w:szCs w:val="24"/>
        </w:rPr>
        <w:t>iii</w:t>
      </w:r>
      <w:proofErr w:type="spellEnd"/>
      <w:r w:rsidRPr="00D60EA5">
        <w:rPr>
          <w:rFonts w:ascii="Arial" w:hAnsi="Arial" w:cs="Arial"/>
          <w:sz w:val="24"/>
          <w:szCs w:val="24"/>
        </w:rPr>
        <w:t>) “</w:t>
      </w:r>
      <w:r w:rsidRPr="00D60EA5">
        <w:rPr>
          <w:rFonts w:ascii="Arial" w:hAnsi="Arial" w:cs="Arial"/>
          <w:i/>
          <w:sz w:val="24"/>
          <w:szCs w:val="24"/>
        </w:rPr>
        <w:t>inexistencia de nexo de causalidad”</w:t>
      </w:r>
      <w:r w:rsidRPr="00D60EA5">
        <w:rPr>
          <w:rFonts w:ascii="Arial" w:hAnsi="Arial" w:cs="Arial"/>
          <w:sz w:val="24"/>
          <w:szCs w:val="24"/>
        </w:rPr>
        <w:t xml:space="preserve">  porque no hay relación entre la actuación de ese ente territorial </w:t>
      </w:r>
      <w:r w:rsidR="00ED4B7B" w:rsidRPr="00D60EA5">
        <w:rPr>
          <w:rFonts w:ascii="Arial" w:hAnsi="Arial" w:cs="Arial"/>
          <w:sz w:val="24"/>
          <w:szCs w:val="24"/>
        </w:rPr>
        <w:t>y el daño alegado en la demanda y</w:t>
      </w:r>
      <w:r w:rsidR="00B63464" w:rsidRPr="00D60EA5">
        <w:rPr>
          <w:rFonts w:ascii="Arial" w:hAnsi="Arial" w:cs="Arial"/>
          <w:sz w:val="24"/>
          <w:szCs w:val="24"/>
        </w:rPr>
        <w:t xml:space="preserve"> </w:t>
      </w:r>
      <w:proofErr w:type="spellStart"/>
      <w:r w:rsidR="00B63464" w:rsidRPr="00D60EA5">
        <w:rPr>
          <w:rFonts w:ascii="Arial" w:hAnsi="Arial" w:cs="Arial"/>
          <w:sz w:val="24"/>
          <w:szCs w:val="24"/>
        </w:rPr>
        <w:t>iv</w:t>
      </w:r>
      <w:proofErr w:type="spellEnd"/>
      <w:r w:rsidR="00B63464" w:rsidRPr="00D60EA5">
        <w:rPr>
          <w:rFonts w:ascii="Arial" w:hAnsi="Arial" w:cs="Arial"/>
          <w:sz w:val="24"/>
          <w:szCs w:val="24"/>
        </w:rPr>
        <w:t xml:space="preserve">) caducidad, </w:t>
      </w:r>
      <w:r w:rsidRPr="00D60EA5">
        <w:rPr>
          <w:rFonts w:ascii="Arial" w:hAnsi="Arial" w:cs="Arial"/>
          <w:sz w:val="24"/>
          <w:szCs w:val="24"/>
        </w:rPr>
        <w:t xml:space="preserve"> para lo cual adujo que el derecho de acción fue ejercido</w:t>
      </w:r>
      <w:r w:rsidR="00ED4B7B" w:rsidRPr="00D60EA5">
        <w:rPr>
          <w:rFonts w:ascii="Arial" w:hAnsi="Arial" w:cs="Arial"/>
          <w:sz w:val="24"/>
          <w:szCs w:val="24"/>
        </w:rPr>
        <w:t xml:space="preserve"> una vez</w:t>
      </w:r>
      <w:r w:rsidRPr="00D60EA5">
        <w:rPr>
          <w:rFonts w:ascii="Arial" w:hAnsi="Arial" w:cs="Arial"/>
          <w:sz w:val="24"/>
          <w:szCs w:val="24"/>
        </w:rPr>
        <w:t xml:space="preserve"> vencido el término de dos años contados a partir de que la EPS tuvo o debió tener conocimiento de las pérdidas obtenidas, en cada vigencia contractual</w:t>
      </w:r>
      <w:r w:rsidR="00ED4B7B" w:rsidRPr="00D60EA5">
        <w:rPr>
          <w:rFonts w:ascii="Arial" w:hAnsi="Arial" w:cs="Arial"/>
          <w:sz w:val="24"/>
          <w:szCs w:val="24"/>
        </w:rPr>
        <w:t>, la última finalizada el 31 de marzo de 2012.</w:t>
      </w:r>
    </w:p>
    <w:p w14:paraId="5B08B5D1" w14:textId="77777777" w:rsidR="00EA428A" w:rsidRPr="00D60EA5" w:rsidRDefault="00EA428A" w:rsidP="009C3B8F">
      <w:pPr>
        <w:pStyle w:val="Sinespaciado"/>
        <w:spacing w:line="360" w:lineRule="auto"/>
        <w:jc w:val="both"/>
        <w:rPr>
          <w:rFonts w:ascii="Arial" w:hAnsi="Arial" w:cs="Arial"/>
          <w:sz w:val="24"/>
          <w:szCs w:val="24"/>
        </w:rPr>
      </w:pPr>
    </w:p>
    <w:p w14:paraId="0ECD1C57" w14:textId="77777777" w:rsidR="005B1B94" w:rsidRPr="00D60EA5" w:rsidRDefault="005B1B94" w:rsidP="008F446C">
      <w:pPr>
        <w:pStyle w:val="Sinespaciado"/>
        <w:spacing w:line="360" w:lineRule="auto"/>
        <w:jc w:val="both"/>
        <w:rPr>
          <w:rFonts w:ascii="Arial" w:hAnsi="Arial" w:cs="Arial"/>
          <w:b/>
          <w:sz w:val="24"/>
          <w:szCs w:val="24"/>
        </w:rPr>
      </w:pPr>
      <w:r w:rsidRPr="00D60EA5">
        <w:rPr>
          <w:rFonts w:ascii="Arial" w:hAnsi="Arial" w:cs="Arial"/>
          <w:b/>
          <w:sz w:val="24"/>
          <w:szCs w:val="24"/>
        </w:rPr>
        <w:t>3. Audiencia inicial</w:t>
      </w:r>
      <w:r w:rsidR="00973DDA" w:rsidRPr="00D60EA5">
        <w:rPr>
          <w:rFonts w:ascii="Arial" w:hAnsi="Arial" w:cs="Arial"/>
          <w:b/>
          <w:sz w:val="24"/>
          <w:szCs w:val="24"/>
        </w:rPr>
        <w:t xml:space="preserve"> – decisión apelada</w:t>
      </w:r>
    </w:p>
    <w:p w14:paraId="16DEB4AB" w14:textId="77777777" w:rsidR="005B1B94" w:rsidRPr="00D60EA5" w:rsidRDefault="005B1B94" w:rsidP="006C6C72">
      <w:pPr>
        <w:pStyle w:val="Sinespaciado"/>
        <w:spacing w:line="360" w:lineRule="auto"/>
        <w:jc w:val="both"/>
        <w:rPr>
          <w:rFonts w:ascii="Arial" w:hAnsi="Arial" w:cs="Arial"/>
          <w:b/>
          <w:sz w:val="24"/>
          <w:szCs w:val="24"/>
        </w:rPr>
      </w:pPr>
    </w:p>
    <w:p w14:paraId="780B01AD" w14:textId="77777777" w:rsidR="00B34EF7" w:rsidRPr="00D60EA5" w:rsidRDefault="00B34EF7" w:rsidP="008F446C">
      <w:pPr>
        <w:pStyle w:val="Sinespaciado"/>
        <w:spacing w:line="360" w:lineRule="auto"/>
        <w:jc w:val="both"/>
        <w:rPr>
          <w:rFonts w:ascii="Arial" w:hAnsi="Arial" w:cs="Arial"/>
          <w:sz w:val="24"/>
          <w:szCs w:val="24"/>
        </w:rPr>
      </w:pPr>
      <w:r w:rsidRPr="00D60EA5">
        <w:rPr>
          <w:rFonts w:ascii="Arial" w:hAnsi="Arial" w:cs="Arial"/>
          <w:sz w:val="24"/>
          <w:szCs w:val="24"/>
        </w:rPr>
        <w:t xml:space="preserve">El Tribunal Administrativo de </w:t>
      </w:r>
      <w:r w:rsidR="000444C0" w:rsidRPr="00D60EA5">
        <w:rPr>
          <w:rFonts w:ascii="Arial" w:hAnsi="Arial" w:cs="Arial"/>
          <w:sz w:val="24"/>
          <w:szCs w:val="24"/>
        </w:rPr>
        <w:t>Antioquia</w:t>
      </w:r>
      <w:r w:rsidRPr="00D60EA5">
        <w:rPr>
          <w:rFonts w:ascii="Arial" w:hAnsi="Arial" w:cs="Arial"/>
          <w:sz w:val="24"/>
          <w:szCs w:val="24"/>
        </w:rPr>
        <w:t xml:space="preserve">, </w:t>
      </w:r>
      <w:r w:rsidR="000444C0" w:rsidRPr="00D60EA5">
        <w:rPr>
          <w:rFonts w:ascii="Arial" w:hAnsi="Arial" w:cs="Arial"/>
          <w:sz w:val="24"/>
          <w:szCs w:val="24"/>
        </w:rPr>
        <w:t>en la Audiencia Inicial de que trata el artículo 180 del CPACA</w:t>
      </w:r>
      <w:r w:rsidR="00AE1819" w:rsidRPr="00D60EA5">
        <w:rPr>
          <w:rFonts w:ascii="Arial" w:hAnsi="Arial" w:cs="Arial"/>
          <w:sz w:val="24"/>
          <w:szCs w:val="24"/>
        </w:rPr>
        <w:t>,</w:t>
      </w:r>
      <w:r w:rsidR="000444C0" w:rsidRPr="00D60EA5">
        <w:rPr>
          <w:rFonts w:ascii="Arial" w:hAnsi="Arial" w:cs="Arial"/>
          <w:sz w:val="24"/>
          <w:szCs w:val="24"/>
        </w:rPr>
        <w:t xml:space="preserve"> celebrada el 12 de abril de 2018</w:t>
      </w:r>
      <w:r w:rsidR="00973DDA" w:rsidRPr="00D60EA5">
        <w:rPr>
          <w:rFonts w:ascii="Arial" w:hAnsi="Arial" w:cs="Arial"/>
          <w:sz w:val="24"/>
          <w:szCs w:val="24"/>
        </w:rPr>
        <w:t xml:space="preserve"> (</w:t>
      </w:r>
      <w:r w:rsidR="000444C0" w:rsidRPr="00D60EA5">
        <w:rPr>
          <w:rFonts w:ascii="Arial" w:hAnsi="Arial" w:cs="Arial"/>
          <w:sz w:val="24"/>
          <w:szCs w:val="24"/>
        </w:rPr>
        <w:t xml:space="preserve">CD anexo </w:t>
      </w:r>
      <w:proofErr w:type="spellStart"/>
      <w:r w:rsidR="000444C0" w:rsidRPr="00D60EA5">
        <w:rPr>
          <w:rFonts w:ascii="Arial" w:hAnsi="Arial" w:cs="Arial"/>
          <w:sz w:val="24"/>
          <w:szCs w:val="24"/>
        </w:rPr>
        <w:t>fl</w:t>
      </w:r>
      <w:proofErr w:type="spellEnd"/>
      <w:r w:rsidR="000444C0" w:rsidRPr="00D60EA5">
        <w:rPr>
          <w:rFonts w:ascii="Arial" w:hAnsi="Arial" w:cs="Arial"/>
          <w:sz w:val="24"/>
          <w:szCs w:val="24"/>
        </w:rPr>
        <w:t xml:space="preserve">. 1068 c. ppal.) declaró no probadas las excepciones de caducidad y falta de legitimación en la causa por </w:t>
      </w:r>
      <w:proofErr w:type="gramStart"/>
      <w:r w:rsidR="000444C0" w:rsidRPr="00D60EA5">
        <w:rPr>
          <w:rFonts w:ascii="Arial" w:hAnsi="Arial" w:cs="Arial"/>
          <w:sz w:val="24"/>
          <w:szCs w:val="24"/>
        </w:rPr>
        <w:t>pasiva propuestas</w:t>
      </w:r>
      <w:proofErr w:type="gramEnd"/>
      <w:r w:rsidR="000444C0" w:rsidRPr="00D60EA5">
        <w:rPr>
          <w:rFonts w:ascii="Arial" w:hAnsi="Arial" w:cs="Arial"/>
          <w:sz w:val="24"/>
          <w:szCs w:val="24"/>
        </w:rPr>
        <w:t xml:space="preserve"> por </w:t>
      </w:r>
      <w:r w:rsidR="00AE1819" w:rsidRPr="00D60EA5">
        <w:rPr>
          <w:rFonts w:ascii="Arial" w:hAnsi="Arial" w:cs="Arial"/>
          <w:sz w:val="24"/>
          <w:szCs w:val="24"/>
        </w:rPr>
        <w:t>las entidades demandadas.</w:t>
      </w:r>
    </w:p>
    <w:p w14:paraId="0AD9C6F4" w14:textId="77777777" w:rsidR="00AE1819" w:rsidRPr="00D60EA5" w:rsidRDefault="00AE1819" w:rsidP="008F446C">
      <w:pPr>
        <w:pStyle w:val="Sinespaciado"/>
        <w:spacing w:line="360" w:lineRule="auto"/>
        <w:jc w:val="both"/>
        <w:rPr>
          <w:rFonts w:ascii="Arial" w:hAnsi="Arial" w:cs="Arial"/>
          <w:sz w:val="24"/>
          <w:szCs w:val="24"/>
        </w:rPr>
      </w:pPr>
    </w:p>
    <w:p w14:paraId="6172A473" w14:textId="77777777" w:rsidR="00AE1819" w:rsidRPr="00D60EA5" w:rsidRDefault="00B34EF7" w:rsidP="008F446C">
      <w:pPr>
        <w:pStyle w:val="Sinespaciado"/>
        <w:spacing w:line="360" w:lineRule="auto"/>
        <w:jc w:val="both"/>
        <w:rPr>
          <w:rFonts w:ascii="Arial" w:hAnsi="Arial" w:cs="Arial"/>
          <w:sz w:val="24"/>
          <w:szCs w:val="24"/>
        </w:rPr>
      </w:pPr>
      <w:r w:rsidRPr="00D60EA5">
        <w:rPr>
          <w:rFonts w:ascii="Arial" w:hAnsi="Arial" w:cs="Arial"/>
          <w:sz w:val="24"/>
          <w:szCs w:val="24"/>
        </w:rPr>
        <w:t>En relación con la excepción de</w:t>
      </w:r>
      <w:r w:rsidR="00B63464" w:rsidRPr="00D60EA5">
        <w:rPr>
          <w:rFonts w:ascii="Arial" w:hAnsi="Arial" w:cs="Arial"/>
          <w:sz w:val="24"/>
          <w:szCs w:val="24"/>
        </w:rPr>
        <w:t xml:space="preserve"> caducidad</w:t>
      </w:r>
      <w:r w:rsidRPr="00D60EA5">
        <w:rPr>
          <w:rFonts w:ascii="Arial" w:hAnsi="Arial" w:cs="Arial"/>
          <w:sz w:val="24"/>
          <w:szCs w:val="24"/>
        </w:rPr>
        <w:t>, señaló</w:t>
      </w:r>
      <w:r w:rsidR="00B87882" w:rsidRPr="00D60EA5">
        <w:rPr>
          <w:rFonts w:ascii="Arial" w:hAnsi="Arial" w:cs="Arial"/>
          <w:sz w:val="24"/>
          <w:szCs w:val="24"/>
        </w:rPr>
        <w:t xml:space="preserve"> </w:t>
      </w:r>
      <w:r w:rsidR="00973DDA" w:rsidRPr="00D60EA5">
        <w:rPr>
          <w:rFonts w:ascii="Arial" w:hAnsi="Arial" w:cs="Arial"/>
          <w:sz w:val="24"/>
          <w:szCs w:val="24"/>
        </w:rPr>
        <w:t xml:space="preserve">que </w:t>
      </w:r>
      <w:r w:rsidR="00671FD1" w:rsidRPr="00D60EA5">
        <w:rPr>
          <w:rFonts w:ascii="Arial" w:hAnsi="Arial" w:cs="Arial"/>
          <w:sz w:val="24"/>
          <w:szCs w:val="24"/>
        </w:rPr>
        <w:t xml:space="preserve">esta no se </w:t>
      </w:r>
      <w:r w:rsidR="00AE1819" w:rsidRPr="00D60EA5">
        <w:rPr>
          <w:rFonts w:ascii="Arial" w:hAnsi="Arial" w:cs="Arial"/>
          <w:sz w:val="24"/>
          <w:szCs w:val="24"/>
        </w:rPr>
        <w:t>configuraba por cuanto en la demanda se</w:t>
      </w:r>
      <w:r w:rsidR="00671FD1" w:rsidRPr="00D60EA5">
        <w:rPr>
          <w:rFonts w:ascii="Arial" w:hAnsi="Arial" w:cs="Arial"/>
          <w:sz w:val="24"/>
          <w:szCs w:val="24"/>
        </w:rPr>
        <w:t xml:space="preserve"> mencionó que </w:t>
      </w:r>
      <w:r w:rsidR="00AE1819" w:rsidRPr="00D60EA5">
        <w:rPr>
          <w:rFonts w:ascii="Arial" w:hAnsi="Arial" w:cs="Arial"/>
          <w:sz w:val="24"/>
          <w:szCs w:val="24"/>
        </w:rPr>
        <w:t>el daño ocasionado</w:t>
      </w:r>
      <w:r w:rsidR="00671FD1" w:rsidRPr="00D60EA5">
        <w:rPr>
          <w:rFonts w:ascii="Arial" w:hAnsi="Arial" w:cs="Arial"/>
          <w:sz w:val="24"/>
          <w:szCs w:val="24"/>
        </w:rPr>
        <w:t xml:space="preserve"> a la parte actora se consumó</w:t>
      </w:r>
      <w:r w:rsidR="00AE1819" w:rsidRPr="00D60EA5">
        <w:rPr>
          <w:rFonts w:ascii="Arial" w:hAnsi="Arial" w:cs="Arial"/>
          <w:sz w:val="24"/>
          <w:szCs w:val="24"/>
        </w:rPr>
        <w:t xml:space="preserve"> cuando la empresa demandante se retiró del programa de régimen subsidiado, esto es, el</w:t>
      </w:r>
      <w:r w:rsidR="00AC5CCF" w:rsidRPr="00D60EA5">
        <w:rPr>
          <w:rFonts w:ascii="Arial" w:hAnsi="Arial" w:cs="Arial"/>
          <w:sz w:val="24"/>
          <w:szCs w:val="24"/>
        </w:rPr>
        <w:t xml:space="preserve"> 31 de marzo de 2012, así,</w:t>
      </w:r>
      <w:r w:rsidR="00AE1819" w:rsidRPr="00D60EA5">
        <w:rPr>
          <w:rFonts w:ascii="Arial" w:hAnsi="Arial" w:cs="Arial"/>
          <w:sz w:val="24"/>
          <w:szCs w:val="24"/>
        </w:rPr>
        <w:t xml:space="preserve"> el t</w:t>
      </w:r>
      <w:r w:rsidR="00671FD1" w:rsidRPr="00D60EA5">
        <w:rPr>
          <w:rFonts w:ascii="Arial" w:hAnsi="Arial" w:cs="Arial"/>
          <w:sz w:val="24"/>
          <w:szCs w:val="24"/>
        </w:rPr>
        <w:t>érmino para interponer el medio de control</w:t>
      </w:r>
      <w:r w:rsidR="00AE1819" w:rsidRPr="00D60EA5">
        <w:rPr>
          <w:rFonts w:ascii="Arial" w:hAnsi="Arial" w:cs="Arial"/>
          <w:sz w:val="24"/>
          <w:szCs w:val="24"/>
        </w:rPr>
        <w:t xml:space="preserve"> de</w:t>
      </w:r>
      <w:r w:rsidR="00AE720E" w:rsidRPr="00D60EA5">
        <w:rPr>
          <w:rFonts w:ascii="Arial" w:hAnsi="Arial" w:cs="Arial"/>
          <w:sz w:val="24"/>
          <w:szCs w:val="24"/>
        </w:rPr>
        <w:t xml:space="preserve"> </w:t>
      </w:r>
      <w:r w:rsidR="00AE1819" w:rsidRPr="00D60EA5">
        <w:rPr>
          <w:rFonts w:ascii="Arial" w:hAnsi="Arial" w:cs="Arial"/>
          <w:sz w:val="24"/>
          <w:szCs w:val="24"/>
        </w:rPr>
        <w:t>reparación directa, en principio, vencía el 31 de mar</w:t>
      </w:r>
      <w:r w:rsidR="00671FD1" w:rsidRPr="00D60EA5">
        <w:rPr>
          <w:rFonts w:ascii="Arial" w:hAnsi="Arial" w:cs="Arial"/>
          <w:sz w:val="24"/>
          <w:szCs w:val="24"/>
        </w:rPr>
        <w:t>zo de 2014; sin embargo, éste</w:t>
      </w:r>
      <w:r w:rsidR="00AE1819" w:rsidRPr="00D60EA5">
        <w:rPr>
          <w:rFonts w:ascii="Arial" w:hAnsi="Arial" w:cs="Arial"/>
          <w:sz w:val="24"/>
          <w:szCs w:val="24"/>
        </w:rPr>
        <w:t xml:space="preserve"> se suspendió durante cinco días a partir de la presentación de la solicitud de conciliación prejudicial -</w:t>
      </w:r>
      <w:r w:rsidR="00AE1819" w:rsidRPr="00D60EA5">
        <w:rPr>
          <w:rFonts w:ascii="Arial" w:hAnsi="Arial" w:cs="Arial"/>
          <w:i/>
          <w:sz w:val="24"/>
          <w:szCs w:val="24"/>
        </w:rPr>
        <w:t>26 de marzo de 2014-</w:t>
      </w:r>
      <w:r w:rsidR="00AE1819" w:rsidRPr="00D60EA5">
        <w:rPr>
          <w:rFonts w:ascii="Arial" w:hAnsi="Arial" w:cs="Arial"/>
          <w:sz w:val="24"/>
          <w:szCs w:val="24"/>
        </w:rPr>
        <w:t xml:space="preserve">  y se reanudó </w:t>
      </w:r>
      <w:r w:rsidR="00671FD1" w:rsidRPr="00D60EA5">
        <w:rPr>
          <w:rFonts w:ascii="Arial" w:hAnsi="Arial" w:cs="Arial"/>
          <w:sz w:val="24"/>
          <w:szCs w:val="24"/>
        </w:rPr>
        <w:t xml:space="preserve">el siguiente día de haber sido </w:t>
      </w:r>
      <w:r w:rsidR="00AE1819" w:rsidRPr="00D60EA5">
        <w:rPr>
          <w:rFonts w:ascii="Arial" w:hAnsi="Arial" w:cs="Arial"/>
          <w:sz w:val="24"/>
          <w:szCs w:val="24"/>
        </w:rPr>
        <w:t xml:space="preserve">expedida </w:t>
      </w:r>
      <w:r w:rsidR="00671FD1" w:rsidRPr="00D60EA5">
        <w:rPr>
          <w:rFonts w:ascii="Arial" w:hAnsi="Arial" w:cs="Arial"/>
          <w:sz w:val="24"/>
          <w:szCs w:val="24"/>
        </w:rPr>
        <w:t>la constancia de conciliación -</w:t>
      </w:r>
      <w:r w:rsidR="00671FD1" w:rsidRPr="00D60EA5">
        <w:rPr>
          <w:rFonts w:ascii="Arial" w:hAnsi="Arial" w:cs="Arial"/>
          <w:i/>
          <w:sz w:val="24"/>
          <w:szCs w:val="24"/>
        </w:rPr>
        <w:t>6 de junio de 2014-</w:t>
      </w:r>
      <w:r w:rsidR="00671FD1" w:rsidRPr="00D60EA5">
        <w:rPr>
          <w:rFonts w:ascii="Arial" w:hAnsi="Arial" w:cs="Arial"/>
          <w:sz w:val="24"/>
          <w:szCs w:val="24"/>
        </w:rPr>
        <w:t xml:space="preserve">, por lo que la demanda presentada el 10 de junio de 2014 fue oportuna. </w:t>
      </w:r>
    </w:p>
    <w:p w14:paraId="4B1F511A" w14:textId="77777777" w:rsidR="00AE1819" w:rsidRPr="00D60EA5" w:rsidRDefault="00AE1819" w:rsidP="008F446C">
      <w:pPr>
        <w:pStyle w:val="Sinespaciado"/>
        <w:spacing w:line="360" w:lineRule="auto"/>
        <w:jc w:val="both"/>
        <w:rPr>
          <w:rFonts w:ascii="Arial" w:hAnsi="Arial" w:cs="Arial"/>
          <w:sz w:val="24"/>
          <w:szCs w:val="24"/>
        </w:rPr>
      </w:pPr>
    </w:p>
    <w:p w14:paraId="2658F665" w14:textId="77777777" w:rsidR="00AE1819" w:rsidRPr="00D60EA5" w:rsidRDefault="00671FD1" w:rsidP="008F446C">
      <w:pPr>
        <w:pStyle w:val="Sinespaciado"/>
        <w:spacing w:line="360" w:lineRule="auto"/>
        <w:jc w:val="both"/>
        <w:rPr>
          <w:rFonts w:ascii="Arial" w:hAnsi="Arial" w:cs="Arial"/>
          <w:sz w:val="24"/>
          <w:szCs w:val="24"/>
        </w:rPr>
      </w:pPr>
      <w:r w:rsidRPr="00D60EA5">
        <w:rPr>
          <w:rFonts w:ascii="Arial" w:hAnsi="Arial" w:cs="Arial"/>
          <w:sz w:val="24"/>
          <w:szCs w:val="24"/>
        </w:rPr>
        <w:t>Respecto a la excepción de falta de legitimación en la causa por pasiva frente a la Nación – Ministerio de Salud y Protección Social</w:t>
      </w:r>
      <w:r w:rsidR="00AE720E" w:rsidRPr="00D60EA5">
        <w:rPr>
          <w:rFonts w:ascii="Arial" w:hAnsi="Arial" w:cs="Arial"/>
          <w:sz w:val="24"/>
          <w:szCs w:val="24"/>
        </w:rPr>
        <w:t>, manifestó que en esa instancia del proceso no era posible desvincular del litigio a la entidad demandada, toda vez que en el libelo introductorio se afirmó que fueron las políticas establecidas por dicha entidad mediante las cuales fijó la UPC, las que ocasionaron el desequilibrio financiero en los contratos celebrados por la parte actora</w:t>
      </w:r>
      <w:r w:rsidR="00AC5CCF" w:rsidRPr="00D60EA5">
        <w:rPr>
          <w:rFonts w:ascii="Arial" w:hAnsi="Arial" w:cs="Arial"/>
          <w:sz w:val="24"/>
          <w:szCs w:val="24"/>
        </w:rPr>
        <w:t xml:space="preserve"> y</w:t>
      </w:r>
      <w:r w:rsidR="00AE720E" w:rsidRPr="00D60EA5">
        <w:rPr>
          <w:rFonts w:ascii="Arial" w:hAnsi="Arial" w:cs="Arial"/>
          <w:sz w:val="24"/>
          <w:szCs w:val="24"/>
        </w:rPr>
        <w:t xml:space="preserve">, </w:t>
      </w:r>
      <w:r w:rsidR="00AC5CCF" w:rsidRPr="00D60EA5">
        <w:rPr>
          <w:rFonts w:ascii="Arial" w:hAnsi="Arial" w:cs="Arial"/>
          <w:sz w:val="24"/>
          <w:szCs w:val="24"/>
        </w:rPr>
        <w:t>en ese sentido</w:t>
      </w:r>
      <w:r w:rsidR="00AE720E" w:rsidRPr="00D60EA5">
        <w:rPr>
          <w:rFonts w:ascii="Arial" w:hAnsi="Arial" w:cs="Arial"/>
          <w:sz w:val="24"/>
          <w:szCs w:val="24"/>
        </w:rPr>
        <w:t xml:space="preserve"> era necesario surtir toda la etapa probatoria para determinar la responsabilidad </w:t>
      </w:r>
      <w:r w:rsidR="002C6AE1" w:rsidRPr="00D60EA5">
        <w:rPr>
          <w:rFonts w:ascii="Arial" w:hAnsi="Arial" w:cs="Arial"/>
          <w:sz w:val="24"/>
          <w:szCs w:val="24"/>
        </w:rPr>
        <w:t xml:space="preserve">que le asiste </w:t>
      </w:r>
      <w:r w:rsidR="00AE720E" w:rsidRPr="00D60EA5">
        <w:rPr>
          <w:rFonts w:ascii="Arial" w:hAnsi="Arial" w:cs="Arial"/>
          <w:sz w:val="24"/>
          <w:szCs w:val="24"/>
        </w:rPr>
        <w:t>en los hechos alegados.</w:t>
      </w:r>
    </w:p>
    <w:p w14:paraId="2CED341F" w14:textId="77777777" w:rsidR="00973DDA" w:rsidRPr="00D60EA5" w:rsidRDefault="00973DDA" w:rsidP="008F446C">
      <w:pPr>
        <w:pStyle w:val="Sinespaciado"/>
        <w:spacing w:line="360" w:lineRule="auto"/>
        <w:jc w:val="both"/>
        <w:rPr>
          <w:rFonts w:ascii="Arial" w:hAnsi="Arial" w:cs="Arial"/>
          <w:b/>
          <w:sz w:val="24"/>
          <w:szCs w:val="24"/>
        </w:rPr>
      </w:pPr>
      <w:r w:rsidRPr="00D60EA5">
        <w:rPr>
          <w:rFonts w:ascii="Arial" w:hAnsi="Arial" w:cs="Arial"/>
          <w:b/>
          <w:sz w:val="24"/>
          <w:szCs w:val="24"/>
        </w:rPr>
        <w:t>4. Recurso</w:t>
      </w:r>
      <w:r w:rsidR="00524FBE" w:rsidRPr="00D60EA5">
        <w:rPr>
          <w:rFonts w:ascii="Arial" w:hAnsi="Arial" w:cs="Arial"/>
          <w:b/>
          <w:sz w:val="24"/>
          <w:szCs w:val="24"/>
        </w:rPr>
        <w:t>s</w:t>
      </w:r>
      <w:r w:rsidRPr="00D60EA5">
        <w:rPr>
          <w:rFonts w:ascii="Arial" w:hAnsi="Arial" w:cs="Arial"/>
          <w:b/>
          <w:sz w:val="24"/>
          <w:szCs w:val="24"/>
        </w:rPr>
        <w:t xml:space="preserve"> de apelación </w:t>
      </w:r>
    </w:p>
    <w:p w14:paraId="65F9C3DC" w14:textId="77777777" w:rsidR="00973DDA" w:rsidRPr="00D60EA5" w:rsidRDefault="00973DDA" w:rsidP="002E344A">
      <w:pPr>
        <w:pStyle w:val="Sinespaciado"/>
        <w:jc w:val="both"/>
        <w:rPr>
          <w:rFonts w:ascii="Arial" w:hAnsi="Arial" w:cs="Arial"/>
          <w:b/>
          <w:sz w:val="24"/>
          <w:szCs w:val="24"/>
        </w:rPr>
      </w:pPr>
    </w:p>
    <w:p w14:paraId="36657728" w14:textId="77777777" w:rsidR="00973DDA" w:rsidRPr="00D60EA5" w:rsidRDefault="00973DDA" w:rsidP="008F446C">
      <w:pPr>
        <w:pStyle w:val="Sinespaciado"/>
        <w:spacing w:line="360" w:lineRule="auto"/>
        <w:jc w:val="both"/>
        <w:rPr>
          <w:rFonts w:ascii="Arial" w:hAnsi="Arial" w:cs="Arial"/>
          <w:sz w:val="24"/>
          <w:szCs w:val="24"/>
        </w:rPr>
      </w:pPr>
      <w:r w:rsidRPr="00D60EA5">
        <w:rPr>
          <w:rFonts w:ascii="Arial" w:hAnsi="Arial" w:cs="Arial"/>
          <w:sz w:val="24"/>
          <w:szCs w:val="24"/>
        </w:rPr>
        <w:lastRenderedPageBreak/>
        <w:t>Inconforme</w:t>
      </w:r>
      <w:r w:rsidR="00C46E35" w:rsidRPr="00D60EA5">
        <w:rPr>
          <w:rFonts w:ascii="Arial" w:hAnsi="Arial" w:cs="Arial"/>
          <w:sz w:val="24"/>
          <w:szCs w:val="24"/>
        </w:rPr>
        <w:t>s</w:t>
      </w:r>
      <w:r w:rsidRPr="00D60EA5">
        <w:rPr>
          <w:rFonts w:ascii="Arial" w:hAnsi="Arial" w:cs="Arial"/>
          <w:sz w:val="24"/>
          <w:szCs w:val="24"/>
        </w:rPr>
        <w:t xml:space="preserve"> con lo decidido respecto a la</w:t>
      </w:r>
      <w:r w:rsidR="008F0770" w:rsidRPr="00D60EA5">
        <w:rPr>
          <w:rFonts w:ascii="Arial" w:hAnsi="Arial" w:cs="Arial"/>
          <w:sz w:val="24"/>
          <w:szCs w:val="24"/>
        </w:rPr>
        <w:t xml:space="preserve"> </w:t>
      </w:r>
      <w:r w:rsidR="00686B2B" w:rsidRPr="00D60EA5">
        <w:rPr>
          <w:rFonts w:ascii="Arial" w:hAnsi="Arial" w:cs="Arial"/>
          <w:sz w:val="24"/>
          <w:szCs w:val="24"/>
        </w:rPr>
        <w:t xml:space="preserve">excepción </w:t>
      </w:r>
      <w:r w:rsidRPr="00D60EA5">
        <w:rPr>
          <w:rFonts w:ascii="Arial" w:hAnsi="Arial" w:cs="Arial"/>
          <w:sz w:val="24"/>
          <w:szCs w:val="24"/>
        </w:rPr>
        <w:t>de</w:t>
      </w:r>
      <w:r w:rsidR="00686B2B" w:rsidRPr="00D60EA5">
        <w:rPr>
          <w:rFonts w:ascii="Arial" w:hAnsi="Arial" w:cs="Arial"/>
          <w:sz w:val="24"/>
          <w:szCs w:val="24"/>
        </w:rPr>
        <w:t xml:space="preserve"> caducidad</w:t>
      </w:r>
      <w:r w:rsidRPr="00D60EA5">
        <w:rPr>
          <w:rFonts w:ascii="Arial" w:hAnsi="Arial" w:cs="Arial"/>
          <w:sz w:val="24"/>
          <w:szCs w:val="24"/>
        </w:rPr>
        <w:t xml:space="preserve">, </w:t>
      </w:r>
      <w:r w:rsidR="00686B2B" w:rsidRPr="00D60EA5">
        <w:rPr>
          <w:rFonts w:ascii="Arial" w:hAnsi="Arial" w:cs="Arial"/>
          <w:sz w:val="24"/>
          <w:szCs w:val="24"/>
        </w:rPr>
        <w:t>el Departam</w:t>
      </w:r>
      <w:r w:rsidR="009C50BA" w:rsidRPr="00D60EA5">
        <w:rPr>
          <w:rFonts w:ascii="Arial" w:hAnsi="Arial" w:cs="Arial"/>
          <w:sz w:val="24"/>
          <w:szCs w:val="24"/>
        </w:rPr>
        <w:t>ento de Antioquia y la Nación –</w:t>
      </w:r>
      <w:r w:rsidR="00686B2B" w:rsidRPr="00D60EA5">
        <w:rPr>
          <w:rFonts w:ascii="Arial" w:hAnsi="Arial" w:cs="Arial"/>
          <w:sz w:val="24"/>
          <w:szCs w:val="24"/>
        </w:rPr>
        <w:t>Ministerio de Salud y Protección Social interpusieron</w:t>
      </w:r>
      <w:r w:rsidR="00C5089E" w:rsidRPr="00D60EA5">
        <w:rPr>
          <w:rFonts w:ascii="Arial" w:hAnsi="Arial" w:cs="Arial"/>
          <w:sz w:val="24"/>
          <w:szCs w:val="24"/>
        </w:rPr>
        <w:t>,</w:t>
      </w:r>
      <w:r w:rsidRPr="00D60EA5">
        <w:rPr>
          <w:rFonts w:ascii="Arial" w:hAnsi="Arial" w:cs="Arial"/>
          <w:sz w:val="24"/>
          <w:szCs w:val="24"/>
        </w:rPr>
        <w:t xml:space="preserve"> en </w:t>
      </w:r>
      <w:r w:rsidR="002E344A" w:rsidRPr="00D60EA5">
        <w:rPr>
          <w:rFonts w:ascii="Arial" w:hAnsi="Arial" w:cs="Arial"/>
          <w:sz w:val="24"/>
          <w:szCs w:val="24"/>
        </w:rPr>
        <w:t xml:space="preserve">la </w:t>
      </w:r>
      <w:r w:rsidRPr="00D60EA5">
        <w:rPr>
          <w:rFonts w:ascii="Arial" w:hAnsi="Arial" w:cs="Arial"/>
          <w:sz w:val="24"/>
          <w:szCs w:val="24"/>
        </w:rPr>
        <w:t>audiencia</w:t>
      </w:r>
      <w:r w:rsidR="002E344A" w:rsidRPr="00D60EA5">
        <w:rPr>
          <w:rFonts w:ascii="Arial" w:hAnsi="Arial" w:cs="Arial"/>
          <w:sz w:val="24"/>
          <w:szCs w:val="24"/>
        </w:rPr>
        <w:t xml:space="preserve"> inicial</w:t>
      </w:r>
      <w:r w:rsidR="00C5089E" w:rsidRPr="00D60EA5">
        <w:rPr>
          <w:rFonts w:ascii="Arial" w:hAnsi="Arial" w:cs="Arial"/>
          <w:sz w:val="24"/>
          <w:szCs w:val="24"/>
        </w:rPr>
        <w:t>,</w:t>
      </w:r>
      <w:r w:rsidRPr="00D60EA5">
        <w:rPr>
          <w:rFonts w:ascii="Arial" w:hAnsi="Arial" w:cs="Arial"/>
          <w:sz w:val="24"/>
          <w:szCs w:val="24"/>
        </w:rPr>
        <w:t xml:space="preserve"> recurso de apelación</w:t>
      </w:r>
      <w:r w:rsidR="00686B2B" w:rsidRPr="00D60EA5">
        <w:rPr>
          <w:rFonts w:ascii="Arial" w:hAnsi="Arial" w:cs="Arial"/>
          <w:sz w:val="24"/>
          <w:szCs w:val="24"/>
        </w:rPr>
        <w:t xml:space="preserve"> </w:t>
      </w:r>
      <w:r w:rsidR="00B63464" w:rsidRPr="00D60EA5">
        <w:rPr>
          <w:rFonts w:ascii="Arial" w:hAnsi="Arial" w:cs="Arial"/>
          <w:sz w:val="24"/>
          <w:szCs w:val="24"/>
        </w:rPr>
        <w:t xml:space="preserve">que fue </w:t>
      </w:r>
      <w:r w:rsidR="00686B2B" w:rsidRPr="00D60EA5">
        <w:rPr>
          <w:rFonts w:ascii="Arial" w:hAnsi="Arial" w:cs="Arial"/>
          <w:sz w:val="24"/>
          <w:szCs w:val="24"/>
        </w:rPr>
        <w:t>sustentado por cada entidad en los siguientes términos:</w:t>
      </w:r>
    </w:p>
    <w:p w14:paraId="5023141B" w14:textId="77777777" w:rsidR="008F0770" w:rsidRPr="00D60EA5" w:rsidRDefault="008F0770" w:rsidP="008F446C">
      <w:pPr>
        <w:pStyle w:val="Sinespaciado"/>
        <w:spacing w:line="360" w:lineRule="auto"/>
        <w:jc w:val="both"/>
        <w:rPr>
          <w:rFonts w:ascii="Arial" w:hAnsi="Arial" w:cs="Arial"/>
          <w:sz w:val="24"/>
          <w:szCs w:val="24"/>
        </w:rPr>
      </w:pPr>
    </w:p>
    <w:p w14:paraId="5899F2D2" w14:textId="77777777" w:rsidR="00B63464" w:rsidRPr="00D60EA5" w:rsidRDefault="00DC4216" w:rsidP="00B63464">
      <w:pPr>
        <w:pStyle w:val="Sinespaciado"/>
        <w:spacing w:line="360" w:lineRule="auto"/>
        <w:jc w:val="both"/>
        <w:rPr>
          <w:rFonts w:ascii="Arial" w:hAnsi="Arial" w:cs="Arial"/>
          <w:sz w:val="24"/>
          <w:szCs w:val="24"/>
        </w:rPr>
      </w:pPr>
      <w:r w:rsidRPr="00D60EA5">
        <w:rPr>
          <w:rFonts w:ascii="Arial" w:hAnsi="Arial" w:cs="Arial"/>
          <w:sz w:val="24"/>
          <w:szCs w:val="24"/>
        </w:rPr>
        <w:t>El</w:t>
      </w:r>
      <w:r w:rsidRPr="00D60EA5">
        <w:rPr>
          <w:rFonts w:ascii="Arial" w:hAnsi="Arial" w:cs="Arial"/>
          <w:b/>
          <w:sz w:val="24"/>
          <w:szCs w:val="24"/>
        </w:rPr>
        <w:t xml:space="preserve"> Departamento de Antioquia </w:t>
      </w:r>
      <w:r w:rsidRPr="00D60EA5">
        <w:rPr>
          <w:rFonts w:ascii="Arial" w:hAnsi="Arial" w:cs="Arial"/>
          <w:sz w:val="24"/>
          <w:szCs w:val="24"/>
        </w:rPr>
        <w:t>(min. 18:16)</w:t>
      </w:r>
      <w:r w:rsidR="007A3E8C" w:rsidRPr="00D60EA5">
        <w:rPr>
          <w:rFonts w:ascii="Arial" w:hAnsi="Arial" w:cs="Arial"/>
          <w:sz w:val="24"/>
          <w:szCs w:val="24"/>
        </w:rPr>
        <w:t xml:space="preserve"> sostuvo que </w:t>
      </w:r>
      <w:r w:rsidR="008F0770" w:rsidRPr="00D60EA5">
        <w:rPr>
          <w:rFonts w:ascii="Arial" w:hAnsi="Arial" w:cs="Arial"/>
          <w:sz w:val="24"/>
          <w:szCs w:val="24"/>
        </w:rPr>
        <w:t xml:space="preserve">la parte actora pretende extender el término de caducidad, </w:t>
      </w:r>
      <w:r w:rsidR="00B63464" w:rsidRPr="00D60EA5">
        <w:rPr>
          <w:rFonts w:ascii="Arial" w:hAnsi="Arial" w:cs="Arial"/>
          <w:sz w:val="24"/>
          <w:szCs w:val="24"/>
        </w:rPr>
        <w:t>más allá de lo dispuesto por el artículo 140 del CPACA, toda vez que e</w:t>
      </w:r>
      <w:r w:rsidR="008F0770" w:rsidRPr="00D60EA5">
        <w:rPr>
          <w:rFonts w:ascii="Arial" w:hAnsi="Arial" w:cs="Arial"/>
          <w:sz w:val="24"/>
          <w:szCs w:val="24"/>
        </w:rPr>
        <w:t xml:space="preserve">n el caso concreto, el hecho generador </w:t>
      </w:r>
      <w:r w:rsidR="00B63464" w:rsidRPr="00D60EA5">
        <w:rPr>
          <w:rFonts w:ascii="Arial" w:hAnsi="Arial" w:cs="Arial"/>
          <w:sz w:val="24"/>
          <w:szCs w:val="24"/>
        </w:rPr>
        <w:t xml:space="preserve">del daño </w:t>
      </w:r>
      <w:r w:rsidR="00A32FED" w:rsidRPr="00D60EA5">
        <w:rPr>
          <w:rFonts w:ascii="Arial" w:hAnsi="Arial" w:cs="Arial"/>
          <w:sz w:val="24"/>
          <w:szCs w:val="24"/>
        </w:rPr>
        <w:t xml:space="preserve">se derivó de </w:t>
      </w:r>
      <w:r w:rsidR="008F0770" w:rsidRPr="00D60EA5">
        <w:rPr>
          <w:rFonts w:ascii="Arial" w:hAnsi="Arial" w:cs="Arial"/>
          <w:sz w:val="24"/>
          <w:szCs w:val="24"/>
        </w:rPr>
        <w:t xml:space="preserve"> los contratos suscrit</w:t>
      </w:r>
      <w:r w:rsidR="00B63464" w:rsidRPr="00D60EA5">
        <w:rPr>
          <w:rFonts w:ascii="Arial" w:hAnsi="Arial" w:cs="Arial"/>
          <w:sz w:val="24"/>
          <w:szCs w:val="24"/>
        </w:rPr>
        <w:t>os con 58 m</w:t>
      </w:r>
      <w:r w:rsidR="008F0770" w:rsidRPr="00D60EA5">
        <w:rPr>
          <w:rFonts w:ascii="Arial" w:hAnsi="Arial" w:cs="Arial"/>
          <w:sz w:val="24"/>
          <w:szCs w:val="24"/>
        </w:rPr>
        <w:t>unicipios de Antioquia</w:t>
      </w:r>
      <w:r w:rsidR="00B63464" w:rsidRPr="00D60EA5">
        <w:rPr>
          <w:rFonts w:ascii="Arial" w:hAnsi="Arial" w:cs="Arial"/>
          <w:sz w:val="24"/>
          <w:szCs w:val="24"/>
        </w:rPr>
        <w:t>, los cuales</w:t>
      </w:r>
      <w:r w:rsidR="008F0770" w:rsidRPr="00D60EA5">
        <w:rPr>
          <w:rFonts w:ascii="Arial" w:hAnsi="Arial" w:cs="Arial"/>
          <w:sz w:val="24"/>
          <w:szCs w:val="24"/>
        </w:rPr>
        <w:t xml:space="preserve"> tenían una vigencia de un año según</w:t>
      </w:r>
      <w:r w:rsidR="00B63464" w:rsidRPr="00D60EA5">
        <w:rPr>
          <w:rFonts w:ascii="Arial" w:hAnsi="Arial" w:cs="Arial"/>
          <w:sz w:val="24"/>
          <w:szCs w:val="24"/>
        </w:rPr>
        <w:t xml:space="preserve"> el</w:t>
      </w:r>
      <w:r w:rsidR="008F0770" w:rsidRPr="00D60EA5">
        <w:rPr>
          <w:rFonts w:ascii="Arial" w:hAnsi="Arial" w:cs="Arial"/>
          <w:sz w:val="24"/>
          <w:szCs w:val="24"/>
        </w:rPr>
        <w:t xml:space="preserve"> Acuerdo 77 de 1997</w:t>
      </w:r>
      <w:r w:rsidR="00B63464" w:rsidRPr="00D60EA5">
        <w:rPr>
          <w:rFonts w:ascii="Arial" w:hAnsi="Arial" w:cs="Arial"/>
          <w:sz w:val="24"/>
          <w:szCs w:val="24"/>
        </w:rPr>
        <w:t>, reformado por el</w:t>
      </w:r>
      <w:r w:rsidR="008F0770" w:rsidRPr="00D60EA5">
        <w:rPr>
          <w:rFonts w:ascii="Arial" w:hAnsi="Arial" w:cs="Arial"/>
          <w:sz w:val="24"/>
          <w:szCs w:val="24"/>
        </w:rPr>
        <w:t xml:space="preserve"> Acuerdo 15 de 2009, </w:t>
      </w:r>
      <w:r w:rsidR="00B63464" w:rsidRPr="00D60EA5">
        <w:rPr>
          <w:rFonts w:ascii="Arial" w:hAnsi="Arial" w:cs="Arial"/>
          <w:sz w:val="24"/>
          <w:szCs w:val="24"/>
        </w:rPr>
        <w:t xml:space="preserve">comprendido desde </w:t>
      </w:r>
      <w:r w:rsidR="008F0770" w:rsidRPr="00D60EA5">
        <w:rPr>
          <w:rFonts w:ascii="Arial" w:hAnsi="Arial" w:cs="Arial"/>
          <w:sz w:val="24"/>
          <w:szCs w:val="24"/>
        </w:rPr>
        <w:t>el 1</w:t>
      </w:r>
      <w:r w:rsidR="00B63464" w:rsidRPr="00D60EA5">
        <w:rPr>
          <w:rFonts w:ascii="Arial" w:hAnsi="Arial" w:cs="Arial"/>
          <w:sz w:val="24"/>
          <w:szCs w:val="24"/>
        </w:rPr>
        <w:t>°</w:t>
      </w:r>
      <w:r w:rsidR="008F0770" w:rsidRPr="00D60EA5">
        <w:rPr>
          <w:rFonts w:ascii="Arial" w:hAnsi="Arial" w:cs="Arial"/>
          <w:sz w:val="24"/>
          <w:szCs w:val="24"/>
        </w:rPr>
        <w:t xml:space="preserve"> de abril a</w:t>
      </w:r>
      <w:r w:rsidR="00B63464" w:rsidRPr="00D60EA5">
        <w:rPr>
          <w:rFonts w:ascii="Arial" w:hAnsi="Arial" w:cs="Arial"/>
          <w:sz w:val="24"/>
          <w:szCs w:val="24"/>
        </w:rPr>
        <w:t>l</w:t>
      </w:r>
      <w:r w:rsidR="008F0770" w:rsidRPr="00D60EA5">
        <w:rPr>
          <w:rFonts w:ascii="Arial" w:hAnsi="Arial" w:cs="Arial"/>
          <w:sz w:val="24"/>
          <w:szCs w:val="24"/>
        </w:rPr>
        <w:t xml:space="preserve"> 31 de marzo</w:t>
      </w:r>
      <w:r w:rsidR="00B63464" w:rsidRPr="00D60EA5">
        <w:rPr>
          <w:rFonts w:ascii="Arial" w:hAnsi="Arial" w:cs="Arial"/>
          <w:sz w:val="24"/>
          <w:szCs w:val="24"/>
        </w:rPr>
        <w:t xml:space="preserve"> del año siguiente, de manera que los resultados de la operación se </w:t>
      </w:r>
      <w:r w:rsidR="00A32FED" w:rsidRPr="00D60EA5">
        <w:rPr>
          <w:rFonts w:ascii="Arial" w:hAnsi="Arial" w:cs="Arial"/>
          <w:sz w:val="24"/>
          <w:szCs w:val="24"/>
        </w:rPr>
        <w:t>pudieron conocer al finalizar cada anualidad.</w:t>
      </w:r>
    </w:p>
    <w:p w14:paraId="1F3B1409" w14:textId="77777777" w:rsidR="00A32FED" w:rsidRPr="00D60EA5" w:rsidRDefault="00A32FED" w:rsidP="00B63464">
      <w:pPr>
        <w:pStyle w:val="Sinespaciado"/>
        <w:spacing w:line="360" w:lineRule="auto"/>
        <w:jc w:val="both"/>
        <w:rPr>
          <w:rFonts w:ascii="Arial" w:hAnsi="Arial" w:cs="Arial"/>
          <w:sz w:val="24"/>
          <w:szCs w:val="24"/>
        </w:rPr>
      </w:pPr>
    </w:p>
    <w:p w14:paraId="78A0E5F9" w14:textId="77777777" w:rsidR="00CD487F" w:rsidRPr="00D60EA5" w:rsidRDefault="00B63464" w:rsidP="00B63464">
      <w:pPr>
        <w:pStyle w:val="Sinespaciado"/>
        <w:spacing w:line="360" w:lineRule="auto"/>
        <w:jc w:val="both"/>
        <w:rPr>
          <w:rFonts w:ascii="Arial" w:hAnsi="Arial" w:cs="Arial"/>
          <w:sz w:val="24"/>
          <w:szCs w:val="24"/>
        </w:rPr>
      </w:pPr>
      <w:r w:rsidRPr="00D60EA5">
        <w:rPr>
          <w:rFonts w:ascii="Arial" w:hAnsi="Arial" w:cs="Arial"/>
          <w:sz w:val="24"/>
          <w:szCs w:val="24"/>
        </w:rPr>
        <w:t>Manifestó que para la época de los hechos, se</w:t>
      </w:r>
      <w:r w:rsidR="008F0770" w:rsidRPr="00D60EA5">
        <w:rPr>
          <w:rFonts w:ascii="Arial" w:hAnsi="Arial" w:cs="Arial"/>
          <w:sz w:val="24"/>
          <w:szCs w:val="24"/>
        </w:rPr>
        <w:t xml:space="preserve"> exigía</w:t>
      </w:r>
      <w:r w:rsidRPr="00D60EA5">
        <w:rPr>
          <w:rFonts w:ascii="Arial" w:hAnsi="Arial" w:cs="Arial"/>
          <w:sz w:val="24"/>
          <w:szCs w:val="24"/>
        </w:rPr>
        <w:t xml:space="preserve"> la liquidación de cada contrato dentro de los cuatro meses siguientes a la terminación </w:t>
      </w:r>
      <w:r w:rsidR="00CD487F" w:rsidRPr="00D60EA5">
        <w:rPr>
          <w:rFonts w:ascii="Arial" w:hAnsi="Arial" w:cs="Arial"/>
          <w:sz w:val="24"/>
          <w:szCs w:val="24"/>
        </w:rPr>
        <w:t>de su</w:t>
      </w:r>
      <w:r w:rsidRPr="00D60EA5">
        <w:rPr>
          <w:rFonts w:ascii="Arial" w:hAnsi="Arial" w:cs="Arial"/>
          <w:sz w:val="24"/>
          <w:szCs w:val="24"/>
        </w:rPr>
        <w:t xml:space="preserve"> </w:t>
      </w:r>
      <w:r w:rsidR="008F0770" w:rsidRPr="00D60EA5">
        <w:rPr>
          <w:rFonts w:ascii="Arial" w:hAnsi="Arial" w:cs="Arial"/>
          <w:sz w:val="24"/>
          <w:szCs w:val="24"/>
        </w:rPr>
        <w:t>vigencia</w:t>
      </w:r>
      <w:r w:rsidR="00CD487F" w:rsidRPr="00D60EA5">
        <w:rPr>
          <w:rFonts w:ascii="Arial" w:hAnsi="Arial" w:cs="Arial"/>
          <w:sz w:val="24"/>
          <w:szCs w:val="24"/>
        </w:rPr>
        <w:t xml:space="preserve"> y, en esa etapa </w:t>
      </w:r>
      <w:r w:rsidR="008F0770" w:rsidRPr="00D60EA5">
        <w:rPr>
          <w:rFonts w:ascii="Arial" w:hAnsi="Arial" w:cs="Arial"/>
          <w:sz w:val="24"/>
          <w:szCs w:val="24"/>
        </w:rPr>
        <w:t>se hacía una revisión de la ejecución</w:t>
      </w:r>
      <w:r w:rsidR="00217731" w:rsidRPr="00D60EA5">
        <w:rPr>
          <w:rFonts w:ascii="Arial" w:hAnsi="Arial" w:cs="Arial"/>
          <w:sz w:val="24"/>
          <w:szCs w:val="24"/>
        </w:rPr>
        <w:t xml:space="preserve"> total del acuerdo</w:t>
      </w:r>
      <w:r w:rsidR="008F0770" w:rsidRPr="00D60EA5">
        <w:rPr>
          <w:rFonts w:ascii="Arial" w:hAnsi="Arial" w:cs="Arial"/>
          <w:sz w:val="24"/>
          <w:szCs w:val="24"/>
        </w:rPr>
        <w:t xml:space="preserve">, </w:t>
      </w:r>
      <w:r w:rsidR="00CD487F" w:rsidRPr="00D60EA5">
        <w:rPr>
          <w:rFonts w:ascii="Arial" w:hAnsi="Arial" w:cs="Arial"/>
          <w:sz w:val="24"/>
          <w:szCs w:val="24"/>
        </w:rPr>
        <w:t xml:space="preserve">luego </w:t>
      </w:r>
      <w:r w:rsidR="008F0770" w:rsidRPr="00D60EA5">
        <w:rPr>
          <w:rFonts w:ascii="Arial" w:hAnsi="Arial" w:cs="Arial"/>
          <w:sz w:val="24"/>
          <w:szCs w:val="24"/>
        </w:rPr>
        <w:t>la parte actora</w:t>
      </w:r>
      <w:r w:rsidR="00C46E35" w:rsidRPr="00D60EA5">
        <w:rPr>
          <w:rFonts w:ascii="Arial" w:hAnsi="Arial" w:cs="Arial"/>
          <w:sz w:val="24"/>
          <w:szCs w:val="24"/>
        </w:rPr>
        <w:t>,</w:t>
      </w:r>
      <w:r w:rsidR="008F0770" w:rsidRPr="00D60EA5">
        <w:rPr>
          <w:rFonts w:ascii="Arial" w:hAnsi="Arial" w:cs="Arial"/>
          <w:sz w:val="24"/>
          <w:szCs w:val="24"/>
        </w:rPr>
        <w:t xml:space="preserve"> </w:t>
      </w:r>
      <w:r w:rsidR="00CD487F" w:rsidRPr="00D60EA5">
        <w:rPr>
          <w:rFonts w:ascii="Arial" w:hAnsi="Arial" w:cs="Arial"/>
          <w:sz w:val="24"/>
          <w:szCs w:val="24"/>
        </w:rPr>
        <w:t>desde ese momento</w:t>
      </w:r>
      <w:r w:rsidR="00C46E35" w:rsidRPr="00D60EA5">
        <w:rPr>
          <w:rFonts w:ascii="Arial" w:hAnsi="Arial" w:cs="Arial"/>
          <w:sz w:val="24"/>
          <w:szCs w:val="24"/>
        </w:rPr>
        <w:t>,</w:t>
      </w:r>
      <w:r w:rsidR="00CD487F" w:rsidRPr="00D60EA5">
        <w:rPr>
          <w:rFonts w:ascii="Arial" w:hAnsi="Arial" w:cs="Arial"/>
          <w:sz w:val="24"/>
          <w:szCs w:val="24"/>
        </w:rPr>
        <w:t xml:space="preserve"> </w:t>
      </w:r>
      <w:r w:rsidR="008F0770" w:rsidRPr="00D60EA5">
        <w:rPr>
          <w:rFonts w:ascii="Arial" w:hAnsi="Arial" w:cs="Arial"/>
          <w:sz w:val="24"/>
          <w:szCs w:val="24"/>
        </w:rPr>
        <w:t>debió tener conocimiento de</w:t>
      </w:r>
      <w:r w:rsidR="00CD487F" w:rsidRPr="00D60EA5">
        <w:rPr>
          <w:rFonts w:ascii="Arial" w:hAnsi="Arial" w:cs="Arial"/>
          <w:sz w:val="24"/>
          <w:szCs w:val="24"/>
        </w:rPr>
        <w:t>l balance de cada contrato</w:t>
      </w:r>
      <w:r w:rsidR="00C46E35" w:rsidRPr="00D60EA5">
        <w:rPr>
          <w:rFonts w:ascii="Arial" w:hAnsi="Arial" w:cs="Arial"/>
          <w:sz w:val="24"/>
          <w:szCs w:val="24"/>
        </w:rPr>
        <w:t>,</w:t>
      </w:r>
      <w:r w:rsidR="00CD487F" w:rsidRPr="00D60EA5">
        <w:rPr>
          <w:rFonts w:ascii="Arial" w:hAnsi="Arial" w:cs="Arial"/>
          <w:sz w:val="24"/>
          <w:szCs w:val="24"/>
        </w:rPr>
        <w:t xml:space="preserve"> máxime cuando </w:t>
      </w:r>
      <w:r w:rsidR="008F0770" w:rsidRPr="00D60EA5">
        <w:rPr>
          <w:rFonts w:ascii="Arial" w:hAnsi="Arial" w:cs="Arial"/>
          <w:sz w:val="24"/>
          <w:szCs w:val="24"/>
        </w:rPr>
        <w:t xml:space="preserve">tenía el deber de </w:t>
      </w:r>
      <w:r w:rsidR="00CD487F" w:rsidRPr="00D60EA5">
        <w:rPr>
          <w:rFonts w:ascii="Arial" w:hAnsi="Arial" w:cs="Arial"/>
          <w:sz w:val="24"/>
          <w:szCs w:val="24"/>
        </w:rPr>
        <w:t>presentar ante la Superintendencia Nacional de Salud</w:t>
      </w:r>
      <w:r w:rsidR="008F0770" w:rsidRPr="00D60EA5">
        <w:rPr>
          <w:rFonts w:ascii="Arial" w:hAnsi="Arial" w:cs="Arial"/>
          <w:sz w:val="24"/>
          <w:szCs w:val="24"/>
        </w:rPr>
        <w:t xml:space="preserve"> los estados financieros consolidados</w:t>
      </w:r>
      <w:r w:rsidR="00CD487F" w:rsidRPr="00D60EA5">
        <w:rPr>
          <w:rFonts w:ascii="Arial" w:hAnsi="Arial" w:cs="Arial"/>
          <w:sz w:val="24"/>
          <w:szCs w:val="24"/>
        </w:rPr>
        <w:t xml:space="preserve"> de cada año, en los que se reflejaban las </w:t>
      </w:r>
      <w:r w:rsidR="008F0770" w:rsidRPr="00D60EA5">
        <w:rPr>
          <w:rFonts w:ascii="Arial" w:hAnsi="Arial" w:cs="Arial"/>
          <w:sz w:val="24"/>
          <w:szCs w:val="24"/>
        </w:rPr>
        <w:t>pérdidas y ganancias</w:t>
      </w:r>
      <w:r w:rsidR="00CD487F" w:rsidRPr="00D60EA5">
        <w:rPr>
          <w:rFonts w:ascii="Arial" w:hAnsi="Arial" w:cs="Arial"/>
          <w:sz w:val="24"/>
          <w:szCs w:val="24"/>
        </w:rPr>
        <w:t xml:space="preserve"> de la operación.</w:t>
      </w:r>
    </w:p>
    <w:p w14:paraId="562C75D1" w14:textId="77777777" w:rsidR="00CD487F" w:rsidRPr="00D60EA5" w:rsidRDefault="00CD487F" w:rsidP="00B63464">
      <w:pPr>
        <w:pStyle w:val="Sinespaciado"/>
        <w:spacing w:line="360" w:lineRule="auto"/>
        <w:jc w:val="both"/>
        <w:rPr>
          <w:rFonts w:ascii="Arial" w:hAnsi="Arial" w:cs="Arial"/>
          <w:sz w:val="24"/>
          <w:szCs w:val="24"/>
        </w:rPr>
      </w:pPr>
    </w:p>
    <w:p w14:paraId="25EA3289" w14:textId="77777777" w:rsidR="008F0770" w:rsidRPr="00D60EA5" w:rsidRDefault="00217731" w:rsidP="00B63464">
      <w:pPr>
        <w:pStyle w:val="Sinespaciado"/>
        <w:spacing w:line="360" w:lineRule="auto"/>
        <w:jc w:val="both"/>
        <w:rPr>
          <w:rFonts w:ascii="Arial" w:hAnsi="Arial" w:cs="Arial"/>
          <w:sz w:val="24"/>
          <w:szCs w:val="24"/>
        </w:rPr>
      </w:pPr>
      <w:r w:rsidRPr="00D60EA5">
        <w:rPr>
          <w:rFonts w:ascii="Arial" w:hAnsi="Arial" w:cs="Arial"/>
          <w:sz w:val="24"/>
          <w:szCs w:val="24"/>
        </w:rPr>
        <w:t xml:space="preserve">Adujo, también, </w:t>
      </w:r>
      <w:proofErr w:type="gramStart"/>
      <w:r w:rsidRPr="00D60EA5">
        <w:rPr>
          <w:rFonts w:ascii="Arial" w:hAnsi="Arial" w:cs="Arial"/>
          <w:sz w:val="24"/>
          <w:szCs w:val="24"/>
        </w:rPr>
        <w:t>que</w:t>
      </w:r>
      <w:proofErr w:type="gramEnd"/>
      <w:r w:rsidRPr="00D60EA5">
        <w:rPr>
          <w:rFonts w:ascii="Arial" w:hAnsi="Arial" w:cs="Arial"/>
          <w:sz w:val="24"/>
          <w:szCs w:val="24"/>
        </w:rPr>
        <w:t xml:space="preserve"> en el caso de</w:t>
      </w:r>
      <w:r w:rsidR="00C46E35" w:rsidRPr="00D60EA5">
        <w:rPr>
          <w:rFonts w:ascii="Arial" w:hAnsi="Arial" w:cs="Arial"/>
          <w:sz w:val="24"/>
          <w:szCs w:val="24"/>
        </w:rPr>
        <w:t>l municipio de</w:t>
      </w:r>
      <w:r w:rsidRPr="00D60EA5">
        <w:rPr>
          <w:rFonts w:ascii="Arial" w:hAnsi="Arial" w:cs="Arial"/>
          <w:sz w:val="24"/>
          <w:szCs w:val="24"/>
        </w:rPr>
        <w:t xml:space="preserve"> </w:t>
      </w:r>
      <w:r w:rsidR="00686B2B" w:rsidRPr="00D60EA5">
        <w:rPr>
          <w:rFonts w:ascii="Arial" w:hAnsi="Arial" w:cs="Arial"/>
          <w:sz w:val="24"/>
          <w:szCs w:val="24"/>
        </w:rPr>
        <w:t>Medellín</w:t>
      </w:r>
      <w:r w:rsidR="00AC5CCF" w:rsidRPr="00D60EA5">
        <w:rPr>
          <w:rFonts w:ascii="Arial" w:hAnsi="Arial" w:cs="Arial"/>
          <w:sz w:val="24"/>
          <w:szCs w:val="24"/>
        </w:rPr>
        <w:t>,</w:t>
      </w:r>
      <w:r w:rsidRPr="00D60EA5">
        <w:rPr>
          <w:rFonts w:ascii="Arial" w:hAnsi="Arial" w:cs="Arial"/>
          <w:sz w:val="24"/>
          <w:szCs w:val="24"/>
        </w:rPr>
        <w:t xml:space="preserve"> la empresa demandante </w:t>
      </w:r>
      <w:r w:rsidR="00686B2B" w:rsidRPr="00D60EA5">
        <w:rPr>
          <w:rFonts w:ascii="Arial" w:hAnsi="Arial" w:cs="Arial"/>
          <w:sz w:val="24"/>
          <w:szCs w:val="24"/>
        </w:rPr>
        <w:t xml:space="preserve">operó </w:t>
      </w:r>
      <w:r w:rsidRPr="00D60EA5">
        <w:rPr>
          <w:rFonts w:ascii="Arial" w:hAnsi="Arial" w:cs="Arial"/>
          <w:sz w:val="24"/>
          <w:szCs w:val="24"/>
        </w:rPr>
        <w:t xml:space="preserve">únicamente un año en el régimen subsidiado, desde abril de 2008 hasta marzo </w:t>
      </w:r>
      <w:r w:rsidR="00686B2B" w:rsidRPr="00D60EA5">
        <w:rPr>
          <w:rFonts w:ascii="Arial" w:hAnsi="Arial" w:cs="Arial"/>
          <w:sz w:val="24"/>
          <w:szCs w:val="24"/>
        </w:rPr>
        <w:t>2009</w:t>
      </w:r>
      <w:r w:rsidRPr="00D60EA5">
        <w:rPr>
          <w:rFonts w:ascii="Arial" w:hAnsi="Arial" w:cs="Arial"/>
          <w:sz w:val="24"/>
          <w:szCs w:val="24"/>
        </w:rPr>
        <w:t>, y pese a ello</w:t>
      </w:r>
      <w:r w:rsidR="00686B2B" w:rsidRPr="00D60EA5">
        <w:rPr>
          <w:rFonts w:ascii="Arial" w:hAnsi="Arial" w:cs="Arial"/>
          <w:sz w:val="24"/>
          <w:szCs w:val="24"/>
        </w:rPr>
        <w:t xml:space="preserve"> continuó suscribiendo contratos</w:t>
      </w:r>
      <w:r w:rsidRPr="00D60EA5">
        <w:rPr>
          <w:rFonts w:ascii="Arial" w:hAnsi="Arial" w:cs="Arial"/>
          <w:sz w:val="24"/>
          <w:szCs w:val="24"/>
        </w:rPr>
        <w:t xml:space="preserve"> </w:t>
      </w:r>
      <w:r w:rsidR="00686B2B" w:rsidRPr="00D60EA5">
        <w:rPr>
          <w:rFonts w:ascii="Arial" w:hAnsi="Arial" w:cs="Arial"/>
          <w:sz w:val="24"/>
          <w:szCs w:val="24"/>
        </w:rPr>
        <w:t>con</w:t>
      </w:r>
      <w:r w:rsidRPr="00D60EA5">
        <w:rPr>
          <w:rFonts w:ascii="Arial" w:hAnsi="Arial" w:cs="Arial"/>
          <w:sz w:val="24"/>
          <w:szCs w:val="24"/>
        </w:rPr>
        <w:t xml:space="preserve"> otros </w:t>
      </w:r>
      <w:r w:rsidR="00686B2B" w:rsidRPr="00D60EA5">
        <w:rPr>
          <w:rFonts w:ascii="Arial" w:hAnsi="Arial" w:cs="Arial"/>
          <w:sz w:val="24"/>
          <w:szCs w:val="24"/>
        </w:rPr>
        <w:t xml:space="preserve">municipios de Antioquia, </w:t>
      </w:r>
      <w:r w:rsidR="00AC5CCF" w:rsidRPr="00D60EA5">
        <w:rPr>
          <w:rFonts w:ascii="Arial" w:hAnsi="Arial" w:cs="Arial"/>
          <w:sz w:val="24"/>
          <w:szCs w:val="24"/>
        </w:rPr>
        <w:t xml:space="preserve">siendo claro que </w:t>
      </w:r>
      <w:r w:rsidRPr="00D60EA5">
        <w:rPr>
          <w:rFonts w:ascii="Arial" w:hAnsi="Arial" w:cs="Arial"/>
          <w:sz w:val="24"/>
          <w:szCs w:val="24"/>
        </w:rPr>
        <w:t>debía</w:t>
      </w:r>
      <w:r w:rsidR="00686B2B" w:rsidRPr="00D60EA5">
        <w:rPr>
          <w:rFonts w:ascii="Arial" w:hAnsi="Arial" w:cs="Arial"/>
          <w:sz w:val="24"/>
          <w:szCs w:val="24"/>
        </w:rPr>
        <w:t xml:space="preserve"> computarse</w:t>
      </w:r>
      <w:r w:rsidRPr="00D60EA5">
        <w:rPr>
          <w:rFonts w:ascii="Arial" w:hAnsi="Arial" w:cs="Arial"/>
          <w:sz w:val="24"/>
          <w:szCs w:val="24"/>
        </w:rPr>
        <w:t xml:space="preserve"> el término de caducidad frente a la operación desarrollada en cada</w:t>
      </w:r>
      <w:r w:rsidR="00686B2B" w:rsidRPr="00D60EA5">
        <w:rPr>
          <w:rFonts w:ascii="Arial" w:hAnsi="Arial" w:cs="Arial"/>
          <w:sz w:val="24"/>
          <w:szCs w:val="24"/>
        </w:rPr>
        <w:t xml:space="preserve"> municipio</w:t>
      </w:r>
      <w:r w:rsidRPr="00D60EA5">
        <w:rPr>
          <w:rFonts w:ascii="Arial" w:hAnsi="Arial" w:cs="Arial"/>
          <w:sz w:val="24"/>
          <w:szCs w:val="24"/>
        </w:rPr>
        <w:t>.</w:t>
      </w:r>
    </w:p>
    <w:p w14:paraId="664355AD" w14:textId="77777777" w:rsidR="00686B2B" w:rsidRPr="00D60EA5" w:rsidRDefault="00686B2B" w:rsidP="008F446C">
      <w:pPr>
        <w:pStyle w:val="Sinespaciado"/>
        <w:spacing w:line="360" w:lineRule="auto"/>
        <w:jc w:val="both"/>
        <w:rPr>
          <w:rFonts w:ascii="Arial" w:hAnsi="Arial" w:cs="Arial"/>
          <w:sz w:val="24"/>
          <w:szCs w:val="24"/>
        </w:rPr>
      </w:pPr>
    </w:p>
    <w:p w14:paraId="012940C8" w14:textId="77777777" w:rsidR="00A32FED" w:rsidRPr="00D60EA5" w:rsidRDefault="007A3E8C" w:rsidP="008F446C">
      <w:pPr>
        <w:pStyle w:val="Sinespaciado"/>
        <w:spacing w:line="360" w:lineRule="auto"/>
        <w:jc w:val="both"/>
        <w:rPr>
          <w:rFonts w:ascii="Arial" w:hAnsi="Arial" w:cs="Arial"/>
          <w:sz w:val="24"/>
          <w:szCs w:val="24"/>
        </w:rPr>
      </w:pPr>
      <w:r w:rsidRPr="00D60EA5">
        <w:rPr>
          <w:rFonts w:ascii="Arial" w:hAnsi="Arial" w:cs="Arial"/>
          <w:sz w:val="24"/>
          <w:szCs w:val="24"/>
        </w:rPr>
        <w:t xml:space="preserve">El </w:t>
      </w:r>
      <w:r w:rsidR="00686B2B" w:rsidRPr="00D60EA5">
        <w:rPr>
          <w:rFonts w:ascii="Arial" w:hAnsi="Arial" w:cs="Arial"/>
          <w:b/>
          <w:sz w:val="24"/>
          <w:szCs w:val="24"/>
        </w:rPr>
        <w:t>Min</w:t>
      </w:r>
      <w:r w:rsidRPr="00D60EA5">
        <w:rPr>
          <w:rFonts w:ascii="Arial" w:hAnsi="Arial" w:cs="Arial"/>
          <w:b/>
          <w:sz w:val="24"/>
          <w:szCs w:val="24"/>
        </w:rPr>
        <w:t>isterio de S</w:t>
      </w:r>
      <w:r w:rsidR="00686B2B" w:rsidRPr="00D60EA5">
        <w:rPr>
          <w:rFonts w:ascii="Arial" w:hAnsi="Arial" w:cs="Arial"/>
          <w:b/>
          <w:sz w:val="24"/>
          <w:szCs w:val="24"/>
        </w:rPr>
        <w:t>alud</w:t>
      </w:r>
      <w:r w:rsidRPr="00D60EA5">
        <w:rPr>
          <w:rFonts w:ascii="Arial" w:hAnsi="Arial" w:cs="Arial"/>
          <w:b/>
          <w:sz w:val="24"/>
          <w:szCs w:val="24"/>
        </w:rPr>
        <w:t xml:space="preserve"> y Protección Social</w:t>
      </w:r>
      <w:r w:rsidR="00686B2B" w:rsidRPr="00D60EA5">
        <w:rPr>
          <w:rFonts w:ascii="Arial" w:hAnsi="Arial" w:cs="Arial"/>
          <w:sz w:val="24"/>
          <w:szCs w:val="24"/>
        </w:rPr>
        <w:t xml:space="preserve"> </w:t>
      </w:r>
      <w:r w:rsidRPr="00D60EA5">
        <w:rPr>
          <w:rFonts w:ascii="Arial" w:hAnsi="Arial" w:cs="Arial"/>
          <w:sz w:val="24"/>
          <w:szCs w:val="24"/>
        </w:rPr>
        <w:t xml:space="preserve">(min. </w:t>
      </w:r>
      <w:r w:rsidR="00686B2B" w:rsidRPr="00D60EA5">
        <w:rPr>
          <w:rFonts w:ascii="Arial" w:hAnsi="Arial" w:cs="Arial"/>
          <w:sz w:val="24"/>
          <w:szCs w:val="24"/>
        </w:rPr>
        <w:t>27:00</w:t>
      </w:r>
      <w:r w:rsidRPr="00D60EA5">
        <w:rPr>
          <w:rFonts w:ascii="Arial" w:hAnsi="Arial" w:cs="Arial"/>
          <w:sz w:val="24"/>
          <w:szCs w:val="24"/>
        </w:rPr>
        <w:t>)</w:t>
      </w:r>
      <w:r w:rsidR="00686B2B" w:rsidRPr="00D60EA5">
        <w:rPr>
          <w:rFonts w:ascii="Arial" w:hAnsi="Arial" w:cs="Arial"/>
          <w:sz w:val="24"/>
          <w:szCs w:val="24"/>
        </w:rPr>
        <w:t xml:space="preserve"> </w:t>
      </w:r>
      <w:r w:rsidR="00A32FED" w:rsidRPr="00D60EA5">
        <w:rPr>
          <w:rFonts w:ascii="Arial" w:hAnsi="Arial" w:cs="Arial"/>
          <w:sz w:val="24"/>
          <w:szCs w:val="24"/>
        </w:rPr>
        <w:t>indicó</w:t>
      </w:r>
      <w:r w:rsidR="00686B2B" w:rsidRPr="00D60EA5">
        <w:rPr>
          <w:rFonts w:ascii="Arial" w:hAnsi="Arial" w:cs="Arial"/>
          <w:sz w:val="24"/>
          <w:szCs w:val="24"/>
        </w:rPr>
        <w:t xml:space="preserve"> que</w:t>
      </w:r>
      <w:r w:rsidR="00A32FED" w:rsidRPr="00D60EA5">
        <w:rPr>
          <w:rFonts w:ascii="Arial" w:hAnsi="Arial" w:cs="Arial"/>
          <w:sz w:val="24"/>
          <w:szCs w:val="24"/>
        </w:rPr>
        <w:t xml:space="preserve"> según lo expuesto en la demanda,</w:t>
      </w:r>
      <w:r w:rsidR="00686B2B" w:rsidRPr="00D60EA5">
        <w:rPr>
          <w:rFonts w:ascii="Arial" w:hAnsi="Arial" w:cs="Arial"/>
          <w:sz w:val="24"/>
          <w:szCs w:val="24"/>
        </w:rPr>
        <w:t xml:space="preserve"> no se plantea </w:t>
      </w:r>
      <w:r w:rsidR="00A32FED" w:rsidRPr="00D60EA5">
        <w:rPr>
          <w:rFonts w:ascii="Arial" w:hAnsi="Arial" w:cs="Arial"/>
          <w:sz w:val="24"/>
          <w:szCs w:val="24"/>
        </w:rPr>
        <w:t xml:space="preserve">una </w:t>
      </w:r>
      <w:r w:rsidR="00686B2B" w:rsidRPr="00D60EA5">
        <w:rPr>
          <w:rFonts w:ascii="Arial" w:hAnsi="Arial" w:cs="Arial"/>
          <w:sz w:val="24"/>
          <w:szCs w:val="24"/>
        </w:rPr>
        <w:t>controversia contractual si</w:t>
      </w:r>
      <w:r w:rsidR="00A32FED" w:rsidRPr="00D60EA5">
        <w:rPr>
          <w:rFonts w:ascii="Arial" w:hAnsi="Arial" w:cs="Arial"/>
          <w:sz w:val="24"/>
          <w:szCs w:val="24"/>
        </w:rPr>
        <w:t>no un enriquecimiento sin causa, por lo que hizo alusión a la sentencia proferida por el Consejo de Estado en el proceso radicado bajo el número</w:t>
      </w:r>
      <w:r w:rsidR="00686B2B" w:rsidRPr="00D60EA5">
        <w:rPr>
          <w:rFonts w:ascii="Arial" w:hAnsi="Arial" w:cs="Arial"/>
          <w:sz w:val="24"/>
          <w:szCs w:val="24"/>
        </w:rPr>
        <w:t xml:space="preserve"> 2001-049-01, </w:t>
      </w:r>
      <w:r w:rsidR="00A32FED" w:rsidRPr="00D60EA5">
        <w:rPr>
          <w:rFonts w:ascii="Arial" w:hAnsi="Arial" w:cs="Arial"/>
          <w:sz w:val="24"/>
          <w:szCs w:val="24"/>
        </w:rPr>
        <w:t>para concluir que</w:t>
      </w:r>
      <w:r w:rsidR="009C50BA" w:rsidRPr="00D60EA5">
        <w:rPr>
          <w:rFonts w:ascii="Arial" w:hAnsi="Arial" w:cs="Arial"/>
          <w:sz w:val="24"/>
          <w:szCs w:val="24"/>
        </w:rPr>
        <w:t>,</w:t>
      </w:r>
      <w:r w:rsidR="00A32FED" w:rsidRPr="00D60EA5">
        <w:rPr>
          <w:rFonts w:ascii="Arial" w:hAnsi="Arial" w:cs="Arial"/>
          <w:sz w:val="24"/>
          <w:szCs w:val="24"/>
        </w:rPr>
        <w:t xml:space="preserve"> en el caso concreto</w:t>
      </w:r>
      <w:r w:rsidR="009C50BA" w:rsidRPr="00D60EA5">
        <w:rPr>
          <w:rFonts w:ascii="Arial" w:hAnsi="Arial" w:cs="Arial"/>
          <w:sz w:val="24"/>
          <w:szCs w:val="24"/>
        </w:rPr>
        <w:t>,</w:t>
      </w:r>
      <w:r w:rsidR="00A32FED" w:rsidRPr="00D60EA5">
        <w:rPr>
          <w:rFonts w:ascii="Arial" w:hAnsi="Arial" w:cs="Arial"/>
          <w:sz w:val="24"/>
          <w:szCs w:val="24"/>
        </w:rPr>
        <w:t xml:space="preserve"> el daño al que alude la parte actora se desprende de o</w:t>
      </w:r>
      <w:r w:rsidR="00686B2B" w:rsidRPr="00D60EA5">
        <w:rPr>
          <w:rFonts w:ascii="Arial" w:hAnsi="Arial" w:cs="Arial"/>
          <w:sz w:val="24"/>
          <w:szCs w:val="24"/>
        </w:rPr>
        <w:t>bligaciones puras y simples,</w:t>
      </w:r>
      <w:r w:rsidR="00A32FED" w:rsidRPr="00D60EA5">
        <w:rPr>
          <w:rFonts w:ascii="Arial" w:hAnsi="Arial" w:cs="Arial"/>
          <w:sz w:val="24"/>
          <w:szCs w:val="24"/>
        </w:rPr>
        <w:t xml:space="preserve"> en tanto </w:t>
      </w:r>
      <w:r w:rsidR="00686B2B" w:rsidRPr="00D60EA5">
        <w:rPr>
          <w:rFonts w:ascii="Arial" w:hAnsi="Arial" w:cs="Arial"/>
          <w:sz w:val="24"/>
          <w:szCs w:val="24"/>
        </w:rPr>
        <w:t>no están sometidas a condición o plazo y</w:t>
      </w:r>
      <w:r w:rsidR="00C46E35" w:rsidRPr="00D60EA5">
        <w:rPr>
          <w:rFonts w:ascii="Arial" w:hAnsi="Arial" w:cs="Arial"/>
          <w:sz w:val="24"/>
          <w:szCs w:val="24"/>
        </w:rPr>
        <w:t>,</w:t>
      </w:r>
      <w:r w:rsidR="00686B2B" w:rsidRPr="00D60EA5">
        <w:rPr>
          <w:rFonts w:ascii="Arial" w:hAnsi="Arial" w:cs="Arial"/>
          <w:sz w:val="24"/>
          <w:szCs w:val="24"/>
        </w:rPr>
        <w:t xml:space="preserve"> </w:t>
      </w:r>
      <w:r w:rsidR="00A32FED" w:rsidRPr="00D60EA5">
        <w:rPr>
          <w:rFonts w:ascii="Arial" w:hAnsi="Arial" w:cs="Arial"/>
          <w:sz w:val="24"/>
          <w:szCs w:val="24"/>
        </w:rPr>
        <w:t>por ende</w:t>
      </w:r>
      <w:r w:rsidR="00C46E35" w:rsidRPr="00D60EA5">
        <w:rPr>
          <w:rFonts w:ascii="Arial" w:hAnsi="Arial" w:cs="Arial"/>
          <w:sz w:val="24"/>
          <w:szCs w:val="24"/>
        </w:rPr>
        <w:t>,</w:t>
      </w:r>
      <w:r w:rsidR="00A32FED" w:rsidRPr="00D60EA5">
        <w:rPr>
          <w:rFonts w:ascii="Arial" w:hAnsi="Arial" w:cs="Arial"/>
          <w:sz w:val="24"/>
          <w:szCs w:val="24"/>
        </w:rPr>
        <w:t xml:space="preserve"> </w:t>
      </w:r>
      <w:r w:rsidR="00686B2B" w:rsidRPr="00D60EA5">
        <w:rPr>
          <w:rFonts w:ascii="Arial" w:hAnsi="Arial" w:cs="Arial"/>
          <w:sz w:val="24"/>
          <w:szCs w:val="24"/>
        </w:rPr>
        <w:t>son exigibles desde su nacimiento</w:t>
      </w:r>
      <w:r w:rsidR="00A32FED" w:rsidRPr="00D60EA5">
        <w:rPr>
          <w:rFonts w:ascii="Arial" w:hAnsi="Arial" w:cs="Arial"/>
          <w:sz w:val="24"/>
          <w:szCs w:val="24"/>
        </w:rPr>
        <w:t>, esto es, diariamente dentro de la operación del servicio de salud.</w:t>
      </w:r>
      <w:r w:rsidR="000B35EB" w:rsidRPr="00D60EA5">
        <w:rPr>
          <w:rFonts w:ascii="Arial" w:hAnsi="Arial" w:cs="Arial"/>
          <w:sz w:val="24"/>
          <w:szCs w:val="24"/>
        </w:rPr>
        <w:t xml:space="preserve"> Por lo anterior, afirmó que el asunto no se refiere a obligaciones de tracto sucesivo.</w:t>
      </w:r>
    </w:p>
    <w:p w14:paraId="1A965116" w14:textId="77777777" w:rsidR="00A32FED" w:rsidRPr="00D60EA5" w:rsidRDefault="00A32FED" w:rsidP="008F446C">
      <w:pPr>
        <w:pStyle w:val="Sinespaciado"/>
        <w:spacing w:line="360" w:lineRule="auto"/>
        <w:jc w:val="both"/>
        <w:rPr>
          <w:rFonts w:ascii="Arial" w:hAnsi="Arial" w:cs="Arial"/>
          <w:sz w:val="24"/>
          <w:szCs w:val="24"/>
        </w:rPr>
      </w:pPr>
    </w:p>
    <w:p w14:paraId="16E626F1" w14:textId="77777777" w:rsidR="00686B2B" w:rsidRPr="00D60EA5" w:rsidRDefault="00A32FED" w:rsidP="00A32FED">
      <w:pPr>
        <w:pStyle w:val="Sinespaciado"/>
        <w:spacing w:line="360" w:lineRule="auto"/>
        <w:jc w:val="both"/>
        <w:rPr>
          <w:rFonts w:ascii="Arial" w:hAnsi="Arial" w:cs="Arial"/>
          <w:sz w:val="24"/>
          <w:szCs w:val="24"/>
        </w:rPr>
      </w:pPr>
      <w:r w:rsidRPr="00D60EA5">
        <w:rPr>
          <w:rFonts w:ascii="Arial" w:hAnsi="Arial" w:cs="Arial"/>
          <w:sz w:val="24"/>
          <w:szCs w:val="24"/>
        </w:rPr>
        <w:lastRenderedPageBreak/>
        <w:t>Así, dado que no está probado que la demandante hubiera prestado servicios después del mes de marzo de 2012,</w:t>
      </w:r>
      <w:r w:rsidR="000B35EB" w:rsidRPr="00D60EA5">
        <w:rPr>
          <w:rFonts w:ascii="Arial" w:hAnsi="Arial" w:cs="Arial"/>
          <w:sz w:val="24"/>
          <w:szCs w:val="24"/>
        </w:rPr>
        <w:t xml:space="preserve"> en su criterio,</w:t>
      </w:r>
      <w:r w:rsidRPr="00D60EA5">
        <w:rPr>
          <w:rFonts w:ascii="Arial" w:hAnsi="Arial" w:cs="Arial"/>
          <w:sz w:val="24"/>
          <w:szCs w:val="24"/>
        </w:rPr>
        <w:t xml:space="preserve"> debía colegirse que operó la excepción</w:t>
      </w:r>
      <w:r w:rsidR="000B35EB" w:rsidRPr="00D60EA5">
        <w:rPr>
          <w:rFonts w:ascii="Arial" w:hAnsi="Arial" w:cs="Arial"/>
          <w:sz w:val="24"/>
          <w:szCs w:val="24"/>
        </w:rPr>
        <w:t xml:space="preserve"> de caducidad.</w:t>
      </w:r>
      <w:r w:rsidR="00686B2B" w:rsidRPr="00D60EA5">
        <w:rPr>
          <w:rFonts w:ascii="Arial" w:hAnsi="Arial" w:cs="Arial"/>
          <w:sz w:val="24"/>
          <w:szCs w:val="24"/>
        </w:rPr>
        <w:t xml:space="preserve"> </w:t>
      </w:r>
    </w:p>
    <w:p w14:paraId="7DF4E37C" w14:textId="77777777" w:rsidR="008F0770" w:rsidRPr="00D60EA5" w:rsidRDefault="008F0770" w:rsidP="008F446C">
      <w:pPr>
        <w:pStyle w:val="Sinespaciado"/>
        <w:spacing w:line="360" w:lineRule="auto"/>
        <w:jc w:val="both"/>
        <w:rPr>
          <w:rFonts w:ascii="Arial" w:hAnsi="Arial" w:cs="Arial"/>
          <w:sz w:val="24"/>
          <w:szCs w:val="24"/>
        </w:rPr>
      </w:pPr>
    </w:p>
    <w:p w14:paraId="1190414F" w14:textId="77777777" w:rsidR="00BE4E15" w:rsidRPr="00D60EA5" w:rsidRDefault="00BE4E15" w:rsidP="008F446C">
      <w:pPr>
        <w:pStyle w:val="Sangradetextonormal"/>
        <w:spacing w:line="360" w:lineRule="auto"/>
        <w:ind w:firstLine="0"/>
        <w:jc w:val="center"/>
        <w:rPr>
          <w:rFonts w:cs="Arial"/>
          <w:b/>
          <w:bCs/>
          <w:szCs w:val="24"/>
        </w:rPr>
      </w:pPr>
      <w:r w:rsidRPr="00D60EA5">
        <w:rPr>
          <w:rFonts w:cs="Arial"/>
          <w:b/>
          <w:bCs/>
          <w:szCs w:val="24"/>
        </w:rPr>
        <w:t>II. CONSIDERACIONES</w:t>
      </w:r>
    </w:p>
    <w:p w14:paraId="44FB30F8" w14:textId="77777777" w:rsidR="00BE4E15" w:rsidRPr="00D60EA5" w:rsidRDefault="00BE4E15" w:rsidP="008F446C">
      <w:pPr>
        <w:pStyle w:val="Sangradetextonormal"/>
        <w:spacing w:line="360" w:lineRule="auto"/>
        <w:ind w:firstLine="0"/>
        <w:jc w:val="center"/>
        <w:rPr>
          <w:rFonts w:cs="Arial"/>
          <w:b/>
          <w:bCs/>
          <w:szCs w:val="24"/>
        </w:rPr>
      </w:pPr>
    </w:p>
    <w:p w14:paraId="6DADE74B" w14:textId="77777777" w:rsidR="00BE4E15" w:rsidRPr="00D60EA5" w:rsidRDefault="00EA1DD9" w:rsidP="008F446C">
      <w:pPr>
        <w:spacing w:line="360" w:lineRule="auto"/>
        <w:jc w:val="both"/>
        <w:rPr>
          <w:rFonts w:ascii="Arial" w:hAnsi="Arial" w:cs="Arial"/>
          <w:b/>
          <w:bCs/>
        </w:rPr>
      </w:pPr>
      <w:r w:rsidRPr="00D60EA5">
        <w:rPr>
          <w:rFonts w:ascii="Arial" w:hAnsi="Arial" w:cs="Arial"/>
          <w:b/>
        </w:rPr>
        <w:t xml:space="preserve">1. </w:t>
      </w:r>
      <w:r w:rsidR="00D504CE" w:rsidRPr="00D60EA5">
        <w:rPr>
          <w:rFonts w:ascii="Arial" w:hAnsi="Arial" w:cs="Arial"/>
          <w:b/>
          <w:bCs/>
        </w:rPr>
        <w:t>Procedencia del recurso de apelación</w:t>
      </w:r>
      <w:r w:rsidR="00BE4E15" w:rsidRPr="00D60EA5">
        <w:rPr>
          <w:rFonts w:ascii="Arial" w:hAnsi="Arial" w:cs="Arial"/>
          <w:b/>
          <w:bCs/>
        </w:rPr>
        <w:t xml:space="preserve"> y competencia </w:t>
      </w:r>
      <w:r w:rsidR="000D6045" w:rsidRPr="00D60EA5">
        <w:rPr>
          <w:rFonts w:ascii="Arial" w:hAnsi="Arial" w:cs="Arial"/>
          <w:b/>
          <w:bCs/>
        </w:rPr>
        <w:t>del Despacho</w:t>
      </w:r>
    </w:p>
    <w:p w14:paraId="1DA6542E" w14:textId="77777777" w:rsidR="000D6045" w:rsidRPr="00D60EA5" w:rsidRDefault="000D6045" w:rsidP="008F446C">
      <w:pPr>
        <w:pStyle w:val="Prrafodelista"/>
        <w:jc w:val="both"/>
        <w:rPr>
          <w:rFonts w:ascii="Arial" w:hAnsi="Arial" w:cs="Arial"/>
          <w:b/>
          <w:bCs/>
        </w:rPr>
      </w:pPr>
      <w:bookmarkStart w:id="1" w:name="_Hlk7768327"/>
    </w:p>
    <w:p w14:paraId="7769B091" w14:textId="77777777" w:rsidR="00B87722" w:rsidRPr="00D60EA5" w:rsidRDefault="00B87722" w:rsidP="008F446C">
      <w:pPr>
        <w:tabs>
          <w:tab w:val="left" w:pos="142"/>
        </w:tabs>
        <w:spacing w:line="360" w:lineRule="auto"/>
        <w:jc w:val="both"/>
        <w:rPr>
          <w:rFonts w:ascii="Arial" w:hAnsi="Arial" w:cs="Arial"/>
        </w:rPr>
      </w:pPr>
      <w:r w:rsidRPr="00D60EA5">
        <w:rPr>
          <w:rFonts w:ascii="Arial" w:hAnsi="Arial" w:cs="Arial"/>
          <w:bCs/>
        </w:rPr>
        <w:t>Al presente asunto le resultan aplicables las disposiciones contenidas en el Código de Procedimiento Administrativo y de lo Contencioso Administrativo –CPACA, en consideración</w:t>
      </w:r>
      <w:r w:rsidR="007E28C6" w:rsidRPr="00D60EA5">
        <w:rPr>
          <w:rFonts w:ascii="Arial" w:hAnsi="Arial" w:cs="Arial"/>
          <w:bCs/>
        </w:rPr>
        <w:t xml:space="preserve"> </w:t>
      </w:r>
      <w:r w:rsidRPr="00D60EA5">
        <w:rPr>
          <w:rFonts w:ascii="Arial" w:hAnsi="Arial" w:cs="Arial"/>
          <w:bCs/>
        </w:rPr>
        <w:t xml:space="preserve">a </w:t>
      </w:r>
      <w:r w:rsidR="007E28C6" w:rsidRPr="00D60EA5">
        <w:rPr>
          <w:rFonts w:ascii="Arial" w:hAnsi="Arial" w:cs="Arial"/>
          <w:bCs/>
        </w:rPr>
        <w:t>lo establecido en el artículo 308</w:t>
      </w:r>
      <w:r w:rsidR="007E28C6" w:rsidRPr="00D60EA5">
        <w:rPr>
          <w:rFonts w:ascii="Arial" w:hAnsi="Arial" w:cs="Arial"/>
          <w:iCs/>
          <w:vertAlign w:val="superscript"/>
          <w:lang w:eastAsia="es-CO"/>
        </w:rPr>
        <w:footnoteReference w:id="1"/>
      </w:r>
      <w:r w:rsidR="007E28C6" w:rsidRPr="00D60EA5">
        <w:rPr>
          <w:rFonts w:ascii="Arial" w:hAnsi="Arial" w:cs="Arial"/>
          <w:bCs/>
        </w:rPr>
        <w:t xml:space="preserve"> de dicha normativa, dado que </w:t>
      </w:r>
      <w:r w:rsidRPr="00D60EA5">
        <w:rPr>
          <w:rFonts w:ascii="Arial" w:hAnsi="Arial" w:cs="Arial"/>
          <w:bCs/>
        </w:rPr>
        <w:t>la demanda</w:t>
      </w:r>
      <w:r w:rsidR="0098155A" w:rsidRPr="00D60EA5">
        <w:rPr>
          <w:rFonts w:ascii="Arial" w:hAnsi="Arial" w:cs="Arial"/>
          <w:bCs/>
        </w:rPr>
        <w:t xml:space="preserve"> se presentó el 10 de junio de 2014</w:t>
      </w:r>
      <w:r w:rsidR="007E28C6" w:rsidRPr="00D60EA5">
        <w:rPr>
          <w:rFonts w:ascii="Arial" w:hAnsi="Arial" w:cs="Arial"/>
          <w:bCs/>
        </w:rPr>
        <w:t xml:space="preserve">; así mismo, </w:t>
      </w:r>
      <w:r w:rsidR="007E28C6" w:rsidRPr="00D60EA5">
        <w:rPr>
          <w:rFonts w:ascii="Arial" w:hAnsi="Arial" w:cs="Arial"/>
          <w:lang w:eastAsia="es-CO"/>
        </w:rPr>
        <w:t xml:space="preserve">son aplicables las normas del </w:t>
      </w:r>
      <w:r w:rsidRPr="00D60EA5">
        <w:rPr>
          <w:rFonts w:ascii="Arial" w:hAnsi="Arial" w:cs="Arial"/>
        </w:rPr>
        <w:t xml:space="preserve">Código General del Proceso, </w:t>
      </w:r>
      <w:r w:rsidR="00332201" w:rsidRPr="00D60EA5">
        <w:rPr>
          <w:rFonts w:ascii="Arial" w:hAnsi="Arial" w:cs="Arial"/>
        </w:rPr>
        <w:t>de conformidad con lo establecido en</w:t>
      </w:r>
      <w:r w:rsidRPr="00D60EA5">
        <w:rPr>
          <w:rFonts w:ascii="Arial" w:hAnsi="Arial" w:cs="Arial"/>
        </w:rPr>
        <w:t xml:space="preserve"> el artículo 306 </w:t>
      </w:r>
      <w:r w:rsidR="00332201" w:rsidRPr="00D60EA5">
        <w:rPr>
          <w:rFonts w:ascii="Arial" w:hAnsi="Arial" w:cs="Arial"/>
        </w:rPr>
        <w:t>del CPACA</w:t>
      </w:r>
      <w:r w:rsidR="00332201" w:rsidRPr="00D60EA5">
        <w:rPr>
          <w:rStyle w:val="Refdenotaalpie"/>
          <w:rFonts w:ascii="Arial" w:hAnsi="Arial" w:cs="Arial"/>
        </w:rPr>
        <w:footnoteReference w:id="2"/>
      </w:r>
      <w:r w:rsidR="00332201" w:rsidRPr="00D60EA5">
        <w:rPr>
          <w:rFonts w:ascii="Arial" w:hAnsi="Arial" w:cs="Arial"/>
        </w:rPr>
        <w:t xml:space="preserve"> y la jurisprudencia unificada del Consejo de Estado </w:t>
      </w:r>
      <w:r w:rsidR="009C3802" w:rsidRPr="00D60EA5">
        <w:rPr>
          <w:rFonts w:ascii="Arial" w:hAnsi="Arial" w:cs="Arial"/>
        </w:rPr>
        <w:t xml:space="preserve">proferida </w:t>
      </w:r>
      <w:r w:rsidR="00332201" w:rsidRPr="00D60EA5">
        <w:rPr>
          <w:rFonts w:ascii="Arial" w:hAnsi="Arial" w:cs="Arial"/>
        </w:rPr>
        <w:t>en relación con la vigencia de la Ley 1564 de 2012, contentiva del Código General del Proceso</w:t>
      </w:r>
      <w:bookmarkEnd w:id="1"/>
      <w:r w:rsidR="00332201" w:rsidRPr="00D60EA5">
        <w:rPr>
          <w:rFonts w:ascii="Arial" w:hAnsi="Arial" w:cs="Arial"/>
          <w:vertAlign w:val="superscript"/>
        </w:rPr>
        <w:footnoteReference w:id="3"/>
      </w:r>
      <w:r w:rsidR="00332201" w:rsidRPr="00D60EA5">
        <w:rPr>
          <w:rFonts w:ascii="Arial" w:hAnsi="Arial" w:cs="Arial"/>
        </w:rPr>
        <w:t>.</w:t>
      </w:r>
    </w:p>
    <w:p w14:paraId="3041E394" w14:textId="77777777" w:rsidR="00D6678E" w:rsidRPr="00D60EA5" w:rsidRDefault="00D6678E" w:rsidP="008F446C">
      <w:pPr>
        <w:spacing w:line="360" w:lineRule="auto"/>
        <w:jc w:val="both"/>
        <w:rPr>
          <w:rFonts w:ascii="Arial" w:hAnsi="Arial" w:cs="Arial"/>
          <w:bCs/>
        </w:rPr>
      </w:pPr>
    </w:p>
    <w:p w14:paraId="3A76FB04" w14:textId="77777777" w:rsidR="007809B4" w:rsidRPr="00D60EA5" w:rsidRDefault="0098155A" w:rsidP="008F446C">
      <w:pPr>
        <w:spacing w:line="360" w:lineRule="auto"/>
        <w:jc w:val="both"/>
        <w:rPr>
          <w:rFonts w:ascii="Arial" w:hAnsi="Arial" w:cs="Arial"/>
          <w:bCs/>
        </w:rPr>
      </w:pPr>
      <w:bookmarkStart w:id="2" w:name="_Hlk7769740"/>
      <w:r w:rsidRPr="00D60EA5">
        <w:rPr>
          <w:rFonts w:ascii="Arial" w:hAnsi="Arial" w:cs="Arial"/>
          <w:bCs/>
        </w:rPr>
        <w:t xml:space="preserve">La decisión impugnada </w:t>
      </w:r>
      <w:r w:rsidR="00C46E35" w:rsidRPr="00D60EA5">
        <w:rPr>
          <w:rFonts w:ascii="Arial" w:hAnsi="Arial" w:cs="Arial"/>
          <w:bCs/>
        </w:rPr>
        <w:t>es pasible del recurso de apelación</w:t>
      </w:r>
      <w:r w:rsidRPr="00D60EA5">
        <w:rPr>
          <w:rFonts w:ascii="Arial" w:hAnsi="Arial" w:cs="Arial"/>
          <w:bCs/>
        </w:rPr>
        <w:t>, según lo dispuesto en el numeral sexto del artículo 180 del CPACA, toda vez que a través de esta se resolvió</w:t>
      </w:r>
      <w:r w:rsidR="00C71B7E" w:rsidRPr="00D60EA5">
        <w:rPr>
          <w:rFonts w:ascii="Arial" w:hAnsi="Arial" w:cs="Arial"/>
          <w:bCs/>
        </w:rPr>
        <w:t>, en audiencia inicial,</w:t>
      </w:r>
      <w:r w:rsidRPr="00D60EA5">
        <w:rPr>
          <w:rFonts w:ascii="Arial" w:hAnsi="Arial" w:cs="Arial"/>
          <w:bCs/>
        </w:rPr>
        <w:t xml:space="preserve"> la excepción de caducidad propuesta por las entidades demandadas; adicio</w:t>
      </w:r>
      <w:r w:rsidR="00C46E35" w:rsidRPr="00D60EA5">
        <w:rPr>
          <w:rFonts w:ascii="Arial" w:hAnsi="Arial" w:cs="Arial"/>
          <w:bCs/>
        </w:rPr>
        <w:t>nalmente, dicho</w:t>
      </w:r>
      <w:r w:rsidRPr="00D60EA5">
        <w:rPr>
          <w:rFonts w:ascii="Arial" w:hAnsi="Arial" w:cs="Arial"/>
          <w:bCs/>
        </w:rPr>
        <w:t xml:space="preserve"> recurso se interpuso y sustentó </w:t>
      </w:r>
      <w:r w:rsidR="00C71B7E" w:rsidRPr="00D60EA5">
        <w:rPr>
          <w:rFonts w:ascii="Arial" w:hAnsi="Arial" w:cs="Arial"/>
          <w:bCs/>
        </w:rPr>
        <w:t>de manera oportuna</w:t>
      </w:r>
      <w:r w:rsidR="007809B4" w:rsidRPr="00D60EA5">
        <w:rPr>
          <w:rFonts w:ascii="Arial" w:hAnsi="Arial" w:cs="Arial"/>
          <w:bCs/>
        </w:rPr>
        <w:t xml:space="preserve">, conforme lo señala el artículo 244 </w:t>
      </w:r>
      <w:proofErr w:type="spellStart"/>
      <w:r w:rsidR="007809B4" w:rsidRPr="00D60EA5">
        <w:rPr>
          <w:rFonts w:ascii="Arial" w:hAnsi="Arial" w:cs="Arial"/>
          <w:bCs/>
          <w:i/>
        </w:rPr>
        <w:t>ibídem</w:t>
      </w:r>
      <w:proofErr w:type="spellEnd"/>
      <w:r w:rsidR="007809B4" w:rsidRPr="00D60EA5">
        <w:rPr>
          <w:rFonts w:ascii="Arial" w:hAnsi="Arial" w:cs="Arial"/>
          <w:bCs/>
        </w:rPr>
        <w:t xml:space="preserve">, por lo que </w:t>
      </w:r>
      <w:r w:rsidR="00617913" w:rsidRPr="00D60EA5">
        <w:rPr>
          <w:rFonts w:ascii="Arial" w:hAnsi="Arial" w:cs="Arial"/>
          <w:bCs/>
        </w:rPr>
        <w:t>el Despacho</w:t>
      </w:r>
      <w:r w:rsidR="002176F9" w:rsidRPr="00D60EA5">
        <w:rPr>
          <w:rStyle w:val="Refdenotaalpie"/>
          <w:rFonts w:ascii="Arial" w:hAnsi="Arial" w:cs="Arial"/>
          <w:bCs/>
        </w:rPr>
        <w:footnoteReference w:id="4"/>
      </w:r>
      <w:r w:rsidR="00617913" w:rsidRPr="00D60EA5">
        <w:rPr>
          <w:rFonts w:ascii="Arial" w:hAnsi="Arial" w:cs="Arial"/>
          <w:bCs/>
        </w:rPr>
        <w:t xml:space="preserve"> procederá a resolver la controversia en atención a la competencia que le asigna </w:t>
      </w:r>
      <w:r w:rsidR="007809B4" w:rsidRPr="00D60EA5">
        <w:rPr>
          <w:rFonts w:ascii="Arial" w:hAnsi="Arial" w:cs="Arial"/>
          <w:bCs/>
        </w:rPr>
        <w:t>el</w:t>
      </w:r>
      <w:r w:rsidR="00617913" w:rsidRPr="00D60EA5">
        <w:rPr>
          <w:rFonts w:ascii="Arial" w:hAnsi="Arial" w:cs="Arial"/>
          <w:bCs/>
        </w:rPr>
        <w:t xml:space="preserve"> artículo 150 de la referida normativa</w:t>
      </w:r>
      <w:r w:rsidR="007809B4" w:rsidRPr="00D60EA5">
        <w:rPr>
          <w:rStyle w:val="Refdenotaalpie"/>
          <w:rFonts w:ascii="Arial" w:hAnsi="Arial" w:cs="Arial"/>
          <w:bCs/>
        </w:rPr>
        <w:footnoteReference w:id="5"/>
      </w:r>
      <w:r w:rsidR="00617913" w:rsidRPr="00D60EA5">
        <w:rPr>
          <w:rFonts w:ascii="Arial" w:hAnsi="Arial" w:cs="Arial"/>
          <w:bCs/>
        </w:rPr>
        <w:t>.</w:t>
      </w:r>
    </w:p>
    <w:bookmarkEnd w:id="2"/>
    <w:p w14:paraId="722B00AE" w14:textId="77777777" w:rsidR="00357345" w:rsidRPr="00D60EA5" w:rsidRDefault="00357345" w:rsidP="008F446C">
      <w:pPr>
        <w:spacing w:line="360" w:lineRule="auto"/>
        <w:jc w:val="both"/>
        <w:rPr>
          <w:rFonts w:ascii="Arial" w:hAnsi="Arial" w:cs="Arial"/>
          <w:bCs/>
        </w:rPr>
      </w:pPr>
    </w:p>
    <w:p w14:paraId="70A10102" w14:textId="77777777" w:rsidR="00D6678E" w:rsidRPr="00D60EA5" w:rsidRDefault="00CB6CF0" w:rsidP="008F446C">
      <w:pPr>
        <w:spacing w:line="360" w:lineRule="auto"/>
        <w:jc w:val="both"/>
        <w:rPr>
          <w:rFonts w:ascii="Arial" w:hAnsi="Arial" w:cs="Arial"/>
          <w:b/>
          <w:bCs/>
        </w:rPr>
      </w:pPr>
      <w:r w:rsidRPr="00D60EA5">
        <w:rPr>
          <w:rFonts w:ascii="Arial" w:hAnsi="Arial" w:cs="Arial"/>
          <w:b/>
          <w:bCs/>
        </w:rPr>
        <w:lastRenderedPageBreak/>
        <w:t xml:space="preserve">2. </w:t>
      </w:r>
      <w:r w:rsidR="00EA47FA" w:rsidRPr="00D60EA5">
        <w:rPr>
          <w:rFonts w:ascii="Arial" w:hAnsi="Arial" w:cs="Arial"/>
          <w:b/>
          <w:bCs/>
        </w:rPr>
        <w:t>Caso concreto</w:t>
      </w:r>
    </w:p>
    <w:p w14:paraId="42C6D796" w14:textId="77777777" w:rsidR="00D6678E" w:rsidRPr="00D60EA5" w:rsidRDefault="00D6678E" w:rsidP="008F446C">
      <w:pPr>
        <w:spacing w:line="360" w:lineRule="auto"/>
        <w:jc w:val="both"/>
        <w:rPr>
          <w:rFonts w:ascii="Arial" w:hAnsi="Arial" w:cs="Arial"/>
          <w:bCs/>
        </w:rPr>
      </w:pPr>
    </w:p>
    <w:p w14:paraId="000ACB2E" w14:textId="77777777" w:rsidR="00D6678E" w:rsidRPr="00D60EA5" w:rsidRDefault="00981578" w:rsidP="008F446C">
      <w:pPr>
        <w:spacing w:line="360" w:lineRule="auto"/>
        <w:jc w:val="both"/>
        <w:rPr>
          <w:rFonts w:ascii="Arial" w:hAnsi="Arial" w:cs="Arial"/>
          <w:bCs/>
        </w:rPr>
      </w:pPr>
      <w:r w:rsidRPr="00D60EA5">
        <w:rPr>
          <w:rFonts w:ascii="Arial" w:hAnsi="Arial" w:cs="Arial"/>
          <w:bCs/>
        </w:rPr>
        <w:t>El debate que ocupa la atenci</w:t>
      </w:r>
      <w:r w:rsidR="00C6605E" w:rsidRPr="00D60EA5">
        <w:rPr>
          <w:rFonts w:ascii="Arial" w:hAnsi="Arial" w:cs="Arial"/>
          <w:bCs/>
        </w:rPr>
        <w:t>ón del Despacho se contrae</w:t>
      </w:r>
      <w:r w:rsidRPr="00D60EA5">
        <w:rPr>
          <w:rFonts w:ascii="Arial" w:hAnsi="Arial" w:cs="Arial"/>
          <w:bCs/>
        </w:rPr>
        <w:t xml:space="preserve"> a determinar si </w:t>
      </w:r>
      <w:r w:rsidR="00C6605E" w:rsidRPr="00D60EA5">
        <w:rPr>
          <w:rFonts w:ascii="Arial" w:hAnsi="Arial" w:cs="Arial"/>
          <w:bCs/>
        </w:rPr>
        <w:t>en el caso concreto operó el fenómeno de la caducidad.</w:t>
      </w:r>
    </w:p>
    <w:p w14:paraId="6E1831B3" w14:textId="77777777" w:rsidR="00C6605E" w:rsidRPr="00D60EA5" w:rsidRDefault="00C6605E" w:rsidP="008F446C">
      <w:pPr>
        <w:spacing w:line="360" w:lineRule="auto"/>
        <w:jc w:val="both"/>
        <w:rPr>
          <w:rFonts w:ascii="Arial" w:hAnsi="Arial" w:cs="Arial"/>
          <w:bCs/>
        </w:rPr>
      </w:pPr>
    </w:p>
    <w:p w14:paraId="2A1F78BE" w14:textId="77777777" w:rsidR="00C6605E" w:rsidRPr="00D60EA5" w:rsidRDefault="00714BBD" w:rsidP="008F446C">
      <w:pPr>
        <w:spacing w:line="360" w:lineRule="auto"/>
        <w:jc w:val="both"/>
        <w:rPr>
          <w:rFonts w:ascii="Arial" w:hAnsi="Arial" w:cs="Arial"/>
          <w:bCs/>
        </w:rPr>
      </w:pPr>
      <w:r w:rsidRPr="00D60EA5">
        <w:rPr>
          <w:rFonts w:ascii="Arial" w:hAnsi="Arial" w:cs="Arial"/>
          <w:bCs/>
        </w:rPr>
        <w:t xml:space="preserve">La parte actora, en el pronunciamiento que realizó en la Audiencia Inicial </w:t>
      </w:r>
      <w:r w:rsidR="00616A07" w:rsidRPr="00D60EA5">
        <w:rPr>
          <w:rFonts w:ascii="Arial" w:hAnsi="Arial" w:cs="Arial"/>
          <w:bCs/>
        </w:rPr>
        <w:t xml:space="preserve">(min. 32:12) </w:t>
      </w:r>
      <w:r w:rsidRPr="00D60EA5">
        <w:rPr>
          <w:rFonts w:ascii="Arial" w:hAnsi="Arial" w:cs="Arial"/>
          <w:bCs/>
        </w:rPr>
        <w:t>frente a los recursos de apelación presentados por las entidades demandadas, sostuvo que la controversia suscitada no recae en los contratos que esa Caja de Compensación Familiar celebró para la prestación del servicio de salud en el régimen subsidiado, sino en el enriquecimiento injustificado que tuvo la Nación por hacer incurrir en pérdidas a esa empresa debido a la reglamentación que profirió, lo cual generó de contera que el sistema fracasara</w:t>
      </w:r>
      <w:r w:rsidR="00BD5891" w:rsidRPr="00D60EA5">
        <w:rPr>
          <w:rFonts w:ascii="Arial" w:hAnsi="Arial" w:cs="Arial"/>
          <w:bCs/>
        </w:rPr>
        <w:t xml:space="preserve">. En ese entendido, el término de caducidad debía contabilizarse a partir del cierre de operaciones de la entidad demandante, pues desde ese momento estuvo imposibilitada para ejercer sus funciones </w:t>
      </w:r>
      <w:r w:rsidR="001624A9" w:rsidRPr="00D60EA5">
        <w:rPr>
          <w:rFonts w:ascii="Arial" w:hAnsi="Arial" w:cs="Arial"/>
          <w:bCs/>
        </w:rPr>
        <w:t>en e</w:t>
      </w:r>
      <w:r w:rsidR="00BD5891" w:rsidRPr="00D60EA5">
        <w:rPr>
          <w:rFonts w:ascii="Arial" w:hAnsi="Arial" w:cs="Arial"/>
          <w:bCs/>
        </w:rPr>
        <w:t>l</w:t>
      </w:r>
      <w:r w:rsidR="001624A9" w:rsidRPr="00D60EA5">
        <w:rPr>
          <w:rFonts w:ascii="Arial" w:hAnsi="Arial" w:cs="Arial"/>
          <w:bCs/>
        </w:rPr>
        <w:t xml:space="preserve"> régimen subsidiado del</w:t>
      </w:r>
      <w:r w:rsidR="00BD5891" w:rsidRPr="00D60EA5">
        <w:rPr>
          <w:rFonts w:ascii="Arial" w:hAnsi="Arial" w:cs="Arial"/>
          <w:bCs/>
        </w:rPr>
        <w:t xml:space="preserve"> sistema de salud.</w:t>
      </w:r>
    </w:p>
    <w:p w14:paraId="54E11D2A" w14:textId="77777777" w:rsidR="00C6605E" w:rsidRPr="00D60EA5" w:rsidRDefault="00C6605E" w:rsidP="008F446C">
      <w:pPr>
        <w:spacing w:line="360" w:lineRule="auto"/>
        <w:jc w:val="both"/>
        <w:rPr>
          <w:rFonts w:ascii="Arial" w:hAnsi="Arial" w:cs="Arial"/>
          <w:bCs/>
        </w:rPr>
      </w:pPr>
    </w:p>
    <w:p w14:paraId="4A29C743" w14:textId="77777777" w:rsidR="00E23D47" w:rsidRPr="00D60EA5" w:rsidRDefault="00647909" w:rsidP="008F446C">
      <w:pPr>
        <w:spacing w:line="360" w:lineRule="auto"/>
        <w:jc w:val="both"/>
        <w:rPr>
          <w:rFonts w:ascii="Arial" w:hAnsi="Arial" w:cs="Arial"/>
          <w:bCs/>
        </w:rPr>
      </w:pPr>
      <w:r w:rsidRPr="00D60EA5">
        <w:rPr>
          <w:rFonts w:ascii="Arial" w:hAnsi="Arial" w:cs="Arial"/>
          <w:bCs/>
        </w:rPr>
        <w:t>Las en</w:t>
      </w:r>
      <w:r w:rsidR="008E3832" w:rsidRPr="00D60EA5">
        <w:rPr>
          <w:rFonts w:ascii="Arial" w:hAnsi="Arial" w:cs="Arial"/>
          <w:bCs/>
        </w:rPr>
        <w:t>tidades demandadas, como sustento de los recursos que interpusieron</w:t>
      </w:r>
      <w:r w:rsidRPr="00D60EA5">
        <w:rPr>
          <w:rFonts w:ascii="Arial" w:hAnsi="Arial" w:cs="Arial"/>
          <w:bCs/>
        </w:rPr>
        <w:t>, adu</w:t>
      </w:r>
      <w:r w:rsidR="008E3832" w:rsidRPr="00D60EA5">
        <w:rPr>
          <w:rFonts w:ascii="Arial" w:hAnsi="Arial" w:cs="Arial"/>
          <w:bCs/>
        </w:rPr>
        <w:t>jeron que sí operó la caducidad</w:t>
      </w:r>
      <w:r w:rsidRPr="00D60EA5">
        <w:rPr>
          <w:rFonts w:ascii="Arial" w:hAnsi="Arial" w:cs="Arial"/>
          <w:bCs/>
        </w:rPr>
        <w:t>, con base en dos hipótesis: i)</w:t>
      </w:r>
      <w:r w:rsidR="00821E19" w:rsidRPr="00D60EA5">
        <w:rPr>
          <w:rFonts w:ascii="Arial" w:hAnsi="Arial" w:cs="Arial"/>
          <w:bCs/>
        </w:rPr>
        <w:t xml:space="preserve"> </w:t>
      </w:r>
      <w:r w:rsidRPr="00D60EA5">
        <w:rPr>
          <w:rFonts w:ascii="Arial" w:hAnsi="Arial" w:cs="Arial"/>
          <w:bCs/>
        </w:rPr>
        <w:t>la parte actora tuvo conocimiento de las pérdidas en que incurrió al finalizar cada contrato</w:t>
      </w:r>
      <w:r w:rsidR="00821E19" w:rsidRPr="00D60EA5">
        <w:rPr>
          <w:rFonts w:ascii="Arial" w:hAnsi="Arial" w:cs="Arial"/>
          <w:bCs/>
        </w:rPr>
        <w:t xml:space="preserve"> pero no ejerció su derecho de acción oportunamente, y </w:t>
      </w:r>
      <w:proofErr w:type="spellStart"/>
      <w:r w:rsidR="00821E19" w:rsidRPr="00D60EA5">
        <w:rPr>
          <w:rFonts w:ascii="Arial" w:hAnsi="Arial" w:cs="Arial"/>
          <w:bCs/>
        </w:rPr>
        <w:t>ii</w:t>
      </w:r>
      <w:proofErr w:type="spellEnd"/>
      <w:r w:rsidR="00821E19" w:rsidRPr="00D60EA5">
        <w:rPr>
          <w:rFonts w:ascii="Arial" w:hAnsi="Arial" w:cs="Arial"/>
          <w:bCs/>
        </w:rPr>
        <w:t>) al tratarse de obligaciones puras y simples, el daño se consolidaba a medida que se desarrollaban los contratos</w:t>
      </w:r>
      <w:r w:rsidR="00C46E35" w:rsidRPr="00D60EA5">
        <w:rPr>
          <w:rFonts w:ascii="Arial" w:hAnsi="Arial" w:cs="Arial"/>
          <w:bCs/>
        </w:rPr>
        <w:t>,</w:t>
      </w:r>
      <w:r w:rsidR="00821E19" w:rsidRPr="00D60EA5">
        <w:rPr>
          <w:rFonts w:ascii="Arial" w:hAnsi="Arial" w:cs="Arial"/>
          <w:bCs/>
        </w:rPr>
        <w:t xml:space="preserve"> por lo que la parte actora debía solicitar</w:t>
      </w:r>
      <w:r w:rsidR="00E762F5" w:rsidRPr="00D60EA5">
        <w:rPr>
          <w:rFonts w:ascii="Arial" w:hAnsi="Arial" w:cs="Arial"/>
          <w:bCs/>
        </w:rPr>
        <w:t xml:space="preserve"> el pago de las sumas asumidas conforme se causaban</w:t>
      </w:r>
      <w:r w:rsidR="00821E19" w:rsidRPr="00D60EA5">
        <w:rPr>
          <w:rFonts w:ascii="Arial" w:hAnsi="Arial" w:cs="Arial"/>
          <w:bCs/>
        </w:rPr>
        <w:t>.</w:t>
      </w:r>
    </w:p>
    <w:p w14:paraId="31126E5D" w14:textId="77777777" w:rsidR="00821E19" w:rsidRPr="00D60EA5" w:rsidRDefault="00821E19" w:rsidP="008F446C">
      <w:pPr>
        <w:spacing w:line="360" w:lineRule="auto"/>
        <w:jc w:val="both"/>
        <w:rPr>
          <w:rFonts w:ascii="Arial" w:hAnsi="Arial" w:cs="Arial"/>
          <w:bCs/>
        </w:rPr>
      </w:pPr>
    </w:p>
    <w:p w14:paraId="77473FE8" w14:textId="77777777" w:rsidR="001D245F" w:rsidRPr="00D60EA5" w:rsidRDefault="00DA48B0" w:rsidP="008F446C">
      <w:pPr>
        <w:spacing w:line="360" w:lineRule="auto"/>
        <w:jc w:val="both"/>
        <w:rPr>
          <w:rFonts w:ascii="Arial" w:hAnsi="Arial" w:cs="Arial"/>
          <w:bCs/>
        </w:rPr>
      </w:pPr>
      <w:r w:rsidRPr="00D60EA5">
        <w:rPr>
          <w:rFonts w:ascii="Arial" w:hAnsi="Arial" w:cs="Arial"/>
          <w:bCs/>
        </w:rPr>
        <w:t>Para dilucidar el tema</w:t>
      </w:r>
      <w:r w:rsidR="00454D01" w:rsidRPr="00D60EA5">
        <w:rPr>
          <w:rFonts w:ascii="Arial" w:hAnsi="Arial" w:cs="Arial"/>
          <w:bCs/>
        </w:rPr>
        <w:t>,</w:t>
      </w:r>
      <w:r w:rsidRPr="00D60EA5">
        <w:rPr>
          <w:rFonts w:ascii="Arial" w:hAnsi="Arial" w:cs="Arial"/>
          <w:bCs/>
        </w:rPr>
        <w:t xml:space="preserve"> conviene </w:t>
      </w:r>
      <w:r w:rsidR="001D245F" w:rsidRPr="00D60EA5">
        <w:rPr>
          <w:rFonts w:ascii="Arial" w:hAnsi="Arial" w:cs="Arial"/>
          <w:bCs/>
        </w:rPr>
        <w:t>analizar las pretensiones elevadas en la demanda.</w:t>
      </w:r>
    </w:p>
    <w:p w14:paraId="2DE403A5" w14:textId="77777777" w:rsidR="001D245F" w:rsidRPr="00D60EA5" w:rsidRDefault="001D245F" w:rsidP="008F446C">
      <w:pPr>
        <w:spacing w:line="360" w:lineRule="auto"/>
        <w:jc w:val="both"/>
        <w:rPr>
          <w:rFonts w:ascii="Arial" w:hAnsi="Arial" w:cs="Arial"/>
          <w:bCs/>
        </w:rPr>
      </w:pPr>
    </w:p>
    <w:p w14:paraId="3079BCBA" w14:textId="77777777" w:rsidR="00BA6111" w:rsidRPr="00D60EA5" w:rsidRDefault="001D245F" w:rsidP="008F446C">
      <w:pPr>
        <w:spacing w:line="360" w:lineRule="auto"/>
        <w:jc w:val="both"/>
        <w:rPr>
          <w:rFonts w:ascii="Arial" w:hAnsi="Arial" w:cs="Arial"/>
          <w:bCs/>
        </w:rPr>
      </w:pPr>
      <w:r w:rsidRPr="00D60EA5">
        <w:rPr>
          <w:rFonts w:ascii="Arial" w:hAnsi="Arial" w:cs="Arial"/>
          <w:bCs/>
        </w:rPr>
        <w:t>L</w:t>
      </w:r>
      <w:r w:rsidR="00E70170" w:rsidRPr="00D60EA5">
        <w:rPr>
          <w:rFonts w:ascii="Arial" w:hAnsi="Arial" w:cs="Arial"/>
          <w:bCs/>
        </w:rPr>
        <w:t>a parte actora solicitó a la jurisdicción declarar que</w:t>
      </w:r>
      <w:r w:rsidR="00C46E35" w:rsidRPr="00D60EA5">
        <w:rPr>
          <w:rFonts w:ascii="Arial" w:hAnsi="Arial" w:cs="Arial"/>
          <w:bCs/>
        </w:rPr>
        <w:t>,</w:t>
      </w:r>
      <w:r w:rsidR="00E70170" w:rsidRPr="00D60EA5">
        <w:rPr>
          <w:rFonts w:ascii="Arial" w:hAnsi="Arial" w:cs="Arial"/>
          <w:bCs/>
        </w:rPr>
        <w:t xml:space="preserve"> por causas imputables a las </w:t>
      </w:r>
      <w:r w:rsidR="00071522" w:rsidRPr="00D60EA5">
        <w:rPr>
          <w:rFonts w:ascii="Arial" w:hAnsi="Arial" w:cs="Arial"/>
          <w:bCs/>
        </w:rPr>
        <w:t xml:space="preserve">entidades </w:t>
      </w:r>
      <w:r w:rsidR="00E70170" w:rsidRPr="00D60EA5">
        <w:rPr>
          <w:rFonts w:ascii="Arial" w:hAnsi="Arial" w:cs="Arial"/>
          <w:bCs/>
        </w:rPr>
        <w:t>demandadas</w:t>
      </w:r>
      <w:r w:rsidR="00C46E35" w:rsidRPr="00D60EA5">
        <w:rPr>
          <w:rFonts w:ascii="Arial" w:hAnsi="Arial" w:cs="Arial"/>
          <w:bCs/>
        </w:rPr>
        <w:t>,</w:t>
      </w:r>
      <w:r w:rsidR="00E70170" w:rsidRPr="00D60EA5">
        <w:rPr>
          <w:rFonts w:ascii="Arial" w:hAnsi="Arial" w:cs="Arial"/>
          <w:bCs/>
        </w:rPr>
        <w:t xml:space="preserve"> se ocasionó la ruptura del equilibrio económico en los contratos que</w:t>
      </w:r>
      <w:r w:rsidR="002750E1" w:rsidRPr="00D60EA5">
        <w:rPr>
          <w:rFonts w:ascii="Arial" w:hAnsi="Arial" w:cs="Arial"/>
          <w:bCs/>
        </w:rPr>
        <w:t xml:space="preserve"> celebró durante los años 2008 a</w:t>
      </w:r>
      <w:r w:rsidR="00E70170" w:rsidRPr="00D60EA5">
        <w:rPr>
          <w:rFonts w:ascii="Arial" w:hAnsi="Arial" w:cs="Arial"/>
          <w:bCs/>
        </w:rPr>
        <w:t xml:space="preserve"> 2012</w:t>
      </w:r>
      <w:r w:rsidR="00C46E35" w:rsidRPr="00D60EA5">
        <w:rPr>
          <w:rFonts w:ascii="Arial" w:hAnsi="Arial" w:cs="Arial"/>
          <w:bCs/>
        </w:rPr>
        <w:t>,</w:t>
      </w:r>
      <w:r w:rsidR="00E70170" w:rsidRPr="00D60EA5">
        <w:rPr>
          <w:rFonts w:ascii="Arial" w:hAnsi="Arial" w:cs="Arial"/>
          <w:bCs/>
        </w:rPr>
        <w:t xml:space="preserve"> con diferentes municipios del</w:t>
      </w:r>
      <w:r w:rsidR="007D6ED9" w:rsidRPr="00D60EA5">
        <w:rPr>
          <w:rFonts w:ascii="Arial" w:hAnsi="Arial" w:cs="Arial"/>
          <w:bCs/>
        </w:rPr>
        <w:t xml:space="preserve"> Departamento de Antioquia, </w:t>
      </w:r>
      <w:r w:rsidR="002750E1" w:rsidRPr="00D60EA5">
        <w:rPr>
          <w:rFonts w:ascii="Arial" w:hAnsi="Arial" w:cs="Arial"/>
          <w:bCs/>
        </w:rPr>
        <w:t>para</w:t>
      </w:r>
      <w:r w:rsidR="00E70170" w:rsidRPr="00D60EA5">
        <w:rPr>
          <w:rFonts w:ascii="Arial" w:hAnsi="Arial" w:cs="Arial"/>
          <w:bCs/>
        </w:rPr>
        <w:t xml:space="preserve"> la prestación del servicio de salud en el régimen subsidiado</w:t>
      </w:r>
      <w:r w:rsidR="00BA0035" w:rsidRPr="00D60EA5">
        <w:rPr>
          <w:rFonts w:ascii="Arial" w:hAnsi="Arial" w:cs="Arial"/>
          <w:bCs/>
        </w:rPr>
        <w:t>, debido</w:t>
      </w:r>
      <w:r w:rsidR="00C46E35" w:rsidRPr="00D60EA5">
        <w:rPr>
          <w:rFonts w:ascii="Arial" w:hAnsi="Arial" w:cs="Arial"/>
          <w:bCs/>
        </w:rPr>
        <w:t>,</w:t>
      </w:r>
      <w:r w:rsidR="00BA0035" w:rsidRPr="00D60EA5">
        <w:rPr>
          <w:rFonts w:ascii="Arial" w:hAnsi="Arial" w:cs="Arial"/>
          <w:bCs/>
        </w:rPr>
        <w:t xml:space="preserve"> en síntesis, a la</w:t>
      </w:r>
      <w:r w:rsidR="003D6024" w:rsidRPr="00D60EA5">
        <w:rPr>
          <w:rFonts w:ascii="Arial" w:hAnsi="Arial" w:cs="Arial"/>
          <w:bCs/>
        </w:rPr>
        <w:t xml:space="preserve"> inadecuada</w:t>
      </w:r>
      <w:r w:rsidR="00BA0035" w:rsidRPr="00D60EA5">
        <w:rPr>
          <w:rFonts w:ascii="Arial" w:hAnsi="Arial" w:cs="Arial"/>
          <w:bCs/>
        </w:rPr>
        <w:t xml:space="preserve"> reglamentación del sistema de salud </w:t>
      </w:r>
      <w:r w:rsidR="00071522" w:rsidRPr="00D60EA5">
        <w:rPr>
          <w:rFonts w:ascii="Arial" w:hAnsi="Arial" w:cs="Arial"/>
          <w:bCs/>
        </w:rPr>
        <w:t>durante el lapso referido</w:t>
      </w:r>
      <w:r w:rsidR="007D6ED9" w:rsidRPr="00D60EA5">
        <w:rPr>
          <w:rFonts w:ascii="Arial" w:hAnsi="Arial" w:cs="Arial"/>
          <w:bCs/>
        </w:rPr>
        <w:t>, especialmente, en cuanto a la definición de las ta</w:t>
      </w:r>
      <w:r w:rsidR="00BA0035" w:rsidRPr="00D60EA5">
        <w:rPr>
          <w:rFonts w:ascii="Arial" w:hAnsi="Arial" w:cs="Arial"/>
          <w:bCs/>
        </w:rPr>
        <w:t>rifas de las UPC,</w:t>
      </w:r>
      <w:r w:rsidR="002750E1" w:rsidRPr="00D60EA5">
        <w:rPr>
          <w:rFonts w:ascii="Arial" w:hAnsi="Arial" w:cs="Arial"/>
          <w:bCs/>
        </w:rPr>
        <w:t xml:space="preserve"> el valor de los medicamentos y la partida destinada a gastos de administración,</w:t>
      </w:r>
      <w:r w:rsidR="00BA0035" w:rsidRPr="00D60EA5">
        <w:rPr>
          <w:rFonts w:ascii="Arial" w:hAnsi="Arial" w:cs="Arial"/>
          <w:bCs/>
        </w:rPr>
        <w:t xml:space="preserve"> lo que ocasionó pérdidas económicas para </w:t>
      </w:r>
      <w:r w:rsidR="007D6ED9" w:rsidRPr="00D60EA5">
        <w:rPr>
          <w:rFonts w:ascii="Arial" w:hAnsi="Arial" w:cs="Arial"/>
          <w:bCs/>
        </w:rPr>
        <w:t>la empresa demandante</w:t>
      </w:r>
      <w:r w:rsidR="00071522" w:rsidRPr="00D60EA5">
        <w:rPr>
          <w:rFonts w:ascii="Arial" w:hAnsi="Arial" w:cs="Arial"/>
          <w:bCs/>
        </w:rPr>
        <w:t>.</w:t>
      </w:r>
    </w:p>
    <w:p w14:paraId="62431CDC" w14:textId="77777777" w:rsidR="007D6ED9" w:rsidRPr="00D60EA5" w:rsidRDefault="007D6ED9" w:rsidP="008F446C">
      <w:pPr>
        <w:spacing w:line="360" w:lineRule="auto"/>
        <w:jc w:val="both"/>
        <w:rPr>
          <w:rFonts w:ascii="Arial" w:hAnsi="Arial" w:cs="Arial"/>
          <w:bCs/>
        </w:rPr>
      </w:pPr>
    </w:p>
    <w:p w14:paraId="37B41830" w14:textId="77777777" w:rsidR="007D6ED9" w:rsidRPr="00D60EA5" w:rsidRDefault="00BA0035" w:rsidP="008F446C">
      <w:pPr>
        <w:spacing w:line="360" w:lineRule="auto"/>
        <w:jc w:val="both"/>
        <w:rPr>
          <w:rFonts w:ascii="Arial" w:hAnsi="Arial" w:cs="Arial"/>
          <w:bCs/>
        </w:rPr>
      </w:pPr>
      <w:r w:rsidRPr="00D60EA5">
        <w:rPr>
          <w:rFonts w:ascii="Arial" w:hAnsi="Arial" w:cs="Arial"/>
          <w:bCs/>
        </w:rPr>
        <w:t>Como consecuencia de lo anterior</w:t>
      </w:r>
      <w:r w:rsidR="002750E1" w:rsidRPr="00D60EA5">
        <w:rPr>
          <w:rFonts w:ascii="Arial" w:hAnsi="Arial" w:cs="Arial"/>
          <w:bCs/>
        </w:rPr>
        <w:t>,</w:t>
      </w:r>
      <w:r w:rsidR="007D6ED9" w:rsidRPr="00D60EA5">
        <w:rPr>
          <w:rFonts w:ascii="Arial" w:hAnsi="Arial" w:cs="Arial"/>
          <w:bCs/>
        </w:rPr>
        <w:t xml:space="preserve"> solicitó condenar a las entidades encartadas al pago de la suma de $1.200’000.000, que equivale a las pérdidas y perjuicios en que </w:t>
      </w:r>
      <w:r w:rsidR="007D6ED9" w:rsidRPr="00D60EA5">
        <w:rPr>
          <w:rFonts w:ascii="Arial" w:hAnsi="Arial" w:cs="Arial"/>
          <w:bCs/>
        </w:rPr>
        <w:lastRenderedPageBreak/>
        <w:t xml:space="preserve">incurrió </w:t>
      </w:r>
      <w:r w:rsidR="00515AE0" w:rsidRPr="00D60EA5">
        <w:rPr>
          <w:rFonts w:ascii="Arial" w:hAnsi="Arial" w:cs="Arial"/>
          <w:bCs/>
        </w:rPr>
        <w:t xml:space="preserve">esa empresa </w:t>
      </w:r>
      <w:r w:rsidR="007D6ED9" w:rsidRPr="00D60EA5">
        <w:rPr>
          <w:rFonts w:ascii="Arial" w:hAnsi="Arial" w:cs="Arial"/>
          <w:bCs/>
        </w:rPr>
        <w:t xml:space="preserve">por la ruptura del equilibrio contractual </w:t>
      </w:r>
      <w:r w:rsidR="00B84887" w:rsidRPr="00D60EA5">
        <w:rPr>
          <w:rFonts w:ascii="Arial" w:hAnsi="Arial" w:cs="Arial"/>
          <w:bCs/>
        </w:rPr>
        <w:t>a que se hizo alusión en el párrafo anterior</w:t>
      </w:r>
      <w:r w:rsidR="007D6ED9" w:rsidRPr="00D60EA5">
        <w:rPr>
          <w:rFonts w:ascii="Arial" w:hAnsi="Arial" w:cs="Arial"/>
          <w:bCs/>
        </w:rPr>
        <w:t>.</w:t>
      </w:r>
    </w:p>
    <w:p w14:paraId="49E398E2" w14:textId="77777777" w:rsidR="004F05FC" w:rsidRPr="00D60EA5" w:rsidRDefault="004F05FC" w:rsidP="008F446C">
      <w:pPr>
        <w:spacing w:line="360" w:lineRule="auto"/>
        <w:jc w:val="both"/>
        <w:rPr>
          <w:rFonts w:ascii="Arial" w:hAnsi="Arial" w:cs="Arial"/>
          <w:bCs/>
        </w:rPr>
      </w:pPr>
    </w:p>
    <w:p w14:paraId="1516003F" w14:textId="77777777" w:rsidR="007D6ED9" w:rsidRPr="00D60EA5" w:rsidRDefault="007D6ED9" w:rsidP="008F446C">
      <w:pPr>
        <w:spacing w:line="360" w:lineRule="auto"/>
        <w:jc w:val="both"/>
        <w:rPr>
          <w:rFonts w:ascii="Arial" w:hAnsi="Arial" w:cs="Arial"/>
          <w:bCs/>
        </w:rPr>
      </w:pPr>
      <w:bookmarkStart w:id="3" w:name="_Hlk7770317"/>
      <w:r w:rsidRPr="00D60EA5">
        <w:rPr>
          <w:rFonts w:ascii="Arial" w:hAnsi="Arial" w:cs="Arial"/>
          <w:bCs/>
        </w:rPr>
        <w:t>Se desprende de lo mencionado</w:t>
      </w:r>
      <w:r w:rsidR="00515AE0" w:rsidRPr="00D60EA5">
        <w:rPr>
          <w:rFonts w:ascii="Arial" w:hAnsi="Arial" w:cs="Arial"/>
          <w:bCs/>
        </w:rPr>
        <w:t>,</w:t>
      </w:r>
      <w:r w:rsidRPr="00D60EA5">
        <w:rPr>
          <w:rFonts w:ascii="Arial" w:hAnsi="Arial" w:cs="Arial"/>
          <w:bCs/>
        </w:rPr>
        <w:t xml:space="preserve"> </w:t>
      </w:r>
      <w:r w:rsidR="00FB7A70" w:rsidRPr="00D60EA5">
        <w:rPr>
          <w:rFonts w:ascii="Arial" w:hAnsi="Arial" w:cs="Arial"/>
          <w:bCs/>
        </w:rPr>
        <w:t>que el hecho</w:t>
      </w:r>
      <w:r w:rsidR="00515AE0" w:rsidRPr="00D60EA5">
        <w:rPr>
          <w:rFonts w:ascii="Arial" w:hAnsi="Arial" w:cs="Arial"/>
          <w:bCs/>
        </w:rPr>
        <w:t xml:space="preserve"> dañoso</w:t>
      </w:r>
      <w:r w:rsidR="00FB7A70" w:rsidRPr="00D60EA5">
        <w:rPr>
          <w:rFonts w:ascii="Arial" w:hAnsi="Arial" w:cs="Arial"/>
          <w:bCs/>
        </w:rPr>
        <w:t xml:space="preserve"> </w:t>
      </w:r>
      <w:r w:rsidR="00515AE0" w:rsidRPr="00D60EA5">
        <w:rPr>
          <w:rFonts w:ascii="Arial" w:hAnsi="Arial" w:cs="Arial"/>
          <w:bCs/>
        </w:rPr>
        <w:t>al que alude</w:t>
      </w:r>
      <w:r w:rsidR="00BA0035" w:rsidRPr="00D60EA5">
        <w:rPr>
          <w:rFonts w:ascii="Arial" w:hAnsi="Arial" w:cs="Arial"/>
          <w:bCs/>
        </w:rPr>
        <w:t xml:space="preserve"> la demandante</w:t>
      </w:r>
      <w:r w:rsidR="00515AE0" w:rsidRPr="00D60EA5">
        <w:rPr>
          <w:rFonts w:ascii="Arial" w:hAnsi="Arial" w:cs="Arial"/>
          <w:bCs/>
        </w:rPr>
        <w:t xml:space="preserve"> para</w:t>
      </w:r>
      <w:r w:rsidR="00FB7A70" w:rsidRPr="00D60EA5">
        <w:rPr>
          <w:rFonts w:ascii="Arial" w:hAnsi="Arial" w:cs="Arial"/>
          <w:bCs/>
        </w:rPr>
        <w:t xml:space="preserve"> funda</w:t>
      </w:r>
      <w:r w:rsidR="00515AE0" w:rsidRPr="00D60EA5">
        <w:rPr>
          <w:rFonts w:ascii="Arial" w:hAnsi="Arial" w:cs="Arial"/>
          <w:bCs/>
        </w:rPr>
        <w:t>r sus pretensiones</w:t>
      </w:r>
      <w:r w:rsidR="00C46E35" w:rsidRPr="00D60EA5">
        <w:rPr>
          <w:rFonts w:ascii="Arial" w:hAnsi="Arial" w:cs="Arial"/>
          <w:bCs/>
        </w:rPr>
        <w:t>,</w:t>
      </w:r>
      <w:r w:rsidR="00515AE0" w:rsidRPr="00D60EA5">
        <w:rPr>
          <w:rFonts w:ascii="Arial" w:hAnsi="Arial" w:cs="Arial"/>
          <w:bCs/>
        </w:rPr>
        <w:t xml:space="preserve"> corresponde al establecimiento de </w:t>
      </w:r>
      <w:r w:rsidR="00FB7A70" w:rsidRPr="00D60EA5">
        <w:rPr>
          <w:rFonts w:ascii="Arial" w:hAnsi="Arial" w:cs="Arial"/>
          <w:bCs/>
        </w:rPr>
        <w:t>políticas</w:t>
      </w:r>
      <w:r w:rsidR="00515AE0" w:rsidRPr="00D60EA5">
        <w:rPr>
          <w:rFonts w:ascii="Arial" w:hAnsi="Arial" w:cs="Arial"/>
          <w:bCs/>
        </w:rPr>
        <w:t xml:space="preserve"> inadecuadas por parte de la administración,</w:t>
      </w:r>
      <w:r w:rsidR="003D6024" w:rsidRPr="00D60EA5">
        <w:rPr>
          <w:rFonts w:ascii="Arial" w:hAnsi="Arial" w:cs="Arial"/>
          <w:bCs/>
        </w:rPr>
        <w:t xml:space="preserve"> que impedían garantizar</w:t>
      </w:r>
      <w:r w:rsidR="00FB7A70" w:rsidRPr="00D60EA5">
        <w:rPr>
          <w:rFonts w:ascii="Arial" w:hAnsi="Arial" w:cs="Arial"/>
          <w:bCs/>
        </w:rPr>
        <w:t xml:space="preserve"> la estabilidad económica de los acuerdos celebrados para la prestación del servicio de </w:t>
      </w:r>
      <w:r w:rsidR="00515AE0" w:rsidRPr="00D60EA5">
        <w:rPr>
          <w:rFonts w:ascii="Arial" w:hAnsi="Arial" w:cs="Arial"/>
          <w:bCs/>
        </w:rPr>
        <w:t>salud en el régimen subsidiado, lo cual conllevaba a</w:t>
      </w:r>
      <w:r w:rsidR="00FB7A70" w:rsidRPr="00D60EA5">
        <w:rPr>
          <w:rFonts w:ascii="Arial" w:hAnsi="Arial" w:cs="Arial"/>
          <w:bCs/>
        </w:rPr>
        <w:t xml:space="preserve"> que la operación</w:t>
      </w:r>
      <w:r w:rsidR="00515AE0" w:rsidRPr="00D60EA5">
        <w:rPr>
          <w:rFonts w:ascii="Arial" w:hAnsi="Arial" w:cs="Arial"/>
          <w:bCs/>
        </w:rPr>
        <w:t xml:space="preserve"> se tornar</w:t>
      </w:r>
      <w:r w:rsidR="003D6024" w:rsidRPr="00D60EA5">
        <w:rPr>
          <w:rFonts w:ascii="Arial" w:hAnsi="Arial" w:cs="Arial"/>
          <w:bCs/>
        </w:rPr>
        <w:t>a</w:t>
      </w:r>
      <w:r w:rsidR="00FB7A70" w:rsidRPr="00D60EA5">
        <w:rPr>
          <w:rFonts w:ascii="Arial" w:hAnsi="Arial" w:cs="Arial"/>
          <w:bCs/>
        </w:rPr>
        <w:t xml:space="preserve"> </w:t>
      </w:r>
      <w:r w:rsidR="003D6024" w:rsidRPr="00D60EA5">
        <w:rPr>
          <w:rFonts w:ascii="Arial" w:hAnsi="Arial" w:cs="Arial"/>
          <w:bCs/>
        </w:rPr>
        <w:t>in</w:t>
      </w:r>
      <w:r w:rsidR="00FB7A70" w:rsidRPr="00D60EA5">
        <w:rPr>
          <w:rFonts w:ascii="Arial" w:hAnsi="Arial" w:cs="Arial"/>
          <w:bCs/>
        </w:rPr>
        <w:t>sostenible</w:t>
      </w:r>
      <w:r w:rsidR="00515AE0" w:rsidRPr="00D60EA5">
        <w:rPr>
          <w:rFonts w:ascii="Arial" w:hAnsi="Arial" w:cs="Arial"/>
          <w:bCs/>
        </w:rPr>
        <w:t>, ocasionando un</w:t>
      </w:r>
      <w:r w:rsidR="00FB7A70" w:rsidRPr="00D60EA5">
        <w:rPr>
          <w:rFonts w:ascii="Arial" w:hAnsi="Arial" w:cs="Arial"/>
          <w:bCs/>
        </w:rPr>
        <w:t xml:space="preserve"> detrimento patrim</w:t>
      </w:r>
      <w:r w:rsidR="00515AE0" w:rsidRPr="00D60EA5">
        <w:rPr>
          <w:rFonts w:ascii="Arial" w:hAnsi="Arial" w:cs="Arial"/>
          <w:bCs/>
        </w:rPr>
        <w:t>onial injustificado a</w:t>
      </w:r>
      <w:r w:rsidR="00FB7A70" w:rsidRPr="00D60EA5">
        <w:rPr>
          <w:rFonts w:ascii="Arial" w:hAnsi="Arial" w:cs="Arial"/>
          <w:bCs/>
        </w:rPr>
        <w:t xml:space="preserve"> las empresas responsables </w:t>
      </w:r>
      <w:r w:rsidR="00515AE0" w:rsidRPr="00D60EA5">
        <w:rPr>
          <w:rFonts w:ascii="Arial" w:hAnsi="Arial" w:cs="Arial"/>
          <w:bCs/>
        </w:rPr>
        <w:t>de dicho servicio. Esto</w:t>
      </w:r>
      <w:r w:rsidR="00FB7A70" w:rsidRPr="00D60EA5">
        <w:rPr>
          <w:rFonts w:ascii="Arial" w:hAnsi="Arial" w:cs="Arial"/>
          <w:bCs/>
        </w:rPr>
        <w:t xml:space="preserve"> </w:t>
      </w:r>
      <w:r w:rsidR="00515AE0" w:rsidRPr="00D60EA5">
        <w:rPr>
          <w:rFonts w:ascii="Arial" w:hAnsi="Arial" w:cs="Arial"/>
          <w:bCs/>
        </w:rPr>
        <w:t>le ocurrió a</w:t>
      </w:r>
      <w:r w:rsidR="00FB7A70" w:rsidRPr="00D60EA5">
        <w:rPr>
          <w:rFonts w:ascii="Arial" w:hAnsi="Arial" w:cs="Arial"/>
          <w:bCs/>
        </w:rPr>
        <w:t xml:space="preserve"> la </w:t>
      </w:r>
      <w:r w:rsidR="00515AE0" w:rsidRPr="00D60EA5">
        <w:rPr>
          <w:rFonts w:ascii="Arial" w:hAnsi="Arial" w:cs="Arial"/>
          <w:bCs/>
        </w:rPr>
        <w:t>parte actora</w:t>
      </w:r>
      <w:r w:rsidR="00FB7A70" w:rsidRPr="00D60EA5">
        <w:rPr>
          <w:rFonts w:ascii="Arial" w:hAnsi="Arial" w:cs="Arial"/>
          <w:bCs/>
        </w:rPr>
        <w:t xml:space="preserve">, </w:t>
      </w:r>
      <w:r w:rsidR="00515AE0" w:rsidRPr="00D60EA5">
        <w:rPr>
          <w:rFonts w:ascii="Arial" w:hAnsi="Arial" w:cs="Arial"/>
          <w:bCs/>
        </w:rPr>
        <w:t>quien</w:t>
      </w:r>
      <w:r w:rsidR="00FB7A70" w:rsidRPr="00D60EA5">
        <w:rPr>
          <w:rFonts w:ascii="Arial" w:hAnsi="Arial" w:cs="Arial"/>
          <w:bCs/>
        </w:rPr>
        <w:t xml:space="preserve"> se vio obligada a abandonar la </w:t>
      </w:r>
      <w:r w:rsidR="00E73AC7" w:rsidRPr="00D60EA5">
        <w:rPr>
          <w:rFonts w:ascii="Arial" w:hAnsi="Arial" w:cs="Arial"/>
          <w:bCs/>
        </w:rPr>
        <w:t>ejecu</w:t>
      </w:r>
      <w:r w:rsidR="00FB7A70" w:rsidRPr="00D60EA5">
        <w:rPr>
          <w:rFonts w:ascii="Arial" w:hAnsi="Arial" w:cs="Arial"/>
          <w:bCs/>
        </w:rPr>
        <w:t>ción</w:t>
      </w:r>
      <w:r w:rsidR="00E73AC7" w:rsidRPr="00D60EA5">
        <w:rPr>
          <w:rFonts w:ascii="Arial" w:hAnsi="Arial" w:cs="Arial"/>
          <w:bCs/>
        </w:rPr>
        <w:t xml:space="preserve"> de labores</w:t>
      </w:r>
      <w:r w:rsidR="00FB7A70" w:rsidRPr="00D60EA5">
        <w:rPr>
          <w:rFonts w:ascii="Arial" w:hAnsi="Arial" w:cs="Arial"/>
          <w:bCs/>
        </w:rPr>
        <w:t xml:space="preserve"> en el año 2012</w:t>
      </w:r>
      <w:r w:rsidR="00C46E35" w:rsidRPr="00D60EA5">
        <w:rPr>
          <w:rFonts w:ascii="Arial" w:hAnsi="Arial" w:cs="Arial"/>
          <w:bCs/>
        </w:rPr>
        <w:t>,</w:t>
      </w:r>
      <w:r w:rsidR="00FB7A70" w:rsidRPr="00D60EA5">
        <w:rPr>
          <w:rFonts w:ascii="Arial" w:hAnsi="Arial" w:cs="Arial"/>
          <w:bCs/>
        </w:rPr>
        <w:t xml:space="preserve"> por las pérdidas que obtuvo durante</w:t>
      </w:r>
      <w:r w:rsidR="00E73AC7" w:rsidRPr="00D60EA5">
        <w:rPr>
          <w:rFonts w:ascii="Arial" w:hAnsi="Arial" w:cs="Arial"/>
          <w:bCs/>
        </w:rPr>
        <w:t xml:space="preserve"> su participación </w:t>
      </w:r>
      <w:r w:rsidR="00FB7A70" w:rsidRPr="00D60EA5">
        <w:rPr>
          <w:rFonts w:ascii="Arial" w:hAnsi="Arial" w:cs="Arial"/>
          <w:bCs/>
        </w:rPr>
        <w:t>en el régimen subsidiado</w:t>
      </w:r>
      <w:r w:rsidR="00F052D2" w:rsidRPr="00D60EA5">
        <w:rPr>
          <w:rFonts w:ascii="Arial" w:hAnsi="Arial" w:cs="Arial"/>
          <w:bCs/>
        </w:rPr>
        <w:t>, desde el año 2008 hasta e</w:t>
      </w:r>
      <w:r w:rsidR="00D74FB4" w:rsidRPr="00D60EA5">
        <w:rPr>
          <w:rFonts w:ascii="Arial" w:hAnsi="Arial" w:cs="Arial"/>
          <w:bCs/>
        </w:rPr>
        <w:t>l</w:t>
      </w:r>
      <w:r w:rsidR="00D34034" w:rsidRPr="00D60EA5">
        <w:rPr>
          <w:rFonts w:ascii="Arial" w:hAnsi="Arial" w:cs="Arial"/>
          <w:bCs/>
        </w:rPr>
        <w:t xml:space="preserve"> año</w:t>
      </w:r>
      <w:r w:rsidR="00D74FB4" w:rsidRPr="00D60EA5">
        <w:rPr>
          <w:rFonts w:ascii="Arial" w:hAnsi="Arial" w:cs="Arial"/>
          <w:bCs/>
        </w:rPr>
        <w:t xml:space="preserve"> 2012</w:t>
      </w:r>
      <w:r w:rsidR="00FB7A70" w:rsidRPr="00D60EA5">
        <w:rPr>
          <w:rFonts w:ascii="Arial" w:hAnsi="Arial" w:cs="Arial"/>
          <w:bCs/>
        </w:rPr>
        <w:t>.</w:t>
      </w:r>
    </w:p>
    <w:bookmarkEnd w:id="3"/>
    <w:p w14:paraId="16287F21" w14:textId="77777777" w:rsidR="00D74FB4" w:rsidRPr="00D60EA5" w:rsidRDefault="00D74FB4" w:rsidP="008F446C">
      <w:pPr>
        <w:spacing w:line="360" w:lineRule="auto"/>
        <w:jc w:val="both"/>
        <w:rPr>
          <w:rFonts w:ascii="Arial" w:hAnsi="Arial" w:cs="Arial"/>
          <w:bCs/>
        </w:rPr>
      </w:pPr>
    </w:p>
    <w:p w14:paraId="071528B7" w14:textId="77777777" w:rsidR="0042547D" w:rsidRPr="00D60EA5" w:rsidRDefault="0042547D" w:rsidP="008F446C">
      <w:pPr>
        <w:spacing w:line="360" w:lineRule="auto"/>
        <w:jc w:val="both"/>
        <w:rPr>
          <w:rFonts w:ascii="Arial" w:hAnsi="Arial" w:cs="Arial"/>
          <w:bCs/>
        </w:rPr>
      </w:pPr>
      <w:r w:rsidRPr="00D60EA5">
        <w:rPr>
          <w:rFonts w:ascii="Arial" w:hAnsi="Arial" w:cs="Arial"/>
          <w:bCs/>
        </w:rPr>
        <w:t>En la demanda se refirió</w:t>
      </w:r>
      <w:r w:rsidR="008D7D44" w:rsidRPr="00D60EA5">
        <w:rPr>
          <w:rFonts w:ascii="Arial" w:hAnsi="Arial" w:cs="Arial"/>
          <w:bCs/>
        </w:rPr>
        <w:t>,</w:t>
      </w:r>
      <w:r w:rsidRPr="00D60EA5">
        <w:rPr>
          <w:rFonts w:ascii="Arial" w:hAnsi="Arial" w:cs="Arial"/>
          <w:bCs/>
        </w:rPr>
        <w:t xml:space="preserve"> enfáticamente</w:t>
      </w:r>
      <w:r w:rsidR="008D7D44" w:rsidRPr="00D60EA5">
        <w:rPr>
          <w:rFonts w:ascii="Arial" w:hAnsi="Arial" w:cs="Arial"/>
          <w:bCs/>
        </w:rPr>
        <w:t>,</w:t>
      </w:r>
      <w:r w:rsidRPr="00D60EA5">
        <w:rPr>
          <w:rFonts w:ascii="Arial" w:hAnsi="Arial" w:cs="Arial"/>
          <w:bCs/>
        </w:rPr>
        <w:t xml:space="preserve"> que la desatención de las entidades gubernamentales se superó solo hasta la vigencia 2013-2014, cuando se advirtió la inequidad de las tarifas aplicadas en años anteriores y se procedió a corregir dicha deficiencia. Pese a lo anterior, según argumentó la parte demandante, las medidas se adoptaron tardíamente, cuando esa Caja de Compensación Familiar ya había abandonado su operación en el régimen subsidiado</w:t>
      </w:r>
      <w:r w:rsidR="00C46E35" w:rsidRPr="00D60EA5">
        <w:rPr>
          <w:rFonts w:ascii="Arial" w:hAnsi="Arial" w:cs="Arial"/>
          <w:bCs/>
        </w:rPr>
        <w:t>,</w:t>
      </w:r>
      <w:r w:rsidRPr="00D60EA5">
        <w:rPr>
          <w:rFonts w:ascii="Arial" w:hAnsi="Arial" w:cs="Arial"/>
          <w:bCs/>
        </w:rPr>
        <w:t xml:space="preserve"> debido al detri</w:t>
      </w:r>
      <w:r w:rsidR="00AC5CCF" w:rsidRPr="00D60EA5">
        <w:rPr>
          <w:rFonts w:ascii="Arial" w:hAnsi="Arial" w:cs="Arial"/>
          <w:bCs/>
        </w:rPr>
        <w:t>mento percibido en años</w:t>
      </w:r>
      <w:r w:rsidRPr="00D60EA5">
        <w:rPr>
          <w:rFonts w:ascii="Arial" w:hAnsi="Arial" w:cs="Arial"/>
          <w:bCs/>
        </w:rPr>
        <w:t xml:space="preserve"> anteriores.</w:t>
      </w:r>
    </w:p>
    <w:p w14:paraId="5BE93A62" w14:textId="77777777" w:rsidR="00DA5EBA" w:rsidRPr="00D60EA5" w:rsidRDefault="00DA5EBA" w:rsidP="008F446C">
      <w:pPr>
        <w:spacing w:line="360" w:lineRule="auto"/>
        <w:jc w:val="both"/>
        <w:rPr>
          <w:rFonts w:ascii="Arial" w:hAnsi="Arial" w:cs="Arial"/>
          <w:bCs/>
        </w:rPr>
      </w:pPr>
    </w:p>
    <w:p w14:paraId="3FC9D2E2" w14:textId="77777777" w:rsidR="0042547D" w:rsidRPr="00D60EA5" w:rsidRDefault="0042547D" w:rsidP="00BA1187">
      <w:pPr>
        <w:spacing w:line="360" w:lineRule="auto"/>
        <w:jc w:val="both"/>
        <w:rPr>
          <w:rFonts w:ascii="Arial" w:hAnsi="Arial" w:cs="Arial"/>
          <w:bCs/>
        </w:rPr>
      </w:pPr>
      <w:r w:rsidRPr="00D60EA5">
        <w:rPr>
          <w:rFonts w:ascii="Arial" w:hAnsi="Arial" w:cs="Arial"/>
          <w:bCs/>
        </w:rPr>
        <w:t>En</w:t>
      </w:r>
      <w:r w:rsidR="001047F6" w:rsidRPr="00D60EA5">
        <w:rPr>
          <w:rFonts w:ascii="Arial" w:hAnsi="Arial" w:cs="Arial"/>
          <w:bCs/>
        </w:rPr>
        <w:t xml:space="preserve"> cuanto al daño, </w:t>
      </w:r>
      <w:r w:rsidR="002D0DA4" w:rsidRPr="00D60EA5">
        <w:rPr>
          <w:rFonts w:ascii="Arial" w:hAnsi="Arial" w:cs="Arial"/>
          <w:bCs/>
        </w:rPr>
        <w:t>se aleg</w:t>
      </w:r>
      <w:r w:rsidR="001047F6" w:rsidRPr="00D60EA5">
        <w:rPr>
          <w:rFonts w:ascii="Arial" w:hAnsi="Arial" w:cs="Arial"/>
          <w:bCs/>
        </w:rPr>
        <w:t>ó</w:t>
      </w:r>
      <w:r w:rsidR="002D0DA4" w:rsidRPr="00D60EA5">
        <w:rPr>
          <w:rFonts w:ascii="Arial" w:hAnsi="Arial" w:cs="Arial"/>
          <w:bCs/>
        </w:rPr>
        <w:t xml:space="preserve"> que </w:t>
      </w:r>
      <w:r w:rsidR="001047F6" w:rsidRPr="00D60EA5">
        <w:rPr>
          <w:rFonts w:ascii="Arial" w:hAnsi="Arial" w:cs="Arial"/>
          <w:bCs/>
        </w:rPr>
        <w:t>este</w:t>
      </w:r>
      <w:r w:rsidRPr="00D60EA5">
        <w:rPr>
          <w:rFonts w:ascii="Arial" w:hAnsi="Arial" w:cs="Arial"/>
          <w:bCs/>
        </w:rPr>
        <w:t xml:space="preserve"> </w:t>
      </w:r>
      <w:r w:rsidR="00B121FF" w:rsidRPr="00D60EA5">
        <w:rPr>
          <w:rFonts w:ascii="Arial" w:hAnsi="Arial" w:cs="Arial"/>
          <w:bCs/>
        </w:rPr>
        <w:t>se produjo durante</w:t>
      </w:r>
      <w:r w:rsidR="00AF5601" w:rsidRPr="00D60EA5">
        <w:rPr>
          <w:rFonts w:ascii="Arial" w:hAnsi="Arial" w:cs="Arial"/>
          <w:bCs/>
        </w:rPr>
        <w:t xml:space="preserve"> el desarrollo</w:t>
      </w:r>
      <w:r w:rsidR="00B121FF" w:rsidRPr="00D60EA5">
        <w:rPr>
          <w:rFonts w:ascii="Arial" w:hAnsi="Arial" w:cs="Arial"/>
          <w:bCs/>
        </w:rPr>
        <w:t xml:space="preserve"> de los contratos celebrados entre la empresa demandante y varios municipios del Departamento de Antioquia, durante las vigencias 2008 a 2009, 2009 a 2010, 2010 a 2011 y 2011 a 2012, conc</w:t>
      </w:r>
      <w:r w:rsidR="001047F6" w:rsidRPr="00D60EA5">
        <w:rPr>
          <w:rFonts w:ascii="Arial" w:hAnsi="Arial" w:cs="Arial"/>
          <w:bCs/>
        </w:rPr>
        <w:t>retamente por el desequilibrio económico que se produjo</w:t>
      </w:r>
      <w:r w:rsidR="00D74850" w:rsidRPr="00D60EA5">
        <w:rPr>
          <w:rFonts w:ascii="Arial" w:hAnsi="Arial" w:cs="Arial"/>
          <w:bCs/>
        </w:rPr>
        <w:t xml:space="preserve"> año a año</w:t>
      </w:r>
      <w:r w:rsidR="00B121FF" w:rsidRPr="00D60EA5">
        <w:rPr>
          <w:rFonts w:ascii="Arial" w:hAnsi="Arial" w:cs="Arial"/>
          <w:bCs/>
        </w:rPr>
        <w:t xml:space="preserve">, al no haberse cubierto con las UPC la totalidad de </w:t>
      </w:r>
      <w:r w:rsidR="001047F6" w:rsidRPr="00D60EA5">
        <w:rPr>
          <w:rFonts w:ascii="Arial" w:hAnsi="Arial" w:cs="Arial"/>
          <w:bCs/>
        </w:rPr>
        <w:t xml:space="preserve">los costos </w:t>
      </w:r>
      <w:r w:rsidR="00604D95" w:rsidRPr="00D60EA5">
        <w:rPr>
          <w:rFonts w:ascii="Arial" w:hAnsi="Arial" w:cs="Arial"/>
          <w:bCs/>
        </w:rPr>
        <w:t>de la atención médica</w:t>
      </w:r>
      <w:r w:rsidR="001047F6" w:rsidRPr="00D60EA5">
        <w:rPr>
          <w:rFonts w:ascii="Arial" w:hAnsi="Arial" w:cs="Arial"/>
          <w:bCs/>
        </w:rPr>
        <w:t xml:space="preserve"> brindada.</w:t>
      </w:r>
    </w:p>
    <w:p w14:paraId="384BA73E" w14:textId="77777777" w:rsidR="00E86EA2" w:rsidRPr="00D60EA5" w:rsidRDefault="00E86EA2" w:rsidP="008F446C">
      <w:pPr>
        <w:spacing w:line="360" w:lineRule="auto"/>
        <w:jc w:val="both"/>
        <w:rPr>
          <w:rFonts w:ascii="Arial" w:hAnsi="Arial" w:cs="Arial"/>
          <w:bCs/>
        </w:rPr>
      </w:pPr>
    </w:p>
    <w:p w14:paraId="3D2CD1FD" w14:textId="77777777" w:rsidR="00111CC0" w:rsidRPr="00D60EA5" w:rsidRDefault="00111CC0" w:rsidP="008F446C">
      <w:pPr>
        <w:spacing w:line="360" w:lineRule="auto"/>
        <w:jc w:val="both"/>
        <w:rPr>
          <w:rFonts w:ascii="Arial" w:hAnsi="Arial" w:cs="Arial"/>
          <w:bCs/>
        </w:rPr>
      </w:pPr>
      <w:r w:rsidRPr="00D60EA5">
        <w:rPr>
          <w:rFonts w:ascii="Arial" w:hAnsi="Arial" w:cs="Arial"/>
          <w:bCs/>
        </w:rPr>
        <w:t xml:space="preserve">No obstante, </w:t>
      </w:r>
      <w:r w:rsidR="00AC77AE" w:rsidRPr="00D60EA5">
        <w:rPr>
          <w:rFonts w:ascii="Arial" w:hAnsi="Arial" w:cs="Arial"/>
          <w:bCs/>
        </w:rPr>
        <w:t xml:space="preserve">en criterio de </w:t>
      </w:r>
      <w:r w:rsidR="00F04C0B" w:rsidRPr="00D60EA5">
        <w:rPr>
          <w:rFonts w:ascii="Arial" w:hAnsi="Arial" w:cs="Arial"/>
          <w:bCs/>
        </w:rPr>
        <w:t xml:space="preserve">la parte actora, </w:t>
      </w:r>
      <w:r w:rsidRPr="00D60EA5">
        <w:rPr>
          <w:rFonts w:ascii="Arial" w:hAnsi="Arial" w:cs="Arial"/>
          <w:bCs/>
        </w:rPr>
        <w:t>el daño padecido no tuvo por causa aspectos inherentes a la ejecución de los contratos, sino que se derivó de</w:t>
      </w:r>
      <w:r w:rsidR="00EF5142" w:rsidRPr="00D60EA5">
        <w:rPr>
          <w:rFonts w:ascii="Arial" w:hAnsi="Arial" w:cs="Arial"/>
          <w:bCs/>
        </w:rPr>
        <w:t>l modelo económico adoptado por el Gobierno Nacional para la atención del régimen subsidiado</w:t>
      </w:r>
      <w:r w:rsidR="00F04C0B" w:rsidRPr="00D60EA5">
        <w:rPr>
          <w:rFonts w:ascii="Arial" w:hAnsi="Arial" w:cs="Arial"/>
          <w:bCs/>
        </w:rPr>
        <w:t xml:space="preserve"> que</w:t>
      </w:r>
      <w:r w:rsidRPr="00D60EA5">
        <w:rPr>
          <w:rFonts w:ascii="Arial" w:hAnsi="Arial" w:cs="Arial"/>
          <w:bCs/>
        </w:rPr>
        <w:t xml:space="preserve"> </w:t>
      </w:r>
      <w:r w:rsidR="00EF5142" w:rsidRPr="00D60EA5">
        <w:rPr>
          <w:rFonts w:ascii="Arial" w:hAnsi="Arial" w:cs="Arial"/>
          <w:bCs/>
        </w:rPr>
        <w:t>no permitía el equilibrio de la ecuación financiera</w:t>
      </w:r>
      <w:r w:rsidR="007A4516" w:rsidRPr="00D60EA5">
        <w:rPr>
          <w:rFonts w:ascii="Arial" w:hAnsi="Arial" w:cs="Arial"/>
          <w:bCs/>
        </w:rPr>
        <w:t xml:space="preserve"> para el contratista.</w:t>
      </w:r>
    </w:p>
    <w:p w14:paraId="34B3F2EB" w14:textId="77777777" w:rsidR="00074216" w:rsidRPr="00D60EA5" w:rsidRDefault="00074216" w:rsidP="008F446C">
      <w:pPr>
        <w:spacing w:line="360" w:lineRule="auto"/>
        <w:jc w:val="both"/>
        <w:rPr>
          <w:rFonts w:ascii="Arial" w:hAnsi="Arial" w:cs="Arial"/>
          <w:bCs/>
        </w:rPr>
      </w:pPr>
    </w:p>
    <w:p w14:paraId="3A5682E3" w14:textId="77777777" w:rsidR="007D6ED9" w:rsidRPr="00D60EA5" w:rsidRDefault="00E66093" w:rsidP="008F446C">
      <w:pPr>
        <w:spacing w:line="360" w:lineRule="auto"/>
        <w:jc w:val="both"/>
        <w:rPr>
          <w:rFonts w:ascii="Arial" w:hAnsi="Arial" w:cs="Arial"/>
          <w:bCs/>
        </w:rPr>
      </w:pPr>
      <w:r w:rsidRPr="00D60EA5">
        <w:rPr>
          <w:rFonts w:ascii="Arial" w:hAnsi="Arial" w:cs="Arial"/>
          <w:bCs/>
        </w:rPr>
        <w:t>De acuerdo con</w:t>
      </w:r>
      <w:r w:rsidR="00AA5562" w:rsidRPr="00D60EA5">
        <w:rPr>
          <w:rFonts w:ascii="Arial" w:hAnsi="Arial" w:cs="Arial"/>
          <w:bCs/>
        </w:rPr>
        <w:t xml:space="preserve"> el</w:t>
      </w:r>
      <w:r w:rsidR="00410407" w:rsidRPr="00D60EA5">
        <w:rPr>
          <w:rFonts w:ascii="Arial" w:hAnsi="Arial" w:cs="Arial"/>
          <w:bCs/>
        </w:rPr>
        <w:t xml:space="preserve"> libelo introductorio</w:t>
      </w:r>
      <w:r w:rsidR="00074216" w:rsidRPr="00D60EA5">
        <w:rPr>
          <w:rFonts w:ascii="Arial" w:hAnsi="Arial" w:cs="Arial"/>
          <w:bCs/>
        </w:rPr>
        <w:t>, el Gobierno Nacional</w:t>
      </w:r>
      <w:r w:rsidR="00C46E35" w:rsidRPr="00D60EA5">
        <w:rPr>
          <w:rFonts w:ascii="Arial" w:hAnsi="Arial" w:cs="Arial"/>
          <w:bCs/>
        </w:rPr>
        <w:t>,</w:t>
      </w:r>
      <w:r w:rsidR="00074216" w:rsidRPr="00D60EA5">
        <w:rPr>
          <w:rFonts w:ascii="Arial" w:hAnsi="Arial" w:cs="Arial"/>
          <w:bCs/>
        </w:rPr>
        <w:t xml:space="preserve"> para la vigencia 2013-2014</w:t>
      </w:r>
      <w:r w:rsidR="00C46E35" w:rsidRPr="00D60EA5">
        <w:rPr>
          <w:rFonts w:ascii="Arial" w:hAnsi="Arial" w:cs="Arial"/>
          <w:bCs/>
        </w:rPr>
        <w:t>,</w:t>
      </w:r>
      <w:r w:rsidR="00AA5562" w:rsidRPr="00D60EA5">
        <w:rPr>
          <w:rFonts w:ascii="Arial" w:hAnsi="Arial" w:cs="Arial"/>
          <w:bCs/>
        </w:rPr>
        <w:t xml:space="preserve"> efectuó modificaciones reglamentarias en cuanto a</w:t>
      </w:r>
      <w:r w:rsidR="00074216" w:rsidRPr="00D60EA5">
        <w:rPr>
          <w:rFonts w:ascii="Arial" w:hAnsi="Arial" w:cs="Arial"/>
          <w:bCs/>
        </w:rPr>
        <w:t xml:space="preserve"> la tarifa de las UPC</w:t>
      </w:r>
      <w:r w:rsidR="00AA5562" w:rsidRPr="00D60EA5">
        <w:rPr>
          <w:rFonts w:ascii="Arial" w:hAnsi="Arial" w:cs="Arial"/>
          <w:bCs/>
        </w:rPr>
        <w:t>, el costo de los medicamentos y los gastos de administración</w:t>
      </w:r>
      <w:r w:rsidR="00074216" w:rsidRPr="00D60EA5">
        <w:rPr>
          <w:rFonts w:ascii="Arial" w:hAnsi="Arial" w:cs="Arial"/>
          <w:bCs/>
        </w:rPr>
        <w:t>, de manera que</w:t>
      </w:r>
      <w:r w:rsidR="00AA5562" w:rsidRPr="00D60EA5">
        <w:rPr>
          <w:rFonts w:ascii="Arial" w:hAnsi="Arial" w:cs="Arial"/>
          <w:bCs/>
        </w:rPr>
        <w:t xml:space="preserve"> los dineros entregados a los prestadores del servicio de salud</w:t>
      </w:r>
      <w:r w:rsidR="00074216" w:rsidRPr="00D60EA5">
        <w:rPr>
          <w:rFonts w:ascii="Arial" w:hAnsi="Arial" w:cs="Arial"/>
          <w:bCs/>
        </w:rPr>
        <w:t xml:space="preserve"> resultara</w:t>
      </w:r>
      <w:r w:rsidR="00AA5562" w:rsidRPr="00D60EA5">
        <w:rPr>
          <w:rFonts w:ascii="Arial" w:hAnsi="Arial" w:cs="Arial"/>
          <w:bCs/>
        </w:rPr>
        <w:t>n</w:t>
      </w:r>
      <w:r w:rsidR="00074216" w:rsidRPr="00D60EA5">
        <w:rPr>
          <w:rFonts w:ascii="Arial" w:hAnsi="Arial" w:cs="Arial"/>
          <w:bCs/>
        </w:rPr>
        <w:t xml:space="preserve"> suficiente</w:t>
      </w:r>
      <w:r w:rsidR="00AA5562" w:rsidRPr="00D60EA5">
        <w:rPr>
          <w:rFonts w:ascii="Arial" w:hAnsi="Arial" w:cs="Arial"/>
          <w:bCs/>
        </w:rPr>
        <w:t>s</w:t>
      </w:r>
      <w:r w:rsidR="00074216" w:rsidRPr="00D60EA5">
        <w:rPr>
          <w:rFonts w:ascii="Arial" w:hAnsi="Arial" w:cs="Arial"/>
          <w:bCs/>
        </w:rPr>
        <w:t xml:space="preserve"> para cubrir el costo de la atención médica. Empero, para ese momento</w:t>
      </w:r>
      <w:r w:rsidR="00C46E35" w:rsidRPr="00D60EA5">
        <w:rPr>
          <w:rFonts w:ascii="Arial" w:hAnsi="Arial" w:cs="Arial"/>
          <w:bCs/>
        </w:rPr>
        <w:t>,</w:t>
      </w:r>
      <w:r w:rsidR="00074216" w:rsidRPr="00D60EA5">
        <w:rPr>
          <w:rFonts w:ascii="Arial" w:hAnsi="Arial" w:cs="Arial"/>
          <w:bCs/>
        </w:rPr>
        <w:t xml:space="preserve"> la Caja de </w:t>
      </w:r>
      <w:r w:rsidR="00074216" w:rsidRPr="00D60EA5">
        <w:rPr>
          <w:rFonts w:ascii="Arial" w:hAnsi="Arial" w:cs="Arial"/>
          <w:bCs/>
        </w:rPr>
        <w:lastRenderedPageBreak/>
        <w:t>Compensación Familiar Comfenalco Antioquia</w:t>
      </w:r>
      <w:r w:rsidR="00C46E35" w:rsidRPr="00D60EA5">
        <w:rPr>
          <w:rFonts w:ascii="Arial" w:hAnsi="Arial" w:cs="Arial"/>
          <w:bCs/>
        </w:rPr>
        <w:t>,</w:t>
      </w:r>
      <w:r w:rsidR="00074216" w:rsidRPr="00D60EA5">
        <w:rPr>
          <w:rFonts w:ascii="Arial" w:hAnsi="Arial" w:cs="Arial"/>
          <w:bCs/>
        </w:rPr>
        <w:t xml:space="preserve"> ya </w:t>
      </w:r>
      <w:r w:rsidR="007A0878" w:rsidRPr="00D60EA5">
        <w:rPr>
          <w:rFonts w:ascii="Arial" w:hAnsi="Arial" w:cs="Arial"/>
          <w:bCs/>
        </w:rPr>
        <w:t>no prestaba servicios en e</w:t>
      </w:r>
      <w:r w:rsidR="00074216" w:rsidRPr="00D60EA5">
        <w:rPr>
          <w:rFonts w:ascii="Arial" w:hAnsi="Arial" w:cs="Arial"/>
          <w:bCs/>
        </w:rPr>
        <w:t>l régimen subsidiado, debido a</w:t>
      </w:r>
      <w:r w:rsidR="00D74850" w:rsidRPr="00D60EA5">
        <w:rPr>
          <w:rFonts w:ascii="Arial" w:hAnsi="Arial" w:cs="Arial"/>
          <w:bCs/>
        </w:rPr>
        <w:t xml:space="preserve"> las pérdidas</w:t>
      </w:r>
      <w:r w:rsidR="00074216" w:rsidRPr="00D60EA5">
        <w:rPr>
          <w:rFonts w:ascii="Arial" w:hAnsi="Arial" w:cs="Arial"/>
          <w:bCs/>
        </w:rPr>
        <w:t xml:space="preserve"> que sufrió durante las actividades desarrolladas entre el año 2008 y el año 2012.</w:t>
      </w:r>
    </w:p>
    <w:p w14:paraId="7D34F5C7" w14:textId="77777777" w:rsidR="00074216" w:rsidRPr="00D60EA5" w:rsidRDefault="00074216" w:rsidP="008F446C">
      <w:pPr>
        <w:spacing w:line="360" w:lineRule="auto"/>
        <w:jc w:val="both"/>
        <w:rPr>
          <w:rFonts w:ascii="Arial" w:hAnsi="Arial" w:cs="Arial"/>
          <w:bCs/>
        </w:rPr>
      </w:pPr>
    </w:p>
    <w:p w14:paraId="08F64A9B" w14:textId="77777777" w:rsidR="00074216" w:rsidRPr="00D60EA5" w:rsidRDefault="004713D4" w:rsidP="008F446C">
      <w:pPr>
        <w:spacing w:line="360" w:lineRule="auto"/>
        <w:jc w:val="both"/>
        <w:rPr>
          <w:rFonts w:ascii="Arial" w:hAnsi="Arial" w:cs="Arial"/>
          <w:bCs/>
        </w:rPr>
      </w:pPr>
      <w:r w:rsidRPr="00D60EA5">
        <w:rPr>
          <w:rFonts w:ascii="Arial" w:hAnsi="Arial" w:cs="Arial"/>
          <w:bCs/>
        </w:rPr>
        <w:t>Por ende</w:t>
      </w:r>
      <w:r w:rsidR="00F04C0B" w:rsidRPr="00D60EA5">
        <w:rPr>
          <w:rFonts w:ascii="Arial" w:hAnsi="Arial" w:cs="Arial"/>
          <w:bCs/>
        </w:rPr>
        <w:t>,</w:t>
      </w:r>
      <w:r w:rsidR="00E66093" w:rsidRPr="00D60EA5">
        <w:rPr>
          <w:rFonts w:ascii="Arial" w:hAnsi="Arial" w:cs="Arial"/>
          <w:bCs/>
        </w:rPr>
        <w:t xml:space="preserve"> </w:t>
      </w:r>
      <w:r w:rsidR="007A0878" w:rsidRPr="00D60EA5">
        <w:rPr>
          <w:rFonts w:ascii="Arial" w:hAnsi="Arial" w:cs="Arial"/>
          <w:bCs/>
        </w:rPr>
        <w:t>las causas que daban origen a</w:t>
      </w:r>
      <w:r w:rsidR="00E66093" w:rsidRPr="00D60EA5">
        <w:rPr>
          <w:rFonts w:ascii="Arial" w:hAnsi="Arial" w:cs="Arial"/>
          <w:bCs/>
        </w:rPr>
        <w:t>l daño</w:t>
      </w:r>
      <w:r w:rsidR="007A0878" w:rsidRPr="00D60EA5">
        <w:rPr>
          <w:rFonts w:ascii="Arial" w:hAnsi="Arial" w:cs="Arial"/>
          <w:bCs/>
        </w:rPr>
        <w:t xml:space="preserve"> se superaron</w:t>
      </w:r>
      <w:r w:rsidR="00230715" w:rsidRPr="00D60EA5">
        <w:rPr>
          <w:rFonts w:ascii="Arial" w:hAnsi="Arial" w:cs="Arial"/>
          <w:bCs/>
        </w:rPr>
        <w:t xml:space="preserve"> con la </w:t>
      </w:r>
      <w:r w:rsidR="00F04C0B" w:rsidRPr="00D60EA5">
        <w:rPr>
          <w:rFonts w:ascii="Arial" w:hAnsi="Arial" w:cs="Arial"/>
          <w:bCs/>
        </w:rPr>
        <w:t xml:space="preserve">adecuada </w:t>
      </w:r>
      <w:r w:rsidR="00230715" w:rsidRPr="00D60EA5">
        <w:rPr>
          <w:rFonts w:ascii="Arial" w:hAnsi="Arial" w:cs="Arial"/>
          <w:bCs/>
        </w:rPr>
        <w:t xml:space="preserve">reglamentación </w:t>
      </w:r>
      <w:r w:rsidR="00410407" w:rsidRPr="00D60EA5">
        <w:rPr>
          <w:rFonts w:ascii="Arial" w:hAnsi="Arial" w:cs="Arial"/>
          <w:bCs/>
        </w:rPr>
        <w:t>efectuada</w:t>
      </w:r>
      <w:r w:rsidR="00F04C0B" w:rsidRPr="00D60EA5">
        <w:rPr>
          <w:rFonts w:ascii="Arial" w:hAnsi="Arial" w:cs="Arial"/>
          <w:bCs/>
        </w:rPr>
        <w:t xml:space="preserve"> </w:t>
      </w:r>
      <w:r w:rsidR="00230715" w:rsidRPr="00D60EA5">
        <w:rPr>
          <w:rFonts w:ascii="Arial" w:hAnsi="Arial" w:cs="Arial"/>
          <w:bCs/>
        </w:rPr>
        <w:t>en el año 2013; s</w:t>
      </w:r>
      <w:r w:rsidR="007A0878" w:rsidRPr="00D60EA5">
        <w:rPr>
          <w:rFonts w:ascii="Arial" w:hAnsi="Arial" w:cs="Arial"/>
          <w:bCs/>
        </w:rPr>
        <w:t>in embargo, el perjuicio económico</w:t>
      </w:r>
      <w:r w:rsidR="008D7D44" w:rsidRPr="00D60EA5">
        <w:rPr>
          <w:rFonts w:ascii="Arial" w:hAnsi="Arial" w:cs="Arial"/>
          <w:bCs/>
        </w:rPr>
        <w:t xml:space="preserve"> que se adujo</w:t>
      </w:r>
      <w:r w:rsidR="007A0878" w:rsidRPr="00D60EA5">
        <w:rPr>
          <w:rFonts w:ascii="Arial" w:hAnsi="Arial" w:cs="Arial"/>
          <w:bCs/>
        </w:rPr>
        <w:t xml:space="preserve"> en la </w:t>
      </w:r>
      <w:proofErr w:type="gramStart"/>
      <w:r w:rsidR="007A0878" w:rsidRPr="00D60EA5">
        <w:rPr>
          <w:rFonts w:ascii="Arial" w:hAnsi="Arial" w:cs="Arial"/>
          <w:bCs/>
        </w:rPr>
        <w:t>demanda</w:t>
      </w:r>
      <w:r w:rsidR="00C46E35" w:rsidRPr="00D60EA5">
        <w:rPr>
          <w:rFonts w:ascii="Arial" w:hAnsi="Arial" w:cs="Arial"/>
          <w:bCs/>
        </w:rPr>
        <w:t>,</w:t>
      </w:r>
      <w:proofErr w:type="gramEnd"/>
      <w:r w:rsidR="00230715" w:rsidRPr="00D60EA5">
        <w:rPr>
          <w:rFonts w:ascii="Arial" w:hAnsi="Arial" w:cs="Arial"/>
          <w:bCs/>
        </w:rPr>
        <w:t xml:space="preserve"> se</w:t>
      </w:r>
      <w:r w:rsidR="003C0C42" w:rsidRPr="00D60EA5">
        <w:rPr>
          <w:rFonts w:ascii="Arial" w:hAnsi="Arial" w:cs="Arial"/>
          <w:bCs/>
        </w:rPr>
        <w:t xml:space="preserve"> concretó</w:t>
      </w:r>
      <w:r w:rsidR="00A33CA6" w:rsidRPr="00D60EA5">
        <w:rPr>
          <w:rFonts w:ascii="Arial" w:hAnsi="Arial" w:cs="Arial"/>
          <w:bCs/>
        </w:rPr>
        <w:t xml:space="preserve"> de</w:t>
      </w:r>
      <w:r w:rsidR="002D0DA4" w:rsidRPr="00D60EA5">
        <w:rPr>
          <w:rFonts w:ascii="Arial" w:hAnsi="Arial" w:cs="Arial"/>
          <w:bCs/>
        </w:rPr>
        <w:t xml:space="preserve">sde el </w:t>
      </w:r>
      <w:r w:rsidR="00E66093" w:rsidRPr="00D60EA5">
        <w:rPr>
          <w:rFonts w:ascii="Arial" w:hAnsi="Arial" w:cs="Arial"/>
          <w:bCs/>
        </w:rPr>
        <w:t>primer contrato suscrito</w:t>
      </w:r>
      <w:r w:rsidR="006F6308" w:rsidRPr="00D60EA5">
        <w:rPr>
          <w:rFonts w:ascii="Arial" w:hAnsi="Arial" w:cs="Arial"/>
          <w:bCs/>
        </w:rPr>
        <w:t xml:space="preserve"> en el</w:t>
      </w:r>
      <w:r w:rsidR="00A33CA6" w:rsidRPr="00D60EA5">
        <w:rPr>
          <w:rFonts w:ascii="Arial" w:hAnsi="Arial" w:cs="Arial"/>
          <w:bCs/>
        </w:rPr>
        <w:t xml:space="preserve"> 2008</w:t>
      </w:r>
      <w:r w:rsidR="003C0C42" w:rsidRPr="00D60EA5">
        <w:rPr>
          <w:rFonts w:ascii="Arial" w:hAnsi="Arial" w:cs="Arial"/>
          <w:bCs/>
        </w:rPr>
        <w:t>, al punto que en el año 2012</w:t>
      </w:r>
      <w:r w:rsidR="00C46E35" w:rsidRPr="00D60EA5">
        <w:rPr>
          <w:rFonts w:ascii="Arial" w:hAnsi="Arial" w:cs="Arial"/>
          <w:bCs/>
        </w:rPr>
        <w:t>,</w:t>
      </w:r>
      <w:r w:rsidR="007A0878" w:rsidRPr="00D60EA5">
        <w:rPr>
          <w:rFonts w:ascii="Arial" w:hAnsi="Arial" w:cs="Arial"/>
          <w:bCs/>
        </w:rPr>
        <w:t xml:space="preserve"> la parte actora</w:t>
      </w:r>
      <w:r w:rsidR="003C0C42" w:rsidRPr="00D60EA5">
        <w:rPr>
          <w:rFonts w:ascii="Arial" w:hAnsi="Arial" w:cs="Arial"/>
          <w:bCs/>
        </w:rPr>
        <w:t xml:space="preserve"> debió abandonar sus operaciones en el régimen subsidiado</w:t>
      </w:r>
      <w:r w:rsidR="00A33CA6" w:rsidRPr="00D60EA5">
        <w:rPr>
          <w:rFonts w:ascii="Arial" w:hAnsi="Arial" w:cs="Arial"/>
          <w:bCs/>
        </w:rPr>
        <w:t>.</w:t>
      </w:r>
    </w:p>
    <w:p w14:paraId="0B4020A7" w14:textId="77777777" w:rsidR="00A33CA6" w:rsidRPr="00D60EA5" w:rsidRDefault="00A33CA6" w:rsidP="008F446C">
      <w:pPr>
        <w:spacing w:line="360" w:lineRule="auto"/>
        <w:jc w:val="both"/>
        <w:rPr>
          <w:rFonts w:ascii="Arial" w:hAnsi="Arial" w:cs="Arial"/>
          <w:bCs/>
        </w:rPr>
      </w:pPr>
    </w:p>
    <w:p w14:paraId="6D86B65B" w14:textId="77777777" w:rsidR="00F04C0B" w:rsidRPr="00D60EA5" w:rsidRDefault="00293C16" w:rsidP="008F446C">
      <w:pPr>
        <w:spacing w:line="360" w:lineRule="auto"/>
        <w:jc w:val="both"/>
        <w:rPr>
          <w:rFonts w:ascii="Arial" w:hAnsi="Arial" w:cs="Arial"/>
          <w:bCs/>
        </w:rPr>
      </w:pPr>
      <w:r w:rsidRPr="00D60EA5">
        <w:rPr>
          <w:rFonts w:ascii="Arial" w:hAnsi="Arial" w:cs="Arial"/>
          <w:bCs/>
        </w:rPr>
        <w:t xml:space="preserve">Según se afirmó en la demanda, </w:t>
      </w:r>
      <w:r w:rsidR="00F04C0B" w:rsidRPr="00D60EA5">
        <w:rPr>
          <w:rFonts w:ascii="Arial" w:hAnsi="Arial" w:cs="Arial"/>
          <w:bCs/>
        </w:rPr>
        <w:t>el daño</w:t>
      </w:r>
      <w:r w:rsidR="007A0878" w:rsidRPr="00D60EA5">
        <w:rPr>
          <w:rFonts w:ascii="Arial" w:hAnsi="Arial" w:cs="Arial"/>
          <w:bCs/>
        </w:rPr>
        <w:t xml:space="preserve"> provocado</w:t>
      </w:r>
      <w:r w:rsidR="002075E7" w:rsidRPr="00D60EA5">
        <w:rPr>
          <w:rFonts w:ascii="Arial" w:hAnsi="Arial" w:cs="Arial"/>
          <w:bCs/>
        </w:rPr>
        <w:t xml:space="preserve"> en </w:t>
      </w:r>
      <w:r w:rsidR="008D7CD7" w:rsidRPr="00D60EA5">
        <w:rPr>
          <w:rFonts w:ascii="Arial" w:hAnsi="Arial" w:cs="Arial"/>
          <w:bCs/>
        </w:rPr>
        <w:t>las operaciones</w:t>
      </w:r>
      <w:r w:rsidR="007A0878" w:rsidRPr="00D60EA5">
        <w:rPr>
          <w:rFonts w:ascii="Arial" w:hAnsi="Arial" w:cs="Arial"/>
          <w:bCs/>
        </w:rPr>
        <w:t xml:space="preserve"> desarroll</w:t>
      </w:r>
      <w:r w:rsidR="00ED0ED9" w:rsidRPr="00D60EA5">
        <w:rPr>
          <w:rFonts w:ascii="Arial" w:hAnsi="Arial" w:cs="Arial"/>
          <w:bCs/>
        </w:rPr>
        <w:t>adas</w:t>
      </w:r>
      <w:r w:rsidR="007A0878" w:rsidRPr="00D60EA5">
        <w:rPr>
          <w:rFonts w:ascii="Arial" w:hAnsi="Arial" w:cs="Arial"/>
          <w:bCs/>
        </w:rPr>
        <w:t xml:space="preserve"> </w:t>
      </w:r>
      <w:r w:rsidR="00791172" w:rsidRPr="00D60EA5">
        <w:rPr>
          <w:rFonts w:ascii="Arial" w:hAnsi="Arial" w:cs="Arial"/>
          <w:bCs/>
        </w:rPr>
        <w:t>en el perí</w:t>
      </w:r>
      <w:r w:rsidR="008D7CD7" w:rsidRPr="00D60EA5">
        <w:rPr>
          <w:rFonts w:ascii="Arial" w:hAnsi="Arial" w:cs="Arial"/>
          <w:bCs/>
        </w:rPr>
        <w:t>odo 2008-2012,</w:t>
      </w:r>
      <w:r w:rsidR="00F04C0B" w:rsidRPr="00D60EA5">
        <w:rPr>
          <w:rFonts w:ascii="Arial" w:hAnsi="Arial" w:cs="Arial"/>
          <w:bCs/>
        </w:rPr>
        <w:t xml:space="preserve"> se concretó </w:t>
      </w:r>
      <w:r w:rsidR="008D7CD7" w:rsidRPr="00D60EA5">
        <w:rPr>
          <w:rFonts w:ascii="Arial" w:hAnsi="Arial" w:cs="Arial"/>
          <w:bCs/>
        </w:rPr>
        <w:t xml:space="preserve">en el desequilibrio económico </w:t>
      </w:r>
      <w:r w:rsidR="00ED0ED9" w:rsidRPr="00D60EA5">
        <w:rPr>
          <w:rFonts w:ascii="Arial" w:hAnsi="Arial" w:cs="Arial"/>
          <w:bCs/>
        </w:rPr>
        <w:t>ocurrido</w:t>
      </w:r>
      <w:r w:rsidR="008D7CD7" w:rsidRPr="00D60EA5">
        <w:rPr>
          <w:rFonts w:ascii="Arial" w:hAnsi="Arial" w:cs="Arial"/>
          <w:bCs/>
        </w:rPr>
        <w:t xml:space="preserve"> en cada vigencia</w:t>
      </w:r>
      <w:r w:rsidR="00AF5601" w:rsidRPr="00D60EA5">
        <w:rPr>
          <w:rFonts w:ascii="Arial" w:hAnsi="Arial" w:cs="Arial"/>
          <w:bCs/>
        </w:rPr>
        <w:t xml:space="preserve"> contractual</w:t>
      </w:r>
      <w:r w:rsidR="00F04C0B" w:rsidRPr="00D60EA5">
        <w:rPr>
          <w:rFonts w:ascii="Arial" w:hAnsi="Arial" w:cs="Arial"/>
          <w:bCs/>
        </w:rPr>
        <w:t xml:space="preserve">, </w:t>
      </w:r>
      <w:r w:rsidR="00D74ED6" w:rsidRPr="00D60EA5">
        <w:rPr>
          <w:rFonts w:ascii="Arial" w:hAnsi="Arial" w:cs="Arial"/>
          <w:bCs/>
        </w:rPr>
        <w:t xml:space="preserve">el cual ascendió a </w:t>
      </w:r>
      <w:r w:rsidR="00AF5601" w:rsidRPr="00D60EA5">
        <w:rPr>
          <w:rFonts w:ascii="Arial" w:hAnsi="Arial" w:cs="Arial"/>
          <w:bCs/>
        </w:rPr>
        <w:t>la</w:t>
      </w:r>
      <w:r w:rsidR="00D74ED6" w:rsidRPr="00D60EA5">
        <w:rPr>
          <w:rFonts w:ascii="Arial" w:hAnsi="Arial" w:cs="Arial"/>
          <w:bCs/>
        </w:rPr>
        <w:t>s</w:t>
      </w:r>
      <w:r w:rsidR="00AF5601" w:rsidRPr="00D60EA5">
        <w:rPr>
          <w:rFonts w:ascii="Arial" w:hAnsi="Arial" w:cs="Arial"/>
          <w:bCs/>
        </w:rPr>
        <w:t xml:space="preserve"> siguiente</w:t>
      </w:r>
      <w:r w:rsidR="00D74ED6" w:rsidRPr="00D60EA5">
        <w:rPr>
          <w:rFonts w:ascii="Arial" w:hAnsi="Arial" w:cs="Arial"/>
          <w:bCs/>
        </w:rPr>
        <w:t>s sumas</w:t>
      </w:r>
      <w:r w:rsidR="00F04C0B" w:rsidRPr="00D60EA5">
        <w:rPr>
          <w:rFonts w:ascii="Arial" w:hAnsi="Arial" w:cs="Arial"/>
          <w:bCs/>
        </w:rPr>
        <w:t>:</w:t>
      </w:r>
    </w:p>
    <w:p w14:paraId="1D7B270A" w14:textId="77777777" w:rsidR="00F04C0B" w:rsidRPr="00D60EA5" w:rsidRDefault="00F04C0B" w:rsidP="008F446C">
      <w:pPr>
        <w:spacing w:line="360" w:lineRule="auto"/>
        <w:jc w:val="both"/>
        <w:rPr>
          <w:rFonts w:ascii="Arial" w:hAnsi="Arial" w:cs="Arial"/>
          <w:bCs/>
        </w:rPr>
      </w:pPr>
    </w:p>
    <w:tbl>
      <w:tblPr>
        <w:tblStyle w:val="Tablaconcuadrcula"/>
        <w:tblW w:w="5421" w:type="dxa"/>
        <w:tblInd w:w="1709" w:type="dxa"/>
        <w:tblLook w:val="04A0" w:firstRow="1" w:lastRow="0" w:firstColumn="1" w:lastColumn="0" w:noHBand="0" w:noVBand="1"/>
      </w:tblPr>
      <w:tblGrid>
        <w:gridCol w:w="2536"/>
        <w:gridCol w:w="2885"/>
      </w:tblGrid>
      <w:tr w:rsidR="00F04C0B" w:rsidRPr="00D60EA5" w14:paraId="27729D8B" w14:textId="77777777" w:rsidTr="00AA5562">
        <w:trPr>
          <w:trHeight w:val="383"/>
        </w:trPr>
        <w:tc>
          <w:tcPr>
            <w:tcW w:w="0" w:type="auto"/>
          </w:tcPr>
          <w:p w14:paraId="75B48CEC" w14:textId="77777777" w:rsidR="00F04C0B" w:rsidRPr="00D60EA5" w:rsidRDefault="00F04C0B" w:rsidP="00F04C0B">
            <w:pPr>
              <w:spacing w:line="360" w:lineRule="auto"/>
              <w:jc w:val="center"/>
              <w:rPr>
                <w:rFonts w:ascii="Arial" w:hAnsi="Arial" w:cs="Arial"/>
                <w:b/>
                <w:bCs/>
              </w:rPr>
            </w:pPr>
            <w:r w:rsidRPr="00D60EA5">
              <w:rPr>
                <w:rFonts w:ascii="Arial" w:hAnsi="Arial" w:cs="Arial"/>
                <w:b/>
                <w:bCs/>
              </w:rPr>
              <w:t>Vigencia contrato</w:t>
            </w:r>
          </w:p>
        </w:tc>
        <w:tc>
          <w:tcPr>
            <w:tcW w:w="0" w:type="auto"/>
          </w:tcPr>
          <w:p w14:paraId="56AE323A" w14:textId="77777777" w:rsidR="00F04C0B" w:rsidRPr="00D60EA5" w:rsidRDefault="00F04C0B" w:rsidP="00F04C0B">
            <w:pPr>
              <w:spacing w:line="360" w:lineRule="auto"/>
              <w:jc w:val="center"/>
              <w:rPr>
                <w:rFonts w:ascii="Arial" w:hAnsi="Arial" w:cs="Arial"/>
                <w:b/>
                <w:bCs/>
              </w:rPr>
            </w:pPr>
            <w:r w:rsidRPr="00D60EA5">
              <w:rPr>
                <w:rFonts w:ascii="Arial" w:hAnsi="Arial" w:cs="Arial"/>
                <w:b/>
                <w:bCs/>
              </w:rPr>
              <w:t>Pérdidas reportadas</w:t>
            </w:r>
          </w:p>
        </w:tc>
      </w:tr>
      <w:tr w:rsidR="00F04C0B" w:rsidRPr="00D60EA5" w14:paraId="2B8BD6ED" w14:textId="77777777" w:rsidTr="00AA5562">
        <w:trPr>
          <w:trHeight w:val="383"/>
        </w:trPr>
        <w:tc>
          <w:tcPr>
            <w:tcW w:w="0" w:type="auto"/>
          </w:tcPr>
          <w:p w14:paraId="71B8BE69" w14:textId="77777777" w:rsidR="00F04C0B" w:rsidRPr="00D60EA5" w:rsidRDefault="00F04C0B" w:rsidP="008F446C">
            <w:pPr>
              <w:spacing w:line="360" w:lineRule="auto"/>
              <w:jc w:val="both"/>
              <w:rPr>
                <w:rFonts w:ascii="Arial" w:hAnsi="Arial" w:cs="Arial"/>
                <w:bCs/>
              </w:rPr>
            </w:pPr>
            <w:r w:rsidRPr="00D60EA5">
              <w:rPr>
                <w:rFonts w:ascii="Arial" w:hAnsi="Arial" w:cs="Arial"/>
                <w:bCs/>
              </w:rPr>
              <w:t>2008-2009</w:t>
            </w:r>
          </w:p>
        </w:tc>
        <w:tc>
          <w:tcPr>
            <w:tcW w:w="0" w:type="auto"/>
          </w:tcPr>
          <w:p w14:paraId="4F93E035" w14:textId="77777777" w:rsidR="00F04C0B" w:rsidRPr="00D60EA5" w:rsidRDefault="00293C16" w:rsidP="008F446C">
            <w:pPr>
              <w:spacing w:line="360" w:lineRule="auto"/>
              <w:jc w:val="both"/>
              <w:rPr>
                <w:rFonts w:ascii="Arial" w:hAnsi="Arial" w:cs="Arial"/>
                <w:bCs/>
              </w:rPr>
            </w:pPr>
            <w:r w:rsidRPr="00D60EA5">
              <w:rPr>
                <w:rFonts w:ascii="Arial" w:hAnsi="Arial" w:cs="Arial"/>
                <w:bCs/>
              </w:rPr>
              <w:t>$10.385’</w:t>
            </w:r>
            <w:r w:rsidR="002E662E" w:rsidRPr="00D60EA5">
              <w:rPr>
                <w:rFonts w:ascii="Arial" w:hAnsi="Arial" w:cs="Arial"/>
                <w:bCs/>
              </w:rPr>
              <w:t>377.000</w:t>
            </w:r>
          </w:p>
        </w:tc>
      </w:tr>
      <w:tr w:rsidR="00F04C0B" w:rsidRPr="00D60EA5" w14:paraId="5BE791D3" w14:textId="77777777" w:rsidTr="00AA5562">
        <w:trPr>
          <w:trHeight w:val="383"/>
        </w:trPr>
        <w:tc>
          <w:tcPr>
            <w:tcW w:w="0" w:type="auto"/>
          </w:tcPr>
          <w:p w14:paraId="757BE2BE" w14:textId="77777777" w:rsidR="00F04C0B" w:rsidRPr="00D60EA5" w:rsidRDefault="00F04C0B" w:rsidP="008F446C">
            <w:pPr>
              <w:spacing w:line="360" w:lineRule="auto"/>
              <w:jc w:val="both"/>
              <w:rPr>
                <w:rFonts w:ascii="Arial" w:hAnsi="Arial" w:cs="Arial"/>
                <w:bCs/>
              </w:rPr>
            </w:pPr>
            <w:r w:rsidRPr="00D60EA5">
              <w:rPr>
                <w:rFonts w:ascii="Arial" w:hAnsi="Arial" w:cs="Arial"/>
                <w:bCs/>
              </w:rPr>
              <w:t>2009-2010</w:t>
            </w:r>
          </w:p>
        </w:tc>
        <w:tc>
          <w:tcPr>
            <w:tcW w:w="0" w:type="auto"/>
          </w:tcPr>
          <w:p w14:paraId="09972730" w14:textId="77777777" w:rsidR="00F04C0B" w:rsidRPr="00D60EA5" w:rsidRDefault="00293C16" w:rsidP="008F446C">
            <w:pPr>
              <w:spacing w:line="360" w:lineRule="auto"/>
              <w:jc w:val="both"/>
              <w:rPr>
                <w:rFonts w:ascii="Arial" w:hAnsi="Arial" w:cs="Arial"/>
                <w:bCs/>
              </w:rPr>
            </w:pPr>
            <w:r w:rsidRPr="00D60EA5">
              <w:rPr>
                <w:rFonts w:ascii="Arial" w:hAnsi="Arial" w:cs="Arial"/>
                <w:bCs/>
              </w:rPr>
              <w:t>$6.257’</w:t>
            </w:r>
            <w:r w:rsidR="002E662E" w:rsidRPr="00D60EA5">
              <w:rPr>
                <w:rFonts w:ascii="Arial" w:hAnsi="Arial" w:cs="Arial"/>
                <w:bCs/>
              </w:rPr>
              <w:t>928.000</w:t>
            </w:r>
          </w:p>
        </w:tc>
      </w:tr>
      <w:tr w:rsidR="00F04C0B" w:rsidRPr="00D60EA5" w14:paraId="74F589F2" w14:textId="77777777" w:rsidTr="00AA5562">
        <w:trPr>
          <w:trHeight w:val="383"/>
        </w:trPr>
        <w:tc>
          <w:tcPr>
            <w:tcW w:w="0" w:type="auto"/>
          </w:tcPr>
          <w:p w14:paraId="2D8B045B" w14:textId="77777777" w:rsidR="00F04C0B" w:rsidRPr="00D60EA5" w:rsidRDefault="00F04C0B" w:rsidP="008F446C">
            <w:pPr>
              <w:spacing w:line="360" w:lineRule="auto"/>
              <w:jc w:val="both"/>
              <w:rPr>
                <w:rFonts w:ascii="Arial" w:hAnsi="Arial" w:cs="Arial"/>
                <w:bCs/>
              </w:rPr>
            </w:pPr>
            <w:r w:rsidRPr="00D60EA5">
              <w:rPr>
                <w:rFonts w:ascii="Arial" w:hAnsi="Arial" w:cs="Arial"/>
                <w:bCs/>
              </w:rPr>
              <w:t>2010-2011</w:t>
            </w:r>
          </w:p>
        </w:tc>
        <w:tc>
          <w:tcPr>
            <w:tcW w:w="0" w:type="auto"/>
          </w:tcPr>
          <w:p w14:paraId="241090D1" w14:textId="77777777" w:rsidR="00F04C0B" w:rsidRPr="00D60EA5" w:rsidRDefault="00293C16" w:rsidP="008F446C">
            <w:pPr>
              <w:spacing w:line="360" w:lineRule="auto"/>
              <w:jc w:val="both"/>
              <w:rPr>
                <w:rFonts w:ascii="Arial" w:hAnsi="Arial" w:cs="Arial"/>
                <w:bCs/>
              </w:rPr>
            </w:pPr>
            <w:r w:rsidRPr="00D60EA5">
              <w:rPr>
                <w:rFonts w:ascii="Arial" w:hAnsi="Arial" w:cs="Arial"/>
                <w:bCs/>
              </w:rPr>
              <w:t>$27.298’</w:t>
            </w:r>
            <w:r w:rsidR="002E662E" w:rsidRPr="00D60EA5">
              <w:rPr>
                <w:rFonts w:ascii="Arial" w:hAnsi="Arial" w:cs="Arial"/>
                <w:bCs/>
              </w:rPr>
              <w:t>693.000</w:t>
            </w:r>
          </w:p>
        </w:tc>
      </w:tr>
      <w:tr w:rsidR="00F04C0B" w:rsidRPr="00D60EA5" w14:paraId="07EEC06D" w14:textId="77777777" w:rsidTr="00AA5562">
        <w:trPr>
          <w:trHeight w:val="395"/>
        </w:trPr>
        <w:tc>
          <w:tcPr>
            <w:tcW w:w="0" w:type="auto"/>
          </w:tcPr>
          <w:p w14:paraId="6177170D" w14:textId="77777777" w:rsidR="00F04C0B" w:rsidRPr="00D60EA5" w:rsidRDefault="00F04C0B" w:rsidP="008F446C">
            <w:pPr>
              <w:spacing w:line="360" w:lineRule="auto"/>
              <w:jc w:val="both"/>
              <w:rPr>
                <w:rFonts w:ascii="Arial" w:hAnsi="Arial" w:cs="Arial"/>
                <w:bCs/>
              </w:rPr>
            </w:pPr>
            <w:r w:rsidRPr="00D60EA5">
              <w:rPr>
                <w:rFonts w:ascii="Arial" w:hAnsi="Arial" w:cs="Arial"/>
                <w:bCs/>
              </w:rPr>
              <w:t>2011-2012</w:t>
            </w:r>
          </w:p>
        </w:tc>
        <w:tc>
          <w:tcPr>
            <w:tcW w:w="0" w:type="auto"/>
          </w:tcPr>
          <w:p w14:paraId="1CC16ABC" w14:textId="77777777" w:rsidR="00F04C0B" w:rsidRPr="00D60EA5" w:rsidRDefault="002E662E" w:rsidP="008F446C">
            <w:pPr>
              <w:spacing w:line="360" w:lineRule="auto"/>
              <w:jc w:val="both"/>
              <w:rPr>
                <w:rFonts w:ascii="Arial" w:hAnsi="Arial" w:cs="Arial"/>
                <w:bCs/>
              </w:rPr>
            </w:pPr>
            <w:r w:rsidRPr="00D60EA5">
              <w:rPr>
                <w:rFonts w:ascii="Arial" w:hAnsi="Arial" w:cs="Arial"/>
                <w:bCs/>
              </w:rPr>
              <w:t>$35’550.202</w:t>
            </w:r>
          </w:p>
        </w:tc>
      </w:tr>
    </w:tbl>
    <w:p w14:paraId="4F904CB7" w14:textId="77777777" w:rsidR="00F04C0B" w:rsidRPr="00D60EA5" w:rsidRDefault="00F04C0B" w:rsidP="008F446C">
      <w:pPr>
        <w:spacing w:line="360" w:lineRule="auto"/>
        <w:jc w:val="both"/>
        <w:rPr>
          <w:rFonts w:ascii="Arial" w:hAnsi="Arial" w:cs="Arial"/>
          <w:bCs/>
        </w:rPr>
      </w:pPr>
    </w:p>
    <w:p w14:paraId="4057DF21" w14:textId="77777777" w:rsidR="007E03B3" w:rsidRPr="00D60EA5" w:rsidRDefault="0022138F" w:rsidP="008F446C">
      <w:pPr>
        <w:spacing w:line="360" w:lineRule="auto"/>
        <w:jc w:val="both"/>
        <w:rPr>
          <w:rFonts w:ascii="Arial" w:hAnsi="Arial" w:cs="Arial"/>
          <w:bCs/>
        </w:rPr>
      </w:pPr>
      <w:bookmarkStart w:id="4" w:name="_Hlk7770485"/>
      <w:r w:rsidRPr="00D60EA5">
        <w:rPr>
          <w:rFonts w:ascii="Arial" w:hAnsi="Arial" w:cs="Arial"/>
          <w:bCs/>
        </w:rPr>
        <w:t>S</w:t>
      </w:r>
      <w:r w:rsidR="00A23CCE" w:rsidRPr="00D60EA5">
        <w:rPr>
          <w:rFonts w:ascii="Arial" w:hAnsi="Arial" w:cs="Arial"/>
          <w:bCs/>
        </w:rPr>
        <w:t xml:space="preserve">e </w:t>
      </w:r>
      <w:r w:rsidR="002D0DA4" w:rsidRPr="00D60EA5">
        <w:rPr>
          <w:rFonts w:ascii="Arial" w:hAnsi="Arial" w:cs="Arial"/>
          <w:bCs/>
        </w:rPr>
        <w:t xml:space="preserve">concluye de </w:t>
      </w:r>
      <w:r w:rsidR="00A23CCE" w:rsidRPr="00D60EA5">
        <w:rPr>
          <w:rFonts w:ascii="Arial" w:hAnsi="Arial" w:cs="Arial"/>
          <w:bCs/>
        </w:rPr>
        <w:t>lo e</w:t>
      </w:r>
      <w:r w:rsidR="002075E7" w:rsidRPr="00D60EA5">
        <w:rPr>
          <w:rFonts w:ascii="Arial" w:hAnsi="Arial" w:cs="Arial"/>
          <w:bCs/>
        </w:rPr>
        <w:t>xpuesto, que el menoscabo</w:t>
      </w:r>
      <w:r w:rsidR="00A23CCE" w:rsidRPr="00D60EA5">
        <w:rPr>
          <w:rFonts w:ascii="Arial" w:hAnsi="Arial" w:cs="Arial"/>
          <w:bCs/>
        </w:rPr>
        <w:t xml:space="preserve"> al que hace alusión la parte actora</w:t>
      </w:r>
      <w:r w:rsidR="00293C16" w:rsidRPr="00D60EA5">
        <w:rPr>
          <w:rFonts w:ascii="Arial" w:hAnsi="Arial" w:cs="Arial"/>
          <w:bCs/>
        </w:rPr>
        <w:t>,</w:t>
      </w:r>
      <w:r w:rsidR="00A23CCE" w:rsidRPr="00D60EA5">
        <w:rPr>
          <w:rFonts w:ascii="Arial" w:hAnsi="Arial" w:cs="Arial"/>
          <w:bCs/>
        </w:rPr>
        <w:t xml:space="preserve"> se derivó directament</w:t>
      </w:r>
      <w:r w:rsidR="00EB531A" w:rsidRPr="00D60EA5">
        <w:rPr>
          <w:rFonts w:ascii="Arial" w:hAnsi="Arial" w:cs="Arial"/>
          <w:bCs/>
        </w:rPr>
        <w:t>e de los contratos que celebró</w:t>
      </w:r>
      <w:r w:rsidR="00A23CCE" w:rsidRPr="00D60EA5">
        <w:rPr>
          <w:rFonts w:ascii="Arial" w:hAnsi="Arial" w:cs="Arial"/>
          <w:bCs/>
        </w:rPr>
        <w:t xml:space="preserve"> con la administración</w:t>
      </w:r>
      <w:r w:rsidR="00EB531A" w:rsidRPr="00D60EA5">
        <w:rPr>
          <w:rFonts w:ascii="Arial" w:hAnsi="Arial" w:cs="Arial"/>
          <w:bCs/>
        </w:rPr>
        <w:t xml:space="preserve"> en</w:t>
      </w:r>
      <w:r w:rsidR="00A23CCE" w:rsidRPr="00D60EA5">
        <w:rPr>
          <w:rFonts w:ascii="Arial" w:hAnsi="Arial" w:cs="Arial"/>
          <w:bCs/>
        </w:rPr>
        <w:t xml:space="preserve"> los años 2008</w:t>
      </w:r>
      <w:r w:rsidR="00EB531A" w:rsidRPr="00D60EA5">
        <w:rPr>
          <w:rFonts w:ascii="Arial" w:hAnsi="Arial" w:cs="Arial"/>
          <w:bCs/>
        </w:rPr>
        <w:t>, 2009, 2010 y 2011</w:t>
      </w:r>
      <w:r w:rsidR="00A23CCE" w:rsidRPr="00D60EA5">
        <w:rPr>
          <w:rFonts w:ascii="Arial" w:hAnsi="Arial" w:cs="Arial"/>
          <w:bCs/>
        </w:rPr>
        <w:t xml:space="preserve">, </w:t>
      </w:r>
      <w:r w:rsidR="00293C16" w:rsidRPr="00D60EA5">
        <w:rPr>
          <w:rFonts w:ascii="Arial" w:hAnsi="Arial" w:cs="Arial"/>
          <w:bCs/>
        </w:rPr>
        <w:t xml:space="preserve">debido, según lo afirmó la misma demandante, </w:t>
      </w:r>
      <w:r w:rsidR="00A0752E" w:rsidRPr="00D60EA5">
        <w:rPr>
          <w:rFonts w:ascii="Arial" w:hAnsi="Arial" w:cs="Arial"/>
          <w:bCs/>
        </w:rPr>
        <w:t>a la</w:t>
      </w:r>
      <w:r w:rsidR="00A23CCE" w:rsidRPr="00D60EA5">
        <w:rPr>
          <w:rFonts w:ascii="Arial" w:hAnsi="Arial" w:cs="Arial"/>
          <w:bCs/>
        </w:rPr>
        <w:t xml:space="preserve"> ruptura del equilibrio económico</w:t>
      </w:r>
      <w:r w:rsidR="00A0752E" w:rsidRPr="00D60EA5">
        <w:rPr>
          <w:rFonts w:ascii="Arial" w:hAnsi="Arial" w:cs="Arial"/>
          <w:bCs/>
        </w:rPr>
        <w:t xml:space="preserve"> en esos negocios jurídicos</w:t>
      </w:r>
      <w:r w:rsidR="00EB531A" w:rsidRPr="00D60EA5">
        <w:rPr>
          <w:rFonts w:ascii="Arial" w:hAnsi="Arial" w:cs="Arial"/>
          <w:bCs/>
        </w:rPr>
        <w:t>,</w:t>
      </w:r>
      <w:r w:rsidR="00A0752E" w:rsidRPr="00D60EA5">
        <w:rPr>
          <w:rFonts w:ascii="Arial" w:hAnsi="Arial" w:cs="Arial"/>
          <w:bCs/>
        </w:rPr>
        <w:t xml:space="preserve"> por</w:t>
      </w:r>
      <w:r w:rsidR="00A23CCE" w:rsidRPr="00D60EA5">
        <w:rPr>
          <w:rFonts w:ascii="Arial" w:hAnsi="Arial" w:cs="Arial"/>
          <w:bCs/>
        </w:rPr>
        <w:t xml:space="preserve"> la</w:t>
      </w:r>
      <w:r w:rsidR="00AF5601" w:rsidRPr="00D60EA5">
        <w:rPr>
          <w:rFonts w:ascii="Arial" w:hAnsi="Arial" w:cs="Arial"/>
          <w:bCs/>
        </w:rPr>
        <w:t xml:space="preserve"> diferencia entre</w:t>
      </w:r>
      <w:r w:rsidR="00A23CCE" w:rsidRPr="00D60EA5">
        <w:rPr>
          <w:rFonts w:ascii="Arial" w:hAnsi="Arial" w:cs="Arial"/>
          <w:bCs/>
        </w:rPr>
        <w:t xml:space="preserve"> los recursos destinados por el Gobierno Nacional para atender el sistema de</w:t>
      </w:r>
      <w:r w:rsidR="009841D0" w:rsidRPr="00D60EA5">
        <w:rPr>
          <w:rFonts w:ascii="Arial" w:hAnsi="Arial" w:cs="Arial"/>
          <w:bCs/>
        </w:rPr>
        <w:t xml:space="preserve"> salud en el régimen subsidiado</w:t>
      </w:r>
      <w:r w:rsidR="00A23CCE" w:rsidRPr="00D60EA5">
        <w:rPr>
          <w:rFonts w:ascii="Arial" w:hAnsi="Arial" w:cs="Arial"/>
          <w:bCs/>
        </w:rPr>
        <w:t xml:space="preserve"> </w:t>
      </w:r>
      <w:r w:rsidR="00AF5601" w:rsidRPr="00D60EA5">
        <w:rPr>
          <w:rFonts w:ascii="Arial" w:hAnsi="Arial" w:cs="Arial"/>
          <w:bCs/>
        </w:rPr>
        <w:t>y el costo real</w:t>
      </w:r>
      <w:r w:rsidR="00A23CCE" w:rsidRPr="00D60EA5">
        <w:rPr>
          <w:rFonts w:ascii="Arial" w:hAnsi="Arial" w:cs="Arial"/>
          <w:bCs/>
        </w:rPr>
        <w:t xml:space="preserve"> de la atención médica </w:t>
      </w:r>
      <w:r w:rsidR="00A63AE6" w:rsidRPr="00D60EA5">
        <w:rPr>
          <w:rFonts w:ascii="Arial" w:hAnsi="Arial" w:cs="Arial"/>
          <w:bCs/>
        </w:rPr>
        <w:t>en que incurrió</w:t>
      </w:r>
      <w:r w:rsidR="00A23CCE" w:rsidRPr="00D60EA5">
        <w:rPr>
          <w:rFonts w:ascii="Arial" w:hAnsi="Arial" w:cs="Arial"/>
          <w:bCs/>
        </w:rPr>
        <w:t xml:space="preserve"> la Caja de Compensación Familiar Comfenalco Antioquia</w:t>
      </w:r>
      <w:r w:rsidR="00A63AE6" w:rsidRPr="00D60EA5">
        <w:rPr>
          <w:rFonts w:ascii="Arial" w:hAnsi="Arial" w:cs="Arial"/>
          <w:bCs/>
        </w:rPr>
        <w:t>.</w:t>
      </w:r>
    </w:p>
    <w:bookmarkEnd w:id="4"/>
    <w:p w14:paraId="06971CD3" w14:textId="77777777" w:rsidR="006F6308" w:rsidRPr="00D60EA5" w:rsidRDefault="006F6308" w:rsidP="008F446C">
      <w:pPr>
        <w:spacing w:line="360" w:lineRule="auto"/>
        <w:jc w:val="both"/>
        <w:rPr>
          <w:rFonts w:ascii="Arial" w:hAnsi="Arial" w:cs="Arial"/>
          <w:bCs/>
        </w:rPr>
      </w:pPr>
    </w:p>
    <w:p w14:paraId="77675DDD" w14:textId="77777777" w:rsidR="006F6308" w:rsidRPr="00D60EA5" w:rsidRDefault="008D7D44" w:rsidP="008F446C">
      <w:pPr>
        <w:spacing w:line="360" w:lineRule="auto"/>
        <w:jc w:val="both"/>
        <w:rPr>
          <w:rFonts w:ascii="Arial" w:hAnsi="Arial" w:cs="Arial"/>
          <w:bCs/>
        </w:rPr>
      </w:pPr>
      <w:bookmarkStart w:id="5" w:name="_Hlk7770582"/>
      <w:r w:rsidRPr="00D60EA5">
        <w:rPr>
          <w:rFonts w:ascii="Arial" w:hAnsi="Arial" w:cs="Arial"/>
          <w:bCs/>
        </w:rPr>
        <w:t>P</w:t>
      </w:r>
      <w:r w:rsidR="002D0DA4" w:rsidRPr="00D60EA5">
        <w:rPr>
          <w:rFonts w:ascii="Arial" w:hAnsi="Arial" w:cs="Arial"/>
          <w:bCs/>
        </w:rPr>
        <w:t>es</w:t>
      </w:r>
      <w:r w:rsidR="00AA1EA8" w:rsidRPr="00D60EA5">
        <w:rPr>
          <w:rFonts w:ascii="Arial" w:hAnsi="Arial" w:cs="Arial"/>
          <w:bCs/>
        </w:rPr>
        <w:t>e a que la demandante insiste</w:t>
      </w:r>
      <w:r w:rsidR="001718F0" w:rsidRPr="00D60EA5">
        <w:rPr>
          <w:rFonts w:ascii="Arial" w:hAnsi="Arial" w:cs="Arial"/>
          <w:bCs/>
        </w:rPr>
        <w:t xml:space="preserve"> en</w:t>
      </w:r>
      <w:r w:rsidR="006F6308" w:rsidRPr="00D60EA5">
        <w:rPr>
          <w:rFonts w:ascii="Arial" w:hAnsi="Arial" w:cs="Arial"/>
          <w:bCs/>
        </w:rPr>
        <w:t xml:space="preserve"> que la controversia no se relaciona con la ejecución de los contratos que celebró sino con la acción tardía </w:t>
      </w:r>
      <w:r w:rsidR="00AA1EA8" w:rsidRPr="00D60EA5">
        <w:rPr>
          <w:rFonts w:ascii="Arial" w:hAnsi="Arial" w:cs="Arial"/>
          <w:bCs/>
        </w:rPr>
        <w:t>por parte del Gobierno</w:t>
      </w:r>
      <w:r w:rsidR="006F6308" w:rsidRPr="00D60EA5">
        <w:rPr>
          <w:rFonts w:ascii="Arial" w:hAnsi="Arial" w:cs="Arial"/>
          <w:bCs/>
        </w:rPr>
        <w:t xml:space="preserve"> Colombiano de regular equilibradamente el presupuesto destinado a la atención del sistema de salud, lo cierto es que revisadas las pretensiones de la demanda</w:t>
      </w:r>
      <w:r w:rsidR="00293C16" w:rsidRPr="00D60EA5">
        <w:rPr>
          <w:rFonts w:ascii="Arial" w:hAnsi="Arial" w:cs="Arial"/>
          <w:bCs/>
        </w:rPr>
        <w:t>,</w:t>
      </w:r>
      <w:r w:rsidR="006F6308" w:rsidRPr="00D60EA5">
        <w:rPr>
          <w:rFonts w:ascii="Arial" w:hAnsi="Arial" w:cs="Arial"/>
          <w:bCs/>
        </w:rPr>
        <w:t xml:space="preserve"> éstas resultan íntimamente </w:t>
      </w:r>
      <w:r w:rsidR="00701277" w:rsidRPr="00D60EA5">
        <w:rPr>
          <w:rFonts w:ascii="Arial" w:hAnsi="Arial" w:cs="Arial"/>
          <w:bCs/>
        </w:rPr>
        <w:t xml:space="preserve">ligadas a la actividad </w:t>
      </w:r>
      <w:r w:rsidR="006F6308" w:rsidRPr="00D60EA5">
        <w:rPr>
          <w:rFonts w:ascii="Arial" w:hAnsi="Arial" w:cs="Arial"/>
          <w:bCs/>
        </w:rPr>
        <w:t xml:space="preserve">contractual </w:t>
      </w:r>
      <w:r w:rsidR="00701277" w:rsidRPr="00D60EA5">
        <w:rPr>
          <w:rFonts w:ascii="Arial" w:hAnsi="Arial" w:cs="Arial"/>
          <w:bCs/>
        </w:rPr>
        <w:t xml:space="preserve">sostenida </w:t>
      </w:r>
      <w:r w:rsidR="006F6308" w:rsidRPr="00D60EA5">
        <w:rPr>
          <w:rFonts w:ascii="Arial" w:hAnsi="Arial" w:cs="Arial"/>
          <w:bCs/>
        </w:rPr>
        <w:t>entre la Caja de Compensación Familiar Comfenalco Antioquia y algunos entes territoriales del Departamento de Antioquia, en</w:t>
      </w:r>
      <w:r w:rsidR="00AA1EA8" w:rsidRPr="00D60EA5">
        <w:rPr>
          <w:rFonts w:ascii="Arial" w:hAnsi="Arial" w:cs="Arial"/>
          <w:bCs/>
        </w:rPr>
        <w:t>tre</w:t>
      </w:r>
      <w:r w:rsidR="006F6308" w:rsidRPr="00D60EA5">
        <w:rPr>
          <w:rFonts w:ascii="Arial" w:hAnsi="Arial" w:cs="Arial"/>
          <w:bCs/>
        </w:rPr>
        <w:t xml:space="preserve"> los años 2008 y 2011, </w:t>
      </w:r>
      <w:r w:rsidR="003D3C27" w:rsidRPr="00D60EA5">
        <w:rPr>
          <w:rFonts w:ascii="Arial" w:hAnsi="Arial" w:cs="Arial"/>
          <w:bCs/>
        </w:rPr>
        <w:t xml:space="preserve">por cuanto </w:t>
      </w:r>
      <w:r w:rsidR="00FB6B7F" w:rsidRPr="00D60EA5">
        <w:rPr>
          <w:rFonts w:ascii="Arial" w:hAnsi="Arial" w:cs="Arial"/>
          <w:bCs/>
        </w:rPr>
        <w:t>lo perseguido no es otra cosa</w:t>
      </w:r>
      <w:r w:rsidR="006F6308" w:rsidRPr="00D60EA5">
        <w:rPr>
          <w:rFonts w:ascii="Arial" w:hAnsi="Arial" w:cs="Arial"/>
          <w:bCs/>
        </w:rPr>
        <w:t xml:space="preserve"> que</w:t>
      </w:r>
      <w:r w:rsidR="00110D12" w:rsidRPr="00D60EA5">
        <w:rPr>
          <w:rFonts w:ascii="Arial" w:hAnsi="Arial" w:cs="Arial"/>
          <w:bCs/>
        </w:rPr>
        <w:t xml:space="preserve"> el </w:t>
      </w:r>
      <w:r w:rsidR="00FB6B7F" w:rsidRPr="00D60EA5">
        <w:rPr>
          <w:rFonts w:ascii="Arial" w:hAnsi="Arial" w:cs="Arial"/>
          <w:bCs/>
        </w:rPr>
        <w:t xml:space="preserve">restablecimiento del </w:t>
      </w:r>
      <w:r w:rsidR="00110D12" w:rsidRPr="00D60EA5">
        <w:rPr>
          <w:rFonts w:ascii="Arial" w:hAnsi="Arial" w:cs="Arial"/>
          <w:bCs/>
        </w:rPr>
        <w:t xml:space="preserve">detrimento patrimonial </w:t>
      </w:r>
      <w:r w:rsidR="00FB6B7F" w:rsidRPr="00D60EA5">
        <w:rPr>
          <w:rFonts w:ascii="Arial" w:hAnsi="Arial" w:cs="Arial"/>
          <w:bCs/>
        </w:rPr>
        <w:t xml:space="preserve">sufrido por la </w:t>
      </w:r>
      <w:r w:rsidR="00AF5601" w:rsidRPr="00D60EA5">
        <w:rPr>
          <w:rFonts w:ascii="Arial" w:hAnsi="Arial" w:cs="Arial"/>
          <w:bCs/>
        </w:rPr>
        <w:t>accionante debido a</w:t>
      </w:r>
      <w:r w:rsidR="006F6308" w:rsidRPr="00D60EA5">
        <w:rPr>
          <w:rFonts w:ascii="Arial" w:hAnsi="Arial" w:cs="Arial"/>
          <w:bCs/>
        </w:rPr>
        <w:t>l desequilibrio</w:t>
      </w:r>
      <w:r w:rsidR="008729ED" w:rsidRPr="00D60EA5">
        <w:rPr>
          <w:rFonts w:ascii="Arial" w:hAnsi="Arial" w:cs="Arial"/>
          <w:bCs/>
        </w:rPr>
        <w:t xml:space="preserve"> de la ecuación económica </w:t>
      </w:r>
      <w:r w:rsidR="00A0752E" w:rsidRPr="00D60EA5">
        <w:rPr>
          <w:rFonts w:ascii="Arial" w:hAnsi="Arial" w:cs="Arial"/>
          <w:bCs/>
        </w:rPr>
        <w:t>en los contratos</w:t>
      </w:r>
      <w:r w:rsidR="00FB6B7F" w:rsidRPr="00D60EA5">
        <w:rPr>
          <w:rFonts w:ascii="Arial" w:hAnsi="Arial" w:cs="Arial"/>
          <w:bCs/>
        </w:rPr>
        <w:t xml:space="preserve"> aludidos</w:t>
      </w:r>
      <w:r w:rsidR="003D3C27" w:rsidRPr="00D60EA5">
        <w:rPr>
          <w:rFonts w:ascii="Arial" w:hAnsi="Arial" w:cs="Arial"/>
          <w:bCs/>
        </w:rPr>
        <w:t>.</w:t>
      </w:r>
    </w:p>
    <w:bookmarkEnd w:id="5"/>
    <w:p w14:paraId="2A1F701D" w14:textId="77777777" w:rsidR="003D3C27" w:rsidRPr="00D60EA5" w:rsidRDefault="003D3C27" w:rsidP="008F446C">
      <w:pPr>
        <w:spacing w:line="360" w:lineRule="auto"/>
        <w:jc w:val="both"/>
        <w:rPr>
          <w:rFonts w:ascii="Arial" w:hAnsi="Arial" w:cs="Arial"/>
          <w:bCs/>
        </w:rPr>
      </w:pPr>
    </w:p>
    <w:p w14:paraId="18560506" w14:textId="77777777" w:rsidR="00DF6B07" w:rsidRPr="00D60EA5" w:rsidRDefault="00110D12" w:rsidP="00DF6B07">
      <w:pPr>
        <w:spacing w:line="360" w:lineRule="auto"/>
        <w:jc w:val="both"/>
        <w:rPr>
          <w:rFonts w:ascii="Arial" w:hAnsi="Arial" w:cs="Arial"/>
          <w:i/>
          <w:color w:val="000000"/>
        </w:rPr>
      </w:pPr>
      <w:bookmarkStart w:id="6" w:name="_Hlk7770650"/>
      <w:r w:rsidRPr="00D60EA5">
        <w:rPr>
          <w:rFonts w:ascii="Arial" w:hAnsi="Arial" w:cs="Arial"/>
          <w:bCs/>
        </w:rPr>
        <w:t>Sobre la ruptura del equilibrio económico y/o financiero de los contratos estatales</w:t>
      </w:r>
      <w:r w:rsidR="00BD39A7" w:rsidRPr="00D60EA5">
        <w:rPr>
          <w:rFonts w:ascii="Arial" w:hAnsi="Arial" w:cs="Arial"/>
          <w:bCs/>
        </w:rPr>
        <w:t xml:space="preserve">, la jurisprudencia </w:t>
      </w:r>
      <w:r w:rsidR="00DF6B07" w:rsidRPr="00D60EA5">
        <w:rPr>
          <w:rFonts w:ascii="Arial" w:hAnsi="Arial" w:cs="Arial"/>
          <w:bCs/>
        </w:rPr>
        <w:t xml:space="preserve">de esta Corporación se ha referido ampliamente, para aclarar que no se trata del incumplimiento contractual originado en el comportamiento antijurídico de una de las partes, sino que guarda relación con la alteración de la correlación y equivalencia en las prestaciones, </w:t>
      </w:r>
      <w:r w:rsidR="00DF6B07" w:rsidRPr="00D60EA5">
        <w:rPr>
          <w:rFonts w:ascii="Arial" w:hAnsi="Arial" w:cs="Arial"/>
          <w:color w:val="000000"/>
        </w:rPr>
        <w:t>por el ejercicio del poder dentro del marco de la legalidad o por situaciones ajenas a las partes, que hacen más o menos gravosa la prestación</w:t>
      </w:r>
      <w:r w:rsidR="00DF6B07" w:rsidRPr="00D60EA5">
        <w:rPr>
          <w:rStyle w:val="Refdenotaalpie"/>
          <w:rFonts w:ascii="Arial" w:hAnsi="Arial" w:cs="Arial"/>
          <w:color w:val="000000"/>
        </w:rPr>
        <w:footnoteReference w:id="6"/>
      </w:r>
      <w:r w:rsidR="00DF6B07" w:rsidRPr="00D60EA5">
        <w:rPr>
          <w:rFonts w:ascii="Arial" w:hAnsi="Arial" w:cs="Arial"/>
          <w:color w:val="000000"/>
        </w:rPr>
        <w:t>.</w:t>
      </w:r>
      <w:r w:rsidR="00DF6B07" w:rsidRPr="00D60EA5">
        <w:rPr>
          <w:rFonts w:ascii="Arial" w:hAnsi="Arial" w:cs="Arial"/>
          <w:i/>
          <w:color w:val="000000"/>
        </w:rPr>
        <w:t xml:space="preserve"> </w:t>
      </w:r>
    </w:p>
    <w:p w14:paraId="26C6C6BF" w14:textId="77777777" w:rsidR="00A23CCE" w:rsidRPr="00D60EA5" w:rsidRDefault="002D3B70" w:rsidP="008F446C">
      <w:pPr>
        <w:spacing w:line="360" w:lineRule="auto"/>
        <w:jc w:val="both"/>
        <w:rPr>
          <w:rFonts w:ascii="Arial" w:hAnsi="Arial" w:cs="Arial"/>
        </w:rPr>
      </w:pPr>
      <w:bookmarkStart w:id="7" w:name="_Hlk7771072"/>
      <w:bookmarkEnd w:id="6"/>
      <w:r w:rsidRPr="00D60EA5">
        <w:rPr>
          <w:rFonts w:ascii="Arial" w:hAnsi="Arial" w:cs="Arial"/>
          <w:bCs/>
        </w:rPr>
        <w:t xml:space="preserve">En el caso de los contratos conmutativos </w:t>
      </w:r>
      <w:r w:rsidRPr="00D60EA5">
        <w:rPr>
          <w:rFonts w:ascii="Arial" w:hAnsi="Arial" w:cs="Arial"/>
          <w:bCs/>
          <w:i/>
        </w:rPr>
        <w:t>-en los que las prestaciones son equivalentes-</w:t>
      </w:r>
      <w:r w:rsidRPr="00D60EA5">
        <w:rPr>
          <w:rFonts w:ascii="Arial" w:hAnsi="Arial" w:cs="Arial"/>
          <w:bCs/>
        </w:rPr>
        <w:t xml:space="preserve"> como ocurre con los contratos estatales, la presencia de un</w:t>
      </w:r>
      <w:r w:rsidRPr="00D60EA5">
        <w:rPr>
          <w:rFonts w:ascii="Arial" w:hAnsi="Arial" w:cs="Arial"/>
        </w:rPr>
        <w:t xml:space="preserve"> desequilibrio cuando este se deriva del ejercicio de una potestad estatal</w:t>
      </w:r>
      <w:r w:rsidR="00A0752E" w:rsidRPr="00D60EA5">
        <w:rPr>
          <w:rFonts w:ascii="Arial" w:hAnsi="Arial" w:cs="Arial"/>
        </w:rPr>
        <w:t xml:space="preserve"> </w:t>
      </w:r>
      <w:proofErr w:type="gramStart"/>
      <w:r w:rsidR="00A0752E" w:rsidRPr="00D60EA5">
        <w:rPr>
          <w:rFonts w:ascii="Arial" w:hAnsi="Arial" w:cs="Arial"/>
        </w:rPr>
        <w:t>ejercida</w:t>
      </w:r>
      <w:r w:rsidR="00952300" w:rsidRPr="00D60EA5">
        <w:rPr>
          <w:rFonts w:ascii="Arial" w:hAnsi="Arial" w:cs="Arial"/>
        </w:rPr>
        <w:t>,</w:t>
      </w:r>
      <w:proofErr w:type="gramEnd"/>
      <w:r w:rsidR="00952300" w:rsidRPr="00D60EA5">
        <w:rPr>
          <w:rFonts w:ascii="Arial" w:hAnsi="Arial" w:cs="Arial"/>
        </w:rPr>
        <w:t xml:space="preserve"> bien sea por </w:t>
      </w:r>
      <w:r w:rsidRPr="00D60EA5">
        <w:rPr>
          <w:rFonts w:ascii="Arial" w:hAnsi="Arial" w:cs="Arial"/>
        </w:rPr>
        <w:t>el cont</w:t>
      </w:r>
      <w:r w:rsidR="00952300" w:rsidRPr="00D60EA5">
        <w:rPr>
          <w:rFonts w:ascii="Arial" w:hAnsi="Arial" w:cs="Arial"/>
        </w:rPr>
        <w:t>ratante (hecho del príncipe) o por</w:t>
      </w:r>
      <w:r w:rsidR="00D01982" w:rsidRPr="00D60EA5">
        <w:rPr>
          <w:rFonts w:ascii="Arial" w:hAnsi="Arial" w:cs="Arial"/>
        </w:rPr>
        <w:t xml:space="preserve"> una entidad pública</w:t>
      </w:r>
      <w:r w:rsidRPr="00D60EA5">
        <w:rPr>
          <w:rFonts w:ascii="Arial" w:hAnsi="Arial" w:cs="Arial"/>
        </w:rPr>
        <w:t xml:space="preserve"> diferente</w:t>
      </w:r>
      <w:r w:rsidR="00952300" w:rsidRPr="00D60EA5">
        <w:rPr>
          <w:rFonts w:ascii="Arial" w:hAnsi="Arial" w:cs="Arial"/>
        </w:rPr>
        <w:t xml:space="preserve"> (teoría de la imprevisión)</w:t>
      </w:r>
      <w:r w:rsidR="002E7F08" w:rsidRPr="00D60EA5">
        <w:rPr>
          <w:rFonts w:ascii="Arial" w:hAnsi="Arial" w:cs="Arial"/>
        </w:rPr>
        <w:t>, hace surgir el derecho a obtener el restablecimiento del equilibrio económico del contrato</w:t>
      </w:r>
      <w:r w:rsidR="004A6CC3" w:rsidRPr="00D60EA5">
        <w:rPr>
          <w:rStyle w:val="Refdenotaalpie"/>
          <w:rFonts w:ascii="Arial" w:hAnsi="Arial" w:cs="Arial"/>
        </w:rPr>
        <w:footnoteReference w:id="7"/>
      </w:r>
      <w:r w:rsidRPr="00D60EA5">
        <w:rPr>
          <w:rFonts w:ascii="Arial" w:hAnsi="Arial" w:cs="Arial"/>
        </w:rPr>
        <w:t>.</w:t>
      </w:r>
      <w:bookmarkEnd w:id="7"/>
    </w:p>
    <w:p w14:paraId="03EFCA41" w14:textId="77777777" w:rsidR="00AF5601" w:rsidRPr="00D60EA5" w:rsidRDefault="00AF5601" w:rsidP="008F446C">
      <w:pPr>
        <w:spacing w:line="360" w:lineRule="auto"/>
        <w:jc w:val="both"/>
        <w:rPr>
          <w:rFonts w:ascii="Arial" w:hAnsi="Arial" w:cs="Arial"/>
        </w:rPr>
      </w:pPr>
    </w:p>
    <w:p w14:paraId="4DB6D2C3" w14:textId="77777777" w:rsidR="00064217" w:rsidRPr="00D60EA5" w:rsidRDefault="001666BE" w:rsidP="008F446C">
      <w:pPr>
        <w:spacing w:line="360" w:lineRule="auto"/>
        <w:jc w:val="both"/>
        <w:rPr>
          <w:rFonts w:ascii="Arial" w:hAnsi="Arial" w:cs="Arial"/>
        </w:rPr>
      </w:pPr>
      <w:bookmarkStart w:id="8" w:name="_Hlk7771456"/>
      <w:r w:rsidRPr="00D60EA5">
        <w:rPr>
          <w:rFonts w:ascii="Arial" w:hAnsi="Arial" w:cs="Arial"/>
        </w:rPr>
        <w:lastRenderedPageBreak/>
        <w:t xml:space="preserve">El </w:t>
      </w:r>
      <w:r w:rsidR="00064217" w:rsidRPr="00D60EA5">
        <w:rPr>
          <w:rFonts w:ascii="Arial" w:hAnsi="Arial" w:cs="Arial"/>
        </w:rPr>
        <w:t xml:space="preserve">deber de restablecimiento del equilibrio económico </w:t>
      </w:r>
      <w:r w:rsidRPr="00D60EA5">
        <w:rPr>
          <w:rFonts w:ascii="Arial" w:hAnsi="Arial" w:cs="Arial"/>
        </w:rPr>
        <w:t xml:space="preserve">se encuentra previsto </w:t>
      </w:r>
      <w:r w:rsidR="00064217" w:rsidRPr="00D60EA5">
        <w:rPr>
          <w:rFonts w:ascii="Arial" w:hAnsi="Arial" w:cs="Arial"/>
        </w:rPr>
        <w:t>en los numerales 3º y 8º del artículo 4º</w:t>
      </w:r>
      <w:r w:rsidR="00623BCD" w:rsidRPr="00D60EA5">
        <w:rPr>
          <w:rStyle w:val="Refdenotaalpie"/>
          <w:rFonts w:ascii="Arial" w:hAnsi="Arial" w:cs="Arial"/>
        </w:rPr>
        <w:footnoteReference w:id="8"/>
      </w:r>
      <w:r w:rsidR="00064217" w:rsidRPr="00D60EA5">
        <w:rPr>
          <w:rFonts w:ascii="Arial" w:hAnsi="Arial" w:cs="Arial"/>
        </w:rPr>
        <w:t>, en el numeral 1º del artículo 5º</w:t>
      </w:r>
      <w:r w:rsidR="001D743D" w:rsidRPr="00D60EA5">
        <w:rPr>
          <w:rStyle w:val="Refdenotaalpie"/>
          <w:rFonts w:ascii="Arial" w:hAnsi="Arial" w:cs="Arial"/>
        </w:rPr>
        <w:footnoteReference w:id="9"/>
      </w:r>
      <w:r w:rsidR="00064217" w:rsidRPr="00D60EA5">
        <w:rPr>
          <w:rFonts w:ascii="Arial" w:hAnsi="Arial" w:cs="Arial"/>
        </w:rPr>
        <w:t xml:space="preserve"> y en el artículo 27</w:t>
      </w:r>
      <w:r w:rsidR="00623BCD" w:rsidRPr="00D60EA5">
        <w:rPr>
          <w:rStyle w:val="Refdenotaalpie"/>
          <w:rFonts w:ascii="Arial" w:hAnsi="Arial" w:cs="Arial"/>
        </w:rPr>
        <w:footnoteReference w:id="10"/>
      </w:r>
      <w:r w:rsidRPr="00D60EA5">
        <w:rPr>
          <w:rFonts w:ascii="Arial" w:hAnsi="Arial" w:cs="Arial"/>
        </w:rPr>
        <w:t xml:space="preserve"> de la Ley 80 de 1993.</w:t>
      </w:r>
    </w:p>
    <w:bookmarkEnd w:id="8"/>
    <w:p w14:paraId="5F96A722" w14:textId="77777777" w:rsidR="00A541FA" w:rsidRPr="00D60EA5" w:rsidRDefault="00A541FA" w:rsidP="008F446C">
      <w:pPr>
        <w:spacing w:line="360" w:lineRule="auto"/>
        <w:jc w:val="both"/>
        <w:rPr>
          <w:rFonts w:ascii="Arial" w:hAnsi="Arial" w:cs="Arial"/>
        </w:rPr>
      </w:pPr>
    </w:p>
    <w:p w14:paraId="5DB083D3" w14:textId="77777777" w:rsidR="00FC406D" w:rsidRPr="00D60EA5" w:rsidRDefault="00027347" w:rsidP="008F446C">
      <w:pPr>
        <w:spacing w:line="360" w:lineRule="auto"/>
        <w:jc w:val="both"/>
        <w:rPr>
          <w:rFonts w:ascii="Arial" w:hAnsi="Arial" w:cs="Arial"/>
          <w:bCs/>
        </w:rPr>
      </w:pPr>
      <w:bookmarkStart w:id="12" w:name="_Hlk7771978"/>
      <w:r w:rsidRPr="00D60EA5">
        <w:rPr>
          <w:rFonts w:ascii="Arial" w:hAnsi="Arial" w:cs="Arial"/>
          <w:bCs/>
        </w:rPr>
        <w:t>Descendiendo</w:t>
      </w:r>
      <w:r w:rsidR="00A0752E" w:rsidRPr="00D60EA5">
        <w:rPr>
          <w:rFonts w:ascii="Arial" w:hAnsi="Arial" w:cs="Arial"/>
          <w:bCs/>
        </w:rPr>
        <w:t xml:space="preserve"> al caso concreto, se tiene</w:t>
      </w:r>
      <w:r w:rsidRPr="00D60EA5">
        <w:rPr>
          <w:rFonts w:ascii="Arial" w:hAnsi="Arial" w:cs="Arial"/>
          <w:bCs/>
        </w:rPr>
        <w:t xml:space="preserve"> que las pretensiones elevadas en la demanda se relacionan con el resultado económico de los contratos celebrados entre la parte actora y algunos entes territoriales del Departamento de Antioquia, concretamente</w:t>
      </w:r>
      <w:r w:rsidR="004C0F8E" w:rsidRPr="00D60EA5">
        <w:rPr>
          <w:rFonts w:ascii="Arial" w:hAnsi="Arial" w:cs="Arial"/>
          <w:bCs/>
        </w:rPr>
        <w:t>,</w:t>
      </w:r>
      <w:r w:rsidRPr="00D60EA5">
        <w:rPr>
          <w:rFonts w:ascii="Arial" w:hAnsi="Arial" w:cs="Arial"/>
          <w:bCs/>
        </w:rPr>
        <w:t xml:space="preserve"> en lo que concierne al</w:t>
      </w:r>
      <w:r w:rsidR="00193094" w:rsidRPr="00D60EA5">
        <w:rPr>
          <w:rFonts w:ascii="Arial" w:hAnsi="Arial" w:cs="Arial"/>
          <w:bCs/>
        </w:rPr>
        <w:t xml:space="preserve"> </w:t>
      </w:r>
      <w:r w:rsidR="00665EC8" w:rsidRPr="00D60EA5">
        <w:rPr>
          <w:rFonts w:ascii="Arial" w:hAnsi="Arial" w:cs="Arial"/>
          <w:bCs/>
        </w:rPr>
        <w:t xml:space="preserve">equilibrio </w:t>
      </w:r>
      <w:r w:rsidR="00193094" w:rsidRPr="00D60EA5">
        <w:rPr>
          <w:rFonts w:ascii="Arial" w:hAnsi="Arial" w:cs="Arial"/>
          <w:bCs/>
        </w:rPr>
        <w:t>de la ecuación financiera</w:t>
      </w:r>
      <w:r w:rsidRPr="00D60EA5">
        <w:rPr>
          <w:rFonts w:ascii="Arial" w:hAnsi="Arial" w:cs="Arial"/>
          <w:bCs/>
        </w:rPr>
        <w:t>,</w:t>
      </w:r>
      <w:r w:rsidR="00A0752E" w:rsidRPr="00D60EA5">
        <w:rPr>
          <w:rFonts w:ascii="Arial" w:hAnsi="Arial" w:cs="Arial"/>
          <w:bCs/>
        </w:rPr>
        <w:t xml:space="preserve"> por lo que</w:t>
      </w:r>
      <w:r w:rsidRPr="00D60EA5">
        <w:rPr>
          <w:rFonts w:ascii="Arial" w:hAnsi="Arial" w:cs="Arial"/>
          <w:bCs/>
        </w:rPr>
        <w:t xml:space="preserve"> ha de concluirse que dichas </w:t>
      </w:r>
      <w:r w:rsidR="00193094" w:rsidRPr="00D60EA5">
        <w:rPr>
          <w:rFonts w:ascii="Arial" w:hAnsi="Arial" w:cs="Arial"/>
          <w:bCs/>
        </w:rPr>
        <w:t>solicitudes</w:t>
      </w:r>
      <w:r w:rsidRPr="00D60EA5">
        <w:rPr>
          <w:rFonts w:ascii="Arial" w:hAnsi="Arial" w:cs="Arial"/>
          <w:bCs/>
        </w:rPr>
        <w:t xml:space="preserve"> </w:t>
      </w:r>
      <w:r w:rsidR="00193094" w:rsidRPr="00D60EA5">
        <w:rPr>
          <w:rFonts w:ascii="Arial" w:hAnsi="Arial" w:cs="Arial"/>
          <w:bCs/>
        </w:rPr>
        <w:t xml:space="preserve">declarativas y condenatorias </w:t>
      </w:r>
      <w:r w:rsidR="0063021B" w:rsidRPr="00D60EA5">
        <w:rPr>
          <w:rFonts w:ascii="Arial" w:hAnsi="Arial" w:cs="Arial"/>
          <w:bCs/>
        </w:rPr>
        <w:t>comportan una controversia contractual, en los términos</w:t>
      </w:r>
      <w:r w:rsidR="00193094" w:rsidRPr="00D60EA5">
        <w:rPr>
          <w:rFonts w:ascii="Arial" w:hAnsi="Arial" w:cs="Arial"/>
          <w:bCs/>
        </w:rPr>
        <w:t xml:space="preserve"> </w:t>
      </w:r>
      <w:r w:rsidR="0063021B" w:rsidRPr="00D60EA5">
        <w:rPr>
          <w:rFonts w:ascii="Arial" w:hAnsi="Arial" w:cs="Arial"/>
          <w:bCs/>
        </w:rPr>
        <w:t>d</w:t>
      </w:r>
      <w:r w:rsidR="00193094" w:rsidRPr="00D60EA5">
        <w:rPr>
          <w:rFonts w:ascii="Arial" w:hAnsi="Arial" w:cs="Arial"/>
          <w:bCs/>
        </w:rPr>
        <w:t>el artículo 141 el CPACA</w:t>
      </w:r>
      <w:bookmarkEnd w:id="12"/>
      <w:r w:rsidR="00DC09E4" w:rsidRPr="00D60EA5">
        <w:rPr>
          <w:rStyle w:val="Refdenotaalpie"/>
          <w:rFonts w:ascii="Arial" w:hAnsi="Arial" w:cs="Arial"/>
          <w:bCs/>
        </w:rPr>
        <w:footnoteReference w:id="11"/>
      </w:r>
      <w:r w:rsidR="00253C81" w:rsidRPr="00D60EA5">
        <w:rPr>
          <w:rFonts w:ascii="Arial" w:hAnsi="Arial" w:cs="Arial"/>
          <w:bCs/>
        </w:rPr>
        <w:t>.</w:t>
      </w:r>
    </w:p>
    <w:p w14:paraId="5B95CD12" w14:textId="77777777" w:rsidR="00F776B6" w:rsidRPr="00D60EA5" w:rsidRDefault="00F776B6" w:rsidP="008F446C">
      <w:pPr>
        <w:spacing w:line="360" w:lineRule="auto"/>
        <w:jc w:val="both"/>
        <w:rPr>
          <w:rFonts w:ascii="Arial" w:hAnsi="Arial" w:cs="Arial"/>
          <w:bCs/>
        </w:rPr>
      </w:pPr>
    </w:p>
    <w:p w14:paraId="67EACBB8" w14:textId="77777777" w:rsidR="004A5AEA" w:rsidRPr="00D60EA5" w:rsidRDefault="004A4F3B" w:rsidP="00044825">
      <w:pPr>
        <w:spacing w:line="360" w:lineRule="auto"/>
        <w:jc w:val="both"/>
        <w:rPr>
          <w:rFonts w:ascii="Arial" w:hAnsi="Arial" w:cs="Arial"/>
          <w:bCs/>
        </w:rPr>
      </w:pPr>
      <w:r w:rsidRPr="00D60EA5">
        <w:rPr>
          <w:rFonts w:ascii="Arial" w:hAnsi="Arial" w:cs="Arial"/>
          <w:bCs/>
        </w:rPr>
        <w:t>Esto</w:t>
      </w:r>
      <w:r w:rsidR="004C0F8E" w:rsidRPr="00D60EA5">
        <w:rPr>
          <w:rFonts w:ascii="Arial" w:hAnsi="Arial" w:cs="Arial"/>
          <w:bCs/>
        </w:rPr>
        <w:t>,</w:t>
      </w:r>
      <w:r w:rsidRPr="00D60EA5">
        <w:rPr>
          <w:rFonts w:ascii="Arial" w:hAnsi="Arial" w:cs="Arial"/>
          <w:bCs/>
        </w:rPr>
        <w:t xml:space="preserve"> por cuanto</w:t>
      </w:r>
      <w:r w:rsidR="008C60E1" w:rsidRPr="00D60EA5">
        <w:rPr>
          <w:rFonts w:ascii="Arial" w:hAnsi="Arial" w:cs="Arial"/>
          <w:bCs/>
        </w:rPr>
        <w:t xml:space="preserve"> la ley diferenció el </w:t>
      </w:r>
      <w:r w:rsidR="006D4E41" w:rsidRPr="00D60EA5">
        <w:rPr>
          <w:rFonts w:ascii="Arial" w:hAnsi="Arial" w:cs="Arial"/>
          <w:bCs/>
        </w:rPr>
        <w:t xml:space="preserve">efecto jurídico que el demandante persigue con el proceso, </w:t>
      </w:r>
      <w:r w:rsidR="00774F4B" w:rsidRPr="00D60EA5">
        <w:rPr>
          <w:rFonts w:ascii="Arial" w:hAnsi="Arial" w:cs="Arial"/>
          <w:bCs/>
        </w:rPr>
        <w:t>exteriorizado a modo de</w:t>
      </w:r>
      <w:r w:rsidR="006D4E41" w:rsidRPr="00D60EA5">
        <w:rPr>
          <w:rFonts w:ascii="Arial" w:hAnsi="Arial" w:cs="Arial"/>
          <w:bCs/>
        </w:rPr>
        <w:t xml:space="preserve"> pretensiones </w:t>
      </w:r>
      <w:r w:rsidR="00774F4B" w:rsidRPr="00D60EA5">
        <w:rPr>
          <w:rFonts w:ascii="Arial" w:hAnsi="Arial" w:cs="Arial"/>
          <w:bCs/>
        </w:rPr>
        <w:t>en la demanda,</w:t>
      </w:r>
      <w:r w:rsidR="004A5AEA" w:rsidRPr="00D60EA5">
        <w:rPr>
          <w:rFonts w:ascii="Arial" w:hAnsi="Arial" w:cs="Arial"/>
          <w:bCs/>
        </w:rPr>
        <w:t xml:space="preserve"> y lo clasificó en forma de medios de control</w:t>
      </w:r>
      <w:r w:rsidR="002735A1" w:rsidRPr="00D60EA5">
        <w:rPr>
          <w:rStyle w:val="Refdenotaalpie"/>
          <w:rFonts w:ascii="Arial" w:hAnsi="Arial" w:cs="Arial"/>
          <w:bCs/>
        </w:rPr>
        <w:footnoteReference w:id="12"/>
      </w:r>
      <w:r w:rsidR="004A5AEA" w:rsidRPr="00D60EA5">
        <w:rPr>
          <w:rFonts w:ascii="Arial" w:hAnsi="Arial" w:cs="Arial"/>
          <w:bCs/>
        </w:rPr>
        <w:t>,</w:t>
      </w:r>
      <w:r w:rsidR="00774F4B" w:rsidRPr="00D60EA5">
        <w:rPr>
          <w:rFonts w:ascii="Arial" w:hAnsi="Arial" w:cs="Arial"/>
          <w:bCs/>
        </w:rPr>
        <w:t xml:space="preserve"> </w:t>
      </w:r>
      <w:r w:rsidRPr="00D60EA5">
        <w:rPr>
          <w:rFonts w:ascii="Arial" w:hAnsi="Arial" w:cs="Arial"/>
          <w:bCs/>
        </w:rPr>
        <w:t>de</w:t>
      </w:r>
      <w:r w:rsidR="004A5AEA" w:rsidRPr="00D60EA5">
        <w:rPr>
          <w:rFonts w:ascii="Arial" w:hAnsi="Arial" w:cs="Arial"/>
          <w:bCs/>
        </w:rPr>
        <w:t xml:space="preserve"> </w:t>
      </w:r>
      <w:r w:rsidRPr="00D60EA5">
        <w:rPr>
          <w:rFonts w:ascii="Arial" w:hAnsi="Arial" w:cs="Arial"/>
          <w:bCs/>
        </w:rPr>
        <w:t xml:space="preserve">suerte </w:t>
      </w:r>
      <w:proofErr w:type="gramStart"/>
      <w:r w:rsidRPr="00D60EA5">
        <w:rPr>
          <w:rFonts w:ascii="Arial" w:hAnsi="Arial" w:cs="Arial"/>
          <w:bCs/>
        </w:rPr>
        <w:t>que</w:t>
      </w:r>
      <w:proofErr w:type="gramEnd"/>
      <w:r w:rsidRPr="00D60EA5">
        <w:rPr>
          <w:rFonts w:ascii="Arial" w:hAnsi="Arial" w:cs="Arial"/>
          <w:bCs/>
        </w:rPr>
        <w:t xml:space="preserve"> tratándose de peticiones ligadas a la </w:t>
      </w:r>
      <w:r w:rsidRPr="00D60EA5">
        <w:rPr>
          <w:rFonts w:ascii="Arial" w:hAnsi="Arial" w:cs="Arial"/>
          <w:bCs/>
        </w:rPr>
        <w:lastRenderedPageBreak/>
        <w:t>ejecución de un contrato,</w:t>
      </w:r>
      <w:r w:rsidR="008C60E1" w:rsidRPr="00D60EA5">
        <w:rPr>
          <w:rFonts w:ascii="Arial" w:hAnsi="Arial" w:cs="Arial"/>
          <w:bCs/>
        </w:rPr>
        <w:t xml:space="preserve"> el debate tiene carácter contractual y</w:t>
      </w:r>
      <w:r w:rsidRPr="00D60EA5">
        <w:rPr>
          <w:rFonts w:ascii="Arial" w:hAnsi="Arial" w:cs="Arial"/>
          <w:bCs/>
        </w:rPr>
        <w:t xml:space="preserve"> el procedimiento es el </w:t>
      </w:r>
      <w:r w:rsidR="00665EC8" w:rsidRPr="00D60EA5">
        <w:rPr>
          <w:rFonts w:ascii="Arial" w:hAnsi="Arial" w:cs="Arial"/>
          <w:bCs/>
        </w:rPr>
        <w:t>ordinario</w:t>
      </w:r>
      <w:r w:rsidR="008C60E1" w:rsidRPr="00D60EA5">
        <w:rPr>
          <w:rFonts w:ascii="Arial" w:hAnsi="Arial" w:cs="Arial"/>
          <w:bCs/>
        </w:rPr>
        <w:t>.</w:t>
      </w:r>
      <w:r w:rsidR="006D4E41" w:rsidRPr="00D60EA5">
        <w:rPr>
          <w:rFonts w:ascii="Arial" w:hAnsi="Arial" w:cs="Arial"/>
          <w:bCs/>
        </w:rPr>
        <w:t xml:space="preserve"> </w:t>
      </w:r>
    </w:p>
    <w:p w14:paraId="5220BBB2" w14:textId="77777777" w:rsidR="004A5AEA" w:rsidRPr="00D60EA5" w:rsidRDefault="004A5AEA" w:rsidP="00044825">
      <w:pPr>
        <w:spacing w:line="360" w:lineRule="auto"/>
        <w:jc w:val="both"/>
        <w:rPr>
          <w:rFonts w:ascii="Arial" w:hAnsi="Arial" w:cs="Arial"/>
          <w:bCs/>
        </w:rPr>
      </w:pPr>
    </w:p>
    <w:p w14:paraId="6B2595FB" w14:textId="77777777" w:rsidR="00AF0371" w:rsidRPr="00D60EA5" w:rsidRDefault="006D4E41" w:rsidP="00044825">
      <w:pPr>
        <w:spacing w:line="360" w:lineRule="auto"/>
        <w:jc w:val="both"/>
        <w:rPr>
          <w:rFonts w:ascii="Arial" w:hAnsi="Arial" w:cs="Arial"/>
          <w:bCs/>
        </w:rPr>
      </w:pPr>
      <w:r w:rsidRPr="00D60EA5">
        <w:rPr>
          <w:rFonts w:ascii="Arial" w:hAnsi="Arial" w:cs="Arial"/>
          <w:bCs/>
        </w:rPr>
        <w:t>E</w:t>
      </w:r>
      <w:r w:rsidR="00774F4B" w:rsidRPr="00D60EA5">
        <w:rPr>
          <w:rFonts w:ascii="Arial" w:hAnsi="Arial" w:cs="Arial"/>
          <w:bCs/>
        </w:rPr>
        <w:t>l</w:t>
      </w:r>
      <w:r w:rsidR="00C9566A" w:rsidRPr="00D60EA5">
        <w:rPr>
          <w:rFonts w:ascii="Arial" w:hAnsi="Arial" w:cs="Arial"/>
          <w:bCs/>
        </w:rPr>
        <w:t xml:space="preserve"> restablecimiento del equilibrio económico es</w:t>
      </w:r>
      <w:r w:rsidR="004A5AEA" w:rsidRPr="00D60EA5">
        <w:rPr>
          <w:rFonts w:ascii="Arial" w:hAnsi="Arial" w:cs="Arial"/>
          <w:bCs/>
        </w:rPr>
        <w:t>, sin duda,</w:t>
      </w:r>
      <w:r w:rsidR="00C9566A" w:rsidRPr="00D60EA5">
        <w:rPr>
          <w:rFonts w:ascii="Arial" w:hAnsi="Arial" w:cs="Arial"/>
          <w:bCs/>
        </w:rPr>
        <w:t xml:space="preserve"> </w:t>
      </w:r>
      <w:r w:rsidR="00665EC8" w:rsidRPr="00D60EA5">
        <w:rPr>
          <w:rFonts w:ascii="Arial" w:hAnsi="Arial" w:cs="Arial"/>
          <w:bCs/>
        </w:rPr>
        <w:t>un asunto</w:t>
      </w:r>
      <w:r w:rsidR="00AF5601" w:rsidRPr="00D60EA5">
        <w:rPr>
          <w:rFonts w:ascii="Arial" w:hAnsi="Arial" w:cs="Arial"/>
          <w:bCs/>
        </w:rPr>
        <w:t xml:space="preserve"> de tinte contractual</w:t>
      </w:r>
      <w:r w:rsidR="00665EC8" w:rsidRPr="00D60EA5">
        <w:rPr>
          <w:rFonts w:ascii="Arial" w:hAnsi="Arial" w:cs="Arial"/>
          <w:bCs/>
        </w:rPr>
        <w:t xml:space="preserve"> pues</w:t>
      </w:r>
      <w:r w:rsidRPr="00D60EA5">
        <w:rPr>
          <w:rFonts w:ascii="Arial" w:hAnsi="Arial" w:cs="Arial"/>
          <w:bCs/>
        </w:rPr>
        <w:t>,</w:t>
      </w:r>
      <w:r w:rsidR="00665EC8" w:rsidRPr="00D60EA5">
        <w:rPr>
          <w:rFonts w:ascii="Arial" w:hAnsi="Arial" w:cs="Arial"/>
          <w:bCs/>
        </w:rPr>
        <w:t xml:space="preserve"> </w:t>
      </w:r>
      <w:r w:rsidRPr="00D60EA5">
        <w:rPr>
          <w:rFonts w:ascii="Arial" w:hAnsi="Arial" w:cs="Arial"/>
          <w:bCs/>
        </w:rPr>
        <w:t xml:space="preserve">además de que tiene su origen en el desarrollo del contrato, </w:t>
      </w:r>
      <w:r w:rsidR="00665EC8" w:rsidRPr="00D60EA5">
        <w:rPr>
          <w:rFonts w:ascii="Arial" w:hAnsi="Arial" w:cs="Arial"/>
          <w:bCs/>
        </w:rPr>
        <w:t xml:space="preserve">es </w:t>
      </w:r>
      <w:r w:rsidR="00D342CB" w:rsidRPr="00D60EA5">
        <w:rPr>
          <w:rFonts w:ascii="Arial" w:hAnsi="Arial" w:cs="Arial"/>
          <w:bCs/>
        </w:rPr>
        <w:t xml:space="preserve">un mecanismo previsto en el Estatuto de Contratación Estatal </w:t>
      </w:r>
      <w:r w:rsidR="00C9566A" w:rsidRPr="00D60EA5">
        <w:rPr>
          <w:rFonts w:ascii="Arial" w:hAnsi="Arial" w:cs="Arial"/>
          <w:bCs/>
        </w:rPr>
        <w:t>para conjurar las contingencias que puedan llevar a la inejecución de lo pactado,</w:t>
      </w:r>
      <w:r w:rsidR="00AF0371" w:rsidRPr="00D60EA5">
        <w:rPr>
          <w:rFonts w:ascii="Arial" w:hAnsi="Arial" w:cs="Arial"/>
          <w:bCs/>
        </w:rPr>
        <w:t xml:space="preserve"> debido a </w:t>
      </w:r>
      <w:r w:rsidR="001241E1" w:rsidRPr="00D60EA5">
        <w:rPr>
          <w:rFonts w:ascii="Arial" w:hAnsi="Arial" w:cs="Arial"/>
          <w:bCs/>
        </w:rPr>
        <w:t>la satisfacción del interés general</w:t>
      </w:r>
      <w:r w:rsidR="00AF0371" w:rsidRPr="00D60EA5">
        <w:rPr>
          <w:rFonts w:ascii="Arial" w:hAnsi="Arial" w:cs="Arial"/>
          <w:bCs/>
        </w:rPr>
        <w:t xml:space="preserve"> que se pe</w:t>
      </w:r>
      <w:r w:rsidR="00D342CB" w:rsidRPr="00D60EA5">
        <w:rPr>
          <w:rFonts w:ascii="Arial" w:hAnsi="Arial" w:cs="Arial"/>
          <w:bCs/>
        </w:rPr>
        <w:t>rsigue con los contratos estatales</w:t>
      </w:r>
      <w:r w:rsidR="00AF0371" w:rsidRPr="00D60EA5">
        <w:rPr>
          <w:rFonts w:ascii="Arial" w:hAnsi="Arial" w:cs="Arial"/>
          <w:bCs/>
        </w:rPr>
        <w:t xml:space="preserve"> y la importancia que reviste</w:t>
      </w:r>
      <w:r w:rsidR="005200B0" w:rsidRPr="00D60EA5">
        <w:rPr>
          <w:rFonts w:ascii="Arial" w:hAnsi="Arial" w:cs="Arial"/>
          <w:bCs/>
        </w:rPr>
        <w:t xml:space="preserve"> el cumplimiento</w:t>
      </w:r>
      <w:r w:rsidR="001241E1" w:rsidRPr="00D60EA5">
        <w:rPr>
          <w:rFonts w:ascii="Arial" w:hAnsi="Arial" w:cs="Arial"/>
          <w:bCs/>
        </w:rPr>
        <w:t xml:space="preserve"> </w:t>
      </w:r>
      <w:r w:rsidR="00AF0371" w:rsidRPr="00D60EA5">
        <w:rPr>
          <w:rFonts w:ascii="Arial" w:hAnsi="Arial" w:cs="Arial"/>
          <w:bCs/>
        </w:rPr>
        <w:t>del acuerdo</w:t>
      </w:r>
      <w:r w:rsidR="0029024C" w:rsidRPr="00D60EA5">
        <w:rPr>
          <w:rFonts w:ascii="Arial" w:hAnsi="Arial" w:cs="Arial"/>
          <w:bCs/>
        </w:rPr>
        <w:t xml:space="preserve"> para</w:t>
      </w:r>
      <w:r w:rsidR="001241E1" w:rsidRPr="00D60EA5">
        <w:rPr>
          <w:rFonts w:ascii="Arial" w:hAnsi="Arial" w:cs="Arial"/>
          <w:bCs/>
        </w:rPr>
        <w:t xml:space="preserve"> </w:t>
      </w:r>
      <w:r w:rsidR="00CA3754" w:rsidRPr="00D60EA5">
        <w:rPr>
          <w:rFonts w:ascii="Arial" w:hAnsi="Arial" w:cs="Arial"/>
          <w:bCs/>
        </w:rPr>
        <w:t>el sistema de</w:t>
      </w:r>
      <w:r w:rsidR="001241E1" w:rsidRPr="00D60EA5">
        <w:rPr>
          <w:rFonts w:ascii="Arial" w:hAnsi="Arial" w:cs="Arial"/>
          <w:bCs/>
        </w:rPr>
        <w:t xml:space="preserve"> contratación estatal</w:t>
      </w:r>
      <w:r w:rsidR="00AF0371" w:rsidRPr="00D60EA5">
        <w:rPr>
          <w:rFonts w:ascii="Arial" w:hAnsi="Arial" w:cs="Arial"/>
          <w:bCs/>
        </w:rPr>
        <w:t>.</w:t>
      </w:r>
    </w:p>
    <w:p w14:paraId="13CB595B" w14:textId="77777777" w:rsidR="004C0F8E" w:rsidRPr="00D60EA5" w:rsidRDefault="004C0F8E" w:rsidP="00044825">
      <w:pPr>
        <w:spacing w:line="360" w:lineRule="auto"/>
        <w:jc w:val="both"/>
        <w:rPr>
          <w:rFonts w:ascii="Arial" w:hAnsi="Arial" w:cs="Arial"/>
          <w:bCs/>
        </w:rPr>
      </w:pPr>
    </w:p>
    <w:p w14:paraId="4AEE4B51" w14:textId="77777777" w:rsidR="00C3225F" w:rsidRPr="00D60EA5" w:rsidRDefault="00635D28" w:rsidP="008F446C">
      <w:pPr>
        <w:spacing w:line="360" w:lineRule="auto"/>
        <w:jc w:val="both"/>
        <w:rPr>
          <w:rFonts w:ascii="Arial" w:hAnsi="Arial" w:cs="Arial"/>
          <w:bCs/>
        </w:rPr>
      </w:pPr>
      <w:bookmarkStart w:id="14" w:name="_Hlk7772031"/>
      <w:r w:rsidRPr="00D60EA5">
        <w:rPr>
          <w:rFonts w:ascii="Arial" w:hAnsi="Arial" w:cs="Arial"/>
          <w:bCs/>
        </w:rPr>
        <w:t xml:space="preserve">Así las cosas, </w:t>
      </w:r>
      <w:r w:rsidR="00CB1F72" w:rsidRPr="00D60EA5">
        <w:rPr>
          <w:rFonts w:ascii="Arial" w:hAnsi="Arial" w:cs="Arial"/>
          <w:bCs/>
        </w:rPr>
        <w:t>como las pretensiones de la demanda corresponden a un</w:t>
      </w:r>
      <w:r w:rsidR="00C3225F" w:rsidRPr="00D60EA5">
        <w:rPr>
          <w:rFonts w:ascii="Arial" w:hAnsi="Arial" w:cs="Arial"/>
          <w:bCs/>
        </w:rPr>
        <w:t xml:space="preserve"> debate</w:t>
      </w:r>
      <w:r w:rsidR="00CB1F72" w:rsidRPr="00D60EA5">
        <w:rPr>
          <w:rFonts w:ascii="Arial" w:hAnsi="Arial" w:cs="Arial"/>
          <w:bCs/>
        </w:rPr>
        <w:t xml:space="preserve"> contractual, </w:t>
      </w:r>
      <w:r w:rsidRPr="00D60EA5">
        <w:rPr>
          <w:rFonts w:ascii="Arial" w:hAnsi="Arial" w:cs="Arial"/>
          <w:bCs/>
        </w:rPr>
        <w:t xml:space="preserve">el término de caducidad </w:t>
      </w:r>
      <w:r w:rsidR="00A0752E" w:rsidRPr="00D60EA5">
        <w:rPr>
          <w:rFonts w:ascii="Arial" w:hAnsi="Arial" w:cs="Arial"/>
          <w:bCs/>
        </w:rPr>
        <w:t xml:space="preserve">en el presente asunto </w:t>
      </w:r>
      <w:r w:rsidRPr="00D60EA5">
        <w:rPr>
          <w:rFonts w:ascii="Arial" w:hAnsi="Arial" w:cs="Arial"/>
          <w:bCs/>
        </w:rPr>
        <w:t xml:space="preserve">deberá contabilizarse en la forma dispuesta por el artículo 164, literal j) </w:t>
      </w:r>
      <w:r w:rsidR="00CB1F72" w:rsidRPr="00D60EA5">
        <w:rPr>
          <w:rFonts w:ascii="Arial" w:hAnsi="Arial" w:cs="Arial"/>
          <w:bCs/>
        </w:rPr>
        <w:t>d</w:t>
      </w:r>
      <w:r w:rsidRPr="00D60EA5">
        <w:rPr>
          <w:rFonts w:ascii="Arial" w:hAnsi="Arial" w:cs="Arial"/>
          <w:bCs/>
        </w:rPr>
        <w:t>el CPACA</w:t>
      </w:r>
      <w:bookmarkEnd w:id="14"/>
      <w:r w:rsidR="00A0752E" w:rsidRPr="00D60EA5">
        <w:rPr>
          <w:rFonts w:ascii="Arial" w:hAnsi="Arial" w:cs="Arial"/>
          <w:bCs/>
        </w:rPr>
        <w:t xml:space="preserve">, que </w:t>
      </w:r>
      <w:r w:rsidR="00CB1F72" w:rsidRPr="00D60EA5">
        <w:rPr>
          <w:rFonts w:ascii="Arial" w:hAnsi="Arial" w:cs="Arial"/>
          <w:bCs/>
        </w:rPr>
        <w:t>dispone</w:t>
      </w:r>
      <w:r w:rsidR="005200B0" w:rsidRPr="00D60EA5">
        <w:rPr>
          <w:rFonts w:ascii="Arial" w:hAnsi="Arial" w:cs="Arial"/>
          <w:bCs/>
        </w:rPr>
        <w:t>:</w:t>
      </w:r>
    </w:p>
    <w:p w14:paraId="6D9C8D39" w14:textId="77777777" w:rsidR="00C3225F" w:rsidRPr="00D60EA5" w:rsidRDefault="00C3225F" w:rsidP="008F446C">
      <w:pPr>
        <w:spacing w:line="360" w:lineRule="auto"/>
        <w:jc w:val="both"/>
        <w:rPr>
          <w:rFonts w:ascii="Arial" w:hAnsi="Arial" w:cs="Arial"/>
          <w:bCs/>
        </w:rPr>
      </w:pPr>
    </w:p>
    <w:p w14:paraId="7885FF65" w14:textId="77777777" w:rsidR="00C3225F" w:rsidRPr="00D60EA5" w:rsidRDefault="00C3225F" w:rsidP="00C3225F">
      <w:pPr>
        <w:spacing w:line="276" w:lineRule="auto"/>
        <w:ind w:left="567" w:right="618"/>
        <w:jc w:val="both"/>
        <w:rPr>
          <w:rFonts w:ascii="Arial" w:hAnsi="Arial" w:cs="Arial"/>
          <w:bCs/>
          <w:i/>
        </w:rPr>
      </w:pPr>
      <w:bookmarkStart w:id="15" w:name="164"/>
      <w:r w:rsidRPr="00D60EA5">
        <w:rPr>
          <w:rFonts w:ascii="Arial" w:hAnsi="Arial" w:cs="Arial"/>
          <w:b/>
          <w:bCs/>
          <w:i/>
        </w:rPr>
        <w:t>Artículo 164. Oportunidad para presentar la demanda.</w:t>
      </w:r>
      <w:bookmarkEnd w:id="15"/>
      <w:r w:rsidRPr="00D60EA5">
        <w:rPr>
          <w:rFonts w:ascii="Arial" w:hAnsi="Arial" w:cs="Arial"/>
          <w:i/>
        </w:rPr>
        <w:t> La demanda deberá ser presentada:</w:t>
      </w:r>
      <w:r w:rsidRPr="00D60EA5">
        <w:rPr>
          <w:rFonts w:ascii="Arial" w:hAnsi="Arial" w:cs="Arial"/>
          <w:bCs/>
          <w:i/>
        </w:rPr>
        <w:t xml:space="preserve"> (…)</w:t>
      </w:r>
    </w:p>
    <w:p w14:paraId="675E05EE" w14:textId="77777777" w:rsidR="00C3225F" w:rsidRPr="00D60EA5" w:rsidRDefault="00C3225F" w:rsidP="00C3225F">
      <w:pPr>
        <w:spacing w:line="276" w:lineRule="auto"/>
        <w:ind w:left="567" w:right="618"/>
        <w:jc w:val="both"/>
        <w:rPr>
          <w:rFonts w:ascii="Arial" w:hAnsi="Arial" w:cs="Arial"/>
          <w:bCs/>
          <w:i/>
        </w:rPr>
      </w:pPr>
    </w:p>
    <w:p w14:paraId="083239E2" w14:textId="77777777" w:rsidR="00C3225F" w:rsidRPr="00D60EA5" w:rsidRDefault="00C3225F" w:rsidP="00C3225F">
      <w:pPr>
        <w:spacing w:line="276" w:lineRule="auto"/>
        <w:ind w:left="567" w:right="618"/>
        <w:jc w:val="both"/>
        <w:rPr>
          <w:rFonts w:ascii="Arial" w:hAnsi="Arial" w:cs="Arial"/>
          <w:i/>
        </w:rPr>
      </w:pPr>
      <w:r w:rsidRPr="00D60EA5">
        <w:rPr>
          <w:rFonts w:ascii="Arial" w:hAnsi="Arial" w:cs="Arial"/>
          <w:i/>
        </w:rPr>
        <w:t>2. En los siguientes términos, so pena de que opere la caducidad: (…)</w:t>
      </w:r>
    </w:p>
    <w:p w14:paraId="7691A0BB" w14:textId="77777777" w:rsidR="00C3225F" w:rsidRPr="00D60EA5" w:rsidRDefault="00C3225F" w:rsidP="00C3225F">
      <w:pPr>
        <w:pStyle w:val="NormalWeb"/>
        <w:spacing w:before="0" w:beforeAutospacing="0" w:after="0" w:afterAutospacing="0" w:line="276" w:lineRule="auto"/>
        <w:ind w:left="567" w:right="618"/>
        <w:jc w:val="both"/>
        <w:rPr>
          <w:rFonts w:ascii="Arial" w:hAnsi="Arial" w:cs="Arial"/>
          <w:i/>
        </w:rPr>
      </w:pPr>
      <w:r w:rsidRPr="00D60EA5">
        <w:rPr>
          <w:rFonts w:ascii="Arial" w:hAnsi="Arial" w:cs="Arial"/>
          <w:i/>
        </w:rPr>
        <w:t>j) En las relativas a contratos el término para demandar será de dos (2) años que se contarán a partir del día siguiente a la ocurrencia de los motivos de hecho o de derecho que les sirvan de fundamento.</w:t>
      </w:r>
    </w:p>
    <w:p w14:paraId="2FC17F8B" w14:textId="77777777" w:rsidR="00C3225F" w:rsidRPr="00D60EA5" w:rsidRDefault="00C3225F" w:rsidP="00C3225F">
      <w:pPr>
        <w:pStyle w:val="NormalWeb"/>
        <w:spacing w:before="0" w:beforeAutospacing="0" w:after="0" w:afterAutospacing="0" w:line="276" w:lineRule="auto"/>
        <w:ind w:left="567" w:right="618"/>
        <w:jc w:val="both"/>
        <w:rPr>
          <w:rFonts w:ascii="Arial" w:hAnsi="Arial" w:cs="Arial"/>
          <w:i/>
        </w:rPr>
      </w:pPr>
    </w:p>
    <w:p w14:paraId="242FA2CB" w14:textId="77777777" w:rsidR="00C3225F" w:rsidRPr="00D60EA5" w:rsidRDefault="00C3225F" w:rsidP="00C3225F">
      <w:pPr>
        <w:pStyle w:val="NormalWeb"/>
        <w:spacing w:before="0" w:beforeAutospacing="0" w:after="0" w:afterAutospacing="0" w:line="276" w:lineRule="auto"/>
        <w:ind w:left="567" w:right="618"/>
        <w:jc w:val="both"/>
        <w:rPr>
          <w:rFonts w:ascii="Arial" w:hAnsi="Arial" w:cs="Arial"/>
          <w:i/>
        </w:rPr>
      </w:pPr>
      <w:r w:rsidRPr="00D60EA5">
        <w:rPr>
          <w:rFonts w:ascii="Arial" w:hAnsi="Arial" w:cs="Arial"/>
          <w:i/>
        </w:rPr>
        <w:t>Cuando se pretenda la nulidad absoluta o relativa del contrato, el término para demandar será de dos (2) años que se empezarán a contar desde el día siguiente al de su perfeccionamiento. En todo caso, podrá demandarse la nulidad absoluta del contrato mientras este se encuentre vigente.</w:t>
      </w:r>
    </w:p>
    <w:p w14:paraId="0A4F7224" w14:textId="77777777" w:rsidR="008A277F" w:rsidRPr="00D60EA5" w:rsidRDefault="008A277F" w:rsidP="00C3225F">
      <w:pPr>
        <w:pStyle w:val="NormalWeb"/>
        <w:spacing w:before="0" w:beforeAutospacing="0" w:after="0" w:afterAutospacing="0" w:line="276" w:lineRule="auto"/>
        <w:ind w:left="567" w:right="618"/>
        <w:jc w:val="both"/>
        <w:rPr>
          <w:rFonts w:ascii="Arial" w:hAnsi="Arial" w:cs="Arial"/>
          <w:i/>
        </w:rPr>
      </w:pPr>
    </w:p>
    <w:p w14:paraId="22F545F5" w14:textId="77777777" w:rsidR="00C3225F" w:rsidRPr="00D60EA5" w:rsidRDefault="00C3225F" w:rsidP="00C3225F">
      <w:pPr>
        <w:pStyle w:val="NormalWeb"/>
        <w:spacing w:before="0" w:beforeAutospacing="0" w:after="0" w:afterAutospacing="0" w:line="276" w:lineRule="auto"/>
        <w:ind w:left="567" w:right="618"/>
        <w:jc w:val="both"/>
        <w:rPr>
          <w:rFonts w:ascii="Arial" w:hAnsi="Arial" w:cs="Arial"/>
          <w:i/>
        </w:rPr>
      </w:pPr>
      <w:r w:rsidRPr="00D60EA5">
        <w:rPr>
          <w:rFonts w:ascii="Arial" w:hAnsi="Arial" w:cs="Arial"/>
          <w:i/>
        </w:rPr>
        <w:t>En los siguientes contratos, el término de dos (2) años se contará así:</w:t>
      </w:r>
    </w:p>
    <w:p w14:paraId="5AE48A43" w14:textId="77777777" w:rsidR="007522DE" w:rsidRPr="00D60EA5" w:rsidRDefault="007522DE" w:rsidP="00C3225F">
      <w:pPr>
        <w:pStyle w:val="NormalWeb"/>
        <w:spacing w:before="0" w:beforeAutospacing="0" w:after="0" w:afterAutospacing="0" w:line="276" w:lineRule="auto"/>
        <w:ind w:left="567" w:right="618"/>
        <w:jc w:val="both"/>
        <w:rPr>
          <w:rFonts w:ascii="Arial" w:hAnsi="Arial" w:cs="Arial"/>
          <w:i/>
        </w:rPr>
      </w:pPr>
    </w:p>
    <w:p w14:paraId="6A9EA35F" w14:textId="77777777" w:rsidR="00C3225F" w:rsidRPr="00D60EA5" w:rsidRDefault="00C3225F" w:rsidP="00C3225F">
      <w:pPr>
        <w:pStyle w:val="NormalWeb"/>
        <w:spacing w:before="0" w:beforeAutospacing="0" w:after="0" w:afterAutospacing="0" w:line="276" w:lineRule="auto"/>
        <w:ind w:left="567" w:right="618"/>
        <w:jc w:val="both"/>
        <w:rPr>
          <w:rFonts w:ascii="Arial" w:hAnsi="Arial" w:cs="Arial"/>
          <w:i/>
        </w:rPr>
      </w:pPr>
      <w:r w:rsidRPr="00D60EA5">
        <w:rPr>
          <w:rFonts w:ascii="Arial" w:hAnsi="Arial" w:cs="Arial"/>
          <w:i/>
        </w:rPr>
        <w:t>i) En los de ejecución instantánea desde el día siguiente a cuando se cumplió o debió cumplirse el objeto del contrato;</w:t>
      </w:r>
    </w:p>
    <w:p w14:paraId="5C2217ED" w14:textId="77777777" w:rsidR="00C3225F" w:rsidRPr="00D60EA5" w:rsidRDefault="00C3225F" w:rsidP="00C3225F">
      <w:pPr>
        <w:pStyle w:val="NormalWeb"/>
        <w:spacing w:before="0" w:beforeAutospacing="0" w:after="0" w:afterAutospacing="0" w:line="276" w:lineRule="auto"/>
        <w:ind w:left="567" w:right="618"/>
        <w:jc w:val="both"/>
        <w:rPr>
          <w:rFonts w:ascii="Arial" w:hAnsi="Arial" w:cs="Arial"/>
          <w:i/>
        </w:rPr>
      </w:pPr>
      <w:proofErr w:type="spellStart"/>
      <w:r w:rsidRPr="00D60EA5">
        <w:rPr>
          <w:rFonts w:ascii="Arial" w:hAnsi="Arial" w:cs="Arial"/>
          <w:i/>
        </w:rPr>
        <w:t>ii</w:t>
      </w:r>
      <w:proofErr w:type="spellEnd"/>
      <w:r w:rsidRPr="00D60EA5">
        <w:rPr>
          <w:rFonts w:ascii="Arial" w:hAnsi="Arial" w:cs="Arial"/>
          <w:i/>
        </w:rPr>
        <w:t>) En los que no requieran de liquidación, desde el día siguiente al de la terminación del contrato por cualquier causa;</w:t>
      </w:r>
    </w:p>
    <w:p w14:paraId="414A1FCE" w14:textId="77777777" w:rsidR="00C3225F" w:rsidRPr="00D60EA5" w:rsidRDefault="00C3225F" w:rsidP="00C3225F">
      <w:pPr>
        <w:pStyle w:val="NormalWeb"/>
        <w:spacing w:before="0" w:beforeAutospacing="0" w:after="0" w:afterAutospacing="0" w:line="276" w:lineRule="auto"/>
        <w:ind w:left="567" w:right="618"/>
        <w:jc w:val="both"/>
        <w:rPr>
          <w:rFonts w:ascii="Arial" w:hAnsi="Arial" w:cs="Arial"/>
          <w:i/>
        </w:rPr>
      </w:pPr>
      <w:proofErr w:type="spellStart"/>
      <w:r w:rsidRPr="00D60EA5">
        <w:rPr>
          <w:rFonts w:ascii="Arial" w:hAnsi="Arial" w:cs="Arial"/>
          <w:i/>
        </w:rPr>
        <w:t>iii</w:t>
      </w:r>
      <w:proofErr w:type="spellEnd"/>
      <w:r w:rsidRPr="00D60EA5">
        <w:rPr>
          <w:rFonts w:ascii="Arial" w:hAnsi="Arial" w:cs="Arial"/>
          <w:i/>
        </w:rPr>
        <w:t>) En los que requieran de liquidación y esta sea efectuada de común acuerdo por las partes, desde el día siguiente al de la firma del acta;</w:t>
      </w:r>
    </w:p>
    <w:p w14:paraId="2B767FBD" w14:textId="77777777" w:rsidR="00C3225F" w:rsidRPr="00D60EA5" w:rsidRDefault="00C3225F" w:rsidP="00C3225F">
      <w:pPr>
        <w:pStyle w:val="NormalWeb"/>
        <w:spacing w:before="0" w:beforeAutospacing="0" w:after="0" w:afterAutospacing="0" w:line="276" w:lineRule="auto"/>
        <w:ind w:left="567" w:right="618"/>
        <w:jc w:val="both"/>
        <w:rPr>
          <w:rFonts w:ascii="Arial" w:hAnsi="Arial" w:cs="Arial"/>
          <w:i/>
        </w:rPr>
      </w:pPr>
      <w:proofErr w:type="spellStart"/>
      <w:r w:rsidRPr="00D60EA5">
        <w:rPr>
          <w:rFonts w:ascii="Arial" w:hAnsi="Arial" w:cs="Arial"/>
          <w:i/>
        </w:rPr>
        <w:lastRenderedPageBreak/>
        <w:t>iv</w:t>
      </w:r>
      <w:proofErr w:type="spellEnd"/>
      <w:r w:rsidRPr="00D60EA5">
        <w:rPr>
          <w:rFonts w:ascii="Arial" w:hAnsi="Arial" w:cs="Arial"/>
          <w:i/>
        </w:rPr>
        <w:t>) En los que requieran de liquidación y esta sea efectuada unilateralmente por la administración, desde el día siguiente al de la ejecutoria del acto administrativo que la apruebe;</w:t>
      </w:r>
    </w:p>
    <w:p w14:paraId="53862A7C" w14:textId="77777777" w:rsidR="00C3225F" w:rsidRPr="00D60EA5" w:rsidRDefault="00C3225F" w:rsidP="00C3225F">
      <w:pPr>
        <w:pStyle w:val="NormalWeb"/>
        <w:spacing w:before="0" w:beforeAutospacing="0" w:after="0" w:afterAutospacing="0" w:line="276" w:lineRule="auto"/>
        <w:ind w:left="567" w:right="618"/>
        <w:jc w:val="both"/>
        <w:rPr>
          <w:rFonts w:ascii="Arial" w:hAnsi="Arial" w:cs="Arial"/>
          <w:i/>
        </w:rPr>
      </w:pPr>
      <w:r w:rsidRPr="00D60EA5">
        <w:rPr>
          <w:rFonts w:ascii="Arial" w:hAnsi="Arial" w:cs="Arial"/>
          <w:i/>
        </w:rPr>
        <w:t>v) En los que requieran de liquidación y esta no se logre por mutuo acuerdo o no se practique por la administración unilateralmente, una vez cumplido el término de dos (2) meses contados a partir del vencimiento del plazo convenido para hacerlo bilateralmente o, en su defecto, del término de los cuatro (4) meses siguientes a la terminación del contrato o la expedición del acto que lo ordene o del acuerdo que la disponga;</w:t>
      </w:r>
    </w:p>
    <w:p w14:paraId="50F40DEB" w14:textId="77777777" w:rsidR="00925E40" w:rsidRPr="00D60EA5" w:rsidRDefault="00925E40" w:rsidP="00634787">
      <w:pPr>
        <w:spacing w:line="360" w:lineRule="auto"/>
        <w:jc w:val="both"/>
        <w:rPr>
          <w:rFonts w:ascii="Arial" w:hAnsi="Arial" w:cs="Arial"/>
          <w:bCs/>
        </w:rPr>
      </w:pPr>
    </w:p>
    <w:p w14:paraId="34086996" w14:textId="77777777" w:rsidR="00620CAC" w:rsidRPr="00D60EA5" w:rsidRDefault="00925E40" w:rsidP="00634787">
      <w:pPr>
        <w:spacing w:line="360" w:lineRule="auto"/>
        <w:jc w:val="both"/>
        <w:rPr>
          <w:rFonts w:ascii="Arial" w:hAnsi="Arial" w:cs="Arial"/>
          <w:bCs/>
        </w:rPr>
      </w:pPr>
      <w:r w:rsidRPr="00D60EA5">
        <w:rPr>
          <w:rFonts w:ascii="Arial" w:hAnsi="Arial" w:cs="Arial"/>
          <w:bCs/>
        </w:rPr>
        <w:t>E</w:t>
      </w:r>
      <w:r w:rsidR="00634787" w:rsidRPr="00D60EA5">
        <w:rPr>
          <w:rFonts w:ascii="Arial" w:hAnsi="Arial" w:cs="Arial"/>
          <w:bCs/>
        </w:rPr>
        <w:t>n la demanda</w:t>
      </w:r>
      <w:r w:rsidRPr="00D60EA5">
        <w:rPr>
          <w:rFonts w:ascii="Arial" w:hAnsi="Arial" w:cs="Arial"/>
          <w:bCs/>
        </w:rPr>
        <w:t xml:space="preserve"> se adujo</w:t>
      </w:r>
      <w:r w:rsidR="00634787" w:rsidRPr="00D60EA5">
        <w:rPr>
          <w:rFonts w:ascii="Arial" w:hAnsi="Arial" w:cs="Arial"/>
          <w:bCs/>
        </w:rPr>
        <w:t xml:space="preserve"> que la </w:t>
      </w:r>
      <w:r w:rsidR="00620CAC" w:rsidRPr="00D60EA5">
        <w:rPr>
          <w:rFonts w:ascii="Arial" w:hAnsi="Arial" w:cs="Arial"/>
          <w:bCs/>
        </w:rPr>
        <w:t>vigencia</w:t>
      </w:r>
      <w:r w:rsidR="00634787" w:rsidRPr="00D60EA5">
        <w:rPr>
          <w:rFonts w:ascii="Arial" w:hAnsi="Arial" w:cs="Arial"/>
          <w:bCs/>
        </w:rPr>
        <w:t xml:space="preserve"> de los contratos</w:t>
      </w:r>
      <w:r w:rsidR="00F776B6" w:rsidRPr="00D60EA5">
        <w:rPr>
          <w:rFonts w:ascii="Arial" w:hAnsi="Arial" w:cs="Arial"/>
          <w:bCs/>
        </w:rPr>
        <w:t xml:space="preserve"> celebrados para la prestación del servicio de salud en el régimen </w:t>
      </w:r>
      <w:proofErr w:type="gramStart"/>
      <w:r w:rsidR="00F776B6" w:rsidRPr="00D60EA5">
        <w:rPr>
          <w:rFonts w:ascii="Arial" w:hAnsi="Arial" w:cs="Arial"/>
          <w:bCs/>
        </w:rPr>
        <w:t>subsidiado,</w:t>
      </w:r>
      <w:proofErr w:type="gramEnd"/>
      <w:r w:rsidR="00620CAC" w:rsidRPr="00D60EA5">
        <w:rPr>
          <w:rFonts w:ascii="Arial" w:hAnsi="Arial" w:cs="Arial"/>
          <w:bCs/>
        </w:rPr>
        <w:t xml:space="preserve"> comprendía el período</w:t>
      </w:r>
      <w:r w:rsidR="00B951AB" w:rsidRPr="00D60EA5">
        <w:rPr>
          <w:rFonts w:ascii="Arial" w:hAnsi="Arial" w:cs="Arial"/>
          <w:bCs/>
        </w:rPr>
        <w:t xml:space="preserve"> </w:t>
      </w:r>
      <w:r w:rsidR="00F776B6" w:rsidRPr="00D60EA5">
        <w:rPr>
          <w:rFonts w:ascii="Arial" w:hAnsi="Arial" w:cs="Arial"/>
          <w:bCs/>
        </w:rPr>
        <w:t>d</w:t>
      </w:r>
      <w:r w:rsidR="007B64D4" w:rsidRPr="00D60EA5">
        <w:rPr>
          <w:rFonts w:ascii="Arial" w:hAnsi="Arial" w:cs="Arial"/>
          <w:bCs/>
        </w:rPr>
        <w:t>el 1</w:t>
      </w:r>
      <w:r w:rsidR="00EF7556" w:rsidRPr="00D60EA5">
        <w:rPr>
          <w:rFonts w:ascii="Arial" w:hAnsi="Arial" w:cs="Arial"/>
          <w:bCs/>
        </w:rPr>
        <w:t>°</w:t>
      </w:r>
      <w:r w:rsidR="007B64D4" w:rsidRPr="00D60EA5">
        <w:rPr>
          <w:rFonts w:ascii="Arial" w:hAnsi="Arial" w:cs="Arial"/>
          <w:bCs/>
        </w:rPr>
        <w:t xml:space="preserve"> de abril a</w:t>
      </w:r>
      <w:r w:rsidR="00620CAC" w:rsidRPr="00D60EA5">
        <w:rPr>
          <w:rFonts w:ascii="Arial" w:hAnsi="Arial" w:cs="Arial"/>
          <w:bCs/>
        </w:rPr>
        <w:t xml:space="preserve">l 31 de marzo del año siguiente, </w:t>
      </w:r>
      <w:r w:rsidR="00B02F4A" w:rsidRPr="00D60EA5">
        <w:rPr>
          <w:rFonts w:ascii="Arial" w:hAnsi="Arial" w:cs="Arial"/>
          <w:bCs/>
        </w:rPr>
        <w:t>por disposición d</w:t>
      </w:r>
      <w:r w:rsidR="00620CAC" w:rsidRPr="00D60EA5">
        <w:rPr>
          <w:rFonts w:ascii="Arial" w:hAnsi="Arial" w:cs="Arial"/>
          <w:bCs/>
        </w:rPr>
        <w:t xml:space="preserve">el Acuerdo 244 de 2003. </w:t>
      </w:r>
    </w:p>
    <w:p w14:paraId="77A52294" w14:textId="77777777" w:rsidR="0003219C" w:rsidRPr="00D60EA5" w:rsidRDefault="0003219C" w:rsidP="00634787">
      <w:pPr>
        <w:spacing w:line="360" w:lineRule="auto"/>
        <w:jc w:val="both"/>
        <w:rPr>
          <w:rFonts w:ascii="Arial" w:hAnsi="Arial" w:cs="Arial"/>
          <w:bCs/>
        </w:rPr>
      </w:pPr>
    </w:p>
    <w:p w14:paraId="61A47D05" w14:textId="77777777" w:rsidR="00685FCB" w:rsidRPr="00D60EA5" w:rsidRDefault="00BA2111" w:rsidP="00634787">
      <w:pPr>
        <w:spacing w:line="360" w:lineRule="auto"/>
        <w:jc w:val="both"/>
        <w:rPr>
          <w:rFonts w:ascii="Arial" w:hAnsi="Arial" w:cs="Arial"/>
        </w:rPr>
      </w:pPr>
      <w:r w:rsidRPr="00D60EA5">
        <w:rPr>
          <w:rFonts w:ascii="Arial" w:hAnsi="Arial" w:cs="Arial"/>
          <w:bCs/>
        </w:rPr>
        <w:t>En el mismo sentido</w:t>
      </w:r>
      <w:r w:rsidR="00685FCB" w:rsidRPr="00D60EA5">
        <w:rPr>
          <w:rFonts w:ascii="Arial" w:hAnsi="Arial" w:cs="Arial"/>
          <w:bCs/>
        </w:rPr>
        <w:t xml:space="preserve">, </w:t>
      </w:r>
      <w:r w:rsidRPr="00D60EA5">
        <w:rPr>
          <w:rFonts w:ascii="Arial" w:hAnsi="Arial" w:cs="Arial"/>
          <w:bCs/>
        </w:rPr>
        <w:t>el Departamento de Antioquia</w:t>
      </w:r>
      <w:r w:rsidR="007B64D4" w:rsidRPr="00D60EA5">
        <w:rPr>
          <w:rFonts w:ascii="Arial" w:hAnsi="Arial" w:cs="Arial"/>
          <w:bCs/>
        </w:rPr>
        <w:t>,</w:t>
      </w:r>
      <w:r w:rsidRPr="00D60EA5">
        <w:rPr>
          <w:rFonts w:ascii="Arial" w:hAnsi="Arial" w:cs="Arial"/>
          <w:bCs/>
        </w:rPr>
        <w:t xml:space="preserve"> al sustentar el recurso de apelación que es objeto de estudio, m</w:t>
      </w:r>
      <w:r w:rsidRPr="00D60EA5">
        <w:rPr>
          <w:rFonts w:ascii="Arial" w:hAnsi="Arial" w:cs="Arial"/>
        </w:rPr>
        <w:t xml:space="preserve">anifestó que por ley la vigencia de los contratos era la señalada en el párrafo anterior y, además, que se exigía la liquidación de cada contrato dentro de los cuatro meses siguientes a la terminación de su vigencia. Frente a este argumento, la parte actora mencionó en </w:t>
      </w:r>
      <w:r w:rsidR="004713D4" w:rsidRPr="00D60EA5">
        <w:rPr>
          <w:rFonts w:ascii="Arial" w:hAnsi="Arial" w:cs="Arial"/>
        </w:rPr>
        <w:t>la</w:t>
      </w:r>
      <w:r w:rsidRPr="00D60EA5">
        <w:rPr>
          <w:rFonts w:ascii="Arial" w:hAnsi="Arial" w:cs="Arial"/>
        </w:rPr>
        <w:t xml:space="preserve"> audiencia inicial </w:t>
      </w:r>
      <w:proofErr w:type="gramStart"/>
      <w:r w:rsidRPr="00D60EA5">
        <w:rPr>
          <w:rFonts w:ascii="Arial" w:hAnsi="Arial" w:cs="Arial"/>
        </w:rPr>
        <w:t>que</w:t>
      </w:r>
      <w:proofErr w:type="gramEnd"/>
      <w:r w:rsidR="003A29C9" w:rsidRPr="00D60EA5">
        <w:rPr>
          <w:rFonts w:ascii="Arial" w:hAnsi="Arial" w:cs="Arial"/>
        </w:rPr>
        <w:t xml:space="preserve"> aunque </w:t>
      </w:r>
      <w:r w:rsidRPr="00D60EA5">
        <w:rPr>
          <w:rFonts w:ascii="Arial" w:hAnsi="Arial" w:cs="Arial"/>
        </w:rPr>
        <w:t>los contratos</w:t>
      </w:r>
      <w:r w:rsidR="003A29C9" w:rsidRPr="00D60EA5">
        <w:rPr>
          <w:rFonts w:ascii="Arial" w:hAnsi="Arial" w:cs="Arial"/>
        </w:rPr>
        <w:t xml:space="preserve"> </w:t>
      </w:r>
      <w:r w:rsidR="004845B4" w:rsidRPr="00D60EA5">
        <w:rPr>
          <w:rFonts w:ascii="Arial" w:hAnsi="Arial" w:cs="Arial"/>
        </w:rPr>
        <w:t xml:space="preserve">en cuestión </w:t>
      </w:r>
      <w:r w:rsidR="003A29C9" w:rsidRPr="00D60EA5">
        <w:rPr>
          <w:rFonts w:ascii="Arial" w:hAnsi="Arial" w:cs="Arial"/>
        </w:rPr>
        <w:t>efectivamente establecieron</w:t>
      </w:r>
      <w:r w:rsidRPr="00D60EA5">
        <w:rPr>
          <w:rFonts w:ascii="Arial" w:hAnsi="Arial" w:cs="Arial"/>
        </w:rPr>
        <w:t xml:space="preserve"> </w:t>
      </w:r>
      <w:r w:rsidR="003A29C9" w:rsidRPr="00D60EA5">
        <w:rPr>
          <w:rFonts w:ascii="Arial" w:hAnsi="Arial" w:cs="Arial"/>
        </w:rPr>
        <w:t>que debían liquidarse dentro de los cuatro meses siguientes a su terminación, ello no ocurrió</w:t>
      </w:r>
      <w:r w:rsidR="00C35BB0" w:rsidRPr="00D60EA5">
        <w:rPr>
          <w:rFonts w:ascii="Arial" w:hAnsi="Arial" w:cs="Arial"/>
        </w:rPr>
        <w:t xml:space="preserve"> porque </w:t>
      </w:r>
      <w:r w:rsidR="003A29C9" w:rsidRPr="00D60EA5">
        <w:rPr>
          <w:rFonts w:ascii="Arial" w:hAnsi="Arial" w:cs="Arial"/>
        </w:rPr>
        <w:t>eran acuerdos continuos</w:t>
      </w:r>
      <w:r w:rsidR="00BD7DE8" w:rsidRPr="00D60EA5">
        <w:rPr>
          <w:rFonts w:ascii="Arial" w:hAnsi="Arial" w:cs="Arial"/>
        </w:rPr>
        <w:t xml:space="preserve"> (min.</w:t>
      </w:r>
      <w:r w:rsidR="003A29C9" w:rsidRPr="00D60EA5">
        <w:rPr>
          <w:rFonts w:ascii="Arial" w:hAnsi="Arial" w:cs="Arial"/>
        </w:rPr>
        <w:t xml:space="preserve"> 36:38</w:t>
      </w:r>
      <w:r w:rsidR="00BD7DE8" w:rsidRPr="00D60EA5">
        <w:rPr>
          <w:rFonts w:ascii="Arial" w:hAnsi="Arial" w:cs="Arial"/>
        </w:rPr>
        <w:t>)</w:t>
      </w:r>
      <w:r w:rsidRPr="00D60EA5">
        <w:rPr>
          <w:rFonts w:ascii="Arial" w:hAnsi="Arial" w:cs="Arial"/>
        </w:rPr>
        <w:t>.</w:t>
      </w:r>
    </w:p>
    <w:p w14:paraId="007DCDA8" w14:textId="77777777" w:rsidR="00BA2111" w:rsidRPr="00D60EA5" w:rsidRDefault="00BA2111" w:rsidP="00634787">
      <w:pPr>
        <w:spacing w:line="360" w:lineRule="auto"/>
        <w:jc w:val="both"/>
        <w:rPr>
          <w:rFonts w:ascii="Arial" w:hAnsi="Arial" w:cs="Arial"/>
        </w:rPr>
      </w:pPr>
    </w:p>
    <w:p w14:paraId="7AB8668D" w14:textId="77777777" w:rsidR="00A26C9B" w:rsidRPr="00D60EA5" w:rsidRDefault="001C3101" w:rsidP="00A26C9B">
      <w:pPr>
        <w:spacing w:line="360" w:lineRule="auto"/>
        <w:jc w:val="both"/>
        <w:rPr>
          <w:rFonts w:ascii="Arial" w:hAnsi="Arial" w:cs="Arial"/>
        </w:rPr>
      </w:pPr>
      <w:bookmarkStart w:id="16" w:name="_Hlk7772171"/>
      <w:r w:rsidRPr="00D60EA5">
        <w:rPr>
          <w:rFonts w:ascii="Arial" w:hAnsi="Arial" w:cs="Arial"/>
          <w:bCs/>
        </w:rPr>
        <w:t xml:space="preserve">Al respecto, </w:t>
      </w:r>
      <w:r w:rsidR="00A9581B" w:rsidRPr="00D60EA5">
        <w:rPr>
          <w:rFonts w:ascii="Arial" w:hAnsi="Arial" w:cs="Arial"/>
          <w:bCs/>
        </w:rPr>
        <w:t>de conformidad con lo dispuesto en los Acuerdos 244 de 2003</w:t>
      </w:r>
      <w:r w:rsidR="0039096D" w:rsidRPr="00D60EA5">
        <w:rPr>
          <w:rStyle w:val="Refdenotaalpie"/>
          <w:rFonts w:ascii="Arial" w:hAnsi="Arial" w:cs="Arial"/>
          <w:bCs/>
        </w:rPr>
        <w:footnoteReference w:id="13"/>
      </w:r>
      <w:r w:rsidR="006C6E3B" w:rsidRPr="00D60EA5">
        <w:rPr>
          <w:rFonts w:ascii="Arial" w:hAnsi="Arial" w:cs="Arial"/>
          <w:bCs/>
        </w:rPr>
        <w:t>,</w:t>
      </w:r>
      <w:r w:rsidR="00A9581B" w:rsidRPr="00D60EA5">
        <w:rPr>
          <w:rFonts w:ascii="Arial" w:hAnsi="Arial" w:cs="Arial"/>
          <w:bCs/>
        </w:rPr>
        <w:t xml:space="preserve"> y 415 de 2009</w:t>
      </w:r>
      <w:r w:rsidR="00A9581B" w:rsidRPr="00D60EA5">
        <w:rPr>
          <w:rStyle w:val="Refdenotaalpie"/>
          <w:rFonts w:ascii="Arial" w:hAnsi="Arial" w:cs="Arial"/>
          <w:bCs/>
        </w:rPr>
        <w:footnoteReference w:id="14"/>
      </w:r>
      <w:r w:rsidR="008061CB" w:rsidRPr="00D60EA5">
        <w:rPr>
          <w:rFonts w:ascii="Arial" w:hAnsi="Arial" w:cs="Arial"/>
          <w:bCs/>
        </w:rPr>
        <w:t xml:space="preserve"> expedidos por el Consejo Nacional de Seguridad Social en Salud,</w:t>
      </w:r>
      <w:r w:rsidRPr="00D60EA5">
        <w:rPr>
          <w:rFonts w:ascii="Arial" w:hAnsi="Arial" w:cs="Arial"/>
          <w:bCs/>
        </w:rPr>
        <w:t xml:space="preserve"> que regulaban el Régimen Subsidiado de Salud para la época de los hechos, el perí</w:t>
      </w:r>
      <w:r w:rsidR="008061CB" w:rsidRPr="00D60EA5">
        <w:rPr>
          <w:rFonts w:ascii="Arial" w:hAnsi="Arial" w:cs="Arial"/>
          <w:bCs/>
        </w:rPr>
        <w:t xml:space="preserve">odo de contratación para </w:t>
      </w:r>
      <w:r w:rsidR="00901939" w:rsidRPr="00D60EA5">
        <w:rPr>
          <w:rFonts w:ascii="Arial" w:hAnsi="Arial" w:cs="Arial"/>
          <w:bCs/>
        </w:rPr>
        <w:t>proveer el aseguramiento de la población afiliada a</w:t>
      </w:r>
      <w:r w:rsidRPr="00D60EA5">
        <w:rPr>
          <w:rFonts w:ascii="Arial" w:hAnsi="Arial" w:cs="Arial"/>
          <w:bCs/>
        </w:rPr>
        <w:t xml:space="preserve"> ese</w:t>
      </w:r>
      <w:r w:rsidR="00901939" w:rsidRPr="00D60EA5">
        <w:rPr>
          <w:rFonts w:ascii="Arial" w:hAnsi="Arial" w:cs="Arial"/>
          <w:bCs/>
        </w:rPr>
        <w:t xml:space="preserve"> régimen era de un</w:t>
      </w:r>
      <w:r w:rsidRPr="00D60EA5">
        <w:rPr>
          <w:rFonts w:ascii="Arial" w:hAnsi="Arial" w:cs="Arial"/>
          <w:bCs/>
        </w:rPr>
        <w:t xml:space="preserve"> (1)</w:t>
      </w:r>
      <w:r w:rsidR="00901939" w:rsidRPr="00D60EA5">
        <w:rPr>
          <w:rFonts w:ascii="Arial" w:hAnsi="Arial" w:cs="Arial"/>
          <w:bCs/>
        </w:rPr>
        <w:t xml:space="preserve"> año, comprendido entre el 1° de abril y el 31 de marzo del año siguiente</w:t>
      </w:r>
      <w:r w:rsidR="00A26C9B" w:rsidRPr="00D60EA5">
        <w:rPr>
          <w:rFonts w:ascii="Arial" w:hAnsi="Arial" w:cs="Arial"/>
          <w:bCs/>
        </w:rPr>
        <w:t>. Esta última disposición, que entró a regir el 29 de mayo de 2009</w:t>
      </w:r>
      <w:r w:rsidR="00E24A87" w:rsidRPr="00D60EA5">
        <w:rPr>
          <w:rFonts w:ascii="Arial" w:hAnsi="Arial" w:cs="Arial"/>
          <w:bCs/>
        </w:rPr>
        <w:t>, disponía</w:t>
      </w:r>
      <w:r w:rsidR="00A26C9B" w:rsidRPr="00D60EA5">
        <w:rPr>
          <w:rFonts w:ascii="Arial" w:hAnsi="Arial" w:cs="Arial"/>
          <w:bCs/>
        </w:rPr>
        <w:t xml:space="preserve"> la obligación de liquidar el contrato dentro de los cuatro meses siguientes </w:t>
      </w:r>
      <w:r w:rsidR="00A26C9B" w:rsidRPr="00D60EA5">
        <w:rPr>
          <w:rFonts w:ascii="Arial" w:hAnsi="Arial" w:cs="Arial"/>
          <w:bCs/>
        </w:rPr>
        <w:lastRenderedPageBreak/>
        <w:t>a su terminación</w:t>
      </w:r>
      <w:r w:rsidR="00EA7413" w:rsidRPr="00D60EA5">
        <w:rPr>
          <w:rStyle w:val="Refdenotaalpie"/>
          <w:rFonts w:ascii="Arial" w:hAnsi="Arial" w:cs="Arial"/>
          <w:bCs/>
        </w:rPr>
        <w:footnoteReference w:id="15"/>
      </w:r>
      <w:r w:rsidR="00A26C9B" w:rsidRPr="00D60EA5">
        <w:rPr>
          <w:rFonts w:ascii="Arial" w:hAnsi="Arial" w:cs="Arial"/>
          <w:bCs/>
        </w:rPr>
        <w:t>; por su parte, el Acuerdo inicial</w:t>
      </w:r>
      <w:r w:rsidR="007B64D4" w:rsidRPr="00D60EA5">
        <w:rPr>
          <w:rFonts w:ascii="Arial" w:hAnsi="Arial" w:cs="Arial"/>
          <w:bCs/>
        </w:rPr>
        <w:t>,</w:t>
      </w:r>
      <w:r w:rsidR="00A26C9B" w:rsidRPr="00D60EA5">
        <w:rPr>
          <w:rFonts w:ascii="Arial" w:hAnsi="Arial" w:cs="Arial"/>
          <w:bCs/>
        </w:rPr>
        <w:t xml:space="preserve"> establecía </w:t>
      </w:r>
      <w:proofErr w:type="gramStart"/>
      <w:r w:rsidR="00A26C9B" w:rsidRPr="00D60EA5">
        <w:rPr>
          <w:rFonts w:ascii="Arial" w:hAnsi="Arial" w:cs="Arial"/>
          <w:bCs/>
        </w:rPr>
        <w:t>que</w:t>
      </w:r>
      <w:proofErr w:type="gramEnd"/>
      <w:r w:rsidR="00A26C9B" w:rsidRPr="00D60EA5">
        <w:rPr>
          <w:rFonts w:ascii="Arial" w:hAnsi="Arial" w:cs="Arial"/>
          <w:bCs/>
        </w:rPr>
        <w:t xml:space="preserve"> a</w:t>
      </w:r>
      <w:r w:rsidR="00A26C9B" w:rsidRPr="00D60EA5">
        <w:rPr>
          <w:rFonts w:ascii="Arial" w:hAnsi="Arial" w:cs="Arial"/>
        </w:rPr>
        <w:t>l finalizar cada anualidad</w:t>
      </w:r>
      <w:r w:rsidR="007B64D4" w:rsidRPr="00D60EA5">
        <w:rPr>
          <w:rFonts w:ascii="Arial" w:hAnsi="Arial" w:cs="Arial"/>
        </w:rPr>
        <w:t>,</w:t>
      </w:r>
      <w:r w:rsidR="00A26C9B" w:rsidRPr="00D60EA5">
        <w:rPr>
          <w:rFonts w:ascii="Arial" w:hAnsi="Arial" w:cs="Arial"/>
        </w:rPr>
        <w:t xml:space="preserve"> se debía efectuar el balance de la operación</w:t>
      </w:r>
      <w:r w:rsidR="007B64D4" w:rsidRPr="00D60EA5">
        <w:rPr>
          <w:rFonts w:ascii="Arial" w:hAnsi="Arial" w:cs="Arial"/>
        </w:rPr>
        <w:t>,</w:t>
      </w:r>
      <w:r w:rsidR="00A26C9B" w:rsidRPr="00D60EA5">
        <w:rPr>
          <w:rFonts w:ascii="Arial" w:hAnsi="Arial" w:cs="Arial"/>
        </w:rPr>
        <w:t xml:space="preserve"> para determinar el cumplimiento de las obligaciones contractuales y la ejecución de los recursos.</w:t>
      </w:r>
    </w:p>
    <w:bookmarkEnd w:id="16"/>
    <w:p w14:paraId="450EA2D7" w14:textId="77777777" w:rsidR="00A26C9B" w:rsidRPr="00D60EA5" w:rsidRDefault="00A26C9B" w:rsidP="00634787">
      <w:pPr>
        <w:spacing w:line="360" w:lineRule="auto"/>
        <w:jc w:val="both"/>
        <w:rPr>
          <w:rFonts w:ascii="Arial" w:hAnsi="Arial" w:cs="Arial"/>
          <w:bCs/>
        </w:rPr>
      </w:pPr>
    </w:p>
    <w:p w14:paraId="7ACD5595" w14:textId="77777777" w:rsidR="00A9581B" w:rsidRPr="00D60EA5" w:rsidRDefault="00E24A87" w:rsidP="00634787">
      <w:pPr>
        <w:spacing w:line="360" w:lineRule="auto"/>
        <w:jc w:val="both"/>
        <w:rPr>
          <w:rFonts w:ascii="Arial" w:hAnsi="Arial" w:cs="Arial"/>
          <w:bCs/>
        </w:rPr>
      </w:pPr>
      <w:r w:rsidRPr="00D60EA5">
        <w:rPr>
          <w:rFonts w:ascii="Arial" w:hAnsi="Arial" w:cs="Arial"/>
          <w:bCs/>
        </w:rPr>
        <w:t>Con base en lo anterior, se colige que n</w:t>
      </w:r>
      <w:r w:rsidR="001C3101" w:rsidRPr="00D60EA5">
        <w:rPr>
          <w:rFonts w:ascii="Arial" w:hAnsi="Arial" w:cs="Arial"/>
          <w:bCs/>
        </w:rPr>
        <w:t>o le asiste razón a la parte actora</w:t>
      </w:r>
      <w:r w:rsidR="007B64D4" w:rsidRPr="00D60EA5">
        <w:rPr>
          <w:rFonts w:ascii="Arial" w:hAnsi="Arial" w:cs="Arial"/>
          <w:bCs/>
        </w:rPr>
        <w:t>,</w:t>
      </w:r>
      <w:r w:rsidR="001C3101" w:rsidRPr="00D60EA5">
        <w:rPr>
          <w:rFonts w:ascii="Arial" w:hAnsi="Arial" w:cs="Arial"/>
          <w:bCs/>
        </w:rPr>
        <w:t xml:space="preserve"> cuando manifiesta que los contratos</w:t>
      </w:r>
      <w:r w:rsidR="004845B4" w:rsidRPr="00D60EA5">
        <w:rPr>
          <w:rFonts w:ascii="Arial" w:hAnsi="Arial" w:cs="Arial"/>
          <w:bCs/>
        </w:rPr>
        <w:t xml:space="preserve"> que suscribió</w:t>
      </w:r>
      <w:r w:rsidR="001C3101" w:rsidRPr="00D60EA5">
        <w:rPr>
          <w:rFonts w:ascii="Arial" w:hAnsi="Arial" w:cs="Arial"/>
          <w:bCs/>
        </w:rPr>
        <w:t xml:space="preserve"> no podían liquidarse porque eran consecutivos, pues</w:t>
      </w:r>
      <w:r w:rsidRPr="00D60EA5">
        <w:rPr>
          <w:rFonts w:ascii="Arial" w:hAnsi="Arial" w:cs="Arial"/>
          <w:bCs/>
        </w:rPr>
        <w:t xml:space="preserve"> la reglamentación de la época exigía, de un lado, que en cada vigencia debía celebrarse un contrato para la prestación del servicio de salud en el régimen subsidiado y, por otro lado, que se debía liquidar el contrato al cabo de su terminación o al menos presentarse un balance sobre la operación.</w:t>
      </w:r>
    </w:p>
    <w:p w14:paraId="3DD355C9" w14:textId="77777777" w:rsidR="00E24A87" w:rsidRPr="00D60EA5" w:rsidRDefault="00E24A87" w:rsidP="00634787">
      <w:pPr>
        <w:spacing w:line="360" w:lineRule="auto"/>
        <w:jc w:val="both"/>
        <w:rPr>
          <w:rFonts w:ascii="Arial" w:hAnsi="Arial" w:cs="Arial"/>
          <w:bCs/>
        </w:rPr>
      </w:pPr>
    </w:p>
    <w:p w14:paraId="3A27D6C3" w14:textId="77777777" w:rsidR="00E24A87" w:rsidRPr="00D60EA5" w:rsidRDefault="008D10E8" w:rsidP="00634787">
      <w:pPr>
        <w:spacing w:line="360" w:lineRule="auto"/>
        <w:jc w:val="both"/>
        <w:rPr>
          <w:rFonts w:ascii="Arial" w:hAnsi="Arial" w:cs="Arial"/>
          <w:bCs/>
        </w:rPr>
      </w:pPr>
      <w:bookmarkStart w:id="18" w:name="_Hlk7772307"/>
      <w:r w:rsidRPr="00D60EA5">
        <w:rPr>
          <w:rFonts w:ascii="Arial" w:hAnsi="Arial" w:cs="Arial"/>
          <w:bCs/>
        </w:rPr>
        <w:t>Con todo, es claro que la parte actora celebró anualmente contratos con los municipios a los que les prestó sus servicios, negocios</w:t>
      </w:r>
      <w:r w:rsidR="00224B97" w:rsidRPr="00D60EA5">
        <w:rPr>
          <w:rFonts w:ascii="Arial" w:hAnsi="Arial" w:cs="Arial"/>
          <w:bCs/>
        </w:rPr>
        <w:t xml:space="preserve"> que se reputan</w:t>
      </w:r>
      <w:r w:rsidRPr="00D60EA5">
        <w:rPr>
          <w:rFonts w:ascii="Arial" w:hAnsi="Arial" w:cs="Arial"/>
          <w:bCs/>
        </w:rPr>
        <w:t xml:space="preserve"> independientes el uno del otro, con obligaciones autónomas</w:t>
      </w:r>
      <w:r w:rsidR="007B64D4" w:rsidRPr="00D60EA5">
        <w:rPr>
          <w:rFonts w:ascii="Arial" w:hAnsi="Arial" w:cs="Arial"/>
          <w:bCs/>
        </w:rPr>
        <w:t>, y</w:t>
      </w:r>
      <w:r w:rsidR="008D7D44" w:rsidRPr="00D60EA5">
        <w:rPr>
          <w:rFonts w:ascii="Arial" w:hAnsi="Arial" w:cs="Arial"/>
          <w:bCs/>
        </w:rPr>
        <w:t xml:space="preserve"> con</w:t>
      </w:r>
      <w:r w:rsidR="00224B97" w:rsidRPr="00D60EA5">
        <w:rPr>
          <w:rFonts w:ascii="Arial" w:hAnsi="Arial" w:cs="Arial"/>
          <w:bCs/>
        </w:rPr>
        <w:t xml:space="preserve"> perí</w:t>
      </w:r>
      <w:r w:rsidRPr="00D60EA5">
        <w:rPr>
          <w:rFonts w:ascii="Arial" w:hAnsi="Arial" w:cs="Arial"/>
          <w:bCs/>
        </w:rPr>
        <w:t xml:space="preserve">odos </w:t>
      </w:r>
      <w:r w:rsidR="00B951AB" w:rsidRPr="00D60EA5">
        <w:rPr>
          <w:rFonts w:ascii="Arial" w:hAnsi="Arial" w:cs="Arial"/>
          <w:bCs/>
        </w:rPr>
        <w:t>de vigencia y precios distintos; adicionalmente, estos contratos estaban sujetos a liquidación</w:t>
      </w:r>
      <w:r w:rsidR="00046E6F" w:rsidRPr="00D60EA5">
        <w:rPr>
          <w:rFonts w:ascii="Arial" w:hAnsi="Arial" w:cs="Arial"/>
          <w:bCs/>
        </w:rPr>
        <w:t xml:space="preserve"> por disposición reglamentaria, frente a lo cual</w:t>
      </w:r>
      <w:r w:rsidR="00EA7413" w:rsidRPr="00D60EA5">
        <w:rPr>
          <w:rFonts w:ascii="Arial" w:hAnsi="Arial" w:cs="Arial"/>
          <w:bCs/>
        </w:rPr>
        <w:t>,</w:t>
      </w:r>
      <w:r w:rsidR="00046E6F" w:rsidRPr="00D60EA5">
        <w:rPr>
          <w:rFonts w:ascii="Arial" w:hAnsi="Arial" w:cs="Arial"/>
          <w:bCs/>
        </w:rPr>
        <w:t xml:space="preserve"> las partes en los contratos aportados al proceso, pactaron que se haría </w:t>
      </w:r>
      <w:r w:rsidR="008A277F" w:rsidRPr="00D60EA5">
        <w:rPr>
          <w:rFonts w:ascii="Arial" w:hAnsi="Arial" w:cs="Arial"/>
          <w:bCs/>
        </w:rPr>
        <w:t>en la form</w:t>
      </w:r>
      <w:r w:rsidR="008D7D44" w:rsidRPr="00D60EA5">
        <w:rPr>
          <w:rFonts w:ascii="Arial" w:hAnsi="Arial" w:cs="Arial"/>
          <w:bCs/>
        </w:rPr>
        <w:t>a dispuesta por la</w:t>
      </w:r>
      <w:r w:rsidR="00EA7413" w:rsidRPr="00D60EA5">
        <w:rPr>
          <w:rFonts w:ascii="Arial" w:hAnsi="Arial" w:cs="Arial"/>
          <w:bCs/>
        </w:rPr>
        <w:t>s</w:t>
      </w:r>
      <w:r w:rsidR="008D7D44" w:rsidRPr="00D60EA5">
        <w:rPr>
          <w:rFonts w:ascii="Arial" w:hAnsi="Arial" w:cs="Arial"/>
          <w:bCs/>
        </w:rPr>
        <w:t xml:space="preserve"> Ley</w:t>
      </w:r>
      <w:r w:rsidR="00EA7413" w:rsidRPr="00D60EA5">
        <w:rPr>
          <w:rFonts w:ascii="Arial" w:hAnsi="Arial" w:cs="Arial"/>
          <w:bCs/>
        </w:rPr>
        <w:t>es</w:t>
      </w:r>
      <w:r w:rsidR="008D7D44" w:rsidRPr="00D60EA5">
        <w:rPr>
          <w:rFonts w:ascii="Arial" w:hAnsi="Arial" w:cs="Arial"/>
          <w:bCs/>
        </w:rPr>
        <w:t xml:space="preserve"> 80 de 199</w:t>
      </w:r>
      <w:r w:rsidR="008A277F" w:rsidRPr="00D60EA5">
        <w:rPr>
          <w:rFonts w:ascii="Arial" w:hAnsi="Arial" w:cs="Arial"/>
          <w:bCs/>
        </w:rPr>
        <w:t xml:space="preserve">3 Ley 1150 de 2007, esto es, </w:t>
      </w:r>
      <w:r w:rsidR="00046E6F" w:rsidRPr="00D60EA5">
        <w:rPr>
          <w:rFonts w:ascii="Arial" w:hAnsi="Arial" w:cs="Arial"/>
          <w:bCs/>
        </w:rPr>
        <w:t>de mutuo acuerdo</w:t>
      </w:r>
      <w:r w:rsidR="00EA7413" w:rsidRPr="00D60EA5">
        <w:rPr>
          <w:rFonts w:ascii="Arial" w:hAnsi="Arial" w:cs="Arial"/>
          <w:bCs/>
        </w:rPr>
        <w:t>,</w:t>
      </w:r>
      <w:r w:rsidR="00046E6F" w:rsidRPr="00D60EA5">
        <w:rPr>
          <w:rFonts w:ascii="Arial" w:hAnsi="Arial" w:cs="Arial"/>
          <w:bCs/>
        </w:rPr>
        <w:t xml:space="preserve"> dentro de</w:t>
      </w:r>
      <w:r w:rsidR="00B951AB" w:rsidRPr="00D60EA5">
        <w:rPr>
          <w:rFonts w:ascii="Arial" w:hAnsi="Arial" w:cs="Arial"/>
          <w:bCs/>
        </w:rPr>
        <w:t xml:space="preserve"> </w:t>
      </w:r>
      <w:r w:rsidR="00046E6F" w:rsidRPr="00D60EA5">
        <w:rPr>
          <w:rFonts w:ascii="Arial" w:hAnsi="Arial" w:cs="Arial"/>
          <w:bCs/>
        </w:rPr>
        <w:t>los cuatro meses siguientes a la</w:t>
      </w:r>
      <w:r w:rsidR="00B951AB" w:rsidRPr="00D60EA5">
        <w:rPr>
          <w:rFonts w:ascii="Arial" w:hAnsi="Arial" w:cs="Arial"/>
          <w:bCs/>
        </w:rPr>
        <w:t xml:space="preserve"> finalización</w:t>
      </w:r>
      <w:r w:rsidR="00046E6F" w:rsidRPr="00D60EA5">
        <w:rPr>
          <w:rFonts w:ascii="Arial" w:hAnsi="Arial" w:cs="Arial"/>
          <w:bCs/>
        </w:rPr>
        <w:t xml:space="preserve"> del contrato</w:t>
      </w:r>
      <w:r w:rsidR="00EA7413" w:rsidRPr="00D60EA5">
        <w:rPr>
          <w:rFonts w:ascii="Arial" w:hAnsi="Arial" w:cs="Arial"/>
          <w:bCs/>
        </w:rPr>
        <w:t>,</w:t>
      </w:r>
      <w:r w:rsidR="00046E6F" w:rsidRPr="00D60EA5">
        <w:rPr>
          <w:rFonts w:ascii="Arial" w:hAnsi="Arial" w:cs="Arial"/>
          <w:bCs/>
        </w:rPr>
        <w:t xml:space="preserve"> o unilateralmente por parte del contratante</w:t>
      </w:r>
      <w:r w:rsidR="00EA7413" w:rsidRPr="00D60EA5">
        <w:rPr>
          <w:rFonts w:ascii="Arial" w:hAnsi="Arial" w:cs="Arial"/>
          <w:bCs/>
        </w:rPr>
        <w:t>,</w:t>
      </w:r>
      <w:r w:rsidR="008A277F" w:rsidRPr="00D60EA5">
        <w:rPr>
          <w:rFonts w:ascii="Arial" w:hAnsi="Arial" w:cs="Arial"/>
          <w:bCs/>
        </w:rPr>
        <w:t xml:space="preserve"> en los dos meses subsiguientes</w:t>
      </w:r>
      <w:r w:rsidR="00046E6F" w:rsidRPr="00D60EA5">
        <w:rPr>
          <w:rFonts w:ascii="Arial" w:hAnsi="Arial" w:cs="Arial"/>
          <w:bCs/>
        </w:rPr>
        <w:t xml:space="preserve"> </w:t>
      </w:r>
      <w:bookmarkEnd w:id="18"/>
      <w:r w:rsidR="008A277F" w:rsidRPr="00D60EA5">
        <w:rPr>
          <w:rFonts w:ascii="Arial" w:hAnsi="Arial" w:cs="Arial"/>
          <w:bCs/>
        </w:rPr>
        <w:t xml:space="preserve">(CD anexos a </w:t>
      </w:r>
      <w:proofErr w:type="spellStart"/>
      <w:r w:rsidR="008A277F" w:rsidRPr="00D60EA5">
        <w:rPr>
          <w:rFonts w:ascii="Arial" w:hAnsi="Arial" w:cs="Arial"/>
          <w:bCs/>
        </w:rPr>
        <w:t>fls</w:t>
      </w:r>
      <w:proofErr w:type="spellEnd"/>
      <w:r w:rsidR="008A277F" w:rsidRPr="00D60EA5">
        <w:rPr>
          <w:rFonts w:ascii="Arial" w:hAnsi="Arial" w:cs="Arial"/>
          <w:bCs/>
        </w:rPr>
        <w:t xml:space="preserve">. 45 y 128 c. </w:t>
      </w:r>
      <w:proofErr w:type="spellStart"/>
      <w:r w:rsidR="008A277F" w:rsidRPr="00D60EA5">
        <w:rPr>
          <w:rFonts w:ascii="Arial" w:hAnsi="Arial" w:cs="Arial"/>
          <w:bCs/>
        </w:rPr>
        <w:t>n.°</w:t>
      </w:r>
      <w:proofErr w:type="spellEnd"/>
      <w:r w:rsidR="008A277F" w:rsidRPr="00D60EA5">
        <w:rPr>
          <w:rFonts w:ascii="Arial" w:hAnsi="Arial" w:cs="Arial"/>
          <w:bCs/>
        </w:rPr>
        <w:t xml:space="preserve"> 1).</w:t>
      </w:r>
    </w:p>
    <w:p w14:paraId="1A81F0B1" w14:textId="77777777" w:rsidR="00356632" w:rsidRPr="00D60EA5" w:rsidRDefault="00356632" w:rsidP="008F446C">
      <w:pPr>
        <w:spacing w:line="360" w:lineRule="auto"/>
        <w:jc w:val="both"/>
        <w:rPr>
          <w:rFonts w:ascii="Arial" w:hAnsi="Arial" w:cs="Arial"/>
          <w:bCs/>
        </w:rPr>
      </w:pPr>
    </w:p>
    <w:p w14:paraId="504E0010" w14:textId="77777777" w:rsidR="00373F5A" w:rsidRPr="00D60EA5" w:rsidRDefault="00373F5A" w:rsidP="008F446C">
      <w:pPr>
        <w:spacing w:line="360" w:lineRule="auto"/>
        <w:jc w:val="both"/>
        <w:rPr>
          <w:rFonts w:ascii="Arial" w:hAnsi="Arial" w:cs="Arial"/>
          <w:bCs/>
        </w:rPr>
      </w:pPr>
      <w:r w:rsidRPr="00D60EA5">
        <w:rPr>
          <w:rFonts w:ascii="Arial" w:hAnsi="Arial" w:cs="Arial"/>
          <w:bCs/>
        </w:rPr>
        <w:t xml:space="preserve">Se aclara </w:t>
      </w:r>
      <w:proofErr w:type="gramStart"/>
      <w:r w:rsidRPr="00D60EA5">
        <w:rPr>
          <w:rFonts w:ascii="Arial" w:hAnsi="Arial" w:cs="Arial"/>
          <w:bCs/>
        </w:rPr>
        <w:t>que</w:t>
      </w:r>
      <w:proofErr w:type="gramEnd"/>
      <w:r w:rsidRPr="00D60EA5">
        <w:rPr>
          <w:rFonts w:ascii="Arial" w:hAnsi="Arial" w:cs="Arial"/>
          <w:bCs/>
        </w:rPr>
        <w:t xml:space="preserve"> a</w:t>
      </w:r>
      <w:r w:rsidR="001C2D3A" w:rsidRPr="00D60EA5">
        <w:rPr>
          <w:rFonts w:ascii="Arial" w:hAnsi="Arial" w:cs="Arial"/>
          <w:bCs/>
        </w:rPr>
        <w:t>unque la parte actora</w:t>
      </w:r>
      <w:r w:rsidRPr="00D60EA5">
        <w:rPr>
          <w:rFonts w:ascii="Arial" w:hAnsi="Arial" w:cs="Arial"/>
          <w:bCs/>
        </w:rPr>
        <w:t>, para una misma anualidad, celebró más de un contrato</w:t>
      </w:r>
      <w:r w:rsidR="00D52A8F" w:rsidRPr="00D60EA5">
        <w:rPr>
          <w:rStyle w:val="Refdenotaalpie"/>
          <w:rFonts w:ascii="Arial" w:hAnsi="Arial" w:cs="Arial"/>
          <w:bCs/>
        </w:rPr>
        <w:footnoteReference w:id="16"/>
      </w:r>
      <w:r w:rsidRPr="00D60EA5">
        <w:rPr>
          <w:rFonts w:ascii="Arial" w:hAnsi="Arial" w:cs="Arial"/>
          <w:bCs/>
        </w:rPr>
        <w:t xml:space="preserve"> </w:t>
      </w:r>
      <w:r w:rsidR="001C2D3A" w:rsidRPr="00D60EA5">
        <w:rPr>
          <w:rFonts w:ascii="Arial" w:hAnsi="Arial" w:cs="Arial"/>
          <w:bCs/>
        </w:rPr>
        <w:t>con algunos municipios con el</w:t>
      </w:r>
      <w:r w:rsidR="00FA6C85" w:rsidRPr="00D60EA5">
        <w:rPr>
          <w:rFonts w:ascii="Arial" w:hAnsi="Arial" w:cs="Arial"/>
          <w:bCs/>
        </w:rPr>
        <w:t xml:space="preserve"> mismo objeto -</w:t>
      </w:r>
      <w:r w:rsidR="001C2D3A" w:rsidRPr="00D60EA5">
        <w:rPr>
          <w:rFonts w:ascii="Arial" w:hAnsi="Arial" w:cs="Arial"/>
          <w:bCs/>
          <w:i/>
        </w:rPr>
        <w:t>prestar</w:t>
      </w:r>
      <w:r w:rsidRPr="00D60EA5">
        <w:rPr>
          <w:rFonts w:ascii="Arial" w:hAnsi="Arial" w:cs="Arial"/>
          <w:bCs/>
          <w:i/>
        </w:rPr>
        <w:t xml:space="preserve"> el servicio de salud en el régimen subsidiado</w:t>
      </w:r>
      <w:r w:rsidR="00FA6C85" w:rsidRPr="00D60EA5">
        <w:rPr>
          <w:rFonts w:ascii="Arial" w:hAnsi="Arial" w:cs="Arial"/>
          <w:bCs/>
          <w:i/>
        </w:rPr>
        <w:t>-</w:t>
      </w:r>
      <w:r w:rsidRPr="00D60EA5">
        <w:rPr>
          <w:rFonts w:ascii="Arial" w:hAnsi="Arial" w:cs="Arial"/>
          <w:bCs/>
        </w:rPr>
        <w:t xml:space="preserve">, debido a que el número de población atendida se segregó </w:t>
      </w:r>
      <w:r w:rsidR="001C2D3A" w:rsidRPr="00D60EA5">
        <w:rPr>
          <w:rFonts w:ascii="Arial" w:hAnsi="Arial" w:cs="Arial"/>
          <w:bCs/>
        </w:rPr>
        <w:t>pese a que</w:t>
      </w:r>
      <w:r w:rsidR="004D08B0" w:rsidRPr="00D60EA5">
        <w:rPr>
          <w:rFonts w:ascii="Arial" w:hAnsi="Arial" w:cs="Arial"/>
          <w:bCs/>
        </w:rPr>
        <w:t xml:space="preserve"> pertenecía</w:t>
      </w:r>
      <w:r w:rsidRPr="00D60EA5">
        <w:rPr>
          <w:rFonts w:ascii="Arial" w:hAnsi="Arial" w:cs="Arial"/>
          <w:bCs/>
        </w:rPr>
        <w:t xml:space="preserve"> al mismo ente territorial, la vigencia de los negocios jurídicos en todo</w:t>
      </w:r>
      <w:r w:rsidR="001C2D3A" w:rsidRPr="00D60EA5">
        <w:rPr>
          <w:rFonts w:ascii="Arial" w:hAnsi="Arial" w:cs="Arial"/>
          <w:bCs/>
        </w:rPr>
        <w:t xml:space="preserve"> caso fue</w:t>
      </w:r>
      <w:r w:rsidRPr="00D60EA5">
        <w:rPr>
          <w:rFonts w:ascii="Arial" w:hAnsi="Arial" w:cs="Arial"/>
          <w:bCs/>
        </w:rPr>
        <w:t xml:space="preserve"> la misma, </w:t>
      </w:r>
      <w:r w:rsidR="0092766E" w:rsidRPr="00D60EA5">
        <w:rPr>
          <w:rFonts w:ascii="Arial" w:hAnsi="Arial" w:cs="Arial"/>
          <w:bCs/>
        </w:rPr>
        <w:t>de acuerdo con lo establecido por</w:t>
      </w:r>
      <w:r w:rsidRPr="00D60EA5">
        <w:rPr>
          <w:rFonts w:ascii="Arial" w:hAnsi="Arial" w:cs="Arial"/>
          <w:bCs/>
        </w:rPr>
        <w:t xml:space="preserve"> la reglamentación </w:t>
      </w:r>
      <w:r w:rsidR="0092766E" w:rsidRPr="00D60EA5">
        <w:rPr>
          <w:rFonts w:ascii="Arial" w:hAnsi="Arial" w:cs="Arial"/>
          <w:bCs/>
        </w:rPr>
        <w:t xml:space="preserve">imperante </w:t>
      </w:r>
      <w:r w:rsidRPr="00D60EA5">
        <w:rPr>
          <w:rFonts w:ascii="Arial" w:hAnsi="Arial" w:cs="Arial"/>
          <w:bCs/>
        </w:rPr>
        <w:t>en la época.</w:t>
      </w:r>
    </w:p>
    <w:p w14:paraId="717AAFBA" w14:textId="77777777" w:rsidR="00373F5A" w:rsidRPr="00D60EA5" w:rsidRDefault="00373F5A" w:rsidP="008F446C">
      <w:pPr>
        <w:spacing w:line="360" w:lineRule="auto"/>
        <w:jc w:val="both"/>
        <w:rPr>
          <w:rFonts w:ascii="Arial" w:hAnsi="Arial" w:cs="Arial"/>
          <w:bCs/>
        </w:rPr>
      </w:pPr>
    </w:p>
    <w:p w14:paraId="660ED0D0" w14:textId="77777777" w:rsidR="00EA7413" w:rsidRPr="00D60EA5" w:rsidRDefault="00EA7413" w:rsidP="00EA7413">
      <w:pPr>
        <w:spacing w:line="360" w:lineRule="auto"/>
        <w:jc w:val="both"/>
        <w:rPr>
          <w:rFonts w:ascii="Arial" w:hAnsi="Arial" w:cs="Arial"/>
          <w:bCs/>
        </w:rPr>
      </w:pPr>
      <w:r w:rsidRPr="00D60EA5">
        <w:rPr>
          <w:rFonts w:ascii="Arial" w:hAnsi="Arial" w:cs="Arial"/>
          <w:bCs/>
        </w:rPr>
        <w:t>A</w:t>
      </w:r>
      <w:r w:rsidR="008B0969" w:rsidRPr="00D60EA5">
        <w:rPr>
          <w:rFonts w:ascii="Arial" w:hAnsi="Arial" w:cs="Arial"/>
          <w:bCs/>
        </w:rPr>
        <w:t>dvierte la Sala que, a pesar de que</w:t>
      </w:r>
      <w:r w:rsidRPr="00D60EA5">
        <w:rPr>
          <w:rFonts w:ascii="Arial" w:hAnsi="Arial" w:cs="Arial"/>
          <w:bCs/>
        </w:rPr>
        <w:t xml:space="preserve"> los contratos en cuestión se pactó la facultad de los e</w:t>
      </w:r>
      <w:r w:rsidR="008B0969" w:rsidRPr="00D60EA5">
        <w:rPr>
          <w:rFonts w:ascii="Arial" w:hAnsi="Arial" w:cs="Arial"/>
          <w:bCs/>
        </w:rPr>
        <w:t>ntes territoriales contratantes</w:t>
      </w:r>
      <w:r w:rsidRPr="00D60EA5">
        <w:rPr>
          <w:rFonts w:ascii="Arial" w:hAnsi="Arial" w:cs="Arial"/>
          <w:bCs/>
        </w:rPr>
        <w:t xml:space="preserve"> de liquidar unilateralmente los acuerdos, pese a que el régimen jurídico aplicable a esos negocios jurídicos era el privado, el </w:t>
      </w:r>
      <w:r w:rsidRPr="00D60EA5">
        <w:rPr>
          <w:rFonts w:ascii="Arial" w:hAnsi="Arial" w:cs="Arial"/>
          <w:bCs/>
        </w:rPr>
        <w:lastRenderedPageBreak/>
        <w:t>Despacho tendrá en cuenta, para efectos de contabilizar la caducidad, los plazos de liquidación acordados por las partes en los contratos.</w:t>
      </w:r>
      <w:r w:rsidR="008B0969" w:rsidRPr="00D60EA5">
        <w:rPr>
          <w:rStyle w:val="Refdenotaalpie"/>
          <w:rFonts w:ascii="Arial" w:hAnsi="Arial" w:cs="Arial"/>
          <w:bCs/>
        </w:rPr>
        <w:t xml:space="preserve"> </w:t>
      </w:r>
    </w:p>
    <w:p w14:paraId="56EE48EE" w14:textId="77777777" w:rsidR="00EA7413" w:rsidRPr="00D60EA5" w:rsidRDefault="00EA7413" w:rsidP="008F446C">
      <w:pPr>
        <w:spacing w:line="360" w:lineRule="auto"/>
        <w:jc w:val="both"/>
        <w:rPr>
          <w:rFonts w:ascii="Arial" w:hAnsi="Arial" w:cs="Arial"/>
          <w:bCs/>
        </w:rPr>
      </w:pPr>
    </w:p>
    <w:p w14:paraId="42EE4C31" w14:textId="77777777" w:rsidR="00EA7413" w:rsidRPr="00D60EA5" w:rsidRDefault="00EA7413" w:rsidP="00EA7413">
      <w:pPr>
        <w:pStyle w:val="NormalWeb"/>
        <w:spacing w:before="0" w:beforeAutospacing="0" w:after="0" w:afterAutospacing="0" w:line="360" w:lineRule="auto"/>
        <w:ind w:right="51"/>
        <w:jc w:val="both"/>
        <w:rPr>
          <w:rFonts w:ascii="Arial" w:hAnsi="Arial" w:cs="Arial"/>
          <w:bCs/>
        </w:rPr>
      </w:pPr>
      <w:bookmarkStart w:id="19" w:name="_Hlk7772370"/>
      <w:r w:rsidRPr="00D60EA5">
        <w:rPr>
          <w:rFonts w:ascii="Arial" w:hAnsi="Arial" w:cs="Arial"/>
          <w:bCs/>
        </w:rPr>
        <w:t>En ese orden de ideas, como se trata de contratos independientes, que debían ser liquidados, se aplicará la regla de caducidad de los dos (2) años dispuesta en el numeral v) del literal j) del artículo 164 del CPACA, respecto de cada vigencia contractual,</w:t>
      </w:r>
      <w:bookmarkEnd w:id="19"/>
      <w:r w:rsidRPr="00D60EA5">
        <w:rPr>
          <w:rFonts w:ascii="Arial" w:hAnsi="Arial" w:cs="Arial"/>
          <w:bCs/>
        </w:rPr>
        <w:t xml:space="preserve"> así:</w:t>
      </w:r>
    </w:p>
    <w:p w14:paraId="2908EB2C" w14:textId="77777777" w:rsidR="008A277F" w:rsidRPr="00D60EA5" w:rsidRDefault="008A277F" w:rsidP="007230A3">
      <w:pPr>
        <w:pStyle w:val="NormalWeb"/>
        <w:spacing w:before="0" w:beforeAutospacing="0" w:after="0" w:afterAutospacing="0" w:line="360" w:lineRule="auto"/>
        <w:ind w:right="51"/>
        <w:jc w:val="both"/>
        <w:rPr>
          <w:rFonts w:ascii="Arial" w:hAnsi="Arial" w:cs="Arial"/>
          <w:bCs/>
        </w:rPr>
      </w:pPr>
    </w:p>
    <w:tbl>
      <w:tblPr>
        <w:tblStyle w:val="Tablaconcuadrcula"/>
        <w:tblW w:w="0" w:type="auto"/>
        <w:jc w:val="center"/>
        <w:tblLook w:val="04A0" w:firstRow="1" w:lastRow="0" w:firstColumn="1" w:lastColumn="0" w:noHBand="0" w:noVBand="1"/>
      </w:tblPr>
      <w:tblGrid>
        <w:gridCol w:w="1641"/>
        <w:gridCol w:w="1827"/>
        <w:gridCol w:w="1827"/>
        <w:gridCol w:w="1827"/>
        <w:gridCol w:w="1708"/>
      </w:tblGrid>
      <w:tr w:rsidR="008A277F" w:rsidRPr="00D60EA5" w14:paraId="23388084" w14:textId="77777777" w:rsidTr="00877B94">
        <w:trPr>
          <w:jc w:val="center"/>
        </w:trPr>
        <w:tc>
          <w:tcPr>
            <w:tcW w:w="0" w:type="auto"/>
            <w:vAlign w:val="center"/>
          </w:tcPr>
          <w:p w14:paraId="378963EF" w14:textId="77777777" w:rsidR="008A277F" w:rsidRPr="00D60EA5" w:rsidRDefault="008A277F" w:rsidP="00877B94">
            <w:pPr>
              <w:pStyle w:val="NormalWeb"/>
              <w:tabs>
                <w:tab w:val="left" w:pos="1134"/>
                <w:tab w:val="left" w:pos="1593"/>
              </w:tabs>
              <w:spacing w:before="0" w:beforeAutospacing="0" w:after="0" w:afterAutospacing="0" w:line="276" w:lineRule="auto"/>
              <w:ind w:right="317"/>
              <w:rPr>
                <w:rFonts w:ascii="Arial" w:hAnsi="Arial" w:cs="Arial"/>
                <w:b/>
                <w:bCs/>
              </w:rPr>
            </w:pPr>
            <w:r w:rsidRPr="00D60EA5">
              <w:rPr>
                <w:rFonts w:ascii="Arial" w:hAnsi="Arial" w:cs="Arial"/>
                <w:b/>
                <w:bCs/>
              </w:rPr>
              <w:t>V</w:t>
            </w:r>
            <w:r w:rsidR="00956367" w:rsidRPr="00D60EA5">
              <w:rPr>
                <w:rFonts w:ascii="Arial" w:hAnsi="Arial" w:cs="Arial"/>
                <w:b/>
                <w:bCs/>
              </w:rPr>
              <w:t>igencia contractual</w:t>
            </w:r>
          </w:p>
        </w:tc>
        <w:tc>
          <w:tcPr>
            <w:tcW w:w="0" w:type="auto"/>
            <w:vAlign w:val="center"/>
          </w:tcPr>
          <w:p w14:paraId="3E59C9D2" w14:textId="77777777" w:rsidR="008A277F" w:rsidRPr="00D60EA5" w:rsidRDefault="00956367" w:rsidP="00877B94">
            <w:pPr>
              <w:pStyle w:val="NormalWeb"/>
              <w:tabs>
                <w:tab w:val="left" w:pos="1371"/>
              </w:tabs>
              <w:spacing w:before="0" w:beforeAutospacing="0" w:after="0" w:afterAutospacing="0" w:line="276" w:lineRule="auto"/>
              <w:ind w:right="130"/>
              <w:rPr>
                <w:rFonts w:ascii="Arial" w:hAnsi="Arial" w:cs="Arial"/>
                <w:b/>
                <w:bCs/>
              </w:rPr>
            </w:pPr>
            <w:r w:rsidRPr="00D60EA5">
              <w:rPr>
                <w:rFonts w:ascii="Arial" w:hAnsi="Arial" w:cs="Arial"/>
                <w:b/>
                <w:bCs/>
              </w:rPr>
              <w:t>F</w:t>
            </w:r>
            <w:r w:rsidR="008A277F" w:rsidRPr="00D60EA5">
              <w:rPr>
                <w:rFonts w:ascii="Arial" w:hAnsi="Arial" w:cs="Arial"/>
                <w:b/>
                <w:bCs/>
              </w:rPr>
              <w:t>echa de terminación</w:t>
            </w:r>
          </w:p>
        </w:tc>
        <w:tc>
          <w:tcPr>
            <w:tcW w:w="0" w:type="auto"/>
            <w:vAlign w:val="center"/>
          </w:tcPr>
          <w:p w14:paraId="2A2A3AE7" w14:textId="77777777" w:rsidR="008A277F" w:rsidRPr="00D60EA5" w:rsidRDefault="00956367" w:rsidP="00877B94">
            <w:pPr>
              <w:pStyle w:val="NormalWeb"/>
              <w:spacing w:before="0" w:beforeAutospacing="0" w:after="0" w:afterAutospacing="0" w:line="276" w:lineRule="auto"/>
              <w:ind w:right="45"/>
              <w:rPr>
                <w:rFonts w:ascii="Arial" w:hAnsi="Arial" w:cs="Arial"/>
                <w:b/>
                <w:bCs/>
              </w:rPr>
            </w:pPr>
            <w:r w:rsidRPr="00D60EA5">
              <w:rPr>
                <w:rFonts w:ascii="Arial" w:hAnsi="Arial" w:cs="Arial"/>
                <w:b/>
                <w:bCs/>
              </w:rPr>
              <w:t>P</w:t>
            </w:r>
            <w:r w:rsidR="008A277F" w:rsidRPr="00D60EA5">
              <w:rPr>
                <w:rFonts w:ascii="Arial" w:hAnsi="Arial" w:cs="Arial"/>
                <w:b/>
                <w:bCs/>
              </w:rPr>
              <w:t>lazo para liquidación bilateral</w:t>
            </w:r>
          </w:p>
        </w:tc>
        <w:tc>
          <w:tcPr>
            <w:tcW w:w="0" w:type="auto"/>
            <w:vAlign w:val="center"/>
          </w:tcPr>
          <w:p w14:paraId="1F44D601" w14:textId="77777777" w:rsidR="008A277F" w:rsidRPr="00D60EA5" w:rsidRDefault="00956367" w:rsidP="00877B94">
            <w:pPr>
              <w:pStyle w:val="NormalWeb"/>
              <w:spacing w:before="0" w:beforeAutospacing="0" w:after="0" w:afterAutospacing="0" w:line="276" w:lineRule="auto"/>
              <w:ind w:right="56"/>
              <w:rPr>
                <w:rFonts w:ascii="Arial" w:hAnsi="Arial" w:cs="Arial"/>
                <w:b/>
                <w:bCs/>
              </w:rPr>
            </w:pPr>
            <w:r w:rsidRPr="00D60EA5">
              <w:rPr>
                <w:rFonts w:ascii="Arial" w:hAnsi="Arial" w:cs="Arial"/>
                <w:b/>
                <w:bCs/>
              </w:rPr>
              <w:t>P</w:t>
            </w:r>
            <w:r w:rsidR="008A277F" w:rsidRPr="00D60EA5">
              <w:rPr>
                <w:rFonts w:ascii="Arial" w:hAnsi="Arial" w:cs="Arial"/>
                <w:b/>
                <w:bCs/>
              </w:rPr>
              <w:t>lazo para liquidación unilateral</w:t>
            </w:r>
          </w:p>
        </w:tc>
        <w:tc>
          <w:tcPr>
            <w:tcW w:w="0" w:type="auto"/>
            <w:vAlign w:val="center"/>
          </w:tcPr>
          <w:p w14:paraId="127A50D2" w14:textId="77777777" w:rsidR="008A277F" w:rsidRPr="00D60EA5" w:rsidRDefault="00956367" w:rsidP="00877B94">
            <w:pPr>
              <w:pStyle w:val="NormalWeb"/>
              <w:tabs>
                <w:tab w:val="left" w:pos="1854"/>
              </w:tabs>
              <w:spacing w:before="0" w:beforeAutospacing="0" w:after="0" w:afterAutospacing="0" w:line="276" w:lineRule="auto"/>
              <w:ind w:right="45"/>
              <w:rPr>
                <w:rFonts w:ascii="Arial" w:hAnsi="Arial" w:cs="Arial"/>
                <w:b/>
                <w:bCs/>
              </w:rPr>
            </w:pPr>
            <w:r w:rsidRPr="00D60EA5">
              <w:rPr>
                <w:rFonts w:ascii="Arial" w:hAnsi="Arial" w:cs="Arial"/>
                <w:b/>
                <w:bCs/>
              </w:rPr>
              <w:t>Caducidad</w:t>
            </w:r>
          </w:p>
        </w:tc>
      </w:tr>
      <w:tr w:rsidR="008A277F" w:rsidRPr="00D60EA5" w14:paraId="1CD58E82" w14:textId="77777777" w:rsidTr="00877B94">
        <w:trPr>
          <w:jc w:val="center"/>
        </w:trPr>
        <w:tc>
          <w:tcPr>
            <w:tcW w:w="0" w:type="auto"/>
            <w:vAlign w:val="center"/>
          </w:tcPr>
          <w:p w14:paraId="5A72E1BA" w14:textId="77777777" w:rsidR="008A277F" w:rsidRPr="00D60EA5" w:rsidRDefault="00956367" w:rsidP="00877B94">
            <w:pPr>
              <w:pStyle w:val="NormalWeb"/>
              <w:tabs>
                <w:tab w:val="left" w:pos="1134"/>
              </w:tabs>
              <w:spacing w:before="0" w:beforeAutospacing="0" w:after="0" w:afterAutospacing="0" w:line="276" w:lineRule="auto"/>
              <w:ind w:right="317"/>
              <w:rPr>
                <w:rFonts w:ascii="Arial" w:hAnsi="Arial" w:cs="Arial"/>
                <w:bCs/>
              </w:rPr>
            </w:pPr>
            <w:r w:rsidRPr="00D60EA5">
              <w:rPr>
                <w:rFonts w:ascii="Arial" w:hAnsi="Arial" w:cs="Arial"/>
                <w:bCs/>
              </w:rPr>
              <w:t>2008-2009</w:t>
            </w:r>
          </w:p>
        </w:tc>
        <w:tc>
          <w:tcPr>
            <w:tcW w:w="0" w:type="auto"/>
            <w:vAlign w:val="center"/>
          </w:tcPr>
          <w:p w14:paraId="6706BD26" w14:textId="77777777" w:rsidR="008A277F" w:rsidRPr="00D60EA5" w:rsidRDefault="009E7DD7" w:rsidP="00877B94">
            <w:pPr>
              <w:pStyle w:val="NormalWeb"/>
              <w:tabs>
                <w:tab w:val="left" w:pos="1371"/>
              </w:tabs>
              <w:spacing w:before="0" w:beforeAutospacing="0" w:after="0" w:afterAutospacing="0" w:line="276" w:lineRule="auto"/>
              <w:ind w:right="618"/>
              <w:rPr>
                <w:rFonts w:ascii="Arial" w:hAnsi="Arial" w:cs="Arial"/>
                <w:bCs/>
              </w:rPr>
            </w:pPr>
            <w:r w:rsidRPr="00D60EA5">
              <w:rPr>
                <w:rFonts w:ascii="Arial" w:hAnsi="Arial" w:cs="Arial"/>
                <w:bCs/>
              </w:rPr>
              <w:t>31/03/2009</w:t>
            </w:r>
          </w:p>
        </w:tc>
        <w:tc>
          <w:tcPr>
            <w:tcW w:w="0" w:type="auto"/>
            <w:vAlign w:val="center"/>
          </w:tcPr>
          <w:p w14:paraId="0952C4CC" w14:textId="77777777" w:rsidR="008A277F" w:rsidRPr="00D60EA5" w:rsidRDefault="009E7DD7" w:rsidP="00877B94">
            <w:pPr>
              <w:pStyle w:val="NormalWeb"/>
              <w:spacing w:before="0" w:beforeAutospacing="0" w:after="0" w:afterAutospacing="0" w:line="276" w:lineRule="auto"/>
              <w:ind w:right="618"/>
              <w:rPr>
                <w:rFonts w:ascii="Arial" w:hAnsi="Arial" w:cs="Arial"/>
                <w:bCs/>
              </w:rPr>
            </w:pPr>
            <w:r w:rsidRPr="00D60EA5">
              <w:rPr>
                <w:rFonts w:ascii="Arial" w:hAnsi="Arial" w:cs="Arial"/>
                <w:bCs/>
              </w:rPr>
              <w:t>31/07/2009</w:t>
            </w:r>
          </w:p>
        </w:tc>
        <w:tc>
          <w:tcPr>
            <w:tcW w:w="0" w:type="auto"/>
            <w:vAlign w:val="center"/>
          </w:tcPr>
          <w:p w14:paraId="645810CA" w14:textId="77777777" w:rsidR="008A277F" w:rsidRPr="00D60EA5" w:rsidRDefault="00877B94" w:rsidP="00877B94">
            <w:pPr>
              <w:pStyle w:val="NormalWeb"/>
              <w:spacing w:before="0" w:beforeAutospacing="0" w:after="0" w:afterAutospacing="0" w:line="276" w:lineRule="auto"/>
              <w:ind w:right="618"/>
              <w:rPr>
                <w:rFonts w:ascii="Arial" w:hAnsi="Arial" w:cs="Arial"/>
                <w:bCs/>
              </w:rPr>
            </w:pPr>
            <w:r w:rsidRPr="00D60EA5">
              <w:rPr>
                <w:rFonts w:ascii="Arial" w:hAnsi="Arial" w:cs="Arial"/>
                <w:bCs/>
              </w:rPr>
              <w:t>30/09/2009</w:t>
            </w:r>
          </w:p>
        </w:tc>
        <w:tc>
          <w:tcPr>
            <w:tcW w:w="0" w:type="auto"/>
            <w:vAlign w:val="center"/>
          </w:tcPr>
          <w:p w14:paraId="4DFC0AAE" w14:textId="77777777" w:rsidR="008A277F" w:rsidRPr="00D60EA5" w:rsidRDefault="00877B94" w:rsidP="00877B94">
            <w:pPr>
              <w:pStyle w:val="NormalWeb"/>
              <w:spacing w:before="0" w:beforeAutospacing="0" w:after="0" w:afterAutospacing="0" w:line="276" w:lineRule="auto"/>
              <w:ind w:right="618"/>
              <w:rPr>
                <w:rFonts w:ascii="Arial" w:hAnsi="Arial" w:cs="Arial"/>
                <w:bCs/>
              </w:rPr>
            </w:pPr>
            <w:r w:rsidRPr="00D60EA5">
              <w:rPr>
                <w:rFonts w:ascii="Arial" w:hAnsi="Arial" w:cs="Arial"/>
                <w:bCs/>
              </w:rPr>
              <w:t>1/10/2011</w:t>
            </w:r>
          </w:p>
        </w:tc>
      </w:tr>
      <w:tr w:rsidR="008A277F" w:rsidRPr="00D60EA5" w14:paraId="59FC69D6" w14:textId="77777777" w:rsidTr="00877B94">
        <w:trPr>
          <w:jc w:val="center"/>
        </w:trPr>
        <w:tc>
          <w:tcPr>
            <w:tcW w:w="0" w:type="auto"/>
            <w:vAlign w:val="center"/>
          </w:tcPr>
          <w:p w14:paraId="0748962A" w14:textId="77777777" w:rsidR="008A277F" w:rsidRPr="00D60EA5" w:rsidRDefault="009E7DD7" w:rsidP="00877B94">
            <w:pPr>
              <w:pStyle w:val="NormalWeb"/>
              <w:tabs>
                <w:tab w:val="left" w:pos="1134"/>
              </w:tabs>
              <w:spacing w:before="0" w:beforeAutospacing="0" w:after="0" w:afterAutospacing="0" w:line="276" w:lineRule="auto"/>
              <w:ind w:right="317"/>
              <w:rPr>
                <w:rFonts w:ascii="Arial" w:hAnsi="Arial" w:cs="Arial"/>
                <w:bCs/>
              </w:rPr>
            </w:pPr>
            <w:r w:rsidRPr="00D60EA5">
              <w:rPr>
                <w:rFonts w:ascii="Arial" w:hAnsi="Arial" w:cs="Arial"/>
                <w:bCs/>
              </w:rPr>
              <w:t>2009-2010</w:t>
            </w:r>
          </w:p>
        </w:tc>
        <w:tc>
          <w:tcPr>
            <w:tcW w:w="0" w:type="auto"/>
            <w:vAlign w:val="center"/>
          </w:tcPr>
          <w:p w14:paraId="146A6FE4" w14:textId="77777777" w:rsidR="008A277F" w:rsidRPr="00D60EA5" w:rsidRDefault="009E7DD7" w:rsidP="00877B94">
            <w:pPr>
              <w:pStyle w:val="NormalWeb"/>
              <w:tabs>
                <w:tab w:val="left" w:pos="1371"/>
              </w:tabs>
              <w:spacing w:before="0" w:beforeAutospacing="0" w:after="0" w:afterAutospacing="0" w:line="276" w:lineRule="auto"/>
              <w:ind w:right="618"/>
              <w:rPr>
                <w:rFonts w:ascii="Arial" w:hAnsi="Arial" w:cs="Arial"/>
                <w:bCs/>
              </w:rPr>
            </w:pPr>
            <w:r w:rsidRPr="00D60EA5">
              <w:rPr>
                <w:rFonts w:ascii="Arial" w:hAnsi="Arial" w:cs="Arial"/>
                <w:bCs/>
              </w:rPr>
              <w:t>31/03/2010</w:t>
            </w:r>
          </w:p>
        </w:tc>
        <w:tc>
          <w:tcPr>
            <w:tcW w:w="0" w:type="auto"/>
            <w:vAlign w:val="center"/>
          </w:tcPr>
          <w:p w14:paraId="6DFB56C6" w14:textId="77777777" w:rsidR="008A277F" w:rsidRPr="00D60EA5" w:rsidRDefault="009E7DD7" w:rsidP="00877B94">
            <w:pPr>
              <w:pStyle w:val="NormalWeb"/>
              <w:spacing w:before="0" w:beforeAutospacing="0" w:after="0" w:afterAutospacing="0" w:line="276" w:lineRule="auto"/>
              <w:ind w:right="618"/>
              <w:rPr>
                <w:rFonts w:ascii="Arial" w:hAnsi="Arial" w:cs="Arial"/>
                <w:bCs/>
              </w:rPr>
            </w:pPr>
            <w:r w:rsidRPr="00D60EA5">
              <w:rPr>
                <w:rFonts w:ascii="Arial" w:hAnsi="Arial" w:cs="Arial"/>
                <w:bCs/>
              </w:rPr>
              <w:t>31/07/2010</w:t>
            </w:r>
          </w:p>
        </w:tc>
        <w:tc>
          <w:tcPr>
            <w:tcW w:w="0" w:type="auto"/>
            <w:vAlign w:val="center"/>
          </w:tcPr>
          <w:p w14:paraId="28DAF970" w14:textId="77777777" w:rsidR="008A277F" w:rsidRPr="00D60EA5" w:rsidRDefault="00877B94" w:rsidP="00877B94">
            <w:pPr>
              <w:pStyle w:val="NormalWeb"/>
              <w:spacing w:before="0" w:beforeAutospacing="0" w:after="0" w:afterAutospacing="0" w:line="276" w:lineRule="auto"/>
              <w:ind w:right="618"/>
              <w:rPr>
                <w:rFonts w:ascii="Arial" w:hAnsi="Arial" w:cs="Arial"/>
                <w:bCs/>
              </w:rPr>
            </w:pPr>
            <w:r w:rsidRPr="00D60EA5">
              <w:rPr>
                <w:rFonts w:ascii="Arial" w:hAnsi="Arial" w:cs="Arial"/>
                <w:bCs/>
              </w:rPr>
              <w:t>30/09/2010</w:t>
            </w:r>
          </w:p>
        </w:tc>
        <w:tc>
          <w:tcPr>
            <w:tcW w:w="0" w:type="auto"/>
            <w:vAlign w:val="center"/>
          </w:tcPr>
          <w:p w14:paraId="37B76608" w14:textId="77777777" w:rsidR="008A277F" w:rsidRPr="00D60EA5" w:rsidRDefault="00877B94" w:rsidP="00877B94">
            <w:pPr>
              <w:pStyle w:val="NormalWeb"/>
              <w:spacing w:before="0" w:beforeAutospacing="0" w:after="0" w:afterAutospacing="0" w:line="276" w:lineRule="auto"/>
              <w:ind w:right="618"/>
              <w:rPr>
                <w:rFonts w:ascii="Arial" w:hAnsi="Arial" w:cs="Arial"/>
                <w:bCs/>
              </w:rPr>
            </w:pPr>
            <w:r w:rsidRPr="00D60EA5">
              <w:rPr>
                <w:rFonts w:ascii="Arial" w:hAnsi="Arial" w:cs="Arial"/>
                <w:bCs/>
              </w:rPr>
              <w:t>1/10/2012</w:t>
            </w:r>
          </w:p>
        </w:tc>
      </w:tr>
      <w:tr w:rsidR="008A277F" w:rsidRPr="00D60EA5" w14:paraId="56FC658E" w14:textId="77777777" w:rsidTr="00877B94">
        <w:trPr>
          <w:jc w:val="center"/>
        </w:trPr>
        <w:tc>
          <w:tcPr>
            <w:tcW w:w="0" w:type="auto"/>
            <w:vAlign w:val="center"/>
          </w:tcPr>
          <w:p w14:paraId="5D38A38D" w14:textId="77777777" w:rsidR="008A277F" w:rsidRPr="00D60EA5" w:rsidRDefault="009E7DD7" w:rsidP="00877B94">
            <w:pPr>
              <w:pStyle w:val="NormalWeb"/>
              <w:tabs>
                <w:tab w:val="left" w:pos="1134"/>
              </w:tabs>
              <w:spacing w:before="0" w:beforeAutospacing="0" w:after="0" w:afterAutospacing="0" w:line="276" w:lineRule="auto"/>
              <w:ind w:right="317"/>
              <w:rPr>
                <w:rFonts w:ascii="Arial" w:hAnsi="Arial" w:cs="Arial"/>
                <w:bCs/>
              </w:rPr>
            </w:pPr>
            <w:r w:rsidRPr="00D60EA5">
              <w:rPr>
                <w:rFonts w:ascii="Arial" w:hAnsi="Arial" w:cs="Arial"/>
                <w:bCs/>
              </w:rPr>
              <w:t>2010-2011</w:t>
            </w:r>
          </w:p>
        </w:tc>
        <w:tc>
          <w:tcPr>
            <w:tcW w:w="0" w:type="auto"/>
            <w:vAlign w:val="center"/>
          </w:tcPr>
          <w:p w14:paraId="0A4CE61F" w14:textId="77777777" w:rsidR="008A277F" w:rsidRPr="00D60EA5" w:rsidRDefault="009E7DD7" w:rsidP="00877B94">
            <w:pPr>
              <w:pStyle w:val="NormalWeb"/>
              <w:tabs>
                <w:tab w:val="left" w:pos="1371"/>
              </w:tabs>
              <w:spacing w:before="0" w:beforeAutospacing="0" w:after="0" w:afterAutospacing="0" w:line="276" w:lineRule="auto"/>
              <w:ind w:right="618"/>
              <w:rPr>
                <w:rFonts w:ascii="Arial" w:hAnsi="Arial" w:cs="Arial"/>
                <w:bCs/>
              </w:rPr>
            </w:pPr>
            <w:r w:rsidRPr="00D60EA5">
              <w:rPr>
                <w:rFonts w:ascii="Arial" w:hAnsi="Arial" w:cs="Arial"/>
                <w:bCs/>
              </w:rPr>
              <w:t>31/03/2011</w:t>
            </w:r>
          </w:p>
        </w:tc>
        <w:tc>
          <w:tcPr>
            <w:tcW w:w="0" w:type="auto"/>
            <w:vAlign w:val="center"/>
          </w:tcPr>
          <w:p w14:paraId="236425A9" w14:textId="77777777" w:rsidR="008A277F" w:rsidRPr="00D60EA5" w:rsidRDefault="009E7DD7" w:rsidP="00877B94">
            <w:pPr>
              <w:pStyle w:val="NormalWeb"/>
              <w:spacing w:before="0" w:beforeAutospacing="0" w:after="0" w:afterAutospacing="0" w:line="276" w:lineRule="auto"/>
              <w:ind w:right="618"/>
              <w:rPr>
                <w:rFonts w:ascii="Arial" w:hAnsi="Arial" w:cs="Arial"/>
                <w:bCs/>
              </w:rPr>
            </w:pPr>
            <w:r w:rsidRPr="00D60EA5">
              <w:rPr>
                <w:rFonts w:ascii="Arial" w:hAnsi="Arial" w:cs="Arial"/>
                <w:bCs/>
              </w:rPr>
              <w:t>31/07/2011</w:t>
            </w:r>
          </w:p>
        </w:tc>
        <w:tc>
          <w:tcPr>
            <w:tcW w:w="0" w:type="auto"/>
            <w:vAlign w:val="center"/>
          </w:tcPr>
          <w:p w14:paraId="73A4FF8D" w14:textId="77777777" w:rsidR="008A277F" w:rsidRPr="00D60EA5" w:rsidRDefault="00877B94" w:rsidP="00877B94">
            <w:pPr>
              <w:pStyle w:val="NormalWeb"/>
              <w:spacing w:before="0" w:beforeAutospacing="0" w:after="0" w:afterAutospacing="0" w:line="276" w:lineRule="auto"/>
              <w:ind w:right="618"/>
              <w:rPr>
                <w:rFonts w:ascii="Arial" w:hAnsi="Arial" w:cs="Arial"/>
                <w:bCs/>
              </w:rPr>
            </w:pPr>
            <w:r w:rsidRPr="00D60EA5">
              <w:rPr>
                <w:rFonts w:ascii="Arial" w:hAnsi="Arial" w:cs="Arial"/>
                <w:bCs/>
              </w:rPr>
              <w:t>30/09/2011</w:t>
            </w:r>
          </w:p>
        </w:tc>
        <w:tc>
          <w:tcPr>
            <w:tcW w:w="0" w:type="auto"/>
            <w:vAlign w:val="center"/>
          </w:tcPr>
          <w:p w14:paraId="7EF10AEF" w14:textId="77777777" w:rsidR="008A277F" w:rsidRPr="00D60EA5" w:rsidRDefault="00877B94" w:rsidP="00877B94">
            <w:pPr>
              <w:pStyle w:val="NormalWeb"/>
              <w:spacing w:before="0" w:beforeAutospacing="0" w:after="0" w:afterAutospacing="0" w:line="276" w:lineRule="auto"/>
              <w:ind w:right="618"/>
              <w:rPr>
                <w:rFonts w:ascii="Arial" w:hAnsi="Arial" w:cs="Arial"/>
                <w:bCs/>
              </w:rPr>
            </w:pPr>
            <w:r w:rsidRPr="00D60EA5">
              <w:rPr>
                <w:rFonts w:ascii="Arial" w:hAnsi="Arial" w:cs="Arial"/>
                <w:bCs/>
              </w:rPr>
              <w:t>1/10/2013</w:t>
            </w:r>
          </w:p>
        </w:tc>
      </w:tr>
      <w:tr w:rsidR="008A277F" w:rsidRPr="00D60EA5" w14:paraId="03B683B8" w14:textId="77777777" w:rsidTr="00877B94">
        <w:trPr>
          <w:jc w:val="center"/>
        </w:trPr>
        <w:tc>
          <w:tcPr>
            <w:tcW w:w="0" w:type="auto"/>
            <w:vAlign w:val="center"/>
          </w:tcPr>
          <w:p w14:paraId="2490CFD7" w14:textId="77777777" w:rsidR="008A277F" w:rsidRPr="00D60EA5" w:rsidRDefault="009E7DD7" w:rsidP="00877B94">
            <w:pPr>
              <w:pStyle w:val="NormalWeb"/>
              <w:tabs>
                <w:tab w:val="left" w:pos="1134"/>
              </w:tabs>
              <w:spacing w:before="0" w:beforeAutospacing="0" w:after="0" w:afterAutospacing="0" w:line="276" w:lineRule="auto"/>
              <w:ind w:right="317"/>
              <w:rPr>
                <w:rFonts w:ascii="Arial" w:hAnsi="Arial" w:cs="Arial"/>
                <w:bCs/>
              </w:rPr>
            </w:pPr>
            <w:r w:rsidRPr="00D60EA5">
              <w:rPr>
                <w:rFonts w:ascii="Arial" w:hAnsi="Arial" w:cs="Arial"/>
                <w:bCs/>
              </w:rPr>
              <w:t>2011-2012</w:t>
            </w:r>
          </w:p>
        </w:tc>
        <w:tc>
          <w:tcPr>
            <w:tcW w:w="0" w:type="auto"/>
            <w:vAlign w:val="center"/>
          </w:tcPr>
          <w:p w14:paraId="0FA8535F" w14:textId="77777777" w:rsidR="008A277F" w:rsidRPr="00D60EA5" w:rsidRDefault="009E7DD7" w:rsidP="00877B94">
            <w:pPr>
              <w:pStyle w:val="NormalWeb"/>
              <w:tabs>
                <w:tab w:val="left" w:pos="1371"/>
              </w:tabs>
              <w:spacing w:before="0" w:beforeAutospacing="0" w:after="0" w:afterAutospacing="0" w:line="276" w:lineRule="auto"/>
              <w:ind w:right="618"/>
              <w:rPr>
                <w:rFonts w:ascii="Arial" w:hAnsi="Arial" w:cs="Arial"/>
                <w:bCs/>
              </w:rPr>
            </w:pPr>
            <w:r w:rsidRPr="00D60EA5">
              <w:rPr>
                <w:rFonts w:ascii="Arial" w:hAnsi="Arial" w:cs="Arial"/>
                <w:bCs/>
              </w:rPr>
              <w:t>31/03/2012</w:t>
            </w:r>
          </w:p>
        </w:tc>
        <w:tc>
          <w:tcPr>
            <w:tcW w:w="0" w:type="auto"/>
            <w:vAlign w:val="center"/>
          </w:tcPr>
          <w:p w14:paraId="248EF340" w14:textId="77777777" w:rsidR="008A277F" w:rsidRPr="00D60EA5" w:rsidRDefault="009E7DD7" w:rsidP="00877B94">
            <w:pPr>
              <w:pStyle w:val="NormalWeb"/>
              <w:spacing w:before="0" w:beforeAutospacing="0" w:after="0" w:afterAutospacing="0" w:line="276" w:lineRule="auto"/>
              <w:ind w:right="618"/>
              <w:rPr>
                <w:rFonts w:ascii="Arial" w:hAnsi="Arial" w:cs="Arial"/>
                <w:bCs/>
              </w:rPr>
            </w:pPr>
            <w:r w:rsidRPr="00D60EA5">
              <w:rPr>
                <w:rFonts w:ascii="Arial" w:hAnsi="Arial" w:cs="Arial"/>
                <w:bCs/>
              </w:rPr>
              <w:t>31/07/2012</w:t>
            </w:r>
          </w:p>
        </w:tc>
        <w:tc>
          <w:tcPr>
            <w:tcW w:w="0" w:type="auto"/>
            <w:vAlign w:val="center"/>
          </w:tcPr>
          <w:p w14:paraId="1F5E255B" w14:textId="77777777" w:rsidR="008A277F" w:rsidRPr="00D60EA5" w:rsidRDefault="00877B94" w:rsidP="00877B94">
            <w:pPr>
              <w:pStyle w:val="NormalWeb"/>
              <w:spacing w:before="0" w:beforeAutospacing="0" w:after="0" w:afterAutospacing="0" w:line="276" w:lineRule="auto"/>
              <w:ind w:right="618"/>
              <w:rPr>
                <w:rFonts w:ascii="Arial" w:hAnsi="Arial" w:cs="Arial"/>
                <w:bCs/>
              </w:rPr>
            </w:pPr>
            <w:r w:rsidRPr="00D60EA5">
              <w:rPr>
                <w:rFonts w:ascii="Arial" w:hAnsi="Arial" w:cs="Arial"/>
                <w:bCs/>
              </w:rPr>
              <w:t>30/09/2012</w:t>
            </w:r>
          </w:p>
        </w:tc>
        <w:tc>
          <w:tcPr>
            <w:tcW w:w="0" w:type="auto"/>
            <w:vAlign w:val="center"/>
          </w:tcPr>
          <w:p w14:paraId="32C82B3B" w14:textId="77777777" w:rsidR="008A277F" w:rsidRPr="00D60EA5" w:rsidRDefault="00877B94" w:rsidP="00877B94">
            <w:pPr>
              <w:pStyle w:val="NormalWeb"/>
              <w:spacing w:before="0" w:beforeAutospacing="0" w:after="0" w:afterAutospacing="0" w:line="276" w:lineRule="auto"/>
              <w:ind w:right="618"/>
              <w:rPr>
                <w:rFonts w:ascii="Arial" w:hAnsi="Arial" w:cs="Arial"/>
                <w:bCs/>
              </w:rPr>
            </w:pPr>
            <w:r w:rsidRPr="00D60EA5">
              <w:rPr>
                <w:rFonts w:ascii="Arial" w:hAnsi="Arial" w:cs="Arial"/>
                <w:bCs/>
              </w:rPr>
              <w:t>1/10/2014</w:t>
            </w:r>
          </w:p>
        </w:tc>
      </w:tr>
    </w:tbl>
    <w:p w14:paraId="121FD38A" w14:textId="77777777" w:rsidR="008A277F" w:rsidRPr="00D60EA5" w:rsidRDefault="008A277F" w:rsidP="00873D69">
      <w:pPr>
        <w:pStyle w:val="NormalWeb"/>
        <w:spacing w:before="0" w:beforeAutospacing="0" w:after="0" w:afterAutospacing="0" w:line="360" w:lineRule="auto"/>
        <w:ind w:right="618"/>
        <w:jc w:val="both"/>
        <w:rPr>
          <w:rFonts w:ascii="Arial" w:hAnsi="Arial" w:cs="Arial"/>
          <w:bCs/>
        </w:rPr>
      </w:pPr>
    </w:p>
    <w:p w14:paraId="1FE2DD96" w14:textId="77777777" w:rsidR="008B0969" w:rsidRPr="00D60EA5" w:rsidRDefault="008B0969" w:rsidP="000247FA">
      <w:pPr>
        <w:pStyle w:val="NormalWeb"/>
        <w:spacing w:before="0" w:beforeAutospacing="0" w:after="0" w:afterAutospacing="0" w:line="360" w:lineRule="auto"/>
        <w:ind w:right="51"/>
        <w:jc w:val="both"/>
        <w:rPr>
          <w:rFonts w:ascii="Arial" w:hAnsi="Arial" w:cs="Arial"/>
          <w:bCs/>
        </w:rPr>
      </w:pPr>
    </w:p>
    <w:p w14:paraId="27357532" w14:textId="77777777" w:rsidR="008B0969" w:rsidRPr="00D60EA5" w:rsidRDefault="008B0969" w:rsidP="000247FA">
      <w:pPr>
        <w:pStyle w:val="NormalWeb"/>
        <w:spacing w:before="0" w:beforeAutospacing="0" w:after="0" w:afterAutospacing="0" w:line="360" w:lineRule="auto"/>
        <w:ind w:right="51"/>
        <w:jc w:val="both"/>
        <w:rPr>
          <w:rFonts w:ascii="Arial" w:hAnsi="Arial" w:cs="Arial"/>
          <w:bCs/>
        </w:rPr>
      </w:pPr>
    </w:p>
    <w:p w14:paraId="3D6AE4C0" w14:textId="77777777" w:rsidR="00873D69" w:rsidRPr="00D60EA5" w:rsidRDefault="000247FA" w:rsidP="000247FA">
      <w:pPr>
        <w:pStyle w:val="NormalWeb"/>
        <w:spacing w:before="0" w:beforeAutospacing="0" w:after="0" w:afterAutospacing="0" w:line="360" w:lineRule="auto"/>
        <w:ind w:right="51"/>
        <w:jc w:val="both"/>
        <w:rPr>
          <w:rFonts w:ascii="Arial" w:hAnsi="Arial" w:cs="Arial"/>
          <w:bCs/>
        </w:rPr>
      </w:pPr>
      <w:r w:rsidRPr="00D60EA5">
        <w:rPr>
          <w:rFonts w:ascii="Arial" w:hAnsi="Arial" w:cs="Arial"/>
          <w:bCs/>
        </w:rPr>
        <w:t>En el presente asunto, la solicitud de conciliación prejudicial se presentó el 26 de marzo de 2014 (</w:t>
      </w:r>
      <w:proofErr w:type="spellStart"/>
      <w:r w:rsidRPr="00D60EA5">
        <w:rPr>
          <w:rFonts w:ascii="Arial" w:hAnsi="Arial" w:cs="Arial"/>
          <w:bCs/>
        </w:rPr>
        <w:t>fl</w:t>
      </w:r>
      <w:proofErr w:type="spellEnd"/>
      <w:r w:rsidRPr="00D60EA5">
        <w:rPr>
          <w:rFonts w:ascii="Arial" w:hAnsi="Arial" w:cs="Arial"/>
          <w:bCs/>
        </w:rPr>
        <w:t xml:space="preserve">. 236 c. </w:t>
      </w:r>
      <w:proofErr w:type="spellStart"/>
      <w:r w:rsidRPr="00D60EA5">
        <w:rPr>
          <w:rFonts w:ascii="Arial" w:hAnsi="Arial" w:cs="Arial"/>
          <w:bCs/>
        </w:rPr>
        <w:t>n.°</w:t>
      </w:r>
      <w:proofErr w:type="spellEnd"/>
      <w:r w:rsidRPr="00D60EA5">
        <w:rPr>
          <w:rFonts w:ascii="Arial" w:hAnsi="Arial" w:cs="Arial"/>
          <w:bCs/>
        </w:rPr>
        <w:t xml:space="preserve"> 1)</w:t>
      </w:r>
      <w:r w:rsidR="00B839FB" w:rsidRPr="00D60EA5">
        <w:rPr>
          <w:rFonts w:ascii="Arial" w:hAnsi="Arial" w:cs="Arial"/>
          <w:bCs/>
        </w:rPr>
        <w:t xml:space="preserve">, cuando ya había operado el fenómeno de la caducidad para las reclamaciones derivadas de los contratos suscritos </w:t>
      </w:r>
      <w:r w:rsidR="00194447" w:rsidRPr="00D60EA5">
        <w:rPr>
          <w:rFonts w:ascii="Arial" w:hAnsi="Arial" w:cs="Arial"/>
          <w:bCs/>
        </w:rPr>
        <w:t>en</w:t>
      </w:r>
      <w:r w:rsidR="00B839FB" w:rsidRPr="00D60EA5">
        <w:rPr>
          <w:rFonts w:ascii="Arial" w:hAnsi="Arial" w:cs="Arial"/>
          <w:bCs/>
        </w:rPr>
        <w:t xml:space="preserve"> las vigencias </w:t>
      </w:r>
      <w:r w:rsidR="008E14F5" w:rsidRPr="00D60EA5">
        <w:rPr>
          <w:rFonts w:ascii="Arial" w:hAnsi="Arial" w:cs="Arial"/>
          <w:bCs/>
        </w:rPr>
        <w:t xml:space="preserve">2008-2009, 2009-2010 y 2010-2011. </w:t>
      </w:r>
    </w:p>
    <w:p w14:paraId="07F023C8" w14:textId="77777777" w:rsidR="00873D69" w:rsidRPr="00D60EA5" w:rsidRDefault="00873D69" w:rsidP="000247FA">
      <w:pPr>
        <w:pStyle w:val="NormalWeb"/>
        <w:spacing w:before="0" w:beforeAutospacing="0" w:after="0" w:afterAutospacing="0" w:line="360" w:lineRule="auto"/>
        <w:ind w:right="51"/>
        <w:jc w:val="both"/>
        <w:rPr>
          <w:rFonts w:ascii="Arial" w:hAnsi="Arial" w:cs="Arial"/>
          <w:bCs/>
        </w:rPr>
      </w:pPr>
    </w:p>
    <w:p w14:paraId="7E269163" w14:textId="77777777" w:rsidR="000247FA" w:rsidRPr="00D60EA5" w:rsidRDefault="00873D69" w:rsidP="000247FA">
      <w:pPr>
        <w:pStyle w:val="NormalWeb"/>
        <w:spacing w:before="0" w:beforeAutospacing="0" w:after="0" w:afterAutospacing="0" w:line="360" w:lineRule="auto"/>
        <w:ind w:right="51"/>
        <w:jc w:val="both"/>
        <w:rPr>
          <w:rFonts w:ascii="Arial" w:hAnsi="Arial" w:cs="Arial"/>
          <w:bCs/>
        </w:rPr>
      </w:pPr>
      <w:r w:rsidRPr="00D60EA5">
        <w:rPr>
          <w:rFonts w:ascii="Arial" w:hAnsi="Arial" w:cs="Arial"/>
          <w:bCs/>
        </w:rPr>
        <w:t>A diferencia</w:t>
      </w:r>
      <w:r w:rsidR="00EA7413" w:rsidRPr="00D60EA5">
        <w:rPr>
          <w:rFonts w:ascii="Arial" w:hAnsi="Arial" w:cs="Arial"/>
          <w:bCs/>
        </w:rPr>
        <w:t xml:space="preserve"> de lo anterior</w:t>
      </w:r>
      <w:r w:rsidRPr="00D60EA5">
        <w:rPr>
          <w:rFonts w:ascii="Arial" w:hAnsi="Arial" w:cs="Arial"/>
          <w:bCs/>
        </w:rPr>
        <w:t xml:space="preserve">, </w:t>
      </w:r>
      <w:r w:rsidR="0005588C" w:rsidRPr="00D60EA5">
        <w:rPr>
          <w:rFonts w:ascii="Arial" w:hAnsi="Arial" w:cs="Arial"/>
          <w:bCs/>
        </w:rPr>
        <w:t>en lo que concierne</w:t>
      </w:r>
      <w:r w:rsidR="008E14F5" w:rsidRPr="00D60EA5">
        <w:rPr>
          <w:rFonts w:ascii="Arial" w:hAnsi="Arial" w:cs="Arial"/>
          <w:bCs/>
        </w:rPr>
        <w:t xml:space="preserve"> a las pretensiones relacionada</w:t>
      </w:r>
      <w:r w:rsidRPr="00D60EA5">
        <w:rPr>
          <w:rFonts w:ascii="Arial" w:hAnsi="Arial" w:cs="Arial"/>
          <w:bCs/>
        </w:rPr>
        <w:t>s con el desequilibrio económico de los contratos</w:t>
      </w:r>
      <w:r w:rsidR="00E10EAC" w:rsidRPr="00D60EA5">
        <w:rPr>
          <w:rStyle w:val="Refdenotaalpie"/>
          <w:rFonts w:ascii="Arial" w:hAnsi="Arial" w:cs="Arial"/>
          <w:bCs/>
        </w:rPr>
        <w:footnoteReference w:id="17"/>
      </w:r>
      <w:r w:rsidRPr="00D60EA5">
        <w:rPr>
          <w:rFonts w:ascii="Arial" w:hAnsi="Arial" w:cs="Arial"/>
          <w:bCs/>
        </w:rPr>
        <w:t xml:space="preserve"> celebrados en la vigencia 2011-2012, la demanda se presentó oportunamente, toda vez que fue radicada el 10 de junio de 2014, es decir, antes del vencimiento del término de caducidad que</w:t>
      </w:r>
      <w:r w:rsidR="0005588C" w:rsidRPr="00D60EA5">
        <w:rPr>
          <w:rFonts w:ascii="Arial" w:hAnsi="Arial" w:cs="Arial"/>
          <w:bCs/>
        </w:rPr>
        <w:t xml:space="preserve"> operaría</w:t>
      </w:r>
      <w:r w:rsidRPr="00D60EA5">
        <w:rPr>
          <w:rFonts w:ascii="Arial" w:hAnsi="Arial" w:cs="Arial"/>
          <w:bCs/>
        </w:rPr>
        <w:t xml:space="preserve"> el 1° de octubre de 2014.</w:t>
      </w:r>
    </w:p>
    <w:p w14:paraId="4BDB5498" w14:textId="77777777" w:rsidR="00E10EAC" w:rsidRPr="00D60EA5" w:rsidRDefault="00E10EAC" w:rsidP="000247FA">
      <w:pPr>
        <w:pStyle w:val="NormalWeb"/>
        <w:spacing w:before="0" w:beforeAutospacing="0" w:after="0" w:afterAutospacing="0" w:line="360" w:lineRule="auto"/>
        <w:ind w:right="51"/>
        <w:jc w:val="both"/>
        <w:rPr>
          <w:rFonts w:ascii="Arial" w:hAnsi="Arial" w:cs="Arial"/>
          <w:bCs/>
        </w:rPr>
      </w:pPr>
      <w:bookmarkStart w:id="20" w:name="_Hlk7772426"/>
    </w:p>
    <w:p w14:paraId="401F4A5E" w14:textId="77777777" w:rsidR="008E14F5" w:rsidRPr="00D60EA5" w:rsidRDefault="001C2D3A" w:rsidP="000247FA">
      <w:pPr>
        <w:pStyle w:val="NormalWeb"/>
        <w:spacing w:before="0" w:beforeAutospacing="0" w:after="0" w:afterAutospacing="0" w:line="360" w:lineRule="auto"/>
        <w:ind w:right="51"/>
        <w:jc w:val="both"/>
        <w:rPr>
          <w:rFonts w:ascii="Arial" w:hAnsi="Arial" w:cs="Arial"/>
          <w:bCs/>
        </w:rPr>
      </w:pPr>
      <w:r w:rsidRPr="00D60EA5">
        <w:rPr>
          <w:rFonts w:ascii="Arial" w:hAnsi="Arial" w:cs="Arial"/>
          <w:bCs/>
        </w:rPr>
        <w:t>Se sigue de</w:t>
      </w:r>
      <w:r w:rsidR="008E14F5" w:rsidRPr="00D60EA5">
        <w:rPr>
          <w:rFonts w:ascii="Arial" w:hAnsi="Arial" w:cs="Arial"/>
          <w:bCs/>
        </w:rPr>
        <w:t xml:space="preserve"> lo anterior</w:t>
      </w:r>
      <w:r w:rsidRPr="00D60EA5">
        <w:rPr>
          <w:rFonts w:ascii="Arial" w:hAnsi="Arial" w:cs="Arial"/>
          <w:bCs/>
        </w:rPr>
        <w:t>,</w:t>
      </w:r>
      <w:r w:rsidR="008E14F5" w:rsidRPr="00D60EA5">
        <w:rPr>
          <w:rFonts w:ascii="Arial" w:hAnsi="Arial" w:cs="Arial"/>
          <w:bCs/>
        </w:rPr>
        <w:t xml:space="preserve"> que </w:t>
      </w:r>
      <w:r w:rsidR="00873D69" w:rsidRPr="00D60EA5">
        <w:rPr>
          <w:rFonts w:ascii="Arial" w:hAnsi="Arial" w:cs="Arial"/>
          <w:bCs/>
        </w:rPr>
        <w:t>la acción contenciosa administrativa ejercida por la Caja de Compensación Familiar Comfenalco Antioquia</w:t>
      </w:r>
      <w:r w:rsidR="00ED20AB" w:rsidRPr="00D60EA5">
        <w:rPr>
          <w:rFonts w:ascii="Arial" w:hAnsi="Arial" w:cs="Arial"/>
          <w:bCs/>
        </w:rPr>
        <w:t>,</w:t>
      </w:r>
      <w:r w:rsidR="00873D69" w:rsidRPr="00D60EA5">
        <w:rPr>
          <w:rFonts w:ascii="Arial" w:hAnsi="Arial" w:cs="Arial"/>
          <w:bCs/>
        </w:rPr>
        <w:t xml:space="preserve"> caducó </w:t>
      </w:r>
      <w:r w:rsidRPr="00D60EA5">
        <w:rPr>
          <w:rFonts w:ascii="Arial" w:hAnsi="Arial" w:cs="Arial"/>
          <w:bCs/>
        </w:rPr>
        <w:t>frente a las pretensiones vinculadas al desarrollo de los contratos que celebró con los entes territoriales, en los años 2008, 2009 y 2010, pero fue oportuna respecto a los contratos suscritos para la vigencia 2011-2012, por lo que se revocará parcialmente la decisión apelada en ese sentido.</w:t>
      </w:r>
    </w:p>
    <w:p w14:paraId="2916C19D" w14:textId="77777777" w:rsidR="00E86834" w:rsidRPr="00D60EA5" w:rsidRDefault="00E86834" w:rsidP="00B2396C">
      <w:pPr>
        <w:pStyle w:val="Sinespaciado"/>
        <w:spacing w:line="360" w:lineRule="auto"/>
        <w:jc w:val="both"/>
        <w:rPr>
          <w:rFonts w:ascii="Arial" w:hAnsi="Arial" w:cs="Arial"/>
          <w:sz w:val="24"/>
          <w:szCs w:val="24"/>
        </w:rPr>
      </w:pPr>
    </w:p>
    <w:bookmarkEnd w:id="20"/>
    <w:p w14:paraId="226181C7" w14:textId="77777777" w:rsidR="00AE4971" w:rsidRPr="00D60EA5" w:rsidRDefault="001C2D3A" w:rsidP="00AE4971">
      <w:pPr>
        <w:pStyle w:val="Sinespaciado"/>
        <w:spacing w:line="360" w:lineRule="auto"/>
        <w:jc w:val="both"/>
        <w:rPr>
          <w:rFonts w:ascii="Arial" w:hAnsi="Arial" w:cs="Arial"/>
          <w:sz w:val="24"/>
          <w:szCs w:val="24"/>
        </w:rPr>
      </w:pPr>
      <w:r w:rsidRPr="00D60EA5">
        <w:rPr>
          <w:rFonts w:ascii="Arial" w:hAnsi="Arial" w:cs="Arial"/>
          <w:sz w:val="24"/>
          <w:szCs w:val="24"/>
        </w:rPr>
        <w:t>De acuerdo con lo expuesto</w:t>
      </w:r>
      <w:r w:rsidR="00E86834" w:rsidRPr="00D60EA5">
        <w:rPr>
          <w:rFonts w:ascii="Arial" w:hAnsi="Arial" w:cs="Arial"/>
          <w:sz w:val="24"/>
          <w:szCs w:val="24"/>
        </w:rPr>
        <w:t>, se</w:t>
      </w:r>
    </w:p>
    <w:p w14:paraId="74869460" w14:textId="77777777" w:rsidR="00AE4971" w:rsidRPr="00D60EA5" w:rsidRDefault="00AE4971" w:rsidP="00AE4971">
      <w:pPr>
        <w:pStyle w:val="Sinespaciado"/>
        <w:spacing w:line="360" w:lineRule="auto"/>
        <w:jc w:val="both"/>
        <w:rPr>
          <w:rFonts w:ascii="Arial" w:hAnsi="Arial" w:cs="Arial"/>
          <w:sz w:val="24"/>
          <w:szCs w:val="24"/>
        </w:rPr>
      </w:pPr>
    </w:p>
    <w:p w14:paraId="187F57B8" w14:textId="77777777" w:rsidR="008B0969" w:rsidRPr="00D60EA5" w:rsidRDefault="008B0969" w:rsidP="00AE4971">
      <w:pPr>
        <w:pStyle w:val="Sinespaciado"/>
        <w:spacing w:line="360" w:lineRule="auto"/>
        <w:jc w:val="both"/>
        <w:rPr>
          <w:rFonts w:ascii="Arial" w:hAnsi="Arial" w:cs="Arial"/>
          <w:sz w:val="24"/>
          <w:szCs w:val="24"/>
        </w:rPr>
      </w:pPr>
    </w:p>
    <w:p w14:paraId="23A75B80" w14:textId="77777777" w:rsidR="00AE4971" w:rsidRPr="00D60EA5" w:rsidRDefault="00AE4971" w:rsidP="00AE4971">
      <w:pPr>
        <w:pStyle w:val="Sinespaciado"/>
        <w:spacing w:line="360" w:lineRule="auto"/>
        <w:jc w:val="center"/>
        <w:rPr>
          <w:rFonts w:ascii="Arial" w:hAnsi="Arial" w:cs="Arial"/>
          <w:sz w:val="24"/>
          <w:szCs w:val="24"/>
        </w:rPr>
      </w:pPr>
      <w:r w:rsidRPr="00D60EA5">
        <w:rPr>
          <w:rFonts w:ascii="Arial" w:hAnsi="Arial" w:cs="Arial"/>
          <w:b/>
          <w:sz w:val="24"/>
          <w:szCs w:val="24"/>
        </w:rPr>
        <w:t>RESUELVE:</w:t>
      </w:r>
    </w:p>
    <w:p w14:paraId="54738AF4" w14:textId="77777777" w:rsidR="00AE4971" w:rsidRPr="00D60EA5" w:rsidRDefault="00AE4971" w:rsidP="00AE4971">
      <w:pPr>
        <w:pStyle w:val="BodyText21"/>
        <w:spacing w:line="360" w:lineRule="auto"/>
        <w:jc w:val="center"/>
        <w:rPr>
          <w:b/>
          <w:lang w:val="es-CO"/>
        </w:rPr>
      </w:pPr>
    </w:p>
    <w:p w14:paraId="46ABBD8F" w14:textId="77777777" w:rsidR="008B0969" w:rsidRPr="00D60EA5" w:rsidRDefault="008B0969" w:rsidP="00AE4971">
      <w:pPr>
        <w:pStyle w:val="BodyText21"/>
        <w:spacing w:line="360" w:lineRule="auto"/>
        <w:jc w:val="center"/>
        <w:rPr>
          <w:b/>
          <w:lang w:val="es-CO"/>
        </w:rPr>
      </w:pPr>
    </w:p>
    <w:p w14:paraId="6F7C8F8B" w14:textId="77777777" w:rsidR="00AE4971" w:rsidRPr="00D60EA5" w:rsidRDefault="001C2D3A" w:rsidP="00AE4971">
      <w:pPr>
        <w:pStyle w:val="BodyText21"/>
        <w:spacing w:line="360" w:lineRule="auto"/>
        <w:rPr>
          <w:bCs/>
        </w:rPr>
      </w:pPr>
      <w:r w:rsidRPr="00D60EA5">
        <w:rPr>
          <w:b/>
          <w:bCs/>
          <w:lang w:val="es-ES"/>
        </w:rPr>
        <w:t>PRIMERO. REVOCA</w:t>
      </w:r>
      <w:r w:rsidR="00AE4971" w:rsidRPr="00D60EA5">
        <w:rPr>
          <w:b/>
          <w:bCs/>
          <w:lang w:val="es-ES"/>
        </w:rPr>
        <w:t xml:space="preserve">R </w:t>
      </w:r>
      <w:r w:rsidRPr="00D60EA5">
        <w:rPr>
          <w:bCs/>
          <w:lang w:val="es-ES"/>
        </w:rPr>
        <w:t xml:space="preserve">parcialmente </w:t>
      </w:r>
      <w:r w:rsidR="00AE4971" w:rsidRPr="00D60EA5">
        <w:rPr>
          <w:bCs/>
          <w:lang w:val="es-ES"/>
        </w:rPr>
        <w:t xml:space="preserve">la decisión adoptada </w:t>
      </w:r>
      <w:r w:rsidR="00D13096" w:rsidRPr="00D60EA5">
        <w:rPr>
          <w:bCs/>
        </w:rPr>
        <w:t>por el Tribun</w:t>
      </w:r>
      <w:r w:rsidRPr="00D60EA5">
        <w:rPr>
          <w:bCs/>
        </w:rPr>
        <w:t>al Administrativo de Antioquia</w:t>
      </w:r>
      <w:r w:rsidR="00D13096" w:rsidRPr="00D60EA5">
        <w:rPr>
          <w:bCs/>
        </w:rPr>
        <w:t>,</w:t>
      </w:r>
      <w:r w:rsidR="00D13096" w:rsidRPr="00D60EA5">
        <w:rPr>
          <w:bCs/>
          <w:lang w:val="es-ES"/>
        </w:rPr>
        <w:t xml:space="preserve"> </w:t>
      </w:r>
      <w:r w:rsidR="00AE4971" w:rsidRPr="00D60EA5">
        <w:rPr>
          <w:bCs/>
          <w:lang w:val="es-ES"/>
        </w:rPr>
        <w:t xml:space="preserve">en </w:t>
      </w:r>
      <w:r w:rsidR="00D13096" w:rsidRPr="00D60EA5">
        <w:rPr>
          <w:bCs/>
          <w:lang w:val="es-ES"/>
        </w:rPr>
        <w:t xml:space="preserve">la </w:t>
      </w:r>
      <w:r w:rsidR="00AE4971" w:rsidRPr="00D60EA5">
        <w:rPr>
          <w:bCs/>
          <w:lang w:val="es-ES"/>
        </w:rPr>
        <w:t xml:space="preserve">audiencia inicial celebrada el </w:t>
      </w:r>
      <w:r w:rsidR="00F251E6" w:rsidRPr="00D60EA5">
        <w:rPr>
          <w:bCs/>
          <w:lang w:val="es-ES"/>
        </w:rPr>
        <w:t>12 de abril de 2018</w:t>
      </w:r>
      <w:r w:rsidR="00AE4971" w:rsidRPr="00D60EA5">
        <w:rPr>
          <w:bCs/>
        </w:rPr>
        <w:t xml:space="preserve">, </w:t>
      </w:r>
      <w:r w:rsidR="00F251E6" w:rsidRPr="00D60EA5">
        <w:rPr>
          <w:bCs/>
        </w:rPr>
        <w:t xml:space="preserve">para en su lugar </w:t>
      </w:r>
      <w:r w:rsidR="00F251E6" w:rsidRPr="00D60EA5">
        <w:rPr>
          <w:b/>
          <w:bCs/>
        </w:rPr>
        <w:t>DECLARAR</w:t>
      </w:r>
      <w:r w:rsidR="00F251E6" w:rsidRPr="00D60EA5">
        <w:rPr>
          <w:bCs/>
        </w:rPr>
        <w:t xml:space="preserve"> probada la excepción de caducidad </w:t>
      </w:r>
      <w:r w:rsidR="008D7D44" w:rsidRPr="00D60EA5">
        <w:rPr>
          <w:bCs/>
        </w:rPr>
        <w:t xml:space="preserve">respecto </w:t>
      </w:r>
      <w:r w:rsidR="00ED20AB" w:rsidRPr="00D60EA5">
        <w:rPr>
          <w:bCs/>
        </w:rPr>
        <w:t>de</w:t>
      </w:r>
      <w:r w:rsidR="00F251E6" w:rsidRPr="00D60EA5">
        <w:rPr>
          <w:bCs/>
        </w:rPr>
        <w:t xml:space="preserve"> las pretensiones relacionadas con la ruptura del equilibrio económico de los contratos mencionados en la demanda, suscritos entre la Caja de Compensación Familiar Comfenalco Antioquia y algunos entes territoriales del Departamento de Antioquia, en las vigencias 2008-2009, 2009-2010 y 2010-2011.</w:t>
      </w:r>
    </w:p>
    <w:p w14:paraId="06BBA33E" w14:textId="77777777" w:rsidR="00F251E6" w:rsidRPr="00D60EA5" w:rsidRDefault="00F251E6" w:rsidP="00AE4971">
      <w:pPr>
        <w:pStyle w:val="BodyText21"/>
        <w:spacing w:line="360" w:lineRule="auto"/>
        <w:rPr>
          <w:bCs/>
        </w:rPr>
      </w:pPr>
    </w:p>
    <w:p w14:paraId="464FCBC1" w14:textId="77777777" w:rsidR="008B0969" w:rsidRPr="00D60EA5" w:rsidRDefault="008B0969" w:rsidP="00AE4971">
      <w:pPr>
        <w:pStyle w:val="BodyText21"/>
        <w:spacing w:line="360" w:lineRule="auto"/>
        <w:rPr>
          <w:bCs/>
        </w:rPr>
      </w:pPr>
    </w:p>
    <w:p w14:paraId="5C8C6B09" w14:textId="77777777" w:rsidR="008B0969" w:rsidRPr="00D60EA5" w:rsidRDefault="008B0969" w:rsidP="00AE4971">
      <w:pPr>
        <w:pStyle w:val="BodyText21"/>
        <w:spacing w:line="360" w:lineRule="auto"/>
        <w:rPr>
          <w:bCs/>
        </w:rPr>
      </w:pPr>
    </w:p>
    <w:p w14:paraId="72A119B4" w14:textId="77777777" w:rsidR="00AE4971" w:rsidRPr="00D60EA5" w:rsidRDefault="00AE4971" w:rsidP="00AE4971">
      <w:pPr>
        <w:pStyle w:val="BodyText21"/>
        <w:spacing w:line="360" w:lineRule="auto"/>
        <w:rPr>
          <w:b/>
        </w:rPr>
      </w:pPr>
      <w:r w:rsidRPr="00D60EA5">
        <w:rPr>
          <w:b/>
          <w:bCs/>
        </w:rPr>
        <w:t>SEGUNDO</w:t>
      </w:r>
      <w:r w:rsidRPr="00D60EA5">
        <w:rPr>
          <w:rFonts w:eastAsia="Calibri"/>
          <w:b/>
          <w:lang w:val="es-CO" w:eastAsia="en-US"/>
        </w:rPr>
        <w:t>:</w:t>
      </w:r>
      <w:r w:rsidRPr="00D60EA5">
        <w:rPr>
          <w:rFonts w:eastAsia="Calibri"/>
          <w:lang w:val="es-CO" w:eastAsia="en-US"/>
        </w:rPr>
        <w:t xml:space="preserve"> Ejecutoriada la presente providencia, por Secretaría </w:t>
      </w:r>
      <w:r w:rsidRPr="00D60EA5">
        <w:rPr>
          <w:rFonts w:eastAsia="Calibri"/>
          <w:b/>
          <w:lang w:val="es-CO" w:eastAsia="en-US"/>
        </w:rPr>
        <w:t>DEVOLVER</w:t>
      </w:r>
      <w:r w:rsidRPr="00D60EA5">
        <w:rPr>
          <w:rFonts w:eastAsia="Calibri"/>
          <w:lang w:val="es-CO" w:eastAsia="en-US"/>
        </w:rPr>
        <w:t xml:space="preserve"> el expediente al Tribunal de origen.</w:t>
      </w:r>
    </w:p>
    <w:p w14:paraId="3382A365" w14:textId="77777777" w:rsidR="00AE4971" w:rsidRPr="00D60EA5" w:rsidRDefault="00AE4971" w:rsidP="00AE4971">
      <w:pPr>
        <w:tabs>
          <w:tab w:val="left" w:pos="1134"/>
        </w:tabs>
        <w:rPr>
          <w:rFonts w:ascii="Arial" w:hAnsi="Arial" w:cs="Arial"/>
          <w:b/>
          <w:bCs/>
        </w:rPr>
      </w:pPr>
    </w:p>
    <w:p w14:paraId="5C71F136" w14:textId="77777777" w:rsidR="00AE4971" w:rsidRPr="00D60EA5" w:rsidRDefault="00AE4971" w:rsidP="00AE4971">
      <w:pPr>
        <w:tabs>
          <w:tab w:val="left" w:pos="1134"/>
        </w:tabs>
        <w:rPr>
          <w:rFonts w:ascii="Arial" w:hAnsi="Arial" w:cs="Arial"/>
          <w:b/>
          <w:bCs/>
        </w:rPr>
      </w:pPr>
    </w:p>
    <w:p w14:paraId="62199465" w14:textId="77777777" w:rsidR="0048473C" w:rsidRPr="00D60EA5" w:rsidRDefault="0048473C" w:rsidP="00AE4971">
      <w:pPr>
        <w:tabs>
          <w:tab w:val="left" w:pos="1134"/>
        </w:tabs>
        <w:rPr>
          <w:rFonts w:ascii="Arial" w:hAnsi="Arial" w:cs="Arial"/>
          <w:b/>
          <w:bCs/>
        </w:rPr>
      </w:pPr>
    </w:p>
    <w:p w14:paraId="0DA123B1" w14:textId="77777777" w:rsidR="00EF7556" w:rsidRPr="00D60EA5" w:rsidRDefault="00EF7556" w:rsidP="00AE4971">
      <w:pPr>
        <w:tabs>
          <w:tab w:val="left" w:pos="1134"/>
        </w:tabs>
        <w:rPr>
          <w:rFonts w:ascii="Arial" w:hAnsi="Arial" w:cs="Arial"/>
          <w:b/>
          <w:bCs/>
        </w:rPr>
      </w:pPr>
    </w:p>
    <w:p w14:paraId="2FF70EBF" w14:textId="77777777" w:rsidR="00AE4971" w:rsidRPr="00D60EA5" w:rsidRDefault="00AE4971" w:rsidP="00AE4971">
      <w:pPr>
        <w:tabs>
          <w:tab w:val="left" w:pos="1134"/>
        </w:tabs>
        <w:jc w:val="center"/>
        <w:rPr>
          <w:rFonts w:ascii="Arial" w:hAnsi="Arial" w:cs="Arial"/>
          <w:bCs/>
        </w:rPr>
      </w:pPr>
      <w:r w:rsidRPr="00D60EA5">
        <w:rPr>
          <w:rFonts w:ascii="Arial" w:hAnsi="Arial" w:cs="Arial"/>
          <w:bCs/>
        </w:rPr>
        <w:t xml:space="preserve">NOTIFÍQUESE Y CÚMPLASE </w:t>
      </w:r>
    </w:p>
    <w:p w14:paraId="4C4CEA3D" w14:textId="77777777" w:rsidR="00AE4971" w:rsidRPr="00D60EA5" w:rsidRDefault="00AE4971" w:rsidP="00AE4971">
      <w:pPr>
        <w:tabs>
          <w:tab w:val="left" w:pos="1134"/>
        </w:tabs>
        <w:rPr>
          <w:rFonts w:ascii="Arial" w:hAnsi="Arial" w:cs="Arial"/>
          <w:bCs/>
        </w:rPr>
      </w:pPr>
    </w:p>
    <w:p w14:paraId="50895670" w14:textId="77777777" w:rsidR="00AE4971" w:rsidRPr="00D60EA5" w:rsidRDefault="00AE4971" w:rsidP="00AE4971">
      <w:pPr>
        <w:tabs>
          <w:tab w:val="left" w:pos="1134"/>
        </w:tabs>
        <w:rPr>
          <w:rFonts w:ascii="Arial" w:hAnsi="Arial" w:cs="Arial"/>
          <w:bCs/>
        </w:rPr>
      </w:pPr>
    </w:p>
    <w:p w14:paraId="38C1F859" w14:textId="77777777" w:rsidR="00AE4971" w:rsidRPr="00D60EA5" w:rsidRDefault="00AE4971" w:rsidP="00AE4971">
      <w:pPr>
        <w:tabs>
          <w:tab w:val="left" w:pos="1134"/>
        </w:tabs>
        <w:rPr>
          <w:rFonts w:ascii="Arial" w:hAnsi="Arial" w:cs="Arial"/>
          <w:bCs/>
        </w:rPr>
      </w:pPr>
    </w:p>
    <w:p w14:paraId="0C8FE7CE" w14:textId="77777777" w:rsidR="00EF7556" w:rsidRPr="00D60EA5" w:rsidRDefault="00EF7556" w:rsidP="00AE4971">
      <w:pPr>
        <w:tabs>
          <w:tab w:val="left" w:pos="1134"/>
        </w:tabs>
        <w:rPr>
          <w:rFonts w:ascii="Arial" w:hAnsi="Arial" w:cs="Arial"/>
          <w:bCs/>
        </w:rPr>
      </w:pPr>
    </w:p>
    <w:p w14:paraId="41004F19" w14:textId="77777777" w:rsidR="00AE4971" w:rsidRPr="00D60EA5" w:rsidRDefault="00AE4971" w:rsidP="00AE4971">
      <w:pPr>
        <w:tabs>
          <w:tab w:val="left" w:pos="1134"/>
        </w:tabs>
        <w:rPr>
          <w:rFonts w:ascii="Arial" w:hAnsi="Arial" w:cs="Arial"/>
          <w:bCs/>
        </w:rPr>
      </w:pPr>
    </w:p>
    <w:p w14:paraId="67C0C651" w14:textId="77777777" w:rsidR="00AE4971" w:rsidRPr="00D60EA5" w:rsidRDefault="00AE4971" w:rsidP="00AE4971">
      <w:pPr>
        <w:tabs>
          <w:tab w:val="left" w:pos="1134"/>
        </w:tabs>
        <w:rPr>
          <w:rFonts w:ascii="Arial" w:hAnsi="Arial" w:cs="Arial"/>
          <w:bCs/>
        </w:rPr>
      </w:pPr>
    </w:p>
    <w:p w14:paraId="308D56CC" w14:textId="77777777" w:rsidR="00E73692" w:rsidRPr="00D60EA5" w:rsidRDefault="00E73692" w:rsidP="00AE4971">
      <w:pPr>
        <w:tabs>
          <w:tab w:val="left" w:pos="1134"/>
        </w:tabs>
        <w:rPr>
          <w:rFonts w:ascii="Arial" w:hAnsi="Arial" w:cs="Arial"/>
          <w:bCs/>
        </w:rPr>
      </w:pPr>
    </w:p>
    <w:p w14:paraId="797E50C6" w14:textId="77777777" w:rsidR="00E73692" w:rsidRPr="00D60EA5" w:rsidRDefault="00E73692" w:rsidP="00AE4971">
      <w:pPr>
        <w:tabs>
          <w:tab w:val="left" w:pos="1134"/>
        </w:tabs>
        <w:rPr>
          <w:rFonts w:ascii="Arial" w:hAnsi="Arial" w:cs="Arial"/>
          <w:bCs/>
        </w:rPr>
      </w:pPr>
    </w:p>
    <w:p w14:paraId="62353093" w14:textId="77777777" w:rsidR="00AE4971" w:rsidRPr="00D60EA5" w:rsidRDefault="00AE4971" w:rsidP="00AE4971">
      <w:pPr>
        <w:tabs>
          <w:tab w:val="left" w:pos="1134"/>
        </w:tabs>
        <w:jc w:val="center"/>
        <w:rPr>
          <w:rFonts w:ascii="Arial" w:hAnsi="Arial" w:cs="Arial"/>
          <w:b/>
          <w:bCs/>
        </w:rPr>
      </w:pPr>
      <w:r w:rsidRPr="00D60EA5">
        <w:rPr>
          <w:rFonts w:ascii="Arial" w:hAnsi="Arial" w:cs="Arial"/>
          <w:b/>
          <w:bCs/>
        </w:rPr>
        <w:t>MARÍA ADRIANA MARÍN</w:t>
      </w:r>
    </w:p>
    <w:p w14:paraId="0994BBDF" w14:textId="77777777" w:rsidR="00AE4971" w:rsidRPr="006C5CAE" w:rsidRDefault="00AE4971" w:rsidP="00AE4971">
      <w:pPr>
        <w:tabs>
          <w:tab w:val="left" w:pos="1134"/>
        </w:tabs>
        <w:jc w:val="center"/>
        <w:rPr>
          <w:rFonts w:ascii="Arial" w:hAnsi="Arial" w:cs="Arial"/>
          <w:b/>
        </w:rPr>
      </w:pPr>
      <w:r w:rsidRPr="00D60EA5">
        <w:rPr>
          <w:rFonts w:ascii="Arial" w:hAnsi="Arial" w:cs="Arial"/>
          <w:bCs/>
        </w:rPr>
        <w:t>Magistrada</w:t>
      </w:r>
    </w:p>
    <w:p w14:paraId="7B04FA47" w14:textId="77777777" w:rsidR="00E86834" w:rsidRPr="006C5CAE" w:rsidRDefault="00E86834" w:rsidP="00E86834">
      <w:pPr>
        <w:pStyle w:val="Sinespaciado"/>
        <w:spacing w:line="360" w:lineRule="auto"/>
        <w:jc w:val="both"/>
        <w:rPr>
          <w:rFonts w:ascii="Arial" w:hAnsi="Arial" w:cs="Arial"/>
          <w:sz w:val="24"/>
          <w:szCs w:val="24"/>
        </w:rPr>
      </w:pPr>
    </w:p>
    <w:p w14:paraId="568C698B" w14:textId="77777777" w:rsidR="005B1B94" w:rsidRPr="006C5CAE" w:rsidRDefault="005B1B94" w:rsidP="008F446C">
      <w:pPr>
        <w:rPr>
          <w:rFonts w:ascii="Arial" w:hAnsi="Arial" w:cs="Arial"/>
        </w:rPr>
      </w:pPr>
    </w:p>
    <w:sectPr w:rsidR="005B1B94" w:rsidRPr="006C5CAE" w:rsidSect="00C10F60">
      <w:footerReference w:type="default" r:id="rId11"/>
      <w:pgSz w:w="12242" w:h="18722" w:code="14"/>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18C4D" w14:textId="77777777" w:rsidR="00171999" w:rsidRDefault="00171999" w:rsidP="00B01B52">
      <w:r>
        <w:separator/>
      </w:r>
    </w:p>
  </w:endnote>
  <w:endnote w:type="continuationSeparator" w:id="0">
    <w:p w14:paraId="4EBDA755" w14:textId="77777777" w:rsidR="00171999" w:rsidRDefault="00171999" w:rsidP="00B0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39487" w14:textId="77777777" w:rsidR="008C1382" w:rsidRDefault="008C1382" w:rsidP="008C1382">
    <w:pPr>
      <w:pStyle w:val="Piedepgina"/>
      <w:jc w:val="right"/>
    </w:pPr>
  </w:p>
  <w:p w14:paraId="6AA258D8" w14:textId="77777777" w:rsidR="00956367" w:rsidRDefault="00956367" w:rsidP="008C1382">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11116" w14:textId="77777777" w:rsidR="00171999" w:rsidRDefault="00171999" w:rsidP="00B01B52">
      <w:r>
        <w:separator/>
      </w:r>
    </w:p>
  </w:footnote>
  <w:footnote w:type="continuationSeparator" w:id="0">
    <w:p w14:paraId="1CB10054" w14:textId="77777777" w:rsidR="00171999" w:rsidRDefault="00171999" w:rsidP="00B01B52">
      <w:r>
        <w:continuationSeparator/>
      </w:r>
    </w:p>
  </w:footnote>
  <w:footnote w:id="1">
    <w:p w14:paraId="0BF319A3" w14:textId="77777777" w:rsidR="00956367" w:rsidRPr="00E10EAC" w:rsidRDefault="00956367" w:rsidP="00E10EAC">
      <w:pPr>
        <w:pStyle w:val="Textonotapie"/>
        <w:jc w:val="both"/>
        <w:rPr>
          <w:rFonts w:ascii="Arial" w:hAnsi="Arial" w:cs="Arial"/>
          <w:i/>
          <w:sz w:val="18"/>
          <w:szCs w:val="18"/>
        </w:rPr>
      </w:pPr>
      <w:r w:rsidRPr="00E10EAC">
        <w:rPr>
          <w:rStyle w:val="Refdenotaalpie"/>
          <w:rFonts w:ascii="Arial" w:hAnsi="Arial" w:cs="Arial"/>
          <w:sz w:val="18"/>
          <w:szCs w:val="18"/>
        </w:rPr>
        <w:footnoteRef/>
      </w:r>
      <w:r w:rsidRPr="00E10EAC">
        <w:rPr>
          <w:rFonts w:ascii="Arial" w:hAnsi="Arial" w:cs="Arial"/>
          <w:sz w:val="18"/>
          <w:szCs w:val="18"/>
        </w:rPr>
        <w:t>“Artículo 308. Ley 1437 de 2012. Régimen de transición y vigencia</w:t>
      </w:r>
      <w:r w:rsidRPr="00E10EAC">
        <w:rPr>
          <w:rFonts w:ascii="Arial" w:hAnsi="Arial" w:cs="Arial"/>
          <w:i/>
          <w:sz w:val="18"/>
          <w:szCs w:val="18"/>
        </w:rPr>
        <w:t>. “El presente Código comenzará a regir el dos (2) de julio del año 2012. Este Código sólo se aplicará a los procedimientos y las actuaciones administrativas que se inicien, así como a las demandas y procesos que se instauren con posterioridad a la entrada en vigencia. Los procedimientos y las actuaciones administrativas, así como las demandas y procesos en curso a la vigencia de la presente ley seguirán rigiéndose y culminarán de conformidad con el régimen jurídico anterior</w:t>
      </w:r>
      <w:r w:rsidRPr="00E10EAC">
        <w:rPr>
          <w:rFonts w:ascii="Arial" w:hAnsi="Arial" w:cs="Arial"/>
          <w:sz w:val="18"/>
          <w:szCs w:val="18"/>
        </w:rPr>
        <w:t>”.</w:t>
      </w:r>
    </w:p>
  </w:footnote>
  <w:footnote w:id="2">
    <w:p w14:paraId="5B7BAA4C" w14:textId="77777777" w:rsidR="00956367" w:rsidRPr="00E10EAC" w:rsidRDefault="00956367" w:rsidP="00E10EAC">
      <w:pPr>
        <w:pStyle w:val="Textonotapie"/>
        <w:jc w:val="both"/>
        <w:rPr>
          <w:rFonts w:ascii="Arial" w:hAnsi="Arial" w:cs="Arial"/>
          <w:sz w:val="18"/>
          <w:szCs w:val="18"/>
          <w:lang w:val="es-CO"/>
        </w:rPr>
      </w:pPr>
      <w:r w:rsidRPr="00E10EAC">
        <w:rPr>
          <w:rStyle w:val="Refdenotaalpie"/>
          <w:rFonts w:ascii="Arial" w:hAnsi="Arial" w:cs="Arial"/>
          <w:sz w:val="18"/>
          <w:szCs w:val="18"/>
        </w:rPr>
        <w:footnoteRef/>
      </w:r>
      <w:r w:rsidRPr="00E10EAC">
        <w:rPr>
          <w:rFonts w:ascii="Arial" w:hAnsi="Arial" w:cs="Arial"/>
          <w:sz w:val="18"/>
          <w:szCs w:val="18"/>
        </w:rPr>
        <w:t xml:space="preserve"> </w:t>
      </w:r>
      <w:r w:rsidRPr="00E10EAC">
        <w:rPr>
          <w:rFonts w:ascii="Arial" w:hAnsi="Arial" w:cs="Arial"/>
          <w:sz w:val="18"/>
          <w:szCs w:val="18"/>
          <w:lang w:val="es-CO"/>
        </w:rPr>
        <w:t>Artículo 306. Aspectos no regulados. “</w:t>
      </w:r>
      <w:r w:rsidRPr="00E10EAC">
        <w:rPr>
          <w:rFonts w:ascii="Arial" w:hAnsi="Arial" w:cs="Arial"/>
          <w:i/>
          <w:sz w:val="18"/>
          <w:szCs w:val="18"/>
          <w:lang w:val="es-CO"/>
        </w:rPr>
        <w:t>En los aspectos no contemplados en este Código se seguirá el Código de Procedimiento Civil en lo que sea compatible con la naturaleza de los procesos y actuaciones que correspondan a la Jurisdicción de lo Contencioso Administrativo”.</w:t>
      </w:r>
    </w:p>
  </w:footnote>
  <w:footnote w:id="3">
    <w:p w14:paraId="384020D6" w14:textId="77777777" w:rsidR="00956367" w:rsidRPr="00E10EAC" w:rsidRDefault="00956367" w:rsidP="00E10EAC">
      <w:pPr>
        <w:jc w:val="both"/>
        <w:textAlignment w:val="center"/>
        <w:rPr>
          <w:rFonts w:ascii="Arial" w:hAnsi="Arial" w:cs="Arial"/>
          <w:i/>
          <w:sz w:val="18"/>
          <w:szCs w:val="18"/>
        </w:rPr>
      </w:pPr>
      <w:r w:rsidRPr="00E10EAC">
        <w:rPr>
          <w:rStyle w:val="Refdenotaalpie"/>
          <w:rFonts w:ascii="Arial" w:hAnsi="Arial" w:cs="Arial"/>
          <w:sz w:val="18"/>
          <w:szCs w:val="18"/>
        </w:rPr>
        <w:footnoteRef/>
      </w:r>
      <w:r w:rsidRPr="00E10EAC">
        <w:rPr>
          <w:rFonts w:ascii="Arial" w:hAnsi="Arial" w:cs="Arial"/>
          <w:sz w:val="18"/>
          <w:szCs w:val="18"/>
        </w:rPr>
        <w:t xml:space="preserve"> La Sala Plena de lo Contencioso Administrativo del Consejo de Estado, mediante auto del 25 de junio de 2014, radicación 49.299, M.P. Enrique Gil Botero, dispuso que en virtud del principio del efecto útil de las normas, el Código General del Proceso entró a regir a partir del 1º de enero de 2014, </w:t>
      </w:r>
      <w:r w:rsidRPr="00E10EAC">
        <w:rPr>
          <w:rFonts w:ascii="Arial" w:hAnsi="Arial" w:cs="Arial"/>
          <w:i/>
          <w:sz w:val="18"/>
          <w:szCs w:val="18"/>
        </w:rPr>
        <w:t>“salvo las situaciones que se gobiernen por la norma de transición (…) las cuales se resolverán con la norma vigente al momento en que inició el respectivo trámite (…)”.</w:t>
      </w:r>
    </w:p>
    <w:p w14:paraId="77BE2DAA" w14:textId="77777777" w:rsidR="00956367" w:rsidRPr="00E10EAC" w:rsidRDefault="00956367" w:rsidP="00E10EAC">
      <w:pPr>
        <w:pStyle w:val="Textonotapie"/>
        <w:jc w:val="both"/>
        <w:rPr>
          <w:rFonts w:ascii="Arial" w:hAnsi="Arial" w:cs="Arial"/>
          <w:sz w:val="18"/>
          <w:szCs w:val="18"/>
        </w:rPr>
      </w:pPr>
      <w:r w:rsidRPr="00E10EAC">
        <w:rPr>
          <w:rFonts w:ascii="Arial" w:hAnsi="Arial" w:cs="Arial"/>
          <w:sz w:val="18"/>
          <w:szCs w:val="18"/>
        </w:rPr>
        <w:t>Lo anterior, ante la evidencia de que en esta Jurisdicción, desde la expedición de la Ley 1437 de 2011, se implementó un sistema principalmente oral, razón por la cual, dada la existencia de las condiciones físicas y logísticas requeridas para ello, resultaría carente de fundamento la inaplicación del Código General del Proceso.</w:t>
      </w:r>
    </w:p>
  </w:footnote>
  <w:footnote w:id="4">
    <w:p w14:paraId="261DF102" w14:textId="77777777" w:rsidR="00956367" w:rsidRPr="00E10EAC" w:rsidRDefault="00956367" w:rsidP="00E10EAC">
      <w:pPr>
        <w:pStyle w:val="Textonotapie"/>
        <w:jc w:val="both"/>
        <w:rPr>
          <w:rFonts w:ascii="Arial" w:hAnsi="Arial" w:cs="Arial"/>
          <w:sz w:val="18"/>
          <w:szCs w:val="18"/>
          <w:lang w:val="es-CO"/>
        </w:rPr>
      </w:pPr>
      <w:r w:rsidRPr="00E10EAC">
        <w:rPr>
          <w:rStyle w:val="Refdenotaalpie"/>
          <w:rFonts w:ascii="Arial" w:hAnsi="Arial" w:cs="Arial"/>
          <w:sz w:val="18"/>
          <w:szCs w:val="18"/>
        </w:rPr>
        <w:footnoteRef/>
      </w:r>
      <w:r w:rsidRPr="00E10EAC">
        <w:rPr>
          <w:rFonts w:ascii="Arial" w:hAnsi="Arial" w:cs="Arial"/>
          <w:sz w:val="18"/>
          <w:szCs w:val="18"/>
        </w:rPr>
        <w:t xml:space="preserve"> </w:t>
      </w:r>
      <w:r w:rsidRPr="00E10EAC">
        <w:rPr>
          <w:rFonts w:ascii="Arial" w:hAnsi="Arial" w:cs="Arial"/>
          <w:sz w:val="18"/>
          <w:szCs w:val="18"/>
          <w:lang w:val="es-CO"/>
        </w:rPr>
        <w:t>De conformidad con lo establecido en el artículo 125 del CPACA, corresponde al Despacho resolver el presente recurso de apelación, por cuanto no se trata de aquellas decisiones enlistadas en los numerales primero a cuarto del artículo 243 del CPACA, cuyo conocimiento corresponde a la Sala.</w:t>
      </w:r>
    </w:p>
  </w:footnote>
  <w:footnote w:id="5">
    <w:p w14:paraId="1B49D69D" w14:textId="77777777" w:rsidR="00956367" w:rsidRPr="00E10EAC" w:rsidRDefault="00956367" w:rsidP="00E10EAC">
      <w:pPr>
        <w:pStyle w:val="Textonotapie"/>
        <w:jc w:val="both"/>
        <w:rPr>
          <w:rFonts w:ascii="Arial" w:hAnsi="Arial" w:cs="Arial"/>
          <w:sz w:val="18"/>
          <w:szCs w:val="18"/>
        </w:rPr>
      </w:pPr>
      <w:r w:rsidRPr="00E10EAC">
        <w:rPr>
          <w:rStyle w:val="Refdenotaalpie"/>
          <w:rFonts w:ascii="Arial" w:hAnsi="Arial" w:cs="Arial"/>
          <w:sz w:val="18"/>
          <w:szCs w:val="18"/>
        </w:rPr>
        <w:footnoteRef/>
      </w:r>
      <w:r w:rsidRPr="00E10EAC">
        <w:rPr>
          <w:rFonts w:ascii="Arial" w:hAnsi="Arial" w:cs="Arial"/>
          <w:sz w:val="18"/>
          <w:szCs w:val="18"/>
        </w:rPr>
        <w:t xml:space="preserve"> Artículo 150. “</w:t>
      </w:r>
      <w:r w:rsidRPr="00E10EAC">
        <w:rPr>
          <w:rFonts w:ascii="Arial" w:hAnsi="Arial" w:cs="Arial"/>
          <w:i/>
          <w:iCs/>
          <w:sz w:val="18"/>
          <w:szCs w:val="18"/>
          <w:shd w:val="clear" w:color="auto" w:fill="FFFFFF"/>
        </w:rPr>
        <w:t>Competencia del Consejo de Estado en segunda instancia y cambio de radicación</w:t>
      </w:r>
      <w:r w:rsidRPr="00E10EAC">
        <w:rPr>
          <w:rFonts w:ascii="Arial" w:hAnsi="Arial" w:cs="Arial"/>
          <w:i/>
          <w:sz w:val="18"/>
          <w:szCs w:val="18"/>
          <w:shd w:val="clear" w:color="auto" w:fill="FFFFFF"/>
        </w:rPr>
        <w:t>. El Consejo de Estado, en Sala de lo Contencioso Administrativo conocerá en segunda instancia de las apelaciones de las sentencias dictadas en primera instancia por los tribunales administrativos y de las apelaciones de autos susceptibles de este medio de impugnación, así como de los recursos de queja cuando no se conceda el de apelación por parte de los tribunales, o se conceda en un efecto distinto del que corresponda, o no se concedan los extraordinarios de revisión o de unificación de jurisprudencia</w:t>
      </w:r>
      <w:r w:rsidRPr="00E10EAC">
        <w:rPr>
          <w:rFonts w:ascii="Arial" w:hAnsi="Arial" w:cs="Arial"/>
          <w:sz w:val="18"/>
          <w:szCs w:val="18"/>
          <w:shd w:val="clear" w:color="auto" w:fill="FFFFFF"/>
        </w:rPr>
        <w:t>”.</w:t>
      </w:r>
    </w:p>
  </w:footnote>
  <w:footnote w:id="6">
    <w:p w14:paraId="1F6BEDF8" w14:textId="77777777" w:rsidR="00956367" w:rsidRPr="00E10EAC" w:rsidRDefault="00956367" w:rsidP="00E10EAC">
      <w:pPr>
        <w:jc w:val="both"/>
        <w:rPr>
          <w:rFonts w:ascii="Arial" w:hAnsi="Arial" w:cs="Arial"/>
          <w:bCs/>
          <w:sz w:val="18"/>
          <w:szCs w:val="18"/>
          <w:shd w:val="clear" w:color="auto" w:fill="FFFFFF"/>
        </w:rPr>
      </w:pPr>
      <w:r w:rsidRPr="00E10EAC">
        <w:rPr>
          <w:rStyle w:val="Refdenotaalpie"/>
          <w:rFonts w:ascii="Arial" w:hAnsi="Arial" w:cs="Arial"/>
          <w:sz w:val="18"/>
          <w:szCs w:val="18"/>
        </w:rPr>
        <w:footnoteRef/>
      </w:r>
      <w:r w:rsidRPr="00E10EAC">
        <w:rPr>
          <w:rFonts w:ascii="Arial" w:hAnsi="Arial" w:cs="Arial"/>
          <w:sz w:val="18"/>
          <w:szCs w:val="18"/>
        </w:rPr>
        <w:t xml:space="preserve"> En sentencia de 13 de noviembre de 2018, proferida por la Sección Tercera del Consejo de Estado, en el proceso rad. bajo el n.° </w:t>
      </w:r>
      <w:r w:rsidRPr="00E10EAC">
        <w:rPr>
          <w:rFonts w:ascii="Arial" w:hAnsi="Arial" w:cs="Arial"/>
          <w:bCs/>
          <w:sz w:val="18"/>
          <w:szCs w:val="18"/>
          <w:shd w:val="clear" w:color="auto" w:fill="FFFFFF"/>
        </w:rPr>
        <w:t>25000-23-26-000-2006-00845-01(36862), M.P. Carlos Alberto Zambrano Barrera, se definió la “</w:t>
      </w:r>
      <w:r w:rsidRPr="00E10EAC">
        <w:rPr>
          <w:rFonts w:ascii="Arial" w:hAnsi="Arial" w:cs="Arial"/>
          <w:bCs/>
          <w:i/>
          <w:sz w:val="18"/>
          <w:szCs w:val="18"/>
          <w:shd w:val="clear" w:color="auto" w:fill="FFFFFF"/>
        </w:rPr>
        <w:t>ruptura del equilibrio económico-financiero del contrato</w:t>
      </w:r>
      <w:r w:rsidRPr="00E10EAC">
        <w:rPr>
          <w:rFonts w:ascii="Arial" w:hAnsi="Arial" w:cs="Arial"/>
          <w:bCs/>
          <w:sz w:val="18"/>
          <w:szCs w:val="18"/>
          <w:shd w:val="clear" w:color="auto" w:fill="FFFFFF"/>
        </w:rPr>
        <w:t xml:space="preserve">” en los siguientes términos: </w:t>
      </w:r>
    </w:p>
    <w:p w14:paraId="7854CF07" w14:textId="77777777" w:rsidR="00956367" w:rsidRPr="00E10EAC" w:rsidRDefault="00956367" w:rsidP="00E10EAC">
      <w:pPr>
        <w:jc w:val="both"/>
        <w:rPr>
          <w:rFonts w:ascii="Arial" w:hAnsi="Arial" w:cs="Arial"/>
          <w:sz w:val="18"/>
          <w:szCs w:val="18"/>
        </w:rPr>
      </w:pPr>
      <w:r w:rsidRPr="00E10EAC">
        <w:rPr>
          <w:rFonts w:ascii="Arial" w:hAnsi="Arial" w:cs="Arial"/>
          <w:bCs/>
          <w:sz w:val="18"/>
          <w:szCs w:val="18"/>
          <w:shd w:val="clear" w:color="auto" w:fill="FFFFFF"/>
        </w:rPr>
        <w:t>“</w:t>
      </w:r>
      <w:r w:rsidRPr="00E10EAC">
        <w:rPr>
          <w:rFonts w:ascii="Arial" w:hAnsi="Arial" w:cs="Arial"/>
          <w:bCs/>
          <w:i/>
          <w:sz w:val="18"/>
          <w:szCs w:val="18"/>
          <w:shd w:val="clear" w:color="auto" w:fill="FFFFFF"/>
        </w:rPr>
        <w:t xml:space="preserve">(…) supone la alteración </w:t>
      </w:r>
      <w:r w:rsidRPr="00E10EAC">
        <w:rPr>
          <w:rFonts w:ascii="Arial" w:hAnsi="Arial" w:cs="Arial"/>
          <w:i/>
          <w:sz w:val="18"/>
          <w:szCs w:val="18"/>
        </w:rPr>
        <w:t xml:space="preserve">del sinalagma funcional (correlación y equivalencia en las prestaciones) pactado al inicio de la relación negocial, bien sea por la expresión del poder soberano del Estado, capaz de afectar el vínculo jurídico a través de decisiones con relevancia jurídica, bien por la voluntad de la parte que, dentro de la relación contractual, ostenta posición de supremacía frente a su co-contratante, bien por situaciones imprevistas, imprevisibles e irresistibles que impactan la economía del contrato o por hechos previsibles en cuanto a su ocurrencia, pero con efectos imprevistos e irresistibles (como la variación de precios), por razones no imputables a las partes. </w:t>
      </w:r>
    </w:p>
    <w:p w14:paraId="0537A4AE" w14:textId="77777777" w:rsidR="00956367" w:rsidRPr="00E10EAC" w:rsidRDefault="00956367" w:rsidP="00E10EAC">
      <w:pPr>
        <w:pStyle w:val="western"/>
        <w:shd w:val="clear" w:color="auto" w:fill="FFFFFF"/>
        <w:spacing w:before="0" w:beforeAutospacing="0" w:after="0" w:afterAutospacing="0"/>
        <w:jc w:val="both"/>
        <w:rPr>
          <w:rFonts w:ascii="Arial" w:hAnsi="Arial" w:cs="Arial"/>
          <w:i/>
          <w:sz w:val="18"/>
          <w:szCs w:val="18"/>
          <w:lang w:val="es-ES"/>
        </w:rPr>
      </w:pPr>
      <w:r w:rsidRPr="00E10EAC">
        <w:rPr>
          <w:rFonts w:ascii="Arial" w:hAnsi="Arial" w:cs="Arial"/>
          <w:i/>
          <w:sz w:val="18"/>
          <w:szCs w:val="18"/>
        </w:rPr>
        <w:t>“La Sección Tercera de esta Corporación ha acogido las teorías desarrolladas por la doctrina foránea en torno a las fuentes que dan lugar a la ruptura del equilibrio económico-financiero del contrato estatal, señalando que éste puede verse alterado por actos y hechos de la administración o por factores externos o extraños a las partes involucradas en la relación contractual. A los primeros se les denomina ‘hecho del príncipe’ y ‘potestas ius variandi’ (álea administrativa), mientras que a los supuestos que emergen de la segunda fuente se les enmarca dentro de la denominada ‘teoría de la imprevisión” y, paralelamente, en la ‘teoría de la previsibilidad’. Lo anterior permite deducir, con absoluta claridad, que aquel equilibrio puede verse alterado por el ejercicio del poder dentro del marco de la legalidad o por situaciones ajenas a las partes, que hacen más o menos gravosa la prestación; pero, en ningún caso tiene lugar por los comportamientos antijurídicos de las partes del contrato”.</w:t>
      </w:r>
    </w:p>
  </w:footnote>
  <w:footnote w:id="7">
    <w:p w14:paraId="0A51BB1F" w14:textId="77777777" w:rsidR="00956367" w:rsidRPr="00E10EAC" w:rsidRDefault="00956367" w:rsidP="00E10EAC">
      <w:pPr>
        <w:pStyle w:val="Textonotapie"/>
        <w:jc w:val="both"/>
        <w:rPr>
          <w:rFonts w:ascii="Arial" w:hAnsi="Arial" w:cs="Arial"/>
          <w:sz w:val="18"/>
          <w:szCs w:val="18"/>
        </w:rPr>
      </w:pPr>
      <w:r w:rsidRPr="00E10EAC">
        <w:rPr>
          <w:rStyle w:val="Refdenotaalpie"/>
          <w:rFonts w:ascii="Arial" w:hAnsi="Arial" w:cs="Arial"/>
          <w:sz w:val="18"/>
          <w:szCs w:val="18"/>
        </w:rPr>
        <w:footnoteRef/>
      </w:r>
      <w:r w:rsidRPr="00E10EAC">
        <w:rPr>
          <w:rFonts w:ascii="Arial" w:hAnsi="Arial" w:cs="Arial"/>
          <w:sz w:val="18"/>
          <w:szCs w:val="18"/>
        </w:rPr>
        <w:t xml:space="preserve"> Al respecto, la Sección Tercera del Consejo de Estado, en sentencia de 6 de mayo de 2015, proferida en el proceso rad. bajo el n.° 05001-23-31-000-1995-00271-01(31837), M.P. Olga Mélida Valle de la Hoz, explicó en detalle los eventos en los que puede darse el desequilibrio económico de los contratos, entre ellos, la expedición de un acto por parte de un ente estatal, y sus efectos, sobre lo cual mencionó lo siguiente:</w:t>
      </w:r>
    </w:p>
    <w:p w14:paraId="64BA7203" w14:textId="77777777" w:rsidR="00956367" w:rsidRPr="00E10EAC" w:rsidRDefault="00956367" w:rsidP="00E10EAC">
      <w:pPr>
        <w:pStyle w:val="Textonotapie"/>
        <w:jc w:val="both"/>
        <w:rPr>
          <w:rFonts w:ascii="Arial" w:hAnsi="Arial" w:cs="Arial"/>
          <w:i/>
          <w:sz w:val="18"/>
          <w:szCs w:val="18"/>
        </w:rPr>
      </w:pPr>
      <w:r w:rsidRPr="00E10EAC">
        <w:rPr>
          <w:rFonts w:ascii="Arial" w:hAnsi="Arial" w:cs="Arial"/>
          <w:i/>
          <w:sz w:val="18"/>
          <w:szCs w:val="18"/>
        </w:rPr>
        <w:t>“Ahora bien, en el derecho vernáculo la doctrina y jurisprudencia mayoritaria han efectuado una distinción, para señalar que los eventos de desequilibrio generados  a partir de un acto de imperio expedido por la entidad contratante son los únicos que se enmarcan dentro de la denominada teoría del hecho del príncipe (fait du prince) (tesis strictu sensu) y, por consiguiente, son los únicos supuestos en que el restablecimiento de la ecuación financiera no sólo comprende los costos y gastos en que incurrió el contratista, sino, de igual forma, la utilidad esperada. A contrario sensu, si la decisión administrativa que impactó el contrato de manera negativa fue proferida por una entidad estatal distinta a la contratante, será aplicable la teoría de la imprevisión, de conformidad con las consecuencias que de la misma se desprenden, tal y como se analizará en el acápite siguiente, esto es, supuestos en los que la economía del contrato se altera en virtud de un hecho externo a las partes contratantes”.</w:t>
      </w:r>
    </w:p>
  </w:footnote>
  <w:footnote w:id="8">
    <w:p w14:paraId="46D835F4" w14:textId="77777777" w:rsidR="00956367" w:rsidRPr="00E10EAC" w:rsidRDefault="00956367" w:rsidP="00E10EAC">
      <w:pPr>
        <w:pStyle w:val="Textonotapie"/>
        <w:jc w:val="both"/>
        <w:rPr>
          <w:rFonts w:ascii="Arial" w:hAnsi="Arial" w:cs="Arial"/>
          <w:i/>
          <w:sz w:val="18"/>
          <w:szCs w:val="18"/>
        </w:rPr>
      </w:pPr>
      <w:r w:rsidRPr="00E10EAC">
        <w:rPr>
          <w:rStyle w:val="Refdenotaalpie"/>
          <w:rFonts w:ascii="Arial" w:hAnsi="Arial" w:cs="Arial"/>
          <w:sz w:val="18"/>
          <w:szCs w:val="18"/>
        </w:rPr>
        <w:footnoteRef/>
      </w:r>
      <w:r w:rsidRPr="00E10EAC">
        <w:rPr>
          <w:rFonts w:ascii="Arial" w:hAnsi="Arial" w:cs="Arial"/>
          <w:sz w:val="18"/>
          <w:szCs w:val="18"/>
        </w:rPr>
        <w:t xml:space="preserve"> </w:t>
      </w:r>
      <w:bookmarkStart w:id="9" w:name="4"/>
      <w:r w:rsidRPr="00E10EAC">
        <w:rPr>
          <w:rFonts w:ascii="Arial" w:hAnsi="Arial" w:cs="Arial"/>
          <w:b/>
          <w:bCs/>
          <w:sz w:val="18"/>
          <w:szCs w:val="18"/>
        </w:rPr>
        <w:t>Artículo 4. De los derechos y deberes de las entidades estatales.</w:t>
      </w:r>
      <w:bookmarkEnd w:id="9"/>
      <w:r w:rsidRPr="00E10EAC">
        <w:rPr>
          <w:rFonts w:ascii="Arial" w:hAnsi="Arial" w:cs="Arial"/>
          <w:sz w:val="18"/>
          <w:szCs w:val="18"/>
        </w:rPr>
        <w:t xml:space="preserve"> “</w:t>
      </w:r>
      <w:r w:rsidRPr="00E10EAC">
        <w:rPr>
          <w:rFonts w:ascii="Arial" w:hAnsi="Arial" w:cs="Arial"/>
          <w:i/>
          <w:sz w:val="18"/>
          <w:szCs w:val="18"/>
        </w:rPr>
        <w:t>Para la consecución de los fines de que trata el artículo anterior, las entidades estatales: (…)</w:t>
      </w:r>
    </w:p>
    <w:p w14:paraId="420F1041" w14:textId="77777777" w:rsidR="00956367" w:rsidRPr="00E10EAC" w:rsidRDefault="00956367" w:rsidP="00E10EAC">
      <w:pPr>
        <w:pStyle w:val="Textonotapie"/>
        <w:jc w:val="both"/>
        <w:rPr>
          <w:rFonts w:ascii="Arial" w:hAnsi="Arial" w:cs="Arial"/>
          <w:i/>
          <w:sz w:val="18"/>
          <w:szCs w:val="18"/>
        </w:rPr>
      </w:pPr>
      <w:r w:rsidRPr="00E10EAC">
        <w:rPr>
          <w:rFonts w:ascii="Arial" w:hAnsi="Arial" w:cs="Arial"/>
          <w:i/>
          <w:sz w:val="18"/>
          <w:szCs w:val="18"/>
        </w:rPr>
        <w:t>3o. Solicitarán la actualización o la revisión de los precios cuando se produzcan fenómenos que alteren en su contra el equilibrio económico o financiero del contrato. (…)</w:t>
      </w:r>
    </w:p>
    <w:p w14:paraId="1844BB5B" w14:textId="77777777" w:rsidR="00956367" w:rsidRPr="00E10EAC" w:rsidRDefault="00956367" w:rsidP="00E10EAC">
      <w:pPr>
        <w:pStyle w:val="Textonotapie"/>
        <w:jc w:val="both"/>
        <w:rPr>
          <w:rFonts w:ascii="Arial" w:hAnsi="Arial" w:cs="Arial"/>
          <w:sz w:val="18"/>
          <w:szCs w:val="18"/>
          <w:lang w:val="es-CO"/>
        </w:rPr>
      </w:pPr>
      <w:r w:rsidRPr="00E10EAC">
        <w:rPr>
          <w:rFonts w:ascii="Arial" w:hAnsi="Arial" w:cs="Arial"/>
          <w:i/>
          <w:sz w:val="18"/>
          <w:szCs w:val="18"/>
        </w:rPr>
        <w:t xml:space="preserve">8o. (Reformado por la Ley 1150 de 2007) Adoptarán las medidas necesarias para mantener durante el desarrollo y ejecución del contrato las condiciones técnicas, económicas y financieras </w:t>
      </w:r>
      <w:r w:rsidRPr="00E10EAC">
        <w:rPr>
          <w:rStyle w:val="iaj"/>
          <w:rFonts w:ascii="Arial" w:hAnsi="Arial" w:cs="Arial"/>
          <w:i/>
          <w:iCs/>
          <w:sz w:val="18"/>
          <w:szCs w:val="18"/>
        </w:rPr>
        <w:t>existentes al momento de proponer en los casos en que se hubiere realizado licitación, o de contratar en los casos de contratación directa</w:t>
      </w:r>
      <w:r w:rsidRPr="00E10EAC">
        <w:rPr>
          <w:rFonts w:ascii="Arial" w:hAnsi="Arial" w:cs="Arial"/>
          <w:i/>
          <w:sz w:val="18"/>
          <w:szCs w:val="18"/>
        </w:rPr>
        <w:t>. Para ello utilizarán los mecanismos de ajuste y revisión de precios, acudirán a los procedimientos de revisión y corrección de tales mecanismos si fracasan los supuestos o hipótesis para la ejecución y pactarán intereses moratorios”</w:t>
      </w:r>
      <w:r w:rsidRPr="00E10EAC">
        <w:rPr>
          <w:rFonts w:ascii="Arial" w:hAnsi="Arial" w:cs="Arial"/>
          <w:sz w:val="18"/>
          <w:szCs w:val="18"/>
        </w:rPr>
        <w:t>.</w:t>
      </w:r>
    </w:p>
  </w:footnote>
  <w:footnote w:id="9">
    <w:p w14:paraId="6F5ABBA8" w14:textId="77777777" w:rsidR="00956367" w:rsidRPr="00E10EAC" w:rsidRDefault="00956367" w:rsidP="00E10EAC">
      <w:pPr>
        <w:pStyle w:val="NormalWeb"/>
        <w:spacing w:before="0" w:beforeAutospacing="0" w:after="0" w:afterAutospacing="0"/>
        <w:jc w:val="both"/>
        <w:rPr>
          <w:rFonts w:ascii="Arial" w:hAnsi="Arial" w:cs="Arial"/>
          <w:i/>
          <w:sz w:val="18"/>
          <w:szCs w:val="18"/>
        </w:rPr>
      </w:pPr>
      <w:r w:rsidRPr="00E10EAC">
        <w:rPr>
          <w:rStyle w:val="Refdenotaalpie"/>
          <w:rFonts w:ascii="Arial" w:hAnsi="Arial" w:cs="Arial"/>
          <w:sz w:val="18"/>
          <w:szCs w:val="18"/>
        </w:rPr>
        <w:footnoteRef/>
      </w:r>
      <w:r w:rsidRPr="00E10EAC">
        <w:rPr>
          <w:rFonts w:ascii="Arial" w:hAnsi="Arial" w:cs="Arial"/>
          <w:sz w:val="18"/>
          <w:szCs w:val="18"/>
        </w:rPr>
        <w:t xml:space="preserve"> </w:t>
      </w:r>
      <w:bookmarkStart w:id="10" w:name="5"/>
      <w:r w:rsidRPr="00E10EAC">
        <w:rPr>
          <w:rFonts w:ascii="Arial" w:hAnsi="Arial" w:cs="Arial"/>
          <w:b/>
          <w:bCs/>
          <w:sz w:val="18"/>
          <w:szCs w:val="18"/>
        </w:rPr>
        <w:t>Artículo 5. De los derechos y deberes de los contratistas.</w:t>
      </w:r>
      <w:bookmarkEnd w:id="10"/>
      <w:r w:rsidRPr="00E10EAC">
        <w:rPr>
          <w:rFonts w:ascii="Arial" w:hAnsi="Arial" w:cs="Arial"/>
          <w:sz w:val="18"/>
          <w:szCs w:val="18"/>
        </w:rPr>
        <w:t xml:space="preserve"> </w:t>
      </w:r>
      <w:r w:rsidRPr="00E10EAC">
        <w:rPr>
          <w:rFonts w:ascii="Arial" w:hAnsi="Arial" w:cs="Arial"/>
          <w:i/>
          <w:sz w:val="18"/>
          <w:szCs w:val="18"/>
        </w:rPr>
        <w:t>“Para la realización de los fines de que trata el artículo </w:t>
      </w:r>
      <w:hyperlink r:id="rId1" w:anchor="3" w:history="1">
        <w:r w:rsidRPr="00E10EAC">
          <w:rPr>
            <w:rStyle w:val="Hipervnculo"/>
            <w:rFonts w:ascii="Arial" w:hAnsi="Arial" w:cs="Arial"/>
            <w:i/>
            <w:color w:val="auto"/>
            <w:sz w:val="18"/>
            <w:szCs w:val="18"/>
          </w:rPr>
          <w:t>3</w:t>
        </w:r>
      </w:hyperlink>
      <w:r w:rsidRPr="00E10EAC">
        <w:rPr>
          <w:rFonts w:ascii="Arial" w:hAnsi="Arial" w:cs="Arial"/>
          <w:i/>
          <w:sz w:val="18"/>
          <w:szCs w:val="18"/>
        </w:rPr>
        <w:t>o. de esta ley, los contratistas:</w:t>
      </w:r>
    </w:p>
    <w:p w14:paraId="5F4F7F57" w14:textId="77777777" w:rsidR="00956367" w:rsidRPr="00E10EAC" w:rsidRDefault="00956367" w:rsidP="00E10EAC">
      <w:pPr>
        <w:pStyle w:val="NormalWeb"/>
        <w:spacing w:before="0" w:beforeAutospacing="0" w:after="0" w:afterAutospacing="0"/>
        <w:jc w:val="both"/>
        <w:rPr>
          <w:rFonts w:ascii="Arial" w:hAnsi="Arial" w:cs="Arial"/>
          <w:i/>
          <w:sz w:val="18"/>
          <w:szCs w:val="18"/>
        </w:rPr>
      </w:pPr>
      <w:r w:rsidRPr="00E10EAC">
        <w:rPr>
          <w:rFonts w:ascii="Arial" w:hAnsi="Arial" w:cs="Arial"/>
          <w:i/>
          <w:sz w:val="18"/>
          <w:szCs w:val="18"/>
        </w:rPr>
        <w:t>1o. Tendrán derecho a recibir oportunamente la remuneración pactada y a que el valor intrínseco de la misma no se altere o modifique durante la vigencia del contrato.</w:t>
      </w:r>
    </w:p>
    <w:p w14:paraId="242846E1" w14:textId="77777777" w:rsidR="00956367" w:rsidRPr="00E10EAC" w:rsidRDefault="00956367" w:rsidP="00E10EAC">
      <w:pPr>
        <w:pStyle w:val="NormalWeb"/>
        <w:spacing w:before="0" w:beforeAutospacing="0" w:after="0" w:afterAutospacing="0"/>
        <w:jc w:val="both"/>
        <w:rPr>
          <w:rFonts w:ascii="Arial" w:hAnsi="Arial" w:cs="Arial"/>
          <w:sz w:val="18"/>
          <w:szCs w:val="18"/>
        </w:rPr>
      </w:pPr>
      <w:r w:rsidRPr="00E10EAC">
        <w:rPr>
          <w:rFonts w:ascii="Arial" w:hAnsi="Arial" w:cs="Arial"/>
          <w:i/>
          <w:sz w:val="18"/>
          <w:szCs w:val="18"/>
        </w:rPr>
        <w:t>En consecuencia tendrán derecho, previa solicitud, a que la administración les restablezca el equilibrio de la ecuación económica del contrato a un punto de no pérdida por la ocurrencia de situaciones imprevistas que no sean imputables a los contratistas. Si dicho equilibrio se rompe por incumplimiento de la entidad estatal contratante, tendrá que restablecerse la ecuación surgida al momento del nacimiento del contrato. (…)”</w:t>
      </w:r>
    </w:p>
  </w:footnote>
  <w:footnote w:id="10">
    <w:p w14:paraId="66AB5485" w14:textId="77777777" w:rsidR="00956367" w:rsidRPr="00E10EAC" w:rsidRDefault="00956367" w:rsidP="00E10EAC">
      <w:pPr>
        <w:pStyle w:val="NormalWeb"/>
        <w:spacing w:before="0" w:beforeAutospacing="0" w:after="0" w:afterAutospacing="0"/>
        <w:jc w:val="both"/>
        <w:rPr>
          <w:rFonts w:ascii="Arial" w:hAnsi="Arial" w:cs="Arial"/>
          <w:i/>
          <w:sz w:val="18"/>
          <w:szCs w:val="18"/>
        </w:rPr>
      </w:pPr>
      <w:r w:rsidRPr="00E10EAC">
        <w:rPr>
          <w:rStyle w:val="Refdenotaalpie"/>
          <w:rFonts w:ascii="Arial" w:hAnsi="Arial" w:cs="Arial"/>
          <w:sz w:val="18"/>
          <w:szCs w:val="18"/>
        </w:rPr>
        <w:footnoteRef/>
      </w:r>
      <w:r w:rsidRPr="00E10EAC">
        <w:rPr>
          <w:rFonts w:ascii="Arial" w:hAnsi="Arial" w:cs="Arial"/>
          <w:sz w:val="18"/>
          <w:szCs w:val="18"/>
        </w:rPr>
        <w:t xml:space="preserve"> </w:t>
      </w:r>
      <w:bookmarkStart w:id="11" w:name="27"/>
      <w:r w:rsidRPr="00E10EAC">
        <w:rPr>
          <w:rFonts w:ascii="Arial" w:hAnsi="Arial" w:cs="Arial"/>
          <w:b/>
          <w:bCs/>
          <w:sz w:val="18"/>
          <w:szCs w:val="18"/>
        </w:rPr>
        <w:t>Artículo 27. De la ecuación contractual.</w:t>
      </w:r>
      <w:bookmarkEnd w:id="11"/>
      <w:r w:rsidRPr="00E10EAC">
        <w:rPr>
          <w:rFonts w:ascii="Arial" w:hAnsi="Arial" w:cs="Arial"/>
          <w:sz w:val="18"/>
          <w:szCs w:val="18"/>
        </w:rPr>
        <w:t xml:space="preserve"> </w:t>
      </w:r>
      <w:r w:rsidRPr="00E10EAC">
        <w:rPr>
          <w:rFonts w:ascii="Arial" w:hAnsi="Arial" w:cs="Arial"/>
          <w:i/>
          <w:sz w:val="18"/>
          <w:szCs w:val="18"/>
        </w:rPr>
        <w:t>“En los contratos estatales se mantendrá la igualdad o equivalencia entre derechos y obligaciones surgidos al momento de proponer o de contratar, según el caso. Si dicha igualdad o equivalencia se rompe por causas no imputables a quien resulte afectado, las partes adoptarán en el menor tiempo posible las medidas necesarias para su restablecimiento.</w:t>
      </w:r>
    </w:p>
    <w:p w14:paraId="7D177A69" w14:textId="77777777" w:rsidR="00956367" w:rsidRPr="00E10EAC" w:rsidRDefault="00956367" w:rsidP="00E10EAC">
      <w:pPr>
        <w:pStyle w:val="NormalWeb"/>
        <w:spacing w:before="0" w:beforeAutospacing="0" w:after="0" w:afterAutospacing="0"/>
        <w:jc w:val="both"/>
        <w:rPr>
          <w:rFonts w:ascii="Arial" w:hAnsi="Arial" w:cs="Arial"/>
          <w:sz w:val="18"/>
          <w:szCs w:val="18"/>
        </w:rPr>
      </w:pPr>
      <w:r w:rsidRPr="00E10EAC">
        <w:rPr>
          <w:rFonts w:ascii="Arial" w:hAnsi="Arial" w:cs="Arial"/>
          <w:i/>
          <w:sz w:val="18"/>
          <w:szCs w:val="18"/>
        </w:rPr>
        <w:t>Para tales efectos, las partes suscribirán los acuerdos y pactos necesarios sobre cuantía, condiciones y forma de pago de gastos adicionales, reconocimiento de costos financieros e intereses, si a ello hubiere lugar, ajustando la cancelación a las disponibilidades de la apropiación de que trata el numeral 14 del artículo </w:t>
      </w:r>
      <w:hyperlink r:id="rId2" w:anchor="25" w:history="1">
        <w:r w:rsidRPr="00E10EAC">
          <w:rPr>
            <w:rStyle w:val="Hipervnculo"/>
            <w:rFonts w:ascii="Arial" w:hAnsi="Arial" w:cs="Arial"/>
            <w:i/>
            <w:color w:val="auto"/>
            <w:sz w:val="18"/>
            <w:szCs w:val="18"/>
            <w:u w:val="none"/>
          </w:rPr>
          <w:t>25</w:t>
        </w:r>
      </w:hyperlink>
      <w:r w:rsidRPr="00E10EAC">
        <w:rPr>
          <w:rFonts w:ascii="Arial" w:hAnsi="Arial" w:cs="Arial"/>
          <w:i/>
          <w:sz w:val="18"/>
          <w:szCs w:val="18"/>
        </w:rPr>
        <w:t>. En todo caso, las entidades deberán adoptar las medidas necesarias que aseguren la efectividad de estos pagos y reconocimientos al contratista en la misma o en la siguiente vigencia de que se trate”.</w:t>
      </w:r>
    </w:p>
  </w:footnote>
  <w:footnote w:id="11">
    <w:p w14:paraId="3DE14A0A" w14:textId="77777777" w:rsidR="00956367" w:rsidRPr="00E10EAC" w:rsidRDefault="00956367" w:rsidP="00E10EAC">
      <w:pPr>
        <w:pStyle w:val="NormalWeb"/>
        <w:spacing w:before="0" w:beforeAutospacing="0" w:after="0" w:afterAutospacing="0"/>
        <w:jc w:val="both"/>
        <w:rPr>
          <w:rFonts w:ascii="Arial" w:hAnsi="Arial" w:cs="Arial"/>
          <w:i/>
          <w:sz w:val="18"/>
          <w:szCs w:val="18"/>
        </w:rPr>
      </w:pPr>
      <w:r w:rsidRPr="00E10EAC">
        <w:rPr>
          <w:rStyle w:val="Refdenotaalpie"/>
          <w:rFonts w:ascii="Arial" w:hAnsi="Arial" w:cs="Arial"/>
          <w:sz w:val="18"/>
          <w:szCs w:val="18"/>
        </w:rPr>
        <w:footnoteRef/>
      </w:r>
      <w:r w:rsidRPr="00E10EAC">
        <w:rPr>
          <w:rFonts w:ascii="Arial" w:hAnsi="Arial" w:cs="Arial"/>
          <w:sz w:val="18"/>
          <w:szCs w:val="18"/>
        </w:rPr>
        <w:t xml:space="preserve"> </w:t>
      </w:r>
      <w:bookmarkStart w:id="13" w:name="141"/>
      <w:r w:rsidRPr="00E10EAC">
        <w:rPr>
          <w:rFonts w:ascii="Arial" w:hAnsi="Arial" w:cs="Arial"/>
          <w:b/>
          <w:bCs/>
          <w:sz w:val="18"/>
          <w:szCs w:val="18"/>
        </w:rPr>
        <w:t>Artículo 141. Controversias contractuales</w:t>
      </w:r>
      <w:r w:rsidRPr="00E10EAC">
        <w:rPr>
          <w:rFonts w:ascii="Arial" w:hAnsi="Arial" w:cs="Arial"/>
          <w:b/>
          <w:bCs/>
          <w:i/>
          <w:sz w:val="18"/>
          <w:szCs w:val="18"/>
        </w:rPr>
        <w:t>.</w:t>
      </w:r>
      <w:bookmarkEnd w:id="13"/>
      <w:r w:rsidRPr="00E10EAC">
        <w:rPr>
          <w:rFonts w:ascii="Arial" w:hAnsi="Arial" w:cs="Arial"/>
          <w:b/>
          <w:bCs/>
          <w:i/>
          <w:sz w:val="18"/>
          <w:szCs w:val="18"/>
        </w:rPr>
        <w:t xml:space="preserve"> </w:t>
      </w:r>
      <w:r w:rsidRPr="00E10EAC">
        <w:rPr>
          <w:rFonts w:ascii="Arial" w:hAnsi="Arial" w:cs="Arial"/>
          <w:i/>
          <w:sz w:val="18"/>
          <w:szCs w:val="18"/>
        </w:rPr>
        <w:t xml:space="preserve">”Cualquiera de las partes de un contrato del Estado podrá pedir que se declare su existencia o su nulidad, que se ordene su revisión, que se declare su incumplimiento, que se declare la nulidad de los actos administrativos contractuales, que se condene al responsable a indemnizar los perjuicios, y que se hagan otras declaraciones y condenas. Así mismo, el interesado podrá solicitar la liquidación judicial del contrato cuando esta no se haya logrado de mutuo acuerdo y la entidad estatal no lo haya liquidado unilateralmente dentro de los dos (2) meses siguientes al vencimiento del plazo convenido para liquidar de mutuo acuerdo o, en su defecto, del término establecido por la ley. Los actos proferidos antes de la celebración del contrato, con ocasión de la actividad contractual, podrán demandarse en los términos de los artículos </w:t>
      </w:r>
      <w:hyperlink r:id="rId3" w:anchor="137" w:history="1">
        <w:r w:rsidRPr="00E10EAC">
          <w:rPr>
            <w:rStyle w:val="Hipervnculo"/>
            <w:rFonts w:ascii="Arial" w:hAnsi="Arial" w:cs="Arial"/>
            <w:i/>
            <w:color w:val="auto"/>
            <w:sz w:val="18"/>
            <w:szCs w:val="18"/>
            <w:u w:val="none"/>
          </w:rPr>
          <w:t>137</w:t>
        </w:r>
      </w:hyperlink>
      <w:r w:rsidRPr="00E10EAC">
        <w:rPr>
          <w:rFonts w:ascii="Arial" w:hAnsi="Arial" w:cs="Arial"/>
          <w:i/>
          <w:sz w:val="18"/>
          <w:szCs w:val="18"/>
        </w:rPr>
        <w:t xml:space="preserve"> y </w:t>
      </w:r>
      <w:hyperlink r:id="rId4" w:anchor="138" w:history="1">
        <w:r w:rsidRPr="00E10EAC">
          <w:rPr>
            <w:rStyle w:val="Hipervnculo"/>
            <w:rFonts w:ascii="Arial" w:hAnsi="Arial" w:cs="Arial"/>
            <w:i/>
            <w:color w:val="auto"/>
            <w:sz w:val="18"/>
            <w:szCs w:val="18"/>
            <w:u w:val="none"/>
          </w:rPr>
          <w:t>138</w:t>
        </w:r>
      </w:hyperlink>
      <w:r w:rsidRPr="00E10EAC">
        <w:rPr>
          <w:rFonts w:ascii="Arial" w:hAnsi="Arial" w:cs="Arial"/>
          <w:i/>
          <w:sz w:val="18"/>
          <w:szCs w:val="18"/>
        </w:rPr>
        <w:t xml:space="preserve"> de este Código, según el caso. El Ministerio Público o un tercero que acredite un interés directo podrán pedir que se declare la nulidad absoluta del contrato. El juez administrativo podrá declararla de oficio cuando esté plenamente demostrada en el proceso, siempre y cuando en él hayan intervenido las partes contratantes o sus causahabientes”.</w:t>
      </w:r>
    </w:p>
  </w:footnote>
  <w:footnote w:id="12">
    <w:p w14:paraId="2886CD73" w14:textId="77777777" w:rsidR="00956367" w:rsidRPr="00E10EAC" w:rsidRDefault="00956367" w:rsidP="00E10EAC">
      <w:pPr>
        <w:jc w:val="both"/>
        <w:rPr>
          <w:rFonts w:ascii="Arial" w:hAnsi="Arial" w:cs="Arial"/>
          <w:bCs/>
          <w:sz w:val="18"/>
          <w:szCs w:val="18"/>
        </w:rPr>
      </w:pPr>
      <w:r w:rsidRPr="00E10EAC">
        <w:rPr>
          <w:rStyle w:val="Refdenotaalpie"/>
          <w:rFonts w:ascii="Arial" w:hAnsi="Arial" w:cs="Arial"/>
          <w:sz w:val="18"/>
          <w:szCs w:val="18"/>
        </w:rPr>
        <w:footnoteRef/>
      </w:r>
      <w:r w:rsidRPr="00E10EAC">
        <w:rPr>
          <w:rFonts w:ascii="Arial" w:hAnsi="Arial" w:cs="Arial"/>
          <w:sz w:val="18"/>
          <w:szCs w:val="18"/>
        </w:rPr>
        <w:t xml:space="preserve"> </w:t>
      </w:r>
      <w:r w:rsidRPr="00E10EAC">
        <w:rPr>
          <w:rFonts w:ascii="Arial" w:hAnsi="Arial" w:cs="Arial"/>
          <w:bCs/>
          <w:sz w:val="18"/>
          <w:szCs w:val="18"/>
        </w:rPr>
        <w:t xml:space="preserve">Se puntualiza que en vigencia de la Ley 1437 de 2011, el demandante de manera discrecional y atendiendo a la causa del daño, debe incoar la pretensión correspondiente a efectos de ejercer la acción contencioso administrativa, sin que sea dable hablar de una indebida escogencia de la acción y/o medio de control, pues no existe una </w:t>
      </w:r>
      <w:r w:rsidRPr="00E10EAC">
        <w:rPr>
          <w:rFonts w:ascii="Arial" w:hAnsi="Arial" w:cs="Arial"/>
          <w:bCs/>
          <w:i/>
          <w:sz w:val="18"/>
          <w:szCs w:val="18"/>
        </w:rPr>
        <w:t>“acción”</w:t>
      </w:r>
      <w:r w:rsidRPr="00E10EAC">
        <w:rPr>
          <w:rFonts w:ascii="Arial" w:hAnsi="Arial" w:cs="Arial"/>
          <w:bCs/>
          <w:sz w:val="18"/>
          <w:szCs w:val="18"/>
        </w:rPr>
        <w:t xml:space="preserve"> en la que deba adecuarse la pretensión según la </w:t>
      </w:r>
      <w:r w:rsidRPr="00E10EAC">
        <w:rPr>
          <w:rFonts w:ascii="Arial" w:hAnsi="Arial" w:cs="Arial"/>
          <w:bCs/>
          <w:i/>
          <w:sz w:val="18"/>
          <w:szCs w:val="18"/>
        </w:rPr>
        <w:t xml:space="preserve">causa petendi, </w:t>
      </w:r>
      <w:r w:rsidRPr="00E10EAC">
        <w:rPr>
          <w:rFonts w:ascii="Arial" w:hAnsi="Arial" w:cs="Arial"/>
          <w:bCs/>
          <w:sz w:val="18"/>
          <w:szCs w:val="18"/>
        </w:rPr>
        <w:t xml:space="preserve">dado que es posible acumular pretensiones que tengan origen en diversos supuestos de responsabilidad. </w:t>
      </w:r>
    </w:p>
    <w:p w14:paraId="3B6E90AA" w14:textId="77777777" w:rsidR="00956367" w:rsidRPr="00E10EAC" w:rsidRDefault="00956367" w:rsidP="00E10EAC">
      <w:pPr>
        <w:jc w:val="both"/>
        <w:rPr>
          <w:rFonts w:ascii="Arial" w:hAnsi="Arial" w:cs="Arial"/>
          <w:bCs/>
          <w:i/>
          <w:sz w:val="18"/>
          <w:szCs w:val="18"/>
        </w:rPr>
      </w:pPr>
      <w:r w:rsidRPr="00E10EAC">
        <w:rPr>
          <w:rFonts w:ascii="Arial" w:hAnsi="Arial" w:cs="Arial"/>
          <w:bCs/>
          <w:sz w:val="18"/>
          <w:szCs w:val="18"/>
        </w:rPr>
        <w:t xml:space="preserve">Acerca del concepto de pretensión en el CPACA, el tratadista Juan Carlos Garzón Martínez efectuó la siguiente aclaración: </w:t>
      </w:r>
      <w:r w:rsidRPr="00E10EAC">
        <w:rPr>
          <w:rFonts w:ascii="Arial" w:hAnsi="Arial" w:cs="Arial"/>
          <w:bCs/>
          <w:i/>
          <w:sz w:val="18"/>
          <w:szCs w:val="18"/>
        </w:rPr>
        <w:t>“Lo que se quiere resaltar es que la pretensión no es un derecho, sino como lo sostiene la doctrina, un simple acto de voluntad, para el cual no se requiere más que su manifestación o exteriorización mediante la demanda. La pretensión implica indicar lo que se persigue con ella y de igual manera la afirmación que lo reclamado se deduce de hechos (causa petendi) que coinciden con los supuestos fácticos consagrados en la norma jurídica, que se pretende activar para lograr los efectos jurídicos perseguidos (de ahí el por qué se exige al demandante con la demanda, indicar lo que se pide y los fundamentos de hecho y de derecho). En materia de clasificación de las pretensiones, puede indicarse que la misma depende de alguna manera de la relación sustancial que se quiere reclamar; en consecuencia puede hablarse de pretensiones objetivas de legalidad; subjetivas de legalidad; contractuales; reparación directa; etc.”.</w:t>
      </w:r>
    </w:p>
    <w:p w14:paraId="100EE9A7" w14:textId="77777777" w:rsidR="00956367" w:rsidRPr="00E10EAC" w:rsidRDefault="00956367" w:rsidP="00E10EAC">
      <w:pPr>
        <w:jc w:val="both"/>
        <w:rPr>
          <w:rFonts w:ascii="Arial" w:hAnsi="Arial" w:cs="Arial"/>
          <w:bCs/>
          <w:sz w:val="18"/>
          <w:szCs w:val="18"/>
        </w:rPr>
      </w:pPr>
      <w:r w:rsidRPr="00E10EAC">
        <w:rPr>
          <w:rFonts w:ascii="Arial" w:hAnsi="Arial" w:cs="Arial"/>
          <w:bCs/>
          <w:sz w:val="18"/>
          <w:szCs w:val="18"/>
        </w:rPr>
        <w:t xml:space="preserve">GARZON MARTÍNEZ, Juan Carlos. </w:t>
      </w:r>
      <w:r w:rsidRPr="00E10EAC">
        <w:rPr>
          <w:rFonts w:ascii="Arial" w:hAnsi="Arial" w:cs="Arial"/>
          <w:bCs/>
          <w:i/>
          <w:sz w:val="18"/>
          <w:szCs w:val="18"/>
        </w:rPr>
        <w:t xml:space="preserve">El nuevo proceso contencioso administrativo, </w:t>
      </w:r>
      <w:r w:rsidRPr="00E10EAC">
        <w:rPr>
          <w:rFonts w:ascii="Arial" w:hAnsi="Arial" w:cs="Arial"/>
          <w:bCs/>
          <w:sz w:val="18"/>
          <w:szCs w:val="18"/>
        </w:rPr>
        <w:t>Bogotá D.C., Editorial Ediciones, Doctrina y Ley Ltda., 2014, p. 234.</w:t>
      </w:r>
    </w:p>
  </w:footnote>
  <w:footnote w:id="13">
    <w:p w14:paraId="39740C57" w14:textId="77777777" w:rsidR="00956367" w:rsidRPr="00E10EAC" w:rsidRDefault="00956367" w:rsidP="00E10EAC">
      <w:pPr>
        <w:pStyle w:val="NormalWeb"/>
        <w:spacing w:before="0" w:beforeAutospacing="0" w:after="0" w:afterAutospacing="0"/>
        <w:jc w:val="both"/>
        <w:rPr>
          <w:rFonts w:ascii="Arial" w:hAnsi="Arial" w:cs="Arial"/>
          <w:i/>
          <w:sz w:val="18"/>
          <w:szCs w:val="18"/>
        </w:rPr>
      </w:pPr>
      <w:r w:rsidRPr="00E10EAC">
        <w:rPr>
          <w:rStyle w:val="Refdenotaalpie"/>
          <w:rFonts w:ascii="Arial" w:hAnsi="Arial" w:cs="Arial"/>
          <w:sz w:val="18"/>
          <w:szCs w:val="18"/>
        </w:rPr>
        <w:footnoteRef/>
      </w:r>
      <w:r w:rsidRPr="00E10EAC">
        <w:rPr>
          <w:rFonts w:ascii="Arial" w:hAnsi="Arial" w:cs="Arial"/>
          <w:sz w:val="18"/>
          <w:szCs w:val="18"/>
        </w:rPr>
        <w:t xml:space="preserve"> </w:t>
      </w:r>
      <w:r w:rsidRPr="00E10EAC">
        <w:rPr>
          <w:rFonts w:ascii="Arial" w:hAnsi="Arial" w:cs="Arial"/>
          <w:i/>
          <w:sz w:val="18"/>
          <w:szCs w:val="18"/>
        </w:rPr>
        <w:t>“Por medio del cual se definen la forma y las condiciones de operación del Régimen Subsidiado del Sistema General de Seguridad Social en Salud y se dictan otras disposiciones”.</w:t>
      </w:r>
      <w:r w:rsidRPr="00E10EAC">
        <w:rPr>
          <w:rFonts w:ascii="Arial" w:hAnsi="Arial" w:cs="Arial"/>
          <w:sz w:val="18"/>
          <w:szCs w:val="18"/>
        </w:rPr>
        <w:t xml:space="preserve"> Parcialmente modificado por el Acuerdo 294 de 2005.</w:t>
      </w:r>
      <w:r w:rsidRPr="00E10EAC">
        <w:rPr>
          <w:rFonts w:ascii="Arial" w:hAnsi="Arial" w:cs="Arial"/>
          <w:i/>
          <w:sz w:val="18"/>
          <w:szCs w:val="18"/>
        </w:rPr>
        <w:t xml:space="preserve"> </w:t>
      </w:r>
      <w:bookmarkStart w:id="17" w:name="45"/>
      <w:r w:rsidRPr="00E10EAC">
        <w:rPr>
          <w:rFonts w:ascii="Arial" w:hAnsi="Arial" w:cs="Arial"/>
          <w:b/>
          <w:bCs/>
          <w:sz w:val="18"/>
          <w:szCs w:val="18"/>
        </w:rPr>
        <w:t>Artículo 45. Contratos de aseguramiento</w:t>
      </w:r>
      <w:bookmarkEnd w:id="17"/>
      <w:r w:rsidRPr="00E10EAC">
        <w:rPr>
          <w:rFonts w:ascii="Arial" w:hAnsi="Arial" w:cs="Arial"/>
          <w:b/>
          <w:bCs/>
          <w:sz w:val="18"/>
          <w:szCs w:val="18"/>
        </w:rPr>
        <w:t>.</w:t>
      </w:r>
      <w:r w:rsidRPr="00E10EAC">
        <w:rPr>
          <w:rFonts w:ascii="Arial" w:hAnsi="Arial" w:cs="Arial"/>
          <w:bCs/>
          <w:sz w:val="18"/>
          <w:szCs w:val="18"/>
        </w:rPr>
        <w:t xml:space="preserve"> </w:t>
      </w:r>
      <w:r w:rsidRPr="00E10EAC">
        <w:rPr>
          <w:rFonts w:ascii="Arial" w:hAnsi="Arial" w:cs="Arial"/>
          <w:sz w:val="18"/>
          <w:szCs w:val="18"/>
        </w:rPr>
        <w:t>“</w:t>
      </w:r>
      <w:r w:rsidRPr="00E10EAC">
        <w:rPr>
          <w:rFonts w:ascii="Arial" w:hAnsi="Arial" w:cs="Arial"/>
          <w:i/>
          <w:sz w:val="18"/>
          <w:szCs w:val="18"/>
        </w:rPr>
        <w:t>Para administrar los recursos del Régimen Subsidiado y proveer el aseguramiento de la población afiliada a este régimen, la entidad territorial suscribirá un solo contrato con cada Administradora del Régimen Subsidiado, por el número de afiliados carnetizados, que incluye la población trasladada, la nueva por ampliación de cobertura, y la población de continuidad. El período de contratación será de un (1) año, comprendido entre el primero (1o.) de abril y el treinta y uno (31) de marzo, el cual será prorrogable anualmente hasta por dos (2) años más, previo el trámite presupuestal pertinente.</w:t>
      </w:r>
    </w:p>
    <w:p w14:paraId="72B1E8B5" w14:textId="77777777" w:rsidR="00956367" w:rsidRPr="00E10EAC" w:rsidRDefault="00956367" w:rsidP="00E10EAC">
      <w:pPr>
        <w:pStyle w:val="NormalWeb"/>
        <w:spacing w:before="0" w:beforeAutospacing="0" w:after="0" w:afterAutospacing="0"/>
        <w:jc w:val="both"/>
        <w:rPr>
          <w:rFonts w:ascii="Arial" w:hAnsi="Arial" w:cs="Arial"/>
          <w:sz w:val="18"/>
          <w:szCs w:val="18"/>
        </w:rPr>
      </w:pPr>
      <w:r w:rsidRPr="00E10EAC">
        <w:rPr>
          <w:rFonts w:ascii="Arial" w:hAnsi="Arial" w:cs="Arial"/>
          <w:i/>
          <w:sz w:val="18"/>
          <w:szCs w:val="18"/>
        </w:rPr>
        <w:t>Al finalizar cada anualidad se efectuarán balances para efectos de determinar el cumplimiento de las obligaciones contractuales por parte de las ARS y la ejecución de recursos”.</w:t>
      </w:r>
    </w:p>
  </w:footnote>
  <w:footnote w:id="14">
    <w:p w14:paraId="134EA4C2" w14:textId="77777777" w:rsidR="00956367" w:rsidRPr="00E10EAC" w:rsidRDefault="00956367" w:rsidP="00E10EAC">
      <w:pPr>
        <w:jc w:val="both"/>
        <w:rPr>
          <w:rFonts w:ascii="Arial" w:hAnsi="Arial" w:cs="Arial"/>
          <w:bCs/>
          <w:i/>
          <w:sz w:val="18"/>
          <w:szCs w:val="18"/>
        </w:rPr>
      </w:pPr>
      <w:r w:rsidRPr="00E10EAC">
        <w:rPr>
          <w:rStyle w:val="Refdenotaalpie"/>
          <w:rFonts w:ascii="Arial" w:hAnsi="Arial" w:cs="Arial"/>
          <w:sz w:val="18"/>
          <w:szCs w:val="18"/>
        </w:rPr>
        <w:footnoteRef/>
      </w:r>
      <w:r w:rsidRPr="00E10EAC">
        <w:rPr>
          <w:rFonts w:ascii="Arial" w:hAnsi="Arial" w:cs="Arial"/>
          <w:sz w:val="18"/>
          <w:szCs w:val="18"/>
        </w:rPr>
        <w:t xml:space="preserve"> </w:t>
      </w:r>
      <w:r w:rsidRPr="00E10EAC">
        <w:rPr>
          <w:rFonts w:ascii="Arial" w:hAnsi="Arial" w:cs="Arial"/>
          <w:i/>
          <w:sz w:val="18"/>
          <w:szCs w:val="18"/>
        </w:rPr>
        <w:t xml:space="preserve">“Por medio del cual se modifica la forma y condiciones de operación del Régimen Subsidiado del Sistema General de Seguridad Social en Salud y se dictan otras disposiciones”. </w:t>
      </w:r>
      <w:r w:rsidRPr="00E10EAC">
        <w:rPr>
          <w:rFonts w:ascii="Arial" w:hAnsi="Arial" w:cs="Arial"/>
          <w:b/>
          <w:sz w:val="18"/>
          <w:szCs w:val="18"/>
        </w:rPr>
        <w:t>Artículo 53. Vigencia del contrato.</w:t>
      </w:r>
      <w:r w:rsidRPr="00E10EAC">
        <w:rPr>
          <w:rFonts w:ascii="Arial" w:hAnsi="Arial" w:cs="Arial"/>
          <w:sz w:val="18"/>
          <w:szCs w:val="18"/>
        </w:rPr>
        <w:t xml:space="preserve"> “</w:t>
      </w:r>
      <w:r w:rsidRPr="00E10EAC">
        <w:rPr>
          <w:rFonts w:ascii="Arial" w:hAnsi="Arial" w:cs="Arial"/>
          <w:i/>
          <w:sz w:val="18"/>
          <w:szCs w:val="18"/>
        </w:rPr>
        <w:t>El período de contratación será de un (1) año, comprendido entre el primero (1°) de abril y el treinta y uno (31) de marzo del año siguiente”.</w:t>
      </w:r>
    </w:p>
    <w:p w14:paraId="5C785566" w14:textId="77777777" w:rsidR="00956367" w:rsidRPr="00E10EAC" w:rsidRDefault="00956367" w:rsidP="00E10EAC">
      <w:pPr>
        <w:pStyle w:val="Textonotapie"/>
        <w:jc w:val="both"/>
        <w:rPr>
          <w:rFonts w:ascii="Arial" w:hAnsi="Arial" w:cs="Arial"/>
          <w:sz w:val="18"/>
          <w:szCs w:val="18"/>
        </w:rPr>
      </w:pPr>
      <w:r w:rsidRPr="00E10EAC">
        <w:rPr>
          <w:rFonts w:ascii="Arial" w:hAnsi="Arial" w:cs="Arial"/>
          <w:sz w:val="18"/>
          <w:szCs w:val="18"/>
        </w:rPr>
        <w:t>Este Acuerdo empezó a regir el 29 de mayo de 2009 y derogó el Acuerdo 244 de 2003.</w:t>
      </w:r>
    </w:p>
  </w:footnote>
  <w:footnote w:id="15">
    <w:p w14:paraId="2DC24A10" w14:textId="77777777" w:rsidR="00EA7413" w:rsidRPr="00F3591A" w:rsidRDefault="00EA7413" w:rsidP="00EA7413">
      <w:pPr>
        <w:pStyle w:val="Textonotapie"/>
        <w:jc w:val="both"/>
        <w:rPr>
          <w:rFonts w:ascii="Arial" w:hAnsi="Arial" w:cs="Arial"/>
          <w:sz w:val="18"/>
          <w:szCs w:val="18"/>
        </w:rPr>
      </w:pPr>
      <w:r w:rsidRPr="00F3591A">
        <w:rPr>
          <w:rStyle w:val="Refdenotaalpie"/>
          <w:rFonts w:ascii="Arial" w:hAnsi="Arial" w:cs="Arial"/>
          <w:sz w:val="18"/>
          <w:szCs w:val="18"/>
        </w:rPr>
        <w:footnoteRef/>
      </w:r>
      <w:r w:rsidRPr="00F3591A">
        <w:rPr>
          <w:rFonts w:ascii="Arial" w:hAnsi="Arial" w:cs="Arial"/>
          <w:sz w:val="18"/>
          <w:szCs w:val="18"/>
        </w:rPr>
        <w:t xml:space="preserve"> </w:t>
      </w:r>
      <w:r w:rsidRPr="00F3591A">
        <w:rPr>
          <w:rFonts w:ascii="Arial" w:hAnsi="Arial" w:cs="Arial"/>
          <w:b/>
          <w:sz w:val="18"/>
          <w:szCs w:val="18"/>
        </w:rPr>
        <w:t>Artículo 68. Liquidación de contratos</w:t>
      </w:r>
      <w:r w:rsidRPr="00F3591A">
        <w:rPr>
          <w:rFonts w:ascii="Arial" w:hAnsi="Arial" w:cs="Arial"/>
          <w:sz w:val="18"/>
          <w:szCs w:val="18"/>
        </w:rPr>
        <w:t xml:space="preserve">. </w:t>
      </w:r>
      <w:r w:rsidRPr="00F3591A">
        <w:rPr>
          <w:rFonts w:ascii="Arial" w:hAnsi="Arial" w:cs="Arial"/>
          <w:i/>
          <w:sz w:val="18"/>
          <w:szCs w:val="18"/>
        </w:rPr>
        <w:t>“Al finalizar la vigencia contractual, se efectuará una revisión integral de la ejecución del contrato para efectos de determinar el cumplimiento de las obligaciones por parte de las EPS-S y la ejecución de recursos. La liquidación del contrato deberá efectuarse a más tardar cuatro (4) meses finalizado el período contractual. Las Entidades Territoriales responsables de la operación del Régimen Subsidiado que no se encuentren en cobertura superior, no podrán acceder a recursos de ampliación de cobertura sin cumplir este requisito (…)”.</w:t>
      </w:r>
    </w:p>
  </w:footnote>
  <w:footnote w:id="16">
    <w:p w14:paraId="0B75FDB4" w14:textId="77777777" w:rsidR="00D52A8F" w:rsidRPr="00E10EAC" w:rsidRDefault="00D52A8F" w:rsidP="00E10EAC">
      <w:pPr>
        <w:pStyle w:val="Textonotapie"/>
        <w:jc w:val="both"/>
        <w:rPr>
          <w:rFonts w:ascii="Arial" w:hAnsi="Arial" w:cs="Arial"/>
          <w:sz w:val="18"/>
          <w:szCs w:val="18"/>
        </w:rPr>
      </w:pPr>
      <w:r w:rsidRPr="00E10EAC">
        <w:rPr>
          <w:rStyle w:val="Refdenotaalpie"/>
          <w:rFonts w:ascii="Arial" w:hAnsi="Arial" w:cs="Arial"/>
          <w:sz w:val="18"/>
          <w:szCs w:val="18"/>
        </w:rPr>
        <w:footnoteRef/>
      </w:r>
      <w:r w:rsidRPr="00E10EAC">
        <w:rPr>
          <w:rFonts w:ascii="Arial" w:hAnsi="Arial" w:cs="Arial"/>
          <w:sz w:val="18"/>
          <w:szCs w:val="18"/>
        </w:rPr>
        <w:t xml:space="preserve"> </w:t>
      </w:r>
      <w:r w:rsidR="007E1C27" w:rsidRPr="00E10EAC">
        <w:rPr>
          <w:rFonts w:ascii="Arial" w:hAnsi="Arial" w:cs="Arial"/>
          <w:sz w:val="18"/>
          <w:szCs w:val="18"/>
        </w:rPr>
        <w:t>Con algunos municipios, la parte actora celebró más de un contrato con el mismo objeto y término de duración, pero con diferente cantidad de población beneficiaria</w:t>
      </w:r>
      <w:r w:rsidR="0022435C" w:rsidRPr="00E10EAC">
        <w:rPr>
          <w:rFonts w:ascii="Arial" w:hAnsi="Arial" w:cs="Arial"/>
          <w:sz w:val="18"/>
          <w:szCs w:val="18"/>
        </w:rPr>
        <w:t>. Además,</w:t>
      </w:r>
      <w:r w:rsidRPr="00E10EAC">
        <w:rPr>
          <w:rFonts w:ascii="Arial" w:hAnsi="Arial" w:cs="Arial"/>
          <w:sz w:val="18"/>
          <w:szCs w:val="18"/>
        </w:rPr>
        <w:t xml:space="preserve"> los contratos se modificaron a través de otrosíes para ampliar el plazo, de modo que cubrieran toda la vigencia exigida por el Gobierno Nacional</w:t>
      </w:r>
      <w:r w:rsidR="006C7236" w:rsidRPr="00E10EAC">
        <w:rPr>
          <w:rFonts w:ascii="Arial" w:hAnsi="Arial" w:cs="Arial"/>
          <w:sz w:val="18"/>
          <w:szCs w:val="18"/>
        </w:rPr>
        <w:t>, la cual finalizaba el 31 de marzo de cada año</w:t>
      </w:r>
      <w:r w:rsidRPr="00E10EAC">
        <w:rPr>
          <w:rFonts w:ascii="Arial" w:hAnsi="Arial" w:cs="Arial"/>
          <w:sz w:val="18"/>
          <w:szCs w:val="18"/>
        </w:rPr>
        <w:t xml:space="preserve">. </w:t>
      </w:r>
    </w:p>
  </w:footnote>
  <w:footnote w:id="17">
    <w:p w14:paraId="5F438A98" w14:textId="77777777" w:rsidR="00E10EAC" w:rsidRPr="00E10EAC" w:rsidRDefault="00E10EAC" w:rsidP="00E10EAC">
      <w:pPr>
        <w:pStyle w:val="Textonotapie"/>
        <w:jc w:val="both"/>
        <w:rPr>
          <w:rFonts w:ascii="Arial" w:hAnsi="Arial" w:cs="Arial"/>
          <w:sz w:val="18"/>
          <w:szCs w:val="18"/>
        </w:rPr>
      </w:pPr>
      <w:r w:rsidRPr="00E10EAC">
        <w:rPr>
          <w:rStyle w:val="Refdenotaalpie"/>
          <w:rFonts w:ascii="Arial" w:hAnsi="Arial" w:cs="Arial"/>
          <w:sz w:val="18"/>
          <w:szCs w:val="18"/>
        </w:rPr>
        <w:footnoteRef/>
      </w:r>
      <w:r w:rsidRPr="00E10EAC">
        <w:rPr>
          <w:rFonts w:ascii="Arial" w:hAnsi="Arial" w:cs="Arial"/>
          <w:sz w:val="18"/>
          <w:szCs w:val="18"/>
        </w:rPr>
        <w:t xml:space="preserve"> En esta vigencia, la Caja de Compensación Familiar Comfenalco</w:t>
      </w:r>
      <w:r>
        <w:rPr>
          <w:rFonts w:ascii="Arial" w:hAnsi="Arial" w:cs="Arial"/>
          <w:sz w:val="18"/>
          <w:szCs w:val="18"/>
        </w:rPr>
        <w:t xml:space="preserve"> Antioquia</w:t>
      </w:r>
      <w:r w:rsidRPr="00E10EAC">
        <w:rPr>
          <w:rFonts w:ascii="Arial" w:hAnsi="Arial" w:cs="Arial"/>
          <w:sz w:val="18"/>
          <w:szCs w:val="18"/>
        </w:rPr>
        <w:t xml:space="preserve"> celebr</w:t>
      </w:r>
      <w:r>
        <w:rPr>
          <w:rFonts w:ascii="Arial" w:hAnsi="Arial" w:cs="Arial"/>
          <w:sz w:val="18"/>
          <w:szCs w:val="18"/>
        </w:rPr>
        <w:t xml:space="preserve">ó </w:t>
      </w:r>
      <w:r w:rsidRPr="00E10EAC">
        <w:rPr>
          <w:rFonts w:ascii="Arial" w:hAnsi="Arial" w:cs="Arial"/>
          <w:sz w:val="18"/>
          <w:szCs w:val="18"/>
        </w:rPr>
        <w:t>contratos</w:t>
      </w:r>
      <w:r>
        <w:rPr>
          <w:rFonts w:ascii="Arial" w:hAnsi="Arial" w:cs="Arial"/>
          <w:sz w:val="18"/>
          <w:szCs w:val="18"/>
        </w:rPr>
        <w:t xml:space="preserve"> diferentes</w:t>
      </w:r>
      <w:r w:rsidRPr="00E10EAC">
        <w:rPr>
          <w:rFonts w:ascii="Arial" w:hAnsi="Arial" w:cs="Arial"/>
          <w:sz w:val="18"/>
          <w:szCs w:val="18"/>
        </w:rPr>
        <w:t xml:space="preserve"> con 62 municipios del Departamento de Antioquia.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1000D"/>
    <w:multiLevelType w:val="multilevel"/>
    <w:tmpl w:val="1CFA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3719F"/>
    <w:multiLevelType w:val="hybridMultilevel"/>
    <w:tmpl w:val="29D2DB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0725030"/>
    <w:multiLevelType w:val="hybridMultilevel"/>
    <w:tmpl w:val="D8003252"/>
    <w:lvl w:ilvl="0" w:tplc="689A470A">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15:restartNumberingAfterBreak="0">
    <w:nsid w:val="471D5C91"/>
    <w:multiLevelType w:val="hybridMultilevel"/>
    <w:tmpl w:val="43569B7A"/>
    <w:lvl w:ilvl="0" w:tplc="A336C9DA">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48D68A6"/>
    <w:multiLevelType w:val="hybridMultilevel"/>
    <w:tmpl w:val="60AAC5E8"/>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B38"/>
    <w:rsid w:val="000058F1"/>
    <w:rsid w:val="00011A1B"/>
    <w:rsid w:val="00012029"/>
    <w:rsid w:val="00013815"/>
    <w:rsid w:val="00023B6F"/>
    <w:rsid w:val="000247FA"/>
    <w:rsid w:val="00027347"/>
    <w:rsid w:val="0003219C"/>
    <w:rsid w:val="00037C79"/>
    <w:rsid w:val="00041090"/>
    <w:rsid w:val="000444C0"/>
    <w:rsid w:val="00044825"/>
    <w:rsid w:val="00046E6F"/>
    <w:rsid w:val="00050BC8"/>
    <w:rsid w:val="00053503"/>
    <w:rsid w:val="0005588C"/>
    <w:rsid w:val="00055F74"/>
    <w:rsid w:val="00056F92"/>
    <w:rsid w:val="00060B22"/>
    <w:rsid w:val="00062E9D"/>
    <w:rsid w:val="00064217"/>
    <w:rsid w:val="00066A4B"/>
    <w:rsid w:val="00066B02"/>
    <w:rsid w:val="000672CB"/>
    <w:rsid w:val="00071522"/>
    <w:rsid w:val="00074216"/>
    <w:rsid w:val="00091088"/>
    <w:rsid w:val="000A207B"/>
    <w:rsid w:val="000A4AC1"/>
    <w:rsid w:val="000A7971"/>
    <w:rsid w:val="000B2640"/>
    <w:rsid w:val="000B35EB"/>
    <w:rsid w:val="000B6DCE"/>
    <w:rsid w:val="000C7CFA"/>
    <w:rsid w:val="000D28A2"/>
    <w:rsid w:val="000D6045"/>
    <w:rsid w:val="000E5299"/>
    <w:rsid w:val="00103C5B"/>
    <w:rsid w:val="001047F6"/>
    <w:rsid w:val="00107000"/>
    <w:rsid w:val="00110D12"/>
    <w:rsid w:val="00110D46"/>
    <w:rsid w:val="00111CC0"/>
    <w:rsid w:val="00117738"/>
    <w:rsid w:val="001241E1"/>
    <w:rsid w:val="00130212"/>
    <w:rsid w:val="00130F6F"/>
    <w:rsid w:val="001411E9"/>
    <w:rsid w:val="00150192"/>
    <w:rsid w:val="00155D02"/>
    <w:rsid w:val="0015748F"/>
    <w:rsid w:val="001624A9"/>
    <w:rsid w:val="001666BE"/>
    <w:rsid w:val="001718F0"/>
    <w:rsid w:val="00171999"/>
    <w:rsid w:val="001753BA"/>
    <w:rsid w:val="00185B51"/>
    <w:rsid w:val="0018687A"/>
    <w:rsid w:val="00191EF4"/>
    <w:rsid w:val="00193094"/>
    <w:rsid w:val="00194447"/>
    <w:rsid w:val="001C2D3A"/>
    <w:rsid w:val="001C3101"/>
    <w:rsid w:val="001C342E"/>
    <w:rsid w:val="001C6F8B"/>
    <w:rsid w:val="001C7391"/>
    <w:rsid w:val="001D245F"/>
    <w:rsid w:val="001D5378"/>
    <w:rsid w:val="001D743D"/>
    <w:rsid w:val="001E3CC1"/>
    <w:rsid w:val="001F1657"/>
    <w:rsid w:val="002043C8"/>
    <w:rsid w:val="00205687"/>
    <w:rsid w:val="002075E7"/>
    <w:rsid w:val="002176F9"/>
    <w:rsid w:val="00217731"/>
    <w:rsid w:val="00217C23"/>
    <w:rsid w:val="0022138F"/>
    <w:rsid w:val="0022435C"/>
    <w:rsid w:val="00224B97"/>
    <w:rsid w:val="00226DEA"/>
    <w:rsid w:val="00230715"/>
    <w:rsid w:val="00235D97"/>
    <w:rsid w:val="00237196"/>
    <w:rsid w:val="00237C56"/>
    <w:rsid w:val="00247283"/>
    <w:rsid w:val="00252449"/>
    <w:rsid w:val="00252FDB"/>
    <w:rsid w:val="00253C81"/>
    <w:rsid w:val="0025404F"/>
    <w:rsid w:val="00271F87"/>
    <w:rsid w:val="002735A1"/>
    <w:rsid w:val="002750A6"/>
    <w:rsid w:val="002750E1"/>
    <w:rsid w:val="00277551"/>
    <w:rsid w:val="00285FA0"/>
    <w:rsid w:val="002862F8"/>
    <w:rsid w:val="00287E9E"/>
    <w:rsid w:val="0029024C"/>
    <w:rsid w:val="00290305"/>
    <w:rsid w:val="00293C16"/>
    <w:rsid w:val="00293C79"/>
    <w:rsid w:val="002A23B2"/>
    <w:rsid w:val="002C09F9"/>
    <w:rsid w:val="002C6AE1"/>
    <w:rsid w:val="002D0DA4"/>
    <w:rsid w:val="002D3B70"/>
    <w:rsid w:val="002E344A"/>
    <w:rsid w:val="002E60AB"/>
    <w:rsid w:val="002E662E"/>
    <w:rsid w:val="002E7F08"/>
    <w:rsid w:val="00315A50"/>
    <w:rsid w:val="00322A21"/>
    <w:rsid w:val="00332201"/>
    <w:rsid w:val="0033584C"/>
    <w:rsid w:val="003363E4"/>
    <w:rsid w:val="00356632"/>
    <w:rsid w:val="00357345"/>
    <w:rsid w:val="00362980"/>
    <w:rsid w:val="00367318"/>
    <w:rsid w:val="00373F5A"/>
    <w:rsid w:val="003750D5"/>
    <w:rsid w:val="00376B28"/>
    <w:rsid w:val="003874F5"/>
    <w:rsid w:val="0039096D"/>
    <w:rsid w:val="003934AD"/>
    <w:rsid w:val="00397D6A"/>
    <w:rsid w:val="003A29C9"/>
    <w:rsid w:val="003A29EE"/>
    <w:rsid w:val="003A39C4"/>
    <w:rsid w:val="003B2D5B"/>
    <w:rsid w:val="003B2EDF"/>
    <w:rsid w:val="003B5C15"/>
    <w:rsid w:val="003C0C42"/>
    <w:rsid w:val="003C2CB7"/>
    <w:rsid w:val="003C7989"/>
    <w:rsid w:val="003D161A"/>
    <w:rsid w:val="003D3C27"/>
    <w:rsid w:val="003D6024"/>
    <w:rsid w:val="003F0ED0"/>
    <w:rsid w:val="003F5787"/>
    <w:rsid w:val="00410407"/>
    <w:rsid w:val="004240BC"/>
    <w:rsid w:val="00424BD7"/>
    <w:rsid w:val="0042547D"/>
    <w:rsid w:val="00431233"/>
    <w:rsid w:val="00441562"/>
    <w:rsid w:val="00454D01"/>
    <w:rsid w:val="004563CF"/>
    <w:rsid w:val="0046162A"/>
    <w:rsid w:val="004652C6"/>
    <w:rsid w:val="00471016"/>
    <w:rsid w:val="004713D4"/>
    <w:rsid w:val="00471AE4"/>
    <w:rsid w:val="004723EA"/>
    <w:rsid w:val="00474D7A"/>
    <w:rsid w:val="0047631B"/>
    <w:rsid w:val="004819E8"/>
    <w:rsid w:val="0048235C"/>
    <w:rsid w:val="004845B4"/>
    <w:rsid w:val="0048473C"/>
    <w:rsid w:val="004852E1"/>
    <w:rsid w:val="0048543C"/>
    <w:rsid w:val="00492F23"/>
    <w:rsid w:val="00496D22"/>
    <w:rsid w:val="004973A0"/>
    <w:rsid w:val="004A252D"/>
    <w:rsid w:val="004A4F3B"/>
    <w:rsid w:val="004A58DD"/>
    <w:rsid w:val="004A5AEA"/>
    <w:rsid w:val="004A6CC3"/>
    <w:rsid w:val="004A7598"/>
    <w:rsid w:val="004B4BC3"/>
    <w:rsid w:val="004C0F8E"/>
    <w:rsid w:val="004C7AE5"/>
    <w:rsid w:val="004D08B0"/>
    <w:rsid w:val="004E637D"/>
    <w:rsid w:val="004F05FC"/>
    <w:rsid w:val="00515AE0"/>
    <w:rsid w:val="005200B0"/>
    <w:rsid w:val="00523E93"/>
    <w:rsid w:val="00524FBE"/>
    <w:rsid w:val="00526F11"/>
    <w:rsid w:val="00527702"/>
    <w:rsid w:val="005305EF"/>
    <w:rsid w:val="00531451"/>
    <w:rsid w:val="00540514"/>
    <w:rsid w:val="00545853"/>
    <w:rsid w:val="0054667C"/>
    <w:rsid w:val="00546AB5"/>
    <w:rsid w:val="00552EE4"/>
    <w:rsid w:val="005533C1"/>
    <w:rsid w:val="00576D8D"/>
    <w:rsid w:val="005862C5"/>
    <w:rsid w:val="00590B21"/>
    <w:rsid w:val="00592B38"/>
    <w:rsid w:val="005A73AE"/>
    <w:rsid w:val="005B1B94"/>
    <w:rsid w:val="005B6791"/>
    <w:rsid w:val="005C3E6E"/>
    <w:rsid w:val="005D7FF4"/>
    <w:rsid w:val="005E3B9C"/>
    <w:rsid w:val="005F3677"/>
    <w:rsid w:val="005F6ECC"/>
    <w:rsid w:val="0060198B"/>
    <w:rsid w:val="00604D95"/>
    <w:rsid w:val="00605F3E"/>
    <w:rsid w:val="00612395"/>
    <w:rsid w:val="00616A07"/>
    <w:rsid w:val="00617913"/>
    <w:rsid w:val="00620CAC"/>
    <w:rsid w:val="00622930"/>
    <w:rsid w:val="00622C13"/>
    <w:rsid w:val="006235E2"/>
    <w:rsid w:val="00623BCD"/>
    <w:rsid w:val="0063021B"/>
    <w:rsid w:val="0063446F"/>
    <w:rsid w:val="00634787"/>
    <w:rsid w:val="00635D28"/>
    <w:rsid w:val="00644D2C"/>
    <w:rsid w:val="00647909"/>
    <w:rsid w:val="00650997"/>
    <w:rsid w:val="00653CFF"/>
    <w:rsid w:val="00655793"/>
    <w:rsid w:val="00665EC8"/>
    <w:rsid w:val="00667A10"/>
    <w:rsid w:val="00671FD1"/>
    <w:rsid w:val="00685FCB"/>
    <w:rsid w:val="00686B2B"/>
    <w:rsid w:val="00694352"/>
    <w:rsid w:val="006A54B6"/>
    <w:rsid w:val="006A66D8"/>
    <w:rsid w:val="006B1336"/>
    <w:rsid w:val="006B43F7"/>
    <w:rsid w:val="006C18EE"/>
    <w:rsid w:val="006C38FA"/>
    <w:rsid w:val="006C5CAE"/>
    <w:rsid w:val="006C6C72"/>
    <w:rsid w:val="006C6E3B"/>
    <w:rsid w:val="006C7236"/>
    <w:rsid w:val="006D4E41"/>
    <w:rsid w:val="006E33CC"/>
    <w:rsid w:val="006F02F0"/>
    <w:rsid w:val="006F50FB"/>
    <w:rsid w:val="006F6308"/>
    <w:rsid w:val="006F7879"/>
    <w:rsid w:val="00701277"/>
    <w:rsid w:val="007016F4"/>
    <w:rsid w:val="00706ACA"/>
    <w:rsid w:val="00706B0E"/>
    <w:rsid w:val="00714BBD"/>
    <w:rsid w:val="00722C79"/>
    <w:rsid w:val="007230A3"/>
    <w:rsid w:val="0072447C"/>
    <w:rsid w:val="00724A5D"/>
    <w:rsid w:val="00734FD6"/>
    <w:rsid w:val="00740647"/>
    <w:rsid w:val="00741F1E"/>
    <w:rsid w:val="007426FA"/>
    <w:rsid w:val="007443CA"/>
    <w:rsid w:val="00744849"/>
    <w:rsid w:val="007456C4"/>
    <w:rsid w:val="007522DE"/>
    <w:rsid w:val="0075334E"/>
    <w:rsid w:val="00753678"/>
    <w:rsid w:val="00761311"/>
    <w:rsid w:val="00762178"/>
    <w:rsid w:val="00765EF4"/>
    <w:rsid w:val="00774C3C"/>
    <w:rsid w:val="00774E9C"/>
    <w:rsid w:val="00774F4B"/>
    <w:rsid w:val="0078010F"/>
    <w:rsid w:val="007809B4"/>
    <w:rsid w:val="00785131"/>
    <w:rsid w:val="00787832"/>
    <w:rsid w:val="00791172"/>
    <w:rsid w:val="00796467"/>
    <w:rsid w:val="007A0878"/>
    <w:rsid w:val="007A3E8C"/>
    <w:rsid w:val="007A4516"/>
    <w:rsid w:val="007B1CAF"/>
    <w:rsid w:val="007B5A9A"/>
    <w:rsid w:val="007B64D4"/>
    <w:rsid w:val="007C5C88"/>
    <w:rsid w:val="007D5EBB"/>
    <w:rsid w:val="007D6ED9"/>
    <w:rsid w:val="007E03B3"/>
    <w:rsid w:val="007E1C27"/>
    <w:rsid w:val="007E28C6"/>
    <w:rsid w:val="007E75EF"/>
    <w:rsid w:val="0080202C"/>
    <w:rsid w:val="00802DF4"/>
    <w:rsid w:val="00803B4E"/>
    <w:rsid w:val="008061CB"/>
    <w:rsid w:val="00810174"/>
    <w:rsid w:val="00821E19"/>
    <w:rsid w:val="0082267B"/>
    <w:rsid w:val="008259E2"/>
    <w:rsid w:val="00825EC1"/>
    <w:rsid w:val="00846242"/>
    <w:rsid w:val="00846436"/>
    <w:rsid w:val="008603A2"/>
    <w:rsid w:val="008729ED"/>
    <w:rsid w:val="00873D69"/>
    <w:rsid w:val="00874E07"/>
    <w:rsid w:val="00877B94"/>
    <w:rsid w:val="00880CE1"/>
    <w:rsid w:val="00881FF3"/>
    <w:rsid w:val="0088575E"/>
    <w:rsid w:val="00886310"/>
    <w:rsid w:val="008A277F"/>
    <w:rsid w:val="008B052F"/>
    <w:rsid w:val="008B0969"/>
    <w:rsid w:val="008B73DA"/>
    <w:rsid w:val="008C01AA"/>
    <w:rsid w:val="008C1382"/>
    <w:rsid w:val="008C29B8"/>
    <w:rsid w:val="008C60E1"/>
    <w:rsid w:val="008D10E8"/>
    <w:rsid w:val="008D5603"/>
    <w:rsid w:val="008D629E"/>
    <w:rsid w:val="008D7CD7"/>
    <w:rsid w:val="008D7D44"/>
    <w:rsid w:val="008E14F5"/>
    <w:rsid w:val="008E3832"/>
    <w:rsid w:val="008E46D7"/>
    <w:rsid w:val="008F0770"/>
    <w:rsid w:val="008F446C"/>
    <w:rsid w:val="00901939"/>
    <w:rsid w:val="00902B45"/>
    <w:rsid w:val="00903565"/>
    <w:rsid w:val="00920762"/>
    <w:rsid w:val="009246F1"/>
    <w:rsid w:val="00925E40"/>
    <w:rsid w:val="0092766E"/>
    <w:rsid w:val="00937235"/>
    <w:rsid w:val="0093777F"/>
    <w:rsid w:val="00950404"/>
    <w:rsid w:val="0095044B"/>
    <w:rsid w:val="00951D3F"/>
    <w:rsid w:val="00952300"/>
    <w:rsid w:val="00956367"/>
    <w:rsid w:val="009570C9"/>
    <w:rsid w:val="00972F95"/>
    <w:rsid w:val="00973DDA"/>
    <w:rsid w:val="00974C91"/>
    <w:rsid w:val="009803F7"/>
    <w:rsid w:val="00980C38"/>
    <w:rsid w:val="0098155A"/>
    <w:rsid w:val="00981578"/>
    <w:rsid w:val="009823B5"/>
    <w:rsid w:val="009841D0"/>
    <w:rsid w:val="00991CDB"/>
    <w:rsid w:val="00994EC7"/>
    <w:rsid w:val="009A5419"/>
    <w:rsid w:val="009B1DC8"/>
    <w:rsid w:val="009C3802"/>
    <w:rsid w:val="009C3B8F"/>
    <w:rsid w:val="009C50BA"/>
    <w:rsid w:val="009D1866"/>
    <w:rsid w:val="009D57A8"/>
    <w:rsid w:val="009E0EB2"/>
    <w:rsid w:val="009E5C12"/>
    <w:rsid w:val="009E5E6D"/>
    <w:rsid w:val="009E72E1"/>
    <w:rsid w:val="009E7DD7"/>
    <w:rsid w:val="009F0AA8"/>
    <w:rsid w:val="00A00607"/>
    <w:rsid w:val="00A053BB"/>
    <w:rsid w:val="00A0752E"/>
    <w:rsid w:val="00A17FAA"/>
    <w:rsid w:val="00A23CCE"/>
    <w:rsid w:val="00A269E9"/>
    <w:rsid w:val="00A26C9B"/>
    <w:rsid w:val="00A31647"/>
    <w:rsid w:val="00A32FED"/>
    <w:rsid w:val="00A33CA6"/>
    <w:rsid w:val="00A35FD0"/>
    <w:rsid w:val="00A41103"/>
    <w:rsid w:val="00A515A9"/>
    <w:rsid w:val="00A541FA"/>
    <w:rsid w:val="00A55AC7"/>
    <w:rsid w:val="00A55C4C"/>
    <w:rsid w:val="00A63AE6"/>
    <w:rsid w:val="00A67269"/>
    <w:rsid w:val="00A7520B"/>
    <w:rsid w:val="00A771C9"/>
    <w:rsid w:val="00A912C5"/>
    <w:rsid w:val="00A9581B"/>
    <w:rsid w:val="00AA1EA8"/>
    <w:rsid w:val="00AA5562"/>
    <w:rsid w:val="00AA736F"/>
    <w:rsid w:val="00AB1347"/>
    <w:rsid w:val="00AC5CCF"/>
    <w:rsid w:val="00AC77AE"/>
    <w:rsid w:val="00AD4183"/>
    <w:rsid w:val="00AE1819"/>
    <w:rsid w:val="00AE4971"/>
    <w:rsid w:val="00AE720E"/>
    <w:rsid w:val="00AF0371"/>
    <w:rsid w:val="00AF5601"/>
    <w:rsid w:val="00B01B52"/>
    <w:rsid w:val="00B02F4A"/>
    <w:rsid w:val="00B11B27"/>
    <w:rsid w:val="00B121FF"/>
    <w:rsid w:val="00B17C68"/>
    <w:rsid w:val="00B2396C"/>
    <w:rsid w:val="00B2611B"/>
    <w:rsid w:val="00B34B6E"/>
    <w:rsid w:val="00B34EF7"/>
    <w:rsid w:val="00B502FE"/>
    <w:rsid w:val="00B63464"/>
    <w:rsid w:val="00B654AB"/>
    <w:rsid w:val="00B75530"/>
    <w:rsid w:val="00B76209"/>
    <w:rsid w:val="00B839FB"/>
    <w:rsid w:val="00B84887"/>
    <w:rsid w:val="00B87722"/>
    <w:rsid w:val="00B87882"/>
    <w:rsid w:val="00B927A6"/>
    <w:rsid w:val="00B951AB"/>
    <w:rsid w:val="00BA0035"/>
    <w:rsid w:val="00BA1187"/>
    <w:rsid w:val="00BA2111"/>
    <w:rsid w:val="00BA6111"/>
    <w:rsid w:val="00BB4CF6"/>
    <w:rsid w:val="00BC1438"/>
    <w:rsid w:val="00BC73DF"/>
    <w:rsid w:val="00BD39A7"/>
    <w:rsid w:val="00BD43C2"/>
    <w:rsid w:val="00BD5891"/>
    <w:rsid w:val="00BD5DFD"/>
    <w:rsid w:val="00BD7DE8"/>
    <w:rsid w:val="00BE2469"/>
    <w:rsid w:val="00BE257A"/>
    <w:rsid w:val="00BE4E15"/>
    <w:rsid w:val="00BF1B58"/>
    <w:rsid w:val="00C01DC5"/>
    <w:rsid w:val="00C10F60"/>
    <w:rsid w:val="00C11D1B"/>
    <w:rsid w:val="00C201EB"/>
    <w:rsid w:val="00C21F30"/>
    <w:rsid w:val="00C22355"/>
    <w:rsid w:val="00C3225F"/>
    <w:rsid w:val="00C35BB0"/>
    <w:rsid w:val="00C37BE1"/>
    <w:rsid w:val="00C46E35"/>
    <w:rsid w:val="00C47F71"/>
    <w:rsid w:val="00C5089E"/>
    <w:rsid w:val="00C6605E"/>
    <w:rsid w:val="00C66C28"/>
    <w:rsid w:val="00C676AA"/>
    <w:rsid w:val="00C71B7E"/>
    <w:rsid w:val="00C83649"/>
    <w:rsid w:val="00C84C74"/>
    <w:rsid w:val="00C850CD"/>
    <w:rsid w:val="00C93951"/>
    <w:rsid w:val="00C94299"/>
    <w:rsid w:val="00C9566A"/>
    <w:rsid w:val="00C95E6D"/>
    <w:rsid w:val="00CA1EAC"/>
    <w:rsid w:val="00CA33B0"/>
    <w:rsid w:val="00CA3754"/>
    <w:rsid w:val="00CB1F4F"/>
    <w:rsid w:val="00CB1F72"/>
    <w:rsid w:val="00CB3B7D"/>
    <w:rsid w:val="00CB6CF0"/>
    <w:rsid w:val="00CD14DD"/>
    <w:rsid w:val="00CD1886"/>
    <w:rsid w:val="00CD487F"/>
    <w:rsid w:val="00CE3FA5"/>
    <w:rsid w:val="00CE7D74"/>
    <w:rsid w:val="00D01867"/>
    <w:rsid w:val="00D01982"/>
    <w:rsid w:val="00D06FEF"/>
    <w:rsid w:val="00D07B0C"/>
    <w:rsid w:val="00D12F95"/>
    <w:rsid w:val="00D13096"/>
    <w:rsid w:val="00D146B0"/>
    <w:rsid w:val="00D175C9"/>
    <w:rsid w:val="00D246E3"/>
    <w:rsid w:val="00D258AB"/>
    <w:rsid w:val="00D271A3"/>
    <w:rsid w:val="00D34034"/>
    <w:rsid w:val="00D342CB"/>
    <w:rsid w:val="00D45E6E"/>
    <w:rsid w:val="00D504CE"/>
    <w:rsid w:val="00D52810"/>
    <w:rsid w:val="00D52A8F"/>
    <w:rsid w:val="00D55D0B"/>
    <w:rsid w:val="00D60EA5"/>
    <w:rsid w:val="00D6678E"/>
    <w:rsid w:val="00D72904"/>
    <w:rsid w:val="00D74850"/>
    <w:rsid w:val="00D74ED6"/>
    <w:rsid w:val="00D74FB4"/>
    <w:rsid w:val="00D77C4E"/>
    <w:rsid w:val="00D80C5F"/>
    <w:rsid w:val="00D860E0"/>
    <w:rsid w:val="00DA1FE5"/>
    <w:rsid w:val="00DA48B0"/>
    <w:rsid w:val="00DA5EBA"/>
    <w:rsid w:val="00DB1F67"/>
    <w:rsid w:val="00DC09E4"/>
    <w:rsid w:val="00DC4216"/>
    <w:rsid w:val="00DD0804"/>
    <w:rsid w:val="00DD1109"/>
    <w:rsid w:val="00DD260C"/>
    <w:rsid w:val="00DD2627"/>
    <w:rsid w:val="00DE44FD"/>
    <w:rsid w:val="00DF174F"/>
    <w:rsid w:val="00DF1845"/>
    <w:rsid w:val="00DF6B07"/>
    <w:rsid w:val="00DF720B"/>
    <w:rsid w:val="00E10EAC"/>
    <w:rsid w:val="00E16F78"/>
    <w:rsid w:val="00E207D4"/>
    <w:rsid w:val="00E23C80"/>
    <w:rsid w:val="00E23D47"/>
    <w:rsid w:val="00E24A87"/>
    <w:rsid w:val="00E25AC6"/>
    <w:rsid w:val="00E33C34"/>
    <w:rsid w:val="00E34F93"/>
    <w:rsid w:val="00E425AC"/>
    <w:rsid w:val="00E61A0A"/>
    <w:rsid w:val="00E66093"/>
    <w:rsid w:val="00E679A7"/>
    <w:rsid w:val="00E70170"/>
    <w:rsid w:val="00E73692"/>
    <w:rsid w:val="00E73AC7"/>
    <w:rsid w:val="00E762F5"/>
    <w:rsid w:val="00E7695A"/>
    <w:rsid w:val="00E86834"/>
    <w:rsid w:val="00E86EA2"/>
    <w:rsid w:val="00EA1DD9"/>
    <w:rsid w:val="00EA23BD"/>
    <w:rsid w:val="00EA428A"/>
    <w:rsid w:val="00EA47FA"/>
    <w:rsid w:val="00EA7413"/>
    <w:rsid w:val="00EB2688"/>
    <w:rsid w:val="00EB4D7E"/>
    <w:rsid w:val="00EB531A"/>
    <w:rsid w:val="00EB5C89"/>
    <w:rsid w:val="00EC2DB9"/>
    <w:rsid w:val="00ED0ED9"/>
    <w:rsid w:val="00ED20AB"/>
    <w:rsid w:val="00ED4B7B"/>
    <w:rsid w:val="00ED57AB"/>
    <w:rsid w:val="00ED7F4E"/>
    <w:rsid w:val="00EF0B9A"/>
    <w:rsid w:val="00EF0E7F"/>
    <w:rsid w:val="00EF5142"/>
    <w:rsid w:val="00EF7556"/>
    <w:rsid w:val="00F04C0B"/>
    <w:rsid w:val="00F052D2"/>
    <w:rsid w:val="00F057E7"/>
    <w:rsid w:val="00F154BA"/>
    <w:rsid w:val="00F251E6"/>
    <w:rsid w:val="00F25B98"/>
    <w:rsid w:val="00F35BB5"/>
    <w:rsid w:val="00F35BCD"/>
    <w:rsid w:val="00F44B35"/>
    <w:rsid w:val="00F452CB"/>
    <w:rsid w:val="00F46869"/>
    <w:rsid w:val="00F50283"/>
    <w:rsid w:val="00F51CB6"/>
    <w:rsid w:val="00F72944"/>
    <w:rsid w:val="00F7398D"/>
    <w:rsid w:val="00F7398E"/>
    <w:rsid w:val="00F776B6"/>
    <w:rsid w:val="00F87C49"/>
    <w:rsid w:val="00F92C7A"/>
    <w:rsid w:val="00F93C9B"/>
    <w:rsid w:val="00FA6C85"/>
    <w:rsid w:val="00FB04B3"/>
    <w:rsid w:val="00FB423F"/>
    <w:rsid w:val="00FB6B7F"/>
    <w:rsid w:val="00FB7A70"/>
    <w:rsid w:val="00FC0DB9"/>
    <w:rsid w:val="00FC20BB"/>
    <w:rsid w:val="00FC406D"/>
    <w:rsid w:val="00FD0685"/>
    <w:rsid w:val="00FE6B80"/>
    <w:rsid w:val="00FF612C"/>
    <w:rsid w:val="0D4BB2D6"/>
    <w:rsid w:val="10AB043D"/>
    <w:rsid w:val="37EC7972"/>
    <w:rsid w:val="3CE59304"/>
    <w:rsid w:val="4B97765B"/>
    <w:rsid w:val="4D69CB4D"/>
    <w:rsid w:val="6E6A167B"/>
    <w:rsid w:val="7E4EE0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10765"/>
  <w15:docId w15:val="{2F990426-00B5-4427-9C24-F1EF7A9A6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904"/>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01B52"/>
    <w:rPr>
      <w:rFonts w:ascii="Calibri" w:eastAsia="Calibri" w:hAnsi="Calibri" w:cs="Times New Roman"/>
      <w:lang w:val="es-CO"/>
    </w:rPr>
  </w:style>
  <w:style w:type="paragraph" w:customStyle="1" w:styleId="CuerpoA">
    <w:name w:val="Cuerpo A"/>
    <w:rsid w:val="00B01B52"/>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s-ES_tradnl" w:eastAsia="es-CO"/>
    </w:rPr>
  </w:style>
  <w:style w:type="character" w:customStyle="1" w:styleId="Ninguno">
    <w:name w:val="Ninguno"/>
    <w:rsid w:val="00B01B52"/>
    <w:rPr>
      <w:lang w:val="es-ES_tradnl"/>
    </w:rPr>
  </w:style>
  <w:style w:type="character" w:customStyle="1" w:styleId="SinespaciadoCar">
    <w:name w:val="Sin espaciado Car"/>
    <w:link w:val="Sinespaciado"/>
    <w:uiPriority w:val="1"/>
    <w:rsid w:val="00B01B52"/>
    <w:rPr>
      <w:rFonts w:ascii="Calibri" w:eastAsia="Calibri" w:hAnsi="Calibri" w:cs="Times New Roman"/>
      <w:lang w:val="es-CO"/>
    </w:rPr>
  </w:style>
  <w:style w:type="paragraph" w:styleId="Encabezado">
    <w:name w:val="header"/>
    <w:basedOn w:val="Normal"/>
    <w:link w:val="EncabezadoCar"/>
    <w:uiPriority w:val="99"/>
    <w:unhideWhenUsed/>
    <w:rsid w:val="00B01B52"/>
    <w:pPr>
      <w:tabs>
        <w:tab w:val="center" w:pos="4252"/>
        <w:tab w:val="right" w:pos="8504"/>
      </w:tabs>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B01B52"/>
  </w:style>
  <w:style w:type="paragraph" w:styleId="Piedepgina">
    <w:name w:val="footer"/>
    <w:basedOn w:val="Normal"/>
    <w:link w:val="PiedepginaCar"/>
    <w:uiPriority w:val="99"/>
    <w:unhideWhenUsed/>
    <w:rsid w:val="00B01B52"/>
    <w:pPr>
      <w:tabs>
        <w:tab w:val="center" w:pos="4252"/>
        <w:tab w:val="right" w:pos="8504"/>
      </w:tabs>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B01B52"/>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ft,FA Fu?notentext,FA,C"/>
    <w:basedOn w:val="Normal"/>
    <w:link w:val="TextonotapieCar"/>
    <w:uiPriority w:val="99"/>
    <w:unhideWhenUsed/>
    <w:qFormat/>
    <w:rsid w:val="00F92C7A"/>
    <w:rPr>
      <w:rFonts w:asciiTheme="minorHAnsi" w:eastAsiaTheme="minorHAnsi" w:hAnsiTheme="minorHAnsi" w:cstheme="minorBidi"/>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ft Car"/>
    <w:basedOn w:val="Fuentedeprrafopredeter"/>
    <w:link w:val="Textonotapie"/>
    <w:uiPriority w:val="99"/>
    <w:qFormat/>
    <w:rsid w:val="00F92C7A"/>
    <w:rPr>
      <w:sz w:val="20"/>
      <w:szCs w:val="20"/>
    </w:rPr>
  </w:style>
  <w:style w:type="character" w:styleId="Refdenotaalpie">
    <w:name w:val="footnote reference"/>
    <w:aliases w:val="Ref. de nota al pie 2,Appel note de bas de page,Footnotes refss,Footnote number,referencia nota al pie,BVI fnr,f,4_G,16 Point,Superscript 6 Point,Texto nota al pie,Pie de Página,FC,Texto de nota al pi,Texto de nota al pie,Nota de pie"/>
    <w:basedOn w:val="Fuentedeprrafopredeter"/>
    <w:link w:val="4GChar"/>
    <w:uiPriority w:val="99"/>
    <w:unhideWhenUsed/>
    <w:qFormat/>
    <w:rsid w:val="00F92C7A"/>
    <w:rPr>
      <w:vertAlign w:val="superscript"/>
    </w:rPr>
  </w:style>
  <w:style w:type="paragraph" w:styleId="Sangradetextonormal">
    <w:name w:val="Body Text Indent"/>
    <w:basedOn w:val="Normal"/>
    <w:link w:val="SangradetextonormalCar"/>
    <w:rsid w:val="00BE4E15"/>
    <w:pPr>
      <w:ind w:firstLine="3"/>
      <w:jc w:val="both"/>
    </w:pPr>
    <w:rPr>
      <w:rFonts w:ascii="Arial" w:hAnsi="Arial"/>
      <w:snapToGrid w:val="0"/>
      <w:szCs w:val="20"/>
    </w:rPr>
  </w:style>
  <w:style w:type="character" w:customStyle="1" w:styleId="SangradetextonormalCar">
    <w:name w:val="Sangría de texto normal Car"/>
    <w:basedOn w:val="Fuentedeprrafopredeter"/>
    <w:link w:val="Sangradetextonormal"/>
    <w:rsid w:val="00BE4E15"/>
    <w:rPr>
      <w:rFonts w:ascii="Arial" w:eastAsia="Times New Roman" w:hAnsi="Arial" w:cs="Times New Roman"/>
      <w:snapToGrid w:val="0"/>
      <w:sz w:val="24"/>
      <w:szCs w:val="20"/>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EA1DD9"/>
    <w:pPr>
      <w:jc w:val="both"/>
    </w:pPr>
    <w:rPr>
      <w:rFonts w:asciiTheme="minorHAnsi" w:eastAsiaTheme="minorHAnsi" w:hAnsiTheme="minorHAnsi" w:cstheme="minorBidi"/>
      <w:vertAlign w:val="superscript"/>
    </w:rPr>
  </w:style>
  <w:style w:type="paragraph" w:styleId="Prrafodelista">
    <w:name w:val="List Paragraph"/>
    <w:basedOn w:val="Normal"/>
    <w:uiPriority w:val="34"/>
    <w:qFormat/>
    <w:rsid w:val="000D6045"/>
    <w:pPr>
      <w:ind w:left="720"/>
      <w:contextualSpacing/>
    </w:pPr>
  </w:style>
  <w:style w:type="paragraph" w:styleId="NormalWeb">
    <w:name w:val="Normal (Web)"/>
    <w:basedOn w:val="Normal"/>
    <w:uiPriority w:val="99"/>
    <w:unhideWhenUsed/>
    <w:rsid w:val="006C18EE"/>
    <w:pPr>
      <w:spacing w:before="100" w:beforeAutospacing="1" w:after="100" w:afterAutospacing="1"/>
    </w:pPr>
  </w:style>
  <w:style w:type="character" w:customStyle="1" w:styleId="baj">
    <w:name w:val="b_aj"/>
    <w:basedOn w:val="Fuentedeprrafopredeter"/>
    <w:rsid w:val="000672CB"/>
  </w:style>
  <w:style w:type="character" w:styleId="Hipervnculo">
    <w:name w:val="Hyperlink"/>
    <w:basedOn w:val="Fuentedeprrafopredeter"/>
    <w:uiPriority w:val="99"/>
    <w:semiHidden/>
    <w:unhideWhenUsed/>
    <w:rsid w:val="00474D7A"/>
    <w:rPr>
      <w:color w:val="0000FF"/>
      <w:u w:val="single"/>
    </w:rPr>
  </w:style>
  <w:style w:type="paragraph" w:customStyle="1" w:styleId="BodyText21">
    <w:name w:val="Body Text 21"/>
    <w:basedOn w:val="Normal"/>
    <w:link w:val="BodyText21Car"/>
    <w:rsid w:val="00AE4971"/>
    <w:pPr>
      <w:widowControl w:val="0"/>
      <w:autoSpaceDE w:val="0"/>
      <w:autoSpaceDN w:val="0"/>
      <w:spacing w:line="480" w:lineRule="auto"/>
      <w:jc w:val="both"/>
    </w:pPr>
    <w:rPr>
      <w:rFonts w:ascii="Arial" w:hAnsi="Arial" w:cs="Arial"/>
      <w:lang w:val="es-ES_tradnl"/>
    </w:rPr>
  </w:style>
  <w:style w:type="character" w:customStyle="1" w:styleId="BodyText21Car">
    <w:name w:val="Body Text 21 Car"/>
    <w:link w:val="BodyText21"/>
    <w:rsid w:val="00AE4971"/>
    <w:rPr>
      <w:rFonts w:ascii="Arial" w:eastAsia="Times New Roman" w:hAnsi="Arial" w:cs="Arial"/>
      <w:sz w:val="24"/>
      <w:szCs w:val="24"/>
      <w:lang w:val="es-ES_tradnl" w:eastAsia="es-ES"/>
    </w:rPr>
  </w:style>
  <w:style w:type="paragraph" w:customStyle="1" w:styleId="Default">
    <w:name w:val="Default"/>
    <w:rsid w:val="00F057E7"/>
    <w:pPr>
      <w:autoSpaceDE w:val="0"/>
      <w:autoSpaceDN w:val="0"/>
      <w:adjustRightInd w:val="0"/>
    </w:pPr>
    <w:rPr>
      <w:rFonts w:ascii="Arial" w:hAnsi="Arial" w:cs="Arial"/>
      <w:color w:val="000000"/>
      <w:sz w:val="24"/>
      <w:szCs w:val="24"/>
    </w:rPr>
  </w:style>
  <w:style w:type="table" w:styleId="Tablaconcuadrcula">
    <w:name w:val="Table Grid"/>
    <w:basedOn w:val="Tablanormal"/>
    <w:uiPriority w:val="39"/>
    <w:rsid w:val="00F04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DF6B07"/>
    <w:pPr>
      <w:spacing w:before="100" w:beforeAutospacing="1" w:after="100" w:afterAutospacing="1"/>
    </w:pPr>
    <w:rPr>
      <w:lang w:val="es-CO" w:eastAsia="es-CO"/>
    </w:rPr>
  </w:style>
  <w:style w:type="character" w:customStyle="1" w:styleId="iaj">
    <w:name w:val="i_aj"/>
    <w:basedOn w:val="Fuentedeprrafopredeter"/>
    <w:rsid w:val="00376B28"/>
  </w:style>
  <w:style w:type="paragraph" w:styleId="Textodeglobo">
    <w:name w:val="Balloon Text"/>
    <w:basedOn w:val="Normal"/>
    <w:link w:val="TextodegloboCar"/>
    <w:uiPriority w:val="99"/>
    <w:semiHidden/>
    <w:unhideWhenUsed/>
    <w:rsid w:val="008B096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0969"/>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025579">
      <w:bodyDiv w:val="1"/>
      <w:marLeft w:val="0"/>
      <w:marRight w:val="0"/>
      <w:marTop w:val="0"/>
      <w:marBottom w:val="0"/>
      <w:divBdr>
        <w:top w:val="none" w:sz="0" w:space="0" w:color="auto"/>
        <w:left w:val="none" w:sz="0" w:space="0" w:color="auto"/>
        <w:bottom w:val="none" w:sz="0" w:space="0" w:color="auto"/>
        <w:right w:val="none" w:sz="0" w:space="0" w:color="auto"/>
      </w:divBdr>
    </w:div>
    <w:div w:id="360086635">
      <w:bodyDiv w:val="1"/>
      <w:marLeft w:val="0"/>
      <w:marRight w:val="0"/>
      <w:marTop w:val="0"/>
      <w:marBottom w:val="0"/>
      <w:divBdr>
        <w:top w:val="none" w:sz="0" w:space="0" w:color="auto"/>
        <w:left w:val="none" w:sz="0" w:space="0" w:color="auto"/>
        <w:bottom w:val="none" w:sz="0" w:space="0" w:color="auto"/>
        <w:right w:val="none" w:sz="0" w:space="0" w:color="auto"/>
      </w:divBdr>
    </w:div>
    <w:div w:id="441457586">
      <w:bodyDiv w:val="1"/>
      <w:marLeft w:val="0"/>
      <w:marRight w:val="0"/>
      <w:marTop w:val="0"/>
      <w:marBottom w:val="0"/>
      <w:divBdr>
        <w:top w:val="none" w:sz="0" w:space="0" w:color="auto"/>
        <w:left w:val="none" w:sz="0" w:space="0" w:color="auto"/>
        <w:bottom w:val="none" w:sz="0" w:space="0" w:color="auto"/>
        <w:right w:val="none" w:sz="0" w:space="0" w:color="auto"/>
      </w:divBdr>
    </w:div>
    <w:div w:id="522785123">
      <w:bodyDiv w:val="1"/>
      <w:marLeft w:val="0"/>
      <w:marRight w:val="0"/>
      <w:marTop w:val="0"/>
      <w:marBottom w:val="0"/>
      <w:divBdr>
        <w:top w:val="none" w:sz="0" w:space="0" w:color="auto"/>
        <w:left w:val="none" w:sz="0" w:space="0" w:color="auto"/>
        <w:bottom w:val="none" w:sz="0" w:space="0" w:color="auto"/>
        <w:right w:val="none" w:sz="0" w:space="0" w:color="auto"/>
      </w:divBdr>
    </w:div>
    <w:div w:id="535777455">
      <w:bodyDiv w:val="1"/>
      <w:marLeft w:val="0"/>
      <w:marRight w:val="0"/>
      <w:marTop w:val="0"/>
      <w:marBottom w:val="0"/>
      <w:divBdr>
        <w:top w:val="none" w:sz="0" w:space="0" w:color="auto"/>
        <w:left w:val="none" w:sz="0" w:space="0" w:color="auto"/>
        <w:bottom w:val="none" w:sz="0" w:space="0" w:color="auto"/>
        <w:right w:val="none" w:sz="0" w:space="0" w:color="auto"/>
      </w:divBdr>
    </w:div>
    <w:div w:id="570308193">
      <w:bodyDiv w:val="1"/>
      <w:marLeft w:val="0"/>
      <w:marRight w:val="0"/>
      <w:marTop w:val="0"/>
      <w:marBottom w:val="0"/>
      <w:divBdr>
        <w:top w:val="none" w:sz="0" w:space="0" w:color="auto"/>
        <w:left w:val="none" w:sz="0" w:space="0" w:color="auto"/>
        <w:bottom w:val="none" w:sz="0" w:space="0" w:color="auto"/>
        <w:right w:val="none" w:sz="0" w:space="0" w:color="auto"/>
      </w:divBdr>
    </w:div>
    <w:div w:id="891502941">
      <w:bodyDiv w:val="1"/>
      <w:marLeft w:val="0"/>
      <w:marRight w:val="0"/>
      <w:marTop w:val="0"/>
      <w:marBottom w:val="0"/>
      <w:divBdr>
        <w:top w:val="none" w:sz="0" w:space="0" w:color="auto"/>
        <w:left w:val="none" w:sz="0" w:space="0" w:color="auto"/>
        <w:bottom w:val="none" w:sz="0" w:space="0" w:color="auto"/>
        <w:right w:val="none" w:sz="0" w:space="0" w:color="auto"/>
      </w:divBdr>
    </w:div>
    <w:div w:id="948581275">
      <w:bodyDiv w:val="1"/>
      <w:marLeft w:val="0"/>
      <w:marRight w:val="0"/>
      <w:marTop w:val="0"/>
      <w:marBottom w:val="0"/>
      <w:divBdr>
        <w:top w:val="none" w:sz="0" w:space="0" w:color="auto"/>
        <w:left w:val="none" w:sz="0" w:space="0" w:color="auto"/>
        <w:bottom w:val="none" w:sz="0" w:space="0" w:color="auto"/>
        <w:right w:val="none" w:sz="0" w:space="0" w:color="auto"/>
      </w:divBdr>
    </w:div>
    <w:div w:id="1042630491">
      <w:bodyDiv w:val="1"/>
      <w:marLeft w:val="0"/>
      <w:marRight w:val="0"/>
      <w:marTop w:val="0"/>
      <w:marBottom w:val="0"/>
      <w:divBdr>
        <w:top w:val="none" w:sz="0" w:space="0" w:color="auto"/>
        <w:left w:val="none" w:sz="0" w:space="0" w:color="auto"/>
        <w:bottom w:val="none" w:sz="0" w:space="0" w:color="auto"/>
        <w:right w:val="none" w:sz="0" w:space="0" w:color="auto"/>
      </w:divBdr>
    </w:div>
    <w:div w:id="1920866810">
      <w:bodyDiv w:val="1"/>
      <w:marLeft w:val="0"/>
      <w:marRight w:val="0"/>
      <w:marTop w:val="0"/>
      <w:marBottom w:val="0"/>
      <w:divBdr>
        <w:top w:val="none" w:sz="0" w:space="0" w:color="auto"/>
        <w:left w:val="none" w:sz="0" w:space="0" w:color="auto"/>
        <w:bottom w:val="none" w:sz="0" w:space="0" w:color="auto"/>
        <w:right w:val="none" w:sz="0" w:space="0" w:color="auto"/>
      </w:divBdr>
    </w:div>
    <w:div w:id="1977297334">
      <w:bodyDiv w:val="1"/>
      <w:marLeft w:val="0"/>
      <w:marRight w:val="0"/>
      <w:marTop w:val="0"/>
      <w:marBottom w:val="0"/>
      <w:divBdr>
        <w:top w:val="none" w:sz="0" w:space="0" w:color="auto"/>
        <w:left w:val="none" w:sz="0" w:space="0" w:color="auto"/>
        <w:bottom w:val="none" w:sz="0" w:space="0" w:color="auto"/>
        <w:right w:val="none" w:sz="0" w:space="0" w:color="auto"/>
      </w:divBdr>
    </w:div>
    <w:div w:id="199780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1437_2011_pr003.html" TargetMode="External"/><Relationship Id="rId2" Type="http://schemas.openxmlformats.org/officeDocument/2006/relationships/hyperlink" Target="http://www.secretariasenado.gov.co/senado/basedoc/ley_0080_1993.html" TargetMode="External"/><Relationship Id="rId1" Type="http://schemas.openxmlformats.org/officeDocument/2006/relationships/hyperlink" Target="http://www.secretariasenado.gov.co/senado/basedoc/ley_0080_1993.html" TargetMode="External"/><Relationship Id="rId4" Type="http://schemas.openxmlformats.org/officeDocument/2006/relationships/hyperlink" Target="http://www.secretariasenado.gov.co/senado/basedoc/ley_1437_2011_pr00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3918BEC4-F481-4A56-9033-C0BEB1808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3E2439-B172-4897-BC24-ACE8A188B295}">
  <ds:schemaRefs>
    <ds:schemaRef ds:uri="http://schemas.microsoft.com/sharepoint/v3/contenttype/forms"/>
  </ds:schemaRefs>
</ds:datastoreItem>
</file>

<file path=customXml/itemProps3.xml><?xml version="1.0" encoding="utf-8"?>
<ds:datastoreItem xmlns:ds="http://schemas.openxmlformats.org/officeDocument/2006/customXml" ds:itemID="{D6FEE7C0-8D97-4125-B4EF-40D45450E5BF}">
  <ds:schemaRefs>
    <ds:schemaRef ds:uri="http://schemas.openxmlformats.org/officeDocument/2006/bibliography"/>
  </ds:schemaRefs>
</ds:datastoreItem>
</file>

<file path=customXml/itemProps4.xml><?xml version="1.0" encoding="utf-8"?>
<ds:datastoreItem xmlns:ds="http://schemas.openxmlformats.org/officeDocument/2006/customXml" ds:itemID="{DF2F1118-552A-4275-8D95-843D04E1BAC2}">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6326</Words>
  <Characters>34794</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Carlos Mario Castrillón Endo</cp:lastModifiedBy>
  <cp:revision>2</cp:revision>
  <cp:lastPrinted>2019-05-03T15:42:00Z</cp:lastPrinted>
  <dcterms:created xsi:type="dcterms:W3CDTF">2020-07-02T15:23:00Z</dcterms:created>
  <dcterms:modified xsi:type="dcterms:W3CDTF">2020-07-02T15:23:00Z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