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E3EF0" w14:textId="0FE7B4D1" w:rsidR="00683C4F" w:rsidRDefault="00683C4F" w:rsidP="00015E63">
      <w:pPr>
        <w:spacing w:after="0"/>
        <w:jc w:val="both"/>
        <w:rPr>
          <w:rFonts w:ascii="Arial" w:hAnsi="Arial" w:cs="Arial"/>
          <w:b/>
          <w:lang w:eastAsia="es-CO"/>
        </w:rPr>
      </w:pPr>
      <w:r w:rsidRPr="00F26EE9">
        <w:rPr>
          <w:rFonts w:ascii="Arial" w:hAnsi="Arial" w:cs="Arial"/>
          <w:b/>
          <w:lang w:eastAsia="es-CO"/>
        </w:rPr>
        <w:t>NULIDAD</w:t>
      </w:r>
      <w:r w:rsidR="00F26EE9" w:rsidRPr="00F26EE9">
        <w:rPr>
          <w:rFonts w:ascii="Arial" w:hAnsi="Arial" w:cs="Arial"/>
          <w:b/>
          <w:lang w:eastAsia="es-CO"/>
        </w:rPr>
        <w:t xml:space="preserve"> </w:t>
      </w:r>
      <w:r w:rsidR="00376493">
        <w:rPr>
          <w:rFonts w:ascii="Arial" w:hAnsi="Arial" w:cs="Arial"/>
          <w:b/>
          <w:lang w:eastAsia="es-CO"/>
        </w:rPr>
        <w:t xml:space="preserve">SIMPLE </w:t>
      </w:r>
      <w:r w:rsidRPr="00F26EE9">
        <w:rPr>
          <w:rFonts w:ascii="Arial" w:hAnsi="Arial" w:cs="Arial"/>
          <w:b/>
          <w:lang w:eastAsia="es-CO"/>
        </w:rPr>
        <w:t xml:space="preserve">- </w:t>
      </w:r>
      <w:r w:rsidR="00376493">
        <w:rPr>
          <w:rFonts w:ascii="Arial" w:hAnsi="Arial" w:cs="Arial"/>
          <w:b/>
          <w:lang w:eastAsia="es-CO"/>
        </w:rPr>
        <w:t>Naturaleza objetiva</w:t>
      </w:r>
    </w:p>
    <w:p w14:paraId="47107BE9" w14:textId="77777777" w:rsidR="00015E63" w:rsidRPr="00F26EE9" w:rsidRDefault="00015E63" w:rsidP="00015E63">
      <w:pPr>
        <w:spacing w:after="0"/>
        <w:jc w:val="both"/>
        <w:rPr>
          <w:rFonts w:ascii="Arial" w:hAnsi="Arial" w:cs="Arial"/>
          <w:b/>
          <w:bCs/>
          <w:lang w:eastAsia="es-CO"/>
        </w:rPr>
      </w:pPr>
    </w:p>
    <w:p w14:paraId="3511681C" w14:textId="5E6E6625" w:rsidR="00392A5F" w:rsidRDefault="00683C4F" w:rsidP="00015E63">
      <w:pPr>
        <w:spacing w:after="0"/>
        <w:jc w:val="both"/>
        <w:rPr>
          <w:rFonts w:ascii="Arial" w:hAnsi="Arial" w:cs="Arial"/>
          <w:bCs/>
          <w:lang w:eastAsia="es-CO"/>
        </w:rPr>
      </w:pPr>
      <w:r w:rsidRPr="00F26EE9">
        <w:rPr>
          <w:rFonts w:ascii="Arial" w:hAnsi="Arial" w:cs="Arial"/>
          <w:bCs/>
          <w:lang w:eastAsia="es-CO"/>
        </w:rPr>
        <w:t>Se califica de objetiva en la medida en que, a través de su ejercicio, sólo se puede obtener la preservación del ordenamiento jurídico; por tanto, implica el desarrollo de una pretensión de carácter general dirigida a restablecer la juridicidad, en aras del interés general y del principio de legalidad. Lo objetivo de la acción implica, así mismo, una especial técnica de impugnación por parte del ciudadano interesado y de análisis jurídico por parte del juzgador, pues se trata de la confrontación entre una norma superior que se argumenta trasgredida –o violentada– y un acto administrativo al cual se le atribuye la infortunada virtud de ser causante de la trasgresión o de la violación. La acción de nulidad no conlleva pretensión diferente a la legalidad y, por ello, no le corresponde al juez hacer ningún pronunciamiento respecto de la situación de las personas sobre las cuales el acto declarado nulo produjo efectos.</w:t>
      </w:r>
    </w:p>
    <w:p w14:paraId="4C5184BD" w14:textId="77777777" w:rsidR="00015E63" w:rsidRPr="00F26EE9" w:rsidRDefault="00015E63" w:rsidP="00015E63">
      <w:pPr>
        <w:spacing w:after="0"/>
        <w:jc w:val="both"/>
        <w:rPr>
          <w:rFonts w:ascii="Arial" w:hAnsi="Arial" w:cs="Arial"/>
          <w:bCs/>
          <w:lang w:eastAsia="es-CO"/>
        </w:rPr>
      </w:pPr>
    </w:p>
    <w:p w14:paraId="77D3DBBA" w14:textId="6E5E24B1" w:rsidR="00683C4F" w:rsidRDefault="00683C4F" w:rsidP="00015E63">
      <w:pPr>
        <w:spacing w:after="0" w:line="240" w:lineRule="auto"/>
        <w:jc w:val="both"/>
        <w:rPr>
          <w:rFonts w:ascii="Arial" w:eastAsia="MS Mincho" w:hAnsi="Arial" w:cs="Arial"/>
          <w:b/>
          <w:bCs/>
          <w:lang w:eastAsia="es-CO"/>
        </w:rPr>
      </w:pPr>
      <w:r w:rsidRPr="00F26EE9">
        <w:rPr>
          <w:rFonts w:ascii="Arial" w:eastAsia="MS Mincho" w:hAnsi="Arial" w:cs="Arial"/>
          <w:b/>
          <w:bCs/>
          <w:lang w:eastAsia="es-CO"/>
        </w:rPr>
        <w:t>NULIDAD</w:t>
      </w:r>
      <w:r w:rsidR="00F26EE9" w:rsidRPr="00F26EE9">
        <w:rPr>
          <w:rFonts w:ascii="Arial" w:eastAsia="MS Mincho" w:hAnsi="Arial" w:cs="Arial"/>
          <w:b/>
          <w:bCs/>
          <w:lang w:eastAsia="es-CO"/>
        </w:rPr>
        <w:t xml:space="preserve"> </w:t>
      </w:r>
      <w:r w:rsidR="00376493">
        <w:rPr>
          <w:rFonts w:ascii="Arial" w:eastAsia="MS Mincho" w:hAnsi="Arial" w:cs="Arial"/>
          <w:b/>
          <w:bCs/>
          <w:lang w:eastAsia="es-CO"/>
        </w:rPr>
        <w:t xml:space="preserve">SIMPLE </w:t>
      </w:r>
      <w:r w:rsidRPr="00F26EE9">
        <w:rPr>
          <w:rFonts w:ascii="Arial" w:eastAsia="MS Mincho" w:hAnsi="Arial" w:cs="Arial"/>
          <w:b/>
          <w:bCs/>
          <w:lang w:eastAsia="es-CO"/>
        </w:rPr>
        <w:t xml:space="preserve">- </w:t>
      </w:r>
      <w:r w:rsidR="00376493">
        <w:rPr>
          <w:rFonts w:ascii="Arial" w:eastAsia="MS Mincho" w:hAnsi="Arial" w:cs="Arial"/>
          <w:b/>
          <w:bCs/>
          <w:lang w:eastAsia="es-CO"/>
        </w:rPr>
        <w:t>Carácter público</w:t>
      </w:r>
    </w:p>
    <w:p w14:paraId="2CB298EE" w14:textId="77777777" w:rsidR="00015E63" w:rsidRPr="00F26EE9" w:rsidRDefault="00015E63" w:rsidP="00015E63">
      <w:pPr>
        <w:spacing w:after="0" w:line="240" w:lineRule="auto"/>
        <w:jc w:val="both"/>
        <w:rPr>
          <w:rFonts w:ascii="Arial" w:eastAsia="MS Mincho" w:hAnsi="Arial" w:cs="Arial"/>
          <w:b/>
          <w:lang w:eastAsia="es-CO"/>
        </w:rPr>
      </w:pPr>
    </w:p>
    <w:p w14:paraId="15A15B72" w14:textId="5AA1BB66" w:rsidR="00392A5F" w:rsidRDefault="00683C4F" w:rsidP="00015E63">
      <w:pPr>
        <w:spacing w:after="0" w:line="240" w:lineRule="auto"/>
        <w:jc w:val="both"/>
        <w:rPr>
          <w:rFonts w:ascii="Arial" w:eastAsia="MS Mincho" w:hAnsi="Arial" w:cs="Arial"/>
          <w:lang w:eastAsia="es-CO"/>
        </w:rPr>
      </w:pPr>
      <w:r w:rsidRPr="00F26EE9">
        <w:rPr>
          <w:rFonts w:ascii="Arial" w:eastAsia="MS Mincho" w:hAnsi="Arial" w:cs="Arial"/>
          <w:lang w:eastAsia="es-CO"/>
        </w:rPr>
        <w:t>Históricamente se ha considerado que el mantenimiento del ordenamiento jurídico es una responsabilidad pública, por lo cual cualquier persona que advierta posibles rupturas al mismo, ocasionadas con la entrada en vigencia de un acto administrativo, se encuentra legitimada para defenderlo con los mecanismos legales, entre estos, con la acción de nulidad y de ahí que se predique su carácter de pública y popular, en la medida en que la preservación del sistema jurídico no puede ser exclusivamente de interés de unos pocos o una carga funcional privativa de las autoridades.</w:t>
      </w:r>
    </w:p>
    <w:p w14:paraId="099F2933" w14:textId="77777777" w:rsidR="00015E63" w:rsidRPr="00F26EE9" w:rsidRDefault="00015E63" w:rsidP="00015E63">
      <w:pPr>
        <w:spacing w:after="0" w:line="240" w:lineRule="auto"/>
        <w:jc w:val="both"/>
        <w:rPr>
          <w:rFonts w:ascii="Arial" w:eastAsia="MS Mincho" w:hAnsi="Arial" w:cs="Arial"/>
          <w:lang w:eastAsia="es-CO"/>
        </w:rPr>
      </w:pPr>
    </w:p>
    <w:p w14:paraId="6A3DD50A" w14:textId="2FEAB16A" w:rsidR="00683C4F" w:rsidRDefault="00683C4F" w:rsidP="00015E63">
      <w:pPr>
        <w:spacing w:after="0"/>
        <w:jc w:val="both"/>
        <w:rPr>
          <w:rFonts w:ascii="Arial" w:hAnsi="Arial" w:cs="Arial"/>
          <w:b/>
          <w:lang w:eastAsia="es-CO"/>
        </w:rPr>
      </w:pPr>
      <w:r w:rsidRPr="00F26EE9">
        <w:rPr>
          <w:rFonts w:ascii="Arial" w:hAnsi="Arial" w:cs="Arial"/>
          <w:b/>
          <w:lang w:eastAsia="es-CO"/>
        </w:rPr>
        <w:t>NULIDAD</w:t>
      </w:r>
      <w:r w:rsidR="00F26EE9" w:rsidRPr="00F26EE9">
        <w:rPr>
          <w:rFonts w:ascii="Arial" w:hAnsi="Arial" w:cs="Arial"/>
          <w:b/>
          <w:lang w:eastAsia="es-CO"/>
        </w:rPr>
        <w:t xml:space="preserve"> </w:t>
      </w:r>
      <w:r w:rsidR="00376493">
        <w:rPr>
          <w:rFonts w:ascii="Arial" w:hAnsi="Arial" w:cs="Arial"/>
          <w:b/>
          <w:lang w:eastAsia="es-CO"/>
        </w:rPr>
        <w:t xml:space="preserve">SIMPLE </w:t>
      </w:r>
      <w:r w:rsidR="00015E63">
        <w:rPr>
          <w:rFonts w:ascii="Arial" w:hAnsi="Arial" w:cs="Arial"/>
          <w:b/>
          <w:lang w:eastAsia="es-CO"/>
        </w:rPr>
        <w:t>–</w:t>
      </w:r>
      <w:r w:rsidRPr="00F26EE9">
        <w:rPr>
          <w:rFonts w:ascii="Arial" w:hAnsi="Arial" w:cs="Arial"/>
          <w:b/>
          <w:lang w:eastAsia="es-CO"/>
        </w:rPr>
        <w:t xml:space="preserve"> </w:t>
      </w:r>
      <w:r w:rsidR="00376493">
        <w:rPr>
          <w:rFonts w:ascii="Arial" w:hAnsi="Arial" w:cs="Arial"/>
          <w:b/>
          <w:lang w:eastAsia="es-CO"/>
        </w:rPr>
        <w:t>Alcance</w:t>
      </w:r>
    </w:p>
    <w:p w14:paraId="1E554EAC" w14:textId="77777777" w:rsidR="00015E63" w:rsidRPr="00F26EE9" w:rsidRDefault="00015E63" w:rsidP="00015E63">
      <w:pPr>
        <w:spacing w:after="0"/>
        <w:jc w:val="both"/>
        <w:rPr>
          <w:rFonts w:ascii="Arial" w:hAnsi="Arial" w:cs="Arial"/>
          <w:b/>
          <w:bCs/>
          <w:lang w:eastAsia="es-CO"/>
        </w:rPr>
      </w:pPr>
    </w:p>
    <w:p w14:paraId="6122DC6A" w14:textId="59A4F9E9" w:rsidR="00683C4F" w:rsidRDefault="00683C4F" w:rsidP="00015E63">
      <w:pPr>
        <w:spacing w:after="0"/>
        <w:jc w:val="both"/>
        <w:rPr>
          <w:rFonts w:ascii="Arial" w:hAnsi="Arial" w:cs="Arial"/>
          <w:bCs/>
          <w:lang w:eastAsia="es-CO"/>
        </w:rPr>
      </w:pPr>
      <w:r w:rsidRPr="00F26EE9">
        <w:rPr>
          <w:rFonts w:ascii="Arial" w:hAnsi="Arial" w:cs="Arial"/>
          <w:bCs/>
          <w:lang w:eastAsia="es-CO"/>
        </w:rPr>
        <w:t xml:space="preserve">Referirse a la acción de nulidad en materia contenciosa administrativa es acercarse, </w:t>
      </w:r>
      <w:proofErr w:type="gramStart"/>
      <w:r w:rsidRPr="00F26EE9">
        <w:rPr>
          <w:rFonts w:ascii="Arial" w:hAnsi="Arial" w:cs="Arial"/>
          <w:bCs/>
          <w:lang w:eastAsia="es-CO"/>
        </w:rPr>
        <w:t>sin lugar a dudas</w:t>
      </w:r>
      <w:proofErr w:type="gramEnd"/>
      <w:r w:rsidRPr="00F26EE9">
        <w:rPr>
          <w:rFonts w:ascii="Arial" w:hAnsi="Arial" w:cs="Arial"/>
          <w:bCs/>
          <w:lang w:eastAsia="es-CO"/>
        </w:rPr>
        <w:t xml:space="preserve">, a un importante juicio de constitucionalidad y de legalidad sobre los actos de quienes ejercen funciones administrativas, con el fin de que sea revisada –por parte de la autoridad contenciosa correspondiente– su conformidad o no con el ordenamiento jurídico. </w:t>
      </w:r>
    </w:p>
    <w:p w14:paraId="291447A6" w14:textId="77777777" w:rsidR="00015E63" w:rsidRPr="00F26EE9" w:rsidRDefault="00015E63" w:rsidP="00015E63">
      <w:pPr>
        <w:spacing w:after="0"/>
        <w:jc w:val="both"/>
        <w:rPr>
          <w:rFonts w:ascii="Arial" w:hAnsi="Arial" w:cs="Arial"/>
          <w:bCs/>
          <w:lang w:eastAsia="es-CO"/>
        </w:rPr>
      </w:pPr>
    </w:p>
    <w:p w14:paraId="116EAB0C" w14:textId="3F3721AC" w:rsidR="00683C4F" w:rsidRDefault="00683C4F" w:rsidP="00015E63">
      <w:pPr>
        <w:spacing w:after="0"/>
        <w:jc w:val="both"/>
        <w:rPr>
          <w:rFonts w:ascii="Arial" w:hAnsi="Arial" w:cs="Arial"/>
          <w:b/>
          <w:lang w:eastAsia="es-CO"/>
        </w:rPr>
      </w:pPr>
      <w:r w:rsidRPr="00F26EE9">
        <w:rPr>
          <w:rFonts w:ascii="Arial" w:hAnsi="Arial" w:cs="Arial"/>
          <w:b/>
          <w:lang w:eastAsia="es-CO"/>
        </w:rPr>
        <w:t>NULIDAD</w:t>
      </w:r>
      <w:r w:rsidR="00376493">
        <w:rPr>
          <w:rFonts w:ascii="Arial" w:hAnsi="Arial" w:cs="Arial"/>
          <w:b/>
          <w:lang w:eastAsia="es-CO"/>
        </w:rPr>
        <w:t xml:space="preserve"> SIMPLE - Causales </w:t>
      </w:r>
      <w:r w:rsidR="00015E63">
        <w:rPr>
          <w:rFonts w:ascii="Arial" w:hAnsi="Arial" w:cs="Arial"/>
          <w:b/>
          <w:lang w:eastAsia="es-CO"/>
        </w:rPr>
        <w:t>–</w:t>
      </w:r>
      <w:r w:rsidR="00376493">
        <w:rPr>
          <w:rFonts w:ascii="Arial" w:hAnsi="Arial" w:cs="Arial"/>
          <w:b/>
          <w:lang w:eastAsia="es-CO"/>
        </w:rPr>
        <w:t xml:space="preserve"> Norma</w:t>
      </w:r>
    </w:p>
    <w:p w14:paraId="3EA66892" w14:textId="77777777" w:rsidR="00015E63" w:rsidRPr="00F26EE9" w:rsidRDefault="00015E63" w:rsidP="00015E63">
      <w:pPr>
        <w:spacing w:after="0"/>
        <w:jc w:val="both"/>
        <w:rPr>
          <w:rFonts w:ascii="Arial" w:hAnsi="Arial" w:cs="Arial"/>
          <w:bCs/>
          <w:lang w:eastAsia="es-CO"/>
        </w:rPr>
      </w:pPr>
    </w:p>
    <w:p w14:paraId="5DA4AB59" w14:textId="4113A21E" w:rsidR="00392A5F" w:rsidRDefault="00683C4F" w:rsidP="00015E63">
      <w:pPr>
        <w:spacing w:after="0"/>
        <w:jc w:val="both"/>
        <w:rPr>
          <w:rFonts w:ascii="Arial" w:hAnsi="Arial" w:cs="Arial"/>
          <w:bCs/>
          <w:lang w:eastAsia="es-CO"/>
        </w:rPr>
      </w:pPr>
      <w:r w:rsidRPr="00F26EE9">
        <w:rPr>
          <w:rFonts w:ascii="Arial" w:hAnsi="Arial" w:cs="Arial"/>
          <w:bCs/>
          <w:lang w:eastAsia="es-CO"/>
        </w:rPr>
        <w:t>De manera específica, el Código Contencioso Administrativo (vigente para el momento en que se expidió el acto acusado) indica para esto cuáles son los casos frente a los cuales puede decirse que un acto administrativo está afectado de nulidad (art. 84), a saber: 1)</w:t>
      </w:r>
      <w:r w:rsidRPr="00F26EE9">
        <w:rPr>
          <w:rFonts w:ascii="Arial" w:hAnsi="Arial" w:cs="Arial"/>
          <w:bCs/>
          <w:lang w:eastAsia="es-CO"/>
        </w:rPr>
        <w:tab/>
        <w:t>Cuando el acto haya sido expedido con infracción de las normas en que debería fundarse (vicio de contenido) 2)</w:t>
      </w:r>
      <w:r w:rsidR="00376493">
        <w:rPr>
          <w:rFonts w:ascii="Arial" w:hAnsi="Arial" w:cs="Arial"/>
          <w:bCs/>
          <w:lang w:eastAsia="es-CO"/>
        </w:rPr>
        <w:t xml:space="preserve"> </w:t>
      </w:r>
      <w:r w:rsidRPr="00F26EE9">
        <w:rPr>
          <w:rFonts w:ascii="Arial" w:hAnsi="Arial" w:cs="Arial"/>
          <w:bCs/>
          <w:lang w:eastAsia="es-CO"/>
        </w:rPr>
        <w:t>Cuando quien expida el acto no tenga competencia para hacerlo (vicio de competencia).3</w:t>
      </w:r>
      <w:r w:rsidR="00376493">
        <w:rPr>
          <w:rFonts w:ascii="Arial" w:hAnsi="Arial" w:cs="Arial"/>
          <w:bCs/>
          <w:lang w:eastAsia="es-CO"/>
        </w:rPr>
        <w:t xml:space="preserve">) </w:t>
      </w:r>
      <w:r w:rsidRPr="00F26EE9">
        <w:rPr>
          <w:rFonts w:ascii="Arial" w:hAnsi="Arial" w:cs="Arial"/>
          <w:bCs/>
          <w:lang w:eastAsia="es-CO"/>
        </w:rPr>
        <w:t>Cuando el acto se expida de forma irregular (vicio de forma). 4)</w:t>
      </w:r>
      <w:r w:rsidRPr="00F26EE9">
        <w:rPr>
          <w:rFonts w:ascii="Arial" w:hAnsi="Arial" w:cs="Arial"/>
          <w:bCs/>
          <w:lang w:eastAsia="es-CO"/>
        </w:rPr>
        <w:tab/>
        <w:t>Cuando en la expedición del acto se desconocen los derechos de audiencia y de defensa del interesado (causal relacionada con la expedición irregular).  5)</w:t>
      </w:r>
      <w:r w:rsidRPr="00F26EE9">
        <w:rPr>
          <w:rFonts w:ascii="Arial" w:hAnsi="Arial" w:cs="Arial"/>
          <w:bCs/>
          <w:lang w:eastAsia="es-CO"/>
        </w:rPr>
        <w:tab/>
        <w:t>Cuando el acto se expida con falsa motivación (vicio de motivo). 6)</w:t>
      </w:r>
      <w:r w:rsidRPr="00F26EE9">
        <w:rPr>
          <w:rFonts w:ascii="Arial" w:hAnsi="Arial" w:cs="Arial"/>
          <w:bCs/>
          <w:lang w:eastAsia="es-CO"/>
        </w:rPr>
        <w:tab/>
        <w:t>Cuando se expida con desviación de las atribuciones propias de quien lo profirió (vicio de finalidad).</w:t>
      </w:r>
    </w:p>
    <w:p w14:paraId="293F428D" w14:textId="77777777" w:rsidR="00015E63" w:rsidRPr="00F26EE9" w:rsidRDefault="00015E63" w:rsidP="00015E63">
      <w:pPr>
        <w:spacing w:after="0"/>
        <w:jc w:val="both"/>
        <w:rPr>
          <w:rFonts w:ascii="Arial" w:hAnsi="Arial" w:cs="Arial"/>
          <w:b/>
          <w:lang w:eastAsia="es-CO"/>
        </w:rPr>
      </w:pPr>
    </w:p>
    <w:p w14:paraId="114E53D2" w14:textId="7AE8D30A" w:rsidR="00683C4F" w:rsidRDefault="00683C4F" w:rsidP="00015E63">
      <w:pPr>
        <w:spacing w:after="0"/>
        <w:jc w:val="both"/>
        <w:rPr>
          <w:rFonts w:ascii="Arial" w:hAnsi="Arial" w:cs="Arial"/>
          <w:b/>
          <w:bCs/>
          <w:lang w:eastAsia="es-CO"/>
        </w:rPr>
      </w:pPr>
      <w:r w:rsidRPr="00F26EE9">
        <w:rPr>
          <w:rFonts w:ascii="Arial" w:hAnsi="Arial" w:cs="Arial"/>
          <w:b/>
          <w:lang w:eastAsia="es-CO"/>
        </w:rPr>
        <w:t>NULIDAD SIMPLE</w:t>
      </w:r>
      <w:r w:rsidR="00F26EE9" w:rsidRPr="00F26EE9">
        <w:rPr>
          <w:rFonts w:ascii="Arial" w:hAnsi="Arial" w:cs="Arial"/>
          <w:b/>
          <w:lang w:eastAsia="es-CO"/>
        </w:rPr>
        <w:t xml:space="preserve"> </w:t>
      </w:r>
      <w:r w:rsidRPr="00F26EE9">
        <w:rPr>
          <w:rFonts w:ascii="Arial" w:hAnsi="Arial" w:cs="Arial"/>
          <w:b/>
          <w:lang w:eastAsia="es-CO"/>
        </w:rPr>
        <w:t>-</w:t>
      </w:r>
      <w:r w:rsidRPr="00F26EE9">
        <w:rPr>
          <w:rFonts w:ascii="Arial" w:hAnsi="Arial" w:cs="Arial"/>
          <w:bCs/>
          <w:lang w:eastAsia="es-CO"/>
        </w:rPr>
        <w:t xml:space="preserve"> </w:t>
      </w:r>
      <w:r w:rsidR="00F26EE9" w:rsidRPr="00F26EE9">
        <w:rPr>
          <w:rFonts w:ascii="Arial" w:hAnsi="Arial" w:cs="Arial"/>
          <w:b/>
          <w:bCs/>
          <w:lang w:eastAsia="es-CO"/>
        </w:rPr>
        <w:t>N</w:t>
      </w:r>
      <w:r w:rsidRPr="00F26EE9">
        <w:rPr>
          <w:rFonts w:ascii="Arial" w:hAnsi="Arial" w:cs="Arial"/>
          <w:b/>
          <w:bCs/>
          <w:lang w:eastAsia="es-CO"/>
        </w:rPr>
        <w:t>aturaleza</w:t>
      </w:r>
      <w:r w:rsidRPr="00F26EE9">
        <w:rPr>
          <w:rFonts w:ascii="Arial" w:hAnsi="Arial" w:cs="Arial"/>
          <w:b/>
          <w:lang w:eastAsia="es-CO"/>
        </w:rPr>
        <w:t xml:space="preserve"> - </w:t>
      </w:r>
      <w:r w:rsidR="00073079">
        <w:rPr>
          <w:rFonts w:ascii="Arial" w:hAnsi="Arial" w:cs="Arial"/>
          <w:b/>
          <w:lang w:eastAsia="es-CO"/>
        </w:rPr>
        <w:t>Ejercicio</w:t>
      </w:r>
      <w:r w:rsidRPr="00F26EE9">
        <w:rPr>
          <w:rFonts w:ascii="Arial" w:hAnsi="Arial" w:cs="Arial"/>
          <w:b/>
          <w:bCs/>
          <w:lang w:eastAsia="es-CO"/>
        </w:rPr>
        <w:t xml:space="preserve"> </w:t>
      </w:r>
    </w:p>
    <w:p w14:paraId="50F53333" w14:textId="77777777" w:rsidR="00015E63" w:rsidRPr="00F26EE9" w:rsidRDefault="00015E63" w:rsidP="00015E63">
      <w:pPr>
        <w:spacing w:after="0"/>
        <w:jc w:val="both"/>
        <w:rPr>
          <w:rFonts w:ascii="Arial" w:hAnsi="Arial" w:cs="Arial"/>
          <w:b/>
          <w:bCs/>
          <w:lang w:eastAsia="es-CO"/>
        </w:rPr>
      </w:pPr>
    </w:p>
    <w:p w14:paraId="04F254A4" w14:textId="69B9FC13" w:rsidR="00392A5F" w:rsidRDefault="00683C4F" w:rsidP="00015E63">
      <w:pPr>
        <w:spacing w:after="0"/>
        <w:jc w:val="both"/>
        <w:rPr>
          <w:rFonts w:ascii="Arial" w:hAnsi="Arial" w:cs="Arial"/>
          <w:bCs/>
          <w:lang w:eastAsia="es-CO"/>
        </w:rPr>
      </w:pPr>
      <w:r w:rsidRPr="00F26EE9">
        <w:rPr>
          <w:rFonts w:ascii="Arial" w:hAnsi="Arial" w:cs="Arial"/>
          <w:bCs/>
          <w:lang w:eastAsia="es-CO"/>
        </w:rPr>
        <w:t>Esta corporación ha sostenido de manera pacífica y reiterada que la acción de nulidad es de naturaleza objetiva, pública y popular. Por medio de ella, cualquier persona (directamente o por intermedio de apoderado) puede solicitar ante la jurisdicción contenciosa administrativa la anulación de un acto administrativo, siempre y cuando se encuentre incurso en alguna de las causales de nulidad establecidas en la ley.</w:t>
      </w:r>
    </w:p>
    <w:p w14:paraId="1F0848DC" w14:textId="77777777" w:rsidR="00015E63" w:rsidRPr="00F26EE9" w:rsidRDefault="00015E63" w:rsidP="00015E63">
      <w:pPr>
        <w:spacing w:after="0"/>
        <w:jc w:val="both"/>
        <w:rPr>
          <w:rFonts w:ascii="Arial" w:hAnsi="Arial" w:cs="Arial"/>
          <w:bCs/>
          <w:lang w:eastAsia="es-CO"/>
        </w:rPr>
      </w:pPr>
    </w:p>
    <w:p w14:paraId="784E9407" w14:textId="1BDFDF3D" w:rsidR="000740CD" w:rsidRDefault="00073079" w:rsidP="00015E63">
      <w:pPr>
        <w:spacing w:after="0" w:line="240" w:lineRule="auto"/>
        <w:jc w:val="both"/>
        <w:rPr>
          <w:rFonts w:ascii="Arial" w:eastAsia="MS Mincho" w:hAnsi="Arial" w:cs="Arial"/>
          <w:lang w:eastAsia="es-CO"/>
        </w:rPr>
      </w:pPr>
      <w:r w:rsidRPr="00F26EE9">
        <w:rPr>
          <w:rFonts w:ascii="Arial" w:hAnsi="Arial" w:cs="Arial"/>
          <w:b/>
          <w:lang w:eastAsia="es-CO"/>
        </w:rPr>
        <w:t>NULIDAD</w:t>
      </w:r>
      <w:r>
        <w:rPr>
          <w:rFonts w:ascii="Arial" w:hAnsi="Arial" w:cs="Arial"/>
          <w:b/>
          <w:lang w:eastAsia="es-CO"/>
        </w:rPr>
        <w:t xml:space="preserve"> SIMPLE - Causales - </w:t>
      </w:r>
      <w:r w:rsidR="000740CD" w:rsidRPr="00F26EE9">
        <w:rPr>
          <w:rFonts w:ascii="Arial" w:eastAsia="MS Mincho" w:hAnsi="Arial" w:cs="Arial"/>
          <w:b/>
          <w:bCs/>
          <w:lang w:eastAsia="es-CO"/>
        </w:rPr>
        <w:t>E</w:t>
      </w:r>
      <w:r w:rsidRPr="00F26EE9">
        <w:rPr>
          <w:rFonts w:ascii="Arial" w:eastAsia="MS Mincho" w:hAnsi="Arial" w:cs="Arial"/>
          <w:b/>
          <w:bCs/>
          <w:lang w:eastAsia="es-CO"/>
        </w:rPr>
        <w:t xml:space="preserve">xpedición irregular </w:t>
      </w:r>
      <w:r w:rsidR="000740CD" w:rsidRPr="00F26EE9">
        <w:rPr>
          <w:rFonts w:ascii="Arial" w:eastAsia="MS Mincho" w:hAnsi="Arial" w:cs="Arial"/>
          <w:b/>
          <w:bCs/>
          <w:lang w:eastAsia="es-CO"/>
        </w:rPr>
        <w:t xml:space="preserve">- </w:t>
      </w:r>
      <w:r w:rsidR="00F26EE9" w:rsidRPr="00F26EE9">
        <w:rPr>
          <w:rFonts w:ascii="Arial" w:eastAsia="MS Mincho" w:hAnsi="Arial" w:cs="Arial"/>
          <w:b/>
          <w:lang w:eastAsia="es-CO"/>
        </w:rPr>
        <w:t>V</w:t>
      </w:r>
      <w:r w:rsidR="000740CD" w:rsidRPr="00F26EE9">
        <w:rPr>
          <w:rFonts w:ascii="Arial" w:eastAsia="MS Mincho" w:hAnsi="Arial" w:cs="Arial"/>
          <w:b/>
          <w:lang w:eastAsia="es-CO"/>
        </w:rPr>
        <w:t xml:space="preserve">icio de </w:t>
      </w:r>
      <w:r w:rsidR="00F26EE9" w:rsidRPr="00F26EE9">
        <w:rPr>
          <w:rFonts w:ascii="Arial" w:eastAsia="MS Mincho" w:hAnsi="Arial" w:cs="Arial"/>
          <w:b/>
          <w:lang w:eastAsia="es-CO"/>
        </w:rPr>
        <w:t>trámite</w:t>
      </w:r>
      <w:r w:rsidR="000740CD" w:rsidRPr="00F26EE9">
        <w:rPr>
          <w:rFonts w:ascii="Arial" w:eastAsia="MS Mincho" w:hAnsi="Arial" w:cs="Arial"/>
          <w:b/>
          <w:lang w:eastAsia="es-CO"/>
        </w:rPr>
        <w:t xml:space="preserve"> </w:t>
      </w:r>
      <w:r>
        <w:rPr>
          <w:rFonts w:ascii="Arial" w:eastAsia="MS Mincho" w:hAnsi="Arial" w:cs="Arial"/>
          <w:b/>
          <w:lang w:eastAsia="es-CO"/>
        </w:rPr>
        <w:t>- Inexistencia</w:t>
      </w:r>
      <w:r w:rsidR="000740CD" w:rsidRPr="00F26EE9">
        <w:rPr>
          <w:rFonts w:ascii="Arial" w:eastAsia="MS Mincho" w:hAnsi="Arial" w:cs="Arial"/>
          <w:lang w:eastAsia="es-CO"/>
        </w:rPr>
        <w:t xml:space="preserve"> </w:t>
      </w:r>
    </w:p>
    <w:p w14:paraId="7683ED4A" w14:textId="77777777" w:rsidR="00015E63" w:rsidRPr="00F26EE9" w:rsidRDefault="00015E63" w:rsidP="00015E63">
      <w:pPr>
        <w:spacing w:after="0" w:line="240" w:lineRule="auto"/>
        <w:jc w:val="both"/>
        <w:rPr>
          <w:rFonts w:ascii="Arial" w:eastAsia="MS Mincho" w:hAnsi="Arial" w:cs="Arial"/>
          <w:b/>
          <w:bCs/>
          <w:lang w:eastAsia="es-CO"/>
        </w:rPr>
      </w:pPr>
    </w:p>
    <w:p w14:paraId="7991CE7F" w14:textId="77777777" w:rsidR="000740CD" w:rsidRPr="00F26EE9" w:rsidRDefault="000740CD" w:rsidP="00015E63">
      <w:pPr>
        <w:spacing w:after="0" w:line="240" w:lineRule="auto"/>
        <w:contextualSpacing/>
        <w:jc w:val="both"/>
        <w:rPr>
          <w:rFonts w:ascii="Arial" w:hAnsi="Arial" w:cs="Arial"/>
          <w:lang w:val="es-ES"/>
        </w:rPr>
      </w:pPr>
      <w:r w:rsidRPr="00F26EE9">
        <w:rPr>
          <w:rFonts w:ascii="Arial" w:hAnsi="Arial" w:cs="Arial"/>
        </w:rPr>
        <w:t xml:space="preserve">En cuanto al vicio de forma, esto es, la expedición irregular, es de anotar que se presenta cuando la administración no se ajusta a los procedimientos establecidos para manifestar su voluntad, así como cuando la decisión de la administración viola las normas de orden adjetivo que establecen el procedimiento para la formación del acto o la manera como éste debe presentarse; en efecto, </w:t>
      </w:r>
      <w:r w:rsidRPr="00F26EE9">
        <w:rPr>
          <w:rFonts w:ascii="Arial" w:hAnsi="Arial" w:cs="Arial"/>
          <w:lang w:val="es-ES"/>
        </w:rPr>
        <w:lastRenderedPageBreak/>
        <w:t>cuando el acto es expedido con vicios en su trámite debe verificarse si éstos tienen la vocación de incidir en el sentido de la decisión, de tal manera que si la irregularidad en el proceso logra afectarlo –por ser sustancial o trascendente– el acto administrativo es anulable. En el caso contrario, es decir, cuando el defecto es intrascendente, pues no se altera la decisión ni la voluntad de quien lo expide, no hay lugar a decretar su anulación.</w:t>
      </w:r>
    </w:p>
    <w:p w14:paraId="69ABC503" w14:textId="77777777" w:rsidR="00392A5F" w:rsidRPr="00F26EE9" w:rsidRDefault="00392A5F" w:rsidP="00015E63">
      <w:pPr>
        <w:spacing w:after="0"/>
        <w:jc w:val="both"/>
        <w:rPr>
          <w:rFonts w:ascii="Arial" w:hAnsi="Arial" w:cs="Arial"/>
          <w:b/>
          <w:lang w:eastAsia="es-CO"/>
        </w:rPr>
      </w:pPr>
    </w:p>
    <w:p w14:paraId="7DB1ED10" w14:textId="3E3330AF" w:rsidR="000740CD" w:rsidRDefault="009B5640" w:rsidP="00015E63">
      <w:pPr>
        <w:spacing w:after="0"/>
        <w:jc w:val="both"/>
        <w:rPr>
          <w:rFonts w:ascii="Arial" w:hAnsi="Arial" w:cs="Arial"/>
          <w:b/>
          <w:lang w:eastAsia="es-CO"/>
        </w:rPr>
      </w:pPr>
      <w:r w:rsidRPr="00F26EE9">
        <w:rPr>
          <w:rFonts w:ascii="Arial" w:hAnsi="Arial" w:cs="Arial"/>
          <w:b/>
          <w:lang w:eastAsia="es-CO"/>
        </w:rPr>
        <w:t>NULIDAD</w:t>
      </w:r>
      <w:r>
        <w:rPr>
          <w:rFonts w:ascii="Arial" w:hAnsi="Arial" w:cs="Arial"/>
          <w:b/>
          <w:lang w:eastAsia="es-CO"/>
        </w:rPr>
        <w:t xml:space="preserve"> SIMPLE - Causales - </w:t>
      </w:r>
      <w:r w:rsidRPr="00F26EE9">
        <w:rPr>
          <w:rFonts w:ascii="Arial" w:eastAsia="MS Mincho" w:hAnsi="Arial" w:cs="Arial"/>
          <w:b/>
          <w:bCs/>
          <w:lang w:eastAsia="es-CO"/>
        </w:rPr>
        <w:t xml:space="preserve">Expedición irregular </w:t>
      </w:r>
      <w:r w:rsidR="000740CD" w:rsidRPr="00F26EE9">
        <w:rPr>
          <w:rFonts w:ascii="Arial" w:hAnsi="Arial" w:cs="Arial"/>
          <w:b/>
          <w:lang w:eastAsia="es-CO"/>
        </w:rPr>
        <w:t>-</w:t>
      </w:r>
      <w:r>
        <w:rPr>
          <w:rFonts w:ascii="Arial" w:hAnsi="Arial" w:cs="Arial"/>
          <w:b/>
          <w:lang w:eastAsia="es-CO"/>
        </w:rPr>
        <w:t xml:space="preserve"> Configuración</w:t>
      </w:r>
    </w:p>
    <w:p w14:paraId="4CDF8CB4" w14:textId="77777777" w:rsidR="00015E63" w:rsidRPr="00F26EE9" w:rsidRDefault="00015E63" w:rsidP="00015E63">
      <w:pPr>
        <w:spacing w:after="0"/>
        <w:jc w:val="both"/>
        <w:rPr>
          <w:rFonts w:ascii="Arial" w:hAnsi="Arial" w:cs="Arial"/>
          <w:b/>
          <w:lang w:eastAsia="es-CO"/>
        </w:rPr>
      </w:pPr>
    </w:p>
    <w:p w14:paraId="2DE06B03" w14:textId="3725BB25" w:rsidR="0073063A" w:rsidRDefault="000740CD" w:rsidP="00015E63">
      <w:pPr>
        <w:spacing w:after="0"/>
        <w:jc w:val="both"/>
        <w:rPr>
          <w:rFonts w:ascii="Arial" w:hAnsi="Arial" w:cs="Arial"/>
          <w:bCs/>
          <w:lang w:eastAsia="es-CO"/>
        </w:rPr>
      </w:pPr>
      <w:r w:rsidRPr="00F26EE9">
        <w:rPr>
          <w:rFonts w:ascii="Arial" w:hAnsi="Arial" w:cs="Arial"/>
          <w:bCs/>
          <w:lang w:eastAsia="es-CO"/>
        </w:rPr>
        <w:t>Las irregularidades que se presenten en el proceso de formación de un acto se estudian a través de lo que la doctrina ha denominado causal de expedición irregular, la cual se materializa cuando se vulnera el debido proceso en la formación del acto administrativo, es decir, cuando la actuación administrativa se realiza con anomalías sustanciales . Sobre el particular, esta Corporación señaló: “Dicho vicio [expedición irregular] corresponde a aquel referido a las irregularidades sustanciales que tengan lugar en la expedición del acto, vale decir, el que se presenta cuando el acto se expide omitiendo las formalidades y trámites del caso que resulten determina</w:t>
      </w:r>
      <w:r w:rsidR="00F26EE9" w:rsidRPr="00F26EE9">
        <w:rPr>
          <w:rFonts w:ascii="Arial" w:hAnsi="Arial" w:cs="Arial"/>
          <w:bCs/>
          <w:lang w:eastAsia="es-CO"/>
        </w:rPr>
        <w:t>ntes en la decisión definitiva”</w:t>
      </w:r>
      <w:r w:rsidRPr="00F26EE9">
        <w:rPr>
          <w:rFonts w:ascii="Arial" w:hAnsi="Arial" w:cs="Arial"/>
          <w:bCs/>
          <w:lang w:eastAsia="es-CO"/>
        </w:rPr>
        <w:t>.</w:t>
      </w:r>
      <w:r w:rsidR="00F26EE9" w:rsidRPr="00F26EE9">
        <w:rPr>
          <w:rFonts w:ascii="Arial" w:hAnsi="Arial" w:cs="Arial"/>
          <w:bCs/>
          <w:lang w:eastAsia="es-CO"/>
        </w:rPr>
        <w:t xml:space="preserve"> </w:t>
      </w:r>
      <w:r w:rsidRPr="00F26EE9">
        <w:rPr>
          <w:rFonts w:ascii="Arial" w:hAnsi="Arial" w:cs="Arial"/>
          <w:bCs/>
          <w:lang w:eastAsia="es-CO"/>
        </w:rPr>
        <w:t>Así las cosas, el vicio en la formación del acto debe ser de tal magnitud que afecte su esencia misma, pues no todas las irregularidades tienen la potencialidad de desvirtuar la presunción de legalidad; en otras palabras, la anomalía que se presente debe ser sustancial, trascendental y con incidencia directa en la formación del acto administrativo.</w:t>
      </w:r>
    </w:p>
    <w:p w14:paraId="3D89478B" w14:textId="77777777" w:rsidR="00015E63" w:rsidRPr="00F26EE9" w:rsidRDefault="00015E63" w:rsidP="00015E63">
      <w:pPr>
        <w:spacing w:after="0"/>
        <w:jc w:val="both"/>
        <w:rPr>
          <w:rFonts w:ascii="Arial" w:hAnsi="Arial" w:cs="Arial"/>
          <w:bCs/>
          <w:lang w:eastAsia="es-CO"/>
        </w:rPr>
      </w:pPr>
    </w:p>
    <w:p w14:paraId="6D69CA34" w14:textId="248C10C0" w:rsidR="0073063A" w:rsidRDefault="009B5640" w:rsidP="00015E63">
      <w:pPr>
        <w:shd w:val="clear" w:color="auto" w:fill="FFFFFF"/>
        <w:spacing w:after="0"/>
        <w:ind w:right="567"/>
        <w:jc w:val="both"/>
        <w:rPr>
          <w:rFonts w:ascii="Arial" w:hAnsi="Arial" w:cs="Arial"/>
          <w:b/>
          <w:bCs/>
          <w:iCs/>
        </w:rPr>
      </w:pPr>
      <w:r w:rsidRPr="009B5640">
        <w:rPr>
          <w:rFonts w:ascii="Arial" w:hAnsi="Arial" w:cs="Arial"/>
          <w:b/>
          <w:bCs/>
          <w:iCs/>
        </w:rPr>
        <w:t xml:space="preserve">ALCALDE - Facultades - Celebración de contratos - Ejercicio </w:t>
      </w:r>
      <w:r w:rsidR="00015E63">
        <w:rPr>
          <w:rFonts w:ascii="Arial" w:hAnsi="Arial" w:cs="Arial"/>
          <w:b/>
          <w:bCs/>
          <w:iCs/>
        </w:rPr>
        <w:t>–</w:t>
      </w:r>
      <w:r w:rsidRPr="009B5640">
        <w:rPr>
          <w:rFonts w:ascii="Arial" w:hAnsi="Arial" w:cs="Arial"/>
          <w:b/>
          <w:bCs/>
          <w:iCs/>
        </w:rPr>
        <w:t xml:space="preserve"> Autorización</w:t>
      </w:r>
    </w:p>
    <w:p w14:paraId="18D68FFF" w14:textId="77777777" w:rsidR="00015E63" w:rsidRPr="009B5640" w:rsidRDefault="00015E63" w:rsidP="00015E63">
      <w:pPr>
        <w:shd w:val="clear" w:color="auto" w:fill="FFFFFF"/>
        <w:spacing w:after="0"/>
        <w:ind w:right="567"/>
        <w:jc w:val="both"/>
        <w:rPr>
          <w:rFonts w:ascii="Arial" w:hAnsi="Arial" w:cs="Arial"/>
          <w:b/>
          <w:bCs/>
          <w:iCs/>
        </w:rPr>
      </w:pPr>
    </w:p>
    <w:p w14:paraId="0E7F308B" w14:textId="2C6B6DA4" w:rsidR="0073063A" w:rsidRDefault="0073063A" w:rsidP="00015E63">
      <w:pPr>
        <w:shd w:val="clear" w:color="auto" w:fill="FFFFFF"/>
        <w:spacing w:after="0"/>
        <w:ind w:right="567"/>
        <w:jc w:val="both"/>
        <w:rPr>
          <w:rFonts w:ascii="Arial" w:hAnsi="Arial" w:cs="Arial"/>
          <w:iCs/>
        </w:rPr>
      </w:pPr>
      <w:r w:rsidRPr="00F26EE9">
        <w:rPr>
          <w:rFonts w:ascii="Arial" w:hAnsi="Arial" w:cs="Arial"/>
          <w:iCs/>
        </w:rPr>
        <w:t xml:space="preserve">La facultad del alcalde para la celebración de contratos es inherente a su calidad de representante legal del municipio, pero para ejecutarla es requisito la previa autorización de la corporación pública como órgano superior de la administración municipal, que decidirá los términos en que otorga la autorización, esto es, si la concede en forma genérica o específica, temporal o por un término concreto, por cuantía determinada o sin límite de cuantía. (sic) Y a las directrices de la autorización deberá ajustarse el alcalde al celebrar los respectivos contratos …” </w:t>
      </w:r>
    </w:p>
    <w:p w14:paraId="305A08E4" w14:textId="77777777" w:rsidR="00015E63" w:rsidRPr="00F26EE9" w:rsidRDefault="00015E63" w:rsidP="00015E63">
      <w:pPr>
        <w:shd w:val="clear" w:color="auto" w:fill="FFFFFF"/>
        <w:spacing w:after="0"/>
        <w:ind w:right="567"/>
        <w:jc w:val="both"/>
        <w:rPr>
          <w:rFonts w:ascii="Arial" w:hAnsi="Arial" w:cs="Arial"/>
          <w:iCs/>
        </w:rPr>
      </w:pPr>
    </w:p>
    <w:p w14:paraId="349579B9" w14:textId="38045C3B" w:rsidR="00344901" w:rsidRDefault="00344901" w:rsidP="00015E63">
      <w:pPr>
        <w:spacing w:after="0"/>
        <w:jc w:val="both"/>
        <w:rPr>
          <w:rFonts w:ascii="Arial" w:hAnsi="Arial" w:cs="Arial"/>
          <w:b/>
          <w:lang w:eastAsia="es-CO"/>
        </w:rPr>
      </w:pPr>
      <w:r w:rsidRPr="00F26EE9">
        <w:rPr>
          <w:rFonts w:ascii="Arial" w:hAnsi="Arial" w:cs="Arial"/>
          <w:b/>
          <w:lang w:eastAsia="es-CO"/>
        </w:rPr>
        <w:t>NULIDAD</w:t>
      </w:r>
      <w:r>
        <w:rPr>
          <w:rFonts w:ascii="Arial" w:hAnsi="Arial" w:cs="Arial"/>
          <w:b/>
          <w:lang w:eastAsia="es-CO"/>
        </w:rPr>
        <w:t xml:space="preserve"> SIMPLE - Causales - </w:t>
      </w:r>
      <w:r w:rsidRPr="00F26EE9">
        <w:rPr>
          <w:rFonts w:ascii="Arial" w:eastAsia="MS Mincho" w:hAnsi="Arial" w:cs="Arial"/>
          <w:b/>
          <w:bCs/>
          <w:lang w:eastAsia="es-CO"/>
        </w:rPr>
        <w:t xml:space="preserve">Expedición irregular </w:t>
      </w:r>
      <w:r w:rsidRPr="00F26EE9">
        <w:rPr>
          <w:rFonts w:ascii="Arial" w:hAnsi="Arial" w:cs="Arial"/>
          <w:b/>
          <w:lang w:eastAsia="es-CO"/>
        </w:rPr>
        <w:t>-</w:t>
      </w:r>
      <w:r>
        <w:rPr>
          <w:rFonts w:ascii="Arial" w:hAnsi="Arial" w:cs="Arial"/>
          <w:b/>
          <w:lang w:eastAsia="es-CO"/>
        </w:rPr>
        <w:t xml:space="preserve"> Configuración - Debido proceso </w:t>
      </w:r>
      <w:r w:rsidR="00015E63">
        <w:rPr>
          <w:rFonts w:ascii="Arial" w:hAnsi="Arial" w:cs="Arial"/>
          <w:b/>
          <w:lang w:eastAsia="es-CO"/>
        </w:rPr>
        <w:t>–</w:t>
      </w:r>
      <w:r>
        <w:rPr>
          <w:rFonts w:ascii="Arial" w:hAnsi="Arial" w:cs="Arial"/>
          <w:b/>
          <w:lang w:eastAsia="es-CO"/>
        </w:rPr>
        <w:t xml:space="preserve"> Vulneración</w:t>
      </w:r>
    </w:p>
    <w:p w14:paraId="5B293C47" w14:textId="77777777" w:rsidR="00015E63" w:rsidRPr="00F26EE9" w:rsidRDefault="00015E63" w:rsidP="00015E63">
      <w:pPr>
        <w:spacing w:after="0"/>
        <w:jc w:val="both"/>
        <w:rPr>
          <w:rFonts w:ascii="Arial" w:hAnsi="Arial" w:cs="Arial"/>
          <w:b/>
          <w:lang w:eastAsia="es-CO"/>
        </w:rPr>
      </w:pPr>
    </w:p>
    <w:p w14:paraId="098B9390" w14:textId="1A5319FA" w:rsidR="00392A5F" w:rsidRDefault="005E63D6" w:rsidP="00015E63">
      <w:pPr>
        <w:spacing w:after="0"/>
        <w:jc w:val="both"/>
        <w:rPr>
          <w:rFonts w:ascii="Arial" w:hAnsi="Arial" w:cs="Arial"/>
          <w:lang w:eastAsia="es-CO"/>
        </w:rPr>
      </w:pPr>
      <w:r w:rsidRPr="00F26EE9">
        <w:rPr>
          <w:rFonts w:ascii="Arial" w:hAnsi="Arial" w:cs="Arial"/>
          <w:lang w:eastAsia="es-CO"/>
        </w:rPr>
        <w:t xml:space="preserve">Las irregularidades que se presenten en el proceso de formación de un acto se estudian a través de lo que la doctrina ha denominado causal de expedición irregular, la cual se materializa cuando se vulnera el debido proceso en la formación del acto administrativo, es decir, cuando la actuación administrativa se realiza con anomalías </w:t>
      </w:r>
      <w:r w:rsidR="00F26EE9" w:rsidRPr="00F26EE9">
        <w:rPr>
          <w:rFonts w:ascii="Arial" w:hAnsi="Arial" w:cs="Arial"/>
          <w:lang w:eastAsia="es-CO"/>
        </w:rPr>
        <w:t>sustanciales.</w:t>
      </w:r>
      <w:r w:rsidRPr="00F26EE9">
        <w:rPr>
          <w:rFonts w:ascii="Arial" w:hAnsi="Arial" w:cs="Arial"/>
          <w:lang w:eastAsia="es-CO"/>
        </w:rPr>
        <w:t xml:space="preserve"> Sobre el parti</w:t>
      </w:r>
      <w:r w:rsidR="00F26EE9" w:rsidRPr="00F26EE9">
        <w:rPr>
          <w:rFonts w:ascii="Arial" w:hAnsi="Arial" w:cs="Arial"/>
          <w:lang w:eastAsia="es-CO"/>
        </w:rPr>
        <w:t xml:space="preserve">cular, esta Corporación señaló: </w:t>
      </w:r>
      <w:r w:rsidRPr="00F26EE9">
        <w:rPr>
          <w:rFonts w:ascii="Arial" w:hAnsi="Arial" w:cs="Arial"/>
          <w:lang w:eastAsia="es-CO"/>
        </w:rPr>
        <w:t>“Dicho vicio [expedición irregular] corresponde a aquel referido a las irregularidades sustanciales que tengan lugar en la expedición del acto, vale decir, el que se presenta cuando el acto se expide omitiendo las formalidades y trámites del caso que resulten determina</w:t>
      </w:r>
      <w:r w:rsidR="00F26EE9" w:rsidRPr="00F26EE9">
        <w:rPr>
          <w:rFonts w:ascii="Arial" w:hAnsi="Arial" w:cs="Arial"/>
          <w:lang w:eastAsia="es-CO"/>
        </w:rPr>
        <w:t>ntes en la decisión definitiva”</w:t>
      </w:r>
      <w:r w:rsidRPr="00F26EE9">
        <w:rPr>
          <w:rFonts w:ascii="Arial" w:hAnsi="Arial" w:cs="Arial"/>
          <w:lang w:eastAsia="es-CO"/>
        </w:rPr>
        <w:t>.</w:t>
      </w:r>
      <w:r w:rsidR="00F26EE9" w:rsidRPr="00F26EE9">
        <w:rPr>
          <w:rFonts w:ascii="Arial" w:hAnsi="Arial" w:cs="Arial"/>
          <w:lang w:eastAsia="es-CO"/>
        </w:rPr>
        <w:t xml:space="preserve"> </w:t>
      </w:r>
      <w:r w:rsidRPr="00F26EE9">
        <w:rPr>
          <w:rFonts w:ascii="Arial" w:hAnsi="Arial" w:cs="Arial"/>
          <w:lang w:eastAsia="es-CO"/>
        </w:rPr>
        <w:t>Así las cosas, el vicio en la formación del acto debe ser de tal magnitud que afecte su esencia misma, pues no todas las irregularidades tienen la potencialidad de desvirtuar la presunción de legalidad; en otras palabras, la anomalía que se presente debe ser sustancial, trascendental y con incidencia directa en la formación del acto administrativo.</w:t>
      </w:r>
    </w:p>
    <w:p w14:paraId="01185DCC" w14:textId="77777777" w:rsidR="00015E63" w:rsidRPr="00F26EE9" w:rsidRDefault="00015E63" w:rsidP="00015E63">
      <w:pPr>
        <w:spacing w:after="0"/>
        <w:jc w:val="both"/>
        <w:rPr>
          <w:rFonts w:ascii="Arial" w:hAnsi="Arial" w:cs="Arial"/>
          <w:lang w:eastAsia="es-CO"/>
        </w:rPr>
      </w:pPr>
    </w:p>
    <w:p w14:paraId="4AA8B049" w14:textId="1ED303A6" w:rsidR="00F65130" w:rsidRDefault="00F65130" w:rsidP="00015E63">
      <w:pPr>
        <w:spacing w:after="0"/>
        <w:jc w:val="both"/>
        <w:rPr>
          <w:rFonts w:ascii="Arial" w:hAnsi="Arial" w:cs="Arial"/>
          <w:b/>
          <w:lang w:eastAsia="es-CO"/>
        </w:rPr>
      </w:pPr>
      <w:r w:rsidRPr="00344901">
        <w:rPr>
          <w:rFonts w:ascii="Arial" w:hAnsi="Arial" w:cs="Arial"/>
          <w:b/>
          <w:lang w:eastAsia="es-CO"/>
        </w:rPr>
        <w:t>TITULARIZACIÓN</w:t>
      </w:r>
      <w:r w:rsidR="00F26EE9" w:rsidRPr="00344901">
        <w:rPr>
          <w:rFonts w:ascii="Arial" w:hAnsi="Arial" w:cs="Arial"/>
          <w:b/>
          <w:lang w:eastAsia="es-CO"/>
        </w:rPr>
        <w:t xml:space="preserve"> </w:t>
      </w:r>
      <w:r w:rsidRPr="00344901">
        <w:rPr>
          <w:rFonts w:ascii="Arial" w:hAnsi="Arial" w:cs="Arial"/>
          <w:b/>
          <w:lang w:eastAsia="es-CO"/>
        </w:rPr>
        <w:t xml:space="preserve">- </w:t>
      </w:r>
      <w:r w:rsidR="00344901" w:rsidRPr="00344901">
        <w:rPr>
          <w:rFonts w:ascii="Arial" w:hAnsi="Arial" w:cs="Arial"/>
          <w:b/>
          <w:lang w:eastAsia="es-CO"/>
        </w:rPr>
        <w:t>C</w:t>
      </w:r>
      <w:r w:rsidRPr="00344901">
        <w:rPr>
          <w:rFonts w:ascii="Arial" w:hAnsi="Arial" w:cs="Arial"/>
          <w:b/>
          <w:lang w:eastAsia="es-CO"/>
        </w:rPr>
        <w:t xml:space="preserve">oncepto  </w:t>
      </w:r>
    </w:p>
    <w:p w14:paraId="203FB50D" w14:textId="77777777" w:rsidR="00015E63" w:rsidRPr="00344901" w:rsidRDefault="00015E63" w:rsidP="00015E63">
      <w:pPr>
        <w:spacing w:after="0"/>
        <w:jc w:val="both"/>
        <w:rPr>
          <w:rFonts w:ascii="Arial" w:hAnsi="Arial" w:cs="Arial"/>
          <w:b/>
          <w:lang w:eastAsia="es-CO"/>
        </w:rPr>
      </w:pPr>
    </w:p>
    <w:p w14:paraId="447FCA78" w14:textId="4711661D" w:rsidR="00F65130" w:rsidRDefault="00F65130" w:rsidP="00015E63">
      <w:pPr>
        <w:spacing w:after="0"/>
        <w:jc w:val="both"/>
        <w:rPr>
          <w:rFonts w:ascii="Arial" w:hAnsi="Arial" w:cs="Arial"/>
          <w:lang w:eastAsia="es-CO"/>
        </w:rPr>
      </w:pPr>
      <w:r w:rsidRPr="00F26EE9">
        <w:rPr>
          <w:rFonts w:ascii="Arial" w:hAnsi="Arial" w:cs="Arial"/>
          <w:lang w:eastAsia="es-CO"/>
        </w:rPr>
        <w:t xml:space="preserve">En efecto, esta última figura –la titularización– se ha entendido como una operación financiera mediante la cual las empresas o entidades obtienen recursos provenientes de su propio balance, a través de la emisión de títulos que ingresan al mercado público de valores, por intermedio de lo que se conoce como “movilización de activos” . Es un mecanismo que permite transformar los activos o flujos cuyo ingreso se espera a futuro, con el fin obtener recursos financieros –o activos líquidos– sin necesidad incrementar los pasivos, como quiera que “… no implica una operación de endeudamiento para la empresa que busca apalancarse por esta vía” ; para el efecto, se debe constituir un patrimonio autónomo de carácter fiduciario, “… al cual se le transfiere la propiedad del flujo futuro o los activos que lo generan, para que con base en esta propiedad se emita (sic) </w:t>
      </w:r>
      <w:r w:rsidRPr="00F26EE9">
        <w:rPr>
          <w:rFonts w:ascii="Arial" w:hAnsi="Arial" w:cs="Arial"/>
          <w:lang w:eastAsia="es-CO"/>
        </w:rPr>
        <w:lastRenderedPageBreak/>
        <w:t>y coloque (sic) títulos en el mercado de capitales” . Las entidades públicas, entonces, están facultadas para celebrar contratos de fiducia mercantil en desarrollo de los procesos de titularización (parágrafo 2, inciso segundo, del artículo 41 de la Ley 80 de 1993), los cuales se regirán por las normas especiales sobre la materia, esto es, las del derecho privado (artículo 13, Ley 80 de 1993).</w:t>
      </w:r>
    </w:p>
    <w:p w14:paraId="01873314" w14:textId="77777777" w:rsidR="00015E63" w:rsidRPr="00F26EE9" w:rsidRDefault="00015E63" w:rsidP="00015E63">
      <w:pPr>
        <w:spacing w:after="0"/>
        <w:jc w:val="both"/>
        <w:rPr>
          <w:rFonts w:ascii="Arial" w:hAnsi="Arial" w:cs="Arial"/>
          <w:lang w:eastAsia="es-CO"/>
        </w:rPr>
      </w:pPr>
    </w:p>
    <w:p w14:paraId="75873149" w14:textId="3ABF3B77" w:rsidR="00E50810" w:rsidRDefault="00F65130" w:rsidP="00015E63">
      <w:pPr>
        <w:spacing w:after="0"/>
        <w:jc w:val="both"/>
        <w:rPr>
          <w:rFonts w:ascii="Arial" w:hAnsi="Arial" w:cs="Arial"/>
          <w:lang w:eastAsia="es-CO"/>
        </w:rPr>
      </w:pPr>
      <w:r w:rsidRPr="00F26EE9">
        <w:rPr>
          <w:rFonts w:ascii="Arial" w:hAnsi="Arial" w:cs="Arial"/>
          <w:b/>
          <w:lang w:eastAsia="es-CO"/>
        </w:rPr>
        <w:t xml:space="preserve">VIGENCIAS FUTURAS </w:t>
      </w:r>
      <w:r w:rsidR="00344901">
        <w:rPr>
          <w:rFonts w:ascii="Arial" w:hAnsi="Arial" w:cs="Arial"/>
          <w:b/>
          <w:lang w:eastAsia="es-CO"/>
        </w:rPr>
        <w:t>- O</w:t>
      </w:r>
      <w:r w:rsidR="00E50810" w:rsidRPr="00F26EE9">
        <w:rPr>
          <w:rFonts w:ascii="Arial" w:hAnsi="Arial" w:cs="Arial"/>
          <w:b/>
          <w:lang w:eastAsia="es-CO"/>
        </w:rPr>
        <w:t>peración presupuestal</w:t>
      </w:r>
      <w:r w:rsidR="00E50810" w:rsidRPr="00F26EE9">
        <w:rPr>
          <w:rFonts w:ascii="Arial" w:hAnsi="Arial" w:cs="Arial"/>
          <w:lang w:eastAsia="es-CO"/>
        </w:rPr>
        <w:t xml:space="preserve"> </w:t>
      </w:r>
    </w:p>
    <w:p w14:paraId="55591CB9" w14:textId="77777777" w:rsidR="00015E63" w:rsidRPr="00F26EE9" w:rsidRDefault="00015E63" w:rsidP="00015E63">
      <w:pPr>
        <w:spacing w:after="0"/>
        <w:jc w:val="both"/>
        <w:rPr>
          <w:rFonts w:ascii="Arial" w:hAnsi="Arial" w:cs="Arial"/>
          <w:lang w:eastAsia="es-CO"/>
        </w:rPr>
      </w:pPr>
    </w:p>
    <w:p w14:paraId="5E7AB999" w14:textId="2E32CD30" w:rsidR="00E50810" w:rsidRDefault="00E50810" w:rsidP="00015E63">
      <w:pPr>
        <w:spacing w:after="0"/>
        <w:jc w:val="both"/>
        <w:rPr>
          <w:rFonts w:ascii="Arial" w:hAnsi="Arial" w:cs="Arial"/>
          <w:iCs/>
        </w:rPr>
      </w:pPr>
      <w:r w:rsidRPr="00F26EE9">
        <w:rPr>
          <w:rFonts w:ascii="Arial" w:hAnsi="Arial" w:cs="Arial"/>
          <w:iCs/>
        </w:rPr>
        <w:t>Por el contrario, el compromiso de vigencias futuras es una operación presupuestal, por medio de la cual se autoriza a la administración para afectar presupuestos futuros (con apropiaciones autorizadas con antelación a la aprobación de dichos presupuestos) y se tienen como excepciones al principio de anualidad presupuestal, en tanto la autorización de los gastos se formaliza antes de que se aprueben las vigencias en las que se van a ejecutar y la vida jurídica de tales autorizaciones se prolong</w:t>
      </w:r>
      <w:r w:rsidR="00F26EE9" w:rsidRPr="00F26EE9">
        <w:rPr>
          <w:rFonts w:ascii="Arial" w:hAnsi="Arial" w:cs="Arial"/>
          <w:iCs/>
        </w:rPr>
        <w:t>a a lo largo de varias vigencias</w:t>
      </w:r>
      <w:r w:rsidRPr="00F26EE9">
        <w:rPr>
          <w:rFonts w:ascii="Arial" w:hAnsi="Arial" w:cs="Arial"/>
          <w:iCs/>
        </w:rPr>
        <w:t>. Dicho mecanismo, en definitiva, permite la ejecución de proyectos plurianuales, sin que exista la restricción de la disponibilidad de recursos durante una única vigencia fiscal</w:t>
      </w:r>
      <w:r w:rsidR="00015E63">
        <w:rPr>
          <w:rFonts w:ascii="Arial" w:hAnsi="Arial" w:cs="Arial"/>
          <w:iCs/>
        </w:rPr>
        <w:t>.</w:t>
      </w:r>
    </w:p>
    <w:p w14:paraId="6DF68792" w14:textId="77777777" w:rsidR="00015E63" w:rsidRPr="00F26EE9" w:rsidRDefault="00015E63" w:rsidP="00015E63">
      <w:pPr>
        <w:spacing w:after="0"/>
        <w:jc w:val="both"/>
        <w:rPr>
          <w:rFonts w:ascii="Arial" w:hAnsi="Arial" w:cs="Arial"/>
          <w:b/>
          <w:lang w:eastAsia="es-CO"/>
        </w:rPr>
      </w:pPr>
    </w:p>
    <w:p w14:paraId="252F1AFE" w14:textId="25BBE3C7" w:rsidR="006D4C08" w:rsidRDefault="006D4C08" w:rsidP="00015E63">
      <w:pPr>
        <w:spacing w:after="0"/>
        <w:jc w:val="both"/>
        <w:rPr>
          <w:rFonts w:ascii="Arial" w:hAnsi="Arial" w:cs="Arial"/>
          <w:b/>
          <w:lang w:eastAsia="es-CO"/>
        </w:rPr>
      </w:pPr>
      <w:r w:rsidRPr="00F26EE9">
        <w:rPr>
          <w:rFonts w:ascii="Arial" w:hAnsi="Arial" w:cs="Arial"/>
          <w:b/>
          <w:lang w:eastAsia="es-CO"/>
        </w:rPr>
        <w:t xml:space="preserve">VIGENCIAS FUTURAS </w:t>
      </w:r>
      <w:r w:rsidR="00344901">
        <w:rPr>
          <w:rFonts w:ascii="Arial" w:hAnsi="Arial" w:cs="Arial"/>
          <w:b/>
          <w:lang w:eastAsia="es-CO"/>
        </w:rPr>
        <w:t>-</w:t>
      </w:r>
      <w:r w:rsidR="0095502E" w:rsidRPr="00F26EE9">
        <w:rPr>
          <w:rFonts w:ascii="Arial" w:hAnsi="Arial" w:cs="Arial"/>
          <w:b/>
          <w:lang w:eastAsia="es-CO"/>
        </w:rPr>
        <w:t xml:space="preserve"> A</w:t>
      </w:r>
      <w:r w:rsidRPr="00F26EE9">
        <w:rPr>
          <w:rFonts w:ascii="Arial" w:hAnsi="Arial" w:cs="Arial"/>
          <w:b/>
          <w:lang w:eastAsia="es-CO"/>
        </w:rPr>
        <w:t xml:space="preserve">utorización </w:t>
      </w:r>
      <w:r w:rsidR="00696129" w:rsidRPr="00F26EE9">
        <w:rPr>
          <w:rFonts w:ascii="Arial" w:hAnsi="Arial" w:cs="Arial"/>
          <w:b/>
          <w:lang w:eastAsia="es-CO"/>
        </w:rPr>
        <w:t xml:space="preserve">del gasto </w:t>
      </w:r>
      <w:r w:rsidR="00344901">
        <w:rPr>
          <w:rFonts w:ascii="Arial" w:hAnsi="Arial" w:cs="Arial"/>
          <w:b/>
          <w:lang w:eastAsia="es-CO"/>
        </w:rPr>
        <w:t xml:space="preserve">- </w:t>
      </w:r>
      <w:r w:rsidR="00696129" w:rsidRPr="00F26EE9">
        <w:rPr>
          <w:rFonts w:ascii="Arial" w:hAnsi="Arial" w:cs="Arial"/>
          <w:b/>
          <w:lang w:eastAsia="es-CO"/>
        </w:rPr>
        <w:t xml:space="preserve">FONPIS </w:t>
      </w:r>
      <w:r w:rsidRPr="00F26EE9">
        <w:rPr>
          <w:rFonts w:ascii="Arial" w:hAnsi="Arial" w:cs="Arial"/>
          <w:b/>
          <w:lang w:eastAsia="es-CO"/>
        </w:rPr>
        <w:t xml:space="preserve"> </w:t>
      </w:r>
    </w:p>
    <w:p w14:paraId="341E06F6" w14:textId="77777777" w:rsidR="00015E63" w:rsidRPr="00F26EE9" w:rsidRDefault="00015E63" w:rsidP="00015E63">
      <w:pPr>
        <w:spacing w:after="0"/>
        <w:jc w:val="both"/>
        <w:rPr>
          <w:rFonts w:ascii="Arial" w:hAnsi="Arial" w:cs="Arial"/>
          <w:b/>
          <w:lang w:eastAsia="es-CO"/>
        </w:rPr>
      </w:pPr>
    </w:p>
    <w:p w14:paraId="1B2B5825" w14:textId="7EFDD1A5" w:rsidR="00862290" w:rsidRDefault="006D4C08" w:rsidP="00015E63">
      <w:pPr>
        <w:spacing w:after="0"/>
        <w:jc w:val="both"/>
        <w:rPr>
          <w:rFonts w:ascii="Arial" w:hAnsi="Arial" w:cs="Arial"/>
          <w:lang w:eastAsia="es-CO"/>
        </w:rPr>
      </w:pPr>
      <w:r w:rsidRPr="00F26EE9">
        <w:rPr>
          <w:rFonts w:ascii="Arial" w:hAnsi="Arial" w:cs="Arial"/>
          <w:lang w:eastAsia="es-CO"/>
        </w:rPr>
        <w:t>E</w:t>
      </w:r>
      <w:r w:rsidR="00862290" w:rsidRPr="00F26EE9">
        <w:rPr>
          <w:rFonts w:ascii="Arial" w:hAnsi="Arial" w:cs="Arial"/>
          <w:lang w:eastAsia="es-CO"/>
        </w:rPr>
        <w:t xml:space="preserve">s imposible planear un desarrollo armónico e integral sobre la base de una anualidad absoluta, ya que la labor de planear el desarrollo sugiere la previsión de metas a largo plazo para establecer los propósitos de mediano y corto plazo, como medidas coordinadas para llegar al fin, y que ‘[s]in la </w:t>
      </w:r>
      <w:proofErr w:type="spellStart"/>
      <w:r w:rsidR="00862290" w:rsidRPr="00F26EE9">
        <w:rPr>
          <w:rFonts w:ascii="Arial" w:hAnsi="Arial" w:cs="Arial"/>
          <w:lang w:eastAsia="es-CO"/>
        </w:rPr>
        <w:t>plurianualidad</w:t>
      </w:r>
      <w:proofErr w:type="spellEnd"/>
      <w:r w:rsidR="00862290" w:rsidRPr="00F26EE9">
        <w:rPr>
          <w:rFonts w:ascii="Arial" w:hAnsi="Arial" w:cs="Arial"/>
          <w:lang w:eastAsia="es-CO"/>
        </w:rPr>
        <w:t xml:space="preserve">, el proceso presupuestal no estaría en armonía con el proceso de planeación, lo cual contraviene el espíritu de la Carta’, concluyó que ‘con el avance técnico de la materia presupuestal, y al incorporarse el principio de planeación -que, por naturaleza implica el cómputo a largo plazo-, la anualidad del presupuesto deja de ser un principio absoluto, para ser simplemente un punto de referencia, mas no de cálculo determinado al rigor de un periodo inmodificable’, recordando que el presupuesto, de acuerdo con el artículo 17 de la Ley 38 de 1989, puede ser plurianual siempre y cuando tenga la aprobación del Consejo Superior de Política Fiscal (CONFIS). Agregó, que lo anterior es razonable ‘[…] por cuanto es un hecho que, si la actividad presupuestal debe estar acorde con la planeación, es lógico que el presupuesto al reflejar las pautas de </w:t>
      </w:r>
      <w:r w:rsidR="00D6672C" w:rsidRPr="00F26EE9">
        <w:rPr>
          <w:rFonts w:ascii="Arial" w:hAnsi="Arial" w:cs="Arial"/>
          <w:lang w:eastAsia="es-CO"/>
        </w:rPr>
        <w:t>planeación</w:t>
      </w:r>
      <w:r w:rsidR="00862290" w:rsidRPr="00F26EE9">
        <w:rPr>
          <w:rFonts w:ascii="Arial" w:hAnsi="Arial" w:cs="Arial"/>
          <w:lang w:eastAsia="es-CO"/>
        </w:rPr>
        <w:t xml:space="preserve"> deba contemplar la </w:t>
      </w:r>
      <w:proofErr w:type="spellStart"/>
      <w:r w:rsidR="00862290" w:rsidRPr="00F26EE9">
        <w:rPr>
          <w:rFonts w:ascii="Arial" w:hAnsi="Arial" w:cs="Arial"/>
          <w:lang w:eastAsia="es-CO"/>
        </w:rPr>
        <w:t>plurianualidad</w:t>
      </w:r>
      <w:proofErr w:type="spellEnd"/>
      <w:r w:rsidR="00862290" w:rsidRPr="00F26EE9">
        <w:rPr>
          <w:rFonts w:ascii="Arial" w:hAnsi="Arial" w:cs="Arial"/>
          <w:lang w:eastAsia="es-CO"/>
        </w:rPr>
        <w:t>, desarrollando así el proceso fiscal, compuesto de sucesivas etapas’</w:t>
      </w:r>
      <w:r w:rsidR="00E50810" w:rsidRPr="00F26EE9">
        <w:rPr>
          <w:rFonts w:ascii="Arial" w:hAnsi="Arial" w:cs="Arial"/>
          <w:lang w:eastAsia="es-CO"/>
        </w:rPr>
        <w:t xml:space="preserve">. </w:t>
      </w:r>
    </w:p>
    <w:p w14:paraId="6A60B5AD" w14:textId="77777777" w:rsidR="00015E63" w:rsidRPr="00F26EE9" w:rsidRDefault="00015E63" w:rsidP="00015E63">
      <w:pPr>
        <w:spacing w:after="0"/>
        <w:jc w:val="both"/>
      </w:pPr>
    </w:p>
    <w:p w14:paraId="68E13D0F" w14:textId="77777777" w:rsidR="00862290" w:rsidRPr="00696129" w:rsidRDefault="00862290" w:rsidP="00015E63">
      <w:pPr>
        <w:spacing w:after="0"/>
        <w:jc w:val="both"/>
      </w:pPr>
    </w:p>
    <w:p w14:paraId="23F05C71" w14:textId="77777777" w:rsidR="00A255D4" w:rsidRPr="00696129" w:rsidRDefault="00A255D4" w:rsidP="00A255D4">
      <w:pPr>
        <w:overflowPunct w:val="0"/>
        <w:autoSpaceDE w:val="0"/>
        <w:autoSpaceDN w:val="0"/>
        <w:adjustRightInd w:val="0"/>
        <w:jc w:val="center"/>
        <w:textAlignment w:val="baseline"/>
        <w:rPr>
          <w:rFonts w:ascii="Century Gothic" w:eastAsia="Times New Roman" w:hAnsi="Century Gothic" w:cs="Arial"/>
          <w:b/>
          <w:szCs w:val="24"/>
          <w:lang w:val="es-ES_tradnl" w:eastAsia="es-ES"/>
        </w:rPr>
      </w:pPr>
      <w:r w:rsidRPr="00696129">
        <w:rPr>
          <w:rFonts w:ascii="Century Gothic" w:eastAsia="Times New Roman" w:hAnsi="Century Gothic" w:cs="Arial"/>
          <w:b/>
          <w:szCs w:val="24"/>
          <w:lang w:val="es-ES_tradnl" w:eastAsia="es-ES"/>
        </w:rPr>
        <w:t>CONSEJO DE ESTADO</w:t>
      </w:r>
    </w:p>
    <w:p w14:paraId="5717156B" w14:textId="77777777" w:rsidR="00A255D4" w:rsidRPr="00696129" w:rsidRDefault="00A255D4" w:rsidP="00A255D4">
      <w:pPr>
        <w:overflowPunct w:val="0"/>
        <w:autoSpaceDE w:val="0"/>
        <w:autoSpaceDN w:val="0"/>
        <w:adjustRightInd w:val="0"/>
        <w:jc w:val="center"/>
        <w:textAlignment w:val="baseline"/>
        <w:rPr>
          <w:rFonts w:ascii="Century Gothic" w:eastAsia="Times New Roman" w:hAnsi="Century Gothic" w:cs="Arial"/>
          <w:b/>
          <w:szCs w:val="24"/>
          <w:lang w:val="es-ES_tradnl" w:eastAsia="es-ES"/>
        </w:rPr>
      </w:pPr>
    </w:p>
    <w:p w14:paraId="2B9D96D2" w14:textId="77777777" w:rsidR="00A255D4" w:rsidRPr="00696129" w:rsidRDefault="00A255D4" w:rsidP="00A255D4">
      <w:pPr>
        <w:overflowPunct w:val="0"/>
        <w:autoSpaceDE w:val="0"/>
        <w:autoSpaceDN w:val="0"/>
        <w:adjustRightInd w:val="0"/>
        <w:jc w:val="center"/>
        <w:textAlignment w:val="baseline"/>
        <w:rPr>
          <w:rFonts w:ascii="Century Gothic" w:eastAsia="Times New Roman" w:hAnsi="Century Gothic" w:cs="Arial"/>
          <w:b/>
          <w:szCs w:val="24"/>
          <w:lang w:val="es-ES_tradnl" w:eastAsia="es-ES"/>
        </w:rPr>
      </w:pPr>
      <w:r w:rsidRPr="00696129">
        <w:rPr>
          <w:rFonts w:ascii="Century Gothic" w:eastAsia="Times New Roman" w:hAnsi="Century Gothic" w:cs="Arial"/>
          <w:b/>
          <w:szCs w:val="24"/>
          <w:lang w:val="es-ES_tradnl" w:eastAsia="es-ES"/>
        </w:rPr>
        <w:t>SALA DE LO CONTENCIOSO ADMINISTRATIVO</w:t>
      </w:r>
    </w:p>
    <w:p w14:paraId="57AFADCF" w14:textId="77777777" w:rsidR="00A255D4" w:rsidRPr="00696129" w:rsidRDefault="00A255D4" w:rsidP="00A255D4">
      <w:pPr>
        <w:overflowPunct w:val="0"/>
        <w:autoSpaceDE w:val="0"/>
        <w:autoSpaceDN w:val="0"/>
        <w:adjustRightInd w:val="0"/>
        <w:jc w:val="center"/>
        <w:textAlignment w:val="baseline"/>
        <w:rPr>
          <w:rFonts w:ascii="Century Gothic" w:eastAsia="Times New Roman" w:hAnsi="Century Gothic" w:cs="Arial"/>
          <w:b/>
          <w:szCs w:val="24"/>
          <w:lang w:val="es-ES_tradnl" w:eastAsia="es-ES"/>
        </w:rPr>
      </w:pPr>
    </w:p>
    <w:p w14:paraId="09ABCEE5" w14:textId="77777777" w:rsidR="00A255D4" w:rsidRPr="00696129" w:rsidRDefault="00A255D4" w:rsidP="00A255D4">
      <w:pPr>
        <w:overflowPunct w:val="0"/>
        <w:autoSpaceDE w:val="0"/>
        <w:autoSpaceDN w:val="0"/>
        <w:adjustRightInd w:val="0"/>
        <w:jc w:val="center"/>
        <w:textAlignment w:val="baseline"/>
        <w:rPr>
          <w:rFonts w:ascii="Century Gothic" w:eastAsia="Times New Roman" w:hAnsi="Century Gothic" w:cs="Arial"/>
          <w:b/>
          <w:szCs w:val="24"/>
          <w:lang w:val="es-ES_tradnl" w:eastAsia="es-ES"/>
        </w:rPr>
      </w:pPr>
      <w:r w:rsidRPr="00696129">
        <w:rPr>
          <w:rFonts w:ascii="Century Gothic" w:eastAsia="Times New Roman" w:hAnsi="Century Gothic" w:cs="Arial"/>
          <w:b/>
          <w:szCs w:val="24"/>
          <w:lang w:val="es-ES_tradnl" w:eastAsia="es-ES"/>
        </w:rPr>
        <w:t>SECCIÓN TERCERA</w:t>
      </w:r>
    </w:p>
    <w:p w14:paraId="1F2CE1DD" w14:textId="77777777" w:rsidR="00A255D4" w:rsidRPr="00696129" w:rsidRDefault="00A255D4" w:rsidP="00A255D4">
      <w:pPr>
        <w:overflowPunct w:val="0"/>
        <w:autoSpaceDE w:val="0"/>
        <w:autoSpaceDN w:val="0"/>
        <w:adjustRightInd w:val="0"/>
        <w:jc w:val="center"/>
        <w:textAlignment w:val="baseline"/>
        <w:rPr>
          <w:rFonts w:ascii="Century Gothic" w:eastAsia="Times New Roman" w:hAnsi="Century Gothic" w:cs="Arial"/>
          <w:b/>
          <w:szCs w:val="24"/>
          <w:lang w:val="es-ES_tradnl" w:eastAsia="es-ES"/>
        </w:rPr>
      </w:pPr>
    </w:p>
    <w:p w14:paraId="17E19761" w14:textId="77777777" w:rsidR="00A255D4" w:rsidRPr="00696129" w:rsidRDefault="00A255D4" w:rsidP="00A255D4">
      <w:pPr>
        <w:overflowPunct w:val="0"/>
        <w:autoSpaceDE w:val="0"/>
        <w:autoSpaceDN w:val="0"/>
        <w:adjustRightInd w:val="0"/>
        <w:jc w:val="center"/>
        <w:textAlignment w:val="baseline"/>
        <w:rPr>
          <w:rFonts w:ascii="Century Gothic" w:eastAsia="Times New Roman" w:hAnsi="Century Gothic" w:cs="Arial"/>
          <w:b/>
          <w:szCs w:val="24"/>
          <w:lang w:val="es-ES_tradnl" w:eastAsia="es-ES"/>
        </w:rPr>
      </w:pPr>
      <w:r w:rsidRPr="00696129">
        <w:rPr>
          <w:rFonts w:ascii="Century Gothic" w:eastAsia="Times New Roman" w:hAnsi="Century Gothic" w:cs="Arial"/>
          <w:b/>
          <w:szCs w:val="24"/>
          <w:lang w:val="es-ES_tradnl" w:eastAsia="es-ES"/>
        </w:rPr>
        <w:t>SUBSECCIÓN A</w:t>
      </w:r>
    </w:p>
    <w:p w14:paraId="447931A4" w14:textId="77777777" w:rsidR="00A255D4" w:rsidRPr="00696129" w:rsidRDefault="00A255D4" w:rsidP="00A255D4">
      <w:pPr>
        <w:overflowPunct w:val="0"/>
        <w:autoSpaceDE w:val="0"/>
        <w:autoSpaceDN w:val="0"/>
        <w:adjustRightInd w:val="0"/>
        <w:spacing w:line="360" w:lineRule="auto"/>
        <w:jc w:val="center"/>
        <w:textAlignment w:val="baseline"/>
        <w:rPr>
          <w:rFonts w:ascii="Century Gothic" w:eastAsia="Times New Roman" w:hAnsi="Century Gothic" w:cs="Arial"/>
          <w:b/>
          <w:szCs w:val="24"/>
          <w:lang w:val="es-ES_tradnl" w:eastAsia="es-ES"/>
        </w:rPr>
      </w:pPr>
    </w:p>
    <w:p w14:paraId="78722C67" w14:textId="77777777" w:rsidR="00A255D4" w:rsidRPr="00696129" w:rsidRDefault="00A255D4" w:rsidP="00A255D4">
      <w:pPr>
        <w:overflowPunct w:val="0"/>
        <w:autoSpaceDE w:val="0"/>
        <w:autoSpaceDN w:val="0"/>
        <w:adjustRightInd w:val="0"/>
        <w:jc w:val="center"/>
        <w:textAlignment w:val="baseline"/>
        <w:rPr>
          <w:rFonts w:ascii="Century Gothic" w:eastAsia="Times New Roman" w:hAnsi="Century Gothic" w:cs="Arial"/>
          <w:b/>
          <w:szCs w:val="24"/>
          <w:lang w:val="es-ES_tradnl" w:eastAsia="es-ES"/>
        </w:rPr>
      </w:pPr>
      <w:r w:rsidRPr="00696129">
        <w:rPr>
          <w:rFonts w:ascii="Century Gothic" w:eastAsia="Times New Roman" w:hAnsi="Century Gothic" w:cs="Arial"/>
          <w:b/>
          <w:szCs w:val="24"/>
          <w:lang w:val="es-ES_tradnl" w:eastAsia="es-ES"/>
        </w:rPr>
        <w:t>Consejero ponente: CARLOS ALBERTO ZAMBRANO BARRERA</w:t>
      </w:r>
    </w:p>
    <w:p w14:paraId="4F1E64BA" w14:textId="77777777" w:rsidR="00A255D4" w:rsidRPr="00696129" w:rsidRDefault="00A255D4" w:rsidP="00A255D4">
      <w:pPr>
        <w:jc w:val="both"/>
        <w:rPr>
          <w:rFonts w:ascii="Century Gothic" w:eastAsia="Times New Roman" w:hAnsi="Century Gothic" w:cs="Arial"/>
          <w:szCs w:val="24"/>
          <w:lang w:val="es-ES" w:eastAsia="es-ES"/>
        </w:rPr>
      </w:pPr>
    </w:p>
    <w:p w14:paraId="5C0B1068" w14:textId="77777777" w:rsidR="00A255D4" w:rsidRPr="00696129" w:rsidRDefault="00A255D4" w:rsidP="00A255D4">
      <w:pPr>
        <w:jc w:val="both"/>
        <w:rPr>
          <w:rFonts w:ascii="Century Gothic" w:eastAsia="Times New Roman" w:hAnsi="Century Gothic" w:cs="Arial"/>
          <w:szCs w:val="24"/>
          <w:lang w:val="es-ES" w:eastAsia="es-ES"/>
        </w:rPr>
      </w:pPr>
    </w:p>
    <w:p w14:paraId="2F8141A5" w14:textId="77777777" w:rsidR="00A255D4" w:rsidRPr="00696129" w:rsidRDefault="00A255D4" w:rsidP="00A255D4">
      <w:pPr>
        <w:jc w:val="both"/>
        <w:rPr>
          <w:rFonts w:ascii="Century Gothic" w:hAnsi="Century Gothic" w:cs="Arial"/>
          <w:szCs w:val="24"/>
        </w:rPr>
      </w:pPr>
      <w:r w:rsidRPr="00696129">
        <w:rPr>
          <w:rFonts w:ascii="Century Gothic" w:hAnsi="Century Gothic" w:cs="Arial"/>
          <w:szCs w:val="24"/>
        </w:rPr>
        <w:t xml:space="preserve">Bogotá D.C., once (11) de julio de dos mil diecinueve (2019) </w:t>
      </w:r>
    </w:p>
    <w:p w14:paraId="0CC024F2" w14:textId="77777777" w:rsidR="00A255D4" w:rsidRPr="00696129" w:rsidRDefault="00A255D4" w:rsidP="00A255D4">
      <w:pPr>
        <w:jc w:val="both"/>
        <w:rPr>
          <w:rFonts w:ascii="Century Gothic" w:hAnsi="Century Gothic" w:cs="Arial"/>
          <w:szCs w:val="24"/>
        </w:rPr>
      </w:pPr>
    </w:p>
    <w:p w14:paraId="42560EC3" w14:textId="77777777" w:rsidR="00A255D4" w:rsidRPr="00696129" w:rsidRDefault="00A255D4" w:rsidP="00A255D4">
      <w:pPr>
        <w:spacing w:line="276" w:lineRule="auto"/>
        <w:jc w:val="both"/>
        <w:rPr>
          <w:rFonts w:ascii="Century Gothic" w:hAnsi="Century Gothic" w:cs="Arial"/>
          <w:b/>
          <w:szCs w:val="24"/>
        </w:rPr>
      </w:pPr>
    </w:p>
    <w:p w14:paraId="7A81272D" w14:textId="77777777" w:rsidR="00A255D4" w:rsidRPr="00696129" w:rsidRDefault="00A255D4" w:rsidP="00A255D4">
      <w:pPr>
        <w:spacing w:line="276" w:lineRule="auto"/>
        <w:jc w:val="both"/>
        <w:rPr>
          <w:rFonts w:ascii="Century Gothic" w:hAnsi="Century Gothic" w:cs="Arial"/>
          <w:b/>
          <w:szCs w:val="24"/>
        </w:rPr>
      </w:pPr>
      <w:r w:rsidRPr="00696129">
        <w:rPr>
          <w:rFonts w:ascii="Century Gothic" w:hAnsi="Century Gothic" w:cs="Arial"/>
          <w:b/>
          <w:szCs w:val="24"/>
        </w:rPr>
        <w:t xml:space="preserve">Radicación: </w:t>
      </w:r>
      <w:r w:rsidRPr="00696129">
        <w:rPr>
          <w:rFonts w:ascii="Century Gothic" w:hAnsi="Century Gothic" w:cs="Arial"/>
          <w:b/>
          <w:szCs w:val="24"/>
        </w:rPr>
        <w:tab/>
      </w:r>
      <w:r w:rsidRPr="00696129">
        <w:rPr>
          <w:rFonts w:ascii="Century Gothic" w:hAnsi="Century Gothic" w:cs="Arial"/>
          <w:b/>
          <w:szCs w:val="24"/>
        </w:rPr>
        <w:tab/>
      </w:r>
      <w:r w:rsidRPr="00696129">
        <w:rPr>
          <w:rFonts w:ascii="Century Gothic" w:hAnsi="Century Gothic" w:cs="Arial"/>
          <w:szCs w:val="24"/>
        </w:rPr>
        <w:t>08001-23-31-000-2004-02127-02 (44571)</w:t>
      </w:r>
    </w:p>
    <w:p w14:paraId="47C8EF78" w14:textId="77777777" w:rsidR="00A255D4" w:rsidRPr="00696129" w:rsidRDefault="00A255D4" w:rsidP="00A255D4">
      <w:pPr>
        <w:spacing w:line="276" w:lineRule="auto"/>
        <w:jc w:val="both"/>
        <w:rPr>
          <w:rFonts w:ascii="Century Gothic" w:hAnsi="Century Gothic" w:cs="Arial"/>
          <w:szCs w:val="24"/>
        </w:rPr>
      </w:pPr>
      <w:r w:rsidRPr="00696129">
        <w:rPr>
          <w:rFonts w:ascii="Century Gothic" w:hAnsi="Century Gothic" w:cs="Arial"/>
          <w:b/>
          <w:szCs w:val="24"/>
        </w:rPr>
        <w:t xml:space="preserve">Actor: </w:t>
      </w:r>
      <w:r w:rsidRPr="00696129">
        <w:rPr>
          <w:rFonts w:ascii="Century Gothic" w:hAnsi="Century Gothic" w:cs="Arial"/>
          <w:b/>
          <w:szCs w:val="24"/>
        </w:rPr>
        <w:tab/>
      </w:r>
      <w:r w:rsidRPr="00696129">
        <w:rPr>
          <w:rFonts w:ascii="Century Gothic" w:hAnsi="Century Gothic" w:cs="Arial"/>
          <w:b/>
          <w:szCs w:val="24"/>
        </w:rPr>
        <w:tab/>
      </w:r>
      <w:r w:rsidRPr="00696129">
        <w:rPr>
          <w:rFonts w:ascii="Century Gothic" w:hAnsi="Century Gothic" w:cs="Arial"/>
          <w:b/>
          <w:szCs w:val="24"/>
        </w:rPr>
        <w:tab/>
      </w:r>
      <w:r w:rsidRPr="00696129">
        <w:rPr>
          <w:rFonts w:ascii="Century Gothic" w:hAnsi="Century Gothic" w:cs="Arial"/>
          <w:szCs w:val="24"/>
        </w:rPr>
        <w:t>DAVID BARRIOS MIRANDA Y OTRO</w:t>
      </w:r>
    </w:p>
    <w:p w14:paraId="0297ADD5" w14:textId="77777777" w:rsidR="00A255D4" w:rsidRPr="00696129" w:rsidRDefault="00A255D4" w:rsidP="00A255D4">
      <w:pPr>
        <w:spacing w:line="276" w:lineRule="auto"/>
        <w:jc w:val="both"/>
        <w:rPr>
          <w:rFonts w:ascii="Century Gothic" w:hAnsi="Century Gothic" w:cs="Arial"/>
          <w:b/>
          <w:szCs w:val="24"/>
        </w:rPr>
      </w:pPr>
      <w:r w:rsidRPr="00696129">
        <w:rPr>
          <w:rFonts w:ascii="Century Gothic" w:hAnsi="Century Gothic" w:cs="Arial"/>
          <w:b/>
          <w:szCs w:val="24"/>
        </w:rPr>
        <w:t xml:space="preserve">Demandado: </w:t>
      </w:r>
      <w:r w:rsidRPr="00696129">
        <w:rPr>
          <w:rFonts w:ascii="Century Gothic" w:hAnsi="Century Gothic" w:cs="Arial"/>
          <w:b/>
          <w:szCs w:val="24"/>
        </w:rPr>
        <w:tab/>
      </w:r>
      <w:r w:rsidRPr="00696129">
        <w:rPr>
          <w:rFonts w:ascii="Century Gothic" w:hAnsi="Century Gothic" w:cs="Arial"/>
          <w:szCs w:val="24"/>
        </w:rPr>
        <w:t>MUNICIPIO DE PUERTO COLOMBIA</w:t>
      </w:r>
    </w:p>
    <w:p w14:paraId="0FF472B0" w14:textId="77777777" w:rsidR="00A255D4" w:rsidRPr="00696129" w:rsidRDefault="00A255D4" w:rsidP="00A255D4">
      <w:pPr>
        <w:spacing w:line="276" w:lineRule="auto"/>
        <w:jc w:val="both"/>
        <w:rPr>
          <w:rFonts w:ascii="Century Gothic" w:hAnsi="Century Gothic" w:cs="Arial"/>
          <w:b/>
          <w:szCs w:val="24"/>
        </w:rPr>
      </w:pPr>
      <w:r w:rsidRPr="00696129">
        <w:rPr>
          <w:rFonts w:ascii="Century Gothic" w:hAnsi="Century Gothic" w:cs="Arial"/>
          <w:b/>
          <w:szCs w:val="24"/>
        </w:rPr>
        <w:t xml:space="preserve">Referencia: </w:t>
      </w:r>
      <w:r w:rsidRPr="00696129">
        <w:rPr>
          <w:rFonts w:ascii="Century Gothic" w:hAnsi="Century Gothic" w:cs="Arial"/>
          <w:b/>
          <w:szCs w:val="24"/>
        </w:rPr>
        <w:tab/>
      </w:r>
      <w:r w:rsidRPr="00696129">
        <w:rPr>
          <w:rFonts w:ascii="Century Gothic" w:hAnsi="Century Gothic" w:cs="Arial"/>
          <w:b/>
          <w:szCs w:val="24"/>
        </w:rPr>
        <w:tab/>
      </w:r>
      <w:r w:rsidRPr="00696129">
        <w:rPr>
          <w:rFonts w:ascii="Century Gothic" w:hAnsi="Century Gothic" w:cs="Arial"/>
          <w:szCs w:val="24"/>
        </w:rPr>
        <w:t>NULIDAD SIMPLE (APELACIÓN SENTENCIA)</w:t>
      </w:r>
    </w:p>
    <w:p w14:paraId="2FE08728" w14:textId="77777777" w:rsidR="00A255D4" w:rsidRPr="00696129" w:rsidRDefault="00A255D4" w:rsidP="00A255D4">
      <w:pPr>
        <w:spacing w:line="360" w:lineRule="auto"/>
        <w:ind w:right="-134"/>
        <w:jc w:val="both"/>
        <w:rPr>
          <w:rFonts w:ascii="Century Gothic" w:hAnsi="Century Gothic" w:cs="Arial"/>
          <w:b/>
          <w:szCs w:val="24"/>
        </w:rPr>
      </w:pPr>
    </w:p>
    <w:p w14:paraId="53ADE35F" w14:textId="77777777" w:rsidR="00A255D4" w:rsidRPr="00696129" w:rsidRDefault="00A255D4" w:rsidP="00A255D4">
      <w:pPr>
        <w:spacing w:line="360" w:lineRule="auto"/>
        <w:ind w:right="-134"/>
        <w:jc w:val="both"/>
        <w:rPr>
          <w:rFonts w:ascii="Century Gothic" w:hAnsi="Century Gothic" w:cs="Arial"/>
          <w:b/>
          <w:szCs w:val="24"/>
        </w:rPr>
      </w:pPr>
    </w:p>
    <w:p w14:paraId="50F8852F" w14:textId="77777777" w:rsidR="00A255D4" w:rsidRPr="00696129" w:rsidRDefault="00A255D4" w:rsidP="00A255D4">
      <w:pPr>
        <w:spacing w:line="360" w:lineRule="auto"/>
        <w:ind w:right="-134"/>
        <w:jc w:val="both"/>
        <w:rPr>
          <w:rFonts w:ascii="Century Gothic" w:hAnsi="Century Gothic" w:cs="Arial"/>
          <w:szCs w:val="24"/>
        </w:rPr>
      </w:pPr>
      <w:r w:rsidRPr="00696129">
        <w:rPr>
          <w:rFonts w:ascii="Century Gothic" w:hAnsi="Century Gothic" w:cs="Arial"/>
          <w:szCs w:val="24"/>
        </w:rPr>
        <w:t xml:space="preserve">Esta Sala decide el recurso de apelación interpuesto por la parte demandada contra la sentencia del 9 de febrero de 2009, proferida por el Tribunal Administrativo del Atlántico, mediante la cual se declaró la nulidad del Acuerdo 3 del 13 de marzo de 2003. </w:t>
      </w:r>
    </w:p>
    <w:p w14:paraId="691A3576" w14:textId="77777777" w:rsidR="00A255D4" w:rsidRPr="00696129" w:rsidRDefault="00A255D4" w:rsidP="00A255D4">
      <w:pPr>
        <w:ind w:right="-134"/>
        <w:jc w:val="center"/>
        <w:rPr>
          <w:rFonts w:ascii="Century Gothic" w:hAnsi="Century Gothic" w:cs="Arial"/>
          <w:b/>
          <w:szCs w:val="24"/>
        </w:rPr>
      </w:pPr>
    </w:p>
    <w:p w14:paraId="2D81E475" w14:textId="77777777" w:rsidR="00A255D4" w:rsidRPr="00696129" w:rsidRDefault="00A255D4" w:rsidP="00A255D4">
      <w:pPr>
        <w:ind w:right="-134"/>
        <w:jc w:val="center"/>
        <w:rPr>
          <w:rFonts w:ascii="Century Gothic" w:hAnsi="Century Gothic" w:cs="Arial"/>
          <w:b/>
          <w:szCs w:val="24"/>
        </w:rPr>
      </w:pPr>
    </w:p>
    <w:p w14:paraId="6B262841" w14:textId="77777777" w:rsidR="00A255D4" w:rsidRPr="00696129" w:rsidRDefault="00A255D4" w:rsidP="00A255D4">
      <w:pPr>
        <w:spacing w:line="360" w:lineRule="auto"/>
        <w:ind w:right="-134"/>
        <w:jc w:val="center"/>
        <w:rPr>
          <w:rFonts w:ascii="Century Gothic" w:hAnsi="Century Gothic" w:cs="Arial"/>
          <w:b/>
          <w:szCs w:val="24"/>
        </w:rPr>
      </w:pPr>
      <w:r w:rsidRPr="00696129">
        <w:rPr>
          <w:rFonts w:ascii="Century Gothic" w:hAnsi="Century Gothic" w:cs="Arial"/>
          <w:b/>
          <w:szCs w:val="24"/>
        </w:rPr>
        <w:t>I. A N T E C E D E N T E S</w:t>
      </w:r>
    </w:p>
    <w:p w14:paraId="31E337F4" w14:textId="77777777" w:rsidR="00A255D4" w:rsidRPr="00696129" w:rsidRDefault="00A255D4" w:rsidP="00A255D4">
      <w:pPr>
        <w:spacing w:line="360" w:lineRule="auto"/>
        <w:ind w:right="-134"/>
        <w:jc w:val="both"/>
        <w:rPr>
          <w:rFonts w:ascii="Century Gothic" w:hAnsi="Century Gothic" w:cs="Arial"/>
          <w:b/>
          <w:bCs/>
          <w:szCs w:val="24"/>
        </w:rPr>
      </w:pPr>
    </w:p>
    <w:p w14:paraId="74E66CAB" w14:textId="77777777" w:rsidR="00A255D4" w:rsidRPr="00696129" w:rsidRDefault="00A255D4" w:rsidP="00A255D4">
      <w:pPr>
        <w:spacing w:line="360" w:lineRule="auto"/>
        <w:ind w:right="-134"/>
        <w:jc w:val="both"/>
        <w:rPr>
          <w:rFonts w:ascii="Century Gothic" w:hAnsi="Century Gothic" w:cs="Arial"/>
          <w:b/>
          <w:bCs/>
          <w:szCs w:val="24"/>
        </w:rPr>
      </w:pPr>
      <w:r w:rsidRPr="00696129">
        <w:rPr>
          <w:rFonts w:ascii="Century Gothic" w:hAnsi="Century Gothic" w:cs="Arial"/>
          <w:b/>
          <w:bCs/>
          <w:szCs w:val="24"/>
        </w:rPr>
        <w:t xml:space="preserve">1. Lo pretendido </w:t>
      </w:r>
    </w:p>
    <w:p w14:paraId="46E3E4F1" w14:textId="77777777" w:rsidR="00A255D4" w:rsidRPr="00696129" w:rsidRDefault="00A255D4" w:rsidP="00A255D4">
      <w:pPr>
        <w:spacing w:line="360" w:lineRule="auto"/>
        <w:ind w:right="-134"/>
        <w:jc w:val="both"/>
        <w:rPr>
          <w:rFonts w:ascii="Century Gothic" w:hAnsi="Century Gothic" w:cs="Arial"/>
          <w:bCs/>
          <w:szCs w:val="24"/>
        </w:rPr>
      </w:pPr>
    </w:p>
    <w:p w14:paraId="2FD2BF1A" w14:textId="77777777" w:rsidR="00A255D4" w:rsidRPr="00696129" w:rsidRDefault="00A255D4" w:rsidP="00A255D4">
      <w:pPr>
        <w:spacing w:line="360" w:lineRule="auto"/>
        <w:ind w:right="-134"/>
        <w:jc w:val="both"/>
        <w:rPr>
          <w:rFonts w:ascii="Century Gothic" w:hAnsi="Century Gothic" w:cs="Arial"/>
          <w:bCs/>
          <w:i/>
          <w:szCs w:val="24"/>
        </w:rPr>
      </w:pPr>
      <w:r w:rsidRPr="00696129">
        <w:rPr>
          <w:rFonts w:ascii="Century Gothic" w:hAnsi="Century Gothic" w:cs="Arial"/>
          <w:bCs/>
          <w:szCs w:val="24"/>
        </w:rPr>
        <w:t>El 6 de octubre de 2004</w:t>
      </w:r>
      <w:r w:rsidRPr="00696129">
        <w:rPr>
          <w:rFonts w:ascii="Century Gothic" w:hAnsi="Century Gothic" w:cs="Arial"/>
          <w:bCs/>
          <w:szCs w:val="24"/>
          <w:vertAlign w:val="superscript"/>
        </w:rPr>
        <w:footnoteReference w:id="1"/>
      </w:r>
      <w:r w:rsidRPr="00696129">
        <w:rPr>
          <w:rFonts w:ascii="Century Gothic" w:hAnsi="Century Gothic" w:cs="Arial"/>
          <w:bCs/>
          <w:szCs w:val="24"/>
        </w:rPr>
        <w:t xml:space="preserve">, los señores David Barrios Miranda y </w:t>
      </w:r>
      <w:r w:rsidRPr="00696129">
        <w:rPr>
          <w:rFonts w:ascii="Century Gothic" w:hAnsi="Century Gothic" w:cs="Arial"/>
          <w:szCs w:val="24"/>
        </w:rPr>
        <w:t xml:space="preserve">Manuel Bohórquez Pérez demandaron –con fundamento en el artículo 84 del C.C.A.–al </w:t>
      </w:r>
      <w:r w:rsidRPr="00696129">
        <w:rPr>
          <w:rFonts w:ascii="Century Gothic" w:hAnsi="Century Gothic" w:cs="Arial"/>
          <w:bCs/>
          <w:szCs w:val="24"/>
        </w:rPr>
        <w:t>m</w:t>
      </w:r>
      <w:r w:rsidRPr="00696129">
        <w:rPr>
          <w:rFonts w:ascii="Century Gothic" w:hAnsi="Century Gothic" w:cs="Arial"/>
          <w:szCs w:val="24"/>
        </w:rPr>
        <w:t xml:space="preserve">unicipio de Puerto Colombia, para que se declare la nulidad </w:t>
      </w:r>
      <w:r w:rsidRPr="00696129">
        <w:rPr>
          <w:rFonts w:ascii="Century Gothic" w:hAnsi="Century Gothic" w:cs="Arial"/>
          <w:bCs/>
          <w:szCs w:val="24"/>
        </w:rPr>
        <w:t xml:space="preserve">del Acuerdo 3 del 13 de marzo de 2003, expedido por el Concejo de dicho municipio, </w:t>
      </w:r>
      <w:r w:rsidRPr="00696129">
        <w:rPr>
          <w:rFonts w:ascii="Century Gothic" w:hAnsi="Century Gothic" w:cs="Arial"/>
          <w:bCs/>
          <w:i/>
          <w:szCs w:val="24"/>
        </w:rPr>
        <w:t xml:space="preserve">“… por medio del cual se autoriza al Alcalde Municipal de Puerto Colombia a celebrar contratos de obras públicas por el sistema de concesión y se dictan otras disposiciones”. </w:t>
      </w:r>
    </w:p>
    <w:p w14:paraId="42FA2236" w14:textId="77777777" w:rsidR="00A255D4" w:rsidRPr="00696129" w:rsidRDefault="00A255D4" w:rsidP="00A255D4">
      <w:pPr>
        <w:spacing w:line="360" w:lineRule="auto"/>
        <w:ind w:right="-134"/>
        <w:jc w:val="both"/>
        <w:rPr>
          <w:rFonts w:ascii="Century Gothic" w:hAnsi="Century Gothic" w:cs="Arial"/>
          <w:bCs/>
          <w:i/>
          <w:szCs w:val="24"/>
        </w:rPr>
      </w:pPr>
    </w:p>
    <w:p w14:paraId="10FF3C53" w14:textId="77777777" w:rsidR="00A255D4" w:rsidRPr="00696129" w:rsidRDefault="00A255D4" w:rsidP="00A255D4">
      <w:pPr>
        <w:spacing w:line="360" w:lineRule="auto"/>
        <w:ind w:right="-134"/>
        <w:jc w:val="both"/>
        <w:rPr>
          <w:rFonts w:ascii="Century Gothic" w:hAnsi="Century Gothic" w:cs="Arial"/>
          <w:bCs/>
          <w:i/>
          <w:szCs w:val="24"/>
        </w:rPr>
      </w:pPr>
    </w:p>
    <w:p w14:paraId="2AB9F34D" w14:textId="77777777" w:rsidR="00A255D4" w:rsidRPr="00696129" w:rsidRDefault="00A255D4" w:rsidP="00A255D4">
      <w:pPr>
        <w:spacing w:line="360" w:lineRule="auto"/>
        <w:ind w:right="-134"/>
        <w:jc w:val="both"/>
        <w:rPr>
          <w:rFonts w:ascii="Century Gothic" w:hAnsi="Century Gothic" w:cs="Arial"/>
          <w:b/>
          <w:bCs/>
          <w:szCs w:val="24"/>
        </w:rPr>
      </w:pPr>
      <w:r w:rsidRPr="00696129">
        <w:rPr>
          <w:rFonts w:ascii="Century Gothic" w:hAnsi="Century Gothic" w:cs="Arial"/>
          <w:b/>
          <w:bCs/>
          <w:szCs w:val="24"/>
        </w:rPr>
        <w:t>1.1 Los hechos en que se fundamentan las pretensiones</w:t>
      </w:r>
    </w:p>
    <w:p w14:paraId="3AB79ED3" w14:textId="77777777" w:rsidR="00A255D4" w:rsidRPr="00696129" w:rsidRDefault="00A255D4" w:rsidP="00A255D4">
      <w:pPr>
        <w:spacing w:line="360" w:lineRule="auto"/>
        <w:ind w:right="-134"/>
        <w:jc w:val="both"/>
        <w:rPr>
          <w:rFonts w:ascii="Century Gothic" w:hAnsi="Century Gothic" w:cs="Arial"/>
          <w:bCs/>
          <w:szCs w:val="24"/>
        </w:rPr>
      </w:pPr>
    </w:p>
    <w:p w14:paraId="3154D3ED" w14:textId="77777777" w:rsidR="00A255D4" w:rsidRPr="00696129" w:rsidRDefault="00A255D4" w:rsidP="00A255D4">
      <w:pPr>
        <w:spacing w:line="360" w:lineRule="auto"/>
        <w:ind w:right="-134"/>
        <w:jc w:val="both"/>
        <w:rPr>
          <w:rFonts w:ascii="Century Gothic" w:hAnsi="Century Gothic" w:cs="Arial"/>
          <w:bCs/>
          <w:szCs w:val="24"/>
        </w:rPr>
      </w:pPr>
      <w:r w:rsidRPr="00696129">
        <w:rPr>
          <w:rFonts w:ascii="Century Gothic" w:hAnsi="Century Gothic" w:cs="Arial"/>
          <w:bCs/>
          <w:szCs w:val="24"/>
        </w:rPr>
        <w:t xml:space="preserve">El Concejo del municipio de Puerto Colombia, mediante acta 20 del 13 de marzo de 2003, autorizó a su alcalde para que, en el término de seis meses, celebrara contratos de concesión tendientes a la </w:t>
      </w:r>
      <w:r w:rsidRPr="00696129">
        <w:rPr>
          <w:rFonts w:ascii="Century Gothic" w:hAnsi="Century Gothic" w:cs="Arial"/>
          <w:bCs/>
          <w:sz w:val="20"/>
          <w:szCs w:val="20"/>
        </w:rPr>
        <w:t xml:space="preserve">“… </w:t>
      </w:r>
      <w:r w:rsidRPr="00696129">
        <w:rPr>
          <w:rFonts w:ascii="Century Gothic" w:hAnsi="Century Gothic" w:cs="Arial"/>
          <w:bCs/>
          <w:i/>
          <w:sz w:val="20"/>
          <w:szCs w:val="20"/>
        </w:rPr>
        <w:t xml:space="preserve">construcción, rehabilitación, reparación, reconstrucción y </w:t>
      </w:r>
      <w:r w:rsidRPr="00696129">
        <w:rPr>
          <w:rFonts w:ascii="Century Gothic" w:hAnsi="Century Gothic" w:cs="Arial"/>
          <w:bCs/>
          <w:i/>
          <w:sz w:val="20"/>
          <w:szCs w:val="20"/>
        </w:rPr>
        <w:lastRenderedPageBreak/>
        <w:t>mantenimiento de la infraestructura vial del municipio …</w:t>
      </w:r>
      <w:r w:rsidRPr="00696129">
        <w:rPr>
          <w:rFonts w:ascii="Century Gothic" w:hAnsi="Century Gothic" w:cs="Arial"/>
          <w:bCs/>
          <w:sz w:val="20"/>
          <w:szCs w:val="20"/>
        </w:rPr>
        <w:t>”</w:t>
      </w:r>
      <w:r w:rsidRPr="00696129">
        <w:rPr>
          <w:rStyle w:val="Refdenotaalpie"/>
          <w:rFonts w:ascii="Century Gothic" w:hAnsi="Century Gothic" w:cs="Arial"/>
          <w:bCs/>
          <w:szCs w:val="24"/>
        </w:rPr>
        <w:footnoteReference w:id="2"/>
      </w:r>
      <w:r w:rsidRPr="00696129">
        <w:rPr>
          <w:rFonts w:ascii="Century Gothic" w:hAnsi="Century Gothic" w:cs="Arial"/>
          <w:bCs/>
          <w:szCs w:val="24"/>
        </w:rPr>
        <w:t xml:space="preserve">, los cuales se debían celebrar hasta por un plazo máximo de 20 años; adicionalmente, lo autorizó para comprometer “vigencias futuras” de las rentas derivadas de la sobretasa de la gasolina y el ACPM, por el mismo lapso –20 años–. </w:t>
      </w:r>
    </w:p>
    <w:p w14:paraId="1E530BAF" w14:textId="77777777" w:rsidR="00A255D4" w:rsidRPr="00696129" w:rsidRDefault="00A255D4" w:rsidP="00A255D4">
      <w:pPr>
        <w:spacing w:line="360" w:lineRule="auto"/>
        <w:ind w:right="-134"/>
        <w:jc w:val="both"/>
        <w:rPr>
          <w:rFonts w:ascii="Century Gothic" w:hAnsi="Century Gothic" w:cs="Arial"/>
          <w:bCs/>
          <w:szCs w:val="24"/>
        </w:rPr>
      </w:pPr>
    </w:p>
    <w:p w14:paraId="72F3F138" w14:textId="77777777" w:rsidR="00A255D4" w:rsidRPr="00696129" w:rsidRDefault="00A255D4" w:rsidP="00A255D4">
      <w:pPr>
        <w:spacing w:line="360" w:lineRule="auto"/>
        <w:ind w:right="-134"/>
        <w:jc w:val="both"/>
        <w:rPr>
          <w:rFonts w:ascii="Century Gothic" w:hAnsi="Century Gothic" w:cs="Arial"/>
          <w:bCs/>
          <w:szCs w:val="24"/>
        </w:rPr>
      </w:pPr>
      <w:r w:rsidRPr="00696129">
        <w:rPr>
          <w:rFonts w:ascii="Century Gothic" w:hAnsi="Century Gothic" w:cs="Arial"/>
          <w:bCs/>
          <w:szCs w:val="24"/>
        </w:rPr>
        <w:t xml:space="preserve">No obstante, dichas autorizaciones no quedaron consignadas de la misma forma en el acuerdo final sancionado por el alcalde, esto es, el Acuerdo 3 del 13 de marzo de 2003, pues se omitieron los plazos de seis meses y 20 años, respectivamente, establecidos para la celebración de los contratos y su duración y en este sentido, según los demandantes, el acuerdo sancionado es completamente diferente al texto aprobado por el concejo. </w:t>
      </w:r>
    </w:p>
    <w:p w14:paraId="1379D779" w14:textId="77777777" w:rsidR="00A255D4" w:rsidRPr="00696129" w:rsidRDefault="00A255D4" w:rsidP="00A255D4">
      <w:pPr>
        <w:spacing w:line="360" w:lineRule="auto"/>
        <w:ind w:right="-134"/>
        <w:jc w:val="both"/>
        <w:rPr>
          <w:rFonts w:ascii="Century Gothic" w:hAnsi="Century Gothic" w:cs="Arial"/>
          <w:bCs/>
          <w:szCs w:val="24"/>
        </w:rPr>
      </w:pPr>
    </w:p>
    <w:p w14:paraId="444C069D" w14:textId="77777777" w:rsidR="00A255D4" w:rsidRPr="00696129" w:rsidRDefault="00A255D4" w:rsidP="00A255D4">
      <w:pPr>
        <w:spacing w:line="360" w:lineRule="auto"/>
        <w:ind w:right="-134"/>
        <w:jc w:val="both"/>
        <w:rPr>
          <w:rFonts w:ascii="Century Gothic" w:hAnsi="Century Gothic" w:cs="Arial"/>
          <w:b/>
          <w:bCs/>
          <w:szCs w:val="24"/>
        </w:rPr>
      </w:pPr>
      <w:r w:rsidRPr="00696129">
        <w:rPr>
          <w:rFonts w:ascii="Century Gothic" w:hAnsi="Century Gothic" w:cs="Arial"/>
          <w:b/>
          <w:bCs/>
          <w:szCs w:val="24"/>
        </w:rPr>
        <w:t>1.2 Cargos de violación</w:t>
      </w:r>
    </w:p>
    <w:p w14:paraId="33A67DB7" w14:textId="77777777" w:rsidR="00A255D4" w:rsidRPr="00696129" w:rsidRDefault="00A255D4" w:rsidP="00A255D4">
      <w:pPr>
        <w:spacing w:line="360" w:lineRule="auto"/>
        <w:ind w:right="-134"/>
        <w:jc w:val="both"/>
        <w:rPr>
          <w:rFonts w:ascii="Century Gothic" w:hAnsi="Century Gothic" w:cs="Arial"/>
          <w:bCs/>
          <w:szCs w:val="24"/>
        </w:rPr>
      </w:pPr>
    </w:p>
    <w:p w14:paraId="1531B6AA" w14:textId="77777777" w:rsidR="00A255D4" w:rsidRPr="00696129" w:rsidRDefault="00A255D4" w:rsidP="00A255D4">
      <w:pPr>
        <w:spacing w:line="360" w:lineRule="auto"/>
        <w:ind w:right="-134"/>
        <w:jc w:val="both"/>
        <w:rPr>
          <w:rFonts w:ascii="Century Gothic" w:hAnsi="Century Gothic" w:cs="Arial"/>
          <w:bCs/>
          <w:szCs w:val="24"/>
        </w:rPr>
      </w:pPr>
      <w:r w:rsidRPr="00696129">
        <w:rPr>
          <w:rFonts w:ascii="Century Gothic" w:hAnsi="Century Gothic" w:cs="Arial"/>
          <w:bCs/>
          <w:szCs w:val="24"/>
        </w:rPr>
        <w:t>Los demandantes consideran que el Acuerdo 3 del 13 de marzo de 2003 se expidió de manera irregular, toda vez que, según ellos, no guarda correspondencia con el proyecto discutido y aprobado por el Concejo del municipio de Puerto Colombia, según acta 20 de la misma fecha; además, se profirió sin tener en cuenta la autorización del Consejo Superior de Política Fiscal (CONFIS) para comprometer las vigencias futuras derivadas de la sobretasa de la gasolina y del ACPM. Por este primer cargo se consideran vulnerados el numeral 3 del artículo 313 de la Constitución Política y los artículos 23, 24 y 71 del Decreto 111 de 1996.</w:t>
      </w:r>
    </w:p>
    <w:p w14:paraId="2F3961CA" w14:textId="77777777" w:rsidR="00A255D4" w:rsidRPr="00696129" w:rsidRDefault="00A255D4" w:rsidP="00A255D4">
      <w:pPr>
        <w:spacing w:line="360" w:lineRule="auto"/>
        <w:ind w:right="-134"/>
        <w:jc w:val="both"/>
        <w:rPr>
          <w:rFonts w:ascii="Century Gothic" w:hAnsi="Century Gothic" w:cs="Arial"/>
          <w:bCs/>
          <w:szCs w:val="24"/>
        </w:rPr>
      </w:pPr>
    </w:p>
    <w:p w14:paraId="4769478B" w14:textId="77777777" w:rsidR="00A255D4" w:rsidRPr="00696129" w:rsidRDefault="00A255D4" w:rsidP="00A255D4">
      <w:pPr>
        <w:spacing w:line="360" w:lineRule="auto"/>
        <w:ind w:right="-134"/>
        <w:jc w:val="both"/>
        <w:rPr>
          <w:rFonts w:ascii="Century Gothic" w:hAnsi="Century Gothic" w:cs="Arial"/>
          <w:bCs/>
          <w:szCs w:val="24"/>
        </w:rPr>
      </w:pPr>
      <w:r w:rsidRPr="00696129">
        <w:rPr>
          <w:rFonts w:ascii="Century Gothic" w:hAnsi="Century Gothic" w:cs="Arial"/>
          <w:bCs/>
          <w:szCs w:val="24"/>
        </w:rPr>
        <w:t>En segundo lugar, los demandantes señalaron que el Concejo del municipio de Puerto Colombia no tenía competencia para autorizar al alcalde para comprometer vigencias futuras “hasta por 20 años”, pues dicha facultad –</w:t>
      </w:r>
      <w:r w:rsidRPr="00696129">
        <w:rPr>
          <w:rFonts w:ascii="Century Gothic" w:hAnsi="Century Gothic" w:cs="Arial"/>
          <w:bCs/>
          <w:i/>
          <w:szCs w:val="24"/>
        </w:rPr>
        <w:t>pro tempore–</w:t>
      </w:r>
      <w:r w:rsidRPr="00696129">
        <w:rPr>
          <w:rFonts w:ascii="Century Gothic" w:hAnsi="Century Gothic" w:cs="Arial"/>
          <w:bCs/>
          <w:szCs w:val="24"/>
        </w:rPr>
        <w:t xml:space="preserve"> no podía exceder el período de gobierno del burgomaestre, circunstancia que desconoció el acto acusado. Por este cargo se alega vulnerado el artículo 126 de la Ley 488 de 1998. </w:t>
      </w:r>
    </w:p>
    <w:p w14:paraId="2CEA6C13" w14:textId="77777777" w:rsidR="00A255D4" w:rsidRPr="00696129" w:rsidRDefault="00A255D4" w:rsidP="00A255D4">
      <w:pPr>
        <w:spacing w:line="360" w:lineRule="auto"/>
        <w:ind w:right="-134"/>
        <w:jc w:val="both"/>
        <w:rPr>
          <w:rFonts w:ascii="Century Gothic" w:hAnsi="Century Gothic" w:cs="Arial"/>
          <w:bCs/>
          <w:szCs w:val="24"/>
        </w:rPr>
      </w:pPr>
    </w:p>
    <w:p w14:paraId="3840E0CE" w14:textId="77777777" w:rsidR="00A255D4" w:rsidRPr="00696129" w:rsidRDefault="00A255D4" w:rsidP="00A255D4">
      <w:pPr>
        <w:spacing w:line="360" w:lineRule="auto"/>
        <w:ind w:right="-134"/>
        <w:jc w:val="both"/>
        <w:rPr>
          <w:rFonts w:ascii="Century Gothic" w:hAnsi="Century Gothic" w:cs="Arial"/>
          <w:bCs/>
          <w:szCs w:val="24"/>
        </w:rPr>
      </w:pPr>
      <w:r w:rsidRPr="00696129">
        <w:rPr>
          <w:rFonts w:ascii="Century Gothic" w:hAnsi="Century Gothic" w:cs="Arial"/>
          <w:b/>
          <w:bCs/>
          <w:szCs w:val="24"/>
        </w:rPr>
        <w:t xml:space="preserve">2. Contestación de la demanda </w:t>
      </w:r>
    </w:p>
    <w:p w14:paraId="2BFD18C0" w14:textId="77777777" w:rsidR="00A255D4" w:rsidRPr="00696129" w:rsidRDefault="00A255D4" w:rsidP="00A255D4">
      <w:pPr>
        <w:spacing w:line="360" w:lineRule="auto"/>
        <w:jc w:val="both"/>
        <w:rPr>
          <w:rFonts w:ascii="Century Gothic" w:hAnsi="Century Gothic" w:cs="Arial"/>
          <w:bCs/>
          <w:szCs w:val="24"/>
        </w:rPr>
      </w:pPr>
    </w:p>
    <w:p w14:paraId="27AB5664" w14:textId="77777777" w:rsidR="00A255D4" w:rsidRPr="00696129" w:rsidRDefault="00A255D4" w:rsidP="00A255D4">
      <w:pPr>
        <w:spacing w:line="360" w:lineRule="auto"/>
        <w:jc w:val="both"/>
        <w:rPr>
          <w:rFonts w:ascii="Century Gothic" w:hAnsi="Century Gothic" w:cs="Arial"/>
          <w:bCs/>
          <w:szCs w:val="24"/>
        </w:rPr>
      </w:pPr>
      <w:r w:rsidRPr="00696129">
        <w:rPr>
          <w:rFonts w:ascii="Century Gothic" w:hAnsi="Century Gothic" w:cs="Arial"/>
          <w:bCs/>
          <w:szCs w:val="24"/>
        </w:rPr>
        <w:lastRenderedPageBreak/>
        <w:t>Admitida la demanda –el 8 de noviembre de 2004</w:t>
      </w:r>
      <w:r w:rsidRPr="00696129">
        <w:rPr>
          <w:rFonts w:ascii="Century Gothic" w:hAnsi="Century Gothic" w:cs="Arial"/>
          <w:bCs/>
          <w:szCs w:val="24"/>
          <w:vertAlign w:val="superscript"/>
        </w:rPr>
        <w:footnoteReference w:id="3"/>
      </w:r>
      <w:r w:rsidRPr="00696129">
        <w:rPr>
          <w:rFonts w:ascii="Century Gothic" w:hAnsi="Century Gothic" w:cs="Arial"/>
          <w:bCs/>
          <w:szCs w:val="24"/>
        </w:rPr>
        <w:t>– y notificada al municipio de Puerto Colombia, dicho extremo procesal solicitó negar la nulidad deprecada, toda vez que el Acuerdo 3 del 13 de marzo de 2003 no violó disposición alguna del Decreto 111 de 1996, pues, a su juicio, el municipio contaba con autonomía para su organización y funcionamiento.</w:t>
      </w:r>
    </w:p>
    <w:p w14:paraId="731E0F98" w14:textId="77777777" w:rsidR="00A255D4" w:rsidRPr="00696129" w:rsidRDefault="00A255D4" w:rsidP="00A255D4">
      <w:pPr>
        <w:spacing w:line="360" w:lineRule="auto"/>
        <w:jc w:val="both"/>
        <w:rPr>
          <w:rFonts w:ascii="Century Gothic" w:hAnsi="Century Gothic" w:cs="Arial"/>
          <w:bCs/>
          <w:szCs w:val="24"/>
        </w:rPr>
      </w:pPr>
    </w:p>
    <w:p w14:paraId="63492F2E" w14:textId="77777777" w:rsidR="00A255D4" w:rsidRPr="00696129" w:rsidRDefault="00A255D4" w:rsidP="00A255D4">
      <w:pPr>
        <w:spacing w:line="360" w:lineRule="auto"/>
        <w:jc w:val="both"/>
        <w:rPr>
          <w:rFonts w:ascii="Century Gothic" w:hAnsi="Century Gothic" w:cs="Arial"/>
          <w:bCs/>
          <w:szCs w:val="24"/>
        </w:rPr>
      </w:pPr>
      <w:r w:rsidRPr="00696129">
        <w:rPr>
          <w:rFonts w:ascii="Century Gothic" w:hAnsi="Century Gothic" w:cs="Arial"/>
          <w:bCs/>
          <w:szCs w:val="24"/>
        </w:rPr>
        <w:t xml:space="preserve">En cuanto a la supuesta violación de artículo 126 de la Ley 488 de 1998, el demandado señaló que comprometer vigencias futuras es una facultad con la que cuentan todas las entidades territoriales para desarrollar proyectos públicos de importancia, razón por la cual no requiere autorización del CONFIS; en este sentido, indicó, dicha facultad es complemente diferente a la “titularización de activos” que sí requiere tal autorización. </w:t>
      </w:r>
    </w:p>
    <w:p w14:paraId="09A3E662" w14:textId="77777777" w:rsidR="00A255D4" w:rsidRPr="00696129" w:rsidRDefault="00A255D4" w:rsidP="00A255D4">
      <w:pPr>
        <w:spacing w:line="360" w:lineRule="auto"/>
        <w:jc w:val="both"/>
        <w:rPr>
          <w:rFonts w:ascii="Century Gothic" w:hAnsi="Century Gothic" w:cs="Arial"/>
          <w:bCs/>
          <w:szCs w:val="24"/>
        </w:rPr>
      </w:pPr>
    </w:p>
    <w:p w14:paraId="6FC9FBF0" w14:textId="77777777" w:rsidR="00A255D4" w:rsidRPr="00696129" w:rsidRDefault="00A255D4" w:rsidP="00A255D4">
      <w:pPr>
        <w:spacing w:line="360" w:lineRule="auto"/>
        <w:jc w:val="both"/>
        <w:rPr>
          <w:rFonts w:ascii="Century Gothic" w:hAnsi="Century Gothic" w:cs="Arial"/>
          <w:bCs/>
          <w:szCs w:val="24"/>
        </w:rPr>
      </w:pPr>
      <w:r w:rsidRPr="00696129">
        <w:rPr>
          <w:rFonts w:ascii="Century Gothic" w:hAnsi="Century Gothic" w:cs="Arial"/>
          <w:bCs/>
          <w:szCs w:val="24"/>
        </w:rPr>
        <w:t>Finalmente, aseguró que la autorización –</w:t>
      </w:r>
      <w:r w:rsidRPr="00696129">
        <w:rPr>
          <w:rFonts w:ascii="Century Gothic" w:hAnsi="Century Gothic" w:cs="Arial"/>
          <w:bCs/>
          <w:i/>
          <w:szCs w:val="24"/>
        </w:rPr>
        <w:t>pro tempore–</w:t>
      </w:r>
      <w:r w:rsidRPr="00696129">
        <w:rPr>
          <w:rFonts w:ascii="Century Gothic" w:hAnsi="Century Gothic" w:cs="Arial"/>
          <w:bCs/>
          <w:szCs w:val="24"/>
        </w:rPr>
        <w:t xml:space="preserve"> concedida por el Concejo del municipio de Puerto Colombia se encontraba inmersa en las facultades constitucionales de que trata el artículo 313, numeral 3, de la Constitución Política (</w:t>
      </w:r>
      <w:proofErr w:type="spellStart"/>
      <w:r w:rsidRPr="00696129">
        <w:rPr>
          <w:rFonts w:ascii="Century Gothic" w:hAnsi="Century Gothic" w:cs="Arial"/>
          <w:bCs/>
          <w:szCs w:val="24"/>
        </w:rPr>
        <w:t>fls</w:t>
      </w:r>
      <w:proofErr w:type="spellEnd"/>
      <w:r w:rsidRPr="00696129">
        <w:rPr>
          <w:rFonts w:ascii="Century Gothic" w:hAnsi="Century Gothic" w:cs="Arial"/>
          <w:bCs/>
          <w:szCs w:val="24"/>
        </w:rPr>
        <w:t xml:space="preserve">. 41 a 56, C. 1). </w:t>
      </w:r>
    </w:p>
    <w:p w14:paraId="32D32B30" w14:textId="77777777" w:rsidR="00A255D4" w:rsidRPr="00696129" w:rsidRDefault="00A255D4" w:rsidP="00A255D4">
      <w:pPr>
        <w:spacing w:line="360" w:lineRule="auto"/>
        <w:jc w:val="both"/>
        <w:rPr>
          <w:rFonts w:ascii="Century Gothic" w:hAnsi="Century Gothic" w:cs="Arial"/>
          <w:bCs/>
          <w:szCs w:val="24"/>
        </w:rPr>
      </w:pPr>
    </w:p>
    <w:p w14:paraId="6A2C93CC" w14:textId="77777777" w:rsidR="00A255D4" w:rsidRPr="00696129" w:rsidRDefault="00A255D4" w:rsidP="00A255D4">
      <w:pPr>
        <w:spacing w:line="360" w:lineRule="auto"/>
        <w:rPr>
          <w:rFonts w:ascii="Century Gothic" w:hAnsi="Century Gothic" w:cs="Arial"/>
          <w:b/>
          <w:bCs/>
          <w:szCs w:val="24"/>
        </w:rPr>
      </w:pPr>
      <w:r w:rsidRPr="00696129">
        <w:rPr>
          <w:rFonts w:ascii="Century Gothic" w:hAnsi="Century Gothic" w:cs="Arial"/>
          <w:b/>
          <w:bCs/>
          <w:szCs w:val="24"/>
        </w:rPr>
        <w:t>3. Suspensión provisional</w:t>
      </w:r>
    </w:p>
    <w:p w14:paraId="4B2EDE43" w14:textId="77777777" w:rsidR="00A255D4" w:rsidRPr="00696129" w:rsidRDefault="00A255D4" w:rsidP="00A255D4">
      <w:pPr>
        <w:spacing w:line="360" w:lineRule="auto"/>
        <w:jc w:val="center"/>
        <w:rPr>
          <w:rFonts w:ascii="Century Gothic" w:hAnsi="Century Gothic" w:cs="Arial"/>
          <w:b/>
          <w:bCs/>
          <w:szCs w:val="24"/>
        </w:rPr>
      </w:pPr>
    </w:p>
    <w:p w14:paraId="6011926B" w14:textId="77777777" w:rsidR="00A255D4" w:rsidRPr="00696129" w:rsidRDefault="00A255D4" w:rsidP="00A255D4">
      <w:pPr>
        <w:spacing w:line="360" w:lineRule="auto"/>
        <w:jc w:val="both"/>
        <w:rPr>
          <w:rFonts w:ascii="Century Gothic" w:hAnsi="Century Gothic" w:cs="Arial"/>
          <w:bCs/>
          <w:szCs w:val="24"/>
        </w:rPr>
      </w:pPr>
      <w:r w:rsidRPr="00696129">
        <w:rPr>
          <w:rFonts w:ascii="Century Gothic" w:hAnsi="Century Gothic" w:cs="Arial"/>
          <w:bCs/>
          <w:szCs w:val="24"/>
        </w:rPr>
        <w:t>El Tribunal Administrativo del Atlántico, por medio de auto del 8 de noviembre de 2004, suspendió provisionalmente los efectos jurídicos del Acuerdo 3 del 13 de marzo de 2003, toda vez que, en su criterio, fue expedido sin tener en cuenta la autorización que debía otorgar el Consejo Superior de Política Fiscal (CONFIS) para poder comprometer vigencias futuras (</w:t>
      </w:r>
      <w:proofErr w:type="spellStart"/>
      <w:r w:rsidRPr="00696129">
        <w:rPr>
          <w:rFonts w:ascii="Century Gothic" w:hAnsi="Century Gothic" w:cs="Arial"/>
          <w:bCs/>
          <w:szCs w:val="24"/>
        </w:rPr>
        <w:t>fl</w:t>
      </w:r>
      <w:proofErr w:type="spellEnd"/>
      <w:r w:rsidRPr="00696129">
        <w:rPr>
          <w:rFonts w:ascii="Century Gothic" w:hAnsi="Century Gothic" w:cs="Arial"/>
          <w:bCs/>
          <w:szCs w:val="24"/>
        </w:rPr>
        <w:t>. 39, c. 1). La suspensión provisional fue confirmada por el Consejo de Estado, mediante auto del 7 de febrero de 2007 (</w:t>
      </w:r>
      <w:proofErr w:type="spellStart"/>
      <w:r w:rsidRPr="00696129">
        <w:rPr>
          <w:rFonts w:ascii="Century Gothic" w:hAnsi="Century Gothic" w:cs="Arial"/>
          <w:bCs/>
          <w:szCs w:val="24"/>
        </w:rPr>
        <w:t>fls</w:t>
      </w:r>
      <w:proofErr w:type="spellEnd"/>
      <w:r w:rsidRPr="00696129">
        <w:rPr>
          <w:rFonts w:ascii="Century Gothic" w:hAnsi="Century Gothic" w:cs="Arial"/>
          <w:bCs/>
          <w:szCs w:val="24"/>
        </w:rPr>
        <w:t>. 153 a 158, C. suspensión).</w:t>
      </w:r>
    </w:p>
    <w:p w14:paraId="1D2B0A29" w14:textId="77777777" w:rsidR="00A255D4" w:rsidRPr="00696129" w:rsidRDefault="00A255D4" w:rsidP="00A255D4">
      <w:pPr>
        <w:spacing w:line="360" w:lineRule="auto"/>
        <w:jc w:val="both"/>
        <w:rPr>
          <w:rFonts w:ascii="Century Gothic" w:hAnsi="Century Gothic" w:cs="Arial"/>
          <w:bCs/>
          <w:szCs w:val="24"/>
        </w:rPr>
      </w:pPr>
    </w:p>
    <w:p w14:paraId="173180F7" w14:textId="77777777" w:rsidR="00A255D4" w:rsidRPr="00696129" w:rsidRDefault="00A255D4" w:rsidP="00A255D4">
      <w:pPr>
        <w:spacing w:line="360" w:lineRule="auto"/>
        <w:jc w:val="center"/>
        <w:rPr>
          <w:rFonts w:ascii="Century Gothic" w:hAnsi="Century Gothic" w:cs="Arial"/>
          <w:bCs/>
          <w:szCs w:val="24"/>
        </w:rPr>
      </w:pPr>
      <w:r w:rsidRPr="00696129">
        <w:rPr>
          <w:rFonts w:ascii="Century Gothic" w:hAnsi="Century Gothic" w:cs="Arial"/>
          <w:b/>
          <w:bCs/>
          <w:szCs w:val="24"/>
        </w:rPr>
        <w:t>II. ALEGATOS EN PRIMERA INSTANCIA</w:t>
      </w:r>
    </w:p>
    <w:p w14:paraId="612D54CD" w14:textId="77777777" w:rsidR="00A255D4" w:rsidRPr="00696129" w:rsidRDefault="00A255D4" w:rsidP="00A255D4">
      <w:pPr>
        <w:spacing w:line="360" w:lineRule="auto"/>
        <w:jc w:val="both"/>
        <w:rPr>
          <w:rFonts w:ascii="Century Gothic" w:hAnsi="Century Gothic" w:cs="Arial"/>
          <w:bCs/>
          <w:szCs w:val="24"/>
        </w:rPr>
      </w:pPr>
    </w:p>
    <w:p w14:paraId="231B2AD8" w14:textId="77777777" w:rsidR="00A255D4" w:rsidRPr="00696129" w:rsidRDefault="00A255D4" w:rsidP="00A255D4">
      <w:pPr>
        <w:spacing w:line="360" w:lineRule="auto"/>
        <w:jc w:val="both"/>
        <w:rPr>
          <w:rFonts w:ascii="Century Gothic" w:hAnsi="Century Gothic" w:cs="Arial"/>
          <w:bCs/>
          <w:szCs w:val="24"/>
        </w:rPr>
      </w:pPr>
      <w:r w:rsidRPr="00696129">
        <w:rPr>
          <w:rFonts w:ascii="Century Gothic" w:hAnsi="Century Gothic" w:cs="Arial"/>
          <w:bCs/>
          <w:szCs w:val="24"/>
        </w:rPr>
        <w:t>El Tribunal Administrativo del Atlántico corrió traslado a las partes, para alegar de conclusión y al Ministerio Público, para que rindiera su respectivo concepto (</w:t>
      </w:r>
      <w:proofErr w:type="spellStart"/>
      <w:r w:rsidRPr="00696129">
        <w:rPr>
          <w:rFonts w:ascii="Century Gothic" w:hAnsi="Century Gothic" w:cs="Arial"/>
          <w:bCs/>
          <w:szCs w:val="24"/>
        </w:rPr>
        <w:t>fl</w:t>
      </w:r>
      <w:proofErr w:type="spellEnd"/>
      <w:r w:rsidRPr="00696129">
        <w:rPr>
          <w:rFonts w:ascii="Century Gothic" w:hAnsi="Century Gothic" w:cs="Arial"/>
          <w:bCs/>
          <w:szCs w:val="24"/>
        </w:rPr>
        <w:t xml:space="preserve">. 96, C. 1). </w:t>
      </w:r>
    </w:p>
    <w:p w14:paraId="6447694C" w14:textId="77777777" w:rsidR="00A255D4" w:rsidRPr="00696129" w:rsidRDefault="00A255D4" w:rsidP="00A255D4">
      <w:pPr>
        <w:tabs>
          <w:tab w:val="left" w:pos="6570"/>
        </w:tabs>
        <w:spacing w:line="360" w:lineRule="auto"/>
        <w:jc w:val="both"/>
        <w:rPr>
          <w:rFonts w:ascii="Century Gothic" w:hAnsi="Century Gothic" w:cs="Arial"/>
          <w:bCs/>
          <w:szCs w:val="24"/>
        </w:rPr>
      </w:pPr>
      <w:r w:rsidRPr="00696129">
        <w:rPr>
          <w:rFonts w:ascii="Century Gothic" w:hAnsi="Century Gothic" w:cs="Arial"/>
          <w:bCs/>
          <w:szCs w:val="24"/>
        </w:rPr>
        <w:tab/>
      </w:r>
    </w:p>
    <w:p w14:paraId="229F77BB" w14:textId="77777777" w:rsidR="00A255D4" w:rsidRPr="00696129" w:rsidRDefault="00A255D4" w:rsidP="00A255D4">
      <w:pPr>
        <w:spacing w:line="360" w:lineRule="auto"/>
        <w:jc w:val="both"/>
        <w:rPr>
          <w:rFonts w:ascii="Century Gothic" w:hAnsi="Century Gothic" w:cs="Arial"/>
          <w:bCs/>
          <w:szCs w:val="24"/>
        </w:rPr>
      </w:pPr>
      <w:r w:rsidRPr="00696129">
        <w:rPr>
          <w:rFonts w:ascii="Century Gothic" w:hAnsi="Century Gothic" w:cs="Arial"/>
          <w:bCs/>
          <w:szCs w:val="24"/>
        </w:rPr>
        <w:lastRenderedPageBreak/>
        <w:t>1. La parte demandada reiteró los argumentos expuesto en la contestación de la demanda (</w:t>
      </w:r>
      <w:proofErr w:type="spellStart"/>
      <w:r w:rsidRPr="00696129">
        <w:rPr>
          <w:rFonts w:ascii="Century Gothic" w:hAnsi="Century Gothic" w:cs="Arial"/>
          <w:bCs/>
          <w:szCs w:val="24"/>
        </w:rPr>
        <w:t>fls</w:t>
      </w:r>
      <w:proofErr w:type="spellEnd"/>
      <w:r w:rsidRPr="00696129">
        <w:rPr>
          <w:rFonts w:ascii="Century Gothic" w:hAnsi="Century Gothic" w:cs="Arial"/>
          <w:bCs/>
          <w:szCs w:val="24"/>
        </w:rPr>
        <w:t xml:space="preserve">. 101 a 111, C. 1). </w:t>
      </w:r>
    </w:p>
    <w:p w14:paraId="5AC102B8" w14:textId="77777777" w:rsidR="00A255D4" w:rsidRPr="00696129" w:rsidRDefault="00A255D4" w:rsidP="00A255D4">
      <w:pPr>
        <w:spacing w:line="360" w:lineRule="auto"/>
        <w:jc w:val="both"/>
        <w:rPr>
          <w:rFonts w:ascii="Century Gothic" w:hAnsi="Century Gothic" w:cs="Arial"/>
          <w:bCs/>
          <w:szCs w:val="24"/>
        </w:rPr>
      </w:pPr>
    </w:p>
    <w:p w14:paraId="3992391E" w14:textId="77777777" w:rsidR="00A255D4" w:rsidRPr="00696129" w:rsidRDefault="00A255D4" w:rsidP="00A255D4">
      <w:pPr>
        <w:spacing w:line="360" w:lineRule="auto"/>
        <w:jc w:val="both"/>
        <w:rPr>
          <w:rFonts w:ascii="Century Gothic" w:hAnsi="Century Gothic" w:cs="Arial"/>
          <w:bCs/>
          <w:szCs w:val="24"/>
        </w:rPr>
      </w:pPr>
      <w:r w:rsidRPr="00696129">
        <w:rPr>
          <w:rFonts w:ascii="Century Gothic" w:hAnsi="Century Gothic" w:cs="Arial"/>
          <w:bCs/>
          <w:szCs w:val="24"/>
        </w:rPr>
        <w:t>2.</w:t>
      </w:r>
      <w:r w:rsidRPr="00696129">
        <w:rPr>
          <w:rFonts w:ascii="Century Gothic" w:hAnsi="Century Gothic" w:cs="Arial"/>
          <w:b/>
          <w:bCs/>
          <w:szCs w:val="24"/>
        </w:rPr>
        <w:t xml:space="preserve"> </w:t>
      </w:r>
      <w:r w:rsidRPr="00696129">
        <w:rPr>
          <w:rFonts w:ascii="Century Gothic" w:hAnsi="Century Gothic" w:cs="Arial"/>
          <w:bCs/>
          <w:szCs w:val="24"/>
        </w:rPr>
        <w:t xml:space="preserve">La parte actora y el representante del Ministerio Público guardaron silencio. </w:t>
      </w:r>
    </w:p>
    <w:p w14:paraId="39A5F96F" w14:textId="77777777" w:rsidR="00A255D4" w:rsidRPr="00696129" w:rsidRDefault="00A255D4" w:rsidP="00A255D4">
      <w:pPr>
        <w:spacing w:line="276" w:lineRule="auto"/>
        <w:jc w:val="center"/>
        <w:rPr>
          <w:rFonts w:ascii="Century Gothic" w:hAnsi="Century Gothic" w:cs="Arial"/>
          <w:b/>
          <w:bCs/>
          <w:szCs w:val="24"/>
        </w:rPr>
      </w:pPr>
    </w:p>
    <w:p w14:paraId="2F5EE061" w14:textId="77777777" w:rsidR="00A255D4" w:rsidRPr="00696129" w:rsidRDefault="00A255D4" w:rsidP="00A255D4">
      <w:pPr>
        <w:spacing w:line="276" w:lineRule="auto"/>
        <w:jc w:val="center"/>
        <w:rPr>
          <w:rFonts w:ascii="Century Gothic" w:hAnsi="Century Gothic" w:cs="Arial"/>
          <w:b/>
          <w:bCs/>
          <w:szCs w:val="24"/>
        </w:rPr>
      </w:pPr>
      <w:r w:rsidRPr="00696129">
        <w:rPr>
          <w:rFonts w:ascii="Century Gothic" w:hAnsi="Century Gothic" w:cs="Arial"/>
          <w:b/>
          <w:bCs/>
          <w:szCs w:val="24"/>
        </w:rPr>
        <w:t xml:space="preserve">III. LA SENTENCIA DEL TRIBUNAL </w:t>
      </w:r>
    </w:p>
    <w:p w14:paraId="65D2C6E6" w14:textId="77777777" w:rsidR="00A255D4" w:rsidRPr="00696129" w:rsidRDefault="00A255D4" w:rsidP="00A255D4">
      <w:pPr>
        <w:jc w:val="center"/>
        <w:rPr>
          <w:rFonts w:ascii="Century Gothic" w:hAnsi="Century Gothic" w:cs="Arial"/>
          <w:b/>
          <w:bCs/>
          <w:szCs w:val="24"/>
        </w:rPr>
      </w:pPr>
    </w:p>
    <w:p w14:paraId="62254157" w14:textId="77777777" w:rsidR="00A255D4" w:rsidRPr="00696129" w:rsidRDefault="00A255D4" w:rsidP="00A255D4">
      <w:pPr>
        <w:jc w:val="center"/>
        <w:rPr>
          <w:rFonts w:ascii="Century Gothic" w:hAnsi="Century Gothic" w:cs="Arial"/>
          <w:b/>
          <w:bCs/>
          <w:szCs w:val="24"/>
        </w:rPr>
      </w:pPr>
    </w:p>
    <w:p w14:paraId="4A489400" w14:textId="77777777" w:rsidR="00A255D4" w:rsidRPr="00696129" w:rsidRDefault="00A255D4" w:rsidP="00A255D4">
      <w:pPr>
        <w:spacing w:line="360" w:lineRule="auto"/>
        <w:jc w:val="both"/>
        <w:rPr>
          <w:rFonts w:ascii="Century Gothic" w:hAnsi="Century Gothic" w:cs="Arial"/>
          <w:bCs/>
          <w:szCs w:val="24"/>
        </w:rPr>
      </w:pPr>
      <w:r w:rsidRPr="00696129">
        <w:rPr>
          <w:rFonts w:ascii="Century Gothic" w:hAnsi="Century Gothic" w:cs="Arial"/>
          <w:szCs w:val="24"/>
        </w:rPr>
        <w:t>En sentencia del 9 de febrero de 2009, el Tribunal Administrativo del Atlántico declaró la nulidad del Acuerdo 3 del 13 de marzo de 2003</w:t>
      </w:r>
      <w:r w:rsidRPr="00696129">
        <w:rPr>
          <w:rFonts w:ascii="Century Gothic" w:hAnsi="Century Gothic" w:cs="Arial"/>
          <w:szCs w:val="24"/>
          <w:vertAlign w:val="superscript"/>
        </w:rPr>
        <w:footnoteReference w:id="4"/>
      </w:r>
      <w:r w:rsidRPr="00696129">
        <w:rPr>
          <w:rFonts w:ascii="Century Gothic" w:hAnsi="Century Gothic" w:cs="Arial"/>
          <w:szCs w:val="24"/>
        </w:rPr>
        <w:t>. I</w:t>
      </w:r>
      <w:r w:rsidRPr="00696129">
        <w:rPr>
          <w:rFonts w:ascii="Century Gothic" w:hAnsi="Century Gothic" w:cs="Arial"/>
          <w:bCs/>
          <w:szCs w:val="24"/>
        </w:rPr>
        <w:t xml:space="preserve">ndicó que, de la confrontación realizada entre el acta 20 del 13 de marzo de 2003 y el Acuerdo 3 de la misma fecha, se evidenciaba que en este último se omitieron los plazos de seis (6) meses y de veinte (20) años, autorizados por el Concejo para celebrar los contratos y para comprometer las vigencias futuras; además, concluyó que el acto enjuiciado no era congruente con lo dispuesto en el artículo 126 de la Ley 488 de 1998, toda vez que las “vigencias futuras” solo se podían comprometer durante el período de gobierno del alcalde respectivo, lo cual se omitió en el acto administrativo demandado; al respecto, dijo (se transcribe conforme obra, inclusive con errores): </w:t>
      </w:r>
    </w:p>
    <w:p w14:paraId="5D62A555" w14:textId="77777777" w:rsidR="00A255D4" w:rsidRPr="00696129" w:rsidRDefault="00A255D4" w:rsidP="00A255D4">
      <w:pPr>
        <w:spacing w:line="360" w:lineRule="auto"/>
        <w:jc w:val="both"/>
        <w:rPr>
          <w:rFonts w:ascii="Century Gothic" w:hAnsi="Century Gothic" w:cs="Arial"/>
          <w:bCs/>
          <w:i/>
          <w:szCs w:val="24"/>
        </w:rPr>
      </w:pPr>
    </w:p>
    <w:p w14:paraId="2C6D85D9" w14:textId="77777777" w:rsidR="00A255D4" w:rsidRPr="00696129" w:rsidRDefault="00A255D4" w:rsidP="00A255D4">
      <w:pPr>
        <w:ind w:left="567" w:right="567"/>
        <w:jc w:val="both"/>
        <w:rPr>
          <w:rFonts w:ascii="Century Gothic" w:hAnsi="Century Gothic" w:cs="Arial"/>
          <w:bCs/>
          <w:i/>
          <w:szCs w:val="24"/>
        </w:rPr>
      </w:pPr>
      <w:r w:rsidRPr="00696129">
        <w:rPr>
          <w:rFonts w:ascii="Century Gothic" w:hAnsi="Century Gothic" w:cs="Arial"/>
          <w:bCs/>
          <w:i/>
          <w:szCs w:val="24"/>
        </w:rPr>
        <w:t xml:space="preserve">“El artículo 126 de la Ley 488 de 1998 establece que los recursos provenientes de las sobretasas a la gasolina y al ACPM podrán </w:t>
      </w:r>
      <w:r w:rsidRPr="00696129">
        <w:rPr>
          <w:rFonts w:ascii="Century Gothic" w:hAnsi="Century Gothic" w:cs="Arial"/>
          <w:b/>
          <w:bCs/>
          <w:i/>
          <w:szCs w:val="24"/>
        </w:rPr>
        <w:t>titularizarse</w:t>
      </w:r>
      <w:r w:rsidRPr="00696129">
        <w:rPr>
          <w:rFonts w:ascii="Century Gothic" w:hAnsi="Century Gothic" w:cs="Arial"/>
          <w:bCs/>
          <w:i/>
          <w:szCs w:val="24"/>
        </w:rPr>
        <w:t xml:space="preserve"> y tener en cuenta como ingreso para efecto de la capacidad de pago de los municipios, distritos y departamentos. Sólo podrán realizarse en moneda nacional, dentro del respectivo período de gobierno y hasta por un ochenta por ciento (80%) del cálculo de los ingresos que se generarán por la sobretasa en dicho período, y sólo podrá ser destinada a los fines establecidos en las leyes que regulan la materia. </w:t>
      </w:r>
    </w:p>
    <w:p w14:paraId="00B492C1" w14:textId="77777777" w:rsidR="00A255D4" w:rsidRPr="00696129" w:rsidRDefault="00A255D4" w:rsidP="00A255D4">
      <w:pPr>
        <w:ind w:left="567" w:right="567"/>
        <w:jc w:val="both"/>
        <w:rPr>
          <w:rFonts w:ascii="Century Gothic" w:hAnsi="Century Gothic" w:cs="Arial"/>
          <w:bCs/>
          <w:i/>
          <w:szCs w:val="24"/>
        </w:rPr>
      </w:pPr>
    </w:p>
    <w:p w14:paraId="2A6E9D14" w14:textId="77777777" w:rsidR="00A255D4" w:rsidRPr="00696129" w:rsidRDefault="00A255D4" w:rsidP="00A255D4">
      <w:pPr>
        <w:ind w:left="567" w:right="567"/>
        <w:jc w:val="both"/>
        <w:rPr>
          <w:rFonts w:ascii="Century Gothic" w:hAnsi="Century Gothic" w:cs="Arial"/>
          <w:bCs/>
          <w:i/>
          <w:szCs w:val="24"/>
        </w:rPr>
      </w:pPr>
      <w:r w:rsidRPr="00696129">
        <w:rPr>
          <w:rFonts w:ascii="Century Gothic" w:hAnsi="Century Gothic" w:cs="Arial"/>
          <w:bCs/>
          <w:i/>
          <w:szCs w:val="24"/>
        </w:rPr>
        <w:t xml:space="preserve">“Aceptar que por cualquier motivo puedan comprometerse, hacia futuro, las rentas provenientes de las sobretasas a la gasolina y el ACPM, implicaría, en consideración de la Sala de Decisión Alfabética, dejar sin posibilidad a que los mandatorios que siguieran el cargo, dentro de sus correspondientes períodos pudieran hacer uso de la atribución legal de comprometer vigencias futuras, pues, si lo hicieran, frente a un situación como la prevista en el acto acusado, propiciarían la responsabilidad administrativa y patrimonial del ente territorial por incumplimiento de compromisos adquiridos. </w:t>
      </w:r>
    </w:p>
    <w:p w14:paraId="708CCD20" w14:textId="77777777" w:rsidR="00A255D4" w:rsidRPr="00696129" w:rsidRDefault="00A255D4" w:rsidP="00A255D4">
      <w:pPr>
        <w:ind w:left="567" w:right="567"/>
        <w:jc w:val="both"/>
        <w:rPr>
          <w:rFonts w:ascii="Century Gothic" w:hAnsi="Century Gothic" w:cs="Arial"/>
          <w:bCs/>
          <w:i/>
          <w:szCs w:val="24"/>
        </w:rPr>
      </w:pPr>
    </w:p>
    <w:p w14:paraId="64A62731" w14:textId="77777777" w:rsidR="00A255D4" w:rsidRPr="00696129" w:rsidRDefault="00A255D4" w:rsidP="00A255D4">
      <w:pPr>
        <w:ind w:left="567" w:right="567"/>
        <w:jc w:val="both"/>
        <w:rPr>
          <w:rFonts w:ascii="Century Gothic" w:hAnsi="Century Gothic" w:cs="Arial"/>
          <w:bCs/>
          <w:i/>
          <w:szCs w:val="24"/>
        </w:rPr>
      </w:pPr>
      <w:r w:rsidRPr="00696129">
        <w:rPr>
          <w:rFonts w:ascii="Century Gothic" w:hAnsi="Century Gothic" w:cs="Arial"/>
          <w:bCs/>
          <w:i/>
          <w:szCs w:val="24"/>
        </w:rPr>
        <w:lastRenderedPageBreak/>
        <w:t xml:space="preserve">“En otro sentido, si la ley específicamente le confiere a cada Alcalde dentro de su período de gobierno, la atribución de comprometer vigencias futuras a la renta de la sobretasa a la gasolina y al ACPM, lo lógico es que el ejercicio de esta competencia pueda ser realizada dentro del lapso en que ello es permitido, de manera que esta específica regulación no puede ser desconocida en razón de eventuales compromisos adquiridos por administraciones anteriores, así estos se presenten como mecanismos diferentes, pues, de todas formas, se debe tener en como límite el respectivo período de gobierno” </w:t>
      </w:r>
      <w:r w:rsidRPr="00696129">
        <w:rPr>
          <w:rFonts w:ascii="Century Gothic" w:hAnsi="Century Gothic" w:cs="Arial"/>
          <w:bCs/>
          <w:szCs w:val="24"/>
        </w:rPr>
        <w:t xml:space="preserve">(se resalta, </w:t>
      </w:r>
      <w:proofErr w:type="spellStart"/>
      <w:r w:rsidRPr="00696129">
        <w:rPr>
          <w:rFonts w:ascii="Century Gothic" w:hAnsi="Century Gothic" w:cs="Arial"/>
          <w:bCs/>
          <w:szCs w:val="24"/>
        </w:rPr>
        <w:t>fl</w:t>
      </w:r>
      <w:proofErr w:type="spellEnd"/>
      <w:r w:rsidRPr="00696129">
        <w:rPr>
          <w:rFonts w:ascii="Century Gothic" w:hAnsi="Century Gothic" w:cs="Arial"/>
          <w:bCs/>
          <w:szCs w:val="24"/>
        </w:rPr>
        <w:t>. 133, c. ppal.)</w:t>
      </w:r>
      <w:r w:rsidRPr="00696129">
        <w:rPr>
          <w:rStyle w:val="Refdenotaalpie"/>
          <w:rFonts w:ascii="Century Gothic" w:hAnsi="Century Gothic" w:cs="Arial"/>
          <w:bCs/>
          <w:szCs w:val="24"/>
        </w:rPr>
        <w:footnoteReference w:id="5"/>
      </w:r>
      <w:r w:rsidRPr="00696129">
        <w:rPr>
          <w:rFonts w:ascii="Century Gothic" w:hAnsi="Century Gothic" w:cs="Arial"/>
          <w:bCs/>
          <w:szCs w:val="24"/>
        </w:rPr>
        <w:t xml:space="preserve">. </w:t>
      </w:r>
    </w:p>
    <w:p w14:paraId="553A6DDF" w14:textId="77777777" w:rsidR="00A255D4" w:rsidRPr="00696129" w:rsidRDefault="00A255D4" w:rsidP="00A255D4">
      <w:pPr>
        <w:spacing w:line="600" w:lineRule="auto"/>
        <w:jc w:val="center"/>
        <w:rPr>
          <w:rFonts w:ascii="Century Gothic" w:hAnsi="Century Gothic" w:cs="Arial"/>
          <w:b/>
          <w:bCs/>
          <w:szCs w:val="24"/>
        </w:rPr>
      </w:pPr>
    </w:p>
    <w:p w14:paraId="3D95F381" w14:textId="77777777" w:rsidR="00A255D4" w:rsidRPr="00696129" w:rsidRDefault="00A255D4" w:rsidP="00A255D4">
      <w:pPr>
        <w:spacing w:line="360" w:lineRule="auto"/>
        <w:jc w:val="center"/>
        <w:rPr>
          <w:rFonts w:ascii="Century Gothic" w:hAnsi="Century Gothic" w:cs="Arial"/>
          <w:b/>
          <w:bCs/>
          <w:szCs w:val="24"/>
        </w:rPr>
      </w:pPr>
      <w:r w:rsidRPr="00696129">
        <w:rPr>
          <w:rFonts w:ascii="Century Gothic" w:hAnsi="Century Gothic" w:cs="Arial"/>
          <w:b/>
          <w:bCs/>
          <w:szCs w:val="24"/>
        </w:rPr>
        <w:t>IV. EL RECURSO DE APELACIÓN</w:t>
      </w:r>
    </w:p>
    <w:p w14:paraId="3CAB807E" w14:textId="77777777" w:rsidR="00A255D4" w:rsidRPr="00696129" w:rsidRDefault="00A255D4" w:rsidP="00A255D4">
      <w:pPr>
        <w:spacing w:line="360" w:lineRule="auto"/>
        <w:ind w:right="46"/>
        <w:jc w:val="both"/>
        <w:rPr>
          <w:rFonts w:ascii="Century Gothic" w:eastAsia="Times New Roman" w:hAnsi="Century Gothic" w:cs="Arial"/>
          <w:bCs/>
          <w:szCs w:val="24"/>
          <w:lang w:val="es-ES" w:eastAsia="es-ES"/>
        </w:rPr>
      </w:pPr>
    </w:p>
    <w:p w14:paraId="1A6D3971" w14:textId="77777777" w:rsidR="00A255D4" w:rsidRPr="00696129" w:rsidRDefault="00A255D4" w:rsidP="005E63D6">
      <w:pPr>
        <w:spacing w:line="360" w:lineRule="auto"/>
        <w:ind w:right="46"/>
        <w:jc w:val="both"/>
        <w:rPr>
          <w:rFonts w:ascii="Century Gothic" w:eastAsia="Times New Roman" w:hAnsi="Century Gothic" w:cs="Arial"/>
          <w:bCs/>
          <w:szCs w:val="24"/>
          <w:lang w:val="es-ES" w:eastAsia="es-ES"/>
        </w:rPr>
      </w:pPr>
      <w:r w:rsidRPr="00696129">
        <w:rPr>
          <w:rFonts w:ascii="Century Gothic" w:eastAsia="Times New Roman" w:hAnsi="Century Gothic" w:cs="Arial"/>
          <w:bCs/>
          <w:szCs w:val="24"/>
          <w:lang w:val="es-ES" w:eastAsia="es-ES"/>
        </w:rPr>
        <w:t>La parte demandada formuló recurso de apelación contra la sentencia anterior, con el fin de que ésta se revoque y se niegue la nulidad, toda vez que, según aquella, lo</w:t>
      </w:r>
      <w:r w:rsidRPr="00696129">
        <w:rPr>
          <w:rFonts w:ascii="Century Gothic" w:eastAsia="Times New Roman" w:hAnsi="Century Gothic" w:cs="Arial"/>
          <w:bCs/>
          <w:szCs w:val="24"/>
          <w:lang w:eastAsia="es-ES"/>
        </w:rPr>
        <w:t xml:space="preserve"> dispuesto en el Acuerdo 3 del 13 de marzo de 2003 fue un compromiso de vigencia futura y no, como lo entiende el </w:t>
      </w:r>
      <w:r w:rsidRPr="00696129">
        <w:rPr>
          <w:rFonts w:ascii="Century Gothic" w:eastAsia="Times New Roman" w:hAnsi="Century Gothic" w:cs="Arial"/>
          <w:bCs/>
          <w:i/>
          <w:szCs w:val="24"/>
          <w:lang w:eastAsia="es-ES"/>
        </w:rPr>
        <w:t>a quo</w:t>
      </w:r>
      <w:r w:rsidRPr="00696129">
        <w:rPr>
          <w:rFonts w:ascii="Century Gothic" w:eastAsia="Times New Roman" w:hAnsi="Century Gothic" w:cs="Arial"/>
          <w:bCs/>
          <w:szCs w:val="24"/>
          <w:lang w:eastAsia="es-ES"/>
        </w:rPr>
        <w:t xml:space="preserve">, la “titularización de activos” sobre las rentas derivadas de la sobretasa de la gasolina y del ACPM; además, señaló que el </w:t>
      </w:r>
      <w:r w:rsidRPr="00696129">
        <w:rPr>
          <w:rFonts w:ascii="Century Gothic" w:eastAsia="Times New Roman" w:hAnsi="Century Gothic" w:cs="Arial"/>
          <w:bCs/>
          <w:szCs w:val="24"/>
          <w:lang w:val="es-ES" w:eastAsia="es-ES"/>
        </w:rPr>
        <w:t xml:space="preserve">acto administrativo acusado recogía lo aprobado en los debates del Concejo Municipal de Puerto Colombia y que, cualquier omisión de palabras, obedecía a un </w:t>
      </w:r>
      <w:r w:rsidRPr="00696129">
        <w:rPr>
          <w:rFonts w:ascii="Century Gothic" w:eastAsia="Times New Roman" w:hAnsi="Century Gothic" w:cs="Arial"/>
          <w:bCs/>
          <w:i/>
          <w:szCs w:val="24"/>
          <w:lang w:val="es-ES" w:eastAsia="es-ES"/>
        </w:rPr>
        <w:t>“error involuntario”</w:t>
      </w:r>
      <w:r w:rsidRPr="00696129">
        <w:rPr>
          <w:rFonts w:ascii="Century Gothic" w:eastAsia="Times New Roman" w:hAnsi="Century Gothic" w:cs="Arial"/>
          <w:bCs/>
          <w:szCs w:val="24"/>
          <w:lang w:val="es-ES" w:eastAsia="es-ES"/>
        </w:rPr>
        <w:t xml:space="preserve"> al momento de su expedición</w:t>
      </w:r>
      <w:r w:rsidRPr="00696129">
        <w:rPr>
          <w:rFonts w:ascii="Century Gothic" w:eastAsia="Times New Roman" w:hAnsi="Century Gothic" w:cs="Arial"/>
          <w:bCs/>
          <w:i/>
          <w:szCs w:val="24"/>
          <w:lang w:val="es-ES" w:eastAsia="es-ES"/>
        </w:rPr>
        <w:t xml:space="preserve"> </w:t>
      </w:r>
      <w:r w:rsidRPr="00696129">
        <w:rPr>
          <w:rFonts w:ascii="Century Gothic" w:eastAsia="Times New Roman" w:hAnsi="Century Gothic" w:cs="Arial"/>
          <w:bCs/>
          <w:szCs w:val="24"/>
          <w:lang w:val="es-ES" w:eastAsia="es-ES"/>
        </w:rPr>
        <w:t>(140 a 151, C. Ppal.).</w:t>
      </w:r>
    </w:p>
    <w:p w14:paraId="6B416B75" w14:textId="77777777" w:rsidR="00A255D4" w:rsidRPr="00696129" w:rsidRDefault="00A255D4" w:rsidP="00A255D4">
      <w:pPr>
        <w:spacing w:line="360" w:lineRule="auto"/>
        <w:ind w:right="46"/>
        <w:jc w:val="center"/>
        <w:rPr>
          <w:rFonts w:ascii="Century Gothic" w:eastAsia="Times New Roman" w:hAnsi="Century Gothic" w:cs="Arial"/>
          <w:b/>
          <w:bCs/>
          <w:szCs w:val="24"/>
          <w:lang w:val="es-ES" w:eastAsia="es-ES"/>
        </w:rPr>
      </w:pPr>
      <w:r w:rsidRPr="00696129">
        <w:rPr>
          <w:rFonts w:ascii="Century Gothic" w:eastAsia="Times New Roman" w:hAnsi="Century Gothic" w:cs="Arial"/>
          <w:b/>
          <w:bCs/>
          <w:szCs w:val="24"/>
          <w:lang w:val="es-ES" w:eastAsia="es-ES"/>
        </w:rPr>
        <w:t>V. ALEGATOS EN SEGUNDA INSTANCIA</w:t>
      </w:r>
    </w:p>
    <w:p w14:paraId="47C44550" w14:textId="77777777" w:rsidR="00A255D4" w:rsidRPr="00696129" w:rsidRDefault="00A255D4" w:rsidP="00A255D4">
      <w:pPr>
        <w:spacing w:line="360" w:lineRule="auto"/>
        <w:ind w:right="46"/>
        <w:jc w:val="both"/>
        <w:rPr>
          <w:rFonts w:ascii="Century Gothic" w:eastAsia="Times New Roman" w:hAnsi="Century Gothic" w:cs="Arial"/>
          <w:bCs/>
          <w:szCs w:val="24"/>
          <w:lang w:val="es-ES" w:eastAsia="es-ES"/>
        </w:rPr>
      </w:pPr>
    </w:p>
    <w:p w14:paraId="4FA3F7C9" w14:textId="77777777" w:rsidR="00A255D4" w:rsidRPr="00696129" w:rsidRDefault="00A255D4" w:rsidP="00A255D4">
      <w:pPr>
        <w:spacing w:line="360" w:lineRule="auto"/>
        <w:ind w:right="46"/>
        <w:jc w:val="both"/>
        <w:rPr>
          <w:rFonts w:ascii="Century Gothic" w:eastAsia="Times New Roman" w:hAnsi="Century Gothic" w:cs="Arial"/>
          <w:bCs/>
          <w:szCs w:val="24"/>
          <w:lang w:val="es-ES" w:eastAsia="es-ES"/>
        </w:rPr>
      </w:pPr>
      <w:r w:rsidRPr="00696129">
        <w:rPr>
          <w:rFonts w:ascii="Century Gothic" w:eastAsia="Times New Roman" w:hAnsi="Century Gothic" w:cs="Arial"/>
          <w:bCs/>
          <w:szCs w:val="24"/>
          <w:lang w:val="es-ES" w:eastAsia="es-ES"/>
        </w:rPr>
        <w:t>Concedido el recurso de apelación por parte del Tribunal Administrativo del Atlántico</w:t>
      </w:r>
      <w:r w:rsidRPr="00696129">
        <w:rPr>
          <w:rFonts w:ascii="Century Gothic" w:eastAsia="Times New Roman" w:hAnsi="Century Gothic" w:cs="Arial"/>
          <w:bCs/>
          <w:szCs w:val="24"/>
          <w:vertAlign w:val="superscript"/>
          <w:lang w:val="es-ES" w:eastAsia="es-ES"/>
        </w:rPr>
        <w:footnoteReference w:id="6"/>
      </w:r>
      <w:r w:rsidRPr="00696129">
        <w:rPr>
          <w:rFonts w:ascii="Century Gothic" w:eastAsia="Times New Roman" w:hAnsi="Century Gothic" w:cs="Arial"/>
          <w:bCs/>
          <w:szCs w:val="24"/>
          <w:lang w:val="es-ES" w:eastAsia="es-ES"/>
        </w:rPr>
        <w:t>, esta corporación lo admitió mediante auto del 27 de julio de 2012</w:t>
      </w:r>
      <w:r w:rsidRPr="00696129">
        <w:rPr>
          <w:rFonts w:ascii="Century Gothic" w:eastAsia="Times New Roman" w:hAnsi="Century Gothic" w:cs="Arial"/>
          <w:bCs/>
          <w:szCs w:val="24"/>
          <w:vertAlign w:val="superscript"/>
          <w:lang w:val="es-ES" w:eastAsia="es-ES"/>
        </w:rPr>
        <w:footnoteReference w:id="7"/>
      </w:r>
      <w:r w:rsidRPr="00696129">
        <w:rPr>
          <w:rFonts w:ascii="Century Gothic" w:eastAsia="Times New Roman" w:hAnsi="Century Gothic" w:cs="Arial"/>
          <w:bCs/>
          <w:szCs w:val="24"/>
          <w:lang w:val="es-ES" w:eastAsia="es-ES"/>
        </w:rPr>
        <w:t xml:space="preserve"> y, posteriormente, mediante auto del 7 de septiembre de 2012</w:t>
      </w:r>
      <w:r w:rsidRPr="00696129">
        <w:rPr>
          <w:rFonts w:ascii="Century Gothic" w:eastAsia="Times New Roman" w:hAnsi="Century Gothic" w:cs="Arial"/>
          <w:bCs/>
          <w:szCs w:val="24"/>
          <w:vertAlign w:val="superscript"/>
          <w:lang w:val="es-ES" w:eastAsia="es-ES"/>
        </w:rPr>
        <w:footnoteReference w:id="8"/>
      </w:r>
      <w:r w:rsidRPr="00696129">
        <w:rPr>
          <w:rFonts w:ascii="Century Gothic" w:eastAsia="Times New Roman" w:hAnsi="Century Gothic" w:cs="Arial"/>
          <w:bCs/>
          <w:szCs w:val="24"/>
          <w:lang w:val="es-ES" w:eastAsia="es-ES"/>
        </w:rPr>
        <w:t xml:space="preserve">, ordenó correr traslado a las partes, para que presentaran sus alegatos de conclusión y al Ministerio Público, para que rindiera su respectivo concepto. </w:t>
      </w:r>
    </w:p>
    <w:p w14:paraId="6065BF2C" w14:textId="77777777" w:rsidR="00A255D4" w:rsidRPr="00696129" w:rsidRDefault="00A255D4" w:rsidP="00A255D4">
      <w:pPr>
        <w:spacing w:line="360" w:lineRule="auto"/>
        <w:ind w:right="46"/>
        <w:jc w:val="both"/>
        <w:rPr>
          <w:rFonts w:ascii="Century Gothic" w:eastAsia="Times New Roman" w:hAnsi="Century Gothic" w:cs="Arial"/>
          <w:bCs/>
          <w:szCs w:val="24"/>
          <w:lang w:val="es-ES" w:eastAsia="es-ES"/>
        </w:rPr>
      </w:pPr>
    </w:p>
    <w:p w14:paraId="3A63DD11" w14:textId="77777777" w:rsidR="00A255D4" w:rsidRPr="00696129" w:rsidRDefault="00A255D4" w:rsidP="00A255D4">
      <w:pPr>
        <w:spacing w:line="360" w:lineRule="auto"/>
        <w:ind w:right="46"/>
        <w:jc w:val="both"/>
        <w:rPr>
          <w:rFonts w:ascii="Century Gothic" w:eastAsia="Times New Roman" w:hAnsi="Century Gothic" w:cs="Arial"/>
          <w:bCs/>
          <w:szCs w:val="24"/>
          <w:lang w:val="es-ES" w:eastAsia="es-ES"/>
        </w:rPr>
      </w:pPr>
      <w:r w:rsidRPr="00696129">
        <w:rPr>
          <w:rFonts w:ascii="Century Gothic" w:eastAsia="Times New Roman" w:hAnsi="Century Gothic" w:cs="Arial"/>
          <w:bCs/>
          <w:szCs w:val="24"/>
          <w:lang w:val="es-ES" w:eastAsia="es-ES"/>
        </w:rPr>
        <w:t>Las partes y el Ministerio Público guardaron silencio (</w:t>
      </w:r>
      <w:proofErr w:type="spellStart"/>
      <w:r w:rsidRPr="00696129">
        <w:rPr>
          <w:rFonts w:ascii="Century Gothic" w:eastAsia="Times New Roman" w:hAnsi="Century Gothic" w:cs="Arial"/>
          <w:bCs/>
          <w:szCs w:val="24"/>
          <w:lang w:val="es-ES" w:eastAsia="es-ES"/>
        </w:rPr>
        <w:t>fl</w:t>
      </w:r>
      <w:proofErr w:type="spellEnd"/>
      <w:r w:rsidRPr="00696129">
        <w:rPr>
          <w:rFonts w:ascii="Century Gothic" w:eastAsia="Times New Roman" w:hAnsi="Century Gothic" w:cs="Arial"/>
          <w:bCs/>
          <w:szCs w:val="24"/>
          <w:lang w:val="es-ES" w:eastAsia="es-ES"/>
        </w:rPr>
        <w:t xml:space="preserve">. 161, C. </w:t>
      </w:r>
      <w:proofErr w:type="spellStart"/>
      <w:r w:rsidRPr="00696129">
        <w:rPr>
          <w:rFonts w:ascii="Century Gothic" w:eastAsia="Times New Roman" w:hAnsi="Century Gothic" w:cs="Arial"/>
          <w:bCs/>
          <w:szCs w:val="24"/>
          <w:lang w:val="es-ES" w:eastAsia="es-ES"/>
        </w:rPr>
        <w:t>Ppal</w:t>
      </w:r>
      <w:proofErr w:type="spellEnd"/>
      <w:r w:rsidRPr="00696129">
        <w:rPr>
          <w:rFonts w:ascii="Century Gothic" w:eastAsia="Times New Roman" w:hAnsi="Century Gothic" w:cs="Arial"/>
          <w:bCs/>
          <w:szCs w:val="24"/>
          <w:lang w:val="es-ES" w:eastAsia="es-ES"/>
        </w:rPr>
        <w:t>).</w:t>
      </w:r>
    </w:p>
    <w:p w14:paraId="2424A61A" w14:textId="77777777" w:rsidR="00A255D4" w:rsidRPr="00696129" w:rsidRDefault="00A255D4" w:rsidP="00A255D4">
      <w:pPr>
        <w:spacing w:line="600" w:lineRule="auto"/>
        <w:jc w:val="both"/>
        <w:rPr>
          <w:rFonts w:ascii="Century Gothic" w:hAnsi="Century Gothic"/>
          <w:bCs/>
          <w:szCs w:val="24"/>
        </w:rPr>
      </w:pPr>
    </w:p>
    <w:p w14:paraId="2D04ED84" w14:textId="77777777" w:rsidR="00A255D4" w:rsidRPr="00696129" w:rsidRDefault="00A255D4" w:rsidP="00A255D4">
      <w:pPr>
        <w:spacing w:line="360" w:lineRule="auto"/>
        <w:ind w:left="708" w:hanging="708"/>
        <w:jc w:val="center"/>
        <w:rPr>
          <w:rFonts w:ascii="Century Gothic" w:hAnsi="Century Gothic"/>
          <w:bCs/>
          <w:szCs w:val="24"/>
        </w:rPr>
      </w:pPr>
      <w:r w:rsidRPr="00696129">
        <w:rPr>
          <w:rFonts w:ascii="Century Gothic" w:hAnsi="Century Gothic" w:cs="Arial"/>
          <w:b/>
          <w:bCs/>
          <w:szCs w:val="24"/>
        </w:rPr>
        <w:lastRenderedPageBreak/>
        <w:t>VI. C O N S I D E R A C I O N E S</w:t>
      </w:r>
    </w:p>
    <w:p w14:paraId="3118B207" w14:textId="77777777" w:rsidR="00A255D4" w:rsidRPr="00696129" w:rsidRDefault="00A255D4" w:rsidP="00A255D4">
      <w:pPr>
        <w:spacing w:line="480" w:lineRule="auto"/>
        <w:jc w:val="center"/>
        <w:rPr>
          <w:rFonts w:ascii="Century Gothic" w:hAnsi="Century Gothic"/>
          <w:bCs/>
          <w:szCs w:val="24"/>
        </w:rPr>
      </w:pPr>
    </w:p>
    <w:p w14:paraId="1B727E8D" w14:textId="77777777" w:rsidR="00A255D4" w:rsidRPr="00696129" w:rsidRDefault="00A255D4" w:rsidP="00A255D4">
      <w:pPr>
        <w:spacing w:line="360" w:lineRule="auto"/>
        <w:jc w:val="both"/>
        <w:rPr>
          <w:rFonts w:ascii="Century Gothic" w:hAnsi="Century Gothic"/>
          <w:b/>
          <w:bCs/>
          <w:szCs w:val="24"/>
        </w:rPr>
      </w:pPr>
      <w:r w:rsidRPr="00696129">
        <w:rPr>
          <w:rFonts w:ascii="Century Gothic" w:hAnsi="Century Gothic"/>
          <w:b/>
          <w:bCs/>
          <w:szCs w:val="24"/>
        </w:rPr>
        <w:t>1. Competencia</w:t>
      </w:r>
    </w:p>
    <w:p w14:paraId="126DB00E" w14:textId="77777777" w:rsidR="00A255D4" w:rsidRPr="00696129" w:rsidRDefault="00A255D4" w:rsidP="00A255D4">
      <w:pPr>
        <w:spacing w:line="360" w:lineRule="auto"/>
        <w:jc w:val="both"/>
        <w:rPr>
          <w:rFonts w:ascii="Century Gothic" w:hAnsi="Century Gothic"/>
          <w:b/>
          <w:bCs/>
          <w:szCs w:val="24"/>
        </w:rPr>
      </w:pPr>
    </w:p>
    <w:p w14:paraId="1507D1D8" w14:textId="77777777" w:rsidR="00A255D4" w:rsidRPr="00696129" w:rsidRDefault="00A255D4" w:rsidP="00A255D4">
      <w:pPr>
        <w:pStyle w:val="Textoindependiente"/>
        <w:spacing w:after="0" w:line="360" w:lineRule="auto"/>
        <w:jc w:val="both"/>
        <w:rPr>
          <w:rFonts w:ascii="Century Gothic" w:hAnsi="Century Gothic" w:cs="Arial"/>
          <w:sz w:val="22"/>
          <w:szCs w:val="22"/>
          <w:lang w:val="es-CO"/>
        </w:rPr>
      </w:pPr>
      <w:r w:rsidRPr="00696129">
        <w:rPr>
          <w:rFonts w:ascii="Century Gothic" w:hAnsi="Century Gothic" w:cs="Arial"/>
          <w:sz w:val="22"/>
          <w:szCs w:val="22"/>
          <w:lang w:val="es-CO"/>
        </w:rPr>
        <w:t>El Consejo de Estado es competente para conocer en segunda instancia de las apelaciones de sentencias dictadas por los tribunales administrativos, de conformidad con lo establecido en el artículo 129 del Código Contencioso Administrativo; además, el artículo 13 del Acuerdo 80 del 12 de marzo de 2019, expedido por esta corporación, preceptúa que la Sección Tercera conoce de los procesos de simple nulidad de actos administrativos que versen sobre asuntos contractuales</w:t>
      </w:r>
      <w:r w:rsidRPr="00696129">
        <w:rPr>
          <w:rStyle w:val="Refdenotaalpie"/>
          <w:rFonts w:ascii="Century Gothic" w:hAnsi="Century Gothic" w:cs="Arial"/>
          <w:sz w:val="22"/>
          <w:szCs w:val="22"/>
          <w:lang w:val="es-CO"/>
        </w:rPr>
        <w:footnoteReference w:id="9"/>
      </w:r>
      <w:r w:rsidRPr="00696129">
        <w:rPr>
          <w:rFonts w:ascii="Century Gothic" w:hAnsi="Century Gothic" w:cs="Arial"/>
          <w:sz w:val="22"/>
          <w:szCs w:val="22"/>
          <w:lang w:val="es-CO"/>
        </w:rPr>
        <w:t>.</w:t>
      </w:r>
    </w:p>
    <w:p w14:paraId="680A0D41" w14:textId="77777777" w:rsidR="00A255D4" w:rsidRPr="00696129" w:rsidRDefault="00A255D4" w:rsidP="00A255D4">
      <w:pPr>
        <w:pStyle w:val="Textoindependiente"/>
        <w:spacing w:after="0" w:line="360" w:lineRule="auto"/>
        <w:jc w:val="both"/>
        <w:rPr>
          <w:rFonts w:ascii="Century Gothic" w:hAnsi="Century Gothic" w:cs="Arial"/>
          <w:sz w:val="22"/>
          <w:szCs w:val="22"/>
          <w:lang w:val="es-CO"/>
        </w:rPr>
      </w:pPr>
    </w:p>
    <w:p w14:paraId="64AB62E2" w14:textId="77777777" w:rsidR="00A255D4" w:rsidRPr="00696129" w:rsidRDefault="00A255D4" w:rsidP="00A255D4">
      <w:pPr>
        <w:shd w:val="clear" w:color="auto" w:fill="FFFFFF"/>
        <w:spacing w:line="360" w:lineRule="atLeast"/>
        <w:jc w:val="both"/>
        <w:rPr>
          <w:rFonts w:ascii="Century Gothic" w:hAnsi="Century Gothic"/>
          <w:b/>
          <w:bCs/>
        </w:rPr>
      </w:pPr>
      <w:r w:rsidRPr="00696129">
        <w:rPr>
          <w:rFonts w:ascii="Century Gothic" w:hAnsi="Century Gothic"/>
          <w:b/>
          <w:bCs/>
        </w:rPr>
        <w:t xml:space="preserve">2. Análisis de la Sala </w:t>
      </w:r>
    </w:p>
    <w:p w14:paraId="1DFD6400" w14:textId="77777777" w:rsidR="00A255D4" w:rsidRPr="00696129" w:rsidRDefault="00A255D4" w:rsidP="00A255D4">
      <w:pPr>
        <w:shd w:val="clear" w:color="auto" w:fill="FFFFFF"/>
        <w:spacing w:line="480" w:lineRule="auto"/>
        <w:jc w:val="both"/>
        <w:rPr>
          <w:rFonts w:ascii="Century Gothic" w:hAnsi="Century Gothic"/>
          <w:b/>
          <w:bCs/>
        </w:rPr>
      </w:pPr>
    </w:p>
    <w:p w14:paraId="1CF21D0F" w14:textId="77777777" w:rsidR="00A255D4" w:rsidRPr="00696129" w:rsidRDefault="00A255D4" w:rsidP="00A255D4">
      <w:pPr>
        <w:spacing w:line="360" w:lineRule="auto"/>
        <w:jc w:val="both"/>
        <w:rPr>
          <w:rFonts w:ascii="Century Gothic" w:eastAsia="MS Mincho" w:hAnsi="Century Gothic"/>
          <w:lang w:eastAsia="es-CO"/>
        </w:rPr>
      </w:pPr>
      <w:r w:rsidRPr="00696129">
        <w:rPr>
          <w:rFonts w:ascii="Century Gothic" w:eastAsia="MS Mincho" w:hAnsi="Century Gothic"/>
          <w:lang w:eastAsia="es-CO"/>
        </w:rPr>
        <w:t>2.1 Esta corporación ha sostenido de manera pacífica y reiterada que la acción de nulidad es de naturaleza objetiva, pública y popular. Por medio de ella, cualquier persona (directamente o por intermedio de apoderado) puede solicitar ante la jurisdicción contenciosa administrativa la anulación de un acto administrativo, siempre y cuando se encuentre incurso en alguna de las causales de nulidad establecidas en la ley.</w:t>
      </w:r>
    </w:p>
    <w:p w14:paraId="0F517FC0" w14:textId="77777777" w:rsidR="00A255D4" w:rsidRPr="00696129" w:rsidRDefault="00A255D4" w:rsidP="00A255D4">
      <w:pPr>
        <w:spacing w:line="360" w:lineRule="auto"/>
        <w:jc w:val="both"/>
        <w:rPr>
          <w:rFonts w:ascii="Century Gothic" w:eastAsia="MS Mincho" w:hAnsi="Century Gothic"/>
          <w:lang w:eastAsia="es-CO"/>
        </w:rPr>
      </w:pPr>
    </w:p>
    <w:p w14:paraId="449E9E2D" w14:textId="77777777" w:rsidR="00A255D4" w:rsidRPr="00696129" w:rsidRDefault="00A255D4" w:rsidP="00A255D4">
      <w:pPr>
        <w:spacing w:line="360" w:lineRule="auto"/>
        <w:jc w:val="both"/>
        <w:rPr>
          <w:rFonts w:ascii="Century Gothic" w:eastAsia="MS Mincho" w:hAnsi="Century Gothic"/>
          <w:lang w:eastAsia="es-CO"/>
        </w:rPr>
      </w:pPr>
      <w:r w:rsidRPr="00696129">
        <w:rPr>
          <w:rFonts w:ascii="Century Gothic" w:eastAsia="MS Mincho" w:hAnsi="Century Gothic"/>
          <w:lang w:eastAsia="es-CO"/>
        </w:rPr>
        <w:t xml:space="preserve">Se califica de objetiva en la medida en que, a través de su ejercicio, sólo se puede obtener la preservación del ordenamiento jurídico; por tanto, implica el desarrollo de una pretensión de carácter general dirigida a restablecer la juridicidad, en aras del interés general y del principio de legalidad. Lo objetivo de la acción implica, así mismo, una especial técnica de impugnación por parte del ciudadano interesado y de análisis jurídico por parte del juzgador, pues se trata de la confrontación entre una norma superior que se argumenta trasgredida –o violentada– y un acto administrativo al cual se le atribuye la infortunada virtud de ser causante de la trasgresión o de la violación. La acción de nulidad no conlleva pretensión diferente a la legalidad y, por ello, no le </w:t>
      </w:r>
      <w:r w:rsidRPr="00696129">
        <w:rPr>
          <w:rFonts w:ascii="Century Gothic" w:eastAsia="MS Mincho" w:hAnsi="Century Gothic"/>
          <w:lang w:eastAsia="es-CO"/>
        </w:rPr>
        <w:lastRenderedPageBreak/>
        <w:t>corresponde al juez hacer ningún pronunciamiento respecto de la situación de las personas sobre las cuales el acto declarado nulo produjo efectos.</w:t>
      </w:r>
    </w:p>
    <w:p w14:paraId="1426EB62" w14:textId="77777777" w:rsidR="00A255D4" w:rsidRPr="00696129" w:rsidRDefault="00A255D4" w:rsidP="00A255D4">
      <w:pPr>
        <w:spacing w:line="360" w:lineRule="auto"/>
        <w:jc w:val="both"/>
        <w:rPr>
          <w:rFonts w:ascii="Century Gothic" w:eastAsia="MS Mincho" w:hAnsi="Century Gothic"/>
          <w:lang w:eastAsia="es-CO"/>
        </w:rPr>
      </w:pPr>
    </w:p>
    <w:p w14:paraId="3420C992" w14:textId="77777777" w:rsidR="00A255D4" w:rsidRPr="00696129" w:rsidRDefault="00A255D4" w:rsidP="00A255D4">
      <w:pPr>
        <w:spacing w:line="360" w:lineRule="auto"/>
        <w:jc w:val="both"/>
        <w:rPr>
          <w:rFonts w:ascii="Century Gothic" w:eastAsia="MS Mincho" w:hAnsi="Century Gothic"/>
          <w:lang w:eastAsia="es-CO"/>
        </w:rPr>
      </w:pPr>
      <w:r w:rsidRPr="00696129">
        <w:rPr>
          <w:rFonts w:ascii="Century Gothic" w:eastAsia="MS Mincho" w:hAnsi="Century Gothic"/>
          <w:lang w:eastAsia="es-CO"/>
        </w:rPr>
        <w:t>Históricamente se ha considerado que el mantenimiento del ordenamiento jurídico es una responsabilidad pública, por lo cual cualquier persona que advierta posibles rupturas al mismo, ocasionadas con la entrada en vigencia de un acto administrativo, se encuentra legitimada para defenderlo con los mecanismos legales, entre estos, con la acción de nulidad y de ahí que se predique su carácter de pública y popular, en la medida en que la preservación del sistema jurídico no puede ser exclusivamente de interés de unos pocos o una carga funcional privativa de las autoridades.</w:t>
      </w:r>
    </w:p>
    <w:p w14:paraId="68E1BE01" w14:textId="77777777" w:rsidR="00A255D4" w:rsidRPr="00696129" w:rsidRDefault="00A255D4" w:rsidP="00A255D4">
      <w:pPr>
        <w:spacing w:line="360" w:lineRule="auto"/>
        <w:jc w:val="both"/>
        <w:rPr>
          <w:rFonts w:ascii="Century Gothic" w:eastAsia="MS Mincho" w:hAnsi="Century Gothic"/>
          <w:lang w:val="es-MX" w:eastAsia="es-CO"/>
        </w:rPr>
      </w:pPr>
      <w:r w:rsidRPr="00696129">
        <w:rPr>
          <w:rFonts w:ascii="Century Gothic" w:eastAsia="MS Mincho" w:hAnsi="Century Gothic"/>
          <w:lang w:eastAsia="es-CO"/>
        </w:rPr>
        <w:t xml:space="preserve">Referirse a la acción de nulidad en materia contenciosa administrativa es acercarse, </w:t>
      </w:r>
      <w:proofErr w:type="gramStart"/>
      <w:r w:rsidRPr="00696129">
        <w:rPr>
          <w:rFonts w:ascii="Century Gothic" w:eastAsia="MS Mincho" w:hAnsi="Century Gothic"/>
          <w:lang w:eastAsia="es-CO"/>
        </w:rPr>
        <w:t>sin lugar a dudas</w:t>
      </w:r>
      <w:proofErr w:type="gramEnd"/>
      <w:r w:rsidRPr="00696129">
        <w:rPr>
          <w:rFonts w:ascii="Century Gothic" w:eastAsia="MS Mincho" w:hAnsi="Century Gothic"/>
          <w:lang w:eastAsia="es-CO"/>
        </w:rPr>
        <w:t>, a un importante juicio de constitucionalidad y de legalidad sobre los actos de quienes ejercen funciones administrativas, con el fin de que sea revisada –por parte de la autoridad contenciosa correspondiente– su conformidad o no con el ordenamiento jurídico</w:t>
      </w:r>
      <w:r w:rsidRPr="00696129">
        <w:rPr>
          <w:rFonts w:ascii="Century Gothic" w:eastAsia="MS Mincho" w:hAnsi="Century Gothic"/>
          <w:vertAlign w:val="superscript"/>
          <w:lang w:eastAsia="es-CO"/>
        </w:rPr>
        <w:footnoteReference w:id="10"/>
      </w:r>
      <w:r w:rsidRPr="00696129">
        <w:rPr>
          <w:rFonts w:ascii="Century Gothic" w:eastAsia="MS Mincho" w:hAnsi="Century Gothic"/>
          <w:lang w:eastAsia="es-CO"/>
        </w:rPr>
        <w:t xml:space="preserve">. De manera específica, el Código Contencioso Administrativo (vigente para el momento en que se expidió el acto acusado) indica para esto cuáles son los casos frente a los cuales puede decirse que un acto </w:t>
      </w:r>
      <w:r w:rsidRPr="00696129">
        <w:rPr>
          <w:rFonts w:ascii="Century Gothic" w:eastAsia="MS Mincho" w:hAnsi="Century Gothic"/>
          <w:lang w:val="es-MX" w:eastAsia="es-CO"/>
        </w:rPr>
        <w:t xml:space="preserve">administrativo está afectado de nulidad (art. 84), a saber: </w:t>
      </w:r>
    </w:p>
    <w:p w14:paraId="37430FA5" w14:textId="77777777" w:rsidR="00A255D4" w:rsidRPr="00696129" w:rsidRDefault="00A255D4" w:rsidP="00A255D4">
      <w:pPr>
        <w:spacing w:line="360" w:lineRule="auto"/>
        <w:jc w:val="both"/>
        <w:rPr>
          <w:rFonts w:ascii="Century Gothic" w:eastAsia="MS Mincho" w:hAnsi="Century Gothic"/>
          <w:lang w:val="es-MX" w:eastAsia="es-CO"/>
        </w:rPr>
      </w:pPr>
    </w:p>
    <w:p w14:paraId="22BBFA45" w14:textId="77777777" w:rsidR="00A255D4" w:rsidRPr="00696129" w:rsidRDefault="00A255D4" w:rsidP="00A255D4">
      <w:pPr>
        <w:numPr>
          <w:ilvl w:val="0"/>
          <w:numId w:val="7"/>
        </w:numPr>
        <w:spacing w:after="0" w:line="360" w:lineRule="auto"/>
        <w:jc w:val="both"/>
        <w:rPr>
          <w:rFonts w:ascii="Century Gothic" w:eastAsia="MS Mincho" w:hAnsi="Century Gothic"/>
          <w:lang w:val="es-MX" w:eastAsia="es-CO"/>
        </w:rPr>
      </w:pPr>
      <w:r w:rsidRPr="00696129">
        <w:rPr>
          <w:rFonts w:ascii="Century Gothic" w:eastAsia="MS Mincho" w:hAnsi="Century Gothic"/>
          <w:lang w:val="es-MX" w:eastAsia="es-CO"/>
        </w:rPr>
        <w:t>Cuando el acto haya sido expedido con infracción de las normas en que debería fundarse (vicio de contenido).</w:t>
      </w:r>
    </w:p>
    <w:p w14:paraId="207CEDEE" w14:textId="77777777" w:rsidR="00A255D4" w:rsidRPr="00696129" w:rsidRDefault="00A255D4" w:rsidP="00A255D4">
      <w:pPr>
        <w:ind w:left="720"/>
        <w:jc w:val="both"/>
        <w:rPr>
          <w:rFonts w:ascii="Century Gothic" w:eastAsia="MS Mincho" w:hAnsi="Century Gothic"/>
          <w:lang w:val="es-MX" w:eastAsia="es-CO"/>
        </w:rPr>
      </w:pPr>
    </w:p>
    <w:p w14:paraId="73C07429" w14:textId="77777777" w:rsidR="00A255D4" w:rsidRPr="00696129" w:rsidRDefault="00A255D4" w:rsidP="00A255D4">
      <w:pPr>
        <w:numPr>
          <w:ilvl w:val="0"/>
          <w:numId w:val="7"/>
        </w:numPr>
        <w:spacing w:after="0" w:line="360" w:lineRule="auto"/>
        <w:jc w:val="both"/>
        <w:rPr>
          <w:rFonts w:ascii="Century Gothic" w:eastAsia="MS Mincho" w:hAnsi="Century Gothic"/>
          <w:lang w:val="es-MX" w:eastAsia="es-CO"/>
        </w:rPr>
      </w:pPr>
      <w:r w:rsidRPr="00696129">
        <w:rPr>
          <w:rFonts w:ascii="Century Gothic" w:eastAsia="MS Mincho" w:hAnsi="Century Gothic"/>
          <w:lang w:val="es-MX" w:eastAsia="es-CO"/>
        </w:rPr>
        <w:t>Cuando quien expida el acto no tenga competencia para hacerlo (vicio de competencia).</w:t>
      </w:r>
    </w:p>
    <w:p w14:paraId="39354BA5" w14:textId="77777777" w:rsidR="00A255D4" w:rsidRPr="00696129" w:rsidRDefault="00A255D4" w:rsidP="00A255D4">
      <w:pPr>
        <w:pStyle w:val="Prrafodelista"/>
        <w:rPr>
          <w:rFonts w:ascii="Century Gothic" w:eastAsia="MS Mincho" w:hAnsi="Century Gothic"/>
          <w:lang w:val="es-MX" w:eastAsia="es-CO"/>
        </w:rPr>
      </w:pPr>
    </w:p>
    <w:p w14:paraId="4CA3D16E" w14:textId="77777777" w:rsidR="00A255D4" w:rsidRPr="00696129" w:rsidRDefault="00A255D4" w:rsidP="00A255D4">
      <w:pPr>
        <w:numPr>
          <w:ilvl w:val="0"/>
          <w:numId w:val="7"/>
        </w:numPr>
        <w:spacing w:after="0" w:line="360" w:lineRule="auto"/>
        <w:jc w:val="both"/>
        <w:rPr>
          <w:rFonts w:ascii="Century Gothic" w:eastAsia="MS Mincho" w:hAnsi="Century Gothic"/>
          <w:lang w:val="es-MX" w:eastAsia="es-CO"/>
        </w:rPr>
      </w:pPr>
      <w:r w:rsidRPr="00696129">
        <w:rPr>
          <w:rFonts w:ascii="Century Gothic" w:eastAsia="MS Mincho" w:hAnsi="Century Gothic"/>
          <w:b/>
          <w:lang w:val="es-MX" w:eastAsia="es-CO"/>
        </w:rPr>
        <w:t>Cuando el acto se expida de forma irregular</w:t>
      </w:r>
      <w:r w:rsidRPr="00696129">
        <w:rPr>
          <w:rFonts w:ascii="Century Gothic" w:eastAsia="MS Mincho" w:hAnsi="Century Gothic"/>
          <w:lang w:val="es-MX" w:eastAsia="es-CO"/>
        </w:rPr>
        <w:t xml:space="preserve"> (vicio de forma).</w:t>
      </w:r>
    </w:p>
    <w:p w14:paraId="43A656A8" w14:textId="77777777" w:rsidR="00A255D4" w:rsidRPr="00696129" w:rsidRDefault="00A255D4" w:rsidP="00A255D4">
      <w:pPr>
        <w:pStyle w:val="Prrafodelista"/>
        <w:rPr>
          <w:rFonts w:ascii="Century Gothic" w:eastAsia="MS Mincho" w:hAnsi="Century Gothic"/>
          <w:lang w:val="es-MX" w:eastAsia="es-CO"/>
        </w:rPr>
      </w:pPr>
    </w:p>
    <w:p w14:paraId="5F5741DF" w14:textId="77777777" w:rsidR="00A255D4" w:rsidRPr="00696129" w:rsidRDefault="00A255D4" w:rsidP="00A255D4">
      <w:pPr>
        <w:numPr>
          <w:ilvl w:val="0"/>
          <w:numId w:val="7"/>
        </w:numPr>
        <w:spacing w:after="0" w:line="360" w:lineRule="auto"/>
        <w:jc w:val="both"/>
        <w:rPr>
          <w:rFonts w:ascii="Century Gothic" w:eastAsia="MS Mincho" w:hAnsi="Century Gothic"/>
          <w:lang w:val="es-MX" w:eastAsia="es-CO"/>
        </w:rPr>
      </w:pPr>
      <w:r w:rsidRPr="00696129">
        <w:rPr>
          <w:rFonts w:ascii="Century Gothic" w:eastAsia="MS Mincho" w:hAnsi="Century Gothic"/>
          <w:lang w:val="es-MX" w:eastAsia="es-CO"/>
        </w:rPr>
        <w:t xml:space="preserve">Cuando en la expedición del acto se desconocen los derechos de audiencia y de defensa del interesado (causal relacionada con la expedición irregular). </w:t>
      </w:r>
    </w:p>
    <w:p w14:paraId="3186F5DC" w14:textId="77777777" w:rsidR="00A255D4" w:rsidRPr="00696129" w:rsidRDefault="00A255D4" w:rsidP="00A255D4">
      <w:pPr>
        <w:pStyle w:val="Prrafodelista"/>
        <w:rPr>
          <w:rFonts w:ascii="Century Gothic" w:eastAsia="MS Mincho" w:hAnsi="Century Gothic"/>
          <w:lang w:val="es-MX" w:eastAsia="es-CO"/>
        </w:rPr>
      </w:pPr>
    </w:p>
    <w:p w14:paraId="2192B757" w14:textId="77777777" w:rsidR="00A255D4" w:rsidRPr="00696129" w:rsidRDefault="00A255D4" w:rsidP="00A255D4">
      <w:pPr>
        <w:numPr>
          <w:ilvl w:val="0"/>
          <w:numId w:val="7"/>
        </w:numPr>
        <w:spacing w:after="0" w:line="360" w:lineRule="auto"/>
        <w:jc w:val="both"/>
        <w:rPr>
          <w:rFonts w:ascii="Century Gothic" w:eastAsia="MS Mincho" w:hAnsi="Century Gothic"/>
          <w:lang w:val="es-MX" w:eastAsia="es-CO"/>
        </w:rPr>
      </w:pPr>
      <w:r w:rsidRPr="00696129">
        <w:rPr>
          <w:rFonts w:ascii="Century Gothic" w:eastAsia="MS Mincho" w:hAnsi="Century Gothic"/>
          <w:lang w:val="es-MX" w:eastAsia="es-CO"/>
        </w:rPr>
        <w:t>Cuando el acto se expida con falsa motivación (vicio de motivo).</w:t>
      </w:r>
    </w:p>
    <w:p w14:paraId="149043D9" w14:textId="77777777" w:rsidR="00A255D4" w:rsidRPr="00696129" w:rsidRDefault="00A255D4" w:rsidP="00A255D4">
      <w:pPr>
        <w:pStyle w:val="Prrafodelista"/>
        <w:rPr>
          <w:rFonts w:ascii="Century Gothic" w:eastAsia="MS Mincho" w:hAnsi="Century Gothic"/>
          <w:lang w:val="es-MX" w:eastAsia="es-CO"/>
        </w:rPr>
      </w:pPr>
    </w:p>
    <w:p w14:paraId="7D879AFE" w14:textId="77777777" w:rsidR="00A255D4" w:rsidRPr="00696129" w:rsidRDefault="00A255D4" w:rsidP="00A255D4">
      <w:pPr>
        <w:numPr>
          <w:ilvl w:val="0"/>
          <w:numId w:val="7"/>
        </w:numPr>
        <w:spacing w:after="0" w:line="360" w:lineRule="auto"/>
        <w:jc w:val="both"/>
        <w:rPr>
          <w:rFonts w:ascii="Century Gothic" w:eastAsia="MS Mincho" w:hAnsi="Century Gothic"/>
          <w:lang w:val="es-MX" w:eastAsia="es-CO"/>
        </w:rPr>
      </w:pPr>
      <w:r w:rsidRPr="00696129">
        <w:rPr>
          <w:rFonts w:ascii="Century Gothic" w:eastAsia="MS Mincho" w:hAnsi="Century Gothic"/>
          <w:lang w:val="es-MX" w:eastAsia="es-CO"/>
        </w:rPr>
        <w:t>Cuando se expida con desviación de las atribuciones propias de quien lo profirió (vicio de finalidad).</w:t>
      </w:r>
    </w:p>
    <w:p w14:paraId="56520732" w14:textId="77777777" w:rsidR="00A255D4" w:rsidRPr="00696129" w:rsidRDefault="00A255D4" w:rsidP="00A255D4">
      <w:pPr>
        <w:spacing w:line="360" w:lineRule="auto"/>
        <w:jc w:val="both"/>
        <w:rPr>
          <w:rFonts w:ascii="Century Gothic" w:eastAsia="MS Mincho" w:hAnsi="Century Gothic"/>
          <w:b/>
          <w:bCs/>
          <w:lang w:eastAsia="es-CO"/>
        </w:rPr>
      </w:pPr>
    </w:p>
    <w:p w14:paraId="23EAEBFF" w14:textId="77777777" w:rsidR="00A255D4" w:rsidRPr="00696129" w:rsidRDefault="00A255D4" w:rsidP="00A255D4">
      <w:pPr>
        <w:spacing w:line="360" w:lineRule="auto"/>
        <w:contextualSpacing/>
        <w:jc w:val="both"/>
        <w:rPr>
          <w:rFonts w:ascii="Century Gothic" w:hAnsi="Century Gothic" w:cs="Arial"/>
          <w:lang w:val="es-ES"/>
        </w:rPr>
      </w:pPr>
      <w:r w:rsidRPr="00696129">
        <w:rPr>
          <w:rFonts w:ascii="Century Gothic" w:hAnsi="Century Gothic" w:cs="Arial"/>
        </w:rPr>
        <w:t xml:space="preserve">En cuanto al vicio de forma, esto es, la expedición irregular, es de anotar que se presenta cuando la administración no se ajusta a los procedimientos establecidos para manifestar su voluntad, así como cuando la decisión de la administración viola las normas de orden adjetivo que establecen el procedimiento para la formación del acto o la manera como éste debe presentarse; en efecto, </w:t>
      </w:r>
      <w:r w:rsidRPr="00696129">
        <w:rPr>
          <w:rFonts w:ascii="Century Gothic" w:hAnsi="Century Gothic" w:cs="Arial"/>
          <w:lang w:val="es-ES"/>
        </w:rPr>
        <w:t>cuando el acto es expedido con vicios en su trámite debe verificarse si éstos tienen la vocación de incidir en el sentido de la decisión, de tal manera que si la irregularidad en el proceso logra afectarlo –por ser sustancial o trascendente– el acto administrativo es anulable. En el caso contrario, es decir, cuando el defecto es intrascendente, pues no se altera la decisión ni la voluntad de quien lo expide, no hay lugar a decretar su anulación</w:t>
      </w:r>
      <w:r w:rsidRPr="00696129">
        <w:rPr>
          <w:rFonts w:ascii="Century Gothic" w:hAnsi="Century Gothic" w:cs="Arial"/>
          <w:vertAlign w:val="superscript"/>
        </w:rPr>
        <w:footnoteReference w:id="11"/>
      </w:r>
      <w:r w:rsidRPr="00696129">
        <w:rPr>
          <w:rFonts w:ascii="Century Gothic" w:hAnsi="Century Gothic" w:cs="Arial"/>
          <w:lang w:val="es-ES"/>
        </w:rPr>
        <w:t>.</w:t>
      </w:r>
    </w:p>
    <w:p w14:paraId="066C5F85" w14:textId="77777777" w:rsidR="00A255D4" w:rsidRPr="00696129" w:rsidRDefault="00A255D4" w:rsidP="00A255D4">
      <w:pPr>
        <w:spacing w:line="360" w:lineRule="auto"/>
        <w:contextualSpacing/>
        <w:jc w:val="both"/>
        <w:rPr>
          <w:rFonts w:ascii="Century Gothic" w:hAnsi="Century Gothic" w:cs="Arial"/>
        </w:rPr>
      </w:pPr>
    </w:p>
    <w:p w14:paraId="0699288B" w14:textId="77777777" w:rsidR="00A255D4" w:rsidRPr="00696129" w:rsidRDefault="00A255D4" w:rsidP="00A255D4">
      <w:pPr>
        <w:spacing w:line="360" w:lineRule="auto"/>
        <w:contextualSpacing/>
        <w:jc w:val="both"/>
        <w:rPr>
          <w:rFonts w:ascii="Century Gothic" w:hAnsi="Century Gothic" w:cs="Arial"/>
          <w:lang w:val="es-ES"/>
        </w:rPr>
      </w:pPr>
      <w:r w:rsidRPr="00696129">
        <w:rPr>
          <w:rFonts w:ascii="Century Gothic" w:hAnsi="Century Gothic" w:cs="Arial"/>
        </w:rPr>
        <w:t xml:space="preserve">Las irregularidades que se presenten en el proceso de formación de un acto se estudian a través de lo que la doctrina ha denominado </w:t>
      </w:r>
      <w:r w:rsidRPr="00696129">
        <w:rPr>
          <w:rFonts w:ascii="Century Gothic" w:hAnsi="Century Gothic" w:cs="Arial"/>
          <w:i/>
        </w:rPr>
        <w:t>causal de expedición irregular</w:t>
      </w:r>
      <w:r w:rsidRPr="00696129">
        <w:rPr>
          <w:rFonts w:ascii="Century Gothic" w:hAnsi="Century Gothic" w:cs="Arial"/>
        </w:rPr>
        <w:t>, la cual se materializa cuando se vulnera el debido proceso en la formación del acto administrativo, es decir, cuando la actuación administrativa se realiza con anomalías sustanciales</w:t>
      </w:r>
      <w:r w:rsidRPr="00696129">
        <w:rPr>
          <w:rStyle w:val="Refdenotaalpie"/>
          <w:rFonts w:ascii="Century Gothic" w:hAnsi="Century Gothic" w:cs="Arial"/>
        </w:rPr>
        <w:footnoteReference w:id="12"/>
      </w:r>
      <w:r w:rsidRPr="00696129">
        <w:rPr>
          <w:rFonts w:ascii="Century Gothic" w:hAnsi="Century Gothic" w:cs="Arial"/>
        </w:rPr>
        <w:t xml:space="preserve">. </w:t>
      </w:r>
      <w:r w:rsidRPr="00696129">
        <w:rPr>
          <w:rFonts w:ascii="Century Gothic" w:hAnsi="Century Gothic" w:cs="Arial"/>
          <w:lang w:val="es-ES"/>
        </w:rPr>
        <w:t xml:space="preserve">Sobre el particular, esta Corporación señaló: </w:t>
      </w:r>
    </w:p>
    <w:p w14:paraId="3CB50AF4" w14:textId="77777777" w:rsidR="00A255D4" w:rsidRPr="00696129" w:rsidRDefault="00A255D4" w:rsidP="00A255D4">
      <w:pPr>
        <w:spacing w:line="360" w:lineRule="auto"/>
        <w:jc w:val="both"/>
        <w:rPr>
          <w:rFonts w:ascii="Century Gothic" w:hAnsi="Century Gothic" w:cs="Arial"/>
          <w:lang w:val="es-ES"/>
        </w:rPr>
      </w:pPr>
    </w:p>
    <w:p w14:paraId="0871FDCC" w14:textId="77777777" w:rsidR="00A255D4" w:rsidRPr="00696129" w:rsidRDefault="00A255D4" w:rsidP="00A255D4">
      <w:pPr>
        <w:ind w:left="567" w:right="567"/>
        <w:jc w:val="both"/>
        <w:rPr>
          <w:rFonts w:ascii="Century Gothic" w:hAnsi="Century Gothic" w:cs="Arial"/>
          <w:i/>
          <w:lang w:val="es-ES"/>
        </w:rPr>
      </w:pPr>
      <w:r w:rsidRPr="00696129">
        <w:rPr>
          <w:rFonts w:ascii="Century Gothic" w:hAnsi="Century Gothic" w:cs="Arial"/>
          <w:i/>
          <w:lang w:val="es-ES_tradnl"/>
        </w:rPr>
        <w:t>“Dicho vicio [expedición irregular] corresponde a aquel referido a las irregularidades sustanciales que tengan lugar en la expedición del acto, vale decir, el que se presenta cuando el acto se expide omitiendo las formalidades y trámites del caso que resulten determinantes en la decisión definitiva”</w:t>
      </w:r>
      <w:r w:rsidRPr="00696129">
        <w:rPr>
          <w:rFonts w:ascii="Century Gothic" w:hAnsi="Century Gothic" w:cs="Arial"/>
          <w:vertAlign w:val="superscript"/>
          <w:lang w:val="es-ES_tradnl"/>
        </w:rPr>
        <w:footnoteReference w:id="13"/>
      </w:r>
      <w:r w:rsidRPr="00696129">
        <w:rPr>
          <w:rFonts w:ascii="Century Gothic" w:hAnsi="Century Gothic" w:cs="Arial"/>
          <w:i/>
          <w:lang w:val="es-ES_tradnl"/>
        </w:rPr>
        <w:t xml:space="preserve">. </w:t>
      </w:r>
    </w:p>
    <w:p w14:paraId="182235B5" w14:textId="77777777" w:rsidR="00A255D4" w:rsidRPr="00696129" w:rsidRDefault="00A255D4" w:rsidP="00A255D4">
      <w:pPr>
        <w:spacing w:line="480" w:lineRule="auto"/>
        <w:jc w:val="both"/>
        <w:rPr>
          <w:rFonts w:ascii="Century Gothic" w:hAnsi="Century Gothic" w:cs="Arial"/>
        </w:rPr>
      </w:pPr>
    </w:p>
    <w:p w14:paraId="737315E0" w14:textId="77777777" w:rsidR="00A255D4" w:rsidRPr="00696129" w:rsidRDefault="00A255D4" w:rsidP="00A255D4">
      <w:pPr>
        <w:spacing w:line="360" w:lineRule="auto"/>
        <w:jc w:val="both"/>
        <w:rPr>
          <w:rFonts w:ascii="Century Gothic" w:hAnsi="Century Gothic" w:cs="Arial"/>
        </w:rPr>
      </w:pPr>
      <w:r w:rsidRPr="00696129">
        <w:rPr>
          <w:rFonts w:ascii="Century Gothic" w:hAnsi="Century Gothic" w:cs="Arial"/>
        </w:rPr>
        <w:t>Así las cosas, el vicio en la formación del acto debe ser de tal magnitud que afecte su esencia misma, pues no todas las irregularidades tienen la potencialidad de desvirtuar la presunción de legalidad; en otras palabras, la anomalía que se presente debe ser sustancial, trascendental y con incidencia directa en la formación del acto administrativo.</w:t>
      </w:r>
    </w:p>
    <w:p w14:paraId="211B2A43" w14:textId="77777777" w:rsidR="00A255D4" w:rsidRPr="00696129" w:rsidRDefault="00A255D4" w:rsidP="00A255D4">
      <w:pPr>
        <w:spacing w:line="360" w:lineRule="auto"/>
        <w:jc w:val="both"/>
        <w:rPr>
          <w:rFonts w:ascii="Century Gothic" w:hAnsi="Century Gothic" w:cs="Arial"/>
        </w:rPr>
      </w:pPr>
    </w:p>
    <w:p w14:paraId="2A3117CB" w14:textId="77777777" w:rsidR="00A255D4" w:rsidRPr="00696129" w:rsidRDefault="00A255D4" w:rsidP="00A255D4">
      <w:pPr>
        <w:spacing w:line="360" w:lineRule="auto"/>
        <w:jc w:val="both"/>
        <w:rPr>
          <w:rFonts w:ascii="Century Gothic" w:hAnsi="Century Gothic" w:cs="Arial"/>
          <w:iCs/>
          <w:lang w:val="es-ES"/>
        </w:rPr>
      </w:pPr>
      <w:r w:rsidRPr="00696129">
        <w:rPr>
          <w:rFonts w:ascii="Century Gothic" w:hAnsi="Century Gothic" w:cs="Arial"/>
        </w:rPr>
        <w:t xml:space="preserve">2.2 Pues bien, con fundamento en el material que obra en el expediente se tiene por acreditado </w:t>
      </w:r>
      <w:r w:rsidRPr="00696129">
        <w:rPr>
          <w:rFonts w:ascii="Century Gothic" w:hAnsi="Century Gothic" w:cs="Arial"/>
          <w:iCs/>
          <w:lang w:val="es-ES"/>
        </w:rPr>
        <w:t xml:space="preserve">que, el 13 de marzo de 2003, la plenaria del Concejo del municipio de Puerto Colombia discutió y aprobó un proyecto de acuerdo, por medio del cual se autorizó al </w:t>
      </w:r>
      <w:r w:rsidRPr="00696129">
        <w:rPr>
          <w:rFonts w:ascii="Century Gothic" w:hAnsi="Century Gothic" w:cs="Arial"/>
          <w:iCs/>
          <w:lang w:val="es-ES"/>
        </w:rPr>
        <w:lastRenderedPageBreak/>
        <w:t xml:space="preserve">alcalde del mismo municipio para </w:t>
      </w:r>
      <w:r w:rsidRPr="00696129">
        <w:rPr>
          <w:rFonts w:ascii="Century Gothic" w:hAnsi="Century Gothic" w:cs="Arial"/>
          <w:i/>
          <w:iCs/>
          <w:lang w:val="es-ES"/>
        </w:rPr>
        <w:t>celebrar contratos de obras públicas por el sistema de concesión y se dictaron otras disposiciones</w:t>
      </w:r>
      <w:r w:rsidRPr="00696129">
        <w:rPr>
          <w:rFonts w:ascii="Century Gothic" w:hAnsi="Century Gothic" w:cs="Arial"/>
          <w:iCs/>
          <w:lang w:val="es-ES"/>
        </w:rPr>
        <w:t>; al respecto, en el acta 20 de la misma fecha se consignó [se transcribe conforme obra, inclusive con errores]:</w:t>
      </w:r>
    </w:p>
    <w:p w14:paraId="386A9D37" w14:textId="77777777" w:rsidR="00A255D4" w:rsidRPr="00696129" w:rsidRDefault="00A255D4" w:rsidP="00A255D4">
      <w:pPr>
        <w:spacing w:line="360" w:lineRule="auto"/>
        <w:jc w:val="both"/>
        <w:rPr>
          <w:rFonts w:ascii="Century Gothic" w:hAnsi="Century Gothic" w:cs="Arial"/>
          <w:iCs/>
          <w:lang w:val="es-ES"/>
        </w:rPr>
      </w:pPr>
    </w:p>
    <w:p w14:paraId="6D1E11FB" w14:textId="77777777" w:rsidR="00A255D4" w:rsidRPr="00696129" w:rsidRDefault="00A255D4" w:rsidP="00A255D4">
      <w:pPr>
        <w:pStyle w:val="Textoindependiente21"/>
        <w:spacing w:line="240" w:lineRule="auto"/>
        <w:ind w:left="567" w:right="567"/>
        <w:rPr>
          <w:rFonts w:ascii="Century Gothic" w:hAnsi="Century Gothic" w:cs="Tahoma"/>
          <w:iCs/>
          <w:sz w:val="20"/>
        </w:rPr>
      </w:pPr>
      <w:r w:rsidRPr="00696129">
        <w:rPr>
          <w:rFonts w:ascii="Century Gothic" w:hAnsi="Century Gothic" w:cs="Tahoma"/>
          <w:i/>
          <w:iCs/>
          <w:sz w:val="20"/>
        </w:rPr>
        <w:t>“… 13 de marzo de 2003 …, siendo las 6:25 p.m., se reanuda la sesión con la verificación del quórum reglamentario. Luego es anunciado el 3er punto Entrega de proyectos de Acuerdos a comisión de estudio, es leído el título del proyecto ‘POR MEDIO DEL CUAL SE CONCEDEN AUTORIZACIONES Y FACULTADES AL ALCALDE MUNICIPAL DE PUERTO COLOMBIA’ es nombrada la Comisión Primera o de Plan y bienes a los honorables concejales … Acto seguido es anunciado el 4to punto Proyecto de Acuerdo en segundo debate, es leída la ponencia del proyecto de acuerdo ‘</w:t>
      </w:r>
      <w:r w:rsidRPr="00696129">
        <w:rPr>
          <w:rFonts w:ascii="Century Gothic" w:hAnsi="Century Gothic" w:cs="Tahoma"/>
          <w:b/>
          <w:i/>
          <w:iCs/>
          <w:sz w:val="20"/>
        </w:rPr>
        <w:t>POR EL CUAL SE AUTORIZA AL ALCALDE DEL MUNICIPIO DE PUERTO COLOMBIA A CELEBRAR CONTRATOS DE OBRAS PÚBLICAS POR EL SISTEMA DE CONCESIÓN Y SE DICTAN OTRAS DISPOSICIONES</w:t>
      </w:r>
      <w:r w:rsidRPr="00696129">
        <w:rPr>
          <w:rFonts w:ascii="Century Gothic" w:hAnsi="Century Gothic" w:cs="Tahoma"/>
          <w:i/>
          <w:iCs/>
          <w:sz w:val="20"/>
        </w:rPr>
        <w:t xml:space="preserve">’ presentada por los honorables concejales … El honorable concejal … rinde ponencia favorable y solicita a la Presidencia ordene al señor secretario leer el título y articulado del proyecto … Leído el título del proyecto, sometido a consideración, la presidencia sugiere se realice la votación en forma nominal para aprobar o no el título del proyecto, arrojando como resultado un total de 13 votos afirmativos, quedando aprobado el título del proyecto. Leído el artículo primero, sometido a consideración, es aprobado, leído el artículo segundo con la inclusión de un parágrafo, sometido a consideración, es aprobado; leídos los </w:t>
      </w:r>
      <w:proofErr w:type="gramStart"/>
      <w:r w:rsidRPr="00696129">
        <w:rPr>
          <w:rFonts w:ascii="Century Gothic" w:hAnsi="Century Gothic" w:cs="Tahoma"/>
          <w:i/>
          <w:iCs/>
          <w:sz w:val="20"/>
        </w:rPr>
        <w:t>artículos tercero</w:t>
      </w:r>
      <w:proofErr w:type="gramEnd"/>
      <w:r w:rsidRPr="00696129">
        <w:rPr>
          <w:rFonts w:ascii="Century Gothic" w:hAnsi="Century Gothic" w:cs="Tahoma"/>
          <w:i/>
          <w:iCs/>
          <w:sz w:val="20"/>
        </w:rPr>
        <w:t xml:space="preserve"> con su parágrafo, cuarto y quinto, sometidos a consideración uno a uno con las modificaciones descritas en la ponencia son aprobados … La presidencia pregunta a la plenaria si quieren que este proyecto de acuerdo se convierta en Acuerdo Municipal, ésta responde afirmativamente”</w:t>
      </w:r>
      <w:r w:rsidRPr="00696129">
        <w:rPr>
          <w:rFonts w:ascii="Century Gothic" w:hAnsi="Century Gothic" w:cs="Tahoma"/>
          <w:iCs/>
          <w:sz w:val="20"/>
        </w:rPr>
        <w:t xml:space="preserve"> (</w:t>
      </w:r>
      <w:proofErr w:type="spellStart"/>
      <w:r w:rsidRPr="00696129">
        <w:rPr>
          <w:rFonts w:ascii="Century Gothic" w:hAnsi="Century Gothic" w:cs="Tahoma"/>
          <w:iCs/>
          <w:sz w:val="20"/>
        </w:rPr>
        <w:t>fls</w:t>
      </w:r>
      <w:proofErr w:type="spellEnd"/>
      <w:r w:rsidRPr="00696129">
        <w:rPr>
          <w:rFonts w:ascii="Century Gothic" w:hAnsi="Century Gothic" w:cs="Tahoma"/>
          <w:iCs/>
          <w:sz w:val="20"/>
        </w:rPr>
        <w:t>. 20 y 21 del cuaderno 1).</w:t>
      </w:r>
    </w:p>
    <w:p w14:paraId="35A4C392" w14:textId="77777777" w:rsidR="00A255D4" w:rsidRPr="00696129" w:rsidRDefault="00A255D4" w:rsidP="00A255D4">
      <w:pPr>
        <w:pStyle w:val="Textoindependiente21"/>
        <w:spacing w:line="480" w:lineRule="auto"/>
        <w:ind w:right="45"/>
        <w:rPr>
          <w:rFonts w:ascii="Century Gothic" w:hAnsi="Century Gothic" w:cs="Tahoma"/>
          <w:iCs/>
          <w:sz w:val="22"/>
          <w:szCs w:val="22"/>
        </w:rPr>
      </w:pPr>
    </w:p>
    <w:p w14:paraId="0CEF7569" w14:textId="77777777" w:rsidR="00A255D4" w:rsidRPr="00696129" w:rsidRDefault="00A255D4" w:rsidP="00A255D4">
      <w:pPr>
        <w:pStyle w:val="Textoindependiente21"/>
        <w:ind w:right="47"/>
        <w:rPr>
          <w:rFonts w:ascii="Century Gothic" w:hAnsi="Century Gothic" w:cs="Tahoma"/>
          <w:iCs/>
          <w:sz w:val="22"/>
          <w:szCs w:val="22"/>
        </w:rPr>
      </w:pPr>
      <w:r w:rsidRPr="00696129">
        <w:rPr>
          <w:rFonts w:ascii="Century Gothic" w:hAnsi="Century Gothic" w:cs="Tahoma"/>
          <w:iCs/>
          <w:sz w:val="22"/>
          <w:szCs w:val="22"/>
        </w:rPr>
        <w:t xml:space="preserve">El texto aprobado en plenaria fue el siguiente [se transcribe conforme obra, inclusive con errores]: </w:t>
      </w:r>
    </w:p>
    <w:p w14:paraId="5977E78D" w14:textId="77777777" w:rsidR="00A255D4" w:rsidRPr="00696129" w:rsidRDefault="00A255D4" w:rsidP="00A255D4">
      <w:pPr>
        <w:pStyle w:val="Textoindependiente21"/>
        <w:ind w:right="47"/>
        <w:jc w:val="center"/>
        <w:rPr>
          <w:rFonts w:ascii="Century Gothic" w:hAnsi="Century Gothic" w:cs="Tahoma"/>
          <w:i/>
          <w:iCs/>
          <w:sz w:val="22"/>
          <w:szCs w:val="22"/>
        </w:rPr>
      </w:pPr>
    </w:p>
    <w:p w14:paraId="67FB0514" w14:textId="77777777" w:rsidR="00A255D4" w:rsidRPr="00696129" w:rsidRDefault="00A255D4" w:rsidP="00A255D4">
      <w:pPr>
        <w:pStyle w:val="Textoindependiente21"/>
        <w:spacing w:line="240" w:lineRule="auto"/>
        <w:ind w:left="567" w:right="567"/>
        <w:jc w:val="center"/>
        <w:rPr>
          <w:rFonts w:ascii="Century Gothic" w:hAnsi="Century Gothic" w:cs="Tahoma"/>
          <w:i/>
          <w:iCs/>
          <w:sz w:val="20"/>
        </w:rPr>
      </w:pPr>
      <w:r w:rsidRPr="00696129">
        <w:rPr>
          <w:rFonts w:ascii="Century Gothic" w:hAnsi="Century Gothic" w:cs="Tahoma"/>
          <w:i/>
          <w:iCs/>
          <w:sz w:val="20"/>
        </w:rPr>
        <w:t>“Por medio del cual se autoriza al Alcalde Municipal de Puerto Colombia a celebrar contratos de obras públicas por el sistema de concesión y se dictan otras disposiciones.</w:t>
      </w:r>
    </w:p>
    <w:p w14:paraId="23FECFF2"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017C3E2D"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 xml:space="preserve">“Artículo 1ero: </w:t>
      </w:r>
      <w:r w:rsidRPr="00696129">
        <w:rPr>
          <w:rFonts w:ascii="Century Gothic" w:hAnsi="Century Gothic" w:cs="Tahoma"/>
          <w:b/>
          <w:i/>
          <w:iCs/>
          <w:sz w:val="20"/>
        </w:rPr>
        <w:t>Autorizar por el término de 6 meses</w:t>
      </w:r>
      <w:r w:rsidRPr="00696129">
        <w:rPr>
          <w:rFonts w:ascii="Century Gothic" w:hAnsi="Century Gothic" w:cs="Tahoma"/>
          <w:i/>
          <w:iCs/>
          <w:sz w:val="20"/>
        </w:rPr>
        <w:t xml:space="preserve"> al Alcalde Municipal para que de conformidad con la ley 80 de 1993 y especialmente su artículo 32 numeral 32 Numeral 4° celebre contrato de concesión </w:t>
      </w:r>
      <w:r w:rsidRPr="00696129">
        <w:rPr>
          <w:rFonts w:ascii="Century Gothic" w:hAnsi="Century Gothic" w:cs="Tahoma"/>
          <w:b/>
          <w:i/>
          <w:iCs/>
          <w:sz w:val="20"/>
        </w:rPr>
        <w:t>hasta por el término de veinte (20) años</w:t>
      </w:r>
      <w:r w:rsidRPr="00696129">
        <w:rPr>
          <w:rFonts w:ascii="Century Gothic" w:hAnsi="Century Gothic" w:cs="Tahoma"/>
          <w:i/>
          <w:iCs/>
          <w:sz w:val="20"/>
        </w:rPr>
        <w:t>, para la construcción, rehabilitación, reparación, reconstrucción y mantenimiento de la infraestructura vial del municipio de Puerto Colombia, de conformidad con lo contemplado en el Plan de Desarrollo.</w:t>
      </w:r>
    </w:p>
    <w:p w14:paraId="1669EDDC"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78D6DC86"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 xml:space="preserve">“Artículo 2do: Autorícese al Alcalde Municipal con el objeto de financiar el contrato referido en el artículo anterior a comprometer vigencias futuras del presupuesto municipal, mediante la concesión de rentas derivadas de </w:t>
      </w:r>
      <w:proofErr w:type="gramStart"/>
      <w:r w:rsidRPr="00696129">
        <w:rPr>
          <w:rFonts w:ascii="Century Gothic" w:hAnsi="Century Gothic" w:cs="Tahoma"/>
          <w:i/>
          <w:iCs/>
          <w:sz w:val="20"/>
        </w:rPr>
        <w:t>las sobretasa</w:t>
      </w:r>
      <w:proofErr w:type="gramEnd"/>
      <w:r w:rsidRPr="00696129">
        <w:rPr>
          <w:rFonts w:ascii="Century Gothic" w:hAnsi="Century Gothic" w:cs="Tahoma"/>
          <w:i/>
          <w:iCs/>
          <w:sz w:val="20"/>
        </w:rPr>
        <w:t xml:space="preserve"> a la gasolina, </w:t>
      </w:r>
      <w:r w:rsidRPr="00696129">
        <w:rPr>
          <w:rFonts w:ascii="Century Gothic" w:hAnsi="Century Gothic" w:cs="Tahoma"/>
          <w:b/>
          <w:i/>
          <w:iCs/>
          <w:sz w:val="20"/>
        </w:rPr>
        <w:t>hasta por veinte (20) años</w:t>
      </w:r>
      <w:r w:rsidRPr="00696129">
        <w:rPr>
          <w:rFonts w:ascii="Century Gothic" w:hAnsi="Century Gothic" w:cs="Tahoma"/>
          <w:i/>
          <w:iCs/>
          <w:sz w:val="20"/>
        </w:rPr>
        <w:t>.</w:t>
      </w:r>
    </w:p>
    <w:p w14:paraId="65D6F095"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01D87BF2"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El concesionario deberá constituir una fiducia para la captación de los recursos cedidos y administración de los mismos durante el desarrollo de este proyecto.</w:t>
      </w:r>
    </w:p>
    <w:p w14:paraId="69179108"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4823E0DC"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“Artículo 3ero: Cuando en los contratos y sus modificaciones, con o sin formalidades plenas, suscritos por el municipio, cuya cuantía exceda por cien millones de pesos ($100´000.000,oo) y deban cancelarse al contratista anticipo o avances por cualquier concepto del valor de estos se descontarán al contratista las sumas a pagar por el concepto de estampillas, derechos de publicación e impuestos que se causen por razón de la suscripción de tales documentos.</w:t>
      </w:r>
    </w:p>
    <w:p w14:paraId="2376398E"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098ACA11"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lastRenderedPageBreak/>
        <w:t>“PARÁGRAFO: En tales casos, el plazo para la cancelación de las estampillas, derechos de publicación e impuestos causados, se extenderá hasta la fecha del pago del anticipo o avance respectivo.</w:t>
      </w:r>
    </w:p>
    <w:p w14:paraId="2C769A9C"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5D16217F"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“Artículo 4to: Corresponde a la Contraloría General de la República Regional Atlántico, en su condición de ente fiscalizador el deber de ejercer el control fiscal y oportuno a la realización de cada una de las etapas establecidas en la ley 80 de 1993.</w:t>
      </w:r>
    </w:p>
    <w:p w14:paraId="350FE246"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3D6868CD" w14:textId="77777777" w:rsidR="00A255D4" w:rsidRPr="00696129" w:rsidRDefault="00A255D4" w:rsidP="00A255D4">
      <w:pPr>
        <w:shd w:val="clear" w:color="auto" w:fill="FFFFFF"/>
        <w:ind w:left="567" w:right="567"/>
        <w:jc w:val="both"/>
        <w:rPr>
          <w:rFonts w:ascii="Century Gothic" w:hAnsi="Century Gothic" w:cs="Tahoma"/>
          <w:iCs/>
          <w:sz w:val="20"/>
          <w:szCs w:val="20"/>
        </w:rPr>
      </w:pPr>
      <w:r w:rsidRPr="00696129">
        <w:rPr>
          <w:rFonts w:ascii="Century Gothic" w:hAnsi="Century Gothic" w:cs="Tahoma"/>
          <w:i/>
          <w:iCs/>
          <w:sz w:val="20"/>
          <w:szCs w:val="20"/>
        </w:rPr>
        <w:t xml:space="preserve">“Artículo 5to: El presente acuerdo rige a partir de su sanción y publicación” </w:t>
      </w:r>
      <w:r w:rsidRPr="00696129">
        <w:rPr>
          <w:rFonts w:ascii="Century Gothic" w:hAnsi="Century Gothic" w:cs="Tahoma"/>
          <w:iCs/>
          <w:sz w:val="20"/>
          <w:szCs w:val="20"/>
        </w:rPr>
        <w:t>(se subraya, folios 18 y 19 del cuaderno 1).</w:t>
      </w:r>
    </w:p>
    <w:p w14:paraId="6989645A" w14:textId="77777777" w:rsidR="00A255D4" w:rsidRPr="00696129" w:rsidRDefault="00A255D4" w:rsidP="00A255D4">
      <w:pPr>
        <w:shd w:val="clear" w:color="auto" w:fill="FFFFFF"/>
        <w:ind w:left="567" w:right="567"/>
        <w:jc w:val="both"/>
        <w:rPr>
          <w:rFonts w:ascii="Century Gothic" w:hAnsi="Century Gothic" w:cs="Tahoma"/>
          <w:i/>
          <w:iCs/>
          <w:sz w:val="20"/>
          <w:szCs w:val="20"/>
        </w:rPr>
      </w:pPr>
    </w:p>
    <w:p w14:paraId="56DBAF67" w14:textId="77777777" w:rsidR="00A255D4" w:rsidRPr="00696129" w:rsidRDefault="00A255D4" w:rsidP="00A255D4">
      <w:pPr>
        <w:shd w:val="clear" w:color="auto" w:fill="FFFFFF"/>
        <w:spacing w:line="360" w:lineRule="auto"/>
        <w:ind w:left="567" w:right="567"/>
        <w:jc w:val="both"/>
        <w:rPr>
          <w:rFonts w:ascii="Century Gothic" w:hAnsi="Century Gothic" w:cs="Tahoma"/>
          <w:i/>
          <w:iCs/>
          <w:sz w:val="20"/>
          <w:szCs w:val="20"/>
        </w:rPr>
      </w:pPr>
    </w:p>
    <w:p w14:paraId="44E4F309" w14:textId="77777777" w:rsidR="00A255D4" w:rsidRPr="00696129" w:rsidRDefault="00A255D4" w:rsidP="00A255D4">
      <w:pPr>
        <w:shd w:val="clear" w:color="auto" w:fill="FFFFFF"/>
        <w:spacing w:line="360" w:lineRule="atLeast"/>
        <w:jc w:val="both"/>
        <w:rPr>
          <w:rFonts w:ascii="Century Gothic" w:hAnsi="Century Gothic"/>
          <w:b/>
          <w:bCs/>
          <w:iCs/>
          <w:lang w:val="es-ES"/>
        </w:rPr>
      </w:pPr>
      <w:r w:rsidRPr="00696129">
        <w:rPr>
          <w:rFonts w:ascii="Century Gothic" w:hAnsi="Century Gothic" w:cs="Tahoma"/>
          <w:iCs/>
        </w:rPr>
        <w:t xml:space="preserve">No obstante, el acuerdo sancionado y publicado fue del siguiente tenor: </w:t>
      </w:r>
    </w:p>
    <w:p w14:paraId="1E4C7A56" w14:textId="77777777" w:rsidR="00A255D4" w:rsidRPr="00696129" w:rsidRDefault="00A255D4" w:rsidP="00A255D4">
      <w:pPr>
        <w:shd w:val="clear" w:color="auto" w:fill="FFFFFF"/>
        <w:jc w:val="both"/>
        <w:rPr>
          <w:rFonts w:ascii="Century Gothic" w:hAnsi="Century Gothic"/>
          <w:b/>
          <w:bCs/>
          <w:i/>
          <w:iCs/>
          <w:lang w:val="es-ES"/>
        </w:rPr>
      </w:pPr>
    </w:p>
    <w:p w14:paraId="76FDF574" w14:textId="77777777" w:rsidR="00A255D4" w:rsidRPr="00696129" w:rsidRDefault="00A255D4" w:rsidP="00A255D4">
      <w:pPr>
        <w:shd w:val="clear" w:color="auto" w:fill="FFFFFF"/>
        <w:spacing w:line="360" w:lineRule="auto"/>
        <w:jc w:val="both"/>
        <w:rPr>
          <w:rFonts w:ascii="Century Gothic" w:hAnsi="Century Gothic"/>
          <w:b/>
          <w:bCs/>
          <w:i/>
          <w:iCs/>
          <w:lang w:val="es-ES"/>
        </w:rPr>
      </w:pPr>
    </w:p>
    <w:p w14:paraId="07BE5689" w14:textId="77777777" w:rsidR="00A255D4" w:rsidRPr="00696129" w:rsidRDefault="00A255D4" w:rsidP="00A255D4">
      <w:pPr>
        <w:pStyle w:val="Textoindependiente21"/>
        <w:spacing w:line="240" w:lineRule="auto"/>
        <w:ind w:left="567" w:right="567"/>
        <w:jc w:val="center"/>
        <w:rPr>
          <w:rFonts w:ascii="Century Gothic" w:hAnsi="Century Gothic" w:cs="Tahoma"/>
          <w:i/>
          <w:iCs/>
          <w:sz w:val="20"/>
        </w:rPr>
      </w:pPr>
      <w:r w:rsidRPr="00696129">
        <w:rPr>
          <w:rFonts w:ascii="Century Gothic" w:hAnsi="Century Gothic" w:cs="Tahoma"/>
          <w:i/>
          <w:iCs/>
          <w:sz w:val="20"/>
        </w:rPr>
        <w:t>“</w:t>
      </w:r>
      <w:r w:rsidRPr="00696129">
        <w:rPr>
          <w:rFonts w:ascii="Century Gothic" w:hAnsi="Century Gothic" w:cs="Tahoma"/>
          <w:b/>
          <w:i/>
          <w:iCs/>
          <w:sz w:val="20"/>
        </w:rPr>
        <w:t>ACUERDO No. 003</w:t>
      </w:r>
    </w:p>
    <w:p w14:paraId="2C0A6EC2" w14:textId="77777777" w:rsidR="00A255D4" w:rsidRPr="00696129" w:rsidRDefault="00A255D4" w:rsidP="00A255D4">
      <w:pPr>
        <w:pStyle w:val="Textoindependiente21"/>
        <w:spacing w:line="240" w:lineRule="auto"/>
        <w:ind w:left="567" w:right="567"/>
        <w:jc w:val="center"/>
        <w:rPr>
          <w:rFonts w:ascii="Century Gothic" w:hAnsi="Century Gothic" w:cs="Tahoma"/>
          <w:b/>
          <w:i/>
          <w:iCs/>
          <w:sz w:val="20"/>
        </w:rPr>
      </w:pPr>
      <w:r w:rsidRPr="00696129">
        <w:rPr>
          <w:rFonts w:ascii="Century Gothic" w:hAnsi="Century Gothic" w:cs="Tahoma"/>
          <w:i/>
          <w:iCs/>
          <w:sz w:val="20"/>
        </w:rPr>
        <w:t>“</w:t>
      </w:r>
      <w:r w:rsidRPr="00696129">
        <w:rPr>
          <w:rFonts w:ascii="Century Gothic" w:hAnsi="Century Gothic" w:cs="Tahoma"/>
          <w:b/>
          <w:i/>
          <w:iCs/>
          <w:sz w:val="20"/>
        </w:rPr>
        <w:t>(</w:t>
      </w:r>
      <w:proofErr w:type="gramStart"/>
      <w:r w:rsidRPr="00696129">
        <w:rPr>
          <w:rFonts w:ascii="Century Gothic" w:hAnsi="Century Gothic" w:cs="Tahoma"/>
          <w:b/>
          <w:i/>
          <w:iCs/>
          <w:sz w:val="20"/>
        </w:rPr>
        <w:t>Marzo</w:t>
      </w:r>
      <w:proofErr w:type="gramEnd"/>
      <w:r w:rsidRPr="00696129">
        <w:rPr>
          <w:rFonts w:ascii="Century Gothic" w:hAnsi="Century Gothic" w:cs="Tahoma"/>
          <w:b/>
          <w:i/>
          <w:iCs/>
          <w:sz w:val="20"/>
        </w:rPr>
        <w:t xml:space="preserve"> 13 de 2003)</w:t>
      </w:r>
    </w:p>
    <w:p w14:paraId="2747C9AA" w14:textId="77777777" w:rsidR="00A255D4" w:rsidRPr="00696129" w:rsidRDefault="00A255D4" w:rsidP="00A255D4">
      <w:pPr>
        <w:pStyle w:val="Textoindependiente21"/>
        <w:spacing w:line="240" w:lineRule="auto"/>
        <w:ind w:left="567" w:right="567"/>
        <w:jc w:val="center"/>
        <w:rPr>
          <w:rFonts w:ascii="Century Gothic" w:hAnsi="Century Gothic" w:cs="Tahoma"/>
          <w:iCs/>
          <w:sz w:val="20"/>
        </w:rPr>
      </w:pPr>
    </w:p>
    <w:p w14:paraId="081059A6" w14:textId="77777777" w:rsidR="00A255D4" w:rsidRPr="00696129" w:rsidRDefault="00A255D4" w:rsidP="00A255D4">
      <w:pPr>
        <w:pStyle w:val="Textoindependiente21"/>
        <w:spacing w:line="240" w:lineRule="auto"/>
        <w:ind w:left="567" w:right="567"/>
        <w:jc w:val="center"/>
        <w:rPr>
          <w:rFonts w:ascii="Century Gothic" w:hAnsi="Century Gothic" w:cs="Tahoma"/>
          <w:i/>
          <w:iCs/>
          <w:sz w:val="20"/>
        </w:rPr>
      </w:pPr>
      <w:r w:rsidRPr="00696129">
        <w:rPr>
          <w:rFonts w:ascii="Century Gothic" w:hAnsi="Century Gothic" w:cs="Tahoma"/>
          <w:i/>
          <w:iCs/>
          <w:sz w:val="20"/>
        </w:rPr>
        <w:t>“POR MEDIO DEL CUAL SE AUTORIZA AL ALCALDE MUNICIPAL DE PUERTO COLOMBIA A CELEBRAR CONTRATOS DE OBRAS PÚBLICAS POR EL SISTEMA DE CONCESIÓN Y SE DICTAN OTRAS DISPOSICIONES</w:t>
      </w:r>
    </w:p>
    <w:p w14:paraId="764BF571"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5B13DC78"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“Artículo 1°: Autorizar al Alcalde Municipal para que de conformidad con la ley 80 de 1993 y especialmente su artículo 32 Numeral 4° celebre contrato de concesión para la construcción, rehabilitación, reparación, reconstrucción y mantenimiento de la infraestructura vial del municipio de Puerto Colombia, de conformidad con lo contemplado en el Plan de Desarrollo y el Plan de Ordenamiento Territorial.</w:t>
      </w:r>
    </w:p>
    <w:p w14:paraId="23FDE181" w14:textId="77777777" w:rsidR="00A255D4" w:rsidRPr="00696129" w:rsidRDefault="00A255D4" w:rsidP="00A255D4">
      <w:pPr>
        <w:pStyle w:val="Textoindependiente21"/>
        <w:spacing w:line="240" w:lineRule="auto"/>
        <w:ind w:left="567" w:right="567"/>
        <w:rPr>
          <w:rFonts w:ascii="Century Gothic" w:hAnsi="Century Gothic" w:cs="Tahoma"/>
          <w:b/>
          <w:i/>
          <w:iCs/>
          <w:sz w:val="20"/>
        </w:rPr>
      </w:pPr>
    </w:p>
    <w:p w14:paraId="5DC0D9A5"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 xml:space="preserve">“Artículo 2°: Autorícese al Alcalde Municipal con el objeto de financiar el contrato referido en el artículo anterior a comprometer vigencias futuras del presupuesto municipal, mediante la concesión de rentas derivadas de </w:t>
      </w:r>
      <w:proofErr w:type="gramStart"/>
      <w:r w:rsidRPr="00696129">
        <w:rPr>
          <w:rFonts w:ascii="Century Gothic" w:hAnsi="Century Gothic" w:cs="Tahoma"/>
          <w:i/>
          <w:iCs/>
          <w:sz w:val="20"/>
        </w:rPr>
        <w:t>las sobretasa</w:t>
      </w:r>
      <w:proofErr w:type="gramEnd"/>
      <w:r w:rsidRPr="00696129">
        <w:rPr>
          <w:rFonts w:ascii="Century Gothic" w:hAnsi="Century Gothic" w:cs="Tahoma"/>
          <w:i/>
          <w:iCs/>
          <w:sz w:val="20"/>
        </w:rPr>
        <w:t xml:space="preserve"> a la gasolina.</w:t>
      </w:r>
    </w:p>
    <w:p w14:paraId="4A6A693B"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6F53D18D"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“El concesionario deberá constituir una fiducia para la captación de los recursos cedidos y administración de los mismos durante el desarrollo de este proyecto.</w:t>
      </w:r>
    </w:p>
    <w:p w14:paraId="7D9AF53F"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3CBF68CC"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“Artículo 3°: Cuando en los contratos y sus modificaciones, con o sin formalidades plenas, suscritos por el municipio, cuya cuantía exceda por cien millones de pesos ($100´000.000,oo) y deban cancelarse al contratista anticipo o avances por cualquier concepto del valor de estos se descontarán al contratista las sumas a pagar por el concepto de estampillas, derechos de publicación e impuestos, que se causen por razón de la suscripción de tales documentos.</w:t>
      </w:r>
    </w:p>
    <w:p w14:paraId="16243E24"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0770B15D"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“PARÁGRAFO: En tales casos, el plazo para la cancelación de las estampillas, derechos de publicación e impuestos causados, se extenderá hasta la fecha del pago del anticipo o avance respectivo.</w:t>
      </w:r>
    </w:p>
    <w:p w14:paraId="0950FECD"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034BB2ED" w14:textId="77777777" w:rsidR="00A255D4" w:rsidRPr="00696129" w:rsidRDefault="00A255D4" w:rsidP="00A255D4">
      <w:pPr>
        <w:pStyle w:val="Textoindependiente21"/>
        <w:spacing w:line="240" w:lineRule="auto"/>
        <w:ind w:left="567" w:right="567"/>
        <w:rPr>
          <w:rFonts w:ascii="Century Gothic" w:hAnsi="Century Gothic" w:cs="Tahoma"/>
          <w:i/>
          <w:iCs/>
          <w:sz w:val="20"/>
        </w:rPr>
      </w:pPr>
      <w:r w:rsidRPr="00696129">
        <w:rPr>
          <w:rFonts w:ascii="Century Gothic" w:hAnsi="Century Gothic" w:cs="Tahoma"/>
          <w:i/>
          <w:iCs/>
          <w:sz w:val="20"/>
        </w:rPr>
        <w:t>“Artículo 4°: Corresponde a la Contraloría General de la República Regional Atlántico, en su condición de ente fiscalizador el deber de ejercer el control fiscal y oportuno a la realización de cada una de las etapas establecidas en la ley 80 de 1993.</w:t>
      </w:r>
    </w:p>
    <w:p w14:paraId="0A1BE746" w14:textId="77777777" w:rsidR="00A255D4" w:rsidRPr="00696129" w:rsidRDefault="00A255D4" w:rsidP="00A255D4">
      <w:pPr>
        <w:pStyle w:val="Textoindependiente21"/>
        <w:spacing w:line="240" w:lineRule="auto"/>
        <w:ind w:left="567" w:right="567"/>
        <w:rPr>
          <w:rFonts w:ascii="Century Gothic" w:hAnsi="Century Gothic" w:cs="Tahoma"/>
          <w:i/>
          <w:iCs/>
          <w:sz w:val="20"/>
        </w:rPr>
      </w:pPr>
    </w:p>
    <w:p w14:paraId="6B840C3F" w14:textId="77777777" w:rsidR="00A255D4" w:rsidRPr="00696129" w:rsidRDefault="00A255D4" w:rsidP="00A255D4">
      <w:pPr>
        <w:shd w:val="clear" w:color="auto" w:fill="FFFFFF"/>
        <w:ind w:left="567" w:right="567"/>
        <w:jc w:val="both"/>
        <w:rPr>
          <w:rFonts w:ascii="Century Gothic" w:hAnsi="Century Gothic" w:cs="Tahoma"/>
          <w:iCs/>
          <w:sz w:val="20"/>
          <w:szCs w:val="20"/>
        </w:rPr>
      </w:pPr>
      <w:r w:rsidRPr="00696129">
        <w:rPr>
          <w:rFonts w:ascii="Century Gothic" w:hAnsi="Century Gothic" w:cs="Tahoma"/>
          <w:i/>
          <w:iCs/>
          <w:sz w:val="20"/>
          <w:szCs w:val="20"/>
        </w:rPr>
        <w:t xml:space="preserve">“Artículo 5°: El presente acuerdo rige a partir de su sanción y publicación” </w:t>
      </w:r>
      <w:r w:rsidRPr="00696129">
        <w:rPr>
          <w:rFonts w:ascii="Century Gothic" w:hAnsi="Century Gothic" w:cs="Tahoma"/>
          <w:iCs/>
          <w:sz w:val="20"/>
          <w:szCs w:val="20"/>
        </w:rPr>
        <w:t>(publicado el 17 de marzo de 2017, folios 22 y 23 del cuaderno 1)</w:t>
      </w:r>
      <w:r w:rsidRPr="00696129">
        <w:rPr>
          <w:rFonts w:ascii="Century Gothic" w:hAnsi="Century Gothic" w:cs="Tahoma"/>
          <w:i/>
          <w:iCs/>
          <w:sz w:val="20"/>
          <w:szCs w:val="20"/>
        </w:rPr>
        <w:t>.</w:t>
      </w:r>
    </w:p>
    <w:p w14:paraId="43D6B6FA" w14:textId="77777777" w:rsidR="00A255D4" w:rsidRPr="00696129" w:rsidRDefault="00A255D4" w:rsidP="00A255D4">
      <w:pPr>
        <w:shd w:val="clear" w:color="auto" w:fill="FFFFFF"/>
        <w:spacing w:line="360" w:lineRule="atLeast"/>
        <w:jc w:val="both"/>
        <w:rPr>
          <w:rFonts w:ascii="Century Gothic" w:hAnsi="Century Gothic" w:cs="Tahoma"/>
          <w:iCs/>
        </w:rPr>
      </w:pPr>
      <w:r w:rsidRPr="00696129">
        <w:rPr>
          <w:rFonts w:ascii="Century Gothic" w:hAnsi="Century Gothic" w:cs="Tahoma"/>
          <w:iCs/>
        </w:rPr>
        <w:lastRenderedPageBreak/>
        <w:t xml:space="preserve">Pues bien, de la comparación de los dos textos surge inequívocamente que el acto acusado es diferente al texto aprobado por el Concejo del municipio de Puerto Colombia; en efecto, al momento de sancionarse y publicarse el Acuerdo 3, del 13 de marzo de 2003, se omitieron apartes relevantes señalados en la ponencia presentada a la plenaria del concejo, como es el caso del término por el cual se autorizaba al alcalde para celebrar los contratos de concesión (seis meses) y del plazo de vigencia (20 años) por el cual se debían celebrar tales contratos [ver artículo 1º del acto demandado]. En segundo lugar, se omitió incluir el término (“hasta por veinte (20) años”), por el cual el concejo facultaba al alcalde para comprometer las vigencias futuras del presupuesto municipal [ver, artículo 2º del acuerdo demandado]. </w:t>
      </w:r>
    </w:p>
    <w:p w14:paraId="1F366752" w14:textId="77777777" w:rsidR="00A255D4" w:rsidRPr="00696129" w:rsidRDefault="00A255D4" w:rsidP="00A255D4">
      <w:pPr>
        <w:shd w:val="clear" w:color="auto" w:fill="FFFFFF"/>
        <w:spacing w:line="480" w:lineRule="auto"/>
        <w:jc w:val="both"/>
        <w:rPr>
          <w:rFonts w:ascii="Century Gothic" w:hAnsi="Century Gothic" w:cs="Tahoma"/>
          <w:iCs/>
        </w:rPr>
      </w:pPr>
    </w:p>
    <w:p w14:paraId="052667BF" w14:textId="77777777" w:rsidR="00A255D4" w:rsidRPr="00696129" w:rsidRDefault="00A255D4" w:rsidP="00A255D4">
      <w:pPr>
        <w:shd w:val="clear" w:color="auto" w:fill="FFFFFF"/>
        <w:spacing w:line="360" w:lineRule="auto"/>
        <w:jc w:val="both"/>
        <w:rPr>
          <w:rFonts w:ascii="Century Gothic" w:hAnsi="Century Gothic" w:cs="Tahoma"/>
          <w:iCs/>
        </w:rPr>
      </w:pPr>
      <w:r w:rsidRPr="00696129">
        <w:rPr>
          <w:rFonts w:ascii="Century Gothic" w:hAnsi="Century Gothic" w:cs="Tahoma"/>
          <w:iCs/>
        </w:rPr>
        <w:t xml:space="preserve">Así las cosas, el acto demandado es contrario al texto que aprobó el Concejo del municipio de Puerto Colombia, razón suficiente para concluir –de entrada– que resulta viciado de nulidad por no corresponder al proyecto sometido a debate y aprobación por parte de la plenaria del mismo Concejo. Sobre el particular, la Sala de Consulta y Servicio Civil de esta Corporación expresó: </w:t>
      </w:r>
    </w:p>
    <w:p w14:paraId="2D66AB48" w14:textId="77777777" w:rsidR="00A255D4" w:rsidRPr="00696129" w:rsidRDefault="00A255D4" w:rsidP="00A255D4">
      <w:pPr>
        <w:shd w:val="clear" w:color="auto" w:fill="FFFFFF"/>
        <w:spacing w:line="480" w:lineRule="auto"/>
        <w:jc w:val="both"/>
        <w:rPr>
          <w:rFonts w:ascii="Century Gothic" w:hAnsi="Century Gothic" w:cs="Tahoma"/>
          <w:iCs/>
        </w:rPr>
      </w:pPr>
    </w:p>
    <w:p w14:paraId="56C5B907" w14:textId="77777777" w:rsidR="00A255D4" w:rsidRPr="00696129" w:rsidRDefault="00A255D4" w:rsidP="00A255D4">
      <w:pPr>
        <w:shd w:val="clear" w:color="auto" w:fill="FFFFFF"/>
        <w:ind w:left="567" w:right="567"/>
        <w:jc w:val="both"/>
        <w:rPr>
          <w:rFonts w:ascii="Century Gothic" w:hAnsi="Century Gothic" w:cs="Tahoma"/>
          <w:iCs/>
        </w:rPr>
      </w:pPr>
      <w:r w:rsidRPr="00696129">
        <w:rPr>
          <w:rFonts w:ascii="Century Gothic" w:hAnsi="Century Gothic" w:cs="Tahoma"/>
          <w:i/>
          <w:iCs/>
        </w:rPr>
        <w:t xml:space="preserve">“La facultad del alcalde para la celebración de contratos es inherente a su calidad de representante legal del municipio, pero para ejecutarla es requisito la previa autorización de la corporación pública como órgano superior de la administración municipal, que </w:t>
      </w:r>
      <w:r w:rsidRPr="00696129">
        <w:rPr>
          <w:rFonts w:ascii="Century Gothic" w:hAnsi="Century Gothic" w:cs="Tahoma"/>
          <w:b/>
          <w:i/>
          <w:iCs/>
        </w:rPr>
        <w:t>decidirá los términos en que otorga la autorización, esto es, si la concede en forma genérica o específica, temporal o por un término concreto, por cuantía determinada o sin límite de cuantía</w:t>
      </w:r>
      <w:r w:rsidRPr="00696129">
        <w:rPr>
          <w:rFonts w:ascii="Century Gothic" w:hAnsi="Century Gothic" w:cs="Tahoma"/>
          <w:i/>
          <w:iCs/>
        </w:rPr>
        <w:t xml:space="preserve">. </w:t>
      </w:r>
      <w:r w:rsidRPr="00696129">
        <w:rPr>
          <w:rFonts w:ascii="Century Gothic" w:hAnsi="Century Gothic" w:cs="Tahoma"/>
          <w:iCs/>
        </w:rPr>
        <w:t xml:space="preserve">(sic) </w:t>
      </w:r>
      <w:r w:rsidRPr="00696129">
        <w:rPr>
          <w:rFonts w:ascii="Century Gothic" w:hAnsi="Century Gothic" w:cs="Tahoma"/>
          <w:i/>
          <w:iCs/>
        </w:rPr>
        <w:t xml:space="preserve">Y </w:t>
      </w:r>
      <w:r w:rsidRPr="00696129">
        <w:rPr>
          <w:rFonts w:ascii="Century Gothic" w:hAnsi="Century Gothic" w:cs="Tahoma"/>
          <w:b/>
          <w:i/>
          <w:iCs/>
        </w:rPr>
        <w:t>a las directrices de la autorización deberá ajustarse el alcalde al celebrar los respectivos contratos</w:t>
      </w:r>
      <w:r w:rsidRPr="00696129">
        <w:rPr>
          <w:rFonts w:ascii="Century Gothic" w:hAnsi="Century Gothic" w:cs="Tahoma"/>
          <w:i/>
          <w:iCs/>
        </w:rPr>
        <w:t xml:space="preserve"> …”</w:t>
      </w:r>
      <w:r w:rsidRPr="00696129">
        <w:rPr>
          <w:rStyle w:val="Refdenotaalpie"/>
          <w:rFonts w:ascii="Century Gothic" w:hAnsi="Century Gothic" w:cs="Tahoma"/>
          <w:iCs/>
        </w:rPr>
        <w:footnoteReference w:id="14"/>
      </w:r>
      <w:r w:rsidRPr="00696129">
        <w:rPr>
          <w:rFonts w:ascii="Century Gothic" w:hAnsi="Century Gothic" w:cs="Tahoma"/>
          <w:iCs/>
        </w:rPr>
        <w:t xml:space="preserve">. </w:t>
      </w:r>
    </w:p>
    <w:p w14:paraId="7A583381" w14:textId="77777777" w:rsidR="00A255D4" w:rsidRPr="00696129" w:rsidRDefault="00A255D4" w:rsidP="00A255D4">
      <w:pPr>
        <w:shd w:val="clear" w:color="auto" w:fill="FFFFFF"/>
        <w:jc w:val="both"/>
        <w:rPr>
          <w:rFonts w:ascii="Century Gothic" w:hAnsi="Century Gothic" w:cs="Tahoma"/>
          <w:iCs/>
        </w:rPr>
      </w:pPr>
    </w:p>
    <w:p w14:paraId="24BCE6A2" w14:textId="77777777" w:rsidR="00A255D4" w:rsidRPr="00696129" w:rsidRDefault="00A255D4" w:rsidP="00A255D4">
      <w:pPr>
        <w:shd w:val="clear" w:color="auto" w:fill="FFFFFF"/>
        <w:spacing w:line="360" w:lineRule="auto"/>
        <w:jc w:val="both"/>
        <w:rPr>
          <w:rFonts w:ascii="Century Gothic" w:hAnsi="Century Gothic" w:cs="Tahoma"/>
          <w:iCs/>
        </w:rPr>
      </w:pPr>
    </w:p>
    <w:p w14:paraId="7DE8979C" w14:textId="77777777" w:rsidR="00A255D4" w:rsidRPr="00696129" w:rsidRDefault="00A255D4" w:rsidP="00A255D4">
      <w:pPr>
        <w:shd w:val="clear" w:color="auto" w:fill="FFFFFF"/>
        <w:spacing w:line="360" w:lineRule="auto"/>
        <w:jc w:val="both"/>
        <w:rPr>
          <w:rFonts w:ascii="Century Gothic" w:hAnsi="Century Gothic" w:cs="Tahoma"/>
          <w:iCs/>
        </w:rPr>
      </w:pPr>
      <w:r w:rsidRPr="00696129">
        <w:rPr>
          <w:rFonts w:ascii="Century Gothic" w:hAnsi="Century Gothic" w:cs="Tahoma"/>
          <w:iCs/>
        </w:rPr>
        <w:t xml:space="preserve">El anterior análisis es suficiente para que esta Corporación concluya que el Acuerdo 3 del 13 de marzo de 2003 fue expedido de manera irregular, razón por la cual se </w:t>
      </w:r>
      <w:r w:rsidRPr="00696129">
        <w:rPr>
          <w:rFonts w:ascii="Century Gothic" w:hAnsi="Century Gothic" w:cs="Tahoma"/>
          <w:b/>
          <w:iCs/>
        </w:rPr>
        <w:t>confirmará</w:t>
      </w:r>
      <w:r w:rsidRPr="00696129">
        <w:rPr>
          <w:rFonts w:ascii="Century Gothic" w:hAnsi="Century Gothic" w:cs="Tahoma"/>
          <w:iCs/>
        </w:rPr>
        <w:t xml:space="preserve"> la sentencia apelada en lo atinente a este aspecto. </w:t>
      </w:r>
    </w:p>
    <w:p w14:paraId="5F0D35CE" w14:textId="77777777" w:rsidR="00A255D4" w:rsidRPr="00696129" w:rsidRDefault="00A255D4" w:rsidP="00A255D4">
      <w:pPr>
        <w:shd w:val="clear" w:color="auto" w:fill="FFFFFF"/>
        <w:spacing w:line="360" w:lineRule="auto"/>
        <w:jc w:val="both"/>
        <w:rPr>
          <w:rFonts w:ascii="Century Gothic" w:hAnsi="Century Gothic" w:cs="Tahoma"/>
          <w:iCs/>
        </w:rPr>
      </w:pPr>
    </w:p>
    <w:p w14:paraId="18D5FCAD" w14:textId="77777777" w:rsidR="00A255D4" w:rsidRPr="00696129" w:rsidRDefault="00A255D4" w:rsidP="00A255D4">
      <w:pPr>
        <w:shd w:val="clear" w:color="auto" w:fill="FFFFFF"/>
        <w:spacing w:line="360" w:lineRule="auto"/>
        <w:jc w:val="both"/>
        <w:rPr>
          <w:rFonts w:ascii="Century Gothic" w:hAnsi="Century Gothic" w:cs="Tahoma"/>
          <w:iCs/>
        </w:rPr>
      </w:pPr>
      <w:r w:rsidRPr="00696129">
        <w:rPr>
          <w:rFonts w:ascii="Century Gothic" w:hAnsi="Century Gothic" w:cs="Tahoma"/>
          <w:iCs/>
        </w:rPr>
        <w:t xml:space="preserve">Ahora, aunque a juicio de la Sala no hay lugar a detenerse en la presunta confusión en que incurrió el tribunal de primera instancia, atinente a la forma de financiación empleada en el acuerdo acusado, lo cierto es que se trata de un “compromiso de </w:t>
      </w:r>
      <w:r w:rsidRPr="00696129">
        <w:rPr>
          <w:rFonts w:ascii="Century Gothic" w:hAnsi="Century Gothic" w:cs="Tahoma"/>
          <w:iCs/>
        </w:rPr>
        <w:lastRenderedPageBreak/>
        <w:t>vigencias de futuras” y no, como erradamente se dijo en la sentencia apelada, de una “titularización de activos” (artículo 126 de la Ley 488 de 1998)</w:t>
      </w:r>
      <w:r w:rsidRPr="00696129">
        <w:rPr>
          <w:rFonts w:ascii="Century Gothic" w:hAnsi="Century Gothic" w:cs="Tahoma"/>
          <w:bCs/>
          <w:iCs/>
          <w:vertAlign w:val="superscript"/>
        </w:rPr>
        <w:footnoteReference w:id="15"/>
      </w:r>
      <w:r w:rsidRPr="00696129">
        <w:rPr>
          <w:rFonts w:ascii="Century Gothic" w:hAnsi="Century Gothic" w:cs="Tahoma"/>
          <w:iCs/>
        </w:rPr>
        <w:t>.</w:t>
      </w:r>
    </w:p>
    <w:p w14:paraId="644B2E58" w14:textId="77777777" w:rsidR="00A255D4" w:rsidRPr="00696129" w:rsidRDefault="00A255D4" w:rsidP="00A255D4">
      <w:pPr>
        <w:shd w:val="clear" w:color="auto" w:fill="FFFFFF"/>
        <w:spacing w:line="360" w:lineRule="auto"/>
        <w:jc w:val="both"/>
        <w:rPr>
          <w:rFonts w:ascii="Century Gothic" w:hAnsi="Century Gothic" w:cs="Tahoma"/>
          <w:iCs/>
        </w:rPr>
      </w:pPr>
    </w:p>
    <w:p w14:paraId="333DDA55" w14:textId="77777777" w:rsidR="00A255D4" w:rsidRPr="00696129" w:rsidRDefault="00A255D4" w:rsidP="00A255D4">
      <w:pPr>
        <w:shd w:val="clear" w:color="auto" w:fill="FFFFFF"/>
        <w:spacing w:line="360" w:lineRule="auto"/>
        <w:jc w:val="both"/>
        <w:rPr>
          <w:rFonts w:ascii="Century Gothic" w:eastAsia="Times New Roman" w:hAnsi="Century Gothic" w:cs="Arial"/>
          <w:spacing w:val="-10"/>
          <w:lang w:val="es-ES_tradnl" w:eastAsia="es-ES"/>
        </w:rPr>
      </w:pPr>
      <w:r w:rsidRPr="00696129">
        <w:rPr>
          <w:rFonts w:ascii="Century Gothic" w:hAnsi="Century Gothic" w:cs="Tahoma"/>
          <w:iCs/>
        </w:rPr>
        <w:t>En efecto, esta última figura –la titularización– se ha entendido como una operación financiera mediante la cual las empresas o entidades obtienen recursos provenientes de su propio balance, a través de la emisión de títulos que ingresan al mercado público de valores, por intermedio de lo que se conoce como “movilización de activos</w:t>
      </w:r>
      <w:r w:rsidRPr="00696129">
        <w:rPr>
          <w:rFonts w:ascii="Century Gothic" w:hAnsi="Century Gothic" w:cs="Tahoma"/>
          <w:iCs/>
          <w:lang w:val="es-ES_tradnl"/>
        </w:rPr>
        <w:t>”</w:t>
      </w:r>
      <w:r w:rsidRPr="00696129">
        <w:rPr>
          <w:rFonts w:ascii="Century Gothic" w:hAnsi="Century Gothic" w:cs="Tahoma"/>
          <w:iCs/>
          <w:vertAlign w:val="superscript"/>
          <w:lang w:val="es-ES_tradnl"/>
        </w:rPr>
        <w:footnoteReference w:id="16"/>
      </w:r>
      <w:r w:rsidRPr="00696129">
        <w:rPr>
          <w:rFonts w:ascii="Century Gothic" w:hAnsi="Century Gothic" w:cs="Tahoma"/>
          <w:iCs/>
          <w:lang w:val="es-ES_tradnl"/>
        </w:rPr>
        <w:t xml:space="preserve">. </w:t>
      </w:r>
      <w:r w:rsidRPr="00696129">
        <w:rPr>
          <w:rFonts w:ascii="Century Gothic" w:hAnsi="Century Gothic" w:cs="Tahoma"/>
          <w:iCs/>
        </w:rPr>
        <w:t xml:space="preserve">Es un mecanismo que permite transformar los activos o flujos cuyo ingreso se espera a futuro, con el fin obtener recursos financieros –o activos líquidos– sin necesidad incrementar los pasivos, como quiera que “… </w:t>
      </w:r>
      <w:r w:rsidRPr="00696129">
        <w:rPr>
          <w:rFonts w:ascii="Century Gothic" w:hAnsi="Century Gothic" w:cs="Tahoma"/>
          <w:i/>
          <w:iCs/>
        </w:rPr>
        <w:t>no implica una operación de endeudamiento para la empresa que busca apalancarse por esta vía</w:t>
      </w:r>
      <w:r w:rsidRPr="00696129">
        <w:rPr>
          <w:rFonts w:ascii="Century Gothic" w:eastAsia="Times New Roman" w:hAnsi="Century Gothic" w:cs="Arial"/>
          <w:iCs/>
          <w:spacing w:val="-10"/>
          <w:lang w:val="es-ES_tradnl" w:eastAsia="es-ES"/>
        </w:rPr>
        <w:t>”</w:t>
      </w:r>
      <w:r w:rsidRPr="00696129">
        <w:rPr>
          <w:rFonts w:ascii="Century Gothic" w:eastAsia="Times New Roman" w:hAnsi="Century Gothic" w:cs="Arial"/>
          <w:iCs/>
          <w:spacing w:val="-10"/>
          <w:vertAlign w:val="superscript"/>
          <w:lang w:val="es-ES_tradnl" w:eastAsia="es-ES"/>
        </w:rPr>
        <w:footnoteReference w:id="17"/>
      </w:r>
      <w:r w:rsidRPr="00696129">
        <w:rPr>
          <w:rFonts w:ascii="Century Gothic" w:eastAsia="Times New Roman" w:hAnsi="Century Gothic" w:cs="Arial"/>
          <w:iCs/>
          <w:spacing w:val="-10"/>
          <w:lang w:val="es-ES_tradnl" w:eastAsia="es-ES"/>
        </w:rPr>
        <w:t xml:space="preserve">; </w:t>
      </w:r>
      <w:r w:rsidRPr="00696129">
        <w:rPr>
          <w:rFonts w:ascii="Century Gothic" w:hAnsi="Century Gothic" w:cs="Tahoma"/>
          <w:iCs/>
        </w:rPr>
        <w:t xml:space="preserve">para el efecto, se debe constituir un </w:t>
      </w:r>
      <w:r w:rsidRPr="00696129">
        <w:rPr>
          <w:rFonts w:ascii="Century Gothic" w:hAnsi="Century Gothic" w:cs="Tahoma"/>
          <w:iCs/>
          <w:u w:val="single"/>
        </w:rPr>
        <w:t>patrimonio autónomo de carácter fiduciario</w:t>
      </w:r>
      <w:r w:rsidRPr="00696129">
        <w:rPr>
          <w:rFonts w:ascii="Century Gothic" w:hAnsi="Century Gothic" w:cs="Tahoma"/>
          <w:iCs/>
        </w:rPr>
        <w:t xml:space="preserve">, “… </w:t>
      </w:r>
      <w:r w:rsidRPr="00696129">
        <w:rPr>
          <w:rFonts w:ascii="Century Gothic" w:hAnsi="Century Gothic" w:cs="Tahoma"/>
          <w:i/>
          <w:iCs/>
        </w:rPr>
        <w:t>al cual se le transfiere la propiedad del flujo futuro o los activos que lo generan, para que con base en esta propiedad se emita</w:t>
      </w:r>
      <w:r w:rsidRPr="00696129">
        <w:rPr>
          <w:rFonts w:ascii="Century Gothic" w:hAnsi="Century Gothic" w:cs="Tahoma"/>
          <w:iCs/>
        </w:rPr>
        <w:t xml:space="preserve"> (sic) </w:t>
      </w:r>
      <w:r w:rsidRPr="00696129">
        <w:rPr>
          <w:rFonts w:ascii="Century Gothic" w:hAnsi="Century Gothic" w:cs="Tahoma"/>
          <w:i/>
          <w:iCs/>
        </w:rPr>
        <w:t>y coloque</w:t>
      </w:r>
      <w:r w:rsidRPr="00696129">
        <w:rPr>
          <w:rFonts w:ascii="Century Gothic" w:hAnsi="Century Gothic" w:cs="Tahoma"/>
          <w:iCs/>
        </w:rPr>
        <w:t xml:space="preserve"> (sic) </w:t>
      </w:r>
      <w:r w:rsidRPr="00696129">
        <w:rPr>
          <w:rFonts w:ascii="Century Gothic" w:hAnsi="Century Gothic" w:cs="Tahoma"/>
          <w:i/>
          <w:iCs/>
        </w:rPr>
        <w:t>títulos en el mercado de capitales</w:t>
      </w:r>
      <w:r w:rsidRPr="00696129">
        <w:rPr>
          <w:rFonts w:ascii="Century Gothic" w:eastAsia="Times New Roman" w:hAnsi="Century Gothic" w:cs="Arial"/>
          <w:spacing w:val="-10"/>
          <w:lang w:val="es-ES_tradnl" w:eastAsia="es-ES"/>
        </w:rPr>
        <w:t>”</w:t>
      </w:r>
      <w:r w:rsidRPr="00696129">
        <w:rPr>
          <w:rFonts w:ascii="Century Gothic" w:eastAsia="Times New Roman" w:hAnsi="Century Gothic" w:cs="Arial"/>
          <w:spacing w:val="-10"/>
          <w:vertAlign w:val="superscript"/>
          <w:lang w:val="es-ES_tradnl" w:eastAsia="es-ES"/>
        </w:rPr>
        <w:footnoteReference w:id="18"/>
      </w:r>
      <w:r w:rsidRPr="00696129">
        <w:rPr>
          <w:rFonts w:ascii="Century Gothic" w:eastAsia="Times New Roman" w:hAnsi="Century Gothic" w:cs="Arial"/>
          <w:spacing w:val="-10"/>
          <w:lang w:val="es-ES_tradnl" w:eastAsia="es-ES"/>
        </w:rPr>
        <w:t xml:space="preserve">. </w:t>
      </w:r>
      <w:r w:rsidRPr="00696129">
        <w:rPr>
          <w:rFonts w:ascii="Century Gothic" w:hAnsi="Century Gothic" w:cs="Tahoma"/>
          <w:iCs/>
        </w:rPr>
        <w:t>Las entidades públicas, entonces, están facultadas para celebrar contratos de fiducia mercantil en desarrollo de los procesos de titularización (parágrafo 2, inciso segundo, del artículo 41 de la Ley 80 de 1993), los cuales se regirán por las normas especiales sobre la materia, esto es, las del derecho privado (artículo 13, Ley 80 de 1993).</w:t>
      </w:r>
    </w:p>
    <w:p w14:paraId="66EDCC16" w14:textId="77777777" w:rsidR="00A255D4" w:rsidRPr="00696129" w:rsidRDefault="00A255D4" w:rsidP="00A255D4">
      <w:pPr>
        <w:shd w:val="clear" w:color="auto" w:fill="FFFFFF"/>
        <w:spacing w:line="360" w:lineRule="auto"/>
        <w:jc w:val="both"/>
        <w:rPr>
          <w:rFonts w:ascii="Century Gothic" w:hAnsi="Century Gothic" w:cs="Tahoma"/>
          <w:iCs/>
        </w:rPr>
      </w:pPr>
    </w:p>
    <w:p w14:paraId="4BBB66B2" w14:textId="77777777" w:rsidR="00A255D4" w:rsidRPr="00696129" w:rsidRDefault="00A255D4" w:rsidP="00A255D4">
      <w:pPr>
        <w:shd w:val="clear" w:color="auto" w:fill="FFFFFF"/>
        <w:spacing w:line="360" w:lineRule="auto"/>
        <w:jc w:val="both"/>
        <w:rPr>
          <w:rFonts w:ascii="Century Gothic" w:hAnsi="Century Gothic" w:cs="Tahoma"/>
          <w:iCs/>
        </w:rPr>
      </w:pPr>
      <w:r w:rsidRPr="00696129">
        <w:rPr>
          <w:rFonts w:ascii="Century Gothic" w:hAnsi="Century Gothic" w:cs="Tahoma"/>
          <w:iCs/>
        </w:rPr>
        <w:t>Por el contrario, el compromiso de vigencias futuras es una operación presupuestal, por medio de la cual se autoriza a la administración para afectar presupuestos futuros (con apropiaciones autorizadas con antelación a la aprobación de dichos presupuestos) y se tienen como excepciones al principio de anualidad presupuestal, en tanto la autorización de los gastos se formaliza antes de que se aprueben las vigencias en las que se van a ejecutar y la vida jurídica de tales autorizaciones se prolonga a lo largo de varias vigencias</w:t>
      </w:r>
      <w:r w:rsidRPr="00696129">
        <w:rPr>
          <w:rFonts w:ascii="Century Gothic" w:hAnsi="Century Gothic" w:cs="Tahoma"/>
          <w:iCs/>
          <w:vertAlign w:val="superscript"/>
        </w:rPr>
        <w:footnoteReference w:id="19"/>
      </w:r>
      <w:r w:rsidRPr="00696129">
        <w:rPr>
          <w:rFonts w:ascii="Century Gothic" w:hAnsi="Century Gothic" w:cs="Tahoma"/>
          <w:iCs/>
        </w:rPr>
        <w:t xml:space="preserve">. Dicho mecanismo, en definitiva, permite la ejecución de proyectos plurianuales, sin que exista la restricción de la disponibilidad de recursos durante una </w:t>
      </w:r>
      <w:r w:rsidRPr="00696129">
        <w:rPr>
          <w:rFonts w:ascii="Century Gothic" w:hAnsi="Century Gothic" w:cs="Tahoma"/>
          <w:iCs/>
        </w:rPr>
        <w:lastRenderedPageBreak/>
        <w:t xml:space="preserve">única vigencia fiscal; al respecto, la Corte Constitucional señaló (se transcribe conforme obra, inclusive con errores): </w:t>
      </w:r>
    </w:p>
    <w:p w14:paraId="6F5F9A6B" w14:textId="77777777" w:rsidR="00A255D4" w:rsidRPr="00696129" w:rsidRDefault="00A255D4" w:rsidP="00A255D4">
      <w:pPr>
        <w:shd w:val="clear" w:color="auto" w:fill="FFFFFF"/>
        <w:spacing w:line="480" w:lineRule="auto"/>
        <w:jc w:val="both"/>
        <w:rPr>
          <w:rFonts w:ascii="Century Gothic" w:hAnsi="Century Gothic" w:cs="Arial"/>
          <w:i/>
          <w:lang w:eastAsia="es-CO"/>
        </w:rPr>
      </w:pPr>
    </w:p>
    <w:p w14:paraId="41B40052" w14:textId="77777777" w:rsidR="00A255D4" w:rsidRPr="00696129" w:rsidRDefault="00A255D4" w:rsidP="00A255D4">
      <w:pPr>
        <w:suppressAutoHyphens/>
        <w:overflowPunct w:val="0"/>
        <w:autoSpaceDE w:val="0"/>
        <w:autoSpaceDN w:val="0"/>
        <w:adjustRightInd w:val="0"/>
        <w:ind w:left="567" w:right="567"/>
        <w:jc w:val="both"/>
        <w:textAlignment w:val="baseline"/>
        <w:rPr>
          <w:rFonts w:ascii="Century Gothic" w:hAnsi="Century Gothic" w:cs="Arial"/>
          <w:iCs/>
          <w:lang w:eastAsia="es-CO"/>
        </w:rPr>
      </w:pPr>
      <w:r w:rsidRPr="00696129">
        <w:rPr>
          <w:rFonts w:ascii="Century Gothic" w:hAnsi="Century Gothic" w:cs="Arial"/>
          <w:i/>
          <w:lang w:eastAsia="es-CO"/>
        </w:rPr>
        <w:t xml:space="preserve">“… es imposible planear un desarrollo armónico e integral sobre la base de una anualidad absoluta, ya que la labor de planear el desarrollo sugiere la previsión de metas a largo plazo para establecer los propósitos de mediano y corto plazo, como medidas coordinadas para llegar al fin, y que ‘[s]in la </w:t>
      </w:r>
      <w:proofErr w:type="spellStart"/>
      <w:r w:rsidRPr="00696129">
        <w:rPr>
          <w:rFonts w:ascii="Century Gothic" w:hAnsi="Century Gothic" w:cs="Arial"/>
          <w:i/>
          <w:lang w:eastAsia="es-CO"/>
        </w:rPr>
        <w:t>plurianualidad</w:t>
      </w:r>
      <w:proofErr w:type="spellEnd"/>
      <w:r w:rsidRPr="00696129">
        <w:rPr>
          <w:rFonts w:ascii="Century Gothic" w:hAnsi="Century Gothic" w:cs="Arial"/>
          <w:i/>
          <w:lang w:eastAsia="es-CO"/>
        </w:rPr>
        <w:t xml:space="preserve">, el proceso presupuestal no estaría en armonía con el proceso de planeación, lo cual contraviene el espíritu de la Carta’, concluyó que ‘con el avance técnico de la materia presupuestal, y al incorporarse el principio de planeación -que, por naturaleza implica el cómputo a largo plazo-, la anualidad del presupuesto deja de ser un </w:t>
      </w:r>
      <w:r w:rsidRPr="00696129">
        <w:rPr>
          <w:rFonts w:ascii="Century Gothic" w:hAnsi="Century Gothic" w:cs="Arial"/>
          <w:i/>
          <w:iCs/>
          <w:lang w:eastAsia="es-CO"/>
        </w:rPr>
        <w:t xml:space="preserve">principio absoluto, </w:t>
      </w:r>
      <w:r w:rsidRPr="00696129">
        <w:rPr>
          <w:rFonts w:ascii="Century Gothic" w:hAnsi="Century Gothic" w:cs="Arial"/>
          <w:i/>
          <w:lang w:eastAsia="es-CO"/>
        </w:rPr>
        <w:t xml:space="preserve">para ser simplemente un punto de </w:t>
      </w:r>
      <w:r w:rsidRPr="00696129">
        <w:rPr>
          <w:rFonts w:ascii="Century Gothic" w:hAnsi="Century Gothic" w:cs="Arial"/>
          <w:i/>
          <w:iCs/>
          <w:lang w:eastAsia="es-CO"/>
        </w:rPr>
        <w:t xml:space="preserve">referencia, </w:t>
      </w:r>
      <w:r w:rsidRPr="00696129">
        <w:rPr>
          <w:rFonts w:ascii="Century Gothic" w:hAnsi="Century Gothic" w:cs="Arial"/>
          <w:i/>
          <w:lang w:eastAsia="es-CO"/>
        </w:rPr>
        <w:t xml:space="preserve">mas no de cálculo determinado al rigor de un periodo inmodificable’, recordando que el presupuesto, de acuerdo con el artículo 17 de la Ley 38 de 1989, puede ser </w:t>
      </w:r>
      <w:r w:rsidRPr="00696129">
        <w:rPr>
          <w:rFonts w:ascii="Century Gothic" w:hAnsi="Century Gothic" w:cs="Arial"/>
          <w:i/>
          <w:iCs/>
          <w:lang w:eastAsia="es-CO"/>
        </w:rPr>
        <w:t xml:space="preserve">plurianual </w:t>
      </w:r>
      <w:r w:rsidRPr="00696129">
        <w:rPr>
          <w:rFonts w:ascii="Century Gothic" w:hAnsi="Century Gothic" w:cs="Arial"/>
          <w:i/>
          <w:lang w:eastAsia="es-CO"/>
        </w:rPr>
        <w:t xml:space="preserve">siempre y cuando tenga la aprobación del Consejo Superior de Política Fiscal (CONFIS). Agregó, que lo anterior es razonable ‘[…] por cuanto es un hecho que si la actividad presupuestal debe estar acorde con la planeación, es lógico que el presupuesto al reflejar las pautas de planeación, deba contemplar la </w:t>
      </w:r>
      <w:proofErr w:type="spellStart"/>
      <w:r w:rsidRPr="00696129">
        <w:rPr>
          <w:rFonts w:ascii="Century Gothic" w:hAnsi="Century Gothic" w:cs="Arial"/>
          <w:i/>
          <w:lang w:eastAsia="es-CO"/>
        </w:rPr>
        <w:t>plurianualidad</w:t>
      </w:r>
      <w:proofErr w:type="spellEnd"/>
      <w:r w:rsidRPr="00696129">
        <w:rPr>
          <w:rFonts w:ascii="Century Gothic" w:hAnsi="Century Gothic" w:cs="Arial"/>
          <w:i/>
          <w:lang w:eastAsia="es-CO"/>
        </w:rPr>
        <w:t xml:space="preserve">, desarrollando así el </w:t>
      </w:r>
      <w:r w:rsidRPr="00696129">
        <w:rPr>
          <w:rFonts w:ascii="Century Gothic" w:hAnsi="Century Gothic" w:cs="Arial"/>
          <w:i/>
          <w:iCs/>
          <w:lang w:eastAsia="es-CO"/>
        </w:rPr>
        <w:t xml:space="preserve">proceso </w:t>
      </w:r>
      <w:r w:rsidRPr="00696129">
        <w:rPr>
          <w:rFonts w:ascii="Century Gothic" w:hAnsi="Century Gothic" w:cs="Arial"/>
          <w:i/>
          <w:lang w:eastAsia="es-CO"/>
        </w:rPr>
        <w:t>fiscal, compuesto de sucesivas etapas’”</w:t>
      </w:r>
      <w:r w:rsidRPr="00696129">
        <w:rPr>
          <w:rStyle w:val="Refdenotaalpie"/>
          <w:rFonts w:ascii="Century Gothic" w:hAnsi="Century Gothic" w:cs="Arial"/>
          <w:lang w:eastAsia="es-CO"/>
        </w:rPr>
        <w:footnoteReference w:id="20"/>
      </w:r>
      <w:r w:rsidRPr="00696129">
        <w:rPr>
          <w:rFonts w:ascii="Century Gothic" w:hAnsi="Century Gothic" w:cs="Arial"/>
          <w:i/>
          <w:lang w:eastAsia="es-CO"/>
        </w:rPr>
        <w:t>.</w:t>
      </w:r>
    </w:p>
    <w:p w14:paraId="317D1099" w14:textId="77777777" w:rsidR="00A255D4" w:rsidRPr="00696129" w:rsidRDefault="00A255D4" w:rsidP="00A255D4">
      <w:pPr>
        <w:suppressAutoHyphens/>
        <w:overflowPunct w:val="0"/>
        <w:autoSpaceDE w:val="0"/>
        <w:autoSpaceDN w:val="0"/>
        <w:adjustRightInd w:val="0"/>
        <w:spacing w:line="480" w:lineRule="auto"/>
        <w:jc w:val="both"/>
        <w:textAlignment w:val="baseline"/>
        <w:rPr>
          <w:rFonts w:ascii="Century Gothic" w:hAnsi="Century Gothic" w:cs="Arial"/>
          <w:lang w:eastAsia="es-CO"/>
        </w:rPr>
      </w:pPr>
    </w:p>
    <w:p w14:paraId="25F28A03" w14:textId="77777777" w:rsidR="00A255D4" w:rsidRPr="00696129" w:rsidRDefault="00A255D4" w:rsidP="00A255D4">
      <w:pPr>
        <w:suppressAutoHyphens/>
        <w:overflowPunct w:val="0"/>
        <w:autoSpaceDE w:val="0"/>
        <w:autoSpaceDN w:val="0"/>
        <w:adjustRightInd w:val="0"/>
        <w:spacing w:line="360" w:lineRule="auto"/>
        <w:jc w:val="both"/>
        <w:textAlignment w:val="baseline"/>
        <w:rPr>
          <w:rFonts w:ascii="Century Gothic" w:hAnsi="Century Gothic" w:cs="Arial"/>
          <w:lang w:eastAsia="es-CO"/>
        </w:rPr>
      </w:pPr>
      <w:r w:rsidRPr="00696129">
        <w:rPr>
          <w:rFonts w:ascii="Century Gothic" w:hAnsi="Century Gothic" w:cs="Arial"/>
          <w:lang w:eastAsia="es-CO"/>
        </w:rPr>
        <w:t>La Ley 179 de 1994</w:t>
      </w:r>
      <w:bookmarkStart w:id="0" w:name="_ftnref4"/>
      <w:r w:rsidRPr="00696129">
        <w:rPr>
          <w:rFonts w:ascii="Century Gothic" w:hAnsi="Century Gothic" w:cs="Arial"/>
          <w:lang w:eastAsia="es-CO"/>
        </w:rPr>
        <w:t xml:space="preserve"> [vigente para el momento en que se expidió el acto acusado en el proceso de la referencia], estableció las vigencias futuras</w:t>
      </w:r>
      <w:r w:rsidRPr="00696129">
        <w:rPr>
          <w:rFonts w:ascii="Century Gothic" w:hAnsi="Century Gothic" w:cs="Arial"/>
          <w:vertAlign w:val="superscript"/>
          <w:lang w:eastAsia="es-CO"/>
        </w:rPr>
        <w:footnoteReference w:id="21"/>
      </w:r>
      <w:r w:rsidRPr="00696129">
        <w:rPr>
          <w:rFonts w:ascii="Century Gothic" w:hAnsi="Century Gothic" w:cs="Arial"/>
          <w:lang w:eastAsia="es-CO"/>
        </w:rPr>
        <w:t>, en su artículo 9, en los siguientes términos:</w:t>
      </w:r>
      <w:bookmarkEnd w:id="0"/>
    </w:p>
    <w:p w14:paraId="64A5530E" w14:textId="77777777" w:rsidR="00A255D4" w:rsidRPr="00696129" w:rsidRDefault="00A255D4" w:rsidP="00A255D4">
      <w:pPr>
        <w:suppressAutoHyphens/>
        <w:overflowPunct w:val="0"/>
        <w:autoSpaceDE w:val="0"/>
        <w:autoSpaceDN w:val="0"/>
        <w:adjustRightInd w:val="0"/>
        <w:ind w:left="567" w:right="567"/>
        <w:jc w:val="both"/>
        <w:textAlignment w:val="baseline"/>
        <w:rPr>
          <w:rFonts w:ascii="Century Gothic" w:hAnsi="Century Gothic" w:cs="Arial"/>
          <w:iCs/>
          <w:lang w:eastAsia="es-CO"/>
        </w:rPr>
      </w:pPr>
      <w:r w:rsidRPr="00696129">
        <w:rPr>
          <w:rFonts w:ascii="Century Gothic" w:hAnsi="Century Gothic" w:cs="Arial"/>
          <w:lang w:eastAsia="es-CO"/>
        </w:rPr>
        <w:t xml:space="preserve"> “</w:t>
      </w:r>
      <w:r w:rsidRPr="00696129">
        <w:rPr>
          <w:rFonts w:ascii="Century Gothic" w:hAnsi="Century Gothic" w:cs="Arial"/>
          <w:i/>
          <w:iCs/>
          <w:lang w:eastAsia="es-CO"/>
        </w:rPr>
        <w:t>La Dirección General del Presupuesto Nacional del Ministerio de Hacienda y Crédito Público podrá autorizar la asunción de obligaciones, que afecten presupuestos de vigencias futuras, cuando su ejecución se inicie con presupuesto de la vigencia en curso y el objeto del compromiso se lleve a cabo en cada una de ellas. Cuando se trate de proyectos de inversión nacional deberá obtenerse el concepto previo y favorable del Departamento Nacional de Planeación”</w:t>
      </w:r>
      <w:r w:rsidRPr="00696129">
        <w:rPr>
          <w:rFonts w:ascii="Century Gothic" w:hAnsi="Century Gothic" w:cs="Arial"/>
          <w:iCs/>
          <w:vertAlign w:val="superscript"/>
          <w:lang w:eastAsia="es-CO"/>
        </w:rPr>
        <w:footnoteReference w:id="22"/>
      </w:r>
      <w:r w:rsidRPr="00696129">
        <w:rPr>
          <w:rFonts w:ascii="Century Gothic" w:hAnsi="Century Gothic" w:cs="Arial"/>
          <w:iCs/>
          <w:lang w:eastAsia="es-CO"/>
        </w:rPr>
        <w:t xml:space="preserve">. </w:t>
      </w:r>
    </w:p>
    <w:p w14:paraId="3570223E" w14:textId="77777777" w:rsidR="00A255D4" w:rsidRPr="00696129" w:rsidRDefault="00A255D4" w:rsidP="00A255D4">
      <w:pPr>
        <w:suppressAutoHyphens/>
        <w:overflowPunct w:val="0"/>
        <w:autoSpaceDE w:val="0"/>
        <w:autoSpaceDN w:val="0"/>
        <w:adjustRightInd w:val="0"/>
        <w:spacing w:line="480" w:lineRule="auto"/>
        <w:jc w:val="both"/>
        <w:textAlignment w:val="baseline"/>
        <w:rPr>
          <w:rFonts w:ascii="Century Gothic" w:hAnsi="Century Gothic" w:cs="Arial"/>
          <w:iCs/>
          <w:lang w:eastAsia="es-CO"/>
        </w:rPr>
      </w:pPr>
    </w:p>
    <w:p w14:paraId="29DE7C6A" w14:textId="77777777" w:rsidR="00A255D4" w:rsidRPr="00696129" w:rsidRDefault="00A255D4" w:rsidP="00A255D4">
      <w:pPr>
        <w:suppressAutoHyphens/>
        <w:overflowPunct w:val="0"/>
        <w:autoSpaceDE w:val="0"/>
        <w:autoSpaceDN w:val="0"/>
        <w:adjustRightInd w:val="0"/>
        <w:spacing w:line="360" w:lineRule="auto"/>
        <w:jc w:val="both"/>
        <w:textAlignment w:val="baseline"/>
        <w:rPr>
          <w:rFonts w:ascii="Century Gothic" w:hAnsi="Century Gothic" w:cs="Arial"/>
          <w:iCs/>
          <w:lang w:eastAsia="es-CO"/>
        </w:rPr>
      </w:pPr>
      <w:r w:rsidRPr="00696129">
        <w:rPr>
          <w:rFonts w:ascii="Century Gothic" w:hAnsi="Century Gothic" w:cs="Arial"/>
          <w:iCs/>
          <w:lang w:eastAsia="es-CO"/>
        </w:rPr>
        <w:t xml:space="preserve">De igual manera, la citada norma facultó a las entidades territoriales para contraer esta clase de compromisos con la autorización previa de los concejos, asambleas departamentales, consejos territoriales indígenas –o quien haga sus veces–, siempre que estuvieren consignados en los </w:t>
      </w:r>
      <w:r w:rsidRPr="00696129">
        <w:rPr>
          <w:rFonts w:ascii="Century Gothic" w:hAnsi="Century Gothic" w:cs="Arial"/>
          <w:b/>
          <w:iCs/>
          <w:lang w:eastAsia="es-CO"/>
        </w:rPr>
        <w:t>planes de desarrollo</w:t>
      </w:r>
      <w:r w:rsidRPr="00696129">
        <w:rPr>
          <w:rFonts w:ascii="Century Gothic" w:hAnsi="Century Gothic" w:cs="Arial"/>
          <w:iCs/>
          <w:lang w:eastAsia="es-CO"/>
        </w:rPr>
        <w:t xml:space="preserve"> y que, sumados los compromisos que </w:t>
      </w:r>
      <w:r w:rsidRPr="00696129">
        <w:rPr>
          <w:rFonts w:ascii="Century Gothic" w:hAnsi="Century Gothic" w:cs="Arial"/>
          <w:iCs/>
          <w:lang w:eastAsia="es-CO"/>
        </w:rPr>
        <w:lastRenderedPageBreak/>
        <w:t>se pretendieran asumir por esta modalidad, no excediera</w:t>
      </w:r>
      <w:r w:rsidRPr="00696129">
        <w:rPr>
          <w:rFonts w:ascii="Century Gothic" w:hAnsi="Century Gothic" w:cs="Arial"/>
          <w:b/>
          <w:i/>
          <w:iCs/>
          <w:lang w:eastAsia="es-CO"/>
        </w:rPr>
        <w:t xml:space="preserve"> </w:t>
      </w:r>
      <w:r w:rsidRPr="00696129">
        <w:rPr>
          <w:rFonts w:ascii="Century Gothic" w:hAnsi="Century Gothic" w:cs="Arial"/>
          <w:i/>
          <w:iCs/>
          <w:lang w:eastAsia="es-CO"/>
        </w:rPr>
        <w:t>“…</w:t>
      </w:r>
      <w:r w:rsidRPr="00696129">
        <w:rPr>
          <w:rFonts w:ascii="Century Gothic" w:hAnsi="Century Gothic" w:cs="Arial"/>
          <w:b/>
          <w:i/>
          <w:iCs/>
          <w:lang w:eastAsia="es-CO"/>
        </w:rPr>
        <w:t xml:space="preserve"> su capacidad de endeudamiento</w:t>
      </w:r>
      <w:r w:rsidRPr="00696129">
        <w:rPr>
          <w:rFonts w:ascii="Century Gothic" w:hAnsi="Century Gothic" w:cs="Arial"/>
          <w:iCs/>
          <w:lang w:eastAsia="es-CO"/>
        </w:rPr>
        <w:t>” (se resalta, art. 9</w:t>
      </w:r>
      <w:r w:rsidRPr="00696129">
        <w:rPr>
          <w:rFonts w:ascii="Century Gothic" w:hAnsi="Century Gothic" w:cs="Arial"/>
          <w:i/>
          <w:iCs/>
          <w:lang w:eastAsia="es-CO"/>
        </w:rPr>
        <w:t xml:space="preserve"> </w:t>
      </w:r>
      <w:proofErr w:type="spellStart"/>
      <w:r w:rsidRPr="00696129">
        <w:rPr>
          <w:rFonts w:ascii="Century Gothic" w:hAnsi="Century Gothic" w:cs="Arial"/>
          <w:i/>
          <w:iCs/>
          <w:lang w:eastAsia="es-CO"/>
        </w:rPr>
        <w:t>ibídem</w:t>
      </w:r>
      <w:proofErr w:type="spellEnd"/>
      <w:r w:rsidRPr="00696129">
        <w:rPr>
          <w:rFonts w:ascii="Century Gothic" w:hAnsi="Century Gothic" w:cs="Arial"/>
          <w:iCs/>
          <w:lang w:eastAsia="es-CO"/>
        </w:rPr>
        <w:t>).</w:t>
      </w:r>
    </w:p>
    <w:p w14:paraId="5757CAD2" w14:textId="77777777" w:rsidR="00A255D4" w:rsidRPr="00696129" w:rsidRDefault="00A255D4" w:rsidP="00A255D4">
      <w:pPr>
        <w:suppressAutoHyphens/>
        <w:overflowPunct w:val="0"/>
        <w:autoSpaceDE w:val="0"/>
        <w:autoSpaceDN w:val="0"/>
        <w:adjustRightInd w:val="0"/>
        <w:spacing w:line="360" w:lineRule="auto"/>
        <w:jc w:val="both"/>
        <w:textAlignment w:val="baseline"/>
        <w:rPr>
          <w:rFonts w:ascii="Century Gothic" w:hAnsi="Century Gothic" w:cs="Arial"/>
          <w:iCs/>
          <w:lang w:eastAsia="es-CO"/>
        </w:rPr>
      </w:pPr>
    </w:p>
    <w:p w14:paraId="5E0CABBC" w14:textId="77777777" w:rsidR="00A255D4" w:rsidRPr="00696129" w:rsidRDefault="00A255D4" w:rsidP="00A255D4">
      <w:pPr>
        <w:suppressAutoHyphens/>
        <w:overflowPunct w:val="0"/>
        <w:autoSpaceDE w:val="0"/>
        <w:autoSpaceDN w:val="0"/>
        <w:adjustRightInd w:val="0"/>
        <w:spacing w:line="360" w:lineRule="auto"/>
        <w:jc w:val="both"/>
        <w:textAlignment w:val="baseline"/>
        <w:rPr>
          <w:rFonts w:ascii="Century Gothic" w:hAnsi="Century Gothic" w:cs="Arial"/>
          <w:iCs/>
          <w:lang w:eastAsia="es-CO"/>
        </w:rPr>
      </w:pPr>
      <w:r w:rsidRPr="00696129">
        <w:rPr>
          <w:rFonts w:ascii="Century Gothic" w:hAnsi="Century Gothic" w:cs="Arial"/>
          <w:iCs/>
          <w:lang w:eastAsia="es-CO"/>
        </w:rPr>
        <w:t xml:space="preserve">Bajo este escenario, es claro que lo que se presentó fue un compromiso de vigencias futuras y no, como lo entendió el tribunal, una “titularización de activos”, figura de la trata el artículo 126 de la Ley 488 de 1998; en efecto, para la titularización se requería la constitución de un encargo fiduciario, el cual la Sala echa de menos y del que nada se discutió en los debates de la plenaria del Concejo Municipal de Puerto Colombia, ni nada se consignó en el texto definitivo. </w:t>
      </w:r>
    </w:p>
    <w:p w14:paraId="27253625" w14:textId="77777777" w:rsidR="00A255D4" w:rsidRPr="00696129" w:rsidRDefault="00A255D4" w:rsidP="00A255D4">
      <w:pPr>
        <w:suppressAutoHyphens/>
        <w:overflowPunct w:val="0"/>
        <w:autoSpaceDE w:val="0"/>
        <w:autoSpaceDN w:val="0"/>
        <w:adjustRightInd w:val="0"/>
        <w:spacing w:line="360" w:lineRule="auto"/>
        <w:jc w:val="both"/>
        <w:textAlignment w:val="baseline"/>
        <w:rPr>
          <w:rFonts w:ascii="Century Gothic" w:hAnsi="Century Gothic" w:cs="Arial"/>
          <w:iCs/>
          <w:lang w:eastAsia="es-CO"/>
        </w:rPr>
      </w:pPr>
    </w:p>
    <w:p w14:paraId="599B0407" w14:textId="77777777" w:rsidR="00A255D4" w:rsidRPr="00696129" w:rsidRDefault="00A255D4" w:rsidP="00A255D4">
      <w:pPr>
        <w:suppressAutoHyphens/>
        <w:overflowPunct w:val="0"/>
        <w:autoSpaceDE w:val="0"/>
        <w:autoSpaceDN w:val="0"/>
        <w:adjustRightInd w:val="0"/>
        <w:spacing w:line="360" w:lineRule="auto"/>
        <w:jc w:val="both"/>
        <w:textAlignment w:val="baseline"/>
        <w:rPr>
          <w:rFonts w:ascii="Century Gothic" w:hAnsi="Century Gothic" w:cs="Arial"/>
          <w:lang w:val="es-ES_tradnl" w:eastAsia="es-CO"/>
        </w:rPr>
      </w:pPr>
      <w:r w:rsidRPr="00696129">
        <w:rPr>
          <w:rFonts w:ascii="Century Gothic" w:hAnsi="Century Gothic" w:cs="Arial"/>
          <w:lang w:val="es-ES_tradnl" w:eastAsia="es-CO"/>
        </w:rPr>
        <w:t>En consecuencia y como l</w:t>
      </w:r>
      <w:r w:rsidRPr="00696129">
        <w:rPr>
          <w:rFonts w:ascii="Century Gothic" w:hAnsi="Century Gothic" w:cs="Arial"/>
          <w:lang w:val="es-ES" w:eastAsia="es-CO"/>
        </w:rPr>
        <w:t xml:space="preserve">os argumentos del recurso de alzada no tienen la vocación de desvirtuar las consideraciones plasmadas en el fallo de primera instancia, se impone </w:t>
      </w:r>
      <w:r w:rsidRPr="00696129">
        <w:rPr>
          <w:rFonts w:ascii="Century Gothic" w:hAnsi="Century Gothic" w:cs="Arial"/>
          <w:b/>
          <w:lang w:val="es-ES" w:eastAsia="es-CO"/>
        </w:rPr>
        <w:t>confirmar</w:t>
      </w:r>
      <w:r w:rsidRPr="00696129">
        <w:rPr>
          <w:rFonts w:ascii="Century Gothic" w:hAnsi="Century Gothic" w:cs="Arial"/>
          <w:lang w:val="es-ES" w:eastAsia="es-CO"/>
        </w:rPr>
        <w:t xml:space="preserve"> la sentencia apelada. </w:t>
      </w:r>
    </w:p>
    <w:p w14:paraId="2AF67189" w14:textId="77777777" w:rsidR="00A255D4" w:rsidRPr="00696129" w:rsidRDefault="00A255D4" w:rsidP="00A255D4">
      <w:pPr>
        <w:suppressAutoHyphens/>
        <w:overflowPunct w:val="0"/>
        <w:autoSpaceDE w:val="0"/>
        <w:autoSpaceDN w:val="0"/>
        <w:adjustRightInd w:val="0"/>
        <w:spacing w:line="360" w:lineRule="auto"/>
        <w:jc w:val="both"/>
        <w:textAlignment w:val="baseline"/>
        <w:rPr>
          <w:rFonts w:ascii="Arial" w:hAnsi="Arial" w:cs="Arial"/>
          <w:sz w:val="24"/>
          <w:szCs w:val="24"/>
          <w:lang w:val="es-ES_tradnl" w:eastAsia="es-CO"/>
        </w:rPr>
      </w:pPr>
    </w:p>
    <w:p w14:paraId="4B6E6B50" w14:textId="77777777" w:rsidR="00A255D4" w:rsidRPr="00696129" w:rsidRDefault="00A255D4" w:rsidP="00A255D4">
      <w:pPr>
        <w:spacing w:line="360" w:lineRule="auto"/>
        <w:ind w:right="51"/>
        <w:jc w:val="both"/>
        <w:rPr>
          <w:rFonts w:ascii="Century Gothic" w:hAnsi="Century Gothic" w:cs="Arial"/>
          <w:lang w:val="es-ES"/>
        </w:rPr>
      </w:pPr>
      <w:r w:rsidRPr="00696129">
        <w:rPr>
          <w:rFonts w:ascii="Century Gothic" w:hAnsi="Century Gothic" w:cs="Arial"/>
          <w:lang w:val="es-ES"/>
        </w:rPr>
        <w:t xml:space="preserve">En mérito de lo expuesto, el Consejo de Estado, Sala de lo Contencioso Administrativo, Sección Tercera, Subsección A, administrando justicia en nombre de </w:t>
      </w:r>
      <w:smartTag w:uri="urn:schemas-microsoft-com:office:smarttags" w:element="metricconverter">
        <w:smartTagPr>
          <w:attr w:name="ProductID" w:val="la Rep￺blica"/>
        </w:smartTagPr>
        <w:r w:rsidRPr="00696129">
          <w:rPr>
            <w:rFonts w:ascii="Century Gothic" w:hAnsi="Century Gothic" w:cs="Arial"/>
            <w:lang w:val="es-ES"/>
          </w:rPr>
          <w:t>la República</w:t>
        </w:r>
      </w:smartTag>
      <w:r w:rsidRPr="00696129">
        <w:rPr>
          <w:rFonts w:ascii="Century Gothic" w:hAnsi="Century Gothic" w:cs="Arial"/>
          <w:lang w:val="es-ES"/>
        </w:rPr>
        <w:t xml:space="preserve"> y por autoridad de la ley</w:t>
      </w:r>
    </w:p>
    <w:p w14:paraId="6617AE08" w14:textId="77777777" w:rsidR="00A255D4" w:rsidRPr="00696129" w:rsidRDefault="00A255D4" w:rsidP="00A255D4">
      <w:pPr>
        <w:spacing w:line="720" w:lineRule="auto"/>
        <w:ind w:right="51"/>
        <w:jc w:val="both"/>
        <w:rPr>
          <w:rFonts w:ascii="Century Gothic" w:hAnsi="Century Gothic" w:cs="Arial"/>
          <w:lang w:val="es-ES"/>
        </w:rPr>
      </w:pPr>
    </w:p>
    <w:p w14:paraId="357C5E2C" w14:textId="77777777" w:rsidR="00A255D4" w:rsidRPr="00696129" w:rsidRDefault="00A255D4" w:rsidP="00A255D4">
      <w:pPr>
        <w:spacing w:line="720" w:lineRule="auto"/>
        <w:ind w:right="51"/>
        <w:jc w:val="both"/>
        <w:rPr>
          <w:rFonts w:ascii="Century Gothic" w:hAnsi="Century Gothic" w:cs="Arial"/>
          <w:lang w:val="es-ES"/>
        </w:rPr>
      </w:pPr>
    </w:p>
    <w:p w14:paraId="7F357BB9" w14:textId="77777777" w:rsidR="00A255D4" w:rsidRPr="00696129" w:rsidRDefault="00A255D4" w:rsidP="00A255D4">
      <w:pPr>
        <w:autoSpaceDE w:val="0"/>
        <w:autoSpaceDN w:val="0"/>
        <w:adjustRightInd w:val="0"/>
        <w:spacing w:line="360" w:lineRule="auto"/>
        <w:jc w:val="center"/>
        <w:rPr>
          <w:rFonts w:ascii="Century Gothic" w:hAnsi="Century Gothic" w:cs="Arial"/>
          <w:b/>
          <w:bCs/>
          <w:lang w:val="es-ES"/>
        </w:rPr>
      </w:pPr>
      <w:r w:rsidRPr="00696129">
        <w:rPr>
          <w:rFonts w:ascii="Century Gothic" w:hAnsi="Century Gothic" w:cs="Arial"/>
          <w:b/>
          <w:bCs/>
          <w:lang w:val="es-ES"/>
        </w:rPr>
        <w:t xml:space="preserve">F A L </w:t>
      </w:r>
      <w:proofErr w:type="spellStart"/>
      <w:r w:rsidRPr="00696129">
        <w:rPr>
          <w:rFonts w:ascii="Century Gothic" w:hAnsi="Century Gothic" w:cs="Arial"/>
          <w:b/>
          <w:bCs/>
          <w:lang w:val="es-ES"/>
        </w:rPr>
        <w:t>L</w:t>
      </w:r>
      <w:proofErr w:type="spellEnd"/>
      <w:r w:rsidRPr="00696129">
        <w:rPr>
          <w:rFonts w:ascii="Century Gothic" w:hAnsi="Century Gothic" w:cs="Arial"/>
          <w:b/>
          <w:bCs/>
          <w:lang w:val="es-ES"/>
        </w:rPr>
        <w:t xml:space="preserve"> A:</w:t>
      </w:r>
    </w:p>
    <w:p w14:paraId="41D85BD2" w14:textId="77777777" w:rsidR="00A255D4" w:rsidRPr="00696129" w:rsidRDefault="00A255D4" w:rsidP="00A255D4">
      <w:pPr>
        <w:widowControl w:val="0"/>
        <w:autoSpaceDE w:val="0"/>
        <w:autoSpaceDN w:val="0"/>
        <w:adjustRightInd w:val="0"/>
        <w:spacing w:line="480" w:lineRule="auto"/>
        <w:jc w:val="both"/>
        <w:rPr>
          <w:rFonts w:ascii="Century Gothic" w:hAnsi="Century Gothic" w:cs="Arial"/>
          <w:b/>
          <w:bCs/>
          <w:lang w:val="es-ES"/>
        </w:rPr>
      </w:pPr>
    </w:p>
    <w:p w14:paraId="24476B9F"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lang w:val="es-ES"/>
        </w:rPr>
      </w:pPr>
      <w:r w:rsidRPr="00696129">
        <w:rPr>
          <w:rFonts w:ascii="Century Gothic" w:hAnsi="Century Gothic" w:cs="Arial"/>
          <w:b/>
          <w:bCs/>
          <w:lang w:val="es-ES"/>
        </w:rPr>
        <w:t xml:space="preserve">PRIMERO: CONFÍRMASE </w:t>
      </w:r>
      <w:r w:rsidRPr="00696129">
        <w:rPr>
          <w:rFonts w:ascii="Century Gothic" w:hAnsi="Century Gothic" w:cs="Arial"/>
          <w:bCs/>
          <w:lang w:val="es-ES"/>
        </w:rPr>
        <w:t>la sentencia</w:t>
      </w:r>
      <w:r w:rsidRPr="00696129">
        <w:rPr>
          <w:rFonts w:ascii="Century Gothic" w:hAnsi="Century Gothic" w:cs="Arial"/>
          <w:b/>
          <w:bCs/>
          <w:lang w:val="es-ES"/>
        </w:rPr>
        <w:t xml:space="preserve"> </w:t>
      </w:r>
      <w:r w:rsidRPr="00696129">
        <w:rPr>
          <w:rFonts w:ascii="Century Gothic" w:hAnsi="Century Gothic" w:cs="Arial"/>
          <w:bCs/>
          <w:lang w:val="es-ES"/>
        </w:rPr>
        <w:t xml:space="preserve">del 9 de febrero de 2009, dictada por el Tribunal Administrativo del Atlántico, por las razones expuestas en la parte motiva de esta providencia. </w:t>
      </w:r>
    </w:p>
    <w:p w14:paraId="62F86E8D"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lang w:val="es-ES"/>
        </w:rPr>
      </w:pPr>
    </w:p>
    <w:p w14:paraId="6FB61579"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lang w:val="es-ES"/>
        </w:rPr>
      </w:pPr>
      <w:r w:rsidRPr="00696129">
        <w:rPr>
          <w:rFonts w:ascii="Century Gothic" w:hAnsi="Century Gothic" w:cs="Arial"/>
          <w:b/>
          <w:lang w:val="es-ES"/>
        </w:rPr>
        <w:t xml:space="preserve">SEGUNDO: </w:t>
      </w:r>
      <w:r w:rsidRPr="00696129">
        <w:rPr>
          <w:rFonts w:ascii="Century Gothic" w:hAnsi="Century Gothic" w:cs="Arial"/>
          <w:lang w:val="es-ES"/>
        </w:rPr>
        <w:t xml:space="preserve">Ejecutoriado el presente fallo, </w:t>
      </w:r>
      <w:r w:rsidRPr="00696129">
        <w:rPr>
          <w:rFonts w:ascii="Century Gothic" w:hAnsi="Century Gothic" w:cs="Arial"/>
          <w:b/>
          <w:lang w:val="es-ES"/>
        </w:rPr>
        <w:t>DEVUÉLVASE</w:t>
      </w:r>
      <w:r w:rsidRPr="00696129">
        <w:rPr>
          <w:rFonts w:ascii="Century Gothic" w:hAnsi="Century Gothic" w:cs="Arial"/>
          <w:lang w:val="es-ES"/>
        </w:rPr>
        <w:t xml:space="preserve"> el expediente al Tribunal de origen.</w:t>
      </w:r>
    </w:p>
    <w:p w14:paraId="3762C5A2"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lang w:val="es-ES"/>
        </w:rPr>
      </w:pPr>
    </w:p>
    <w:p w14:paraId="6344A94C"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lang w:val="es-ES"/>
        </w:rPr>
      </w:pPr>
    </w:p>
    <w:p w14:paraId="5C1FB375"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lang w:val="es-ES"/>
        </w:rPr>
      </w:pPr>
    </w:p>
    <w:p w14:paraId="47346A18"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bCs/>
          <w:lang w:val="es-ES"/>
        </w:rPr>
      </w:pPr>
    </w:p>
    <w:p w14:paraId="40D6E559" w14:textId="77777777" w:rsidR="00A255D4" w:rsidRPr="00696129" w:rsidRDefault="00A255D4" w:rsidP="00A255D4">
      <w:pPr>
        <w:keepNext/>
        <w:autoSpaceDE w:val="0"/>
        <w:autoSpaceDN w:val="0"/>
        <w:adjustRightInd w:val="0"/>
        <w:spacing w:line="360" w:lineRule="auto"/>
        <w:jc w:val="center"/>
        <w:rPr>
          <w:rFonts w:ascii="Century Gothic" w:hAnsi="Century Gothic" w:cs="Arial"/>
          <w:b/>
          <w:bCs/>
          <w:lang w:val="es-ES"/>
        </w:rPr>
      </w:pPr>
      <w:r w:rsidRPr="00696129">
        <w:rPr>
          <w:rFonts w:ascii="Century Gothic" w:hAnsi="Century Gothic" w:cs="Arial"/>
          <w:b/>
          <w:bCs/>
          <w:lang w:val="es-ES"/>
        </w:rPr>
        <w:t>CÓPIESE, NOTIFÍQUESE Y CÚMPLASE</w:t>
      </w:r>
    </w:p>
    <w:p w14:paraId="0F295DE1" w14:textId="77777777" w:rsidR="00A255D4" w:rsidRPr="00696129" w:rsidRDefault="00A255D4" w:rsidP="00A255D4">
      <w:pPr>
        <w:autoSpaceDE w:val="0"/>
        <w:autoSpaceDN w:val="0"/>
        <w:adjustRightInd w:val="0"/>
        <w:rPr>
          <w:rFonts w:ascii="Century Gothic" w:hAnsi="Century Gothic" w:cs="Arial"/>
          <w:b/>
          <w:bCs/>
          <w:lang w:val="es-ES"/>
        </w:rPr>
      </w:pPr>
    </w:p>
    <w:p w14:paraId="41032C59" w14:textId="77777777" w:rsidR="00A255D4" w:rsidRPr="00696129" w:rsidRDefault="00A255D4" w:rsidP="00A255D4">
      <w:pPr>
        <w:autoSpaceDE w:val="0"/>
        <w:autoSpaceDN w:val="0"/>
        <w:adjustRightInd w:val="0"/>
        <w:rPr>
          <w:rFonts w:ascii="Century Gothic" w:hAnsi="Century Gothic" w:cs="Arial"/>
          <w:b/>
          <w:bCs/>
          <w:lang w:val="es-ES"/>
        </w:rPr>
      </w:pPr>
    </w:p>
    <w:p w14:paraId="31C9213C" w14:textId="77777777" w:rsidR="00A255D4" w:rsidRPr="00696129" w:rsidRDefault="00A255D4" w:rsidP="00A255D4">
      <w:pPr>
        <w:autoSpaceDE w:val="0"/>
        <w:autoSpaceDN w:val="0"/>
        <w:adjustRightInd w:val="0"/>
        <w:rPr>
          <w:rFonts w:ascii="Century Gothic" w:hAnsi="Century Gothic" w:cs="Arial"/>
          <w:b/>
          <w:bCs/>
          <w:lang w:val="es-ES"/>
        </w:rPr>
      </w:pPr>
    </w:p>
    <w:p w14:paraId="0C0CB88B" w14:textId="77777777" w:rsidR="00A255D4" w:rsidRPr="00696129" w:rsidRDefault="00A255D4" w:rsidP="00A255D4">
      <w:pPr>
        <w:autoSpaceDE w:val="0"/>
        <w:autoSpaceDN w:val="0"/>
        <w:adjustRightInd w:val="0"/>
        <w:rPr>
          <w:rFonts w:ascii="Century Gothic" w:hAnsi="Century Gothic" w:cs="Arial"/>
          <w:b/>
          <w:bCs/>
          <w:lang w:val="es-ES"/>
        </w:rPr>
      </w:pPr>
    </w:p>
    <w:p w14:paraId="5F105362" w14:textId="77777777" w:rsidR="00A255D4" w:rsidRPr="00696129" w:rsidRDefault="00A255D4" w:rsidP="00A255D4">
      <w:pPr>
        <w:autoSpaceDE w:val="0"/>
        <w:autoSpaceDN w:val="0"/>
        <w:adjustRightInd w:val="0"/>
        <w:rPr>
          <w:rFonts w:ascii="Century Gothic" w:hAnsi="Century Gothic" w:cs="Arial"/>
          <w:b/>
          <w:bCs/>
          <w:lang w:val="es-ES"/>
        </w:rPr>
      </w:pPr>
    </w:p>
    <w:p w14:paraId="105BBADC" w14:textId="77777777" w:rsidR="00A255D4" w:rsidRPr="00696129" w:rsidRDefault="00A255D4" w:rsidP="00A255D4">
      <w:pPr>
        <w:autoSpaceDE w:val="0"/>
        <w:autoSpaceDN w:val="0"/>
        <w:adjustRightInd w:val="0"/>
        <w:rPr>
          <w:rFonts w:ascii="Century Gothic" w:hAnsi="Century Gothic" w:cs="Arial"/>
          <w:b/>
          <w:bCs/>
          <w:lang w:val="es-ES"/>
        </w:rPr>
      </w:pPr>
    </w:p>
    <w:p w14:paraId="2A1C3EBF" w14:textId="77777777" w:rsidR="00A255D4" w:rsidRPr="00696129" w:rsidRDefault="00A255D4" w:rsidP="00A255D4">
      <w:pPr>
        <w:autoSpaceDE w:val="0"/>
        <w:autoSpaceDN w:val="0"/>
        <w:adjustRightInd w:val="0"/>
        <w:rPr>
          <w:rFonts w:ascii="Century Gothic" w:hAnsi="Century Gothic" w:cs="Arial"/>
          <w:b/>
          <w:bCs/>
          <w:lang w:val="es-ES"/>
        </w:rPr>
      </w:pPr>
    </w:p>
    <w:p w14:paraId="18A00167" w14:textId="77777777" w:rsidR="00A255D4" w:rsidRPr="00696129" w:rsidRDefault="00A255D4" w:rsidP="00A255D4">
      <w:pPr>
        <w:autoSpaceDE w:val="0"/>
        <w:autoSpaceDN w:val="0"/>
        <w:adjustRightInd w:val="0"/>
        <w:rPr>
          <w:rFonts w:ascii="Century Gothic" w:hAnsi="Century Gothic" w:cs="Arial"/>
          <w:b/>
          <w:bCs/>
          <w:lang w:val="es-ES"/>
        </w:rPr>
      </w:pPr>
    </w:p>
    <w:p w14:paraId="4D6281FE"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lang w:val="es-ES"/>
        </w:rPr>
      </w:pPr>
      <w:r w:rsidRPr="00696129">
        <w:rPr>
          <w:rFonts w:ascii="Century Gothic" w:hAnsi="Century Gothic" w:cs="Arial"/>
          <w:b/>
          <w:lang w:val="es-ES"/>
        </w:rPr>
        <w:tab/>
      </w:r>
    </w:p>
    <w:p w14:paraId="5721C23E"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bCs/>
          <w:lang w:val="es-ES"/>
        </w:rPr>
      </w:pPr>
      <w:r w:rsidRPr="00696129">
        <w:rPr>
          <w:rFonts w:ascii="Century Gothic" w:hAnsi="Century Gothic" w:cs="Arial"/>
          <w:b/>
          <w:bCs/>
          <w:lang w:val="es-ES"/>
        </w:rPr>
        <w:t>MARÍA ADRIANA MARÍN                                       MARTA NUBIA VELÁSQUEZ RICO</w:t>
      </w:r>
      <w:r w:rsidRPr="00696129">
        <w:rPr>
          <w:rFonts w:ascii="Century Gothic" w:hAnsi="Century Gothic" w:cs="Arial"/>
          <w:b/>
          <w:lang w:val="es-ES"/>
        </w:rPr>
        <w:t xml:space="preserve"> </w:t>
      </w:r>
    </w:p>
    <w:p w14:paraId="45259D9D"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bCs/>
          <w:lang w:val="es-ES"/>
        </w:rPr>
      </w:pPr>
    </w:p>
    <w:p w14:paraId="4F1C68C0"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bCs/>
          <w:lang w:val="es-ES"/>
        </w:rPr>
      </w:pPr>
    </w:p>
    <w:p w14:paraId="0FEB69FD"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bCs/>
          <w:lang w:val="es-ES"/>
        </w:rPr>
      </w:pPr>
    </w:p>
    <w:p w14:paraId="554DD963"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bCs/>
          <w:lang w:val="es-ES"/>
        </w:rPr>
      </w:pPr>
    </w:p>
    <w:p w14:paraId="269999EF"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bCs/>
          <w:lang w:val="es-ES"/>
        </w:rPr>
      </w:pPr>
    </w:p>
    <w:p w14:paraId="6DB34009"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bCs/>
          <w:lang w:val="es-ES"/>
        </w:rPr>
      </w:pPr>
    </w:p>
    <w:p w14:paraId="10AC8DC9" w14:textId="77777777" w:rsidR="00A255D4" w:rsidRPr="00696129" w:rsidRDefault="00A255D4" w:rsidP="00A255D4">
      <w:pPr>
        <w:widowControl w:val="0"/>
        <w:autoSpaceDE w:val="0"/>
        <w:autoSpaceDN w:val="0"/>
        <w:adjustRightInd w:val="0"/>
        <w:spacing w:line="360" w:lineRule="auto"/>
        <w:jc w:val="both"/>
        <w:rPr>
          <w:rFonts w:ascii="Century Gothic" w:hAnsi="Century Gothic" w:cs="Arial"/>
          <w:b/>
          <w:bCs/>
          <w:lang w:val="es-ES"/>
        </w:rPr>
      </w:pPr>
    </w:p>
    <w:p w14:paraId="46C81CE1" w14:textId="77777777" w:rsidR="00A255D4" w:rsidRPr="00A91539" w:rsidRDefault="00A255D4" w:rsidP="00A255D4">
      <w:pPr>
        <w:widowControl w:val="0"/>
        <w:autoSpaceDE w:val="0"/>
        <w:autoSpaceDN w:val="0"/>
        <w:adjustRightInd w:val="0"/>
        <w:spacing w:line="360" w:lineRule="auto"/>
        <w:jc w:val="center"/>
        <w:rPr>
          <w:rFonts w:ascii="Century Gothic" w:hAnsi="Century Gothic" w:cs="Arial"/>
          <w:b/>
          <w:bCs/>
          <w:lang w:val="es-ES"/>
        </w:rPr>
      </w:pPr>
      <w:r w:rsidRPr="00696129">
        <w:rPr>
          <w:rFonts w:ascii="Century Gothic" w:hAnsi="Century Gothic" w:cs="Arial"/>
          <w:b/>
          <w:lang w:val="es-ES"/>
        </w:rPr>
        <w:t>CARLOS ALBERTO ZAMBRANO BARRERA</w:t>
      </w:r>
    </w:p>
    <w:p w14:paraId="0608BACF" w14:textId="77777777" w:rsidR="00A255D4" w:rsidRPr="00417276" w:rsidRDefault="00A255D4" w:rsidP="00A255D4">
      <w:pPr>
        <w:spacing w:line="360" w:lineRule="auto"/>
        <w:ind w:right="51"/>
        <w:jc w:val="both"/>
        <w:rPr>
          <w:rFonts w:ascii="Century Gothic" w:hAnsi="Century Gothic"/>
          <w:bCs/>
          <w:szCs w:val="24"/>
        </w:rPr>
      </w:pPr>
    </w:p>
    <w:p w14:paraId="17F34D3A" w14:textId="77777777" w:rsidR="00B32DB9" w:rsidRPr="008B2995" w:rsidRDefault="00B32DB9" w:rsidP="00B32DB9">
      <w:pPr>
        <w:rPr>
          <w:rFonts w:ascii="Arial" w:hAnsi="Arial" w:cs="Arial"/>
          <w:sz w:val="24"/>
          <w:szCs w:val="24"/>
        </w:rPr>
      </w:pPr>
    </w:p>
    <w:p w14:paraId="6BE65C1F" w14:textId="77777777" w:rsidR="00A8191C" w:rsidRDefault="00A8191C"/>
    <w:sectPr w:rsidR="00A8191C" w:rsidSect="00D45656">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A3376" w14:textId="77777777" w:rsidR="00DA7769" w:rsidRDefault="00DA7769" w:rsidP="00A255D4">
      <w:pPr>
        <w:spacing w:after="0" w:line="240" w:lineRule="auto"/>
      </w:pPr>
      <w:r>
        <w:separator/>
      </w:r>
    </w:p>
  </w:endnote>
  <w:endnote w:type="continuationSeparator" w:id="0">
    <w:p w14:paraId="424021FC" w14:textId="77777777" w:rsidR="00DA7769" w:rsidRDefault="00DA7769" w:rsidP="00A2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hrhardt MT">
    <w:altName w:val="Courier New"/>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819AD" w14:textId="77777777" w:rsidR="00DA7769" w:rsidRDefault="00DA7769" w:rsidP="00A255D4">
      <w:pPr>
        <w:spacing w:after="0" w:line="240" w:lineRule="auto"/>
      </w:pPr>
      <w:r>
        <w:separator/>
      </w:r>
    </w:p>
  </w:footnote>
  <w:footnote w:type="continuationSeparator" w:id="0">
    <w:p w14:paraId="0ED5A3A5" w14:textId="77777777" w:rsidR="00DA7769" w:rsidRDefault="00DA7769" w:rsidP="00A255D4">
      <w:pPr>
        <w:spacing w:after="0" w:line="240" w:lineRule="auto"/>
      </w:pPr>
      <w:r>
        <w:continuationSeparator/>
      </w:r>
    </w:p>
  </w:footnote>
  <w:footnote w:id="1">
    <w:p w14:paraId="6AFEF3C1" w14:textId="77777777" w:rsidR="00A255D4" w:rsidRPr="00264CF5" w:rsidRDefault="00A255D4" w:rsidP="00A255D4">
      <w:pPr>
        <w:pStyle w:val="Textonotapie"/>
        <w:jc w:val="both"/>
        <w:rPr>
          <w:rFonts w:ascii="Century Gothic" w:hAnsi="Century Gothic"/>
          <w:sz w:val="16"/>
          <w:szCs w:val="16"/>
          <w:lang w:val="en-US"/>
        </w:rPr>
      </w:pPr>
      <w:r w:rsidRPr="00E65DAD">
        <w:rPr>
          <w:rStyle w:val="Refdenotaalpie"/>
          <w:rFonts w:ascii="Century Gothic" w:hAnsi="Century Gothic"/>
          <w:sz w:val="16"/>
          <w:szCs w:val="16"/>
        </w:rPr>
        <w:footnoteRef/>
      </w:r>
      <w:r w:rsidRPr="00264CF5">
        <w:rPr>
          <w:rFonts w:ascii="Century Gothic" w:hAnsi="Century Gothic"/>
          <w:sz w:val="16"/>
          <w:szCs w:val="16"/>
          <w:lang w:val="en-US"/>
        </w:rPr>
        <w:t xml:space="preserve"> Fls. 1 a 12, C. 1.</w:t>
      </w:r>
    </w:p>
  </w:footnote>
  <w:footnote w:id="2">
    <w:p w14:paraId="51DA18A4" w14:textId="77777777" w:rsidR="00A255D4" w:rsidRPr="00264CF5" w:rsidRDefault="00A255D4" w:rsidP="00A255D4">
      <w:pPr>
        <w:pStyle w:val="Textonotapie"/>
        <w:jc w:val="both"/>
        <w:rPr>
          <w:rFonts w:ascii="Century Gothic" w:hAnsi="Century Gothic"/>
          <w:sz w:val="16"/>
          <w:szCs w:val="16"/>
          <w:lang w:val="en-US"/>
        </w:rPr>
      </w:pPr>
      <w:r w:rsidRPr="00E65DAD">
        <w:rPr>
          <w:rStyle w:val="Refdenotaalpie"/>
          <w:rFonts w:ascii="Century Gothic" w:hAnsi="Century Gothic"/>
          <w:sz w:val="16"/>
          <w:szCs w:val="16"/>
        </w:rPr>
        <w:footnoteRef/>
      </w:r>
      <w:r w:rsidRPr="00264CF5">
        <w:rPr>
          <w:rFonts w:ascii="Century Gothic" w:hAnsi="Century Gothic"/>
          <w:sz w:val="16"/>
          <w:szCs w:val="16"/>
          <w:lang w:val="en-US"/>
        </w:rPr>
        <w:t xml:space="preserve"> Fl. 1, C. 1.</w:t>
      </w:r>
    </w:p>
  </w:footnote>
  <w:footnote w:id="3">
    <w:p w14:paraId="36F02A37" w14:textId="77777777" w:rsidR="00A255D4" w:rsidRPr="00264CF5" w:rsidRDefault="00A255D4" w:rsidP="00A255D4">
      <w:pPr>
        <w:pStyle w:val="Textonotapie"/>
        <w:jc w:val="both"/>
        <w:rPr>
          <w:rFonts w:ascii="Century Gothic" w:hAnsi="Century Gothic"/>
          <w:sz w:val="16"/>
          <w:szCs w:val="16"/>
          <w:lang w:val="en-US"/>
        </w:rPr>
      </w:pPr>
      <w:r w:rsidRPr="00E65DAD">
        <w:rPr>
          <w:rStyle w:val="Refdenotaalpie"/>
          <w:rFonts w:ascii="Century Gothic" w:hAnsi="Century Gothic"/>
          <w:sz w:val="16"/>
          <w:szCs w:val="16"/>
        </w:rPr>
        <w:footnoteRef/>
      </w:r>
      <w:r w:rsidRPr="00264CF5">
        <w:rPr>
          <w:rFonts w:ascii="Century Gothic" w:hAnsi="Century Gothic"/>
          <w:sz w:val="16"/>
          <w:szCs w:val="16"/>
          <w:lang w:val="en-US"/>
        </w:rPr>
        <w:t xml:space="preserve"> Fls. 36 a 40 C.1.</w:t>
      </w:r>
    </w:p>
  </w:footnote>
  <w:footnote w:id="4">
    <w:p w14:paraId="36904344" w14:textId="77777777" w:rsidR="00A255D4" w:rsidRPr="00E65DAD" w:rsidRDefault="00A255D4" w:rsidP="00A255D4">
      <w:pPr>
        <w:pStyle w:val="Textonotapie"/>
        <w:jc w:val="both"/>
        <w:rPr>
          <w:rFonts w:ascii="Century Gothic" w:hAnsi="Century Gothic"/>
          <w:sz w:val="16"/>
          <w:szCs w:val="16"/>
          <w:lang w:val="es-CO"/>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w:t>
      </w:r>
      <w:r w:rsidRPr="00E65DAD">
        <w:rPr>
          <w:rFonts w:ascii="Century Gothic" w:hAnsi="Century Gothic"/>
          <w:sz w:val="16"/>
          <w:szCs w:val="16"/>
          <w:lang w:val="es-CO"/>
        </w:rPr>
        <w:t xml:space="preserve">Fls. 117 a 135, C. Ppal. </w:t>
      </w:r>
    </w:p>
  </w:footnote>
  <w:footnote w:id="5">
    <w:p w14:paraId="577165E3" w14:textId="77777777" w:rsidR="00A255D4" w:rsidRPr="00E65DAD" w:rsidRDefault="00A255D4" w:rsidP="00A255D4">
      <w:pPr>
        <w:jc w:val="both"/>
        <w:rPr>
          <w:rFonts w:ascii="Century Gothic" w:hAnsi="Century Gothic"/>
          <w:sz w:val="16"/>
          <w:szCs w:val="16"/>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w:t>
      </w:r>
      <w:r w:rsidRPr="00E65DAD">
        <w:rPr>
          <w:rFonts w:ascii="Century Gothic" w:hAnsi="Century Gothic" w:cs="Arial"/>
          <w:bCs/>
          <w:sz w:val="16"/>
          <w:szCs w:val="16"/>
        </w:rPr>
        <w:t>El magistrado Luis Eduardo Cerra Jiménez “</w:t>
      </w:r>
      <w:r w:rsidRPr="00E65DAD">
        <w:rPr>
          <w:rFonts w:ascii="Century Gothic" w:hAnsi="Century Gothic" w:cs="Arial"/>
          <w:bCs/>
          <w:i/>
          <w:sz w:val="16"/>
          <w:szCs w:val="16"/>
        </w:rPr>
        <w:t>salvó el voto parcialmente</w:t>
      </w:r>
      <w:r w:rsidRPr="00E65DAD">
        <w:rPr>
          <w:rFonts w:ascii="Century Gothic" w:hAnsi="Century Gothic" w:cs="Arial"/>
          <w:bCs/>
          <w:sz w:val="16"/>
          <w:szCs w:val="16"/>
        </w:rPr>
        <w:t>”, toda vez que, según él, la sentencia confundió “…</w:t>
      </w:r>
      <w:r w:rsidRPr="00E65DAD">
        <w:rPr>
          <w:rFonts w:ascii="Century Gothic" w:hAnsi="Century Gothic" w:cs="Arial"/>
          <w:bCs/>
          <w:i/>
          <w:sz w:val="16"/>
          <w:szCs w:val="16"/>
        </w:rPr>
        <w:t xml:space="preserve"> la figura del compromiso de vigencias futuras</w:t>
      </w:r>
      <w:r w:rsidRPr="00E65DAD">
        <w:rPr>
          <w:rFonts w:ascii="Century Gothic" w:hAnsi="Century Gothic" w:cs="Arial"/>
          <w:bCs/>
          <w:sz w:val="16"/>
          <w:szCs w:val="16"/>
        </w:rPr>
        <w:t xml:space="preserve"> …” con la “</w:t>
      </w:r>
      <w:r w:rsidRPr="00E65DAD">
        <w:rPr>
          <w:rFonts w:ascii="Century Gothic" w:hAnsi="Century Gothic" w:cs="Arial"/>
          <w:bCs/>
          <w:i/>
          <w:sz w:val="16"/>
          <w:szCs w:val="16"/>
        </w:rPr>
        <w:t>titularización”</w:t>
      </w:r>
      <w:r w:rsidRPr="00E65DAD">
        <w:rPr>
          <w:rFonts w:ascii="Century Gothic" w:hAnsi="Century Gothic" w:cs="Arial"/>
          <w:bCs/>
          <w:sz w:val="16"/>
          <w:szCs w:val="16"/>
        </w:rPr>
        <w:t xml:space="preserve"> de las rentas derivadas de la sobretasa de la gasolina y del ACPM; en su criterio, en el presente asunto se presentó un compromiso de vigencia futura y no, como entendió el tribunal, la titularización de activos (fl. 136, c. ppal.). </w:t>
      </w:r>
    </w:p>
  </w:footnote>
  <w:footnote w:id="6">
    <w:p w14:paraId="345E9BAB" w14:textId="77777777" w:rsidR="00A255D4" w:rsidRPr="00A255D4" w:rsidRDefault="00A255D4" w:rsidP="00A255D4">
      <w:pPr>
        <w:pStyle w:val="Textonotapie"/>
        <w:jc w:val="both"/>
        <w:rPr>
          <w:rFonts w:ascii="Century Gothic" w:hAnsi="Century Gothic"/>
          <w:sz w:val="16"/>
          <w:szCs w:val="16"/>
          <w:lang w:val="en-US"/>
        </w:rPr>
      </w:pPr>
      <w:r w:rsidRPr="00E65DAD">
        <w:rPr>
          <w:rStyle w:val="Refdenotaalpie"/>
          <w:rFonts w:ascii="Century Gothic" w:hAnsi="Century Gothic"/>
          <w:sz w:val="16"/>
          <w:szCs w:val="16"/>
        </w:rPr>
        <w:footnoteRef/>
      </w:r>
      <w:r w:rsidRPr="00A255D4">
        <w:rPr>
          <w:rFonts w:ascii="Century Gothic" w:hAnsi="Century Gothic"/>
          <w:sz w:val="16"/>
          <w:szCs w:val="16"/>
          <w:lang w:val="en-US"/>
        </w:rPr>
        <w:t xml:space="preserve"> Fl. 153 C. Ppal.</w:t>
      </w:r>
    </w:p>
  </w:footnote>
  <w:footnote w:id="7">
    <w:p w14:paraId="2C86BFAC" w14:textId="77777777" w:rsidR="00A255D4" w:rsidRPr="00A255D4" w:rsidRDefault="00A255D4" w:rsidP="00A255D4">
      <w:pPr>
        <w:pStyle w:val="Textonotapie"/>
        <w:jc w:val="both"/>
        <w:rPr>
          <w:rFonts w:ascii="Century Gothic" w:hAnsi="Century Gothic"/>
          <w:sz w:val="16"/>
          <w:szCs w:val="16"/>
          <w:lang w:val="en-US"/>
        </w:rPr>
      </w:pPr>
      <w:r w:rsidRPr="00E65DAD">
        <w:rPr>
          <w:rStyle w:val="Refdenotaalpie"/>
          <w:rFonts w:ascii="Century Gothic" w:hAnsi="Century Gothic"/>
          <w:sz w:val="16"/>
          <w:szCs w:val="16"/>
        </w:rPr>
        <w:footnoteRef/>
      </w:r>
      <w:r w:rsidRPr="00A255D4">
        <w:rPr>
          <w:rFonts w:ascii="Century Gothic" w:hAnsi="Century Gothic"/>
          <w:sz w:val="16"/>
          <w:szCs w:val="16"/>
          <w:lang w:val="en-US"/>
        </w:rPr>
        <w:t xml:space="preserve"> Fl. 157 C. Ppal. </w:t>
      </w:r>
    </w:p>
  </w:footnote>
  <w:footnote w:id="8">
    <w:p w14:paraId="4873E713" w14:textId="77777777" w:rsidR="00A255D4" w:rsidRPr="00264CF5" w:rsidRDefault="00A255D4" w:rsidP="00A255D4">
      <w:pPr>
        <w:pStyle w:val="Textonotapie"/>
        <w:jc w:val="both"/>
        <w:rPr>
          <w:rFonts w:ascii="Century Gothic" w:hAnsi="Century Gothic"/>
          <w:sz w:val="16"/>
          <w:szCs w:val="16"/>
          <w:lang w:val="es-CO"/>
        </w:rPr>
      </w:pPr>
      <w:r w:rsidRPr="00E65DAD">
        <w:rPr>
          <w:rStyle w:val="Refdenotaalpie"/>
          <w:rFonts w:ascii="Century Gothic" w:hAnsi="Century Gothic"/>
          <w:sz w:val="16"/>
          <w:szCs w:val="16"/>
        </w:rPr>
        <w:footnoteRef/>
      </w:r>
      <w:r w:rsidRPr="00264CF5">
        <w:rPr>
          <w:rFonts w:ascii="Century Gothic" w:hAnsi="Century Gothic"/>
          <w:sz w:val="16"/>
          <w:szCs w:val="16"/>
          <w:lang w:val="es-CO"/>
        </w:rPr>
        <w:t xml:space="preserve"> Fl. 160 C. </w:t>
      </w:r>
      <w:r w:rsidRPr="00E65DAD">
        <w:rPr>
          <w:rFonts w:ascii="Century Gothic" w:hAnsi="Century Gothic"/>
          <w:sz w:val="16"/>
          <w:szCs w:val="16"/>
          <w:lang w:val="es-CO"/>
        </w:rPr>
        <w:t>Ppal</w:t>
      </w:r>
      <w:r w:rsidRPr="00264CF5">
        <w:rPr>
          <w:rFonts w:ascii="Century Gothic" w:hAnsi="Century Gothic"/>
          <w:sz w:val="16"/>
          <w:szCs w:val="16"/>
          <w:lang w:val="es-CO"/>
        </w:rPr>
        <w:t>.</w:t>
      </w:r>
    </w:p>
  </w:footnote>
  <w:footnote w:id="9">
    <w:p w14:paraId="2174A995" w14:textId="77777777" w:rsidR="00A255D4" w:rsidRPr="00E65DAD" w:rsidRDefault="00A255D4" w:rsidP="00A255D4">
      <w:pPr>
        <w:pStyle w:val="Textonotapie"/>
        <w:jc w:val="both"/>
        <w:rPr>
          <w:rFonts w:ascii="Century Gothic" w:hAnsi="Century Gothic"/>
          <w:sz w:val="16"/>
          <w:szCs w:val="16"/>
          <w:lang w:val="es-CO"/>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L</w:t>
      </w:r>
      <w:r w:rsidRPr="00E65DAD">
        <w:rPr>
          <w:rFonts w:ascii="Century Gothic" w:hAnsi="Century Gothic"/>
          <w:sz w:val="16"/>
          <w:szCs w:val="16"/>
          <w:lang w:val="es-CO"/>
        </w:rPr>
        <w:t xml:space="preserve">a pretensión principal del presente proceso busca la declaratoria de nulidad del Acuerdo 003 del 13 de marzo de 2003, expedido por el Concejo del municipio de Puerto Colombia, </w:t>
      </w:r>
      <w:r w:rsidRPr="00E65DAD">
        <w:rPr>
          <w:rFonts w:ascii="Century Gothic" w:hAnsi="Century Gothic"/>
          <w:bCs/>
          <w:i/>
          <w:sz w:val="16"/>
          <w:szCs w:val="16"/>
          <w:lang w:val="x-none"/>
        </w:rPr>
        <w:t>“… por medio del cual se autoriza al Alcalde</w:t>
      </w:r>
      <w:r w:rsidRPr="00E65DAD">
        <w:rPr>
          <w:rFonts w:ascii="Century Gothic" w:hAnsi="Century Gothic"/>
          <w:bCs/>
          <w:i/>
          <w:sz w:val="16"/>
          <w:szCs w:val="16"/>
          <w:lang w:val="es-ES_tradnl"/>
        </w:rPr>
        <w:t xml:space="preserve"> </w:t>
      </w:r>
      <w:r w:rsidRPr="00E65DAD">
        <w:rPr>
          <w:rFonts w:ascii="Century Gothic" w:hAnsi="Century Gothic"/>
          <w:bCs/>
          <w:i/>
          <w:sz w:val="16"/>
          <w:szCs w:val="16"/>
          <w:lang w:val="x-none"/>
        </w:rPr>
        <w:t xml:space="preserve">Municipal de Puerto Colombia a </w:t>
      </w:r>
      <w:r w:rsidRPr="00E65DAD">
        <w:rPr>
          <w:rFonts w:ascii="Century Gothic" w:hAnsi="Century Gothic"/>
          <w:bCs/>
          <w:sz w:val="16"/>
          <w:szCs w:val="16"/>
          <w:lang w:val="es-ES_tradnl"/>
        </w:rPr>
        <w:t xml:space="preserve">(sic) </w:t>
      </w:r>
      <w:r w:rsidRPr="00E65DAD">
        <w:rPr>
          <w:rFonts w:ascii="Century Gothic" w:hAnsi="Century Gothic"/>
          <w:b/>
          <w:bCs/>
          <w:i/>
          <w:sz w:val="16"/>
          <w:szCs w:val="16"/>
          <w:lang w:val="x-none"/>
        </w:rPr>
        <w:t>celebrar contratos de obras públicas</w:t>
      </w:r>
      <w:r w:rsidRPr="00E65DAD">
        <w:rPr>
          <w:rFonts w:ascii="Century Gothic" w:hAnsi="Century Gothic"/>
          <w:bCs/>
          <w:i/>
          <w:sz w:val="16"/>
          <w:szCs w:val="16"/>
          <w:lang w:val="x-none"/>
        </w:rPr>
        <w:t xml:space="preserve"> por el sistema de concesión y se dictan otras disposiciones”</w:t>
      </w:r>
      <w:r w:rsidRPr="00E65DAD">
        <w:rPr>
          <w:rFonts w:ascii="Century Gothic" w:hAnsi="Century Gothic"/>
          <w:bCs/>
          <w:i/>
          <w:sz w:val="16"/>
          <w:szCs w:val="16"/>
          <w:lang w:val="es-ES_tradnl"/>
        </w:rPr>
        <w:t xml:space="preserve"> </w:t>
      </w:r>
      <w:r w:rsidRPr="00E65DAD">
        <w:rPr>
          <w:rFonts w:ascii="Century Gothic" w:hAnsi="Century Gothic"/>
          <w:bCs/>
          <w:sz w:val="16"/>
          <w:szCs w:val="16"/>
          <w:lang w:val="es-ES_tradnl"/>
        </w:rPr>
        <w:t>(se resalta)</w:t>
      </w:r>
      <w:r w:rsidRPr="00E65DAD">
        <w:rPr>
          <w:rFonts w:ascii="Century Gothic" w:hAnsi="Century Gothic"/>
          <w:sz w:val="16"/>
          <w:szCs w:val="16"/>
          <w:lang w:val="es-CO"/>
        </w:rPr>
        <w:t xml:space="preserve">. </w:t>
      </w:r>
    </w:p>
    <w:p w14:paraId="139A7F44" w14:textId="77777777" w:rsidR="00A255D4" w:rsidRPr="00E65DAD" w:rsidRDefault="00A255D4" w:rsidP="00A255D4">
      <w:pPr>
        <w:pStyle w:val="Textonotapie"/>
        <w:jc w:val="both"/>
        <w:rPr>
          <w:rFonts w:ascii="Century Gothic" w:hAnsi="Century Gothic"/>
          <w:sz w:val="16"/>
          <w:szCs w:val="16"/>
          <w:lang w:val="es-ES_tradnl"/>
        </w:rPr>
      </w:pPr>
    </w:p>
  </w:footnote>
  <w:footnote w:id="10">
    <w:p w14:paraId="291107C8" w14:textId="77777777" w:rsidR="00A255D4" w:rsidRPr="00E65DAD" w:rsidRDefault="00A255D4" w:rsidP="00A255D4">
      <w:pPr>
        <w:pStyle w:val="Textonotapie"/>
        <w:jc w:val="both"/>
        <w:rPr>
          <w:rFonts w:ascii="Century Gothic" w:hAnsi="Century Gothic"/>
          <w:sz w:val="16"/>
          <w:szCs w:val="16"/>
          <w:lang w:val="es-CO"/>
        </w:rPr>
      </w:pPr>
      <w:r w:rsidRPr="00E65DAD">
        <w:rPr>
          <w:rStyle w:val="Refdenotaalpie"/>
          <w:rFonts w:ascii="Century Gothic" w:hAnsi="Century Gothic"/>
          <w:sz w:val="16"/>
          <w:szCs w:val="16"/>
        </w:rPr>
        <w:footnoteRef/>
      </w:r>
      <w:r w:rsidRPr="00E65DAD">
        <w:rPr>
          <w:rFonts w:ascii="Century Gothic" w:hAnsi="Century Gothic"/>
          <w:sz w:val="16"/>
          <w:szCs w:val="16"/>
          <w:lang w:val="es-CO"/>
        </w:rPr>
        <w:t xml:space="preserve"> “... </w:t>
      </w:r>
      <w:r w:rsidRPr="00E65DAD">
        <w:rPr>
          <w:rFonts w:ascii="Century Gothic" w:hAnsi="Century Gothic"/>
          <w:i/>
          <w:sz w:val="16"/>
          <w:szCs w:val="16"/>
          <w:lang w:val="es-CO"/>
        </w:rPr>
        <w:t>la acción de nulidad no sólo puede dar lugar a un juicio de legalidad, sino también de constitucionalidad, dado que los actos administrativos no solamente pueden violar la ley sino la Constitución, y para hacer efectivo el control jurisdiccional frente a este último evento la Carta Política lo instituyó en cabeza de esta jurisdicción (arts. 237.2 y 238)</w:t>
      </w:r>
      <w:r w:rsidRPr="00E65DAD">
        <w:rPr>
          <w:rFonts w:ascii="Century Gothic" w:hAnsi="Century Gothic"/>
          <w:sz w:val="16"/>
          <w:szCs w:val="16"/>
          <w:lang w:val="es-CO"/>
        </w:rPr>
        <w:t>” (Consejo de Estado, Sala de lo Contencioso Administrativo, Sección Primera, sentencia del 3 de marzo de 1995, exp. 2691).</w:t>
      </w:r>
    </w:p>
  </w:footnote>
  <w:footnote w:id="11">
    <w:p w14:paraId="0D64405A" w14:textId="77777777" w:rsidR="00A255D4" w:rsidRPr="00E65DAD" w:rsidRDefault="00A255D4" w:rsidP="00A255D4">
      <w:pPr>
        <w:contextualSpacing/>
        <w:jc w:val="both"/>
        <w:rPr>
          <w:rFonts w:ascii="Century Gothic" w:hAnsi="Century Gothic" w:cs="Arial"/>
          <w:sz w:val="16"/>
          <w:szCs w:val="16"/>
        </w:rPr>
      </w:pPr>
      <w:r w:rsidRPr="00E65DAD">
        <w:rPr>
          <w:rStyle w:val="Refdenotaalpie"/>
          <w:rFonts w:ascii="Century Gothic" w:hAnsi="Century Gothic" w:cs="Arial"/>
          <w:sz w:val="16"/>
          <w:szCs w:val="16"/>
        </w:rPr>
        <w:footnoteRef/>
      </w:r>
      <w:r w:rsidRPr="00E65DAD">
        <w:rPr>
          <w:rFonts w:ascii="Century Gothic" w:hAnsi="Century Gothic" w:cs="Arial"/>
          <w:sz w:val="16"/>
          <w:szCs w:val="16"/>
        </w:rPr>
        <w:t xml:space="preserve"> </w:t>
      </w:r>
      <w:r>
        <w:rPr>
          <w:rFonts w:ascii="Century Gothic" w:hAnsi="Century Gothic" w:cs="Arial"/>
          <w:sz w:val="16"/>
          <w:szCs w:val="16"/>
        </w:rPr>
        <w:t>Consejo de Estado, Sala de lo Contencioso Administrativo, Sección Cuarta, s</w:t>
      </w:r>
      <w:r w:rsidRPr="00E65DAD">
        <w:rPr>
          <w:rFonts w:ascii="Century Gothic" w:hAnsi="Century Gothic" w:cs="Arial"/>
          <w:sz w:val="16"/>
          <w:szCs w:val="16"/>
        </w:rPr>
        <w:t xml:space="preserve">entencia del 25 de junio de 2012, expediente 17834. </w:t>
      </w:r>
    </w:p>
  </w:footnote>
  <w:footnote w:id="12">
    <w:p w14:paraId="5A05751D" w14:textId="77777777" w:rsidR="00A255D4" w:rsidRPr="00E65DAD" w:rsidRDefault="00A255D4" w:rsidP="00A255D4">
      <w:pPr>
        <w:pStyle w:val="Textonotapie"/>
        <w:jc w:val="both"/>
        <w:rPr>
          <w:rFonts w:ascii="Century Gothic" w:hAnsi="Century Gothic"/>
          <w:sz w:val="16"/>
          <w:szCs w:val="16"/>
          <w:lang w:val="es-ES_tradnl"/>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w:t>
      </w:r>
      <w:r w:rsidRPr="00E65DAD">
        <w:rPr>
          <w:rFonts w:ascii="Century Gothic" w:hAnsi="Century Gothic"/>
          <w:sz w:val="16"/>
          <w:szCs w:val="16"/>
          <w:lang w:val="es-CO"/>
        </w:rPr>
        <w:t>BERROCAL GUERRERO, Luis Enrique</w:t>
      </w:r>
      <w:r>
        <w:rPr>
          <w:rFonts w:ascii="Century Gothic" w:hAnsi="Century Gothic"/>
          <w:sz w:val="16"/>
          <w:szCs w:val="16"/>
          <w:lang w:val="es-CO"/>
        </w:rPr>
        <w:t>: “</w:t>
      </w:r>
      <w:r w:rsidRPr="00E65DAD">
        <w:rPr>
          <w:rFonts w:ascii="Century Gothic" w:hAnsi="Century Gothic"/>
          <w:i/>
          <w:sz w:val="16"/>
          <w:szCs w:val="16"/>
          <w:lang w:val="es-CO"/>
        </w:rPr>
        <w:t>Manual del acto administrativo</w:t>
      </w:r>
      <w:r>
        <w:rPr>
          <w:rFonts w:ascii="Century Gothic" w:hAnsi="Century Gothic"/>
          <w:i/>
          <w:sz w:val="16"/>
          <w:szCs w:val="16"/>
          <w:lang w:val="es-CO"/>
        </w:rPr>
        <w:t>”</w:t>
      </w:r>
      <w:r w:rsidRPr="00E65DAD">
        <w:rPr>
          <w:rFonts w:ascii="Century Gothic" w:hAnsi="Century Gothic"/>
          <w:sz w:val="16"/>
          <w:szCs w:val="16"/>
          <w:lang w:val="es-CO"/>
        </w:rPr>
        <w:t>, Bogotá, Librería Ediciones del Profesional, 2009, p. 502.</w:t>
      </w:r>
    </w:p>
  </w:footnote>
  <w:footnote w:id="13">
    <w:p w14:paraId="1E6AD120" w14:textId="77777777" w:rsidR="00A255D4" w:rsidRPr="00E65DAD" w:rsidRDefault="00A255D4" w:rsidP="00A255D4">
      <w:pPr>
        <w:pStyle w:val="Textonotapie"/>
        <w:contextualSpacing/>
        <w:jc w:val="both"/>
        <w:rPr>
          <w:rFonts w:ascii="Century Gothic" w:hAnsi="Century Gothic" w:cs="Arial"/>
          <w:sz w:val="16"/>
          <w:szCs w:val="16"/>
          <w:lang w:val="es-CO"/>
        </w:rPr>
      </w:pPr>
      <w:r w:rsidRPr="00E65DAD">
        <w:rPr>
          <w:rStyle w:val="Refdenotaalpie"/>
          <w:rFonts w:ascii="Century Gothic" w:eastAsia="SimSun" w:hAnsi="Century Gothic" w:cs="Arial"/>
          <w:sz w:val="16"/>
          <w:szCs w:val="16"/>
        </w:rPr>
        <w:footnoteRef/>
      </w:r>
      <w:r w:rsidRPr="00E65DAD">
        <w:rPr>
          <w:rFonts w:ascii="Century Gothic" w:hAnsi="Century Gothic" w:cs="Arial"/>
          <w:sz w:val="16"/>
          <w:szCs w:val="16"/>
        </w:rPr>
        <w:t xml:space="preserve"> </w:t>
      </w:r>
      <w:r>
        <w:rPr>
          <w:rFonts w:ascii="Century Gothic" w:hAnsi="Century Gothic" w:cs="Arial"/>
          <w:sz w:val="16"/>
          <w:szCs w:val="16"/>
        </w:rPr>
        <w:t>Consejo de Estado, Sala de lo Contencioso Administrativo, Sección Quinta, s</w:t>
      </w:r>
      <w:r w:rsidRPr="00E65DAD">
        <w:rPr>
          <w:rFonts w:ascii="Century Gothic" w:hAnsi="Century Gothic" w:cs="Arial"/>
          <w:sz w:val="16"/>
          <w:szCs w:val="16"/>
          <w:lang w:val="es-CO"/>
        </w:rPr>
        <w:t xml:space="preserve">entencia del 23 de marzo de 2007, expediente </w:t>
      </w:r>
      <w:r w:rsidRPr="00E65DAD">
        <w:rPr>
          <w:rFonts w:ascii="Century Gothic" w:hAnsi="Century Gothic" w:cs="Arial"/>
          <w:sz w:val="16"/>
          <w:szCs w:val="16"/>
        </w:rPr>
        <w:t>41200.</w:t>
      </w:r>
    </w:p>
  </w:footnote>
  <w:footnote w:id="14">
    <w:p w14:paraId="02E56835" w14:textId="77777777" w:rsidR="00A255D4" w:rsidRPr="00E65DAD" w:rsidRDefault="00A255D4" w:rsidP="00A255D4">
      <w:pPr>
        <w:pStyle w:val="Textonotapie"/>
        <w:jc w:val="both"/>
        <w:rPr>
          <w:rFonts w:ascii="Century Gothic" w:hAnsi="Century Gothic"/>
          <w:sz w:val="16"/>
          <w:szCs w:val="16"/>
          <w:lang w:val="es-ES_tradnl"/>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w:t>
      </w:r>
      <w:r>
        <w:rPr>
          <w:rFonts w:ascii="Century Gothic" w:hAnsi="Century Gothic"/>
          <w:iCs/>
          <w:sz w:val="16"/>
          <w:szCs w:val="16"/>
          <w:lang w:val="es-CO"/>
        </w:rPr>
        <w:t>C</w:t>
      </w:r>
      <w:r w:rsidRPr="00E65DAD">
        <w:rPr>
          <w:rFonts w:ascii="Century Gothic" w:hAnsi="Century Gothic"/>
          <w:iCs/>
          <w:sz w:val="16"/>
          <w:szCs w:val="16"/>
          <w:lang w:val="es-CO"/>
        </w:rPr>
        <w:t xml:space="preserve">oncepto del 15 de noviembre de 2001, expediente 1371. </w:t>
      </w:r>
    </w:p>
  </w:footnote>
  <w:footnote w:id="15">
    <w:p w14:paraId="35DB79D8" w14:textId="77777777" w:rsidR="00A255D4" w:rsidRPr="00E65DAD" w:rsidRDefault="00A255D4" w:rsidP="00A255D4">
      <w:pPr>
        <w:pStyle w:val="Textonotapie"/>
        <w:jc w:val="both"/>
        <w:rPr>
          <w:rFonts w:ascii="Century Gothic" w:hAnsi="Century Gothic"/>
          <w:sz w:val="16"/>
          <w:szCs w:val="16"/>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Dicha norma dispuso: </w:t>
      </w:r>
    </w:p>
    <w:p w14:paraId="3FDE1CFA" w14:textId="77777777" w:rsidR="00A255D4" w:rsidRPr="00E65DAD" w:rsidRDefault="00A255D4" w:rsidP="00A255D4">
      <w:pPr>
        <w:pStyle w:val="Textonotapie"/>
        <w:jc w:val="both"/>
        <w:rPr>
          <w:rFonts w:ascii="Century Gothic" w:hAnsi="Century Gothic"/>
          <w:sz w:val="16"/>
          <w:szCs w:val="16"/>
        </w:rPr>
      </w:pPr>
    </w:p>
    <w:p w14:paraId="470A7491" w14:textId="77777777" w:rsidR="00A255D4" w:rsidRPr="00E65DAD" w:rsidRDefault="00A255D4" w:rsidP="00A255D4">
      <w:pPr>
        <w:pStyle w:val="Textonotapie"/>
        <w:ind w:left="567" w:right="567"/>
        <w:jc w:val="both"/>
        <w:rPr>
          <w:rFonts w:ascii="Century Gothic" w:hAnsi="Century Gothic"/>
          <w:i/>
          <w:sz w:val="16"/>
          <w:szCs w:val="16"/>
          <w:lang w:val="es-CO"/>
        </w:rPr>
      </w:pPr>
      <w:r w:rsidRPr="00E65DAD">
        <w:rPr>
          <w:rFonts w:ascii="Century Gothic" w:hAnsi="Century Gothic"/>
          <w:i/>
          <w:sz w:val="16"/>
          <w:szCs w:val="16"/>
        </w:rPr>
        <w:t>“</w:t>
      </w:r>
      <w:r w:rsidRPr="00E65DAD">
        <w:rPr>
          <w:rFonts w:ascii="Century Gothic" w:hAnsi="Century Gothic"/>
          <w:i/>
          <w:sz w:val="16"/>
          <w:szCs w:val="16"/>
          <w:lang w:val="es-CO"/>
        </w:rPr>
        <w:t xml:space="preserve">Los recursos provenientes de las sobretasas a la gasolina y al </w:t>
      </w:r>
      <w:r w:rsidRPr="00A5082B">
        <w:rPr>
          <w:rFonts w:ascii="Century Gothic" w:hAnsi="Century Gothic"/>
          <w:i/>
          <w:sz w:val="16"/>
          <w:szCs w:val="16"/>
          <w:lang w:val="es-CO"/>
        </w:rPr>
        <w:t>ACPM podrán</w:t>
      </w:r>
      <w:r w:rsidRPr="00E65DAD">
        <w:rPr>
          <w:rFonts w:ascii="Century Gothic" w:hAnsi="Century Gothic"/>
          <w:i/>
          <w:sz w:val="16"/>
          <w:szCs w:val="16"/>
          <w:lang w:val="es-CO"/>
        </w:rPr>
        <w:t xml:space="preserve"> titularizarse y tener en cuenta como ingreso para efecto de la capacidad de pago de los </w:t>
      </w:r>
      <w:r w:rsidRPr="00E65DAD">
        <w:rPr>
          <w:rFonts w:ascii="Century Gothic" w:hAnsi="Century Gothic"/>
          <w:i/>
          <w:iCs/>
          <w:sz w:val="16"/>
          <w:szCs w:val="16"/>
          <w:lang w:val="es-CO"/>
        </w:rPr>
        <w:t>municipios</w:t>
      </w:r>
      <w:r w:rsidRPr="00E65DAD">
        <w:rPr>
          <w:rFonts w:ascii="Century Gothic" w:hAnsi="Century Gothic"/>
          <w:i/>
          <w:sz w:val="16"/>
          <w:szCs w:val="16"/>
          <w:lang w:val="es-CO"/>
        </w:rPr>
        <w:t>, </w:t>
      </w:r>
      <w:r w:rsidRPr="00E65DAD">
        <w:rPr>
          <w:rFonts w:ascii="Century Gothic" w:hAnsi="Century Gothic"/>
          <w:i/>
          <w:iCs/>
          <w:sz w:val="16"/>
          <w:szCs w:val="16"/>
          <w:lang w:val="es-CO"/>
        </w:rPr>
        <w:t>distritos</w:t>
      </w:r>
      <w:r w:rsidRPr="00E65DAD">
        <w:rPr>
          <w:rFonts w:ascii="Century Gothic" w:hAnsi="Century Gothic"/>
          <w:i/>
          <w:sz w:val="16"/>
          <w:szCs w:val="16"/>
          <w:lang w:val="es-CO"/>
        </w:rPr>
        <w:t xml:space="preserve"> y departamentos. Sólo podrán realizarse en moneda nacional, dentro del respectivo período de gobierno y hasta por un ochenta por ciento (80%) del cálculo de los ingresos que se generarán por la sobretasa en dicho período, y sólo podrá ser destinada a los fines establecidos en las leyes que regulan la materia (...)” </w:t>
      </w:r>
      <w:r w:rsidRPr="00E65DAD">
        <w:rPr>
          <w:rFonts w:ascii="Century Gothic" w:hAnsi="Century Gothic"/>
          <w:sz w:val="16"/>
          <w:szCs w:val="16"/>
          <w:lang w:val="es-CO"/>
        </w:rPr>
        <w:t>(se resalta)</w:t>
      </w:r>
      <w:r w:rsidRPr="00E65DAD">
        <w:rPr>
          <w:rFonts w:ascii="Century Gothic" w:hAnsi="Century Gothic"/>
          <w:i/>
          <w:sz w:val="16"/>
          <w:szCs w:val="16"/>
          <w:lang w:val="es-CO"/>
        </w:rPr>
        <w:t>.</w:t>
      </w:r>
    </w:p>
    <w:p w14:paraId="7726BF08" w14:textId="77777777" w:rsidR="00A255D4" w:rsidRPr="00E65DAD" w:rsidRDefault="00A255D4" w:rsidP="00A255D4">
      <w:pPr>
        <w:pStyle w:val="Textonotapie"/>
        <w:ind w:left="567" w:right="567"/>
        <w:jc w:val="both"/>
        <w:rPr>
          <w:rFonts w:ascii="Century Gothic" w:hAnsi="Century Gothic"/>
          <w:sz w:val="16"/>
          <w:szCs w:val="16"/>
          <w:lang w:val="es-ES_tradnl"/>
        </w:rPr>
      </w:pPr>
    </w:p>
  </w:footnote>
  <w:footnote w:id="16">
    <w:p w14:paraId="247B8660" w14:textId="77777777" w:rsidR="00A255D4" w:rsidRPr="00E65DAD" w:rsidRDefault="00A255D4" w:rsidP="00A255D4">
      <w:pPr>
        <w:pStyle w:val="Textonotapie"/>
        <w:jc w:val="both"/>
        <w:rPr>
          <w:rFonts w:ascii="Century Gothic" w:hAnsi="Century Gothic"/>
          <w:sz w:val="16"/>
          <w:szCs w:val="16"/>
          <w:lang w:val="es-MX"/>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w:t>
      </w:r>
      <w:r w:rsidRPr="00E65DAD">
        <w:rPr>
          <w:rFonts w:ascii="Century Gothic" w:hAnsi="Century Gothic"/>
          <w:sz w:val="16"/>
          <w:szCs w:val="16"/>
          <w:lang w:val="es-MX"/>
        </w:rPr>
        <w:t>BALLESTEROS BELTRAN, María Isabel</w:t>
      </w:r>
      <w:r>
        <w:rPr>
          <w:rFonts w:ascii="Century Gothic" w:hAnsi="Century Gothic"/>
          <w:sz w:val="16"/>
          <w:szCs w:val="16"/>
          <w:lang w:val="es-MX"/>
        </w:rPr>
        <w:t xml:space="preserve">: </w:t>
      </w:r>
      <w:r w:rsidRPr="00E65DAD">
        <w:rPr>
          <w:rFonts w:ascii="Century Gothic" w:hAnsi="Century Gothic"/>
          <w:sz w:val="16"/>
          <w:szCs w:val="16"/>
          <w:lang w:val="es-MX"/>
        </w:rPr>
        <w:t>“</w:t>
      </w:r>
      <w:r w:rsidRPr="00E65DAD">
        <w:rPr>
          <w:rFonts w:ascii="Century Gothic" w:hAnsi="Century Gothic"/>
          <w:i/>
          <w:sz w:val="16"/>
          <w:szCs w:val="16"/>
          <w:lang w:val="es-MX"/>
        </w:rPr>
        <w:t>Marco General de la Titularización”.</w:t>
      </w:r>
      <w:r w:rsidRPr="00E65DAD">
        <w:rPr>
          <w:rFonts w:ascii="Century Gothic" w:hAnsi="Century Gothic"/>
          <w:sz w:val="16"/>
          <w:szCs w:val="16"/>
          <w:lang w:val="es-MX"/>
        </w:rPr>
        <w:t xml:space="preserve"> En: </w:t>
      </w:r>
      <w:r>
        <w:rPr>
          <w:rFonts w:ascii="Century Gothic" w:hAnsi="Century Gothic"/>
          <w:sz w:val="16"/>
          <w:szCs w:val="16"/>
          <w:lang w:val="es-MX"/>
        </w:rPr>
        <w:t>“</w:t>
      </w:r>
      <w:r w:rsidRPr="00E65DAD">
        <w:rPr>
          <w:rFonts w:ascii="Century Gothic" w:hAnsi="Century Gothic"/>
          <w:sz w:val="16"/>
          <w:szCs w:val="16"/>
          <w:lang w:val="es-MX"/>
        </w:rPr>
        <w:t xml:space="preserve">Revista </w:t>
      </w:r>
      <w:r w:rsidRPr="00E65DAD">
        <w:rPr>
          <w:rFonts w:ascii="Century Gothic" w:hAnsi="Century Gothic"/>
          <w:i/>
          <w:sz w:val="16"/>
          <w:szCs w:val="16"/>
          <w:lang w:val="es-MX"/>
        </w:rPr>
        <w:t>Construcción, Estancamiento, Parálisis o Caída</w:t>
      </w:r>
      <w:r w:rsidRPr="00E65DAD">
        <w:rPr>
          <w:rFonts w:ascii="Century Gothic" w:hAnsi="Century Gothic"/>
          <w:sz w:val="16"/>
          <w:szCs w:val="16"/>
          <w:lang w:val="es-MX"/>
        </w:rPr>
        <w:t>, Universidad Javeriana</w:t>
      </w:r>
      <w:r>
        <w:rPr>
          <w:rFonts w:ascii="Century Gothic" w:hAnsi="Century Gothic"/>
          <w:sz w:val="16"/>
          <w:szCs w:val="16"/>
          <w:lang w:val="es-MX"/>
        </w:rPr>
        <w:t>”</w:t>
      </w:r>
      <w:r w:rsidRPr="00E65DAD">
        <w:rPr>
          <w:rFonts w:ascii="Century Gothic" w:hAnsi="Century Gothic"/>
          <w:sz w:val="16"/>
          <w:szCs w:val="16"/>
          <w:lang w:val="es-MX"/>
        </w:rPr>
        <w:t>, Bogotá, 1995, tomo 125, número 616, pág. 47.</w:t>
      </w:r>
    </w:p>
    <w:p w14:paraId="31DEDD14" w14:textId="77777777" w:rsidR="00A255D4" w:rsidRPr="00E65DAD" w:rsidRDefault="00A255D4" w:rsidP="00A255D4">
      <w:pPr>
        <w:pStyle w:val="Textonotapie"/>
        <w:jc w:val="both"/>
        <w:rPr>
          <w:rFonts w:ascii="Century Gothic" w:hAnsi="Century Gothic"/>
          <w:sz w:val="16"/>
          <w:szCs w:val="16"/>
        </w:rPr>
      </w:pPr>
    </w:p>
  </w:footnote>
  <w:footnote w:id="17">
    <w:p w14:paraId="4DD417B0" w14:textId="77777777" w:rsidR="00A255D4" w:rsidRPr="00E65DAD" w:rsidRDefault="00A255D4" w:rsidP="00A255D4">
      <w:pPr>
        <w:pStyle w:val="Textonotapie"/>
        <w:jc w:val="both"/>
        <w:rPr>
          <w:rFonts w:ascii="Century Gothic" w:hAnsi="Century Gothic"/>
          <w:sz w:val="16"/>
          <w:szCs w:val="16"/>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RENGIFO GARCÍA, </w:t>
      </w:r>
      <w:r w:rsidRPr="00E65DAD">
        <w:rPr>
          <w:rFonts w:ascii="Century Gothic" w:hAnsi="Century Gothic"/>
          <w:sz w:val="16"/>
          <w:szCs w:val="16"/>
          <w:lang w:val="es-CO"/>
        </w:rPr>
        <w:t>Ernesto</w:t>
      </w:r>
      <w:r>
        <w:rPr>
          <w:rFonts w:ascii="Century Gothic" w:hAnsi="Century Gothic"/>
          <w:sz w:val="16"/>
          <w:szCs w:val="16"/>
          <w:lang w:val="es-CO"/>
        </w:rPr>
        <w:t xml:space="preserve">: </w:t>
      </w:r>
      <w:r w:rsidRPr="00E65DAD">
        <w:rPr>
          <w:rFonts w:ascii="Century Gothic" w:hAnsi="Century Gothic"/>
          <w:i/>
          <w:sz w:val="16"/>
          <w:szCs w:val="16"/>
        </w:rPr>
        <w:t>“La Fiducia Mercantil y Pública en Colombia”</w:t>
      </w:r>
      <w:r w:rsidRPr="00E65DAD">
        <w:rPr>
          <w:rFonts w:ascii="Century Gothic" w:hAnsi="Century Gothic"/>
          <w:sz w:val="16"/>
          <w:szCs w:val="16"/>
        </w:rPr>
        <w:t>:</w:t>
      </w:r>
      <w:r w:rsidRPr="00E65DAD">
        <w:rPr>
          <w:rFonts w:ascii="Century Gothic" w:hAnsi="Century Gothic"/>
          <w:i/>
          <w:sz w:val="16"/>
          <w:szCs w:val="16"/>
        </w:rPr>
        <w:t xml:space="preserve"> </w:t>
      </w:r>
      <w:r w:rsidRPr="00E65DAD">
        <w:rPr>
          <w:rFonts w:ascii="Century Gothic" w:hAnsi="Century Gothic"/>
          <w:sz w:val="16"/>
          <w:szCs w:val="16"/>
        </w:rPr>
        <w:t>Universidad Externado de Colombia, Bogotá, 1998, pág. 153.</w:t>
      </w:r>
    </w:p>
  </w:footnote>
  <w:footnote w:id="18">
    <w:p w14:paraId="5C9DA975" w14:textId="77777777" w:rsidR="00A255D4" w:rsidRPr="00E65DAD" w:rsidRDefault="00A255D4" w:rsidP="00A255D4">
      <w:pPr>
        <w:pStyle w:val="Textonotapie"/>
        <w:jc w:val="both"/>
        <w:rPr>
          <w:rFonts w:ascii="Century Gothic" w:hAnsi="Century Gothic"/>
          <w:sz w:val="16"/>
          <w:szCs w:val="16"/>
        </w:rPr>
      </w:pPr>
    </w:p>
    <w:p w14:paraId="277AC446" w14:textId="77777777" w:rsidR="00A255D4" w:rsidRPr="00E65DAD" w:rsidRDefault="00A255D4" w:rsidP="00A255D4">
      <w:pPr>
        <w:pStyle w:val="Textonotapie"/>
        <w:jc w:val="both"/>
        <w:rPr>
          <w:rFonts w:ascii="Century Gothic" w:hAnsi="Century Gothic"/>
          <w:sz w:val="16"/>
          <w:szCs w:val="16"/>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Ibídem, pág. 153.</w:t>
      </w:r>
    </w:p>
  </w:footnote>
  <w:footnote w:id="19">
    <w:p w14:paraId="2BC871F2" w14:textId="77777777" w:rsidR="00A255D4" w:rsidRPr="00E65DAD" w:rsidRDefault="00A255D4" w:rsidP="00A255D4">
      <w:pPr>
        <w:pStyle w:val="Textonotapie"/>
        <w:jc w:val="both"/>
        <w:rPr>
          <w:rFonts w:ascii="Century Gothic" w:hAnsi="Century Gothic" w:cs="Arial"/>
          <w:sz w:val="16"/>
          <w:szCs w:val="16"/>
        </w:rPr>
      </w:pPr>
      <w:r w:rsidRPr="00E65DAD">
        <w:rPr>
          <w:rStyle w:val="Refdenotaalpie"/>
          <w:rFonts w:ascii="Century Gothic" w:hAnsi="Century Gothic" w:cs="Arial"/>
          <w:sz w:val="16"/>
          <w:szCs w:val="16"/>
        </w:rPr>
        <w:footnoteRef/>
      </w:r>
      <w:r>
        <w:rPr>
          <w:rFonts w:ascii="Century Gothic" w:hAnsi="Century Gothic" w:cs="Arial"/>
          <w:sz w:val="16"/>
          <w:szCs w:val="16"/>
        </w:rPr>
        <w:t xml:space="preserve"> Restrepo, Juan Camilo: “</w:t>
      </w:r>
      <w:r w:rsidRPr="00E65DAD">
        <w:rPr>
          <w:rFonts w:ascii="Century Gothic" w:hAnsi="Century Gothic" w:cs="Arial"/>
          <w:i/>
          <w:sz w:val="16"/>
          <w:szCs w:val="16"/>
        </w:rPr>
        <w:t>Derecho Presupuestal Colombiano</w:t>
      </w:r>
      <w:r>
        <w:rPr>
          <w:rFonts w:ascii="Century Gothic" w:hAnsi="Century Gothic" w:cs="Arial"/>
          <w:i/>
          <w:sz w:val="16"/>
          <w:szCs w:val="16"/>
        </w:rPr>
        <w:t>”</w:t>
      </w:r>
      <w:r w:rsidRPr="00E65DAD">
        <w:rPr>
          <w:rFonts w:ascii="Century Gothic" w:hAnsi="Century Gothic" w:cs="Arial"/>
          <w:sz w:val="16"/>
          <w:szCs w:val="16"/>
        </w:rPr>
        <w:t>, 2ª edición, Bogotá, Legis, 2014, p. 186.</w:t>
      </w:r>
    </w:p>
  </w:footnote>
  <w:footnote w:id="20">
    <w:p w14:paraId="43C81373" w14:textId="77777777" w:rsidR="00A255D4" w:rsidRPr="00E65DAD" w:rsidRDefault="00A255D4" w:rsidP="00A255D4">
      <w:pPr>
        <w:pStyle w:val="Textonotapie"/>
        <w:jc w:val="both"/>
        <w:rPr>
          <w:rFonts w:ascii="Century Gothic" w:hAnsi="Century Gothic"/>
          <w:sz w:val="16"/>
          <w:szCs w:val="16"/>
          <w:lang w:val="es-ES_tradnl"/>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w:t>
      </w:r>
      <w:r w:rsidRPr="00E65DAD">
        <w:rPr>
          <w:rFonts w:ascii="Century Gothic" w:hAnsi="Century Gothic"/>
          <w:sz w:val="16"/>
          <w:szCs w:val="16"/>
          <w:lang w:val="es-CO"/>
        </w:rPr>
        <w:t>Corte Constitucional, s</w:t>
      </w:r>
      <w:r w:rsidRPr="00E65DAD">
        <w:rPr>
          <w:rFonts w:ascii="Century Gothic" w:hAnsi="Century Gothic"/>
          <w:iCs/>
          <w:sz w:val="16"/>
          <w:szCs w:val="16"/>
          <w:lang w:val="es-CO"/>
        </w:rPr>
        <w:t>entencia C-337 de 1993.</w:t>
      </w:r>
    </w:p>
  </w:footnote>
  <w:footnote w:id="21">
    <w:p w14:paraId="6D9F0801" w14:textId="77777777" w:rsidR="00A255D4" w:rsidRPr="00E65DAD" w:rsidRDefault="00A255D4" w:rsidP="00A255D4">
      <w:pPr>
        <w:pStyle w:val="Textonotapie"/>
        <w:jc w:val="both"/>
        <w:rPr>
          <w:rFonts w:ascii="Century Gothic" w:hAnsi="Century Gothic"/>
          <w:sz w:val="16"/>
          <w:szCs w:val="16"/>
          <w:lang w:val="es-ES_tradnl"/>
        </w:rPr>
      </w:pPr>
      <w:r w:rsidRPr="00E65DAD">
        <w:rPr>
          <w:rStyle w:val="Refdenotaalpie"/>
          <w:rFonts w:ascii="Century Gothic" w:hAnsi="Century Gothic"/>
          <w:sz w:val="16"/>
          <w:szCs w:val="16"/>
        </w:rPr>
        <w:footnoteRef/>
      </w:r>
      <w:r w:rsidRPr="00E65DAD">
        <w:rPr>
          <w:rFonts w:ascii="Century Gothic" w:hAnsi="Century Gothic"/>
          <w:sz w:val="16"/>
          <w:szCs w:val="16"/>
        </w:rPr>
        <w:t xml:space="preserve"> </w:t>
      </w:r>
      <w:r w:rsidRPr="00E65DAD">
        <w:rPr>
          <w:rFonts w:ascii="Century Gothic" w:hAnsi="Century Gothic"/>
          <w:sz w:val="16"/>
          <w:szCs w:val="16"/>
          <w:lang w:val="es-CO"/>
        </w:rPr>
        <w:t>Las vigencias futuras se clasifican en “ordinarias” y “excepcionales”, según se requiera o no apropiación presupuestal en el año en qu</w:t>
      </w:r>
      <w:r>
        <w:rPr>
          <w:rFonts w:ascii="Century Gothic" w:hAnsi="Century Gothic"/>
          <w:sz w:val="16"/>
          <w:szCs w:val="16"/>
          <w:lang w:val="es-CO"/>
        </w:rPr>
        <w:t>e se comprometan tales vigencias</w:t>
      </w:r>
      <w:r w:rsidRPr="00E65DAD">
        <w:rPr>
          <w:rFonts w:ascii="Century Gothic" w:hAnsi="Century Gothic"/>
          <w:sz w:val="16"/>
          <w:szCs w:val="16"/>
          <w:lang w:val="es-CO"/>
        </w:rPr>
        <w:t xml:space="preserve">; sin embargo, la Sala no se detendrá sobre el particular y, para el efecto, recomienda consultar la sentencia del 1 de febrero de 2018 (SU), radicado: 08001-23-31-000-2010-00987-01, de la Sección Primera de esta Corporación. </w:t>
      </w:r>
    </w:p>
  </w:footnote>
  <w:footnote w:id="22">
    <w:p w14:paraId="0902F76B" w14:textId="77777777" w:rsidR="00A255D4" w:rsidRPr="00E65DAD" w:rsidRDefault="00A255D4" w:rsidP="00A255D4">
      <w:pPr>
        <w:pStyle w:val="Textonotapie"/>
        <w:jc w:val="both"/>
        <w:rPr>
          <w:rFonts w:ascii="Century Gothic" w:hAnsi="Century Gothic" w:cs="Arial"/>
          <w:sz w:val="16"/>
          <w:szCs w:val="16"/>
        </w:rPr>
      </w:pPr>
      <w:r w:rsidRPr="00E65DAD">
        <w:rPr>
          <w:rStyle w:val="Refdenotaalpie"/>
          <w:rFonts w:ascii="Century Gothic" w:hAnsi="Century Gothic" w:cs="Arial"/>
          <w:sz w:val="16"/>
          <w:szCs w:val="16"/>
        </w:rPr>
        <w:footnoteRef/>
      </w:r>
      <w:r w:rsidRPr="00E65DAD">
        <w:rPr>
          <w:rFonts w:ascii="Century Gothic" w:hAnsi="Century Gothic" w:cs="Arial"/>
          <w:sz w:val="16"/>
          <w:szCs w:val="16"/>
        </w:rPr>
        <w:t xml:space="preserve"> El texto de esta disposición fue compilado en el artículo 23 del Decreto 111 de 1996, “</w:t>
      </w:r>
      <w:r w:rsidRPr="00E65DAD">
        <w:rPr>
          <w:rFonts w:ascii="Century Gothic" w:hAnsi="Century Gothic" w:cs="Arial"/>
          <w:i/>
          <w:sz w:val="16"/>
          <w:szCs w:val="16"/>
        </w:rPr>
        <w:t>Por el cual se compilan la Ley 38 de 1989, la Ley 179 de 1994 y la Ley 225 de 1995 que conforman el Estatuto Orgánico del Presupuesto</w:t>
      </w:r>
      <w:r w:rsidRPr="00E65DAD">
        <w:rPr>
          <w:rFonts w:ascii="Century Gothic" w:hAnsi="Century Gothic"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7482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A64731"/>
    <w:multiLevelType w:val="hybridMultilevel"/>
    <w:tmpl w:val="70447406"/>
    <w:lvl w:ilvl="0" w:tplc="892AB26C">
      <w:start w:val="1"/>
      <w:numFmt w:val="bullet"/>
      <w:suff w:val="space"/>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A43595"/>
    <w:multiLevelType w:val="hybridMultilevel"/>
    <w:tmpl w:val="560C95C4"/>
    <w:lvl w:ilvl="0" w:tplc="9C0C28D2">
      <w:start w:val="60"/>
      <w:numFmt w:val="bullet"/>
      <w:suff w:val="space"/>
      <w:lvlText w:val="-"/>
      <w:lvlJc w:val="left"/>
      <w:pPr>
        <w:ind w:left="0" w:firstLine="360"/>
      </w:pPr>
      <w:rPr>
        <w:rFonts w:ascii="Arial" w:eastAsia="Calibri"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33B46"/>
    <w:multiLevelType w:val="hybridMultilevel"/>
    <w:tmpl w:val="38F09F7C"/>
    <w:lvl w:ilvl="0" w:tplc="15FE2536">
      <w:start w:val="60"/>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E643E9"/>
    <w:multiLevelType w:val="hybridMultilevel"/>
    <w:tmpl w:val="7EBA12C6"/>
    <w:lvl w:ilvl="0" w:tplc="90C09604">
      <w:start w:val="1"/>
      <w:numFmt w:val="decimal"/>
      <w:lvlText w:val="%1)"/>
      <w:lvlJc w:val="left"/>
      <w:pPr>
        <w:ind w:left="720" w:hanging="360"/>
      </w:pPr>
      <w:rPr>
        <w:rFonts w:cs="Times New Roman" w:hint="default"/>
        <w:b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15:restartNumberingAfterBreak="0">
    <w:nsid w:val="6D77444F"/>
    <w:multiLevelType w:val="hybridMultilevel"/>
    <w:tmpl w:val="7EBA12C6"/>
    <w:lvl w:ilvl="0" w:tplc="90C09604">
      <w:start w:val="1"/>
      <w:numFmt w:val="decimal"/>
      <w:lvlText w:val="%1)"/>
      <w:lvlJc w:val="left"/>
      <w:pPr>
        <w:ind w:left="720" w:hanging="360"/>
      </w:pPr>
      <w:rPr>
        <w:rFonts w:cs="Times New Roman" w:hint="default"/>
        <w:b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6E976B19"/>
    <w:multiLevelType w:val="hybridMultilevel"/>
    <w:tmpl w:val="C3ECE410"/>
    <w:lvl w:ilvl="0" w:tplc="AABA560E">
      <w:start w:val="1"/>
      <w:numFmt w:val="decimal"/>
      <w:suff w:val="space"/>
      <w:lvlText w:val="%1."/>
      <w:lvlJc w:val="left"/>
      <w:pPr>
        <w:ind w:left="1210" w:hanging="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7" w15:restartNumberingAfterBreak="0">
    <w:nsid w:val="78830FDA"/>
    <w:multiLevelType w:val="hybridMultilevel"/>
    <w:tmpl w:val="67C8D3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B9"/>
    <w:rsid w:val="00012E27"/>
    <w:rsid w:val="00015E63"/>
    <w:rsid w:val="00073079"/>
    <w:rsid w:val="000740CD"/>
    <w:rsid w:val="000C3670"/>
    <w:rsid w:val="00203D1C"/>
    <w:rsid w:val="00231A28"/>
    <w:rsid w:val="00290FF2"/>
    <w:rsid w:val="003337A9"/>
    <w:rsid w:val="00344901"/>
    <w:rsid w:val="00376493"/>
    <w:rsid w:val="00392A5F"/>
    <w:rsid w:val="003A4C02"/>
    <w:rsid w:val="003C3423"/>
    <w:rsid w:val="0045326A"/>
    <w:rsid w:val="005C5BA5"/>
    <w:rsid w:val="005E63D6"/>
    <w:rsid w:val="00643998"/>
    <w:rsid w:val="00683C4F"/>
    <w:rsid w:val="00696129"/>
    <w:rsid w:val="006D4C08"/>
    <w:rsid w:val="0073063A"/>
    <w:rsid w:val="007C3E5E"/>
    <w:rsid w:val="00862290"/>
    <w:rsid w:val="00896CA8"/>
    <w:rsid w:val="008A3E50"/>
    <w:rsid w:val="0095502E"/>
    <w:rsid w:val="00984F6E"/>
    <w:rsid w:val="009B5640"/>
    <w:rsid w:val="009B6EC9"/>
    <w:rsid w:val="00A255D4"/>
    <w:rsid w:val="00A8191C"/>
    <w:rsid w:val="00AB3BD5"/>
    <w:rsid w:val="00B16B22"/>
    <w:rsid w:val="00B32DB9"/>
    <w:rsid w:val="00B85852"/>
    <w:rsid w:val="00C948FA"/>
    <w:rsid w:val="00CD6169"/>
    <w:rsid w:val="00CF3394"/>
    <w:rsid w:val="00D45656"/>
    <w:rsid w:val="00D6672C"/>
    <w:rsid w:val="00DA7769"/>
    <w:rsid w:val="00E31F1D"/>
    <w:rsid w:val="00E50810"/>
    <w:rsid w:val="00E83259"/>
    <w:rsid w:val="00E9500B"/>
    <w:rsid w:val="00EC2F9C"/>
    <w:rsid w:val="00EF181D"/>
    <w:rsid w:val="00F26EE9"/>
    <w:rsid w:val="00F65130"/>
    <w:rsid w:val="00FC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90D190"/>
  <w15:chartTrackingRefBased/>
  <w15:docId w15:val="{BD253F69-24E7-44B7-9766-F1957325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A255D4"/>
    <w:pPr>
      <w:keepNext/>
      <w:keepLines/>
      <w:spacing w:before="480" w:after="0" w:line="240" w:lineRule="auto"/>
      <w:jc w:val="both"/>
      <w:outlineLvl w:val="0"/>
    </w:pPr>
    <w:rPr>
      <w:rFonts w:ascii="Cambria" w:eastAsia="Times New Roman" w:hAnsi="Cambria"/>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255D4"/>
    <w:rPr>
      <w:rFonts w:ascii="Cambria" w:eastAsia="Times New Roman" w:hAnsi="Cambria"/>
      <w:b/>
      <w:bCs/>
      <w:color w:val="365F91"/>
      <w:sz w:val="28"/>
      <w:szCs w:val="28"/>
      <w:lang w:val="es-ES" w:eastAsia="en-US"/>
    </w:rPr>
  </w:style>
  <w:style w:type="numbering" w:customStyle="1" w:styleId="Sinlista1">
    <w:name w:val="Sin lista1"/>
    <w:next w:val="Sinlista"/>
    <w:uiPriority w:val="99"/>
    <w:semiHidden/>
    <w:unhideWhenUsed/>
    <w:rsid w:val="00A255D4"/>
  </w:style>
  <w:style w:type="paragraph" w:customStyle="1" w:styleId="a">
    <w:basedOn w:val="Normal"/>
    <w:next w:val="Normal"/>
    <w:link w:val="TtuloCar"/>
    <w:qFormat/>
    <w:rsid w:val="00A255D4"/>
    <w:pPr>
      <w:suppressAutoHyphens/>
      <w:overflowPunct w:val="0"/>
      <w:autoSpaceDE w:val="0"/>
      <w:autoSpaceDN w:val="0"/>
      <w:adjustRightInd w:val="0"/>
      <w:spacing w:after="0" w:line="240" w:lineRule="auto"/>
      <w:ind w:right="360"/>
      <w:jc w:val="center"/>
      <w:textAlignment w:val="baseline"/>
    </w:pPr>
    <w:rPr>
      <w:rFonts w:ascii="Arial" w:eastAsia="Times New Roman" w:hAnsi="Arial"/>
      <w:b/>
      <w:bCs/>
      <w:sz w:val="24"/>
      <w:szCs w:val="24"/>
      <w:lang w:val="x-none" w:eastAsia="es-ES"/>
    </w:rPr>
  </w:style>
  <w:style w:type="character" w:customStyle="1" w:styleId="TtuloCar">
    <w:name w:val="Título Car"/>
    <w:link w:val="a"/>
    <w:rsid w:val="00A255D4"/>
    <w:rPr>
      <w:rFonts w:ascii="Arial" w:eastAsia="Times New Roman" w:hAnsi="Arial"/>
      <w:b/>
      <w:bCs/>
      <w:sz w:val="24"/>
      <w:szCs w:val="24"/>
      <w:lang w:val="x-none" w:eastAsia="es-ES"/>
    </w:rPr>
  </w:style>
  <w:style w:type="character" w:styleId="Nmerodepgina">
    <w:name w:val="page number"/>
    <w:rsid w:val="00A255D4"/>
  </w:style>
  <w:style w:type="paragraph" w:styleId="Encabezado">
    <w:name w:val="header"/>
    <w:basedOn w:val="Normal"/>
    <w:link w:val="EncabezadoCar"/>
    <w:uiPriority w:val="99"/>
    <w:rsid w:val="00A255D4"/>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EncabezadoCar">
    <w:name w:val="Encabezado Car"/>
    <w:link w:val="Encabezado"/>
    <w:uiPriority w:val="99"/>
    <w:rsid w:val="00A255D4"/>
    <w:rPr>
      <w:rFonts w:ascii="Arial" w:eastAsia="Times New Roman" w:hAnsi="Arial"/>
      <w:lang w:val="es-ES_tradnl" w:eastAsia="es-ES"/>
    </w:rPr>
  </w:style>
  <w:style w:type="paragraph" w:styleId="Textoindependiente2">
    <w:name w:val="Body Text 2"/>
    <w:basedOn w:val="Normal"/>
    <w:link w:val="Textoindependiente2Car"/>
    <w:rsid w:val="00A255D4"/>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A255D4"/>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A255D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A255D4"/>
    <w:rPr>
      <w:rFonts w:ascii="Times New Roman" w:eastAsia="Times New Roman" w:hAnsi="Times New Roman"/>
      <w:lang w:val="es-ES" w:eastAsia="es-ES"/>
    </w:rPr>
  </w:style>
  <w:style w:type="character" w:styleId="Refdenotaalpie">
    <w:name w:val="footnote reference"/>
    <w:aliases w:val="Ref. de nota al pie 2,Ref,de nota al pie,FC,Appel note de bas de p,Pie de Página,Texto de nota al pie,Texto de nota al p,Pie de Pàgina,F,Pie de P_gin,Pie de P_,Texto de nota al pi,Pie de P_g,Footnotes refss,Appel note de bas de page"/>
    <w:qFormat/>
    <w:rsid w:val="00A255D4"/>
    <w:rPr>
      <w:vertAlign w:val="superscript"/>
    </w:rPr>
  </w:style>
  <w:style w:type="paragraph" w:styleId="Piedepgina">
    <w:name w:val="footer"/>
    <w:basedOn w:val="Normal"/>
    <w:link w:val="PiedepginaCar"/>
    <w:uiPriority w:val="99"/>
    <w:unhideWhenUsed/>
    <w:rsid w:val="00A255D4"/>
    <w:pPr>
      <w:tabs>
        <w:tab w:val="center" w:pos="4419"/>
        <w:tab w:val="right" w:pos="8838"/>
      </w:tabs>
      <w:spacing w:after="200" w:line="276" w:lineRule="auto"/>
    </w:pPr>
    <w:rPr>
      <w:lang w:val="x-none"/>
    </w:rPr>
  </w:style>
  <w:style w:type="character" w:customStyle="1" w:styleId="PiedepginaCar">
    <w:name w:val="Pie de página Car"/>
    <w:link w:val="Piedepgina"/>
    <w:uiPriority w:val="99"/>
    <w:rsid w:val="00A255D4"/>
    <w:rPr>
      <w:sz w:val="22"/>
      <w:szCs w:val="22"/>
      <w:lang w:val="x-none" w:eastAsia="en-US"/>
    </w:rPr>
  </w:style>
  <w:style w:type="table" w:styleId="Tablaconcuadrcula">
    <w:name w:val="Table Grid"/>
    <w:basedOn w:val="Tablanormal"/>
    <w:uiPriority w:val="39"/>
    <w:rsid w:val="00A2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255D4"/>
    <w:pPr>
      <w:spacing w:beforeLines="1" w:afterLines="1" w:after="0" w:line="240" w:lineRule="auto"/>
    </w:pPr>
    <w:rPr>
      <w:rFonts w:ascii="Times" w:eastAsia="Times New Roman" w:hAnsi="Times"/>
      <w:sz w:val="20"/>
      <w:szCs w:val="20"/>
      <w:lang w:val="es-ES_tradnl" w:eastAsia="es-ES_tradnl"/>
    </w:rPr>
  </w:style>
  <w:style w:type="paragraph" w:styleId="Textodebloque">
    <w:name w:val="Block Text"/>
    <w:basedOn w:val="Normal"/>
    <w:semiHidden/>
    <w:rsid w:val="00A255D4"/>
    <w:pPr>
      <w:spacing w:after="0" w:line="240" w:lineRule="auto"/>
      <w:ind w:left="1416" w:right="14"/>
      <w:jc w:val="both"/>
    </w:pPr>
    <w:rPr>
      <w:rFonts w:ascii="Century Gothic" w:eastAsia="Times New Roman" w:hAnsi="Century Gothic"/>
      <w:color w:val="000000"/>
      <w:szCs w:val="24"/>
      <w:lang w:val="es-ES" w:eastAsia="es-ES"/>
    </w:rPr>
  </w:style>
  <w:style w:type="paragraph" w:styleId="Textoindependiente">
    <w:name w:val="Body Text"/>
    <w:aliases w:val=" Car"/>
    <w:basedOn w:val="Normal"/>
    <w:link w:val="TextoindependienteCar"/>
    <w:rsid w:val="00A255D4"/>
    <w:pPr>
      <w:spacing w:after="120" w:line="240" w:lineRule="auto"/>
    </w:pPr>
    <w:rPr>
      <w:rFonts w:ascii="Times New Roman" w:eastAsia="Times New Roman" w:hAnsi="Times New Roman"/>
      <w:sz w:val="24"/>
      <w:szCs w:val="24"/>
      <w:lang w:val="x-none" w:eastAsia="x-none"/>
    </w:rPr>
  </w:style>
  <w:style w:type="character" w:customStyle="1" w:styleId="TextoindependienteCar">
    <w:name w:val="Texto independiente Car"/>
    <w:aliases w:val=" Car Car"/>
    <w:link w:val="Textoindependiente"/>
    <w:rsid w:val="00A255D4"/>
    <w:rPr>
      <w:rFonts w:ascii="Times New Roman" w:eastAsia="Times New Roman" w:hAnsi="Times New Roman"/>
      <w:sz w:val="24"/>
      <w:szCs w:val="24"/>
      <w:lang w:val="x-none" w:eastAsia="x-none"/>
    </w:rPr>
  </w:style>
  <w:style w:type="paragraph" w:styleId="Sangra2detindependiente">
    <w:name w:val="Body Text Indent 2"/>
    <w:basedOn w:val="Normal"/>
    <w:link w:val="Sangra2detindependienteCar"/>
    <w:rsid w:val="00A255D4"/>
    <w:pPr>
      <w:spacing w:after="120" w:line="480" w:lineRule="auto"/>
      <w:ind w:left="283"/>
    </w:pPr>
    <w:rPr>
      <w:rFonts w:ascii="Times New Roman" w:eastAsia="Times New Roman" w:hAnsi="Times New Roman"/>
      <w:sz w:val="24"/>
      <w:szCs w:val="24"/>
      <w:lang w:val="x-none" w:eastAsia="x-none"/>
    </w:rPr>
  </w:style>
  <w:style w:type="character" w:customStyle="1" w:styleId="Sangra2detindependienteCar">
    <w:name w:val="Sangría 2 de t. independiente Car"/>
    <w:link w:val="Sangra2detindependiente"/>
    <w:rsid w:val="00A255D4"/>
    <w:rPr>
      <w:rFonts w:ascii="Times New Roman" w:eastAsia="Times New Roman" w:hAnsi="Times New Roman"/>
      <w:sz w:val="24"/>
      <w:szCs w:val="24"/>
      <w:lang w:val="x-none" w:eastAsia="x-none"/>
    </w:rPr>
  </w:style>
  <w:style w:type="paragraph" w:customStyle="1" w:styleId="Sintab">
    <w:name w:val="Sin tab"/>
    <w:basedOn w:val="Normal"/>
    <w:next w:val="Normal"/>
    <w:rsid w:val="00A255D4"/>
    <w:pPr>
      <w:widowControl w:val="0"/>
      <w:autoSpaceDE w:val="0"/>
      <w:autoSpaceDN w:val="0"/>
      <w:adjustRightInd w:val="0"/>
      <w:spacing w:after="0" w:line="240" w:lineRule="auto"/>
      <w:jc w:val="both"/>
    </w:pPr>
    <w:rPr>
      <w:rFonts w:ascii="Times" w:eastAsia="Times New Roman" w:hAnsi="Times"/>
      <w:sz w:val="23"/>
      <w:szCs w:val="23"/>
      <w:lang w:val="en-US"/>
    </w:rPr>
  </w:style>
  <w:style w:type="paragraph" w:customStyle="1" w:styleId="BodyText23">
    <w:name w:val="Body Text 23"/>
    <w:basedOn w:val="Normal"/>
    <w:rsid w:val="00A255D4"/>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Textoennegrita">
    <w:name w:val="Strong"/>
    <w:uiPriority w:val="22"/>
    <w:qFormat/>
    <w:rsid w:val="00A255D4"/>
    <w:rPr>
      <w:b/>
      <w:bCs/>
    </w:rPr>
  </w:style>
  <w:style w:type="paragraph" w:customStyle="1" w:styleId="Citas">
    <w:name w:val="Citas"/>
    <w:basedOn w:val="Normal"/>
    <w:rsid w:val="00A255D4"/>
    <w:pPr>
      <w:widowControl w:val="0"/>
      <w:autoSpaceDE w:val="0"/>
      <w:autoSpaceDN w:val="0"/>
      <w:adjustRightInd w:val="0"/>
      <w:spacing w:after="0" w:line="240" w:lineRule="auto"/>
      <w:ind w:left="340"/>
      <w:jc w:val="both"/>
    </w:pPr>
    <w:rPr>
      <w:rFonts w:ascii="Times" w:eastAsia="Times New Roman" w:hAnsi="Times"/>
      <w:sz w:val="20"/>
      <w:szCs w:val="20"/>
      <w:lang w:val="en-US"/>
    </w:rPr>
  </w:style>
  <w:style w:type="paragraph" w:customStyle="1" w:styleId="BodyText28">
    <w:name w:val="Body Text 28"/>
    <w:basedOn w:val="Normal"/>
    <w:rsid w:val="00A255D4"/>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paragraph" w:customStyle="1" w:styleId="SINTAB0">
    <w:name w:val="SINTAB"/>
    <w:basedOn w:val="Normal"/>
    <w:rsid w:val="00A255D4"/>
    <w:pPr>
      <w:widowControl w:val="0"/>
      <w:autoSpaceDE w:val="0"/>
      <w:autoSpaceDN w:val="0"/>
      <w:adjustRightInd w:val="0"/>
      <w:spacing w:after="0" w:line="360" w:lineRule="auto"/>
      <w:jc w:val="both"/>
    </w:pPr>
    <w:rPr>
      <w:rFonts w:ascii="Ehrhardt MT" w:eastAsia="Times New Roman" w:hAnsi="Ehrhardt MT"/>
      <w:sz w:val="24"/>
      <w:szCs w:val="20"/>
      <w:lang w:val="es-ES_tradnl" w:eastAsia="es-ES"/>
    </w:rPr>
  </w:style>
  <w:style w:type="paragraph" w:styleId="Textodeglobo">
    <w:name w:val="Balloon Text"/>
    <w:basedOn w:val="Normal"/>
    <w:link w:val="TextodegloboCar"/>
    <w:uiPriority w:val="99"/>
    <w:semiHidden/>
    <w:unhideWhenUsed/>
    <w:rsid w:val="00A255D4"/>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A255D4"/>
    <w:rPr>
      <w:rFonts w:ascii="Tahoma" w:hAnsi="Tahoma"/>
      <w:sz w:val="16"/>
      <w:szCs w:val="16"/>
      <w:lang w:val="x-none" w:eastAsia="en-US"/>
    </w:rPr>
  </w:style>
  <w:style w:type="paragraph" w:customStyle="1" w:styleId="Sinespaciado1">
    <w:name w:val="Sin espaciado1"/>
    <w:rsid w:val="00A255D4"/>
    <w:rPr>
      <w:rFonts w:eastAsia="Times New Roman"/>
      <w:sz w:val="22"/>
      <w:szCs w:val="22"/>
      <w:lang w:val="es-CO"/>
    </w:rPr>
  </w:style>
  <w:style w:type="character" w:customStyle="1" w:styleId="apple-converted-space">
    <w:name w:val="apple-converted-space"/>
    <w:rsid w:val="00A255D4"/>
  </w:style>
  <w:style w:type="paragraph" w:styleId="Sinespaciado">
    <w:name w:val="No Spacing"/>
    <w:link w:val="SinespaciadoCar"/>
    <w:uiPriority w:val="1"/>
    <w:qFormat/>
    <w:rsid w:val="00A255D4"/>
    <w:rPr>
      <w:rFonts w:ascii="Times New Roman" w:eastAsia="Times New Roman" w:hAnsi="Times New Roman"/>
      <w:sz w:val="24"/>
      <w:szCs w:val="24"/>
      <w:lang w:val="es-ES" w:eastAsia="es-ES"/>
    </w:rPr>
  </w:style>
  <w:style w:type="character" w:customStyle="1" w:styleId="SinespaciadoCar">
    <w:name w:val="Sin espaciado Car"/>
    <w:link w:val="Sinespaciado"/>
    <w:uiPriority w:val="1"/>
    <w:rsid w:val="00A255D4"/>
    <w:rPr>
      <w:rFonts w:ascii="Times New Roman" w:eastAsia="Times New Roman" w:hAnsi="Times New Roman"/>
      <w:sz w:val="24"/>
      <w:szCs w:val="24"/>
      <w:lang w:val="es-ES" w:eastAsia="es-ES"/>
    </w:rPr>
  </w:style>
  <w:style w:type="paragraph" w:styleId="Textoindependiente3">
    <w:name w:val="Body Text 3"/>
    <w:basedOn w:val="Normal"/>
    <w:link w:val="Textoindependiente3Car"/>
    <w:uiPriority w:val="99"/>
    <w:semiHidden/>
    <w:unhideWhenUsed/>
    <w:rsid w:val="00A255D4"/>
    <w:pPr>
      <w:spacing w:after="120" w:line="240" w:lineRule="auto"/>
    </w:pPr>
    <w:rPr>
      <w:sz w:val="16"/>
      <w:szCs w:val="16"/>
    </w:rPr>
  </w:style>
  <w:style w:type="character" w:customStyle="1" w:styleId="Textoindependiente3Car">
    <w:name w:val="Texto independiente 3 Car"/>
    <w:link w:val="Textoindependiente3"/>
    <w:uiPriority w:val="99"/>
    <w:semiHidden/>
    <w:rsid w:val="00A255D4"/>
    <w:rPr>
      <w:sz w:val="16"/>
      <w:szCs w:val="16"/>
      <w:lang w:eastAsia="en-US"/>
    </w:rPr>
  </w:style>
  <w:style w:type="character" w:styleId="Hipervnculo">
    <w:name w:val="Hyperlink"/>
    <w:uiPriority w:val="99"/>
    <w:unhideWhenUsed/>
    <w:rsid w:val="00A255D4"/>
    <w:rPr>
      <w:color w:val="0000FF"/>
      <w:u w:val="single"/>
    </w:rPr>
  </w:style>
  <w:style w:type="paragraph" w:styleId="Lista2">
    <w:name w:val="List 2"/>
    <w:basedOn w:val="Normal"/>
    <w:uiPriority w:val="99"/>
    <w:unhideWhenUsed/>
    <w:rsid w:val="00A255D4"/>
    <w:pPr>
      <w:spacing w:after="0" w:line="360" w:lineRule="auto"/>
      <w:ind w:left="566" w:hanging="283"/>
      <w:contextualSpacing/>
      <w:jc w:val="both"/>
    </w:pPr>
    <w:rPr>
      <w:rFonts w:ascii="Arial" w:eastAsia="Times New Roman" w:hAnsi="Arial"/>
      <w:sz w:val="24"/>
      <w:szCs w:val="24"/>
      <w:lang w:val="es-ES" w:eastAsia="es-ES"/>
    </w:rPr>
  </w:style>
  <w:style w:type="paragraph" w:customStyle="1" w:styleId="Textoindependiente21">
    <w:name w:val="Texto independiente 21"/>
    <w:basedOn w:val="Normal"/>
    <w:rsid w:val="00A255D4"/>
    <w:pPr>
      <w:suppressAutoHyphens/>
      <w:spacing w:after="0" w:line="360" w:lineRule="auto"/>
      <w:jc w:val="both"/>
    </w:pPr>
    <w:rPr>
      <w:rFonts w:ascii="Arial" w:eastAsia="Times New Roman" w:hAnsi="Arial"/>
      <w:sz w:val="32"/>
      <w:szCs w:val="20"/>
      <w:lang w:val="es-ES" w:eastAsia="es-ES"/>
    </w:rPr>
  </w:style>
  <w:style w:type="paragraph" w:styleId="Prrafodelista">
    <w:name w:val="List Paragraph"/>
    <w:basedOn w:val="Normal"/>
    <w:uiPriority w:val="34"/>
    <w:qFormat/>
    <w:rsid w:val="00A255D4"/>
    <w:pPr>
      <w:spacing w:after="0" w:line="240" w:lineRule="auto"/>
      <w:ind w:left="708"/>
    </w:pPr>
  </w:style>
  <w:style w:type="character" w:customStyle="1" w:styleId="iaj">
    <w:name w:val="i_aj"/>
    <w:rsid w:val="00A255D4"/>
  </w:style>
  <w:style w:type="paragraph" w:customStyle="1" w:styleId="Puesto">
    <w:name w:val="Puesto"/>
    <w:basedOn w:val="Normal"/>
    <w:next w:val="Normal"/>
    <w:link w:val="PuestoCar"/>
    <w:uiPriority w:val="10"/>
    <w:qFormat/>
    <w:rsid w:val="00A255D4"/>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A255D4"/>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C48DF5D-4052-468F-9129-A2FB9B59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3D28B-D071-40C6-B7A9-05858BA30B33}">
  <ds:schemaRefs>
    <ds:schemaRef ds:uri="http://schemas.microsoft.com/sharepoint/v3/contenttype/forms"/>
  </ds:schemaRefs>
</ds:datastoreItem>
</file>

<file path=customXml/itemProps3.xml><?xml version="1.0" encoding="utf-8"?>
<ds:datastoreItem xmlns:ds="http://schemas.openxmlformats.org/officeDocument/2006/customXml" ds:itemID="{EDAF4B0C-193C-41F9-853B-DD246FB7D46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6146</Words>
  <Characters>33804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2020-07-02T15:29:00Z</dcterms:created>
  <dcterms:modified xsi:type="dcterms:W3CDTF">2020-07-02T15:29:00Z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